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92.xml" ContentType="application/vnd.openxmlformats-officedocument.wordprocessingml.footer+xml"/>
  <Override PartName="/word/footer93.xml" ContentType="application/vnd.openxmlformats-officedocument.wordprocessingml.footer+xml"/>
  <Override PartName="/word/charts/chart11.xml" ContentType="application/vnd.openxmlformats-officedocument.drawingml.chart+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0CCC8C" w14:textId="77777777" w:rsidR="00A85062" w:rsidRDefault="00A85062">
      <w:bookmarkStart w:id="0" w:name="_GoBack"/>
      <w:bookmarkEnd w:id="0"/>
    </w:p>
    <w:p w14:paraId="040FCBB0" w14:textId="77777777" w:rsidR="007A7F0B" w:rsidRDefault="007A7F0B"/>
    <w:p w14:paraId="6D05D495" w14:textId="77777777" w:rsidR="007A7F0B" w:rsidRDefault="007A7F0B"/>
    <w:p w14:paraId="13B95A6F" w14:textId="77777777" w:rsidR="007A7F0B" w:rsidRDefault="007A7F0B"/>
    <w:p w14:paraId="48CF0301" w14:textId="77777777" w:rsidR="007A7F0B" w:rsidRDefault="007A7F0B"/>
    <w:p w14:paraId="48B31D6C" w14:textId="77777777" w:rsidR="007A7F0B" w:rsidRDefault="007A7F0B"/>
    <w:p w14:paraId="1A7C8CD5" w14:textId="77777777" w:rsidR="007A7F0B" w:rsidRDefault="007A7F0B"/>
    <w:p w14:paraId="37337DA1" w14:textId="77777777" w:rsidR="007A7F0B" w:rsidRPr="00746525" w:rsidRDefault="007A7F0B" w:rsidP="00746525">
      <w:pPr>
        <w:spacing w:after="240" w:line="201" w:lineRule="atLeast"/>
        <w:ind w:left="1152"/>
        <w:rPr>
          <w:b/>
          <w:color w:val="720829"/>
          <w:sz w:val="25"/>
          <w:szCs w:val="25"/>
        </w:rPr>
      </w:pPr>
      <w:r w:rsidRPr="00746525">
        <w:rPr>
          <w:b/>
          <w:color w:val="720829"/>
          <w:sz w:val="25"/>
        </w:rPr>
        <w:t>TRANSITION AND WELLBEING RESEARCH PROGRAMME</w:t>
      </w:r>
    </w:p>
    <w:p w14:paraId="4D675072" w14:textId="77777777" w:rsidR="007A7F0B" w:rsidRPr="00746525" w:rsidRDefault="007A7F0B" w:rsidP="00746525">
      <w:pPr>
        <w:spacing w:after="240"/>
        <w:ind w:left="1152"/>
        <w:rPr>
          <w:b/>
          <w:color w:val="002561"/>
          <w:sz w:val="25"/>
          <w:szCs w:val="25"/>
        </w:rPr>
      </w:pPr>
      <w:r w:rsidRPr="00746525">
        <w:rPr>
          <w:b/>
          <w:color w:val="002561"/>
          <w:sz w:val="25"/>
        </w:rPr>
        <w:t>MENTAL HEALTH AND WELLBEING TRANSITION STUDY</w:t>
      </w:r>
    </w:p>
    <w:p w14:paraId="0F85FFC8" w14:textId="77777777" w:rsidR="007A7F0B" w:rsidRPr="007A7F0B" w:rsidRDefault="00746525" w:rsidP="00746525">
      <w:pPr>
        <w:spacing w:before="240" w:after="240" w:line="240" w:lineRule="auto"/>
        <w:ind w:right="259"/>
        <w:jc w:val="right"/>
        <w:rPr>
          <w:color w:val="002561"/>
          <w:sz w:val="50"/>
          <w:szCs w:val="50"/>
        </w:rPr>
      </w:pPr>
      <w:r w:rsidRPr="003A2748">
        <w:rPr>
          <w:noProof/>
          <w:color w:val="002561"/>
          <w:sz w:val="44"/>
          <w:szCs w:val="50"/>
          <w:lang w:eastAsia="en-AU"/>
        </w:rPr>
        <mc:AlternateContent>
          <mc:Choice Requires="wpg">
            <w:drawing>
              <wp:anchor distT="0" distB="0" distL="114300" distR="114300" simplePos="0" relativeHeight="251609088" behindDoc="0" locked="0" layoutInCell="1" allowOverlap="1" wp14:anchorId="4BE3C1A0" wp14:editId="27874612">
                <wp:simplePos x="0" y="0"/>
                <wp:positionH relativeFrom="column">
                  <wp:posOffset>1068705</wp:posOffset>
                </wp:positionH>
                <wp:positionV relativeFrom="paragraph">
                  <wp:posOffset>517525</wp:posOffset>
                </wp:positionV>
                <wp:extent cx="3291840" cy="161925"/>
                <wp:effectExtent l="0" t="38100" r="3810" b="47625"/>
                <wp:wrapNone/>
                <wp:docPr id="6" name="Group 6"/>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B727B5" id="Group 6" o:spid="_x0000_s1026" style="position:absolute;margin-left:84.15pt;margin-top:40.75pt;width:259.2pt;height:12.75pt;z-index:251609088"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">
                <v:line id="Straight Connector 2" o:spid="_x0000_s1027" style="position:absolute;visibility:visible;mso-wrap-style:square" from="0,0" to="32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48MAAADaAAAADwAAAGRycy9kb3ducmV2LnhtbESPQWsCMRSE74L/ITyht5pVsLSrUbRa&#10;KPQgXUXw9tg8N8HNy7JJ3e2/bwqCx2FmvmEWq97V4kZtsJ4VTMYZCOLSa8uVguPh4/kVRIjIGmvP&#10;pOCXAqyWw8ECc+07/qZbESuRIBxyVGBibHIpQ2nIYRj7hjh5F986jEm2ldQtdgnuajnNshfp0HJa&#10;MNjQu6HyWvw4BWfztp1sN7vOulBc2c7c/qs8KfU06tdzEJH6+Ajf259awRT+r6Qb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vuPDAAAA2gAAAA8AAAAAAAAAAAAA&#10;AAAAoQIAAGRycy9kb3ducmV2LnhtbFBLBQYAAAAABAAEAPkAAACRAwAAAAA=&#10;" strokecolor="#002561" strokeweight="6pt"/>
                <v:line id="Straight Connector 3" o:spid="_x0000_s1028" style="position:absolute;visibility:visible;mso-wrap-style:square" from="0,1619" to="10972,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H6cUAAADaAAAADwAAAGRycy9kb3ducmV2LnhtbESPT2vCQBTE74LfYXmCl6IbbRGJrlIq&#10;ll6s+AfF2yP7TILZtyG7JqmfvlsoeBxm5jfMfNmaQtRUudyygtEwAkGcWJ1zquB4WA+mIJxH1lhY&#10;JgU/5GC56HbmGGvb8I7qvU9FgLCLUUHmfRlL6ZKMDLqhLYmDd7WVQR9klUpdYRPgppDjKJpIgzmH&#10;hQxL+sgoue3vRsH6U2+mb5dtfW6+E/lysivfjB5K9Xvt+wyEp9Y/w//tL63gFf6uhBs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H6cUAAADaAAAADwAAAAAAAAAA&#10;AAAAAAChAgAAZHJzL2Rvd25yZXYueG1sUEsFBgAAAAAEAAQA+QAAAJMDAAAAAA==&#10;" strokecolor="#2e9d35" strokeweight="6pt"/>
                <v:line id="Straight Connector 4" o:spid="_x0000_s1029" style="position:absolute;visibility:visible;mso-wrap-style:square" from="10953,1619" to="21926,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T698IAAADaAAAADwAAAGRycy9kb3ducmV2LnhtbESPwWrDMBBE74H+g9hCb7HcEEJwrQQT&#10;aDC91S3Ux8XaWE6slbFU2/37qlDIcZiZN0x+XGwvJhp951jBc5KCIG6c7rhV8Pnxut6D8AFZY++Y&#10;FPyQh+PhYZVjpt3M7zRVoRURwj5DBSaEIZPSN4Ys+sQNxNG7uNFiiHJspR5xjnDby02a7qTFjuOC&#10;wYFOhppb9W0V3LiSVzfVXzt+K0pz7i7ltpZKPT0uxQuIQEu4h//bpVawhb8r8QbIw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T698IAAADaAAAADwAAAAAAAAAAAAAA&#10;AAChAgAAZHJzL2Rvd25yZXYueG1sUEsFBgAAAAAEAAQA+QAAAJADAAAAAA==&#10;" strokecolor="#720829" strokeweight="6pt"/>
                <v:line id="Straight Connector 5" o:spid="_x0000_s1030" style="position:absolute;visibility:visible;mso-wrap-style:square" from="21907,1619" to="3288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m8S8EAAADaAAAADwAAAGRycy9kb3ducmV2LnhtbESPT4vCMBTE7wt+h/CEvW1TBV2pRhFB&#10;3Zv4//ponk2xeSlN1O5+eiMIexxm5jfMZNbaStyp8aVjBb0kBUGcO11yoeCwX36NQPiArLFyTAp+&#10;ycNs2vmYYKbdg7d034VCRAj7DBWYEOpMSp8bsugTVxNH7+IaiyHKppC6wUeE20r203QoLZYcFwzW&#10;tDCUX3c3q+BkF6t1626F2eizn39fl0H+HZX67LbzMYhAbfgPv9s/WsEAXlfiDZDT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2bxLwQAAANoAAAAPAAAAAAAAAAAAAAAA&#10;AKECAABkcnMvZG93bnJldi54bWxQSwUGAAAAAAQABAD5AAAAjwMAAAAA&#10;" strokecolor="#0194df" strokeweight="6pt"/>
              </v:group>
            </w:pict>
          </mc:Fallback>
        </mc:AlternateContent>
      </w:r>
      <w:r w:rsidR="003A2748" w:rsidRPr="003A2748">
        <w:rPr>
          <w:noProof/>
          <w:color w:val="002561"/>
          <w:sz w:val="44"/>
          <w:szCs w:val="50"/>
          <w:lang w:eastAsia="en-AU"/>
        </w:rPr>
        <w:t>Technology Use and Wellbeing</w:t>
      </w:r>
    </w:p>
    <w:p w14:paraId="22B25162" w14:textId="77777777" w:rsidR="007A7F0B" w:rsidRDefault="007A7F0B"/>
    <w:p w14:paraId="2DE8D925" w14:textId="77777777" w:rsidR="007A7F0B" w:rsidRDefault="007A7F0B"/>
    <w:p w14:paraId="58DF314A" w14:textId="77777777" w:rsidR="007A7F0B" w:rsidRDefault="007A7F0B"/>
    <w:p w14:paraId="0572BD5A" w14:textId="77777777" w:rsidR="007A7F0B" w:rsidRDefault="007A7F0B"/>
    <w:p w14:paraId="1DD6D487" w14:textId="77777777" w:rsidR="007A7F0B" w:rsidRDefault="007A7F0B"/>
    <w:p w14:paraId="55A406AC" w14:textId="77777777" w:rsidR="007A7F0B" w:rsidRDefault="007A7F0B"/>
    <w:p w14:paraId="10A0E734" w14:textId="77777777" w:rsidR="007A7F0B" w:rsidRDefault="007A7F0B"/>
    <w:p w14:paraId="07D26CE4" w14:textId="77777777" w:rsidR="007A7F0B" w:rsidRDefault="007A7F0B"/>
    <w:p w14:paraId="2EA826BE" w14:textId="77777777" w:rsidR="007A7F0B" w:rsidRPr="00746525" w:rsidRDefault="007A7F0B" w:rsidP="007A7F0B">
      <w:pPr>
        <w:jc w:val="right"/>
        <w:rPr>
          <w:b/>
          <w:color w:val="002561"/>
          <w:sz w:val="24"/>
        </w:rPr>
      </w:pPr>
      <w:r w:rsidRPr="00746525">
        <w:rPr>
          <w:b/>
          <w:color w:val="002561"/>
          <w:sz w:val="24"/>
        </w:rPr>
        <w:t>201</w:t>
      </w:r>
      <w:r w:rsidR="003A2748">
        <w:rPr>
          <w:b/>
          <w:color w:val="002561"/>
          <w:sz w:val="24"/>
        </w:rPr>
        <w:t>9</w:t>
      </w:r>
    </w:p>
    <w:p w14:paraId="03E31E8B" w14:textId="77777777" w:rsidR="00191932" w:rsidRDefault="00191932"/>
    <w:p w14:paraId="3B1773F7" w14:textId="77777777" w:rsidR="003A2748" w:rsidRPr="00A7497B" w:rsidRDefault="003A2748" w:rsidP="003A2748">
      <w:pPr>
        <w:keepNext/>
        <w:rPr>
          <w:sz w:val="18"/>
          <w:szCs w:val="18"/>
          <w:lang w:val="de-DE"/>
        </w:rPr>
      </w:pPr>
      <w:r w:rsidRPr="00A7497B">
        <w:rPr>
          <w:sz w:val="18"/>
          <w:szCs w:val="18"/>
          <w:lang w:val="de-DE"/>
        </w:rPr>
        <w:lastRenderedPageBreak/>
        <w:t xml:space="preserve">ISBN </w:t>
      </w:r>
      <w:r>
        <w:t>978-0-6481609-4-6</w:t>
      </w:r>
      <w:r w:rsidRPr="00A7497B" w:rsidDel="00E44E10">
        <w:rPr>
          <w:sz w:val="18"/>
          <w:szCs w:val="18"/>
          <w:lang w:val="de-DE"/>
        </w:rPr>
        <w:t xml:space="preserve"> </w:t>
      </w:r>
      <w:r w:rsidRPr="00A7497B">
        <w:rPr>
          <w:sz w:val="18"/>
          <w:szCs w:val="18"/>
          <w:lang w:val="de-DE"/>
        </w:rPr>
        <w:t>(PDF)</w:t>
      </w:r>
      <w:r w:rsidRPr="00A7497B">
        <w:rPr>
          <w:sz w:val="18"/>
          <w:szCs w:val="18"/>
          <w:lang w:val="de-DE"/>
        </w:rPr>
        <w:br/>
        <w:t xml:space="preserve">ISBN </w:t>
      </w:r>
      <w:r>
        <w:t>978-0-6481609-5-3</w:t>
      </w:r>
      <w:r w:rsidRPr="00A7497B" w:rsidDel="00E44E10">
        <w:rPr>
          <w:sz w:val="18"/>
          <w:szCs w:val="18"/>
          <w:lang w:val="de-DE"/>
        </w:rPr>
        <w:t xml:space="preserve"> </w:t>
      </w:r>
      <w:r w:rsidRPr="00A7497B">
        <w:rPr>
          <w:sz w:val="18"/>
          <w:szCs w:val="18"/>
          <w:lang w:val="de-DE"/>
        </w:rPr>
        <w:t>(</w:t>
      </w:r>
      <w:r>
        <w:rPr>
          <w:sz w:val="18"/>
          <w:szCs w:val="18"/>
          <w:lang w:val="de-DE"/>
        </w:rPr>
        <w:t>p</w:t>
      </w:r>
      <w:r w:rsidRPr="00A7497B">
        <w:rPr>
          <w:sz w:val="18"/>
          <w:szCs w:val="18"/>
          <w:lang w:val="de-DE"/>
        </w:rPr>
        <w:t>rint)</w:t>
      </w:r>
    </w:p>
    <w:p w14:paraId="0DC8B0C9" w14:textId="77777777" w:rsidR="003A2748" w:rsidRDefault="003A2748" w:rsidP="003A2748">
      <w:pPr>
        <w:keepNext/>
        <w:rPr>
          <w:sz w:val="18"/>
          <w:szCs w:val="18"/>
        </w:rPr>
      </w:pPr>
      <w:r>
        <w:rPr>
          <w:sz w:val="18"/>
          <w:szCs w:val="18"/>
        </w:rPr>
        <w:t>© Commonwealth of Australia 2019</w:t>
      </w:r>
    </w:p>
    <w:p w14:paraId="6732D1A1" w14:textId="77777777" w:rsidR="003A2748" w:rsidRDefault="003A2748" w:rsidP="003A2748">
      <w:pPr>
        <w:spacing w:line="240" w:lineRule="auto"/>
        <w:rPr>
          <w:color w:val="auto"/>
          <w:sz w:val="18"/>
          <w:szCs w:val="24"/>
        </w:rPr>
      </w:pPr>
      <w:r>
        <w:rPr>
          <w:color w:val="auto"/>
          <w:sz w:val="18"/>
          <w:szCs w:val="24"/>
        </w:rPr>
        <w:t>Unless otherwise noted, copyright (and other intellectual property rights, if any) in this publication is owned by the Commonwealth of Australia.</w:t>
      </w:r>
    </w:p>
    <w:p w14:paraId="23A0F9B0" w14:textId="77777777" w:rsidR="003A2748" w:rsidRDefault="003A2748" w:rsidP="003A2748">
      <w:pPr>
        <w:spacing w:line="240" w:lineRule="auto"/>
        <w:rPr>
          <w:color w:val="auto"/>
          <w:sz w:val="18"/>
          <w:szCs w:val="24"/>
        </w:rPr>
      </w:pPr>
      <w:r>
        <w:rPr>
          <w:noProof/>
          <w:color w:val="auto"/>
          <w:sz w:val="18"/>
          <w:szCs w:val="24"/>
          <w:lang w:eastAsia="en-AU"/>
        </w:rPr>
        <w:drawing>
          <wp:inline distT="0" distB="0" distL="0" distR="0" wp14:anchorId="280632FC" wp14:editId="0B97F849">
            <wp:extent cx="842645" cy="297815"/>
            <wp:effectExtent l="0" t="0" r="0" b="6985"/>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2645" cy="297815"/>
                    </a:xfrm>
                    <a:prstGeom prst="rect">
                      <a:avLst/>
                    </a:prstGeom>
                    <a:noFill/>
                    <a:ln>
                      <a:noFill/>
                    </a:ln>
                  </pic:spPr>
                </pic:pic>
              </a:graphicData>
            </a:graphic>
          </wp:inline>
        </w:drawing>
      </w:r>
    </w:p>
    <w:p w14:paraId="71979380" w14:textId="77777777" w:rsidR="003A2748" w:rsidRDefault="003A2748" w:rsidP="003A2748">
      <w:pPr>
        <w:spacing w:line="240" w:lineRule="auto"/>
        <w:rPr>
          <w:sz w:val="18"/>
          <w:szCs w:val="24"/>
        </w:rPr>
      </w:pPr>
      <w:r>
        <w:rPr>
          <w:sz w:val="18"/>
          <w:szCs w:val="24"/>
        </w:rPr>
        <w:t>With the exception of the Coat of Arms and all photographs and graphic design elements, this publication is licensed under a Creative Commons Attribution 3.0 Australia licence. This is a standard-form licence agreement that allows you to copy, distribute, transmit and adapt this publication, provided that you attribute the work.</w:t>
      </w:r>
    </w:p>
    <w:p w14:paraId="5F02890A" w14:textId="77777777" w:rsidR="003A2748" w:rsidRDefault="003A2748" w:rsidP="003A2748">
      <w:pPr>
        <w:spacing w:line="240" w:lineRule="auto"/>
        <w:rPr>
          <w:sz w:val="18"/>
          <w:szCs w:val="24"/>
        </w:rPr>
      </w:pPr>
      <w:r>
        <w:rPr>
          <w:sz w:val="18"/>
          <w:szCs w:val="24"/>
        </w:rPr>
        <w:t xml:space="preserve">The full licence terms are available at </w:t>
      </w:r>
      <w:hyperlink r:id="rId9" w:history="1">
        <w:r>
          <w:rPr>
            <w:rStyle w:val="Hyperlink"/>
            <w:sz w:val="18"/>
            <w:szCs w:val="18"/>
          </w:rPr>
          <w:t>creativecommons.org/licenses/by/3.0/au/legalcode</w:t>
        </w:r>
      </w:hyperlink>
      <w:r>
        <w:rPr>
          <w:sz w:val="18"/>
          <w:szCs w:val="24"/>
        </w:rPr>
        <w:t>.</w:t>
      </w:r>
    </w:p>
    <w:p w14:paraId="7F502211" w14:textId="77777777" w:rsidR="003A2748" w:rsidRPr="00D235EC" w:rsidRDefault="003A2748" w:rsidP="003A2748">
      <w:pPr>
        <w:spacing w:line="240" w:lineRule="auto"/>
        <w:rPr>
          <w:sz w:val="18"/>
          <w:szCs w:val="18"/>
        </w:rPr>
      </w:pPr>
      <w:r w:rsidRPr="00D235EC">
        <w:rPr>
          <w:sz w:val="18"/>
          <w:szCs w:val="18"/>
        </w:rPr>
        <w:t xml:space="preserve">Requests and enquiries concerning reproduction and rights should be emailed to: </w:t>
      </w:r>
      <w:hyperlink r:id="rId10" w:history="1">
        <w:r w:rsidRPr="00215381">
          <w:rPr>
            <w:rStyle w:val="Hyperlink"/>
          </w:rPr>
          <w:t>publications@dva.gov.au</w:t>
        </w:r>
      </w:hyperlink>
      <w:r w:rsidRPr="00D235EC">
        <w:rPr>
          <w:sz w:val="18"/>
          <w:szCs w:val="18"/>
        </w:rPr>
        <w:t xml:space="preserve"> </w:t>
      </w:r>
    </w:p>
    <w:p w14:paraId="4037D36C" w14:textId="77777777" w:rsidR="003A2748" w:rsidRDefault="003A2748" w:rsidP="003A2748">
      <w:pPr>
        <w:spacing w:after="0" w:line="240" w:lineRule="auto"/>
        <w:rPr>
          <w:sz w:val="18"/>
          <w:szCs w:val="24"/>
        </w:rPr>
      </w:pPr>
      <w:r>
        <w:rPr>
          <w:sz w:val="18"/>
          <w:szCs w:val="24"/>
        </w:rPr>
        <w:t>or posted to:</w:t>
      </w:r>
    </w:p>
    <w:p w14:paraId="38B6A9C8" w14:textId="77777777" w:rsidR="003A2748" w:rsidRDefault="003A2748" w:rsidP="003A2748">
      <w:pPr>
        <w:spacing w:line="240" w:lineRule="auto"/>
        <w:rPr>
          <w:sz w:val="18"/>
          <w:szCs w:val="24"/>
        </w:rPr>
      </w:pPr>
      <w:r>
        <w:rPr>
          <w:sz w:val="18"/>
          <w:szCs w:val="24"/>
        </w:rPr>
        <w:t>Department of Veterans’ Affairs</w:t>
      </w:r>
      <w:r>
        <w:rPr>
          <w:sz w:val="18"/>
          <w:szCs w:val="24"/>
        </w:rPr>
        <w:br/>
        <w:t>GPO Box 9998</w:t>
      </w:r>
      <w:r>
        <w:rPr>
          <w:sz w:val="18"/>
          <w:szCs w:val="24"/>
        </w:rPr>
        <w:br/>
        <w:t>Brisbane QLD 4001</w:t>
      </w:r>
    </w:p>
    <w:p w14:paraId="529C2570" w14:textId="77777777" w:rsidR="003A2748" w:rsidRDefault="003A2748" w:rsidP="003A2748">
      <w:pPr>
        <w:spacing w:line="240" w:lineRule="auto"/>
        <w:rPr>
          <w:sz w:val="18"/>
          <w:szCs w:val="24"/>
        </w:rPr>
      </w:pPr>
      <w:r>
        <w:rPr>
          <w:sz w:val="18"/>
          <w:szCs w:val="24"/>
        </w:rPr>
        <w:t>Suggested citation:</w:t>
      </w:r>
    </w:p>
    <w:p w14:paraId="4B5513FA" w14:textId="77777777" w:rsidR="003A2748" w:rsidRPr="00A7497B" w:rsidRDefault="003A2748" w:rsidP="003A2748">
      <w:pPr>
        <w:autoSpaceDE w:val="0"/>
        <w:autoSpaceDN w:val="0"/>
        <w:adjustRightInd w:val="0"/>
        <w:spacing w:line="240" w:lineRule="auto"/>
        <w:rPr>
          <w:sz w:val="18"/>
          <w:szCs w:val="18"/>
        </w:rPr>
      </w:pPr>
      <w:r>
        <w:rPr>
          <w:sz w:val="18"/>
          <w:szCs w:val="18"/>
        </w:rPr>
        <w:t xml:space="preserve">Burns, J., </w:t>
      </w:r>
      <w:r w:rsidRPr="004E26AA">
        <w:rPr>
          <w:sz w:val="18"/>
          <w:szCs w:val="18"/>
        </w:rPr>
        <w:t>Van Hooff</w:t>
      </w:r>
      <w:r>
        <w:rPr>
          <w:sz w:val="18"/>
          <w:szCs w:val="18"/>
        </w:rPr>
        <w:t>,</w:t>
      </w:r>
      <w:r w:rsidRPr="004E26AA">
        <w:rPr>
          <w:sz w:val="18"/>
          <w:szCs w:val="18"/>
        </w:rPr>
        <w:t xml:space="preserve"> M</w:t>
      </w:r>
      <w:r>
        <w:rPr>
          <w:sz w:val="18"/>
          <w:szCs w:val="18"/>
        </w:rPr>
        <w:t>.</w:t>
      </w:r>
      <w:r w:rsidRPr="004E26AA">
        <w:rPr>
          <w:sz w:val="18"/>
          <w:szCs w:val="18"/>
        </w:rPr>
        <w:t>, Lawrence-Wood</w:t>
      </w:r>
      <w:r>
        <w:rPr>
          <w:sz w:val="18"/>
          <w:szCs w:val="18"/>
        </w:rPr>
        <w:t>,</w:t>
      </w:r>
      <w:r w:rsidRPr="004E26AA">
        <w:rPr>
          <w:sz w:val="18"/>
          <w:szCs w:val="18"/>
        </w:rPr>
        <w:t xml:space="preserve"> E</w:t>
      </w:r>
      <w:r>
        <w:rPr>
          <w:sz w:val="18"/>
          <w:szCs w:val="18"/>
        </w:rPr>
        <w:t>.</w:t>
      </w:r>
      <w:r w:rsidRPr="004E26AA">
        <w:rPr>
          <w:sz w:val="18"/>
          <w:szCs w:val="18"/>
        </w:rPr>
        <w:t xml:space="preserve">, </w:t>
      </w:r>
      <w:r>
        <w:rPr>
          <w:sz w:val="18"/>
          <w:szCs w:val="18"/>
        </w:rPr>
        <w:t xml:space="preserve">Benassi, H., Sadler, N., </w:t>
      </w:r>
      <w:r w:rsidRPr="004E26AA">
        <w:rPr>
          <w:sz w:val="18"/>
          <w:szCs w:val="18"/>
        </w:rPr>
        <w:t>Hodson</w:t>
      </w:r>
      <w:r>
        <w:rPr>
          <w:sz w:val="18"/>
          <w:szCs w:val="18"/>
        </w:rPr>
        <w:t>,</w:t>
      </w:r>
      <w:r w:rsidRPr="004E26AA">
        <w:rPr>
          <w:sz w:val="18"/>
          <w:szCs w:val="18"/>
        </w:rPr>
        <w:t xml:space="preserve"> S</w:t>
      </w:r>
      <w:r>
        <w:rPr>
          <w:sz w:val="18"/>
          <w:szCs w:val="18"/>
        </w:rPr>
        <w:t>.</w:t>
      </w:r>
      <w:r w:rsidRPr="004E26AA">
        <w:rPr>
          <w:sz w:val="18"/>
          <w:szCs w:val="18"/>
        </w:rPr>
        <w:t>,</w:t>
      </w:r>
      <w:r>
        <w:rPr>
          <w:sz w:val="18"/>
          <w:szCs w:val="18"/>
        </w:rPr>
        <w:t xml:space="preserve"> Hansen, C., </w:t>
      </w:r>
      <w:r w:rsidRPr="004E26AA">
        <w:rPr>
          <w:sz w:val="18"/>
          <w:szCs w:val="18"/>
        </w:rPr>
        <w:t>Avery</w:t>
      </w:r>
      <w:r>
        <w:rPr>
          <w:sz w:val="18"/>
          <w:szCs w:val="18"/>
        </w:rPr>
        <w:t>,</w:t>
      </w:r>
      <w:r w:rsidRPr="004E26AA">
        <w:rPr>
          <w:sz w:val="18"/>
          <w:szCs w:val="18"/>
        </w:rPr>
        <w:t xml:space="preserve"> J</w:t>
      </w:r>
      <w:r>
        <w:rPr>
          <w:sz w:val="18"/>
          <w:szCs w:val="18"/>
        </w:rPr>
        <w:t>.</w:t>
      </w:r>
      <w:r w:rsidRPr="004E26AA">
        <w:rPr>
          <w:sz w:val="18"/>
          <w:szCs w:val="18"/>
        </w:rPr>
        <w:t>, Searle</w:t>
      </w:r>
      <w:r>
        <w:rPr>
          <w:sz w:val="18"/>
          <w:szCs w:val="18"/>
        </w:rPr>
        <w:t>,</w:t>
      </w:r>
      <w:r w:rsidRPr="004E26AA">
        <w:rPr>
          <w:sz w:val="18"/>
          <w:szCs w:val="18"/>
        </w:rPr>
        <w:t xml:space="preserve"> A</w:t>
      </w:r>
      <w:r>
        <w:rPr>
          <w:sz w:val="18"/>
          <w:szCs w:val="18"/>
        </w:rPr>
        <w:t>.</w:t>
      </w:r>
      <w:r w:rsidRPr="004E26AA">
        <w:rPr>
          <w:sz w:val="18"/>
          <w:szCs w:val="18"/>
        </w:rPr>
        <w:t xml:space="preserve">, </w:t>
      </w:r>
      <w:r>
        <w:rPr>
          <w:sz w:val="18"/>
          <w:szCs w:val="18"/>
        </w:rPr>
        <w:t xml:space="preserve">Iannos, M., Abraham, M., Baur, J., &amp; </w:t>
      </w:r>
      <w:r w:rsidRPr="004E26AA">
        <w:rPr>
          <w:sz w:val="18"/>
          <w:szCs w:val="18"/>
        </w:rPr>
        <w:t>McFarlane</w:t>
      </w:r>
      <w:r>
        <w:rPr>
          <w:sz w:val="18"/>
          <w:szCs w:val="18"/>
        </w:rPr>
        <w:t>,</w:t>
      </w:r>
      <w:r w:rsidRPr="004E26AA">
        <w:rPr>
          <w:sz w:val="18"/>
          <w:szCs w:val="18"/>
        </w:rPr>
        <w:t xml:space="preserve"> A</w:t>
      </w:r>
      <w:r>
        <w:rPr>
          <w:sz w:val="18"/>
          <w:szCs w:val="18"/>
        </w:rPr>
        <w:t>.</w:t>
      </w:r>
      <w:r w:rsidRPr="004E26AA">
        <w:rPr>
          <w:sz w:val="18"/>
          <w:szCs w:val="18"/>
        </w:rPr>
        <w:t xml:space="preserve"> </w:t>
      </w:r>
      <w:r>
        <w:rPr>
          <w:sz w:val="18"/>
          <w:szCs w:val="18"/>
        </w:rPr>
        <w:t>(</w:t>
      </w:r>
      <w:r w:rsidRPr="004E26AA">
        <w:rPr>
          <w:sz w:val="18"/>
          <w:szCs w:val="18"/>
        </w:rPr>
        <w:t>201</w:t>
      </w:r>
      <w:r>
        <w:rPr>
          <w:sz w:val="18"/>
          <w:szCs w:val="18"/>
        </w:rPr>
        <w:t>9).</w:t>
      </w:r>
      <w:r w:rsidRPr="004E26AA">
        <w:rPr>
          <w:i/>
          <w:iCs/>
          <w:sz w:val="18"/>
          <w:szCs w:val="18"/>
        </w:rPr>
        <w:t xml:space="preserve"> </w:t>
      </w:r>
      <w:r>
        <w:rPr>
          <w:i/>
          <w:iCs/>
          <w:sz w:val="18"/>
          <w:szCs w:val="18"/>
        </w:rPr>
        <w:t>Technology Use and Wellbeing Report</w:t>
      </w:r>
      <w:r w:rsidRPr="004E26AA">
        <w:rPr>
          <w:i/>
          <w:iCs/>
          <w:sz w:val="18"/>
          <w:szCs w:val="18"/>
        </w:rPr>
        <w:t xml:space="preserve">, Mental Health and Wellbeing </w:t>
      </w:r>
      <w:r>
        <w:rPr>
          <w:i/>
          <w:iCs/>
          <w:sz w:val="18"/>
          <w:szCs w:val="18"/>
        </w:rPr>
        <w:t xml:space="preserve">Transition </w:t>
      </w:r>
      <w:r w:rsidRPr="004E26AA">
        <w:rPr>
          <w:i/>
          <w:iCs/>
          <w:sz w:val="18"/>
          <w:szCs w:val="18"/>
        </w:rPr>
        <w:t>Study</w:t>
      </w:r>
      <w:r>
        <w:rPr>
          <w:i/>
          <w:iCs/>
          <w:sz w:val="18"/>
          <w:szCs w:val="18"/>
        </w:rPr>
        <w:t xml:space="preserve">. </w:t>
      </w:r>
      <w:r>
        <w:rPr>
          <w:iCs/>
          <w:sz w:val="18"/>
          <w:szCs w:val="18"/>
        </w:rPr>
        <w:t>Canberra:</w:t>
      </w:r>
      <w:r w:rsidRPr="004E26AA">
        <w:rPr>
          <w:i/>
          <w:iCs/>
          <w:sz w:val="18"/>
          <w:szCs w:val="18"/>
        </w:rPr>
        <w:t xml:space="preserve"> </w:t>
      </w:r>
      <w:r w:rsidRPr="004E26AA">
        <w:rPr>
          <w:sz w:val="18"/>
          <w:szCs w:val="18"/>
        </w:rPr>
        <w:t xml:space="preserve">the </w:t>
      </w:r>
      <w:r>
        <w:rPr>
          <w:sz w:val="18"/>
          <w:szCs w:val="18"/>
        </w:rPr>
        <w:t xml:space="preserve">Department of Defence and the </w:t>
      </w:r>
      <w:r w:rsidRPr="004E26AA">
        <w:rPr>
          <w:sz w:val="18"/>
          <w:szCs w:val="18"/>
        </w:rPr>
        <w:t>Department of Veterans’ Affairs</w:t>
      </w:r>
      <w:r>
        <w:rPr>
          <w:sz w:val="18"/>
          <w:szCs w:val="18"/>
        </w:rPr>
        <w:t>.</w:t>
      </w:r>
    </w:p>
    <w:p w14:paraId="19EC32F1" w14:textId="77777777" w:rsidR="003A2748" w:rsidRDefault="003A2748" w:rsidP="003A2748">
      <w:pPr>
        <w:autoSpaceDE w:val="0"/>
        <w:autoSpaceDN w:val="0"/>
        <w:spacing w:line="240" w:lineRule="auto"/>
        <w:rPr>
          <w:sz w:val="18"/>
          <w:szCs w:val="24"/>
        </w:rPr>
      </w:pPr>
      <w:r>
        <w:rPr>
          <w:sz w:val="18"/>
          <w:szCs w:val="24"/>
        </w:rPr>
        <w:t>The views expressed in this report are those of the individual authors and may not reflect the views of the Australian Government, including the Departments of Defence and Veterans’ Affairs.</w:t>
      </w:r>
    </w:p>
    <w:p w14:paraId="156B0838" w14:textId="77777777" w:rsidR="003A2748" w:rsidRDefault="003A2748" w:rsidP="003A2748">
      <w:pPr>
        <w:spacing w:line="240" w:lineRule="auto"/>
        <w:rPr>
          <w:sz w:val="18"/>
          <w:szCs w:val="24"/>
        </w:rPr>
      </w:pPr>
      <w:r>
        <w:rPr>
          <w:sz w:val="18"/>
          <w:szCs w:val="24"/>
        </w:rPr>
        <w:t>This report is available from:</w:t>
      </w:r>
    </w:p>
    <w:p w14:paraId="4626F674" w14:textId="77777777" w:rsidR="003A2748" w:rsidRDefault="003A2748" w:rsidP="003A2748">
      <w:pPr>
        <w:spacing w:line="240" w:lineRule="auto"/>
        <w:ind w:left="360"/>
        <w:rPr>
          <w:sz w:val="18"/>
          <w:szCs w:val="24"/>
          <w:lang w:eastAsia="en-AU"/>
        </w:rPr>
      </w:pPr>
      <w:r>
        <w:rPr>
          <w:sz w:val="18"/>
          <w:szCs w:val="24"/>
          <w:lang w:eastAsia="en-AU"/>
        </w:rPr>
        <w:t>The Department of Defence</w:t>
      </w:r>
      <w:r>
        <w:rPr>
          <w:sz w:val="18"/>
          <w:szCs w:val="24"/>
          <w:lang w:eastAsia="en-AU"/>
        </w:rPr>
        <w:br/>
      </w:r>
      <w:hyperlink r:id="rId11" w:history="1">
        <w:r>
          <w:rPr>
            <w:rStyle w:val="Hyperlink"/>
            <w:sz w:val="18"/>
            <w:szCs w:val="24"/>
            <w:lang w:eastAsia="en-AU"/>
          </w:rPr>
          <w:t>http://www.defence.gov.au/Health/DMH/ResearchSurveillancePlan.asp</w:t>
        </w:r>
      </w:hyperlink>
    </w:p>
    <w:p w14:paraId="5FC99D20" w14:textId="77777777" w:rsidR="003A2748" w:rsidRDefault="003A2748" w:rsidP="003A2748">
      <w:pPr>
        <w:spacing w:line="240" w:lineRule="auto"/>
        <w:ind w:left="360"/>
        <w:rPr>
          <w:sz w:val="18"/>
          <w:szCs w:val="18"/>
        </w:rPr>
      </w:pPr>
      <w:r>
        <w:rPr>
          <w:sz w:val="18"/>
          <w:szCs w:val="18"/>
          <w:lang w:val="en" w:eastAsia="en-AU"/>
        </w:rPr>
        <w:t>The Department of Veterans' Affairs</w:t>
      </w:r>
      <w:r>
        <w:rPr>
          <w:sz w:val="18"/>
          <w:szCs w:val="18"/>
          <w:lang w:val="en" w:eastAsia="en-AU"/>
        </w:rPr>
        <w:br/>
      </w:r>
      <w:hyperlink r:id="rId12" w:history="1">
        <w:r w:rsidRPr="00E14D46">
          <w:rPr>
            <w:rStyle w:val="Hyperlink"/>
            <w:sz w:val="18"/>
            <w:szCs w:val="18"/>
          </w:rPr>
          <w:t>www.dva.gov.au/</w:t>
        </w:r>
        <w:r>
          <w:rPr>
            <w:rStyle w:val="Hyperlink"/>
            <w:sz w:val="18"/>
            <w:szCs w:val="18"/>
          </w:rPr>
          <w:t>technology-use-report</w:t>
        </w:r>
      </w:hyperlink>
    </w:p>
    <w:p w14:paraId="549DBE6C" w14:textId="77777777" w:rsidR="003A2748" w:rsidRDefault="003A2748" w:rsidP="003A2748">
      <w:pPr>
        <w:spacing w:line="240" w:lineRule="auto"/>
        <w:rPr>
          <w:sz w:val="18"/>
          <w:szCs w:val="18"/>
        </w:rPr>
      </w:pPr>
      <w:r>
        <w:rPr>
          <w:sz w:val="18"/>
          <w:szCs w:val="18"/>
        </w:rPr>
        <w:t>Published by the Department of Veterans’ Affairs, Canberra</w:t>
      </w:r>
    </w:p>
    <w:p w14:paraId="429F215B" w14:textId="77777777" w:rsidR="003A2748" w:rsidRDefault="003A2748" w:rsidP="003A2748">
      <w:pPr>
        <w:spacing w:line="240" w:lineRule="auto"/>
      </w:pPr>
      <w:r>
        <w:rPr>
          <w:sz w:val="18"/>
          <w:szCs w:val="18"/>
        </w:rPr>
        <w:t xml:space="preserve">Publication no: </w:t>
      </w:r>
      <w:r>
        <w:rPr>
          <w:color w:val="1F497D"/>
        </w:rPr>
        <w:t>P03637</w:t>
      </w:r>
    </w:p>
    <w:p w14:paraId="6DCF7E04" w14:textId="77777777" w:rsidR="00191932" w:rsidRDefault="00191932">
      <w:pPr>
        <w:sectPr w:rsidR="00191932" w:rsidSect="00FF5B5F">
          <w:headerReference w:type="even" r:id="rId13"/>
          <w:headerReference w:type="default" r:id="rId14"/>
          <w:footerReference w:type="even" r:id="rId15"/>
          <w:footerReference w:type="default" r:id="rId16"/>
          <w:headerReference w:type="first" r:id="rId17"/>
          <w:footerReference w:type="first" r:id="rId18"/>
          <w:pgSz w:w="9979" w:h="14170" w:code="243"/>
          <w:pgMar w:top="1440" w:right="1152" w:bottom="1440" w:left="1728" w:header="576" w:footer="576" w:gutter="0"/>
          <w:cols w:space="708"/>
          <w:docGrid w:linePitch="360"/>
        </w:sectPr>
      </w:pPr>
    </w:p>
    <w:p w14:paraId="4C22571D" w14:textId="77777777" w:rsidR="00F864EE" w:rsidRPr="00766F63" w:rsidRDefault="00276AE3" w:rsidP="00576B8E">
      <w:pPr>
        <w:pStyle w:val="Heading1"/>
        <w:numPr>
          <w:ilvl w:val="0"/>
          <w:numId w:val="0"/>
        </w:numPr>
        <w:spacing w:after="240"/>
      </w:pPr>
      <w:bookmarkStart w:id="1" w:name="_Toc531859154"/>
      <w:r w:rsidRPr="00276AE3">
        <w:lastRenderedPageBreak/>
        <w:t xml:space="preserve">Key </w:t>
      </w:r>
      <w:r w:rsidR="00F864EE">
        <w:t>finding</w:t>
      </w:r>
      <w:r w:rsidR="00F864EE" w:rsidRPr="00766F63">
        <w:t>s</w:t>
      </w:r>
      <w:bookmarkEnd w:id="1"/>
    </w:p>
    <w:p w14:paraId="5C74D085" w14:textId="52B06448" w:rsidR="00576B8E" w:rsidRPr="004C6CF5" w:rsidRDefault="00276AE3" w:rsidP="008F21B7">
      <w:pPr>
        <w:rPr>
          <w:rFonts w:asciiTheme="minorHAnsi" w:hAnsiTheme="minorHAnsi" w:cs="Times"/>
        </w:rPr>
      </w:pPr>
      <w:r w:rsidRPr="00276AE3">
        <w:t xml:space="preserve">The </w:t>
      </w:r>
      <w:r w:rsidRPr="00276AE3">
        <w:rPr>
          <w:i/>
        </w:rPr>
        <w:t>Technology Use and Wellbeing Report</w:t>
      </w:r>
      <w:r w:rsidRPr="00276AE3">
        <w:t xml:space="preserve"> is one of the first studies worldwide to investigate the use of the internet and new and emerging programs and technologies that support the wellbeing and mental health of serving and ex-serving military members.</w:t>
      </w:r>
      <w:r w:rsidR="00576B8E" w:rsidRPr="00576B8E">
        <w:rPr>
          <w:rFonts w:asciiTheme="minorHAnsi" w:hAnsiTheme="minorHAnsi" w:cs="Times"/>
        </w:rPr>
        <w:t xml:space="preserve"> </w:t>
      </w:r>
    </w:p>
    <w:p w14:paraId="0870681E" w14:textId="5403F11A" w:rsidR="00576B8E" w:rsidRPr="004C6CF5" w:rsidRDefault="00276AE3" w:rsidP="008F21B7">
      <w:pPr>
        <w:rPr>
          <w:rFonts w:asciiTheme="minorHAnsi" w:hAnsiTheme="minorHAnsi" w:cs="Times"/>
        </w:rPr>
      </w:pPr>
      <w:r w:rsidRPr="00276AE3">
        <w:t xml:space="preserve">This report is part of the Transition and Wellbeing Research Programme (Programme), which is the most comprehensive study undertaken in Australia on the impact of military service on the mental, physical and social health of serving and ex-serving ADF members and their families. The Programme is made up of three studies, with this report </w:t>
      </w:r>
      <w:r w:rsidR="00C3035C">
        <w:t>forming</w:t>
      </w:r>
      <w:r w:rsidR="00C3035C" w:rsidRPr="00276AE3">
        <w:t xml:space="preserve"> </w:t>
      </w:r>
      <w:r w:rsidRPr="00276AE3">
        <w:t>part of the Mental Health and Transition Study. The other two studies are Impact of Combat and Family Wellbeing.</w:t>
      </w:r>
      <w:r w:rsidR="00576B8E" w:rsidRPr="00576B8E">
        <w:rPr>
          <w:rFonts w:asciiTheme="minorHAnsi" w:hAnsiTheme="minorHAnsi" w:cs="Times"/>
        </w:rPr>
        <w:t xml:space="preserve"> </w:t>
      </w:r>
    </w:p>
    <w:p w14:paraId="5B570CA8" w14:textId="77777777" w:rsidR="00576B8E" w:rsidRPr="004C6CF5" w:rsidRDefault="00276AE3" w:rsidP="008F21B7">
      <w:pPr>
        <w:rPr>
          <w:rFonts w:asciiTheme="minorHAnsi" w:hAnsiTheme="minorHAnsi" w:cs="Times"/>
        </w:rPr>
      </w:pPr>
      <w:r w:rsidRPr="00276AE3">
        <w:t>Specifically, this report investigates technology and its use for physical and mental health programs, including implications for future health-service delivery in the ADF and veteran community. The study populations for this report are:</w:t>
      </w:r>
      <w:r w:rsidR="00576B8E" w:rsidRPr="00576B8E">
        <w:rPr>
          <w:rFonts w:asciiTheme="minorHAnsi" w:hAnsiTheme="minorHAnsi" w:cs="Times"/>
        </w:rPr>
        <w:t xml:space="preserve"> </w:t>
      </w:r>
    </w:p>
    <w:p w14:paraId="358D66FE" w14:textId="6A672F95" w:rsidR="00576B8E" w:rsidRPr="00576B8E" w:rsidRDefault="00276AE3" w:rsidP="008F21B7">
      <w:pPr>
        <w:pStyle w:val="Bullet"/>
        <w:rPr>
          <w:rFonts w:asciiTheme="minorHAnsi" w:hAnsiTheme="minorHAnsi" w:cs="Times"/>
        </w:rPr>
      </w:pPr>
      <w:r w:rsidRPr="00576B8E">
        <w:t xml:space="preserve">ADF members who transitioned from the Regular ADF between 2010 and 2014 (including Ex-Serving, Active and Inactive Reservists) </w:t>
      </w:r>
    </w:p>
    <w:p w14:paraId="0CB4EF93" w14:textId="77777777" w:rsidR="00576B8E" w:rsidRPr="00576B8E" w:rsidRDefault="00276AE3" w:rsidP="008F21B7">
      <w:pPr>
        <w:pStyle w:val="Bullet"/>
        <w:rPr>
          <w:rFonts w:asciiTheme="minorHAnsi" w:hAnsiTheme="minorHAnsi" w:cs="Times"/>
        </w:rPr>
      </w:pPr>
      <w:r w:rsidRPr="00576B8E">
        <w:t>a random sample of Regular ADF members serving in 2015</w:t>
      </w:r>
    </w:p>
    <w:p w14:paraId="145790F4" w14:textId="77777777" w:rsidR="00576B8E" w:rsidRPr="00576B8E" w:rsidRDefault="00276AE3" w:rsidP="008F21B7">
      <w:pPr>
        <w:pStyle w:val="Bullet"/>
        <w:rPr>
          <w:rFonts w:asciiTheme="minorHAnsi" w:hAnsiTheme="minorHAnsi" w:cs="Times"/>
        </w:rPr>
      </w:pPr>
      <w:r w:rsidRPr="00576B8E">
        <w:t>2015 Regular ADF and Transitioned ADF members who participated in the 2010 Military Health Outcomes Program or MilHOP.</w:t>
      </w:r>
      <w:r w:rsidR="00576B8E" w:rsidRPr="00576B8E">
        <w:rPr>
          <w:rFonts w:asciiTheme="minorHAnsi" w:hAnsiTheme="minorHAnsi" w:cs="Times"/>
        </w:rPr>
        <w:t xml:space="preserve"> </w:t>
      </w:r>
    </w:p>
    <w:p w14:paraId="7E609D1B" w14:textId="1BFC7926" w:rsidR="00576B8E" w:rsidRPr="004C6CF5" w:rsidRDefault="00276AE3" w:rsidP="008F21B7">
      <w:pPr>
        <w:rPr>
          <w:rFonts w:asciiTheme="minorHAnsi" w:hAnsiTheme="minorHAnsi" w:cs="Times"/>
        </w:rPr>
      </w:pPr>
      <w:r w:rsidRPr="00276AE3">
        <w:t xml:space="preserve">Comparisons </w:t>
      </w:r>
      <w:r w:rsidR="00C3035C" w:rsidRPr="00276AE3">
        <w:t xml:space="preserve">are also made </w:t>
      </w:r>
      <w:r w:rsidRPr="00276AE3">
        <w:t xml:space="preserve">between the Transitioned and the 2015 Regular ADF and the </w:t>
      </w:r>
      <w:r w:rsidR="00C3035C">
        <w:t xml:space="preserve">broader </w:t>
      </w:r>
      <w:r w:rsidRPr="00276AE3">
        <w:t xml:space="preserve">Australian community using Young and Well National Survey data. These comparisons aimed </w:t>
      </w:r>
      <w:r w:rsidRPr="00276AE3">
        <w:rPr>
          <w:lang w:val="en-GB"/>
        </w:rPr>
        <w:t xml:space="preserve">to situate the Transitioned ADF in the context of the civilian population. </w:t>
      </w:r>
    </w:p>
    <w:p w14:paraId="5B78050D" w14:textId="1A72B1C9" w:rsidR="00576B8E" w:rsidRPr="004C6CF5" w:rsidRDefault="00276AE3" w:rsidP="008F21B7">
      <w:pPr>
        <w:rPr>
          <w:rFonts w:asciiTheme="minorHAnsi" w:hAnsiTheme="minorHAnsi" w:cs="Times"/>
        </w:rPr>
      </w:pPr>
      <w:r w:rsidRPr="00276AE3">
        <w:t>Building on the results of the first two Transition and Wellbeing Research Programme reports (Van Hooff et al., 2018</w:t>
      </w:r>
      <w:r w:rsidR="00483990">
        <w:t>a</w:t>
      </w:r>
      <w:r w:rsidRPr="00276AE3">
        <w:t>; Forbes et al., 2018) th</w:t>
      </w:r>
      <w:r w:rsidR="00C3035C">
        <w:t>is</w:t>
      </w:r>
      <w:r w:rsidRPr="00276AE3">
        <w:t xml:space="preserve"> </w:t>
      </w:r>
      <w:r w:rsidRPr="00276AE3">
        <w:rPr>
          <w:i/>
        </w:rPr>
        <w:t>Technology Use and Wellbeing Report</w:t>
      </w:r>
      <w:r w:rsidRPr="00276AE3">
        <w:t xml:space="preserve"> found that:</w:t>
      </w:r>
      <w:r w:rsidR="00576B8E" w:rsidRPr="00576B8E">
        <w:rPr>
          <w:rFonts w:asciiTheme="minorHAnsi" w:hAnsiTheme="minorHAnsi" w:cs="Times"/>
        </w:rPr>
        <w:t xml:space="preserve"> </w:t>
      </w:r>
    </w:p>
    <w:p w14:paraId="2666A176" w14:textId="69BB61F0" w:rsidR="00576B8E" w:rsidRPr="00576B8E" w:rsidRDefault="00E71463" w:rsidP="008F21B7">
      <w:pPr>
        <w:pStyle w:val="Bullet"/>
        <w:rPr>
          <w:rFonts w:asciiTheme="minorHAnsi" w:hAnsiTheme="minorHAnsi" w:cs="Times"/>
        </w:rPr>
      </w:pPr>
      <w:r>
        <w:t xml:space="preserve">the </w:t>
      </w:r>
      <w:r w:rsidR="00C3035C" w:rsidRPr="00276AE3">
        <w:t>Transitioned ADF and 2015 Regular ADF</w:t>
      </w:r>
      <w:r w:rsidR="00C3035C" w:rsidRPr="00576B8E">
        <w:t xml:space="preserve"> </w:t>
      </w:r>
      <w:r w:rsidR="00276AE3" w:rsidRPr="00576B8E">
        <w:t xml:space="preserve">were high users of the </w:t>
      </w:r>
      <w:r w:rsidR="00C3035C">
        <w:t>i</w:t>
      </w:r>
      <w:r w:rsidR="00276AE3" w:rsidRPr="00576B8E">
        <w:t xml:space="preserve">nternet </w:t>
      </w:r>
    </w:p>
    <w:p w14:paraId="4A4CE842" w14:textId="1A855874" w:rsidR="00576B8E" w:rsidRPr="00576B8E" w:rsidRDefault="00C3035C" w:rsidP="008F21B7">
      <w:pPr>
        <w:pStyle w:val="Bullet"/>
        <w:rPr>
          <w:rFonts w:asciiTheme="minorHAnsi" w:hAnsiTheme="minorHAnsi" w:cs="Times"/>
        </w:rPr>
      </w:pPr>
      <w:r>
        <w:t xml:space="preserve">they were also </w:t>
      </w:r>
      <w:r w:rsidR="00276AE3" w:rsidRPr="00576B8E">
        <w:t xml:space="preserve">were high users of </w:t>
      </w:r>
      <w:r>
        <w:t>a</w:t>
      </w:r>
      <w:r w:rsidR="00276AE3" w:rsidRPr="00576B8E">
        <w:t>pps</w:t>
      </w:r>
    </w:p>
    <w:p w14:paraId="03771541" w14:textId="40B5CC60" w:rsidR="00576B8E" w:rsidRPr="00576B8E" w:rsidRDefault="00276AE3" w:rsidP="008F21B7">
      <w:pPr>
        <w:pStyle w:val="Bullet"/>
        <w:rPr>
          <w:rFonts w:asciiTheme="minorHAnsi" w:hAnsiTheme="minorHAnsi" w:cs="Times"/>
        </w:rPr>
      </w:pPr>
      <w:r w:rsidRPr="00576B8E">
        <w:t>one</w:t>
      </w:r>
      <w:r w:rsidR="0067118F">
        <w:t xml:space="preserve"> </w:t>
      </w:r>
      <w:r w:rsidRPr="00576B8E">
        <w:t xml:space="preserve">third </w:t>
      </w:r>
      <w:r w:rsidR="00C3035C">
        <w:t xml:space="preserve">of them </w:t>
      </w:r>
      <w:r w:rsidRPr="00576B8E">
        <w:t>used wearable devices that enabled them to monitor and manage their health and wellbeing.</w:t>
      </w:r>
      <w:r w:rsidR="00576B8E" w:rsidRPr="00576B8E">
        <w:rPr>
          <w:rFonts w:asciiTheme="minorHAnsi" w:hAnsiTheme="minorHAnsi" w:cs="Times"/>
        </w:rPr>
        <w:t xml:space="preserve"> </w:t>
      </w:r>
    </w:p>
    <w:p w14:paraId="0A7719F6" w14:textId="35270D3C" w:rsidR="00576B8E" w:rsidRPr="004C6CF5" w:rsidRDefault="00276AE3" w:rsidP="008F21B7">
      <w:pPr>
        <w:rPr>
          <w:rFonts w:asciiTheme="minorHAnsi" w:hAnsiTheme="minorHAnsi" w:cs="Times"/>
        </w:rPr>
      </w:pPr>
      <w:r w:rsidRPr="00276AE3">
        <w:t xml:space="preserve">These findings suggest </w:t>
      </w:r>
      <w:r w:rsidR="00E71463">
        <w:t xml:space="preserve">that </w:t>
      </w:r>
      <w:r w:rsidRPr="00276AE3">
        <w:t xml:space="preserve">further potential exists for the use of evidenced-based new and emerging technologies for the self-management of serving and ex-serving ADF members’ wellbeing and mental health. </w:t>
      </w:r>
    </w:p>
    <w:p w14:paraId="162BA073" w14:textId="63F94D0D" w:rsidR="00276AE3" w:rsidRDefault="00276AE3" w:rsidP="008F21B7">
      <w:pPr>
        <w:rPr>
          <w:rFonts w:asciiTheme="minorHAnsi" w:hAnsiTheme="minorHAnsi" w:cs="Times"/>
        </w:rPr>
      </w:pPr>
      <w:r w:rsidRPr="00276AE3">
        <w:t xml:space="preserve">Further results are summarised in the </w:t>
      </w:r>
      <w:r w:rsidR="00CD4A2C">
        <w:t>k</w:t>
      </w:r>
      <w:r w:rsidRPr="00276AE3">
        <w:t xml:space="preserve">ey </w:t>
      </w:r>
      <w:r w:rsidR="00CD4A2C">
        <w:t>f</w:t>
      </w:r>
      <w:r w:rsidRPr="00276AE3">
        <w:t>indings below. Wh</w:t>
      </w:r>
      <w:r w:rsidR="00CD4A2C">
        <w:t>en</w:t>
      </w:r>
      <w:r w:rsidRPr="00276AE3">
        <w:t xml:space="preserve"> reading the</w:t>
      </w:r>
      <w:r w:rsidR="00CD4A2C">
        <w:t>se</w:t>
      </w:r>
      <w:r w:rsidRPr="00276AE3">
        <w:t xml:space="preserve"> findings it is important to remember that references to the ‘last 12 months’ refer to the 12</w:t>
      </w:r>
      <w:r w:rsidR="00CD4A2C">
        <w:t> </w:t>
      </w:r>
      <w:r w:rsidRPr="00276AE3">
        <w:t>months before the date of participation in the study</w:t>
      </w:r>
      <w:r w:rsidR="00CD4A2C">
        <w:t>,</w:t>
      </w:r>
      <w:r w:rsidRPr="00276AE3">
        <w:t xml:space="preserve"> with all data collection having been undertaken between 1 June and 31 December 2015. Please refer to the glossary for definitions of key terms.</w:t>
      </w:r>
      <w:r w:rsidR="00576B8E" w:rsidRPr="00576B8E">
        <w:rPr>
          <w:rFonts w:asciiTheme="minorHAnsi" w:hAnsiTheme="minorHAnsi" w:cs="Times"/>
        </w:rPr>
        <w:t xml:space="preserve"> </w:t>
      </w:r>
    </w:p>
    <w:p w14:paraId="13FFE312" w14:textId="77777777" w:rsidR="008F21B7" w:rsidRPr="00CC1D41" w:rsidRDefault="008F21B7" w:rsidP="008F21B7">
      <w:pPr>
        <w:pStyle w:val="ShadedBoxTitle"/>
      </w:pPr>
      <w:r w:rsidRPr="003A6C9B">
        <w:rPr>
          <w:w w:val="105"/>
        </w:rPr>
        <w:t xml:space="preserve">Demographic characteristics </w:t>
      </w:r>
      <w:r>
        <w:rPr>
          <w:w w:val="105"/>
        </w:rPr>
        <w:t>of</w:t>
      </w:r>
      <w:r w:rsidRPr="003A6C9B">
        <w:rPr>
          <w:w w:val="105"/>
        </w:rPr>
        <w:t xml:space="preserve"> the Transitioned ADF and 2015 Regular ADF</w:t>
      </w:r>
    </w:p>
    <w:p w14:paraId="5AB6E4BB" w14:textId="77777777" w:rsidR="008F21B7" w:rsidRPr="00CC1D41" w:rsidRDefault="008F21B7" w:rsidP="00133458">
      <w:pPr>
        <w:pStyle w:val="ShadedBullet"/>
      </w:pPr>
      <w:r w:rsidRPr="00AF706B">
        <w:t xml:space="preserve">More than half of Transitioned ADF members remained in the ADF as Reservists (55.8%). </w:t>
      </w:r>
      <w:r>
        <w:t xml:space="preserve">Of Transitioned ADF, 25.7% </w:t>
      </w:r>
      <w:r w:rsidRPr="00AF706B">
        <w:t>were Active Reservists.</w:t>
      </w:r>
      <w:r w:rsidRPr="00CC1D41">
        <w:t xml:space="preserve"> </w:t>
      </w:r>
    </w:p>
    <w:p w14:paraId="3571C6CE" w14:textId="77777777" w:rsidR="008F21B7" w:rsidRPr="00CC1D41" w:rsidRDefault="008F21B7" w:rsidP="00133458">
      <w:pPr>
        <w:pStyle w:val="ShadedBullet"/>
      </w:pPr>
      <w:r w:rsidRPr="00AF706B">
        <w:t>Just over one</w:t>
      </w:r>
      <w:r>
        <w:t xml:space="preserve"> </w:t>
      </w:r>
      <w:r w:rsidRPr="00AF706B">
        <w:t>fifth of the Transitioned ADF were estimated to have been medically discharged.</w:t>
      </w:r>
      <w:r w:rsidRPr="00CC1D41">
        <w:t xml:space="preserve"> </w:t>
      </w:r>
    </w:p>
    <w:p w14:paraId="68E4A3C0" w14:textId="77777777" w:rsidR="008F21B7" w:rsidRPr="00CC1D41" w:rsidRDefault="008F21B7" w:rsidP="00133458">
      <w:pPr>
        <w:pStyle w:val="ShadedBullet"/>
      </w:pPr>
      <w:r w:rsidRPr="00AF706B">
        <w:t>The most commonly reported reasons for transition were ‘impact of service life on family’ (10.2%), ‘better employment prospects in civilian life’ (7.2%), ‘mental health problems’ (6.5%) and ‘physical health problems’ (4.3%).</w:t>
      </w:r>
    </w:p>
    <w:p w14:paraId="266AF191" w14:textId="77777777" w:rsidR="008F21B7" w:rsidRPr="00CC1D41" w:rsidRDefault="008F21B7" w:rsidP="00133458">
      <w:pPr>
        <w:pStyle w:val="ShadedBullet"/>
      </w:pPr>
      <w:r w:rsidRPr="00515857">
        <w:t>Approximately 84% of the Transitioned ADF were either working or engaged in some purposeful activity</w:t>
      </w:r>
      <w:r>
        <w:t>,</w:t>
      </w:r>
      <w:r w:rsidRPr="00515857">
        <w:t xml:space="preserve"> with 62.8% being employed. Just over 5.5% of the Transitioned ADF had retired.</w:t>
      </w:r>
      <w:r w:rsidRPr="00CC1D41">
        <w:t xml:space="preserve"> </w:t>
      </w:r>
    </w:p>
    <w:p w14:paraId="6FC201F8" w14:textId="77777777" w:rsidR="008F21B7" w:rsidRPr="00CC1D41" w:rsidRDefault="008F21B7" w:rsidP="00133458">
      <w:pPr>
        <w:pStyle w:val="ShadedBullet"/>
      </w:pPr>
      <w:r w:rsidRPr="00AF706B">
        <w:t>More than 43% of Transitioned ADF members reported accessing DVA-funded treatment through either a DVA White Card (39.4%) or DVA Gold Card (4.2%).</w:t>
      </w:r>
    </w:p>
    <w:p w14:paraId="00D26D13" w14:textId="77777777" w:rsidR="008F21B7" w:rsidRPr="00CC1D41" w:rsidRDefault="008F21B7" w:rsidP="00133458">
      <w:pPr>
        <w:pStyle w:val="ShadedBullet"/>
      </w:pPr>
      <w:r w:rsidRPr="00AF706B">
        <w:t>Just over 40% of the Transitioned ADF and 36% of the 2015 Regular ADF reported having a diploma or university qualification.</w:t>
      </w:r>
      <w:r w:rsidRPr="00CC1D41">
        <w:t xml:space="preserve"> </w:t>
      </w:r>
    </w:p>
    <w:p w14:paraId="23AF2D9F" w14:textId="77777777" w:rsidR="008F21B7" w:rsidRPr="00CC1D41" w:rsidRDefault="008F21B7" w:rsidP="00133458">
      <w:pPr>
        <w:pStyle w:val="ShadedBullet"/>
      </w:pPr>
      <w:r w:rsidRPr="00AF706B">
        <w:t>There were no significant differences in housing stability between the Transitioned ADF and the 2015 Regular ADF, with more than 93% estimated to have been in stable housing in the previous two months.</w:t>
      </w:r>
      <w:r w:rsidRPr="00CC1D41">
        <w:t xml:space="preserve"> </w:t>
      </w:r>
    </w:p>
    <w:p w14:paraId="1275FDB0" w14:textId="77777777" w:rsidR="008F21B7" w:rsidRDefault="008F21B7" w:rsidP="00133458">
      <w:pPr>
        <w:pStyle w:val="ShadedBullet"/>
      </w:pPr>
      <w:r w:rsidRPr="00AF706B">
        <w:t>Twice as many members of the Transitioned ADF were classified as medically unfit compared to the 2015 Regular ADF.</w:t>
      </w:r>
      <w:r w:rsidRPr="00CC1D41">
        <w:t xml:space="preserve"> </w:t>
      </w:r>
    </w:p>
    <w:p w14:paraId="37BFB32C" w14:textId="77777777" w:rsidR="008F21B7" w:rsidRPr="00276AE3" w:rsidRDefault="008F21B7" w:rsidP="00133458"/>
    <w:p w14:paraId="5BCCEA5D" w14:textId="77777777" w:rsidR="008F21B7" w:rsidRDefault="008F21B7" w:rsidP="008F21B7">
      <w:pPr>
        <w:pStyle w:val="ShadedBoxTitle"/>
      </w:pPr>
      <w:r w:rsidRPr="00C87D9F">
        <w:rPr>
          <w:w w:val="105"/>
        </w:rPr>
        <w:t>Internet use and attitudes to using the internet in Transitioned ADF and 2015 Regular</w:t>
      </w:r>
      <w:r>
        <w:rPr>
          <w:w w:val="105"/>
        </w:rPr>
        <w:t xml:space="preserve"> </w:t>
      </w:r>
      <w:r w:rsidRPr="00C87D9F">
        <w:rPr>
          <w:w w:val="105"/>
        </w:rPr>
        <w:t>ADF</w:t>
      </w:r>
      <w:r w:rsidRPr="00C87D9F">
        <w:t xml:space="preserve"> </w:t>
      </w:r>
    </w:p>
    <w:p w14:paraId="5F47E7B8" w14:textId="77777777" w:rsidR="008F21B7" w:rsidRPr="00CC1D41" w:rsidRDefault="008F21B7" w:rsidP="00133458">
      <w:pPr>
        <w:pStyle w:val="ShadedBoxSubheading"/>
      </w:pPr>
      <w:r w:rsidRPr="00C87D9F">
        <w:t>Frequency, duration and timing of internet use</w:t>
      </w:r>
    </w:p>
    <w:p w14:paraId="64917A4C" w14:textId="77777777" w:rsidR="008F21B7" w:rsidRPr="00CC1D41" w:rsidRDefault="008F21B7" w:rsidP="00133458">
      <w:pPr>
        <w:pStyle w:val="ShadedBullet"/>
      </w:pPr>
      <w:r w:rsidRPr="00666A33">
        <w:t xml:space="preserve">Internet use among Transitioned ADF and 2015 Regular ADF was high, with over 95% using the internet at least every day. </w:t>
      </w:r>
    </w:p>
    <w:p w14:paraId="3C0DAA80" w14:textId="77777777" w:rsidR="008F21B7" w:rsidRPr="00CC1D41" w:rsidRDefault="008F21B7" w:rsidP="00133458">
      <w:pPr>
        <w:pStyle w:val="ShadedBullet"/>
      </w:pPr>
      <w:r w:rsidRPr="00666A33">
        <w:t>Approximately half of the Transitioned ADF and 2015 Regular ADF reported using the internet 1</w:t>
      </w:r>
      <w:r>
        <w:t>–</w:t>
      </w:r>
      <w:r w:rsidRPr="00666A33">
        <w:t>2 hours daily, while approximately a quarter used it 3</w:t>
      </w:r>
      <w:r>
        <w:t>–</w:t>
      </w:r>
      <w:r w:rsidRPr="00666A33">
        <w:t xml:space="preserve">4 hours daily. </w:t>
      </w:r>
    </w:p>
    <w:p w14:paraId="7352B1C2" w14:textId="77777777" w:rsidR="008F21B7" w:rsidRPr="00CC1D41" w:rsidRDefault="008F21B7" w:rsidP="00133458">
      <w:pPr>
        <w:pStyle w:val="ShadedBullet"/>
      </w:pPr>
      <w:r w:rsidRPr="00666A33">
        <w:t xml:space="preserve">Use of the internet after </w:t>
      </w:r>
      <w:r>
        <w:t>11 pm</w:t>
      </w:r>
      <w:r w:rsidRPr="00666A33">
        <w:t xml:space="preserve"> was common in one third of the Transitioned ADF and one quarter of the 2015 Regular ADF.</w:t>
      </w:r>
      <w:r w:rsidRPr="00CC1D41">
        <w:t xml:space="preserve"> </w:t>
      </w:r>
    </w:p>
    <w:p w14:paraId="467A67B2" w14:textId="77777777" w:rsidR="008F21B7" w:rsidRPr="00CC1D41" w:rsidRDefault="008F21B7" w:rsidP="00133458">
      <w:pPr>
        <w:pStyle w:val="ShadedBoxSubheading"/>
      </w:pPr>
      <w:r w:rsidRPr="00C87D9F">
        <w:t>Attitudes to using the internet</w:t>
      </w:r>
    </w:p>
    <w:p w14:paraId="60E8FA0B" w14:textId="77777777" w:rsidR="008F21B7" w:rsidRPr="00CC1D41" w:rsidRDefault="008F21B7" w:rsidP="00133458">
      <w:pPr>
        <w:pStyle w:val="ShadedBullet"/>
      </w:pPr>
      <w:r w:rsidRPr="00C87D9F">
        <w:t xml:space="preserve">One in four Transitioned ADF </w:t>
      </w:r>
      <w:r>
        <w:t xml:space="preserve">and 2015 Regular ADF </w:t>
      </w:r>
      <w:r w:rsidRPr="00C87D9F">
        <w:t>reported that they talked about different things with people online than face to face, and that they went online when going through a difficult time.</w:t>
      </w:r>
      <w:r w:rsidRPr="00CC1D41">
        <w:t xml:space="preserve"> </w:t>
      </w:r>
    </w:p>
    <w:p w14:paraId="64CD64CA" w14:textId="77777777" w:rsidR="008F21B7" w:rsidRPr="00CC1D41" w:rsidRDefault="008F21B7" w:rsidP="00133458">
      <w:pPr>
        <w:pStyle w:val="ShadedBullet"/>
      </w:pPr>
      <w:r w:rsidRPr="00C87D9F">
        <w:t xml:space="preserve">One in five Transitioned ADF and 2015 Regular ADF reported that going online when going through a difficult time made them feel better. </w:t>
      </w:r>
    </w:p>
    <w:p w14:paraId="36A08FB2" w14:textId="77777777" w:rsidR="008F21B7" w:rsidRPr="00CC1D41" w:rsidRDefault="008F21B7" w:rsidP="00133458">
      <w:pPr>
        <w:pStyle w:val="ShadedBoxSubheading"/>
      </w:pPr>
      <w:r w:rsidRPr="00C87D9F">
        <w:t>Probable 30-</w:t>
      </w:r>
      <w:r>
        <w:t>d</w:t>
      </w:r>
      <w:r w:rsidRPr="00C87D9F">
        <w:t>ay disorder and duration and timing of internet use</w:t>
      </w:r>
    </w:p>
    <w:p w14:paraId="48B5723C" w14:textId="77777777" w:rsidR="008F21B7" w:rsidRPr="00CC1D41" w:rsidRDefault="008F21B7" w:rsidP="00133458">
      <w:pPr>
        <w:pStyle w:val="ShadedBullet"/>
      </w:pPr>
      <w:r w:rsidRPr="00666A33">
        <w:rPr>
          <w:lang w:eastAsia="en-AU"/>
        </w:rPr>
        <w:t>Transitioned ADF and 2015 Regular ADF with a probable disorder spent more hours on the internet than those without</w:t>
      </w:r>
      <w:r>
        <w:rPr>
          <w:lang w:eastAsia="en-AU"/>
        </w:rPr>
        <w:t xml:space="preserve"> a probable disorder</w:t>
      </w:r>
      <w:r w:rsidRPr="00666A33">
        <w:rPr>
          <w:lang w:eastAsia="en-AU"/>
        </w:rPr>
        <w:t xml:space="preserve">. </w:t>
      </w:r>
    </w:p>
    <w:p w14:paraId="73EC4814" w14:textId="77777777" w:rsidR="008F21B7" w:rsidRPr="00CC1D41" w:rsidRDefault="008F21B7" w:rsidP="00133458">
      <w:pPr>
        <w:pStyle w:val="ShadedBullet"/>
      </w:pPr>
      <w:r w:rsidRPr="00666A33">
        <w:rPr>
          <w:lang w:eastAsia="en-AU"/>
        </w:rPr>
        <w:t xml:space="preserve">Among the Transitioned ADF, </w:t>
      </w:r>
      <w:r>
        <w:rPr>
          <w:lang w:eastAsia="en-AU"/>
        </w:rPr>
        <w:t>those with</w:t>
      </w:r>
      <w:r w:rsidRPr="003038B1">
        <w:rPr>
          <w:lang w:eastAsia="en-AU"/>
        </w:rPr>
        <w:t xml:space="preserve"> a probable disorder </w:t>
      </w:r>
      <w:r>
        <w:rPr>
          <w:lang w:eastAsia="en-AU"/>
        </w:rPr>
        <w:t xml:space="preserve">were significantly more likely to </w:t>
      </w:r>
      <w:r w:rsidRPr="003038B1">
        <w:rPr>
          <w:lang w:eastAsia="en-AU"/>
        </w:rPr>
        <w:t xml:space="preserve">report </w:t>
      </w:r>
      <w:r>
        <w:rPr>
          <w:lang w:eastAsia="en-AU"/>
        </w:rPr>
        <w:t>using the internet</w:t>
      </w:r>
      <w:r w:rsidRPr="003038B1">
        <w:rPr>
          <w:lang w:eastAsia="en-AU"/>
        </w:rPr>
        <w:t xml:space="preserve"> after </w:t>
      </w:r>
      <w:r>
        <w:rPr>
          <w:lang w:eastAsia="en-AU"/>
        </w:rPr>
        <w:t>11 pm</w:t>
      </w:r>
      <w:r w:rsidRPr="003038B1">
        <w:rPr>
          <w:lang w:eastAsia="en-AU"/>
        </w:rPr>
        <w:t xml:space="preserve"> </w:t>
      </w:r>
      <w:r>
        <w:rPr>
          <w:lang w:eastAsia="en-AU"/>
        </w:rPr>
        <w:t xml:space="preserve">compared to those without a probable disorder </w:t>
      </w:r>
      <w:r w:rsidRPr="00666A33">
        <w:rPr>
          <w:lang w:eastAsia="en-AU"/>
        </w:rPr>
        <w:t>(45.1% vs 28.4%)</w:t>
      </w:r>
      <w:r>
        <w:rPr>
          <w:lang w:eastAsia="en-AU"/>
        </w:rPr>
        <w:t>.</w:t>
      </w:r>
      <w:r w:rsidRPr="00666A33">
        <w:rPr>
          <w:lang w:eastAsia="en-AU"/>
        </w:rPr>
        <w:t xml:space="preserve"> </w:t>
      </w:r>
    </w:p>
    <w:p w14:paraId="4A9610C4" w14:textId="77777777" w:rsidR="008F21B7" w:rsidRPr="00CC1D41" w:rsidRDefault="008F21B7" w:rsidP="00133458">
      <w:pPr>
        <w:pStyle w:val="ShadedBoxSubheading"/>
      </w:pPr>
      <w:r w:rsidRPr="00C87D9F">
        <w:t>Probable 30-day disorder and attitudes to using the internet</w:t>
      </w:r>
    </w:p>
    <w:p w14:paraId="7A0DFF73" w14:textId="77777777" w:rsidR="008F21B7" w:rsidRPr="00CC1D41" w:rsidRDefault="008F21B7" w:rsidP="00133458">
      <w:pPr>
        <w:pStyle w:val="ShadedBullet"/>
      </w:pPr>
      <w:r w:rsidRPr="00666A33">
        <w:t>For the Transitioned ADF and Regular ADF, those with a probable disorder were significantly more likely than those without a probable disorder to report that</w:t>
      </w:r>
      <w:r>
        <w:t xml:space="preserve"> </w:t>
      </w:r>
      <w:r w:rsidRPr="00666A33">
        <w:t>it was easier to be themselves online</w:t>
      </w:r>
      <w:r>
        <w:t xml:space="preserve">, and </w:t>
      </w:r>
      <w:r w:rsidRPr="00666A33">
        <w:t>they talked about private things when online.</w:t>
      </w:r>
      <w:r w:rsidRPr="00CC1D41">
        <w:t xml:space="preserve"> </w:t>
      </w:r>
    </w:p>
    <w:p w14:paraId="060DCD3A" w14:textId="77777777" w:rsidR="008F21B7" w:rsidRDefault="008F21B7" w:rsidP="00133458">
      <w:pPr>
        <w:pStyle w:val="ShadedBullet"/>
      </w:pPr>
      <w:r w:rsidRPr="00666A33">
        <w:t>Transitioned ADF with a probable disorder were significantly more likely than those without a probable disorder to report that</w:t>
      </w:r>
      <w:r>
        <w:t xml:space="preserve"> </w:t>
      </w:r>
      <w:r w:rsidRPr="00666A33">
        <w:t>they talked about different things with people online</w:t>
      </w:r>
      <w:r>
        <w:t xml:space="preserve">, </w:t>
      </w:r>
      <w:r w:rsidRPr="00666A33">
        <w:t>they went online more often when going through a difficult time</w:t>
      </w:r>
      <w:r>
        <w:t xml:space="preserve">, and </w:t>
      </w:r>
      <w:r w:rsidRPr="00666A33">
        <w:t>when they are going through a difficult time and they went online it made them feel better.</w:t>
      </w:r>
      <w:r w:rsidRPr="00CC1D41">
        <w:t xml:space="preserve"> </w:t>
      </w:r>
    </w:p>
    <w:p w14:paraId="03AF2993" w14:textId="77777777" w:rsidR="00133458" w:rsidRPr="00CC1D41" w:rsidRDefault="00133458" w:rsidP="00133458"/>
    <w:p w14:paraId="5A86D381" w14:textId="77777777" w:rsidR="008F21B7" w:rsidRPr="00CC1D41" w:rsidRDefault="008F21B7" w:rsidP="00133458">
      <w:pPr>
        <w:pStyle w:val="ShadedBoxTitle"/>
      </w:pPr>
      <w:r w:rsidRPr="00C87D9F">
        <w:rPr>
          <w:w w:val="105"/>
        </w:rPr>
        <w:t xml:space="preserve">Use of new and emerging technology in Transitioned </w:t>
      </w:r>
      <w:r>
        <w:rPr>
          <w:w w:val="105"/>
        </w:rPr>
        <w:t xml:space="preserve">ADF </w:t>
      </w:r>
      <w:r w:rsidRPr="00C87D9F">
        <w:rPr>
          <w:w w:val="105"/>
        </w:rPr>
        <w:t>and 2015 Regular ADF</w:t>
      </w:r>
    </w:p>
    <w:p w14:paraId="016CE6DD" w14:textId="77777777" w:rsidR="008F21B7" w:rsidRPr="00CC1D41" w:rsidRDefault="008F21B7" w:rsidP="00133458">
      <w:pPr>
        <w:pStyle w:val="ShadedBoxSubheading"/>
      </w:pPr>
      <w:r w:rsidRPr="00C87D9F">
        <w:t xml:space="preserve">Use of </w:t>
      </w:r>
      <w:r>
        <w:t>a</w:t>
      </w:r>
      <w:r w:rsidRPr="00C87D9F">
        <w:t>pps and wearable devices</w:t>
      </w:r>
    </w:p>
    <w:p w14:paraId="49E16E72" w14:textId="77777777" w:rsidR="008F21B7" w:rsidRPr="00CC1D41" w:rsidRDefault="008F21B7" w:rsidP="00133458">
      <w:pPr>
        <w:pStyle w:val="ShadedBullet"/>
      </w:pPr>
      <w:r w:rsidRPr="00DE4E76">
        <w:t xml:space="preserve">Half of the Transitioned ADF and 2015 Regular ADF reported using new and emerging technologies. Of these, over 80% used </w:t>
      </w:r>
      <w:r>
        <w:t>a</w:t>
      </w:r>
      <w:r w:rsidRPr="00DE4E76">
        <w:t>pps</w:t>
      </w:r>
      <w:r>
        <w:t>,</w:t>
      </w:r>
      <w:r w:rsidRPr="00DE4E76">
        <w:t xml:space="preserve"> while almost a third used wearable devices. </w:t>
      </w:r>
    </w:p>
    <w:p w14:paraId="6856F42A" w14:textId="77777777" w:rsidR="008F21B7" w:rsidRPr="00CC1D41" w:rsidRDefault="008F21B7" w:rsidP="00133458">
      <w:pPr>
        <w:pStyle w:val="ShadedBullet"/>
      </w:pPr>
      <w:r w:rsidRPr="00DE4E76">
        <w:t xml:space="preserve">Of those who </w:t>
      </w:r>
      <w:r>
        <w:t>did</w:t>
      </w:r>
      <w:r w:rsidRPr="00DE4E76">
        <w:t xml:space="preserve"> not use new and emerging technologies, about three quarters did not use them because they had ‘no need or interest’, it was ‘too expensive’ or it was a ‘privacy issue’. </w:t>
      </w:r>
    </w:p>
    <w:p w14:paraId="6AE1D203" w14:textId="77777777" w:rsidR="008F21B7" w:rsidRPr="00CC1D41" w:rsidRDefault="008F21B7" w:rsidP="00133458">
      <w:pPr>
        <w:pStyle w:val="ShadedBullet"/>
      </w:pPr>
      <w:r w:rsidRPr="00DE4E76">
        <w:t>Of the Transitioned ADF and 2015 Regular ADF who use</w:t>
      </w:r>
      <w:r>
        <w:t>d</w:t>
      </w:r>
      <w:r w:rsidRPr="00DE4E76">
        <w:t xml:space="preserve"> </w:t>
      </w:r>
      <w:r>
        <w:t>a</w:t>
      </w:r>
      <w:r w:rsidRPr="00DE4E76">
        <w:t xml:space="preserve">pps and </w:t>
      </w:r>
      <w:r>
        <w:t>w</w:t>
      </w:r>
      <w:r w:rsidRPr="00DE4E76">
        <w:t xml:space="preserve">earable </w:t>
      </w:r>
      <w:r>
        <w:t>d</w:t>
      </w:r>
      <w:r w:rsidRPr="00DE4E76">
        <w:t>evices, just under half report</w:t>
      </w:r>
      <w:r>
        <w:t>ed</w:t>
      </w:r>
      <w:r w:rsidRPr="00DE4E76">
        <w:t xml:space="preserve"> using them to improve their health and wellbeing. </w:t>
      </w:r>
    </w:p>
    <w:p w14:paraId="7442A65C" w14:textId="77777777" w:rsidR="008F21B7" w:rsidRPr="00CC1D41" w:rsidRDefault="008F21B7" w:rsidP="00133458">
      <w:pPr>
        <w:pStyle w:val="ShadedBullet"/>
      </w:pPr>
      <w:r w:rsidRPr="00DE4E76">
        <w:t>A quarter of the Transitioned ADF and 2015 Regular ADF who use</w:t>
      </w:r>
      <w:r>
        <w:t>d</w:t>
      </w:r>
      <w:r w:rsidRPr="00DE4E76">
        <w:t xml:space="preserve"> </w:t>
      </w:r>
      <w:r>
        <w:t>a</w:t>
      </w:r>
      <w:r w:rsidRPr="00DE4E76">
        <w:t xml:space="preserve">pps and </w:t>
      </w:r>
      <w:r>
        <w:t>w</w:t>
      </w:r>
      <w:r w:rsidRPr="00DE4E76">
        <w:t xml:space="preserve">earable </w:t>
      </w:r>
      <w:r>
        <w:t>d</w:t>
      </w:r>
      <w:r w:rsidRPr="00DE4E76">
        <w:t>evices for health and wellbeing use</w:t>
      </w:r>
      <w:r>
        <w:t>d</w:t>
      </w:r>
      <w:r w:rsidRPr="00DE4E76">
        <w:t xml:space="preserve"> them to ‘improve sleep’.</w:t>
      </w:r>
      <w:r w:rsidRPr="00CC1D41">
        <w:t xml:space="preserve"> </w:t>
      </w:r>
    </w:p>
    <w:p w14:paraId="3BF51F91" w14:textId="77777777" w:rsidR="008F21B7" w:rsidRPr="00CC1D41" w:rsidRDefault="008F21B7" w:rsidP="00133458">
      <w:pPr>
        <w:pStyle w:val="ShadedBoxSubheading"/>
      </w:pPr>
      <w:r w:rsidRPr="00C87D9F">
        <w:t>Probable 30-</w:t>
      </w:r>
      <w:r>
        <w:t>d</w:t>
      </w:r>
      <w:r w:rsidRPr="00C87D9F">
        <w:t xml:space="preserve">ay disorder and use of new and emerging technology </w:t>
      </w:r>
    </w:p>
    <w:p w14:paraId="45C8D92A" w14:textId="77777777" w:rsidR="008F21B7" w:rsidRPr="00B10DB0" w:rsidRDefault="008F21B7" w:rsidP="00133458">
      <w:pPr>
        <w:pStyle w:val="ShadedBoxText"/>
      </w:pPr>
      <w:r w:rsidRPr="00B10DB0">
        <w:rPr>
          <w:lang w:eastAsia="en-AU"/>
        </w:rPr>
        <w:t xml:space="preserve">Among those who reported using new or emerging technologies </w:t>
      </w:r>
      <w:r w:rsidRPr="00B10DB0">
        <w:rPr>
          <w:rFonts w:eastAsia="MS Mincho"/>
          <w:u w:val="single"/>
        </w:rPr>
        <w:t>for the purpose of improving health and wellbeing:</w:t>
      </w:r>
      <w:r w:rsidRPr="00B10DB0">
        <w:rPr>
          <w:rFonts w:eastAsia="MS Mincho"/>
          <w:lang w:eastAsia="en-AU"/>
        </w:rPr>
        <w:t xml:space="preserve"> </w:t>
      </w:r>
    </w:p>
    <w:p w14:paraId="453FF1C8" w14:textId="77777777" w:rsidR="008F21B7" w:rsidRPr="00CC1D41" w:rsidRDefault="008F21B7" w:rsidP="00133458">
      <w:pPr>
        <w:pStyle w:val="ShadedBullet"/>
      </w:pPr>
      <w:r w:rsidRPr="00DE4E76">
        <w:rPr>
          <w:lang w:eastAsia="en-AU"/>
        </w:rPr>
        <w:t xml:space="preserve">20.9% of </w:t>
      </w:r>
      <w:r>
        <w:rPr>
          <w:lang w:eastAsia="en-AU"/>
        </w:rPr>
        <w:t xml:space="preserve">Transitioned ADF and 7.8% of </w:t>
      </w:r>
      <w:r w:rsidRPr="00DE4E76">
        <w:rPr>
          <w:lang w:eastAsia="en-AU"/>
        </w:rPr>
        <w:t xml:space="preserve">2015 Regular ADF met </w:t>
      </w:r>
      <w:r>
        <w:rPr>
          <w:lang w:eastAsia="en-AU"/>
        </w:rPr>
        <w:t xml:space="preserve">the </w:t>
      </w:r>
      <w:r w:rsidRPr="00DE4E76">
        <w:rPr>
          <w:lang w:eastAsia="en-AU"/>
        </w:rPr>
        <w:t>criteria for a probable disorder.</w:t>
      </w:r>
      <w:r w:rsidRPr="00DE4E76">
        <w:rPr>
          <w:b/>
          <w:lang w:eastAsia="en-AU"/>
        </w:rPr>
        <w:t xml:space="preserve"> </w:t>
      </w:r>
    </w:p>
    <w:p w14:paraId="412B511C" w14:textId="77777777" w:rsidR="008F21B7" w:rsidRPr="00CC1D41" w:rsidRDefault="008F21B7" w:rsidP="00133458">
      <w:pPr>
        <w:pStyle w:val="ShadedBullet"/>
      </w:pPr>
      <w:r w:rsidRPr="00DE4E76">
        <w:t xml:space="preserve">Transitioned ADF with a probable disorder were significantly more likely to use </w:t>
      </w:r>
      <w:r>
        <w:t>new or emerging technologies</w:t>
      </w:r>
      <w:r w:rsidRPr="00DE4E76">
        <w:t xml:space="preserve"> to improve their mood and less likely to use them to improve their fitness than those without a probable disorder.</w:t>
      </w:r>
      <w:r w:rsidRPr="00CC1D41">
        <w:t xml:space="preserve"> </w:t>
      </w:r>
    </w:p>
    <w:p w14:paraId="35D375A4" w14:textId="77777777" w:rsidR="008F21B7" w:rsidRPr="00B10DB0" w:rsidRDefault="008F21B7" w:rsidP="00133458">
      <w:pPr>
        <w:pStyle w:val="ShadedBoxText"/>
      </w:pPr>
      <w:r w:rsidRPr="00B10DB0">
        <w:rPr>
          <w:lang w:eastAsia="en-AU"/>
        </w:rPr>
        <w:t xml:space="preserve">Among those who reported using new or emerging technologies </w:t>
      </w:r>
      <w:r w:rsidRPr="00B10DB0">
        <w:rPr>
          <w:rFonts w:eastAsia="MS Mincho"/>
          <w:u w:val="single"/>
        </w:rPr>
        <w:t>for reasons other than to improve health and wellbeing</w:t>
      </w:r>
      <w:r w:rsidRPr="00B10DB0">
        <w:rPr>
          <w:rFonts w:eastAsia="MS Mincho"/>
        </w:rPr>
        <w:t>:</w:t>
      </w:r>
      <w:r w:rsidRPr="00B10DB0">
        <w:t xml:space="preserve"> </w:t>
      </w:r>
    </w:p>
    <w:p w14:paraId="0C54DF96" w14:textId="77777777" w:rsidR="008F21B7" w:rsidRPr="00CC1D41" w:rsidRDefault="008F21B7" w:rsidP="00133458">
      <w:pPr>
        <w:pStyle w:val="ShadedBullet"/>
      </w:pPr>
      <w:r w:rsidRPr="00666A33">
        <w:rPr>
          <w:lang w:eastAsia="en-AU"/>
        </w:rPr>
        <w:t xml:space="preserve">25.2% of the Transitioned ADF and 14.1% of the 2015 Regular ADF met </w:t>
      </w:r>
      <w:r>
        <w:rPr>
          <w:lang w:eastAsia="en-AU"/>
        </w:rPr>
        <w:t xml:space="preserve">the </w:t>
      </w:r>
      <w:r w:rsidRPr="00666A33">
        <w:rPr>
          <w:lang w:eastAsia="en-AU"/>
        </w:rPr>
        <w:t xml:space="preserve">criteria for a probable disorder. </w:t>
      </w:r>
    </w:p>
    <w:p w14:paraId="2F122A27" w14:textId="77777777" w:rsidR="008F21B7" w:rsidRPr="00CC1D41" w:rsidRDefault="008F21B7" w:rsidP="00133458">
      <w:pPr>
        <w:pStyle w:val="ShadedBullet"/>
      </w:pPr>
      <w:r w:rsidRPr="00666A33">
        <w:rPr>
          <w:lang w:eastAsia="en-AU"/>
        </w:rPr>
        <w:t>Transitioned ADF with a probable disorder were significantly less likely to use them for fun and recreation compared to Transitioned ADF with no probable disorder.</w:t>
      </w:r>
      <w:r w:rsidRPr="00CC1D41">
        <w:t xml:space="preserve"> </w:t>
      </w:r>
    </w:p>
    <w:p w14:paraId="71DA9815" w14:textId="77777777" w:rsidR="00133458" w:rsidRDefault="00133458" w:rsidP="00133458">
      <w:pPr>
        <w:rPr>
          <w:w w:val="105"/>
        </w:rPr>
      </w:pPr>
    </w:p>
    <w:p w14:paraId="66E7D788" w14:textId="77777777" w:rsidR="008F21B7" w:rsidRPr="00CC1D41" w:rsidRDefault="008F21B7" w:rsidP="00133458">
      <w:pPr>
        <w:pStyle w:val="ShadedBoxTitle"/>
      </w:pPr>
      <w:r w:rsidRPr="00C87D9F">
        <w:rPr>
          <w:w w:val="105"/>
        </w:rPr>
        <w:t>Use of the internet to seek mental health information or help (for self or other)</w:t>
      </w:r>
      <w:r w:rsidRPr="00CC1D41">
        <w:t xml:space="preserve"> </w:t>
      </w:r>
    </w:p>
    <w:p w14:paraId="6744738A" w14:textId="77777777" w:rsidR="008F21B7" w:rsidRPr="00CC1D41" w:rsidRDefault="008F21B7" w:rsidP="00133458">
      <w:pPr>
        <w:pStyle w:val="ShadedBoxSubheading"/>
      </w:pPr>
      <w:r w:rsidRPr="00C87D9F">
        <w:t>Use of the internet to seek help or information for, or to manage, mental health issues</w:t>
      </w:r>
    </w:p>
    <w:p w14:paraId="48116DFE" w14:textId="77777777" w:rsidR="008F21B7" w:rsidRPr="00CC1D41" w:rsidRDefault="008F21B7" w:rsidP="00133458">
      <w:pPr>
        <w:pStyle w:val="ShadedBullet"/>
        <w:keepNext/>
      </w:pPr>
      <w:r w:rsidRPr="00666A33">
        <w:t xml:space="preserve">One in four Transitioned ADF and one in six 2015 Regular ADF used the internet to seek help or information for, or to manage, mental health issues. </w:t>
      </w:r>
    </w:p>
    <w:p w14:paraId="5FB58296" w14:textId="77777777" w:rsidR="008F21B7" w:rsidRPr="00CC1D41" w:rsidRDefault="008F21B7" w:rsidP="00133458">
      <w:pPr>
        <w:pStyle w:val="ShadedBullet"/>
      </w:pPr>
      <w:r w:rsidRPr="00666A33">
        <w:t xml:space="preserve">A higher proportion of Transitioned ADF and 2015 Regular ADF with a probable disorder reported using the internet to </w:t>
      </w:r>
      <w:r w:rsidRPr="00666A33">
        <w:rPr>
          <w:rFonts w:cs="Calibri"/>
        </w:rPr>
        <w:t>seek help</w:t>
      </w:r>
      <w:r>
        <w:rPr>
          <w:rFonts w:cs="Calibri"/>
        </w:rPr>
        <w:t xml:space="preserve"> or</w:t>
      </w:r>
      <w:r w:rsidRPr="00666A33">
        <w:rPr>
          <w:rFonts w:cs="Calibri"/>
        </w:rPr>
        <w:t xml:space="preserve"> information or to manage mental health issues</w:t>
      </w:r>
      <w:r w:rsidRPr="00666A33">
        <w:t xml:space="preserve"> than those without a probable disorder.</w:t>
      </w:r>
      <w:r w:rsidRPr="00CC1D41">
        <w:t xml:space="preserve"> </w:t>
      </w:r>
    </w:p>
    <w:p w14:paraId="515FA21D" w14:textId="77777777" w:rsidR="008F21B7" w:rsidRPr="00CC1D41" w:rsidRDefault="008F21B7" w:rsidP="00133458">
      <w:pPr>
        <w:pStyle w:val="ShadedBullet"/>
      </w:pPr>
      <w:r w:rsidRPr="00666A33">
        <w:t>Among those with a probable 30-day disorder, Transitioned ADF were more likely than 2015 Regular ADF to report using the internet to seek information on mental health issues.</w:t>
      </w:r>
      <w:r w:rsidRPr="00CC1D41">
        <w:t xml:space="preserve"> </w:t>
      </w:r>
    </w:p>
    <w:p w14:paraId="5CDB0268" w14:textId="77777777" w:rsidR="008F21B7" w:rsidRPr="00133458" w:rsidRDefault="008F21B7" w:rsidP="00133458">
      <w:pPr>
        <w:pStyle w:val="ShadedBoxSubheading"/>
      </w:pPr>
      <w:r w:rsidRPr="00C87D9F">
        <w:t xml:space="preserve">Suitability, usefulness and level of satisfaction with using the internet to seek help or information, or to manage mental health </w:t>
      </w:r>
    </w:p>
    <w:p w14:paraId="58F841BF" w14:textId="77777777" w:rsidR="008F21B7" w:rsidRPr="00CC1D41" w:rsidRDefault="008F21B7" w:rsidP="00133458">
      <w:pPr>
        <w:pStyle w:val="ShadedBullet"/>
      </w:pPr>
      <w:r w:rsidRPr="00666A33">
        <w:t>The majority of Transitioned ADF and 2015 Regular ADF who used the internet to seek information about mental health reported that they received the kind of information they required</w:t>
      </w:r>
      <w:r w:rsidRPr="00666A33">
        <w:rPr>
          <w:rFonts w:cs="Calibri"/>
        </w:rPr>
        <w:t>.</w:t>
      </w:r>
      <w:r w:rsidRPr="00CC1D41">
        <w:t xml:space="preserve"> </w:t>
      </w:r>
    </w:p>
    <w:p w14:paraId="46FF20CA" w14:textId="77777777" w:rsidR="008F21B7" w:rsidRPr="00CC1D41" w:rsidRDefault="008F21B7" w:rsidP="00133458">
      <w:pPr>
        <w:pStyle w:val="ShadedBullet"/>
      </w:pPr>
      <w:r w:rsidRPr="00666A33">
        <w:t xml:space="preserve">The majority of Transitioned ADF and 2015 Regular ADF who used the internet to seek help or information or to manage mental health reported the internet helped them either a little or a lot. </w:t>
      </w:r>
    </w:p>
    <w:p w14:paraId="4499CE82" w14:textId="77777777" w:rsidR="008F21B7" w:rsidRPr="00CC1D41" w:rsidRDefault="008F21B7" w:rsidP="00133458">
      <w:pPr>
        <w:pStyle w:val="ShadedBullet"/>
      </w:pPr>
      <w:r w:rsidRPr="00666A33">
        <w:t>Almost 18% of Transitioned ADF and 13.2% of 2015 Regular ADF reported being dissatisfied with the information they received.</w:t>
      </w:r>
      <w:r w:rsidRPr="00CC1D41">
        <w:t xml:space="preserve"> </w:t>
      </w:r>
    </w:p>
    <w:p w14:paraId="6A0959DC" w14:textId="77777777" w:rsidR="00133458" w:rsidRDefault="00133458" w:rsidP="00133458">
      <w:pPr>
        <w:rPr>
          <w:w w:val="105"/>
        </w:rPr>
      </w:pPr>
    </w:p>
    <w:p w14:paraId="5B9424FF" w14:textId="77777777" w:rsidR="008F21B7" w:rsidRPr="00CC1D41" w:rsidRDefault="008F21B7" w:rsidP="00133458">
      <w:pPr>
        <w:pStyle w:val="ShadedBoxTitle"/>
      </w:pPr>
      <w:r w:rsidRPr="00C87D9F">
        <w:rPr>
          <w:w w:val="105"/>
        </w:rPr>
        <w:t xml:space="preserve">Use of the internet for one’s own mental health </w:t>
      </w:r>
    </w:p>
    <w:p w14:paraId="5D5C2752" w14:textId="77777777" w:rsidR="008F21B7" w:rsidRPr="00CC1D41" w:rsidRDefault="008F21B7" w:rsidP="00133458">
      <w:pPr>
        <w:pStyle w:val="ShadedBoxSubheading"/>
      </w:pPr>
      <w:r w:rsidRPr="0089093D">
        <w:t xml:space="preserve">Frequency and timing of seeking help or information about their </w:t>
      </w:r>
      <w:r w:rsidRPr="0089093D">
        <w:rPr>
          <w:i/>
        </w:rPr>
        <w:t>own</w:t>
      </w:r>
      <w:r w:rsidRPr="0089093D">
        <w:t xml:space="preserve"> mental health </w:t>
      </w:r>
    </w:p>
    <w:p w14:paraId="335D6914" w14:textId="77777777" w:rsidR="008F21B7" w:rsidRPr="00CC1D41" w:rsidRDefault="008F21B7" w:rsidP="00133458">
      <w:pPr>
        <w:pStyle w:val="ShadedBullet"/>
      </w:pPr>
      <w:r w:rsidRPr="00666A33">
        <w:t>Among those who reported using the internet to seek help</w:t>
      </w:r>
      <w:r>
        <w:t xml:space="preserve"> or</w:t>
      </w:r>
      <w:r w:rsidRPr="00666A33">
        <w:t xml:space="preserve"> information or manage mental health issues,</w:t>
      </w:r>
      <w:r w:rsidRPr="00666A33" w:rsidDel="004917B8">
        <w:t xml:space="preserve"> </w:t>
      </w:r>
      <w:r w:rsidRPr="00666A33">
        <w:t>almost 30% of the Transitioned ADF (29.1%) and 19.8% of the 2015 Regular ADF used the internet to seek help or access information about their own mental health at least once per month.</w:t>
      </w:r>
      <w:r w:rsidRPr="00CC1D41">
        <w:t xml:space="preserve"> </w:t>
      </w:r>
    </w:p>
    <w:p w14:paraId="2194FA83" w14:textId="77777777" w:rsidR="008F21B7" w:rsidRPr="00CC1D41" w:rsidRDefault="008F21B7" w:rsidP="00133458">
      <w:pPr>
        <w:pStyle w:val="ShadedBullet"/>
      </w:pPr>
      <w:r w:rsidRPr="00666A33">
        <w:t>While frequent use (at least once a month) was more common among Transitioned ADF with a probable disorder than those without (42.5% and 18.4%), the majority of the Transitioned ADF and 2015 Regular ADF used the internet infrequently (less than once per month) for their own mental health (52.3% and 68.8%), if at all (3.7% and 2.1%).</w:t>
      </w:r>
    </w:p>
    <w:p w14:paraId="6B5B29B0" w14:textId="77777777" w:rsidR="008F21B7" w:rsidRPr="00CC1D41" w:rsidRDefault="008F21B7" w:rsidP="00133458">
      <w:pPr>
        <w:pStyle w:val="ShadedBoxSubheading"/>
      </w:pPr>
      <w:r w:rsidRPr="00C87D9F">
        <w:t xml:space="preserve">Talking online to peers, family or friends about one’s </w:t>
      </w:r>
      <w:r w:rsidRPr="00C87D9F">
        <w:rPr>
          <w:i/>
        </w:rPr>
        <w:t>own</w:t>
      </w:r>
      <w:r w:rsidRPr="00C87D9F">
        <w:t xml:space="preserve"> mental health</w:t>
      </w:r>
    </w:p>
    <w:p w14:paraId="235B2453" w14:textId="77777777" w:rsidR="008F21B7" w:rsidRPr="00CC1D41" w:rsidRDefault="008F21B7" w:rsidP="00133458">
      <w:pPr>
        <w:pStyle w:val="ShadedBullet"/>
      </w:pPr>
      <w:r w:rsidRPr="00666A33">
        <w:t xml:space="preserve">Almost </w:t>
      </w:r>
      <w:r>
        <w:t>one</w:t>
      </w:r>
      <w:r w:rsidRPr="00666A33">
        <w:t xml:space="preserve"> in </w:t>
      </w:r>
      <w:r>
        <w:t>three</w:t>
      </w:r>
      <w:r w:rsidRPr="00666A33">
        <w:t xml:space="preserve"> Transitioned ADF and 2015 Regular ADF who used the internet to seek help</w:t>
      </w:r>
      <w:r>
        <w:t xml:space="preserve"> or</w:t>
      </w:r>
      <w:r w:rsidRPr="00666A33">
        <w:t xml:space="preserve"> information or manage mental health issues reported talking online to a peer, family member or friend about their </w:t>
      </w:r>
      <w:r w:rsidRPr="00666A33">
        <w:rPr>
          <w:i/>
        </w:rPr>
        <w:t>own</w:t>
      </w:r>
      <w:r w:rsidRPr="00666A33">
        <w:t xml:space="preserve"> mental health (33.4% and 30.6% respectively), with the majority finding this helpful (63.3% and 75.2% respectively).</w:t>
      </w:r>
      <w:r w:rsidRPr="00CC1D41">
        <w:t xml:space="preserve"> </w:t>
      </w:r>
    </w:p>
    <w:p w14:paraId="7A8D4077" w14:textId="77777777" w:rsidR="008F21B7" w:rsidRPr="00CC1D41" w:rsidRDefault="008F21B7" w:rsidP="00133458">
      <w:pPr>
        <w:pStyle w:val="ShadedBullet"/>
      </w:pPr>
      <w:r w:rsidRPr="00666A33">
        <w:t>Approximately one third of the Transitioned ADF and 2015 Regular ADF</w:t>
      </w:r>
      <w:r w:rsidRPr="00666A33" w:rsidDel="004917B8">
        <w:t xml:space="preserve"> </w:t>
      </w:r>
      <w:r w:rsidRPr="00666A33">
        <w:t>with a probable disorder who used the internet to manage their mental health reported talking online with a peer, family member or friend about their mental health (37.2% and 37.0% respectively).</w:t>
      </w:r>
      <w:r w:rsidRPr="00CC1D41">
        <w:t xml:space="preserve"> </w:t>
      </w:r>
    </w:p>
    <w:p w14:paraId="17EF1DE7" w14:textId="77777777" w:rsidR="008F21B7" w:rsidRPr="00CC1D41" w:rsidRDefault="008F21B7" w:rsidP="00133458">
      <w:pPr>
        <w:pStyle w:val="ShadedBullet"/>
      </w:pPr>
      <w:r w:rsidRPr="00666A33">
        <w:t>In general, younger Transitioned ADF and 2015 Regular ADF who used the internet to seek help</w:t>
      </w:r>
      <w:r>
        <w:t xml:space="preserve"> or</w:t>
      </w:r>
      <w:r w:rsidRPr="00666A33">
        <w:t xml:space="preserve"> information or manage mental health issues were most likely to talk online to a peer, family member or friend, with nearly half of those aged 18</w:t>
      </w:r>
      <w:r>
        <w:t>–</w:t>
      </w:r>
      <w:r w:rsidRPr="00666A33">
        <w:t xml:space="preserve">27 endorsing this. </w:t>
      </w:r>
    </w:p>
    <w:p w14:paraId="4B5AE662" w14:textId="77777777" w:rsidR="008F21B7" w:rsidRPr="00CC1D41" w:rsidRDefault="008F21B7" w:rsidP="00133458">
      <w:pPr>
        <w:pStyle w:val="ShadedBoxSubheading"/>
      </w:pPr>
      <w:r w:rsidRPr="00C87D9F">
        <w:t xml:space="preserve">Talking online to other people (e.g. online forums, chatrooms, blogs, MSN or Gmail messenger) about one’s </w:t>
      </w:r>
      <w:r w:rsidRPr="00C87D9F">
        <w:rPr>
          <w:i/>
        </w:rPr>
        <w:t>own</w:t>
      </w:r>
      <w:r w:rsidRPr="00C87D9F">
        <w:t xml:space="preserve"> mental health</w:t>
      </w:r>
    </w:p>
    <w:p w14:paraId="794511AB" w14:textId="77777777" w:rsidR="008F21B7" w:rsidRPr="00CC1D41" w:rsidRDefault="008F21B7" w:rsidP="00133458">
      <w:pPr>
        <w:pStyle w:val="ShadedBullet"/>
      </w:pPr>
      <w:r w:rsidRPr="00666A33">
        <w:t xml:space="preserve">Just under 20% (17.4%) of the Transitioned ADF and just over 5% of the 2015 Regular ADF (6.2%) with a probable disorder and who used the internet to manage mental health, reported talking to others on the internet about their own mental health. </w:t>
      </w:r>
    </w:p>
    <w:p w14:paraId="69C3C5AE" w14:textId="77777777" w:rsidR="008F21B7" w:rsidRPr="00CC1D41" w:rsidRDefault="008F21B7" w:rsidP="00133458">
      <w:pPr>
        <w:pStyle w:val="ShadedBullet"/>
      </w:pPr>
      <w:r w:rsidRPr="00666A33">
        <w:t xml:space="preserve">Among the Transitioned ADF, a greater proportion of those with a probable disorder than those without reported talking to others on the internet about their own mental health (17.4% vs 8.4%). </w:t>
      </w:r>
    </w:p>
    <w:p w14:paraId="16838818" w14:textId="77777777" w:rsidR="008F21B7" w:rsidRPr="00CC1D41" w:rsidRDefault="008F21B7" w:rsidP="00133458">
      <w:pPr>
        <w:pStyle w:val="ShadedBullet"/>
      </w:pPr>
      <w:r w:rsidRPr="00666A33">
        <w:t>Among the 2015 Regular ADF, there was little difference in the proportion of those with a probable disorder compared to those without a probable disorder who reported talking to others on the internet about their own mental health (6.2% vs 8.1%).</w:t>
      </w:r>
    </w:p>
    <w:p w14:paraId="4F08B910" w14:textId="77777777" w:rsidR="008F21B7" w:rsidRPr="00CC1D41" w:rsidRDefault="008F21B7" w:rsidP="00133458">
      <w:pPr>
        <w:pStyle w:val="ShadedBoxSubheading"/>
      </w:pPr>
      <w:r w:rsidRPr="00C87D9F">
        <w:t xml:space="preserve">Talking online to a psychologist or other mental health professional about one’s </w:t>
      </w:r>
      <w:r w:rsidRPr="00C87D9F">
        <w:rPr>
          <w:i/>
        </w:rPr>
        <w:t>own</w:t>
      </w:r>
      <w:r w:rsidRPr="00C87D9F">
        <w:t xml:space="preserve"> mental health</w:t>
      </w:r>
    </w:p>
    <w:p w14:paraId="1CB08B6F" w14:textId="77777777" w:rsidR="008F21B7" w:rsidRPr="00CC1D41" w:rsidRDefault="008F21B7" w:rsidP="00133458">
      <w:pPr>
        <w:pStyle w:val="ShadedBullet"/>
      </w:pPr>
      <w:r w:rsidRPr="00666A33">
        <w:t xml:space="preserve">Almost one in </w:t>
      </w:r>
      <w:r>
        <w:t>10</w:t>
      </w:r>
      <w:r w:rsidRPr="00666A33">
        <w:t xml:space="preserve"> Transitioned ADF and 2015 Regular ADF who used the internet to manage mental health reported talking online to a psychologist or other mental health professional about their mental health (7.9% and 9.5%), with the majority finding this helpful (65.3% and 59.7%).</w:t>
      </w:r>
    </w:p>
    <w:p w14:paraId="3BE1D506" w14:textId="77777777" w:rsidR="008F21B7" w:rsidRPr="00CC1D41" w:rsidRDefault="008F21B7" w:rsidP="00133458">
      <w:pPr>
        <w:pStyle w:val="ShadedBullet"/>
      </w:pPr>
      <w:r w:rsidRPr="00666A33">
        <w:t>Among those who used the internet to manage mental health who had a probable 30-day disorder, an estimated 7.2% of Transitioned ADF and an estimated 3.7% of 2015 Regular ADF reported using the internet to talk to a psychologist or other health professional about their own mental health.</w:t>
      </w:r>
      <w:r w:rsidRPr="00CC1D41">
        <w:t xml:space="preserve"> </w:t>
      </w:r>
    </w:p>
    <w:p w14:paraId="61B62DC1" w14:textId="77777777" w:rsidR="008F21B7" w:rsidRPr="00CC1D41" w:rsidRDefault="008F21B7" w:rsidP="00133458">
      <w:pPr>
        <w:pStyle w:val="ShadedBullet"/>
      </w:pPr>
      <w:r w:rsidRPr="00666A33">
        <w:t>Transitioned ADF in the 18</w:t>
      </w:r>
      <w:r>
        <w:t>–</w:t>
      </w:r>
      <w:r w:rsidRPr="00666A33">
        <w:t>27 age band (9.8%) and 2015 Regular ADF aged 28</w:t>
      </w:r>
      <w:r>
        <w:t>–</w:t>
      </w:r>
      <w:r w:rsidRPr="00666A33">
        <w:t>37 (17.1%) were most likely to talk online to a psychologist or other mental health professional about their own mental health, followed by those aged 58+ (13.4%).</w:t>
      </w:r>
      <w:r w:rsidRPr="00CC1D41">
        <w:t xml:space="preserve"> </w:t>
      </w:r>
    </w:p>
    <w:p w14:paraId="03C92CE9" w14:textId="77777777" w:rsidR="00133458" w:rsidRDefault="00133458" w:rsidP="00133458">
      <w:pPr>
        <w:rPr>
          <w:w w:val="105"/>
        </w:rPr>
      </w:pPr>
    </w:p>
    <w:p w14:paraId="25063881" w14:textId="77777777" w:rsidR="008F21B7" w:rsidRPr="00CC1D41" w:rsidRDefault="008F21B7" w:rsidP="00133458">
      <w:pPr>
        <w:pStyle w:val="ShadedBoxTitle"/>
      </w:pPr>
      <w:r w:rsidRPr="00C87D9F">
        <w:rPr>
          <w:w w:val="105"/>
        </w:rPr>
        <w:t xml:space="preserve">Barriers to talking online about one’s own mental health in </w:t>
      </w:r>
      <w:r>
        <w:rPr>
          <w:w w:val="105"/>
        </w:rPr>
        <w:t xml:space="preserve">the </w:t>
      </w:r>
      <w:r w:rsidRPr="00C87D9F">
        <w:rPr>
          <w:w w:val="105"/>
        </w:rPr>
        <w:t>Transitioned ADF and 2015 Regular ADF</w:t>
      </w:r>
    </w:p>
    <w:p w14:paraId="7AB27C36" w14:textId="77777777" w:rsidR="008F21B7" w:rsidRPr="00CC1D41" w:rsidRDefault="008F21B7" w:rsidP="00133458">
      <w:pPr>
        <w:pStyle w:val="ShadedBoxSubheading"/>
      </w:pPr>
      <w:r w:rsidRPr="00C87D9F">
        <w:t>Barriers to talking online about one’s own mental health</w:t>
      </w:r>
    </w:p>
    <w:p w14:paraId="2C540B2B" w14:textId="77777777" w:rsidR="008F21B7" w:rsidRPr="00CC1D41" w:rsidRDefault="008F21B7" w:rsidP="00133458">
      <w:pPr>
        <w:pStyle w:val="ShadedBullet"/>
      </w:pPr>
      <w:r>
        <w:t>Among</w:t>
      </w:r>
      <w:r w:rsidRPr="00666A33">
        <w:t xml:space="preserve"> the Transitioned ADF and 2015 Regular ADF who reported using the internet to seek help</w:t>
      </w:r>
      <w:r>
        <w:t xml:space="preserve"> or</w:t>
      </w:r>
      <w:r w:rsidRPr="00666A33">
        <w:t xml:space="preserve"> information or manage mental health issues, but reported they did NOT talk to someone online about their own mental health, the main barriers were a preference for face</w:t>
      </w:r>
      <w:r>
        <w:t>-</w:t>
      </w:r>
      <w:r w:rsidRPr="00666A33">
        <w:t>to</w:t>
      </w:r>
      <w:r>
        <w:t>-</w:t>
      </w:r>
      <w:r w:rsidRPr="00666A33">
        <w:t xml:space="preserve">face contact (59.0% and 70.2% respectively), concerns about lack of privacy and confidentiality (50.4% and 63.3% respectively) and concerns about lack of website security (41.2% and 45.7%). </w:t>
      </w:r>
      <w:r>
        <w:t>Concerns about the v</w:t>
      </w:r>
      <w:r w:rsidRPr="00666A33">
        <w:t xml:space="preserve">alidity </w:t>
      </w:r>
      <w:r>
        <w:t>of</w:t>
      </w:r>
      <w:r w:rsidRPr="00666A33">
        <w:t xml:space="preserve"> information online was also a </w:t>
      </w:r>
      <w:r>
        <w:t>factor</w:t>
      </w:r>
      <w:r w:rsidRPr="00666A33">
        <w:t xml:space="preserve"> (36.5% and 35.8%).</w:t>
      </w:r>
    </w:p>
    <w:p w14:paraId="2F3D4B83" w14:textId="77777777" w:rsidR="008F21B7" w:rsidRPr="00CC1D41" w:rsidRDefault="008F21B7" w:rsidP="00133458">
      <w:pPr>
        <w:pStyle w:val="ShadedBullet"/>
      </w:pPr>
      <w:r w:rsidRPr="00666A33">
        <w:t xml:space="preserve">Transitioned ADF were significantly less likely than 2015 Regular ADF to report concerns about a lack of privacy/confidentiality as a barrier to talking about their mental health issues online. </w:t>
      </w:r>
    </w:p>
    <w:p w14:paraId="5D86A0BA" w14:textId="77777777" w:rsidR="008F21B7" w:rsidRPr="00CC1D41" w:rsidRDefault="008F21B7" w:rsidP="00133458">
      <w:pPr>
        <w:pStyle w:val="ShadedBullet"/>
      </w:pPr>
      <w:r w:rsidRPr="00666A33">
        <w:t xml:space="preserve">Transitioned ADF were significantly more likely than 2015 Regular ADF to report unaffordable technology as a barrier preventing them from talking about their mental health issues online. </w:t>
      </w:r>
    </w:p>
    <w:p w14:paraId="57CC8DE8" w14:textId="77777777" w:rsidR="00133458" w:rsidRDefault="00133458" w:rsidP="00133458">
      <w:pPr>
        <w:rPr>
          <w:w w:val="105"/>
        </w:rPr>
      </w:pPr>
    </w:p>
    <w:p w14:paraId="10D0EBFF" w14:textId="77777777" w:rsidR="008F21B7" w:rsidRPr="00CC1D41" w:rsidRDefault="008F21B7" w:rsidP="00133458">
      <w:pPr>
        <w:pStyle w:val="ShadedBoxTitle"/>
      </w:pPr>
      <w:r w:rsidRPr="00C87D9F">
        <w:rPr>
          <w:w w:val="105"/>
        </w:rPr>
        <w:t xml:space="preserve">Mental health status and the use of </w:t>
      </w:r>
      <w:r>
        <w:rPr>
          <w:w w:val="105"/>
        </w:rPr>
        <w:t xml:space="preserve">mental </w:t>
      </w:r>
      <w:r w:rsidRPr="00C87D9F">
        <w:rPr>
          <w:w w:val="105"/>
        </w:rPr>
        <w:t>health websites by Transitioned ADF and 2015 Regular ADF</w:t>
      </w:r>
    </w:p>
    <w:p w14:paraId="39FA42BF" w14:textId="77777777" w:rsidR="008F21B7" w:rsidRPr="00CC1D41" w:rsidRDefault="008F21B7" w:rsidP="00133458">
      <w:pPr>
        <w:pStyle w:val="ShadedBoxSubheading"/>
      </w:pPr>
      <w:r w:rsidRPr="00C87D9F">
        <w:t>Use of the internet to seek help or information for, or manage mental health issues</w:t>
      </w:r>
    </w:p>
    <w:p w14:paraId="50DF5A33" w14:textId="77777777" w:rsidR="008F21B7" w:rsidRPr="00CC1D41" w:rsidRDefault="008F21B7" w:rsidP="00133458">
      <w:pPr>
        <w:pStyle w:val="ShadedBullet"/>
      </w:pPr>
      <w:r w:rsidRPr="00666A33">
        <w:t>Overall</w:t>
      </w:r>
      <w:r>
        <w:t>,</w:t>
      </w:r>
      <w:r w:rsidRPr="00666A33">
        <w:t xml:space="preserve"> about 40% of the Transitioned ADF and 20</w:t>
      </w:r>
      <w:r>
        <w:t>–</w:t>
      </w:r>
      <w:r w:rsidRPr="00666A33">
        <w:t>40% of the 2015 Regular ADF with a 30</w:t>
      </w:r>
      <w:r>
        <w:noBreakHyphen/>
      </w:r>
      <w:r w:rsidRPr="00666A33">
        <w:t>day probable disorder</w:t>
      </w:r>
      <w:r>
        <w:t xml:space="preserve"> (including</w:t>
      </w:r>
      <w:r w:rsidRPr="00666A33">
        <w:t xml:space="preserve"> </w:t>
      </w:r>
      <w:r>
        <w:t>PTSD, anxiety/</w:t>
      </w:r>
      <w:r w:rsidRPr="00666A33">
        <w:t>depression and alcohol use</w:t>
      </w:r>
      <w:r>
        <w:t>) and /or 12</w:t>
      </w:r>
      <w:r>
        <w:noBreakHyphen/>
        <w:t>month</w:t>
      </w:r>
      <w:r w:rsidRPr="00666A33">
        <w:t xml:space="preserve"> suicidal </w:t>
      </w:r>
      <w:r>
        <w:t>ideation and behaviour</w:t>
      </w:r>
      <w:r w:rsidRPr="00666A33">
        <w:t xml:space="preserve"> used the internet </w:t>
      </w:r>
      <w:r>
        <w:t xml:space="preserve">to </w:t>
      </w:r>
      <w:r w:rsidRPr="00E16E7A">
        <w:t>seek help or information for or manage mental health issues</w:t>
      </w:r>
      <w:r>
        <w:t>.</w:t>
      </w:r>
    </w:p>
    <w:p w14:paraId="239434F0" w14:textId="77777777" w:rsidR="008F21B7" w:rsidRPr="00CC1D41" w:rsidRDefault="008F21B7" w:rsidP="00133458">
      <w:pPr>
        <w:pStyle w:val="ShadedBullet"/>
      </w:pPr>
      <w:r w:rsidRPr="00666A33">
        <w:t xml:space="preserve">Of those with </w:t>
      </w:r>
      <w:r>
        <w:t>subsyndromal</w:t>
      </w:r>
      <w:r w:rsidRPr="00666A33">
        <w:t xml:space="preserve"> disorder, approximately 30% of the Transitioned ADF and </w:t>
      </w:r>
      <w:r>
        <w:br/>
      </w:r>
      <w:r w:rsidRPr="00666A33">
        <w:t>16</w:t>
      </w:r>
      <w:r>
        <w:t>–</w:t>
      </w:r>
      <w:r w:rsidRPr="00666A33">
        <w:t xml:space="preserve">30% of the 2015 Regular ADF used the internet </w:t>
      </w:r>
      <w:r>
        <w:t xml:space="preserve">to </w:t>
      </w:r>
      <w:r w:rsidRPr="009B1AFA">
        <w:t>seek help or information for or manage mental health issues</w:t>
      </w:r>
      <w:r w:rsidRPr="00666A33">
        <w:t xml:space="preserve">. </w:t>
      </w:r>
    </w:p>
    <w:p w14:paraId="07BFAFEF" w14:textId="77777777" w:rsidR="008F21B7" w:rsidRPr="00CC1D41" w:rsidRDefault="008F21B7" w:rsidP="00133458">
      <w:pPr>
        <w:pStyle w:val="ShadedBullet"/>
      </w:pPr>
      <w:r w:rsidRPr="00666A33">
        <w:t>Internet use to seek help, information or manage mental health issues was generally higher in those with more mental health symptoms.</w:t>
      </w:r>
      <w:r w:rsidRPr="00CC1D41">
        <w:t xml:space="preserve"> </w:t>
      </w:r>
    </w:p>
    <w:p w14:paraId="5FCD2802" w14:textId="77777777" w:rsidR="008F21B7" w:rsidRPr="00CC1D41" w:rsidRDefault="008F21B7" w:rsidP="00133458">
      <w:pPr>
        <w:pStyle w:val="ShadedBullet"/>
      </w:pPr>
      <w:r w:rsidRPr="00666A33">
        <w:t xml:space="preserve">There was no association between self-reported stigma and perceived barriers to care and use of the internet to seek help, information or to manage mental health issues among Transitioned </w:t>
      </w:r>
      <w:r>
        <w:t xml:space="preserve">ADF </w:t>
      </w:r>
      <w:r w:rsidRPr="00666A33">
        <w:t xml:space="preserve">and 2015 Regular ADF members with probable PTSD, alcohol disorder or 12-month suicidal ideation and behaviour. </w:t>
      </w:r>
    </w:p>
    <w:p w14:paraId="5C84B9CE" w14:textId="77777777" w:rsidR="008F21B7" w:rsidRPr="00CC1D41" w:rsidRDefault="008F21B7" w:rsidP="00133458">
      <w:pPr>
        <w:pStyle w:val="ShadedBullet"/>
        <w:keepLines/>
      </w:pPr>
      <w:r w:rsidRPr="00666A33">
        <w:t>Among those with probable anxiety/depression or depressive episodes, Transitioned ADF reporting at least one mental health stigma or at least one perceived barrier were more likely to use the internet to seek help</w:t>
      </w:r>
      <w:r>
        <w:t xml:space="preserve"> or</w:t>
      </w:r>
      <w:r w:rsidRPr="00666A33">
        <w:t xml:space="preserve"> information or manage mental health issues than those with no stigma or barriers.</w:t>
      </w:r>
      <w:r w:rsidRPr="00CC1D41">
        <w:t xml:space="preserve"> </w:t>
      </w:r>
    </w:p>
    <w:p w14:paraId="6AD8EEF2" w14:textId="77777777" w:rsidR="008F21B7" w:rsidRDefault="008F21B7" w:rsidP="00133458">
      <w:pPr>
        <w:pStyle w:val="ShadedBullet"/>
      </w:pPr>
      <w:r w:rsidRPr="00666A33">
        <w:t xml:space="preserve">Among those with probable anxiety/depression or probable generalised anxiety disorder and no barriers, Transitioned ADF members (30.5%) were more likely to use the internet </w:t>
      </w:r>
      <w:r>
        <w:t xml:space="preserve">to </w:t>
      </w:r>
      <w:r w:rsidRPr="009B1AFA">
        <w:t>seek help or information for or manage mental health issues</w:t>
      </w:r>
      <w:r w:rsidRPr="00666A33">
        <w:t xml:space="preserve"> than the 2015 Regular ADF (8.6%). </w:t>
      </w:r>
    </w:p>
    <w:p w14:paraId="5D6CDE03" w14:textId="77777777" w:rsidR="00133458" w:rsidRPr="00CC1D41" w:rsidRDefault="00133458" w:rsidP="00133458"/>
    <w:p w14:paraId="1F53B553" w14:textId="77777777" w:rsidR="008F21B7" w:rsidRPr="00CC1D41" w:rsidRDefault="008F21B7" w:rsidP="00133458">
      <w:pPr>
        <w:pStyle w:val="ShadedBoxTitle"/>
      </w:pPr>
      <w:r w:rsidRPr="00C87D9F">
        <w:rPr>
          <w:w w:val="105"/>
        </w:rPr>
        <w:t>Technology use and psychological distress in Transitioned ADF members aged 18</w:t>
      </w:r>
      <w:r>
        <w:rPr>
          <w:w w:val="105"/>
        </w:rPr>
        <w:t>–</w:t>
      </w:r>
      <w:r w:rsidRPr="00C87D9F">
        <w:rPr>
          <w:w w:val="105"/>
        </w:rPr>
        <w:t>25: Comparison with young adults aged 18</w:t>
      </w:r>
      <w:r>
        <w:rPr>
          <w:w w:val="105"/>
        </w:rPr>
        <w:t>–</w:t>
      </w:r>
      <w:r w:rsidRPr="00C87D9F">
        <w:rPr>
          <w:w w:val="105"/>
        </w:rPr>
        <w:t>25 in the Australian community</w:t>
      </w:r>
    </w:p>
    <w:p w14:paraId="695FEAEB" w14:textId="77777777" w:rsidR="008F21B7" w:rsidRPr="00CC1D41" w:rsidRDefault="008F21B7" w:rsidP="00133458">
      <w:pPr>
        <w:pStyle w:val="ShadedBoxSubheading"/>
      </w:pPr>
      <w:r w:rsidRPr="00C87D9F">
        <w:t>Frequency and duration of internet use</w:t>
      </w:r>
    </w:p>
    <w:p w14:paraId="1FC43B4D" w14:textId="77777777" w:rsidR="008F21B7" w:rsidRPr="00CC1D41" w:rsidRDefault="008F21B7" w:rsidP="00133458">
      <w:pPr>
        <w:pStyle w:val="ShadedBullet"/>
      </w:pPr>
      <w:r w:rsidRPr="00666A33">
        <w:t>A significantly greater proportion of Transitioned ADF young adults reported using the internet every day or almost every day (98.5%) compared to the Young and Well cohort (91.2%).</w:t>
      </w:r>
    </w:p>
    <w:p w14:paraId="4623AB1A" w14:textId="77777777" w:rsidR="008F21B7" w:rsidRPr="00CC1D41" w:rsidRDefault="008F21B7" w:rsidP="00133458">
      <w:pPr>
        <w:pStyle w:val="ShadedBullet"/>
      </w:pPr>
      <w:r w:rsidRPr="00666A33">
        <w:t xml:space="preserve">Transitioned ADF young adults (27.2%) were significantly more likely to report that they used the internet for 5 to 9 hours on a </w:t>
      </w:r>
      <w:r>
        <w:t>week day</w:t>
      </w:r>
      <w:r w:rsidRPr="00666A33">
        <w:t xml:space="preserve"> compared to the Young and Well cohort (15.9%).</w:t>
      </w:r>
    </w:p>
    <w:p w14:paraId="6167CBC6" w14:textId="77777777" w:rsidR="008F21B7" w:rsidRPr="00CC1D41" w:rsidRDefault="008F21B7" w:rsidP="00133458">
      <w:pPr>
        <w:pStyle w:val="ShadedBoxSubheading"/>
      </w:pPr>
      <w:r w:rsidRPr="00C87D9F">
        <w:t xml:space="preserve">Internet use after </w:t>
      </w:r>
      <w:r>
        <w:t>11 pm</w:t>
      </w:r>
      <w:r w:rsidRPr="00C87D9F">
        <w:t xml:space="preserve"> </w:t>
      </w:r>
    </w:p>
    <w:p w14:paraId="66016822" w14:textId="77777777" w:rsidR="008F21B7" w:rsidRPr="00CC1D41" w:rsidRDefault="008F21B7" w:rsidP="00133458">
      <w:pPr>
        <w:pStyle w:val="ShadedBullet"/>
      </w:pPr>
      <w:r w:rsidRPr="0065017B">
        <w:t xml:space="preserve">Transitioned ADF young adults (46.8%) were significantly less likely to use the internet after </w:t>
      </w:r>
      <w:r>
        <w:t>11 pm</w:t>
      </w:r>
      <w:r w:rsidRPr="0065017B">
        <w:t xml:space="preserve"> compared to the Young and Well Cohort (66.0%).</w:t>
      </w:r>
    </w:p>
    <w:p w14:paraId="5F04CE32" w14:textId="77777777" w:rsidR="008F21B7" w:rsidRPr="00CC1D41" w:rsidRDefault="008F21B7" w:rsidP="00133458">
      <w:pPr>
        <w:pStyle w:val="ShadedBoxSubheading"/>
      </w:pPr>
      <w:r w:rsidRPr="00C87D9F">
        <w:t xml:space="preserve">Use of internet for </w:t>
      </w:r>
      <w:r>
        <w:t>m</w:t>
      </w:r>
      <w:r w:rsidRPr="00C87D9F">
        <w:t xml:space="preserve">ental </w:t>
      </w:r>
      <w:r>
        <w:t>h</w:t>
      </w:r>
      <w:r w:rsidRPr="00C87D9F">
        <w:t>ealth</w:t>
      </w:r>
    </w:p>
    <w:p w14:paraId="566738F1" w14:textId="77777777" w:rsidR="008F21B7" w:rsidRPr="00CC1D41" w:rsidRDefault="008F21B7" w:rsidP="00133458">
      <w:pPr>
        <w:pStyle w:val="ShadedBullet"/>
      </w:pPr>
      <w:r w:rsidRPr="0065017B">
        <w:t>The Transitioned ADF young adults (27.4%) were significantly less likely to report using the internet to seek help for or manage mental health issues than the Young and Well Cohort (41.5%).</w:t>
      </w:r>
    </w:p>
    <w:p w14:paraId="51005B27" w14:textId="77777777" w:rsidR="008F21B7" w:rsidRPr="00CC1D41" w:rsidRDefault="008F21B7" w:rsidP="00133458">
      <w:pPr>
        <w:pStyle w:val="ShadedBullet"/>
      </w:pPr>
      <w:r w:rsidRPr="0065017B">
        <w:t>Of those who indicated they had used the internet for mental health issues, the Transitioned ADF young adults were:</w:t>
      </w:r>
      <w:r w:rsidRPr="00CC1D41">
        <w:t xml:space="preserve"> </w:t>
      </w:r>
    </w:p>
    <w:p w14:paraId="15B5CCB3" w14:textId="77777777" w:rsidR="008F21B7" w:rsidRPr="008A51EB" w:rsidRDefault="008F21B7" w:rsidP="008F21B7">
      <w:pPr>
        <w:pStyle w:val="ShadedDash"/>
        <w:rPr>
          <w:rFonts w:eastAsia="MS Gothic"/>
        </w:rPr>
      </w:pPr>
      <w:r>
        <w:tab/>
        <w:t>–</w:t>
      </w:r>
      <w:r>
        <w:tab/>
        <w:t>s</w:t>
      </w:r>
      <w:r w:rsidRPr="0065017B">
        <w:t>ignificantly less likely to find it helpful for getting the kind of information they needed in relation to mental health compared to the Young and Well cohort (very helpful: 7.7% vs 41.2%; not at all helpful: 15.4% vs 1.2%).</w:t>
      </w:r>
    </w:p>
    <w:p w14:paraId="7A7AA738" w14:textId="77777777" w:rsidR="008F21B7" w:rsidRPr="008A51EB" w:rsidRDefault="008F21B7" w:rsidP="008F21B7">
      <w:pPr>
        <w:pStyle w:val="ShadedDash"/>
        <w:rPr>
          <w:rFonts w:eastAsia="MS Gothic"/>
        </w:rPr>
      </w:pPr>
      <w:r>
        <w:tab/>
        <w:t>–</w:t>
      </w:r>
      <w:r>
        <w:tab/>
        <w:t>s</w:t>
      </w:r>
      <w:r w:rsidRPr="0065017B">
        <w:t xml:space="preserve">ignificantly less likely to report it </w:t>
      </w:r>
      <w:r w:rsidRPr="00B10DB0">
        <w:rPr>
          <w:rFonts w:eastAsia="Times New Roman"/>
        </w:rPr>
        <w:t>helped them deal more effectively with mental health problems</w:t>
      </w:r>
      <w:r w:rsidRPr="0065017B">
        <w:t xml:space="preserve"> compared to the Young and Well cohort (helped a little 30.9% vs 53.9%; helped a lot: 6.4% vs 26.2%).</w:t>
      </w:r>
    </w:p>
    <w:p w14:paraId="4E6E1863" w14:textId="77777777" w:rsidR="008F21B7" w:rsidRPr="008A51EB" w:rsidRDefault="008F21B7" w:rsidP="008F21B7">
      <w:pPr>
        <w:pStyle w:val="ShadedDash"/>
        <w:rPr>
          <w:rFonts w:eastAsia="MS Gothic"/>
        </w:rPr>
      </w:pPr>
      <w:r>
        <w:tab/>
        <w:t>–</w:t>
      </w:r>
      <w:r>
        <w:tab/>
        <w:t>s</w:t>
      </w:r>
      <w:r w:rsidRPr="0065017B">
        <w:t>ignificantly more likely to endorse being ‘somewhat dissatisfied’ (20.5% vs 4.2%) and significantly less likely to endorse being ‘very satisfied’ (7.1% vs 20.7%) with the information they received on the internet in relation to mental health compared to the Young and Well cohort.</w:t>
      </w:r>
      <w:r w:rsidRPr="00CC1D41">
        <w:t xml:space="preserve"> </w:t>
      </w:r>
    </w:p>
    <w:p w14:paraId="70AA7058" w14:textId="77777777" w:rsidR="008F21B7" w:rsidRPr="00CC1D41" w:rsidRDefault="008F21B7" w:rsidP="008F21B7">
      <w:pPr>
        <w:pStyle w:val="ShadedBoxSubheading"/>
      </w:pPr>
      <w:r w:rsidRPr="00B10DB0">
        <w:t>Psychological distress and internet use</w:t>
      </w:r>
    </w:p>
    <w:p w14:paraId="55A4CCC3" w14:textId="77777777" w:rsidR="008F21B7" w:rsidRPr="00CC1D41" w:rsidRDefault="008F21B7" w:rsidP="00133458">
      <w:pPr>
        <w:pStyle w:val="ShadedBullet"/>
      </w:pPr>
      <w:r w:rsidRPr="0065017B">
        <w:t xml:space="preserve">Levels of psychological distress were significantly higher </w:t>
      </w:r>
      <w:r>
        <w:t xml:space="preserve">in the </w:t>
      </w:r>
      <w:r w:rsidRPr="0065017B">
        <w:t xml:space="preserve">Transitioned ADF young adults than in young adults in the Australian </w:t>
      </w:r>
      <w:r>
        <w:t>c</w:t>
      </w:r>
      <w:r w:rsidRPr="0065017B">
        <w:t>ommunity (18.6% vs 5.4%).</w:t>
      </w:r>
    </w:p>
    <w:p w14:paraId="2E504B27" w14:textId="77777777" w:rsidR="008F21B7" w:rsidRPr="00CC1D41" w:rsidRDefault="008F21B7" w:rsidP="00133458">
      <w:pPr>
        <w:pStyle w:val="ShadedBullet"/>
        <w:keepNext/>
      </w:pPr>
      <w:r w:rsidRPr="0065017B">
        <w:t>Of those with moderate/high levels of psychological distress:</w:t>
      </w:r>
      <w:r w:rsidRPr="00CC1D41">
        <w:t xml:space="preserve"> </w:t>
      </w:r>
    </w:p>
    <w:p w14:paraId="595FE9BD" w14:textId="77777777" w:rsidR="008F21B7" w:rsidRPr="008A51EB" w:rsidRDefault="008F21B7" w:rsidP="008F21B7">
      <w:pPr>
        <w:pStyle w:val="ShadedDash"/>
        <w:rPr>
          <w:rFonts w:eastAsia="MS Gothic"/>
        </w:rPr>
      </w:pPr>
      <w:r>
        <w:tab/>
        <w:t>–</w:t>
      </w:r>
      <w:r>
        <w:tab/>
        <w:t>t</w:t>
      </w:r>
      <w:r w:rsidRPr="0065017B">
        <w:t>he Transitioned ADF young adults reported using the internet for a longer duration (5</w:t>
      </w:r>
      <w:r>
        <w:t>–</w:t>
      </w:r>
      <w:r w:rsidRPr="0065017B">
        <w:t>10+ hours) (38.7%) compared to the Young and Well cohort (20.1%).</w:t>
      </w:r>
    </w:p>
    <w:p w14:paraId="4F96D7F1" w14:textId="77777777" w:rsidR="008F21B7" w:rsidRDefault="008F21B7" w:rsidP="008F21B7">
      <w:pPr>
        <w:pStyle w:val="ShadedDash"/>
      </w:pPr>
      <w:r>
        <w:tab/>
        <w:t>–</w:t>
      </w:r>
      <w:r>
        <w:tab/>
        <w:t>t</w:t>
      </w:r>
      <w:r w:rsidRPr="0065017B">
        <w:t xml:space="preserve">he Transitioned ADF young adults (50.1%) were significantly less likely to use the internet after </w:t>
      </w:r>
      <w:r>
        <w:t>11 pm</w:t>
      </w:r>
      <w:r w:rsidRPr="0065017B">
        <w:t xml:space="preserve"> compared to the Young and Well cohort (70.7%).</w:t>
      </w:r>
    </w:p>
    <w:p w14:paraId="4A88DE7B" w14:textId="7D79BCE7" w:rsidR="0067118F" w:rsidRDefault="0067118F" w:rsidP="00F476A1">
      <w:pPr>
        <w:spacing w:after="0" w:line="0" w:lineRule="atLeast"/>
      </w:pPr>
    </w:p>
    <w:p w14:paraId="72C831EE" w14:textId="77777777" w:rsidR="008F21B7" w:rsidRDefault="008F21B7" w:rsidP="008F21B7">
      <w:pPr>
        <w:sectPr w:rsidR="008F21B7" w:rsidSect="00FF5B5F">
          <w:footerReference w:type="even" r:id="rId19"/>
          <w:footerReference w:type="default" r:id="rId20"/>
          <w:type w:val="oddPage"/>
          <w:pgSz w:w="9979" w:h="14170" w:code="243"/>
          <w:pgMar w:top="1440" w:right="1152" w:bottom="1440" w:left="1728" w:header="576" w:footer="576" w:gutter="0"/>
          <w:pgNumType w:fmt="lowerRoman"/>
          <w:cols w:space="708"/>
          <w:docGrid w:linePitch="360"/>
        </w:sectPr>
      </w:pPr>
    </w:p>
    <w:p w14:paraId="76B0C558" w14:textId="7FEE4489" w:rsidR="00191932" w:rsidRDefault="00191932" w:rsidP="0047223A">
      <w:pPr>
        <w:pStyle w:val="Heading1a"/>
      </w:pPr>
      <w:r>
        <w:t>Contents</w:t>
      </w:r>
    </w:p>
    <w:p w14:paraId="152C5354" w14:textId="77777777" w:rsidR="00040E45" w:rsidRDefault="0061597C">
      <w:pPr>
        <w:pStyle w:val="TOC1"/>
        <w:rPr>
          <w:rFonts w:asciiTheme="minorHAnsi" w:eastAsiaTheme="minorEastAsia" w:hAnsiTheme="minorHAnsi" w:cstheme="minorBidi"/>
          <w:b w:val="0"/>
          <w:color w:val="auto"/>
          <w:sz w:val="22"/>
          <w:szCs w:val="22"/>
          <w:lang w:eastAsia="en-AU"/>
        </w:rPr>
      </w:pPr>
      <w:r>
        <w:fldChar w:fldCharType="begin"/>
      </w:r>
      <w:r>
        <w:instrText xml:space="preserve"> TOC \o "1-3" \u </w:instrText>
      </w:r>
      <w:r>
        <w:fldChar w:fldCharType="separate"/>
      </w:r>
      <w:r w:rsidR="00040E45">
        <w:t>Key findings</w:t>
      </w:r>
      <w:r w:rsidR="00040E45">
        <w:tab/>
      </w:r>
      <w:r w:rsidR="00040E45">
        <w:fldChar w:fldCharType="begin"/>
      </w:r>
      <w:r w:rsidR="00040E45">
        <w:instrText xml:space="preserve"> PAGEREF _Toc531859154 \h </w:instrText>
      </w:r>
      <w:r w:rsidR="00040E45">
        <w:fldChar w:fldCharType="separate"/>
      </w:r>
      <w:r w:rsidR="00040E45">
        <w:t>iii</w:t>
      </w:r>
      <w:r w:rsidR="00040E45">
        <w:fldChar w:fldCharType="end"/>
      </w:r>
    </w:p>
    <w:p w14:paraId="608580F3" w14:textId="77777777" w:rsidR="00040E45" w:rsidRDefault="00040E45">
      <w:pPr>
        <w:pStyle w:val="TOC1"/>
        <w:rPr>
          <w:rFonts w:asciiTheme="minorHAnsi" w:eastAsiaTheme="minorEastAsia" w:hAnsiTheme="minorHAnsi" w:cstheme="minorBidi"/>
          <w:b w:val="0"/>
          <w:color w:val="auto"/>
          <w:sz w:val="22"/>
          <w:szCs w:val="22"/>
          <w:lang w:eastAsia="en-AU"/>
        </w:rPr>
      </w:pPr>
      <w:r>
        <w:t>Acknowledgements</w:t>
      </w:r>
      <w:r>
        <w:tab/>
      </w:r>
      <w:r>
        <w:fldChar w:fldCharType="begin"/>
      </w:r>
      <w:r>
        <w:instrText xml:space="preserve"> PAGEREF _Toc531859155 \h </w:instrText>
      </w:r>
      <w:r>
        <w:fldChar w:fldCharType="separate"/>
      </w:r>
      <w:r>
        <w:t>xxvii</w:t>
      </w:r>
      <w:r>
        <w:fldChar w:fldCharType="end"/>
      </w:r>
    </w:p>
    <w:p w14:paraId="7CB0D665" w14:textId="77777777" w:rsidR="00040E45" w:rsidRDefault="00040E45">
      <w:pPr>
        <w:pStyle w:val="TOC1"/>
        <w:rPr>
          <w:rFonts w:asciiTheme="minorHAnsi" w:eastAsiaTheme="minorEastAsia" w:hAnsiTheme="minorHAnsi" w:cstheme="minorBidi"/>
          <w:b w:val="0"/>
          <w:color w:val="auto"/>
          <w:sz w:val="22"/>
          <w:szCs w:val="22"/>
          <w:lang w:eastAsia="en-AU"/>
        </w:rPr>
      </w:pPr>
      <w:r>
        <w:t>Transition and Wellbeing Research Programme – an overview</w:t>
      </w:r>
      <w:r>
        <w:tab/>
      </w:r>
      <w:r>
        <w:fldChar w:fldCharType="begin"/>
      </w:r>
      <w:r>
        <w:instrText xml:space="preserve"> PAGEREF _Toc531859156 \h </w:instrText>
      </w:r>
      <w:r>
        <w:fldChar w:fldCharType="separate"/>
      </w:r>
      <w:r>
        <w:t>xxix</w:t>
      </w:r>
      <w:r>
        <w:fldChar w:fldCharType="end"/>
      </w:r>
    </w:p>
    <w:p w14:paraId="271DE504" w14:textId="77777777" w:rsidR="00040E45" w:rsidRDefault="00040E45">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Introduction</w:t>
      </w:r>
      <w:r>
        <w:tab/>
      </w:r>
      <w:r>
        <w:fldChar w:fldCharType="begin"/>
      </w:r>
      <w:r>
        <w:instrText xml:space="preserve"> PAGEREF _Toc531859157 \h </w:instrText>
      </w:r>
      <w:r>
        <w:fldChar w:fldCharType="separate"/>
      </w:r>
      <w:r>
        <w:t>1</w:t>
      </w:r>
      <w:r>
        <w:fldChar w:fldCharType="end"/>
      </w:r>
    </w:p>
    <w:p w14:paraId="40E79BC0"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1.1</w:t>
      </w:r>
      <w:r>
        <w:rPr>
          <w:rFonts w:asciiTheme="minorHAnsi" w:eastAsiaTheme="minorEastAsia" w:hAnsiTheme="minorHAnsi" w:cstheme="minorBidi"/>
          <w:noProof/>
          <w:color w:val="auto"/>
          <w:sz w:val="22"/>
          <w:szCs w:val="22"/>
          <w:lang w:eastAsia="en-AU"/>
        </w:rPr>
        <w:tab/>
      </w:r>
      <w:r>
        <w:rPr>
          <w:noProof/>
        </w:rPr>
        <w:t>Background to the current report</w:t>
      </w:r>
      <w:r>
        <w:rPr>
          <w:noProof/>
        </w:rPr>
        <w:tab/>
      </w:r>
      <w:r>
        <w:rPr>
          <w:noProof/>
        </w:rPr>
        <w:fldChar w:fldCharType="begin"/>
      </w:r>
      <w:r>
        <w:rPr>
          <w:noProof/>
        </w:rPr>
        <w:instrText xml:space="preserve"> PAGEREF _Toc531859158 \h </w:instrText>
      </w:r>
      <w:r>
        <w:rPr>
          <w:noProof/>
        </w:rPr>
      </w:r>
      <w:r>
        <w:rPr>
          <w:noProof/>
        </w:rPr>
        <w:fldChar w:fldCharType="separate"/>
      </w:r>
      <w:r>
        <w:rPr>
          <w:noProof/>
        </w:rPr>
        <w:t>1</w:t>
      </w:r>
      <w:r>
        <w:rPr>
          <w:noProof/>
        </w:rPr>
        <w:fldChar w:fldCharType="end"/>
      </w:r>
    </w:p>
    <w:p w14:paraId="104EF1AA"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1.2</w:t>
      </w:r>
      <w:r>
        <w:rPr>
          <w:rFonts w:asciiTheme="minorHAnsi" w:eastAsiaTheme="minorEastAsia" w:hAnsiTheme="minorHAnsi" w:cstheme="minorBidi"/>
          <w:noProof/>
          <w:color w:val="auto"/>
          <w:sz w:val="22"/>
          <w:szCs w:val="22"/>
          <w:lang w:eastAsia="en-AU"/>
        </w:rPr>
        <w:tab/>
      </w:r>
      <w:r>
        <w:rPr>
          <w:noProof/>
        </w:rPr>
        <w:t>The DVA and Defence healthcare contexts</w:t>
      </w:r>
      <w:r>
        <w:rPr>
          <w:noProof/>
        </w:rPr>
        <w:tab/>
      </w:r>
      <w:r>
        <w:rPr>
          <w:noProof/>
        </w:rPr>
        <w:fldChar w:fldCharType="begin"/>
      </w:r>
      <w:r>
        <w:rPr>
          <w:noProof/>
        </w:rPr>
        <w:instrText xml:space="preserve"> PAGEREF _Toc531859159 \h </w:instrText>
      </w:r>
      <w:r>
        <w:rPr>
          <w:noProof/>
        </w:rPr>
      </w:r>
      <w:r>
        <w:rPr>
          <w:noProof/>
        </w:rPr>
        <w:fldChar w:fldCharType="separate"/>
      </w:r>
      <w:r>
        <w:rPr>
          <w:noProof/>
        </w:rPr>
        <w:t>3</w:t>
      </w:r>
      <w:r>
        <w:rPr>
          <w:noProof/>
        </w:rPr>
        <w:fldChar w:fldCharType="end"/>
      </w:r>
    </w:p>
    <w:p w14:paraId="3F99C33A"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1.3</w:t>
      </w:r>
      <w:r>
        <w:rPr>
          <w:rFonts w:asciiTheme="minorHAnsi" w:eastAsiaTheme="minorEastAsia" w:hAnsiTheme="minorHAnsi" w:cstheme="minorBidi"/>
          <w:noProof/>
          <w:color w:val="auto"/>
          <w:sz w:val="22"/>
          <w:szCs w:val="22"/>
          <w:lang w:eastAsia="en-AU"/>
        </w:rPr>
        <w:tab/>
      </w:r>
      <w:r>
        <w:rPr>
          <w:noProof/>
        </w:rPr>
        <w:t>The use of technology</w:t>
      </w:r>
      <w:r>
        <w:rPr>
          <w:noProof/>
        </w:rPr>
        <w:tab/>
      </w:r>
      <w:r>
        <w:rPr>
          <w:noProof/>
        </w:rPr>
        <w:fldChar w:fldCharType="begin"/>
      </w:r>
      <w:r>
        <w:rPr>
          <w:noProof/>
        </w:rPr>
        <w:instrText xml:space="preserve"> PAGEREF _Toc531859160 \h </w:instrText>
      </w:r>
      <w:r>
        <w:rPr>
          <w:noProof/>
        </w:rPr>
      </w:r>
      <w:r>
        <w:rPr>
          <w:noProof/>
        </w:rPr>
        <w:fldChar w:fldCharType="separate"/>
      </w:r>
      <w:r>
        <w:rPr>
          <w:noProof/>
        </w:rPr>
        <w:t>5</w:t>
      </w:r>
      <w:r>
        <w:rPr>
          <w:noProof/>
        </w:rPr>
        <w:fldChar w:fldCharType="end"/>
      </w:r>
    </w:p>
    <w:p w14:paraId="08E351F4"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1.4</w:t>
      </w:r>
      <w:r>
        <w:rPr>
          <w:rFonts w:asciiTheme="minorHAnsi" w:eastAsiaTheme="minorEastAsia" w:hAnsiTheme="minorHAnsi" w:cstheme="minorBidi"/>
          <w:noProof/>
          <w:color w:val="auto"/>
          <w:sz w:val="22"/>
          <w:szCs w:val="22"/>
          <w:lang w:eastAsia="en-AU"/>
        </w:rPr>
        <w:tab/>
      </w:r>
      <w:r>
        <w:rPr>
          <w:noProof/>
        </w:rPr>
        <w:t>The use of technology to support mental health and wellbeing</w:t>
      </w:r>
      <w:r>
        <w:rPr>
          <w:noProof/>
        </w:rPr>
        <w:tab/>
      </w:r>
      <w:r>
        <w:rPr>
          <w:noProof/>
        </w:rPr>
        <w:fldChar w:fldCharType="begin"/>
      </w:r>
      <w:r>
        <w:rPr>
          <w:noProof/>
        </w:rPr>
        <w:instrText xml:space="preserve"> PAGEREF _Toc531859161 \h </w:instrText>
      </w:r>
      <w:r>
        <w:rPr>
          <w:noProof/>
        </w:rPr>
      </w:r>
      <w:r>
        <w:rPr>
          <w:noProof/>
        </w:rPr>
        <w:fldChar w:fldCharType="separate"/>
      </w:r>
      <w:r>
        <w:rPr>
          <w:noProof/>
        </w:rPr>
        <w:t>7</w:t>
      </w:r>
      <w:r>
        <w:rPr>
          <w:noProof/>
        </w:rPr>
        <w:fldChar w:fldCharType="end"/>
      </w:r>
    </w:p>
    <w:p w14:paraId="13CBB4DE"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1.4.1</w:t>
      </w:r>
      <w:r>
        <w:rPr>
          <w:rFonts w:asciiTheme="minorHAnsi" w:eastAsiaTheme="minorEastAsia" w:hAnsiTheme="minorHAnsi" w:cstheme="minorBidi"/>
          <w:noProof/>
          <w:color w:val="auto"/>
          <w:sz w:val="22"/>
          <w:szCs w:val="22"/>
          <w:lang w:eastAsia="en-AU"/>
        </w:rPr>
        <w:tab/>
      </w:r>
      <w:r>
        <w:rPr>
          <w:noProof/>
        </w:rPr>
        <w:t>Telehealth</w:t>
      </w:r>
      <w:r>
        <w:rPr>
          <w:noProof/>
        </w:rPr>
        <w:tab/>
      </w:r>
      <w:r>
        <w:rPr>
          <w:noProof/>
        </w:rPr>
        <w:fldChar w:fldCharType="begin"/>
      </w:r>
      <w:r>
        <w:rPr>
          <w:noProof/>
        </w:rPr>
        <w:instrText xml:space="preserve"> PAGEREF _Toc531859162 \h </w:instrText>
      </w:r>
      <w:r>
        <w:rPr>
          <w:noProof/>
        </w:rPr>
      </w:r>
      <w:r>
        <w:rPr>
          <w:noProof/>
        </w:rPr>
        <w:fldChar w:fldCharType="separate"/>
      </w:r>
      <w:r>
        <w:rPr>
          <w:noProof/>
        </w:rPr>
        <w:t>7</w:t>
      </w:r>
      <w:r>
        <w:rPr>
          <w:noProof/>
        </w:rPr>
        <w:fldChar w:fldCharType="end"/>
      </w:r>
    </w:p>
    <w:p w14:paraId="08E6571C"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1.4.2</w:t>
      </w:r>
      <w:r>
        <w:rPr>
          <w:rFonts w:asciiTheme="minorHAnsi" w:eastAsiaTheme="minorEastAsia" w:hAnsiTheme="minorHAnsi" w:cstheme="minorBidi"/>
          <w:noProof/>
          <w:color w:val="auto"/>
          <w:sz w:val="22"/>
          <w:szCs w:val="22"/>
          <w:lang w:eastAsia="en-AU"/>
        </w:rPr>
        <w:tab/>
      </w:r>
      <w:r>
        <w:rPr>
          <w:noProof/>
        </w:rPr>
        <w:t>Websites and telephone helplines</w:t>
      </w:r>
      <w:r>
        <w:rPr>
          <w:noProof/>
        </w:rPr>
        <w:tab/>
      </w:r>
      <w:r>
        <w:rPr>
          <w:noProof/>
        </w:rPr>
        <w:fldChar w:fldCharType="begin"/>
      </w:r>
      <w:r>
        <w:rPr>
          <w:noProof/>
        </w:rPr>
        <w:instrText xml:space="preserve"> PAGEREF _Toc531859163 \h </w:instrText>
      </w:r>
      <w:r>
        <w:rPr>
          <w:noProof/>
        </w:rPr>
      </w:r>
      <w:r>
        <w:rPr>
          <w:noProof/>
        </w:rPr>
        <w:fldChar w:fldCharType="separate"/>
      </w:r>
      <w:r>
        <w:rPr>
          <w:noProof/>
        </w:rPr>
        <w:t>9</w:t>
      </w:r>
      <w:r>
        <w:rPr>
          <w:noProof/>
        </w:rPr>
        <w:fldChar w:fldCharType="end"/>
      </w:r>
    </w:p>
    <w:p w14:paraId="07A871F7"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1.4.3</w:t>
      </w:r>
      <w:r>
        <w:rPr>
          <w:rFonts w:asciiTheme="minorHAnsi" w:eastAsiaTheme="minorEastAsia" w:hAnsiTheme="minorHAnsi" w:cstheme="minorBidi"/>
          <w:noProof/>
          <w:color w:val="auto"/>
          <w:sz w:val="22"/>
          <w:szCs w:val="22"/>
          <w:lang w:eastAsia="en-AU"/>
        </w:rPr>
        <w:tab/>
      </w:r>
      <w:r>
        <w:rPr>
          <w:noProof/>
        </w:rPr>
        <w:t>Mobile applications</w:t>
      </w:r>
      <w:r>
        <w:rPr>
          <w:noProof/>
        </w:rPr>
        <w:tab/>
      </w:r>
      <w:r>
        <w:rPr>
          <w:noProof/>
        </w:rPr>
        <w:fldChar w:fldCharType="begin"/>
      </w:r>
      <w:r>
        <w:rPr>
          <w:noProof/>
        </w:rPr>
        <w:instrText xml:space="preserve"> PAGEREF _Toc531859164 \h </w:instrText>
      </w:r>
      <w:r>
        <w:rPr>
          <w:noProof/>
        </w:rPr>
      </w:r>
      <w:r>
        <w:rPr>
          <w:noProof/>
        </w:rPr>
        <w:fldChar w:fldCharType="separate"/>
      </w:r>
      <w:r>
        <w:rPr>
          <w:noProof/>
        </w:rPr>
        <w:t>12</w:t>
      </w:r>
      <w:r>
        <w:rPr>
          <w:noProof/>
        </w:rPr>
        <w:fldChar w:fldCharType="end"/>
      </w:r>
    </w:p>
    <w:p w14:paraId="6428CB53"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1.4.4</w:t>
      </w:r>
      <w:r>
        <w:rPr>
          <w:rFonts w:asciiTheme="minorHAnsi" w:eastAsiaTheme="minorEastAsia" w:hAnsiTheme="minorHAnsi" w:cstheme="minorBidi"/>
          <w:noProof/>
          <w:color w:val="auto"/>
          <w:sz w:val="22"/>
          <w:szCs w:val="22"/>
          <w:lang w:eastAsia="en-AU"/>
        </w:rPr>
        <w:tab/>
      </w:r>
      <w:r>
        <w:rPr>
          <w:noProof/>
        </w:rPr>
        <w:t>Wearables and biometric devices</w:t>
      </w:r>
      <w:r>
        <w:rPr>
          <w:noProof/>
        </w:rPr>
        <w:tab/>
      </w:r>
      <w:r>
        <w:rPr>
          <w:noProof/>
        </w:rPr>
        <w:fldChar w:fldCharType="begin"/>
      </w:r>
      <w:r>
        <w:rPr>
          <w:noProof/>
        </w:rPr>
        <w:instrText xml:space="preserve"> PAGEREF _Toc531859165 \h </w:instrText>
      </w:r>
      <w:r>
        <w:rPr>
          <w:noProof/>
        </w:rPr>
      </w:r>
      <w:r>
        <w:rPr>
          <w:noProof/>
        </w:rPr>
        <w:fldChar w:fldCharType="separate"/>
      </w:r>
      <w:r>
        <w:rPr>
          <w:noProof/>
        </w:rPr>
        <w:t>14</w:t>
      </w:r>
      <w:r>
        <w:rPr>
          <w:noProof/>
        </w:rPr>
        <w:fldChar w:fldCharType="end"/>
      </w:r>
    </w:p>
    <w:p w14:paraId="0C0D0AA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1.4.5</w:t>
      </w:r>
      <w:r>
        <w:rPr>
          <w:rFonts w:asciiTheme="minorHAnsi" w:eastAsiaTheme="minorEastAsia" w:hAnsiTheme="minorHAnsi" w:cstheme="minorBidi"/>
          <w:noProof/>
          <w:color w:val="auto"/>
          <w:sz w:val="22"/>
          <w:szCs w:val="22"/>
          <w:lang w:eastAsia="en-AU"/>
        </w:rPr>
        <w:tab/>
      </w:r>
      <w:r>
        <w:rPr>
          <w:noProof/>
        </w:rPr>
        <w:t>Peer networks and social networking services</w:t>
      </w:r>
      <w:r>
        <w:rPr>
          <w:noProof/>
        </w:rPr>
        <w:tab/>
      </w:r>
      <w:r>
        <w:rPr>
          <w:noProof/>
        </w:rPr>
        <w:fldChar w:fldCharType="begin"/>
      </w:r>
      <w:r>
        <w:rPr>
          <w:noProof/>
        </w:rPr>
        <w:instrText xml:space="preserve"> PAGEREF _Toc531859166 \h </w:instrText>
      </w:r>
      <w:r>
        <w:rPr>
          <w:noProof/>
        </w:rPr>
      </w:r>
      <w:r>
        <w:rPr>
          <w:noProof/>
        </w:rPr>
        <w:fldChar w:fldCharType="separate"/>
      </w:r>
      <w:r>
        <w:rPr>
          <w:noProof/>
        </w:rPr>
        <w:t>15</w:t>
      </w:r>
      <w:r>
        <w:rPr>
          <w:noProof/>
        </w:rPr>
        <w:fldChar w:fldCharType="end"/>
      </w:r>
    </w:p>
    <w:p w14:paraId="6B5E0719"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1.5</w:t>
      </w:r>
      <w:r>
        <w:rPr>
          <w:rFonts w:asciiTheme="minorHAnsi" w:eastAsiaTheme="minorEastAsia" w:hAnsiTheme="minorHAnsi" w:cstheme="minorBidi"/>
          <w:noProof/>
          <w:color w:val="auto"/>
          <w:sz w:val="22"/>
          <w:szCs w:val="22"/>
          <w:lang w:eastAsia="en-AU"/>
        </w:rPr>
        <w:tab/>
      </w:r>
      <w:r>
        <w:rPr>
          <w:noProof/>
        </w:rPr>
        <w:t>What does this mean for service design and digital health?</w:t>
      </w:r>
      <w:r>
        <w:rPr>
          <w:noProof/>
        </w:rPr>
        <w:tab/>
      </w:r>
      <w:r>
        <w:rPr>
          <w:noProof/>
        </w:rPr>
        <w:fldChar w:fldCharType="begin"/>
      </w:r>
      <w:r>
        <w:rPr>
          <w:noProof/>
        </w:rPr>
        <w:instrText xml:space="preserve"> PAGEREF _Toc531859167 \h </w:instrText>
      </w:r>
      <w:r>
        <w:rPr>
          <w:noProof/>
        </w:rPr>
      </w:r>
      <w:r>
        <w:rPr>
          <w:noProof/>
        </w:rPr>
        <w:fldChar w:fldCharType="separate"/>
      </w:r>
      <w:r>
        <w:rPr>
          <w:noProof/>
        </w:rPr>
        <w:t>16</w:t>
      </w:r>
      <w:r>
        <w:rPr>
          <w:noProof/>
        </w:rPr>
        <w:fldChar w:fldCharType="end"/>
      </w:r>
    </w:p>
    <w:p w14:paraId="11433BE7"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1.5.1</w:t>
      </w:r>
      <w:r>
        <w:rPr>
          <w:rFonts w:asciiTheme="minorHAnsi" w:eastAsiaTheme="minorEastAsia" w:hAnsiTheme="minorHAnsi" w:cstheme="minorBidi"/>
          <w:noProof/>
          <w:color w:val="auto"/>
          <w:sz w:val="22"/>
          <w:szCs w:val="22"/>
          <w:lang w:eastAsia="en-AU"/>
        </w:rPr>
        <w:tab/>
      </w:r>
      <w:r>
        <w:rPr>
          <w:noProof/>
        </w:rPr>
        <w:t>The empowered consumer</w:t>
      </w:r>
      <w:r>
        <w:rPr>
          <w:noProof/>
        </w:rPr>
        <w:tab/>
      </w:r>
      <w:r>
        <w:rPr>
          <w:noProof/>
        </w:rPr>
        <w:fldChar w:fldCharType="begin"/>
      </w:r>
      <w:r>
        <w:rPr>
          <w:noProof/>
        </w:rPr>
        <w:instrText xml:space="preserve"> PAGEREF _Toc531859168 \h </w:instrText>
      </w:r>
      <w:r>
        <w:rPr>
          <w:noProof/>
        </w:rPr>
      </w:r>
      <w:r>
        <w:rPr>
          <w:noProof/>
        </w:rPr>
        <w:fldChar w:fldCharType="separate"/>
      </w:r>
      <w:r>
        <w:rPr>
          <w:noProof/>
        </w:rPr>
        <w:t>16</w:t>
      </w:r>
      <w:r>
        <w:rPr>
          <w:noProof/>
        </w:rPr>
        <w:fldChar w:fldCharType="end"/>
      </w:r>
    </w:p>
    <w:p w14:paraId="5B5DBD18"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1.5.2</w:t>
      </w:r>
      <w:r>
        <w:rPr>
          <w:rFonts w:asciiTheme="minorHAnsi" w:eastAsiaTheme="minorEastAsia" w:hAnsiTheme="minorHAnsi" w:cstheme="minorBidi"/>
          <w:noProof/>
          <w:color w:val="auto"/>
          <w:sz w:val="22"/>
          <w:szCs w:val="22"/>
          <w:lang w:eastAsia="en-AU"/>
        </w:rPr>
        <w:tab/>
      </w:r>
      <w:r>
        <w:rPr>
          <w:noProof/>
        </w:rPr>
        <w:t>From self-management to shared care</w:t>
      </w:r>
      <w:r>
        <w:rPr>
          <w:noProof/>
        </w:rPr>
        <w:tab/>
      </w:r>
      <w:r>
        <w:rPr>
          <w:noProof/>
        </w:rPr>
        <w:fldChar w:fldCharType="begin"/>
      </w:r>
      <w:r>
        <w:rPr>
          <w:noProof/>
        </w:rPr>
        <w:instrText xml:space="preserve"> PAGEREF _Toc531859169 \h </w:instrText>
      </w:r>
      <w:r>
        <w:rPr>
          <w:noProof/>
        </w:rPr>
      </w:r>
      <w:r>
        <w:rPr>
          <w:noProof/>
        </w:rPr>
        <w:fldChar w:fldCharType="separate"/>
      </w:r>
      <w:r>
        <w:rPr>
          <w:noProof/>
        </w:rPr>
        <w:t>17</w:t>
      </w:r>
      <w:r>
        <w:rPr>
          <w:noProof/>
        </w:rPr>
        <w:fldChar w:fldCharType="end"/>
      </w:r>
    </w:p>
    <w:p w14:paraId="362C3A0E"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1.6</w:t>
      </w:r>
      <w:r>
        <w:rPr>
          <w:rFonts w:asciiTheme="minorHAnsi" w:eastAsiaTheme="minorEastAsia" w:hAnsiTheme="minorHAnsi" w:cstheme="minorBidi"/>
          <w:noProof/>
          <w:color w:val="auto"/>
          <w:sz w:val="22"/>
          <w:szCs w:val="22"/>
          <w:lang w:eastAsia="en-AU"/>
        </w:rPr>
        <w:tab/>
      </w:r>
      <w:r>
        <w:rPr>
          <w:noProof/>
        </w:rPr>
        <w:t>The current study</w:t>
      </w:r>
      <w:r>
        <w:rPr>
          <w:noProof/>
        </w:rPr>
        <w:tab/>
      </w:r>
      <w:r>
        <w:rPr>
          <w:noProof/>
        </w:rPr>
        <w:fldChar w:fldCharType="begin"/>
      </w:r>
      <w:r>
        <w:rPr>
          <w:noProof/>
        </w:rPr>
        <w:instrText xml:space="preserve"> PAGEREF _Toc531859170 \h </w:instrText>
      </w:r>
      <w:r>
        <w:rPr>
          <w:noProof/>
        </w:rPr>
      </w:r>
      <w:r>
        <w:rPr>
          <w:noProof/>
        </w:rPr>
        <w:fldChar w:fldCharType="separate"/>
      </w:r>
      <w:r>
        <w:rPr>
          <w:noProof/>
        </w:rPr>
        <w:t>18</w:t>
      </w:r>
      <w:r>
        <w:rPr>
          <w:noProof/>
        </w:rPr>
        <w:fldChar w:fldCharType="end"/>
      </w:r>
    </w:p>
    <w:p w14:paraId="59BBF9FC"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1.6.1</w:t>
      </w:r>
      <w:r>
        <w:rPr>
          <w:rFonts w:asciiTheme="minorHAnsi" w:eastAsiaTheme="minorEastAsia" w:hAnsiTheme="minorHAnsi" w:cstheme="minorBidi"/>
          <w:noProof/>
          <w:color w:val="auto"/>
          <w:sz w:val="22"/>
          <w:szCs w:val="22"/>
          <w:lang w:eastAsia="en-AU"/>
        </w:rPr>
        <w:tab/>
      </w:r>
      <w:r>
        <w:rPr>
          <w:noProof/>
        </w:rPr>
        <w:t>Outline and interpretation of this report</w:t>
      </w:r>
      <w:r>
        <w:rPr>
          <w:noProof/>
        </w:rPr>
        <w:tab/>
      </w:r>
      <w:r>
        <w:rPr>
          <w:noProof/>
        </w:rPr>
        <w:fldChar w:fldCharType="begin"/>
      </w:r>
      <w:r>
        <w:rPr>
          <w:noProof/>
        </w:rPr>
        <w:instrText xml:space="preserve"> PAGEREF _Toc531859171 \h </w:instrText>
      </w:r>
      <w:r>
        <w:rPr>
          <w:noProof/>
        </w:rPr>
      </w:r>
      <w:r>
        <w:rPr>
          <w:noProof/>
        </w:rPr>
        <w:fldChar w:fldCharType="separate"/>
      </w:r>
      <w:r>
        <w:rPr>
          <w:noProof/>
        </w:rPr>
        <w:t>18</w:t>
      </w:r>
      <w:r>
        <w:rPr>
          <w:noProof/>
        </w:rPr>
        <w:fldChar w:fldCharType="end"/>
      </w:r>
    </w:p>
    <w:p w14:paraId="1B721CA7" w14:textId="77777777" w:rsidR="00040E45" w:rsidRDefault="00040E45">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Methodology</w:t>
      </w:r>
      <w:r>
        <w:tab/>
      </w:r>
      <w:r>
        <w:fldChar w:fldCharType="begin"/>
      </w:r>
      <w:r>
        <w:instrText xml:space="preserve"> PAGEREF _Toc531859172 \h </w:instrText>
      </w:r>
      <w:r>
        <w:fldChar w:fldCharType="separate"/>
      </w:r>
      <w:r>
        <w:t>23</w:t>
      </w:r>
      <w:r>
        <w:fldChar w:fldCharType="end"/>
      </w:r>
    </w:p>
    <w:p w14:paraId="03C1FFEC"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2.1</w:t>
      </w:r>
      <w:r>
        <w:rPr>
          <w:rFonts w:asciiTheme="minorHAnsi" w:eastAsiaTheme="minorEastAsia" w:hAnsiTheme="minorHAnsi" w:cstheme="minorBidi"/>
          <w:noProof/>
          <w:color w:val="auto"/>
          <w:sz w:val="22"/>
          <w:szCs w:val="22"/>
          <w:lang w:eastAsia="en-AU"/>
        </w:rPr>
        <w:tab/>
      </w:r>
      <w:r>
        <w:rPr>
          <w:noProof/>
        </w:rPr>
        <w:t>Study design</w:t>
      </w:r>
      <w:r>
        <w:rPr>
          <w:noProof/>
        </w:rPr>
        <w:tab/>
      </w:r>
      <w:r>
        <w:rPr>
          <w:noProof/>
        </w:rPr>
        <w:fldChar w:fldCharType="begin"/>
      </w:r>
      <w:r>
        <w:rPr>
          <w:noProof/>
        </w:rPr>
        <w:instrText xml:space="preserve"> PAGEREF _Toc531859173 \h </w:instrText>
      </w:r>
      <w:r>
        <w:rPr>
          <w:noProof/>
        </w:rPr>
      </w:r>
      <w:r>
        <w:rPr>
          <w:noProof/>
        </w:rPr>
        <w:fldChar w:fldCharType="separate"/>
      </w:r>
      <w:r>
        <w:rPr>
          <w:noProof/>
        </w:rPr>
        <w:t>24</w:t>
      </w:r>
      <w:r>
        <w:rPr>
          <w:noProof/>
        </w:rPr>
        <w:fldChar w:fldCharType="end"/>
      </w:r>
    </w:p>
    <w:p w14:paraId="4483BEA0"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2.2</w:t>
      </w:r>
      <w:r>
        <w:rPr>
          <w:rFonts w:asciiTheme="minorHAnsi" w:eastAsiaTheme="minorEastAsia" w:hAnsiTheme="minorHAnsi" w:cstheme="minorBidi"/>
          <w:noProof/>
          <w:color w:val="auto"/>
          <w:sz w:val="22"/>
          <w:szCs w:val="22"/>
          <w:lang w:eastAsia="en-AU"/>
        </w:rPr>
        <w:tab/>
      </w:r>
      <w:r>
        <w:rPr>
          <w:noProof/>
        </w:rPr>
        <w:t>Samples</w:t>
      </w:r>
      <w:r>
        <w:rPr>
          <w:noProof/>
        </w:rPr>
        <w:tab/>
      </w:r>
      <w:r>
        <w:rPr>
          <w:noProof/>
        </w:rPr>
        <w:fldChar w:fldCharType="begin"/>
      </w:r>
      <w:r>
        <w:rPr>
          <w:noProof/>
        </w:rPr>
        <w:instrText xml:space="preserve"> PAGEREF _Toc531859174 \h </w:instrText>
      </w:r>
      <w:r>
        <w:rPr>
          <w:noProof/>
        </w:rPr>
      </w:r>
      <w:r>
        <w:rPr>
          <w:noProof/>
        </w:rPr>
        <w:fldChar w:fldCharType="separate"/>
      </w:r>
      <w:r>
        <w:rPr>
          <w:noProof/>
        </w:rPr>
        <w:t>24</w:t>
      </w:r>
      <w:r>
        <w:rPr>
          <w:noProof/>
        </w:rPr>
        <w:fldChar w:fldCharType="end"/>
      </w:r>
    </w:p>
    <w:p w14:paraId="0D34DB51"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2.3</w:t>
      </w:r>
      <w:r>
        <w:rPr>
          <w:rFonts w:asciiTheme="minorHAnsi" w:eastAsiaTheme="minorEastAsia" w:hAnsiTheme="minorHAnsi" w:cstheme="minorBidi"/>
          <w:noProof/>
          <w:color w:val="auto"/>
          <w:sz w:val="22"/>
          <w:szCs w:val="22"/>
          <w:lang w:eastAsia="en-AU"/>
        </w:rPr>
        <w:tab/>
      </w:r>
      <w:r>
        <w:rPr>
          <w:noProof/>
        </w:rPr>
        <w:t>Population comparison samples</w:t>
      </w:r>
      <w:r>
        <w:rPr>
          <w:noProof/>
        </w:rPr>
        <w:tab/>
      </w:r>
      <w:r>
        <w:rPr>
          <w:noProof/>
        </w:rPr>
        <w:fldChar w:fldCharType="begin"/>
      </w:r>
      <w:r>
        <w:rPr>
          <w:noProof/>
        </w:rPr>
        <w:instrText xml:space="preserve"> PAGEREF _Toc531859175 \h </w:instrText>
      </w:r>
      <w:r>
        <w:rPr>
          <w:noProof/>
        </w:rPr>
      </w:r>
      <w:r>
        <w:rPr>
          <w:noProof/>
        </w:rPr>
        <w:fldChar w:fldCharType="separate"/>
      </w:r>
      <w:r>
        <w:rPr>
          <w:noProof/>
        </w:rPr>
        <w:t>25</w:t>
      </w:r>
      <w:r>
        <w:rPr>
          <w:noProof/>
        </w:rPr>
        <w:fldChar w:fldCharType="end"/>
      </w:r>
    </w:p>
    <w:p w14:paraId="3FCE6813"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2.3.1</w:t>
      </w:r>
      <w:r>
        <w:rPr>
          <w:rFonts w:asciiTheme="minorHAnsi" w:eastAsiaTheme="minorEastAsia" w:hAnsiTheme="minorHAnsi" w:cstheme="minorBidi"/>
          <w:noProof/>
          <w:color w:val="auto"/>
          <w:sz w:val="22"/>
          <w:szCs w:val="22"/>
          <w:lang w:eastAsia="en-AU"/>
        </w:rPr>
        <w:tab/>
      </w:r>
      <w:r>
        <w:rPr>
          <w:noProof/>
        </w:rPr>
        <w:t>Young and Well National Survey (2012)</w:t>
      </w:r>
      <w:r>
        <w:rPr>
          <w:noProof/>
        </w:rPr>
        <w:tab/>
      </w:r>
      <w:r>
        <w:rPr>
          <w:noProof/>
        </w:rPr>
        <w:fldChar w:fldCharType="begin"/>
      </w:r>
      <w:r>
        <w:rPr>
          <w:noProof/>
        </w:rPr>
        <w:instrText xml:space="preserve"> PAGEREF _Toc531859176 \h </w:instrText>
      </w:r>
      <w:r>
        <w:rPr>
          <w:noProof/>
        </w:rPr>
      </w:r>
      <w:r>
        <w:rPr>
          <w:noProof/>
        </w:rPr>
        <w:fldChar w:fldCharType="separate"/>
      </w:r>
      <w:r>
        <w:rPr>
          <w:noProof/>
        </w:rPr>
        <w:t>25</w:t>
      </w:r>
      <w:r>
        <w:rPr>
          <w:noProof/>
        </w:rPr>
        <w:fldChar w:fldCharType="end"/>
      </w:r>
    </w:p>
    <w:p w14:paraId="6C7B7CD6"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2.4</w:t>
      </w:r>
      <w:r>
        <w:rPr>
          <w:rFonts w:asciiTheme="minorHAnsi" w:eastAsiaTheme="minorEastAsia" w:hAnsiTheme="minorHAnsi" w:cstheme="minorBidi"/>
          <w:noProof/>
          <w:color w:val="auto"/>
          <w:sz w:val="22"/>
          <w:szCs w:val="22"/>
          <w:lang w:eastAsia="en-AU"/>
        </w:rPr>
        <w:tab/>
      </w:r>
      <w:r>
        <w:rPr>
          <w:noProof/>
        </w:rPr>
        <w:t>Mental Health and Wellbeing Transition Study Survey response rates</w:t>
      </w:r>
      <w:r>
        <w:rPr>
          <w:noProof/>
        </w:rPr>
        <w:tab/>
      </w:r>
      <w:r>
        <w:rPr>
          <w:noProof/>
        </w:rPr>
        <w:fldChar w:fldCharType="begin"/>
      </w:r>
      <w:r>
        <w:rPr>
          <w:noProof/>
        </w:rPr>
        <w:instrText xml:space="preserve"> PAGEREF _Toc531859177 \h </w:instrText>
      </w:r>
      <w:r>
        <w:rPr>
          <w:noProof/>
        </w:rPr>
      </w:r>
      <w:r>
        <w:rPr>
          <w:noProof/>
        </w:rPr>
        <w:fldChar w:fldCharType="separate"/>
      </w:r>
      <w:r>
        <w:rPr>
          <w:noProof/>
        </w:rPr>
        <w:t>26</w:t>
      </w:r>
      <w:r>
        <w:rPr>
          <w:noProof/>
        </w:rPr>
        <w:fldChar w:fldCharType="end"/>
      </w:r>
    </w:p>
    <w:p w14:paraId="58711913"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2.5</w:t>
      </w:r>
      <w:r>
        <w:rPr>
          <w:rFonts w:asciiTheme="minorHAnsi" w:eastAsiaTheme="minorEastAsia" w:hAnsiTheme="minorHAnsi" w:cstheme="minorBidi"/>
          <w:noProof/>
          <w:color w:val="auto"/>
          <w:sz w:val="22"/>
          <w:szCs w:val="22"/>
          <w:lang w:eastAsia="en-AU"/>
        </w:rPr>
        <w:tab/>
      </w:r>
      <w:r>
        <w:rPr>
          <w:noProof/>
        </w:rPr>
        <w:t>Statistical analysis</w:t>
      </w:r>
      <w:r>
        <w:rPr>
          <w:noProof/>
        </w:rPr>
        <w:tab/>
      </w:r>
      <w:r>
        <w:rPr>
          <w:noProof/>
        </w:rPr>
        <w:fldChar w:fldCharType="begin"/>
      </w:r>
      <w:r>
        <w:rPr>
          <w:noProof/>
        </w:rPr>
        <w:instrText xml:space="preserve"> PAGEREF _Toc531859178 \h </w:instrText>
      </w:r>
      <w:r>
        <w:rPr>
          <w:noProof/>
        </w:rPr>
      </w:r>
      <w:r>
        <w:rPr>
          <w:noProof/>
        </w:rPr>
        <w:fldChar w:fldCharType="separate"/>
      </w:r>
      <w:r>
        <w:rPr>
          <w:noProof/>
        </w:rPr>
        <w:t>30</w:t>
      </w:r>
      <w:r>
        <w:rPr>
          <w:noProof/>
        </w:rPr>
        <w:fldChar w:fldCharType="end"/>
      </w:r>
    </w:p>
    <w:p w14:paraId="05DBC6FF"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2.6</w:t>
      </w:r>
      <w:r>
        <w:rPr>
          <w:rFonts w:asciiTheme="minorHAnsi" w:eastAsiaTheme="minorEastAsia" w:hAnsiTheme="minorHAnsi" w:cstheme="minorBidi"/>
          <w:noProof/>
          <w:color w:val="auto"/>
          <w:sz w:val="22"/>
          <w:szCs w:val="22"/>
          <w:lang w:eastAsia="en-AU"/>
        </w:rPr>
        <w:tab/>
      </w:r>
      <w:r>
        <w:rPr>
          <w:noProof/>
        </w:rPr>
        <w:t>Weighting</w:t>
      </w:r>
      <w:r>
        <w:rPr>
          <w:noProof/>
        </w:rPr>
        <w:tab/>
      </w:r>
      <w:r>
        <w:rPr>
          <w:noProof/>
        </w:rPr>
        <w:fldChar w:fldCharType="begin"/>
      </w:r>
      <w:r>
        <w:rPr>
          <w:noProof/>
        </w:rPr>
        <w:instrText xml:space="preserve"> PAGEREF _Toc531859179 \h </w:instrText>
      </w:r>
      <w:r>
        <w:rPr>
          <w:noProof/>
        </w:rPr>
      </w:r>
      <w:r>
        <w:rPr>
          <w:noProof/>
        </w:rPr>
        <w:fldChar w:fldCharType="separate"/>
      </w:r>
      <w:r>
        <w:rPr>
          <w:noProof/>
        </w:rPr>
        <w:t>30</w:t>
      </w:r>
      <w:r>
        <w:rPr>
          <w:noProof/>
        </w:rPr>
        <w:fldChar w:fldCharType="end"/>
      </w:r>
    </w:p>
    <w:p w14:paraId="5B6DD6FD"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2.6.1</w:t>
      </w:r>
      <w:r>
        <w:rPr>
          <w:rFonts w:asciiTheme="minorHAnsi" w:eastAsiaTheme="minorEastAsia" w:hAnsiTheme="minorHAnsi" w:cstheme="minorBidi"/>
          <w:noProof/>
          <w:color w:val="auto"/>
          <w:sz w:val="22"/>
          <w:szCs w:val="22"/>
          <w:lang w:eastAsia="en-AU"/>
        </w:rPr>
        <w:tab/>
      </w:r>
      <w:r>
        <w:rPr>
          <w:noProof/>
        </w:rPr>
        <w:t>Estimates from survey</w:t>
      </w:r>
      <w:r>
        <w:rPr>
          <w:noProof/>
        </w:rPr>
        <w:tab/>
      </w:r>
      <w:r>
        <w:rPr>
          <w:noProof/>
        </w:rPr>
        <w:fldChar w:fldCharType="begin"/>
      </w:r>
      <w:r>
        <w:rPr>
          <w:noProof/>
        </w:rPr>
        <w:instrText xml:space="preserve"> PAGEREF _Toc531859180 \h </w:instrText>
      </w:r>
      <w:r>
        <w:rPr>
          <w:noProof/>
        </w:rPr>
      </w:r>
      <w:r>
        <w:rPr>
          <w:noProof/>
        </w:rPr>
        <w:fldChar w:fldCharType="separate"/>
      </w:r>
      <w:r>
        <w:rPr>
          <w:noProof/>
        </w:rPr>
        <w:t>31</w:t>
      </w:r>
      <w:r>
        <w:rPr>
          <w:noProof/>
        </w:rPr>
        <w:fldChar w:fldCharType="end"/>
      </w:r>
    </w:p>
    <w:p w14:paraId="1FDD8426"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2.7</w:t>
      </w:r>
      <w:r>
        <w:rPr>
          <w:rFonts w:asciiTheme="minorHAnsi" w:eastAsiaTheme="minorEastAsia" w:hAnsiTheme="minorHAnsi" w:cstheme="minorBidi"/>
          <w:noProof/>
          <w:color w:val="auto"/>
          <w:sz w:val="22"/>
          <w:szCs w:val="22"/>
          <w:lang w:eastAsia="en-AU"/>
        </w:rPr>
        <w:tab/>
      </w:r>
      <w:r>
        <w:rPr>
          <w:noProof/>
        </w:rPr>
        <w:t>Measures used in the current report</w:t>
      </w:r>
      <w:r>
        <w:rPr>
          <w:noProof/>
        </w:rPr>
        <w:tab/>
      </w:r>
      <w:r>
        <w:rPr>
          <w:noProof/>
        </w:rPr>
        <w:fldChar w:fldCharType="begin"/>
      </w:r>
      <w:r>
        <w:rPr>
          <w:noProof/>
        </w:rPr>
        <w:instrText xml:space="preserve"> PAGEREF _Toc531859181 \h </w:instrText>
      </w:r>
      <w:r>
        <w:rPr>
          <w:noProof/>
        </w:rPr>
      </w:r>
      <w:r>
        <w:rPr>
          <w:noProof/>
        </w:rPr>
        <w:fldChar w:fldCharType="separate"/>
      </w:r>
      <w:r>
        <w:rPr>
          <w:noProof/>
        </w:rPr>
        <w:t>32</w:t>
      </w:r>
      <w:r>
        <w:rPr>
          <w:noProof/>
        </w:rPr>
        <w:fldChar w:fldCharType="end"/>
      </w:r>
    </w:p>
    <w:p w14:paraId="10237049"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2.7.1</w:t>
      </w:r>
      <w:r>
        <w:rPr>
          <w:rFonts w:asciiTheme="minorHAnsi" w:eastAsiaTheme="minorEastAsia" w:hAnsiTheme="minorHAnsi" w:cstheme="minorBidi"/>
          <w:noProof/>
          <w:color w:val="auto"/>
          <w:sz w:val="22"/>
          <w:szCs w:val="22"/>
          <w:lang w:eastAsia="en-AU"/>
        </w:rPr>
        <w:tab/>
      </w:r>
      <w:r>
        <w:rPr>
          <w:noProof/>
        </w:rPr>
        <w:t>Self-report survey</w:t>
      </w:r>
      <w:r>
        <w:rPr>
          <w:noProof/>
        </w:rPr>
        <w:tab/>
      </w:r>
      <w:r>
        <w:rPr>
          <w:noProof/>
        </w:rPr>
        <w:fldChar w:fldCharType="begin"/>
      </w:r>
      <w:r>
        <w:rPr>
          <w:noProof/>
        </w:rPr>
        <w:instrText xml:space="preserve"> PAGEREF _Toc531859182 \h </w:instrText>
      </w:r>
      <w:r>
        <w:rPr>
          <w:noProof/>
        </w:rPr>
      </w:r>
      <w:r>
        <w:rPr>
          <w:noProof/>
        </w:rPr>
        <w:fldChar w:fldCharType="separate"/>
      </w:r>
      <w:r>
        <w:rPr>
          <w:noProof/>
        </w:rPr>
        <w:t>32</w:t>
      </w:r>
      <w:r>
        <w:rPr>
          <w:noProof/>
        </w:rPr>
        <w:fldChar w:fldCharType="end"/>
      </w:r>
    </w:p>
    <w:p w14:paraId="3A976920" w14:textId="77777777" w:rsidR="00040E45" w:rsidRDefault="00040E45">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Demographic characteristics in Transitioned ADF and 2015 Regular ADF</w:t>
      </w:r>
      <w:r>
        <w:tab/>
      </w:r>
      <w:r>
        <w:fldChar w:fldCharType="begin"/>
      </w:r>
      <w:r>
        <w:instrText xml:space="preserve"> PAGEREF _Toc531859183 \h </w:instrText>
      </w:r>
      <w:r>
        <w:fldChar w:fldCharType="separate"/>
      </w:r>
      <w:r>
        <w:t>37</w:t>
      </w:r>
      <w:r>
        <w:fldChar w:fldCharType="end"/>
      </w:r>
    </w:p>
    <w:p w14:paraId="5DA8CAD6"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3.1</w:t>
      </w:r>
      <w:r>
        <w:rPr>
          <w:rFonts w:asciiTheme="minorHAnsi" w:eastAsiaTheme="minorEastAsia" w:hAnsiTheme="minorHAnsi" w:cstheme="minorBidi"/>
          <w:noProof/>
          <w:color w:val="auto"/>
          <w:sz w:val="22"/>
          <w:szCs w:val="22"/>
          <w:lang w:eastAsia="en-AU"/>
        </w:rPr>
        <w:tab/>
      </w:r>
      <w:r>
        <w:rPr>
          <w:noProof/>
        </w:rPr>
        <w:t>Demographic characteristics of Transitioned ADF and 2015 Regular ADF</w:t>
      </w:r>
      <w:r>
        <w:rPr>
          <w:noProof/>
        </w:rPr>
        <w:tab/>
      </w:r>
      <w:r>
        <w:rPr>
          <w:noProof/>
        </w:rPr>
        <w:fldChar w:fldCharType="begin"/>
      </w:r>
      <w:r>
        <w:rPr>
          <w:noProof/>
        </w:rPr>
        <w:instrText xml:space="preserve"> PAGEREF _Toc531859184 \h </w:instrText>
      </w:r>
      <w:r>
        <w:rPr>
          <w:noProof/>
        </w:rPr>
      </w:r>
      <w:r>
        <w:rPr>
          <w:noProof/>
        </w:rPr>
        <w:fldChar w:fldCharType="separate"/>
      </w:r>
      <w:r>
        <w:rPr>
          <w:noProof/>
        </w:rPr>
        <w:t>38</w:t>
      </w:r>
      <w:r>
        <w:rPr>
          <w:noProof/>
        </w:rPr>
        <w:fldChar w:fldCharType="end"/>
      </w:r>
    </w:p>
    <w:p w14:paraId="2F7A6842"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3.2</w:t>
      </w:r>
      <w:r>
        <w:rPr>
          <w:rFonts w:asciiTheme="minorHAnsi" w:eastAsiaTheme="minorEastAsia" w:hAnsiTheme="minorHAnsi" w:cstheme="minorBidi"/>
          <w:noProof/>
          <w:color w:val="auto"/>
          <w:sz w:val="22"/>
          <w:szCs w:val="22"/>
          <w:lang w:eastAsia="en-AU"/>
        </w:rPr>
        <w:tab/>
      </w:r>
      <w:r>
        <w:rPr>
          <w:noProof/>
        </w:rPr>
        <w:t>Demographic characteristics of the Transitioned ADF</w:t>
      </w:r>
      <w:r>
        <w:rPr>
          <w:noProof/>
        </w:rPr>
        <w:tab/>
      </w:r>
      <w:r>
        <w:rPr>
          <w:noProof/>
        </w:rPr>
        <w:fldChar w:fldCharType="begin"/>
      </w:r>
      <w:r>
        <w:rPr>
          <w:noProof/>
        </w:rPr>
        <w:instrText xml:space="preserve"> PAGEREF _Toc531859185 \h </w:instrText>
      </w:r>
      <w:r>
        <w:rPr>
          <w:noProof/>
        </w:rPr>
      </w:r>
      <w:r>
        <w:rPr>
          <w:noProof/>
        </w:rPr>
        <w:fldChar w:fldCharType="separate"/>
      </w:r>
      <w:r>
        <w:rPr>
          <w:noProof/>
        </w:rPr>
        <w:t>41</w:t>
      </w:r>
      <w:r>
        <w:rPr>
          <w:noProof/>
        </w:rPr>
        <w:fldChar w:fldCharType="end"/>
      </w:r>
    </w:p>
    <w:p w14:paraId="05FE70C4" w14:textId="77777777" w:rsidR="00040E45" w:rsidRDefault="00040E45">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Internet use and attitudes to using the internet in Transitioned and 2015 Regular ADF</w:t>
      </w:r>
      <w:r>
        <w:tab/>
      </w:r>
      <w:r>
        <w:fldChar w:fldCharType="begin"/>
      </w:r>
      <w:r>
        <w:instrText xml:space="preserve"> PAGEREF _Toc531859186 \h </w:instrText>
      </w:r>
      <w:r>
        <w:fldChar w:fldCharType="separate"/>
      </w:r>
      <w:r>
        <w:t>47</w:t>
      </w:r>
      <w:r>
        <w:fldChar w:fldCharType="end"/>
      </w:r>
    </w:p>
    <w:p w14:paraId="0D38B8F1"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4.1</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_Toc531859187 \h </w:instrText>
      </w:r>
      <w:r>
        <w:rPr>
          <w:noProof/>
        </w:rPr>
      </w:r>
      <w:r>
        <w:rPr>
          <w:noProof/>
        </w:rPr>
        <w:fldChar w:fldCharType="separate"/>
      </w:r>
      <w:r>
        <w:rPr>
          <w:noProof/>
        </w:rPr>
        <w:t>48</w:t>
      </w:r>
      <w:r>
        <w:rPr>
          <w:noProof/>
        </w:rPr>
        <w:fldChar w:fldCharType="end"/>
      </w:r>
    </w:p>
    <w:p w14:paraId="541BAFB2"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4.2</w:t>
      </w:r>
      <w:r>
        <w:rPr>
          <w:rFonts w:asciiTheme="minorHAnsi" w:eastAsiaTheme="minorEastAsia" w:hAnsiTheme="minorHAnsi" w:cstheme="minorBidi"/>
          <w:noProof/>
          <w:color w:val="auto"/>
          <w:sz w:val="22"/>
          <w:szCs w:val="22"/>
          <w:lang w:eastAsia="en-AU"/>
        </w:rPr>
        <w:tab/>
      </w:r>
      <w:r>
        <w:rPr>
          <w:noProof/>
        </w:rPr>
        <w:t>Frequency, duration and timing of internet use</w:t>
      </w:r>
      <w:r>
        <w:rPr>
          <w:noProof/>
        </w:rPr>
        <w:tab/>
      </w:r>
      <w:r>
        <w:rPr>
          <w:noProof/>
        </w:rPr>
        <w:fldChar w:fldCharType="begin"/>
      </w:r>
      <w:r>
        <w:rPr>
          <w:noProof/>
        </w:rPr>
        <w:instrText xml:space="preserve"> PAGEREF _Toc531859188 \h </w:instrText>
      </w:r>
      <w:r>
        <w:rPr>
          <w:noProof/>
        </w:rPr>
      </w:r>
      <w:r>
        <w:rPr>
          <w:noProof/>
        </w:rPr>
        <w:fldChar w:fldCharType="separate"/>
      </w:r>
      <w:r>
        <w:rPr>
          <w:noProof/>
        </w:rPr>
        <w:t>50</w:t>
      </w:r>
      <w:r>
        <w:rPr>
          <w:noProof/>
        </w:rPr>
        <w:fldChar w:fldCharType="end"/>
      </w:r>
    </w:p>
    <w:p w14:paraId="453017B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4.2.1</w:t>
      </w:r>
      <w:r>
        <w:rPr>
          <w:rFonts w:asciiTheme="minorHAnsi" w:eastAsiaTheme="minorEastAsia" w:hAnsiTheme="minorHAnsi" w:cstheme="minorBidi"/>
          <w:noProof/>
          <w:color w:val="auto"/>
          <w:sz w:val="22"/>
          <w:szCs w:val="22"/>
          <w:lang w:eastAsia="en-AU"/>
        </w:rPr>
        <w:tab/>
      </w:r>
      <w:r>
        <w:rPr>
          <w:noProof/>
        </w:rPr>
        <w:t>Frequency of internet use</w:t>
      </w:r>
      <w:r>
        <w:rPr>
          <w:noProof/>
        </w:rPr>
        <w:tab/>
      </w:r>
      <w:r>
        <w:rPr>
          <w:noProof/>
        </w:rPr>
        <w:fldChar w:fldCharType="begin"/>
      </w:r>
      <w:r>
        <w:rPr>
          <w:noProof/>
        </w:rPr>
        <w:instrText xml:space="preserve"> PAGEREF _Toc531859189 \h </w:instrText>
      </w:r>
      <w:r>
        <w:rPr>
          <w:noProof/>
        </w:rPr>
      </w:r>
      <w:r>
        <w:rPr>
          <w:noProof/>
        </w:rPr>
        <w:fldChar w:fldCharType="separate"/>
      </w:r>
      <w:r>
        <w:rPr>
          <w:noProof/>
        </w:rPr>
        <w:t>50</w:t>
      </w:r>
      <w:r>
        <w:rPr>
          <w:noProof/>
        </w:rPr>
        <w:fldChar w:fldCharType="end"/>
      </w:r>
    </w:p>
    <w:p w14:paraId="610A3EA3"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4.2.2</w:t>
      </w:r>
      <w:r>
        <w:rPr>
          <w:rFonts w:asciiTheme="minorHAnsi" w:eastAsiaTheme="minorEastAsia" w:hAnsiTheme="minorHAnsi" w:cstheme="minorBidi"/>
          <w:noProof/>
          <w:color w:val="auto"/>
          <w:sz w:val="22"/>
          <w:szCs w:val="22"/>
          <w:lang w:eastAsia="en-AU"/>
        </w:rPr>
        <w:tab/>
      </w:r>
      <w:r>
        <w:rPr>
          <w:noProof/>
        </w:rPr>
        <w:t>Methods used to search for information on the internet</w:t>
      </w:r>
      <w:r>
        <w:rPr>
          <w:noProof/>
        </w:rPr>
        <w:tab/>
      </w:r>
      <w:r>
        <w:rPr>
          <w:noProof/>
        </w:rPr>
        <w:fldChar w:fldCharType="begin"/>
      </w:r>
      <w:r>
        <w:rPr>
          <w:noProof/>
        </w:rPr>
        <w:instrText xml:space="preserve"> PAGEREF _Toc531859190 \h </w:instrText>
      </w:r>
      <w:r>
        <w:rPr>
          <w:noProof/>
        </w:rPr>
      </w:r>
      <w:r>
        <w:rPr>
          <w:noProof/>
        </w:rPr>
        <w:fldChar w:fldCharType="separate"/>
      </w:r>
      <w:r>
        <w:rPr>
          <w:noProof/>
        </w:rPr>
        <w:t>50</w:t>
      </w:r>
      <w:r>
        <w:rPr>
          <w:noProof/>
        </w:rPr>
        <w:fldChar w:fldCharType="end"/>
      </w:r>
    </w:p>
    <w:p w14:paraId="6111E2C8"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4.2.3</w:t>
      </w:r>
      <w:r>
        <w:rPr>
          <w:rFonts w:asciiTheme="minorHAnsi" w:eastAsiaTheme="minorEastAsia" w:hAnsiTheme="minorHAnsi" w:cstheme="minorBidi"/>
          <w:noProof/>
          <w:color w:val="auto"/>
          <w:sz w:val="22"/>
          <w:szCs w:val="22"/>
          <w:lang w:eastAsia="en-AU"/>
        </w:rPr>
        <w:tab/>
      </w:r>
      <w:r>
        <w:rPr>
          <w:noProof/>
        </w:rPr>
        <w:t>Duration of internet use on a normal work day</w:t>
      </w:r>
      <w:r>
        <w:rPr>
          <w:noProof/>
        </w:rPr>
        <w:tab/>
      </w:r>
      <w:r>
        <w:rPr>
          <w:noProof/>
        </w:rPr>
        <w:fldChar w:fldCharType="begin"/>
      </w:r>
      <w:r>
        <w:rPr>
          <w:noProof/>
        </w:rPr>
        <w:instrText xml:space="preserve"> PAGEREF _Toc531859191 \h </w:instrText>
      </w:r>
      <w:r>
        <w:rPr>
          <w:noProof/>
        </w:rPr>
      </w:r>
      <w:r>
        <w:rPr>
          <w:noProof/>
        </w:rPr>
        <w:fldChar w:fldCharType="separate"/>
      </w:r>
      <w:r>
        <w:rPr>
          <w:noProof/>
        </w:rPr>
        <w:t>51</w:t>
      </w:r>
      <w:r>
        <w:rPr>
          <w:noProof/>
        </w:rPr>
        <w:fldChar w:fldCharType="end"/>
      </w:r>
    </w:p>
    <w:p w14:paraId="0635FE42"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4.2.4</w:t>
      </w:r>
      <w:r>
        <w:rPr>
          <w:rFonts w:asciiTheme="minorHAnsi" w:eastAsiaTheme="minorEastAsia" w:hAnsiTheme="minorHAnsi" w:cstheme="minorBidi"/>
          <w:noProof/>
          <w:color w:val="auto"/>
          <w:sz w:val="22"/>
          <w:szCs w:val="22"/>
          <w:lang w:eastAsia="en-AU"/>
        </w:rPr>
        <w:tab/>
      </w:r>
      <w:r>
        <w:rPr>
          <w:noProof/>
        </w:rPr>
        <w:t>Internet use after 11 pm</w:t>
      </w:r>
      <w:r>
        <w:rPr>
          <w:noProof/>
        </w:rPr>
        <w:tab/>
      </w:r>
      <w:r>
        <w:rPr>
          <w:noProof/>
        </w:rPr>
        <w:fldChar w:fldCharType="begin"/>
      </w:r>
      <w:r>
        <w:rPr>
          <w:noProof/>
        </w:rPr>
        <w:instrText xml:space="preserve"> PAGEREF _Toc531859192 \h </w:instrText>
      </w:r>
      <w:r>
        <w:rPr>
          <w:noProof/>
        </w:rPr>
      </w:r>
      <w:r>
        <w:rPr>
          <w:noProof/>
        </w:rPr>
        <w:fldChar w:fldCharType="separate"/>
      </w:r>
      <w:r>
        <w:rPr>
          <w:noProof/>
        </w:rPr>
        <w:t>52</w:t>
      </w:r>
      <w:r>
        <w:rPr>
          <w:noProof/>
        </w:rPr>
        <w:fldChar w:fldCharType="end"/>
      </w:r>
    </w:p>
    <w:p w14:paraId="6067D728"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4.3</w:t>
      </w:r>
      <w:r>
        <w:rPr>
          <w:rFonts w:asciiTheme="minorHAnsi" w:eastAsiaTheme="minorEastAsia" w:hAnsiTheme="minorHAnsi" w:cstheme="minorBidi"/>
          <w:noProof/>
          <w:color w:val="auto"/>
          <w:sz w:val="22"/>
          <w:szCs w:val="22"/>
          <w:lang w:eastAsia="en-AU"/>
        </w:rPr>
        <w:tab/>
      </w:r>
      <w:r>
        <w:rPr>
          <w:noProof/>
        </w:rPr>
        <w:t>Attitudes to using the internet in Transitioned ADF and 2015 Regular ADF</w:t>
      </w:r>
      <w:r>
        <w:rPr>
          <w:noProof/>
        </w:rPr>
        <w:tab/>
      </w:r>
      <w:r>
        <w:rPr>
          <w:noProof/>
        </w:rPr>
        <w:fldChar w:fldCharType="begin"/>
      </w:r>
      <w:r>
        <w:rPr>
          <w:noProof/>
        </w:rPr>
        <w:instrText xml:space="preserve"> PAGEREF _Toc531859193 \h </w:instrText>
      </w:r>
      <w:r>
        <w:rPr>
          <w:noProof/>
        </w:rPr>
      </w:r>
      <w:r>
        <w:rPr>
          <w:noProof/>
        </w:rPr>
        <w:fldChar w:fldCharType="separate"/>
      </w:r>
      <w:r>
        <w:rPr>
          <w:noProof/>
        </w:rPr>
        <w:t>53</w:t>
      </w:r>
      <w:r>
        <w:rPr>
          <w:noProof/>
        </w:rPr>
        <w:fldChar w:fldCharType="end"/>
      </w:r>
    </w:p>
    <w:p w14:paraId="0AB607AE"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4.3.1</w:t>
      </w:r>
      <w:r>
        <w:rPr>
          <w:rFonts w:asciiTheme="minorHAnsi" w:eastAsiaTheme="minorEastAsia" w:hAnsiTheme="minorHAnsi" w:cstheme="minorBidi"/>
          <w:noProof/>
          <w:color w:val="auto"/>
          <w:sz w:val="22"/>
          <w:szCs w:val="22"/>
          <w:lang w:eastAsia="en-AU"/>
        </w:rPr>
        <w:tab/>
      </w:r>
      <w:r>
        <w:rPr>
          <w:noProof/>
        </w:rPr>
        <w:t>Easier to be myself online than face to face</w:t>
      </w:r>
      <w:r>
        <w:rPr>
          <w:noProof/>
        </w:rPr>
        <w:tab/>
      </w:r>
      <w:r>
        <w:rPr>
          <w:noProof/>
        </w:rPr>
        <w:fldChar w:fldCharType="begin"/>
      </w:r>
      <w:r>
        <w:rPr>
          <w:noProof/>
        </w:rPr>
        <w:instrText xml:space="preserve"> PAGEREF _Toc531859194 \h </w:instrText>
      </w:r>
      <w:r>
        <w:rPr>
          <w:noProof/>
        </w:rPr>
      </w:r>
      <w:r>
        <w:rPr>
          <w:noProof/>
        </w:rPr>
        <w:fldChar w:fldCharType="separate"/>
      </w:r>
      <w:r>
        <w:rPr>
          <w:noProof/>
        </w:rPr>
        <w:t>53</w:t>
      </w:r>
      <w:r>
        <w:rPr>
          <w:noProof/>
        </w:rPr>
        <w:fldChar w:fldCharType="end"/>
      </w:r>
    </w:p>
    <w:p w14:paraId="0451522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4.3.2</w:t>
      </w:r>
      <w:r>
        <w:rPr>
          <w:rFonts w:asciiTheme="minorHAnsi" w:eastAsiaTheme="minorEastAsia" w:hAnsiTheme="minorHAnsi" w:cstheme="minorBidi"/>
          <w:noProof/>
          <w:color w:val="auto"/>
          <w:sz w:val="22"/>
          <w:szCs w:val="22"/>
          <w:lang w:eastAsia="en-AU"/>
        </w:rPr>
        <w:tab/>
      </w:r>
      <w:r>
        <w:rPr>
          <w:noProof/>
        </w:rPr>
        <w:t>Talked about different things online than when face to face</w:t>
      </w:r>
      <w:r>
        <w:rPr>
          <w:noProof/>
        </w:rPr>
        <w:tab/>
      </w:r>
      <w:r>
        <w:rPr>
          <w:noProof/>
        </w:rPr>
        <w:fldChar w:fldCharType="begin"/>
      </w:r>
      <w:r>
        <w:rPr>
          <w:noProof/>
        </w:rPr>
        <w:instrText xml:space="preserve"> PAGEREF _Toc531859195 \h </w:instrText>
      </w:r>
      <w:r>
        <w:rPr>
          <w:noProof/>
        </w:rPr>
      </w:r>
      <w:r>
        <w:rPr>
          <w:noProof/>
        </w:rPr>
        <w:fldChar w:fldCharType="separate"/>
      </w:r>
      <w:r>
        <w:rPr>
          <w:noProof/>
        </w:rPr>
        <w:t>54</w:t>
      </w:r>
      <w:r>
        <w:rPr>
          <w:noProof/>
        </w:rPr>
        <w:fldChar w:fldCharType="end"/>
      </w:r>
    </w:p>
    <w:p w14:paraId="3EC8DDD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4.3.3</w:t>
      </w:r>
      <w:r>
        <w:rPr>
          <w:rFonts w:asciiTheme="minorHAnsi" w:eastAsiaTheme="minorEastAsia" w:hAnsiTheme="minorHAnsi" w:cstheme="minorBidi"/>
          <w:noProof/>
          <w:color w:val="auto"/>
          <w:sz w:val="22"/>
          <w:szCs w:val="22"/>
          <w:lang w:eastAsia="en-AU"/>
        </w:rPr>
        <w:tab/>
      </w:r>
      <w:r>
        <w:rPr>
          <w:noProof/>
        </w:rPr>
        <w:t>Talked about private things online that were not shared with people face to face</w:t>
      </w:r>
      <w:r>
        <w:rPr>
          <w:noProof/>
        </w:rPr>
        <w:tab/>
      </w:r>
      <w:r>
        <w:rPr>
          <w:noProof/>
        </w:rPr>
        <w:fldChar w:fldCharType="begin"/>
      </w:r>
      <w:r>
        <w:rPr>
          <w:noProof/>
        </w:rPr>
        <w:instrText xml:space="preserve"> PAGEREF _Toc531859196 \h </w:instrText>
      </w:r>
      <w:r>
        <w:rPr>
          <w:noProof/>
        </w:rPr>
      </w:r>
      <w:r>
        <w:rPr>
          <w:noProof/>
        </w:rPr>
        <w:fldChar w:fldCharType="separate"/>
      </w:r>
      <w:r>
        <w:rPr>
          <w:noProof/>
        </w:rPr>
        <w:t>55</w:t>
      </w:r>
      <w:r>
        <w:rPr>
          <w:noProof/>
        </w:rPr>
        <w:fldChar w:fldCharType="end"/>
      </w:r>
    </w:p>
    <w:p w14:paraId="3AF31B68"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4.3.4</w:t>
      </w:r>
      <w:r>
        <w:rPr>
          <w:rFonts w:asciiTheme="minorHAnsi" w:eastAsiaTheme="minorEastAsia" w:hAnsiTheme="minorHAnsi" w:cstheme="minorBidi"/>
          <w:noProof/>
          <w:color w:val="auto"/>
          <w:sz w:val="22"/>
          <w:szCs w:val="22"/>
          <w:lang w:eastAsia="en-AU"/>
        </w:rPr>
        <w:tab/>
      </w:r>
      <w:r>
        <w:rPr>
          <w:noProof/>
        </w:rPr>
        <w:t>Went online more often on weekends than on a regular work day</w:t>
      </w:r>
      <w:r>
        <w:rPr>
          <w:noProof/>
        </w:rPr>
        <w:tab/>
      </w:r>
      <w:r>
        <w:rPr>
          <w:noProof/>
        </w:rPr>
        <w:fldChar w:fldCharType="begin"/>
      </w:r>
      <w:r>
        <w:rPr>
          <w:noProof/>
        </w:rPr>
        <w:instrText xml:space="preserve"> PAGEREF _Toc531859197 \h </w:instrText>
      </w:r>
      <w:r>
        <w:rPr>
          <w:noProof/>
        </w:rPr>
      </w:r>
      <w:r>
        <w:rPr>
          <w:noProof/>
        </w:rPr>
        <w:fldChar w:fldCharType="separate"/>
      </w:r>
      <w:r>
        <w:rPr>
          <w:noProof/>
        </w:rPr>
        <w:t>56</w:t>
      </w:r>
      <w:r>
        <w:rPr>
          <w:noProof/>
        </w:rPr>
        <w:fldChar w:fldCharType="end"/>
      </w:r>
    </w:p>
    <w:p w14:paraId="1B6F3542"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4.3.5</w:t>
      </w:r>
      <w:r>
        <w:rPr>
          <w:rFonts w:asciiTheme="minorHAnsi" w:eastAsiaTheme="minorEastAsia" w:hAnsiTheme="minorHAnsi" w:cstheme="minorBidi"/>
          <w:noProof/>
          <w:color w:val="auto"/>
          <w:sz w:val="22"/>
          <w:szCs w:val="22"/>
          <w:lang w:eastAsia="en-AU"/>
        </w:rPr>
        <w:tab/>
      </w:r>
      <w:r>
        <w:rPr>
          <w:noProof/>
        </w:rPr>
        <w:t>Went online more often when going through a difficult time</w:t>
      </w:r>
      <w:r>
        <w:rPr>
          <w:noProof/>
        </w:rPr>
        <w:tab/>
      </w:r>
      <w:r>
        <w:rPr>
          <w:noProof/>
        </w:rPr>
        <w:fldChar w:fldCharType="begin"/>
      </w:r>
      <w:r>
        <w:rPr>
          <w:noProof/>
        </w:rPr>
        <w:instrText xml:space="preserve"> PAGEREF _Toc531859198 \h </w:instrText>
      </w:r>
      <w:r>
        <w:rPr>
          <w:noProof/>
        </w:rPr>
      </w:r>
      <w:r>
        <w:rPr>
          <w:noProof/>
        </w:rPr>
        <w:fldChar w:fldCharType="separate"/>
      </w:r>
      <w:r>
        <w:rPr>
          <w:noProof/>
        </w:rPr>
        <w:t>57</w:t>
      </w:r>
      <w:r>
        <w:rPr>
          <w:noProof/>
        </w:rPr>
        <w:fldChar w:fldCharType="end"/>
      </w:r>
    </w:p>
    <w:p w14:paraId="145ADB9A"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4.3.6</w:t>
      </w:r>
      <w:r>
        <w:rPr>
          <w:rFonts w:asciiTheme="minorHAnsi" w:eastAsiaTheme="minorEastAsia" w:hAnsiTheme="minorHAnsi" w:cstheme="minorBidi"/>
          <w:noProof/>
          <w:color w:val="auto"/>
          <w:sz w:val="22"/>
          <w:szCs w:val="22"/>
          <w:lang w:eastAsia="en-AU"/>
        </w:rPr>
        <w:tab/>
      </w:r>
      <w:r>
        <w:rPr>
          <w:noProof/>
        </w:rPr>
        <w:t>Going online when going through a difficult time makes me feel better</w:t>
      </w:r>
      <w:r>
        <w:rPr>
          <w:noProof/>
        </w:rPr>
        <w:tab/>
      </w:r>
      <w:r>
        <w:rPr>
          <w:noProof/>
        </w:rPr>
        <w:fldChar w:fldCharType="begin"/>
      </w:r>
      <w:r>
        <w:rPr>
          <w:noProof/>
        </w:rPr>
        <w:instrText xml:space="preserve"> PAGEREF _Toc531859199 \h </w:instrText>
      </w:r>
      <w:r>
        <w:rPr>
          <w:noProof/>
        </w:rPr>
      </w:r>
      <w:r>
        <w:rPr>
          <w:noProof/>
        </w:rPr>
        <w:fldChar w:fldCharType="separate"/>
      </w:r>
      <w:r>
        <w:rPr>
          <w:noProof/>
        </w:rPr>
        <w:t>58</w:t>
      </w:r>
      <w:r>
        <w:rPr>
          <w:noProof/>
        </w:rPr>
        <w:fldChar w:fldCharType="end"/>
      </w:r>
    </w:p>
    <w:p w14:paraId="7CA76661"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4.4</w:t>
      </w:r>
      <w:r>
        <w:rPr>
          <w:rFonts w:asciiTheme="minorHAnsi" w:eastAsiaTheme="minorEastAsia" w:hAnsiTheme="minorHAnsi" w:cstheme="minorBidi"/>
          <w:noProof/>
          <w:color w:val="auto"/>
          <w:sz w:val="22"/>
          <w:szCs w:val="22"/>
          <w:lang w:eastAsia="en-AU"/>
        </w:rPr>
        <w:tab/>
      </w:r>
      <w:r>
        <w:rPr>
          <w:noProof/>
        </w:rPr>
        <w:t>Probable disorder and its relationship with internet use and attitudes towards using the internet</w:t>
      </w:r>
      <w:r>
        <w:rPr>
          <w:noProof/>
        </w:rPr>
        <w:tab/>
      </w:r>
      <w:r>
        <w:rPr>
          <w:noProof/>
        </w:rPr>
        <w:fldChar w:fldCharType="begin"/>
      </w:r>
      <w:r>
        <w:rPr>
          <w:noProof/>
        </w:rPr>
        <w:instrText xml:space="preserve"> PAGEREF _Toc531859200 \h </w:instrText>
      </w:r>
      <w:r>
        <w:rPr>
          <w:noProof/>
        </w:rPr>
      </w:r>
      <w:r>
        <w:rPr>
          <w:noProof/>
        </w:rPr>
        <w:fldChar w:fldCharType="separate"/>
      </w:r>
      <w:r>
        <w:rPr>
          <w:noProof/>
        </w:rPr>
        <w:t>60</w:t>
      </w:r>
      <w:r>
        <w:rPr>
          <w:noProof/>
        </w:rPr>
        <w:fldChar w:fldCharType="end"/>
      </w:r>
    </w:p>
    <w:p w14:paraId="3D0F835C"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4.4.1</w:t>
      </w:r>
      <w:r>
        <w:rPr>
          <w:rFonts w:asciiTheme="minorHAnsi" w:eastAsiaTheme="minorEastAsia" w:hAnsiTheme="minorHAnsi" w:cstheme="minorBidi"/>
          <w:noProof/>
          <w:color w:val="auto"/>
          <w:sz w:val="22"/>
          <w:szCs w:val="22"/>
          <w:lang w:eastAsia="en-AU"/>
        </w:rPr>
        <w:tab/>
      </w:r>
      <w:r>
        <w:rPr>
          <w:noProof/>
        </w:rPr>
        <w:t>Frequency, duration and timing of internet use in Transitioned ADF and 2015 Regular ADF with and without probable disorder</w:t>
      </w:r>
      <w:r>
        <w:rPr>
          <w:noProof/>
        </w:rPr>
        <w:tab/>
      </w:r>
      <w:r>
        <w:rPr>
          <w:noProof/>
        </w:rPr>
        <w:fldChar w:fldCharType="begin"/>
      </w:r>
      <w:r>
        <w:rPr>
          <w:noProof/>
        </w:rPr>
        <w:instrText xml:space="preserve"> PAGEREF _Toc531859201 \h </w:instrText>
      </w:r>
      <w:r>
        <w:rPr>
          <w:noProof/>
        </w:rPr>
      </w:r>
      <w:r>
        <w:rPr>
          <w:noProof/>
        </w:rPr>
        <w:fldChar w:fldCharType="separate"/>
      </w:r>
      <w:r>
        <w:rPr>
          <w:noProof/>
        </w:rPr>
        <w:t>60</w:t>
      </w:r>
      <w:r>
        <w:rPr>
          <w:noProof/>
        </w:rPr>
        <w:fldChar w:fldCharType="end"/>
      </w:r>
    </w:p>
    <w:p w14:paraId="172F3E76"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4.4.2</w:t>
      </w:r>
      <w:r>
        <w:rPr>
          <w:rFonts w:asciiTheme="minorHAnsi" w:eastAsiaTheme="minorEastAsia" w:hAnsiTheme="minorHAnsi" w:cstheme="minorBidi"/>
          <w:noProof/>
          <w:color w:val="auto"/>
          <w:sz w:val="22"/>
          <w:szCs w:val="22"/>
          <w:lang w:eastAsia="en-AU"/>
        </w:rPr>
        <w:tab/>
      </w:r>
      <w:r>
        <w:rPr>
          <w:noProof/>
        </w:rPr>
        <w:t>Attitudes towards internet use among Transitioned ADF and 2015 Regular ADF with and without probable disorder</w:t>
      </w:r>
      <w:r>
        <w:rPr>
          <w:noProof/>
        </w:rPr>
        <w:tab/>
      </w:r>
      <w:r>
        <w:rPr>
          <w:noProof/>
        </w:rPr>
        <w:fldChar w:fldCharType="begin"/>
      </w:r>
      <w:r>
        <w:rPr>
          <w:noProof/>
        </w:rPr>
        <w:instrText xml:space="preserve"> PAGEREF _Toc531859202 \h </w:instrText>
      </w:r>
      <w:r>
        <w:rPr>
          <w:noProof/>
        </w:rPr>
      </w:r>
      <w:r>
        <w:rPr>
          <w:noProof/>
        </w:rPr>
        <w:fldChar w:fldCharType="separate"/>
      </w:r>
      <w:r>
        <w:rPr>
          <w:noProof/>
        </w:rPr>
        <w:t>60</w:t>
      </w:r>
      <w:r>
        <w:rPr>
          <w:noProof/>
        </w:rPr>
        <w:fldChar w:fldCharType="end"/>
      </w:r>
    </w:p>
    <w:p w14:paraId="0A7BE6C6" w14:textId="77777777" w:rsidR="00040E45" w:rsidRDefault="00040E45">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Use of new and emerging technology in Transitioned and 2015 Regular ADF</w:t>
      </w:r>
      <w:r>
        <w:tab/>
      </w:r>
      <w:r>
        <w:fldChar w:fldCharType="begin"/>
      </w:r>
      <w:r>
        <w:instrText xml:space="preserve"> PAGEREF _Toc531859203 \h </w:instrText>
      </w:r>
      <w:r>
        <w:fldChar w:fldCharType="separate"/>
      </w:r>
      <w:r>
        <w:t>65</w:t>
      </w:r>
      <w:r>
        <w:fldChar w:fldCharType="end"/>
      </w:r>
    </w:p>
    <w:p w14:paraId="4E50EC5B"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5.1</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_Toc531859204 \h </w:instrText>
      </w:r>
      <w:r>
        <w:rPr>
          <w:noProof/>
        </w:rPr>
      </w:r>
      <w:r>
        <w:rPr>
          <w:noProof/>
        </w:rPr>
        <w:fldChar w:fldCharType="separate"/>
      </w:r>
      <w:r>
        <w:rPr>
          <w:noProof/>
        </w:rPr>
        <w:t>66</w:t>
      </w:r>
      <w:r>
        <w:rPr>
          <w:noProof/>
        </w:rPr>
        <w:fldChar w:fldCharType="end"/>
      </w:r>
    </w:p>
    <w:p w14:paraId="11884244"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5.2</w:t>
      </w:r>
      <w:r>
        <w:rPr>
          <w:rFonts w:asciiTheme="minorHAnsi" w:eastAsiaTheme="minorEastAsia" w:hAnsiTheme="minorHAnsi" w:cstheme="minorBidi"/>
          <w:noProof/>
          <w:color w:val="auto"/>
          <w:sz w:val="22"/>
          <w:szCs w:val="22"/>
          <w:lang w:eastAsia="en-AU"/>
        </w:rPr>
        <w:tab/>
      </w:r>
      <w:r>
        <w:rPr>
          <w:noProof/>
        </w:rPr>
        <w:t>Current use of new and emerging technologies</w:t>
      </w:r>
      <w:r>
        <w:rPr>
          <w:noProof/>
        </w:rPr>
        <w:tab/>
      </w:r>
      <w:r>
        <w:rPr>
          <w:noProof/>
        </w:rPr>
        <w:fldChar w:fldCharType="begin"/>
      </w:r>
      <w:r>
        <w:rPr>
          <w:noProof/>
        </w:rPr>
        <w:instrText xml:space="preserve"> PAGEREF _Toc531859205 \h </w:instrText>
      </w:r>
      <w:r>
        <w:rPr>
          <w:noProof/>
        </w:rPr>
      </w:r>
      <w:r>
        <w:rPr>
          <w:noProof/>
        </w:rPr>
        <w:fldChar w:fldCharType="separate"/>
      </w:r>
      <w:r>
        <w:rPr>
          <w:noProof/>
        </w:rPr>
        <w:t>67</w:t>
      </w:r>
      <w:r>
        <w:rPr>
          <w:noProof/>
        </w:rPr>
        <w:fldChar w:fldCharType="end"/>
      </w:r>
    </w:p>
    <w:p w14:paraId="3362F110"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5.2.1</w:t>
      </w:r>
      <w:r>
        <w:rPr>
          <w:rFonts w:asciiTheme="minorHAnsi" w:eastAsiaTheme="minorEastAsia" w:hAnsiTheme="minorHAnsi" w:cstheme="minorBidi"/>
          <w:noProof/>
          <w:color w:val="auto"/>
          <w:sz w:val="22"/>
          <w:szCs w:val="22"/>
          <w:lang w:eastAsia="en-AU"/>
        </w:rPr>
        <w:tab/>
      </w:r>
      <w:r>
        <w:rPr>
          <w:noProof/>
        </w:rPr>
        <w:t>Types of new and emerging technologies used</w:t>
      </w:r>
      <w:r>
        <w:rPr>
          <w:noProof/>
        </w:rPr>
        <w:tab/>
      </w:r>
      <w:r>
        <w:rPr>
          <w:noProof/>
        </w:rPr>
        <w:fldChar w:fldCharType="begin"/>
      </w:r>
      <w:r>
        <w:rPr>
          <w:noProof/>
        </w:rPr>
        <w:instrText xml:space="preserve"> PAGEREF _Toc531859206 \h </w:instrText>
      </w:r>
      <w:r>
        <w:rPr>
          <w:noProof/>
        </w:rPr>
      </w:r>
      <w:r>
        <w:rPr>
          <w:noProof/>
        </w:rPr>
        <w:fldChar w:fldCharType="separate"/>
      </w:r>
      <w:r>
        <w:rPr>
          <w:noProof/>
        </w:rPr>
        <w:t>68</w:t>
      </w:r>
      <w:r>
        <w:rPr>
          <w:noProof/>
        </w:rPr>
        <w:fldChar w:fldCharType="end"/>
      </w:r>
    </w:p>
    <w:p w14:paraId="75C6BBCA"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5.2.2</w:t>
      </w:r>
      <w:r>
        <w:rPr>
          <w:rFonts w:asciiTheme="minorHAnsi" w:eastAsiaTheme="minorEastAsia" w:hAnsiTheme="minorHAnsi" w:cstheme="minorBidi"/>
          <w:noProof/>
          <w:color w:val="auto"/>
          <w:sz w:val="22"/>
          <w:szCs w:val="22"/>
          <w:lang w:eastAsia="en-AU"/>
        </w:rPr>
        <w:tab/>
      </w:r>
      <w:r>
        <w:rPr>
          <w:noProof/>
        </w:rPr>
        <w:t>Barriers to using new and emerging technologies</w:t>
      </w:r>
      <w:r>
        <w:rPr>
          <w:noProof/>
        </w:rPr>
        <w:tab/>
      </w:r>
      <w:r>
        <w:rPr>
          <w:noProof/>
        </w:rPr>
        <w:fldChar w:fldCharType="begin"/>
      </w:r>
      <w:r>
        <w:rPr>
          <w:noProof/>
        </w:rPr>
        <w:instrText xml:space="preserve"> PAGEREF _Toc531859207 \h </w:instrText>
      </w:r>
      <w:r>
        <w:rPr>
          <w:noProof/>
        </w:rPr>
      </w:r>
      <w:r>
        <w:rPr>
          <w:noProof/>
        </w:rPr>
        <w:fldChar w:fldCharType="separate"/>
      </w:r>
      <w:r>
        <w:rPr>
          <w:noProof/>
        </w:rPr>
        <w:t>69</w:t>
      </w:r>
      <w:r>
        <w:rPr>
          <w:noProof/>
        </w:rPr>
        <w:fldChar w:fldCharType="end"/>
      </w:r>
    </w:p>
    <w:p w14:paraId="641F3170"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5.3</w:t>
      </w:r>
      <w:r>
        <w:rPr>
          <w:rFonts w:asciiTheme="minorHAnsi" w:eastAsiaTheme="minorEastAsia" w:hAnsiTheme="minorHAnsi" w:cstheme="minorBidi"/>
          <w:noProof/>
          <w:color w:val="auto"/>
          <w:sz w:val="22"/>
          <w:szCs w:val="22"/>
          <w:lang w:eastAsia="en-AU"/>
        </w:rPr>
        <w:tab/>
      </w:r>
      <w:r>
        <w:rPr>
          <w:noProof/>
        </w:rPr>
        <w:t>Desired new and emerging technologies</w:t>
      </w:r>
      <w:r>
        <w:rPr>
          <w:noProof/>
        </w:rPr>
        <w:tab/>
      </w:r>
      <w:r>
        <w:rPr>
          <w:noProof/>
        </w:rPr>
        <w:fldChar w:fldCharType="begin"/>
      </w:r>
      <w:r>
        <w:rPr>
          <w:noProof/>
        </w:rPr>
        <w:instrText xml:space="preserve"> PAGEREF _Toc531859208 \h </w:instrText>
      </w:r>
      <w:r>
        <w:rPr>
          <w:noProof/>
        </w:rPr>
      </w:r>
      <w:r>
        <w:rPr>
          <w:noProof/>
        </w:rPr>
        <w:fldChar w:fldCharType="separate"/>
      </w:r>
      <w:r>
        <w:rPr>
          <w:noProof/>
        </w:rPr>
        <w:t>71</w:t>
      </w:r>
      <w:r>
        <w:rPr>
          <w:noProof/>
        </w:rPr>
        <w:fldChar w:fldCharType="end"/>
      </w:r>
    </w:p>
    <w:p w14:paraId="1BB875AC"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5.4</w:t>
      </w:r>
      <w:r>
        <w:rPr>
          <w:rFonts w:asciiTheme="minorHAnsi" w:eastAsiaTheme="minorEastAsia" w:hAnsiTheme="minorHAnsi" w:cstheme="minorBidi"/>
          <w:noProof/>
          <w:color w:val="auto"/>
          <w:sz w:val="22"/>
          <w:szCs w:val="22"/>
          <w:lang w:eastAsia="en-AU"/>
        </w:rPr>
        <w:tab/>
      </w:r>
      <w:r>
        <w:rPr>
          <w:noProof/>
        </w:rPr>
        <w:t>Best time to purchase new and emerging technologies</w:t>
      </w:r>
      <w:r>
        <w:rPr>
          <w:noProof/>
        </w:rPr>
        <w:tab/>
      </w:r>
      <w:r>
        <w:rPr>
          <w:noProof/>
        </w:rPr>
        <w:fldChar w:fldCharType="begin"/>
      </w:r>
      <w:r>
        <w:rPr>
          <w:noProof/>
        </w:rPr>
        <w:instrText xml:space="preserve"> PAGEREF _Toc531859209 \h </w:instrText>
      </w:r>
      <w:r>
        <w:rPr>
          <w:noProof/>
        </w:rPr>
      </w:r>
      <w:r>
        <w:rPr>
          <w:noProof/>
        </w:rPr>
        <w:fldChar w:fldCharType="separate"/>
      </w:r>
      <w:r>
        <w:rPr>
          <w:noProof/>
        </w:rPr>
        <w:t>72</w:t>
      </w:r>
      <w:r>
        <w:rPr>
          <w:noProof/>
        </w:rPr>
        <w:fldChar w:fldCharType="end"/>
      </w:r>
    </w:p>
    <w:p w14:paraId="0E87151D"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5.5</w:t>
      </w:r>
      <w:r>
        <w:rPr>
          <w:rFonts w:asciiTheme="minorHAnsi" w:eastAsiaTheme="minorEastAsia" w:hAnsiTheme="minorHAnsi" w:cstheme="minorBidi"/>
          <w:noProof/>
          <w:color w:val="auto"/>
          <w:sz w:val="22"/>
          <w:szCs w:val="22"/>
          <w:lang w:eastAsia="en-AU"/>
        </w:rPr>
        <w:tab/>
      </w:r>
      <w:r>
        <w:rPr>
          <w:noProof/>
        </w:rPr>
        <w:t>Current use of new and emerging technologies for the purpose of improving health and wellbeing</w:t>
      </w:r>
      <w:r>
        <w:rPr>
          <w:noProof/>
        </w:rPr>
        <w:tab/>
      </w:r>
      <w:r>
        <w:rPr>
          <w:noProof/>
        </w:rPr>
        <w:fldChar w:fldCharType="begin"/>
      </w:r>
      <w:r>
        <w:rPr>
          <w:noProof/>
        </w:rPr>
        <w:instrText xml:space="preserve"> PAGEREF _Toc531859210 \h </w:instrText>
      </w:r>
      <w:r>
        <w:rPr>
          <w:noProof/>
        </w:rPr>
      </w:r>
      <w:r>
        <w:rPr>
          <w:noProof/>
        </w:rPr>
        <w:fldChar w:fldCharType="separate"/>
      </w:r>
      <w:r>
        <w:rPr>
          <w:noProof/>
        </w:rPr>
        <w:t>73</w:t>
      </w:r>
      <w:r>
        <w:rPr>
          <w:noProof/>
        </w:rPr>
        <w:fldChar w:fldCharType="end"/>
      </w:r>
    </w:p>
    <w:p w14:paraId="6F41B3E7"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5.5.1</w:t>
      </w:r>
      <w:r>
        <w:rPr>
          <w:rFonts w:asciiTheme="minorHAnsi" w:eastAsiaTheme="minorEastAsia" w:hAnsiTheme="minorHAnsi" w:cstheme="minorBidi"/>
          <w:noProof/>
          <w:color w:val="auto"/>
          <w:sz w:val="22"/>
          <w:szCs w:val="22"/>
          <w:lang w:eastAsia="en-AU"/>
        </w:rPr>
        <w:tab/>
      </w:r>
      <w:r>
        <w:rPr>
          <w:noProof/>
        </w:rPr>
        <w:t>The ways in which emerging technologies are used to improve health and wellbeing</w:t>
      </w:r>
      <w:r>
        <w:rPr>
          <w:noProof/>
        </w:rPr>
        <w:tab/>
      </w:r>
      <w:r>
        <w:rPr>
          <w:noProof/>
        </w:rPr>
        <w:fldChar w:fldCharType="begin"/>
      </w:r>
      <w:r>
        <w:rPr>
          <w:noProof/>
        </w:rPr>
        <w:instrText xml:space="preserve"> PAGEREF _Toc531859211 \h </w:instrText>
      </w:r>
      <w:r>
        <w:rPr>
          <w:noProof/>
        </w:rPr>
      </w:r>
      <w:r>
        <w:rPr>
          <w:noProof/>
        </w:rPr>
        <w:fldChar w:fldCharType="separate"/>
      </w:r>
      <w:r>
        <w:rPr>
          <w:noProof/>
        </w:rPr>
        <w:t>74</w:t>
      </w:r>
      <w:r>
        <w:rPr>
          <w:noProof/>
        </w:rPr>
        <w:fldChar w:fldCharType="end"/>
      </w:r>
    </w:p>
    <w:p w14:paraId="469F91DD"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5.5.2</w:t>
      </w:r>
      <w:r>
        <w:rPr>
          <w:rFonts w:asciiTheme="minorHAnsi" w:eastAsiaTheme="minorEastAsia" w:hAnsiTheme="minorHAnsi" w:cstheme="minorBidi"/>
          <w:noProof/>
          <w:color w:val="auto"/>
          <w:sz w:val="22"/>
          <w:szCs w:val="22"/>
          <w:lang w:eastAsia="en-AU"/>
        </w:rPr>
        <w:tab/>
      </w:r>
      <w:r>
        <w:rPr>
          <w:noProof/>
        </w:rPr>
        <w:t>Other reasons for using new and emerging technologies if they are not being used to improve health and wellbeing</w:t>
      </w:r>
      <w:r>
        <w:rPr>
          <w:noProof/>
        </w:rPr>
        <w:tab/>
      </w:r>
      <w:r>
        <w:rPr>
          <w:noProof/>
        </w:rPr>
        <w:fldChar w:fldCharType="begin"/>
      </w:r>
      <w:r>
        <w:rPr>
          <w:noProof/>
        </w:rPr>
        <w:instrText xml:space="preserve"> PAGEREF _Toc531859212 \h </w:instrText>
      </w:r>
      <w:r>
        <w:rPr>
          <w:noProof/>
        </w:rPr>
      </w:r>
      <w:r>
        <w:rPr>
          <w:noProof/>
        </w:rPr>
        <w:fldChar w:fldCharType="separate"/>
      </w:r>
      <w:r>
        <w:rPr>
          <w:noProof/>
        </w:rPr>
        <w:t>75</w:t>
      </w:r>
      <w:r>
        <w:rPr>
          <w:noProof/>
        </w:rPr>
        <w:fldChar w:fldCharType="end"/>
      </w:r>
    </w:p>
    <w:p w14:paraId="72ABA92B"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5.6</w:t>
      </w:r>
      <w:r>
        <w:rPr>
          <w:rFonts w:asciiTheme="minorHAnsi" w:eastAsiaTheme="minorEastAsia" w:hAnsiTheme="minorHAnsi" w:cstheme="minorBidi"/>
          <w:noProof/>
          <w:color w:val="auto"/>
          <w:sz w:val="22"/>
          <w:szCs w:val="22"/>
          <w:lang w:eastAsia="en-AU"/>
        </w:rPr>
        <w:tab/>
      </w:r>
      <w:r>
        <w:rPr>
          <w:noProof/>
        </w:rPr>
        <w:t>Reasons for using emerging technology among Transitioned ADF and 2015 Regular ADF with and without probable disorder</w:t>
      </w:r>
      <w:r>
        <w:rPr>
          <w:noProof/>
        </w:rPr>
        <w:tab/>
      </w:r>
      <w:r>
        <w:rPr>
          <w:noProof/>
        </w:rPr>
        <w:fldChar w:fldCharType="begin"/>
      </w:r>
      <w:r>
        <w:rPr>
          <w:noProof/>
        </w:rPr>
        <w:instrText xml:space="preserve"> PAGEREF _Toc531859213 \h </w:instrText>
      </w:r>
      <w:r>
        <w:rPr>
          <w:noProof/>
        </w:rPr>
      </w:r>
      <w:r>
        <w:rPr>
          <w:noProof/>
        </w:rPr>
        <w:fldChar w:fldCharType="separate"/>
      </w:r>
      <w:r>
        <w:rPr>
          <w:noProof/>
        </w:rPr>
        <w:t>77</w:t>
      </w:r>
      <w:r>
        <w:rPr>
          <w:noProof/>
        </w:rPr>
        <w:fldChar w:fldCharType="end"/>
      </w:r>
    </w:p>
    <w:p w14:paraId="3E85C750"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5.6.1</w:t>
      </w:r>
      <w:r>
        <w:rPr>
          <w:rFonts w:asciiTheme="minorHAnsi" w:eastAsiaTheme="minorEastAsia" w:hAnsiTheme="minorHAnsi" w:cstheme="minorBidi"/>
          <w:noProof/>
          <w:color w:val="auto"/>
          <w:sz w:val="22"/>
          <w:szCs w:val="22"/>
          <w:lang w:eastAsia="en-AU"/>
        </w:rPr>
        <w:tab/>
      </w:r>
      <w:r>
        <w:rPr>
          <w:noProof/>
        </w:rPr>
        <w:t>The ways in which emerging technologies were used to improve health and wellbeing among Transitioned ADF and 2015 Regular ADF with and without probable disorder</w:t>
      </w:r>
      <w:r>
        <w:rPr>
          <w:noProof/>
        </w:rPr>
        <w:tab/>
      </w:r>
      <w:r>
        <w:rPr>
          <w:noProof/>
        </w:rPr>
        <w:fldChar w:fldCharType="begin"/>
      </w:r>
      <w:r>
        <w:rPr>
          <w:noProof/>
        </w:rPr>
        <w:instrText xml:space="preserve"> PAGEREF _Toc531859214 \h </w:instrText>
      </w:r>
      <w:r>
        <w:rPr>
          <w:noProof/>
        </w:rPr>
      </w:r>
      <w:r>
        <w:rPr>
          <w:noProof/>
        </w:rPr>
        <w:fldChar w:fldCharType="separate"/>
      </w:r>
      <w:r>
        <w:rPr>
          <w:noProof/>
        </w:rPr>
        <w:t>77</w:t>
      </w:r>
      <w:r>
        <w:rPr>
          <w:noProof/>
        </w:rPr>
        <w:fldChar w:fldCharType="end"/>
      </w:r>
    </w:p>
    <w:p w14:paraId="2D3C2919"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5.6.2</w:t>
      </w:r>
      <w:r>
        <w:rPr>
          <w:rFonts w:asciiTheme="minorHAnsi" w:eastAsiaTheme="minorEastAsia" w:hAnsiTheme="minorHAnsi" w:cstheme="minorBidi"/>
          <w:noProof/>
          <w:color w:val="auto"/>
          <w:sz w:val="22"/>
          <w:szCs w:val="22"/>
          <w:lang w:eastAsia="en-AU"/>
        </w:rPr>
        <w:tab/>
      </w:r>
      <w:r>
        <w:rPr>
          <w:noProof/>
        </w:rPr>
        <w:t>Other reasons for using new and emerging technologies if they were not being used to improve health and wellbeing among Transitioned ADF and 2015 Regular ADF with and without probable disorder</w:t>
      </w:r>
      <w:r>
        <w:rPr>
          <w:noProof/>
        </w:rPr>
        <w:tab/>
      </w:r>
      <w:r>
        <w:rPr>
          <w:noProof/>
        </w:rPr>
        <w:fldChar w:fldCharType="begin"/>
      </w:r>
      <w:r>
        <w:rPr>
          <w:noProof/>
        </w:rPr>
        <w:instrText xml:space="preserve"> PAGEREF _Toc531859215 \h </w:instrText>
      </w:r>
      <w:r>
        <w:rPr>
          <w:noProof/>
        </w:rPr>
      </w:r>
      <w:r>
        <w:rPr>
          <w:noProof/>
        </w:rPr>
        <w:fldChar w:fldCharType="separate"/>
      </w:r>
      <w:r>
        <w:rPr>
          <w:noProof/>
        </w:rPr>
        <w:t>77</w:t>
      </w:r>
      <w:r>
        <w:rPr>
          <w:noProof/>
        </w:rPr>
        <w:fldChar w:fldCharType="end"/>
      </w:r>
    </w:p>
    <w:p w14:paraId="7801602C" w14:textId="77777777" w:rsidR="00040E45" w:rsidRDefault="00040E45">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Use of the internet to seek mental health information or help (for self or other)</w:t>
      </w:r>
      <w:r>
        <w:tab/>
      </w:r>
      <w:r>
        <w:fldChar w:fldCharType="begin"/>
      </w:r>
      <w:r>
        <w:instrText xml:space="preserve"> PAGEREF _Toc531859216 \h </w:instrText>
      </w:r>
      <w:r>
        <w:fldChar w:fldCharType="separate"/>
      </w:r>
      <w:r>
        <w:t>81</w:t>
      </w:r>
      <w:r>
        <w:fldChar w:fldCharType="end"/>
      </w:r>
    </w:p>
    <w:p w14:paraId="67D36BBF"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6.1</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_Toc531859217 \h </w:instrText>
      </w:r>
      <w:r>
        <w:rPr>
          <w:noProof/>
        </w:rPr>
      </w:r>
      <w:r>
        <w:rPr>
          <w:noProof/>
        </w:rPr>
        <w:fldChar w:fldCharType="separate"/>
      </w:r>
      <w:r>
        <w:rPr>
          <w:noProof/>
        </w:rPr>
        <w:t>81</w:t>
      </w:r>
      <w:r>
        <w:rPr>
          <w:noProof/>
        </w:rPr>
        <w:fldChar w:fldCharType="end"/>
      </w:r>
    </w:p>
    <w:p w14:paraId="34D970A7"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6.2</w:t>
      </w:r>
      <w:r>
        <w:rPr>
          <w:rFonts w:asciiTheme="minorHAnsi" w:eastAsiaTheme="minorEastAsia" w:hAnsiTheme="minorHAnsi" w:cstheme="minorBidi"/>
          <w:noProof/>
          <w:color w:val="auto"/>
          <w:sz w:val="22"/>
          <w:szCs w:val="22"/>
          <w:lang w:eastAsia="en-AU"/>
        </w:rPr>
        <w:tab/>
      </w:r>
      <w:r>
        <w:rPr>
          <w:noProof/>
        </w:rPr>
        <w:t>Use of the internet for seeking help or information, or for managing, mental health issues</w:t>
      </w:r>
      <w:r>
        <w:rPr>
          <w:noProof/>
        </w:rPr>
        <w:tab/>
      </w:r>
      <w:r>
        <w:rPr>
          <w:noProof/>
        </w:rPr>
        <w:fldChar w:fldCharType="begin"/>
      </w:r>
      <w:r>
        <w:rPr>
          <w:noProof/>
        </w:rPr>
        <w:instrText xml:space="preserve"> PAGEREF _Toc531859218 \h </w:instrText>
      </w:r>
      <w:r>
        <w:rPr>
          <w:noProof/>
        </w:rPr>
      </w:r>
      <w:r>
        <w:rPr>
          <w:noProof/>
        </w:rPr>
        <w:fldChar w:fldCharType="separate"/>
      </w:r>
      <w:r>
        <w:rPr>
          <w:noProof/>
        </w:rPr>
        <w:t>82</w:t>
      </w:r>
      <w:r>
        <w:rPr>
          <w:noProof/>
        </w:rPr>
        <w:fldChar w:fldCharType="end"/>
      </w:r>
    </w:p>
    <w:p w14:paraId="14C39096"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6.2.1</w:t>
      </w:r>
      <w:r>
        <w:rPr>
          <w:rFonts w:asciiTheme="minorHAnsi" w:eastAsiaTheme="minorEastAsia" w:hAnsiTheme="minorHAnsi" w:cstheme="minorBidi"/>
          <w:noProof/>
          <w:color w:val="auto"/>
          <w:sz w:val="22"/>
          <w:szCs w:val="22"/>
          <w:lang w:eastAsia="en-AU"/>
        </w:rPr>
        <w:tab/>
      </w:r>
      <w:r>
        <w:rPr>
          <w:noProof/>
        </w:rPr>
        <w:t>Transitioned ADF and 2015 Regular ADF</w:t>
      </w:r>
      <w:r>
        <w:rPr>
          <w:noProof/>
        </w:rPr>
        <w:tab/>
      </w:r>
      <w:r>
        <w:rPr>
          <w:noProof/>
        </w:rPr>
        <w:fldChar w:fldCharType="begin"/>
      </w:r>
      <w:r>
        <w:rPr>
          <w:noProof/>
        </w:rPr>
        <w:instrText xml:space="preserve"> PAGEREF _Toc531859219 \h </w:instrText>
      </w:r>
      <w:r>
        <w:rPr>
          <w:noProof/>
        </w:rPr>
      </w:r>
      <w:r>
        <w:rPr>
          <w:noProof/>
        </w:rPr>
        <w:fldChar w:fldCharType="separate"/>
      </w:r>
      <w:r>
        <w:rPr>
          <w:noProof/>
        </w:rPr>
        <w:t>82</w:t>
      </w:r>
      <w:r>
        <w:rPr>
          <w:noProof/>
        </w:rPr>
        <w:fldChar w:fldCharType="end"/>
      </w:r>
    </w:p>
    <w:p w14:paraId="2D8E7CC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6.2.2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_Toc531859220 \h </w:instrText>
      </w:r>
      <w:r>
        <w:rPr>
          <w:noProof/>
        </w:rPr>
      </w:r>
      <w:r>
        <w:rPr>
          <w:noProof/>
        </w:rPr>
        <w:fldChar w:fldCharType="separate"/>
      </w:r>
      <w:r>
        <w:rPr>
          <w:noProof/>
        </w:rPr>
        <w:t>83</w:t>
      </w:r>
      <w:r>
        <w:rPr>
          <w:noProof/>
        </w:rPr>
        <w:fldChar w:fldCharType="end"/>
      </w:r>
    </w:p>
    <w:p w14:paraId="4E5566D6"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6.3</w:t>
      </w:r>
      <w:r>
        <w:rPr>
          <w:rFonts w:asciiTheme="minorHAnsi" w:eastAsiaTheme="minorEastAsia" w:hAnsiTheme="minorHAnsi" w:cstheme="minorBidi"/>
          <w:noProof/>
          <w:color w:val="auto"/>
          <w:sz w:val="22"/>
          <w:szCs w:val="22"/>
          <w:lang w:eastAsia="en-AU"/>
        </w:rPr>
        <w:tab/>
      </w:r>
      <w:r>
        <w:rPr>
          <w:noProof/>
        </w:rPr>
        <w:t>Use of devices to access the internet</w:t>
      </w:r>
      <w:r>
        <w:rPr>
          <w:noProof/>
        </w:rPr>
        <w:tab/>
      </w:r>
      <w:r>
        <w:rPr>
          <w:noProof/>
        </w:rPr>
        <w:fldChar w:fldCharType="begin"/>
      </w:r>
      <w:r>
        <w:rPr>
          <w:noProof/>
        </w:rPr>
        <w:instrText xml:space="preserve"> PAGEREF _Toc531859221 \h </w:instrText>
      </w:r>
      <w:r>
        <w:rPr>
          <w:noProof/>
        </w:rPr>
      </w:r>
      <w:r>
        <w:rPr>
          <w:noProof/>
        </w:rPr>
        <w:fldChar w:fldCharType="separate"/>
      </w:r>
      <w:r>
        <w:rPr>
          <w:noProof/>
        </w:rPr>
        <w:t>85</w:t>
      </w:r>
      <w:r>
        <w:rPr>
          <w:noProof/>
        </w:rPr>
        <w:fldChar w:fldCharType="end"/>
      </w:r>
    </w:p>
    <w:p w14:paraId="3D56EE58"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6.3.1</w:t>
      </w:r>
      <w:r>
        <w:rPr>
          <w:rFonts w:asciiTheme="minorHAnsi" w:eastAsiaTheme="minorEastAsia" w:hAnsiTheme="minorHAnsi" w:cstheme="minorBidi"/>
          <w:noProof/>
          <w:color w:val="auto"/>
          <w:sz w:val="22"/>
          <w:szCs w:val="22"/>
          <w:lang w:eastAsia="en-AU"/>
        </w:rPr>
        <w:tab/>
      </w:r>
      <w:r>
        <w:rPr>
          <w:noProof/>
        </w:rPr>
        <w:t>Transitioned ADF and 2015 Regular ADF</w:t>
      </w:r>
      <w:r>
        <w:rPr>
          <w:noProof/>
        </w:rPr>
        <w:tab/>
      </w:r>
      <w:r>
        <w:rPr>
          <w:noProof/>
        </w:rPr>
        <w:fldChar w:fldCharType="begin"/>
      </w:r>
      <w:r>
        <w:rPr>
          <w:noProof/>
        </w:rPr>
        <w:instrText xml:space="preserve"> PAGEREF _Toc531859222 \h </w:instrText>
      </w:r>
      <w:r>
        <w:rPr>
          <w:noProof/>
        </w:rPr>
      </w:r>
      <w:r>
        <w:rPr>
          <w:noProof/>
        </w:rPr>
        <w:fldChar w:fldCharType="separate"/>
      </w:r>
      <w:r>
        <w:rPr>
          <w:noProof/>
        </w:rPr>
        <w:t>85</w:t>
      </w:r>
      <w:r>
        <w:rPr>
          <w:noProof/>
        </w:rPr>
        <w:fldChar w:fldCharType="end"/>
      </w:r>
    </w:p>
    <w:p w14:paraId="4B026E33"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6.4</w:t>
      </w:r>
      <w:r>
        <w:rPr>
          <w:rFonts w:asciiTheme="minorHAnsi" w:eastAsiaTheme="minorEastAsia" w:hAnsiTheme="minorHAnsi" w:cstheme="minorBidi"/>
          <w:noProof/>
          <w:color w:val="auto"/>
          <w:sz w:val="22"/>
          <w:szCs w:val="22"/>
          <w:lang w:eastAsia="en-AU"/>
        </w:rPr>
        <w:tab/>
      </w:r>
      <w:r>
        <w:rPr>
          <w:noProof/>
        </w:rPr>
        <w:t>Suitability of available information about mental health on the internet</w:t>
      </w:r>
      <w:r>
        <w:rPr>
          <w:noProof/>
        </w:rPr>
        <w:tab/>
      </w:r>
      <w:r>
        <w:rPr>
          <w:noProof/>
        </w:rPr>
        <w:fldChar w:fldCharType="begin"/>
      </w:r>
      <w:r>
        <w:rPr>
          <w:noProof/>
        </w:rPr>
        <w:instrText xml:space="preserve"> PAGEREF _Toc531859223 \h </w:instrText>
      </w:r>
      <w:r>
        <w:rPr>
          <w:noProof/>
        </w:rPr>
      </w:r>
      <w:r>
        <w:rPr>
          <w:noProof/>
        </w:rPr>
        <w:fldChar w:fldCharType="separate"/>
      </w:r>
      <w:r>
        <w:rPr>
          <w:noProof/>
        </w:rPr>
        <w:t>86</w:t>
      </w:r>
      <w:r>
        <w:rPr>
          <w:noProof/>
        </w:rPr>
        <w:fldChar w:fldCharType="end"/>
      </w:r>
    </w:p>
    <w:p w14:paraId="374A7843"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6.4.1</w:t>
      </w:r>
      <w:r>
        <w:rPr>
          <w:rFonts w:asciiTheme="minorHAnsi" w:eastAsiaTheme="minorEastAsia" w:hAnsiTheme="minorHAnsi" w:cstheme="minorBidi"/>
          <w:noProof/>
          <w:color w:val="auto"/>
          <w:sz w:val="22"/>
          <w:szCs w:val="22"/>
          <w:lang w:eastAsia="en-AU"/>
        </w:rPr>
        <w:tab/>
      </w:r>
      <w:r>
        <w:rPr>
          <w:noProof/>
        </w:rPr>
        <w:t>Overall Transitioned ADF and 2015 Regular ADF</w:t>
      </w:r>
      <w:r>
        <w:rPr>
          <w:noProof/>
        </w:rPr>
        <w:tab/>
      </w:r>
      <w:r>
        <w:rPr>
          <w:noProof/>
        </w:rPr>
        <w:fldChar w:fldCharType="begin"/>
      </w:r>
      <w:r>
        <w:rPr>
          <w:noProof/>
        </w:rPr>
        <w:instrText xml:space="preserve"> PAGEREF _Toc531859224 \h </w:instrText>
      </w:r>
      <w:r>
        <w:rPr>
          <w:noProof/>
        </w:rPr>
      </w:r>
      <w:r>
        <w:rPr>
          <w:noProof/>
        </w:rPr>
        <w:fldChar w:fldCharType="separate"/>
      </w:r>
      <w:r>
        <w:rPr>
          <w:noProof/>
        </w:rPr>
        <w:t>86</w:t>
      </w:r>
      <w:r>
        <w:rPr>
          <w:noProof/>
        </w:rPr>
        <w:fldChar w:fldCharType="end"/>
      </w:r>
    </w:p>
    <w:p w14:paraId="3EF48519"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6.4.2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_Toc531859225 \h </w:instrText>
      </w:r>
      <w:r>
        <w:rPr>
          <w:noProof/>
        </w:rPr>
      </w:r>
      <w:r>
        <w:rPr>
          <w:noProof/>
        </w:rPr>
        <w:fldChar w:fldCharType="separate"/>
      </w:r>
      <w:r>
        <w:rPr>
          <w:noProof/>
        </w:rPr>
        <w:t>87</w:t>
      </w:r>
      <w:r>
        <w:rPr>
          <w:noProof/>
        </w:rPr>
        <w:fldChar w:fldCharType="end"/>
      </w:r>
    </w:p>
    <w:p w14:paraId="45A2D2FE"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6.5</w:t>
      </w:r>
      <w:r>
        <w:rPr>
          <w:rFonts w:asciiTheme="minorHAnsi" w:eastAsiaTheme="minorEastAsia" w:hAnsiTheme="minorHAnsi" w:cstheme="minorBidi"/>
          <w:noProof/>
          <w:color w:val="auto"/>
          <w:sz w:val="22"/>
          <w:szCs w:val="22"/>
          <w:lang w:eastAsia="en-AU"/>
        </w:rPr>
        <w:tab/>
      </w:r>
      <w:r>
        <w:rPr>
          <w:noProof/>
        </w:rPr>
        <w:t>Usefulness of the internet in helping to deal more effectively with mental health problems</w:t>
      </w:r>
      <w:r>
        <w:rPr>
          <w:noProof/>
        </w:rPr>
        <w:tab/>
      </w:r>
      <w:r>
        <w:rPr>
          <w:noProof/>
        </w:rPr>
        <w:fldChar w:fldCharType="begin"/>
      </w:r>
      <w:r>
        <w:rPr>
          <w:noProof/>
        </w:rPr>
        <w:instrText xml:space="preserve"> PAGEREF _Toc531859226 \h </w:instrText>
      </w:r>
      <w:r>
        <w:rPr>
          <w:noProof/>
        </w:rPr>
      </w:r>
      <w:r>
        <w:rPr>
          <w:noProof/>
        </w:rPr>
        <w:fldChar w:fldCharType="separate"/>
      </w:r>
      <w:r>
        <w:rPr>
          <w:noProof/>
        </w:rPr>
        <w:t>89</w:t>
      </w:r>
      <w:r>
        <w:rPr>
          <w:noProof/>
        </w:rPr>
        <w:fldChar w:fldCharType="end"/>
      </w:r>
    </w:p>
    <w:p w14:paraId="12853BFC"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6.5.1</w:t>
      </w:r>
      <w:r>
        <w:rPr>
          <w:rFonts w:asciiTheme="minorHAnsi" w:eastAsiaTheme="minorEastAsia" w:hAnsiTheme="minorHAnsi" w:cstheme="minorBidi"/>
          <w:noProof/>
          <w:color w:val="auto"/>
          <w:sz w:val="22"/>
          <w:szCs w:val="22"/>
          <w:lang w:eastAsia="en-AU"/>
        </w:rPr>
        <w:tab/>
      </w:r>
      <w:r>
        <w:rPr>
          <w:noProof/>
        </w:rPr>
        <w:t>Use of internet for this purpose by Transitioned ADF and 2015 Regular ADF overall</w:t>
      </w:r>
      <w:r>
        <w:rPr>
          <w:noProof/>
        </w:rPr>
        <w:tab/>
      </w:r>
      <w:r>
        <w:rPr>
          <w:noProof/>
        </w:rPr>
        <w:fldChar w:fldCharType="begin"/>
      </w:r>
      <w:r>
        <w:rPr>
          <w:noProof/>
        </w:rPr>
        <w:instrText xml:space="preserve"> PAGEREF _Toc531859227 \h </w:instrText>
      </w:r>
      <w:r>
        <w:rPr>
          <w:noProof/>
        </w:rPr>
      </w:r>
      <w:r>
        <w:rPr>
          <w:noProof/>
        </w:rPr>
        <w:fldChar w:fldCharType="separate"/>
      </w:r>
      <w:r>
        <w:rPr>
          <w:noProof/>
        </w:rPr>
        <w:t>89</w:t>
      </w:r>
      <w:r>
        <w:rPr>
          <w:noProof/>
        </w:rPr>
        <w:fldChar w:fldCharType="end"/>
      </w:r>
    </w:p>
    <w:p w14:paraId="1C5AE0A1"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6.5.2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_Toc531859228 \h </w:instrText>
      </w:r>
      <w:r>
        <w:rPr>
          <w:noProof/>
        </w:rPr>
      </w:r>
      <w:r>
        <w:rPr>
          <w:noProof/>
        </w:rPr>
        <w:fldChar w:fldCharType="separate"/>
      </w:r>
      <w:r>
        <w:rPr>
          <w:noProof/>
        </w:rPr>
        <w:t>90</w:t>
      </w:r>
      <w:r>
        <w:rPr>
          <w:noProof/>
        </w:rPr>
        <w:fldChar w:fldCharType="end"/>
      </w:r>
    </w:p>
    <w:p w14:paraId="65684F29"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6.6</w:t>
      </w:r>
      <w:r>
        <w:rPr>
          <w:rFonts w:asciiTheme="minorHAnsi" w:eastAsiaTheme="minorEastAsia" w:hAnsiTheme="minorHAnsi" w:cstheme="minorBidi"/>
          <w:noProof/>
          <w:color w:val="auto"/>
          <w:sz w:val="22"/>
          <w:szCs w:val="22"/>
          <w:lang w:eastAsia="en-AU"/>
        </w:rPr>
        <w:tab/>
      </w:r>
      <w:r>
        <w:rPr>
          <w:noProof/>
        </w:rPr>
        <w:t>Satisfaction with available information about mental health on the internet</w:t>
      </w:r>
      <w:r>
        <w:rPr>
          <w:noProof/>
        </w:rPr>
        <w:tab/>
      </w:r>
      <w:r>
        <w:rPr>
          <w:noProof/>
        </w:rPr>
        <w:fldChar w:fldCharType="begin"/>
      </w:r>
      <w:r>
        <w:rPr>
          <w:noProof/>
        </w:rPr>
        <w:instrText xml:space="preserve"> PAGEREF _Toc531859229 \h </w:instrText>
      </w:r>
      <w:r>
        <w:rPr>
          <w:noProof/>
        </w:rPr>
      </w:r>
      <w:r>
        <w:rPr>
          <w:noProof/>
        </w:rPr>
        <w:fldChar w:fldCharType="separate"/>
      </w:r>
      <w:r>
        <w:rPr>
          <w:noProof/>
        </w:rPr>
        <w:t>93</w:t>
      </w:r>
      <w:r>
        <w:rPr>
          <w:noProof/>
        </w:rPr>
        <w:fldChar w:fldCharType="end"/>
      </w:r>
    </w:p>
    <w:p w14:paraId="6DB1CD7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6.6.1</w:t>
      </w:r>
      <w:r>
        <w:rPr>
          <w:rFonts w:asciiTheme="minorHAnsi" w:eastAsiaTheme="minorEastAsia" w:hAnsiTheme="minorHAnsi" w:cstheme="minorBidi"/>
          <w:noProof/>
          <w:color w:val="auto"/>
          <w:sz w:val="22"/>
          <w:szCs w:val="22"/>
          <w:lang w:eastAsia="en-AU"/>
        </w:rPr>
        <w:tab/>
      </w:r>
      <w:r>
        <w:rPr>
          <w:noProof/>
        </w:rPr>
        <w:t>Satisfaction among Transitioned ADF and 2015 Regular ADF overall</w:t>
      </w:r>
      <w:r>
        <w:rPr>
          <w:noProof/>
        </w:rPr>
        <w:tab/>
      </w:r>
      <w:r>
        <w:rPr>
          <w:noProof/>
        </w:rPr>
        <w:fldChar w:fldCharType="begin"/>
      </w:r>
      <w:r>
        <w:rPr>
          <w:noProof/>
        </w:rPr>
        <w:instrText xml:space="preserve"> PAGEREF _Toc531859230 \h </w:instrText>
      </w:r>
      <w:r>
        <w:rPr>
          <w:noProof/>
        </w:rPr>
      </w:r>
      <w:r>
        <w:rPr>
          <w:noProof/>
        </w:rPr>
        <w:fldChar w:fldCharType="separate"/>
      </w:r>
      <w:r>
        <w:rPr>
          <w:noProof/>
        </w:rPr>
        <w:t>93</w:t>
      </w:r>
      <w:r>
        <w:rPr>
          <w:noProof/>
        </w:rPr>
        <w:fldChar w:fldCharType="end"/>
      </w:r>
    </w:p>
    <w:p w14:paraId="5923DB1E"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6.6.2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_Toc531859231 \h </w:instrText>
      </w:r>
      <w:r>
        <w:rPr>
          <w:noProof/>
        </w:rPr>
      </w:r>
      <w:r>
        <w:rPr>
          <w:noProof/>
        </w:rPr>
        <w:fldChar w:fldCharType="separate"/>
      </w:r>
      <w:r>
        <w:rPr>
          <w:noProof/>
        </w:rPr>
        <w:t>94</w:t>
      </w:r>
      <w:r>
        <w:rPr>
          <w:noProof/>
        </w:rPr>
        <w:fldChar w:fldCharType="end"/>
      </w:r>
    </w:p>
    <w:p w14:paraId="4F99F107" w14:textId="77777777" w:rsidR="00040E45" w:rsidRDefault="00040E45">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Use of the internet for one’s own mental health</w:t>
      </w:r>
      <w:r>
        <w:tab/>
      </w:r>
      <w:r>
        <w:fldChar w:fldCharType="begin"/>
      </w:r>
      <w:r>
        <w:instrText xml:space="preserve"> PAGEREF _Toc531859232 \h </w:instrText>
      </w:r>
      <w:r>
        <w:fldChar w:fldCharType="separate"/>
      </w:r>
      <w:r>
        <w:t>96</w:t>
      </w:r>
      <w:r>
        <w:fldChar w:fldCharType="end"/>
      </w:r>
    </w:p>
    <w:p w14:paraId="5FC07F4B"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7.1</w:t>
      </w:r>
      <w:r>
        <w:rPr>
          <w:rFonts w:asciiTheme="minorHAnsi" w:eastAsiaTheme="minorEastAsia" w:hAnsiTheme="minorHAnsi" w:cstheme="minorBidi"/>
          <w:noProof/>
          <w:color w:val="auto"/>
          <w:sz w:val="22"/>
          <w:szCs w:val="22"/>
          <w:lang w:eastAsia="en-AU"/>
        </w:rPr>
        <w:tab/>
      </w:r>
      <w:r>
        <w:rPr>
          <w:noProof/>
        </w:rPr>
        <w:t xml:space="preserve">Frequency of seeking information about one’s </w:t>
      </w:r>
      <w:r w:rsidRPr="00922402">
        <w:rPr>
          <w:i/>
          <w:noProof/>
        </w:rPr>
        <w:t>own</w:t>
      </w:r>
      <w:r>
        <w:rPr>
          <w:noProof/>
        </w:rPr>
        <w:t xml:space="preserve"> mental health on the internet</w:t>
      </w:r>
      <w:r>
        <w:rPr>
          <w:noProof/>
        </w:rPr>
        <w:tab/>
      </w:r>
      <w:r>
        <w:rPr>
          <w:noProof/>
        </w:rPr>
        <w:fldChar w:fldCharType="begin"/>
      </w:r>
      <w:r>
        <w:rPr>
          <w:noProof/>
        </w:rPr>
        <w:instrText xml:space="preserve"> PAGEREF _Toc531859233 \h </w:instrText>
      </w:r>
      <w:r>
        <w:rPr>
          <w:noProof/>
        </w:rPr>
      </w:r>
      <w:r>
        <w:rPr>
          <w:noProof/>
        </w:rPr>
        <w:fldChar w:fldCharType="separate"/>
      </w:r>
      <w:r>
        <w:rPr>
          <w:noProof/>
        </w:rPr>
        <w:t>98</w:t>
      </w:r>
      <w:r>
        <w:rPr>
          <w:noProof/>
        </w:rPr>
        <w:fldChar w:fldCharType="end"/>
      </w:r>
    </w:p>
    <w:p w14:paraId="76E053B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7.1.1</w:t>
      </w:r>
      <w:r>
        <w:rPr>
          <w:rFonts w:asciiTheme="minorHAnsi" w:eastAsiaTheme="minorEastAsia" w:hAnsiTheme="minorHAnsi" w:cstheme="minorBidi"/>
          <w:noProof/>
          <w:color w:val="auto"/>
          <w:sz w:val="22"/>
          <w:szCs w:val="22"/>
          <w:lang w:eastAsia="en-AU"/>
        </w:rPr>
        <w:tab/>
      </w:r>
      <w:r>
        <w:rPr>
          <w:noProof/>
        </w:rPr>
        <w:t>Transitioned ADF and 2015 Regular ADF</w:t>
      </w:r>
      <w:r>
        <w:rPr>
          <w:noProof/>
        </w:rPr>
        <w:tab/>
      </w:r>
      <w:r>
        <w:rPr>
          <w:noProof/>
        </w:rPr>
        <w:fldChar w:fldCharType="begin"/>
      </w:r>
      <w:r>
        <w:rPr>
          <w:noProof/>
        </w:rPr>
        <w:instrText xml:space="preserve"> PAGEREF _Toc531859234 \h </w:instrText>
      </w:r>
      <w:r>
        <w:rPr>
          <w:noProof/>
        </w:rPr>
      </w:r>
      <w:r>
        <w:rPr>
          <w:noProof/>
        </w:rPr>
        <w:fldChar w:fldCharType="separate"/>
      </w:r>
      <w:r>
        <w:rPr>
          <w:noProof/>
        </w:rPr>
        <w:t>98</w:t>
      </w:r>
      <w:r>
        <w:rPr>
          <w:noProof/>
        </w:rPr>
        <w:fldChar w:fldCharType="end"/>
      </w:r>
    </w:p>
    <w:p w14:paraId="16F84370"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7.1.2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_Toc531859235 \h </w:instrText>
      </w:r>
      <w:r>
        <w:rPr>
          <w:noProof/>
        </w:rPr>
      </w:r>
      <w:r>
        <w:rPr>
          <w:noProof/>
        </w:rPr>
        <w:fldChar w:fldCharType="separate"/>
      </w:r>
      <w:r>
        <w:rPr>
          <w:noProof/>
        </w:rPr>
        <w:t>100</w:t>
      </w:r>
      <w:r>
        <w:rPr>
          <w:noProof/>
        </w:rPr>
        <w:fldChar w:fldCharType="end"/>
      </w:r>
    </w:p>
    <w:p w14:paraId="4D3FDCC1"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7.2</w:t>
      </w:r>
      <w:r>
        <w:rPr>
          <w:rFonts w:asciiTheme="minorHAnsi" w:eastAsiaTheme="minorEastAsia" w:hAnsiTheme="minorHAnsi" w:cstheme="minorBidi"/>
          <w:noProof/>
          <w:color w:val="auto"/>
          <w:sz w:val="22"/>
          <w:szCs w:val="22"/>
          <w:lang w:eastAsia="en-AU"/>
        </w:rPr>
        <w:tab/>
      </w:r>
      <w:r>
        <w:rPr>
          <w:noProof/>
        </w:rPr>
        <w:t>Timing of accessing information about mental health on the internet</w:t>
      </w:r>
      <w:r>
        <w:rPr>
          <w:noProof/>
        </w:rPr>
        <w:tab/>
      </w:r>
      <w:r>
        <w:rPr>
          <w:noProof/>
        </w:rPr>
        <w:fldChar w:fldCharType="begin"/>
      </w:r>
      <w:r>
        <w:rPr>
          <w:noProof/>
        </w:rPr>
        <w:instrText xml:space="preserve"> PAGEREF _Toc531859236 \h </w:instrText>
      </w:r>
      <w:r>
        <w:rPr>
          <w:noProof/>
        </w:rPr>
      </w:r>
      <w:r>
        <w:rPr>
          <w:noProof/>
        </w:rPr>
        <w:fldChar w:fldCharType="separate"/>
      </w:r>
      <w:r>
        <w:rPr>
          <w:noProof/>
        </w:rPr>
        <w:t>103</w:t>
      </w:r>
      <w:r>
        <w:rPr>
          <w:noProof/>
        </w:rPr>
        <w:fldChar w:fldCharType="end"/>
      </w:r>
    </w:p>
    <w:p w14:paraId="2604B361"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7.2.1</w:t>
      </w:r>
      <w:r>
        <w:rPr>
          <w:rFonts w:asciiTheme="minorHAnsi" w:eastAsiaTheme="minorEastAsia" w:hAnsiTheme="minorHAnsi" w:cstheme="minorBidi"/>
          <w:noProof/>
          <w:color w:val="auto"/>
          <w:sz w:val="22"/>
          <w:szCs w:val="22"/>
          <w:lang w:eastAsia="en-AU"/>
        </w:rPr>
        <w:tab/>
      </w:r>
      <w:r>
        <w:rPr>
          <w:noProof/>
        </w:rPr>
        <w:t>Timing of access for Transitioned ADF and 2015 Regular ADF overall</w:t>
      </w:r>
      <w:r>
        <w:rPr>
          <w:noProof/>
        </w:rPr>
        <w:tab/>
      </w:r>
      <w:r>
        <w:rPr>
          <w:noProof/>
        </w:rPr>
        <w:fldChar w:fldCharType="begin"/>
      </w:r>
      <w:r>
        <w:rPr>
          <w:noProof/>
        </w:rPr>
        <w:instrText xml:space="preserve"> PAGEREF _Toc531859237 \h </w:instrText>
      </w:r>
      <w:r>
        <w:rPr>
          <w:noProof/>
        </w:rPr>
      </w:r>
      <w:r>
        <w:rPr>
          <w:noProof/>
        </w:rPr>
        <w:fldChar w:fldCharType="separate"/>
      </w:r>
      <w:r>
        <w:rPr>
          <w:noProof/>
        </w:rPr>
        <w:t>103</w:t>
      </w:r>
      <w:r>
        <w:rPr>
          <w:noProof/>
        </w:rPr>
        <w:fldChar w:fldCharType="end"/>
      </w:r>
    </w:p>
    <w:p w14:paraId="1D624CDC"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7.2.2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_Toc531859238 \h </w:instrText>
      </w:r>
      <w:r>
        <w:rPr>
          <w:noProof/>
        </w:rPr>
      </w:r>
      <w:r>
        <w:rPr>
          <w:noProof/>
        </w:rPr>
        <w:fldChar w:fldCharType="separate"/>
      </w:r>
      <w:r>
        <w:rPr>
          <w:noProof/>
        </w:rPr>
        <w:t>104</w:t>
      </w:r>
      <w:r>
        <w:rPr>
          <w:noProof/>
        </w:rPr>
        <w:fldChar w:fldCharType="end"/>
      </w:r>
    </w:p>
    <w:p w14:paraId="5F2B455F"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7.3</w:t>
      </w:r>
      <w:r>
        <w:rPr>
          <w:rFonts w:asciiTheme="minorHAnsi" w:eastAsiaTheme="minorEastAsia" w:hAnsiTheme="minorHAnsi" w:cstheme="minorBidi"/>
          <w:noProof/>
          <w:color w:val="auto"/>
          <w:sz w:val="22"/>
          <w:szCs w:val="22"/>
          <w:lang w:eastAsia="en-AU"/>
        </w:rPr>
        <w:tab/>
      </w:r>
      <w:r>
        <w:rPr>
          <w:noProof/>
        </w:rPr>
        <w:t>Talking with peers, family members or friends about one’s own mental health on the internet</w:t>
      </w:r>
      <w:r>
        <w:rPr>
          <w:noProof/>
        </w:rPr>
        <w:tab/>
      </w:r>
      <w:r>
        <w:rPr>
          <w:noProof/>
        </w:rPr>
        <w:fldChar w:fldCharType="begin"/>
      </w:r>
      <w:r>
        <w:rPr>
          <w:noProof/>
        </w:rPr>
        <w:instrText xml:space="preserve"> PAGEREF _Toc531859239 \h </w:instrText>
      </w:r>
      <w:r>
        <w:rPr>
          <w:noProof/>
        </w:rPr>
      </w:r>
      <w:r>
        <w:rPr>
          <w:noProof/>
        </w:rPr>
        <w:fldChar w:fldCharType="separate"/>
      </w:r>
      <w:r>
        <w:rPr>
          <w:noProof/>
        </w:rPr>
        <w:t>106</w:t>
      </w:r>
      <w:r>
        <w:rPr>
          <w:noProof/>
        </w:rPr>
        <w:fldChar w:fldCharType="end"/>
      </w:r>
    </w:p>
    <w:p w14:paraId="1A114939"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7.3.1</w:t>
      </w:r>
      <w:r>
        <w:rPr>
          <w:rFonts w:asciiTheme="minorHAnsi" w:eastAsiaTheme="minorEastAsia" w:hAnsiTheme="minorHAnsi" w:cstheme="minorBidi"/>
          <w:noProof/>
          <w:color w:val="auto"/>
          <w:sz w:val="22"/>
          <w:szCs w:val="22"/>
          <w:lang w:eastAsia="en-AU"/>
        </w:rPr>
        <w:tab/>
      </w:r>
      <w:r>
        <w:rPr>
          <w:noProof/>
        </w:rPr>
        <w:t>Talking online for this purpose among Transitioned ADF and 2015 Regular ADF overall</w:t>
      </w:r>
      <w:r>
        <w:rPr>
          <w:noProof/>
        </w:rPr>
        <w:tab/>
      </w:r>
      <w:r>
        <w:rPr>
          <w:noProof/>
        </w:rPr>
        <w:fldChar w:fldCharType="begin"/>
      </w:r>
      <w:r>
        <w:rPr>
          <w:noProof/>
        </w:rPr>
        <w:instrText xml:space="preserve"> PAGEREF _Toc531859240 \h </w:instrText>
      </w:r>
      <w:r>
        <w:rPr>
          <w:noProof/>
        </w:rPr>
      </w:r>
      <w:r>
        <w:rPr>
          <w:noProof/>
        </w:rPr>
        <w:fldChar w:fldCharType="separate"/>
      </w:r>
      <w:r>
        <w:rPr>
          <w:noProof/>
        </w:rPr>
        <w:t>106</w:t>
      </w:r>
      <w:r>
        <w:rPr>
          <w:noProof/>
        </w:rPr>
        <w:fldChar w:fldCharType="end"/>
      </w:r>
    </w:p>
    <w:p w14:paraId="2432BEEA"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7.3.2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_Toc531859241 \h </w:instrText>
      </w:r>
      <w:r>
        <w:rPr>
          <w:noProof/>
        </w:rPr>
      </w:r>
      <w:r>
        <w:rPr>
          <w:noProof/>
        </w:rPr>
        <w:fldChar w:fldCharType="separate"/>
      </w:r>
      <w:r>
        <w:rPr>
          <w:noProof/>
        </w:rPr>
        <w:t>106</w:t>
      </w:r>
      <w:r>
        <w:rPr>
          <w:noProof/>
        </w:rPr>
        <w:fldChar w:fldCharType="end"/>
      </w:r>
    </w:p>
    <w:p w14:paraId="49D2DB1E"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7.4</w:t>
      </w:r>
      <w:r>
        <w:rPr>
          <w:rFonts w:asciiTheme="minorHAnsi" w:eastAsiaTheme="minorEastAsia" w:hAnsiTheme="minorHAnsi" w:cstheme="minorBidi"/>
          <w:noProof/>
          <w:color w:val="auto"/>
          <w:sz w:val="22"/>
          <w:szCs w:val="22"/>
          <w:lang w:eastAsia="en-AU"/>
        </w:rPr>
        <w:tab/>
      </w:r>
      <w:r>
        <w:rPr>
          <w:noProof/>
        </w:rPr>
        <w:t>Talking with other people (e.g. online forums, chatrooms, blogs, MSN or Gmail messenger) about one’s own mental health on the internet</w:t>
      </w:r>
      <w:r>
        <w:rPr>
          <w:noProof/>
        </w:rPr>
        <w:tab/>
      </w:r>
      <w:r>
        <w:rPr>
          <w:noProof/>
        </w:rPr>
        <w:fldChar w:fldCharType="begin"/>
      </w:r>
      <w:r>
        <w:rPr>
          <w:noProof/>
        </w:rPr>
        <w:instrText xml:space="preserve"> PAGEREF _Toc531859242 \h </w:instrText>
      </w:r>
      <w:r>
        <w:rPr>
          <w:noProof/>
        </w:rPr>
      </w:r>
      <w:r>
        <w:rPr>
          <w:noProof/>
        </w:rPr>
        <w:fldChar w:fldCharType="separate"/>
      </w:r>
      <w:r>
        <w:rPr>
          <w:noProof/>
        </w:rPr>
        <w:t>109</w:t>
      </w:r>
      <w:r>
        <w:rPr>
          <w:noProof/>
        </w:rPr>
        <w:fldChar w:fldCharType="end"/>
      </w:r>
    </w:p>
    <w:p w14:paraId="392CEC02"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7.4.1</w:t>
      </w:r>
      <w:r>
        <w:rPr>
          <w:rFonts w:asciiTheme="minorHAnsi" w:eastAsiaTheme="minorEastAsia" w:hAnsiTheme="minorHAnsi" w:cstheme="minorBidi"/>
          <w:noProof/>
          <w:color w:val="auto"/>
          <w:sz w:val="22"/>
          <w:szCs w:val="22"/>
          <w:lang w:eastAsia="en-AU"/>
        </w:rPr>
        <w:tab/>
      </w:r>
      <w:r>
        <w:rPr>
          <w:noProof/>
        </w:rPr>
        <w:t>Online talking with other people among Transitioned ADF and 2015 Regular ADF overall</w:t>
      </w:r>
      <w:r>
        <w:rPr>
          <w:noProof/>
        </w:rPr>
        <w:tab/>
      </w:r>
      <w:r>
        <w:rPr>
          <w:noProof/>
        </w:rPr>
        <w:fldChar w:fldCharType="begin"/>
      </w:r>
      <w:r>
        <w:rPr>
          <w:noProof/>
        </w:rPr>
        <w:instrText xml:space="preserve"> PAGEREF _Toc531859243 \h </w:instrText>
      </w:r>
      <w:r>
        <w:rPr>
          <w:noProof/>
        </w:rPr>
      </w:r>
      <w:r>
        <w:rPr>
          <w:noProof/>
        </w:rPr>
        <w:fldChar w:fldCharType="separate"/>
      </w:r>
      <w:r>
        <w:rPr>
          <w:noProof/>
        </w:rPr>
        <w:t>109</w:t>
      </w:r>
      <w:r>
        <w:rPr>
          <w:noProof/>
        </w:rPr>
        <w:fldChar w:fldCharType="end"/>
      </w:r>
    </w:p>
    <w:p w14:paraId="0B66E7F7"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7.4.2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_Toc531859244 \h </w:instrText>
      </w:r>
      <w:r>
        <w:rPr>
          <w:noProof/>
        </w:rPr>
      </w:r>
      <w:r>
        <w:rPr>
          <w:noProof/>
        </w:rPr>
        <w:fldChar w:fldCharType="separate"/>
      </w:r>
      <w:r>
        <w:rPr>
          <w:noProof/>
        </w:rPr>
        <w:t>109</w:t>
      </w:r>
      <w:r>
        <w:rPr>
          <w:noProof/>
        </w:rPr>
        <w:fldChar w:fldCharType="end"/>
      </w:r>
    </w:p>
    <w:p w14:paraId="05DD9D0A"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7.5</w:t>
      </w:r>
      <w:r>
        <w:rPr>
          <w:rFonts w:asciiTheme="minorHAnsi" w:eastAsiaTheme="minorEastAsia" w:hAnsiTheme="minorHAnsi" w:cstheme="minorBidi"/>
          <w:noProof/>
          <w:color w:val="auto"/>
          <w:sz w:val="22"/>
          <w:szCs w:val="22"/>
          <w:lang w:eastAsia="en-AU"/>
        </w:rPr>
        <w:tab/>
      </w:r>
      <w:r>
        <w:rPr>
          <w:noProof/>
        </w:rPr>
        <w:t>Talking with a psychologist or other mental health professional about one’s own mental health on the internet</w:t>
      </w:r>
      <w:r>
        <w:rPr>
          <w:noProof/>
        </w:rPr>
        <w:tab/>
      </w:r>
      <w:r>
        <w:rPr>
          <w:noProof/>
        </w:rPr>
        <w:fldChar w:fldCharType="begin"/>
      </w:r>
      <w:r>
        <w:rPr>
          <w:noProof/>
        </w:rPr>
        <w:instrText xml:space="preserve"> PAGEREF _Toc531859245 \h </w:instrText>
      </w:r>
      <w:r>
        <w:rPr>
          <w:noProof/>
        </w:rPr>
      </w:r>
      <w:r>
        <w:rPr>
          <w:noProof/>
        </w:rPr>
        <w:fldChar w:fldCharType="separate"/>
      </w:r>
      <w:r>
        <w:rPr>
          <w:noProof/>
        </w:rPr>
        <w:t>112</w:t>
      </w:r>
      <w:r>
        <w:rPr>
          <w:noProof/>
        </w:rPr>
        <w:fldChar w:fldCharType="end"/>
      </w:r>
    </w:p>
    <w:p w14:paraId="21DE45DA"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7.5.1</w:t>
      </w:r>
      <w:r>
        <w:rPr>
          <w:rFonts w:asciiTheme="minorHAnsi" w:eastAsiaTheme="minorEastAsia" w:hAnsiTheme="minorHAnsi" w:cstheme="minorBidi"/>
          <w:noProof/>
          <w:color w:val="auto"/>
          <w:sz w:val="22"/>
          <w:szCs w:val="22"/>
          <w:lang w:eastAsia="en-AU"/>
        </w:rPr>
        <w:tab/>
      </w:r>
      <w:r>
        <w:rPr>
          <w:noProof/>
        </w:rPr>
        <w:t>Talking online with a mental health professional by Transitioned ADF and 2015 Regular ADF overall</w:t>
      </w:r>
      <w:r>
        <w:rPr>
          <w:noProof/>
        </w:rPr>
        <w:tab/>
      </w:r>
      <w:r>
        <w:rPr>
          <w:noProof/>
        </w:rPr>
        <w:fldChar w:fldCharType="begin"/>
      </w:r>
      <w:r>
        <w:rPr>
          <w:noProof/>
        </w:rPr>
        <w:instrText xml:space="preserve"> PAGEREF _Toc531859246 \h </w:instrText>
      </w:r>
      <w:r>
        <w:rPr>
          <w:noProof/>
        </w:rPr>
      </w:r>
      <w:r>
        <w:rPr>
          <w:noProof/>
        </w:rPr>
        <w:fldChar w:fldCharType="separate"/>
      </w:r>
      <w:r>
        <w:rPr>
          <w:noProof/>
        </w:rPr>
        <w:t>112</w:t>
      </w:r>
      <w:r>
        <w:rPr>
          <w:noProof/>
        </w:rPr>
        <w:fldChar w:fldCharType="end"/>
      </w:r>
    </w:p>
    <w:p w14:paraId="672A7F07"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7.5.2</w:t>
      </w:r>
      <w:r>
        <w:rPr>
          <w:rFonts w:asciiTheme="minorHAnsi" w:eastAsiaTheme="minorEastAsia" w:hAnsiTheme="minorHAnsi" w:cstheme="minorBidi"/>
          <w:noProof/>
          <w:color w:val="auto"/>
          <w:sz w:val="22"/>
          <w:szCs w:val="22"/>
          <w:lang w:eastAsia="en-AU"/>
        </w:rPr>
        <w:tab/>
      </w:r>
      <w:r>
        <w:rPr>
          <w:noProof/>
        </w:rPr>
        <w:t>Probable 30-day disorder and demographic characteristics</w:t>
      </w:r>
      <w:r>
        <w:rPr>
          <w:noProof/>
        </w:rPr>
        <w:tab/>
      </w:r>
      <w:r>
        <w:rPr>
          <w:noProof/>
        </w:rPr>
        <w:fldChar w:fldCharType="begin"/>
      </w:r>
      <w:r>
        <w:rPr>
          <w:noProof/>
        </w:rPr>
        <w:instrText xml:space="preserve"> PAGEREF _Toc531859247 \h </w:instrText>
      </w:r>
      <w:r>
        <w:rPr>
          <w:noProof/>
        </w:rPr>
      </w:r>
      <w:r>
        <w:rPr>
          <w:noProof/>
        </w:rPr>
        <w:fldChar w:fldCharType="separate"/>
      </w:r>
      <w:r>
        <w:rPr>
          <w:noProof/>
        </w:rPr>
        <w:t>113</w:t>
      </w:r>
      <w:r>
        <w:rPr>
          <w:noProof/>
        </w:rPr>
        <w:fldChar w:fldCharType="end"/>
      </w:r>
    </w:p>
    <w:p w14:paraId="645830A4" w14:textId="77777777" w:rsidR="00040E45" w:rsidRDefault="00040E45">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Barriers to talking online about one’s own mental health in Transitioned ADF and Regular 2015 ADF</w:t>
      </w:r>
      <w:r>
        <w:tab/>
      </w:r>
      <w:r>
        <w:fldChar w:fldCharType="begin"/>
      </w:r>
      <w:r>
        <w:instrText xml:space="preserve"> PAGEREF _Toc531859248 \h </w:instrText>
      </w:r>
      <w:r>
        <w:fldChar w:fldCharType="separate"/>
      </w:r>
      <w:r>
        <w:t>115</w:t>
      </w:r>
      <w:r>
        <w:fldChar w:fldCharType="end"/>
      </w:r>
    </w:p>
    <w:p w14:paraId="264F0282"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8.1</w:t>
      </w:r>
      <w:r>
        <w:rPr>
          <w:rFonts w:asciiTheme="minorHAnsi" w:eastAsiaTheme="minorEastAsia" w:hAnsiTheme="minorHAnsi" w:cstheme="minorBidi"/>
          <w:noProof/>
          <w:color w:val="auto"/>
          <w:sz w:val="22"/>
          <w:szCs w:val="22"/>
          <w:lang w:eastAsia="en-AU"/>
        </w:rPr>
        <w:tab/>
      </w:r>
      <w:r>
        <w:rPr>
          <w:noProof/>
        </w:rPr>
        <w:t>Barriers to talking online about one’s own mental health</w:t>
      </w:r>
      <w:r>
        <w:rPr>
          <w:noProof/>
        </w:rPr>
        <w:tab/>
      </w:r>
      <w:r>
        <w:rPr>
          <w:noProof/>
        </w:rPr>
        <w:fldChar w:fldCharType="begin"/>
      </w:r>
      <w:r>
        <w:rPr>
          <w:noProof/>
        </w:rPr>
        <w:instrText xml:space="preserve"> PAGEREF _Toc531859249 \h </w:instrText>
      </w:r>
      <w:r>
        <w:rPr>
          <w:noProof/>
        </w:rPr>
      </w:r>
      <w:r>
        <w:rPr>
          <w:noProof/>
        </w:rPr>
        <w:fldChar w:fldCharType="separate"/>
      </w:r>
      <w:r>
        <w:rPr>
          <w:noProof/>
        </w:rPr>
        <w:t>115</w:t>
      </w:r>
      <w:r>
        <w:rPr>
          <w:noProof/>
        </w:rPr>
        <w:fldChar w:fldCharType="end"/>
      </w:r>
    </w:p>
    <w:p w14:paraId="40200387" w14:textId="77777777" w:rsidR="00040E45" w:rsidRDefault="00040E45">
      <w:pPr>
        <w:pStyle w:val="TOC1"/>
        <w:rPr>
          <w:rFonts w:asciiTheme="minorHAnsi" w:eastAsiaTheme="minorEastAsia" w:hAnsiTheme="minorHAnsi" w:cstheme="minorBidi"/>
          <w:b w:val="0"/>
          <w:color w:val="auto"/>
          <w:sz w:val="22"/>
          <w:szCs w:val="22"/>
          <w:lang w:eastAsia="en-AU"/>
        </w:rPr>
      </w:pPr>
      <w:r>
        <w:t>9</w:t>
      </w:r>
      <w:r>
        <w:rPr>
          <w:rFonts w:asciiTheme="minorHAnsi" w:eastAsiaTheme="minorEastAsia" w:hAnsiTheme="minorHAnsi" w:cstheme="minorBidi"/>
          <w:b w:val="0"/>
          <w:color w:val="auto"/>
          <w:sz w:val="22"/>
          <w:szCs w:val="22"/>
          <w:lang w:eastAsia="en-AU"/>
        </w:rPr>
        <w:tab/>
      </w:r>
      <w:r>
        <w:t>Mental health status and the use of DVA, Defence and other civilian mental health websites by Transitioned ADF and Regular 2015 ADF</w:t>
      </w:r>
      <w:r>
        <w:tab/>
      </w:r>
      <w:r>
        <w:fldChar w:fldCharType="begin"/>
      </w:r>
      <w:r>
        <w:instrText xml:space="preserve"> PAGEREF _Toc531859250 \h </w:instrText>
      </w:r>
      <w:r>
        <w:fldChar w:fldCharType="separate"/>
      </w:r>
      <w:r>
        <w:t>119</w:t>
      </w:r>
      <w:r>
        <w:fldChar w:fldCharType="end"/>
      </w:r>
    </w:p>
    <w:p w14:paraId="273424C4"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9.1</w:t>
      </w:r>
      <w:r>
        <w:rPr>
          <w:rFonts w:asciiTheme="minorHAnsi" w:eastAsiaTheme="minorEastAsia" w:hAnsiTheme="minorHAnsi" w:cstheme="minorBidi"/>
          <w:noProof/>
          <w:color w:val="auto"/>
          <w:sz w:val="22"/>
          <w:szCs w:val="22"/>
          <w:lang w:eastAsia="en-AU"/>
        </w:rPr>
        <w:tab/>
      </w:r>
      <w:r>
        <w:rPr>
          <w:noProof/>
        </w:rPr>
        <w:t>Introduction</w:t>
      </w:r>
      <w:r>
        <w:rPr>
          <w:noProof/>
        </w:rPr>
        <w:tab/>
      </w:r>
      <w:r>
        <w:rPr>
          <w:noProof/>
        </w:rPr>
        <w:fldChar w:fldCharType="begin"/>
      </w:r>
      <w:r>
        <w:rPr>
          <w:noProof/>
        </w:rPr>
        <w:instrText xml:space="preserve"> PAGEREF _Toc531859251 \h </w:instrText>
      </w:r>
      <w:r>
        <w:rPr>
          <w:noProof/>
        </w:rPr>
      </w:r>
      <w:r>
        <w:rPr>
          <w:noProof/>
        </w:rPr>
        <w:fldChar w:fldCharType="separate"/>
      </w:r>
      <w:r>
        <w:rPr>
          <w:noProof/>
        </w:rPr>
        <w:t>121</w:t>
      </w:r>
      <w:r>
        <w:rPr>
          <w:noProof/>
        </w:rPr>
        <w:fldChar w:fldCharType="end"/>
      </w:r>
    </w:p>
    <w:p w14:paraId="16733B10"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9.2</w:t>
      </w:r>
      <w:r>
        <w:rPr>
          <w:rFonts w:asciiTheme="minorHAnsi" w:eastAsiaTheme="minorEastAsia" w:hAnsiTheme="minorHAnsi" w:cstheme="minorBidi"/>
          <w:noProof/>
          <w:color w:val="auto"/>
          <w:sz w:val="22"/>
          <w:szCs w:val="22"/>
          <w:lang w:eastAsia="en-AU"/>
        </w:rPr>
        <w:tab/>
      </w:r>
      <w:r>
        <w:rPr>
          <w:noProof/>
        </w:rPr>
        <w:t>Use of the internet to seek help, information or to manage mental health issues in Transitioned ADF and 2015 Regular ADF</w:t>
      </w:r>
      <w:r>
        <w:rPr>
          <w:noProof/>
        </w:rPr>
        <w:tab/>
      </w:r>
      <w:r>
        <w:rPr>
          <w:noProof/>
        </w:rPr>
        <w:fldChar w:fldCharType="begin"/>
      </w:r>
      <w:r>
        <w:rPr>
          <w:noProof/>
        </w:rPr>
        <w:instrText xml:space="preserve"> PAGEREF _Toc531859252 \h </w:instrText>
      </w:r>
      <w:r>
        <w:rPr>
          <w:noProof/>
        </w:rPr>
      </w:r>
      <w:r>
        <w:rPr>
          <w:noProof/>
        </w:rPr>
        <w:fldChar w:fldCharType="separate"/>
      </w:r>
      <w:r>
        <w:rPr>
          <w:noProof/>
        </w:rPr>
        <w:t>123</w:t>
      </w:r>
      <w:r>
        <w:rPr>
          <w:noProof/>
        </w:rPr>
        <w:fldChar w:fldCharType="end"/>
      </w:r>
    </w:p>
    <w:p w14:paraId="5DAD8FB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9.2.1</w:t>
      </w:r>
      <w:r>
        <w:rPr>
          <w:rFonts w:asciiTheme="minorHAnsi" w:eastAsiaTheme="minorEastAsia" w:hAnsiTheme="minorHAnsi" w:cstheme="minorBidi"/>
          <w:noProof/>
          <w:color w:val="auto"/>
          <w:sz w:val="22"/>
          <w:szCs w:val="22"/>
          <w:lang w:eastAsia="en-AU"/>
        </w:rPr>
        <w:tab/>
      </w:r>
      <w:r>
        <w:rPr>
          <w:noProof/>
        </w:rPr>
        <w:t>Probable, subsyndromal and no disorder</w:t>
      </w:r>
      <w:r>
        <w:rPr>
          <w:noProof/>
        </w:rPr>
        <w:tab/>
      </w:r>
      <w:r>
        <w:rPr>
          <w:noProof/>
        </w:rPr>
        <w:fldChar w:fldCharType="begin"/>
      </w:r>
      <w:r>
        <w:rPr>
          <w:noProof/>
        </w:rPr>
        <w:instrText xml:space="preserve"> PAGEREF _Toc531859253 \h </w:instrText>
      </w:r>
      <w:r>
        <w:rPr>
          <w:noProof/>
        </w:rPr>
      </w:r>
      <w:r>
        <w:rPr>
          <w:noProof/>
        </w:rPr>
        <w:fldChar w:fldCharType="separate"/>
      </w:r>
      <w:r>
        <w:rPr>
          <w:noProof/>
        </w:rPr>
        <w:t>123</w:t>
      </w:r>
      <w:r>
        <w:rPr>
          <w:noProof/>
        </w:rPr>
        <w:fldChar w:fldCharType="end"/>
      </w:r>
    </w:p>
    <w:p w14:paraId="666EE3C0"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9.2.2</w:t>
      </w:r>
      <w:r>
        <w:rPr>
          <w:rFonts w:asciiTheme="minorHAnsi" w:eastAsiaTheme="minorEastAsia" w:hAnsiTheme="minorHAnsi" w:cstheme="minorBidi"/>
          <w:noProof/>
          <w:color w:val="auto"/>
          <w:sz w:val="22"/>
          <w:szCs w:val="22"/>
          <w:lang w:eastAsia="en-AU"/>
        </w:rPr>
        <w:tab/>
      </w:r>
      <w:r>
        <w:rPr>
          <w:noProof/>
        </w:rPr>
        <w:t>Probable disorder according to the presence or absence of self-reported mental health stigmas</w:t>
      </w:r>
      <w:r>
        <w:rPr>
          <w:noProof/>
        </w:rPr>
        <w:tab/>
      </w:r>
      <w:r>
        <w:rPr>
          <w:noProof/>
        </w:rPr>
        <w:fldChar w:fldCharType="begin"/>
      </w:r>
      <w:r>
        <w:rPr>
          <w:noProof/>
        </w:rPr>
        <w:instrText xml:space="preserve"> PAGEREF _Toc531859254 \h </w:instrText>
      </w:r>
      <w:r>
        <w:rPr>
          <w:noProof/>
        </w:rPr>
      </w:r>
      <w:r>
        <w:rPr>
          <w:noProof/>
        </w:rPr>
        <w:fldChar w:fldCharType="separate"/>
      </w:r>
      <w:r>
        <w:rPr>
          <w:noProof/>
        </w:rPr>
        <w:t>127</w:t>
      </w:r>
      <w:r>
        <w:rPr>
          <w:noProof/>
        </w:rPr>
        <w:fldChar w:fldCharType="end"/>
      </w:r>
    </w:p>
    <w:p w14:paraId="47242427"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9.2.3</w:t>
      </w:r>
      <w:r>
        <w:rPr>
          <w:rFonts w:asciiTheme="minorHAnsi" w:eastAsiaTheme="minorEastAsia" w:hAnsiTheme="minorHAnsi" w:cstheme="minorBidi"/>
          <w:noProof/>
          <w:color w:val="auto"/>
          <w:sz w:val="22"/>
          <w:szCs w:val="22"/>
          <w:lang w:eastAsia="en-AU"/>
        </w:rPr>
        <w:tab/>
      </w:r>
      <w:r>
        <w:rPr>
          <w:noProof/>
        </w:rPr>
        <w:t>Probable disorder according to the presence or absence of perceived barriers to seeking care for a mental health condition</w:t>
      </w:r>
      <w:r>
        <w:rPr>
          <w:noProof/>
        </w:rPr>
        <w:tab/>
      </w:r>
      <w:r>
        <w:rPr>
          <w:noProof/>
        </w:rPr>
        <w:fldChar w:fldCharType="begin"/>
      </w:r>
      <w:r>
        <w:rPr>
          <w:noProof/>
        </w:rPr>
        <w:instrText xml:space="preserve"> PAGEREF _Toc531859255 \h </w:instrText>
      </w:r>
      <w:r>
        <w:rPr>
          <w:noProof/>
        </w:rPr>
      </w:r>
      <w:r>
        <w:rPr>
          <w:noProof/>
        </w:rPr>
        <w:fldChar w:fldCharType="separate"/>
      </w:r>
      <w:r>
        <w:rPr>
          <w:noProof/>
        </w:rPr>
        <w:t>130</w:t>
      </w:r>
      <w:r>
        <w:rPr>
          <w:noProof/>
        </w:rPr>
        <w:fldChar w:fldCharType="end"/>
      </w:r>
    </w:p>
    <w:p w14:paraId="508BB91E"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9.3</w:t>
      </w:r>
      <w:r>
        <w:rPr>
          <w:rFonts w:asciiTheme="minorHAnsi" w:eastAsiaTheme="minorEastAsia" w:hAnsiTheme="minorHAnsi" w:cstheme="minorBidi"/>
          <w:noProof/>
          <w:color w:val="auto"/>
          <w:sz w:val="22"/>
          <w:szCs w:val="22"/>
          <w:lang w:eastAsia="en-AU"/>
        </w:rPr>
        <w:tab/>
      </w:r>
      <w:r>
        <w:rPr>
          <w:noProof/>
        </w:rPr>
        <w:t>Use of the ADF website</w:t>
      </w:r>
      <w:r>
        <w:rPr>
          <w:noProof/>
        </w:rPr>
        <w:tab/>
      </w:r>
      <w:r>
        <w:rPr>
          <w:noProof/>
        </w:rPr>
        <w:fldChar w:fldCharType="begin"/>
      </w:r>
      <w:r>
        <w:rPr>
          <w:noProof/>
        </w:rPr>
        <w:instrText xml:space="preserve"> PAGEREF _Toc531859256 \h </w:instrText>
      </w:r>
      <w:r>
        <w:rPr>
          <w:noProof/>
        </w:rPr>
      </w:r>
      <w:r>
        <w:rPr>
          <w:noProof/>
        </w:rPr>
        <w:fldChar w:fldCharType="separate"/>
      </w:r>
      <w:r>
        <w:rPr>
          <w:noProof/>
        </w:rPr>
        <w:t>133</w:t>
      </w:r>
      <w:r>
        <w:rPr>
          <w:noProof/>
        </w:rPr>
        <w:fldChar w:fldCharType="end"/>
      </w:r>
    </w:p>
    <w:p w14:paraId="1B49A2A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9.3.1</w:t>
      </w:r>
      <w:r>
        <w:rPr>
          <w:rFonts w:asciiTheme="minorHAnsi" w:eastAsiaTheme="minorEastAsia" w:hAnsiTheme="minorHAnsi" w:cstheme="minorBidi"/>
          <w:noProof/>
          <w:color w:val="auto"/>
          <w:sz w:val="22"/>
          <w:szCs w:val="22"/>
          <w:lang w:eastAsia="en-AU"/>
        </w:rPr>
        <w:tab/>
      </w:r>
      <w:r>
        <w:rPr>
          <w:noProof/>
        </w:rPr>
        <w:t>Probable, subsyndromal and no disorder</w:t>
      </w:r>
      <w:r>
        <w:rPr>
          <w:noProof/>
        </w:rPr>
        <w:tab/>
      </w:r>
      <w:r>
        <w:rPr>
          <w:noProof/>
        </w:rPr>
        <w:fldChar w:fldCharType="begin"/>
      </w:r>
      <w:r>
        <w:rPr>
          <w:noProof/>
        </w:rPr>
        <w:instrText xml:space="preserve"> PAGEREF _Toc531859257 \h </w:instrText>
      </w:r>
      <w:r>
        <w:rPr>
          <w:noProof/>
        </w:rPr>
      </w:r>
      <w:r>
        <w:rPr>
          <w:noProof/>
        </w:rPr>
        <w:fldChar w:fldCharType="separate"/>
      </w:r>
      <w:r>
        <w:rPr>
          <w:noProof/>
        </w:rPr>
        <w:t>133</w:t>
      </w:r>
      <w:r>
        <w:rPr>
          <w:noProof/>
        </w:rPr>
        <w:fldChar w:fldCharType="end"/>
      </w:r>
    </w:p>
    <w:p w14:paraId="72F1593F"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9.3.2</w:t>
      </w:r>
      <w:r>
        <w:rPr>
          <w:rFonts w:asciiTheme="minorHAnsi" w:eastAsiaTheme="minorEastAsia" w:hAnsiTheme="minorHAnsi" w:cstheme="minorBidi"/>
          <w:noProof/>
          <w:color w:val="auto"/>
          <w:sz w:val="22"/>
          <w:szCs w:val="22"/>
          <w:lang w:eastAsia="en-AU"/>
        </w:rPr>
        <w:tab/>
      </w:r>
      <w:r>
        <w:rPr>
          <w:noProof/>
        </w:rPr>
        <w:t>Probable disorder according to the presence or absence of self-reported mental health stigmas</w:t>
      </w:r>
      <w:r>
        <w:rPr>
          <w:noProof/>
        </w:rPr>
        <w:tab/>
      </w:r>
      <w:r>
        <w:rPr>
          <w:noProof/>
        </w:rPr>
        <w:fldChar w:fldCharType="begin"/>
      </w:r>
      <w:r>
        <w:rPr>
          <w:noProof/>
        </w:rPr>
        <w:instrText xml:space="preserve"> PAGEREF _Toc531859258 \h </w:instrText>
      </w:r>
      <w:r>
        <w:rPr>
          <w:noProof/>
        </w:rPr>
      </w:r>
      <w:r>
        <w:rPr>
          <w:noProof/>
        </w:rPr>
        <w:fldChar w:fldCharType="separate"/>
      </w:r>
      <w:r>
        <w:rPr>
          <w:noProof/>
        </w:rPr>
        <w:t>136</w:t>
      </w:r>
      <w:r>
        <w:rPr>
          <w:noProof/>
        </w:rPr>
        <w:fldChar w:fldCharType="end"/>
      </w:r>
    </w:p>
    <w:p w14:paraId="2FF9C6C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9.3.3</w:t>
      </w:r>
      <w:r>
        <w:rPr>
          <w:rFonts w:asciiTheme="minorHAnsi" w:eastAsiaTheme="minorEastAsia" w:hAnsiTheme="minorHAnsi" w:cstheme="minorBidi"/>
          <w:noProof/>
          <w:color w:val="auto"/>
          <w:sz w:val="22"/>
          <w:szCs w:val="22"/>
          <w:lang w:eastAsia="en-AU"/>
        </w:rPr>
        <w:tab/>
      </w:r>
      <w:r>
        <w:rPr>
          <w:noProof/>
        </w:rPr>
        <w:t>Probable disorder according to the presence or absence of perceived barriers to seeking care for a mental health condition</w:t>
      </w:r>
      <w:r>
        <w:rPr>
          <w:noProof/>
        </w:rPr>
        <w:tab/>
      </w:r>
      <w:r>
        <w:rPr>
          <w:noProof/>
        </w:rPr>
        <w:fldChar w:fldCharType="begin"/>
      </w:r>
      <w:r>
        <w:rPr>
          <w:noProof/>
        </w:rPr>
        <w:instrText xml:space="preserve"> PAGEREF _Toc531859259 \h </w:instrText>
      </w:r>
      <w:r>
        <w:rPr>
          <w:noProof/>
        </w:rPr>
      </w:r>
      <w:r>
        <w:rPr>
          <w:noProof/>
        </w:rPr>
        <w:fldChar w:fldCharType="separate"/>
      </w:r>
      <w:r>
        <w:rPr>
          <w:noProof/>
        </w:rPr>
        <w:t>139</w:t>
      </w:r>
      <w:r>
        <w:rPr>
          <w:noProof/>
        </w:rPr>
        <w:fldChar w:fldCharType="end"/>
      </w:r>
    </w:p>
    <w:p w14:paraId="1C4B10DE"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9.4</w:t>
      </w:r>
      <w:r>
        <w:rPr>
          <w:rFonts w:asciiTheme="minorHAnsi" w:eastAsiaTheme="minorEastAsia" w:hAnsiTheme="minorHAnsi" w:cstheme="minorBidi"/>
          <w:noProof/>
          <w:color w:val="auto"/>
          <w:sz w:val="22"/>
          <w:szCs w:val="22"/>
          <w:lang w:eastAsia="en-AU"/>
        </w:rPr>
        <w:tab/>
      </w:r>
      <w:r>
        <w:rPr>
          <w:noProof/>
        </w:rPr>
        <w:t>Use of DVA or At Ease websites</w:t>
      </w:r>
      <w:r>
        <w:rPr>
          <w:noProof/>
        </w:rPr>
        <w:tab/>
      </w:r>
      <w:r>
        <w:rPr>
          <w:noProof/>
        </w:rPr>
        <w:fldChar w:fldCharType="begin"/>
      </w:r>
      <w:r>
        <w:rPr>
          <w:noProof/>
        </w:rPr>
        <w:instrText xml:space="preserve"> PAGEREF _Toc531859260 \h </w:instrText>
      </w:r>
      <w:r>
        <w:rPr>
          <w:noProof/>
        </w:rPr>
      </w:r>
      <w:r>
        <w:rPr>
          <w:noProof/>
        </w:rPr>
        <w:fldChar w:fldCharType="separate"/>
      </w:r>
      <w:r>
        <w:rPr>
          <w:noProof/>
        </w:rPr>
        <w:t>142</w:t>
      </w:r>
      <w:r>
        <w:rPr>
          <w:noProof/>
        </w:rPr>
        <w:fldChar w:fldCharType="end"/>
      </w:r>
    </w:p>
    <w:p w14:paraId="06D2C8F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9.4.1</w:t>
      </w:r>
      <w:r>
        <w:rPr>
          <w:rFonts w:asciiTheme="minorHAnsi" w:eastAsiaTheme="minorEastAsia" w:hAnsiTheme="minorHAnsi" w:cstheme="minorBidi"/>
          <w:noProof/>
          <w:color w:val="auto"/>
          <w:sz w:val="22"/>
          <w:szCs w:val="22"/>
          <w:lang w:eastAsia="en-AU"/>
        </w:rPr>
        <w:tab/>
      </w:r>
      <w:r>
        <w:rPr>
          <w:noProof/>
        </w:rPr>
        <w:t>Probable, subsyndromal and no disorder</w:t>
      </w:r>
      <w:r>
        <w:rPr>
          <w:noProof/>
        </w:rPr>
        <w:tab/>
      </w:r>
      <w:r>
        <w:rPr>
          <w:noProof/>
        </w:rPr>
        <w:fldChar w:fldCharType="begin"/>
      </w:r>
      <w:r>
        <w:rPr>
          <w:noProof/>
        </w:rPr>
        <w:instrText xml:space="preserve"> PAGEREF _Toc531859261 \h </w:instrText>
      </w:r>
      <w:r>
        <w:rPr>
          <w:noProof/>
        </w:rPr>
      </w:r>
      <w:r>
        <w:rPr>
          <w:noProof/>
        </w:rPr>
        <w:fldChar w:fldCharType="separate"/>
      </w:r>
      <w:r>
        <w:rPr>
          <w:noProof/>
        </w:rPr>
        <w:t>142</w:t>
      </w:r>
      <w:r>
        <w:rPr>
          <w:noProof/>
        </w:rPr>
        <w:fldChar w:fldCharType="end"/>
      </w:r>
    </w:p>
    <w:p w14:paraId="5F73E3DF"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9.4.2</w:t>
      </w:r>
      <w:r>
        <w:rPr>
          <w:rFonts w:asciiTheme="minorHAnsi" w:eastAsiaTheme="minorEastAsia" w:hAnsiTheme="minorHAnsi" w:cstheme="minorBidi"/>
          <w:noProof/>
          <w:color w:val="auto"/>
          <w:sz w:val="22"/>
          <w:szCs w:val="22"/>
          <w:lang w:eastAsia="en-AU"/>
        </w:rPr>
        <w:tab/>
      </w:r>
      <w:r>
        <w:rPr>
          <w:noProof/>
        </w:rPr>
        <w:t>Probable disorder according to the presence or absence of self-reported mental health stigmas</w:t>
      </w:r>
      <w:r>
        <w:rPr>
          <w:noProof/>
        </w:rPr>
        <w:tab/>
      </w:r>
      <w:r>
        <w:rPr>
          <w:noProof/>
        </w:rPr>
        <w:fldChar w:fldCharType="begin"/>
      </w:r>
      <w:r>
        <w:rPr>
          <w:noProof/>
        </w:rPr>
        <w:instrText xml:space="preserve"> PAGEREF _Toc531859262 \h </w:instrText>
      </w:r>
      <w:r>
        <w:rPr>
          <w:noProof/>
        </w:rPr>
      </w:r>
      <w:r>
        <w:rPr>
          <w:noProof/>
        </w:rPr>
        <w:fldChar w:fldCharType="separate"/>
      </w:r>
      <w:r>
        <w:rPr>
          <w:noProof/>
        </w:rPr>
        <w:t>146</w:t>
      </w:r>
      <w:r>
        <w:rPr>
          <w:noProof/>
        </w:rPr>
        <w:fldChar w:fldCharType="end"/>
      </w:r>
    </w:p>
    <w:p w14:paraId="7BF9DACB"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9.4.3</w:t>
      </w:r>
      <w:r>
        <w:rPr>
          <w:rFonts w:asciiTheme="minorHAnsi" w:eastAsiaTheme="minorEastAsia" w:hAnsiTheme="minorHAnsi" w:cstheme="minorBidi"/>
          <w:noProof/>
          <w:color w:val="auto"/>
          <w:sz w:val="22"/>
          <w:szCs w:val="22"/>
          <w:lang w:eastAsia="en-AU"/>
        </w:rPr>
        <w:tab/>
      </w:r>
      <w:r>
        <w:rPr>
          <w:noProof/>
        </w:rPr>
        <w:t>Probable disorder according to the presence or absence of perceived barriers to seeking care for a mental health condition</w:t>
      </w:r>
      <w:r>
        <w:rPr>
          <w:noProof/>
        </w:rPr>
        <w:tab/>
      </w:r>
      <w:r>
        <w:rPr>
          <w:noProof/>
        </w:rPr>
        <w:fldChar w:fldCharType="begin"/>
      </w:r>
      <w:r>
        <w:rPr>
          <w:noProof/>
        </w:rPr>
        <w:instrText xml:space="preserve"> PAGEREF _Toc531859263 \h </w:instrText>
      </w:r>
      <w:r>
        <w:rPr>
          <w:noProof/>
        </w:rPr>
      </w:r>
      <w:r>
        <w:rPr>
          <w:noProof/>
        </w:rPr>
        <w:fldChar w:fldCharType="separate"/>
      </w:r>
      <w:r>
        <w:rPr>
          <w:noProof/>
        </w:rPr>
        <w:t>146</w:t>
      </w:r>
      <w:r>
        <w:rPr>
          <w:noProof/>
        </w:rPr>
        <w:fldChar w:fldCharType="end"/>
      </w:r>
    </w:p>
    <w:p w14:paraId="3B4B9675"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9.5</w:t>
      </w:r>
      <w:r>
        <w:rPr>
          <w:rFonts w:asciiTheme="minorHAnsi" w:eastAsiaTheme="minorEastAsia" w:hAnsiTheme="minorHAnsi" w:cstheme="minorBidi"/>
          <w:noProof/>
          <w:color w:val="auto"/>
          <w:sz w:val="22"/>
          <w:szCs w:val="22"/>
          <w:lang w:eastAsia="en-AU"/>
        </w:rPr>
        <w:tab/>
      </w:r>
      <w:r>
        <w:rPr>
          <w:noProof/>
        </w:rPr>
        <w:t>Use of other civilian mental health websites</w:t>
      </w:r>
      <w:r>
        <w:rPr>
          <w:noProof/>
        </w:rPr>
        <w:tab/>
      </w:r>
      <w:r>
        <w:rPr>
          <w:noProof/>
        </w:rPr>
        <w:fldChar w:fldCharType="begin"/>
      </w:r>
      <w:r>
        <w:rPr>
          <w:noProof/>
        </w:rPr>
        <w:instrText xml:space="preserve"> PAGEREF _Toc531859264 \h </w:instrText>
      </w:r>
      <w:r>
        <w:rPr>
          <w:noProof/>
        </w:rPr>
      </w:r>
      <w:r>
        <w:rPr>
          <w:noProof/>
        </w:rPr>
        <w:fldChar w:fldCharType="separate"/>
      </w:r>
      <w:r>
        <w:rPr>
          <w:noProof/>
        </w:rPr>
        <w:t>151</w:t>
      </w:r>
      <w:r>
        <w:rPr>
          <w:noProof/>
        </w:rPr>
        <w:fldChar w:fldCharType="end"/>
      </w:r>
    </w:p>
    <w:p w14:paraId="5DD7D1F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9.5.1</w:t>
      </w:r>
      <w:r>
        <w:rPr>
          <w:rFonts w:asciiTheme="minorHAnsi" w:eastAsiaTheme="minorEastAsia" w:hAnsiTheme="minorHAnsi" w:cstheme="minorBidi"/>
          <w:noProof/>
          <w:color w:val="auto"/>
          <w:sz w:val="22"/>
          <w:szCs w:val="22"/>
          <w:lang w:eastAsia="en-AU"/>
        </w:rPr>
        <w:tab/>
      </w:r>
      <w:r>
        <w:rPr>
          <w:noProof/>
        </w:rPr>
        <w:t>Probable, subsyndromal and no disorder</w:t>
      </w:r>
      <w:r>
        <w:rPr>
          <w:noProof/>
        </w:rPr>
        <w:tab/>
      </w:r>
      <w:r>
        <w:rPr>
          <w:noProof/>
        </w:rPr>
        <w:fldChar w:fldCharType="begin"/>
      </w:r>
      <w:r>
        <w:rPr>
          <w:noProof/>
        </w:rPr>
        <w:instrText xml:space="preserve"> PAGEREF _Toc531859265 \h </w:instrText>
      </w:r>
      <w:r>
        <w:rPr>
          <w:noProof/>
        </w:rPr>
      </w:r>
      <w:r>
        <w:rPr>
          <w:noProof/>
        </w:rPr>
        <w:fldChar w:fldCharType="separate"/>
      </w:r>
      <w:r>
        <w:rPr>
          <w:noProof/>
        </w:rPr>
        <w:t>151</w:t>
      </w:r>
      <w:r>
        <w:rPr>
          <w:noProof/>
        </w:rPr>
        <w:fldChar w:fldCharType="end"/>
      </w:r>
    </w:p>
    <w:p w14:paraId="3B9E7A79"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9.5.2</w:t>
      </w:r>
      <w:r>
        <w:rPr>
          <w:rFonts w:asciiTheme="minorHAnsi" w:eastAsiaTheme="minorEastAsia" w:hAnsiTheme="minorHAnsi" w:cstheme="minorBidi"/>
          <w:noProof/>
          <w:color w:val="auto"/>
          <w:sz w:val="22"/>
          <w:szCs w:val="22"/>
          <w:lang w:eastAsia="en-AU"/>
        </w:rPr>
        <w:tab/>
      </w:r>
      <w:r>
        <w:rPr>
          <w:noProof/>
        </w:rPr>
        <w:t>Probable disorder according to the presence or absence of self-reported mental health stigmas</w:t>
      </w:r>
      <w:r>
        <w:rPr>
          <w:noProof/>
        </w:rPr>
        <w:tab/>
      </w:r>
      <w:r>
        <w:rPr>
          <w:noProof/>
        </w:rPr>
        <w:fldChar w:fldCharType="begin"/>
      </w:r>
      <w:r>
        <w:rPr>
          <w:noProof/>
        </w:rPr>
        <w:instrText xml:space="preserve"> PAGEREF _Toc531859266 \h </w:instrText>
      </w:r>
      <w:r>
        <w:rPr>
          <w:noProof/>
        </w:rPr>
      </w:r>
      <w:r>
        <w:rPr>
          <w:noProof/>
        </w:rPr>
        <w:fldChar w:fldCharType="separate"/>
      </w:r>
      <w:r>
        <w:rPr>
          <w:noProof/>
        </w:rPr>
        <w:t>155</w:t>
      </w:r>
      <w:r>
        <w:rPr>
          <w:noProof/>
        </w:rPr>
        <w:fldChar w:fldCharType="end"/>
      </w:r>
    </w:p>
    <w:p w14:paraId="49CD3EF6"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9.5.3</w:t>
      </w:r>
      <w:r>
        <w:rPr>
          <w:rFonts w:asciiTheme="minorHAnsi" w:eastAsiaTheme="minorEastAsia" w:hAnsiTheme="minorHAnsi" w:cstheme="minorBidi"/>
          <w:noProof/>
          <w:color w:val="auto"/>
          <w:sz w:val="22"/>
          <w:szCs w:val="22"/>
          <w:lang w:eastAsia="en-AU"/>
        </w:rPr>
        <w:tab/>
      </w:r>
      <w:r>
        <w:rPr>
          <w:noProof/>
        </w:rPr>
        <w:t>Probable disorder according to the presence or absence of perceived barriers to seeking care for a mental health condition</w:t>
      </w:r>
      <w:r>
        <w:rPr>
          <w:noProof/>
        </w:rPr>
        <w:tab/>
      </w:r>
      <w:r>
        <w:rPr>
          <w:noProof/>
        </w:rPr>
        <w:fldChar w:fldCharType="begin"/>
      </w:r>
      <w:r>
        <w:rPr>
          <w:noProof/>
        </w:rPr>
        <w:instrText xml:space="preserve"> PAGEREF _Toc531859267 \h </w:instrText>
      </w:r>
      <w:r>
        <w:rPr>
          <w:noProof/>
        </w:rPr>
      </w:r>
      <w:r>
        <w:rPr>
          <w:noProof/>
        </w:rPr>
        <w:fldChar w:fldCharType="separate"/>
      </w:r>
      <w:r>
        <w:rPr>
          <w:noProof/>
        </w:rPr>
        <w:t>155</w:t>
      </w:r>
      <w:r>
        <w:rPr>
          <w:noProof/>
        </w:rPr>
        <w:fldChar w:fldCharType="end"/>
      </w:r>
    </w:p>
    <w:p w14:paraId="61F53663" w14:textId="77777777" w:rsidR="00040E45" w:rsidRDefault="00040E45">
      <w:pPr>
        <w:pStyle w:val="TOC1"/>
        <w:rPr>
          <w:rFonts w:asciiTheme="minorHAnsi" w:eastAsiaTheme="minorEastAsia" w:hAnsiTheme="minorHAnsi" w:cstheme="minorBidi"/>
          <w:b w:val="0"/>
          <w:color w:val="auto"/>
          <w:sz w:val="22"/>
          <w:szCs w:val="22"/>
          <w:lang w:eastAsia="en-AU"/>
        </w:rPr>
      </w:pPr>
      <w:r>
        <w:t>10</w:t>
      </w:r>
      <w:r>
        <w:rPr>
          <w:rFonts w:asciiTheme="minorHAnsi" w:eastAsiaTheme="minorEastAsia" w:hAnsiTheme="minorHAnsi" w:cstheme="minorBidi"/>
          <w:b w:val="0"/>
          <w:color w:val="auto"/>
          <w:sz w:val="22"/>
          <w:szCs w:val="22"/>
          <w:lang w:eastAsia="en-AU"/>
        </w:rPr>
        <w:tab/>
      </w:r>
      <w:r>
        <w:t>Technology use and psychological distress in Transitioned ADF members aged 18–25: Comparison with young adults aged 18–25 in the Australian community</w:t>
      </w:r>
      <w:r>
        <w:tab/>
      </w:r>
      <w:r>
        <w:fldChar w:fldCharType="begin"/>
      </w:r>
      <w:r>
        <w:instrText xml:space="preserve"> PAGEREF _Toc531859268 \h </w:instrText>
      </w:r>
      <w:r>
        <w:fldChar w:fldCharType="separate"/>
      </w:r>
      <w:r>
        <w:t>161</w:t>
      </w:r>
      <w:r>
        <w:fldChar w:fldCharType="end"/>
      </w:r>
    </w:p>
    <w:p w14:paraId="173457B2"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10.1</w:t>
      </w:r>
      <w:r>
        <w:rPr>
          <w:rFonts w:asciiTheme="minorHAnsi" w:eastAsiaTheme="minorEastAsia" w:hAnsiTheme="minorHAnsi" w:cstheme="minorBidi"/>
          <w:noProof/>
          <w:color w:val="auto"/>
          <w:sz w:val="22"/>
          <w:szCs w:val="22"/>
          <w:lang w:eastAsia="en-AU"/>
        </w:rPr>
        <w:tab/>
      </w:r>
      <w:r>
        <w:rPr>
          <w:noProof/>
        </w:rPr>
        <w:t>Young and Well National Survey (2012)</w:t>
      </w:r>
      <w:r>
        <w:rPr>
          <w:noProof/>
        </w:rPr>
        <w:tab/>
      </w:r>
      <w:r>
        <w:rPr>
          <w:noProof/>
        </w:rPr>
        <w:fldChar w:fldCharType="begin"/>
      </w:r>
      <w:r>
        <w:rPr>
          <w:noProof/>
        </w:rPr>
        <w:instrText xml:space="preserve"> PAGEREF _Toc531859269 \h </w:instrText>
      </w:r>
      <w:r>
        <w:rPr>
          <w:noProof/>
        </w:rPr>
      </w:r>
      <w:r>
        <w:rPr>
          <w:noProof/>
        </w:rPr>
        <w:fldChar w:fldCharType="separate"/>
      </w:r>
      <w:r>
        <w:rPr>
          <w:noProof/>
        </w:rPr>
        <w:t>162</w:t>
      </w:r>
      <w:r>
        <w:rPr>
          <w:noProof/>
        </w:rPr>
        <w:fldChar w:fldCharType="end"/>
      </w:r>
    </w:p>
    <w:p w14:paraId="4E151870"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10.2</w:t>
      </w:r>
      <w:r>
        <w:rPr>
          <w:rFonts w:asciiTheme="minorHAnsi" w:eastAsiaTheme="minorEastAsia" w:hAnsiTheme="minorHAnsi" w:cstheme="minorBidi"/>
          <w:noProof/>
          <w:color w:val="auto"/>
          <w:sz w:val="22"/>
          <w:szCs w:val="22"/>
          <w:lang w:eastAsia="en-AU"/>
        </w:rPr>
        <w:tab/>
      </w:r>
      <w:r>
        <w:rPr>
          <w:noProof/>
        </w:rPr>
        <w:t>Standardisation methods</w:t>
      </w:r>
      <w:r>
        <w:rPr>
          <w:noProof/>
        </w:rPr>
        <w:tab/>
      </w:r>
      <w:r>
        <w:rPr>
          <w:noProof/>
        </w:rPr>
        <w:fldChar w:fldCharType="begin"/>
      </w:r>
      <w:r>
        <w:rPr>
          <w:noProof/>
        </w:rPr>
        <w:instrText xml:space="preserve"> PAGEREF _Toc531859270 \h </w:instrText>
      </w:r>
      <w:r>
        <w:rPr>
          <w:noProof/>
        </w:rPr>
      </w:r>
      <w:r>
        <w:rPr>
          <w:noProof/>
        </w:rPr>
        <w:fldChar w:fldCharType="separate"/>
      </w:r>
      <w:r>
        <w:rPr>
          <w:noProof/>
        </w:rPr>
        <w:t>163</w:t>
      </w:r>
      <w:r>
        <w:rPr>
          <w:noProof/>
        </w:rPr>
        <w:fldChar w:fldCharType="end"/>
      </w:r>
    </w:p>
    <w:p w14:paraId="1A575330"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10.3</w:t>
      </w:r>
      <w:r>
        <w:rPr>
          <w:rFonts w:asciiTheme="minorHAnsi" w:eastAsiaTheme="minorEastAsia" w:hAnsiTheme="minorHAnsi" w:cstheme="minorBidi"/>
          <w:noProof/>
          <w:color w:val="auto"/>
          <w:sz w:val="22"/>
          <w:szCs w:val="22"/>
          <w:lang w:eastAsia="en-AU"/>
        </w:rPr>
        <w:tab/>
      </w:r>
      <w:r>
        <w:rPr>
          <w:noProof/>
        </w:rPr>
        <w:t>Comparisons performed in this chapter</w:t>
      </w:r>
      <w:r>
        <w:rPr>
          <w:noProof/>
        </w:rPr>
        <w:tab/>
      </w:r>
      <w:r>
        <w:rPr>
          <w:noProof/>
        </w:rPr>
        <w:fldChar w:fldCharType="begin"/>
      </w:r>
      <w:r>
        <w:rPr>
          <w:noProof/>
        </w:rPr>
        <w:instrText xml:space="preserve"> PAGEREF _Toc531859271 \h </w:instrText>
      </w:r>
      <w:r>
        <w:rPr>
          <w:noProof/>
        </w:rPr>
      </w:r>
      <w:r>
        <w:rPr>
          <w:noProof/>
        </w:rPr>
        <w:fldChar w:fldCharType="separate"/>
      </w:r>
      <w:r>
        <w:rPr>
          <w:noProof/>
        </w:rPr>
        <w:t>163</w:t>
      </w:r>
      <w:r>
        <w:rPr>
          <w:noProof/>
        </w:rPr>
        <w:fldChar w:fldCharType="end"/>
      </w:r>
    </w:p>
    <w:p w14:paraId="231F0B64"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10.4</w:t>
      </w:r>
      <w:r>
        <w:rPr>
          <w:rFonts w:asciiTheme="minorHAnsi" w:eastAsiaTheme="minorEastAsia" w:hAnsiTheme="minorHAnsi" w:cstheme="minorBidi"/>
          <w:noProof/>
          <w:color w:val="auto"/>
          <w:sz w:val="22"/>
          <w:szCs w:val="22"/>
          <w:lang w:eastAsia="en-AU"/>
        </w:rPr>
        <w:tab/>
      </w:r>
      <w:r>
        <w:rPr>
          <w:noProof/>
        </w:rPr>
        <w:t>Frequency and duration of internet use in young adults in the Transitioned ADF compared to the young adults in the Australian community</w:t>
      </w:r>
      <w:r>
        <w:rPr>
          <w:noProof/>
        </w:rPr>
        <w:tab/>
      </w:r>
      <w:r>
        <w:rPr>
          <w:noProof/>
        </w:rPr>
        <w:fldChar w:fldCharType="begin"/>
      </w:r>
      <w:r>
        <w:rPr>
          <w:noProof/>
        </w:rPr>
        <w:instrText xml:space="preserve"> PAGEREF _Toc531859272 \h </w:instrText>
      </w:r>
      <w:r>
        <w:rPr>
          <w:noProof/>
        </w:rPr>
      </w:r>
      <w:r>
        <w:rPr>
          <w:noProof/>
        </w:rPr>
        <w:fldChar w:fldCharType="separate"/>
      </w:r>
      <w:r>
        <w:rPr>
          <w:noProof/>
        </w:rPr>
        <w:t>164</w:t>
      </w:r>
      <w:r>
        <w:rPr>
          <w:noProof/>
        </w:rPr>
        <w:fldChar w:fldCharType="end"/>
      </w:r>
    </w:p>
    <w:p w14:paraId="7904C29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10.4.1</w:t>
      </w:r>
      <w:r>
        <w:rPr>
          <w:rFonts w:asciiTheme="minorHAnsi" w:eastAsiaTheme="minorEastAsia" w:hAnsiTheme="minorHAnsi" w:cstheme="minorBidi"/>
          <w:noProof/>
          <w:color w:val="auto"/>
          <w:sz w:val="22"/>
          <w:szCs w:val="22"/>
          <w:lang w:eastAsia="en-AU"/>
        </w:rPr>
        <w:tab/>
      </w:r>
      <w:r>
        <w:rPr>
          <w:noProof/>
        </w:rPr>
        <w:t>Frequency of internet use</w:t>
      </w:r>
      <w:r>
        <w:rPr>
          <w:noProof/>
        </w:rPr>
        <w:tab/>
      </w:r>
      <w:r>
        <w:rPr>
          <w:noProof/>
        </w:rPr>
        <w:fldChar w:fldCharType="begin"/>
      </w:r>
      <w:r>
        <w:rPr>
          <w:noProof/>
        </w:rPr>
        <w:instrText xml:space="preserve"> PAGEREF _Toc531859273 \h </w:instrText>
      </w:r>
      <w:r>
        <w:rPr>
          <w:noProof/>
        </w:rPr>
      </w:r>
      <w:r>
        <w:rPr>
          <w:noProof/>
        </w:rPr>
        <w:fldChar w:fldCharType="separate"/>
      </w:r>
      <w:r>
        <w:rPr>
          <w:noProof/>
        </w:rPr>
        <w:t>164</w:t>
      </w:r>
      <w:r>
        <w:rPr>
          <w:noProof/>
        </w:rPr>
        <w:fldChar w:fldCharType="end"/>
      </w:r>
    </w:p>
    <w:p w14:paraId="46A9C45E"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10.4.2</w:t>
      </w:r>
      <w:r>
        <w:rPr>
          <w:rFonts w:asciiTheme="minorHAnsi" w:eastAsiaTheme="minorEastAsia" w:hAnsiTheme="minorHAnsi" w:cstheme="minorBidi"/>
          <w:noProof/>
          <w:color w:val="auto"/>
          <w:sz w:val="22"/>
          <w:szCs w:val="22"/>
          <w:lang w:eastAsia="en-AU"/>
        </w:rPr>
        <w:tab/>
      </w:r>
      <w:r>
        <w:rPr>
          <w:noProof/>
        </w:rPr>
        <w:t>Duration of internet use on a normal work day</w:t>
      </w:r>
      <w:r>
        <w:rPr>
          <w:noProof/>
        </w:rPr>
        <w:tab/>
      </w:r>
      <w:r>
        <w:rPr>
          <w:noProof/>
        </w:rPr>
        <w:fldChar w:fldCharType="begin"/>
      </w:r>
      <w:r>
        <w:rPr>
          <w:noProof/>
        </w:rPr>
        <w:instrText xml:space="preserve"> PAGEREF _Toc531859274 \h </w:instrText>
      </w:r>
      <w:r>
        <w:rPr>
          <w:noProof/>
        </w:rPr>
      </w:r>
      <w:r>
        <w:rPr>
          <w:noProof/>
        </w:rPr>
        <w:fldChar w:fldCharType="separate"/>
      </w:r>
      <w:r>
        <w:rPr>
          <w:noProof/>
        </w:rPr>
        <w:t>166</w:t>
      </w:r>
      <w:r>
        <w:rPr>
          <w:noProof/>
        </w:rPr>
        <w:fldChar w:fldCharType="end"/>
      </w:r>
    </w:p>
    <w:p w14:paraId="79DF15BF"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10.4.3</w:t>
      </w:r>
      <w:r>
        <w:rPr>
          <w:rFonts w:asciiTheme="minorHAnsi" w:eastAsiaTheme="minorEastAsia" w:hAnsiTheme="minorHAnsi" w:cstheme="minorBidi"/>
          <w:noProof/>
          <w:color w:val="auto"/>
          <w:sz w:val="22"/>
          <w:szCs w:val="22"/>
          <w:lang w:eastAsia="en-AU"/>
        </w:rPr>
        <w:tab/>
      </w:r>
      <w:r>
        <w:rPr>
          <w:noProof/>
        </w:rPr>
        <w:t>Internet use after 11 pm</w:t>
      </w:r>
      <w:r>
        <w:rPr>
          <w:noProof/>
        </w:rPr>
        <w:tab/>
      </w:r>
      <w:r>
        <w:rPr>
          <w:noProof/>
        </w:rPr>
        <w:fldChar w:fldCharType="begin"/>
      </w:r>
      <w:r>
        <w:rPr>
          <w:noProof/>
        </w:rPr>
        <w:instrText xml:space="preserve"> PAGEREF _Toc531859275 \h </w:instrText>
      </w:r>
      <w:r>
        <w:rPr>
          <w:noProof/>
        </w:rPr>
      </w:r>
      <w:r>
        <w:rPr>
          <w:noProof/>
        </w:rPr>
        <w:fldChar w:fldCharType="separate"/>
      </w:r>
      <w:r>
        <w:rPr>
          <w:noProof/>
        </w:rPr>
        <w:t>167</w:t>
      </w:r>
      <w:r>
        <w:rPr>
          <w:noProof/>
        </w:rPr>
        <w:fldChar w:fldCharType="end"/>
      </w:r>
    </w:p>
    <w:p w14:paraId="7E524B27"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10.5</w:t>
      </w:r>
      <w:r>
        <w:rPr>
          <w:rFonts w:asciiTheme="minorHAnsi" w:eastAsiaTheme="minorEastAsia" w:hAnsiTheme="minorHAnsi" w:cstheme="minorBidi"/>
          <w:noProof/>
          <w:color w:val="auto"/>
          <w:sz w:val="22"/>
          <w:szCs w:val="22"/>
          <w:lang w:eastAsia="en-AU"/>
        </w:rPr>
        <w:tab/>
      </w:r>
      <w:r>
        <w:rPr>
          <w:noProof/>
        </w:rPr>
        <w:t>Use of the internet to manage mental health in young adults in the Transitioned ADF compared to young adults in the Australian community</w:t>
      </w:r>
      <w:r>
        <w:rPr>
          <w:noProof/>
        </w:rPr>
        <w:tab/>
      </w:r>
      <w:r>
        <w:rPr>
          <w:noProof/>
        </w:rPr>
        <w:fldChar w:fldCharType="begin"/>
      </w:r>
      <w:r>
        <w:rPr>
          <w:noProof/>
        </w:rPr>
        <w:instrText xml:space="preserve"> PAGEREF _Toc531859276 \h </w:instrText>
      </w:r>
      <w:r>
        <w:rPr>
          <w:noProof/>
        </w:rPr>
      </w:r>
      <w:r>
        <w:rPr>
          <w:noProof/>
        </w:rPr>
        <w:fldChar w:fldCharType="separate"/>
      </w:r>
      <w:r>
        <w:rPr>
          <w:noProof/>
        </w:rPr>
        <w:t>169</w:t>
      </w:r>
      <w:r>
        <w:rPr>
          <w:noProof/>
        </w:rPr>
        <w:fldChar w:fldCharType="end"/>
      </w:r>
    </w:p>
    <w:p w14:paraId="361A004B"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10.5.1</w:t>
      </w:r>
      <w:r>
        <w:rPr>
          <w:rFonts w:asciiTheme="minorHAnsi" w:eastAsiaTheme="minorEastAsia" w:hAnsiTheme="minorHAnsi" w:cstheme="minorBidi"/>
          <w:noProof/>
          <w:color w:val="auto"/>
          <w:sz w:val="22"/>
          <w:szCs w:val="22"/>
          <w:lang w:eastAsia="en-AU"/>
        </w:rPr>
        <w:tab/>
      </w:r>
      <w:r>
        <w:rPr>
          <w:noProof/>
        </w:rPr>
        <w:t>Overall use of the internet to manage mental health</w:t>
      </w:r>
      <w:r>
        <w:rPr>
          <w:noProof/>
        </w:rPr>
        <w:tab/>
      </w:r>
      <w:r>
        <w:rPr>
          <w:noProof/>
        </w:rPr>
        <w:fldChar w:fldCharType="begin"/>
      </w:r>
      <w:r>
        <w:rPr>
          <w:noProof/>
        </w:rPr>
        <w:instrText xml:space="preserve"> PAGEREF _Toc531859277 \h </w:instrText>
      </w:r>
      <w:r>
        <w:rPr>
          <w:noProof/>
        </w:rPr>
      </w:r>
      <w:r>
        <w:rPr>
          <w:noProof/>
        </w:rPr>
        <w:fldChar w:fldCharType="separate"/>
      </w:r>
      <w:r>
        <w:rPr>
          <w:noProof/>
        </w:rPr>
        <w:t>169</w:t>
      </w:r>
      <w:r>
        <w:rPr>
          <w:noProof/>
        </w:rPr>
        <w:fldChar w:fldCharType="end"/>
      </w:r>
    </w:p>
    <w:p w14:paraId="1E8A1118"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10.5.2</w:t>
      </w:r>
      <w:r>
        <w:rPr>
          <w:rFonts w:asciiTheme="minorHAnsi" w:eastAsiaTheme="minorEastAsia" w:hAnsiTheme="minorHAnsi" w:cstheme="minorBidi"/>
          <w:noProof/>
          <w:color w:val="auto"/>
          <w:sz w:val="22"/>
          <w:szCs w:val="22"/>
          <w:lang w:eastAsia="en-AU"/>
        </w:rPr>
        <w:tab/>
      </w:r>
      <w:r>
        <w:rPr>
          <w:noProof/>
        </w:rPr>
        <w:t>Getting the information needed in relation to mental health</w:t>
      </w:r>
      <w:r>
        <w:rPr>
          <w:noProof/>
        </w:rPr>
        <w:tab/>
      </w:r>
      <w:r>
        <w:rPr>
          <w:noProof/>
        </w:rPr>
        <w:fldChar w:fldCharType="begin"/>
      </w:r>
      <w:r>
        <w:rPr>
          <w:noProof/>
        </w:rPr>
        <w:instrText xml:space="preserve"> PAGEREF _Toc531859278 \h </w:instrText>
      </w:r>
      <w:r>
        <w:rPr>
          <w:noProof/>
        </w:rPr>
      </w:r>
      <w:r>
        <w:rPr>
          <w:noProof/>
        </w:rPr>
        <w:fldChar w:fldCharType="separate"/>
      </w:r>
      <w:r>
        <w:rPr>
          <w:noProof/>
        </w:rPr>
        <w:t>170</w:t>
      </w:r>
      <w:r>
        <w:rPr>
          <w:noProof/>
        </w:rPr>
        <w:fldChar w:fldCharType="end"/>
      </w:r>
    </w:p>
    <w:p w14:paraId="31BE8303"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10.5.3</w:t>
      </w:r>
      <w:r>
        <w:rPr>
          <w:rFonts w:asciiTheme="minorHAnsi" w:eastAsiaTheme="minorEastAsia" w:hAnsiTheme="minorHAnsi" w:cstheme="minorBidi"/>
          <w:noProof/>
          <w:color w:val="auto"/>
          <w:sz w:val="22"/>
          <w:szCs w:val="22"/>
          <w:lang w:eastAsia="en-AU"/>
        </w:rPr>
        <w:tab/>
      </w:r>
      <w:r>
        <w:rPr>
          <w:noProof/>
        </w:rPr>
        <w:t>Effectiveness of the internet in helping young adults deal more effectively with mental health problems</w:t>
      </w:r>
      <w:r>
        <w:rPr>
          <w:noProof/>
        </w:rPr>
        <w:tab/>
      </w:r>
      <w:r>
        <w:rPr>
          <w:noProof/>
        </w:rPr>
        <w:fldChar w:fldCharType="begin"/>
      </w:r>
      <w:r>
        <w:rPr>
          <w:noProof/>
        </w:rPr>
        <w:instrText xml:space="preserve"> PAGEREF _Toc531859279 \h </w:instrText>
      </w:r>
      <w:r>
        <w:rPr>
          <w:noProof/>
        </w:rPr>
      </w:r>
      <w:r>
        <w:rPr>
          <w:noProof/>
        </w:rPr>
        <w:fldChar w:fldCharType="separate"/>
      </w:r>
      <w:r>
        <w:rPr>
          <w:noProof/>
        </w:rPr>
        <w:t>172</w:t>
      </w:r>
      <w:r>
        <w:rPr>
          <w:noProof/>
        </w:rPr>
        <w:fldChar w:fldCharType="end"/>
      </w:r>
    </w:p>
    <w:p w14:paraId="74B4D3E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10.5.4</w:t>
      </w:r>
      <w:r>
        <w:rPr>
          <w:rFonts w:asciiTheme="minorHAnsi" w:eastAsiaTheme="minorEastAsia" w:hAnsiTheme="minorHAnsi" w:cstheme="minorBidi"/>
          <w:noProof/>
          <w:color w:val="auto"/>
          <w:sz w:val="22"/>
          <w:szCs w:val="22"/>
          <w:lang w:eastAsia="en-AU"/>
        </w:rPr>
        <w:tab/>
      </w:r>
      <w:r>
        <w:rPr>
          <w:noProof/>
        </w:rPr>
        <w:t>Satisfaction with information received on the internet in relation to mental health</w:t>
      </w:r>
      <w:r>
        <w:rPr>
          <w:noProof/>
        </w:rPr>
        <w:tab/>
      </w:r>
      <w:r>
        <w:rPr>
          <w:noProof/>
        </w:rPr>
        <w:fldChar w:fldCharType="begin"/>
      </w:r>
      <w:r>
        <w:rPr>
          <w:noProof/>
        </w:rPr>
        <w:instrText xml:space="preserve"> PAGEREF _Toc531859280 \h </w:instrText>
      </w:r>
      <w:r>
        <w:rPr>
          <w:noProof/>
        </w:rPr>
      </w:r>
      <w:r>
        <w:rPr>
          <w:noProof/>
        </w:rPr>
        <w:fldChar w:fldCharType="separate"/>
      </w:r>
      <w:r>
        <w:rPr>
          <w:noProof/>
        </w:rPr>
        <w:t>173</w:t>
      </w:r>
      <w:r>
        <w:rPr>
          <w:noProof/>
        </w:rPr>
        <w:fldChar w:fldCharType="end"/>
      </w:r>
    </w:p>
    <w:p w14:paraId="5831CECF"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10.6</w:t>
      </w:r>
      <w:r>
        <w:rPr>
          <w:rFonts w:asciiTheme="minorHAnsi" w:eastAsiaTheme="minorEastAsia" w:hAnsiTheme="minorHAnsi" w:cstheme="minorBidi"/>
          <w:noProof/>
          <w:color w:val="auto"/>
          <w:sz w:val="22"/>
          <w:szCs w:val="22"/>
          <w:lang w:eastAsia="en-AU"/>
        </w:rPr>
        <w:tab/>
      </w:r>
      <w:r>
        <w:rPr>
          <w:noProof/>
        </w:rPr>
        <w:t>Psychological distress and internet use in young adults in the Transitioned ADF compared to young adults in the Australian community cohort</w:t>
      </w:r>
      <w:r>
        <w:rPr>
          <w:noProof/>
        </w:rPr>
        <w:tab/>
      </w:r>
      <w:r>
        <w:rPr>
          <w:noProof/>
        </w:rPr>
        <w:fldChar w:fldCharType="begin"/>
      </w:r>
      <w:r>
        <w:rPr>
          <w:noProof/>
        </w:rPr>
        <w:instrText xml:space="preserve"> PAGEREF _Toc531859281 \h </w:instrText>
      </w:r>
      <w:r>
        <w:rPr>
          <w:noProof/>
        </w:rPr>
      </w:r>
      <w:r>
        <w:rPr>
          <w:noProof/>
        </w:rPr>
        <w:fldChar w:fldCharType="separate"/>
      </w:r>
      <w:r>
        <w:rPr>
          <w:noProof/>
        </w:rPr>
        <w:t>175</w:t>
      </w:r>
      <w:r>
        <w:rPr>
          <w:noProof/>
        </w:rPr>
        <w:fldChar w:fldCharType="end"/>
      </w:r>
    </w:p>
    <w:p w14:paraId="09D7B425"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10.6.1</w:t>
      </w:r>
      <w:r>
        <w:rPr>
          <w:rFonts w:asciiTheme="minorHAnsi" w:eastAsiaTheme="minorEastAsia" w:hAnsiTheme="minorHAnsi" w:cstheme="minorBidi"/>
          <w:noProof/>
          <w:color w:val="auto"/>
          <w:sz w:val="22"/>
          <w:szCs w:val="22"/>
          <w:lang w:eastAsia="en-AU"/>
        </w:rPr>
        <w:tab/>
      </w:r>
      <w:r>
        <w:rPr>
          <w:noProof/>
        </w:rPr>
        <w:t>Psychological distress</w:t>
      </w:r>
      <w:r>
        <w:rPr>
          <w:noProof/>
        </w:rPr>
        <w:tab/>
      </w:r>
      <w:r>
        <w:rPr>
          <w:noProof/>
        </w:rPr>
        <w:fldChar w:fldCharType="begin"/>
      </w:r>
      <w:r>
        <w:rPr>
          <w:noProof/>
        </w:rPr>
        <w:instrText xml:space="preserve"> PAGEREF _Toc531859282 \h </w:instrText>
      </w:r>
      <w:r>
        <w:rPr>
          <w:noProof/>
        </w:rPr>
      </w:r>
      <w:r>
        <w:rPr>
          <w:noProof/>
        </w:rPr>
        <w:fldChar w:fldCharType="separate"/>
      </w:r>
      <w:r>
        <w:rPr>
          <w:noProof/>
        </w:rPr>
        <w:t>175</w:t>
      </w:r>
      <w:r>
        <w:rPr>
          <w:noProof/>
        </w:rPr>
        <w:fldChar w:fldCharType="end"/>
      </w:r>
    </w:p>
    <w:p w14:paraId="332693DC"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10.6.2</w:t>
      </w:r>
      <w:r>
        <w:rPr>
          <w:rFonts w:asciiTheme="minorHAnsi" w:eastAsiaTheme="minorEastAsia" w:hAnsiTheme="minorHAnsi" w:cstheme="minorBidi"/>
          <w:noProof/>
          <w:color w:val="auto"/>
          <w:sz w:val="22"/>
          <w:szCs w:val="22"/>
          <w:lang w:eastAsia="en-AU"/>
        </w:rPr>
        <w:tab/>
      </w:r>
      <w:r>
        <w:rPr>
          <w:noProof/>
        </w:rPr>
        <w:t>Frequency of internet use by level of psychological distress</w:t>
      </w:r>
      <w:r>
        <w:rPr>
          <w:noProof/>
        </w:rPr>
        <w:tab/>
      </w:r>
      <w:r>
        <w:rPr>
          <w:noProof/>
        </w:rPr>
        <w:fldChar w:fldCharType="begin"/>
      </w:r>
      <w:r>
        <w:rPr>
          <w:noProof/>
        </w:rPr>
        <w:instrText xml:space="preserve"> PAGEREF _Toc531859283 \h </w:instrText>
      </w:r>
      <w:r>
        <w:rPr>
          <w:noProof/>
        </w:rPr>
      </w:r>
      <w:r>
        <w:rPr>
          <w:noProof/>
        </w:rPr>
        <w:fldChar w:fldCharType="separate"/>
      </w:r>
      <w:r>
        <w:rPr>
          <w:noProof/>
        </w:rPr>
        <w:t>176</w:t>
      </w:r>
      <w:r>
        <w:rPr>
          <w:noProof/>
        </w:rPr>
        <w:fldChar w:fldCharType="end"/>
      </w:r>
    </w:p>
    <w:p w14:paraId="6A031D09"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10.6.3</w:t>
      </w:r>
      <w:r>
        <w:rPr>
          <w:rFonts w:asciiTheme="minorHAnsi" w:eastAsiaTheme="minorEastAsia" w:hAnsiTheme="minorHAnsi" w:cstheme="minorBidi"/>
          <w:noProof/>
          <w:color w:val="auto"/>
          <w:sz w:val="22"/>
          <w:szCs w:val="22"/>
          <w:lang w:eastAsia="en-AU"/>
        </w:rPr>
        <w:tab/>
      </w:r>
      <w:r>
        <w:rPr>
          <w:noProof/>
        </w:rPr>
        <w:t>Duration of internet use by level of psychological distress</w:t>
      </w:r>
      <w:r>
        <w:rPr>
          <w:noProof/>
        </w:rPr>
        <w:tab/>
      </w:r>
      <w:r>
        <w:rPr>
          <w:noProof/>
        </w:rPr>
        <w:fldChar w:fldCharType="begin"/>
      </w:r>
      <w:r>
        <w:rPr>
          <w:noProof/>
        </w:rPr>
        <w:instrText xml:space="preserve"> PAGEREF _Toc531859284 \h </w:instrText>
      </w:r>
      <w:r>
        <w:rPr>
          <w:noProof/>
        </w:rPr>
      </w:r>
      <w:r>
        <w:rPr>
          <w:noProof/>
        </w:rPr>
        <w:fldChar w:fldCharType="separate"/>
      </w:r>
      <w:r>
        <w:rPr>
          <w:noProof/>
        </w:rPr>
        <w:t>179</w:t>
      </w:r>
      <w:r>
        <w:rPr>
          <w:noProof/>
        </w:rPr>
        <w:fldChar w:fldCharType="end"/>
      </w:r>
    </w:p>
    <w:p w14:paraId="147DD25E"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10.6.4</w:t>
      </w:r>
      <w:r>
        <w:rPr>
          <w:rFonts w:asciiTheme="minorHAnsi" w:eastAsiaTheme="minorEastAsia" w:hAnsiTheme="minorHAnsi" w:cstheme="minorBidi"/>
          <w:noProof/>
          <w:color w:val="auto"/>
          <w:sz w:val="22"/>
          <w:szCs w:val="22"/>
          <w:lang w:eastAsia="en-AU"/>
        </w:rPr>
        <w:tab/>
      </w:r>
      <w:r>
        <w:rPr>
          <w:noProof/>
        </w:rPr>
        <w:t>Internet use after 11 pm by level of psychological distress</w:t>
      </w:r>
      <w:r>
        <w:rPr>
          <w:noProof/>
        </w:rPr>
        <w:tab/>
      </w:r>
      <w:r>
        <w:rPr>
          <w:noProof/>
        </w:rPr>
        <w:fldChar w:fldCharType="begin"/>
      </w:r>
      <w:r>
        <w:rPr>
          <w:noProof/>
        </w:rPr>
        <w:instrText xml:space="preserve"> PAGEREF _Toc531859285 \h </w:instrText>
      </w:r>
      <w:r>
        <w:rPr>
          <w:noProof/>
        </w:rPr>
      </w:r>
      <w:r>
        <w:rPr>
          <w:noProof/>
        </w:rPr>
        <w:fldChar w:fldCharType="separate"/>
      </w:r>
      <w:r>
        <w:rPr>
          <w:noProof/>
        </w:rPr>
        <w:t>179</w:t>
      </w:r>
      <w:r>
        <w:rPr>
          <w:noProof/>
        </w:rPr>
        <w:fldChar w:fldCharType="end"/>
      </w:r>
    </w:p>
    <w:p w14:paraId="39FC096F"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10.6.5</w:t>
      </w:r>
      <w:r>
        <w:rPr>
          <w:rFonts w:asciiTheme="minorHAnsi" w:eastAsiaTheme="minorEastAsia" w:hAnsiTheme="minorHAnsi" w:cstheme="minorBidi"/>
          <w:noProof/>
          <w:color w:val="auto"/>
          <w:sz w:val="22"/>
          <w:szCs w:val="22"/>
          <w:lang w:eastAsia="en-AU"/>
        </w:rPr>
        <w:tab/>
      </w:r>
      <w:r>
        <w:rPr>
          <w:noProof/>
        </w:rPr>
        <w:t>Use of the internet to manage mental health by level of psychological distress</w:t>
      </w:r>
      <w:r>
        <w:rPr>
          <w:noProof/>
        </w:rPr>
        <w:tab/>
      </w:r>
      <w:r>
        <w:rPr>
          <w:noProof/>
        </w:rPr>
        <w:fldChar w:fldCharType="begin"/>
      </w:r>
      <w:r>
        <w:rPr>
          <w:noProof/>
        </w:rPr>
        <w:instrText xml:space="preserve"> PAGEREF _Toc531859286 \h </w:instrText>
      </w:r>
      <w:r>
        <w:rPr>
          <w:noProof/>
        </w:rPr>
      </w:r>
      <w:r>
        <w:rPr>
          <w:noProof/>
        </w:rPr>
        <w:fldChar w:fldCharType="separate"/>
      </w:r>
      <w:r>
        <w:rPr>
          <w:noProof/>
        </w:rPr>
        <w:t>179</w:t>
      </w:r>
      <w:r>
        <w:rPr>
          <w:noProof/>
        </w:rPr>
        <w:fldChar w:fldCharType="end"/>
      </w:r>
    </w:p>
    <w:p w14:paraId="1502C463" w14:textId="77777777" w:rsidR="00040E45" w:rsidRDefault="00040E45">
      <w:pPr>
        <w:pStyle w:val="TOC1"/>
        <w:rPr>
          <w:rFonts w:asciiTheme="minorHAnsi" w:eastAsiaTheme="minorEastAsia" w:hAnsiTheme="minorHAnsi" w:cstheme="minorBidi"/>
          <w:b w:val="0"/>
          <w:color w:val="auto"/>
          <w:sz w:val="22"/>
          <w:szCs w:val="22"/>
          <w:lang w:eastAsia="en-AU"/>
        </w:rPr>
      </w:pPr>
      <w:r>
        <w:t>11</w:t>
      </w:r>
      <w:r>
        <w:rPr>
          <w:rFonts w:asciiTheme="minorHAnsi" w:eastAsiaTheme="minorEastAsia" w:hAnsiTheme="minorHAnsi" w:cstheme="minorBidi"/>
          <w:b w:val="0"/>
          <w:color w:val="auto"/>
          <w:sz w:val="22"/>
          <w:szCs w:val="22"/>
          <w:lang w:eastAsia="en-AU"/>
        </w:rPr>
        <w:tab/>
      </w:r>
      <w:r>
        <w:t>Discussion</w:t>
      </w:r>
      <w:r>
        <w:tab/>
      </w:r>
      <w:r>
        <w:fldChar w:fldCharType="begin"/>
      </w:r>
      <w:r>
        <w:instrText xml:space="preserve"> PAGEREF _Toc531859287 \h </w:instrText>
      </w:r>
      <w:r>
        <w:fldChar w:fldCharType="separate"/>
      </w:r>
      <w:r>
        <w:t>186</w:t>
      </w:r>
      <w:r>
        <w:fldChar w:fldCharType="end"/>
      </w:r>
    </w:p>
    <w:p w14:paraId="2634D45F"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11.1</w:t>
      </w:r>
      <w:r>
        <w:rPr>
          <w:rFonts w:asciiTheme="minorHAnsi" w:eastAsiaTheme="minorEastAsia" w:hAnsiTheme="minorHAnsi" w:cstheme="minorBidi"/>
          <w:noProof/>
          <w:color w:val="auto"/>
          <w:sz w:val="22"/>
          <w:szCs w:val="22"/>
          <w:lang w:eastAsia="en-AU"/>
        </w:rPr>
        <w:tab/>
      </w:r>
      <w:r>
        <w:rPr>
          <w:noProof/>
        </w:rPr>
        <w:t>Summary and interpretations of findings</w:t>
      </w:r>
      <w:r>
        <w:rPr>
          <w:noProof/>
        </w:rPr>
        <w:tab/>
      </w:r>
      <w:r>
        <w:rPr>
          <w:noProof/>
        </w:rPr>
        <w:fldChar w:fldCharType="begin"/>
      </w:r>
      <w:r>
        <w:rPr>
          <w:noProof/>
        </w:rPr>
        <w:instrText xml:space="preserve"> PAGEREF _Toc531859288 \h </w:instrText>
      </w:r>
      <w:r>
        <w:rPr>
          <w:noProof/>
        </w:rPr>
      </w:r>
      <w:r>
        <w:rPr>
          <w:noProof/>
        </w:rPr>
        <w:fldChar w:fldCharType="separate"/>
      </w:r>
      <w:r>
        <w:rPr>
          <w:noProof/>
        </w:rPr>
        <w:t>189</w:t>
      </w:r>
      <w:r>
        <w:rPr>
          <w:noProof/>
        </w:rPr>
        <w:fldChar w:fldCharType="end"/>
      </w:r>
    </w:p>
    <w:p w14:paraId="53C40226"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11.1.1</w:t>
      </w:r>
      <w:r>
        <w:rPr>
          <w:rFonts w:asciiTheme="minorHAnsi" w:eastAsiaTheme="minorEastAsia" w:hAnsiTheme="minorHAnsi" w:cstheme="minorBidi"/>
          <w:noProof/>
          <w:color w:val="auto"/>
          <w:sz w:val="22"/>
          <w:szCs w:val="22"/>
          <w:lang w:eastAsia="en-AU"/>
        </w:rPr>
        <w:tab/>
      </w:r>
      <w:r>
        <w:rPr>
          <w:noProof/>
        </w:rPr>
        <w:t>Use of the internet</w:t>
      </w:r>
      <w:r>
        <w:rPr>
          <w:noProof/>
        </w:rPr>
        <w:tab/>
      </w:r>
      <w:r>
        <w:rPr>
          <w:noProof/>
        </w:rPr>
        <w:fldChar w:fldCharType="begin"/>
      </w:r>
      <w:r>
        <w:rPr>
          <w:noProof/>
        </w:rPr>
        <w:instrText xml:space="preserve"> PAGEREF _Toc531859289 \h </w:instrText>
      </w:r>
      <w:r>
        <w:rPr>
          <w:noProof/>
        </w:rPr>
      </w:r>
      <w:r>
        <w:rPr>
          <w:noProof/>
        </w:rPr>
        <w:fldChar w:fldCharType="separate"/>
      </w:r>
      <w:r>
        <w:rPr>
          <w:noProof/>
        </w:rPr>
        <w:t>189</w:t>
      </w:r>
      <w:r>
        <w:rPr>
          <w:noProof/>
        </w:rPr>
        <w:fldChar w:fldCharType="end"/>
      </w:r>
    </w:p>
    <w:p w14:paraId="21934A2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11.1.2</w:t>
      </w:r>
      <w:r>
        <w:rPr>
          <w:rFonts w:asciiTheme="minorHAnsi" w:eastAsiaTheme="minorEastAsia" w:hAnsiTheme="minorHAnsi" w:cstheme="minorBidi"/>
          <w:noProof/>
          <w:color w:val="auto"/>
          <w:sz w:val="22"/>
          <w:szCs w:val="22"/>
          <w:lang w:eastAsia="en-AU"/>
        </w:rPr>
        <w:tab/>
      </w:r>
      <w:r>
        <w:rPr>
          <w:noProof/>
        </w:rPr>
        <w:t>The use of new and emerging technology</w:t>
      </w:r>
      <w:r>
        <w:rPr>
          <w:noProof/>
        </w:rPr>
        <w:tab/>
      </w:r>
      <w:r>
        <w:rPr>
          <w:noProof/>
        </w:rPr>
        <w:fldChar w:fldCharType="begin"/>
      </w:r>
      <w:r>
        <w:rPr>
          <w:noProof/>
        </w:rPr>
        <w:instrText xml:space="preserve"> PAGEREF _Toc531859290 \h </w:instrText>
      </w:r>
      <w:r>
        <w:rPr>
          <w:noProof/>
        </w:rPr>
      </w:r>
      <w:r>
        <w:rPr>
          <w:noProof/>
        </w:rPr>
        <w:fldChar w:fldCharType="separate"/>
      </w:r>
      <w:r>
        <w:rPr>
          <w:noProof/>
        </w:rPr>
        <w:t>189</w:t>
      </w:r>
      <w:r>
        <w:rPr>
          <w:noProof/>
        </w:rPr>
        <w:fldChar w:fldCharType="end"/>
      </w:r>
    </w:p>
    <w:p w14:paraId="2A9014DB"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11.1.3</w:t>
      </w:r>
      <w:r>
        <w:rPr>
          <w:rFonts w:asciiTheme="minorHAnsi" w:eastAsiaTheme="minorEastAsia" w:hAnsiTheme="minorHAnsi" w:cstheme="minorBidi"/>
          <w:noProof/>
          <w:color w:val="auto"/>
          <w:sz w:val="22"/>
          <w:szCs w:val="22"/>
          <w:lang w:eastAsia="en-AU"/>
        </w:rPr>
        <w:tab/>
      </w:r>
      <w:r>
        <w:rPr>
          <w:noProof/>
        </w:rPr>
        <w:t>Use of the internet for mental health information, or to seek support</w:t>
      </w:r>
      <w:r>
        <w:rPr>
          <w:noProof/>
        </w:rPr>
        <w:tab/>
      </w:r>
      <w:r>
        <w:rPr>
          <w:noProof/>
        </w:rPr>
        <w:fldChar w:fldCharType="begin"/>
      </w:r>
      <w:r>
        <w:rPr>
          <w:noProof/>
        </w:rPr>
        <w:instrText xml:space="preserve"> PAGEREF _Toc531859291 \h </w:instrText>
      </w:r>
      <w:r>
        <w:rPr>
          <w:noProof/>
        </w:rPr>
      </w:r>
      <w:r>
        <w:rPr>
          <w:noProof/>
        </w:rPr>
        <w:fldChar w:fldCharType="separate"/>
      </w:r>
      <w:r>
        <w:rPr>
          <w:noProof/>
        </w:rPr>
        <w:t>190</w:t>
      </w:r>
      <w:r>
        <w:rPr>
          <w:noProof/>
        </w:rPr>
        <w:fldChar w:fldCharType="end"/>
      </w:r>
    </w:p>
    <w:p w14:paraId="747CDDDD"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11.1.4</w:t>
      </w:r>
      <w:r>
        <w:rPr>
          <w:rFonts w:asciiTheme="minorHAnsi" w:eastAsiaTheme="minorEastAsia" w:hAnsiTheme="minorHAnsi" w:cstheme="minorBidi"/>
          <w:noProof/>
          <w:color w:val="auto"/>
          <w:sz w:val="22"/>
          <w:szCs w:val="22"/>
          <w:lang w:eastAsia="en-AU"/>
        </w:rPr>
        <w:tab/>
      </w:r>
      <w:r>
        <w:rPr>
          <w:noProof/>
        </w:rPr>
        <w:t>Seeking help or information about their own mental health</w:t>
      </w:r>
      <w:r>
        <w:rPr>
          <w:noProof/>
        </w:rPr>
        <w:tab/>
      </w:r>
      <w:r>
        <w:rPr>
          <w:noProof/>
        </w:rPr>
        <w:fldChar w:fldCharType="begin"/>
      </w:r>
      <w:r>
        <w:rPr>
          <w:noProof/>
        </w:rPr>
        <w:instrText xml:space="preserve"> PAGEREF _Toc531859292 \h </w:instrText>
      </w:r>
      <w:r>
        <w:rPr>
          <w:noProof/>
        </w:rPr>
      </w:r>
      <w:r>
        <w:rPr>
          <w:noProof/>
        </w:rPr>
        <w:fldChar w:fldCharType="separate"/>
      </w:r>
      <w:r>
        <w:rPr>
          <w:noProof/>
        </w:rPr>
        <w:t>191</w:t>
      </w:r>
      <w:r>
        <w:rPr>
          <w:noProof/>
        </w:rPr>
        <w:fldChar w:fldCharType="end"/>
      </w:r>
    </w:p>
    <w:p w14:paraId="75584BFC"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11.1.6</w:t>
      </w:r>
      <w:r>
        <w:rPr>
          <w:rFonts w:asciiTheme="minorHAnsi" w:eastAsiaTheme="minorEastAsia" w:hAnsiTheme="minorHAnsi" w:cstheme="minorBidi"/>
          <w:noProof/>
          <w:color w:val="auto"/>
          <w:sz w:val="22"/>
          <w:szCs w:val="22"/>
          <w:lang w:eastAsia="en-AU"/>
        </w:rPr>
        <w:tab/>
      </w:r>
      <w:r>
        <w:rPr>
          <w:noProof/>
        </w:rPr>
        <w:t>Barriers</w:t>
      </w:r>
      <w:r>
        <w:rPr>
          <w:noProof/>
        </w:rPr>
        <w:tab/>
      </w:r>
      <w:r>
        <w:rPr>
          <w:noProof/>
        </w:rPr>
        <w:fldChar w:fldCharType="begin"/>
      </w:r>
      <w:r>
        <w:rPr>
          <w:noProof/>
        </w:rPr>
        <w:instrText xml:space="preserve"> PAGEREF _Toc531859293 \h </w:instrText>
      </w:r>
      <w:r>
        <w:rPr>
          <w:noProof/>
        </w:rPr>
      </w:r>
      <w:r>
        <w:rPr>
          <w:noProof/>
        </w:rPr>
        <w:fldChar w:fldCharType="separate"/>
      </w:r>
      <w:r>
        <w:rPr>
          <w:noProof/>
        </w:rPr>
        <w:t>191</w:t>
      </w:r>
      <w:r>
        <w:rPr>
          <w:noProof/>
        </w:rPr>
        <w:fldChar w:fldCharType="end"/>
      </w:r>
    </w:p>
    <w:p w14:paraId="5768078B"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11.1.7</w:t>
      </w:r>
      <w:r>
        <w:rPr>
          <w:rFonts w:asciiTheme="minorHAnsi" w:eastAsiaTheme="minorEastAsia" w:hAnsiTheme="minorHAnsi" w:cstheme="minorBidi"/>
          <w:noProof/>
          <w:color w:val="auto"/>
          <w:sz w:val="22"/>
          <w:szCs w:val="22"/>
          <w:lang w:eastAsia="en-AU"/>
        </w:rPr>
        <w:tab/>
      </w:r>
      <w:r>
        <w:rPr>
          <w:noProof/>
        </w:rPr>
        <w:t>Use of the internet for mental health</w:t>
      </w:r>
      <w:r>
        <w:rPr>
          <w:noProof/>
        </w:rPr>
        <w:tab/>
      </w:r>
      <w:r>
        <w:rPr>
          <w:noProof/>
        </w:rPr>
        <w:fldChar w:fldCharType="begin"/>
      </w:r>
      <w:r>
        <w:rPr>
          <w:noProof/>
        </w:rPr>
        <w:instrText xml:space="preserve"> PAGEREF _Toc531859294 \h </w:instrText>
      </w:r>
      <w:r>
        <w:rPr>
          <w:noProof/>
        </w:rPr>
      </w:r>
      <w:r>
        <w:rPr>
          <w:noProof/>
        </w:rPr>
        <w:fldChar w:fldCharType="separate"/>
      </w:r>
      <w:r>
        <w:rPr>
          <w:noProof/>
        </w:rPr>
        <w:t>192</w:t>
      </w:r>
      <w:r>
        <w:rPr>
          <w:noProof/>
        </w:rPr>
        <w:fldChar w:fldCharType="end"/>
      </w:r>
    </w:p>
    <w:p w14:paraId="4CF64938" w14:textId="77777777" w:rsidR="00040E45" w:rsidRDefault="00040E45">
      <w:pPr>
        <w:pStyle w:val="TOC3"/>
        <w:rPr>
          <w:rFonts w:asciiTheme="minorHAnsi" w:eastAsiaTheme="minorEastAsia" w:hAnsiTheme="minorHAnsi" w:cstheme="minorBidi"/>
          <w:noProof/>
          <w:color w:val="auto"/>
          <w:sz w:val="22"/>
          <w:szCs w:val="22"/>
          <w:lang w:eastAsia="en-AU"/>
        </w:rPr>
      </w:pPr>
      <w:r w:rsidRPr="00922402">
        <w:rPr>
          <w:rFonts w:eastAsia="Calibri"/>
          <w:noProof/>
        </w:rPr>
        <w:t>11.1.8</w:t>
      </w:r>
      <w:r>
        <w:rPr>
          <w:rFonts w:asciiTheme="minorHAnsi" w:eastAsiaTheme="minorEastAsia" w:hAnsiTheme="minorHAnsi" w:cstheme="minorBidi"/>
          <w:noProof/>
          <w:color w:val="auto"/>
          <w:sz w:val="22"/>
          <w:szCs w:val="22"/>
          <w:lang w:eastAsia="en-AU"/>
        </w:rPr>
        <w:tab/>
      </w:r>
      <w:r w:rsidRPr="00922402">
        <w:rPr>
          <w:rFonts w:eastAsia="Calibri"/>
          <w:noProof/>
        </w:rPr>
        <w:t>Use of the internet to manage mental health in young adults in the Transitioned ADF compared to young adults in the Australian community</w:t>
      </w:r>
      <w:r>
        <w:rPr>
          <w:noProof/>
        </w:rPr>
        <w:tab/>
      </w:r>
      <w:r>
        <w:rPr>
          <w:noProof/>
        </w:rPr>
        <w:fldChar w:fldCharType="begin"/>
      </w:r>
      <w:r>
        <w:rPr>
          <w:noProof/>
        </w:rPr>
        <w:instrText xml:space="preserve"> PAGEREF _Toc531859295 \h </w:instrText>
      </w:r>
      <w:r>
        <w:rPr>
          <w:noProof/>
        </w:rPr>
      </w:r>
      <w:r>
        <w:rPr>
          <w:noProof/>
        </w:rPr>
        <w:fldChar w:fldCharType="separate"/>
      </w:r>
      <w:r>
        <w:rPr>
          <w:noProof/>
        </w:rPr>
        <w:t>192</w:t>
      </w:r>
      <w:r>
        <w:rPr>
          <w:noProof/>
        </w:rPr>
        <w:fldChar w:fldCharType="end"/>
      </w:r>
    </w:p>
    <w:p w14:paraId="1F63CE80"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11.2</w:t>
      </w:r>
      <w:r>
        <w:rPr>
          <w:rFonts w:asciiTheme="minorHAnsi" w:eastAsiaTheme="minorEastAsia" w:hAnsiTheme="minorHAnsi" w:cstheme="minorBidi"/>
          <w:noProof/>
          <w:color w:val="auto"/>
          <w:sz w:val="22"/>
          <w:szCs w:val="22"/>
          <w:lang w:eastAsia="en-AU"/>
        </w:rPr>
        <w:tab/>
      </w:r>
      <w:r>
        <w:rPr>
          <w:noProof/>
        </w:rPr>
        <w:t>Broader consideration and service system implications from the findings</w:t>
      </w:r>
      <w:r>
        <w:rPr>
          <w:noProof/>
        </w:rPr>
        <w:tab/>
      </w:r>
      <w:r>
        <w:rPr>
          <w:noProof/>
        </w:rPr>
        <w:fldChar w:fldCharType="begin"/>
      </w:r>
      <w:r>
        <w:rPr>
          <w:noProof/>
        </w:rPr>
        <w:instrText xml:space="preserve"> PAGEREF _Toc531859296 \h </w:instrText>
      </w:r>
      <w:r>
        <w:rPr>
          <w:noProof/>
        </w:rPr>
      </w:r>
      <w:r>
        <w:rPr>
          <w:noProof/>
        </w:rPr>
        <w:fldChar w:fldCharType="separate"/>
      </w:r>
      <w:r>
        <w:rPr>
          <w:noProof/>
        </w:rPr>
        <w:t>193</w:t>
      </w:r>
      <w:r>
        <w:rPr>
          <w:noProof/>
        </w:rPr>
        <w:fldChar w:fldCharType="end"/>
      </w:r>
    </w:p>
    <w:p w14:paraId="52F5C038"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11.2.1</w:t>
      </w:r>
      <w:r>
        <w:rPr>
          <w:rFonts w:asciiTheme="minorHAnsi" w:eastAsiaTheme="minorEastAsia" w:hAnsiTheme="minorHAnsi" w:cstheme="minorBidi"/>
          <w:noProof/>
          <w:color w:val="auto"/>
          <w:sz w:val="22"/>
          <w:szCs w:val="22"/>
          <w:lang w:eastAsia="en-AU"/>
        </w:rPr>
        <w:tab/>
      </w:r>
      <w:r>
        <w:rPr>
          <w:noProof/>
        </w:rPr>
        <w:t>Maintaining wellbeing through self-management</w:t>
      </w:r>
      <w:r>
        <w:rPr>
          <w:noProof/>
        </w:rPr>
        <w:tab/>
      </w:r>
      <w:r>
        <w:rPr>
          <w:noProof/>
        </w:rPr>
        <w:fldChar w:fldCharType="begin"/>
      </w:r>
      <w:r>
        <w:rPr>
          <w:noProof/>
        </w:rPr>
        <w:instrText xml:space="preserve"> PAGEREF _Toc531859297 \h </w:instrText>
      </w:r>
      <w:r>
        <w:rPr>
          <w:noProof/>
        </w:rPr>
      </w:r>
      <w:r>
        <w:rPr>
          <w:noProof/>
        </w:rPr>
        <w:fldChar w:fldCharType="separate"/>
      </w:r>
      <w:r>
        <w:rPr>
          <w:noProof/>
        </w:rPr>
        <w:t>194</w:t>
      </w:r>
      <w:r>
        <w:rPr>
          <w:noProof/>
        </w:rPr>
        <w:fldChar w:fldCharType="end"/>
      </w:r>
    </w:p>
    <w:p w14:paraId="38DBF544"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11.2.2</w:t>
      </w:r>
      <w:r>
        <w:rPr>
          <w:rFonts w:asciiTheme="minorHAnsi" w:eastAsiaTheme="minorEastAsia" w:hAnsiTheme="minorHAnsi" w:cstheme="minorBidi"/>
          <w:noProof/>
          <w:color w:val="auto"/>
          <w:sz w:val="22"/>
          <w:szCs w:val="22"/>
          <w:lang w:eastAsia="en-AU"/>
        </w:rPr>
        <w:tab/>
      </w:r>
      <w:r>
        <w:rPr>
          <w:noProof/>
        </w:rPr>
        <w:t>Use of apps, wearables and biometric devices</w:t>
      </w:r>
      <w:r>
        <w:rPr>
          <w:noProof/>
        </w:rPr>
        <w:tab/>
      </w:r>
      <w:r>
        <w:rPr>
          <w:noProof/>
        </w:rPr>
        <w:fldChar w:fldCharType="begin"/>
      </w:r>
      <w:r>
        <w:rPr>
          <w:noProof/>
        </w:rPr>
        <w:instrText xml:space="preserve"> PAGEREF _Toc531859298 \h </w:instrText>
      </w:r>
      <w:r>
        <w:rPr>
          <w:noProof/>
        </w:rPr>
      </w:r>
      <w:r>
        <w:rPr>
          <w:noProof/>
        </w:rPr>
        <w:fldChar w:fldCharType="separate"/>
      </w:r>
      <w:r>
        <w:rPr>
          <w:noProof/>
        </w:rPr>
        <w:t>195</w:t>
      </w:r>
      <w:r>
        <w:rPr>
          <w:noProof/>
        </w:rPr>
        <w:fldChar w:fldCharType="end"/>
      </w:r>
    </w:p>
    <w:p w14:paraId="695D1222"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11.2.3</w:t>
      </w:r>
      <w:r>
        <w:rPr>
          <w:rFonts w:asciiTheme="minorHAnsi" w:eastAsiaTheme="minorEastAsia" w:hAnsiTheme="minorHAnsi" w:cstheme="minorBidi"/>
          <w:noProof/>
          <w:color w:val="auto"/>
          <w:sz w:val="22"/>
          <w:szCs w:val="22"/>
          <w:lang w:eastAsia="en-AU"/>
        </w:rPr>
        <w:tab/>
      </w:r>
      <w:r>
        <w:rPr>
          <w:noProof/>
        </w:rPr>
        <w:t>Integration and coordination of digital content</w:t>
      </w:r>
      <w:r>
        <w:rPr>
          <w:noProof/>
        </w:rPr>
        <w:tab/>
      </w:r>
      <w:r>
        <w:rPr>
          <w:noProof/>
        </w:rPr>
        <w:fldChar w:fldCharType="begin"/>
      </w:r>
      <w:r>
        <w:rPr>
          <w:noProof/>
        </w:rPr>
        <w:instrText xml:space="preserve"> PAGEREF _Toc531859299 \h </w:instrText>
      </w:r>
      <w:r>
        <w:rPr>
          <w:noProof/>
        </w:rPr>
      </w:r>
      <w:r>
        <w:rPr>
          <w:noProof/>
        </w:rPr>
        <w:fldChar w:fldCharType="separate"/>
      </w:r>
      <w:r>
        <w:rPr>
          <w:noProof/>
        </w:rPr>
        <w:t>196</w:t>
      </w:r>
      <w:r>
        <w:rPr>
          <w:noProof/>
        </w:rPr>
        <w:fldChar w:fldCharType="end"/>
      </w:r>
    </w:p>
    <w:p w14:paraId="328D99CA"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11.2.4</w:t>
      </w:r>
      <w:r>
        <w:rPr>
          <w:rFonts w:asciiTheme="minorHAnsi" w:eastAsiaTheme="minorEastAsia" w:hAnsiTheme="minorHAnsi" w:cstheme="minorBidi"/>
          <w:noProof/>
          <w:color w:val="auto"/>
          <w:sz w:val="22"/>
          <w:szCs w:val="22"/>
          <w:lang w:eastAsia="en-AU"/>
        </w:rPr>
        <w:tab/>
      </w:r>
      <w:r>
        <w:rPr>
          <w:noProof/>
        </w:rPr>
        <w:t>Shared care and bolstering effectiveness of treatment</w:t>
      </w:r>
      <w:r>
        <w:rPr>
          <w:noProof/>
        </w:rPr>
        <w:tab/>
      </w:r>
      <w:r>
        <w:rPr>
          <w:noProof/>
        </w:rPr>
        <w:fldChar w:fldCharType="begin"/>
      </w:r>
      <w:r>
        <w:rPr>
          <w:noProof/>
        </w:rPr>
        <w:instrText xml:space="preserve"> PAGEREF _Toc531859300 \h </w:instrText>
      </w:r>
      <w:r>
        <w:rPr>
          <w:noProof/>
        </w:rPr>
      </w:r>
      <w:r>
        <w:rPr>
          <w:noProof/>
        </w:rPr>
        <w:fldChar w:fldCharType="separate"/>
      </w:r>
      <w:r>
        <w:rPr>
          <w:noProof/>
        </w:rPr>
        <w:t>197</w:t>
      </w:r>
      <w:r>
        <w:rPr>
          <w:noProof/>
        </w:rPr>
        <w:fldChar w:fldCharType="end"/>
      </w:r>
    </w:p>
    <w:p w14:paraId="7D51A263"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11.2.5</w:t>
      </w:r>
      <w:r>
        <w:rPr>
          <w:rFonts w:asciiTheme="minorHAnsi" w:eastAsiaTheme="minorEastAsia" w:hAnsiTheme="minorHAnsi" w:cstheme="minorBidi"/>
          <w:noProof/>
          <w:color w:val="auto"/>
          <w:sz w:val="22"/>
          <w:szCs w:val="22"/>
          <w:lang w:eastAsia="en-AU"/>
        </w:rPr>
        <w:tab/>
      </w:r>
      <w:r>
        <w:rPr>
          <w:noProof/>
        </w:rPr>
        <w:t>Stepped care and clinical staging</w:t>
      </w:r>
      <w:r>
        <w:rPr>
          <w:noProof/>
        </w:rPr>
        <w:tab/>
      </w:r>
      <w:r>
        <w:rPr>
          <w:noProof/>
        </w:rPr>
        <w:fldChar w:fldCharType="begin"/>
      </w:r>
      <w:r>
        <w:rPr>
          <w:noProof/>
        </w:rPr>
        <w:instrText xml:space="preserve"> PAGEREF _Toc531859301 \h </w:instrText>
      </w:r>
      <w:r>
        <w:rPr>
          <w:noProof/>
        </w:rPr>
      </w:r>
      <w:r>
        <w:rPr>
          <w:noProof/>
        </w:rPr>
        <w:fldChar w:fldCharType="separate"/>
      </w:r>
      <w:r>
        <w:rPr>
          <w:noProof/>
        </w:rPr>
        <w:t>197</w:t>
      </w:r>
      <w:r>
        <w:rPr>
          <w:noProof/>
        </w:rPr>
        <w:fldChar w:fldCharType="end"/>
      </w:r>
    </w:p>
    <w:p w14:paraId="3FCF9F29"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11.2.6</w:t>
      </w:r>
      <w:r>
        <w:rPr>
          <w:rFonts w:asciiTheme="minorHAnsi" w:eastAsiaTheme="minorEastAsia" w:hAnsiTheme="minorHAnsi" w:cstheme="minorBidi"/>
          <w:noProof/>
          <w:color w:val="auto"/>
          <w:sz w:val="22"/>
          <w:szCs w:val="22"/>
          <w:lang w:eastAsia="en-AU"/>
        </w:rPr>
        <w:tab/>
      </w:r>
      <w:r>
        <w:rPr>
          <w:noProof/>
        </w:rPr>
        <w:t>Other areas requiring exploration</w:t>
      </w:r>
      <w:r>
        <w:rPr>
          <w:noProof/>
        </w:rPr>
        <w:tab/>
      </w:r>
      <w:r>
        <w:rPr>
          <w:noProof/>
        </w:rPr>
        <w:fldChar w:fldCharType="begin"/>
      </w:r>
      <w:r>
        <w:rPr>
          <w:noProof/>
        </w:rPr>
        <w:instrText xml:space="preserve"> PAGEREF _Toc531859302 \h </w:instrText>
      </w:r>
      <w:r>
        <w:rPr>
          <w:noProof/>
        </w:rPr>
      </w:r>
      <w:r>
        <w:rPr>
          <w:noProof/>
        </w:rPr>
        <w:fldChar w:fldCharType="separate"/>
      </w:r>
      <w:r>
        <w:rPr>
          <w:noProof/>
        </w:rPr>
        <w:t>199</w:t>
      </w:r>
      <w:r>
        <w:rPr>
          <w:noProof/>
        </w:rPr>
        <w:fldChar w:fldCharType="end"/>
      </w:r>
    </w:p>
    <w:p w14:paraId="1B19B0A7" w14:textId="77777777" w:rsidR="00040E45" w:rsidRDefault="00040E45">
      <w:pPr>
        <w:pStyle w:val="TOC3"/>
        <w:rPr>
          <w:rFonts w:asciiTheme="minorHAnsi" w:eastAsiaTheme="minorEastAsia" w:hAnsiTheme="minorHAnsi" w:cstheme="minorBidi"/>
          <w:noProof/>
          <w:color w:val="auto"/>
          <w:sz w:val="22"/>
          <w:szCs w:val="22"/>
          <w:lang w:eastAsia="en-AU"/>
        </w:rPr>
      </w:pPr>
      <w:r>
        <w:rPr>
          <w:noProof/>
        </w:rPr>
        <w:t>11.2.7</w:t>
      </w:r>
      <w:r>
        <w:rPr>
          <w:rFonts w:asciiTheme="minorHAnsi" w:eastAsiaTheme="minorEastAsia" w:hAnsiTheme="minorHAnsi" w:cstheme="minorBidi"/>
          <w:noProof/>
          <w:color w:val="auto"/>
          <w:sz w:val="22"/>
          <w:szCs w:val="22"/>
          <w:lang w:eastAsia="en-AU"/>
        </w:rPr>
        <w:tab/>
      </w:r>
      <w:r>
        <w:rPr>
          <w:noProof/>
        </w:rPr>
        <w:t>Stigma, beliefs about mental health treatment and barriers to care</w:t>
      </w:r>
      <w:r>
        <w:rPr>
          <w:noProof/>
        </w:rPr>
        <w:tab/>
      </w:r>
      <w:r>
        <w:rPr>
          <w:noProof/>
        </w:rPr>
        <w:fldChar w:fldCharType="begin"/>
      </w:r>
      <w:r>
        <w:rPr>
          <w:noProof/>
        </w:rPr>
        <w:instrText xml:space="preserve"> PAGEREF _Toc531859303 \h </w:instrText>
      </w:r>
      <w:r>
        <w:rPr>
          <w:noProof/>
        </w:rPr>
      </w:r>
      <w:r>
        <w:rPr>
          <w:noProof/>
        </w:rPr>
        <w:fldChar w:fldCharType="separate"/>
      </w:r>
      <w:r>
        <w:rPr>
          <w:noProof/>
        </w:rPr>
        <w:t>200</w:t>
      </w:r>
      <w:r>
        <w:rPr>
          <w:noProof/>
        </w:rPr>
        <w:fldChar w:fldCharType="end"/>
      </w:r>
    </w:p>
    <w:p w14:paraId="439AB875" w14:textId="77777777" w:rsidR="00040E45" w:rsidRDefault="00040E45">
      <w:pPr>
        <w:pStyle w:val="TOC2"/>
        <w:rPr>
          <w:rFonts w:asciiTheme="minorHAnsi" w:eastAsiaTheme="minorEastAsia" w:hAnsiTheme="minorHAnsi" w:cstheme="minorBidi"/>
          <w:noProof/>
          <w:color w:val="auto"/>
          <w:sz w:val="22"/>
          <w:szCs w:val="22"/>
          <w:lang w:eastAsia="en-AU"/>
        </w:rPr>
      </w:pPr>
      <w:r>
        <w:rPr>
          <w:noProof/>
        </w:rPr>
        <w:t>11.3</w:t>
      </w:r>
      <w:r>
        <w:rPr>
          <w:rFonts w:asciiTheme="minorHAnsi" w:eastAsiaTheme="minorEastAsia" w:hAnsiTheme="minorHAnsi" w:cstheme="minorBidi"/>
          <w:noProof/>
          <w:color w:val="auto"/>
          <w:sz w:val="22"/>
          <w:szCs w:val="22"/>
          <w:lang w:eastAsia="en-AU"/>
        </w:rPr>
        <w:tab/>
      </w:r>
      <w:r>
        <w:rPr>
          <w:noProof/>
        </w:rPr>
        <w:t>Concluding remarks</w:t>
      </w:r>
      <w:r>
        <w:rPr>
          <w:noProof/>
        </w:rPr>
        <w:tab/>
      </w:r>
      <w:r>
        <w:rPr>
          <w:noProof/>
        </w:rPr>
        <w:fldChar w:fldCharType="begin"/>
      </w:r>
      <w:r>
        <w:rPr>
          <w:noProof/>
        </w:rPr>
        <w:instrText xml:space="preserve"> PAGEREF _Toc531859304 \h </w:instrText>
      </w:r>
      <w:r>
        <w:rPr>
          <w:noProof/>
        </w:rPr>
      </w:r>
      <w:r>
        <w:rPr>
          <w:noProof/>
        </w:rPr>
        <w:fldChar w:fldCharType="separate"/>
      </w:r>
      <w:r>
        <w:rPr>
          <w:noProof/>
        </w:rPr>
        <w:t>200</w:t>
      </w:r>
      <w:r>
        <w:rPr>
          <w:noProof/>
        </w:rPr>
        <w:fldChar w:fldCharType="end"/>
      </w:r>
    </w:p>
    <w:p w14:paraId="21A3266A" w14:textId="77777777" w:rsidR="00040E45" w:rsidRDefault="00040E45">
      <w:pPr>
        <w:pStyle w:val="TOC1"/>
        <w:rPr>
          <w:rFonts w:asciiTheme="minorHAnsi" w:eastAsiaTheme="minorEastAsia" w:hAnsiTheme="minorHAnsi" w:cstheme="minorBidi"/>
          <w:b w:val="0"/>
          <w:color w:val="auto"/>
          <w:sz w:val="22"/>
          <w:szCs w:val="22"/>
          <w:lang w:eastAsia="en-AU"/>
        </w:rPr>
      </w:pPr>
      <w:r>
        <w:t>Annex A</w:t>
      </w:r>
      <w:r>
        <w:rPr>
          <w:rFonts w:asciiTheme="minorHAnsi" w:eastAsiaTheme="minorEastAsia" w:hAnsiTheme="minorHAnsi" w:cstheme="minorBidi"/>
          <w:b w:val="0"/>
          <w:color w:val="auto"/>
          <w:sz w:val="22"/>
          <w:szCs w:val="22"/>
          <w:lang w:eastAsia="en-AU"/>
        </w:rPr>
        <w:tab/>
      </w:r>
      <w:r>
        <w:t>Mental Health and Wellbeing Transition Study method</w:t>
      </w:r>
      <w:r>
        <w:tab/>
      </w:r>
      <w:r>
        <w:fldChar w:fldCharType="begin"/>
      </w:r>
      <w:r>
        <w:instrText xml:space="preserve"> PAGEREF _Toc531859305 \h </w:instrText>
      </w:r>
      <w:r>
        <w:fldChar w:fldCharType="separate"/>
      </w:r>
      <w:r>
        <w:t>203</w:t>
      </w:r>
      <w:r>
        <w:fldChar w:fldCharType="end"/>
      </w:r>
    </w:p>
    <w:p w14:paraId="0B05760B" w14:textId="77777777" w:rsidR="00040E45" w:rsidRDefault="00040E45">
      <w:pPr>
        <w:pStyle w:val="TOC1"/>
        <w:rPr>
          <w:rFonts w:asciiTheme="minorHAnsi" w:eastAsiaTheme="minorEastAsia" w:hAnsiTheme="minorHAnsi" w:cstheme="minorBidi"/>
          <w:b w:val="0"/>
          <w:color w:val="auto"/>
          <w:sz w:val="22"/>
          <w:szCs w:val="22"/>
          <w:lang w:eastAsia="en-AU"/>
        </w:rPr>
      </w:pPr>
      <w:r>
        <w:t>Annex B</w:t>
      </w:r>
      <w:r>
        <w:rPr>
          <w:rFonts w:asciiTheme="minorHAnsi" w:eastAsiaTheme="minorEastAsia" w:hAnsiTheme="minorHAnsi" w:cstheme="minorBidi"/>
          <w:b w:val="0"/>
          <w:color w:val="auto"/>
          <w:sz w:val="22"/>
          <w:szCs w:val="22"/>
          <w:lang w:eastAsia="en-AU"/>
        </w:rPr>
        <w:tab/>
      </w:r>
      <w:r>
        <w:t>Odds ratio tables</w:t>
      </w:r>
      <w:r>
        <w:tab/>
      </w:r>
      <w:r>
        <w:fldChar w:fldCharType="begin"/>
      </w:r>
      <w:r>
        <w:instrText xml:space="preserve"> PAGEREF _Toc531859306 \h </w:instrText>
      </w:r>
      <w:r>
        <w:fldChar w:fldCharType="separate"/>
      </w:r>
      <w:r>
        <w:t>250</w:t>
      </w:r>
      <w:r>
        <w:fldChar w:fldCharType="end"/>
      </w:r>
    </w:p>
    <w:p w14:paraId="6B8E4D0D" w14:textId="77777777" w:rsidR="00040E45" w:rsidRDefault="00040E45">
      <w:pPr>
        <w:pStyle w:val="TOC1"/>
        <w:rPr>
          <w:rFonts w:asciiTheme="minorHAnsi" w:eastAsiaTheme="minorEastAsia" w:hAnsiTheme="minorHAnsi" w:cstheme="minorBidi"/>
          <w:b w:val="0"/>
          <w:color w:val="auto"/>
          <w:sz w:val="22"/>
          <w:szCs w:val="22"/>
          <w:lang w:eastAsia="en-AU"/>
        </w:rPr>
      </w:pPr>
      <w:r>
        <w:t>Annex C</w:t>
      </w:r>
      <w:r>
        <w:rPr>
          <w:rFonts w:asciiTheme="minorHAnsi" w:eastAsiaTheme="minorEastAsia" w:hAnsiTheme="minorHAnsi" w:cstheme="minorBidi"/>
          <w:b w:val="0"/>
          <w:color w:val="auto"/>
          <w:sz w:val="22"/>
          <w:szCs w:val="22"/>
          <w:lang w:eastAsia="en-AU"/>
        </w:rPr>
        <w:tab/>
      </w:r>
      <w:r>
        <w:t>Detailed tables</w:t>
      </w:r>
      <w:r>
        <w:tab/>
      </w:r>
      <w:r>
        <w:fldChar w:fldCharType="begin"/>
      </w:r>
      <w:r>
        <w:instrText xml:space="preserve"> PAGEREF _Toc531859307 \h </w:instrText>
      </w:r>
      <w:r>
        <w:fldChar w:fldCharType="separate"/>
      </w:r>
      <w:r>
        <w:t>261</w:t>
      </w:r>
      <w:r>
        <w:fldChar w:fldCharType="end"/>
      </w:r>
    </w:p>
    <w:p w14:paraId="4D2EC962" w14:textId="77777777" w:rsidR="00040E45" w:rsidRDefault="00040E45">
      <w:pPr>
        <w:pStyle w:val="TOC1"/>
        <w:rPr>
          <w:rFonts w:asciiTheme="minorHAnsi" w:eastAsiaTheme="minorEastAsia" w:hAnsiTheme="minorHAnsi" w:cstheme="minorBidi"/>
          <w:b w:val="0"/>
          <w:color w:val="auto"/>
          <w:sz w:val="22"/>
          <w:szCs w:val="22"/>
          <w:lang w:eastAsia="en-AU"/>
        </w:rPr>
      </w:pPr>
      <w:r>
        <w:t>Acronyms</w:t>
      </w:r>
      <w:r>
        <w:tab/>
      </w:r>
      <w:r>
        <w:fldChar w:fldCharType="begin"/>
      </w:r>
      <w:r>
        <w:instrText xml:space="preserve"> PAGEREF _Toc531859308 \h </w:instrText>
      </w:r>
      <w:r>
        <w:fldChar w:fldCharType="separate"/>
      </w:r>
      <w:r>
        <w:t>267</w:t>
      </w:r>
      <w:r>
        <w:fldChar w:fldCharType="end"/>
      </w:r>
    </w:p>
    <w:p w14:paraId="16F09064" w14:textId="77777777" w:rsidR="00040E45" w:rsidRDefault="00040E45">
      <w:pPr>
        <w:pStyle w:val="TOC1"/>
        <w:rPr>
          <w:rFonts w:asciiTheme="minorHAnsi" w:eastAsiaTheme="minorEastAsia" w:hAnsiTheme="minorHAnsi" w:cstheme="minorBidi"/>
          <w:b w:val="0"/>
          <w:color w:val="auto"/>
          <w:sz w:val="22"/>
          <w:szCs w:val="22"/>
          <w:lang w:eastAsia="en-AU"/>
        </w:rPr>
      </w:pPr>
      <w:r>
        <w:t>Glossary of terms</w:t>
      </w:r>
      <w:r>
        <w:tab/>
      </w:r>
      <w:r>
        <w:fldChar w:fldCharType="begin"/>
      </w:r>
      <w:r>
        <w:instrText xml:space="preserve"> PAGEREF _Toc531859309 \h </w:instrText>
      </w:r>
      <w:r>
        <w:fldChar w:fldCharType="separate"/>
      </w:r>
      <w:r>
        <w:t>269</w:t>
      </w:r>
      <w:r>
        <w:fldChar w:fldCharType="end"/>
      </w:r>
    </w:p>
    <w:p w14:paraId="25E0135D" w14:textId="77777777" w:rsidR="00040E45" w:rsidRDefault="00040E45">
      <w:pPr>
        <w:pStyle w:val="TOC1"/>
        <w:rPr>
          <w:rFonts w:asciiTheme="minorHAnsi" w:eastAsiaTheme="minorEastAsia" w:hAnsiTheme="minorHAnsi" w:cstheme="minorBidi"/>
          <w:b w:val="0"/>
          <w:color w:val="auto"/>
          <w:sz w:val="22"/>
          <w:szCs w:val="22"/>
          <w:lang w:eastAsia="en-AU"/>
        </w:rPr>
      </w:pPr>
      <w:r w:rsidRPr="00922402">
        <w:rPr>
          <w:lang w:val="it-IT"/>
        </w:rPr>
        <w:t>References</w:t>
      </w:r>
      <w:r>
        <w:tab/>
      </w:r>
      <w:r>
        <w:fldChar w:fldCharType="begin"/>
      </w:r>
      <w:r>
        <w:instrText xml:space="preserve"> PAGEREF _Toc531859310 \h </w:instrText>
      </w:r>
      <w:r>
        <w:fldChar w:fldCharType="separate"/>
      </w:r>
      <w:r>
        <w:t>283</w:t>
      </w:r>
      <w:r>
        <w:fldChar w:fldCharType="end"/>
      </w:r>
    </w:p>
    <w:p w14:paraId="2DB70B8F" w14:textId="7E68A493" w:rsidR="00191932" w:rsidRDefault="0061597C">
      <w:r>
        <w:fldChar w:fldCharType="end"/>
      </w:r>
    </w:p>
    <w:p w14:paraId="62433939" w14:textId="77777777" w:rsidR="0047223A" w:rsidRDefault="000E0B73" w:rsidP="00C44855">
      <w:pPr>
        <w:pStyle w:val="Heading2a"/>
      </w:pPr>
      <w:r>
        <w:t>Tables</w:t>
      </w:r>
    </w:p>
    <w:p w14:paraId="246051F9" w14:textId="77777777" w:rsidR="00E408E4" w:rsidRDefault="000E0B73">
      <w:pPr>
        <w:pStyle w:val="TOC4"/>
        <w:rPr>
          <w:rFonts w:asciiTheme="minorHAnsi" w:eastAsiaTheme="minorEastAsia" w:hAnsiTheme="minorHAnsi" w:cstheme="minorBidi"/>
          <w:noProof/>
          <w:color w:val="auto"/>
          <w:sz w:val="22"/>
          <w:szCs w:val="22"/>
          <w:lang w:eastAsia="en-AU"/>
        </w:rPr>
      </w:pPr>
      <w:r>
        <w:rPr>
          <w:sz w:val="20"/>
        </w:rPr>
        <w:fldChar w:fldCharType="begin"/>
      </w:r>
      <w:r>
        <w:instrText xml:space="preserve"> TOC \t "TableName,4" </w:instrText>
      </w:r>
      <w:r>
        <w:rPr>
          <w:sz w:val="20"/>
        </w:rPr>
        <w:fldChar w:fldCharType="separate"/>
      </w:r>
      <w:r w:rsidR="00E408E4">
        <w:rPr>
          <w:noProof/>
        </w:rPr>
        <w:t>Table 2.1</w:t>
      </w:r>
      <w:r w:rsidR="00E408E4">
        <w:rPr>
          <w:rFonts w:asciiTheme="minorHAnsi" w:eastAsiaTheme="minorEastAsia" w:hAnsiTheme="minorHAnsi" w:cstheme="minorBidi"/>
          <w:noProof/>
          <w:color w:val="auto"/>
          <w:sz w:val="22"/>
          <w:szCs w:val="22"/>
          <w:lang w:eastAsia="en-AU"/>
        </w:rPr>
        <w:tab/>
      </w:r>
      <w:r w:rsidR="00E408E4">
        <w:rPr>
          <w:noProof/>
        </w:rPr>
        <w:t>Survey response rates, by service for the Transitioned ADF and the 2015 Regular ADF</w:t>
      </w:r>
      <w:r w:rsidR="00E408E4">
        <w:rPr>
          <w:noProof/>
        </w:rPr>
        <w:tab/>
      </w:r>
      <w:r w:rsidR="00E408E4">
        <w:rPr>
          <w:noProof/>
        </w:rPr>
        <w:fldChar w:fldCharType="begin"/>
      </w:r>
      <w:r w:rsidR="00E408E4">
        <w:rPr>
          <w:noProof/>
        </w:rPr>
        <w:instrText xml:space="preserve"> PAGEREF _Toc531857982 \h </w:instrText>
      </w:r>
      <w:r w:rsidR="00E408E4">
        <w:rPr>
          <w:noProof/>
        </w:rPr>
      </w:r>
      <w:r w:rsidR="00E408E4">
        <w:rPr>
          <w:noProof/>
        </w:rPr>
        <w:fldChar w:fldCharType="separate"/>
      </w:r>
      <w:r w:rsidR="00E408E4">
        <w:rPr>
          <w:noProof/>
        </w:rPr>
        <w:t>27</w:t>
      </w:r>
      <w:r w:rsidR="00E408E4">
        <w:rPr>
          <w:noProof/>
        </w:rPr>
        <w:fldChar w:fldCharType="end"/>
      </w:r>
    </w:p>
    <w:p w14:paraId="1E35807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2.2</w:t>
      </w:r>
      <w:r>
        <w:rPr>
          <w:rFonts w:asciiTheme="minorHAnsi" w:eastAsiaTheme="minorEastAsia" w:hAnsiTheme="minorHAnsi" w:cstheme="minorBidi"/>
          <w:noProof/>
          <w:color w:val="auto"/>
          <w:sz w:val="22"/>
          <w:szCs w:val="22"/>
          <w:lang w:eastAsia="en-AU"/>
        </w:rPr>
        <w:tab/>
      </w:r>
      <w:r>
        <w:rPr>
          <w:noProof/>
        </w:rPr>
        <w:t>Unweighted demographic characteristics of Transitioned ADF and 2015 Regular ADF responders</w:t>
      </w:r>
      <w:r>
        <w:rPr>
          <w:noProof/>
        </w:rPr>
        <w:tab/>
      </w:r>
      <w:r>
        <w:rPr>
          <w:noProof/>
        </w:rPr>
        <w:fldChar w:fldCharType="begin"/>
      </w:r>
      <w:r>
        <w:rPr>
          <w:noProof/>
        </w:rPr>
        <w:instrText xml:space="preserve"> PAGEREF _Toc531857983 \h </w:instrText>
      </w:r>
      <w:r>
        <w:rPr>
          <w:noProof/>
        </w:rPr>
      </w:r>
      <w:r>
        <w:rPr>
          <w:noProof/>
        </w:rPr>
        <w:fldChar w:fldCharType="separate"/>
      </w:r>
      <w:r>
        <w:rPr>
          <w:noProof/>
        </w:rPr>
        <w:t>29</w:t>
      </w:r>
      <w:r>
        <w:rPr>
          <w:noProof/>
        </w:rPr>
        <w:fldChar w:fldCharType="end"/>
      </w:r>
    </w:p>
    <w:p w14:paraId="058D57BB"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3.1</w:t>
      </w:r>
      <w:r>
        <w:rPr>
          <w:rFonts w:asciiTheme="minorHAnsi" w:eastAsiaTheme="minorEastAsia" w:hAnsiTheme="minorHAnsi" w:cstheme="minorBidi"/>
          <w:noProof/>
          <w:color w:val="auto"/>
          <w:sz w:val="22"/>
          <w:szCs w:val="22"/>
          <w:lang w:eastAsia="en-AU"/>
        </w:rPr>
        <w:tab/>
      </w:r>
      <w:r>
        <w:rPr>
          <w:noProof/>
        </w:rPr>
        <w:t>Weighted demographic characteristics of Transitioned ADF and 2015 Regular ADF members</w:t>
      </w:r>
      <w:r>
        <w:rPr>
          <w:noProof/>
        </w:rPr>
        <w:tab/>
      </w:r>
      <w:r>
        <w:rPr>
          <w:noProof/>
        </w:rPr>
        <w:fldChar w:fldCharType="begin"/>
      </w:r>
      <w:r>
        <w:rPr>
          <w:noProof/>
        </w:rPr>
        <w:instrText xml:space="preserve"> PAGEREF _Toc531857984 \h </w:instrText>
      </w:r>
      <w:r>
        <w:rPr>
          <w:noProof/>
        </w:rPr>
      </w:r>
      <w:r>
        <w:rPr>
          <w:noProof/>
        </w:rPr>
        <w:fldChar w:fldCharType="separate"/>
      </w:r>
      <w:r>
        <w:rPr>
          <w:noProof/>
        </w:rPr>
        <w:t>39</w:t>
      </w:r>
      <w:r>
        <w:rPr>
          <w:noProof/>
        </w:rPr>
        <w:fldChar w:fldCharType="end"/>
      </w:r>
    </w:p>
    <w:p w14:paraId="1A6B4AE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3.2</w:t>
      </w:r>
      <w:r>
        <w:rPr>
          <w:rFonts w:asciiTheme="minorHAnsi" w:eastAsiaTheme="minorEastAsia" w:hAnsiTheme="minorHAnsi" w:cstheme="minorBidi"/>
          <w:noProof/>
          <w:color w:val="auto"/>
          <w:sz w:val="22"/>
          <w:szCs w:val="22"/>
          <w:lang w:eastAsia="en-AU"/>
        </w:rPr>
        <w:tab/>
      </w:r>
      <w:r>
        <w:rPr>
          <w:noProof/>
        </w:rPr>
        <w:t>Weighted service characteristics in Transitioned ADF and 2015 Regular ADF</w:t>
      </w:r>
      <w:r>
        <w:rPr>
          <w:noProof/>
        </w:rPr>
        <w:tab/>
      </w:r>
      <w:r>
        <w:rPr>
          <w:noProof/>
        </w:rPr>
        <w:fldChar w:fldCharType="begin"/>
      </w:r>
      <w:r>
        <w:rPr>
          <w:noProof/>
        </w:rPr>
        <w:instrText xml:space="preserve"> PAGEREF _Toc531857985 \h </w:instrText>
      </w:r>
      <w:r>
        <w:rPr>
          <w:noProof/>
        </w:rPr>
      </w:r>
      <w:r>
        <w:rPr>
          <w:noProof/>
        </w:rPr>
        <w:fldChar w:fldCharType="separate"/>
      </w:r>
      <w:r>
        <w:rPr>
          <w:noProof/>
        </w:rPr>
        <w:t>41</w:t>
      </w:r>
      <w:r>
        <w:rPr>
          <w:noProof/>
        </w:rPr>
        <w:fldChar w:fldCharType="end"/>
      </w:r>
    </w:p>
    <w:p w14:paraId="2125023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3.3</w:t>
      </w:r>
      <w:r>
        <w:rPr>
          <w:rFonts w:asciiTheme="minorHAnsi" w:eastAsiaTheme="minorEastAsia" w:hAnsiTheme="minorHAnsi" w:cstheme="minorBidi"/>
          <w:noProof/>
          <w:color w:val="auto"/>
          <w:sz w:val="22"/>
          <w:szCs w:val="22"/>
          <w:lang w:eastAsia="en-AU"/>
        </w:rPr>
        <w:tab/>
      </w:r>
      <w:r>
        <w:rPr>
          <w:noProof/>
        </w:rPr>
        <w:t>Weighted transition characteristics in Transitioned ADF</w:t>
      </w:r>
      <w:r>
        <w:rPr>
          <w:noProof/>
        </w:rPr>
        <w:tab/>
      </w:r>
      <w:r>
        <w:rPr>
          <w:noProof/>
        </w:rPr>
        <w:fldChar w:fldCharType="begin"/>
      </w:r>
      <w:r>
        <w:rPr>
          <w:noProof/>
        </w:rPr>
        <w:instrText xml:space="preserve"> PAGEREF _Toc531857986 \h </w:instrText>
      </w:r>
      <w:r>
        <w:rPr>
          <w:noProof/>
        </w:rPr>
      </w:r>
      <w:r>
        <w:rPr>
          <w:noProof/>
        </w:rPr>
        <w:fldChar w:fldCharType="separate"/>
      </w:r>
      <w:r>
        <w:rPr>
          <w:noProof/>
        </w:rPr>
        <w:t>42</w:t>
      </w:r>
      <w:r>
        <w:rPr>
          <w:noProof/>
        </w:rPr>
        <w:fldChar w:fldCharType="end"/>
      </w:r>
    </w:p>
    <w:p w14:paraId="23D3D03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3.4</w:t>
      </w:r>
      <w:r>
        <w:rPr>
          <w:rFonts w:asciiTheme="minorHAnsi" w:eastAsiaTheme="minorEastAsia" w:hAnsiTheme="minorHAnsi" w:cstheme="minorBidi"/>
          <w:noProof/>
          <w:color w:val="auto"/>
          <w:sz w:val="22"/>
          <w:szCs w:val="22"/>
          <w:lang w:eastAsia="en-AU"/>
        </w:rPr>
        <w:tab/>
      </w:r>
      <w:r>
        <w:rPr>
          <w:noProof/>
        </w:rPr>
        <w:t>Weighted civilian employment and DVA support among Transitioned ADF members</w:t>
      </w:r>
      <w:r>
        <w:rPr>
          <w:noProof/>
        </w:rPr>
        <w:tab/>
      </w:r>
      <w:r>
        <w:rPr>
          <w:noProof/>
        </w:rPr>
        <w:fldChar w:fldCharType="begin"/>
      </w:r>
      <w:r>
        <w:rPr>
          <w:noProof/>
        </w:rPr>
        <w:instrText xml:space="preserve"> PAGEREF _Toc531857987 \h </w:instrText>
      </w:r>
      <w:r>
        <w:rPr>
          <w:noProof/>
        </w:rPr>
      </w:r>
      <w:r>
        <w:rPr>
          <w:noProof/>
        </w:rPr>
        <w:fldChar w:fldCharType="separate"/>
      </w:r>
      <w:r>
        <w:rPr>
          <w:noProof/>
        </w:rPr>
        <w:t>44</w:t>
      </w:r>
      <w:r>
        <w:rPr>
          <w:noProof/>
        </w:rPr>
        <w:fldChar w:fldCharType="end"/>
      </w:r>
    </w:p>
    <w:p w14:paraId="0FE71FE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3.5</w:t>
      </w:r>
      <w:r>
        <w:rPr>
          <w:rFonts w:asciiTheme="minorHAnsi" w:eastAsiaTheme="minorEastAsia" w:hAnsiTheme="minorHAnsi" w:cstheme="minorBidi"/>
          <w:noProof/>
          <w:color w:val="auto"/>
          <w:sz w:val="22"/>
          <w:szCs w:val="22"/>
          <w:lang w:eastAsia="en-AU"/>
        </w:rPr>
        <w:tab/>
      </w:r>
      <w:r>
        <w:rPr>
          <w:noProof/>
        </w:rPr>
        <w:t>Weighted ex-service organisation engagement and incarceration among Transitioned ADF members</w:t>
      </w:r>
      <w:r>
        <w:rPr>
          <w:noProof/>
        </w:rPr>
        <w:tab/>
      </w:r>
      <w:r>
        <w:rPr>
          <w:noProof/>
        </w:rPr>
        <w:fldChar w:fldCharType="begin"/>
      </w:r>
      <w:r>
        <w:rPr>
          <w:noProof/>
        </w:rPr>
        <w:instrText xml:space="preserve"> PAGEREF _Toc531857988 \h </w:instrText>
      </w:r>
      <w:r>
        <w:rPr>
          <w:noProof/>
        </w:rPr>
      </w:r>
      <w:r>
        <w:rPr>
          <w:noProof/>
        </w:rPr>
        <w:fldChar w:fldCharType="separate"/>
      </w:r>
      <w:r>
        <w:rPr>
          <w:noProof/>
        </w:rPr>
        <w:t>45</w:t>
      </w:r>
      <w:r>
        <w:rPr>
          <w:noProof/>
        </w:rPr>
        <w:fldChar w:fldCharType="end"/>
      </w:r>
    </w:p>
    <w:p w14:paraId="30BF9F8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4.1</w:t>
      </w:r>
      <w:r>
        <w:rPr>
          <w:rFonts w:asciiTheme="minorHAnsi" w:eastAsiaTheme="minorEastAsia" w:hAnsiTheme="minorHAnsi" w:cstheme="minorBidi"/>
          <w:noProof/>
          <w:color w:val="auto"/>
          <w:sz w:val="22"/>
          <w:szCs w:val="22"/>
          <w:lang w:eastAsia="en-AU"/>
        </w:rPr>
        <w:tab/>
      </w:r>
      <w:r>
        <w:rPr>
          <w:noProof/>
        </w:rPr>
        <w:t>Frequency of internet use in Transitioned ADF and 2015 Regular ADF</w:t>
      </w:r>
      <w:r>
        <w:rPr>
          <w:noProof/>
        </w:rPr>
        <w:tab/>
      </w:r>
      <w:r>
        <w:rPr>
          <w:noProof/>
        </w:rPr>
        <w:fldChar w:fldCharType="begin"/>
      </w:r>
      <w:r>
        <w:rPr>
          <w:noProof/>
        </w:rPr>
        <w:instrText xml:space="preserve"> PAGEREF _Toc531857989 \h </w:instrText>
      </w:r>
      <w:r>
        <w:rPr>
          <w:noProof/>
        </w:rPr>
      </w:r>
      <w:r>
        <w:rPr>
          <w:noProof/>
        </w:rPr>
        <w:fldChar w:fldCharType="separate"/>
      </w:r>
      <w:r>
        <w:rPr>
          <w:noProof/>
        </w:rPr>
        <w:t>50</w:t>
      </w:r>
      <w:r>
        <w:rPr>
          <w:noProof/>
        </w:rPr>
        <w:fldChar w:fldCharType="end"/>
      </w:r>
    </w:p>
    <w:p w14:paraId="4259051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4.2</w:t>
      </w:r>
      <w:r>
        <w:rPr>
          <w:rFonts w:asciiTheme="minorHAnsi" w:eastAsiaTheme="minorEastAsia" w:hAnsiTheme="minorHAnsi" w:cstheme="minorBidi"/>
          <w:noProof/>
          <w:color w:val="auto"/>
          <w:sz w:val="22"/>
          <w:szCs w:val="22"/>
          <w:lang w:eastAsia="en-AU"/>
        </w:rPr>
        <w:tab/>
      </w:r>
      <w:r>
        <w:rPr>
          <w:noProof/>
        </w:rPr>
        <w:t>Methods used to begin searching for information on the internet in Transitioned ADF and 2015 Regular ADF</w:t>
      </w:r>
      <w:r>
        <w:rPr>
          <w:noProof/>
        </w:rPr>
        <w:tab/>
      </w:r>
      <w:r>
        <w:rPr>
          <w:noProof/>
        </w:rPr>
        <w:fldChar w:fldCharType="begin"/>
      </w:r>
      <w:r>
        <w:rPr>
          <w:noProof/>
        </w:rPr>
        <w:instrText xml:space="preserve"> PAGEREF _Toc531857990 \h </w:instrText>
      </w:r>
      <w:r>
        <w:rPr>
          <w:noProof/>
        </w:rPr>
      </w:r>
      <w:r>
        <w:rPr>
          <w:noProof/>
        </w:rPr>
        <w:fldChar w:fldCharType="separate"/>
      </w:r>
      <w:r>
        <w:rPr>
          <w:noProof/>
        </w:rPr>
        <w:t>51</w:t>
      </w:r>
      <w:r>
        <w:rPr>
          <w:noProof/>
        </w:rPr>
        <w:fldChar w:fldCharType="end"/>
      </w:r>
    </w:p>
    <w:p w14:paraId="6C2542E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4.3</w:t>
      </w:r>
      <w:r>
        <w:rPr>
          <w:rFonts w:asciiTheme="minorHAnsi" w:eastAsiaTheme="minorEastAsia" w:hAnsiTheme="minorHAnsi" w:cstheme="minorBidi"/>
          <w:noProof/>
          <w:color w:val="auto"/>
          <w:sz w:val="22"/>
          <w:szCs w:val="22"/>
          <w:lang w:eastAsia="en-AU"/>
        </w:rPr>
        <w:tab/>
      </w:r>
      <w:r>
        <w:rPr>
          <w:noProof/>
        </w:rPr>
        <w:t>Duration of internet usage on a normal work day among Transitioned ADF and 2015 Regular ADF</w:t>
      </w:r>
      <w:r>
        <w:rPr>
          <w:noProof/>
        </w:rPr>
        <w:tab/>
      </w:r>
      <w:r>
        <w:rPr>
          <w:noProof/>
        </w:rPr>
        <w:fldChar w:fldCharType="begin"/>
      </w:r>
      <w:r>
        <w:rPr>
          <w:noProof/>
        </w:rPr>
        <w:instrText xml:space="preserve"> PAGEREF _Toc531857991 \h </w:instrText>
      </w:r>
      <w:r>
        <w:rPr>
          <w:noProof/>
        </w:rPr>
      </w:r>
      <w:r>
        <w:rPr>
          <w:noProof/>
        </w:rPr>
        <w:fldChar w:fldCharType="separate"/>
      </w:r>
      <w:r>
        <w:rPr>
          <w:noProof/>
        </w:rPr>
        <w:t>52</w:t>
      </w:r>
      <w:r>
        <w:rPr>
          <w:noProof/>
        </w:rPr>
        <w:fldChar w:fldCharType="end"/>
      </w:r>
    </w:p>
    <w:p w14:paraId="6C83B7C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4.4</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using the internet after 11 pm</w:t>
      </w:r>
      <w:r>
        <w:rPr>
          <w:noProof/>
        </w:rPr>
        <w:tab/>
      </w:r>
      <w:r>
        <w:rPr>
          <w:noProof/>
        </w:rPr>
        <w:fldChar w:fldCharType="begin"/>
      </w:r>
      <w:r>
        <w:rPr>
          <w:noProof/>
        </w:rPr>
        <w:instrText xml:space="preserve"> PAGEREF _Toc531857992 \h </w:instrText>
      </w:r>
      <w:r>
        <w:rPr>
          <w:noProof/>
        </w:rPr>
      </w:r>
      <w:r>
        <w:rPr>
          <w:noProof/>
        </w:rPr>
        <w:fldChar w:fldCharType="separate"/>
      </w:r>
      <w:r>
        <w:rPr>
          <w:noProof/>
        </w:rPr>
        <w:t>53</w:t>
      </w:r>
      <w:r>
        <w:rPr>
          <w:noProof/>
        </w:rPr>
        <w:fldChar w:fldCharType="end"/>
      </w:r>
    </w:p>
    <w:p w14:paraId="142E723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4.5</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reported that they found it easier to be themselves online than when they were face to face with people</w:t>
      </w:r>
      <w:r>
        <w:rPr>
          <w:noProof/>
        </w:rPr>
        <w:tab/>
      </w:r>
      <w:r>
        <w:rPr>
          <w:noProof/>
        </w:rPr>
        <w:fldChar w:fldCharType="begin"/>
      </w:r>
      <w:r>
        <w:rPr>
          <w:noProof/>
        </w:rPr>
        <w:instrText xml:space="preserve"> PAGEREF _Toc531857993 \h </w:instrText>
      </w:r>
      <w:r>
        <w:rPr>
          <w:noProof/>
        </w:rPr>
      </w:r>
      <w:r>
        <w:rPr>
          <w:noProof/>
        </w:rPr>
        <w:fldChar w:fldCharType="separate"/>
      </w:r>
      <w:r>
        <w:rPr>
          <w:noProof/>
        </w:rPr>
        <w:t>54</w:t>
      </w:r>
      <w:r>
        <w:rPr>
          <w:noProof/>
        </w:rPr>
        <w:fldChar w:fldCharType="end"/>
      </w:r>
    </w:p>
    <w:p w14:paraId="54E0538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4.6</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they talked about different things with people online than when they were with people face to face</w:t>
      </w:r>
      <w:r>
        <w:rPr>
          <w:noProof/>
        </w:rPr>
        <w:tab/>
      </w:r>
      <w:r>
        <w:rPr>
          <w:noProof/>
        </w:rPr>
        <w:fldChar w:fldCharType="begin"/>
      </w:r>
      <w:r>
        <w:rPr>
          <w:noProof/>
        </w:rPr>
        <w:instrText xml:space="preserve"> PAGEREF _Toc531857994 \h </w:instrText>
      </w:r>
      <w:r>
        <w:rPr>
          <w:noProof/>
        </w:rPr>
      </w:r>
      <w:r>
        <w:rPr>
          <w:noProof/>
        </w:rPr>
        <w:fldChar w:fldCharType="separate"/>
      </w:r>
      <w:r>
        <w:rPr>
          <w:noProof/>
        </w:rPr>
        <w:t>55</w:t>
      </w:r>
      <w:r>
        <w:rPr>
          <w:noProof/>
        </w:rPr>
        <w:fldChar w:fldCharType="end"/>
      </w:r>
    </w:p>
    <w:p w14:paraId="3CF0B6E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4.7</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they talked about private things with people online which they did not share with people face to face</w:t>
      </w:r>
      <w:r>
        <w:rPr>
          <w:noProof/>
        </w:rPr>
        <w:tab/>
      </w:r>
      <w:r>
        <w:rPr>
          <w:noProof/>
        </w:rPr>
        <w:fldChar w:fldCharType="begin"/>
      </w:r>
      <w:r>
        <w:rPr>
          <w:noProof/>
        </w:rPr>
        <w:instrText xml:space="preserve"> PAGEREF _Toc531857995 \h </w:instrText>
      </w:r>
      <w:r>
        <w:rPr>
          <w:noProof/>
        </w:rPr>
      </w:r>
      <w:r>
        <w:rPr>
          <w:noProof/>
        </w:rPr>
        <w:fldChar w:fldCharType="separate"/>
      </w:r>
      <w:r>
        <w:rPr>
          <w:noProof/>
        </w:rPr>
        <w:t>56</w:t>
      </w:r>
      <w:r>
        <w:rPr>
          <w:noProof/>
        </w:rPr>
        <w:fldChar w:fldCharType="end"/>
      </w:r>
    </w:p>
    <w:p w14:paraId="79A4E45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4.8</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they went online more often on weekends than on a regular work day</w:t>
      </w:r>
      <w:r>
        <w:rPr>
          <w:noProof/>
        </w:rPr>
        <w:tab/>
      </w:r>
      <w:r>
        <w:rPr>
          <w:noProof/>
        </w:rPr>
        <w:fldChar w:fldCharType="begin"/>
      </w:r>
      <w:r>
        <w:rPr>
          <w:noProof/>
        </w:rPr>
        <w:instrText xml:space="preserve"> PAGEREF _Toc531857996 \h </w:instrText>
      </w:r>
      <w:r>
        <w:rPr>
          <w:noProof/>
        </w:rPr>
      </w:r>
      <w:r>
        <w:rPr>
          <w:noProof/>
        </w:rPr>
        <w:fldChar w:fldCharType="separate"/>
      </w:r>
      <w:r>
        <w:rPr>
          <w:noProof/>
        </w:rPr>
        <w:t>57</w:t>
      </w:r>
      <w:r>
        <w:rPr>
          <w:noProof/>
        </w:rPr>
        <w:fldChar w:fldCharType="end"/>
      </w:r>
    </w:p>
    <w:p w14:paraId="45D8376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4.9</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they went online more often when going through a difficult time</w:t>
      </w:r>
      <w:r>
        <w:rPr>
          <w:noProof/>
        </w:rPr>
        <w:tab/>
      </w:r>
      <w:r>
        <w:rPr>
          <w:noProof/>
        </w:rPr>
        <w:fldChar w:fldCharType="begin"/>
      </w:r>
      <w:r>
        <w:rPr>
          <w:noProof/>
        </w:rPr>
        <w:instrText xml:space="preserve"> PAGEREF _Toc531857997 \h </w:instrText>
      </w:r>
      <w:r>
        <w:rPr>
          <w:noProof/>
        </w:rPr>
      </w:r>
      <w:r>
        <w:rPr>
          <w:noProof/>
        </w:rPr>
        <w:fldChar w:fldCharType="separate"/>
      </w:r>
      <w:r>
        <w:rPr>
          <w:noProof/>
        </w:rPr>
        <w:t>58</w:t>
      </w:r>
      <w:r>
        <w:rPr>
          <w:noProof/>
        </w:rPr>
        <w:fldChar w:fldCharType="end"/>
      </w:r>
    </w:p>
    <w:p w14:paraId="12D1DF1B"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4.10</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when they were going through a difficult time, going online made them feel better</w:t>
      </w:r>
      <w:r>
        <w:rPr>
          <w:noProof/>
        </w:rPr>
        <w:tab/>
      </w:r>
      <w:r>
        <w:rPr>
          <w:noProof/>
        </w:rPr>
        <w:fldChar w:fldCharType="begin"/>
      </w:r>
      <w:r>
        <w:rPr>
          <w:noProof/>
        </w:rPr>
        <w:instrText xml:space="preserve"> PAGEREF _Toc531857998 \h </w:instrText>
      </w:r>
      <w:r>
        <w:rPr>
          <w:noProof/>
        </w:rPr>
      </w:r>
      <w:r>
        <w:rPr>
          <w:noProof/>
        </w:rPr>
        <w:fldChar w:fldCharType="separate"/>
      </w:r>
      <w:r>
        <w:rPr>
          <w:noProof/>
        </w:rPr>
        <w:t>59</w:t>
      </w:r>
      <w:r>
        <w:rPr>
          <w:noProof/>
        </w:rPr>
        <w:fldChar w:fldCharType="end"/>
      </w:r>
    </w:p>
    <w:p w14:paraId="1868D83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4.11</w:t>
      </w:r>
      <w:r>
        <w:rPr>
          <w:rFonts w:asciiTheme="minorHAnsi" w:eastAsiaTheme="minorEastAsia" w:hAnsiTheme="minorHAnsi" w:cstheme="minorBidi"/>
          <w:noProof/>
          <w:color w:val="auto"/>
          <w:sz w:val="22"/>
          <w:szCs w:val="22"/>
          <w:lang w:eastAsia="en-AU"/>
        </w:rPr>
        <w:tab/>
      </w:r>
      <w:r>
        <w:rPr>
          <w:noProof/>
        </w:rPr>
        <w:t>Internet use in Transitioned ADF and 2015 Regular ADF with and without probable 30-day disorder</w:t>
      </w:r>
      <w:r>
        <w:rPr>
          <w:noProof/>
        </w:rPr>
        <w:tab/>
      </w:r>
      <w:r>
        <w:rPr>
          <w:noProof/>
        </w:rPr>
        <w:fldChar w:fldCharType="begin"/>
      </w:r>
      <w:r>
        <w:rPr>
          <w:noProof/>
        </w:rPr>
        <w:instrText xml:space="preserve"> PAGEREF _Toc531857999 \h </w:instrText>
      </w:r>
      <w:r>
        <w:rPr>
          <w:noProof/>
        </w:rPr>
      </w:r>
      <w:r>
        <w:rPr>
          <w:noProof/>
        </w:rPr>
        <w:fldChar w:fldCharType="separate"/>
      </w:r>
      <w:r>
        <w:rPr>
          <w:noProof/>
        </w:rPr>
        <w:t>63</w:t>
      </w:r>
      <w:r>
        <w:rPr>
          <w:noProof/>
        </w:rPr>
        <w:fldChar w:fldCharType="end"/>
      </w:r>
    </w:p>
    <w:p w14:paraId="093C764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4.12</w:t>
      </w:r>
      <w:r>
        <w:rPr>
          <w:rFonts w:asciiTheme="minorHAnsi" w:eastAsiaTheme="minorEastAsia" w:hAnsiTheme="minorHAnsi" w:cstheme="minorBidi"/>
          <w:noProof/>
          <w:color w:val="auto"/>
          <w:sz w:val="22"/>
          <w:szCs w:val="22"/>
          <w:lang w:eastAsia="en-AU"/>
        </w:rPr>
        <w:tab/>
      </w:r>
      <w:r>
        <w:rPr>
          <w:noProof/>
        </w:rPr>
        <w:t>Attitudes towards online communication in Transitioned ADF and 2015 Regular ADF with and without probable disorder</w:t>
      </w:r>
      <w:r>
        <w:rPr>
          <w:noProof/>
        </w:rPr>
        <w:tab/>
      </w:r>
      <w:r>
        <w:rPr>
          <w:noProof/>
        </w:rPr>
        <w:fldChar w:fldCharType="begin"/>
      </w:r>
      <w:r>
        <w:rPr>
          <w:noProof/>
        </w:rPr>
        <w:instrText xml:space="preserve"> PAGEREF _Toc531858000 \h </w:instrText>
      </w:r>
      <w:r>
        <w:rPr>
          <w:noProof/>
        </w:rPr>
      </w:r>
      <w:r>
        <w:rPr>
          <w:noProof/>
        </w:rPr>
        <w:fldChar w:fldCharType="separate"/>
      </w:r>
      <w:r>
        <w:rPr>
          <w:noProof/>
        </w:rPr>
        <w:t>64</w:t>
      </w:r>
      <w:r>
        <w:rPr>
          <w:noProof/>
        </w:rPr>
        <w:fldChar w:fldCharType="end"/>
      </w:r>
    </w:p>
    <w:p w14:paraId="6F932F2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5.1</w:t>
      </w:r>
      <w:r>
        <w:rPr>
          <w:rFonts w:asciiTheme="minorHAnsi" w:eastAsiaTheme="minorEastAsia" w:hAnsiTheme="minorHAnsi" w:cstheme="minorBidi"/>
          <w:noProof/>
          <w:color w:val="auto"/>
          <w:sz w:val="22"/>
          <w:szCs w:val="22"/>
          <w:lang w:eastAsia="en-AU"/>
        </w:rPr>
        <w:tab/>
      </w:r>
      <w:r>
        <w:rPr>
          <w:noProof/>
        </w:rPr>
        <w:t>Use of new and emerging technologies among Transitioned ADF and 2015 Regular ADF</w:t>
      </w:r>
      <w:r>
        <w:rPr>
          <w:noProof/>
        </w:rPr>
        <w:tab/>
      </w:r>
      <w:r>
        <w:rPr>
          <w:noProof/>
        </w:rPr>
        <w:fldChar w:fldCharType="begin"/>
      </w:r>
      <w:r>
        <w:rPr>
          <w:noProof/>
        </w:rPr>
        <w:instrText xml:space="preserve"> PAGEREF _Toc531858001 \h </w:instrText>
      </w:r>
      <w:r>
        <w:rPr>
          <w:noProof/>
        </w:rPr>
      </w:r>
      <w:r>
        <w:rPr>
          <w:noProof/>
        </w:rPr>
        <w:fldChar w:fldCharType="separate"/>
      </w:r>
      <w:r>
        <w:rPr>
          <w:noProof/>
        </w:rPr>
        <w:t>67</w:t>
      </w:r>
      <w:r>
        <w:rPr>
          <w:noProof/>
        </w:rPr>
        <w:fldChar w:fldCharType="end"/>
      </w:r>
    </w:p>
    <w:p w14:paraId="7C84DA6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5.2</w:t>
      </w:r>
      <w:r>
        <w:rPr>
          <w:rFonts w:asciiTheme="minorHAnsi" w:eastAsiaTheme="minorEastAsia" w:hAnsiTheme="minorHAnsi" w:cstheme="minorBidi"/>
          <w:noProof/>
          <w:color w:val="auto"/>
          <w:sz w:val="22"/>
          <w:szCs w:val="22"/>
          <w:lang w:eastAsia="en-AU"/>
        </w:rPr>
        <w:tab/>
      </w:r>
      <w:r>
        <w:rPr>
          <w:noProof/>
        </w:rPr>
        <w:t>Types of technologies used by Transitioned ADF and 2015 Regular ADF who reported that they used new and emerging technologies</w:t>
      </w:r>
      <w:r>
        <w:rPr>
          <w:noProof/>
        </w:rPr>
        <w:tab/>
      </w:r>
      <w:r>
        <w:rPr>
          <w:noProof/>
        </w:rPr>
        <w:fldChar w:fldCharType="begin"/>
      </w:r>
      <w:r>
        <w:rPr>
          <w:noProof/>
        </w:rPr>
        <w:instrText xml:space="preserve"> PAGEREF _Toc531858002 \h </w:instrText>
      </w:r>
      <w:r>
        <w:rPr>
          <w:noProof/>
        </w:rPr>
      </w:r>
      <w:r>
        <w:rPr>
          <w:noProof/>
        </w:rPr>
        <w:fldChar w:fldCharType="separate"/>
      </w:r>
      <w:r>
        <w:rPr>
          <w:noProof/>
        </w:rPr>
        <w:t>68</w:t>
      </w:r>
      <w:r>
        <w:rPr>
          <w:noProof/>
        </w:rPr>
        <w:fldChar w:fldCharType="end"/>
      </w:r>
    </w:p>
    <w:p w14:paraId="0FBCCA7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5.3</w:t>
      </w:r>
      <w:r>
        <w:rPr>
          <w:rFonts w:asciiTheme="minorHAnsi" w:eastAsiaTheme="minorEastAsia" w:hAnsiTheme="minorHAnsi" w:cstheme="minorBidi"/>
          <w:noProof/>
          <w:color w:val="auto"/>
          <w:sz w:val="22"/>
          <w:szCs w:val="22"/>
          <w:lang w:eastAsia="en-AU"/>
        </w:rPr>
        <w:tab/>
      </w:r>
      <w:r>
        <w:rPr>
          <w:noProof/>
        </w:rPr>
        <w:t xml:space="preserve">Barriers to using new and emerging technologies in Transitioned ADF and 2015 Regular ADF, </w:t>
      </w:r>
      <w:r w:rsidRPr="0010304B">
        <w:rPr>
          <w:rFonts w:eastAsia="Calibri"/>
          <w:noProof/>
        </w:rPr>
        <w:t>among those who reported that they did not use new and emerging technologies</w:t>
      </w:r>
      <w:r>
        <w:rPr>
          <w:noProof/>
        </w:rPr>
        <w:tab/>
      </w:r>
      <w:r>
        <w:rPr>
          <w:noProof/>
        </w:rPr>
        <w:fldChar w:fldCharType="begin"/>
      </w:r>
      <w:r>
        <w:rPr>
          <w:noProof/>
        </w:rPr>
        <w:instrText xml:space="preserve"> PAGEREF _Toc531858003 \h </w:instrText>
      </w:r>
      <w:r>
        <w:rPr>
          <w:noProof/>
        </w:rPr>
      </w:r>
      <w:r>
        <w:rPr>
          <w:noProof/>
        </w:rPr>
        <w:fldChar w:fldCharType="separate"/>
      </w:r>
      <w:r>
        <w:rPr>
          <w:noProof/>
        </w:rPr>
        <w:t>70</w:t>
      </w:r>
      <w:r>
        <w:rPr>
          <w:noProof/>
        </w:rPr>
        <w:fldChar w:fldCharType="end"/>
      </w:r>
    </w:p>
    <w:p w14:paraId="58B0E21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5.4</w:t>
      </w:r>
      <w:r>
        <w:rPr>
          <w:rFonts w:asciiTheme="minorHAnsi" w:eastAsiaTheme="minorEastAsia" w:hAnsiTheme="minorHAnsi" w:cstheme="minorBidi"/>
          <w:noProof/>
          <w:color w:val="auto"/>
          <w:sz w:val="22"/>
          <w:szCs w:val="22"/>
          <w:lang w:eastAsia="en-AU"/>
        </w:rPr>
        <w:tab/>
      </w:r>
      <w:r>
        <w:rPr>
          <w:noProof/>
        </w:rPr>
        <w:t>Desired new and emerging technologies in Transitioned ADF and 2015 Regular ADF</w:t>
      </w:r>
      <w:r>
        <w:rPr>
          <w:noProof/>
        </w:rPr>
        <w:tab/>
      </w:r>
      <w:r>
        <w:rPr>
          <w:noProof/>
        </w:rPr>
        <w:fldChar w:fldCharType="begin"/>
      </w:r>
      <w:r>
        <w:rPr>
          <w:noProof/>
        </w:rPr>
        <w:instrText xml:space="preserve"> PAGEREF _Toc531858004 \h </w:instrText>
      </w:r>
      <w:r>
        <w:rPr>
          <w:noProof/>
        </w:rPr>
      </w:r>
      <w:r>
        <w:rPr>
          <w:noProof/>
        </w:rPr>
        <w:fldChar w:fldCharType="separate"/>
      </w:r>
      <w:r>
        <w:rPr>
          <w:noProof/>
        </w:rPr>
        <w:t>71</w:t>
      </w:r>
      <w:r>
        <w:rPr>
          <w:noProof/>
        </w:rPr>
        <w:fldChar w:fldCharType="end"/>
      </w:r>
    </w:p>
    <w:p w14:paraId="14DF886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5.5</w:t>
      </w:r>
      <w:r>
        <w:rPr>
          <w:rFonts w:asciiTheme="minorHAnsi" w:eastAsiaTheme="minorEastAsia" w:hAnsiTheme="minorHAnsi" w:cstheme="minorBidi"/>
          <w:noProof/>
          <w:color w:val="auto"/>
          <w:sz w:val="22"/>
          <w:szCs w:val="22"/>
          <w:lang w:eastAsia="en-AU"/>
        </w:rPr>
        <w:tab/>
      </w:r>
      <w:r>
        <w:rPr>
          <w:noProof/>
        </w:rPr>
        <w:t>Best time to purchase new and emerging technologies among Transitioned ADF and 2015 Regular ADF</w:t>
      </w:r>
      <w:r>
        <w:rPr>
          <w:noProof/>
        </w:rPr>
        <w:tab/>
      </w:r>
      <w:r>
        <w:rPr>
          <w:noProof/>
        </w:rPr>
        <w:fldChar w:fldCharType="begin"/>
      </w:r>
      <w:r>
        <w:rPr>
          <w:noProof/>
        </w:rPr>
        <w:instrText xml:space="preserve"> PAGEREF _Toc531858005 \h </w:instrText>
      </w:r>
      <w:r>
        <w:rPr>
          <w:noProof/>
        </w:rPr>
      </w:r>
      <w:r>
        <w:rPr>
          <w:noProof/>
        </w:rPr>
        <w:fldChar w:fldCharType="separate"/>
      </w:r>
      <w:r>
        <w:rPr>
          <w:noProof/>
        </w:rPr>
        <w:t>72</w:t>
      </w:r>
      <w:r>
        <w:rPr>
          <w:noProof/>
        </w:rPr>
        <w:fldChar w:fldCharType="end"/>
      </w:r>
    </w:p>
    <w:p w14:paraId="5E8048F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5.6</w:t>
      </w:r>
      <w:r>
        <w:rPr>
          <w:rFonts w:asciiTheme="minorHAnsi" w:eastAsiaTheme="minorEastAsia" w:hAnsiTheme="minorHAnsi" w:cstheme="minorBidi"/>
          <w:noProof/>
          <w:color w:val="auto"/>
          <w:sz w:val="22"/>
          <w:szCs w:val="22"/>
          <w:lang w:eastAsia="en-AU"/>
        </w:rPr>
        <w:tab/>
      </w:r>
      <w:r>
        <w:rPr>
          <w:noProof/>
        </w:rPr>
        <w:t>Use of new or emerging technologies to improve health and wellbeing among Transitioned ADF and 2015 Regular ADF who currently used new or emerging technologies</w:t>
      </w:r>
      <w:r>
        <w:rPr>
          <w:noProof/>
        </w:rPr>
        <w:tab/>
      </w:r>
      <w:r>
        <w:rPr>
          <w:noProof/>
        </w:rPr>
        <w:fldChar w:fldCharType="begin"/>
      </w:r>
      <w:r>
        <w:rPr>
          <w:noProof/>
        </w:rPr>
        <w:instrText xml:space="preserve"> PAGEREF _Toc531858006 \h </w:instrText>
      </w:r>
      <w:r>
        <w:rPr>
          <w:noProof/>
        </w:rPr>
      </w:r>
      <w:r>
        <w:rPr>
          <w:noProof/>
        </w:rPr>
        <w:fldChar w:fldCharType="separate"/>
      </w:r>
      <w:r>
        <w:rPr>
          <w:noProof/>
        </w:rPr>
        <w:t>73</w:t>
      </w:r>
      <w:r>
        <w:rPr>
          <w:noProof/>
        </w:rPr>
        <w:fldChar w:fldCharType="end"/>
      </w:r>
    </w:p>
    <w:p w14:paraId="7A7BB6AB"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5.7</w:t>
      </w:r>
      <w:r>
        <w:rPr>
          <w:rFonts w:asciiTheme="minorHAnsi" w:eastAsiaTheme="minorEastAsia" w:hAnsiTheme="minorHAnsi" w:cstheme="minorBidi"/>
          <w:noProof/>
          <w:color w:val="auto"/>
          <w:sz w:val="22"/>
          <w:szCs w:val="22"/>
          <w:lang w:eastAsia="en-AU"/>
        </w:rPr>
        <w:tab/>
      </w:r>
      <w:r>
        <w:rPr>
          <w:noProof/>
        </w:rPr>
        <w:t>The ways in which emerging technologies are used to improve health and wellbeing among Transitioned ADF and 2015 Regular ADF</w:t>
      </w:r>
      <w:r>
        <w:rPr>
          <w:noProof/>
        </w:rPr>
        <w:tab/>
      </w:r>
      <w:r>
        <w:rPr>
          <w:noProof/>
        </w:rPr>
        <w:fldChar w:fldCharType="begin"/>
      </w:r>
      <w:r>
        <w:rPr>
          <w:noProof/>
        </w:rPr>
        <w:instrText xml:space="preserve"> PAGEREF _Toc531858007 \h </w:instrText>
      </w:r>
      <w:r>
        <w:rPr>
          <w:noProof/>
        </w:rPr>
      </w:r>
      <w:r>
        <w:rPr>
          <w:noProof/>
        </w:rPr>
        <w:fldChar w:fldCharType="separate"/>
      </w:r>
      <w:r>
        <w:rPr>
          <w:noProof/>
        </w:rPr>
        <w:t>75</w:t>
      </w:r>
      <w:r>
        <w:rPr>
          <w:noProof/>
        </w:rPr>
        <w:fldChar w:fldCharType="end"/>
      </w:r>
    </w:p>
    <w:p w14:paraId="771BABE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5.8</w:t>
      </w:r>
      <w:r>
        <w:rPr>
          <w:rFonts w:asciiTheme="minorHAnsi" w:eastAsiaTheme="minorEastAsia" w:hAnsiTheme="minorHAnsi" w:cstheme="minorBidi"/>
          <w:noProof/>
          <w:color w:val="auto"/>
          <w:sz w:val="22"/>
          <w:szCs w:val="22"/>
          <w:lang w:eastAsia="en-AU"/>
        </w:rPr>
        <w:tab/>
      </w:r>
      <w:r>
        <w:rPr>
          <w:noProof/>
        </w:rPr>
        <w:t>Other reasons for using new and emerging technologies among Transitioned ADF and 2015 Regular ADF, among those who currently used emerging technologies, but not for health and wellbeing</w:t>
      </w:r>
      <w:r>
        <w:rPr>
          <w:noProof/>
        </w:rPr>
        <w:tab/>
      </w:r>
      <w:r>
        <w:rPr>
          <w:noProof/>
        </w:rPr>
        <w:fldChar w:fldCharType="begin"/>
      </w:r>
      <w:r>
        <w:rPr>
          <w:noProof/>
        </w:rPr>
        <w:instrText xml:space="preserve"> PAGEREF _Toc531858008 \h </w:instrText>
      </w:r>
      <w:r>
        <w:rPr>
          <w:noProof/>
        </w:rPr>
      </w:r>
      <w:r>
        <w:rPr>
          <w:noProof/>
        </w:rPr>
        <w:fldChar w:fldCharType="separate"/>
      </w:r>
      <w:r>
        <w:rPr>
          <w:noProof/>
        </w:rPr>
        <w:t>76</w:t>
      </w:r>
      <w:r>
        <w:rPr>
          <w:noProof/>
        </w:rPr>
        <w:fldChar w:fldCharType="end"/>
      </w:r>
    </w:p>
    <w:p w14:paraId="7B9E27B6"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5.9</w:t>
      </w:r>
      <w:r>
        <w:rPr>
          <w:rFonts w:asciiTheme="minorHAnsi" w:eastAsiaTheme="minorEastAsia" w:hAnsiTheme="minorHAnsi" w:cstheme="minorBidi"/>
          <w:noProof/>
          <w:color w:val="auto"/>
          <w:sz w:val="22"/>
          <w:szCs w:val="22"/>
          <w:lang w:eastAsia="en-AU"/>
        </w:rPr>
        <w:tab/>
      </w:r>
      <w:r>
        <w:rPr>
          <w:noProof/>
        </w:rPr>
        <w:t>The ways in which emerging technologies were used to improve health and wellbeing among Transitioned ADF and 2015 Regular ADF who used emerging technologies to improve their health and wellbeing with and without probable disorder</w:t>
      </w:r>
      <w:r>
        <w:rPr>
          <w:noProof/>
        </w:rPr>
        <w:tab/>
      </w:r>
      <w:r>
        <w:rPr>
          <w:noProof/>
        </w:rPr>
        <w:fldChar w:fldCharType="begin"/>
      </w:r>
      <w:r>
        <w:rPr>
          <w:noProof/>
        </w:rPr>
        <w:instrText xml:space="preserve"> PAGEREF _Toc531858009 \h </w:instrText>
      </w:r>
      <w:r>
        <w:rPr>
          <w:noProof/>
        </w:rPr>
      </w:r>
      <w:r>
        <w:rPr>
          <w:noProof/>
        </w:rPr>
        <w:fldChar w:fldCharType="separate"/>
      </w:r>
      <w:r>
        <w:rPr>
          <w:noProof/>
        </w:rPr>
        <w:t>79</w:t>
      </w:r>
      <w:r>
        <w:rPr>
          <w:noProof/>
        </w:rPr>
        <w:fldChar w:fldCharType="end"/>
      </w:r>
    </w:p>
    <w:p w14:paraId="7D6661E1"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5.10</w:t>
      </w:r>
      <w:r>
        <w:rPr>
          <w:rFonts w:asciiTheme="minorHAnsi" w:eastAsiaTheme="minorEastAsia" w:hAnsiTheme="minorHAnsi" w:cstheme="minorBidi"/>
          <w:noProof/>
          <w:color w:val="auto"/>
          <w:sz w:val="22"/>
          <w:szCs w:val="22"/>
          <w:lang w:eastAsia="en-AU"/>
        </w:rPr>
        <w:tab/>
      </w:r>
      <w:r>
        <w:rPr>
          <w:noProof/>
        </w:rPr>
        <w:t>The ways in which emerging technologies were used by Transitioned ADF and 2015 Regular ADF with and without probable disorder when they were not being used to improve health and wellbeing</w:t>
      </w:r>
      <w:r>
        <w:rPr>
          <w:noProof/>
        </w:rPr>
        <w:tab/>
      </w:r>
      <w:r>
        <w:rPr>
          <w:noProof/>
        </w:rPr>
        <w:fldChar w:fldCharType="begin"/>
      </w:r>
      <w:r>
        <w:rPr>
          <w:noProof/>
        </w:rPr>
        <w:instrText xml:space="preserve"> PAGEREF _Toc531858010 \h </w:instrText>
      </w:r>
      <w:r>
        <w:rPr>
          <w:noProof/>
        </w:rPr>
      </w:r>
      <w:r>
        <w:rPr>
          <w:noProof/>
        </w:rPr>
        <w:fldChar w:fldCharType="separate"/>
      </w:r>
      <w:r>
        <w:rPr>
          <w:noProof/>
        </w:rPr>
        <w:t>80</w:t>
      </w:r>
      <w:r>
        <w:rPr>
          <w:noProof/>
        </w:rPr>
        <w:fldChar w:fldCharType="end"/>
      </w:r>
    </w:p>
    <w:p w14:paraId="5BC6032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6.1</w:t>
      </w:r>
      <w:r>
        <w:rPr>
          <w:rFonts w:asciiTheme="minorHAnsi" w:eastAsiaTheme="minorEastAsia" w:hAnsiTheme="minorHAnsi" w:cstheme="minorBidi"/>
          <w:noProof/>
          <w:color w:val="auto"/>
          <w:sz w:val="22"/>
          <w:szCs w:val="22"/>
          <w:lang w:eastAsia="en-AU"/>
        </w:rPr>
        <w:tab/>
      </w:r>
      <w:r>
        <w:rPr>
          <w:noProof/>
        </w:rPr>
        <w:t>Use of the internet for seeking help or information, or for managing mental health issues among Transitioned ADF and 2015 Regular ADF</w:t>
      </w:r>
      <w:r>
        <w:rPr>
          <w:noProof/>
        </w:rPr>
        <w:tab/>
      </w:r>
      <w:r>
        <w:rPr>
          <w:noProof/>
        </w:rPr>
        <w:fldChar w:fldCharType="begin"/>
      </w:r>
      <w:r>
        <w:rPr>
          <w:noProof/>
        </w:rPr>
        <w:instrText xml:space="preserve"> PAGEREF _Toc531858011 \h </w:instrText>
      </w:r>
      <w:r>
        <w:rPr>
          <w:noProof/>
        </w:rPr>
      </w:r>
      <w:r>
        <w:rPr>
          <w:noProof/>
        </w:rPr>
        <w:fldChar w:fldCharType="separate"/>
      </w:r>
      <w:r>
        <w:rPr>
          <w:noProof/>
        </w:rPr>
        <w:t>83</w:t>
      </w:r>
      <w:r>
        <w:rPr>
          <w:noProof/>
        </w:rPr>
        <w:fldChar w:fldCharType="end"/>
      </w:r>
    </w:p>
    <w:p w14:paraId="5674BAB9"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6.2</w:t>
      </w:r>
      <w:r>
        <w:rPr>
          <w:rFonts w:asciiTheme="minorHAnsi" w:eastAsiaTheme="minorEastAsia" w:hAnsiTheme="minorHAnsi" w:cstheme="minorBidi"/>
          <w:noProof/>
          <w:color w:val="auto"/>
          <w:sz w:val="22"/>
          <w:szCs w:val="22"/>
          <w:lang w:eastAsia="en-AU"/>
        </w:rPr>
        <w:tab/>
      </w:r>
      <w:r>
        <w:rPr>
          <w:noProof/>
        </w:rPr>
        <w:t>Use of internet for management of mental health issues among Transitioned ADF and 2015 Regular ADF by probable disorder and demographic characteristics</w:t>
      </w:r>
      <w:r>
        <w:rPr>
          <w:noProof/>
        </w:rPr>
        <w:tab/>
      </w:r>
      <w:r>
        <w:rPr>
          <w:noProof/>
        </w:rPr>
        <w:fldChar w:fldCharType="begin"/>
      </w:r>
      <w:r>
        <w:rPr>
          <w:noProof/>
        </w:rPr>
        <w:instrText xml:space="preserve"> PAGEREF _Toc531858012 \h </w:instrText>
      </w:r>
      <w:r>
        <w:rPr>
          <w:noProof/>
        </w:rPr>
      </w:r>
      <w:r>
        <w:rPr>
          <w:noProof/>
        </w:rPr>
        <w:fldChar w:fldCharType="separate"/>
      </w:r>
      <w:r>
        <w:rPr>
          <w:noProof/>
        </w:rPr>
        <w:t>84</w:t>
      </w:r>
      <w:r>
        <w:rPr>
          <w:noProof/>
        </w:rPr>
        <w:fldChar w:fldCharType="end"/>
      </w:r>
    </w:p>
    <w:p w14:paraId="572C4231"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6.3</w:t>
      </w:r>
      <w:r>
        <w:rPr>
          <w:rFonts w:asciiTheme="minorHAnsi" w:eastAsiaTheme="minorEastAsia" w:hAnsiTheme="minorHAnsi" w:cstheme="minorBidi"/>
          <w:noProof/>
          <w:color w:val="auto"/>
          <w:sz w:val="22"/>
          <w:szCs w:val="22"/>
          <w:lang w:eastAsia="en-AU"/>
        </w:rPr>
        <w:tab/>
      </w:r>
      <w:r>
        <w:rPr>
          <w:noProof/>
        </w:rPr>
        <w:t>The types of devices used to access the internet among Transitioned ADF and 2015 Regular ADF who reported that they used the internet to seek help or information or manage mental health issues</w:t>
      </w:r>
      <w:r>
        <w:rPr>
          <w:noProof/>
        </w:rPr>
        <w:tab/>
      </w:r>
      <w:r>
        <w:rPr>
          <w:noProof/>
        </w:rPr>
        <w:fldChar w:fldCharType="begin"/>
      </w:r>
      <w:r>
        <w:rPr>
          <w:noProof/>
        </w:rPr>
        <w:instrText xml:space="preserve"> PAGEREF _Toc531858013 \h </w:instrText>
      </w:r>
      <w:r>
        <w:rPr>
          <w:noProof/>
        </w:rPr>
      </w:r>
      <w:r>
        <w:rPr>
          <w:noProof/>
        </w:rPr>
        <w:fldChar w:fldCharType="separate"/>
      </w:r>
      <w:r>
        <w:rPr>
          <w:noProof/>
        </w:rPr>
        <w:t>85</w:t>
      </w:r>
      <w:r>
        <w:rPr>
          <w:noProof/>
        </w:rPr>
        <w:fldChar w:fldCharType="end"/>
      </w:r>
    </w:p>
    <w:p w14:paraId="57F43CB9"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6.4</w:t>
      </w:r>
      <w:r>
        <w:rPr>
          <w:rFonts w:asciiTheme="minorHAnsi" w:eastAsiaTheme="minorEastAsia" w:hAnsiTheme="minorHAnsi" w:cstheme="minorBidi"/>
          <w:noProof/>
          <w:color w:val="auto"/>
          <w:sz w:val="22"/>
          <w:szCs w:val="22"/>
          <w:lang w:eastAsia="en-AU"/>
        </w:rPr>
        <w:tab/>
      </w:r>
      <w:r>
        <w:rPr>
          <w:noProof/>
        </w:rPr>
        <w:t>Suitability of information received from the internet about mental health among Transitioned ADF and 2015 Regular ADF who reported that they used the internet to seek help or information or manage mental health issues</w:t>
      </w:r>
      <w:r>
        <w:rPr>
          <w:noProof/>
        </w:rPr>
        <w:tab/>
      </w:r>
      <w:r>
        <w:rPr>
          <w:noProof/>
        </w:rPr>
        <w:fldChar w:fldCharType="begin"/>
      </w:r>
      <w:r>
        <w:rPr>
          <w:noProof/>
        </w:rPr>
        <w:instrText xml:space="preserve"> PAGEREF _Toc531858014 \h </w:instrText>
      </w:r>
      <w:r>
        <w:rPr>
          <w:noProof/>
        </w:rPr>
      </w:r>
      <w:r>
        <w:rPr>
          <w:noProof/>
        </w:rPr>
        <w:fldChar w:fldCharType="separate"/>
      </w:r>
      <w:r>
        <w:rPr>
          <w:noProof/>
        </w:rPr>
        <w:t>86</w:t>
      </w:r>
      <w:r>
        <w:rPr>
          <w:noProof/>
        </w:rPr>
        <w:fldChar w:fldCharType="end"/>
      </w:r>
    </w:p>
    <w:p w14:paraId="4FCA66C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6.5</w:t>
      </w:r>
      <w:r>
        <w:rPr>
          <w:rFonts w:asciiTheme="minorHAnsi" w:eastAsiaTheme="minorEastAsia" w:hAnsiTheme="minorHAnsi" w:cstheme="minorBidi"/>
          <w:noProof/>
          <w:color w:val="auto"/>
          <w:sz w:val="22"/>
          <w:szCs w:val="22"/>
          <w:lang w:eastAsia="en-AU"/>
        </w:rPr>
        <w:tab/>
      </w:r>
      <w:r>
        <w:rPr>
          <w:noProof/>
        </w:rPr>
        <w:t>Suitability of information received from the internet about mental health among Transitioned ADF and 2015 Regular ADF who reported that they used the internet to seek help or information or manage mental health issues, by probable 30-day disorder and demographic characteristics</w:t>
      </w:r>
      <w:r>
        <w:rPr>
          <w:noProof/>
        </w:rPr>
        <w:tab/>
      </w:r>
      <w:r>
        <w:rPr>
          <w:noProof/>
        </w:rPr>
        <w:fldChar w:fldCharType="begin"/>
      </w:r>
      <w:r>
        <w:rPr>
          <w:noProof/>
        </w:rPr>
        <w:instrText xml:space="preserve"> PAGEREF _Toc531858015 \h </w:instrText>
      </w:r>
      <w:r>
        <w:rPr>
          <w:noProof/>
        </w:rPr>
      </w:r>
      <w:r>
        <w:rPr>
          <w:noProof/>
        </w:rPr>
        <w:fldChar w:fldCharType="separate"/>
      </w:r>
      <w:r>
        <w:rPr>
          <w:noProof/>
        </w:rPr>
        <w:t>88</w:t>
      </w:r>
      <w:r>
        <w:rPr>
          <w:noProof/>
        </w:rPr>
        <w:fldChar w:fldCharType="end"/>
      </w:r>
    </w:p>
    <w:p w14:paraId="22D533B6"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6.6</w:t>
      </w:r>
      <w:r>
        <w:rPr>
          <w:rFonts w:asciiTheme="minorHAnsi" w:eastAsiaTheme="minorEastAsia" w:hAnsiTheme="minorHAnsi" w:cstheme="minorBidi"/>
          <w:noProof/>
          <w:color w:val="auto"/>
          <w:sz w:val="22"/>
          <w:szCs w:val="22"/>
          <w:lang w:eastAsia="en-AU"/>
        </w:rPr>
        <w:tab/>
      </w:r>
      <w:r>
        <w:rPr>
          <w:noProof/>
        </w:rPr>
        <w:t>Usefulness of the internet in helping to deal more effectively with mental health issues among Transitioned ADF and 2015 Regular ADF who reported that they used the internet to seek help or information or to manage mental health issues</w:t>
      </w:r>
      <w:r>
        <w:rPr>
          <w:noProof/>
        </w:rPr>
        <w:tab/>
      </w:r>
      <w:r>
        <w:rPr>
          <w:noProof/>
        </w:rPr>
        <w:fldChar w:fldCharType="begin"/>
      </w:r>
      <w:r>
        <w:rPr>
          <w:noProof/>
        </w:rPr>
        <w:instrText xml:space="preserve"> PAGEREF _Toc531858016 \h </w:instrText>
      </w:r>
      <w:r>
        <w:rPr>
          <w:noProof/>
        </w:rPr>
      </w:r>
      <w:r>
        <w:rPr>
          <w:noProof/>
        </w:rPr>
        <w:fldChar w:fldCharType="separate"/>
      </w:r>
      <w:r>
        <w:rPr>
          <w:noProof/>
        </w:rPr>
        <w:t>89</w:t>
      </w:r>
      <w:r>
        <w:rPr>
          <w:noProof/>
        </w:rPr>
        <w:fldChar w:fldCharType="end"/>
      </w:r>
    </w:p>
    <w:p w14:paraId="682DA40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6.7</w:t>
      </w:r>
      <w:r>
        <w:rPr>
          <w:rFonts w:asciiTheme="minorHAnsi" w:eastAsiaTheme="minorEastAsia" w:hAnsiTheme="minorHAnsi" w:cstheme="minorBidi"/>
          <w:noProof/>
          <w:color w:val="auto"/>
          <w:sz w:val="22"/>
          <w:szCs w:val="22"/>
          <w:lang w:eastAsia="en-AU"/>
        </w:rPr>
        <w:tab/>
      </w:r>
      <w:r>
        <w:rPr>
          <w:noProof/>
        </w:rPr>
        <w:t>Usefulness of the internet in helping to deal more effectively with mental health issues among Transitioned ADF and 2015 Regular ADF who reported that they used the internet to seek help or information or manage mental health issues by probable disorder and demographic characteristics</w:t>
      </w:r>
      <w:r>
        <w:rPr>
          <w:noProof/>
        </w:rPr>
        <w:tab/>
      </w:r>
      <w:r>
        <w:rPr>
          <w:noProof/>
        </w:rPr>
        <w:fldChar w:fldCharType="begin"/>
      </w:r>
      <w:r>
        <w:rPr>
          <w:noProof/>
        </w:rPr>
        <w:instrText xml:space="preserve"> PAGEREF _Toc531858017 \h </w:instrText>
      </w:r>
      <w:r>
        <w:rPr>
          <w:noProof/>
        </w:rPr>
      </w:r>
      <w:r>
        <w:rPr>
          <w:noProof/>
        </w:rPr>
        <w:fldChar w:fldCharType="separate"/>
      </w:r>
      <w:r>
        <w:rPr>
          <w:noProof/>
        </w:rPr>
        <w:t>91</w:t>
      </w:r>
      <w:r>
        <w:rPr>
          <w:noProof/>
        </w:rPr>
        <w:fldChar w:fldCharType="end"/>
      </w:r>
    </w:p>
    <w:p w14:paraId="39FABBB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6.8</w:t>
      </w:r>
      <w:r>
        <w:rPr>
          <w:rFonts w:asciiTheme="minorHAnsi" w:eastAsiaTheme="minorEastAsia" w:hAnsiTheme="minorHAnsi" w:cstheme="minorBidi"/>
          <w:noProof/>
          <w:color w:val="auto"/>
          <w:sz w:val="22"/>
          <w:szCs w:val="22"/>
          <w:lang w:eastAsia="en-AU"/>
        </w:rPr>
        <w:tab/>
      </w:r>
      <w:r>
        <w:rPr>
          <w:noProof/>
        </w:rPr>
        <w:t>Satisfaction with mental health information available on the internet among Transitioned ADF and 2015 Regular ADF who reported that they used the internet to seek help or information or manage mental health issues</w:t>
      </w:r>
      <w:r>
        <w:rPr>
          <w:noProof/>
        </w:rPr>
        <w:tab/>
      </w:r>
      <w:r>
        <w:rPr>
          <w:noProof/>
        </w:rPr>
        <w:fldChar w:fldCharType="begin"/>
      </w:r>
      <w:r>
        <w:rPr>
          <w:noProof/>
        </w:rPr>
        <w:instrText xml:space="preserve"> PAGEREF _Toc531858018 \h </w:instrText>
      </w:r>
      <w:r>
        <w:rPr>
          <w:noProof/>
        </w:rPr>
      </w:r>
      <w:r>
        <w:rPr>
          <w:noProof/>
        </w:rPr>
        <w:fldChar w:fldCharType="separate"/>
      </w:r>
      <w:r>
        <w:rPr>
          <w:noProof/>
        </w:rPr>
        <w:t>93</w:t>
      </w:r>
      <w:r>
        <w:rPr>
          <w:noProof/>
        </w:rPr>
        <w:fldChar w:fldCharType="end"/>
      </w:r>
    </w:p>
    <w:p w14:paraId="6300628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6.9</w:t>
      </w:r>
      <w:r>
        <w:rPr>
          <w:rFonts w:asciiTheme="minorHAnsi" w:eastAsiaTheme="minorEastAsia" w:hAnsiTheme="minorHAnsi" w:cstheme="minorBidi"/>
          <w:noProof/>
          <w:color w:val="auto"/>
          <w:sz w:val="22"/>
          <w:szCs w:val="22"/>
          <w:lang w:eastAsia="en-AU"/>
        </w:rPr>
        <w:tab/>
      </w:r>
      <w:r>
        <w:rPr>
          <w:noProof/>
        </w:rPr>
        <w:t>Satisfaction with mental health information available on the internet among Transitioned ADF and 2015 Regular ADF who reported that they used the internet to seek help or information or manage mental health, by probable disorder and demographic characteristics</w:t>
      </w:r>
      <w:r>
        <w:rPr>
          <w:noProof/>
        </w:rPr>
        <w:tab/>
      </w:r>
      <w:r>
        <w:rPr>
          <w:noProof/>
        </w:rPr>
        <w:fldChar w:fldCharType="begin"/>
      </w:r>
      <w:r>
        <w:rPr>
          <w:noProof/>
        </w:rPr>
        <w:instrText xml:space="preserve"> PAGEREF _Toc531858019 \h </w:instrText>
      </w:r>
      <w:r>
        <w:rPr>
          <w:noProof/>
        </w:rPr>
      </w:r>
      <w:r>
        <w:rPr>
          <w:noProof/>
        </w:rPr>
        <w:fldChar w:fldCharType="separate"/>
      </w:r>
      <w:r>
        <w:rPr>
          <w:noProof/>
        </w:rPr>
        <w:t>95</w:t>
      </w:r>
      <w:r>
        <w:rPr>
          <w:noProof/>
        </w:rPr>
        <w:fldChar w:fldCharType="end"/>
      </w:r>
    </w:p>
    <w:p w14:paraId="20CFAE7B"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7.1</w:t>
      </w:r>
      <w:r>
        <w:rPr>
          <w:rFonts w:asciiTheme="minorHAnsi" w:eastAsiaTheme="minorEastAsia" w:hAnsiTheme="minorHAnsi" w:cstheme="minorBidi"/>
          <w:noProof/>
          <w:color w:val="auto"/>
          <w:sz w:val="22"/>
          <w:szCs w:val="22"/>
          <w:lang w:eastAsia="en-AU"/>
        </w:rPr>
        <w:tab/>
      </w:r>
      <w:r>
        <w:rPr>
          <w:noProof/>
        </w:rPr>
        <w:t xml:space="preserve">Estimated frequency of internet use to seek help or access information about one’s </w:t>
      </w:r>
      <w:r w:rsidRPr="0010304B">
        <w:rPr>
          <w:i/>
          <w:noProof/>
        </w:rPr>
        <w:t>own</w:t>
      </w:r>
      <w:r>
        <w:rPr>
          <w:noProof/>
        </w:rPr>
        <w:t xml:space="preserve"> mental health among Transitioned ADF and 2015 Regular ADF who </w:t>
      </w:r>
      <w:r w:rsidRPr="0010304B">
        <w:rPr>
          <w:rFonts w:cs="Arial"/>
          <w:noProof/>
        </w:rPr>
        <w:t>reported using the internet to seek help or information for or manage mental health issues</w:t>
      </w:r>
      <w:r>
        <w:rPr>
          <w:noProof/>
        </w:rPr>
        <w:tab/>
      </w:r>
      <w:r>
        <w:rPr>
          <w:noProof/>
        </w:rPr>
        <w:fldChar w:fldCharType="begin"/>
      </w:r>
      <w:r>
        <w:rPr>
          <w:noProof/>
        </w:rPr>
        <w:instrText xml:space="preserve"> PAGEREF _Toc531858020 \h </w:instrText>
      </w:r>
      <w:r>
        <w:rPr>
          <w:noProof/>
        </w:rPr>
      </w:r>
      <w:r>
        <w:rPr>
          <w:noProof/>
        </w:rPr>
        <w:fldChar w:fldCharType="separate"/>
      </w:r>
      <w:r>
        <w:rPr>
          <w:noProof/>
        </w:rPr>
        <w:t>99</w:t>
      </w:r>
      <w:r>
        <w:rPr>
          <w:noProof/>
        </w:rPr>
        <w:fldChar w:fldCharType="end"/>
      </w:r>
    </w:p>
    <w:p w14:paraId="5A65605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7.2</w:t>
      </w:r>
      <w:r>
        <w:rPr>
          <w:rFonts w:asciiTheme="minorHAnsi" w:eastAsiaTheme="minorEastAsia" w:hAnsiTheme="minorHAnsi" w:cstheme="minorBidi"/>
          <w:noProof/>
          <w:color w:val="auto"/>
          <w:sz w:val="22"/>
          <w:szCs w:val="22"/>
          <w:lang w:eastAsia="en-AU"/>
        </w:rPr>
        <w:tab/>
      </w:r>
      <w:r>
        <w:rPr>
          <w:noProof/>
        </w:rPr>
        <w:t xml:space="preserve">Estimated frequency of internet use to seek help or access information about one’s own mental health among Transitioned ADF and 2015 Regular ADF who </w:t>
      </w:r>
      <w:r w:rsidRPr="0010304B">
        <w:rPr>
          <w:rFonts w:cs="Arial"/>
          <w:noProof/>
        </w:rPr>
        <w:t>reported using the internet to seek help or information for or manage mental health issues</w:t>
      </w:r>
      <w:r>
        <w:rPr>
          <w:noProof/>
        </w:rPr>
        <w:t>, by probable disorder and demographic characteristics</w:t>
      </w:r>
      <w:r>
        <w:rPr>
          <w:noProof/>
        </w:rPr>
        <w:tab/>
      </w:r>
      <w:r>
        <w:rPr>
          <w:noProof/>
        </w:rPr>
        <w:fldChar w:fldCharType="begin"/>
      </w:r>
      <w:r>
        <w:rPr>
          <w:noProof/>
        </w:rPr>
        <w:instrText xml:space="preserve"> PAGEREF _Toc531858021 \h </w:instrText>
      </w:r>
      <w:r>
        <w:rPr>
          <w:noProof/>
        </w:rPr>
      </w:r>
      <w:r>
        <w:rPr>
          <w:noProof/>
        </w:rPr>
        <w:fldChar w:fldCharType="separate"/>
      </w:r>
      <w:r>
        <w:rPr>
          <w:noProof/>
        </w:rPr>
        <w:t>101</w:t>
      </w:r>
      <w:r>
        <w:rPr>
          <w:noProof/>
        </w:rPr>
        <w:fldChar w:fldCharType="end"/>
      </w:r>
    </w:p>
    <w:p w14:paraId="7E2D407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7.3</w:t>
      </w:r>
      <w:r>
        <w:rPr>
          <w:rFonts w:asciiTheme="minorHAnsi" w:eastAsiaTheme="minorEastAsia" w:hAnsiTheme="minorHAnsi" w:cstheme="minorBidi"/>
          <w:noProof/>
          <w:color w:val="auto"/>
          <w:sz w:val="22"/>
          <w:szCs w:val="22"/>
          <w:lang w:eastAsia="en-AU"/>
        </w:rPr>
        <w:tab/>
      </w:r>
      <w:r>
        <w:rPr>
          <w:noProof/>
        </w:rPr>
        <w:t xml:space="preserve">Timing of internet use to seek help or access information about one’s own mental health among Transitioned ADF and 2015 Regular ADF </w:t>
      </w:r>
      <w:r w:rsidRPr="0010304B">
        <w:rPr>
          <w:rFonts w:cs="Arial"/>
          <w:noProof/>
        </w:rPr>
        <w:t>who used the internet to seek help or information for or manage mental health issues</w:t>
      </w:r>
      <w:r>
        <w:rPr>
          <w:noProof/>
        </w:rPr>
        <w:tab/>
      </w:r>
      <w:r>
        <w:rPr>
          <w:noProof/>
        </w:rPr>
        <w:fldChar w:fldCharType="begin"/>
      </w:r>
      <w:r>
        <w:rPr>
          <w:noProof/>
        </w:rPr>
        <w:instrText xml:space="preserve"> PAGEREF _Toc531858022 \h </w:instrText>
      </w:r>
      <w:r>
        <w:rPr>
          <w:noProof/>
        </w:rPr>
      </w:r>
      <w:r>
        <w:rPr>
          <w:noProof/>
        </w:rPr>
        <w:fldChar w:fldCharType="separate"/>
      </w:r>
      <w:r>
        <w:rPr>
          <w:noProof/>
        </w:rPr>
        <w:t>103</w:t>
      </w:r>
      <w:r>
        <w:rPr>
          <w:noProof/>
        </w:rPr>
        <w:fldChar w:fldCharType="end"/>
      </w:r>
    </w:p>
    <w:p w14:paraId="290F2026"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7.4</w:t>
      </w:r>
      <w:r>
        <w:rPr>
          <w:rFonts w:asciiTheme="minorHAnsi" w:eastAsiaTheme="minorEastAsia" w:hAnsiTheme="minorHAnsi" w:cstheme="minorBidi"/>
          <w:noProof/>
          <w:color w:val="auto"/>
          <w:sz w:val="22"/>
          <w:szCs w:val="22"/>
          <w:lang w:eastAsia="en-AU"/>
        </w:rPr>
        <w:tab/>
      </w:r>
      <w:r>
        <w:rPr>
          <w:noProof/>
        </w:rPr>
        <w:t xml:space="preserve">Timing of internet use to seek help or access information about mental health among Transitioned ADF and 2015 Regular ADF who </w:t>
      </w:r>
      <w:r w:rsidRPr="0010304B">
        <w:rPr>
          <w:rFonts w:cs="Arial"/>
          <w:noProof/>
        </w:rPr>
        <w:t>reported using the internet to seek help or information for or manage mental health issues</w:t>
      </w:r>
      <w:r>
        <w:rPr>
          <w:noProof/>
        </w:rPr>
        <w:t>, by probable disorder and demographic characteristics</w:t>
      </w:r>
      <w:r>
        <w:rPr>
          <w:noProof/>
        </w:rPr>
        <w:tab/>
      </w:r>
      <w:r>
        <w:rPr>
          <w:noProof/>
        </w:rPr>
        <w:fldChar w:fldCharType="begin"/>
      </w:r>
      <w:r>
        <w:rPr>
          <w:noProof/>
        </w:rPr>
        <w:instrText xml:space="preserve"> PAGEREF _Toc531858023 \h </w:instrText>
      </w:r>
      <w:r>
        <w:rPr>
          <w:noProof/>
        </w:rPr>
      </w:r>
      <w:r>
        <w:rPr>
          <w:noProof/>
        </w:rPr>
        <w:fldChar w:fldCharType="separate"/>
      </w:r>
      <w:r>
        <w:rPr>
          <w:noProof/>
        </w:rPr>
        <w:t>105</w:t>
      </w:r>
      <w:r>
        <w:rPr>
          <w:noProof/>
        </w:rPr>
        <w:fldChar w:fldCharType="end"/>
      </w:r>
    </w:p>
    <w:p w14:paraId="44512281"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7.5</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w:t>
      </w:r>
      <w:r w:rsidRPr="0010304B">
        <w:rPr>
          <w:rFonts w:cs="Calibri"/>
          <w:noProof/>
        </w:rPr>
        <w:t>peers, family members or friends among Transitioned ADF and 2015 Regular ADF</w:t>
      </w:r>
      <w:r>
        <w:rPr>
          <w:noProof/>
        </w:rPr>
        <w:t xml:space="preserve"> who reported using the internet to seek help or information for or manage mental health issues</w:t>
      </w:r>
      <w:r>
        <w:rPr>
          <w:noProof/>
        </w:rPr>
        <w:tab/>
      </w:r>
      <w:r>
        <w:rPr>
          <w:noProof/>
        </w:rPr>
        <w:fldChar w:fldCharType="begin"/>
      </w:r>
      <w:r>
        <w:rPr>
          <w:noProof/>
        </w:rPr>
        <w:instrText xml:space="preserve"> PAGEREF _Toc531858024 \h </w:instrText>
      </w:r>
      <w:r>
        <w:rPr>
          <w:noProof/>
        </w:rPr>
      </w:r>
      <w:r>
        <w:rPr>
          <w:noProof/>
        </w:rPr>
        <w:fldChar w:fldCharType="separate"/>
      </w:r>
      <w:r>
        <w:rPr>
          <w:noProof/>
        </w:rPr>
        <w:t>107</w:t>
      </w:r>
      <w:r>
        <w:rPr>
          <w:noProof/>
        </w:rPr>
        <w:fldChar w:fldCharType="end"/>
      </w:r>
    </w:p>
    <w:p w14:paraId="77A57A6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7.6</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peers, family members or friends among Transitioned ADF and 2015 Regular ADF who </w:t>
      </w:r>
      <w:r w:rsidRPr="0010304B">
        <w:rPr>
          <w:rFonts w:cs="Arial"/>
          <w:noProof/>
        </w:rPr>
        <w:t>reported using the internet to seek help or information for or manage mental health issues</w:t>
      </w:r>
      <w:r>
        <w:rPr>
          <w:noProof/>
        </w:rPr>
        <w:t xml:space="preserve"> by probable disorder and demographic characteristics</w:t>
      </w:r>
      <w:r>
        <w:rPr>
          <w:noProof/>
        </w:rPr>
        <w:tab/>
      </w:r>
      <w:r>
        <w:rPr>
          <w:noProof/>
        </w:rPr>
        <w:fldChar w:fldCharType="begin"/>
      </w:r>
      <w:r>
        <w:rPr>
          <w:noProof/>
        </w:rPr>
        <w:instrText xml:space="preserve"> PAGEREF _Toc531858025 \h </w:instrText>
      </w:r>
      <w:r>
        <w:rPr>
          <w:noProof/>
        </w:rPr>
      </w:r>
      <w:r>
        <w:rPr>
          <w:noProof/>
        </w:rPr>
        <w:fldChar w:fldCharType="separate"/>
      </w:r>
      <w:r>
        <w:rPr>
          <w:noProof/>
        </w:rPr>
        <w:t>108</w:t>
      </w:r>
      <w:r>
        <w:rPr>
          <w:noProof/>
        </w:rPr>
        <w:fldChar w:fldCharType="end"/>
      </w:r>
    </w:p>
    <w:p w14:paraId="22552BC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7.7</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other people (e.g. online forums, chatrooms, blogs, MSN or Gmail messenger) among Transitioned ADF and 2015 Regular ADF who </w:t>
      </w:r>
      <w:r w:rsidRPr="0010304B">
        <w:rPr>
          <w:rFonts w:cs="Arial"/>
          <w:noProof/>
        </w:rPr>
        <w:t>reported using the internet to seek help or information for or manage mental health issues</w:t>
      </w:r>
      <w:r>
        <w:rPr>
          <w:noProof/>
        </w:rPr>
        <w:tab/>
      </w:r>
      <w:r>
        <w:rPr>
          <w:noProof/>
        </w:rPr>
        <w:fldChar w:fldCharType="begin"/>
      </w:r>
      <w:r>
        <w:rPr>
          <w:noProof/>
        </w:rPr>
        <w:instrText xml:space="preserve"> PAGEREF _Toc531858026 \h </w:instrText>
      </w:r>
      <w:r>
        <w:rPr>
          <w:noProof/>
        </w:rPr>
      </w:r>
      <w:r>
        <w:rPr>
          <w:noProof/>
        </w:rPr>
        <w:fldChar w:fldCharType="separate"/>
      </w:r>
      <w:r>
        <w:rPr>
          <w:noProof/>
        </w:rPr>
        <w:t>110</w:t>
      </w:r>
      <w:r>
        <w:rPr>
          <w:noProof/>
        </w:rPr>
        <w:fldChar w:fldCharType="end"/>
      </w:r>
    </w:p>
    <w:p w14:paraId="387CC529"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7.8</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other people (e.g. online forums, chatrooms, blogs, MSN or Gmail messenger) among Transitioned ADF and 2015 Regular ADF who </w:t>
      </w:r>
      <w:r w:rsidRPr="0010304B">
        <w:rPr>
          <w:rFonts w:cs="Arial"/>
          <w:noProof/>
        </w:rPr>
        <w:t>reported using the internet to seek help or information for or manage mental health issues,</w:t>
      </w:r>
      <w:r>
        <w:rPr>
          <w:noProof/>
        </w:rPr>
        <w:t xml:space="preserve"> by probable disorder and demographic characteristics</w:t>
      </w:r>
      <w:r>
        <w:rPr>
          <w:noProof/>
        </w:rPr>
        <w:tab/>
      </w:r>
      <w:r>
        <w:rPr>
          <w:noProof/>
        </w:rPr>
        <w:fldChar w:fldCharType="begin"/>
      </w:r>
      <w:r>
        <w:rPr>
          <w:noProof/>
        </w:rPr>
        <w:instrText xml:space="preserve"> PAGEREF _Toc531858027 \h </w:instrText>
      </w:r>
      <w:r>
        <w:rPr>
          <w:noProof/>
        </w:rPr>
      </w:r>
      <w:r>
        <w:rPr>
          <w:noProof/>
        </w:rPr>
        <w:fldChar w:fldCharType="separate"/>
      </w:r>
      <w:r>
        <w:rPr>
          <w:noProof/>
        </w:rPr>
        <w:t>111</w:t>
      </w:r>
      <w:r>
        <w:rPr>
          <w:noProof/>
        </w:rPr>
        <w:fldChar w:fldCharType="end"/>
      </w:r>
    </w:p>
    <w:p w14:paraId="25A4904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7.9</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a psychologist or other mental health professional among Transitioned ADF and 2015 Regular ADF who </w:t>
      </w:r>
      <w:r w:rsidRPr="0010304B">
        <w:rPr>
          <w:rFonts w:cs="Arial"/>
          <w:noProof/>
        </w:rPr>
        <w:t>reported using the internet to seek help or information for or manage mental health issues</w:t>
      </w:r>
      <w:r>
        <w:rPr>
          <w:noProof/>
        </w:rPr>
        <w:tab/>
      </w:r>
      <w:r>
        <w:rPr>
          <w:noProof/>
        </w:rPr>
        <w:fldChar w:fldCharType="begin"/>
      </w:r>
      <w:r>
        <w:rPr>
          <w:noProof/>
        </w:rPr>
        <w:instrText xml:space="preserve"> PAGEREF _Toc531858028 \h </w:instrText>
      </w:r>
      <w:r>
        <w:rPr>
          <w:noProof/>
        </w:rPr>
      </w:r>
      <w:r>
        <w:rPr>
          <w:noProof/>
        </w:rPr>
        <w:fldChar w:fldCharType="separate"/>
      </w:r>
      <w:r>
        <w:rPr>
          <w:noProof/>
        </w:rPr>
        <w:t>112</w:t>
      </w:r>
      <w:r>
        <w:rPr>
          <w:noProof/>
        </w:rPr>
        <w:fldChar w:fldCharType="end"/>
      </w:r>
    </w:p>
    <w:p w14:paraId="353F101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7.10</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a psychologist or other mental health professional among Transitioned ADF and 2015 Regular ADF who </w:t>
      </w:r>
      <w:r w:rsidRPr="0010304B">
        <w:rPr>
          <w:rFonts w:cs="Arial"/>
          <w:noProof/>
        </w:rPr>
        <w:t xml:space="preserve">reported using the internet to seek help or information for or manage mental health issues, </w:t>
      </w:r>
      <w:r>
        <w:rPr>
          <w:noProof/>
        </w:rPr>
        <w:t>by probable disorder and demographic characteristics</w:t>
      </w:r>
      <w:r>
        <w:rPr>
          <w:noProof/>
        </w:rPr>
        <w:tab/>
      </w:r>
      <w:r>
        <w:rPr>
          <w:noProof/>
        </w:rPr>
        <w:fldChar w:fldCharType="begin"/>
      </w:r>
      <w:r>
        <w:rPr>
          <w:noProof/>
        </w:rPr>
        <w:instrText xml:space="preserve"> PAGEREF _Toc531858029 \h </w:instrText>
      </w:r>
      <w:r>
        <w:rPr>
          <w:noProof/>
        </w:rPr>
      </w:r>
      <w:r>
        <w:rPr>
          <w:noProof/>
        </w:rPr>
        <w:fldChar w:fldCharType="separate"/>
      </w:r>
      <w:r>
        <w:rPr>
          <w:noProof/>
        </w:rPr>
        <w:t>114</w:t>
      </w:r>
      <w:r>
        <w:rPr>
          <w:noProof/>
        </w:rPr>
        <w:fldChar w:fldCharType="end"/>
      </w:r>
    </w:p>
    <w:p w14:paraId="4F5818B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8.1</w:t>
      </w:r>
      <w:r>
        <w:rPr>
          <w:rFonts w:asciiTheme="minorHAnsi" w:eastAsiaTheme="minorEastAsia" w:hAnsiTheme="minorHAnsi" w:cstheme="minorBidi"/>
          <w:noProof/>
          <w:color w:val="auto"/>
          <w:sz w:val="22"/>
          <w:szCs w:val="22"/>
          <w:lang w:eastAsia="en-AU"/>
        </w:rPr>
        <w:tab/>
      </w:r>
      <w:r>
        <w:rPr>
          <w:noProof/>
        </w:rPr>
        <w:t xml:space="preserve">Barriers preventing Transitioned ADF and the 2015 Regular ADF from talking about their mental health issues online among those who </w:t>
      </w:r>
      <w:r w:rsidRPr="0010304B">
        <w:rPr>
          <w:rFonts w:cs="Arial"/>
          <w:noProof/>
        </w:rPr>
        <w:t>reported using the internet to seek help or information for or manage mental health issues</w:t>
      </w:r>
      <w:r w:rsidRPr="0010304B">
        <w:rPr>
          <w:rFonts w:cs="Calibri"/>
          <w:noProof/>
        </w:rPr>
        <w:t xml:space="preserve"> but reported</w:t>
      </w:r>
      <w:r>
        <w:rPr>
          <w:noProof/>
        </w:rPr>
        <w:t xml:space="preserve"> they did NOT talk to someone online about their own mental health</w:t>
      </w:r>
      <w:r>
        <w:rPr>
          <w:noProof/>
        </w:rPr>
        <w:tab/>
      </w:r>
      <w:r>
        <w:rPr>
          <w:noProof/>
        </w:rPr>
        <w:fldChar w:fldCharType="begin"/>
      </w:r>
      <w:r>
        <w:rPr>
          <w:noProof/>
        </w:rPr>
        <w:instrText xml:space="preserve"> PAGEREF _Toc531858030 \h </w:instrText>
      </w:r>
      <w:r>
        <w:rPr>
          <w:noProof/>
        </w:rPr>
      </w:r>
      <w:r>
        <w:rPr>
          <w:noProof/>
        </w:rPr>
        <w:fldChar w:fldCharType="separate"/>
      </w:r>
      <w:r>
        <w:rPr>
          <w:noProof/>
        </w:rPr>
        <w:t>116</w:t>
      </w:r>
      <w:r>
        <w:rPr>
          <w:noProof/>
        </w:rPr>
        <w:fldChar w:fldCharType="end"/>
      </w:r>
    </w:p>
    <w:p w14:paraId="01B91BB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9.1</w:t>
      </w:r>
      <w:r>
        <w:rPr>
          <w:rFonts w:asciiTheme="minorHAnsi" w:eastAsiaTheme="minorEastAsia" w:hAnsiTheme="minorHAnsi" w:cstheme="minorBidi"/>
          <w:noProof/>
          <w:color w:val="auto"/>
          <w:sz w:val="22"/>
          <w:szCs w:val="22"/>
          <w:lang w:eastAsia="en-AU"/>
        </w:rPr>
        <w:tab/>
      </w:r>
      <w:r>
        <w:rPr>
          <w:noProof/>
        </w:rPr>
        <w:t>Screening and epidemiological cut-offs used to denote no disorder, subsyndromal disorder and probable disorder on the self-report mental health measures</w:t>
      </w:r>
      <w:r>
        <w:rPr>
          <w:noProof/>
        </w:rPr>
        <w:tab/>
      </w:r>
      <w:r>
        <w:rPr>
          <w:noProof/>
        </w:rPr>
        <w:fldChar w:fldCharType="begin"/>
      </w:r>
      <w:r>
        <w:rPr>
          <w:noProof/>
        </w:rPr>
        <w:instrText xml:space="preserve"> PAGEREF _Toc531858031 \h </w:instrText>
      </w:r>
      <w:r>
        <w:rPr>
          <w:noProof/>
        </w:rPr>
      </w:r>
      <w:r>
        <w:rPr>
          <w:noProof/>
        </w:rPr>
        <w:fldChar w:fldCharType="separate"/>
      </w:r>
      <w:r>
        <w:rPr>
          <w:noProof/>
        </w:rPr>
        <w:t>123</w:t>
      </w:r>
      <w:r>
        <w:rPr>
          <w:noProof/>
        </w:rPr>
        <w:fldChar w:fldCharType="end"/>
      </w:r>
    </w:p>
    <w:p w14:paraId="35682EC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9.2</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meeting criteria for key mental health outcomes who reported using the internet to seek help or information for, or to manage mental health issues</w:t>
      </w:r>
      <w:r>
        <w:rPr>
          <w:noProof/>
        </w:rPr>
        <w:tab/>
      </w:r>
      <w:r>
        <w:rPr>
          <w:noProof/>
        </w:rPr>
        <w:fldChar w:fldCharType="begin"/>
      </w:r>
      <w:r>
        <w:rPr>
          <w:noProof/>
        </w:rPr>
        <w:instrText xml:space="preserve"> PAGEREF _Toc531858032 \h </w:instrText>
      </w:r>
      <w:r>
        <w:rPr>
          <w:noProof/>
        </w:rPr>
      </w:r>
      <w:r>
        <w:rPr>
          <w:noProof/>
        </w:rPr>
        <w:fldChar w:fldCharType="separate"/>
      </w:r>
      <w:r>
        <w:rPr>
          <w:noProof/>
        </w:rPr>
        <w:t>124</w:t>
      </w:r>
      <w:r>
        <w:rPr>
          <w:noProof/>
        </w:rPr>
        <w:fldChar w:fldCharType="end"/>
      </w:r>
    </w:p>
    <w:p w14:paraId="78D6EA6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9.3</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with a probable disorder who did and did not use the internet for mental health broken down by those with no mental health stigma and those with at least one stigma</w:t>
      </w:r>
      <w:r>
        <w:rPr>
          <w:noProof/>
        </w:rPr>
        <w:tab/>
      </w:r>
      <w:r>
        <w:rPr>
          <w:noProof/>
        </w:rPr>
        <w:fldChar w:fldCharType="begin"/>
      </w:r>
      <w:r>
        <w:rPr>
          <w:noProof/>
        </w:rPr>
        <w:instrText xml:space="preserve"> PAGEREF _Toc531858033 \h </w:instrText>
      </w:r>
      <w:r>
        <w:rPr>
          <w:noProof/>
        </w:rPr>
      </w:r>
      <w:r>
        <w:rPr>
          <w:noProof/>
        </w:rPr>
        <w:fldChar w:fldCharType="separate"/>
      </w:r>
      <w:r>
        <w:rPr>
          <w:noProof/>
        </w:rPr>
        <w:t>128</w:t>
      </w:r>
      <w:r>
        <w:rPr>
          <w:noProof/>
        </w:rPr>
        <w:fldChar w:fldCharType="end"/>
      </w:r>
    </w:p>
    <w:p w14:paraId="67EB29B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9.4</w:t>
      </w:r>
      <w:r>
        <w:rPr>
          <w:rFonts w:asciiTheme="minorHAnsi" w:eastAsiaTheme="minorEastAsia" w:hAnsiTheme="minorHAnsi" w:cstheme="minorBidi"/>
          <w:noProof/>
          <w:color w:val="auto"/>
          <w:sz w:val="22"/>
          <w:szCs w:val="22"/>
          <w:lang w:eastAsia="en-AU"/>
        </w:rPr>
        <w:tab/>
      </w:r>
      <w:r>
        <w:rPr>
          <w:noProof/>
        </w:rPr>
        <w:t xml:space="preserve">Estimated proportion of Transitioned ADF and 2015 Regular ADF with a probable disorder who did and did not use the internet </w:t>
      </w:r>
      <w:r w:rsidRPr="0010304B">
        <w:rPr>
          <w:rFonts w:asciiTheme="minorHAnsi" w:hAnsiTheme="minorHAnsi"/>
          <w:noProof/>
        </w:rPr>
        <w:t xml:space="preserve">to </w:t>
      </w:r>
      <w:r>
        <w:rPr>
          <w:noProof/>
        </w:rPr>
        <w:t>seek help or information or to manage mental health issues broken down by those with no barriers and those with at least one barrier</w:t>
      </w:r>
      <w:r>
        <w:rPr>
          <w:noProof/>
        </w:rPr>
        <w:tab/>
      </w:r>
      <w:r>
        <w:rPr>
          <w:noProof/>
        </w:rPr>
        <w:fldChar w:fldCharType="begin"/>
      </w:r>
      <w:r>
        <w:rPr>
          <w:noProof/>
        </w:rPr>
        <w:instrText xml:space="preserve"> PAGEREF _Toc531858034 \h </w:instrText>
      </w:r>
      <w:r>
        <w:rPr>
          <w:noProof/>
        </w:rPr>
      </w:r>
      <w:r>
        <w:rPr>
          <w:noProof/>
        </w:rPr>
        <w:fldChar w:fldCharType="separate"/>
      </w:r>
      <w:r>
        <w:rPr>
          <w:noProof/>
        </w:rPr>
        <w:t>131</w:t>
      </w:r>
      <w:r>
        <w:rPr>
          <w:noProof/>
        </w:rPr>
        <w:fldChar w:fldCharType="end"/>
      </w:r>
    </w:p>
    <w:p w14:paraId="43AB2EA9"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9.5</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meeting criteria for key mental health outcomes who reported using the ADF website to inform/assess their mental health</w:t>
      </w:r>
      <w:r>
        <w:rPr>
          <w:noProof/>
        </w:rPr>
        <w:tab/>
      </w:r>
      <w:r>
        <w:rPr>
          <w:noProof/>
        </w:rPr>
        <w:fldChar w:fldCharType="begin"/>
      </w:r>
      <w:r>
        <w:rPr>
          <w:noProof/>
        </w:rPr>
        <w:instrText xml:space="preserve"> PAGEREF _Toc531858035 \h </w:instrText>
      </w:r>
      <w:r>
        <w:rPr>
          <w:noProof/>
        </w:rPr>
      </w:r>
      <w:r>
        <w:rPr>
          <w:noProof/>
        </w:rPr>
        <w:fldChar w:fldCharType="separate"/>
      </w:r>
      <w:r>
        <w:rPr>
          <w:noProof/>
        </w:rPr>
        <w:t>134</w:t>
      </w:r>
      <w:r>
        <w:rPr>
          <w:noProof/>
        </w:rPr>
        <w:fldChar w:fldCharType="end"/>
      </w:r>
    </w:p>
    <w:p w14:paraId="1929EE8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9.6</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with a probable disorder who did and did not use the ADF website broken down by those with no stigma and those with at least one stigma</w:t>
      </w:r>
      <w:r>
        <w:rPr>
          <w:noProof/>
        </w:rPr>
        <w:tab/>
      </w:r>
      <w:r>
        <w:rPr>
          <w:noProof/>
        </w:rPr>
        <w:fldChar w:fldCharType="begin"/>
      </w:r>
      <w:r>
        <w:rPr>
          <w:noProof/>
        </w:rPr>
        <w:instrText xml:space="preserve"> PAGEREF _Toc531858036 \h </w:instrText>
      </w:r>
      <w:r>
        <w:rPr>
          <w:noProof/>
        </w:rPr>
      </w:r>
      <w:r>
        <w:rPr>
          <w:noProof/>
        </w:rPr>
        <w:fldChar w:fldCharType="separate"/>
      </w:r>
      <w:r>
        <w:rPr>
          <w:noProof/>
        </w:rPr>
        <w:t>137</w:t>
      </w:r>
      <w:r>
        <w:rPr>
          <w:noProof/>
        </w:rPr>
        <w:fldChar w:fldCharType="end"/>
      </w:r>
    </w:p>
    <w:p w14:paraId="78B152F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9.7</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with a probable disorder who did and did not use the ADF website broken down by those with no barriers and those with at least one perceived barrier to care</w:t>
      </w:r>
      <w:r>
        <w:rPr>
          <w:noProof/>
        </w:rPr>
        <w:tab/>
      </w:r>
      <w:r>
        <w:rPr>
          <w:noProof/>
        </w:rPr>
        <w:fldChar w:fldCharType="begin"/>
      </w:r>
      <w:r>
        <w:rPr>
          <w:noProof/>
        </w:rPr>
        <w:instrText xml:space="preserve"> PAGEREF _Toc531858037 \h </w:instrText>
      </w:r>
      <w:r>
        <w:rPr>
          <w:noProof/>
        </w:rPr>
      </w:r>
      <w:r>
        <w:rPr>
          <w:noProof/>
        </w:rPr>
        <w:fldChar w:fldCharType="separate"/>
      </w:r>
      <w:r>
        <w:rPr>
          <w:noProof/>
        </w:rPr>
        <w:t>140</w:t>
      </w:r>
      <w:r>
        <w:rPr>
          <w:noProof/>
        </w:rPr>
        <w:fldChar w:fldCharType="end"/>
      </w:r>
    </w:p>
    <w:p w14:paraId="45C7B879"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9.8</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meeting criteria for key mental health outcomes who reported using the DVA or At Ease website to inform/assess their mental health</w:t>
      </w:r>
      <w:r>
        <w:rPr>
          <w:noProof/>
        </w:rPr>
        <w:tab/>
      </w:r>
      <w:r>
        <w:rPr>
          <w:noProof/>
        </w:rPr>
        <w:fldChar w:fldCharType="begin"/>
      </w:r>
      <w:r>
        <w:rPr>
          <w:noProof/>
        </w:rPr>
        <w:instrText xml:space="preserve"> PAGEREF _Toc531858038 \h </w:instrText>
      </w:r>
      <w:r>
        <w:rPr>
          <w:noProof/>
        </w:rPr>
      </w:r>
      <w:r>
        <w:rPr>
          <w:noProof/>
        </w:rPr>
        <w:fldChar w:fldCharType="separate"/>
      </w:r>
      <w:r>
        <w:rPr>
          <w:noProof/>
        </w:rPr>
        <w:t>144</w:t>
      </w:r>
      <w:r>
        <w:rPr>
          <w:noProof/>
        </w:rPr>
        <w:fldChar w:fldCharType="end"/>
      </w:r>
    </w:p>
    <w:p w14:paraId="19FCDA6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9.9</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with a probable disorder who do and do not use DVA or At Ease websites to inform/assess their mental health broken down by those with no stigma and those with at least one stigma</w:t>
      </w:r>
      <w:r>
        <w:rPr>
          <w:noProof/>
        </w:rPr>
        <w:tab/>
      </w:r>
      <w:r>
        <w:rPr>
          <w:noProof/>
        </w:rPr>
        <w:fldChar w:fldCharType="begin"/>
      </w:r>
      <w:r>
        <w:rPr>
          <w:noProof/>
        </w:rPr>
        <w:instrText xml:space="preserve"> PAGEREF _Toc531858039 \h </w:instrText>
      </w:r>
      <w:r>
        <w:rPr>
          <w:noProof/>
        </w:rPr>
      </w:r>
      <w:r>
        <w:rPr>
          <w:noProof/>
        </w:rPr>
        <w:fldChar w:fldCharType="separate"/>
      </w:r>
      <w:r>
        <w:rPr>
          <w:noProof/>
        </w:rPr>
        <w:t>147</w:t>
      </w:r>
      <w:r>
        <w:rPr>
          <w:noProof/>
        </w:rPr>
        <w:fldChar w:fldCharType="end"/>
      </w:r>
    </w:p>
    <w:p w14:paraId="1452FF6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9.10</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with a probable disorder who did and did not use DVA or At Ease websites to inform/assess mental health broken down by those with no barriers and those with at least one barrier</w:t>
      </w:r>
      <w:r>
        <w:rPr>
          <w:noProof/>
        </w:rPr>
        <w:tab/>
      </w:r>
      <w:r>
        <w:rPr>
          <w:noProof/>
        </w:rPr>
        <w:fldChar w:fldCharType="begin"/>
      </w:r>
      <w:r>
        <w:rPr>
          <w:noProof/>
        </w:rPr>
        <w:instrText xml:space="preserve"> PAGEREF _Toc531858040 \h </w:instrText>
      </w:r>
      <w:r>
        <w:rPr>
          <w:noProof/>
        </w:rPr>
      </w:r>
      <w:r>
        <w:rPr>
          <w:noProof/>
        </w:rPr>
        <w:fldChar w:fldCharType="separate"/>
      </w:r>
      <w:r>
        <w:rPr>
          <w:noProof/>
        </w:rPr>
        <w:t>149</w:t>
      </w:r>
      <w:r>
        <w:rPr>
          <w:noProof/>
        </w:rPr>
        <w:fldChar w:fldCharType="end"/>
      </w:r>
    </w:p>
    <w:p w14:paraId="4F1CDA6C"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9.11</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meeting criteria for key mental health outcomes who reported using other civilian mental health websites to inform/assess mental health</w:t>
      </w:r>
      <w:r>
        <w:rPr>
          <w:noProof/>
        </w:rPr>
        <w:tab/>
      </w:r>
      <w:r>
        <w:rPr>
          <w:noProof/>
        </w:rPr>
        <w:fldChar w:fldCharType="begin"/>
      </w:r>
      <w:r>
        <w:rPr>
          <w:noProof/>
        </w:rPr>
        <w:instrText xml:space="preserve"> PAGEREF _Toc531858041 \h </w:instrText>
      </w:r>
      <w:r>
        <w:rPr>
          <w:noProof/>
        </w:rPr>
      </w:r>
      <w:r>
        <w:rPr>
          <w:noProof/>
        </w:rPr>
        <w:fldChar w:fldCharType="separate"/>
      </w:r>
      <w:r>
        <w:rPr>
          <w:noProof/>
        </w:rPr>
        <w:t>153</w:t>
      </w:r>
      <w:r>
        <w:rPr>
          <w:noProof/>
        </w:rPr>
        <w:fldChar w:fldCharType="end"/>
      </w:r>
    </w:p>
    <w:p w14:paraId="20F4506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9.12</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with a probable disorder who did and did not use other civilian mental health websites broken down by those with no stigma and those with at least one stigma</w:t>
      </w:r>
      <w:r>
        <w:rPr>
          <w:noProof/>
        </w:rPr>
        <w:tab/>
      </w:r>
      <w:r>
        <w:rPr>
          <w:noProof/>
        </w:rPr>
        <w:fldChar w:fldCharType="begin"/>
      </w:r>
      <w:r>
        <w:rPr>
          <w:noProof/>
        </w:rPr>
        <w:instrText xml:space="preserve"> PAGEREF _Toc531858042 \h </w:instrText>
      </w:r>
      <w:r>
        <w:rPr>
          <w:noProof/>
        </w:rPr>
      </w:r>
      <w:r>
        <w:rPr>
          <w:noProof/>
        </w:rPr>
        <w:fldChar w:fldCharType="separate"/>
      </w:r>
      <w:r>
        <w:rPr>
          <w:noProof/>
        </w:rPr>
        <w:t>156</w:t>
      </w:r>
      <w:r>
        <w:rPr>
          <w:noProof/>
        </w:rPr>
        <w:fldChar w:fldCharType="end"/>
      </w:r>
    </w:p>
    <w:p w14:paraId="57BE54B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9.13</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with a probable disorder who did and did not use other civilian mental health websites broken down by those with no barriers and those with at least one barrier</w:t>
      </w:r>
      <w:r>
        <w:rPr>
          <w:noProof/>
        </w:rPr>
        <w:tab/>
      </w:r>
      <w:r>
        <w:rPr>
          <w:noProof/>
        </w:rPr>
        <w:fldChar w:fldCharType="begin"/>
      </w:r>
      <w:r>
        <w:rPr>
          <w:noProof/>
        </w:rPr>
        <w:instrText xml:space="preserve"> PAGEREF _Toc531858043 \h </w:instrText>
      </w:r>
      <w:r>
        <w:rPr>
          <w:noProof/>
        </w:rPr>
      </w:r>
      <w:r>
        <w:rPr>
          <w:noProof/>
        </w:rPr>
        <w:fldChar w:fldCharType="separate"/>
      </w:r>
      <w:r>
        <w:rPr>
          <w:noProof/>
        </w:rPr>
        <w:t>158</w:t>
      </w:r>
      <w:r>
        <w:rPr>
          <w:noProof/>
        </w:rPr>
        <w:fldChar w:fldCharType="end"/>
      </w:r>
    </w:p>
    <w:p w14:paraId="3BC4D8A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10.1</w:t>
      </w:r>
      <w:r>
        <w:rPr>
          <w:rFonts w:asciiTheme="minorHAnsi" w:eastAsiaTheme="minorEastAsia" w:hAnsiTheme="minorHAnsi" w:cstheme="minorBidi"/>
          <w:noProof/>
          <w:color w:val="auto"/>
          <w:sz w:val="22"/>
          <w:szCs w:val="22"/>
          <w:lang w:eastAsia="en-AU"/>
        </w:rPr>
        <w:tab/>
      </w:r>
      <w:r>
        <w:rPr>
          <w:noProof/>
        </w:rPr>
        <w:t>Frequency of internet use in Transitioned ADF (aged 18–25) compared to the Young and Well cohort</w:t>
      </w:r>
      <w:r>
        <w:rPr>
          <w:noProof/>
        </w:rPr>
        <w:tab/>
      </w:r>
      <w:r>
        <w:rPr>
          <w:noProof/>
        </w:rPr>
        <w:fldChar w:fldCharType="begin"/>
      </w:r>
      <w:r>
        <w:rPr>
          <w:noProof/>
        </w:rPr>
        <w:instrText xml:space="preserve"> PAGEREF _Toc531858044 \h </w:instrText>
      </w:r>
      <w:r>
        <w:rPr>
          <w:noProof/>
        </w:rPr>
      </w:r>
      <w:r>
        <w:rPr>
          <w:noProof/>
        </w:rPr>
        <w:fldChar w:fldCharType="separate"/>
      </w:r>
      <w:r>
        <w:rPr>
          <w:noProof/>
        </w:rPr>
        <w:t>165</w:t>
      </w:r>
      <w:r>
        <w:rPr>
          <w:noProof/>
        </w:rPr>
        <w:fldChar w:fldCharType="end"/>
      </w:r>
    </w:p>
    <w:p w14:paraId="09B784C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10.2</w:t>
      </w:r>
      <w:r>
        <w:rPr>
          <w:rFonts w:asciiTheme="minorHAnsi" w:eastAsiaTheme="minorEastAsia" w:hAnsiTheme="minorHAnsi" w:cstheme="minorBidi"/>
          <w:noProof/>
          <w:color w:val="auto"/>
          <w:sz w:val="22"/>
          <w:szCs w:val="22"/>
          <w:lang w:eastAsia="en-AU"/>
        </w:rPr>
        <w:tab/>
      </w:r>
      <w:r>
        <w:rPr>
          <w:noProof/>
        </w:rPr>
        <w:t>Time spent using the internet on a normal work/week day in Transitioned ADF (aged 18–25) compared to the Young and Well cohort</w:t>
      </w:r>
      <w:r>
        <w:rPr>
          <w:noProof/>
        </w:rPr>
        <w:tab/>
      </w:r>
      <w:r>
        <w:rPr>
          <w:noProof/>
        </w:rPr>
        <w:fldChar w:fldCharType="begin"/>
      </w:r>
      <w:r>
        <w:rPr>
          <w:noProof/>
        </w:rPr>
        <w:instrText xml:space="preserve"> PAGEREF _Toc531858045 \h </w:instrText>
      </w:r>
      <w:r>
        <w:rPr>
          <w:noProof/>
        </w:rPr>
      </w:r>
      <w:r>
        <w:rPr>
          <w:noProof/>
        </w:rPr>
        <w:fldChar w:fldCharType="separate"/>
      </w:r>
      <w:r>
        <w:rPr>
          <w:noProof/>
        </w:rPr>
        <w:t>166</w:t>
      </w:r>
      <w:r>
        <w:rPr>
          <w:noProof/>
        </w:rPr>
        <w:fldChar w:fldCharType="end"/>
      </w:r>
    </w:p>
    <w:p w14:paraId="606CF25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10.3</w:t>
      </w:r>
      <w:r>
        <w:rPr>
          <w:rFonts w:asciiTheme="minorHAnsi" w:eastAsiaTheme="minorEastAsia" w:hAnsiTheme="minorHAnsi" w:cstheme="minorBidi"/>
          <w:noProof/>
          <w:color w:val="auto"/>
          <w:sz w:val="22"/>
          <w:szCs w:val="22"/>
          <w:lang w:eastAsia="en-AU"/>
        </w:rPr>
        <w:tab/>
      </w:r>
      <w:r>
        <w:rPr>
          <w:noProof/>
        </w:rPr>
        <w:t>Use of the internet after 11 pm in Transitioned ADF (aged 18–25) compared to the Young and Well cohort</w:t>
      </w:r>
      <w:r>
        <w:rPr>
          <w:noProof/>
        </w:rPr>
        <w:tab/>
      </w:r>
      <w:r>
        <w:rPr>
          <w:noProof/>
        </w:rPr>
        <w:fldChar w:fldCharType="begin"/>
      </w:r>
      <w:r>
        <w:rPr>
          <w:noProof/>
        </w:rPr>
        <w:instrText xml:space="preserve"> PAGEREF _Toc531858046 \h </w:instrText>
      </w:r>
      <w:r>
        <w:rPr>
          <w:noProof/>
        </w:rPr>
      </w:r>
      <w:r>
        <w:rPr>
          <w:noProof/>
        </w:rPr>
        <w:fldChar w:fldCharType="separate"/>
      </w:r>
      <w:r>
        <w:rPr>
          <w:noProof/>
        </w:rPr>
        <w:t>168</w:t>
      </w:r>
      <w:r>
        <w:rPr>
          <w:noProof/>
        </w:rPr>
        <w:fldChar w:fldCharType="end"/>
      </w:r>
    </w:p>
    <w:p w14:paraId="4E9B15E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10.4</w:t>
      </w:r>
      <w:r>
        <w:rPr>
          <w:rFonts w:asciiTheme="minorHAnsi" w:eastAsiaTheme="minorEastAsia" w:hAnsiTheme="minorHAnsi" w:cstheme="minorBidi"/>
          <w:noProof/>
          <w:color w:val="auto"/>
          <w:sz w:val="22"/>
          <w:szCs w:val="22"/>
          <w:lang w:eastAsia="en-AU"/>
        </w:rPr>
        <w:tab/>
      </w:r>
      <w:r>
        <w:rPr>
          <w:noProof/>
        </w:rPr>
        <w:t>Use of the internet to seek help for or manage mental health issues in Transitioned ADF (aged 18–25) compared to the Young and Well cohort</w:t>
      </w:r>
      <w:r>
        <w:rPr>
          <w:noProof/>
        </w:rPr>
        <w:tab/>
      </w:r>
      <w:r>
        <w:rPr>
          <w:noProof/>
        </w:rPr>
        <w:fldChar w:fldCharType="begin"/>
      </w:r>
      <w:r>
        <w:rPr>
          <w:noProof/>
        </w:rPr>
        <w:instrText xml:space="preserve"> PAGEREF _Toc531858047 \h </w:instrText>
      </w:r>
      <w:r>
        <w:rPr>
          <w:noProof/>
        </w:rPr>
      </w:r>
      <w:r>
        <w:rPr>
          <w:noProof/>
        </w:rPr>
        <w:fldChar w:fldCharType="separate"/>
      </w:r>
      <w:r>
        <w:rPr>
          <w:noProof/>
        </w:rPr>
        <w:t>169</w:t>
      </w:r>
      <w:r>
        <w:rPr>
          <w:noProof/>
        </w:rPr>
        <w:fldChar w:fldCharType="end"/>
      </w:r>
    </w:p>
    <w:p w14:paraId="2EA5291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10.5</w:t>
      </w:r>
      <w:r>
        <w:rPr>
          <w:rFonts w:asciiTheme="minorHAnsi" w:eastAsiaTheme="minorEastAsia" w:hAnsiTheme="minorHAnsi" w:cstheme="minorBidi"/>
          <w:noProof/>
          <w:color w:val="auto"/>
          <w:sz w:val="22"/>
          <w:szCs w:val="22"/>
          <w:lang w:eastAsia="en-AU"/>
        </w:rPr>
        <w:tab/>
      </w:r>
      <w:r>
        <w:rPr>
          <w:noProof/>
        </w:rPr>
        <w:t>Proportion of Transitioned ADF (aged 18–25) compared to the Young and Well cohort who reported getting the information they needed from the internet in relation to mental health</w:t>
      </w:r>
      <w:r>
        <w:rPr>
          <w:noProof/>
        </w:rPr>
        <w:tab/>
      </w:r>
      <w:r>
        <w:rPr>
          <w:noProof/>
        </w:rPr>
        <w:fldChar w:fldCharType="begin"/>
      </w:r>
      <w:r>
        <w:rPr>
          <w:noProof/>
        </w:rPr>
        <w:instrText xml:space="preserve"> PAGEREF _Toc531858048 \h </w:instrText>
      </w:r>
      <w:r>
        <w:rPr>
          <w:noProof/>
        </w:rPr>
      </w:r>
      <w:r>
        <w:rPr>
          <w:noProof/>
        </w:rPr>
        <w:fldChar w:fldCharType="separate"/>
      </w:r>
      <w:r>
        <w:rPr>
          <w:noProof/>
        </w:rPr>
        <w:t>171</w:t>
      </w:r>
      <w:r>
        <w:rPr>
          <w:noProof/>
        </w:rPr>
        <w:fldChar w:fldCharType="end"/>
      </w:r>
    </w:p>
    <w:p w14:paraId="1127660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10.6</w:t>
      </w:r>
      <w:r>
        <w:rPr>
          <w:rFonts w:asciiTheme="minorHAnsi" w:eastAsiaTheme="minorEastAsia" w:hAnsiTheme="minorHAnsi" w:cstheme="minorBidi"/>
          <w:noProof/>
          <w:color w:val="auto"/>
          <w:sz w:val="22"/>
          <w:szCs w:val="22"/>
          <w:lang w:eastAsia="en-AU"/>
        </w:rPr>
        <w:tab/>
      </w:r>
      <w:r>
        <w:rPr>
          <w:noProof/>
        </w:rPr>
        <w:t>Effectiveness of the internet in helping young adults deal effectively with mental health problems in Transitioned ADF (aged 18–25) compared to the Young and Well cohort</w:t>
      </w:r>
      <w:r>
        <w:rPr>
          <w:noProof/>
        </w:rPr>
        <w:tab/>
      </w:r>
      <w:r>
        <w:rPr>
          <w:noProof/>
        </w:rPr>
        <w:fldChar w:fldCharType="begin"/>
      </w:r>
      <w:r>
        <w:rPr>
          <w:noProof/>
        </w:rPr>
        <w:instrText xml:space="preserve"> PAGEREF _Toc531858049 \h </w:instrText>
      </w:r>
      <w:r>
        <w:rPr>
          <w:noProof/>
        </w:rPr>
      </w:r>
      <w:r>
        <w:rPr>
          <w:noProof/>
        </w:rPr>
        <w:fldChar w:fldCharType="separate"/>
      </w:r>
      <w:r>
        <w:rPr>
          <w:noProof/>
        </w:rPr>
        <w:t>172</w:t>
      </w:r>
      <w:r>
        <w:rPr>
          <w:noProof/>
        </w:rPr>
        <w:fldChar w:fldCharType="end"/>
      </w:r>
    </w:p>
    <w:p w14:paraId="2F82C7C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10.7</w:t>
      </w:r>
      <w:r>
        <w:rPr>
          <w:rFonts w:asciiTheme="minorHAnsi" w:eastAsiaTheme="minorEastAsia" w:hAnsiTheme="minorHAnsi" w:cstheme="minorBidi"/>
          <w:noProof/>
          <w:color w:val="auto"/>
          <w:sz w:val="22"/>
          <w:szCs w:val="22"/>
          <w:lang w:eastAsia="en-AU"/>
        </w:rPr>
        <w:tab/>
      </w:r>
      <w:r>
        <w:rPr>
          <w:noProof/>
        </w:rPr>
        <w:t>Satisfaction with information received in relation to mental health in Transitioned ADF (aged 18–25) compared to the Young and Well cohort</w:t>
      </w:r>
      <w:r>
        <w:rPr>
          <w:noProof/>
        </w:rPr>
        <w:tab/>
      </w:r>
      <w:r>
        <w:rPr>
          <w:noProof/>
        </w:rPr>
        <w:fldChar w:fldCharType="begin"/>
      </w:r>
      <w:r>
        <w:rPr>
          <w:noProof/>
        </w:rPr>
        <w:instrText xml:space="preserve"> PAGEREF _Toc531858050 \h </w:instrText>
      </w:r>
      <w:r>
        <w:rPr>
          <w:noProof/>
        </w:rPr>
      </w:r>
      <w:r>
        <w:rPr>
          <w:noProof/>
        </w:rPr>
        <w:fldChar w:fldCharType="separate"/>
      </w:r>
      <w:r>
        <w:rPr>
          <w:noProof/>
        </w:rPr>
        <w:t>174</w:t>
      </w:r>
      <w:r>
        <w:rPr>
          <w:noProof/>
        </w:rPr>
        <w:fldChar w:fldCharType="end"/>
      </w:r>
    </w:p>
    <w:p w14:paraId="4736187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10.8</w:t>
      </w:r>
      <w:r>
        <w:rPr>
          <w:rFonts w:asciiTheme="minorHAnsi" w:eastAsiaTheme="minorEastAsia" w:hAnsiTheme="minorHAnsi" w:cstheme="minorBidi"/>
          <w:noProof/>
          <w:color w:val="auto"/>
          <w:sz w:val="22"/>
          <w:szCs w:val="22"/>
          <w:lang w:eastAsia="en-AU"/>
        </w:rPr>
        <w:tab/>
      </w:r>
      <w:r>
        <w:rPr>
          <w:noProof/>
        </w:rPr>
        <w:t>Estimated prevalence of psychological distress (K10 scoring bands) in Transitioned ADF (aged 18–25) compared to the Young and Well cohort</w:t>
      </w:r>
      <w:r>
        <w:rPr>
          <w:noProof/>
        </w:rPr>
        <w:tab/>
      </w:r>
      <w:r>
        <w:rPr>
          <w:noProof/>
        </w:rPr>
        <w:fldChar w:fldCharType="begin"/>
      </w:r>
      <w:r>
        <w:rPr>
          <w:noProof/>
        </w:rPr>
        <w:instrText xml:space="preserve"> PAGEREF _Toc531858051 \h </w:instrText>
      </w:r>
      <w:r>
        <w:rPr>
          <w:noProof/>
        </w:rPr>
      </w:r>
      <w:r>
        <w:rPr>
          <w:noProof/>
        </w:rPr>
        <w:fldChar w:fldCharType="separate"/>
      </w:r>
      <w:r>
        <w:rPr>
          <w:noProof/>
        </w:rPr>
        <w:t>175</w:t>
      </w:r>
      <w:r>
        <w:rPr>
          <w:noProof/>
        </w:rPr>
        <w:fldChar w:fldCharType="end"/>
      </w:r>
    </w:p>
    <w:p w14:paraId="0154A56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10.9</w:t>
      </w:r>
      <w:r>
        <w:rPr>
          <w:rFonts w:asciiTheme="minorHAnsi" w:eastAsiaTheme="minorEastAsia" w:hAnsiTheme="minorHAnsi" w:cstheme="minorBidi"/>
          <w:noProof/>
          <w:color w:val="auto"/>
          <w:sz w:val="22"/>
          <w:szCs w:val="22"/>
          <w:lang w:eastAsia="en-AU"/>
        </w:rPr>
        <w:tab/>
      </w:r>
      <w:r>
        <w:rPr>
          <w:noProof/>
        </w:rPr>
        <w:t>Frequency of internet use in Transitioned ADF (aged 18–25) compared to the Young and Well cohort, by level of psychological distress</w:t>
      </w:r>
      <w:r>
        <w:rPr>
          <w:noProof/>
        </w:rPr>
        <w:tab/>
      </w:r>
      <w:r>
        <w:rPr>
          <w:noProof/>
        </w:rPr>
        <w:fldChar w:fldCharType="begin"/>
      </w:r>
      <w:r>
        <w:rPr>
          <w:noProof/>
        </w:rPr>
        <w:instrText xml:space="preserve"> PAGEREF _Toc531858052 \h </w:instrText>
      </w:r>
      <w:r>
        <w:rPr>
          <w:noProof/>
        </w:rPr>
      </w:r>
      <w:r>
        <w:rPr>
          <w:noProof/>
        </w:rPr>
        <w:fldChar w:fldCharType="separate"/>
      </w:r>
      <w:r>
        <w:rPr>
          <w:noProof/>
        </w:rPr>
        <w:t>177</w:t>
      </w:r>
      <w:r>
        <w:rPr>
          <w:noProof/>
        </w:rPr>
        <w:fldChar w:fldCharType="end"/>
      </w:r>
    </w:p>
    <w:p w14:paraId="27595D8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10.10</w:t>
      </w:r>
      <w:r>
        <w:rPr>
          <w:rFonts w:asciiTheme="minorHAnsi" w:eastAsiaTheme="minorEastAsia" w:hAnsiTheme="minorHAnsi" w:cstheme="minorBidi"/>
          <w:noProof/>
          <w:color w:val="auto"/>
          <w:sz w:val="22"/>
          <w:szCs w:val="22"/>
          <w:lang w:eastAsia="en-AU"/>
        </w:rPr>
        <w:tab/>
      </w:r>
      <w:r>
        <w:rPr>
          <w:noProof/>
        </w:rPr>
        <w:t>Time spent using the internet on a normal work/week day in Transitioned ADF (aged 18–25) compared to the Young and Well cohort, by level of psychological distress</w:t>
      </w:r>
      <w:r>
        <w:rPr>
          <w:noProof/>
        </w:rPr>
        <w:tab/>
      </w:r>
      <w:r>
        <w:rPr>
          <w:noProof/>
        </w:rPr>
        <w:fldChar w:fldCharType="begin"/>
      </w:r>
      <w:r>
        <w:rPr>
          <w:noProof/>
        </w:rPr>
        <w:instrText xml:space="preserve"> PAGEREF _Toc531858053 \h </w:instrText>
      </w:r>
      <w:r>
        <w:rPr>
          <w:noProof/>
        </w:rPr>
      </w:r>
      <w:r>
        <w:rPr>
          <w:noProof/>
        </w:rPr>
        <w:fldChar w:fldCharType="separate"/>
      </w:r>
      <w:r>
        <w:rPr>
          <w:noProof/>
        </w:rPr>
        <w:t>180</w:t>
      </w:r>
      <w:r>
        <w:rPr>
          <w:noProof/>
        </w:rPr>
        <w:fldChar w:fldCharType="end"/>
      </w:r>
    </w:p>
    <w:p w14:paraId="2A6584A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10.11</w:t>
      </w:r>
      <w:r>
        <w:rPr>
          <w:rFonts w:asciiTheme="minorHAnsi" w:eastAsiaTheme="minorEastAsia" w:hAnsiTheme="minorHAnsi" w:cstheme="minorBidi"/>
          <w:noProof/>
          <w:color w:val="auto"/>
          <w:sz w:val="22"/>
          <w:szCs w:val="22"/>
          <w:lang w:eastAsia="en-AU"/>
        </w:rPr>
        <w:tab/>
      </w:r>
      <w:r>
        <w:rPr>
          <w:noProof/>
        </w:rPr>
        <w:t>Use of the internet after 11 pm in Transitioned ADF (aged 18–25) compared to the Young and Well cohort, by level of psychological distress</w:t>
      </w:r>
      <w:r>
        <w:rPr>
          <w:noProof/>
        </w:rPr>
        <w:tab/>
      </w:r>
      <w:r>
        <w:rPr>
          <w:noProof/>
        </w:rPr>
        <w:fldChar w:fldCharType="begin"/>
      </w:r>
      <w:r>
        <w:rPr>
          <w:noProof/>
        </w:rPr>
        <w:instrText xml:space="preserve"> PAGEREF _Toc531858054 \h </w:instrText>
      </w:r>
      <w:r>
        <w:rPr>
          <w:noProof/>
        </w:rPr>
      </w:r>
      <w:r>
        <w:rPr>
          <w:noProof/>
        </w:rPr>
        <w:fldChar w:fldCharType="separate"/>
      </w:r>
      <w:r>
        <w:rPr>
          <w:noProof/>
        </w:rPr>
        <w:t>182</w:t>
      </w:r>
      <w:r>
        <w:rPr>
          <w:noProof/>
        </w:rPr>
        <w:fldChar w:fldCharType="end"/>
      </w:r>
    </w:p>
    <w:p w14:paraId="139E7E4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10.12</w:t>
      </w:r>
      <w:r>
        <w:rPr>
          <w:rFonts w:asciiTheme="minorHAnsi" w:eastAsiaTheme="minorEastAsia" w:hAnsiTheme="minorHAnsi" w:cstheme="minorBidi"/>
          <w:noProof/>
          <w:color w:val="auto"/>
          <w:sz w:val="22"/>
          <w:szCs w:val="22"/>
          <w:lang w:eastAsia="en-AU"/>
        </w:rPr>
        <w:tab/>
      </w:r>
      <w:r>
        <w:rPr>
          <w:noProof/>
        </w:rPr>
        <w:t>Use of the internet to seek help for or manage mental health issues in Transitioned ADF (aged 18–25) compared to the Young and Well cohort, by level of psychological distress</w:t>
      </w:r>
      <w:r>
        <w:rPr>
          <w:noProof/>
        </w:rPr>
        <w:tab/>
      </w:r>
      <w:r>
        <w:rPr>
          <w:noProof/>
        </w:rPr>
        <w:fldChar w:fldCharType="begin"/>
      </w:r>
      <w:r>
        <w:rPr>
          <w:noProof/>
        </w:rPr>
        <w:instrText xml:space="preserve"> PAGEREF _Toc531858055 \h </w:instrText>
      </w:r>
      <w:r>
        <w:rPr>
          <w:noProof/>
        </w:rPr>
      </w:r>
      <w:r>
        <w:rPr>
          <w:noProof/>
        </w:rPr>
        <w:fldChar w:fldCharType="separate"/>
      </w:r>
      <w:r>
        <w:rPr>
          <w:noProof/>
        </w:rPr>
        <w:t>184</w:t>
      </w:r>
      <w:r>
        <w:rPr>
          <w:noProof/>
        </w:rPr>
        <w:fldChar w:fldCharType="end"/>
      </w:r>
    </w:p>
    <w:p w14:paraId="426035B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A.1</w:t>
      </w:r>
      <w:r>
        <w:rPr>
          <w:rFonts w:asciiTheme="minorHAnsi" w:eastAsiaTheme="minorEastAsia" w:hAnsiTheme="minorHAnsi" w:cstheme="minorBidi"/>
          <w:noProof/>
          <w:color w:val="auto"/>
          <w:sz w:val="22"/>
          <w:szCs w:val="22"/>
          <w:lang w:eastAsia="en-AU"/>
        </w:rPr>
        <w:tab/>
      </w:r>
      <w:r>
        <w:rPr>
          <w:noProof/>
        </w:rPr>
        <w:t>Commissioned reports</w:t>
      </w:r>
      <w:r>
        <w:rPr>
          <w:noProof/>
        </w:rPr>
        <w:tab/>
      </w:r>
      <w:r>
        <w:rPr>
          <w:noProof/>
        </w:rPr>
        <w:fldChar w:fldCharType="begin"/>
      </w:r>
      <w:r>
        <w:rPr>
          <w:noProof/>
        </w:rPr>
        <w:instrText xml:space="preserve"> PAGEREF _Toc531858056 \h </w:instrText>
      </w:r>
      <w:r>
        <w:rPr>
          <w:noProof/>
        </w:rPr>
      </w:r>
      <w:r>
        <w:rPr>
          <w:noProof/>
        </w:rPr>
        <w:fldChar w:fldCharType="separate"/>
      </w:r>
      <w:r>
        <w:rPr>
          <w:noProof/>
        </w:rPr>
        <w:t>207</w:t>
      </w:r>
      <w:r>
        <w:rPr>
          <w:noProof/>
        </w:rPr>
        <w:fldChar w:fldCharType="end"/>
      </w:r>
    </w:p>
    <w:p w14:paraId="7FF87DBC"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A.2</w:t>
      </w:r>
      <w:r>
        <w:rPr>
          <w:rFonts w:asciiTheme="minorHAnsi" w:eastAsiaTheme="minorEastAsia" w:hAnsiTheme="minorHAnsi" w:cstheme="minorBidi"/>
          <w:noProof/>
          <w:color w:val="auto"/>
          <w:sz w:val="22"/>
          <w:szCs w:val="22"/>
          <w:lang w:eastAsia="en-AU"/>
        </w:rPr>
        <w:tab/>
      </w:r>
      <w:r>
        <w:rPr>
          <w:noProof/>
        </w:rPr>
        <w:t>Survey response rates by service, sex, rank and medical fitness for the Transitioned ADF and the 2015 Regular ADF</w:t>
      </w:r>
      <w:r>
        <w:rPr>
          <w:noProof/>
        </w:rPr>
        <w:tab/>
      </w:r>
      <w:r>
        <w:rPr>
          <w:noProof/>
        </w:rPr>
        <w:fldChar w:fldCharType="begin"/>
      </w:r>
      <w:r>
        <w:rPr>
          <w:noProof/>
        </w:rPr>
        <w:instrText xml:space="preserve"> PAGEREF _Toc531858057 \h </w:instrText>
      </w:r>
      <w:r>
        <w:rPr>
          <w:noProof/>
        </w:rPr>
      </w:r>
      <w:r>
        <w:rPr>
          <w:noProof/>
        </w:rPr>
        <w:fldChar w:fldCharType="separate"/>
      </w:r>
      <w:r>
        <w:rPr>
          <w:noProof/>
        </w:rPr>
        <w:t>208</w:t>
      </w:r>
      <w:r>
        <w:rPr>
          <w:noProof/>
        </w:rPr>
        <w:fldChar w:fldCharType="end"/>
      </w:r>
    </w:p>
    <w:p w14:paraId="7AFC80E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A.3</w:t>
      </w:r>
      <w:r>
        <w:rPr>
          <w:rFonts w:asciiTheme="minorHAnsi" w:eastAsiaTheme="minorEastAsia" w:hAnsiTheme="minorHAnsi" w:cstheme="minorBidi"/>
          <w:noProof/>
          <w:color w:val="auto"/>
          <w:sz w:val="22"/>
          <w:szCs w:val="22"/>
          <w:lang w:eastAsia="en-AU"/>
        </w:rPr>
        <w:tab/>
      </w:r>
      <w:r>
        <w:rPr>
          <w:noProof/>
        </w:rPr>
        <w:t>Unweighted demographic characteristics of responders by Transitioned ADF and 2015 Regular ADF</w:t>
      </w:r>
      <w:r>
        <w:rPr>
          <w:noProof/>
        </w:rPr>
        <w:tab/>
      </w:r>
      <w:r>
        <w:rPr>
          <w:noProof/>
        </w:rPr>
        <w:fldChar w:fldCharType="begin"/>
      </w:r>
      <w:r>
        <w:rPr>
          <w:noProof/>
        </w:rPr>
        <w:instrText xml:space="preserve"> PAGEREF _Toc531858058 \h </w:instrText>
      </w:r>
      <w:r>
        <w:rPr>
          <w:noProof/>
        </w:rPr>
      </w:r>
      <w:r>
        <w:rPr>
          <w:noProof/>
        </w:rPr>
        <w:fldChar w:fldCharType="separate"/>
      </w:r>
      <w:r>
        <w:rPr>
          <w:noProof/>
        </w:rPr>
        <w:t>211</w:t>
      </w:r>
      <w:r>
        <w:rPr>
          <w:noProof/>
        </w:rPr>
        <w:fldChar w:fldCharType="end"/>
      </w:r>
    </w:p>
    <w:p w14:paraId="43E9A4B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A.4</w:t>
      </w:r>
      <w:r>
        <w:rPr>
          <w:rFonts w:asciiTheme="minorHAnsi" w:eastAsiaTheme="minorEastAsia" w:hAnsiTheme="minorHAnsi" w:cstheme="minorBidi"/>
          <w:noProof/>
          <w:color w:val="auto"/>
          <w:sz w:val="22"/>
          <w:szCs w:val="22"/>
          <w:lang w:eastAsia="en-AU"/>
        </w:rPr>
        <w:tab/>
      </w:r>
      <w:r>
        <w:rPr>
          <w:noProof/>
        </w:rPr>
        <w:t>CIDI response rates for stratified Transitioned ADF by service, sex, rank and MEC status</w:t>
      </w:r>
      <w:r>
        <w:rPr>
          <w:noProof/>
        </w:rPr>
        <w:tab/>
      </w:r>
      <w:r>
        <w:rPr>
          <w:noProof/>
        </w:rPr>
        <w:fldChar w:fldCharType="begin"/>
      </w:r>
      <w:r>
        <w:rPr>
          <w:noProof/>
        </w:rPr>
        <w:instrText xml:space="preserve"> PAGEREF _Toc531858059 \h </w:instrText>
      </w:r>
      <w:r>
        <w:rPr>
          <w:noProof/>
        </w:rPr>
      </w:r>
      <w:r>
        <w:rPr>
          <w:noProof/>
        </w:rPr>
        <w:fldChar w:fldCharType="separate"/>
      </w:r>
      <w:r>
        <w:rPr>
          <w:noProof/>
        </w:rPr>
        <w:t>212</w:t>
      </w:r>
      <w:r>
        <w:rPr>
          <w:noProof/>
        </w:rPr>
        <w:fldChar w:fldCharType="end"/>
      </w:r>
    </w:p>
    <w:p w14:paraId="7561AE8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A.5</w:t>
      </w:r>
      <w:r>
        <w:rPr>
          <w:rFonts w:asciiTheme="minorHAnsi" w:eastAsiaTheme="minorEastAsia" w:hAnsiTheme="minorHAnsi" w:cstheme="minorBidi"/>
          <w:noProof/>
          <w:color w:val="auto"/>
          <w:sz w:val="22"/>
          <w:szCs w:val="22"/>
          <w:lang w:eastAsia="en-AU"/>
        </w:rPr>
        <w:tab/>
      </w:r>
      <w:r>
        <w:rPr>
          <w:noProof/>
        </w:rPr>
        <w:t>Demographic characteristics of stratified Transitioned ADF CIDI responders</w:t>
      </w:r>
      <w:r>
        <w:rPr>
          <w:noProof/>
        </w:rPr>
        <w:tab/>
      </w:r>
      <w:r>
        <w:rPr>
          <w:noProof/>
        </w:rPr>
        <w:fldChar w:fldCharType="begin"/>
      </w:r>
      <w:r>
        <w:rPr>
          <w:noProof/>
        </w:rPr>
        <w:instrText xml:space="preserve"> PAGEREF _Toc531858060 \h </w:instrText>
      </w:r>
      <w:r>
        <w:rPr>
          <w:noProof/>
        </w:rPr>
      </w:r>
      <w:r>
        <w:rPr>
          <w:noProof/>
        </w:rPr>
        <w:fldChar w:fldCharType="separate"/>
      </w:r>
      <w:r>
        <w:rPr>
          <w:noProof/>
        </w:rPr>
        <w:t>213</w:t>
      </w:r>
      <w:r>
        <w:rPr>
          <w:noProof/>
        </w:rPr>
        <w:fldChar w:fldCharType="end"/>
      </w:r>
    </w:p>
    <w:p w14:paraId="3F70DF36"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A.6</w:t>
      </w:r>
      <w:r>
        <w:rPr>
          <w:rFonts w:asciiTheme="minorHAnsi" w:eastAsiaTheme="minorEastAsia" w:hAnsiTheme="minorHAnsi" w:cstheme="minorBidi"/>
          <w:noProof/>
          <w:color w:val="auto"/>
          <w:sz w:val="22"/>
          <w:szCs w:val="22"/>
          <w:lang w:eastAsia="en-AU"/>
        </w:rPr>
        <w:tab/>
      </w:r>
      <w:r>
        <w:rPr>
          <w:noProof/>
        </w:rPr>
        <w:t>CIDI response rates for the MHPWS group, by service, sex, rank and Medical Employment Classification status</w:t>
      </w:r>
      <w:r>
        <w:rPr>
          <w:noProof/>
        </w:rPr>
        <w:tab/>
      </w:r>
      <w:r>
        <w:rPr>
          <w:noProof/>
        </w:rPr>
        <w:fldChar w:fldCharType="begin"/>
      </w:r>
      <w:r>
        <w:rPr>
          <w:noProof/>
        </w:rPr>
        <w:instrText xml:space="preserve"> PAGEREF _Toc531858061 \h </w:instrText>
      </w:r>
      <w:r>
        <w:rPr>
          <w:noProof/>
        </w:rPr>
      </w:r>
      <w:r>
        <w:rPr>
          <w:noProof/>
        </w:rPr>
        <w:fldChar w:fldCharType="separate"/>
      </w:r>
      <w:r>
        <w:rPr>
          <w:noProof/>
        </w:rPr>
        <w:t>214</w:t>
      </w:r>
      <w:r>
        <w:rPr>
          <w:noProof/>
        </w:rPr>
        <w:fldChar w:fldCharType="end"/>
      </w:r>
    </w:p>
    <w:p w14:paraId="682FEB9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A.7</w:t>
      </w:r>
      <w:r>
        <w:rPr>
          <w:rFonts w:asciiTheme="minorHAnsi" w:eastAsiaTheme="minorEastAsia" w:hAnsiTheme="minorHAnsi" w:cstheme="minorBidi"/>
          <w:noProof/>
          <w:color w:val="auto"/>
          <w:sz w:val="22"/>
          <w:szCs w:val="22"/>
          <w:lang w:eastAsia="en-AU"/>
        </w:rPr>
        <w:tab/>
      </w:r>
      <w:r>
        <w:rPr>
          <w:noProof/>
        </w:rPr>
        <w:t>CIDI response rates for the Combat Zone group, by service, sex, rank and Medical Employment Classification status</w:t>
      </w:r>
      <w:r>
        <w:rPr>
          <w:noProof/>
        </w:rPr>
        <w:tab/>
      </w:r>
      <w:r>
        <w:rPr>
          <w:noProof/>
        </w:rPr>
        <w:fldChar w:fldCharType="begin"/>
      </w:r>
      <w:r>
        <w:rPr>
          <w:noProof/>
        </w:rPr>
        <w:instrText xml:space="preserve"> PAGEREF _Toc531858062 \h </w:instrText>
      </w:r>
      <w:r>
        <w:rPr>
          <w:noProof/>
        </w:rPr>
      </w:r>
      <w:r>
        <w:rPr>
          <w:noProof/>
        </w:rPr>
        <w:fldChar w:fldCharType="separate"/>
      </w:r>
      <w:r>
        <w:rPr>
          <w:noProof/>
        </w:rPr>
        <w:t>215</w:t>
      </w:r>
      <w:r>
        <w:rPr>
          <w:noProof/>
        </w:rPr>
        <w:fldChar w:fldCharType="end"/>
      </w:r>
    </w:p>
    <w:p w14:paraId="116ECD7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A.8</w:t>
      </w:r>
      <w:r>
        <w:rPr>
          <w:rFonts w:asciiTheme="minorHAnsi" w:eastAsiaTheme="minorEastAsia" w:hAnsiTheme="minorHAnsi" w:cstheme="minorBidi"/>
          <w:noProof/>
          <w:color w:val="auto"/>
          <w:sz w:val="22"/>
          <w:szCs w:val="22"/>
          <w:lang w:eastAsia="en-AU"/>
        </w:rPr>
        <w:tab/>
      </w:r>
      <w:r>
        <w:rPr>
          <w:noProof/>
        </w:rPr>
        <w:t>Stratification characteristics of Transitioned ADF CIDI sample</w:t>
      </w:r>
      <w:r>
        <w:rPr>
          <w:noProof/>
        </w:rPr>
        <w:tab/>
      </w:r>
      <w:r>
        <w:rPr>
          <w:noProof/>
        </w:rPr>
        <w:fldChar w:fldCharType="begin"/>
      </w:r>
      <w:r>
        <w:rPr>
          <w:noProof/>
        </w:rPr>
        <w:instrText xml:space="preserve"> PAGEREF _Toc531858063 \h </w:instrText>
      </w:r>
      <w:r>
        <w:rPr>
          <w:noProof/>
        </w:rPr>
      </w:r>
      <w:r>
        <w:rPr>
          <w:noProof/>
        </w:rPr>
        <w:fldChar w:fldCharType="separate"/>
      </w:r>
      <w:r>
        <w:rPr>
          <w:noProof/>
        </w:rPr>
        <w:t>236</w:t>
      </w:r>
      <w:r>
        <w:rPr>
          <w:noProof/>
        </w:rPr>
        <w:fldChar w:fldCharType="end"/>
      </w:r>
    </w:p>
    <w:p w14:paraId="62CC0EA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A.9</w:t>
      </w:r>
      <w:r>
        <w:rPr>
          <w:rFonts w:asciiTheme="minorHAnsi" w:eastAsiaTheme="minorEastAsia" w:hAnsiTheme="minorHAnsi" w:cstheme="minorBidi"/>
          <w:noProof/>
          <w:color w:val="auto"/>
          <w:sz w:val="22"/>
          <w:szCs w:val="22"/>
          <w:lang w:eastAsia="en-AU"/>
        </w:rPr>
        <w:tab/>
      </w:r>
      <w:r>
        <w:rPr>
          <w:noProof/>
        </w:rPr>
        <w:t>Counts of categories by source</w:t>
      </w:r>
      <w:r>
        <w:rPr>
          <w:noProof/>
        </w:rPr>
        <w:tab/>
      </w:r>
      <w:r>
        <w:rPr>
          <w:noProof/>
        </w:rPr>
        <w:fldChar w:fldCharType="begin"/>
      </w:r>
      <w:r>
        <w:rPr>
          <w:noProof/>
        </w:rPr>
        <w:instrText xml:space="preserve"> PAGEREF _Toc531858064 \h </w:instrText>
      </w:r>
      <w:r>
        <w:rPr>
          <w:noProof/>
        </w:rPr>
      </w:r>
      <w:r>
        <w:rPr>
          <w:noProof/>
        </w:rPr>
        <w:fldChar w:fldCharType="separate"/>
      </w:r>
      <w:r>
        <w:rPr>
          <w:noProof/>
        </w:rPr>
        <w:t>241</w:t>
      </w:r>
      <w:r>
        <w:rPr>
          <w:noProof/>
        </w:rPr>
        <w:fldChar w:fldCharType="end"/>
      </w:r>
    </w:p>
    <w:p w14:paraId="495A71F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A.10</w:t>
      </w:r>
      <w:r>
        <w:rPr>
          <w:rFonts w:asciiTheme="minorHAnsi" w:eastAsiaTheme="minorEastAsia" w:hAnsiTheme="minorHAnsi" w:cstheme="minorBidi"/>
          <w:noProof/>
          <w:color w:val="auto"/>
          <w:sz w:val="22"/>
          <w:szCs w:val="22"/>
          <w:lang w:eastAsia="en-AU"/>
        </w:rPr>
        <w:tab/>
      </w:r>
      <w:r>
        <w:rPr>
          <w:noProof/>
        </w:rPr>
        <w:t>Counts of categories by service type</w:t>
      </w:r>
      <w:r>
        <w:rPr>
          <w:noProof/>
        </w:rPr>
        <w:tab/>
      </w:r>
      <w:r>
        <w:rPr>
          <w:noProof/>
        </w:rPr>
        <w:fldChar w:fldCharType="begin"/>
      </w:r>
      <w:r>
        <w:rPr>
          <w:noProof/>
        </w:rPr>
        <w:instrText xml:space="preserve"> PAGEREF _Toc531858065 \h </w:instrText>
      </w:r>
      <w:r>
        <w:rPr>
          <w:noProof/>
        </w:rPr>
      </w:r>
      <w:r>
        <w:rPr>
          <w:noProof/>
        </w:rPr>
        <w:fldChar w:fldCharType="separate"/>
      </w:r>
      <w:r>
        <w:rPr>
          <w:noProof/>
        </w:rPr>
        <w:t>241</w:t>
      </w:r>
      <w:r>
        <w:rPr>
          <w:noProof/>
        </w:rPr>
        <w:fldChar w:fldCharType="end"/>
      </w:r>
    </w:p>
    <w:p w14:paraId="2DD2AFA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B.1</w:t>
      </w:r>
      <w:r>
        <w:rPr>
          <w:rFonts w:asciiTheme="minorHAnsi" w:eastAsiaTheme="minorEastAsia" w:hAnsiTheme="minorHAnsi" w:cstheme="minorBidi"/>
          <w:noProof/>
          <w:color w:val="auto"/>
          <w:sz w:val="22"/>
          <w:szCs w:val="22"/>
          <w:lang w:eastAsia="en-AU"/>
        </w:rPr>
        <w:tab/>
      </w:r>
      <w:r>
        <w:rPr>
          <w:noProof/>
        </w:rPr>
        <w:t>Odds ratios for comparisons of Transitioned vs 2015 Regular ADF and DVA client vs Non-DVA client (stratified by Transitioned and 2015 Regular ADF)</w:t>
      </w:r>
      <w:r>
        <w:rPr>
          <w:noProof/>
        </w:rPr>
        <w:tab/>
      </w:r>
      <w:r>
        <w:rPr>
          <w:noProof/>
        </w:rPr>
        <w:fldChar w:fldCharType="begin"/>
      </w:r>
      <w:r>
        <w:rPr>
          <w:noProof/>
        </w:rPr>
        <w:instrText xml:space="preserve"> PAGEREF _Toc531858066 \h </w:instrText>
      </w:r>
      <w:r>
        <w:rPr>
          <w:noProof/>
        </w:rPr>
      </w:r>
      <w:r>
        <w:rPr>
          <w:noProof/>
        </w:rPr>
        <w:fldChar w:fldCharType="separate"/>
      </w:r>
      <w:r>
        <w:rPr>
          <w:noProof/>
        </w:rPr>
        <w:t>250</w:t>
      </w:r>
      <w:r>
        <w:rPr>
          <w:noProof/>
        </w:rPr>
        <w:fldChar w:fldCharType="end"/>
      </w:r>
    </w:p>
    <w:p w14:paraId="06AA5A5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C.1</w:t>
      </w:r>
      <w:r>
        <w:rPr>
          <w:rFonts w:asciiTheme="minorHAnsi" w:eastAsiaTheme="minorEastAsia" w:hAnsiTheme="minorHAnsi" w:cstheme="minorBidi"/>
          <w:noProof/>
          <w:color w:val="auto"/>
          <w:sz w:val="22"/>
          <w:szCs w:val="22"/>
          <w:lang w:eastAsia="en-AU"/>
        </w:rPr>
        <w:tab/>
      </w:r>
      <w:r>
        <w:rPr>
          <w:noProof/>
        </w:rPr>
        <w:t>Denominators</w:t>
      </w:r>
      <w:r>
        <w:rPr>
          <w:noProof/>
        </w:rPr>
        <w:tab/>
      </w:r>
      <w:r>
        <w:rPr>
          <w:noProof/>
        </w:rPr>
        <w:fldChar w:fldCharType="begin"/>
      </w:r>
      <w:r>
        <w:rPr>
          <w:noProof/>
        </w:rPr>
        <w:instrText xml:space="preserve"> PAGEREF _Toc531858067 \h </w:instrText>
      </w:r>
      <w:r>
        <w:rPr>
          <w:noProof/>
        </w:rPr>
      </w:r>
      <w:r>
        <w:rPr>
          <w:noProof/>
        </w:rPr>
        <w:fldChar w:fldCharType="separate"/>
      </w:r>
      <w:r>
        <w:rPr>
          <w:noProof/>
        </w:rPr>
        <w:t>261</w:t>
      </w:r>
      <w:r>
        <w:rPr>
          <w:noProof/>
        </w:rPr>
        <w:fldChar w:fldCharType="end"/>
      </w:r>
    </w:p>
    <w:p w14:paraId="5059657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C.2</w:t>
      </w:r>
      <w:r>
        <w:rPr>
          <w:rFonts w:asciiTheme="minorHAnsi" w:eastAsiaTheme="minorEastAsia" w:hAnsiTheme="minorHAnsi" w:cstheme="minorBidi"/>
          <w:noProof/>
          <w:color w:val="auto"/>
          <w:sz w:val="22"/>
          <w:szCs w:val="22"/>
          <w:lang w:eastAsia="en-AU"/>
        </w:rPr>
        <w:tab/>
      </w:r>
      <w:r>
        <w:rPr>
          <w:noProof/>
        </w:rPr>
        <w:t>Strata description – MilHOP Regular ADF</w:t>
      </w:r>
      <w:r>
        <w:rPr>
          <w:noProof/>
        </w:rPr>
        <w:tab/>
      </w:r>
      <w:r>
        <w:rPr>
          <w:noProof/>
        </w:rPr>
        <w:fldChar w:fldCharType="begin"/>
      </w:r>
      <w:r>
        <w:rPr>
          <w:noProof/>
        </w:rPr>
        <w:instrText xml:space="preserve"> PAGEREF _Toc531858068 \h </w:instrText>
      </w:r>
      <w:r>
        <w:rPr>
          <w:noProof/>
        </w:rPr>
      </w:r>
      <w:r>
        <w:rPr>
          <w:noProof/>
        </w:rPr>
        <w:fldChar w:fldCharType="separate"/>
      </w:r>
      <w:r>
        <w:rPr>
          <w:noProof/>
        </w:rPr>
        <w:t>263</w:t>
      </w:r>
      <w:r>
        <w:rPr>
          <w:noProof/>
        </w:rPr>
        <w:fldChar w:fldCharType="end"/>
      </w:r>
    </w:p>
    <w:p w14:paraId="1095A11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C.3</w:t>
      </w:r>
      <w:r>
        <w:rPr>
          <w:rFonts w:asciiTheme="minorHAnsi" w:eastAsiaTheme="minorEastAsia" w:hAnsiTheme="minorHAnsi" w:cstheme="minorBidi"/>
          <w:noProof/>
          <w:color w:val="auto"/>
          <w:sz w:val="22"/>
          <w:szCs w:val="22"/>
          <w:lang w:eastAsia="en-AU"/>
        </w:rPr>
        <w:tab/>
      </w:r>
      <w:r>
        <w:rPr>
          <w:noProof/>
        </w:rPr>
        <w:t>Strata description – non-MiLHOP Regular ADF</w:t>
      </w:r>
      <w:r>
        <w:rPr>
          <w:noProof/>
        </w:rPr>
        <w:tab/>
      </w:r>
      <w:r>
        <w:rPr>
          <w:noProof/>
        </w:rPr>
        <w:fldChar w:fldCharType="begin"/>
      </w:r>
      <w:r>
        <w:rPr>
          <w:noProof/>
        </w:rPr>
        <w:instrText xml:space="preserve"> PAGEREF _Toc531858069 \h </w:instrText>
      </w:r>
      <w:r>
        <w:rPr>
          <w:noProof/>
        </w:rPr>
      </w:r>
      <w:r>
        <w:rPr>
          <w:noProof/>
        </w:rPr>
        <w:fldChar w:fldCharType="separate"/>
      </w:r>
      <w:r>
        <w:rPr>
          <w:noProof/>
        </w:rPr>
        <w:t>264</w:t>
      </w:r>
      <w:r>
        <w:rPr>
          <w:noProof/>
        </w:rPr>
        <w:fldChar w:fldCharType="end"/>
      </w:r>
    </w:p>
    <w:p w14:paraId="57514DD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C.4</w:t>
      </w:r>
      <w:r>
        <w:rPr>
          <w:rFonts w:asciiTheme="minorHAnsi" w:eastAsiaTheme="minorEastAsia" w:hAnsiTheme="minorHAnsi" w:cstheme="minorBidi"/>
          <w:noProof/>
          <w:color w:val="auto"/>
          <w:sz w:val="22"/>
          <w:szCs w:val="22"/>
          <w:lang w:eastAsia="en-AU"/>
        </w:rPr>
        <w:tab/>
      </w:r>
      <w:r>
        <w:rPr>
          <w:noProof/>
        </w:rPr>
        <w:t>Strata description – Transitioned ADF</w:t>
      </w:r>
      <w:r>
        <w:rPr>
          <w:noProof/>
        </w:rPr>
        <w:tab/>
      </w:r>
      <w:r>
        <w:rPr>
          <w:noProof/>
        </w:rPr>
        <w:fldChar w:fldCharType="begin"/>
      </w:r>
      <w:r>
        <w:rPr>
          <w:noProof/>
        </w:rPr>
        <w:instrText xml:space="preserve"> PAGEREF _Toc531858070 \h </w:instrText>
      </w:r>
      <w:r>
        <w:rPr>
          <w:noProof/>
        </w:rPr>
      </w:r>
      <w:r>
        <w:rPr>
          <w:noProof/>
        </w:rPr>
        <w:fldChar w:fldCharType="separate"/>
      </w:r>
      <w:r>
        <w:rPr>
          <w:noProof/>
        </w:rPr>
        <w:t>265</w:t>
      </w:r>
      <w:r>
        <w:rPr>
          <w:noProof/>
        </w:rPr>
        <w:fldChar w:fldCharType="end"/>
      </w:r>
    </w:p>
    <w:p w14:paraId="6524E9B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Table C.5</w:t>
      </w:r>
      <w:r>
        <w:rPr>
          <w:rFonts w:asciiTheme="minorHAnsi" w:eastAsiaTheme="minorEastAsia" w:hAnsiTheme="minorHAnsi" w:cstheme="minorBidi"/>
          <w:noProof/>
          <w:color w:val="auto"/>
          <w:sz w:val="22"/>
          <w:szCs w:val="22"/>
          <w:lang w:eastAsia="en-AU"/>
        </w:rPr>
        <w:tab/>
      </w:r>
      <w:r>
        <w:rPr>
          <w:noProof/>
        </w:rPr>
        <w:t>Weighting table</w:t>
      </w:r>
      <w:r>
        <w:rPr>
          <w:noProof/>
        </w:rPr>
        <w:tab/>
      </w:r>
      <w:r>
        <w:rPr>
          <w:noProof/>
        </w:rPr>
        <w:fldChar w:fldCharType="begin"/>
      </w:r>
      <w:r>
        <w:rPr>
          <w:noProof/>
        </w:rPr>
        <w:instrText xml:space="preserve"> PAGEREF _Toc531858071 \h </w:instrText>
      </w:r>
      <w:r>
        <w:rPr>
          <w:noProof/>
        </w:rPr>
      </w:r>
      <w:r>
        <w:rPr>
          <w:noProof/>
        </w:rPr>
        <w:fldChar w:fldCharType="separate"/>
      </w:r>
      <w:r>
        <w:rPr>
          <w:noProof/>
        </w:rPr>
        <w:t>266</w:t>
      </w:r>
      <w:r>
        <w:rPr>
          <w:noProof/>
        </w:rPr>
        <w:fldChar w:fldCharType="end"/>
      </w:r>
    </w:p>
    <w:p w14:paraId="2DD0C06A" w14:textId="4CA0583E" w:rsidR="000E0B73" w:rsidRDefault="000E0B73" w:rsidP="00C44855">
      <w:pPr>
        <w:pStyle w:val="Heading2a"/>
      </w:pPr>
      <w:r>
        <w:fldChar w:fldCharType="end"/>
      </w:r>
      <w:r>
        <w:t>Figures</w:t>
      </w:r>
    </w:p>
    <w:p w14:paraId="234BD69E" w14:textId="77777777" w:rsidR="00E408E4" w:rsidRDefault="000E0B73">
      <w:pPr>
        <w:pStyle w:val="TOC4"/>
        <w:rPr>
          <w:rFonts w:asciiTheme="minorHAnsi" w:eastAsiaTheme="minorEastAsia" w:hAnsiTheme="minorHAnsi" w:cstheme="minorBidi"/>
          <w:noProof/>
          <w:color w:val="auto"/>
          <w:sz w:val="22"/>
          <w:szCs w:val="22"/>
          <w:lang w:eastAsia="en-AU"/>
        </w:rPr>
      </w:pPr>
      <w:r>
        <w:fldChar w:fldCharType="begin"/>
      </w:r>
      <w:r>
        <w:instrText xml:space="preserve"> TOC \t "FigureName,4" </w:instrText>
      </w:r>
      <w:r>
        <w:fldChar w:fldCharType="separate"/>
      </w:r>
      <w:r w:rsidR="00E408E4">
        <w:rPr>
          <w:noProof/>
        </w:rPr>
        <w:t>Figure 2.1</w:t>
      </w:r>
      <w:r w:rsidR="00E408E4">
        <w:rPr>
          <w:rFonts w:asciiTheme="minorHAnsi" w:eastAsiaTheme="minorEastAsia" w:hAnsiTheme="minorHAnsi" w:cstheme="minorBidi"/>
          <w:noProof/>
          <w:color w:val="auto"/>
          <w:sz w:val="22"/>
          <w:szCs w:val="22"/>
          <w:lang w:eastAsia="en-AU"/>
        </w:rPr>
        <w:tab/>
      </w:r>
      <w:r w:rsidR="00E408E4">
        <w:rPr>
          <w:noProof/>
        </w:rPr>
        <w:t>Survey response rates for Transitioned ADF and the 2015 Regular ADF</w:t>
      </w:r>
      <w:r w:rsidR="00E408E4">
        <w:rPr>
          <w:noProof/>
        </w:rPr>
        <w:tab/>
      </w:r>
      <w:r w:rsidR="00E408E4">
        <w:rPr>
          <w:noProof/>
        </w:rPr>
        <w:fldChar w:fldCharType="begin"/>
      </w:r>
      <w:r w:rsidR="00E408E4">
        <w:rPr>
          <w:noProof/>
        </w:rPr>
        <w:instrText xml:space="preserve"> PAGEREF _Toc531858072 \h </w:instrText>
      </w:r>
      <w:r w:rsidR="00E408E4">
        <w:rPr>
          <w:noProof/>
        </w:rPr>
      </w:r>
      <w:r w:rsidR="00E408E4">
        <w:rPr>
          <w:noProof/>
        </w:rPr>
        <w:fldChar w:fldCharType="separate"/>
      </w:r>
      <w:r w:rsidR="00E408E4">
        <w:rPr>
          <w:noProof/>
        </w:rPr>
        <w:t>28</w:t>
      </w:r>
      <w:r w:rsidR="00E408E4">
        <w:rPr>
          <w:noProof/>
        </w:rPr>
        <w:fldChar w:fldCharType="end"/>
      </w:r>
    </w:p>
    <w:p w14:paraId="2F753BCC"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4.1</w:t>
      </w:r>
      <w:r>
        <w:rPr>
          <w:rFonts w:asciiTheme="minorHAnsi" w:eastAsiaTheme="minorEastAsia" w:hAnsiTheme="minorHAnsi" w:cstheme="minorBidi"/>
          <w:noProof/>
          <w:color w:val="auto"/>
          <w:sz w:val="22"/>
          <w:szCs w:val="22"/>
          <w:lang w:eastAsia="en-AU"/>
        </w:rPr>
        <w:tab/>
      </w:r>
      <w:r>
        <w:rPr>
          <w:noProof/>
        </w:rPr>
        <w:t>Frequency of internet use in Transitioned ADF and 2015 Regular ADF</w:t>
      </w:r>
      <w:r>
        <w:rPr>
          <w:noProof/>
        </w:rPr>
        <w:tab/>
      </w:r>
      <w:r>
        <w:rPr>
          <w:noProof/>
        </w:rPr>
        <w:fldChar w:fldCharType="begin"/>
      </w:r>
      <w:r>
        <w:rPr>
          <w:noProof/>
        </w:rPr>
        <w:instrText xml:space="preserve"> PAGEREF _Toc531858073 \h </w:instrText>
      </w:r>
      <w:r>
        <w:rPr>
          <w:noProof/>
        </w:rPr>
      </w:r>
      <w:r>
        <w:rPr>
          <w:noProof/>
        </w:rPr>
        <w:fldChar w:fldCharType="separate"/>
      </w:r>
      <w:r>
        <w:rPr>
          <w:noProof/>
        </w:rPr>
        <w:t>50</w:t>
      </w:r>
      <w:r>
        <w:rPr>
          <w:noProof/>
        </w:rPr>
        <w:fldChar w:fldCharType="end"/>
      </w:r>
    </w:p>
    <w:p w14:paraId="3F83D721"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4.2</w:t>
      </w:r>
      <w:r>
        <w:rPr>
          <w:rFonts w:asciiTheme="minorHAnsi" w:eastAsiaTheme="minorEastAsia" w:hAnsiTheme="minorHAnsi" w:cstheme="minorBidi"/>
          <w:noProof/>
          <w:color w:val="auto"/>
          <w:sz w:val="22"/>
          <w:szCs w:val="22"/>
          <w:lang w:eastAsia="en-AU"/>
        </w:rPr>
        <w:tab/>
      </w:r>
      <w:r>
        <w:rPr>
          <w:noProof/>
        </w:rPr>
        <w:t>Methods used to begin searching for information on the internet in Transitioned ADF and 2015 Regular ADF</w:t>
      </w:r>
      <w:r>
        <w:rPr>
          <w:noProof/>
        </w:rPr>
        <w:tab/>
      </w:r>
      <w:r>
        <w:rPr>
          <w:noProof/>
        </w:rPr>
        <w:fldChar w:fldCharType="begin"/>
      </w:r>
      <w:r>
        <w:rPr>
          <w:noProof/>
        </w:rPr>
        <w:instrText xml:space="preserve"> PAGEREF _Toc531858074 \h </w:instrText>
      </w:r>
      <w:r>
        <w:rPr>
          <w:noProof/>
        </w:rPr>
      </w:r>
      <w:r>
        <w:rPr>
          <w:noProof/>
        </w:rPr>
        <w:fldChar w:fldCharType="separate"/>
      </w:r>
      <w:r>
        <w:rPr>
          <w:noProof/>
        </w:rPr>
        <w:t>51</w:t>
      </w:r>
      <w:r>
        <w:rPr>
          <w:noProof/>
        </w:rPr>
        <w:fldChar w:fldCharType="end"/>
      </w:r>
    </w:p>
    <w:p w14:paraId="3FE0D48C"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4.3</w:t>
      </w:r>
      <w:r>
        <w:rPr>
          <w:rFonts w:asciiTheme="minorHAnsi" w:eastAsiaTheme="minorEastAsia" w:hAnsiTheme="minorHAnsi" w:cstheme="minorBidi"/>
          <w:noProof/>
          <w:color w:val="auto"/>
          <w:sz w:val="22"/>
          <w:szCs w:val="22"/>
          <w:lang w:eastAsia="en-AU"/>
        </w:rPr>
        <w:tab/>
      </w:r>
      <w:r>
        <w:rPr>
          <w:noProof/>
        </w:rPr>
        <w:t>Duration of internet usage on a normal work day among Transitioned ADF and 2015 Regular ADF</w:t>
      </w:r>
      <w:r>
        <w:rPr>
          <w:noProof/>
        </w:rPr>
        <w:tab/>
      </w:r>
      <w:r>
        <w:rPr>
          <w:noProof/>
        </w:rPr>
        <w:fldChar w:fldCharType="begin"/>
      </w:r>
      <w:r>
        <w:rPr>
          <w:noProof/>
        </w:rPr>
        <w:instrText xml:space="preserve"> PAGEREF _Toc531858075 \h </w:instrText>
      </w:r>
      <w:r>
        <w:rPr>
          <w:noProof/>
        </w:rPr>
      </w:r>
      <w:r>
        <w:rPr>
          <w:noProof/>
        </w:rPr>
        <w:fldChar w:fldCharType="separate"/>
      </w:r>
      <w:r>
        <w:rPr>
          <w:noProof/>
        </w:rPr>
        <w:t>52</w:t>
      </w:r>
      <w:r>
        <w:rPr>
          <w:noProof/>
        </w:rPr>
        <w:fldChar w:fldCharType="end"/>
      </w:r>
    </w:p>
    <w:p w14:paraId="2F46C43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4.4</w:t>
      </w:r>
      <w:r>
        <w:rPr>
          <w:rFonts w:asciiTheme="minorHAnsi" w:eastAsiaTheme="minorEastAsia" w:hAnsiTheme="minorHAnsi" w:cstheme="minorBidi"/>
          <w:noProof/>
          <w:color w:val="auto"/>
          <w:sz w:val="22"/>
          <w:szCs w:val="22"/>
          <w:lang w:eastAsia="en-AU"/>
        </w:rPr>
        <w:tab/>
      </w:r>
      <w:r>
        <w:rPr>
          <w:noProof/>
        </w:rPr>
        <w:t>Estimated proportions of internet usage after 11 pm in Transitioned ADF and 2015 Regular ADF</w:t>
      </w:r>
      <w:r>
        <w:rPr>
          <w:noProof/>
        </w:rPr>
        <w:tab/>
      </w:r>
      <w:r>
        <w:rPr>
          <w:noProof/>
        </w:rPr>
        <w:fldChar w:fldCharType="begin"/>
      </w:r>
      <w:r>
        <w:rPr>
          <w:noProof/>
        </w:rPr>
        <w:instrText xml:space="preserve"> PAGEREF _Toc531858076 \h </w:instrText>
      </w:r>
      <w:r>
        <w:rPr>
          <w:noProof/>
        </w:rPr>
      </w:r>
      <w:r>
        <w:rPr>
          <w:noProof/>
        </w:rPr>
        <w:fldChar w:fldCharType="separate"/>
      </w:r>
      <w:r>
        <w:rPr>
          <w:noProof/>
        </w:rPr>
        <w:t>53</w:t>
      </w:r>
      <w:r>
        <w:rPr>
          <w:noProof/>
        </w:rPr>
        <w:fldChar w:fldCharType="end"/>
      </w:r>
    </w:p>
    <w:p w14:paraId="48E36001"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4.5</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reported that it was easier to be themselves online than when they were face to face with people</w:t>
      </w:r>
      <w:r>
        <w:rPr>
          <w:noProof/>
        </w:rPr>
        <w:tab/>
      </w:r>
      <w:r>
        <w:rPr>
          <w:noProof/>
        </w:rPr>
        <w:fldChar w:fldCharType="begin"/>
      </w:r>
      <w:r>
        <w:rPr>
          <w:noProof/>
        </w:rPr>
        <w:instrText xml:space="preserve"> PAGEREF _Toc531858077 \h </w:instrText>
      </w:r>
      <w:r>
        <w:rPr>
          <w:noProof/>
        </w:rPr>
      </w:r>
      <w:r>
        <w:rPr>
          <w:noProof/>
        </w:rPr>
        <w:fldChar w:fldCharType="separate"/>
      </w:r>
      <w:r>
        <w:rPr>
          <w:noProof/>
        </w:rPr>
        <w:t>54</w:t>
      </w:r>
      <w:r>
        <w:rPr>
          <w:noProof/>
        </w:rPr>
        <w:fldChar w:fldCharType="end"/>
      </w:r>
    </w:p>
    <w:p w14:paraId="55E6EC4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4.6</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they talked about different things with people online than when they were with people face to face</w:t>
      </w:r>
      <w:r>
        <w:rPr>
          <w:noProof/>
        </w:rPr>
        <w:tab/>
      </w:r>
      <w:r>
        <w:rPr>
          <w:noProof/>
        </w:rPr>
        <w:fldChar w:fldCharType="begin"/>
      </w:r>
      <w:r>
        <w:rPr>
          <w:noProof/>
        </w:rPr>
        <w:instrText xml:space="preserve"> PAGEREF _Toc531858078 \h </w:instrText>
      </w:r>
      <w:r>
        <w:rPr>
          <w:noProof/>
        </w:rPr>
      </w:r>
      <w:r>
        <w:rPr>
          <w:noProof/>
        </w:rPr>
        <w:fldChar w:fldCharType="separate"/>
      </w:r>
      <w:r>
        <w:rPr>
          <w:noProof/>
        </w:rPr>
        <w:t>55</w:t>
      </w:r>
      <w:r>
        <w:rPr>
          <w:noProof/>
        </w:rPr>
        <w:fldChar w:fldCharType="end"/>
      </w:r>
    </w:p>
    <w:p w14:paraId="1702C7B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4.7</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they talked about private things with people online which they did not share with people face to face</w:t>
      </w:r>
      <w:r>
        <w:rPr>
          <w:noProof/>
        </w:rPr>
        <w:tab/>
      </w:r>
      <w:r>
        <w:rPr>
          <w:noProof/>
        </w:rPr>
        <w:fldChar w:fldCharType="begin"/>
      </w:r>
      <w:r>
        <w:rPr>
          <w:noProof/>
        </w:rPr>
        <w:instrText xml:space="preserve"> PAGEREF _Toc531858079 \h </w:instrText>
      </w:r>
      <w:r>
        <w:rPr>
          <w:noProof/>
        </w:rPr>
      </w:r>
      <w:r>
        <w:rPr>
          <w:noProof/>
        </w:rPr>
        <w:fldChar w:fldCharType="separate"/>
      </w:r>
      <w:r>
        <w:rPr>
          <w:noProof/>
        </w:rPr>
        <w:t>56</w:t>
      </w:r>
      <w:r>
        <w:rPr>
          <w:noProof/>
        </w:rPr>
        <w:fldChar w:fldCharType="end"/>
      </w:r>
    </w:p>
    <w:p w14:paraId="60B59219"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4.8</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they went online more often on weekends than on a regular work day</w:t>
      </w:r>
      <w:r>
        <w:rPr>
          <w:noProof/>
        </w:rPr>
        <w:tab/>
      </w:r>
      <w:r>
        <w:rPr>
          <w:noProof/>
        </w:rPr>
        <w:fldChar w:fldCharType="begin"/>
      </w:r>
      <w:r>
        <w:rPr>
          <w:noProof/>
        </w:rPr>
        <w:instrText xml:space="preserve"> PAGEREF _Toc531858080 \h </w:instrText>
      </w:r>
      <w:r>
        <w:rPr>
          <w:noProof/>
        </w:rPr>
      </w:r>
      <w:r>
        <w:rPr>
          <w:noProof/>
        </w:rPr>
        <w:fldChar w:fldCharType="separate"/>
      </w:r>
      <w:r>
        <w:rPr>
          <w:noProof/>
        </w:rPr>
        <w:t>57</w:t>
      </w:r>
      <w:r>
        <w:rPr>
          <w:noProof/>
        </w:rPr>
        <w:fldChar w:fldCharType="end"/>
      </w:r>
    </w:p>
    <w:p w14:paraId="30B2AD4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4.9</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they went online more often when going through a difficult time</w:t>
      </w:r>
      <w:r>
        <w:rPr>
          <w:noProof/>
        </w:rPr>
        <w:tab/>
      </w:r>
      <w:r>
        <w:rPr>
          <w:noProof/>
        </w:rPr>
        <w:fldChar w:fldCharType="begin"/>
      </w:r>
      <w:r>
        <w:rPr>
          <w:noProof/>
        </w:rPr>
        <w:instrText xml:space="preserve"> PAGEREF _Toc531858081 \h </w:instrText>
      </w:r>
      <w:r>
        <w:rPr>
          <w:noProof/>
        </w:rPr>
      </w:r>
      <w:r>
        <w:rPr>
          <w:noProof/>
        </w:rPr>
        <w:fldChar w:fldCharType="separate"/>
      </w:r>
      <w:r>
        <w:rPr>
          <w:noProof/>
        </w:rPr>
        <w:t>58</w:t>
      </w:r>
      <w:r>
        <w:rPr>
          <w:noProof/>
        </w:rPr>
        <w:fldChar w:fldCharType="end"/>
      </w:r>
    </w:p>
    <w:p w14:paraId="51ADB78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4.10</w:t>
      </w:r>
      <w:r>
        <w:rPr>
          <w:rFonts w:asciiTheme="minorHAnsi" w:eastAsiaTheme="minorEastAsia" w:hAnsiTheme="minorHAnsi" w:cstheme="minorBidi"/>
          <w:noProof/>
          <w:color w:val="auto"/>
          <w:sz w:val="22"/>
          <w:szCs w:val="22"/>
          <w:lang w:eastAsia="en-AU"/>
        </w:rPr>
        <w:tab/>
      </w:r>
      <w:r>
        <w:rPr>
          <w:noProof/>
        </w:rPr>
        <w:t>Estimated proportion of Transitioned ADF and 2015 Regular ADF who indicated that when they were going through a difficult time, going online made them feel better</w:t>
      </w:r>
      <w:r>
        <w:rPr>
          <w:noProof/>
        </w:rPr>
        <w:tab/>
      </w:r>
      <w:r>
        <w:rPr>
          <w:noProof/>
        </w:rPr>
        <w:fldChar w:fldCharType="begin"/>
      </w:r>
      <w:r>
        <w:rPr>
          <w:noProof/>
        </w:rPr>
        <w:instrText xml:space="preserve"> PAGEREF _Toc531858082 \h </w:instrText>
      </w:r>
      <w:r>
        <w:rPr>
          <w:noProof/>
        </w:rPr>
      </w:r>
      <w:r>
        <w:rPr>
          <w:noProof/>
        </w:rPr>
        <w:fldChar w:fldCharType="separate"/>
      </w:r>
      <w:r>
        <w:rPr>
          <w:noProof/>
        </w:rPr>
        <w:t>59</w:t>
      </w:r>
      <w:r>
        <w:rPr>
          <w:noProof/>
        </w:rPr>
        <w:fldChar w:fldCharType="end"/>
      </w:r>
    </w:p>
    <w:p w14:paraId="1067C916"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5.1</w:t>
      </w:r>
      <w:r>
        <w:rPr>
          <w:rFonts w:asciiTheme="minorHAnsi" w:eastAsiaTheme="minorEastAsia" w:hAnsiTheme="minorHAnsi" w:cstheme="minorBidi"/>
          <w:noProof/>
          <w:color w:val="auto"/>
          <w:sz w:val="22"/>
          <w:szCs w:val="22"/>
          <w:lang w:eastAsia="en-AU"/>
        </w:rPr>
        <w:tab/>
      </w:r>
      <w:r>
        <w:rPr>
          <w:noProof/>
        </w:rPr>
        <w:t>Use of new and emerging technologies among Transitioned ADF and 2015 Regular ADF</w:t>
      </w:r>
      <w:r>
        <w:rPr>
          <w:noProof/>
        </w:rPr>
        <w:tab/>
      </w:r>
      <w:r>
        <w:rPr>
          <w:noProof/>
        </w:rPr>
        <w:fldChar w:fldCharType="begin"/>
      </w:r>
      <w:r>
        <w:rPr>
          <w:noProof/>
        </w:rPr>
        <w:instrText xml:space="preserve"> PAGEREF _Toc531858083 \h </w:instrText>
      </w:r>
      <w:r>
        <w:rPr>
          <w:noProof/>
        </w:rPr>
      </w:r>
      <w:r>
        <w:rPr>
          <w:noProof/>
        </w:rPr>
        <w:fldChar w:fldCharType="separate"/>
      </w:r>
      <w:r>
        <w:rPr>
          <w:noProof/>
        </w:rPr>
        <w:t>68</w:t>
      </w:r>
      <w:r>
        <w:rPr>
          <w:noProof/>
        </w:rPr>
        <w:fldChar w:fldCharType="end"/>
      </w:r>
    </w:p>
    <w:p w14:paraId="789A063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5.2</w:t>
      </w:r>
      <w:r>
        <w:rPr>
          <w:rFonts w:asciiTheme="minorHAnsi" w:eastAsiaTheme="minorEastAsia" w:hAnsiTheme="minorHAnsi" w:cstheme="minorBidi"/>
          <w:noProof/>
          <w:color w:val="auto"/>
          <w:sz w:val="22"/>
          <w:szCs w:val="22"/>
          <w:lang w:eastAsia="en-AU"/>
        </w:rPr>
        <w:tab/>
      </w:r>
      <w:r>
        <w:rPr>
          <w:noProof/>
        </w:rPr>
        <w:t>Types of technologies used by Transitioned ADF and 2015 Regular ADF who reported that they used new and emerging technologies</w:t>
      </w:r>
      <w:r>
        <w:rPr>
          <w:noProof/>
        </w:rPr>
        <w:tab/>
      </w:r>
      <w:r>
        <w:rPr>
          <w:noProof/>
        </w:rPr>
        <w:fldChar w:fldCharType="begin"/>
      </w:r>
      <w:r>
        <w:rPr>
          <w:noProof/>
        </w:rPr>
        <w:instrText xml:space="preserve"> PAGEREF _Toc531858084 \h </w:instrText>
      </w:r>
      <w:r>
        <w:rPr>
          <w:noProof/>
        </w:rPr>
      </w:r>
      <w:r>
        <w:rPr>
          <w:noProof/>
        </w:rPr>
        <w:fldChar w:fldCharType="separate"/>
      </w:r>
      <w:r>
        <w:rPr>
          <w:noProof/>
        </w:rPr>
        <w:t>69</w:t>
      </w:r>
      <w:r>
        <w:rPr>
          <w:noProof/>
        </w:rPr>
        <w:fldChar w:fldCharType="end"/>
      </w:r>
    </w:p>
    <w:p w14:paraId="47EC5E4A"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5.3</w:t>
      </w:r>
      <w:r>
        <w:rPr>
          <w:rFonts w:asciiTheme="minorHAnsi" w:eastAsiaTheme="minorEastAsia" w:hAnsiTheme="minorHAnsi" w:cstheme="minorBidi"/>
          <w:noProof/>
          <w:color w:val="auto"/>
          <w:sz w:val="22"/>
          <w:szCs w:val="22"/>
          <w:lang w:eastAsia="en-AU"/>
        </w:rPr>
        <w:tab/>
      </w:r>
      <w:r>
        <w:rPr>
          <w:noProof/>
        </w:rPr>
        <w:t xml:space="preserve">Barriers to using new and emerging technologies in Transitioned ADF and 2015 Regular ADF </w:t>
      </w:r>
      <w:r w:rsidRPr="0023344D">
        <w:rPr>
          <w:rFonts w:eastAsia="Calibri"/>
          <w:noProof/>
        </w:rPr>
        <w:t>among those who reported that they did not use new and emerging technologies</w:t>
      </w:r>
      <w:r>
        <w:rPr>
          <w:noProof/>
        </w:rPr>
        <w:tab/>
      </w:r>
      <w:r>
        <w:rPr>
          <w:noProof/>
        </w:rPr>
        <w:fldChar w:fldCharType="begin"/>
      </w:r>
      <w:r>
        <w:rPr>
          <w:noProof/>
        </w:rPr>
        <w:instrText xml:space="preserve"> PAGEREF _Toc531858085 \h </w:instrText>
      </w:r>
      <w:r>
        <w:rPr>
          <w:noProof/>
        </w:rPr>
      </w:r>
      <w:r>
        <w:rPr>
          <w:noProof/>
        </w:rPr>
        <w:fldChar w:fldCharType="separate"/>
      </w:r>
      <w:r>
        <w:rPr>
          <w:noProof/>
        </w:rPr>
        <w:t>70</w:t>
      </w:r>
      <w:r>
        <w:rPr>
          <w:noProof/>
        </w:rPr>
        <w:fldChar w:fldCharType="end"/>
      </w:r>
    </w:p>
    <w:p w14:paraId="51EA2AA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5.4</w:t>
      </w:r>
      <w:r>
        <w:rPr>
          <w:rFonts w:asciiTheme="minorHAnsi" w:eastAsiaTheme="minorEastAsia" w:hAnsiTheme="minorHAnsi" w:cstheme="minorBidi"/>
          <w:noProof/>
          <w:color w:val="auto"/>
          <w:sz w:val="22"/>
          <w:szCs w:val="22"/>
          <w:lang w:eastAsia="en-AU"/>
        </w:rPr>
        <w:tab/>
      </w:r>
      <w:r>
        <w:rPr>
          <w:noProof/>
        </w:rPr>
        <w:t>Desired new and emerging technologies in Transitioned ADF and 2015 Regular ADF</w:t>
      </w:r>
      <w:r>
        <w:rPr>
          <w:noProof/>
        </w:rPr>
        <w:tab/>
      </w:r>
      <w:r>
        <w:rPr>
          <w:noProof/>
        </w:rPr>
        <w:fldChar w:fldCharType="begin"/>
      </w:r>
      <w:r>
        <w:rPr>
          <w:noProof/>
        </w:rPr>
        <w:instrText xml:space="preserve"> PAGEREF _Toc531858086 \h </w:instrText>
      </w:r>
      <w:r>
        <w:rPr>
          <w:noProof/>
        </w:rPr>
      </w:r>
      <w:r>
        <w:rPr>
          <w:noProof/>
        </w:rPr>
        <w:fldChar w:fldCharType="separate"/>
      </w:r>
      <w:r>
        <w:rPr>
          <w:noProof/>
        </w:rPr>
        <w:t>71</w:t>
      </w:r>
      <w:r>
        <w:rPr>
          <w:noProof/>
        </w:rPr>
        <w:fldChar w:fldCharType="end"/>
      </w:r>
    </w:p>
    <w:p w14:paraId="1F73267B"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5.5</w:t>
      </w:r>
      <w:r>
        <w:rPr>
          <w:rFonts w:asciiTheme="minorHAnsi" w:eastAsiaTheme="minorEastAsia" w:hAnsiTheme="minorHAnsi" w:cstheme="minorBidi"/>
          <w:noProof/>
          <w:color w:val="auto"/>
          <w:sz w:val="22"/>
          <w:szCs w:val="22"/>
          <w:lang w:eastAsia="en-AU"/>
        </w:rPr>
        <w:tab/>
      </w:r>
      <w:r>
        <w:rPr>
          <w:noProof/>
        </w:rPr>
        <w:t>Best time to purchase new and emerging technologies among Transitioned ADF and 2015 Regular ADF</w:t>
      </w:r>
      <w:r>
        <w:rPr>
          <w:noProof/>
        </w:rPr>
        <w:tab/>
      </w:r>
      <w:r>
        <w:rPr>
          <w:noProof/>
        </w:rPr>
        <w:fldChar w:fldCharType="begin"/>
      </w:r>
      <w:r>
        <w:rPr>
          <w:noProof/>
        </w:rPr>
        <w:instrText xml:space="preserve"> PAGEREF _Toc531858087 \h </w:instrText>
      </w:r>
      <w:r>
        <w:rPr>
          <w:noProof/>
        </w:rPr>
      </w:r>
      <w:r>
        <w:rPr>
          <w:noProof/>
        </w:rPr>
        <w:fldChar w:fldCharType="separate"/>
      </w:r>
      <w:r>
        <w:rPr>
          <w:noProof/>
        </w:rPr>
        <w:t>73</w:t>
      </w:r>
      <w:r>
        <w:rPr>
          <w:noProof/>
        </w:rPr>
        <w:fldChar w:fldCharType="end"/>
      </w:r>
    </w:p>
    <w:p w14:paraId="1F98000C"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5.6</w:t>
      </w:r>
      <w:r>
        <w:rPr>
          <w:rFonts w:asciiTheme="minorHAnsi" w:eastAsiaTheme="minorEastAsia" w:hAnsiTheme="minorHAnsi" w:cstheme="minorBidi"/>
          <w:noProof/>
          <w:color w:val="auto"/>
          <w:sz w:val="22"/>
          <w:szCs w:val="22"/>
          <w:lang w:eastAsia="en-AU"/>
        </w:rPr>
        <w:tab/>
      </w:r>
      <w:r>
        <w:rPr>
          <w:noProof/>
        </w:rPr>
        <w:t>Use of new or emerging technologies to improve health and wellbeing among Transitioned ADF and 2015 Regular ADF who currently used new or emerging technologies</w:t>
      </w:r>
      <w:r>
        <w:rPr>
          <w:noProof/>
        </w:rPr>
        <w:tab/>
      </w:r>
      <w:r>
        <w:rPr>
          <w:noProof/>
        </w:rPr>
        <w:fldChar w:fldCharType="begin"/>
      </w:r>
      <w:r>
        <w:rPr>
          <w:noProof/>
        </w:rPr>
        <w:instrText xml:space="preserve"> PAGEREF _Toc531858088 \h </w:instrText>
      </w:r>
      <w:r>
        <w:rPr>
          <w:noProof/>
        </w:rPr>
      </w:r>
      <w:r>
        <w:rPr>
          <w:noProof/>
        </w:rPr>
        <w:fldChar w:fldCharType="separate"/>
      </w:r>
      <w:r>
        <w:rPr>
          <w:noProof/>
        </w:rPr>
        <w:t>74</w:t>
      </w:r>
      <w:r>
        <w:rPr>
          <w:noProof/>
        </w:rPr>
        <w:fldChar w:fldCharType="end"/>
      </w:r>
    </w:p>
    <w:p w14:paraId="25468B27"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5.7</w:t>
      </w:r>
      <w:r>
        <w:rPr>
          <w:rFonts w:asciiTheme="minorHAnsi" w:eastAsiaTheme="minorEastAsia" w:hAnsiTheme="minorHAnsi" w:cstheme="minorBidi"/>
          <w:noProof/>
          <w:color w:val="auto"/>
          <w:sz w:val="22"/>
          <w:szCs w:val="22"/>
          <w:lang w:eastAsia="en-AU"/>
        </w:rPr>
        <w:tab/>
      </w:r>
      <w:r>
        <w:rPr>
          <w:noProof/>
        </w:rPr>
        <w:t>The ways in which emerging technologies are used to improve health and wellbeing among Transitioned ADF and 2015 Regular ADF</w:t>
      </w:r>
      <w:r>
        <w:rPr>
          <w:noProof/>
        </w:rPr>
        <w:tab/>
      </w:r>
      <w:r>
        <w:rPr>
          <w:noProof/>
        </w:rPr>
        <w:fldChar w:fldCharType="begin"/>
      </w:r>
      <w:r>
        <w:rPr>
          <w:noProof/>
        </w:rPr>
        <w:instrText xml:space="preserve"> PAGEREF _Toc531858089 \h </w:instrText>
      </w:r>
      <w:r>
        <w:rPr>
          <w:noProof/>
        </w:rPr>
      </w:r>
      <w:r>
        <w:rPr>
          <w:noProof/>
        </w:rPr>
        <w:fldChar w:fldCharType="separate"/>
      </w:r>
      <w:r>
        <w:rPr>
          <w:noProof/>
        </w:rPr>
        <w:t>75</w:t>
      </w:r>
      <w:r>
        <w:rPr>
          <w:noProof/>
        </w:rPr>
        <w:fldChar w:fldCharType="end"/>
      </w:r>
    </w:p>
    <w:p w14:paraId="1E5512E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5.8</w:t>
      </w:r>
      <w:r>
        <w:rPr>
          <w:rFonts w:asciiTheme="minorHAnsi" w:eastAsiaTheme="minorEastAsia" w:hAnsiTheme="minorHAnsi" w:cstheme="minorBidi"/>
          <w:noProof/>
          <w:color w:val="auto"/>
          <w:sz w:val="22"/>
          <w:szCs w:val="22"/>
          <w:lang w:eastAsia="en-AU"/>
        </w:rPr>
        <w:tab/>
      </w:r>
      <w:r>
        <w:rPr>
          <w:noProof/>
        </w:rPr>
        <w:t>Other reasons for using new and emerging technologies among Transitioned ADF and 2015 Regular ADF, among those who currently used emerging technologies, but not for health and wellbeing</w:t>
      </w:r>
      <w:r>
        <w:rPr>
          <w:noProof/>
        </w:rPr>
        <w:tab/>
      </w:r>
      <w:r>
        <w:rPr>
          <w:noProof/>
        </w:rPr>
        <w:fldChar w:fldCharType="begin"/>
      </w:r>
      <w:r>
        <w:rPr>
          <w:noProof/>
        </w:rPr>
        <w:instrText xml:space="preserve"> PAGEREF _Toc531858090 \h </w:instrText>
      </w:r>
      <w:r>
        <w:rPr>
          <w:noProof/>
        </w:rPr>
      </w:r>
      <w:r>
        <w:rPr>
          <w:noProof/>
        </w:rPr>
        <w:fldChar w:fldCharType="separate"/>
      </w:r>
      <w:r>
        <w:rPr>
          <w:noProof/>
        </w:rPr>
        <w:t>76</w:t>
      </w:r>
      <w:r>
        <w:rPr>
          <w:noProof/>
        </w:rPr>
        <w:fldChar w:fldCharType="end"/>
      </w:r>
    </w:p>
    <w:p w14:paraId="40C25F63"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6.1</w:t>
      </w:r>
      <w:r>
        <w:rPr>
          <w:rFonts w:asciiTheme="minorHAnsi" w:eastAsiaTheme="minorEastAsia" w:hAnsiTheme="minorHAnsi" w:cstheme="minorBidi"/>
          <w:noProof/>
          <w:color w:val="auto"/>
          <w:sz w:val="22"/>
          <w:szCs w:val="22"/>
          <w:lang w:eastAsia="en-AU"/>
        </w:rPr>
        <w:tab/>
      </w:r>
      <w:r>
        <w:rPr>
          <w:noProof/>
        </w:rPr>
        <w:t>Use of the internet for seeking help or information, or for managing mental health issues among Transitioned ADF and 2015 Regular ADF</w:t>
      </w:r>
      <w:r>
        <w:rPr>
          <w:noProof/>
        </w:rPr>
        <w:tab/>
      </w:r>
      <w:r>
        <w:rPr>
          <w:noProof/>
        </w:rPr>
        <w:fldChar w:fldCharType="begin"/>
      </w:r>
      <w:r>
        <w:rPr>
          <w:noProof/>
        </w:rPr>
        <w:instrText xml:space="preserve"> PAGEREF _Toc531858091 \h </w:instrText>
      </w:r>
      <w:r>
        <w:rPr>
          <w:noProof/>
        </w:rPr>
      </w:r>
      <w:r>
        <w:rPr>
          <w:noProof/>
        </w:rPr>
        <w:fldChar w:fldCharType="separate"/>
      </w:r>
      <w:r>
        <w:rPr>
          <w:noProof/>
        </w:rPr>
        <w:t>83</w:t>
      </w:r>
      <w:r>
        <w:rPr>
          <w:noProof/>
        </w:rPr>
        <w:fldChar w:fldCharType="end"/>
      </w:r>
    </w:p>
    <w:p w14:paraId="7BD23965"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6.2</w:t>
      </w:r>
      <w:r>
        <w:rPr>
          <w:rFonts w:asciiTheme="minorHAnsi" w:eastAsiaTheme="minorEastAsia" w:hAnsiTheme="minorHAnsi" w:cstheme="minorBidi"/>
          <w:noProof/>
          <w:color w:val="auto"/>
          <w:sz w:val="22"/>
          <w:szCs w:val="22"/>
          <w:lang w:eastAsia="en-AU"/>
        </w:rPr>
        <w:tab/>
      </w:r>
      <w:r>
        <w:rPr>
          <w:noProof/>
        </w:rPr>
        <w:t>Suitability of information received from the internet about mental health among Transitioned ADF and 2015 Regular ADF who reported that they used the internet to seek help or information or manage mental health issues</w:t>
      </w:r>
      <w:r>
        <w:rPr>
          <w:noProof/>
        </w:rPr>
        <w:tab/>
      </w:r>
      <w:r>
        <w:rPr>
          <w:noProof/>
        </w:rPr>
        <w:fldChar w:fldCharType="begin"/>
      </w:r>
      <w:r>
        <w:rPr>
          <w:noProof/>
        </w:rPr>
        <w:instrText xml:space="preserve"> PAGEREF _Toc531858092 \h </w:instrText>
      </w:r>
      <w:r>
        <w:rPr>
          <w:noProof/>
        </w:rPr>
      </w:r>
      <w:r>
        <w:rPr>
          <w:noProof/>
        </w:rPr>
        <w:fldChar w:fldCharType="separate"/>
      </w:r>
      <w:r>
        <w:rPr>
          <w:noProof/>
        </w:rPr>
        <w:t>87</w:t>
      </w:r>
      <w:r>
        <w:rPr>
          <w:noProof/>
        </w:rPr>
        <w:fldChar w:fldCharType="end"/>
      </w:r>
    </w:p>
    <w:p w14:paraId="4AF0CF20"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6.3</w:t>
      </w:r>
      <w:r>
        <w:rPr>
          <w:rFonts w:asciiTheme="minorHAnsi" w:eastAsiaTheme="minorEastAsia" w:hAnsiTheme="minorHAnsi" w:cstheme="minorBidi"/>
          <w:noProof/>
          <w:color w:val="auto"/>
          <w:sz w:val="22"/>
          <w:szCs w:val="22"/>
          <w:lang w:eastAsia="en-AU"/>
        </w:rPr>
        <w:tab/>
      </w:r>
      <w:r>
        <w:rPr>
          <w:noProof/>
        </w:rPr>
        <w:t>Usefulness of the internet in helping to deal more effectively with mental health issues among Transitioned ADF and 2015 Regular ADF who reported that they used the internet to seek help or information or manage mental health issues</w:t>
      </w:r>
      <w:r>
        <w:rPr>
          <w:noProof/>
        </w:rPr>
        <w:tab/>
      </w:r>
      <w:r>
        <w:rPr>
          <w:noProof/>
        </w:rPr>
        <w:fldChar w:fldCharType="begin"/>
      </w:r>
      <w:r>
        <w:rPr>
          <w:noProof/>
        </w:rPr>
        <w:instrText xml:space="preserve"> PAGEREF _Toc531858093 \h </w:instrText>
      </w:r>
      <w:r>
        <w:rPr>
          <w:noProof/>
        </w:rPr>
      </w:r>
      <w:r>
        <w:rPr>
          <w:noProof/>
        </w:rPr>
        <w:fldChar w:fldCharType="separate"/>
      </w:r>
      <w:r>
        <w:rPr>
          <w:noProof/>
        </w:rPr>
        <w:t>90</w:t>
      </w:r>
      <w:r>
        <w:rPr>
          <w:noProof/>
        </w:rPr>
        <w:fldChar w:fldCharType="end"/>
      </w:r>
    </w:p>
    <w:p w14:paraId="1346ECF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6.4</w:t>
      </w:r>
      <w:r>
        <w:rPr>
          <w:rFonts w:asciiTheme="minorHAnsi" w:eastAsiaTheme="minorEastAsia" w:hAnsiTheme="minorHAnsi" w:cstheme="minorBidi"/>
          <w:noProof/>
          <w:color w:val="auto"/>
          <w:sz w:val="22"/>
          <w:szCs w:val="22"/>
          <w:lang w:eastAsia="en-AU"/>
        </w:rPr>
        <w:tab/>
      </w:r>
      <w:r>
        <w:rPr>
          <w:noProof/>
        </w:rPr>
        <w:t>Satisfaction with mental health information available on the internet among Transitioned ADF and 2015 Regular ADF who reported that they used the internet to seek help or information or manage mental health issues</w:t>
      </w:r>
      <w:r>
        <w:rPr>
          <w:noProof/>
        </w:rPr>
        <w:tab/>
      </w:r>
      <w:r>
        <w:rPr>
          <w:noProof/>
        </w:rPr>
        <w:fldChar w:fldCharType="begin"/>
      </w:r>
      <w:r>
        <w:rPr>
          <w:noProof/>
        </w:rPr>
        <w:instrText xml:space="preserve"> PAGEREF _Toc531858094 \h </w:instrText>
      </w:r>
      <w:r>
        <w:rPr>
          <w:noProof/>
        </w:rPr>
      </w:r>
      <w:r>
        <w:rPr>
          <w:noProof/>
        </w:rPr>
        <w:fldChar w:fldCharType="separate"/>
      </w:r>
      <w:r>
        <w:rPr>
          <w:noProof/>
        </w:rPr>
        <w:t>94</w:t>
      </w:r>
      <w:r>
        <w:rPr>
          <w:noProof/>
        </w:rPr>
        <w:fldChar w:fldCharType="end"/>
      </w:r>
    </w:p>
    <w:p w14:paraId="22FEBB7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7.1</w:t>
      </w:r>
      <w:r>
        <w:rPr>
          <w:rFonts w:asciiTheme="minorHAnsi" w:eastAsiaTheme="minorEastAsia" w:hAnsiTheme="minorHAnsi" w:cstheme="minorBidi"/>
          <w:noProof/>
          <w:color w:val="auto"/>
          <w:sz w:val="22"/>
          <w:szCs w:val="22"/>
          <w:lang w:eastAsia="en-AU"/>
        </w:rPr>
        <w:tab/>
      </w:r>
      <w:r>
        <w:rPr>
          <w:noProof/>
        </w:rPr>
        <w:t>Estimated frequency of internet use to seek help or access information about one’s own mental health among Transitioned ADF and 2015 Regular ADF who reported using the internet to seek help or information for or manage mental health issues</w:t>
      </w:r>
      <w:r>
        <w:rPr>
          <w:noProof/>
        </w:rPr>
        <w:tab/>
      </w:r>
      <w:r>
        <w:rPr>
          <w:noProof/>
        </w:rPr>
        <w:fldChar w:fldCharType="begin"/>
      </w:r>
      <w:r>
        <w:rPr>
          <w:noProof/>
        </w:rPr>
        <w:instrText xml:space="preserve"> PAGEREF _Toc531858095 \h </w:instrText>
      </w:r>
      <w:r>
        <w:rPr>
          <w:noProof/>
        </w:rPr>
      </w:r>
      <w:r>
        <w:rPr>
          <w:noProof/>
        </w:rPr>
        <w:fldChar w:fldCharType="separate"/>
      </w:r>
      <w:r>
        <w:rPr>
          <w:noProof/>
        </w:rPr>
        <w:t>99</w:t>
      </w:r>
      <w:r>
        <w:rPr>
          <w:noProof/>
        </w:rPr>
        <w:fldChar w:fldCharType="end"/>
      </w:r>
    </w:p>
    <w:p w14:paraId="216AB35A"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7.2</w:t>
      </w:r>
      <w:r>
        <w:rPr>
          <w:rFonts w:asciiTheme="minorHAnsi" w:eastAsiaTheme="minorEastAsia" w:hAnsiTheme="minorHAnsi" w:cstheme="minorBidi"/>
          <w:noProof/>
          <w:color w:val="auto"/>
          <w:sz w:val="22"/>
          <w:szCs w:val="22"/>
          <w:lang w:eastAsia="en-AU"/>
        </w:rPr>
        <w:tab/>
      </w:r>
      <w:r>
        <w:rPr>
          <w:noProof/>
        </w:rPr>
        <w:t xml:space="preserve">Timing of internet use to seek help or access information about mental health among Transitioned ADF and 2015 Regular ADF who </w:t>
      </w:r>
      <w:r w:rsidRPr="0023344D">
        <w:rPr>
          <w:rFonts w:cs="Arial"/>
          <w:noProof/>
        </w:rPr>
        <w:t>reported using the internet to seek help or information for or manage mental health issues</w:t>
      </w:r>
      <w:r>
        <w:rPr>
          <w:noProof/>
        </w:rPr>
        <w:tab/>
      </w:r>
      <w:r>
        <w:rPr>
          <w:noProof/>
        </w:rPr>
        <w:fldChar w:fldCharType="begin"/>
      </w:r>
      <w:r>
        <w:rPr>
          <w:noProof/>
        </w:rPr>
        <w:instrText xml:space="preserve"> PAGEREF _Toc531858096 \h </w:instrText>
      </w:r>
      <w:r>
        <w:rPr>
          <w:noProof/>
        </w:rPr>
      </w:r>
      <w:r>
        <w:rPr>
          <w:noProof/>
        </w:rPr>
        <w:fldChar w:fldCharType="separate"/>
      </w:r>
      <w:r>
        <w:rPr>
          <w:noProof/>
        </w:rPr>
        <w:t>104</w:t>
      </w:r>
      <w:r>
        <w:rPr>
          <w:noProof/>
        </w:rPr>
        <w:fldChar w:fldCharType="end"/>
      </w:r>
    </w:p>
    <w:p w14:paraId="156F457C"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7.3</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peers, family members or friends among Transitioned ADF and 2015 Regular ADF who </w:t>
      </w:r>
      <w:r w:rsidRPr="0023344D">
        <w:rPr>
          <w:rFonts w:cs="Arial"/>
          <w:noProof/>
        </w:rPr>
        <w:t>reported using the internet to seek help or information for or manage mental health issues</w:t>
      </w:r>
      <w:r>
        <w:rPr>
          <w:noProof/>
        </w:rPr>
        <w:tab/>
      </w:r>
      <w:r>
        <w:rPr>
          <w:noProof/>
        </w:rPr>
        <w:fldChar w:fldCharType="begin"/>
      </w:r>
      <w:r>
        <w:rPr>
          <w:noProof/>
        </w:rPr>
        <w:instrText xml:space="preserve"> PAGEREF _Toc531858097 \h </w:instrText>
      </w:r>
      <w:r>
        <w:rPr>
          <w:noProof/>
        </w:rPr>
      </w:r>
      <w:r>
        <w:rPr>
          <w:noProof/>
        </w:rPr>
        <w:fldChar w:fldCharType="separate"/>
      </w:r>
      <w:r>
        <w:rPr>
          <w:noProof/>
        </w:rPr>
        <w:t>107</w:t>
      </w:r>
      <w:r>
        <w:rPr>
          <w:noProof/>
        </w:rPr>
        <w:fldChar w:fldCharType="end"/>
      </w:r>
    </w:p>
    <w:p w14:paraId="68C96BF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7.4</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other people (e.g. online forums, chatrooms, blogs, MSN or Gmail messenger) among Transitioned ADF and 2015 Regular ADF who </w:t>
      </w:r>
      <w:r w:rsidRPr="0023344D">
        <w:rPr>
          <w:rFonts w:cs="Arial"/>
          <w:noProof/>
        </w:rPr>
        <w:t>reported using the internet to seek help or information for or manage mental health issues</w:t>
      </w:r>
      <w:r>
        <w:rPr>
          <w:noProof/>
        </w:rPr>
        <w:tab/>
      </w:r>
      <w:r>
        <w:rPr>
          <w:noProof/>
        </w:rPr>
        <w:fldChar w:fldCharType="begin"/>
      </w:r>
      <w:r>
        <w:rPr>
          <w:noProof/>
        </w:rPr>
        <w:instrText xml:space="preserve"> PAGEREF _Toc531858098 \h </w:instrText>
      </w:r>
      <w:r>
        <w:rPr>
          <w:noProof/>
        </w:rPr>
      </w:r>
      <w:r>
        <w:rPr>
          <w:noProof/>
        </w:rPr>
        <w:fldChar w:fldCharType="separate"/>
      </w:r>
      <w:r>
        <w:rPr>
          <w:noProof/>
        </w:rPr>
        <w:t>110</w:t>
      </w:r>
      <w:r>
        <w:rPr>
          <w:noProof/>
        </w:rPr>
        <w:fldChar w:fldCharType="end"/>
      </w:r>
    </w:p>
    <w:p w14:paraId="123F5B8A"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7.5</w:t>
      </w:r>
      <w:r>
        <w:rPr>
          <w:rFonts w:asciiTheme="minorHAnsi" w:eastAsiaTheme="minorEastAsia" w:hAnsiTheme="minorHAnsi" w:cstheme="minorBidi"/>
          <w:noProof/>
          <w:color w:val="auto"/>
          <w:sz w:val="22"/>
          <w:szCs w:val="22"/>
          <w:lang w:eastAsia="en-AU"/>
        </w:rPr>
        <w:tab/>
      </w:r>
      <w:r>
        <w:rPr>
          <w:noProof/>
        </w:rPr>
        <w:t xml:space="preserve">Talking about one’s own mental health on the internet with a psychologist or other mental health professional among Transitioned ADF and 2015 Regular ADF who </w:t>
      </w:r>
      <w:r w:rsidRPr="0023344D">
        <w:rPr>
          <w:rFonts w:cs="Arial"/>
          <w:noProof/>
        </w:rPr>
        <w:t>reported using the internet to seek help or information for or manage mental health issues</w:t>
      </w:r>
      <w:r>
        <w:rPr>
          <w:noProof/>
        </w:rPr>
        <w:tab/>
      </w:r>
      <w:r>
        <w:rPr>
          <w:noProof/>
        </w:rPr>
        <w:fldChar w:fldCharType="begin"/>
      </w:r>
      <w:r>
        <w:rPr>
          <w:noProof/>
        </w:rPr>
        <w:instrText xml:space="preserve"> PAGEREF _Toc531858099 \h </w:instrText>
      </w:r>
      <w:r>
        <w:rPr>
          <w:noProof/>
        </w:rPr>
      </w:r>
      <w:r>
        <w:rPr>
          <w:noProof/>
        </w:rPr>
        <w:fldChar w:fldCharType="separate"/>
      </w:r>
      <w:r>
        <w:rPr>
          <w:noProof/>
        </w:rPr>
        <w:t>113</w:t>
      </w:r>
      <w:r>
        <w:rPr>
          <w:noProof/>
        </w:rPr>
        <w:fldChar w:fldCharType="end"/>
      </w:r>
    </w:p>
    <w:p w14:paraId="23A78631"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8.1</w:t>
      </w:r>
      <w:r>
        <w:rPr>
          <w:rFonts w:asciiTheme="minorHAnsi" w:eastAsiaTheme="minorEastAsia" w:hAnsiTheme="minorHAnsi" w:cstheme="minorBidi"/>
          <w:noProof/>
          <w:color w:val="auto"/>
          <w:sz w:val="22"/>
          <w:szCs w:val="22"/>
          <w:lang w:eastAsia="en-AU"/>
        </w:rPr>
        <w:tab/>
      </w:r>
      <w:r>
        <w:rPr>
          <w:noProof/>
        </w:rPr>
        <w:t xml:space="preserve">Barriers preventing Transitioned ADF and the 2015 Regular ADF from talking about their mental health issues online among those who </w:t>
      </w:r>
      <w:r w:rsidRPr="0023344D">
        <w:rPr>
          <w:rFonts w:cs="Arial"/>
          <w:noProof/>
        </w:rPr>
        <w:t>reported using the internet to seek help or information for or manage mental health issues</w:t>
      </w:r>
      <w:r w:rsidRPr="0023344D">
        <w:rPr>
          <w:rFonts w:cs="Calibri"/>
          <w:noProof/>
        </w:rPr>
        <w:t xml:space="preserve"> but reported</w:t>
      </w:r>
      <w:r>
        <w:rPr>
          <w:noProof/>
        </w:rPr>
        <w:t xml:space="preserve"> they did NOT talk to someone online about their own mental health</w:t>
      </w:r>
      <w:r>
        <w:rPr>
          <w:noProof/>
        </w:rPr>
        <w:tab/>
      </w:r>
      <w:r>
        <w:rPr>
          <w:noProof/>
        </w:rPr>
        <w:fldChar w:fldCharType="begin"/>
      </w:r>
      <w:r>
        <w:rPr>
          <w:noProof/>
        </w:rPr>
        <w:instrText xml:space="preserve"> PAGEREF _Toc531858100 \h </w:instrText>
      </w:r>
      <w:r>
        <w:rPr>
          <w:noProof/>
        </w:rPr>
      </w:r>
      <w:r>
        <w:rPr>
          <w:noProof/>
        </w:rPr>
        <w:fldChar w:fldCharType="separate"/>
      </w:r>
      <w:r>
        <w:rPr>
          <w:noProof/>
        </w:rPr>
        <w:t>117</w:t>
      </w:r>
      <w:r>
        <w:rPr>
          <w:noProof/>
        </w:rPr>
        <w:fldChar w:fldCharType="end"/>
      </w:r>
    </w:p>
    <w:p w14:paraId="6CD3BD1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10.1</w:t>
      </w:r>
      <w:r>
        <w:rPr>
          <w:rFonts w:asciiTheme="minorHAnsi" w:eastAsiaTheme="minorEastAsia" w:hAnsiTheme="minorHAnsi" w:cstheme="minorBidi"/>
          <w:noProof/>
          <w:color w:val="auto"/>
          <w:sz w:val="22"/>
          <w:szCs w:val="22"/>
          <w:lang w:eastAsia="en-AU"/>
        </w:rPr>
        <w:tab/>
      </w:r>
      <w:r>
        <w:rPr>
          <w:noProof/>
        </w:rPr>
        <w:t>Frequency of internet use in Transitioned ADF (aged 18–25) compared to the Young and Well cohort</w:t>
      </w:r>
      <w:r>
        <w:rPr>
          <w:noProof/>
        </w:rPr>
        <w:tab/>
      </w:r>
      <w:r>
        <w:rPr>
          <w:noProof/>
        </w:rPr>
        <w:fldChar w:fldCharType="begin"/>
      </w:r>
      <w:r>
        <w:rPr>
          <w:noProof/>
        </w:rPr>
        <w:instrText xml:space="preserve"> PAGEREF _Toc531858101 \h </w:instrText>
      </w:r>
      <w:r>
        <w:rPr>
          <w:noProof/>
        </w:rPr>
      </w:r>
      <w:r>
        <w:rPr>
          <w:noProof/>
        </w:rPr>
        <w:fldChar w:fldCharType="separate"/>
      </w:r>
      <w:r>
        <w:rPr>
          <w:noProof/>
        </w:rPr>
        <w:t>165</w:t>
      </w:r>
      <w:r>
        <w:rPr>
          <w:noProof/>
        </w:rPr>
        <w:fldChar w:fldCharType="end"/>
      </w:r>
    </w:p>
    <w:p w14:paraId="120A43D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10.2</w:t>
      </w:r>
      <w:r>
        <w:rPr>
          <w:rFonts w:asciiTheme="minorHAnsi" w:eastAsiaTheme="minorEastAsia" w:hAnsiTheme="minorHAnsi" w:cstheme="minorBidi"/>
          <w:noProof/>
          <w:color w:val="auto"/>
          <w:sz w:val="22"/>
          <w:szCs w:val="22"/>
          <w:lang w:eastAsia="en-AU"/>
        </w:rPr>
        <w:tab/>
      </w:r>
      <w:r>
        <w:rPr>
          <w:noProof/>
        </w:rPr>
        <w:t>Time spent using the internet on a normal work/week day in Transitioned ADF (aged 18–25) compared to the Young and Well cohort</w:t>
      </w:r>
      <w:r>
        <w:rPr>
          <w:noProof/>
        </w:rPr>
        <w:tab/>
      </w:r>
      <w:r>
        <w:rPr>
          <w:noProof/>
        </w:rPr>
        <w:fldChar w:fldCharType="begin"/>
      </w:r>
      <w:r>
        <w:rPr>
          <w:noProof/>
        </w:rPr>
        <w:instrText xml:space="preserve"> PAGEREF _Toc531858102 \h </w:instrText>
      </w:r>
      <w:r>
        <w:rPr>
          <w:noProof/>
        </w:rPr>
      </w:r>
      <w:r>
        <w:rPr>
          <w:noProof/>
        </w:rPr>
        <w:fldChar w:fldCharType="separate"/>
      </w:r>
      <w:r>
        <w:rPr>
          <w:noProof/>
        </w:rPr>
        <w:t>167</w:t>
      </w:r>
      <w:r>
        <w:rPr>
          <w:noProof/>
        </w:rPr>
        <w:fldChar w:fldCharType="end"/>
      </w:r>
    </w:p>
    <w:p w14:paraId="2EDA891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10.3</w:t>
      </w:r>
      <w:r>
        <w:rPr>
          <w:rFonts w:asciiTheme="minorHAnsi" w:eastAsiaTheme="minorEastAsia" w:hAnsiTheme="minorHAnsi" w:cstheme="minorBidi"/>
          <w:noProof/>
          <w:color w:val="auto"/>
          <w:sz w:val="22"/>
          <w:szCs w:val="22"/>
          <w:lang w:eastAsia="en-AU"/>
        </w:rPr>
        <w:tab/>
      </w:r>
      <w:r>
        <w:rPr>
          <w:noProof/>
        </w:rPr>
        <w:t>Use of the internet after 11 pm in Transitioned ADF (aged 18–25) compared to the Young and Well cohort</w:t>
      </w:r>
      <w:r>
        <w:rPr>
          <w:noProof/>
        </w:rPr>
        <w:tab/>
      </w:r>
      <w:r>
        <w:rPr>
          <w:noProof/>
        </w:rPr>
        <w:fldChar w:fldCharType="begin"/>
      </w:r>
      <w:r>
        <w:rPr>
          <w:noProof/>
        </w:rPr>
        <w:instrText xml:space="preserve"> PAGEREF _Toc531858103 \h </w:instrText>
      </w:r>
      <w:r>
        <w:rPr>
          <w:noProof/>
        </w:rPr>
      </w:r>
      <w:r>
        <w:rPr>
          <w:noProof/>
        </w:rPr>
        <w:fldChar w:fldCharType="separate"/>
      </w:r>
      <w:r>
        <w:rPr>
          <w:noProof/>
        </w:rPr>
        <w:t>168</w:t>
      </w:r>
      <w:r>
        <w:rPr>
          <w:noProof/>
        </w:rPr>
        <w:fldChar w:fldCharType="end"/>
      </w:r>
    </w:p>
    <w:p w14:paraId="10CB2C34"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10.4</w:t>
      </w:r>
      <w:r>
        <w:rPr>
          <w:rFonts w:asciiTheme="minorHAnsi" w:eastAsiaTheme="minorEastAsia" w:hAnsiTheme="minorHAnsi" w:cstheme="minorBidi"/>
          <w:noProof/>
          <w:color w:val="auto"/>
          <w:sz w:val="22"/>
          <w:szCs w:val="22"/>
          <w:lang w:eastAsia="en-AU"/>
        </w:rPr>
        <w:tab/>
      </w:r>
      <w:r>
        <w:rPr>
          <w:noProof/>
        </w:rPr>
        <w:t>Use of the internet to seek help for or manage mental health issues in Transitioned ADF (aged 18–25) compared to the Young and Well cohort</w:t>
      </w:r>
      <w:r>
        <w:rPr>
          <w:noProof/>
        </w:rPr>
        <w:tab/>
      </w:r>
      <w:r>
        <w:rPr>
          <w:noProof/>
        </w:rPr>
        <w:fldChar w:fldCharType="begin"/>
      </w:r>
      <w:r>
        <w:rPr>
          <w:noProof/>
        </w:rPr>
        <w:instrText xml:space="preserve"> PAGEREF _Toc531858104 \h </w:instrText>
      </w:r>
      <w:r>
        <w:rPr>
          <w:noProof/>
        </w:rPr>
      </w:r>
      <w:r>
        <w:rPr>
          <w:noProof/>
        </w:rPr>
        <w:fldChar w:fldCharType="separate"/>
      </w:r>
      <w:r>
        <w:rPr>
          <w:noProof/>
        </w:rPr>
        <w:t>170</w:t>
      </w:r>
      <w:r>
        <w:rPr>
          <w:noProof/>
        </w:rPr>
        <w:fldChar w:fldCharType="end"/>
      </w:r>
    </w:p>
    <w:p w14:paraId="5D6B745F"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10.5</w:t>
      </w:r>
      <w:r>
        <w:rPr>
          <w:rFonts w:asciiTheme="minorHAnsi" w:eastAsiaTheme="minorEastAsia" w:hAnsiTheme="minorHAnsi" w:cstheme="minorBidi"/>
          <w:noProof/>
          <w:color w:val="auto"/>
          <w:sz w:val="22"/>
          <w:szCs w:val="22"/>
          <w:lang w:eastAsia="en-AU"/>
        </w:rPr>
        <w:tab/>
      </w:r>
      <w:r>
        <w:rPr>
          <w:noProof/>
        </w:rPr>
        <w:t>Proportion of Transitioned ADF (aged 18–25) compared to the Young and Well cohort who reported getting the information they needed from the internet in relation to mental health</w:t>
      </w:r>
      <w:r>
        <w:rPr>
          <w:noProof/>
        </w:rPr>
        <w:tab/>
      </w:r>
      <w:r>
        <w:rPr>
          <w:noProof/>
        </w:rPr>
        <w:fldChar w:fldCharType="begin"/>
      </w:r>
      <w:r>
        <w:rPr>
          <w:noProof/>
        </w:rPr>
        <w:instrText xml:space="preserve"> PAGEREF _Toc531858105 \h </w:instrText>
      </w:r>
      <w:r>
        <w:rPr>
          <w:noProof/>
        </w:rPr>
      </w:r>
      <w:r>
        <w:rPr>
          <w:noProof/>
        </w:rPr>
        <w:fldChar w:fldCharType="separate"/>
      </w:r>
      <w:r>
        <w:rPr>
          <w:noProof/>
        </w:rPr>
        <w:t>171</w:t>
      </w:r>
      <w:r>
        <w:rPr>
          <w:noProof/>
        </w:rPr>
        <w:fldChar w:fldCharType="end"/>
      </w:r>
    </w:p>
    <w:p w14:paraId="7E5C442A"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10.6</w:t>
      </w:r>
      <w:r>
        <w:rPr>
          <w:rFonts w:asciiTheme="minorHAnsi" w:eastAsiaTheme="minorEastAsia" w:hAnsiTheme="minorHAnsi" w:cstheme="minorBidi"/>
          <w:noProof/>
          <w:color w:val="auto"/>
          <w:sz w:val="22"/>
          <w:szCs w:val="22"/>
          <w:lang w:eastAsia="en-AU"/>
        </w:rPr>
        <w:tab/>
      </w:r>
      <w:r>
        <w:rPr>
          <w:noProof/>
        </w:rPr>
        <w:t>Effectiveness of the internet in helping young adults deal effectively with mental health problems in Transitioned ADF (aged 18–25) compared to the Young and Well cohort</w:t>
      </w:r>
      <w:r>
        <w:rPr>
          <w:noProof/>
        </w:rPr>
        <w:tab/>
      </w:r>
      <w:r>
        <w:rPr>
          <w:noProof/>
        </w:rPr>
        <w:fldChar w:fldCharType="begin"/>
      </w:r>
      <w:r>
        <w:rPr>
          <w:noProof/>
        </w:rPr>
        <w:instrText xml:space="preserve"> PAGEREF _Toc531858106 \h </w:instrText>
      </w:r>
      <w:r>
        <w:rPr>
          <w:noProof/>
        </w:rPr>
      </w:r>
      <w:r>
        <w:rPr>
          <w:noProof/>
        </w:rPr>
        <w:fldChar w:fldCharType="separate"/>
      </w:r>
      <w:r>
        <w:rPr>
          <w:noProof/>
        </w:rPr>
        <w:t>173</w:t>
      </w:r>
      <w:r>
        <w:rPr>
          <w:noProof/>
        </w:rPr>
        <w:fldChar w:fldCharType="end"/>
      </w:r>
    </w:p>
    <w:p w14:paraId="34AFEF6D"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10.7</w:t>
      </w:r>
      <w:r>
        <w:rPr>
          <w:rFonts w:asciiTheme="minorHAnsi" w:eastAsiaTheme="minorEastAsia" w:hAnsiTheme="minorHAnsi" w:cstheme="minorBidi"/>
          <w:noProof/>
          <w:color w:val="auto"/>
          <w:sz w:val="22"/>
          <w:szCs w:val="22"/>
          <w:lang w:eastAsia="en-AU"/>
        </w:rPr>
        <w:tab/>
      </w:r>
      <w:r>
        <w:rPr>
          <w:noProof/>
        </w:rPr>
        <w:t>Satisfaction with information received in relation to mental health in Transitioned ADF (aged 18–25) compared to the Young and Well cohort</w:t>
      </w:r>
      <w:r>
        <w:rPr>
          <w:noProof/>
        </w:rPr>
        <w:tab/>
      </w:r>
      <w:r>
        <w:rPr>
          <w:noProof/>
        </w:rPr>
        <w:fldChar w:fldCharType="begin"/>
      </w:r>
      <w:r>
        <w:rPr>
          <w:noProof/>
        </w:rPr>
        <w:instrText xml:space="preserve"> PAGEREF _Toc531858107 \h </w:instrText>
      </w:r>
      <w:r>
        <w:rPr>
          <w:noProof/>
        </w:rPr>
      </w:r>
      <w:r>
        <w:rPr>
          <w:noProof/>
        </w:rPr>
        <w:fldChar w:fldCharType="separate"/>
      </w:r>
      <w:r>
        <w:rPr>
          <w:noProof/>
        </w:rPr>
        <w:t>174</w:t>
      </w:r>
      <w:r>
        <w:rPr>
          <w:noProof/>
        </w:rPr>
        <w:fldChar w:fldCharType="end"/>
      </w:r>
    </w:p>
    <w:p w14:paraId="5C80FF4A"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10.8</w:t>
      </w:r>
      <w:r>
        <w:rPr>
          <w:rFonts w:asciiTheme="minorHAnsi" w:eastAsiaTheme="minorEastAsia" w:hAnsiTheme="minorHAnsi" w:cstheme="minorBidi"/>
          <w:noProof/>
          <w:color w:val="auto"/>
          <w:sz w:val="22"/>
          <w:szCs w:val="22"/>
          <w:lang w:eastAsia="en-AU"/>
        </w:rPr>
        <w:tab/>
      </w:r>
      <w:r>
        <w:rPr>
          <w:noProof/>
        </w:rPr>
        <w:t>Estimated prevalence of psychological distress (K10 scoring bands) in Transitioned ADF (aged 18–25) compared to the Young and Well cohort</w:t>
      </w:r>
      <w:r>
        <w:rPr>
          <w:noProof/>
        </w:rPr>
        <w:tab/>
      </w:r>
      <w:r>
        <w:rPr>
          <w:noProof/>
        </w:rPr>
        <w:fldChar w:fldCharType="begin"/>
      </w:r>
      <w:r>
        <w:rPr>
          <w:noProof/>
        </w:rPr>
        <w:instrText xml:space="preserve"> PAGEREF _Toc531858108 \h </w:instrText>
      </w:r>
      <w:r>
        <w:rPr>
          <w:noProof/>
        </w:rPr>
      </w:r>
      <w:r>
        <w:rPr>
          <w:noProof/>
        </w:rPr>
        <w:fldChar w:fldCharType="separate"/>
      </w:r>
      <w:r>
        <w:rPr>
          <w:noProof/>
        </w:rPr>
        <w:t>176</w:t>
      </w:r>
      <w:r>
        <w:rPr>
          <w:noProof/>
        </w:rPr>
        <w:fldChar w:fldCharType="end"/>
      </w:r>
    </w:p>
    <w:p w14:paraId="5BCE99CA"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10.9</w:t>
      </w:r>
      <w:r>
        <w:rPr>
          <w:rFonts w:asciiTheme="minorHAnsi" w:eastAsiaTheme="minorEastAsia" w:hAnsiTheme="minorHAnsi" w:cstheme="minorBidi"/>
          <w:noProof/>
          <w:color w:val="auto"/>
          <w:sz w:val="22"/>
          <w:szCs w:val="22"/>
          <w:lang w:eastAsia="en-AU"/>
        </w:rPr>
        <w:tab/>
      </w:r>
      <w:r>
        <w:rPr>
          <w:noProof/>
        </w:rPr>
        <w:t>Frequency of internet use in Transitioned ADF (aged 18–25) compared to the Young and Well cohort, by level of psychological distress</w:t>
      </w:r>
      <w:r>
        <w:rPr>
          <w:noProof/>
        </w:rPr>
        <w:tab/>
      </w:r>
      <w:r>
        <w:rPr>
          <w:noProof/>
        </w:rPr>
        <w:fldChar w:fldCharType="begin"/>
      </w:r>
      <w:r>
        <w:rPr>
          <w:noProof/>
        </w:rPr>
        <w:instrText xml:space="preserve"> PAGEREF _Toc531858109 \h </w:instrText>
      </w:r>
      <w:r>
        <w:rPr>
          <w:noProof/>
        </w:rPr>
      </w:r>
      <w:r>
        <w:rPr>
          <w:noProof/>
        </w:rPr>
        <w:fldChar w:fldCharType="separate"/>
      </w:r>
      <w:r>
        <w:rPr>
          <w:noProof/>
        </w:rPr>
        <w:t>178</w:t>
      </w:r>
      <w:r>
        <w:rPr>
          <w:noProof/>
        </w:rPr>
        <w:fldChar w:fldCharType="end"/>
      </w:r>
    </w:p>
    <w:p w14:paraId="1FEEC768"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10.10</w:t>
      </w:r>
      <w:r>
        <w:rPr>
          <w:rFonts w:asciiTheme="minorHAnsi" w:eastAsiaTheme="minorEastAsia" w:hAnsiTheme="minorHAnsi" w:cstheme="minorBidi"/>
          <w:noProof/>
          <w:color w:val="auto"/>
          <w:sz w:val="22"/>
          <w:szCs w:val="22"/>
          <w:lang w:eastAsia="en-AU"/>
        </w:rPr>
        <w:tab/>
      </w:r>
      <w:r>
        <w:rPr>
          <w:noProof/>
        </w:rPr>
        <w:t>Time spent using the internet on a normal work/week day in Transitioned ADF (aged 18–25) compared to the Young and Well ‘cohort, by level of psychological distress</w:t>
      </w:r>
      <w:r>
        <w:rPr>
          <w:noProof/>
        </w:rPr>
        <w:tab/>
      </w:r>
      <w:r>
        <w:rPr>
          <w:noProof/>
        </w:rPr>
        <w:fldChar w:fldCharType="begin"/>
      </w:r>
      <w:r>
        <w:rPr>
          <w:noProof/>
        </w:rPr>
        <w:instrText xml:space="preserve"> PAGEREF _Toc531858110 \h </w:instrText>
      </w:r>
      <w:r>
        <w:rPr>
          <w:noProof/>
        </w:rPr>
      </w:r>
      <w:r>
        <w:rPr>
          <w:noProof/>
        </w:rPr>
        <w:fldChar w:fldCharType="separate"/>
      </w:r>
      <w:r>
        <w:rPr>
          <w:noProof/>
        </w:rPr>
        <w:t>181</w:t>
      </w:r>
      <w:r>
        <w:rPr>
          <w:noProof/>
        </w:rPr>
        <w:fldChar w:fldCharType="end"/>
      </w:r>
    </w:p>
    <w:p w14:paraId="26649F46"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10.11</w:t>
      </w:r>
      <w:r>
        <w:rPr>
          <w:rFonts w:asciiTheme="minorHAnsi" w:eastAsiaTheme="minorEastAsia" w:hAnsiTheme="minorHAnsi" w:cstheme="minorBidi"/>
          <w:noProof/>
          <w:color w:val="auto"/>
          <w:sz w:val="22"/>
          <w:szCs w:val="22"/>
          <w:lang w:eastAsia="en-AU"/>
        </w:rPr>
        <w:tab/>
      </w:r>
      <w:r>
        <w:rPr>
          <w:noProof/>
        </w:rPr>
        <w:t>Use of the internet after 11 pm in Transitioned ADF (aged 18–25) compared to the Young and Well cohort, by level of psychological distress</w:t>
      </w:r>
      <w:r>
        <w:rPr>
          <w:noProof/>
        </w:rPr>
        <w:tab/>
      </w:r>
      <w:r>
        <w:rPr>
          <w:noProof/>
        </w:rPr>
        <w:fldChar w:fldCharType="begin"/>
      </w:r>
      <w:r>
        <w:rPr>
          <w:noProof/>
        </w:rPr>
        <w:instrText xml:space="preserve"> PAGEREF _Toc531858111 \h </w:instrText>
      </w:r>
      <w:r>
        <w:rPr>
          <w:noProof/>
        </w:rPr>
      </w:r>
      <w:r>
        <w:rPr>
          <w:noProof/>
        </w:rPr>
        <w:fldChar w:fldCharType="separate"/>
      </w:r>
      <w:r>
        <w:rPr>
          <w:noProof/>
        </w:rPr>
        <w:t>183</w:t>
      </w:r>
      <w:r>
        <w:rPr>
          <w:noProof/>
        </w:rPr>
        <w:fldChar w:fldCharType="end"/>
      </w:r>
    </w:p>
    <w:p w14:paraId="7D3F06A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10.12</w:t>
      </w:r>
      <w:r>
        <w:rPr>
          <w:rFonts w:asciiTheme="minorHAnsi" w:eastAsiaTheme="minorEastAsia" w:hAnsiTheme="minorHAnsi" w:cstheme="minorBidi"/>
          <w:noProof/>
          <w:color w:val="auto"/>
          <w:sz w:val="22"/>
          <w:szCs w:val="22"/>
          <w:lang w:eastAsia="en-AU"/>
        </w:rPr>
        <w:tab/>
      </w:r>
      <w:r>
        <w:rPr>
          <w:noProof/>
        </w:rPr>
        <w:t>Use of the internet to seek help for or manage mental health issues in Transitioned ADF (aged 18–25) compared to the Young and Well cohort, by level of psychological distress</w:t>
      </w:r>
      <w:r>
        <w:rPr>
          <w:noProof/>
        </w:rPr>
        <w:tab/>
      </w:r>
      <w:r>
        <w:rPr>
          <w:noProof/>
        </w:rPr>
        <w:fldChar w:fldCharType="begin"/>
      </w:r>
      <w:r>
        <w:rPr>
          <w:noProof/>
        </w:rPr>
        <w:instrText xml:space="preserve"> PAGEREF _Toc531858112 \h </w:instrText>
      </w:r>
      <w:r>
        <w:rPr>
          <w:noProof/>
        </w:rPr>
      </w:r>
      <w:r>
        <w:rPr>
          <w:noProof/>
        </w:rPr>
        <w:fldChar w:fldCharType="separate"/>
      </w:r>
      <w:r>
        <w:rPr>
          <w:noProof/>
        </w:rPr>
        <w:t>185</w:t>
      </w:r>
      <w:r>
        <w:rPr>
          <w:noProof/>
        </w:rPr>
        <w:fldChar w:fldCharType="end"/>
      </w:r>
    </w:p>
    <w:p w14:paraId="75EE7C9E"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A.1</w:t>
      </w:r>
      <w:r>
        <w:rPr>
          <w:rFonts w:asciiTheme="minorHAnsi" w:eastAsiaTheme="minorEastAsia" w:hAnsiTheme="minorHAnsi" w:cstheme="minorBidi"/>
          <w:noProof/>
          <w:color w:val="auto"/>
          <w:sz w:val="22"/>
          <w:szCs w:val="22"/>
          <w:lang w:eastAsia="en-AU"/>
        </w:rPr>
        <w:tab/>
      </w:r>
      <w:r>
        <w:rPr>
          <w:noProof/>
        </w:rPr>
        <w:t>Survey response rates for Transitioned ADF and 2015 Regular ADF</w:t>
      </w:r>
      <w:r>
        <w:rPr>
          <w:noProof/>
        </w:rPr>
        <w:tab/>
      </w:r>
      <w:r>
        <w:rPr>
          <w:noProof/>
        </w:rPr>
        <w:fldChar w:fldCharType="begin"/>
      </w:r>
      <w:r>
        <w:rPr>
          <w:noProof/>
        </w:rPr>
        <w:instrText xml:space="preserve"> PAGEREF _Toc531858113 \h </w:instrText>
      </w:r>
      <w:r>
        <w:rPr>
          <w:noProof/>
        </w:rPr>
      </w:r>
      <w:r>
        <w:rPr>
          <w:noProof/>
        </w:rPr>
        <w:fldChar w:fldCharType="separate"/>
      </w:r>
      <w:r>
        <w:rPr>
          <w:noProof/>
        </w:rPr>
        <w:t>210</w:t>
      </w:r>
      <w:r>
        <w:rPr>
          <w:noProof/>
        </w:rPr>
        <w:fldChar w:fldCharType="end"/>
      </w:r>
    </w:p>
    <w:p w14:paraId="592FBEB2" w14:textId="77777777" w:rsidR="00E408E4" w:rsidRDefault="00E408E4">
      <w:pPr>
        <w:pStyle w:val="TOC4"/>
        <w:rPr>
          <w:rFonts w:asciiTheme="minorHAnsi" w:eastAsiaTheme="minorEastAsia" w:hAnsiTheme="minorHAnsi" w:cstheme="minorBidi"/>
          <w:noProof/>
          <w:color w:val="auto"/>
          <w:sz w:val="22"/>
          <w:szCs w:val="22"/>
          <w:lang w:eastAsia="en-AU"/>
        </w:rPr>
      </w:pPr>
      <w:r>
        <w:rPr>
          <w:noProof/>
        </w:rPr>
        <w:t>Figure C.1</w:t>
      </w:r>
      <w:r>
        <w:rPr>
          <w:rFonts w:asciiTheme="minorHAnsi" w:eastAsiaTheme="minorEastAsia" w:hAnsiTheme="minorHAnsi" w:cstheme="minorBidi"/>
          <w:noProof/>
          <w:color w:val="auto"/>
          <w:sz w:val="22"/>
          <w:szCs w:val="22"/>
          <w:lang w:eastAsia="en-AU"/>
        </w:rPr>
        <w:tab/>
      </w:r>
      <w:r>
        <w:rPr>
          <w:noProof/>
        </w:rPr>
        <w:t>Denominator cascade 2015</w:t>
      </w:r>
      <w:r>
        <w:rPr>
          <w:noProof/>
        </w:rPr>
        <w:tab/>
      </w:r>
      <w:r>
        <w:rPr>
          <w:noProof/>
        </w:rPr>
        <w:fldChar w:fldCharType="begin"/>
      </w:r>
      <w:r>
        <w:rPr>
          <w:noProof/>
        </w:rPr>
        <w:instrText xml:space="preserve"> PAGEREF _Toc531858114 \h </w:instrText>
      </w:r>
      <w:r>
        <w:rPr>
          <w:noProof/>
        </w:rPr>
      </w:r>
      <w:r>
        <w:rPr>
          <w:noProof/>
        </w:rPr>
        <w:fldChar w:fldCharType="separate"/>
      </w:r>
      <w:r>
        <w:rPr>
          <w:noProof/>
        </w:rPr>
        <w:t>262</w:t>
      </w:r>
      <w:r>
        <w:rPr>
          <w:noProof/>
        </w:rPr>
        <w:fldChar w:fldCharType="end"/>
      </w:r>
    </w:p>
    <w:p w14:paraId="3B90EE8A" w14:textId="22268BD8" w:rsidR="003421D2" w:rsidRDefault="000E0B73" w:rsidP="00040E45">
      <w:pPr>
        <w:sectPr w:rsidR="003421D2" w:rsidSect="00FF5B5F">
          <w:type w:val="oddPage"/>
          <w:pgSz w:w="9979" w:h="14170" w:code="243"/>
          <w:pgMar w:top="1440" w:right="1152" w:bottom="1440" w:left="1728" w:header="576" w:footer="576" w:gutter="0"/>
          <w:pgNumType w:fmt="lowerRoman"/>
          <w:cols w:space="708"/>
          <w:docGrid w:linePitch="360"/>
        </w:sectPr>
      </w:pPr>
      <w:r>
        <w:fldChar w:fldCharType="end"/>
      </w:r>
      <w:bookmarkStart w:id="2" w:name="_Toc518566303"/>
      <w:bookmarkStart w:id="3" w:name="_Toc528932617"/>
    </w:p>
    <w:p w14:paraId="421BFDF9" w14:textId="77777777" w:rsidR="003A2748" w:rsidRPr="00766F63" w:rsidRDefault="003A2748" w:rsidP="003A2748">
      <w:pPr>
        <w:pStyle w:val="Heading1"/>
        <w:numPr>
          <w:ilvl w:val="0"/>
          <w:numId w:val="0"/>
        </w:numPr>
      </w:pPr>
      <w:bookmarkStart w:id="4" w:name="_Toc531859155"/>
      <w:r w:rsidRPr="00766F63">
        <w:t>Acknowledg</w:t>
      </w:r>
      <w:r>
        <w:t>e</w:t>
      </w:r>
      <w:r w:rsidRPr="00766F63">
        <w:t>ments</w:t>
      </w:r>
      <w:bookmarkEnd w:id="2"/>
      <w:bookmarkEnd w:id="3"/>
      <w:bookmarkEnd w:id="4"/>
    </w:p>
    <w:p w14:paraId="46EB0B21" w14:textId="77777777" w:rsidR="003A2748" w:rsidRPr="009B27B2" w:rsidRDefault="003A2748" w:rsidP="00C44855">
      <w:pPr>
        <w:pStyle w:val="Heading2a"/>
      </w:pPr>
      <w:bookmarkStart w:id="5" w:name="_Toc518566304"/>
      <w:r w:rsidRPr="009B27B2">
        <w:t>Study participants</w:t>
      </w:r>
      <w:bookmarkEnd w:id="5"/>
    </w:p>
    <w:p w14:paraId="4216CA61" w14:textId="77777777" w:rsidR="003A2748" w:rsidRPr="00FB72BF" w:rsidRDefault="003A2748" w:rsidP="003A2748">
      <w:r w:rsidRPr="00FB72BF">
        <w:t>First and foremost</w:t>
      </w:r>
      <w:r>
        <w:t>,</w:t>
      </w:r>
      <w:r w:rsidRPr="00FB72BF">
        <w:t xml:space="preserve"> we acknowledge all </w:t>
      </w:r>
      <w:r w:rsidRPr="00201498">
        <w:t>current and ex-serving ADF p</w:t>
      </w:r>
      <w:r w:rsidRPr="00FB72BF">
        <w:t xml:space="preserve">ersonnel who generously </w:t>
      </w:r>
      <w:r>
        <w:t>gave</w:t>
      </w:r>
      <w:r w:rsidRPr="00FB72BF">
        <w:t xml:space="preserve"> their time to complete the study. This research was only made possible by </w:t>
      </w:r>
      <w:r>
        <w:t>their</w:t>
      </w:r>
      <w:r w:rsidRPr="00FB72BF">
        <w:t xml:space="preserve"> efforts and commitment to the study. Other key individuals include:</w:t>
      </w:r>
    </w:p>
    <w:p w14:paraId="7F5EB976" w14:textId="77777777" w:rsidR="003A2748" w:rsidRPr="001F1308" w:rsidRDefault="003A2748" w:rsidP="003A2748">
      <w:pPr>
        <w:pStyle w:val="Heading3a"/>
        <w:ind w:left="360"/>
      </w:pPr>
      <w:bookmarkStart w:id="6" w:name="_Toc518566305"/>
      <w:r w:rsidRPr="001F1308">
        <w:t>Principal Investigator</w:t>
      </w:r>
      <w:bookmarkEnd w:id="6"/>
    </w:p>
    <w:p w14:paraId="6FFDD5FB" w14:textId="77777777" w:rsidR="003A2748" w:rsidRDefault="003A2748" w:rsidP="003A2748">
      <w:pPr>
        <w:spacing w:line="250" w:lineRule="atLeast"/>
        <w:ind w:left="360"/>
      </w:pPr>
      <w:r>
        <w:t>Dr Miranda Van Hooff, Director of Research</w:t>
      </w:r>
      <w:r w:rsidRPr="00E4690B">
        <w:t>,</w:t>
      </w:r>
      <w:r>
        <w:t xml:space="preserve"> Centre for Traumatic Stress Studies, University of Adelaide</w:t>
      </w:r>
    </w:p>
    <w:p w14:paraId="7806F099" w14:textId="77777777" w:rsidR="003A2748" w:rsidRPr="001F1308" w:rsidRDefault="003A2748" w:rsidP="003A2748">
      <w:pPr>
        <w:pStyle w:val="Heading3a"/>
        <w:ind w:left="357"/>
      </w:pPr>
      <w:bookmarkStart w:id="7" w:name="_Toc518566306"/>
      <w:r w:rsidRPr="001F1308">
        <w:t>Investigators</w:t>
      </w:r>
      <w:bookmarkEnd w:id="7"/>
    </w:p>
    <w:p w14:paraId="3D490582" w14:textId="77777777" w:rsidR="003A2748" w:rsidRDefault="003A2748" w:rsidP="003A2748">
      <w:pPr>
        <w:spacing w:line="250" w:lineRule="atLeast"/>
        <w:ind w:left="360"/>
      </w:pPr>
      <w:bookmarkStart w:id="8" w:name="_Toc518566307"/>
      <w:r>
        <w:t xml:space="preserve">Professor Jane Burns (Lead), </w:t>
      </w:r>
      <w:bookmarkEnd w:id="8"/>
      <w:r>
        <w:t>Professor of Innovation and Industry, Faculty of Health Science, University of Sydney</w:t>
      </w:r>
    </w:p>
    <w:p w14:paraId="356523AB" w14:textId="77777777" w:rsidR="003A2748" w:rsidRDefault="003A2748" w:rsidP="003A2748">
      <w:pPr>
        <w:spacing w:line="250" w:lineRule="atLeast"/>
        <w:ind w:left="360"/>
      </w:pPr>
      <w:r>
        <w:t>Dr Ellie Lawrence-Wood, Senior Research Fellow, Centre for Traumatic Stress Studies, University of Adelaide</w:t>
      </w:r>
    </w:p>
    <w:p w14:paraId="04162FFD" w14:textId="77777777" w:rsidR="003A2748" w:rsidRDefault="003A2748" w:rsidP="003A2748">
      <w:pPr>
        <w:spacing w:line="250" w:lineRule="atLeast"/>
        <w:ind w:left="360"/>
      </w:pPr>
      <w:r>
        <w:t>Dr Stephanie Hodson, National Manager, Open Arms – Veterans and families counselling (formerly Veterans and Veterans Families Counselling Service), Department of Veterans’ Affairs</w:t>
      </w:r>
    </w:p>
    <w:p w14:paraId="623BC0B8" w14:textId="77777777" w:rsidR="003A2748" w:rsidRDefault="003A2748" w:rsidP="003A2748">
      <w:pPr>
        <w:spacing w:line="250" w:lineRule="atLeast"/>
        <w:ind w:left="360"/>
      </w:pPr>
      <w:r>
        <w:t>COL Nicole Sadler (Reservist), Senior Specialist, Military and High Risk Organisations, Phoenix Australia Centre for Posttraumatic Mental Health, University of Melbourne</w:t>
      </w:r>
    </w:p>
    <w:p w14:paraId="295D3B72" w14:textId="77777777" w:rsidR="003A2748" w:rsidRDefault="003A2748" w:rsidP="003A2748">
      <w:pPr>
        <w:spacing w:line="250" w:lineRule="atLeast"/>
        <w:ind w:left="360"/>
      </w:pPr>
      <w:r>
        <w:t>Ms Helen Benassi,</w:t>
      </w:r>
      <w:r w:rsidRPr="00347165">
        <w:t xml:space="preserve"> Health Policy Programs and Assurance</w:t>
      </w:r>
      <w:r w:rsidRPr="00347165" w:rsidDel="003B69D2">
        <w:t xml:space="preserve"> </w:t>
      </w:r>
      <w:r w:rsidRPr="00347165">
        <w:t>Branch</w:t>
      </w:r>
      <w:r>
        <w:t>, Joint Health Command; PhD c</w:t>
      </w:r>
      <w:r w:rsidRPr="00347165">
        <w:t>andidate, Australian National University</w:t>
      </w:r>
      <w:r>
        <w:t xml:space="preserve"> </w:t>
      </w:r>
    </w:p>
    <w:p w14:paraId="78BE4DC4" w14:textId="77777777" w:rsidR="003A2748" w:rsidRDefault="003A2748" w:rsidP="003A2748">
      <w:pPr>
        <w:spacing w:line="250" w:lineRule="atLeast"/>
        <w:ind w:left="360"/>
      </w:pPr>
      <w:r>
        <w:t>Professor Alexander McFarlane, Professor of Psychiatry, Head of Centre for Traumatic Stress Studies, University of Adelaide</w:t>
      </w:r>
    </w:p>
    <w:p w14:paraId="37BA51BD" w14:textId="77777777" w:rsidR="003A2748" w:rsidRPr="001F1308" w:rsidRDefault="003A2748" w:rsidP="003A2748">
      <w:pPr>
        <w:pStyle w:val="Heading3a"/>
        <w:ind w:left="357"/>
      </w:pPr>
      <w:bookmarkStart w:id="9" w:name="_Toc518566308"/>
      <w:r w:rsidRPr="001F1308">
        <w:t>Lead statistician</w:t>
      </w:r>
      <w:bookmarkEnd w:id="9"/>
    </w:p>
    <w:p w14:paraId="01DE8B1E" w14:textId="77777777" w:rsidR="003A2748" w:rsidRDefault="003A2748" w:rsidP="003A2748">
      <w:pPr>
        <w:spacing w:line="250" w:lineRule="atLeast"/>
        <w:ind w:left="360"/>
      </w:pPr>
      <w:r>
        <w:t>Dr Craig Hansen, Senior Statistician and Epidemiologist, Centre for Traumatic Stress Studies, University of Adelaide</w:t>
      </w:r>
    </w:p>
    <w:p w14:paraId="518BAE00" w14:textId="77777777" w:rsidR="003A2748" w:rsidRPr="001F1308" w:rsidRDefault="003A2748" w:rsidP="003A2748">
      <w:pPr>
        <w:pStyle w:val="Heading3a"/>
        <w:ind w:left="357"/>
      </w:pPr>
      <w:bookmarkStart w:id="10" w:name="_Toc518566309"/>
      <w:r w:rsidRPr="001F1308">
        <w:t>Statistician</w:t>
      </w:r>
      <w:bookmarkEnd w:id="10"/>
      <w:r>
        <w:t>s</w:t>
      </w:r>
    </w:p>
    <w:p w14:paraId="769F275E" w14:textId="77777777" w:rsidR="003A2748" w:rsidRDefault="003A2748" w:rsidP="003A2748">
      <w:pPr>
        <w:spacing w:line="250" w:lineRule="atLeast"/>
        <w:ind w:left="360"/>
      </w:pPr>
      <w:r>
        <w:t>Dr Stuart Howell, Senior Statistician, School of Public Health, University of Adelaide</w:t>
      </w:r>
    </w:p>
    <w:p w14:paraId="52B62B2C" w14:textId="77777777" w:rsidR="003A2748" w:rsidRDefault="003A2748" w:rsidP="003A2748">
      <w:pPr>
        <w:spacing w:line="250" w:lineRule="atLeast"/>
        <w:ind w:left="360"/>
      </w:pPr>
      <w:r>
        <w:t xml:space="preserve">Dr Blair Grace, Statistician, </w:t>
      </w:r>
      <w:r w:rsidRPr="00180DD3">
        <w:t>Centre for Traumatic Stress Studies, University of Adelaide</w:t>
      </w:r>
    </w:p>
    <w:p w14:paraId="31A311B9" w14:textId="77777777" w:rsidR="003A2748" w:rsidRPr="001F1308" w:rsidRDefault="003A2748" w:rsidP="003A2748">
      <w:pPr>
        <w:pStyle w:val="Heading3a"/>
        <w:ind w:left="360"/>
      </w:pPr>
      <w:bookmarkStart w:id="11" w:name="_Toc518566311"/>
      <w:r w:rsidRPr="001F1308">
        <w:t>Centre for Traumatic Stress Studies</w:t>
      </w:r>
      <w:r>
        <w:t xml:space="preserve">, </w:t>
      </w:r>
      <w:r w:rsidRPr="001F1308">
        <w:t>University of Adelaide</w:t>
      </w:r>
      <w:bookmarkEnd w:id="11"/>
    </w:p>
    <w:p w14:paraId="57EBBEC5" w14:textId="77777777" w:rsidR="003A2748" w:rsidRPr="00E4690B" w:rsidRDefault="003A2748" w:rsidP="003A2748">
      <w:pPr>
        <w:spacing w:line="250" w:lineRule="atLeast"/>
        <w:ind w:left="360"/>
      </w:pPr>
      <w:r w:rsidRPr="00E4690B">
        <w:t>Mr Roger Glenny, Ms Maria Abraham, Ms Jenelle Baur, Ms Ashleigh Kenny, Ms Marie Iannos, Dr Jodie Avery, Dr</w:t>
      </w:r>
      <w:r>
        <w:t> </w:t>
      </w:r>
      <w:r w:rsidRPr="00E4690B">
        <w:t>Amelia Searle, Dr Elizabeth Saccone, Ms Jane Cocks, Mr Jeremy Hamlin,</w:t>
      </w:r>
      <w:r w:rsidRPr="00E4690B" w:rsidDel="00E46FD6">
        <w:t xml:space="preserve"> </w:t>
      </w:r>
      <w:r w:rsidRPr="00E4690B">
        <w:t>Ms Judy Bament, Ms Dianne Stewart</w:t>
      </w:r>
    </w:p>
    <w:p w14:paraId="0A02803C" w14:textId="77777777" w:rsidR="003A2748" w:rsidRPr="001F1308" w:rsidRDefault="003A2748" w:rsidP="003A2748">
      <w:pPr>
        <w:pStyle w:val="Heading3a"/>
        <w:ind w:left="360"/>
      </w:pPr>
      <w:bookmarkStart w:id="12" w:name="_Toc518566312"/>
      <w:r w:rsidRPr="001F1308">
        <w:t>Hunter Valley Foundation</w:t>
      </w:r>
      <w:bookmarkEnd w:id="12"/>
    </w:p>
    <w:p w14:paraId="1CFE2A28" w14:textId="77777777" w:rsidR="003A2748" w:rsidRPr="00E4690B" w:rsidRDefault="003A2748" w:rsidP="003A2748">
      <w:pPr>
        <w:spacing w:line="250" w:lineRule="atLeast"/>
        <w:ind w:left="360"/>
      </w:pPr>
      <w:r w:rsidRPr="00E4690B">
        <w:t>Ms Shanti Ramanathan, Mr David Shellard, Dr Clare Hogue, Ms Phyllis Hartung, Mr Russ Redford and the team of CIDI interviewers</w:t>
      </w:r>
    </w:p>
    <w:p w14:paraId="5DA40863" w14:textId="77777777" w:rsidR="003A2748" w:rsidRPr="001F1308" w:rsidRDefault="003A2748" w:rsidP="003A2748">
      <w:pPr>
        <w:pStyle w:val="Heading3a"/>
        <w:ind w:left="360"/>
      </w:pPr>
      <w:bookmarkStart w:id="13" w:name="_Toc518566313"/>
      <w:r w:rsidRPr="001F1308">
        <w:t>Nexview Systems</w:t>
      </w:r>
      <w:bookmarkEnd w:id="13"/>
    </w:p>
    <w:p w14:paraId="78E29F38" w14:textId="77777777" w:rsidR="003A2748" w:rsidRPr="00E4690B" w:rsidRDefault="003A2748" w:rsidP="003A2748">
      <w:pPr>
        <w:spacing w:line="250" w:lineRule="atLeast"/>
        <w:ind w:left="360"/>
      </w:pPr>
      <w:r w:rsidRPr="00E4690B">
        <w:t>Mr Trevor Moyle, Ms Hong Yan</w:t>
      </w:r>
    </w:p>
    <w:p w14:paraId="29031EB5" w14:textId="77777777" w:rsidR="003A2748" w:rsidRPr="001F1308" w:rsidRDefault="003A2748" w:rsidP="003A2748">
      <w:pPr>
        <w:pStyle w:val="Heading3a"/>
        <w:ind w:left="360"/>
      </w:pPr>
      <w:bookmarkStart w:id="14" w:name="_Toc518566314"/>
      <w:r w:rsidRPr="001F1308">
        <w:t>Australian Institute of Family Studies</w:t>
      </w:r>
      <w:bookmarkEnd w:id="14"/>
    </w:p>
    <w:p w14:paraId="77BDC6DD" w14:textId="77777777" w:rsidR="003A2748" w:rsidRDefault="003A2748" w:rsidP="003A2748">
      <w:pPr>
        <w:spacing w:line="250" w:lineRule="atLeast"/>
        <w:ind w:left="360"/>
      </w:pPr>
      <w:r w:rsidRPr="00E4690B">
        <w:t>Dr Galina Daraganova, Dr Jacquie Harvey</w:t>
      </w:r>
    </w:p>
    <w:p w14:paraId="46830691" w14:textId="77777777" w:rsidR="003A2748" w:rsidRPr="00606008" w:rsidRDefault="003A2748" w:rsidP="003A2748">
      <w:pPr>
        <w:pStyle w:val="Heading3a"/>
        <w:ind w:left="360"/>
      </w:pPr>
      <w:r w:rsidRPr="00606008">
        <w:t>The University of Sydney</w:t>
      </w:r>
    </w:p>
    <w:p w14:paraId="2B9FD34D" w14:textId="77777777" w:rsidR="008A5AB0" w:rsidRPr="00E4690B" w:rsidRDefault="003A2748" w:rsidP="003A2748">
      <w:pPr>
        <w:spacing w:line="250" w:lineRule="atLeast"/>
        <w:ind w:left="360"/>
      </w:pPr>
      <w:r w:rsidRPr="00E4690B">
        <w:t xml:space="preserve">Dr </w:t>
      </w:r>
      <w:r>
        <w:t>Tracey</w:t>
      </w:r>
      <w:r w:rsidRPr="00E4690B">
        <w:t xml:space="preserve"> </w:t>
      </w:r>
      <w:r>
        <w:t>Davenport</w:t>
      </w:r>
    </w:p>
    <w:p w14:paraId="2D79F6A8" w14:textId="77777777" w:rsidR="003A2748" w:rsidRPr="001F1308" w:rsidRDefault="003A2748" w:rsidP="003A2748">
      <w:pPr>
        <w:pStyle w:val="Heading3a"/>
        <w:ind w:left="360"/>
      </w:pPr>
      <w:bookmarkStart w:id="15" w:name="_Toc518566315"/>
      <w:r w:rsidRPr="001F1308">
        <w:t>Australian Institute of Health and Welfare</w:t>
      </w:r>
      <w:bookmarkEnd w:id="15"/>
    </w:p>
    <w:p w14:paraId="3AF86206" w14:textId="77777777" w:rsidR="003A2748" w:rsidRPr="00E4690B" w:rsidRDefault="003A2748" w:rsidP="003A2748">
      <w:pPr>
        <w:spacing w:line="250" w:lineRule="atLeast"/>
        <w:ind w:left="360"/>
      </w:pPr>
      <w:r w:rsidRPr="00E4690B">
        <w:t>Mr Phil Anderson, Mr Nick Von Sanden, Mr Richard Solon, Mr Tenniel Guiver</w:t>
      </w:r>
    </w:p>
    <w:p w14:paraId="65D55599" w14:textId="77777777" w:rsidR="003A2748" w:rsidRPr="001F1308" w:rsidRDefault="003A2748" w:rsidP="003A2748">
      <w:pPr>
        <w:pStyle w:val="Heading3a"/>
        <w:ind w:left="360"/>
      </w:pPr>
      <w:bookmarkStart w:id="16" w:name="_Toc518566317"/>
      <w:r w:rsidRPr="001F1308">
        <w:t>Transition and Wellbeing Research Programme Scientific Advisory Committee</w:t>
      </w:r>
    </w:p>
    <w:p w14:paraId="4441AB1E" w14:textId="77777777" w:rsidR="003A2748" w:rsidRPr="00734112" w:rsidRDefault="003A2748" w:rsidP="003A2748">
      <w:pPr>
        <w:spacing w:line="250" w:lineRule="atLeast"/>
        <w:ind w:left="360"/>
      </w:pPr>
      <w:r>
        <w:t>RADM Jenny Firman (co-chair), Dr Ian Gardner (co-chair), Professor Ian Hickie, Professor Malcolm Battersby, Professor Mark Creamer, Professor Peter Butterworth, Professor Lyndall Strazdins, Dr Paul Jelfs, Dr Duncan Wallace, GPCAPT Lisa Jackson Pulver, Professor Tim Driscoll, Professor Kathy Griffiths, Professor Beverley Raphael, Dr Graeme Killer</w:t>
      </w:r>
    </w:p>
    <w:p w14:paraId="264E8441" w14:textId="77777777" w:rsidR="003A2748" w:rsidRPr="001F1308" w:rsidRDefault="003A2748" w:rsidP="003A2748">
      <w:pPr>
        <w:pStyle w:val="Heading3a"/>
        <w:ind w:left="360"/>
      </w:pPr>
      <w:r w:rsidRPr="001F1308">
        <w:t>Transition and Wellbeing Research Programme Management Team</w:t>
      </w:r>
      <w:bookmarkEnd w:id="16"/>
    </w:p>
    <w:p w14:paraId="2D3469BC" w14:textId="120A60E5" w:rsidR="003A2748" w:rsidRDefault="003A2748" w:rsidP="003A2748">
      <w:pPr>
        <w:spacing w:line="250" w:lineRule="atLeast"/>
        <w:ind w:left="360"/>
      </w:pPr>
      <w:r>
        <w:t>Ms Kyleigh Heggie, Ms Karen Barker, Dr Loretta Poerio, Ms Melissa Preston, Dr</w:t>
      </w:r>
      <w:r w:rsidR="00BA7D83">
        <w:t> </w:t>
      </w:r>
      <w:r>
        <w:t>Carmel Anderson, Department of Veterans’ Affairs</w:t>
      </w:r>
    </w:p>
    <w:p w14:paraId="4EC92D02" w14:textId="7B270E8B" w:rsidR="003A2748" w:rsidRDefault="003A2748" w:rsidP="003A2748">
      <w:pPr>
        <w:spacing w:line="250" w:lineRule="atLeast"/>
        <w:ind w:left="360"/>
      </w:pPr>
      <w:r>
        <w:t xml:space="preserve">COL Laura Sinclair, Ms Jess Styles, Ms Kanny Tait, </w:t>
      </w:r>
      <w:r w:rsidR="00C814E0">
        <w:t xml:space="preserve">Mr </w:t>
      </w:r>
      <w:r>
        <w:t>Zushan Hashmi, Department of Defence</w:t>
      </w:r>
    </w:p>
    <w:p w14:paraId="16D08C28" w14:textId="77777777" w:rsidR="003A2748" w:rsidRDefault="003A2748" w:rsidP="003A2748">
      <w:pPr>
        <w:spacing w:line="250" w:lineRule="atLeast"/>
        <w:ind w:left="360"/>
      </w:pPr>
      <w:r>
        <w:t xml:space="preserve">For their assistance in developing the </w:t>
      </w:r>
      <w:r w:rsidRPr="00734112">
        <w:t>Military and Veteran Research Study Roll</w:t>
      </w:r>
      <w:r>
        <w:t>: Mr Mark Watson and Ms Megan MacDonald, Department of Veterans’ Affairs, and Ms Carolina Casetta and Warrant Officer Class One Iain Lewington, Joint Health Command, Department of Defence</w:t>
      </w:r>
    </w:p>
    <w:p w14:paraId="599D999F" w14:textId="77777777" w:rsidR="003A2748" w:rsidRPr="001F1308" w:rsidRDefault="003A2748" w:rsidP="003A2748">
      <w:pPr>
        <w:pStyle w:val="Heading3a"/>
        <w:ind w:left="360"/>
      </w:pPr>
      <w:bookmarkStart w:id="17" w:name="_Toc518566318"/>
      <w:r w:rsidRPr="001F1308">
        <w:t>Other key organisation</w:t>
      </w:r>
      <w:bookmarkEnd w:id="17"/>
    </w:p>
    <w:p w14:paraId="0E1B405B" w14:textId="77777777" w:rsidR="003A2748" w:rsidRDefault="003A2748" w:rsidP="003A2748">
      <w:pPr>
        <w:spacing w:line="250" w:lineRule="atLeast"/>
        <w:ind w:left="360"/>
      </w:pPr>
      <w:r>
        <w:t>Australia Post</w:t>
      </w:r>
    </w:p>
    <w:p w14:paraId="4680A37F" w14:textId="77777777" w:rsidR="003A2748" w:rsidRDefault="003A2748" w:rsidP="003A2748">
      <w:pPr>
        <w:pStyle w:val="Heading1"/>
        <w:numPr>
          <w:ilvl w:val="0"/>
          <w:numId w:val="0"/>
        </w:numPr>
      </w:pPr>
      <w:bookmarkStart w:id="18" w:name="_Toc528932618"/>
      <w:bookmarkStart w:id="19" w:name="_Toc531859156"/>
      <w:r>
        <w:t>Transition and Wellbeing Research Programme –</w:t>
      </w:r>
      <w:bookmarkEnd w:id="18"/>
      <w:r>
        <w:t xml:space="preserve"> </w:t>
      </w:r>
      <w:bookmarkStart w:id="20" w:name="_Toc528932619"/>
      <w:r>
        <w:t>an overview</w:t>
      </w:r>
      <w:bookmarkEnd w:id="19"/>
      <w:bookmarkEnd w:id="20"/>
    </w:p>
    <w:p w14:paraId="500D2111" w14:textId="77777777" w:rsidR="003A2748" w:rsidRPr="00B4149C" w:rsidRDefault="003A2748" w:rsidP="00B737A1">
      <w:pPr>
        <w:spacing w:after="360"/>
      </w:pPr>
      <w:r w:rsidRPr="00B73937">
        <w:rPr>
          <w:noProof/>
          <w:lang w:eastAsia="en-AU"/>
        </w:rPr>
        <w:drawing>
          <wp:inline distT="0" distB="0" distL="0" distR="0" wp14:anchorId="4D095450" wp14:editId="15DD859D">
            <wp:extent cx="4572000" cy="3232564"/>
            <wp:effectExtent l="0" t="0" r="0" b="6350"/>
            <wp:docPr id="11" name="Picture 11" descr="Transition and Wellbeing Research Programm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INTRODUCTION\TWRP diagram - 22.9.20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3232564"/>
                    </a:xfrm>
                    <a:prstGeom prst="rect">
                      <a:avLst/>
                    </a:prstGeom>
                    <a:noFill/>
                    <a:ln>
                      <a:noFill/>
                    </a:ln>
                  </pic:spPr>
                </pic:pic>
              </a:graphicData>
            </a:graphic>
          </wp:inline>
        </w:drawing>
      </w:r>
    </w:p>
    <w:p w14:paraId="22BA7287" w14:textId="77777777" w:rsidR="003A2748" w:rsidRPr="002B131E" w:rsidRDefault="003A2748" w:rsidP="003A2748">
      <w:r w:rsidRPr="002B131E">
        <w:t>The Transition and Wellbeing Research Programme (Programme) is the most comprehensive study undertaken in Australia that examines the impact of military service on the mental, physical and social health of:</w:t>
      </w:r>
    </w:p>
    <w:p w14:paraId="65C8675A" w14:textId="77777777" w:rsidR="003A2748" w:rsidRPr="009548EA" w:rsidRDefault="003A2748" w:rsidP="003A2748">
      <w:pPr>
        <w:pStyle w:val="Bullet"/>
      </w:pPr>
      <w:r w:rsidRPr="009548EA">
        <w:t xml:space="preserve">serving and ex-serving Australian Defence Force (ADF) members including those who have been deployed in contemporary conflicts, and </w:t>
      </w:r>
    </w:p>
    <w:p w14:paraId="5431DE61" w14:textId="77777777" w:rsidR="003A2748" w:rsidRPr="009548EA" w:rsidRDefault="003A2748" w:rsidP="003A2748">
      <w:pPr>
        <w:pStyle w:val="Bullet"/>
      </w:pPr>
      <w:r w:rsidRPr="009548EA">
        <w:t xml:space="preserve">their families. </w:t>
      </w:r>
    </w:p>
    <w:p w14:paraId="182D24A7" w14:textId="77777777" w:rsidR="003A2748" w:rsidRPr="002B131E" w:rsidRDefault="003A2748" w:rsidP="003A2748">
      <w:r w:rsidRPr="009548EA">
        <w:t>This research further extends</w:t>
      </w:r>
      <w:r w:rsidRPr="002B131E">
        <w:t xml:space="preserve"> and builds on the findings of the world-leading research conducted with current serving members of the ADF in the 2010 Military Health Outcomes Program (MilHOP). </w:t>
      </w:r>
    </w:p>
    <w:p w14:paraId="16E3E659" w14:textId="77777777" w:rsidR="003A2748" w:rsidRPr="002B131E" w:rsidRDefault="003A2748" w:rsidP="003A2748">
      <w:pPr>
        <w:rPr>
          <w:lang w:val="en"/>
        </w:rPr>
      </w:pPr>
      <w:r w:rsidRPr="002B131E">
        <w:rPr>
          <w:lang w:val="en"/>
        </w:rPr>
        <w:t xml:space="preserve">This current research, conducted in 2015, </w:t>
      </w:r>
      <w:r w:rsidRPr="002B131E">
        <w:t>arises from the collaborative partnership between the Department of Veterans’ Affairs (DVA) and Department of Defence</w:t>
      </w:r>
      <w:r>
        <w:t xml:space="preserve"> (Defence)</w:t>
      </w:r>
      <w:r w:rsidRPr="002B131E">
        <w:t>. It aims to implement the Government’s goal of ensuring that current and future policy, programs and services are responsive to the current and emerging health and wellbeing needs of serving and ex-serving ADF members and their families before, during and after transition from military life.</w:t>
      </w:r>
    </w:p>
    <w:p w14:paraId="4008A957" w14:textId="53284409" w:rsidR="003A2748" w:rsidRPr="00C94E18" w:rsidRDefault="003A2748" w:rsidP="00FB7AA0">
      <w:pPr>
        <w:rPr>
          <w:b/>
        </w:rPr>
      </w:pPr>
      <w:r w:rsidRPr="00C94E18">
        <w:t xml:space="preserve">Ten objectives were developed to guide the Programme. The objectives </w:t>
      </w:r>
      <w:r w:rsidR="000637D3">
        <w:t>were</w:t>
      </w:r>
      <w:r w:rsidRPr="00C94E18">
        <w:t xml:space="preserve"> realised through three studies comprising eight reports: the Mental Health and Wellbeing Transition Study (five reports and two papers), the Impact of Combat Study (one report), the Family Wellbeing Study (one report) and the </w:t>
      </w:r>
      <w:r w:rsidRPr="00236261">
        <w:rPr>
          <w:i/>
        </w:rPr>
        <w:t>Transition and Wellbeing Research Programme Key Findings Report</w:t>
      </w:r>
      <w:r w:rsidRPr="00C94E18">
        <w:t>, which summarises the research</w:t>
      </w:r>
      <w:r w:rsidRPr="00C94E18">
        <w:rPr>
          <w:bCs/>
        </w:rPr>
        <w:t xml:space="preserve">, </w:t>
      </w:r>
      <w:r w:rsidRPr="00C94E18">
        <w:t>as the diagram above shows. The table below shows which reports deliver</w:t>
      </w:r>
      <w:r w:rsidR="003E3044">
        <w:t>ed</w:t>
      </w:r>
      <w:r w:rsidRPr="00C94E18">
        <w:t xml:space="preserve"> on the objectives. This </w:t>
      </w:r>
      <w:r>
        <w:t xml:space="preserve">present </w:t>
      </w:r>
      <w:r w:rsidRPr="00C94E18">
        <w:t xml:space="preserve">report, </w:t>
      </w:r>
      <w:r w:rsidRPr="00236261">
        <w:rPr>
          <w:i/>
        </w:rPr>
        <w:t>Technology Use and Wellbeing</w:t>
      </w:r>
      <w:r>
        <w:t>, addresses the fifth</w:t>
      </w:r>
      <w:r w:rsidRPr="00C94E18">
        <w:t xml:space="preserve"> research objective, which </w:t>
      </w:r>
      <w:r w:rsidR="000637D3">
        <w:t>was</w:t>
      </w:r>
      <w:r w:rsidRPr="00C94E18">
        <w:t xml:space="preserve"> to </w:t>
      </w:r>
      <w:r>
        <w:t>i</w:t>
      </w:r>
      <w:r w:rsidRPr="000947FE">
        <w:t>nvestigate technology and its utility for health and mental health programmes</w:t>
      </w:r>
      <w:r w:rsidR="00285FA7">
        <w:t>,</w:t>
      </w:r>
      <w:r w:rsidRPr="000947FE">
        <w:t xml:space="preserve"> including implications for future health service delivery.</w:t>
      </w:r>
    </w:p>
    <w:tbl>
      <w:tblPr>
        <w:tblStyle w:val="TWRPTable"/>
        <w:tblW w:w="5000" w:type="pct"/>
        <w:tblLayout w:type="fixed"/>
        <w:tblLook w:val="04A0" w:firstRow="1" w:lastRow="0" w:firstColumn="1" w:lastColumn="0" w:noHBand="0" w:noVBand="1"/>
        <w:tblDescription w:val="Programme objectives"/>
      </w:tblPr>
      <w:tblGrid>
        <w:gridCol w:w="4206"/>
        <w:gridCol w:w="2883"/>
      </w:tblGrid>
      <w:tr w:rsidR="003A2748" w:rsidRPr="003B0404" w14:paraId="24503A18" w14:textId="77777777" w:rsidTr="008371D0">
        <w:trPr>
          <w:cnfStyle w:val="100000000000" w:firstRow="1" w:lastRow="0" w:firstColumn="0" w:lastColumn="0" w:oddVBand="0" w:evenVBand="0" w:oddHBand="0" w:evenHBand="0" w:firstRowFirstColumn="0" w:firstRowLastColumn="0" w:lastRowFirstColumn="0" w:lastRowLastColumn="0"/>
          <w:tblHeader/>
        </w:trPr>
        <w:tc>
          <w:tcPr>
            <w:tcW w:w="4342" w:type="dxa"/>
          </w:tcPr>
          <w:p w14:paraId="2755539C" w14:textId="77777777" w:rsidR="003A2748" w:rsidRPr="003B0404" w:rsidRDefault="003A2748" w:rsidP="003A2748">
            <w:pPr>
              <w:pStyle w:val="TableText"/>
              <w:rPr>
                <w:b w:val="0"/>
              </w:rPr>
            </w:pPr>
            <w:r w:rsidRPr="003B0404">
              <w:br w:type="page"/>
              <w:t>Programme objectives</w:t>
            </w:r>
          </w:p>
        </w:tc>
        <w:tc>
          <w:tcPr>
            <w:tcW w:w="2973" w:type="dxa"/>
          </w:tcPr>
          <w:p w14:paraId="0F755BD2" w14:textId="77777777" w:rsidR="003A2748" w:rsidRPr="003B0404" w:rsidRDefault="003A2748" w:rsidP="003A2748">
            <w:pPr>
              <w:pStyle w:val="TableText"/>
              <w:rPr>
                <w:b w:val="0"/>
              </w:rPr>
            </w:pPr>
            <w:r w:rsidRPr="003B0404">
              <w:t>Corresponding reports and papers</w:t>
            </w:r>
          </w:p>
        </w:tc>
      </w:tr>
      <w:tr w:rsidR="003A2748" w:rsidRPr="00C94E18" w14:paraId="6C519264" w14:textId="77777777" w:rsidTr="00FB7AA0">
        <w:trPr>
          <w:cnfStyle w:val="000000100000" w:firstRow="0" w:lastRow="0" w:firstColumn="0" w:lastColumn="0" w:oddVBand="0" w:evenVBand="0" w:oddHBand="1" w:evenHBand="0" w:firstRowFirstColumn="0" w:firstRowLastColumn="0" w:lastRowFirstColumn="0" w:lastRowLastColumn="0"/>
        </w:trPr>
        <w:tc>
          <w:tcPr>
            <w:tcW w:w="4342" w:type="dxa"/>
          </w:tcPr>
          <w:p w14:paraId="34D1640A" w14:textId="77777777" w:rsidR="003A2748" w:rsidRPr="00C94E18" w:rsidRDefault="003A2748" w:rsidP="003A2748">
            <w:pPr>
              <w:pStyle w:val="TableText"/>
            </w:pPr>
            <w:r w:rsidRPr="00C94E18">
              <w:t>1. Determine the prevalence of mental disorders among ADF members who have transitioned from Regular ADF service between 2010 and 2014.</w:t>
            </w:r>
          </w:p>
          <w:p w14:paraId="5FF7ABBF" w14:textId="77777777" w:rsidR="003A2748" w:rsidRPr="00C94E18" w:rsidRDefault="003A2748" w:rsidP="003A2748">
            <w:pPr>
              <w:pStyle w:val="TableText"/>
            </w:pPr>
            <w:r w:rsidRPr="00C94E18">
              <w:t>2. Examine self-reported mental health status of Transitioned ADF and the 2015 Regular ADF.</w:t>
            </w:r>
          </w:p>
        </w:tc>
        <w:tc>
          <w:tcPr>
            <w:tcW w:w="2973" w:type="dxa"/>
          </w:tcPr>
          <w:p w14:paraId="3B84AF9B" w14:textId="77777777" w:rsidR="003A2748" w:rsidRPr="00C94E18" w:rsidRDefault="003A2748" w:rsidP="003A2748">
            <w:pPr>
              <w:pStyle w:val="TableText"/>
              <w:rPr>
                <w:i/>
              </w:rPr>
            </w:pPr>
            <w:r w:rsidRPr="00C94E18">
              <w:rPr>
                <w:i/>
                <w:lang w:val="en-US" w:eastAsia="ja-JP"/>
              </w:rPr>
              <w:t xml:space="preserve">Mental Health Prevalence Report </w:t>
            </w:r>
          </w:p>
        </w:tc>
      </w:tr>
      <w:tr w:rsidR="003A2748" w:rsidRPr="00C94E18" w14:paraId="391D470C" w14:textId="77777777" w:rsidTr="00FB7AA0">
        <w:tc>
          <w:tcPr>
            <w:tcW w:w="4342" w:type="dxa"/>
          </w:tcPr>
          <w:p w14:paraId="1069F24E" w14:textId="77777777" w:rsidR="003A2748" w:rsidRPr="00C94E18" w:rsidRDefault="003A2748" w:rsidP="003A2748">
            <w:pPr>
              <w:pStyle w:val="TableText"/>
            </w:pPr>
            <w:r w:rsidRPr="00C94E18">
              <w:t>3. Assess pathways to care for Transitioned ADF and the 2015 Regular ADF, including those with a probable 30-day mental disorder.</w:t>
            </w:r>
          </w:p>
        </w:tc>
        <w:tc>
          <w:tcPr>
            <w:tcW w:w="2973" w:type="dxa"/>
          </w:tcPr>
          <w:p w14:paraId="4B814412" w14:textId="77777777" w:rsidR="003A2748" w:rsidRPr="003B0404" w:rsidRDefault="003B0404" w:rsidP="003A2748">
            <w:pPr>
              <w:pStyle w:val="TableText"/>
              <w:rPr>
                <w:i/>
              </w:rPr>
            </w:pPr>
            <w:r>
              <w:rPr>
                <w:i/>
              </w:rPr>
              <w:t>Pathways to Care Report</w:t>
            </w:r>
          </w:p>
        </w:tc>
      </w:tr>
      <w:tr w:rsidR="003A2748" w:rsidRPr="00C94E18" w14:paraId="0F86278B" w14:textId="77777777" w:rsidTr="00FB7AA0">
        <w:trPr>
          <w:cnfStyle w:val="000000100000" w:firstRow="0" w:lastRow="0" w:firstColumn="0" w:lastColumn="0" w:oddVBand="0" w:evenVBand="0" w:oddHBand="1" w:evenHBand="0" w:firstRowFirstColumn="0" w:firstRowLastColumn="0" w:lastRowFirstColumn="0" w:lastRowLastColumn="0"/>
        </w:trPr>
        <w:tc>
          <w:tcPr>
            <w:tcW w:w="4342" w:type="dxa"/>
          </w:tcPr>
          <w:p w14:paraId="333B6F67" w14:textId="77777777" w:rsidR="003A2748" w:rsidRPr="00C94E18" w:rsidRDefault="003A2748" w:rsidP="003A2748">
            <w:pPr>
              <w:pStyle w:val="TableText"/>
            </w:pPr>
            <w:r w:rsidRPr="00C94E18">
              <w:t>4. Examine the physical health status of Transitioned ADF and the 2015 Regular ADF.</w:t>
            </w:r>
          </w:p>
        </w:tc>
        <w:tc>
          <w:tcPr>
            <w:tcW w:w="2973" w:type="dxa"/>
          </w:tcPr>
          <w:p w14:paraId="0A2D864E" w14:textId="77777777" w:rsidR="003A2748" w:rsidRPr="003B0404" w:rsidRDefault="003A2748" w:rsidP="003A2748">
            <w:pPr>
              <w:pStyle w:val="TableText"/>
              <w:rPr>
                <w:i/>
              </w:rPr>
            </w:pPr>
            <w:r w:rsidRPr="00C94E18">
              <w:rPr>
                <w:i/>
              </w:rPr>
              <w:t>Physical Health</w:t>
            </w:r>
            <w:r w:rsidR="003B0404">
              <w:rPr>
                <w:i/>
              </w:rPr>
              <w:t xml:space="preserve"> Status Report</w:t>
            </w:r>
          </w:p>
        </w:tc>
      </w:tr>
      <w:tr w:rsidR="003A2748" w:rsidRPr="00C94E18" w14:paraId="0C98EF78" w14:textId="77777777" w:rsidTr="00FB7AA0">
        <w:tc>
          <w:tcPr>
            <w:tcW w:w="4342" w:type="dxa"/>
          </w:tcPr>
          <w:p w14:paraId="28A7C4BB" w14:textId="2E15A190" w:rsidR="003A2748" w:rsidRPr="00C94E18" w:rsidRDefault="003A2748" w:rsidP="003A2748">
            <w:pPr>
              <w:pStyle w:val="TableText"/>
              <w:rPr>
                <w:rFonts w:eastAsiaTheme="minorEastAsia"/>
              </w:rPr>
            </w:pPr>
            <w:r w:rsidRPr="00C94E18">
              <w:rPr>
                <w:rFonts w:eastAsiaTheme="minorEastAsia"/>
              </w:rPr>
              <w:t>5. Investigate technology and its utility for health and mental health programmes</w:t>
            </w:r>
            <w:r w:rsidR="00FB7AA0">
              <w:rPr>
                <w:rFonts w:eastAsiaTheme="minorEastAsia"/>
              </w:rPr>
              <w:t>,</w:t>
            </w:r>
            <w:r w:rsidRPr="00C94E18">
              <w:rPr>
                <w:rFonts w:eastAsiaTheme="minorEastAsia"/>
              </w:rPr>
              <w:t xml:space="preserve"> including implications for future health service delivery.</w:t>
            </w:r>
          </w:p>
        </w:tc>
        <w:tc>
          <w:tcPr>
            <w:tcW w:w="2973" w:type="dxa"/>
          </w:tcPr>
          <w:p w14:paraId="47330D7B" w14:textId="77777777" w:rsidR="003A2748" w:rsidRPr="003B0404" w:rsidRDefault="003A2748" w:rsidP="003A2748">
            <w:pPr>
              <w:pStyle w:val="TableText"/>
              <w:rPr>
                <w:i/>
              </w:rPr>
            </w:pPr>
            <w:r w:rsidRPr="00C94E18">
              <w:rPr>
                <w:i/>
              </w:rPr>
              <w:t>Tech</w:t>
            </w:r>
            <w:r w:rsidR="003B0404">
              <w:rPr>
                <w:i/>
              </w:rPr>
              <w:t>nology Use and Wellbeing Report</w:t>
            </w:r>
          </w:p>
        </w:tc>
      </w:tr>
      <w:tr w:rsidR="003A2748" w:rsidRPr="00C94E18" w14:paraId="0CF5725B" w14:textId="77777777" w:rsidTr="00FB7AA0">
        <w:trPr>
          <w:cnfStyle w:val="000000100000" w:firstRow="0" w:lastRow="0" w:firstColumn="0" w:lastColumn="0" w:oddVBand="0" w:evenVBand="0" w:oddHBand="1" w:evenHBand="0" w:firstRowFirstColumn="0" w:firstRowLastColumn="0" w:lastRowFirstColumn="0" w:lastRowLastColumn="0"/>
        </w:trPr>
        <w:tc>
          <w:tcPr>
            <w:tcW w:w="4342" w:type="dxa"/>
          </w:tcPr>
          <w:p w14:paraId="62278284" w14:textId="77777777" w:rsidR="003A2748" w:rsidRPr="00C94E18" w:rsidRDefault="003A2748" w:rsidP="003A2748">
            <w:pPr>
              <w:pStyle w:val="TableText"/>
              <w:rPr>
                <w:rFonts w:eastAsiaTheme="minorEastAsia"/>
              </w:rPr>
            </w:pPr>
            <w:r w:rsidRPr="00C94E18">
              <w:rPr>
                <w:rFonts w:eastAsiaTheme="minorEastAsia"/>
              </w:rPr>
              <w:t>6. Conduct predictive modelling of the trajectory of mental health symptoms/disorder of Transitioned ADF and the 2015 Regular ADF, removing the need to rely on estimated rates.</w:t>
            </w:r>
          </w:p>
        </w:tc>
        <w:tc>
          <w:tcPr>
            <w:tcW w:w="2973" w:type="dxa"/>
          </w:tcPr>
          <w:p w14:paraId="20C6FD70" w14:textId="77777777" w:rsidR="003A2748" w:rsidRPr="00C94E18" w:rsidRDefault="003A2748" w:rsidP="003A2748">
            <w:pPr>
              <w:pStyle w:val="TableText"/>
              <w:rPr>
                <w:i/>
              </w:rPr>
            </w:pPr>
            <w:r w:rsidRPr="00C94E18">
              <w:rPr>
                <w:i/>
                <w:color w:val="auto"/>
              </w:rPr>
              <w:t>Mental Health Changes Over Time: a Longitudinal Perspective Report</w:t>
            </w:r>
          </w:p>
        </w:tc>
      </w:tr>
      <w:tr w:rsidR="003A2748" w:rsidRPr="00C94E18" w14:paraId="6C16291B" w14:textId="77777777" w:rsidTr="00FB7AA0">
        <w:tc>
          <w:tcPr>
            <w:tcW w:w="4342" w:type="dxa"/>
          </w:tcPr>
          <w:p w14:paraId="3F30B72B" w14:textId="77777777" w:rsidR="003A2748" w:rsidRPr="00C94E18" w:rsidRDefault="003A2748" w:rsidP="003A2748">
            <w:pPr>
              <w:pStyle w:val="TableText"/>
            </w:pPr>
            <w:r w:rsidRPr="00C94E18">
              <w:t>7. Investigate the mental health and wellbeing of currently serving 2015 Ab-initio Reservists.</w:t>
            </w:r>
          </w:p>
        </w:tc>
        <w:tc>
          <w:tcPr>
            <w:tcW w:w="2973" w:type="dxa"/>
          </w:tcPr>
          <w:p w14:paraId="4AEFC99B" w14:textId="77777777" w:rsidR="003A2748" w:rsidRPr="00C94E18" w:rsidRDefault="003A2748" w:rsidP="003A2748">
            <w:pPr>
              <w:pStyle w:val="TableText"/>
              <w:rPr>
                <w:i/>
              </w:rPr>
            </w:pPr>
            <w:r w:rsidRPr="00C94E18">
              <w:rPr>
                <w:i/>
              </w:rPr>
              <w:t>The Health and Wellbeing of ADF Reservists Paper</w:t>
            </w:r>
          </w:p>
        </w:tc>
      </w:tr>
      <w:tr w:rsidR="003A2748" w:rsidRPr="00C94E18" w14:paraId="77150466" w14:textId="77777777" w:rsidTr="00FB7AA0">
        <w:trPr>
          <w:cnfStyle w:val="000000100000" w:firstRow="0" w:lastRow="0" w:firstColumn="0" w:lastColumn="0" w:oddVBand="0" w:evenVBand="0" w:oddHBand="1" w:evenHBand="0" w:firstRowFirstColumn="0" w:firstRowLastColumn="0" w:lastRowFirstColumn="0" w:lastRowLastColumn="0"/>
        </w:trPr>
        <w:tc>
          <w:tcPr>
            <w:tcW w:w="4342" w:type="dxa"/>
          </w:tcPr>
          <w:p w14:paraId="2933DCEF" w14:textId="77777777" w:rsidR="003A2748" w:rsidRPr="00C94E18" w:rsidRDefault="003A2748" w:rsidP="003A2748">
            <w:pPr>
              <w:pStyle w:val="TableText"/>
            </w:pPr>
            <w:r w:rsidRPr="00C94E18">
              <w:t>8. Examine the factors that contribute to the wellbeing of Transitioned ADF and the 2015 Regular ADF.</w:t>
            </w:r>
          </w:p>
        </w:tc>
        <w:tc>
          <w:tcPr>
            <w:tcW w:w="2973" w:type="dxa"/>
          </w:tcPr>
          <w:p w14:paraId="45AF747F" w14:textId="77777777" w:rsidR="003A2748" w:rsidRPr="00C94E18" w:rsidRDefault="003A2748" w:rsidP="003A2748">
            <w:pPr>
              <w:pStyle w:val="TableText"/>
              <w:rPr>
                <w:i/>
              </w:rPr>
            </w:pPr>
            <w:r w:rsidRPr="00C94E18">
              <w:rPr>
                <w:i/>
              </w:rPr>
              <w:t xml:space="preserve">Psychosocial Predictors of Health Paper </w:t>
            </w:r>
          </w:p>
        </w:tc>
      </w:tr>
      <w:tr w:rsidR="003A2748" w:rsidRPr="00C94E18" w14:paraId="760FF52B" w14:textId="77777777" w:rsidTr="00FB7AA0">
        <w:tc>
          <w:tcPr>
            <w:tcW w:w="4342" w:type="dxa"/>
          </w:tcPr>
          <w:p w14:paraId="7C56BC34" w14:textId="77777777" w:rsidR="003A2748" w:rsidRPr="00C94E18" w:rsidRDefault="003A2748" w:rsidP="003A2748">
            <w:pPr>
              <w:pStyle w:val="TableText"/>
            </w:pPr>
            <w:r w:rsidRPr="00C94E18">
              <w:t>9. Follow up on the mental, physical and neurocognitive health and wellbeing of participants who deployed to the Middle East Area of Operations between 2010 and 2012.</w:t>
            </w:r>
          </w:p>
        </w:tc>
        <w:tc>
          <w:tcPr>
            <w:tcW w:w="2973" w:type="dxa"/>
          </w:tcPr>
          <w:p w14:paraId="267F2089" w14:textId="77777777" w:rsidR="003A2748" w:rsidRPr="00C94E18" w:rsidRDefault="003A2748" w:rsidP="003A2748">
            <w:pPr>
              <w:pStyle w:val="TableText"/>
              <w:rPr>
                <w:i/>
              </w:rPr>
            </w:pPr>
            <w:r w:rsidRPr="00C94E18">
              <w:rPr>
                <w:i/>
              </w:rPr>
              <w:t xml:space="preserve">Impact of Combat Report </w:t>
            </w:r>
          </w:p>
        </w:tc>
      </w:tr>
      <w:tr w:rsidR="003A2748" w:rsidRPr="00C94E18" w14:paraId="25D721FD" w14:textId="77777777" w:rsidTr="00FB7AA0">
        <w:trPr>
          <w:cnfStyle w:val="000000100000" w:firstRow="0" w:lastRow="0" w:firstColumn="0" w:lastColumn="0" w:oddVBand="0" w:evenVBand="0" w:oddHBand="1" w:evenHBand="0" w:firstRowFirstColumn="0" w:firstRowLastColumn="0" w:lastRowFirstColumn="0" w:lastRowLastColumn="0"/>
        </w:trPr>
        <w:tc>
          <w:tcPr>
            <w:tcW w:w="4342" w:type="dxa"/>
          </w:tcPr>
          <w:p w14:paraId="5D3D64CF" w14:textId="77777777" w:rsidR="003A2748" w:rsidRPr="00C94E18" w:rsidRDefault="003A2748" w:rsidP="003A2748">
            <w:pPr>
              <w:pStyle w:val="TableText"/>
            </w:pPr>
            <w:r w:rsidRPr="00C94E18">
              <w:t>10. Investigate the impact of ADF service on the health and wellbeing of the families of Transitioned ADF and the 2015 Regular ADF.</w:t>
            </w:r>
          </w:p>
        </w:tc>
        <w:tc>
          <w:tcPr>
            <w:tcW w:w="2973" w:type="dxa"/>
          </w:tcPr>
          <w:p w14:paraId="17515283" w14:textId="77777777" w:rsidR="003A2748" w:rsidRPr="00C94E18" w:rsidRDefault="003A2748" w:rsidP="00740F5E">
            <w:pPr>
              <w:pStyle w:val="TableText"/>
              <w:rPr>
                <w:i/>
              </w:rPr>
            </w:pPr>
            <w:r w:rsidRPr="00C94E18">
              <w:rPr>
                <w:i/>
              </w:rPr>
              <w:t>Family Wellbeing Study</w:t>
            </w:r>
            <w:r w:rsidRPr="00C94E18">
              <w:t xml:space="preserve"> </w:t>
            </w:r>
          </w:p>
        </w:tc>
      </w:tr>
      <w:tr w:rsidR="003A2748" w:rsidRPr="00C94E18" w14:paraId="0B4956D8" w14:textId="77777777" w:rsidTr="00FB7AA0">
        <w:tc>
          <w:tcPr>
            <w:tcW w:w="4342" w:type="dxa"/>
          </w:tcPr>
          <w:p w14:paraId="493FBBCE" w14:textId="77777777" w:rsidR="003A2748" w:rsidRPr="00C94E18" w:rsidRDefault="003A2748" w:rsidP="003A2748">
            <w:pPr>
              <w:pStyle w:val="TableText"/>
            </w:pPr>
            <w:r w:rsidRPr="00C94E18">
              <w:t>All objectives</w:t>
            </w:r>
          </w:p>
        </w:tc>
        <w:tc>
          <w:tcPr>
            <w:tcW w:w="2973" w:type="dxa"/>
          </w:tcPr>
          <w:p w14:paraId="2D149FF5" w14:textId="77777777" w:rsidR="003A2748" w:rsidRPr="00C94E18" w:rsidRDefault="003A2748" w:rsidP="003A2748">
            <w:pPr>
              <w:pStyle w:val="TableText"/>
              <w:rPr>
                <w:i/>
              </w:rPr>
            </w:pPr>
            <w:r w:rsidRPr="00C94E18">
              <w:rPr>
                <w:i/>
              </w:rPr>
              <w:t>Transition and Wellbeing Research Programme Key Findings Report</w:t>
            </w:r>
          </w:p>
        </w:tc>
      </w:tr>
    </w:tbl>
    <w:p w14:paraId="56766518" w14:textId="77777777" w:rsidR="003A2748" w:rsidRPr="00C94E18" w:rsidRDefault="003A2748" w:rsidP="00FB7AA0">
      <w:pPr>
        <w:spacing w:before="120"/>
      </w:pPr>
      <w:r w:rsidRPr="00C94E18">
        <w:t>Two eminent Australian research institutions, one specialising in trauma and the other in families, have led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14:paraId="171126EF" w14:textId="77777777" w:rsidR="003A2748" w:rsidRPr="00C94E18" w:rsidRDefault="003A2748" w:rsidP="003A2748">
      <w:r w:rsidRPr="00C94E18">
        <w:t>Their research expertise is enhanced through partner institutions from Monash University, the University of New South Wales, Phoenix Australia Centre for Posttraumatic Mental Health and, until June 2016, the Young and Well Cooperative Research Centre, the work of which is being continued at the University of Sydney.</w:t>
      </w:r>
    </w:p>
    <w:p w14:paraId="080F50CE" w14:textId="77777777" w:rsidR="003A2748" w:rsidRPr="009548EA" w:rsidRDefault="003A2748" w:rsidP="003A2748">
      <w:pPr>
        <w:keepNext/>
      </w:pPr>
      <w:r w:rsidRPr="00C94E18">
        <w:t xml:space="preserve">Through surveys and interviews, the researchers engaged with a range of </w:t>
      </w:r>
      <w:r>
        <w:t xml:space="preserve">ex-serving and serving </w:t>
      </w:r>
      <w:r w:rsidRPr="009548EA">
        <w:t xml:space="preserve">ADF members including: </w:t>
      </w:r>
    </w:p>
    <w:p w14:paraId="4E9BA83B" w14:textId="3C9511CC" w:rsidR="003A2748" w:rsidRPr="009548EA" w:rsidRDefault="003A2748" w:rsidP="003A2748">
      <w:pPr>
        <w:pStyle w:val="Bullet"/>
      </w:pPr>
      <w:r w:rsidRPr="009548EA">
        <w:t>ADF members who transitioned from the Regular ADF between 2010 and 2014 (including Ex-</w:t>
      </w:r>
      <w:r w:rsidR="00FB7AA0">
        <w:t>S</w:t>
      </w:r>
      <w:r w:rsidRPr="009548EA">
        <w:t xml:space="preserve">erving, Active and Inactive Reservists) </w:t>
      </w:r>
    </w:p>
    <w:p w14:paraId="4491BE85" w14:textId="77777777" w:rsidR="003A2748" w:rsidRPr="009548EA" w:rsidRDefault="003A2748" w:rsidP="003A2748">
      <w:pPr>
        <w:pStyle w:val="Bullet"/>
      </w:pPr>
      <w:r w:rsidRPr="009548EA">
        <w:t xml:space="preserve">a random sample of Regular ADF members serving in 2015 </w:t>
      </w:r>
    </w:p>
    <w:p w14:paraId="2646BB0D" w14:textId="77777777" w:rsidR="003A2748" w:rsidRPr="009548EA" w:rsidRDefault="003A2748" w:rsidP="003A2748">
      <w:pPr>
        <w:pStyle w:val="Bullet"/>
      </w:pPr>
      <w:r w:rsidRPr="009548EA">
        <w:t xml:space="preserve">a sample of Ab-initio Reservists serving in 2015 (who have never been full-time ADF members) </w:t>
      </w:r>
    </w:p>
    <w:p w14:paraId="0282A72F" w14:textId="77777777" w:rsidR="003A2748" w:rsidRPr="009548EA" w:rsidRDefault="003A2748" w:rsidP="003A2748">
      <w:pPr>
        <w:pStyle w:val="Bullet"/>
      </w:pPr>
      <w:r w:rsidRPr="009548EA">
        <w:t xml:space="preserve">2015 Regular ADF and Transitioned ADF members who participated in MilHOP </w:t>
      </w:r>
    </w:p>
    <w:p w14:paraId="69547829" w14:textId="77777777" w:rsidR="003A2748" w:rsidRPr="009548EA" w:rsidRDefault="003A2748" w:rsidP="003A2748">
      <w:pPr>
        <w:pStyle w:val="Bullet"/>
      </w:pPr>
      <w:r w:rsidRPr="009548EA">
        <w:t>family members nominated by the above.</w:t>
      </w:r>
    </w:p>
    <w:p w14:paraId="68929EAD" w14:textId="77777777" w:rsidR="003A2748" w:rsidRPr="00C94E18" w:rsidRDefault="003A2748" w:rsidP="003A2748">
      <w:r w:rsidRPr="009548EA">
        <w:t>DVA and Defence thank the current and ex-serving</w:t>
      </w:r>
      <w:r w:rsidRPr="00C94E18">
        <w:t xml:space="preserve"> ADF members and their families who participated in this research, for sharing your experiences and insights. Your efforts will help inform and assist the ways you, your colleagues, friends and families, as well as those who come after you, can best be supported during and after your military career. </w:t>
      </w:r>
    </w:p>
    <w:p w14:paraId="5BDE4543" w14:textId="77777777" w:rsidR="003A2748" w:rsidRDefault="003A2748"/>
    <w:p w14:paraId="79140330" w14:textId="77777777" w:rsidR="003A2748" w:rsidRDefault="003A2748">
      <w:pPr>
        <w:sectPr w:rsidR="003A2748" w:rsidSect="00FF5B5F">
          <w:type w:val="oddPage"/>
          <w:pgSz w:w="9979" w:h="14170" w:code="243"/>
          <w:pgMar w:top="1440" w:right="1152" w:bottom="1440" w:left="1728" w:header="576" w:footer="576" w:gutter="0"/>
          <w:pgNumType w:fmt="lowerRoman"/>
          <w:cols w:space="708"/>
          <w:docGrid w:linePitch="360"/>
        </w:sectPr>
      </w:pPr>
    </w:p>
    <w:p w14:paraId="0FCB3F34" w14:textId="77777777" w:rsidR="005A713B" w:rsidRPr="00AD4202" w:rsidRDefault="005A713B" w:rsidP="005A713B">
      <w:pPr>
        <w:pStyle w:val="Heading1"/>
        <w:numPr>
          <w:ilvl w:val="0"/>
          <w:numId w:val="1"/>
        </w:numPr>
      </w:pPr>
      <w:bookmarkStart w:id="21" w:name="_Toc518566320"/>
      <w:bookmarkStart w:id="22" w:name="_Toc528932620"/>
      <w:bookmarkStart w:id="23" w:name="_Toc531859157"/>
      <w:bookmarkStart w:id="24" w:name="_Toc385859293"/>
      <w:r w:rsidRPr="00AD4202">
        <w:t>Introduction</w:t>
      </w:r>
      <w:bookmarkEnd w:id="21"/>
      <w:bookmarkEnd w:id="22"/>
      <w:bookmarkEnd w:id="23"/>
    </w:p>
    <w:p w14:paraId="03445DA0" w14:textId="77777777" w:rsidR="005A713B" w:rsidRPr="00AD4202" w:rsidRDefault="005A713B" w:rsidP="00C44855">
      <w:pPr>
        <w:pStyle w:val="Heading2"/>
      </w:pPr>
      <w:bookmarkStart w:id="25" w:name="_Toc518566321"/>
      <w:bookmarkStart w:id="26" w:name="_Toc528932621"/>
      <w:bookmarkStart w:id="27" w:name="_Toc531859158"/>
      <w:bookmarkEnd w:id="24"/>
      <w:r w:rsidRPr="00AD4202">
        <w:t>Background to the current report</w:t>
      </w:r>
      <w:bookmarkEnd w:id="25"/>
      <w:bookmarkEnd w:id="26"/>
      <w:bookmarkEnd w:id="27"/>
    </w:p>
    <w:p w14:paraId="70C86B49" w14:textId="77777777" w:rsidR="005A713B" w:rsidRPr="000C5066" w:rsidRDefault="005A713B" w:rsidP="00A7394E">
      <w:r>
        <w:t>The</w:t>
      </w:r>
      <w:r w:rsidRPr="000C5066">
        <w:t xml:space="preserve"> Australian Government </w:t>
      </w:r>
      <w:r>
        <w:t>has prioritised</w:t>
      </w:r>
      <w:r w:rsidRPr="000C5066">
        <w:t xml:space="preserve"> technology with the establishment of a </w:t>
      </w:r>
      <w:r w:rsidRPr="00353E51">
        <w:t>Digital Transformation Agency</w:t>
      </w:r>
      <w:r w:rsidRPr="000C5066">
        <w:t xml:space="preserve"> responsible for cross</w:t>
      </w:r>
      <w:r>
        <w:t>-</w:t>
      </w:r>
      <w:r w:rsidRPr="000C5066">
        <w:t xml:space="preserve">portfolio collaboration, while the </w:t>
      </w:r>
      <w:r w:rsidRPr="00353E51">
        <w:t>Australian Digital Health Agency</w:t>
      </w:r>
      <w:r w:rsidRPr="000C5066">
        <w:t xml:space="preserve"> is tasked with delivering</w:t>
      </w:r>
      <w:r>
        <w:t xml:space="preserve"> the</w:t>
      </w:r>
      <w:r w:rsidRPr="000C5066">
        <w:t xml:space="preserve"> </w:t>
      </w:r>
      <w:r w:rsidRPr="00353E51">
        <w:t>My Health Record</w:t>
      </w:r>
      <w:r w:rsidRPr="000C5066">
        <w:t>. In 2017,</w:t>
      </w:r>
      <w:r>
        <w:t xml:space="preserve"> </w:t>
      </w:r>
      <w:r w:rsidRPr="00353E51">
        <w:t xml:space="preserve">Australia’s National Digital Health Strategy </w:t>
      </w:r>
      <w:r>
        <w:t>–</w:t>
      </w:r>
      <w:r w:rsidRPr="00353E51">
        <w:t xml:space="preserve"> Safe, Seamless and Secure</w:t>
      </w:r>
      <w:r>
        <w:t xml:space="preserve"> </w:t>
      </w:r>
      <w:r w:rsidRPr="000C5066">
        <w:t>was approved by the Council of Australian Governments (COAG) Health Council</w:t>
      </w:r>
      <w:r>
        <w:t>,</w:t>
      </w:r>
      <w:r w:rsidRPr="000C5066">
        <w:t xml:space="preserve"> putting the consumer at the centre of their health</w:t>
      </w:r>
      <w:r>
        <w:t xml:space="preserve"> </w:t>
      </w:r>
      <w:r w:rsidRPr="000C5066">
        <w:t xml:space="preserve">care. It aims to provide choice, control and transparency </w:t>
      </w:r>
      <w:r>
        <w:rPr>
          <w:noProof/>
        </w:rPr>
        <w:t>(Australian Government Digital Health Agency, 2018a; Burns, 2018)</w:t>
      </w:r>
      <w:r w:rsidRPr="000C5066">
        <w:t>.</w:t>
      </w:r>
      <w:r>
        <w:t xml:space="preserve"> Similarly, the Defence Mental Health and Wellbeing Strategy 2018–2023 and the 2016 Department of Veterans Affairs’ Strategy position the person at the centre of system reform, with considerable investment to date in technology solutions made by Defence and DVA (see section 1.2 for more detail). </w:t>
      </w:r>
    </w:p>
    <w:p w14:paraId="53C8B726" w14:textId="67EE074D" w:rsidR="005A713B" w:rsidRPr="000C5066" w:rsidRDefault="005A713B" w:rsidP="005A713B">
      <w:r w:rsidRPr="000C5066">
        <w:t>These advances in digital health solutions in m</w:t>
      </w:r>
      <w:r>
        <w:t>ental health care create</w:t>
      </w:r>
      <w:r w:rsidRPr="000C5066">
        <w:t xml:space="preserve"> unique opportunities to improve services available for military personnel.</w:t>
      </w:r>
      <w:r>
        <w:t xml:space="preserve"> </w:t>
      </w:r>
      <w:r w:rsidRPr="000C5066">
        <w:t xml:space="preserve">The </w:t>
      </w:r>
      <w:r w:rsidRPr="00477AD4">
        <w:rPr>
          <w:i/>
        </w:rPr>
        <w:t>Mental Health Prevalence Report</w:t>
      </w:r>
      <w:r w:rsidRPr="000C5066">
        <w:t xml:space="preserve"> </w:t>
      </w:r>
      <w:r>
        <w:rPr>
          <w:noProof/>
        </w:rPr>
        <w:t>(Van Hooff et al., 201</w:t>
      </w:r>
      <w:r w:rsidR="004B02D6">
        <w:rPr>
          <w:noProof/>
        </w:rPr>
        <w:t>8</w:t>
      </w:r>
      <w:r w:rsidR="00483990">
        <w:rPr>
          <w:noProof/>
        </w:rPr>
        <w:t>a</w:t>
      </w:r>
      <w:r>
        <w:rPr>
          <w:noProof/>
        </w:rPr>
        <w:t>)</w:t>
      </w:r>
      <w:r>
        <w:t xml:space="preserve"> </w:t>
      </w:r>
      <w:r w:rsidRPr="000C5066">
        <w:t xml:space="preserve">and the </w:t>
      </w:r>
      <w:r w:rsidRPr="00477AD4">
        <w:rPr>
          <w:i/>
        </w:rPr>
        <w:t>Pathways to Care Report</w:t>
      </w:r>
      <w:r>
        <w:t xml:space="preserve"> </w:t>
      </w:r>
      <w:r>
        <w:rPr>
          <w:noProof/>
        </w:rPr>
        <w:t>(</w:t>
      </w:r>
      <w:r w:rsidR="008B4128">
        <w:rPr>
          <w:noProof/>
        </w:rPr>
        <w:t>Forbes et al. 2018</w:t>
      </w:r>
      <w:r>
        <w:rPr>
          <w:noProof/>
        </w:rPr>
        <w:t>)</w:t>
      </w:r>
      <w:r>
        <w:t xml:space="preserve"> have provided</w:t>
      </w:r>
      <w:r w:rsidRPr="000C5066">
        <w:t xml:space="preserve"> an interesting picture of </w:t>
      </w:r>
      <w:r>
        <w:t xml:space="preserve">help seeking and </w:t>
      </w:r>
      <w:r w:rsidRPr="000C5066">
        <w:t>technology use and tell us that:</w:t>
      </w:r>
    </w:p>
    <w:p w14:paraId="5626FF4D" w14:textId="77777777" w:rsidR="005A713B" w:rsidRPr="000C5066" w:rsidRDefault="005A713B" w:rsidP="005A713B">
      <w:pPr>
        <w:pStyle w:val="Bullet"/>
        <w:numPr>
          <w:ilvl w:val="0"/>
          <w:numId w:val="3"/>
        </w:numPr>
        <w:ind w:left="360"/>
      </w:pPr>
      <w:r w:rsidRPr="000C5066">
        <w:t>While the majority of Transitioned ADF and 2015 Regular ADF access care, challenges still exist in relation to the time it takes to seek care, stigma and perceived barriers to care and continuity of care, suggesting that there is still unmet mental health need</w:t>
      </w:r>
      <w:r>
        <w:t>.</w:t>
      </w:r>
    </w:p>
    <w:p w14:paraId="311D064A" w14:textId="77777777" w:rsidR="005A713B" w:rsidRPr="000C5066" w:rsidRDefault="005A713B" w:rsidP="005A713B">
      <w:pPr>
        <w:pStyle w:val="Bullet"/>
        <w:numPr>
          <w:ilvl w:val="0"/>
          <w:numId w:val="3"/>
        </w:numPr>
        <w:ind w:left="360"/>
      </w:pPr>
      <w:r>
        <w:t>A</w:t>
      </w:r>
      <w:r w:rsidRPr="00D51801">
        <w:t xml:space="preserve">mong those concerned with their </w:t>
      </w:r>
      <w:r w:rsidRPr="00D51801">
        <w:rPr>
          <w:szCs w:val="22"/>
        </w:rPr>
        <w:t>mental health</w:t>
      </w:r>
      <w:r>
        <w:rPr>
          <w:szCs w:val="22"/>
        </w:rPr>
        <w:t xml:space="preserve"> who had a probable disorder and did not seek help, </w:t>
      </w:r>
      <w:r>
        <w:t>a</w:t>
      </w:r>
      <w:r w:rsidRPr="000C5066">
        <w:t xml:space="preserve">lmost 70% of the Transitioned ADF and 60% of the 2015 Regular ADF </w:t>
      </w:r>
      <w:r>
        <w:t xml:space="preserve">reported that they </w:t>
      </w:r>
      <w:r w:rsidRPr="000C5066">
        <w:t>would prefer to self-manage, with 60% believing that they could still function</w:t>
      </w:r>
      <w:r>
        <w:t>.</w:t>
      </w:r>
      <w:r w:rsidRPr="000C5066">
        <w:t xml:space="preserve"> </w:t>
      </w:r>
    </w:p>
    <w:p w14:paraId="41870C24" w14:textId="77777777" w:rsidR="005A713B" w:rsidRDefault="005A713B" w:rsidP="005A713B">
      <w:pPr>
        <w:pStyle w:val="Bullet"/>
        <w:numPr>
          <w:ilvl w:val="0"/>
          <w:numId w:val="3"/>
        </w:numPr>
        <w:ind w:left="360"/>
      </w:pPr>
      <w:r w:rsidRPr="000C5066">
        <w:t>A</w:t>
      </w:r>
      <w:r>
        <w:t xml:space="preserve">pproximately </w:t>
      </w:r>
      <w:r w:rsidRPr="000C5066">
        <w:t xml:space="preserve">30% of Transitioned ADF and 2015 Regular ADF </w:t>
      </w:r>
      <w:r>
        <w:t>were</w:t>
      </w:r>
      <w:r w:rsidRPr="000C5066">
        <w:t xml:space="preserve"> happy to receive their services via the </w:t>
      </w:r>
      <w:r>
        <w:t>internet.</w:t>
      </w:r>
      <w:r w:rsidRPr="000C5066">
        <w:t xml:space="preserve"> </w:t>
      </w:r>
    </w:p>
    <w:p w14:paraId="74E990F3" w14:textId="77777777" w:rsidR="005A713B" w:rsidRPr="000C5066" w:rsidRDefault="005A713B" w:rsidP="005A713B">
      <w:pPr>
        <w:pStyle w:val="Bullet"/>
        <w:numPr>
          <w:ilvl w:val="0"/>
          <w:numId w:val="3"/>
        </w:numPr>
        <w:ind w:left="360"/>
      </w:pPr>
      <w:r w:rsidRPr="000C5066">
        <w:t>Approximately 20% of the Transitioned ADF and 1</w:t>
      </w:r>
      <w:r>
        <w:t>1</w:t>
      </w:r>
      <w:r w:rsidRPr="000C5066">
        <w:t xml:space="preserve">% of 2015 Regular ADF </w:t>
      </w:r>
      <w:r>
        <w:t>used</w:t>
      </w:r>
      <w:r w:rsidRPr="000C5066">
        <w:t xml:space="preserve"> </w:t>
      </w:r>
      <w:r>
        <w:t xml:space="preserve">other internet resources in the last 12 months to inform or assess their mental health. Social media was the most common internet resource, </w:t>
      </w:r>
      <w:r w:rsidRPr="000C5066">
        <w:t>with 18.1%</w:t>
      </w:r>
      <w:r>
        <w:t xml:space="preserve"> of Transitioned ADF</w:t>
      </w:r>
      <w:r w:rsidRPr="000C5066">
        <w:t xml:space="preserve"> and 9.9% of 2015 Regular ADF using </w:t>
      </w:r>
      <w:r>
        <w:t>it,</w:t>
      </w:r>
      <w:r w:rsidRPr="000C5066">
        <w:t xml:space="preserve"> and approximately </w:t>
      </w:r>
      <w:r>
        <w:t>55% of them finding it helpful.</w:t>
      </w:r>
    </w:p>
    <w:p w14:paraId="3F6AAC3E" w14:textId="77777777" w:rsidR="005A713B" w:rsidRPr="000C5066" w:rsidRDefault="005A713B" w:rsidP="005A713B">
      <w:pPr>
        <w:pStyle w:val="Bullet"/>
        <w:numPr>
          <w:ilvl w:val="0"/>
          <w:numId w:val="3"/>
        </w:numPr>
        <w:ind w:left="360"/>
      </w:pPr>
      <w:r w:rsidRPr="000C5066">
        <w:t xml:space="preserve">The Transitioned ADF and 2015 Regular ADF </w:t>
      </w:r>
      <w:r>
        <w:t>were</w:t>
      </w:r>
      <w:r w:rsidRPr="000C5066">
        <w:t xml:space="preserve"> more likely to access face</w:t>
      </w:r>
      <w:r>
        <w:t>-</w:t>
      </w:r>
      <w:r w:rsidRPr="000C5066">
        <w:t>to</w:t>
      </w:r>
      <w:r>
        <w:t>-</w:t>
      </w:r>
      <w:r w:rsidRPr="000C5066">
        <w:t>face and online services that are tailored for the military</w:t>
      </w:r>
      <w:r>
        <w:t>.</w:t>
      </w:r>
    </w:p>
    <w:p w14:paraId="7A5EAB00" w14:textId="77777777" w:rsidR="005A713B" w:rsidRPr="00AC70CA" w:rsidRDefault="005A713B" w:rsidP="005A713B">
      <w:pPr>
        <w:pStyle w:val="Bullet"/>
        <w:numPr>
          <w:ilvl w:val="0"/>
          <w:numId w:val="3"/>
        </w:numPr>
        <w:ind w:left="360"/>
      </w:pPr>
      <w:r w:rsidRPr="000C5066">
        <w:t xml:space="preserve">Despite significant effort across Defence and DVA </w:t>
      </w:r>
      <w:r>
        <w:t>to develop</w:t>
      </w:r>
      <w:r w:rsidRPr="000C5066">
        <w:t xml:space="preserve"> online resources and </w:t>
      </w:r>
      <w:r>
        <w:t>app</w:t>
      </w:r>
      <w:r w:rsidRPr="000C5066">
        <w:t>s, such as High Res and PTSD Coach, utilisation</w:t>
      </w:r>
      <w:r>
        <w:t xml:space="preserve"> was</w:t>
      </w:r>
      <w:r w:rsidRPr="000C5066">
        <w:t xml:space="preserve"> </w:t>
      </w:r>
      <w:r>
        <w:t xml:space="preserve">relatively </w:t>
      </w:r>
      <w:r w:rsidRPr="000C5066">
        <w:t>low.</w:t>
      </w:r>
    </w:p>
    <w:p w14:paraId="1CD30F18" w14:textId="77777777" w:rsidR="005A713B" w:rsidRDefault="005A713B" w:rsidP="005A713B">
      <w:r w:rsidRPr="000C5066">
        <w:t>These reports are the first of their kind to provide baseline data on how recently transitioned ADF members use</w:t>
      </w:r>
      <w:r>
        <w:t>d</w:t>
      </w:r>
      <w:r w:rsidRPr="000C5066">
        <w:t xml:space="preserve"> technology compared to those serving in the Regular ADF in 2015 and the implications this has for the mental health and wellbeing of Australian military personnel.</w:t>
      </w:r>
      <w:r>
        <w:t xml:space="preserve"> </w:t>
      </w:r>
    </w:p>
    <w:p w14:paraId="67F6DB5E" w14:textId="26E15F67" w:rsidR="005A713B" w:rsidRPr="000C5066" w:rsidRDefault="005A713B" w:rsidP="005A713B">
      <w:r w:rsidRPr="000C5066">
        <w:t>In this report</w:t>
      </w:r>
      <w:r w:rsidRPr="00B06E1A">
        <w:t xml:space="preserve"> </w:t>
      </w:r>
      <w:r>
        <w:t>we specifically explore</w:t>
      </w:r>
      <w:r w:rsidRPr="000C5066">
        <w:t xml:space="preserve"> the context of military life and the transition to civilian life and how technology can impact on serv</w:t>
      </w:r>
      <w:r>
        <w:t>ing and ex-serving communities. The</w:t>
      </w:r>
      <w:r w:rsidR="009049F5">
        <w:t> </w:t>
      </w:r>
      <w:r>
        <w:t>report</w:t>
      </w:r>
      <w:r w:rsidRPr="000C5066">
        <w:t xml:space="preserve"> explores how </w:t>
      </w:r>
      <w:r>
        <w:t>military populations</w:t>
      </w:r>
      <w:r w:rsidRPr="000C5066">
        <w:t xml:space="preserve"> interact with health care in the context of self-management</w:t>
      </w:r>
      <w:r>
        <w:t xml:space="preserve"> and early help seeking and shared care. </w:t>
      </w:r>
      <w:r w:rsidRPr="000C5066">
        <w:t>Where available, we critique the literature for both current and ex-serving military populations that highlight</w:t>
      </w:r>
      <w:r>
        <w:t>s</w:t>
      </w:r>
      <w:r w:rsidRPr="000C5066">
        <w:t xml:space="preserve"> some of the opportunities, challenges and ongoing research questions that require further investigation. </w:t>
      </w:r>
    </w:p>
    <w:p w14:paraId="044A8237" w14:textId="77777777" w:rsidR="005A713B" w:rsidRPr="000C5066" w:rsidRDefault="005A713B" w:rsidP="005A713B">
      <w:pPr>
        <w:rPr>
          <w:b/>
        </w:rPr>
      </w:pPr>
      <w:r>
        <w:t xml:space="preserve">In 2013, The Young and Well Cooperative Research Centre published </w:t>
      </w:r>
      <w:r w:rsidRPr="000C5066">
        <w:t xml:space="preserve">results from the ‘Young and Well National Survey’, and provided significant insight into the state of young men’s overall wellbeing, their mental health, and their use of technology in Australia </w:t>
      </w:r>
      <w:r>
        <w:rPr>
          <w:noProof/>
        </w:rPr>
        <w:t>(Burns et al., 2013)</w:t>
      </w:r>
      <w:r w:rsidRPr="000C5066">
        <w:t>.</w:t>
      </w:r>
      <w:r>
        <w:t xml:space="preserve"> </w:t>
      </w:r>
      <w:r w:rsidRPr="000C5066">
        <w:t>Despite reporting generally good health, 42% of young men aged 16 to 25 reported moderate to very high psychological distress</w:t>
      </w:r>
      <w:r>
        <w:t>. W</w:t>
      </w:r>
      <w:r w:rsidRPr="000C5066">
        <w:t xml:space="preserve">hen </w:t>
      </w:r>
      <w:r>
        <w:t xml:space="preserve">they were </w:t>
      </w:r>
      <w:r w:rsidRPr="000C5066">
        <w:t xml:space="preserve">asked about the use of new and emerging technologies </w:t>
      </w:r>
      <w:r>
        <w:t>it was found</w:t>
      </w:r>
      <w:r w:rsidRPr="000C5066">
        <w:t>:</w:t>
      </w:r>
    </w:p>
    <w:p w14:paraId="39721C06" w14:textId="77777777" w:rsidR="005A713B" w:rsidRPr="000C5066" w:rsidRDefault="005A713B" w:rsidP="005A713B">
      <w:pPr>
        <w:pStyle w:val="Bullet"/>
        <w:numPr>
          <w:ilvl w:val="0"/>
          <w:numId w:val="3"/>
        </w:numPr>
        <w:ind w:left="360"/>
        <w:rPr>
          <w:b/>
        </w:rPr>
      </w:pPr>
      <w:r w:rsidRPr="000C5066">
        <w:t xml:space="preserve">Young men with moderate to high psychological distress spent longer on the </w:t>
      </w:r>
      <w:r>
        <w:t>internet than those with low distress.</w:t>
      </w:r>
    </w:p>
    <w:p w14:paraId="69A9D3D1" w14:textId="77777777" w:rsidR="005A713B" w:rsidRPr="000C5066" w:rsidRDefault="005A713B" w:rsidP="005A713B">
      <w:pPr>
        <w:pStyle w:val="Bullet"/>
        <w:numPr>
          <w:ilvl w:val="0"/>
          <w:numId w:val="3"/>
        </w:numPr>
        <w:ind w:left="360"/>
        <w:rPr>
          <w:b/>
        </w:rPr>
      </w:pPr>
      <w:r>
        <w:t>Thirteen per cent</w:t>
      </w:r>
      <w:r w:rsidRPr="000C5066">
        <w:t xml:space="preserve"> of young men with moderate to very high levels of distress spent </w:t>
      </w:r>
      <w:r>
        <w:t>more</w:t>
      </w:r>
      <w:r w:rsidRPr="000C5066">
        <w:t xml:space="preserve"> than 10 hours </w:t>
      </w:r>
      <w:r>
        <w:t xml:space="preserve">per day </w:t>
      </w:r>
      <w:r w:rsidRPr="000C5066">
        <w:t xml:space="preserve">on the </w:t>
      </w:r>
      <w:r>
        <w:t>internet.</w:t>
      </w:r>
    </w:p>
    <w:p w14:paraId="332FD743" w14:textId="77777777" w:rsidR="005A713B" w:rsidRPr="000C5066" w:rsidRDefault="005A713B" w:rsidP="005A713B">
      <w:pPr>
        <w:pStyle w:val="Bullet"/>
        <w:numPr>
          <w:ilvl w:val="0"/>
          <w:numId w:val="3"/>
        </w:numPr>
        <w:ind w:left="360"/>
        <w:rPr>
          <w:b/>
        </w:rPr>
      </w:pPr>
      <w:r>
        <w:t>Thirty-three per cent</w:t>
      </w:r>
      <w:r w:rsidRPr="000C5066">
        <w:t xml:space="preserve"> of young men with moderate to very high levels of psychological distress accessed the </w:t>
      </w:r>
      <w:r>
        <w:t>internet</w:t>
      </w:r>
      <w:r w:rsidRPr="000C5066">
        <w:t xml:space="preserve"> after 11</w:t>
      </w:r>
      <w:r>
        <w:t xml:space="preserve"> pm</w:t>
      </w:r>
      <w:r w:rsidRPr="000C5066">
        <w:t xml:space="preserve"> six to seven</w:t>
      </w:r>
      <w:r>
        <w:t xml:space="preserve"> times a week.</w:t>
      </w:r>
    </w:p>
    <w:p w14:paraId="4D61F31D" w14:textId="77777777" w:rsidR="005A713B" w:rsidRPr="000C5066" w:rsidRDefault="005A713B" w:rsidP="005A713B">
      <w:pPr>
        <w:pStyle w:val="Bullet"/>
        <w:numPr>
          <w:ilvl w:val="0"/>
          <w:numId w:val="3"/>
        </w:numPr>
        <w:ind w:left="360"/>
        <w:rPr>
          <w:b/>
        </w:rPr>
      </w:pPr>
      <w:r w:rsidRPr="000C5066">
        <w:t>Young men who reported higher levels of psychological distress were more likely to access health information, listen to m</w:t>
      </w:r>
      <w:r>
        <w:t>usic and play games with others.</w:t>
      </w:r>
    </w:p>
    <w:p w14:paraId="41B88E34" w14:textId="77777777" w:rsidR="005A713B" w:rsidRPr="000C5066" w:rsidRDefault="005A713B" w:rsidP="005A713B">
      <w:pPr>
        <w:pStyle w:val="Bullet"/>
        <w:numPr>
          <w:ilvl w:val="0"/>
          <w:numId w:val="3"/>
        </w:numPr>
        <w:ind w:left="360"/>
        <w:rPr>
          <w:b/>
        </w:rPr>
      </w:pPr>
      <w:r w:rsidRPr="000C5066">
        <w:t>Despite moderate to high levels of psychological distress</w:t>
      </w:r>
      <w:r>
        <w:t>,</w:t>
      </w:r>
      <w:r w:rsidRPr="000C5066">
        <w:t xml:space="preserve"> onlin</w:t>
      </w:r>
      <w:r>
        <w:t>e or email counselling was rare.</w:t>
      </w:r>
    </w:p>
    <w:p w14:paraId="60344598" w14:textId="77777777" w:rsidR="005A713B" w:rsidRPr="000C5066" w:rsidRDefault="005A713B" w:rsidP="00A7394E">
      <w:pPr>
        <w:pStyle w:val="Bullet"/>
        <w:keepNext/>
        <w:numPr>
          <w:ilvl w:val="0"/>
          <w:numId w:val="3"/>
        </w:numPr>
        <w:ind w:left="360"/>
        <w:rPr>
          <w:b/>
        </w:rPr>
      </w:pPr>
      <w:r w:rsidRPr="000C5066">
        <w:t xml:space="preserve">Young men with moderate to high levels of psychological distress were more likely to: </w:t>
      </w:r>
    </w:p>
    <w:p w14:paraId="505EB6DA" w14:textId="77777777" w:rsidR="005A713B" w:rsidRPr="000C5066" w:rsidRDefault="005A713B" w:rsidP="005A713B">
      <w:pPr>
        <w:pStyle w:val="Dash"/>
      </w:pPr>
      <w:r>
        <w:t>t</w:t>
      </w:r>
      <w:r w:rsidRPr="000C5066">
        <w:t xml:space="preserve">alk about problems on the </w:t>
      </w:r>
      <w:r>
        <w:t>internet</w:t>
      </w:r>
      <w:r w:rsidRPr="000C5066">
        <w:t>, with 60% finding it helpful</w:t>
      </w:r>
    </w:p>
    <w:p w14:paraId="5C99B2D8" w14:textId="77777777" w:rsidR="005A713B" w:rsidRPr="000C5066" w:rsidRDefault="005A713B" w:rsidP="005A713B">
      <w:pPr>
        <w:pStyle w:val="Dash"/>
      </w:pPr>
      <w:r>
        <w:t>u</w:t>
      </w:r>
      <w:r w:rsidRPr="000C5066">
        <w:t xml:space="preserve">se the </w:t>
      </w:r>
      <w:r>
        <w:t>internet</w:t>
      </w:r>
      <w:r w:rsidRPr="000C5066">
        <w:t xml:space="preserve"> to find information for a mental health, alcohol or substance misuse problem</w:t>
      </w:r>
    </w:p>
    <w:p w14:paraId="0F6EE6A8" w14:textId="77777777" w:rsidR="005A713B" w:rsidRPr="000C5066" w:rsidRDefault="005A713B" w:rsidP="005A713B">
      <w:pPr>
        <w:pStyle w:val="Dash"/>
      </w:pPr>
      <w:r>
        <w:t>r</w:t>
      </w:r>
      <w:r w:rsidRPr="000C5066">
        <w:t xml:space="preserve">ecommend the </w:t>
      </w:r>
      <w:r>
        <w:t>internet</w:t>
      </w:r>
      <w:r w:rsidRPr="000C5066">
        <w:t xml:space="preserve"> if a friend were in need of similar information (78%)</w:t>
      </w:r>
      <w:r>
        <w:t>.</w:t>
      </w:r>
    </w:p>
    <w:p w14:paraId="2C937ADF" w14:textId="77777777" w:rsidR="005A713B" w:rsidRPr="005C6232" w:rsidRDefault="005A713B" w:rsidP="005A713B">
      <w:pPr>
        <w:pStyle w:val="Bullet"/>
        <w:numPr>
          <w:ilvl w:val="0"/>
          <w:numId w:val="3"/>
        </w:numPr>
        <w:ind w:left="360"/>
        <w:rPr>
          <w:b/>
        </w:rPr>
      </w:pPr>
      <w:r>
        <w:t>Ninety-five per cent</w:t>
      </w:r>
      <w:r w:rsidRPr="000C5066">
        <w:t xml:space="preserve"> were somewhat to very satisfied with the information they received.</w:t>
      </w:r>
    </w:p>
    <w:p w14:paraId="30DD8D90" w14:textId="77777777" w:rsidR="005A713B" w:rsidRPr="00AC70CA" w:rsidRDefault="005A713B" w:rsidP="005A713B">
      <w:r>
        <w:t>Because of the large number of young men in the military, the mental health challenges associated with transition for young men under the age of 30 and the potential opportunities that technology provides in supporting early help seeking, a</w:t>
      </w:r>
      <w:r w:rsidRPr="000C5066">
        <w:t xml:space="preserve"> key purpose in designing the </w:t>
      </w:r>
      <w:r>
        <w:t>Transition and Wellbeing Research Programme</w:t>
      </w:r>
      <w:r w:rsidRPr="000C5066">
        <w:t xml:space="preserve"> has been to see how true </w:t>
      </w:r>
      <w:r>
        <w:t>the Young and Well results</w:t>
      </w:r>
      <w:r w:rsidRPr="000C5066">
        <w:t xml:space="preserve"> are for Australian military personnel.</w:t>
      </w:r>
      <w:r>
        <w:t xml:space="preserve"> However, the limitations of comparing data captured at different times should be noted, given the pace at which technology uptake occurs.</w:t>
      </w:r>
    </w:p>
    <w:p w14:paraId="3E8C8AE7" w14:textId="77777777" w:rsidR="005A713B" w:rsidRPr="005C6232" w:rsidRDefault="005A713B" w:rsidP="00C44855">
      <w:pPr>
        <w:pStyle w:val="Heading2"/>
      </w:pPr>
      <w:bookmarkStart w:id="28" w:name="_Toc518566322"/>
      <w:bookmarkStart w:id="29" w:name="_Toc528932622"/>
      <w:bookmarkStart w:id="30" w:name="_Toc531859159"/>
      <w:bookmarkStart w:id="31" w:name="_Toc385859295"/>
      <w:r w:rsidRPr="005C6232">
        <w:t>The DVA and Defence healthcare contexts</w:t>
      </w:r>
      <w:bookmarkEnd w:id="28"/>
      <w:bookmarkEnd w:id="29"/>
      <w:bookmarkEnd w:id="30"/>
    </w:p>
    <w:p w14:paraId="30B9A599" w14:textId="319B00A5" w:rsidR="005A713B" w:rsidRPr="000C5066" w:rsidRDefault="005A713B" w:rsidP="005A713B">
      <w:r w:rsidRPr="000C5066">
        <w:t xml:space="preserve">As described in the </w:t>
      </w:r>
      <w:r w:rsidRPr="002E2470">
        <w:rPr>
          <w:i/>
        </w:rPr>
        <w:t>Pathways to Care</w:t>
      </w:r>
      <w:r w:rsidRPr="000C5066">
        <w:t xml:space="preserve"> </w:t>
      </w:r>
      <w:r w:rsidR="00477AD4" w:rsidRPr="00477AD4">
        <w:rPr>
          <w:i/>
        </w:rPr>
        <w:t>Report</w:t>
      </w:r>
      <w:r>
        <w:t xml:space="preserve"> </w:t>
      </w:r>
      <w:r>
        <w:rPr>
          <w:noProof/>
        </w:rPr>
        <w:t>(</w:t>
      </w:r>
      <w:r w:rsidR="008B4128">
        <w:rPr>
          <w:noProof/>
        </w:rPr>
        <w:t>Forbes et al. 2018</w:t>
      </w:r>
      <w:r>
        <w:rPr>
          <w:noProof/>
        </w:rPr>
        <w:t>)</w:t>
      </w:r>
      <w:r>
        <w:t>,</w:t>
      </w:r>
      <w:r w:rsidRPr="000C5066">
        <w:t xml:space="preserve"> current serving ADF members and Transitioned ADF members have access to mental health treatment through a general practitioner model of care. Joint Health Command provide</w:t>
      </w:r>
      <w:r>
        <w:t>s</w:t>
      </w:r>
      <w:r w:rsidRPr="000C5066">
        <w:t xml:space="preserve"> health and mental health services for current serving ADF </w:t>
      </w:r>
      <w:r>
        <w:t xml:space="preserve">members </w:t>
      </w:r>
      <w:r w:rsidRPr="000C5066">
        <w:t xml:space="preserve">while DVA is responsible for the needs of those who have served. Specialist mental health services or inpatient care are accessed via referral by a GP or through </w:t>
      </w:r>
      <w:r w:rsidR="007155C2">
        <w:t>Open Arms – Veterans and</w:t>
      </w:r>
      <w:r>
        <w:t xml:space="preserve"> Families Counselling (formerly </w:t>
      </w:r>
      <w:r w:rsidRPr="000C5066">
        <w:t>the Veterans and Veterans Families Counselling Service</w:t>
      </w:r>
      <w:r>
        <w:t>, VVCS)</w:t>
      </w:r>
      <w:r w:rsidRPr="000C5066">
        <w:t xml:space="preserve">. </w:t>
      </w:r>
      <w:r>
        <w:t xml:space="preserve">Open Arms </w:t>
      </w:r>
      <w:r w:rsidRPr="000C5066">
        <w:t>is a nationally accredited (against the National Standards for Mental Health Services), military</w:t>
      </w:r>
      <w:r>
        <w:t>-</w:t>
      </w:r>
      <w:r w:rsidRPr="000C5066">
        <w:t xml:space="preserve">aware, mental health service. </w:t>
      </w:r>
    </w:p>
    <w:p w14:paraId="5D12A4B7" w14:textId="77777777" w:rsidR="005A713B" w:rsidRPr="005C6232" w:rsidRDefault="005A713B" w:rsidP="005A713B">
      <w:r w:rsidRPr="00390615">
        <w:rPr>
          <w:color w:val="auto"/>
        </w:rPr>
        <w:t>In 2009</w:t>
      </w:r>
      <w:r>
        <w:rPr>
          <w:color w:val="auto"/>
        </w:rPr>
        <w:t>,</w:t>
      </w:r>
      <w:r w:rsidRPr="00390615">
        <w:rPr>
          <w:color w:val="auto"/>
        </w:rPr>
        <w:t xml:space="preserve"> Professor David Dunt was asked to </w:t>
      </w:r>
      <w:r>
        <w:rPr>
          <w:color w:val="auto"/>
        </w:rPr>
        <w:t xml:space="preserve">conduct an Independent </w:t>
      </w:r>
      <w:r w:rsidRPr="00390615">
        <w:rPr>
          <w:color w:val="auto"/>
        </w:rPr>
        <w:t>review</w:t>
      </w:r>
      <w:r>
        <w:rPr>
          <w:color w:val="auto"/>
        </w:rPr>
        <w:t>, titled</w:t>
      </w:r>
      <w:r w:rsidRPr="00390615">
        <w:rPr>
          <w:color w:val="auto"/>
        </w:rPr>
        <w:t xml:space="preserve"> </w:t>
      </w:r>
      <w:r>
        <w:rPr>
          <w:color w:val="auto"/>
        </w:rPr>
        <w:t>‘</w:t>
      </w:r>
      <w:r w:rsidRPr="00390615">
        <w:rPr>
          <w:color w:val="auto"/>
        </w:rPr>
        <w:t>Review of Mental Health Care in the Australian Defence Force and Transition Through Discharge</w:t>
      </w:r>
      <w:r>
        <w:rPr>
          <w:color w:val="auto"/>
        </w:rPr>
        <w:t xml:space="preserve">’ </w:t>
      </w:r>
      <w:r>
        <w:rPr>
          <w:noProof/>
          <w:color w:val="auto"/>
        </w:rPr>
        <w:t>(Dunt, 2009)</w:t>
      </w:r>
      <w:r>
        <w:rPr>
          <w:color w:val="auto"/>
        </w:rPr>
        <w:t>.</w:t>
      </w:r>
      <w:r w:rsidRPr="00390615">
        <w:rPr>
          <w:color w:val="auto"/>
        </w:rPr>
        <w:t xml:space="preserve"> He</w:t>
      </w:r>
      <w:r>
        <w:rPr>
          <w:color w:val="auto"/>
        </w:rPr>
        <w:t xml:space="preserve"> argued that t</w:t>
      </w:r>
      <w:r w:rsidRPr="00390615">
        <w:rPr>
          <w:color w:val="auto"/>
        </w:rPr>
        <w:t>he establishment of the M</w:t>
      </w:r>
      <w:r>
        <w:rPr>
          <w:color w:val="auto"/>
        </w:rPr>
        <w:t xml:space="preserve">ental </w:t>
      </w:r>
      <w:r w:rsidRPr="00390615">
        <w:rPr>
          <w:color w:val="auto"/>
        </w:rPr>
        <w:t>H</w:t>
      </w:r>
      <w:r>
        <w:rPr>
          <w:color w:val="auto"/>
        </w:rPr>
        <w:t xml:space="preserve">ealth </w:t>
      </w:r>
      <w:r w:rsidRPr="00390615">
        <w:rPr>
          <w:color w:val="auto"/>
        </w:rPr>
        <w:t>S</w:t>
      </w:r>
      <w:r>
        <w:rPr>
          <w:color w:val="auto"/>
        </w:rPr>
        <w:t>trategy</w:t>
      </w:r>
      <w:r w:rsidRPr="00390615">
        <w:rPr>
          <w:color w:val="auto"/>
        </w:rPr>
        <w:t xml:space="preserve"> by the ADF in 2002 was far-sighted</w:t>
      </w:r>
      <w:r>
        <w:rPr>
          <w:color w:val="auto"/>
        </w:rPr>
        <w:t xml:space="preserve"> and compared</w:t>
      </w:r>
      <w:r w:rsidRPr="00390615">
        <w:rPr>
          <w:color w:val="auto"/>
        </w:rPr>
        <w:t xml:space="preserve"> favourably with mental health strategies in other Australian workplaces. Having made this fundamental point</w:t>
      </w:r>
      <w:r>
        <w:rPr>
          <w:color w:val="auto"/>
        </w:rPr>
        <w:t xml:space="preserve"> he then considered the </w:t>
      </w:r>
      <w:r w:rsidRPr="00390615">
        <w:rPr>
          <w:color w:val="auto"/>
        </w:rPr>
        <w:t xml:space="preserve">problems </w:t>
      </w:r>
      <w:r>
        <w:rPr>
          <w:color w:val="auto"/>
        </w:rPr>
        <w:t xml:space="preserve">with </w:t>
      </w:r>
      <w:r w:rsidRPr="00390615">
        <w:rPr>
          <w:color w:val="auto"/>
        </w:rPr>
        <w:t xml:space="preserve">and barriers to the full success of the </w:t>
      </w:r>
      <w:r>
        <w:rPr>
          <w:color w:val="auto"/>
        </w:rPr>
        <w:t xml:space="preserve">Mental Health Strategy and made several recommendations which were adopted by </w:t>
      </w:r>
      <w:r w:rsidRPr="00390615">
        <w:rPr>
          <w:color w:val="auto"/>
        </w:rPr>
        <w:t xml:space="preserve">Defence and DVA </w:t>
      </w:r>
      <w:r>
        <w:rPr>
          <w:color w:val="auto"/>
        </w:rPr>
        <w:t xml:space="preserve">and </w:t>
      </w:r>
      <w:r w:rsidRPr="00390615">
        <w:rPr>
          <w:color w:val="auto"/>
        </w:rPr>
        <w:t>prioritised the mental health and wellbeing of serving and ex-serving personnel</w:t>
      </w:r>
      <w:r>
        <w:rPr>
          <w:color w:val="auto"/>
        </w:rPr>
        <w:t>. More recently,</w:t>
      </w:r>
      <w:r w:rsidRPr="00390615">
        <w:rPr>
          <w:color w:val="auto"/>
        </w:rPr>
        <w:t xml:space="preserve"> </w:t>
      </w:r>
      <w:r>
        <w:rPr>
          <w:color w:val="auto"/>
        </w:rPr>
        <w:t xml:space="preserve">the adoption of </w:t>
      </w:r>
      <w:r w:rsidRPr="00390615">
        <w:rPr>
          <w:color w:val="auto"/>
        </w:rPr>
        <w:t xml:space="preserve">e-mental health </w:t>
      </w:r>
      <w:r>
        <w:rPr>
          <w:color w:val="auto"/>
        </w:rPr>
        <w:t xml:space="preserve">has been </w:t>
      </w:r>
      <w:r w:rsidRPr="00390615">
        <w:rPr>
          <w:color w:val="auto"/>
        </w:rPr>
        <w:t xml:space="preserve">prioritised as </w:t>
      </w:r>
      <w:r>
        <w:rPr>
          <w:color w:val="auto"/>
        </w:rPr>
        <w:t>a key pillar</w:t>
      </w:r>
      <w:r w:rsidRPr="00390615">
        <w:rPr>
          <w:color w:val="auto"/>
        </w:rPr>
        <w:t xml:space="preserve"> of both the ADF and DVA Mental Health Strategies </w:t>
      </w:r>
      <w:r>
        <w:rPr>
          <w:noProof/>
          <w:color w:val="auto"/>
        </w:rPr>
        <w:t>(Australian Government Department of Veterans’ Affairs, 2016; Australian Government Department of Veterans’ Affairs, 2013; Australian Government Department of Defence, 2017)</w:t>
      </w:r>
      <w:r w:rsidRPr="000C5066">
        <w:t xml:space="preserve">. </w:t>
      </w:r>
    </w:p>
    <w:p w14:paraId="2F45DAEC" w14:textId="77777777" w:rsidR="005A713B" w:rsidRPr="005C6232" w:rsidRDefault="005A713B" w:rsidP="005A713B">
      <w:pPr>
        <w:rPr>
          <w:rFonts w:asciiTheme="minorHAnsi" w:eastAsia="Calibri" w:hAnsiTheme="minorHAnsi" w:cstheme="minorHAnsi"/>
        </w:rPr>
      </w:pPr>
      <w:r>
        <w:rPr>
          <w:rFonts w:asciiTheme="minorHAnsi" w:eastAsia="Calibri" w:hAnsiTheme="minorHAnsi" w:cstheme="minorHAnsi"/>
        </w:rPr>
        <w:t xml:space="preserve">Currently </w:t>
      </w:r>
      <w:r w:rsidRPr="006F561A">
        <w:rPr>
          <w:rFonts w:asciiTheme="minorHAnsi" w:eastAsia="Calibri" w:hAnsiTheme="minorHAnsi" w:cstheme="minorHAnsi"/>
        </w:rPr>
        <w:t xml:space="preserve">Defence and DVA </w:t>
      </w:r>
      <w:r>
        <w:rPr>
          <w:rFonts w:asciiTheme="minorHAnsi" w:eastAsia="Calibri" w:hAnsiTheme="minorHAnsi" w:cstheme="minorHAnsi"/>
        </w:rPr>
        <w:t>use electronic health record</w:t>
      </w:r>
      <w:r w:rsidRPr="006F561A">
        <w:rPr>
          <w:rFonts w:asciiTheme="minorHAnsi" w:eastAsia="Calibri" w:hAnsiTheme="minorHAnsi" w:cstheme="minorHAnsi"/>
        </w:rPr>
        <w:t xml:space="preserve"> system</w:t>
      </w:r>
      <w:r>
        <w:rPr>
          <w:rFonts w:asciiTheme="minorHAnsi" w:eastAsia="Calibri" w:hAnsiTheme="minorHAnsi" w:cstheme="minorHAnsi"/>
        </w:rPr>
        <w:t>s,</w:t>
      </w:r>
      <w:r w:rsidRPr="006F561A">
        <w:rPr>
          <w:rFonts w:asciiTheme="minorHAnsi" w:eastAsia="Calibri" w:hAnsiTheme="minorHAnsi" w:cstheme="minorHAnsi"/>
        </w:rPr>
        <w:t xml:space="preserve"> with the introduction of the Defence e</w:t>
      </w:r>
      <w:r>
        <w:rPr>
          <w:rFonts w:asciiTheme="minorHAnsi" w:eastAsia="Calibri" w:hAnsiTheme="minorHAnsi" w:cstheme="minorHAnsi"/>
        </w:rPr>
        <w:noBreakHyphen/>
      </w:r>
      <w:r w:rsidRPr="006F561A">
        <w:rPr>
          <w:rFonts w:asciiTheme="minorHAnsi" w:eastAsia="Calibri" w:hAnsiTheme="minorHAnsi" w:cstheme="minorHAnsi"/>
        </w:rPr>
        <w:t>Health System (DeHS) in 2014 and</w:t>
      </w:r>
      <w:r>
        <w:rPr>
          <w:rFonts w:asciiTheme="minorHAnsi" w:eastAsia="Calibri" w:hAnsiTheme="minorHAnsi" w:cstheme="minorHAnsi"/>
        </w:rPr>
        <w:t xml:space="preserve">, at Open Arms, </w:t>
      </w:r>
      <w:r w:rsidRPr="006F561A">
        <w:rPr>
          <w:rFonts w:asciiTheme="minorHAnsi" w:eastAsia="Calibri" w:hAnsiTheme="minorHAnsi" w:cstheme="minorHAnsi"/>
        </w:rPr>
        <w:t>the Veteran Electronic Record Application (VERA)</w:t>
      </w:r>
      <w:r>
        <w:rPr>
          <w:rFonts w:asciiTheme="minorHAnsi" w:eastAsia="Calibri" w:hAnsiTheme="minorHAnsi" w:cstheme="minorHAnsi"/>
        </w:rPr>
        <w:t>.</w:t>
      </w:r>
      <w:r w:rsidRPr="006F561A">
        <w:rPr>
          <w:rFonts w:asciiTheme="minorHAnsi" w:eastAsia="Calibri" w:hAnsiTheme="minorHAnsi" w:cstheme="minorHAnsi"/>
        </w:rPr>
        <w:t xml:space="preserve"> </w:t>
      </w:r>
      <w:r>
        <w:rPr>
          <w:rFonts w:asciiTheme="minorHAnsi" w:eastAsia="Calibri" w:hAnsiTheme="minorHAnsi" w:cstheme="minorHAnsi"/>
        </w:rPr>
        <w:t>W</w:t>
      </w:r>
      <w:r w:rsidRPr="006F561A">
        <w:rPr>
          <w:rFonts w:asciiTheme="minorHAnsi" w:eastAsia="Calibri" w:hAnsiTheme="minorHAnsi" w:cstheme="minorHAnsi"/>
        </w:rPr>
        <w:t xml:space="preserve">hile beyond the scope of this </w:t>
      </w:r>
      <w:r>
        <w:rPr>
          <w:rFonts w:asciiTheme="minorHAnsi" w:eastAsia="Calibri" w:hAnsiTheme="minorHAnsi" w:cstheme="minorHAnsi"/>
        </w:rPr>
        <w:t>report</w:t>
      </w:r>
      <w:r w:rsidRPr="006F561A">
        <w:rPr>
          <w:rFonts w:asciiTheme="minorHAnsi" w:eastAsia="Calibri" w:hAnsiTheme="minorHAnsi" w:cstheme="minorHAnsi"/>
        </w:rPr>
        <w:t xml:space="preserve">, a systematic review and meta-analysis of 47 articles conducted by </w:t>
      </w:r>
      <w:r>
        <w:rPr>
          <w:rFonts w:asciiTheme="minorHAnsi" w:eastAsia="Calibri" w:hAnsiTheme="minorHAnsi" w:cstheme="minorHAnsi"/>
          <w:noProof/>
        </w:rPr>
        <w:t>Campanella et al. (2015)</w:t>
      </w:r>
      <w:r>
        <w:rPr>
          <w:rFonts w:asciiTheme="minorHAnsi" w:eastAsia="Calibri" w:hAnsiTheme="minorHAnsi" w:cstheme="minorHAnsi"/>
        </w:rPr>
        <w:t xml:space="preserve"> </w:t>
      </w:r>
      <w:r w:rsidRPr="006F561A">
        <w:rPr>
          <w:rFonts w:asciiTheme="minorHAnsi" w:eastAsia="Calibri" w:hAnsiTheme="minorHAnsi" w:cstheme="minorHAnsi"/>
        </w:rPr>
        <w:t xml:space="preserve">showed several benefits </w:t>
      </w:r>
      <w:r>
        <w:rPr>
          <w:rFonts w:asciiTheme="minorHAnsi" w:eastAsia="Calibri" w:hAnsiTheme="minorHAnsi" w:cstheme="minorHAnsi"/>
        </w:rPr>
        <w:t xml:space="preserve">of electronic health records, </w:t>
      </w:r>
      <w:r w:rsidRPr="006F561A">
        <w:rPr>
          <w:rFonts w:asciiTheme="minorHAnsi" w:eastAsia="Calibri" w:hAnsiTheme="minorHAnsi" w:cstheme="minorHAnsi"/>
        </w:rPr>
        <w:t>including higher guideline adherence, a lower number of medication errors and adverse drug effects and a reduction in time spent on administration</w:t>
      </w:r>
      <w:r>
        <w:rPr>
          <w:rFonts w:asciiTheme="minorHAnsi" w:eastAsia="Calibri" w:hAnsiTheme="minorHAnsi" w:cstheme="minorHAnsi"/>
        </w:rPr>
        <w:t>,</w:t>
      </w:r>
      <w:r w:rsidRPr="006F561A">
        <w:rPr>
          <w:rFonts w:asciiTheme="minorHAnsi" w:eastAsia="Calibri" w:hAnsiTheme="minorHAnsi" w:cstheme="minorHAnsi"/>
        </w:rPr>
        <w:t xml:space="preserve"> </w:t>
      </w:r>
      <w:r>
        <w:rPr>
          <w:rFonts w:asciiTheme="minorHAnsi" w:eastAsia="Calibri" w:hAnsiTheme="minorHAnsi" w:cstheme="minorHAnsi"/>
        </w:rPr>
        <w:t>including</w:t>
      </w:r>
      <w:r w:rsidRPr="006F561A">
        <w:rPr>
          <w:rFonts w:asciiTheme="minorHAnsi" w:eastAsia="Calibri" w:hAnsiTheme="minorHAnsi" w:cstheme="minorHAnsi"/>
        </w:rPr>
        <w:t xml:space="preserve"> inefficient billing, duplication of effort and record</w:t>
      </w:r>
      <w:r>
        <w:rPr>
          <w:rFonts w:asciiTheme="minorHAnsi" w:eastAsia="Calibri" w:hAnsiTheme="minorHAnsi" w:cstheme="minorHAnsi"/>
        </w:rPr>
        <w:t xml:space="preserve"> keeping</w:t>
      </w:r>
      <w:r w:rsidRPr="006F561A">
        <w:rPr>
          <w:rFonts w:asciiTheme="minorHAnsi" w:eastAsia="Calibri" w:hAnsiTheme="minorHAnsi" w:cstheme="minorHAnsi"/>
        </w:rPr>
        <w:t xml:space="preserve">. </w:t>
      </w:r>
    </w:p>
    <w:p w14:paraId="25EC4C6E" w14:textId="77777777" w:rsidR="005A713B" w:rsidRPr="000C5066" w:rsidRDefault="005A713B" w:rsidP="005A713B">
      <w:pPr>
        <w:rPr>
          <w:rFonts w:asciiTheme="minorHAnsi" w:hAnsiTheme="minorHAnsi" w:cstheme="minorHAnsi"/>
        </w:rPr>
      </w:pPr>
      <w:r>
        <w:rPr>
          <w:rFonts w:asciiTheme="minorHAnsi" w:hAnsiTheme="minorHAnsi" w:cstheme="minorHAnsi"/>
        </w:rPr>
        <w:t>In addition to DeHS and VERA, s</w:t>
      </w:r>
      <w:r w:rsidRPr="000C5066">
        <w:rPr>
          <w:rFonts w:asciiTheme="minorHAnsi" w:hAnsiTheme="minorHAnsi" w:cstheme="minorHAnsi"/>
        </w:rPr>
        <w:t>ignificant investment has been made by Defence and the DVA, inclu</w:t>
      </w:r>
      <w:r>
        <w:rPr>
          <w:rFonts w:asciiTheme="minorHAnsi" w:hAnsiTheme="minorHAnsi" w:cstheme="minorHAnsi"/>
        </w:rPr>
        <w:t>ding</w:t>
      </w:r>
      <w:r w:rsidRPr="000C5066">
        <w:rPr>
          <w:rFonts w:asciiTheme="minorHAnsi" w:hAnsiTheme="minorHAnsi" w:cstheme="minorHAnsi"/>
        </w:rPr>
        <w:t xml:space="preserve"> </w:t>
      </w:r>
      <w:r>
        <w:rPr>
          <w:rFonts w:asciiTheme="minorHAnsi" w:hAnsiTheme="minorHAnsi" w:cstheme="minorHAnsi"/>
        </w:rPr>
        <w:t>Open Arms</w:t>
      </w:r>
      <w:r w:rsidRPr="000C5066">
        <w:rPr>
          <w:rFonts w:asciiTheme="minorHAnsi" w:hAnsiTheme="minorHAnsi" w:cstheme="minorHAnsi"/>
        </w:rPr>
        <w:t>, in developing a suite of online tools and resources</w:t>
      </w:r>
      <w:r>
        <w:rPr>
          <w:rFonts w:asciiTheme="minorHAnsi" w:hAnsiTheme="minorHAnsi" w:cstheme="minorHAnsi"/>
        </w:rPr>
        <w:t>. These included</w:t>
      </w:r>
      <w:r w:rsidRPr="000C5066">
        <w:rPr>
          <w:rFonts w:asciiTheme="minorHAnsi" w:hAnsiTheme="minorHAnsi" w:cstheme="minorHAnsi"/>
        </w:rPr>
        <w:t>:</w:t>
      </w:r>
    </w:p>
    <w:p w14:paraId="753CD061" w14:textId="77777777" w:rsidR="005A713B" w:rsidRPr="000C5066" w:rsidRDefault="005A713B" w:rsidP="005A713B">
      <w:pPr>
        <w:pStyle w:val="Bullet"/>
        <w:numPr>
          <w:ilvl w:val="0"/>
          <w:numId w:val="3"/>
        </w:numPr>
        <w:ind w:left="360"/>
      </w:pPr>
      <w:r w:rsidRPr="000C5066">
        <w:t>Fighting Fit</w:t>
      </w:r>
      <w:r>
        <w:t>,</w:t>
      </w:r>
      <w:r w:rsidRPr="000C5066">
        <w:t xml:space="preserve"> developed by Joint Health Command</w:t>
      </w:r>
      <w:r>
        <w:t>, which is</w:t>
      </w:r>
      <w:r w:rsidRPr="000C5066">
        <w:t xml:space="preserve"> a health and wellbeing portal with direct links to services</w:t>
      </w:r>
      <w:r>
        <w:t>,</w:t>
      </w:r>
      <w:r w:rsidRPr="000C5066">
        <w:t xml:space="preserve"> including the 1800IMSICK number</w:t>
      </w:r>
      <w:r>
        <w:t xml:space="preserve"> and mental health services </w:t>
      </w:r>
      <w:r w:rsidRPr="000C5066">
        <w:t>(</w:t>
      </w:r>
      <w:hyperlink r:id="rId22" w:history="1">
        <w:r w:rsidRPr="00215381">
          <w:rPr>
            <w:rStyle w:val="Hyperlink"/>
            <w:rFonts w:asciiTheme="minorHAnsi" w:hAnsiTheme="minorHAnsi" w:cstheme="minorHAnsi"/>
          </w:rPr>
          <w:t>http://www.defence.gov.au/Health/HealthPortal/</w:t>
        </w:r>
      </w:hyperlink>
      <w:r w:rsidRPr="000C5066">
        <w:t>)</w:t>
      </w:r>
    </w:p>
    <w:p w14:paraId="391310D3" w14:textId="77777777" w:rsidR="005A713B" w:rsidRPr="000C5066" w:rsidRDefault="005A713B" w:rsidP="005A713B">
      <w:pPr>
        <w:pStyle w:val="Bullet"/>
        <w:numPr>
          <w:ilvl w:val="0"/>
          <w:numId w:val="3"/>
        </w:numPr>
        <w:ind w:left="360"/>
      </w:pPr>
      <w:r w:rsidRPr="000C5066">
        <w:t>Engage</w:t>
      </w:r>
      <w:r>
        <w:t>,</w:t>
      </w:r>
      <w:r w:rsidRPr="000C5066">
        <w:t xml:space="preserve"> developed by Defence as an online portal that current, transitioning and former ADF members</w:t>
      </w:r>
      <w:r>
        <w:t>,</w:t>
      </w:r>
      <w:r w:rsidRPr="000C5066">
        <w:t xml:space="preserve"> their families, and/or those involved in their support can use to locate support service in the community (</w:t>
      </w:r>
      <w:hyperlink r:id="rId23" w:history="1">
        <w:r w:rsidRPr="00215381">
          <w:rPr>
            <w:rStyle w:val="Hyperlink"/>
            <w:rFonts w:asciiTheme="minorHAnsi" w:hAnsiTheme="minorHAnsi" w:cstheme="minorHAnsi"/>
          </w:rPr>
          <w:t>https://engage.forcenet.gov.au/</w:t>
        </w:r>
      </w:hyperlink>
      <w:r w:rsidRPr="000C5066">
        <w:t xml:space="preserve">) </w:t>
      </w:r>
    </w:p>
    <w:p w14:paraId="2B794499" w14:textId="77777777" w:rsidR="005A713B" w:rsidRPr="00B50258" w:rsidRDefault="005A713B" w:rsidP="005A713B">
      <w:pPr>
        <w:pStyle w:val="Bullet"/>
        <w:numPr>
          <w:ilvl w:val="0"/>
          <w:numId w:val="3"/>
        </w:numPr>
        <w:ind w:left="360"/>
      </w:pPr>
      <w:r w:rsidRPr="000C5066">
        <w:t>Defence Community Organisation</w:t>
      </w:r>
      <w:r>
        <w:t xml:space="preserve"> </w:t>
      </w:r>
      <w:r w:rsidRPr="000C5066">
        <w:t>programs and services to help Defence families manage military life</w:t>
      </w:r>
      <w:r>
        <w:t xml:space="preserve">, including a </w:t>
      </w:r>
      <w:r w:rsidRPr="00104D02">
        <w:t>toll-free</w:t>
      </w:r>
      <w:r>
        <w:t xml:space="preserve"> number and website</w:t>
      </w:r>
      <w:r w:rsidRPr="00B50258">
        <w:t xml:space="preserve"> (</w:t>
      </w:r>
      <w:hyperlink r:id="rId24" w:history="1">
        <w:r w:rsidRPr="00215381">
          <w:rPr>
            <w:rStyle w:val="Hyperlink"/>
            <w:rFonts w:asciiTheme="minorHAnsi" w:hAnsiTheme="minorHAnsi" w:cstheme="minorHAnsi"/>
          </w:rPr>
          <w:t>http://www.defence.gov.au/DCO/</w:t>
        </w:r>
      </w:hyperlink>
      <w:r w:rsidRPr="00B50258">
        <w:t xml:space="preserve">) </w:t>
      </w:r>
    </w:p>
    <w:p w14:paraId="6649622B" w14:textId="77777777" w:rsidR="005A713B" w:rsidRPr="005C6232" w:rsidRDefault="005A713B" w:rsidP="005A713B">
      <w:pPr>
        <w:pStyle w:val="Bullet"/>
        <w:numPr>
          <w:ilvl w:val="0"/>
          <w:numId w:val="3"/>
        </w:numPr>
        <w:ind w:left="360"/>
      </w:pPr>
      <w:r w:rsidRPr="000C5066">
        <w:t>At Ease, a suite of resilience and strength-based resources for serving and ex-serving ADF members, developed by DVA (</w:t>
      </w:r>
      <w:hyperlink r:id="rId25" w:history="1">
        <w:r w:rsidRPr="00215381">
          <w:rPr>
            <w:rStyle w:val="Hyperlink"/>
            <w:rFonts w:asciiTheme="minorHAnsi" w:hAnsiTheme="minorHAnsi" w:cstheme="minorHAnsi"/>
          </w:rPr>
          <w:t>http://at-ease.dva.gov.au/</w:t>
        </w:r>
      </w:hyperlink>
      <w:r w:rsidRPr="000C5066">
        <w:t>) in consultation with Defence, which includes</w:t>
      </w:r>
      <w:r>
        <w:t>:</w:t>
      </w:r>
      <w:r w:rsidRPr="000C5066">
        <w:t xml:space="preserve"> </w:t>
      </w:r>
    </w:p>
    <w:p w14:paraId="2847FB7E" w14:textId="77777777" w:rsidR="005A713B" w:rsidRPr="000C5066" w:rsidRDefault="005A713B" w:rsidP="005A713B">
      <w:pPr>
        <w:pStyle w:val="Dash"/>
      </w:pPr>
      <w:r w:rsidRPr="000C5066">
        <w:t>High Res</w:t>
      </w:r>
      <w:r>
        <w:t xml:space="preserve"> (</w:t>
      </w:r>
      <w:hyperlink r:id="rId26" w:history="1">
        <w:r w:rsidRPr="00215381">
          <w:rPr>
            <w:rStyle w:val="Hyperlink"/>
            <w:rFonts w:asciiTheme="minorHAnsi" w:hAnsiTheme="minorHAnsi" w:cstheme="minorHAnsi"/>
          </w:rPr>
          <w:t>https://at-ease.dva.gov.au/highres</w:t>
        </w:r>
      </w:hyperlink>
      <w:r>
        <w:t>)</w:t>
      </w:r>
      <w:r w:rsidRPr="000C5066">
        <w:t>, a website supported by an app, designed to create a toolbox to manage stress, build resilience and optimise performance, including making an action plan</w:t>
      </w:r>
    </w:p>
    <w:p w14:paraId="6C87CB84" w14:textId="77777777" w:rsidR="005A713B" w:rsidRPr="000C5066" w:rsidRDefault="005A713B" w:rsidP="005A713B">
      <w:pPr>
        <w:pStyle w:val="Dash"/>
      </w:pPr>
      <w:r w:rsidRPr="000C5066">
        <w:t>Operation Life</w:t>
      </w:r>
      <w:r>
        <w:t>,</w:t>
      </w:r>
      <w:r w:rsidRPr="000C5066">
        <w:t xml:space="preserve"> an app to support the management of suicidal thoughts</w:t>
      </w:r>
      <w:r>
        <w:t>,</w:t>
      </w:r>
      <w:r w:rsidRPr="000C5066">
        <w:t xml:space="preserve"> to be used with a clinician</w:t>
      </w:r>
    </w:p>
    <w:p w14:paraId="30977061" w14:textId="77777777" w:rsidR="005A713B" w:rsidRPr="000C5066" w:rsidRDefault="005A713B" w:rsidP="005A713B">
      <w:pPr>
        <w:pStyle w:val="Dash"/>
      </w:pPr>
      <w:r w:rsidRPr="000C5066">
        <w:t>PTSD Coach Australia</w:t>
      </w:r>
      <w:r>
        <w:t>,</w:t>
      </w:r>
      <w:r w:rsidRPr="000C5066">
        <w:t xml:space="preserve"> designed as an educational tool with practical approaches to the management of symptoms that commonly occur after trauma</w:t>
      </w:r>
    </w:p>
    <w:p w14:paraId="3CBF0298" w14:textId="77777777" w:rsidR="005A713B" w:rsidRPr="000C5066" w:rsidRDefault="005A713B" w:rsidP="005A713B">
      <w:pPr>
        <w:pStyle w:val="Dash"/>
      </w:pPr>
      <w:r w:rsidRPr="000C5066">
        <w:t xml:space="preserve">ON TRACK with The Right Mix, a website and app </w:t>
      </w:r>
      <w:r>
        <w:t>(</w:t>
      </w:r>
      <w:hyperlink r:id="rId27" w:history="1">
        <w:r w:rsidRPr="00215381">
          <w:rPr>
            <w:rStyle w:val="Hyperlink"/>
            <w:rFonts w:asciiTheme="minorHAnsi" w:hAnsiTheme="minorHAnsi" w:cstheme="minorHAnsi"/>
          </w:rPr>
          <w:t>https://www.therightmix.gov.au/</w:t>
        </w:r>
      </w:hyperlink>
      <w:r>
        <w:t xml:space="preserve">) </w:t>
      </w:r>
      <w:r w:rsidRPr="000C5066">
        <w:t xml:space="preserve">that help </w:t>
      </w:r>
      <w:r>
        <w:t>with</w:t>
      </w:r>
      <w:r w:rsidRPr="000C5066">
        <w:t xml:space="preserve"> the management of alcohol consumption</w:t>
      </w:r>
    </w:p>
    <w:p w14:paraId="06D35465" w14:textId="77777777" w:rsidR="005A713B" w:rsidRPr="000C5066" w:rsidRDefault="005A713B" w:rsidP="005A713B">
      <w:pPr>
        <w:pStyle w:val="Bullet"/>
        <w:numPr>
          <w:ilvl w:val="0"/>
          <w:numId w:val="3"/>
        </w:numPr>
        <w:ind w:left="360"/>
      </w:pPr>
      <w:r>
        <w:t xml:space="preserve">the Open Arms </w:t>
      </w:r>
      <w:r w:rsidRPr="000C5066">
        <w:t>website</w:t>
      </w:r>
      <w:r>
        <w:t>, (</w:t>
      </w:r>
      <w:hyperlink r:id="rId28" w:history="1">
        <w:r w:rsidRPr="00215381">
          <w:rPr>
            <w:rStyle w:val="Hyperlink"/>
            <w:rFonts w:asciiTheme="minorHAnsi" w:hAnsiTheme="minorHAnsi" w:cstheme="minorHAnsi"/>
          </w:rPr>
          <w:t>https://www.openarms.gov.au/about/vvcs-now-open-arms-veterans-families-counselling</w:t>
        </w:r>
      </w:hyperlink>
      <w:r>
        <w:t>)</w:t>
      </w:r>
      <w:r w:rsidRPr="000C5066">
        <w:t xml:space="preserve"> including, digital content and </w:t>
      </w:r>
      <w:r>
        <w:t xml:space="preserve">a toll-free </w:t>
      </w:r>
      <w:r w:rsidRPr="000C5066">
        <w:t>number</w:t>
      </w:r>
      <w:r w:rsidRPr="00B50258">
        <w:t xml:space="preserve"> </w:t>
      </w:r>
    </w:p>
    <w:p w14:paraId="74594BA1" w14:textId="77777777" w:rsidR="005A713B" w:rsidRPr="005C6232" w:rsidRDefault="005A713B" w:rsidP="005A713B">
      <w:pPr>
        <w:pStyle w:val="Bullet"/>
        <w:numPr>
          <w:ilvl w:val="0"/>
          <w:numId w:val="3"/>
        </w:numPr>
        <w:ind w:left="360"/>
      </w:pPr>
      <w:r>
        <w:t>a</w:t>
      </w:r>
      <w:r w:rsidRPr="000C5066">
        <w:t xml:space="preserve"> variety of psycho</w:t>
      </w:r>
      <w:r>
        <w:t>-</w:t>
      </w:r>
      <w:r w:rsidRPr="000C5066">
        <w:t>educational material</w:t>
      </w:r>
      <w:r>
        <w:t>s,</w:t>
      </w:r>
      <w:r w:rsidRPr="000C5066">
        <w:t xml:space="preserve"> including fact</w:t>
      </w:r>
      <w:r>
        <w:t xml:space="preserve"> </w:t>
      </w:r>
      <w:r w:rsidRPr="000C5066">
        <w:t>sheets, videos and booklets</w:t>
      </w:r>
      <w:r>
        <w:t xml:space="preserve"> that are increasingly being promoted through social media channels such as Twitter, Facebook and Linked In</w:t>
      </w:r>
      <w:r w:rsidRPr="000C5066">
        <w:t>.</w:t>
      </w:r>
    </w:p>
    <w:p w14:paraId="20B74E62" w14:textId="77777777" w:rsidR="005A713B" w:rsidRPr="005C6232" w:rsidRDefault="005A713B" w:rsidP="005A713B">
      <w:r w:rsidRPr="000C5066">
        <w:t>Work has also been done recently to link these resources to the national digital Mental Health Portal maintained by the Department of Health</w:t>
      </w:r>
      <w:r>
        <w:t>,</w:t>
      </w:r>
      <w:r w:rsidRPr="000C5066">
        <w:t xml:space="preserve"> or the ‘Head to Health’ site</w:t>
      </w:r>
      <w:r>
        <w:t>,</w:t>
      </w:r>
      <w:r w:rsidRPr="000C5066">
        <w:t xml:space="preserve"> which includes a veteran</w:t>
      </w:r>
      <w:r>
        <w:t>-</w:t>
      </w:r>
      <w:r w:rsidRPr="000C5066">
        <w:t xml:space="preserve">specific section </w:t>
      </w:r>
      <w:r w:rsidRPr="006300D9">
        <w:t>(</w:t>
      </w:r>
      <w:hyperlink r:id="rId29" w:history="1">
        <w:r w:rsidRPr="006300D9">
          <w:rPr>
            <w:rStyle w:val="Hyperlink"/>
          </w:rPr>
          <w:t>https://headtohealth.gov.au/supporting-yourself/support-for/veterans</w:t>
        </w:r>
      </w:hyperlink>
      <w:r w:rsidRPr="006300D9">
        <w:t>).</w:t>
      </w:r>
    </w:p>
    <w:p w14:paraId="3346D8D9" w14:textId="77777777" w:rsidR="005A713B" w:rsidRPr="005C6232" w:rsidRDefault="005A713B" w:rsidP="00C44855">
      <w:pPr>
        <w:pStyle w:val="Heading2"/>
      </w:pPr>
      <w:bookmarkStart w:id="32" w:name="_Toc518566323"/>
      <w:bookmarkStart w:id="33" w:name="_Toc528932623"/>
      <w:bookmarkStart w:id="34" w:name="_Toc531859160"/>
      <w:r w:rsidRPr="005C6232">
        <w:t>The use of technology</w:t>
      </w:r>
      <w:bookmarkEnd w:id="32"/>
      <w:bookmarkEnd w:id="33"/>
      <w:bookmarkEnd w:id="34"/>
      <w:r w:rsidRPr="005C6232">
        <w:t xml:space="preserve"> </w:t>
      </w:r>
    </w:p>
    <w:p w14:paraId="3FF9CF1B" w14:textId="77777777" w:rsidR="005A713B" w:rsidRPr="000C5066" w:rsidRDefault="005A713B" w:rsidP="005A713B">
      <w:r w:rsidRPr="000C5066">
        <w:t>The Australian Bureau of Statistics (ABS) reported that there were around</w:t>
      </w:r>
      <w:r>
        <w:t xml:space="preserve"> </w:t>
      </w:r>
      <w:r w:rsidRPr="000C5066">
        <w:t>13.5</w:t>
      </w:r>
      <w:r>
        <w:t> </w:t>
      </w:r>
      <w:r w:rsidRPr="000C5066">
        <w:t xml:space="preserve">million </w:t>
      </w:r>
      <w:r>
        <w:t>internet</w:t>
      </w:r>
      <w:r w:rsidRPr="000C5066">
        <w:t xml:space="preserve"> subscribers</w:t>
      </w:r>
      <w:r>
        <w:t xml:space="preserve"> </w:t>
      </w:r>
      <w:r w:rsidRPr="000C5066">
        <w:t>at the beginning of 2017 – a 4.7% increase</w:t>
      </w:r>
      <w:r>
        <w:t xml:space="preserve"> </w:t>
      </w:r>
      <w:r w:rsidRPr="000C5066">
        <w:t>on the previous year. In 2016</w:t>
      </w:r>
      <w:r>
        <w:t>–</w:t>
      </w:r>
      <w:r w:rsidRPr="000C5066">
        <w:t xml:space="preserve">17, 87% of </w:t>
      </w:r>
      <w:r>
        <w:t>Australians</w:t>
      </w:r>
      <w:r w:rsidRPr="000C5066">
        <w:t xml:space="preserve"> were </w:t>
      </w:r>
      <w:r>
        <w:t>internet</w:t>
      </w:r>
      <w:r w:rsidRPr="000C5066">
        <w:t xml:space="preserve"> users (persons aged 15 years and over who accessed the </w:t>
      </w:r>
      <w:r>
        <w:t>internet</w:t>
      </w:r>
      <w:r w:rsidRPr="000C5066">
        <w:t xml:space="preserve"> in the last three months). </w:t>
      </w:r>
      <w:r>
        <w:t>Australians</w:t>
      </w:r>
      <w:r w:rsidRPr="000C5066">
        <w:t xml:space="preserve"> aged 15 to 17 years were the </w:t>
      </w:r>
      <w:r>
        <w:t xml:space="preserve">group with the </w:t>
      </w:r>
      <w:r w:rsidRPr="000C5066">
        <w:t xml:space="preserve">highest proportion of </w:t>
      </w:r>
      <w:r>
        <w:t>internet</w:t>
      </w:r>
      <w:r w:rsidRPr="000C5066">
        <w:t xml:space="preserve"> users (98%) </w:t>
      </w:r>
      <w:r>
        <w:t>while</w:t>
      </w:r>
      <w:r w:rsidRPr="000C5066">
        <w:t xml:space="preserve"> the older age group (65 years and over) had the lowest proportion of </w:t>
      </w:r>
      <w:r>
        <w:t>internet</w:t>
      </w:r>
      <w:r w:rsidRPr="000C5066">
        <w:t xml:space="preserve"> users (55%). The three most popular online activities were entertainment, social networking and banking (all 80%). The proportion of </w:t>
      </w:r>
      <w:r>
        <w:t>Australian internet</w:t>
      </w:r>
      <w:r w:rsidRPr="000C5066">
        <w:t xml:space="preserve"> users accessing the </w:t>
      </w:r>
      <w:r>
        <w:t>internet</w:t>
      </w:r>
      <w:r w:rsidRPr="000C5066">
        <w:t xml:space="preserve"> for health services or health research increased from 22% of </w:t>
      </w:r>
      <w:r>
        <w:t>internet</w:t>
      </w:r>
      <w:r w:rsidRPr="000C5066">
        <w:t xml:space="preserve"> users in 2014</w:t>
      </w:r>
      <w:r>
        <w:t>–</w:t>
      </w:r>
      <w:r w:rsidRPr="000C5066">
        <w:t>15 to 46% in 2016</w:t>
      </w:r>
      <w:r>
        <w:t>–</w:t>
      </w:r>
      <w:r w:rsidRPr="000C5066">
        <w:t xml:space="preserve">17 </w:t>
      </w:r>
      <w:r>
        <w:rPr>
          <w:noProof/>
        </w:rPr>
        <w:t>(Australian Bureau of Statistics, 2018)</w:t>
      </w:r>
      <w:r w:rsidRPr="000C5066">
        <w:t>.</w:t>
      </w:r>
      <w:r>
        <w:t xml:space="preserve"> </w:t>
      </w:r>
    </w:p>
    <w:p w14:paraId="6D8B0337" w14:textId="77777777" w:rsidR="005A713B" w:rsidRDefault="005A713B" w:rsidP="005A713B">
      <w:pPr>
        <w:rPr>
          <w:rFonts w:eastAsia="Calibri"/>
        </w:rPr>
      </w:pPr>
      <w:r w:rsidRPr="000C5066">
        <w:t>While considerable information is available about the use of technology in civilian populations</w:t>
      </w:r>
      <w:r>
        <w:t>,</w:t>
      </w:r>
      <w:r w:rsidRPr="000C5066">
        <w:t xml:space="preserve"> less is known about the use of technologies by military populations. A US study conducted by</w:t>
      </w:r>
      <w:r>
        <w:t xml:space="preserve"> Edwards-Stewart </w:t>
      </w:r>
      <w:r>
        <w:rPr>
          <w:noProof/>
        </w:rPr>
        <w:t>(2016)</w:t>
      </w:r>
      <w:r w:rsidRPr="000C5066">
        <w:t xml:space="preserve"> explored the technology use of 1101 active duty service members and 45 behavioural health care providers at a large military installation. Compared with providers, service members reported higher rates of </w:t>
      </w:r>
      <w:r>
        <w:t>smart phone</w:t>
      </w:r>
      <w:r w:rsidRPr="000C5066">
        <w:t xml:space="preserve"> ownership (89% versus 56%), were more likely to own Android </w:t>
      </w:r>
      <w:r>
        <w:t>smart phone</w:t>
      </w:r>
      <w:r w:rsidRPr="000C5066">
        <w:t>s than iPhones, and spent more time gaming. Both groups spent a comparable amount of time using social media. With the exception of gaming, however, differences between service members and providers were not statistically significant when demographics were matched and controlled. Among service members, younger respondents (18–34) were statistically more likely than older respondents (35–58</w:t>
      </w:r>
      <w:r>
        <w:t>+</w:t>
      </w:r>
      <w:r w:rsidRPr="000C5066">
        <w:t xml:space="preserve">) to own </w:t>
      </w:r>
      <w:r>
        <w:t>smart phone</w:t>
      </w:r>
      <w:r w:rsidRPr="000C5066">
        <w:t xml:space="preserve">s, spend time gaming, and engage in social media. In a survey of 331 active army service members in the US, rates of personal technology use by service members at home across all popular electronic media were high. Soldiers at home resembled civilians in their use of popular technologies. Some technologies, including the </w:t>
      </w:r>
      <w:r>
        <w:t>internet</w:t>
      </w:r>
      <w:r w:rsidRPr="000C5066">
        <w:t>, gaming and TV, were widespread on deployment. Others, most notably the use of mobile phones, were more restricted by availability, connectivity, opportunity and military regulation in the warzone</w:t>
      </w:r>
      <w:r w:rsidRPr="000C5066">
        <w:rPr>
          <w:rFonts w:eastAsia="Calibri"/>
        </w:rPr>
        <w:t xml:space="preserve"> </w:t>
      </w:r>
      <w:r>
        <w:rPr>
          <w:rFonts w:eastAsia="Calibri"/>
          <w:noProof/>
        </w:rPr>
        <w:t xml:space="preserve">(Bush, </w:t>
      </w:r>
      <w:r w:rsidRPr="00B41BE0">
        <w:rPr>
          <w:noProof/>
        </w:rPr>
        <w:t>Bosmajian, Fairall, McCann &amp; Ciulla</w:t>
      </w:r>
      <w:r>
        <w:rPr>
          <w:rFonts w:eastAsia="Calibri"/>
          <w:noProof/>
        </w:rPr>
        <w:t>, 2011)</w:t>
      </w:r>
      <w:r w:rsidRPr="000C5066">
        <w:rPr>
          <w:rFonts w:eastAsia="Calibri"/>
        </w:rPr>
        <w:t xml:space="preserve">. </w:t>
      </w:r>
    </w:p>
    <w:p w14:paraId="09074EF8" w14:textId="77777777" w:rsidR="005A713B" w:rsidRPr="000C5066" w:rsidRDefault="005A713B" w:rsidP="005A713B">
      <w:r w:rsidRPr="000C5066">
        <w:t xml:space="preserve">Whealin </w:t>
      </w:r>
      <w:r>
        <w:t>and colleagues (2016)</w:t>
      </w:r>
      <w:r w:rsidRPr="000C5066">
        <w:t xml:space="preserve"> </w:t>
      </w:r>
      <w:r>
        <w:t xml:space="preserve">conducted a study of </w:t>
      </w:r>
      <w:r w:rsidRPr="000C5066">
        <w:t>how Iraq</w:t>
      </w:r>
      <w:r>
        <w:t>,</w:t>
      </w:r>
      <w:r w:rsidRPr="000C5066">
        <w:t xml:space="preserve"> Afghanistan and </w:t>
      </w:r>
      <w:r>
        <w:t>other v</w:t>
      </w:r>
      <w:r w:rsidRPr="000C5066">
        <w:t xml:space="preserve">eterans with </w:t>
      </w:r>
      <w:r>
        <w:t>posttraumatic stress disorder (</w:t>
      </w:r>
      <w:r w:rsidRPr="000C5066">
        <w:t>PTSD</w:t>
      </w:r>
      <w:r>
        <w:t>)</w:t>
      </w:r>
      <w:r w:rsidRPr="000C5066">
        <w:t xml:space="preserve"> and comorbid chronic medical conditions </w:t>
      </w:r>
      <w:r>
        <w:t xml:space="preserve">(CMCs) </w:t>
      </w:r>
      <w:r w:rsidRPr="000C5066">
        <w:t>use</w:t>
      </w:r>
      <w:r>
        <w:t>d</w:t>
      </w:r>
      <w:r w:rsidRPr="000C5066">
        <w:t xml:space="preserve"> technology to self-manage their needs and identify </w:t>
      </w:r>
      <w:r>
        <w:t>technologies</w:t>
      </w:r>
      <w:r w:rsidRPr="000C5066">
        <w:t xml:space="preserve"> that </w:t>
      </w:r>
      <w:r>
        <w:t>they felt</w:t>
      </w:r>
      <w:r w:rsidRPr="000C5066">
        <w:t xml:space="preserve"> would empower them to manage their health care </w:t>
      </w:r>
      <w:r>
        <w:rPr>
          <w:noProof/>
        </w:rPr>
        <w:t>(Whealin et al., 2016; Whealin et al., 2017; Whealin et al., 2015)</w:t>
      </w:r>
      <w:r w:rsidRPr="000C5066">
        <w:t xml:space="preserve">. </w:t>
      </w:r>
      <w:r>
        <w:t xml:space="preserve">Overall, </w:t>
      </w:r>
      <w:r w:rsidRPr="000C5066">
        <w:t>119 veterans with PTSD participated in the study</w:t>
      </w:r>
      <w:r>
        <w:t>,</w:t>
      </w:r>
      <w:r w:rsidRPr="000C5066">
        <w:t xml:space="preserve"> which included a survey </w:t>
      </w:r>
      <w:r>
        <w:t>about</w:t>
      </w:r>
      <w:r w:rsidRPr="000C5066">
        <w:t xml:space="preserve"> preferences related to the use of technology followed by two focus groups to explore how veterans with PTSD use</w:t>
      </w:r>
      <w:r>
        <w:t>d</w:t>
      </w:r>
      <w:r w:rsidRPr="000C5066">
        <w:t xml:space="preserve"> technology to support their complex healthcare needs. Participants in this study were older, with a mean age of 64, 85</w:t>
      </w:r>
      <w:r>
        <w:t>%</w:t>
      </w:r>
      <w:r w:rsidRPr="000C5066">
        <w:t xml:space="preserve"> were male, 72% were white, and 63% had an annual household income of less than US$50,000. </w:t>
      </w:r>
      <w:r>
        <w:t xml:space="preserve">Of this sample, </w:t>
      </w:r>
      <w:r w:rsidRPr="000C5066">
        <w:t xml:space="preserve">45% used health-related technology one to three times per month and 21% used technology less than once per month. Veterans reported using technology most often to search for health information (79%), communicate with providers (71%) and track medications (65%). Five major themes emerged that describe how technology influences veterans with PTSD and comorbid CMCs: (1) interactions with social support, (2) condition management, (3) access to and communication with providers, (4) information access, and (5) coordination of care </w:t>
      </w:r>
      <w:r>
        <w:rPr>
          <w:noProof/>
        </w:rPr>
        <w:t>(Whealin et al., 2016)</w:t>
      </w:r>
      <w:r w:rsidRPr="000C5066">
        <w:t>.</w:t>
      </w:r>
    </w:p>
    <w:p w14:paraId="786D287A" w14:textId="77777777" w:rsidR="005A713B" w:rsidRPr="000C5066" w:rsidRDefault="005A713B" w:rsidP="005A713B">
      <w:r w:rsidRPr="000C5066">
        <w:t xml:space="preserve">In further work, 47 ethnically and racially diverse US veterans residing in the rural Pacific Islands participated in a study </w:t>
      </w:r>
      <w:r>
        <w:t>that</w:t>
      </w:r>
      <w:r w:rsidRPr="000C5066">
        <w:t xml:space="preserve"> explored whether they would find the delivery of evidence-based treatment for PTSD via health tablet devices useful and helpful </w:t>
      </w:r>
      <w:r>
        <w:rPr>
          <w:noProof/>
        </w:rPr>
        <w:t>(Whealin et al., 2017)</w:t>
      </w:r>
      <w:r w:rsidRPr="000C5066">
        <w:t xml:space="preserve">. Clinicians located in a central urban location delivered </w:t>
      </w:r>
      <w:r>
        <w:t>c</w:t>
      </w:r>
      <w:r w:rsidRPr="000C5066">
        <w:t xml:space="preserve">ognitive </w:t>
      </w:r>
      <w:r>
        <w:t>p</w:t>
      </w:r>
      <w:r w:rsidRPr="000C5066">
        <w:t xml:space="preserve">rocessing </w:t>
      </w:r>
      <w:r>
        <w:t>t</w:t>
      </w:r>
      <w:r w:rsidRPr="000C5066">
        <w:t>herapy</w:t>
      </w:r>
      <w:r>
        <w:t xml:space="preserve"> </w:t>
      </w:r>
      <w:r w:rsidRPr="000C5066">
        <w:t xml:space="preserve">for PTSD directly into patients' homes via a tablet device and secure </w:t>
      </w:r>
      <w:r>
        <w:t>w</w:t>
      </w:r>
      <w:r w:rsidRPr="000C5066">
        <w:t>i-</w:t>
      </w:r>
      <w:r>
        <w:t>f</w:t>
      </w:r>
      <w:r w:rsidRPr="000C5066">
        <w:t xml:space="preserve">i connection. Ratings on measures of home health comfort, satisfaction with care and usability were uniformly positive. Veterans were equally open to receiving mental health services at home or in the clinic. In the case of services for a physical problem, however, veterans preferred in-clinic care. Following treatment, veterans' attitudinal scores increased on items such as </w:t>
      </w:r>
      <w:r>
        <w:t>‘</w:t>
      </w:r>
      <w:r w:rsidRPr="000C5066">
        <w:t>There is enough therapist contact in home health interventions.</w:t>
      </w:r>
      <w:r>
        <w:t>’</w:t>
      </w:r>
      <w:r w:rsidRPr="000C5066">
        <w:t xml:space="preserve"> However, a small portion of veterans (7%) reported having technical or privacy concerns. The authors conclude</w:t>
      </w:r>
      <w:r>
        <w:t>d</w:t>
      </w:r>
      <w:r w:rsidRPr="000C5066">
        <w:t xml:space="preserve"> that the provision of evidence-based PTSD treatment directly into the patients' homes proved feasible and was well received by the large majority of rural ethnically/racially diverse veterans </w:t>
      </w:r>
      <w:r>
        <w:rPr>
          <w:noProof/>
        </w:rPr>
        <w:t>(Whealin et al., 2017)</w:t>
      </w:r>
      <w:r w:rsidRPr="000C5066">
        <w:t xml:space="preserve">. </w:t>
      </w:r>
    </w:p>
    <w:p w14:paraId="0EB6CCDB" w14:textId="29A57371" w:rsidR="005A713B" w:rsidRPr="000C5066" w:rsidRDefault="005A713B" w:rsidP="005A713B">
      <w:r w:rsidRPr="000C5066">
        <w:t xml:space="preserve">In a study that sought to understand willingness to use e-mental health </w:t>
      </w:r>
      <w:r>
        <w:t>among</w:t>
      </w:r>
      <w:r w:rsidRPr="000C5066">
        <w:t xml:space="preserve"> a diverse group of </w:t>
      </w:r>
      <w:r>
        <w:t>v</w:t>
      </w:r>
      <w:r w:rsidRPr="000C5066">
        <w:t>eterans residing in Hawaii</w:t>
      </w:r>
      <w:r>
        <w:t>,</w:t>
      </w:r>
      <w:r w:rsidRPr="000C5066">
        <w:t xml:space="preserve"> mailed surveys were completed by 600 Operation Iraqi Freedom/Operation Enduring Freedom </w:t>
      </w:r>
      <w:r>
        <w:t>v</w:t>
      </w:r>
      <w:r w:rsidRPr="000C5066">
        <w:t>eterans and National Guard members. Results suggest</w:t>
      </w:r>
      <w:r>
        <w:t>ed</w:t>
      </w:r>
      <w:r w:rsidRPr="000C5066">
        <w:t xml:space="preserve"> that overall willingness to use e-mental health ranged from 32.2% to 56.7% depending on modality type. Importantly, </w:t>
      </w:r>
      <w:r>
        <w:t>v</w:t>
      </w:r>
      <w:r w:rsidRPr="000C5066">
        <w:t>eterans who screened positive for PTSD were significantly less likely to report willingness to use each e</w:t>
      </w:r>
      <w:r w:rsidR="003D223D">
        <w:noBreakHyphen/>
      </w:r>
      <w:r w:rsidRPr="000C5066">
        <w:t>mental health modality than their peers without PTSD, despite their greater desire for mental health services. These results suggest that</w:t>
      </w:r>
      <w:r>
        <w:t>,</w:t>
      </w:r>
      <w:r w:rsidRPr="000C5066">
        <w:t xml:space="preserve"> despite solutions to logistical barriers afforded </w:t>
      </w:r>
      <w:r>
        <w:t>by</w:t>
      </w:r>
      <w:r w:rsidRPr="000C5066">
        <w:t xml:space="preserve"> e-mental health services, certain barriers to mental health care may persist, especially among </w:t>
      </w:r>
      <w:r>
        <w:t>v</w:t>
      </w:r>
      <w:r w:rsidRPr="000C5066">
        <w:t xml:space="preserve">eterans who screen positive for PTSD </w:t>
      </w:r>
      <w:r>
        <w:rPr>
          <w:noProof/>
        </w:rPr>
        <w:t>(Whealin et al., 2015)</w:t>
      </w:r>
      <w:r w:rsidRPr="000C5066">
        <w:t>.</w:t>
      </w:r>
    </w:p>
    <w:p w14:paraId="15DD9CD7" w14:textId="22749475" w:rsidR="005A713B" w:rsidRPr="005C6232" w:rsidRDefault="005A713B" w:rsidP="005A713B">
      <w:pPr>
        <w:rPr>
          <w:color w:val="000000" w:themeColor="text1"/>
        </w:rPr>
      </w:pPr>
      <w:r w:rsidRPr="000C5066">
        <w:rPr>
          <w:color w:val="000000" w:themeColor="text1"/>
        </w:rPr>
        <w:t xml:space="preserve">In the Australian </w:t>
      </w:r>
      <w:r>
        <w:rPr>
          <w:color w:val="000000" w:themeColor="text1"/>
        </w:rPr>
        <w:t>c</w:t>
      </w:r>
      <w:r w:rsidRPr="000C5066">
        <w:rPr>
          <w:color w:val="000000" w:themeColor="text1"/>
        </w:rPr>
        <w:t xml:space="preserve">ontext, results from the </w:t>
      </w:r>
      <w:r w:rsidRPr="002E2470">
        <w:rPr>
          <w:i/>
          <w:color w:val="000000" w:themeColor="text1"/>
        </w:rPr>
        <w:t>Pathways to Care</w:t>
      </w:r>
      <w:r w:rsidRPr="000C5066">
        <w:rPr>
          <w:color w:val="000000" w:themeColor="text1"/>
        </w:rPr>
        <w:t xml:space="preserve"> </w:t>
      </w:r>
      <w:r w:rsidR="00477AD4" w:rsidRPr="00477AD4">
        <w:rPr>
          <w:i/>
          <w:color w:val="000000" w:themeColor="text1"/>
        </w:rPr>
        <w:t>Report</w:t>
      </w:r>
      <w:r w:rsidRPr="000C5066">
        <w:rPr>
          <w:color w:val="000000" w:themeColor="text1"/>
        </w:rPr>
        <w:t xml:space="preserve"> showed that</w:t>
      </w:r>
      <w:r>
        <w:rPr>
          <w:color w:val="000000" w:themeColor="text1"/>
        </w:rPr>
        <w:t>,</w:t>
      </w:r>
      <w:r w:rsidRPr="000C5066">
        <w:rPr>
          <w:color w:val="000000" w:themeColor="text1"/>
        </w:rPr>
        <w:t xml:space="preserve"> </w:t>
      </w:r>
      <w:r>
        <w:rPr>
          <w:color w:val="000000" w:themeColor="text1"/>
        </w:rPr>
        <w:t xml:space="preserve">while overall </w:t>
      </w:r>
      <w:r w:rsidRPr="000C5066">
        <w:rPr>
          <w:color w:val="000000" w:themeColor="text1"/>
        </w:rPr>
        <w:t xml:space="preserve">technology use </w:t>
      </w:r>
      <w:r>
        <w:rPr>
          <w:color w:val="000000" w:themeColor="text1"/>
        </w:rPr>
        <w:t xml:space="preserve">is high </w:t>
      </w:r>
      <w:r w:rsidRPr="000C5066">
        <w:rPr>
          <w:color w:val="000000" w:themeColor="text1"/>
        </w:rPr>
        <w:t xml:space="preserve">among </w:t>
      </w:r>
      <w:r>
        <w:rPr>
          <w:color w:val="000000" w:themeColor="text1"/>
        </w:rPr>
        <w:t xml:space="preserve">both </w:t>
      </w:r>
      <w:r w:rsidRPr="000C5066">
        <w:rPr>
          <w:color w:val="000000" w:themeColor="text1"/>
        </w:rPr>
        <w:t xml:space="preserve">Transitioned ADF and 2015 Regular </w:t>
      </w:r>
      <w:r>
        <w:rPr>
          <w:color w:val="000000" w:themeColor="text1"/>
        </w:rPr>
        <w:t xml:space="preserve">ADF (with more than 95% using the internet at least every day), the proportion of respondents using any health website was 30.1% for Transitioned ADF and 25.0% for Regular ADF </w:t>
      </w:r>
      <w:r>
        <w:rPr>
          <w:noProof/>
          <w:color w:val="000000" w:themeColor="text1"/>
        </w:rPr>
        <w:t>(</w:t>
      </w:r>
      <w:r w:rsidR="008B4128">
        <w:rPr>
          <w:noProof/>
          <w:color w:val="000000" w:themeColor="text1"/>
        </w:rPr>
        <w:t>Forbes et al. 2018</w:t>
      </w:r>
      <w:r>
        <w:rPr>
          <w:noProof/>
          <w:color w:val="000000" w:themeColor="text1"/>
        </w:rPr>
        <w:t>)</w:t>
      </w:r>
      <w:r>
        <w:rPr>
          <w:color w:val="000000" w:themeColor="text1"/>
        </w:rPr>
        <w:t>.</w:t>
      </w:r>
    </w:p>
    <w:p w14:paraId="71D6AF2E" w14:textId="77777777" w:rsidR="005A713B" w:rsidRPr="005C6232" w:rsidRDefault="005A713B" w:rsidP="00C44855">
      <w:pPr>
        <w:pStyle w:val="Heading2"/>
      </w:pPr>
      <w:bookmarkStart w:id="35" w:name="_Toc518566324"/>
      <w:bookmarkStart w:id="36" w:name="_Toc528932624"/>
      <w:bookmarkStart w:id="37" w:name="_Toc531859161"/>
      <w:r w:rsidRPr="005C6232">
        <w:t>The use of technology to support mental health and wellbeing</w:t>
      </w:r>
      <w:bookmarkEnd w:id="35"/>
      <w:bookmarkEnd w:id="36"/>
      <w:bookmarkEnd w:id="37"/>
    </w:p>
    <w:p w14:paraId="540B7810" w14:textId="77777777" w:rsidR="005A713B" w:rsidRDefault="005A713B" w:rsidP="005A713B">
      <w:r>
        <w:t>As illustrated in the</w:t>
      </w:r>
      <w:r w:rsidRPr="00B80E54">
        <w:t xml:space="preserve"> above </w:t>
      </w:r>
      <w:r>
        <w:t xml:space="preserve">sections, </w:t>
      </w:r>
      <w:r w:rsidRPr="00B80E54">
        <w:t>there is a considerable opportunity to explore how technologies can be used to sup</w:t>
      </w:r>
      <w:r>
        <w:t>port the mental health and wellbeing of military personnel. In the Transition and Wellbeing Research Programme we explore the use of technologies in the context of preferences, barriers and stigmas to care and the types of new and emerging technologies that Transitioned ADF and 2015 Regular ADF use. These different approaches and the current evidence for their use are discussed below.</w:t>
      </w:r>
    </w:p>
    <w:p w14:paraId="5709DD7F" w14:textId="77777777" w:rsidR="005A713B" w:rsidRPr="00C163BD" w:rsidRDefault="005A713B" w:rsidP="005A713B">
      <w:pPr>
        <w:pStyle w:val="Heading3"/>
        <w:numPr>
          <w:ilvl w:val="2"/>
          <w:numId w:val="1"/>
        </w:numPr>
      </w:pPr>
      <w:bookmarkStart w:id="38" w:name="_Toc518566325"/>
      <w:bookmarkStart w:id="39" w:name="_Toc528932625"/>
      <w:bookmarkStart w:id="40" w:name="_Toc531859162"/>
      <w:r w:rsidRPr="00C163BD">
        <w:t>Telehealth</w:t>
      </w:r>
      <w:bookmarkEnd w:id="38"/>
      <w:bookmarkEnd w:id="39"/>
      <w:bookmarkEnd w:id="40"/>
    </w:p>
    <w:p w14:paraId="30832941" w14:textId="77777777" w:rsidR="005A713B" w:rsidRPr="000C5066" w:rsidRDefault="005A713B" w:rsidP="005A713B">
      <w:r w:rsidRPr="000C5066">
        <w:t xml:space="preserve">The concept of telehealth as ‘the use of telecommunication techniques for the purpose of providing telemedicine, medical education, and health education over a distance’ is well embedded in the Australian healthcare system </w:t>
      </w:r>
      <w:r>
        <w:rPr>
          <w:noProof/>
        </w:rPr>
        <w:t>(Australian Government Department of Health and Ageing, 2012)</w:t>
      </w:r>
      <w:r w:rsidRPr="000C5066">
        <w:t>.</w:t>
      </w:r>
      <w:r w:rsidRPr="000C5066">
        <w:rPr>
          <w:b/>
        </w:rPr>
        <w:t xml:space="preserve"> </w:t>
      </w:r>
      <w:r w:rsidRPr="000C5066">
        <w:t xml:space="preserve">Telehealth consultations, conducted </w:t>
      </w:r>
      <w:r>
        <w:t>by</w:t>
      </w:r>
      <w:r w:rsidRPr="000C5066">
        <w:t xml:space="preserve"> telephone or videoconferencing</w:t>
      </w:r>
      <w:r>
        <w:t>,</w:t>
      </w:r>
      <w:r w:rsidRPr="000C5066">
        <w:t xml:space="preserve"> have traditionally been delivered in clinical settings but are increasingly gaining support in relation to home</w:t>
      </w:r>
      <w:r>
        <w:t>-</w:t>
      </w:r>
      <w:r w:rsidRPr="000C5066">
        <w:t xml:space="preserve">based implementation </w:t>
      </w:r>
      <w:r>
        <w:rPr>
          <w:noProof/>
        </w:rPr>
        <w:t>(Gros et al., 2011)</w:t>
      </w:r>
      <w:r w:rsidRPr="000C5066">
        <w:t xml:space="preserve">. Randomised controlled clinical trials have found comparable treatment outcomes for patients who received treatment via videoconference compared to </w:t>
      </w:r>
      <w:r>
        <w:t xml:space="preserve">those receiving </w:t>
      </w:r>
      <w:r w:rsidRPr="000C5066">
        <w:t xml:space="preserve">in-person delivery </w:t>
      </w:r>
      <w:bookmarkStart w:id="41" w:name="_Hlk523991619"/>
      <w:r>
        <w:rPr>
          <w:noProof/>
        </w:rPr>
        <w:t>(Chipps</w:t>
      </w:r>
      <w:r w:rsidRPr="00B41BE0">
        <w:rPr>
          <w:noProof/>
        </w:rPr>
        <w:t>, Brysiewicz</w:t>
      </w:r>
      <w:r>
        <w:rPr>
          <w:noProof/>
        </w:rPr>
        <w:t xml:space="preserve">, </w:t>
      </w:r>
      <w:r w:rsidRPr="00B41BE0">
        <w:rPr>
          <w:noProof/>
        </w:rPr>
        <w:t>&amp; Mars</w:t>
      </w:r>
      <w:r>
        <w:rPr>
          <w:noProof/>
        </w:rPr>
        <w:t>, 2012; Hilty et al., 2013)</w:t>
      </w:r>
      <w:bookmarkEnd w:id="41"/>
      <w:r>
        <w:t>,</w:t>
      </w:r>
      <w:r w:rsidRPr="000C5066">
        <w:t xml:space="preserve"> with </w:t>
      </w:r>
      <w:r>
        <w:t>comparable</w:t>
      </w:r>
      <w:r w:rsidRPr="000C5066">
        <w:t xml:space="preserve"> results for complex mental health conditions, including PTSD </w:t>
      </w:r>
      <w:r>
        <w:rPr>
          <w:noProof/>
        </w:rPr>
        <w:t>(Gros et al., 2011; Strachan et al., 2012)</w:t>
      </w:r>
      <w:r w:rsidRPr="000C5066">
        <w:t>.</w:t>
      </w:r>
    </w:p>
    <w:p w14:paraId="32D26D78" w14:textId="73606D9C" w:rsidR="005A713B" w:rsidRPr="000C5066" w:rsidRDefault="005A713B" w:rsidP="005A713B">
      <w:r w:rsidRPr="000C5066">
        <w:t>Telehealth focused specifically on mental health can encompass a range of services</w:t>
      </w:r>
      <w:r>
        <w:t>,</w:t>
      </w:r>
      <w:r w:rsidRPr="000C5066">
        <w:t xml:space="preserve"> including psychological and neuropsychological assessment and diagnosis. Diagnoses can be made reliably for children, adolescents and adults</w:t>
      </w:r>
      <w:r>
        <w:t>,</w:t>
      </w:r>
      <w:r w:rsidRPr="000C5066">
        <w:t xml:space="preserve"> and a wide range of assessment scales have been shown to be reliable and valid when administered via synchronous telehealth systems. Telehealth in the provision of </w:t>
      </w:r>
      <w:r w:rsidR="00362051" w:rsidRPr="000C5066">
        <w:t xml:space="preserve">both </w:t>
      </w:r>
      <w:r w:rsidRPr="000C5066">
        <w:t>psychological and psychiatric services ha</w:t>
      </w:r>
      <w:r>
        <w:t>s</w:t>
      </w:r>
      <w:r w:rsidRPr="000C5066">
        <w:t xml:space="preserve"> demonstrated feasibility and acceptability across populations</w:t>
      </w:r>
      <w:r>
        <w:t>,</w:t>
      </w:r>
      <w:r w:rsidRPr="000C5066">
        <w:t xml:space="preserve"> with enhancement of care through telehealth observed in subgroups of users </w:t>
      </w:r>
      <w:r>
        <w:rPr>
          <w:noProof/>
        </w:rPr>
        <w:t>(Chipps et al., 2012)</w:t>
      </w:r>
      <w:r w:rsidRPr="000C5066">
        <w:t>.</w:t>
      </w:r>
    </w:p>
    <w:p w14:paraId="4DBE59AD" w14:textId="77777777" w:rsidR="005A713B" w:rsidRPr="002857FB" w:rsidRDefault="005A713B" w:rsidP="005A713B">
      <w:pPr>
        <w:rPr>
          <w:b/>
        </w:rPr>
      </w:pPr>
      <w:r w:rsidRPr="000C5066">
        <w:t xml:space="preserve">International reviews of the literature provide strong evidence for the use of videoconferencing for evaluation and treatment of a wide </w:t>
      </w:r>
      <w:r>
        <w:t>range</w:t>
      </w:r>
      <w:r w:rsidRPr="000C5066">
        <w:t xml:space="preserve"> of mental health concerns in various populations </w:t>
      </w:r>
      <w:bookmarkStart w:id="42" w:name="_Hlk523991794"/>
      <w:r>
        <w:rPr>
          <w:noProof/>
        </w:rPr>
        <w:t>(Chipps et al., 2012; Hilty et al., 2013; Mohr,</w:t>
      </w:r>
      <w:r w:rsidRPr="00B55BBF">
        <w:rPr>
          <w:noProof/>
        </w:rPr>
        <w:t xml:space="preserve"> </w:t>
      </w:r>
      <w:r w:rsidRPr="00B41BE0">
        <w:rPr>
          <w:noProof/>
        </w:rPr>
        <w:t>Cheung, Schueller, Brown</w:t>
      </w:r>
      <w:r>
        <w:rPr>
          <w:noProof/>
        </w:rPr>
        <w:t xml:space="preserve">, </w:t>
      </w:r>
      <w:r w:rsidRPr="00B41BE0">
        <w:rPr>
          <w:noProof/>
        </w:rPr>
        <w:t>&amp; Duan</w:t>
      </w:r>
      <w:r>
        <w:rPr>
          <w:noProof/>
        </w:rPr>
        <w:t>, 2013)</w:t>
      </w:r>
      <w:bookmarkEnd w:id="42"/>
      <w:r>
        <w:t>. In treatment this can include</w:t>
      </w:r>
      <w:r w:rsidRPr="000C5066">
        <w:t xml:space="preserve"> care plan development, medication management, psychological treatment, general guidance, psycho</w:t>
      </w:r>
      <w:r>
        <w:t>-</w:t>
      </w:r>
      <w:r w:rsidRPr="000C5066">
        <w:t xml:space="preserve">education and referral, and management of psychiatric emergencies. When appropriate to aid in medication management, mental health consultations can be conducted in conjunction with a local general practitioner </w:t>
      </w:r>
      <w:r>
        <w:rPr>
          <w:noProof/>
        </w:rPr>
        <w:t>(Gros et al., 2011)</w:t>
      </w:r>
      <w:r w:rsidRPr="000C5066">
        <w:t>.</w:t>
      </w:r>
    </w:p>
    <w:p w14:paraId="1A832DD2" w14:textId="5C91CB28" w:rsidR="005A713B" w:rsidRPr="000C5066" w:rsidRDefault="005A713B" w:rsidP="005A713B">
      <w:r w:rsidRPr="000C5066">
        <w:t>Notably, satisfaction and the quality of care using videoconference-delivered treatment ha</w:t>
      </w:r>
      <w:r w:rsidR="009D1C59">
        <w:t>ve</w:t>
      </w:r>
      <w:r w:rsidRPr="000C5066">
        <w:t xml:space="preserve"> generally been on par with face-to-face treatment </w:t>
      </w:r>
      <w:r>
        <w:rPr>
          <w:noProof/>
        </w:rPr>
        <w:t>(Gros et al., 2011)</w:t>
      </w:r>
      <w:r w:rsidRPr="000C5066">
        <w:t>. For populations that are reluctant to seek help, such as college students</w:t>
      </w:r>
      <w:r>
        <w:t>,</w:t>
      </w:r>
      <w:r w:rsidRPr="000C5066">
        <w:t xml:space="preserve"> teleconferencing can be an effective means of outreach </w:t>
      </w:r>
      <w:r>
        <w:rPr>
          <w:noProof/>
        </w:rPr>
        <w:t>(Haas et al., 2008)</w:t>
      </w:r>
      <w:r w:rsidRPr="000C5066">
        <w:t xml:space="preserve">. Evidence exists for the feasibility, reliability, and validity of asynchronous telehealth, </w:t>
      </w:r>
      <w:r>
        <w:t>whereby</w:t>
      </w:r>
      <w:r w:rsidRPr="000C5066">
        <w:t xml:space="preserve"> video and patient histories are uploaded for review by a remote psychiatrist who provides evaluation and recommendations to the primary care provider managing the patient’s care </w:t>
      </w:r>
      <w:r>
        <w:rPr>
          <w:noProof/>
        </w:rPr>
        <w:t>(Odor et al., 2011)</w:t>
      </w:r>
      <w:r w:rsidRPr="000C5066">
        <w:t xml:space="preserve">. Finally, there is support for therapy delivered entirely via telephone and there are numerous examples of programs that combine computer-guided interventions over the telephone </w:t>
      </w:r>
      <w:r>
        <w:rPr>
          <w:noProof/>
        </w:rPr>
        <w:t>(Mohr et al., 2013)</w:t>
      </w:r>
      <w:r w:rsidRPr="000C5066">
        <w:t>.</w:t>
      </w:r>
    </w:p>
    <w:p w14:paraId="3581A150" w14:textId="77777777" w:rsidR="005A713B" w:rsidRPr="000C5066" w:rsidRDefault="005A713B" w:rsidP="005A713B">
      <w:r w:rsidRPr="000C5066">
        <w:t xml:space="preserve">In military populations, the feasibility of telehealth has </w:t>
      </w:r>
      <w:r>
        <w:t xml:space="preserve">been </w:t>
      </w:r>
      <w:r w:rsidRPr="000C5066">
        <w:t>demonstrated in the U</w:t>
      </w:r>
      <w:r>
        <w:t xml:space="preserve">nited </w:t>
      </w:r>
      <w:r w:rsidRPr="000C5066">
        <w:t>S</w:t>
      </w:r>
      <w:r>
        <w:t>tates of America</w:t>
      </w:r>
      <w:r w:rsidRPr="000C5066">
        <w:t xml:space="preserve"> </w:t>
      </w:r>
      <w:r>
        <w:rPr>
          <w:noProof/>
        </w:rPr>
        <w:t>(Gros et al., 2011)</w:t>
      </w:r>
      <w:r w:rsidRPr="000C5066">
        <w:t xml:space="preserve"> and with active</w:t>
      </w:r>
      <w:r>
        <w:t>-</w:t>
      </w:r>
      <w:r w:rsidRPr="000C5066">
        <w:t xml:space="preserve">duty military populations in Australia </w:t>
      </w:r>
      <w:r>
        <w:rPr>
          <w:noProof/>
        </w:rPr>
        <w:t>(Wallace &amp; Rayner, 2013)</w:t>
      </w:r>
      <w:r w:rsidRPr="000C5066">
        <w:t>. Having repeatedly demonstrated viability and acceptability, telehealth is increasingly being utilised by population management healthcare systems around the world to extend quality care to areas where it would otherwise not be available. Provision of mental health services to ethnically and culturally diverse populations can be a particular challenge. Telehealth can help to overcome language and cultural barriers by enabling provision of culturally sensitive services in a person</w:t>
      </w:r>
      <w:r>
        <w:t>’</w:t>
      </w:r>
      <w:r w:rsidRPr="000C5066">
        <w:t xml:space="preserve">s native language. In the US, cultural adaptations of remote monitoring systems for veterans with PTSD have been successfully deployed with Native Americans in remote locations </w:t>
      </w:r>
      <w:r>
        <w:rPr>
          <w:noProof/>
        </w:rPr>
        <w:t xml:space="preserve">(Brooks, </w:t>
      </w:r>
      <w:r w:rsidRPr="00B41BE0">
        <w:rPr>
          <w:noProof/>
        </w:rPr>
        <w:t>Manson, Bair, Dailey</w:t>
      </w:r>
      <w:r>
        <w:rPr>
          <w:noProof/>
        </w:rPr>
        <w:t>,</w:t>
      </w:r>
      <w:r w:rsidRPr="00B41BE0">
        <w:rPr>
          <w:noProof/>
        </w:rPr>
        <w:t xml:space="preserve"> &amp; Shore</w:t>
      </w:r>
      <w:r>
        <w:rPr>
          <w:noProof/>
        </w:rPr>
        <w:t>, 2012)</w:t>
      </w:r>
      <w:r w:rsidRPr="000C5066">
        <w:t xml:space="preserve">. Likewise, telehealth has been shown to be a feasible means of addressing the mental health needs of Indigenous people in Australia </w:t>
      </w:r>
      <w:r>
        <w:rPr>
          <w:noProof/>
        </w:rPr>
        <w:t>(Alexander &amp; Lattanzio, 2009)</w:t>
      </w:r>
      <w:r w:rsidRPr="000C5066">
        <w:t>.</w:t>
      </w:r>
    </w:p>
    <w:p w14:paraId="4916539A" w14:textId="77777777" w:rsidR="005A713B" w:rsidRDefault="005A713B" w:rsidP="005A713B">
      <w:r w:rsidRPr="000C5066">
        <w:t>In a US qualitative study in which 40 key leadership and clinical stakeholders at V</w:t>
      </w:r>
      <w:r>
        <w:t xml:space="preserve">eterans </w:t>
      </w:r>
      <w:r w:rsidRPr="000C5066">
        <w:t>A</w:t>
      </w:r>
      <w:r>
        <w:t>ffairs</w:t>
      </w:r>
      <w:r w:rsidRPr="000C5066">
        <w:t xml:space="preserve"> medical centres and associated outpatient clin</w:t>
      </w:r>
      <w:r>
        <w:t>ics were interviewed, tele</w:t>
      </w:r>
      <w:r w:rsidRPr="000C5066">
        <w:t>health was perceived to increase access to mental health care, including same-gender care and access to providers with speciali</w:t>
      </w:r>
      <w:r>
        <w:t>s</w:t>
      </w:r>
      <w:r w:rsidRPr="000C5066">
        <w:t>ed training, especially for rural women and those with other limiting circumstances. Respondents saw women veterans as being particularly po</w:t>
      </w:r>
      <w:r>
        <w:t>ised to benefit from tele</w:t>
      </w:r>
      <w:r w:rsidRPr="000C5066">
        <w:t>health, owing to responsibilities associated with childcare, spousal care and elder caregiving. Interviewees expr</w:t>
      </w:r>
      <w:r>
        <w:t>essed enthusiasm for the</w:t>
      </w:r>
      <w:r w:rsidRPr="000C5066">
        <w:t xml:space="preserve"> potential </w:t>
      </w:r>
      <w:r>
        <w:t xml:space="preserve">of telehealth </w:t>
      </w:r>
      <w:r w:rsidRPr="000C5066">
        <w:t>and were eager to expand services, including women-only mental health groups. The authors suggest</w:t>
      </w:r>
      <w:r>
        <w:t>ed</w:t>
      </w:r>
      <w:r w:rsidRPr="000C5066">
        <w:t xml:space="preserve"> that these findings </w:t>
      </w:r>
      <w:r>
        <w:t>could</w:t>
      </w:r>
      <w:r w:rsidRPr="000C5066">
        <w:t xml:space="preserve"> help to inform gender-tailored expansion of t</w:t>
      </w:r>
      <w:r>
        <w:t>ele</w:t>
      </w:r>
      <w:r w:rsidRPr="000C5066">
        <w:t>health within and outside V</w:t>
      </w:r>
      <w:r>
        <w:t xml:space="preserve">eterans </w:t>
      </w:r>
      <w:r w:rsidRPr="000C5066">
        <w:t>A</w:t>
      </w:r>
      <w:r>
        <w:t>ffairs</w:t>
      </w:r>
      <w:r w:rsidRPr="000C5066">
        <w:t xml:space="preserve"> </w:t>
      </w:r>
      <w:r>
        <w:rPr>
          <w:noProof/>
        </w:rPr>
        <w:t>(Moreau et al., 2018)</w:t>
      </w:r>
      <w:r w:rsidRPr="000C5066">
        <w:t>.</w:t>
      </w:r>
      <w:bookmarkEnd w:id="31"/>
    </w:p>
    <w:p w14:paraId="7892171B" w14:textId="77777777" w:rsidR="005A713B" w:rsidRPr="00426A50" w:rsidRDefault="005A713B" w:rsidP="005A713B">
      <w:pPr>
        <w:pStyle w:val="Heading3"/>
        <w:numPr>
          <w:ilvl w:val="2"/>
          <w:numId w:val="1"/>
        </w:numPr>
      </w:pPr>
      <w:bookmarkStart w:id="43" w:name="_Toc273712901"/>
      <w:bookmarkStart w:id="44" w:name="_Toc385859303"/>
      <w:bookmarkStart w:id="45" w:name="_Toc518566326"/>
      <w:bookmarkStart w:id="46" w:name="_Toc528932626"/>
      <w:bookmarkStart w:id="47" w:name="_Toc531859163"/>
      <w:r w:rsidRPr="000C5066">
        <w:t xml:space="preserve">Websites and </w:t>
      </w:r>
      <w:r>
        <w:t>t</w:t>
      </w:r>
      <w:r w:rsidRPr="000C5066">
        <w:t xml:space="preserve">elephone </w:t>
      </w:r>
      <w:r>
        <w:t>h</w:t>
      </w:r>
      <w:r w:rsidRPr="000C5066">
        <w:t>elplines</w:t>
      </w:r>
      <w:bookmarkEnd w:id="43"/>
      <w:bookmarkEnd w:id="44"/>
      <w:bookmarkEnd w:id="45"/>
      <w:bookmarkEnd w:id="46"/>
      <w:bookmarkEnd w:id="47"/>
    </w:p>
    <w:p w14:paraId="178D50AF" w14:textId="77777777" w:rsidR="005A713B" w:rsidRPr="000C5066" w:rsidRDefault="005A713B" w:rsidP="005A713B">
      <w:r w:rsidRPr="000C5066">
        <w:t xml:space="preserve">A rapid review conducted by </w:t>
      </w:r>
      <w:r>
        <w:rPr>
          <w:noProof/>
        </w:rPr>
        <w:t>Lal &amp; Adair (2014)</w:t>
      </w:r>
      <w:r w:rsidRPr="000C5066">
        <w:t xml:space="preserve"> of 115 e-mental health articles identified key strengths and concerns relating to e-mental health which can impact integration to service systems and have relevance for transitioned and current serving defence personnel. Strengths include</w:t>
      </w:r>
      <w:r>
        <w:t>d</w:t>
      </w:r>
      <w:r w:rsidRPr="000C5066">
        <w:t xml:space="preserve"> improved accessibility, reduced costs, flexibility, interactivity and the potential to reach populations at greatest risk</w:t>
      </w:r>
      <w:r>
        <w:t>,</w:t>
      </w:r>
      <w:r w:rsidRPr="000C5066">
        <w:t xml:space="preserve"> including those living in regional, rural and remote locations, people living with a disability or chronic health condition and those experiencing stigma. Concerns</w:t>
      </w:r>
      <w:r>
        <w:t xml:space="preserve"> that</w:t>
      </w:r>
      <w:r w:rsidRPr="000C5066">
        <w:t xml:space="preserve"> nee</w:t>
      </w:r>
      <w:r>
        <w:t>d</w:t>
      </w:r>
      <w:r w:rsidRPr="000C5066">
        <w:t xml:space="preserve"> to be considered include medic</w:t>
      </w:r>
      <w:r>
        <w:t>al</w:t>
      </w:r>
      <w:r w:rsidRPr="000C5066">
        <w:t xml:space="preserve">, legal and ethical issues, a lack of quality control or standards, a reluctance to use technology by healthcare professionals and worries by healthcare professionals that conventional services would be completely replaced </w:t>
      </w:r>
      <w:r>
        <w:rPr>
          <w:noProof/>
        </w:rPr>
        <w:t>(Lal &amp; Adair, 2014)</w:t>
      </w:r>
      <w:r w:rsidRPr="000C5066">
        <w:t>.</w:t>
      </w:r>
    </w:p>
    <w:p w14:paraId="235D1661" w14:textId="77777777" w:rsidR="005A713B" w:rsidRPr="002857FB" w:rsidRDefault="005A713B" w:rsidP="005A713B">
      <w:pPr>
        <w:rPr>
          <w:color w:val="222222"/>
        </w:rPr>
      </w:pPr>
      <w:r w:rsidRPr="000C5066">
        <w:t>Despite these concerns</w:t>
      </w:r>
      <w:r>
        <w:t>,</w:t>
      </w:r>
      <w:r w:rsidRPr="000C5066">
        <w:t xml:space="preserve"> there is good evidence to support the use of technologies for promotion, prevention, early intervention and treatment </w:t>
      </w:r>
      <w:r>
        <w:rPr>
          <w:noProof/>
        </w:rPr>
        <w:t xml:space="preserve">(Burns, </w:t>
      </w:r>
      <w:r w:rsidRPr="00B41BE0">
        <w:rPr>
          <w:noProof/>
        </w:rPr>
        <w:t>Liacos</w:t>
      </w:r>
      <w:r>
        <w:rPr>
          <w:noProof/>
        </w:rPr>
        <w:t>,</w:t>
      </w:r>
      <w:r w:rsidRPr="00B41BE0">
        <w:rPr>
          <w:noProof/>
        </w:rPr>
        <w:t xml:space="preserve"> &amp; Green</w:t>
      </w:r>
      <w:r>
        <w:rPr>
          <w:noProof/>
        </w:rPr>
        <w:t>, 2015)</w:t>
      </w:r>
      <w:r>
        <w:t>,</w:t>
      </w:r>
      <w:r w:rsidRPr="000C5066">
        <w:t xml:space="preserve"> demonstrating that technologies can be used effectively in improving mental health and wellbeing </w:t>
      </w:r>
      <w:r>
        <w:rPr>
          <w:noProof/>
        </w:rPr>
        <w:t xml:space="preserve">(Cuijpers, </w:t>
      </w:r>
      <w:r w:rsidRPr="00B41BE0">
        <w:rPr>
          <w:noProof/>
        </w:rPr>
        <w:t>Van Straten</w:t>
      </w:r>
      <w:r>
        <w:rPr>
          <w:noProof/>
        </w:rPr>
        <w:t xml:space="preserve">, </w:t>
      </w:r>
      <w:r w:rsidRPr="00B41BE0">
        <w:rPr>
          <w:noProof/>
        </w:rPr>
        <w:t>&amp; Andersson</w:t>
      </w:r>
      <w:r>
        <w:rPr>
          <w:noProof/>
        </w:rPr>
        <w:t>, 2008; Griffiths, Farrer, &amp; Christensen, 2010)</w:t>
      </w:r>
      <w:r w:rsidRPr="000C5066">
        <w:t>. More</w:t>
      </w:r>
      <w:r w:rsidRPr="000C5066">
        <w:rPr>
          <w:color w:val="222222"/>
        </w:rPr>
        <w:t xml:space="preserve"> recently</w:t>
      </w:r>
      <w:r>
        <w:rPr>
          <w:color w:val="222222"/>
        </w:rPr>
        <w:t>,</w:t>
      </w:r>
      <w:r w:rsidRPr="000C5066">
        <w:rPr>
          <w:color w:val="222222"/>
        </w:rPr>
        <w:t xml:space="preserve"> multimodal e-mental health interventions are being designed to enhance adherence and outcomes for depression. The interventions include a combination of a website</w:t>
      </w:r>
      <w:r>
        <w:rPr>
          <w:color w:val="222222"/>
        </w:rPr>
        <w:t>,</w:t>
      </w:r>
      <w:r w:rsidRPr="000C5066">
        <w:rPr>
          <w:color w:val="222222"/>
        </w:rPr>
        <w:t xml:space="preserve"> self-monitoring and feedback, personal email support from a professional and brief telephone support. The initial outcomes have been mixed</w:t>
      </w:r>
      <w:r>
        <w:rPr>
          <w:color w:val="222222"/>
        </w:rPr>
        <w:t>,</w:t>
      </w:r>
      <w:r w:rsidRPr="000C5066">
        <w:rPr>
          <w:color w:val="222222"/>
        </w:rPr>
        <w:t xml:space="preserve"> with some trials showing limited additional advantages of telephone support </w:t>
      </w:r>
      <w:r>
        <w:rPr>
          <w:noProof/>
          <w:color w:val="222222"/>
        </w:rPr>
        <w:t>(Farrer et al., 2013)</w:t>
      </w:r>
      <w:r w:rsidRPr="000C5066">
        <w:rPr>
          <w:color w:val="222222"/>
        </w:rPr>
        <w:t>. Other studies, however, show</w:t>
      </w:r>
      <w:r>
        <w:rPr>
          <w:color w:val="222222"/>
        </w:rPr>
        <w:t>ed</w:t>
      </w:r>
      <w:r w:rsidRPr="000C5066">
        <w:rPr>
          <w:color w:val="222222"/>
        </w:rPr>
        <w:t xml:space="preserve"> significantly lower attrition rates </w:t>
      </w:r>
      <w:r>
        <w:rPr>
          <w:color w:val="222222"/>
        </w:rPr>
        <w:t>as a result of</w:t>
      </w:r>
      <w:r w:rsidRPr="000C5066">
        <w:rPr>
          <w:color w:val="222222"/>
        </w:rPr>
        <w:t xml:space="preserve"> integrating web</w:t>
      </w:r>
      <w:r>
        <w:rPr>
          <w:color w:val="222222"/>
        </w:rPr>
        <w:t>-</w:t>
      </w:r>
      <w:r w:rsidRPr="000C5066">
        <w:rPr>
          <w:color w:val="222222"/>
        </w:rPr>
        <w:t xml:space="preserve">based interventions with telephone support (as compared </w:t>
      </w:r>
      <w:r>
        <w:rPr>
          <w:color w:val="222222"/>
        </w:rPr>
        <w:t>with</w:t>
      </w:r>
      <w:r w:rsidRPr="000C5066">
        <w:rPr>
          <w:color w:val="222222"/>
        </w:rPr>
        <w:t xml:space="preserve"> either web</w:t>
      </w:r>
      <w:r>
        <w:rPr>
          <w:color w:val="222222"/>
        </w:rPr>
        <w:t>-</w:t>
      </w:r>
      <w:r w:rsidRPr="000C5066">
        <w:rPr>
          <w:color w:val="222222"/>
        </w:rPr>
        <w:t xml:space="preserve">based studies or trials of face-to-face interventions), and depression outcomes were significantly better </w:t>
      </w:r>
      <w:r>
        <w:rPr>
          <w:noProof/>
          <w:color w:val="222222"/>
        </w:rPr>
        <w:t>(Mohr et al., 2013)</w:t>
      </w:r>
      <w:r w:rsidRPr="000C5066">
        <w:rPr>
          <w:color w:val="222222"/>
        </w:rPr>
        <w:t>.</w:t>
      </w:r>
      <w:r w:rsidRPr="003F542F">
        <w:t xml:space="preserve"> </w:t>
      </w:r>
    </w:p>
    <w:p w14:paraId="453041AF" w14:textId="77777777" w:rsidR="005A713B" w:rsidRPr="000C5066" w:rsidRDefault="005A713B" w:rsidP="005A713B">
      <w:r>
        <w:t xml:space="preserve">In the military context, </w:t>
      </w:r>
      <w:r w:rsidRPr="000C5066">
        <w:t xml:space="preserve">‘afterdeployment’ was developed as a resource for US soldiers and their families returning from Iraq and Afghanistan and as a tool for healthcare professionals supporting veterans. The website is organised into 18 topic areas, including posttraumatic stress and other symptoms commonly experienced by soldiers returning home. Associated assessments, workshops, videos, exercises and additional resources are provided in relation to each of the topics. These resources provide both educational material and behaviour-change tools based on the principles of </w:t>
      </w:r>
      <w:r>
        <w:t>cognitive behavioural therapy (</w:t>
      </w:r>
      <w:r w:rsidRPr="000C5066">
        <w:t>CBT</w:t>
      </w:r>
      <w:r>
        <w:t>)</w:t>
      </w:r>
      <w:r w:rsidRPr="000C5066">
        <w:t xml:space="preserve">. Users can access any of the materials at any time and the site offers no set course. Although intended for US soldiers, the website is open to the public </w:t>
      </w:r>
      <w:r>
        <w:rPr>
          <w:noProof/>
        </w:rPr>
        <w:t>(Bush et al., 2011; Ruzek et al., 2011; Ruzek et al., 2012)</w:t>
      </w:r>
      <w:r w:rsidRPr="000C5066">
        <w:t>.</w:t>
      </w:r>
    </w:p>
    <w:p w14:paraId="6754A41F" w14:textId="77777777" w:rsidR="005A713B" w:rsidRPr="000C5066" w:rsidRDefault="007155C2" w:rsidP="005A713B">
      <w:r>
        <w:t>Open Arms – Veterans and</w:t>
      </w:r>
      <w:r w:rsidR="005A713B">
        <w:t xml:space="preserve"> Families Counselling is </w:t>
      </w:r>
      <w:r w:rsidR="005A713B" w:rsidRPr="000C5066">
        <w:t>a mental health service for serving and ex-serving personnel an</w:t>
      </w:r>
      <w:r w:rsidR="005A713B">
        <w:t xml:space="preserve">d their families funded by DVA. It </w:t>
      </w:r>
      <w:r w:rsidR="005A713B" w:rsidRPr="000C5066">
        <w:t>provides face</w:t>
      </w:r>
      <w:r w:rsidR="005A713B">
        <w:t>-</w:t>
      </w:r>
      <w:r w:rsidR="005A713B" w:rsidRPr="000C5066">
        <w:t>to</w:t>
      </w:r>
      <w:r w:rsidR="005A713B">
        <w:t>-</w:t>
      </w:r>
      <w:r w:rsidR="005A713B" w:rsidRPr="000C5066">
        <w:t>face and outreach services but also has a</w:t>
      </w:r>
      <w:r w:rsidR="005A713B">
        <w:t xml:space="preserve"> free </w:t>
      </w:r>
      <w:r w:rsidR="005A713B" w:rsidRPr="000C5066">
        <w:t>24/7 telephone counselling service coupled with community webinars</w:t>
      </w:r>
      <w:r w:rsidR="005A713B">
        <w:t xml:space="preserve"> and</w:t>
      </w:r>
      <w:r w:rsidR="005A713B" w:rsidRPr="000C5066">
        <w:t xml:space="preserve"> online communities via Facebook, Twitter and LinkedIn</w:t>
      </w:r>
      <w:r w:rsidR="005A713B">
        <w:t>. It</w:t>
      </w:r>
      <w:r w:rsidR="005A713B" w:rsidRPr="000C5066">
        <w:t xml:space="preserve"> promotes the use of both Defence and DVA resources through online linkage to the Engage website, At</w:t>
      </w:r>
      <w:r w:rsidR="005A713B">
        <w:t xml:space="preserve"> </w:t>
      </w:r>
      <w:r w:rsidR="005A713B" w:rsidRPr="000C5066">
        <w:t xml:space="preserve">Ease resources and </w:t>
      </w:r>
      <w:r w:rsidR="005A713B">
        <w:t>app</w:t>
      </w:r>
      <w:r w:rsidR="005A713B" w:rsidRPr="000C5066">
        <w:t xml:space="preserve">s and </w:t>
      </w:r>
      <w:r w:rsidR="005A713B">
        <w:t>e</w:t>
      </w:r>
      <w:r w:rsidR="005A713B" w:rsidRPr="000C5066">
        <w:t>-tools. Similarly, Defence ha</w:t>
      </w:r>
      <w:r w:rsidR="005A713B">
        <w:t>s</w:t>
      </w:r>
      <w:r w:rsidR="005A713B" w:rsidRPr="000C5066">
        <w:t xml:space="preserve"> multi-modal systems of delivery for </w:t>
      </w:r>
      <w:r w:rsidR="005A713B">
        <w:t>its</w:t>
      </w:r>
      <w:r w:rsidR="005A713B" w:rsidRPr="000C5066">
        <w:t xml:space="preserve"> health information</w:t>
      </w:r>
      <w:r w:rsidR="005A713B">
        <w:t>,</w:t>
      </w:r>
      <w:r w:rsidR="005A713B" w:rsidRPr="000C5066">
        <w:t xml:space="preserve"> ranging from online portals to apps and e-tools.</w:t>
      </w:r>
    </w:p>
    <w:p w14:paraId="35293964" w14:textId="30C9C277" w:rsidR="005A713B" w:rsidRDefault="005A713B" w:rsidP="005A713B">
      <w:r w:rsidRPr="000C5066">
        <w:t xml:space="preserve">Data summarised in the </w:t>
      </w:r>
      <w:r w:rsidRPr="002E2470">
        <w:rPr>
          <w:i/>
        </w:rPr>
        <w:t>Pathways to Care</w:t>
      </w:r>
      <w:r w:rsidRPr="000C5066">
        <w:t xml:space="preserve"> </w:t>
      </w:r>
      <w:r w:rsidR="00477AD4" w:rsidRPr="00477AD4">
        <w:rPr>
          <w:i/>
        </w:rPr>
        <w:t>Report</w:t>
      </w:r>
      <w:r>
        <w:t xml:space="preserve"> indicated</w:t>
      </w:r>
      <w:r w:rsidRPr="000C5066">
        <w:t xml:space="preserve"> that </w:t>
      </w:r>
      <w:r w:rsidRPr="003057E9">
        <w:t>approximately</w:t>
      </w:r>
      <w:r w:rsidRPr="000C5066">
        <w:t xml:space="preserve"> one quarter of Transitioned ADF and 2015 Regular ADF personnel used websites to inform or assess their mental health and were most likely to access websites designed by DVA or Defence</w:t>
      </w:r>
      <w:r>
        <w:t xml:space="preserve"> </w:t>
      </w:r>
      <w:r>
        <w:rPr>
          <w:noProof/>
        </w:rPr>
        <w:t>(</w:t>
      </w:r>
      <w:r w:rsidR="008B4128">
        <w:rPr>
          <w:noProof/>
        </w:rPr>
        <w:t>Forbes et al. 2018</w:t>
      </w:r>
      <w:r>
        <w:rPr>
          <w:noProof/>
        </w:rPr>
        <w:t>)</w:t>
      </w:r>
      <w:r w:rsidRPr="000C5066">
        <w:t>. While satisfaction with the Defence and DVA websites w</w:t>
      </w:r>
      <w:r>
        <w:t>as</w:t>
      </w:r>
      <w:r w:rsidRPr="000C5066">
        <w:t xml:space="preserve"> at reasonable levels, the proportion</w:t>
      </w:r>
      <w:r>
        <w:t>s</w:t>
      </w:r>
      <w:r w:rsidRPr="000C5066">
        <w:t xml:space="preserve"> accessing them w</w:t>
      </w:r>
      <w:r>
        <w:t>ere</w:t>
      </w:r>
      <w:r w:rsidRPr="000C5066">
        <w:t xml:space="preserve"> low. About 10% of both Transitioned and 2015 Regular ADF members used a veteran or military helpline, and these rates doubled </w:t>
      </w:r>
      <w:r>
        <w:t>for</w:t>
      </w:r>
      <w:r w:rsidRPr="000C5066">
        <w:t xml:space="preserve"> those with a probable current mental disorder. </w:t>
      </w:r>
    </w:p>
    <w:p w14:paraId="098B7C09" w14:textId="77777777" w:rsidR="005A713B" w:rsidRPr="00426A50" w:rsidRDefault="005A713B" w:rsidP="005A713B">
      <w:pPr>
        <w:pStyle w:val="Heading4"/>
      </w:pPr>
      <w:bookmarkStart w:id="48" w:name="_Toc273712897"/>
      <w:bookmarkStart w:id="49" w:name="_Toc385859302"/>
      <w:r w:rsidRPr="000C5066">
        <w:t>Online Cognitive Behaviour Therapy</w:t>
      </w:r>
      <w:bookmarkEnd w:id="48"/>
      <w:bookmarkEnd w:id="49"/>
    </w:p>
    <w:p w14:paraId="47221C6B" w14:textId="77777777" w:rsidR="005A713B" w:rsidRDefault="005A713B" w:rsidP="005A713B">
      <w:r>
        <w:t>In 2014, a</w:t>
      </w:r>
      <w:r w:rsidRPr="00561E55">
        <w:t xml:space="preserve"> </w:t>
      </w:r>
      <w:r>
        <w:t>rapid review was conducted and a paper</w:t>
      </w:r>
      <w:r w:rsidRPr="00561E55">
        <w:t xml:space="preserve"> was prepared for the Mental Health Commission of NSW to support the development of the Strategic Plan for M</w:t>
      </w:r>
      <w:r>
        <w:t xml:space="preserve">ental Health in NSW 2014 – 2024. This paper reviewed the evidence relating to ‘Strategies for adopting and strengthening e-mental health’ </w:t>
      </w:r>
      <w:r>
        <w:rPr>
          <w:noProof/>
        </w:rPr>
        <w:t>(Mental Health Commission of New South Wales, 2014)</w:t>
      </w:r>
      <w:r>
        <w:t>. The r</w:t>
      </w:r>
      <w:r w:rsidRPr="000C5066">
        <w:t>esearch</w:t>
      </w:r>
      <w:r>
        <w:t xml:space="preserve"> collated in this paper</w:t>
      </w:r>
      <w:r w:rsidRPr="000C5066">
        <w:t xml:space="preserve"> clearly show</w:t>
      </w:r>
      <w:r>
        <w:t>s</w:t>
      </w:r>
      <w:r w:rsidRPr="000C5066">
        <w:t xml:space="preserve"> that</w:t>
      </w:r>
      <w:r>
        <w:t>,</w:t>
      </w:r>
      <w:r w:rsidRPr="000C5066">
        <w:t xml:space="preserve"> at a population and an individual level, either self-directed or with the support of a therapist, online </w:t>
      </w:r>
      <w:r>
        <w:t>c</w:t>
      </w:r>
      <w:r w:rsidRPr="000C5066">
        <w:t xml:space="preserve">ognitive </w:t>
      </w:r>
      <w:r>
        <w:t>b</w:t>
      </w:r>
      <w:r w:rsidRPr="000C5066">
        <w:t xml:space="preserve">ehavioural </w:t>
      </w:r>
      <w:r>
        <w:t>t</w:t>
      </w:r>
      <w:r w:rsidRPr="000C5066">
        <w:t>herapy (CBT) can promote better mental health and deliver enhanced mental health care</w:t>
      </w:r>
      <w:r>
        <w:t xml:space="preserve"> </w:t>
      </w:r>
      <w:r>
        <w:rPr>
          <w:noProof/>
        </w:rPr>
        <w:t>(Christensen &amp; Petrie, 2013; Griffiths, 2013; Proudfoot, 2013)</w:t>
      </w:r>
      <w:r>
        <w:t xml:space="preserve">. </w:t>
      </w:r>
    </w:p>
    <w:p w14:paraId="02A902BA" w14:textId="77777777" w:rsidR="005A713B" w:rsidRDefault="005A713B" w:rsidP="005A713B">
      <w:r>
        <w:t xml:space="preserve">Strong evidence exists for programs such as MoodGym, Anxiety Online, This Way Up, e-Couch and a variety of other </w:t>
      </w:r>
      <w:r w:rsidRPr="000C5066">
        <w:t>computerised</w:t>
      </w:r>
      <w:r>
        <w:t xml:space="preserve"> CBT (cCBT) programs targeting specific conditions such as depression, anxiety, drug and alcohol problems and PTSD.</w:t>
      </w:r>
      <w:r w:rsidRPr="000C5066">
        <w:t xml:space="preserve"> </w:t>
      </w:r>
      <w:r>
        <w:t>In an effort to coordinate online resources, t</w:t>
      </w:r>
      <w:r w:rsidRPr="000C5066">
        <w:t xml:space="preserve">he Beacon Portal collates online behavioural interventions across </w:t>
      </w:r>
      <w:r>
        <w:t>more than</w:t>
      </w:r>
      <w:r w:rsidRPr="000C5066">
        <w:t xml:space="preserve"> 40 conditions, including mental and physical conditions</w:t>
      </w:r>
      <w:r>
        <w:t>,</w:t>
      </w:r>
      <w:r w:rsidRPr="000C5066">
        <w:t xml:space="preserve"> and provides a free guide to the content and effectiveness of online behavioural interventions, mobile apps and </w:t>
      </w:r>
      <w:r>
        <w:t>internet</w:t>
      </w:r>
      <w:r w:rsidRPr="000C5066">
        <w:t xml:space="preserve"> support groups worldwide. Developed and maintained by the Australian National University, </w:t>
      </w:r>
      <w:r>
        <w:t xml:space="preserve">Beacon systematically reviews </w:t>
      </w:r>
      <w:r w:rsidRPr="000C5066">
        <w:t xml:space="preserve">the scientific evidence underpinning every application according to best practice principles and </w:t>
      </w:r>
      <w:r>
        <w:t xml:space="preserve">uses </w:t>
      </w:r>
      <w:r w:rsidRPr="000C5066">
        <w:t>a rating system to provide use</w:t>
      </w:r>
      <w:r>
        <w:t xml:space="preserve">rs with a guide to what works. </w:t>
      </w:r>
      <w:r w:rsidRPr="000C5066">
        <w:t xml:space="preserve">Beacon also summarises the content, type and length of each intervention, its intended audience, whether it is free or fee-based, the languages in which it is available and the findings of the research trials that have investigated whether it works. A search of </w:t>
      </w:r>
      <w:r>
        <w:t>‘</w:t>
      </w:r>
      <w:r w:rsidRPr="000C5066">
        <w:t>CBT</w:t>
      </w:r>
      <w:r>
        <w:t>’</w:t>
      </w:r>
      <w:r w:rsidRPr="000C5066">
        <w:t xml:space="preserve"> on the Beacon website </w:t>
      </w:r>
      <w:r>
        <w:t xml:space="preserve">produced 98 results and </w:t>
      </w:r>
      <w:r w:rsidRPr="000C5066">
        <w:t xml:space="preserve">10 pages of online CBT programs, many of which also include other therapies such as </w:t>
      </w:r>
      <w:r>
        <w:t>d</w:t>
      </w:r>
      <w:r w:rsidRPr="000C5066">
        <w:t xml:space="preserve">ialectical </w:t>
      </w:r>
      <w:r>
        <w:t>b</w:t>
      </w:r>
      <w:r w:rsidRPr="000C5066">
        <w:t xml:space="preserve">ehaviour </w:t>
      </w:r>
      <w:r>
        <w:t>t</w:t>
      </w:r>
      <w:r w:rsidRPr="000C5066">
        <w:t xml:space="preserve">herapy, </w:t>
      </w:r>
      <w:r>
        <w:t>i</w:t>
      </w:r>
      <w:r w:rsidRPr="000C5066">
        <w:t xml:space="preserve">nterpersonal </w:t>
      </w:r>
      <w:r>
        <w:t>b</w:t>
      </w:r>
      <w:r w:rsidRPr="000C5066">
        <w:t xml:space="preserve">ehaviour </w:t>
      </w:r>
      <w:r>
        <w:t>t</w:t>
      </w:r>
      <w:r w:rsidRPr="000C5066">
        <w:t xml:space="preserve">herapy and </w:t>
      </w:r>
      <w:r>
        <w:t>m</w:t>
      </w:r>
      <w:r w:rsidRPr="000C5066">
        <w:t xml:space="preserve">indfulness </w:t>
      </w:r>
      <w:r>
        <w:t>t</w:t>
      </w:r>
      <w:r w:rsidRPr="000C5066">
        <w:t xml:space="preserve">herapy. </w:t>
      </w:r>
    </w:p>
    <w:p w14:paraId="28DA427C" w14:textId="77777777" w:rsidR="005A713B" w:rsidRDefault="005A713B" w:rsidP="005A713B">
      <w:r w:rsidRPr="000C5066">
        <w:t>In military populations, brief online self-guided telehealth interve</w:t>
      </w:r>
      <w:r>
        <w:t xml:space="preserve">ntions for PTSD look promising </w:t>
      </w:r>
      <w:r w:rsidRPr="000C5066">
        <w:t xml:space="preserve">and appear to be both safe and feasible to implement. In a small pilot study of US combat veterans </w:t>
      </w:r>
      <w:r>
        <w:t>‘</w:t>
      </w:r>
      <w:r w:rsidRPr="000C5066">
        <w:t>Written Emotional Disclosure</w:t>
      </w:r>
      <w:r>
        <w:t>’</w:t>
      </w:r>
      <w:r w:rsidRPr="000C5066">
        <w:t xml:space="preserve"> delivered over the </w:t>
      </w:r>
      <w:r>
        <w:t>internet</w:t>
      </w:r>
      <w:r w:rsidRPr="000C5066">
        <w:t xml:space="preserve"> showed symptom reductions </w:t>
      </w:r>
      <w:r>
        <w:t>for</w:t>
      </w:r>
      <w:r w:rsidRPr="000C5066">
        <w:t xml:space="preserve"> PTSD</w:t>
      </w:r>
      <w:r>
        <w:t>,</w:t>
      </w:r>
      <w:r w:rsidRPr="000C5066">
        <w:t xml:space="preserve"> although follow-up assessments did not reveal significant group differences in PTSD symptoms </w:t>
      </w:r>
      <w:r>
        <w:rPr>
          <w:noProof/>
        </w:rPr>
        <w:t>(Possemato, 2011)</w:t>
      </w:r>
      <w:r w:rsidRPr="000C5066">
        <w:t>.</w:t>
      </w:r>
      <w:r>
        <w:t xml:space="preserve"> </w:t>
      </w:r>
      <w:r w:rsidRPr="000C5066">
        <w:rPr>
          <w:color w:val="222222"/>
        </w:rPr>
        <w:t>DESTRESS-PC</w:t>
      </w:r>
      <w:r>
        <w:rPr>
          <w:color w:val="222222"/>
        </w:rPr>
        <w:t xml:space="preserve">, </w:t>
      </w:r>
      <w:r w:rsidRPr="000C5066">
        <w:rPr>
          <w:color w:val="222222"/>
        </w:rPr>
        <w:t>a web-based cognitive-behavioural intervention</w:t>
      </w:r>
      <w:r>
        <w:rPr>
          <w:color w:val="222222"/>
        </w:rPr>
        <w:t>,</w:t>
      </w:r>
      <w:r w:rsidRPr="000C5066">
        <w:rPr>
          <w:color w:val="222222"/>
        </w:rPr>
        <w:t xml:space="preserve"> is showing promising results in the treatment of PTSD for US female veterans </w:t>
      </w:r>
      <w:r>
        <w:rPr>
          <w:noProof/>
          <w:color w:val="222222"/>
        </w:rPr>
        <w:t>(Lehavot et al., 2017)</w:t>
      </w:r>
      <w:r>
        <w:rPr>
          <w:color w:val="222222"/>
        </w:rPr>
        <w:t xml:space="preserve">. However, while </w:t>
      </w:r>
      <w:r w:rsidRPr="000C5066">
        <w:rPr>
          <w:color w:val="222222"/>
        </w:rPr>
        <w:t xml:space="preserve">DESTRESS-PC showed </w:t>
      </w:r>
      <w:r>
        <w:rPr>
          <w:color w:val="222222"/>
        </w:rPr>
        <w:t xml:space="preserve">a </w:t>
      </w:r>
      <w:r w:rsidRPr="000C5066">
        <w:rPr>
          <w:color w:val="222222"/>
        </w:rPr>
        <w:t>significantly greater decrease in PTSD sy</w:t>
      </w:r>
      <w:r>
        <w:rPr>
          <w:color w:val="222222"/>
        </w:rPr>
        <w:t>mptoms compared to usual care, t</w:t>
      </w:r>
      <w:r w:rsidRPr="000C5066">
        <w:rPr>
          <w:color w:val="222222"/>
        </w:rPr>
        <w:t>he effect was largest at the 12-week assessment</w:t>
      </w:r>
      <w:r>
        <w:rPr>
          <w:color w:val="222222"/>
        </w:rPr>
        <w:t>,</w:t>
      </w:r>
      <w:r w:rsidRPr="000C5066">
        <w:rPr>
          <w:color w:val="222222"/>
        </w:rPr>
        <w:t xml:space="preserve"> with the treatment effect disappearing by the 18-week follow-up.</w:t>
      </w:r>
      <w:r>
        <w:rPr>
          <w:color w:val="222222"/>
        </w:rPr>
        <w:t xml:space="preserve"> Other promising online cCBT programs or apps that appeared in a search of the Beacon website included PTSD Coach and Mission Reconnect. </w:t>
      </w:r>
    </w:p>
    <w:p w14:paraId="58354944" w14:textId="77777777" w:rsidR="005A713B" w:rsidRPr="000C5066" w:rsidRDefault="005A713B" w:rsidP="005A713B">
      <w:r>
        <w:t xml:space="preserve">Specific to the needs of </w:t>
      </w:r>
      <w:r w:rsidRPr="000C5066">
        <w:t>the veteran and military audience</w:t>
      </w:r>
      <w:r>
        <w:t xml:space="preserve">, </w:t>
      </w:r>
      <w:r w:rsidRPr="000C5066">
        <w:t xml:space="preserve">Moving Forward: Overcoming Life's Challenges is an online course based on an evidence-based treatment for depression using problem-solving therapy </w:t>
      </w:r>
      <w:r>
        <w:rPr>
          <w:noProof/>
        </w:rPr>
        <w:t>(Nezu &amp; Nezu, 2016)</w:t>
      </w:r>
      <w:r w:rsidRPr="000C5066">
        <w:t>. The online course normali</w:t>
      </w:r>
      <w:r>
        <w:t>s</w:t>
      </w:r>
      <w:r w:rsidRPr="000C5066">
        <w:t>es the experience of feeling overwhelmed or stuck when facing obstacles or stressful problems. It teaches users how to successfully overcome life's challenges by applying basic problem-solving skills. The Moving Forward program includes a free companion mobile app</w:t>
      </w:r>
      <w:r>
        <w:t xml:space="preserve"> that</w:t>
      </w:r>
      <w:r w:rsidRPr="000C5066">
        <w:t xml:space="preserve"> allows users to practi</w:t>
      </w:r>
      <w:r>
        <w:t>s</w:t>
      </w:r>
      <w:r w:rsidRPr="000C5066">
        <w:t>e and apply the tools and skills taught in the course. Although the app was designed as an</w:t>
      </w:r>
      <w:r>
        <w:t xml:space="preserve"> adjunct to the online course, </w:t>
      </w:r>
      <w:r w:rsidRPr="000C5066">
        <w:t>it can al</w:t>
      </w:r>
      <w:r>
        <w:t>so be used as a standalone tool</w:t>
      </w:r>
      <w:r w:rsidRPr="000C5066">
        <w:t xml:space="preserve"> </w:t>
      </w:r>
      <w:r>
        <w:rPr>
          <w:noProof/>
        </w:rPr>
        <w:t xml:space="preserve">(Ray, </w:t>
      </w:r>
      <w:r w:rsidRPr="00B41BE0">
        <w:rPr>
          <w:noProof/>
        </w:rPr>
        <w:t>Kemp, Hubbard</w:t>
      </w:r>
      <w:r>
        <w:rPr>
          <w:noProof/>
        </w:rPr>
        <w:t>,</w:t>
      </w:r>
      <w:r w:rsidRPr="00B41BE0">
        <w:rPr>
          <w:noProof/>
        </w:rPr>
        <w:t xml:space="preserve"> &amp; Cucciare</w:t>
      </w:r>
      <w:r>
        <w:rPr>
          <w:noProof/>
        </w:rPr>
        <w:t>, 2017)</w:t>
      </w:r>
      <w:r>
        <w:t xml:space="preserve">. </w:t>
      </w:r>
      <w:r>
        <w:rPr>
          <w:noProof/>
        </w:rPr>
        <w:t>Ray et al. (2017)</w:t>
      </w:r>
      <w:r>
        <w:t xml:space="preserve"> also</w:t>
      </w:r>
      <w:r w:rsidRPr="000C5066">
        <w:t xml:space="preserve"> explored peer support using the </w:t>
      </w:r>
      <w:r>
        <w:t>M</w:t>
      </w:r>
      <w:r w:rsidRPr="000C5066">
        <w:t xml:space="preserve">oving </w:t>
      </w:r>
      <w:r>
        <w:t>F</w:t>
      </w:r>
      <w:r w:rsidRPr="000C5066">
        <w:t>orward suite of resources and tools. The authors conclude</w:t>
      </w:r>
      <w:r>
        <w:t>d</w:t>
      </w:r>
      <w:r w:rsidRPr="000C5066">
        <w:t xml:space="preserve"> that the findings extend the literature on online, patient-facing mental health protocols by identifying emotional support and 'real life' skills application as </w:t>
      </w:r>
      <w:r>
        <w:t>v</w:t>
      </w:r>
      <w:r w:rsidRPr="000C5066">
        <w:t xml:space="preserve">eteran-preferred components of a peer-support protocol designed to enhance use of and engagement in </w:t>
      </w:r>
      <w:r>
        <w:t xml:space="preserve">cCBT </w:t>
      </w:r>
      <w:r w:rsidRPr="000C5066">
        <w:t xml:space="preserve">for depression and anxiety </w:t>
      </w:r>
      <w:r>
        <w:rPr>
          <w:noProof/>
        </w:rPr>
        <w:t>(Ray et al., 2017)</w:t>
      </w:r>
      <w:r w:rsidRPr="000C5066">
        <w:t>.</w:t>
      </w:r>
    </w:p>
    <w:p w14:paraId="0F48ABB8" w14:textId="02FF0BB8" w:rsidR="005A713B" w:rsidRPr="000C5066" w:rsidRDefault="005A713B" w:rsidP="005A713B">
      <w:r>
        <w:t>T</w:t>
      </w:r>
      <w:r w:rsidRPr="000C5066">
        <w:t xml:space="preserve">he </w:t>
      </w:r>
      <w:r w:rsidRPr="000C5066">
        <w:rPr>
          <w:i/>
        </w:rPr>
        <w:t>Pathways to Care</w:t>
      </w:r>
      <w:r w:rsidRPr="000C5066">
        <w:t xml:space="preserve"> </w:t>
      </w:r>
      <w:r w:rsidR="00477AD4" w:rsidRPr="00477AD4">
        <w:rPr>
          <w:i/>
        </w:rPr>
        <w:t>Report</w:t>
      </w:r>
      <w:r w:rsidRPr="000C5066">
        <w:t xml:space="preserve"> </w:t>
      </w:r>
      <w:r>
        <w:rPr>
          <w:noProof/>
        </w:rPr>
        <w:t>(</w:t>
      </w:r>
      <w:r w:rsidR="008B4128">
        <w:rPr>
          <w:noProof/>
        </w:rPr>
        <w:t>Forbes et al. 2018</w:t>
      </w:r>
      <w:r>
        <w:rPr>
          <w:noProof/>
        </w:rPr>
        <w:t>)</w:t>
      </w:r>
      <w:r w:rsidRPr="000C5066">
        <w:t xml:space="preserve"> indicate</w:t>
      </w:r>
      <w:r>
        <w:t>d</w:t>
      </w:r>
      <w:r w:rsidRPr="000C5066">
        <w:t xml:space="preserve"> that current </w:t>
      </w:r>
      <w:r>
        <w:t>use</w:t>
      </w:r>
      <w:r w:rsidRPr="000C5066">
        <w:t xml:space="preserve"> of online interventions</w:t>
      </w:r>
      <w:r>
        <w:t xml:space="preserve"> </w:t>
      </w:r>
      <w:r w:rsidR="00604312">
        <w:t xml:space="preserve">for those </w:t>
      </w:r>
      <w:r w:rsidRPr="000C5066">
        <w:t xml:space="preserve">experiencing mental health issues is low. </w:t>
      </w:r>
      <w:r>
        <w:t>Internet</w:t>
      </w:r>
      <w:r w:rsidRPr="000C5066">
        <w:t xml:space="preserve"> treatments such as MoodGYM and e-couch were used by only approximately 2% of both the Transiti</w:t>
      </w:r>
      <w:r>
        <w:t xml:space="preserve">oned ADF and 2015 Regular ADF. </w:t>
      </w:r>
    </w:p>
    <w:p w14:paraId="71F0688A" w14:textId="77777777" w:rsidR="005A713B" w:rsidRPr="000C5066" w:rsidRDefault="005A713B" w:rsidP="005A713B">
      <w:pPr>
        <w:pStyle w:val="Heading3"/>
        <w:numPr>
          <w:ilvl w:val="2"/>
          <w:numId w:val="1"/>
        </w:numPr>
      </w:pPr>
      <w:bookmarkStart w:id="50" w:name="_Toc385859304"/>
      <w:bookmarkStart w:id="51" w:name="_Toc518566327"/>
      <w:bookmarkStart w:id="52" w:name="_Toc528932627"/>
      <w:bookmarkStart w:id="53" w:name="_Toc531859164"/>
      <w:r w:rsidRPr="000C5066">
        <w:t xml:space="preserve">Mobile </w:t>
      </w:r>
      <w:r>
        <w:t>a</w:t>
      </w:r>
      <w:r w:rsidRPr="000C5066">
        <w:t>pplications</w:t>
      </w:r>
      <w:bookmarkEnd w:id="50"/>
      <w:bookmarkEnd w:id="51"/>
      <w:bookmarkEnd w:id="52"/>
      <w:bookmarkEnd w:id="53"/>
    </w:p>
    <w:p w14:paraId="2EE766E7" w14:textId="77777777" w:rsidR="005A713B" w:rsidRPr="000C5066" w:rsidRDefault="005A713B" w:rsidP="005A713B">
      <w:r>
        <w:t>Eighty-six per cent of Australians have access to the internet at home, and in March 2018</w:t>
      </w:r>
      <w:r w:rsidRPr="000C5066">
        <w:t xml:space="preserve"> mobile or </w:t>
      </w:r>
      <w:r>
        <w:t>smart phone</w:t>
      </w:r>
      <w:r w:rsidRPr="000C5066">
        <w:t>s were used by 91% of connected households</w:t>
      </w:r>
      <w:r w:rsidRPr="001A056D">
        <w:t xml:space="preserve"> </w:t>
      </w:r>
      <w:r>
        <w:rPr>
          <w:noProof/>
        </w:rPr>
        <w:t>(Australian Bureau of Statistics, 2018)</w:t>
      </w:r>
      <w:r w:rsidRPr="000C5066">
        <w:t>.</w:t>
      </w:r>
      <w:r>
        <w:t xml:space="preserve"> </w:t>
      </w:r>
      <w:r w:rsidRPr="000C5066">
        <w:t xml:space="preserve">The Deloitte </w:t>
      </w:r>
      <w:r w:rsidRPr="00E65779">
        <w:rPr>
          <w:i/>
        </w:rPr>
        <w:t>Digital Mobile Consumer Survey</w:t>
      </w:r>
      <w:r>
        <w:rPr>
          <w:i/>
        </w:rPr>
        <w:t xml:space="preserve"> 2016</w:t>
      </w:r>
      <w:r w:rsidRPr="000C5066">
        <w:t xml:space="preserve"> </w:t>
      </w:r>
      <w:r>
        <w:t>found</w:t>
      </w:r>
      <w:r w:rsidRPr="000C5066">
        <w:t xml:space="preserve"> that 84</w:t>
      </w:r>
      <w:r>
        <w:t>%</w:t>
      </w:r>
      <w:r w:rsidRPr="000C5066">
        <w:t xml:space="preserve"> of Australians own</w:t>
      </w:r>
      <w:r>
        <w:t>ed</w:t>
      </w:r>
      <w:r w:rsidRPr="000C5066">
        <w:t xml:space="preserve"> a </w:t>
      </w:r>
      <w:r>
        <w:t>smart phone</w:t>
      </w:r>
      <w:r w:rsidRPr="000C5066">
        <w:t xml:space="preserve">. One in three Australians </w:t>
      </w:r>
      <w:r>
        <w:t>had</w:t>
      </w:r>
      <w:r w:rsidRPr="000C5066">
        <w:t xml:space="preserve"> a fingerprint scanner on their phone</w:t>
      </w:r>
      <w:r>
        <w:t>,</w:t>
      </w:r>
      <w:r w:rsidRPr="000C5066">
        <w:t xml:space="preserve"> with 70% actively using it. </w:t>
      </w:r>
      <w:r>
        <w:t>F</w:t>
      </w:r>
      <w:r w:rsidRPr="000C5066">
        <w:t xml:space="preserve">itness band adoption </w:t>
      </w:r>
      <w:r>
        <w:t xml:space="preserve">was high </w:t>
      </w:r>
      <w:r w:rsidRPr="000C5066">
        <w:t xml:space="preserve">and </w:t>
      </w:r>
      <w:r>
        <w:t>a</w:t>
      </w:r>
      <w:r w:rsidRPr="000C5066">
        <w:t xml:space="preserve">pps </w:t>
      </w:r>
      <w:r>
        <w:t>were</w:t>
      </w:r>
      <w:r w:rsidRPr="000C5066">
        <w:t xml:space="preserve"> dominant in gaming (88%), listening to music (83%), social networking (79%), shopping (70%) and hotel bookings (70%) </w:t>
      </w:r>
      <w:r>
        <w:rPr>
          <w:noProof/>
        </w:rPr>
        <w:t>(Deloitte, 2016)</w:t>
      </w:r>
      <w:r w:rsidRPr="000C5066">
        <w:t>.</w:t>
      </w:r>
    </w:p>
    <w:p w14:paraId="7E636DA0" w14:textId="77777777" w:rsidR="005A713B" w:rsidRPr="000C5066" w:rsidRDefault="005A713B" w:rsidP="005A713B">
      <w:r w:rsidRPr="000C5066">
        <w:t xml:space="preserve">Aligned to the growing use of mobile phones to access the </w:t>
      </w:r>
      <w:r>
        <w:t>internet</w:t>
      </w:r>
      <w:r w:rsidRPr="000C5066">
        <w:t xml:space="preserve">, is the rapid development and use of </w:t>
      </w:r>
      <w:r>
        <w:t>a</w:t>
      </w:r>
      <w:r w:rsidRPr="000C5066">
        <w:t xml:space="preserve">pps. Originally apps were small individual software units with limited functionality. </w:t>
      </w:r>
      <w:r>
        <w:t>Later</w:t>
      </w:r>
      <w:r w:rsidRPr="000C5066">
        <w:t>, mHealth</w:t>
      </w:r>
      <w:r>
        <w:t xml:space="preserve">, or mobile health – </w:t>
      </w:r>
      <w:r w:rsidRPr="000C5066">
        <w:t xml:space="preserve">defined as </w:t>
      </w:r>
      <w:r>
        <w:t>‘</w:t>
      </w:r>
      <w:r w:rsidRPr="000C5066">
        <w:t>medical and public health practice supported by mobile devices, such as mobile phones, patient monitoring devices, personal digital assistan</w:t>
      </w:r>
      <w:r>
        <w:t>ts (PDAs),</w:t>
      </w:r>
      <w:r w:rsidRPr="000C5066">
        <w:t xml:space="preserve"> and other wireless devices</w:t>
      </w:r>
      <w:r>
        <w:t xml:space="preserve">’ – was playing a significant role in public health interventions </w:t>
      </w:r>
      <w:r>
        <w:rPr>
          <w:noProof/>
        </w:rPr>
        <w:t>(World Health Organization, 2011)</w:t>
      </w:r>
      <w:r w:rsidRPr="000C5066">
        <w:t>. Apps have evolved to include augmented and virtual reality, multifunctioning wearab</w:t>
      </w:r>
      <w:r>
        <w:t>le tech, on-demand and instant apps and cloud-based a</w:t>
      </w:r>
      <w:r w:rsidRPr="000C5066">
        <w:t>pps with a focus on data secu</w:t>
      </w:r>
      <w:r>
        <w:t xml:space="preserve">rity. </w:t>
      </w:r>
      <w:r w:rsidRPr="000C5066">
        <w:t>The US Food and Drug</w:t>
      </w:r>
      <w:r>
        <w:t xml:space="preserve"> Administration (FDA) estimated</w:t>
      </w:r>
      <w:r w:rsidRPr="000C5066">
        <w:t xml:space="preserve"> that roughly 500 million people globally are already using personal healthcare apps</w:t>
      </w:r>
      <w:r>
        <w:t>,</w:t>
      </w:r>
      <w:r w:rsidRPr="000C5066">
        <w:t xml:space="preserve"> with more than 165,000 dedicated to improving health and fitness </w:t>
      </w:r>
      <w:r>
        <w:rPr>
          <w:noProof/>
        </w:rPr>
        <w:t>(Grady et al., 2018)</w:t>
      </w:r>
      <w:r w:rsidRPr="000C5066">
        <w:t xml:space="preserve">. Health professionals and peak bodies have increasingly raised concerns regarding the quality of evidence for and effectiveness of apps and biometrics and the UK National Health Service and US National Health Institute have funded online libraries of evidence‐based and publicly endorsed health apps. </w:t>
      </w:r>
    </w:p>
    <w:p w14:paraId="47719ECB" w14:textId="77777777" w:rsidR="005A713B" w:rsidRDefault="005A713B" w:rsidP="005A713B">
      <w:r w:rsidRPr="000C5066">
        <w:t>Globally it is predicted that by 2020 75% of the world’s population – or 5.7</w:t>
      </w:r>
      <w:r>
        <w:t xml:space="preserve"> billion</w:t>
      </w:r>
      <w:r w:rsidRPr="000C5066">
        <w:t xml:space="preserve"> people </w:t>
      </w:r>
      <w:r>
        <w:t>–</w:t>
      </w:r>
      <w:r w:rsidRPr="000C5066">
        <w:t xml:space="preserve"> will own a </w:t>
      </w:r>
      <w:r>
        <w:t>smart phone</w:t>
      </w:r>
      <w:r w:rsidRPr="000C5066">
        <w:t xml:space="preserve"> </w:t>
      </w:r>
      <w:r>
        <w:t>because of increased</w:t>
      </w:r>
      <w:r w:rsidRPr="000C5066">
        <w:t xml:space="preserve"> affordability and deeper network coverage </w:t>
      </w:r>
      <w:r>
        <w:rPr>
          <w:noProof/>
        </w:rPr>
        <w:t>(GSMA, 2018)</w:t>
      </w:r>
      <w:r w:rsidRPr="000C5066">
        <w:t xml:space="preserve">. </w:t>
      </w:r>
      <w:r>
        <w:t>Smart phone</w:t>
      </w:r>
      <w:r w:rsidRPr="000C5066">
        <w:t xml:space="preserve"> adoption is expected to plateau at around 80% in the developed world, and rise to 63% in developing markets, by 2020</w:t>
      </w:r>
      <w:r>
        <w:t xml:space="preserve"> – </w:t>
      </w:r>
      <w:r w:rsidRPr="000C5066">
        <w:t xml:space="preserve">with most running on broadband networks </w:t>
      </w:r>
      <w:r>
        <w:rPr>
          <w:noProof/>
        </w:rPr>
        <w:t>(GSMA, 2018)</w:t>
      </w:r>
      <w:r w:rsidRPr="000C5066">
        <w:t>.</w:t>
      </w:r>
    </w:p>
    <w:p w14:paraId="6CE59B66" w14:textId="77777777" w:rsidR="005A713B" w:rsidRPr="00617062" w:rsidRDefault="005A713B" w:rsidP="005A713B">
      <w:r w:rsidRPr="000C5066">
        <w:rPr>
          <w:rFonts w:eastAsia="Calibri"/>
        </w:rPr>
        <w:t>In</w:t>
      </w:r>
      <w:r>
        <w:rPr>
          <w:rFonts w:eastAsia="Calibri"/>
        </w:rPr>
        <w:t xml:space="preserve"> the context of military mental health, a review of the literature showed promising approaches to the use of apps for mental health</w:t>
      </w:r>
      <w:r w:rsidRPr="000C5066">
        <w:rPr>
          <w:rFonts w:eastAsia="Calibri"/>
        </w:rPr>
        <w:t xml:space="preserve"> </w:t>
      </w:r>
      <w:r>
        <w:rPr>
          <w:rFonts w:eastAsia="Calibri"/>
          <w:noProof/>
        </w:rPr>
        <w:t>(Shore et al., 2014)</w:t>
      </w:r>
      <w:r>
        <w:rPr>
          <w:rFonts w:eastAsia="Calibri"/>
        </w:rPr>
        <w:t xml:space="preserve">, which included </w:t>
      </w:r>
      <w:r w:rsidRPr="000C5066">
        <w:t xml:space="preserve">three military programs </w:t>
      </w:r>
      <w:r>
        <w:t>from the United States:</w:t>
      </w:r>
    </w:p>
    <w:p w14:paraId="3F878719" w14:textId="77777777" w:rsidR="005A713B" w:rsidRPr="000C5066" w:rsidRDefault="005A713B" w:rsidP="005A713B">
      <w:pPr>
        <w:pStyle w:val="Bullet"/>
        <w:numPr>
          <w:ilvl w:val="0"/>
          <w:numId w:val="3"/>
        </w:numPr>
        <w:ind w:left="360"/>
      </w:pPr>
      <w:r w:rsidRPr="000C5066">
        <w:t xml:space="preserve">The Telemedicine and Advanced Technology Research Center (TATRC) has </w:t>
      </w:r>
      <w:r>
        <w:t xml:space="preserve">established </w:t>
      </w:r>
      <w:r w:rsidRPr="000C5066">
        <w:t xml:space="preserve">a mobile Health Applications Laboratory (mHAL) to develop new mHealth technology, integrate new and existing technologies with electronic and personal health records, and support mobile development standards. </w:t>
      </w:r>
    </w:p>
    <w:p w14:paraId="4D56AB6A" w14:textId="0D7136B6" w:rsidR="005A713B" w:rsidRPr="000C5066" w:rsidRDefault="005A713B" w:rsidP="005A713B">
      <w:pPr>
        <w:pStyle w:val="Bullet"/>
        <w:numPr>
          <w:ilvl w:val="0"/>
          <w:numId w:val="3"/>
        </w:numPr>
        <w:ind w:left="360"/>
      </w:pPr>
      <w:r w:rsidRPr="000C5066">
        <w:t>The Military Operational Medicine Research Program (MO</w:t>
      </w:r>
      <w:r>
        <w:t>MRP)</w:t>
      </w:r>
      <w:r w:rsidRPr="000C5066">
        <w:t xml:space="preserve"> funds and oversees studies in collaboration with military, university and industry laboratories to evaluate effectiveness of mHealth technologies, including those designed to address mental health. </w:t>
      </w:r>
    </w:p>
    <w:p w14:paraId="10FAD97A" w14:textId="77777777" w:rsidR="005A713B" w:rsidRDefault="005A713B" w:rsidP="005A713B">
      <w:pPr>
        <w:pStyle w:val="Bullet"/>
        <w:numPr>
          <w:ilvl w:val="0"/>
          <w:numId w:val="3"/>
        </w:numPr>
        <w:ind w:left="360"/>
      </w:pPr>
      <w:r w:rsidRPr="000C5066">
        <w:t>The National Cent</w:t>
      </w:r>
      <w:r>
        <w:t>re</w:t>
      </w:r>
      <w:r w:rsidRPr="000C5066">
        <w:t xml:space="preserve"> for Telehealth and Technology (T2) is developing </w:t>
      </w:r>
      <w:r>
        <w:t>a variety of</w:t>
      </w:r>
      <w:r w:rsidRPr="000C5066">
        <w:t xml:space="preserve"> mHealth applications </w:t>
      </w:r>
      <w:r>
        <w:t>focused on</w:t>
      </w:r>
      <w:r w:rsidRPr="000C5066">
        <w:t xml:space="preserve"> psychological heal</w:t>
      </w:r>
      <w:r>
        <w:t>th and traumatic brain injury.</w:t>
      </w:r>
    </w:p>
    <w:p w14:paraId="0275DA3E" w14:textId="11E3556B" w:rsidR="005A713B" w:rsidRDefault="005A713B" w:rsidP="005A713B">
      <w:pPr>
        <w:pStyle w:val="Bullet"/>
        <w:numPr>
          <w:ilvl w:val="0"/>
          <w:numId w:val="0"/>
        </w:numPr>
      </w:pPr>
      <w:r w:rsidRPr="000C5066">
        <w:t>The United States Department of Veteran</w:t>
      </w:r>
      <w:r w:rsidR="00CE7B3B">
        <w:t>s</w:t>
      </w:r>
      <w:r w:rsidRPr="000C5066">
        <w:t xml:space="preserve"> Affairs (VA) and the </w:t>
      </w:r>
      <w:r>
        <w:t xml:space="preserve">United States </w:t>
      </w:r>
      <w:r w:rsidRPr="000C5066">
        <w:t>Department of Defen</w:t>
      </w:r>
      <w:r w:rsidR="00CE7B3B">
        <w:t>s</w:t>
      </w:r>
      <w:r w:rsidRPr="000C5066">
        <w:t>e (DOD) have create</w:t>
      </w:r>
      <w:r>
        <w:t>d</w:t>
      </w:r>
      <w:r w:rsidRPr="000C5066">
        <w:t xml:space="preserve"> </w:t>
      </w:r>
      <w:r>
        <w:t xml:space="preserve">the </w:t>
      </w:r>
      <w:r w:rsidRPr="000C5066">
        <w:t>Mobile Health Practice Guide</w:t>
      </w:r>
      <w:r>
        <w:t>,</w:t>
      </w:r>
      <w:r w:rsidRPr="000C5066">
        <w:t xml:space="preserve"> </w:t>
      </w:r>
      <w:r>
        <w:t>arguing</w:t>
      </w:r>
      <w:r w:rsidRPr="000C5066">
        <w:t xml:space="preserve"> that mobile health can improve clinical outcomes and improve efficiency and efficacy of the delivery of patient care in the US Military </w:t>
      </w:r>
      <w:r>
        <w:rPr>
          <w:noProof/>
        </w:rPr>
        <w:t>(Armstrong et al., 2017)</w:t>
      </w:r>
      <w:r w:rsidRPr="000C5066">
        <w:t>. The practice guidelines support the use of evidence</w:t>
      </w:r>
      <w:r>
        <w:t>-</w:t>
      </w:r>
      <w:r w:rsidRPr="000C5066">
        <w:t xml:space="preserve">based </w:t>
      </w:r>
      <w:r>
        <w:t>apps</w:t>
      </w:r>
      <w:r w:rsidRPr="000C5066">
        <w:t xml:space="preserve"> and suggest that</w:t>
      </w:r>
      <w:r w:rsidR="007F2ACA">
        <w:t>,</w:t>
      </w:r>
      <w:r w:rsidRPr="000C5066">
        <w:t xml:space="preserve"> when using an </w:t>
      </w:r>
      <w:r>
        <w:t>app</w:t>
      </w:r>
      <w:r w:rsidRPr="000C5066">
        <w:t xml:space="preserve">, clinicians should determine </w:t>
      </w:r>
      <w:r w:rsidR="007F2ACA">
        <w:t>whether</w:t>
      </w:r>
      <w:r w:rsidR="007F2ACA" w:rsidRPr="000C5066">
        <w:t xml:space="preserve"> </w:t>
      </w:r>
      <w:r w:rsidRPr="000C5066">
        <w:t>the content is consistent with known interventions, the available studies have evaluated the app in controlled settings or aggregated evidence supports the use of mobile health as a best-practice method. The authors argue</w:t>
      </w:r>
      <w:r>
        <w:t>d</w:t>
      </w:r>
      <w:r w:rsidRPr="000C5066">
        <w:t xml:space="preserve"> that</w:t>
      </w:r>
      <w:r w:rsidR="007F2ACA">
        <w:t>,</w:t>
      </w:r>
      <w:r w:rsidRPr="000C5066">
        <w:t xml:space="preserve"> increasingly, studies are showing that mobile health is providing positive clinical outcomes, and in the guidelines they provide</w:t>
      </w:r>
      <w:r>
        <w:t>d</w:t>
      </w:r>
      <w:r w:rsidRPr="000C5066">
        <w:t xml:space="preserve"> lev</w:t>
      </w:r>
      <w:r>
        <w:t>els of evidence for the mobile app</w:t>
      </w:r>
      <w:r w:rsidRPr="000C5066">
        <w:t>s appropriate for PTSD (PTSD Coach, PE Coach, CPT Coach), for mood monitoring and the development of tools in the treatment of depression and anxiety (T2 Mood Tracker, Virtual Hope Box, Positive Activity Jackpot).</w:t>
      </w:r>
    </w:p>
    <w:p w14:paraId="7E42237C" w14:textId="77777777" w:rsidR="005A713B" w:rsidRPr="000C5066" w:rsidRDefault="005A713B" w:rsidP="005A713B">
      <w:pPr>
        <w:rPr>
          <w:rFonts w:eastAsia="Calibri"/>
        </w:rPr>
      </w:pPr>
      <w:r w:rsidRPr="000C5066">
        <w:rPr>
          <w:rFonts w:eastAsia="Calibri"/>
        </w:rPr>
        <w:t xml:space="preserve">The practice guidelines argue that the benefits of using mobile health in clinical care are: </w:t>
      </w:r>
    </w:p>
    <w:p w14:paraId="4A583745" w14:textId="5950AF67" w:rsidR="005A713B" w:rsidRPr="000C5066" w:rsidRDefault="005A713B" w:rsidP="005A713B">
      <w:pPr>
        <w:pStyle w:val="Bullet"/>
        <w:numPr>
          <w:ilvl w:val="0"/>
          <w:numId w:val="3"/>
        </w:numPr>
        <w:ind w:left="360"/>
      </w:pPr>
      <w:r w:rsidRPr="000C5066">
        <w:rPr>
          <w:b/>
        </w:rPr>
        <w:t xml:space="preserve">Access </w:t>
      </w:r>
      <w:r w:rsidRPr="000C5066">
        <w:t xml:space="preserve">– Reduces barriers to accessing care </w:t>
      </w:r>
    </w:p>
    <w:p w14:paraId="354D4023" w14:textId="0765F1D7" w:rsidR="005A713B" w:rsidRPr="000C5066" w:rsidRDefault="005A713B" w:rsidP="005A713B">
      <w:pPr>
        <w:pStyle w:val="Bullet"/>
        <w:numPr>
          <w:ilvl w:val="0"/>
          <w:numId w:val="3"/>
        </w:numPr>
        <w:ind w:left="360"/>
      </w:pPr>
      <w:r w:rsidRPr="000C5066">
        <w:rPr>
          <w:b/>
        </w:rPr>
        <w:t xml:space="preserve">Extension of care </w:t>
      </w:r>
      <w:r w:rsidRPr="000C5066">
        <w:t>– Expands health care beyond face-to-face visits</w:t>
      </w:r>
      <w:r>
        <w:t xml:space="preserve"> </w:t>
      </w:r>
    </w:p>
    <w:p w14:paraId="6FA25208" w14:textId="6CFB7C66" w:rsidR="005A713B" w:rsidRPr="000C5066" w:rsidRDefault="005A713B" w:rsidP="005A713B">
      <w:pPr>
        <w:pStyle w:val="Bullet"/>
        <w:numPr>
          <w:ilvl w:val="0"/>
          <w:numId w:val="3"/>
        </w:numPr>
        <w:ind w:left="360"/>
      </w:pPr>
      <w:r w:rsidRPr="000C5066">
        <w:rPr>
          <w:b/>
        </w:rPr>
        <w:t xml:space="preserve">Efficiency </w:t>
      </w:r>
      <w:r w:rsidRPr="000C5066">
        <w:t>– Improves efficiency of care</w:t>
      </w:r>
      <w:r>
        <w:t xml:space="preserve"> </w:t>
      </w:r>
    </w:p>
    <w:p w14:paraId="4131FC82" w14:textId="06E05735" w:rsidR="005A713B" w:rsidRPr="000C5066" w:rsidRDefault="005A713B" w:rsidP="005A713B">
      <w:pPr>
        <w:pStyle w:val="Bullet"/>
        <w:numPr>
          <w:ilvl w:val="0"/>
          <w:numId w:val="3"/>
        </w:numPr>
        <w:ind w:left="360"/>
      </w:pPr>
      <w:r w:rsidRPr="000C5066">
        <w:rPr>
          <w:b/>
        </w:rPr>
        <w:t xml:space="preserve">Compliance </w:t>
      </w:r>
      <w:r w:rsidRPr="000C5066">
        <w:t>– Increases patient compliance and engagement with care</w:t>
      </w:r>
      <w:r>
        <w:t xml:space="preserve"> </w:t>
      </w:r>
    </w:p>
    <w:p w14:paraId="35B0EDF4" w14:textId="677E535C" w:rsidR="005A713B" w:rsidRPr="000C5066" w:rsidRDefault="005A713B" w:rsidP="005A713B">
      <w:pPr>
        <w:pStyle w:val="Bullet"/>
        <w:numPr>
          <w:ilvl w:val="0"/>
          <w:numId w:val="3"/>
        </w:numPr>
        <w:ind w:left="360"/>
      </w:pPr>
      <w:r w:rsidRPr="000C5066">
        <w:rPr>
          <w:b/>
        </w:rPr>
        <w:t xml:space="preserve">Geographic </w:t>
      </w:r>
      <w:r w:rsidRPr="000C5066">
        <w:t>– Supplements medical care, especially for geographically dispersed patients</w:t>
      </w:r>
      <w:r>
        <w:t xml:space="preserve"> </w:t>
      </w:r>
    </w:p>
    <w:p w14:paraId="5FA5849A" w14:textId="7450D8B8" w:rsidR="005A713B" w:rsidRPr="000C5066" w:rsidRDefault="005A713B" w:rsidP="005A713B">
      <w:pPr>
        <w:pStyle w:val="Bullet"/>
        <w:numPr>
          <w:ilvl w:val="0"/>
          <w:numId w:val="3"/>
        </w:numPr>
        <w:ind w:left="360"/>
      </w:pPr>
      <w:r w:rsidRPr="000C5066">
        <w:rPr>
          <w:b/>
        </w:rPr>
        <w:t xml:space="preserve">Cost </w:t>
      </w:r>
      <w:r w:rsidRPr="000C5066">
        <w:t>– Provides potential for significant cost reduction th</w:t>
      </w:r>
      <w:r w:rsidR="007F2ACA">
        <w:t>r</w:t>
      </w:r>
      <w:r w:rsidRPr="000C5066">
        <w:t>ough leveraging mobile technologies across a range of health care activities</w:t>
      </w:r>
      <w:r>
        <w:t xml:space="preserve"> </w:t>
      </w:r>
    </w:p>
    <w:p w14:paraId="6BDCF56A" w14:textId="5C97050D" w:rsidR="005A713B" w:rsidRPr="000C5066" w:rsidRDefault="005A713B" w:rsidP="005A713B">
      <w:pPr>
        <w:pStyle w:val="Bullet"/>
        <w:numPr>
          <w:ilvl w:val="0"/>
          <w:numId w:val="3"/>
        </w:numPr>
        <w:ind w:left="360"/>
      </w:pPr>
      <w:r w:rsidRPr="000C5066">
        <w:rPr>
          <w:b/>
        </w:rPr>
        <w:t xml:space="preserve">Data quality </w:t>
      </w:r>
      <w:r w:rsidRPr="000C5066">
        <w:t>– Can improve the validity of patient reports through real-time symptom tracking</w:t>
      </w:r>
    </w:p>
    <w:p w14:paraId="16BFCBD0" w14:textId="0F89DDEB" w:rsidR="005A713B" w:rsidRPr="000C5066" w:rsidRDefault="005A713B" w:rsidP="005A713B">
      <w:pPr>
        <w:pStyle w:val="Bullet"/>
        <w:numPr>
          <w:ilvl w:val="0"/>
          <w:numId w:val="3"/>
        </w:numPr>
        <w:ind w:left="360"/>
      </w:pPr>
      <w:r w:rsidRPr="000C5066">
        <w:rPr>
          <w:b/>
        </w:rPr>
        <w:t xml:space="preserve">Reach </w:t>
      </w:r>
      <w:r w:rsidRPr="000C5066">
        <w:t>– Has the potential to reach those who do not seek face-to-face care due to concerns about confidentiality and perceived stigma</w:t>
      </w:r>
    </w:p>
    <w:p w14:paraId="56FA980B" w14:textId="77777777" w:rsidR="005A713B" w:rsidRPr="005C6232" w:rsidRDefault="005A713B" w:rsidP="005A713B">
      <w:pPr>
        <w:pStyle w:val="Bullet"/>
        <w:numPr>
          <w:ilvl w:val="0"/>
          <w:numId w:val="3"/>
        </w:numPr>
        <w:ind w:left="360"/>
      </w:pPr>
      <w:r w:rsidRPr="000C5066">
        <w:rPr>
          <w:b/>
        </w:rPr>
        <w:t xml:space="preserve">Best practice </w:t>
      </w:r>
      <w:r w:rsidRPr="000C5066">
        <w:t>– Has been identified as a best practice by front-line clinicians.</w:t>
      </w:r>
    </w:p>
    <w:p w14:paraId="66A7C1A6" w14:textId="759F2A2D" w:rsidR="005A713B" w:rsidRPr="000C5066" w:rsidRDefault="005A713B" w:rsidP="005A713B">
      <w:r w:rsidRPr="000C5066">
        <w:t xml:space="preserve">The </w:t>
      </w:r>
      <w:r>
        <w:t xml:space="preserve">United States </w:t>
      </w:r>
      <w:r w:rsidRPr="000C5066">
        <w:t>VA mobile app store (</w:t>
      </w:r>
      <w:hyperlink r:id="rId30" w:history="1">
        <w:r w:rsidRPr="00215381">
          <w:rPr>
            <w:rStyle w:val="Hyperlink"/>
            <w:rFonts w:asciiTheme="minorHAnsi" w:hAnsiTheme="minorHAnsi" w:cstheme="minorHAnsi"/>
          </w:rPr>
          <w:t>https://mobile.va.gov</w:t>
        </w:r>
      </w:hyperlink>
      <w:r w:rsidRPr="00104D02">
        <w:rPr>
          <w:rFonts w:asciiTheme="minorHAnsi" w:hAnsiTheme="minorHAnsi" w:cstheme="minorHAnsi"/>
        </w:rPr>
        <w:t>)</w:t>
      </w:r>
      <w:r>
        <w:t xml:space="preserve"> </w:t>
      </w:r>
      <w:r w:rsidRPr="000C5066">
        <w:t xml:space="preserve">provides a description of each app, links it to information sheets and video content and where appropriate provides linkage to existing VA services. The </w:t>
      </w:r>
      <w:r w:rsidR="00CE7B3B">
        <w:t>g</w:t>
      </w:r>
      <w:r w:rsidRPr="000C5066">
        <w:t xml:space="preserve">uidelines specifically focus on clinical integration and suggest that </w:t>
      </w:r>
      <w:r>
        <w:t>app</w:t>
      </w:r>
      <w:r w:rsidRPr="000C5066">
        <w:t xml:space="preserve">s can be used to support evidence-based treatment, including cognitive processing therapy (CPT) and prolonged exposure (PE) therapy. They also suggest that apps can be used to support individual and group therapy during and between sessions. The guidelines examine key steps in clinical integration, cover security and privacy and take into account cultural considerations </w:t>
      </w:r>
      <w:r>
        <w:rPr>
          <w:noProof/>
        </w:rPr>
        <w:t>(Armstrong et al., 2017)</w:t>
      </w:r>
      <w:r w:rsidRPr="000C5066">
        <w:t>.</w:t>
      </w:r>
    </w:p>
    <w:p w14:paraId="4CBCED79" w14:textId="77777777" w:rsidR="005A713B" w:rsidRPr="000C5066" w:rsidRDefault="005A713B" w:rsidP="005A713B">
      <w:pPr>
        <w:pStyle w:val="Heading3"/>
        <w:numPr>
          <w:ilvl w:val="2"/>
          <w:numId w:val="1"/>
        </w:numPr>
      </w:pPr>
      <w:bookmarkStart w:id="54" w:name="_Toc273712854"/>
      <w:bookmarkStart w:id="55" w:name="_Toc385859305"/>
      <w:bookmarkStart w:id="56" w:name="_Toc518566328"/>
      <w:bookmarkStart w:id="57" w:name="_Toc528932628"/>
      <w:bookmarkStart w:id="58" w:name="_Toc531859165"/>
      <w:r w:rsidRPr="000C5066">
        <w:t>Wearables and biometric devices</w:t>
      </w:r>
      <w:bookmarkEnd w:id="54"/>
      <w:bookmarkEnd w:id="55"/>
      <w:bookmarkEnd w:id="56"/>
      <w:bookmarkEnd w:id="57"/>
      <w:bookmarkEnd w:id="58"/>
    </w:p>
    <w:p w14:paraId="06EF1194" w14:textId="77777777" w:rsidR="005A713B" w:rsidRPr="000C5066" w:rsidRDefault="005A713B" w:rsidP="005A713B">
      <w:r w:rsidRPr="000C5066">
        <w:t>A biometric device is any device that measures a biological function or trait. Also called wearables, these devices tend to operate in one of two main ways</w:t>
      </w:r>
      <w:r>
        <w:t>:</w:t>
      </w:r>
      <w:r w:rsidRPr="000C5066">
        <w:t xml:space="preserve"> verification or identification. Wearable tech</w:t>
      </w:r>
      <w:r>
        <w:t>nology</w:t>
      </w:r>
      <w:r w:rsidRPr="000C5066">
        <w:t xml:space="preserve"> can take the form of a </w:t>
      </w:r>
      <w:r>
        <w:t xml:space="preserve">commercially available wrist band tracker </w:t>
      </w:r>
      <w:r w:rsidRPr="000C5066">
        <w:t xml:space="preserve">or medical grade devices that have been used in the treatment of diabetes and cardiovascular disease. While </w:t>
      </w:r>
      <w:r>
        <w:t xml:space="preserve">there is </w:t>
      </w:r>
      <w:r w:rsidRPr="000C5066">
        <w:t xml:space="preserve">debate </w:t>
      </w:r>
      <w:r>
        <w:t>about</w:t>
      </w:r>
      <w:r w:rsidRPr="000C5066">
        <w:t xml:space="preserve"> the validity and reliability of the data and the utilisation of the bands and the apps</w:t>
      </w:r>
      <w:r>
        <w:t>,</w:t>
      </w:r>
      <w:r w:rsidRPr="000C5066">
        <w:t xml:space="preserve"> evidence shows that they can provide important baseline data on heart rate, sleep, brain function and blood glucose levels. In the context of </w:t>
      </w:r>
      <w:r>
        <w:t xml:space="preserve">the military, </w:t>
      </w:r>
      <w:r w:rsidRPr="000C5066">
        <w:t xml:space="preserve">this </w:t>
      </w:r>
      <w:r>
        <w:t xml:space="preserve">data, captured through a secure and encrypted data base, could be extremely useful, </w:t>
      </w:r>
      <w:r w:rsidRPr="000C5066">
        <w:t>as it can be used to self-monitor and demonstrate the important relationships between certain variables such as sleep, exercise and mood</w:t>
      </w:r>
      <w:r>
        <w:t>. A</w:t>
      </w:r>
      <w:r w:rsidRPr="000C5066">
        <w:t>t the same time</w:t>
      </w:r>
      <w:r>
        <w:t>,</w:t>
      </w:r>
      <w:r w:rsidRPr="000C5066">
        <w:t xml:space="preserve"> in shared management, data can be used to determine the responsiveness to an intervention or to flag the worsening of conditions – such as chronic sleep deprivation –</w:t>
      </w:r>
      <w:r>
        <w:t xml:space="preserve"> </w:t>
      </w:r>
      <w:r w:rsidRPr="000C5066">
        <w:t xml:space="preserve">or </w:t>
      </w:r>
      <w:r>
        <w:t xml:space="preserve">for </w:t>
      </w:r>
      <w:r w:rsidRPr="000C5066">
        <w:t>early identification of risk based on galvanic skin response to a potential trigger. The Society for Participatory Medicine and a growing number of authors are looking at the effectiveness of this approach</w:t>
      </w:r>
      <w:r>
        <w:t>,</w:t>
      </w:r>
      <w:r w:rsidRPr="000C5066">
        <w:t xml:space="preserve"> including the use of biometrics and online social networking platforms to showcase behaviour change in chronic conditions. In the United States, the Veterans Health Administration introduced a home telehealth program that demonstrated high patient satisfaction, a 25</w:t>
      </w:r>
      <w:r>
        <w:t>%</w:t>
      </w:r>
      <w:r w:rsidRPr="000C5066">
        <w:t xml:space="preserve"> reduction in bed days of care, and a 19</w:t>
      </w:r>
      <w:r>
        <w:t>%</w:t>
      </w:r>
      <w:r w:rsidRPr="000C5066">
        <w:t xml:space="preserve"> reduction in hospital admissions </w:t>
      </w:r>
      <w:r>
        <w:rPr>
          <w:noProof/>
        </w:rPr>
        <w:t>(Iglehart, 2014)</w:t>
      </w:r>
      <w:r w:rsidRPr="000C5066">
        <w:t>. In Australia, the best example of this approach working in practice is a trial of Patients Know Best (</w:t>
      </w:r>
      <w:hyperlink r:id="rId31" w:history="1">
        <w:r w:rsidRPr="00215381">
          <w:rPr>
            <w:rStyle w:val="Hyperlink"/>
            <w:rFonts w:asciiTheme="minorHAnsi" w:hAnsiTheme="minorHAnsi" w:cstheme="minorHAnsi"/>
          </w:rPr>
          <w:t>www.patientsknowbest.com</w:t>
        </w:r>
      </w:hyperlink>
      <w:r w:rsidRPr="000C5066">
        <w:t>)</w:t>
      </w:r>
      <w:r w:rsidRPr="00876FD5">
        <w:t xml:space="preserve"> </w:t>
      </w:r>
      <w:r w:rsidRPr="000C5066">
        <w:t xml:space="preserve">at the Alfred Hospital, an integrated patient-portal which integrates </w:t>
      </w:r>
      <w:r>
        <w:t>more than</w:t>
      </w:r>
      <w:r w:rsidRPr="000C5066">
        <w:t xml:space="preserve"> 100 devices and apps capturing data such as blood pressure, fitness and activities, weight, sleep and medication adherence.</w:t>
      </w:r>
    </w:p>
    <w:p w14:paraId="1C820D58" w14:textId="77777777" w:rsidR="005A713B" w:rsidRPr="000C5066" w:rsidRDefault="005A713B" w:rsidP="005A713B">
      <w:pPr>
        <w:pStyle w:val="Heading3"/>
        <w:numPr>
          <w:ilvl w:val="2"/>
          <w:numId w:val="1"/>
        </w:numPr>
      </w:pPr>
      <w:bookmarkStart w:id="59" w:name="_Toc385859306"/>
      <w:bookmarkStart w:id="60" w:name="_Toc518566329"/>
      <w:bookmarkStart w:id="61" w:name="_Toc528932629"/>
      <w:bookmarkStart w:id="62" w:name="_Toc531859166"/>
      <w:r w:rsidRPr="000C5066">
        <w:t xml:space="preserve">Peer </w:t>
      </w:r>
      <w:r>
        <w:t>n</w:t>
      </w:r>
      <w:r w:rsidRPr="000C5066">
        <w:t xml:space="preserve">etworks and </w:t>
      </w:r>
      <w:r>
        <w:t>s</w:t>
      </w:r>
      <w:r w:rsidRPr="000C5066">
        <w:t>ocial networking services</w:t>
      </w:r>
      <w:bookmarkEnd w:id="59"/>
      <w:bookmarkEnd w:id="60"/>
      <w:bookmarkEnd w:id="61"/>
      <w:bookmarkEnd w:id="62"/>
    </w:p>
    <w:p w14:paraId="4446B3BF" w14:textId="77777777" w:rsidR="005A713B" w:rsidRPr="000C5066" w:rsidRDefault="005A713B" w:rsidP="005A713B">
      <w:r w:rsidRPr="000C5066">
        <w:t xml:space="preserve">A social networking service is a platform that enables individuals or businesses to build social networks and relationships between people who share common interests, activities, backgrounds and real-life connections. Social networks are </w:t>
      </w:r>
      <w:r>
        <w:t>internet</w:t>
      </w:r>
      <w:r w:rsidRPr="000C5066">
        <w:t>-based services that allow individuals to create a public profile and build a network of users with whom to share and view information. Social network sites are varied and they incorporate new information and communication tools such as mobile connectivity, photo/video</w:t>
      </w:r>
      <w:r>
        <w:t xml:space="preserve"> </w:t>
      </w:r>
      <w:r w:rsidRPr="000C5066">
        <w:t>sharing and blogging. Popular platforms include Facebook, LinkedIn, Twitter, Pinterest and Instagram.</w:t>
      </w:r>
    </w:p>
    <w:p w14:paraId="676A8ADD" w14:textId="77777777" w:rsidR="005A713B" w:rsidRPr="000C5066" w:rsidRDefault="005A713B" w:rsidP="005A713B">
      <w:r w:rsidRPr="000C5066">
        <w:t>Online</w:t>
      </w:r>
      <w:r>
        <w:t xml:space="preserve"> </w:t>
      </w:r>
      <w:r w:rsidRPr="000C5066">
        <w:t>peer</w:t>
      </w:r>
      <w:r>
        <w:t>-</w:t>
      </w:r>
      <w:r w:rsidRPr="000C5066">
        <w:t>to</w:t>
      </w:r>
      <w:r>
        <w:t>-</w:t>
      </w:r>
      <w:r w:rsidRPr="000C5066">
        <w:t xml:space="preserve">peer support is the opportunity to seek and obtain support from others facing similar problems. The advantages of doing this online are the opportunities to meet a significant number of people and tap into crowd sourcing. Examples of this in mental health include the ReachOut.com facilitated forum </w:t>
      </w:r>
      <w:r>
        <w:rPr>
          <w:noProof/>
        </w:rPr>
        <w:t xml:space="preserve">(Webb, </w:t>
      </w:r>
      <w:r w:rsidRPr="00B41BE0">
        <w:rPr>
          <w:noProof/>
        </w:rPr>
        <w:t>Burns &amp; Collin</w:t>
      </w:r>
      <w:r>
        <w:rPr>
          <w:noProof/>
        </w:rPr>
        <w:t>, 2008)</w:t>
      </w:r>
      <w:r w:rsidRPr="000C5066">
        <w:t xml:space="preserve"> and Big White Wall (</w:t>
      </w:r>
      <w:r w:rsidRPr="000C5066">
        <w:rPr>
          <w:rStyle w:val="Hyperlink"/>
        </w:rPr>
        <w:t>bigwhitewall.com)</w:t>
      </w:r>
      <w:r>
        <w:rPr>
          <w:rStyle w:val="Hyperlink"/>
        </w:rPr>
        <w:t>,</w:t>
      </w:r>
      <w:r w:rsidRPr="000C5066">
        <w:rPr>
          <w:rStyle w:val="Hyperlink"/>
        </w:rPr>
        <w:t xml:space="preserve"> </w:t>
      </w:r>
      <w:r w:rsidRPr="000C5066">
        <w:t>which is an anonymous online service for people in psychological distress. It offers support for self-management of mental health issues, information, and online therapy using a webcam</w:t>
      </w:r>
      <w:r>
        <w:t xml:space="preserve"> and</w:t>
      </w:r>
      <w:r w:rsidRPr="000C5066">
        <w:t xml:space="preserve"> audio or instant messaging.</w:t>
      </w:r>
    </w:p>
    <w:p w14:paraId="7D5E3060" w14:textId="65775259" w:rsidR="005A713B" w:rsidRPr="000C5066" w:rsidRDefault="005A713B" w:rsidP="005A713B">
      <w:r w:rsidRPr="000C5066">
        <w:t xml:space="preserve">An evidence-based literature review of </w:t>
      </w:r>
      <w:r>
        <w:t>more than</w:t>
      </w:r>
      <w:r w:rsidRPr="000C5066">
        <w:t xml:space="preserve"> 50 studies examining young people's use of social networking showed significant benefits to young people's mental health, including delivering educational outcomes</w:t>
      </w:r>
      <w:r>
        <w:t>,</w:t>
      </w:r>
      <w:r w:rsidRPr="000C5066">
        <w:t xml:space="preserve"> facilitating supportive relationships</w:t>
      </w:r>
      <w:r>
        <w:t>,</w:t>
      </w:r>
      <w:r w:rsidRPr="000C5066">
        <w:t xml:space="preserve"> identity formation and promoting a sense of belonging and self-esteem. </w:t>
      </w:r>
      <w:r>
        <w:rPr>
          <w:noProof/>
        </w:rPr>
        <w:t xml:space="preserve">Collin, </w:t>
      </w:r>
      <w:r w:rsidRPr="00B41BE0">
        <w:rPr>
          <w:noProof/>
        </w:rPr>
        <w:t>Rahilly, Richardson</w:t>
      </w:r>
      <w:r>
        <w:rPr>
          <w:noProof/>
        </w:rPr>
        <w:t>,</w:t>
      </w:r>
      <w:r w:rsidRPr="00B41BE0">
        <w:rPr>
          <w:noProof/>
        </w:rPr>
        <w:t xml:space="preserve"> &amp; Third</w:t>
      </w:r>
      <w:r>
        <w:rPr>
          <w:noProof/>
        </w:rPr>
        <w:t xml:space="preserve"> (2011)</w:t>
      </w:r>
      <w:r>
        <w:t xml:space="preserve"> </w:t>
      </w:r>
      <w:r w:rsidRPr="000C5066">
        <w:t>further argue</w:t>
      </w:r>
      <w:r>
        <w:t>d</w:t>
      </w:r>
      <w:r w:rsidRPr="000C5066">
        <w:t xml:space="preserve"> that the </w:t>
      </w:r>
      <w:r>
        <w:t>‘</w:t>
      </w:r>
      <w:r w:rsidRPr="000C5066">
        <w:t>...</w:t>
      </w:r>
      <w:r w:rsidR="007B0640">
        <w:t xml:space="preserve"> </w:t>
      </w:r>
      <w:r w:rsidRPr="000C5066">
        <w:t>strong sense of community and belonging fostered by SNS (social networking services) has the potential to promote resilience, which helps young people to successfully adapt to change and stressful events</w:t>
      </w:r>
      <w:r>
        <w:t>’</w:t>
      </w:r>
      <w:r w:rsidRPr="000C5066">
        <w:t xml:space="preserve"> </w:t>
      </w:r>
      <w:r>
        <w:rPr>
          <w:noProof/>
        </w:rPr>
        <w:t>(Collin et al., 2011)</w:t>
      </w:r>
      <w:r w:rsidRPr="000C5066">
        <w:t xml:space="preserve">. For those wishing to improve their overall wellbeing, technologies can assist in promoting social inclusion, access to material resources and freedom from discrimination and violence </w:t>
      </w:r>
      <w:r>
        <w:rPr>
          <w:noProof/>
        </w:rPr>
        <w:t xml:space="preserve">(Burns, </w:t>
      </w:r>
      <w:r w:rsidRPr="00B41BE0">
        <w:rPr>
          <w:noProof/>
        </w:rPr>
        <w:t>Durkin</w:t>
      </w:r>
      <w:r>
        <w:rPr>
          <w:noProof/>
        </w:rPr>
        <w:t>, &amp;</w:t>
      </w:r>
      <w:r w:rsidRPr="00B41BE0">
        <w:rPr>
          <w:noProof/>
        </w:rPr>
        <w:t xml:space="preserve"> Nicholas</w:t>
      </w:r>
      <w:r>
        <w:rPr>
          <w:noProof/>
        </w:rPr>
        <w:t>, 2009)</w:t>
      </w:r>
      <w:r>
        <w:t>. A</w:t>
      </w:r>
      <w:r w:rsidRPr="000C5066">
        <w:t xml:space="preserve"> recent 2014 study by van der Krieke and colleagues, ‘</w:t>
      </w:r>
      <w:r>
        <w:t>E</w:t>
      </w:r>
      <w:r w:rsidRPr="000C5066">
        <w:t xml:space="preserve">-mental health </w:t>
      </w:r>
      <w:r>
        <w:t>s</w:t>
      </w:r>
      <w:r w:rsidRPr="000C5066">
        <w:t>elf-</w:t>
      </w:r>
      <w:r>
        <w:t>m</w:t>
      </w:r>
      <w:r w:rsidRPr="000C5066">
        <w:t xml:space="preserve">anagement for </w:t>
      </w:r>
      <w:r>
        <w:t>p</w:t>
      </w:r>
      <w:r w:rsidRPr="000C5066">
        <w:t xml:space="preserve">sychotic </w:t>
      </w:r>
      <w:r>
        <w:t>d</w:t>
      </w:r>
      <w:r w:rsidRPr="000C5066">
        <w:t xml:space="preserve">isorders: State of the </w:t>
      </w:r>
      <w:r>
        <w:t>a</w:t>
      </w:r>
      <w:r w:rsidRPr="000C5066">
        <w:t xml:space="preserve">rt and </w:t>
      </w:r>
      <w:r>
        <w:t>f</w:t>
      </w:r>
      <w:r w:rsidRPr="000C5066">
        <w:t xml:space="preserve">uture </w:t>
      </w:r>
      <w:r>
        <w:t>p</w:t>
      </w:r>
      <w:r w:rsidRPr="000C5066">
        <w:t xml:space="preserve">erspectives’ </w:t>
      </w:r>
      <w:r>
        <w:rPr>
          <w:noProof/>
        </w:rPr>
        <w:t xml:space="preserve">(van Der Krieke, </w:t>
      </w:r>
      <w:r w:rsidRPr="00B41BE0">
        <w:rPr>
          <w:noProof/>
        </w:rPr>
        <w:t>Wunderink, Emerencia, De Jonge</w:t>
      </w:r>
      <w:r>
        <w:rPr>
          <w:noProof/>
        </w:rPr>
        <w:t>, &amp;</w:t>
      </w:r>
      <w:r w:rsidRPr="00B41BE0">
        <w:rPr>
          <w:noProof/>
        </w:rPr>
        <w:t xml:space="preserve"> Sytema</w:t>
      </w:r>
      <w:r>
        <w:rPr>
          <w:noProof/>
        </w:rPr>
        <w:t>, 2014)</w:t>
      </w:r>
      <w:r w:rsidRPr="000C5066">
        <w:t xml:space="preserve"> </w:t>
      </w:r>
      <w:r>
        <w:t>suggested</w:t>
      </w:r>
      <w:r w:rsidRPr="000C5066">
        <w:t xml:space="preserve"> that e-mental health services </w:t>
      </w:r>
      <w:r>
        <w:t>were</w:t>
      </w:r>
      <w:r w:rsidRPr="000C5066">
        <w:t xml:space="preserve"> at least as effective as care as usual. </w:t>
      </w:r>
    </w:p>
    <w:p w14:paraId="2172C8E4" w14:textId="2E6E80E1" w:rsidR="005A713B" w:rsidRDefault="005A713B" w:rsidP="005A713B">
      <w:r w:rsidRPr="000C5066">
        <w:t xml:space="preserve">Results from the </w:t>
      </w:r>
      <w:r w:rsidRPr="004E06D7">
        <w:rPr>
          <w:i/>
        </w:rPr>
        <w:t>Pathways to Care</w:t>
      </w:r>
      <w:r w:rsidRPr="000C5066">
        <w:t xml:space="preserve"> </w:t>
      </w:r>
      <w:r w:rsidR="00477AD4" w:rsidRPr="00477AD4">
        <w:rPr>
          <w:i/>
        </w:rPr>
        <w:t>Report</w:t>
      </w:r>
      <w:r w:rsidRPr="000C5066">
        <w:rPr>
          <w:i/>
        </w:rPr>
        <w:t xml:space="preserve"> </w:t>
      </w:r>
      <w:r w:rsidRPr="000C5066">
        <w:t>show</w:t>
      </w:r>
      <w:r>
        <w:t>ed</w:t>
      </w:r>
      <w:r w:rsidRPr="000C5066">
        <w:t xml:space="preserve"> that 18.1% of Transitioned ADF and 9.9% of 2015 Regular ADF members reported using social media to inform or assess their mental health</w:t>
      </w:r>
      <w:r>
        <w:t>. Given that social networks are based on the support of peers and information sharing, this is an area that requires further investigation</w:t>
      </w:r>
      <w:r w:rsidRPr="000C5066">
        <w:t xml:space="preserve"> </w:t>
      </w:r>
      <w:r>
        <w:rPr>
          <w:noProof/>
        </w:rPr>
        <w:t>(Van Hooff et al., 2018</w:t>
      </w:r>
      <w:r w:rsidR="00483990">
        <w:rPr>
          <w:noProof/>
        </w:rPr>
        <w:t>b</w:t>
      </w:r>
      <w:r>
        <w:rPr>
          <w:noProof/>
        </w:rPr>
        <w:t>)</w:t>
      </w:r>
      <w:r w:rsidRPr="000C5066">
        <w:t xml:space="preserve">. </w:t>
      </w:r>
    </w:p>
    <w:p w14:paraId="4B91899A" w14:textId="77777777" w:rsidR="005A713B" w:rsidRPr="002857FB" w:rsidRDefault="005A713B" w:rsidP="00C44855">
      <w:pPr>
        <w:pStyle w:val="Heading2"/>
      </w:pPr>
      <w:bookmarkStart w:id="63" w:name="_Toc385859299"/>
      <w:bookmarkStart w:id="64" w:name="_Toc518566330"/>
      <w:bookmarkStart w:id="65" w:name="_Toc528932630"/>
      <w:bookmarkStart w:id="66" w:name="_Toc531859167"/>
      <w:r w:rsidRPr="002857FB">
        <w:t xml:space="preserve">What does this mean for </w:t>
      </w:r>
      <w:r>
        <w:t>service design and digital health</w:t>
      </w:r>
      <w:r w:rsidRPr="002857FB">
        <w:t>?</w:t>
      </w:r>
      <w:bookmarkEnd w:id="63"/>
      <w:bookmarkEnd w:id="64"/>
      <w:bookmarkEnd w:id="65"/>
      <w:bookmarkEnd w:id="66"/>
      <w:r w:rsidRPr="002857FB">
        <w:t xml:space="preserve"> </w:t>
      </w:r>
    </w:p>
    <w:p w14:paraId="2958AA52" w14:textId="77777777" w:rsidR="005A713B" w:rsidRPr="00E44AA7" w:rsidRDefault="005A713B" w:rsidP="005A713B">
      <w:r w:rsidRPr="00E44AA7">
        <w:t>The National Mental Health Commission presents a model of stepped care that takes an overall population level approach to mental health management. This approach is consistent with the Defence and Veterans Mental Health and Wellbeing strategy and argues that the intensity of support should match the complexity of the symptoms and functional impairment being experienced by the individual. In most stepped</w:t>
      </w:r>
      <w:r>
        <w:t>-</w:t>
      </w:r>
      <w:r w:rsidRPr="00E44AA7">
        <w:t>care models, the focus is on entry into the health system at sub-clinical thresholds or early in the development of a mental health problem. This model of ‘watchful waiting’ is at odds with a population</w:t>
      </w:r>
      <w:r>
        <w:t>-</w:t>
      </w:r>
      <w:r w:rsidRPr="00E44AA7">
        <w:t xml:space="preserve">health approach to health promotion and prevention that aims to support self-management and step in and step out of services </w:t>
      </w:r>
      <w:r>
        <w:t>on the basis of</w:t>
      </w:r>
      <w:r w:rsidRPr="00E44AA7">
        <w:t xml:space="preserve"> need.</w:t>
      </w:r>
      <w:r>
        <w:t xml:space="preserve"> </w:t>
      </w:r>
    </w:p>
    <w:p w14:paraId="498AC94E" w14:textId="77777777" w:rsidR="005A713B" w:rsidRPr="00E44AA7" w:rsidRDefault="005A713B" w:rsidP="005A713B">
      <w:pPr>
        <w:pStyle w:val="Heading3"/>
        <w:numPr>
          <w:ilvl w:val="2"/>
          <w:numId w:val="1"/>
        </w:numPr>
      </w:pPr>
      <w:bookmarkStart w:id="67" w:name="_Toc518566331"/>
      <w:bookmarkStart w:id="68" w:name="_Toc528932631"/>
      <w:bookmarkStart w:id="69" w:name="_Toc531859168"/>
      <w:r w:rsidRPr="00E44AA7">
        <w:t>The empowered consumer</w:t>
      </w:r>
      <w:bookmarkEnd w:id="67"/>
      <w:bookmarkEnd w:id="68"/>
      <w:bookmarkEnd w:id="69"/>
    </w:p>
    <w:p w14:paraId="6C59940B" w14:textId="77777777" w:rsidR="005A713B" w:rsidRDefault="005A713B" w:rsidP="005A713B">
      <w:r w:rsidRPr="00E44AA7">
        <w:t xml:space="preserve">The Ernst and Young Report, </w:t>
      </w:r>
      <w:r w:rsidRPr="00E44AA7">
        <w:rPr>
          <w:i/>
        </w:rPr>
        <w:t>Health Reimagined: a new participatory health paradigm</w:t>
      </w:r>
      <w:r>
        <w:t>,</w:t>
      </w:r>
      <w:r w:rsidRPr="00E44AA7">
        <w:t xml:space="preserve"> suggests a major paradigm shift where</w:t>
      </w:r>
      <w:r>
        <w:t>by</w:t>
      </w:r>
      <w:r w:rsidRPr="00E44AA7">
        <w:t xml:space="preserve"> individuals take active responsibility for their health </w:t>
      </w:r>
      <w:r w:rsidRPr="00E44AA7">
        <w:rPr>
          <w:noProof/>
        </w:rPr>
        <w:t>(Ernst &amp; Young, 2016)</w:t>
      </w:r>
      <w:r w:rsidRPr="00E44AA7">
        <w:t>. In this new, reimagined model of health care</w:t>
      </w:r>
      <w:r>
        <w:t>,</w:t>
      </w:r>
      <w:r w:rsidRPr="00E44AA7">
        <w:t xml:space="preserve"> individuals pro-actively draw on technology and their peer and social networks to support self-management through actively monitoring outcomes and building social communities that support wellbeing. Participatory health argues that individuals act as an equal partner in shared clinical decision making. This new health ‘digisphere’ is defined as a complex, borderless, interconnected community (virtual as well as</w:t>
      </w:r>
      <w:r w:rsidRPr="000C5066">
        <w:t xml:space="preserve"> real) formed around an individual and advancing lifelong health. The ‘digisphere’</w:t>
      </w:r>
      <w:r>
        <w:t>, defined in this context,</w:t>
      </w:r>
      <w:r w:rsidRPr="000C5066">
        <w:t xml:space="preserve"> is a digital ecosystem that reshapes health systems and redefines them as globally connected but locally relevant. </w:t>
      </w:r>
    </w:p>
    <w:p w14:paraId="43915A9D" w14:textId="77777777" w:rsidR="005A713B" w:rsidRPr="000C5066" w:rsidRDefault="005A713B" w:rsidP="005A713B">
      <w:pPr>
        <w:rPr>
          <w:rFonts w:eastAsia="Calibri"/>
        </w:rPr>
      </w:pPr>
      <w:r w:rsidRPr="000C5066">
        <w:rPr>
          <w:rFonts w:eastAsia="Calibri"/>
        </w:rPr>
        <w:t>The opportunities afforded by e-mental health have typically been framed in one of two ways</w:t>
      </w:r>
      <w:r>
        <w:rPr>
          <w:rFonts w:eastAsia="Calibri"/>
        </w:rPr>
        <w:t>:</w:t>
      </w:r>
      <w:r w:rsidRPr="000C5066">
        <w:rPr>
          <w:rFonts w:eastAsia="Calibri"/>
        </w:rPr>
        <w:t xml:space="preserve"> the potential for efficiencies and greater value for investment in terms of reach and access; </w:t>
      </w:r>
      <w:r>
        <w:rPr>
          <w:rFonts w:eastAsia="Calibri"/>
        </w:rPr>
        <w:t>or</w:t>
      </w:r>
      <w:r w:rsidRPr="000C5066">
        <w:rPr>
          <w:rFonts w:eastAsia="Calibri"/>
        </w:rPr>
        <w:t xml:space="preserve"> the potential to improve outcomes through enhancing access and self-efficacy. For example, a 2013 briefing paper from the United Kingdom’s National Health Service (NHS) captures this dual focus:</w:t>
      </w:r>
    </w:p>
    <w:p w14:paraId="3A4E132D" w14:textId="77777777" w:rsidR="005A713B" w:rsidRPr="000C5066" w:rsidRDefault="005A713B" w:rsidP="005A713B">
      <w:pPr>
        <w:pStyle w:val="Quote"/>
      </w:pPr>
      <w:r w:rsidRPr="000C5066">
        <w:t>Digital technology has revolutionised the way we conduct our everyday lives. The expectations service users and their families have of mental health services, and how they interact with them, are also changing rapidly</w:t>
      </w:r>
      <w:r>
        <w:t xml:space="preserve"> </w:t>
      </w:r>
      <w:r w:rsidRPr="000C5066">
        <w:t>… [it] could help us address resource challenges</w:t>
      </w:r>
      <w:r>
        <w:t xml:space="preserve"> </w:t>
      </w:r>
      <w:r w:rsidRPr="000C5066">
        <w:t>… and also has the potential to support cultural transformation and a move towards a social model of health, by empowering service users to exercise greater choice and control and to manage their ow</w:t>
      </w:r>
      <w:r>
        <w:t>n conditions more effectively.</w:t>
      </w:r>
      <w:r w:rsidRPr="000C5066">
        <w:t xml:space="preserve"> </w:t>
      </w:r>
      <w:r>
        <w:rPr>
          <w:noProof/>
        </w:rPr>
        <w:t>(Mental Health Network NHS Confederation, 2013)</w:t>
      </w:r>
    </w:p>
    <w:p w14:paraId="60426C87" w14:textId="77777777" w:rsidR="005A713B" w:rsidRPr="000C5066" w:rsidRDefault="005A713B" w:rsidP="005A713B">
      <w:r w:rsidRPr="000C5066">
        <w:t>Similarly</w:t>
      </w:r>
      <w:r>
        <w:t>,</w:t>
      </w:r>
      <w:r w:rsidRPr="000C5066">
        <w:t xml:space="preserve"> a rapid review of the e-mental health literature </w:t>
      </w:r>
      <w:r>
        <w:rPr>
          <w:noProof/>
        </w:rPr>
        <w:t>(Lal &amp; Adair, 2014)</w:t>
      </w:r>
      <w:r w:rsidRPr="000C5066">
        <w:t xml:space="preserve"> concluded:</w:t>
      </w:r>
    </w:p>
    <w:p w14:paraId="6F4A664F" w14:textId="77777777" w:rsidR="005A713B" w:rsidRPr="000C5066" w:rsidRDefault="005A713B" w:rsidP="005A713B">
      <w:pPr>
        <w:pStyle w:val="Quote"/>
      </w:pPr>
      <w:r w:rsidRPr="000C5066">
        <w:t>Many believe that e-mental health has enormous potential to address the gap between the identified need for services and the limited capacity and resources to provide conventional treatment. Strengths of e</w:t>
      </w:r>
      <w:r>
        <w:noBreakHyphen/>
      </w:r>
      <w:r w:rsidRPr="000C5066">
        <w:t xml:space="preserve">mental health initiatives noted in the literature include improved accessibility, reduced costs (although start-up and research and development costs are necessary), flexibility in terms of standardization and personalisation, interactivity, and consumer engagement. </w:t>
      </w:r>
    </w:p>
    <w:p w14:paraId="1443DACA" w14:textId="77777777" w:rsidR="005A713B" w:rsidRPr="000C5066" w:rsidRDefault="005A713B" w:rsidP="005A713B">
      <w:pPr>
        <w:rPr>
          <w:b/>
          <w:bCs/>
        </w:rPr>
      </w:pPr>
      <w:r w:rsidRPr="000C5066">
        <w:t xml:space="preserve">Internationally there is </w:t>
      </w:r>
      <w:r>
        <w:t>a proliferation</w:t>
      </w:r>
      <w:r w:rsidRPr="000C5066">
        <w:t xml:space="preserve"> of digital solutions focused on wellness platforms, health and mental health applications and online technology solutions. In the </w:t>
      </w:r>
      <w:r w:rsidRPr="006E5C2F">
        <w:rPr>
          <w:i/>
        </w:rPr>
        <w:t>Health Reimagined</w:t>
      </w:r>
      <w:r w:rsidRPr="000C5066">
        <w:t xml:space="preserve"> report the authors argue</w:t>
      </w:r>
      <w:r>
        <w:t>d</w:t>
      </w:r>
      <w:r w:rsidRPr="000C5066">
        <w:t xml:space="preserve"> that ‘Connected Health’ lies at the intersection of telemedicine technologies (the use of technologies to remotely deliver health services) and telehealth technologies (consumer-oriented personal health technologies including remote monitoring, mobile health, wearables and personal devices) </w:t>
      </w:r>
      <w:r>
        <w:rPr>
          <w:noProof/>
        </w:rPr>
        <w:t>(Ernst &amp; Young, 2016)</w:t>
      </w:r>
      <w:r w:rsidRPr="000C5066">
        <w:t>.</w:t>
      </w:r>
    </w:p>
    <w:p w14:paraId="0A2D350D" w14:textId="77777777" w:rsidR="005A713B" w:rsidRPr="002857FB" w:rsidRDefault="005A713B" w:rsidP="005A713B">
      <w:pPr>
        <w:keepNext/>
        <w:keepLines/>
        <w:rPr>
          <w:bCs/>
          <w:lang w:eastAsia="en-AU"/>
        </w:rPr>
      </w:pPr>
      <w:r w:rsidRPr="000C5066">
        <w:rPr>
          <w:bCs/>
          <w:lang w:eastAsia="en-AU"/>
        </w:rPr>
        <w:t xml:space="preserve">The potential benefits for stakeholders that have been discussed in relation to participatory health approaches </w:t>
      </w:r>
      <w:r>
        <w:rPr>
          <w:bCs/>
          <w:lang w:eastAsia="en-AU"/>
        </w:rPr>
        <w:t>are set out below.</w:t>
      </w:r>
    </w:p>
    <w:tbl>
      <w:tblPr>
        <w:tblStyle w:val="TWRPTable"/>
        <w:tblW w:w="5000" w:type="pct"/>
        <w:tblLayout w:type="fixed"/>
        <w:tblLook w:val="04A0" w:firstRow="1" w:lastRow="0" w:firstColumn="1" w:lastColumn="0" w:noHBand="0" w:noVBand="1"/>
        <w:tblDescription w:val="The potential benefits for stakeholders in relation to participatory health approaches "/>
      </w:tblPr>
      <w:tblGrid>
        <w:gridCol w:w="2277"/>
        <w:gridCol w:w="2420"/>
        <w:gridCol w:w="2392"/>
      </w:tblGrid>
      <w:tr w:rsidR="005A713B" w:rsidRPr="00A7394E" w14:paraId="0A653A7F" w14:textId="77777777" w:rsidTr="008371D0">
        <w:trPr>
          <w:cnfStyle w:val="100000000000" w:firstRow="1" w:lastRow="0" w:firstColumn="0" w:lastColumn="0" w:oddVBand="0" w:evenVBand="0" w:oddHBand="0" w:evenHBand="0" w:firstRowFirstColumn="0" w:firstRowLastColumn="0" w:lastRowFirstColumn="0" w:lastRowLastColumn="0"/>
          <w:cantSplit/>
          <w:tblHeader/>
        </w:trPr>
        <w:tc>
          <w:tcPr>
            <w:tcW w:w="1606" w:type="pct"/>
          </w:tcPr>
          <w:p w14:paraId="0358FA02" w14:textId="77777777" w:rsidR="005A713B" w:rsidRPr="00A7394E" w:rsidRDefault="005A713B" w:rsidP="00A7394E">
            <w:pPr>
              <w:pStyle w:val="TableText"/>
              <w:rPr>
                <w:b w:val="0"/>
                <w:lang w:eastAsia="en-AU"/>
              </w:rPr>
            </w:pPr>
            <w:r w:rsidRPr="00A7394E">
              <w:rPr>
                <w:lang w:eastAsia="en-AU"/>
              </w:rPr>
              <w:t>People</w:t>
            </w:r>
          </w:p>
        </w:tc>
        <w:tc>
          <w:tcPr>
            <w:tcW w:w="1707" w:type="pct"/>
          </w:tcPr>
          <w:p w14:paraId="077BE0BE" w14:textId="77777777" w:rsidR="005A713B" w:rsidRPr="00A7394E" w:rsidRDefault="005A713B" w:rsidP="00A7394E">
            <w:pPr>
              <w:pStyle w:val="TableText"/>
              <w:rPr>
                <w:b w:val="0"/>
                <w:lang w:eastAsia="en-AU"/>
              </w:rPr>
            </w:pPr>
            <w:r w:rsidRPr="00A7394E">
              <w:rPr>
                <w:bCs/>
                <w:lang w:eastAsia="en-AU"/>
              </w:rPr>
              <w:t>Practitioners</w:t>
            </w:r>
          </w:p>
        </w:tc>
        <w:tc>
          <w:tcPr>
            <w:tcW w:w="1687" w:type="pct"/>
          </w:tcPr>
          <w:p w14:paraId="36698D79" w14:textId="77777777" w:rsidR="005A713B" w:rsidRPr="00A7394E" w:rsidRDefault="005A713B" w:rsidP="00A7394E">
            <w:pPr>
              <w:pStyle w:val="TableText"/>
              <w:rPr>
                <w:b w:val="0"/>
                <w:lang w:eastAsia="en-AU"/>
              </w:rPr>
            </w:pPr>
            <w:r w:rsidRPr="00A7394E">
              <w:rPr>
                <w:bCs/>
                <w:lang w:eastAsia="en-AU"/>
              </w:rPr>
              <w:t>Policy makers</w:t>
            </w:r>
          </w:p>
        </w:tc>
      </w:tr>
      <w:tr w:rsidR="005A713B" w:rsidRPr="000C5066" w14:paraId="3F7AF4EB" w14:textId="77777777" w:rsidTr="001F3926">
        <w:trPr>
          <w:cnfStyle w:val="000000100000" w:firstRow="0" w:lastRow="0" w:firstColumn="0" w:lastColumn="0" w:oddVBand="0" w:evenVBand="0" w:oddHBand="1" w:evenHBand="0" w:firstRowFirstColumn="0" w:firstRowLastColumn="0" w:lastRowFirstColumn="0" w:lastRowLastColumn="0"/>
          <w:cantSplit/>
        </w:trPr>
        <w:tc>
          <w:tcPr>
            <w:tcW w:w="1606" w:type="pct"/>
            <w:shd w:val="clear" w:color="auto" w:fill="auto"/>
          </w:tcPr>
          <w:p w14:paraId="6881BDF3" w14:textId="77777777" w:rsidR="005A713B" w:rsidRPr="000C5066" w:rsidRDefault="005A713B" w:rsidP="00A7394E">
            <w:pPr>
              <w:pStyle w:val="TableText"/>
              <w:rPr>
                <w:lang w:eastAsia="en-AU"/>
              </w:rPr>
            </w:pPr>
            <w:r w:rsidRPr="000C5066">
              <w:rPr>
                <w:lang w:eastAsia="en-AU"/>
              </w:rPr>
              <w:t>Own their own data and use it to self-manage health care</w:t>
            </w:r>
            <w:r>
              <w:rPr>
                <w:lang w:eastAsia="en-AU"/>
              </w:rPr>
              <w:t>.</w:t>
            </w:r>
          </w:p>
          <w:p w14:paraId="54610CBC" w14:textId="77777777" w:rsidR="005A713B" w:rsidRPr="000C5066" w:rsidRDefault="005A713B" w:rsidP="00A7394E">
            <w:pPr>
              <w:pStyle w:val="TableText"/>
              <w:rPr>
                <w:lang w:eastAsia="en-AU"/>
              </w:rPr>
            </w:pPr>
            <w:r w:rsidRPr="000C5066">
              <w:rPr>
                <w:lang w:eastAsia="en-AU"/>
              </w:rPr>
              <w:t>Overcome traditional barriers that limit access to mental health services (community, organisational and self-stigma, cost, geography, transport difficulties, social isolation, a lack of services)</w:t>
            </w:r>
            <w:r>
              <w:rPr>
                <w:lang w:eastAsia="en-AU"/>
              </w:rPr>
              <w:t>.</w:t>
            </w:r>
          </w:p>
          <w:p w14:paraId="2A3272FF" w14:textId="77777777" w:rsidR="005A713B" w:rsidRPr="000C5066" w:rsidRDefault="005A713B" w:rsidP="00A7394E">
            <w:pPr>
              <w:pStyle w:val="TableText"/>
              <w:rPr>
                <w:lang w:eastAsia="en-AU"/>
              </w:rPr>
            </w:pPr>
            <w:r w:rsidRPr="000C5066">
              <w:rPr>
                <w:lang w:eastAsia="en-AU"/>
              </w:rPr>
              <w:t>Provide immediate, convenient and flexible services available 24/7</w:t>
            </w:r>
            <w:r>
              <w:rPr>
                <w:lang w:eastAsia="en-AU"/>
              </w:rPr>
              <w:t>.</w:t>
            </w:r>
            <w:r w:rsidRPr="000C5066">
              <w:rPr>
                <w:lang w:eastAsia="en-AU"/>
              </w:rPr>
              <w:t xml:space="preserve"> </w:t>
            </w:r>
          </w:p>
          <w:p w14:paraId="6C726D49" w14:textId="77777777" w:rsidR="005A713B" w:rsidRPr="000C5066" w:rsidRDefault="005A713B" w:rsidP="00A7394E">
            <w:pPr>
              <w:pStyle w:val="TableText"/>
              <w:rPr>
                <w:lang w:eastAsia="en-AU"/>
              </w:rPr>
            </w:pPr>
            <w:r w:rsidRPr="000C5066">
              <w:rPr>
                <w:lang w:eastAsia="en-AU"/>
              </w:rPr>
              <w:t>Deliver confidential autonomous care</w:t>
            </w:r>
            <w:r>
              <w:rPr>
                <w:lang w:eastAsia="en-AU"/>
              </w:rPr>
              <w:t>.</w:t>
            </w:r>
          </w:p>
          <w:p w14:paraId="7CD782C0" w14:textId="77777777" w:rsidR="005A713B" w:rsidRPr="000C5066" w:rsidRDefault="005A713B" w:rsidP="00A7394E">
            <w:pPr>
              <w:pStyle w:val="TableText"/>
              <w:rPr>
                <w:lang w:eastAsia="en-AU"/>
              </w:rPr>
            </w:pPr>
            <w:r w:rsidRPr="000C5066">
              <w:rPr>
                <w:lang w:eastAsia="en-AU"/>
              </w:rPr>
              <w:t>Provide easy access to personally controlled care</w:t>
            </w:r>
            <w:r>
              <w:rPr>
                <w:lang w:eastAsia="en-AU"/>
              </w:rPr>
              <w:t>.</w:t>
            </w:r>
          </w:p>
          <w:p w14:paraId="72BFFC0E" w14:textId="77777777" w:rsidR="005A713B" w:rsidRPr="000C5066" w:rsidRDefault="005A713B" w:rsidP="00A7394E">
            <w:pPr>
              <w:pStyle w:val="TableText"/>
              <w:rPr>
                <w:lang w:eastAsia="en-AU"/>
              </w:rPr>
            </w:pPr>
            <w:r w:rsidRPr="000C5066">
              <w:rPr>
                <w:lang w:eastAsia="en-AU"/>
              </w:rPr>
              <w:t>Empower people to choose care that meets their needs, and enable them to set the pace of their care and journey to recovery</w:t>
            </w:r>
            <w:r>
              <w:rPr>
                <w:lang w:eastAsia="en-AU"/>
              </w:rPr>
              <w:t>.</w:t>
            </w:r>
            <w:r w:rsidRPr="000C5066">
              <w:rPr>
                <w:lang w:eastAsia="en-AU"/>
              </w:rPr>
              <w:t xml:space="preserve"> </w:t>
            </w:r>
          </w:p>
          <w:p w14:paraId="4A358C1D" w14:textId="77777777" w:rsidR="005A713B" w:rsidRPr="000C5066" w:rsidRDefault="005A713B" w:rsidP="00A7394E">
            <w:pPr>
              <w:pStyle w:val="TableText"/>
              <w:rPr>
                <w:lang w:eastAsia="en-AU"/>
              </w:rPr>
            </w:pPr>
            <w:r w:rsidRPr="000C5066">
              <w:rPr>
                <w:lang w:eastAsia="en-AU"/>
              </w:rPr>
              <w:t>Provide coordinated and customised treatment for people experiencing multiple mental health conditions</w:t>
            </w:r>
            <w:r>
              <w:rPr>
                <w:lang w:eastAsia="en-AU"/>
              </w:rPr>
              <w:t>.</w:t>
            </w:r>
          </w:p>
          <w:p w14:paraId="034D0516" w14:textId="77777777" w:rsidR="005A713B" w:rsidRPr="000C5066" w:rsidRDefault="005A713B" w:rsidP="00A7394E">
            <w:pPr>
              <w:pStyle w:val="TableText"/>
              <w:rPr>
                <w:lang w:eastAsia="en-AU"/>
              </w:rPr>
            </w:pPr>
            <w:r w:rsidRPr="000C5066">
              <w:rPr>
                <w:lang w:eastAsia="en-AU"/>
              </w:rPr>
              <w:t xml:space="preserve">Deliver high-quality care that is in line with best practice guidelines. </w:t>
            </w:r>
          </w:p>
        </w:tc>
        <w:tc>
          <w:tcPr>
            <w:tcW w:w="1707" w:type="pct"/>
            <w:shd w:val="clear" w:color="auto" w:fill="auto"/>
          </w:tcPr>
          <w:p w14:paraId="3CC8DA95" w14:textId="77777777" w:rsidR="005A713B" w:rsidRPr="000C5066" w:rsidRDefault="005A713B" w:rsidP="00A7394E">
            <w:pPr>
              <w:pStyle w:val="TableText"/>
              <w:rPr>
                <w:lang w:eastAsia="en-AU"/>
              </w:rPr>
            </w:pPr>
            <w:r w:rsidRPr="000C5066">
              <w:rPr>
                <w:lang w:eastAsia="en-AU"/>
              </w:rPr>
              <w:t>Reduced administrative burden on the mental health workforce</w:t>
            </w:r>
            <w:r>
              <w:rPr>
                <w:lang w:eastAsia="en-AU"/>
              </w:rPr>
              <w:t>.</w:t>
            </w:r>
          </w:p>
          <w:p w14:paraId="00766BD0" w14:textId="77777777" w:rsidR="005A713B" w:rsidRPr="000C5066" w:rsidRDefault="005A713B" w:rsidP="00A7394E">
            <w:pPr>
              <w:pStyle w:val="TableText"/>
              <w:rPr>
                <w:lang w:eastAsia="en-AU"/>
              </w:rPr>
            </w:pPr>
            <w:r w:rsidRPr="000C5066">
              <w:rPr>
                <w:lang w:eastAsia="en-AU"/>
              </w:rPr>
              <w:t>Correct allocation and utilisation of multidisciplinary skills for more complex care</w:t>
            </w:r>
            <w:r>
              <w:rPr>
                <w:lang w:eastAsia="en-AU"/>
              </w:rPr>
              <w:t>.</w:t>
            </w:r>
          </w:p>
          <w:p w14:paraId="5A12C155" w14:textId="77777777" w:rsidR="005A713B" w:rsidRPr="000C5066" w:rsidRDefault="005A713B" w:rsidP="00A7394E">
            <w:pPr>
              <w:pStyle w:val="TableText"/>
              <w:rPr>
                <w:lang w:eastAsia="en-AU"/>
              </w:rPr>
            </w:pPr>
            <w:r w:rsidRPr="000C5066">
              <w:rPr>
                <w:lang w:eastAsia="en-AU"/>
              </w:rPr>
              <w:t>Stepped</w:t>
            </w:r>
            <w:r>
              <w:rPr>
                <w:lang w:eastAsia="en-AU"/>
              </w:rPr>
              <w:t>-</w:t>
            </w:r>
            <w:r w:rsidRPr="000C5066">
              <w:rPr>
                <w:lang w:eastAsia="en-AU"/>
              </w:rPr>
              <w:t>care models to ensure the effectiveness and efficiency of face-to-face services and the role of technologies as an adjunct to care</w:t>
            </w:r>
            <w:r>
              <w:rPr>
                <w:lang w:eastAsia="en-AU"/>
              </w:rPr>
              <w:t>.</w:t>
            </w:r>
          </w:p>
          <w:p w14:paraId="1C8FD19E" w14:textId="77777777" w:rsidR="005A713B" w:rsidRPr="000C5066" w:rsidRDefault="005A713B" w:rsidP="00A7394E">
            <w:pPr>
              <w:pStyle w:val="TableText"/>
              <w:rPr>
                <w:lang w:eastAsia="en-AU"/>
              </w:rPr>
            </w:pPr>
            <w:r w:rsidRPr="000C5066">
              <w:rPr>
                <w:lang w:eastAsia="en-AU"/>
              </w:rPr>
              <w:t>Potential provision of a pathway to face-to-face care (and therefore a reduction in the reliance on crisis services)</w:t>
            </w:r>
            <w:r>
              <w:rPr>
                <w:lang w:eastAsia="en-AU"/>
              </w:rPr>
              <w:t>.</w:t>
            </w:r>
          </w:p>
          <w:p w14:paraId="54696361" w14:textId="77777777" w:rsidR="005A713B" w:rsidRPr="000C5066" w:rsidRDefault="005A713B" w:rsidP="00A7394E">
            <w:pPr>
              <w:pStyle w:val="TableText"/>
              <w:rPr>
                <w:lang w:eastAsia="en-AU"/>
              </w:rPr>
            </w:pPr>
            <w:r w:rsidRPr="000C5066">
              <w:rPr>
                <w:lang w:eastAsia="en-AU"/>
              </w:rPr>
              <w:t>Utilisation of e-learning tools and the availability of clinical practice guidelines to promote psycho</w:t>
            </w:r>
            <w:r>
              <w:rPr>
                <w:lang w:eastAsia="en-AU"/>
              </w:rPr>
              <w:t>-</w:t>
            </w:r>
            <w:r w:rsidRPr="000C5066">
              <w:rPr>
                <w:lang w:eastAsia="en-AU"/>
              </w:rPr>
              <w:t>education</w:t>
            </w:r>
            <w:r>
              <w:rPr>
                <w:lang w:eastAsia="en-AU"/>
              </w:rPr>
              <w:t>.</w:t>
            </w:r>
          </w:p>
          <w:p w14:paraId="6A1656EE" w14:textId="77777777" w:rsidR="005A713B" w:rsidRPr="000C5066" w:rsidRDefault="005A713B" w:rsidP="00A7394E">
            <w:pPr>
              <w:pStyle w:val="TableText"/>
              <w:rPr>
                <w:lang w:eastAsia="en-AU"/>
              </w:rPr>
            </w:pPr>
            <w:r w:rsidRPr="000C5066">
              <w:rPr>
                <w:lang w:eastAsia="en-AU"/>
              </w:rPr>
              <w:t>Improved access to professional education and support resources, including peer</w:t>
            </w:r>
            <w:r>
              <w:rPr>
                <w:lang w:eastAsia="en-AU"/>
              </w:rPr>
              <w:t>-</w:t>
            </w:r>
            <w:r w:rsidRPr="000C5066">
              <w:rPr>
                <w:lang w:eastAsia="en-AU"/>
              </w:rPr>
              <w:t>to</w:t>
            </w:r>
            <w:r>
              <w:rPr>
                <w:lang w:eastAsia="en-AU"/>
              </w:rPr>
              <w:t>-</w:t>
            </w:r>
            <w:r w:rsidRPr="000C5066">
              <w:rPr>
                <w:lang w:eastAsia="en-AU"/>
              </w:rPr>
              <w:t xml:space="preserve">peer professional support networks. </w:t>
            </w:r>
          </w:p>
        </w:tc>
        <w:tc>
          <w:tcPr>
            <w:tcW w:w="1687" w:type="pct"/>
            <w:shd w:val="clear" w:color="auto" w:fill="auto"/>
          </w:tcPr>
          <w:p w14:paraId="7611C85E" w14:textId="77777777" w:rsidR="005A713B" w:rsidRPr="000C5066" w:rsidRDefault="005A713B" w:rsidP="00A7394E">
            <w:pPr>
              <w:pStyle w:val="TableText"/>
              <w:rPr>
                <w:lang w:eastAsia="en-AU"/>
              </w:rPr>
            </w:pPr>
            <w:r w:rsidRPr="000C5066">
              <w:rPr>
                <w:lang w:eastAsia="en-AU"/>
              </w:rPr>
              <w:t>Data collection to ensure measurement of both efficiency and efficacy of this mode of service delivery</w:t>
            </w:r>
            <w:r>
              <w:rPr>
                <w:lang w:eastAsia="en-AU"/>
              </w:rPr>
              <w:t>.</w:t>
            </w:r>
          </w:p>
          <w:p w14:paraId="2340AB2C" w14:textId="77777777" w:rsidR="005A713B" w:rsidRPr="000C5066" w:rsidRDefault="005A713B" w:rsidP="00A7394E">
            <w:pPr>
              <w:pStyle w:val="TableText"/>
              <w:rPr>
                <w:lang w:eastAsia="en-AU"/>
              </w:rPr>
            </w:pPr>
            <w:r w:rsidRPr="000C5066">
              <w:rPr>
                <w:lang w:eastAsia="en-AU"/>
              </w:rPr>
              <w:t>Reduction in inequities in health, by targeting population groups that currently do not receive treatment, and may most benefit from services</w:t>
            </w:r>
            <w:r>
              <w:rPr>
                <w:lang w:eastAsia="en-AU"/>
              </w:rPr>
              <w:t>.</w:t>
            </w:r>
          </w:p>
          <w:p w14:paraId="02F3758E" w14:textId="77777777" w:rsidR="005A713B" w:rsidRPr="000C5066" w:rsidRDefault="005A713B" w:rsidP="00A7394E">
            <w:pPr>
              <w:pStyle w:val="TableText"/>
              <w:rPr>
                <w:lang w:eastAsia="en-AU"/>
              </w:rPr>
            </w:pPr>
            <w:r w:rsidRPr="000C5066">
              <w:rPr>
                <w:lang w:eastAsia="en-AU"/>
              </w:rPr>
              <w:t>Improved population health planning and service delivery as a result of online data collection and information management</w:t>
            </w:r>
            <w:r>
              <w:rPr>
                <w:lang w:eastAsia="en-AU"/>
              </w:rPr>
              <w:t>.</w:t>
            </w:r>
          </w:p>
          <w:p w14:paraId="50F16F66" w14:textId="77777777" w:rsidR="005A713B" w:rsidRPr="000C5066" w:rsidRDefault="005A713B" w:rsidP="00A7394E">
            <w:pPr>
              <w:pStyle w:val="TableText"/>
              <w:rPr>
                <w:lang w:eastAsia="en-AU"/>
              </w:rPr>
            </w:pPr>
            <w:r w:rsidRPr="000C5066">
              <w:rPr>
                <w:lang w:eastAsia="en-AU"/>
              </w:rPr>
              <w:t>Large</w:t>
            </w:r>
            <w:r>
              <w:rPr>
                <w:lang w:eastAsia="en-AU"/>
              </w:rPr>
              <w:t>-</w:t>
            </w:r>
            <w:r w:rsidRPr="000C5066">
              <w:rPr>
                <w:lang w:eastAsia="en-AU"/>
              </w:rPr>
              <w:t>scale naturalistic studies to ensure implementation support of a public health intervention on a mass scale.</w:t>
            </w:r>
          </w:p>
          <w:p w14:paraId="594B7957" w14:textId="77777777" w:rsidR="005A713B" w:rsidRPr="000C5066" w:rsidRDefault="005A713B" w:rsidP="00A7394E">
            <w:pPr>
              <w:pStyle w:val="TableText"/>
              <w:rPr>
                <w:lang w:eastAsia="en-AU"/>
              </w:rPr>
            </w:pPr>
          </w:p>
        </w:tc>
      </w:tr>
    </w:tbl>
    <w:p w14:paraId="6B12ADF1" w14:textId="77777777" w:rsidR="005A713B" w:rsidRPr="000C5066" w:rsidRDefault="005A713B" w:rsidP="005A713B">
      <w:pPr>
        <w:rPr>
          <w:lang w:eastAsia="en-AU"/>
        </w:rPr>
      </w:pPr>
    </w:p>
    <w:p w14:paraId="46A7D6D5" w14:textId="77777777" w:rsidR="005A713B" w:rsidRPr="00F83681" w:rsidRDefault="005A713B" w:rsidP="005A713B">
      <w:pPr>
        <w:pStyle w:val="Heading3"/>
        <w:numPr>
          <w:ilvl w:val="2"/>
          <w:numId w:val="1"/>
        </w:numPr>
      </w:pPr>
      <w:bookmarkStart w:id="70" w:name="_Toc385859300"/>
      <w:bookmarkStart w:id="71" w:name="_Toc518566332"/>
      <w:bookmarkStart w:id="72" w:name="_Toc528932632"/>
      <w:bookmarkStart w:id="73" w:name="_Toc531859169"/>
      <w:r w:rsidRPr="000C5066">
        <w:t xml:space="preserve">From </w:t>
      </w:r>
      <w:r>
        <w:t>s</w:t>
      </w:r>
      <w:r w:rsidRPr="000C5066">
        <w:t>elf-</w:t>
      </w:r>
      <w:r>
        <w:t>m</w:t>
      </w:r>
      <w:r w:rsidRPr="000C5066">
        <w:t xml:space="preserve">anagement to </w:t>
      </w:r>
      <w:r>
        <w:t>s</w:t>
      </w:r>
      <w:r w:rsidRPr="000C5066">
        <w:t xml:space="preserve">hared </w:t>
      </w:r>
      <w:r>
        <w:t>c</w:t>
      </w:r>
      <w:r w:rsidRPr="000C5066">
        <w:t>are</w:t>
      </w:r>
      <w:bookmarkEnd w:id="70"/>
      <w:bookmarkEnd w:id="71"/>
      <w:bookmarkEnd w:id="72"/>
      <w:bookmarkEnd w:id="73"/>
    </w:p>
    <w:p w14:paraId="2FE992F4" w14:textId="77777777" w:rsidR="005A713B" w:rsidRPr="000C5066" w:rsidRDefault="005A713B" w:rsidP="005A713B">
      <w:r w:rsidRPr="000C5066">
        <w:t>Technologies are likely to have maximum impact in the next decade in mental health reform if attention is given to both empowering individuals to use technologies to manage their own mental health and wellbeing and integrating digital health solutions (including online interventions) with face-to-face services in system</w:t>
      </w:r>
      <w:r>
        <w:t>-</w:t>
      </w:r>
      <w:r w:rsidRPr="000C5066">
        <w:t>wide reform. Most of the literature in peer</w:t>
      </w:r>
      <w:r>
        <w:t>-reviewed publications describes</w:t>
      </w:r>
      <w:r w:rsidRPr="000C5066">
        <w:t xml:space="preserve"> the development, implementation and evaluation of single interventions in isolation. One very important question, and an opportunity for military</w:t>
      </w:r>
      <w:r>
        <w:t>-</w:t>
      </w:r>
      <w:r w:rsidRPr="000C5066">
        <w:t>specific services</w:t>
      </w:r>
      <w:r>
        <w:t>,</w:t>
      </w:r>
      <w:r w:rsidRPr="000C5066">
        <w:t xml:space="preserve"> is</w:t>
      </w:r>
      <w:r>
        <w:t>:</w:t>
      </w:r>
      <w:r w:rsidRPr="000C5066">
        <w:t xml:space="preserve"> How can e-mental health interventions be integrated into current services? </w:t>
      </w:r>
      <w:r w:rsidRPr="005D1420">
        <w:t xml:space="preserve">Given the challenges, particularly in relation to transition from the ADF to civilian life, the seamless management of health care between and across Joint Health Command, </w:t>
      </w:r>
      <w:r w:rsidR="007155C2">
        <w:t>Open Arms – Veterans and</w:t>
      </w:r>
      <w:r w:rsidRPr="005D1420">
        <w:t xml:space="preserve"> Families Counselling and DVA provides an opportunity to implement evidence</w:t>
      </w:r>
      <w:r>
        <w:t>-</w:t>
      </w:r>
      <w:r w:rsidRPr="005D1420">
        <w:t>based digital health solutions, and to test those innovations that could make participatory health a reality for current and ex-serving personnel.</w:t>
      </w:r>
    </w:p>
    <w:p w14:paraId="2EB771DC" w14:textId="77777777" w:rsidR="005A713B" w:rsidRPr="002857FB" w:rsidRDefault="005A713B" w:rsidP="00C44855">
      <w:pPr>
        <w:pStyle w:val="Heading2"/>
      </w:pPr>
      <w:bookmarkStart w:id="74" w:name="_Toc528932633"/>
      <w:bookmarkStart w:id="75" w:name="_Toc531859170"/>
      <w:r>
        <w:t>The current study</w:t>
      </w:r>
      <w:bookmarkEnd w:id="74"/>
      <w:bookmarkEnd w:id="75"/>
    </w:p>
    <w:p w14:paraId="4E97C8E2" w14:textId="77777777" w:rsidR="005A713B" w:rsidRPr="000C5066" w:rsidRDefault="005A713B" w:rsidP="005A713B">
      <w:r w:rsidRPr="000C5066">
        <w:t xml:space="preserve">Highlighting the investment currently underway by Defence and DVA in developing digital technology, the Transition and Wellbeing Research Programme sought to gather baseline data on technology use alongside prevalence data to investigate the extent to which current and ex-serving ADF members are already utilising technology to support their health. More specifically, </w:t>
      </w:r>
      <w:r>
        <w:t>the study</w:t>
      </w:r>
      <w:r w:rsidRPr="000C5066">
        <w:t xml:space="preserve"> </w:t>
      </w:r>
      <w:r>
        <w:t>sought to investigate</w:t>
      </w:r>
      <w:r w:rsidRPr="000C5066">
        <w:t xml:space="preserve"> technology and its utility for health and mental health program</w:t>
      </w:r>
      <w:r>
        <w:t>s</w:t>
      </w:r>
      <w:r w:rsidRPr="000C5066">
        <w:t xml:space="preserve">, including implications for future health service delivery in the ADF and veteran community. </w:t>
      </w:r>
    </w:p>
    <w:p w14:paraId="30025647" w14:textId="7621EDF7" w:rsidR="005A713B" w:rsidRPr="000C5066" w:rsidRDefault="005A713B" w:rsidP="005A713B">
      <w:r w:rsidRPr="000C5066">
        <w:t xml:space="preserve">The </w:t>
      </w:r>
      <w:r w:rsidRPr="000C5066">
        <w:rPr>
          <w:i/>
        </w:rPr>
        <w:t>Pathways to Care</w:t>
      </w:r>
      <w:r w:rsidRPr="000C5066">
        <w:t xml:space="preserve"> </w:t>
      </w:r>
      <w:r w:rsidR="00477AD4" w:rsidRPr="00477AD4">
        <w:rPr>
          <w:i/>
        </w:rPr>
        <w:t>Report</w:t>
      </w:r>
      <w:r w:rsidRPr="000C5066">
        <w:t xml:space="preserve"> </w:t>
      </w:r>
      <w:r>
        <w:t>presented</w:t>
      </w:r>
      <w:r w:rsidRPr="000C5066">
        <w:t xml:space="preserve"> a very interesting picture in relation to models of service delivery. Both Transitioned ADF and the 2015 Regular ADF report</w:t>
      </w:r>
      <w:r>
        <w:t>ed</w:t>
      </w:r>
      <w:r w:rsidRPr="000C5066">
        <w:t xml:space="preserve"> an interest in, and for 30% a preference for, services delivered online. Telephone hotlines were not a preferred model of service delivery. Generally, </w:t>
      </w:r>
      <w:r>
        <w:t>Transitioned ADF and 2015 Regular ADF</w:t>
      </w:r>
      <w:r w:rsidRPr="000C5066">
        <w:t xml:space="preserve"> </w:t>
      </w:r>
      <w:r>
        <w:t>were</w:t>
      </w:r>
      <w:r w:rsidRPr="000C5066">
        <w:t xml:space="preserve"> satisfied with the DVA and ADF websites</w:t>
      </w:r>
      <w:r>
        <w:t>,</w:t>
      </w:r>
      <w:r w:rsidRPr="000C5066">
        <w:t xml:space="preserve"> with utilisation rates </w:t>
      </w:r>
      <w:r>
        <w:t>of around 40%. However, this use was</w:t>
      </w:r>
      <w:r w:rsidRPr="000C5066">
        <w:t xml:space="preserve"> about the same for other community-based websites.</w:t>
      </w:r>
      <w:r>
        <w:t xml:space="preserve"> S</w:t>
      </w:r>
      <w:r w:rsidRPr="000C5066">
        <w:t xml:space="preserve">pecific tailored interventions that </w:t>
      </w:r>
      <w:r>
        <w:t>were</w:t>
      </w:r>
      <w:r w:rsidRPr="000C5066">
        <w:t xml:space="preserve"> not defence</w:t>
      </w:r>
      <w:r>
        <w:t>-</w:t>
      </w:r>
      <w:r w:rsidRPr="000C5066">
        <w:t xml:space="preserve"> or veteran</w:t>
      </w:r>
      <w:r>
        <w:t>-</w:t>
      </w:r>
      <w:r w:rsidRPr="000C5066">
        <w:t>specific were poorly used. The reported use of mobile phone applications by those with a probable 30-day mental health disorder was low</w:t>
      </w:r>
      <w:r>
        <w:t xml:space="preserve"> </w:t>
      </w:r>
      <w:r>
        <w:rPr>
          <w:noProof/>
        </w:rPr>
        <w:t>(</w:t>
      </w:r>
      <w:r w:rsidR="008B4128">
        <w:rPr>
          <w:noProof/>
        </w:rPr>
        <w:t>Forbes et al. 2018</w:t>
      </w:r>
      <w:r>
        <w:rPr>
          <w:noProof/>
        </w:rPr>
        <w:t>)</w:t>
      </w:r>
      <w:r>
        <w:t xml:space="preserve">. </w:t>
      </w:r>
      <w:r w:rsidRPr="000C5066">
        <w:t>This is surprising given that adoption of technology within the Australian community and worldwide is high and growing every year.</w:t>
      </w:r>
      <w:r>
        <w:t xml:space="preserve"> </w:t>
      </w:r>
    </w:p>
    <w:p w14:paraId="64B4A2E7" w14:textId="77777777" w:rsidR="005A713B" w:rsidRPr="002857FB" w:rsidRDefault="005A713B" w:rsidP="00A7394E">
      <w:r w:rsidRPr="000C5066">
        <w:t>Thi</w:t>
      </w:r>
      <w:r>
        <w:t>s report therefore explores</w:t>
      </w:r>
      <w:r w:rsidRPr="000C5066">
        <w:t xml:space="preserve"> in more detail the use of technology and its role in supporting mental health and wellbeing</w:t>
      </w:r>
      <w:r>
        <w:t>,</w:t>
      </w:r>
      <w:r w:rsidRPr="000C5066">
        <w:t xml:space="preserve"> ranging from information provision right through to its role in supporting care. We aim to use the Transition and We</w:t>
      </w:r>
      <w:r>
        <w:t>llbeing Research Programme data</w:t>
      </w:r>
      <w:r w:rsidRPr="000C5066">
        <w:t xml:space="preserve"> to inform policy and the ongoing development of programs and practice, as well as ensuring that gains can be made by leveraging this rapidly developing medium.</w:t>
      </w:r>
      <w:r>
        <w:t xml:space="preserve"> It is worth stating again that the data in this report was collected in 2015.</w:t>
      </w:r>
    </w:p>
    <w:p w14:paraId="00DA7235" w14:textId="77777777" w:rsidR="005A713B" w:rsidRPr="00F83681" w:rsidRDefault="005A713B" w:rsidP="00A7394E">
      <w:pPr>
        <w:pStyle w:val="Heading3"/>
      </w:pPr>
      <w:bookmarkStart w:id="76" w:name="_Toc509917405"/>
      <w:bookmarkStart w:id="77" w:name="_Toc385859308"/>
      <w:bookmarkStart w:id="78" w:name="_Toc518566334"/>
      <w:bookmarkStart w:id="79" w:name="_Toc528932634"/>
      <w:bookmarkStart w:id="80" w:name="_Toc531859171"/>
      <w:r w:rsidRPr="000C5066">
        <w:t>Outline and interpretation of this report</w:t>
      </w:r>
      <w:bookmarkEnd w:id="76"/>
      <w:bookmarkEnd w:id="77"/>
      <w:bookmarkEnd w:id="78"/>
      <w:bookmarkEnd w:id="79"/>
      <w:bookmarkEnd w:id="80"/>
    </w:p>
    <w:p w14:paraId="575BF926" w14:textId="5430DC4F" w:rsidR="005A713B" w:rsidRPr="00A73254" w:rsidRDefault="005A713B" w:rsidP="005A713B">
      <w:pPr>
        <w:rPr>
          <w:lang w:eastAsia="en-AU"/>
        </w:rPr>
      </w:pPr>
      <w:r w:rsidRPr="00A459A0">
        <w:rPr>
          <w:lang w:eastAsia="en-AU"/>
        </w:rPr>
        <w:t>Following this introductory chapter, a short summary of the methodology specif</w:t>
      </w:r>
      <w:r>
        <w:rPr>
          <w:lang w:eastAsia="en-AU"/>
        </w:rPr>
        <w:t>ic</w:t>
      </w:r>
      <w:r w:rsidRPr="00A459A0">
        <w:rPr>
          <w:lang w:eastAsia="en-AU"/>
        </w:rPr>
        <w:t xml:space="preserve"> to the current report is provided (</w:t>
      </w:r>
      <w:r w:rsidR="00484303">
        <w:rPr>
          <w:lang w:eastAsia="en-AU"/>
        </w:rPr>
        <w:t>C</w:t>
      </w:r>
      <w:r w:rsidRPr="00A459A0">
        <w:rPr>
          <w:lang w:eastAsia="en-AU"/>
        </w:rPr>
        <w:t>hapter 2).</w:t>
      </w:r>
      <w:r>
        <w:rPr>
          <w:lang w:eastAsia="en-AU"/>
        </w:rPr>
        <w:t xml:space="preserve"> </w:t>
      </w:r>
      <w:r w:rsidRPr="00A73254">
        <w:rPr>
          <w:lang w:eastAsia="en-AU"/>
        </w:rPr>
        <w:t>Chapter 3 describes the demographic characteristics of the populations included in the subsequent analyses</w:t>
      </w:r>
      <w:r>
        <w:rPr>
          <w:lang w:eastAsia="en-AU"/>
        </w:rPr>
        <w:t xml:space="preserve"> – </w:t>
      </w:r>
      <w:r w:rsidRPr="00A73254">
        <w:rPr>
          <w:lang w:eastAsia="en-AU"/>
        </w:rPr>
        <w:t>the Transitioned ADF and the 2015 Regular ADF</w:t>
      </w:r>
      <w:r>
        <w:rPr>
          <w:lang w:eastAsia="en-AU"/>
        </w:rPr>
        <w:t xml:space="preserve"> –</w:t>
      </w:r>
      <w:r w:rsidRPr="00A73254">
        <w:rPr>
          <w:lang w:eastAsia="en-AU"/>
        </w:rPr>
        <w:t xml:space="preserve"> followed by a summary of key circumstances surrounding transition for the Transitioned ADF only. </w:t>
      </w:r>
    </w:p>
    <w:p w14:paraId="7E7212D9" w14:textId="77777777" w:rsidR="005A713B" w:rsidRDefault="005A713B" w:rsidP="005A713B">
      <w:pPr>
        <w:rPr>
          <w:lang w:eastAsia="en-AU"/>
        </w:rPr>
      </w:pPr>
      <w:r w:rsidRPr="000C5066">
        <w:t xml:space="preserve">Chapter 4 </w:t>
      </w:r>
      <w:r w:rsidRPr="000C5066">
        <w:rPr>
          <w:lang w:eastAsia="en-AU"/>
        </w:rPr>
        <w:t xml:space="preserve">describes and compares </w:t>
      </w:r>
      <w:r>
        <w:rPr>
          <w:lang w:eastAsia="en-AU"/>
        </w:rPr>
        <w:t>internet</w:t>
      </w:r>
      <w:r w:rsidRPr="000C5066">
        <w:rPr>
          <w:lang w:eastAsia="en-AU"/>
        </w:rPr>
        <w:t xml:space="preserve"> usage patterns</w:t>
      </w:r>
      <w:r>
        <w:rPr>
          <w:lang w:eastAsia="en-AU"/>
        </w:rPr>
        <w:t xml:space="preserve"> and</w:t>
      </w:r>
      <w:r w:rsidRPr="000C5066">
        <w:rPr>
          <w:lang w:eastAsia="en-AU"/>
        </w:rPr>
        <w:t xml:space="preserve"> attitudes towards online communication, and </w:t>
      </w:r>
      <w:r>
        <w:rPr>
          <w:lang w:eastAsia="en-AU"/>
        </w:rPr>
        <w:t>explores the relationship between internet use, attitudes and probable disorder.</w:t>
      </w:r>
    </w:p>
    <w:p w14:paraId="794A17A6" w14:textId="77777777" w:rsidR="005A713B" w:rsidRPr="000C5066" w:rsidRDefault="005A713B" w:rsidP="005A713B">
      <w:pPr>
        <w:rPr>
          <w:lang w:eastAsia="en-AU"/>
        </w:rPr>
      </w:pPr>
      <w:r>
        <w:rPr>
          <w:lang w:eastAsia="en-AU"/>
        </w:rPr>
        <w:t xml:space="preserve">Chapter 5 describes </w:t>
      </w:r>
      <w:r w:rsidRPr="000C5066">
        <w:rPr>
          <w:lang w:eastAsia="en-AU"/>
        </w:rPr>
        <w:t xml:space="preserve">the use of new and emerging technologies among the Transitioned ADF and the 2015 Regular ADF. Chapter </w:t>
      </w:r>
      <w:r>
        <w:rPr>
          <w:lang w:eastAsia="en-AU"/>
        </w:rPr>
        <w:t>5</w:t>
      </w:r>
      <w:r w:rsidRPr="000C5066">
        <w:rPr>
          <w:lang w:eastAsia="en-AU"/>
        </w:rPr>
        <w:t xml:space="preserve"> also breaks down these factors by probable disorder (and no probable disorder) for the two populations. </w:t>
      </w:r>
    </w:p>
    <w:p w14:paraId="2A7A2F38" w14:textId="77777777" w:rsidR="005A713B" w:rsidRPr="000C5066" w:rsidRDefault="005A713B" w:rsidP="005A713B">
      <w:pPr>
        <w:rPr>
          <w:rFonts w:cs="Calibri"/>
        </w:rPr>
      </w:pPr>
      <w:r w:rsidRPr="000C5066">
        <w:rPr>
          <w:lang w:eastAsia="en-AU"/>
        </w:rPr>
        <w:t xml:space="preserve">Chapter </w:t>
      </w:r>
      <w:r>
        <w:rPr>
          <w:lang w:eastAsia="en-AU"/>
        </w:rPr>
        <w:t>6</w:t>
      </w:r>
      <w:r w:rsidRPr="000C5066">
        <w:rPr>
          <w:lang w:eastAsia="en-AU"/>
        </w:rPr>
        <w:t xml:space="preserve"> examines the estimated proportion of Transitioned ADF and 2015 Regular ADF </w:t>
      </w:r>
      <w:r w:rsidRPr="000C5066">
        <w:rPr>
          <w:rFonts w:cs="Calibri"/>
        </w:rPr>
        <w:t xml:space="preserve">who reported using the </w:t>
      </w:r>
      <w:r>
        <w:rPr>
          <w:rFonts w:cs="Calibri"/>
        </w:rPr>
        <w:t>internet</w:t>
      </w:r>
      <w:r w:rsidRPr="000C5066">
        <w:rPr>
          <w:rFonts w:cs="Calibri"/>
        </w:rPr>
        <w:t xml:space="preserve"> to seek help, look for information or manage mental health issues more broadly</w:t>
      </w:r>
      <w:r>
        <w:rPr>
          <w:rFonts w:cs="Calibri"/>
        </w:rPr>
        <w:t xml:space="preserve"> –</w:t>
      </w:r>
      <w:r w:rsidRPr="000C5066">
        <w:rPr>
          <w:rFonts w:cs="Calibri"/>
        </w:rPr>
        <w:t xml:space="preserve"> not necessarily in relation to their own mental health.</w:t>
      </w:r>
    </w:p>
    <w:p w14:paraId="2C72512F" w14:textId="77777777" w:rsidR="005A713B" w:rsidRPr="000C5066" w:rsidRDefault="005A713B" w:rsidP="005A713B">
      <w:pPr>
        <w:rPr>
          <w:rFonts w:eastAsia="SimSun" w:cs="Calibri"/>
        </w:rPr>
      </w:pPr>
      <w:r w:rsidRPr="000C5066">
        <w:rPr>
          <w:lang w:eastAsia="en-AU"/>
        </w:rPr>
        <w:t>Chapter</w:t>
      </w:r>
      <w:r>
        <w:rPr>
          <w:lang w:eastAsia="en-AU"/>
        </w:rPr>
        <w:t xml:space="preserve"> 7</w:t>
      </w:r>
      <w:r w:rsidRPr="000C5066">
        <w:rPr>
          <w:lang w:eastAsia="en-AU"/>
        </w:rPr>
        <w:t xml:space="preserve"> </w:t>
      </w:r>
      <w:r w:rsidRPr="000C5066">
        <w:rPr>
          <w:rFonts w:eastAsia="SimSun" w:cs="Calibri"/>
        </w:rPr>
        <w:t xml:space="preserve">explores the use of the </w:t>
      </w:r>
      <w:r>
        <w:rPr>
          <w:rFonts w:eastAsia="SimSun" w:cs="Calibri"/>
        </w:rPr>
        <w:t>internet</w:t>
      </w:r>
      <w:r w:rsidRPr="000C5066">
        <w:rPr>
          <w:rFonts w:eastAsia="SimSun" w:cs="Calibri"/>
        </w:rPr>
        <w:t xml:space="preserve"> specifically for one’s </w:t>
      </w:r>
      <w:r w:rsidRPr="00E047E4">
        <w:rPr>
          <w:rFonts w:eastAsia="SimSun" w:cs="Calibri"/>
          <w:i/>
        </w:rPr>
        <w:t>own</w:t>
      </w:r>
      <w:r w:rsidRPr="000C5066">
        <w:rPr>
          <w:rFonts w:eastAsia="SimSun" w:cs="Calibri"/>
        </w:rPr>
        <w:t xml:space="preserve"> mental health among those who reported using the </w:t>
      </w:r>
      <w:r>
        <w:rPr>
          <w:rFonts w:eastAsia="SimSun" w:cs="Calibri"/>
        </w:rPr>
        <w:t>internet</w:t>
      </w:r>
      <w:r w:rsidRPr="000C5066">
        <w:rPr>
          <w:rFonts w:eastAsia="SimSun" w:cs="Calibri"/>
        </w:rPr>
        <w:t xml:space="preserve"> to seek help or assistance for mental health more broadly.</w:t>
      </w:r>
    </w:p>
    <w:p w14:paraId="38A149BF" w14:textId="77777777" w:rsidR="005A713B" w:rsidRPr="000C5066" w:rsidRDefault="005A713B" w:rsidP="005A713B">
      <w:r w:rsidRPr="000C5066">
        <w:rPr>
          <w:rFonts w:eastAsia="SimSun" w:cs="Calibri"/>
        </w:rPr>
        <w:t xml:space="preserve">Chapter </w:t>
      </w:r>
      <w:r>
        <w:rPr>
          <w:rFonts w:eastAsia="SimSun" w:cs="Calibri"/>
        </w:rPr>
        <w:t>8</w:t>
      </w:r>
      <w:r w:rsidRPr="000C5066">
        <w:rPr>
          <w:rFonts w:eastAsia="SimSun" w:cs="Calibri"/>
        </w:rPr>
        <w:t xml:space="preserve"> explores barriers that may exist in relation to</w:t>
      </w:r>
      <w:r w:rsidRPr="000C5066">
        <w:t xml:space="preserve"> talking about mental health online for Transitioned ADF and 2015 Regular ADF.</w:t>
      </w:r>
      <w:r>
        <w:t xml:space="preserve"> </w:t>
      </w:r>
    </w:p>
    <w:p w14:paraId="1E96FDC7" w14:textId="77777777" w:rsidR="005A713B" w:rsidRPr="000C5066" w:rsidRDefault="005A713B" w:rsidP="005A713B">
      <w:pPr>
        <w:rPr>
          <w:rFonts w:cs="Calibri"/>
        </w:rPr>
      </w:pPr>
      <w:r w:rsidRPr="000C5066">
        <w:t xml:space="preserve">Chapter </w:t>
      </w:r>
      <w:r>
        <w:t>9</w:t>
      </w:r>
      <w:r w:rsidRPr="000C5066">
        <w:rPr>
          <w:b/>
        </w:rPr>
        <w:t xml:space="preserve"> </w:t>
      </w:r>
      <w:r w:rsidRPr="000C5066">
        <w:rPr>
          <w:rFonts w:cs="Calibri"/>
        </w:rPr>
        <w:t xml:space="preserve">examines the use of the </w:t>
      </w:r>
      <w:r>
        <w:rPr>
          <w:rFonts w:cs="Calibri"/>
        </w:rPr>
        <w:t>internet</w:t>
      </w:r>
      <w:r w:rsidRPr="000C5066">
        <w:rPr>
          <w:rFonts w:cs="Calibri"/>
        </w:rPr>
        <w:t xml:space="preserve"> in general, as well as specific Defence and DVA websites and helplines, to assist in the management of mental health </w:t>
      </w:r>
      <w:r>
        <w:rPr>
          <w:rFonts w:cs="Calibri"/>
        </w:rPr>
        <w:t>among Transitioned ADF and 2015 Regular ADF</w:t>
      </w:r>
      <w:r w:rsidRPr="000C5066">
        <w:rPr>
          <w:rFonts w:cs="Calibri"/>
        </w:rPr>
        <w:t xml:space="preserve">. First, their use is considered in relation to probable 30-day mental disorder, </w:t>
      </w:r>
      <w:r w:rsidR="007155C2">
        <w:rPr>
          <w:rFonts w:cs="Calibri"/>
        </w:rPr>
        <w:t>subsyndromal</w:t>
      </w:r>
      <w:r w:rsidRPr="000C5066">
        <w:rPr>
          <w:rFonts w:cs="Calibri"/>
        </w:rPr>
        <w:t xml:space="preserve"> mental health symptoms and no disorder/symptoms, using a range of measures including posttraumatic stress disorder, psychological distress, alcohol use, depression, suicide and anxiety. This is followed by a focused examination of their use among those with </w:t>
      </w:r>
      <w:r>
        <w:rPr>
          <w:rFonts w:cs="Calibri"/>
        </w:rPr>
        <w:t xml:space="preserve">a </w:t>
      </w:r>
      <w:r w:rsidRPr="000C5066">
        <w:rPr>
          <w:rFonts w:cs="Calibri"/>
        </w:rPr>
        <w:t>probable mental disorder, according to the presence or absence of stigmas and barriers to care.</w:t>
      </w:r>
    </w:p>
    <w:p w14:paraId="21928985" w14:textId="700A7465" w:rsidR="005A713B" w:rsidRPr="000C5066" w:rsidRDefault="005A713B" w:rsidP="005A713B">
      <w:pPr>
        <w:rPr>
          <w:rFonts w:cs="Calibri"/>
        </w:rPr>
      </w:pPr>
      <w:r w:rsidRPr="000C5066">
        <w:rPr>
          <w:rFonts w:cs="Calibri"/>
        </w:rPr>
        <w:t xml:space="preserve">Finally, </w:t>
      </w:r>
      <w:r w:rsidR="00484303">
        <w:rPr>
          <w:rFonts w:cs="Calibri"/>
        </w:rPr>
        <w:t>C</w:t>
      </w:r>
      <w:r w:rsidRPr="000C5066">
        <w:rPr>
          <w:rFonts w:cs="Calibri"/>
        </w:rPr>
        <w:t xml:space="preserve">hapter </w:t>
      </w:r>
      <w:r>
        <w:rPr>
          <w:rFonts w:cs="Calibri"/>
        </w:rPr>
        <w:t>10</w:t>
      </w:r>
      <w:r w:rsidRPr="000C5066">
        <w:rPr>
          <w:rFonts w:cs="Calibri"/>
        </w:rPr>
        <w:t xml:space="preserve"> examines the use of technologies for mental health support for Transitioned ADF compared to a younger civilian cohort. </w:t>
      </w:r>
    </w:p>
    <w:p w14:paraId="0DB27F13" w14:textId="77777777" w:rsidR="005A713B" w:rsidRPr="00D4741B" w:rsidRDefault="005A713B" w:rsidP="005A713B">
      <w:pPr>
        <w:pStyle w:val="ShadedBoxTitle"/>
      </w:pPr>
      <w:r w:rsidRPr="00D4741B">
        <w:t>How to interpret and discuss the findings in this report</w:t>
      </w:r>
    </w:p>
    <w:p w14:paraId="13C1A185" w14:textId="77777777" w:rsidR="005A713B" w:rsidRPr="00953420" w:rsidRDefault="005A713B" w:rsidP="005A713B">
      <w:pPr>
        <w:pStyle w:val="ShadedBoxSubheading"/>
      </w:pPr>
      <w:r w:rsidRPr="00953420">
        <w:t>Weighted prevalence estimates:</w:t>
      </w:r>
    </w:p>
    <w:p w14:paraId="065E25D7" w14:textId="77777777" w:rsidR="005A713B" w:rsidRPr="00D4741B" w:rsidRDefault="005A713B" w:rsidP="00A01AA0">
      <w:pPr>
        <w:pStyle w:val="ShadedBullet"/>
        <w:keepNext/>
      </w:pPr>
      <w:r w:rsidRPr="00D4741B">
        <w:t xml:space="preserve">Where the report talks about prevalence estimates, it is referring to the </w:t>
      </w:r>
      <w:r w:rsidRPr="00D4741B">
        <w:rPr>
          <w:i/>
          <w:u w:val="single"/>
        </w:rPr>
        <w:t>estimated</w:t>
      </w:r>
      <w:r w:rsidRPr="00D4741B">
        <w:t xml:space="preserve"> rates of a particular outcome within the entire population or subpopulation. It is important to understand that these are estimates. These estimates represent the proportion of cases we would predict to observe in the total population, based on the proportion of actual cases detected in the subpopulation who completed the outcome measure. </w:t>
      </w:r>
    </w:p>
    <w:p w14:paraId="64DE5742" w14:textId="77777777" w:rsidR="005A713B" w:rsidRPr="00D4741B" w:rsidRDefault="005A713B" w:rsidP="00A01AA0">
      <w:pPr>
        <w:pStyle w:val="ShadedBullet"/>
        <w:keepNext/>
      </w:pPr>
      <w:r w:rsidRPr="00D4741B">
        <w:t xml:space="preserve">When considering prevalence estimates, </w:t>
      </w:r>
      <w:r w:rsidRPr="00D4741B">
        <w:rPr>
          <w:u w:val="single"/>
        </w:rPr>
        <w:t>estimated proportions</w:t>
      </w:r>
      <w:r w:rsidRPr="00D4741B">
        <w:t xml:space="preserve"> are more informative than </w:t>
      </w:r>
      <w:r w:rsidRPr="00D4741B">
        <w:rPr>
          <w:u w:val="single"/>
        </w:rPr>
        <w:t>estimated numbers</w:t>
      </w:r>
      <w:r w:rsidRPr="00D4741B">
        <w:t>.</w:t>
      </w:r>
    </w:p>
    <w:p w14:paraId="40C67AFC" w14:textId="186202EC" w:rsidR="005A713B" w:rsidRPr="00D4741B" w:rsidRDefault="005A713B" w:rsidP="00133458">
      <w:pPr>
        <w:pStyle w:val="ShadedBullet"/>
      </w:pPr>
      <w:r w:rsidRPr="00D4741B">
        <w:t xml:space="preserve">While results in this report were weighted to represent the total population, this weighting was performed on the basis of four key variables: sex, rank, </w:t>
      </w:r>
      <w:r w:rsidR="00C21122">
        <w:t>s</w:t>
      </w:r>
      <w:r w:rsidRPr="00D4741B">
        <w:t>ervice (Navy, Army or Air Force) and medical fitness. This assumes a general consistency across individuals with each combination of</w:t>
      </w:r>
      <w:r>
        <w:t xml:space="preserve"> these characteristics (strata)</w:t>
      </w:r>
      <w:r w:rsidRPr="00D4741B">
        <w:t xml:space="preserve"> and does not account for individual differences or other factors that may influence the outcomes of interest.</w:t>
      </w:r>
    </w:p>
    <w:p w14:paraId="1968E0A1" w14:textId="77777777" w:rsidR="005A713B" w:rsidRPr="00D4741B" w:rsidRDefault="005A713B" w:rsidP="00133458">
      <w:pPr>
        <w:pStyle w:val="ShadedBullet"/>
      </w:pPr>
      <w:r w:rsidRPr="00D4741B">
        <w:t xml:space="preserve">The relatively low response rates observed in the study mean that the weighted estimates presented may have a lower level of accuracy, with estimates more highly dependent on the characteristics used for weighting. </w:t>
      </w:r>
    </w:p>
    <w:p w14:paraId="677E341D" w14:textId="77777777" w:rsidR="005A713B" w:rsidRPr="00D4741B" w:rsidRDefault="005A713B" w:rsidP="00133458">
      <w:pPr>
        <w:pStyle w:val="ShadedBullet"/>
      </w:pPr>
      <w:r w:rsidRPr="00D4741B">
        <w:t xml:space="preserve">Estimates for subpopulations (strata) with higher response rates more accurately represent those subpopulations than those with lower response rates. </w:t>
      </w:r>
    </w:p>
    <w:p w14:paraId="6FA21C24" w14:textId="77777777" w:rsidR="005A713B" w:rsidRPr="00D4741B" w:rsidRDefault="005A713B" w:rsidP="00133458">
      <w:pPr>
        <w:pStyle w:val="ShadedBullet"/>
      </w:pPr>
      <w:r w:rsidRPr="00D4741B">
        <w:t xml:space="preserve">The subpopulations (strata) used for weighting in this </w:t>
      </w:r>
      <w:r>
        <w:t>report are presented in Tables C.2, C.3 and C</w:t>
      </w:r>
      <w:r w:rsidRPr="00D4741B">
        <w:t xml:space="preserve">.4. These tables show how many individuals within the population each responder represents for each stratum. The higher this number, the more caution should be applied in interpreting the associated estimates. </w:t>
      </w:r>
    </w:p>
    <w:p w14:paraId="391E8897" w14:textId="77777777" w:rsidR="005A713B" w:rsidRPr="00D4741B" w:rsidRDefault="005A713B" w:rsidP="00133458">
      <w:pPr>
        <w:pStyle w:val="ShadedBullet"/>
        <w:rPr>
          <w:lang w:eastAsia="en-AU"/>
        </w:rPr>
      </w:pPr>
      <w:r w:rsidRPr="00D4741B">
        <w:rPr>
          <w:lang w:eastAsia="en-AU"/>
        </w:rPr>
        <w:t xml:space="preserve">Where an outcome is relatively rare and is detected at a high rate in individuals who share characteristics with a large proportion of the population (such as Other Ranks), the estimated proportion of the entire population predicted to have achieved that outcome should be greater than the proportion of cases detected. </w:t>
      </w:r>
    </w:p>
    <w:p w14:paraId="636AD7E7" w14:textId="77777777" w:rsidR="005A713B" w:rsidRPr="00D4741B" w:rsidRDefault="005A713B" w:rsidP="00133458">
      <w:pPr>
        <w:pStyle w:val="ShadedBullet"/>
        <w:rPr>
          <w:lang w:eastAsia="en-AU"/>
        </w:rPr>
      </w:pPr>
      <w:r w:rsidRPr="00D4741B">
        <w:rPr>
          <w:lang w:eastAsia="en-AU"/>
        </w:rPr>
        <w:t xml:space="preserve">Where an outcome is relatively common and is detected at a high rate in those who share characteristics with a small proportion of the population, the estimated proportion of the total population predicted to have achieved that outcome should be lower than the proportion of cases detected. </w:t>
      </w:r>
    </w:p>
    <w:p w14:paraId="14E9AAF6" w14:textId="77777777" w:rsidR="005A713B" w:rsidRPr="00D4741B" w:rsidRDefault="005A713B" w:rsidP="00133458">
      <w:pPr>
        <w:pStyle w:val="ShadedBullet"/>
        <w:rPr>
          <w:lang w:eastAsia="en-AU"/>
        </w:rPr>
      </w:pPr>
      <w:r w:rsidRPr="00D4741B">
        <w:rPr>
          <w:lang w:eastAsia="en-AU"/>
        </w:rPr>
        <w:t>To interpret the precision or imprecision of a given estimate, readers might consider additional information supplied with the estimates, such as confidence intervals.</w:t>
      </w:r>
    </w:p>
    <w:p w14:paraId="63506460" w14:textId="77777777" w:rsidR="005A713B" w:rsidRPr="00D4741B" w:rsidRDefault="005A713B" w:rsidP="005A713B">
      <w:pPr>
        <w:pStyle w:val="ShadedBoxText"/>
        <w:rPr>
          <w:lang w:eastAsia="en-AU"/>
        </w:rPr>
      </w:pPr>
      <w:r w:rsidRPr="00D4741B">
        <w:rPr>
          <w:b/>
          <w:lang w:eastAsia="en-AU"/>
        </w:rPr>
        <w:t>Confidence intervals:</w:t>
      </w:r>
      <w:r w:rsidRPr="00D4741B">
        <w:rPr>
          <w:lang w:eastAsia="en-AU"/>
        </w:rPr>
        <w:t xml:space="preserve"> These represent the possible range of values within which the presented estimate falls. Where the value of interest is a prevalence estimate, confidence intervals show the range of error in the estimate. In general, confidence intervals that are very close to the estimate value indicate that the estimate is more precise, while very wide confidence intervals suggest that the estimate is imprecise. Where there are wide confidence intervals, associated estimates should be interpreted cautiously, and the upper and lower limits should be considered the top and bottom range of possible precise values. </w:t>
      </w:r>
    </w:p>
    <w:p w14:paraId="1E279BE1" w14:textId="77777777" w:rsidR="005A713B" w:rsidRPr="00D4741B" w:rsidRDefault="005A713B" w:rsidP="005A713B">
      <w:pPr>
        <w:pStyle w:val="ShadedBoxText"/>
        <w:rPr>
          <w:lang w:eastAsia="en-AU"/>
        </w:rPr>
      </w:pPr>
      <w:r w:rsidRPr="00D4741B">
        <w:rPr>
          <w:b/>
          <w:lang w:eastAsia="en-AU"/>
        </w:rPr>
        <w:t>Standard errors:</w:t>
      </w:r>
      <w:r w:rsidRPr="00D4741B">
        <w:rPr>
          <w:lang w:eastAsia="en-AU"/>
        </w:rPr>
        <w:t xml:space="preserve"> Like confidence intervals, standard errors indicate the range of error in an average score. </w:t>
      </w:r>
    </w:p>
    <w:p w14:paraId="7093DAE1" w14:textId="77777777" w:rsidR="005A713B" w:rsidRPr="00D4741B" w:rsidRDefault="005A713B" w:rsidP="005A713B">
      <w:pPr>
        <w:pStyle w:val="ShadedBoxText"/>
        <w:rPr>
          <w:lang w:eastAsia="en-AU"/>
        </w:rPr>
      </w:pPr>
      <w:r w:rsidRPr="00D4741B">
        <w:rPr>
          <w:b/>
          <w:lang w:eastAsia="en-AU"/>
        </w:rPr>
        <w:t>Between-group comparisons:</w:t>
      </w:r>
      <w:r w:rsidRPr="00D4741B">
        <w:rPr>
          <w:lang w:eastAsia="en-AU"/>
        </w:rPr>
        <w:t xml:space="preserve"> Where comparing prevalence estimates between groups, the overlap in confidence intervals provides an indication of between-group differences. Where there is significant overlap, any apparent difference in estimates is more likely to reflect an error in measurement or estimate. In general, the smaller the subpopulation of interest the greater the error, so where a stratification variable has a very small number in some categories, estimates are likely to have large associated confidence intervals or standard errors.</w:t>
      </w:r>
    </w:p>
    <w:p w14:paraId="7340E943" w14:textId="77777777" w:rsidR="005A713B" w:rsidRPr="00D4741B" w:rsidRDefault="005A713B" w:rsidP="005A713B">
      <w:pPr>
        <w:pStyle w:val="ShadedBoxText"/>
        <w:rPr>
          <w:lang w:eastAsia="en-AU"/>
        </w:rPr>
      </w:pPr>
      <w:r w:rsidRPr="00D95C05">
        <w:rPr>
          <w:b/>
          <w:lang w:eastAsia="en-AU"/>
        </w:rPr>
        <w:t>Using mean differences in proportions for between-group comparisons (for Chapter 10):</w:t>
      </w:r>
      <w:r>
        <w:rPr>
          <w:lang w:eastAsia="en-AU"/>
        </w:rPr>
        <w:t xml:space="preserve"> Within Chapter 10, where standardised estimates for a younger civilian cohort were compared with Transitioned ADF estimates, the mean differences in proportions (along with their associated standard error and confidence intervals) were calculated. Significant differences were identified by mean difference confidence intervals that did not span zero (i.e. due to measurement and/or sampling error, the mean difference in proportions between the two groups could plausibly be zero). </w:t>
      </w:r>
    </w:p>
    <w:p w14:paraId="1C41B58A" w14:textId="6BE8253A" w:rsidR="005A713B" w:rsidRPr="00D4741B" w:rsidRDefault="005A713B" w:rsidP="005A713B">
      <w:pPr>
        <w:pStyle w:val="ShadedBoxText"/>
        <w:rPr>
          <w:lang w:eastAsia="en-AU"/>
        </w:rPr>
      </w:pPr>
      <w:r w:rsidRPr="00D4741B">
        <w:rPr>
          <w:b/>
          <w:lang w:eastAsia="en-AU"/>
        </w:rPr>
        <w:t>Odds ratios (ORs):</w:t>
      </w:r>
      <w:r w:rsidRPr="00D4741B">
        <w:rPr>
          <w:lang w:eastAsia="en-AU"/>
        </w:rPr>
        <w:t xml:space="preserve"> When estimating the prevalence of a particular health outcome there could be differences in the prevalence rates between two groups (for example, between 2015 Regular ADF and Transitioned ADF). This could be due to differences in factors other than transition status – such as sex, age, </w:t>
      </w:r>
      <w:r w:rsidR="00213A58">
        <w:rPr>
          <w:lang w:eastAsia="en-AU"/>
        </w:rPr>
        <w:t>s</w:t>
      </w:r>
      <w:r w:rsidRPr="00D4741B">
        <w:rPr>
          <w:lang w:eastAsia="en-AU"/>
        </w:rPr>
        <w:t xml:space="preserve">ervice or rank – across the comparison groups, particularly if these other factors are associated with the health outcome. If this is true, these factors potentially confound the findings. One way to address this is to employ a logistic regression model that controls (adjusts for) these factors. The statistical output from a logistic regression model is an odds ratio (OR), which denotes the odds of a particular group (such as Transitioned ADF) having a particular health outcome compared to a reference group (such as 2015 Regular ADF). </w:t>
      </w:r>
    </w:p>
    <w:p w14:paraId="1FDE2EE6" w14:textId="77777777" w:rsidR="005A713B" w:rsidRPr="00D4741B" w:rsidRDefault="005A713B" w:rsidP="005A713B">
      <w:pPr>
        <w:pStyle w:val="ShadedBoxText"/>
        <w:rPr>
          <w:lang w:eastAsia="en-AU"/>
        </w:rPr>
      </w:pPr>
      <w:r w:rsidRPr="00D4741B">
        <w:rPr>
          <w:lang w:eastAsia="en-AU"/>
        </w:rPr>
        <w:t>An OR of greater than one indicates increased odds of having the outcome compared to the reference group, whereas an OR of less than one suggests less likelihood of having the particular health outcome compared to the reference group. For example, an OR of 1.7 for the Transitioned ADF (compared to 2015 Regular ADF) suggests that the Transitioned ADF members have 70% increased odds of having that particular health outcome. Conversely, an OR of 0.70 suggests that the Transitioned ADF members are 30% less likely to have the particular health outcome compared to the 2015 Regular ADF. When an OR is greater than two, we can then say that the Transitioned ADF are twice as likely to have the particular health outcome compared to the 2015 Regular ADF. Similarly, if the OR is greater than three, they would be three times as likely to have the particular health outcome, and so forth.</w:t>
      </w:r>
    </w:p>
    <w:p w14:paraId="29B9F723" w14:textId="5DAD1907" w:rsidR="005A713B" w:rsidRPr="00D4741B" w:rsidRDefault="005A713B" w:rsidP="005A713B">
      <w:pPr>
        <w:pStyle w:val="ShadedBoxText"/>
        <w:rPr>
          <w:lang w:eastAsia="en-AU"/>
        </w:rPr>
      </w:pPr>
      <w:r w:rsidRPr="00D4741B">
        <w:rPr>
          <w:b/>
          <w:lang w:eastAsia="en-AU"/>
        </w:rPr>
        <w:t>Significance:</w:t>
      </w:r>
      <w:r w:rsidRPr="00D4741B">
        <w:rPr>
          <w:lang w:eastAsia="en-AU"/>
        </w:rPr>
        <w:t xml:space="preserve"> Where the text describes a between-group difference as significant, this means that the difference between groups was statistically tested then adjusted for sex, age and </w:t>
      </w:r>
      <w:r w:rsidR="00213A58">
        <w:rPr>
          <w:lang w:eastAsia="en-AU"/>
        </w:rPr>
        <w:t>s</w:t>
      </w:r>
      <w:r w:rsidRPr="00D4741B">
        <w:rPr>
          <w:lang w:eastAsia="en-AU"/>
        </w:rPr>
        <w:t>ervice, and there was no overlap in the associated confidence intervals between groups.</w:t>
      </w:r>
    </w:p>
    <w:p w14:paraId="5E4ABB6D" w14:textId="77777777" w:rsidR="005A713B" w:rsidRPr="00D4741B" w:rsidRDefault="005A713B" w:rsidP="00EA4B19">
      <w:pPr>
        <w:pStyle w:val="ShadedBoxText"/>
        <w:keepNext/>
        <w:rPr>
          <w:lang w:eastAsia="en-AU"/>
        </w:rPr>
      </w:pPr>
      <w:r w:rsidRPr="00D4741B">
        <w:rPr>
          <w:lang w:eastAsia="en-AU"/>
        </w:rPr>
        <w:t>Further caveats to be considered when reading and discussing the findings from this study:</w:t>
      </w:r>
    </w:p>
    <w:p w14:paraId="740529E6" w14:textId="77777777" w:rsidR="005A713B" w:rsidRPr="00D4741B" w:rsidRDefault="005A713B" w:rsidP="00133458">
      <w:pPr>
        <w:pStyle w:val="ShadedBullet"/>
        <w:rPr>
          <w:rFonts w:cstheme="majorBidi"/>
          <w:b/>
          <w:bCs/>
          <w:szCs w:val="22"/>
          <w:lang w:eastAsia="en-AU"/>
        </w:rPr>
      </w:pPr>
      <w:r w:rsidRPr="00D4741B">
        <w:rPr>
          <w:lang w:eastAsia="en-AU"/>
        </w:rPr>
        <w:t>The overall response rate for the study was low, particularly among Transitioned ADF. While responder data could be statistically weighted up to the total population, the lower the number of responders, the less accurate the resulting weighted</w:t>
      </w:r>
      <w:r>
        <w:rPr>
          <w:lang w:eastAsia="en-AU"/>
        </w:rPr>
        <w:t>-</w:t>
      </w:r>
      <w:r w:rsidRPr="00D4741B">
        <w:rPr>
          <w:lang w:eastAsia="en-AU"/>
        </w:rPr>
        <w:t xml:space="preserve">population estimates. </w:t>
      </w:r>
    </w:p>
    <w:p w14:paraId="05254C94" w14:textId="77777777" w:rsidR="005A713B" w:rsidRPr="00D4741B" w:rsidRDefault="005A713B" w:rsidP="00133458">
      <w:pPr>
        <w:pStyle w:val="ShadedBullet"/>
        <w:rPr>
          <w:rFonts w:cstheme="majorBidi"/>
          <w:b/>
          <w:bCs/>
          <w:szCs w:val="22"/>
          <w:lang w:eastAsia="en-AU"/>
        </w:rPr>
      </w:pPr>
      <w:r w:rsidRPr="00D4741B">
        <w:rPr>
          <w:lang w:eastAsia="en-AU"/>
        </w:rPr>
        <w:t xml:space="preserve">Response rate data show that some subpopulations had substantially lower response rates, which </w:t>
      </w:r>
      <w:r>
        <w:rPr>
          <w:lang w:eastAsia="en-AU"/>
        </w:rPr>
        <w:t>a</w:t>
      </w:r>
      <w:r w:rsidRPr="00D4741B">
        <w:rPr>
          <w:lang w:eastAsia="en-AU"/>
        </w:rPr>
        <w:t>ffects the accuracy of the associated estimates. In particular, Officers and Non-Commissioned Officers were over-represented among responders, while Other Ranks were highly under-represented, despite accounting for the largest proportion of the total population.</w:t>
      </w:r>
      <w:r w:rsidR="00EA4B19">
        <w:rPr>
          <w:rStyle w:val="FootnoteReference"/>
          <w:lang w:eastAsia="en-AU"/>
        </w:rPr>
        <w:footnoteReference w:id="1"/>
      </w:r>
      <w:r w:rsidRPr="00D4741B">
        <w:rPr>
          <w:lang w:eastAsia="en-AU"/>
        </w:rPr>
        <w:t xml:space="preserve"> </w:t>
      </w:r>
      <w:r>
        <w:rPr>
          <w:lang w:eastAsia="en-AU"/>
        </w:rPr>
        <w:t>Therefore</w:t>
      </w:r>
      <w:r w:rsidRPr="00D4741B">
        <w:rPr>
          <w:lang w:eastAsia="en-AU"/>
        </w:rPr>
        <w:t>, any estimates stratified by rank should be interpreted with a degree of caution.</w:t>
      </w:r>
    </w:p>
    <w:p w14:paraId="02F76C29" w14:textId="77777777" w:rsidR="005A713B" w:rsidRPr="00D4741B" w:rsidRDefault="005A713B" w:rsidP="00133458">
      <w:pPr>
        <w:pStyle w:val="ShadedBullet"/>
        <w:rPr>
          <w:rFonts w:eastAsiaTheme="majorEastAsia" w:cstheme="majorBidi"/>
          <w:b/>
          <w:bCs/>
          <w:szCs w:val="22"/>
          <w:lang w:eastAsia="en-AU"/>
        </w:rPr>
      </w:pPr>
      <w:r w:rsidRPr="00D4741B">
        <w:rPr>
          <w:lang w:eastAsia="en-AU"/>
        </w:rPr>
        <w:t>A large proportion of this study relates to self-reporting measures, which are subject to potential biases, including recall bias. The collection of diagnostic mental disorder data allow</w:t>
      </w:r>
      <w:r>
        <w:rPr>
          <w:lang w:eastAsia="en-AU"/>
        </w:rPr>
        <w:t>s</w:t>
      </w:r>
      <w:r w:rsidRPr="00D4741B">
        <w:rPr>
          <w:lang w:eastAsia="en-AU"/>
        </w:rPr>
        <w:t xml:space="preserve"> for corroboration of findings, although these potential biases should be noted.</w:t>
      </w:r>
    </w:p>
    <w:p w14:paraId="68FD22AE" w14:textId="77777777" w:rsidR="005A713B" w:rsidRDefault="005A713B" w:rsidP="005A713B">
      <w:pPr>
        <w:pStyle w:val="ShadedBoxText"/>
      </w:pPr>
      <w:r w:rsidRPr="00D4741B">
        <w:rPr>
          <w:b/>
        </w:rPr>
        <w:t>Glossary:</w:t>
      </w:r>
      <w:r w:rsidRPr="00D4741B">
        <w:t xml:space="preserve"> refer to the </w:t>
      </w:r>
      <w:r w:rsidRPr="00104D02">
        <w:t>Glossary</w:t>
      </w:r>
      <w:r w:rsidRPr="00D4741B">
        <w:t xml:space="preserve"> of terms for definitions of key terms.</w:t>
      </w:r>
    </w:p>
    <w:p w14:paraId="5228597C" w14:textId="77777777" w:rsidR="00191932" w:rsidRDefault="00191932" w:rsidP="00191932"/>
    <w:p w14:paraId="70FDC695" w14:textId="77777777" w:rsidR="0047223A" w:rsidRDefault="0047223A" w:rsidP="00191932">
      <w:pPr>
        <w:sectPr w:rsidR="0047223A" w:rsidSect="00FF5B5F">
          <w:type w:val="oddPage"/>
          <w:pgSz w:w="9979" w:h="14170" w:code="243"/>
          <w:pgMar w:top="1440" w:right="1152" w:bottom="1440" w:left="1728" w:header="576" w:footer="576" w:gutter="0"/>
          <w:pgNumType w:start="1"/>
          <w:cols w:space="708"/>
          <w:docGrid w:linePitch="360"/>
        </w:sectPr>
      </w:pPr>
    </w:p>
    <w:p w14:paraId="52B8287B" w14:textId="77777777" w:rsidR="00454919" w:rsidRDefault="00454919" w:rsidP="00454919">
      <w:pPr>
        <w:pStyle w:val="Heading1"/>
        <w:numPr>
          <w:ilvl w:val="0"/>
          <w:numId w:val="1"/>
        </w:numPr>
      </w:pPr>
      <w:bookmarkStart w:id="81" w:name="_Toc494449688"/>
      <w:bookmarkStart w:id="82" w:name="_Toc518566336"/>
      <w:bookmarkStart w:id="83" w:name="_Toc528932635"/>
      <w:bookmarkStart w:id="84" w:name="_Toc531859172"/>
      <w:r w:rsidRPr="005B0796">
        <w:t>Methodology</w:t>
      </w:r>
      <w:bookmarkEnd w:id="81"/>
      <w:bookmarkEnd w:id="82"/>
      <w:bookmarkEnd w:id="83"/>
      <w:bookmarkEnd w:id="84"/>
    </w:p>
    <w:p w14:paraId="7DF5D551" w14:textId="77777777" w:rsidR="00454919" w:rsidRPr="00D4741B" w:rsidRDefault="00454919" w:rsidP="00454919">
      <w:pPr>
        <w:pStyle w:val="ShadedBoxSubheading"/>
      </w:pPr>
      <w:r w:rsidRPr="00D4741B">
        <w:t>Study design</w:t>
      </w:r>
    </w:p>
    <w:p w14:paraId="5B056E13" w14:textId="77777777" w:rsidR="00454919" w:rsidRPr="00F56F0E" w:rsidRDefault="00454919" w:rsidP="00133458">
      <w:pPr>
        <w:pStyle w:val="ShadedBullet"/>
      </w:pPr>
      <w:r w:rsidRPr="00F56F0E">
        <w:t xml:space="preserve">In phase 1 of the Mental Health and Wellbeing Transition Study, participants were </w:t>
      </w:r>
      <w:r>
        <w:t>asked about their use of technology</w:t>
      </w:r>
      <w:r w:rsidRPr="00F56F0E">
        <w:t xml:space="preserve"> </w:t>
      </w:r>
      <w:r>
        <w:t xml:space="preserve">as part of a </w:t>
      </w:r>
      <w:r w:rsidRPr="00F56F0E">
        <w:t xml:space="preserve">60-minute self-report questionnaire. The questionnaire also included questions on demographics, </w:t>
      </w:r>
      <w:r>
        <w:t>s</w:t>
      </w:r>
      <w:r w:rsidRPr="00F56F0E">
        <w:t xml:space="preserve">ervice and deployment history, </w:t>
      </w:r>
      <w:r>
        <w:t xml:space="preserve">physical health </w:t>
      </w:r>
      <w:r w:rsidRPr="00F56F0E">
        <w:t>and psychological health.</w:t>
      </w:r>
    </w:p>
    <w:p w14:paraId="7A5CAD3C" w14:textId="77777777" w:rsidR="00454919" w:rsidRPr="00D4741B" w:rsidRDefault="00454919" w:rsidP="00454919">
      <w:pPr>
        <w:pStyle w:val="ShadedBoxSubheading"/>
      </w:pPr>
      <w:r w:rsidRPr="00D4741B">
        <w:t>Study populations</w:t>
      </w:r>
    </w:p>
    <w:p w14:paraId="506ECAEF" w14:textId="77777777" w:rsidR="00454919" w:rsidRPr="00D4741B" w:rsidRDefault="00454919" w:rsidP="00A01AA0">
      <w:pPr>
        <w:pStyle w:val="ShadedBullet"/>
        <w:spacing w:after="140"/>
      </w:pPr>
      <w:r w:rsidRPr="00D4741B">
        <w:t>The Transitioned ADF population comprised 24,932 ADF members who transitioned from the Regular ADF between 2010 and 2014 (include</w:t>
      </w:r>
      <w:r>
        <w:t>d</w:t>
      </w:r>
      <w:r w:rsidRPr="00D4741B">
        <w:t xml:space="preserve"> Active and Inactive Reservists and Ex-Serving ADF members). </w:t>
      </w:r>
    </w:p>
    <w:p w14:paraId="456C21A5" w14:textId="65C43BF1" w:rsidR="00454919" w:rsidRPr="00D4741B" w:rsidRDefault="00454919" w:rsidP="00A01AA0">
      <w:pPr>
        <w:pStyle w:val="ShadedBullet"/>
        <w:spacing w:after="140"/>
      </w:pPr>
      <w:r w:rsidRPr="00D4741B">
        <w:t>The 2015 Regular ADF population comprised the entire Regular serving ADF population in 2015 (</w:t>
      </w:r>
      <w:r>
        <w:t>n</w:t>
      </w:r>
      <w:r w:rsidR="00213A58">
        <w:t xml:space="preserve"> </w:t>
      </w:r>
      <w:r>
        <w:t>=</w:t>
      </w:r>
      <w:r w:rsidR="00213A58">
        <w:t xml:space="preserve"> </w:t>
      </w:r>
      <w:r w:rsidRPr="00D4741B">
        <w:t xml:space="preserve">52,500). </w:t>
      </w:r>
    </w:p>
    <w:p w14:paraId="60538337" w14:textId="77777777" w:rsidR="00454919" w:rsidRPr="00D4741B" w:rsidRDefault="00454919" w:rsidP="00A01AA0">
      <w:pPr>
        <w:pStyle w:val="ShadedBullet"/>
        <w:spacing w:after="120"/>
      </w:pPr>
      <w:r w:rsidRPr="00D4741B">
        <w:t xml:space="preserve">One population comparison group was used: </w:t>
      </w:r>
    </w:p>
    <w:p w14:paraId="7EDDD1BC" w14:textId="77777777" w:rsidR="00454919" w:rsidRPr="00D4741B" w:rsidRDefault="00454919" w:rsidP="00454919">
      <w:pPr>
        <w:pStyle w:val="ShadedDash"/>
      </w:pPr>
      <w:r>
        <w:tab/>
        <w:t>–</w:t>
      </w:r>
      <w:r>
        <w:tab/>
      </w:r>
      <w:r w:rsidRPr="00D4741B">
        <w:t xml:space="preserve">The 2012 Young and Well National Sample </w:t>
      </w:r>
      <w:r>
        <w:t>–</w:t>
      </w:r>
      <w:r w:rsidRPr="00D4741B">
        <w:t xml:space="preserve"> socio-demographically matched data were drawn from this assessment of young people’s use of technologies, as well as their overall health and wellbeing</w:t>
      </w:r>
      <w:r>
        <w:t>,</w:t>
      </w:r>
      <w:r w:rsidRPr="00D4741B" w:rsidDel="00833B4A">
        <w:t xml:space="preserve"> </w:t>
      </w:r>
      <w:r w:rsidRPr="00D4741B">
        <w:t>to compare equivalent questions about technology use.</w:t>
      </w:r>
    </w:p>
    <w:p w14:paraId="1EC403B3" w14:textId="77777777" w:rsidR="00454919" w:rsidRPr="00D4741B" w:rsidRDefault="00454919" w:rsidP="00454919">
      <w:pPr>
        <w:pStyle w:val="ShadedBoxSubheading"/>
      </w:pPr>
      <w:r w:rsidRPr="00D4741B">
        <w:t>Survey completion rate</w:t>
      </w:r>
    </w:p>
    <w:p w14:paraId="60CE9ACE" w14:textId="2A3FAF00" w:rsidR="00454919" w:rsidRPr="00F56F0E" w:rsidRDefault="00454919" w:rsidP="00133458">
      <w:pPr>
        <w:pStyle w:val="ShadedBullet"/>
      </w:pPr>
      <w:r w:rsidRPr="00F56F0E">
        <w:t>Of those invited, 18% (</w:t>
      </w:r>
      <w:r>
        <w:t>n</w:t>
      </w:r>
      <w:r w:rsidR="00213A58">
        <w:t xml:space="preserve"> </w:t>
      </w:r>
      <w:r>
        <w:t>=</w:t>
      </w:r>
      <w:r w:rsidR="00213A58">
        <w:t xml:space="preserve"> </w:t>
      </w:r>
      <w:r w:rsidRPr="00F56F0E">
        <w:t>4326) of the Transitioned ADF population and 42.3% (</w:t>
      </w:r>
      <w:r>
        <w:t>n</w:t>
      </w:r>
      <w:r w:rsidR="00624E3C">
        <w:t xml:space="preserve"> </w:t>
      </w:r>
      <w:r>
        <w:t>=</w:t>
      </w:r>
      <w:r w:rsidR="00624E3C">
        <w:t xml:space="preserve"> </w:t>
      </w:r>
      <w:r w:rsidRPr="00F56F0E">
        <w:t xml:space="preserve">8480) of the 2015 Regular ADF population completed the survey. </w:t>
      </w:r>
    </w:p>
    <w:p w14:paraId="7115B430" w14:textId="77777777" w:rsidR="00454919" w:rsidRPr="00D4741B" w:rsidRDefault="00454919" w:rsidP="00454919">
      <w:pPr>
        <w:pStyle w:val="ShadedBoxSubheading"/>
      </w:pPr>
      <w:r w:rsidRPr="00D4741B">
        <w:t>Weighting</w:t>
      </w:r>
    </w:p>
    <w:p w14:paraId="68AE9018" w14:textId="77777777" w:rsidR="00454919" w:rsidRPr="00F56F0E" w:rsidRDefault="00454919" w:rsidP="00A01AA0">
      <w:pPr>
        <w:pStyle w:val="ShadedBullet"/>
        <w:spacing w:after="140"/>
      </w:pPr>
      <w:r w:rsidRPr="00F56F0E">
        <w:t xml:space="preserve">All survey data for the Transitioned ADF were weighted using distinct strata for sex, </w:t>
      </w:r>
      <w:r>
        <w:t>s</w:t>
      </w:r>
      <w:r w:rsidRPr="00F56F0E">
        <w:t xml:space="preserve">ervice, rank and medical fitness. </w:t>
      </w:r>
    </w:p>
    <w:p w14:paraId="0BDACFE6" w14:textId="77777777" w:rsidR="00454919" w:rsidRPr="00F56F0E" w:rsidRDefault="00454919" w:rsidP="00133458">
      <w:pPr>
        <w:pStyle w:val="ShadedBullet"/>
      </w:pPr>
      <w:r w:rsidRPr="00F56F0E">
        <w:t xml:space="preserve">All survey data for the 2015 Regular ADF were weighted using distinct strata for sex, </w:t>
      </w:r>
      <w:r>
        <w:t>s</w:t>
      </w:r>
      <w:r w:rsidRPr="00F56F0E">
        <w:t>ervice, rank, medical fitness, and whether the individual compl</w:t>
      </w:r>
      <w:r>
        <w:t>eted a study as part of MilHOP.</w:t>
      </w:r>
    </w:p>
    <w:p w14:paraId="64666299" w14:textId="77777777" w:rsidR="00454919" w:rsidRPr="00D4741B" w:rsidRDefault="00454919" w:rsidP="00454919">
      <w:pPr>
        <w:pStyle w:val="ShadedBoxSubheading"/>
      </w:pPr>
      <w:r w:rsidRPr="00D4741B">
        <w:t>Analysis</w:t>
      </w:r>
    </w:p>
    <w:p w14:paraId="46E182B0" w14:textId="77777777" w:rsidR="00454919" w:rsidRPr="00D4741B" w:rsidRDefault="00454919" w:rsidP="00A01AA0">
      <w:pPr>
        <w:pStyle w:val="ShadedBullet"/>
        <w:spacing w:after="140"/>
      </w:pPr>
      <w:r w:rsidRPr="00D4741B">
        <w:t xml:space="preserve">All analyses were conducted in Stata version 13.1 or SAS version 9.2, and used weighted estimates of totals, means and proportions. </w:t>
      </w:r>
    </w:p>
    <w:p w14:paraId="545F847C" w14:textId="77777777" w:rsidR="00454919" w:rsidRDefault="00454919" w:rsidP="00133458">
      <w:pPr>
        <w:pStyle w:val="ShadedBullet"/>
      </w:pPr>
      <w:r w:rsidRPr="00D4741B">
        <w:t xml:space="preserve">All regressions included the co-variates for age, sex, </w:t>
      </w:r>
      <w:r>
        <w:t>s</w:t>
      </w:r>
      <w:r w:rsidRPr="00D4741B">
        <w:t xml:space="preserve">ervice and rank. </w:t>
      </w:r>
    </w:p>
    <w:p w14:paraId="3D0F5936" w14:textId="77777777" w:rsidR="00513700" w:rsidRDefault="00513700" w:rsidP="00A01AA0">
      <w:pPr>
        <w:pStyle w:val="ShadedBoxText"/>
      </w:pPr>
      <w:r w:rsidRPr="00D4741B">
        <w:rPr>
          <w:b/>
        </w:rPr>
        <w:t>Glossary:</w:t>
      </w:r>
      <w:r w:rsidRPr="00D4741B">
        <w:t xml:space="preserve"> refer to the </w:t>
      </w:r>
      <w:r w:rsidRPr="00104D02">
        <w:t>Glossary</w:t>
      </w:r>
      <w:r w:rsidRPr="00D4741B">
        <w:t xml:space="preserve"> of terms for definitions of key terms.</w:t>
      </w:r>
    </w:p>
    <w:p w14:paraId="6F6A6E1F" w14:textId="77777777" w:rsidR="00454919" w:rsidRDefault="00454919" w:rsidP="00454919">
      <w:pPr>
        <w:widowControl w:val="0"/>
        <w:tabs>
          <w:tab w:val="left" w:pos="709"/>
        </w:tabs>
        <w:autoSpaceDE w:val="0"/>
        <w:autoSpaceDN w:val="0"/>
        <w:adjustRightInd w:val="0"/>
        <w:rPr>
          <w:rFonts w:cs="Calibri"/>
        </w:rPr>
      </w:pPr>
      <w:r w:rsidRPr="00AC6B4D">
        <w:rPr>
          <w:rFonts w:cs="Calibri"/>
        </w:rPr>
        <w:t>Chapter 2 outlines the methodology for the current report. For the full methodology</w:t>
      </w:r>
      <w:r>
        <w:rPr>
          <w:rFonts w:cs="Calibri"/>
        </w:rPr>
        <w:t>,</w:t>
      </w:r>
      <w:r w:rsidRPr="00AC6B4D">
        <w:rPr>
          <w:rFonts w:cs="Calibri"/>
        </w:rPr>
        <w:t xml:space="preserve"> including a comprehensive description of all the measures used in the survey, refer to </w:t>
      </w:r>
      <w:r>
        <w:rPr>
          <w:rFonts w:cs="Calibri"/>
        </w:rPr>
        <w:t>A</w:t>
      </w:r>
      <w:r w:rsidR="00E83B98">
        <w:rPr>
          <w:rFonts w:cs="Calibri"/>
        </w:rPr>
        <w:t>nnex </w:t>
      </w:r>
      <w:r w:rsidRPr="00AC6B4D">
        <w:rPr>
          <w:rFonts w:cs="Calibri"/>
        </w:rPr>
        <w:t xml:space="preserve">A. </w:t>
      </w:r>
    </w:p>
    <w:p w14:paraId="610F9CBC" w14:textId="77777777" w:rsidR="00454919" w:rsidRPr="004C6CF5" w:rsidRDefault="00454919" w:rsidP="00C44855">
      <w:pPr>
        <w:pStyle w:val="Heading2"/>
      </w:pPr>
      <w:bookmarkStart w:id="85" w:name="_Toc487011173"/>
      <w:bookmarkStart w:id="86" w:name="_Toc509917408"/>
      <w:bookmarkStart w:id="87" w:name="_Toc515374444"/>
      <w:bookmarkStart w:id="88" w:name="_Toc518566337"/>
      <w:bookmarkStart w:id="89" w:name="_Toc528932636"/>
      <w:bookmarkStart w:id="90" w:name="_Toc531859173"/>
      <w:r w:rsidRPr="004C6CF5">
        <w:t>Study design</w:t>
      </w:r>
      <w:bookmarkEnd w:id="85"/>
      <w:bookmarkEnd w:id="86"/>
      <w:bookmarkEnd w:id="87"/>
      <w:bookmarkEnd w:id="88"/>
      <w:bookmarkEnd w:id="89"/>
      <w:bookmarkEnd w:id="90"/>
    </w:p>
    <w:p w14:paraId="2EFCD3B5" w14:textId="77777777" w:rsidR="00454919" w:rsidRPr="00051FB6" w:rsidRDefault="00454919" w:rsidP="00454919">
      <w:r w:rsidRPr="00051FB6">
        <w:t xml:space="preserve">In </w:t>
      </w:r>
      <w:r>
        <w:t>p</w:t>
      </w:r>
      <w:r w:rsidRPr="00051FB6">
        <w:t xml:space="preserve">hase 1 of the Mental Health and Wellbeing Transition Study, Transitioned ADF and 2015 Regular ADF members were assessed for mental health problems, psychological distress, physical health problems, wellbeing factors, pathways to care and occupational exposures. This assessment was conducted using a 60-minute self-reporting questionnaire, which participants completed either online or in hard copy. Each participating sample received a slightly different questionnaire relevant to their current ADF status – Transitioned ADF member, 2015 Regular ADF member or Ab-initio Reservist – and in regard to demographics, </w:t>
      </w:r>
      <w:r>
        <w:t>s</w:t>
      </w:r>
      <w:r w:rsidRPr="00051FB6">
        <w:t>ervice and deployment history. However, the core validated measures of psychological and ph</w:t>
      </w:r>
      <w:r>
        <w:t>ysical health remained the same</w:t>
      </w:r>
      <w:r w:rsidRPr="00051FB6">
        <w:t xml:space="preserve"> and replicated where possible the measures previously administered as part of the 2010 ADF Mental Health Prevalence and Wellbeing Study (MHPWS)</w:t>
      </w:r>
      <w:r>
        <w:t>.</w:t>
      </w:r>
      <w:r w:rsidRPr="00051FB6">
        <w:t xml:space="preserve"> This component of the design is critical to the longitudinal comparisons across time, and highlights the importance of a consistent approach to overseeing research design for military and veteran populations over time. </w:t>
      </w:r>
    </w:p>
    <w:p w14:paraId="34528073" w14:textId="77777777" w:rsidR="00454919" w:rsidRPr="00823A57" w:rsidRDefault="00454919" w:rsidP="00454919">
      <w:pPr>
        <w:rPr>
          <w:lang w:val="en-GB"/>
        </w:rPr>
      </w:pPr>
      <w:r w:rsidRPr="00051FB6">
        <w:rPr>
          <w:lang w:val="en-GB"/>
        </w:rPr>
        <w:t xml:space="preserve">Further details of the self-reporting survey measures investigated in this report are provided in section 2.6 below. </w:t>
      </w:r>
    </w:p>
    <w:p w14:paraId="5C16905F" w14:textId="77777777" w:rsidR="00454919" w:rsidRPr="004C6CF5" w:rsidRDefault="00454919" w:rsidP="00C44855">
      <w:pPr>
        <w:pStyle w:val="Heading2"/>
      </w:pPr>
      <w:bookmarkStart w:id="91" w:name="_Toc482021318"/>
      <w:bookmarkStart w:id="92" w:name="_Toc482024409"/>
      <w:bookmarkStart w:id="93" w:name="_Toc487011174"/>
      <w:bookmarkStart w:id="94" w:name="_Toc509917409"/>
      <w:bookmarkStart w:id="95" w:name="_Toc515374445"/>
      <w:bookmarkStart w:id="96" w:name="_Toc518566338"/>
      <w:bookmarkStart w:id="97" w:name="_Toc528932637"/>
      <w:bookmarkStart w:id="98" w:name="_Toc531859174"/>
      <w:r w:rsidRPr="004C6CF5">
        <w:t>Samples</w:t>
      </w:r>
      <w:bookmarkEnd w:id="91"/>
      <w:bookmarkEnd w:id="92"/>
      <w:bookmarkEnd w:id="93"/>
      <w:bookmarkEnd w:id="94"/>
      <w:bookmarkEnd w:id="95"/>
      <w:bookmarkEnd w:id="96"/>
      <w:bookmarkEnd w:id="97"/>
      <w:bookmarkEnd w:id="98"/>
    </w:p>
    <w:p w14:paraId="68AD691F" w14:textId="77777777" w:rsidR="00454919" w:rsidRPr="004C6CF5" w:rsidRDefault="00454919" w:rsidP="00454919">
      <w:pPr>
        <w:widowControl w:val="0"/>
        <w:autoSpaceDE w:val="0"/>
        <w:autoSpaceDN w:val="0"/>
        <w:adjustRightInd w:val="0"/>
        <w:rPr>
          <w:rFonts w:asciiTheme="minorHAnsi" w:hAnsiTheme="minorHAnsi" w:cs="Times"/>
        </w:rPr>
      </w:pPr>
      <w:r w:rsidRPr="00051FB6">
        <w:rPr>
          <w:rFonts w:asciiTheme="minorHAnsi" w:hAnsiTheme="minorHAnsi" w:cs="Times"/>
        </w:rPr>
        <w:t xml:space="preserve">This report uses two of the Programme’s six overlapping samples. A detailed description of all six samples used in the broader Programme can be viewed in </w:t>
      </w:r>
      <w:r>
        <w:rPr>
          <w:rFonts w:asciiTheme="minorHAnsi" w:hAnsiTheme="minorHAnsi" w:cs="Times"/>
        </w:rPr>
        <w:t>A</w:t>
      </w:r>
      <w:r w:rsidR="00E83B98">
        <w:rPr>
          <w:rFonts w:asciiTheme="minorHAnsi" w:hAnsiTheme="minorHAnsi" w:cs="Times"/>
        </w:rPr>
        <w:t>nnex </w:t>
      </w:r>
      <w:r w:rsidRPr="00051FB6">
        <w:rPr>
          <w:rFonts w:asciiTheme="minorHAnsi" w:hAnsiTheme="minorHAnsi" w:cs="Times"/>
        </w:rPr>
        <w:t xml:space="preserve">A: Methodology. </w:t>
      </w:r>
    </w:p>
    <w:p w14:paraId="5FA6B795" w14:textId="77777777" w:rsidR="00454919" w:rsidRPr="004C6CF5" w:rsidRDefault="00454919" w:rsidP="00454919">
      <w:pPr>
        <w:widowControl w:val="0"/>
        <w:autoSpaceDE w:val="0"/>
        <w:autoSpaceDN w:val="0"/>
        <w:adjustRightInd w:val="0"/>
        <w:rPr>
          <w:rFonts w:ascii="Times" w:hAnsi="Times" w:cs="Times"/>
        </w:rPr>
      </w:pPr>
      <w:r w:rsidRPr="00051FB6">
        <w:rPr>
          <w:rFonts w:asciiTheme="minorHAnsi" w:hAnsiTheme="minorHAnsi" w:cs="Calibri"/>
          <w:b/>
          <w:bCs/>
        </w:rPr>
        <w:t xml:space="preserve">Sample 1: Transitioned ADF </w:t>
      </w:r>
      <w:r w:rsidRPr="005D03ED">
        <w:rPr>
          <w:rFonts w:asciiTheme="minorHAnsi" w:hAnsiTheme="minorHAnsi" w:cs="Calibri"/>
          <w:bCs/>
        </w:rPr>
        <w:t>–</w:t>
      </w:r>
      <w:r w:rsidRPr="00051FB6">
        <w:rPr>
          <w:rFonts w:asciiTheme="minorHAnsi" w:hAnsiTheme="minorHAnsi" w:cs="Calibri"/>
          <w:b/>
          <w:bCs/>
        </w:rPr>
        <w:t xml:space="preserve"> </w:t>
      </w:r>
      <w:r w:rsidRPr="00051FB6">
        <w:rPr>
          <w:rFonts w:asciiTheme="minorHAnsi" w:hAnsiTheme="minorHAnsi" w:cs="Times"/>
        </w:rPr>
        <w:t xml:space="preserve">This sample comprised all ADF members who transitioned from Regular ADF between 2010 and 2014 and included those who transitioned into the Active Reserves and Inactive Reserves as well as those who were discharged completely from the Regular ADF (Ex-Serving members). </w:t>
      </w:r>
    </w:p>
    <w:p w14:paraId="19DDA97F" w14:textId="77777777" w:rsidR="00454919" w:rsidRPr="00051FB6" w:rsidRDefault="00454919" w:rsidP="00454919">
      <w:r w:rsidRPr="00051FB6">
        <w:rPr>
          <w:rFonts w:cs="Calibri"/>
          <w:b/>
          <w:bCs/>
        </w:rPr>
        <w:t>Sample 2: 2015 Regular ADF</w:t>
      </w:r>
      <w:r>
        <w:rPr>
          <w:rFonts w:cs="Calibri"/>
          <w:b/>
          <w:bCs/>
        </w:rPr>
        <w:t xml:space="preserve"> </w:t>
      </w:r>
      <w:r w:rsidRPr="005D03ED">
        <w:rPr>
          <w:rFonts w:cs="Calibri"/>
          <w:bCs/>
        </w:rPr>
        <w:t>–</w:t>
      </w:r>
      <w:r w:rsidRPr="00051FB6">
        <w:rPr>
          <w:rFonts w:cs="Calibri"/>
          <w:b/>
          <w:bCs/>
        </w:rPr>
        <w:t xml:space="preserve"> </w:t>
      </w:r>
      <w:r w:rsidRPr="00051FB6">
        <w:t xml:space="preserve">This sample comprised three separate groups of Regular ADF members in 2015 who were invited to participate in the study: those who participated in the 2010 MHPWS and remained a Regular ADF member in 2015; those who participated in the </w:t>
      </w:r>
      <w:r>
        <w:t>Middle East Area of Operations (</w:t>
      </w:r>
      <w:r w:rsidRPr="00051FB6">
        <w:t>MEAO</w:t>
      </w:r>
      <w:r>
        <w:t>)</w:t>
      </w:r>
      <w:r w:rsidRPr="00051FB6">
        <w:t xml:space="preserve"> Health Study</w:t>
      </w:r>
      <w:r>
        <w:t xml:space="preserve">: </w:t>
      </w:r>
      <w:r w:rsidRPr="00051FB6">
        <w:t>Prospective</w:t>
      </w:r>
      <w:r>
        <w:t xml:space="preserve"> Study (MEAO Protective Health Study)</w:t>
      </w:r>
      <w:r w:rsidRPr="00051FB6">
        <w:t xml:space="preserve"> between 2010 and 2012, and remained a Regular ADF member in 2015; and a stratified random sample of Regular ADF members from 2015 who were not part of the 2010 MHPWS or the MEAO Prospective Health Study. Combined results from these three groups were weighted to represent t</w:t>
      </w:r>
      <w:r>
        <w:t xml:space="preserve">he entire Regular ADF in 2015. </w:t>
      </w:r>
    </w:p>
    <w:p w14:paraId="67BC22DC" w14:textId="77777777" w:rsidR="00454919" w:rsidRPr="00051FB6" w:rsidRDefault="00454919" w:rsidP="00454919">
      <w:r w:rsidRPr="00051FB6">
        <w:t>Of the Transitioned ADF population of 24,932, 96% (23,974) were invited to participate. Those not invited were those who may have opted out of the study or did not have any usable contact information. Thirty-eight per cent (20,031) of the total 2015 Regular ADF population (52,500</w:t>
      </w:r>
      <w:r>
        <w:t xml:space="preserve">) were invited to participate. </w:t>
      </w:r>
    </w:p>
    <w:p w14:paraId="379234D4" w14:textId="77777777" w:rsidR="00454919" w:rsidRPr="004C6CF5" w:rsidRDefault="00454919" w:rsidP="00454919">
      <w:r w:rsidRPr="00051FB6">
        <w:t xml:space="preserve">The samples were taken from a Military and Veteran Research Study Roll (Study Roll) generated specifically for this Programme and were held at the Australian Institute of Health and Welfare (AIHW). The Study Roll was generated from Defence personnel data, DVA contact data and ComSuper contact details, and cross-referenced against the National Death Index. For all individuals in the Transitioned ADF and the 2015 Regular ADF populations, basic demographic characteristics used for weighting were held by the AIHW until the conclusion of data collection, at which time </w:t>
      </w:r>
      <w:r>
        <w:t>this data</w:t>
      </w:r>
      <w:r w:rsidRPr="00051FB6">
        <w:t xml:space="preserve"> was provided to the researchers in an identified or de-identified form, depending on par</w:t>
      </w:r>
      <w:r>
        <w:t xml:space="preserve">ticipation and consent status. </w:t>
      </w:r>
    </w:p>
    <w:p w14:paraId="7F0179DC" w14:textId="77777777" w:rsidR="00454919" w:rsidRPr="004C6CF5" w:rsidRDefault="00454919" w:rsidP="00C44855">
      <w:pPr>
        <w:pStyle w:val="Heading2"/>
      </w:pPr>
      <w:bookmarkStart w:id="99" w:name="_Toc482021319"/>
      <w:bookmarkStart w:id="100" w:name="_Toc482024410"/>
      <w:bookmarkStart w:id="101" w:name="_Toc487011175"/>
      <w:bookmarkStart w:id="102" w:name="_Toc509917410"/>
      <w:bookmarkStart w:id="103" w:name="_Toc515374446"/>
      <w:bookmarkStart w:id="104" w:name="_Toc518566339"/>
      <w:bookmarkStart w:id="105" w:name="_Toc528932638"/>
      <w:bookmarkStart w:id="106" w:name="_Toc531859175"/>
      <w:r w:rsidRPr="004C6CF5">
        <w:t>Population comparison samples</w:t>
      </w:r>
      <w:bookmarkEnd w:id="99"/>
      <w:bookmarkEnd w:id="100"/>
      <w:bookmarkEnd w:id="101"/>
      <w:bookmarkEnd w:id="102"/>
      <w:bookmarkEnd w:id="103"/>
      <w:bookmarkEnd w:id="104"/>
      <w:bookmarkEnd w:id="105"/>
      <w:bookmarkEnd w:id="106"/>
    </w:p>
    <w:p w14:paraId="76ACECBF" w14:textId="77777777" w:rsidR="00454919" w:rsidRPr="004C6CF5" w:rsidRDefault="00454919" w:rsidP="00C44855">
      <w:pPr>
        <w:pStyle w:val="Heading3"/>
      </w:pPr>
      <w:bookmarkStart w:id="107" w:name="_Toc515374447"/>
      <w:bookmarkStart w:id="108" w:name="_Toc518566340"/>
      <w:bookmarkStart w:id="109" w:name="_Toc528932639"/>
      <w:bookmarkStart w:id="110" w:name="_Toc531859176"/>
      <w:r w:rsidRPr="004C6CF5">
        <w:t>Young and Well National Survey (2012)</w:t>
      </w:r>
      <w:bookmarkEnd w:id="107"/>
      <w:bookmarkEnd w:id="108"/>
      <w:bookmarkEnd w:id="109"/>
      <w:bookmarkEnd w:id="110"/>
      <w:r w:rsidRPr="004C6CF5">
        <w:t xml:space="preserve"> </w:t>
      </w:r>
    </w:p>
    <w:p w14:paraId="63035717" w14:textId="77777777" w:rsidR="00454919" w:rsidRPr="00051FB6" w:rsidRDefault="00454919" w:rsidP="00454919">
      <w:pPr>
        <w:rPr>
          <w:lang w:val="en-GB"/>
        </w:rPr>
      </w:pPr>
      <w:r w:rsidRPr="00051FB6">
        <w:rPr>
          <w:lang w:val="en-GB"/>
        </w:rPr>
        <w:t>The Young and Well National Survey</w:t>
      </w:r>
      <w:r>
        <w:rPr>
          <w:lang w:val="en-GB"/>
        </w:rPr>
        <w:t xml:space="preserve"> </w:t>
      </w:r>
      <w:r>
        <w:rPr>
          <w:noProof/>
          <w:lang w:val="en-GB"/>
        </w:rPr>
        <w:t>(Burns et al., 2013)</w:t>
      </w:r>
      <w:r>
        <w:rPr>
          <w:lang w:val="en-GB"/>
        </w:rPr>
        <w:t xml:space="preserve"> </w:t>
      </w:r>
      <w:r w:rsidRPr="00051FB6">
        <w:rPr>
          <w:lang w:val="en-GB"/>
        </w:rPr>
        <w:t>aim</w:t>
      </w:r>
      <w:r>
        <w:rPr>
          <w:lang w:val="en-GB"/>
        </w:rPr>
        <w:t>ed</w:t>
      </w:r>
      <w:r w:rsidRPr="00051FB6">
        <w:rPr>
          <w:lang w:val="en-GB"/>
        </w:rPr>
        <w:t xml:space="preserve"> to assess young people’s use of technologies, as well as their overall health and wellbeing. The first survey include</w:t>
      </w:r>
      <w:r>
        <w:rPr>
          <w:lang w:val="en-GB"/>
        </w:rPr>
        <w:t>d</w:t>
      </w:r>
      <w:r w:rsidRPr="00051FB6">
        <w:rPr>
          <w:lang w:val="en-GB"/>
        </w:rPr>
        <w:t xml:space="preserve"> questions relating to demographics, general health, mental health and wellbeing, health perceptions of Australian youth, use of the </w:t>
      </w:r>
      <w:r>
        <w:rPr>
          <w:lang w:val="en-GB"/>
        </w:rPr>
        <w:t>internet</w:t>
      </w:r>
      <w:r w:rsidRPr="00051FB6">
        <w:rPr>
          <w:lang w:val="en-GB"/>
        </w:rPr>
        <w:t>, online and communication risks, digital literacy and safety skills.</w:t>
      </w:r>
    </w:p>
    <w:p w14:paraId="1231095D" w14:textId="77777777" w:rsidR="00454919" w:rsidRPr="004C6CF5" w:rsidRDefault="00454919" w:rsidP="00454919">
      <w:pPr>
        <w:rPr>
          <w:lang w:val="en-GB"/>
        </w:rPr>
      </w:pPr>
      <w:r w:rsidRPr="00051FB6">
        <w:rPr>
          <w:lang w:val="en-GB"/>
        </w:rPr>
        <w:t>A cross</w:t>
      </w:r>
      <w:r>
        <w:rPr>
          <w:lang w:val="en-GB"/>
        </w:rPr>
        <w:t>-</w:t>
      </w:r>
      <w:r w:rsidRPr="00051FB6">
        <w:rPr>
          <w:lang w:val="en-GB"/>
        </w:rPr>
        <w:t>sectional CATI (computer</w:t>
      </w:r>
      <w:r>
        <w:rPr>
          <w:lang w:val="en-GB"/>
        </w:rPr>
        <w:t>-</w:t>
      </w:r>
      <w:r w:rsidRPr="00051FB6">
        <w:rPr>
          <w:lang w:val="en-GB"/>
        </w:rPr>
        <w:t>assisted telephone interview) methodology was used to conduct a survey of 1400 participants across Australia. Participants were randomly selected using random</w:t>
      </w:r>
      <w:r>
        <w:rPr>
          <w:lang w:val="en-GB"/>
        </w:rPr>
        <w:t>-</w:t>
      </w:r>
      <w:r w:rsidRPr="00051FB6">
        <w:rPr>
          <w:lang w:val="en-GB"/>
        </w:rPr>
        <w:t>digit dialling. Participants included 700 young men and 700 young women aged 16 to 25 years (note: existing protocols for telephone interviews with people aged below 18 years of age were used). Depending on participant answers, the survey took 10 to 20 minutes to complete. Participants were excluded if they had English language difficulties or if they were uncomfortable with the interview being conducted in English. Stratification ensured that the sample was representative of the normal population in terms of age, gender and geographic location across all Australian states by selecting respondents to match the current Australian Bureau of Statistics records for age, gender and geographic location (see abs.gov.au). While the survey was designed by the investigators, the telephone interviews were conducted by an independent company, The Social Research Centre (Melbourne, Victoria).</w:t>
      </w:r>
    </w:p>
    <w:p w14:paraId="7E40FFDC" w14:textId="77777777" w:rsidR="00454919" w:rsidRPr="004C6CF5" w:rsidRDefault="00454919" w:rsidP="00C44855">
      <w:pPr>
        <w:pStyle w:val="Heading2"/>
      </w:pPr>
      <w:bookmarkStart w:id="111" w:name="_Toc482021320"/>
      <w:bookmarkStart w:id="112" w:name="_Toc482024411"/>
      <w:bookmarkStart w:id="113" w:name="_Toc487011176"/>
      <w:bookmarkStart w:id="114" w:name="_Toc509917411"/>
      <w:bookmarkStart w:id="115" w:name="_Toc515374448"/>
      <w:bookmarkStart w:id="116" w:name="_Toc518566341"/>
      <w:bookmarkStart w:id="117" w:name="_Toc528932640"/>
      <w:bookmarkStart w:id="118" w:name="_Toc531859177"/>
      <w:r w:rsidRPr="004C6CF5">
        <w:t xml:space="preserve">Mental Health and Wellbeing Transition Study Survey </w:t>
      </w:r>
      <w:r>
        <w:t>r</w:t>
      </w:r>
      <w:r w:rsidRPr="004C6CF5">
        <w:t>esponse rates</w:t>
      </w:r>
      <w:bookmarkEnd w:id="111"/>
      <w:bookmarkEnd w:id="112"/>
      <w:bookmarkEnd w:id="113"/>
      <w:bookmarkEnd w:id="114"/>
      <w:bookmarkEnd w:id="115"/>
      <w:bookmarkEnd w:id="116"/>
      <w:bookmarkEnd w:id="117"/>
      <w:bookmarkEnd w:id="118"/>
    </w:p>
    <w:p w14:paraId="1EA49B47" w14:textId="77777777" w:rsidR="00454919" w:rsidRPr="005B0796" w:rsidRDefault="00454919" w:rsidP="00454919">
      <w:r w:rsidRPr="005B0796">
        <w:t xml:space="preserve">Table </w:t>
      </w:r>
      <w:r>
        <w:rPr>
          <w:noProof/>
        </w:rPr>
        <w:t>2</w:t>
      </w:r>
      <w:r>
        <w:t>.</w:t>
      </w:r>
      <w:r>
        <w:rPr>
          <w:noProof/>
        </w:rPr>
        <w:t>1</w:t>
      </w:r>
      <w:r>
        <w:t xml:space="preserve"> </w:t>
      </w:r>
      <w:r w:rsidRPr="005B0796">
        <w:t xml:space="preserve">and </w:t>
      </w:r>
      <w:r w:rsidRPr="004C6CF5">
        <w:t xml:space="preserve">Figure </w:t>
      </w:r>
      <w:r>
        <w:rPr>
          <w:noProof/>
        </w:rPr>
        <w:t>2</w:t>
      </w:r>
      <w:r>
        <w:t>.</w:t>
      </w:r>
      <w:r>
        <w:rPr>
          <w:noProof/>
        </w:rPr>
        <w:t>1</w:t>
      </w:r>
      <w:r>
        <w:t xml:space="preserve"> </w:t>
      </w:r>
      <w:r w:rsidRPr="005B0796">
        <w:t>show the total populations for the Transitioned ADF and the 2015 Regular ADF; the number from each population invited to participate in the study; and the proportion of those invited who responded.</w:t>
      </w:r>
    </w:p>
    <w:p w14:paraId="2BE5AC1D" w14:textId="77777777" w:rsidR="00454919" w:rsidRPr="005B0796" w:rsidRDefault="00454919" w:rsidP="00454919">
      <w:r w:rsidRPr="005B0796">
        <w:t>Of the Transitioned ADF population of 24,932, 96% (23,974) were invited to participate. Those not invited represented those individuals who may have opted out of the study or did not have any usa</w:t>
      </w:r>
      <w:r>
        <w:t>ble contact information. Thirty-</w:t>
      </w:r>
      <w:r w:rsidRPr="005B0796">
        <w:t xml:space="preserve">eight per cent (20,031) of the 2015 Regular ADF population (52,500) were invited to participate. The sample of 2015 Regular ADF invited to participate included a stratified random sample of 5040 full-time members in 2015 as well as those who had participated in the Military Health Outcomes Program </w:t>
      </w:r>
      <w:r w:rsidRPr="005B0796">
        <w:rPr>
          <w:rFonts w:eastAsia="MS ??"/>
          <w:szCs w:val="22"/>
        </w:rPr>
        <w:t xml:space="preserve">(MilHOP) </w:t>
      </w:r>
      <w:r w:rsidRPr="005B0796">
        <w:t>between 2010 and 2012 and who were still serving in 2015. Of those invited, 18% (n = 4326) of the Transitioned ADF population and 42.3% (n = 8480) of the 2015 ADF population completed the survey.</w:t>
      </w:r>
    </w:p>
    <w:p w14:paraId="2508ACA7" w14:textId="77777777" w:rsidR="00994AD8" w:rsidRPr="002567C0" w:rsidRDefault="00994AD8" w:rsidP="00994AD8">
      <w:r>
        <w:t xml:space="preserve">Figure 2.1 </w:t>
      </w:r>
      <w:r w:rsidRPr="002567C0">
        <w:t xml:space="preserve">summarises the breakdown of Transitioned ADF and 2015 Regular ADF members who provided enough data to be included in the survey. </w:t>
      </w:r>
      <w:r>
        <w:t xml:space="preserve">Table </w:t>
      </w:r>
      <w:r>
        <w:rPr>
          <w:noProof/>
        </w:rPr>
        <w:t>2</w:t>
      </w:r>
      <w:r>
        <w:t>.</w:t>
      </w:r>
      <w:r>
        <w:rPr>
          <w:noProof/>
        </w:rPr>
        <w:t>2</w:t>
      </w:r>
      <w:r>
        <w:t xml:space="preserve"> </w:t>
      </w:r>
      <w:r w:rsidRPr="005B0796">
        <w:t>presents the unweighted demographic characteristics of Transitioned ADF and 2015 Regular ADF survey respondents.</w:t>
      </w:r>
    </w:p>
    <w:p w14:paraId="58D44D85" w14:textId="77777777" w:rsidR="0008078F" w:rsidRDefault="0008078F" w:rsidP="0033018C"/>
    <w:p w14:paraId="63AED2C3" w14:textId="77777777" w:rsidR="0008078F" w:rsidRDefault="0008078F" w:rsidP="0033018C">
      <w:pPr>
        <w:sectPr w:rsidR="0008078F" w:rsidSect="00FF5B5F">
          <w:type w:val="oddPage"/>
          <w:pgSz w:w="9979" w:h="14170" w:code="243"/>
          <w:pgMar w:top="1440" w:right="1152" w:bottom="1440" w:left="1728" w:header="576" w:footer="576" w:gutter="0"/>
          <w:cols w:space="708"/>
          <w:docGrid w:linePitch="360"/>
        </w:sectPr>
      </w:pPr>
    </w:p>
    <w:p w14:paraId="44D86ED0" w14:textId="77777777" w:rsidR="00994AD8" w:rsidRPr="005B0796" w:rsidRDefault="00994AD8" w:rsidP="00994AD8">
      <w:pPr>
        <w:pStyle w:val="TableName"/>
      </w:pPr>
      <w:bookmarkStart w:id="119" w:name="_Ref482013237"/>
      <w:bookmarkStart w:id="120" w:name="_Toc487014243"/>
      <w:bookmarkStart w:id="121" w:name="_Toc492995546"/>
      <w:bookmarkStart w:id="122" w:name="_Toc479243368"/>
      <w:bookmarkStart w:id="123" w:name="_Toc482023757"/>
      <w:bookmarkStart w:id="124" w:name="_Toc497383245"/>
      <w:bookmarkStart w:id="125" w:name="_Toc528932304"/>
      <w:bookmarkStart w:id="126" w:name="_Toc531857982"/>
      <w:r w:rsidRPr="005B0796">
        <w:t xml:space="preserve">Table </w:t>
      </w:r>
      <w:r>
        <w:rPr>
          <w:noProof/>
        </w:rPr>
        <w:t>2</w:t>
      </w:r>
      <w:r>
        <w:t>.</w:t>
      </w:r>
      <w:r>
        <w:rPr>
          <w:noProof/>
        </w:rPr>
        <w:t>1</w:t>
      </w:r>
      <w:bookmarkEnd w:id="119"/>
      <w:r w:rsidRPr="005B0796">
        <w:tab/>
        <w:t xml:space="preserve">Survey response rates, by </w:t>
      </w:r>
      <w:r>
        <w:t>s</w:t>
      </w:r>
      <w:r w:rsidRPr="005B0796">
        <w:t>ervice for the Transitioned ADF and the 2015 Regular ADF</w:t>
      </w:r>
      <w:bookmarkEnd w:id="120"/>
      <w:bookmarkEnd w:id="121"/>
      <w:bookmarkEnd w:id="122"/>
      <w:bookmarkEnd w:id="123"/>
      <w:bookmarkEnd w:id="124"/>
      <w:bookmarkEnd w:id="125"/>
      <w:bookmarkEnd w:id="126"/>
    </w:p>
    <w:tbl>
      <w:tblPr>
        <w:tblStyle w:val="TWRPTable"/>
        <w:tblW w:w="5000" w:type="pct"/>
        <w:tblLayout w:type="fixed"/>
        <w:tblLook w:val="04A0" w:firstRow="1" w:lastRow="0" w:firstColumn="1" w:lastColumn="0" w:noHBand="0" w:noVBand="1"/>
        <w:tblDescription w:val="Table 2.1 Survey response rates, by service for the Transitioned ADF and the 2015 Regular ADF"/>
      </w:tblPr>
      <w:tblGrid>
        <w:gridCol w:w="1479"/>
        <w:gridCol w:w="1224"/>
        <w:gridCol w:w="1224"/>
        <w:gridCol w:w="1226"/>
        <w:gridCol w:w="1225"/>
        <w:gridCol w:w="1225"/>
        <w:gridCol w:w="1226"/>
        <w:gridCol w:w="1225"/>
        <w:gridCol w:w="1226"/>
      </w:tblGrid>
      <w:tr w:rsidR="00994AD8" w:rsidRPr="005B0796" w14:paraId="630D920C" w14:textId="77777777" w:rsidTr="00B737A1">
        <w:trPr>
          <w:cnfStyle w:val="100000000000" w:firstRow="1" w:lastRow="0" w:firstColumn="0" w:lastColumn="0" w:oddVBand="0" w:evenVBand="0" w:oddHBand="0" w:evenHBand="0" w:firstRowFirstColumn="0" w:firstRowLastColumn="0" w:lastRowFirstColumn="0" w:lastRowLastColumn="0"/>
          <w:cantSplit/>
          <w:tblHeader/>
        </w:trPr>
        <w:tc>
          <w:tcPr>
            <w:tcW w:w="1511" w:type="dxa"/>
            <w:tcBorders>
              <w:top w:val="single" w:sz="4" w:space="0" w:color="000000"/>
              <w:bottom w:val="nil"/>
            </w:tcBorders>
          </w:tcPr>
          <w:p w14:paraId="3E1FF196" w14:textId="77777777" w:rsidR="00994AD8" w:rsidRPr="005B0796" w:rsidRDefault="00994AD8" w:rsidP="002E67C4">
            <w:pPr>
              <w:pStyle w:val="TableText"/>
            </w:pPr>
          </w:p>
        </w:tc>
        <w:tc>
          <w:tcPr>
            <w:tcW w:w="4997" w:type="dxa"/>
            <w:gridSpan w:val="4"/>
            <w:hideMark/>
          </w:tcPr>
          <w:p w14:paraId="6A83E107" w14:textId="77777777" w:rsidR="00994AD8" w:rsidRPr="005B0796" w:rsidRDefault="00994AD8" w:rsidP="002E67C4">
            <w:pPr>
              <w:pStyle w:val="TableText"/>
              <w:jc w:val="center"/>
            </w:pPr>
            <w:r w:rsidRPr="005B0796">
              <w:t>Transitioned ADF</w:t>
            </w:r>
            <w:r w:rsidRPr="005B0796">
              <w:br/>
              <w:t>N = 24,932</w:t>
            </w:r>
          </w:p>
        </w:tc>
        <w:tc>
          <w:tcPr>
            <w:tcW w:w="4998" w:type="dxa"/>
            <w:gridSpan w:val="4"/>
            <w:hideMark/>
          </w:tcPr>
          <w:p w14:paraId="605CCC11" w14:textId="77777777" w:rsidR="00994AD8" w:rsidRPr="005B0796" w:rsidRDefault="00994AD8" w:rsidP="002E67C4">
            <w:pPr>
              <w:pStyle w:val="TableText"/>
              <w:jc w:val="center"/>
            </w:pPr>
            <w:r w:rsidRPr="005B0796">
              <w:t>2015 Regular ADF</w:t>
            </w:r>
            <w:r w:rsidRPr="005B0796">
              <w:br/>
              <w:t>N = 52,500</w:t>
            </w:r>
          </w:p>
        </w:tc>
      </w:tr>
      <w:tr w:rsidR="00994AD8" w:rsidRPr="005B0796" w14:paraId="59935E75" w14:textId="77777777" w:rsidTr="00B737A1">
        <w:trPr>
          <w:cnfStyle w:val="100000000000" w:firstRow="1" w:lastRow="0" w:firstColumn="0" w:lastColumn="0" w:oddVBand="0" w:evenVBand="0" w:oddHBand="0" w:evenHBand="0" w:firstRowFirstColumn="0" w:firstRowLastColumn="0" w:lastRowFirstColumn="0" w:lastRowLastColumn="0"/>
          <w:cantSplit/>
          <w:tblHeader/>
        </w:trPr>
        <w:tc>
          <w:tcPr>
            <w:tcW w:w="1511" w:type="dxa"/>
            <w:tcBorders>
              <w:top w:val="nil"/>
            </w:tcBorders>
          </w:tcPr>
          <w:p w14:paraId="1AA8C974" w14:textId="77777777" w:rsidR="00994AD8" w:rsidRPr="005B0796" w:rsidRDefault="00994AD8" w:rsidP="002E67C4">
            <w:pPr>
              <w:pStyle w:val="TableText"/>
            </w:pPr>
          </w:p>
        </w:tc>
        <w:tc>
          <w:tcPr>
            <w:tcW w:w="1249" w:type="dxa"/>
            <w:hideMark/>
          </w:tcPr>
          <w:p w14:paraId="58451A9D" w14:textId="77777777" w:rsidR="00994AD8" w:rsidRPr="005B0796" w:rsidRDefault="00994AD8" w:rsidP="002E67C4">
            <w:pPr>
              <w:pStyle w:val="TableText"/>
              <w:jc w:val="right"/>
            </w:pPr>
            <w:r w:rsidRPr="005B0796">
              <w:t>Population</w:t>
            </w:r>
          </w:p>
        </w:tc>
        <w:tc>
          <w:tcPr>
            <w:tcW w:w="1249" w:type="dxa"/>
            <w:hideMark/>
          </w:tcPr>
          <w:p w14:paraId="6E1AF111" w14:textId="77777777" w:rsidR="00994AD8" w:rsidRPr="005B0796" w:rsidRDefault="00994AD8" w:rsidP="002E67C4">
            <w:pPr>
              <w:pStyle w:val="TableText"/>
              <w:jc w:val="right"/>
            </w:pPr>
            <w:r w:rsidRPr="005B0796">
              <w:t>Invited</w:t>
            </w:r>
          </w:p>
        </w:tc>
        <w:tc>
          <w:tcPr>
            <w:tcW w:w="1250" w:type="dxa"/>
            <w:hideMark/>
          </w:tcPr>
          <w:p w14:paraId="1A9F18EE" w14:textId="77777777" w:rsidR="00994AD8" w:rsidRPr="005B0796" w:rsidRDefault="00994AD8" w:rsidP="002E67C4">
            <w:pPr>
              <w:pStyle w:val="TableText"/>
              <w:jc w:val="right"/>
            </w:pPr>
            <w:r w:rsidRPr="005B0796">
              <w:t>Responders</w:t>
            </w:r>
          </w:p>
        </w:tc>
        <w:tc>
          <w:tcPr>
            <w:tcW w:w="1249" w:type="dxa"/>
            <w:hideMark/>
          </w:tcPr>
          <w:p w14:paraId="648C30C2" w14:textId="77777777" w:rsidR="00994AD8" w:rsidRPr="005B0796" w:rsidRDefault="00994AD8" w:rsidP="002E67C4">
            <w:pPr>
              <w:pStyle w:val="TableText"/>
              <w:jc w:val="right"/>
            </w:pPr>
            <w:r w:rsidRPr="005B0796">
              <w:t>Response rate (%)</w:t>
            </w:r>
          </w:p>
        </w:tc>
        <w:tc>
          <w:tcPr>
            <w:tcW w:w="1249" w:type="dxa"/>
            <w:hideMark/>
          </w:tcPr>
          <w:p w14:paraId="71377B8F" w14:textId="77777777" w:rsidR="00994AD8" w:rsidRPr="005B0796" w:rsidRDefault="00994AD8" w:rsidP="002E67C4">
            <w:pPr>
              <w:pStyle w:val="TableText"/>
              <w:jc w:val="right"/>
            </w:pPr>
            <w:r w:rsidRPr="005B0796">
              <w:t>Population</w:t>
            </w:r>
          </w:p>
        </w:tc>
        <w:tc>
          <w:tcPr>
            <w:tcW w:w="1250" w:type="dxa"/>
            <w:hideMark/>
          </w:tcPr>
          <w:p w14:paraId="788C0B2A" w14:textId="77777777" w:rsidR="00994AD8" w:rsidRPr="005B0796" w:rsidRDefault="00994AD8" w:rsidP="002E67C4">
            <w:pPr>
              <w:pStyle w:val="TableText"/>
              <w:jc w:val="right"/>
            </w:pPr>
            <w:r w:rsidRPr="005B0796">
              <w:t>Invited</w:t>
            </w:r>
          </w:p>
        </w:tc>
        <w:tc>
          <w:tcPr>
            <w:tcW w:w="1249" w:type="dxa"/>
            <w:hideMark/>
          </w:tcPr>
          <w:p w14:paraId="2F9551F4" w14:textId="77777777" w:rsidR="00994AD8" w:rsidRPr="005B0796" w:rsidRDefault="00994AD8" w:rsidP="002E67C4">
            <w:pPr>
              <w:pStyle w:val="TableText"/>
              <w:jc w:val="right"/>
            </w:pPr>
            <w:r w:rsidRPr="005B0796">
              <w:t>Responders</w:t>
            </w:r>
          </w:p>
        </w:tc>
        <w:tc>
          <w:tcPr>
            <w:tcW w:w="1250" w:type="dxa"/>
            <w:hideMark/>
          </w:tcPr>
          <w:p w14:paraId="0E75D5AF" w14:textId="77777777" w:rsidR="00994AD8" w:rsidRPr="005B0796" w:rsidRDefault="00994AD8" w:rsidP="002E67C4">
            <w:pPr>
              <w:pStyle w:val="TableText"/>
              <w:jc w:val="right"/>
            </w:pPr>
            <w:r w:rsidRPr="005B0796">
              <w:t>Response rate (%)</w:t>
            </w:r>
          </w:p>
        </w:tc>
      </w:tr>
      <w:tr w:rsidR="00994AD8" w:rsidRPr="005B0796" w14:paraId="29964F54"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059B9E13" w14:textId="77777777" w:rsidR="00994AD8" w:rsidRPr="005B0796" w:rsidRDefault="00994AD8" w:rsidP="002E67C4">
            <w:pPr>
              <w:pStyle w:val="TableText"/>
              <w:rPr>
                <w:b/>
              </w:rPr>
            </w:pPr>
            <w:r w:rsidRPr="005B0796">
              <w:rPr>
                <w:b/>
              </w:rPr>
              <w:t>Service</w:t>
            </w:r>
          </w:p>
        </w:tc>
        <w:tc>
          <w:tcPr>
            <w:tcW w:w="1249" w:type="dxa"/>
          </w:tcPr>
          <w:p w14:paraId="3E0C0423" w14:textId="77777777" w:rsidR="00994AD8" w:rsidRPr="005B0796" w:rsidRDefault="00994AD8" w:rsidP="002E67C4">
            <w:pPr>
              <w:pStyle w:val="TableText"/>
              <w:jc w:val="right"/>
            </w:pPr>
          </w:p>
        </w:tc>
        <w:tc>
          <w:tcPr>
            <w:tcW w:w="1249" w:type="dxa"/>
          </w:tcPr>
          <w:p w14:paraId="6E078642" w14:textId="77777777" w:rsidR="00994AD8" w:rsidRPr="005B0796" w:rsidRDefault="00994AD8" w:rsidP="002E67C4">
            <w:pPr>
              <w:pStyle w:val="TableText"/>
              <w:jc w:val="right"/>
            </w:pPr>
          </w:p>
        </w:tc>
        <w:tc>
          <w:tcPr>
            <w:tcW w:w="1250" w:type="dxa"/>
          </w:tcPr>
          <w:p w14:paraId="31B6801F" w14:textId="77777777" w:rsidR="00994AD8" w:rsidRPr="005B0796" w:rsidRDefault="00994AD8" w:rsidP="002E67C4">
            <w:pPr>
              <w:pStyle w:val="TableText"/>
              <w:jc w:val="right"/>
            </w:pPr>
          </w:p>
        </w:tc>
        <w:tc>
          <w:tcPr>
            <w:tcW w:w="1249" w:type="dxa"/>
          </w:tcPr>
          <w:p w14:paraId="415DFFB3" w14:textId="77777777" w:rsidR="00994AD8" w:rsidRPr="005B0796" w:rsidRDefault="00994AD8" w:rsidP="002E67C4">
            <w:pPr>
              <w:pStyle w:val="TableText"/>
              <w:jc w:val="right"/>
            </w:pPr>
          </w:p>
        </w:tc>
        <w:tc>
          <w:tcPr>
            <w:tcW w:w="1249" w:type="dxa"/>
          </w:tcPr>
          <w:p w14:paraId="4E275915" w14:textId="77777777" w:rsidR="00994AD8" w:rsidRPr="005B0796" w:rsidRDefault="00994AD8" w:rsidP="002E67C4">
            <w:pPr>
              <w:pStyle w:val="TableText"/>
              <w:jc w:val="right"/>
            </w:pPr>
          </w:p>
        </w:tc>
        <w:tc>
          <w:tcPr>
            <w:tcW w:w="1250" w:type="dxa"/>
          </w:tcPr>
          <w:p w14:paraId="5691596A" w14:textId="77777777" w:rsidR="00994AD8" w:rsidRPr="005B0796" w:rsidRDefault="00994AD8" w:rsidP="002E67C4">
            <w:pPr>
              <w:pStyle w:val="TableText"/>
              <w:jc w:val="right"/>
            </w:pPr>
          </w:p>
        </w:tc>
        <w:tc>
          <w:tcPr>
            <w:tcW w:w="1249" w:type="dxa"/>
          </w:tcPr>
          <w:p w14:paraId="212008BB" w14:textId="77777777" w:rsidR="00994AD8" w:rsidRPr="005B0796" w:rsidRDefault="00994AD8" w:rsidP="002E67C4">
            <w:pPr>
              <w:pStyle w:val="TableText"/>
              <w:jc w:val="right"/>
            </w:pPr>
          </w:p>
        </w:tc>
        <w:tc>
          <w:tcPr>
            <w:tcW w:w="1250" w:type="dxa"/>
          </w:tcPr>
          <w:p w14:paraId="64FBC3E0" w14:textId="77777777" w:rsidR="00994AD8" w:rsidRPr="005B0796" w:rsidRDefault="00994AD8" w:rsidP="002E67C4">
            <w:pPr>
              <w:pStyle w:val="TableText"/>
              <w:jc w:val="right"/>
            </w:pPr>
          </w:p>
        </w:tc>
      </w:tr>
      <w:tr w:rsidR="00994AD8" w:rsidRPr="005B0796" w14:paraId="0AAD0649" w14:textId="77777777" w:rsidTr="00B737A1">
        <w:trPr>
          <w:cantSplit/>
        </w:trPr>
        <w:tc>
          <w:tcPr>
            <w:tcW w:w="1511" w:type="dxa"/>
            <w:hideMark/>
          </w:tcPr>
          <w:p w14:paraId="066E1306" w14:textId="77777777" w:rsidR="00994AD8" w:rsidRPr="005B0796" w:rsidRDefault="00994AD8" w:rsidP="002E67C4">
            <w:pPr>
              <w:pStyle w:val="TableText"/>
              <w:ind w:left="144"/>
            </w:pPr>
            <w:r w:rsidRPr="005B0796">
              <w:t>Navy</w:t>
            </w:r>
          </w:p>
        </w:tc>
        <w:tc>
          <w:tcPr>
            <w:tcW w:w="1249" w:type="dxa"/>
            <w:hideMark/>
          </w:tcPr>
          <w:p w14:paraId="47DC87EC" w14:textId="77777777" w:rsidR="00994AD8" w:rsidRPr="005B0796" w:rsidRDefault="00994AD8" w:rsidP="002E67C4">
            <w:pPr>
              <w:pStyle w:val="TableText"/>
              <w:jc w:val="right"/>
            </w:pPr>
            <w:r w:rsidRPr="005B0796">
              <w:t>5671</w:t>
            </w:r>
          </w:p>
        </w:tc>
        <w:tc>
          <w:tcPr>
            <w:tcW w:w="1249" w:type="dxa"/>
            <w:hideMark/>
          </w:tcPr>
          <w:p w14:paraId="72575228" w14:textId="77777777" w:rsidR="00994AD8" w:rsidRPr="005B0796" w:rsidRDefault="00994AD8" w:rsidP="002E67C4">
            <w:pPr>
              <w:pStyle w:val="TableText"/>
              <w:jc w:val="right"/>
            </w:pPr>
            <w:r w:rsidRPr="005B0796">
              <w:t>5495</w:t>
            </w:r>
          </w:p>
        </w:tc>
        <w:tc>
          <w:tcPr>
            <w:tcW w:w="1250" w:type="dxa"/>
            <w:hideMark/>
          </w:tcPr>
          <w:p w14:paraId="1AF7B82D" w14:textId="77777777" w:rsidR="00994AD8" w:rsidRPr="005B0796" w:rsidRDefault="00994AD8" w:rsidP="002E67C4">
            <w:pPr>
              <w:pStyle w:val="TableText"/>
              <w:jc w:val="right"/>
            </w:pPr>
            <w:r w:rsidRPr="005B0796">
              <w:t>863</w:t>
            </w:r>
          </w:p>
        </w:tc>
        <w:tc>
          <w:tcPr>
            <w:tcW w:w="1249" w:type="dxa"/>
            <w:hideMark/>
          </w:tcPr>
          <w:p w14:paraId="2C6162B3" w14:textId="77777777" w:rsidR="00994AD8" w:rsidRPr="005B0796" w:rsidRDefault="00994AD8" w:rsidP="002E67C4">
            <w:pPr>
              <w:pStyle w:val="TableText"/>
              <w:jc w:val="right"/>
            </w:pPr>
            <w:r w:rsidRPr="005B0796">
              <w:t>15.7</w:t>
            </w:r>
          </w:p>
        </w:tc>
        <w:tc>
          <w:tcPr>
            <w:tcW w:w="1249" w:type="dxa"/>
            <w:hideMark/>
          </w:tcPr>
          <w:p w14:paraId="2F144A64" w14:textId="77777777" w:rsidR="00994AD8" w:rsidRPr="005B0796" w:rsidRDefault="00994AD8" w:rsidP="002E67C4">
            <w:pPr>
              <w:pStyle w:val="TableText"/>
              <w:jc w:val="right"/>
            </w:pPr>
            <w:r w:rsidRPr="005B0796">
              <w:t>13,282</w:t>
            </w:r>
          </w:p>
        </w:tc>
        <w:tc>
          <w:tcPr>
            <w:tcW w:w="1250" w:type="dxa"/>
            <w:hideMark/>
          </w:tcPr>
          <w:p w14:paraId="38769E3E" w14:textId="77777777" w:rsidR="00994AD8" w:rsidRPr="005B0796" w:rsidRDefault="00994AD8" w:rsidP="002E67C4">
            <w:pPr>
              <w:pStyle w:val="TableText"/>
              <w:jc w:val="right"/>
            </w:pPr>
            <w:r w:rsidRPr="005B0796">
              <w:t>5113</w:t>
            </w:r>
          </w:p>
        </w:tc>
        <w:tc>
          <w:tcPr>
            <w:tcW w:w="1249" w:type="dxa"/>
            <w:hideMark/>
          </w:tcPr>
          <w:p w14:paraId="39A1880A" w14:textId="77777777" w:rsidR="00994AD8" w:rsidRPr="005B0796" w:rsidRDefault="00994AD8" w:rsidP="002E67C4">
            <w:pPr>
              <w:pStyle w:val="TableText"/>
              <w:jc w:val="right"/>
            </w:pPr>
            <w:r w:rsidRPr="005B0796">
              <w:t>2040</w:t>
            </w:r>
          </w:p>
        </w:tc>
        <w:tc>
          <w:tcPr>
            <w:tcW w:w="1250" w:type="dxa"/>
            <w:hideMark/>
          </w:tcPr>
          <w:p w14:paraId="04ECC778" w14:textId="77777777" w:rsidR="00994AD8" w:rsidRPr="005B0796" w:rsidRDefault="00994AD8" w:rsidP="002E67C4">
            <w:pPr>
              <w:pStyle w:val="TableText"/>
              <w:jc w:val="right"/>
            </w:pPr>
            <w:r w:rsidRPr="005B0796">
              <w:t>39.9</w:t>
            </w:r>
          </w:p>
        </w:tc>
      </w:tr>
      <w:tr w:rsidR="00994AD8" w:rsidRPr="005B0796" w14:paraId="3D569E39"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2AD6E122" w14:textId="77777777" w:rsidR="00994AD8" w:rsidRPr="005B0796" w:rsidRDefault="00994AD8" w:rsidP="002E67C4">
            <w:pPr>
              <w:pStyle w:val="TableText"/>
              <w:ind w:left="144"/>
            </w:pPr>
            <w:r w:rsidRPr="005B0796">
              <w:t>Army</w:t>
            </w:r>
          </w:p>
        </w:tc>
        <w:tc>
          <w:tcPr>
            <w:tcW w:w="1249" w:type="dxa"/>
            <w:hideMark/>
          </w:tcPr>
          <w:p w14:paraId="10879B30" w14:textId="77777777" w:rsidR="00994AD8" w:rsidRPr="005B0796" w:rsidRDefault="00994AD8" w:rsidP="002E67C4">
            <w:pPr>
              <w:pStyle w:val="TableText"/>
              <w:jc w:val="right"/>
            </w:pPr>
            <w:r w:rsidRPr="005B0796">
              <w:t>15,038</w:t>
            </w:r>
          </w:p>
        </w:tc>
        <w:tc>
          <w:tcPr>
            <w:tcW w:w="1249" w:type="dxa"/>
            <w:hideMark/>
          </w:tcPr>
          <w:p w14:paraId="3D593F01" w14:textId="77777777" w:rsidR="00994AD8" w:rsidRPr="005B0796" w:rsidRDefault="00994AD8" w:rsidP="002E67C4">
            <w:pPr>
              <w:pStyle w:val="TableText"/>
              <w:jc w:val="right"/>
            </w:pPr>
            <w:r w:rsidRPr="005B0796">
              <w:t>14,465</w:t>
            </w:r>
          </w:p>
        </w:tc>
        <w:tc>
          <w:tcPr>
            <w:tcW w:w="1250" w:type="dxa"/>
            <w:hideMark/>
          </w:tcPr>
          <w:p w14:paraId="23D2D68B" w14:textId="77777777" w:rsidR="00994AD8" w:rsidRPr="005B0796" w:rsidRDefault="00994AD8" w:rsidP="002E67C4">
            <w:pPr>
              <w:pStyle w:val="TableText"/>
              <w:jc w:val="right"/>
            </w:pPr>
            <w:r w:rsidRPr="005B0796">
              <w:t>2463</w:t>
            </w:r>
          </w:p>
        </w:tc>
        <w:tc>
          <w:tcPr>
            <w:tcW w:w="1249" w:type="dxa"/>
            <w:hideMark/>
          </w:tcPr>
          <w:p w14:paraId="6A7D496B" w14:textId="77777777" w:rsidR="00994AD8" w:rsidRPr="005B0796" w:rsidRDefault="00994AD8" w:rsidP="002E67C4">
            <w:pPr>
              <w:pStyle w:val="TableText"/>
              <w:jc w:val="right"/>
            </w:pPr>
            <w:r w:rsidRPr="005B0796">
              <w:t>17.0</w:t>
            </w:r>
          </w:p>
        </w:tc>
        <w:tc>
          <w:tcPr>
            <w:tcW w:w="1249" w:type="dxa"/>
            <w:hideMark/>
          </w:tcPr>
          <w:p w14:paraId="63766D2E" w14:textId="77777777" w:rsidR="00994AD8" w:rsidRPr="005B0796" w:rsidRDefault="00994AD8" w:rsidP="002E67C4">
            <w:pPr>
              <w:pStyle w:val="TableText"/>
              <w:jc w:val="right"/>
            </w:pPr>
            <w:r w:rsidRPr="005B0796">
              <w:t>25,798</w:t>
            </w:r>
          </w:p>
        </w:tc>
        <w:tc>
          <w:tcPr>
            <w:tcW w:w="1250" w:type="dxa"/>
            <w:hideMark/>
          </w:tcPr>
          <w:p w14:paraId="51475959" w14:textId="77777777" w:rsidR="00994AD8" w:rsidRPr="005B0796" w:rsidRDefault="00994AD8" w:rsidP="002E67C4">
            <w:pPr>
              <w:pStyle w:val="TableText"/>
              <w:jc w:val="right"/>
            </w:pPr>
            <w:r w:rsidRPr="005B0796">
              <w:t>8067</w:t>
            </w:r>
          </w:p>
        </w:tc>
        <w:tc>
          <w:tcPr>
            <w:tcW w:w="1249" w:type="dxa"/>
            <w:hideMark/>
          </w:tcPr>
          <w:p w14:paraId="393B8ACB" w14:textId="77777777" w:rsidR="00994AD8" w:rsidRPr="005B0796" w:rsidRDefault="00994AD8" w:rsidP="002E67C4">
            <w:pPr>
              <w:pStyle w:val="TableText"/>
              <w:jc w:val="right"/>
            </w:pPr>
            <w:r w:rsidRPr="005B0796">
              <w:t>3500</w:t>
            </w:r>
          </w:p>
        </w:tc>
        <w:tc>
          <w:tcPr>
            <w:tcW w:w="1250" w:type="dxa"/>
            <w:hideMark/>
          </w:tcPr>
          <w:p w14:paraId="3C4850F5" w14:textId="77777777" w:rsidR="00994AD8" w:rsidRPr="005B0796" w:rsidRDefault="00994AD8" w:rsidP="002E67C4">
            <w:pPr>
              <w:pStyle w:val="TableText"/>
              <w:jc w:val="right"/>
            </w:pPr>
            <w:r w:rsidRPr="005B0796">
              <w:t>43.4</w:t>
            </w:r>
          </w:p>
        </w:tc>
      </w:tr>
      <w:tr w:rsidR="00994AD8" w:rsidRPr="005B0796" w14:paraId="52B3F795" w14:textId="77777777" w:rsidTr="00B737A1">
        <w:trPr>
          <w:cantSplit/>
        </w:trPr>
        <w:tc>
          <w:tcPr>
            <w:tcW w:w="1511" w:type="dxa"/>
            <w:hideMark/>
          </w:tcPr>
          <w:p w14:paraId="3F00B4AB" w14:textId="77777777" w:rsidR="00994AD8" w:rsidRPr="005B0796" w:rsidRDefault="00994AD8" w:rsidP="002E67C4">
            <w:pPr>
              <w:pStyle w:val="TableText"/>
              <w:ind w:left="144"/>
            </w:pPr>
            <w:r w:rsidRPr="005B0796">
              <w:t>Air Force</w:t>
            </w:r>
          </w:p>
        </w:tc>
        <w:tc>
          <w:tcPr>
            <w:tcW w:w="1249" w:type="dxa"/>
            <w:hideMark/>
          </w:tcPr>
          <w:p w14:paraId="191FD44C" w14:textId="77777777" w:rsidR="00994AD8" w:rsidRPr="005B0796" w:rsidRDefault="00994AD8" w:rsidP="002E67C4">
            <w:pPr>
              <w:pStyle w:val="TableText"/>
              <w:jc w:val="right"/>
            </w:pPr>
            <w:r w:rsidRPr="005B0796">
              <w:t>4223</w:t>
            </w:r>
          </w:p>
        </w:tc>
        <w:tc>
          <w:tcPr>
            <w:tcW w:w="1249" w:type="dxa"/>
            <w:hideMark/>
          </w:tcPr>
          <w:p w14:paraId="752028B8" w14:textId="77777777" w:rsidR="00994AD8" w:rsidRPr="005B0796" w:rsidRDefault="00994AD8" w:rsidP="002E67C4">
            <w:pPr>
              <w:pStyle w:val="TableText"/>
              <w:jc w:val="right"/>
            </w:pPr>
            <w:r w:rsidRPr="005B0796">
              <w:t>4014</w:t>
            </w:r>
          </w:p>
        </w:tc>
        <w:tc>
          <w:tcPr>
            <w:tcW w:w="1250" w:type="dxa"/>
            <w:hideMark/>
          </w:tcPr>
          <w:p w14:paraId="6DC71520" w14:textId="77777777" w:rsidR="00994AD8" w:rsidRPr="005B0796" w:rsidRDefault="00994AD8" w:rsidP="002E67C4">
            <w:pPr>
              <w:pStyle w:val="TableText"/>
              <w:jc w:val="right"/>
            </w:pPr>
            <w:r w:rsidRPr="005B0796">
              <w:t>1000</w:t>
            </w:r>
          </w:p>
        </w:tc>
        <w:tc>
          <w:tcPr>
            <w:tcW w:w="1249" w:type="dxa"/>
            <w:hideMark/>
          </w:tcPr>
          <w:p w14:paraId="09825740" w14:textId="77777777" w:rsidR="00994AD8" w:rsidRPr="005B0796" w:rsidRDefault="00994AD8" w:rsidP="002E67C4">
            <w:pPr>
              <w:pStyle w:val="TableText"/>
              <w:jc w:val="right"/>
            </w:pPr>
            <w:r w:rsidRPr="005B0796">
              <w:t>24.9</w:t>
            </w:r>
          </w:p>
        </w:tc>
        <w:tc>
          <w:tcPr>
            <w:tcW w:w="1249" w:type="dxa"/>
            <w:hideMark/>
          </w:tcPr>
          <w:p w14:paraId="6859F802" w14:textId="77777777" w:rsidR="00994AD8" w:rsidRPr="005B0796" w:rsidRDefault="00994AD8" w:rsidP="002E67C4">
            <w:pPr>
              <w:pStyle w:val="TableText"/>
              <w:jc w:val="right"/>
            </w:pPr>
            <w:r w:rsidRPr="005B0796">
              <w:t>13,420</w:t>
            </w:r>
          </w:p>
        </w:tc>
        <w:tc>
          <w:tcPr>
            <w:tcW w:w="1250" w:type="dxa"/>
            <w:hideMark/>
          </w:tcPr>
          <w:p w14:paraId="5E8C42AF" w14:textId="77777777" w:rsidR="00994AD8" w:rsidRPr="005B0796" w:rsidRDefault="00994AD8" w:rsidP="002E67C4">
            <w:pPr>
              <w:pStyle w:val="TableText"/>
              <w:jc w:val="right"/>
            </w:pPr>
            <w:r w:rsidRPr="005B0796">
              <w:t>6851</w:t>
            </w:r>
          </w:p>
        </w:tc>
        <w:tc>
          <w:tcPr>
            <w:tcW w:w="1249" w:type="dxa"/>
            <w:hideMark/>
          </w:tcPr>
          <w:p w14:paraId="45E72B3C" w14:textId="77777777" w:rsidR="00994AD8" w:rsidRPr="005B0796" w:rsidRDefault="00994AD8" w:rsidP="002E67C4">
            <w:pPr>
              <w:pStyle w:val="TableText"/>
              <w:jc w:val="right"/>
            </w:pPr>
            <w:r w:rsidRPr="005B0796">
              <w:rPr>
                <w:rFonts w:eastAsia="Times New Roman"/>
                <w:lang w:eastAsia="en-AU"/>
              </w:rPr>
              <w:t>2940</w:t>
            </w:r>
          </w:p>
        </w:tc>
        <w:tc>
          <w:tcPr>
            <w:tcW w:w="1250" w:type="dxa"/>
            <w:hideMark/>
          </w:tcPr>
          <w:p w14:paraId="507279B5" w14:textId="77777777" w:rsidR="00994AD8" w:rsidRPr="005B0796" w:rsidRDefault="00994AD8" w:rsidP="002E67C4">
            <w:pPr>
              <w:pStyle w:val="TableText"/>
              <w:jc w:val="right"/>
            </w:pPr>
            <w:r w:rsidRPr="005B0796">
              <w:t>42.9</w:t>
            </w:r>
          </w:p>
        </w:tc>
      </w:tr>
      <w:tr w:rsidR="00994AD8" w:rsidRPr="005B0796" w14:paraId="463F07CA"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D2DFF5F" w14:textId="77777777" w:rsidR="00994AD8" w:rsidRPr="005B0796" w:rsidRDefault="00994AD8" w:rsidP="002E67C4">
            <w:pPr>
              <w:pStyle w:val="TableText"/>
              <w:rPr>
                <w:b/>
              </w:rPr>
            </w:pPr>
            <w:r w:rsidRPr="005B0796">
              <w:rPr>
                <w:b/>
              </w:rPr>
              <w:t>Sex</w:t>
            </w:r>
          </w:p>
        </w:tc>
        <w:tc>
          <w:tcPr>
            <w:tcW w:w="1249" w:type="dxa"/>
          </w:tcPr>
          <w:p w14:paraId="48AABD19" w14:textId="77777777" w:rsidR="00994AD8" w:rsidRPr="005B0796" w:rsidRDefault="00994AD8" w:rsidP="002E67C4">
            <w:pPr>
              <w:pStyle w:val="TableText"/>
              <w:jc w:val="right"/>
            </w:pPr>
          </w:p>
        </w:tc>
        <w:tc>
          <w:tcPr>
            <w:tcW w:w="1249" w:type="dxa"/>
          </w:tcPr>
          <w:p w14:paraId="59253CE6" w14:textId="77777777" w:rsidR="00994AD8" w:rsidRPr="005B0796" w:rsidRDefault="00994AD8" w:rsidP="002E67C4">
            <w:pPr>
              <w:pStyle w:val="TableText"/>
              <w:jc w:val="right"/>
            </w:pPr>
          </w:p>
        </w:tc>
        <w:tc>
          <w:tcPr>
            <w:tcW w:w="1250" w:type="dxa"/>
          </w:tcPr>
          <w:p w14:paraId="049E3513" w14:textId="77777777" w:rsidR="00994AD8" w:rsidRPr="005B0796" w:rsidRDefault="00994AD8" w:rsidP="002E67C4">
            <w:pPr>
              <w:pStyle w:val="TableText"/>
              <w:jc w:val="right"/>
            </w:pPr>
          </w:p>
        </w:tc>
        <w:tc>
          <w:tcPr>
            <w:tcW w:w="1249" w:type="dxa"/>
          </w:tcPr>
          <w:p w14:paraId="4466D47F" w14:textId="77777777" w:rsidR="00994AD8" w:rsidRPr="005B0796" w:rsidRDefault="00994AD8" w:rsidP="002E67C4">
            <w:pPr>
              <w:pStyle w:val="TableText"/>
              <w:jc w:val="right"/>
            </w:pPr>
          </w:p>
        </w:tc>
        <w:tc>
          <w:tcPr>
            <w:tcW w:w="1249" w:type="dxa"/>
          </w:tcPr>
          <w:p w14:paraId="37F2E7A0" w14:textId="77777777" w:rsidR="00994AD8" w:rsidRPr="005B0796" w:rsidRDefault="00994AD8" w:rsidP="002E67C4">
            <w:pPr>
              <w:pStyle w:val="TableText"/>
              <w:jc w:val="right"/>
            </w:pPr>
          </w:p>
        </w:tc>
        <w:tc>
          <w:tcPr>
            <w:tcW w:w="1250" w:type="dxa"/>
          </w:tcPr>
          <w:p w14:paraId="7CACB6A5" w14:textId="77777777" w:rsidR="00994AD8" w:rsidRPr="005B0796" w:rsidRDefault="00994AD8" w:rsidP="002E67C4">
            <w:pPr>
              <w:pStyle w:val="TableText"/>
              <w:jc w:val="right"/>
            </w:pPr>
          </w:p>
        </w:tc>
        <w:tc>
          <w:tcPr>
            <w:tcW w:w="1249" w:type="dxa"/>
          </w:tcPr>
          <w:p w14:paraId="08E7C9C3" w14:textId="77777777" w:rsidR="00994AD8" w:rsidRPr="005B0796" w:rsidRDefault="00994AD8" w:rsidP="002E67C4">
            <w:pPr>
              <w:pStyle w:val="TableText"/>
              <w:jc w:val="right"/>
              <w:rPr>
                <w:rFonts w:eastAsia="Times New Roman"/>
                <w:lang w:eastAsia="en-AU"/>
              </w:rPr>
            </w:pPr>
          </w:p>
        </w:tc>
        <w:tc>
          <w:tcPr>
            <w:tcW w:w="1250" w:type="dxa"/>
          </w:tcPr>
          <w:p w14:paraId="3F33EE05" w14:textId="77777777" w:rsidR="00994AD8" w:rsidRPr="005B0796" w:rsidRDefault="00994AD8" w:rsidP="002E67C4">
            <w:pPr>
              <w:pStyle w:val="TableText"/>
              <w:jc w:val="right"/>
              <w:rPr>
                <w:rFonts w:eastAsia="MS Mincho"/>
              </w:rPr>
            </w:pPr>
          </w:p>
        </w:tc>
      </w:tr>
      <w:tr w:rsidR="00994AD8" w:rsidRPr="005B0796" w14:paraId="580DAD19" w14:textId="77777777" w:rsidTr="00B737A1">
        <w:trPr>
          <w:cantSplit/>
        </w:trPr>
        <w:tc>
          <w:tcPr>
            <w:tcW w:w="1511" w:type="dxa"/>
            <w:hideMark/>
          </w:tcPr>
          <w:p w14:paraId="7B1A9F47" w14:textId="77777777" w:rsidR="00994AD8" w:rsidRPr="005B0796" w:rsidRDefault="00994AD8" w:rsidP="002E67C4">
            <w:pPr>
              <w:pStyle w:val="TableText"/>
              <w:ind w:left="144"/>
            </w:pPr>
            <w:r w:rsidRPr="005B0796">
              <w:t>Male</w:t>
            </w:r>
          </w:p>
        </w:tc>
        <w:tc>
          <w:tcPr>
            <w:tcW w:w="1249" w:type="dxa"/>
            <w:hideMark/>
          </w:tcPr>
          <w:p w14:paraId="475D7143" w14:textId="77777777" w:rsidR="00994AD8" w:rsidRPr="005B0796" w:rsidRDefault="00994AD8" w:rsidP="002E67C4">
            <w:pPr>
              <w:pStyle w:val="TableText"/>
              <w:jc w:val="right"/>
            </w:pPr>
            <w:r w:rsidRPr="005B0796">
              <w:t>21,671</w:t>
            </w:r>
          </w:p>
        </w:tc>
        <w:tc>
          <w:tcPr>
            <w:tcW w:w="1249" w:type="dxa"/>
            <w:hideMark/>
          </w:tcPr>
          <w:p w14:paraId="66CEE497" w14:textId="77777777" w:rsidR="00994AD8" w:rsidRPr="005B0796" w:rsidRDefault="00994AD8" w:rsidP="002E67C4">
            <w:pPr>
              <w:pStyle w:val="TableText"/>
              <w:jc w:val="right"/>
            </w:pPr>
            <w:r w:rsidRPr="005B0796">
              <w:t>20,713</w:t>
            </w:r>
          </w:p>
        </w:tc>
        <w:tc>
          <w:tcPr>
            <w:tcW w:w="1250" w:type="dxa"/>
            <w:hideMark/>
          </w:tcPr>
          <w:p w14:paraId="2A24591C" w14:textId="77777777" w:rsidR="00994AD8" w:rsidRPr="005B0796" w:rsidRDefault="00994AD8" w:rsidP="002E67C4">
            <w:pPr>
              <w:pStyle w:val="TableText"/>
              <w:jc w:val="right"/>
            </w:pPr>
            <w:r w:rsidRPr="005B0796">
              <w:t>3646</w:t>
            </w:r>
          </w:p>
        </w:tc>
        <w:tc>
          <w:tcPr>
            <w:tcW w:w="1249" w:type="dxa"/>
            <w:hideMark/>
          </w:tcPr>
          <w:p w14:paraId="4F7B625C" w14:textId="77777777" w:rsidR="00994AD8" w:rsidRPr="005B0796" w:rsidRDefault="00994AD8" w:rsidP="002E67C4">
            <w:pPr>
              <w:pStyle w:val="TableText"/>
              <w:jc w:val="right"/>
            </w:pPr>
            <w:r w:rsidRPr="005B0796">
              <w:t>17.6</w:t>
            </w:r>
          </w:p>
        </w:tc>
        <w:tc>
          <w:tcPr>
            <w:tcW w:w="1249" w:type="dxa"/>
            <w:hideMark/>
          </w:tcPr>
          <w:p w14:paraId="4B793F6F" w14:textId="77777777" w:rsidR="00994AD8" w:rsidRPr="005B0796" w:rsidRDefault="00994AD8" w:rsidP="002E67C4">
            <w:pPr>
              <w:pStyle w:val="TableText"/>
              <w:jc w:val="right"/>
            </w:pPr>
            <w:r w:rsidRPr="005B0796">
              <w:t>47,645</w:t>
            </w:r>
          </w:p>
        </w:tc>
        <w:tc>
          <w:tcPr>
            <w:tcW w:w="1250" w:type="dxa"/>
            <w:hideMark/>
          </w:tcPr>
          <w:p w14:paraId="05836144" w14:textId="77777777" w:rsidR="00994AD8" w:rsidRPr="005B0796" w:rsidRDefault="00994AD8" w:rsidP="002E67C4">
            <w:pPr>
              <w:pStyle w:val="TableText"/>
              <w:jc w:val="right"/>
            </w:pPr>
            <w:r w:rsidRPr="005B0796">
              <w:t>15,176</w:t>
            </w:r>
          </w:p>
        </w:tc>
        <w:tc>
          <w:tcPr>
            <w:tcW w:w="1249" w:type="dxa"/>
            <w:hideMark/>
          </w:tcPr>
          <w:p w14:paraId="1C371C50" w14:textId="77777777" w:rsidR="00994AD8" w:rsidRPr="005B0796" w:rsidRDefault="00994AD8" w:rsidP="002E67C4">
            <w:pPr>
              <w:pStyle w:val="TableText"/>
              <w:jc w:val="right"/>
              <w:rPr>
                <w:rFonts w:eastAsia="Times New Roman"/>
                <w:lang w:eastAsia="en-AU"/>
              </w:rPr>
            </w:pPr>
            <w:r w:rsidRPr="005B0796">
              <w:rPr>
                <w:rFonts w:eastAsia="Times New Roman"/>
                <w:lang w:eastAsia="en-AU"/>
              </w:rPr>
              <w:t>6693</w:t>
            </w:r>
          </w:p>
        </w:tc>
        <w:tc>
          <w:tcPr>
            <w:tcW w:w="1250" w:type="dxa"/>
            <w:hideMark/>
          </w:tcPr>
          <w:p w14:paraId="0945DBCB" w14:textId="77777777" w:rsidR="00994AD8" w:rsidRPr="005B0796" w:rsidRDefault="00994AD8" w:rsidP="002E67C4">
            <w:pPr>
              <w:pStyle w:val="TableText"/>
              <w:jc w:val="right"/>
              <w:rPr>
                <w:rFonts w:eastAsia="MS Mincho"/>
              </w:rPr>
            </w:pPr>
            <w:r w:rsidRPr="005B0796">
              <w:t>44.1</w:t>
            </w:r>
          </w:p>
        </w:tc>
      </w:tr>
      <w:tr w:rsidR="00994AD8" w:rsidRPr="005B0796" w14:paraId="5B75A41F"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1FB67452" w14:textId="77777777" w:rsidR="00994AD8" w:rsidRPr="005B0796" w:rsidRDefault="00994AD8" w:rsidP="002E67C4">
            <w:pPr>
              <w:pStyle w:val="TableText"/>
              <w:ind w:left="144"/>
            </w:pPr>
            <w:r w:rsidRPr="005B0796">
              <w:t>Female</w:t>
            </w:r>
          </w:p>
        </w:tc>
        <w:tc>
          <w:tcPr>
            <w:tcW w:w="1249" w:type="dxa"/>
            <w:hideMark/>
          </w:tcPr>
          <w:p w14:paraId="35993845" w14:textId="77777777" w:rsidR="00994AD8" w:rsidRPr="005B0796" w:rsidRDefault="00994AD8" w:rsidP="002E67C4">
            <w:pPr>
              <w:pStyle w:val="TableText"/>
              <w:jc w:val="right"/>
            </w:pPr>
            <w:r w:rsidRPr="005B0796">
              <w:t>3261</w:t>
            </w:r>
          </w:p>
        </w:tc>
        <w:tc>
          <w:tcPr>
            <w:tcW w:w="1249" w:type="dxa"/>
            <w:hideMark/>
          </w:tcPr>
          <w:p w14:paraId="521077AC" w14:textId="77777777" w:rsidR="00994AD8" w:rsidRPr="005B0796" w:rsidRDefault="00994AD8" w:rsidP="002E67C4">
            <w:pPr>
              <w:pStyle w:val="TableText"/>
              <w:jc w:val="right"/>
            </w:pPr>
            <w:r w:rsidRPr="005B0796">
              <w:t>3261</w:t>
            </w:r>
          </w:p>
        </w:tc>
        <w:tc>
          <w:tcPr>
            <w:tcW w:w="1250" w:type="dxa"/>
            <w:hideMark/>
          </w:tcPr>
          <w:p w14:paraId="5CCBDBB2" w14:textId="77777777" w:rsidR="00994AD8" w:rsidRPr="005B0796" w:rsidRDefault="00994AD8" w:rsidP="002E67C4">
            <w:pPr>
              <w:pStyle w:val="TableText"/>
              <w:jc w:val="right"/>
            </w:pPr>
            <w:r w:rsidRPr="005B0796">
              <w:t>380</w:t>
            </w:r>
          </w:p>
        </w:tc>
        <w:tc>
          <w:tcPr>
            <w:tcW w:w="1249" w:type="dxa"/>
            <w:hideMark/>
          </w:tcPr>
          <w:p w14:paraId="13B8302E" w14:textId="77777777" w:rsidR="00994AD8" w:rsidRPr="005B0796" w:rsidRDefault="00994AD8" w:rsidP="002E67C4">
            <w:pPr>
              <w:pStyle w:val="TableText"/>
              <w:jc w:val="right"/>
            </w:pPr>
            <w:r w:rsidRPr="005B0796">
              <w:t>20.9</w:t>
            </w:r>
          </w:p>
        </w:tc>
        <w:tc>
          <w:tcPr>
            <w:tcW w:w="1249" w:type="dxa"/>
            <w:hideMark/>
          </w:tcPr>
          <w:p w14:paraId="1C1D197F" w14:textId="77777777" w:rsidR="00994AD8" w:rsidRPr="005B0796" w:rsidRDefault="00994AD8" w:rsidP="002E67C4">
            <w:pPr>
              <w:pStyle w:val="TableText"/>
              <w:jc w:val="right"/>
            </w:pPr>
            <w:r w:rsidRPr="005B0796">
              <w:t>4855</w:t>
            </w:r>
          </w:p>
        </w:tc>
        <w:tc>
          <w:tcPr>
            <w:tcW w:w="1250" w:type="dxa"/>
            <w:hideMark/>
          </w:tcPr>
          <w:p w14:paraId="2367ED3D" w14:textId="77777777" w:rsidR="00994AD8" w:rsidRPr="005B0796" w:rsidRDefault="00994AD8" w:rsidP="002E67C4">
            <w:pPr>
              <w:pStyle w:val="TableText"/>
              <w:jc w:val="right"/>
            </w:pPr>
            <w:r w:rsidRPr="005B0796">
              <w:t>4855</w:t>
            </w:r>
          </w:p>
        </w:tc>
        <w:tc>
          <w:tcPr>
            <w:tcW w:w="1249" w:type="dxa"/>
            <w:hideMark/>
          </w:tcPr>
          <w:p w14:paraId="6504F74D" w14:textId="77777777" w:rsidR="00994AD8" w:rsidRPr="005B0796" w:rsidRDefault="00994AD8" w:rsidP="002E67C4">
            <w:pPr>
              <w:pStyle w:val="TableText"/>
              <w:jc w:val="right"/>
              <w:rPr>
                <w:rFonts w:eastAsia="Times New Roman"/>
                <w:lang w:eastAsia="en-AU"/>
              </w:rPr>
            </w:pPr>
            <w:r w:rsidRPr="005B0796">
              <w:rPr>
                <w:rFonts w:eastAsia="Times New Roman"/>
                <w:lang w:eastAsia="en-AU"/>
              </w:rPr>
              <w:t>1787</w:t>
            </w:r>
          </w:p>
        </w:tc>
        <w:tc>
          <w:tcPr>
            <w:tcW w:w="1250" w:type="dxa"/>
            <w:hideMark/>
          </w:tcPr>
          <w:p w14:paraId="0A904361" w14:textId="77777777" w:rsidR="00994AD8" w:rsidRPr="005B0796" w:rsidRDefault="00994AD8" w:rsidP="002E67C4">
            <w:pPr>
              <w:pStyle w:val="TableText"/>
              <w:jc w:val="right"/>
              <w:rPr>
                <w:rFonts w:eastAsia="MS Mincho"/>
              </w:rPr>
            </w:pPr>
            <w:r w:rsidRPr="005B0796">
              <w:t>36.8</w:t>
            </w:r>
          </w:p>
        </w:tc>
      </w:tr>
      <w:tr w:rsidR="00994AD8" w:rsidRPr="005B0796" w14:paraId="77EF2421" w14:textId="77777777" w:rsidTr="00B737A1">
        <w:trPr>
          <w:cantSplit/>
        </w:trPr>
        <w:tc>
          <w:tcPr>
            <w:tcW w:w="1511" w:type="dxa"/>
            <w:hideMark/>
          </w:tcPr>
          <w:p w14:paraId="4B2628D4" w14:textId="77777777" w:rsidR="00994AD8" w:rsidRPr="005B0796" w:rsidRDefault="00994AD8" w:rsidP="002E67C4">
            <w:pPr>
              <w:pStyle w:val="TableText"/>
              <w:rPr>
                <w:b/>
              </w:rPr>
            </w:pPr>
            <w:r w:rsidRPr="005B0796">
              <w:rPr>
                <w:b/>
              </w:rPr>
              <w:t>Rank</w:t>
            </w:r>
          </w:p>
        </w:tc>
        <w:tc>
          <w:tcPr>
            <w:tcW w:w="1249" w:type="dxa"/>
          </w:tcPr>
          <w:p w14:paraId="11F9389E" w14:textId="77777777" w:rsidR="00994AD8" w:rsidRPr="005B0796" w:rsidRDefault="00994AD8" w:rsidP="002E67C4">
            <w:pPr>
              <w:pStyle w:val="TableText"/>
              <w:jc w:val="right"/>
            </w:pPr>
          </w:p>
        </w:tc>
        <w:tc>
          <w:tcPr>
            <w:tcW w:w="1249" w:type="dxa"/>
          </w:tcPr>
          <w:p w14:paraId="20FDB295" w14:textId="77777777" w:rsidR="00994AD8" w:rsidRPr="005B0796" w:rsidRDefault="00994AD8" w:rsidP="002E67C4">
            <w:pPr>
              <w:pStyle w:val="TableText"/>
              <w:jc w:val="right"/>
            </w:pPr>
          </w:p>
        </w:tc>
        <w:tc>
          <w:tcPr>
            <w:tcW w:w="1250" w:type="dxa"/>
          </w:tcPr>
          <w:p w14:paraId="3FB8C5E9" w14:textId="77777777" w:rsidR="00994AD8" w:rsidRPr="005B0796" w:rsidRDefault="00994AD8" w:rsidP="002E67C4">
            <w:pPr>
              <w:pStyle w:val="TableText"/>
              <w:jc w:val="right"/>
            </w:pPr>
          </w:p>
        </w:tc>
        <w:tc>
          <w:tcPr>
            <w:tcW w:w="1249" w:type="dxa"/>
          </w:tcPr>
          <w:p w14:paraId="2E8D55EF" w14:textId="77777777" w:rsidR="00994AD8" w:rsidRPr="005B0796" w:rsidRDefault="00994AD8" w:rsidP="002E67C4">
            <w:pPr>
              <w:pStyle w:val="TableText"/>
              <w:jc w:val="right"/>
            </w:pPr>
          </w:p>
        </w:tc>
        <w:tc>
          <w:tcPr>
            <w:tcW w:w="1249" w:type="dxa"/>
          </w:tcPr>
          <w:p w14:paraId="7F2686F0" w14:textId="77777777" w:rsidR="00994AD8" w:rsidRPr="005B0796" w:rsidRDefault="00994AD8" w:rsidP="002E67C4">
            <w:pPr>
              <w:pStyle w:val="TableText"/>
              <w:jc w:val="right"/>
            </w:pPr>
          </w:p>
        </w:tc>
        <w:tc>
          <w:tcPr>
            <w:tcW w:w="1250" w:type="dxa"/>
          </w:tcPr>
          <w:p w14:paraId="0413B295" w14:textId="77777777" w:rsidR="00994AD8" w:rsidRPr="005B0796" w:rsidRDefault="00994AD8" w:rsidP="002E67C4">
            <w:pPr>
              <w:pStyle w:val="TableText"/>
              <w:jc w:val="right"/>
            </w:pPr>
          </w:p>
        </w:tc>
        <w:tc>
          <w:tcPr>
            <w:tcW w:w="1249" w:type="dxa"/>
          </w:tcPr>
          <w:p w14:paraId="02B6A851" w14:textId="77777777" w:rsidR="00994AD8" w:rsidRPr="005B0796" w:rsidRDefault="00994AD8" w:rsidP="002E67C4">
            <w:pPr>
              <w:pStyle w:val="TableText"/>
              <w:jc w:val="right"/>
              <w:rPr>
                <w:rFonts w:eastAsia="Times New Roman"/>
                <w:lang w:eastAsia="en-AU"/>
              </w:rPr>
            </w:pPr>
          </w:p>
        </w:tc>
        <w:tc>
          <w:tcPr>
            <w:tcW w:w="1250" w:type="dxa"/>
          </w:tcPr>
          <w:p w14:paraId="3463E905" w14:textId="77777777" w:rsidR="00994AD8" w:rsidRPr="005B0796" w:rsidRDefault="00994AD8" w:rsidP="002E67C4">
            <w:pPr>
              <w:pStyle w:val="TableText"/>
              <w:jc w:val="right"/>
              <w:rPr>
                <w:rFonts w:eastAsia="MS Mincho"/>
              </w:rPr>
            </w:pPr>
          </w:p>
        </w:tc>
      </w:tr>
      <w:tr w:rsidR="00994AD8" w:rsidRPr="005B0796" w14:paraId="55EF7D51"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2C4A097D" w14:textId="77777777" w:rsidR="00994AD8" w:rsidRPr="005B0796" w:rsidRDefault="00994AD8" w:rsidP="002E67C4">
            <w:pPr>
              <w:pStyle w:val="TableText"/>
              <w:ind w:left="144"/>
            </w:pPr>
            <w:r w:rsidRPr="005B0796">
              <w:t>OFFR</w:t>
            </w:r>
          </w:p>
        </w:tc>
        <w:tc>
          <w:tcPr>
            <w:tcW w:w="1249" w:type="dxa"/>
            <w:hideMark/>
          </w:tcPr>
          <w:p w14:paraId="2F5AD1DC" w14:textId="77777777" w:rsidR="00994AD8" w:rsidRPr="005B0796" w:rsidRDefault="00994AD8" w:rsidP="002E67C4">
            <w:pPr>
              <w:pStyle w:val="TableText"/>
              <w:jc w:val="right"/>
            </w:pPr>
            <w:r w:rsidRPr="005B0796">
              <w:t>4063</w:t>
            </w:r>
          </w:p>
        </w:tc>
        <w:tc>
          <w:tcPr>
            <w:tcW w:w="1249" w:type="dxa"/>
            <w:hideMark/>
          </w:tcPr>
          <w:p w14:paraId="4A31A968" w14:textId="77777777" w:rsidR="00994AD8" w:rsidRPr="005B0796" w:rsidRDefault="00994AD8" w:rsidP="002E67C4">
            <w:pPr>
              <w:pStyle w:val="TableText"/>
              <w:jc w:val="right"/>
            </w:pPr>
            <w:r w:rsidRPr="005B0796">
              <w:t>3939</w:t>
            </w:r>
          </w:p>
        </w:tc>
        <w:tc>
          <w:tcPr>
            <w:tcW w:w="1250" w:type="dxa"/>
            <w:hideMark/>
          </w:tcPr>
          <w:p w14:paraId="6E3CD55E" w14:textId="77777777" w:rsidR="00994AD8" w:rsidRPr="005B0796" w:rsidRDefault="00994AD8" w:rsidP="002E67C4">
            <w:pPr>
              <w:pStyle w:val="TableText"/>
              <w:jc w:val="right"/>
            </w:pPr>
            <w:r w:rsidRPr="005B0796">
              <w:t>1259</w:t>
            </w:r>
          </w:p>
        </w:tc>
        <w:tc>
          <w:tcPr>
            <w:tcW w:w="1249" w:type="dxa"/>
            <w:hideMark/>
          </w:tcPr>
          <w:p w14:paraId="2ED26824" w14:textId="77777777" w:rsidR="00994AD8" w:rsidRPr="005B0796" w:rsidRDefault="00994AD8" w:rsidP="002E67C4">
            <w:pPr>
              <w:pStyle w:val="TableText"/>
              <w:jc w:val="right"/>
            </w:pPr>
            <w:r w:rsidRPr="005B0796">
              <w:t>32.0</w:t>
            </w:r>
          </w:p>
        </w:tc>
        <w:tc>
          <w:tcPr>
            <w:tcW w:w="1249" w:type="dxa"/>
            <w:hideMark/>
          </w:tcPr>
          <w:p w14:paraId="58F2039E" w14:textId="77777777" w:rsidR="00994AD8" w:rsidRPr="005B0796" w:rsidRDefault="00994AD8" w:rsidP="002E67C4">
            <w:pPr>
              <w:pStyle w:val="TableText"/>
              <w:jc w:val="right"/>
            </w:pPr>
            <w:r w:rsidRPr="005B0796">
              <w:t>13,444</w:t>
            </w:r>
          </w:p>
        </w:tc>
        <w:tc>
          <w:tcPr>
            <w:tcW w:w="1250" w:type="dxa"/>
            <w:hideMark/>
          </w:tcPr>
          <w:p w14:paraId="5781BCBB" w14:textId="77777777" w:rsidR="00994AD8" w:rsidRPr="005B0796" w:rsidRDefault="00994AD8" w:rsidP="002E67C4">
            <w:pPr>
              <w:pStyle w:val="TableText"/>
              <w:jc w:val="right"/>
            </w:pPr>
            <w:r w:rsidRPr="005B0796">
              <w:t>7847</w:t>
            </w:r>
          </w:p>
        </w:tc>
        <w:tc>
          <w:tcPr>
            <w:tcW w:w="1249" w:type="dxa"/>
            <w:hideMark/>
          </w:tcPr>
          <w:p w14:paraId="27324733" w14:textId="77777777" w:rsidR="00994AD8" w:rsidRPr="005B0796" w:rsidRDefault="00994AD8" w:rsidP="002E67C4">
            <w:pPr>
              <w:pStyle w:val="TableText"/>
              <w:jc w:val="right"/>
              <w:rPr>
                <w:rFonts w:eastAsia="Times New Roman"/>
                <w:lang w:eastAsia="en-AU"/>
              </w:rPr>
            </w:pPr>
            <w:r w:rsidRPr="005B0796">
              <w:rPr>
                <w:rFonts w:eastAsia="Times New Roman"/>
                <w:lang w:eastAsia="en-AU"/>
              </w:rPr>
              <w:t>3538</w:t>
            </w:r>
          </w:p>
        </w:tc>
        <w:tc>
          <w:tcPr>
            <w:tcW w:w="1250" w:type="dxa"/>
            <w:hideMark/>
          </w:tcPr>
          <w:p w14:paraId="4EE22D45" w14:textId="77777777" w:rsidR="00994AD8" w:rsidRPr="005B0796" w:rsidRDefault="00994AD8" w:rsidP="002E67C4">
            <w:pPr>
              <w:pStyle w:val="TableText"/>
              <w:jc w:val="right"/>
              <w:rPr>
                <w:rFonts w:eastAsia="MS Mincho"/>
              </w:rPr>
            </w:pPr>
            <w:r w:rsidRPr="005B0796">
              <w:t>45.1</w:t>
            </w:r>
          </w:p>
        </w:tc>
      </w:tr>
      <w:tr w:rsidR="00994AD8" w:rsidRPr="005B0796" w14:paraId="6D6A640D" w14:textId="77777777" w:rsidTr="00B737A1">
        <w:trPr>
          <w:cantSplit/>
        </w:trPr>
        <w:tc>
          <w:tcPr>
            <w:tcW w:w="1511" w:type="dxa"/>
            <w:hideMark/>
          </w:tcPr>
          <w:p w14:paraId="5FA770AE" w14:textId="77777777" w:rsidR="00994AD8" w:rsidRPr="005B0796" w:rsidRDefault="00994AD8" w:rsidP="002E67C4">
            <w:pPr>
              <w:pStyle w:val="TableText"/>
              <w:ind w:left="144"/>
            </w:pPr>
            <w:r w:rsidRPr="005B0796">
              <w:t>NCO</w:t>
            </w:r>
          </w:p>
        </w:tc>
        <w:tc>
          <w:tcPr>
            <w:tcW w:w="1249" w:type="dxa"/>
            <w:hideMark/>
          </w:tcPr>
          <w:p w14:paraId="359A9E66" w14:textId="77777777" w:rsidR="00994AD8" w:rsidRPr="005B0796" w:rsidRDefault="00994AD8" w:rsidP="002E67C4">
            <w:pPr>
              <w:pStyle w:val="TableText"/>
              <w:jc w:val="right"/>
            </w:pPr>
            <w:r w:rsidRPr="005B0796">
              <w:t>7866</w:t>
            </w:r>
          </w:p>
        </w:tc>
        <w:tc>
          <w:tcPr>
            <w:tcW w:w="1249" w:type="dxa"/>
            <w:hideMark/>
          </w:tcPr>
          <w:p w14:paraId="07BB8B12" w14:textId="77777777" w:rsidR="00994AD8" w:rsidRPr="005B0796" w:rsidRDefault="00994AD8" w:rsidP="002E67C4">
            <w:pPr>
              <w:pStyle w:val="TableText"/>
              <w:jc w:val="right"/>
            </w:pPr>
            <w:r w:rsidRPr="005B0796">
              <w:t>7393</w:t>
            </w:r>
          </w:p>
        </w:tc>
        <w:tc>
          <w:tcPr>
            <w:tcW w:w="1250" w:type="dxa"/>
            <w:hideMark/>
          </w:tcPr>
          <w:p w14:paraId="40D2E71D" w14:textId="77777777" w:rsidR="00994AD8" w:rsidRPr="005B0796" w:rsidRDefault="00994AD8" w:rsidP="002E67C4">
            <w:pPr>
              <w:pStyle w:val="TableText"/>
              <w:jc w:val="right"/>
            </w:pPr>
            <w:r w:rsidRPr="005B0796">
              <w:t>2097</w:t>
            </w:r>
          </w:p>
        </w:tc>
        <w:tc>
          <w:tcPr>
            <w:tcW w:w="1249" w:type="dxa"/>
            <w:hideMark/>
          </w:tcPr>
          <w:p w14:paraId="75F91880" w14:textId="77777777" w:rsidR="00994AD8" w:rsidRPr="005B0796" w:rsidRDefault="00994AD8" w:rsidP="002E67C4">
            <w:pPr>
              <w:pStyle w:val="TableText"/>
              <w:jc w:val="right"/>
            </w:pPr>
            <w:r w:rsidRPr="005B0796">
              <w:t>28.4</w:t>
            </w:r>
          </w:p>
        </w:tc>
        <w:tc>
          <w:tcPr>
            <w:tcW w:w="1249" w:type="dxa"/>
            <w:hideMark/>
          </w:tcPr>
          <w:p w14:paraId="702DE5F3" w14:textId="77777777" w:rsidR="00994AD8" w:rsidRPr="005B0796" w:rsidRDefault="00994AD8" w:rsidP="002E67C4">
            <w:pPr>
              <w:pStyle w:val="TableText"/>
              <w:jc w:val="right"/>
            </w:pPr>
            <w:r w:rsidRPr="005B0796">
              <w:t>17,491</w:t>
            </w:r>
          </w:p>
        </w:tc>
        <w:tc>
          <w:tcPr>
            <w:tcW w:w="1250" w:type="dxa"/>
            <w:hideMark/>
          </w:tcPr>
          <w:p w14:paraId="2BDB9A6F" w14:textId="77777777" w:rsidR="00994AD8" w:rsidRPr="005B0796" w:rsidRDefault="00994AD8" w:rsidP="002E67C4">
            <w:pPr>
              <w:pStyle w:val="TableText"/>
              <w:jc w:val="right"/>
            </w:pPr>
            <w:r w:rsidRPr="005B0796">
              <w:t>9117</w:t>
            </w:r>
          </w:p>
        </w:tc>
        <w:tc>
          <w:tcPr>
            <w:tcW w:w="1249" w:type="dxa"/>
            <w:hideMark/>
          </w:tcPr>
          <w:p w14:paraId="22C0513E" w14:textId="77777777" w:rsidR="00994AD8" w:rsidRPr="005B0796" w:rsidRDefault="00994AD8" w:rsidP="002E67C4">
            <w:pPr>
              <w:pStyle w:val="TableText"/>
              <w:jc w:val="right"/>
              <w:rPr>
                <w:rFonts w:eastAsia="Times New Roman"/>
                <w:lang w:eastAsia="en-AU"/>
              </w:rPr>
            </w:pPr>
            <w:r w:rsidRPr="005B0796">
              <w:rPr>
                <w:rFonts w:eastAsia="Times New Roman"/>
                <w:lang w:eastAsia="en-AU"/>
              </w:rPr>
              <w:t>4336</w:t>
            </w:r>
          </w:p>
        </w:tc>
        <w:tc>
          <w:tcPr>
            <w:tcW w:w="1250" w:type="dxa"/>
            <w:hideMark/>
          </w:tcPr>
          <w:p w14:paraId="46F984D9" w14:textId="77777777" w:rsidR="00994AD8" w:rsidRPr="005B0796" w:rsidRDefault="00994AD8" w:rsidP="002E67C4">
            <w:pPr>
              <w:pStyle w:val="TableText"/>
              <w:jc w:val="right"/>
              <w:rPr>
                <w:rFonts w:eastAsia="MS Mincho"/>
              </w:rPr>
            </w:pPr>
            <w:r w:rsidRPr="005B0796">
              <w:t>47.6</w:t>
            </w:r>
          </w:p>
        </w:tc>
      </w:tr>
      <w:tr w:rsidR="00994AD8" w:rsidRPr="005B0796" w14:paraId="6B1AEC67"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258D4428" w14:textId="77777777" w:rsidR="00994AD8" w:rsidRPr="005B0796" w:rsidRDefault="00994AD8" w:rsidP="002E67C4">
            <w:pPr>
              <w:pStyle w:val="TableText"/>
              <w:ind w:left="144"/>
            </w:pPr>
            <w:r w:rsidRPr="005B0796">
              <w:t>Other Ranks</w:t>
            </w:r>
          </w:p>
        </w:tc>
        <w:tc>
          <w:tcPr>
            <w:tcW w:w="1249" w:type="dxa"/>
            <w:hideMark/>
          </w:tcPr>
          <w:p w14:paraId="377C68B5" w14:textId="77777777" w:rsidR="00994AD8" w:rsidRPr="005B0796" w:rsidRDefault="00994AD8" w:rsidP="002E67C4">
            <w:pPr>
              <w:pStyle w:val="TableText"/>
              <w:jc w:val="right"/>
            </w:pPr>
            <w:r w:rsidRPr="005B0796">
              <w:t>13,003</w:t>
            </w:r>
          </w:p>
        </w:tc>
        <w:tc>
          <w:tcPr>
            <w:tcW w:w="1249" w:type="dxa"/>
            <w:hideMark/>
          </w:tcPr>
          <w:p w14:paraId="3AC9A7BE" w14:textId="77777777" w:rsidR="00994AD8" w:rsidRPr="005B0796" w:rsidRDefault="00994AD8" w:rsidP="002E67C4">
            <w:pPr>
              <w:pStyle w:val="TableText"/>
              <w:jc w:val="right"/>
            </w:pPr>
            <w:r w:rsidRPr="005B0796">
              <w:t>12,642</w:t>
            </w:r>
          </w:p>
        </w:tc>
        <w:tc>
          <w:tcPr>
            <w:tcW w:w="1250" w:type="dxa"/>
            <w:hideMark/>
          </w:tcPr>
          <w:p w14:paraId="65350282" w14:textId="77777777" w:rsidR="00994AD8" w:rsidRPr="005B0796" w:rsidRDefault="00994AD8" w:rsidP="002E67C4">
            <w:pPr>
              <w:pStyle w:val="TableText"/>
              <w:jc w:val="right"/>
            </w:pPr>
            <w:r w:rsidRPr="005B0796">
              <w:t>970</w:t>
            </w:r>
          </w:p>
        </w:tc>
        <w:tc>
          <w:tcPr>
            <w:tcW w:w="1249" w:type="dxa"/>
            <w:hideMark/>
          </w:tcPr>
          <w:p w14:paraId="3DAE10F0" w14:textId="77777777" w:rsidR="00994AD8" w:rsidRPr="005B0796" w:rsidRDefault="00994AD8" w:rsidP="002E67C4">
            <w:pPr>
              <w:pStyle w:val="TableText"/>
              <w:jc w:val="right"/>
            </w:pPr>
            <w:r w:rsidRPr="005B0796">
              <w:t>7.7</w:t>
            </w:r>
          </w:p>
        </w:tc>
        <w:tc>
          <w:tcPr>
            <w:tcW w:w="1249" w:type="dxa"/>
            <w:hideMark/>
          </w:tcPr>
          <w:p w14:paraId="59CCAD9D" w14:textId="77777777" w:rsidR="00994AD8" w:rsidRPr="005B0796" w:rsidRDefault="00994AD8" w:rsidP="002E67C4">
            <w:pPr>
              <w:pStyle w:val="TableText"/>
              <w:jc w:val="right"/>
            </w:pPr>
            <w:r w:rsidRPr="005B0796">
              <w:t>21,565</w:t>
            </w:r>
          </w:p>
        </w:tc>
        <w:tc>
          <w:tcPr>
            <w:tcW w:w="1250" w:type="dxa"/>
            <w:hideMark/>
          </w:tcPr>
          <w:p w14:paraId="1C2D457E" w14:textId="77777777" w:rsidR="00994AD8" w:rsidRPr="005B0796" w:rsidRDefault="00994AD8" w:rsidP="002E67C4">
            <w:pPr>
              <w:pStyle w:val="TableText"/>
              <w:jc w:val="right"/>
            </w:pPr>
            <w:r w:rsidRPr="005B0796">
              <w:t>3067</w:t>
            </w:r>
          </w:p>
        </w:tc>
        <w:tc>
          <w:tcPr>
            <w:tcW w:w="1249" w:type="dxa"/>
            <w:hideMark/>
          </w:tcPr>
          <w:p w14:paraId="0FCFA401" w14:textId="77777777" w:rsidR="00994AD8" w:rsidRPr="005B0796" w:rsidRDefault="00994AD8" w:rsidP="002E67C4">
            <w:pPr>
              <w:pStyle w:val="TableText"/>
              <w:jc w:val="right"/>
              <w:rPr>
                <w:rFonts w:eastAsia="Times New Roman"/>
                <w:lang w:eastAsia="en-AU"/>
              </w:rPr>
            </w:pPr>
            <w:r w:rsidRPr="005B0796">
              <w:rPr>
                <w:rFonts w:eastAsia="Times New Roman"/>
                <w:lang w:eastAsia="en-AU"/>
              </w:rPr>
              <w:t>606</w:t>
            </w:r>
          </w:p>
        </w:tc>
        <w:tc>
          <w:tcPr>
            <w:tcW w:w="1250" w:type="dxa"/>
            <w:hideMark/>
          </w:tcPr>
          <w:p w14:paraId="2BD37ACE" w14:textId="77777777" w:rsidR="00994AD8" w:rsidRPr="005B0796" w:rsidRDefault="00994AD8" w:rsidP="002E67C4">
            <w:pPr>
              <w:pStyle w:val="TableText"/>
              <w:jc w:val="right"/>
              <w:rPr>
                <w:rFonts w:eastAsia="MS Mincho"/>
              </w:rPr>
            </w:pPr>
            <w:r w:rsidRPr="005B0796">
              <w:t>19.7</w:t>
            </w:r>
          </w:p>
        </w:tc>
      </w:tr>
      <w:tr w:rsidR="00994AD8" w:rsidRPr="005B0796" w14:paraId="6528A753" w14:textId="77777777" w:rsidTr="00B737A1">
        <w:trPr>
          <w:cantSplit/>
        </w:trPr>
        <w:tc>
          <w:tcPr>
            <w:tcW w:w="1511" w:type="dxa"/>
          </w:tcPr>
          <w:p w14:paraId="02EC14C5" w14:textId="77777777" w:rsidR="00994AD8" w:rsidRPr="005B0796" w:rsidRDefault="00994AD8" w:rsidP="002E67C4">
            <w:pPr>
              <w:pStyle w:val="TableText"/>
            </w:pPr>
            <w:r w:rsidRPr="005B0796">
              <w:rPr>
                <w:b/>
              </w:rPr>
              <w:t>Medical fitness</w:t>
            </w:r>
          </w:p>
        </w:tc>
        <w:tc>
          <w:tcPr>
            <w:tcW w:w="1249" w:type="dxa"/>
          </w:tcPr>
          <w:p w14:paraId="35E58C07" w14:textId="77777777" w:rsidR="00994AD8" w:rsidRPr="005B0796" w:rsidRDefault="00994AD8" w:rsidP="002E67C4">
            <w:pPr>
              <w:pStyle w:val="TableText"/>
              <w:jc w:val="right"/>
            </w:pPr>
          </w:p>
        </w:tc>
        <w:tc>
          <w:tcPr>
            <w:tcW w:w="1249" w:type="dxa"/>
          </w:tcPr>
          <w:p w14:paraId="4239C6CE" w14:textId="77777777" w:rsidR="00994AD8" w:rsidRPr="005B0796" w:rsidRDefault="00994AD8" w:rsidP="002E67C4">
            <w:pPr>
              <w:pStyle w:val="TableText"/>
              <w:jc w:val="right"/>
            </w:pPr>
          </w:p>
        </w:tc>
        <w:tc>
          <w:tcPr>
            <w:tcW w:w="1250" w:type="dxa"/>
          </w:tcPr>
          <w:p w14:paraId="3D8CAAA6" w14:textId="77777777" w:rsidR="00994AD8" w:rsidRPr="005B0796" w:rsidRDefault="00994AD8" w:rsidP="002E67C4">
            <w:pPr>
              <w:pStyle w:val="TableText"/>
              <w:jc w:val="right"/>
            </w:pPr>
          </w:p>
        </w:tc>
        <w:tc>
          <w:tcPr>
            <w:tcW w:w="1249" w:type="dxa"/>
          </w:tcPr>
          <w:p w14:paraId="587B65AA" w14:textId="77777777" w:rsidR="00994AD8" w:rsidRPr="005B0796" w:rsidRDefault="00994AD8" w:rsidP="002E67C4">
            <w:pPr>
              <w:pStyle w:val="TableText"/>
              <w:jc w:val="right"/>
            </w:pPr>
          </w:p>
        </w:tc>
        <w:tc>
          <w:tcPr>
            <w:tcW w:w="1249" w:type="dxa"/>
          </w:tcPr>
          <w:p w14:paraId="10F80FEA" w14:textId="77777777" w:rsidR="00994AD8" w:rsidRPr="005B0796" w:rsidRDefault="00994AD8" w:rsidP="002E67C4">
            <w:pPr>
              <w:pStyle w:val="TableText"/>
              <w:jc w:val="right"/>
            </w:pPr>
          </w:p>
        </w:tc>
        <w:tc>
          <w:tcPr>
            <w:tcW w:w="1250" w:type="dxa"/>
          </w:tcPr>
          <w:p w14:paraId="17873FBA" w14:textId="77777777" w:rsidR="00994AD8" w:rsidRPr="005B0796" w:rsidRDefault="00994AD8" w:rsidP="002E67C4">
            <w:pPr>
              <w:pStyle w:val="TableText"/>
              <w:jc w:val="right"/>
            </w:pPr>
          </w:p>
        </w:tc>
        <w:tc>
          <w:tcPr>
            <w:tcW w:w="1249" w:type="dxa"/>
          </w:tcPr>
          <w:p w14:paraId="3AA4937E" w14:textId="77777777" w:rsidR="00994AD8" w:rsidRPr="005B0796" w:rsidRDefault="00994AD8" w:rsidP="002E67C4">
            <w:pPr>
              <w:pStyle w:val="TableText"/>
              <w:jc w:val="right"/>
              <w:rPr>
                <w:rFonts w:eastAsia="Times New Roman"/>
                <w:lang w:eastAsia="en-AU"/>
              </w:rPr>
            </w:pPr>
          </w:p>
        </w:tc>
        <w:tc>
          <w:tcPr>
            <w:tcW w:w="1250" w:type="dxa"/>
          </w:tcPr>
          <w:p w14:paraId="56BB2935" w14:textId="77777777" w:rsidR="00994AD8" w:rsidRPr="005B0796" w:rsidRDefault="00994AD8" w:rsidP="002E67C4">
            <w:pPr>
              <w:pStyle w:val="TableText"/>
              <w:jc w:val="right"/>
            </w:pPr>
          </w:p>
        </w:tc>
      </w:tr>
      <w:tr w:rsidR="00994AD8" w:rsidRPr="005B0796" w14:paraId="338908DA"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63A80985" w14:textId="77777777" w:rsidR="00994AD8" w:rsidRPr="005B0796" w:rsidRDefault="00994AD8" w:rsidP="002E67C4">
            <w:pPr>
              <w:pStyle w:val="TableText"/>
              <w:ind w:left="144"/>
            </w:pPr>
            <w:r w:rsidRPr="005B0796">
              <w:t>Fit</w:t>
            </w:r>
          </w:p>
        </w:tc>
        <w:tc>
          <w:tcPr>
            <w:tcW w:w="1249" w:type="dxa"/>
            <w:hideMark/>
          </w:tcPr>
          <w:p w14:paraId="40822283" w14:textId="77777777" w:rsidR="00994AD8" w:rsidRPr="005B0796" w:rsidRDefault="00994AD8" w:rsidP="002E67C4">
            <w:pPr>
              <w:pStyle w:val="TableText"/>
              <w:jc w:val="right"/>
            </w:pPr>
            <w:r w:rsidRPr="005B0796">
              <w:t>18,273</w:t>
            </w:r>
          </w:p>
        </w:tc>
        <w:tc>
          <w:tcPr>
            <w:tcW w:w="1249" w:type="dxa"/>
            <w:hideMark/>
          </w:tcPr>
          <w:p w14:paraId="5B72C458" w14:textId="77777777" w:rsidR="00994AD8" w:rsidRPr="005B0796" w:rsidRDefault="00994AD8" w:rsidP="002E67C4">
            <w:pPr>
              <w:pStyle w:val="TableText"/>
              <w:jc w:val="right"/>
            </w:pPr>
            <w:r w:rsidRPr="005B0796">
              <w:t>17,525</w:t>
            </w:r>
          </w:p>
        </w:tc>
        <w:tc>
          <w:tcPr>
            <w:tcW w:w="1250" w:type="dxa"/>
            <w:hideMark/>
          </w:tcPr>
          <w:p w14:paraId="5CE34C1E" w14:textId="77777777" w:rsidR="00994AD8" w:rsidRPr="005B0796" w:rsidRDefault="00994AD8" w:rsidP="002E67C4">
            <w:pPr>
              <w:pStyle w:val="TableText"/>
              <w:jc w:val="right"/>
            </w:pPr>
            <w:r w:rsidRPr="005B0796">
              <w:t>2981</w:t>
            </w:r>
          </w:p>
        </w:tc>
        <w:tc>
          <w:tcPr>
            <w:tcW w:w="1249" w:type="dxa"/>
            <w:hideMark/>
          </w:tcPr>
          <w:p w14:paraId="16EC072C" w14:textId="77777777" w:rsidR="00994AD8" w:rsidRPr="005B0796" w:rsidRDefault="00994AD8" w:rsidP="002E67C4">
            <w:pPr>
              <w:pStyle w:val="TableText"/>
              <w:jc w:val="right"/>
            </w:pPr>
            <w:r w:rsidRPr="005B0796">
              <w:t>17.0</w:t>
            </w:r>
          </w:p>
        </w:tc>
        <w:tc>
          <w:tcPr>
            <w:tcW w:w="1249" w:type="dxa"/>
            <w:hideMark/>
          </w:tcPr>
          <w:p w14:paraId="77DBE884" w14:textId="77777777" w:rsidR="00994AD8" w:rsidRPr="005B0796" w:rsidRDefault="00994AD8" w:rsidP="002E67C4">
            <w:pPr>
              <w:pStyle w:val="TableText"/>
              <w:jc w:val="right"/>
            </w:pPr>
            <w:r w:rsidRPr="005B0796">
              <w:t>46,022</w:t>
            </w:r>
          </w:p>
        </w:tc>
        <w:tc>
          <w:tcPr>
            <w:tcW w:w="1250" w:type="dxa"/>
            <w:hideMark/>
          </w:tcPr>
          <w:p w14:paraId="4A73FF5F" w14:textId="77777777" w:rsidR="00994AD8" w:rsidRPr="005B0796" w:rsidRDefault="00994AD8" w:rsidP="002E67C4">
            <w:pPr>
              <w:pStyle w:val="TableText"/>
              <w:jc w:val="right"/>
            </w:pPr>
            <w:r w:rsidRPr="005B0796">
              <w:t>17,097</w:t>
            </w:r>
          </w:p>
        </w:tc>
        <w:tc>
          <w:tcPr>
            <w:tcW w:w="1249" w:type="dxa"/>
            <w:hideMark/>
          </w:tcPr>
          <w:p w14:paraId="5F18BD3F" w14:textId="77777777" w:rsidR="00994AD8" w:rsidRPr="005B0796" w:rsidRDefault="00994AD8" w:rsidP="002E67C4">
            <w:pPr>
              <w:pStyle w:val="TableText"/>
              <w:jc w:val="right"/>
              <w:rPr>
                <w:rFonts w:eastAsia="Times New Roman"/>
                <w:lang w:eastAsia="en-AU"/>
              </w:rPr>
            </w:pPr>
            <w:r w:rsidRPr="005B0796">
              <w:rPr>
                <w:rFonts w:eastAsia="Times New Roman"/>
                <w:lang w:eastAsia="en-AU"/>
              </w:rPr>
              <w:t>7116</w:t>
            </w:r>
          </w:p>
        </w:tc>
        <w:tc>
          <w:tcPr>
            <w:tcW w:w="1250" w:type="dxa"/>
            <w:hideMark/>
          </w:tcPr>
          <w:p w14:paraId="5320FCA4" w14:textId="77777777" w:rsidR="00994AD8" w:rsidRPr="005B0796" w:rsidRDefault="00994AD8" w:rsidP="002E67C4">
            <w:pPr>
              <w:pStyle w:val="TableText"/>
              <w:jc w:val="right"/>
              <w:rPr>
                <w:rFonts w:eastAsia="MS Mincho"/>
              </w:rPr>
            </w:pPr>
            <w:r w:rsidRPr="005B0796">
              <w:t>41.6</w:t>
            </w:r>
          </w:p>
        </w:tc>
      </w:tr>
      <w:tr w:rsidR="00994AD8" w:rsidRPr="005B0796" w14:paraId="246BC7FE" w14:textId="77777777" w:rsidTr="00B737A1">
        <w:trPr>
          <w:cantSplit/>
        </w:trPr>
        <w:tc>
          <w:tcPr>
            <w:tcW w:w="1511" w:type="dxa"/>
            <w:hideMark/>
          </w:tcPr>
          <w:p w14:paraId="2B2574E7" w14:textId="77777777" w:rsidR="00994AD8" w:rsidRPr="005B0796" w:rsidRDefault="00994AD8" w:rsidP="002E67C4">
            <w:pPr>
              <w:pStyle w:val="TableText"/>
              <w:ind w:left="144"/>
            </w:pPr>
            <w:r w:rsidRPr="005B0796">
              <w:t>Unfit</w:t>
            </w:r>
          </w:p>
        </w:tc>
        <w:tc>
          <w:tcPr>
            <w:tcW w:w="1249" w:type="dxa"/>
            <w:hideMark/>
          </w:tcPr>
          <w:p w14:paraId="5702965C" w14:textId="77777777" w:rsidR="00994AD8" w:rsidRPr="005B0796" w:rsidRDefault="00994AD8" w:rsidP="002E67C4">
            <w:pPr>
              <w:pStyle w:val="TableText"/>
              <w:jc w:val="right"/>
            </w:pPr>
            <w:r w:rsidRPr="005B0796">
              <w:t>6659</w:t>
            </w:r>
          </w:p>
        </w:tc>
        <w:tc>
          <w:tcPr>
            <w:tcW w:w="1249" w:type="dxa"/>
            <w:hideMark/>
          </w:tcPr>
          <w:p w14:paraId="194F3C76" w14:textId="77777777" w:rsidR="00994AD8" w:rsidRPr="005B0796" w:rsidRDefault="00994AD8" w:rsidP="002E67C4">
            <w:pPr>
              <w:pStyle w:val="TableText"/>
              <w:jc w:val="right"/>
            </w:pPr>
            <w:r w:rsidRPr="005B0796">
              <w:t>6449</w:t>
            </w:r>
          </w:p>
        </w:tc>
        <w:tc>
          <w:tcPr>
            <w:tcW w:w="1250" w:type="dxa"/>
            <w:hideMark/>
          </w:tcPr>
          <w:p w14:paraId="0FCF4A12" w14:textId="77777777" w:rsidR="00994AD8" w:rsidRPr="005B0796" w:rsidRDefault="00994AD8" w:rsidP="002E67C4">
            <w:pPr>
              <w:pStyle w:val="TableText"/>
              <w:jc w:val="right"/>
            </w:pPr>
            <w:r w:rsidRPr="005B0796">
              <w:t>1345</w:t>
            </w:r>
          </w:p>
        </w:tc>
        <w:tc>
          <w:tcPr>
            <w:tcW w:w="1249" w:type="dxa"/>
            <w:hideMark/>
          </w:tcPr>
          <w:p w14:paraId="1E5947CB" w14:textId="77777777" w:rsidR="00994AD8" w:rsidRPr="005B0796" w:rsidRDefault="00994AD8" w:rsidP="002E67C4">
            <w:pPr>
              <w:pStyle w:val="TableText"/>
              <w:jc w:val="right"/>
            </w:pPr>
            <w:r w:rsidRPr="005B0796">
              <w:t>20.9</w:t>
            </w:r>
          </w:p>
        </w:tc>
        <w:tc>
          <w:tcPr>
            <w:tcW w:w="1249" w:type="dxa"/>
            <w:hideMark/>
          </w:tcPr>
          <w:p w14:paraId="6223F383" w14:textId="77777777" w:rsidR="00994AD8" w:rsidRPr="005B0796" w:rsidRDefault="00994AD8" w:rsidP="002E67C4">
            <w:pPr>
              <w:pStyle w:val="TableText"/>
              <w:jc w:val="right"/>
            </w:pPr>
            <w:r w:rsidRPr="005B0796">
              <w:t>6478</w:t>
            </w:r>
          </w:p>
        </w:tc>
        <w:tc>
          <w:tcPr>
            <w:tcW w:w="1250" w:type="dxa"/>
            <w:hideMark/>
          </w:tcPr>
          <w:p w14:paraId="1841CE58" w14:textId="77777777" w:rsidR="00994AD8" w:rsidRPr="005B0796" w:rsidRDefault="00994AD8" w:rsidP="002E67C4">
            <w:pPr>
              <w:pStyle w:val="TableText"/>
              <w:jc w:val="right"/>
            </w:pPr>
            <w:r w:rsidRPr="005B0796">
              <w:t>2934</w:t>
            </w:r>
          </w:p>
        </w:tc>
        <w:tc>
          <w:tcPr>
            <w:tcW w:w="1249" w:type="dxa"/>
            <w:hideMark/>
          </w:tcPr>
          <w:p w14:paraId="2F95D312" w14:textId="77777777" w:rsidR="00994AD8" w:rsidRPr="005B0796" w:rsidRDefault="00994AD8" w:rsidP="002E67C4">
            <w:pPr>
              <w:pStyle w:val="TableText"/>
              <w:jc w:val="right"/>
            </w:pPr>
            <w:r w:rsidRPr="005B0796">
              <w:t>1364</w:t>
            </w:r>
          </w:p>
        </w:tc>
        <w:tc>
          <w:tcPr>
            <w:tcW w:w="1250" w:type="dxa"/>
            <w:hideMark/>
          </w:tcPr>
          <w:p w14:paraId="21CF2FDC" w14:textId="77777777" w:rsidR="00994AD8" w:rsidRPr="005B0796" w:rsidRDefault="00994AD8" w:rsidP="002E67C4">
            <w:pPr>
              <w:pStyle w:val="TableText"/>
              <w:jc w:val="right"/>
            </w:pPr>
            <w:r w:rsidRPr="005B0796">
              <w:t>46.5</w:t>
            </w:r>
          </w:p>
        </w:tc>
      </w:tr>
      <w:tr w:rsidR="00994AD8" w:rsidRPr="005B0796" w14:paraId="263E2DD5"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511" w:type="dxa"/>
            <w:hideMark/>
          </w:tcPr>
          <w:p w14:paraId="55E4102C" w14:textId="77777777" w:rsidR="00994AD8" w:rsidRPr="005B0796" w:rsidRDefault="00994AD8" w:rsidP="002E67C4">
            <w:pPr>
              <w:pStyle w:val="TableText"/>
              <w:rPr>
                <w:b/>
              </w:rPr>
            </w:pPr>
            <w:r w:rsidRPr="005B0796">
              <w:rPr>
                <w:b/>
              </w:rPr>
              <w:t>Total</w:t>
            </w:r>
          </w:p>
        </w:tc>
        <w:tc>
          <w:tcPr>
            <w:tcW w:w="1249" w:type="dxa"/>
            <w:hideMark/>
          </w:tcPr>
          <w:p w14:paraId="294D4AF7" w14:textId="77777777" w:rsidR="00994AD8" w:rsidRPr="005B0796" w:rsidRDefault="00994AD8" w:rsidP="002E67C4">
            <w:pPr>
              <w:pStyle w:val="TableText"/>
              <w:jc w:val="right"/>
            </w:pPr>
            <w:r w:rsidRPr="005B0796">
              <w:t>24,932</w:t>
            </w:r>
          </w:p>
        </w:tc>
        <w:tc>
          <w:tcPr>
            <w:tcW w:w="1249" w:type="dxa"/>
            <w:hideMark/>
          </w:tcPr>
          <w:p w14:paraId="1541BD8D" w14:textId="77777777" w:rsidR="00994AD8" w:rsidRPr="005B0796" w:rsidRDefault="00994AD8" w:rsidP="002E67C4">
            <w:pPr>
              <w:pStyle w:val="TableText"/>
              <w:jc w:val="right"/>
            </w:pPr>
            <w:r w:rsidRPr="005B0796">
              <w:t>23,974</w:t>
            </w:r>
          </w:p>
        </w:tc>
        <w:tc>
          <w:tcPr>
            <w:tcW w:w="1250" w:type="dxa"/>
            <w:hideMark/>
          </w:tcPr>
          <w:p w14:paraId="16117935" w14:textId="77777777" w:rsidR="00994AD8" w:rsidRPr="005B0796" w:rsidRDefault="00994AD8" w:rsidP="002E67C4">
            <w:pPr>
              <w:pStyle w:val="TableText"/>
              <w:jc w:val="right"/>
            </w:pPr>
            <w:r w:rsidRPr="005B0796">
              <w:t>4326</w:t>
            </w:r>
          </w:p>
        </w:tc>
        <w:tc>
          <w:tcPr>
            <w:tcW w:w="1249" w:type="dxa"/>
            <w:hideMark/>
          </w:tcPr>
          <w:p w14:paraId="37639576" w14:textId="77777777" w:rsidR="00994AD8" w:rsidRPr="005B0796" w:rsidRDefault="00994AD8" w:rsidP="002E67C4">
            <w:pPr>
              <w:pStyle w:val="TableText"/>
              <w:jc w:val="right"/>
            </w:pPr>
            <w:r w:rsidRPr="005B0796">
              <w:t>18.0</w:t>
            </w:r>
          </w:p>
        </w:tc>
        <w:tc>
          <w:tcPr>
            <w:tcW w:w="1249" w:type="dxa"/>
            <w:hideMark/>
          </w:tcPr>
          <w:p w14:paraId="026993FB" w14:textId="77777777" w:rsidR="00994AD8" w:rsidRPr="005B0796" w:rsidRDefault="00994AD8" w:rsidP="002E67C4">
            <w:pPr>
              <w:pStyle w:val="TableText"/>
              <w:jc w:val="right"/>
            </w:pPr>
            <w:r w:rsidRPr="005B0796">
              <w:t>52,500</w:t>
            </w:r>
          </w:p>
        </w:tc>
        <w:tc>
          <w:tcPr>
            <w:tcW w:w="1250" w:type="dxa"/>
            <w:hideMark/>
          </w:tcPr>
          <w:p w14:paraId="275EBBEF" w14:textId="77777777" w:rsidR="00994AD8" w:rsidRPr="005B0796" w:rsidRDefault="00994AD8" w:rsidP="002E67C4">
            <w:pPr>
              <w:pStyle w:val="TableText"/>
              <w:jc w:val="right"/>
            </w:pPr>
            <w:r w:rsidRPr="005B0796">
              <w:t>20,031</w:t>
            </w:r>
          </w:p>
        </w:tc>
        <w:tc>
          <w:tcPr>
            <w:tcW w:w="1249" w:type="dxa"/>
            <w:hideMark/>
          </w:tcPr>
          <w:p w14:paraId="785C78B2" w14:textId="77777777" w:rsidR="00994AD8" w:rsidRPr="005B0796" w:rsidRDefault="00994AD8" w:rsidP="002E67C4">
            <w:pPr>
              <w:pStyle w:val="TableText"/>
              <w:jc w:val="right"/>
            </w:pPr>
            <w:r w:rsidRPr="005B0796">
              <w:t>8480</w:t>
            </w:r>
          </w:p>
        </w:tc>
        <w:tc>
          <w:tcPr>
            <w:tcW w:w="1250" w:type="dxa"/>
            <w:hideMark/>
          </w:tcPr>
          <w:p w14:paraId="0E8F3057" w14:textId="77777777" w:rsidR="00994AD8" w:rsidRPr="005B0796" w:rsidRDefault="00994AD8" w:rsidP="002E67C4">
            <w:pPr>
              <w:pStyle w:val="TableText"/>
              <w:jc w:val="right"/>
            </w:pPr>
            <w:r w:rsidRPr="005B0796">
              <w:t>42.3</w:t>
            </w:r>
          </w:p>
        </w:tc>
      </w:tr>
    </w:tbl>
    <w:p w14:paraId="3A710F02" w14:textId="7C65C550" w:rsidR="00994AD8" w:rsidRPr="005B0796" w:rsidRDefault="00994AD8" w:rsidP="00994AD8">
      <w:pPr>
        <w:pStyle w:val="TableNotes"/>
      </w:pPr>
      <w:r w:rsidRPr="005B0796">
        <w:t>Notes</w:t>
      </w:r>
      <w:r w:rsidRPr="005B0796">
        <w:br/>
        <w:t>Unweighted data</w:t>
      </w:r>
    </w:p>
    <w:p w14:paraId="1E599645" w14:textId="77777777" w:rsidR="00994AD8" w:rsidRPr="005B0796" w:rsidRDefault="00994AD8" w:rsidP="00994AD8">
      <w:pPr>
        <w:pStyle w:val="TableNotes"/>
      </w:pPr>
      <w:r w:rsidRPr="005B0796">
        <w:t>Response rates presented in the table above are calculated as the proportion of those invited to participate in the study</w:t>
      </w:r>
    </w:p>
    <w:p w14:paraId="6DE6A709" w14:textId="77777777" w:rsidR="00994AD8" w:rsidRPr="005B0796" w:rsidRDefault="00994AD8" w:rsidP="00994AD8">
      <w:pPr>
        <w:pStyle w:val="TableNotes"/>
      </w:pPr>
      <w:r w:rsidRPr="005B0796">
        <w:t>OFFR: Officer, NCO: Non-Commissioned Officer</w:t>
      </w:r>
    </w:p>
    <w:p w14:paraId="44A2F988" w14:textId="77777777" w:rsidR="00994AD8" w:rsidRPr="004C6CF5" w:rsidRDefault="00994AD8" w:rsidP="00994AD8">
      <w:pPr>
        <w:pStyle w:val="FigureName"/>
      </w:pPr>
      <w:bookmarkStart w:id="127" w:name="_Ref385146648"/>
      <w:bookmarkStart w:id="128" w:name="_Ref520876858"/>
      <w:bookmarkStart w:id="129" w:name="_Toc385236159"/>
      <w:bookmarkStart w:id="130" w:name="_Toc385237009"/>
      <w:bookmarkStart w:id="131" w:name="_Toc385237813"/>
      <w:bookmarkStart w:id="132" w:name="_Toc515374708"/>
      <w:bookmarkStart w:id="133" w:name="_Toc528932392"/>
      <w:bookmarkStart w:id="134" w:name="_Toc531858072"/>
      <w:r w:rsidRPr="004C6CF5">
        <w:t xml:space="preserve">Figure </w:t>
      </w:r>
      <w:r>
        <w:rPr>
          <w:noProof/>
        </w:rPr>
        <w:t>2</w:t>
      </w:r>
      <w:r>
        <w:t>.</w:t>
      </w:r>
      <w:r>
        <w:rPr>
          <w:noProof/>
        </w:rPr>
        <w:t>1</w:t>
      </w:r>
      <w:bookmarkEnd w:id="127"/>
      <w:bookmarkEnd w:id="128"/>
      <w:r>
        <w:tab/>
      </w:r>
      <w:r w:rsidRPr="004C6CF5">
        <w:t>Survey response rates for Transitioned ADF and the 2015 Regular ADF</w:t>
      </w:r>
      <w:bookmarkEnd w:id="129"/>
      <w:bookmarkEnd w:id="130"/>
      <w:bookmarkEnd w:id="131"/>
      <w:bookmarkEnd w:id="132"/>
      <w:bookmarkEnd w:id="133"/>
      <w:bookmarkEnd w:id="134"/>
    </w:p>
    <w:p w14:paraId="3B4BBA96" w14:textId="77777777" w:rsidR="00994AD8" w:rsidRDefault="00994AD8" w:rsidP="00994AD8">
      <w:pPr>
        <w:spacing w:before="100" w:beforeAutospacing="1" w:after="100" w:afterAutospacing="1"/>
        <w:rPr>
          <w:rFonts w:asciiTheme="minorHAnsi" w:hAnsiTheme="minorHAnsi" w:cs="Times"/>
          <w:szCs w:val="22"/>
        </w:rPr>
      </w:pPr>
      <w:r w:rsidRPr="00E569C1">
        <w:rPr>
          <w:rFonts w:eastAsia="Calibri"/>
          <w:noProof/>
          <w:lang w:eastAsia="en-AU"/>
        </w:rPr>
        <mc:AlternateContent>
          <mc:Choice Requires="wpg">
            <w:drawing>
              <wp:inline distT="0" distB="0" distL="0" distR="0" wp14:anchorId="4B980CCE" wp14:editId="6470FD37">
                <wp:extent cx="5293453" cy="2692866"/>
                <wp:effectExtent l="0" t="0" r="21590" b="12700"/>
                <wp:docPr id="14" name="Group 14" descr="Figure 2.1 Survey response rates for Transitioned ADF and the 2015 Regular ADF"/>
                <wp:cNvGraphicFramePr/>
                <a:graphic xmlns:a="http://schemas.openxmlformats.org/drawingml/2006/main">
                  <a:graphicData uri="http://schemas.microsoft.com/office/word/2010/wordprocessingGroup">
                    <wpg:wgp>
                      <wpg:cNvGrpSpPr/>
                      <wpg:grpSpPr>
                        <a:xfrm>
                          <a:off x="0" y="0"/>
                          <a:ext cx="5293453" cy="2692866"/>
                          <a:chOff x="0" y="0"/>
                          <a:chExt cx="8684895" cy="1695450"/>
                        </a:xfrm>
                      </wpg:grpSpPr>
                      <wps:wsp>
                        <wps:cNvPr id="15" name="Text Box 2"/>
                        <wps:cNvSpPr txBox="1">
                          <a:spLocks noChangeArrowheads="1"/>
                        </wps:cNvSpPr>
                        <wps:spPr bwMode="auto">
                          <a:xfrm>
                            <a:off x="0" y="0"/>
                            <a:ext cx="1188720" cy="409575"/>
                          </a:xfrm>
                          <a:prstGeom prst="rect">
                            <a:avLst/>
                          </a:prstGeom>
                          <a:solidFill>
                            <a:srgbClr val="002561"/>
                          </a:solidFill>
                          <a:ln w="12700">
                            <a:solidFill>
                              <a:srgbClr val="000000"/>
                            </a:solidFill>
                            <a:miter lim="800000"/>
                            <a:headEnd/>
                            <a:tailEnd/>
                          </a:ln>
                        </wps:spPr>
                        <wps:txbx>
                          <w:txbxContent>
                            <w:p w14:paraId="34BAFDA6" w14:textId="77777777" w:rsidR="00040E45" w:rsidRPr="0085632B" w:rsidRDefault="00040E45" w:rsidP="00994AD8">
                              <w:pPr>
                                <w:pStyle w:val="FigureTextwhite"/>
                              </w:pPr>
                              <w:r w:rsidRPr="004B3FA7">
                                <w:t>Total ADF cohort</w:t>
                              </w:r>
                              <w:r>
                                <w:t xml:space="preserve"> </w:t>
                              </w:r>
                              <w:r>
                                <w:br/>
                              </w:r>
                              <w:r w:rsidRPr="0085632B">
                                <w:t>n = 77</w:t>
                              </w:r>
                              <w:r>
                                <w:t>,</w:t>
                              </w:r>
                              <w:r w:rsidRPr="0085632B">
                                <w:t>432</w:t>
                              </w:r>
                            </w:p>
                          </w:txbxContent>
                        </wps:txbx>
                        <wps:bodyPr rot="0" vert="horz" wrap="square" lIns="91440" tIns="45720" rIns="91440" bIns="45720" anchor="t" anchorCtr="0">
                          <a:noAutofit/>
                        </wps:bodyPr>
                      </wps:wsp>
                      <wps:wsp>
                        <wps:cNvPr id="16" name="Text Box 16"/>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14:paraId="46F14024" w14:textId="77777777" w:rsidR="00040E45" w:rsidRPr="0085632B" w:rsidRDefault="00040E45" w:rsidP="00994AD8">
                              <w:pPr>
                                <w:pStyle w:val="FigureText"/>
                                <w:rPr>
                                  <w:b w:val="0"/>
                                </w:rPr>
                              </w:pPr>
                              <w:r>
                                <w:t>Non-responder</w:t>
                              </w:r>
                              <w:r>
                                <w:br/>
                              </w:r>
                              <w:r w:rsidRPr="0085632B">
                                <w:rPr>
                                  <w:b w:val="0"/>
                                </w:rPr>
                                <w:t>n = 31</w:t>
                              </w:r>
                              <w:r>
                                <w:rPr>
                                  <w:b w:val="0"/>
                                </w:rPr>
                                <w:t>,</w:t>
                              </w:r>
                              <w:r w:rsidRPr="0085632B">
                                <w:rPr>
                                  <w:b w:val="0"/>
                                </w:rPr>
                                <w:t>119 (70.9%)</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14:paraId="35903077" w14:textId="77777777" w:rsidR="00040E45" w:rsidRPr="0085632B" w:rsidRDefault="00040E45" w:rsidP="00994AD8">
                              <w:pPr>
                                <w:pStyle w:val="FigureText"/>
                                <w:rPr>
                                  <w:b w:val="0"/>
                                </w:rPr>
                              </w:pPr>
                              <w:r>
                                <w:t>Invited</w:t>
                              </w:r>
                              <w:r>
                                <w:br/>
                              </w:r>
                              <w:r w:rsidRPr="0085632B">
                                <w:rPr>
                                  <w:b w:val="0"/>
                                </w:rPr>
                                <w:t>n = 44</w:t>
                              </w:r>
                              <w:r>
                                <w:rPr>
                                  <w:b w:val="0"/>
                                </w:rPr>
                                <w:t>,</w:t>
                              </w:r>
                              <w:r w:rsidRPr="0085632B">
                                <w:rPr>
                                  <w:b w:val="0"/>
                                </w:rPr>
                                <w:t>005 (56.8%)</w:t>
                              </w:r>
                            </w:p>
                          </w:txbxContent>
                        </wps:txbx>
                        <wps:bodyPr rot="0" vert="horz" wrap="square" lIns="91440" tIns="45720" rIns="91440" bIns="45720" anchor="t" anchorCtr="0">
                          <a:noAutofit/>
                        </wps:bodyPr>
                      </wps:wsp>
                      <wps:wsp>
                        <wps:cNvPr id="18"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14:paraId="55CEDBF5" w14:textId="77777777" w:rsidR="00040E45" w:rsidRPr="0085632B" w:rsidRDefault="00040E45" w:rsidP="00994AD8">
                              <w:pPr>
                                <w:pStyle w:val="FigureText"/>
                                <w:rPr>
                                  <w:b w:val="0"/>
                                </w:rPr>
                              </w:pPr>
                              <w:r>
                                <w:t>Responder</w:t>
                              </w:r>
                              <w:r>
                                <w:br/>
                              </w:r>
                              <w:r w:rsidRPr="0085632B">
                                <w:rPr>
                                  <w:b w:val="0"/>
                                </w:rPr>
                                <w:t>n = 12</w:t>
                              </w:r>
                              <w:r>
                                <w:rPr>
                                  <w:b w:val="0"/>
                                </w:rPr>
                                <w:t>,</w:t>
                              </w:r>
                              <w:r w:rsidRPr="0085632B">
                                <w:rPr>
                                  <w:b w:val="0"/>
                                </w:rPr>
                                <w:t>806 (29.1%)</w:t>
                              </w:r>
                            </w:p>
                          </w:txbxContent>
                        </wps:txbx>
                        <wps:bodyPr rot="0" vert="horz" wrap="square" lIns="91440" tIns="45720" rIns="91440" bIns="45720" anchor="t" anchorCtr="0">
                          <a:noAutofit/>
                        </wps:bodyPr>
                      </wps:wsp>
                      <wps:wsp>
                        <wps:cNvPr id="19" name="Text Box 2"/>
                        <wps:cNvSpPr txBox="1">
                          <a:spLocks noChangeArrowheads="1"/>
                        </wps:cNvSpPr>
                        <wps:spPr bwMode="auto">
                          <a:xfrm>
                            <a:off x="2924175" y="9525"/>
                            <a:ext cx="1188720" cy="411480"/>
                          </a:xfrm>
                          <a:prstGeom prst="rect">
                            <a:avLst/>
                          </a:prstGeom>
                          <a:solidFill>
                            <a:srgbClr val="720829"/>
                          </a:solidFill>
                          <a:ln w="12700">
                            <a:solidFill>
                              <a:srgbClr val="000000"/>
                            </a:solidFill>
                            <a:miter lim="800000"/>
                            <a:headEnd/>
                            <a:tailEnd/>
                          </a:ln>
                        </wps:spPr>
                        <wps:txbx>
                          <w:txbxContent>
                            <w:p w14:paraId="575C0876" w14:textId="77777777" w:rsidR="00040E45" w:rsidRPr="0085632B" w:rsidRDefault="00040E45" w:rsidP="00994AD8">
                              <w:pPr>
                                <w:pStyle w:val="FigureTextwhite"/>
                                <w:rPr>
                                  <w:b w:val="0"/>
                                </w:rPr>
                              </w:pPr>
                              <w:r w:rsidRPr="00BD7392">
                                <w:t>Transitioned ADF</w:t>
                              </w:r>
                              <w:r w:rsidRPr="00BD7392">
                                <w:br/>
                              </w:r>
                              <w:r w:rsidRPr="0085632B">
                                <w:rPr>
                                  <w:b w:val="0"/>
                                </w:rPr>
                                <w:t>n = 24</w:t>
                              </w:r>
                              <w:r>
                                <w:rPr>
                                  <w:b w:val="0"/>
                                </w:rPr>
                                <w:t>,</w:t>
                              </w:r>
                              <w:r w:rsidRPr="0085632B">
                                <w:rPr>
                                  <w:b w:val="0"/>
                                </w:rPr>
                                <w:t>932</w:t>
                              </w:r>
                            </w:p>
                          </w:txbxContent>
                        </wps:txbx>
                        <wps:bodyPr rot="0" vert="horz" wrap="square" lIns="91440" tIns="45720" rIns="91440" bIns="45720" anchor="t" anchorCtr="0">
                          <a:noAutofit/>
                        </wps:bodyPr>
                      </wps:wsp>
                      <wps:wsp>
                        <wps:cNvPr id="20" name="Text Box 20"/>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14:paraId="01B2FDBC" w14:textId="77777777" w:rsidR="00040E45" w:rsidRPr="0085632B" w:rsidRDefault="00040E45" w:rsidP="00994AD8">
                              <w:pPr>
                                <w:pStyle w:val="FigureText"/>
                                <w:rPr>
                                  <w:b w:val="0"/>
                                </w:rPr>
                              </w:pPr>
                              <w:r>
                                <w:t>Non-responder</w:t>
                              </w:r>
                              <w:r>
                                <w:br/>
                              </w:r>
                              <w:r w:rsidRPr="0085632B">
                                <w:rPr>
                                  <w:b w:val="0"/>
                                </w:rPr>
                                <w:t>n = 19</w:t>
                              </w:r>
                              <w:r>
                                <w:rPr>
                                  <w:b w:val="0"/>
                                </w:rPr>
                                <w:t>,</w:t>
                              </w:r>
                              <w:r w:rsidRPr="0085632B">
                                <w:rPr>
                                  <w:b w:val="0"/>
                                </w:rPr>
                                <w:t>648 (82.0%)</w:t>
                              </w:r>
                            </w:p>
                          </w:txbxContent>
                        </wps:txbx>
                        <wps:bodyPr rot="0" vert="horz" wrap="square" lIns="91440" tIns="45720" rIns="91440" bIns="45720" anchor="t" anchorCtr="0">
                          <a:noAutofit/>
                        </wps:bodyPr>
                      </wps:wsp>
                      <wps:wsp>
                        <wps:cNvPr id="21"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14:paraId="49635A99" w14:textId="77777777" w:rsidR="00040E45" w:rsidRPr="0085632B" w:rsidRDefault="00040E45" w:rsidP="00994AD8">
                              <w:pPr>
                                <w:pStyle w:val="FigureText"/>
                                <w:rPr>
                                  <w:b w:val="0"/>
                                </w:rPr>
                              </w:pPr>
                              <w:r>
                                <w:t>Invited</w:t>
                              </w:r>
                              <w:r>
                                <w:br/>
                              </w:r>
                              <w:r w:rsidRPr="0085632B">
                                <w:rPr>
                                  <w:b w:val="0"/>
                                </w:rPr>
                                <w:t>n = 23</w:t>
                              </w:r>
                              <w:r>
                                <w:rPr>
                                  <w:b w:val="0"/>
                                </w:rPr>
                                <w:t>,</w:t>
                              </w:r>
                              <w:r w:rsidRPr="0085632B">
                                <w:rPr>
                                  <w:b w:val="0"/>
                                </w:rPr>
                                <w:t>974 (96.2%)</w:t>
                              </w:r>
                            </w:p>
                          </w:txbxContent>
                        </wps:txbx>
                        <wps:bodyPr rot="0" vert="horz" wrap="square" lIns="91440" tIns="45720" rIns="91440" bIns="45720" anchor="t" anchorCtr="0">
                          <a:noAutofit/>
                        </wps:bodyPr>
                      </wps:wsp>
                      <wps:wsp>
                        <wps:cNvPr id="22"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14:paraId="658FD09A" w14:textId="77777777" w:rsidR="00040E45" w:rsidRPr="0085632B" w:rsidRDefault="00040E45" w:rsidP="00994AD8">
                              <w:pPr>
                                <w:pStyle w:val="FigureText"/>
                                <w:rPr>
                                  <w:b w:val="0"/>
                                </w:rPr>
                              </w:pPr>
                              <w:r>
                                <w:t>Responder</w:t>
                              </w:r>
                              <w:r>
                                <w:br/>
                              </w:r>
                              <w:r w:rsidRPr="0085632B">
                                <w:rPr>
                                  <w:b w:val="0"/>
                                </w:rPr>
                                <w:t>n = 4326 (18.0%)</w:t>
                              </w:r>
                            </w:p>
                          </w:txbxContent>
                        </wps:txbx>
                        <wps:bodyPr rot="0" vert="horz" wrap="square" lIns="91440" tIns="45720" rIns="91440" bIns="45720" anchor="t" anchorCtr="0">
                          <a:noAutofit/>
                        </wps:bodyPr>
                      </wps:wsp>
                      <wps:wsp>
                        <wps:cNvPr id="23" name="Text Box 2"/>
                        <wps:cNvSpPr txBox="1">
                          <a:spLocks noChangeArrowheads="1"/>
                        </wps:cNvSpPr>
                        <wps:spPr bwMode="auto">
                          <a:xfrm>
                            <a:off x="5934075" y="0"/>
                            <a:ext cx="1188720" cy="411480"/>
                          </a:xfrm>
                          <a:prstGeom prst="rect">
                            <a:avLst/>
                          </a:prstGeom>
                          <a:solidFill>
                            <a:srgbClr val="0194DF"/>
                          </a:solidFill>
                          <a:ln w="12700">
                            <a:solidFill>
                              <a:srgbClr val="000000"/>
                            </a:solidFill>
                            <a:miter lim="800000"/>
                            <a:headEnd/>
                            <a:tailEnd/>
                          </a:ln>
                        </wps:spPr>
                        <wps:txbx>
                          <w:txbxContent>
                            <w:p w14:paraId="6A3BD305" w14:textId="77777777" w:rsidR="00040E45" w:rsidRPr="0085632B" w:rsidRDefault="00040E45" w:rsidP="00994AD8">
                              <w:pPr>
                                <w:pStyle w:val="FigureTextwhite"/>
                                <w:rPr>
                                  <w:b w:val="0"/>
                                </w:rPr>
                              </w:pPr>
                              <w:r>
                                <w:t>2015 Regular ADF</w:t>
                              </w:r>
                              <w:r>
                                <w:br/>
                              </w:r>
                              <w:r w:rsidRPr="0085632B">
                                <w:rPr>
                                  <w:b w:val="0"/>
                                </w:rPr>
                                <w:t>n = 52</w:t>
                              </w:r>
                              <w:r>
                                <w:rPr>
                                  <w:b w:val="0"/>
                                </w:rPr>
                                <w:t>,</w:t>
                              </w:r>
                              <w:r w:rsidRPr="0085632B">
                                <w:rPr>
                                  <w:b w:val="0"/>
                                </w:rPr>
                                <w:t>500</w:t>
                              </w:r>
                            </w:p>
                          </w:txbxContent>
                        </wps:txbx>
                        <wps:bodyPr rot="0" vert="horz" wrap="square" lIns="91440" tIns="45720" rIns="91440" bIns="45720" anchor="t" anchorCtr="0">
                          <a:noAutofit/>
                        </wps:bodyPr>
                      </wps:wsp>
                      <wps:wsp>
                        <wps:cNvPr id="24" name="Text Box 24"/>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14:paraId="798B6526" w14:textId="77777777" w:rsidR="00040E45" w:rsidRPr="0085632B" w:rsidRDefault="00040E45" w:rsidP="00994AD8">
                              <w:pPr>
                                <w:pStyle w:val="FigureText"/>
                                <w:rPr>
                                  <w:b w:val="0"/>
                                </w:rPr>
                              </w:pPr>
                              <w:r>
                                <w:t>Non-responder</w:t>
                              </w:r>
                              <w:r>
                                <w:br/>
                              </w:r>
                              <w:r w:rsidRPr="0085632B">
                                <w:rPr>
                                  <w:b w:val="0"/>
                                </w:rPr>
                                <w:t>n = 11</w:t>
                              </w:r>
                              <w:r>
                                <w:rPr>
                                  <w:b w:val="0"/>
                                </w:rPr>
                                <w:t>,</w:t>
                              </w:r>
                              <w:r w:rsidRPr="0085632B">
                                <w:rPr>
                                  <w:b w:val="0"/>
                                </w:rPr>
                                <w:t>551 (57.7%)</w:t>
                              </w:r>
                            </w:p>
                          </w:txbxContent>
                        </wps:txbx>
                        <wps:bodyPr rot="0" vert="horz" wrap="square" lIns="91440" tIns="45720" rIns="91440" bIns="45720" anchor="t" anchorCtr="0">
                          <a:noAutofit/>
                        </wps:bodyPr>
                      </wps:wsp>
                      <wps:wsp>
                        <wps:cNvPr id="25"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14:paraId="6B582943" w14:textId="77777777" w:rsidR="00040E45" w:rsidRPr="0085632B" w:rsidRDefault="00040E45" w:rsidP="00994AD8">
                              <w:pPr>
                                <w:pStyle w:val="FigureText"/>
                                <w:rPr>
                                  <w:b w:val="0"/>
                                </w:rPr>
                              </w:pPr>
                              <w:r>
                                <w:t>Invited</w:t>
                              </w:r>
                              <w:r>
                                <w:br/>
                              </w:r>
                              <w:r w:rsidRPr="0085632B">
                                <w:rPr>
                                  <w:b w:val="0"/>
                                </w:rPr>
                                <w:t>n = 20</w:t>
                              </w:r>
                              <w:r>
                                <w:rPr>
                                  <w:b w:val="0"/>
                                </w:rPr>
                                <w:t>,</w:t>
                              </w:r>
                              <w:r w:rsidRPr="0085632B">
                                <w:rPr>
                                  <w:b w:val="0"/>
                                </w:rPr>
                                <w:t>031 (38.2%)</w:t>
                              </w:r>
                            </w:p>
                          </w:txbxContent>
                        </wps:txbx>
                        <wps:bodyPr rot="0" vert="horz" wrap="square" lIns="91440" tIns="45720" rIns="91440" bIns="45720" anchor="t" anchorCtr="0">
                          <a:noAutofit/>
                        </wps:bodyPr>
                      </wps:wsp>
                      <wps:wsp>
                        <wps:cNvPr id="26" name="Text Box 2"/>
                        <wps:cNvSpPr txBox="1">
                          <a:spLocks noChangeArrowheads="1"/>
                        </wps:cNvSpPr>
                        <wps:spPr bwMode="auto">
                          <a:xfrm>
                            <a:off x="5934075" y="1285875"/>
                            <a:ext cx="1188720" cy="409575"/>
                          </a:xfrm>
                          <a:prstGeom prst="rect">
                            <a:avLst/>
                          </a:prstGeom>
                          <a:solidFill>
                            <a:srgbClr val="FFFFFF"/>
                          </a:solidFill>
                          <a:ln w="12700">
                            <a:solidFill>
                              <a:srgbClr val="000000"/>
                            </a:solidFill>
                            <a:miter lim="800000"/>
                            <a:headEnd/>
                            <a:tailEnd/>
                          </a:ln>
                        </wps:spPr>
                        <wps:txbx>
                          <w:txbxContent>
                            <w:p w14:paraId="4E9431A1" w14:textId="77777777" w:rsidR="00040E45" w:rsidRPr="0085632B" w:rsidRDefault="00040E45" w:rsidP="00994AD8">
                              <w:pPr>
                                <w:pStyle w:val="FigureText"/>
                                <w:rPr>
                                  <w:b w:val="0"/>
                                </w:rPr>
                              </w:pPr>
                              <w:r>
                                <w:t>Responder</w:t>
                              </w:r>
                              <w:r>
                                <w:br/>
                              </w:r>
                              <w:r w:rsidRPr="0085632B">
                                <w:rPr>
                                  <w:b w:val="0"/>
                                </w:rPr>
                                <w:t>n = 8480 (42.3%)</w:t>
                              </w:r>
                            </w:p>
                          </w:txbxContent>
                        </wps:txbx>
                        <wps:bodyPr rot="0" vert="horz" wrap="square" lIns="91440" tIns="45720" rIns="91440" bIns="45720" anchor="t" anchorCtr="0">
                          <a:noAutofit/>
                        </wps:bodyPr>
                      </wps:wsp>
                      <wps:wsp>
                        <wps:cNvPr id="27" name="Straight Connector 27"/>
                        <wps:cNvCnPr/>
                        <wps:spPr>
                          <a:xfrm>
                            <a:off x="619125" y="409575"/>
                            <a:ext cx="0" cy="237490"/>
                          </a:xfrm>
                          <a:prstGeom prst="line">
                            <a:avLst/>
                          </a:prstGeom>
                          <a:noFill/>
                          <a:ln w="19050" cap="flat" cmpd="sng" algn="ctr">
                            <a:solidFill>
                              <a:srgbClr val="000000">
                                <a:shade val="95000"/>
                                <a:satMod val="105000"/>
                              </a:srgbClr>
                            </a:solidFill>
                            <a:prstDash val="solid"/>
                          </a:ln>
                          <a:effectLst/>
                        </wps:spPr>
                        <wps:bodyPr/>
                      </wps:wsp>
                      <wps:wsp>
                        <wps:cNvPr id="28" name="Straight Connector 28"/>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29" name="Straight Connector 29"/>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30" name="Straight Connector 30"/>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31" name="Straight Arrow Connector 31"/>
                        <wps:cNvCnPr/>
                        <wps:spPr>
                          <a:xfrm>
                            <a:off x="609600" y="1162050"/>
                            <a:ext cx="933450" cy="0"/>
                          </a:xfrm>
                          <a:prstGeom prst="straightConnector1">
                            <a:avLst/>
                          </a:prstGeom>
                          <a:noFill/>
                          <a:ln w="9525" cap="flat" cmpd="sng" algn="ctr">
                            <a:solidFill>
                              <a:srgbClr val="000000">
                                <a:shade val="95000"/>
                                <a:satMod val="105000"/>
                              </a:srgbClr>
                            </a:solidFill>
                            <a:prstDash val="dash"/>
                            <a:tailEnd type="triangle"/>
                          </a:ln>
                          <a:effectLst/>
                        </wps:spPr>
                        <wps:bodyPr/>
                      </wps:wsp>
                      <wps:wsp>
                        <wps:cNvPr id="448" name="Straight Arrow Connector 448"/>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449" name="Straight Arrow Connector 449"/>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450" name="Straight Connector 450"/>
                        <wps:cNvCnPr/>
                        <wps:spPr>
                          <a:xfrm>
                            <a:off x="3552825" y="409575"/>
                            <a:ext cx="0" cy="237490"/>
                          </a:xfrm>
                          <a:prstGeom prst="line">
                            <a:avLst/>
                          </a:prstGeom>
                          <a:noFill/>
                          <a:ln w="19050" cap="flat" cmpd="sng" algn="ctr">
                            <a:solidFill>
                              <a:srgbClr val="000000">
                                <a:shade val="95000"/>
                                <a:satMod val="105000"/>
                              </a:srgbClr>
                            </a:solidFill>
                            <a:prstDash val="solid"/>
                          </a:ln>
                          <a:effectLst/>
                        </wps:spPr>
                        <wps:bodyPr/>
                      </wps:wsp>
                      <wps:wsp>
                        <wps:cNvPr id="451" name="Straight Connector 451"/>
                        <wps:cNvCnPr/>
                        <wps:spPr>
                          <a:xfrm>
                            <a:off x="6562725" y="409575"/>
                            <a:ext cx="0" cy="237490"/>
                          </a:xfrm>
                          <a:prstGeom prst="line">
                            <a:avLst/>
                          </a:prstGeom>
                          <a:noFill/>
                          <a:ln w="19050" cap="flat" cmpd="sng" algn="ctr">
                            <a:solidFill>
                              <a:srgbClr val="000000">
                                <a:shade val="95000"/>
                                <a:satMod val="105000"/>
                              </a:srgbClr>
                            </a:solidFill>
                            <a:prstDash val="solid"/>
                          </a:ln>
                          <a:effectLst/>
                        </wps:spPr>
                        <wps:bodyPr/>
                      </wps:wsp>
                    </wpg:wgp>
                  </a:graphicData>
                </a:graphic>
              </wp:inline>
            </w:drawing>
          </mc:Choice>
          <mc:Fallback>
            <w:pict>
              <v:group w14:anchorId="4B980CCE" id="Group 14" o:spid="_x0000_s1026" alt="Figure 2.1 Survey response rates for Transitioned ADF and the 2015 Regular ADF" style="width:416.8pt;height:212.0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">
                <v:shapetype id="_x0000_t202" coordsize="21600,21600" o:spt="202" path="m,l,21600r21600,l21600,xe">
                  <v:stroke joinstyle="miter"/>
                  <v:path gradientshapeok="t" o:connecttype="rect"/>
                </v:shapetype>
                <v:shape id="_x0000_s1027" type="#_x0000_t202" style="position:absolute;width:1188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n4cIA&#10;AADbAAAADwAAAGRycy9kb3ducmV2LnhtbERP22rCQBB9L/gPywi+1Y0FL6SuIkJRKFSM2tK3ITsm&#10;0exsyK4x/r0rCL7N4VxnOm9NKRqqXWFZwaAfgSBOrS44U7Dffb1PQDiPrLG0TApu5GA+67xNMdb2&#10;yltqEp+JEMIuRgW591UspUtzMuj6tiIO3NHWBn2AdSZ1jdcQbkr5EUUjabDg0JBjRcuc0nNyMQp+&#10;b5vvbXL6m/yvzLjx4/Xhp8BSqV63XXyC8NT6l/jpXuswfwiPX8IB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afhwgAAANsAAAAPAAAAAAAAAAAAAAAAAJgCAABkcnMvZG93&#10;bnJldi54bWxQSwUGAAAAAAQABAD1AAAAhwMAAAAA&#10;" fillcolor="#002561" strokeweight="1pt">
                  <v:textbox>
                    <w:txbxContent>
                      <w:p w14:paraId="34BAFDA6" w14:textId="77777777" w:rsidR="00040E45" w:rsidRPr="0085632B" w:rsidRDefault="00040E45" w:rsidP="00994AD8">
                        <w:pPr>
                          <w:pStyle w:val="FigureTextwhite"/>
                        </w:pPr>
                        <w:r w:rsidRPr="004B3FA7">
                          <w:t>Total ADF cohort</w:t>
                        </w:r>
                        <w:r>
                          <w:t xml:space="preserve"> </w:t>
                        </w:r>
                        <w:r>
                          <w:br/>
                        </w:r>
                        <w:r w:rsidRPr="0085632B">
                          <w:t>n = 77</w:t>
                        </w:r>
                        <w:r>
                          <w:t>,</w:t>
                        </w:r>
                        <w:r w:rsidRPr="0085632B">
                          <w:t>432</w:t>
                        </w:r>
                      </w:p>
                    </w:txbxContent>
                  </v:textbox>
                </v:shape>
                <v:shape id="Text Box 16" o:spid="_x0000_s1028" type="#_x0000_t202" style="position:absolute;left:15335;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9BsIA&#10;AADbAAAADwAAAGRycy9kb3ducmV2LnhtbERPS2vCQBC+C/6HZQpepNnoQSTNKqGgiCC+WmhvQ3aa&#10;LM3Ohuyq8d+7hYK3+fieky9724grdd44VjBJUhDEpdOGKwUf59XrHIQPyBobx6TgTh6Wi+Egx0y7&#10;Gx/pegqViCHsM1RQh9BmUvqyJos+cS1x5H5cZzFE2FVSd3iL4baR0zSdSYuGY0ONLb3XVP6eLlZB&#10;4e36kPpita4+t7uxuW/28vtLqdFLX7yBCNSHp/jfvdFx/gz+fo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30GwgAAANsAAAAPAAAAAAAAAAAAAAAAAJgCAABkcnMvZG93&#10;bnJldi54bWxQSwUGAAAAAAQABAD1AAAAhwMAAAAA&#10;" strokeweight="1pt">
                  <v:stroke dashstyle="dash"/>
                  <v:textbox>
                    <w:txbxContent>
                      <w:p w14:paraId="46F14024" w14:textId="77777777" w:rsidR="00040E45" w:rsidRPr="0085632B" w:rsidRDefault="00040E45" w:rsidP="00994AD8">
                        <w:pPr>
                          <w:pStyle w:val="FigureText"/>
                          <w:rPr>
                            <w:b w:val="0"/>
                          </w:rPr>
                        </w:pPr>
                        <w:r>
                          <w:t>Non-responder</w:t>
                        </w:r>
                        <w:r>
                          <w:br/>
                        </w:r>
                        <w:r w:rsidRPr="0085632B">
                          <w:rPr>
                            <w:b w:val="0"/>
                          </w:rPr>
                          <w:t>n = 31</w:t>
                        </w:r>
                        <w:r>
                          <w:rPr>
                            <w:b w:val="0"/>
                          </w:rPr>
                          <w:t>,</w:t>
                        </w:r>
                        <w:r w:rsidRPr="0085632B">
                          <w:rPr>
                            <w:b w:val="0"/>
                          </w:rPr>
                          <w:t>119 (70.9%)</w:t>
                        </w:r>
                      </w:p>
                    </w:txbxContent>
                  </v:textbox>
                </v:shape>
                <v:shape id="_x0000_s1029" type="#_x0000_t202" style="position:absolute;top:6381;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fTcQA&#10;AADbAAAADwAAAGRycy9kb3ducmV2LnhtbERPS2vCQBC+F/wPywheim7qwUrqKkUjrRehKpTehuyY&#10;hGRn0+yax793hUJv8/E9Z7XpTSVaalxhWcHLLAJBnFpdcKbgct5PlyCcR9ZYWSYFAznYrEdPK4y1&#10;7fiL2pPPRAhhF6OC3Ps6ltKlORl0M1sTB+5qG4M+wCaTusEuhJtKzqNoIQ0WHBpyrGmbU1qebkbB&#10;cfjm349bdG0P9fLnUh6T3f45UWoy7t/fQHjq/b/4z/2pw/xXePwSD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X03EAAAA2wAAAA8AAAAAAAAAAAAAAAAAmAIAAGRycy9k&#10;b3ducmV2LnhtbFBLBQYAAAAABAAEAPUAAACJAwAAAAA=&#10;" strokeweight="1pt">
                  <v:textbox>
                    <w:txbxContent>
                      <w:p w14:paraId="35903077" w14:textId="77777777" w:rsidR="00040E45" w:rsidRPr="0085632B" w:rsidRDefault="00040E45" w:rsidP="00994AD8">
                        <w:pPr>
                          <w:pStyle w:val="FigureText"/>
                          <w:rPr>
                            <w:b w:val="0"/>
                          </w:rPr>
                        </w:pPr>
                        <w:r>
                          <w:t>Invited</w:t>
                        </w:r>
                        <w:r>
                          <w:br/>
                        </w:r>
                        <w:r w:rsidRPr="0085632B">
                          <w:rPr>
                            <w:b w:val="0"/>
                          </w:rPr>
                          <w:t>n = 44</w:t>
                        </w:r>
                        <w:r>
                          <w:rPr>
                            <w:b w:val="0"/>
                          </w:rPr>
                          <w:t>,</w:t>
                        </w:r>
                        <w:r w:rsidRPr="0085632B">
                          <w:rPr>
                            <w:b w:val="0"/>
                          </w:rPr>
                          <w:t>005 (56.8%)</w:t>
                        </w:r>
                      </w:p>
                    </w:txbxContent>
                  </v:textbox>
                </v:shape>
                <v:shape id="_x0000_s1030" type="#_x0000_t202" style="position:absolute;top:12763;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LP8YA&#10;AADbAAAADwAAAGRycy9kb3ducmV2LnhtbESPT2vCQBDF74LfYZmCF2k27UEkdRWpSvUi1ArF25Cd&#10;/MHsbJpdY/z2nUOhtxnem/d+s1gNrlE9daH2bOAlSUER597WXBo4f+2e56BCRLbYeCYDDwqwWo5H&#10;C8ysv/Mn9adYKgnhkKGBKsY20zrkFTkMiW+JRSt85zDK2pXadniXcNfo1zSdaYc1S0OFLb1XlF9P&#10;N2fg+Pjmn49bWvSHdn45X4/bzW66NWbyNKzfQEUa4r/573pvBV9g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3LP8YAAADbAAAADwAAAAAAAAAAAAAAAACYAgAAZHJz&#10;L2Rvd25yZXYueG1sUEsFBgAAAAAEAAQA9QAAAIsDAAAAAA==&#10;" strokeweight="1pt">
                  <v:textbox>
                    <w:txbxContent>
                      <w:p w14:paraId="55CEDBF5" w14:textId="77777777" w:rsidR="00040E45" w:rsidRPr="0085632B" w:rsidRDefault="00040E45" w:rsidP="00994AD8">
                        <w:pPr>
                          <w:pStyle w:val="FigureText"/>
                          <w:rPr>
                            <w:b w:val="0"/>
                          </w:rPr>
                        </w:pPr>
                        <w:r>
                          <w:t>Responder</w:t>
                        </w:r>
                        <w:r>
                          <w:br/>
                        </w:r>
                        <w:r w:rsidRPr="0085632B">
                          <w:rPr>
                            <w:b w:val="0"/>
                          </w:rPr>
                          <w:t>n = 12</w:t>
                        </w:r>
                        <w:r>
                          <w:rPr>
                            <w:b w:val="0"/>
                          </w:rPr>
                          <w:t>,</w:t>
                        </w:r>
                        <w:r w:rsidRPr="0085632B">
                          <w:rPr>
                            <w:b w:val="0"/>
                          </w:rPr>
                          <w:t>806 (29.1%)</w:t>
                        </w:r>
                      </w:p>
                    </w:txbxContent>
                  </v:textbox>
                </v:shape>
                <v:shape id="_x0000_s1031" type="#_x0000_t202" style="position:absolute;left:29241;top:95;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pyMEA&#10;AADbAAAADwAAAGRycy9kb3ducmV2LnhtbERPTWvCQBC9F/wPywheim5UWjS6ihQEDxXaGD0P2TEb&#10;zM6G7Dam/94VCr3N433OetvbWnTU+sqxgukkAUFcOF1xqSA/7ccLED4ga6wdk4Jf8rDdDF7WmGp3&#10;52/qslCKGMI+RQUmhCaV0heGLPqJa4gjd3WtxRBhW0rd4j2G21rOkuRdWqw4Nhhs6MNQcct+rILL&#10;240O8/z1+JV3Lvu0pqbivFdqNOx3KxCB+vAv/nMfdJy/hOcv8QC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iKcjBAAAA2wAAAA8AAAAAAAAAAAAAAAAAmAIAAGRycy9kb3du&#10;cmV2LnhtbFBLBQYAAAAABAAEAPUAAACGAwAAAAA=&#10;" fillcolor="#720829" strokeweight="1pt">
                  <v:textbox>
                    <w:txbxContent>
                      <w:p w14:paraId="575C0876" w14:textId="77777777" w:rsidR="00040E45" w:rsidRPr="0085632B" w:rsidRDefault="00040E45" w:rsidP="00994AD8">
                        <w:pPr>
                          <w:pStyle w:val="FigureTextwhite"/>
                          <w:rPr>
                            <w:b w:val="0"/>
                          </w:rPr>
                        </w:pPr>
                        <w:r w:rsidRPr="00BD7392">
                          <w:t>Transitioned ADF</w:t>
                        </w:r>
                        <w:r w:rsidRPr="00BD7392">
                          <w:br/>
                        </w:r>
                        <w:r w:rsidRPr="0085632B">
                          <w:rPr>
                            <w:b w:val="0"/>
                          </w:rPr>
                          <w:t>n = 24</w:t>
                        </w:r>
                        <w:r>
                          <w:rPr>
                            <w:b w:val="0"/>
                          </w:rPr>
                          <w:t>,</w:t>
                        </w:r>
                        <w:r w:rsidRPr="0085632B">
                          <w:rPr>
                            <w:b w:val="0"/>
                          </w:rPr>
                          <w:t>932</w:t>
                        </w:r>
                      </w:p>
                    </w:txbxContent>
                  </v:textbox>
                </v:shape>
                <v:shape id="Text Box 20" o:spid="_x0000_s1032" type="#_x0000_t202" style="position:absolute;left:45053;top:9620;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VMIA&#10;AADbAAAADwAAAGRycy9kb3ducmV2LnhtbERPTWvCQBC9C/6HZQpepNmYg0iaVUJBCYKosYX2NmSn&#10;SWh2NmRXjf/ePRR6fLzvbDOaTtxocK1lBYsoBkFcWd1yreDjsn1dgXAeWWNnmRQ8yMFmPZ1kmGp7&#10;5zPdSl+LEMIuRQWN930qpasaMugi2xMH7scOBn2AQy31gPcQbjqZxPFSGmw5NDTY03tD1W95NQpy&#10;Z3an2OXbXf25P8zbR3GU319KzV7G/A2Ep9H/i//chVaQhPXhS/g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opUwgAAANsAAAAPAAAAAAAAAAAAAAAAAJgCAABkcnMvZG93&#10;bnJldi54bWxQSwUGAAAAAAQABAD1AAAAhwMAAAAA&#10;" strokeweight="1pt">
                  <v:stroke dashstyle="dash"/>
                  <v:textbox>
                    <w:txbxContent>
                      <w:p w14:paraId="01B2FDBC" w14:textId="77777777" w:rsidR="00040E45" w:rsidRPr="0085632B" w:rsidRDefault="00040E45" w:rsidP="00994AD8">
                        <w:pPr>
                          <w:pStyle w:val="FigureText"/>
                          <w:rPr>
                            <w:b w:val="0"/>
                          </w:rPr>
                        </w:pPr>
                        <w:r>
                          <w:t>Non-responder</w:t>
                        </w:r>
                        <w:r>
                          <w:br/>
                        </w:r>
                        <w:r w:rsidRPr="0085632B">
                          <w:rPr>
                            <w:b w:val="0"/>
                          </w:rPr>
                          <w:t>n = 19</w:t>
                        </w:r>
                        <w:r>
                          <w:rPr>
                            <w:b w:val="0"/>
                          </w:rPr>
                          <w:t>,</w:t>
                        </w:r>
                        <w:r w:rsidRPr="0085632B">
                          <w:rPr>
                            <w:b w:val="0"/>
                          </w:rPr>
                          <w:t>648 (82.0%)</w:t>
                        </w:r>
                      </w:p>
                    </w:txbxContent>
                  </v:textbox>
                </v:shape>
                <v:shape id="_x0000_s1033" type="#_x0000_t202" style="position:absolute;left:29241;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oH8UA&#10;AADbAAAADwAAAGRycy9kb3ducmV2LnhtbESPT4vCMBTE74LfIbyFvYhN9bBINYqsirsXYVUQb4/m&#10;9Q82L7WJtX57Iyx4HGbmN8xs0ZlKtNS40rKCURSDIE6tLjlXcDxshhMQziNrrCyTggc5WMz7vRkm&#10;2t75j9q9z0WAsEtQQeF9nUjp0oIMusjWxMHLbGPQB9nkUjd4D3BTyXEcf0mDJYeFAmv6Lii97G9G&#10;we5x4uv2Fmftbz05Hy+79WozWCv1+dEtpyA8df4d/m//aAXjEby+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6gfxQAAANsAAAAPAAAAAAAAAAAAAAAAAJgCAABkcnMv&#10;ZG93bnJldi54bWxQSwUGAAAAAAQABAD1AAAAigMAAAAA&#10;" strokeweight="1pt">
                  <v:textbox>
                    <w:txbxContent>
                      <w:p w14:paraId="49635A99" w14:textId="77777777" w:rsidR="00040E45" w:rsidRPr="0085632B" w:rsidRDefault="00040E45" w:rsidP="00994AD8">
                        <w:pPr>
                          <w:pStyle w:val="FigureText"/>
                          <w:rPr>
                            <w:b w:val="0"/>
                          </w:rPr>
                        </w:pPr>
                        <w:r>
                          <w:t>Invited</w:t>
                        </w:r>
                        <w:r>
                          <w:br/>
                        </w:r>
                        <w:r w:rsidRPr="0085632B">
                          <w:rPr>
                            <w:b w:val="0"/>
                          </w:rPr>
                          <w:t>n = 23</w:t>
                        </w:r>
                        <w:r>
                          <w:rPr>
                            <w:b w:val="0"/>
                          </w:rPr>
                          <w:t>,</w:t>
                        </w:r>
                        <w:r w:rsidRPr="0085632B">
                          <w:rPr>
                            <w:b w:val="0"/>
                          </w:rPr>
                          <w:t>974 (96.2%)</w:t>
                        </w:r>
                      </w:p>
                    </w:txbxContent>
                  </v:textbox>
                </v:shape>
                <v:shape id="_x0000_s1034" type="#_x0000_t202" style="position:absolute;left:29241;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2aMYA&#10;AADbAAAADwAAAGRycy9kb3ducmV2LnhtbESPT2vCQBTE70K/w/IKvYjZmINImlVKq1gvQm2geHtk&#10;n0kw+zbNbv747buFQo/DzPyGybaTacRAnastK1hGMQjiwuqaSwX5536xBuE8ssbGMim4k4Pt5mGW&#10;YartyB80nH0pAoRdigoq79tUSldUZNBFtiUO3tV2Bn2QXSl1h2OAm0YmcbySBmsOCxW29FpRcTv3&#10;RsHp/sXfhz6+Dsd2fclvp93bfr5T6ulxenkG4Wny/+G/9rtWkCTw+yX8AL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k2aMYAAADbAAAADwAAAAAAAAAAAAAAAACYAgAAZHJz&#10;L2Rvd25yZXYueG1sUEsFBgAAAAAEAAQA9QAAAIsDAAAAAA==&#10;" strokeweight="1pt">
                  <v:textbox>
                    <w:txbxContent>
                      <w:p w14:paraId="658FD09A" w14:textId="77777777" w:rsidR="00040E45" w:rsidRPr="0085632B" w:rsidRDefault="00040E45" w:rsidP="00994AD8">
                        <w:pPr>
                          <w:pStyle w:val="FigureText"/>
                          <w:rPr>
                            <w:b w:val="0"/>
                          </w:rPr>
                        </w:pPr>
                        <w:r>
                          <w:t>Responder</w:t>
                        </w:r>
                        <w:r>
                          <w:br/>
                        </w:r>
                        <w:r w:rsidRPr="0085632B">
                          <w:rPr>
                            <w:b w:val="0"/>
                          </w:rPr>
                          <w:t>n = 4326 (18.0%)</w:t>
                        </w:r>
                      </w:p>
                    </w:txbxContent>
                  </v:textbox>
                </v:shape>
                <v:shape id="_x0000_s1035" type="#_x0000_t202" style="position:absolute;left:59340;width:1188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LmMQA&#10;AADbAAAADwAAAGRycy9kb3ducmV2LnhtbESPQWvCQBSE7wX/w/KE3urGpKQSXcUWCk1v1fT+yD6T&#10;YPZtzG6T6K/vFgoeh5n5htnsJtOKgXrXWFawXEQgiEurG64UFMf3pxUI55E1tpZJwZUc7Lazhw1m&#10;2o78RcPBVyJA2GWooPa+y6R0ZU0G3cJ2xME72d6gD7KvpO5xDHDTyjiKUmmw4bBQY0dvNZXnw49R&#10;IFfPny956Y9mSF/bZMyL78utUOpxPu3XIDxN/h7+b39oBXEC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1C5jEAAAA2wAAAA8AAAAAAAAAAAAAAAAAmAIAAGRycy9k&#10;b3ducmV2LnhtbFBLBQYAAAAABAAEAPUAAACJAwAAAAA=&#10;" fillcolor="#0194df" strokeweight="1pt">
                  <v:textbox>
                    <w:txbxContent>
                      <w:p w14:paraId="6A3BD305" w14:textId="77777777" w:rsidR="00040E45" w:rsidRPr="0085632B" w:rsidRDefault="00040E45" w:rsidP="00994AD8">
                        <w:pPr>
                          <w:pStyle w:val="FigureTextwhite"/>
                          <w:rPr>
                            <w:b w:val="0"/>
                          </w:rPr>
                        </w:pPr>
                        <w:r>
                          <w:t>2015 Regular ADF</w:t>
                        </w:r>
                        <w:r>
                          <w:br/>
                        </w:r>
                        <w:r w:rsidRPr="0085632B">
                          <w:rPr>
                            <w:b w:val="0"/>
                          </w:rPr>
                          <w:t>n = 52</w:t>
                        </w:r>
                        <w:r>
                          <w:rPr>
                            <w:b w:val="0"/>
                          </w:rPr>
                          <w:t>,</w:t>
                        </w:r>
                        <w:r w:rsidRPr="0085632B">
                          <w:rPr>
                            <w:b w:val="0"/>
                          </w:rPr>
                          <w:t>500</w:t>
                        </w:r>
                      </w:p>
                    </w:txbxContent>
                  </v:textbox>
                </v:shape>
                <v:shape id="Text Box 24" o:spid="_x0000_s1036" type="#_x0000_t202" style="position:absolute;left:74961;top:9429;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MV8UA&#10;AADbAAAADwAAAGRycy9kb3ducmV2LnhtbESP3WrCQBSE7wu+w3KE3hTdGEqR6CpBUIIgrX+gd4fs&#10;aRKaPRuy2yS+fbdQ6OUwM98wy/VgatFR6yrLCmbTCARxbnXFhYLLeTuZg3AeWWNtmRQ8yMF6NXpa&#10;YqJtz0fqTr4QAcIuQQWl900ipctLMuimtiEO3qdtDfog20LqFvsAN7WMo+hNGqw4LJTY0Kak/Ov0&#10;bRSkzuw+Ipdud8V1f3ipHtm7vN+Ueh4P6QKEp8H/h//amVYQv8Lvl/AD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YxXxQAAANsAAAAPAAAAAAAAAAAAAAAAAJgCAABkcnMv&#10;ZG93bnJldi54bWxQSwUGAAAAAAQABAD1AAAAigMAAAAA&#10;" strokeweight="1pt">
                  <v:stroke dashstyle="dash"/>
                  <v:textbox>
                    <w:txbxContent>
                      <w:p w14:paraId="798B6526" w14:textId="77777777" w:rsidR="00040E45" w:rsidRPr="0085632B" w:rsidRDefault="00040E45" w:rsidP="00994AD8">
                        <w:pPr>
                          <w:pStyle w:val="FigureText"/>
                          <w:rPr>
                            <w:b w:val="0"/>
                          </w:rPr>
                        </w:pPr>
                        <w:r>
                          <w:t>Non-responder</w:t>
                        </w:r>
                        <w:r>
                          <w:br/>
                        </w:r>
                        <w:r w:rsidRPr="0085632B">
                          <w:rPr>
                            <w:b w:val="0"/>
                          </w:rPr>
                          <w:t>n = 11</w:t>
                        </w:r>
                        <w:r>
                          <w:rPr>
                            <w:b w:val="0"/>
                          </w:rPr>
                          <w:t>,</w:t>
                        </w:r>
                        <w:r w:rsidRPr="0085632B">
                          <w:rPr>
                            <w:b w:val="0"/>
                          </w:rPr>
                          <w:t>551 (57.7%)</w:t>
                        </w:r>
                      </w:p>
                    </w:txbxContent>
                  </v:textbox>
                </v:shape>
                <v:shape id="_x0000_s1037" type="#_x0000_t202" style="position:absolute;left:59340;top:6381;width:1188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uHMUA&#10;AADbAAAADwAAAGRycy9kb3ducmV2LnhtbESPQYvCMBSE78L+h/AWvIimCitSjbKsinoRtiuIt0fz&#10;bIvNS21irf9+Iwgeh5n5hpktWlOKhmpXWFYwHEQgiFOrC84UHP7W/QkI55E1lpZJwYMcLOYfnRnG&#10;2t75l5rEZyJA2MWoIPe+iqV0aU4G3cBWxME729qgD7LOpK7xHuCmlKMoGkuDBYeFHCv6ySm9JDej&#10;YP848nVzi87NrpqcDpf9arnurZTqfrbfUxCeWv8Ov9pbrWD0Bc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K4cxQAAANsAAAAPAAAAAAAAAAAAAAAAAJgCAABkcnMv&#10;ZG93bnJldi54bWxQSwUGAAAAAAQABAD1AAAAigMAAAAA&#10;" strokeweight="1pt">
                  <v:textbox>
                    <w:txbxContent>
                      <w:p w14:paraId="6B582943" w14:textId="77777777" w:rsidR="00040E45" w:rsidRPr="0085632B" w:rsidRDefault="00040E45" w:rsidP="00994AD8">
                        <w:pPr>
                          <w:pStyle w:val="FigureText"/>
                          <w:rPr>
                            <w:b w:val="0"/>
                          </w:rPr>
                        </w:pPr>
                        <w:r>
                          <w:t>Invited</w:t>
                        </w:r>
                        <w:r>
                          <w:br/>
                        </w:r>
                        <w:r w:rsidRPr="0085632B">
                          <w:rPr>
                            <w:b w:val="0"/>
                          </w:rPr>
                          <w:t>n = 20</w:t>
                        </w:r>
                        <w:r>
                          <w:rPr>
                            <w:b w:val="0"/>
                          </w:rPr>
                          <w:t>,</w:t>
                        </w:r>
                        <w:r w:rsidRPr="0085632B">
                          <w:rPr>
                            <w:b w:val="0"/>
                          </w:rPr>
                          <w:t>031 (38.2%)</w:t>
                        </w:r>
                      </w:p>
                    </w:txbxContent>
                  </v:textbox>
                </v:shape>
                <v:shape id="_x0000_s1038" type="#_x0000_t202" style="position:absolute;left:59340;top:12858;width:1188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wa8UA&#10;AADbAAAADwAAAGRycy9kb3ducmV2LnhtbESPT4vCMBTE7wv7HcITvCw21YNINYq4inoR1hUWb4/m&#10;9Q82L7WJtX57Iyx4HGbmN8xs0ZlKtNS40rKCYRSDIE6tLjlXcPrdDCYgnEfWWFkmBQ9ysJh/fsww&#10;0fbOP9QefS4ChF2CCgrv60RKlxZk0EW2Jg5eZhuDPsgml7rBe4CbSo7ieCwNlhwWCqxpVVB6Od6M&#10;gsPjj6/bW5y1+3pyPl0O6+/N11qpfq9bTkF46vw7/N/eaQWjMby+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jBrxQAAANsAAAAPAAAAAAAAAAAAAAAAAJgCAABkcnMv&#10;ZG93bnJldi54bWxQSwUGAAAAAAQABAD1AAAAigMAAAAA&#10;" strokeweight="1pt">
                  <v:textbox>
                    <w:txbxContent>
                      <w:p w14:paraId="4E9431A1" w14:textId="77777777" w:rsidR="00040E45" w:rsidRPr="0085632B" w:rsidRDefault="00040E45" w:rsidP="00994AD8">
                        <w:pPr>
                          <w:pStyle w:val="FigureText"/>
                          <w:rPr>
                            <w:b w:val="0"/>
                          </w:rPr>
                        </w:pPr>
                        <w:r>
                          <w:t>Responder</w:t>
                        </w:r>
                        <w:r>
                          <w:br/>
                        </w:r>
                        <w:r w:rsidRPr="0085632B">
                          <w:rPr>
                            <w:b w:val="0"/>
                          </w:rPr>
                          <w:t>n = 8480 (42.3%)</w:t>
                        </w:r>
                      </w:p>
                    </w:txbxContent>
                  </v:textbox>
                </v:shape>
                <v:line id="Straight Connector 27" o:spid="_x0000_s1039" style="position:absolute;visibility:visible;mso-wrap-style:square" from="6191,4095" to="6191,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Straight Connector 28" o:spid="_x0000_s1040" style="position:absolute;flip:x;visibility:visible;mso-wrap-style:square" from="6191,10477" to="619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G8EAAADbAAAADwAAAGRycy9kb3ducmV2LnhtbERPz2vCMBS+D/Y/hDfYbabrQUY1iggb&#10;PQjOqgdvj+bZBpOX0mRtt7/eHAYeP77fy/XkrBioD8azgvdZBoK49tpwo+B0/Hz7ABEiskbrmRT8&#10;UoD16vlpiYX2Ix9oqGIjUgiHAhW0MXaFlKFuyWGY+Y44cVffO4wJ9o3UPY4p3FmZZ9lcOjScGlrs&#10;aNtSfat+nIKqvIzmZHQZ5/vm+28XrP6yZ6VeX6bNAkSkKT7E/+5SK8jT2PQ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b8bwQAAANsAAAAPAAAAAAAAAAAAAAAA&#10;AKECAABkcnMvZG93bnJldi54bWxQSwUGAAAAAAQABAD5AAAAjwMAAAAA&#10;" strokecolor="windowText" strokeweight="1.5pt">
                  <v:stroke joinstyle="miter"/>
                </v:line>
                <v:line id="Straight Connector 29" o:spid="_x0000_s1041" style="position:absolute;flip:x;visibility:visible;mso-wrap-style:square" from="35528,10572" to="35528,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agMQAAADbAAAADwAAAGRycy9kb3ducmV2LnhtbESPQWsCMRSE7wX/Q3iCt5rVg7SrUURQ&#10;9lBou+rB22Pz3A0mL8smddf++qZQ6HGYmW+Y1WZwVtypC8azgtk0A0FceW24VnA67p9fQISIrNF6&#10;JgUPCrBZj55WmGvf8yfdy1iLBOGQo4ImxjaXMlQNOQxT3xIn7+o7hzHJrpa6wz7BnZXzLFtIh4bT&#10;QoMt7RqqbuWXU1AWl96cjC7i4r3++H4LVh/sWanJeNguQUQa4n/4r11oBfNX+P2Sf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RqAxAAAANsAAAAPAAAAAAAAAAAA&#10;AAAAAKECAABkcnMvZG93bnJldi54bWxQSwUGAAAAAAQABAD5AAAAkgMAAAAA&#10;" strokecolor="windowText" strokeweight="1.5pt">
                  <v:stroke joinstyle="miter"/>
                </v:line>
                <v:line id="Straight Connector 30" o:spid="_x0000_s1042" style="position:absolute;visibility:visible;mso-wrap-style:square" from="65532,10572" to="65532,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eWL8AAADbAAAADwAAAGRycy9kb3ducmV2LnhtbERPTWvCQBC9F/wPywje6iZtEY2uIpWi&#10;t9YonofsmASzszE7avz33UOhx8f7Xqx616g7daH2bCAdJ6CIC29rLg0cD1+vU1BBkC02nsnAkwKs&#10;loOXBWbWP3hP91xKFUM4ZGigEmkzrUNRkcMw9i1x5M6+cygRdqW2HT5iuGv0W5JMtMOaY0OFLX1W&#10;VFzymzPQp+nkWhaUftD3dnb6kcM5l40xo2G/noMS6uVf/OfeWQPvcX38En+AX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yGeWL8AAADbAAAADwAAAAAAAAAAAAAAAACh&#10;AgAAZHJzL2Rvd25yZXYueG1sUEsFBgAAAAAEAAQA+QAAAI0DAAAAAA==&#10;" strokecolor="windowText" strokeweight="1.5pt">
                  <v:stroke joinstyle="miter"/>
                </v:line>
                <v:shapetype id="_x0000_t32" coordsize="21600,21600" o:spt="32" o:oned="t" path="m,l21600,21600e" filled="f">
                  <v:path arrowok="t" fillok="f" o:connecttype="none"/>
                  <o:lock v:ext="edit" shapetype="t"/>
                </v:shapetype>
                <v:shape id="Straight Arrow Connector 31" o:spid="_x0000_s1043" type="#_x0000_t32" style="position:absolute;left:6096;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c72cQAAADbAAAADwAAAGRycy9kb3ducmV2LnhtbESPS2vCQBSF90L/w3AL3ZlJbJWSZiIq&#10;VFwVtaW4vGZu8zBzJ2Smmv77jiC4PJzHx8nmg2nFmXpXW1aQRDEI4sLqmksFX5/v41cQziNrbC2T&#10;gj9yMM8fRhmm2l54R+e9L0UYYZeigsr7LpXSFRUZdJHtiIP3Y3uDPsi+lLrHSxg3rZzE8UwarDkQ&#10;KuxoVVFx2v8aBU07nTQfvN4ev8vD8WUZSE1yUOrpcVi8gfA0+Hv41t5oBc8JXL+EH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dzvZxAAAANsAAAAPAAAAAAAAAAAA&#10;AAAAAKECAABkcnMvZG93bnJldi54bWxQSwUGAAAAAAQABAD5AAAAkgMAAAAA&#10;">
                  <v:stroke dashstyle="dash" endarrow="block"/>
                </v:shape>
                <v:shape id="Straight Arrow Connector 448" o:spid="_x0000_s1044" type="#_x0000_t32" style="position:absolute;left:35623;top:11620;width:93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hX8IAAADcAAAADwAAAGRycy9kb3ducmV2LnhtbERPz2vCMBS+D/wfwhO8zdRRxqxG0aHg&#10;YJdZL96ezbMpbV5qE23975fDYMeP7/dyPdhGPKjzlWMFs2kCgrhwuuJSwSnfv36A8AFZY+OYFDzJ&#10;w3o1ellipl3PP/Q4hlLEEPYZKjAhtJmUvjBk0U9dSxy5q+sshgi7UuoO+xhuG/mWJO/SYsWxwWBL&#10;n4aK+ni3CuaX3e27Ppvkuq2b3u5C/pU+c6Um42GzABFoCP/iP/dBK0jTuDaei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shX8IAAADcAAAADwAAAAAAAAAAAAAA&#10;AAChAgAAZHJzL2Rvd25yZXYueG1sUEsFBgAAAAAEAAQA+QAAAJADAAAAAA==&#10;" strokecolor="windowText" strokeweight=".5pt">
                  <v:stroke dashstyle="dash" endarrow="block" joinstyle="miter"/>
                </v:shape>
                <v:shape id="Straight Arrow Connector 449" o:spid="_x0000_s1045" type="#_x0000_t32" style="position:absolute;left:65627;top:11620;width:93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ExMUAAADcAAAADwAAAGRycy9kb3ducmV2LnhtbESPQWvCQBSE70L/w/IK3nTTEkqTukot&#10;Fiz0UuPF22v2mQ3Jvo3ZrYn/visIHoeZ+YZZrEbbijP1vnas4GmegCAuna65UrAvPmevIHxA1tg6&#10;JgUX8rBaPkwWmGs38A+dd6ESEcI+RwUmhC6X0peGLPq564ijd3S9xRBlX0nd4xDhtpXPSfIiLdYc&#10;Fwx29GGobHZ/VkH2uzl9NweTHNdNO9hNKL7SS6HU9HF8fwMRaAz38K291QrSNIPr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ExMUAAADcAAAADwAAAAAAAAAA&#10;AAAAAAChAgAAZHJzL2Rvd25yZXYueG1sUEsFBgAAAAAEAAQA+QAAAJMDAAAAAA==&#10;" strokecolor="windowText" strokeweight=".5pt">
                  <v:stroke dashstyle="dash" endarrow="block" joinstyle="miter"/>
                </v:shape>
                <v:line id="Straight Connector 450" o:spid="_x0000_s1046" style="position:absolute;visibility:visible;mso-wrap-style:square" from="35528,4095" to="35528,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h/MEAAADcAAAADwAAAGRycy9kb3ducmV2LnhtbERPz2vCMBS+C/sfwhvspuncHFKNMgTn&#10;8GYdgrdH82xrm5cuSbX+9+YgePz4fs+XvWnEhZyvLCt4HyUgiHOrKy4U/O3XwykIH5A1NpZJwY08&#10;LBcvgzmm2l55R5csFCKGsE9RQRlCm0rp85IM+pFtiSN3ss5giNAVUju8xnDTyHGSfEmDFceGElta&#10;lZTXWWcUHLqMj+d67Rrsfjab0+G/9h9bpd5e++8ZiEB9eIof7l+t4HMS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GH8wQAAANwAAAAPAAAAAAAAAAAAAAAA&#10;AKECAABkcnMvZG93bnJldi54bWxQSwUGAAAAAAQABAD5AAAAjwMAAAAA&#10;" strokeweight="1.5pt"/>
                <v:line id="Straight Connector 451" o:spid="_x0000_s1047" style="position:absolute;visibility:visible;mso-wrap-style:square" from="65627,4095" to="65627,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EZ8UAAADcAAAADwAAAGRycy9kb3ducmV2LnhtbESPQWvCQBSE70L/w/IKvelGbUuJriKC&#10;Wrw1FqG3R/aZxGTfxt2Npv/eLRQ8DjPzDTNf9qYRV3K+sqxgPEpAEOdWV1wo+D5shh8gfEDW2Fgm&#10;Bb/kYbl4Gswx1fbGX3TNQiEihH2KCsoQ2lRKn5dk0I9sSxy9k3UGQ5SukNrhLcJNIydJ8i4NVhwX&#10;SmxpXVJeZ51RcOwy/jnXG9dgt93tTsdL7ad7pV6e+9UMRKA+PML/7U+t4PVt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DEZ8UAAADcAAAADwAAAAAAAAAA&#10;AAAAAAChAgAAZHJzL2Rvd25yZXYueG1sUEsFBgAAAAAEAAQA+QAAAJMDAAAAAA==&#10;" strokeweight="1.5pt"/>
                <w10:anchorlock/>
              </v:group>
            </w:pict>
          </mc:Fallback>
        </mc:AlternateContent>
      </w:r>
    </w:p>
    <w:p w14:paraId="6341E0B6" w14:textId="77777777" w:rsidR="00994AD8" w:rsidRDefault="00994AD8" w:rsidP="00994AD8">
      <w:pPr>
        <w:spacing w:before="100" w:beforeAutospacing="1" w:after="100" w:afterAutospacing="1"/>
        <w:rPr>
          <w:rFonts w:asciiTheme="minorHAnsi" w:hAnsiTheme="minorHAnsi" w:cs="Times"/>
          <w:szCs w:val="22"/>
        </w:rPr>
      </w:pPr>
    </w:p>
    <w:p w14:paraId="7156863F" w14:textId="77777777" w:rsidR="0008078F" w:rsidRDefault="0008078F" w:rsidP="0033018C"/>
    <w:p w14:paraId="1F6920D1" w14:textId="77777777" w:rsidR="00FD3AB7" w:rsidRDefault="00FD3AB7" w:rsidP="00191932">
      <w:pPr>
        <w:sectPr w:rsidR="00FD3AB7" w:rsidSect="00147BFC">
          <w:footerReference w:type="even" r:id="rId32"/>
          <w:footerReference w:type="default" r:id="rId33"/>
          <w:pgSz w:w="14170" w:h="9979" w:orient="landscape" w:code="243"/>
          <w:pgMar w:top="1872" w:right="1440" w:bottom="1152" w:left="1440" w:header="576" w:footer="576" w:gutter="0"/>
          <w:cols w:space="708"/>
          <w:docGrid w:linePitch="360"/>
        </w:sectPr>
      </w:pPr>
    </w:p>
    <w:p w14:paraId="1F1CA434" w14:textId="77777777" w:rsidR="00994AD8" w:rsidRDefault="00994AD8" w:rsidP="00994AD8">
      <w:pPr>
        <w:pStyle w:val="TableName"/>
      </w:pPr>
      <w:bookmarkStart w:id="135" w:name="_Toc531857983"/>
      <w:bookmarkStart w:id="136" w:name="_Ref520876883"/>
      <w:bookmarkStart w:id="137" w:name="_Toc508978834"/>
      <w:bookmarkStart w:id="138" w:name="_Toc385236029"/>
      <w:bookmarkStart w:id="139" w:name="_Toc385236879"/>
      <w:bookmarkStart w:id="140" w:name="_Toc385237683"/>
      <w:bookmarkStart w:id="141" w:name="_Toc515374630"/>
      <w:r>
        <w:t xml:space="preserve">Table </w:t>
      </w:r>
      <w:r>
        <w:rPr>
          <w:noProof/>
        </w:rPr>
        <w:t>2</w:t>
      </w:r>
      <w:r>
        <w:t>.</w:t>
      </w:r>
      <w:r>
        <w:rPr>
          <w:noProof/>
        </w:rPr>
        <w:t>2</w:t>
      </w:r>
      <w:r>
        <w:rPr>
          <w:noProof/>
        </w:rPr>
        <w:tab/>
      </w:r>
      <w:r w:rsidRPr="004C6CF5">
        <w:t>Unweighted demographic characteristics of Transitioned ADF and 2015 Regular ADF</w:t>
      </w:r>
      <w:r>
        <w:t xml:space="preserve"> responders</w:t>
      </w:r>
      <w:bookmarkEnd w:id="135"/>
    </w:p>
    <w:bookmarkEnd w:id="136"/>
    <w:bookmarkEnd w:id="137"/>
    <w:bookmarkEnd w:id="138"/>
    <w:bookmarkEnd w:id="139"/>
    <w:bookmarkEnd w:id="140"/>
    <w:bookmarkEnd w:id="141"/>
    <w:tbl>
      <w:tblPr>
        <w:tblStyle w:val="TWRPTable"/>
        <w:tblW w:w="5000" w:type="pct"/>
        <w:tblLayout w:type="fixed"/>
        <w:tblCellMar>
          <w:left w:w="115" w:type="dxa"/>
          <w:right w:w="115" w:type="dxa"/>
        </w:tblCellMar>
        <w:tblLook w:val="04A0" w:firstRow="1" w:lastRow="0" w:firstColumn="1" w:lastColumn="0" w:noHBand="0" w:noVBand="1"/>
        <w:tblDescription w:val="Table 2.2 Unweighted demographic characteristics of Transitioned ADF and 2015 Regular ADF responders"/>
      </w:tblPr>
      <w:tblGrid>
        <w:gridCol w:w="1251"/>
        <w:gridCol w:w="1020"/>
        <w:gridCol w:w="848"/>
        <w:gridCol w:w="1070"/>
        <w:gridCol w:w="1062"/>
        <w:gridCol w:w="931"/>
        <w:gridCol w:w="907"/>
      </w:tblGrid>
      <w:tr w:rsidR="00994AD8" w:rsidRPr="00994AD8" w14:paraId="2B9652E3" w14:textId="77777777" w:rsidTr="00994AD8">
        <w:trPr>
          <w:cnfStyle w:val="100000000000" w:firstRow="1" w:lastRow="0" w:firstColumn="0" w:lastColumn="0" w:oddVBand="0" w:evenVBand="0" w:oddHBand="0" w:evenHBand="0" w:firstRowFirstColumn="0" w:firstRowLastColumn="0" w:lastRowFirstColumn="0" w:lastRowLastColumn="0"/>
          <w:cantSplit/>
          <w:tblHeader/>
        </w:trPr>
        <w:tc>
          <w:tcPr>
            <w:tcW w:w="882" w:type="pct"/>
            <w:tcBorders>
              <w:top w:val="single" w:sz="4" w:space="0" w:color="000000"/>
              <w:bottom w:val="nil"/>
            </w:tcBorders>
          </w:tcPr>
          <w:p w14:paraId="28D43429" w14:textId="77777777" w:rsidR="00994AD8" w:rsidRPr="00994AD8" w:rsidRDefault="00994AD8" w:rsidP="002E67C4">
            <w:pPr>
              <w:pStyle w:val="TableText"/>
            </w:pPr>
          </w:p>
        </w:tc>
        <w:tc>
          <w:tcPr>
            <w:tcW w:w="2072" w:type="pct"/>
            <w:gridSpan w:val="3"/>
          </w:tcPr>
          <w:p w14:paraId="6FE1D77E" w14:textId="77777777" w:rsidR="00994AD8" w:rsidRPr="00994AD8" w:rsidRDefault="00994AD8" w:rsidP="002E67C4">
            <w:pPr>
              <w:pStyle w:val="TableText"/>
              <w:jc w:val="center"/>
            </w:pPr>
            <w:r w:rsidRPr="00994AD8">
              <w:t>Transitioned ADF</w:t>
            </w:r>
            <w:r w:rsidRPr="00994AD8">
              <w:br/>
              <w:t>n=4326</w:t>
            </w:r>
          </w:p>
        </w:tc>
        <w:tc>
          <w:tcPr>
            <w:tcW w:w="2046" w:type="pct"/>
            <w:gridSpan w:val="3"/>
          </w:tcPr>
          <w:p w14:paraId="4614EB5E" w14:textId="77777777" w:rsidR="00994AD8" w:rsidRPr="00994AD8" w:rsidRDefault="00994AD8" w:rsidP="002E67C4">
            <w:pPr>
              <w:pStyle w:val="TableText"/>
              <w:jc w:val="center"/>
            </w:pPr>
            <w:r w:rsidRPr="00994AD8">
              <w:t>2015 Regular ADF</w:t>
            </w:r>
            <w:r w:rsidRPr="00994AD8">
              <w:br/>
              <w:t>n=8480</w:t>
            </w:r>
          </w:p>
        </w:tc>
      </w:tr>
      <w:tr w:rsidR="00994AD8" w:rsidRPr="00994AD8" w14:paraId="360B9707" w14:textId="77777777" w:rsidTr="00994AD8">
        <w:trPr>
          <w:cnfStyle w:val="100000000000" w:firstRow="1" w:lastRow="0" w:firstColumn="0" w:lastColumn="0" w:oddVBand="0" w:evenVBand="0" w:oddHBand="0" w:evenHBand="0" w:firstRowFirstColumn="0" w:firstRowLastColumn="0" w:lastRowFirstColumn="0" w:lastRowLastColumn="0"/>
          <w:cantSplit/>
          <w:tblHeader/>
        </w:trPr>
        <w:tc>
          <w:tcPr>
            <w:tcW w:w="882" w:type="pct"/>
            <w:tcBorders>
              <w:top w:val="nil"/>
            </w:tcBorders>
          </w:tcPr>
          <w:p w14:paraId="40F68ADB" w14:textId="77777777" w:rsidR="00994AD8" w:rsidRPr="00994AD8" w:rsidRDefault="00994AD8" w:rsidP="002E67C4">
            <w:pPr>
              <w:pStyle w:val="TableText"/>
            </w:pPr>
          </w:p>
        </w:tc>
        <w:tc>
          <w:tcPr>
            <w:tcW w:w="719" w:type="pct"/>
          </w:tcPr>
          <w:p w14:paraId="4D39DCD5" w14:textId="77777777" w:rsidR="00994AD8" w:rsidRPr="00994AD8" w:rsidRDefault="00994AD8" w:rsidP="002E67C4">
            <w:pPr>
              <w:pStyle w:val="TableText"/>
              <w:jc w:val="right"/>
            </w:pPr>
            <w:r w:rsidRPr="00994AD8">
              <w:t>n</w:t>
            </w:r>
          </w:p>
        </w:tc>
        <w:tc>
          <w:tcPr>
            <w:tcW w:w="598" w:type="pct"/>
          </w:tcPr>
          <w:p w14:paraId="3FD9B916" w14:textId="77777777" w:rsidR="00994AD8" w:rsidRPr="00994AD8" w:rsidRDefault="00994AD8" w:rsidP="002E67C4">
            <w:pPr>
              <w:pStyle w:val="TableText"/>
              <w:jc w:val="right"/>
            </w:pPr>
            <w:r w:rsidRPr="00994AD8">
              <w:t>%</w:t>
            </w:r>
          </w:p>
        </w:tc>
        <w:tc>
          <w:tcPr>
            <w:tcW w:w="755" w:type="pct"/>
          </w:tcPr>
          <w:p w14:paraId="1E9E5570" w14:textId="77777777" w:rsidR="00994AD8" w:rsidRPr="00994AD8" w:rsidRDefault="00994AD8" w:rsidP="002E67C4">
            <w:pPr>
              <w:pStyle w:val="TableText"/>
              <w:jc w:val="right"/>
            </w:pPr>
            <w:r w:rsidRPr="00994AD8">
              <w:t>95% CI</w:t>
            </w:r>
          </w:p>
        </w:tc>
        <w:tc>
          <w:tcPr>
            <w:tcW w:w="749" w:type="pct"/>
          </w:tcPr>
          <w:p w14:paraId="3B40785D" w14:textId="77777777" w:rsidR="00994AD8" w:rsidRPr="00994AD8" w:rsidRDefault="00994AD8" w:rsidP="002E67C4">
            <w:pPr>
              <w:pStyle w:val="TableText"/>
              <w:jc w:val="right"/>
            </w:pPr>
            <w:r w:rsidRPr="00994AD8">
              <w:t>n</w:t>
            </w:r>
          </w:p>
        </w:tc>
        <w:tc>
          <w:tcPr>
            <w:tcW w:w="657" w:type="pct"/>
          </w:tcPr>
          <w:p w14:paraId="335656FC" w14:textId="77777777" w:rsidR="00994AD8" w:rsidRPr="00994AD8" w:rsidRDefault="00994AD8" w:rsidP="002E67C4">
            <w:pPr>
              <w:pStyle w:val="TableText"/>
              <w:jc w:val="right"/>
            </w:pPr>
            <w:r w:rsidRPr="00994AD8">
              <w:t>%</w:t>
            </w:r>
          </w:p>
        </w:tc>
        <w:tc>
          <w:tcPr>
            <w:tcW w:w="640" w:type="pct"/>
          </w:tcPr>
          <w:p w14:paraId="1253DB2A" w14:textId="77777777" w:rsidR="00994AD8" w:rsidRPr="00994AD8" w:rsidRDefault="00994AD8" w:rsidP="002E67C4">
            <w:pPr>
              <w:pStyle w:val="TableText"/>
              <w:jc w:val="right"/>
            </w:pPr>
            <w:r w:rsidRPr="00994AD8">
              <w:t>95% CI</w:t>
            </w:r>
          </w:p>
        </w:tc>
      </w:tr>
      <w:tr w:rsidR="00994AD8" w:rsidRPr="00DB5395" w14:paraId="4AACD93D"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75ADA6EE" w14:textId="77777777" w:rsidR="00994AD8" w:rsidRPr="00DB5395" w:rsidRDefault="00994AD8" w:rsidP="002E67C4">
            <w:pPr>
              <w:pStyle w:val="TableText"/>
              <w:rPr>
                <w:b/>
              </w:rPr>
            </w:pPr>
            <w:r w:rsidRPr="00DB5395">
              <w:rPr>
                <w:b/>
              </w:rPr>
              <w:t>Age (M, SE)</w:t>
            </w:r>
          </w:p>
        </w:tc>
        <w:tc>
          <w:tcPr>
            <w:tcW w:w="719" w:type="pct"/>
          </w:tcPr>
          <w:p w14:paraId="21E9EBED" w14:textId="77777777" w:rsidR="00994AD8" w:rsidRPr="00DB5395" w:rsidRDefault="00994AD8" w:rsidP="002E67C4">
            <w:pPr>
              <w:pStyle w:val="TableText"/>
              <w:jc w:val="right"/>
            </w:pPr>
            <w:r w:rsidRPr="00DB5395">
              <w:t>41.9</w:t>
            </w:r>
          </w:p>
        </w:tc>
        <w:tc>
          <w:tcPr>
            <w:tcW w:w="598" w:type="pct"/>
          </w:tcPr>
          <w:p w14:paraId="260CB97E" w14:textId="77777777" w:rsidR="00994AD8" w:rsidRPr="00DB5395" w:rsidRDefault="00994AD8" w:rsidP="002E67C4">
            <w:pPr>
              <w:pStyle w:val="TableText"/>
              <w:jc w:val="right"/>
            </w:pPr>
            <w:r w:rsidRPr="00DB5395">
              <w:t>0.2</w:t>
            </w:r>
          </w:p>
        </w:tc>
        <w:tc>
          <w:tcPr>
            <w:tcW w:w="755" w:type="pct"/>
          </w:tcPr>
          <w:p w14:paraId="5134DACF" w14:textId="77777777" w:rsidR="00994AD8" w:rsidRPr="00DB5395" w:rsidRDefault="00994AD8" w:rsidP="002E67C4">
            <w:pPr>
              <w:pStyle w:val="TableText"/>
              <w:jc w:val="right"/>
            </w:pPr>
          </w:p>
        </w:tc>
        <w:tc>
          <w:tcPr>
            <w:tcW w:w="749" w:type="pct"/>
          </w:tcPr>
          <w:p w14:paraId="73BB0E57" w14:textId="77777777" w:rsidR="00994AD8" w:rsidRPr="00DB5395" w:rsidRDefault="00994AD8" w:rsidP="002E67C4">
            <w:pPr>
              <w:pStyle w:val="TableText"/>
              <w:jc w:val="right"/>
            </w:pPr>
            <w:r w:rsidRPr="00DB5395">
              <w:t>41.1</w:t>
            </w:r>
          </w:p>
        </w:tc>
        <w:tc>
          <w:tcPr>
            <w:tcW w:w="657" w:type="pct"/>
          </w:tcPr>
          <w:p w14:paraId="6A2202F5" w14:textId="77777777" w:rsidR="00994AD8" w:rsidRPr="00DB5395" w:rsidRDefault="00994AD8" w:rsidP="002E67C4">
            <w:pPr>
              <w:pStyle w:val="TableText"/>
              <w:jc w:val="right"/>
            </w:pPr>
            <w:r w:rsidRPr="00DB5395">
              <w:t>0.1</w:t>
            </w:r>
          </w:p>
        </w:tc>
        <w:tc>
          <w:tcPr>
            <w:tcW w:w="640" w:type="pct"/>
          </w:tcPr>
          <w:p w14:paraId="35D86BD0" w14:textId="77777777" w:rsidR="00994AD8" w:rsidRPr="00DB5395" w:rsidRDefault="00994AD8" w:rsidP="002E67C4">
            <w:pPr>
              <w:pStyle w:val="TableText"/>
              <w:jc w:val="right"/>
            </w:pPr>
          </w:p>
        </w:tc>
      </w:tr>
      <w:tr w:rsidR="00994AD8" w:rsidRPr="00DB5395" w14:paraId="783A9152" w14:textId="77777777" w:rsidTr="00994AD8">
        <w:trPr>
          <w:cantSplit/>
        </w:trPr>
        <w:tc>
          <w:tcPr>
            <w:tcW w:w="882" w:type="pct"/>
          </w:tcPr>
          <w:p w14:paraId="6416C85C" w14:textId="77777777" w:rsidR="00994AD8" w:rsidRPr="00DB5395" w:rsidRDefault="00994AD8" w:rsidP="002E67C4">
            <w:pPr>
              <w:pStyle w:val="TableText"/>
              <w:rPr>
                <w:b/>
              </w:rPr>
            </w:pPr>
            <w:r w:rsidRPr="00DB5395">
              <w:rPr>
                <w:b/>
              </w:rPr>
              <w:t>Age group</w:t>
            </w:r>
          </w:p>
        </w:tc>
        <w:tc>
          <w:tcPr>
            <w:tcW w:w="719" w:type="pct"/>
          </w:tcPr>
          <w:p w14:paraId="59114B09" w14:textId="77777777" w:rsidR="00994AD8" w:rsidRPr="00DB5395" w:rsidRDefault="00994AD8" w:rsidP="002E67C4">
            <w:pPr>
              <w:pStyle w:val="TableText"/>
              <w:jc w:val="right"/>
            </w:pPr>
          </w:p>
        </w:tc>
        <w:tc>
          <w:tcPr>
            <w:tcW w:w="598" w:type="pct"/>
          </w:tcPr>
          <w:p w14:paraId="07787B67" w14:textId="77777777" w:rsidR="00994AD8" w:rsidRPr="00DB5395" w:rsidRDefault="00994AD8" w:rsidP="002E67C4">
            <w:pPr>
              <w:pStyle w:val="TableText"/>
              <w:jc w:val="right"/>
            </w:pPr>
          </w:p>
        </w:tc>
        <w:tc>
          <w:tcPr>
            <w:tcW w:w="755" w:type="pct"/>
          </w:tcPr>
          <w:p w14:paraId="3422DDCF" w14:textId="77777777" w:rsidR="00994AD8" w:rsidRPr="00DB5395" w:rsidRDefault="00994AD8" w:rsidP="002E67C4">
            <w:pPr>
              <w:pStyle w:val="TableText"/>
              <w:jc w:val="right"/>
            </w:pPr>
          </w:p>
        </w:tc>
        <w:tc>
          <w:tcPr>
            <w:tcW w:w="749" w:type="pct"/>
          </w:tcPr>
          <w:p w14:paraId="38A41B4D" w14:textId="77777777" w:rsidR="00994AD8" w:rsidRPr="00DB5395" w:rsidRDefault="00994AD8" w:rsidP="002E67C4">
            <w:pPr>
              <w:pStyle w:val="TableText"/>
              <w:jc w:val="right"/>
            </w:pPr>
          </w:p>
        </w:tc>
        <w:tc>
          <w:tcPr>
            <w:tcW w:w="657" w:type="pct"/>
          </w:tcPr>
          <w:p w14:paraId="0AB82F4B" w14:textId="77777777" w:rsidR="00994AD8" w:rsidRPr="00DB5395" w:rsidRDefault="00994AD8" w:rsidP="002E67C4">
            <w:pPr>
              <w:pStyle w:val="TableText"/>
              <w:jc w:val="right"/>
            </w:pPr>
          </w:p>
        </w:tc>
        <w:tc>
          <w:tcPr>
            <w:tcW w:w="640" w:type="pct"/>
          </w:tcPr>
          <w:p w14:paraId="56FB0D50" w14:textId="77777777" w:rsidR="00994AD8" w:rsidRPr="00DB5395" w:rsidRDefault="00994AD8" w:rsidP="002E67C4">
            <w:pPr>
              <w:pStyle w:val="TableText"/>
              <w:jc w:val="right"/>
            </w:pPr>
          </w:p>
        </w:tc>
      </w:tr>
      <w:tr w:rsidR="00994AD8" w:rsidRPr="00DB5395" w14:paraId="06FEFDAB"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79E60021" w14:textId="77777777" w:rsidR="00994AD8" w:rsidRPr="00DB5395" w:rsidRDefault="00994AD8" w:rsidP="002E67C4">
            <w:pPr>
              <w:pStyle w:val="TableText"/>
              <w:ind w:left="57"/>
            </w:pPr>
            <w:r w:rsidRPr="00DB5395">
              <w:t>18–27</w:t>
            </w:r>
          </w:p>
        </w:tc>
        <w:tc>
          <w:tcPr>
            <w:tcW w:w="719" w:type="pct"/>
          </w:tcPr>
          <w:p w14:paraId="079FF03F" w14:textId="77777777" w:rsidR="00994AD8" w:rsidRPr="00DB5395" w:rsidRDefault="00994AD8" w:rsidP="002E67C4">
            <w:pPr>
              <w:pStyle w:val="TableText"/>
              <w:jc w:val="right"/>
            </w:pPr>
            <w:r w:rsidRPr="00DB5395">
              <w:t>471</w:t>
            </w:r>
          </w:p>
        </w:tc>
        <w:tc>
          <w:tcPr>
            <w:tcW w:w="598" w:type="pct"/>
          </w:tcPr>
          <w:p w14:paraId="1DD056EA" w14:textId="77777777" w:rsidR="00994AD8" w:rsidRPr="00DB5395" w:rsidRDefault="00994AD8" w:rsidP="002E67C4">
            <w:pPr>
              <w:pStyle w:val="TableText"/>
              <w:jc w:val="right"/>
            </w:pPr>
            <w:r w:rsidRPr="00DB5395">
              <w:t>10.9</w:t>
            </w:r>
          </w:p>
        </w:tc>
        <w:tc>
          <w:tcPr>
            <w:tcW w:w="755" w:type="pct"/>
          </w:tcPr>
          <w:p w14:paraId="5CA3010F" w14:textId="77777777" w:rsidR="00994AD8" w:rsidRPr="00DB5395" w:rsidRDefault="00994AD8" w:rsidP="002E67C4">
            <w:pPr>
              <w:pStyle w:val="TableText"/>
              <w:jc w:val="right"/>
            </w:pPr>
            <w:r w:rsidRPr="00DB5395">
              <w:t>(10.0, 11.9)</w:t>
            </w:r>
          </w:p>
        </w:tc>
        <w:tc>
          <w:tcPr>
            <w:tcW w:w="749" w:type="pct"/>
          </w:tcPr>
          <w:p w14:paraId="746C832C" w14:textId="77777777" w:rsidR="00994AD8" w:rsidRPr="00DB5395" w:rsidRDefault="00994AD8" w:rsidP="002E67C4">
            <w:pPr>
              <w:pStyle w:val="TableText"/>
              <w:jc w:val="right"/>
            </w:pPr>
            <w:r w:rsidRPr="00DB5395">
              <w:t>602</w:t>
            </w:r>
          </w:p>
        </w:tc>
        <w:tc>
          <w:tcPr>
            <w:tcW w:w="657" w:type="pct"/>
          </w:tcPr>
          <w:p w14:paraId="01F13051" w14:textId="77777777" w:rsidR="00994AD8" w:rsidRPr="00DB5395" w:rsidRDefault="00994AD8" w:rsidP="002E67C4">
            <w:pPr>
              <w:pStyle w:val="TableText"/>
              <w:jc w:val="right"/>
            </w:pPr>
            <w:r w:rsidRPr="00DB5395">
              <w:t>7.1</w:t>
            </w:r>
          </w:p>
        </w:tc>
        <w:tc>
          <w:tcPr>
            <w:tcW w:w="640" w:type="pct"/>
          </w:tcPr>
          <w:p w14:paraId="1CD73452" w14:textId="77777777" w:rsidR="00994AD8" w:rsidRPr="00DB5395" w:rsidRDefault="00994AD8" w:rsidP="002E67C4">
            <w:pPr>
              <w:pStyle w:val="TableText"/>
              <w:jc w:val="right"/>
            </w:pPr>
            <w:r w:rsidRPr="00DB5395">
              <w:t xml:space="preserve">(6.6, 7.7) </w:t>
            </w:r>
          </w:p>
        </w:tc>
      </w:tr>
      <w:tr w:rsidR="00994AD8" w:rsidRPr="00DB5395" w14:paraId="4CC6A7DE" w14:textId="77777777" w:rsidTr="00994AD8">
        <w:trPr>
          <w:cantSplit/>
        </w:trPr>
        <w:tc>
          <w:tcPr>
            <w:tcW w:w="882" w:type="pct"/>
          </w:tcPr>
          <w:p w14:paraId="7F56455C" w14:textId="77777777" w:rsidR="00994AD8" w:rsidRPr="00DB5395" w:rsidRDefault="00994AD8" w:rsidP="002E67C4">
            <w:pPr>
              <w:pStyle w:val="TableText"/>
              <w:ind w:left="57"/>
            </w:pPr>
            <w:r w:rsidRPr="00DB5395">
              <w:t>28–37</w:t>
            </w:r>
          </w:p>
        </w:tc>
        <w:tc>
          <w:tcPr>
            <w:tcW w:w="719" w:type="pct"/>
          </w:tcPr>
          <w:p w14:paraId="2BAFDC20" w14:textId="77777777" w:rsidR="00994AD8" w:rsidRPr="00DB5395" w:rsidRDefault="00994AD8" w:rsidP="002E67C4">
            <w:pPr>
              <w:pStyle w:val="TableText"/>
              <w:jc w:val="right"/>
            </w:pPr>
            <w:r w:rsidRPr="00DB5395">
              <w:t>1262</w:t>
            </w:r>
          </w:p>
        </w:tc>
        <w:tc>
          <w:tcPr>
            <w:tcW w:w="598" w:type="pct"/>
          </w:tcPr>
          <w:p w14:paraId="149C7B4A" w14:textId="77777777" w:rsidR="00994AD8" w:rsidRPr="00DB5395" w:rsidRDefault="00994AD8" w:rsidP="002E67C4">
            <w:pPr>
              <w:pStyle w:val="TableText"/>
              <w:jc w:val="right"/>
            </w:pPr>
            <w:r w:rsidRPr="00DB5395">
              <w:t>29.2</w:t>
            </w:r>
          </w:p>
        </w:tc>
        <w:tc>
          <w:tcPr>
            <w:tcW w:w="755" w:type="pct"/>
          </w:tcPr>
          <w:p w14:paraId="52327A2F" w14:textId="77777777" w:rsidR="00994AD8" w:rsidRPr="00DB5395" w:rsidRDefault="00994AD8" w:rsidP="002E67C4">
            <w:pPr>
              <w:pStyle w:val="TableText"/>
              <w:jc w:val="right"/>
            </w:pPr>
            <w:r w:rsidRPr="00DB5395">
              <w:t>(27.8, 30.5)</w:t>
            </w:r>
          </w:p>
        </w:tc>
        <w:tc>
          <w:tcPr>
            <w:tcW w:w="749" w:type="pct"/>
          </w:tcPr>
          <w:p w14:paraId="75862EAB" w14:textId="77777777" w:rsidR="00994AD8" w:rsidRPr="00DB5395" w:rsidRDefault="00994AD8" w:rsidP="002E67C4">
            <w:pPr>
              <w:pStyle w:val="TableText"/>
              <w:jc w:val="right"/>
            </w:pPr>
            <w:r w:rsidRPr="00DB5395">
              <w:t>2484</w:t>
            </w:r>
          </w:p>
        </w:tc>
        <w:tc>
          <w:tcPr>
            <w:tcW w:w="657" w:type="pct"/>
          </w:tcPr>
          <w:p w14:paraId="37B94EE8" w14:textId="77777777" w:rsidR="00994AD8" w:rsidRPr="00DB5395" w:rsidRDefault="00994AD8" w:rsidP="002E67C4">
            <w:pPr>
              <w:pStyle w:val="TableText"/>
              <w:jc w:val="right"/>
            </w:pPr>
            <w:r w:rsidRPr="00DB5395">
              <w:t>29.3</w:t>
            </w:r>
          </w:p>
        </w:tc>
        <w:tc>
          <w:tcPr>
            <w:tcW w:w="640" w:type="pct"/>
          </w:tcPr>
          <w:p w14:paraId="5B14ECA0" w14:textId="77777777" w:rsidR="00994AD8" w:rsidRPr="00DB5395" w:rsidRDefault="00994AD8" w:rsidP="002E67C4">
            <w:pPr>
              <w:pStyle w:val="TableText"/>
              <w:jc w:val="right"/>
            </w:pPr>
            <w:r w:rsidRPr="00DB5395">
              <w:t xml:space="preserve">(28.3, 30.3) </w:t>
            </w:r>
          </w:p>
        </w:tc>
      </w:tr>
      <w:tr w:rsidR="00994AD8" w:rsidRPr="00DB5395" w14:paraId="12051059"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7C22BF25" w14:textId="77777777" w:rsidR="00994AD8" w:rsidRPr="00DB5395" w:rsidRDefault="00994AD8" w:rsidP="002E67C4">
            <w:pPr>
              <w:pStyle w:val="TableText"/>
              <w:ind w:left="57"/>
            </w:pPr>
            <w:r w:rsidRPr="00DB5395">
              <w:t>38–47</w:t>
            </w:r>
          </w:p>
        </w:tc>
        <w:tc>
          <w:tcPr>
            <w:tcW w:w="719" w:type="pct"/>
          </w:tcPr>
          <w:p w14:paraId="5C0BE3ED" w14:textId="77777777" w:rsidR="00994AD8" w:rsidRPr="00DB5395" w:rsidRDefault="00994AD8" w:rsidP="002E67C4">
            <w:pPr>
              <w:pStyle w:val="TableText"/>
              <w:jc w:val="right"/>
            </w:pPr>
            <w:r w:rsidRPr="00DB5395">
              <w:t>1119</w:t>
            </w:r>
          </w:p>
        </w:tc>
        <w:tc>
          <w:tcPr>
            <w:tcW w:w="598" w:type="pct"/>
          </w:tcPr>
          <w:p w14:paraId="4F33F41B" w14:textId="77777777" w:rsidR="00994AD8" w:rsidRPr="00DB5395" w:rsidRDefault="00994AD8" w:rsidP="002E67C4">
            <w:pPr>
              <w:pStyle w:val="TableText"/>
              <w:jc w:val="right"/>
            </w:pPr>
            <w:r w:rsidRPr="00DB5395">
              <w:t>25.9</w:t>
            </w:r>
          </w:p>
        </w:tc>
        <w:tc>
          <w:tcPr>
            <w:tcW w:w="755" w:type="pct"/>
          </w:tcPr>
          <w:p w14:paraId="17289710" w14:textId="77777777" w:rsidR="00994AD8" w:rsidRPr="00DB5395" w:rsidRDefault="00994AD8" w:rsidP="002E67C4">
            <w:pPr>
              <w:pStyle w:val="TableText"/>
              <w:jc w:val="right"/>
            </w:pPr>
            <w:r w:rsidRPr="00DB5395">
              <w:t>(24.6, 27.2)</w:t>
            </w:r>
          </w:p>
        </w:tc>
        <w:tc>
          <w:tcPr>
            <w:tcW w:w="749" w:type="pct"/>
          </w:tcPr>
          <w:p w14:paraId="0B37FFD5" w14:textId="77777777" w:rsidR="00994AD8" w:rsidRPr="00DB5395" w:rsidRDefault="00994AD8" w:rsidP="002E67C4">
            <w:pPr>
              <w:pStyle w:val="TableText"/>
              <w:jc w:val="right"/>
            </w:pPr>
            <w:r w:rsidRPr="00DB5395">
              <w:t>2976</w:t>
            </w:r>
          </w:p>
        </w:tc>
        <w:tc>
          <w:tcPr>
            <w:tcW w:w="657" w:type="pct"/>
          </w:tcPr>
          <w:p w14:paraId="7E5E38A3" w14:textId="77777777" w:rsidR="00994AD8" w:rsidRPr="00DB5395" w:rsidRDefault="00994AD8" w:rsidP="002E67C4">
            <w:pPr>
              <w:pStyle w:val="TableText"/>
              <w:jc w:val="right"/>
            </w:pPr>
            <w:r w:rsidRPr="00DB5395">
              <w:t>35.1</w:t>
            </w:r>
          </w:p>
        </w:tc>
        <w:tc>
          <w:tcPr>
            <w:tcW w:w="640" w:type="pct"/>
          </w:tcPr>
          <w:p w14:paraId="7FAFB022" w14:textId="77777777" w:rsidR="00994AD8" w:rsidRPr="00DB5395" w:rsidRDefault="00994AD8" w:rsidP="002E67C4">
            <w:pPr>
              <w:pStyle w:val="TableText"/>
              <w:jc w:val="right"/>
            </w:pPr>
            <w:r w:rsidRPr="00DB5395">
              <w:t xml:space="preserve">(34.1, 36.1) </w:t>
            </w:r>
          </w:p>
        </w:tc>
      </w:tr>
      <w:tr w:rsidR="00994AD8" w:rsidRPr="00DB5395" w14:paraId="5E97FDA0" w14:textId="77777777" w:rsidTr="00994AD8">
        <w:trPr>
          <w:cantSplit/>
        </w:trPr>
        <w:tc>
          <w:tcPr>
            <w:tcW w:w="882" w:type="pct"/>
          </w:tcPr>
          <w:p w14:paraId="6750F3E1" w14:textId="77777777" w:rsidR="00994AD8" w:rsidRPr="00DB5395" w:rsidRDefault="00994AD8" w:rsidP="002E67C4">
            <w:pPr>
              <w:pStyle w:val="TableText"/>
              <w:ind w:left="57"/>
            </w:pPr>
            <w:r w:rsidRPr="00DB5395">
              <w:t>48–57</w:t>
            </w:r>
          </w:p>
        </w:tc>
        <w:tc>
          <w:tcPr>
            <w:tcW w:w="719" w:type="pct"/>
          </w:tcPr>
          <w:p w14:paraId="27A8FEDE" w14:textId="77777777" w:rsidR="00994AD8" w:rsidRPr="00DB5395" w:rsidRDefault="00994AD8" w:rsidP="002E67C4">
            <w:pPr>
              <w:pStyle w:val="TableText"/>
              <w:jc w:val="right"/>
            </w:pPr>
            <w:r w:rsidRPr="00DB5395">
              <w:t>871</w:t>
            </w:r>
          </w:p>
        </w:tc>
        <w:tc>
          <w:tcPr>
            <w:tcW w:w="598" w:type="pct"/>
          </w:tcPr>
          <w:p w14:paraId="1946555B" w14:textId="77777777" w:rsidR="00994AD8" w:rsidRPr="00DB5395" w:rsidRDefault="00994AD8" w:rsidP="002E67C4">
            <w:pPr>
              <w:pStyle w:val="TableText"/>
              <w:jc w:val="right"/>
            </w:pPr>
            <w:r w:rsidRPr="00DB5395">
              <w:t>20.1</w:t>
            </w:r>
          </w:p>
        </w:tc>
        <w:tc>
          <w:tcPr>
            <w:tcW w:w="755" w:type="pct"/>
          </w:tcPr>
          <w:p w14:paraId="3A453B35" w14:textId="77777777" w:rsidR="00994AD8" w:rsidRPr="00DB5395" w:rsidRDefault="00994AD8" w:rsidP="002E67C4">
            <w:pPr>
              <w:pStyle w:val="TableText"/>
              <w:jc w:val="right"/>
            </w:pPr>
            <w:r w:rsidRPr="00DB5395">
              <w:t>(19.0, 1.4)</w:t>
            </w:r>
          </w:p>
        </w:tc>
        <w:tc>
          <w:tcPr>
            <w:tcW w:w="749" w:type="pct"/>
          </w:tcPr>
          <w:p w14:paraId="0CFD2E1C" w14:textId="77777777" w:rsidR="00994AD8" w:rsidRPr="00DB5395" w:rsidRDefault="00994AD8" w:rsidP="002E67C4">
            <w:pPr>
              <w:pStyle w:val="TableText"/>
              <w:jc w:val="right"/>
            </w:pPr>
            <w:r w:rsidRPr="00DB5395">
              <w:t>2069</w:t>
            </w:r>
          </w:p>
        </w:tc>
        <w:tc>
          <w:tcPr>
            <w:tcW w:w="657" w:type="pct"/>
          </w:tcPr>
          <w:p w14:paraId="67DE9115" w14:textId="77777777" w:rsidR="00994AD8" w:rsidRPr="00DB5395" w:rsidRDefault="00994AD8" w:rsidP="002E67C4">
            <w:pPr>
              <w:pStyle w:val="TableText"/>
              <w:jc w:val="right"/>
            </w:pPr>
            <w:r w:rsidRPr="00DB5395">
              <w:t>24.4</w:t>
            </w:r>
          </w:p>
        </w:tc>
        <w:tc>
          <w:tcPr>
            <w:tcW w:w="640" w:type="pct"/>
          </w:tcPr>
          <w:p w14:paraId="6070B336" w14:textId="77777777" w:rsidR="00994AD8" w:rsidRPr="00DB5395" w:rsidRDefault="00994AD8" w:rsidP="002E67C4">
            <w:pPr>
              <w:pStyle w:val="TableText"/>
              <w:jc w:val="right"/>
            </w:pPr>
            <w:r w:rsidRPr="00DB5395">
              <w:t xml:space="preserve">(23.5, 25.3) </w:t>
            </w:r>
          </w:p>
        </w:tc>
      </w:tr>
      <w:tr w:rsidR="00994AD8" w:rsidRPr="00DB5395" w14:paraId="41F7AE0F"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07E9C942" w14:textId="77777777" w:rsidR="00994AD8" w:rsidRPr="00DB5395" w:rsidRDefault="00994AD8" w:rsidP="002E67C4">
            <w:pPr>
              <w:pStyle w:val="TableText"/>
              <w:ind w:left="57"/>
            </w:pPr>
            <w:r w:rsidRPr="00DB5395">
              <w:t>58+</w:t>
            </w:r>
          </w:p>
        </w:tc>
        <w:tc>
          <w:tcPr>
            <w:tcW w:w="719" w:type="pct"/>
          </w:tcPr>
          <w:p w14:paraId="2EDA8C32" w14:textId="77777777" w:rsidR="00994AD8" w:rsidRPr="00DB5395" w:rsidRDefault="00994AD8" w:rsidP="002E67C4">
            <w:pPr>
              <w:pStyle w:val="TableText"/>
              <w:jc w:val="right"/>
            </w:pPr>
            <w:r w:rsidRPr="00DB5395">
              <w:t>548</w:t>
            </w:r>
          </w:p>
        </w:tc>
        <w:tc>
          <w:tcPr>
            <w:tcW w:w="598" w:type="pct"/>
          </w:tcPr>
          <w:p w14:paraId="11411BE1" w14:textId="77777777" w:rsidR="00994AD8" w:rsidRPr="00DB5395" w:rsidRDefault="00994AD8" w:rsidP="002E67C4">
            <w:pPr>
              <w:pStyle w:val="TableText"/>
              <w:jc w:val="right"/>
            </w:pPr>
            <w:r w:rsidRPr="00DB5395">
              <w:t>12.7</w:t>
            </w:r>
          </w:p>
        </w:tc>
        <w:tc>
          <w:tcPr>
            <w:tcW w:w="755" w:type="pct"/>
          </w:tcPr>
          <w:p w14:paraId="09D745AF" w14:textId="77777777" w:rsidR="00994AD8" w:rsidRPr="00DB5395" w:rsidRDefault="00994AD8" w:rsidP="002E67C4">
            <w:pPr>
              <w:pStyle w:val="TableText"/>
              <w:jc w:val="right"/>
            </w:pPr>
            <w:r w:rsidRPr="00DB5395">
              <w:t>(11.7, 13.7)</w:t>
            </w:r>
          </w:p>
        </w:tc>
        <w:tc>
          <w:tcPr>
            <w:tcW w:w="749" w:type="pct"/>
          </w:tcPr>
          <w:p w14:paraId="2298EDDE" w14:textId="77777777" w:rsidR="00994AD8" w:rsidRPr="00DB5395" w:rsidRDefault="00994AD8" w:rsidP="002E67C4">
            <w:pPr>
              <w:pStyle w:val="TableText"/>
              <w:jc w:val="right"/>
            </w:pPr>
            <w:r w:rsidRPr="00DB5395">
              <w:t>201</w:t>
            </w:r>
          </w:p>
        </w:tc>
        <w:tc>
          <w:tcPr>
            <w:tcW w:w="657" w:type="pct"/>
          </w:tcPr>
          <w:p w14:paraId="5FEA2654" w14:textId="77777777" w:rsidR="00994AD8" w:rsidRPr="00DB5395" w:rsidRDefault="00994AD8" w:rsidP="002E67C4">
            <w:pPr>
              <w:pStyle w:val="TableText"/>
              <w:jc w:val="right"/>
            </w:pPr>
            <w:r w:rsidRPr="00DB5395">
              <w:t>2.4</w:t>
            </w:r>
          </w:p>
        </w:tc>
        <w:tc>
          <w:tcPr>
            <w:tcW w:w="640" w:type="pct"/>
          </w:tcPr>
          <w:p w14:paraId="34CD45B3" w14:textId="77777777" w:rsidR="00994AD8" w:rsidRPr="00DB5395" w:rsidRDefault="00994AD8" w:rsidP="002E67C4">
            <w:pPr>
              <w:pStyle w:val="TableText"/>
              <w:jc w:val="right"/>
            </w:pPr>
            <w:r w:rsidRPr="00DB5395">
              <w:t xml:space="preserve">(2.1, 2.7) </w:t>
            </w:r>
          </w:p>
        </w:tc>
      </w:tr>
      <w:tr w:rsidR="00994AD8" w:rsidRPr="00DB5395" w14:paraId="42A915B3" w14:textId="77777777" w:rsidTr="00994AD8">
        <w:trPr>
          <w:cantSplit/>
        </w:trPr>
        <w:tc>
          <w:tcPr>
            <w:tcW w:w="882" w:type="pct"/>
          </w:tcPr>
          <w:p w14:paraId="55DD3A9B" w14:textId="77777777" w:rsidR="00994AD8" w:rsidRPr="00DB5395" w:rsidRDefault="00994AD8" w:rsidP="002E67C4">
            <w:pPr>
              <w:pStyle w:val="TableText"/>
              <w:rPr>
                <w:b/>
              </w:rPr>
            </w:pPr>
            <w:r w:rsidRPr="00DB5395">
              <w:rPr>
                <w:b/>
              </w:rPr>
              <w:t>Sex</w:t>
            </w:r>
          </w:p>
        </w:tc>
        <w:tc>
          <w:tcPr>
            <w:tcW w:w="719" w:type="pct"/>
          </w:tcPr>
          <w:p w14:paraId="231E3F40" w14:textId="77777777" w:rsidR="00994AD8" w:rsidRPr="00DB5395" w:rsidRDefault="00994AD8" w:rsidP="002E67C4">
            <w:pPr>
              <w:pStyle w:val="TableText"/>
              <w:jc w:val="right"/>
            </w:pPr>
          </w:p>
        </w:tc>
        <w:tc>
          <w:tcPr>
            <w:tcW w:w="598" w:type="pct"/>
          </w:tcPr>
          <w:p w14:paraId="5A6D4627" w14:textId="77777777" w:rsidR="00994AD8" w:rsidRPr="00DB5395" w:rsidRDefault="00994AD8" w:rsidP="002E67C4">
            <w:pPr>
              <w:pStyle w:val="TableText"/>
              <w:jc w:val="right"/>
            </w:pPr>
          </w:p>
        </w:tc>
        <w:tc>
          <w:tcPr>
            <w:tcW w:w="755" w:type="pct"/>
          </w:tcPr>
          <w:p w14:paraId="2D292015" w14:textId="77777777" w:rsidR="00994AD8" w:rsidRPr="00DB5395" w:rsidRDefault="00994AD8" w:rsidP="002E67C4">
            <w:pPr>
              <w:pStyle w:val="TableText"/>
              <w:jc w:val="right"/>
            </w:pPr>
          </w:p>
        </w:tc>
        <w:tc>
          <w:tcPr>
            <w:tcW w:w="749" w:type="pct"/>
          </w:tcPr>
          <w:p w14:paraId="1DC09E46" w14:textId="77777777" w:rsidR="00994AD8" w:rsidRPr="00DB5395" w:rsidRDefault="00994AD8" w:rsidP="002E67C4">
            <w:pPr>
              <w:pStyle w:val="TableText"/>
              <w:jc w:val="right"/>
            </w:pPr>
          </w:p>
        </w:tc>
        <w:tc>
          <w:tcPr>
            <w:tcW w:w="657" w:type="pct"/>
          </w:tcPr>
          <w:p w14:paraId="01849257" w14:textId="77777777" w:rsidR="00994AD8" w:rsidRPr="00DB5395" w:rsidRDefault="00994AD8" w:rsidP="002E67C4">
            <w:pPr>
              <w:pStyle w:val="TableText"/>
              <w:jc w:val="right"/>
            </w:pPr>
          </w:p>
        </w:tc>
        <w:tc>
          <w:tcPr>
            <w:tcW w:w="640" w:type="pct"/>
          </w:tcPr>
          <w:p w14:paraId="55EEBBD7" w14:textId="77777777" w:rsidR="00994AD8" w:rsidRPr="00DB5395" w:rsidRDefault="00994AD8" w:rsidP="002E67C4">
            <w:pPr>
              <w:pStyle w:val="TableText"/>
              <w:jc w:val="right"/>
            </w:pPr>
          </w:p>
        </w:tc>
      </w:tr>
      <w:tr w:rsidR="00994AD8" w:rsidRPr="00DB5395" w14:paraId="04D24FA8"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6BB25D39" w14:textId="77777777" w:rsidR="00994AD8" w:rsidRPr="00DB5395" w:rsidRDefault="00994AD8" w:rsidP="002E67C4">
            <w:pPr>
              <w:pStyle w:val="TableText"/>
              <w:ind w:left="57"/>
            </w:pPr>
            <w:r w:rsidRPr="00DB5395">
              <w:t>Male</w:t>
            </w:r>
          </w:p>
        </w:tc>
        <w:tc>
          <w:tcPr>
            <w:tcW w:w="719" w:type="pct"/>
          </w:tcPr>
          <w:p w14:paraId="34AF54CF" w14:textId="77777777" w:rsidR="00994AD8" w:rsidRPr="00DB5395" w:rsidRDefault="00994AD8" w:rsidP="002E67C4">
            <w:pPr>
              <w:pStyle w:val="TableText"/>
              <w:jc w:val="right"/>
            </w:pPr>
            <w:r w:rsidRPr="00DB5395">
              <w:t>3646</w:t>
            </w:r>
          </w:p>
        </w:tc>
        <w:tc>
          <w:tcPr>
            <w:tcW w:w="598" w:type="pct"/>
          </w:tcPr>
          <w:p w14:paraId="455561D7" w14:textId="77777777" w:rsidR="00994AD8" w:rsidRPr="00DB5395" w:rsidRDefault="00994AD8" w:rsidP="002E67C4">
            <w:pPr>
              <w:pStyle w:val="TableText"/>
              <w:jc w:val="right"/>
            </w:pPr>
            <w:r w:rsidRPr="00DB5395">
              <w:t>84.3</w:t>
            </w:r>
          </w:p>
        </w:tc>
        <w:tc>
          <w:tcPr>
            <w:tcW w:w="755" w:type="pct"/>
          </w:tcPr>
          <w:p w14:paraId="77974A5F" w14:textId="77777777" w:rsidR="00994AD8" w:rsidRPr="00DB5395" w:rsidRDefault="00994AD8" w:rsidP="002E67C4">
            <w:pPr>
              <w:pStyle w:val="TableText"/>
              <w:jc w:val="right"/>
            </w:pPr>
            <w:r w:rsidRPr="00DB5395">
              <w:t>(83.2, 85.3)</w:t>
            </w:r>
          </w:p>
        </w:tc>
        <w:tc>
          <w:tcPr>
            <w:tcW w:w="749" w:type="pct"/>
          </w:tcPr>
          <w:p w14:paraId="020D137B" w14:textId="77777777" w:rsidR="00994AD8" w:rsidRPr="00DB5395" w:rsidRDefault="00994AD8" w:rsidP="002E67C4">
            <w:pPr>
              <w:pStyle w:val="TableText"/>
              <w:jc w:val="right"/>
            </w:pPr>
            <w:r w:rsidRPr="00DB5395">
              <w:t>6693</w:t>
            </w:r>
          </w:p>
        </w:tc>
        <w:tc>
          <w:tcPr>
            <w:tcW w:w="657" w:type="pct"/>
          </w:tcPr>
          <w:p w14:paraId="4AB0F7A0" w14:textId="77777777" w:rsidR="00994AD8" w:rsidRPr="00DB5395" w:rsidRDefault="00994AD8" w:rsidP="002E67C4">
            <w:pPr>
              <w:pStyle w:val="TableText"/>
              <w:jc w:val="right"/>
            </w:pPr>
            <w:r w:rsidRPr="00DB5395">
              <w:t>78.9</w:t>
            </w:r>
          </w:p>
        </w:tc>
        <w:tc>
          <w:tcPr>
            <w:tcW w:w="640" w:type="pct"/>
          </w:tcPr>
          <w:p w14:paraId="021899D6" w14:textId="77777777" w:rsidR="00994AD8" w:rsidRPr="00DB5395" w:rsidRDefault="00994AD8" w:rsidP="002E67C4">
            <w:pPr>
              <w:pStyle w:val="TableText"/>
              <w:jc w:val="right"/>
            </w:pPr>
            <w:r w:rsidRPr="00DB5395">
              <w:t xml:space="preserve">(78.0, 79.8) </w:t>
            </w:r>
          </w:p>
        </w:tc>
      </w:tr>
      <w:tr w:rsidR="00994AD8" w:rsidRPr="00DB5395" w14:paraId="61F4F803" w14:textId="77777777" w:rsidTr="00994AD8">
        <w:trPr>
          <w:cantSplit/>
        </w:trPr>
        <w:tc>
          <w:tcPr>
            <w:tcW w:w="882" w:type="pct"/>
          </w:tcPr>
          <w:p w14:paraId="13469A42" w14:textId="77777777" w:rsidR="00994AD8" w:rsidRPr="00DB5395" w:rsidRDefault="00994AD8" w:rsidP="002E67C4">
            <w:pPr>
              <w:pStyle w:val="TableText"/>
              <w:ind w:left="57"/>
            </w:pPr>
            <w:r w:rsidRPr="00DB5395">
              <w:t>Female</w:t>
            </w:r>
          </w:p>
        </w:tc>
        <w:tc>
          <w:tcPr>
            <w:tcW w:w="719" w:type="pct"/>
          </w:tcPr>
          <w:p w14:paraId="16987F41" w14:textId="77777777" w:rsidR="00994AD8" w:rsidRPr="00DB5395" w:rsidRDefault="00994AD8" w:rsidP="002E67C4">
            <w:pPr>
              <w:pStyle w:val="TableText"/>
              <w:jc w:val="right"/>
            </w:pPr>
            <w:r w:rsidRPr="00DB5395">
              <w:t>680</w:t>
            </w:r>
          </w:p>
        </w:tc>
        <w:tc>
          <w:tcPr>
            <w:tcW w:w="598" w:type="pct"/>
          </w:tcPr>
          <w:p w14:paraId="7356AE6C" w14:textId="77777777" w:rsidR="00994AD8" w:rsidRPr="00DB5395" w:rsidRDefault="00994AD8" w:rsidP="002E67C4">
            <w:pPr>
              <w:pStyle w:val="TableText"/>
              <w:jc w:val="right"/>
            </w:pPr>
            <w:r w:rsidRPr="00DB5395">
              <w:t>15.7</w:t>
            </w:r>
          </w:p>
        </w:tc>
        <w:tc>
          <w:tcPr>
            <w:tcW w:w="755" w:type="pct"/>
          </w:tcPr>
          <w:p w14:paraId="5F6E6A91" w14:textId="77777777" w:rsidR="00994AD8" w:rsidRPr="00DB5395" w:rsidRDefault="00994AD8" w:rsidP="002E67C4">
            <w:pPr>
              <w:pStyle w:val="TableText"/>
              <w:jc w:val="right"/>
            </w:pPr>
            <w:r w:rsidRPr="00DB5395">
              <w:t>(14.7, 16.8)</w:t>
            </w:r>
          </w:p>
        </w:tc>
        <w:tc>
          <w:tcPr>
            <w:tcW w:w="749" w:type="pct"/>
          </w:tcPr>
          <w:p w14:paraId="29FB328A" w14:textId="77777777" w:rsidR="00994AD8" w:rsidRPr="00DB5395" w:rsidRDefault="00994AD8" w:rsidP="002E67C4">
            <w:pPr>
              <w:pStyle w:val="TableText"/>
              <w:jc w:val="right"/>
            </w:pPr>
            <w:r w:rsidRPr="00DB5395">
              <w:t>1787</w:t>
            </w:r>
          </w:p>
        </w:tc>
        <w:tc>
          <w:tcPr>
            <w:tcW w:w="657" w:type="pct"/>
          </w:tcPr>
          <w:p w14:paraId="24CEA742" w14:textId="77777777" w:rsidR="00994AD8" w:rsidRPr="00DB5395" w:rsidRDefault="00994AD8" w:rsidP="002E67C4">
            <w:pPr>
              <w:pStyle w:val="TableText"/>
              <w:jc w:val="right"/>
            </w:pPr>
            <w:r w:rsidRPr="00DB5395">
              <w:t>21.1</w:t>
            </w:r>
          </w:p>
        </w:tc>
        <w:tc>
          <w:tcPr>
            <w:tcW w:w="640" w:type="pct"/>
          </w:tcPr>
          <w:p w14:paraId="26F361A0" w14:textId="77777777" w:rsidR="00994AD8" w:rsidRPr="00DB5395" w:rsidRDefault="00994AD8" w:rsidP="002E67C4">
            <w:pPr>
              <w:pStyle w:val="TableText"/>
              <w:jc w:val="right"/>
            </w:pPr>
            <w:r w:rsidRPr="00DB5395">
              <w:t xml:space="preserve">(20.2, 22.0) </w:t>
            </w:r>
          </w:p>
        </w:tc>
      </w:tr>
      <w:tr w:rsidR="00994AD8" w:rsidRPr="00DB5395" w14:paraId="741B8D7D"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0DDB7079" w14:textId="77777777" w:rsidR="00994AD8" w:rsidRPr="00DB5395" w:rsidRDefault="00994AD8" w:rsidP="002E67C4">
            <w:pPr>
              <w:pStyle w:val="TableText"/>
              <w:rPr>
                <w:b/>
              </w:rPr>
            </w:pPr>
            <w:r w:rsidRPr="00DB5395">
              <w:rPr>
                <w:b/>
              </w:rPr>
              <w:t>Rank</w:t>
            </w:r>
          </w:p>
        </w:tc>
        <w:tc>
          <w:tcPr>
            <w:tcW w:w="719" w:type="pct"/>
          </w:tcPr>
          <w:p w14:paraId="36767C38" w14:textId="77777777" w:rsidR="00994AD8" w:rsidRPr="00DB5395" w:rsidRDefault="00994AD8" w:rsidP="002E67C4">
            <w:pPr>
              <w:pStyle w:val="TableText"/>
              <w:jc w:val="right"/>
            </w:pPr>
          </w:p>
        </w:tc>
        <w:tc>
          <w:tcPr>
            <w:tcW w:w="598" w:type="pct"/>
          </w:tcPr>
          <w:p w14:paraId="7A8834E6" w14:textId="77777777" w:rsidR="00994AD8" w:rsidRPr="00DB5395" w:rsidRDefault="00994AD8" w:rsidP="002E67C4">
            <w:pPr>
              <w:pStyle w:val="TableText"/>
              <w:jc w:val="right"/>
            </w:pPr>
          </w:p>
        </w:tc>
        <w:tc>
          <w:tcPr>
            <w:tcW w:w="755" w:type="pct"/>
          </w:tcPr>
          <w:p w14:paraId="56626379" w14:textId="77777777" w:rsidR="00994AD8" w:rsidRPr="00DB5395" w:rsidRDefault="00994AD8" w:rsidP="002E67C4">
            <w:pPr>
              <w:pStyle w:val="TableText"/>
              <w:jc w:val="right"/>
            </w:pPr>
          </w:p>
        </w:tc>
        <w:tc>
          <w:tcPr>
            <w:tcW w:w="749" w:type="pct"/>
          </w:tcPr>
          <w:p w14:paraId="178F05FB" w14:textId="77777777" w:rsidR="00994AD8" w:rsidRPr="00DB5395" w:rsidRDefault="00994AD8" w:rsidP="002E67C4">
            <w:pPr>
              <w:pStyle w:val="TableText"/>
              <w:jc w:val="right"/>
            </w:pPr>
          </w:p>
        </w:tc>
        <w:tc>
          <w:tcPr>
            <w:tcW w:w="657" w:type="pct"/>
          </w:tcPr>
          <w:p w14:paraId="64E52CAC" w14:textId="77777777" w:rsidR="00994AD8" w:rsidRPr="00DB5395" w:rsidRDefault="00994AD8" w:rsidP="002E67C4">
            <w:pPr>
              <w:pStyle w:val="TableText"/>
              <w:jc w:val="right"/>
            </w:pPr>
          </w:p>
        </w:tc>
        <w:tc>
          <w:tcPr>
            <w:tcW w:w="640" w:type="pct"/>
          </w:tcPr>
          <w:p w14:paraId="46EFAF0E" w14:textId="77777777" w:rsidR="00994AD8" w:rsidRPr="00DB5395" w:rsidRDefault="00994AD8" w:rsidP="002E67C4">
            <w:pPr>
              <w:pStyle w:val="TableText"/>
              <w:jc w:val="right"/>
            </w:pPr>
          </w:p>
        </w:tc>
      </w:tr>
      <w:tr w:rsidR="00994AD8" w:rsidRPr="00DB5395" w14:paraId="067A6037" w14:textId="77777777" w:rsidTr="00994AD8">
        <w:trPr>
          <w:cantSplit/>
        </w:trPr>
        <w:tc>
          <w:tcPr>
            <w:tcW w:w="882" w:type="pct"/>
          </w:tcPr>
          <w:p w14:paraId="600FF9B5" w14:textId="77777777" w:rsidR="00994AD8" w:rsidRPr="00DB5395" w:rsidRDefault="00994AD8" w:rsidP="002E67C4">
            <w:pPr>
              <w:pStyle w:val="TableText"/>
              <w:ind w:left="57"/>
            </w:pPr>
            <w:r w:rsidRPr="00DB5395">
              <w:t>OFFR</w:t>
            </w:r>
          </w:p>
        </w:tc>
        <w:tc>
          <w:tcPr>
            <w:tcW w:w="719" w:type="pct"/>
          </w:tcPr>
          <w:p w14:paraId="5FEB73FC" w14:textId="77777777" w:rsidR="00994AD8" w:rsidRPr="00DB5395" w:rsidRDefault="00994AD8" w:rsidP="002E67C4">
            <w:pPr>
              <w:pStyle w:val="TableText"/>
              <w:jc w:val="right"/>
            </w:pPr>
            <w:r w:rsidRPr="00DB5395">
              <w:t>1259</w:t>
            </w:r>
          </w:p>
        </w:tc>
        <w:tc>
          <w:tcPr>
            <w:tcW w:w="598" w:type="pct"/>
          </w:tcPr>
          <w:p w14:paraId="66CD8594" w14:textId="77777777" w:rsidR="00994AD8" w:rsidRPr="00DB5395" w:rsidRDefault="00994AD8" w:rsidP="002E67C4">
            <w:pPr>
              <w:pStyle w:val="TableText"/>
              <w:jc w:val="right"/>
            </w:pPr>
            <w:r w:rsidRPr="00DB5395">
              <w:t>29.1</w:t>
            </w:r>
          </w:p>
        </w:tc>
        <w:tc>
          <w:tcPr>
            <w:tcW w:w="755" w:type="pct"/>
          </w:tcPr>
          <w:p w14:paraId="758A6258" w14:textId="77777777" w:rsidR="00994AD8" w:rsidRPr="00DB5395" w:rsidRDefault="00994AD8" w:rsidP="002E67C4">
            <w:pPr>
              <w:pStyle w:val="TableText"/>
              <w:jc w:val="right"/>
            </w:pPr>
            <w:r w:rsidRPr="00DB5395">
              <w:t>(27.8, 30.5)</w:t>
            </w:r>
          </w:p>
        </w:tc>
        <w:tc>
          <w:tcPr>
            <w:tcW w:w="749" w:type="pct"/>
          </w:tcPr>
          <w:p w14:paraId="58EBB32B" w14:textId="77777777" w:rsidR="00994AD8" w:rsidRPr="00DB5395" w:rsidRDefault="00994AD8" w:rsidP="002E67C4">
            <w:pPr>
              <w:pStyle w:val="TableText"/>
              <w:jc w:val="right"/>
            </w:pPr>
            <w:r w:rsidRPr="00DB5395">
              <w:t>3538</w:t>
            </w:r>
          </w:p>
        </w:tc>
        <w:tc>
          <w:tcPr>
            <w:tcW w:w="657" w:type="pct"/>
          </w:tcPr>
          <w:p w14:paraId="6545535B" w14:textId="77777777" w:rsidR="00994AD8" w:rsidRPr="00DB5395" w:rsidRDefault="00994AD8" w:rsidP="002E67C4">
            <w:pPr>
              <w:pStyle w:val="TableText"/>
              <w:jc w:val="right"/>
            </w:pPr>
            <w:r w:rsidRPr="00DB5395">
              <w:t>41.7</w:t>
            </w:r>
          </w:p>
        </w:tc>
        <w:tc>
          <w:tcPr>
            <w:tcW w:w="640" w:type="pct"/>
          </w:tcPr>
          <w:p w14:paraId="2F9BC8FD" w14:textId="77777777" w:rsidR="00994AD8" w:rsidRPr="00DB5395" w:rsidRDefault="00994AD8" w:rsidP="002E67C4">
            <w:pPr>
              <w:pStyle w:val="TableText"/>
              <w:jc w:val="right"/>
            </w:pPr>
            <w:r w:rsidRPr="00DB5395">
              <w:t xml:space="preserve">(40.7, 42.8) </w:t>
            </w:r>
          </w:p>
        </w:tc>
      </w:tr>
      <w:tr w:rsidR="00994AD8" w:rsidRPr="00DB5395" w14:paraId="5D1C9B83"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1FC9CA57" w14:textId="77777777" w:rsidR="00994AD8" w:rsidRPr="00DB5395" w:rsidRDefault="00994AD8" w:rsidP="002E67C4">
            <w:pPr>
              <w:pStyle w:val="TableText"/>
              <w:ind w:left="57"/>
            </w:pPr>
            <w:r w:rsidRPr="00DB5395">
              <w:t>NCO</w:t>
            </w:r>
          </w:p>
        </w:tc>
        <w:tc>
          <w:tcPr>
            <w:tcW w:w="719" w:type="pct"/>
          </w:tcPr>
          <w:p w14:paraId="1B643377" w14:textId="77777777" w:rsidR="00994AD8" w:rsidRPr="00DB5395" w:rsidRDefault="00994AD8" w:rsidP="002E67C4">
            <w:pPr>
              <w:pStyle w:val="TableText"/>
              <w:jc w:val="right"/>
            </w:pPr>
            <w:r w:rsidRPr="00DB5395">
              <w:t>2097</w:t>
            </w:r>
          </w:p>
        </w:tc>
        <w:tc>
          <w:tcPr>
            <w:tcW w:w="598" w:type="pct"/>
          </w:tcPr>
          <w:p w14:paraId="6E17171F" w14:textId="77777777" w:rsidR="00994AD8" w:rsidRPr="00DB5395" w:rsidRDefault="00994AD8" w:rsidP="002E67C4">
            <w:pPr>
              <w:pStyle w:val="TableText"/>
              <w:jc w:val="right"/>
            </w:pPr>
            <w:r w:rsidRPr="00DB5395">
              <w:t>48.5</w:t>
            </w:r>
          </w:p>
        </w:tc>
        <w:tc>
          <w:tcPr>
            <w:tcW w:w="755" w:type="pct"/>
          </w:tcPr>
          <w:p w14:paraId="06DEF7A0" w14:textId="77777777" w:rsidR="00994AD8" w:rsidRPr="00DB5395" w:rsidRDefault="00994AD8" w:rsidP="002E67C4">
            <w:pPr>
              <w:pStyle w:val="TableText"/>
              <w:jc w:val="right"/>
            </w:pPr>
            <w:r w:rsidRPr="00DB5395">
              <w:t>(47.0, 50.0)</w:t>
            </w:r>
          </w:p>
        </w:tc>
        <w:tc>
          <w:tcPr>
            <w:tcW w:w="749" w:type="pct"/>
          </w:tcPr>
          <w:p w14:paraId="32CE763D" w14:textId="77777777" w:rsidR="00994AD8" w:rsidRPr="00DB5395" w:rsidRDefault="00994AD8" w:rsidP="002E67C4">
            <w:pPr>
              <w:pStyle w:val="TableText"/>
              <w:jc w:val="right"/>
            </w:pPr>
            <w:r w:rsidRPr="00DB5395">
              <w:t>4336</w:t>
            </w:r>
          </w:p>
        </w:tc>
        <w:tc>
          <w:tcPr>
            <w:tcW w:w="657" w:type="pct"/>
          </w:tcPr>
          <w:p w14:paraId="359AD615" w14:textId="77777777" w:rsidR="00994AD8" w:rsidRPr="00DB5395" w:rsidRDefault="00994AD8" w:rsidP="002E67C4">
            <w:pPr>
              <w:pStyle w:val="TableText"/>
              <w:jc w:val="right"/>
            </w:pPr>
            <w:r w:rsidRPr="00DB5395">
              <w:t>51.1</w:t>
            </w:r>
          </w:p>
        </w:tc>
        <w:tc>
          <w:tcPr>
            <w:tcW w:w="640" w:type="pct"/>
          </w:tcPr>
          <w:p w14:paraId="1013A7E4" w14:textId="77777777" w:rsidR="00994AD8" w:rsidRPr="00DB5395" w:rsidRDefault="00994AD8" w:rsidP="002E67C4">
            <w:pPr>
              <w:pStyle w:val="TableText"/>
              <w:jc w:val="right"/>
            </w:pPr>
            <w:r w:rsidRPr="00DB5395">
              <w:t xml:space="preserve">(50.1, 52.2) </w:t>
            </w:r>
          </w:p>
        </w:tc>
      </w:tr>
      <w:tr w:rsidR="00994AD8" w:rsidRPr="00DB5395" w14:paraId="5F230F5A" w14:textId="77777777" w:rsidTr="00994AD8">
        <w:trPr>
          <w:cantSplit/>
        </w:trPr>
        <w:tc>
          <w:tcPr>
            <w:tcW w:w="882" w:type="pct"/>
          </w:tcPr>
          <w:p w14:paraId="2D86C795" w14:textId="77777777" w:rsidR="00994AD8" w:rsidRPr="00DB5395" w:rsidRDefault="00994AD8" w:rsidP="002E67C4">
            <w:pPr>
              <w:pStyle w:val="TableText"/>
              <w:ind w:left="57"/>
            </w:pPr>
            <w:r w:rsidRPr="00DB5395">
              <w:t>Other Ranks</w:t>
            </w:r>
          </w:p>
        </w:tc>
        <w:tc>
          <w:tcPr>
            <w:tcW w:w="719" w:type="pct"/>
          </w:tcPr>
          <w:p w14:paraId="26A3748D" w14:textId="77777777" w:rsidR="00994AD8" w:rsidRPr="00DB5395" w:rsidRDefault="00994AD8" w:rsidP="002E67C4">
            <w:pPr>
              <w:pStyle w:val="TableText"/>
              <w:jc w:val="right"/>
            </w:pPr>
            <w:r w:rsidRPr="00DB5395">
              <w:t>970</w:t>
            </w:r>
          </w:p>
        </w:tc>
        <w:tc>
          <w:tcPr>
            <w:tcW w:w="598" w:type="pct"/>
          </w:tcPr>
          <w:p w14:paraId="67BAFB65" w14:textId="77777777" w:rsidR="00994AD8" w:rsidRPr="00DB5395" w:rsidRDefault="00994AD8" w:rsidP="002E67C4">
            <w:pPr>
              <w:pStyle w:val="TableText"/>
              <w:jc w:val="right"/>
            </w:pPr>
            <w:r w:rsidRPr="00DB5395">
              <w:t>22.4</w:t>
            </w:r>
          </w:p>
        </w:tc>
        <w:tc>
          <w:tcPr>
            <w:tcW w:w="755" w:type="pct"/>
          </w:tcPr>
          <w:p w14:paraId="0B4B380C" w14:textId="77777777" w:rsidR="00994AD8" w:rsidRPr="00DB5395" w:rsidRDefault="00994AD8" w:rsidP="002E67C4">
            <w:pPr>
              <w:pStyle w:val="TableText"/>
              <w:jc w:val="right"/>
            </w:pPr>
            <w:r w:rsidRPr="00DB5395">
              <w:t>(21.2, 23.7)</w:t>
            </w:r>
          </w:p>
        </w:tc>
        <w:tc>
          <w:tcPr>
            <w:tcW w:w="749" w:type="pct"/>
          </w:tcPr>
          <w:p w14:paraId="5FB1DC7B" w14:textId="77777777" w:rsidR="00994AD8" w:rsidRPr="00DB5395" w:rsidRDefault="00994AD8" w:rsidP="002E67C4">
            <w:pPr>
              <w:pStyle w:val="TableText"/>
              <w:jc w:val="right"/>
            </w:pPr>
            <w:r w:rsidRPr="00DB5395">
              <w:t>606</w:t>
            </w:r>
          </w:p>
        </w:tc>
        <w:tc>
          <w:tcPr>
            <w:tcW w:w="657" w:type="pct"/>
          </w:tcPr>
          <w:p w14:paraId="45643665" w14:textId="77777777" w:rsidR="00994AD8" w:rsidRPr="00DB5395" w:rsidRDefault="00994AD8" w:rsidP="002E67C4">
            <w:pPr>
              <w:pStyle w:val="TableText"/>
              <w:jc w:val="right"/>
            </w:pPr>
            <w:r w:rsidRPr="00DB5395">
              <w:t>7.2</w:t>
            </w:r>
          </w:p>
        </w:tc>
        <w:tc>
          <w:tcPr>
            <w:tcW w:w="640" w:type="pct"/>
          </w:tcPr>
          <w:p w14:paraId="3087A71F" w14:textId="77777777" w:rsidR="00994AD8" w:rsidRPr="00DB5395" w:rsidRDefault="00994AD8" w:rsidP="002E67C4">
            <w:pPr>
              <w:pStyle w:val="TableText"/>
              <w:jc w:val="right"/>
            </w:pPr>
            <w:r w:rsidRPr="00DB5395">
              <w:t xml:space="preserve">(6.6, 7.7) </w:t>
            </w:r>
          </w:p>
        </w:tc>
      </w:tr>
      <w:tr w:rsidR="00994AD8" w:rsidRPr="00DB5395" w14:paraId="330AC366"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5F10C749" w14:textId="77777777" w:rsidR="00994AD8" w:rsidRPr="00DB5395" w:rsidRDefault="00994AD8" w:rsidP="002E67C4">
            <w:pPr>
              <w:pStyle w:val="TableText"/>
              <w:rPr>
                <w:b/>
              </w:rPr>
            </w:pPr>
            <w:r w:rsidRPr="00DB5395">
              <w:rPr>
                <w:b/>
              </w:rPr>
              <w:t>Service</w:t>
            </w:r>
          </w:p>
        </w:tc>
        <w:tc>
          <w:tcPr>
            <w:tcW w:w="719" w:type="pct"/>
          </w:tcPr>
          <w:p w14:paraId="21BA2253" w14:textId="77777777" w:rsidR="00994AD8" w:rsidRPr="00DB5395" w:rsidRDefault="00994AD8" w:rsidP="002E67C4">
            <w:pPr>
              <w:pStyle w:val="TableText"/>
              <w:jc w:val="right"/>
            </w:pPr>
          </w:p>
        </w:tc>
        <w:tc>
          <w:tcPr>
            <w:tcW w:w="598" w:type="pct"/>
          </w:tcPr>
          <w:p w14:paraId="7CC385B8" w14:textId="77777777" w:rsidR="00994AD8" w:rsidRPr="00DB5395" w:rsidRDefault="00994AD8" w:rsidP="002E67C4">
            <w:pPr>
              <w:pStyle w:val="TableText"/>
              <w:jc w:val="right"/>
            </w:pPr>
          </w:p>
        </w:tc>
        <w:tc>
          <w:tcPr>
            <w:tcW w:w="755" w:type="pct"/>
          </w:tcPr>
          <w:p w14:paraId="73EDCD31" w14:textId="77777777" w:rsidR="00994AD8" w:rsidRPr="00DB5395" w:rsidRDefault="00994AD8" w:rsidP="002E67C4">
            <w:pPr>
              <w:pStyle w:val="TableText"/>
              <w:jc w:val="right"/>
            </w:pPr>
          </w:p>
        </w:tc>
        <w:tc>
          <w:tcPr>
            <w:tcW w:w="749" w:type="pct"/>
          </w:tcPr>
          <w:p w14:paraId="04E5B9A1" w14:textId="77777777" w:rsidR="00994AD8" w:rsidRPr="00DB5395" w:rsidRDefault="00994AD8" w:rsidP="002E67C4">
            <w:pPr>
              <w:pStyle w:val="TableText"/>
              <w:jc w:val="right"/>
            </w:pPr>
          </w:p>
        </w:tc>
        <w:tc>
          <w:tcPr>
            <w:tcW w:w="657" w:type="pct"/>
          </w:tcPr>
          <w:p w14:paraId="7C0F0D75" w14:textId="77777777" w:rsidR="00994AD8" w:rsidRPr="00DB5395" w:rsidRDefault="00994AD8" w:rsidP="002E67C4">
            <w:pPr>
              <w:pStyle w:val="TableText"/>
              <w:jc w:val="right"/>
            </w:pPr>
          </w:p>
        </w:tc>
        <w:tc>
          <w:tcPr>
            <w:tcW w:w="640" w:type="pct"/>
          </w:tcPr>
          <w:p w14:paraId="688435A4" w14:textId="77777777" w:rsidR="00994AD8" w:rsidRPr="00DB5395" w:rsidRDefault="00994AD8" w:rsidP="002E67C4">
            <w:pPr>
              <w:pStyle w:val="TableText"/>
              <w:jc w:val="right"/>
            </w:pPr>
          </w:p>
        </w:tc>
      </w:tr>
      <w:tr w:rsidR="00994AD8" w:rsidRPr="00DB5395" w14:paraId="48BB151C" w14:textId="77777777" w:rsidTr="00994AD8">
        <w:trPr>
          <w:cantSplit/>
        </w:trPr>
        <w:tc>
          <w:tcPr>
            <w:tcW w:w="882" w:type="pct"/>
          </w:tcPr>
          <w:p w14:paraId="3EF6EC55" w14:textId="77777777" w:rsidR="00994AD8" w:rsidRPr="00DB5395" w:rsidRDefault="00994AD8" w:rsidP="002E67C4">
            <w:pPr>
              <w:pStyle w:val="TableText"/>
              <w:ind w:left="57"/>
            </w:pPr>
            <w:r w:rsidRPr="00DB5395">
              <w:t>Navy</w:t>
            </w:r>
          </w:p>
        </w:tc>
        <w:tc>
          <w:tcPr>
            <w:tcW w:w="719" w:type="pct"/>
          </w:tcPr>
          <w:p w14:paraId="21D54F46" w14:textId="77777777" w:rsidR="00994AD8" w:rsidRPr="00DB5395" w:rsidRDefault="00994AD8" w:rsidP="002E67C4">
            <w:pPr>
              <w:pStyle w:val="TableText"/>
              <w:jc w:val="right"/>
            </w:pPr>
            <w:r w:rsidRPr="00DB5395">
              <w:t>863</w:t>
            </w:r>
          </w:p>
        </w:tc>
        <w:tc>
          <w:tcPr>
            <w:tcW w:w="598" w:type="pct"/>
          </w:tcPr>
          <w:p w14:paraId="0F4EF478" w14:textId="77777777" w:rsidR="00994AD8" w:rsidRPr="00DB5395" w:rsidRDefault="00994AD8" w:rsidP="002E67C4">
            <w:pPr>
              <w:pStyle w:val="TableText"/>
              <w:jc w:val="right"/>
            </w:pPr>
            <w:r w:rsidRPr="00DB5395">
              <w:t>19.9</w:t>
            </w:r>
          </w:p>
        </w:tc>
        <w:tc>
          <w:tcPr>
            <w:tcW w:w="755" w:type="pct"/>
          </w:tcPr>
          <w:p w14:paraId="6305505F" w14:textId="77777777" w:rsidR="00994AD8" w:rsidRPr="00DB5395" w:rsidRDefault="00994AD8" w:rsidP="002E67C4">
            <w:pPr>
              <w:pStyle w:val="TableText"/>
              <w:jc w:val="right"/>
            </w:pPr>
            <w:r w:rsidRPr="00DB5395">
              <w:t>(18.8, 21.2)</w:t>
            </w:r>
          </w:p>
        </w:tc>
        <w:tc>
          <w:tcPr>
            <w:tcW w:w="749" w:type="pct"/>
          </w:tcPr>
          <w:p w14:paraId="5DE92FDD" w14:textId="77777777" w:rsidR="00994AD8" w:rsidRPr="00DB5395" w:rsidRDefault="00994AD8" w:rsidP="002E67C4">
            <w:pPr>
              <w:pStyle w:val="TableText"/>
              <w:jc w:val="right"/>
            </w:pPr>
            <w:r w:rsidRPr="00DB5395">
              <w:t>2940</w:t>
            </w:r>
          </w:p>
        </w:tc>
        <w:tc>
          <w:tcPr>
            <w:tcW w:w="657" w:type="pct"/>
          </w:tcPr>
          <w:p w14:paraId="55DE2BF1" w14:textId="77777777" w:rsidR="00994AD8" w:rsidRPr="00DB5395" w:rsidRDefault="00994AD8" w:rsidP="002E67C4">
            <w:pPr>
              <w:pStyle w:val="TableText"/>
              <w:jc w:val="right"/>
            </w:pPr>
            <w:r w:rsidRPr="00DB5395">
              <w:t>34.7</w:t>
            </w:r>
          </w:p>
        </w:tc>
        <w:tc>
          <w:tcPr>
            <w:tcW w:w="640" w:type="pct"/>
          </w:tcPr>
          <w:p w14:paraId="4748A3A7" w14:textId="77777777" w:rsidR="00994AD8" w:rsidRPr="00DB5395" w:rsidRDefault="00994AD8" w:rsidP="002E67C4">
            <w:pPr>
              <w:pStyle w:val="TableText"/>
              <w:jc w:val="right"/>
            </w:pPr>
            <w:r w:rsidRPr="00DB5395">
              <w:t xml:space="preserve">(33.7, 35.7) </w:t>
            </w:r>
          </w:p>
        </w:tc>
      </w:tr>
      <w:tr w:rsidR="00994AD8" w:rsidRPr="00DB5395" w14:paraId="696BD3DA"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4C25AC09" w14:textId="77777777" w:rsidR="00994AD8" w:rsidRPr="00DB5395" w:rsidRDefault="00994AD8" w:rsidP="002E67C4">
            <w:pPr>
              <w:pStyle w:val="TableText"/>
              <w:ind w:left="57"/>
            </w:pPr>
            <w:r w:rsidRPr="00DB5395">
              <w:t>Army</w:t>
            </w:r>
          </w:p>
        </w:tc>
        <w:tc>
          <w:tcPr>
            <w:tcW w:w="719" w:type="pct"/>
          </w:tcPr>
          <w:p w14:paraId="5C45BF71" w14:textId="77777777" w:rsidR="00994AD8" w:rsidRPr="00DB5395" w:rsidRDefault="00994AD8" w:rsidP="002E67C4">
            <w:pPr>
              <w:pStyle w:val="TableText"/>
              <w:jc w:val="right"/>
            </w:pPr>
            <w:r w:rsidRPr="00DB5395">
              <w:t>2463</w:t>
            </w:r>
          </w:p>
        </w:tc>
        <w:tc>
          <w:tcPr>
            <w:tcW w:w="598" w:type="pct"/>
          </w:tcPr>
          <w:p w14:paraId="7ACE3AA6" w14:textId="77777777" w:rsidR="00994AD8" w:rsidRPr="00DB5395" w:rsidRDefault="00994AD8" w:rsidP="002E67C4">
            <w:pPr>
              <w:pStyle w:val="TableText"/>
              <w:jc w:val="right"/>
            </w:pPr>
            <w:r w:rsidRPr="00DB5395">
              <w:t>56.9</w:t>
            </w:r>
          </w:p>
        </w:tc>
        <w:tc>
          <w:tcPr>
            <w:tcW w:w="755" w:type="pct"/>
          </w:tcPr>
          <w:p w14:paraId="54ACE206" w14:textId="77777777" w:rsidR="00994AD8" w:rsidRPr="00DB5395" w:rsidRDefault="00994AD8" w:rsidP="002E67C4">
            <w:pPr>
              <w:pStyle w:val="TableText"/>
              <w:jc w:val="right"/>
            </w:pPr>
            <w:r w:rsidRPr="00DB5395">
              <w:t>(55.5, 58.4)</w:t>
            </w:r>
          </w:p>
        </w:tc>
        <w:tc>
          <w:tcPr>
            <w:tcW w:w="749" w:type="pct"/>
          </w:tcPr>
          <w:p w14:paraId="0767D36E" w14:textId="77777777" w:rsidR="00994AD8" w:rsidRPr="00DB5395" w:rsidRDefault="00994AD8" w:rsidP="002E67C4">
            <w:pPr>
              <w:pStyle w:val="TableText"/>
              <w:jc w:val="right"/>
            </w:pPr>
            <w:r w:rsidRPr="00DB5395">
              <w:t>3500</w:t>
            </w:r>
          </w:p>
        </w:tc>
        <w:tc>
          <w:tcPr>
            <w:tcW w:w="657" w:type="pct"/>
          </w:tcPr>
          <w:p w14:paraId="3526CEDF" w14:textId="77777777" w:rsidR="00994AD8" w:rsidRPr="00DB5395" w:rsidRDefault="00994AD8" w:rsidP="002E67C4">
            <w:pPr>
              <w:pStyle w:val="TableText"/>
              <w:jc w:val="right"/>
            </w:pPr>
            <w:r w:rsidRPr="00DB5395">
              <w:t>41.3</w:t>
            </w:r>
          </w:p>
        </w:tc>
        <w:tc>
          <w:tcPr>
            <w:tcW w:w="640" w:type="pct"/>
          </w:tcPr>
          <w:p w14:paraId="2CDB056C" w14:textId="77777777" w:rsidR="00994AD8" w:rsidRPr="00DB5395" w:rsidRDefault="00994AD8" w:rsidP="002E67C4">
            <w:pPr>
              <w:pStyle w:val="TableText"/>
              <w:jc w:val="right"/>
            </w:pPr>
            <w:r w:rsidRPr="00DB5395">
              <w:t xml:space="preserve">(40.2, 42.3) </w:t>
            </w:r>
          </w:p>
        </w:tc>
      </w:tr>
      <w:tr w:rsidR="00994AD8" w:rsidRPr="00DB5395" w14:paraId="725B7127" w14:textId="77777777" w:rsidTr="00994AD8">
        <w:trPr>
          <w:cantSplit/>
        </w:trPr>
        <w:tc>
          <w:tcPr>
            <w:tcW w:w="882" w:type="pct"/>
          </w:tcPr>
          <w:p w14:paraId="68AB474E" w14:textId="77777777" w:rsidR="00994AD8" w:rsidRPr="00DB5395" w:rsidRDefault="00994AD8" w:rsidP="002E67C4">
            <w:pPr>
              <w:pStyle w:val="TableText"/>
              <w:ind w:left="57"/>
            </w:pPr>
            <w:r w:rsidRPr="00DB5395">
              <w:t>Air Force</w:t>
            </w:r>
          </w:p>
        </w:tc>
        <w:tc>
          <w:tcPr>
            <w:tcW w:w="719" w:type="pct"/>
          </w:tcPr>
          <w:p w14:paraId="0DDB77DF" w14:textId="77777777" w:rsidR="00994AD8" w:rsidRPr="00DB5395" w:rsidRDefault="00994AD8" w:rsidP="002E67C4">
            <w:pPr>
              <w:pStyle w:val="TableText"/>
              <w:jc w:val="right"/>
            </w:pPr>
            <w:r w:rsidRPr="00DB5395">
              <w:t>1000</w:t>
            </w:r>
          </w:p>
        </w:tc>
        <w:tc>
          <w:tcPr>
            <w:tcW w:w="598" w:type="pct"/>
          </w:tcPr>
          <w:p w14:paraId="37925524" w14:textId="77777777" w:rsidR="00994AD8" w:rsidRPr="00DB5395" w:rsidRDefault="00994AD8" w:rsidP="002E67C4">
            <w:pPr>
              <w:pStyle w:val="TableText"/>
              <w:jc w:val="right"/>
            </w:pPr>
            <w:r w:rsidRPr="00DB5395">
              <w:t>23.1</w:t>
            </w:r>
          </w:p>
        </w:tc>
        <w:tc>
          <w:tcPr>
            <w:tcW w:w="755" w:type="pct"/>
          </w:tcPr>
          <w:p w14:paraId="03D92996" w14:textId="77777777" w:rsidR="00994AD8" w:rsidRPr="00DB5395" w:rsidRDefault="00994AD8" w:rsidP="002E67C4">
            <w:pPr>
              <w:pStyle w:val="TableText"/>
              <w:jc w:val="right"/>
            </w:pPr>
            <w:r w:rsidRPr="00DB5395">
              <w:t>(21.9, 24.4)</w:t>
            </w:r>
          </w:p>
        </w:tc>
        <w:tc>
          <w:tcPr>
            <w:tcW w:w="749" w:type="pct"/>
          </w:tcPr>
          <w:p w14:paraId="3D1D1B5C" w14:textId="77777777" w:rsidR="00994AD8" w:rsidRPr="00DB5395" w:rsidRDefault="00994AD8" w:rsidP="002E67C4">
            <w:pPr>
              <w:pStyle w:val="TableText"/>
              <w:jc w:val="right"/>
            </w:pPr>
            <w:r w:rsidRPr="00DB5395">
              <w:t>2040</w:t>
            </w:r>
          </w:p>
        </w:tc>
        <w:tc>
          <w:tcPr>
            <w:tcW w:w="657" w:type="pct"/>
          </w:tcPr>
          <w:p w14:paraId="20AF7749" w14:textId="77777777" w:rsidR="00994AD8" w:rsidRPr="00DB5395" w:rsidRDefault="00994AD8" w:rsidP="002E67C4">
            <w:pPr>
              <w:pStyle w:val="TableText"/>
              <w:jc w:val="right"/>
            </w:pPr>
            <w:r w:rsidRPr="00DB5395">
              <w:t>24.1</w:t>
            </w:r>
          </w:p>
        </w:tc>
        <w:tc>
          <w:tcPr>
            <w:tcW w:w="640" w:type="pct"/>
          </w:tcPr>
          <w:p w14:paraId="067FDD5A" w14:textId="77777777" w:rsidR="00994AD8" w:rsidRPr="00DB5395" w:rsidRDefault="00994AD8" w:rsidP="002E67C4">
            <w:pPr>
              <w:pStyle w:val="TableText"/>
              <w:jc w:val="right"/>
            </w:pPr>
            <w:r w:rsidRPr="00DB5395">
              <w:t xml:space="preserve">(23.2, 25.0) </w:t>
            </w:r>
          </w:p>
        </w:tc>
      </w:tr>
      <w:tr w:rsidR="00994AD8" w:rsidRPr="00DB5395" w14:paraId="485BCCE2"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3910CC7F" w14:textId="77777777" w:rsidR="00994AD8" w:rsidRPr="00DB5395" w:rsidRDefault="00994AD8" w:rsidP="002E67C4">
            <w:pPr>
              <w:pStyle w:val="TableText"/>
              <w:rPr>
                <w:b/>
              </w:rPr>
            </w:pPr>
            <w:r w:rsidRPr="00DB5395">
              <w:rPr>
                <w:b/>
              </w:rPr>
              <w:t>Medical fitness</w:t>
            </w:r>
          </w:p>
        </w:tc>
        <w:tc>
          <w:tcPr>
            <w:tcW w:w="719" w:type="pct"/>
          </w:tcPr>
          <w:p w14:paraId="5481EA32" w14:textId="77777777" w:rsidR="00994AD8" w:rsidRPr="00DB5395" w:rsidRDefault="00994AD8" w:rsidP="002E67C4">
            <w:pPr>
              <w:pStyle w:val="TableText"/>
              <w:jc w:val="right"/>
            </w:pPr>
          </w:p>
        </w:tc>
        <w:tc>
          <w:tcPr>
            <w:tcW w:w="598" w:type="pct"/>
          </w:tcPr>
          <w:p w14:paraId="170253A3" w14:textId="77777777" w:rsidR="00994AD8" w:rsidRPr="00DB5395" w:rsidRDefault="00994AD8" w:rsidP="002E67C4">
            <w:pPr>
              <w:pStyle w:val="TableText"/>
              <w:jc w:val="right"/>
            </w:pPr>
          </w:p>
        </w:tc>
        <w:tc>
          <w:tcPr>
            <w:tcW w:w="755" w:type="pct"/>
          </w:tcPr>
          <w:p w14:paraId="4F4F5507" w14:textId="77777777" w:rsidR="00994AD8" w:rsidRPr="00DB5395" w:rsidRDefault="00994AD8" w:rsidP="002E67C4">
            <w:pPr>
              <w:pStyle w:val="TableText"/>
              <w:jc w:val="right"/>
            </w:pPr>
          </w:p>
        </w:tc>
        <w:tc>
          <w:tcPr>
            <w:tcW w:w="749" w:type="pct"/>
          </w:tcPr>
          <w:p w14:paraId="317DCBF4" w14:textId="77777777" w:rsidR="00994AD8" w:rsidRPr="00DB5395" w:rsidRDefault="00994AD8" w:rsidP="002E67C4">
            <w:pPr>
              <w:pStyle w:val="TableText"/>
              <w:jc w:val="right"/>
            </w:pPr>
          </w:p>
        </w:tc>
        <w:tc>
          <w:tcPr>
            <w:tcW w:w="657" w:type="pct"/>
          </w:tcPr>
          <w:p w14:paraId="42062462" w14:textId="77777777" w:rsidR="00994AD8" w:rsidRPr="00DB5395" w:rsidRDefault="00994AD8" w:rsidP="002E67C4">
            <w:pPr>
              <w:pStyle w:val="TableText"/>
              <w:jc w:val="right"/>
            </w:pPr>
          </w:p>
        </w:tc>
        <w:tc>
          <w:tcPr>
            <w:tcW w:w="640" w:type="pct"/>
          </w:tcPr>
          <w:p w14:paraId="00AEAE27" w14:textId="77777777" w:rsidR="00994AD8" w:rsidRPr="00DB5395" w:rsidRDefault="00994AD8" w:rsidP="002E67C4">
            <w:pPr>
              <w:pStyle w:val="TableText"/>
              <w:jc w:val="right"/>
            </w:pPr>
          </w:p>
        </w:tc>
      </w:tr>
      <w:tr w:rsidR="00994AD8" w:rsidRPr="00DB5395" w14:paraId="7E554292" w14:textId="77777777" w:rsidTr="00994AD8">
        <w:trPr>
          <w:cantSplit/>
        </w:trPr>
        <w:tc>
          <w:tcPr>
            <w:tcW w:w="882" w:type="pct"/>
          </w:tcPr>
          <w:p w14:paraId="04CFD538" w14:textId="77777777" w:rsidR="00994AD8" w:rsidRPr="00DB5395" w:rsidRDefault="00994AD8" w:rsidP="002E67C4">
            <w:pPr>
              <w:pStyle w:val="TableText"/>
              <w:ind w:left="57"/>
            </w:pPr>
            <w:r w:rsidRPr="00DB5395">
              <w:t>Fit</w:t>
            </w:r>
          </w:p>
        </w:tc>
        <w:tc>
          <w:tcPr>
            <w:tcW w:w="719" w:type="pct"/>
          </w:tcPr>
          <w:p w14:paraId="34337F7D" w14:textId="77777777" w:rsidR="00994AD8" w:rsidRPr="00DB5395" w:rsidRDefault="00994AD8" w:rsidP="002E67C4">
            <w:pPr>
              <w:pStyle w:val="TableText"/>
              <w:jc w:val="right"/>
            </w:pPr>
            <w:r w:rsidRPr="00DB5395">
              <w:t>2981</w:t>
            </w:r>
          </w:p>
        </w:tc>
        <w:tc>
          <w:tcPr>
            <w:tcW w:w="598" w:type="pct"/>
          </w:tcPr>
          <w:p w14:paraId="36AEB674" w14:textId="77777777" w:rsidR="00994AD8" w:rsidRPr="00DB5395" w:rsidRDefault="00994AD8" w:rsidP="002E67C4">
            <w:pPr>
              <w:pStyle w:val="TableText"/>
              <w:jc w:val="right"/>
            </w:pPr>
            <w:r w:rsidRPr="00DB5395">
              <w:t>68.9</w:t>
            </w:r>
          </w:p>
        </w:tc>
        <w:tc>
          <w:tcPr>
            <w:tcW w:w="755" w:type="pct"/>
          </w:tcPr>
          <w:p w14:paraId="679A4406" w14:textId="77777777" w:rsidR="00994AD8" w:rsidRPr="00DB5395" w:rsidRDefault="00994AD8" w:rsidP="002E67C4">
            <w:pPr>
              <w:pStyle w:val="TableText"/>
              <w:jc w:val="right"/>
            </w:pPr>
            <w:r w:rsidRPr="00DB5395">
              <w:t>(67.5, 70.3)</w:t>
            </w:r>
          </w:p>
        </w:tc>
        <w:tc>
          <w:tcPr>
            <w:tcW w:w="749" w:type="pct"/>
          </w:tcPr>
          <w:p w14:paraId="243089C0" w14:textId="77777777" w:rsidR="00994AD8" w:rsidRPr="00DB5395" w:rsidRDefault="00994AD8" w:rsidP="002E67C4">
            <w:pPr>
              <w:pStyle w:val="TableText"/>
              <w:jc w:val="right"/>
            </w:pPr>
            <w:r w:rsidRPr="00DB5395">
              <w:t>7116</w:t>
            </w:r>
          </w:p>
        </w:tc>
        <w:tc>
          <w:tcPr>
            <w:tcW w:w="657" w:type="pct"/>
          </w:tcPr>
          <w:p w14:paraId="75214FFB" w14:textId="77777777" w:rsidR="00994AD8" w:rsidRPr="00DB5395" w:rsidRDefault="00994AD8" w:rsidP="002E67C4">
            <w:pPr>
              <w:pStyle w:val="TableText"/>
              <w:jc w:val="right"/>
            </w:pPr>
            <w:r w:rsidRPr="00DB5395">
              <w:t>83.9</w:t>
            </w:r>
          </w:p>
        </w:tc>
        <w:tc>
          <w:tcPr>
            <w:tcW w:w="640" w:type="pct"/>
          </w:tcPr>
          <w:p w14:paraId="1A064A18" w14:textId="77777777" w:rsidR="00994AD8" w:rsidRPr="00DB5395" w:rsidRDefault="00994AD8" w:rsidP="002E67C4">
            <w:pPr>
              <w:pStyle w:val="TableText"/>
              <w:jc w:val="right"/>
            </w:pPr>
            <w:r w:rsidRPr="00DB5395">
              <w:t xml:space="preserve">(83.1, 84.7) </w:t>
            </w:r>
          </w:p>
        </w:tc>
      </w:tr>
      <w:tr w:rsidR="00994AD8" w:rsidRPr="00DB5395" w14:paraId="3901723B" w14:textId="77777777" w:rsidTr="00994AD8">
        <w:trPr>
          <w:cnfStyle w:val="000000100000" w:firstRow="0" w:lastRow="0" w:firstColumn="0" w:lastColumn="0" w:oddVBand="0" w:evenVBand="0" w:oddHBand="1" w:evenHBand="0" w:firstRowFirstColumn="0" w:firstRowLastColumn="0" w:lastRowFirstColumn="0" w:lastRowLastColumn="0"/>
          <w:cantSplit/>
        </w:trPr>
        <w:tc>
          <w:tcPr>
            <w:tcW w:w="882" w:type="pct"/>
          </w:tcPr>
          <w:p w14:paraId="27E7E2A9" w14:textId="77777777" w:rsidR="00994AD8" w:rsidRPr="00DB5395" w:rsidRDefault="00994AD8" w:rsidP="002E67C4">
            <w:pPr>
              <w:pStyle w:val="TableText"/>
              <w:ind w:left="57"/>
            </w:pPr>
            <w:r w:rsidRPr="00DB5395">
              <w:t>Unfit</w:t>
            </w:r>
          </w:p>
        </w:tc>
        <w:tc>
          <w:tcPr>
            <w:tcW w:w="719" w:type="pct"/>
          </w:tcPr>
          <w:p w14:paraId="05EF3E8C" w14:textId="77777777" w:rsidR="00994AD8" w:rsidRPr="00DB5395" w:rsidRDefault="00994AD8" w:rsidP="002E67C4">
            <w:pPr>
              <w:pStyle w:val="TableText"/>
              <w:jc w:val="right"/>
            </w:pPr>
            <w:r w:rsidRPr="00DB5395">
              <w:t>1345</w:t>
            </w:r>
          </w:p>
        </w:tc>
        <w:tc>
          <w:tcPr>
            <w:tcW w:w="598" w:type="pct"/>
          </w:tcPr>
          <w:p w14:paraId="463F2978" w14:textId="77777777" w:rsidR="00994AD8" w:rsidRPr="00DB5395" w:rsidRDefault="00994AD8" w:rsidP="002E67C4">
            <w:pPr>
              <w:pStyle w:val="TableText"/>
              <w:jc w:val="right"/>
            </w:pPr>
            <w:r w:rsidRPr="00DB5395">
              <w:t>31.1</w:t>
            </w:r>
          </w:p>
        </w:tc>
        <w:tc>
          <w:tcPr>
            <w:tcW w:w="755" w:type="pct"/>
          </w:tcPr>
          <w:p w14:paraId="0026CBAC" w14:textId="77777777" w:rsidR="00994AD8" w:rsidRPr="00DB5395" w:rsidRDefault="00994AD8" w:rsidP="002E67C4">
            <w:pPr>
              <w:pStyle w:val="TableText"/>
              <w:jc w:val="right"/>
            </w:pPr>
            <w:r w:rsidRPr="00DB5395">
              <w:t>(29.7, 32.5)</w:t>
            </w:r>
          </w:p>
        </w:tc>
        <w:tc>
          <w:tcPr>
            <w:tcW w:w="749" w:type="pct"/>
          </w:tcPr>
          <w:p w14:paraId="6B602840" w14:textId="77777777" w:rsidR="00994AD8" w:rsidRPr="00DB5395" w:rsidRDefault="00994AD8" w:rsidP="002E67C4">
            <w:pPr>
              <w:pStyle w:val="TableText"/>
              <w:jc w:val="right"/>
            </w:pPr>
            <w:r w:rsidRPr="00DB5395">
              <w:t>1364</w:t>
            </w:r>
          </w:p>
        </w:tc>
        <w:tc>
          <w:tcPr>
            <w:tcW w:w="657" w:type="pct"/>
          </w:tcPr>
          <w:p w14:paraId="62F503E1" w14:textId="77777777" w:rsidR="00994AD8" w:rsidRPr="00DB5395" w:rsidRDefault="00994AD8" w:rsidP="002E67C4">
            <w:pPr>
              <w:pStyle w:val="TableText"/>
              <w:jc w:val="right"/>
            </w:pPr>
            <w:r w:rsidRPr="00DB5395">
              <w:t>16.1</w:t>
            </w:r>
          </w:p>
        </w:tc>
        <w:tc>
          <w:tcPr>
            <w:tcW w:w="640" w:type="pct"/>
          </w:tcPr>
          <w:p w14:paraId="6CA2B4DD" w14:textId="77777777" w:rsidR="00994AD8" w:rsidRPr="00DB5395" w:rsidRDefault="00994AD8" w:rsidP="002E67C4">
            <w:pPr>
              <w:pStyle w:val="TableText"/>
              <w:jc w:val="right"/>
            </w:pPr>
            <w:r w:rsidRPr="00DB5395">
              <w:t xml:space="preserve">(15.3, 16.9) </w:t>
            </w:r>
          </w:p>
        </w:tc>
      </w:tr>
    </w:tbl>
    <w:p w14:paraId="0788034D" w14:textId="77777777" w:rsidR="00994AD8" w:rsidRPr="00FB3393" w:rsidRDefault="00994AD8" w:rsidP="00994AD8">
      <w:pPr>
        <w:pStyle w:val="TableNotes"/>
      </w:pPr>
      <w:r w:rsidRPr="00FB3393">
        <w:t>Notes</w:t>
      </w:r>
    </w:p>
    <w:p w14:paraId="07F3477D" w14:textId="77777777" w:rsidR="00994AD8" w:rsidRPr="00DB5395" w:rsidRDefault="00994AD8" w:rsidP="00994AD8">
      <w:pPr>
        <w:pStyle w:val="TableNotes"/>
      </w:pPr>
      <w:r w:rsidRPr="00DB5395">
        <w:t>Response rate denominator: Those who were invited and responded to the survey</w:t>
      </w:r>
      <w:r>
        <w:t>.</w:t>
      </w:r>
    </w:p>
    <w:p w14:paraId="1B0A47D3" w14:textId="77777777" w:rsidR="00994AD8" w:rsidRPr="00DB5395" w:rsidRDefault="00994AD8" w:rsidP="00994AD8">
      <w:pPr>
        <w:pStyle w:val="TableNotes"/>
        <w:rPr>
          <w:bCs/>
        </w:rPr>
      </w:pPr>
      <w:r w:rsidRPr="00DB5395">
        <w:t>Unweighted data</w:t>
      </w:r>
      <w:r>
        <w:t>.</w:t>
      </w:r>
    </w:p>
    <w:p w14:paraId="74723314" w14:textId="77777777" w:rsidR="00994AD8" w:rsidRDefault="00994AD8" w:rsidP="00994AD8">
      <w:pPr>
        <w:pStyle w:val="TableNotes"/>
      </w:pPr>
      <w:r w:rsidRPr="00DB5395">
        <w:t>95% CI: 95% confidence interval</w:t>
      </w:r>
      <w:r>
        <w:t>.</w:t>
      </w:r>
      <w:r w:rsidRPr="00DB5395" w:rsidDel="00DD78A8">
        <w:t xml:space="preserve"> </w:t>
      </w:r>
    </w:p>
    <w:p w14:paraId="5C1E86C4" w14:textId="77777777" w:rsidR="00994AD8" w:rsidRPr="00DB5395" w:rsidRDefault="00994AD8" w:rsidP="00994AD8">
      <w:pPr>
        <w:pStyle w:val="TableNotes"/>
      </w:pPr>
      <w:r>
        <w:t>Mean (M), Standard Error (SE).</w:t>
      </w:r>
    </w:p>
    <w:p w14:paraId="1A24FAD3" w14:textId="77777777" w:rsidR="00994AD8" w:rsidRPr="004C6CF5" w:rsidRDefault="00994AD8" w:rsidP="00994AD8">
      <w:r w:rsidRPr="00051FB6">
        <w:t>The characteristics of surve</w:t>
      </w:r>
      <w:r>
        <w:t xml:space="preserve">y respondents were as follows: </w:t>
      </w:r>
    </w:p>
    <w:p w14:paraId="17B74087" w14:textId="77777777" w:rsidR="00994AD8" w:rsidRPr="004C6CF5" w:rsidRDefault="00994AD8" w:rsidP="00994AD8">
      <w:pPr>
        <w:rPr>
          <w:rFonts w:cs="Calibri"/>
          <w:lang w:val="en-US"/>
        </w:rPr>
      </w:pPr>
      <w:r w:rsidRPr="00051FB6">
        <w:rPr>
          <w:rFonts w:cs="Calibri"/>
          <w:b/>
          <w:bCs/>
          <w:lang w:val="en-US"/>
        </w:rPr>
        <w:t xml:space="preserve">Age </w:t>
      </w:r>
      <w:r w:rsidRPr="00051FB6">
        <w:rPr>
          <w:rFonts w:cs="Calibri"/>
          <w:lang w:val="en-US"/>
        </w:rPr>
        <w:t xml:space="preserve">– Transitioned ADF survey responders (mean age 41.9 </w:t>
      </w:r>
      <w:r>
        <w:rPr>
          <w:rFonts w:cs="Calibri"/>
          <w:lang w:val="en-US"/>
        </w:rPr>
        <w:t>[</w:t>
      </w:r>
      <w:r w:rsidRPr="00051FB6">
        <w:rPr>
          <w:rFonts w:cs="Calibri"/>
          <w:lang w:val="en-US"/>
        </w:rPr>
        <w:t>SE 0.</w:t>
      </w:r>
      <w:r>
        <w:rPr>
          <w:rFonts w:cs="Calibri"/>
          <w:lang w:val="en-US"/>
        </w:rPr>
        <w:t>2]</w:t>
      </w:r>
      <w:r w:rsidRPr="00051FB6">
        <w:rPr>
          <w:rFonts w:cs="Calibri"/>
          <w:lang w:val="en-US"/>
        </w:rPr>
        <w:t>) were of a similar age to the 2015 Regular ADF respon</w:t>
      </w:r>
      <w:r>
        <w:rPr>
          <w:rFonts w:cs="Calibri"/>
          <w:lang w:val="en-US"/>
        </w:rPr>
        <w:t xml:space="preserve">ders (mean age 41.1 [SE 0.1]). </w:t>
      </w:r>
    </w:p>
    <w:p w14:paraId="6C3346A5" w14:textId="77777777" w:rsidR="00994AD8" w:rsidRPr="002567C0" w:rsidRDefault="00994AD8" w:rsidP="00994AD8">
      <w:pPr>
        <w:autoSpaceDE w:val="0"/>
        <w:autoSpaceDN w:val="0"/>
        <w:adjustRightInd w:val="0"/>
        <w:rPr>
          <w:rFonts w:cs="Calibri"/>
          <w:lang w:val="en-US"/>
        </w:rPr>
      </w:pPr>
      <w:r w:rsidRPr="00051FB6">
        <w:rPr>
          <w:rFonts w:cs="Calibri"/>
          <w:b/>
          <w:bCs/>
          <w:lang w:val="en-US"/>
        </w:rPr>
        <w:t xml:space="preserve">Sex </w:t>
      </w:r>
      <w:r w:rsidRPr="00051FB6">
        <w:rPr>
          <w:rFonts w:cs="Calibri"/>
          <w:lang w:val="en-US"/>
        </w:rPr>
        <w:t xml:space="preserve">– Consistent with the Transitioned ADF population, the sample was predominantly male, with transitioned females significantly more likely to respond than transitioned males. In the 2015 Regular ADF, females were less likely to respond than males. </w:t>
      </w:r>
    </w:p>
    <w:p w14:paraId="062A0C59" w14:textId="77777777" w:rsidR="00994AD8" w:rsidRPr="004C6CF5" w:rsidRDefault="00994AD8" w:rsidP="00994AD8">
      <w:pPr>
        <w:autoSpaceDE w:val="0"/>
        <w:autoSpaceDN w:val="0"/>
        <w:adjustRightInd w:val="0"/>
        <w:rPr>
          <w:rFonts w:cs="Calibri"/>
          <w:lang w:val="en-US"/>
        </w:rPr>
      </w:pPr>
      <w:r w:rsidRPr="00051FB6">
        <w:rPr>
          <w:rFonts w:cs="Calibri"/>
          <w:b/>
          <w:bCs/>
          <w:lang w:val="en-US"/>
        </w:rPr>
        <w:t xml:space="preserve">Rank </w:t>
      </w:r>
      <w:r w:rsidRPr="00051FB6">
        <w:rPr>
          <w:rFonts w:cs="Calibri"/>
          <w:lang w:val="en-US"/>
        </w:rPr>
        <w:t xml:space="preserve">– Survey responders from the Transitioned ADF comprised 29.1% Officers, 48.5% Non-Commissioned Officers and 22.4% Other Ranks. In the 2015 Regular ADF, there was a similar distribution, with 41.7% Officers, 51.1% Non-Commissioned Officers and 7.2% Other Ranks. The Transitioned ADF population had significantly lower response rates for Officers and Non-Commissioned Officers, but significantly higher response rates in Other Ranks compared to the 2015 Regular ADF. In both groups, the lower ranks </w:t>
      </w:r>
      <w:r>
        <w:rPr>
          <w:rFonts w:cs="Calibri"/>
          <w:lang w:val="en-US"/>
        </w:rPr>
        <w:t xml:space="preserve">exhibited the smallest response rates. </w:t>
      </w:r>
    </w:p>
    <w:p w14:paraId="16287519" w14:textId="77777777" w:rsidR="00994AD8" w:rsidRPr="004C6CF5" w:rsidRDefault="00994AD8" w:rsidP="00994AD8">
      <w:pPr>
        <w:autoSpaceDE w:val="0"/>
        <w:autoSpaceDN w:val="0"/>
        <w:adjustRightInd w:val="0"/>
        <w:rPr>
          <w:rFonts w:cs="Calibri"/>
          <w:lang w:val="en-US"/>
        </w:rPr>
      </w:pPr>
      <w:r w:rsidRPr="00051FB6">
        <w:rPr>
          <w:rFonts w:cs="Calibri"/>
          <w:b/>
          <w:bCs/>
          <w:lang w:val="en-US"/>
        </w:rPr>
        <w:t xml:space="preserve">Service </w:t>
      </w:r>
      <w:r w:rsidRPr="00051FB6">
        <w:rPr>
          <w:rFonts w:cs="Calibri"/>
          <w:lang w:val="en-US"/>
        </w:rPr>
        <w:t>– In the Transitioned ADF, 19.9% of survey responders were Navy, 56.9% were Army and 23.1% were Air Force. However, for the 2015 Regular ADF, 34.7% of survey responders were Navy, 41.3% were Army and 24.1% were Air Force. When response rates in the different services were compared, Transitioned Air Force members were most likely to respond, whereas Transitioned Army and Navy members were least likely to respond. In the 2015 Regular ADF, Army had the h</w:t>
      </w:r>
      <w:r>
        <w:rPr>
          <w:rFonts w:cs="Calibri"/>
          <w:lang w:val="en-US"/>
        </w:rPr>
        <w:t xml:space="preserve">ighest response rate at 41.3%. </w:t>
      </w:r>
    </w:p>
    <w:p w14:paraId="2920ED7E" w14:textId="77777777" w:rsidR="00994AD8" w:rsidRPr="004C6CF5" w:rsidRDefault="00994AD8" w:rsidP="00994AD8">
      <w:pPr>
        <w:autoSpaceDE w:val="0"/>
        <w:autoSpaceDN w:val="0"/>
        <w:adjustRightInd w:val="0"/>
        <w:rPr>
          <w:rFonts w:ascii="Times" w:hAnsi="Times" w:cs="Times"/>
          <w:lang w:val="en-US"/>
        </w:rPr>
      </w:pPr>
      <w:r w:rsidRPr="00051FB6">
        <w:rPr>
          <w:rFonts w:cs="Calibri"/>
          <w:b/>
          <w:bCs/>
          <w:lang w:val="en-US"/>
        </w:rPr>
        <w:t xml:space="preserve">Medical fitness </w:t>
      </w:r>
      <w:r w:rsidRPr="00051FB6">
        <w:rPr>
          <w:rFonts w:cs="Calibri"/>
          <w:lang w:val="en-US"/>
        </w:rPr>
        <w:t xml:space="preserve">– Not surprisingly, Transitioned ADF were significantly more likely to be unfit on transition from Regular ADF (31.1%) compared to the 2015 Regular ADF population (16.1%). Transitioned ADF who were unfit had a response rate of 20.9% compared to 46.5% in the 2015 Regular ADF. </w:t>
      </w:r>
    </w:p>
    <w:p w14:paraId="6F43B118" w14:textId="77777777" w:rsidR="00994AD8" w:rsidRPr="004C6CF5" w:rsidRDefault="00994AD8" w:rsidP="00C44855">
      <w:pPr>
        <w:pStyle w:val="Heading2"/>
      </w:pPr>
      <w:bookmarkStart w:id="142" w:name="_Toc482021323"/>
      <w:bookmarkStart w:id="143" w:name="_Toc482024414"/>
      <w:bookmarkStart w:id="144" w:name="_Toc487011179"/>
      <w:bookmarkStart w:id="145" w:name="_Toc509917413"/>
      <w:bookmarkStart w:id="146" w:name="_Toc515374449"/>
      <w:bookmarkStart w:id="147" w:name="_Toc518566342"/>
      <w:bookmarkStart w:id="148" w:name="_Toc528932641"/>
      <w:bookmarkStart w:id="149" w:name="_Toc531859178"/>
      <w:r w:rsidRPr="004C6CF5">
        <w:t>Statistical analysis</w:t>
      </w:r>
      <w:bookmarkEnd w:id="142"/>
      <w:bookmarkEnd w:id="143"/>
      <w:bookmarkEnd w:id="144"/>
      <w:bookmarkEnd w:id="145"/>
      <w:bookmarkEnd w:id="146"/>
      <w:bookmarkEnd w:id="147"/>
      <w:bookmarkEnd w:id="148"/>
      <w:bookmarkEnd w:id="149"/>
    </w:p>
    <w:p w14:paraId="12EDDA03" w14:textId="77777777" w:rsidR="00994AD8" w:rsidRPr="00823A57" w:rsidRDefault="00994AD8" w:rsidP="00994AD8">
      <w:pPr>
        <w:widowControl w:val="0"/>
        <w:autoSpaceDE w:val="0"/>
        <w:autoSpaceDN w:val="0"/>
        <w:adjustRightInd w:val="0"/>
        <w:spacing w:after="240"/>
        <w:rPr>
          <w:rFonts w:asciiTheme="minorHAnsi" w:hAnsiTheme="minorHAnsi" w:cs="Times"/>
          <w:lang w:val="en-GB"/>
        </w:rPr>
      </w:pPr>
      <w:r w:rsidRPr="00823A57">
        <w:rPr>
          <w:rFonts w:asciiTheme="minorHAnsi" w:hAnsiTheme="minorHAnsi" w:cs="Times"/>
          <w:lang w:val="en-GB"/>
        </w:rPr>
        <w:t xml:space="preserve">Analyses were conducted in Stata version 13.1 or SAS version 9.2. All analyses were conducted using weighted estimates of totals, means and proportions, except where specified otherwise. Standard errors were estimated using linearisation, except where specified otherwise. </w:t>
      </w:r>
    </w:p>
    <w:p w14:paraId="49D154F8" w14:textId="77777777" w:rsidR="00994AD8" w:rsidRPr="00823A57" w:rsidRDefault="00994AD8" w:rsidP="00994AD8">
      <w:pPr>
        <w:widowControl w:val="0"/>
        <w:autoSpaceDE w:val="0"/>
        <w:autoSpaceDN w:val="0"/>
        <w:adjustRightInd w:val="0"/>
        <w:spacing w:after="240"/>
        <w:rPr>
          <w:rFonts w:asciiTheme="minorHAnsi" w:hAnsiTheme="minorHAnsi" w:cs="Times"/>
          <w:lang w:val="en-GB"/>
        </w:rPr>
      </w:pPr>
      <w:r w:rsidRPr="00823A57">
        <w:rPr>
          <w:rFonts w:asciiTheme="minorHAnsi" w:hAnsiTheme="minorHAnsi" w:cs="Times"/>
          <w:lang w:val="en-GB"/>
        </w:rPr>
        <w:t xml:space="preserve">For the self-report measures, the proportion (n%) of ADF members in each subgroup is presented. Comparisons between the mean total scores among subgroups were also analysed where appropriate, using weighted multiple linear regressions. All regressions included the covariates of age, sex, </w:t>
      </w:r>
      <w:r>
        <w:rPr>
          <w:rFonts w:asciiTheme="minorHAnsi" w:hAnsiTheme="minorHAnsi" w:cs="Times"/>
          <w:lang w:val="en-GB"/>
        </w:rPr>
        <w:t>s</w:t>
      </w:r>
      <w:r w:rsidRPr="00823A57">
        <w:rPr>
          <w:rFonts w:asciiTheme="minorHAnsi" w:hAnsiTheme="minorHAnsi" w:cs="Times"/>
          <w:lang w:val="en-GB"/>
        </w:rPr>
        <w:t xml:space="preserve">ervice and rank. Refer to </w:t>
      </w:r>
      <w:r w:rsidR="00E83B98">
        <w:rPr>
          <w:rFonts w:asciiTheme="minorHAnsi" w:hAnsiTheme="minorHAnsi" w:cs="Times"/>
        </w:rPr>
        <w:t>Annex </w:t>
      </w:r>
      <w:r w:rsidRPr="00823A57">
        <w:rPr>
          <w:rFonts w:asciiTheme="minorHAnsi" w:hAnsiTheme="minorHAnsi" w:cs="Times"/>
          <w:lang w:val="en-GB"/>
        </w:rPr>
        <w:t>B for a detailed description of the strength of each association and individual odds ratios</w:t>
      </w:r>
      <w:r>
        <w:rPr>
          <w:rFonts w:asciiTheme="minorHAnsi" w:hAnsiTheme="minorHAnsi" w:cs="Times"/>
          <w:lang w:val="en-GB"/>
        </w:rPr>
        <w:t>.</w:t>
      </w:r>
    </w:p>
    <w:p w14:paraId="7EB58A8D" w14:textId="77777777" w:rsidR="00994AD8" w:rsidRPr="004C6CF5" w:rsidRDefault="00994AD8" w:rsidP="00C44855">
      <w:pPr>
        <w:pStyle w:val="Heading2"/>
      </w:pPr>
      <w:bookmarkStart w:id="150" w:name="_Toc482021325"/>
      <w:bookmarkStart w:id="151" w:name="_Toc482024416"/>
      <w:bookmarkStart w:id="152" w:name="_Toc487011181"/>
      <w:bookmarkStart w:id="153" w:name="_Toc509917414"/>
      <w:bookmarkStart w:id="154" w:name="_Toc515374450"/>
      <w:bookmarkStart w:id="155" w:name="_Toc518566343"/>
      <w:bookmarkStart w:id="156" w:name="_Toc528932642"/>
      <w:bookmarkStart w:id="157" w:name="_Toc531859179"/>
      <w:r w:rsidRPr="004C6CF5">
        <w:t>Weighting</w:t>
      </w:r>
      <w:bookmarkEnd w:id="150"/>
      <w:bookmarkEnd w:id="151"/>
      <w:bookmarkEnd w:id="152"/>
      <w:bookmarkEnd w:id="153"/>
      <w:bookmarkEnd w:id="154"/>
      <w:bookmarkEnd w:id="155"/>
      <w:bookmarkEnd w:id="156"/>
      <w:bookmarkEnd w:id="157"/>
    </w:p>
    <w:p w14:paraId="159148F9" w14:textId="77777777" w:rsidR="00994AD8" w:rsidRPr="00823A57" w:rsidRDefault="00994AD8" w:rsidP="00994AD8">
      <w:pPr>
        <w:widowControl w:val="0"/>
        <w:autoSpaceDE w:val="0"/>
        <w:autoSpaceDN w:val="0"/>
        <w:adjustRightInd w:val="0"/>
        <w:rPr>
          <w:rFonts w:asciiTheme="minorHAnsi" w:hAnsiTheme="minorHAnsi" w:cs="Times"/>
        </w:rPr>
      </w:pPr>
      <w:bookmarkStart w:id="158" w:name="_Toc492041224"/>
      <w:bookmarkStart w:id="159" w:name="_Toc499899734"/>
      <w:bookmarkStart w:id="160" w:name="_Toc506360570"/>
      <w:bookmarkStart w:id="161" w:name="_Toc509917415"/>
      <w:bookmarkStart w:id="162" w:name="_Toc482021326"/>
      <w:bookmarkStart w:id="163" w:name="_Toc482024417"/>
      <w:bookmarkStart w:id="164" w:name="_Toc487011182"/>
      <w:r w:rsidRPr="00823A57">
        <w:rPr>
          <w:rFonts w:asciiTheme="minorHAnsi" w:hAnsiTheme="minorHAnsi" w:cs="Times"/>
        </w:rPr>
        <w:t xml:space="preserve">The statistical weighting process used in the Mental Health and Wellbeing Transition Study replicated that used in the 2010 Mental Health Prevalence Wellbeing Study (MHPWS) and allowed for the inference of results for the entire Transitioned ADF and 2015 Regular ADF populations. </w:t>
      </w:r>
    </w:p>
    <w:p w14:paraId="01A934C7" w14:textId="77777777" w:rsidR="00994AD8" w:rsidRPr="00823A57" w:rsidRDefault="00994AD8" w:rsidP="00994AD8">
      <w:pPr>
        <w:widowControl w:val="0"/>
        <w:autoSpaceDE w:val="0"/>
        <w:autoSpaceDN w:val="0"/>
        <w:adjustRightInd w:val="0"/>
        <w:rPr>
          <w:rFonts w:asciiTheme="minorHAnsi" w:hAnsiTheme="minorHAnsi" w:cs="Times"/>
        </w:rPr>
      </w:pPr>
      <w:r w:rsidRPr="00823A57">
        <w:rPr>
          <w:rFonts w:asciiTheme="minorHAnsi" w:hAnsiTheme="minorHAnsi" w:cs="Times"/>
        </w:rPr>
        <w:t xml:space="preserve">Survey responder weights were used to correct for differential non-response to the survey by Transitioned ADF and 2015 Regular ADF. The weighting procedure involves allocating a representative value or ‘weight’ to the data for each responder, based on key variables that are known for the entire population (including responders and non-responders). This weight indicates how many individuals in the entire population each actual responder represents. Weighting data allows for the inference of results for an entire population – in this case, the Transitioned ADF – by assigning a representative value to each ‘actual’ case (responder) in the data. If a case has a weight of 4, it means that case counts in the data as </w:t>
      </w:r>
      <w:r>
        <w:rPr>
          <w:rFonts w:asciiTheme="minorHAnsi" w:hAnsiTheme="minorHAnsi" w:cs="Times"/>
        </w:rPr>
        <w:t>four</w:t>
      </w:r>
      <w:r w:rsidRPr="00823A57">
        <w:rPr>
          <w:rFonts w:asciiTheme="minorHAnsi" w:hAnsiTheme="minorHAnsi" w:cs="Times"/>
        </w:rPr>
        <w:t xml:space="preserve"> identical cases. By using known characteristics about each individual within the population (in this case sex, rank and medical fitness), the weight assigned to responders indicates how many ‘like’ individuals in the entire population (based on those characteristics) each responder represents. </w:t>
      </w:r>
    </w:p>
    <w:p w14:paraId="535A723C" w14:textId="77777777" w:rsidR="00994AD8" w:rsidRPr="00823A57" w:rsidRDefault="00994AD8" w:rsidP="00994AD8">
      <w:pPr>
        <w:widowControl w:val="0"/>
        <w:autoSpaceDE w:val="0"/>
        <w:autoSpaceDN w:val="0"/>
        <w:adjustRightInd w:val="0"/>
        <w:rPr>
          <w:rFonts w:asciiTheme="minorHAnsi" w:hAnsiTheme="minorHAnsi" w:cs="Times"/>
        </w:rPr>
      </w:pPr>
      <w:r w:rsidRPr="00823A57">
        <w:rPr>
          <w:rFonts w:asciiTheme="minorHAnsi" w:hAnsiTheme="minorHAnsi" w:cs="Times"/>
        </w:rPr>
        <w:t xml:space="preserve">Weighting is used to correct for differential non-response and to account for systematic biases that may be present in study responders. This methodology provides representative weights for the population to improve the accuracy of the estimated data, and requires that every individual within the population has actual data on the key variables that determine representativeness. </w:t>
      </w:r>
    </w:p>
    <w:p w14:paraId="4FDD4DA0" w14:textId="77777777" w:rsidR="00994AD8" w:rsidRPr="00823A57" w:rsidRDefault="00994AD8" w:rsidP="00994AD8">
      <w:pPr>
        <w:widowControl w:val="0"/>
        <w:autoSpaceDE w:val="0"/>
        <w:autoSpaceDN w:val="0"/>
        <w:adjustRightInd w:val="0"/>
        <w:rPr>
          <w:rFonts w:asciiTheme="minorHAnsi" w:hAnsiTheme="minorHAnsi" w:cs="Times"/>
        </w:rPr>
      </w:pPr>
      <w:r w:rsidRPr="00823A57">
        <w:rPr>
          <w:rFonts w:asciiTheme="minorHAnsi" w:hAnsiTheme="minorHAnsi" w:cs="Times"/>
        </w:rPr>
        <w:t xml:space="preserve">The Transitioned ADF weights were derived from the distinct strata of sex, </w:t>
      </w:r>
      <w:r>
        <w:rPr>
          <w:rFonts w:asciiTheme="minorHAnsi" w:hAnsiTheme="minorHAnsi" w:cs="Times"/>
        </w:rPr>
        <w:t>s</w:t>
      </w:r>
      <w:r w:rsidRPr="00823A57">
        <w:rPr>
          <w:rFonts w:asciiTheme="minorHAnsi" w:hAnsiTheme="minorHAnsi" w:cs="Times"/>
        </w:rPr>
        <w:t xml:space="preserve">ervice, rank, and medical fitness, a dichotomous variable derived from Medical Employment Classification (MEC) status. There were 313 (1.2%) of the total Transitioned ADF population with missing information on the strata variables and therefore the final weighted population for analyses was 24,932. </w:t>
      </w:r>
    </w:p>
    <w:p w14:paraId="77F7D2A8" w14:textId="77777777" w:rsidR="00994AD8" w:rsidRPr="00823A57" w:rsidRDefault="00994AD8" w:rsidP="00994AD8">
      <w:pPr>
        <w:widowControl w:val="0"/>
        <w:autoSpaceDE w:val="0"/>
        <w:autoSpaceDN w:val="0"/>
        <w:adjustRightInd w:val="0"/>
        <w:rPr>
          <w:rFonts w:asciiTheme="minorHAnsi" w:hAnsiTheme="minorHAnsi" w:cs="Times"/>
        </w:rPr>
      </w:pPr>
      <w:r w:rsidRPr="00823A57">
        <w:rPr>
          <w:rFonts w:asciiTheme="minorHAnsi" w:hAnsiTheme="minorHAnsi" w:cs="Times"/>
        </w:rPr>
        <w:t xml:space="preserve">The 2015 Regular ADF weights were derived from the distinct strata of sex, </w:t>
      </w:r>
      <w:r>
        <w:rPr>
          <w:rFonts w:asciiTheme="minorHAnsi" w:hAnsiTheme="minorHAnsi" w:cs="Times"/>
        </w:rPr>
        <w:t>s</w:t>
      </w:r>
      <w:r w:rsidRPr="00823A57">
        <w:rPr>
          <w:rFonts w:asciiTheme="minorHAnsi" w:hAnsiTheme="minorHAnsi" w:cs="Times"/>
        </w:rPr>
        <w:t xml:space="preserve">ervice, rank, medical fitness, and whether the individual completed a study as part of the Military Health Outcomes Program (MilHOP). The inclusion of this additional stratification variable was to account for the targeted sampling of the MilHOP cohort, who were then over-represented within the current serving responders. A MilHOP flag variable (yes/no = 1/0) was created and used in the weighting process in order to reduce this bias. There were 192 (0.4%) 2015 Regular ADF with missing information on the strata variables, which reduced the final weighted population for analysis to 52,500. </w:t>
      </w:r>
      <w:r w:rsidRPr="001F3926">
        <w:rPr>
          <w:rFonts w:asciiTheme="minorHAnsi" w:hAnsiTheme="minorHAnsi" w:cs="Times"/>
        </w:rPr>
        <w:t xml:space="preserve">Tables </w:t>
      </w:r>
      <w:r w:rsidR="001F3926" w:rsidRPr="001F3926">
        <w:rPr>
          <w:rFonts w:asciiTheme="minorHAnsi" w:hAnsiTheme="minorHAnsi" w:cs="Times"/>
        </w:rPr>
        <w:t>C</w:t>
      </w:r>
      <w:r w:rsidRPr="001F3926">
        <w:rPr>
          <w:rFonts w:asciiTheme="minorHAnsi" w:hAnsiTheme="minorHAnsi" w:cs="Times"/>
        </w:rPr>
        <w:t xml:space="preserve">.2, </w:t>
      </w:r>
      <w:r w:rsidR="001F3926" w:rsidRPr="001F3926">
        <w:rPr>
          <w:rFonts w:asciiTheme="minorHAnsi" w:hAnsiTheme="minorHAnsi" w:cs="Times"/>
        </w:rPr>
        <w:t>C</w:t>
      </w:r>
      <w:r w:rsidRPr="001F3926">
        <w:rPr>
          <w:rFonts w:asciiTheme="minorHAnsi" w:hAnsiTheme="minorHAnsi" w:cs="Times"/>
        </w:rPr>
        <w:t xml:space="preserve">.3, </w:t>
      </w:r>
      <w:r w:rsidR="001F3926" w:rsidRPr="001F3926">
        <w:rPr>
          <w:rFonts w:asciiTheme="minorHAnsi" w:hAnsiTheme="minorHAnsi" w:cs="Times"/>
        </w:rPr>
        <w:t>C</w:t>
      </w:r>
      <w:r w:rsidRPr="001F3926">
        <w:rPr>
          <w:rFonts w:asciiTheme="minorHAnsi" w:hAnsiTheme="minorHAnsi" w:cs="Times"/>
        </w:rPr>
        <w:t>.4 in An</w:t>
      </w:r>
      <w:r w:rsidR="001F3926" w:rsidRPr="001F3926">
        <w:rPr>
          <w:rFonts w:asciiTheme="minorHAnsi" w:hAnsiTheme="minorHAnsi" w:cs="Times"/>
        </w:rPr>
        <w:t>ne</w:t>
      </w:r>
      <w:r w:rsidRPr="001F3926">
        <w:rPr>
          <w:rFonts w:asciiTheme="minorHAnsi" w:hAnsiTheme="minorHAnsi" w:cs="Times"/>
        </w:rPr>
        <w:t>x</w:t>
      </w:r>
      <w:r w:rsidR="001F3926" w:rsidRPr="001F3926">
        <w:rPr>
          <w:rFonts w:asciiTheme="minorHAnsi" w:hAnsiTheme="minorHAnsi" w:cs="Times"/>
        </w:rPr>
        <w:t> C</w:t>
      </w:r>
      <w:r w:rsidRPr="00823A57">
        <w:rPr>
          <w:rFonts w:asciiTheme="minorHAnsi" w:hAnsiTheme="minorHAnsi" w:cs="Times"/>
        </w:rPr>
        <w:t xml:space="preserve"> present the study population and responders within each stratum used for weighting, and show approximately how many individuals within each subpopulation each study responder represents. </w:t>
      </w:r>
    </w:p>
    <w:p w14:paraId="79596792" w14:textId="77777777" w:rsidR="00994AD8" w:rsidRPr="004C6CF5" w:rsidRDefault="00994AD8" w:rsidP="00994AD8">
      <w:pPr>
        <w:pStyle w:val="Heading3"/>
        <w:numPr>
          <w:ilvl w:val="2"/>
          <w:numId w:val="1"/>
        </w:numPr>
      </w:pPr>
      <w:bookmarkStart w:id="165" w:name="_Toc515374451"/>
      <w:bookmarkStart w:id="166" w:name="_Toc518566344"/>
      <w:bookmarkStart w:id="167" w:name="_Toc528932643"/>
      <w:bookmarkStart w:id="168" w:name="_Toc531859180"/>
      <w:bookmarkEnd w:id="158"/>
      <w:bookmarkEnd w:id="159"/>
      <w:bookmarkEnd w:id="160"/>
      <w:bookmarkEnd w:id="161"/>
      <w:r w:rsidRPr="004C6CF5">
        <w:t>Estimates from survey</w:t>
      </w:r>
      <w:bookmarkEnd w:id="165"/>
      <w:bookmarkEnd w:id="166"/>
      <w:bookmarkEnd w:id="167"/>
      <w:bookmarkEnd w:id="168"/>
    </w:p>
    <w:bookmarkEnd w:id="162"/>
    <w:bookmarkEnd w:id="163"/>
    <w:bookmarkEnd w:id="164"/>
    <w:p w14:paraId="75E745A5" w14:textId="77777777" w:rsidR="00994AD8" w:rsidRPr="004C6CF5" w:rsidRDefault="00994AD8" w:rsidP="00994AD8">
      <w:pPr>
        <w:widowControl w:val="0"/>
        <w:autoSpaceDE w:val="0"/>
        <w:autoSpaceDN w:val="0"/>
        <w:adjustRightInd w:val="0"/>
        <w:rPr>
          <w:rFonts w:asciiTheme="minorHAnsi" w:hAnsiTheme="minorHAnsi" w:cs="Times"/>
        </w:rPr>
      </w:pPr>
      <w:r w:rsidRPr="00823A57">
        <w:rPr>
          <w:rFonts w:asciiTheme="minorHAnsi" w:hAnsiTheme="minorHAnsi" w:cs="Times"/>
        </w:rPr>
        <w:t xml:space="preserve">To maximise the actual data available for analysis, survey weights were calculated for each separate section of the survey. This addressed the issue of differential responses to various sections of the survey, where individuals potentially completed some but not all parts of the survey. A ‘survey section responder’ was defined as anyone who answered at least one question in that particular section of the survey. There was a total of 29 section responder weight variables. For the purpose of analysis, the weights used were always for the primary outcome variable of interest. </w:t>
      </w:r>
    </w:p>
    <w:p w14:paraId="4467C3A7" w14:textId="77777777" w:rsidR="00994AD8" w:rsidRPr="004C6CF5" w:rsidRDefault="00994AD8" w:rsidP="00C44855">
      <w:pPr>
        <w:pStyle w:val="Heading2"/>
      </w:pPr>
      <w:bookmarkStart w:id="169" w:name="_Toc509917417"/>
      <w:bookmarkStart w:id="170" w:name="_Toc515374452"/>
      <w:bookmarkStart w:id="171" w:name="_Toc482021329"/>
      <w:bookmarkStart w:id="172" w:name="_Toc482024420"/>
      <w:bookmarkStart w:id="173" w:name="_Toc487011184"/>
      <w:bookmarkStart w:id="174" w:name="_Toc518566345"/>
      <w:bookmarkStart w:id="175" w:name="_Toc528932644"/>
      <w:bookmarkStart w:id="176" w:name="_Toc531859181"/>
      <w:r w:rsidRPr="004C6CF5">
        <w:t>Measures used in the current report</w:t>
      </w:r>
      <w:bookmarkEnd w:id="169"/>
      <w:bookmarkEnd w:id="170"/>
      <w:bookmarkEnd w:id="171"/>
      <w:bookmarkEnd w:id="172"/>
      <w:bookmarkEnd w:id="173"/>
      <w:bookmarkEnd w:id="174"/>
      <w:bookmarkEnd w:id="175"/>
      <w:bookmarkEnd w:id="176"/>
    </w:p>
    <w:p w14:paraId="5BC9A91F" w14:textId="77777777" w:rsidR="00994AD8" w:rsidRPr="004C6CF5" w:rsidRDefault="00994AD8" w:rsidP="00994AD8">
      <w:pPr>
        <w:pStyle w:val="Heading3"/>
        <w:numPr>
          <w:ilvl w:val="2"/>
          <w:numId w:val="1"/>
        </w:numPr>
      </w:pPr>
      <w:bookmarkStart w:id="177" w:name="_Toc482021331"/>
      <w:bookmarkStart w:id="178" w:name="_Toc482024422"/>
      <w:bookmarkStart w:id="179" w:name="_Toc487011185"/>
      <w:bookmarkStart w:id="180" w:name="_Toc509917418"/>
      <w:bookmarkStart w:id="181" w:name="_Toc515374453"/>
      <w:bookmarkStart w:id="182" w:name="_Toc518566346"/>
      <w:bookmarkStart w:id="183" w:name="_Toc528932645"/>
      <w:bookmarkStart w:id="184" w:name="_Toc531859182"/>
      <w:r w:rsidRPr="004C6CF5">
        <w:t>Self-report survey</w:t>
      </w:r>
      <w:bookmarkEnd w:id="177"/>
      <w:bookmarkEnd w:id="178"/>
      <w:bookmarkEnd w:id="179"/>
      <w:bookmarkEnd w:id="180"/>
      <w:bookmarkEnd w:id="181"/>
      <w:bookmarkEnd w:id="182"/>
      <w:bookmarkEnd w:id="183"/>
      <w:bookmarkEnd w:id="184"/>
    </w:p>
    <w:p w14:paraId="6269E0BA" w14:textId="77777777" w:rsidR="00994AD8" w:rsidRPr="004C6CF5" w:rsidRDefault="00994AD8" w:rsidP="00994AD8">
      <w:pPr>
        <w:pStyle w:val="Heading4"/>
      </w:pPr>
      <w:r w:rsidRPr="004C6CF5">
        <w:t xml:space="preserve">Outcome </w:t>
      </w:r>
      <w:r>
        <w:t>v</w:t>
      </w:r>
      <w:r w:rsidRPr="004C6CF5">
        <w:t>ariables</w:t>
      </w:r>
    </w:p>
    <w:p w14:paraId="12DF30F1" w14:textId="77777777" w:rsidR="00994AD8" w:rsidRPr="004D3024" w:rsidRDefault="00994AD8" w:rsidP="00994AD8">
      <w:r w:rsidRPr="004D3024">
        <w:t>The following measures were used in the self-report s</w:t>
      </w:r>
      <w:r>
        <w:t>urvey to examine technology use.</w:t>
      </w:r>
    </w:p>
    <w:p w14:paraId="17653A36" w14:textId="77777777" w:rsidR="00994AD8" w:rsidRPr="004D3024" w:rsidRDefault="00994AD8" w:rsidP="00994AD8">
      <w:pPr>
        <w:pStyle w:val="Heading5"/>
      </w:pPr>
      <w:r>
        <w:t>Internet</w:t>
      </w:r>
      <w:r w:rsidRPr="004D3024">
        <w:t xml:space="preserve"> usage</w:t>
      </w:r>
    </w:p>
    <w:p w14:paraId="2176E6FC" w14:textId="77777777" w:rsidR="00994AD8" w:rsidRPr="004D3024" w:rsidRDefault="00994AD8" w:rsidP="00994AD8">
      <w:pPr>
        <w:rPr>
          <w:rFonts w:cs="Calibri"/>
        </w:rPr>
      </w:pPr>
      <w:r w:rsidRPr="004D3024">
        <w:rPr>
          <w:rFonts w:cs="Calibri"/>
        </w:rPr>
        <w:t xml:space="preserve">This section of the survey aimed to ascertain what role the </w:t>
      </w:r>
      <w:r>
        <w:rPr>
          <w:rFonts w:cs="Calibri"/>
        </w:rPr>
        <w:t>internet</w:t>
      </w:r>
      <w:r w:rsidRPr="004D3024">
        <w:rPr>
          <w:rFonts w:cs="Calibri"/>
        </w:rPr>
        <w:t xml:space="preserve"> played in improving the mental health and wellbeing of participants. Items looking at </w:t>
      </w:r>
      <w:r>
        <w:rPr>
          <w:rFonts w:cs="Calibri"/>
        </w:rPr>
        <w:t>internet</w:t>
      </w:r>
      <w:r w:rsidRPr="004D3024">
        <w:rPr>
          <w:rFonts w:cs="Calibri"/>
        </w:rPr>
        <w:t xml:space="preserve"> usage were taken from the Young and Well National Survey</w:t>
      </w:r>
      <w:r>
        <w:rPr>
          <w:rFonts w:cs="Calibri"/>
        </w:rPr>
        <w:t xml:space="preserve"> </w:t>
      </w:r>
      <w:r>
        <w:rPr>
          <w:rFonts w:cs="Calibri"/>
          <w:noProof/>
        </w:rPr>
        <w:t>(Burns et al., 2013)</w:t>
      </w:r>
      <w:r w:rsidRPr="004D3024">
        <w:rPr>
          <w:rFonts w:cs="Calibri"/>
        </w:rPr>
        <w:t xml:space="preserve"> and looked specifically at </w:t>
      </w:r>
      <w:r>
        <w:rPr>
          <w:rFonts w:cs="Calibri"/>
        </w:rPr>
        <w:t>internet</w:t>
      </w:r>
      <w:r w:rsidRPr="004D3024">
        <w:rPr>
          <w:rFonts w:cs="Calibri"/>
        </w:rPr>
        <w:t xml:space="preserve"> usage patterns, means of accessing the </w:t>
      </w:r>
      <w:r>
        <w:rPr>
          <w:rFonts w:cs="Calibri"/>
        </w:rPr>
        <w:t>internet</w:t>
      </w:r>
      <w:r w:rsidRPr="004D3024">
        <w:rPr>
          <w:rFonts w:cs="Calibri"/>
        </w:rPr>
        <w:t xml:space="preserve">, the use of the </w:t>
      </w:r>
      <w:r>
        <w:rPr>
          <w:rFonts w:cs="Calibri"/>
        </w:rPr>
        <w:t>internet</w:t>
      </w:r>
      <w:r w:rsidRPr="004D3024">
        <w:rPr>
          <w:rFonts w:cs="Calibri"/>
        </w:rPr>
        <w:t xml:space="preserve"> for social support, the use of the </w:t>
      </w:r>
      <w:r>
        <w:rPr>
          <w:rFonts w:cs="Calibri"/>
        </w:rPr>
        <w:t>internet</w:t>
      </w:r>
      <w:r w:rsidRPr="004D3024">
        <w:rPr>
          <w:rFonts w:cs="Calibri"/>
        </w:rPr>
        <w:t xml:space="preserve"> for obtaining information relating to mental health, the use of the </w:t>
      </w:r>
      <w:r>
        <w:rPr>
          <w:rFonts w:cs="Calibri"/>
        </w:rPr>
        <w:t>internet</w:t>
      </w:r>
      <w:r w:rsidRPr="004D3024">
        <w:rPr>
          <w:rFonts w:cs="Calibri"/>
        </w:rPr>
        <w:t xml:space="preserve"> for managing mental health, barriers to using the </w:t>
      </w:r>
      <w:r>
        <w:rPr>
          <w:rFonts w:cs="Calibri"/>
        </w:rPr>
        <w:t>internet</w:t>
      </w:r>
      <w:r w:rsidRPr="004D3024">
        <w:rPr>
          <w:rFonts w:cs="Calibri"/>
        </w:rPr>
        <w:t xml:space="preserve"> for mental health and the efficacy of the </w:t>
      </w:r>
      <w:r>
        <w:rPr>
          <w:rFonts w:cs="Calibri"/>
        </w:rPr>
        <w:t>internet</w:t>
      </w:r>
      <w:r w:rsidRPr="004D3024">
        <w:rPr>
          <w:rFonts w:cs="Calibri"/>
        </w:rPr>
        <w:t xml:space="preserve"> in meeting needs. </w:t>
      </w:r>
      <w:r>
        <w:rPr>
          <w:rFonts w:cs="Calibri"/>
          <w:szCs w:val="22"/>
        </w:rPr>
        <w:t>A more detailed description of the individual items used is outlined in each chapter.</w:t>
      </w:r>
    </w:p>
    <w:p w14:paraId="69882251" w14:textId="77777777" w:rsidR="00994AD8" w:rsidRPr="004D3024" w:rsidRDefault="00994AD8" w:rsidP="00994AD8">
      <w:pPr>
        <w:pStyle w:val="Heading5"/>
      </w:pPr>
      <w:r w:rsidRPr="004D3024">
        <w:t>Emerging technologies</w:t>
      </w:r>
    </w:p>
    <w:p w14:paraId="26997649" w14:textId="77777777" w:rsidR="00994AD8" w:rsidRDefault="00994AD8" w:rsidP="00994AD8">
      <w:pPr>
        <w:rPr>
          <w:rFonts w:cs="Calibri"/>
          <w:szCs w:val="22"/>
        </w:rPr>
      </w:pPr>
      <w:r w:rsidRPr="004D3024">
        <w:rPr>
          <w:rFonts w:cs="Calibri"/>
          <w:szCs w:val="22"/>
        </w:rPr>
        <w:t xml:space="preserve">The use of new and emerging technologies for health and wellbeing was assessed </w:t>
      </w:r>
      <w:r>
        <w:rPr>
          <w:rFonts w:cs="Calibri"/>
          <w:szCs w:val="22"/>
        </w:rPr>
        <w:t>using</w:t>
      </w:r>
      <w:r w:rsidRPr="004D3024">
        <w:rPr>
          <w:rFonts w:cs="Calibri"/>
          <w:szCs w:val="22"/>
        </w:rPr>
        <w:t xml:space="preserve"> a series of items developed by Young and Well Co-operative Research Centre </w:t>
      </w:r>
      <w:r>
        <w:rPr>
          <w:rFonts w:cs="Calibri"/>
          <w:noProof/>
          <w:szCs w:val="22"/>
        </w:rPr>
        <w:t>(Burns et al., 2013; Young and Well Cooperative Research Centre, 2013)</w:t>
      </w:r>
      <w:r w:rsidRPr="004D3024">
        <w:rPr>
          <w:rFonts w:cs="Calibri"/>
          <w:szCs w:val="22"/>
        </w:rPr>
        <w:t>. Questions looked at participants’ current usage of new and emerging technologies, barriers to usage, types of new and emerging technologies utilised, the use of new and emerging technologies for health and wellbeing improvement, reasons for using new and emerging technologies for health and wellbeing, other reasons for using new and emerging technologies, the types of new and emerging technologies participants would utilise if money was not a factor, and</w:t>
      </w:r>
      <w:r>
        <w:rPr>
          <w:rFonts w:cs="Calibri"/>
          <w:szCs w:val="22"/>
        </w:rPr>
        <w:t>,</w:t>
      </w:r>
      <w:r w:rsidRPr="004D3024">
        <w:rPr>
          <w:rFonts w:cs="Calibri"/>
          <w:szCs w:val="22"/>
        </w:rPr>
        <w:t xml:space="preserve"> finally</w:t>
      </w:r>
      <w:r>
        <w:rPr>
          <w:rFonts w:cs="Calibri"/>
          <w:szCs w:val="22"/>
        </w:rPr>
        <w:t>,</w:t>
      </w:r>
      <w:r w:rsidRPr="004D3024">
        <w:rPr>
          <w:rFonts w:cs="Calibri"/>
          <w:szCs w:val="22"/>
        </w:rPr>
        <w:t xml:space="preserve"> the early adoption of new technologies. </w:t>
      </w:r>
      <w:r>
        <w:rPr>
          <w:rFonts w:cs="Calibri"/>
          <w:szCs w:val="22"/>
        </w:rPr>
        <w:t xml:space="preserve">A more detailed description of the individual items used is outlined in each chapter. </w:t>
      </w:r>
    </w:p>
    <w:p w14:paraId="685BA7D5" w14:textId="77777777" w:rsidR="00994AD8" w:rsidRPr="004D3024" w:rsidRDefault="00994AD8" w:rsidP="00994AD8">
      <w:pPr>
        <w:pStyle w:val="Heading5"/>
      </w:pPr>
      <w:r>
        <w:t>12-month use of the internet and Defence/DVA/and other websites to seek help or information for, or manage, mental health issues</w:t>
      </w:r>
    </w:p>
    <w:p w14:paraId="1F428400" w14:textId="5AB1AEF1" w:rsidR="00994AD8" w:rsidRPr="00D3311E" w:rsidRDefault="00994AD8" w:rsidP="00994AD8">
      <w:pPr>
        <w:rPr>
          <w:rFonts w:cs="Calibri"/>
          <w:szCs w:val="22"/>
        </w:rPr>
      </w:pPr>
      <w:r>
        <w:rPr>
          <w:rFonts w:asciiTheme="minorHAnsi" w:eastAsia="MS ??" w:hAnsiTheme="minorHAnsi" w:cs="Helvetica Neue"/>
          <w:color w:val="262626"/>
          <w:szCs w:val="22"/>
          <w:lang w:val="en-US" w:eastAsia="en-AU"/>
        </w:rPr>
        <w:t xml:space="preserve">12-month use of the internet for mental health was examined using the following question: ‘Do you use the internet to seek help or information for, or manage mental health issues’. Questions relating to the use of Defence/DVA or other websites in the last 12 months to inform about or assess the participant’s mental health were drawn from the pathways to care section of the survey. </w:t>
      </w:r>
      <w:r>
        <w:rPr>
          <w:rFonts w:cs="Calibri"/>
          <w:szCs w:val="22"/>
        </w:rPr>
        <w:t xml:space="preserve">A more detailed description of the individual items used is outlined in </w:t>
      </w:r>
      <w:r w:rsidR="00484303">
        <w:rPr>
          <w:rFonts w:cs="Calibri"/>
          <w:szCs w:val="22"/>
        </w:rPr>
        <w:t>C</w:t>
      </w:r>
      <w:r>
        <w:rPr>
          <w:rFonts w:cs="Calibri"/>
          <w:szCs w:val="22"/>
        </w:rPr>
        <w:t xml:space="preserve">hapter 8. </w:t>
      </w:r>
    </w:p>
    <w:p w14:paraId="55CEC3DF" w14:textId="77777777" w:rsidR="00994AD8" w:rsidRPr="004C6CF5" w:rsidRDefault="00994AD8" w:rsidP="00994AD8">
      <w:pPr>
        <w:pStyle w:val="Heading4"/>
      </w:pPr>
      <w:r w:rsidRPr="004C6CF5">
        <w:t xml:space="preserve">Stratification </w:t>
      </w:r>
      <w:r>
        <w:t>v</w:t>
      </w:r>
      <w:r w:rsidRPr="004C6CF5">
        <w:t>ariables</w:t>
      </w:r>
    </w:p>
    <w:p w14:paraId="783D33F9" w14:textId="77777777" w:rsidR="00994AD8" w:rsidRPr="004C6CF5" w:rsidRDefault="00994AD8" w:rsidP="00994AD8">
      <w:pPr>
        <w:pStyle w:val="Heading5"/>
      </w:pPr>
      <w:r w:rsidRPr="004C6CF5">
        <w:t>Barriers and stigmas to care</w:t>
      </w:r>
    </w:p>
    <w:p w14:paraId="5EFFE239" w14:textId="3F4BBAA6" w:rsidR="00994AD8" w:rsidRPr="004D3024" w:rsidRDefault="00994AD8" w:rsidP="00994AD8">
      <w:pPr>
        <w:rPr>
          <w:rFonts w:cs="Calibri"/>
        </w:rPr>
      </w:pPr>
      <w:r w:rsidRPr="004D3024">
        <w:rPr>
          <w:lang w:val="en-US" w:eastAsia="en-AU"/>
        </w:rPr>
        <w:t xml:space="preserve">Participants were asked to rate the degree to which a list of </w:t>
      </w:r>
      <w:r>
        <w:rPr>
          <w:lang w:val="en-US" w:eastAsia="en-AU"/>
        </w:rPr>
        <w:t>‘</w:t>
      </w:r>
      <w:r w:rsidRPr="004D3024">
        <w:rPr>
          <w:lang w:val="en-US" w:eastAsia="en-AU"/>
        </w:rPr>
        <w:t>concerns</w:t>
      </w:r>
      <w:r>
        <w:rPr>
          <w:lang w:val="en-US" w:eastAsia="en-AU"/>
        </w:rPr>
        <w:t>’</w:t>
      </w:r>
      <w:r w:rsidRPr="004D3024">
        <w:rPr>
          <w:lang w:val="en-US" w:eastAsia="en-AU"/>
        </w:rPr>
        <w:t xml:space="preserve"> might affect their decision to seek help on a 5-point scale. Anchors ranged from ‘strongly disagree’ to ‘strongly agree’. </w:t>
      </w:r>
      <w:r w:rsidRPr="004D3024">
        <w:rPr>
          <w:rFonts w:cs="Calibri"/>
        </w:rPr>
        <w:t>Responses were then dichotomised to ‘agre</w:t>
      </w:r>
      <w:r>
        <w:rPr>
          <w:rFonts w:cs="Calibri"/>
        </w:rPr>
        <w:t>e’ vs ‘uncertain/disagree’ and</w:t>
      </w:r>
      <w:r w:rsidRPr="004D3024">
        <w:rPr>
          <w:rFonts w:cs="Calibri"/>
        </w:rPr>
        <w:t xml:space="preserve"> summed to create a stigma count variable. </w:t>
      </w:r>
      <w:r w:rsidRPr="004D3024">
        <w:rPr>
          <w:lang w:val="en-US" w:eastAsia="en-AU"/>
        </w:rPr>
        <w:t xml:space="preserve">Items in this section were taken from the 2010 Mental Health Prevalence Wellbeing Study </w:t>
      </w:r>
      <w:r>
        <w:rPr>
          <w:noProof/>
          <w:lang w:val="en-US" w:eastAsia="en-AU"/>
        </w:rPr>
        <w:t xml:space="preserve">(McFarlane, </w:t>
      </w:r>
      <w:r w:rsidRPr="00B41BE0">
        <w:rPr>
          <w:noProof/>
        </w:rPr>
        <w:t>Lawrence-Wood, Van Hooff, Malhi</w:t>
      </w:r>
      <w:r>
        <w:rPr>
          <w:noProof/>
        </w:rPr>
        <w:t>, &amp;</w:t>
      </w:r>
      <w:r w:rsidRPr="00B41BE0">
        <w:rPr>
          <w:noProof/>
        </w:rPr>
        <w:t xml:space="preserve"> Yehuda</w:t>
      </w:r>
      <w:r>
        <w:rPr>
          <w:noProof/>
          <w:lang w:val="en-US" w:eastAsia="en-AU"/>
        </w:rPr>
        <w:t>, 2011)</w:t>
      </w:r>
      <w:r w:rsidRPr="004D3024">
        <w:rPr>
          <w:lang w:val="en-US" w:eastAsia="en-AU"/>
        </w:rPr>
        <w:t xml:space="preserve">, the Canadian Air Forces Recruit Mental Health Service Use Questionnaire </w:t>
      </w:r>
      <w:r>
        <w:rPr>
          <w:noProof/>
          <w:lang w:val="en-US" w:eastAsia="en-AU"/>
        </w:rPr>
        <w:t xml:space="preserve">(Fikretoglu, </w:t>
      </w:r>
      <w:r w:rsidRPr="00B41BE0">
        <w:rPr>
          <w:noProof/>
        </w:rPr>
        <w:t>Blais</w:t>
      </w:r>
      <w:r>
        <w:rPr>
          <w:noProof/>
        </w:rPr>
        <w:t>, &amp;</w:t>
      </w:r>
      <w:r w:rsidRPr="00B41BE0">
        <w:rPr>
          <w:noProof/>
        </w:rPr>
        <w:t xml:space="preserve"> Lam</w:t>
      </w:r>
      <w:r>
        <w:rPr>
          <w:noProof/>
          <w:lang w:val="en-US" w:eastAsia="en-AU"/>
        </w:rPr>
        <w:t>, 2014)</w:t>
      </w:r>
      <w:r w:rsidRPr="004D3024">
        <w:rPr>
          <w:lang w:val="en-US" w:eastAsia="en-AU"/>
        </w:rPr>
        <w:t xml:space="preserve">, and the Solider Wellbeing Survey </w:t>
      </w:r>
      <w:r>
        <w:rPr>
          <w:noProof/>
          <w:lang w:val="en-US" w:eastAsia="en-AU"/>
        </w:rPr>
        <w:t xml:space="preserve">(Riviere, </w:t>
      </w:r>
      <w:r w:rsidRPr="00B41BE0">
        <w:rPr>
          <w:noProof/>
        </w:rPr>
        <w:t>Kendall-Robbins, McGurk, Castro</w:t>
      </w:r>
      <w:r w:rsidR="00222D54">
        <w:rPr>
          <w:noProof/>
        </w:rPr>
        <w:t>,</w:t>
      </w:r>
      <w:r>
        <w:rPr>
          <w:noProof/>
        </w:rPr>
        <w:t xml:space="preserve"> &amp; </w:t>
      </w:r>
      <w:r w:rsidRPr="00B41BE0">
        <w:rPr>
          <w:noProof/>
        </w:rPr>
        <w:t>Hoge</w:t>
      </w:r>
      <w:r>
        <w:rPr>
          <w:noProof/>
          <w:lang w:val="en-US" w:eastAsia="en-AU"/>
        </w:rPr>
        <w:t>, 2011; Thomas, 2010)</w:t>
      </w:r>
      <w:r>
        <w:rPr>
          <w:lang w:val="en-US" w:eastAsia="en-AU"/>
        </w:rPr>
        <w:t>,</w:t>
      </w:r>
      <w:r w:rsidRPr="004D3024">
        <w:rPr>
          <w:lang w:val="en-US" w:eastAsia="en-AU"/>
        </w:rPr>
        <w:t xml:space="preserve"> with several additions by investigators. </w:t>
      </w:r>
      <w:r w:rsidRPr="00076ED0">
        <w:rPr>
          <w:rFonts w:cs="Calibri"/>
        </w:rPr>
        <w:t xml:space="preserve">For the purpose of the current report, participants were categorised as having no barriers/no stigmas, or </w:t>
      </w:r>
      <w:r>
        <w:rPr>
          <w:rFonts w:cs="Calibri"/>
        </w:rPr>
        <w:t xml:space="preserve">one or </w:t>
      </w:r>
      <w:r w:rsidRPr="00076ED0">
        <w:rPr>
          <w:rFonts w:cs="Calibri"/>
        </w:rPr>
        <w:t>more barrier/stigma from the following list</w:t>
      </w:r>
      <w:r>
        <w:rPr>
          <w:rFonts w:cs="Calibri"/>
        </w:rPr>
        <w:t>, which was then used as a stratification variable.</w:t>
      </w:r>
    </w:p>
    <w:p w14:paraId="19968DD6" w14:textId="77777777" w:rsidR="00994AD8" w:rsidRPr="00994AD8" w:rsidRDefault="00994AD8" w:rsidP="00994AD8">
      <w:pPr>
        <w:pStyle w:val="Heading6"/>
      </w:pPr>
      <w:r w:rsidRPr="0067385C">
        <w:t>Stigmas</w:t>
      </w:r>
    </w:p>
    <w:p w14:paraId="3FCBF826" w14:textId="77777777" w:rsidR="00994AD8" w:rsidRPr="004D3024" w:rsidRDefault="00994AD8" w:rsidP="00994AD8">
      <w:r w:rsidRPr="004D3024">
        <w:t>Respondents were asked about the following stigmas that they may hold towards seeking help for a mental health condition:</w:t>
      </w:r>
    </w:p>
    <w:p w14:paraId="0EFBA67F" w14:textId="77777777" w:rsidR="00994AD8" w:rsidRPr="004D3024" w:rsidRDefault="00994AD8" w:rsidP="00C44855">
      <w:pPr>
        <w:pStyle w:val="Bullet"/>
        <w:numPr>
          <w:ilvl w:val="0"/>
          <w:numId w:val="3"/>
        </w:numPr>
        <w:spacing w:after="160"/>
        <w:ind w:left="360"/>
      </w:pPr>
      <w:r w:rsidRPr="004D3024">
        <w:t>I feel they wouldn’t understand problems related to my veteran and military experience</w:t>
      </w:r>
      <w:r>
        <w:t>.</w:t>
      </w:r>
    </w:p>
    <w:p w14:paraId="672EFDB2" w14:textId="77777777" w:rsidR="00994AD8" w:rsidRPr="004D3024" w:rsidRDefault="00994AD8" w:rsidP="00C44855">
      <w:pPr>
        <w:pStyle w:val="Bullet"/>
        <w:numPr>
          <w:ilvl w:val="0"/>
          <w:numId w:val="3"/>
        </w:numPr>
        <w:spacing w:after="160"/>
        <w:ind w:left="360"/>
      </w:pPr>
      <w:r w:rsidRPr="004D3024">
        <w:t>Most of what would happen if I sought treatment for a mental health issue would be beyond my control</w:t>
      </w:r>
      <w:r>
        <w:t>.</w:t>
      </w:r>
    </w:p>
    <w:p w14:paraId="10C79246" w14:textId="77777777" w:rsidR="00994AD8" w:rsidRPr="004D3024" w:rsidRDefault="00994AD8" w:rsidP="00C44855">
      <w:pPr>
        <w:pStyle w:val="Bullet"/>
        <w:numPr>
          <w:ilvl w:val="0"/>
          <w:numId w:val="3"/>
        </w:numPr>
        <w:spacing w:after="160"/>
        <w:ind w:left="360"/>
      </w:pPr>
      <w:r w:rsidRPr="004D3024">
        <w:t>I would feel inadequate if I went to a mental health professional for psychological help</w:t>
      </w:r>
      <w:r>
        <w:t>.</w:t>
      </w:r>
    </w:p>
    <w:p w14:paraId="53433D87" w14:textId="77777777" w:rsidR="00994AD8" w:rsidRPr="004D3024" w:rsidRDefault="00994AD8" w:rsidP="00C44855">
      <w:pPr>
        <w:pStyle w:val="Bullet"/>
        <w:numPr>
          <w:ilvl w:val="0"/>
          <w:numId w:val="3"/>
        </w:numPr>
        <w:spacing w:after="160"/>
        <w:ind w:left="360"/>
      </w:pPr>
      <w:r w:rsidRPr="004D3024">
        <w:t>I would feel embarrassed if I had a mental health problem</w:t>
      </w:r>
      <w:r>
        <w:t>.</w:t>
      </w:r>
    </w:p>
    <w:p w14:paraId="559C436D" w14:textId="77777777" w:rsidR="00994AD8" w:rsidRPr="004D3024" w:rsidRDefault="00994AD8" w:rsidP="00C44855">
      <w:pPr>
        <w:pStyle w:val="Bullet"/>
        <w:numPr>
          <w:ilvl w:val="0"/>
          <w:numId w:val="3"/>
        </w:numPr>
        <w:spacing w:after="160"/>
        <w:ind w:left="360"/>
      </w:pPr>
      <w:r w:rsidRPr="004D3024">
        <w:t>I would feel worse about myself if I could not solve my own problems</w:t>
      </w:r>
      <w:r>
        <w:t>.</w:t>
      </w:r>
    </w:p>
    <w:p w14:paraId="66D38F34" w14:textId="77777777" w:rsidR="00994AD8" w:rsidRPr="004D3024" w:rsidRDefault="00994AD8" w:rsidP="00C44855">
      <w:pPr>
        <w:pStyle w:val="Bullet"/>
        <w:numPr>
          <w:ilvl w:val="0"/>
          <w:numId w:val="3"/>
        </w:numPr>
        <w:spacing w:after="160"/>
        <w:ind w:left="360"/>
      </w:pPr>
      <w:r w:rsidRPr="004D3024">
        <w:t>People with a mental health problem could snap out of it if they wanted to</w:t>
      </w:r>
      <w:r>
        <w:t>.</w:t>
      </w:r>
    </w:p>
    <w:p w14:paraId="5D29993A" w14:textId="77777777" w:rsidR="00994AD8" w:rsidRPr="004D3024" w:rsidRDefault="00994AD8" w:rsidP="00C44855">
      <w:pPr>
        <w:pStyle w:val="Bullet"/>
        <w:numPr>
          <w:ilvl w:val="0"/>
          <w:numId w:val="3"/>
        </w:numPr>
        <w:spacing w:after="160"/>
        <w:ind w:left="360"/>
      </w:pPr>
      <w:r w:rsidRPr="004D3024">
        <w:t>If I sought mental health treatment from a professional, I might feel worse</w:t>
      </w:r>
      <w:r>
        <w:t>.</w:t>
      </w:r>
    </w:p>
    <w:p w14:paraId="1FE83005" w14:textId="77777777" w:rsidR="00994AD8" w:rsidRPr="004D3024" w:rsidRDefault="00994AD8" w:rsidP="00C44855">
      <w:pPr>
        <w:pStyle w:val="Bullet"/>
        <w:numPr>
          <w:ilvl w:val="0"/>
          <w:numId w:val="3"/>
        </w:numPr>
        <w:spacing w:after="160"/>
        <w:ind w:left="360"/>
      </w:pPr>
      <w:r w:rsidRPr="004D3024">
        <w:t>I would worry that seeking treatment might lead to me losing control of my emotions or reactions</w:t>
      </w:r>
      <w:r>
        <w:t>.</w:t>
      </w:r>
    </w:p>
    <w:p w14:paraId="29870383" w14:textId="77777777" w:rsidR="00994AD8" w:rsidRDefault="00994AD8" w:rsidP="00C44855">
      <w:pPr>
        <w:pStyle w:val="Bullet"/>
        <w:numPr>
          <w:ilvl w:val="0"/>
          <w:numId w:val="3"/>
        </w:numPr>
        <w:spacing w:after="160"/>
        <w:ind w:left="360"/>
      </w:pPr>
      <w:r w:rsidRPr="004D3024">
        <w:t>People would treat me differently</w:t>
      </w:r>
      <w:r>
        <w:t>.</w:t>
      </w:r>
    </w:p>
    <w:p w14:paraId="3B9E8E4F" w14:textId="77777777" w:rsidR="00994AD8" w:rsidRDefault="00994AD8" w:rsidP="00C44855">
      <w:pPr>
        <w:pStyle w:val="Bullet"/>
        <w:numPr>
          <w:ilvl w:val="0"/>
          <w:numId w:val="3"/>
        </w:numPr>
        <w:spacing w:after="160"/>
        <w:ind w:left="360"/>
      </w:pPr>
      <w:r w:rsidRPr="00076ED0">
        <w:t>I would be seen as weak</w:t>
      </w:r>
      <w:r>
        <w:t>.</w:t>
      </w:r>
    </w:p>
    <w:p w14:paraId="4CC63EBF" w14:textId="77777777" w:rsidR="00994AD8" w:rsidRPr="00076ED0" w:rsidRDefault="00994AD8" w:rsidP="00C44855">
      <w:pPr>
        <w:pStyle w:val="Bullet"/>
        <w:numPr>
          <w:ilvl w:val="0"/>
          <w:numId w:val="3"/>
        </w:numPr>
        <w:spacing w:after="160"/>
        <w:ind w:left="360"/>
      </w:pPr>
      <w:r w:rsidRPr="00076ED0">
        <w:t>People might have less confidence in me</w:t>
      </w:r>
      <w:r>
        <w:t>.</w:t>
      </w:r>
    </w:p>
    <w:p w14:paraId="6C61FB41" w14:textId="77777777" w:rsidR="00994AD8" w:rsidRDefault="00994AD8" w:rsidP="00994AD8">
      <w:pPr>
        <w:pStyle w:val="Bullet"/>
        <w:numPr>
          <w:ilvl w:val="0"/>
          <w:numId w:val="3"/>
        </w:numPr>
        <w:ind w:left="360"/>
      </w:pPr>
      <w:r w:rsidRPr="004D3024">
        <w:t>I don’t trust Mental Health Professionals</w:t>
      </w:r>
      <w:r>
        <w:t>.</w:t>
      </w:r>
    </w:p>
    <w:p w14:paraId="05F0CC9A" w14:textId="77777777" w:rsidR="00994AD8" w:rsidRPr="0091297A" w:rsidRDefault="00994AD8" w:rsidP="00994AD8">
      <w:pPr>
        <w:pStyle w:val="Heading6"/>
      </w:pPr>
      <w:r w:rsidRPr="0091297A">
        <w:t>Barriers</w:t>
      </w:r>
    </w:p>
    <w:p w14:paraId="01E5D749" w14:textId="77777777" w:rsidR="00994AD8" w:rsidRPr="004D3024" w:rsidRDefault="00994AD8" w:rsidP="00994AD8">
      <w:r w:rsidRPr="004D3024">
        <w:t xml:space="preserve">Respondents were also asked about the following barriers that they may hold towards seeking help for a mental health condition: </w:t>
      </w:r>
    </w:p>
    <w:p w14:paraId="6980CCDB" w14:textId="77777777" w:rsidR="00994AD8" w:rsidRPr="00E96ACE" w:rsidRDefault="00994AD8" w:rsidP="00C44855">
      <w:pPr>
        <w:pStyle w:val="Bullet"/>
        <w:numPr>
          <w:ilvl w:val="0"/>
          <w:numId w:val="3"/>
        </w:numPr>
        <w:spacing w:after="160"/>
        <w:ind w:left="360"/>
      </w:pPr>
      <w:r w:rsidRPr="00E96ACE">
        <w:t>It is too expensive</w:t>
      </w:r>
      <w:r>
        <w:t>.</w:t>
      </w:r>
      <w:r w:rsidRPr="00E96ACE">
        <w:t xml:space="preserve"> </w:t>
      </w:r>
    </w:p>
    <w:p w14:paraId="0D3FD664" w14:textId="77777777" w:rsidR="00994AD8" w:rsidRPr="00E96ACE" w:rsidRDefault="00994AD8" w:rsidP="00C44855">
      <w:pPr>
        <w:pStyle w:val="Bullet"/>
        <w:numPr>
          <w:ilvl w:val="0"/>
          <w:numId w:val="3"/>
        </w:numPr>
        <w:spacing w:after="160"/>
        <w:ind w:left="360"/>
      </w:pPr>
      <w:r w:rsidRPr="00E96ACE">
        <w:t>I wouldn’t know where to get help</w:t>
      </w:r>
      <w:r>
        <w:t>.</w:t>
      </w:r>
    </w:p>
    <w:p w14:paraId="651062DD" w14:textId="77777777" w:rsidR="00994AD8" w:rsidRPr="00E96ACE" w:rsidRDefault="00994AD8" w:rsidP="00C44855">
      <w:pPr>
        <w:pStyle w:val="Bullet"/>
        <w:numPr>
          <w:ilvl w:val="0"/>
          <w:numId w:val="3"/>
        </w:numPr>
        <w:spacing w:after="160"/>
        <w:ind w:left="360"/>
      </w:pPr>
      <w:r w:rsidRPr="00E96ACE">
        <w:t>I would have difficulty getting time off work</w:t>
      </w:r>
      <w:r>
        <w:t>.</w:t>
      </w:r>
    </w:p>
    <w:p w14:paraId="40AD9C64" w14:textId="77777777" w:rsidR="00994AD8" w:rsidRPr="00E96ACE" w:rsidRDefault="00994AD8" w:rsidP="00C44855">
      <w:pPr>
        <w:pStyle w:val="Bullet"/>
        <w:numPr>
          <w:ilvl w:val="0"/>
          <w:numId w:val="3"/>
        </w:numPr>
        <w:spacing w:after="160"/>
        <w:ind w:left="360"/>
      </w:pPr>
      <w:r w:rsidRPr="00E96ACE">
        <w:t>It would harm my career/career prospects</w:t>
      </w:r>
      <w:r>
        <w:t>.</w:t>
      </w:r>
    </w:p>
    <w:p w14:paraId="5F557594" w14:textId="77777777" w:rsidR="00994AD8" w:rsidRPr="00E96ACE" w:rsidRDefault="00994AD8" w:rsidP="00C44855">
      <w:pPr>
        <w:pStyle w:val="Bullet"/>
        <w:numPr>
          <w:ilvl w:val="0"/>
          <w:numId w:val="3"/>
        </w:numPr>
        <w:spacing w:after="160"/>
        <w:ind w:left="360"/>
      </w:pPr>
      <w:r w:rsidRPr="00E96ACE">
        <w:t>It would stop me from being deployed</w:t>
      </w:r>
      <w:r>
        <w:t>.</w:t>
      </w:r>
    </w:p>
    <w:p w14:paraId="6C8C9304" w14:textId="77777777" w:rsidR="00994AD8" w:rsidRPr="00E96ACE" w:rsidRDefault="00994AD8" w:rsidP="00994AD8">
      <w:pPr>
        <w:pStyle w:val="Bullet"/>
        <w:numPr>
          <w:ilvl w:val="0"/>
          <w:numId w:val="3"/>
        </w:numPr>
        <w:ind w:left="360"/>
      </w:pPr>
      <w:r w:rsidRPr="00E96ACE">
        <w:t>It would be difficult to get an appointment</w:t>
      </w:r>
      <w:r>
        <w:t>.</w:t>
      </w:r>
    </w:p>
    <w:p w14:paraId="67F10201" w14:textId="77777777" w:rsidR="00994AD8" w:rsidRPr="00474275" w:rsidRDefault="00994AD8" w:rsidP="00994AD8">
      <w:pPr>
        <w:pStyle w:val="Heading4"/>
      </w:pPr>
      <w:r w:rsidRPr="0091297A">
        <w:t>Probable disorder</w:t>
      </w:r>
    </w:p>
    <w:p w14:paraId="23E6BC74" w14:textId="77777777" w:rsidR="00994AD8" w:rsidRPr="0091297A" w:rsidRDefault="00994AD8" w:rsidP="00994AD8">
      <w:pPr>
        <w:pStyle w:val="Heading5"/>
      </w:pPr>
      <w:r w:rsidRPr="0091297A">
        <w:rPr>
          <w:lang w:eastAsia="en-AU"/>
        </w:rPr>
        <w:t>Posttraumatic Stress Disorder Checklist – civilian version (PCL-C)</w:t>
      </w:r>
    </w:p>
    <w:p w14:paraId="65D86AAE" w14:textId="127BC942" w:rsidR="00994AD8" w:rsidRPr="005F6F47" w:rsidRDefault="00994AD8" w:rsidP="00994AD8">
      <w:pPr>
        <w:rPr>
          <w:rFonts w:cs="Calibri"/>
        </w:rPr>
      </w:pPr>
      <w:r w:rsidRPr="006636DC">
        <w:rPr>
          <w:rFonts w:cs="Calibri"/>
        </w:rPr>
        <w:t>The Post</w:t>
      </w:r>
      <w:r>
        <w:rPr>
          <w:rFonts w:cs="Calibri"/>
        </w:rPr>
        <w:t>t</w:t>
      </w:r>
      <w:r w:rsidRPr="006636DC">
        <w:rPr>
          <w:rFonts w:cs="Calibri"/>
        </w:rPr>
        <w:t>raumatic Stress Disorder Checklist</w:t>
      </w:r>
      <w:r>
        <w:rPr>
          <w:rFonts w:cs="Calibri"/>
        </w:rPr>
        <w:t xml:space="preserve"> –</w:t>
      </w:r>
      <w:r w:rsidRPr="006636DC">
        <w:rPr>
          <w:rFonts w:cs="Calibri"/>
        </w:rPr>
        <w:t xml:space="preserve"> Civilian vers</w:t>
      </w:r>
      <w:r>
        <w:rPr>
          <w:rFonts w:cs="Calibri"/>
        </w:rPr>
        <w:t>i</w:t>
      </w:r>
      <w:r w:rsidRPr="006636DC">
        <w:rPr>
          <w:rFonts w:cs="Calibri"/>
        </w:rPr>
        <w:t xml:space="preserve">on (PCL-C) </w:t>
      </w:r>
      <w:r>
        <w:rPr>
          <w:rFonts w:cs="Calibri"/>
          <w:noProof/>
        </w:rPr>
        <w:t xml:space="preserve">(Weathers, </w:t>
      </w:r>
      <w:r w:rsidRPr="00B41BE0">
        <w:rPr>
          <w:noProof/>
        </w:rPr>
        <w:t>Litz, Herman, Huska</w:t>
      </w:r>
      <w:r w:rsidR="00222D54">
        <w:rPr>
          <w:noProof/>
        </w:rPr>
        <w:t>,</w:t>
      </w:r>
      <w:r>
        <w:rPr>
          <w:noProof/>
        </w:rPr>
        <w:t xml:space="preserve"> &amp;</w:t>
      </w:r>
      <w:r w:rsidRPr="00B41BE0">
        <w:rPr>
          <w:noProof/>
        </w:rPr>
        <w:t xml:space="preserve"> Keane</w:t>
      </w:r>
      <w:r>
        <w:rPr>
          <w:rFonts w:cs="Calibri"/>
          <w:noProof/>
        </w:rPr>
        <w:t>, 1993)</w:t>
      </w:r>
      <w:r w:rsidRPr="006636DC">
        <w:rPr>
          <w:rFonts w:cs="Calibri"/>
        </w:rPr>
        <w:t xml:space="preserve"> was used to examine symptoms of posttraumatic stress in the past month. The PCL-C is a 17</w:t>
      </w:r>
      <w:r>
        <w:rPr>
          <w:rFonts w:cs="Calibri"/>
        </w:rPr>
        <w:t>-</w:t>
      </w:r>
      <w:r w:rsidRPr="006636DC">
        <w:rPr>
          <w:rFonts w:cs="Calibri"/>
        </w:rPr>
        <w:t xml:space="preserve">item self-report measure designed to assess the symptomatic criteria of PTSD according to the </w:t>
      </w:r>
      <w:r w:rsidRPr="00677B24">
        <w:rPr>
          <w:rFonts w:cs="Calibri"/>
          <w:i/>
        </w:rPr>
        <w:t>Diagnostic and Statistical Manual of Mental Disorders</w:t>
      </w:r>
      <w:r w:rsidRPr="006636DC">
        <w:rPr>
          <w:rFonts w:cs="Calibri"/>
        </w:rPr>
        <w:t xml:space="preserve">, </w:t>
      </w:r>
      <w:r>
        <w:rPr>
          <w:rFonts w:cs="Calibri"/>
        </w:rPr>
        <w:t>F</w:t>
      </w:r>
      <w:r w:rsidRPr="006636DC">
        <w:rPr>
          <w:rFonts w:cs="Calibri"/>
        </w:rPr>
        <w:t xml:space="preserve">ourth </w:t>
      </w:r>
      <w:r>
        <w:rPr>
          <w:rFonts w:cs="Calibri"/>
        </w:rPr>
        <w:t>E</w:t>
      </w:r>
      <w:r w:rsidRPr="006636DC">
        <w:rPr>
          <w:rFonts w:cs="Calibri"/>
        </w:rPr>
        <w:t xml:space="preserve">dition (DSM-IV). The 17 questions of the PCL-C are scored from 1 to 5 and are summed to give a total symptom severity score of between 17 and 85. An additional </w:t>
      </w:r>
      <w:r w:rsidR="00212207">
        <w:rPr>
          <w:rFonts w:cs="Calibri"/>
        </w:rPr>
        <w:t>four</w:t>
      </w:r>
      <w:r w:rsidRPr="006636DC">
        <w:rPr>
          <w:rFonts w:cs="Calibri"/>
        </w:rPr>
        <w:t xml:space="preserve"> items from the newly released PCL-5 were also included</w:t>
      </w:r>
      <w:r>
        <w:rPr>
          <w:rFonts w:cs="Calibri"/>
        </w:rPr>
        <w:t>.</w:t>
      </w:r>
      <w:r w:rsidRPr="006636DC">
        <w:rPr>
          <w:rFonts w:cs="Calibri"/>
        </w:rPr>
        <w:t xml:space="preserve"> </w:t>
      </w:r>
      <w:r>
        <w:rPr>
          <w:rFonts w:cs="Calibri"/>
        </w:rPr>
        <w:t xml:space="preserve">For the purpose of this report </w:t>
      </w:r>
      <w:r w:rsidRPr="00AA7D98">
        <w:rPr>
          <w:rFonts w:cs="Calibri"/>
        </w:rPr>
        <w:t xml:space="preserve">an optimal screening cut-off of 29 </w:t>
      </w:r>
      <w:r>
        <w:rPr>
          <w:rFonts w:cs="Calibri"/>
        </w:rPr>
        <w:t>(</w:t>
      </w:r>
      <w:r w:rsidR="007155C2">
        <w:rPr>
          <w:rFonts w:cs="Calibri"/>
        </w:rPr>
        <w:t>subsyndromal</w:t>
      </w:r>
      <w:r>
        <w:rPr>
          <w:rFonts w:cs="Calibri"/>
        </w:rPr>
        <w:t xml:space="preserve"> disorder) </w:t>
      </w:r>
      <w:r w:rsidRPr="00AA7D98">
        <w:rPr>
          <w:rFonts w:cs="Calibri"/>
        </w:rPr>
        <w:t xml:space="preserve">and an optimal epidemiological cut-off of 53 </w:t>
      </w:r>
      <w:r>
        <w:rPr>
          <w:rFonts w:cs="Calibri"/>
        </w:rPr>
        <w:t xml:space="preserve">(probable disorder) </w:t>
      </w:r>
      <w:r w:rsidRPr="00AA7D98">
        <w:rPr>
          <w:rFonts w:cs="Calibri"/>
        </w:rPr>
        <w:t>w</w:t>
      </w:r>
      <w:r>
        <w:rPr>
          <w:rFonts w:cs="Calibri"/>
        </w:rPr>
        <w:t>ere</w:t>
      </w:r>
      <w:r w:rsidRPr="00AA7D98">
        <w:rPr>
          <w:rFonts w:cs="Calibri"/>
        </w:rPr>
        <w:t xml:space="preserve"> used. These cut-offs were derived from the 2010 Regular ADF Mental Health Prevalence and Wellbeing Study.</w:t>
      </w:r>
    </w:p>
    <w:p w14:paraId="3A818C6C" w14:textId="77777777" w:rsidR="00994AD8" w:rsidRPr="0091297A" w:rsidRDefault="00994AD8" w:rsidP="00994AD8">
      <w:pPr>
        <w:pStyle w:val="Heading5"/>
      </w:pPr>
      <w:r w:rsidRPr="0091297A">
        <w:t>The Kessler Psychological Distress Scale (K10)</w:t>
      </w:r>
    </w:p>
    <w:p w14:paraId="16F4E4B4" w14:textId="77777777" w:rsidR="00994AD8" w:rsidRPr="00AA7D98" w:rsidRDefault="00994AD8" w:rsidP="00994AD8">
      <w:r w:rsidRPr="006636DC">
        <w:t xml:space="preserve">The Kessler Psychological Distress Scale (K10) </w:t>
      </w:r>
      <w:r>
        <w:rPr>
          <w:noProof/>
        </w:rPr>
        <w:t>(Kessler et al., 2002)</w:t>
      </w:r>
      <w:r w:rsidRPr="006636DC">
        <w:t xml:space="preserve"> was used to measure psychological distress. The K10 </w:t>
      </w:r>
      <w:r>
        <w:rPr>
          <w:noProof/>
        </w:rPr>
        <w:t>(Kessler et al., 2002)</w:t>
      </w:r>
      <w:r w:rsidRPr="006636DC">
        <w:t xml:space="preserve"> is a short 10-item screening questionnaire that yields a global measure of psychological distress based on symptoms of anxiety and depression experienced in the most recent </w:t>
      </w:r>
      <w:r>
        <w:t>four-</w:t>
      </w:r>
      <w:r w:rsidRPr="006636DC">
        <w:t xml:space="preserve">week period. Items are scored from 1 to 5 and are summed to give a total score between 10 and 50. </w:t>
      </w:r>
      <w:r>
        <w:t>Two</w:t>
      </w:r>
      <w:r w:rsidRPr="00AA7D98">
        <w:t xml:space="preserve"> sets of cut-offs derived from the 2010 Regular ADF Mental Health Prevalence and Wellbeing study were utilised in this section of the report.</w:t>
      </w:r>
    </w:p>
    <w:p w14:paraId="4BF67C38" w14:textId="77777777" w:rsidR="00994AD8" w:rsidRPr="005F6F47" w:rsidRDefault="00994AD8" w:rsidP="00994AD8">
      <w:r w:rsidRPr="00AA7D98">
        <w:t>Psychometric analysis of the K10 indicated different optimal screening cut-offs for affective disorder (19) and anxiety disorder (17)</w:t>
      </w:r>
      <w:r>
        <w:t xml:space="preserve"> </w:t>
      </w:r>
      <w:r>
        <w:rPr>
          <w:noProof/>
        </w:rPr>
        <w:t>(McFarlane et al., 2011)</w:t>
      </w:r>
      <w:r>
        <w:t>.</w:t>
      </w:r>
      <w:r w:rsidRPr="00AA7D98">
        <w:t xml:space="preserve"> </w:t>
      </w:r>
      <w:r>
        <w:t>To</w:t>
      </w:r>
      <w:r w:rsidRPr="00AA7D98">
        <w:t xml:space="preserve"> effectively capture both disorders, the conservative optimal screening cut-off of 17 was used. This cut-off can be used to identify individuals who might need care</w:t>
      </w:r>
      <w:r>
        <w:t xml:space="preserve"> (</w:t>
      </w:r>
      <w:r w:rsidR="007155C2">
        <w:t>subsyndromal</w:t>
      </w:r>
      <w:r>
        <w:t xml:space="preserve"> disorder)</w:t>
      </w:r>
      <w:r w:rsidRPr="00AA7D98">
        <w:t xml:space="preserve">. To ascertain the level of probable </w:t>
      </w:r>
      <w:r>
        <w:t xml:space="preserve">affective and/or anxiety </w:t>
      </w:r>
      <w:r w:rsidRPr="00AA7D98">
        <w:t>disorder in the population, a more stringent epidemiological cut-off of 25 was applied</w:t>
      </w:r>
      <w:r>
        <w:t xml:space="preserve"> (probable disorder). </w:t>
      </w:r>
    </w:p>
    <w:p w14:paraId="4A085E57" w14:textId="77777777" w:rsidR="00994AD8" w:rsidRPr="0091297A" w:rsidRDefault="00994AD8" w:rsidP="00994AD8">
      <w:pPr>
        <w:pStyle w:val="Heading5"/>
      </w:pPr>
      <w:r w:rsidRPr="0091297A">
        <w:rPr>
          <w:lang w:eastAsia="en-AU"/>
        </w:rPr>
        <w:t>Alcohol Use Disorders Identification Test (AUDIT)</w:t>
      </w:r>
    </w:p>
    <w:p w14:paraId="3E17FBF5" w14:textId="38659640" w:rsidR="00994AD8" w:rsidRDefault="00994AD8" w:rsidP="00994AD8">
      <w:pPr>
        <w:rPr>
          <w:rFonts w:cs="Calibri"/>
        </w:rPr>
      </w:pPr>
      <w:r w:rsidRPr="005F6F47">
        <w:rPr>
          <w:rFonts w:cs="Calibri"/>
        </w:rPr>
        <w:t xml:space="preserve">The Alcohol Use Disorders Identification Test (AUDIT) </w:t>
      </w:r>
      <w:r>
        <w:rPr>
          <w:rFonts w:cs="Calibri"/>
          <w:noProof/>
        </w:rPr>
        <w:t xml:space="preserve">(Saunders, </w:t>
      </w:r>
      <w:r w:rsidRPr="00B41BE0">
        <w:rPr>
          <w:noProof/>
        </w:rPr>
        <w:t>Aasland, Babor, de la Fuente</w:t>
      </w:r>
      <w:r w:rsidR="00222D54">
        <w:rPr>
          <w:noProof/>
        </w:rPr>
        <w:t>,</w:t>
      </w:r>
      <w:r>
        <w:rPr>
          <w:noProof/>
        </w:rPr>
        <w:t xml:space="preserve"> &amp;</w:t>
      </w:r>
      <w:r w:rsidRPr="00B41BE0">
        <w:rPr>
          <w:noProof/>
        </w:rPr>
        <w:t xml:space="preserve"> Grant</w:t>
      </w:r>
      <w:r>
        <w:rPr>
          <w:rFonts w:cs="Calibri"/>
          <w:noProof/>
        </w:rPr>
        <w:t>, 1993)</w:t>
      </w:r>
      <w:r w:rsidRPr="005F6F47">
        <w:rPr>
          <w:rFonts w:cs="Calibri"/>
        </w:rPr>
        <w:t xml:space="preserve"> was used to examine at</w:t>
      </w:r>
      <w:r>
        <w:rPr>
          <w:rFonts w:cs="Calibri"/>
        </w:rPr>
        <w:t>-</w:t>
      </w:r>
      <w:r w:rsidRPr="005F6F47">
        <w:rPr>
          <w:rFonts w:cs="Calibri"/>
        </w:rPr>
        <w:t xml:space="preserve">risk patterns of drinking. The AUDIT is a brief self-report screening instrument developed by the World Health Organization. This instrument consists of 10 questions to examine the quantity and frequency of alcohol consumption, possible symptoms of dependence and reactions or problems related to alcohol. The AUDIT is widely used in epidemiological and clinical practice for defining at-risk patterns of drinking </w:t>
      </w:r>
      <w:r>
        <w:rPr>
          <w:rFonts w:cs="Calibri"/>
          <w:noProof/>
        </w:rPr>
        <w:t xml:space="preserve">(Babor, </w:t>
      </w:r>
      <w:r w:rsidRPr="00B41BE0">
        <w:rPr>
          <w:noProof/>
        </w:rPr>
        <w:t>Higgins-Biddle, Saunders</w:t>
      </w:r>
      <w:r w:rsidR="00222D54">
        <w:rPr>
          <w:noProof/>
        </w:rPr>
        <w:t>,</w:t>
      </w:r>
      <w:r>
        <w:rPr>
          <w:noProof/>
        </w:rPr>
        <w:t xml:space="preserve"> &amp;</w:t>
      </w:r>
      <w:r w:rsidRPr="00B41BE0">
        <w:rPr>
          <w:noProof/>
        </w:rPr>
        <w:t xml:space="preserve"> Monteiro</w:t>
      </w:r>
      <w:r>
        <w:rPr>
          <w:rFonts w:cs="Calibri"/>
          <w:noProof/>
        </w:rPr>
        <w:t>, 2001)</w:t>
      </w:r>
      <w:r w:rsidRPr="005F6F47">
        <w:rPr>
          <w:rFonts w:cs="Calibri"/>
        </w:rPr>
        <w:t xml:space="preserve">. </w:t>
      </w:r>
      <w:r w:rsidRPr="00C16265">
        <w:rPr>
          <w:rFonts w:cs="Calibri"/>
        </w:rPr>
        <w:t>Two additional supplementary items of the AUDIT were also included in the questionnaire as well as additional items on consumption to ensure comparability with the Australian National Health Survey 2011</w:t>
      </w:r>
      <w:r>
        <w:rPr>
          <w:rFonts w:cs="Calibri"/>
        </w:rPr>
        <w:t>–</w:t>
      </w:r>
      <w:r w:rsidRPr="00C16265">
        <w:rPr>
          <w:rFonts w:cs="Calibri"/>
        </w:rPr>
        <w:t xml:space="preserve">2012 </w:t>
      </w:r>
      <w:r>
        <w:rPr>
          <w:rFonts w:cs="Calibri"/>
          <w:noProof/>
        </w:rPr>
        <w:t>(Australian Bureau of Statistics, 2012)</w:t>
      </w:r>
      <w:r w:rsidRPr="00C16265">
        <w:rPr>
          <w:rFonts w:cs="Calibri"/>
        </w:rPr>
        <w:t>.</w:t>
      </w:r>
      <w:r w:rsidRPr="00C16265">
        <w:t xml:space="preserve"> </w:t>
      </w:r>
      <w:r>
        <w:rPr>
          <w:rFonts w:cs="Calibri"/>
        </w:rPr>
        <w:t>In this chapter the</w:t>
      </w:r>
      <w:r w:rsidRPr="00AA7D98">
        <w:rPr>
          <w:rFonts w:cs="Calibri"/>
        </w:rPr>
        <w:t xml:space="preserve"> optimal screening cut-off of 8</w:t>
      </w:r>
      <w:r>
        <w:rPr>
          <w:rFonts w:cs="Calibri"/>
        </w:rPr>
        <w:t xml:space="preserve"> (</w:t>
      </w:r>
      <w:r w:rsidR="007155C2">
        <w:rPr>
          <w:rFonts w:cs="Calibri"/>
        </w:rPr>
        <w:t>subsyndromal</w:t>
      </w:r>
      <w:r>
        <w:rPr>
          <w:rFonts w:cs="Calibri"/>
        </w:rPr>
        <w:t xml:space="preserve"> disorder)</w:t>
      </w:r>
      <w:r w:rsidRPr="00AA7D98">
        <w:rPr>
          <w:rFonts w:cs="Calibri"/>
        </w:rPr>
        <w:t xml:space="preserve"> and </w:t>
      </w:r>
      <w:r>
        <w:rPr>
          <w:rFonts w:cs="Calibri"/>
        </w:rPr>
        <w:t>the</w:t>
      </w:r>
      <w:r w:rsidRPr="00AA7D98">
        <w:rPr>
          <w:rFonts w:cs="Calibri"/>
        </w:rPr>
        <w:t xml:space="preserve"> optimal epidemiological cut-off of 20 </w:t>
      </w:r>
      <w:r>
        <w:rPr>
          <w:rFonts w:cs="Calibri"/>
        </w:rPr>
        <w:t xml:space="preserve">(probable disorder) </w:t>
      </w:r>
      <w:r w:rsidRPr="00AA7D98">
        <w:rPr>
          <w:rFonts w:cs="Calibri"/>
        </w:rPr>
        <w:t>w</w:t>
      </w:r>
      <w:r>
        <w:rPr>
          <w:rFonts w:cs="Calibri"/>
        </w:rPr>
        <w:t>ere</w:t>
      </w:r>
      <w:r w:rsidRPr="00AA7D98">
        <w:rPr>
          <w:rFonts w:cs="Calibri"/>
        </w:rPr>
        <w:t xml:space="preserve"> used. These cut-offs were derived from the 2010 Regular ADF Mental Health Prevalence and Wellbeing Study</w:t>
      </w:r>
      <w:r>
        <w:rPr>
          <w:rFonts w:cs="Calibri"/>
        </w:rPr>
        <w:t>.</w:t>
      </w:r>
    </w:p>
    <w:p w14:paraId="3929C35E" w14:textId="77777777" w:rsidR="00994AD8" w:rsidRPr="0091297A" w:rsidRDefault="00994AD8" w:rsidP="00994AD8">
      <w:pPr>
        <w:pStyle w:val="Heading5"/>
      </w:pPr>
      <w:r>
        <w:t>Patient Health Questionnaire-9</w:t>
      </w:r>
      <w:r w:rsidRPr="0091297A">
        <w:t xml:space="preserve"> (PHQ-9)</w:t>
      </w:r>
    </w:p>
    <w:p w14:paraId="1238AD11" w14:textId="321495FC" w:rsidR="00994AD8" w:rsidRPr="004C6CF5" w:rsidRDefault="00994AD8" w:rsidP="00994AD8">
      <w:pPr>
        <w:rPr>
          <w:rFonts w:cs="Calibri"/>
        </w:rPr>
      </w:pPr>
      <w:r w:rsidRPr="005F6F47">
        <w:rPr>
          <w:rFonts w:cs="Calibri"/>
        </w:rPr>
        <w:t xml:space="preserve">Self-reported depression was examined using the </w:t>
      </w:r>
      <w:r>
        <w:rPr>
          <w:rFonts w:cs="Calibri"/>
        </w:rPr>
        <w:t>Patient Health Questionnaire-9</w:t>
      </w:r>
      <w:r w:rsidRPr="005F6F47">
        <w:rPr>
          <w:rFonts w:cs="Calibri"/>
        </w:rPr>
        <w:t xml:space="preserve"> (PHQ</w:t>
      </w:r>
      <w:r>
        <w:rPr>
          <w:rFonts w:cs="Calibri"/>
        </w:rPr>
        <w:t>-</w:t>
      </w:r>
      <w:r w:rsidRPr="005F6F47">
        <w:rPr>
          <w:rFonts w:cs="Calibri"/>
        </w:rPr>
        <w:t>9)</w:t>
      </w:r>
      <w:r>
        <w:rPr>
          <w:rFonts w:cs="Calibri"/>
        </w:rPr>
        <w:t xml:space="preserve"> </w:t>
      </w:r>
      <w:r>
        <w:rPr>
          <w:rFonts w:cs="Calibri"/>
          <w:noProof/>
        </w:rPr>
        <w:t xml:space="preserve">(Kroenke, </w:t>
      </w:r>
      <w:r w:rsidRPr="00B41BE0">
        <w:rPr>
          <w:noProof/>
        </w:rPr>
        <w:t>Spitzer</w:t>
      </w:r>
      <w:r w:rsidR="00222D54">
        <w:rPr>
          <w:noProof/>
        </w:rPr>
        <w:t>,</w:t>
      </w:r>
      <w:r>
        <w:rPr>
          <w:noProof/>
        </w:rPr>
        <w:t xml:space="preserve"> &amp;</w:t>
      </w:r>
      <w:r w:rsidRPr="00B41BE0">
        <w:rPr>
          <w:noProof/>
        </w:rPr>
        <w:t xml:space="preserve"> Williams</w:t>
      </w:r>
      <w:r>
        <w:rPr>
          <w:rFonts w:cs="Calibri"/>
          <w:noProof/>
        </w:rPr>
        <w:t>, 2001)</w:t>
      </w:r>
      <w:r w:rsidRPr="005F6F47">
        <w:rPr>
          <w:rFonts w:cs="Calibri"/>
        </w:rPr>
        <w:t xml:space="preserve">. The </w:t>
      </w:r>
      <w:r w:rsidR="00212207">
        <w:rPr>
          <w:rFonts w:cs="Calibri"/>
        </w:rPr>
        <w:t>nine</w:t>
      </w:r>
      <w:r w:rsidRPr="005F6F47">
        <w:rPr>
          <w:rFonts w:cs="Calibri"/>
        </w:rPr>
        <w:t xml:space="preserve"> items of the PHQ</w:t>
      </w:r>
      <w:r>
        <w:rPr>
          <w:rFonts w:cs="Calibri"/>
        </w:rPr>
        <w:t>-</w:t>
      </w:r>
      <w:r w:rsidRPr="005F6F47">
        <w:rPr>
          <w:rFonts w:cs="Calibri"/>
        </w:rPr>
        <w:t>9 are scored from 0</w:t>
      </w:r>
      <w:r>
        <w:rPr>
          <w:rFonts w:cs="Calibri"/>
        </w:rPr>
        <w:t xml:space="preserve"> to </w:t>
      </w:r>
      <w:r w:rsidRPr="005F6F47">
        <w:rPr>
          <w:rFonts w:cs="Calibri"/>
        </w:rPr>
        <w:t>3 and summed to give a total score between 0 and 27. The PHQ</w:t>
      </w:r>
      <w:r>
        <w:rPr>
          <w:rFonts w:cs="Calibri"/>
        </w:rPr>
        <w:t>-</w:t>
      </w:r>
      <w:r w:rsidRPr="005F6F47">
        <w:rPr>
          <w:rFonts w:cs="Calibri"/>
        </w:rPr>
        <w:t>9 provides various levels of diagnostic severity</w:t>
      </w:r>
      <w:r>
        <w:rPr>
          <w:rFonts w:cs="Calibri"/>
        </w:rPr>
        <w:t>,</w:t>
      </w:r>
      <w:r w:rsidRPr="005F6F47">
        <w:rPr>
          <w:rFonts w:cs="Calibri"/>
        </w:rPr>
        <w:t xml:space="preserve"> with higher scores indicating higher levels of depression symptoms. </w:t>
      </w:r>
      <w:r>
        <w:rPr>
          <w:rFonts w:cs="Calibri"/>
        </w:rPr>
        <w:t xml:space="preserve">Two </w:t>
      </w:r>
      <w:r w:rsidRPr="00AA7D98">
        <w:rPr>
          <w:rFonts w:cs="Calibri"/>
        </w:rPr>
        <w:t>sets of cut-off values derived from the 2010 Regular ADF Mental Health Prevalence and Wellbeing study were used in this section of the report</w:t>
      </w:r>
      <w:r>
        <w:rPr>
          <w:rFonts w:cs="Calibri"/>
        </w:rPr>
        <w:t>:</w:t>
      </w:r>
      <w:r w:rsidRPr="00AA7D98">
        <w:rPr>
          <w:rFonts w:cs="Calibri"/>
        </w:rPr>
        <w:t xml:space="preserve"> an optimal epidemiological cut-off of 18 </w:t>
      </w:r>
      <w:r>
        <w:rPr>
          <w:rFonts w:cs="Calibri"/>
        </w:rPr>
        <w:t xml:space="preserve">(probable disorder) </w:t>
      </w:r>
      <w:r w:rsidRPr="00AA7D98">
        <w:rPr>
          <w:rFonts w:cs="Calibri"/>
        </w:rPr>
        <w:t>and an optimal screening cut-off of 6</w:t>
      </w:r>
      <w:r>
        <w:rPr>
          <w:rFonts w:cs="Calibri"/>
        </w:rPr>
        <w:t xml:space="preserve"> (</w:t>
      </w:r>
      <w:r w:rsidR="007155C2">
        <w:rPr>
          <w:rFonts w:cs="Calibri"/>
        </w:rPr>
        <w:t>subsyndromal</w:t>
      </w:r>
      <w:r>
        <w:rPr>
          <w:rFonts w:cs="Calibri"/>
        </w:rPr>
        <w:t xml:space="preserve"> disorder).</w:t>
      </w:r>
    </w:p>
    <w:p w14:paraId="23541655" w14:textId="77777777" w:rsidR="00994AD8" w:rsidRPr="0091297A" w:rsidRDefault="00994AD8" w:rsidP="00994AD8">
      <w:pPr>
        <w:pStyle w:val="Heading5"/>
      </w:pPr>
      <w:r w:rsidRPr="0091297A">
        <w:t xml:space="preserve">Generalised Anxiety Disorder </w:t>
      </w:r>
      <w:r>
        <w:t>–</w:t>
      </w:r>
      <w:r w:rsidRPr="0091297A">
        <w:t>7 (GAD-7)</w:t>
      </w:r>
    </w:p>
    <w:p w14:paraId="6BE97459" w14:textId="5ACAA462" w:rsidR="00994AD8" w:rsidRPr="004C6CF5" w:rsidRDefault="00994AD8" w:rsidP="00994AD8">
      <w:pPr>
        <w:rPr>
          <w:rFonts w:cs="Calibri"/>
        </w:rPr>
      </w:pPr>
      <w:r>
        <w:rPr>
          <w:rFonts w:cs="Calibri"/>
        </w:rPr>
        <w:t xml:space="preserve">Self-reported generalised anxiety disorder was examined using the Generalised Anxiety Disorder 7 (GAD-7) scale </w:t>
      </w:r>
      <w:r w:rsidRPr="005F6F47">
        <w:rPr>
          <w:rFonts w:cs="Calibri"/>
        </w:rPr>
        <w:t>(Spitzer</w:t>
      </w:r>
      <w:r>
        <w:rPr>
          <w:rFonts w:cs="Calibri"/>
        </w:rPr>
        <w:t xml:space="preserve">, </w:t>
      </w:r>
      <w:r w:rsidRPr="00B41BE0">
        <w:rPr>
          <w:noProof/>
        </w:rPr>
        <w:t>Kroenke, Williams</w:t>
      </w:r>
      <w:r>
        <w:rPr>
          <w:noProof/>
        </w:rPr>
        <w:t>, &amp;</w:t>
      </w:r>
      <w:r w:rsidRPr="00B41BE0">
        <w:rPr>
          <w:noProof/>
        </w:rPr>
        <w:t xml:space="preserve"> Lowe</w:t>
      </w:r>
      <w:r w:rsidRPr="005F6F47">
        <w:rPr>
          <w:rFonts w:cs="Calibri"/>
        </w:rPr>
        <w:t>, 2006)</w:t>
      </w:r>
      <w:r>
        <w:rPr>
          <w:rFonts w:cs="Calibri"/>
        </w:rPr>
        <w:t xml:space="preserve">. The GAD-7 </w:t>
      </w:r>
      <w:r w:rsidRPr="005F6F47">
        <w:rPr>
          <w:rFonts w:cs="Calibri"/>
        </w:rPr>
        <w:t xml:space="preserve">is a brief 7-item screening measure based on the </w:t>
      </w:r>
      <w:r w:rsidRPr="0016669C">
        <w:rPr>
          <w:rFonts w:cs="Calibri"/>
          <w:i/>
        </w:rPr>
        <w:t>Diagnostic and Statistical Manual of Mental Disorders</w:t>
      </w:r>
      <w:r>
        <w:rPr>
          <w:rFonts w:cs="Calibri"/>
        </w:rPr>
        <w:t>,</w:t>
      </w:r>
      <w:r w:rsidRPr="005F6F47">
        <w:rPr>
          <w:rFonts w:cs="Calibri"/>
        </w:rPr>
        <w:t xml:space="preserve"> Fourth Edition (DSM-IV) criteria for GAD. Originally validated for use in primary care, the GAD-7 performs well in detecting probable cases of GAD, with a sensitivity of 89% and a specificity of 82%. Furthermore, increasing scores of generalised anxiety symptoms are associated with multiple types of functional impairment and self-reported disability days; therefore, high scores are strongly indicative of anxiety severity. Respondents were instructed to rate the amount of time they experienced each of the seven symptoms </w:t>
      </w:r>
      <w:r>
        <w:rPr>
          <w:rFonts w:cs="Calibri"/>
        </w:rPr>
        <w:t xml:space="preserve">in </w:t>
      </w:r>
      <w:r w:rsidRPr="005F6F47">
        <w:rPr>
          <w:rFonts w:cs="Calibri"/>
        </w:rPr>
        <w:t xml:space="preserve">the </w:t>
      </w:r>
      <w:r>
        <w:rPr>
          <w:rFonts w:cs="Calibri"/>
        </w:rPr>
        <w:t>p</w:t>
      </w:r>
      <w:r w:rsidRPr="005F6F47">
        <w:rPr>
          <w:rFonts w:cs="Calibri"/>
        </w:rPr>
        <w:t xml:space="preserve">ast </w:t>
      </w:r>
      <w:r>
        <w:rPr>
          <w:rFonts w:cs="Calibri"/>
        </w:rPr>
        <w:t>two</w:t>
      </w:r>
      <w:r w:rsidRPr="005F6F47">
        <w:rPr>
          <w:rFonts w:cs="Calibri"/>
        </w:rPr>
        <w:t xml:space="preserve"> weeks, and questions were scored </w:t>
      </w:r>
      <w:r>
        <w:rPr>
          <w:rFonts w:cs="Calibri"/>
        </w:rPr>
        <w:t>0</w:t>
      </w:r>
      <w:r w:rsidRPr="005F6F47">
        <w:rPr>
          <w:rFonts w:cs="Calibri"/>
        </w:rPr>
        <w:t>–3. Respondents used one of the following response options: ‘not at all (0)’</w:t>
      </w:r>
      <w:r w:rsidR="00212207">
        <w:rPr>
          <w:rFonts w:cs="Calibri"/>
        </w:rPr>
        <w:t>,</w:t>
      </w:r>
      <w:r w:rsidRPr="005F6F47">
        <w:rPr>
          <w:rFonts w:cs="Calibri"/>
        </w:rPr>
        <w:t xml:space="preserve"> ‘several days’ (1), ‘more than half the days’ (2) and ‘nearly every day’ (3). Scores for the seven questions were then added up to give a total score of 0–21.</w:t>
      </w:r>
      <w:r>
        <w:rPr>
          <w:rFonts w:cs="Calibri"/>
        </w:rPr>
        <w:t xml:space="preserve"> The standard cut-off of 10 was used to denote probable generalised anxiety disorder. </w:t>
      </w:r>
    </w:p>
    <w:p w14:paraId="76216062" w14:textId="77777777" w:rsidR="00994AD8" w:rsidRPr="00AA2F46" w:rsidRDefault="00994AD8" w:rsidP="00994AD8">
      <w:pPr>
        <w:pStyle w:val="Heading5"/>
      </w:pPr>
      <w:r w:rsidRPr="00AA2F46">
        <w:t>Suicide</w:t>
      </w:r>
    </w:p>
    <w:p w14:paraId="797B78B9" w14:textId="77777777" w:rsidR="00994AD8" w:rsidRPr="005F6F47" w:rsidRDefault="00994AD8" w:rsidP="00994AD8">
      <w:r w:rsidRPr="00AA2F46">
        <w:t xml:space="preserve">12-month suicidal ideation and behaviour was assessed </w:t>
      </w:r>
      <w:r>
        <w:t>using</w:t>
      </w:r>
      <w:r w:rsidRPr="00AA2F46">
        <w:t xml:space="preserve"> four items that looked specifically at suicidal thoughts, plans and attempts. Three of the items in this section were adapted from the National Survey of Mental Health and Wellbeing </w:t>
      </w:r>
      <w:r w:rsidRPr="00AA2F46">
        <w:rPr>
          <w:noProof/>
        </w:rPr>
        <w:t>(Australian Bureau of Statistics, 2008)</w:t>
      </w:r>
      <w:r w:rsidRPr="00AA2F46">
        <w:t xml:space="preserve"> and the final item was devised by researchers for use in the current study.</w:t>
      </w:r>
      <w:r w:rsidRPr="00C16265">
        <w:t xml:space="preserve"> </w:t>
      </w:r>
    </w:p>
    <w:p w14:paraId="10D34B6B" w14:textId="77777777" w:rsidR="00994AD8" w:rsidRPr="007D2ECE" w:rsidRDefault="00994AD8" w:rsidP="00994AD8">
      <w:r w:rsidRPr="007D2ECE">
        <w:t xml:space="preserve">For the full methodology, including a comprehensive description of all the measures utilised in the survey, refer to </w:t>
      </w:r>
      <w:r w:rsidR="00374073">
        <w:rPr>
          <w:rFonts w:asciiTheme="minorHAnsi" w:hAnsiTheme="minorHAnsi" w:cs="Times"/>
        </w:rPr>
        <w:t>Annex </w:t>
      </w:r>
      <w:r w:rsidRPr="007D2ECE">
        <w:t>A or to individual chapters within the report.</w:t>
      </w:r>
    </w:p>
    <w:p w14:paraId="1501053E" w14:textId="77777777" w:rsidR="00FD3AB7" w:rsidRDefault="00FD3AB7" w:rsidP="00994AD8"/>
    <w:p w14:paraId="6332C5EE" w14:textId="77777777" w:rsidR="00994AD8" w:rsidRDefault="00994AD8" w:rsidP="00994AD8">
      <w:pPr>
        <w:sectPr w:rsidR="00994AD8" w:rsidSect="00FF5B5F">
          <w:footerReference w:type="even" r:id="rId34"/>
          <w:footerReference w:type="default" r:id="rId35"/>
          <w:type w:val="oddPage"/>
          <w:pgSz w:w="9979" w:h="14170" w:code="243"/>
          <w:pgMar w:top="1440" w:right="1152" w:bottom="1440" w:left="1728" w:header="576" w:footer="576" w:gutter="0"/>
          <w:cols w:space="708"/>
          <w:docGrid w:linePitch="360"/>
        </w:sectPr>
      </w:pPr>
    </w:p>
    <w:p w14:paraId="2DE03452" w14:textId="77777777" w:rsidR="00690E8D" w:rsidRDefault="00690E8D" w:rsidP="00690E8D">
      <w:pPr>
        <w:pStyle w:val="Heading1"/>
        <w:numPr>
          <w:ilvl w:val="0"/>
          <w:numId w:val="1"/>
        </w:numPr>
      </w:pPr>
      <w:bookmarkStart w:id="185" w:name="_Toc494449703"/>
      <w:bookmarkStart w:id="186" w:name="_Toc518566347"/>
      <w:bookmarkStart w:id="187" w:name="_Toc528932646"/>
      <w:bookmarkStart w:id="188" w:name="_Toc531859183"/>
      <w:r w:rsidRPr="005B0796">
        <w:t>Demographic characteristics in Transitioned ADF and 2015 Regular ADF</w:t>
      </w:r>
      <w:bookmarkEnd w:id="185"/>
      <w:bookmarkEnd w:id="186"/>
      <w:bookmarkEnd w:id="187"/>
      <w:bookmarkEnd w:id="188"/>
    </w:p>
    <w:p w14:paraId="0D44071B" w14:textId="77777777" w:rsidR="00690E8D" w:rsidRPr="00D4741B" w:rsidRDefault="00690E8D" w:rsidP="00690E8D">
      <w:pPr>
        <w:pStyle w:val="ShadedBoxSubheading"/>
      </w:pPr>
      <w:r w:rsidRPr="00D4741B">
        <w:t xml:space="preserve">Transitioned ADF </w:t>
      </w:r>
    </w:p>
    <w:p w14:paraId="05D15E12" w14:textId="77777777" w:rsidR="00690E8D" w:rsidRPr="00CC1D41" w:rsidRDefault="00690E8D" w:rsidP="00133458">
      <w:pPr>
        <w:pStyle w:val="ShadedBullet"/>
      </w:pPr>
      <w:r w:rsidRPr="00CC1D41">
        <w:t>More than half of Transitioned ADF members remained in the ADF as Reservists (55.8%). Active Reservists</w:t>
      </w:r>
      <w:r>
        <w:t xml:space="preserve"> made up </w:t>
      </w:r>
      <w:r w:rsidRPr="00CC1D41">
        <w:t>25.7%.</w:t>
      </w:r>
    </w:p>
    <w:p w14:paraId="4C12820D" w14:textId="77777777" w:rsidR="00690E8D" w:rsidRPr="00CC1D41" w:rsidRDefault="00690E8D" w:rsidP="00133458">
      <w:pPr>
        <w:pStyle w:val="ShadedBullet"/>
      </w:pPr>
      <w:r w:rsidRPr="00CC1D41">
        <w:t>The majority of Transitioned ADF members had left full-time service between one and three years prior, with the smallest proportion leaving less than 12 months prior.</w:t>
      </w:r>
    </w:p>
    <w:p w14:paraId="7D13F852" w14:textId="77777777" w:rsidR="00690E8D" w:rsidRPr="00CC1D41" w:rsidRDefault="00690E8D" w:rsidP="00133458">
      <w:pPr>
        <w:pStyle w:val="ShadedBullet"/>
      </w:pPr>
      <w:r w:rsidRPr="00CC1D41">
        <w:t>The most commonly reported reason for leaving was ‘own request’, which was the case for more than 60% of the Transitioned ADF.</w:t>
      </w:r>
    </w:p>
    <w:p w14:paraId="022A6C8F" w14:textId="77777777" w:rsidR="00690E8D" w:rsidRPr="00CC1D41" w:rsidRDefault="00690E8D" w:rsidP="00133458">
      <w:pPr>
        <w:pStyle w:val="ShadedBullet"/>
      </w:pPr>
      <w:r w:rsidRPr="00CC1D41">
        <w:t>Just over one-fifth of the Transitioned ADF were estimated to have been medically discharged.</w:t>
      </w:r>
    </w:p>
    <w:p w14:paraId="30936CB6" w14:textId="77777777" w:rsidR="00690E8D" w:rsidRPr="00CC1D41" w:rsidRDefault="00690E8D" w:rsidP="00133458">
      <w:pPr>
        <w:pStyle w:val="ShadedBullet"/>
      </w:pPr>
      <w:r w:rsidRPr="00CC1D41">
        <w:t>The most commonly reported reasons for transition were ‘impact of service life on family’ (10.2%), ‘better employment prospects in civilian life’ (7.2%), ‘mental health problems’ (6.5%) and ‘physical health problems’ (4.3%).</w:t>
      </w:r>
    </w:p>
    <w:p w14:paraId="22BE55E4" w14:textId="77777777" w:rsidR="00690E8D" w:rsidRPr="00CC1D41" w:rsidRDefault="00690E8D" w:rsidP="00133458">
      <w:pPr>
        <w:pStyle w:val="ShadedBullet"/>
      </w:pPr>
      <w:r w:rsidRPr="00CC1D41">
        <w:t>Almost two-thirds of the Transitioned ADF reported being engaged in civilian employment (62.8%). For those individuals, the most common industries of employment were government administration and Defence (16.8%), mining (9.9%), construction (8.8%) and transport and storage (8.6%).</w:t>
      </w:r>
    </w:p>
    <w:p w14:paraId="7AF1D927" w14:textId="77777777" w:rsidR="00690E8D" w:rsidRPr="00CC1D41" w:rsidRDefault="00690E8D" w:rsidP="00133458">
      <w:pPr>
        <w:pStyle w:val="ShadedBullet"/>
      </w:pPr>
      <w:r w:rsidRPr="00CC1D41">
        <w:t>Of those who reported not being engaged in civilian employment, a considerable proportion reported a period of three months or longer in which they were unemployed (43.7%) since transitioning from the Regular ADF.</w:t>
      </w:r>
    </w:p>
    <w:p w14:paraId="2B249864" w14:textId="77777777" w:rsidR="00690E8D" w:rsidRPr="00CC1D41" w:rsidRDefault="00690E8D" w:rsidP="00133458">
      <w:pPr>
        <w:pStyle w:val="ShadedBullet"/>
      </w:pPr>
      <w:r w:rsidRPr="00CC1D41">
        <w:t>More than 43% of Transitioned ADF members reported accessing DVA-funded treatment through either a DVA White Card (39.4%) or DVA Gold Card (4.2%).</w:t>
      </w:r>
    </w:p>
    <w:p w14:paraId="35F70B78" w14:textId="77777777" w:rsidR="00690E8D" w:rsidRPr="00CC1D41" w:rsidRDefault="00690E8D" w:rsidP="00133458">
      <w:pPr>
        <w:pStyle w:val="ShadedBullet"/>
      </w:pPr>
      <w:r w:rsidRPr="00CC1D41">
        <w:t xml:space="preserve">Among the Transitioned ADF, approximately one in </w:t>
      </w:r>
      <w:r>
        <w:t>four</w:t>
      </w:r>
      <w:r w:rsidRPr="00CC1D41">
        <w:t xml:space="preserve"> reported joining an ex-service organisation.</w:t>
      </w:r>
    </w:p>
    <w:p w14:paraId="617FDDF2" w14:textId="77777777" w:rsidR="00690E8D" w:rsidRPr="00CC1D41" w:rsidRDefault="00690E8D" w:rsidP="00133458">
      <w:pPr>
        <w:pStyle w:val="ShadedBullet"/>
      </w:pPr>
      <w:r w:rsidRPr="00CC1D41">
        <w:t xml:space="preserve">Among the Transitioned ADF, </w:t>
      </w:r>
      <w:r>
        <w:t>small proportions reported having been arrested (</w:t>
      </w:r>
      <w:r w:rsidRPr="00CC1D41">
        <w:t>2.9%</w:t>
      </w:r>
      <w:r>
        <w:t xml:space="preserve">), </w:t>
      </w:r>
      <w:r w:rsidRPr="00CC1D41">
        <w:t xml:space="preserve">convicted </w:t>
      </w:r>
      <w:r>
        <w:t xml:space="preserve">(2.1%) and </w:t>
      </w:r>
      <w:r w:rsidRPr="00CC1D41">
        <w:t>imprisoned since transition.</w:t>
      </w:r>
    </w:p>
    <w:p w14:paraId="01728793" w14:textId="77777777" w:rsidR="00690E8D" w:rsidRPr="00D4741B" w:rsidRDefault="00690E8D" w:rsidP="002E67C4">
      <w:pPr>
        <w:pStyle w:val="ShadedBoxSubheading"/>
      </w:pPr>
      <w:r w:rsidRPr="00D4741B">
        <w:t xml:space="preserve">Transitioned ADF compared to 2015 Regular ADF </w:t>
      </w:r>
    </w:p>
    <w:p w14:paraId="21C7D324" w14:textId="77777777" w:rsidR="00690E8D" w:rsidRPr="00CC1D41" w:rsidRDefault="00690E8D" w:rsidP="00133458">
      <w:pPr>
        <w:pStyle w:val="ShadedBullet"/>
      </w:pPr>
      <w:r w:rsidRPr="00CC1D41">
        <w:t>Transitioned ADF and 2015 Regular ADF were equally likely to be aged 18–27. However, compared to the 2015 Regular ADF, there were more Transitioned ADF aged 58</w:t>
      </w:r>
      <w:r>
        <w:t>+</w:t>
      </w:r>
      <w:r w:rsidRPr="00CC1D41">
        <w:t>.</w:t>
      </w:r>
    </w:p>
    <w:p w14:paraId="09FBE386" w14:textId="77777777" w:rsidR="00690E8D" w:rsidRPr="00CC1D41" w:rsidRDefault="00690E8D" w:rsidP="00133458">
      <w:pPr>
        <w:pStyle w:val="ShadedBullet"/>
      </w:pPr>
      <w:r w:rsidRPr="00CC1D41">
        <w:t xml:space="preserve">There were more females among the Transitioned ADF </w:t>
      </w:r>
      <w:r>
        <w:t>than</w:t>
      </w:r>
      <w:r w:rsidRPr="00CC1D41">
        <w:t xml:space="preserve"> the 2015 Regular ADF.</w:t>
      </w:r>
    </w:p>
    <w:p w14:paraId="1F5449AF" w14:textId="77777777" w:rsidR="00690E8D" w:rsidRPr="00CC1D41" w:rsidRDefault="00690E8D" w:rsidP="00133458">
      <w:pPr>
        <w:pStyle w:val="ShadedBullet"/>
      </w:pPr>
      <w:r w:rsidRPr="00CC1D41">
        <w:t>Transitioned ADF members were less likely to be ‘in a relationship but not living together’ compared to the 2015 Regular ADF.</w:t>
      </w:r>
    </w:p>
    <w:p w14:paraId="7F9B9107" w14:textId="77777777" w:rsidR="00690E8D" w:rsidRPr="00CC1D41" w:rsidRDefault="00690E8D" w:rsidP="00133458">
      <w:pPr>
        <w:pStyle w:val="ShadedBullet"/>
      </w:pPr>
      <w:r w:rsidRPr="00CC1D41">
        <w:t>Just over 40% of the Transitioned ADF and 36% of the 2015 Regular ADF reported having a diploma or university qualification.</w:t>
      </w:r>
    </w:p>
    <w:p w14:paraId="0E17C8EC" w14:textId="77777777" w:rsidR="00690E8D" w:rsidRPr="00CC1D41" w:rsidRDefault="00690E8D" w:rsidP="00133458">
      <w:pPr>
        <w:pStyle w:val="ShadedBullet"/>
      </w:pPr>
      <w:r w:rsidRPr="00CC1D41">
        <w:t>There were no significant differences in housing stability between the Transitioned ADF and the 2015 Regular ADF, with more than 93% estimated to have been in stable housing in the previous two months.</w:t>
      </w:r>
    </w:p>
    <w:p w14:paraId="4183BBE8" w14:textId="77777777" w:rsidR="00690E8D" w:rsidRPr="00CC1D41" w:rsidRDefault="00690E8D" w:rsidP="00133458">
      <w:pPr>
        <w:pStyle w:val="ShadedBullet"/>
      </w:pPr>
      <w:r w:rsidRPr="00CC1D41">
        <w:t>Transitioned ADF members were more likely to come from the lower ranks compared to 2015 Regular ADF members.</w:t>
      </w:r>
    </w:p>
    <w:p w14:paraId="75CC99A1" w14:textId="77777777" w:rsidR="00690E8D" w:rsidRPr="00CC1D41" w:rsidRDefault="00690E8D" w:rsidP="00133458">
      <w:pPr>
        <w:pStyle w:val="ShadedBullet"/>
      </w:pPr>
      <w:r w:rsidRPr="00CC1D41">
        <w:t>A greater proportion of the Transitioned ADF were from the Army compared to the 2015 Regular ADF.</w:t>
      </w:r>
    </w:p>
    <w:p w14:paraId="452EBA56" w14:textId="77777777" w:rsidR="00690E8D" w:rsidRPr="00CC1D41" w:rsidRDefault="00690E8D" w:rsidP="00133458">
      <w:pPr>
        <w:pStyle w:val="ShadedBullet"/>
      </w:pPr>
      <w:r w:rsidRPr="00CC1D41">
        <w:t>Twice as many members of the Transitioned ADF were classified as medically unfit compared to the 2015 Regular ADF.</w:t>
      </w:r>
    </w:p>
    <w:p w14:paraId="2CAF5108" w14:textId="77777777" w:rsidR="00690E8D" w:rsidRDefault="00690E8D" w:rsidP="00133458">
      <w:pPr>
        <w:pStyle w:val="ShadedBullet"/>
      </w:pPr>
      <w:r w:rsidRPr="00CC1D41">
        <w:t>Transitioned ADF members were more likely to report having less than eight years of service compared to the 2015 Regular ADF.</w:t>
      </w:r>
    </w:p>
    <w:p w14:paraId="22389569" w14:textId="118E79EF" w:rsidR="00513700" w:rsidRPr="0067385C" w:rsidRDefault="00513700" w:rsidP="00133458">
      <w:pPr>
        <w:pStyle w:val="ShadedBullet"/>
        <w:numPr>
          <w:ilvl w:val="0"/>
          <w:numId w:val="0"/>
        </w:numPr>
      </w:pPr>
      <w:r w:rsidRPr="00D4741B">
        <w:rPr>
          <w:b/>
        </w:rPr>
        <w:t>Glossary:</w:t>
      </w:r>
      <w:r w:rsidRPr="00D4741B">
        <w:t xml:space="preserve"> refer to the </w:t>
      </w:r>
      <w:r w:rsidRPr="00104D02">
        <w:t>Glossary</w:t>
      </w:r>
      <w:r w:rsidRPr="00D4741B">
        <w:t xml:space="preserve"> of terms for definitions of key terms.</w:t>
      </w:r>
    </w:p>
    <w:p w14:paraId="5CC466F0" w14:textId="77777777" w:rsidR="00690E8D" w:rsidRPr="004C6CF5" w:rsidRDefault="00690E8D" w:rsidP="00690E8D">
      <w:r w:rsidRPr="007421FA">
        <w:t xml:space="preserve">Chapter 3 provides a detailed summary of the demographic characteristics of Transitioned ADF members, including an examination of the differences between Transitioned ADF and 2015 Regular ADF members. Outcomes are weighted up to the entire population using the technique described in Chapter 2 of this report, and so represent weighted estimates of these characteristics within the Transitioned ADF and 2015 Regular ADF cohorts. </w:t>
      </w:r>
      <w:r w:rsidRPr="00A97CAE">
        <w:t>Refer to the Glossary of terms for definitions of key terms in this section.</w:t>
      </w:r>
    </w:p>
    <w:p w14:paraId="75ADE684" w14:textId="77777777" w:rsidR="00690E8D" w:rsidRPr="004C6CF5" w:rsidRDefault="00690E8D" w:rsidP="00690E8D">
      <w:pPr>
        <w:pStyle w:val="Heading2"/>
        <w:numPr>
          <w:ilvl w:val="1"/>
          <w:numId w:val="1"/>
        </w:numPr>
        <w:ind w:left="720" w:hanging="720"/>
      </w:pPr>
      <w:bookmarkStart w:id="189" w:name="_Toc479243366"/>
      <w:bookmarkStart w:id="190" w:name="_Toc482021334"/>
      <w:bookmarkStart w:id="191" w:name="_Toc482024425"/>
      <w:bookmarkStart w:id="192" w:name="_Toc487011188"/>
      <w:bookmarkStart w:id="193" w:name="_Toc493668701"/>
      <w:bookmarkStart w:id="194" w:name="_Toc385140049"/>
      <w:bookmarkStart w:id="195" w:name="_Toc385236486"/>
      <w:bookmarkStart w:id="196" w:name="_Toc385236696"/>
      <w:bookmarkStart w:id="197" w:name="_Toc385237500"/>
      <w:bookmarkStart w:id="198" w:name="_Toc515374455"/>
      <w:bookmarkStart w:id="199" w:name="_Toc518566348"/>
      <w:bookmarkStart w:id="200" w:name="_Toc528932647"/>
      <w:bookmarkStart w:id="201" w:name="_Toc531859184"/>
      <w:r w:rsidRPr="004C6CF5">
        <w:t>Demographic characteristics of Transitioned ADF and 2015 Regular ADF</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2B715449" w14:textId="77777777" w:rsidR="00690E8D" w:rsidRPr="007421FA" w:rsidRDefault="00690E8D" w:rsidP="00690E8D">
      <w:r w:rsidRPr="004C6CF5">
        <w:t xml:space="preserve">Table </w:t>
      </w:r>
      <w:r>
        <w:t xml:space="preserve">3.1 </w:t>
      </w:r>
      <w:r w:rsidRPr="007421FA">
        <w:t>describes the demographic characteristics of Transitioned ADF and 2015 Regular ADF members.</w:t>
      </w:r>
    </w:p>
    <w:p w14:paraId="35BB3196" w14:textId="77777777" w:rsidR="00690E8D" w:rsidRDefault="00690E8D" w:rsidP="00690E8D">
      <w:r w:rsidRPr="007421FA">
        <w:t>The age distribution across the two groups was significantly different. Transitioned ADF had more elderly (58+ age group) and fewer middle-aged (38–47 age group) members</w:t>
      </w:r>
      <w:r>
        <w:t>,</w:t>
      </w:r>
      <w:r w:rsidRPr="007421FA">
        <w:t xml:space="preserve"> based on 95% confidence intervals, while the younger age groups were similar for Transitioned ADF and 2015 Regular ADF members. There were more female members in the Transitioned ADF group (13.1% vs 9.2% for the 2015 Regular ADF group). Based on 95% confidence intervals, there w</w:t>
      </w:r>
      <w:r>
        <w:t>ere</w:t>
      </w:r>
      <w:r w:rsidRPr="007421FA">
        <w:t xml:space="preserve"> no significant difference</w:t>
      </w:r>
      <w:r>
        <w:t>s</w:t>
      </w:r>
      <w:r w:rsidRPr="007421FA">
        <w:t xml:space="preserve"> between the two groups for ‘Not in a relationship’ or ‘In a relationship and living together’, although Transitioned ADF members were significantly less likely to be ‘In a relationship not living together’. There were differences in the highest education categories. Transitioned ADF members were significantly more likely to report a diploma (20.9% vs 14.8%) and significantly less likely to report a university qualification than the 2015 Regular ADF (20.4% vs 22.9%). There were no differences in whether the respondents reported having stable housing over the past two months. </w:t>
      </w:r>
    </w:p>
    <w:p w14:paraId="696A22C1" w14:textId="77777777" w:rsidR="00690E8D" w:rsidRDefault="00690E8D" w:rsidP="00690E8D">
      <w:pPr>
        <w:pStyle w:val="TableName"/>
      </w:pPr>
      <w:bookmarkStart w:id="202" w:name="_Ref482013515"/>
      <w:bookmarkStart w:id="203" w:name="_Toc479243375"/>
      <w:bookmarkStart w:id="204" w:name="_Toc482023761"/>
      <w:bookmarkStart w:id="205" w:name="_Toc487014247"/>
      <w:bookmarkStart w:id="206" w:name="_Toc493668801"/>
      <w:bookmarkStart w:id="207" w:name="_Toc508978835"/>
      <w:bookmarkStart w:id="208" w:name="_Toc385236030"/>
      <w:bookmarkStart w:id="209" w:name="_Toc385236880"/>
      <w:bookmarkStart w:id="210" w:name="_Toc385237684"/>
      <w:bookmarkStart w:id="211" w:name="_Toc515374631"/>
      <w:bookmarkStart w:id="212" w:name="_Toc528932305"/>
      <w:bookmarkStart w:id="213" w:name="_Toc531857984"/>
      <w:r w:rsidRPr="004C6CF5">
        <w:t xml:space="preserve">Table </w:t>
      </w:r>
      <w:r>
        <w:rPr>
          <w:noProof/>
        </w:rPr>
        <w:t>3</w:t>
      </w:r>
      <w:r>
        <w:t>.</w:t>
      </w:r>
      <w:r>
        <w:rPr>
          <w:noProof/>
        </w:rPr>
        <w:t>1</w:t>
      </w:r>
      <w:bookmarkEnd w:id="202"/>
      <w:r>
        <w:tab/>
      </w:r>
      <w:r w:rsidRPr="004C6CF5">
        <w:t>Weighted demographic characteristics of Transitioned ADF and 2015 Regular ADF</w:t>
      </w:r>
      <w:bookmarkEnd w:id="203"/>
      <w:bookmarkEnd w:id="204"/>
      <w:bookmarkEnd w:id="205"/>
      <w:bookmarkEnd w:id="206"/>
      <w:r w:rsidRPr="004C6CF5">
        <w:t xml:space="preserve"> members</w:t>
      </w:r>
      <w:bookmarkEnd w:id="207"/>
      <w:bookmarkEnd w:id="208"/>
      <w:bookmarkEnd w:id="209"/>
      <w:bookmarkEnd w:id="210"/>
      <w:bookmarkEnd w:id="211"/>
      <w:bookmarkEnd w:id="212"/>
      <w:bookmarkEnd w:id="213"/>
    </w:p>
    <w:tbl>
      <w:tblPr>
        <w:tblStyle w:val="TWRPTable"/>
        <w:tblW w:w="5000" w:type="pct"/>
        <w:tblLayout w:type="fixed"/>
        <w:tblLook w:val="04A0" w:firstRow="1" w:lastRow="0" w:firstColumn="1" w:lastColumn="0" w:noHBand="0" w:noVBand="1"/>
        <w:tblDescription w:val="Table 3.1 Weighted demographic characteristics of Transitioned ADF and 2015 Regular ADF members"/>
      </w:tblPr>
      <w:tblGrid>
        <w:gridCol w:w="2004"/>
        <w:gridCol w:w="618"/>
        <w:gridCol w:w="793"/>
        <w:gridCol w:w="1131"/>
        <w:gridCol w:w="629"/>
        <w:gridCol w:w="793"/>
        <w:gridCol w:w="1121"/>
      </w:tblGrid>
      <w:tr w:rsidR="00690E8D" w:rsidRPr="0035143C" w14:paraId="2E72B41B" w14:textId="77777777" w:rsidTr="00B737A1">
        <w:trPr>
          <w:cnfStyle w:val="100000000000" w:firstRow="1" w:lastRow="0" w:firstColumn="0" w:lastColumn="0" w:oddVBand="0" w:evenVBand="0" w:oddHBand="0" w:evenHBand="0" w:firstRowFirstColumn="0" w:firstRowLastColumn="0" w:lastRowFirstColumn="0" w:lastRowLastColumn="0"/>
          <w:cantSplit/>
          <w:tblHeader/>
        </w:trPr>
        <w:tc>
          <w:tcPr>
            <w:tcW w:w="2060" w:type="dxa"/>
            <w:tcBorders>
              <w:top w:val="single" w:sz="4" w:space="0" w:color="000000"/>
              <w:bottom w:val="nil"/>
            </w:tcBorders>
          </w:tcPr>
          <w:p w14:paraId="27C42918" w14:textId="77777777" w:rsidR="00690E8D" w:rsidRPr="00041B9D" w:rsidRDefault="00690E8D" w:rsidP="002E67C4">
            <w:pPr>
              <w:pStyle w:val="TableText"/>
            </w:pPr>
          </w:p>
        </w:tc>
        <w:tc>
          <w:tcPr>
            <w:tcW w:w="2599" w:type="dxa"/>
            <w:gridSpan w:val="3"/>
            <w:hideMark/>
          </w:tcPr>
          <w:p w14:paraId="2B695589" w14:textId="77777777" w:rsidR="00690E8D" w:rsidRPr="004C6CF5" w:rsidRDefault="00690E8D" w:rsidP="002E67C4">
            <w:pPr>
              <w:pStyle w:val="TableText"/>
              <w:jc w:val="center"/>
              <w:rPr>
                <w:b w:val="0"/>
                <w:color w:val="000000" w:themeColor="text1"/>
              </w:rPr>
            </w:pPr>
            <w:r w:rsidRPr="004C6CF5">
              <w:rPr>
                <w:color w:val="000000" w:themeColor="text1"/>
              </w:rPr>
              <w:t>Transitioned ADF</w:t>
            </w:r>
            <w:r w:rsidR="002E67C4">
              <w:rPr>
                <w:color w:val="000000" w:themeColor="text1"/>
              </w:rPr>
              <w:br/>
            </w:r>
            <w:r w:rsidRPr="004C6CF5">
              <w:rPr>
                <w:color w:val="000000" w:themeColor="text1"/>
              </w:rPr>
              <w:t>(n=24,932)</w:t>
            </w:r>
          </w:p>
        </w:tc>
        <w:tc>
          <w:tcPr>
            <w:tcW w:w="2600" w:type="dxa"/>
            <w:gridSpan w:val="3"/>
            <w:hideMark/>
          </w:tcPr>
          <w:p w14:paraId="03033E1E" w14:textId="77777777" w:rsidR="00690E8D" w:rsidRPr="004C6CF5" w:rsidRDefault="00690E8D" w:rsidP="002E67C4">
            <w:pPr>
              <w:pStyle w:val="TableText"/>
              <w:jc w:val="center"/>
              <w:rPr>
                <w:b w:val="0"/>
                <w:color w:val="000000" w:themeColor="text1"/>
              </w:rPr>
            </w:pPr>
            <w:r w:rsidRPr="004C6CF5">
              <w:rPr>
                <w:color w:val="000000" w:themeColor="text1"/>
              </w:rPr>
              <w:t>2015 Regular ADF</w:t>
            </w:r>
            <w:r w:rsidR="002E67C4">
              <w:rPr>
                <w:color w:val="000000" w:themeColor="text1"/>
              </w:rPr>
              <w:br/>
            </w:r>
            <w:r w:rsidRPr="004C6CF5">
              <w:rPr>
                <w:color w:val="000000" w:themeColor="text1"/>
              </w:rPr>
              <w:t>(n=52,500)</w:t>
            </w:r>
          </w:p>
        </w:tc>
      </w:tr>
      <w:tr w:rsidR="002E67C4" w:rsidRPr="0035143C" w14:paraId="4C75B533" w14:textId="77777777" w:rsidTr="00B737A1">
        <w:trPr>
          <w:cnfStyle w:val="100000000000" w:firstRow="1" w:lastRow="0" w:firstColumn="0" w:lastColumn="0" w:oddVBand="0" w:evenVBand="0" w:oddHBand="0" w:evenHBand="0" w:firstRowFirstColumn="0" w:firstRowLastColumn="0" w:lastRowFirstColumn="0" w:lastRowLastColumn="0"/>
          <w:cantSplit/>
          <w:tblHeader/>
        </w:trPr>
        <w:tc>
          <w:tcPr>
            <w:tcW w:w="2060" w:type="dxa"/>
            <w:tcBorders>
              <w:top w:val="nil"/>
            </w:tcBorders>
          </w:tcPr>
          <w:p w14:paraId="017433ED" w14:textId="77777777" w:rsidR="00690E8D" w:rsidRPr="00041B9D" w:rsidRDefault="00690E8D" w:rsidP="002E67C4">
            <w:pPr>
              <w:pStyle w:val="TableText"/>
            </w:pPr>
          </w:p>
        </w:tc>
        <w:tc>
          <w:tcPr>
            <w:tcW w:w="630" w:type="dxa"/>
            <w:hideMark/>
          </w:tcPr>
          <w:p w14:paraId="61F8B37B" w14:textId="77777777" w:rsidR="00690E8D" w:rsidRPr="004C6CF5" w:rsidRDefault="00690E8D" w:rsidP="002E67C4">
            <w:pPr>
              <w:pStyle w:val="TableText"/>
              <w:jc w:val="right"/>
              <w:rPr>
                <w:b w:val="0"/>
              </w:rPr>
            </w:pPr>
            <w:r w:rsidRPr="004C6CF5">
              <w:t>n</w:t>
            </w:r>
          </w:p>
        </w:tc>
        <w:tc>
          <w:tcPr>
            <w:tcW w:w="810" w:type="dxa"/>
            <w:hideMark/>
          </w:tcPr>
          <w:p w14:paraId="1D0A7238" w14:textId="77777777" w:rsidR="00690E8D" w:rsidRPr="004C6CF5" w:rsidRDefault="00690E8D" w:rsidP="002E67C4">
            <w:pPr>
              <w:pStyle w:val="TableText"/>
              <w:jc w:val="right"/>
              <w:rPr>
                <w:b w:val="0"/>
              </w:rPr>
            </w:pPr>
            <w:r w:rsidRPr="004C6CF5">
              <w:t>Weighted n</w:t>
            </w:r>
          </w:p>
        </w:tc>
        <w:tc>
          <w:tcPr>
            <w:tcW w:w="1159" w:type="dxa"/>
            <w:hideMark/>
          </w:tcPr>
          <w:p w14:paraId="34CC88F0" w14:textId="77777777" w:rsidR="00690E8D" w:rsidRPr="004C6CF5" w:rsidRDefault="00690E8D" w:rsidP="002E67C4">
            <w:pPr>
              <w:pStyle w:val="TableText"/>
              <w:jc w:val="right"/>
              <w:rPr>
                <w:b w:val="0"/>
              </w:rPr>
            </w:pPr>
            <w:r w:rsidRPr="004C6CF5">
              <w:t>% (95% CI)</w:t>
            </w:r>
          </w:p>
        </w:tc>
        <w:tc>
          <w:tcPr>
            <w:tcW w:w="641" w:type="dxa"/>
            <w:hideMark/>
          </w:tcPr>
          <w:p w14:paraId="25AE3AAD" w14:textId="77777777" w:rsidR="00690E8D" w:rsidRPr="004C6CF5" w:rsidRDefault="00690E8D" w:rsidP="002E67C4">
            <w:pPr>
              <w:pStyle w:val="TableText"/>
              <w:jc w:val="right"/>
              <w:rPr>
                <w:b w:val="0"/>
              </w:rPr>
            </w:pPr>
            <w:r w:rsidRPr="004C6CF5">
              <w:t>n</w:t>
            </w:r>
          </w:p>
        </w:tc>
        <w:tc>
          <w:tcPr>
            <w:tcW w:w="810" w:type="dxa"/>
            <w:hideMark/>
          </w:tcPr>
          <w:p w14:paraId="280DD05F" w14:textId="77777777" w:rsidR="00690E8D" w:rsidRPr="004C6CF5" w:rsidRDefault="00690E8D" w:rsidP="002E67C4">
            <w:pPr>
              <w:pStyle w:val="TableText"/>
              <w:jc w:val="right"/>
              <w:rPr>
                <w:b w:val="0"/>
              </w:rPr>
            </w:pPr>
            <w:r w:rsidRPr="004C6CF5">
              <w:t>Weighted n</w:t>
            </w:r>
          </w:p>
        </w:tc>
        <w:tc>
          <w:tcPr>
            <w:tcW w:w="1149" w:type="dxa"/>
            <w:hideMark/>
          </w:tcPr>
          <w:p w14:paraId="34FF97F7" w14:textId="77777777" w:rsidR="00690E8D" w:rsidRPr="004C6CF5" w:rsidRDefault="00690E8D" w:rsidP="002E67C4">
            <w:pPr>
              <w:pStyle w:val="TableText"/>
              <w:jc w:val="right"/>
              <w:rPr>
                <w:b w:val="0"/>
              </w:rPr>
            </w:pPr>
            <w:r w:rsidRPr="004C6CF5">
              <w:t>% (95% CI)</w:t>
            </w:r>
          </w:p>
        </w:tc>
      </w:tr>
      <w:tr w:rsidR="002E67C4" w:rsidRPr="0035143C" w14:paraId="6EDD7AB5"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5AB53087" w14:textId="77777777" w:rsidR="00690E8D" w:rsidRPr="004C6CF5" w:rsidRDefault="00690E8D" w:rsidP="002E67C4">
            <w:pPr>
              <w:pStyle w:val="TableText"/>
              <w:rPr>
                <w:b/>
              </w:rPr>
            </w:pPr>
            <w:r w:rsidRPr="004C6CF5">
              <w:rPr>
                <w:b/>
              </w:rPr>
              <w:t>Age group</w:t>
            </w:r>
            <w:r w:rsidRPr="004C6CF5">
              <w:rPr>
                <w:b/>
                <w:vertAlign w:val="superscript"/>
              </w:rPr>
              <w:t>a</w:t>
            </w:r>
          </w:p>
        </w:tc>
        <w:tc>
          <w:tcPr>
            <w:tcW w:w="630" w:type="dxa"/>
          </w:tcPr>
          <w:p w14:paraId="7413A46D" w14:textId="77777777" w:rsidR="00690E8D" w:rsidRPr="00041B9D" w:rsidRDefault="00690E8D" w:rsidP="002E67C4">
            <w:pPr>
              <w:pStyle w:val="TableText"/>
              <w:jc w:val="right"/>
            </w:pPr>
          </w:p>
        </w:tc>
        <w:tc>
          <w:tcPr>
            <w:tcW w:w="810" w:type="dxa"/>
          </w:tcPr>
          <w:p w14:paraId="3097CD54" w14:textId="77777777" w:rsidR="00690E8D" w:rsidRPr="00041B9D" w:rsidRDefault="00690E8D" w:rsidP="002E67C4">
            <w:pPr>
              <w:pStyle w:val="TableText"/>
              <w:jc w:val="right"/>
            </w:pPr>
          </w:p>
        </w:tc>
        <w:tc>
          <w:tcPr>
            <w:tcW w:w="1159" w:type="dxa"/>
          </w:tcPr>
          <w:p w14:paraId="4AACE05D" w14:textId="77777777" w:rsidR="00690E8D" w:rsidRPr="00041B9D" w:rsidRDefault="00690E8D" w:rsidP="002E67C4">
            <w:pPr>
              <w:pStyle w:val="TableText"/>
              <w:jc w:val="right"/>
            </w:pPr>
          </w:p>
        </w:tc>
        <w:tc>
          <w:tcPr>
            <w:tcW w:w="641" w:type="dxa"/>
          </w:tcPr>
          <w:p w14:paraId="6528293F" w14:textId="77777777" w:rsidR="00690E8D" w:rsidRPr="00041B9D" w:rsidRDefault="00690E8D" w:rsidP="002E67C4">
            <w:pPr>
              <w:pStyle w:val="TableText"/>
              <w:jc w:val="right"/>
            </w:pPr>
          </w:p>
        </w:tc>
        <w:tc>
          <w:tcPr>
            <w:tcW w:w="810" w:type="dxa"/>
          </w:tcPr>
          <w:p w14:paraId="50C35171" w14:textId="77777777" w:rsidR="00690E8D" w:rsidRPr="00041B9D" w:rsidRDefault="00690E8D" w:rsidP="002E67C4">
            <w:pPr>
              <w:pStyle w:val="TableText"/>
              <w:jc w:val="right"/>
            </w:pPr>
          </w:p>
        </w:tc>
        <w:tc>
          <w:tcPr>
            <w:tcW w:w="1149" w:type="dxa"/>
          </w:tcPr>
          <w:p w14:paraId="70184A0B" w14:textId="77777777" w:rsidR="00690E8D" w:rsidRPr="00041B9D" w:rsidRDefault="00690E8D" w:rsidP="002E67C4">
            <w:pPr>
              <w:pStyle w:val="TableText"/>
              <w:jc w:val="right"/>
            </w:pPr>
          </w:p>
        </w:tc>
      </w:tr>
      <w:tr w:rsidR="002E67C4" w:rsidRPr="0035143C" w14:paraId="20A0E61C" w14:textId="77777777" w:rsidTr="00B737A1">
        <w:trPr>
          <w:cantSplit/>
        </w:trPr>
        <w:tc>
          <w:tcPr>
            <w:tcW w:w="2060" w:type="dxa"/>
            <w:hideMark/>
          </w:tcPr>
          <w:p w14:paraId="41B9758E" w14:textId="77777777" w:rsidR="00690E8D" w:rsidRPr="00041B9D" w:rsidRDefault="00690E8D" w:rsidP="002E67C4">
            <w:pPr>
              <w:pStyle w:val="TableText"/>
            </w:pPr>
            <w:r w:rsidRPr="00041B9D">
              <w:t>18</w:t>
            </w:r>
            <w:r>
              <w:t>–</w:t>
            </w:r>
            <w:r w:rsidRPr="00041B9D">
              <w:t>27</w:t>
            </w:r>
          </w:p>
        </w:tc>
        <w:tc>
          <w:tcPr>
            <w:tcW w:w="630" w:type="dxa"/>
            <w:hideMark/>
          </w:tcPr>
          <w:p w14:paraId="02DF8F8C" w14:textId="77777777" w:rsidR="00690E8D" w:rsidRPr="00041B9D" w:rsidRDefault="00690E8D" w:rsidP="002E67C4">
            <w:pPr>
              <w:pStyle w:val="TableText"/>
              <w:jc w:val="right"/>
            </w:pPr>
            <w:r w:rsidRPr="00041B9D">
              <w:t>471</w:t>
            </w:r>
          </w:p>
        </w:tc>
        <w:tc>
          <w:tcPr>
            <w:tcW w:w="810" w:type="dxa"/>
            <w:hideMark/>
          </w:tcPr>
          <w:p w14:paraId="5592A1DC" w14:textId="77777777" w:rsidR="00690E8D" w:rsidRPr="00041B9D" w:rsidRDefault="00690E8D" w:rsidP="002E67C4">
            <w:pPr>
              <w:pStyle w:val="TableText"/>
              <w:jc w:val="right"/>
            </w:pPr>
            <w:r w:rsidRPr="00041B9D">
              <w:t>5195</w:t>
            </w:r>
          </w:p>
        </w:tc>
        <w:tc>
          <w:tcPr>
            <w:tcW w:w="1159" w:type="dxa"/>
            <w:hideMark/>
          </w:tcPr>
          <w:p w14:paraId="75585102" w14:textId="77777777" w:rsidR="00690E8D" w:rsidRPr="00041B9D" w:rsidRDefault="00690E8D" w:rsidP="002E67C4">
            <w:pPr>
              <w:pStyle w:val="TableText"/>
              <w:jc w:val="right"/>
            </w:pPr>
            <w:r w:rsidRPr="00041B9D">
              <w:t>20.8 (19.3, 22.5)</w:t>
            </w:r>
          </w:p>
        </w:tc>
        <w:tc>
          <w:tcPr>
            <w:tcW w:w="641" w:type="dxa"/>
            <w:hideMark/>
          </w:tcPr>
          <w:p w14:paraId="5828B3A2" w14:textId="77777777" w:rsidR="00690E8D" w:rsidRPr="00041B9D" w:rsidRDefault="00690E8D" w:rsidP="002E67C4">
            <w:pPr>
              <w:pStyle w:val="TableText"/>
              <w:jc w:val="right"/>
            </w:pPr>
            <w:r w:rsidRPr="00041B9D">
              <w:t>602</w:t>
            </w:r>
          </w:p>
        </w:tc>
        <w:tc>
          <w:tcPr>
            <w:tcW w:w="810" w:type="dxa"/>
            <w:hideMark/>
          </w:tcPr>
          <w:p w14:paraId="2C803C13" w14:textId="77777777" w:rsidR="00690E8D" w:rsidRPr="00041B9D" w:rsidRDefault="00690E8D" w:rsidP="002E67C4">
            <w:pPr>
              <w:pStyle w:val="TableText"/>
              <w:jc w:val="right"/>
            </w:pPr>
            <w:r w:rsidRPr="00041B9D">
              <w:t>10,319</w:t>
            </w:r>
          </w:p>
        </w:tc>
        <w:tc>
          <w:tcPr>
            <w:tcW w:w="1149" w:type="dxa"/>
            <w:hideMark/>
          </w:tcPr>
          <w:p w14:paraId="4E8D5FCC" w14:textId="77777777" w:rsidR="00690E8D" w:rsidRPr="00041B9D" w:rsidRDefault="00690E8D" w:rsidP="002E67C4">
            <w:pPr>
              <w:pStyle w:val="TableText"/>
              <w:jc w:val="right"/>
            </w:pPr>
            <w:r w:rsidRPr="00041B9D">
              <w:t>19.7 (16.4, 23.3)</w:t>
            </w:r>
          </w:p>
        </w:tc>
      </w:tr>
      <w:tr w:rsidR="002E67C4" w:rsidRPr="0035143C" w14:paraId="0ECBB5B7"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57A88135" w14:textId="77777777" w:rsidR="00690E8D" w:rsidRPr="00041B9D" w:rsidRDefault="00690E8D" w:rsidP="002E67C4">
            <w:pPr>
              <w:pStyle w:val="TableText"/>
            </w:pPr>
            <w:r w:rsidRPr="00041B9D">
              <w:t>28</w:t>
            </w:r>
            <w:r>
              <w:t>–</w:t>
            </w:r>
            <w:r w:rsidRPr="00041B9D">
              <w:t>37</w:t>
            </w:r>
          </w:p>
        </w:tc>
        <w:tc>
          <w:tcPr>
            <w:tcW w:w="630" w:type="dxa"/>
            <w:hideMark/>
          </w:tcPr>
          <w:p w14:paraId="7671C191" w14:textId="77777777" w:rsidR="00690E8D" w:rsidRPr="00041B9D" w:rsidRDefault="00690E8D" w:rsidP="002E67C4">
            <w:pPr>
              <w:pStyle w:val="TableText"/>
              <w:jc w:val="right"/>
            </w:pPr>
            <w:r w:rsidRPr="00041B9D">
              <w:t>1262</w:t>
            </w:r>
          </w:p>
        </w:tc>
        <w:tc>
          <w:tcPr>
            <w:tcW w:w="810" w:type="dxa"/>
            <w:hideMark/>
          </w:tcPr>
          <w:p w14:paraId="051BC66C" w14:textId="77777777" w:rsidR="00690E8D" w:rsidRPr="00041B9D" w:rsidRDefault="00690E8D" w:rsidP="002E67C4">
            <w:pPr>
              <w:pStyle w:val="TableText"/>
              <w:jc w:val="right"/>
            </w:pPr>
            <w:r w:rsidRPr="00041B9D">
              <w:t>8808</w:t>
            </w:r>
          </w:p>
        </w:tc>
        <w:tc>
          <w:tcPr>
            <w:tcW w:w="1159" w:type="dxa"/>
            <w:hideMark/>
          </w:tcPr>
          <w:p w14:paraId="1597E2B2" w14:textId="77777777" w:rsidR="00690E8D" w:rsidRPr="00041B9D" w:rsidRDefault="00690E8D" w:rsidP="002E67C4">
            <w:pPr>
              <w:pStyle w:val="TableText"/>
              <w:jc w:val="right"/>
            </w:pPr>
            <w:r w:rsidRPr="00041B9D">
              <w:t>35.3 (33.6, 37.1)</w:t>
            </w:r>
          </w:p>
        </w:tc>
        <w:tc>
          <w:tcPr>
            <w:tcW w:w="641" w:type="dxa"/>
            <w:hideMark/>
          </w:tcPr>
          <w:p w14:paraId="7EE088BF" w14:textId="77777777" w:rsidR="00690E8D" w:rsidRPr="00041B9D" w:rsidRDefault="00690E8D" w:rsidP="002E67C4">
            <w:pPr>
              <w:pStyle w:val="TableText"/>
              <w:jc w:val="right"/>
            </w:pPr>
            <w:r w:rsidRPr="00041B9D">
              <w:t>2484</w:t>
            </w:r>
          </w:p>
        </w:tc>
        <w:tc>
          <w:tcPr>
            <w:tcW w:w="810" w:type="dxa"/>
            <w:hideMark/>
          </w:tcPr>
          <w:p w14:paraId="06EB0F89" w14:textId="77777777" w:rsidR="00690E8D" w:rsidRPr="00041B9D" w:rsidRDefault="00690E8D" w:rsidP="002E67C4">
            <w:pPr>
              <w:pStyle w:val="TableText"/>
              <w:jc w:val="right"/>
            </w:pPr>
            <w:r w:rsidRPr="00041B9D">
              <w:t>17,472</w:t>
            </w:r>
          </w:p>
        </w:tc>
        <w:tc>
          <w:tcPr>
            <w:tcW w:w="1149" w:type="dxa"/>
            <w:hideMark/>
          </w:tcPr>
          <w:p w14:paraId="02BFAFE6" w14:textId="77777777" w:rsidR="00690E8D" w:rsidRPr="00041B9D" w:rsidRDefault="00690E8D" w:rsidP="002E67C4">
            <w:pPr>
              <w:pStyle w:val="TableText"/>
              <w:jc w:val="right"/>
            </w:pPr>
            <w:r w:rsidRPr="00041B9D">
              <w:t>33.3 (29.9, 36.9)</w:t>
            </w:r>
          </w:p>
        </w:tc>
      </w:tr>
      <w:tr w:rsidR="002E67C4" w:rsidRPr="0035143C" w14:paraId="36E9B330" w14:textId="77777777" w:rsidTr="00B737A1">
        <w:trPr>
          <w:cantSplit/>
        </w:trPr>
        <w:tc>
          <w:tcPr>
            <w:tcW w:w="2060" w:type="dxa"/>
            <w:hideMark/>
          </w:tcPr>
          <w:p w14:paraId="3806F8F0" w14:textId="77777777" w:rsidR="00690E8D" w:rsidRPr="00041B9D" w:rsidRDefault="00690E8D" w:rsidP="002E67C4">
            <w:pPr>
              <w:pStyle w:val="TableText"/>
            </w:pPr>
            <w:r w:rsidRPr="00041B9D">
              <w:t>38</w:t>
            </w:r>
            <w:r>
              <w:t>–</w:t>
            </w:r>
            <w:r w:rsidRPr="00041B9D">
              <w:t>47</w:t>
            </w:r>
          </w:p>
        </w:tc>
        <w:tc>
          <w:tcPr>
            <w:tcW w:w="630" w:type="dxa"/>
            <w:hideMark/>
          </w:tcPr>
          <w:p w14:paraId="7E88D64A" w14:textId="77777777" w:rsidR="00690E8D" w:rsidRPr="00041B9D" w:rsidRDefault="00690E8D" w:rsidP="002E67C4">
            <w:pPr>
              <w:pStyle w:val="TableText"/>
              <w:jc w:val="right"/>
            </w:pPr>
            <w:r w:rsidRPr="00041B9D">
              <w:t>1119</w:t>
            </w:r>
          </w:p>
        </w:tc>
        <w:tc>
          <w:tcPr>
            <w:tcW w:w="810" w:type="dxa"/>
            <w:hideMark/>
          </w:tcPr>
          <w:p w14:paraId="6291E38B" w14:textId="77777777" w:rsidR="00690E8D" w:rsidRPr="00041B9D" w:rsidRDefault="00690E8D" w:rsidP="002E67C4">
            <w:pPr>
              <w:pStyle w:val="TableText"/>
              <w:jc w:val="right"/>
            </w:pPr>
            <w:r w:rsidRPr="00041B9D">
              <w:t>5215</w:t>
            </w:r>
          </w:p>
        </w:tc>
        <w:tc>
          <w:tcPr>
            <w:tcW w:w="1159" w:type="dxa"/>
            <w:hideMark/>
          </w:tcPr>
          <w:p w14:paraId="11D345B5" w14:textId="77777777" w:rsidR="00690E8D" w:rsidRPr="00041B9D" w:rsidRDefault="00690E8D" w:rsidP="002E67C4">
            <w:pPr>
              <w:pStyle w:val="TableText"/>
              <w:jc w:val="right"/>
            </w:pPr>
            <w:r w:rsidRPr="00041B9D">
              <w:t>20.9 (19.7, 22.2)</w:t>
            </w:r>
          </w:p>
        </w:tc>
        <w:tc>
          <w:tcPr>
            <w:tcW w:w="641" w:type="dxa"/>
            <w:hideMark/>
          </w:tcPr>
          <w:p w14:paraId="7125EE0B" w14:textId="77777777" w:rsidR="00690E8D" w:rsidRPr="00041B9D" w:rsidRDefault="00690E8D" w:rsidP="002E67C4">
            <w:pPr>
              <w:pStyle w:val="TableText"/>
              <w:jc w:val="right"/>
            </w:pPr>
            <w:r w:rsidRPr="00041B9D">
              <w:t>2976</w:t>
            </w:r>
          </w:p>
        </w:tc>
        <w:tc>
          <w:tcPr>
            <w:tcW w:w="810" w:type="dxa"/>
            <w:hideMark/>
          </w:tcPr>
          <w:p w14:paraId="572A0C2A" w14:textId="77777777" w:rsidR="00690E8D" w:rsidRPr="00041B9D" w:rsidRDefault="00690E8D" w:rsidP="002E67C4">
            <w:pPr>
              <w:pStyle w:val="TableText"/>
              <w:jc w:val="right"/>
            </w:pPr>
            <w:r w:rsidRPr="00041B9D">
              <w:t>14,185</w:t>
            </w:r>
          </w:p>
        </w:tc>
        <w:tc>
          <w:tcPr>
            <w:tcW w:w="1149" w:type="dxa"/>
            <w:hideMark/>
          </w:tcPr>
          <w:p w14:paraId="03217DF4" w14:textId="77777777" w:rsidR="00690E8D" w:rsidRPr="00041B9D" w:rsidRDefault="00690E8D" w:rsidP="002E67C4">
            <w:pPr>
              <w:pStyle w:val="TableText"/>
              <w:jc w:val="right"/>
            </w:pPr>
            <w:r w:rsidRPr="00041B9D">
              <w:t>27.0 (24.5, 29.7)</w:t>
            </w:r>
          </w:p>
        </w:tc>
      </w:tr>
      <w:tr w:rsidR="002E67C4" w:rsidRPr="0035143C" w14:paraId="41C9F934"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3E8BFF19" w14:textId="77777777" w:rsidR="00690E8D" w:rsidRPr="00041B9D" w:rsidRDefault="00690E8D" w:rsidP="002E67C4">
            <w:pPr>
              <w:pStyle w:val="TableText"/>
            </w:pPr>
            <w:r w:rsidRPr="00041B9D">
              <w:t>48</w:t>
            </w:r>
            <w:r>
              <w:t>–</w:t>
            </w:r>
            <w:r w:rsidRPr="00041B9D">
              <w:t>57</w:t>
            </w:r>
          </w:p>
        </w:tc>
        <w:tc>
          <w:tcPr>
            <w:tcW w:w="630" w:type="dxa"/>
            <w:hideMark/>
          </w:tcPr>
          <w:p w14:paraId="1BC63794" w14:textId="77777777" w:rsidR="00690E8D" w:rsidRPr="00041B9D" w:rsidRDefault="00690E8D" w:rsidP="002E67C4">
            <w:pPr>
              <w:pStyle w:val="TableText"/>
              <w:jc w:val="right"/>
            </w:pPr>
            <w:r w:rsidRPr="00041B9D">
              <w:t>871</w:t>
            </w:r>
          </w:p>
        </w:tc>
        <w:tc>
          <w:tcPr>
            <w:tcW w:w="810" w:type="dxa"/>
            <w:hideMark/>
          </w:tcPr>
          <w:p w14:paraId="1E4EE5E9" w14:textId="77777777" w:rsidR="00690E8D" w:rsidRPr="00041B9D" w:rsidRDefault="00690E8D" w:rsidP="002E67C4">
            <w:pPr>
              <w:pStyle w:val="TableText"/>
              <w:jc w:val="right"/>
            </w:pPr>
            <w:r w:rsidRPr="00041B9D">
              <w:t>3389</w:t>
            </w:r>
          </w:p>
        </w:tc>
        <w:tc>
          <w:tcPr>
            <w:tcW w:w="1159" w:type="dxa"/>
            <w:hideMark/>
          </w:tcPr>
          <w:p w14:paraId="53D6D783" w14:textId="77777777" w:rsidR="00690E8D" w:rsidRPr="00041B9D" w:rsidRDefault="00690E8D" w:rsidP="002E67C4">
            <w:pPr>
              <w:pStyle w:val="TableText"/>
              <w:jc w:val="right"/>
            </w:pPr>
            <w:r w:rsidRPr="00041B9D">
              <w:t>13.6 (12.8, 14.5)</w:t>
            </w:r>
          </w:p>
        </w:tc>
        <w:tc>
          <w:tcPr>
            <w:tcW w:w="641" w:type="dxa"/>
            <w:hideMark/>
          </w:tcPr>
          <w:p w14:paraId="74169B72" w14:textId="77777777" w:rsidR="00690E8D" w:rsidRPr="00041B9D" w:rsidRDefault="00690E8D" w:rsidP="002E67C4">
            <w:pPr>
              <w:pStyle w:val="TableText"/>
              <w:jc w:val="right"/>
            </w:pPr>
            <w:r w:rsidRPr="00041B9D">
              <w:t>2069</w:t>
            </w:r>
          </w:p>
        </w:tc>
        <w:tc>
          <w:tcPr>
            <w:tcW w:w="810" w:type="dxa"/>
            <w:hideMark/>
          </w:tcPr>
          <w:p w14:paraId="225662F8" w14:textId="77777777" w:rsidR="00690E8D" w:rsidRPr="00041B9D" w:rsidRDefault="00690E8D" w:rsidP="002E67C4">
            <w:pPr>
              <w:pStyle w:val="TableText"/>
              <w:jc w:val="right"/>
            </w:pPr>
            <w:r w:rsidRPr="00041B9D">
              <w:t>8019</w:t>
            </w:r>
          </w:p>
        </w:tc>
        <w:tc>
          <w:tcPr>
            <w:tcW w:w="1149" w:type="dxa"/>
            <w:hideMark/>
          </w:tcPr>
          <w:p w14:paraId="671F95FD" w14:textId="77777777" w:rsidR="00690E8D" w:rsidRPr="00041B9D" w:rsidRDefault="00690E8D" w:rsidP="002E67C4">
            <w:pPr>
              <w:pStyle w:val="TableText"/>
              <w:jc w:val="right"/>
            </w:pPr>
            <w:r w:rsidRPr="00041B9D">
              <w:t>15.3 (14.3, 16.4)</w:t>
            </w:r>
          </w:p>
        </w:tc>
      </w:tr>
      <w:tr w:rsidR="002E67C4" w:rsidRPr="0035143C" w14:paraId="79A335CB" w14:textId="77777777" w:rsidTr="00B737A1">
        <w:trPr>
          <w:cantSplit/>
        </w:trPr>
        <w:tc>
          <w:tcPr>
            <w:tcW w:w="2060" w:type="dxa"/>
            <w:hideMark/>
          </w:tcPr>
          <w:p w14:paraId="7C6A281D" w14:textId="77777777" w:rsidR="00690E8D" w:rsidRPr="00041B9D" w:rsidRDefault="00690E8D" w:rsidP="002E67C4">
            <w:pPr>
              <w:pStyle w:val="TableText"/>
            </w:pPr>
            <w:r w:rsidRPr="00041B9D">
              <w:t>58+</w:t>
            </w:r>
          </w:p>
        </w:tc>
        <w:tc>
          <w:tcPr>
            <w:tcW w:w="630" w:type="dxa"/>
            <w:hideMark/>
          </w:tcPr>
          <w:p w14:paraId="0F91D3C7" w14:textId="77777777" w:rsidR="00690E8D" w:rsidRPr="00041B9D" w:rsidRDefault="00690E8D" w:rsidP="002E67C4">
            <w:pPr>
              <w:pStyle w:val="TableText"/>
              <w:jc w:val="right"/>
            </w:pPr>
            <w:r w:rsidRPr="00041B9D">
              <w:t>548</w:t>
            </w:r>
          </w:p>
        </w:tc>
        <w:tc>
          <w:tcPr>
            <w:tcW w:w="810" w:type="dxa"/>
            <w:hideMark/>
          </w:tcPr>
          <w:p w14:paraId="68763ADA" w14:textId="77777777" w:rsidR="00690E8D" w:rsidRPr="00041B9D" w:rsidRDefault="00690E8D" w:rsidP="002E67C4">
            <w:pPr>
              <w:pStyle w:val="TableText"/>
              <w:jc w:val="right"/>
            </w:pPr>
            <w:r w:rsidRPr="00041B9D">
              <w:t>1937</w:t>
            </w:r>
          </w:p>
        </w:tc>
        <w:tc>
          <w:tcPr>
            <w:tcW w:w="1159" w:type="dxa"/>
            <w:hideMark/>
          </w:tcPr>
          <w:p w14:paraId="1ABCBAED" w14:textId="77777777" w:rsidR="00690E8D" w:rsidRPr="00041B9D" w:rsidRDefault="00690E8D" w:rsidP="002E67C4">
            <w:pPr>
              <w:pStyle w:val="TableText"/>
              <w:jc w:val="right"/>
            </w:pPr>
            <w:r w:rsidRPr="00041B9D">
              <w:t>7.8 (7.2, 8.4)</w:t>
            </w:r>
          </w:p>
        </w:tc>
        <w:tc>
          <w:tcPr>
            <w:tcW w:w="641" w:type="dxa"/>
            <w:hideMark/>
          </w:tcPr>
          <w:p w14:paraId="555BE7FE" w14:textId="77777777" w:rsidR="00690E8D" w:rsidRPr="00041B9D" w:rsidRDefault="00690E8D" w:rsidP="002E67C4">
            <w:pPr>
              <w:pStyle w:val="TableText"/>
              <w:jc w:val="right"/>
            </w:pPr>
            <w:r w:rsidRPr="00041B9D">
              <w:t>201</w:t>
            </w:r>
          </w:p>
        </w:tc>
        <w:tc>
          <w:tcPr>
            <w:tcW w:w="810" w:type="dxa"/>
            <w:hideMark/>
          </w:tcPr>
          <w:p w14:paraId="41DFE991" w14:textId="77777777" w:rsidR="00690E8D" w:rsidRPr="00041B9D" w:rsidRDefault="00690E8D" w:rsidP="002E67C4">
            <w:pPr>
              <w:pStyle w:val="TableText"/>
              <w:jc w:val="right"/>
            </w:pPr>
            <w:r w:rsidRPr="00041B9D">
              <w:t>721</w:t>
            </w:r>
          </w:p>
        </w:tc>
        <w:tc>
          <w:tcPr>
            <w:tcW w:w="1149" w:type="dxa"/>
            <w:hideMark/>
          </w:tcPr>
          <w:p w14:paraId="461047E7" w14:textId="77777777" w:rsidR="00690E8D" w:rsidRPr="00041B9D" w:rsidRDefault="00690E8D" w:rsidP="002E67C4">
            <w:pPr>
              <w:pStyle w:val="TableText"/>
              <w:jc w:val="right"/>
            </w:pPr>
            <w:r w:rsidRPr="00041B9D">
              <w:t>1.4 (1.1, 1.7)</w:t>
            </w:r>
          </w:p>
        </w:tc>
      </w:tr>
      <w:tr w:rsidR="002E67C4" w:rsidRPr="0035143C" w14:paraId="4257B958"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05539487" w14:textId="77777777" w:rsidR="00690E8D" w:rsidRPr="004C6CF5" w:rsidRDefault="00690E8D" w:rsidP="002E67C4">
            <w:pPr>
              <w:pStyle w:val="TableText"/>
              <w:rPr>
                <w:b/>
              </w:rPr>
            </w:pPr>
            <w:r w:rsidRPr="004C6CF5">
              <w:rPr>
                <w:b/>
              </w:rPr>
              <w:t>Sex</w:t>
            </w:r>
            <w:r w:rsidRPr="004C6CF5">
              <w:rPr>
                <w:b/>
                <w:vertAlign w:val="superscript"/>
              </w:rPr>
              <w:t>*</w:t>
            </w:r>
          </w:p>
        </w:tc>
        <w:tc>
          <w:tcPr>
            <w:tcW w:w="630" w:type="dxa"/>
          </w:tcPr>
          <w:p w14:paraId="7275A22E" w14:textId="77777777" w:rsidR="00690E8D" w:rsidRPr="00041B9D" w:rsidRDefault="00690E8D" w:rsidP="002E67C4">
            <w:pPr>
              <w:pStyle w:val="TableText"/>
              <w:jc w:val="right"/>
            </w:pPr>
          </w:p>
        </w:tc>
        <w:tc>
          <w:tcPr>
            <w:tcW w:w="810" w:type="dxa"/>
          </w:tcPr>
          <w:p w14:paraId="25DBC62F" w14:textId="77777777" w:rsidR="00690E8D" w:rsidRPr="00041B9D" w:rsidRDefault="00690E8D" w:rsidP="002E67C4">
            <w:pPr>
              <w:pStyle w:val="TableText"/>
              <w:jc w:val="right"/>
              <w:rPr>
                <w:color w:val="000000" w:themeColor="text1"/>
              </w:rPr>
            </w:pPr>
          </w:p>
        </w:tc>
        <w:tc>
          <w:tcPr>
            <w:tcW w:w="1159" w:type="dxa"/>
          </w:tcPr>
          <w:p w14:paraId="7B4EBC22" w14:textId="77777777" w:rsidR="00690E8D" w:rsidRPr="00041B9D" w:rsidRDefault="00690E8D" w:rsidP="002E67C4">
            <w:pPr>
              <w:pStyle w:val="TableText"/>
              <w:jc w:val="right"/>
            </w:pPr>
          </w:p>
        </w:tc>
        <w:tc>
          <w:tcPr>
            <w:tcW w:w="641" w:type="dxa"/>
          </w:tcPr>
          <w:p w14:paraId="169453FF" w14:textId="77777777" w:rsidR="00690E8D" w:rsidRPr="00041B9D" w:rsidRDefault="00690E8D" w:rsidP="002E67C4">
            <w:pPr>
              <w:pStyle w:val="TableText"/>
              <w:jc w:val="right"/>
            </w:pPr>
          </w:p>
        </w:tc>
        <w:tc>
          <w:tcPr>
            <w:tcW w:w="810" w:type="dxa"/>
          </w:tcPr>
          <w:p w14:paraId="536729FD" w14:textId="77777777" w:rsidR="00690E8D" w:rsidRPr="00041B9D" w:rsidRDefault="00690E8D" w:rsidP="002E67C4">
            <w:pPr>
              <w:pStyle w:val="TableText"/>
              <w:jc w:val="right"/>
              <w:rPr>
                <w:color w:val="000000" w:themeColor="text1"/>
              </w:rPr>
            </w:pPr>
          </w:p>
        </w:tc>
        <w:tc>
          <w:tcPr>
            <w:tcW w:w="1149" w:type="dxa"/>
          </w:tcPr>
          <w:p w14:paraId="37C2AC46" w14:textId="77777777" w:rsidR="00690E8D" w:rsidRPr="00041B9D" w:rsidRDefault="00690E8D" w:rsidP="002E67C4">
            <w:pPr>
              <w:pStyle w:val="TableText"/>
              <w:jc w:val="right"/>
            </w:pPr>
          </w:p>
        </w:tc>
      </w:tr>
      <w:tr w:rsidR="002E67C4" w:rsidRPr="0035143C" w14:paraId="21F744C6" w14:textId="77777777" w:rsidTr="00B737A1">
        <w:trPr>
          <w:cantSplit/>
        </w:trPr>
        <w:tc>
          <w:tcPr>
            <w:tcW w:w="2060" w:type="dxa"/>
            <w:hideMark/>
          </w:tcPr>
          <w:p w14:paraId="3A6E3C7C" w14:textId="77777777" w:rsidR="00690E8D" w:rsidRPr="00041B9D" w:rsidRDefault="00690E8D" w:rsidP="002E67C4">
            <w:pPr>
              <w:pStyle w:val="TableText"/>
            </w:pPr>
            <w:r w:rsidRPr="00041B9D">
              <w:t>Male</w:t>
            </w:r>
          </w:p>
        </w:tc>
        <w:tc>
          <w:tcPr>
            <w:tcW w:w="630" w:type="dxa"/>
            <w:hideMark/>
          </w:tcPr>
          <w:p w14:paraId="321340E2" w14:textId="77777777" w:rsidR="00690E8D" w:rsidRPr="00041B9D" w:rsidRDefault="00690E8D" w:rsidP="002E67C4">
            <w:pPr>
              <w:pStyle w:val="TableText"/>
              <w:jc w:val="right"/>
            </w:pPr>
            <w:r w:rsidRPr="00041B9D">
              <w:t>3646</w:t>
            </w:r>
          </w:p>
        </w:tc>
        <w:tc>
          <w:tcPr>
            <w:tcW w:w="810" w:type="dxa"/>
            <w:hideMark/>
          </w:tcPr>
          <w:p w14:paraId="27ACDDCB" w14:textId="77777777" w:rsidR="00690E8D" w:rsidRPr="00041B9D" w:rsidRDefault="00690E8D" w:rsidP="002E67C4">
            <w:pPr>
              <w:pStyle w:val="TableText"/>
              <w:jc w:val="right"/>
            </w:pPr>
            <w:r w:rsidRPr="00041B9D">
              <w:t>21,671</w:t>
            </w:r>
          </w:p>
        </w:tc>
        <w:tc>
          <w:tcPr>
            <w:tcW w:w="1159" w:type="dxa"/>
            <w:hideMark/>
          </w:tcPr>
          <w:p w14:paraId="2DC5775C" w14:textId="77777777" w:rsidR="00690E8D" w:rsidRPr="00041B9D" w:rsidRDefault="00690E8D" w:rsidP="002E67C4">
            <w:pPr>
              <w:pStyle w:val="TableText"/>
              <w:jc w:val="right"/>
            </w:pPr>
            <w:r w:rsidRPr="00041B9D">
              <w:t>86.9</w:t>
            </w:r>
          </w:p>
        </w:tc>
        <w:tc>
          <w:tcPr>
            <w:tcW w:w="641" w:type="dxa"/>
            <w:hideMark/>
          </w:tcPr>
          <w:p w14:paraId="0B80CA42" w14:textId="77777777" w:rsidR="00690E8D" w:rsidRPr="00041B9D" w:rsidRDefault="00690E8D" w:rsidP="002E67C4">
            <w:pPr>
              <w:pStyle w:val="TableText"/>
              <w:jc w:val="right"/>
            </w:pPr>
            <w:r w:rsidRPr="00041B9D">
              <w:t>6693</w:t>
            </w:r>
          </w:p>
        </w:tc>
        <w:tc>
          <w:tcPr>
            <w:tcW w:w="810" w:type="dxa"/>
            <w:hideMark/>
          </w:tcPr>
          <w:p w14:paraId="66DC048A" w14:textId="77777777" w:rsidR="00690E8D" w:rsidRPr="00041B9D" w:rsidRDefault="00690E8D" w:rsidP="002E67C4">
            <w:pPr>
              <w:pStyle w:val="TableText"/>
              <w:jc w:val="right"/>
            </w:pPr>
            <w:r w:rsidRPr="00041B9D">
              <w:t>47,645</w:t>
            </w:r>
          </w:p>
        </w:tc>
        <w:tc>
          <w:tcPr>
            <w:tcW w:w="1149" w:type="dxa"/>
            <w:hideMark/>
          </w:tcPr>
          <w:p w14:paraId="21A715AD" w14:textId="77777777" w:rsidR="00690E8D" w:rsidRPr="00041B9D" w:rsidRDefault="00690E8D" w:rsidP="002E67C4">
            <w:pPr>
              <w:pStyle w:val="TableText"/>
              <w:jc w:val="right"/>
            </w:pPr>
            <w:r w:rsidRPr="00041B9D">
              <w:t>90.8</w:t>
            </w:r>
          </w:p>
        </w:tc>
      </w:tr>
      <w:tr w:rsidR="002E67C4" w:rsidRPr="0035143C" w14:paraId="10817C88"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bottom w:val="single" w:sz="4" w:space="0" w:color="000000"/>
            </w:tcBorders>
            <w:hideMark/>
          </w:tcPr>
          <w:p w14:paraId="261618E1" w14:textId="77777777" w:rsidR="00690E8D" w:rsidRPr="00041B9D" w:rsidRDefault="00690E8D" w:rsidP="002E67C4">
            <w:pPr>
              <w:pStyle w:val="TableText"/>
            </w:pPr>
            <w:r w:rsidRPr="00041B9D">
              <w:t>Female</w:t>
            </w:r>
          </w:p>
        </w:tc>
        <w:tc>
          <w:tcPr>
            <w:tcW w:w="630" w:type="dxa"/>
            <w:tcBorders>
              <w:bottom w:val="single" w:sz="4" w:space="0" w:color="000000"/>
            </w:tcBorders>
            <w:hideMark/>
          </w:tcPr>
          <w:p w14:paraId="38C52503" w14:textId="77777777" w:rsidR="00690E8D" w:rsidRPr="00041B9D" w:rsidRDefault="00690E8D" w:rsidP="002E67C4">
            <w:pPr>
              <w:pStyle w:val="TableText"/>
              <w:jc w:val="right"/>
            </w:pPr>
            <w:r w:rsidRPr="00041B9D">
              <w:t>680</w:t>
            </w:r>
          </w:p>
        </w:tc>
        <w:tc>
          <w:tcPr>
            <w:tcW w:w="810" w:type="dxa"/>
            <w:tcBorders>
              <w:bottom w:val="single" w:sz="4" w:space="0" w:color="000000"/>
            </w:tcBorders>
            <w:hideMark/>
          </w:tcPr>
          <w:p w14:paraId="7E29C38C" w14:textId="77777777" w:rsidR="00690E8D" w:rsidRPr="00041B9D" w:rsidRDefault="00690E8D" w:rsidP="002E67C4">
            <w:pPr>
              <w:pStyle w:val="TableText"/>
              <w:jc w:val="right"/>
            </w:pPr>
            <w:r w:rsidRPr="00041B9D">
              <w:t>3261</w:t>
            </w:r>
          </w:p>
        </w:tc>
        <w:tc>
          <w:tcPr>
            <w:tcW w:w="1159" w:type="dxa"/>
            <w:tcBorders>
              <w:bottom w:val="single" w:sz="4" w:space="0" w:color="000000"/>
            </w:tcBorders>
            <w:hideMark/>
          </w:tcPr>
          <w:p w14:paraId="233FBB6F" w14:textId="77777777" w:rsidR="00690E8D" w:rsidRPr="00041B9D" w:rsidRDefault="00690E8D" w:rsidP="002E67C4">
            <w:pPr>
              <w:pStyle w:val="TableText"/>
              <w:jc w:val="right"/>
            </w:pPr>
            <w:r w:rsidRPr="00041B9D">
              <w:t>13.1</w:t>
            </w:r>
          </w:p>
        </w:tc>
        <w:tc>
          <w:tcPr>
            <w:tcW w:w="641" w:type="dxa"/>
            <w:tcBorders>
              <w:bottom w:val="single" w:sz="4" w:space="0" w:color="000000"/>
            </w:tcBorders>
            <w:hideMark/>
          </w:tcPr>
          <w:p w14:paraId="5F06689D" w14:textId="77777777" w:rsidR="00690E8D" w:rsidRPr="00041B9D" w:rsidRDefault="00690E8D" w:rsidP="002E67C4">
            <w:pPr>
              <w:pStyle w:val="TableText"/>
              <w:jc w:val="right"/>
            </w:pPr>
            <w:r w:rsidRPr="00041B9D">
              <w:t>1787</w:t>
            </w:r>
          </w:p>
        </w:tc>
        <w:tc>
          <w:tcPr>
            <w:tcW w:w="810" w:type="dxa"/>
            <w:tcBorders>
              <w:bottom w:val="single" w:sz="4" w:space="0" w:color="000000"/>
            </w:tcBorders>
            <w:hideMark/>
          </w:tcPr>
          <w:p w14:paraId="13E84054" w14:textId="77777777" w:rsidR="00690E8D" w:rsidRPr="00041B9D" w:rsidRDefault="00690E8D" w:rsidP="002E67C4">
            <w:pPr>
              <w:pStyle w:val="TableText"/>
              <w:jc w:val="right"/>
            </w:pPr>
            <w:r w:rsidRPr="00041B9D">
              <w:t>4855</w:t>
            </w:r>
          </w:p>
        </w:tc>
        <w:tc>
          <w:tcPr>
            <w:tcW w:w="1149" w:type="dxa"/>
            <w:tcBorders>
              <w:bottom w:val="single" w:sz="4" w:space="0" w:color="000000"/>
            </w:tcBorders>
            <w:hideMark/>
          </w:tcPr>
          <w:p w14:paraId="4FF8A291" w14:textId="77777777" w:rsidR="00690E8D" w:rsidRPr="00041B9D" w:rsidRDefault="00690E8D" w:rsidP="002E67C4">
            <w:pPr>
              <w:pStyle w:val="TableText"/>
              <w:jc w:val="right"/>
            </w:pPr>
            <w:r w:rsidRPr="00041B9D">
              <w:t>9.2</w:t>
            </w:r>
          </w:p>
        </w:tc>
      </w:tr>
      <w:tr w:rsidR="002E67C4" w:rsidRPr="0035143C" w14:paraId="30A41319" w14:textId="77777777" w:rsidTr="00B737A1">
        <w:trPr>
          <w:cantSplit/>
        </w:trPr>
        <w:tc>
          <w:tcPr>
            <w:tcW w:w="2060" w:type="dxa"/>
            <w:tcBorders>
              <w:top w:val="single" w:sz="4" w:space="0" w:color="000000"/>
              <w:bottom w:val="nil"/>
            </w:tcBorders>
            <w:hideMark/>
          </w:tcPr>
          <w:p w14:paraId="52931771" w14:textId="77777777" w:rsidR="00690E8D" w:rsidRPr="004C6CF5" w:rsidRDefault="00690E8D" w:rsidP="002E67C4">
            <w:pPr>
              <w:pStyle w:val="TableText"/>
              <w:rPr>
                <w:b/>
              </w:rPr>
            </w:pPr>
            <w:r w:rsidRPr="004C6CF5">
              <w:rPr>
                <w:b/>
              </w:rPr>
              <w:t xml:space="preserve">Relationship status </w:t>
            </w:r>
          </w:p>
        </w:tc>
        <w:tc>
          <w:tcPr>
            <w:tcW w:w="630" w:type="dxa"/>
            <w:tcBorders>
              <w:top w:val="single" w:sz="4" w:space="0" w:color="000000"/>
              <w:bottom w:val="nil"/>
            </w:tcBorders>
          </w:tcPr>
          <w:p w14:paraId="6FF72011" w14:textId="77777777" w:rsidR="00690E8D" w:rsidRPr="00041B9D" w:rsidRDefault="00690E8D" w:rsidP="002E67C4">
            <w:pPr>
              <w:pStyle w:val="TableText"/>
              <w:jc w:val="right"/>
            </w:pPr>
          </w:p>
        </w:tc>
        <w:tc>
          <w:tcPr>
            <w:tcW w:w="810" w:type="dxa"/>
            <w:tcBorders>
              <w:top w:val="single" w:sz="4" w:space="0" w:color="000000"/>
              <w:bottom w:val="nil"/>
            </w:tcBorders>
          </w:tcPr>
          <w:p w14:paraId="76961A18" w14:textId="77777777" w:rsidR="00690E8D" w:rsidRPr="00041B9D" w:rsidRDefault="00690E8D" w:rsidP="002E67C4">
            <w:pPr>
              <w:pStyle w:val="TableText"/>
              <w:jc w:val="right"/>
              <w:rPr>
                <w:color w:val="000000" w:themeColor="text1"/>
              </w:rPr>
            </w:pPr>
          </w:p>
        </w:tc>
        <w:tc>
          <w:tcPr>
            <w:tcW w:w="1159" w:type="dxa"/>
            <w:tcBorders>
              <w:top w:val="single" w:sz="4" w:space="0" w:color="000000"/>
              <w:bottom w:val="nil"/>
            </w:tcBorders>
          </w:tcPr>
          <w:p w14:paraId="7773F68A" w14:textId="77777777" w:rsidR="00690E8D" w:rsidRPr="00041B9D" w:rsidRDefault="00690E8D" w:rsidP="002E67C4">
            <w:pPr>
              <w:pStyle w:val="TableText"/>
              <w:jc w:val="right"/>
            </w:pPr>
          </w:p>
        </w:tc>
        <w:tc>
          <w:tcPr>
            <w:tcW w:w="641" w:type="dxa"/>
            <w:tcBorders>
              <w:top w:val="single" w:sz="4" w:space="0" w:color="000000"/>
              <w:bottom w:val="nil"/>
            </w:tcBorders>
          </w:tcPr>
          <w:p w14:paraId="36C5F4A9" w14:textId="77777777" w:rsidR="00690E8D" w:rsidRPr="00041B9D" w:rsidRDefault="00690E8D" w:rsidP="002E67C4">
            <w:pPr>
              <w:pStyle w:val="TableText"/>
              <w:jc w:val="right"/>
              <w:rPr>
                <w:color w:val="000000" w:themeColor="text1"/>
              </w:rPr>
            </w:pPr>
          </w:p>
        </w:tc>
        <w:tc>
          <w:tcPr>
            <w:tcW w:w="810" w:type="dxa"/>
            <w:tcBorders>
              <w:top w:val="single" w:sz="4" w:space="0" w:color="000000"/>
              <w:bottom w:val="nil"/>
            </w:tcBorders>
          </w:tcPr>
          <w:p w14:paraId="6347B9DB" w14:textId="77777777" w:rsidR="00690E8D" w:rsidRPr="00041B9D" w:rsidRDefault="00690E8D" w:rsidP="002E67C4">
            <w:pPr>
              <w:pStyle w:val="TableText"/>
              <w:jc w:val="right"/>
              <w:rPr>
                <w:color w:val="000000" w:themeColor="text1"/>
              </w:rPr>
            </w:pPr>
          </w:p>
        </w:tc>
        <w:tc>
          <w:tcPr>
            <w:tcW w:w="1149" w:type="dxa"/>
            <w:tcBorders>
              <w:top w:val="single" w:sz="4" w:space="0" w:color="000000"/>
              <w:bottom w:val="nil"/>
            </w:tcBorders>
          </w:tcPr>
          <w:p w14:paraId="51B1E4D1" w14:textId="77777777" w:rsidR="00690E8D" w:rsidRPr="00041B9D" w:rsidRDefault="00690E8D" w:rsidP="002E67C4">
            <w:pPr>
              <w:pStyle w:val="TableText"/>
              <w:jc w:val="right"/>
            </w:pPr>
          </w:p>
        </w:tc>
      </w:tr>
      <w:tr w:rsidR="002E67C4" w:rsidRPr="0035143C" w14:paraId="19BF9688"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top w:val="nil"/>
            </w:tcBorders>
            <w:hideMark/>
          </w:tcPr>
          <w:p w14:paraId="217D7283" w14:textId="77777777" w:rsidR="00690E8D" w:rsidRPr="00041B9D" w:rsidRDefault="00690E8D" w:rsidP="002E67C4">
            <w:pPr>
              <w:pStyle w:val="TableText"/>
            </w:pPr>
            <w:r w:rsidRPr="00041B9D">
              <w:t xml:space="preserve">In a relationship and living together </w:t>
            </w:r>
          </w:p>
        </w:tc>
        <w:tc>
          <w:tcPr>
            <w:tcW w:w="630" w:type="dxa"/>
            <w:tcBorders>
              <w:top w:val="nil"/>
            </w:tcBorders>
            <w:hideMark/>
          </w:tcPr>
          <w:p w14:paraId="649EC98E" w14:textId="77777777" w:rsidR="00690E8D" w:rsidRPr="00041B9D" w:rsidRDefault="00690E8D" w:rsidP="002E67C4">
            <w:pPr>
              <w:pStyle w:val="TableText"/>
              <w:jc w:val="right"/>
            </w:pPr>
            <w:r w:rsidRPr="00041B9D">
              <w:t>3121</w:t>
            </w:r>
          </w:p>
        </w:tc>
        <w:tc>
          <w:tcPr>
            <w:tcW w:w="810" w:type="dxa"/>
            <w:tcBorders>
              <w:top w:val="nil"/>
            </w:tcBorders>
            <w:hideMark/>
          </w:tcPr>
          <w:p w14:paraId="3AA72EBE" w14:textId="77777777" w:rsidR="00690E8D" w:rsidRPr="00041B9D" w:rsidRDefault="00690E8D" w:rsidP="002E67C4">
            <w:pPr>
              <w:pStyle w:val="TableText"/>
              <w:jc w:val="right"/>
            </w:pPr>
            <w:r w:rsidRPr="00041B9D">
              <w:t>16,453</w:t>
            </w:r>
          </w:p>
        </w:tc>
        <w:tc>
          <w:tcPr>
            <w:tcW w:w="1159" w:type="dxa"/>
            <w:tcBorders>
              <w:top w:val="nil"/>
            </w:tcBorders>
            <w:hideMark/>
          </w:tcPr>
          <w:p w14:paraId="3AB906EA" w14:textId="77777777" w:rsidR="00690E8D" w:rsidRPr="00041B9D" w:rsidRDefault="00690E8D" w:rsidP="002E67C4">
            <w:pPr>
              <w:pStyle w:val="TableText"/>
              <w:jc w:val="right"/>
            </w:pPr>
            <w:r w:rsidRPr="00041B9D">
              <w:t>65.9 (64.2, 67.7)</w:t>
            </w:r>
          </w:p>
        </w:tc>
        <w:tc>
          <w:tcPr>
            <w:tcW w:w="641" w:type="dxa"/>
            <w:tcBorders>
              <w:top w:val="nil"/>
            </w:tcBorders>
            <w:hideMark/>
          </w:tcPr>
          <w:p w14:paraId="674B1B51" w14:textId="77777777" w:rsidR="00690E8D" w:rsidRPr="00041B9D" w:rsidRDefault="00690E8D" w:rsidP="002E67C4">
            <w:pPr>
              <w:pStyle w:val="TableText"/>
              <w:jc w:val="right"/>
            </w:pPr>
            <w:r w:rsidRPr="00041B9D">
              <w:t>5964</w:t>
            </w:r>
          </w:p>
        </w:tc>
        <w:tc>
          <w:tcPr>
            <w:tcW w:w="810" w:type="dxa"/>
            <w:tcBorders>
              <w:top w:val="nil"/>
            </w:tcBorders>
            <w:hideMark/>
          </w:tcPr>
          <w:p w14:paraId="4763EA3C" w14:textId="77777777" w:rsidR="00690E8D" w:rsidRPr="00041B9D" w:rsidRDefault="00690E8D" w:rsidP="002E67C4">
            <w:pPr>
              <w:pStyle w:val="TableText"/>
              <w:jc w:val="right"/>
            </w:pPr>
            <w:r w:rsidRPr="00041B9D">
              <w:t>33433</w:t>
            </w:r>
          </w:p>
        </w:tc>
        <w:tc>
          <w:tcPr>
            <w:tcW w:w="1149" w:type="dxa"/>
            <w:tcBorders>
              <w:top w:val="nil"/>
            </w:tcBorders>
            <w:hideMark/>
          </w:tcPr>
          <w:p w14:paraId="5F1DEAA5" w14:textId="77777777" w:rsidR="00690E8D" w:rsidRPr="00041B9D" w:rsidRDefault="00690E8D" w:rsidP="002E67C4">
            <w:pPr>
              <w:pStyle w:val="TableText"/>
              <w:jc w:val="right"/>
            </w:pPr>
            <w:r w:rsidRPr="00041B9D">
              <w:t>63.7 (60.1, 67.2)</w:t>
            </w:r>
          </w:p>
        </w:tc>
      </w:tr>
      <w:tr w:rsidR="002E67C4" w:rsidRPr="0035143C" w14:paraId="149FB021" w14:textId="77777777" w:rsidTr="00B737A1">
        <w:trPr>
          <w:cantSplit/>
        </w:trPr>
        <w:tc>
          <w:tcPr>
            <w:tcW w:w="2060" w:type="dxa"/>
            <w:hideMark/>
          </w:tcPr>
          <w:p w14:paraId="65FEAA08" w14:textId="77777777" w:rsidR="00690E8D" w:rsidRPr="00041B9D" w:rsidRDefault="00690E8D" w:rsidP="002E67C4">
            <w:pPr>
              <w:pStyle w:val="TableText"/>
            </w:pPr>
            <w:r w:rsidRPr="00041B9D">
              <w:t xml:space="preserve">In a relationship not living together </w:t>
            </w:r>
          </w:p>
        </w:tc>
        <w:tc>
          <w:tcPr>
            <w:tcW w:w="630" w:type="dxa"/>
            <w:hideMark/>
          </w:tcPr>
          <w:p w14:paraId="75CDF1CF" w14:textId="77777777" w:rsidR="00690E8D" w:rsidRPr="00041B9D" w:rsidRDefault="00690E8D" w:rsidP="002E67C4">
            <w:pPr>
              <w:pStyle w:val="TableText"/>
              <w:jc w:val="right"/>
            </w:pPr>
            <w:r w:rsidRPr="00041B9D">
              <w:t>301</w:t>
            </w:r>
          </w:p>
        </w:tc>
        <w:tc>
          <w:tcPr>
            <w:tcW w:w="810" w:type="dxa"/>
            <w:hideMark/>
          </w:tcPr>
          <w:p w14:paraId="78C28A88" w14:textId="77777777" w:rsidR="00690E8D" w:rsidRPr="00041B9D" w:rsidRDefault="00690E8D" w:rsidP="002E67C4">
            <w:pPr>
              <w:pStyle w:val="TableText"/>
              <w:jc w:val="right"/>
            </w:pPr>
            <w:r w:rsidRPr="00041B9D">
              <w:t>2182</w:t>
            </w:r>
          </w:p>
        </w:tc>
        <w:tc>
          <w:tcPr>
            <w:tcW w:w="1159" w:type="dxa"/>
            <w:hideMark/>
          </w:tcPr>
          <w:p w14:paraId="5A4978D1" w14:textId="77777777" w:rsidR="00690E8D" w:rsidRPr="00041B9D" w:rsidRDefault="00690E8D" w:rsidP="002E67C4">
            <w:pPr>
              <w:pStyle w:val="TableText"/>
              <w:jc w:val="right"/>
            </w:pPr>
            <w:r w:rsidRPr="00041B9D">
              <w:t>8.8 (7.7, 9.9)</w:t>
            </w:r>
          </w:p>
        </w:tc>
        <w:tc>
          <w:tcPr>
            <w:tcW w:w="641" w:type="dxa"/>
            <w:hideMark/>
          </w:tcPr>
          <w:p w14:paraId="4FACDC0A" w14:textId="77777777" w:rsidR="00690E8D" w:rsidRPr="00041B9D" w:rsidRDefault="00690E8D" w:rsidP="002E67C4">
            <w:pPr>
              <w:pStyle w:val="TableText"/>
              <w:jc w:val="right"/>
            </w:pPr>
            <w:r w:rsidRPr="00041B9D">
              <w:t>1100</w:t>
            </w:r>
          </w:p>
        </w:tc>
        <w:tc>
          <w:tcPr>
            <w:tcW w:w="810" w:type="dxa"/>
            <w:hideMark/>
          </w:tcPr>
          <w:p w14:paraId="35825DF9" w14:textId="77777777" w:rsidR="00690E8D" w:rsidRPr="00041B9D" w:rsidRDefault="00690E8D" w:rsidP="002E67C4">
            <w:pPr>
              <w:pStyle w:val="TableText"/>
              <w:jc w:val="right"/>
            </w:pPr>
            <w:r w:rsidRPr="00041B9D">
              <w:t>8294</w:t>
            </w:r>
          </w:p>
        </w:tc>
        <w:tc>
          <w:tcPr>
            <w:tcW w:w="1149" w:type="dxa"/>
            <w:hideMark/>
          </w:tcPr>
          <w:p w14:paraId="655BFA56" w14:textId="77777777" w:rsidR="00690E8D" w:rsidRPr="00041B9D" w:rsidRDefault="00690E8D" w:rsidP="002E67C4">
            <w:pPr>
              <w:pStyle w:val="TableText"/>
              <w:jc w:val="right"/>
            </w:pPr>
            <w:r w:rsidRPr="00041B9D">
              <w:t>15.8 (13.1, 18.9)</w:t>
            </w:r>
          </w:p>
        </w:tc>
      </w:tr>
      <w:tr w:rsidR="002E67C4" w:rsidRPr="0035143C" w14:paraId="40A8C6CF"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bottom w:val="single" w:sz="4" w:space="0" w:color="000000"/>
            </w:tcBorders>
            <w:hideMark/>
          </w:tcPr>
          <w:p w14:paraId="4D349144" w14:textId="77777777" w:rsidR="00690E8D" w:rsidRPr="00041B9D" w:rsidRDefault="00690E8D" w:rsidP="002E67C4">
            <w:pPr>
              <w:pStyle w:val="TableText"/>
            </w:pPr>
            <w:r w:rsidRPr="00041B9D">
              <w:t xml:space="preserve">Not in a relationship </w:t>
            </w:r>
          </w:p>
        </w:tc>
        <w:tc>
          <w:tcPr>
            <w:tcW w:w="630" w:type="dxa"/>
            <w:tcBorders>
              <w:bottom w:val="single" w:sz="4" w:space="0" w:color="000000"/>
            </w:tcBorders>
            <w:hideMark/>
          </w:tcPr>
          <w:p w14:paraId="74B5CF24" w14:textId="77777777" w:rsidR="00690E8D" w:rsidRPr="00041B9D" w:rsidRDefault="00690E8D" w:rsidP="002E67C4">
            <w:pPr>
              <w:pStyle w:val="TableText"/>
              <w:jc w:val="right"/>
            </w:pPr>
            <w:r w:rsidRPr="00041B9D">
              <w:t>821</w:t>
            </w:r>
          </w:p>
        </w:tc>
        <w:tc>
          <w:tcPr>
            <w:tcW w:w="810" w:type="dxa"/>
            <w:tcBorders>
              <w:bottom w:val="single" w:sz="4" w:space="0" w:color="000000"/>
            </w:tcBorders>
            <w:hideMark/>
          </w:tcPr>
          <w:p w14:paraId="7DD8986D" w14:textId="77777777" w:rsidR="00690E8D" w:rsidRPr="00041B9D" w:rsidRDefault="00690E8D" w:rsidP="002E67C4">
            <w:pPr>
              <w:pStyle w:val="TableText"/>
              <w:jc w:val="right"/>
            </w:pPr>
            <w:r w:rsidRPr="00041B9D">
              <w:t>5738</w:t>
            </w:r>
          </w:p>
        </w:tc>
        <w:tc>
          <w:tcPr>
            <w:tcW w:w="1159" w:type="dxa"/>
            <w:tcBorders>
              <w:bottom w:val="single" w:sz="4" w:space="0" w:color="000000"/>
            </w:tcBorders>
            <w:hideMark/>
          </w:tcPr>
          <w:p w14:paraId="795C93A4" w14:textId="77777777" w:rsidR="00690E8D" w:rsidRPr="00041B9D" w:rsidRDefault="00690E8D" w:rsidP="002E67C4">
            <w:pPr>
              <w:pStyle w:val="TableText"/>
              <w:jc w:val="right"/>
            </w:pPr>
            <w:r w:rsidRPr="00041B9D">
              <w:t>23.0 (21.5, 24.7)</w:t>
            </w:r>
          </w:p>
        </w:tc>
        <w:tc>
          <w:tcPr>
            <w:tcW w:w="641" w:type="dxa"/>
            <w:tcBorders>
              <w:bottom w:val="single" w:sz="4" w:space="0" w:color="000000"/>
            </w:tcBorders>
            <w:hideMark/>
          </w:tcPr>
          <w:p w14:paraId="6F98F921" w14:textId="77777777" w:rsidR="00690E8D" w:rsidRPr="00041B9D" w:rsidRDefault="00690E8D" w:rsidP="002E67C4">
            <w:pPr>
              <w:pStyle w:val="TableText"/>
              <w:jc w:val="right"/>
            </w:pPr>
            <w:r w:rsidRPr="00041B9D">
              <w:t>1263</w:t>
            </w:r>
          </w:p>
        </w:tc>
        <w:tc>
          <w:tcPr>
            <w:tcW w:w="810" w:type="dxa"/>
            <w:tcBorders>
              <w:bottom w:val="single" w:sz="4" w:space="0" w:color="000000"/>
            </w:tcBorders>
            <w:hideMark/>
          </w:tcPr>
          <w:p w14:paraId="5A9A5F3F" w14:textId="77777777" w:rsidR="00690E8D" w:rsidRPr="00041B9D" w:rsidRDefault="00690E8D" w:rsidP="002E67C4">
            <w:pPr>
              <w:pStyle w:val="TableText"/>
              <w:jc w:val="right"/>
            </w:pPr>
            <w:r w:rsidRPr="00041B9D">
              <w:t>9847</w:t>
            </w:r>
          </w:p>
        </w:tc>
        <w:tc>
          <w:tcPr>
            <w:tcW w:w="1149" w:type="dxa"/>
            <w:tcBorders>
              <w:bottom w:val="single" w:sz="4" w:space="0" w:color="000000"/>
            </w:tcBorders>
            <w:hideMark/>
          </w:tcPr>
          <w:p w14:paraId="6F44E241" w14:textId="77777777" w:rsidR="00690E8D" w:rsidRPr="00041B9D" w:rsidRDefault="00690E8D" w:rsidP="002E67C4">
            <w:pPr>
              <w:pStyle w:val="TableText"/>
              <w:jc w:val="right"/>
            </w:pPr>
            <w:r w:rsidRPr="00041B9D">
              <w:t>18.8 (15.9, 22.0)</w:t>
            </w:r>
          </w:p>
        </w:tc>
      </w:tr>
      <w:tr w:rsidR="002E67C4" w:rsidRPr="0035143C" w14:paraId="38E27CA6" w14:textId="77777777" w:rsidTr="00B737A1">
        <w:trPr>
          <w:cantSplit/>
        </w:trPr>
        <w:tc>
          <w:tcPr>
            <w:tcW w:w="2060" w:type="dxa"/>
            <w:tcBorders>
              <w:top w:val="single" w:sz="4" w:space="0" w:color="000000"/>
              <w:bottom w:val="nil"/>
            </w:tcBorders>
            <w:hideMark/>
          </w:tcPr>
          <w:p w14:paraId="25DFBBF5" w14:textId="77777777" w:rsidR="00690E8D" w:rsidRPr="004C6CF5" w:rsidRDefault="00690E8D" w:rsidP="002E67C4">
            <w:pPr>
              <w:pStyle w:val="TableText"/>
              <w:rPr>
                <w:b/>
              </w:rPr>
            </w:pPr>
            <w:r w:rsidRPr="004C6CF5">
              <w:rPr>
                <w:b/>
              </w:rPr>
              <w:t xml:space="preserve">Education </w:t>
            </w:r>
          </w:p>
        </w:tc>
        <w:tc>
          <w:tcPr>
            <w:tcW w:w="630" w:type="dxa"/>
            <w:tcBorders>
              <w:top w:val="single" w:sz="4" w:space="0" w:color="000000"/>
              <w:bottom w:val="nil"/>
            </w:tcBorders>
          </w:tcPr>
          <w:p w14:paraId="133A67CB" w14:textId="77777777" w:rsidR="00690E8D" w:rsidRPr="00041B9D" w:rsidRDefault="00690E8D" w:rsidP="002E67C4">
            <w:pPr>
              <w:pStyle w:val="TableText"/>
              <w:jc w:val="right"/>
            </w:pPr>
          </w:p>
        </w:tc>
        <w:tc>
          <w:tcPr>
            <w:tcW w:w="810" w:type="dxa"/>
            <w:tcBorders>
              <w:top w:val="single" w:sz="4" w:space="0" w:color="000000"/>
              <w:bottom w:val="nil"/>
            </w:tcBorders>
          </w:tcPr>
          <w:p w14:paraId="42AC9CA8" w14:textId="77777777" w:rsidR="00690E8D" w:rsidRPr="00041B9D" w:rsidRDefault="00690E8D" w:rsidP="002E67C4">
            <w:pPr>
              <w:pStyle w:val="TableText"/>
              <w:jc w:val="right"/>
              <w:rPr>
                <w:color w:val="000000" w:themeColor="text1"/>
              </w:rPr>
            </w:pPr>
          </w:p>
        </w:tc>
        <w:tc>
          <w:tcPr>
            <w:tcW w:w="1159" w:type="dxa"/>
            <w:tcBorders>
              <w:top w:val="single" w:sz="4" w:space="0" w:color="000000"/>
              <w:bottom w:val="nil"/>
            </w:tcBorders>
          </w:tcPr>
          <w:p w14:paraId="73029E90" w14:textId="77777777" w:rsidR="00690E8D" w:rsidRPr="00041B9D" w:rsidRDefault="00690E8D" w:rsidP="002E67C4">
            <w:pPr>
              <w:pStyle w:val="TableText"/>
              <w:jc w:val="right"/>
            </w:pPr>
          </w:p>
        </w:tc>
        <w:tc>
          <w:tcPr>
            <w:tcW w:w="641" w:type="dxa"/>
            <w:tcBorders>
              <w:top w:val="single" w:sz="4" w:space="0" w:color="000000"/>
              <w:bottom w:val="nil"/>
            </w:tcBorders>
          </w:tcPr>
          <w:p w14:paraId="4689E9BB" w14:textId="77777777" w:rsidR="00690E8D" w:rsidRPr="00041B9D" w:rsidRDefault="00690E8D" w:rsidP="002E67C4">
            <w:pPr>
              <w:pStyle w:val="TableText"/>
              <w:jc w:val="right"/>
              <w:rPr>
                <w:color w:val="000000" w:themeColor="text1"/>
              </w:rPr>
            </w:pPr>
          </w:p>
        </w:tc>
        <w:tc>
          <w:tcPr>
            <w:tcW w:w="810" w:type="dxa"/>
            <w:tcBorders>
              <w:top w:val="single" w:sz="4" w:space="0" w:color="000000"/>
              <w:bottom w:val="nil"/>
            </w:tcBorders>
          </w:tcPr>
          <w:p w14:paraId="33D888AC" w14:textId="77777777" w:rsidR="00690E8D" w:rsidRPr="00041B9D" w:rsidRDefault="00690E8D" w:rsidP="002E67C4">
            <w:pPr>
              <w:pStyle w:val="TableText"/>
              <w:jc w:val="right"/>
              <w:rPr>
                <w:color w:val="000000" w:themeColor="text1"/>
              </w:rPr>
            </w:pPr>
          </w:p>
        </w:tc>
        <w:tc>
          <w:tcPr>
            <w:tcW w:w="1149" w:type="dxa"/>
            <w:tcBorders>
              <w:top w:val="single" w:sz="4" w:space="0" w:color="000000"/>
              <w:bottom w:val="nil"/>
            </w:tcBorders>
          </w:tcPr>
          <w:p w14:paraId="14FFEAE1" w14:textId="77777777" w:rsidR="00690E8D" w:rsidRPr="00041B9D" w:rsidRDefault="00690E8D" w:rsidP="002E67C4">
            <w:pPr>
              <w:pStyle w:val="TableText"/>
              <w:jc w:val="right"/>
            </w:pPr>
          </w:p>
        </w:tc>
      </w:tr>
      <w:tr w:rsidR="002E67C4" w:rsidRPr="0035143C" w14:paraId="664648E2"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top w:val="nil"/>
            </w:tcBorders>
            <w:hideMark/>
          </w:tcPr>
          <w:p w14:paraId="63D4CE02" w14:textId="77777777" w:rsidR="00690E8D" w:rsidRPr="00041B9D" w:rsidRDefault="00690E8D" w:rsidP="002E67C4">
            <w:pPr>
              <w:pStyle w:val="TableText"/>
            </w:pPr>
            <w:r w:rsidRPr="00041B9D">
              <w:t>Primary/</w:t>
            </w:r>
            <w:r>
              <w:t xml:space="preserve"> </w:t>
            </w:r>
            <w:r w:rsidRPr="00041B9D">
              <w:t>secondary school</w:t>
            </w:r>
          </w:p>
        </w:tc>
        <w:tc>
          <w:tcPr>
            <w:tcW w:w="630" w:type="dxa"/>
            <w:tcBorders>
              <w:top w:val="nil"/>
            </w:tcBorders>
            <w:hideMark/>
          </w:tcPr>
          <w:p w14:paraId="75F01D88" w14:textId="77777777" w:rsidR="00690E8D" w:rsidRPr="00041B9D" w:rsidRDefault="00690E8D" w:rsidP="002E67C4">
            <w:pPr>
              <w:pStyle w:val="TableText"/>
              <w:jc w:val="right"/>
            </w:pPr>
            <w:r w:rsidRPr="00041B9D">
              <w:t>1007</w:t>
            </w:r>
          </w:p>
        </w:tc>
        <w:tc>
          <w:tcPr>
            <w:tcW w:w="810" w:type="dxa"/>
            <w:tcBorders>
              <w:top w:val="nil"/>
            </w:tcBorders>
            <w:hideMark/>
          </w:tcPr>
          <w:p w14:paraId="17A9DF72" w14:textId="77777777" w:rsidR="00690E8D" w:rsidRPr="00041B9D" w:rsidRDefault="00690E8D" w:rsidP="002E67C4">
            <w:pPr>
              <w:pStyle w:val="TableText"/>
              <w:jc w:val="right"/>
            </w:pPr>
            <w:r w:rsidRPr="00041B9D">
              <w:t>7062</w:t>
            </w:r>
          </w:p>
        </w:tc>
        <w:tc>
          <w:tcPr>
            <w:tcW w:w="1159" w:type="dxa"/>
            <w:tcBorders>
              <w:top w:val="nil"/>
            </w:tcBorders>
            <w:hideMark/>
          </w:tcPr>
          <w:p w14:paraId="6AEDE7C3" w14:textId="77777777" w:rsidR="00690E8D" w:rsidRPr="00041B9D" w:rsidRDefault="00690E8D" w:rsidP="002E67C4">
            <w:pPr>
              <w:pStyle w:val="TableText"/>
              <w:jc w:val="right"/>
            </w:pPr>
            <w:r w:rsidRPr="00041B9D">
              <w:t>28.3 (26.7, 30.0)</w:t>
            </w:r>
          </w:p>
        </w:tc>
        <w:tc>
          <w:tcPr>
            <w:tcW w:w="641" w:type="dxa"/>
            <w:tcBorders>
              <w:top w:val="nil"/>
            </w:tcBorders>
            <w:hideMark/>
          </w:tcPr>
          <w:p w14:paraId="43E10B64" w14:textId="77777777" w:rsidR="00690E8D" w:rsidRPr="00041B9D" w:rsidRDefault="00690E8D" w:rsidP="002E67C4">
            <w:pPr>
              <w:pStyle w:val="TableText"/>
              <w:jc w:val="right"/>
            </w:pPr>
            <w:r w:rsidRPr="00041B9D">
              <w:t>1996</w:t>
            </w:r>
          </w:p>
        </w:tc>
        <w:tc>
          <w:tcPr>
            <w:tcW w:w="810" w:type="dxa"/>
            <w:tcBorders>
              <w:top w:val="nil"/>
            </w:tcBorders>
            <w:hideMark/>
          </w:tcPr>
          <w:p w14:paraId="2B7ED65E" w14:textId="77777777" w:rsidR="00690E8D" w:rsidRPr="00041B9D" w:rsidRDefault="00690E8D" w:rsidP="002E67C4">
            <w:pPr>
              <w:pStyle w:val="TableText"/>
              <w:jc w:val="right"/>
            </w:pPr>
            <w:r w:rsidRPr="00041B9D">
              <w:t>15,269</w:t>
            </w:r>
          </w:p>
        </w:tc>
        <w:tc>
          <w:tcPr>
            <w:tcW w:w="1149" w:type="dxa"/>
            <w:tcBorders>
              <w:top w:val="nil"/>
            </w:tcBorders>
            <w:hideMark/>
          </w:tcPr>
          <w:p w14:paraId="3BF2A239" w14:textId="77777777" w:rsidR="00690E8D" w:rsidRPr="00041B9D" w:rsidRDefault="00690E8D" w:rsidP="002E67C4">
            <w:pPr>
              <w:pStyle w:val="TableText"/>
              <w:jc w:val="right"/>
            </w:pPr>
            <w:r w:rsidRPr="00041B9D">
              <w:t>29.1 (25.8, 32.6)</w:t>
            </w:r>
          </w:p>
        </w:tc>
      </w:tr>
      <w:tr w:rsidR="002E67C4" w:rsidRPr="0035143C" w14:paraId="59BE1A92" w14:textId="77777777" w:rsidTr="00B737A1">
        <w:trPr>
          <w:cantSplit/>
        </w:trPr>
        <w:tc>
          <w:tcPr>
            <w:tcW w:w="2060" w:type="dxa"/>
            <w:hideMark/>
          </w:tcPr>
          <w:p w14:paraId="316700AF" w14:textId="77777777" w:rsidR="00690E8D" w:rsidRPr="00041B9D" w:rsidRDefault="00690E8D" w:rsidP="002E67C4">
            <w:pPr>
              <w:pStyle w:val="TableText"/>
            </w:pPr>
            <w:r w:rsidRPr="00041B9D">
              <w:t>Certificate</w:t>
            </w:r>
          </w:p>
        </w:tc>
        <w:tc>
          <w:tcPr>
            <w:tcW w:w="630" w:type="dxa"/>
            <w:hideMark/>
          </w:tcPr>
          <w:p w14:paraId="579219B5" w14:textId="77777777" w:rsidR="00690E8D" w:rsidRPr="00041B9D" w:rsidRDefault="00690E8D" w:rsidP="002E67C4">
            <w:pPr>
              <w:pStyle w:val="TableText"/>
              <w:jc w:val="right"/>
            </w:pPr>
            <w:r w:rsidRPr="00041B9D">
              <w:t>975</w:t>
            </w:r>
          </w:p>
        </w:tc>
        <w:tc>
          <w:tcPr>
            <w:tcW w:w="810" w:type="dxa"/>
            <w:hideMark/>
          </w:tcPr>
          <w:p w14:paraId="1AF11052" w14:textId="77777777" w:rsidR="00690E8D" w:rsidRPr="00041B9D" w:rsidRDefault="00690E8D" w:rsidP="002E67C4">
            <w:pPr>
              <w:pStyle w:val="TableText"/>
              <w:jc w:val="right"/>
            </w:pPr>
            <w:r w:rsidRPr="00041B9D">
              <w:t>7200</w:t>
            </w:r>
          </w:p>
        </w:tc>
        <w:tc>
          <w:tcPr>
            <w:tcW w:w="1159" w:type="dxa"/>
            <w:hideMark/>
          </w:tcPr>
          <w:p w14:paraId="2D0BCBEB" w14:textId="77777777" w:rsidR="00690E8D" w:rsidRPr="00041B9D" w:rsidRDefault="00690E8D" w:rsidP="002E67C4">
            <w:pPr>
              <w:pStyle w:val="TableText"/>
              <w:jc w:val="right"/>
            </w:pPr>
            <w:r w:rsidRPr="00041B9D">
              <w:t>28.9 (27.2, 30.6)</w:t>
            </w:r>
          </w:p>
        </w:tc>
        <w:tc>
          <w:tcPr>
            <w:tcW w:w="641" w:type="dxa"/>
            <w:hideMark/>
          </w:tcPr>
          <w:p w14:paraId="389ABDB4" w14:textId="77777777" w:rsidR="00690E8D" w:rsidRPr="00041B9D" w:rsidRDefault="00690E8D" w:rsidP="002E67C4">
            <w:pPr>
              <w:pStyle w:val="TableText"/>
              <w:jc w:val="right"/>
            </w:pPr>
            <w:r w:rsidRPr="00041B9D">
              <w:t>1723</w:t>
            </w:r>
          </w:p>
        </w:tc>
        <w:tc>
          <w:tcPr>
            <w:tcW w:w="810" w:type="dxa"/>
            <w:hideMark/>
          </w:tcPr>
          <w:p w14:paraId="236C793C" w14:textId="77777777" w:rsidR="00690E8D" w:rsidRPr="00041B9D" w:rsidRDefault="00690E8D" w:rsidP="002E67C4">
            <w:pPr>
              <w:pStyle w:val="TableText"/>
              <w:jc w:val="right"/>
            </w:pPr>
            <w:r w:rsidRPr="00041B9D">
              <w:t>16,508</w:t>
            </w:r>
          </w:p>
        </w:tc>
        <w:tc>
          <w:tcPr>
            <w:tcW w:w="1149" w:type="dxa"/>
            <w:hideMark/>
          </w:tcPr>
          <w:p w14:paraId="1373BA48" w14:textId="77777777" w:rsidR="00690E8D" w:rsidRPr="00041B9D" w:rsidRDefault="00690E8D" w:rsidP="002E67C4">
            <w:pPr>
              <w:pStyle w:val="TableText"/>
              <w:jc w:val="right"/>
            </w:pPr>
            <w:r w:rsidRPr="00041B9D">
              <w:t>31.4 (28.1, 35.0)</w:t>
            </w:r>
          </w:p>
        </w:tc>
      </w:tr>
      <w:tr w:rsidR="002E67C4" w:rsidRPr="0035143C" w14:paraId="7D0F4690"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6D0E38A4" w14:textId="77777777" w:rsidR="00690E8D" w:rsidRPr="00041B9D" w:rsidRDefault="00690E8D" w:rsidP="002E67C4">
            <w:pPr>
              <w:pStyle w:val="TableText"/>
            </w:pPr>
            <w:r w:rsidRPr="00041B9D">
              <w:t>Diploma</w:t>
            </w:r>
          </w:p>
        </w:tc>
        <w:tc>
          <w:tcPr>
            <w:tcW w:w="630" w:type="dxa"/>
            <w:hideMark/>
          </w:tcPr>
          <w:p w14:paraId="559FD11B" w14:textId="77777777" w:rsidR="00690E8D" w:rsidRPr="00041B9D" w:rsidRDefault="00690E8D" w:rsidP="002E67C4">
            <w:pPr>
              <w:pStyle w:val="TableText"/>
              <w:jc w:val="right"/>
            </w:pPr>
            <w:r w:rsidRPr="00041B9D">
              <w:t>1063</w:t>
            </w:r>
          </w:p>
        </w:tc>
        <w:tc>
          <w:tcPr>
            <w:tcW w:w="810" w:type="dxa"/>
            <w:hideMark/>
          </w:tcPr>
          <w:p w14:paraId="6F25D771" w14:textId="77777777" w:rsidR="00690E8D" w:rsidRPr="00041B9D" w:rsidRDefault="00690E8D" w:rsidP="002E67C4">
            <w:pPr>
              <w:pStyle w:val="TableText"/>
              <w:jc w:val="right"/>
            </w:pPr>
            <w:r w:rsidRPr="00041B9D">
              <w:t>5229</w:t>
            </w:r>
          </w:p>
        </w:tc>
        <w:tc>
          <w:tcPr>
            <w:tcW w:w="1159" w:type="dxa"/>
            <w:hideMark/>
          </w:tcPr>
          <w:p w14:paraId="19C6F3B4" w14:textId="77777777" w:rsidR="00690E8D" w:rsidRPr="00041B9D" w:rsidRDefault="00690E8D" w:rsidP="002E67C4">
            <w:pPr>
              <w:pStyle w:val="TableText"/>
              <w:jc w:val="right"/>
            </w:pPr>
            <w:r w:rsidRPr="00041B9D">
              <w:t>20.9 (19.7, 22.3)</w:t>
            </w:r>
          </w:p>
        </w:tc>
        <w:tc>
          <w:tcPr>
            <w:tcW w:w="641" w:type="dxa"/>
            <w:hideMark/>
          </w:tcPr>
          <w:p w14:paraId="007FF85E" w14:textId="77777777" w:rsidR="00690E8D" w:rsidRPr="00041B9D" w:rsidRDefault="00690E8D" w:rsidP="002E67C4">
            <w:pPr>
              <w:pStyle w:val="TableText"/>
              <w:jc w:val="right"/>
            </w:pPr>
            <w:r w:rsidRPr="00041B9D">
              <w:t>1601</w:t>
            </w:r>
          </w:p>
        </w:tc>
        <w:tc>
          <w:tcPr>
            <w:tcW w:w="810" w:type="dxa"/>
            <w:hideMark/>
          </w:tcPr>
          <w:p w14:paraId="4867D58F" w14:textId="77777777" w:rsidR="00690E8D" w:rsidRPr="00041B9D" w:rsidRDefault="00690E8D" w:rsidP="002E67C4">
            <w:pPr>
              <w:pStyle w:val="TableText"/>
              <w:jc w:val="right"/>
            </w:pPr>
            <w:r w:rsidRPr="00041B9D">
              <w:t>7787</w:t>
            </w:r>
          </w:p>
        </w:tc>
        <w:tc>
          <w:tcPr>
            <w:tcW w:w="1149" w:type="dxa"/>
            <w:hideMark/>
          </w:tcPr>
          <w:p w14:paraId="5278BD9E" w14:textId="77777777" w:rsidR="00690E8D" w:rsidRPr="00041B9D" w:rsidRDefault="00690E8D" w:rsidP="002E67C4">
            <w:pPr>
              <w:pStyle w:val="TableText"/>
              <w:jc w:val="right"/>
            </w:pPr>
            <w:r w:rsidRPr="00041B9D">
              <w:t>14.8 (13.0, 16.9)</w:t>
            </w:r>
          </w:p>
        </w:tc>
      </w:tr>
      <w:tr w:rsidR="002E67C4" w:rsidRPr="0035143C" w14:paraId="69A4128A" w14:textId="77777777" w:rsidTr="00B737A1">
        <w:trPr>
          <w:cantSplit/>
        </w:trPr>
        <w:tc>
          <w:tcPr>
            <w:tcW w:w="2060" w:type="dxa"/>
            <w:tcBorders>
              <w:bottom w:val="single" w:sz="4" w:space="0" w:color="000000"/>
            </w:tcBorders>
            <w:hideMark/>
          </w:tcPr>
          <w:p w14:paraId="4E12FF4B" w14:textId="77777777" w:rsidR="00690E8D" w:rsidRPr="00041B9D" w:rsidRDefault="00690E8D" w:rsidP="002E67C4">
            <w:pPr>
              <w:pStyle w:val="TableText"/>
            </w:pPr>
            <w:r w:rsidRPr="00041B9D">
              <w:t>University</w:t>
            </w:r>
          </w:p>
        </w:tc>
        <w:tc>
          <w:tcPr>
            <w:tcW w:w="630" w:type="dxa"/>
            <w:tcBorders>
              <w:bottom w:val="single" w:sz="4" w:space="0" w:color="000000"/>
            </w:tcBorders>
            <w:hideMark/>
          </w:tcPr>
          <w:p w14:paraId="49D8B930" w14:textId="77777777" w:rsidR="00690E8D" w:rsidRPr="00041B9D" w:rsidRDefault="00690E8D" w:rsidP="002E67C4">
            <w:pPr>
              <w:pStyle w:val="TableText"/>
              <w:jc w:val="right"/>
            </w:pPr>
            <w:r w:rsidRPr="00041B9D">
              <w:t>1221</w:t>
            </w:r>
          </w:p>
        </w:tc>
        <w:tc>
          <w:tcPr>
            <w:tcW w:w="810" w:type="dxa"/>
            <w:tcBorders>
              <w:bottom w:val="single" w:sz="4" w:space="0" w:color="000000"/>
            </w:tcBorders>
            <w:hideMark/>
          </w:tcPr>
          <w:p w14:paraId="1A453138" w14:textId="77777777" w:rsidR="00690E8D" w:rsidRPr="00041B9D" w:rsidRDefault="00690E8D" w:rsidP="002E67C4">
            <w:pPr>
              <w:pStyle w:val="TableText"/>
              <w:jc w:val="right"/>
            </w:pPr>
            <w:r w:rsidRPr="00041B9D">
              <w:t>5078</w:t>
            </w:r>
          </w:p>
        </w:tc>
        <w:tc>
          <w:tcPr>
            <w:tcW w:w="1159" w:type="dxa"/>
            <w:tcBorders>
              <w:bottom w:val="single" w:sz="4" w:space="0" w:color="000000"/>
            </w:tcBorders>
            <w:hideMark/>
          </w:tcPr>
          <w:p w14:paraId="6B7DEF75" w14:textId="77777777" w:rsidR="00690E8D" w:rsidRPr="00041B9D" w:rsidRDefault="00690E8D" w:rsidP="002E67C4">
            <w:pPr>
              <w:pStyle w:val="TableText"/>
              <w:jc w:val="right"/>
            </w:pPr>
            <w:r w:rsidRPr="00041B9D">
              <w:t>20.4 (19.3, 21.5)</w:t>
            </w:r>
          </w:p>
        </w:tc>
        <w:tc>
          <w:tcPr>
            <w:tcW w:w="641" w:type="dxa"/>
            <w:tcBorders>
              <w:bottom w:val="single" w:sz="4" w:space="0" w:color="000000"/>
            </w:tcBorders>
            <w:hideMark/>
          </w:tcPr>
          <w:p w14:paraId="59584B98" w14:textId="77777777" w:rsidR="00690E8D" w:rsidRPr="00041B9D" w:rsidRDefault="00690E8D" w:rsidP="002E67C4">
            <w:pPr>
              <w:pStyle w:val="TableText"/>
              <w:jc w:val="right"/>
            </w:pPr>
            <w:r w:rsidRPr="00041B9D">
              <w:t>3015</w:t>
            </w:r>
          </w:p>
        </w:tc>
        <w:tc>
          <w:tcPr>
            <w:tcW w:w="810" w:type="dxa"/>
            <w:tcBorders>
              <w:bottom w:val="single" w:sz="4" w:space="0" w:color="000000"/>
            </w:tcBorders>
            <w:hideMark/>
          </w:tcPr>
          <w:p w14:paraId="2B58FC3B" w14:textId="77777777" w:rsidR="00690E8D" w:rsidRPr="00041B9D" w:rsidRDefault="00690E8D" w:rsidP="002E67C4">
            <w:pPr>
              <w:pStyle w:val="TableText"/>
              <w:jc w:val="right"/>
            </w:pPr>
            <w:r w:rsidRPr="00041B9D">
              <w:t>12,025</w:t>
            </w:r>
          </w:p>
        </w:tc>
        <w:tc>
          <w:tcPr>
            <w:tcW w:w="1149" w:type="dxa"/>
            <w:tcBorders>
              <w:bottom w:val="single" w:sz="4" w:space="0" w:color="000000"/>
            </w:tcBorders>
            <w:hideMark/>
          </w:tcPr>
          <w:p w14:paraId="0FD1407F" w14:textId="77777777" w:rsidR="00690E8D" w:rsidRPr="00041B9D" w:rsidRDefault="00690E8D" w:rsidP="002E67C4">
            <w:pPr>
              <w:pStyle w:val="TableText"/>
              <w:jc w:val="right"/>
            </w:pPr>
            <w:r w:rsidRPr="00041B9D">
              <w:t>22.9 (21.6, 24.2)</w:t>
            </w:r>
          </w:p>
        </w:tc>
      </w:tr>
      <w:tr w:rsidR="002E67C4" w:rsidRPr="0035143C" w14:paraId="6359EE07"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top w:val="single" w:sz="4" w:space="0" w:color="000000"/>
              <w:bottom w:val="nil"/>
            </w:tcBorders>
            <w:hideMark/>
          </w:tcPr>
          <w:p w14:paraId="56682022" w14:textId="77777777" w:rsidR="00690E8D" w:rsidRPr="004C6CF5" w:rsidRDefault="00690E8D" w:rsidP="002E67C4">
            <w:pPr>
              <w:pStyle w:val="TableText"/>
              <w:rPr>
                <w:b/>
              </w:rPr>
            </w:pPr>
            <w:r w:rsidRPr="004C6CF5">
              <w:rPr>
                <w:b/>
              </w:rPr>
              <w:t>Employment status</w:t>
            </w:r>
          </w:p>
        </w:tc>
        <w:tc>
          <w:tcPr>
            <w:tcW w:w="630" w:type="dxa"/>
            <w:tcBorders>
              <w:top w:val="single" w:sz="4" w:space="0" w:color="000000"/>
              <w:bottom w:val="nil"/>
            </w:tcBorders>
          </w:tcPr>
          <w:p w14:paraId="73A596AF" w14:textId="77777777" w:rsidR="00690E8D" w:rsidRPr="00041B9D" w:rsidRDefault="00690E8D" w:rsidP="002E67C4">
            <w:pPr>
              <w:pStyle w:val="TableText"/>
              <w:jc w:val="right"/>
            </w:pPr>
          </w:p>
        </w:tc>
        <w:tc>
          <w:tcPr>
            <w:tcW w:w="810" w:type="dxa"/>
            <w:tcBorders>
              <w:top w:val="single" w:sz="4" w:space="0" w:color="000000"/>
              <w:bottom w:val="nil"/>
            </w:tcBorders>
          </w:tcPr>
          <w:p w14:paraId="3292ABB7" w14:textId="77777777" w:rsidR="00690E8D" w:rsidRPr="00041B9D" w:rsidRDefault="00690E8D" w:rsidP="002E67C4">
            <w:pPr>
              <w:pStyle w:val="TableText"/>
              <w:jc w:val="right"/>
              <w:rPr>
                <w:color w:val="000000" w:themeColor="text1"/>
              </w:rPr>
            </w:pPr>
          </w:p>
        </w:tc>
        <w:tc>
          <w:tcPr>
            <w:tcW w:w="1159" w:type="dxa"/>
            <w:tcBorders>
              <w:top w:val="single" w:sz="4" w:space="0" w:color="000000"/>
              <w:bottom w:val="nil"/>
            </w:tcBorders>
          </w:tcPr>
          <w:p w14:paraId="3FD253F0" w14:textId="77777777" w:rsidR="00690E8D" w:rsidRPr="00041B9D" w:rsidRDefault="00690E8D" w:rsidP="002E67C4">
            <w:pPr>
              <w:pStyle w:val="TableText"/>
              <w:jc w:val="right"/>
            </w:pPr>
          </w:p>
        </w:tc>
        <w:tc>
          <w:tcPr>
            <w:tcW w:w="641" w:type="dxa"/>
            <w:tcBorders>
              <w:top w:val="single" w:sz="4" w:space="0" w:color="000000"/>
              <w:bottom w:val="nil"/>
            </w:tcBorders>
          </w:tcPr>
          <w:p w14:paraId="02EAEA78" w14:textId="77777777" w:rsidR="00690E8D" w:rsidRPr="00041B9D" w:rsidRDefault="00690E8D" w:rsidP="002E67C4">
            <w:pPr>
              <w:pStyle w:val="TableText"/>
              <w:jc w:val="right"/>
              <w:rPr>
                <w:color w:val="000000" w:themeColor="text1"/>
              </w:rPr>
            </w:pPr>
          </w:p>
        </w:tc>
        <w:tc>
          <w:tcPr>
            <w:tcW w:w="810" w:type="dxa"/>
            <w:tcBorders>
              <w:top w:val="single" w:sz="4" w:space="0" w:color="000000"/>
              <w:bottom w:val="nil"/>
            </w:tcBorders>
          </w:tcPr>
          <w:p w14:paraId="0931ADA0" w14:textId="77777777" w:rsidR="00690E8D" w:rsidRPr="00041B9D" w:rsidRDefault="00690E8D" w:rsidP="002E67C4">
            <w:pPr>
              <w:pStyle w:val="TableText"/>
              <w:jc w:val="right"/>
              <w:rPr>
                <w:color w:val="000000" w:themeColor="text1"/>
              </w:rPr>
            </w:pPr>
          </w:p>
        </w:tc>
        <w:tc>
          <w:tcPr>
            <w:tcW w:w="1149" w:type="dxa"/>
            <w:tcBorders>
              <w:top w:val="single" w:sz="4" w:space="0" w:color="000000"/>
              <w:bottom w:val="nil"/>
            </w:tcBorders>
          </w:tcPr>
          <w:p w14:paraId="51DE9729" w14:textId="77777777" w:rsidR="00690E8D" w:rsidRPr="00041B9D" w:rsidRDefault="00690E8D" w:rsidP="002E67C4">
            <w:pPr>
              <w:pStyle w:val="TableText"/>
              <w:jc w:val="right"/>
            </w:pPr>
          </w:p>
        </w:tc>
      </w:tr>
      <w:tr w:rsidR="002E67C4" w:rsidRPr="0035143C" w14:paraId="7165F0AA" w14:textId="77777777" w:rsidTr="00B737A1">
        <w:trPr>
          <w:cantSplit/>
        </w:trPr>
        <w:tc>
          <w:tcPr>
            <w:tcW w:w="2060" w:type="dxa"/>
            <w:tcBorders>
              <w:top w:val="nil"/>
            </w:tcBorders>
            <w:hideMark/>
          </w:tcPr>
          <w:p w14:paraId="0C0D73EA" w14:textId="0AF609C0" w:rsidR="00690E8D" w:rsidRPr="00041B9D" w:rsidRDefault="00690E8D" w:rsidP="002E67C4">
            <w:pPr>
              <w:pStyle w:val="TableText"/>
            </w:pPr>
            <w:r w:rsidRPr="00041B9D">
              <w:t xml:space="preserve">Full/part time paid work </w:t>
            </w:r>
          </w:p>
        </w:tc>
        <w:tc>
          <w:tcPr>
            <w:tcW w:w="630" w:type="dxa"/>
            <w:tcBorders>
              <w:top w:val="nil"/>
            </w:tcBorders>
            <w:hideMark/>
          </w:tcPr>
          <w:p w14:paraId="7B2484A9" w14:textId="77777777" w:rsidR="00690E8D" w:rsidRPr="00041B9D" w:rsidRDefault="00690E8D" w:rsidP="002E67C4">
            <w:pPr>
              <w:pStyle w:val="TableText"/>
              <w:jc w:val="right"/>
            </w:pPr>
            <w:r w:rsidRPr="00041B9D">
              <w:t>2909</w:t>
            </w:r>
          </w:p>
        </w:tc>
        <w:tc>
          <w:tcPr>
            <w:tcW w:w="810" w:type="dxa"/>
            <w:tcBorders>
              <w:top w:val="nil"/>
            </w:tcBorders>
            <w:hideMark/>
          </w:tcPr>
          <w:p w14:paraId="4302517D" w14:textId="77777777" w:rsidR="00690E8D" w:rsidRPr="00041B9D" w:rsidRDefault="00690E8D" w:rsidP="002E67C4">
            <w:pPr>
              <w:pStyle w:val="TableText"/>
              <w:jc w:val="right"/>
            </w:pPr>
            <w:r w:rsidRPr="00041B9D">
              <w:t>17,063</w:t>
            </w:r>
          </w:p>
        </w:tc>
        <w:tc>
          <w:tcPr>
            <w:tcW w:w="1159" w:type="dxa"/>
            <w:tcBorders>
              <w:top w:val="nil"/>
            </w:tcBorders>
            <w:hideMark/>
          </w:tcPr>
          <w:p w14:paraId="4AFCF942" w14:textId="77777777" w:rsidR="00690E8D" w:rsidRPr="00041B9D" w:rsidRDefault="00690E8D" w:rsidP="002E67C4">
            <w:pPr>
              <w:pStyle w:val="TableText"/>
              <w:jc w:val="right"/>
            </w:pPr>
            <w:r w:rsidRPr="00041B9D">
              <w:t>68.4 (66.8, 70.0)</w:t>
            </w:r>
          </w:p>
        </w:tc>
        <w:tc>
          <w:tcPr>
            <w:tcW w:w="641" w:type="dxa"/>
            <w:tcBorders>
              <w:top w:val="nil"/>
            </w:tcBorders>
            <w:hideMark/>
          </w:tcPr>
          <w:p w14:paraId="65F33270" w14:textId="77777777" w:rsidR="00690E8D" w:rsidRPr="00041B9D" w:rsidRDefault="00690E8D" w:rsidP="002E67C4">
            <w:pPr>
              <w:pStyle w:val="TableText"/>
              <w:jc w:val="right"/>
            </w:pPr>
            <w:r w:rsidRPr="00041B9D">
              <w:t>8480</w:t>
            </w:r>
          </w:p>
        </w:tc>
        <w:tc>
          <w:tcPr>
            <w:tcW w:w="810" w:type="dxa"/>
            <w:tcBorders>
              <w:top w:val="nil"/>
            </w:tcBorders>
            <w:hideMark/>
          </w:tcPr>
          <w:p w14:paraId="3DE2EE3F" w14:textId="77777777" w:rsidR="00690E8D" w:rsidRPr="00041B9D" w:rsidRDefault="00690E8D" w:rsidP="002E67C4">
            <w:pPr>
              <w:pStyle w:val="TableText"/>
              <w:jc w:val="right"/>
            </w:pPr>
            <w:r w:rsidRPr="00041B9D">
              <w:t>52,500</w:t>
            </w:r>
          </w:p>
        </w:tc>
        <w:tc>
          <w:tcPr>
            <w:tcW w:w="1149" w:type="dxa"/>
            <w:tcBorders>
              <w:top w:val="nil"/>
            </w:tcBorders>
            <w:hideMark/>
          </w:tcPr>
          <w:p w14:paraId="45DAAE85" w14:textId="77777777" w:rsidR="00690E8D" w:rsidRPr="00041B9D" w:rsidRDefault="00690E8D" w:rsidP="002E67C4">
            <w:pPr>
              <w:pStyle w:val="TableText"/>
              <w:jc w:val="right"/>
            </w:pPr>
            <w:r w:rsidRPr="00041B9D">
              <w:t>100.0</w:t>
            </w:r>
          </w:p>
        </w:tc>
      </w:tr>
      <w:tr w:rsidR="002E67C4" w:rsidRPr="0035143C" w14:paraId="1EC78B30"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6ECEAD7B" w14:textId="77777777" w:rsidR="00690E8D" w:rsidRPr="00041B9D" w:rsidRDefault="00690E8D" w:rsidP="002E67C4">
            <w:pPr>
              <w:pStyle w:val="TableText"/>
            </w:pPr>
            <w:r w:rsidRPr="00041B9D">
              <w:t>Unpaid work</w:t>
            </w:r>
          </w:p>
        </w:tc>
        <w:tc>
          <w:tcPr>
            <w:tcW w:w="630" w:type="dxa"/>
            <w:hideMark/>
          </w:tcPr>
          <w:p w14:paraId="09E22E1D" w14:textId="77777777" w:rsidR="00690E8D" w:rsidRPr="00041B9D" w:rsidRDefault="00690E8D" w:rsidP="002E67C4">
            <w:pPr>
              <w:pStyle w:val="TableText"/>
              <w:jc w:val="right"/>
            </w:pPr>
            <w:r w:rsidRPr="00041B9D">
              <w:t>151</w:t>
            </w:r>
          </w:p>
        </w:tc>
        <w:tc>
          <w:tcPr>
            <w:tcW w:w="810" w:type="dxa"/>
            <w:hideMark/>
          </w:tcPr>
          <w:p w14:paraId="450FCDB3" w14:textId="77777777" w:rsidR="00690E8D" w:rsidRPr="00041B9D" w:rsidRDefault="00690E8D" w:rsidP="002E67C4">
            <w:pPr>
              <w:pStyle w:val="TableText"/>
              <w:jc w:val="right"/>
            </w:pPr>
            <w:r w:rsidRPr="00041B9D">
              <w:t>777</w:t>
            </w:r>
          </w:p>
        </w:tc>
        <w:tc>
          <w:tcPr>
            <w:tcW w:w="1159" w:type="dxa"/>
            <w:hideMark/>
          </w:tcPr>
          <w:p w14:paraId="0A532A97" w14:textId="77777777" w:rsidR="00690E8D" w:rsidRPr="00041B9D" w:rsidRDefault="00690E8D" w:rsidP="002E67C4">
            <w:pPr>
              <w:pStyle w:val="TableText"/>
              <w:jc w:val="right"/>
            </w:pPr>
            <w:r w:rsidRPr="00041B9D">
              <w:t>3.1 (2.6, 3.7)</w:t>
            </w:r>
          </w:p>
        </w:tc>
        <w:tc>
          <w:tcPr>
            <w:tcW w:w="641" w:type="dxa"/>
            <w:hideMark/>
          </w:tcPr>
          <w:p w14:paraId="33959F2D"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0E083D4B"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6D2425B5" w14:textId="77777777" w:rsidR="00690E8D" w:rsidRPr="00041B9D" w:rsidRDefault="00690E8D" w:rsidP="002E67C4">
            <w:pPr>
              <w:pStyle w:val="TableText"/>
              <w:jc w:val="right"/>
            </w:pPr>
            <w:r>
              <w:t>–</w:t>
            </w:r>
          </w:p>
        </w:tc>
      </w:tr>
      <w:tr w:rsidR="002E67C4" w:rsidRPr="0035143C" w14:paraId="7E3CA1A8" w14:textId="77777777" w:rsidTr="00B737A1">
        <w:trPr>
          <w:cantSplit/>
        </w:trPr>
        <w:tc>
          <w:tcPr>
            <w:tcW w:w="2060" w:type="dxa"/>
            <w:hideMark/>
          </w:tcPr>
          <w:p w14:paraId="683382C8" w14:textId="77777777" w:rsidR="00690E8D" w:rsidRPr="00041B9D" w:rsidRDefault="00690E8D" w:rsidP="002E67C4">
            <w:pPr>
              <w:pStyle w:val="TableText"/>
            </w:pPr>
            <w:r w:rsidRPr="00041B9D">
              <w:t>Unemployed/</w:t>
            </w:r>
            <w:r>
              <w:t xml:space="preserve"> </w:t>
            </w:r>
            <w:r w:rsidRPr="00041B9D">
              <w:t>looking for work</w:t>
            </w:r>
          </w:p>
        </w:tc>
        <w:tc>
          <w:tcPr>
            <w:tcW w:w="630" w:type="dxa"/>
            <w:hideMark/>
          </w:tcPr>
          <w:p w14:paraId="1B2D2466" w14:textId="77777777" w:rsidR="00690E8D" w:rsidRPr="00041B9D" w:rsidRDefault="00690E8D" w:rsidP="002E67C4">
            <w:pPr>
              <w:pStyle w:val="TableText"/>
              <w:jc w:val="right"/>
            </w:pPr>
            <w:r w:rsidRPr="00041B9D">
              <w:t>199</w:t>
            </w:r>
          </w:p>
        </w:tc>
        <w:tc>
          <w:tcPr>
            <w:tcW w:w="810" w:type="dxa"/>
            <w:hideMark/>
          </w:tcPr>
          <w:p w14:paraId="2DDA2C8E" w14:textId="77777777" w:rsidR="00690E8D" w:rsidRPr="00041B9D" w:rsidRDefault="00690E8D" w:rsidP="002E67C4">
            <w:pPr>
              <w:pStyle w:val="TableText"/>
              <w:jc w:val="right"/>
            </w:pPr>
            <w:r w:rsidRPr="00041B9D">
              <w:t>1289</w:t>
            </w:r>
          </w:p>
        </w:tc>
        <w:tc>
          <w:tcPr>
            <w:tcW w:w="1159" w:type="dxa"/>
            <w:hideMark/>
          </w:tcPr>
          <w:p w14:paraId="25EC12B6" w14:textId="77777777" w:rsidR="00690E8D" w:rsidRPr="00041B9D" w:rsidRDefault="00690E8D" w:rsidP="002E67C4">
            <w:pPr>
              <w:pStyle w:val="TableText"/>
              <w:jc w:val="right"/>
            </w:pPr>
            <w:r w:rsidRPr="00041B9D">
              <w:t>5.2 (4.4, 6.1)</w:t>
            </w:r>
          </w:p>
        </w:tc>
        <w:tc>
          <w:tcPr>
            <w:tcW w:w="641" w:type="dxa"/>
            <w:hideMark/>
          </w:tcPr>
          <w:p w14:paraId="6C96A2C3"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69EEFA17"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0FFD29E3" w14:textId="77777777" w:rsidR="00690E8D" w:rsidRPr="00041B9D" w:rsidRDefault="00690E8D" w:rsidP="002E67C4">
            <w:pPr>
              <w:pStyle w:val="TableText"/>
              <w:jc w:val="right"/>
            </w:pPr>
            <w:r>
              <w:t>–</w:t>
            </w:r>
          </w:p>
        </w:tc>
      </w:tr>
      <w:tr w:rsidR="002E67C4" w:rsidRPr="0035143C" w14:paraId="77B56050"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7712B312" w14:textId="77777777" w:rsidR="00690E8D" w:rsidRPr="00041B9D" w:rsidRDefault="00690E8D" w:rsidP="002E67C4">
            <w:pPr>
              <w:pStyle w:val="TableText"/>
            </w:pPr>
            <w:r w:rsidRPr="00041B9D">
              <w:t xml:space="preserve">Unemployed </w:t>
            </w:r>
            <w:r>
              <w:t>–</w:t>
            </w:r>
            <w:r w:rsidRPr="00041B9D">
              <w:t xml:space="preserve"> sickness allowance/</w:t>
            </w:r>
            <w:r w:rsidR="002E67C4">
              <w:t xml:space="preserve"> </w:t>
            </w:r>
            <w:r w:rsidRPr="00041B9D">
              <w:t>disability support pension</w:t>
            </w:r>
          </w:p>
        </w:tc>
        <w:tc>
          <w:tcPr>
            <w:tcW w:w="630" w:type="dxa"/>
            <w:hideMark/>
          </w:tcPr>
          <w:p w14:paraId="236CC249" w14:textId="77777777" w:rsidR="00690E8D" w:rsidRPr="00041B9D" w:rsidRDefault="00690E8D" w:rsidP="002E67C4">
            <w:pPr>
              <w:pStyle w:val="TableText"/>
              <w:jc w:val="right"/>
            </w:pPr>
            <w:r w:rsidRPr="00041B9D">
              <w:t>412</w:t>
            </w:r>
          </w:p>
        </w:tc>
        <w:tc>
          <w:tcPr>
            <w:tcW w:w="810" w:type="dxa"/>
            <w:hideMark/>
          </w:tcPr>
          <w:p w14:paraId="1E663108" w14:textId="77777777" w:rsidR="00690E8D" w:rsidRPr="00041B9D" w:rsidRDefault="00690E8D" w:rsidP="002E67C4">
            <w:pPr>
              <w:pStyle w:val="TableText"/>
              <w:jc w:val="right"/>
            </w:pPr>
            <w:r w:rsidRPr="00041B9D">
              <w:t>2224</w:t>
            </w:r>
          </w:p>
        </w:tc>
        <w:tc>
          <w:tcPr>
            <w:tcW w:w="1159" w:type="dxa"/>
            <w:hideMark/>
          </w:tcPr>
          <w:p w14:paraId="5173B076" w14:textId="77777777" w:rsidR="00690E8D" w:rsidRPr="00041B9D" w:rsidRDefault="00690E8D" w:rsidP="002E67C4">
            <w:pPr>
              <w:pStyle w:val="TableText"/>
              <w:jc w:val="right"/>
            </w:pPr>
            <w:r w:rsidRPr="00041B9D">
              <w:t>8.9 (8.1, 9.9)</w:t>
            </w:r>
          </w:p>
        </w:tc>
        <w:tc>
          <w:tcPr>
            <w:tcW w:w="641" w:type="dxa"/>
            <w:hideMark/>
          </w:tcPr>
          <w:p w14:paraId="5E456D51"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287F9D16"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42BA149B" w14:textId="77777777" w:rsidR="00690E8D" w:rsidRPr="00041B9D" w:rsidRDefault="00690E8D" w:rsidP="002E67C4">
            <w:pPr>
              <w:pStyle w:val="TableText"/>
              <w:jc w:val="right"/>
            </w:pPr>
            <w:r>
              <w:t>–</w:t>
            </w:r>
          </w:p>
        </w:tc>
      </w:tr>
      <w:tr w:rsidR="002E67C4" w:rsidRPr="0035143C" w14:paraId="534FDC71" w14:textId="77777777" w:rsidTr="00B737A1">
        <w:trPr>
          <w:cantSplit/>
        </w:trPr>
        <w:tc>
          <w:tcPr>
            <w:tcW w:w="2060" w:type="dxa"/>
            <w:hideMark/>
          </w:tcPr>
          <w:p w14:paraId="043CCD62" w14:textId="77777777" w:rsidR="00690E8D" w:rsidRPr="00041B9D" w:rsidRDefault="00690E8D" w:rsidP="002E67C4">
            <w:pPr>
              <w:pStyle w:val="TableText"/>
            </w:pPr>
            <w:r w:rsidRPr="00041B9D">
              <w:t>Student</w:t>
            </w:r>
          </w:p>
        </w:tc>
        <w:tc>
          <w:tcPr>
            <w:tcW w:w="630" w:type="dxa"/>
            <w:hideMark/>
          </w:tcPr>
          <w:p w14:paraId="2B9FE6DE" w14:textId="77777777" w:rsidR="00690E8D" w:rsidRPr="00041B9D" w:rsidRDefault="00690E8D" w:rsidP="002E67C4">
            <w:pPr>
              <w:pStyle w:val="TableText"/>
              <w:jc w:val="right"/>
            </w:pPr>
            <w:r w:rsidRPr="00041B9D">
              <w:t>206</w:t>
            </w:r>
          </w:p>
        </w:tc>
        <w:tc>
          <w:tcPr>
            <w:tcW w:w="810" w:type="dxa"/>
            <w:hideMark/>
          </w:tcPr>
          <w:p w14:paraId="3068AA51" w14:textId="77777777" w:rsidR="00690E8D" w:rsidRPr="00041B9D" w:rsidRDefault="00690E8D" w:rsidP="002E67C4">
            <w:pPr>
              <w:pStyle w:val="TableText"/>
              <w:jc w:val="right"/>
            </w:pPr>
            <w:r w:rsidRPr="00041B9D">
              <w:t>1728</w:t>
            </w:r>
          </w:p>
        </w:tc>
        <w:tc>
          <w:tcPr>
            <w:tcW w:w="1159" w:type="dxa"/>
            <w:hideMark/>
          </w:tcPr>
          <w:p w14:paraId="3A5AACD5" w14:textId="77777777" w:rsidR="00690E8D" w:rsidRPr="00041B9D" w:rsidRDefault="00690E8D" w:rsidP="002E67C4">
            <w:pPr>
              <w:pStyle w:val="TableText"/>
              <w:jc w:val="right"/>
            </w:pPr>
            <w:r w:rsidRPr="00041B9D">
              <w:t>6.9 (5.9, 8.1)</w:t>
            </w:r>
          </w:p>
        </w:tc>
        <w:tc>
          <w:tcPr>
            <w:tcW w:w="641" w:type="dxa"/>
            <w:hideMark/>
          </w:tcPr>
          <w:p w14:paraId="43A54530"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365C2C2A"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0917060D" w14:textId="77777777" w:rsidR="00690E8D" w:rsidRPr="00041B9D" w:rsidRDefault="00690E8D" w:rsidP="002E67C4">
            <w:pPr>
              <w:pStyle w:val="TableText"/>
              <w:jc w:val="right"/>
            </w:pPr>
            <w:r>
              <w:t>–</w:t>
            </w:r>
          </w:p>
        </w:tc>
      </w:tr>
      <w:tr w:rsidR="002E67C4" w:rsidRPr="0035143C" w14:paraId="18EFFE6A"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bottom w:val="single" w:sz="4" w:space="0" w:color="000000"/>
            </w:tcBorders>
            <w:hideMark/>
          </w:tcPr>
          <w:p w14:paraId="39C8ABF9" w14:textId="77777777" w:rsidR="00690E8D" w:rsidRPr="00041B9D" w:rsidRDefault="00690E8D" w:rsidP="001F3926">
            <w:pPr>
              <w:pStyle w:val="TableText"/>
              <w:keepNext w:val="0"/>
            </w:pPr>
            <w:r w:rsidRPr="00041B9D">
              <w:t>Retired</w:t>
            </w:r>
          </w:p>
        </w:tc>
        <w:tc>
          <w:tcPr>
            <w:tcW w:w="630" w:type="dxa"/>
            <w:tcBorders>
              <w:bottom w:val="single" w:sz="4" w:space="0" w:color="000000"/>
            </w:tcBorders>
            <w:hideMark/>
          </w:tcPr>
          <w:p w14:paraId="627A4FE3" w14:textId="77777777" w:rsidR="00690E8D" w:rsidRPr="00041B9D" w:rsidRDefault="00690E8D" w:rsidP="001F3926">
            <w:pPr>
              <w:pStyle w:val="TableText"/>
              <w:keepNext w:val="0"/>
              <w:jc w:val="right"/>
            </w:pPr>
            <w:r w:rsidRPr="00041B9D">
              <w:t>377</w:t>
            </w:r>
          </w:p>
        </w:tc>
        <w:tc>
          <w:tcPr>
            <w:tcW w:w="810" w:type="dxa"/>
            <w:tcBorders>
              <w:bottom w:val="single" w:sz="4" w:space="0" w:color="000000"/>
            </w:tcBorders>
            <w:hideMark/>
          </w:tcPr>
          <w:p w14:paraId="0957AEE7" w14:textId="77777777" w:rsidR="00690E8D" w:rsidRPr="00041B9D" w:rsidRDefault="00690E8D" w:rsidP="001F3926">
            <w:pPr>
              <w:pStyle w:val="TableText"/>
              <w:keepNext w:val="0"/>
              <w:jc w:val="right"/>
            </w:pPr>
            <w:r w:rsidRPr="00041B9D">
              <w:t>1373</w:t>
            </w:r>
          </w:p>
        </w:tc>
        <w:tc>
          <w:tcPr>
            <w:tcW w:w="1159" w:type="dxa"/>
            <w:tcBorders>
              <w:bottom w:val="single" w:sz="4" w:space="0" w:color="000000"/>
            </w:tcBorders>
            <w:hideMark/>
          </w:tcPr>
          <w:p w14:paraId="03DD9BEE" w14:textId="77777777" w:rsidR="00690E8D" w:rsidRPr="00041B9D" w:rsidRDefault="00690E8D" w:rsidP="001F3926">
            <w:pPr>
              <w:pStyle w:val="TableText"/>
              <w:keepNext w:val="0"/>
              <w:jc w:val="right"/>
            </w:pPr>
            <w:r w:rsidRPr="00041B9D">
              <w:t>5.5 (5.0, 6.0)</w:t>
            </w:r>
          </w:p>
        </w:tc>
        <w:tc>
          <w:tcPr>
            <w:tcW w:w="641" w:type="dxa"/>
            <w:tcBorders>
              <w:bottom w:val="single" w:sz="4" w:space="0" w:color="000000"/>
            </w:tcBorders>
            <w:hideMark/>
          </w:tcPr>
          <w:p w14:paraId="67B39BED" w14:textId="77777777" w:rsidR="00690E8D" w:rsidRPr="00041B9D" w:rsidRDefault="00690E8D" w:rsidP="001F3926">
            <w:pPr>
              <w:pStyle w:val="TableText"/>
              <w:keepNext w:val="0"/>
              <w:jc w:val="right"/>
              <w:rPr>
                <w:color w:val="000000" w:themeColor="text1"/>
              </w:rPr>
            </w:pPr>
            <w:r>
              <w:rPr>
                <w:color w:val="000000" w:themeColor="text1"/>
              </w:rPr>
              <w:t>–</w:t>
            </w:r>
          </w:p>
        </w:tc>
        <w:tc>
          <w:tcPr>
            <w:tcW w:w="810" w:type="dxa"/>
            <w:tcBorders>
              <w:bottom w:val="single" w:sz="4" w:space="0" w:color="000000"/>
            </w:tcBorders>
            <w:hideMark/>
          </w:tcPr>
          <w:p w14:paraId="7071C237" w14:textId="77777777" w:rsidR="00690E8D" w:rsidRPr="00041B9D" w:rsidRDefault="00690E8D" w:rsidP="001F3926">
            <w:pPr>
              <w:pStyle w:val="TableText"/>
              <w:keepNext w:val="0"/>
              <w:jc w:val="right"/>
              <w:rPr>
                <w:color w:val="000000" w:themeColor="text1"/>
              </w:rPr>
            </w:pPr>
            <w:r>
              <w:rPr>
                <w:color w:val="000000" w:themeColor="text1"/>
              </w:rPr>
              <w:t>–</w:t>
            </w:r>
          </w:p>
        </w:tc>
        <w:tc>
          <w:tcPr>
            <w:tcW w:w="1149" w:type="dxa"/>
            <w:tcBorders>
              <w:bottom w:val="single" w:sz="4" w:space="0" w:color="000000"/>
            </w:tcBorders>
            <w:hideMark/>
          </w:tcPr>
          <w:p w14:paraId="5734A021" w14:textId="77777777" w:rsidR="00690E8D" w:rsidRPr="00041B9D" w:rsidRDefault="00690E8D" w:rsidP="001F3926">
            <w:pPr>
              <w:pStyle w:val="TableText"/>
              <w:keepNext w:val="0"/>
              <w:jc w:val="right"/>
            </w:pPr>
            <w:r>
              <w:t>–</w:t>
            </w:r>
          </w:p>
        </w:tc>
      </w:tr>
      <w:tr w:rsidR="002E67C4" w:rsidRPr="0035143C" w14:paraId="4E9B929D" w14:textId="77777777" w:rsidTr="00B737A1">
        <w:trPr>
          <w:cantSplit/>
        </w:trPr>
        <w:tc>
          <w:tcPr>
            <w:tcW w:w="2060" w:type="dxa"/>
            <w:tcBorders>
              <w:top w:val="single" w:sz="4" w:space="0" w:color="000000"/>
              <w:bottom w:val="nil"/>
            </w:tcBorders>
            <w:hideMark/>
          </w:tcPr>
          <w:p w14:paraId="49FFD59D" w14:textId="77777777" w:rsidR="00690E8D" w:rsidRPr="004C6CF5" w:rsidRDefault="00690E8D" w:rsidP="002E67C4">
            <w:pPr>
              <w:pStyle w:val="TableText"/>
              <w:rPr>
                <w:b/>
              </w:rPr>
            </w:pPr>
            <w:r w:rsidRPr="004C6CF5">
              <w:rPr>
                <w:b/>
              </w:rPr>
              <w:t>Main source of income</w:t>
            </w:r>
          </w:p>
        </w:tc>
        <w:tc>
          <w:tcPr>
            <w:tcW w:w="630" w:type="dxa"/>
            <w:tcBorders>
              <w:top w:val="single" w:sz="4" w:space="0" w:color="000000"/>
              <w:bottom w:val="nil"/>
            </w:tcBorders>
          </w:tcPr>
          <w:p w14:paraId="76B2CF35" w14:textId="77777777" w:rsidR="00690E8D" w:rsidRPr="00041B9D" w:rsidRDefault="00690E8D" w:rsidP="002E67C4">
            <w:pPr>
              <w:pStyle w:val="TableText"/>
              <w:jc w:val="right"/>
            </w:pPr>
          </w:p>
        </w:tc>
        <w:tc>
          <w:tcPr>
            <w:tcW w:w="810" w:type="dxa"/>
            <w:tcBorders>
              <w:top w:val="single" w:sz="4" w:space="0" w:color="000000"/>
              <w:bottom w:val="nil"/>
            </w:tcBorders>
          </w:tcPr>
          <w:p w14:paraId="44C42907" w14:textId="77777777" w:rsidR="00690E8D" w:rsidRPr="00041B9D" w:rsidRDefault="00690E8D" w:rsidP="002E67C4">
            <w:pPr>
              <w:pStyle w:val="TableText"/>
              <w:jc w:val="right"/>
            </w:pPr>
          </w:p>
        </w:tc>
        <w:tc>
          <w:tcPr>
            <w:tcW w:w="1159" w:type="dxa"/>
            <w:tcBorders>
              <w:top w:val="single" w:sz="4" w:space="0" w:color="000000"/>
              <w:bottom w:val="nil"/>
            </w:tcBorders>
          </w:tcPr>
          <w:p w14:paraId="3466C64A" w14:textId="77777777" w:rsidR="00690E8D" w:rsidRPr="00041B9D" w:rsidRDefault="00690E8D" w:rsidP="002E67C4">
            <w:pPr>
              <w:pStyle w:val="TableText"/>
              <w:jc w:val="right"/>
            </w:pPr>
          </w:p>
        </w:tc>
        <w:tc>
          <w:tcPr>
            <w:tcW w:w="641" w:type="dxa"/>
            <w:tcBorders>
              <w:top w:val="single" w:sz="4" w:space="0" w:color="000000"/>
              <w:bottom w:val="nil"/>
            </w:tcBorders>
          </w:tcPr>
          <w:p w14:paraId="65D1C911" w14:textId="77777777" w:rsidR="00690E8D" w:rsidRPr="00041B9D" w:rsidRDefault="00690E8D" w:rsidP="002E67C4">
            <w:pPr>
              <w:pStyle w:val="TableText"/>
              <w:jc w:val="right"/>
              <w:rPr>
                <w:color w:val="000000" w:themeColor="text1"/>
              </w:rPr>
            </w:pPr>
          </w:p>
        </w:tc>
        <w:tc>
          <w:tcPr>
            <w:tcW w:w="810" w:type="dxa"/>
            <w:tcBorders>
              <w:top w:val="single" w:sz="4" w:space="0" w:color="000000"/>
              <w:bottom w:val="nil"/>
            </w:tcBorders>
          </w:tcPr>
          <w:p w14:paraId="3C1B7641" w14:textId="77777777" w:rsidR="00690E8D" w:rsidRPr="00041B9D" w:rsidRDefault="00690E8D" w:rsidP="002E67C4">
            <w:pPr>
              <w:pStyle w:val="TableText"/>
              <w:jc w:val="right"/>
              <w:rPr>
                <w:color w:val="000000" w:themeColor="text1"/>
              </w:rPr>
            </w:pPr>
          </w:p>
        </w:tc>
        <w:tc>
          <w:tcPr>
            <w:tcW w:w="1149" w:type="dxa"/>
            <w:tcBorders>
              <w:top w:val="single" w:sz="4" w:space="0" w:color="000000"/>
              <w:bottom w:val="nil"/>
            </w:tcBorders>
          </w:tcPr>
          <w:p w14:paraId="049476BB" w14:textId="77777777" w:rsidR="00690E8D" w:rsidRPr="00041B9D" w:rsidRDefault="00690E8D" w:rsidP="002E67C4">
            <w:pPr>
              <w:pStyle w:val="TableText"/>
              <w:jc w:val="right"/>
            </w:pPr>
          </w:p>
        </w:tc>
      </w:tr>
      <w:tr w:rsidR="002E67C4" w:rsidRPr="0035143C" w14:paraId="68ED2265"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top w:val="nil"/>
            </w:tcBorders>
            <w:hideMark/>
          </w:tcPr>
          <w:p w14:paraId="41547118" w14:textId="77777777" w:rsidR="00690E8D" w:rsidRPr="00041B9D" w:rsidRDefault="00690E8D" w:rsidP="002E67C4">
            <w:pPr>
              <w:pStyle w:val="TableText"/>
            </w:pPr>
            <w:r w:rsidRPr="00041B9D">
              <w:t>Wage/salary/own business/partnership</w:t>
            </w:r>
          </w:p>
        </w:tc>
        <w:tc>
          <w:tcPr>
            <w:tcW w:w="630" w:type="dxa"/>
            <w:tcBorders>
              <w:top w:val="nil"/>
            </w:tcBorders>
            <w:hideMark/>
          </w:tcPr>
          <w:p w14:paraId="5F837A50" w14:textId="77777777" w:rsidR="00690E8D" w:rsidRPr="00041B9D" w:rsidRDefault="00690E8D" w:rsidP="002E67C4">
            <w:pPr>
              <w:pStyle w:val="TableText"/>
              <w:jc w:val="right"/>
            </w:pPr>
            <w:r w:rsidRPr="00041B9D">
              <w:t>2590</w:t>
            </w:r>
          </w:p>
        </w:tc>
        <w:tc>
          <w:tcPr>
            <w:tcW w:w="810" w:type="dxa"/>
            <w:tcBorders>
              <w:top w:val="nil"/>
            </w:tcBorders>
            <w:hideMark/>
          </w:tcPr>
          <w:p w14:paraId="51F82BAC" w14:textId="77777777" w:rsidR="00690E8D" w:rsidRPr="00041B9D" w:rsidRDefault="00690E8D" w:rsidP="002E67C4">
            <w:pPr>
              <w:pStyle w:val="TableText"/>
              <w:jc w:val="right"/>
            </w:pPr>
            <w:r w:rsidRPr="00041B9D">
              <w:t>16,024</w:t>
            </w:r>
          </w:p>
        </w:tc>
        <w:tc>
          <w:tcPr>
            <w:tcW w:w="1159" w:type="dxa"/>
            <w:tcBorders>
              <w:top w:val="nil"/>
            </w:tcBorders>
            <w:hideMark/>
          </w:tcPr>
          <w:p w14:paraId="38B052CE" w14:textId="77777777" w:rsidR="00690E8D" w:rsidRPr="00041B9D" w:rsidRDefault="00690E8D" w:rsidP="002E67C4">
            <w:pPr>
              <w:pStyle w:val="TableText"/>
              <w:jc w:val="right"/>
            </w:pPr>
            <w:r w:rsidRPr="00041B9D">
              <w:t>64.3 (62.7, 65.8)</w:t>
            </w:r>
          </w:p>
        </w:tc>
        <w:tc>
          <w:tcPr>
            <w:tcW w:w="641" w:type="dxa"/>
            <w:tcBorders>
              <w:top w:val="nil"/>
            </w:tcBorders>
            <w:hideMark/>
          </w:tcPr>
          <w:p w14:paraId="5F658333" w14:textId="77777777" w:rsidR="00690E8D" w:rsidRPr="00041B9D" w:rsidRDefault="00690E8D" w:rsidP="002E67C4">
            <w:pPr>
              <w:pStyle w:val="TableText"/>
              <w:jc w:val="right"/>
            </w:pPr>
            <w:r w:rsidRPr="00041B9D">
              <w:t>8480</w:t>
            </w:r>
          </w:p>
        </w:tc>
        <w:tc>
          <w:tcPr>
            <w:tcW w:w="810" w:type="dxa"/>
            <w:tcBorders>
              <w:top w:val="nil"/>
            </w:tcBorders>
            <w:hideMark/>
          </w:tcPr>
          <w:p w14:paraId="5467179D" w14:textId="77777777" w:rsidR="00690E8D" w:rsidRPr="00041B9D" w:rsidRDefault="00690E8D" w:rsidP="002E67C4">
            <w:pPr>
              <w:pStyle w:val="TableText"/>
              <w:jc w:val="right"/>
            </w:pPr>
            <w:r w:rsidRPr="00041B9D">
              <w:t>52,500</w:t>
            </w:r>
          </w:p>
        </w:tc>
        <w:tc>
          <w:tcPr>
            <w:tcW w:w="1149" w:type="dxa"/>
            <w:tcBorders>
              <w:top w:val="nil"/>
            </w:tcBorders>
            <w:hideMark/>
          </w:tcPr>
          <w:p w14:paraId="1201C4F2" w14:textId="77777777" w:rsidR="00690E8D" w:rsidRPr="00041B9D" w:rsidRDefault="00690E8D" w:rsidP="002E67C4">
            <w:pPr>
              <w:pStyle w:val="TableText"/>
              <w:jc w:val="right"/>
            </w:pPr>
            <w:r w:rsidRPr="00041B9D">
              <w:t>100.0</w:t>
            </w:r>
          </w:p>
        </w:tc>
      </w:tr>
      <w:tr w:rsidR="002E67C4" w:rsidRPr="0035143C" w14:paraId="1D0ED0DA" w14:textId="77777777" w:rsidTr="00B737A1">
        <w:trPr>
          <w:cantSplit/>
        </w:trPr>
        <w:tc>
          <w:tcPr>
            <w:tcW w:w="2060" w:type="dxa"/>
            <w:hideMark/>
          </w:tcPr>
          <w:p w14:paraId="6C4D7C84" w14:textId="77777777" w:rsidR="00690E8D" w:rsidRPr="00041B9D" w:rsidRDefault="00690E8D" w:rsidP="002E67C4">
            <w:pPr>
              <w:pStyle w:val="TableText"/>
            </w:pPr>
            <w:r w:rsidRPr="00041B9D">
              <w:t>Age pension</w:t>
            </w:r>
          </w:p>
        </w:tc>
        <w:tc>
          <w:tcPr>
            <w:tcW w:w="630" w:type="dxa"/>
            <w:hideMark/>
          </w:tcPr>
          <w:p w14:paraId="73AECF82" w14:textId="77777777" w:rsidR="00690E8D" w:rsidRPr="00041B9D" w:rsidRDefault="00690E8D" w:rsidP="002E67C4">
            <w:pPr>
              <w:pStyle w:val="TableText"/>
              <w:jc w:val="right"/>
            </w:pPr>
            <w:r w:rsidRPr="00041B9D">
              <w:t>263</w:t>
            </w:r>
          </w:p>
        </w:tc>
        <w:tc>
          <w:tcPr>
            <w:tcW w:w="810" w:type="dxa"/>
            <w:hideMark/>
          </w:tcPr>
          <w:p w14:paraId="145B9C4D" w14:textId="77777777" w:rsidR="00690E8D" w:rsidRPr="00041B9D" w:rsidRDefault="00690E8D" w:rsidP="002E67C4">
            <w:pPr>
              <w:pStyle w:val="TableText"/>
              <w:jc w:val="right"/>
            </w:pPr>
            <w:r w:rsidRPr="00041B9D">
              <w:t>911</w:t>
            </w:r>
          </w:p>
        </w:tc>
        <w:tc>
          <w:tcPr>
            <w:tcW w:w="1159" w:type="dxa"/>
            <w:hideMark/>
          </w:tcPr>
          <w:p w14:paraId="1987E302" w14:textId="77777777" w:rsidR="00690E8D" w:rsidRPr="00041B9D" w:rsidRDefault="00690E8D" w:rsidP="002E67C4">
            <w:pPr>
              <w:pStyle w:val="TableText"/>
              <w:jc w:val="right"/>
            </w:pPr>
            <w:r w:rsidRPr="00041B9D">
              <w:t>3.7 (3.3,4.1)</w:t>
            </w:r>
          </w:p>
        </w:tc>
        <w:tc>
          <w:tcPr>
            <w:tcW w:w="641" w:type="dxa"/>
            <w:hideMark/>
          </w:tcPr>
          <w:p w14:paraId="0D1C7D93"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190A2C93"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365CB169" w14:textId="77777777" w:rsidR="00690E8D" w:rsidRPr="00041B9D" w:rsidRDefault="00690E8D" w:rsidP="002E67C4">
            <w:pPr>
              <w:pStyle w:val="TableText"/>
              <w:jc w:val="right"/>
            </w:pPr>
            <w:r>
              <w:t>–</w:t>
            </w:r>
          </w:p>
        </w:tc>
      </w:tr>
      <w:tr w:rsidR="002E67C4" w:rsidRPr="0035143C" w14:paraId="29B6E9FC"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5C6F0E84" w14:textId="77777777" w:rsidR="00690E8D" w:rsidRPr="00041B9D" w:rsidRDefault="00690E8D" w:rsidP="002E67C4">
            <w:pPr>
              <w:pStyle w:val="TableText"/>
            </w:pPr>
            <w:r w:rsidRPr="00041B9D">
              <w:t>Invalidity service pension</w:t>
            </w:r>
          </w:p>
        </w:tc>
        <w:tc>
          <w:tcPr>
            <w:tcW w:w="630" w:type="dxa"/>
            <w:hideMark/>
          </w:tcPr>
          <w:p w14:paraId="2B8CB732" w14:textId="77777777" w:rsidR="00690E8D" w:rsidRPr="00041B9D" w:rsidRDefault="00690E8D" w:rsidP="002E67C4">
            <w:pPr>
              <w:pStyle w:val="TableText"/>
              <w:jc w:val="right"/>
            </w:pPr>
            <w:r w:rsidRPr="00041B9D">
              <w:t>262</w:t>
            </w:r>
          </w:p>
        </w:tc>
        <w:tc>
          <w:tcPr>
            <w:tcW w:w="810" w:type="dxa"/>
            <w:hideMark/>
          </w:tcPr>
          <w:p w14:paraId="505CB974" w14:textId="77777777" w:rsidR="00690E8D" w:rsidRPr="00041B9D" w:rsidRDefault="00690E8D" w:rsidP="002E67C4">
            <w:pPr>
              <w:pStyle w:val="TableText"/>
              <w:jc w:val="right"/>
            </w:pPr>
            <w:r w:rsidRPr="00041B9D">
              <w:t>1322</w:t>
            </w:r>
          </w:p>
        </w:tc>
        <w:tc>
          <w:tcPr>
            <w:tcW w:w="1159" w:type="dxa"/>
            <w:hideMark/>
          </w:tcPr>
          <w:p w14:paraId="10436B23" w14:textId="77777777" w:rsidR="00690E8D" w:rsidRPr="00041B9D" w:rsidRDefault="00690E8D" w:rsidP="002E67C4">
            <w:pPr>
              <w:pStyle w:val="TableText"/>
              <w:jc w:val="right"/>
            </w:pPr>
            <w:r w:rsidRPr="00041B9D">
              <w:t>5.3 (4.7, 6.0)</w:t>
            </w:r>
          </w:p>
        </w:tc>
        <w:tc>
          <w:tcPr>
            <w:tcW w:w="641" w:type="dxa"/>
            <w:hideMark/>
          </w:tcPr>
          <w:p w14:paraId="0571E8F2"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7E024D79"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396318B0" w14:textId="77777777" w:rsidR="00690E8D" w:rsidRPr="00041B9D" w:rsidRDefault="00690E8D" w:rsidP="002E67C4">
            <w:pPr>
              <w:pStyle w:val="TableText"/>
              <w:jc w:val="right"/>
            </w:pPr>
            <w:r>
              <w:t>–</w:t>
            </w:r>
          </w:p>
        </w:tc>
      </w:tr>
      <w:tr w:rsidR="002E67C4" w:rsidRPr="0035143C" w14:paraId="478A5F9A" w14:textId="77777777" w:rsidTr="00B737A1">
        <w:trPr>
          <w:cantSplit/>
        </w:trPr>
        <w:tc>
          <w:tcPr>
            <w:tcW w:w="2060" w:type="dxa"/>
            <w:hideMark/>
          </w:tcPr>
          <w:p w14:paraId="693B3E6A" w14:textId="77777777" w:rsidR="00690E8D" w:rsidRPr="00041B9D" w:rsidRDefault="00690E8D" w:rsidP="002E67C4">
            <w:pPr>
              <w:pStyle w:val="TableText"/>
            </w:pPr>
            <w:r w:rsidRPr="00041B9D">
              <w:t xml:space="preserve">VEA/SRCA/MRCA compensation </w:t>
            </w:r>
          </w:p>
        </w:tc>
        <w:tc>
          <w:tcPr>
            <w:tcW w:w="630" w:type="dxa"/>
            <w:hideMark/>
          </w:tcPr>
          <w:p w14:paraId="20D6487E" w14:textId="77777777" w:rsidR="00690E8D" w:rsidRPr="00041B9D" w:rsidRDefault="00690E8D" w:rsidP="002E67C4">
            <w:pPr>
              <w:pStyle w:val="TableText"/>
              <w:jc w:val="right"/>
            </w:pPr>
            <w:r w:rsidRPr="00041B9D">
              <w:t>195</w:t>
            </w:r>
          </w:p>
        </w:tc>
        <w:tc>
          <w:tcPr>
            <w:tcW w:w="810" w:type="dxa"/>
            <w:hideMark/>
          </w:tcPr>
          <w:p w14:paraId="57A7D766" w14:textId="77777777" w:rsidR="00690E8D" w:rsidRPr="00041B9D" w:rsidRDefault="00690E8D" w:rsidP="002E67C4">
            <w:pPr>
              <w:pStyle w:val="TableText"/>
              <w:jc w:val="right"/>
            </w:pPr>
            <w:r w:rsidRPr="00041B9D">
              <w:t>1114</w:t>
            </w:r>
          </w:p>
        </w:tc>
        <w:tc>
          <w:tcPr>
            <w:tcW w:w="1159" w:type="dxa"/>
            <w:hideMark/>
          </w:tcPr>
          <w:p w14:paraId="5CFF44C9" w14:textId="77777777" w:rsidR="00690E8D" w:rsidRPr="00041B9D" w:rsidRDefault="00690E8D" w:rsidP="002E67C4">
            <w:pPr>
              <w:pStyle w:val="TableText"/>
              <w:jc w:val="right"/>
            </w:pPr>
            <w:r w:rsidRPr="00041B9D">
              <w:t>4.5 (3.8, 5.2)</w:t>
            </w:r>
          </w:p>
        </w:tc>
        <w:tc>
          <w:tcPr>
            <w:tcW w:w="641" w:type="dxa"/>
            <w:hideMark/>
          </w:tcPr>
          <w:p w14:paraId="47FEBFF7"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1317449E"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7EB02BB9" w14:textId="77777777" w:rsidR="00690E8D" w:rsidRPr="00041B9D" w:rsidRDefault="00690E8D" w:rsidP="002E67C4">
            <w:pPr>
              <w:pStyle w:val="TableText"/>
              <w:jc w:val="right"/>
            </w:pPr>
            <w:r>
              <w:t>–</w:t>
            </w:r>
          </w:p>
        </w:tc>
      </w:tr>
      <w:tr w:rsidR="002E67C4" w:rsidRPr="0035143C" w14:paraId="7C8FFE38"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2282797A" w14:textId="77777777" w:rsidR="00690E8D" w:rsidRPr="00041B9D" w:rsidRDefault="00690E8D" w:rsidP="002E67C4">
            <w:pPr>
              <w:pStyle w:val="TableText"/>
            </w:pPr>
            <w:r w:rsidRPr="00041B9D">
              <w:t>Dividends/interest/investments</w:t>
            </w:r>
          </w:p>
        </w:tc>
        <w:tc>
          <w:tcPr>
            <w:tcW w:w="630" w:type="dxa"/>
            <w:hideMark/>
          </w:tcPr>
          <w:p w14:paraId="027B11B2" w14:textId="77777777" w:rsidR="00690E8D" w:rsidRPr="00041B9D" w:rsidRDefault="00690E8D" w:rsidP="002E67C4">
            <w:pPr>
              <w:pStyle w:val="TableText"/>
              <w:jc w:val="right"/>
            </w:pPr>
            <w:r w:rsidRPr="00041B9D">
              <w:t>27</w:t>
            </w:r>
          </w:p>
        </w:tc>
        <w:tc>
          <w:tcPr>
            <w:tcW w:w="810" w:type="dxa"/>
            <w:hideMark/>
          </w:tcPr>
          <w:p w14:paraId="46627B02" w14:textId="77777777" w:rsidR="00690E8D" w:rsidRPr="00041B9D" w:rsidRDefault="00690E8D" w:rsidP="002E67C4">
            <w:pPr>
              <w:pStyle w:val="TableText"/>
              <w:jc w:val="right"/>
            </w:pPr>
            <w:r w:rsidRPr="00041B9D">
              <w:t>153</w:t>
            </w:r>
          </w:p>
        </w:tc>
        <w:tc>
          <w:tcPr>
            <w:tcW w:w="1159" w:type="dxa"/>
            <w:hideMark/>
          </w:tcPr>
          <w:p w14:paraId="4B15CF0C" w14:textId="77777777" w:rsidR="00690E8D" w:rsidRPr="00041B9D" w:rsidRDefault="00690E8D" w:rsidP="002E67C4">
            <w:pPr>
              <w:pStyle w:val="TableText"/>
              <w:jc w:val="right"/>
            </w:pPr>
            <w:r w:rsidRPr="00041B9D">
              <w:t>0.6 (0.4, 0.9)</w:t>
            </w:r>
          </w:p>
        </w:tc>
        <w:tc>
          <w:tcPr>
            <w:tcW w:w="641" w:type="dxa"/>
            <w:hideMark/>
          </w:tcPr>
          <w:p w14:paraId="1EB4EF9B"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1E58C488"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4E786A39" w14:textId="77777777" w:rsidR="00690E8D" w:rsidRPr="00041B9D" w:rsidRDefault="00690E8D" w:rsidP="002E67C4">
            <w:pPr>
              <w:pStyle w:val="TableText"/>
              <w:jc w:val="right"/>
            </w:pPr>
            <w:r>
              <w:t>–</w:t>
            </w:r>
          </w:p>
        </w:tc>
      </w:tr>
      <w:tr w:rsidR="002E67C4" w:rsidRPr="0035143C" w14:paraId="5294EAC4" w14:textId="77777777" w:rsidTr="00B737A1">
        <w:trPr>
          <w:cantSplit/>
        </w:trPr>
        <w:tc>
          <w:tcPr>
            <w:tcW w:w="2060" w:type="dxa"/>
            <w:hideMark/>
          </w:tcPr>
          <w:p w14:paraId="3B18B1AA" w14:textId="77777777" w:rsidR="00690E8D" w:rsidRPr="00041B9D" w:rsidRDefault="00690E8D" w:rsidP="002E67C4">
            <w:pPr>
              <w:pStyle w:val="TableText"/>
            </w:pPr>
            <w:r w:rsidRPr="00041B9D">
              <w:t>Other pension/</w:t>
            </w:r>
            <w:r>
              <w:t xml:space="preserve"> </w:t>
            </w:r>
            <w:r w:rsidRPr="00041B9D">
              <w:t>benefit/allowance</w:t>
            </w:r>
          </w:p>
        </w:tc>
        <w:tc>
          <w:tcPr>
            <w:tcW w:w="630" w:type="dxa"/>
            <w:hideMark/>
          </w:tcPr>
          <w:p w14:paraId="3D64A265" w14:textId="77777777" w:rsidR="00690E8D" w:rsidRPr="00041B9D" w:rsidRDefault="00690E8D" w:rsidP="002E67C4">
            <w:pPr>
              <w:pStyle w:val="TableText"/>
              <w:jc w:val="right"/>
            </w:pPr>
            <w:r w:rsidRPr="00041B9D">
              <w:t>183</w:t>
            </w:r>
          </w:p>
        </w:tc>
        <w:tc>
          <w:tcPr>
            <w:tcW w:w="810" w:type="dxa"/>
            <w:hideMark/>
          </w:tcPr>
          <w:p w14:paraId="58B6DC26" w14:textId="77777777" w:rsidR="00690E8D" w:rsidRPr="00041B9D" w:rsidRDefault="00690E8D" w:rsidP="002E67C4">
            <w:pPr>
              <w:pStyle w:val="TableText"/>
              <w:jc w:val="right"/>
            </w:pPr>
            <w:r w:rsidRPr="00041B9D">
              <w:t>1342</w:t>
            </w:r>
          </w:p>
        </w:tc>
        <w:tc>
          <w:tcPr>
            <w:tcW w:w="1159" w:type="dxa"/>
            <w:hideMark/>
          </w:tcPr>
          <w:p w14:paraId="7A288760" w14:textId="77777777" w:rsidR="00690E8D" w:rsidRPr="00041B9D" w:rsidRDefault="00690E8D" w:rsidP="002E67C4">
            <w:pPr>
              <w:pStyle w:val="TableText"/>
              <w:jc w:val="right"/>
            </w:pPr>
            <w:r w:rsidRPr="00041B9D">
              <w:t>5.4 (4.6, 6.4)</w:t>
            </w:r>
          </w:p>
        </w:tc>
        <w:tc>
          <w:tcPr>
            <w:tcW w:w="641" w:type="dxa"/>
            <w:hideMark/>
          </w:tcPr>
          <w:p w14:paraId="7FDE6B74" w14:textId="77777777" w:rsidR="00690E8D" w:rsidRPr="00041B9D" w:rsidRDefault="00690E8D" w:rsidP="002E67C4">
            <w:pPr>
              <w:pStyle w:val="TableText"/>
              <w:jc w:val="right"/>
              <w:rPr>
                <w:color w:val="000000" w:themeColor="text1"/>
              </w:rPr>
            </w:pPr>
            <w:r>
              <w:rPr>
                <w:color w:val="000000" w:themeColor="text1"/>
              </w:rPr>
              <w:t>–</w:t>
            </w:r>
          </w:p>
        </w:tc>
        <w:tc>
          <w:tcPr>
            <w:tcW w:w="810" w:type="dxa"/>
            <w:hideMark/>
          </w:tcPr>
          <w:p w14:paraId="12CD2B78" w14:textId="77777777" w:rsidR="00690E8D" w:rsidRPr="00041B9D" w:rsidRDefault="00690E8D" w:rsidP="002E67C4">
            <w:pPr>
              <w:pStyle w:val="TableText"/>
              <w:jc w:val="right"/>
              <w:rPr>
                <w:color w:val="000000" w:themeColor="text1"/>
              </w:rPr>
            </w:pPr>
            <w:r>
              <w:rPr>
                <w:color w:val="000000" w:themeColor="text1"/>
              </w:rPr>
              <w:t>–</w:t>
            </w:r>
          </w:p>
        </w:tc>
        <w:tc>
          <w:tcPr>
            <w:tcW w:w="1149" w:type="dxa"/>
            <w:hideMark/>
          </w:tcPr>
          <w:p w14:paraId="6409447A" w14:textId="77777777" w:rsidR="00690E8D" w:rsidRPr="00041B9D" w:rsidRDefault="00690E8D" w:rsidP="002E67C4">
            <w:pPr>
              <w:pStyle w:val="TableText"/>
              <w:jc w:val="right"/>
            </w:pPr>
            <w:r>
              <w:t>–</w:t>
            </w:r>
          </w:p>
        </w:tc>
      </w:tr>
      <w:tr w:rsidR="002E67C4" w:rsidRPr="0035143C" w14:paraId="0963E69E"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35FF3101" w14:textId="77777777" w:rsidR="00690E8D" w:rsidRPr="00041B9D" w:rsidRDefault="00690E8D" w:rsidP="002E67C4">
            <w:pPr>
              <w:pStyle w:val="TableText"/>
            </w:pPr>
            <w:r w:rsidRPr="00041B9D">
              <w:t>Superannuation</w:t>
            </w:r>
          </w:p>
        </w:tc>
        <w:tc>
          <w:tcPr>
            <w:tcW w:w="630" w:type="dxa"/>
            <w:hideMark/>
          </w:tcPr>
          <w:p w14:paraId="1A07B800" w14:textId="77777777" w:rsidR="00690E8D" w:rsidRPr="00041B9D" w:rsidRDefault="00690E8D" w:rsidP="002E67C4">
            <w:pPr>
              <w:pStyle w:val="TableText"/>
              <w:jc w:val="right"/>
            </w:pPr>
            <w:r w:rsidRPr="00041B9D">
              <w:t>404</w:t>
            </w:r>
          </w:p>
        </w:tc>
        <w:tc>
          <w:tcPr>
            <w:tcW w:w="810" w:type="dxa"/>
            <w:hideMark/>
          </w:tcPr>
          <w:p w14:paraId="352A9A2A" w14:textId="77777777" w:rsidR="00690E8D" w:rsidRPr="00041B9D" w:rsidRDefault="00690E8D" w:rsidP="002E67C4">
            <w:pPr>
              <w:pStyle w:val="TableText"/>
              <w:jc w:val="right"/>
            </w:pPr>
            <w:r w:rsidRPr="00041B9D">
              <w:t>1590</w:t>
            </w:r>
          </w:p>
        </w:tc>
        <w:tc>
          <w:tcPr>
            <w:tcW w:w="1159" w:type="dxa"/>
            <w:hideMark/>
          </w:tcPr>
          <w:p w14:paraId="3E68FFA5" w14:textId="77777777" w:rsidR="00690E8D" w:rsidRPr="00041B9D" w:rsidRDefault="00690E8D" w:rsidP="002E67C4">
            <w:pPr>
              <w:pStyle w:val="TableText"/>
              <w:jc w:val="right"/>
            </w:pPr>
            <w:r w:rsidRPr="00041B9D">
              <w:t>6.4 (5.8, 7.0)</w:t>
            </w:r>
          </w:p>
        </w:tc>
        <w:tc>
          <w:tcPr>
            <w:tcW w:w="641" w:type="dxa"/>
          </w:tcPr>
          <w:p w14:paraId="5D24343B" w14:textId="77777777" w:rsidR="00690E8D" w:rsidRPr="00041B9D" w:rsidRDefault="00690E8D" w:rsidP="002E67C4">
            <w:pPr>
              <w:pStyle w:val="TableText"/>
              <w:jc w:val="right"/>
              <w:rPr>
                <w:color w:val="000000" w:themeColor="text1"/>
              </w:rPr>
            </w:pPr>
          </w:p>
        </w:tc>
        <w:tc>
          <w:tcPr>
            <w:tcW w:w="810" w:type="dxa"/>
          </w:tcPr>
          <w:p w14:paraId="50F4ACB9" w14:textId="77777777" w:rsidR="00690E8D" w:rsidRPr="00041B9D" w:rsidRDefault="00690E8D" w:rsidP="002E67C4">
            <w:pPr>
              <w:pStyle w:val="TableText"/>
              <w:jc w:val="right"/>
              <w:rPr>
                <w:color w:val="000000" w:themeColor="text1"/>
              </w:rPr>
            </w:pPr>
          </w:p>
        </w:tc>
        <w:tc>
          <w:tcPr>
            <w:tcW w:w="1149" w:type="dxa"/>
          </w:tcPr>
          <w:p w14:paraId="5593279F" w14:textId="77777777" w:rsidR="00690E8D" w:rsidRPr="00041B9D" w:rsidRDefault="00690E8D" w:rsidP="002E67C4">
            <w:pPr>
              <w:pStyle w:val="TableText"/>
              <w:jc w:val="right"/>
            </w:pPr>
          </w:p>
        </w:tc>
      </w:tr>
      <w:tr w:rsidR="002E67C4" w:rsidRPr="0035143C" w14:paraId="53FDC978" w14:textId="77777777" w:rsidTr="00B737A1">
        <w:trPr>
          <w:cantSplit/>
        </w:trPr>
        <w:tc>
          <w:tcPr>
            <w:tcW w:w="2060" w:type="dxa"/>
            <w:tcBorders>
              <w:bottom w:val="single" w:sz="4" w:space="0" w:color="000000"/>
            </w:tcBorders>
            <w:hideMark/>
          </w:tcPr>
          <w:p w14:paraId="5892E56F" w14:textId="77777777" w:rsidR="00690E8D" w:rsidRPr="00041B9D" w:rsidRDefault="00690E8D" w:rsidP="002E67C4">
            <w:pPr>
              <w:pStyle w:val="TableText"/>
            </w:pPr>
            <w:r w:rsidRPr="00041B9D">
              <w:t>Other</w:t>
            </w:r>
          </w:p>
        </w:tc>
        <w:tc>
          <w:tcPr>
            <w:tcW w:w="630" w:type="dxa"/>
            <w:tcBorders>
              <w:bottom w:val="single" w:sz="4" w:space="0" w:color="000000"/>
            </w:tcBorders>
            <w:hideMark/>
          </w:tcPr>
          <w:p w14:paraId="1678A958" w14:textId="77777777" w:rsidR="00690E8D" w:rsidRPr="00041B9D" w:rsidRDefault="00690E8D" w:rsidP="002E67C4">
            <w:pPr>
              <w:pStyle w:val="TableText"/>
              <w:jc w:val="right"/>
            </w:pPr>
            <w:r w:rsidRPr="00041B9D">
              <w:t>301</w:t>
            </w:r>
          </w:p>
        </w:tc>
        <w:tc>
          <w:tcPr>
            <w:tcW w:w="810" w:type="dxa"/>
            <w:tcBorders>
              <w:bottom w:val="single" w:sz="4" w:space="0" w:color="000000"/>
            </w:tcBorders>
            <w:hideMark/>
          </w:tcPr>
          <w:p w14:paraId="2E055C87" w14:textId="77777777" w:rsidR="00690E8D" w:rsidRPr="00041B9D" w:rsidRDefault="00690E8D" w:rsidP="002E67C4">
            <w:pPr>
              <w:pStyle w:val="TableText"/>
              <w:jc w:val="right"/>
            </w:pPr>
            <w:r w:rsidRPr="00041B9D">
              <w:t>1795</w:t>
            </w:r>
          </w:p>
        </w:tc>
        <w:tc>
          <w:tcPr>
            <w:tcW w:w="1159" w:type="dxa"/>
            <w:tcBorders>
              <w:bottom w:val="single" w:sz="4" w:space="0" w:color="000000"/>
            </w:tcBorders>
            <w:hideMark/>
          </w:tcPr>
          <w:p w14:paraId="1EBB6C6E" w14:textId="77777777" w:rsidR="00690E8D" w:rsidRPr="00041B9D" w:rsidRDefault="00690E8D" w:rsidP="002E67C4">
            <w:pPr>
              <w:pStyle w:val="TableText"/>
              <w:jc w:val="right"/>
            </w:pPr>
            <w:r w:rsidRPr="00041B9D">
              <w:t>7.2 (6.3, 8.2)</w:t>
            </w:r>
          </w:p>
        </w:tc>
        <w:tc>
          <w:tcPr>
            <w:tcW w:w="641" w:type="dxa"/>
            <w:tcBorders>
              <w:bottom w:val="single" w:sz="4" w:space="0" w:color="000000"/>
            </w:tcBorders>
            <w:hideMark/>
          </w:tcPr>
          <w:p w14:paraId="173B7315" w14:textId="77777777" w:rsidR="00690E8D" w:rsidRPr="00041B9D" w:rsidRDefault="00690E8D" w:rsidP="002E67C4">
            <w:pPr>
              <w:pStyle w:val="TableText"/>
              <w:jc w:val="right"/>
              <w:rPr>
                <w:color w:val="000000" w:themeColor="text1"/>
              </w:rPr>
            </w:pPr>
            <w:r>
              <w:rPr>
                <w:color w:val="000000" w:themeColor="text1"/>
              </w:rPr>
              <w:t>–</w:t>
            </w:r>
          </w:p>
        </w:tc>
        <w:tc>
          <w:tcPr>
            <w:tcW w:w="810" w:type="dxa"/>
            <w:tcBorders>
              <w:bottom w:val="single" w:sz="4" w:space="0" w:color="000000"/>
            </w:tcBorders>
            <w:hideMark/>
          </w:tcPr>
          <w:p w14:paraId="5EBAAC2B" w14:textId="77777777" w:rsidR="00690E8D" w:rsidRPr="00041B9D" w:rsidRDefault="00690E8D" w:rsidP="002E67C4">
            <w:pPr>
              <w:pStyle w:val="TableText"/>
              <w:jc w:val="right"/>
              <w:rPr>
                <w:color w:val="000000" w:themeColor="text1"/>
              </w:rPr>
            </w:pPr>
            <w:r>
              <w:rPr>
                <w:color w:val="000000" w:themeColor="text1"/>
              </w:rPr>
              <w:t>–</w:t>
            </w:r>
          </w:p>
        </w:tc>
        <w:tc>
          <w:tcPr>
            <w:tcW w:w="1149" w:type="dxa"/>
            <w:tcBorders>
              <w:bottom w:val="single" w:sz="4" w:space="0" w:color="000000"/>
            </w:tcBorders>
            <w:hideMark/>
          </w:tcPr>
          <w:p w14:paraId="3A6BC8A9" w14:textId="77777777" w:rsidR="00690E8D" w:rsidRPr="00041B9D" w:rsidRDefault="00690E8D" w:rsidP="002E67C4">
            <w:pPr>
              <w:pStyle w:val="TableText"/>
              <w:jc w:val="right"/>
            </w:pPr>
            <w:r>
              <w:t>–</w:t>
            </w:r>
          </w:p>
        </w:tc>
      </w:tr>
      <w:tr w:rsidR="002E67C4" w:rsidRPr="0035143C" w14:paraId="617B90E6"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tcBorders>
              <w:top w:val="single" w:sz="4" w:space="0" w:color="000000"/>
              <w:bottom w:val="nil"/>
            </w:tcBorders>
            <w:hideMark/>
          </w:tcPr>
          <w:p w14:paraId="4A26E4C6" w14:textId="77777777" w:rsidR="00690E8D" w:rsidRPr="004C6CF5" w:rsidRDefault="00690E8D" w:rsidP="002E67C4">
            <w:pPr>
              <w:pStyle w:val="TableText"/>
              <w:rPr>
                <w:b/>
              </w:rPr>
            </w:pPr>
            <w:r w:rsidRPr="004C6CF5">
              <w:rPr>
                <w:b/>
              </w:rPr>
              <w:t>Stable housing</w:t>
            </w:r>
          </w:p>
        </w:tc>
        <w:tc>
          <w:tcPr>
            <w:tcW w:w="630" w:type="dxa"/>
            <w:tcBorders>
              <w:top w:val="single" w:sz="4" w:space="0" w:color="000000"/>
              <w:bottom w:val="nil"/>
            </w:tcBorders>
          </w:tcPr>
          <w:p w14:paraId="51235426" w14:textId="77777777" w:rsidR="00690E8D" w:rsidRPr="00041B9D" w:rsidRDefault="00690E8D" w:rsidP="002E67C4">
            <w:pPr>
              <w:pStyle w:val="TableText"/>
              <w:jc w:val="right"/>
            </w:pPr>
          </w:p>
        </w:tc>
        <w:tc>
          <w:tcPr>
            <w:tcW w:w="810" w:type="dxa"/>
            <w:tcBorders>
              <w:top w:val="single" w:sz="4" w:space="0" w:color="000000"/>
              <w:bottom w:val="nil"/>
            </w:tcBorders>
          </w:tcPr>
          <w:p w14:paraId="536015F0" w14:textId="77777777" w:rsidR="00690E8D" w:rsidRPr="00041B9D" w:rsidRDefault="00690E8D" w:rsidP="002E67C4">
            <w:pPr>
              <w:pStyle w:val="TableText"/>
              <w:jc w:val="right"/>
              <w:rPr>
                <w:color w:val="000000" w:themeColor="text1"/>
              </w:rPr>
            </w:pPr>
          </w:p>
        </w:tc>
        <w:tc>
          <w:tcPr>
            <w:tcW w:w="1159" w:type="dxa"/>
            <w:tcBorders>
              <w:top w:val="single" w:sz="4" w:space="0" w:color="000000"/>
              <w:bottom w:val="nil"/>
            </w:tcBorders>
          </w:tcPr>
          <w:p w14:paraId="283673C0" w14:textId="77777777" w:rsidR="00690E8D" w:rsidRPr="00041B9D" w:rsidRDefault="00690E8D" w:rsidP="002E67C4">
            <w:pPr>
              <w:pStyle w:val="TableText"/>
              <w:jc w:val="right"/>
            </w:pPr>
          </w:p>
        </w:tc>
        <w:tc>
          <w:tcPr>
            <w:tcW w:w="641" w:type="dxa"/>
            <w:tcBorders>
              <w:top w:val="single" w:sz="4" w:space="0" w:color="000000"/>
              <w:bottom w:val="nil"/>
            </w:tcBorders>
          </w:tcPr>
          <w:p w14:paraId="4C03653D" w14:textId="77777777" w:rsidR="00690E8D" w:rsidRPr="00041B9D" w:rsidRDefault="00690E8D" w:rsidP="002E67C4">
            <w:pPr>
              <w:pStyle w:val="TableText"/>
              <w:jc w:val="right"/>
              <w:rPr>
                <w:color w:val="000000" w:themeColor="text1"/>
              </w:rPr>
            </w:pPr>
          </w:p>
        </w:tc>
        <w:tc>
          <w:tcPr>
            <w:tcW w:w="810" w:type="dxa"/>
            <w:tcBorders>
              <w:top w:val="single" w:sz="4" w:space="0" w:color="000000"/>
              <w:bottom w:val="nil"/>
            </w:tcBorders>
          </w:tcPr>
          <w:p w14:paraId="394FC2DB" w14:textId="77777777" w:rsidR="00690E8D" w:rsidRPr="00041B9D" w:rsidRDefault="00690E8D" w:rsidP="002E67C4">
            <w:pPr>
              <w:pStyle w:val="TableText"/>
              <w:jc w:val="right"/>
              <w:rPr>
                <w:color w:val="000000" w:themeColor="text1"/>
              </w:rPr>
            </w:pPr>
          </w:p>
        </w:tc>
        <w:tc>
          <w:tcPr>
            <w:tcW w:w="1149" w:type="dxa"/>
            <w:tcBorders>
              <w:top w:val="single" w:sz="4" w:space="0" w:color="000000"/>
              <w:bottom w:val="nil"/>
            </w:tcBorders>
          </w:tcPr>
          <w:p w14:paraId="43F32267" w14:textId="77777777" w:rsidR="00690E8D" w:rsidRPr="00041B9D" w:rsidRDefault="00690E8D" w:rsidP="002E67C4">
            <w:pPr>
              <w:pStyle w:val="TableText"/>
              <w:jc w:val="right"/>
            </w:pPr>
          </w:p>
        </w:tc>
      </w:tr>
      <w:tr w:rsidR="002E67C4" w:rsidRPr="0035143C" w14:paraId="7D963476" w14:textId="77777777" w:rsidTr="00B737A1">
        <w:trPr>
          <w:cantSplit/>
        </w:trPr>
        <w:tc>
          <w:tcPr>
            <w:tcW w:w="2060" w:type="dxa"/>
            <w:tcBorders>
              <w:top w:val="nil"/>
            </w:tcBorders>
            <w:hideMark/>
          </w:tcPr>
          <w:p w14:paraId="5C72AC55" w14:textId="77777777" w:rsidR="00690E8D" w:rsidRPr="00041B9D" w:rsidRDefault="00690E8D" w:rsidP="002E67C4">
            <w:pPr>
              <w:pStyle w:val="TableText"/>
            </w:pPr>
            <w:r w:rsidRPr="00041B9D">
              <w:t xml:space="preserve">No </w:t>
            </w:r>
          </w:p>
        </w:tc>
        <w:tc>
          <w:tcPr>
            <w:tcW w:w="630" w:type="dxa"/>
            <w:tcBorders>
              <w:top w:val="nil"/>
            </w:tcBorders>
            <w:hideMark/>
          </w:tcPr>
          <w:p w14:paraId="364A1E7C" w14:textId="77777777" w:rsidR="00690E8D" w:rsidRPr="00041B9D" w:rsidRDefault="00690E8D" w:rsidP="002E67C4">
            <w:pPr>
              <w:pStyle w:val="TableText"/>
              <w:jc w:val="right"/>
            </w:pPr>
            <w:r w:rsidRPr="00041B9D">
              <w:t>129</w:t>
            </w:r>
          </w:p>
        </w:tc>
        <w:tc>
          <w:tcPr>
            <w:tcW w:w="810" w:type="dxa"/>
            <w:tcBorders>
              <w:top w:val="nil"/>
            </w:tcBorders>
            <w:hideMark/>
          </w:tcPr>
          <w:p w14:paraId="54803A36" w14:textId="77777777" w:rsidR="00690E8D" w:rsidRPr="00041B9D" w:rsidRDefault="00690E8D" w:rsidP="002E67C4">
            <w:pPr>
              <w:pStyle w:val="TableText"/>
              <w:jc w:val="right"/>
            </w:pPr>
            <w:r w:rsidRPr="00041B9D">
              <w:t>852</w:t>
            </w:r>
          </w:p>
        </w:tc>
        <w:tc>
          <w:tcPr>
            <w:tcW w:w="1159" w:type="dxa"/>
            <w:tcBorders>
              <w:top w:val="nil"/>
            </w:tcBorders>
            <w:hideMark/>
          </w:tcPr>
          <w:p w14:paraId="5646082D" w14:textId="77777777" w:rsidR="00690E8D" w:rsidRPr="00041B9D" w:rsidRDefault="00690E8D" w:rsidP="002E67C4">
            <w:pPr>
              <w:pStyle w:val="TableText"/>
              <w:jc w:val="right"/>
            </w:pPr>
            <w:r w:rsidRPr="00041B9D">
              <w:t>3.4 (2.8, 4.2)</w:t>
            </w:r>
          </w:p>
        </w:tc>
        <w:tc>
          <w:tcPr>
            <w:tcW w:w="641" w:type="dxa"/>
            <w:tcBorders>
              <w:top w:val="nil"/>
            </w:tcBorders>
            <w:hideMark/>
          </w:tcPr>
          <w:p w14:paraId="57B48907" w14:textId="77777777" w:rsidR="00690E8D" w:rsidRPr="00041B9D" w:rsidRDefault="00690E8D" w:rsidP="002E67C4">
            <w:pPr>
              <w:pStyle w:val="TableText"/>
              <w:jc w:val="right"/>
            </w:pPr>
            <w:r w:rsidRPr="00041B9D">
              <w:t>233</w:t>
            </w:r>
          </w:p>
        </w:tc>
        <w:tc>
          <w:tcPr>
            <w:tcW w:w="810" w:type="dxa"/>
            <w:tcBorders>
              <w:top w:val="nil"/>
            </w:tcBorders>
            <w:hideMark/>
          </w:tcPr>
          <w:p w14:paraId="43F9B3D9" w14:textId="77777777" w:rsidR="00690E8D" w:rsidRPr="00041B9D" w:rsidRDefault="00690E8D" w:rsidP="002E67C4">
            <w:pPr>
              <w:pStyle w:val="TableText"/>
              <w:jc w:val="right"/>
            </w:pPr>
            <w:r w:rsidRPr="00041B9D">
              <w:t>2287</w:t>
            </w:r>
          </w:p>
        </w:tc>
        <w:tc>
          <w:tcPr>
            <w:tcW w:w="1149" w:type="dxa"/>
            <w:tcBorders>
              <w:top w:val="nil"/>
            </w:tcBorders>
            <w:hideMark/>
          </w:tcPr>
          <w:p w14:paraId="5D7571A8" w14:textId="77777777" w:rsidR="00690E8D" w:rsidRPr="00041B9D" w:rsidRDefault="00690E8D" w:rsidP="002E67C4">
            <w:pPr>
              <w:pStyle w:val="TableText"/>
              <w:jc w:val="right"/>
            </w:pPr>
            <w:r w:rsidRPr="00041B9D">
              <w:t>4.4 (2.9,6.4)</w:t>
            </w:r>
          </w:p>
        </w:tc>
      </w:tr>
      <w:tr w:rsidR="002E67C4" w:rsidRPr="0035143C" w14:paraId="57F40195"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2060" w:type="dxa"/>
            <w:hideMark/>
          </w:tcPr>
          <w:p w14:paraId="06678B6E" w14:textId="77777777" w:rsidR="00690E8D" w:rsidRPr="00041B9D" w:rsidRDefault="00690E8D" w:rsidP="002E67C4">
            <w:pPr>
              <w:pStyle w:val="TableText"/>
            </w:pPr>
            <w:r w:rsidRPr="00041B9D">
              <w:t>Yes</w:t>
            </w:r>
          </w:p>
        </w:tc>
        <w:tc>
          <w:tcPr>
            <w:tcW w:w="630" w:type="dxa"/>
            <w:hideMark/>
          </w:tcPr>
          <w:p w14:paraId="4D5CB87A" w14:textId="77777777" w:rsidR="00690E8D" w:rsidRPr="00041B9D" w:rsidRDefault="00690E8D" w:rsidP="002E67C4">
            <w:pPr>
              <w:pStyle w:val="TableText"/>
              <w:jc w:val="right"/>
            </w:pPr>
            <w:r w:rsidRPr="00041B9D">
              <w:t>4089</w:t>
            </w:r>
          </w:p>
        </w:tc>
        <w:tc>
          <w:tcPr>
            <w:tcW w:w="810" w:type="dxa"/>
            <w:hideMark/>
          </w:tcPr>
          <w:p w14:paraId="791DFF07" w14:textId="77777777" w:rsidR="00690E8D" w:rsidRPr="00041B9D" w:rsidRDefault="00690E8D" w:rsidP="002E67C4">
            <w:pPr>
              <w:pStyle w:val="TableText"/>
              <w:jc w:val="right"/>
            </w:pPr>
            <w:r w:rsidRPr="00041B9D">
              <w:t>23,378</w:t>
            </w:r>
          </w:p>
        </w:tc>
        <w:tc>
          <w:tcPr>
            <w:tcW w:w="1159" w:type="dxa"/>
            <w:hideMark/>
          </w:tcPr>
          <w:p w14:paraId="0ECDA02A" w14:textId="77777777" w:rsidR="00690E8D" w:rsidRPr="00041B9D" w:rsidRDefault="00690E8D" w:rsidP="002E67C4">
            <w:pPr>
              <w:pStyle w:val="TableText"/>
              <w:jc w:val="right"/>
            </w:pPr>
            <w:r w:rsidRPr="00041B9D">
              <w:t>93.8 (92.8, 94.6)</w:t>
            </w:r>
          </w:p>
        </w:tc>
        <w:tc>
          <w:tcPr>
            <w:tcW w:w="641" w:type="dxa"/>
            <w:hideMark/>
          </w:tcPr>
          <w:p w14:paraId="01861F0A" w14:textId="77777777" w:rsidR="00690E8D" w:rsidRPr="00041B9D" w:rsidRDefault="00690E8D" w:rsidP="002E67C4">
            <w:pPr>
              <w:pStyle w:val="TableText"/>
              <w:jc w:val="right"/>
            </w:pPr>
            <w:r w:rsidRPr="00041B9D">
              <w:t>8043</w:t>
            </w:r>
          </w:p>
        </w:tc>
        <w:tc>
          <w:tcPr>
            <w:tcW w:w="810" w:type="dxa"/>
            <w:hideMark/>
          </w:tcPr>
          <w:p w14:paraId="11616374" w14:textId="77777777" w:rsidR="00690E8D" w:rsidRPr="00041B9D" w:rsidRDefault="00690E8D" w:rsidP="002E67C4">
            <w:pPr>
              <w:pStyle w:val="TableText"/>
              <w:jc w:val="right"/>
            </w:pPr>
            <w:r w:rsidRPr="00041B9D">
              <w:t>48,851</w:t>
            </w:r>
          </w:p>
        </w:tc>
        <w:tc>
          <w:tcPr>
            <w:tcW w:w="1149" w:type="dxa"/>
            <w:hideMark/>
          </w:tcPr>
          <w:p w14:paraId="6031220C" w14:textId="77777777" w:rsidR="00690E8D" w:rsidRPr="00041B9D" w:rsidRDefault="00690E8D" w:rsidP="002E67C4">
            <w:pPr>
              <w:pStyle w:val="TableText"/>
              <w:jc w:val="right"/>
            </w:pPr>
            <w:r w:rsidRPr="00041B9D">
              <w:t>93.1 (90.7,94.9)</w:t>
            </w:r>
          </w:p>
        </w:tc>
      </w:tr>
    </w:tbl>
    <w:p w14:paraId="46EDA3C5" w14:textId="77777777" w:rsidR="00690E8D" w:rsidRDefault="00690E8D" w:rsidP="00690E8D">
      <w:pPr>
        <w:pStyle w:val="TableNotes"/>
      </w:pPr>
      <w:r w:rsidRPr="007D10DF">
        <w:t>*</w:t>
      </w:r>
      <w:r w:rsidRPr="00041B9D">
        <w:t>No CIs are provided for Sex, Rank, Service and Medical fitness as these variables were used to create strata for weighting.</w:t>
      </w:r>
    </w:p>
    <w:p w14:paraId="25B092F6" w14:textId="77777777" w:rsidR="00690E8D" w:rsidRPr="00041B9D" w:rsidRDefault="00690E8D" w:rsidP="00690E8D">
      <w:pPr>
        <w:pStyle w:val="TableNotes"/>
      </w:pPr>
      <w:r w:rsidRPr="00350FBA">
        <w:t>Notes</w:t>
      </w:r>
      <w:r w:rsidR="005E602B">
        <w:t xml:space="preserve">: </w:t>
      </w:r>
      <w:r w:rsidRPr="00041B9D">
        <w:t>Missing: 2015 Regular ADF: Age group: 148 (3.4%), Relationship status 153 (1.7%), Education 145 (1.7%) Stable Housing 204 (2.6%)</w:t>
      </w:r>
      <w:r w:rsidR="005E602B">
        <w:t xml:space="preserve">; </w:t>
      </w:r>
      <w:r w:rsidRPr="00041B9D">
        <w:t>Transitioned ADF: Age group: 55 (1.6%), Relationship status 83 (2.2%), Education 60 (1.5%), Employment 72 (1.9%), Main income 101 (2.7%), Stable Housing 108 (2.8%)</w:t>
      </w:r>
      <w:r>
        <w:t>.</w:t>
      </w:r>
      <w:r w:rsidR="005E602B">
        <w:t xml:space="preserve"> </w:t>
      </w:r>
      <w:r w:rsidRPr="00041B9D">
        <w:t>95%CI</w:t>
      </w:r>
      <w:r>
        <w:t xml:space="preserve"> =</w:t>
      </w:r>
      <w:r w:rsidRPr="00041B9D">
        <w:t xml:space="preserve"> 95% </w:t>
      </w:r>
      <w:r>
        <w:t>confidence interval.</w:t>
      </w:r>
    </w:p>
    <w:p w14:paraId="0202AB68" w14:textId="77777777" w:rsidR="00690E8D" w:rsidRPr="007421FA" w:rsidRDefault="00690E8D" w:rsidP="00690E8D">
      <w:pPr>
        <w:spacing w:before="100" w:beforeAutospacing="1"/>
        <w:rPr>
          <w:rFonts w:asciiTheme="minorHAnsi" w:hAnsiTheme="minorHAnsi"/>
        </w:rPr>
      </w:pPr>
      <w:r w:rsidRPr="004C6CF5">
        <w:t xml:space="preserve">Table </w:t>
      </w:r>
      <w:r>
        <w:rPr>
          <w:noProof/>
        </w:rPr>
        <w:t>3</w:t>
      </w:r>
      <w:r>
        <w:t>.</w:t>
      </w:r>
      <w:r>
        <w:rPr>
          <w:noProof/>
        </w:rPr>
        <w:t>2</w:t>
      </w:r>
      <w:r>
        <w:rPr>
          <w:rFonts w:asciiTheme="minorHAnsi" w:hAnsiTheme="minorHAnsi"/>
        </w:rPr>
        <w:t xml:space="preserve"> </w:t>
      </w:r>
      <w:r w:rsidRPr="007421FA">
        <w:rPr>
          <w:rFonts w:asciiTheme="minorHAnsi" w:hAnsiTheme="minorHAnsi"/>
        </w:rPr>
        <w:t>describes the service characteristics of Transitioned ADF and 2015 Regular ADF members. In the Transitioned ADF group</w:t>
      </w:r>
      <w:r>
        <w:rPr>
          <w:rFonts w:asciiTheme="minorHAnsi" w:hAnsiTheme="minorHAnsi"/>
        </w:rPr>
        <w:t>,</w:t>
      </w:r>
      <w:r w:rsidRPr="007421FA">
        <w:rPr>
          <w:rFonts w:asciiTheme="minorHAnsi" w:hAnsiTheme="minorHAnsi"/>
        </w:rPr>
        <w:t xml:space="preserve"> there were fewer Officers (16.3% of Transitioned ADF vs 25.6% of 2015 Regular ADF) and more Other Ranks (52.2% Transitioned ADF vs 41.1% 2015 Regular ADF). The </w:t>
      </w:r>
      <w:r>
        <w:rPr>
          <w:rFonts w:asciiTheme="minorHAnsi" w:hAnsiTheme="minorHAnsi"/>
        </w:rPr>
        <w:t>s</w:t>
      </w:r>
      <w:r w:rsidRPr="007421FA">
        <w:rPr>
          <w:rFonts w:asciiTheme="minorHAnsi" w:hAnsiTheme="minorHAnsi"/>
        </w:rPr>
        <w:t xml:space="preserve">ervice distribution also significantly varied between the two groups; there were more Army and fewer Air Force members in the Transitioned ADF group. Significantly more Transitioned ADF members (26.7%) were classified as being medically unfit compared to the 2015 Regular ADF group (12.3%). </w:t>
      </w:r>
    </w:p>
    <w:p w14:paraId="3B76658F" w14:textId="77777777" w:rsidR="00690E8D" w:rsidRPr="00041B9D" w:rsidRDefault="00690E8D" w:rsidP="00690E8D">
      <w:pPr>
        <w:pStyle w:val="TableName"/>
        <w:rPr>
          <w:rFonts w:cs="Calibri"/>
        </w:rPr>
      </w:pPr>
      <w:bookmarkStart w:id="214" w:name="_Ref482013497"/>
      <w:bookmarkStart w:id="215" w:name="_Toc479243376"/>
      <w:bookmarkStart w:id="216" w:name="_Toc482023762"/>
      <w:bookmarkStart w:id="217" w:name="_Toc487014248"/>
      <w:bookmarkStart w:id="218" w:name="_Toc493668802"/>
      <w:bookmarkStart w:id="219" w:name="_Toc508978836"/>
      <w:bookmarkStart w:id="220" w:name="_Toc385236031"/>
      <w:bookmarkStart w:id="221" w:name="_Toc385236881"/>
      <w:bookmarkStart w:id="222" w:name="_Toc385237685"/>
      <w:bookmarkStart w:id="223" w:name="_Toc515374632"/>
      <w:bookmarkStart w:id="224" w:name="_Toc528932306"/>
      <w:bookmarkStart w:id="225" w:name="_Toc531857985"/>
      <w:r w:rsidRPr="004C6CF5">
        <w:t xml:space="preserve">Table </w:t>
      </w:r>
      <w:r>
        <w:rPr>
          <w:noProof/>
        </w:rPr>
        <w:t>3</w:t>
      </w:r>
      <w:r>
        <w:t>.</w:t>
      </w:r>
      <w:r>
        <w:rPr>
          <w:noProof/>
        </w:rPr>
        <w:t>2</w:t>
      </w:r>
      <w:bookmarkEnd w:id="214"/>
      <w:r w:rsidRPr="004C6CF5">
        <w:tab/>
        <w:t>Weighted service characteristics in Transitioned ADF and 2015 Regular ADF</w:t>
      </w:r>
      <w:bookmarkEnd w:id="215"/>
      <w:bookmarkEnd w:id="216"/>
      <w:bookmarkEnd w:id="217"/>
      <w:bookmarkEnd w:id="218"/>
      <w:bookmarkEnd w:id="219"/>
      <w:bookmarkEnd w:id="220"/>
      <w:bookmarkEnd w:id="221"/>
      <w:bookmarkEnd w:id="222"/>
      <w:bookmarkEnd w:id="223"/>
      <w:bookmarkEnd w:id="224"/>
      <w:bookmarkEnd w:id="225"/>
    </w:p>
    <w:tbl>
      <w:tblPr>
        <w:tblStyle w:val="TWRPTable"/>
        <w:tblW w:w="5000" w:type="pct"/>
        <w:tblLayout w:type="fixed"/>
        <w:tblLook w:val="04A0" w:firstRow="1" w:lastRow="0" w:firstColumn="1" w:lastColumn="0" w:noHBand="0" w:noVBand="1"/>
        <w:tblDescription w:val="Table 3.2 Weighted service characteristics in Transitioned ADF and 2015 Regular ADF"/>
      </w:tblPr>
      <w:tblGrid>
        <w:gridCol w:w="1474"/>
        <w:gridCol w:w="798"/>
        <w:gridCol w:w="880"/>
        <w:gridCol w:w="1130"/>
        <w:gridCol w:w="805"/>
        <w:gridCol w:w="879"/>
        <w:gridCol w:w="1123"/>
      </w:tblGrid>
      <w:tr w:rsidR="00690E8D" w:rsidRPr="0035143C" w14:paraId="7904ADBB" w14:textId="77777777" w:rsidTr="00B737A1">
        <w:trPr>
          <w:cnfStyle w:val="100000000000" w:firstRow="1" w:lastRow="0" w:firstColumn="0" w:lastColumn="0" w:oddVBand="0" w:evenVBand="0" w:oddHBand="0" w:evenHBand="0" w:firstRowFirstColumn="0" w:firstRowLastColumn="0" w:lastRowFirstColumn="0" w:lastRowLastColumn="0"/>
          <w:cantSplit/>
          <w:tblHeader/>
        </w:trPr>
        <w:tc>
          <w:tcPr>
            <w:tcW w:w="1039" w:type="pct"/>
            <w:tcBorders>
              <w:top w:val="single" w:sz="4" w:space="0" w:color="000000"/>
              <w:bottom w:val="nil"/>
            </w:tcBorders>
          </w:tcPr>
          <w:p w14:paraId="4823024E" w14:textId="77777777" w:rsidR="00690E8D" w:rsidRPr="00041B9D" w:rsidRDefault="00690E8D" w:rsidP="002E67C4">
            <w:pPr>
              <w:pStyle w:val="TableText"/>
            </w:pPr>
          </w:p>
        </w:tc>
        <w:tc>
          <w:tcPr>
            <w:tcW w:w="1981" w:type="pct"/>
            <w:gridSpan w:val="3"/>
            <w:hideMark/>
          </w:tcPr>
          <w:p w14:paraId="021C55A3" w14:textId="77777777" w:rsidR="00690E8D" w:rsidRPr="004C6CF5" w:rsidRDefault="00690E8D" w:rsidP="00800B68">
            <w:pPr>
              <w:pStyle w:val="TableText"/>
              <w:jc w:val="center"/>
              <w:rPr>
                <w:b w:val="0"/>
              </w:rPr>
            </w:pPr>
            <w:r w:rsidRPr="004C6CF5">
              <w:t>Transitioned ADF</w:t>
            </w:r>
            <w:r w:rsidR="00800B68">
              <w:br/>
            </w:r>
            <w:r w:rsidRPr="004C6CF5">
              <w:t>(n=</w:t>
            </w:r>
            <w:r w:rsidRPr="004C6CF5">
              <w:rPr>
                <w:color w:val="000000" w:themeColor="text1"/>
              </w:rPr>
              <w:t>24,932)</w:t>
            </w:r>
          </w:p>
        </w:tc>
        <w:tc>
          <w:tcPr>
            <w:tcW w:w="1980" w:type="pct"/>
            <w:gridSpan w:val="3"/>
            <w:hideMark/>
          </w:tcPr>
          <w:p w14:paraId="140E05E4" w14:textId="77777777" w:rsidR="00690E8D" w:rsidRPr="004C6CF5" w:rsidRDefault="00690E8D" w:rsidP="00800B68">
            <w:pPr>
              <w:pStyle w:val="TableText"/>
              <w:jc w:val="center"/>
              <w:rPr>
                <w:b w:val="0"/>
              </w:rPr>
            </w:pPr>
            <w:r w:rsidRPr="004C6CF5">
              <w:t>2015 Regular ADF</w:t>
            </w:r>
            <w:r w:rsidR="00800B68">
              <w:br/>
            </w:r>
            <w:r w:rsidRPr="004C6CF5">
              <w:rPr>
                <w:color w:val="000000" w:themeColor="text1"/>
              </w:rPr>
              <w:t>(n=52,500)</w:t>
            </w:r>
          </w:p>
        </w:tc>
      </w:tr>
      <w:tr w:rsidR="00690E8D" w:rsidRPr="0035143C" w14:paraId="697EAA51" w14:textId="77777777" w:rsidTr="00B737A1">
        <w:trPr>
          <w:cnfStyle w:val="100000000000" w:firstRow="1" w:lastRow="0" w:firstColumn="0" w:lastColumn="0" w:oddVBand="0" w:evenVBand="0" w:oddHBand="0" w:evenHBand="0" w:firstRowFirstColumn="0" w:firstRowLastColumn="0" w:lastRowFirstColumn="0" w:lastRowLastColumn="0"/>
          <w:cantSplit/>
          <w:tblHeader/>
        </w:trPr>
        <w:tc>
          <w:tcPr>
            <w:tcW w:w="1039" w:type="pct"/>
            <w:tcBorders>
              <w:top w:val="nil"/>
            </w:tcBorders>
          </w:tcPr>
          <w:p w14:paraId="4389CEBA" w14:textId="77777777" w:rsidR="00690E8D" w:rsidRPr="00041B9D" w:rsidRDefault="00690E8D" w:rsidP="002E67C4">
            <w:pPr>
              <w:pStyle w:val="TableText"/>
            </w:pPr>
          </w:p>
        </w:tc>
        <w:tc>
          <w:tcPr>
            <w:tcW w:w="563" w:type="pct"/>
            <w:hideMark/>
          </w:tcPr>
          <w:p w14:paraId="18CC8FB6" w14:textId="77777777" w:rsidR="00690E8D" w:rsidRPr="004C6CF5" w:rsidRDefault="00690E8D" w:rsidP="002E67C4">
            <w:pPr>
              <w:pStyle w:val="TableText"/>
              <w:jc w:val="right"/>
              <w:rPr>
                <w:b w:val="0"/>
              </w:rPr>
            </w:pPr>
            <w:r w:rsidRPr="004C6CF5">
              <w:t>n</w:t>
            </w:r>
          </w:p>
        </w:tc>
        <w:tc>
          <w:tcPr>
            <w:tcW w:w="621" w:type="pct"/>
            <w:hideMark/>
          </w:tcPr>
          <w:p w14:paraId="7AB2004C" w14:textId="77777777" w:rsidR="00690E8D" w:rsidRPr="004C6CF5" w:rsidRDefault="00690E8D" w:rsidP="002E67C4">
            <w:pPr>
              <w:pStyle w:val="TableText"/>
              <w:jc w:val="right"/>
              <w:rPr>
                <w:b w:val="0"/>
              </w:rPr>
            </w:pPr>
            <w:r w:rsidRPr="004C6CF5">
              <w:t>Weighted n</w:t>
            </w:r>
          </w:p>
        </w:tc>
        <w:tc>
          <w:tcPr>
            <w:tcW w:w="796" w:type="pct"/>
            <w:hideMark/>
          </w:tcPr>
          <w:p w14:paraId="19C252E1" w14:textId="77777777" w:rsidR="00690E8D" w:rsidRPr="004C6CF5" w:rsidRDefault="00690E8D" w:rsidP="002E67C4">
            <w:pPr>
              <w:pStyle w:val="TableText"/>
              <w:jc w:val="right"/>
              <w:rPr>
                <w:b w:val="0"/>
              </w:rPr>
            </w:pPr>
            <w:r w:rsidRPr="004C6CF5">
              <w:t>% (95% CI)</w:t>
            </w:r>
          </w:p>
        </w:tc>
        <w:tc>
          <w:tcPr>
            <w:tcW w:w="568" w:type="pct"/>
            <w:hideMark/>
          </w:tcPr>
          <w:p w14:paraId="4EF25189" w14:textId="77777777" w:rsidR="00690E8D" w:rsidRPr="004C6CF5" w:rsidRDefault="00690E8D" w:rsidP="002E67C4">
            <w:pPr>
              <w:pStyle w:val="TableText"/>
              <w:jc w:val="right"/>
              <w:rPr>
                <w:b w:val="0"/>
              </w:rPr>
            </w:pPr>
            <w:r w:rsidRPr="004C6CF5">
              <w:t>n</w:t>
            </w:r>
          </w:p>
        </w:tc>
        <w:tc>
          <w:tcPr>
            <w:tcW w:w="620" w:type="pct"/>
            <w:hideMark/>
          </w:tcPr>
          <w:p w14:paraId="412EDFC4" w14:textId="77777777" w:rsidR="00690E8D" w:rsidRPr="004C6CF5" w:rsidRDefault="00690E8D" w:rsidP="002E67C4">
            <w:pPr>
              <w:pStyle w:val="TableText"/>
              <w:jc w:val="right"/>
              <w:rPr>
                <w:b w:val="0"/>
              </w:rPr>
            </w:pPr>
            <w:r w:rsidRPr="004C6CF5">
              <w:t>Weighted n</w:t>
            </w:r>
          </w:p>
        </w:tc>
        <w:tc>
          <w:tcPr>
            <w:tcW w:w="791" w:type="pct"/>
            <w:hideMark/>
          </w:tcPr>
          <w:p w14:paraId="3E4B4ABB" w14:textId="77777777" w:rsidR="00690E8D" w:rsidRPr="004C6CF5" w:rsidRDefault="00690E8D" w:rsidP="002E67C4">
            <w:pPr>
              <w:pStyle w:val="TableText"/>
              <w:jc w:val="right"/>
              <w:rPr>
                <w:b w:val="0"/>
              </w:rPr>
            </w:pPr>
            <w:r w:rsidRPr="004C6CF5">
              <w:t>% (95% CI)</w:t>
            </w:r>
          </w:p>
        </w:tc>
      </w:tr>
      <w:tr w:rsidR="00690E8D" w:rsidRPr="0035143C" w14:paraId="4882BB4D"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hideMark/>
          </w:tcPr>
          <w:p w14:paraId="3B58E315" w14:textId="77777777" w:rsidR="00690E8D" w:rsidRPr="004C6CF5" w:rsidRDefault="00690E8D" w:rsidP="002E67C4">
            <w:pPr>
              <w:pStyle w:val="TableText"/>
              <w:rPr>
                <w:b/>
              </w:rPr>
            </w:pPr>
            <w:r w:rsidRPr="004C6CF5">
              <w:rPr>
                <w:b/>
              </w:rPr>
              <w:t>Rank*</w:t>
            </w:r>
            <w:r w:rsidRPr="00D11482">
              <w:rPr>
                <w:vertAlign w:val="superscript"/>
              </w:rPr>
              <w:t>†</w:t>
            </w:r>
          </w:p>
        </w:tc>
        <w:tc>
          <w:tcPr>
            <w:tcW w:w="563" w:type="pct"/>
          </w:tcPr>
          <w:p w14:paraId="5C0C678E" w14:textId="77777777" w:rsidR="00690E8D" w:rsidRPr="00041B9D" w:rsidRDefault="00690E8D" w:rsidP="002E67C4">
            <w:pPr>
              <w:pStyle w:val="TableText"/>
              <w:jc w:val="right"/>
            </w:pPr>
          </w:p>
        </w:tc>
        <w:tc>
          <w:tcPr>
            <w:tcW w:w="621" w:type="pct"/>
          </w:tcPr>
          <w:p w14:paraId="62EDA500" w14:textId="77777777" w:rsidR="00690E8D" w:rsidRPr="00041B9D" w:rsidRDefault="00690E8D" w:rsidP="002E67C4">
            <w:pPr>
              <w:pStyle w:val="TableText"/>
              <w:jc w:val="right"/>
            </w:pPr>
          </w:p>
        </w:tc>
        <w:tc>
          <w:tcPr>
            <w:tcW w:w="796" w:type="pct"/>
          </w:tcPr>
          <w:p w14:paraId="51DFD8DA" w14:textId="77777777" w:rsidR="00690E8D" w:rsidRPr="00041B9D" w:rsidRDefault="00690E8D" w:rsidP="002E67C4">
            <w:pPr>
              <w:pStyle w:val="TableText"/>
              <w:jc w:val="right"/>
            </w:pPr>
          </w:p>
        </w:tc>
        <w:tc>
          <w:tcPr>
            <w:tcW w:w="568" w:type="pct"/>
          </w:tcPr>
          <w:p w14:paraId="138EF399" w14:textId="77777777" w:rsidR="00690E8D" w:rsidRPr="00041B9D" w:rsidRDefault="00690E8D" w:rsidP="002E67C4">
            <w:pPr>
              <w:pStyle w:val="TableText"/>
              <w:jc w:val="right"/>
            </w:pPr>
          </w:p>
        </w:tc>
        <w:tc>
          <w:tcPr>
            <w:tcW w:w="620" w:type="pct"/>
          </w:tcPr>
          <w:p w14:paraId="6E23E43C" w14:textId="77777777" w:rsidR="00690E8D" w:rsidRPr="00041B9D" w:rsidRDefault="00690E8D" w:rsidP="002E67C4">
            <w:pPr>
              <w:pStyle w:val="TableText"/>
              <w:jc w:val="right"/>
            </w:pPr>
          </w:p>
        </w:tc>
        <w:tc>
          <w:tcPr>
            <w:tcW w:w="791" w:type="pct"/>
          </w:tcPr>
          <w:p w14:paraId="71F7BFB7" w14:textId="77777777" w:rsidR="00690E8D" w:rsidRPr="00041B9D" w:rsidRDefault="00690E8D" w:rsidP="002E67C4">
            <w:pPr>
              <w:pStyle w:val="TableText"/>
              <w:jc w:val="right"/>
            </w:pPr>
          </w:p>
        </w:tc>
      </w:tr>
      <w:tr w:rsidR="00690E8D" w:rsidRPr="0035143C" w14:paraId="34BD8D66" w14:textId="77777777" w:rsidTr="00B737A1">
        <w:trPr>
          <w:cantSplit/>
        </w:trPr>
        <w:tc>
          <w:tcPr>
            <w:tcW w:w="1039" w:type="pct"/>
            <w:hideMark/>
          </w:tcPr>
          <w:p w14:paraId="5A58617F" w14:textId="77777777" w:rsidR="00690E8D" w:rsidRPr="00041B9D" w:rsidRDefault="00690E8D" w:rsidP="002E67C4">
            <w:pPr>
              <w:pStyle w:val="TableText"/>
            </w:pPr>
            <w:r w:rsidRPr="00041B9D">
              <w:t>OFFR</w:t>
            </w:r>
          </w:p>
        </w:tc>
        <w:tc>
          <w:tcPr>
            <w:tcW w:w="563" w:type="pct"/>
            <w:hideMark/>
          </w:tcPr>
          <w:p w14:paraId="0BA12DE4" w14:textId="77777777" w:rsidR="00690E8D" w:rsidRPr="00041B9D" w:rsidRDefault="00690E8D" w:rsidP="002E67C4">
            <w:pPr>
              <w:pStyle w:val="TableText"/>
              <w:jc w:val="right"/>
            </w:pPr>
            <w:r w:rsidRPr="00041B9D">
              <w:t>1259</w:t>
            </w:r>
          </w:p>
        </w:tc>
        <w:tc>
          <w:tcPr>
            <w:tcW w:w="621" w:type="pct"/>
            <w:hideMark/>
          </w:tcPr>
          <w:p w14:paraId="416A34C2" w14:textId="77777777" w:rsidR="00690E8D" w:rsidRPr="00041B9D" w:rsidRDefault="00690E8D" w:rsidP="002E67C4">
            <w:pPr>
              <w:pStyle w:val="TableText"/>
              <w:jc w:val="right"/>
            </w:pPr>
            <w:r w:rsidRPr="00041B9D">
              <w:t>4063</w:t>
            </w:r>
          </w:p>
        </w:tc>
        <w:tc>
          <w:tcPr>
            <w:tcW w:w="796" w:type="pct"/>
            <w:hideMark/>
          </w:tcPr>
          <w:p w14:paraId="2276C168" w14:textId="77777777" w:rsidR="00690E8D" w:rsidRPr="00041B9D" w:rsidRDefault="00690E8D" w:rsidP="002E67C4">
            <w:pPr>
              <w:pStyle w:val="TableText"/>
              <w:jc w:val="right"/>
            </w:pPr>
            <w:r w:rsidRPr="00041B9D">
              <w:t>16.3</w:t>
            </w:r>
          </w:p>
        </w:tc>
        <w:tc>
          <w:tcPr>
            <w:tcW w:w="568" w:type="pct"/>
            <w:hideMark/>
          </w:tcPr>
          <w:p w14:paraId="40E67ED5" w14:textId="77777777" w:rsidR="00690E8D" w:rsidRPr="00041B9D" w:rsidRDefault="00690E8D" w:rsidP="002E67C4">
            <w:pPr>
              <w:pStyle w:val="TableText"/>
              <w:jc w:val="right"/>
            </w:pPr>
            <w:r w:rsidRPr="00041B9D">
              <w:t>3538</w:t>
            </w:r>
          </w:p>
        </w:tc>
        <w:tc>
          <w:tcPr>
            <w:tcW w:w="620" w:type="pct"/>
            <w:hideMark/>
          </w:tcPr>
          <w:p w14:paraId="659C993A" w14:textId="77777777" w:rsidR="00690E8D" w:rsidRPr="00041B9D" w:rsidRDefault="00690E8D" w:rsidP="002E67C4">
            <w:pPr>
              <w:pStyle w:val="TableText"/>
              <w:jc w:val="right"/>
            </w:pPr>
            <w:r w:rsidRPr="00041B9D">
              <w:t>13,444</w:t>
            </w:r>
          </w:p>
        </w:tc>
        <w:tc>
          <w:tcPr>
            <w:tcW w:w="791" w:type="pct"/>
            <w:hideMark/>
          </w:tcPr>
          <w:p w14:paraId="43AF3CD5" w14:textId="77777777" w:rsidR="00690E8D" w:rsidRPr="00041B9D" w:rsidRDefault="00690E8D" w:rsidP="002E67C4">
            <w:pPr>
              <w:pStyle w:val="TableText"/>
              <w:jc w:val="right"/>
            </w:pPr>
            <w:r w:rsidRPr="00041B9D">
              <w:t>25.6</w:t>
            </w:r>
          </w:p>
        </w:tc>
      </w:tr>
      <w:tr w:rsidR="00690E8D" w:rsidRPr="0035143C" w14:paraId="75C090F3"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hideMark/>
          </w:tcPr>
          <w:p w14:paraId="66E6499C" w14:textId="77777777" w:rsidR="00690E8D" w:rsidRPr="00041B9D" w:rsidRDefault="00690E8D" w:rsidP="002E67C4">
            <w:pPr>
              <w:pStyle w:val="TableText"/>
            </w:pPr>
            <w:r w:rsidRPr="00041B9D">
              <w:t>NCO</w:t>
            </w:r>
          </w:p>
        </w:tc>
        <w:tc>
          <w:tcPr>
            <w:tcW w:w="563" w:type="pct"/>
            <w:hideMark/>
          </w:tcPr>
          <w:p w14:paraId="2BA2D16C" w14:textId="77777777" w:rsidR="00690E8D" w:rsidRPr="00041B9D" w:rsidRDefault="00690E8D" w:rsidP="002E67C4">
            <w:pPr>
              <w:pStyle w:val="TableText"/>
              <w:jc w:val="right"/>
            </w:pPr>
            <w:r w:rsidRPr="00041B9D">
              <w:t>2097</w:t>
            </w:r>
          </w:p>
        </w:tc>
        <w:tc>
          <w:tcPr>
            <w:tcW w:w="621" w:type="pct"/>
            <w:hideMark/>
          </w:tcPr>
          <w:p w14:paraId="2048D75B" w14:textId="77777777" w:rsidR="00690E8D" w:rsidRPr="00041B9D" w:rsidRDefault="00690E8D" w:rsidP="002E67C4">
            <w:pPr>
              <w:pStyle w:val="TableText"/>
              <w:jc w:val="right"/>
            </w:pPr>
            <w:r w:rsidRPr="00041B9D">
              <w:t>7866</w:t>
            </w:r>
          </w:p>
        </w:tc>
        <w:tc>
          <w:tcPr>
            <w:tcW w:w="796" w:type="pct"/>
            <w:hideMark/>
          </w:tcPr>
          <w:p w14:paraId="257A7D9A" w14:textId="77777777" w:rsidR="00690E8D" w:rsidRPr="00041B9D" w:rsidRDefault="00690E8D" w:rsidP="002E67C4">
            <w:pPr>
              <w:pStyle w:val="TableText"/>
              <w:jc w:val="right"/>
            </w:pPr>
            <w:r w:rsidRPr="00041B9D">
              <w:t>31.6</w:t>
            </w:r>
          </w:p>
        </w:tc>
        <w:tc>
          <w:tcPr>
            <w:tcW w:w="568" w:type="pct"/>
            <w:hideMark/>
          </w:tcPr>
          <w:p w14:paraId="6731319E" w14:textId="77777777" w:rsidR="00690E8D" w:rsidRPr="00041B9D" w:rsidRDefault="00690E8D" w:rsidP="002E67C4">
            <w:pPr>
              <w:pStyle w:val="TableText"/>
              <w:jc w:val="right"/>
            </w:pPr>
            <w:r w:rsidRPr="00041B9D">
              <w:t>4336</w:t>
            </w:r>
          </w:p>
        </w:tc>
        <w:tc>
          <w:tcPr>
            <w:tcW w:w="620" w:type="pct"/>
            <w:hideMark/>
          </w:tcPr>
          <w:p w14:paraId="65496ED6" w14:textId="77777777" w:rsidR="00690E8D" w:rsidRPr="00041B9D" w:rsidRDefault="00690E8D" w:rsidP="002E67C4">
            <w:pPr>
              <w:pStyle w:val="TableText"/>
              <w:jc w:val="right"/>
            </w:pPr>
            <w:r w:rsidRPr="00041B9D">
              <w:t>17,491</w:t>
            </w:r>
          </w:p>
        </w:tc>
        <w:tc>
          <w:tcPr>
            <w:tcW w:w="791" w:type="pct"/>
            <w:hideMark/>
          </w:tcPr>
          <w:p w14:paraId="4D2DEBEC" w14:textId="77777777" w:rsidR="00690E8D" w:rsidRPr="00041B9D" w:rsidRDefault="00690E8D" w:rsidP="002E67C4">
            <w:pPr>
              <w:pStyle w:val="TableText"/>
              <w:jc w:val="right"/>
            </w:pPr>
            <w:r w:rsidRPr="00041B9D">
              <w:t>33.3</w:t>
            </w:r>
          </w:p>
        </w:tc>
      </w:tr>
      <w:tr w:rsidR="00690E8D" w:rsidRPr="0035143C" w14:paraId="41942F2C" w14:textId="77777777" w:rsidTr="00B737A1">
        <w:trPr>
          <w:cantSplit/>
        </w:trPr>
        <w:tc>
          <w:tcPr>
            <w:tcW w:w="1039" w:type="pct"/>
            <w:tcBorders>
              <w:bottom w:val="single" w:sz="4" w:space="0" w:color="000000"/>
            </w:tcBorders>
            <w:hideMark/>
          </w:tcPr>
          <w:p w14:paraId="7785C0C5" w14:textId="77777777" w:rsidR="00690E8D" w:rsidRPr="00041B9D" w:rsidRDefault="00690E8D" w:rsidP="002E67C4">
            <w:pPr>
              <w:pStyle w:val="TableText"/>
            </w:pPr>
            <w:r w:rsidRPr="00041B9D">
              <w:t>Other Ranks</w:t>
            </w:r>
          </w:p>
        </w:tc>
        <w:tc>
          <w:tcPr>
            <w:tcW w:w="563" w:type="pct"/>
            <w:tcBorders>
              <w:bottom w:val="single" w:sz="4" w:space="0" w:color="000000"/>
            </w:tcBorders>
            <w:hideMark/>
          </w:tcPr>
          <w:p w14:paraId="61414791" w14:textId="77777777" w:rsidR="00690E8D" w:rsidRPr="00041B9D" w:rsidRDefault="00690E8D" w:rsidP="002E67C4">
            <w:pPr>
              <w:pStyle w:val="TableText"/>
              <w:jc w:val="right"/>
            </w:pPr>
            <w:r w:rsidRPr="00041B9D">
              <w:t>970</w:t>
            </w:r>
          </w:p>
        </w:tc>
        <w:tc>
          <w:tcPr>
            <w:tcW w:w="621" w:type="pct"/>
            <w:tcBorders>
              <w:bottom w:val="single" w:sz="4" w:space="0" w:color="000000"/>
            </w:tcBorders>
            <w:hideMark/>
          </w:tcPr>
          <w:p w14:paraId="20636536" w14:textId="77777777" w:rsidR="00690E8D" w:rsidRPr="00041B9D" w:rsidRDefault="00690E8D" w:rsidP="002E67C4">
            <w:pPr>
              <w:pStyle w:val="TableText"/>
              <w:jc w:val="right"/>
            </w:pPr>
            <w:r w:rsidRPr="00041B9D">
              <w:t>13,003</w:t>
            </w:r>
          </w:p>
        </w:tc>
        <w:tc>
          <w:tcPr>
            <w:tcW w:w="796" w:type="pct"/>
            <w:tcBorders>
              <w:bottom w:val="single" w:sz="4" w:space="0" w:color="000000"/>
            </w:tcBorders>
            <w:hideMark/>
          </w:tcPr>
          <w:p w14:paraId="202E92CC" w14:textId="77777777" w:rsidR="00690E8D" w:rsidRPr="00041B9D" w:rsidRDefault="00690E8D" w:rsidP="002E67C4">
            <w:pPr>
              <w:pStyle w:val="TableText"/>
              <w:jc w:val="right"/>
            </w:pPr>
            <w:r w:rsidRPr="00041B9D">
              <w:t>52.2</w:t>
            </w:r>
          </w:p>
        </w:tc>
        <w:tc>
          <w:tcPr>
            <w:tcW w:w="568" w:type="pct"/>
            <w:tcBorders>
              <w:bottom w:val="single" w:sz="4" w:space="0" w:color="000000"/>
            </w:tcBorders>
            <w:hideMark/>
          </w:tcPr>
          <w:p w14:paraId="35C26F35" w14:textId="77777777" w:rsidR="00690E8D" w:rsidRPr="00041B9D" w:rsidRDefault="00690E8D" w:rsidP="002E67C4">
            <w:pPr>
              <w:pStyle w:val="TableText"/>
              <w:jc w:val="right"/>
            </w:pPr>
            <w:r w:rsidRPr="00041B9D">
              <w:t>606</w:t>
            </w:r>
          </w:p>
        </w:tc>
        <w:tc>
          <w:tcPr>
            <w:tcW w:w="620" w:type="pct"/>
            <w:tcBorders>
              <w:bottom w:val="single" w:sz="4" w:space="0" w:color="000000"/>
            </w:tcBorders>
            <w:hideMark/>
          </w:tcPr>
          <w:p w14:paraId="7F310896" w14:textId="77777777" w:rsidR="00690E8D" w:rsidRPr="00041B9D" w:rsidRDefault="00690E8D" w:rsidP="002E67C4">
            <w:pPr>
              <w:pStyle w:val="TableText"/>
              <w:jc w:val="right"/>
            </w:pPr>
            <w:r w:rsidRPr="00041B9D">
              <w:t>21,565</w:t>
            </w:r>
          </w:p>
        </w:tc>
        <w:tc>
          <w:tcPr>
            <w:tcW w:w="791" w:type="pct"/>
            <w:tcBorders>
              <w:bottom w:val="single" w:sz="4" w:space="0" w:color="000000"/>
            </w:tcBorders>
            <w:hideMark/>
          </w:tcPr>
          <w:p w14:paraId="17235583" w14:textId="77777777" w:rsidR="00690E8D" w:rsidRPr="00041B9D" w:rsidRDefault="00690E8D" w:rsidP="002E67C4">
            <w:pPr>
              <w:pStyle w:val="TableText"/>
              <w:jc w:val="right"/>
            </w:pPr>
            <w:r w:rsidRPr="00041B9D">
              <w:t>41.1</w:t>
            </w:r>
          </w:p>
        </w:tc>
      </w:tr>
      <w:tr w:rsidR="00690E8D" w:rsidRPr="0035143C" w14:paraId="1BCBCAA0"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tcBorders>
              <w:top w:val="single" w:sz="4" w:space="0" w:color="000000"/>
              <w:bottom w:val="nil"/>
            </w:tcBorders>
            <w:hideMark/>
          </w:tcPr>
          <w:p w14:paraId="6CE287BE" w14:textId="77777777" w:rsidR="00690E8D" w:rsidRPr="004C6CF5" w:rsidRDefault="00690E8D" w:rsidP="002E67C4">
            <w:pPr>
              <w:pStyle w:val="TableText"/>
              <w:rPr>
                <w:b/>
              </w:rPr>
            </w:pPr>
            <w:r w:rsidRPr="004C6CF5">
              <w:rPr>
                <w:b/>
              </w:rPr>
              <w:t>Service</w:t>
            </w:r>
            <w:r w:rsidRPr="004C6CF5">
              <w:rPr>
                <w:b/>
                <w:vertAlign w:val="superscript"/>
              </w:rPr>
              <w:t>*</w:t>
            </w:r>
            <w:r w:rsidRPr="00D11482">
              <w:rPr>
                <w:vertAlign w:val="superscript"/>
              </w:rPr>
              <w:t>†</w:t>
            </w:r>
          </w:p>
        </w:tc>
        <w:tc>
          <w:tcPr>
            <w:tcW w:w="563" w:type="pct"/>
            <w:tcBorders>
              <w:top w:val="single" w:sz="4" w:space="0" w:color="000000"/>
              <w:bottom w:val="nil"/>
            </w:tcBorders>
          </w:tcPr>
          <w:p w14:paraId="497E7F48" w14:textId="77777777" w:rsidR="00690E8D" w:rsidRPr="00041B9D" w:rsidRDefault="00690E8D" w:rsidP="002E67C4">
            <w:pPr>
              <w:pStyle w:val="TableText"/>
              <w:jc w:val="right"/>
            </w:pPr>
          </w:p>
        </w:tc>
        <w:tc>
          <w:tcPr>
            <w:tcW w:w="621" w:type="pct"/>
            <w:tcBorders>
              <w:top w:val="single" w:sz="4" w:space="0" w:color="000000"/>
              <w:bottom w:val="nil"/>
            </w:tcBorders>
          </w:tcPr>
          <w:p w14:paraId="14E5BF5B" w14:textId="77777777" w:rsidR="00690E8D" w:rsidRPr="00041B9D" w:rsidRDefault="00690E8D" w:rsidP="002E67C4">
            <w:pPr>
              <w:pStyle w:val="TableText"/>
              <w:jc w:val="right"/>
              <w:rPr>
                <w:color w:val="000000" w:themeColor="text1"/>
              </w:rPr>
            </w:pPr>
          </w:p>
        </w:tc>
        <w:tc>
          <w:tcPr>
            <w:tcW w:w="796" w:type="pct"/>
            <w:tcBorders>
              <w:top w:val="single" w:sz="4" w:space="0" w:color="000000"/>
              <w:bottom w:val="nil"/>
            </w:tcBorders>
          </w:tcPr>
          <w:p w14:paraId="4CEAC380" w14:textId="77777777" w:rsidR="00690E8D" w:rsidRPr="00041B9D" w:rsidRDefault="00690E8D" w:rsidP="002E67C4">
            <w:pPr>
              <w:pStyle w:val="TableText"/>
              <w:jc w:val="right"/>
            </w:pPr>
          </w:p>
        </w:tc>
        <w:tc>
          <w:tcPr>
            <w:tcW w:w="568" w:type="pct"/>
            <w:tcBorders>
              <w:top w:val="single" w:sz="4" w:space="0" w:color="000000"/>
              <w:bottom w:val="nil"/>
            </w:tcBorders>
          </w:tcPr>
          <w:p w14:paraId="655ADD3D" w14:textId="77777777" w:rsidR="00690E8D" w:rsidRPr="00041B9D" w:rsidRDefault="00690E8D" w:rsidP="002E67C4">
            <w:pPr>
              <w:pStyle w:val="TableText"/>
              <w:jc w:val="right"/>
            </w:pPr>
          </w:p>
        </w:tc>
        <w:tc>
          <w:tcPr>
            <w:tcW w:w="620" w:type="pct"/>
            <w:tcBorders>
              <w:top w:val="single" w:sz="4" w:space="0" w:color="000000"/>
              <w:bottom w:val="nil"/>
            </w:tcBorders>
          </w:tcPr>
          <w:p w14:paraId="69E661E5" w14:textId="77777777" w:rsidR="00690E8D" w:rsidRPr="00041B9D" w:rsidRDefault="00690E8D" w:rsidP="002E67C4">
            <w:pPr>
              <w:pStyle w:val="TableText"/>
              <w:jc w:val="right"/>
            </w:pPr>
          </w:p>
        </w:tc>
        <w:tc>
          <w:tcPr>
            <w:tcW w:w="791" w:type="pct"/>
            <w:tcBorders>
              <w:top w:val="single" w:sz="4" w:space="0" w:color="000000"/>
              <w:bottom w:val="nil"/>
            </w:tcBorders>
          </w:tcPr>
          <w:p w14:paraId="46468E3E" w14:textId="77777777" w:rsidR="00690E8D" w:rsidRPr="00041B9D" w:rsidRDefault="00690E8D" w:rsidP="002E67C4">
            <w:pPr>
              <w:pStyle w:val="TableText"/>
              <w:jc w:val="right"/>
            </w:pPr>
          </w:p>
        </w:tc>
      </w:tr>
      <w:tr w:rsidR="00690E8D" w:rsidRPr="0035143C" w14:paraId="1349C0DB" w14:textId="77777777" w:rsidTr="00B737A1">
        <w:trPr>
          <w:cantSplit/>
        </w:trPr>
        <w:tc>
          <w:tcPr>
            <w:tcW w:w="1039" w:type="pct"/>
            <w:tcBorders>
              <w:top w:val="nil"/>
            </w:tcBorders>
            <w:hideMark/>
          </w:tcPr>
          <w:p w14:paraId="74291764" w14:textId="77777777" w:rsidR="00690E8D" w:rsidRPr="00041B9D" w:rsidRDefault="00690E8D" w:rsidP="002E67C4">
            <w:pPr>
              <w:pStyle w:val="TableText"/>
            </w:pPr>
            <w:r w:rsidRPr="00041B9D">
              <w:t xml:space="preserve">Army </w:t>
            </w:r>
          </w:p>
        </w:tc>
        <w:tc>
          <w:tcPr>
            <w:tcW w:w="563" w:type="pct"/>
            <w:tcBorders>
              <w:top w:val="nil"/>
            </w:tcBorders>
            <w:hideMark/>
          </w:tcPr>
          <w:p w14:paraId="67734B2A" w14:textId="77777777" w:rsidR="00690E8D" w:rsidRPr="00041B9D" w:rsidRDefault="00690E8D" w:rsidP="002E67C4">
            <w:pPr>
              <w:pStyle w:val="TableText"/>
              <w:jc w:val="right"/>
            </w:pPr>
            <w:r w:rsidRPr="00041B9D">
              <w:t>2463</w:t>
            </w:r>
          </w:p>
        </w:tc>
        <w:tc>
          <w:tcPr>
            <w:tcW w:w="621" w:type="pct"/>
            <w:tcBorders>
              <w:top w:val="nil"/>
            </w:tcBorders>
            <w:hideMark/>
          </w:tcPr>
          <w:p w14:paraId="4D178391" w14:textId="77777777" w:rsidR="00690E8D" w:rsidRPr="00041B9D" w:rsidRDefault="00690E8D" w:rsidP="002E67C4">
            <w:pPr>
              <w:pStyle w:val="TableText"/>
              <w:jc w:val="right"/>
            </w:pPr>
            <w:r w:rsidRPr="00041B9D">
              <w:t>15,038</w:t>
            </w:r>
          </w:p>
        </w:tc>
        <w:tc>
          <w:tcPr>
            <w:tcW w:w="796" w:type="pct"/>
            <w:tcBorders>
              <w:top w:val="nil"/>
            </w:tcBorders>
            <w:hideMark/>
          </w:tcPr>
          <w:p w14:paraId="1A1F2E71" w14:textId="77777777" w:rsidR="00690E8D" w:rsidRPr="00041B9D" w:rsidRDefault="00690E8D" w:rsidP="002E67C4">
            <w:pPr>
              <w:pStyle w:val="TableText"/>
              <w:jc w:val="right"/>
            </w:pPr>
            <w:r w:rsidRPr="00041B9D">
              <w:t>60.3 (60.3,</w:t>
            </w:r>
            <w:r>
              <w:t xml:space="preserve"> </w:t>
            </w:r>
            <w:r w:rsidRPr="00041B9D">
              <w:t>60.3)</w:t>
            </w:r>
          </w:p>
        </w:tc>
        <w:tc>
          <w:tcPr>
            <w:tcW w:w="568" w:type="pct"/>
            <w:tcBorders>
              <w:top w:val="nil"/>
            </w:tcBorders>
            <w:hideMark/>
          </w:tcPr>
          <w:p w14:paraId="39455395" w14:textId="77777777" w:rsidR="00690E8D" w:rsidRPr="00041B9D" w:rsidRDefault="00690E8D" w:rsidP="002E67C4">
            <w:pPr>
              <w:pStyle w:val="TableText"/>
              <w:jc w:val="right"/>
            </w:pPr>
            <w:r w:rsidRPr="00041B9D">
              <w:t>3500</w:t>
            </w:r>
          </w:p>
        </w:tc>
        <w:tc>
          <w:tcPr>
            <w:tcW w:w="620" w:type="pct"/>
            <w:tcBorders>
              <w:top w:val="nil"/>
            </w:tcBorders>
            <w:hideMark/>
          </w:tcPr>
          <w:p w14:paraId="33A44D40" w14:textId="77777777" w:rsidR="00690E8D" w:rsidRPr="00041B9D" w:rsidRDefault="00690E8D" w:rsidP="002E67C4">
            <w:pPr>
              <w:pStyle w:val="TableText"/>
              <w:jc w:val="right"/>
            </w:pPr>
            <w:r w:rsidRPr="00041B9D">
              <w:t>25,798</w:t>
            </w:r>
          </w:p>
        </w:tc>
        <w:tc>
          <w:tcPr>
            <w:tcW w:w="791" w:type="pct"/>
            <w:tcBorders>
              <w:top w:val="nil"/>
            </w:tcBorders>
            <w:hideMark/>
          </w:tcPr>
          <w:p w14:paraId="41346D16" w14:textId="77777777" w:rsidR="00690E8D" w:rsidRPr="00041B9D" w:rsidRDefault="00690E8D" w:rsidP="002E67C4">
            <w:pPr>
              <w:pStyle w:val="TableText"/>
              <w:jc w:val="right"/>
            </w:pPr>
            <w:r w:rsidRPr="00041B9D">
              <w:t>49.1</w:t>
            </w:r>
          </w:p>
        </w:tc>
      </w:tr>
      <w:tr w:rsidR="00690E8D" w:rsidRPr="0035143C" w14:paraId="7227C737"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hideMark/>
          </w:tcPr>
          <w:p w14:paraId="0F785F90" w14:textId="77777777" w:rsidR="00690E8D" w:rsidRPr="00041B9D" w:rsidRDefault="00690E8D" w:rsidP="002E67C4">
            <w:pPr>
              <w:pStyle w:val="TableText"/>
            </w:pPr>
            <w:r w:rsidRPr="00041B9D">
              <w:t>Navy</w:t>
            </w:r>
          </w:p>
        </w:tc>
        <w:tc>
          <w:tcPr>
            <w:tcW w:w="563" w:type="pct"/>
            <w:hideMark/>
          </w:tcPr>
          <w:p w14:paraId="17F6CE2A" w14:textId="77777777" w:rsidR="00690E8D" w:rsidRPr="00041B9D" w:rsidRDefault="00690E8D" w:rsidP="002E67C4">
            <w:pPr>
              <w:pStyle w:val="TableText"/>
              <w:jc w:val="right"/>
            </w:pPr>
            <w:r w:rsidRPr="00041B9D">
              <w:t>863</w:t>
            </w:r>
          </w:p>
        </w:tc>
        <w:tc>
          <w:tcPr>
            <w:tcW w:w="621" w:type="pct"/>
            <w:hideMark/>
          </w:tcPr>
          <w:p w14:paraId="724FD33B" w14:textId="77777777" w:rsidR="00690E8D" w:rsidRPr="00041B9D" w:rsidRDefault="00690E8D" w:rsidP="002E67C4">
            <w:pPr>
              <w:pStyle w:val="TableText"/>
              <w:jc w:val="right"/>
            </w:pPr>
            <w:r w:rsidRPr="00041B9D">
              <w:t>5671</w:t>
            </w:r>
          </w:p>
        </w:tc>
        <w:tc>
          <w:tcPr>
            <w:tcW w:w="796" w:type="pct"/>
            <w:hideMark/>
          </w:tcPr>
          <w:p w14:paraId="7B67848D" w14:textId="77777777" w:rsidR="00690E8D" w:rsidRPr="00041B9D" w:rsidRDefault="00690E8D" w:rsidP="002E67C4">
            <w:pPr>
              <w:pStyle w:val="TableText"/>
              <w:jc w:val="right"/>
            </w:pPr>
            <w:r w:rsidRPr="00041B9D">
              <w:t>22.8 (22.8,</w:t>
            </w:r>
            <w:r>
              <w:t xml:space="preserve"> </w:t>
            </w:r>
            <w:r w:rsidRPr="00041B9D">
              <w:t>22.8)</w:t>
            </w:r>
          </w:p>
        </w:tc>
        <w:tc>
          <w:tcPr>
            <w:tcW w:w="568" w:type="pct"/>
            <w:hideMark/>
          </w:tcPr>
          <w:p w14:paraId="4D551AD2" w14:textId="77777777" w:rsidR="00690E8D" w:rsidRPr="00041B9D" w:rsidRDefault="00690E8D" w:rsidP="002E67C4">
            <w:pPr>
              <w:pStyle w:val="TableText"/>
              <w:jc w:val="right"/>
            </w:pPr>
            <w:r w:rsidRPr="00041B9D">
              <w:t>2040</w:t>
            </w:r>
          </w:p>
        </w:tc>
        <w:tc>
          <w:tcPr>
            <w:tcW w:w="620" w:type="pct"/>
            <w:hideMark/>
          </w:tcPr>
          <w:p w14:paraId="54F2BF08" w14:textId="77777777" w:rsidR="00690E8D" w:rsidRPr="00041B9D" w:rsidRDefault="00690E8D" w:rsidP="002E67C4">
            <w:pPr>
              <w:pStyle w:val="TableText"/>
              <w:jc w:val="right"/>
            </w:pPr>
            <w:r w:rsidRPr="00041B9D">
              <w:t>13,282</w:t>
            </w:r>
          </w:p>
        </w:tc>
        <w:tc>
          <w:tcPr>
            <w:tcW w:w="791" w:type="pct"/>
            <w:hideMark/>
          </w:tcPr>
          <w:p w14:paraId="7F978073" w14:textId="77777777" w:rsidR="00690E8D" w:rsidRPr="00041B9D" w:rsidRDefault="00690E8D" w:rsidP="002E67C4">
            <w:pPr>
              <w:pStyle w:val="TableText"/>
              <w:jc w:val="right"/>
            </w:pPr>
            <w:r w:rsidRPr="00041B9D">
              <w:t>25.3</w:t>
            </w:r>
          </w:p>
        </w:tc>
      </w:tr>
      <w:tr w:rsidR="00690E8D" w:rsidRPr="0035143C" w14:paraId="53E01AF0" w14:textId="77777777" w:rsidTr="00B737A1">
        <w:trPr>
          <w:cantSplit/>
        </w:trPr>
        <w:tc>
          <w:tcPr>
            <w:tcW w:w="1039" w:type="pct"/>
            <w:tcBorders>
              <w:bottom w:val="single" w:sz="4" w:space="0" w:color="000000"/>
            </w:tcBorders>
            <w:hideMark/>
          </w:tcPr>
          <w:p w14:paraId="7B128A87" w14:textId="77777777" w:rsidR="00690E8D" w:rsidRPr="00041B9D" w:rsidRDefault="00690E8D" w:rsidP="002E67C4">
            <w:pPr>
              <w:pStyle w:val="TableText"/>
            </w:pPr>
            <w:r w:rsidRPr="00041B9D">
              <w:t>Air Force</w:t>
            </w:r>
          </w:p>
        </w:tc>
        <w:tc>
          <w:tcPr>
            <w:tcW w:w="563" w:type="pct"/>
            <w:tcBorders>
              <w:bottom w:val="single" w:sz="4" w:space="0" w:color="000000"/>
            </w:tcBorders>
            <w:hideMark/>
          </w:tcPr>
          <w:p w14:paraId="11595F7F" w14:textId="77777777" w:rsidR="00690E8D" w:rsidRPr="00041B9D" w:rsidRDefault="00690E8D" w:rsidP="002E67C4">
            <w:pPr>
              <w:pStyle w:val="TableText"/>
              <w:jc w:val="right"/>
            </w:pPr>
            <w:r w:rsidRPr="00041B9D">
              <w:t>1000</w:t>
            </w:r>
          </w:p>
        </w:tc>
        <w:tc>
          <w:tcPr>
            <w:tcW w:w="621" w:type="pct"/>
            <w:tcBorders>
              <w:bottom w:val="single" w:sz="4" w:space="0" w:color="000000"/>
            </w:tcBorders>
            <w:hideMark/>
          </w:tcPr>
          <w:p w14:paraId="2CB147C1" w14:textId="77777777" w:rsidR="00690E8D" w:rsidRPr="00041B9D" w:rsidRDefault="00690E8D" w:rsidP="002E67C4">
            <w:pPr>
              <w:pStyle w:val="TableText"/>
              <w:jc w:val="right"/>
            </w:pPr>
            <w:r w:rsidRPr="00041B9D">
              <w:t>4223</w:t>
            </w:r>
          </w:p>
        </w:tc>
        <w:tc>
          <w:tcPr>
            <w:tcW w:w="796" w:type="pct"/>
            <w:tcBorders>
              <w:bottom w:val="single" w:sz="4" w:space="0" w:color="000000"/>
            </w:tcBorders>
            <w:hideMark/>
          </w:tcPr>
          <w:p w14:paraId="281A8EEE" w14:textId="77777777" w:rsidR="00690E8D" w:rsidRPr="00041B9D" w:rsidRDefault="00690E8D" w:rsidP="002E67C4">
            <w:pPr>
              <w:pStyle w:val="TableText"/>
              <w:jc w:val="right"/>
            </w:pPr>
            <w:r w:rsidRPr="00041B9D">
              <w:t>16.9 (16.9,</w:t>
            </w:r>
            <w:r>
              <w:t xml:space="preserve"> </w:t>
            </w:r>
            <w:r w:rsidRPr="00041B9D">
              <w:t>16.9)</w:t>
            </w:r>
          </w:p>
        </w:tc>
        <w:tc>
          <w:tcPr>
            <w:tcW w:w="568" w:type="pct"/>
            <w:tcBorders>
              <w:bottom w:val="single" w:sz="4" w:space="0" w:color="000000"/>
            </w:tcBorders>
            <w:hideMark/>
          </w:tcPr>
          <w:p w14:paraId="1DEA15CF" w14:textId="77777777" w:rsidR="00690E8D" w:rsidRPr="00041B9D" w:rsidRDefault="00690E8D" w:rsidP="002E67C4">
            <w:pPr>
              <w:pStyle w:val="TableText"/>
              <w:jc w:val="right"/>
            </w:pPr>
            <w:r w:rsidRPr="00041B9D">
              <w:t>2940</w:t>
            </w:r>
          </w:p>
        </w:tc>
        <w:tc>
          <w:tcPr>
            <w:tcW w:w="620" w:type="pct"/>
            <w:tcBorders>
              <w:bottom w:val="single" w:sz="4" w:space="0" w:color="000000"/>
            </w:tcBorders>
            <w:hideMark/>
          </w:tcPr>
          <w:p w14:paraId="38535568" w14:textId="77777777" w:rsidR="00690E8D" w:rsidRPr="00041B9D" w:rsidRDefault="00690E8D" w:rsidP="002E67C4">
            <w:pPr>
              <w:pStyle w:val="TableText"/>
              <w:jc w:val="right"/>
            </w:pPr>
            <w:r w:rsidRPr="00041B9D">
              <w:t>13,420</w:t>
            </w:r>
          </w:p>
        </w:tc>
        <w:tc>
          <w:tcPr>
            <w:tcW w:w="791" w:type="pct"/>
            <w:tcBorders>
              <w:bottom w:val="single" w:sz="4" w:space="0" w:color="000000"/>
            </w:tcBorders>
            <w:hideMark/>
          </w:tcPr>
          <w:p w14:paraId="70003AE3" w14:textId="77777777" w:rsidR="00690E8D" w:rsidRPr="00041B9D" w:rsidRDefault="00690E8D" w:rsidP="002E67C4">
            <w:pPr>
              <w:pStyle w:val="TableText"/>
              <w:jc w:val="right"/>
            </w:pPr>
            <w:r w:rsidRPr="00041B9D">
              <w:t>25.6</w:t>
            </w:r>
          </w:p>
        </w:tc>
      </w:tr>
      <w:tr w:rsidR="00690E8D" w:rsidRPr="0035143C" w14:paraId="3C6F09E8"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tcBorders>
              <w:top w:val="single" w:sz="4" w:space="0" w:color="000000"/>
              <w:bottom w:val="nil"/>
            </w:tcBorders>
            <w:hideMark/>
          </w:tcPr>
          <w:p w14:paraId="5776486C" w14:textId="77777777" w:rsidR="00690E8D" w:rsidRPr="004C6CF5" w:rsidRDefault="00690E8D" w:rsidP="002E67C4">
            <w:pPr>
              <w:pStyle w:val="TableText"/>
              <w:rPr>
                <w:b/>
              </w:rPr>
            </w:pPr>
            <w:r w:rsidRPr="004C6CF5">
              <w:rPr>
                <w:b/>
              </w:rPr>
              <w:t>Medical fitness</w:t>
            </w:r>
            <w:r w:rsidRPr="004C6CF5">
              <w:rPr>
                <w:b/>
                <w:vertAlign w:val="superscript"/>
              </w:rPr>
              <w:t>*</w:t>
            </w:r>
          </w:p>
        </w:tc>
        <w:tc>
          <w:tcPr>
            <w:tcW w:w="563" w:type="pct"/>
            <w:tcBorders>
              <w:top w:val="single" w:sz="4" w:space="0" w:color="000000"/>
              <w:bottom w:val="nil"/>
            </w:tcBorders>
          </w:tcPr>
          <w:p w14:paraId="6FC52BE7" w14:textId="77777777" w:rsidR="00690E8D" w:rsidRPr="00041B9D" w:rsidRDefault="00690E8D" w:rsidP="002E67C4">
            <w:pPr>
              <w:pStyle w:val="TableText"/>
              <w:jc w:val="right"/>
            </w:pPr>
          </w:p>
        </w:tc>
        <w:tc>
          <w:tcPr>
            <w:tcW w:w="621" w:type="pct"/>
            <w:tcBorders>
              <w:top w:val="single" w:sz="4" w:space="0" w:color="000000"/>
              <w:bottom w:val="nil"/>
            </w:tcBorders>
          </w:tcPr>
          <w:p w14:paraId="7A32207F" w14:textId="77777777" w:rsidR="00690E8D" w:rsidRPr="00041B9D" w:rsidRDefault="00690E8D" w:rsidP="002E67C4">
            <w:pPr>
              <w:pStyle w:val="TableText"/>
              <w:jc w:val="right"/>
              <w:rPr>
                <w:color w:val="000000" w:themeColor="text1"/>
              </w:rPr>
            </w:pPr>
          </w:p>
        </w:tc>
        <w:tc>
          <w:tcPr>
            <w:tcW w:w="796" w:type="pct"/>
            <w:tcBorders>
              <w:top w:val="single" w:sz="4" w:space="0" w:color="000000"/>
              <w:bottom w:val="nil"/>
            </w:tcBorders>
          </w:tcPr>
          <w:p w14:paraId="70159169" w14:textId="77777777" w:rsidR="00690E8D" w:rsidRPr="00041B9D" w:rsidRDefault="00690E8D" w:rsidP="002E67C4">
            <w:pPr>
              <w:pStyle w:val="TableText"/>
              <w:jc w:val="right"/>
            </w:pPr>
          </w:p>
        </w:tc>
        <w:tc>
          <w:tcPr>
            <w:tcW w:w="568" w:type="pct"/>
            <w:tcBorders>
              <w:top w:val="single" w:sz="4" w:space="0" w:color="000000"/>
              <w:bottom w:val="nil"/>
            </w:tcBorders>
          </w:tcPr>
          <w:p w14:paraId="06784AEE" w14:textId="77777777" w:rsidR="00690E8D" w:rsidRPr="00041B9D" w:rsidRDefault="00690E8D" w:rsidP="002E67C4">
            <w:pPr>
              <w:pStyle w:val="TableText"/>
              <w:jc w:val="right"/>
            </w:pPr>
          </w:p>
        </w:tc>
        <w:tc>
          <w:tcPr>
            <w:tcW w:w="620" w:type="pct"/>
            <w:tcBorders>
              <w:top w:val="single" w:sz="4" w:space="0" w:color="000000"/>
              <w:bottom w:val="nil"/>
            </w:tcBorders>
          </w:tcPr>
          <w:p w14:paraId="4FDF4196" w14:textId="77777777" w:rsidR="00690E8D" w:rsidRPr="00041B9D" w:rsidRDefault="00690E8D" w:rsidP="002E67C4">
            <w:pPr>
              <w:pStyle w:val="TableText"/>
              <w:jc w:val="right"/>
            </w:pPr>
          </w:p>
        </w:tc>
        <w:tc>
          <w:tcPr>
            <w:tcW w:w="791" w:type="pct"/>
            <w:tcBorders>
              <w:top w:val="single" w:sz="4" w:space="0" w:color="000000"/>
              <w:bottom w:val="nil"/>
            </w:tcBorders>
          </w:tcPr>
          <w:p w14:paraId="42E3E904" w14:textId="77777777" w:rsidR="00690E8D" w:rsidRPr="00041B9D" w:rsidRDefault="00690E8D" w:rsidP="002E67C4">
            <w:pPr>
              <w:pStyle w:val="TableText"/>
              <w:jc w:val="right"/>
            </w:pPr>
          </w:p>
        </w:tc>
      </w:tr>
      <w:tr w:rsidR="00690E8D" w:rsidRPr="0035143C" w14:paraId="6DCEFA68" w14:textId="77777777" w:rsidTr="00B737A1">
        <w:trPr>
          <w:cantSplit/>
        </w:trPr>
        <w:tc>
          <w:tcPr>
            <w:tcW w:w="1039" w:type="pct"/>
            <w:tcBorders>
              <w:top w:val="nil"/>
            </w:tcBorders>
            <w:hideMark/>
          </w:tcPr>
          <w:p w14:paraId="0ADBDFC1" w14:textId="77777777" w:rsidR="00690E8D" w:rsidRPr="00041B9D" w:rsidRDefault="00690E8D" w:rsidP="002E67C4">
            <w:pPr>
              <w:pStyle w:val="TableText"/>
            </w:pPr>
            <w:r w:rsidRPr="00041B9D">
              <w:t>Fit</w:t>
            </w:r>
          </w:p>
        </w:tc>
        <w:tc>
          <w:tcPr>
            <w:tcW w:w="563" w:type="pct"/>
            <w:tcBorders>
              <w:top w:val="nil"/>
            </w:tcBorders>
            <w:hideMark/>
          </w:tcPr>
          <w:p w14:paraId="302393C1" w14:textId="77777777" w:rsidR="00690E8D" w:rsidRPr="00041B9D" w:rsidRDefault="00690E8D" w:rsidP="002E67C4">
            <w:pPr>
              <w:pStyle w:val="TableText"/>
              <w:jc w:val="right"/>
            </w:pPr>
            <w:r w:rsidRPr="00041B9D">
              <w:t>2981</w:t>
            </w:r>
          </w:p>
        </w:tc>
        <w:tc>
          <w:tcPr>
            <w:tcW w:w="621" w:type="pct"/>
            <w:tcBorders>
              <w:top w:val="nil"/>
            </w:tcBorders>
            <w:hideMark/>
          </w:tcPr>
          <w:p w14:paraId="5FE82622" w14:textId="77777777" w:rsidR="00690E8D" w:rsidRPr="00041B9D" w:rsidRDefault="00690E8D" w:rsidP="002E67C4">
            <w:pPr>
              <w:pStyle w:val="TableText"/>
              <w:jc w:val="right"/>
            </w:pPr>
            <w:r w:rsidRPr="00041B9D">
              <w:t>18,273</w:t>
            </w:r>
          </w:p>
        </w:tc>
        <w:tc>
          <w:tcPr>
            <w:tcW w:w="796" w:type="pct"/>
            <w:tcBorders>
              <w:top w:val="nil"/>
            </w:tcBorders>
            <w:hideMark/>
          </w:tcPr>
          <w:p w14:paraId="680BCA14" w14:textId="77777777" w:rsidR="00690E8D" w:rsidRPr="00041B9D" w:rsidRDefault="00690E8D" w:rsidP="002E67C4">
            <w:pPr>
              <w:pStyle w:val="TableText"/>
              <w:jc w:val="right"/>
            </w:pPr>
            <w:r w:rsidRPr="00041B9D">
              <w:t xml:space="preserve">73.3 </w:t>
            </w:r>
          </w:p>
        </w:tc>
        <w:tc>
          <w:tcPr>
            <w:tcW w:w="568" w:type="pct"/>
            <w:tcBorders>
              <w:top w:val="nil"/>
            </w:tcBorders>
            <w:hideMark/>
          </w:tcPr>
          <w:p w14:paraId="27545867" w14:textId="77777777" w:rsidR="00690E8D" w:rsidRPr="00041B9D" w:rsidRDefault="00690E8D" w:rsidP="002E67C4">
            <w:pPr>
              <w:pStyle w:val="TableText"/>
              <w:jc w:val="right"/>
            </w:pPr>
            <w:r w:rsidRPr="00041B9D">
              <w:t>7116</w:t>
            </w:r>
          </w:p>
        </w:tc>
        <w:tc>
          <w:tcPr>
            <w:tcW w:w="620" w:type="pct"/>
            <w:tcBorders>
              <w:top w:val="nil"/>
            </w:tcBorders>
            <w:hideMark/>
          </w:tcPr>
          <w:p w14:paraId="69D039E9" w14:textId="77777777" w:rsidR="00690E8D" w:rsidRPr="00041B9D" w:rsidRDefault="00690E8D" w:rsidP="002E67C4">
            <w:pPr>
              <w:pStyle w:val="TableText"/>
              <w:jc w:val="right"/>
            </w:pPr>
            <w:r w:rsidRPr="00041B9D">
              <w:t>46,022</w:t>
            </w:r>
          </w:p>
        </w:tc>
        <w:tc>
          <w:tcPr>
            <w:tcW w:w="791" w:type="pct"/>
            <w:tcBorders>
              <w:top w:val="nil"/>
            </w:tcBorders>
            <w:hideMark/>
          </w:tcPr>
          <w:p w14:paraId="744A9F52" w14:textId="77777777" w:rsidR="00690E8D" w:rsidRPr="00041B9D" w:rsidRDefault="00690E8D" w:rsidP="002E67C4">
            <w:pPr>
              <w:pStyle w:val="TableText"/>
              <w:jc w:val="right"/>
            </w:pPr>
            <w:r w:rsidRPr="00041B9D">
              <w:t>87.7</w:t>
            </w:r>
          </w:p>
        </w:tc>
      </w:tr>
      <w:tr w:rsidR="00690E8D" w:rsidRPr="0035143C" w14:paraId="22AC0F62"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tcBorders>
              <w:bottom w:val="single" w:sz="4" w:space="0" w:color="000000"/>
            </w:tcBorders>
            <w:hideMark/>
          </w:tcPr>
          <w:p w14:paraId="38695E18" w14:textId="77777777" w:rsidR="00690E8D" w:rsidRPr="00041B9D" w:rsidRDefault="00690E8D" w:rsidP="002E67C4">
            <w:pPr>
              <w:pStyle w:val="TableText"/>
            </w:pPr>
            <w:r w:rsidRPr="00041B9D">
              <w:t>Unfit</w:t>
            </w:r>
          </w:p>
        </w:tc>
        <w:tc>
          <w:tcPr>
            <w:tcW w:w="563" w:type="pct"/>
            <w:tcBorders>
              <w:bottom w:val="single" w:sz="4" w:space="0" w:color="000000"/>
            </w:tcBorders>
            <w:hideMark/>
          </w:tcPr>
          <w:p w14:paraId="3D4B915D" w14:textId="77777777" w:rsidR="00690E8D" w:rsidRPr="00041B9D" w:rsidRDefault="00690E8D" w:rsidP="002E67C4">
            <w:pPr>
              <w:pStyle w:val="TableText"/>
              <w:jc w:val="right"/>
            </w:pPr>
            <w:r w:rsidRPr="00041B9D">
              <w:t>1345</w:t>
            </w:r>
          </w:p>
        </w:tc>
        <w:tc>
          <w:tcPr>
            <w:tcW w:w="621" w:type="pct"/>
            <w:tcBorders>
              <w:bottom w:val="single" w:sz="4" w:space="0" w:color="000000"/>
            </w:tcBorders>
            <w:hideMark/>
          </w:tcPr>
          <w:p w14:paraId="1714840A" w14:textId="77777777" w:rsidR="00690E8D" w:rsidRPr="00041B9D" w:rsidRDefault="00690E8D" w:rsidP="002E67C4">
            <w:pPr>
              <w:pStyle w:val="TableText"/>
              <w:jc w:val="right"/>
            </w:pPr>
            <w:r w:rsidRPr="00041B9D">
              <w:t>6659</w:t>
            </w:r>
          </w:p>
        </w:tc>
        <w:tc>
          <w:tcPr>
            <w:tcW w:w="796" w:type="pct"/>
            <w:tcBorders>
              <w:bottom w:val="single" w:sz="4" w:space="0" w:color="000000"/>
            </w:tcBorders>
            <w:hideMark/>
          </w:tcPr>
          <w:p w14:paraId="091A32A7" w14:textId="77777777" w:rsidR="00690E8D" w:rsidRPr="00041B9D" w:rsidRDefault="00690E8D" w:rsidP="002E67C4">
            <w:pPr>
              <w:pStyle w:val="TableText"/>
              <w:jc w:val="right"/>
            </w:pPr>
            <w:r w:rsidRPr="00041B9D">
              <w:t xml:space="preserve">26.7 </w:t>
            </w:r>
          </w:p>
        </w:tc>
        <w:tc>
          <w:tcPr>
            <w:tcW w:w="568" w:type="pct"/>
            <w:tcBorders>
              <w:bottom w:val="single" w:sz="4" w:space="0" w:color="000000"/>
            </w:tcBorders>
            <w:hideMark/>
          </w:tcPr>
          <w:p w14:paraId="4D15DAED" w14:textId="77777777" w:rsidR="00690E8D" w:rsidRPr="00041B9D" w:rsidRDefault="00690E8D" w:rsidP="002E67C4">
            <w:pPr>
              <w:pStyle w:val="TableText"/>
              <w:jc w:val="right"/>
            </w:pPr>
            <w:r w:rsidRPr="00041B9D">
              <w:t>1364</w:t>
            </w:r>
          </w:p>
        </w:tc>
        <w:tc>
          <w:tcPr>
            <w:tcW w:w="620" w:type="pct"/>
            <w:tcBorders>
              <w:bottom w:val="single" w:sz="4" w:space="0" w:color="000000"/>
            </w:tcBorders>
            <w:hideMark/>
          </w:tcPr>
          <w:p w14:paraId="5A7CA105" w14:textId="77777777" w:rsidR="00690E8D" w:rsidRPr="00041B9D" w:rsidRDefault="00690E8D" w:rsidP="002E67C4">
            <w:pPr>
              <w:pStyle w:val="TableText"/>
              <w:jc w:val="right"/>
            </w:pPr>
            <w:r w:rsidRPr="00041B9D">
              <w:t>6478</w:t>
            </w:r>
          </w:p>
        </w:tc>
        <w:tc>
          <w:tcPr>
            <w:tcW w:w="791" w:type="pct"/>
            <w:tcBorders>
              <w:bottom w:val="single" w:sz="4" w:space="0" w:color="000000"/>
            </w:tcBorders>
            <w:hideMark/>
          </w:tcPr>
          <w:p w14:paraId="7A3A1E5F" w14:textId="77777777" w:rsidR="00690E8D" w:rsidRPr="00041B9D" w:rsidRDefault="00690E8D" w:rsidP="002E67C4">
            <w:pPr>
              <w:pStyle w:val="TableText"/>
              <w:jc w:val="right"/>
            </w:pPr>
            <w:r w:rsidRPr="00041B9D">
              <w:t>12.3</w:t>
            </w:r>
          </w:p>
        </w:tc>
      </w:tr>
      <w:tr w:rsidR="00690E8D" w:rsidRPr="0035143C" w14:paraId="7849CDE9" w14:textId="77777777" w:rsidTr="00B737A1">
        <w:trPr>
          <w:cantSplit/>
        </w:trPr>
        <w:tc>
          <w:tcPr>
            <w:tcW w:w="1039" w:type="pct"/>
            <w:tcBorders>
              <w:top w:val="single" w:sz="4" w:space="0" w:color="000000"/>
              <w:bottom w:val="nil"/>
            </w:tcBorders>
            <w:hideMark/>
          </w:tcPr>
          <w:p w14:paraId="3DD6F998" w14:textId="77777777" w:rsidR="00690E8D" w:rsidRPr="004C6CF5" w:rsidRDefault="00690E8D" w:rsidP="002E67C4">
            <w:pPr>
              <w:pStyle w:val="TableText"/>
              <w:rPr>
                <w:b/>
              </w:rPr>
            </w:pPr>
            <w:r w:rsidRPr="004C6CF5">
              <w:rPr>
                <w:b/>
              </w:rPr>
              <w:t xml:space="preserve">Time in Regular ADF </w:t>
            </w:r>
          </w:p>
        </w:tc>
        <w:tc>
          <w:tcPr>
            <w:tcW w:w="563" w:type="pct"/>
            <w:tcBorders>
              <w:top w:val="single" w:sz="4" w:space="0" w:color="000000"/>
              <w:bottom w:val="nil"/>
            </w:tcBorders>
          </w:tcPr>
          <w:p w14:paraId="7B3211A2" w14:textId="77777777" w:rsidR="00690E8D" w:rsidRPr="00041B9D" w:rsidRDefault="00690E8D" w:rsidP="002E67C4">
            <w:pPr>
              <w:pStyle w:val="TableText"/>
              <w:jc w:val="right"/>
            </w:pPr>
          </w:p>
        </w:tc>
        <w:tc>
          <w:tcPr>
            <w:tcW w:w="621" w:type="pct"/>
            <w:tcBorders>
              <w:top w:val="single" w:sz="4" w:space="0" w:color="000000"/>
              <w:bottom w:val="nil"/>
            </w:tcBorders>
          </w:tcPr>
          <w:p w14:paraId="4ADB76C0" w14:textId="77777777" w:rsidR="00690E8D" w:rsidRPr="00041B9D" w:rsidRDefault="00690E8D" w:rsidP="002E67C4">
            <w:pPr>
              <w:pStyle w:val="TableText"/>
              <w:jc w:val="right"/>
              <w:rPr>
                <w:color w:val="000000" w:themeColor="text1"/>
              </w:rPr>
            </w:pPr>
          </w:p>
        </w:tc>
        <w:tc>
          <w:tcPr>
            <w:tcW w:w="796" w:type="pct"/>
            <w:tcBorders>
              <w:top w:val="single" w:sz="4" w:space="0" w:color="000000"/>
              <w:bottom w:val="nil"/>
            </w:tcBorders>
          </w:tcPr>
          <w:p w14:paraId="60678A2D" w14:textId="77777777" w:rsidR="00690E8D" w:rsidRPr="00041B9D" w:rsidRDefault="00690E8D" w:rsidP="002E67C4">
            <w:pPr>
              <w:pStyle w:val="TableText"/>
              <w:jc w:val="right"/>
            </w:pPr>
          </w:p>
        </w:tc>
        <w:tc>
          <w:tcPr>
            <w:tcW w:w="568" w:type="pct"/>
            <w:tcBorders>
              <w:top w:val="single" w:sz="4" w:space="0" w:color="000000"/>
              <w:bottom w:val="nil"/>
            </w:tcBorders>
          </w:tcPr>
          <w:p w14:paraId="7F2CC5CC" w14:textId="77777777" w:rsidR="00690E8D" w:rsidRPr="00041B9D" w:rsidRDefault="00690E8D" w:rsidP="002E67C4">
            <w:pPr>
              <w:pStyle w:val="TableText"/>
              <w:jc w:val="right"/>
            </w:pPr>
          </w:p>
        </w:tc>
        <w:tc>
          <w:tcPr>
            <w:tcW w:w="620" w:type="pct"/>
            <w:tcBorders>
              <w:top w:val="single" w:sz="4" w:space="0" w:color="000000"/>
              <w:bottom w:val="nil"/>
            </w:tcBorders>
          </w:tcPr>
          <w:p w14:paraId="73AD2110" w14:textId="77777777" w:rsidR="00690E8D" w:rsidRPr="00041B9D" w:rsidRDefault="00690E8D" w:rsidP="002E67C4">
            <w:pPr>
              <w:pStyle w:val="TableText"/>
              <w:jc w:val="right"/>
            </w:pPr>
          </w:p>
        </w:tc>
        <w:tc>
          <w:tcPr>
            <w:tcW w:w="791" w:type="pct"/>
            <w:tcBorders>
              <w:top w:val="single" w:sz="4" w:space="0" w:color="000000"/>
              <w:bottom w:val="nil"/>
            </w:tcBorders>
          </w:tcPr>
          <w:p w14:paraId="53DA49B0" w14:textId="77777777" w:rsidR="00690E8D" w:rsidRPr="00041B9D" w:rsidRDefault="00690E8D" w:rsidP="002E67C4">
            <w:pPr>
              <w:pStyle w:val="TableText"/>
              <w:jc w:val="right"/>
            </w:pPr>
          </w:p>
        </w:tc>
      </w:tr>
      <w:tr w:rsidR="00690E8D" w:rsidRPr="0035143C" w14:paraId="036DF9AF"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tcBorders>
              <w:top w:val="nil"/>
            </w:tcBorders>
            <w:hideMark/>
          </w:tcPr>
          <w:p w14:paraId="426D4FD7" w14:textId="77777777" w:rsidR="00690E8D" w:rsidRPr="00041B9D" w:rsidRDefault="00690E8D" w:rsidP="002E67C4">
            <w:pPr>
              <w:pStyle w:val="TableText"/>
            </w:pPr>
            <w:r w:rsidRPr="00041B9D">
              <w:t xml:space="preserve">1 months </w:t>
            </w:r>
            <w:r>
              <w:t>–</w:t>
            </w:r>
            <w:r w:rsidRPr="00041B9D">
              <w:t xml:space="preserve"> 3.9 years</w:t>
            </w:r>
          </w:p>
        </w:tc>
        <w:tc>
          <w:tcPr>
            <w:tcW w:w="563" w:type="pct"/>
            <w:tcBorders>
              <w:top w:val="nil"/>
            </w:tcBorders>
            <w:hideMark/>
          </w:tcPr>
          <w:p w14:paraId="769CD008" w14:textId="77777777" w:rsidR="00690E8D" w:rsidRPr="00041B9D" w:rsidRDefault="00690E8D" w:rsidP="002E67C4">
            <w:pPr>
              <w:pStyle w:val="TableText"/>
              <w:jc w:val="right"/>
            </w:pPr>
            <w:r w:rsidRPr="00041B9D">
              <w:t>316</w:t>
            </w:r>
          </w:p>
        </w:tc>
        <w:tc>
          <w:tcPr>
            <w:tcW w:w="621" w:type="pct"/>
            <w:tcBorders>
              <w:top w:val="nil"/>
            </w:tcBorders>
            <w:hideMark/>
          </w:tcPr>
          <w:p w14:paraId="78E5B671" w14:textId="77777777" w:rsidR="00690E8D" w:rsidRPr="00041B9D" w:rsidRDefault="00690E8D" w:rsidP="002E67C4">
            <w:pPr>
              <w:pStyle w:val="TableText"/>
              <w:jc w:val="right"/>
            </w:pPr>
            <w:r w:rsidRPr="00041B9D">
              <w:t>2934</w:t>
            </w:r>
          </w:p>
        </w:tc>
        <w:tc>
          <w:tcPr>
            <w:tcW w:w="796" w:type="pct"/>
            <w:tcBorders>
              <w:top w:val="nil"/>
            </w:tcBorders>
            <w:hideMark/>
          </w:tcPr>
          <w:p w14:paraId="1F9510DA" w14:textId="77777777" w:rsidR="00690E8D" w:rsidRPr="00041B9D" w:rsidRDefault="00690E8D" w:rsidP="002E67C4">
            <w:pPr>
              <w:pStyle w:val="TableText"/>
              <w:jc w:val="right"/>
            </w:pPr>
            <w:r w:rsidRPr="00041B9D">
              <w:t>11.8 (10.5, 13.1)</w:t>
            </w:r>
          </w:p>
        </w:tc>
        <w:tc>
          <w:tcPr>
            <w:tcW w:w="568" w:type="pct"/>
            <w:tcBorders>
              <w:top w:val="nil"/>
            </w:tcBorders>
            <w:hideMark/>
          </w:tcPr>
          <w:p w14:paraId="34B44227" w14:textId="77777777" w:rsidR="00690E8D" w:rsidRPr="00041B9D" w:rsidRDefault="00690E8D" w:rsidP="002E67C4">
            <w:pPr>
              <w:pStyle w:val="TableText"/>
              <w:jc w:val="right"/>
            </w:pPr>
            <w:r w:rsidRPr="00041B9D">
              <w:t>263</w:t>
            </w:r>
          </w:p>
        </w:tc>
        <w:tc>
          <w:tcPr>
            <w:tcW w:w="620" w:type="pct"/>
            <w:tcBorders>
              <w:top w:val="nil"/>
            </w:tcBorders>
            <w:hideMark/>
          </w:tcPr>
          <w:p w14:paraId="025AAC89" w14:textId="77777777" w:rsidR="00690E8D" w:rsidRPr="00041B9D" w:rsidRDefault="00690E8D" w:rsidP="002E67C4">
            <w:pPr>
              <w:pStyle w:val="TableText"/>
              <w:jc w:val="right"/>
            </w:pPr>
            <w:r w:rsidRPr="00041B9D">
              <w:t>6141</w:t>
            </w:r>
          </w:p>
        </w:tc>
        <w:tc>
          <w:tcPr>
            <w:tcW w:w="791" w:type="pct"/>
            <w:tcBorders>
              <w:top w:val="nil"/>
            </w:tcBorders>
            <w:hideMark/>
          </w:tcPr>
          <w:p w14:paraId="6B99B97E" w14:textId="77777777" w:rsidR="00690E8D" w:rsidRPr="00041B9D" w:rsidRDefault="00690E8D" w:rsidP="002E67C4">
            <w:pPr>
              <w:pStyle w:val="TableText"/>
              <w:jc w:val="right"/>
            </w:pPr>
            <w:r w:rsidRPr="00041B9D">
              <w:t>11.7 (8.9, 15.1)</w:t>
            </w:r>
          </w:p>
        </w:tc>
      </w:tr>
      <w:tr w:rsidR="00690E8D" w:rsidRPr="0035143C" w14:paraId="558D3904" w14:textId="77777777" w:rsidTr="00B737A1">
        <w:trPr>
          <w:cantSplit/>
        </w:trPr>
        <w:tc>
          <w:tcPr>
            <w:tcW w:w="1039" w:type="pct"/>
            <w:hideMark/>
          </w:tcPr>
          <w:p w14:paraId="2D107023" w14:textId="77777777" w:rsidR="00690E8D" w:rsidRPr="00041B9D" w:rsidRDefault="00690E8D" w:rsidP="002E67C4">
            <w:pPr>
              <w:pStyle w:val="TableText"/>
            </w:pPr>
            <w:r w:rsidRPr="00041B9D">
              <w:t>4</w:t>
            </w:r>
            <w:r>
              <w:t>–</w:t>
            </w:r>
            <w:r w:rsidRPr="00041B9D">
              <w:t>7.9 years</w:t>
            </w:r>
          </w:p>
        </w:tc>
        <w:tc>
          <w:tcPr>
            <w:tcW w:w="563" w:type="pct"/>
            <w:hideMark/>
          </w:tcPr>
          <w:p w14:paraId="6AAAC614" w14:textId="77777777" w:rsidR="00690E8D" w:rsidRPr="00041B9D" w:rsidRDefault="00690E8D" w:rsidP="002E67C4">
            <w:pPr>
              <w:pStyle w:val="TableText"/>
              <w:jc w:val="right"/>
            </w:pPr>
            <w:r w:rsidRPr="00041B9D">
              <w:t>966</w:t>
            </w:r>
          </w:p>
        </w:tc>
        <w:tc>
          <w:tcPr>
            <w:tcW w:w="621" w:type="pct"/>
            <w:hideMark/>
          </w:tcPr>
          <w:p w14:paraId="347DE587" w14:textId="77777777" w:rsidR="00690E8D" w:rsidRPr="00041B9D" w:rsidRDefault="00690E8D" w:rsidP="002E67C4">
            <w:pPr>
              <w:pStyle w:val="TableText"/>
              <w:jc w:val="right"/>
            </w:pPr>
            <w:r w:rsidRPr="00041B9D">
              <w:t>9015</w:t>
            </w:r>
          </w:p>
        </w:tc>
        <w:tc>
          <w:tcPr>
            <w:tcW w:w="796" w:type="pct"/>
            <w:hideMark/>
          </w:tcPr>
          <w:p w14:paraId="5CDB33F9" w14:textId="77777777" w:rsidR="00690E8D" w:rsidRPr="00041B9D" w:rsidRDefault="00690E8D" w:rsidP="002E67C4">
            <w:pPr>
              <w:pStyle w:val="TableText"/>
              <w:jc w:val="right"/>
            </w:pPr>
            <w:r w:rsidRPr="00041B9D">
              <w:t>36.2 (34.5, 37.9)</w:t>
            </w:r>
          </w:p>
        </w:tc>
        <w:tc>
          <w:tcPr>
            <w:tcW w:w="568" w:type="pct"/>
            <w:hideMark/>
          </w:tcPr>
          <w:p w14:paraId="6065BFAE" w14:textId="77777777" w:rsidR="00690E8D" w:rsidRPr="00041B9D" w:rsidRDefault="00690E8D" w:rsidP="002E67C4">
            <w:pPr>
              <w:pStyle w:val="TableText"/>
              <w:jc w:val="right"/>
            </w:pPr>
            <w:r w:rsidRPr="00041B9D">
              <w:t>840</w:t>
            </w:r>
          </w:p>
        </w:tc>
        <w:tc>
          <w:tcPr>
            <w:tcW w:w="620" w:type="pct"/>
            <w:hideMark/>
          </w:tcPr>
          <w:p w14:paraId="3A776974" w14:textId="77777777" w:rsidR="00690E8D" w:rsidRPr="00041B9D" w:rsidRDefault="00690E8D" w:rsidP="002E67C4">
            <w:pPr>
              <w:pStyle w:val="TableText"/>
              <w:jc w:val="right"/>
            </w:pPr>
            <w:r w:rsidRPr="00041B9D">
              <w:t>9710</w:t>
            </w:r>
          </w:p>
        </w:tc>
        <w:tc>
          <w:tcPr>
            <w:tcW w:w="791" w:type="pct"/>
            <w:hideMark/>
          </w:tcPr>
          <w:p w14:paraId="1215488E" w14:textId="77777777" w:rsidR="00690E8D" w:rsidRPr="00041B9D" w:rsidRDefault="00690E8D" w:rsidP="002E67C4">
            <w:pPr>
              <w:pStyle w:val="TableText"/>
              <w:jc w:val="right"/>
            </w:pPr>
            <w:r w:rsidRPr="00041B9D">
              <w:t>18.5 (15.4, 22.0)</w:t>
            </w:r>
          </w:p>
        </w:tc>
      </w:tr>
      <w:tr w:rsidR="00690E8D" w:rsidRPr="0035143C" w14:paraId="544C13FE"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hideMark/>
          </w:tcPr>
          <w:p w14:paraId="25D12898" w14:textId="77777777" w:rsidR="00690E8D" w:rsidRPr="00041B9D" w:rsidRDefault="00690E8D" w:rsidP="002E67C4">
            <w:pPr>
              <w:pStyle w:val="TableText"/>
            </w:pPr>
            <w:r w:rsidRPr="00041B9D">
              <w:t>8</w:t>
            </w:r>
            <w:r>
              <w:t>–</w:t>
            </w:r>
            <w:r w:rsidRPr="00041B9D">
              <w:t>11.9 years</w:t>
            </w:r>
          </w:p>
        </w:tc>
        <w:tc>
          <w:tcPr>
            <w:tcW w:w="563" w:type="pct"/>
            <w:hideMark/>
          </w:tcPr>
          <w:p w14:paraId="640F1666" w14:textId="77777777" w:rsidR="00690E8D" w:rsidRPr="00041B9D" w:rsidRDefault="00690E8D" w:rsidP="002E67C4">
            <w:pPr>
              <w:pStyle w:val="TableText"/>
              <w:jc w:val="right"/>
            </w:pPr>
            <w:r w:rsidRPr="00041B9D">
              <w:t>613</w:t>
            </w:r>
          </w:p>
        </w:tc>
        <w:tc>
          <w:tcPr>
            <w:tcW w:w="621" w:type="pct"/>
            <w:hideMark/>
          </w:tcPr>
          <w:p w14:paraId="31DB3653" w14:textId="77777777" w:rsidR="00690E8D" w:rsidRPr="00041B9D" w:rsidRDefault="00690E8D" w:rsidP="002E67C4">
            <w:pPr>
              <w:pStyle w:val="TableText"/>
              <w:jc w:val="right"/>
            </w:pPr>
            <w:r w:rsidRPr="00041B9D">
              <w:t>3295</w:t>
            </w:r>
          </w:p>
        </w:tc>
        <w:tc>
          <w:tcPr>
            <w:tcW w:w="796" w:type="pct"/>
            <w:hideMark/>
          </w:tcPr>
          <w:p w14:paraId="41BFDDE0" w14:textId="77777777" w:rsidR="00690E8D" w:rsidRPr="00041B9D" w:rsidRDefault="00690E8D" w:rsidP="002E67C4">
            <w:pPr>
              <w:pStyle w:val="TableText"/>
              <w:jc w:val="right"/>
            </w:pPr>
            <w:r w:rsidRPr="00041B9D">
              <w:t>13.2 (12.1, 14.4)</w:t>
            </w:r>
          </w:p>
        </w:tc>
        <w:tc>
          <w:tcPr>
            <w:tcW w:w="568" w:type="pct"/>
            <w:hideMark/>
          </w:tcPr>
          <w:p w14:paraId="78AFBE67" w14:textId="77777777" w:rsidR="00690E8D" w:rsidRPr="00041B9D" w:rsidRDefault="00690E8D" w:rsidP="002E67C4">
            <w:pPr>
              <w:pStyle w:val="TableText"/>
              <w:jc w:val="right"/>
            </w:pPr>
            <w:r w:rsidRPr="00041B9D">
              <w:t>1436</w:t>
            </w:r>
          </w:p>
        </w:tc>
        <w:tc>
          <w:tcPr>
            <w:tcW w:w="620" w:type="pct"/>
            <w:hideMark/>
          </w:tcPr>
          <w:p w14:paraId="09286211" w14:textId="77777777" w:rsidR="00690E8D" w:rsidRPr="00041B9D" w:rsidRDefault="00690E8D" w:rsidP="002E67C4">
            <w:pPr>
              <w:pStyle w:val="TableText"/>
              <w:jc w:val="right"/>
            </w:pPr>
            <w:r w:rsidRPr="00041B9D">
              <w:t>10,362</w:t>
            </w:r>
          </w:p>
        </w:tc>
        <w:tc>
          <w:tcPr>
            <w:tcW w:w="791" w:type="pct"/>
            <w:hideMark/>
          </w:tcPr>
          <w:p w14:paraId="6D46E856" w14:textId="77777777" w:rsidR="00690E8D" w:rsidRPr="00041B9D" w:rsidRDefault="00690E8D" w:rsidP="002E67C4">
            <w:pPr>
              <w:pStyle w:val="TableText"/>
              <w:jc w:val="right"/>
            </w:pPr>
            <w:r w:rsidRPr="00041B9D">
              <w:t>19.7 (16.9, 22.9)</w:t>
            </w:r>
          </w:p>
        </w:tc>
      </w:tr>
      <w:tr w:rsidR="00690E8D" w:rsidRPr="0035143C" w14:paraId="6BC6AA3E" w14:textId="77777777" w:rsidTr="00B737A1">
        <w:trPr>
          <w:cantSplit/>
        </w:trPr>
        <w:tc>
          <w:tcPr>
            <w:tcW w:w="1039" w:type="pct"/>
            <w:hideMark/>
          </w:tcPr>
          <w:p w14:paraId="05A7CEB8" w14:textId="77777777" w:rsidR="00690E8D" w:rsidRPr="00041B9D" w:rsidRDefault="00690E8D" w:rsidP="002E67C4">
            <w:pPr>
              <w:pStyle w:val="TableText"/>
            </w:pPr>
            <w:r w:rsidRPr="00041B9D">
              <w:t>12</w:t>
            </w:r>
            <w:r>
              <w:t>–</w:t>
            </w:r>
            <w:r w:rsidRPr="00041B9D">
              <w:t>15.9 years</w:t>
            </w:r>
          </w:p>
        </w:tc>
        <w:tc>
          <w:tcPr>
            <w:tcW w:w="563" w:type="pct"/>
            <w:hideMark/>
          </w:tcPr>
          <w:p w14:paraId="11B21B59" w14:textId="77777777" w:rsidR="00690E8D" w:rsidRPr="00041B9D" w:rsidRDefault="00690E8D" w:rsidP="002E67C4">
            <w:pPr>
              <w:pStyle w:val="TableText"/>
              <w:jc w:val="right"/>
            </w:pPr>
            <w:r w:rsidRPr="00041B9D">
              <w:t>478</w:t>
            </w:r>
          </w:p>
        </w:tc>
        <w:tc>
          <w:tcPr>
            <w:tcW w:w="621" w:type="pct"/>
            <w:hideMark/>
          </w:tcPr>
          <w:p w14:paraId="78CFE924" w14:textId="77777777" w:rsidR="00690E8D" w:rsidRPr="00041B9D" w:rsidRDefault="00690E8D" w:rsidP="002E67C4">
            <w:pPr>
              <w:pStyle w:val="TableText"/>
              <w:jc w:val="right"/>
            </w:pPr>
            <w:r w:rsidRPr="00041B9D">
              <w:t>2086</w:t>
            </w:r>
          </w:p>
        </w:tc>
        <w:tc>
          <w:tcPr>
            <w:tcW w:w="796" w:type="pct"/>
            <w:hideMark/>
          </w:tcPr>
          <w:p w14:paraId="5B2FF2AD" w14:textId="77777777" w:rsidR="00690E8D" w:rsidRPr="00041B9D" w:rsidRDefault="00690E8D" w:rsidP="002E67C4">
            <w:pPr>
              <w:pStyle w:val="TableText"/>
              <w:jc w:val="right"/>
            </w:pPr>
            <w:r w:rsidRPr="00041B9D">
              <w:t>8.4 (7.6, 9.2)</w:t>
            </w:r>
          </w:p>
        </w:tc>
        <w:tc>
          <w:tcPr>
            <w:tcW w:w="568" w:type="pct"/>
            <w:hideMark/>
          </w:tcPr>
          <w:p w14:paraId="597DC691" w14:textId="77777777" w:rsidR="00690E8D" w:rsidRPr="00041B9D" w:rsidRDefault="00690E8D" w:rsidP="002E67C4">
            <w:pPr>
              <w:pStyle w:val="TableText"/>
              <w:jc w:val="right"/>
            </w:pPr>
            <w:r w:rsidRPr="00041B9D">
              <w:t>1389</w:t>
            </w:r>
          </w:p>
        </w:tc>
        <w:tc>
          <w:tcPr>
            <w:tcW w:w="620" w:type="pct"/>
            <w:hideMark/>
          </w:tcPr>
          <w:p w14:paraId="49377BD9" w14:textId="77777777" w:rsidR="00690E8D" w:rsidRPr="00041B9D" w:rsidRDefault="00690E8D" w:rsidP="002E67C4">
            <w:pPr>
              <w:pStyle w:val="TableText"/>
              <w:jc w:val="right"/>
            </w:pPr>
            <w:r w:rsidRPr="00041B9D">
              <w:t>7568</w:t>
            </w:r>
          </w:p>
        </w:tc>
        <w:tc>
          <w:tcPr>
            <w:tcW w:w="791" w:type="pct"/>
            <w:hideMark/>
          </w:tcPr>
          <w:p w14:paraId="7096FF22" w14:textId="77777777" w:rsidR="00690E8D" w:rsidRPr="00041B9D" w:rsidRDefault="00690E8D" w:rsidP="002E67C4">
            <w:pPr>
              <w:pStyle w:val="TableText"/>
              <w:jc w:val="right"/>
            </w:pPr>
            <w:r w:rsidRPr="00041B9D">
              <w:t>14.4 (12.4, 16.8)</w:t>
            </w:r>
          </w:p>
        </w:tc>
      </w:tr>
      <w:tr w:rsidR="00690E8D" w:rsidRPr="0035143C" w14:paraId="4D323DCA" w14:textId="77777777" w:rsidTr="00B737A1">
        <w:trPr>
          <w:cnfStyle w:val="000000100000" w:firstRow="0" w:lastRow="0" w:firstColumn="0" w:lastColumn="0" w:oddVBand="0" w:evenVBand="0" w:oddHBand="1" w:evenHBand="0" w:firstRowFirstColumn="0" w:firstRowLastColumn="0" w:lastRowFirstColumn="0" w:lastRowLastColumn="0"/>
          <w:cantSplit/>
        </w:trPr>
        <w:tc>
          <w:tcPr>
            <w:tcW w:w="1039" w:type="pct"/>
            <w:hideMark/>
          </w:tcPr>
          <w:p w14:paraId="3F7E0622" w14:textId="77777777" w:rsidR="00690E8D" w:rsidRPr="00041B9D" w:rsidRDefault="00690E8D" w:rsidP="002E67C4">
            <w:pPr>
              <w:pStyle w:val="TableText"/>
            </w:pPr>
            <w:r w:rsidRPr="00041B9D">
              <w:t>16</w:t>
            </w:r>
            <w:r>
              <w:t>–</w:t>
            </w:r>
            <w:r w:rsidRPr="00041B9D">
              <w:t>19.9 years</w:t>
            </w:r>
          </w:p>
        </w:tc>
        <w:tc>
          <w:tcPr>
            <w:tcW w:w="563" w:type="pct"/>
            <w:hideMark/>
          </w:tcPr>
          <w:p w14:paraId="60BE18B2" w14:textId="77777777" w:rsidR="00690E8D" w:rsidRPr="00041B9D" w:rsidRDefault="00690E8D" w:rsidP="002E67C4">
            <w:pPr>
              <w:pStyle w:val="TableText"/>
              <w:jc w:val="right"/>
            </w:pPr>
            <w:r w:rsidRPr="00041B9D">
              <w:t>265</w:t>
            </w:r>
          </w:p>
        </w:tc>
        <w:tc>
          <w:tcPr>
            <w:tcW w:w="621" w:type="pct"/>
            <w:hideMark/>
          </w:tcPr>
          <w:p w14:paraId="77C65667" w14:textId="77777777" w:rsidR="00690E8D" w:rsidRPr="00041B9D" w:rsidRDefault="00690E8D" w:rsidP="002E67C4">
            <w:pPr>
              <w:pStyle w:val="TableText"/>
              <w:jc w:val="right"/>
            </w:pPr>
            <w:r w:rsidRPr="00041B9D">
              <w:t>967</w:t>
            </w:r>
          </w:p>
        </w:tc>
        <w:tc>
          <w:tcPr>
            <w:tcW w:w="796" w:type="pct"/>
            <w:hideMark/>
          </w:tcPr>
          <w:p w14:paraId="0EEDA349" w14:textId="77777777" w:rsidR="00690E8D" w:rsidRPr="00041B9D" w:rsidRDefault="00690E8D" w:rsidP="002E67C4">
            <w:pPr>
              <w:pStyle w:val="TableText"/>
              <w:jc w:val="right"/>
            </w:pPr>
            <w:r w:rsidRPr="00041B9D">
              <w:t>3.9 (3.5, 4.3)</w:t>
            </w:r>
          </w:p>
        </w:tc>
        <w:tc>
          <w:tcPr>
            <w:tcW w:w="568" w:type="pct"/>
            <w:hideMark/>
          </w:tcPr>
          <w:p w14:paraId="4D9DD05B" w14:textId="77777777" w:rsidR="00690E8D" w:rsidRPr="00041B9D" w:rsidRDefault="00690E8D" w:rsidP="002E67C4">
            <w:pPr>
              <w:pStyle w:val="TableText"/>
              <w:jc w:val="right"/>
            </w:pPr>
            <w:r w:rsidRPr="00041B9D">
              <w:t>994</w:t>
            </w:r>
          </w:p>
        </w:tc>
        <w:tc>
          <w:tcPr>
            <w:tcW w:w="620" w:type="pct"/>
            <w:hideMark/>
          </w:tcPr>
          <w:p w14:paraId="3A4F0CAC" w14:textId="77777777" w:rsidR="00690E8D" w:rsidRPr="00041B9D" w:rsidRDefault="00690E8D" w:rsidP="002E67C4">
            <w:pPr>
              <w:pStyle w:val="TableText"/>
              <w:jc w:val="right"/>
            </w:pPr>
            <w:r w:rsidRPr="00041B9D">
              <w:t>4143</w:t>
            </w:r>
          </w:p>
        </w:tc>
        <w:tc>
          <w:tcPr>
            <w:tcW w:w="791" w:type="pct"/>
            <w:hideMark/>
          </w:tcPr>
          <w:p w14:paraId="05A6059E" w14:textId="77777777" w:rsidR="00690E8D" w:rsidRPr="00041B9D" w:rsidRDefault="00690E8D" w:rsidP="002E67C4">
            <w:pPr>
              <w:pStyle w:val="TableText"/>
              <w:jc w:val="right"/>
            </w:pPr>
            <w:r w:rsidRPr="00041B9D">
              <w:t>7.9 (7.1, 8.8)</w:t>
            </w:r>
          </w:p>
        </w:tc>
      </w:tr>
      <w:tr w:rsidR="00690E8D" w:rsidRPr="0035143C" w14:paraId="6D43DC27" w14:textId="77777777" w:rsidTr="00B737A1">
        <w:trPr>
          <w:cantSplit/>
        </w:trPr>
        <w:tc>
          <w:tcPr>
            <w:tcW w:w="1039" w:type="pct"/>
            <w:hideMark/>
          </w:tcPr>
          <w:p w14:paraId="1B793B7D" w14:textId="77777777" w:rsidR="00690E8D" w:rsidRPr="00041B9D" w:rsidRDefault="00690E8D" w:rsidP="002E67C4">
            <w:pPr>
              <w:pStyle w:val="TableText"/>
            </w:pPr>
            <w:r w:rsidRPr="00041B9D">
              <w:t>20+ years</w:t>
            </w:r>
          </w:p>
        </w:tc>
        <w:tc>
          <w:tcPr>
            <w:tcW w:w="563" w:type="pct"/>
            <w:hideMark/>
          </w:tcPr>
          <w:p w14:paraId="14EBDA5E" w14:textId="77777777" w:rsidR="00690E8D" w:rsidRPr="00041B9D" w:rsidRDefault="00690E8D" w:rsidP="002E67C4">
            <w:pPr>
              <w:pStyle w:val="TableText"/>
              <w:jc w:val="right"/>
            </w:pPr>
            <w:r w:rsidRPr="00041B9D">
              <w:t>1580</w:t>
            </w:r>
          </w:p>
        </w:tc>
        <w:tc>
          <w:tcPr>
            <w:tcW w:w="621" w:type="pct"/>
            <w:hideMark/>
          </w:tcPr>
          <w:p w14:paraId="37250537" w14:textId="77777777" w:rsidR="00690E8D" w:rsidRPr="00041B9D" w:rsidRDefault="00690E8D" w:rsidP="002E67C4">
            <w:pPr>
              <w:pStyle w:val="TableText"/>
              <w:jc w:val="right"/>
            </w:pPr>
            <w:r w:rsidRPr="00041B9D">
              <w:t>5772</w:t>
            </w:r>
          </w:p>
        </w:tc>
        <w:tc>
          <w:tcPr>
            <w:tcW w:w="796" w:type="pct"/>
            <w:hideMark/>
          </w:tcPr>
          <w:p w14:paraId="2245EA3F" w14:textId="77777777" w:rsidR="00690E8D" w:rsidRPr="00041B9D" w:rsidRDefault="00690E8D" w:rsidP="002E67C4">
            <w:pPr>
              <w:pStyle w:val="TableText"/>
              <w:jc w:val="right"/>
            </w:pPr>
            <w:r w:rsidRPr="00041B9D">
              <w:t>23.2 (22.4, 23.9)</w:t>
            </w:r>
          </w:p>
        </w:tc>
        <w:tc>
          <w:tcPr>
            <w:tcW w:w="568" w:type="pct"/>
            <w:hideMark/>
          </w:tcPr>
          <w:p w14:paraId="6F382F80" w14:textId="77777777" w:rsidR="00690E8D" w:rsidRPr="00041B9D" w:rsidRDefault="00690E8D" w:rsidP="002E67C4">
            <w:pPr>
              <w:pStyle w:val="TableText"/>
              <w:jc w:val="right"/>
            </w:pPr>
            <w:r w:rsidRPr="00041B9D">
              <w:t>3413</w:t>
            </w:r>
          </w:p>
        </w:tc>
        <w:tc>
          <w:tcPr>
            <w:tcW w:w="620" w:type="pct"/>
            <w:hideMark/>
          </w:tcPr>
          <w:p w14:paraId="59833FAE" w14:textId="77777777" w:rsidR="00690E8D" w:rsidRPr="00041B9D" w:rsidRDefault="00690E8D" w:rsidP="002E67C4">
            <w:pPr>
              <w:pStyle w:val="TableText"/>
              <w:jc w:val="right"/>
            </w:pPr>
            <w:r w:rsidRPr="00041B9D">
              <w:t>13</w:t>
            </w:r>
            <w:r w:rsidR="00800B68">
              <w:t>,</w:t>
            </w:r>
            <w:r w:rsidRPr="00041B9D">
              <w:t>651</w:t>
            </w:r>
          </w:p>
        </w:tc>
        <w:tc>
          <w:tcPr>
            <w:tcW w:w="791" w:type="pct"/>
            <w:hideMark/>
          </w:tcPr>
          <w:p w14:paraId="1B2ECB8F" w14:textId="77777777" w:rsidR="00690E8D" w:rsidRPr="00041B9D" w:rsidRDefault="00690E8D" w:rsidP="002E67C4">
            <w:pPr>
              <w:pStyle w:val="TableText"/>
              <w:jc w:val="right"/>
            </w:pPr>
            <w:r w:rsidRPr="00041B9D">
              <w:t>26.0 (24.4, 27.7)</w:t>
            </w:r>
          </w:p>
        </w:tc>
      </w:tr>
    </w:tbl>
    <w:p w14:paraId="5F61AEA4" w14:textId="77777777" w:rsidR="00690E8D" w:rsidRDefault="00690E8D" w:rsidP="00690E8D">
      <w:pPr>
        <w:pStyle w:val="TableNotes"/>
      </w:pPr>
      <w:bookmarkStart w:id="226" w:name="_Toc341707130"/>
      <w:r w:rsidRPr="004C7947">
        <w:t>*</w:t>
      </w:r>
      <w:r>
        <w:t xml:space="preserve"> </w:t>
      </w:r>
      <w:r w:rsidRPr="004C7947">
        <w:t>No CIs are provided for Sex, Rank, Service and Medical fitness as these variables were used to create strata for weighting.</w:t>
      </w:r>
    </w:p>
    <w:p w14:paraId="4175A7C3" w14:textId="77777777" w:rsidR="00690E8D" w:rsidRPr="004C7947" w:rsidRDefault="00690E8D" w:rsidP="00690E8D">
      <w:pPr>
        <w:pStyle w:val="TableNotes"/>
      </w:pPr>
      <w:r w:rsidRPr="002444C6">
        <w:t>†</w:t>
      </w:r>
      <w:r>
        <w:t xml:space="preserve"> </w:t>
      </w:r>
      <w:r w:rsidRPr="004C7947">
        <w:t>Either 2015 Regular ADF or on discharge from Regular ADF service.</w:t>
      </w:r>
      <w:bookmarkEnd w:id="226"/>
    </w:p>
    <w:p w14:paraId="59B1CA0A" w14:textId="77777777" w:rsidR="00690E8D" w:rsidRPr="00800B68" w:rsidRDefault="00690E8D" w:rsidP="00800B68">
      <w:pPr>
        <w:pStyle w:val="TableNotes"/>
      </w:pPr>
      <w:r w:rsidRPr="006A3EA0">
        <w:t>Notes</w:t>
      </w:r>
    </w:p>
    <w:p w14:paraId="14A0D88C" w14:textId="77777777" w:rsidR="00690E8D" w:rsidRPr="004C7947" w:rsidRDefault="00690E8D" w:rsidP="00690E8D">
      <w:pPr>
        <w:pStyle w:val="TableNotes"/>
      </w:pPr>
      <w:r w:rsidRPr="004C7947">
        <w:t>95%CI</w:t>
      </w:r>
      <w:r>
        <w:t xml:space="preserve"> =</w:t>
      </w:r>
      <w:r w:rsidRPr="004C7947">
        <w:t xml:space="preserve"> 95% </w:t>
      </w:r>
      <w:r>
        <w:t>confidence interval.</w:t>
      </w:r>
      <w:r w:rsidRPr="004C7947">
        <w:t xml:space="preserve"> </w:t>
      </w:r>
    </w:p>
    <w:p w14:paraId="79A03072" w14:textId="77777777" w:rsidR="00690E8D" w:rsidRPr="004C7947" w:rsidRDefault="00690E8D" w:rsidP="00690E8D">
      <w:pPr>
        <w:pStyle w:val="TableNotes"/>
      </w:pPr>
      <w:r w:rsidRPr="004C7947">
        <w:t>Missing: 2015 Regular ADF: Time in Regular ADF: 145 (1.7%)</w:t>
      </w:r>
      <w:r>
        <w:t xml:space="preserve">, </w:t>
      </w:r>
      <w:r w:rsidRPr="004C7947">
        <w:t>Transitioned: Time in Regular ADF: 108 (3.4%)</w:t>
      </w:r>
      <w:r>
        <w:t>.</w:t>
      </w:r>
    </w:p>
    <w:p w14:paraId="116F9175" w14:textId="77777777" w:rsidR="00690E8D" w:rsidRPr="004C6CF5" w:rsidRDefault="00690E8D" w:rsidP="00690E8D">
      <w:pPr>
        <w:pStyle w:val="Heading2"/>
        <w:numPr>
          <w:ilvl w:val="1"/>
          <w:numId w:val="1"/>
        </w:numPr>
        <w:ind w:left="720" w:hanging="720"/>
      </w:pPr>
      <w:bookmarkStart w:id="227" w:name="_Toc385140050"/>
      <w:bookmarkStart w:id="228" w:name="_Toc385236487"/>
      <w:bookmarkStart w:id="229" w:name="_Toc385236697"/>
      <w:bookmarkStart w:id="230" w:name="_Toc385237501"/>
      <w:bookmarkStart w:id="231" w:name="_Toc515374456"/>
      <w:bookmarkStart w:id="232" w:name="_Toc518566349"/>
      <w:bookmarkStart w:id="233" w:name="_Toc528932648"/>
      <w:bookmarkStart w:id="234" w:name="_Toc531859185"/>
      <w:r w:rsidRPr="004C6CF5">
        <w:t>Demographic characteristics of the Transitioned ADF</w:t>
      </w:r>
      <w:bookmarkEnd w:id="227"/>
      <w:bookmarkEnd w:id="228"/>
      <w:bookmarkEnd w:id="229"/>
      <w:bookmarkEnd w:id="230"/>
      <w:bookmarkEnd w:id="231"/>
      <w:bookmarkEnd w:id="232"/>
      <w:bookmarkEnd w:id="233"/>
      <w:bookmarkEnd w:id="234"/>
      <w:r w:rsidRPr="004C6CF5">
        <w:t xml:space="preserve"> </w:t>
      </w:r>
    </w:p>
    <w:p w14:paraId="002BFBB7" w14:textId="77777777" w:rsidR="00690E8D" w:rsidRPr="007421FA" w:rsidRDefault="00690E8D" w:rsidP="00690E8D">
      <w:r w:rsidRPr="007421FA">
        <w:t xml:space="preserve">As seen in </w:t>
      </w:r>
      <w:r w:rsidRPr="0035143C">
        <w:t xml:space="preserve">Table </w:t>
      </w:r>
      <w:r>
        <w:rPr>
          <w:noProof/>
        </w:rPr>
        <w:t>3</w:t>
      </w:r>
      <w:r>
        <w:t>.</w:t>
      </w:r>
      <w:r>
        <w:rPr>
          <w:noProof/>
        </w:rPr>
        <w:t>3</w:t>
      </w:r>
      <w:r w:rsidRPr="007421FA">
        <w:t>, more than half (55.8%) of Transitioned ADF members remained in the ADF as Reservists. Of these, just under a half were Active Reservists. Regardless of Reservist status, the majority reported transitioning between one and three years ago. The most common type of discharge or resignation reported was ‘own request’, which was the case for more than half (53.7%) of Transitioned ADF members, and this percentage increased to over 60% when including ‘end of fixed period’ (2.1%) and ‘end of initial enlistment period’ (5.2%). The second most common type of discharge was ‘medical discharge’</w:t>
      </w:r>
      <w:r>
        <w:t>,</w:t>
      </w:r>
      <w:r w:rsidRPr="007421FA">
        <w:t xml:space="preserve"> </w:t>
      </w:r>
      <w:r>
        <w:t xml:space="preserve">with </w:t>
      </w:r>
      <w:r w:rsidRPr="007421FA">
        <w:t>approximately one-fifth (20.4%) of Transitioned ADF members report</w:t>
      </w:r>
      <w:r>
        <w:t>ing</w:t>
      </w:r>
      <w:r w:rsidRPr="007421FA">
        <w:t xml:space="preserve"> this type of discharge. The most commonly reported reasons for transition were ‘impact of service life on family’ (10.2%), ‘better employment prospects in civilian life’ (7.2%), ‘mental health problems’ (6.5%) and ‘physical health problems’ (4.3%). A large proportion of Transitioned ADF members did not report their main reason for transition (39.5%). </w:t>
      </w:r>
    </w:p>
    <w:p w14:paraId="32645686" w14:textId="77777777" w:rsidR="00690E8D" w:rsidRPr="007421FA" w:rsidRDefault="00690E8D" w:rsidP="00690E8D">
      <w:pPr>
        <w:pStyle w:val="TableName"/>
      </w:pPr>
      <w:bookmarkStart w:id="235" w:name="_Ref482013587"/>
      <w:bookmarkStart w:id="236" w:name="_Toc479243377"/>
      <w:bookmarkStart w:id="237" w:name="_Toc482023763"/>
      <w:bookmarkStart w:id="238" w:name="_Toc487014249"/>
      <w:bookmarkStart w:id="239" w:name="_Toc493668803"/>
      <w:bookmarkStart w:id="240" w:name="_Toc508978837"/>
      <w:bookmarkStart w:id="241" w:name="_Toc385236032"/>
      <w:bookmarkStart w:id="242" w:name="_Toc385236882"/>
      <w:bookmarkStart w:id="243" w:name="_Toc385237686"/>
      <w:bookmarkStart w:id="244" w:name="_Toc515374633"/>
      <w:bookmarkStart w:id="245" w:name="_Toc528932307"/>
      <w:bookmarkStart w:id="246" w:name="_Toc531857986"/>
      <w:r w:rsidRPr="0035143C">
        <w:t xml:space="preserve">Table </w:t>
      </w:r>
      <w:r>
        <w:rPr>
          <w:noProof/>
        </w:rPr>
        <w:t>3</w:t>
      </w:r>
      <w:r>
        <w:t>.</w:t>
      </w:r>
      <w:r>
        <w:rPr>
          <w:noProof/>
        </w:rPr>
        <w:t>3</w:t>
      </w:r>
      <w:bookmarkEnd w:id="235"/>
      <w:r>
        <w:tab/>
      </w:r>
      <w:r w:rsidRPr="0035143C">
        <w:t>Weighted</w:t>
      </w:r>
      <w:r>
        <w:t xml:space="preserve"> transition characteristics in </w:t>
      </w:r>
      <w:r w:rsidRPr="0035143C">
        <w:t>Transitioned ADF</w:t>
      </w:r>
      <w:bookmarkEnd w:id="236"/>
      <w:bookmarkEnd w:id="237"/>
      <w:bookmarkEnd w:id="238"/>
      <w:bookmarkEnd w:id="239"/>
      <w:bookmarkEnd w:id="240"/>
      <w:bookmarkEnd w:id="241"/>
      <w:bookmarkEnd w:id="242"/>
      <w:bookmarkEnd w:id="243"/>
      <w:bookmarkEnd w:id="244"/>
      <w:bookmarkEnd w:id="245"/>
      <w:bookmarkEnd w:id="246"/>
    </w:p>
    <w:tbl>
      <w:tblPr>
        <w:tblStyle w:val="TWRPTable"/>
        <w:tblW w:w="5000" w:type="pct"/>
        <w:tblLayout w:type="fixed"/>
        <w:tblLook w:val="04A0" w:firstRow="1" w:lastRow="0" w:firstColumn="1" w:lastColumn="0" w:noHBand="0" w:noVBand="1"/>
        <w:tblDescription w:val="Table 3.3 Weighted transition characteristics in Transitioned ADF"/>
      </w:tblPr>
      <w:tblGrid>
        <w:gridCol w:w="3943"/>
        <w:gridCol w:w="960"/>
        <w:gridCol w:w="960"/>
        <w:gridCol w:w="1226"/>
      </w:tblGrid>
      <w:tr w:rsidR="00690E8D" w:rsidRPr="0035143C" w14:paraId="0F04BA0A" w14:textId="77777777" w:rsidTr="00B737A1">
        <w:trPr>
          <w:cnfStyle w:val="100000000000" w:firstRow="1" w:lastRow="0" w:firstColumn="0" w:lastColumn="0" w:oddVBand="0" w:evenVBand="0" w:oddHBand="0" w:evenHBand="0" w:firstRowFirstColumn="0" w:firstRowLastColumn="0" w:lastRowFirstColumn="0" w:lastRowLastColumn="0"/>
          <w:cantSplit/>
          <w:tblHeader/>
        </w:trPr>
        <w:tc>
          <w:tcPr>
            <w:tcW w:w="2781" w:type="pct"/>
            <w:tcBorders>
              <w:top w:val="single" w:sz="4" w:space="0" w:color="000000"/>
              <w:bottom w:val="nil"/>
            </w:tcBorders>
          </w:tcPr>
          <w:p w14:paraId="4E58319D" w14:textId="77777777" w:rsidR="00690E8D" w:rsidRPr="004C6CF5" w:rsidRDefault="00690E8D" w:rsidP="002E67C4">
            <w:pPr>
              <w:pStyle w:val="TableText"/>
              <w:rPr>
                <w:b w:val="0"/>
              </w:rPr>
            </w:pPr>
          </w:p>
        </w:tc>
        <w:tc>
          <w:tcPr>
            <w:tcW w:w="2219" w:type="pct"/>
            <w:gridSpan w:val="3"/>
            <w:hideMark/>
          </w:tcPr>
          <w:p w14:paraId="28744195" w14:textId="77777777" w:rsidR="00690E8D" w:rsidRPr="004C6CF5" w:rsidRDefault="00690E8D" w:rsidP="00800B68">
            <w:pPr>
              <w:pStyle w:val="TableText"/>
              <w:jc w:val="center"/>
              <w:rPr>
                <w:b w:val="0"/>
              </w:rPr>
            </w:pPr>
            <w:r w:rsidRPr="004C6CF5">
              <w:t>Transitioned ADF</w:t>
            </w:r>
            <w:r w:rsidR="00800B68">
              <w:br/>
            </w:r>
            <w:r w:rsidRPr="004C6CF5">
              <w:t>(n=</w:t>
            </w:r>
            <w:r w:rsidRPr="004C6CF5">
              <w:rPr>
                <w:color w:val="000000" w:themeColor="text1"/>
              </w:rPr>
              <w:t>24,932)</w:t>
            </w:r>
          </w:p>
        </w:tc>
      </w:tr>
      <w:tr w:rsidR="00690E8D" w:rsidRPr="0035143C" w14:paraId="4C22EBBE" w14:textId="77777777" w:rsidTr="00040E45">
        <w:trPr>
          <w:cnfStyle w:val="100000000000" w:firstRow="1" w:lastRow="0" w:firstColumn="0" w:lastColumn="0" w:oddVBand="0" w:evenVBand="0" w:oddHBand="0" w:evenHBand="0" w:firstRowFirstColumn="0" w:firstRowLastColumn="0" w:lastRowFirstColumn="0" w:lastRowLastColumn="0"/>
          <w:cantSplit/>
          <w:tblHeader/>
        </w:trPr>
        <w:tc>
          <w:tcPr>
            <w:tcW w:w="2781" w:type="pct"/>
            <w:tcBorders>
              <w:top w:val="nil"/>
            </w:tcBorders>
            <w:hideMark/>
          </w:tcPr>
          <w:p w14:paraId="4361BAFE" w14:textId="77777777" w:rsidR="00690E8D" w:rsidRPr="004C6CF5" w:rsidRDefault="00690E8D" w:rsidP="002E67C4">
            <w:pPr>
              <w:pStyle w:val="TableText"/>
              <w:rPr>
                <w:b w:val="0"/>
              </w:rPr>
            </w:pPr>
            <w:r w:rsidRPr="004C6CF5">
              <w:t>Characteristic</w:t>
            </w:r>
          </w:p>
        </w:tc>
        <w:tc>
          <w:tcPr>
            <w:tcW w:w="677" w:type="pct"/>
            <w:hideMark/>
          </w:tcPr>
          <w:p w14:paraId="174F864E" w14:textId="77777777" w:rsidR="00690E8D" w:rsidRPr="004C6CF5" w:rsidRDefault="00690E8D" w:rsidP="002E67C4">
            <w:pPr>
              <w:pStyle w:val="TableText"/>
              <w:jc w:val="right"/>
              <w:rPr>
                <w:b w:val="0"/>
              </w:rPr>
            </w:pPr>
            <w:r w:rsidRPr="004C6CF5">
              <w:t>n</w:t>
            </w:r>
          </w:p>
        </w:tc>
        <w:tc>
          <w:tcPr>
            <w:tcW w:w="677" w:type="pct"/>
            <w:hideMark/>
          </w:tcPr>
          <w:p w14:paraId="60E0249E" w14:textId="77777777" w:rsidR="00690E8D" w:rsidRPr="004C6CF5" w:rsidRDefault="00690E8D" w:rsidP="002E67C4">
            <w:pPr>
              <w:pStyle w:val="TableText"/>
              <w:jc w:val="right"/>
              <w:rPr>
                <w:b w:val="0"/>
              </w:rPr>
            </w:pPr>
            <w:r w:rsidRPr="004C6CF5">
              <w:t>Weighted n</w:t>
            </w:r>
          </w:p>
        </w:tc>
        <w:tc>
          <w:tcPr>
            <w:tcW w:w="866" w:type="pct"/>
            <w:hideMark/>
          </w:tcPr>
          <w:p w14:paraId="11E9A9C7" w14:textId="77777777" w:rsidR="00690E8D" w:rsidRPr="004C6CF5" w:rsidRDefault="00690E8D" w:rsidP="002E67C4">
            <w:pPr>
              <w:pStyle w:val="TableText"/>
              <w:jc w:val="right"/>
              <w:rPr>
                <w:b w:val="0"/>
              </w:rPr>
            </w:pPr>
            <w:r w:rsidRPr="004C6CF5">
              <w:t>% (95% CI)</w:t>
            </w:r>
          </w:p>
        </w:tc>
      </w:tr>
      <w:tr w:rsidR="00690E8D" w:rsidRPr="0035143C" w14:paraId="1EBC4153"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72BAB78E" w14:textId="77777777" w:rsidR="00690E8D" w:rsidRPr="004C6CF5" w:rsidRDefault="00690E8D" w:rsidP="002E67C4">
            <w:pPr>
              <w:pStyle w:val="TableText"/>
              <w:rPr>
                <w:b/>
              </w:rPr>
            </w:pPr>
            <w:r w:rsidRPr="004C6CF5">
              <w:rPr>
                <w:b/>
              </w:rPr>
              <w:t>Serving status</w:t>
            </w:r>
          </w:p>
        </w:tc>
        <w:tc>
          <w:tcPr>
            <w:tcW w:w="677" w:type="pct"/>
          </w:tcPr>
          <w:p w14:paraId="0020B322" w14:textId="77777777" w:rsidR="00690E8D" w:rsidRPr="004C6CF5" w:rsidRDefault="00690E8D" w:rsidP="002E67C4">
            <w:pPr>
              <w:pStyle w:val="TableText"/>
              <w:jc w:val="right"/>
              <w:rPr>
                <w:b/>
              </w:rPr>
            </w:pPr>
          </w:p>
        </w:tc>
        <w:tc>
          <w:tcPr>
            <w:tcW w:w="677" w:type="pct"/>
          </w:tcPr>
          <w:p w14:paraId="0184CC3D" w14:textId="77777777" w:rsidR="00690E8D" w:rsidRPr="004C6CF5" w:rsidRDefault="00690E8D" w:rsidP="002E67C4">
            <w:pPr>
              <w:pStyle w:val="TableText"/>
              <w:jc w:val="right"/>
              <w:rPr>
                <w:b/>
              </w:rPr>
            </w:pPr>
          </w:p>
        </w:tc>
        <w:tc>
          <w:tcPr>
            <w:tcW w:w="866" w:type="pct"/>
          </w:tcPr>
          <w:p w14:paraId="5E9BEC11" w14:textId="77777777" w:rsidR="00690E8D" w:rsidRPr="004C6CF5" w:rsidRDefault="00690E8D" w:rsidP="002E67C4">
            <w:pPr>
              <w:pStyle w:val="TableText"/>
              <w:jc w:val="right"/>
              <w:rPr>
                <w:b/>
              </w:rPr>
            </w:pPr>
          </w:p>
        </w:tc>
      </w:tr>
      <w:tr w:rsidR="00690E8D" w:rsidRPr="0035143C" w14:paraId="1FA78ABD" w14:textId="77777777" w:rsidTr="00040E45">
        <w:trPr>
          <w:cantSplit/>
        </w:trPr>
        <w:tc>
          <w:tcPr>
            <w:tcW w:w="2781" w:type="pct"/>
            <w:hideMark/>
          </w:tcPr>
          <w:p w14:paraId="3722D097" w14:textId="77777777" w:rsidR="00690E8D" w:rsidRPr="00892C62" w:rsidRDefault="00690E8D" w:rsidP="002E67C4">
            <w:pPr>
              <w:pStyle w:val="TableText"/>
            </w:pPr>
            <w:r w:rsidRPr="00892C62">
              <w:t>Ex-Serving</w:t>
            </w:r>
          </w:p>
        </w:tc>
        <w:tc>
          <w:tcPr>
            <w:tcW w:w="677" w:type="pct"/>
            <w:hideMark/>
          </w:tcPr>
          <w:p w14:paraId="4DA8F69D" w14:textId="77777777" w:rsidR="00690E8D" w:rsidRPr="00892C62" w:rsidRDefault="00690E8D" w:rsidP="002E67C4">
            <w:pPr>
              <w:pStyle w:val="TableText"/>
              <w:jc w:val="right"/>
            </w:pPr>
            <w:r w:rsidRPr="00892C62">
              <w:t>1675</w:t>
            </w:r>
          </w:p>
        </w:tc>
        <w:tc>
          <w:tcPr>
            <w:tcW w:w="677" w:type="pct"/>
            <w:hideMark/>
          </w:tcPr>
          <w:p w14:paraId="6609C2FE" w14:textId="77777777" w:rsidR="00690E8D" w:rsidRPr="00892C62" w:rsidRDefault="00690E8D" w:rsidP="002E67C4">
            <w:pPr>
              <w:pStyle w:val="TableText"/>
              <w:jc w:val="right"/>
            </w:pPr>
            <w:r w:rsidRPr="00892C62">
              <w:t>10,902</w:t>
            </w:r>
          </w:p>
        </w:tc>
        <w:tc>
          <w:tcPr>
            <w:tcW w:w="866" w:type="pct"/>
            <w:hideMark/>
          </w:tcPr>
          <w:p w14:paraId="1F8A81F0" w14:textId="77777777" w:rsidR="00690E8D" w:rsidRPr="00892C62" w:rsidRDefault="00690E8D" w:rsidP="002E67C4">
            <w:pPr>
              <w:pStyle w:val="TableText"/>
              <w:jc w:val="right"/>
            </w:pPr>
            <w:r w:rsidRPr="00892C62">
              <w:t>43.3 (42.1, 45.4)</w:t>
            </w:r>
          </w:p>
        </w:tc>
      </w:tr>
      <w:tr w:rsidR="00690E8D" w:rsidRPr="0035143C" w14:paraId="078EF056"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79823120" w14:textId="77777777" w:rsidR="00690E8D" w:rsidRPr="00892C62" w:rsidRDefault="00690E8D" w:rsidP="002E67C4">
            <w:pPr>
              <w:pStyle w:val="TableText"/>
            </w:pPr>
            <w:r w:rsidRPr="00892C62">
              <w:t>Reservist</w:t>
            </w:r>
          </w:p>
        </w:tc>
        <w:tc>
          <w:tcPr>
            <w:tcW w:w="677" w:type="pct"/>
          </w:tcPr>
          <w:p w14:paraId="12A388DF" w14:textId="77777777" w:rsidR="00690E8D" w:rsidRPr="00892C62" w:rsidRDefault="00690E8D" w:rsidP="002E67C4">
            <w:pPr>
              <w:pStyle w:val="TableText"/>
              <w:jc w:val="right"/>
            </w:pPr>
          </w:p>
        </w:tc>
        <w:tc>
          <w:tcPr>
            <w:tcW w:w="677" w:type="pct"/>
          </w:tcPr>
          <w:p w14:paraId="26C68A63" w14:textId="77777777" w:rsidR="00690E8D" w:rsidRPr="00892C62" w:rsidRDefault="00690E8D" w:rsidP="002E67C4">
            <w:pPr>
              <w:pStyle w:val="TableText"/>
              <w:jc w:val="right"/>
            </w:pPr>
          </w:p>
        </w:tc>
        <w:tc>
          <w:tcPr>
            <w:tcW w:w="866" w:type="pct"/>
          </w:tcPr>
          <w:p w14:paraId="29B7B45C" w14:textId="77777777" w:rsidR="00690E8D" w:rsidRPr="00892C62" w:rsidRDefault="00690E8D" w:rsidP="002E67C4">
            <w:pPr>
              <w:pStyle w:val="TableText"/>
              <w:jc w:val="right"/>
            </w:pPr>
          </w:p>
        </w:tc>
      </w:tr>
      <w:tr w:rsidR="00690E8D" w:rsidRPr="0035143C" w14:paraId="4E68E8A9" w14:textId="77777777" w:rsidTr="00040E45">
        <w:trPr>
          <w:cantSplit/>
        </w:trPr>
        <w:tc>
          <w:tcPr>
            <w:tcW w:w="2781" w:type="pct"/>
            <w:hideMark/>
          </w:tcPr>
          <w:p w14:paraId="11A6CE97" w14:textId="77777777" w:rsidR="00690E8D" w:rsidRPr="00892C62" w:rsidRDefault="00690E8D" w:rsidP="002E67C4">
            <w:pPr>
              <w:pStyle w:val="TableText"/>
            </w:pPr>
            <w:r w:rsidRPr="00892C62">
              <w:t>Active Reservist</w:t>
            </w:r>
          </w:p>
        </w:tc>
        <w:tc>
          <w:tcPr>
            <w:tcW w:w="677" w:type="pct"/>
            <w:hideMark/>
          </w:tcPr>
          <w:p w14:paraId="475024F0" w14:textId="77777777" w:rsidR="00690E8D" w:rsidRPr="00892C62" w:rsidRDefault="00690E8D" w:rsidP="002E67C4">
            <w:pPr>
              <w:pStyle w:val="TableText"/>
              <w:jc w:val="right"/>
            </w:pPr>
            <w:r w:rsidRPr="00892C62">
              <w:t>1398</w:t>
            </w:r>
          </w:p>
        </w:tc>
        <w:tc>
          <w:tcPr>
            <w:tcW w:w="677" w:type="pct"/>
            <w:hideMark/>
          </w:tcPr>
          <w:p w14:paraId="68A5D9DC" w14:textId="77777777" w:rsidR="00690E8D" w:rsidRPr="00892C62" w:rsidRDefault="00690E8D" w:rsidP="002E67C4">
            <w:pPr>
              <w:pStyle w:val="TableText"/>
              <w:jc w:val="right"/>
            </w:pPr>
            <w:r w:rsidRPr="00892C62">
              <w:t>6398</w:t>
            </w:r>
          </w:p>
        </w:tc>
        <w:tc>
          <w:tcPr>
            <w:tcW w:w="866" w:type="pct"/>
            <w:hideMark/>
          </w:tcPr>
          <w:p w14:paraId="3DA3C27C" w14:textId="77777777" w:rsidR="00690E8D" w:rsidRPr="00892C62" w:rsidRDefault="00690E8D" w:rsidP="002E67C4">
            <w:pPr>
              <w:pStyle w:val="TableText"/>
              <w:jc w:val="right"/>
            </w:pPr>
            <w:r w:rsidRPr="00892C62">
              <w:t>25.7 (24.4, 26.9)</w:t>
            </w:r>
          </w:p>
        </w:tc>
      </w:tr>
      <w:tr w:rsidR="00690E8D" w:rsidRPr="0035143C" w14:paraId="13997A71"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tcBorders>
              <w:bottom w:val="single" w:sz="4" w:space="0" w:color="000000"/>
            </w:tcBorders>
            <w:hideMark/>
          </w:tcPr>
          <w:p w14:paraId="29B27E87" w14:textId="77777777" w:rsidR="00690E8D" w:rsidRPr="00892C62" w:rsidRDefault="00690E8D" w:rsidP="002E67C4">
            <w:pPr>
              <w:pStyle w:val="TableText"/>
            </w:pPr>
            <w:r w:rsidRPr="00892C62">
              <w:t>Inactive Reservist</w:t>
            </w:r>
          </w:p>
        </w:tc>
        <w:tc>
          <w:tcPr>
            <w:tcW w:w="677" w:type="pct"/>
            <w:tcBorders>
              <w:bottom w:val="single" w:sz="4" w:space="0" w:color="000000"/>
            </w:tcBorders>
            <w:hideMark/>
          </w:tcPr>
          <w:p w14:paraId="3FACC06F" w14:textId="77777777" w:rsidR="00690E8D" w:rsidRPr="00892C62" w:rsidRDefault="00690E8D" w:rsidP="002E67C4">
            <w:pPr>
              <w:pStyle w:val="TableText"/>
              <w:jc w:val="right"/>
            </w:pPr>
            <w:r w:rsidRPr="00892C62">
              <w:t>1232</w:t>
            </w:r>
          </w:p>
        </w:tc>
        <w:tc>
          <w:tcPr>
            <w:tcW w:w="677" w:type="pct"/>
            <w:tcBorders>
              <w:bottom w:val="single" w:sz="4" w:space="0" w:color="000000"/>
            </w:tcBorders>
            <w:hideMark/>
          </w:tcPr>
          <w:p w14:paraId="615F2F6C" w14:textId="77777777" w:rsidR="00690E8D" w:rsidRPr="00892C62" w:rsidRDefault="00690E8D" w:rsidP="002E67C4">
            <w:pPr>
              <w:pStyle w:val="TableText"/>
              <w:jc w:val="right"/>
            </w:pPr>
            <w:r w:rsidRPr="00892C62">
              <w:t>7502</w:t>
            </w:r>
          </w:p>
        </w:tc>
        <w:tc>
          <w:tcPr>
            <w:tcW w:w="866" w:type="pct"/>
            <w:tcBorders>
              <w:bottom w:val="single" w:sz="4" w:space="0" w:color="000000"/>
            </w:tcBorders>
            <w:hideMark/>
          </w:tcPr>
          <w:p w14:paraId="1BAB3EEB" w14:textId="77777777" w:rsidR="00690E8D" w:rsidRPr="00892C62" w:rsidRDefault="00690E8D" w:rsidP="002E67C4">
            <w:pPr>
              <w:pStyle w:val="TableText"/>
              <w:jc w:val="right"/>
            </w:pPr>
            <w:r w:rsidRPr="00892C62">
              <w:t>30.1 (28.5, 31.8)</w:t>
            </w:r>
          </w:p>
        </w:tc>
      </w:tr>
      <w:tr w:rsidR="00690E8D" w:rsidRPr="0035143C" w14:paraId="345AB65F" w14:textId="77777777" w:rsidTr="00040E45">
        <w:trPr>
          <w:cantSplit/>
        </w:trPr>
        <w:tc>
          <w:tcPr>
            <w:tcW w:w="2781" w:type="pct"/>
            <w:tcBorders>
              <w:top w:val="single" w:sz="4" w:space="0" w:color="000000"/>
              <w:bottom w:val="nil"/>
            </w:tcBorders>
            <w:hideMark/>
          </w:tcPr>
          <w:p w14:paraId="01FAF5F4" w14:textId="77777777" w:rsidR="00690E8D" w:rsidRPr="004C6CF5" w:rsidRDefault="00690E8D" w:rsidP="002E67C4">
            <w:pPr>
              <w:pStyle w:val="TableText"/>
              <w:rPr>
                <w:b/>
              </w:rPr>
            </w:pPr>
            <w:r w:rsidRPr="004C6CF5">
              <w:rPr>
                <w:b/>
              </w:rPr>
              <w:t>Years since transitioned</w:t>
            </w:r>
          </w:p>
        </w:tc>
        <w:tc>
          <w:tcPr>
            <w:tcW w:w="677" w:type="pct"/>
            <w:tcBorders>
              <w:top w:val="single" w:sz="4" w:space="0" w:color="000000"/>
              <w:bottom w:val="nil"/>
            </w:tcBorders>
          </w:tcPr>
          <w:p w14:paraId="13BA4E43" w14:textId="77777777" w:rsidR="00690E8D" w:rsidRPr="00892C62" w:rsidRDefault="00690E8D" w:rsidP="002E67C4">
            <w:pPr>
              <w:pStyle w:val="TableText"/>
              <w:jc w:val="right"/>
            </w:pPr>
          </w:p>
        </w:tc>
        <w:tc>
          <w:tcPr>
            <w:tcW w:w="677" w:type="pct"/>
            <w:tcBorders>
              <w:top w:val="single" w:sz="4" w:space="0" w:color="000000"/>
              <w:bottom w:val="nil"/>
            </w:tcBorders>
          </w:tcPr>
          <w:p w14:paraId="6D5911CB" w14:textId="77777777" w:rsidR="00690E8D" w:rsidRPr="00892C62" w:rsidRDefault="00690E8D" w:rsidP="002E67C4">
            <w:pPr>
              <w:pStyle w:val="TableText"/>
              <w:jc w:val="right"/>
            </w:pPr>
          </w:p>
        </w:tc>
        <w:tc>
          <w:tcPr>
            <w:tcW w:w="866" w:type="pct"/>
            <w:tcBorders>
              <w:top w:val="single" w:sz="4" w:space="0" w:color="000000"/>
              <w:bottom w:val="nil"/>
            </w:tcBorders>
          </w:tcPr>
          <w:p w14:paraId="0D0C8519" w14:textId="77777777" w:rsidR="00690E8D" w:rsidRPr="00892C62" w:rsidRDefault="00690E8D" w:rsidP="002E67C4">
            <w:pPr>
              <w:pStyle w:val="TableText"/>
              <w:jc w:val="right"/>
            </w:pPr>
          </w:p>
        </w:tc>
      </w:tr>
      <w:tr w:rsidR="00690E8D" w:rsidRPr="0035143C" w14:paraId="70E404DB"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tcBorders>
              <w:top w:val="nil"/>
            </w:tcBorders>
            <w:hideMark/>
          </w:tcPr>
          <w:p w14:paraId="17132D63" w14:textId="77777777" w:rsidR="00690E8D" w:rsidRPr="00892C62" w:rsidRDefault="00690E8D" w:rsidP="002E67C4">
            <w:pPr>
              <w:pStyle w:val="TableText"/>
            </w:pPr>
            <w:r w:rsidRPr="00892C62">
              <w:t>0</w:t>
            </w:r>
          </w:p>
        </w:tc>
        <w:tc>
          <w:tcPr>
            <w:tcW w:w="677" w:type="pct"/>
            <w:tcBorders>
              <w:top w:val="nil"/>
            </w:tcBorders>
            <w:hideMark/>
          </w:tcPr>
          <w:p w14:paraId="55C0DE65" w14:textId="77777777" w:rsidR="00690E8D" w:rsidRPr="00892C62" w:rsidRDefault="00690E8D" w:rsidP="002E67C4">
            <w:pPr>
              <w:pStyle w:val="TableText"/>
              <w:jc w:val="right"/>
            </w:pPr>
            <w:r w:rsidRPr="00892C62">
              <w:t>376</w:t>
            </w:r>
          </w:p>
        </w:tc>
        <w:tc>
          <w:tcPr>
            <w:tcW w:w="677" w:type="pct"/>
            <w:tcBorders>
              <w:top w:val="nil"/>
            </w:tcBorders>
            <w:hideMark/>
          </w:tcPr>
          <w:p w14:paraId="6320A1B4" w14:textId="77777777" w:rsidR="00690E8D" w:rsidRPr="00892C62" w:rsidRDefault="00690E8D" w:rsidP="002E67C4">
            <w:pPr>
              <w:pStyle w:val="TableText"/>
              <w:jc w:val="right"/>
            </w:pPr>
            <w:r w:rsidRPr="00892C62">
              <w:t>1945</w:t>
            </w:r>
          </w:p>
        </w:tc>
        <w:tc>
          <w:tcPr>
            <w:tcW w:w="866" w:type="pct"/>
            <w:tcBorders>
              <w:top w:val="nil"/>
            </w:tcBorders>
            <w:hideMark/>
          </w:tcPr>
          <w:p w14:paraId="75E86E7F" w14:textId="77777777" w:rsidR="00690E8D" w:rsidRPr="00892C62" w:rsidRDefault="00690E8D" w:rsidP="002E67C4">
            <w:pPr>
              <w:pStyle w:val="TableText"/>
              <w:jc w:val="right"/>
            </w:pPr>
            <w:r w:rsidRPr="00892C62">
              <w:t>7.8 (6.9, 8.8)</w:t>
            </w:r>
          </w:p>
        </w:tc>
      </w:tr>
      <w:tr w:rsidR="00690E8D" w:rsidRPr="0035143C" w14:paraId="5EED753D" w14:textId="77777777" w:rsidTr="00040E45">
        <w:trPr>
          <w:cantSplit/>
        </w:trPr>
        <w:tc>
          <w:tcPr>
            <w:tcW w:w="2781" w:type="pct"/>
            <w:hideMark/>
          </w:tcPr>
          <w:p w14:paraId="769B362C" w14:textId="77777777" w:rsidR="00690E8D" w:rsidRPr="00892C62" w:rsidRDefault="00690E8D" w:rsidP="002E67C4">
            <w:pPr>
              <w:pStyle w:val="TableText"/>
            </w:pPr>
            <w:r w:rsidRPr="00892C62">
              <w:t>1</w:t>
            </w:r>
          </w:p>
        </w:tc>
        <w:tc>
          <w:tcPr>
            <w:tcW w:w="677" w:type="pct"/>
            <w:hideMark/>
          </w:tcPr>
          <w:p w14:paraId="3B7A367D" w14:textId="77777777" w:rsidR="00690E8D" w:rsidRPr="00892C62" w:rsidRDefault="00690E8D" w:rsidP="002E67C4">
            <w:pPr>
              <w:pStyle w:val="TableText"/>
              <w:jc w:val="right"/>
            </w:pPr>
            <w:r w:rsidRPr="00892C62">
              <w:t>852</w:t>
            </w:r>
          </w:p>
        </w:tc>
        <w:tc>
          <w:tcPr>
            <w:tcW w:w="677" w:type="pct"/>
            <w:hideMark/>
          </w:tcPr>
          <w:p w14:paraId="5A8920AA" w14:textId="77777777" w:rsidR="00690E8D" w:rsidRPr="00892C62" w:rsidRDefault="00690E8D" w:rsidP="002E67C4">
            <w:pPr>
              <w:pStyle w:val="TableText"/>
              <w:jc w:val="right"/>
            </w:pPr>
            <w:r w:rsidRPr="00892C62">
              <w:t>4874</w:t>
            </w:r>
          </w:p>
        </w:tc>
        <w:tc>
          <w:tcPr>
            <w:tcW w:w="866" w:type="pct"/>
            <w:hideMark/>
          </w:tcPr>
          <w:p w14:paraId="59B70FFE" w14:textId="77777777" w:rsidR="00690E8D" w:rsidRPr="00892C62" w:rsidRDefault="00690E8D" w:rsidP="002E67C4">
            <w:pPr>
              <w:pStyle w:val="TableText"/>
              <w:jc w:val="right"/>
            </w:pPr>
            <w:r w:rsidRPr="00892C62">
              <w:t>19.6 (18.2, 21.0)</w:t>
            </w:r>
          </w:p>
        </w:tc>
      </w:tr>
      <w:tr w:rsidR="00690E8D" w:rsidRPr="0035143C" w14:paraId="46D29CBA"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56B78990" w14:textId="77777777" w:rsidR="00690E8D" w:rsidRPr="00892C62" w:rsidRDefault="00690E8D" w:rsidP="002E67C4">
            <w:pPr>
              <w:pStyle w:val="TableText"/>
            </w:pPr>
            <w:r w:rsidRPr="00892C62">
              <w:t>2</w:t>
            </w:r>
          </w:p>
        </w:tc>
        <w:tc>
          <w:tcPr>
            <w:tcW w:w="677" w:type="pct"/>
            <w:hideMark/>
          </w:tcPr>
          <w:p w14:paraId="5A254270" w14:textId="77777777" w:rsidR="00690E8D" w:rsidRPr="00892C62" w:rsidRDefault="00690E8D" w:rsidP="002E67C4">
            <w:pPr>
              <w:pStyle w:val="TableText"/>
              <w:jc w:val="right"/>
            </w:pPr>
            <w:r w:rsidRPr="00892C62">
              <w:t>810</w:t>
            </w:r>
          </w:p>
        </w:tc>
        <w:tc>
          <w:tcPr>
            <w:tcW w:w="677" w:type="pct"/>
            <w:hideMark/>
          </w:tcPr>
          <w:p w14:paraId="62729675" w14:textId="77777777" w:rsidR="00690E8D" w:rsidRPr="00892C62" w:rsidRDefault="00690E8D" w:rsidP="002E67C4">
            <w:pPr>
              <w:pStyle w:val="TableText"/>
              <w:jc w:val="right"/>
            </w:pPr>
            <w:r w:rsidRPr="00892C62">
              <w:t>4944</w:t>
            </w:r>
          </w:p>
        </w:tc>
        <w:tc>
          <w:tcPr>
            <w:tcW w:w="866" w:type="pct"/>
            <w:hideMark/>
          </w:tcPr>
          <w:p w14:paraId="6102E330" w14:textId="77777777" w:rsidR="00690E8D" w:rsidRPr="00892C62" w:rsidRDefault="00690E8D" w:rsidP="002E67C4">
            <w:pPr>
              <w:pStyle w:val="TableText"/>
              <w:jc w:val="right"/>
            </w:pPr>
            <w:r w:rsidRPr="00892C62">
              <w:t>19.8 (18.4, 21.3)</w:t>
            </w:r>
          </w:p>
        </w:tc>
      </w:tr>
      <w:tr w:rsidR="00690E8D" w:rsidRPr="0035143C" w14:paraId="6E2F0518" w14:textId="77777777" w:rsidTr="00040E45">
        <w:trPr>
          <w:cantSplit/>
        </w:trPr>
        <w:tc>
          <w:tcPr>
            <w:tcW w:w="2781" w:type="pct"/>
            <w:hideMark/>
          </w:tcPr>
          <w:p w14:paraId="18D361D1" w14:textId="77777777" w:rsidR="00690E8D" w:rsidRPr="00892C62" w:rsidRDefault="00690E8D" w:rsidP="002E67C4">
            <w:pPr>
              <w:pStyle w:val="TableText"/>
            </w:pPr>
            <w:r w:rsidRPr="00892C62">
              <w:t>3</w:t>
            </w:r>
          </w:p>
        </w:tc>
        <w:tc>
          <w:tcPr>
            <w:tcW w:w="677" w:type="pct"/>
            <w:hideMark/>
          </w:tcPr>
          <w:p w14:paraId="005C4507" w14:textId="77777777" w:rsidR="00690E8D" w:rsidRPr="00892C62" w:rsidRDefault="00690E8D" w:rsidP="002E67C4">
            <w:pPr>
              <w:pStyle w:val="TableText"/>
              <w:jc w:val="right"/>
            </w:pPr>
            <w:r w:rsidRPr="00892C62">
              <w:t>876</w:t>
            </w:r>
          </w:p>
        </w:tc>
        <w:tc>
          <w:tcPr>
            <w:tcW w:w="677" w:type="pct"/>
            <w:hideMark/>
          </w:tcPr>
          <w:p w14:paraId="6ED0D690" w14:textId="77777777" w:rsidR="00690E8D" w:rsidRPr="00892C62" w:rsidRDefault="00690E8D" w:rsidP="002E67C4">
            <w:pPr>
              <w:pStyle w:val="TableText"/>
              <w:jc w:val="right"/>
            </w:pPr>
            <w:r w:rsidRPr="00892C62">
              <w:t>5233</w:t>
            </w:r>
          </w:p>
        </w:tc>
        <w:tc>
          <w:tcPr>
            <w:tcW w:w="866" w:type="pct"/>
            <w:hideMark/>
          </w:tcPr>
          <w:p w14:paraId="5CC434EB" w14:textId="77777777" w:rsidR="00690E8D" w:rsidRPr="00892C62" w:rsidRDefault="00690E8D" w:rsidP="002E67C4">
            <w:pPr>
              <w:pStyle w:val="TableText"/>
              <w:jc w:val="right"/>
            </w:pPr>
            <w:r w:rsidRPr="00892C62">
              <w:t>20.9 (19.5, 22.5)</w:t>
            </w:r>
          </w:p>
        </w:tc>
      </w:tr>
      <w:tr w:rsidR="00690E8D" w:rsidRPr="0035143C" w14:paraId="36E4A892"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1CE34EE0" w14:textId="77777777" w:rsidR="00690E8D" w:rsidRPr="00892C62" w:rsidRDefault="00690E8D" w:rsidP="002E67C4">
            <w:pPr>
              <w:pStyle w:val="TableText"/>
            </w:pPr>
            <w:r w:rsidRPr="00892C62">
              <w:t>4</w:t>
            </w:r>
          </w:p>
        </w:tc>
        <w:tc>
          <w:tcPr>
            <w:tcW w:w="677" w:type="pct"/>
            <w:hideMark/>
          </w:tcPr>
          <w:p w14:paraId="5755A33E" w14:textId="77777777" w:rsidR="00690E8D" w:rsidRPr="00892C62" w:rsidRDefault="00690E8D" w:rsidP="002E67C4">
            <w:pPr>
              <w:pStyle w:val="TableText"/>
              <w:jc w:val="right"/>
            </w:pPr>
            <w:r w:rsidRPr="00892C62">
              <w:t>663</w:t>
            </w:r>
          </w:p>
        </w:tc>
        <w:tc>
          <w:tcPr>
            <w:tcW w:w="677" w:type="pct"/>
            <w:hideMark/>
          </w:tcPr>
          <w:p w14:paraId="0B646063" w14:textId="77777777" w:rsidR="00690E8D" w:rsidRPr="00892C62" w:rsidRDefault="00690E8D" w:rsidP="002E67C4">
            <w:pPr>
              <w:pStyle w:val="TableText"/>
              <w:jc w:val="right"/>
            </w:pPr>
            <w:r w:rsidRPr="00892C62">
              <w:t>3582</w:t>
            </w:r>
          </w:p>
        </w:tc>
        <w:tc>
          <w:tcPr>
            <w:tcW w:w="866" w:type="pct"/>
            <w:hideMark/>
          </w:tcPr>
          <w:p w14:paraId="24D267CB" w14:textId="77777777" w:rsidR="00690E8D" w:rsidRPr="00892C62" w:rsidRDefault="00690E8D" w:rsidP="002E67C4">
            <w:pPr>
              <w:pStyle w:val="TableText"/>
              <w:jc w:val="right"/>
            </w:pPr>
            <w:r w:rsidRPr="00892C62">
              <w:t>14.4 (13.2, 15.6)</w:t>
            </w:r>
          </w:p>
        </w:tc>
      </w:tr>
      <w:tr w:rsidR="00690E8D" w:rsidRPr="0035143C" w14:paraId="568474AA" w14:textId="77777777" w:rsidTr="00040E45">
        <w:trPr>
          <w:cantSplit/>
        </w:trPr>
        <w:tc>
          <w:tcPr>
            <w:tcW w:w="2781" w:type="pct"/>
            <w:tcBorders>
              <w:bottom w:val="single" w:sz="4" w:space="0" w:color="000000"/>
            </w:tcBorders>
            <w:hideMark/>
          </w:tcPr>
          <w:p w14:paraId="7D23AA00" w14:textId="77777777" w:rsidR="00690E8D" w:rsidRPr="00892C62" w:rsidRDefault="00690E8D" w:rsidP="002E67C4">
            <w:pPr>
              <w:pStyle w:val="TableText"/>
            </w:pPr>
            <w:r w:rsidRPr="00892C62">
              <w:t>5+</w:t>
            </w:r>
          </w:p>
        </w:tc>
        <w:tc>
          <w:tcPr>
            <w:tcW w:w="677" w:type="pct"/>
            <w:tcBorders>
              <w:bottom w:val="single" w:sz="4" w:space="0" w:color="000000"/>
            </w:tcBorders>
            <w:hideMark/>
          </w:tcPr>
          <w:p w14:paraId="5C3DAE58" w14:textId="77777777" w:rsidR="00690E8D" w:rsidRPr="00892C62" w:rsidRDefault="00690E8D" w:rsidP="002E67C4">
            <w:pPr>
              <w:pStyle w:val="TableText"/>
              <w:jc w:val="right"/>
            </w:pPr>
            <w:r w:rsidRPr="00892C62">
              <w:t>503</w:t>
            </w:r>
          </w:p>
        </w:tc>
        <w:tc>
          <w:tcPr>
            <w:tcW w:w="677" w:type="pct"/>
            <w:tcBorders>
              <w:bottom w:val="single" w:sz="4" w:space="0" w:color="000000"/>
            </w:tcBorders>
            <w:hideMark/>
          </w:tcPr>
          <w:p w14:paraId="455658FC" w14:textId="77777777" w:rsidR="00690E8D" w:rsidRPr="00892C62" w:rsidRDefault="00690E8D" w:rsidP="002E67C4">
            <w:pPr>
              <w:pStyle w:val="TableText"/>
              <w:jc w:val="right"/>
            </w:pPr>
            <w:r w:rsidRPr="00892C62">
              <w:t>2785</w:t>
            </w:r>
          </w:p>
        </w:tc>
        <w:tc>
          <w:tcPr>
            <w:tcW w:w="866" w:type="pct"/>
            <w:tcBorders>
              <w:bottom w:val="single" w:sz="4" w:space="0" w:color="000000"/>
            </w:tcBorders>
            <w:hideMark/>
          </w:tcPr>
          <w:p w14:paraId="1CA08E6C" w14:textId="77777777" w:rsidR="00690E8D" w:rsidRPr="00892C62" w:rsidRDefault="00690E8D" w:rsidP="002E67C4">
            <w:pPr>
              <w:pStyle w:val="TableText"/>
              <w:jc w:val="right"/>
            </w:pPr>
            <w:r w:rsidRPr="00892C62">
              <w:t>11.2 (10.1, 12.3)</w:t>
            </w:r>
          </w:p>
        </w:tc>
      </w:tr>
      <w:tr w:rsidR="00690E8D" w:rsidRPr="0035143C" w14:paraId="3ACD004A"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tcBorders>
              <w:top w:val="single" w:sz="4" w:space="0" w:color="000000"/>
              <w:bottom w:val="nil"/>
            </w:tcBorders>
            <w:hideMark/>
          </w:tcPr>
          <w:p w14:paraId="327C76C6" w14:textId="77777777" w:rsidR="00690E8D" w:rsidRPr="004C6CF5" w:rsidRDefault="00690E8D" w:rsidP="002E67C4">
            <w:pPr>
              <w:pStyle w:val="TableText"/>
              <w:rPr>
                <w:b/>
              </w:rPr>
            </w:pPr>
            <w:r w:rsidRPr="004C6CF5">
              <w:rPr>
                <w:b/>
              </w:rPr>
              <w:t>Type of discharge/resignation</w:t>
            </w:r>
          </w:p>
        </w:tc>
        <w:tc>
          <w:tcPr>
            <w:tcW w:w="677" w:type="pct"/>
            <w:tcBorders>
              <w:top w:val="single" w:sz="4" w:space="0" w:color="000000"/>
              <w:bottom w:val="nil"/>
            </w:tcBorders>
          </w:tcPr>
          <w:p w14:paraId="6BE55BAD" w14:textId="77777777" w:rsidR="00690E8D" w:rsidRPr="00892C62" w:rsidRDefault="00690E8D" w:rsidP="002E67C4">
            <w:pPr>
              <w:pStyle w:val="TableText"/>
              <w:jc w:val="right"/>
            </w:pPr>
          </w:p>
        </w:tc>
        <w:tc>
          <w:tcPr>
            <w:tcW w:w="677" w:type="pct"/>
            <w:tcBorders>
              <w:top w:val="single" w:sz="4" w:space="0" w:color="000000"/>
              <w:bottom w:val="nil"/>
            </w:tcBorders>
          </w:tcPr>
          <w:p w14:paraId="58FADC34" w14:textId="77777777" w:rsidR="00690E8D" w:rsidRPr="00892C62" w:rsidRDefault="00690E8D" w:rsidP="002E67C4">
            <w:pPr>
              <w:pStyle w:val="TableText"/>
              <w:jc w:val="right"/>
            </w:pPr>
          </w:p>
        </w:tc>
        <w:tc>
          <w:tcPr>
            <w:tcW w:w="866" w:type="pct"/>
            <w:tcBorders>
              <w:top w:val="single" w:sz="4" w:space="0" w:color="000000"/>
              <w:bottom w:val="nil"/>
            </w:tcBorders>
          </w:tcPr>
          <w:p w14:paraId="2ADEA782" w14:textId="77777777" w:rsidR="00690E8D" w:rsidRPr="00892C62" w:rsidRDefault="00690E8D" w:rsidP="002E67C4">
            <w:pPr>
              <w:pStyle w:val="TableText"/>
              <w:jc w:val="right"/>
            </w:pPr>
          </w:p>
        </w:tc>
      </w:tr>
      <w:tr w:rsidR="00690E8D" w:rsidRPr="0035143C" w14:paraId="0EF24977" w14:textId="77777777" w:rsidTr="00040E45">
        <w:trPr>
          <w:cantSplit/>
        </w:trPr>
        <w:tc>
          <w:tcPr>
            <w:tcW w:w="2781" w:type="pct"/>
            <w:tcBorders>
              <w:top w:val="nil"/>
            </w:tcBorders>
            <w:hideMark/>
          </w:tcPr>
          <w:p w14:paraId="6590FD75" w14:textId="77777777" w:rsidR="00690E8D" w:rsidRPr="00892C62" w:rsidRDefault="00690E8D" w:rsidP="002E67C4">
            <w:pPr>
              <w:pStyle w:val="TableText"/>
            </w:pPr>
            <w:r w:rsidRPr="00892C62">
              <w:t>Compulsory age</w:t>
            </w:r>
          </w:p>
        </w:tc>
        <w:tc>
          <w:tcPr>
            <w:tcW w:w="677" w:type="pct"/>
            <w:tcBorders>
              <w:top w:val="nil"/>
            </w:tcBorders>
            <w:hideMark/>
          </w:tcPr>
          <w:p w14:paraId="065864E6" w14:textId="77777777" w:rsidR="00690E8D" w:rsidRPr="00892C62" w:rsidRDefault="00690E8D" w:rsidP="002E67C4">
            <w:pPr>
              <w:pStyle w:val="TableText"/>
              <w:jc w:val="right"/>
            </w:pPr>
            <w:r w:rsidRPr="00892C62">
              <w:t>177</w:t>
            </w:r>
          </w:p>
        </w:tc>
        <w:tc>
          <w:tcPr>
            <w:tcW w:w="677" w:type="pct"/>
            <w:tcBorders>
              <w:top w:val="nil"/>
            </w:tcBorders>
            <w:hideMark/>
          </w:tcPr>
          <w:p w14:paraId="0823748B" w14:textId="77777777" w:rsidR="00690E8D" w:rsidRPr="00892C62" w:rsidRDefault="00690E8D" w:rsidP="002E67C4">
            <w:pPr>
              <w:pStyle w:val="TableText"/>
              <w:jc w:val="right"/>
            </w:pPr>
            <w:r w:rsidRPr="00892C62">
              <w:t>612</w:t>
            </w:r>
          </w:p>
        </w:tc>
        <w:tc>
          <w:tcPr>
            <w:tcW w:w="866" w:type="pct"/>
            <w:tcBorders>
              <w:top w:val="nil"/>
            </w:tcBorders>
            <w:hideMark/>
          </w:tcPr>
          <w:p w14:paraId="533AB9AF" w14:textId="77777777" w:rsidR="00690E8D" w:rsidRPr="00892C62" w:rsidRDefault="00690E8D" w:rsidP="002E67C4">
            <w:pPr>
              <w:pStyle w:val="TableText"/>
              <w:jc w:val="right"/>
            </w:pPr>
            <w:r w:rsidRPr="00892C62">
              <w:t>2.5 (2.2, 2.8)</w:t>
            </w:r>
          </w:p>
        </w:tc>
      </w:tr>
      <w:tr w:rsidR="00690E8D" w:rsidRPr="0035143C" w14:paraId="26C0E9B8"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7FF91A5E" w14:textId="77777777" w:rsidR="00690E8D" w:rsidRPr="00892C62" w:rsidRDefault="00690E8D" w:rsidP="002E67C4">
            <w:pPr>
              <w:pStyle w:val="TableText"/>
            </w:pPr>
            <w:r w:rsidRPr="00892C62">
              <w:t>Own request</w:t>
            </w:r>
          </w:p>
        </w:tc>
        <w:tc>
          <w:tcPr>
            <w:tcW w:w="677" w:type="pct"/>
            <w:hideMark/>
          </w:tcPr>
          <w:p w14:paraId="12757493" w14:textId="77777777" w:rsidR="00690E8D" w:rsidRPr="00892C62" w:rsidRDefault="00690E8D" w:rsidP="002E67C4">
            <w:pPr>
              <w:pStyle w:val="TableText"/>
              <w:jc w:val="right"/>
            </w:pPr>
            <w:r w:rsidRPr="00892C62">
              <w:t>2408</w:t>
            </w:r>
          </w:p>
        </w:tc>
        <w:tc>
          <w:tcPr>
            <w:tcW w:w="677" w:type="pct"/>
            <w:hideMark/>
          </w:tcPr>
          <w:p w14:paraId="3F05D896" w14:textId="77777777" w:rsidR="00690E8D" w:rsidRPr="00892C62" w:rsidRDefault="00690E8D" w:rsidP="002E67C4">
            <w:pPr>
              <w:pStyle w:val="TableText"/>
              <w:jc w:val="right"/>
            </w:pPr>
            <w:r w:rsidRPr="00892C62">
              <w:t>13383</w:t>
            </w:r>
          </w:p>
        </w:tc>
        <w:tc>
          <w:tcPr>
            <w:tcW w:w="866" w:type="pct"/>
            <w:hideMark/>
          </w:tcPr>
          <w:p w14:paraId="5E52BA46" w14:textId="77777777" w:rsidR="00690E8D" w:rsidRPr="00892C62" w:rsidRDefault="00690E8D" w:rsidP="002E67C4">
            <w:pPr>
              <w:pStyle w:val="TableText"/>
              <w:jc w:val="right"/>
            </w:pPr>
            <w:r w:rsidRPr="00892C62">
              <w:t>53.7 (52.0, 55.3)</w:t>
            </w:r>
          </w:p>
        </w:tc>
      </w:tr>
      <w:tr w:rsidR="00690E8D" w:rsidRPr="0035143C" w14:paraId="2D8E2753" w14:textId="77777777" w:rsidTr="00040E45">
        <w:trPr>
          <w:cantSplit/>
        </w:trPr>
        <w:tc>
          <w:tcPr>
            <w:tcW w:w="2781" w:type="pct"/>
            <w:hideMark/>
          </w:tcPr>
          <w:p w14:paraId="51D30CF6" w14:textId="77777777" w:rsidR="00690E8D" w:rsidRPr="00892C62" w:rsidRDefault="00690E8D" w:rsidP="002E67C4">
            <w:pPr>
              <w:pStyle w:val="TableText"/>
            </w:pPr>
            <w:r w:rsidRPr="00892C62">
              <w:t>Unsuitable for further training</w:t>
            </w:r>
          </w:p>
        </w:tc>
        <w:tc>
          <w:tcPr>
            <w:tcW w:w="677" w:type="pct"/>
            <w:hideMark/>
          </w:tcPr>
          <w:p w14:paraId="28A52065" w14:textId="77777777" w:rsidR="00690E8D" w:rsidRPr="00892C62" w:rsidRDefault="00690E8D" w:rsidP="002E67C4">
            <w:pPr>
              <w:pStyle w:val="TableText"/>
              <w:jc w:val="right"/>
            </w:pPr>
            <w:r w:rsidRPr="00892C62">
              <w:t>45</w:t>
            </w:r>
          </w:p>
        </w:tc>
        <w:tc>
          <w:tcPr>
            <w:tcW w:w="677" w:type="pct"/>
            <w:hideMark/>
          </w:tcPr>
          <w:p w14:paraId="61D8932A" w14:textId="77777777" w:rsidR="00690E8D" w:rsidRPr="00892C62" w:rsidRDefault="00690E8D" w:rsidP="002E67C4">
            <w:pPr>
              <w:pStyle w:val="TableText"/>
              <w:jc w:val="right"/>
            </w:pPr>
            <w:r w:rsidRPr="00892C62">
              <w:t>485</w:t>
            </w:r>
          </w:p>
        </w:tc>
        <w:tc>
          <w:tcPr>
            <w:tcW w:w="866" w:type="pct"/>
            <w:hideMark/>
          </w:tcPr>
          <w:p w14:paraId="4C928F3E" w14:textId="77777777" w:rsidR="00690E8D" w:rsidRPr="00892C62" w:rsidRDefault="00690E8D" w:rsidP="002E67C4">
            <w:pPr>
              <w:pStyle w:val="TableText"/>
              <w:jc w:val="right"/>
            </w:pPr>
            <w:r w:rsidRPr="00892C62">
              <w:t>1.9 (1.4, 2.7)</w:t>
            </w:r>
          </w:p>
        </w:tc>
      </w:tr>
      <w:tr w:rsidR="00690E8D" w:rsidRPr="0035143C" w14:paraId="1E5B98AE"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418760E9" w14:textId="77777777" w:rsidR="00690E8D" w:rsidRPr="00892C62" w:rsidRDefault="00690E8D" w:rsidP="002E67C4">
            <w:pPr>
              <w:pStyle w:val="TableText"/>
            </w:pPr>
            <w:r w:rsidRPr="00892C62">
              <w:t>End of fixed period</w:t>
            </w:r>
          </w:p>
        </w:tc>
        <w:tc>
          <w:tcPr>
            <w:tcW w:w="677" w:type="pct"/>
            <w:hideMark/>
          </w:tcPr>
          <w:p w14:paraId="019DA89C" w14:textId="77777777" w:rsidR="00690E8D" w:rsidRPr="00892C62" w:rsidRDefault="00690E8D" w:rsidP="002E67C4">
            <w:pPr>
              <w:pStyle w:val="TableText"/>
              <w:jc w:val="right"/>
            </w:pPr>
            <w:r w:rsidRPr="00892C62">
              <w:t>80</w:t>
            </w:r>
          </w:p>
        </w:tc>
        <w:tc>
          <w:tcPr>
            <w:tcW w:w="677" w:type="pct"/>
            <w:hideMark/>
          </w:tcPr>
          <w:p w14:paraId="185A139C" w14:textId="77777777" w:rsidR="00690E8D" w:rsidRPr="00892C62" w:rsidRDefault="00690E8D" w:rsidP="002E67C4">
            <w:pPr>
              <w:pStyle w:val="TableText"/>
              <w:jc w:val="right"/>
            </w:pPr>
            <w:r w:rsidRPr="00892C62">
              <w:t>532</w:t>
            </w:r>
          </w:p>
        </w:tc>
        <w:tc>
          <w:tcPr>
            <w:tcW w:w="866" w:type="pct"/>
            <w:hideMark/>
          </w:tcPr>
          <w:p w14:paraId="52AEFE38" w14:textId="77777777" w:rsidR="00690E8D" w:rsidRPr="00892C62" w:rsidRDefault="00690E8D" w:rsidP="002E67C4">
            <w:pPr>
              <w:pStyle w:val="TableText"/>
              <w:jc w:val="right"/>
            </w:pPr>
            <w:r w:rsidRPr="00892C62">
              <w:t>2.1 (1.6, 2.8)</w:t>
            </w:r>
          </w:p>
        </w:tc>
      </w:tr>
      <w:tr w:rsidR="00690E8D" w:rsidRPr="0035143C" w14:paraId="50AABF1D" w14:textId="77777777" w:rsidTr="00040E45">
        <w:trPr>
          <w:cantSplit/>
        </w:trPr>
        <w:tc>
          <w:tcPr>
            <w:tcW w:w="2781" w:type="pct"/>
            <w:hideMark/>
          </w:tcPr>
          <w:p w14:paraId="3AFCFD6A" w14:textId="77777777" w:rsidR="00690E8D" w:rsidRPr="00892C62" w:rsidRDefault="00690E8D" w:rsidP="002E67C4">
            <w:pPr>
              <w:pStyle w:val="TableText"/>
            </w:pPr>
            <w:r w:rsidRPr="00892C62">
              <w:t>End of initial enlistment period/return of service obligation</w:t>
            </w:r>
          </w:p>
        </w:tc>
        <w:tc>
          <w:tcPr>
            <w:tcW w:w="677" w:type="pct"/>
            <w:hideMark/>
          </w:tcPr>
          <w:p w14:paraId="169299D0" w14:textId="77777777" w:rsidR="00690E8D" w:rsidRPr="00892C62" w:rsidRDefault="00690E8D" w:rsidP="002E67C4">
            <w:pPr>
              <w:pStyle w:val="TableText"/>
              <w:jc w:val="right"/>
            </w:pPr>
            <w:r w:rsidRPr="00892C62">
              <w:t>113</w:t>
            </w:r>
          </w:p>
        </w:tc>
        <w:tc>
          <w:tcPr>
            <w:tcW w:w="677" w:type="pct"/>
            <w:hideMark/>
          </w:tcPr>
          <w:p w14:paraId="11236CEC" w14:textId="77777777" w:rsidR="00690E8D" w:rsidRPr="00892C62" w:rsidRDefault="00690E8D" w:rsidP="002E67C4">
            <w:pPr>
              <w:pStyle w:val="TableText"/>
              <w:jc w:val="right"/>
            </w:pPr>
            <w:r w:rsidRPr="00892C62">
              <w:t>1293</w:t>
            </w:r>
          </w:p>
        </w:tc>
        <w:tc>
          <w:tcPr>
            <w:tcW w:w="866" w:type="pct"/>
            <w:hideMark/>
          </w:tcPr>
          <w:p w14:paraId="17166198" w14:textId="77777777" w:rsidR="00690E8D" w:rsidRPr="00892C62" w:rsidRDefault="00690E8D" w:rsidP="002E67C4">
            <w:pPr>
              <w:pStyle w:val="TableText"/>
              <w:jc w:val="right"/>
            </w:pPr>
            <w:r w:rsidRPr="00892C62">
              <w:t>5.2 (4.3, 6.3)</w:t>
            </w:r>
          </w:p>
        </w:tc>
      </w:tr>
      <w:tr w:rsidR="00690E8D" w:rsidRPr="0035143C" w14:paraId="76D69C87"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41728C88" w14:textId="77777777" w:rsidR="00690E8D" w:rsidRPr="00892C62" w:rsidRDefault="00690E8D" w:rsidP="002E67C4">
            <w:pPr>
              <w:pStyle w:val="TableText"/>
            </w:pPr>
            <w:r w:rsidRPr="00892C62">
              <w:t>Limited tenured appointment (Officers)</w:t>
            </w:r>
          </w:p>
        </w:tc>
        <w:tc>
          <w:tcPr>
            <w:tcW w:w="677" w:type="pct"/>
            <w:hideMark/>
          </w:tcPr>
          <w:p w14:paraId="628624CE" w14:textId="77777777" w:rsidR="00690E8D" w:rsidRPr="00892C62" w:rsidRDefault="00690E8D" w:rsidP="002E67C4">
            <w:pPr>
              <w:pStyle w:val="TableText"/>
              <w:jc w:val="right"/>
            </w:pPr>
            <w:r w:rsidRPr="00892C62">
              <w:t>22</w:t>
            </w:r>
          </w:p>
        </w:tc>
        <w:tc>
          <w:tcPr>
            <w:tcW w:w="677" w:type="pct"/>
            <w:hideMark/>
          </w:tcPr>
          <w:p w14:paraId="4F3EE626" w14:textId="77777777" w:rsidR="00690E8D" w:rsidRPr="00892C62" w:rsidRDefault="00690E8D" w:rsidP="002E67C4">
            <w:pPr>
              <w:pStyle w:val="TableText"/>
              <w:jc w:val="right"/>
            </w:pPr>
            <w:r w:rsidRPr="00892C62">
              <w:t>85</w:t>
            </w:r>
          </w:p>
        </w:tc>
        <w:tc>
          <w:tcPr>
            <w:tcW w:w="866" w:type="pct"/>
            <w:hideMark/>
          </w:tcPr>
          <w:p w14:paraId="3B102E8D" w14:textId="77777777" w:rsidR="00690E8D" w:rsidRPr="00892C62" w:rsidRDefault="00690E8D" w:rsidP="002E67C4">
            <w:pPr>
              <w:pStyle w:val="TableText"/>
              <w:jc w:val="right"/>
            </w:pPr>
            <w:r w:rsidRPr="00892C62">
              <w:t>0.3 (0.2, 0.6)</w:t>
            </w:r>
          </w:p>
        </w:tc>
      </w:tr>
      <w:tr w:rsidR="00690E8D" w:rsidRPr="0035143C" w14:paraId="77920473" w14:textId="77777777" w:rsidTr="00040E45">
        <w:trPr>
          <w:cantSplit/>
        </w:trPr>
        <w:tc>
          <w:tcPr>
            <w:tcW w:w="2781" w:type="pct"/>
            <w:hideMark/>
          </w:tcPr>
          <w:p w14:paraId="223FE7EC" w14:textId="77777777" w:rsidR="00690E8D" w:rsidRPr="00892C62" w:rsidRDefault="00690E8D" w:rsidP="002E67C4">
            <w:pPr>
              <w:pStyle w:val="TableText"/>
            </w:pPr>
            <w:r w:rsidRPr="00892C62">
              <w:t>Not offered re-engagement</w:t>
            </w:r>
          </w:p>
        </w:tc>
        <w:tc>
          <w:tcPr>
            <w:tcW w:w="677" w:type="pct"/>
            <w:hideMark/>
          </w:tcPr>
          <w:p w14:paraId="08B10C66" w14:textId="77777777" w:rsidR="00690E8D" w:rsidRPr="00892C62" w:rsidRDefault="00690E8D" w:rsidP="002E67C4">
            <w:pPr>
              <w:pStyle w:val="TableText"/>
              <w:jc w:val="right"/>
            </w:pPr>
            <w:r w:rsidRPr="00892C62">
              <w:t>9</w:t>
            </w:r>
          </w:p>
        </w:tc>
        <w:tc>
          <w:tcPr>
            <w:tcW w:w="677" w:type="pct"/>
            <w:hideMark/>
          </w:tcPr>
          <w:p w14:paraId="0B35595C" w14:textId="77777777" w:rsidR="00690E8D" w:rsidRPr="00892C62" w:rsidRDefault="00690E8D" w:rsidP="002E67C4">
            <w:pPr>
              <w:pStyle w:val="TableText"/>
              <w:jc w:val="right"/>
            </w:pPr>
            <w:r w:rsidRPr="00892C62">
              <w:t>83</w:t>
            </w:r>
          </w:p>
        </w:tc>
        <w:tc>
          <w:tcPr>
            <w:tcW w:w="866" w:type="pct"/>
            <w:hideMark/>
          </w:tcPr>
          <w:p w14:paraId="18B1C9A9" w14:textId="77777777" w:rsidR="00690E8D" w:rsidRPr="00892C62" w:rsidRDefault="00690E8D" w:rsidP="002E67C4">
            <w:pPr>
              <w:pStyle w:val="TableText"/>
              <w:jc w:val="right"/>
            </w:pPr>
            <w:r w:rsidRPr="00892C62">
              <w:t>0.3 (0.2, 0.7)</w:t>
            </w:r>
          </w:p>
        </w:tc>
      </w:tr>
      <w:tr w:rsidR="00690E8D" w:rsidRPr="0035143C" w14:paraId="049B26EC"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37C1A87D" w14:textId="77777777" w:rsidR="00690E8D" w:rsidRPr="00892C62" w:rsidRDefault="00690E8D" w:rsidP="002E67C4">
            <w:pPr>
              <w:pStyle w:val="TableText"/>
            </w:pPr>
            <w:r w:rsidRPr="00892C62">
              <w:t>Accepted voluntary redundancy</w:t>
            </w:r>
          </w:p>
        </w:tc>
        <w:tc>
          <w:tcPr>
            <w:tcW w:w="677" w:type="pct"/>
            <w:hideMark/>
          </w:tcPr>
          <w:p w14:paraId="1B698EDE" w14:textId="77777777" w:rsidR="00690E8D" w:rsidRPr="00892C62" w:rsidRDefault="00690E8D" w:rsidP="002E67C4">
            <w:pPr>
              <w:pStyle w:val="TableText"/>
              <w:jc w:val="right"/>
            </w:pPr>
            <w:r w:rsidRPr="00892C62">
              <w:t>150</w:t>
            </w:r>
          </w:p>
        </w:tc>
        <w:tc>
          <w:tcPr>
            <w:tcW w:w="677" w:type="pct"/>
            <w:hideMark/>
          </w:tcPr>
          <w:p w14:paraId="3B9A8AC1" w14:textId="77777777" w:rsidR="00690E8D" w:rsidRPr="00892C62" w:rsidRDefault="00690E8D" w:rsidP="002E67C4">
            <w:pPr>
              <w:pStyle w:val="TableText"/>
              <w:jc w:val="right"/>
            </w:pPr>
            <w:r w:rsidRPr="00892C62">
              <w:t>533</w:t>
            </w:r>
          </w:p>
        </w:tc>
        <w:tc>
          <w:tcPr>
            <w:tcW w:w="866" w:type="pct"/>
            <w:hideMark/>
          </w:tcPr>
          <w:p w14:paraId="32C9D91E" w14:textId="77777777" w:rsidR="00690E8D" w:rsidRPr="00892C62" w:rsidRDefault="00690E8D" w:rsidP="002E67C4">
            <w:pPr>
              <w:pStyle w:val="TableText"/>
              <w:jc w:val="right"/>
            </w:pPr>
            <w:r w:rsidRPr="00892C62">
              <w:t>2.1 (1.9, 2.5)</w:t>
            </w:r>
          </w:p>
        </w:tc>
      </w:tr>
      <w:tr w:rsidR="00690E8D" w:rsidRPr="0035143C" w14:paraId="6DB8507D" w14:textId="77777777" w:rsidTr="00040E45">
        <w:trPr>
          <w:cantSplit/>
        </w:trPr>
        <w:tc>
          <w:tcPr>
            <w:tcW w:w="2781" w:type="pct"/>
            <w:hideMark/>
          </w:tcPr>
          <w:p w14:paraId="4F30E91A" w14:textId="77777777" w:rsidR="00690E8D" w:rsidRPr="00892C62" w:rsidRDefault="00690E8D" w:rsidP="002E67C4">
            <w:pPr>
              <w:pStyle w:val="TableText"/>
            </w:pPr>
            <w:r w:rsidRPr="00892C62">
              <w:t>Compassionate grounds</w:t>
            </w:r>
          </w:p>
        </w:tc>
        <w:tc>
          <w:tcPr>
            <w:tcW w:w="677" w:type="pct"/>
            <w:hideMark/>
          </w:tcPr>
          <w:p w14:paraId="226B5B38" w14:textId="77777777" w:rsidR="00690E8D" w:rsidRPr="00892C62" w:rsidRDefault="00690E8D" w:rsidP="002E67C4">
            <w:pPr>
              <w:pStyle w:val="TableText"/>
              <w:jc w:val="right"/>
            </w:pPr>
            <w:r w:rsidRPr="00892C62">
              <w:t>26</w:t>
            </w:r>
          </w:p>
        </w:tc>
        <w:tc>
          <w:tcPr>
            <w:tcW w:w="677" w:type="pct"/>
            <w:hideMark/>
          </w:tcPr>
          <w:p w14:paraId="0B9745D8" w14:textId="77777777" w:rsidR="00690E8D" w:rsidRPr="00892C62" w:rsidRDefault="00690E8D" w:rsidP="002E67C4">
            <w:pPr>
              <w:pStyle w:val="TableText"/>
              <w:jc w:val="right"/>
            </w:pPr>
            <w:r w:rsidRPr="00892C62">
              <w:t>150</w:t>
            </w:r>
          </w:p>
        </w:tc>
        <w:tc>
          <w:tcPr>
            <w:tcW w:w="866" w:type="pct"/>
            <w:hideMark/>
          </w:tcPr>
          <w:p w14:paraId="455F226C" w14:textId="77777777" w:rsidR="00690E8D" w:rsidRPr="00892C62" w:rsidRDefault="00690E8D" w:rsidP="002E67C4">
            <w:pPr>
              <w:pStyle w:val="TableText"/>
              <w:jc w:val="right"/>
            </w:pPr>
            <w:r w:rsidRPr="00892C62">
              <w:t>0.6 (0.4, 0.9)</w:t>
            </w:r>
          </w:p>
        </w:tc>
      </w:tr>
      <w:tr w:rsidR="00690E8D" w:rsidRPr="0035143C" w14:paraId="67437133"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52F4C1A5" w14:textId="77777777" w:rsidR="00690E8D" w:rsidRPr="00892C62" w:rsidRDefault="00690E8D" w:rsidP="002E67C4">
            <w:pPr>
              <w:pStyle w:val="TableText"/>
            </w:pPr>
            <w:r w:rsidRPr="00892C62">
              <w:t xml:space="preserve">Non-voluntary discharge </w:t>
            </w:r>
            <w:r>
              <w:t>–</w:t>
            </w:r>
            <w:r w:rsidRPr="00892C62">
              <w:t xml:space="preserve"> administrative</w:t>
            </w:r>
          </w:p>
        </w:tc>
        <w:tc>
          <w:tcPr>
            <w:tcW w:w="677" w:type="pct"/>
            <w:hideMark/>
          </w:tcPr>
          <w:p w14:paraId="12B5C90F" w14:textId="77777777" w:rsidR="00690E8D" w:rsidRPr="00892C62" w:rsidRDefault="00690E8D" w:rsidP="002E67C4">
            <w:pPr>
              <w:pStyle w:val="TableText"/>
              <w:jc w:val="right"/>
            </w:pPr>
            <w:r w:rsidRPr="00892C62">
              <w:t>77</w:t>
            </w:r>
          </w:p>
        </w:tc>
        <w:tc>
          <w:tcPr>
            <w:tcW w:w="677" w:type="pct"/>
            <w:hideMark/>
          </w:tcPr>
          <w:p w14:paraId="62EF106D" w14:textId="77777777" w:rsidR="00690E8D" w:rsidRPr="00892C62" w:rsidRDefault="00690E8D" w:rsidP="002E67C4">
            <w:pPr>
              <w:pStyle w:val="TableText"/>
              <w:jc w:val="right"/>
            </w:pPr>
            <w:r w:rsidRPr="00892C62">
              <w:t>757</w:t>
            </w:r>
          </w:p>
        </w:tc>
        <w:tc>
          <w:tcPr>
            <w:tcW w:w="866" w:type="pct"/>
            <w:hideMark/>
          </w:tcPr>
          <w:p w14:paraId="0856067C" w14:textId="77777777" w:rsidR="00690E8D" w:rsidRPr="00892C62" w:rsidRDefault="00690E8D" w:rsidP="002E67C4">
            <w:pPr>
              <w:pStyle w:val="TableText"/>
              <w:jc w:val="right"/>
            </w:pPr>
            <w:r w:rsidRPr="00892C62">
              <w:t>3.0 (2.4, 3.9)</w:t>
            </w:r>
          </w:p>
        </w:tc>
      </w:tr>
      <w:tr w:rsidR="00690E8D" w:rsidRPr="0035143C" w14:paraId="029288B5" w14:textId="77777777" w:rsidTr="00040E45">
        <w:trPr>
          <w:cantSplit/>
        </w:trPr>
        <w:tc>
          <w:tcPr>
            <w:tcW w:w="2781" w:type="pct"/>
            <w:hideMark/>
          </w:tcPr>
          <w:p w14:paraId="215AAD89" w14:textId="77777777" w:rsidR="00690E8D" w:rsidRPr="00892C62" w:rsidRDefault="00690E8D" w:rsidP="002E67C4">
            <w:pPr>
              <w:pStyle w:val="TableText"/>
            </w:pPr>
            <w:r w:rsidRPr="00892C62">
              <w:t>Medical discharge</w:t>
            </w:r>
          </w:p>
        </w:tc>
        <w:tc>
          <w:tcPr>
            <w:tcW w:w="677" w:type="pct"/>
            <w:hideMark/>
          </w:tcPr>
          <w:p w14:paraId="2EC02BD9" w14:textId="77777777" w:rsidR="00690E8D" w:rsidRPr="00892C62" w:rsidRDefault="00690E8D" w:rsidP="002E67C4">
            <w:pPr>
              <w:pStyle w:val="TableText"/>
              <w:jc w:val="right"/>
            </w:pPr>
            <w:r w:rsidRPr="00892C62">
              <w:t>911</w:t>
            </w:r>
          </w:p>
        </w:tc>
        <w:tc>
          <w:tcPr>
            <w:tcW w:w="677" w:type="pct"/>
            <w:hideMark/>
          </w:tcPr>
          <w:p w14:paraId="1D5EFDD3" w14:textId="77777777" w:rsidR="00690E8D" w:rsidRPr="00892C62" w:rsidRDefault="00690E8D" w:rsidP="002E67C4">
            <w:pPr>
              <w:pStyle w:val="TableText"/>
              <w:jc w:val="right"/>
            </w:pPr>
            <w:r w:rsidRPr="00892C62">
              <w:t>5082</w:t>
            </w:r>
          </w:p>
        </w:tc>
        <w:tc>
          <w:tcPr>
            <w:tcW w:w="866" w:type="pct"/>
            <w:hideMark/>
          </w:tcPr>
          <w:p w14:paraId="603C40E5" w14:textId="77777777" w:rsidR="00690E8D" w:rsidRPr="00892C62" w:rsidRDefault="00690E8D" w:rsidP="002E67C4">
            <w:pPr>
              <w:pStyle w:val="TableText"/>
              <w:jc w:val="right"/>
            </w:pPr>
            <w:r w:rsidRPr="00892C62">
              <w:t>20.4 (19.4, 21.4)</w:t>
            </w:r>
          </w:p>
        </w:tc>
      </w:tr>
      <w:tr w:rsidR="00690E8D" w:rsidRPr="0035143C" w14:paraId="499366F2"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tcBorders>
              <w:bottom w:val="single" w:sz="4" w:space="0" w:color="000000"/>
            </w:tcBorders>
            <w:hideMark/>
          </w:tcPr>
          <w:p w14:paraId="4A93305D" w14:textId="77777777" w:rsidR="00690E8D" w:rsidRPr="00892C62" w:rsidRDefault="00690E8D" w:rsidP="001F3926">
            <w:pPr>
              <w:pStyle w:val="TableText"/>
            </w:pPr>
            <w:r w:rsidRPr="00892C62">
              <w:t>Other</w:t>
            </w:r>
          </w:p>
        </w:tc>
        <w:tc>
          <w:tcPr>
            <w:tcW w:w="677" w:type="pct"/>
            <w:tcBorders>
              <w:bottom w:val="single" w:sz="4" w:space="0" w:color="000000"/>
            </w:tcBorders>
            <w:hideMark/>
          </w:tcPr>
          <w:p w14:paraId="0BB34ADD" w14:textId="77777777" w:rsidR="00690E8D" w:rsidRPr="00892C62" w:rsidRDefault="00690E8D" w:rsidP="001F3926">
            <w:pPr>
              <w:pStyle w:val="TableText"/>
              <w:jc w:val="right"/>
            </w:pPr>
            <w:r w:rsidRPr="00892C62">
              <w:t>208</w:t>
            </w:r>
          </w:p>
        </w:tc>
        <w:tc>
          <w:tcPr>
            <w:tcW w:w="677" w:type="pct"/>
            <w:tcBorders>
              <w:bottom w:val="single" w:sz="4" w:space="0" w:color="000000"/>
            </w:tcBorders>
            <w:hideMark/>
          </w:tcPr>
          <w:p w14:paraId="784BBA0D" w14:textId="77777777" w:rsidR="00690E8D" w:rsidRPr="00892C62" w:rsidRDefault="00690E8D" w:rsidP="001F3926">
            <w:pPr>
              <w:pStyle w:val="TableText"/>
              <w:jc w:val="right"/>
            </w:pPr>
            <w:r w:rsidRPr="00892C62">
              <w:t>1242</w:t>
            </w:r>
          </w:p>
        </w:tc>
        <w:tc>
          <w:tcPr>
            <w:tcW w:w="866" w:type="pct"/>
            <w:tcBorders>
              <w:bottom w:val="single" w:sz="4" w:space="0" w:color="000000"/>
            </w:tcBorders>
            <w:hideMark/>
          </w:tcPr>
          <w:p w14:paraId="0C2D86A7" w14:textId="77777777" w:rsidR="00690E8D" w:rsidRPr="00892C62" w:rsidRDefault="00690E8D" w:rsidP="001F3926">
            <w:pPr>
              <w:pStyle w:val="TableText"/>
              <w:jc w:val="right"/>
            </w:pPr>
            <w:r w:rsidRPr="00892C62">
              <w:t>4.9 (4.2, 5.9)</w:t>
            </w:r>
          </w:p>
        </w:tc>
      </w:tr>
      <w:tr w:rsidR="00690E8D" w:rsidRPr="0035143C" w14:paraId="63105CC1" w14:textId="77777777" w:rsidTr="00040E45">
        <w:trPr>
          <w:cantSplit/>
        </w:trPr>
        <w:tc>
          <w:tcPr>
            <w:tcW w:w="2781" w:type="pct"/>
            <w:tcBorders>
              <w:top w:val="single" w:sz="4" w:space="0" w:color="000000"/>
              <w:bottom w:val="nil"/>
            </w:tcBorders>
            <w:hideMark/>
          </w:tcPr>
          <w:p w14:paraId="36E1272F" w14:textId="77777777" w:rsidR="00690E8D" w:rsidRPr="004C6CF5" w:rsidRDefault="00690E8D" w:rsidP="002E67C4">
            <w:pPr>
              <w:pStyle w:val="TableText"/>
              <w:rPr>
                <w:b/>
              </w:rPr>
            </w:pPr>
            <w:r w:rsidRPr="004C6CF5">
              <w:rPr>
                <w:b/>
              </w:rPr>
              <w:t>Main reason for transition</w:t>
            </w:r>
          </w:p>
        </w:tc>
        <w:tc>
          <w:tcPr>
            <w:tcW w:w="677" w:type="pct"/>
            <w:tcBorders>
              <w:top w:val="single" w:sz="4" w:space="0" w:color="000000"/>
              <w:bottom w:val="nil"/>
            </w:tcBorders>
          </w:tcPr>
          <w:p w14:paraId="76A904AC" w14:textId="77777777" w:rsidR="00690E8D" w:rsidRPr="00892C62" w:rsidRDefault="00690E8D" w:rsidP="002E67C4">
            <w:pPr>
              <w:pStyle w:val="TableText"/>
              <w:jc w:val="right"/>
            </w:pPr>
          </w:p>
        </w:tc>
        <w:tc>
          <w:tcPr>
            <w:tcW w:w="677" w:type="pct"/>
            <w:tcBorders>
              <w:top w:val="single" w:sz="4" w:space="0" w:color="000000"/>
              <w:bottom w:val="nil"/>
            </w:tcBorders>
          </w:tcPr>
          <w:p w14:paraId="4D252914" w14:textId="77777777" w:rsidR="00690E8D" w:rsidRPr="00892C62" w:rsidRDefault="00690E8D" w:rsidP="002E67C4">
            <w:pPr>
              <w:pStyle w:val="TableText"/>
              <w:jc w:val="right"/>
            </w:pPr>
          </w:p>
        </w:tc>
        <w:tc>
          <w:tcPr>
            <w:tcW w:w="866" w:type="pct"/>
            <w:tcBorders>
              <w:top w:val="single" w:sz="4" w:space="0" w:color="000000"/>
              <w:bottom w:val="nil"/>
            </w:tcBorders>
          </w:tcPr>
          <w:p w14:paraId="25A5C201" w14:textId="77777777" w:rsidR="00690E8D" w:rsidRPr="00892C62" w:rsidRDefault="00690E8D" w:rsidP="002E67C4">
            <w:pPr>
              <w:pStyle w:val="TableText"/>
              <w:jc w:val="right"/>
            </w:pPr>
          </w:p>
        </w:tc>
      </w:tr>
      <w:tr w:rsidR="00690E8D" w:rsidRPr="0035143C" w14:paraId="4BB690EA"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tcBorders>
              <w:top w:val="nil"/>
            </w:tcBorders>
            <w:hideMark/>
          </w:tcPr>
          <w:p w14:paraId="05C34164" w14:textId="77777777" w:rsidR="00690E8D" w:rsidRPr="00892C62" w:rsidRDefault="00690E8D" w:rsidP="002E67C4">
            <w:pPr>
              <w:pStyle w:val="TableText"/>
            </w:pPr>
            <w:r w:rsidRPr="00892C62">
              <w:t>Better employment prospects in civilian life</w:t>
            </w:r>
          </w:p>
        </w:tc>
        <w:tc>
          <w:tcPr>
            <w:tcW w:w="677" w:type="pct"/>
            <w:tcBorders>
              <w:top w:val="nil"/>
            </w:tcBorders>
            <w:hideMark/>
          </w:tcPr>
          <w:p w14:paraId="2EB054AC" w14:textId="77777777" w:rsidR="00690E8D" w:rsidRPr="00892C62" w:rsidRDefault="00690E8D" w:rsidP="002E67C4">
            <w:pPr>
              <w:pStyle w:val="TableText"/>
              <w:jc w:val="right"/>
            </w:pPr>
            <w:r w:rsidRPr="00892C62">
              <w:t>285</w:t>
            </w:r>
          </w:p>
        </w:tc>
        <w:tc>
          <w:tcPr>
            <w:tcW w:w="677" w:type="pct"/>
            <w:tcBorders>
              <w:top w:val="nil"/>
            </w:tcBorders>
            <w:hideMark/>
          </w:tcPr>
          <w:p w14:paraId="3DAD1EEE" w14:textId="77777777" w:rsidR="00690E8D" w:rsidRPr="00892C62" w:rsidRDefault="00690E8D" w:rsidP="002E67C4">
            <w:pPr>
              <w:pStyle w:val="TableText"/>
              <w:jc w:val="right"/>
            </w:pPr>
            <w:r w:rsidRPr="00892C62">
              <w:t>1800</w:t>
            </w:r>
          </w:p>
        </w:tc>
        <w:tc>
          <w:tcPr>
            <w:tcW w:w="866" w:type="pct"/>
            <w:tcBorders>
              <w:top w:val="nil"/>
            </w:tcBorders>
            <w:hideMark/>
          </w:tcPr>
          <w:p w14:paraId="35885F23" w14:textId="77777777" w:rsidR="00690E8D" w:rsidRPr="00892C62" w:rsidRDefault="00690E8D" w:rsidP="002E67C4">
            <w:pPr>
              <w:pStyle w:val="TableText"/>
              <w:jc w:val="right"/>
            </w:pPr>
            <w:r w:rsidRPr="00892C62">
              <w:t>7.2 (6.3, 8.3)</w:t>
            </w:r>
          </w:p>
        </w:tc>
      </w:tr>
      <w:tr w:rsidR="00690E8D" w:rsidRPr="0035143C" w14:paraId="2F7122C1" w14:textId="77777777" w:rsidTr="00040E45">
        <w:trPr>
          <w:cantSplit/>
        </w:trPr>
        <w:tc>
          <w:tcPr>
            <w:tcW w:w="2781" w:type="pct"/>
            <w:hideMark/>
          </w:tcPr>
          <w:p w14:paraId="35E23A9F" w14:textId="77777777" w:rsidR="00690E8D" w:rsidRPr="00892C62" w:rsidRDefault="00690E8D" w:rsidP="002E67C4">
            <w:pPr>
              <w:pStyle w:val="TableText"/>
            </w:pPr>
            <w:r w:rsidRPr="00892C62">
              <w:t>Lack of promotion prospects</w:t>
            </w:r>
          </w:p>
        </w:tc>
        <w:tc>
          <w:tcPr>
            <w:tcW w:w="677" w:type="pct"/>
            <w:hideMark/>
          </w:tcPr>
          <w:p w14:paraId="42EFC8E4" w14:textId="77777777" w:rsidR="00690E8D" w:rsidRPr="00892C62" w:rsidRDefault="00690E8D" w:rsidP="002E67C4">
            <w:pPr>
              <w:pStyle w:val="TableText"/>
              <w:jc w:val="right"/>
            </w:pPr>
            <w:r w:rsidRPr="00892C62">
              <w:t>127</w:t>
            </w:r>
          </w:p>
        </w:tc>
        <w:tc>
          <w:tcPr>
            <w:tcW w:w="677" w:type="pct"/>
            <w:hideMark/>
          </w:tcPr>
          <w:p w14:paraId="03FAB896" w14:textId="77777777" w:rsidR="00690E8D" w:rsidRPr="00892C62" w:rsidRDefault="00690E8D" w:rsidP="002E67C4">
            <w:pPr>
              <w:pStyle w:val="TableText"/>
              <w:jc w:val="right"/>
            </w:pPr>
            <w:r w:rsidRPr="00892C62">
              <w:t>688</w:t>
            </w:r>
          </w:p>
        </w:tc>
        <w:tc>
          <w:tcPr>
            <w:tcW w:w="866" w:type="pct"/>
            <w:hideMark/>
          </w:tcPr>
          <w:p w14:paraId="4487F93B" w14:textId="77777777" w:rsidR="00690E8D" w:rsidRPr="00892C62" w:rsidRDefault="00690E8D" w:rsidP="002E67C4">
            <w:pPr>
              <w:pStyle w:val="TableText"/>
              <w:jc w:val="right"/>
            </w:pPr>
            <w:r w:rsidRPr="00892C62">
              <w:t>2.8 (2.2, 3.4)</w:t>
            </w:r>
          </w:p>
        </w:tc>
      </w:tr>
      <w:tr w:rsidR="00690E8D" w:rsidRPr="0035143C" w14:paraId="60058334"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224F032F" w14:textId="77777777" w:rsidR="00690E8D" w:rsidRPr="00892C62" w:rsidRDefault="00690E8D" w:rsidP="002E67C4">
            <w:pPr>
              <w:pStyle w:val="TableText"/>
            </w:pPr>
            <w:r w:rsidRPr="00892C62">
              <w:t>Inability to plan life outside of work</w:t>
            </w:r>
          </w:p>
        </w:tc>
        <w:tc>
          <w:tcPr>
            <w:tcW w:w="677" w:type="pct"/>
            <w:hideMark/>
          </w:tcPr>
          <w:p w14:paraId="4C39D6F9" w14:textId="77777777" w:rsidR="00690E8D" w:rsidRPr="00892C62" w:rsidRDefault="00690E8D" w:rsidP="002E67C4">
            <w:pPr>
              <w:pStyle w:val="TableText"/>
              <w:jc w:val="right"/>
            </w:pPr>
            <w:r w:rsidRPr="00892C62">
              <w:t>82</w:t>
            </w:r>
          </w:p>
        </w:tc>
        <w:tc>
          <w:tcPr>
            <w:tcW w:w="677" w:type="pct"/>
            <w:hideMark/>
          </w:tcPr>
          <w:p w14:paraId="61F8F170" w14:textId="77777777" w:rsidR="00690E8D" w:rsidRPr="00892C62" w:rsidRDefault="00690E8D" w:rsidP="002E67C4">
            <w:pPr>
              <w:pStyle w:val="TableText"/>
              <w:jc w:val="right"/>
            </w:pPr>
            <w:r w:rsidRPr="00892C62">
              <w:t>646</w:t>
            </w:r>
          </w:p>
        </w:tc>
        <w:tc>
          <w:tcPr>
            <w:tcW w:w="866" w:type="pct"/>
            <w:hideMark/>
          </w:tcPr>
          <w:p w14:paraId="26532D81" w14:textId="77777777" w:rsidR="00690E8D" w:rsidRPr="00892C62" w:rsidRDefault="00690E8D" w:rsidP="002E67C4">
            <w:pPr>
              <w:pStyle w:val="TableText"/>
              <w:jc w:val="right"/>
            </w:pPr>
            <w:r w:rsidRPr="00892C62">
              <w:t>2.6 (2.0, 3.3)</w:t>
            </w:r>
          </w:p>
        </w:tc>
      </w:tr>
      <w:tr w:rsidR="00690E8D" w:rsidRPr="0035143C" w14:paraId="4A831842" w14:textId="77777777" w:rsidTr="00040E45">
        <w:trPr>
          <w:cantSplit/>
        </w:trPr>
        <w:tc>
          <w:tcPr>
            <w:tcW w:w="2781" w:type="pct"/>
            <w:hideMark/>
          </w:tcPr>
          <w:p w14:paraId="4E875DD2" w14:textId="77777777" w:rsidR="00690E8D" w:rsidRPr="00892C62" w:rsidRDefault="00690E8D" w:rsidP="002E67C4">
            <w:pPr>
              <w:pStyle w:val="TableText"/>
            </w:pPr>
            <w:r w:rsidRPr="00892C62">
              <w:t>Impact of service life on family</w:t>
            </w:r>
          </w:p>
        </w:tc>
        <w:tc>
          <w:tcPr>
            <w:tcW w:w="677" w:type="pct"/>
            <w:hideMark/>
          </w:tcPr>
          <w:p w14:paraId="3A272BC3" w14:textId="77777777" w:rsidR="00690E8D" w:rsidRPr="00892C62" w:rsidRDefault="00690E8D" w:rsidP="002E67C4">
            <w:pPr>
              <w:pStyle w:val="TableText"/>
              <w:jc w:val="right"/>
            </w:pPr>
            <w:r w:rsidRPr="00892C62">
              <w:t>457</w:t>
            </w:r>
          </w:p>
        </w:tc>
        <w:tc>
          <w:tcPr>
            <w:tcW w:w="677" w:type="pct"/>
            <w:hideMark/>
          </w:tcPr>
          <w:p w14:paraId="0BC6B5F4" w14:textId="77777777" w:rsidR="00690E8D" w:rsidRPr="00892C62" w:rsidRDefault="00690E8D" w:rsidP="002E67C4">
            <w:pPr>
              <w:pStyle w:val="TableText"/>
              <w:jc w:val="right"/>
            </w:pPr>
            <w:r w:rsidRPr="00892C62">
              <w:t>2546</w:t>
            </w:r>
          </w:p>
        </w:tc>
        <w:tc>
          <w:tcPr>
            <w:tcW w:w="866" w:type="pct"/>
            <w:hideMark/>
          </w:tcPr>
          <w:p w14:paraId="613F0A82" w14:textId="77777777" w:rsidR="00690E8D" w:rsidRPr="00892C62" w:rsidRDefault="00690E8D" w:rsidP="002E67C4">
            <w:pPr>
              <w:pStyle w:val="TableText"/>
              <w:jc w:val="right"/>
            </w:pPr>
            <w:r w:rsidRPr="00892C62">
              <w:t>10.2 (9.2, 11.3)</w:t>
            </w:r>
          </w:p>
        </w:tc>
      </w:tr>
      <w:tr w:rsidR="00690E8D" w:rsidRPr="0035143C" w14:paraId="0D8EF34D"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22467F8F" w14:textId="77777777" w:rsidR="00690E8D" w:rsidRPr="00892C62" w:rsidRDefault="00690E8D" w:rsidP="002E67C4">
            <w:pPr>
              <w:pStyle w:val="TableText"/>
            </w:pPr>
            <w:r w:rsidRPr="00892C62">
              <w:t>Pressure from family</w:t>
            </w:r>
          </w:p>
        </w:tc>
        <w:tc>
          <w:tcPr>
            <w:tcW w:w="677" w:type="pct"/>
            <w:hideMark/>
          </w:tcPr>
          <w:p w14:paraId="059853CA" w14:textId="77777777" w:rsidR="00690E8D" w:rsidRPr="00892C62" w:rsidRDefault="00690E8D" w:rsidP="002E67C4">
            <w:pPr>
              <w:pStyle w:val="TableText"/>
              <w:jc w:val="right"/>
            </w:pPr>
            <w:r w:rsidRPr="00892C62">
              <w:t>46</w:t>
            </w:r>
          </w:p>
        </w:tc>
        <w:tc>
          <w:tcPr>
            <w:tcW w:w="677" w:type="pct"/>
            <w:hideMark/>
          </w:tcPr>
          <w:p w14:paraId="3FD320C2" w14:textId="77777777" w:rsidR="00690E8D" w:rsidRPr="00892C62" w:rsidRDefault="00690E8D" w:rsidP="002E67C4">
            <w:pPr>
              <w:pStyle w:val="TableText"/>
              <w:jc w:val="right"/>
            </w:pPr>
            <w:r w:rsidRPr="00892C62">
              <w:t>228</w:t>
            </w:r>
          </w:p>
        </w:tc>
        <w:tc>
          <w:tcPr>
            <w:tcW w:w="866" w:type="pct"/>
            <w:hideMark/>
          </w:tcPr>
          <w:p w14:paraId="219C8B0B" w14:textId="77777777" w:rsidR="00690E8D" w:rsidRPr="00892C62" w:rsidRDefault="00690E8D" w:rsidP="002E67C4">
            <w:pPr>
              <w:pStyle w:val="TableText"/>
              <w:jc w:val="right"/>
            </w:pPr>
            <w:r w:rsidRPr="00892C62">
              <w:t>0.9 (0.7, 1.3)</w:t>
            </w:r>
          </w:p>
        </w:tc>
      </w:tr>
      <w:tr w:rsidR="00690E8D" w:rsidRPr="0035143C" w14:paraId="6BD2C987" w14:textId="77777777" w:rsidTr="00040E45">
        <w:trPr>
          <w:cantSplit/>
        </w:trPr>
        <w:tc>
          <w:tcPr>
            <w:tcW w:w="2781" w:type="pct"/>
            <w:hideMark/>
          </w:tcPr>
          <w:p w14:paraId="40187D55" w14:textId="77777777" w:rsidR="00690E8D" w:rsidRPr="00892C62" w:rsidRDefault="00690E8D" w:rsidP="002E67C4">
            <w:pPr>
              <w:pStyle w:val="TableText"/>
            </w:pPr>
            <w:r w:rsidRPr="00892C62">
              <w:t>Didn't want to be away from home</w:t>
            </w:r>
          </w:p>
        </w:tc>
        <w:tc>
          <w:tcPr>
            <w:tcW w:w="677" w:type="pct"/>
            <w:hideMark/>
          </w:tcPr>
          <w:p w14:paraId="068CEDBD" w14:textId="77777777" w:rsidR="00690E8D" w:rsidRPr="00892C62" w:rsidRDefault="00690E8D" w:rsidP="002E67C4">
            <w:pPr>
              <w:pStyle w:val="TableText"/>
              <w:jc w:val="right"/>
            </w:pPr>
            <w:r w:rsidRPr="00892C62">
              <w:t>101</w:t>
            </w:r>
          </w:p>
        </w:tc>
        <w:tc>
          <w:tcPr>
            <w:tcW w:w="677" w:type="pct"/>
            <w:hideMark/>
          </w:tcPr>
          <w:p w14:paraId="6789268D" w14:textId="77777777" w:rsidR="00690E8D" w:rsidRPr="00892C62" w:rsidRDefault="00690E8D" w:rsidP="002E67C4">
            <w:pPr>
              <w:pStyle w:val="TableText"/>
              <w:jc w:val="right"/>
            </w:pPr>
            <w:r w:rsidRPr="00892C62">
              <w:t>586</w:t>
            </w:r>
          </w:p>
        </w:tc>
        <w:tc>
          <w:tcPr>
            <w:tcW w:w="866" w:type="pct"/>
            <w:hideMark/>
          </w:tcPr>
          <w:p w14:paraId="1398E696" w14:textId="77777777" w:rsidR="00690E8D" w:rsidRPr="00892C62" w:rsidRDefault="00690E8D" w:rsidP="002E67C4">
            <w:pPr>
              <w:pStyle w:val="TableText"/>
              <w:jc w:val="right"/>
            </w:pPr>
            <w:r w:rsidRPr="00892C62">
              <w:t>2.4 (1.9, 2.9)</w:t>
            </w:r>
          </w:p>
        </w:tc>
      </w:tr>
      <w:tr w:rsidR="00690E8D" w:rsidRPr="0035143C" w14:paraId="5FA7B7F1"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108A335C" w14:textId="77777777" w:rsidR="00690E8D" w:rsidRPr="00892C62" w:rsidRDefault="00690E8D" w:rsidP="002E67C4">
            <w:pPr>
              <w:pStyle w:val="TableText"/>
            </w:pPr>
            <w:r w:rsidRPr="00892C62">
              <w:t>Pregnancy</w:t>
            </w:r>
          </w:p>
        </w:tc>
        <w:tc>
          <w:tcPr>
            <w:tcW w:w="677" w:type="pct"/>
            <w:hideMark/>
          </w:tcPr>
          <w:p w14:paraId="20E118E1" w14:textId="77777777" w:rsidR="00690E8D" w:rsidRPr="00892C62" w:rsidRDefault="00690E8D" w:rsidP="002E67C4">
            <w:pPr>
              <w:pStyle w:val="TableText"/>
              <w:jc w:val="right"/>
            </w:pPr>
            <w:r w:rsidRPr="00892C62">
              <w:t>7</w:t>
            </w:r>
          </w:p>
        </w:tc>
        <w:tc>
          <w:tcPr>
            <w:tcW w:w="677" w:type="pct"/>
            <w:hideMark/>
          </w:tcPr>
          <w:p w14:paraId="76843C03" w14:textId="77777777" w:rsidR="00690E8D" w:rsidRPr="00892C62" w:rsidRDefault="00690E8D" w:rsidP="002E67C4">
            <w:pPr>
              <w:pStyle w:val="TableText"/>
              <w:jc w:val="right"/>
            </w:pPr>
            <w:r w:rsidRPr="00892C62">
              <w:t>39</w:t>
            </w:r>
          </w:p>
        </w:tc>
        <w:tc>
          <w:tcPr>
            <w:tcW w:w="866" w:type="pct"/>
            <w:hideMark/>
          </w:tcPr>
          <w:p w14:paraId="49FF3BD8" w14:textId="77777777" w:rsidR="00690E8D" w:rsidRPr="00892C62" w:rsidRDefault="00690E8D" w:rsidP="002E67C4">
            <w:pPr>
              <w:pStyle w:val="TableText"/>
              <w:jc w:val="right"/>
            </w:pPr>
            <w:r w:rsidRPr="00892C62">
              <w:t>0.2 (0.1, 0.4)</w:t>
            </w:r>
          </w:p>
        </w:tc>
      </w:tr>
      <w:tr w:rsidR="00690E8D" w:rsidRPr="0035143C" w14:paraId="19CFE260" w14:textId="77777777" w:rsidTr="00040E45">
        <w:trPr>
          <w:cantSplit/>
        </w:trPr>
        <w:tc>
          <w:tcPr>
            <w:tcW w:w="2781" w:type="pct"/>
            <w:hideMark/>
          </w:tcPr>
          <w:p w14:paraId="404876A9" w14:textId="77777777" w:rsidR="00690E8D" w:rsidRPr="00892C62" w:rsidRDefault="00690E8D" w:rsidP="002E67C4">
            <w:pPr>
              <w:pStyle w:val="TableText"/>
            </w:pPr>
            <w:r w:rsidRPr="00892C62">
              <w:t>Posting issues (i.e. unhappy with location or nature of postings)</w:t>
            </w:r>
          </w:p>
        </w:tc>
        <w:tc>
          <w:tcPr>
            <w:tcW w:w="677" w:type="pct"/>
            <w:hideMark/>
          </w:tcPr>
          <w:p w14:paraId="36FD10A1" w14:textId="77777777" w:rsidR="00690E8D" w:rsidRPr="00892C62" w:rsidRDefault="00690E8D" w:rsidP="002E67C4">
            <w:pPr>
              <w:pStyle w:val="TableText"/>
              <w:jc w:val="right"/>
            </w:pPr>
            <w:r w:rsidRPr="00892C62">
              <w:t>224</w:t>
            </w:r>
          </w:p>
        </w:tc>
        <w:tc>
          <w:tcPr>
            <w:tcW w:w="677" w:type="pct"/>
            <w:hideMark/>
          </w:tcPr>
          <w:p w14:paraId="2573C529" w14:textId="77777777" w:rsidR="00690E8D" w:rsidRPr="00892C62" w:rsidRDefault="00690E8D" w:rsidP="002E67C4">
            <w:pPr>
              <w:pStyle w:val="TableText"/>
              <w:jc w:val="right"/>
            </w:pPr>
            <w:r w:rsidRPr="00892C62">
              <w:t>1061</w:t>
            </w:r>
          </w:p>
        </w:tc>
        <w:tc>
          <w:tcPr>
            <w:tcW w:w="866" w:type="pct"/>
            <w:hideMark/>
          </w:tcPr>
          <w:p w14:paraId="655F731C" w14:textId="77777777" w:rsidR="00690E8D" w:rsidRPr="00892C62" w:rsidRDefault="00690E8D" w:rsidP="002E67C4">
            <w:pPr>
              <w:pStyle w:val="TableText"/>
              <w:jc w:val="right"/>
            </w:pPr>
            <w:r w:rsidRPr="00892C62">
              <w:t>4.3 (3.7, 4.9)</w:t>
            </w:r>
          </w:p>
        </w:tc>
      </w:tr>
      <w:tr w:rsidR="00690E8D" w:rsidRPr="0035143C" w14:paraId="0AA6169B"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572C3140" w14:textId="77777777" w:rsidR="00690E8D" w:rsidRPr="00892C62" w:rsidRDefault="00690E8D" w:rsidP="002E67C4">
            <w:pPr>
              <w:pStyle w:val="TableText"/>
            </w:pPr>
            <w:r w:rsidRPr="00892C62">
              <w:t>Too many deployments</w:t>
            </w:r>
          </w:p>
        </w:tc>
        <w:tc>
          <w:tcPr>
            <w:tcW w:w="677" w:type="pct"/>
            <w:hideMark/>
          </w:tcPr>
          <w:p w14:paraId="556A3CD0" w14:textId="77777777" w:rsidR="00690E8D" w:rsidRPr="00892C62" w:rsidRDefault="00690E8D" w:rsidP="002E67C4">
            <w:pPr>
              <w:pStyle w:val="TableText"/>
              <w:jc w:val="right"/>
            </w:pPr>
            <w:r w:rsidRPr="00892C62">
              <w:t>#</w:t>
            </w:r>
          </w:p>
        </w:tc>
        <w:tc>
          <w:tcPr>
            <w:tcW w:w="677" w:type="pct"/>
            <w:hideMark/>
          </w:tcPr>
          <w:p w14:paraId="67ABEC39" w14:textId="77777777" w:rsidR="00690E8D" w:rsidRPr="00892C62" w:rsidRDefault="00690E8D" w:rsidP="002E67C4">
            <w:pPr>
              <w:pStyle w:val="TableText"/>
              <w:jc w:val="right"/>
            </w:pPr>
            <w:r>
              <w:t>–</w:t>
            </w:r>
          </w:p>
        </w:tc>
        <w:tc>
          <w:tcPr>
            <w:tcW w:w="866" w:type="pct"/>
            <w:hideMark/>
          </w:tcPr>
          <w:p w14:paraId="49923FCA" w14:textId="77777777" w:rsidR="00690E8D" w:rsidRPr="00892C62" w:rsidRDefault="00690E8D" w:rsidP="002E67C4">
            <w:pPr>
              <w:pStyle w:val="TableText"/>
              <w:jc w:val="right"/>
            </w:pPr>
            <w:r>
              <w:t>–</w:t>
            </w:r>
          </w:p>
        </w:tc>
      </w:tr>
      <w:tr w:rsidR="00690E8D" w:rsidRPr="0035143C" w14:paraId="0B12F654" w14:textId="77777777" w:rsidTr="00040E45">
        <w:trPr>
          <w:cantSplit/>
        </w:trPr>
        <w:tc>
          <w:tcPr>
            <w:tcW w:w="2781" w:type="pct"/>
            <w:hideMark/>
          </w:tcPr>
          <w:p w14:paraId="20BDF334" w14:textId="77777777" w:rsidR="00690E8D" w:rsidRPr="00892C62" w:rsidRDefault="00690E8D" w:rsidP="002E67C4">
            <w:pPr>
              <w:pStyle w:val="TableText"/>
            </w:pPr>
            <w:r w:rsidRPr="00892C62">
              <w:t>Not enough deployments</w:t>
            </w:r>
          </w:p>
        </w:tc>
        <w:tc>
          <w:tcPr>
            <w:tcW w:w="677" w:type="pct"/>
            <w:hideMark/>
          </w:tcPr>
          <w:p w14:paraId="3227E2E4" w14:textId="77777777" w:rsidR="00690E8D" w:rsidRPr="00892C62" w:rsidRDefault="00690E8D" w:rsidP="002E67C4">
            <w:pPr>
              <w:pStyle w:val="TableText"/>
              <w:jc w:val="right"/>
            </w:pPr>
            <w:r w:rsidRPr="00892C62">
              <w:t>41</w:t>
            </w:r>
          </w:p>
        </w:tc>
        <w:tc>
          <w:tcPr>
            <w:tcW w:w="677" w:type="pct"/>
            <w:hideMark/>
          </w:tcPr>
          <w:p w14:paraId="3F3805DE" w14:textId="77777777" w:rsidR="00690E8D" w:rsidRPr="00892C62" w:rsidRDefault="00690E8D" w:rsidP="002E67C4">
            <w:pPr>
              <w:pStyle w:val="TableText"/>
              <w:jc w:val="right"/>
            </w:pPr>
            <w:r w:rsidRPr="00892C62">
              <w:t>341</w:t>
            </w:r>
          </w:p>
        </w:tc>
        <w:tc>
          <w:tcPr>
            <w:tcW w:w="866" w:type="pct"/>
            <w:hideMark/>
          </w:tcPr>
          <w:p w14:paraId="6345E299" w14:textId="77777777" w:rsidR="00690E8D" w:rsidRPr="00892C62" w:rsidRDefault="00690E8D" w:rsidP="002E67C4">
            <w:pPr>
              <w:pStyle w:val="TableText"/>
              <w:jc w:val="right"/>
            </w:pPr>
            <w:r w:rsidRPr="00892C62">
              <w:t>1.4 (0.9, 1.9)</w:t>
            </w:r>
          </w:p>
        </w:tc>
      </w:tr>
      <w:tr w:rsidR="00690E8D" w:rsidRPr="0035143C" w14:paraId="063FC0C3"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7180B9D2" w14:textId="77777777" w:rsidR="00690E8D" w:rsidRPr="00892C62" w:rsidRDefault="00690E8D" w:rsidP="002E67C4">
            <w:pPr>
              <w:pStyle w:val="TableText"/>
            </w:pPr>
            <w:r w:rsidRPr="00892C62">
              <w:t>Because of my experiences on deployment</w:t>
            </w:r>
          </w:p>
        </w:tc>
        <w:tc>
          <w:tcPr>
            <w:tcW w:w="677" w:type="pct"/>
            <w:hideMark/>
          </w:tcPr>
          <w:p w14:paraId="7265AE2A" w14:textId="77777777" w:rsidR="00690E8D" w:rsidRPr="00892C62" w:rsidRDefault="00690E8D" w:rsidP="002E67C4">
            <w:pPr>
              <w:pStyle w:val="TableText"/>
              <w:jc w:val="right"/>
            </w:pPr>
            <w:r w:rsidRPr="00892C62">
              <w:t>44</w:t>
            </w:r>
          </w:p>
        </w:tc>
        <w:tc>
          <w:tcPr>
            <w:tcW w:w="677" w:type="pct"/>
            <w:hideMark/>
          </w:tcPr>
          <w:p w14:paraId="41D76B48" w14:textId="77777777" w:rsidR="00690E8D" w:rsidRPr="00892C62" w:rsidRDefault="00690E8D" w:rsidP="002E67C4">
            <w:pPr>
              <w:pStyle w:val="TableText"/>
              <w:jc w:val="right"/>
            </w:pPr>
            <w:r w:rsidRPr="00892C62">
              <w:t>336</w:t>
            </w:r>
          </w:p>
        </w:tc>
        <w:tc>
          <w:tcPr>
            <w:tcW w:w="866" w:type="pct"/>
            <w:hideMark/>
          </w:tcPr>
          <w:p w14:paraId="003B83E6" w14:textId="77777777" w:rsidR="00690E8D" w:rsidRPr="00892C62" w:rsidRDefault="00690E8D" w:rsidP="002E67C4">
            <w:pPr>
              <w:pStyle w:val="TableText"/>
              <w:jc w:val="right"/>
            </w:pPr>
            <w:r w:rsidRPr="00892C62">
              <w:t>1.4 (0.9, 1.9)</w:t>
            </w:r>
          </w:p>
        </w:tc>
      </w:tr>
      <w:tr w:rsidR="00690E8D" w:rsidRPr="0035143C" w14:paraId="0462AB3A" w14:textId="77777777" w:rsidTr="00040E45">
        <w:trPr>
          <w:cantSplit/>
        </w:trPr>
        <w:tc>
          <w:tcPr>
            <w:tcW w:w="2781" w:type="pct"/>
            <w:hideMark/>
          </w:tcPr>
          <w:p w14:paraId="56D2A0C7" w14:textId="77777777" w:rsidR="00690E8D" w:rsidRPr="00892C62" w:rsidRDefault="00690E8D" w:rsidP="002E67C4">
            <w:pPr>
              <w:pStyle w:val="TableText"/>
            </w:pPr>
            <w:r w:rsidRPr="00892C62">
              <w:t>Work not exciting or challenging enough</w:t>
            </w:r>
          </w:p>
        </w:tc>
        <w:tc>
          <w:tcPr>
            <w:tcW w:w="677" w:type="pct"/>
            <w:hideMark/>
          </w:tcPr>
          <w:p w14:paraId="696ED362" w14:textId="77777777" w:rsidR="00690E8D" w:rsidRPr="00892C62" w:rsidRDefault="00690E8D" w:rsidP="002E67C4">
            <w:pPr>
              <w:pStyle w:val="TableText"/>
              <w:jc w:val="right"/>
            </w:pPr>
            <w:r w:rsidRPr="00892C62">
              <w:t>93</w:t>
            </w:r>
          </w:p>
        </w:tc>
        <w:tc>
          <w:tcPr>
            <w:tcW w:w="677" w:type="pct"/>
            <w:hideMark/>
          </w:tcPr>
          <w:p w14:paraId="5BB04F89" w14:textId="77777777" w:rsidR="00690E8D" w:rsidRPr="00892C62" w:rsidRDefault="00690E8D" w:rsidP="002E67C4">
            <w:pPr>
              <w:pStyle w:val="TableText"/>
              <w:jc w:val="right"/>
            </w:pPr>
            <w:r w:rsidRPr="00892C62">
              <w:t>724</w:t>
            </w:r>
          </w:p>
        </w:tc>
        <w:tc>
          <w:tcPr>
            <w:tcW w:w="866" w:type="pct"/>
            <w:hideMark/>
          </w:tcPr>
          <w:p w14:paraId="15E81B0E" w14:textId="77777777" w:rsidR="00690E8D" w:rsidRPr="00892C62" w:rsidRDefault="00690E8D" w:rsidP="002E67C4">
            <w:pPr>
              <w:pStyle w:val="TableText"/>
              <w:jc w:val="right"/>
            </w:pPr>
            <w:r w:rsidRPr="00892C62">
              <w:t>2.9 (2.3, 3.7)</w:t>
            </w:r>
          </w:p>
        </w:tc>
      </w:tr>
      <w:tr w:rsidR="00690E8D" w:rsidRPr="0035143C" w14:paraId="3E4338A2"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584F79F4" w14:textId="77777777" w:rsidR="00690E8D" w:rsidRPr="00892C62" w:rsidRDefault="00690E8D" w:rsidP="002E67C4">
            <w:pPr>
              <w:pStyle w:val="TableText"/>
            </w:pPr>
            <w:r w:rsidRPr="00892C62">
              <w:t>Dissatisfaction with pay</w:t>
            </w:r>
          </w:p>
        </w:tc>
        <w:tc>
          <w:tcPr>
            <w:tcW w:w="677" w:type="pct"/>
            <w:hideMark/>
          </w:tcPr>
          <w:p w14:paraId="7C067415" w14:textId="77777777" w:rsidR="00690E8D" w:rsidRPr="00892C62" w:rsidRDefault="00690E8D" w:rsidP="002E67C4">
            <w:pPr>
              <w:pStyle w:val="TableText"/>
              <w:jc w:val="right"/>
            </w:pPr>
            <w:r w:rsidRPr="00892C62">
              <w:t>31</w:t>
            </w:r>
          </w:p>
        </w:tc>
        <w:tc>
          <w:tcPr>
            <w:tcW w:w="677" w:type="pct"/>
            <w:hideMark/>
          </w:tcPr>
          <w:p w14:paraId="1EA03FCB" w14:textId="77777777" w:rsidR="00690E8D" w:rsidRPr="00892C62" w:rsidRDefault="00690E8D" w:rsidP="002E67C4">
            <w:pPr>
              <w:pStyle w:val="TableText"/>
              <w:jc w:val="right"/>
            </w:pPr>
            <w:r w:rsidRPr="00892C62">
              <w:t>168</w:t>
            </w:r>
          </w:p>
        </w:tc>
        <w:tc>
          <w:tcPr>
            <w:tcW w:w="866" w:type="pct"/>
            <w:hideMark/>
          </w:tcPr>
          <w:p w14:paraId="04BC1376" w14:textId="77777777" w:rsidR="00690E8D" w:rsidRPr="00892C62" w:rsidRDefault="00690E8D" w:rsidP="002E67C4">
            <w:pPr>
              <w:pStyle w:val="TableText"/>
              <w:jc w:val="right"/>
            </w:pPr>
            <w:r w:rsidRPr="00892C62">
              <w:t>0.7 (0.4, 1.0)</w:t>
            </w:r>
          </w:p>
        </w:tc>
      </w:tr>
      <w:tr w:rsidR="00690E8D" w:rsidRPr="0035143C" w14:paraId="0C3F3357" w14:textId="77777777" w:rsidTr="00040E45">
        <w:trPr>
          <w:cantSplit/>
        </w:trPr>
        <w:tc>
          <w:tcPr>
            <w:tcW w:w="2781" w:type="pct"/>
            <w:hideMark/>
          </w:tcPr>
          <w:p w14:paraId="33E0837B" w14:textId="77777777" w:rsidR="00690E8D" w:rsidRPr="00892C62" w:rsidRDefault="00690E8D" w:rsidP="002E67C4">
            <w:pPr>
              <w:pStyle w:val="TableText"/>
            </w:pPr>
            <w:r w:rsidRPr="00892C62">
              <w:t>Personal experience of harassment/ bullying/ discrimination in the ADF</w:t>
            </w:r>
          </w:p>
        </w:tc>
        <w:tc>
          <w:tcPr>
            <w:tcW w:w="677" w:type="pct"/>
            <w:hideMark/>
          </w:tcPr>
          <w:p w14:paraId="4720DD59" w14:textId="77777777" w:rsidR="00690E8D" w:rsidRPr="00892C62" w:rsidRDefault="00690E8D" w:rsidP="002E67C4">
            <w:pPr>
              <w:pStyle w:val="TableText"/>
              <w:jc w:val="right"/>
            </w:pPr>
            <w:r w:rsidRPr="00892C62">
              <w:t>157</w:t>
            </w:r>
          </w:p>
        </w:tc>
        <w:tc>
          <w:tcPr>
            <w:tcW w:w="677" w:type="pct"/>
            <w:hideMark/>
          </w:tcPr>
          <w:p w14:paraId="52D88D1A" w14:textId="77777777" w:rsidR="00690E8D" w:rsidRPr="00892C62" w:rsidRDefault="00690E8D" w:rsidP="002E67C4">
            <w:pPr>
              <w:pStyle w:val="TableText"/>
              <w:jc w:val="right"/>
            </w:pPr>
            <w:r w:rsidRPr="00892C62">
              <w:t>916</w:t>
            </w:r>
          </w:p>
        </w:tc>
        <w:tc>
          <w:tcPr>
            <w:tcW w:w="866" w:type="pct"/>
            <w:hideMark/>
          </w:tcPr>
          <w:p w14:paraId="58A9FC41" w14:textId="77777777" w:rsidR="00690E8D" w:rsidRPr="00892C62" w:rsidRDefault="00690E8D" w:rsidP="002E67C4">
            <w:pPr>
              <w:pStyle w:val="TableText"/>
              <w:jc w:val="right"/>
            </w:pPr>
            <w:r w:rsidRPr="00892C62">
              <w:t>3.7 (3.1, 4.4)</w:t>
            </w:r>
          </w:p>
        </w:tc>
      </w:tr>
      <w:tr w:rsidR="00690E8D" w:rsidRPr="0035143C" w14:paraId="01A6C975"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6FA14F65" w14:textId="77777777" w:rsidR="00690E8D" w:rsidRPr="00892C62" w:rsidRDefault="00690E8D" w:rsidP="002E67C4">
            <w:pPr>
              <w:pStyle w:val="TableText"/>
            </w:pPr>
            <w:r w:rsidRPr="00892C62">
              <w:t>Personal experience of violence in the ADF</w:t>
            </w:r>
          </w:p>
        </w:tc>
        <w:tc>
          <w:tcPr>
            <w:tcW w:w="677" w:type="pct"/>
            <w:hideMark/>
          </w:tcPr>
          <w:p w14:paraId="1A6FB7C6" w14:textId="77777777" w:rsidR="00690E8D" w:rsidRPr="00892C62" w:rsidRDefault="00690E8D" w:rsidP="002E67C4">
            <w:pPr>
              <w:pStyle w:val="TableText"/>
              <w:jc w:val="right"/>
            </w:pPr>
            <w:r w:rsidRPr="00892C62">
              <w:t>#</w:t>
            </w:r>
          </w:p>
        </w:tc>
        <w:tc>
          <w:tcPr>
            <w:tcW w:w="677" w:type="pct"/>
            <w:hideMark/>
          </w:tcPr>
          <w:p w14:paraId="4AE9F7ED" w14:textId="77777777" w:rsidR="00690E8D" w:rsidRPr="00892C62" w:rsidRDefault="00690E8D" w:rsidP="002E67C4">
            <w:pPr>
              <w:pStyle w:val="TableText"/>
              <w:jc w:val="right"/>
            </w:pPr>
            <w:r>
              <w:t>–</w:t>
            </w:r>
          </w:p>
        </w:tc>
        <w:tc>
          <w:tcPr>
            <w:tcW w:w="866" w:type="pct"/>
            <w:hideMark/>
          </w:tcPr>
          <w:p w14:paraId="0CD92681" w14:textId="77777777" w:rsidR="00690E8D" w:rsidRPr="00892C62" w:rsidRDefault="00690E8D" w:rsidP="002E67C4">
            <w:pPr>
              <w:pStyle w:val="TableText"/>
              <w:jc w:val="right"/>
            </w:pPr>
            <w:r>
              <w:t>–</w:t>
            </w:r>
          </w:p>
        </w:tc>
      </w:tr>
      <w:tr w:rsidR="00690E8D" w:rsidRPr="0035143C" w14:paraId="504770B1" w14:textId="77777777" w:rsidTr="00040E45">
        <w:trPr>
          <w:cantSplit/>
        </w:trPr>
        <w:tc>
          <w:tcPr>
            <w:tcW w:w="2781" w:type="pct"/>
            <w:hideMark/>
          </w:tcPr>
          <w:p w14:paraId="768B2F85" w14:textId="77777777" w:rsidR="00690E8D" w:rsidRPr="00892C62" w:rsidRDefault="00690E8D" w:rsidP="002E67C4">
            <w:pPr>
              <w:pStyle w:val="TableText"/>
            </w:pPr>
            <w:r w:rsidRPr="00892C62">
              <w:t>Disciplinary action or criminal offence</w:t>
            </w:r>
          </w:p>
        </w:tc>
        <w:tc>
          <w:tcPr>
            <w:tcW w:w="677" w:type="pct"/>
            <w:hideMark/>
          </w:tcPr>
          <w:p w14:paraId="54AAECFD" w14:textId="77777777" w:rsidR="00690E8D" w:rsidRPr="00892C62" w:rsidRDefault="00690E8D" w:rsidP="002E67C4">
            <w:pPr>
              <w:pStyle w:val="TableText"/>
              <w:jc w:val="right"/>
            </w:pPr>
            <w:r w:rsidRPr="00892C62">
              <w:t>8</w:t>
            </w:r>
          </w:p>
        </w:tc>
        <w:tc>
          <w:tcPr>
            <w:tcW w:w="677" w:type="pct"/>
            <w:hideMark/>
          </w:tcPr>
          <w:p w14:paraId="3C528C0A" w14:textId="77777777" w:rsidR="00690E8D" w:rsidRPr="00892C62" w:rsidRDefault="00690E8D" w:rsidP="002E67C4">
            <w:pPr>
              <w:pStyle w:val="TableText"/>
              <w:jc w:val="right"/>
            </w:pPr>
            <w:r w:rsidRPr="00892C62">
              <w:t>74</w:t>
            </w:r>
          </w:p>
        </w:tc>
        <w:tc>
          <w:tcPr>
            <w:tcW w:w="866" w:type="pct"/>
            <w:hideMark/>
          </w:tcPr>
          <w:p w14:paraId="45D32536" w14:textId="77777777" w:rsidR="00690E8D" w:rsidRPr="00892C62" w:rsidRDefault="00690E8D" w:rsidP="002E67C4">
            <w:pPr>
              <w:pStyle w:val="TableText"/>
              <w:jc w:val="right"/>
            </w:pPr>
            <w:r w:rsidRPr="00892C62">
              <w:t>0.3 (0.1, 0.7)</w:t>
            </w:r>
          </w:p>
        </w:tc>
      </w:tr>
      <w:tr w:rsidR="00690E8D" w:rsidRPr="0035143C" w14:paraId="782BAF8B"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5FBB1B9A" w14:textId="77777777" w:rsidR="00690E8D" w:rsidRPr="00892C62" w:rsidRDefault="00690E8D" w:rsidP="002E67C4">
            <w:pPr>
              <w:pStyle w:val="TableText"/>
            </w:pPr>
            <w:r w:rsidRPr="00892C62">
              <w:t>My service was terminated</w:t>
            </w:r>
          </w:p>
        </w:tc>
        <w:tc>
          <w:tcPr>
            <w:tcW w:w="677" w:type="pct"/>
            <w:hideMark/>
          </w:tcPr>
          <w:p w14:paraId="281ED2F7" w14:textId="77777777" w:rsidR="00690E8D" w:rsidRPr="00892C62" w:rsidRDefault="00690E8D" w:rsidP="002E67C4">
            <w:pPr>
              <w:pStyle w:val="TableText"/>
              <w:jc w:val="right"/>
            </w:pPr>
            <w:r w:rsidRPr="00892C62">
              <w:t>106</w:t>
            </w:r>
          </w:p>
        </w:tc>
        <w:tc>
          <w:tcPr>
            <w:tcW w:w="677" w:type="pct"/>
            <w:hideMark/>
          </w:tcPr>
          <w:p w14:paraId="41901669" w14:textId="77777777" w:rsidR="00690E8D" w:rsidRPr="00892C62" w:rsidRDefault="00690E8D" w:rsidP="002E67C4">
            <w:pPr>
              <w:pStyle w:val="TableText"/>
              <w:jc w:val="right"/>
            </w:pPr>
            <w:r w:rsidRPr="00892C62">
              <w:t>677</w:t>
            </w:r>
          </w:p>
        </w:tc>
        <w:tc>
          <w:tcPr>
            <w:tcW w:w="866" w:type="pct"/>
            <w:hideMark/>
          </w:tcPr>
          <w:p w14:paraId="4FB89B53" w14:textId="77777777" w:rsidR="00690E8D" w:rsidRPr="00892C62" w:rsidRDefault="00690E8D" w:rsidP="002E67C4">
            <w:pPr>
              <w:pStyle w:val="TableText"/>
              <w:jc w:val="right"/>
            </w:pPr>
            <w:r w:rsidRPr="00892C62">
              <w:t>2.7 (2.2, 3.4)</w:t>
            </w:r>
          </w:p>
        </w:tc>
      </w:tr>
      <w:tr w:rsidR="00690E8D" w:rsidRPr="0035143C" w14:paraId="40401B32" w14:textId="77777777" w:rsidTr="00040E45">
        <w:trPr>
          <w:cantSplit/>
        </w:trPr>
        <w:tc>
          <w:tcPr>
            <w:tcW w:w="2781" w:type="pct"/>
            <w:hideMark/>
          </w:tcPr>
          <w:p w14:paraId="3EFA5305" w14:textId="77777777" w:rsidR="00690E8D" w:rsidRPr="00892C62" w:rsidRDefault="00690E8D" w:rsidP="002E67C4">
            <w:pPr>
              <w:pStyle w:val="TableText"/>
            </w:pPr>
            <w:r w:rsidRPr="00892C62">
              <w:t>Physical health problems</w:t>
            </w:r>
          </w:p>
        </w:tc>
        <w:tc>
          <w:tcPr>
            <w:tcW w:w="677" w:type="pct"/>
            <w:hideMark/>
          </w:tcPr>
          <w:p w14:paraId="244FB378" w14:textId="77777777" w:rsidR="00690E8D" w:rsidRPr="00892C62" w:rsidRDefault="00690E8D" w:rsidP="002E67C4">
            <w:pPr>
              <w:pStyle w:val="TableText"/>
              <w:jc w:val="right"/>
            </w:pPr>
            <w:r w:rsidRPr="00892C62">
              <w:t>178</w:t>
            </w:r>
          </w:p>
        </w:tc>
        <w:tc>
          <w:tcPr>
            <w:tcW w:w="677" w:type="pct"/>
            <w:hideMark/>
          </w:tcPr>
          <w:p w14:paraId="20A4D577" w14:textId="77777777" w:rsidR="00690E8D" w:rsidRPr="00892C62" w:rsidRDefault="00690E8D" w:rsidP="002E67C4">
            <w:pPr>
              <w:pStyle w:val="TableText"/>
              <w:jc w:val="right"/>
            </w:pPr>
            <w:r w:rsidRPr="00892C62">
              <w:t>1079</w:t>
            </w:r>
          </w:p>
        </w:tc>
        <w:tc>
          <w:tcPr>
            <w:tcW w:w="866" w:type="pct"/>
            <w:hideMark/>
          </w:tcPr>
          <w:p w14:paraId="6E9E0C05" w14:textId="77777777" w:rsidR="00690E8D" w:rsidRPr="00892C62" w:rsidRDefault="00690E8D" w:rsidP="002E67C4">
            <w:pPr>
              <w:pStyle w:val="TableText"/>
              <w:jc w:val="right"/>
            </w:pPr>
            <w:r w:rsidRPr="00892C62">
              <w:t>4.3 (3.6, 5.2)</w:t>
            </w:r>
          </w:p>
        </w:tc>
      </w:tr>
      <w:tr w:rsidR="00690E8D" w:rsidRPr="0035143C" w14:paraId="7DD78571"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781" w:type="pct"/>
            <w:hideMark/>
          </w:tcPr>
          <w:p w14:paraId="76601EE8" w14:textId="77777777" w:rsidR="00690E8D" w:rsidRPr="00892C62" w:rsidRDefault="00690E8D" w:rsidP="002E67C4">
            <w:pPr>
              <w:pStyle w:val="TableText"/>
            </w:pPr>
            <w:r w:rsidRPr="00892C62">
              <w:t>Mental health problems</w:t>
            </w:r>
          </w:p>
        </w:tc>
        <w:tc>
          <w:tcPr>
            <w:tcW w:w="677" w:type="pct"/>
            <w:hideMark/>
          </w:tcPr>
          <w:p w14:paraId="608EB100" w14:textId="77777777" w:rsidR="00690E8D" w:rsidRPr="00892C62" w:rsidRDefault="00690E8D" w:rsidP="002E67C4">
            <w:pPr>
              <w:pStyle w:val="TableText"/>
              <w:jc w:val="right"/>
            </w:pPr>
            <w:r w:rsidRPr="00892C62">
              <w:t>281</w:t>
            </w:r>
          </w:p>
        </w:tc>
        <w:tc>
          <w:tcPr>
            <w:tcW w:w="677" w:type="pct"/>
            <w:hideMark/>
          </w:tcPr>
          <w:p w14:paraId="5D293D9E" w14:textId="77777777" w:rsidR="00690E8D" w:rsidRPr="00892C62" w:rsidRDefault="00690E8D" w:rsidP="002E67C4">
            <w:pPr>
              <w:pStyle w:val="TableText"/>
              <w:jc w:val="right"/>
            </w:pPr>
            <w:r w:rsidRPr="00892C62">
              <w:t>1616</w:t>
            </w:r>
          </w:p>
        </w:tc>
        <w:tc>
          <w:tcPr>
            <w:tcW w:w="866" w:type="pct"/>
            <w:hideMark/>
          </w:tcPr>
          <w:p w14:paraId="122DB077" w14:textId="77777777" w:rsidR="00690E8D" w:rsidRPr="00892C62" w:rsidRDefault="00690E8D" w:rsidP="002E67C4">
            <w:pPr>
              <w:pStyle w:val="TableText"/>
              <w:jc w:val="right"/>
            </w:pPr>
            <w:r w:rsidRPr="00892C62">
              <w:t>6.5 (5.7, 7.4)</w:t>
            </w:r>
          </w:p>
        </w:tc>
      </w:tr>
      <w:tr w:rsidR="00690E8D" w:rsidRPr="0035143C" w14:paraId="2E6A0EAB" w14:textId="77777777" w:rsidTr="00040E45">
        <w:trPr>
          <w:cantSplit/>
        </w:trPr>
        <w:tc>
          <w:tcPr>
            <w:tcW w:w="2781" w:type="pct"/>
            <w:hideMark/>
          </w:tcPr>
          <w:p w14:paraId="50273371" w14:textId="77777777" w:rsidR="00690E8D" w:rsidRPr="00892C62" w:rsidRDefault="00690E8D" w:rsidP="002E67C4">
            <w:pPr>
              <w:pStyle w:val="TableText"/>
            </w:pPr>
            <w:r w:rsidRPr="00892C62">
              <w:t>Other</w:t>
            </w:r>
          </w:p>
        </w:tc>
        <w:tc>
          <w:tcPr>
            <w:tcW w:w="677" w:type="pct"/>
            <w:hideMark/>
          </w:tcPr>
          <w:p w14:paraId="0AED4567" w14:textId="77777777" w:rsidR="00690E8D" w:rsidRPr="00892C62" w:rsidRDefault="00690E8D" w:rsidP="002E67C4">
            <w:pPr>
              <w:pStyle w:val="TableText"/>
              <w:jc w:val="right"/>
            </w:pPr>
            <w:r w:rsidRPr="00892C62">
              <w:t>178</w:t>
            </w:r>
          </w:p>
        </w:tc>
        <w:tc>
          <w:tcPr>
            <w:tcW w:w="677" w:type="pct"/>
            <w:hideMark/>
          </w:tcPr>
          <w:p w14:paraId="4B8C419B" w14:textId="77777777" w:rsidR="00690E8D" w:rsidRPr="00892C62" w:rsidRDefault="00690E8D" w:rsidP="002E67C4">
            <w:pPr>
              <w:pStyle w:val="TableText"/>
              <w:jc w:val="right"/>
            </w:pPr>
            <w:r w:rsidRPr="00892C62">
              <w:t>1079</w:t>
            </w:r>
          </w:p>
        </w:tc>
        <w:tc>
          <w:tcPr>
            <w:tcW w:w="866" w:type="pct"/>
            <w:hideMark/>
          </w:tcPr>
          <w:p w14:paraId="5EBDB232" w14:textId="77777777" w:rsidR="00690E8D" w:rsidRPr="00892C62" w:rsidRDefault="00690E8D" w:rsidP="002E67C4">
            <w:pPr>
              <w:pStyle w:val="TableText"/>
              <w:jc w:val="right"/>
            </w:pPr>
            <w:r w:rsidRPr="00892C62">
              <w:t>4.3 (3.6, 5.2)</w:t>
            </w:r>
          </w:p>
        </w:tc>
      </w:tr>
    </w:tbl>
    <w:p w14:paraId="35C17C2E" w14:textId="77777777" w:rsidR="00690E8D" w:rsidRPr="006A3EA0" w:rsidRDefault="00690E8D" w:rsidP="00690E8D">
      <w:pPr>
        <w:pStyle w:val="TableNotes"/>
      </w:pPr>
      <w:r w:rsidRPr="006A3EA0">
        <w:t>Notes</w:t>
      </w:r>
    </w:p>
    <w:p w14:paraId="5AC5C42E" w14:textId="77777777" w:rsidR="00690E8D" w:rsidRPr="00892C62" w:rsidRDefault="00690E8D" w:rsidP="00690E8D">
      <w:pPr>
        <w:pStyle w:val="TableNotes"/>
      </w:pPr>
      <w:r w:rsidRPr="00892C62">
        <w:t>95%CI</w:t>
      </w:r>
      <w:r>
        <w:t xml:space="preserve"> =</w:t>
      </w:r>
      <w:r w:rsidRPr="00892C62">
        <w:t xml:space="preserve"> 95% </w:t>
      </w:r>
      <w:r>
        <w:t>confidence interval.</w:t>
      </w:r>
    </w:p>
    <w:p w14:paraId="7003FFE2" w14:textId="77777777" w:rsidR="00690E8D" w:rsidRPr="00892C62" w:rsidRDefault="00690E8D" w:rsidP="00690E8D">
      <w:pPr>
        <w:pStyle w:val="TableNotes"/>
      </w:pPr>
      <w:r w:rsidRPr="00892C62">
        <w:t>Missing: Years since transition: 246 (6.3%), Type of discharge: 100 (2.8%), Main reason 1776 (39.5%)</w:t>
      </w:r>
      <w:r>
        <w:t>.</w:t>
      </w:r>
    </w:p>
    <w:p w14:paraId="647C85DF" w14:textId="77777777" w:rsidR="00690E8D" w:rsidRDefault="00690E8D" w:rsidP="00690E8D">
      <w:pPr>
        <w:pStyle w:val="TableNotes"/>
      </w:pPr>
      <w:r w:rsidRPr="00892C62">
        <w:t xml:space="preserve"># </w:t>
      </w:r>
      <w:r>
        <w:t>= C</w:t>
      </w:r>
      <w:r w:rsidRPr="00892C62">
        <w:t>ell size too small to be reported</w:t>
      </w:r>
      <w:r>
        <w:t>.</w:t>
      </w:r>
    </w:p>
    <w:p w14:paraId="1828B71F" w14:textId="18F6FCD9" w:rsidR="00690E8D" w:rsidRDefault="00690E8D" w:rsidP="00690E8D">
      <w:pPr>
        <w:rPr>
          <w:rFonts w:asciiTheme="minorHAnsi" w:hAnsiTheme="minorHAnsi"/>
        </w:rPr>
      </w:pPr>
      <w:r w:rsidRPr="0035143C">
        <w:t xml:space="preserve">Table </w:t>
      </w:r>
      <w:r>
        <w:rPr>
          <w:noProof/>
        </w:rPr>
        <w:t>3</w:t>
      </w:r>
      <w:r>
        <w:t>.</w:t>
      </w:r>
      <w:r>
        <w:rPr>
          <w:noProof/>
        </w:rPr>
        <w:t>4</w:t>
      </w:r>
      <w:r>
        <w:rPr>
          <w:rFonts w:asciiTheme="minorHAnsi" w:hAnsiTheme="minorHAnsi"/>
        </w:rPr>
        <w:t xml:space="preserve"> </w:t>
      </w:r>
      <w:r w:rsidRPr="007421FA">
        <w:rPr>
          <w:rFonts w:asciiTheme="minorHAnsi" w:hAnsiTheme="minorHAnsi"/>
        </w:rPr>
        <w:t>summarises employment and DVA support characteristics for Transitioned ADF members. Almost two</w:t>
      </w:r>
      <w:r w:rsidR="00A4575B">
        <w:rPr>
          <w:rFonts w:asciiTheme="minorHAnsi" w:hAnsiTheme="minorHAnsi"/>
        </w:rPr>
        <w:t xml:space="preserve"> </w:t>
      </w:r>
      <w:r w:rsidRPr="007421FA">
        <w:rPr>
          <w:rFonts w:asciiTheme="minorHAnsi" w:hAnsiTheme="minorHAnsi"/>
        </w:rPr>
        <w:t xml:space="preserve">thirds (62.8%) of the Transitioned ADF group reported being engaged in civilian employment. For those individuals, the most common industries of employment were government administration and Defence (16.8%), mining (9.9%), construction (8.8%), and transport and storage (8.6%). Of those employed, 1.3% did not report which industry they were employed in. Of those who were not engaged in civilian employment, a considerable proportion (43.7%) reported a period of three months or longer in which they had been unemployed since transitioning from Regular ADF. More than 43% of Transitioned ADF members reported accessing DVA-funded treatment using a DVA White Card (39.4%) or DVA Gold Card (4.2%). </w:t>
      </w:r>
    </w:p>
    <w:p w14:paraId="6D05E472" w14:textId="77777777" w:rsidR="00690E8D" w:rsidRPr="007421FA" w:rsidRDefault="00690E8D" w:rsidP="00690E8D">
      <w:pPr>
        <w:pStyle w:val="TableName"/>
        <w:rPr>
          <w:rFonts w:asciiTheme="minorHAnsi" w:hAnsiTheme="minorHAnsi"/>
        </w:rPr>
      </w:pPr>
      <w:bookmarkStart w:id="247" w:name="_Ref484433313"/>
      <w:bookmarkStart w:id="248" w:name="_Toc479243378"/>
      <w:bookmarkStart w:id="249" w:name="_Toc482023764"/>
      <w:bookmarkStart w:id="250" w:name="_Toc487014250"/>
      <w:bookmarkStart w:id="251" w:name="_Toc493668804"/>
      <w:bookmarkStart w:id="252" w:name="_Toc508978838"/>
      <w:bookmarkStart w:id="253" w:name="_Toc385236033"/>
      <w:bookmarkStart w:id="254" w:name="_Toc385236883"/>
      <w:bookmarkStart w:id="255" w:name="_Toc385237687"/>
      <w:bookmarkStart w:id="256" w:name="_Toc515374634"/>
      <w:bookmarkStart w:id="257" w:name="_Toc528932308"/>
      <w:bookmarkStart w:id="258" w:name="_Toc531857987"/>
      <w:r w:rsidRPr="0035143C">
        <w:t xml:space="preserve">Table </w:t>
      </w:r>
      <w:r>
        <w:rPr>
          <w:noProof/>
        </w:rPr>
        <w:t>3</w:t>
      </w:r>
      <w:r>
        <w:t>.</w:t>
      </w:r>
      <w:r>
        <w:rPr>
          <w:noProof/>
        </w:rPr>
        <w:t>4</w:t>
      </w:r>
      <w:bookmarkEnd w:id="247"/>
      <w:r>
        <w:tab/>
      </w:r>
      <w:r w:rsidRPr="0035143C">
        <w:t>Weighted civilian employment and DVA support among Transitioned ADF</w:t>
      </w:r>
      <w:bookmarkEnd w:id="248"/>
      <w:bookmarkEnd w:id="249"/>
      <w:bookmarkEnd w:id="250"/>
      <w:bookmarkEnd w:id="251"/>
      <w:r w:rsidRPr="0035143C">
        <w:t xml:space="preserve"> members</w:t>
      </w:r>
      <w:bookmarkEnd w:id="252"/>
      <w:bookmarkEnd w:id="253"/>
      <w:bookmarkEnd w:id="254"/>
      <w:bookmarkEnd w:id="255"/>
      <w:bookmarkEnd w:id="256"/>
      <w:bookmarkEnd w:id="257"/>
      <w:bookmarkEnd w:id="258"/>
    </w:p>
    <w:tbl>
      <w:tblPr>
        <w:tblStyle w:val="TWRPTable"/>
        <w:tblW w:w="5000" w:type="pct"/>
        <w:tblLayout w:type="fixed"/>
        <w:tblLook w:val="04A0" w:firstRow="1" w:lastRow="0" w:firstColumn="1" w:lastColumn="0" w:noHBand="0" w:noVBand="1"/>
        <w:tblDescription w:val="Table 3.4 Weighted civilian employment and DVA support among Transitioned ADF members"/>
      </w:tblPr>
      <w:tblGrid>
        <w:gridCol w:w="3769"/>
        <w:gridCol w:w="960"/>
        <w:gridCol w:w="1046"/>
        <w:gridCol w:w="1314"/>
      </w:tblGrid>
      <w:tr w:rsidR="00690E8D" w:rsidRPr="0035143C" w14:paraId="44F9C361" w14:textId="77777777" w:rsidTr="00BF6E26">
        <w:trPr>
          <w:cnfStyle w:val="100000000000" w:firstRow="1" w:lastRow="0" w:firstColumn="0" w:lastColumn="0" w:oddVBand="0" w:evenVBand="0" w:oddHBand="0" w:evenHBand="0" w:firstRowFirstColumn="0" w:firstRowLastColumn="0" w:lastRowFirstColumn="0" w:lastRowLastColumn="0"/>
          <w:cantSplit/>
          <w:tblHeader/>
        </w:trPr>
        <w:tc>
          <w:tcPr>
            <w:tcW w:w="2658" w:type="pct"/>
            <w:tcBorders>
              <w:top w:val="single" w:sz="4" w:space="0" w:color="000000"/>
              <w:bottom w:val="nil"/>
            </w:tcBorders>
          </w:tcPr>
          <w:p w14:paraId="1619CE7F" w14:textId="77777777" w:rsidR="00690E8D" w:rsidRPr="004C6CF5" w:rsidRDefault="00690E8D" w:rsidP="00040E45">
            <w:pPr>
              <w:pStyle w:val="TableText"/>
              <w:rPr>
                <w:b w:val="0"/>
              </w:rPr>
            </w:pPr>
          </w:p>
        </w:tc>
        <w:tc>
          <w:tcPr>
            <w:tcW w:w="2342" w:type="pct"/>
            <w:gridSpan w:val="3"/>
            <w:hideMark/>
          </w:tcPr>
          <w:p w14:paraId="771392F5" w14:textId="77777777" w:rsidR="00690E8D" w:rsidRPr="004C6CF5" w:rsidRDefault="00690E8D" w:rsidP="00800B68">
            <w:pPr>
              <w:pStyle w:val="TableText"/>
              <w:jc w:val="center"/>
              <w:rPr>
                <w:b w:val="0"/>
              </w:rPr>
            </w:pPr>
            <w:r w:rsidRPr="004C6CF5">
              <w:t>Transitioned ADF</w:t>
            </w:r>
            <w:r w:rsidR="00800B68">
              <w:br/>
            </w:r>
            <w:r w:rsidRPr="004C6CF5">
              <w:rPr>
                <w:color w:val="000000" w:themeColor="text1"/>
              </w:rPr>
              <w:t>(n=24,932)</w:t>
            </w:r>
          </w:p>
        </w:tc>
      </w:tr>
      <w:tr w:rsidR="00690E8D" w:rsidRPr="0035143C" w14:paraId="1D12535C" w14:textId="77777777" w:rsidTr="00040E45">
        <w:trPr>
          <w:cnfStyle w:val="100000000000" w:firstRow="1" w:lastRow="0" w:firstColumn="0" w:lastColumn="0" w:oddVBand="0" w:evenVBand="0" w:oddHBand="0" w:evenHBand="0" w:firstRowFirstColumn="0" w:firstRowLastColumn="0" w:lastRowFirstColumn="0" w:lastRowLastColumn="0"/>
          <w:cantSplit/>
          <w:tblHeader/>
        </w:trPr>
        <w:tc>
          <w:tcPr>
            <w:tcW w:w="2658" w:type="pct"/>
            <w:tcBorders>
              <w:top w:val="nil"/>
            </w:tcBorders>
            <w:hideMark/>
          </w:tcPr>
          <w:p w14:paraId="3CC93C2D" w14:textId="77777777" w:rsidR="00690E8D" w:rsidRPr="004C6CF5" w:rsidRDefault="00690E8D" w:rsidP="002E67C4">
            <w:pPr>
              <w:pStyle w:val="TableText"/>
              <w:rPr>
                <w:b w:val="0"/>
              </w:rPr>
            </w:pPr>
            <w:r w:rsidRPr="004C6CF5">
              <w:t>Characteristic</w:t>
            </w:r>
          </w:p>
        </w:tc>
        <w:tc>
          <w:tcPr>
            <w:tcW w:w="677" w:type="pct"/>
            <w:hideMark/>
          </w:tcPr>
          <w:p w14:paraId="0F165F52" w14:textId="77777777" w:rsidR="00690E8D" w:rsidRPr="004C6CF5" w:rsidRDefault="00690E8D" w:rsidP="002E67C4">
            <w:pPr>
              <w:pStyle w:val="TableText"/>
              <w:jc w:val="right"/>
              <w:rPr>
                <w:b w:val="0"/>
              </w:rPr>
            </w:pPr>
            <w:r w:rsidRPr="004C6CF5">
              <w:t>n</w:t>
            </w:r>
          </w:p>
        </w:tc>
        <w:tc>
          <w:tcPr>
            <w:tcW w:w="738" w:type="pct"/>
            <w:hideMark/>
          </w:tcPr>
          <w:p w14:paraId="68537F83" w14:textId="77777777" w:rsidR="00690E8D" w:rsidRPr="004C6CF5" w:rsidRDefault="00690E8D" w:rsidP="002E67C4">
            <w:pPr>
              <w:pStyle w:val="TableText"/>
              <w:jc w:val="right"/>
              <w:rPr>
                <w:b w:val="0"/>
              </w:rPr>
            </w:pPr>
            <w:r w:rsidRPr="004C6CF5">
              <w:t>Weighted n</w:t>
            </w:r>
          </w:p>
        </w:tc>
        <w:tc>
          <w:tcPr>
            <w:tcW w:w="928" w:type="pct"/>
            <w:hideMark/>
          </w:tcPr>
          <w:p w14:paraId="664FC3AB" w14:textId="77777777" w:rsidR="00690E8D" w:rsidRPr="004C6CF5" w:rsidRDefault="00690E8D" w:rsidP="002E67C4">
            <w:pPr>
              <w:pStyle w:val="TableText"/>
              <w:jc w:val="right"/>
              <w:rPr>
                <w:b w:val="0"/>
              </w:rPr>
            </w:pPr>
            <w:r w:rsidRPr="004C6CF5">
              <w:t>% (95%CI)</w:t>
            </w:r>
          </w:p>
        </w:tc>
      </w:tr>
      <w:tr w:rsidR="00690E8D" w:rsidRPr="0035143C" w14:paraId="44C1EDC1"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6314BAE6" w14:textId="77777777" w:rsidR="00690E8D" w:rsidRPr="004C6CF5" w:rsidRDefault="00690E8D" w:rsidP="002E67C4">
            <w:pPr>
              <w:pStyle w:val="TableText"/>
              <w:rPr>
                <w:b/>
              </w:rPr>
            </w:pPr>
            <w:r w:rsidRPr="004C6CF5">
              <w:rPr>
                <w:b/>
              </w:rPr>
              <w:t>Civilian employment</w:t>
            </w:r>
          </w:p>
        </w:tc>
        <w:tc>
          <w:tcPr>
            <w:tcW w:w="677" w:type="pct"/>
          </w:tcPr>
          <w:p w14:paraId="2D52F886" w14:textId="77777777" w:rsidR="00690E8D" w:rsidRPr="00892C62" w:rsidRDefault="00690E8D" w:rsidP="002E67C4">
            <w:pPr>
              <w:pStyle w:val="TableText"/>
              <w:jc w:val="right"/>
            </w:pPr>
          </w:p>
        </w:tc>
        <w:tc>
          <w:tcPr>
            <w:tcW w:w="738" w:type="pct"/>
          </w:tcPr>
          <w:p w14:paraId="631506E4" w14:textId="77777777" w:rsidR="00690E8D" w:rsidRPr="00892C62" w:rsidRDefault="00690E8D" w:rsidP="002E67C4">
            <w:pPr>
              <w:pStyle w:val="TableText"/>
              <w:jc w:val="right"/>
            </w:pPr>
          </w:p>
        </w:tc>
        <w:tc>
          <w:tcPr>
            <w:tcW w:w="928" w:type="pct"/>
          </w:tcPr>
          <w:p w14:paraId="38B64D58" w14:textId="77777777" w:rsidR="00690E8D" w:rsidRPr="00892C62" w:rsidRDefault="00690E8D" w:rsidP="002E67C4">
            <w:pPr>
              <w:pStyle w:val="TableText"/>
              <w:jc w:val="right"/>
            </w:pPr>
          </w:p>
        </w:tc>
      </w:tr>
      <w:tr w:rsidR="00690E8D" w:rsidRPr="0035143C" w14:paraId="7E7B21EE" w14:textId="77777777" w:rsidTr="00040E45">
        <w:trPr>
          <w:cantSplit/>
        </w:trPr>
        <w:tc>
          <w:tcPr>
            <w:tcW w:w="2658" w:type="pct"/>
            <w:hideMark/>
          </w:tcPr>
          <w:p w14:paraId="5ECAD536" w14:textId="77777777" w:rsidR="00690E8D" w:rsidRPr="00892C62" w:rsidRDefault="00690E8D" w:rsidP="002E67C4">
            <w:pPr>
              <w:pStyle w:val="TableText"/>
            </w:pPr>
            <w:r w:rsidRPr="00892C62">
              <w:t>Employed</w:t>
            </w:r>
          </w:p>
        </w:tc>
        <w:tc>
          <w:tcPr>
            <w:tcW w:w="677" w:type="pct"/>
            <w:hideMark/>
          </w:tcPr>
          <w:p w14:paraId="26625920" w14:textId="77777777" w:rsidR="00690E8D" w:rsidRPr="00892C62" w:rsidRDefault="00690E8D" w:rsidP="002E67C4">
            <w:pPr>
              <w:pStyle w:val="TableText"/>
              <w:jc w:val="right"/>
            </w:pPr>
            <w:r w:rsidRPr="00892C62">
              <w:t>2516</w:t>
            </w:r>
          </w:p>
        </w:tc>
        <w:tc>
          <w:tcPr>
            <w:tcW w:w="738" w:type="pct"/>
            <w:hideMark/>
          </w:tcPr>
          <w:p w14:paraId="2601F8AB" w14:textId="77777777" w:rsidR="00690E8D" w:rsidRPr="00892C62" w:rsidRDefault="00690E8D" w:rsidP="002E67C4">
            <w:pPr>
              <w:pStyle w:val="TableText"/>
              <w:jc w:val="right"/>
            </w:pPr>
            <w:r w:rsidRPr="00892C62">
              <w:t>15,664</w:t>
            </w:r>
          </w:p>
        </w:tc>
        <w:tc>
          <w:tcPr>
            <w:tcW w:w="928" w:type="pct"/>
            <w:hideMark/>
          </w:tcPr>
          <w:p w14:paraId="34AD7C02" w14:textId="77777777" w:rsidR="00690E8D" w:rsidRPr="00892C62" w:rsidRDefault="00690E8D" w:rsidP="002E67C4">
            <w:pPr>
              <w:pStyle w:val="TableText"/>
              <w:jc w:val="right"/>
            </w:pPr>
            <w:r w:rsidRPr="00892C62">
              <w:t>62.8 (61.2, 64.4)</w:t>
            </w:r>
          </w:p>
        </w:tc>
      </w:tr>
      <w:tr w:rsidR="00690E8D" w:rsidRPr="0035143C" w14:paraId="556C3C03"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tcBorders>
              <w:bottom w:val="single" w:sz="4" w:space="0" w:color="000000"/>
            </w:tcBorders>
            <w:hideMark/>
          </w:tcPr>
          <w:p w14:paraId="54D1930F" w14:textId="77777777" w:rsidR="00690E8D" w:rsidRPr="00892C62" w:rsidRDefault="00690E8D" w:rsidP="002E67C4">
            <w:pPr>
              <w:pStyle w:val="TableText"/>
            </w:pPr>
            <w:r w:rsidRPr="00892C62">
              <w:t>Not employed</w:t>
            </w:r>
          </w:p>
        </w:tc>
        <w:tc>
          <w:tcPr>
            <w:tcW w:w="677" w:type="pct"/>
            <w:tcBorders>
              <w:bottom w:val="single" w:sz="4" w:space="0" w:color="000000"/>
            </w:tcBorders>
            <w:hideMark/>
          </w:tcPr>
          <w:p w14:paraId="07037A00" w14:textId="77777777" w:rsidR="00690E8D" w:rsidRPr="00892C62" w:rsidRDefault="00690E8D" w:rsidP="002E67C4">
            <w:pPr>
              <w:pStyle w:val="TableText"/>
              <w:jc w:val="right"/>
            </w:pPr>
            <w:r w:rsidRPr="00892C62">
              <w:t>1735</w:t>
            </w:r>
          </w:p>
        </w:tc>
        <w:tc>
          <w:tcPr>
            <w:tcW w:w="738" w:type="pct"/>
            <w:tcBorders>
              <w:bottom w:val="single" w:sz="4" w:space="0" w:color="000000"/>
            </w:tcBorders>
            <w:hideMark/>
          </w:tcPr>
          <w:p w14:paraId="2B6BF36B" w14:textId="77777777" w:rsidR="00690E8D" w:rsidRPr="00892C62" w:rsidRDefault="00690E8D" w:rsidP="002E67C4">
            <w:pPr>
              <w:pStyle w:val="TableText"/>
              <w:jc w:val="right"/>
            </w:pPr>
            <w:r w:rsidRPr="00892C62">
              <w:t>8771</w:t>
            </w:r>
          </w:p>
        </w:tc>
        <w:tc>
          <w:tcPr>
            <w:tcW w:w="928" w:type="pct"/>
            <w:tcBorders>
              <w:bottom w:val="single" w:sz="4" w:space="0" w:color="000000"/>
            </w:tcBorders>
            <w:hideMark/>
          </w:tcPr>
          <w:p w14:paraId="67662A28" w14:textId="77777777" w:rsidR="00690E8D" w:rsidRPr="00892C62" w:rsidRDefault="00690E8D" w:rsidP="002E67C4">
            <w:pPr>
              <w:pStyle w:val="TableText"/>
              <w:jc w:val="right"/>
            </w:pPr>
            <w:r w:rsidRPr="00892C62">
              <w:t>35.2 (33.6, 36.8)</w:t>
            </w:r>
          </w:p>
        </w:tc>
      </w:tr>
      <w:tr w:rsidR="00690E8D" w:rsidRPr="0035143C" w14:paraId="5CBB7BF2" w14:textId="77777777" w:rsidTr="00040E45">
        <w:trPr>
          <w:cantSplit/>
        </w:trPr>
        <w:tc>
          <w:tcPr>
            <w:tcW w:w="2658" w:type="pct"/>
            <w:tcBorders>
              <w:top w:val="single" w:sz="4" w:space="0" w:color="000000"/>
              <w:bottom w:val="nil"/>
            </w:tcBorders>
            <w:hideMark/>
          </w:tcPr>
          <w:p w14:paraId="3447261E" w14:textId="77777777" w:rsidR="00690E8D" w:rsidRPr="004C6CF5" w:rsidRDefault="00690E8D" w:rsidP="002E67C4">
            <w:pPr>
              <w:pStyle w:val="TableText"/>
              <w:rPr>
                <w:b/>
              </w:rPr>
            </w:pPr>
            <w:r w:rsidRPr="004C6CF5">
              <w:rPr>
                <w:b/>
              </w:rPr>
              <w:t>Hours worked in past week</w:t>
            </w:r>
            <w:r w:rsidRPr="004C6CF5">
              <w:rPr>
                <w:b/>
                <w:vertAlign w:val="superscript"/>
              </w:rPr>
              <w:t xml:space="preserve"> </w:t>
            </w:r>
            <w:r>
              <w:rPr>
                <w:b/>
                <w:color w:val="000000" w:themeColor="text1"/>
                <w:vertAlign w:val="superscript"/>
              </w:rPr>
              <w:t>*</w:t>
            </w:r>
          </w:p>
        </w:tc>
        <w:tc>
          <w:tcPr>
            <w:tcW w:w="677" w:type="pct"/>
            <w:tcBorders>
              <w:top w:val="single" w:sz="4" w:space="0" w:color="000000"/>
              <w:bottom w:val="nil"/>
            </w:tcBorders>
          </w:tcPr>
          <w:p w14:paraId="288E1D60" w14:textId="77777777" w:rsidR="00690E8D" w:rsidRPr="00892C62" w:rsidRDefault="00690E8D" w:rsidP="002E67C4">
            <w:pPr>
              <w:pStyle w:val="TableText"/>
              <w:jc w:val="right"/>
            </w:pPr>
          </w:p>
        </w:tc>
        <w:tc>
          <w:tcPr>
            <w:tcW w:w="738" w:type="pct"/>
            <w:tcBorders>
              <w:top w:val="single" w:sz="4" w:space="0" w:color="000000"/>
              <w:bottom w:val="nil"/>
            </w:tcBorders>
          </w:tcPr>
          <w:p w14:paraId="6F09A27F" w14:textId="77777777" w:rsidR="00690E8D" w:rsidRPr="00892C62" w:rsidRDefault="00690E8D" w:rsidP="002E67C4">
            <w:pPr>
              <w:pStyle w:val="TableText"/>
              <w:jc w:val="right"/>
            </w:pPr>
          </w:p>
        </w:tc>
        <w:tc>
          <w:tcPr>
            <w:tcW w:w="928" w:type="pct"/>
            <w:tcBorders>
              <w:top w:val="single" w:sz="4" w:space="0" w:color="000000"/>
              <w:bottom w:val="nil"/>
            </w:tcBorders>
          </w:tcPr>
          <w:p w14:paraId="5FABCBEF" w14:textId="77777777" w:rsidR="00690E8D" w:rsidRPr="00892C62" w:rsidRDefault="00690E8D" w:rsidP="002E67C4">
            <w:pPr>
              <w:pStyle w:val="TableText"/>
              <w:jc w:val="right"/>
            </w:pPr>
          </w:p>
        </w:tc>
      </w:tr>
      <w:tr w:rsidR="00690E8D" w:rsidRPr="0035143C" w14:paraId="5579648F"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tcBorders>
              <w:top w:val="nil"/>
            </w:tcBorders>
            <w:hideMark/>
          </w:tcPr>
          <w:p w14:paraId="1F8ED0E0" w14:textId="77777777" w:rsidR="00690E8D" w:rsidRPr="00892C62" w:rsidRDefault="00690E8D" w:rsidP="002E67C4">
            <w:pPr>
              <w:pStyle w:val="TableText"/>
            </w:pPr>
            <w:r w:rsidRPr="00892C62">
              <w:t>0</w:t>
            </w:r>
            <w:r>
              <w:t>–</w:t>
            </w:r>
            <w:r w:rsidRPr="00892C62">
              <w:t>20 hours</w:t>
            </w:r>
          </w:p>
        </w:tc>
        <w:tc>
          <w:tcPr>
            <w:tcW w:w="677" w:type="pct"/>
            <w:tcBorders>
              <w:top w:val="nil"/>
            </w:tcBorders>
            <w:hideMark/>
          </w:tcPr>
          <w:p w14:paraId="44EFF2AC" w14:textId="77777777" w:rsidR="00690E8D" w:rsidRPr="00892C62" w:rsidRDefault="00690E8D" w:rsidP="002E67C4">
            <w:pPr>
              <w:pStyle w:val="TableText"/>
              <w:jc w:val="right"/>
            </w:pPr>
            <w:r w:rsidRPr="00892C62">
              <w:t>250</w:t>
            </w:r>
          </w:p>
        </w:tc>
        <w:tc>
          <w:tcPr>
            <w:tcW w:w="738" w:type="pct"/>
            <w:tcBorders>
              <w:top w:val="nil"/>
            </w:tcBorders>
            <w:hideMark/>
          </w:tcPr>
          <w:p w14:paraId="443D8D65" w14:textId="77777777" w:rsidR="00690E8D" w:rsidRPr="00892C62" w:rsidRDefault="00690E8D" w:rsidP="002E67C4">
            <w:pPr>
              <w:pStyle w:val="TableText"/>
              <w:jc w:val="right"/>
            </w:pPr>
            <w:r w:rsidRPr="00892C62">
              <w:t>1652</w:t>
            </w:r>
          </w:p>
        </w:tc>
        <w:tc>
          <w:tcPr>
            <w:tcW w:w="928" w:type="pct"/>
            <w:tcBorders>
              <w:top w:val="nil"/>
            </w:tcBorders>
            <w:hideMark/>
          </w:tcPr>
          <w:p w14:paraId="08663E87" w14:textId="77777777" w:rsidR="00690E8D" w:rsidRPr="00892C62" w:rsidRDefault="00690E8D" w:rsidP="002E67C4">
            <w:pPr>
              <w:pStyle w:val="TableText"/>
              <w:jc w:val="right"/>
            </w:pPr>
            <w:r w:rsidRPr="00892C62">
              <w:t>10.6 (9.1, 12.2)</w:t>
            </w:r>
          </w:p>
        </w:tc>
      </w:tr>
      <w:tr w:rsidR="00690E8D" w:rsidRPr="0035143C" w14:paraId="6AAED536" w14:textId="77777777" w:rsidTr="00040E45">
        <w:trPr>
          <w:cantSplit/>
        </w:trPr>
        <w:tc>
          <w:tcPr>
            <w:tcW w:w="2658" w:type="pct"/>
            <w:hideMark/>
          </w:tcPr>
          <w:p w14:paraId="2D139F89" w14:textId="77777777" w:rsidR="00690E8D" w:rsidRPr="00892C62" w:rsidRDefault="00690E8D" w:rsidP="002E67C4">
            <w:pPr>
              <w:pStyle w:val="TableText"/>
            </w:pPr>
            <w:r w:rsidRPr="00892C62">
              <w:t>21</w:t>
            </w:r>
            <w:r>
              <w:t>–</w:t>
            </w:r>
            <w:r w:rsidRPr="00892C62">
              <w:t>40 hours</w:t>
            </w:r>
          </w:p>
        </w:tc>
        <w:tc>
          <w:tcPr>
            <w:tcW w:w="677" w:type="pct"/>
            <w:hideMark/>
          </w:tcPr>
          <w:p w14:paraId="64DC1F96" w14:textId="77777777" w:rsidR="00690E8D" w:rsidRPr="00892C62" w:rsidRDefault="00690E8D" w:rsidP="002E67C4">
            <w:pPr>
              <w:pStyle w:val="TableText"/>
              <w:jc w:val="right"/>
            </w:pPr>
            <w:r w:rsidRPr="00892C62">
              <w:t>1199</w:t>
            </w:r>
          </w:p>
        </w:tc>
        <w:tc>
          <w:tcPr>
            <w:tcW w:w="738" w:type="pct"/>
            <w:hideMark/>
          </w:tcPr>
          <w:p w14:paraId="6BB4AF02" w14:textId="77777777" w:rsidR="00690E8D" w:rsidRPr="00892C62" w:rsidRDefault="00690E8D" w:rsidP="002E67C4">
            <w:pPr>
              <w:pStyle w:val="TableText"/>
              <w:jc w:val="right"/>
            </w:pPr>
            <w:r w:rsidRPr="00892C62">
              <w:t>7311</w:t>
            </w:r>
          </w:p>
        </w:tc>
        <w:tc>
          <w:tcPr>
            <w:tcW w:w="928" w:type="pct"/>
            <w:hideMark/>
          </w:tcPr>
          <w:p w14:paraId="0DAAC0B0" w14:textId="77777777" w:rsidR="00690E8D" w:rsidRPr="00892C62" w:rsidRDefault="00690E8D" w:rsidP="002E67C4">
            <w:pPr>
              <w:pStyle w:val="TableText"/>
              <w:jc w:val="right"/>
            </w:pPr>
            <w:r w:rsidRPr="00892C62">
              <w:t>46.7 (44.3, 49.1)</w:t>
            </w:r>
          </w:p>
        </w:tc>
      </w:tr>
      <w:tr w:rsidR="00690E8D" w:rsidRPr="0035143C" w14:paraId="6A19CBE4"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50365813" w14:textId="77777777" w:rsidR="00690E8D" w:rsidRPr="00892C62" w:rsidRDefault="00690E8D" w:rsidP="002E67C4">
            <w:pPr>
              <w:pStyle w:val="TableText"/>
            </w:pPr>
            <w:r w:rsidRPr="00892C62">
              <w:t>41</w:t>
            </w:r>
            <w:r>
              <w:t>–</w:t>
            </w:r>
            <w:r w:rsidRPr="00892C62">
              <w:t>60 hours</w:t>
            </w:r>
          </w:p>
        </w:tc>
        <w:tc>
          <w:tcPr>
            <w:tcW w:w="677" w:type="pct"/>
            <w:hideMark/>
          </w:tcPr>
          <w:p w14:paraId="4FDDBA7A" w14:textId="77777777" w:rsidR="00690E8D" w:rsidRPr="00892C62" w:rsidRDefault="00690E8D" w:rsidP="002E67C4">
            <w:pPr>
              <w:pStyle w:val="TableText"/>
              <w:jc w:val="right"/>
            </w:pPr>
            <w:r w:rsidRPr="00892C62">
              <w:t>790</w:t>
            </w:r>
          </w:p>
        </w:tc>
        <w:tc>
          <w:tcPr>
            <w:tcW w:w="738" w:type="pct"/>
            <w:hideMark/>
          </w:tcPr>
          <w:p w14:paraId="0847B18A" w14:textId="77777777" w:rsidR="00690E8D" w:rsidRPr="00892C62" w:rsidRDefault="00690E8D" w:rsidP="002E67C4">
            <w:pPr>
              <w:pStyle w:val="TableText"/>
              <w:jc w:val="right"/>
            </w:pPr>
            <w:r w:rsidRPr="00892C62">
              <w:t>4949</w:t>
            </w:r>
          </w:p>
        </w:tc>
        <w:tc>
          <w:tcPr>
            <w:tcW w:w="928" w:type="pct"/>
            <w:hideMark/>
          </w:tcPr>
          <w:p w14:paraId="4172BF18" w14:textId="77777777" w:rsidR="00690E8D" w:rsidRPr="00892C62" w:rsidRDefault="00690E8D" w:rsidP="002E67C4">
            <w:pPr>
              <w:pStyle w:val="TableText"/>
              <w:jc w:val="right"/>
            </w:pPr>
            <w:r w:rsidRPr="00892C62">
              <w:t>31.6 (29.4, 33.9)</w:t>
            </w:r>
          </w:p>
        </w:tc>
      </w:tr>
      <w:tr w:rsidR="00690E8D" w:rsidRPr="0035143C" w14:paraId="0AC5F777" w14:textId="77777777" w:rsidTr="00040E45">
        <w:trPr>
          <w:cantSplit/>
        </w:trPr>
        <w:tc>
          <w:tcPr>
            <w:tcW w:w="2658" w:type="pct"/>
            <w:hideMark/>
          </w:tcPr>
          <w:p w14:paraId="7AAFD14D" w14:textId="77777777" w:rsidR="00690E8D" w:rsidRPr="00892C62" w:rsidRDefault="00690E8D" w:rsidP="002E67C4">
            <w:pPr>
              <w:pStyle w:val="TableText"/>
            </w:pPr>
            <w:r w:rsidRPr="00892C62">
              <w:t>61</w:t>
            </w:r>
            <w:r>
              <w:t>–</w:t>
            </w:r>
            <w:r w:rsidRPr="00892C62">
              <w:t>80 hours</w:t>
            </w:r>
          </w:p>
        </w:tc>
        <w:tc>
          <w:tcPr>
            <w:tcW w:w="677" w:type="pct"/>
            <w:hideMark/>
          </w:tcPr>
          <w:p w14:paraId="45FD7141" w14:textId="77777777" w:rsidR="00690E8D" w:rsidRPr="00892C62" w:rsidRDefault="00690E8D" w:rsidP="002E67C4">
            <w:pPr>
              <w:pStyle w:val="TableText"/>
              <w:jc w:val="right"/>
            </w:pPr>
            <w:r w:rsidRPr="00892C62">
              <w:t>94</w:t>
            </w:r>
          </w:p>
        </w:tc>
        <w:tc>
          <w:tcPr>
            <w:tcW w:w="738" w:type="pct"/>
            <w:hideMark/>
          </w:tcPr>
          <w:p w14:paraId="26EEB53D" w14:textId="77777777" w:rsidR="00690E8D" w:rsidRPr="00892C62" w:rsidRDefault="00690E8D" w:rsidP="002E67C4">
            <w:pPr>
              <w:pStyle w:val="TableText"/>
              <w:jc w:val="right"/>
            </w:pPr>
            <w:r w:rsidRPr="00892C62">
              <w:t>576</w:t>
            </w:r>
          </w:p>
        </w:tc>
        <w:tc>
          <w:tcPr>
            <w:tcW w:w="928" w:type="pct"/>
            <w:hideMark/>
          </w:tcPr>
          <w:p w14:paraId="2EABAAD8" w14:textId="77777777" w:rsidR="00690E8D" w:rsidRPr="00892C62" w:rsidRDefault="00690E8D" w:rsidP="002E67C4">
            <w:pPr>
              <w:pStyle w:val="TableText"/>
              <w:jc w:val="right"/>
            </w:pPr>
            <w:r w:rsidRPr="00892C62">
              <w:t>3.7 (2.9, 4.7)</w:t>
            </w:r>
          </w:p>
        </w:tc>
      </w:tr>
      <w:tr w:rsidR="00690E8D" w:rsidRPr="0035143C" w14:paraId="2BFAC5B3"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tcBorders>
              <w:bottom w:val="single" w:sz="4" w:space="0" w:color="000000"/>
            </w:tcBorders>
            <w:hideMark/>
          </w:tcPr>
          <w:p w14:paraId="67B33F49" w14:textId="77777777" w:rsidR="00690E8D" w:rsidRPr="00892C62" w:rsidRDefault="00690E8D" w:rsidP="002E67C4">
            <w:pPr>
              <w:pStyle w:val="TableText"/>
            </w:pPr>
            <w:r w:rsidRPr="00892C62">
              <w:t>80 plus hours</w:t>
            </w:r>
          </w:p>
        </w:tc>
        <w:tc>
          <w:tcPr>
            <w:tcW w:w="677" w:type="pct"/>
            <w:tcBorders>
              <w:bottom w:val="single" w:sz="4" w:space="0" w:color="000000"/>
            </w:tcBorders>
            <w:hideMark/>
          </w:tcPr>
          <w:p w14:paraId="628FB00E" w14:textId="77777777" w:rsidR="00690E8D" w:rsidRPr="00892C62" w:rsidRDefault="00690E8D" w:rsidP="002E67C4">
            <w:pPr>
              <w:pStyle w:val="TableText"/>
              <w:jc w:val="right"/>
            </w:pPr>
            <w:r w:rsidRPr="00892C62">
              <w:t>112</w:t>
            </w:r>
          </w:p>
        </w:tc>
        <w:tc>
          <w:tcPr>
            <w:tcW w:w="738" w:type="pct"/>
            <w:tcBorders>
              <w:bottom w:val="single" w:sz="4" w:space="0" w:color="000000"/>
            </w:tcBorders>
            <w:hideMark/>
          </w:tcPr>
          <w:p w14:paraId="3D61EF70" w14:textId="77777777" w:rsidR="00690E8D" w:rsidRPr="00892C62" w:rsidRDefault="00690E8D" w:rsidP="002E67C4">
            <w:pPr>
              <w:pStyle w:val="TableText"/>
              <w:jc w:val="right"/>
            </w:pPr>
            <w:r w:rsidRPr="00892C62">
              <w:t>790</w:t>
            </w:r>
          </w:p>
        </w:tc>
        <w:tc>
          <w:tcPr>
            <w:tcW w:w="928" w:type="pct"/>
            <w:tcBorders>
              <w:bottom w:val="single" w:sz="4" w:space="0" w:color="000000"/>
            </w:tcBorders>
            <w:hideMark/>
          </w:tcPr>
          <w:p w14:paraId="712B7A2B" w14:textId="77777777" w:rsidR="00690E8D" w:rsidRPr="00892C62" w:rsidRDefault="00690E8D" w:rsidP="002E67C4">
            <w:pPr>
              <w:pStyle w:val="TableText"/>
              <w:jc w:val="right"/>
            </w:pPr>
            <w:r w:rsidRPr="00892C62">
              <w:t>5.0 (4.0, 6.3)</w:t>
            </w:r>
          </w:p>
        </w:tc>
      </w:tr>
      <w:tr w:rsidR="00690E8D" w:rsidRPr="0035143C" w14:paraId="7ABB9BDF" w14:textId="77777777" w:rsidTr="00040E45">
        <w:trPr>
          <w:cantSplit/>
        </w:trPr>
        <w:tc>
          <w:tcPr>
            <w:tcW w:w="2658" w:type="pct"/>
            <w:tcBorders>
              <w:top w:val="single" w:sz="4" w:space="0" w:color="000000"/>
              <w:bottom w:val="nil"/>
            </w:tcBorders>
            <w:hideMark/>
          </w:tcPr>
          <w:p w14:paraId="4E7F2417" w14:textId="77777777" w:rsidR="00690E8D" w:rsidRPr="004C6CF5" w:rsidRDefault="00690E8D" w:rsidP="002E67C4">
            <w:pPr>
              <w:pStyle w:val="TableText"/>
              <w:rPr>
                <w:b/>
              </w:rPr>
            </w:pPr>
            <w:r w:rsidRPr="004C6CF5">
              <w:rPr>
                <w:b/>
                <w:color w:val="000000" w:themeColor="text1"/>
              </w:rPr>
              <w:t>Civilian employment industry</w:t>
            </w:r>
            <w:r w:rsidRPr="004C6CF5">
              <w:rPr>
                <w:b/>
                <w:color w:val="000000" w:themeColor="text1"/>
                <w:vertAlign w:val="superscript"/>
              </w:rPr>
              <w:t xml:space="preserve"> </w:t>
            </w:r>
            <w:r>
              <w:rPr>
                <w:b/>
                <w:color w:val="000000" w:themeColor="text1"/>
                <w:vertAlign w:val="superscript"/>
              </w:rPr>
              <w:t>*</w:t>
            </w:r>
          </w:p>
        </w:tc>
        <w:tc>
          <w:tcPr>
            <w:tcW w:w="677" w:type="pct"/>
            <w:tcBorders>
              <w:top w:val="single" w:sz="4" w:space="0" w:color="000000"/>
              <w:bottom w:val="nil"/>
            </w:tcBorders>
          </w:tcPr>
          <w:p w14:paraId="7E986BCE" w14:textId="77777777" w:rsidR="00690E8D" w:rsidRPr="00892C62" w:rsidRDefault="00690E8D" w:rsidP="002E67C4">
            <w:pPr>
              <w:pStyle w:val="TableText"/>
              <w:jc w:val="right"/>
            </w:pPr>
          </w:p>
        </w:tc>
        <w:tc>
          <w:tcPr>
            <w:tcW w:w="738" w:type="pct"/>
            <w:tcBorders>
              <w:top w:val="single" w:sz="4" w:space="0" w:color="000000"/>
              <w:bottom w:val="nil"/>
            </w:tcBorders>
          </w:tcPr>
          <w:p w14:paraId="386CBBCB" w14:textId="77777777" w:rsidR="00690E8D" w:rsidRPr="00892C62" w:rsidRDefault="00690E8D" w:rsidP="002E67C4">
            <w:pPr>
              <w:pStyle w:val="TableText"/>
              <w:jc w:val="right"/>
            </w:pPr>
          </w:p>
        </w:tc>
        <w:tc>
          <w:tcPr>
            <w:tcW w:w="928" w:type="pct"/>
            <w:tcBorders>
              <w:top w:val="single" w:sz="4" w:space="0" w:color="000000"/>
              <w:bottom w:val="nil"/>
            </w:tcBorders>
          </w:tcPr>
          <w:p w14:paraId="3E6D1B43" w14:textId="77777777" w:rsidR="00690E8D" w:rsidRPr="00892C62" w:rsidRDefault="00690E8D" w:rsidP="002E67C4">
            <w:pPr>
              <w:pStyle w:val="TableText"/>
              <w:jc w:val="right"/>
            </w:pPr>
          </w:p>
        </w:tc>
      </w:tr>
      <w:tr w:rsidR="00690E8D" w:rsidRPr="0035143C" w14:paraId="5B0BA6E4"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tcBorders>
              <w:top w:val="nil"/>
            </w:tcBorders>
            <w:hideMark/>
          </w:tcPr>
          <w:p w14:paraId="0A57C59B" w14:textId="77777777" w:rsidR="00690E8D" w:rsidRPr="00892C62" w:rsidRDefault="00690E8D" w:rsidP="002E67C4">
            <w:pPr>
              <w:pStyle w:val="TableText"/>
            </w:pPr>
            <w:r w:rsidRPr="00892C62">
              <w:t>Agriculture, forestry and fishing</w:t>
            </w:r>
          </w:p>
        </w:tc>
        <w:tc>
          <w:tcPr>
            <w:tcW w:w="677" w:type="pct"/>
            <w:tcBorders>
              <w:top w:val="nil"/>
            </w:tcBorders>
            <w:hideMark/>
          </w:tcPr>
          <w:p w14:paraId="64448E11" w14:textId="77777777" w:rsidR="00690E8D" w:rsidRPr="00892C62" w:rsidRDefault="00690E8D" w:rsidP="002E67C4">
            <w:pPr>
              <w:pStyle w:val="TableText"/>
              <w:jc w:val="right"/>
            </w:pPr>
            <w:r w:rsidRPr="00892C62">
              <w:t>53</w:t>
            </w:r>
          </w:p>
        </w:tc>
        <w:tc>
          <w:tcPr>
            <w:tcW w:w="738" w:type="pct"/>
            <w:tcBorders>
              <w:top w:val="nil"/>
            </w:tcBorders>
            <w:hideMark/>
          </w:tcPr>
          <w:p w14:paraId="350B1C4F" w14:textId="77777777" w:rsidR="00690E8D" w:rsidRPr="00892C62" w:rsidRDefault="00690E8D" w:rsidP="002E67C4">
            <w:pPr>
              <w:pStyle w:val="TableText"/>
              <w:jc w:val="right"/>
            </w:pPr>
            <w:r w:rsidRPr="00892C62">
              <w:t>380</w:t>
            </w:r>
          </w:p>
        </w:tc>
        <w:tc>
          <w:tcPr>
            <w:tcW w:w="928" w:type="pct"/>
            <w:tcBorders>
              <w:top w:val="nil"/>
            </w:tcBorders>
            <w:hideMark/>
          </w:tcPr>
          <w:p w14:paraId="0649DF64" w14:textId="77777777" w:rsidR="00690E8D" w:rsidRPr="00892C62" w:rsidRDefault="00690E8D" w:rsidP="002E67C4">
            <w:pPr>
              <w:pStyle w:val="TableText"/>
              <w:jc w:val="right"/>
            </w:pPr>
            <w:r w:rsidRPr="00892C62">
              <w:t>2.4 (1.7, 3.4)</w:t>
            </w:r>
          </w:p>
        </w:tc>
      </w:tr>
      <w:tr w:rsidR="00690E8D" w:rsidRPr="0035143C" w14:paraId="1D003798" w14:textId="77777777" w:rsidTr="00040E45">
        <w:trPr>
          <w:cantSplit/>
        </w:trPr>
        <w:tc>
          <w:tcPr>
            <w:tcW w:w="2658" w:type="pct"/>
            <w:hideMark/>
          </w:tcPr>
          <w:p w14:paraId="690E4F12" w14:textId="77777777" w:rsidR="00690E8D" w:rsidRPr="00892C62" w:rsidRDefault="00690E8D" w:rsidP="002E67C4">
            <w:pPr>
              <w:pStyle w:val="TableText"/>
            </w:pPr>
            <w:r w:rsidRPr="00892C62">
              <w:t>Mining</w:t>
            </w:r>
          </w:p>
        </w:tc>
        <w:tc>
          <w:tcPr>
            <w:tcW w:w="677" w:type="pct"/>
            <w:hideMark/>
          </w:tcPr>
          <w:p w14:paraId="64FC4200" w14:textId="77777777" w:rsidR="00690E8D" w:rsidRPr="00892C62" w:rsidRDefault="00690E8D" w:rsidP="002E67C4">
            <w:pPr>
              <w:pStyle w:val="TableText"/>
              <w:jc w:val="right"/>
            </w:pPr>
            <w:r w:rsidRPr="00892C62">
              <w:t>221</w:t>
            </w:r>
          </w:p>
        </w:tc>
        <w:tc>
          <w:tcPr>
            <w:tcW w:w="738" w:type="pct"/>
            <w:hideMark/>
          </w:tcPr>
          <w:p w14:paraId="3C7CD962" w14:textId="77777777" w:rsidR="00690E8D" w:rsidRPr="00892C62" w:rsidRDefault="00690E8D" w:rsidP="002E67C4">
            <w:pPr>
              <w:pStyle w:val="TableText"/>
              <w:jc w:val="right"/>
            </w:pPr>
            <w:r w:rsidRPr="00892C62">
              <w:t>1557</w:t>
            </w:r>
          </w:p>
        </w:tc>
        <w:tc>
          <w:tcPr>
            <w:tcW w:w="928" w:type="pct"/>
            <w:hideMark/>
          </w:tcPr>
          <w:p w14:paraId="1CAC6736" w14:textId="77777777" w:rsidR="00690E8D" w:rsidRPr="00892C62" w:rsidRDefault="00690E8D" w:rsidP="002E67C4">
            <w:pPr>
              <w:pStyle w:val="TableText"/>
              <w:jc w:val="right"/>
            </w:pPr>
            <w:r w:rsidRPr="00892C62">
              <w:t>9.9 (8.5, 11.6)</w:t>
            </w:r>
          </w:p>
        </w:tc>
      </w:tr>
      <w:tr w:rsidR="00690E8D" w:rsidRPr="0035143C" w14:paraId="6294E35A"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2C6185CE" w14:textId="77777777" w:rsidR="00690E8D" w:rsidRPr="00892C62" w:rsidRDefault="00690E8D" w:rsidP="002E67C4">
            <w:pPr>
              <w:pStyle w:val="TableText"/>
            </w:pPr>
            <w:r w:rsidRPr="00892C62">
              <w:t>Manufacturing</w:t>
            </w:r>
          </w:p>
        </w:tc>
        <w:tc>
          <w:tcPr>
            <w:tcW w:w="677" w:type="pct"/>
            <w:hideMark/>
          </w:tcPr>
          <w:p w14:paraId="34570388" w14:textId="77777777" w:rsidR="00690E8D" w:rsidRPr="00892C62" w:rsidRDefault="00690E8D" w:rsidP="002E67C4">
            <w:pPr>
              <w:pStyle w:val="TableText"/>
              <w:jc w:val="right"/>
            </w:pPr>
            <w:r w:rsidRPr="00892C62">
              <w:t>92</w:t>
            </w:r>
          </w:p>
        </w:tc>
        <w:tc>
          <w:tcPr>
            <w:tcW w:w="738" w:type="pct"/>
            <w:hideMark/>
          </w:tcPr>
          <w:p w14:paraId="092F4E21" w14:textId="77777777" w:rsidR="00690E8D" w:rsidRPr="00892C62" w:rsidRDefault="00690E8D" w:rsidP="002E67C4">
            <w:pPr>
              <w:pStyle w:val="TableText"/>
              <w:jc w:val="right"/>
            </w:pPr>
            <w:r w:rsidRPr="00892C62">
              <w:t>751</w:t>
            </w:r>
          </w:p>
        </w:tc>
        <w:tc>
          <w:tcPr>
            <w:tcW w:w="928" w:type="pct"/>
            <w:hideMark/>
          </w:tcPr>
          <w:p w14:paraId="76D4F3AB" w14:textId="77777777" w:rsidR="00690E8D" w:rsidRPr="00892C62" w:rsidRDefault="00690E8D" w:rsidP="002E67C4">
            <w:pPr>
              <w:pStyle w:val="TableText"/>
              <w:jc w:val="right"/>
            </w:pPr>
            <w:r w:rsidRPr="00892C62">
              <w:t>4.8 (3.8, 6.1)</w:t>
            </w:r>
          </w:p>
        </w:tc>
      </w:tr>
      <w:tr w:rsidR="00690E8D" w:rsidRPr="0035143C" w14:paraId="5896E58A" w14:textId="77777777" w:rsidTr="00040E45">
        <w:trPr>
          <w:cantSplit/>
        </w:trPr>
        <w:tc>
          <w:tcPr>
            <w:tcW w:w="2658" w:type="pct"/>
            <w:hideMark/>
          </w:tcPr>
          <w:p w14:paraId="04E2D3D5" w14:textId="77777777" w:rsidR="00690E8D" w:rsidRPr="00892C62" w:rsidRDefault="00690E8D" w:rsidP="002E67C4">
            <w:pPr>
              <w:pStyle w:val="TableText"/>
            </w:pPr>
            <w:r w:rsidRPr="00892C62">
              <w:t>Electricity, gas and water supply</w:t>
            </w:r>
          </w:p>
        </w:tc>
        <w:tc>
          <w:tcPr>
            <w:tcW w:w="677" w:type="pct"/>
            <w:hideMark/>
          </w:tcPr>
          <w:p w14:paraId="0CE54795" w14:textId="77777777" w:rsidR="00690E8D" w:rsidRPr="00892C62" w:rsidRDefault="00690E8D" w:rsidP="002E67C4">
            <w:pPr>
              <w:pStyle w:val="TableText"/>
              <w:jc w:val="right"/>
            </w:pPr>
            <w:r w:rsidRPr="00892C62">
              <w:t>71</w:t>
            </w:r>
          </w:p>
        </w:tc>
        <w:tc>
          <w:tcPr>
            <w:tcW w:w="738" w:type="pct"/>
            <w:hideMark/>
          </w:tcPr>
          <w:p w14:paraId="52F7D141" w14:textId="77777777" w:rsidR="00690E8D" w:rsidRPr="00892C62" w:rsidRDefault="00690E8D" w:rsidP="002E67C4">
            <w:pPr>
              <w:pStyle w:val="TableText"/>
              <w:jc w:val="right"/>
            </w:pPr>
            <w:r w:rsidRPr="00892C62">
              <w:t>504</w:t>
            </w:r>
          </w:p>
        </w:tc>
        <w:tc>
          <w:tcPr>
            <w:tcW w:w="928" w:type="pct"/>
            <w:hideMark/>
          </w:tcPr>
          <w:p w14:paraId="08239850" w14:textId="77777777" w:rsidR="00690E8D" w:rsidRPr="00892C62" w:rsidRDefault="00690E8D" w:rsidP="002E67C4">
            <w:pPr>
              <w:pStyle w:val="TableText"/>
              <w:jc w:val="right"/>
            </w:pPr>
            <w:r w:rsidRPr="00892C62">
              <w:t>3.2 (2.4, 4.2)</w:t>
            </w:r>
          </w:p>
        </w:tc>
      </w:tr>
      <w:tr w:rsidR="00690E8D" w:rsidRPr="0035143C" w14:paraId="7BA82080"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2FF0CCFB" w14:textId="77777777" w:rsidR="00690E8D" w:rsidRPr="00892C62" w:rsidRDefault="00690E8D" w:rsidP="002E67C4">
            <w:pPr>
              <w:pStyle w:val="TableText"/>
            </w:pPr>
            <w:r w:rsidRPr="00892C62">
              <w:t>Construction</w:t>
            </w:r>
          </w:p>
        </w:tc>
        <w:tc>
          <w:tcPr>
            <w:tcW w:w="677" w:type="pct"/>
            <w:hideMark/>
          </w:tcPr>
          <w:p w14:paraId="43F47799" w14:textId="77777777" w:rsidR="00690E8D" w:rsidRPr="00892C62" w:rsidRDefault="00690E8D" w:rsidP="002E67C4">
            <w:pPr>
              <w:pStyle w:val="TableText"/>
              <w:jc w:val="right"/>
            </w:pPr>
            <w:r w:rsidRPr="00892C62">
              <w:t>162</w:t>
            </w:r>
          </w:p>
        </w:tc>
        <w:tc>
          <w:tcPr>
            <w:tcW w:w="738" w:type="pct"/>
            <w:hideMark/>
          </w:tcPr>
          <w:p w14:paraId="149D0E30" w14:textId="77777777" w:rsidR="00690E8D" w:rsidRPr="00892C62" w:rsidRDefault="00690E8D" w:rsidP="002E67C4">
            <w:pPr>
              <w:pStyle w:val="TableText"/>
              <w:jc w:val="right"/>
            </w:pPr>
            <w:r w:rsidRPr="00892C62">
              <w:t>1375</w:t>
            </w:r>
          </w:p>
        </w:tc>
        <w:tc>
          <w:tcPr>
            <w:tcW w:w="928" w:type="pct"/>
            <w:hideMark/>
          </w:tcPr>
          <w:p w14:paraId="6836069A" w14:textId="77777777" w:rsidR="00690E8D" w:rsidRPr="00892C62" w:rsidRDefault="00690E8D" w:rsidP="002E67C4">
            <w:pPr>
              <w:pStyle w:val="TableText"/>
              <w:jc w:val="right"/>
            </w:pPr>
            <w:r w:rsidRPr="00892C62">
              <w:t>8.8 (7.4, 10.4)</w:t>
            </w:r>
          </w:p>
        </w:tc>
      </w:tr>
      <w:tr w:rsidR="00690E8D" w:rsidRPr="0035143C" w14:paraId="7AC07B48" w14:textId="77777777" w:rsidTr="00040E45">
        <w:trPr>
          <w:cantSplit/>
        </w:trPr>
        <w:tc>
          <w:tcPr>
            <w:tcW w:w="2658" w:type="pct"/>
            <w:hideMark/>
          </w:tcPr>
          <w:p w14:paraId="7BF3D78A" w14:textId="77777777" w:rsidR="00690E8D" w:rsidRPr="00892C62" w:rsidRDefault="00690E8D" w:rsidP="002E67C4">
            <w:pPr>
              <w:pStyle w:val="TableText"/>
            </w:pPr>
            <w:r w:rsidRPr="00892C62">
              <w:t>Wholesale trade</w:t>
            </w:r>
          </w:p>
        </w:tc>
        <w:tc>
          <w:tcPr>
            <w:tcW w:w="677" w:type="pct"/>
            <w:hideMark/>
          </w:tcPr>
          <w:p w14:paraId="54A0D1E0" w14:textId="77777777" w:rsidR="00690E8D" w:rsidRPr="00892C62" w:rsidRDefault="00690E8D" w:rsidP="002E67C4">
            <w:pPr>
              <w:pStyle w:val="TableText"/>
              <w:jc w:val="right"/>
            </w:pPr>
            <w:r w:rsidRPr="00892C62">
              <w:t>23</w:t>
            </w:r>
          </w:p>
        </w:tc>
        <w:tc>
          <w:tcPr>
            <w:tcW w:w="738" w:type="pct"/>
            <w:hideMark/>
          </w:tcPr>
          <w:p w14:paraId="38A06B3F" w14:textId="77777777" w:rsidR="00690E8D" w:rsidRPr="00892C62" w:rsidRDefault="00690E8D" w:rsidP="002E67C4">
            <w:pPr>
              <w:pStyle w:val="TableText"/>
              <w:jc w:val="right"/>
            </w:pPr>
            <w:r w:rsidRPr="00892C62">
              <w:t>188</w:t>
            </w:r>
          </w:p>
        </w:tc>
        <w:tc>
          <w:tcPr>
            <w:tcW w:w="928" w:type="pct"/>
            <w:hideMark/>
          </w:tcPr>
          <w:p w14:paraId="7D3F26CD" w14:textId="77777777" w:rsidR="00690E8D" w:rsidRPr="00892C62" w:rsidRDefault="00690E8D" w:rsidP="002E67C4">
            <w:pPr>
              <w:pStyle w:val="TableText"/>
              <w:jc w:val="right"/>
            </w:pPr>
            <w:r w:rsidRPr="00892C62">
              <w:t>1.2 (0.8, 1.9)</w:t>
            </w:r>
          </w:p>
        </w:tc>
      </w:tr>
      <w:tr w:rsidR="00690E8D" w:rsidRPr="0035143C" w14:paraId="684B1CF5"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45468041" w14:textId="77777777" w:rsidR="00690E8D" w:rsidRPr="00892C62" w:rsidRDefault="00690E8D" w:rsidP="002E67C4">
            <w:pPr>
              <w:pStyle w:val="TableText"/>
            </w:pPr>
            <w:r w:rsidRPr="00892C62">
              <w:t>Retail trade</w:t>
            </w:r>
          </w:p>
        </w:tc>
        <w:tc>
          <w:tcPr>
            <w:tcW w:w="677" w:type="pct"/>
            <w:hideMark/>
          </w:tcPr>
          <w:p w14:paraId="3CB30445" w14:textId="77777777" w:rsidR="00690E8D" w:rsidRPr="00892C62" w:rsidRDefault="00690E8D" w:rsidP="002E67C4">
            <w:pPr>
              <w:pStyle w:val="TableText"/>
              <w:jc w:val="right"/>
            </w:pPr>
            <w:r w:rsidRPr="00892C62">
              <w:t>116</w:t>
            </w:r>
          </w:p>
        </w:tc>
        <w:tc>
          <w:tcPr>
            <w:tcW w:w="738" w:type="pct"/>
            <w:hideMark/>
          </w:tcPr>
          <w:p w14:paraId="3AB7AFEC" w14:textId="77777777" w:rsidR="00690E8D" w:rsidRPr="00892C62" w:rsidRDefault="00690E8D" w:rsidP="002E67C4">
            <w:pPr>
              <w:pStyle w:val="TableText"/>
              <w:jc w:val="right"/>
            </w:pPr>
            <w:r w:rsidRPr="00892C62">
              <w:t>1058</w:t>
            </w:r>
          </w:p>
        </w:tc>
        <w:tc>
          <w:tcPr>
            <w:tcW w:w="928" w:type="pct"/>
            <w:hideMark/>
          </w:tcPr>
          <w:p w14:paraId="33E4B6F1" w14:textId="77777777" w:rsidR="00690E8D" w:rsidRPr="00892C62" w:rsidRDefault="00690E8D" w:rsidP="002E67C4">
            <w:pPr>
              <w:pStyle w:val="TableText"/>
              <w:jc w:val="right"/>
            </w:pPr>
            <w:r w:rsidRPr="00892C62">
              <w:t>6.8 (5.5, 8.3)</w:t>
            </w:r>
          </w:p>
        </w:tc>
      </w:tr>
      <w:tr w:rsidR="00690E8D" w:rsidRPr="0035143C" w14:paraId="0CE49823" w14:textId="77777777" w:rsidTr="00040E45">
        <w:trPr>
          <w:cantSplit/>
        </w:trPr>
        <w:tc>
          <w:tcPr>
            <w:tcW w:w="2658" w:type="pct"/>
            <w:hideMark/>
          </w:tcPr>
          <w:p w14:paraId="24A2C1F1" w14:textId="77777777" w:rsidR="00690E8D" w:rsidRPr="00892C62" w:rsidRDefault="00690E8D" w:rsidP="002E67C4">
            <w:pPr>
              <w:pStyle w:val="TableText"/>
            </w:pPr>
            <w:r w:rsidRPr="00892C62">
              <w:t>Accommodation, cafes and restaurants</w:t>
            </w:r>
          </w:p>
        </w:tc>
        <w:tc>
          <w:tcPr>
            <w:tcW w:w="677" w:type="pct"/>
            <w:hideMark/>
          </w:tcPr>
          <w:p w14:paraId="12F6F359" w14:textId="77777777" w:rsidR="00690E8D" w:rsidRPr="00892C62" w:rsidRDefault="00690E8D" w:rsidP="002E67C4">
            <w:pPr>
              <w:pStyle w:val="TableText"/>
              <w:jc w:val="right"/>
            </w:pPr>
            <w:r w:rsidRPr="00892C62">
              <w:t>54</w:t>
            </w:r>
          </w:p>
        </w:tc>
        <w:tc>
          <w:tcPr>
            <w:tcW w:w="738" w:type="pct"/>
            <w:hideMark/>
          </w:tcPr>
          <w:p w14:paraId="26E26B09" w14:textId="77777777" w:rsidR="00690E8D" w:rsidRPr="00892C62" w:rsidRDefault="00690E8D" w:rsidP="002E67C4">
            <w:pPr>
              <w:pStyle w:val="TableText"/>
              <w:jc w:val="right"/>
            </w:pPr>
            <w:r w:rsidRPr="00892C62">
              <w:t>420</w:t>
            </w:r>
          </w:p>
        </w:tc>
        <w:tc>
          <w:tcPr>
            <w:tcW w:w="928" w:type="pct"/>
            <w:hideMark/>
          </w:tcPr>
          <w:p w14:paraId="5730F99B" w14:textId="77777777" w:rsidR="00690E8D" w:rsidRPr="00892C62" w:rsidRDefault="00690E8D" w:rsidP="002E67C4">
            <w:pPr>
              <w:pStyle w:val="TableText"/>
              <w:jc w:val="right"/>
            </w:pPr>
            <w:r w:rsidRPr="00892C62">
              <w:t>2.7 (1.9,</w:t>
            </w:r>
            <w:r>
              <w:t xml:space="preserve"> </w:t>
            </w:r>
            <w:r w:rsidRPr="00892C62">
              <w:t>3.7)</w:t>
            </w:r>
          </w:p>
        </w:tc>
      </w:tr>
      <w:tr w:rsidR="00690E8D" w:rsidRPr="0035143C" w14:paraId="0F5F1A7A"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38AD2E9D" w14:textId="77777777" w:rsidR="00690E8D" w:rsidRPr="00892C62" w:rsidRDefault="00690E8D" w:rsidP="002E67C4">
            <w:pPr>
              <w:pStyle w:val="TableText"/>
            </w:pPr>
            <w:r w:rsidRPr="00892C62">
              <w:t>Transport and storage</w:t>
            </w:r>
          </w:p>
        </w:tc>
        <w:tc>
          <w:tcPr>
            <w:tcW w:w="677" w:type="pct"/>
            <w:hideMark/>
          </w:tcPr>
          <w:p w14:paraId="66E203D7" w14:textId="77777777" w:rsidR="00690E8D" w:rsidRPr="00892C62" w:rsidRDefault="00690E8D" w:rsidP="002E67C4">
            <w:pPr>
              <w:pStyle w:val="TableText"/>
              <w:jc w:val="right"/>
            </w:pPr>
            <w:r w:rsidRPr="00892C62">
              <w:t>230</w:t>
            </w:r>
          </w:p>
        </w:tc>
        <w:tc>
          <w:tcPr>
            <w:tcW w:w="738" w:type="pct"/>
            <w:hideMark/>
          </w:tcPr>
          <w:p w14:paraId="07BA41E6" w14:textId="77777777" w:rsidR="00690E8D" w:rsidRPr="00892C62" w:rsidRDefault="00690E8D" w:rsidP="002E67C4">
            <w:pPr>
              <w:pStyle w:val="TableText"/>
              <w:jc w:val="right"/>
            </w:pPr>
            <w:r w:rsidRPr="00892C62">
              <w:t>1340</w:t>
            </w:r>
          </w:p>
        </w:tc>
        <w:tc>
          <w:tcPr>
            <w:tcW w:w="928" w:type="pct"/>
            <w:hideMark/>
          </w:tcPr>
          <w:p w14:paraId="0F7ED286" w14:textId="77777777" w:rsidR="00690E8D" w:rsidRPr="00892C62" w:rsidRDefault="00690E8D" w:rsidP="002E67C4">
            <w:pPr>
              <w:pStyle w:val="TableText"/>
              <w:jc w:val="right"/>
            </w:pPr>
            <w:r w:rsidRPr="00892C62">
              <w:t>8.6 (7.3, 9.9)</w:t>
            </w:r>
          </w:p>
        </w:tc>
      </w:tr>
      <w:tr w:rsidR="00690E8D" w:rsidRPr="0035143C" w14:paraId="4D3C26A6" w14:textId="77777777" w:rsidTr="00040E45">
        <w:trPr>
          <w:cantSplit/>
        </w:trPr>
        <w:tc>
          <w:tcPr>
            <w:tcW w:w="2658" w:type="pct"/>
            <w:hideMark/>
          </w:tcPr>
          <w:p w14:paraId="4E876BD9" w14:textId="77777777" w:rsidR="00690E8D" w:rsidRPr="00892C62" w:rsidRDefault="00690E8D" w:rsidP="002E67C4">
            <w:pPr>
              <w:pStyle w:val="TableText"/>
            </w:pPr>
            <w:r w:rsidRPr="00892C62">
              <w:t>Communication services</w:t>
            </w:r>
          </w:p>
        </w:tc>
        <w:tc>
          <w:tcPr>
            <w:tcW w:w="677" w:type="pct"/>
            <w:hideMark/>
          </w:tcPr>
          <w:p w14:paraId="3C414025" w14:textId="77777777" w:rsidR="00690E8D" w:rsidRPr="00892C62" w:rsidRDefault="00690E8D" w:rsidP="002E67C4">
            <w:pPr>
              <w:pStyle w:val="TableText"/>
              <w:jc w:val="right"/>
            </w:pPr>
            <w:r w:rsidRPr="00892C62">
              <w:t>96</w:t>
            </w:r>
          </w:p>
        </w:tc>
        <w:tc>
          <w:tcPr>
            <w:tcW w:w="738" w:type="pct"/>
            <w:hideMark/>
          </w:tcPr>
          <w:p w14:paraId="2E469CE4" w14:textId="77777777" w:rsidR="00690E8D" w:rsidRPr="00892C62" w:rsidRDefault="00690E8D" w:rsidP="002E67C4">
            <w:pPr>
              <w:pStyle w:val="TableText"/>
              <w:jc w:val="right"/>
            </w:pPr>
            <w:r w:rsidRPr="00892C62">
              <w:t>666</w:t>
            </w:r>
          </w:p>
        </w:tc>
        <w:tc>
          <w:tcPr>
            <w:tcW w:w="928" w:type="pct"/>
            <w:hideMark/>
          </w:tcPr>
          <w:p w14:paraId="65FD9B50" w14:textId="77777777" w:rsidR="00690E8D" w:rsidRPr="00892C62" w:rsidRDefault="00690E8D" w:rsidP="002E67C4">
            <w:pPr>
              <w:pStyle w:val="TableText"/>
              <w:jc w:val="right"/>
            </w:pPr>
            <w:r w:rsidRPr="00892C62">
              <w:t>4.3 (3.4,5.4)</w:t>
            </w:r>
          </w:p>
        </w:tc>
      </w:tr>
      <w:tr w:rsidR="00690E8D" w:rsidRPr="0035143C" w14:paraId="47E70CAA"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17A39F4D" w14:textId="77777777" w:rsidR="00690E8D" w:rsidRPr="00892C62" w:rsidRDefault="00690E8D" w:rsidP="002E67C4">
            <w:pPr>
              <w:pStyle w:val="TableText"/>
            </w:pPr>
            <w:r w:rsidRPr="00892C62">
              <w:t>Finance and insurance</w:t>
            </w:r>
          </w:p>
        </w:tc>
        <w:tc>
          <w:tcPr>
            <w:tcW w:w="677" w:type="pct"/>
            <w:hideMark/>
          </w:tcPr>
          <w:p w14:paraId="7B22FD26" w14:textId="77777777" w:rsidR="00690E8D" w:rsidRPr="00892C62" w:rsidRDefault="00690E8D" w:rsidP="002E67C4">
            <w:pPr>
              <w:pStyle w:val="TableText"/>
              <w:jc w:val="right"/>
            </w:pPr>
            <w:r w:rsidRPr="00892C62">
              <w:t>35</w:t>
            </w:r>
          </w:p>
        </w:tc>
        <w:tc>
          <w:tcPr>
            <w:tcW w:w="738" w:type="pct"/>
            <w:hideMark/>
          </w:tcPr>
          <w:p w14:paraId="08569325" w14:textId="77777777" w:rsidR="00690E8D" w:rsidRPr="00892C62" w:rsidRDefault="00690E8D" w:rsidP="002E67C4">
            <w:pPr>
              <w:pStyle w:val="TableText"/>
              <w:jc w:val="right"/>
            </w:pPr>
            <w:r w:rsidRPr="00892C62">
              <w:t>216</w:t>
            </w:r>
          </w:p>
        </w:tc>
        <w:tc>
          <w:tcPr>
            <w:tcW w:w="928" w:type="pct"/>
            <w:hideMark/>
          </w:tcPr>
          <w:p w14:paraId="7C579B20" w14:textId="77777777" w:rsidR="00690E8D" w:rsidRPr="00892C62" w:rsidRDefault="00690E8D" w:rsidP="002E67C4">
            <w:pPr>
              <w:pStyle w:val="TableText"/>
              <w:jc w:val="right"/>
            </w:pPr>
            <w:r w:rsidRPr="00892C62">
              <w:t>1.4 (0.9, 2.1)</w:t>
            </w:r>
          </w:p>
        </w:tc>
      </w:tr>
      <w:tr w:rsidR="00690E8D" w:rsidRPr="0035143C" w14:paraId="4FDDC4B1" w14:textId="77777777" w:rsidTr="00040E45">
        <w:trPr>
          <w:cantSplit/>
        </w:trPr>
        <w:tc>
          <w:tcPr>
            <w:tcW w:w="2658" w:type="pct"/>
            <w:hideMark/>
          </w:tcPr>
          <w:p w14:paraId="05DDC149" w14:textId="77777777" w:rsidR="00690E8D" w:rsidRPr="00892C62" w:rsidRDefault="00690E8D" w:rsidP="002E67C4">
            <w:pPr>
              <w:pStyle w:val="TableText"/>
            </w:pPr>
            <w:r w:rsidRPr="00892C62">
              <w:t>Property and business services</w:t>
            </w:r>
          </w:p>
        </w:tc>
        <w:tc>
          <w:tcPr>
            <w:tcW w:w="677" w:type="pct"/>
            <w:hideMark/>
          </w:tcPr>
          <w:p w14:paraId="274CB3BC" w14:textId="77777777" w:rsidR="00690E8D" w:rsidRPr="00892C62" w:rsidRDefault="00690E8D" w:rsidP="002E67C4">
            <w:pPr>
              <w:pStyle w:val="TableText"/>
              <w:jc w:val="right"/>
            </w:pPr>
            <w:r w:rsidRPr="00892C62">
              <w:t>63</w:t>
            </w:r>
          </w:p>
        </w:tc>
        <w:tc>
          <w:tcPr>
            <w:tcW w:w="738" w:type="pct"/>
            <w:hideMark/>
          </w:tcPr>
          <w:p w14:paraId="4497FF33" w14:textId="77777777" w:rsidR="00690E8D" w:rsidRPr="00892C62" w:rsidRDefault="00690E8D" w:rsidP="002E67C4">
            <w:pPr>
              <w:pStyle w:val="TableText"/>
              <w:jc w:val="right"/>
            </w:pPr>
            <w:r w:rsidRPr="00892C62">
              <w:t>407</w:t>
            </w:r>
          </w:p>
        </w:tc>
        <w:tc>
          <w:tcPr>
            <w:tcW w:w="928" w:type="pct"/>
            <w:hideMark/>
          </w:tcPr>
          <w:p w14:paraId="16262172" w14:textId="77777777" w:rsidR="00690E8D" w:rsidRPr="00892C62" w:rsidRDefault="00690E8D" w:rsidP="002E67C4">
            <w:pPr>
              <w:pStyle w:val="TableText"/>
              <w:jc w:val="right"/>
            </w:pPr>
            <w:r w:rsidRPr="00892C62">
              <w:t>2.6 (1.9, 3.5)</w:t>
            </w:r>
          </w:p>
        </w:tc>
      </w:tr>
      <w:tr w:rsidR="00690E8D" w:rsidRPr="0035143C" w14:paraId="09936A95"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09CF8F93" w14:textId="77777777" w:rsidR="00690E8D" w:rsidRPr="00892C62" w:rsidRDefault="00690E8D" w:rsidP="002E67C4">
            <w:pPr>
              <w:pStyle w:val="TableText"/>
            </w:pPr>
            <w:r w:rsidRPr="00892C62">
              <w:t>Government administration and Defence</w:t>
            </w:r>
          </w:p>
        </w:tc>
        <w:tc>
          <w:tcPr>
            <w:tcW w:w="677" w:type="pct"/>
            <w:hideMark/>
          </w:tcPr>
          <w:p w14:paraId="7AC3A2A3" w14:textId="77777777" w:rsidR="00690E8D" w:rsidRPr="00892C62" w:rsidRDefault="00690E8D" w:rsidP="002E67C4">
            <w:pPr>
              <w:pStyle w:val="TableText"/>
              <w:jc w:val="right"/>
            </w:pPr>
            <w:r w:rsidRPr="00892C62">
              <w:t>589</w:t>
            </w:r>
          </w:p>
        </w:tc>
        <w:tc>
          <w:tcPr>
            <w:tcW w:w="738" w:type="pct"/>
            <w:hideMark/>
          </w:tcPr>
          <w:p w14:paraId="3E4335CF" w14:textId="77777777" w:rsidR="00690E8D" w:rsidRPr="00892C62" w:rsidRDefault="00690E8D" w:rsidP="002E67C4">
            <w:pPr>
              <w:pStyle w:val="TableText"/>
              <w:jc w:val="right"/>
            </w:pPr>
            <w:r w:rsidRPr="00892C62">
              <w:t>2637</w:t>
            </w:r>
          </w:p>
        </w:tc>
        <w:tc>
          <w:tcPr>
            <w:tcW w:w="928" w:type="pct"/>
            <w:hideMark/>
          </w:tcPr>
          <w:p w14:paraId="337423F0" w14:textId="77777777" w:rsidR="00690E8D" w:rsidRPr="00892C62" w:rsidRDefault="00690E8D" w:rsidP="002E67C4">
            <w:pPr>
              <w:pStyle w:val="TableText"/>
              <w:jc w:val="right"/>
            </w:pPr>
            <w:r w:rsidRPr="00892C62">
              <w:t>16.8 (15.4, 18.4)</w:t>
            </w:r>
          </w:p>
        </w:tc>
      </w:tr>
      <w:tr w:rsidR="00690E8D" w:rsidRPr="0035143C" w14:paraId="299B5141" w14:textId="77777777" w:rsidTr="00040E45">
        <w:trPr>
          <w:cantSplit/>
        </w:trPr>
        <w:tc>
          <w:tcPr>
            <w:tcW w:w="2658" w:type="pct"/>
            <w:hideMark/>
          </w:tcPr>
          <w:p w14:paraId="776C9909" w14:textId="77777777" w:rsidR="00690E8D" w:rsidRPr="00892C62" w:rsidRDefault="00690E8D" w:rsidP="002E67C4">
            <w:pPr>
              <w:pStyle w:val="TableText"/>
            </w:pPr>
            <w:r w:rsidRPr="00892C62">
              <w:t>Education</w:t>
            </w:r>
          </w:p>
        </w:tc>
        <w:tc>
          <w:tcPr>
            <w:tcW w:w="677" w:type="pct"/>
            <w:hideMark/>
          </w:tcPr>
          <w:p w14:paraId="1C37F658" w14:textId="77777777" w:rsidR="00690E8D" w:rsidRPr="00892C62" w:rsidRDefault="00690E8D" w:rsidP="002E67C4">
            <w:pPr>
              <w:pStyle w:val="TableText"/>
              <w:jc w:val="right"/>
            </w:pPr>
            <w:r w:rsidRPr="00892C62">
              <w:t>119</w:t>
            </w:r>
          </w:p>
        </w:tc>
        <w:tc>
          <w:tcPr>
            <w:tcW w:w="738" w:type="pct"/>
            <w:hideMark/>
          </w:tcPr>
          <w:p w14:paraId="29F23C0D" w14:textId="77777777" w:rsidR="00690E8D" w:rsidRPr="00892C62" w:rsidRDefault="00690E8D" w:rsidP="002E67C4">
            <w:pPr>
              <w:pStyle w:val="TableText"/>
              <w:jc w:val="right"/>
            </w:pPr>
            <w:r w:rsidRPr="00892C62">
              <w:t>598</w:t>
            </w:r>
          </w:p>
        </w:tc>
        <w:tc>
          <w:tcPr>
            <w:tcW w:w="928" w:type="pct"/>
            <w:hideMark/>
          </w:tcPr>
          <w:p w14:paraId="4CF68D66" w14:textId="77777777" w:rsidR="00690E8D" w:rsidRPr="00892C62" w:rsidRDefault="00690E8D" w:rsidP="002E67C4">
            <w:pPr>
              <w:pStyle w:val="TableText"/>
              <w:jc w:val="right"/>
            </w:pPr>
            <w:r w:rsidRPr="00892C62">
              <w:t>3.8 (3.1, 4.8)</w:t>
            </w:r>
          </w:p>
        </w:tc>
      </w:tr>
      <w:tr w:rsidR="00690E8D" w:rsidRPr="0035143C" w14:paraId="6B99174B"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4689043A" w14:textId="77777777" w:rsidR="00690E8D" w:rsidRPr="00892C62" w:rsidRDefault="00690E8D" w:rsidP="002E67C4">
            <w:pPr>
              <w:pStyle w:val="TableText"/>
            </w:pPr>
            <w:r w:rsidRPr="00892C62">
              <w:t>Health and community services</w:t>
            </w:r>
          </w:p>
        </w:tc>
        <w:tc>
          <w:tcPr>
            <w:tcW w:w="677" w:type="pct"/>
            <w:hideMark/>
          </w:tcPr>
          <w:p w14:paraId="11740834" w14:textId="77777777" w:rsidR="00690E8D" w:rsidRPr="00892C62" w:rsidRDefault="00690E8D" w:rsidP="002E67C4">
            <w:pPr>
              <w:pStyle w:val="TableText"/>
              <w:jc w:val="right"/>
            </w:pPr>
            <w:r w:rsidRPr="00892C62">
              <w:t>226</w:t>
            </w:r>
          </w:p>
        </w:tc>
        <w:tc>
          <w:tcPr>
            <w:tcW w:w="738" w:type="pct"/>
            <w:hideMark/>
          </w:tcPr>
          <w:p w14:paraId="2B6B7248" w14:textId="77777777" w:rsidR="00690E8D" w:rsidRPr="00892C62" w:rsidRDefault="00690E8D" w:rsidP="002E67C4">
            <w:pPr>
              <w:pStyle w:val="TableText"/>
              <w:jc w:val="right"/>
            </w:pPr>
            <w:r w:rsidRPr="00892C62">
              <w:t>1210</w:t>
            </w:r>
          </w:p>
        </w:tc>
        <w:tc>
          <w:tcPr>
            <w:tcW w:w="928" w:type="pct"/>
            <w:hideMark/>
          </w:tcPr>
          <w:p w14:paraId="540C0142" w14:textId="77777777" w:rsidR="00690E8D" w:rsidRPr="00892C62" w:rsidRDefault="00690E8D" w:rsidP="002E67C4">
            <w:pPr>
              <w:pStyle w:val="TableText"/>
              <w:jc w:val="right"/>
            </w:pPr>
            <w:r w:rsidRPr="00892C62">
              <w:t>7.7 (6.6, 9.0)</w:t>
            </w:r>
          </w:p>
        </w:tc>
      </w:tr>
      <w:tr w:rsidR="00690E8D" w:rsidRPr="0035143C" w14:paraId="5BA5B5FB" w14:textId="77777777" w:rsidTr="00040E45">
        <w:trPr>
          <w:cantSplit/>
        </w:trPr>
        <w:tc>
          <w:tcPr>
            <w:tcW w:w="2658" w:type="pct"/>
            <w:hideMark/>
          </w:tcPr>
          <w:p w14:paraId="6B1F7BAC" w14:textId="77777777" w:rsidR="00690E8D" w:rsidRPr="00892C62" w:rsidRDefault="00690E8D" w:rsidP="002E67C4">
            <w:pPr>
              <w:pStyle w:val="TableText"/>
            </w:pPr>
            <w:r w:rsidRPr="00892C62">
              <w:t>Cultural and recreational services</w:t>
            </w:r>
          </w:p>
        </w:tc>
        <w:tc>
          <w:tcPr>
            <w:tcW w:w="677" w:type="pct"/>
            <w:hideMark/>
          </w:tcPr>
          <w:p w14:paraId="31D87730" w14:textId="77777777" w:rsidR="00690E8D" w:rsidRPr="00892C62" w:rsidRDefault="00690E8D" w:rsidP="002E67C4">
            <w:pPr>
              <w:pStyle w:val="TableText"/>
              <w:jc w:val="right"/>
            </w:pPr>
            <w:r w:rsidRPr="00892C62">
              <w:t>30</w:t>
            </w:r>
          </w:p>
        </w:tc>
        <w:tc>
          <w:tcPr>
            <w:tcW w:w="738" w:type="pct"/>
            <w:hideMark/>
          </w:tcPr>
          <w:p w14:paraId="58613019" w14:textId="77777777" w:rsidR="00690E8D" w:rsidRPr="00892C62" w:rsidRDefault="00690E8D" w:rsidP="002E67C4">
            <w:pPr>
              <w:pStyle w:val="TableText"/>
              <w:jc w:val="right"/>
            </w:pPr>
            <w:r w:rsidRPr="00892C62">
              <w:t>201</w:t>
            </w:r>
          </w:p>
        </w:tc>
        <w:tc>
          <w:tcPr>
            <w:tcW w:w="928" w:type="pct"/>
            <w:hideMark/>
          </w:tcPr>
          <w:p w14:paraId="237F09BF" w14:textId="77777777" w:rsidR="00690E8D" w:rsidRPr="00892C62" w:rsidRDefault="00690E8D" w:rsidP="002E67C4">
            <w:pPr>
              <w:pStyle w:val="TableText"/>
              <w:jc w:val="right"/>
            </w:pPr>
            <w:r w:rsidRPr="00892C62">
              <w:t>1.3 (0.8, 1.9)</w:t>
            </w:r>
          </w:p>
        </w:tc>
      </w:tr>
      <w:tr w:rsidR="00690E8D" w:rsidRPr="0035143C" w14:paraId="454152E2"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7F4356F7" w14:textId="77777777" w:rsidR="00690E8D" w:rsidRPr="00892C62" w:rsidRDefault="00690E8D" w:rsidP="002E67C4">
            <w:pPr>
              <w:pStyle w:val="TableText"/>
            </w:pPr>
            <w:r w:rsidRPr="00892C62">
              <w:t>Personal and other services</w:t>
            </w:r>
          </w:p>
        </w:tc>
        <w:tc>
          <w:tcPr>
            <w:tcW w:w="677" w:type="pct"/>
            <w:hideMark/>
          </w:tcPr>
          <w:p w14:paraId="556C3A70" w14:textId="77777777" w:rsidR="00690E8D" w:rsidRPr="00892C62" w:rsidRDefault="00690E8D" w:rsidP="002E67C4">
            <w:pPr>
              <w:pStyle w:val="TableText"/>
              <w:jc w:val="right"/>
            </w:pPr>
            <w:r w:rsidRPr="00892C62">
              <w:t>149</w:t>
            </w:r>
          </w:p>
        </w:tc>
        <w:tc>
          <w:tcPr>
            <w:tcW w:w="738" w:type="pct"/>
            <w:hideMark/>
          </w:tcPr>
          <w:p w14:paraId="340ACC81" w14:textId="77777777" w:rsidR="00690E8D" w:rsidRPr="00892C62" w:rsidRDefault="00690E8D" w:rsidP="002E67C4">
            <w:pPr>
              <w:pStyle w:val="TableText"/>
              <w:jc w:val="right"/>
            </w:pPr>
            <w:r w:rsidRPr="00892C62">
              <w:t>908</w:t>
            </w:r>
          </w:p>
        </w:tc>
        <w:tc>
          <w:tcPr>
            <w:tcW w:w="928" w:type="pct"/>
            <w:hideMark/>
          </w:tcPr>
          <w:p w14:paraId="1D544755" w14:textId="77777777" w:rsidR="00690E8D" w:rsidRPr="00892C62" w:rsidRDefault="00690E8D" w:rsidP="002E67C4">
            <w:pPr>
              <w:pStyle w:val="TableText"/>
              <w:jc w:val="right"/>
            </w:pPr>
            <w:r w:rsidRPr="00892C62">
              <w:t>5.8 (4.8, 7.0)</w:t>
            </w:r>
          </w:p>
        </w:tc>
      </w:tr>
      <w:tr w:rsidR="00690E8D" w:rsidRPr="0035143C" w14:paraId="10E536C4" w14:textId="77777777" w:rsidTr="00040E45">
        <w:trPr>
          <w:cantSplit/>
        </w:trPr>
        <w:tc>
          <w:tcPr>
            <w:tcW w:w="2658" w:type="pct"/>
            <w:tcBorders>
              <w:bottom w:val="single" w:sz="4" w:space="0" w:color="000000"/>
            </w:tcBorders>
            <w:hideMark/>
          </w:tcPr>
          <w:p w14:paraId="76157B1E" w14:textId="77777777" w:rsidR="00690E8D" w:rsidRPr="00892C62" w:rsidRDefault="00690E8D" w:rsidP="002E67C4">
            <w:pPr>
              <w:pStyle w:val="TableText"/>
            </w:pPr>
            <w:r w:rsidRPr="00892C62">
              <w:t>Emergency services</w:t>
            </w:r>
          </w:p>
        </w:tc>
        <w:tc>
          <w:tcPr>
            <w:tcW w:w="677" w:type="pct"/>
            <w:tcBorders>
              <w:bottom w:val="single" w:sz="4" w:space="0" w:color="000000"/>
            </w:tcBorders>
            <w:hideMark/>
          </w:tcPr>
          <w:p w14:paraId="312137FE" w14:textId="77777777" w:rsidR="00690E8D" w:rsidRPr="00892C62" w:rsidRDefault="00690E8D" w:rsidP="002E67C4">
            <w:pPr>
              <w:pStyle w:val="TableText"/>
              <w:jc w:val="right"/>
            </w:pPr>
            <w:r w:rsidRPr="00892C62">
              <w:t>153</w:t>
            </w:r>
          </w:p>
        </w:tc>
        <w:tc>
          <w:tcPr>
            <w:tcW w:w="738" w:type="pct"/>
            <w:tcBorders>
              <w:bottom w:val="single" w:sz="4" w:space="0" w:color="000000"/>
            </w:tcBorders>
            <w:hideMark/>
          </w:tcPr>
          <w:p w14:paraId="626DDC1F" w14:textId="77777777" w:rsidR="00690E8D" w:rsidRPr="00892C62" w:rsidRDefault="00690E8D" w:rsidP="002E67C4">
            <w:pPr>
              <w:pStyle w:val="TableText"/>
              <w:jc w:val="right"/>
            </w:pPr>
            <w:r w:rsidRPr="00892C62">
              <w:t>1044</w:t>
            </w:r>
          </w:p>
        </w:tc>
        <w:tc>
          <w:tcPr>
            <w:tcW w:w="928" w:type="pct"/>
            <w:tcBorders>
              <w:bottom w:val="single" w:sz="4" w:space="0" w:color="000000"/>
            </w:tcBorders>
            <w:hideMark/>
          </w:tcPr>
          <w:p w14:paraId="2BA26ABA" w14:textId="77777777" w:rsidR="00690E8D" w:rsidRPr="00892C62" w:rsidRDefault="00690E8D" w:rsidP="002E67C4">
            <w:pPr>
              <w:pStyle w:val="TableText"/>
              <w:jc w:val="right"/>
            </w:pPr>
            <w:r w:rsidRPr="00892C62">
              <w:t>6.7 (5.5, 8.1)</w:t>
            </w:r>
          </w:p>
        </w:tc>
      </w:tr>
      <w:tr w:rsidR="00690E8D" w:rsidRPr="0035143C" w14:paraId="5ACEF404"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tcBorders>
              <w:top w:val="single" w:sz="4" w:space="0" w:color="000000"/>
              <w:bottom w:val="nil"/>
            </w:tcBorders>
            <w:hideMark/>
          </w:tcPr>
          <w:p w14:paraId="4472C4D6" w14:textId="77777777" w:rsidR="00690E8D" w:rsidRPr="004C6CF5" w:rsidRDefault="00690E8D" w:rsidP="002E67C4">
            <w:pPr>
              <w:pStyle w:val="TableText"/>
              <w:rPr>
                <w:b/>
              </w:rPr>
            </w:pPr>
            <w:r w:rsidRPr="004C6CF5">
              <w:rPr>
                <w:b/>
              </w:rPr>
              <w:t>Unemployment: at least 3-month period since transition</w:t>
            </w:r>
          </w:p>
        </w:tc>
        <w:tc>
          <w:tcPr>
            <w:tcW w:w="677" w:type="pct"/>
            <w:tcBorders>
              <w:top w:val="single" w:sz="4" w:space="0" w:color="000000"/>
              <w:bottom w:val="nil"/>
            </w:tcBorders>
          </w:tcPr>
          <w:p w14:paraId="01F61219" w14:textId="77777777" w:rsidR="00690E8D" w:rsidRPr="00892C62" w:rsidRDefault="00690E8D" w:rsidP="002E67C4">
            <w:pPr>
              <w:pStyle w:val="TableText"/>
              <w:jc w:val="right"/>
            </w:pPr>
          </w:p>
        </w:tc>
        <w:tc>
          <w:tcPr>
            <w:tcW w:w="738" w:type="pct"/>
            <w:tcBorders>
              <w:top w:val="single" w:sz="4" w:space="0" w:color="000000"/>
              <w:bottom w:val="nil"/>
            </w:tcBorders>
          </w:tcPr>
          <w:p w14:paraId="58210014" w14:textId="77777777" w:rsidR="00690E8D" w:rsidRPr="00892C62" w:rsidRDefault="00690E8D" w:rsidP="002E67C4">
            <w:pPr>
              <w:pStyle w:val="TableText"/>
              <w:jc w:val="right"/>
            </w:pPr>
          </w:p>
        </w:tc>
        <w:tc>
          <w:tcPr>
            <w:tcW w:w="928" w:type="pct"/>
            <w:tcBorders>
              <w:top w:val="single" w:sz="4" w:space="0" w:color="000000"/>
              <w:bottom w:val="nil"/>
            </w:tcBorders>
          </w:tcPr>
          <w:p w14:paraId="050CE58D" w14:textId="77777777" w:rsidR="00690E8D" w:rsidRPr="00892C62" w:rsidRDefault="00690E8D" w:rsidP="002E67C4">
            <w:pPr>
              <w:pStyle w:val="TableText"/>
              <w:jc w:val="right"/>
            </w:pPr>
          </w:p>
        </w:tc>
      </w:tr>
      <w:tr w:rsidR="00690E8D" w:rsidRPr="0035143C" w14:paraId="0B9801CE" w14:textId="77777777" w:rsidTr="00040E45">
        <w:trPr>
          <w:cantSplit/>
        </w:trPr>
        <w:tc>
          <w:tcPr>
            <w:tcW w:w="2658" w:type="pct"/>
            <w:tcBorders>
              <w:top w:val="nil"/>
            </w:tcBorders>
            <w:hideMark/>
          </w:tcPr>
          <w:p w14:paraId="50741438" w14:textId="77777777" w:rsidR="00690E8D" w:rsidRPr="00892C62" w:rsidRDefault="00690E8D" w:rsidP="002E67C4">
            <w:pPr>
              <w:pStyle w:val="TableText"/>
            </w:pPr>
            <w:r w:rsidRPr="00892C62">
              <w:t>Yes</w:t>
            </w:r>
          </w:p>
        </w:tc>
        <w:tc>
          <w:tcPr>
            <w:tcW w:w="677" w:type="pct"/>
            <w:tcBorders>
              <w:top w:val="nil"/>
            </w:tcBorders>
            <w:hideMark/>
          </w:tcPr>
          <w:p w14:paraId="10388F39" w14:textId="77777777" w:rsidR="00690E8D" w:rsidRPr="00892C62" w:rsidRDefault="00690E8D" w:rsidP="002E67C4">
            <w:pPr>
              <w:pStyle w:val="TableText"/>
              <w:jc w:val="right"/>
            </w:pPr>
            <w:r w:rsidRPr="00892C62">
              <w:t>1762</w:t>
            </w:r>
          </w:p>
        </w:tc>
        <w:tc>
          <w:tcPr>
            <w:tcW w:w="738" w:type="pct"/>
            <w:tcBorders>
              <w:top w:val="nil"/>
            </w:tcBorders>
            <w:hideMark/>
          </w:tcPr>
          <w:p w14:paraId="64DB403E" w14:textId="77777777" w:rsidR="00690E8D" w:rsidRPr="00892C62" w:rsidRDefault="00690E8D" w:rsidP="002E67C4">
            <w:pPr>
              <w:pStyle w:val="TableText"/>
              <w:jc w:val="right"/>
            </w:pPr>
            <w:r w:rsidRPr="00892C62">
              <w:t>10,906</w:t>
            </w:r>
          </w:p>
        </w:tc>
        <w:tc>
          <w:tcPr>
            <w:tcW w:w="928" w:type="pct"/>
            <w:tcBorders>
              <w:top w:val="nil"/>
            </w:tcBorders>
            <w:hideMark/>
          </w:tcPr>
          <w:p w14:paraId="4A3C6FC0" w14:textId="77777777" w:rsidR="00690E8D" w:rsidRPr="00892C62" w:rsidRDefault="00690E8D" w:rsidP="002E67C4">
            <w:pPr>
              <w:pStyle w:val="TableText"/>
              <w:jc w:val="right"/>
            </w:pPr>
            <w:r w:rsidRPr="00892C62">
              <w:t>43.7 (42.0, 45.5)</w:t>
            </w:r>
          </w:p>
        </w:tc>
      </w:tr>
      <w:tr w:rsidR="00690E8D" w:rsidRPr="0035143C" w14:paraId="51E793CF"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tcBorders>
              <w:bottom w:val="single" w:sz="4" w:space="0" w:color="000000"/>
            </w:tcBorders>
            <w:hideMark/>
          </w:tcPr>
          <w:p w14:paraId="6189E246" w14:textId="77777777" w:rsidR="00690E8D" w:rsidRPr="00892C62" w:rsidRDefault="00690E8D" w:rsidP="002E67C4">
            <w:pPr>
              <w:pStyle w:val="TableText"/>
            </w:pPr>
            <w:r w:rsidRPr="00892C62">
              <w:t>No</w:t>
            </w:r>
          </w:p>
        </w:tc>
        <w:tc>
          <w:tcPr>
            <w:tcW w:w="677" w:type="pct"/>
            <w:tcBorders>
              <w:bottom w:val="single" w:sz="4" w:space="0" w:color="000000"/>
            </w:tcBorders>
            <w:hideMark/>
          </w:tcPr>
          <w:p w14:paraId="01BA783E" w14:textId="77777777" w:rsidR="00690E8D" w:rsidRPr="00892C62" w:rsidRDefault="00690E8D" w:rsidP="002E67C4">
            <w:pPr>
              <w:pStyle w:val="TableText"/>
              <w:jc w:val="right"/>
            </w:pPr>
            <w:r w:rsidRPr="00892C62">
              <w:t>2455</w:t>
            </w:r>
          </w:p>
        </w:tc>
        <w:tc>
          <w:tcPr>
            <w:tcW w:w="738" w:type="pct"/>
            <w:tcBorders>
              <w:bottom w:val="single" w:sz="4" w:space="0" w:color="000000"/>
            </w:tcBorders>
            <w:hideMark/>
          </w:tcPr>
          <w:p w14:paraId="69A389B5" w14:textId="77777777" w:rsidR="00690E8D" w:rsidRPr="00892C62" w:rsidRDefault="00690E8D" w:rsidP="002E67C4">
            <w:pPr>
              <w:pStyle w:val="TableText"/>
              <w:jc w:val="right"/>
            </w:pPr>
            <w:r w:rsidRPr="00892C62">
              <w:t>13,359</w:t>
            </w:r>
          </w:p>
        </w:tc>
        <w:tc>
          <w:tcPr>
            <w:tcW w:w="928" w:type="pct"/>
            <w:tcBorders>
              <w:bottom w:val="single" w:sz="4" w:space="0" w:color="000000"/>
            </w:tcBorders>
            <w:hideMark/>
          </w:tcPr>
          <w:p w14:paraId="41E6E4E2" w14:textId="77777777" w:rsidR="00690E8D" w:rsidRPr="00892C62" w:rsidRDefault="00690E8D" w:rsidP="002E67C4">
            <w:pPr>
              <w:pStyle w:val="TableText"/>
              <w:jc w:val="right"/>
            </w:pPr>
            <w:r w:rsidRPr="00892C62">
              <w:t>53.6 (51.8, 55.3)</w:t>
            </w:r>
          </w:p>
        </w:tc>
      </w:tr>
      <w:tr w:rsidR="00690E8D" w:rsidRPr="0035143C" w14:paraId="3C3FD02A" w14:textId="77777777" w:rsidTr="00040E45">
        <w:trPr>
          <w:cantSplit/>
        </w:trPr>
        <w:tc>
          <w:tcPr>
            <w:tcW w:w="2658" w:type="pct"/>
            <w:tcBorders>
              <w:top w:val="single" w:sz="4" w:space="0" w:color="000000"/>
              <w:bottom w:val="nil"/>
            </w:tcBorders>
            <w:hideMark/>
          </w:tcPr>
          <w:p w14:paraId="3C1E40A5" w14:textId="77777777" w:rsidR="00690E8D" w:rsidRPr="004C6CF5" w:rsidRDefault="00690E8D" w:rsidP="002E67C4">
            <w:pPr>
              <w:pStyle w:val="TableText"/>
              <w:rPr>
                <w:b/>
              </w:rPr>
            </w:pPr>
            <w:r w:rsidRPr="004C6CF5">
              <w:rPr>
                <w:b/>
              </w:rPr>
              <w:t>DVA support since transition</w:t>
            </w:r>
          </w:p>
        </w:tc>
        <w:tc>
          <w:tcPr>
            <w:tcW w:w="677" w:type="pct"/>
            <w:tcBorders>
              <w:top w:val="single" w:sz="4" w:space="0" w:color="000000"/>
              <w:bottom w:val="nil"/>
            </w:tcBorders>
          </w:tcPr>
          <w:p w14:paraId="6FA2C89D" w14:textId="77777777" w:rsidR="00690E8D" w:rsidRPr="00892C62" w:rsidRDefault="00690E8D" w:rsidP="002E67C4">
            <w:pPr>
              <w:pStyle w:val="TableText"/>
              <w:jc w:val="right"/>
            </w:pPr>
          </w:p>
        </w:tc>
        <w:tc>
          <w:tcPr>
            <w:tcW w:w="738" w:type="pct"/>
            <w:tcBorders>
              <w:top w:val="single" w:sz="4" w:space="0" w:color="000000"/>
              <w:bottom w:val="nil"/>
            </w:tcBorders>
          </w:tcPr>
          <w:p w14:paraId="52F72499" w14:textId="77777777" w:rsidR="00690E8D" w:rsidRPr="00892C62" w:rsidRDefault="00690E8D" w:rsidP="002E67C4">
            <w:pPr>
              <w:pStyle w:val="TableText"/>
              <w:jc w:val="right"/>
            </w:pPr>
          </w:p>
        </w:tc>
        <w:tc>
          <w:tcPr>
            <w:tcW w:w="928" w:type="pct"/>
            <w:tcBorders>
              <w:top w:val="single" w:sz="4" w:space="0" w:color="000000"/>
              <w:bottom w:val="nil"/>
            </w:tcBorders>
          </w:tcPr>
          <w:p w14:paraId="6E43DB45" w14:textId="77777777" w:rsidR="00690E8D" w:rsidRPr="00892C62" w:rsidRDefault="00690E8D" w:rsidP="002E67C4">
            <w:pPr>
              <w:pStyle w:val="TableText"/>
              <w:jc w:val="right"/>
            </w:pPr>
          </w:p>
        </w:tc>
      </w:tr>
      <w:tr w:rsidR="00690E8D" w:rsidRPr="0035143C" w14:paraId="083A8945"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tcBorders>
              <w:top w:val="nil"/>
            </w:tcBorders>
            <w:hideMark/>
          </w:tcPr>
          <w:p w14:paraId="7721BCE3" w14:textId="77777777" w:rsidR="00690E8D" w:rsidRPr="00892C62" w:rsidRDefault="00690E8D" w:rsidP="002E67C4">
            <w:pPr>
              <w:pStyle w:val="TableText"/>
            </w:pPr>
            <w:r w:rsidRPr="00892C62">
              <w:t>Treatment support (white or gold card)</w:t>
            </w:r>
          </w:p>
        </w:tc>
        <w:tc>
          <w:tcPr>
            <w:tcW w:w="677" w:type="pct"/>
            <w:tcBorders>
              <w:top w:val="nil"/>
            </w:tcBorders>
            <w:hideMark/>
          </w:tcPr>
          <w:p w14:paraId="6458444D" w14:textId="77777777" w:rsidR="00690E8D" w:rsidRPr="00892C62" w:rsidRDefault="00690E8D" w:rsidP="002E67C4">
            <w:pPr>
              <w:pStyle w:val="TableText"/>
              <w:jc w:val="right"/>
            </w:pPr>
            <w:r w:rsidRPr="00892C62">
              <w:t>1773</w:t>
            </w:r>
          </w:p>
        </w:tc>
        <w:tc>
          <w:tcPr>
            <w:tcW w:w="738" w:type="pct"/>
            <w:tcBorders>
              <w:top w:val="nil"/>
            </w:tcBorders>
            <w:hideMark/>
          </w:tcPr>
          <w:p w14:paraId="29413749" w14:textId="77777777" w:rsidR="00690E8D" w:rsidRPr="00892C62" w:rsidRDefault="00690E8D" w:rsidP="002E67C4">
            <w:pPr>
              <w:pStyle w:val="TableText"/>
              <w:jc w:val="right"/>
            </w:pPr>
            <w:r w:rsidRPr="00892C62">
              <w:t>10,879</w:t>
            </w:r>
          </w:p>
        </w:tc>
        <w:tc>
          <w:tcPr>
            <w:tcW w:w="928" w:type="pct"/>
            <w:tcBorders>
              <w:top w:val="nil"/>
            </w:tcBorders>
            <w:hideMark/>
          </w:tcPr>
          <w:p w14:paraId="45F2A1EB" w14:textId="77777777" w:rsidR="00690E8D" w:rsidRPr="00892C62" w:rsidRDefault="00690E8D" w:rsidP="002E67C4">
            <w:pPr>
              <w:pStyle w:val="TableText"/>
              <w:jc w:val="right"/>
            </w:pPr>
            <w:r w:rsidRPr="00892C62">
              <w:t>43.6 (41.8</w:t>
            </w:r>
            <w:r>
              <w:t xml:space="preserve">, </w:t>
            </w:r>
            <w:r w:rsidRPr="00892C62">
              <w:t>45.5)</w:t>
            </w:r>
          </w:p>
        </w:tc>
      </w:tr>
      <w:tr w:rsidR="00690E8D" w:rsidRPr="0035143C" w14:paraId="3058052C" w14:textId="77777777" w:rsidTr="00040E45">
        <w:trPr>
          <w:cantSplit/>
        </w:trPr>
        <w:tc>
          <w:tcPr>
            <w:tcW w:w="2658" w:type="pct"/>
            <w:hideMark/>
          </w:tcPr>
          <w:p w14:paraId="48B0C7D3" w14:textId="77777777" w:rsidR="00690E8D" w:rsidRPr="00892C62" w:rsidRDefault="00690E8D" w:rsidP="002E67C4">
            <w:pPr>
              <w:pStyle w:val="TableText"/>
            </w:pPr>
            <w:r w:rsidRPr="00892C62">
              <w:t>White card</w:t>
            </w:r>
          </w:p>
        </w:tc>
        <w:tc>
          <w:tcPr>
            <w:tcW w:w="677" w:type="pct"/>
            <w:hideMark/>
          </w:tcPr>
          <w:p w14:paraId="40EEC67D" w14:textId="77777777" w:rsidR="00690E8D" w:rsidRPr="00892C62" w:rsidRDefault="00690E8D" w:rsidP="002E67C4">
            <w:pPr>
              <w:pStyle w:val="TableText"/>
              <w:jc w:val="right"/>
            </w:pPr>
            <w:r w:rsidRPr="00892C62">
              <w:t>1565</w:t>
            </w:r>
          </w:p>
        </w:tc>
        <w:tc>
          <w:tcPr>
            <w:tcW w:w="738" w:type="pct"/>
            <w:hideMark/>
          </w:tcPr>
          <w:p w14:paraId="23418546" w14:textId="77777777" w:rsidR="00690E8D" w:rsidRPr="00892C62" w:rsidRDefault="00690E8D" w:rsidP="002E67C4">
            <w:pPr>
              <w:pStyle w:val="TableText"/>
              <w:jc w:val="right"/>
            </w:pPr>
            <w:r w:rsidRPr="00892C62">
              <w:t>9834</w:t>
            </w:r>
          </w:p>
        </w:tc>
        <w:tc>
          <w:tcPr>
            <w:tcW w:w="928" w:type="pct"/>
            <w:hideMark/>
          </w:tcPr>
          <w:p w14:paraId="23A29C6F" w14:textId="77777777" w:rsidR="00690E8D" w:rsidRPr="00892C62" w:rsidRDefault="00690E8D" w:rsidP="002E67C4">
            <w:pPr>
              <w:pStyle w:val="TableText"/>
              <w:jc w:val="right"/>
            </w:pPr>
            <w:r w:rsidRPr="00892C62">
              <w:t>39.4 (37.6,41.3)</w:t>
            </w:r>
          </w:p>
        </w:tc>
      </w:tr>
      <w:tr w:rsidR="00690E8D" w:rsidRPr="0035143C" w14:paraId="407ACE73"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58" w:type="pct"/>
            <w:hideMark/>
          </w:tcPr>
          <w:p w14:paraId="3BCB4153" w14:textId="77777777" w:rsidR="00690E8D" w:rsidRPr="00892C62" w:rsidRDefault="00690E8D" w:rsidP="002E67C4">
            <w:pPr>
              <w:pStyle w:val="TableText"/>
            </w:pPr>
            <w:r w:rsidRPr="00892C62">
              <w:t>Gold card</w:t>
            </w:r>
          </w:p>
        </w:tc>
        <w:tc>
          <w:tcPr>
            <w:tcW w:w="677" w:type="pct"/>
            <w:hideMark/>
          </w:tcPr>
          <w:p w14:paraId="7F95ECE8" w14:textId="77777777" w:rsidR="00690E8D" w:rsidRPr="00892C62" w:rsidRDefault="00690E8D" w:rsidP="002E67C4">
            <w:pPr>
              <w:pStyle w:val="TableText"/>
              <w:jc w:val="right"/>
            </w:pPr>
            <w:r w:rsidRPr="00892C62">
              <w:t>211</w:t>
            </w:r>
          </w:p>
        </w:tc>
        <w:tc>
          <w:tcPr>
            <w:tcW w:w="738" w:type="pct"/>
            <w:hideMark/>
          </w:tcPr>
          <w:p w14:paraId="35AE85BB" w14:textId="77777777" w:rsidR="00690E8D" w:rsidRPr="00892C62" w:rsidRDefault="00690E8D" w:rsidP="002E67C4">
            <w:pPr>
              <w:pStyle w:val="TableText"/>
              <w:jc w:val="right"/>
            </w:pPr>
            <w:r w:rsidRPr="00892C62">
              <w:t>1057</w:t>
            </w:r>
          </w:p>
        </w:tc>
        <w:tc>
          <w:tcPr>
            <w:tcW w:w="928" w:type="pct"/>
            <w:hideMark/>
          </w:tcPr>
          <w:p w14:paraId="034D1DBF" w14:textId="77777777" w:rsidR="00690E8D" w:rsidRPr="00892C62" w:rsidRDefault="00690E8D" w:rsidP="002E67C4">
            <w:pPr>
              <w:pStyle w:val="TableText"/>
              <w:jc w:val="right"/>
            </w:pPr>
            <w:r w:rsidRPr="00892C62">
              <w:t>4.2 (3.6, 4.9)</w:t>
            </w:r>
          </w:p>
        </w:tc>
      </w:tr>
    </w:tbl>
    <w:p w14:paraId="424EF61C" w14:textId="77777777" w:rsidR="00690E8D" w:rsidRPr="00892C62" w:rsidRDefault="00690E8D" w:rsidP="00690E8D">
      <w:pPr>
        <w:pStyle w:val="TableNotes"/>
      </w:pPr>
      <w:r>
        <w:t>*</w:t>
      </w:r>
      <w:r w:rsidRPr="00892C62">
        <w:t xml:space="preserve"> Proportion of Employed Transition ADF only</w:t>
      </w:r>
      <w:r>
        <w:t>.</w:t>
      </w:r>
      <w:r w:rsidRPr="00892C62">
        <w:t xml:space="preserve"> </w:t>
      </w:r>
    </w:p>
    <w:p w14:paraId="6A4462F7" w14:textId="77777777" w:rsidR="00690E8D" w:rsidRPr="00800B68" w:rsidRDefault="00690E8D" w:rsidP="00800B68">
      <w:pPr>
        <w:pStyle w:val="TableNotes"/>
      </w:pPr>
      <w:r w:rsidRPr="006A3EA0">
        <w:t>Notes</w:t>
      </w:r>
    </w:p>
    <w:p w14:paraId="5C9592EB" w14:textId="77777777" w:rsidR="00690E8D" w:rsidRPr="00892C62" w:rsidRDefault="00690E8D" w:rsidP="00690E8D">
      <w:pPr>
        <w:pStyle w:val="TableNotes"/>
      </w:pPr>
      <w:r w:rsidRPr="00892C62">
        <w:t>95%CI</w:t>
      </w:r>
      <w:r>
        <w:t xml:space="preserve"> =</w:t>
      </w:r>
      <w:r w:rsidRPr="00892C62">
        <w:t xml:space="preserve"> 95% </w:t>
      </w:r>
      <w:r>
        <w:t>confidence interval.</w:t>
      </w:r>
    </w:p>
    <w:p w14:paraId="71321E81" w14:textId="77777777" w:rsidR="00690E8D" w:rsidRDefault="00690E8D" w:rsidP="00690E8D">
      <w:pPr>
        <w:pStyle w:val="TableNotes"/>
      </w:pPr>
      <w:r w:rsidRPr="00892C62">
        <w:t>Missing: Civilian employment: 75 (2.0%), Hours worked 71 (2.5%) Industry 34 (1.3%), Unemployment 109 (2.7%)</w:t>
      </w:r>
      <w:r>
        <w:t>.</w:t>
      </w:r>
    </w:p>
    <w:p w14:paraId="2AC9329A" w14:textId="77777777" w:rsidR="00690E8D" w:rsidRDefault="00690E8D" w:rsidP="00800B68">
      <w:pPr>
        <w:keepLines/>
      </w:pPr>
      <w:r w:rsidRPr="00892C62">
        <w:t xml:space="preserve">As seen in </w:t>
      </w:r>
      <w:r w:rsidRPr="00E603D7">
        <w:t xml:space="preserve">Table </w:t>
      </w:r>
      <w:r>
        <w:rPr>
          <w:noProof/>
        </w:rPr>
        <w:t>3</w:t>
      </w:r>
      <w:r>
        <w:t>.</w:t>
      </w:r>
      <w:r>
        <w:rPr>
          <w:noProof/>
        </w:rPr>
        <w:t>5</w:t>
      </w:r>
      <w:r w:rsidRPr="00892C62">
        <w:t xml:space="preserve">, approximately </w:t>
      </w:r>
      <w:r>
        <w:t>3</w:t>
      </w:r>
      <w:r w:rsidRPr="00892C62">
        <w:t>0% of the Transitioned ADF group reported joining an ex-service organisation or voluntary group. A small proportion of the Transitioned ADF group reported having been arrested (2.9%), convicted (2.1%) or imprisoned since transitioning from Regular ADF service.</w:t>
      </w:r>
    </w:p>
    <w:p w14:paraId="03A6FB9E" w14:textId="77777777" w:rsidR="00690E8D" w:rsidRPr="00892C62" w:rsidRDefault="00690E8D" w:rsidP="00690E8D">
      <w:pPr>
        <w:pStyle w:val="TableName"/>
        <w:rPr>
          <w:rFonts w:cs="Calibri"/>
        </w:rPr>
      </w:pPr>
      <w:bookmarkStart w:id="259" w:name="_Ref482013640"/>
      <w:bookmarkStart w:id="260" w:name="_Toc479243379"/>
      <w:bookmarkStart w:id="261" w:name="_Toc482023765"/>
      <w:bookmarkStart w:id="262" w:name="_Toc487014251"/>
      <w:bookmarkStart w:id="263" w:name="_Toc493668805"/>
      <w:bookmarkStart w:id="264" w:name="_Toc508978839"/>
      <w:bookmarkStart w:id="265" w:name="_Toc385236034"/>
      <w:bookmarkStart w:id="266" w:name="_Toc385236884"/>
      <w:bookmarkStart w:id="267" w:name="_Toc385237688"/>
      <w:bookmarkStart w:id="268" w:name="_Toc515374635"/>
      <w:bookmarkStart w:id="269" w:name="_Toc528932309"/>
      <w:bookmarkStart w:id="270" w:name="_Toc531857988"/>
      <w:r w:rsidRPr="00E603D7">
        <w:t xml:space="preserve">Table </w:t>
      </w:r>
      <w:r>
        <w:rPr>
          <w:noProof/>
        </w:rPr>
        <w:t>3</w:t>
      </w:r>
      <w:r>
        <w:t>.</w:t>
      </w:r>
      <w:r>
        <w:rPr>
          <w:noProof/>
        </w:rPr>
        <w:t>5</w:t>
      </w:r>
      <w:bookmarkEnd w:id="259"/>
      <w:r>
        <w:tab/>
      </w:r>
      <w:r w:rsidRPr="00E603D7">
        <w:t>Weighted ex-service organisation engagement and incarceration among Transitioned ADF</w:t>
      </w:r>
      <w:bookmarkEnd w:id="260"/>
      <w:bookmarkEnd w:id="261"/>
      <w:bookmarkEnd w:id="262"/>
      <w:bookmarkEnd w:id="263"/>
      <w:r w:rsidRPr="00E603D7">
        <w:t xml:space="preserve"> members</w:t>
      </w:r>
      <w:bookmarkEnd w:id="264"/>
      <w:bookmarkEnd w:id="265"/>
      <w:bookmarkEnd w:id="266"/>
      <w:bookmarkEnd w:id="267"/>
      <w:bookmarkEnd w:id="268"/>
      <w:bookmarkEnd w:id="269"/>
      <w:bookmarkEnd w:id="270"/>
    </w:p>
    <w:tbl>
      <w:tblPr>
        <w:tblStyle w:val="TWRPTable"/>
        <w:tblW w:w="5000" w:type="pct"/>
        <w:tblLayout w:type="fixed"/>
        <w:tblLook w:val="04A0" w:firstRow="1" w:lastRow="0" w:firstColumn="1" w:lastColumn="0" w:noHBand="0" w:noVBand="1"/>
        <w:tblDescription w:val="Table 3.5 Weighted ex-service organisation engagement and incarceration among Transitioned ADF members"/>
      </w:tblPr>
      <w:tblGrid>
        <w:gridCol w:w="3750"/>
        <w:gridCol w:w="977"/>
        <w:gridCol w:w="1046"/>
        <w:gridCol w:w="1316"/>
      </w:tblGrid>
      <w:tr w:rsidR="00690E8D" w:rsidRPr="00BF6E26" w14:paraId="219AEE4A" w14:textId="77777777" w:rsidTr="00040E45">
        <w:trPr>
          <w:cnfStyle w:val="100000000000" w:firstRow="1" w:lastRow="0" w:firstColumn="0" w:lastColumn="0" w:oddVBand="0" w:evenVBand="0" w:oddHBand="0" w:evenHBand="0" w:firstRowFirstColumn="0" w:firstRowLastColumn="0" w:lastRowFirstColumn="0" w:lastRowLastColumn="0"/>
          <w:cantSplit/>
          <w:tblHeader/>
        </w:trPr>
        <w:tc>
          <w:tcPr>
            <w:tcW w:w="2645" w:type="pct"/>
            <w:tcBorders>
              <w:top w:val="single" w:sz="4" w:space="0" w:color="000000"/>
              <w:bottom w:val="nil"/>
            </w:tcBorders>
          </w:tcPr>
          <w:p w14:paraId="380F7C52" w14:textId="77777777" w:rsidR="00690E8D" w:rsidRPr="00BF6E26" w:rsidRDefault="00690E8D" w:rsidP="002E67C4">
            <w:pPr>
              <w:pStyle w:val="TableText"/>
              <w:jc w:val="center"/>
            </w:pPr>
          </w:p>
        </w:tc>
        <w:tc>
          <w:tcPr>
            <w:tcW w:w="2355" w:type="pct"/>
            <w:gridSpan w:val="3"/>
            <w:hideMark/>
          </w:tcPr>
          <w:p w14:paraId="452117CD" w14:textId="77777777" w:rsidR="00690E8D" w:rsidRPr="00BF6E26" w:rsidRDefault="00690E8D" w:rsidP="00253758">
            <w:pPr>
              <w:pStyle w:val="TableText"/>
              <w:jc w:val="center"/>
            </w:pPr>
            <w:r w:rsidRPr="00BF6E26">
              <w:t>Transitioned ADF</w:t>
            </w:r>
            <w:r w:rsidR="00253758" w:rsidRPr="00BF6E26">
              <w:br/>
            </w:r>
            <w:r w:rsidRPr="00BF6E26">
              <w:t>(n=</w:t>
            </w:r>
            <w:r w:rsidRPr="00BF6E26">
              <w:rPr>
                <w:color w:val="000000" w:themeColor="text1"/>
              </w:rPr>
              <w:t>24,932)</w:t>
            </w:r>
          </w:p>
        </w:tc>
      </w:tr>
      <w:tr w:rsidR="00690E8D" w:rsidRPr="00BF6E26" w14:paraId="09A1CDDB" w14:textId="77777777" w:rsidTr="00040E45">
        <w:trPr>
          <w:cnfStyle w:val="100000000000" w:firstRow="1" w:lastRow="0" w:firstColumn="0" w:lastColumn="0" w:oddVBand="0" w:evenVBand="0" w:oddHBand="0" w:evenHBand="0" w:firstRowFirstColumn="0" w:firstRowLastColumn="0" w:lastRowFirstColumn="0" w:lastRowLastColumn="0"/>
          <w:cantSplit/>
          <w:tblHeader/>
        </w:trPr>
        <w:tc>
          <w:tcPr>
            <w:tcW w:w="2645" w:type="pct"/>
            <w:tcBorders>
              <w:top w:val="nil"/>
            </w:tcBorders>
            <w:hideMark/>
          </w:tcPr>
          <w:p w14:paraId="4FB4460D" w14:textId="77777777" w:rsidR="00690E8D" w:rsidRPr="00BF6E26" w:rsidRDefault="00690E8D" w:rsidP="002E67C4">
            <w:pPr>
              <w:pStyle w:val="TableText"/>
            </w:pPr>
            <w:r w:rsidRPr="00BF6E26">
              <w:t>Characteristic</w:t>
            </w:r>
          </w:p>
        </w:tc>
        <w:tc>
          <w:tcPr>
            <w:tcW w:w="689" w:type="pct"/>
            <w:hideMark/>
          </w:tcPr>
          <w:p w14:paraId="51F05144" w14:textId="77777777" w:rsidR="00690E8D" w:rsidRPr="00BF6E26" w:rsidRDefault="00690E8D" w:rsidP="002E67C4">
            <w:pPr>
              <w:pStyle w:val="TableText"/>
              <w:jc w:val="right"/>
            </w:pPr>
            <w:r w:rsidRPr="00BF6E26">
              <w:t>n</w:t>
            </w:r>
          </w:p>
        </w:tc>
        <w:tc>
          <w:tcPr>
            <w:tcW w:w="738" w:type="pct"/>
            <w:hideMark/>
          </w:tcPr>
          <w:p w14:paraId="0B6A70CD" w14:textId="77777777" w:rsidR="00690E8D" w:rsidRPr="00BF6E26" w:rsidRDefault="00690E8D" w:rsidP="002E67C4">
            <w:pPr>
              <w:pStyle w:val="TableText"/>
              <w:jc w:val="right"/>
            </w:pPr>
            <w:r w:rsidRPr="00BF6E26">
              <w:t>Weighted n</w:t>
            </w:r>
          </w:p>
        </w:tc>
        <w:tc>
          <w:tcPr>
            <w:tcW w:w="928" w:type="pct"/>
            <w:hideMark/>
          </w:tcPr>
          <w:p w14:paraId="0D762CD0" w14:textId="77777777" w:rsidR="00690E8D" w:rsidRPr="00BF6E26" w:rsidRDefault="00690E8D" w:rsidP="002E67C4">
            <w:pPr>
              <w:pStyle w:val="TableText"/>
              <w:jc w:val="right"/>
            </w:pPr>
            <w:r w:rsidRPr="00BF6E26">
              <w:t>% (95%CI)</w:t>
            </w:r>
          </w:p>
        </w:tc>
      </w:tr>
      <w:tr w:rsidR="00690E8D" w:rsidRPr="00E603D7" w14:paraId="498D15BB"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hideMark/>
          </w:tcPr>
          <w:p w14:paraId="1F62F711" w14:textId="77777777" w:rsidR="00690E8D" w:rsidRPr="004C6CF5" w:rsidRDefault="00690E8D" w:rsidP="002E67C4">
            <w:pPr>
              <w:pStyle w:val="TableText"/>
              <w:rPr>
                <w:b/>
              </w:rPr>
            </w:pPr>
            <w:r w:rsidRPr="004C6CF5">
              <w:rPr>
                <w:b/>
              </w:rPr>
              <w:t xml:space="preserve">No. of ex-service organisations joined </w:t>
            </w:r>
          </w:p>
        </w:tc>
        <w:tc>
          <w:tcPr>
            <w:tcW w:w="689" w:type="pct"/>
          </w:tcPr>
          <w:p w14:paraId="32AD1CF8" w14:textId="77777777" w:rsidR="00690E8D" w:rsidRPr="004C6CF5" w:rsidRDefault="00690E8D" w:rsidP="002E67C4">
            <w:pPr>
              <w:pStyle w:val="TableText"/>
              <w:jc w:val="right"/>
              <w:rPr>
                <w:b/>
              </w:rPr>
            </w:pPr>
          </w:p>
        </w:tc>
        <w:tc>
          <w:tcPr>
            <w:tcW w:w="738" w:type="pct"/>
          </w:tcPr>
          <w:p w14:paraId="363D2F1C" w14:textId="77777777" w:rsidR="00690E8D" w:rsidRPr="004C6CF5" w:rsidRDefault="00690E8D" w:rsidP="002E67C4">
            <w:pPr>
              <w:pStyle w:val="TableText"/>
              <w:jc w:val="right"/>
              <w:rPr>
                <w:b/>
              </w:rPr>
            </w:pPr>
          </w:p>
        </w:tc>
        <w:tc>
          <w:tcPr>
            <w:tcW w:w="928" w:type="pct"/>
          </w:tcPr>
          <w:p w14:paraId="644516EB" w14:textId="77777777" w:rsidR="00690E8D" w:rsidRPr="004C6CF5" w:rsidRDefault="00690E8D" w:rsidP="002E67C4">
            <w:pPr>
              <w:pStyle w:val="TableText"/>
              <w:jc w:val="right"/>
              <w:rPr>
                <w:b/>
              </w:rPr>
            </w:pPr>
          </w:p>
        </w:tc>
      </w:tr>
      <w:tr w:rsidR="00690E8D" w:rsidRPr="00E603D7" w14:paraId="33936EDC" w14:textId="77777777" w:rsidTr="00040E45">
        <w:trPr>
          <w:cantSplit/>
        </w:trPr>
        <w:tc>
          <w:tcPr>
            <w:tcW w:w="2645" w:type="pct"/>
            <w:hideMark/>
          </w:tcPr>
          <w:p w14:paraId="4487710A" w14:textId="77777777" w:rsidR="00690E8D" w:rsidRPr="00E603D7" w:rsidRDefault="00690E8D" w:rsidP="002E67C4">
            <w:pPr>
              <w:pStyle w:val="TableText"/>
            </w:pPr>
            <w:r w:rsidRPr="00E603D7">
              <w:t>None</w:t>
            </w:r>
          </w:p>
        </w:tc>
        <w:tc>
          <w:tcPr>
            <w:tcW w:w="689" w:type="pct"/>
            <w:hideMark/>
          </w:tcPr>
          <w:p w14:paraId="1B0858C3" w14:textId="77777777" w:rsidR="00690E8D" w:rsidRPr="00E603D7" w:rsidRDefault="00690E8D" w:rsidP="002E67C4">
            <w:pPr>
              <w:pStyle w:val="TableText"/>
              <w:jc w:val="right"/>
            </w:pPr>
            <w:r w:rsidRPr="00E603D7">
              <w:t>2358</w:t>
            </w:r>
          </w:p>
        </w:tc>
        <w:tc>
          <w:tcPr>
            <w:tcW w:w="738" w:type="pct"/>
            <w:hideMark/>
          </w:tcPr>
          <w:p w14:paraId="2A41F94C" w14:textId="77777777" w:rsidR="00690E8D" w:rsidRPr="00E603D7" w:rsidRDefault="00690E8D" w:rsidP="002E67C4">
            <w:pPr>
              <w:pStyle w:val="TableText"/>
              <w:jc w:val="right"/>
            </w:pPr>
            <w:r w:rsidRPr="00E603D7">
              <w:t>17,359</w:t>
            </w:r>
          </w:p>
        </w:tc>
        <w:tc>
          <w:tcPr>
            <w:tcW w:w="928" w:type="pct"/>
            <w:hideMark/>
          </w:tcPr>
          <w:p w14:paraId="4005A4E3" w14:textId="77777777" w:rsidR="00690E8D" w:rsidRPr="00E603D7" w:rsidRDefault="00690E8D" w:rsidP="002E67C4">
            <w:pPr>
              <w:pStyle w:val="TableText"/>
              <w:jc w:val="right"/>
            </w:pPr>
            <w:r w:rsidRPr="00E603D7">
              <w:t>69.6</w:t>
            </w:r>
            <w:r>
              <w:t xml:space="preserve"> </w:t>
            </w:r>
            <w:r w:rsidRPr="00E603D7">
              <w:t>(67.7, 71.5)</w:t>
            </w:r>
          </w:p>
        </w:tc>
      </w:tr>
      <w:tr w:rsidR="00690E8D" w:rsidRPr="00E603D7" w14:paraId="61720985"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hideMark/>
          </w:tcPr>
          <w:p w14:paraId="3A10B1F5" w14:textId="77777777" w:rsidR="00690E8D" w:rsidRPr="00E603D7" w:rsidRDefault="00690E8D" w:rsidP="002E67C4">
            <w:pPr>
              <w:pStyle w:val="TableText"/>
            </w:pPr>
            <w:r w:rsidRPr="00E603D7">
              <w:t>1</w:t>
            </w:r>
          </w:p>
        </w:tc>
        <w:tc>
          <w:tcPr>
            <w:tcW w:w="689" w:type="pct"/>
            <w:hideMark/>
          </w:tcPr>
          <w:p w14:paraId="2D87DB26" w14:textId="77777777" w:rsidR="00690E8D" w:rsidRPr="00E603D7" w:rsidRDefault="00690E8D" w:rsidP="002E67C4">
            <w:pPr>
              <w:pStyle w:val="TableText"/>
              <w:jc w:val="right"/>
            </w:pPr>
            <w:r w:rsidRPr="00E603D7">
              <w:t>834</w:t>
            </w:r>
          </w:p>
        </w:tc>
        <w:tc>
          <w:tcPr>
            <w:tcW w:w="738" w:type="pct"/>
            <w:hideMark/>
          </w:tcPr>
          <w:p w14:paraId="4FEEFDCC" w14:textId="77777777" w:rsidR="00690E8D" w:rsidRPr="00E603D7" w:rsidRDefault="00690E8D" w:rsidP="002E67C4">
            <w:pPr>
              <w:pStyle w:val="TableText"/>
              <w:jc w:val="right"/>
            </w:pPr>
            <w:r w:rsidRPr="00E603D7">
              <w:t>5060</w:t>
            </w:r>
          </w:p>
        </w:tc>
        <w:tc>
          <w:tcPr>
            <w:tcW w:w="928" w:type="pct"/>
            <w:hideMark/>
          </w:tcPr>
          <w:p w14:paraId="1E8B4F68" w14:textId="77777777" w:rsidR="00690E8D" w:rsidRPr="00E603D7" w:rsidRDefault="00690E8D" w:rsidP="002E67C4">
            <w:pPr>
              <w:pStyle w:val="TableText"/>
              <w:jc w:val="right"/>
            </w:pPr>
            <w:r w:rsidRPr="00E603D7">
              <w:t>20.3 (18.8, 21.9)</w:t>
            </w:r>
          </w:p>
        </w:tc>
      </w:tr>
      <w:tr w:rsidR="00690E8D" w:rsidRPr="00E603D7" w14:paraId="6B400C53" w14:textId="77777777" w:rsidTr="00040E45">
        <w:trPr>
          <w:cantSplit/>
        </w:trPr>
        <w:tc>
          <w:tcPr>
            <w:tcW w:w="2645" w:type="pct"/>
            <w:hideMark/>
          </w:tcPr>
          <w:p w14:paraId="6EE40AC1" w14:textId="77777777" w:rsidR="00690E8D" w:rsidRPr="00E603D7" w:rsidRDefault="00690E8D" w:rsidP="002E67C4">
            <w:pPr>
              <w:pStyle w:val="TableText"/>
            </w:pPr>
            <w:r w:rsidRPr="00E603D7">
              <w:t>2</w:t>
            </w:r>
          </w:p>
        </w:tc>
        <w:tc>
          <w:tcPr>
            <w:tcW w:w="689" w:type="pct"/>
            <w:hideMark/>
          </w:tcPr>
          <w:p w14:paraId="3D7D8D58" w14:textId="77777777" w:rsidR="00690E8D" w:rsidRPr="00E603D7" w:rsidRDefault="00690E8D" w:rsidP="002E67C4">
            <w:pPr>
              <w:pStyle w:val="TableText"/>
              <w:jc w:val="right"/>
            </w:pPr>
            <w:r w:rsidRPr="00E603D7">
              <w:t>228</w:t>
            </w:r>
          </w:p>
        </w:tc>
        <w:tc>
          <w:tcPr>
            <w:tcW w:w="738" w:type="pct"/>
            <w:hideMark/>
          </w:tcPr>
          <w:p w14:paraId="14A42CEF" w14:textId="77777777" w:rsidR="00690E8D" w:rsidRPr="00E603D7" w:rsidRDefault="00690E8D" w:rsidP="002E67C4">
            <w:pPr>
              <w:pStyle w:val="TableText"/>
              <w:jc w:val="right"/>
            </w:pPr>
            <w:r w:rsidRPr="00E603D7">
              <w:t>1347</w:t>
            </w:r>
          </w:p>
        </w:tc>
        <w:tc>
          <w:tcPr>
            <w:tcW w:w="928" w:type="pct"/>
            <w:hideMark/>
          </w:tcPr>
          <w:p w14:paraId="795C76A2" w14:textId="77777777" w:rsidR="00690E8D" w:rsidRPr="00E603D7" w:rsidRDefault="00690E8D" w:rsidP="002E67C4">
            <w:pPr>
              <w:pStyle w:val="TableText"/>
              <w:jc w:val="right"/>
            </w:pPr>
            <w:r w:rsidRPr="00E603D7">
              <w:t>5.4 (4.6, 6.3)</w:t>
            </w:r>
          </w:p>
        </w:tc>
      </w:tr>
      <w:tr w:rsidR="00690E8D" w:rsidRPr="00E603D7" w14:paraId="3693737D"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hideMark/>
          </w:tcPr>
          <w:p w14:paraId="1325C683" w14:textId="77777777" w:rsidR="00690E8D" w:rsidRPr="00E603D7" w:rsidRDefault="00690E8D" w:rsidP="002E67C4">
            <w:pPr>
              <w:pStyle w:val="TableText"/>
            </w:pPr>
            <w:r w:rsidRPr="00E603D7">
              <w:t>3</w:t>
            </w:r>
          </w:p>
        </w:tc>
        <w:tc>
          <w:tcPr>
            <w:tcW w:w="689" w:type="pct"/>
            <w:hideMark/>
          </w:tcPr>
          <w:p w14:paraId="2B3D5AE5" w14:textId="77777777" w:rsidR="00690E8D" w:rsidRPr="00E603D7" w:rsidRDefault="00690E8D" w:rsidP="002E67C4">
            <w:pPr>
              <w:pStyle w:val="TableText"/>
              <w:jc w:val="right"/>
            </w:pPr>
            <w:r w:rsidRPr="00E603D7">
              <w:t>63</w:t>
            </w:r>
          </w:p>
        </w:tc>
        <w:tc>
          <w:tcPr>
            <w:tcW w:w="738" w:type="pct"/>
            <w:hideMark/>
          </w:tcPr>
          <w:p w14:paraId="6BD4CBB8" w14:textId="77777777" w:rsidR="00690E8D" w:rsidRPr="00E603D7" w:rsidRDefault="00690E8D" w:rsidP="002E67C4">
            <w:pPr>
              <w:pStyle w:val="TableText"/>
              <w:jc w:val="right"/>
            </w:pPr>
            <w:r w:rsidRPr="00E603D7">
              <w:t>374</w:t>
            </w:r>
          </w:p>
        </w:tc>
        <w:tc>
          <w:tcPr>
            <w:tcW w:w="928" w:type="pct"/>
            <w:hideMark/>
          </w:tcPr>
          <w:p w14:paraId="5D984B73" w14:textId="77777777" w:rsidR="00690E8D" w:rsidRPr="00E603D7" w:rsidRDefault="00690E8D" w:rsidP="002E67C4">
            <w:pPr>
              <w:pStyle w:val="TableText"/>
              <w:jc w:val="right"/>
            </w:pPr>
            <w:r w:rsidRPr="00E603D7">
              <w:t>1.5 (1.1, 2.0)</w:t>
            </w:r>
          </w:p>
        </w:tc>
      </w:tr>
      <w:tr w:rsidR="00690E8D" w:rsidRPr="00E603D7" w14:paraId="3BDD00CF" w14:textId="77777777" w:rsidTr="00040E45">
        <w:trPr>
          <w:cantSplit/>
        </w:trPr>
        <w:tc>
          <w:tcPr>
            <w:tcW w:w="2645" w:type="pct"/>
            <w:hideMark/>
          </w:tcPr>
          <w:p w14:paraId="51C24DCA" w14:textId="77777777" w:rsidR="00690E8D" w:rsidRPr="00E603D7" w:rsidRDefault="00690E8D" w:rsidP="002E67C4">
            <w:pPr>
              <w:pStyle w:val="TableText"/>
            </w:pPr>
            <w:r w:rsidRPr="00E603D7">
              <w:t>4</w:t>
            </w:r>
          </w:p>
        </w:tc>
        <w:tc>
          <w:tcPr>
            <w:tcW w:w="689" w:type="pct"/>
            <w:hideMark/>
          </w:tcPr>
          <w:p w14:paraId="262F0DE2" w14:textId="77777777" w:rsidR="00690E8D" w:rsidRPr="00E603D7" w:rsidRDefault="00690E8D" w:rsidP="002E67C4">
            <w:pPr>
              <w:pStyle w:val="TableText"/>
              <w:jc w:val="right"/>
            </w:pPr>
            <w:r w:rsidRPr="00E603D7">
              <w:t>17</w:t>
            </w:r>
          </w:p>
        </w:tc>
        <w:tc>
          <w:tcPr>
            <w:tcW w:w="738" w:type="pct"/>
            <w:hideMark/>
          </w:tcPr>
          <w:p w14:paraId="76346639" w14:textId="77777777" w:rsidR="00690E8D" w:rsidRPr="00E603D7" w:rsidRDefault="00690E8D" w:rsidP="002E67C4">
            <w:pPr>
              <w:pStyle w:val="TableText"/>
              <w:jc w:val="right"/>
            </w:pPr>
            <w:r w:rsidRPr="00E603D7">
              <w:t>82</w:t>
            </w:r>
          </w:p>
        </w:tc>
        <w:tc>
          <w:tcPr>
            <w:tcW w:w="928" w:type="pct"/>
            <w:hideMark/>
          </w:tcPr>
          <w:p w14:paraId="534291B7" w14:textId="77777777" w:rsidR="00690E8D" w:rsidRPr="00E603D7" w:rsidRDefault="00690E8D" w:rsidP="002E67C4">
            <w:pPr>
              <w:pStyle w:val="TableText"/>
              <w:jc w:val="right"/>
            </w:pPr>
            <w:r w:rsidRPr="00E603D7">
              <w:t>0.3 (0.2, 0.6)</w:t>
            </w:r>
          </w:p>
        </w:tc>
      </w:tr>
      <w:tr w:rsidR="00690E8D" w:rsidRPr="00E603D7" w14:paraId="273C7B14"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tcBorders>
              <w:bottom w:val="single" w:sz="4" w:space="0" w:color="000000"/>
            </w:tcBorders>
            <w:hideMark/>
          </w:tcPr>
          <w:p w14:paraId="2874CB2F" w14:textId="77777777" w:rsidR="00690E8D" w:rsidRPr="00E603D7" w:rsidRDefault="00690E8D" w:rsidP="002E67C4">
            <w:pPr>
              <w:pStyle w:val="TableText"/>
            </w:pPr>
            <w:r w:rsidRPr="00E603D7">
              <w:t>5 plus</w:t>
            </w:r>
          </w:p>
        </w:tc>
        <w:tc>
          <w:tcPr>
            <w:tcW w:w="689" w:type="pct"/>
            <w:tcBorders>
              <w:bottom w:val="single" w:sz="4" w:space="0" w:color="000000"/>
            </w:tcBorders>
            <w:hideMark/>
          </w:tcPr>
          <w:p w14:paraId="23A39694" w14:textId="77777777" w:rsidR="00690E8D" w:rsidRPr="00E603D7" w:rsidRDefault="00690E8D" w:rsidP="002E67C4">
            <w:pPr>
              <w:pStyle w:val="TableText"/>
              <w:jc w:val="right"/>
            </w:pPr>
            <w:r w:rsidRPr="00E603D7">
              <w:t>11</w:t>
            </w:r>
          </w:p>
        </w:tc>
        <w:tc>
          <w:tcPr>
            <w:tcW w:w="738" w:type="pct"/>
            <w:tcBorders>
              <w:bottom w:val="single" w:sz="4" w:space="0" w:color="000000"/>
            </w:tcBorders>
            <w:hideMark/>
          </w:tcPr>
          <w:p w14:paraId="55D470B3" w14:textId="77777777" w:rsidR="00690E8D" w:rsidRPr="00E603D7" w:rsidRDefault="00690E8D" w:rsidP="002E67C4">
            <w:pPr>
              <w:pStyle w:val="TableText"/>
              <w:jc w:val="right"/>
            </w:pPr>
            <w:r w:rsidRPr="00E603D7">
              <w:t>47</w:t>
            </w:r>
          </w:p>
        </w:tc>
        <w:tc>
          <w:tcPr>
            <w:tcW w:w="928" w:type="pct"/>
            <w:tcBorders>
              <w:bottom w:val="single" w:sz="4" w:space="0" w:color="000000"/>
            </w:tcBorders>
            <w:hideMark/>
          </w:tcPr>
          <w:p w14:paraId="51F46110" w14:textId="77777777" w:rsidR="00690E8D" w:rsidRPr="00E603D7" w:rsidRDefault="00690E8D" w:rsidP="002E67C4">
            <w:pPr>
              <w:pStyle w:val="TableText"/>
              <w:jc w:val="right"/>
            </w:pPr>
            <w:r w:rsidRPr="00E603D7">
              <w:t>0.2 (0.1, 0.3)</w:t>
            </w:r>
          </w:p>
        </w:tc>
      </w:tr>
      <w:tr w:rsidR="00690E8D" w:rsidRPr="00E603D7" w14:paraId="4C048293" w14:textId="77777777" w:rsidTr="00040E45">
        <w:trPr>
          <w:cantSplit/>
        </w:trPr>
        <w:tc>
          <w:tcPr>
            <w:tcW w:w="2645" w:type="pct"/>
            <w:tcBorders>
              <w:top w:val="single" w:sz="4" w:space="0" w:color="000000"/>
              <w:bottom w:val="nil"/>
            </w:tcBorders>
            <w:hideMark/>
          </w:tcPr>
          <w:p w14:paraId="564A870E" w14:textId="77777777" w:rsidR="00690E8D" w:rsidRPr="004C6CF5" w:rsidRDefault="00690E8D" w:rsidP="002E67C4">
            <w:pPr>
              <w:pStyle w:val="TableText"/>
              <w:rPr>
                <w:b/>
              </w:rPr>
            </w:pPr>
            <w:r w:rsidRPr="004C6CF5">
              <w:rPr>
                <w:b/>
              </w:rPr>
              <w:t xml:space="preserve">No. of other voluntary groups joined </w:t>
            </w:r>
          </w:p>
        </w:tc>
        <w:tc>
          <w:tcPr>
            <w:tcW w:w="689" w:type="pct"/>
            <w:tcBorders>
              <w:top w:val="single" w:sz="4" w:space="0" w:color="000000"/>
              <w:bottom w:val="nil"/>
            </w:tcBorders>
          </w:tcPr>
          <w:p w14:paraId="042C074C" w14:textId="77777777" w:rsidR="00690E8D" w:rsidRPr="00E603D7" w:rsidRDefault="00690E8D" w:rsidP="002E67C4">
            <w:pPr>
              <w:pStyle w:val="TableText"/>
              <w:jc w:val="right"/>
            </w:pPr>
          </w:p>
        </w:tc>
        <w:tc>
          <w:tcPr>
            <w:tcW w:w="738" w:type="pct"/>
            <w:tcBorders>
              <w:top w:val="single" w:sz="4" w:space="0" w:color="000000"/>
              <w:bottom w:val="nil"/>
            </w:tcBorders>
          </w:tcPr>
          <w:p w14:paraId="28208E9B" w14:textId="77777777" w:rsidR="00690E8D" w:rsidRPr="00E603D7" w:rsidRDefault="00690E8D" w:rsidP="002E67C4">
            <w:pPr>
              <w:pStyle w:val="TableText"/>
              <w:jc w:val="right"/>
            </w:pPr>
          </w:p>
        </w:tc>
        <w:tc>
          <w:tcPr>
            <w:tcW w:w="928" w:type="pct"/>
            <w:tcBorders>
              <w:top w:val="single" w:sz="4" w:space="0" w:color="000000"/>
              <w:bottom w:val="nil"/>
            </w:tcBorders>
          </w:tcPr>
          <w:p w14:paraId="040B994B" w14:textId="77777777" w:rsidR="00690E8D" w:rsidRPr="00E603D7" w:rsidRDefault="00690E8D" w:rsidP="002E67C4">
            <w:pPr>
              <w:pStyle w:val="TableText"/>
              <w:jc w:val="right"/>
            </w:pPr>
          </w:p>
        </w:tc>
      </w:tr>
      <w:tr w:rsidR="00690E8D" w:rsidRPr="00E603D7" w14:paraId="0BB6A335"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tcBorders>
              <w:top w:val="nil"/>
            </w:tcBorders>
            <w:hideMark/>
          </w:tcPr>
          <w:p w14:paraId="6412214F" w14:textId="77777777" w:rsidR="00690E8D" w:rsidRPr="00E603D7" w:rsidRDefault="00690E8D" w:rsidP="002E67C4">
            <w:pPr>
              <w:pStyle w:val="TableText"/>
            </w:pPr>
            <w:r w:rsidRPr="00E603D7">
              <w:t>None</w:t>
            </w:r>
          </w:p>
        </w:tc>
        <w:tc>
          <w:tcPr>
            <w:tcW w:w="689" w:type="pct"/>
            <w:tcBorders>
              <w:top w:val="nil"/>
            </w:tcBorders>
            <w:hideMark/>
          </w:tcPr>
          <w:p w14:paraId="2694C0B9" w14:textId="77777777" w:rsidR="00690E8D" w:rsidRPr="00E603D7" w:rsidRDefault="00690E8D" w:rsidP="002E67C4">
            <w:pPr>
              <w:pStyle w:val="TableText"/>
              <w:jc w:val="right"/>
            </w:pPr>
            <w:r w:rsidRPr="00E603D7">
              <w:t>2204</w:t>
            </w:r>
          </w:p>
        </w:tc>
        <w:tc>
          <w:tcPr>
            <w:tcW w:w="738" w:type="pct"/>
            <w:tcBorders>
              <w:top w:val="nil"/>
            </w:tcBorders>
            <w:hideMark/>
          </w:tcPr>
          <w:p w14:paraId="33B237B3" w14:textId="77777777" w:rsidR="00690E8D" w:rsidRPr="00E603D7" w:rsidRDefault="00690E8D" w:rsidP="002E67C4">
            <w:pPr>
              <w:pStyle w:val="TableText"/>
              <w:jc w:val="right"/>
            </w:pPr>
            <w:r w:rsidRPr="00E603D7">
              <w:t>16,202</w:t>
            </w:r>
          </w:p>
        </w:tc>
        <w:tc>
          <w:tcPr>
            <w:tcW w:w="928" w:type="pct"/>
            <w:tcBorders>
              <w:top w:val="nil"/>
            </w:tcBorders>
            <w:hideMark/>
          </w:tcPr>
          <w:p w14:paraId="570F943C" w14:textId="77777777" w:rsidR="00690E8D" w:rsidRPr="00E603D7" w:rsidRDefault="00690E8D" w:rsidP="002E67C4">
            <w:pPr>
              <w:pStyle w:val="TableText"/>
              <w:jc w:val="right"/>
            </w:pPr>
            <w:r w:rsidRPr="00E603D7">
              <w:t>64.9 (63.0, 66.9)</w:t>
            </w:r>
          </w:p>
        </w:tc>
      </w:tr>
      <w:tr w:rsidR="00690E8D" w:rsidRPr="00E603D7" w14:paraId="6864F863" w14:textId="77777777" w:rsidTr="00040E45">
        <w:trPr>
          <w:cantSplit/>
        </w:trPr>
        <w:tc>
          <w:tcPr>
            <w:tcW w:w="2645" w:type="pct"/>
            <w:hideMark/>
          </w:tcPr>
          <w:p w14:paraId="789FE0D2" w14:textId="77777777" w:rsidR="00690E8D" w:rsidRPr="00E603D7" w:rsidRDefault="00690E8D" w:rsidP="002E67C4">
            <w:pPr>
              <w:pStyle w:val="TableText"/>
            </w:pPr>
            <w:r w:rsidRPr="00E603D7">
              <w:t>1</w:t>
            </w:r>
          </w:p>
        </w:tc>
        <w:tc>
          <w:tcPr>
            <w:tcW w:w="689" w:type="pct"/>
            <w:hideMark/>
          </w:tcPr>
          <w:p w14:paraId="2880DDD0" w14:textId="77777777" w:rsidR="00690E8D" w:rsidRPr="00E603D7" w:rsidRDefault="00690E8D" w:rsidP="002E67C4">
            <w:pPr>
              <w:pStyle w:val="TableText"/>
              <w:jc w:val="right"/>
            </w:pPr>
            <w:r w:rsidRPr="00E603D7">
              <w:t>732</w:t>
            </w:r>
          </w:p>
        </w:tc>
        <w:tc>
          <w:tcPr>
            <w:tcW w:w="738" w:type="pct"/>
            <w:hideMark/>
          </w:tcPr>
          <w:p w14:paraId="72CA4269" w14:textId="77777777" w:rsidR="00690E8D" w:rsidRPr="00E603D7" w:rsidRDefault="00690E8D" w:rsidP="002E67C4">
            <w:pPr>
              <w:pStyle w:val="TableText"/>
              <w:jc w:val="right"/>
            </w:pPr>
            <w:r w:rsidRPr="00E603D7">
              <w:t>4610</w:t>
            </w:r>
          </w:p>
        </w:tc>
        <w:tc>
          <w:tcPr>
            <w:tcW w:w="928" w:type="pct"/>
            <w:hideMark/>
          </w:tcPr>
          <w:p w14:paraId="5462ABC8" w14:textId="77777777" w:rsidR="00690E8D" w:rsidRPr="00E603D7" w:rsidRDefault="00690E8D" w:rsidP="002E67C4">
            <w:pPr>
              <w:pStyle w:val="TableText"/>
              <w:jc w:val="right"/>
            </w:pPr>
            <w:r w:rsidRPr="00E603D7">
              <w:t>18.5 (17.0, 20.1)</w:t>
            </w:r>
          </w:p>
        </w:tc>
      </w:tr>
      <w:tr w:rsidR="00690E8D" w:rsidRPr="00E603D7" w14:paraId="0C3AD70D"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hideMark/>
          </w:tcPr>
          <w:p w14:paraId="0499DAEA" w14:textId="77777777" w:rsidR="00690E8D" w:rsidRPr="00E603D7" w:rsidRDefault="00690E8D" w:rsidP="002E67C4">
            <w:pPr>
              <w:pStyle w:val="TableText"/>
            </w:pPr>
            <w:r w:rsidRPr="00E603D7">
              <w:t>2</w:t>
            </w:r>
          </w:p>
        </w:tc>
        <w:tc>
          <w:tcPr>
            <w:tcW w:w="689" w:type="pct"/>
            <w:hideMark/>
          </w:tcPr>
          <w:p w14:paraId="1D6FFA88" w14:textId="77777777" w:rsidR="00690E8D" w:rsidRPr="00E603D7" w:rsidRDefault="00690E8D" w:rsidP="002E67C4">
            <w:pPr>
              <w:pStyle w:val="TableText"/>
              <w:jc w:val="right"/>
            </w:pPr>
            <w:r w:rsidRPr="00E603D7">
              <w:t>345</w:t>
            </w:r>
          </w:p>
        </w:tc>
        <w:tc>
          <w:tcPr>
            <w:tcW w:w="738" w:type="pct"/>
            <w:hideMark/>
          </w:tcPr>
          <w:p w14:paraId="6BEAFDBC" w14:textId="77777777" w:rsidR="00690E8D" w:rsidRPr="00E603D7" w:rsidRDefault="00690E8D" w:rsidP="002E67C4">
            <w:pPr>
              <w:pStyle w:val="TableText"/>
              <w:jc w:val="right"/>
            </w:pPr>
            <w:r w:rsidRPr="00E603D7">
              <w:t>1961</w:t>
            </w:r>
          </w:p>
        </w:tc>
        <w:tc>
          <w:tcPr>
            <w:tcW w:w="928" w:type="pct"/>
            <w:hideMark/>
          </w:tcPr>
          <w:p w14:paraId="3114F655" w14:textId="77777777" w:rsidR="00690E8D" w:rsidRPr="00E603D7" w:rsidRDefault="00690E8D" w:rsidP="002E67C4">
            <w:pPr>
              <w:pStyle w:val="TableText"/>
              <w:jc w:val="right"/>
            </w:pPr>
            <w:r w:rsidRPr="00E603D7">
              <w:t>7.9 (6.9, 8.9)</w:t>
            </w:r>
          </w:p>
        </w:tc>
      </w:tr>
      <w:tr w:rsidR="00690E8D" w:rsidRPr="00E603D7" w14:paraId="0A882467" w14:textId="77777777" w:rsidTr="00040E45">
        <w:trPr>
          <w:cantSplit/>
        </w:trPr>
        <w:tc>
          <w:tcPr>
            <w:tcW w:w="2645" w:type="pct"/>
            <w:hideMark/>
          </w:tcPr>
          <w:p w14:paraId="4858BBBA" w14:textId="77777777" w:rsidR="00690E8D" w:rsidRPr="00E603D7" w:rsidRDefault="00690E8D" w:rsidP="002E67C4">
            <w:pPr>
              <w:pStyle w:val="TableText"/>
            </w:pPr>
            <w:r w:rsidRPr="00E603D7">
              <w:t>3</w:t>
            </w:r>
          </w:p>
        </w:tc>
        <w:tc>
          <w:tcPr>
            <w:tcW w:w="689" w:type="pct"/>
            <w:hideMark/>
          </w:tcPr>
          <w:p w14:paraId="0F26BCA5" w14:textId="77777777" w:rsidR="00690E8D" w:rsidRPr="00E603D7" w:rsidRDefault="00690E8D" w:rsidP="002E67C4">
            <w:pPr>
              <w:pStyle w:val="TableText"/>
              <w:jc w:val="right"/>
            </w:pPr>
            <w:r w:rsidRPr="00E603D7">
              <w:t>133</w:t>
            </w:r>
          </w:p>
        </w:tc>
        <w:tc>
          <w:tcPr>
            <w:tcW w:w="738" w:type="pct"/>
            <w:hideMark/>
          </w:tcPr>
          <w:p w14:paraId="5C1FB2E6" w14:textId="77777777" w:rsidR="00690E8D" w:rsidRPr="00E603D7" w:rsidRDefault="00690E8D" w:rsidP="002E67C4">
            <w:pPr>
              <w:pStyle w:val="TableText"/>
              <w:jc w:val="right"/>
            </w:pPr>
            <w:r w:rsidRPr="00E603D7">
              <w:t>854</w:t>
            </w:r>
          </w:p>
        </w:tc>
        <w:tc>
          <w:tcPr>
            <w:tcW w:w="928" w:type="pct"/>
            <w:hideMark/>
          </w:tcPr>
          <w:p w14:paraId="471EFACB" w14:textId="77777777" w:rsidR="00690E8D" w:rsidRPr="00E603D7" w:rsidRDefault="00690E8D" w:rsidP="002E67C4">
            <w:pPr>
              <w:pStyle w:val="TableText"/>
              <w:jc w:val="right"/>
            </w:pPr>
            <w:r w:rsidRPr="00E603D7">
              <w:t>3.4 (2.8, 4.3)</w:t>
            </w:r>
          </w:p>
        </w:tc>
      </w:tr>
      <w:tr w:rsidR="00690E8D" w:rsidRPr="00E603D7" w14:paraId="08EEA3E0"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hideMark/>
          </w:tcPr>
          <w:p w14:paraId="23E9310D" w14:textId="77777777" w:rsidR="00690E8D" w:rsidRPr="00E603D7" w:rsidRDefault="00690E8D" w:rsidP="002E67C4">
            <w:pPr>
              <w:pStyle w:val="TableText"/>
            </w:pPr>
            <w:r w:rsidRPr="00E603D7">
              <w:t>4</w:t>
            </w:r>
          </w:p>
        </w:tc>
        <w:tc>
          <w:tcPr>
            <w:tcW w:w="689" w:type="pct"/>
            <w:hideMark/>
          </w:tcPr>
          <w:p w14:paraId="440B8AF3" w14:textId="77777777" w:rsidR="00690E8D" w:rsidRPr="00E603D7" w:rsidRDefault="00690E8D" w:rsidP="002E67C4">
            <w:pPr>
              <w:pStyle w:val="TableText"/>
              <w:jc w:val="right"/>
            </w:pPr>
            <w:r w:rsidRPr="00E603D7">
              <w:t>36</w:t>
            </w:r>
          </w:p>
        </w:tc>
        <w:tc>
          <w:tcPr>
            <w:tcW w:w="738" w:type="pct"/>
            <w:hideMark/>
          </w:tcPr>
          <w:p w14:paraId="09DE7435" w14:textId="77777777" w:rsidR="00690E8D" w:rsidRPr="00E603D7" w:rsidRDefault="00690E8D" w:rsidP="002E67C4">
            <w:pPr>
              <w:pStyle w:val="TableText"/>
              <w:jc w:val="right"/>
            </w:pPr>
            <w:r w:rsidRPr="00E603D7">
              <w:t>208</w:t>
            </w:r>
          </w:p>
        </w:tc>
        <w:tc>
          <w:tcPr>
            <w:tcW w:w="928" w:type="pct"/>
            <w:hideMark/>
          </w:tcPr>
          <w:p w14:paraId="361CC642" w14:textId="77777777" w:rsidR="00690E8D" w:rsidRPr="00E603D7" w:rsidRDefault="00690E8D" w:rsidP="002E67C4">
            <w:pPr>
              <w:pStyle w:val="TableText"/>
              <w:jc w:val="right"/>
            </w:pPr>
            <w:r w:rsidRPr="00E603D7">
              <w:t>0.8 (0.6, 1.2)</w:t>
            </w:r>
          </w:p>
        </w:tc>
      </w:tr>
      <w:tr w:rsidR="00690E8D" w:rsidRPr="00E603D7" w14:paraId="4734CD69" w14:textId="77777777" w:rsidTr="00040E45">
        <w:trPr>
          <w:cantSplit/>
        </w:trPr>
        <w:tc>
          <w:tcPr>
            <w:tcW w:w="2645" w:type="pct"/>
            <w:tcBorders>
              <w:bottom w:val="single" w:sz="4" w:space="0" w:color="000000"/>
            </w:tcBorders>
            <w:hideMark/>
          </w:tcPr>
          <w:p w14:paraId="4611904E" w14:textId="77777777" w:rsidR="00690E8D" w:rsidRPr="00E603D7" w:rsidRDefault="00690E8D" w:rsidP="002E67C4">
            <w:pPr>
              <w:pStyle w:val="TableText"/>
            </w:pPr>
            <w:r w:rsidRPr="00E603D7">
              <w:t>5 plus</w:t>
            </w:r>
          </w:p>
        </w:tc>
        <w:tc>
          <w:tcPr>
            <w:tcW w:w="689" w:type="pct"/>
            <w:tcBorders>
              <w:bottom w:val="single" w:sz="4" w:space="0" w:color="000000"/>
            </w:tcBorders>
            <w:hideMark/>
          </w:tcPr>
          <w:p w14:paraId="2AD9E890" w14:textId="77777777" w:rsidR="00690E8D" w:rsidRPr="00E603D7" w:rsidRDefault="00690E8D" w:rsidP="002E67C4">
            <w:pPr>
              <w:pStyle w:val="TableText"/>
              <w:jc w:val="right"/>
            </w:pPr>
            <w:r w:rsidRPr="00E603D7">
              <w:t>27</w:t>
            </w:r>
          </w:p>
        </w:tc>
        <w:tc>
          <w:tcPr>
            <w:tcW w:w="738" w:type="pct"/>
            <w:tcBorders>
              <w:bottom w:val="single" w:sz="4" w:space="0" w:color="000000"/>
            </w:tcBorders>
            <w:hideMark/>
          </w:tcPr>
          <w:p w14:paraId="04BBA931" w14:textId="77777777" w:rsidR="00690E8D" w:rsidRPr="00E603D7" w:rsidRDefault="00690E8D" w:rsidP="002E67C4">
            <w:pPr>
              <w:pStyle w:val="TableText"/>
              <w:jc w:val="right"/>
            </w:pPr>
            <w:r w:rsidRPr="00E603D7">
              <w:t>160</w:t>
            </w:r>
          </w:p>
        </w:tc>
        <w:tc>
          <w:tcPr>
            <w:tcW w:w="928" w:type="pct"/>
            <w:tcBorders>
              <w:bottom w:val="single" w:sz="4" w:space="0" w:color="000000"/>
            </w:tcBorders>
            <w:hideMark/>
          </w:tcPr>
          <w:p w14:paraId="2E567E37" w14:textId="77777777" w:rsidR="00690E8D" w:rsidRPr="00E603D7" w:rsidRDefault="00690E8D" w:rsidP="002E67C4">
            <w:pPr>
              <w:pStyle w:val="TableText"/>
              <w:jc w:val="right"/>
            </w:pPr>
            <w:r w:rsidRPr="00E603D7">
              <w:t>0.6 (0.4, 1.1)</w:t>
            </w:r>
          </w:p>
        </w:tc>
      </w:tr>
      <w:tr w:rsidR="00690E8D" w:rsidRPr="00E603D7" w14:paraId="43744BE9"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tcBorders>
              <w:top w:val="single" w:sz="4" w:space="0" w:color="000000"/>
              <w:bottom w:val="nil"/>
            </w:tcBorders>
            <w:hideMark/>
          </w:tcPr>
          <w:p w14:paraId="4FB90F48" w14:textId="77777777" w:rsidR="00690E8D" w:rsidRPr="004C6CF5" w:rsidRDefault="00690E8D" w:rsidP="002E67C4">
            <w:pPr>
              <w:pStyle w:val="TableText"/>
              <w:rPr>
                <w:b/>
              </w:rPr>
            </w:pPr>
            <w:r w:rsidRPr="004C6CF5">
              <w:rPr>
                <w:b/>
              </w:rPr>
              <w:t>Criminal behaviour since transition</w:t>
            </w:r>
          </w:p>
        </w:tc>
        <w:tc>
          <w:tcPr>
            <w:tcW w:w="689" w:type="pct"/>
            <w:tcBorders>
              <w:top w:val="single" w:sz="4" w:space="0" w:color="000000"/>
              <w:bottom w:val="nil"/>
            </w:tcBorders>
          </w:tcPr>
          <w:p w14:paraId="098C2AB4" w14:textId="77777777" w:rsidR="00690E8D" w:rsidRPr="00E603D7" w:rsidRDefault="00690E8D" w:rsidP="002E67C4">
            <w:pPr>
              <w:pStyle w:val="TableText"/>
              <w:jc w:val="right"/>
            </w:pPr>
          </w:p>
        </w:tc>
        <w:tc>
          <w:tcPr>
            <w:tcW w:w="738" w:type="pct"/>
            <w:tcBorders>
              <w:top w:val="single" w:sz="4" w:space="0" w:color="000000"/>
              <w:bottom w:val="nil"/>
            </w:tcBorders>
          </w:tcPr>
          <w:p w14:paraId="614F044B" w14:textId="77777777" w:rsidR="00690E8D" w:rsidRPr="00E603D7" w:rsidRDefault="00690E8D" w:rsidP="002E67C4">
            <w:pPr>
              <w:pStyle w:val="TableText"/>
              <w:jc w:val="right"/>
            </w:pPr>
          </w:p>
        </w:tc>
        <w:tc>
          <w:tcPr>
            <w:tcW w:w="928" w:type="pct"/>
            <w:tcBorders>
              <w:top w:val="single" w:sz="4" w:space="0" w:color="000000"/>
              <w:bottom w:val="nil"/>
            </w:tcBorders>
          </w:tcPr>
          <w:p w14:paraId="2F64A756" w14:textId="77777777" w:rsidR="00690E8D" w:rsidRPr="00E603D7" w:rsidRDefault="00690E8D" w:rsidP="002E67C4">
            <w:pPr>
              <w:pStyle w:val="TableText"/>
              <w:jc w:val="right"/>
            </w:pPr>
          </w:p>
        </w:tc>
      </w:tr>
      <w:tr w:rsidR="00690E8D" w:rsidRPr="00E603D7" w14:paraId="09A377A1" w14:textId="77777777" w:rsidTr="00040E45">
        <w:trPr>
          <w:cantSplit/>
        </w:trPr>
        <w:tc>
          <w:tcPr>
            <w:tcW w:w="2645" w:type="pct"/>
            <w:tcBorders>
              <w:top w:val="nil"/>
            </w:tcBorders>
            <w:hideMark/>
          </w:tcPr>
          <w:p w14:paraId="5F90EFED" w14:textId="77777777" w:rsidR="00690E8D" w:rsidRPr="00E603D7" w:rsidRDefault="00690E8D" w:rsidP="002E67C4">
            <w:pPr>
              <w:pStyle w:val="TableText"/>
            </w:pPr>
            <w:r w:rsidRPr="00E603D7">
              <w:t>Arrested</w:t>
            </w:r>
          </w:p>
        </w:tc>
        <w:tc>
          <w:tcPr>
            <w:tcW w:w="689" w:type="pct"/>
            <w:tcBorders>
              <w:top w:val="nil"/>
            </w:tcBorders>
            <w:hideMark/>
          </w:tcPr>
          <w:p w14:paraId="56513F79" w14:textId="77777777" w:rsidR="00690E8D" w:rsidRPr="00E603D7" w:rsidRDefault="00690E8D" w:rsidP="002E67C4">
            <w:pPr>
              <w:pStyle w:val="TableText"/>
              <w:jc w:val="right"/>
            </w:pPr>
            <w:r w:rsidRPr="00E603D7">
              <w:t>72</w:t>
            </w:r>
          </w:p>
        </w:tc>
        <w:tc>
          <w:tcPr>
            <w:tcW w:w="738" w:type="pct"/>
            <w:tcBorders>
              <w:top w:val="nil"/>
            </w:tcBorders>
            <w:hideMark/>
          </w:tcPr>
          <w:p w14:paraId="05FCDFC6" w14:textId="77777777" w:rsidR="00690E8D" w:rsidRPr="00E603D7" w:rsidRDefault="00690E8D" w:rsidP="002E67C4">
            <w:pPr>
              <w:pStyle w:val="TableText"/>
              <w:jc w:val="right"/>
            </w:pPr>
            <w:r w:rsidRPr="00E603D7">
              <w:t>746</w:t>
            </w:r>
          </w:p>
        </w:tc>
        <w:tc>
          <w:tcPr>
            <w:tcW w:w="928" w:type="pct"/>
            <w:tcBorders>
              <w:top w:val="nil"/>
            </w:tcBorders>
            <w:hideMark/>
          </w:tcPr>
          <w:p w14:paraId="51216819" w14:textId="77777777" w:rsidR="00690E8D" w:rsidRPr="00E603D7" w:rsidRDefault="00690E8D" w:rsidP="002E67C4">
            <w:pPr>
              <w:pStyle w:val="TableText"/>
              <w:jc w:val="right"/>
            </w:pPr>
            <w:r w:rsidRPr="00E603D7">
              <w:t>2.9 (2.3,3.9)</w:t>
            </w:r>
          </w:p>
        </w:tc>
      </w:tr>
      <w:tr w:rsidR="00690E8D" w:rsidRPr="00E603D7" w14:paraId="423E1003" w14:textId="77777777" w:rsidTr="00040E45">
        <w:trPr>
          <w:cnfStyle w:val="000000100000" w:firstRow="0" w:lastRow="0" w:firstColumn="0" w:lastColumn="0" w:oddVBand="0" w:evenVBand="0" w:oddHBand="1" w:evenHBand="0" w:firstRowFirstColumn="0" w:firstRowLastColumn="0" w:lastRowFirstColumn="0" w:lastRowLastColumn="0"/>
          <w:cantSplit/>
        </w:trPr>
        <w:tc>
          <w:tcPr>
            <w:tcW w:w="2645" w:type="pct"/>
            <w:hideMark/>
          </w:tcPr>
          <w:p w14:paraId="5F310838" w14:textId="77777777" w:rsidR="00690E8D" w:rsidRPr="00E603D7" w:rsidRDefault="00690E8D" w:rsidP="002E67C4">
            <w:pPr>
              <w:pStyle w:val="TableText"/>
            </w:pPr>
            <w:r w:rsidRPr="00E603D7">
              <w:t>Conviction</w:t>
            </w:r>
          </w:p>
        </w:tc>
        <w:tc>
          <w:tcPr>
            <w:tcW w:w="689" w:type="pct"/>
            <w:hideMark/>
          </w:tcPr>
          <w:p w14:paraId="7715370A" w14:textId="77777777" w:rsidR="00690E8D" w:rsidRPr="00E603D7" w:rsidRDefault="00690E8D" w:rsidP="002E67C4">
            <w:pPr>
              <w:pStyle w:val="TableText"/>
              <w:jc w:val="right"/>
            </w:pPr>
            <w:r w:rsidRPr="00E603D7">
              <w:t>47</w:t>
            </w:r>
          </w:p>
        </w:tc>
        <w:tc>
          <w:tcPr>
            <w:tcW w:w="738" w:type="pct"/>
            <w:hideMark/>
          </w:tcPr>
          <w:p w14:paraId="03ED6DA7" w14:textId="77777777" w:rsidR="00690E8D" w:rsidRPr="00E603D7" w:rsidRDefault="00690E8D" w:rsidP="002E67C4">
            <w:pPr>
              <w:pStyle w:val="TableText"/>
              <w:jc w:val="right"/>
            </w:pPr>
            <w:r w:rsidRPr="00E603D7">
              <w:t>516</w:t>
            </w:r>
          </w:p>
        </w:tc>
        <w:tc>
          <w:tcPr>
            <w:tcW w:w="928" w:type="pct"/>
            <w:hideMark/>
          </w:tcPr>
          <w:p w14:paraId="46944C40" w14:textId="77777777" w:rsidR="00690E8D" w:rsidRPr="00E603D7" w:rsidRDefault="00690E8D" w:rsidP="002E67C4">
            <w:pPr>
              <w:pStyle w:val="TableText"/>
              <w:jc w:val="right"/>
            </w:pPr>
            <w:r w:rsidRPr="00E603D7">
              <w:t>2.1 (1.5, 2.9)</w:t>
            </w:r>
          </w:p>
        </w:tc>
      </w:tr>
      <w:tr w:rsidR="00690E8D" w:rsidRPr="00E603D7" w14:paraId="06A128CD" w14:textId="77777777" w:rsidTr="00040E45">
        <w:trPr>
          <w:cantSplit/>
        </w:trPr>
        <w:tc>
          <w:tcPr>
            <w:tcW w:w="2645" w:type="pct"/>
            <w:hideMark/>
          </w:tcPr>
          <w:p w14:paraId="61F917FB" w14:textId="77777777" w:rsidR="00690E8D" w:rsidRPr="00E603D7" w:rsidRDefault="00690E8D" w:rsidP="002E67C4">
            <w:pPr>
              <w:pStyle w:val="TableText"/>
            </w:pPr>
            <w:r w:rsidRPr="00E603D7">
              <w:t>Imprisoned</w:t>
            </w:r>
          </w:p>
        </w:tc>
        <w:tc>
          <w:tcPr>
            <w:tcW w:w="689" w:type="pct"/>
            <w:hideMark/>
          </w:tcPr>
          <w:p w14:paraId="2C19F0AB" w14:textId="77777777" w:rsidR="00690E8D" w:rsidRPr="00E603D7" w:rsidRDefault="00690E8D" w:rsidP="002E67C4">
            <w:pPr>
              <w:pStyle w:val="TableText"/>
              <w:jc w:val="right"/>
            </w:pPr>
            <w:r w:rsidRPr="00E603D7">
              <w:t>#</w:t>
            </w:r>
          </w:p>
        </w:tc>
        <w:tc>
          <w:tcPr>
            <w:tcW w:w="738" w:type="pct"/>
            <w:hideMark/>
          </w:tcPr>
          <w:p w14:paraId="7A32ACF4" w14:textId="77777777" w:rsidR="00690E8D" w:rsidRPr="00E603D7" w:rsidRDefault="00690E8D" w:rsidP="002E67C4">
            <w:pPr>
              <w:pStyle w:val="TableText"/>
              <w:jc w:val="right"/>
            </w:pPr>
            <w:r>
              <w:t>–</w:t>
            </w:r>
          </w:p>
        </w:tc>
        <w:tc>
          <w:tcPr>
            <w:tcW w:w="928" w:type="pct"/>
            <w:hideMark/>
          </w:tcPr>
          <w:p w14:paraId="05220EDF" w14:textId="77777777" w:rsidR="00690E8D" w:rsidRPr="00E603D7" w:rsidRDefault="00690E8D" w:rsidP="002E67C4">
            <w:pPr>
              <w:pStyle w:val="TableText"/>
              <w:jc w:val="right"/>
            </w:pPr>
            <w:r>
              <w:t>–</w:t>
            </w:r>
          </w:p>
        </w:tc>
      </w:tr>
    </w:tbl>
    <w:p w14:paraId="6FA70541" w14:textId="77777777" w:rsidR="00690E8D" w:rsidRPr="006A3EA0" w:rsidRDefault="00690E8D" w:rsidP="00690E8D">
      <w:pPr>
        <w:pStyle w:val="TableNotes"/>
      </w:pPr>
      <w:r w:rsidRPr="006A3EA0">
        <w:t>Notes</w:t>
      </w:r>
    </w:p>
    <w:p w14:paraId="75818512" w14:textId="77777777" w:rsidR="00690E8D" w:rsidRPr="00E603D7" w:rsidRDefault="00690E8D" w:rsidP="00690E8D">
      <w:pPr>
        <w:pStyle w:val="TableNotes"/>
      </w:pPr>
      <w:r w:rsidRPr="00E603D7">
        <w:t>95%CI</w:t>
      </w:r>
      <w:r>
        <w:t xml:space="preserve"> =</w:t>
      </w:r>
      <w:r w:rsidRPr="00E603D7">
        <w:t xml:space="preserve"> 95% </w:t>
      </w:r>
      <w:r>
        <w:t>confidence interval.</w:t>
      </w:r>
    </w:p>
    <w:p w14:paraId="04DB0A7D" w14:textId="77777777" w:rsidR="00690E8D" w:rsidRPr="00E603D7" w:rsidRDefault="00690E8D" w:rsidP="00690E8D">
      <w:pPr>
        <w:pStyle w:val="TableNotes"/>
      </w:pPr>
      <w:r w:rsidRPr="00E603D7">
        <w:t>Missing: Ex</w:t>
      </w:r>
      <w:r>
        <w:t>-</w:t>
      </w:r>
      <w:r w:rsidRPr="00E603D7">
        <w:t>service organisations: 60 (2.7%), other organisations 94 (3.8%)</w:t>
      </w:r>
      <w:r>
        <w:t>.</w:t>
      </w:r>
    </w:p>
    <w:p w14:paraId="622E1621" w14:textId="77777777" w:rsidR="00690E8D" w:rsidRDefault="00690E8D" w:rsidP="00690E8D">
      <w:pPr>
        <w:pStyle w:val="TableNotes"/>
      </w:pPr>
      <w:r w:rsidRPr="00E603D7">
        <w:t xml:space="preserve"># </w:t>
      </w:r>
      <w:r>
        <w:t>= C</w:t>
      </w:r>
      <w:r w:rsidRPr="00E603D7">
        <w:t>ell size too small to be reported</w:t>
      </w:r>
      <w:r>
        <w:t>.</w:t>
      </w:r>
    </w:p>
    <w:p w14:paraId="1D13DD16" w14:textId="77777777" w:rsidR="006B1ECA" w:rsidRDefault="006B1ECA" w:rsidP="00C44855">
      <w:pPr>
        <w:sectPr w:rsidR="006B1ECA" w:rsidSect="00994AD8">
          <w:pgSz w:w="9979" w:h="14170" w:code="243"/>
          <w:pgMar w:top="1440" w:right="1152" w:bottom="1440" w:left="1728" w:header="576" w:footer="576" w:gutter="0"/>
          <w:cols w:space="708"/>
          <w:docGrid w:linePitch="360"/>
        </w:sectPr>
      </w:pPr>
    </w:p>
    <w:p w14:paraId="1E155A74" w14:textId="77777777" w:rsidR="009A6E70" w:rsidRDefault="009A6E70" w:rsidP="009A6E70">
      <w:pPr>
        <w:pStyle w:val="Heading1"/>
        <w:numPr>
          <w:ilvl w:val="0"/>
          <w:numId w:val="1"/>
        </w:numPr>
      </w:pPr>
      <w:bookmarkStart w:id="271" w:name="_Toc509917422"/>
      <w:bookmarkStart w:id="272" w:name="_Toc515374457"/>
      <w:bookmarkStart w:id="273" w:name="_Toc518566350"/>
      <w:bookmarkStart w:id="274" w:name="_Toc528932649"/>
      <w:bookmarkStart w:id="275" w:name="_Toc531859186"/>
      <w:r>
        <w:t>Internet</w:t>
      </w:r>
      <w:r w:rsidRPr="00BA51C0">
        <w:t xml:space="preserve"> use and attitudes to using the </w:t>
      </w:r>
      <w:r>
        <w:t>internet</w:t>
      </w:r>
      <w:r w:rsidRPr="00BA51C0">
        <w:t xml:space="preserve"> in Transitioned and 2015 Regular ADF</w:t>
      </w:r>
      <w:bookmarkEnd w:id="271"/>
      <w:bookmarkEnd w:id="272"/>
      <w:bookmarkEnd w:id="273"/>
      <w:bookmarkEnd w:id="274"/>
      <w:bookmarkEnd w:id="275"/>
    </w:p>
    <w:p w14:paraId="343BD63A" w14:textId="77777777" w:rsidR="009A6E70" w:rsidRPr="00D4741B" w:rsidRDefault="009A6E70" w:rsidP="009A6E70">
      <w:pPr>
        <w:pStyle w:val="ShadedBoxSubheading"/>
      </w:pPr>
      <w:bookmarkStart w:id="276" w:name="_Toc518566351"/>
      <w:r w:rsidRPr="00D4741B">
        <w:t>Frequency, duration and timing of internet use</w:t>
      </w:r>
      <w:bookmarkEnd w:id="276"/>
    </w:p>
    <w:p w14:paraId="769650D9" w14:textId="77777777" w:rsidR="009A6E70" w:rsidRPr="00825C89" w:rsidRDefault="009A6E70" w:rsidP="00133458">
      <w:pPr>
        <w:pStyle w:val="ShadedBullet"/>
      </w:pPr>
      <w:r>
        <w:t>Internet</w:t>
      </w:r>
      <w:r w:rsidRPr="00825C89">
        <w:t xml:space="preserve"> use </w:t>
      </w:r>
      <w:r>
        <w:t>among Transitioned ADF and 2015 Regular ADF</w:t>
      </w:r>
      <w:r w:rsidRPr="00825C89">
        <w:t xml:space="preserve"> was high</w:t>
      </w:r>
      <w:r>
        <w:t>,</w:t>
      </w:r>
      <w:r w:rsidRPr="00825C89">
        <w:t xml:space="preserve"> with </w:t>
      </w:r>
      <w:r>
        <w:t>more than</w:t>
      </w:r>
      <w:r w:rsidRPr="00825C89">
        <w:t xml:space="preserve"> 95% using the </w:t>
      </w:r>
      <w:r>
        <w:t>internet</w:t>
      </w:r>
      <w:r w:rsidRPr="00825C89">
        <w:t xml:space="preserve"> at least every day. </w:t>
      </w:r>
    </w:p>
    <w:p w14:paraId="7FA8969B" w14:textId="77777777" w:rsidR="009A6E70" w:rsidRPr="00825C89" w:rsidRDefault="009A6E70" w:rsidP="00133458">
      <w:pPr>
        <w:pStyle w:val="ShadedBullet"/>
      </w:pPr>
      <w:r w:rsidRPr="00825C89">
        <w:t>A</w:t>
      </w:r>
      <w:r>
        <w:t>pproximately</w:t>
      </w:r>
      <w:r w:rsidRPr="00825C89">
        <w:t xml:space="preserve"> half of the Transitioned ADF and 2015 Regular ADF reported using the </w:t>
      </w:r>
      <w:r>
        <w:t>internet</w:t>
      </w:r>
      <w:r w:rsidRPr="00825C89">
        <w:t xml:space="preserve"> 1</w:t>
      </w:r>
      <w:r>
        <w:t>–</w:t>
      </w:r>
      <w:r w:rsidRPr="00825C89">
        <w:t>2 hours daily, while a</w:t>
      </w:r>
      <w:r>
        <w:t>pproximately</w:t>
      </w:r>
      <w:r w:rsidRPr="00825C89">
        <w:t xml:space="preserve"> a quarter used it 3</w:t>
      </w:r>
      <w:r>
        <w:t>–</w:t>
      </w:r>
      <w:r w:rsidRPr="00825C89">
        <w:t xml:space="preserve">4 hours daily. </w:t>
      </w:r>
    </w:p>
    <w:p w14:paraId="01A6A93B" w14:textId="77777777" w:rsidR="009A6E70" w:rsidRPr="00825C89" w:rsidRDefault="009A6E70" w:rsidP="00133458">
      <w:pPr>
        <w:pStyle w:val="ShadedBullet"/>
        <w:rPr>
          <w:b/>
        </w:rPr>
      </w:pPr>
      <w:r w:rsidRPr="00825C89">
        <w:t xml:space="preserve">Use of the </w:t>
      </w:r>
      <w:r>
        <w:t>internet</w:t>
      </w:r>
      <w:r w:rsidRPr="00825C89">
        <w:t xml:space="preserve"> after 11</w:t>
      </w:r>
      <w:r>
        <w:t xml:space="preserve"> pm</w:t>
      </w:r>
      <w:r w:rsidRPr="00825C89">
        <w:t xml:space="preserve"> was common in one third of the Transitioned ADF and one quarter of the 2015 Regular ADF.</w:t>
      </w:r>
      <w:r>
        <w:t xml:space="preserve"> </w:t>
      </w:r>
    </w:p>
    <w:p w14:paraId="71B6E5B7" w14:textId="77777777" w:rsidR="009A6E70" w:rsidRPr="00D4741B" w:rsidRDefault="009A6E70" w:rsidP="009A6E70">
      <w:pPr>
        <w:pStyle w:val="ShadedBoxSubheading"/>
      </w:pPr>
      <w:bookmarkStart w:id="277" w:name="_Toc518566352"/>
      <w:r w:rsidRPr="00D4741B">
        <w:t>Attitudes to using the internet</w:t>
      </w:r>
      <w:bookmarkEnd w:id="277"/>
    </w:p>
    <w:p w14:paraId="1097A0E9" w14:textId="77777777" w:rsidR="009A6E70" w:rsidRPr="00825C89" w:rsidRDefault="009A6E70" w:rsidP="00133458">
      <w:pPr>
        <w:pStyle w:val="ShadedBullet"/>
      </w:pPr>
      <w:r w:rsidRPr="00825C89">
        <w:t>One in four Transitioned ADF report</w:t>
      </w:r>
      <w:r>
        <w:t>ed</w:t>
      </w:r>
      <w:r w:rsidRPr="00825C89">
        <w:t xml:space="preserve"> that they </w:t>
      </w:r>
      <w:r>
        <w:t>found</w:t>
      </w:r>
      <w:r w:rsidRPr="00825C89">
        <w:t xml:space="preserve"> it easier to be themselves online, that they talk</w:t>
      </w:r>
      <w:r>
        <w:t>ed</w:t>
      </w:r>
      <w:r w:rsidRPr="00825C89">
        <w:t xml:space="preserve"> about different things with people online than </w:t>
      </w:r>
      <w:r w:rsidRPr="00825C89">
        <w:rPr>
          <w:rFonts w:eastAsia="SimSun" w:cs="Calibri"/>
        </w:rPr>
        <w:t>face to face</w:t>
      </w:r>
      <w:r>
        <w:rPr>
          <w:rFonts w:eastAsia="SimSun" w:cs="Calibri"/>
        </w:rPr>
        <w:t>,</w:t>
      </w:r>
      <w:r w:rsidRPr="00825C89">
        <w:rPr>
          <w:rFonts w:eastAsia="SimSun" w:cs="Calibri"/>
        </w:rPr>
        <w:t xml:space="preserve"> and that they </w:t>
      </w:r>
      <w:r>
        <w:rPr>
          <w:rFonts w:eastAsia="SimSun" w:cs="Calibri"/>
        </w:rPr>
        <w:t>went</w:t>
      </w:r>
      <w:r w:rsidRPr="00825C89">
        <w:rPr>
          <w:rFonts w:eastAsia="SimSun" w:cs="Calibri"/>
        </w:rPr>
        <w:t xml:space="preserve"> online when going through a difficult time.</w:t>
      </w:r>
    </w:p>
    <w:p w14:paraId="2404BA3A" w14:textId="77777777" w:rsidR="009A6E70" w:rsidRPr="00825C89" w:rsidRDefault="009A6E70" w:rsidP="00133458">
      <w:pPr>
        <w:pStyle w:val="ShadedBullet"/>
      </w:pPr>
      <w:r w:rsidRPr="00825C89">
        <w:t>One in five 2015 Regular ADF report</w:t>
      </w:r>
      <w:r>
        <w:t>ed</w:t>
      </w:r>
      <w:r w:rsidRPr="00825C89">
        <w:t xml:space="preserve"> that they </w:t>
      </w:r>
      <w:r>
        <w:t>found</w:t>
      </w:r>
      <w:r w:rsidRPr="00825C89">
        <w:t xml:space="preserve"> it easier to be themselves online, while one in four report</w:t>
      </w:r>
      <w:r>
        <w:t>ed</w:t>
      </w:r>
      <w:r w:rsidRPr="00825C89">
        <w:t xml:space="preserve"> that they talk</w:t>
      </w:r>
      <w:r>
        <w:t>ed</w:t>
      </w:r>
      <w:r w:rsidRPr="00825C89">
        <w:t xml:space="preserve"> about different things with people online than face to face</w:t>
      </w:r>
      <w:r>
        <w:t>,</w:t>
      </w:r>
      <w:r w:rsidRPr="00825C89">
        <w:t xml:space="preserve"> and that they </w:t>
      </w:r>
      <w:r>
        <w:t>went</w:t>
      </w:r>
      <w:r w:rsidRPr="00825C89">
        <w:t xml:space="preserve"> online when going through a difficult time.</w:t>
      </w:r>
    </w:p>
    <w:p w14:paraId="646903A8" w14:textId="77777777" w:rsidR="009A6E70" w:rsidRPr="00825C89" w:rsidRDefault="009A6E70" w:rsidP="00133458">
      <w:pPr>
        <w:pStyle w:val="ShadedBullet"/>
        <w:rPr>
          <w:rFonts w:cs="Calibri"/>
        </w:rPr>
      </w:pPr>
      <w:r w:rsidRPr="00825C89">
        <w:t>One in five Transitioned ADF and 2015 Regular ADF report</w:t>
      </w:r>
      <w:r>
        <w:t>ed</w:t>
      </w:r>
      <w:r w:rsidRPr="00825C89">
        <w:t xml:space="preserve"> that going online when going through a difficult time ma</w:t>
      </w:r>
      <w:r>
        <w:t>de</w:t>
      </w:r>
      <w:r w:rsidRPr="00825C89">
        <w:t xml:space="preserve"> them feel better. </w:t>
      </w:r>
    </w:p>
    <w:p w14:paraId="2BBE33E7" w14:textId="77777777" w:rsidR="009A6E70" w:rsidRPr="00D4741B" w:rsidRDefault="009A6E70" w:rsidP="009A6E70">
      <w:pPr>
        <w:pStyle w:val="ShadedBoxSubheading"/>
      </w:pPr>
      <w:bookmarkStart w:id="278" w:name="_Toc518566353"/>
      <w:r w:rsidRPr="00D4741B">
        <w:t>Probable 30-</w:t>
      </w:r>
      <w:r>
        <w:t>d</w:t>
      </w:r>
      <w:r w:rsidRPr="00D4741B">
        <w:t>ay disorder and duration and timing of internet use</w:t>
      </w:r>
      <w:bookmarkEnd w:id="278"/>
    </w:p>
    <w:p w14:paraId="3AD9DFAA" w14:textId="77777777" w:rsidR="009A6E70" w:rsidRPr="00825C89" w:rsidRDefault="009A6E70" w:rsidP="00133458">
      <w:pPr>
        <w:pStyle w:val="ShadedBullet"/>
        <w:rPr>
          <w:lang w:eastAsia="en-AU"/>
        </w:rPr>
      </w:pPr>
      <w:r w:rsidRPr="00825C89">
        <w:rPr>
          <w:lang w:eastAsia="en-AU"/>
        </w:rPr>
        <w:t xml:space="preserve">Transitioned ADF and 2015 Regular ADF with a probable disorder spent more hours on the </w:t>
      </w:r>
      <w:r>
        <w:rPr>
          <w:lang w:eastAsia="en-AU"/>
        </w:rPr>
        <w:t>internet</w:t>
      </w:r>
      <w:r w:rsidRPr="00825C89">
        <w:rPr>
          <w:lang w:eastAsia="en-AU"/>
        </w:rPr>
        <w:t xml:space="preserve"> than those without. </w:t>
      </w:r>
    </w:p>
    <w:p w14:paraId="53663FD1" w14:textId="77777777" w:rsidR="009A6E70" w:rsidRPr="00825C89" w:rsidRDefault="009A6E70" w:rsidP="00133458">
      <w:pPr>
        <w:pStyle w:val="ShadedBullet"/>
        <w:rPr>
          <w:lang w:eastAsia="en-AU"/>
        </w:rPr>
      </w:pPr>
      <w:r w:rsidRPr="00825C89">
        <w:rPr>
          <w:lang w:val="en-US" w:eastAsia="en-AU"/>
        </w:rPr>
        <w:t xml:space="preserve">Among the Transitioned ADF, a significantly larger proportion of those with than without a probable disorder reported </w:t>
      </w:r>
      <w:r>
        <w:rPr>
          <w:lang w:val="en-US" w:eastAsia="en-AU"/>
        </w:rPr>
        <w:t>internet</w:t>
      </w:r>
      <w:r w:rsidRPr="00825C89">
        <w:rPr>
          <w:lang w:val="en-US" w:eastAsia="en-AU"/>
        </w:rPr>
        <w:t xml:space="preserve"> use after </w:t>
      </w:r>
      <w:r>
        <w:rPr>
          <w:lang w:val="en-US" w:eastAsia="en-AU"/>
        </w:rPr>
        <w:t>11 pm</w:t>
      </w:r>
      <w:r w:rsidRPr="00825C89">
        <w:rPr>
          <w:lang w:val="en-US" w:eastAsia="en-AU"/>
        </w:rPr>
        <w:t xml:space="preserve"> (45.1% vs 28.4%).</w:t>
      </w:r>
    </w:p>
    <w:p w14:paraId="14AB2492" w14:textId="77777777" w:rsidR="009A6E70" w:rsidRPr="00D4741B" w:rsidRDefault="009A6E70" w:rsidP="009A6E70">
      <w:pPr>
        <w:pStyle w:val="ShadedBoxSubheading"/>
      </w:pPr>
      <w:r w:rsidRPr="00D4741B">
        <w:t>Probable 30-day disorder and attitudes to using the internet</w:t>
      </w:r>
    </w:p>
    <w:p w14:paraId="04A6C13F" w14:textId="77777777" w:rsidR="009A6E70" w:rsidRPr="00825C89" w:rsidRDefault="009A6E70" w:rsidP="00133458">
      <w:pPr>
        <w:pStyle w:val="ShadedBullet"/>
        <w:rPr>
          <w:lang w:eastAsia="en-AU"/>
        </w:rPr>
      </w:pPr>
      <w:r w:rsidRPr="00825C89">
        <w:rPr>
          <w:lang w:eastAsia="en-AU"/>
        </w:rPr>
        <w:t xml:space="preserve">Transitioned ADF and </w:t>
      </w:r>
      <w:r w:rsidRPr="00825C89">
        <w:t>2015 Regular ADF with a probable disorder report</w:t>
      </w:r>
      <w:r>
        <w:t>ed</w:t>
      </w:r>
      <w:r w:rsidRPr="00825C89">
        <w:t xml:space="preserve"> different attitudes to using technology </w:t>
      </w:r>
      <w:r>
        <w:t>from</w:t>
      </w:r>
      <w:r w:rsidRPr="00825C89">
        <w:t xml:space="preserve"> those without a probable disorder.</w:t>
      </w:r>
      <w:r>
        <w:t xml:space="preserve"> </w:t>
      </w:r>
    </w:p>
    <w:p w14:paraId="0C5036F3" w14:textId="77777777" w:rsidR="009A6E70" w:rsidRPr="00825C89" w:rsidRDefault="009A6E70" w:rsidP="00133458">
      <w:pPr>
        <w:pStyle w:val="ShadedBullet"/>
        <w:rPr>
          <w:lang w:eastAsia="en-AU"/>
        </w:rPr>
      </w:pPr>
      <w:r w:rsidRPr="00825C89">
        <w:rPr>
          <w:lang w:val="en-US"/>
        </w:rPr>
        <w:t>For both the Transitioned ADF and Regular ADF, those with a probable disorder were significantly more likely than those without a probable disorder to report that:</w:t>
      </w:r>
    </w:p>
    <w:p w14:paraId="7C58D06E" w14:textId="77777777" w:rsidR="009A6E70" w:rsidRPr="00825C89" w:rsidRDefault="009A6E70" w:rsidP="009A6E70">
      <w:pPr>
        <w:pStyle w:val="ShadedDash"/>
        <w:rPr>
          <w:lang w:val="en-US"/>
        </w:rPr>
      </w:pPr>
      <w:r>
        <w:tab/>
        <w:t>–</w:t>
      </w:r>
      <w:r>
        <w:tab/>
      </w:r>
      <w:r w:rsidRPr="00825C89">
        <w:rPr>
          <w:lang w:val="en-US"/>
        </w:rPr>
        <w:t xml:space="preserve">it was easier to be themselves online </w:t>
      </w:r>
    </w:p>
    <w:p w14:paraId="76410917" w14:textId="77777777" w:rsidR="009A6E70" w:rsidRPr="00825C89" w:rsidRDefault="009A6E70" w:rsidP="009A6E70">
      <w:pPr>
        <w:pStyle w:val="ShadedDash"/>
        <w:rPr>
          <w:lang w:val="en-US"/>
        </w:rPr>
      </w:pPr>
      <w:r>
        <w:tab/>
        <w:t>–</w:t>
      </w:r>
      <w:r>
        <w:tab/>
      </w:r>
      <w:r w:rsidRPr="00825C89">
        <w:t>they talk</w:t>
      </w:r>
      <w:r>
        <w:t>ed</w:t>
      </w:r>
      <w:r w:rsidRPr="00825C89">
        <w:t xml:space="preserve"> about private things when online</w:t>
      </w:r>
      <w:r>
        <w:t>.</w:t>
      </w:r>
    </w:p>
    <w:p w14:paraId="38069E62" w14:textId="77777777" w:rsidR="009A6E70" w:rsidRPr="00825C89" w:rsidRDefault="009A6E70" w:rsidP="00133458">
      <w:pPr>
        <w:pStyle w:val="ShadedBullet"/>
        <w:rPr>
          <w:lang w:val="en-US"/>
        </w:rPr>
      </w:pPr>
      <w:r w:rsidRPr="00825C89">
        <w:rPr>
          <w:lang w:val="en-US"/>
        </w:rPr>
        <w:t>Additionally, Transitioned ADF with a probable disorder were significantly more likely than those without a probable disorder to report that:</w:t>
      </w:r>
    </w:p>
    <w:p w14:paraId="70F6E626" w14:textId="77777777" w:rsidR="009A6E70" w:rsidRPr="00825C89" w:rsidRDefault="009A6E70" w:rsidP="009A6E70">
      <w:pPr>
        <w:pStyle w:val="ShadedDash"/>
      </w:pPr>
      <w:r>
        <w:tab/>
        <w:t>–</w:t>
      </w:r>
      <w:r>
        <w:tab/>
      </w:r>
      <w:r w:rsidRPr="00825C89">
        <w:t>they talk</w:t>
      </w:r>
      <w:r>
        <w:t>ed</w:t>
      </w:r>
      <w:r w:rsidRPr="00825C89">
        <w:t xml:space="preserve"> about different things with people online </w:t>
      </w:r>
    </w:p>
    <w:p w14:paraId="4AE823C2" w14:textId="77777777" w:rsidR="009A6E70" w:rsidRPr="00825C89" w:rsidRDefault="009A6E70" w:rsidP="009A6E70">
      <w:pPr>
        <w:pStyle w:val="ShadedDash"/>
      </w:pPr>
      <w:r>
        <w:tab/>
        <w:t>–</w:t>
      </w:r>
      <w:r>
        <w:tab/>
      </w:r>
      <w:r w:rsidRPr="00825C89">
        <w:t xml:space="preserve">they </w:t>
      </w:r>
      <w:r>
        <w:t>went</w:t>
      </w:r>
      <w:r w:rsidRPr="00825C89">
        <w:t xml:space="preserve"> online more often when going through a difficult time </w:t>
      </w:r>
    </w:p>
    <w:p w14:paraId="46B0AF4E" w14:textId="77777777" w:rsidR="009A6E70" w:rsidRDefault="009A6E70" w:rsidP="009A6E70">
      <w:pPr>
        <w:pStyle w:val="ShadedDash"/>
      </w:pPr>
      <w:r>
        <w:tab/>
        <w:t>–</w:t>
      </w:r>
      <w:r>
        <w:tab/>
      </w:r>
      <w:r w:rsidRPr="00825C89">
        <w:t xml:space="preserve">when they are going through a difficult time and they </w:t>
      </w:r>
      <w:r>
        <w:t>went</w:t>
      </w:r>
      <w:r w:rsidRPr="00825C89">
        <w:t xml:space="preserve"> online, it </w:t>
      </w:r>
      <w:r>
        <w:t>made</w:t>
      </w:r>
      <w:r w:rsidRPr="00825C89">
        <w:t xml:space="preserve"> them feel better</w:t>
      </w:r>
      <w:r>
        <w:t>.</w:t>
      </w:r>
    </w:p>
    <w:p w14:paraId="6EC74D8A" w14:textId="77777777" w:rsidR="00513700" w:rsidRDefault="00513700" w:rsidP="00513700">
      <w:pPr>
        <w:pStyle w:val="ShadedBoxText"/>
      </w:pPr>
      <w:r w:rsidRPr="00D4741B">
        <w:rPr>
          <w:b/>
        </w:rPr>
        <w:t>Glossary:</w:t>
      </w:r>
      <w:r w:rsidRPr="00D4741B">
        <w:t xml:space="preserve"> refer to the </w:t>
      </w:r>
      <w:r w:rsidRPr="00104D02">
        <w:t>Glossary</w:t>
      </w:r>
      <w:r w:rsidRPr="00D4741B">
        <w:t xml:space="preserve"> of terms for definitions of key terms.</w:t>
      </w:r>
    </w:p>
    <w:p w14:paraId="03421769" w14:textId="77777777" w:rsidR="009A6E70" w:rsidRPr="00BA51C0" w:rsidRDefault="009A6E70" w:rsidP="009A6E70">
      <w:pPr>
        <w:pStyle w:val="Heading2"/>
        <w:numPr>
          <w:ilvl w:val="1"/>
          <w:numId w:val="1"/>
        </w:numPr>
        <w:ind w:left="720" w:hanging="720"/>
      </w:pPr>
      <w:bookmarkStart w:id="279" w:name="_Toc478035325"/>
      <w:bookmarkStart w:id="280" w:name="_Toc509917423"/>
      <w:bookmarkStart w:id="281" w:name="_Toc515374465"/>
      <w:bookmarkStart w:id="282" w:name="_Toc518566354"/>
      <w:bookmarkStart w:id="283" w:name="_Toc528932650"/>
      <w:bookmarkStart w:id="284" w:name="_Toc531859187"/>
      <w:r w:rsidRPr="00BA51C0">
        <w:t>Introduction</w:t>
      </w:r>
      <w:bookmarkEnd w:id="279"/>
      <w:bookmarkEnd w:id="280"/>
      <w:bookmarkEnd w:id="281"/>
      <w:bookmarkEnd w:id="282"/>
      <w:bookmarkEnd w:id="283"/>
      <w:bookmarkEnd w:id="284"/>
    </w:p>
    <w:p w14:paraId="1988C2FB" w14:textId="77777777" w:rsidR="009A6E70" w:rsidRPr="00514C4B" w:rsidRDefault="009A6E70" w:rsidP="009A6E70">
      <w:pPr>
        <w:rPr>
          <w:rFonts w:eastAsia="SimSun" w:cs="Calibri"/>
        </w:rPr>
      </w:pPr>
      <w:r w:rsidRPr="00B43E1B">
        <w:rPr>
          <w:lang w:eastAsia="en-AU"/>
        </w:rPr>
        <w:t xml:space="preserve">The following chapter describes </w:t>
      </w:r>
      <w:r>
        <w:rPr>
          <w:lang w:eastAsia="en-AU"/>
        </w:rPr>
        <w:t>internet use and attitudes towards using the internet in</w:t>
      </w:r>
      <w:r w:rsidRPr="00B43E1B">
        <w:rPr>
          <w:lang w:eastAsia="en-AU"/>
        </w:rPr>
        <w:t xml:space="preserve"> the Transitioned ADF and the 2015 Regular ADF</w:t>
      </w:r>
      <w:r>
        <w:rPr>
          <w:lang w:eastAsia="en-AU"/>
        </w:rPr>
        <w:t xml:space="preserve">. The chapter ends with a breakdown of these factors by probable disorder and no probable disorder among the Transitioned and 2015 Regular ADF. </w:t>
      </w:r>
      <w:r>
        <w:rPr>
          <w:rFonts w:eastAsia="SimSun" w:cs="Calibri"/>
        </w:rPr>
        <w:t>The key research questions this chapter explores are:</w:t>
      </w:r>
    </w:p>
    <w:p w14:paraId="2EACD4A1" w14:textId="77777777" w:rsidR="009A6E70" w:rsidRPr="0001210B" w:rsidRDefault="009A6E70" w:rsidP="009A6E70">
      <w:pPr>
        <w:pStyle w:val="Bullet"/>
        <w:numPr>
          <w:ilvl w:val="0"/>
          <w:numId w:val="3"/>
        </w:numPr>
        <w:ind w:left="360"/>
      </w:pPr>
      <w:r w:rsidRPr="0001210B">
        <w:t>How do the Transitioned and 2015 Regular ADF use the internet and what are their attitudes towards using the internet?</w:t>
      </w:r>
    </w:p>
    <w:p w14:paraId="3765ECDF" w14:textId="77777777" w:rsidR="009A6E70" w:rsidRPr="0001210B" w:rsidRDefault="009A6E70" w:rsidP="009A6E70">
      <w:pPr>
        <w:pStyle w:val="Bullet"/>
        <w:numPr>
          <w:ilvl w:val="0"/>
          <w:numId w:val="3"/>
        </w:numPr>
        <w:ind w:left="360"/>
      </w:pPr>
      <w:r w:rsidRPr="0001210B">
        <w:t>Do patterns of internet use and attitudes towards the use of the internet differ depending on the presence or absence of probable 30-day disorder in the Transitioned and 2015 Regular ADF?</w:t>
      </w:r>
    </w:p>
    <w:p w14:paraId="5C3CEC52" w14:textId="77777777" w:rsidR="009A6E70" w:rsidRPr="0001210B" w:rsidRDefault="009A6E70" w:rsidP="009A6E70">
      <w:pPr>
        <w:rPr>
          <w:i/>
          <w:lang w:eastAsia="en-AU"/>
        </w:rPr>
      </w:pPr>
      <w:r w:rsidRPr="0001210B">
        <w:rPr>
          <w:i/>
          <w:lang w:eastAsia="en-AU"/>
        </w:rPr>
        <w:t xml:space="preserve">Frequency, duration, timing and methods of searching online </w:t>
      </w:r>
      <w:r w:rsidRPr="0001210B">
        <w:rPr>
          <w:lang w:eastAsia="en-AU"/>
        </w:rPr>
        <w:t>were examined using the following questions:</w:t>
      </w:r>
    </w:p>
    <w:p w14:paraId="2842E04E" w14:textId="77777777" w:rsidR="009A6E70" w:rsidRPr="00BF6369" w:rsidRDefault="009A6E70" w:rsidP="000B5E49">
      <w:pPr>
        <w:pStyle w:val="Bullet"/>
        <w:numPr>
          <w:ilvl w:val="0"/>
          <w:numId w:val="17"/>
        </w:numPr>
        <w:ind w:left="360"/>
      </w:pPr>
      <w:r w:rsidRPr="00514C4B">
        <w:t xml:space="preserve">How often do you use the </w:t>
      </w:r>
      <w:r>
        <w:t>internet</w:t>
      </w:r>
      <w:r w:rsidRPr="00514C4B">
        <w:t>?</w:t>
      </w:r>
    </w:p>
    <w:p w14:paraId="28A3D3FF" w14:textId="77777777" w:rsidR="009A6E70" w:rsidRPr="00514C4B" w:rsidRDefault="009A6E70" w:rsidP="000B5E49">
      <w:pPr>
        <w:pStyle w:val="Bullet"/>
        <w:numPr>
          <w:ilvl w:val="0"/>
          <w:numId w:val="17"/>
        </w:numPr>
        <w:ind w:left="360"/>
      </w:pPr>
      <w:r w:rsidRPr="00514C4B">
        <w:t xml:space="preserve">When searching for information on the </w:t>
      </w:r>
      <w:r>
        <w:t>internet</w:t>
      </w:r>
      <w:r w:rsidRPr="00514C4B">
        <w:t>, how would you usually begin?</w:t>
      </w:r>
    </w:p>
    <w:p w14:paraId="3008B84D" w14:textId="77777777" w:rsidR="009A6E70" w:rsidRPr="00514C4B" w:rsidRDefault="009A6E70" w:rsidP="000B5E49">
      <w:pPr>
        <w:pStyle w:val="Bullet"/>
        <w:numPr>
          <w:ilvl w:val="0"/>
          <w:numId w:val="17"/>
        </w:numPr>
        <w:ind w:left="360"/>
      </w:pPr>
      <w:r w:rsidRPr="00514C4B">
        <w:t xml:space="preserve">Approximately how much time would you spend using the </w:t>
      </w:r>
      <w:r>
        <w:t>internet</w:t>
      </w:r>
      <w:r w:rsidRPr="00514C4B">
        <w:t xml:space="preserve"> on a normal work day?</w:t>
      </w:r>
    </w:p>
    <w:p w14:paraId="59933391" w14:textId="77777777" w:rsidR="009A6E70" w:rsidRPr="00964CA5" w:rsidRDefault="009A6E70" w:rsidP="000B5E49">
      <w:pPr>
        <w:pStyle w:val="Bullet"/>
        <w:numPr>
          <w:ilvl w:val="0"/>
          <w:numId w:val="17"/>
        </w:numPr>
        <w:ind w:left="360"/>
        <w:rPr>
          <w:rFonts w:asciiTheme="minorHAnsi" w:hAnsiTheme="minorHAnsi"/>
          <w:lang w:eastAsia="en-AU"/>
        </w:rPr>
      </w:pPr>
      <w:r w:rsidRPr="00514C4B">
        <w:t xml:space="preserve">Do you use the </w:t>
      </w:r>
      <w:r>
        <w:t>internet</w:t>
      </w:r>
      <w:r w:rsidRPr="00514C4B">
        <w:t xml:space="preserve"> after 11</w:t>
      </w:r>
      <w:r>
        <w:t xml:space="preserve"> pm</w:t>
      </w:r>
      <w:r w:rsidRPr="00514C4B">
        <w:t xml:space="preserve"> at night</w:t>
      </w:r>
      <w:r w:rsidRPr="00D74297">
        <w:rPr>
          <w:rFonts w:asciiTheme="minorHAnsi" w:hAnsiTheme="minorHAnsi"/>
          <w:lang w:eastAsia="en-AU"/>
        </w:rPr>
        <w:t>?</w:t>
      </w:r>
    </w:p>
    <w:p w14:paraId="7F2E3A75" w14:textId="77777777" w:rsidR="009A6E70" w:rsidRPr="004026A0" w:rsidRDefault="009A6E70" w:rsidP="00A01AA0">
      <w:pPr>
        <w:keepNext/>
        <w:rPr>
          <w:lang w:val="en-US" w:eastAsia="en-AU"/>
        </w:rPr>
      </w:pPr>
      <w:r w:rsidRPr="00514C4B">
        <w:rPr>
          <w:i/>
          <w:lang w:val="en-US" w:eastAsia="en-AU"/>
        </w:rPr>
        <w:t>Attitudes and patterns of online communication</w:t>
      </w:r>
      <w:r>
        <w:rPr>
          <w:lang w:val="en-US" w:eastAsia="en-AU"/>
        </w:rPr>
        <w:t xml:space="preserve"> in the Transitioned and 2015 Regular ADF were examined using six statements:</w:t>
      </w:r>
    </w:p>
    <w:p w14:paraId="2B859337" w14:textId="77777777" w:rsidR="009A6E70" w:rsidRPr="00DE2272" w:rsidRDefault="009A6E70" w:rsidP="000B5E49">
      <w:pPr>
        <w:pStyle w:val="Bullet"/>
        <w:keepNext/>
        <w:numPr>
          <w:ilvl w:val="0"/>
          <w:numId w:val="18"/>
        </w:numPr>
        <w:ind w:left="360"/>
      </w:pPr>
      <w:r w:rsidRPr="004026A0">
        <w:t>I find it easier to be myself when online than when</w:t>
      </w:r>
      <w:r>
        <w:t xml:space="preserve"> I am with people face to face.</w:t>
      </w:r>
    </w:p>
    <w:p w14:paraId="3E6D706F" w14:textId="77777777" w:rsidR="009A6E70" w:rsidRPr="00DE2272" w:rsidRDefault="009A6E70" w:rsidP="000B5E49">
      <w:pPr>
        <w:pStyle w:val="Bullet"/>
        <w:numPr>
          <w:ilvl w:val="0"/>
          <w:numId w:val="18"/>
        </w:numPr>
        <w:ind w:left="360"/>
      </w:pPr>
      <w:r w:rsidRPr="004026A0">
        <w:t>I talk about different things with people when onl</w:t>
      </w:r>
      <w:r>
        <w:t>ine than I do when face to face.</w:t>
      </w:r>
    </w:p>
    <w:p w14:paraId="077F28CC" w14:textId="77777777" w:rsidR="009A6E70" w:rsidRPr="004026A0" w:rsidRDefault="009A6E70" w:rsidP="000B5E49">
      <w:pPr>
        <w:pStyle w:val="Bullet"/>
        <w:numPr>
          <w:ilvl w:val="0"/>
          <w:numId w:val="18"/>
        </w:numPr>
        <w:ind w:left="360"/>
      </w:pPr>
      <w:r w:rsidRPr="004026A0">
        <w:t xml:space="preserve">When I am online, I talk about private things that I do not </w:t>
      </w:r>
      <w:r>
        <w:t>share with people face to face.</w:t>
      </w:r>
    </w:p>
    <w:p w14:paraId="344CBEC0" w14:textId="77777777" w:rsidR="009A6E70" w:rsidRPr="004026A0" w:rsidRDefault="009A6E70" w:rsidP="000B5E49">
      <w:pPr>
        <w:pStyle w:val="Bullet"/>
        <w:numPr>
          <w:ilvl w:val="0"/>
          <w:numId w:val="18"/>
        </w:numPr>
        <w:ind w:left="360"/>
      </w:pPr>
      <w:r w:rsidRPr="004026A0">
        <w:t xml:space="preserve">I go online much more on the weekends </w:t>
      </w:r>
      <w:r>
        <w:t>than I do on a regular work day.</w:t>
      </w:r>
    </w:p>
    <w:p w14:paraId="7F3E9EC4" w14:textId="77777777" w:rsidR="009A6E70" w:rsidRPr="004026A0" w:rsidRDefault="009A6E70" w:rsidP="000B5E49">
      <w:pPr>
        <w:pStyle w:val="Bullet"/>
        <w:numPr>
          <w:ilvl w:val="0"/>
          <w:numId w:val="18"/>
        </w:numPr>
        <w:ind w:left="360"/>
      </w:pPr>
      <w:r w:rsidRPr="004026A0">
        <w:t>When I am going through a difficul</w:t>
      </w:r>
      <w:r>
        <w:t>t time, I go online more often.</w:t>
      </w:r>
    </w:p>
    <w:p w14:paraId="205DCF4C" w14:textId="77777777" w:rsidR="009A6E70" w:rsidRDefault="009A6E70" w:rsidP="000B5E49">
      <w:pPr>
        <w:pStyle w:val="Bullet"/>
        <w:numPr>
          <w:ilvl w:val="0"/>
          <w:numId w:val="18"/>
        </w:numPr>
        <w:ind w:left="360"/>
      </w:pPr>
      <w:r w:rsidRPr="004026A0">
        <w:t>When I am going through a difficult time, goi</w:t>
      </w:r>
      <w:r>
        <w:t>ng online makes me feel better.</w:t>
      </w:r>
    </w:p>
    <w:p w14:paraId="49E66775" w14:textId="77777777" w:rsidR="009A6E70" w:rsidRDefault="009A6E70" w:rsidP="009A6E70">
      <w:pPr>
        <w:rPr>
          <w:rFonts w:eastAsia="SimSun"/>
        </w:rPr>
      </w:pPr>
      <w:r>
        <w:rPr>
          <w:lang w:val="en-US" w:eastAsia="en-AU"/>
        </w:rPr>
        <w:t xml:space="preserve">All respondents were asked to indicate how true the statements were for them using three response options: not true, a bit true, very true. </w:t>
      </w:r>
      <w:r>
        <w:rPr>
          <w:rFonts w:eastAsia="SimSun" w:cs="Calibri"/>
        </w:rPr>
        <w:t xml:space="preserve">Responses </w:t>
      </w:r>
      <w:r w:rsidRPr="00A0121A">
        <w:rPr>
          <w:rFonts w:eastAsia="SimSun"/>
        </w:rPr>
        <w:t xml:space="preserve">were </w:t>
      </w:r>
      <w:r>
        <w:rPr>
          <w:rFonts w:eastAsia="SimSun"/>
        </w:rPr>
        <w:t xml:space="preserve">then </w:t>
      </w:r>
      <w:r w:rsidRPr="00A0121A">
        <w:rPr>
          <w:rFonts w:eastAsia="SimSun"/>
        </w:rPr>
        <w:t xml:space="preserve">dichotomised </w:t>
      </w:r>
      <w:r>
        <w:rPr>
          <w:rFonts w:eastAsia="SimSun"/>
        </w:rPr>
        <w:t>into two categories: ‘true’ (either a bit true or very true) and ‘not true’.</w:t>
      </w:r>
    </w:p>
    <w:p w14:paraId="271BCCF8" w14:textId="62C3CCBE" w:rsidR="009A6E70" w:rsidRPr="004445C3" w:rsidRDefault="009A6E70" w:rsidP="009A6E70">
      <w:r>
        <w:t xml:space="preserve">All outcomes measures in this chapter (as described above) were stratified by transition status (according to whether they were transitioned or remained in the Regular ADF in 2015) and </w:t>
      </w:r>
      <w:r w:rsidRPr="00A0121A">
        <w:t>probable 30</w:t>
      </w:r>
      <w:r>
        <w:t>-</w:t>
      </w:r>
      <w:r w:rsidRPr="00A0121A">
        <w:t>day disorder</w:t>
      </w:r>
      <w:r>
        <w:t xml:space="preserve"> (according to whether or not they met </w:t>
      </w:r>
      <w:r w:rsidR="00D00A02">
        <w:t xml:space="preserve">the </w:t>
      </w:r>
      <w:r>
        <w:t>criteria for a probable disorder).</w:t>
      </w:r>
    </w:p>
    <w:p w14:paraId="70931B49" w14:textId="4046560C" w:rsidR="009A6E70" w:rsidRPr="00514C4B" w:rsidRDefault="009A6E70" w:rsidP="009A6E70">
      <w:pPr>
        <w:rPr>
          <w:rFonts w:cs="Calibri"/>
        </w:rPr>
      </w:pPr>
      <w:r w:rsidRPr="00514C4B">
        <w:rPr>
          <w:rFonts w:cs="Calibri"/>
        </w:rPr>
        <w:t xml:space="preserve">The presence of a probable 30-day disorder was determined based on scores on the K10 and PCL. The K10 is a </w:t>
      </w:r>
      <w:r>
        <w:rPr>
          <w:rFonts w:cs="Calibri"/>
        </w:rPr>
        <w:t>10</w:t>
      </w:r>
      <w:r w:rsidRPr="00514C4B">
        <w:rPr>
          <w:rFonts w:cs="Calibri"/>
        </w:rPr>
        <w:t>-item screening questionnaire for psychological distress that was developed for use in the United States National Health Interview Survey (US</w:t>
      </w:r>
      <w:r w:rsidR="00D00A02">
        <w:rPr>
          <w:rFonts w:cs="Calibri"/>
        </w:rPr>
        <w:t>=</w:t>
      </w:r>
      <w:r w:rsidRPr="00514C4B">
        <w:rPr>
          <w:rFonts w:cs="Calibri"/>
        </w:rPr>
        <w:t xml:space="preserve">NHIS) (Kessler et al., 2002). Originally designed as a short, easily administered screen for psychological distress, the K10 is typically used to inform and complement clinical interviews and to quantify levels of distress in those who are in particular need of treatment. The PCL is a 17-item measure used to measure symptoms of PTSD. </w:t>
      </w:r>
    </w:p>
    <w:p w14:paraId="568AAD83" w14:textId="65428837" w:rsidR="009A6E70" w:rsidRDefault="009A6E70" w:rsidP="009A6E70">
      <w:pPr>
        <w:rPr>
          <w:rFonts w:cs="Calibri"/>
        </w:rPr>
      </w:pPr>
      <w:r w:rsidRPr="00514C4B">
        <w:rPr>
          <w:rFonts w:cs="Calibri"/>
        </w:rPr>
        <w:t xml:space="preserve">Participants were deemed to have a probable 30-day disorder if they scored above the optimal epidemiological cut-off (25 on the K10, 53 on the PCL) on either measure. Epidemiological cut-offs were derived from the 2010 MHPWS and give the closest estimate to the true prevalence of 30-day ICD-10 </w:t>
      </w:r>
      <w:r>
        <w:rPr>
          <w:rFonts w:cs="Calibri"/>
        </w:rPr>
        <w:t>(</w:t>
      </w:r>
      <w:r w:rsidRPr="005B0796">
        <w:t>International Statistical Classification of Diseases and Related Health Problems – 10th Revision</w:t>
      </w:r>
      <w:r>
        <w:t>)</w:t>
      </w:r>
      <w:r w:rsidRPr="00514C4B">
        <w:rPr>
          <w:rFonts w:cs="Calibri"/>
        </w:rPr>
        <w:t xml:space="preserve"> affective</w:t>
      </w:r>
      <w:r w:rsidR="003B00F5">
        <w:rPr>
          <w:rFonts w:cs="Calibri"/>
        </w:rPr>
        <w:t xml:space="preserve"> and</w:t>
      </w:r>
      <w:r w:rsidRPr="00514C4B">
        <w:rPr>
          <w:rFonts w:cs="Calibri"/>
        </w:rPr>
        <w:t xml:space="preserve"> anxiety, disorder and PTSD as measured by the </w:t>
      </w:r>
      <w:r w:rsidRPr="005E2637">
        <w:rPr>
          <w:rFonts w:cs="Calibri"/>
        </w:rPr>
        <w:t>World Mental Health Survey Initiative Version of the World Health Organization Composite Diagnostic Interview-</w:t>
      </w:r>
      <w:r>
        <w:rPr>
          <w:rFonts w:cs="Calibri"/>
        </w:rPr>
        <w:t>V</w:t>
      </w:r>
      <w:r w:rsidRPr="005E2637">
        <w:rPr>
          <w:rFonts w:cs="Calibri"/>
        </w:rPr>
        <w:t>ersion 3.0 (WMH-CIDI)</w:t>
      </w:r>
      <w:r w:rsidRPr="00514C4B">
        <w:rPr>
          <w:rFonts w:cs="Calibri"/>
        </w:rPr>
        <w:t>.</w:t>
      </w:r>
      <w:r w:rsidRPr="00E52941">
        <w:rPr>
          <w:rFonts w:cs="Calibri"/>
        </w:rPr>
        <w:t xml:space="preserve"> </w:t>
      </w:r>
    </w:p>
    <w:p w14:paraId="212F6D4F" w14:textId="77777777" w:rsidR="009A6E70" w:rsidRPr="00514C4B" w:rsidRDefault="009A6E70" w:rsidP="009A6E70">
      <w:pPr>
        <w:rPr>
          <w:rFonts w:eastAsia="SimSun" w:cs="Calibri"/>
        </w:rPr>
      </w:pPr>
      <w:r w:rsidRPr="00A0121A">
        <w:rPr>
          <w:rFonts w:eastAsia="SimSun" w:cs="Calibri"/>
        </w:rPr>
        <w:t>Logistic regression models performed on selected collapsed</w:t>
      </w:r>
      <w:r>
        <w:rPr>
          <w:rFonts w:eastAsia="SimSun" w:cs="Calibri"/>
        </w:rPr>
        <w:t xml:space="preserve"> (dichotomous) grouping variables</w:t>
      </w:r>
      <w:r w:rsidRPr="00A0121A">
        <w:rPr>
          <w:rFonts w:eastAsia="SimSun" w:cs="Calibri"/>
        </w:rPr>
        <w:t xml:space="preserve"> were adjusted for sex</w:t>
      </w:r>
      <w:r>
        <w:rPr>
          <w:rFonts w:eastAsia="SimSun" w:cs="Calibri"/>
        </w:rPr>
        <w:t xml:space="preserve"> and age. </w:t>
      </w:r>
    </w:p>
    <w:p w14:paraId="338126B3" w14:textId="77777777" w:rsidR="009A6E70" w:rsidRPr="00964CA5" w:rsidRDefault="009A6E70" w:rsidP="009A6E70">
      <w:pPr>
        <w:pStyle w:val="Heading2"/>
        <w:numPr>
          <w:ilvl w:val="1"/>
          <w:numId w:val="1"/>
        </w:numPr>
        <w:ind w:left="720" w:hanging="720"/>
      </w:pPr>
      <w:bookmarkStart w:id="285" w:name="_Toc509917424"/>
      <w:bookmarkStart w:id="286" w:name="_Toc515374466"/>
      <w:bookmarkStart w:id="287" w:name="_Toc518566355"/>
      <w:bookmarkStart w:id="288" w:name="_Toc528932651"/>
      <w:bookmarkStart w:id="289" w:name="_Toc531859188"/>
      <w:r w:rsidRPr="00964CA5">
        <w:t>Frequency</w:t>
      </w:r>
      <w:r>
        <w:t>,</w:t>
      </w:r>
      <w:r w:rsidRPr="00964CA5">
        <w:t xml:space="preserve"> </w:t>
      </w:r>
      <w:r>
        <w:t>d</w:t>
      </w:r>
      <w:r w:rsidRPr="00964CA5">
        <w:t xml:space="preserve">uration and </w:t>
      </w:r>
      <w:r>
        <w:t>t</w:t>
      </w:r>
      <w:r w:rsidRPr="00964CA5">
        <w:t xml:space="preserve">iming of </w:t>
      </w:r>
      <w:r>
        <w:t>internet</w:t>
      </w:r>
      <w:r w:rsidRPr="00964CA5">
        <w:t xml:space="preserve"> </w:t>
      </w:r>
      <w:r>
        <w:t>u</w:t>
      </w:r>
      <w:r w:rsidRPr="00964CA5">
        <w:t>se</w:t>
      </w:r>
      <w:bookmarkEnd w:id="285"/>
      <w:bookmarkEnd w:id="286"/>
      <w:bookmarkEnd w:id="287"/>
      <w:bookmarkEnd w:id="288"/>
      <w:bookmarkEnd w:id="289"/>
    </w:p>
    <w:p w14:paraId="7CB660F0" w14:textId="77777777" w:rsidR="009A6E70" w:rsidRPr="00964CA5" w:rsidRDefault="009A6E70" w:rsidP="009A6E70">
      <w:pPr>
        <w:pStyle w:val="Heading3"/>
        <w:numPr>
          <w:ilvl w:val="2"/>
          <w:numId w:val="1"/>
        </w:numPr>
      </w:pPr>
      <w:bookmarkStart w:id="290" w:name="_Toc509917425"/>
      <w:bookmarkStart w:id="291" w:name="_Toc515374467"/>
      <w:bookmarkStart w:id="292" w:name="_Toc518566356"/>
      <w:bookmarkStart w:id="293" w:name="_Toc528932652"/>
      <w:bookmarkStart w:id="294" w:name="_Toc531859189"/>
      <w:r w:rsidRPr="00964CA5">
        <w:t xml:space="preserve">Frequency of </w:t>
      </w:r>
      <w:r>
        <w:t>internet</w:t>
      </w:r>
      <w:r w:rsidRPr="00964CA5">
        <w:t xml:space="preserve"> </w:t>
      </w:r>
      <w:r>
        <w:t>u</w:t>
      </w:r>
      <w:r w:rsidRPr="00964CA5">
        <w:t>se</w:t>
      </w:r>
      <w:bookmarkEnd w:id="290"/>
      <w:bookmarkEnd w:id="291"/>
      <w:bookmarkEnd w:id="292"/>
      <w:bookmarkEnd w:id="293"/>
      <w:bookmarkEnd w:id="294"/>
    </w:p>
    <w:p w14:paraId="7BB1D510" w14:textId="77777777" w:rsidR="009A6E70" w:rsidRDefault="009A6E70" w:rsidP="009A6E70">
      <w:r>
        <w:t xml:space="preserve">Table </w:t>
      </w:r>
      <w:r>
        <w:rPr>
          <w:noProof/>
        </w:rPr>
        <w:t>4.1</w:t>
      </w:r>
      <w:r w:rsidRPr="00A33A73">
        <w:t xml:space="preserve"> and </w:t>
      </w:r>
      <w:r>
        <w:t xml:space="preserve">Figure </w:t>
      </w:r>
      <w:r>
        <w:rPr>
          <w:noProof/>
        </w:rPr>
        <w:t>4.1</w:t>
      </w:r>
      <w:r w:rsidRPr="00A33A73">
        <w:t xml:space="preserve"> describe the frequency with which the Transitioned ADF and 2015</w:t>
      </w:r>
      <w:r>
        <w:t xml:space="preserve"> </w:t>
      </w:r>
      <w:r w:rsidRPr="00A33A73">
        <w:t xml:space="preserve">Regular ADF used the </w:t>
      </w:r>
      <w:r>
        <w:t>internet</w:t>
      </w:r>
      <w:r w:rsidRPr="00A33A73">
        <w:t>.</w:t>
      </w:r>
      <w:r w:rsidRPr="00B43E1B">
        <w:t xml:space="preserve"> </w:t>
      </w:r>
      <w:r>
        <w:t>More than</w:t>
      </w:r>
      <w:r w:rsidRPr="00514C4B">
        <w:t xml:space="preserve"> </w:t>
      </w:r>
      <w:r w:rsidRPr="004271E6">
        <w:t xml:space="preserve">95% of </w:t>
      </w:r>
      <w:r w:rsidRPr="00D01F69">
        <w:t xml:space="preserve">the Transitioned ADF and 2015 Regular ADF </w:t>
      </w:r>
      <w:r>
        <w:t>reported</w:t>
      </w:r>
      <w:r w:rsidRPr="00D01F69">
        <w:t xml:space="preserve"> using the </w:t>
      </w:r>
      <w:r>
        <w:t>internet</w:t>
      </w:r>
      <w:r w:rsidRPr="00D01F69">
        <w:t xml:space="preserve"> at least every d</w:t>
      </w:r>
      <w:r>
        <w:t>ay.</w:t>
      </w:r>
    </w:p>
    <w:p w14:paraId="7047CD02" w14:textId="77777777" w:rsidR="009A6E70" w:rsidRDefault="009A6E70" w:rsidP="009A6E70">
      <w:pPr>
        <w:pStyle w:val="TableName"/>
      </w:pPr>
      <w:bookmarkStart w:id="295" w:name="_Ref508697331"/>
      <w:bookmarkStart w:id="296" w:name="_Toc478033569"/>
      <w:bookmarkStart w:id="297" w:name="_Toc509922861"/>
      <w:bookmarkStart w:id="298" w:name="_Toc515374636"/>
      <w:bookmarkStart w:id="299" w:name="_Toc528932310"/>
      <w:bookmarkStart w:id="300" w:name="_Toc531857989"/>
      <w:r>
        <w:t xml:space="preserve">Table </w:t>
      </w:r>
      <w:r>
        <w:rPr>
          <w:noProof/>
        </w:rPr>
        <w:t>4</w:t>
      </w:r>
      <w:r>
        <w:t>.</w:t>
      </w:r>
      <w:r>
        <w:rPr>
          <w:noProof/>
        </w:rPr>
        <w:t>1</w:t>
      </w:r>
      <w:bookmarkEnd w:id="295"/>
      <w:r>
        <w:tab/>
      </w:r>
      <w:r w:rsidRPr="00F65B2B">
        <w:t xml:space="preserve">Frequency of </w:t>
      </w:r>
      <w:r>
        <w:t>internet</w:t>
      </w:r>
      <w:r w:rsidRPr="00F65B2B">
        <w:t xml:space="preserve"> use in Transitioned ADF and 2015 Regular ADF</w:t>
      </w:r>
      <w:bookmarkEnd w:id="296"/>
      <w:bookmarkEnd w:id="297"/>
      <w:bookmarkEnd w:id="298"/>
      <w:bookmarkEnd w:id="299"/>
      <w:bookmarkEnd w:id="300"/>
      <w:r w:rsidRPr="00F65B2B">
        <w:t xml:space="preserve"> </w:t>
      </w:r>
    </w:p>
    <w:tbl>
      <w:tblPr>
        <w:tblStyle w:val="TWRPTable"/>
        <w:tblW w:w="5000" w:type="pct"/>
        <w:tblLayout w:type="fixed"/>
        <w:tblCellMar>
          <w:left w:w="115" w:type="dxa"/>
          <w:right w:w="115" w:type="dxa"/>
        </w:tblCellMar>
        <w:tblLook w:val="0000" w:firstRow="0" w:lastRow="0" w:firstColumn="0" w:lastColumn="0" w:noHBand="0" w:noVBand="0"/>
        <w:tblDescription w:val="Table 4.1 Frequency of internet use in Transitioned ADF and 2015 Regular ADF "/>
      </w:tblPr>
      <w:tblGrid>
        <w:gridCol w:w="1761"/>
        <w:gridCol w:w="699"/>
        <w:gridCol w:w="869"/>
        <w:gridCol w:w="1099"/>
        <w:gridCol w:w="733"/>
        <w:gridCol w:w="869"/>
        <w:gridCol w:w="1059"/>
      </w:tblGrid>
      <w:tr w:rsidR="009A6E70" w:rsidRPr="00663550" w14:paraId="72566C93" w14:textId="77777777" w:rsidTr="00BF6E26">
        <w:trPr>
          <w:cantSplit/>
          <w:tblHeader/>
        </w:trPr>
        <w:tc>
          <w:tcPr>
            <w:tcW w:w="1242" w:type="pct"/>
            <w:tcBorders>
              <w:top w:val="single" w:sz="4" w:space="0" w:color="000000"/>
              <w:bottom w:val="nil"/>
            </w:tcBorders>
          </w:tcPr>
          <w:p w14:paraId="0D90ABDB" w14:textId="77777777" w:rsidR="009A6E70" w:rsidRPr="00964CA5" w:rsidRDefault="009A6E70" w:rsidP="00EB155C">
            <w:pPr>
              <w:pStyle w:val="TableText"/>
              <w:rPr>
                <w:b/>
              </w:rPr>
            </w:pPr>
          </w:p>
        </w:tc>
        <w:tc>
          <w:tcPr>
            <w:tcW w:w="1881" w:type="pct"/>
            <w:gridSpan w:val="3"/>
            <w:tcBorders>
              <w:top w:val="single" w:sz="4" w:space="0" w:color="000000"/>
              <w:bottom w:val="single" w:sz="4" w:space="0" w:color="000000"/>
            </w:tcBorders>
          </w:tcPr>
          <w:p w14:paraId="021DBA38" w14:textId="77777777" w:rsidR="009A6E70" w:rsidRPr="00964CA5" w:rsidRDefault="009A6E70" w:rsidP="00BF6E26">
            <w:pPr>
              <w:pStyle w:val="TableText"/>
              <w:jc w:val="center"/>
              <w:rPr>
                <w:b/>
              </w:rPr>
            </w:pPr>
            <w:r w:rsidRPr="00964CA5">
              <w:rPr>
                <w:b/>
              </w:rPr>
              <w:t>Transitioned ADF</w:t>
            </w:r>
            <w:r w:rsidR="00BF6E26">
              <w:rPr>
                <w:b/>
              </w:rPr>
              <w:br/>
            </w:r>
            <w:r w:rsidRPr="00964CA5">
              <w:rPr>
                <w:b/>
              </w:rPr>
              <w:t>n=24,932</w:t>
            </w:r>
          </w:p>
        </w:tc>
        <w:tc>
          <w:tcPr>
            <w:tcW w:w="1877" w:type="pct"/>
            <w:gridSpan w:val="3"/>
            <w:tcBorders>
              <w:top w:val="single" w:sz="4" w:space="0" w:color="000000"/>
              <w:bottom w:val="single" w:sz="4" w:space="0" w:color="000000"/>
            </w:tcBorders>
          </w:tcPr>
          <w:p w14:paraId="497D98A9" w14:textId="77777777" w:rsidR="009A6E70" w:rsidRPr="00964CA5" w:rsidRDefault="009A6E70" w:rsidP="00BF6E26">
            <w:pPr>
              <w:pStyle w:val="TableText"/>
              <w:jc w:val="center"/>
              <w:rPr>
                <w:b/>
              </w:rPr>
            </w:pPr>
            <w:r w:rsidRPr="00964CA5">
              <w:rPr>
                <w:b/>
              </w:rPr>
              <w:t>2015 Regular ADF</w:t>
            </w:r>
            <w:r w:rsidR="00BF6E26">
              <w:rPr>
                <w:b/>
              </w:rPr>
              <w:br/>
            </w:r>
            <w:r w:rsidRPr="00964CA5">
              <w:rPr>
                <w:b/>
              </w:rPr>
              <w:t>n=52,500</w:t>
            </w:r>
          </w:p>
        </w:tc>
      </w:tr>
      <w:tr w:rsidR="00BF6E26" w:rsidRPr="00AF016D" w14:paraId="4C7E69E0" w14:textId="77777777" w:rsidTr="00BF6E26">
        <w:trPr>
          <w:cantSplit/>
          <w:tblHeader/>
        </w:trPr>
        <w:tc>
          <w:tcPr>
            <w:tcW w:w="1242" w:type="pct"/>
            <w:tcBorders>
              <w:top w:val="nil"/>
              <w:bottom w:val="single" w:sz="4" w:space="0" w:color="000000"/>
            </w:tcBorders>
          </w:tcPr>
          <w:p w14:paraId="78904ACB" w14:textId="77777777" w:rsidR="009A6E70" w:rsidRPr="00964CA5" w:rsidRDefault="009A6E70" w:rsidP="00EB155C">
            <w:pPr>
              <w:pStyle w:val="TableText"/>
              <w:rPr>
                <w:b/>
              </w:rPr>
            </w:pPr>
            <w:r w:rsidRPr="00964CA5">
              <w:rPr>
                <w:b/>
              </w:rPr>
              <w:t xml:space="preserve">Frequency of </w:t>
            </w:r>
            <w:r>
              <w:rPr>
                <w:b/>
              </w:rPr>
              <w:t>internet</w:t>
            </w:r>
            <w:r w:rsidRPr="00964CA5">
              <w:rPr>
                <w:b/>
              </w:rPr>
              <w:t xml:space="preserve"> </w:t>
            </w:r>
            <w:r>
              <w:rPr>
                <w:b/>
              </w:rPr>
              <w:t>u</w:t>
            </w:r>
            <w:r w:rsidRPr="00964CA5">
              <w:rPr>
                <w:b/>
              </w:rPr>
              <w:t>se</w:t>
            </w:r>
          </w:p>
        </w:tc>
        <w:tc>
          <w:tcPr>
            <w:tcW w:w="493" w:type="pct"/>
            <w:tcBorders>
              <w:top w:val="single" w:sz="4" w:space="0" w:color="000000"/>
              <w:bottom w:val="single" w:sz="4" w:space="0" w:color="000000"/>
            </w:tcBorders>
          </w:tcPr>
          <w:p w14:paraId="529256A4" w14:textId="77777777" w:rsidR="009A6E70" w:rsidRPr="00964CA5" w:rsidRDefault="009A6E70" w:rsidP="00EB155C">
            <w:pPr>
              <w:pStyle w:val="TableText"/>
              <w:jc w:val="right"/>
              <w:rPr>
                <w:b/>
              </w:rPr>
            </w:pPr>
            <w:r w:rsidRPr="00964CA5">
              <w:rPr>
                <w:b/>
              </w:rPr>
              <w:t>n</w:t>
            </w:r>
          </w:p>
        </w:tc>
        <w:tc>
          <w:tcPr>
            <w:tcW w:w="613" w:type="pct"/>
            <w:tcBorders>
              <w:top w:val="single" w:sz="4" w:space="0" w:color="000000"/>
              <w:bottom w:val="single" w:sz="4" w:space="0" w:color="000000"/>
            </w:tcBorders>
          </w:tcPr>
          <w:p w14:paraId="5312A605" w14:textId="77777777" w:rsidR="009A6E70" w:rsidRPr="00964CA5" w:rsidRDefault="009A6E70" w:rsidP="00EB155C">
            <w:pPr>
              <w:pStyle w:val="TableText"/>
              <w:jc w:val="right"/>
              <w:rPr>
                <w:b/>
              </w:rPr>
            </w:pPr>
            <w:r w:rsidRPr="00964CA5">
              <w:rPr>
                <w:b/>
              </w:rPr>
              <w:t>Weighted n</w:t>
            </w:r>
          </w:p>
        </w:tc>
        <w:tc>
          <w:tcPr>
            <w:tcW w:w="774" w:type="pct"/>
            <w:tcBorders>
              <w:top w:val="single" w:sz="4" w:space="0" w:color="000000"/>
              <w:bottom w:val="single" w:sz="4" w:space="0" w:color="000000"/>
            </w:tcBorders>
          </w:tcPr>
          <w:p w14:paraId="0D7802DC" w14:textId="77777777" w:rsidR="009A6E70" w:rsidRPr="00964CA5" w:rsidRDefault="009A6E70" w:rsidP="00EB155C">
            <w:pPr>
              <w:pStyle w:val="TableText"/>
              <w:jc w:val="right"/>
              <w:rPr>
                <w:b/>
              </w:rPr>
            </w:pPr>
            <w:r w:rsidRPr="00964CA5">
              <w:rPr>
                <w:b/>
              </w:rPr>
              <w:t>% (95%CI)</w:t>
            </w:r>
          </w:p>
        </w:tc>
        <w:tc>
          <w:tcPr>
            <w:tcW w:w="517" w:type="pct"/>
            <w:tcBorders>
              <w:top w:val="single" w:sz="4" w:space="0" w:color="000000"/>
              <w:bottom w:val="single" w:sz="4" w:space="0" w:color="000000"/>
            </w:tcBorders>
          </w:tcPr>
          <w:p w14:paraId="50125AC2" w14:textId="77777777" w:rsidR="009A6E70" w:rsidRPr="00964CA5" w:rsidRDefault="009A6E70" w:rsidP="00EB155C">
            <w:pPr>
              <w:pStyle w:val="TableText"/>
              <w:jc w:val="right"/>
              <w:rPr>
                <w:b/>
              </w:rPr>
            </w:pPr>
            <w:r w:rsidRPr="00964CA5">
              <w:rPr>
                <w:b/>
              </w:rPr>
              <w:t>n</w:t>
            </w:r>
          </w:p>
        </w:tc>
        <w:tc>
          <w:tcPr>
            <w:tcW w:w="613" w:type="pct"/>
            <w:tcBorders>
              <w:top w:val="single" w:sz="4" w:space="0" w:color="000000"/>
              <w:bottom w:val="single" w:sz="4" w:space="0" w:color="000000"/>
            </w:tcBorders>
          </w:tcPr>
          <w:p w14:paraId="6B309E17" w14:textId="77777777" w:rsidR="009A6E70" w:rsidRPr="00964CA5" w:rsidRDefault="009A6E70" w:rsidP="00EB155C">
            <w:pPr>
              <w:pStyle w:val="TableText"/>
              <w:jc w:val="right"/>
              <w:rPr>
                <w:b/>
              </w:rPr>
            </w:pPr>
            <w:r w:rsidRPr="00964CA5">
              <w:rPr>
                <w:b/>
              </w:rPr>
              <w:t>Weighted n</w:t>
            </w:r>
          </w:p>
        </w:tc>
        <w:tc>
          <w:tcPr>
            <w:tcW w:w="746" w:type="pct"/>
            <w:tcBorders>
              <w:top w:val="single" w:sz="4" w:space="0" w:color="000000"/>
              <w:bottom w:val="single" w:sz="4" w:space="0" w:color="000000"/>
            </w:tcBorders>
          </w:tcPr>
          <w:p w14:paraId="432DBB7C" w14:textId="77777777" w:rsidR="009A6E70" w:rsidRPr="00964CA5" w:rsidRDefault="009A6E70" w:rsidP="00EB155C">
            <w:pPr>
              <w:pStyle w:val="TableText"/>
              <w:jc w:val="right"/>
              <w:rPr>
                <w:b/>
              </w:rPr>
            </w:pPr>
            <w:r w:rsidRPr="00964CA5">
              <w:rPr>
                <w:b/>
              </w:rPr>
              <w:t>% (95%CI)</w:t>
            </w:r>
          </w:p>
        </w:tc>
      </w:tr>
      <w:tr w:rsidR="00BF6E26" w:rsidRPr="00AF016D" w14:paraId="03B5F7D8"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242" w:type="pct"/>
            <w:tcBorders>
              <w:top w:val="single" w:sz="4" w:space="0" w:color="000000"/>
            </w:tcBorders>
          </w:tcPr>
          <w:p w14:paraId="28B08A72" w14:textId="77777777" w:rsidR="009A6E70" w:rsidRPr="00494E02" w:rsidRDefault="009A6E70" w:rsidP="00EB155C">
            <w:pPr>
              <w:pStyle w:val="TableText"/>
            </w:pPr>
            <w:r w:rsidRPr="00494E02">
              <w:t>Every day or almost every day</w:t>
            </w:r>
          </w:p>
        </w:tc>
        <w:tc>
          <w:tcPr>
            <w:tcW w:w="493" w:type="pct"/>
            <w:tcBorders>
              <w:top w:val="single" w:sz="4" w:space="0" w:color="000000"/>
            </w:tcBorders>
          </w:tcPr>
          <w:p w14:paraId="17BC099D" w14:textId="77777777" w:rsidR="009A6E70" w:rsidRPr="00494E02" w:rsidRDefault="009A6E70" w:rsidP="00EB155C">
            <w:pPr>
              <w:pStyle w:val="TableText"/>
              <w:jc w:val="right"/>
              <w:rPr>
                <w:color w:val="000000" w:themeColor="text1"/>
              </w:rPr>
            </w:pPr>
            <w:r w:rsidRPr="00494E02">
              <w:t>3372</w:t>
            </w:r>
          </w:p>
        </w:tc>
        <w:tc>
          <w:tcPr>
            <w:tcW w:w="613" w:type="pct"/>
            <w:tcBorders>
              <w:top w:val="single" w:sz="4" w:space="0" w:color="000000"/>
            </w:tcBorders>
          </w:tcPr>
          <w:p w14:paraId="23C9897A" w14:textId="77777777" w:rsidR="009A6E70" w:rsidRPr="00494E02" w:rsidRDefault="009A6E70" w:rsidP="00EB155C">
            <w:pPr>
              <w:pStyle w:val="TableText"/>
              <w:jc w:val="right"/>
              <w:rPr>
                <w:color w:val="000000" w:themeColor="text1"/>
              </w:rPr>
            </w:pPr>
            <w:r w:rsidRPr="00494E02">
              <w:t>23</w:t>
            </w:r>
            <w:r>
              <w:t>,</w:t>
            </w:r>
            <w:r w:rsidRPr="00494E02">
              <w:t>788</w:t>
            </w:r>
          </w:p>
        </w:tc>
        <w:tc>
          <w:tcPr>
            <w:tcW w:w="774" w:type="pct"/>
            <w:tcBorders>
              <w:top w:val="single" w:sz="4" w:space="0" w:color="000000"/>
            </w:tcBorders>
          </w:tcPr>
          <w:p w14:paraId="05ABE511" w14:textId="77777777" w:rsidR="009A6E70" w:rsidRPr="00494E02" w:rsidRDefault="009A6E70" w:rsidP="00EB155C">
            <w:pPr>
              <w:pStyle w:val="TableText"/>
              <w:jc w:val="right"/>
              <w:rPr>
                <w:color w:val="000000" w:themeColor="text1"/>
              </w:rPr>
            </w:pPr>
            <w:r w:rsidRPr="00494E02">
              <w:t>95.4 (94.5,</w:t>
            </w:r>
            <w:r>
              <w:t xml:space="preserve"> </w:t>
            </w:r>
            <w:r w:rsidRPr="00494E02">
              <w:t>96.2)</w:t>
            </w:r>
          </w:p>
        </w:tc>
        <w:tc>
          <w:tcPr>
            <w:tcW w:w="517" w:type="pct"/>
            <w:tcBorders>
              <w:top w:val="single" w:sz="4" w:space="0" w:color="000000"/>
            </w:tcBorders>
          </w:tcPr>
          <w:p w14:paraId="2E7F6530" w14:textId="77777777" w:rsidR="009A6E70" w:rsidRPr="00494E02" w:rsidRDefault="009A6E70" w:rsidP="00EB155C">
            <w:pPr>
              <w:pStyle w:val="TableText"/>
              <w:jc w:val="right"/>
              <w:rPr>
                <w:color w:val="000000" w:themeColor="text1"/>
              </w:rPr>
            </w:pPr>
            <w:r w:rsidRPr="00494E02">
              <w:t>7071</w:t>
            </w:r>
          </w:p>
        </w:tc>
        <w:tc>
          <w:tcPr>
            <w:tcW w:w="613" w:type="pct"/>
            <w:tcBorders>
              <w:top w:val="single" w:sz="4" w:space="0" w:color="000000"/>
            </w:tcBorders>
          </w:tcPr>
          <w:p w14:paraId="6859BC20" w14:textId="77777777" w:rsidR="009A6E70" w:rsidRPr="00494E02" w:rsidRDefault="009A6E70" w:rsidP="00EB155C">
            <w:pPr>
              <w:pStyle w:val="TableText"/>
              <w:jc w:val="right"/>
              <w:rPr>
                <w:color w:val="000000" w:themeColor="text1"/>
              </w:rPr>
            </w:pPr>
            <w:r w:rsidRPr="00494E02">
              <w:t>50</w:t>
            </w:r>
            <w:r>
              <w:t>,</w:t>
            </w:r>
            <w:r w:rsidRPr="00494E02">
              <w:t>337</w:t>
            </w:r>
          </w:p>
        </w:tc>
        <w:tc>
          <w:tcPr>
            <w:tcW w:w="746" w:type="pct"/>
            <w:tcBorders>
              <w:top w:val="single" w:sz="4" w:space="0" w:color="000000"/>
            </w:tcBorders>
          </w:tcPr>
          <w:p w14:paraId="559301B9" w14:textId="77777777" w:rsidR="009A6E70" w:rsidRPr="00494E02" w:rsidRDefault="009A6E70" w:rsidP="00EB155C">
            <w:pPr>
              <w:pStyle w:val="TableText"/>
              <w:jc w:val="right"/>
              <w:rPr>
                <w:color w:val="000000" w:themeColor="text1"/>
              </w:rPr>
            </w:pPr>
            <w:r w:rsidRPr="00494E02">
              <w:t>95.9 (93.5,</w:t>
            </w:r>
            <w:r>
              <w:t xml:space="preserve"> </w:t>
            </w:r>
            <w:r w:rsidRPr="00494E02">
              <w:t>97.4)</w:t>
            </w:r>
          </w:p>
        </w:tc>
      </w:tr>
      <w:tr w:rsidR="00BF6E26" w:rsidRPr="00AF016D" w14:paraId="5C563997" w14:textId="77777777" w:rsidTr="00BF6E26">
        <w:trPr>
          <w:cantSplit/>
        </w:trPr>
        <w:tc>
          <w:tcPr>
            <w:tcW w:w="1242" w:type="pct"/>
          </w:tcPr>
          <w:p w14:paraId="76F1C094" w14:textId="77777777" w:rsidR="009A6E70" w:rsidRPr="00494E02" w:rsidRDefault="009A6E70" w:rsidP="00EB155C">
            <w:pPr>
              <w:pStyle w:val="TableText"/>
            </w:pPr>
            <w:r w:rsidRPr="00494E02">
              <w:t>Once or twice a week</w:t>
            </w:r>
          </w:p>
        </w:tc>
        <w:tc>
          <w:tcPr>
            <w:tcW w:w="493" w:type="pct"/>
          </w:tcPr>
          <w:p w14:paraId="3375E6ED" w14:textId="77777777" w:rsidR="009A6E70" w:rsidRPr="00494E02" w:rsidRDefault="009A6E70" w:rsidP="00EB155C">
            <w:pPr>
              <w:pStyle w:val="TableText"/>
              <w:jc w:val="right"/>
              <w:rPr>
                <w:color w:val="000000" w:themeColor="text1"/>
              </w:rPr>
            </w:pPr>
            <w:r w:rsidRPr="00494E02">
              <w:t>146</w:t>
            </w:r>
          </w:p>
        </w:tc>
        <w:tc>
          <w:tcPr>
            <w:tcW w:w="613" w:type="pct"/>
          </w:tcPr>
          <w:p w14:paraId="4D28E0FF" w14:textId="77777777" w:rsidR="009A6E70" w:rsidRPr="00494E02" w:rsidRDefault="009A6E70" w:rsidP="00EB155C">
            <w:pPr>
              <w:pStyle w:val="TableText"/>
              <w:jc w:val="right"/>
              <w:rPr>
                <w:color w:val="000000" w:themeColor="text1"/>
              </w:rPr>
            </w:pPr>
            <w:r w:rsidRPr="00494E02">
              <w:t>993</w:t>
            </w:r>
          </w:p>
        </w:tc>
        <w:tc>
          <w:tcPr>
            <w:tcW w:w="774" w:type="pct"/>
          </w:tcPr>
          <w:p w14:paraId="344C7ABE" w14:textId="77777777" w:rsidR="009A6E70" w:rsidRPr="00494E02" w:rsidRDefault="009A6E70" w:rsidP="00EB155C">
            <w:pPr>
              <w:pStyle w:val="TableText"/>
              <w:jc w:val="right"/>
              <w:rPr>
                <w:color w:val="000000" w:themeColor="text1"/>
              </w:rPr>
            </w:pPr>
            <w:r w:rsidRPr="00494E02">
              <w:t>4.0 (3.2,</w:t>
            </w:r>
            <w:r>
              <w:t xml:space="preserve"> </w:t>
            </w:r>
            <w:r w:rsidRPr="00494E02">
              <w:t>4.9)</w:t>
            </w:r>
          </w:p>
        </w:tc>
        <w:tc>
          <w:tcPr>
            <w:tcW w:w="517" w:type="pct"/>
          </w:tcPr>
          <w:p w14:paraId="750D9846" w14:textId="77777777" w:rsidR="009A6E70" w:rsidRPr="00494E02" w:rsidRDefault="009A6E70" w:rsidP="00EB155C">
            <w:pPr>
              <w:pStyle w:val="TableText"/>
              <w:jc w:val="right"/>
              <w:rPr>
                <w:color w:val="000000" w:themeColor="text1"/>
              </w:rPr>
            </w:pPr>
            <w:r w:rsidRPr="00494E02">
              <w:t>227</w:t>
            </w:r>
          </w:p>
        </w:tc>
        <w:tc>
          <w:tcPr>
            <w:tcW w:w="613" w:type="pct"/>
          </w:tcPr>
          <w:p w14:paraId="259799B0" w14:textId="77777777" w:rsidR="009A6E70" w:rsidRPr="00494E02" w:rsidRDefault="009A6E70" w:rsidP="00EB155C">
            <w:pPr>
              <w:pStyle w:val="TableText"/>
              <w:jc w:val="right"/>
              <w:rPr>
                <w:color w:val="000000" w:themeColor="text1"/>
              </w:rPr>
            </w:pPr>
            <w:r w:rsidRPr="00494E02">
              <w:t>1871</w:t>
            </w:r>
          </w:p>
        </w:tc>
        <w:tc>
          <w:tcPr>
            <w:tcW w:w="746" w:type="pct"/>
          </w:tcPr>
          <w:p w14:paraId="43EFA9E9" w14:textId="77777777" w:rsidR="009A6E70" w:rsidRPr="00494E02" w:rsidRDefault="009A6E70" w:rsidP="00EB155C">
            <w:pPr>
              <w:pStyle w:val="TableText"/>
              <w:jc w:val="right"/>
              <w:rPr>
                <w:color w:val="000000" w:themeColor="text1"/>
              </w:rPr>
            </w:pPr>
            <w:r w:rsidRPr="00494E02">
              <w:t>3.6 (2.1,</w:t>
            </w:r>
            <w:r>
              <w:t xml:space="preserve"> </w:t>
            </w:r>
            <w:r w:rsidRPr="00494E02">
              <w:t>6.0)</w:t>
            </w:r>
          </w:p>
        </w:tc>
      </w:tr>
      <w:tr w:rsidR="00BF6E26" w:rsidRPr="00AF016D" w14:paraId="1FFD5150"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242" w:type="pct"/>
          </w:tcPr>
          <w:p w14:paraId="72EC4FE9" w14:textId="77777777" w:rsidR="009A6E70" w:rsidRPr="00494E02" w:rsidRDefault="009A6E70" w:rsidP="00EB155C">
            <w:pPr>
              <w:pStyle w:val="TableText"/>
            </w:pPr>
            <w:r w:rsidRPr="00494E02">
              <w:t>Once or twice a month</w:t>
            </w:r>
          </w:p>
        </w:tc>
        <w:tc>
          <w:tcPr>
            <w:tcW w:w="493" w:type="pct"/>
          </w:tcPr>
          <w:p w14:paraId="6EC299B9" w14:textId="77777777" w:rsidR="009A6E70" w:rsidRPr="00494E02" w:rsidRDefault="009A6E70" w:rsidP="00EB155C">
            <w:pPr>
              <w:pStyle w:val="TableText"/>
              <w:jc w:val="right"/>
              <w:rPr>
                <w:color w:val="000000" w:themeColor="text1"/>
              </w:rPr>
            </w:pPr>
            <w:r w:rsidRPr="00494E02">
              <w:t>9</w:t>
            </w:r>
          </w:p>
        </w:tc>
        <w:tc>
          <w:tcPr>
            <w:tcW w:w="613" w:type="pct"/>
          </w:tcPr>
          <w:p w14:paraId="3A90469E" w14:textId="77777777" w:rsidR="009A6E70" w:rsidRPr="00494E02" w:rsidRDefault="009A6E70" w:rsidP="00EB155C">
            <w:pPr>
              <w:pStyle w:val="TableText"/>
              <w:jc w:val="right"/>
              <w:rPr>
                <w:color w:val="000000" w:themeColor="text1"/>
              </w:rPr>
            </w:pPr>
            <w:r w:rsidRPr="00494E02">
              <w:t>52</w:t>
            </w:r>
          </w:p>
        </w:tc>
        <w:tc>
          <w:tcPr>
            <w:tcW w:w="774" w:type="pct"/>
          </w:tcPr>
          <w:p w14:paraId="4BF1F157" w14:textId="77777777" w:rsidR="009A6E70" w:rsidRPr="00494E02" w:rsidRDefault="009A6E70" w:rsidP="00EB155C">
            <w:pPr>
              <w:pStyle w:val="TableText"/>
              <w:jc w:val="right"/>
              <w:rPr>
                <w:color w:val="000000" w:themeColor="text1"/>
              </w:rPr>
            </w:pPr>
            <w:r w:rsidRPr="00494E02">
              <w:t>0.2 (0.1,</w:t>
            </w:r>
            <w:r>
              <w:t xml:space="preserve"> </w:t>
            </w:r>
            <w:r w:rsidRPr="00494E02">
              <w:t>0.4)</w:t>
            </w:r>
          </w:p>
        </w:tc>
        <w:tc>
          <w:tcPr>
            <w:tcW w:w="517" w:type="pct"/>
          </w:tcPr>
          <w:p w14:paraId="1BC47D8F" w14:textId="77777777" w:rsidR="009A6E70" w:rsidRPr="00494E02" w:rsidRDefault="009A6E70" w:rsidP="00EB155C">
            <w:pPr>
              <w:pStyle w:val="TableText"/>
              <w:jc w:val="right"/>
              <w:rPr>
                <w:color w:val="000000" w:themeColor="text1"/>
              </w:rPr>
            </w:pPr>
            <w:r w:rsidRPr="00494E02">
              <w:t>23</w:t>
            </w:r>
          </w:p>
        </w:tc>
        <w:tc>
          <w:tcPr>
            <w:tcW w:w="613" w:type="pct"/>
          </w:tcPr>
          <w:p w14:paraId="5C11A074" w14:textId="77777777" w:rsidR="009A6E70" w:rsidRPr="00494E02" w:rsidRDefault="009A6E70" w:rsidP="00EB155C">
            <w:pPr>
              <w:pStyle w:val="TableText"/>
              <w:jc w:val="right"/>
              <w:rPr>
                <w:color w:val="000000" w:themeColor="text1"/>
              </w:rPr>
            </w:pPr>
            <w:r w:rsidRPr="00494E02">
              <w:t>74</w:t>
            </w:r>
          </w:p>
        </w:tc>
        <w:tc>
          <w:tcPr>
            <w:tcW w:w="746" w:type="pct"/>
          </w:tcPr>
          <w:p w14:paraId="2B456340" w14:textId="77777777" w:rsidR="009A6E70" w:rsidRPr="00494E02" w:rsidRDefault="009A6E70" w:rsidP="00EB155C">
            <w:pPr>
              <w:pStyle w:val="TableText"/>
              <w:jc w:val="right"/>
              <w:rPr>
                <w:color w:val="000000" w:themeColor="text1"/>
              </w:rPr>
            </w:pPr>
            <w:r w:rsidRPr="00494E02">
              <w:t>0.1 (0.1,</w:t>
            </w:r>
            <w:r>
              <w:t xml:space="preserve"> </w:t>
            </w:r>
            <w:r w:rsidRPr="00494E02">
              <w:t>0.2)</w:t>
            </w:r>
          </w:p>
        </w:tc>
      </w:tr>
      <w:tr w:rsidR="00BF6E26" w:rsidRPr="00AF016D" w14:paraId="66EAC059" w14:textId="77777777" w:rsidTr="00BF6E26">
        <w:trPr>
          <w:cantSplit/>
        </w:trPr>
        <w:tc>
          <w:tcPr>
            <w:tcW w:w="1242" w:type="pct"/>
          </w:tcPr>
          <w:p w14:paraId="54253357" w14:textId="77777777" w:rsidR="009A6E70" w:rsidRPr="00494E02" w:rsidRDefault="009A6E70" w:rsidP="00EB155C">
            <w:pPr>
              <w:pStyle w:val="TableText"/>
            </w:pPr>
            <w:r w:rsidRPr="00494E02">
              <w:t>Less than once a month</w:t>
            </w:r>
          </w:p>
        </w:tc>
        <w:tc>
          <w:tcPr>
            <w:tcW w:w="493" w:type="pct"/>
          </w:tcPr>
          <w:p w14:paraId="322F832C" w14:textId="77777777" w:rsidR="009A6E70" w:rsidRPr="00494E02" w:rsidRDefault="009A6E70" w:rsidP="00EB155C">
            <w:pPr>
              <w:pStyle w:val="TableText"/>
              <w:jc w:val="right"/>
              <w:rPr>
                <w:color w:val="000000" w:themeColor="text1"/>
              </w:rPr>
            </w:pPr>
            <w:r w:rsidRPr="00494E02">
              <w:t>13</w:t>
            </w:r>
          </w:p>
        </w:tc>
        <w:tc>
          <w:tcPr>
            <w:tcW w:w="613" w:type="pct"/>
          </w:tcPr>
          <w:p w14:paraId="63C7FE68" w14:textId="77777777" w:rsidR="009A6E70" w:rsidRPr="00494E02" w:rsidRDefault="009A6E70" w:rsidP="00EB155C">
            <w:pPr>
              <w:pStyle w:val="TableText"/>
              <w:jc w:val="right"/>
              <w:rPr>
                <w:color w:val="000000" w:themeColor="text1"/>
              </w:rPr>
            </w:pPr>
            <w:r w:rsidRPr="00494E02">
              <w:t>68</w:t>
            </w:r>
          </w:p>
        </w:tc>
        <w:tc>
          <w:tcPr>
            <w:tcW w:w="774" w:type="pct"/>
          </w:tcPr>
          <w:p w14:paraId="0A77CA4E" w14:textId="77777777" w:rsidR="009A6E70" w:rsidRPr="00494E02" w:rsidRDefault="009A6E70" w:rsidP="00EB155C">
            <w:pPr>
              <w:pStyle w:val="TableText"/>
              <w:jc w:val="right"/>
              <w:rPr>
                <w:color w:val="000000" w:themeColor="text1"/>
              </w:rPr>
            </w:pPr>
            <w:r w:rsidRPr="00494E02">
              <w:t>0.3 (0.2,</w:t>
            </w:r>
            <w:r>
              <w:t xml:space="preserve"> </w:t>
            </w:r>
            <w:r w:rsidRPr="00494E02">
              <w:t>0.5)</w:t>
            </w:r>
          </w:p>
        </w:tc>
        <w:tc>
          <w:tcPr>
            <w:tcW w:w="517" w:type="pct"/>
          </w:tcPr>
          <w:p w14:paraId="3098C2BE" w14:textId="77777777" w:rsidR="009A6E70" w:rsidRPr="00494E02" w:rsidRDefault="009A6E70" w:rsidP="00EB155C">
            <w:pPr>
              <w:pStyle w:val="TableText"/>
              <w:jc w:val="right"/>
              <w:rPr>
                <w:color w:val="000000" w:themeColor="text1"/>
              </w:rPr>
            </w:pPr>
            <w:r w:rsidRPr="00494E02">
              <w:t>16</w:t>
            </w:r>
          </w:p>
        </w:tc>
        <w:tc>
          <w:tcPr>
            <w:tcW w:w="613" w:type="pct"/>
          </w:tcPr>
          <w:p w14:paraId="6F73B389" w14:textId="77777777" w:rsidR="009A6E70" w:rsidRPr="00494E02" w:rsidRDefault="009A6E70" w:rsidP="00EB155C">
            <w:pPr>
              <w:pStyle w:val="TableText"/>
              <w:jc w:val="right"/>
              <w:rPr>
                <w:color w:val="000000" w:themeColor="text1"/>
              </w:rPr>
            </w:pPr>
            <w:r w:rsidRPr="00494E02">
              <w:t>187</w:t>
            </w:r>
          </w:p>
        </w:tc>
        <w:tc>
          <w:tcPr>
            <w:tcW w:w="746" w:type="pct"/>
          </w:tcPr>
          <w:p w14:paraId="44BB77AB" w14:textId="77777777" w:rsidR="009A6E70" w:rsidRPr="00494E02" w:rsidRDefault="009A6E70" w:rsidP="00EB155C">
            <w:pPr>
              <w:pStyle w:val="TableText"/>
              <w:jc w:val="right"/>
              <w:rPr>
                <w:color w:val="000000" w:themeColor="text1"/>
              </w:rPr>
            </w:pPr>
            <w:r w:rsidRPr="00494E02">
              <w:t>0.4 (0.1,</w:t>
            </w:r>
            <w:r>
              <w:t xml:space="preserve"> </w:t>
            </w:r>
            <w:r w:rsidRPr="00494E02">
              <w:t>1.3)</w:t>
            </w:r>
          </w:p>
        </w:tc>
      </w:tr>
    </w:tbl>
    <w:p w14:paraId="56E1FF61" w14:textId="77777777" w:rsidR="009A6E70" w:rsidRPr="006A3EA0" w:rsidRDefault="009A6E70" w:rsidP="009A6E70">
      <w:pPr>
        <w:pStyle w:val="TableNotes"/>
      </w:pPr>
      <w:r w:rsidRPr="006A3EA0">
        <w:t>Notes</w:t>
      </w:r>
    </w:p>
    <w:p w14:paraId="370F1F67" w14:textId="77777777" w:rsidR="009A6E70" w:rsidRPr="004C7947" w:rsidRDefault="009A6E70" w:rsidP="009A6E70">
      <w:pPr>
        <w:pStyle w:val="TableNotes"/>
      </w:pPr>
      <w:r w:rsidRPr="004C7947">
        <w:t>Denominator: Entire cohort</w:t>
      </w:r>
      <w:r>
        <w:t>.</w:t>
      </w:r>
    </w:p>
    <w:p w14:paraId="5A349339" w14:textId="77777777" w:rsidR="009A6E70" w:rsidRPr="004C7947" w:rsidRDefault="009A6E70" w:rsidP="009A6E70">
      <w:pPr>
        <w:pStyle w:val="TableNotes"/>
      </w:pPr>
      <w:r w:rsidRPr="004C7947">
        <w:t>Based on weighted counts</w:t>
      </w:r>
      <w:r>
        <w:t>,</w:t>
      </w:r>
      <w:r w:rsidRPr="004C7947">
        <w:t xml:space="preserve"> 32 (0.1%) Transitioned ADF and 31 (0.1%) 2015 Regular ADF had a missing value for this question.</w:t>
      </w:r>
      <w:r>
        <w:t xml:space="preserve"> </w:t>
      </w:r>
      <w:r w:rsidRPr="004C7947">
        <w:t>However, distributions are calculated by including those with a missing value to allow for correct weighted totals.</w:t>
      </w:r>
    </w:p>
    <w:p w14:paraId="2E00E59F" w14:textId="77777777" w:rsidR="009A6E70" w:rsidRDefault="009A6E70" w:rsidP="009A6E70">
      <w:pPr>
        <w:pStyle w:val="TableNotes"/>
      </w:pPr>
      <w:r w:rsidRPr="004C7947">
        <w:t>95%CI</w:t>
      </w:r>
      <w:r>
        <w:t xml:space="preserve"> =</w:t>
      </w:r>
      <w:r w:rsidRPr="004C7947">
        <w:t xml:space="preserve"> 95% </w:t>
      </w:r>
      <w:r>
        <w:t>confidence interval.</w:t>
      </w:r>
    </w:p>
    <w:p w14:paraId="7375DE86" w14:textId="1FBE0457" w:rsidR="009A6E70" w:rsidRDefault="009A6E70" w:rsidP="009A6E70">
      <w:pPr>
        <w:pStyle w:val="FigureName"/>
      </w:pPr>
      <w:bookmarkStart w:id="301" w:name="_Ref508697322"/>
      <w:bookmarkStart w:id="302" w:name="_Toc509922935"/>
      <w:bookmarkStart w:id="303" w:name="_Toc515374709"/>
      <w:bookmarkStart w:id="304" w:name="_Toc528932393"/>
      <w:bookmarkStart w:id="305" w:name="_Toc531858073"/>
      <w:r>
        <w:t xml:space="preserve">Figure </w:t>
      </w:r>
      <w:r>
        <w:rPr>
          <w:noProof/>
        </w:rPr>
        <w:t>4</w:t>
      </w:r>
      <w:r>
        <w:t>.</w:t>
      </w:r>
      <w:r>
        <w:rPr>
          <w:noProof/>
        </w:rPr>
        <w:t>1</w:t>
      </w:r>
      <w:bookmarkEnd w:id="301"/>
      <w:r>
        <w:tab/>
      </w:r>
      <w:r w:rsidRPr="00F65B2B">
        <w:t xml:space="preserve">Frequency of </w:t>
      </w:r>
      <w:r>
        <w:t>internet</w:t>
      </w:r>
      <w:r w:rsidRPr="00F65B2B">
        <w:t xml:space="preserve"> use in Transitioned ADF and 2015 Regular ADF</w:t>
      </w:r>
      <w:bookmarkEnd w:id="302"/>
      <w:bookmarkEnd w:id="303"/>
      <w:bookmarkEnd w:id="304"/>
      <w:bookmarkEnd w:id="305"/>
    </w:p>
    <w:p w14:paraId="0BE6ABC0" w14:textId="77777777" w:rsidR="009A6E70" w:rsidRPr="00BF6E26" w:rsidRDefault="00BF6E26" w:rsidP="00BF6E26">
      <w:pPr>
        <w:spacing w:after="360"/>
      </w:pPr>
      <w:r w:rsidRPr="00D254D0">
        <w:rPr>
          <w:noProof/>
          <w:lang w:eastAsia="en-AU"/>
        </w:rPr>
        <w:drawing>
          <wp:inline distT="0" distB="0" distL="0" distR="0" wp14:anchorId="05B5CC9C" wp14:editId="11743756">
            <wp:extent cx="4572000" cy="2353003"/>
            <wp:effectExtent l="0" t="0" r="0" b="9525"/>
            <wp:docPr id="475" name="Picture 475" descr="Figure 4.1 Frequency of internet use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Sciences\SPHCP\CTSS\DATA REPOSITORY\TWRP\REPORT 5\FIGURE_4_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2353003"/>
                    </a:xfrm>
                    <a:prstGeom prst="rect">
                      <a:avLst/>
                    </a:prstGeom>
                    <a:noFill/>
                    <a:ln>
                      <a:noFill/>
                    </a:ln>
                  </pic:spPr>
                </pic:pic>
              </a:graphicData>
            </a:graphic>
          </wp:inline>
        </w:drawing>
      </w:r>
    </w:p>
    <w:p w14:paraId="2B579BF9" w14:textId="77777777" w:rsidR="009A6E70" w:rsidRPr="00964CA5" w:rsidRDefault="009A6E70" w:rsidP="009A6E70">
      <w:pPr>
        <w:pStyle w:val="Heading3"/>
        <w:numPr>
          <w:ilvl w:val="2"/>
          <w:numId w:val="1"/>
        </w:numPr>
      </w:pPr>
      <w:bookmarkStart w:id="306" w:name="_Toc509917426"/>
      <w:bookmarkStart w:id="307" w:name="_Toc515374468"/>
      <w:bookmarkStart w:id="308" w:name="_Toc518566357"/>
      <w:bookmarkStart w:id="309" w:name="_Toc528932653"/>
      <w:bookmarkStart w:id="310" w:name="_Toc531859190"/>
      <w:r w:rsidRPr="00964CA5">
        <w:t xml:space="preserve">Methods used to search for information on the </w:t>
      </w:r>
      <w:r>
        <w:t>internet</w:t>
      </w:r>
      <w:bookmarkEnd w:id="306"/>
      <w:bookmarkEnd w:id="307"/>
      <w:bookmarkEnd w:id="308"/>
      <w:bookmarkEnd w:id="309"/>
      <w:bookmarkEnd w:id="310"/>
    </w:p>
    <w:p w14:paraId="5B077446" w14:textId="77777777" w:rsidR="009A6E70" w:rsidRDefault="009A6E70" w:rsidP="00A01AA0">
      <w:pPr>
        <w:keepLines/>
      </w:pPr>
      <w:r w:rsidRPr="0060303D">
        <w:t>The majority of the Transitioned ADF (89.4%) and the</w:t>
      </w:r>
      <w:r>
        <w:t xml:space="preserve"> </w:t>
      </w:r>
      <w:r w:rsidRPr="0060303D">
        <w:t xml:space="preserve">2015 Regular ADF (88.1%) </w:t>
      </w:r>
      <w:r>
        <w:t xml:space="preserve">reported using a search engine to search for information on the internet. Approximately 10% of both groups </w:t>
      </w:r>
      <w:r w:rsidRPr="0060303D">
        <w:t>(Transitioned ADF 9.7% vs 2015 Regular ADF 10.8%)</w:t>
      </w:r>
      <w:r>
        <w:t xml:space="preserve"> deliberately accessed a specific website (Table </w:t>
      </w:r>
      <w:r>
        <w:rPr>
          <w:noProof/>
        </w:rPr>
        <w:t>4</w:t>
      </w:r>
      <w:r>
        <w:t>.</w:t>
      </w:r>
      <w:r>
        <w:rPr>
          <w:noProof/>
        </w:rPr>
        <w:t>2</w:t>
      </w:r>
      <w:r>
        <w:t xml:space="preserve"> and Figure </w:t>
      </w:r>
      <w:r>
        <w:rPr>
          <w:noProof/>
        </w:rPr>
        <w:t>4</w:t>
      </w:r>
      <w:r>
        <w:t>.</w:t>
      </w:r>
      <w:r>
        <w:rPr>
          <w:noProof/>
        </w:rPr>
        <w:t>2</w:t>
      </w:r>
      <w:r>
        <w:t xml:space="preserve">). </w:t>
      </w:r>
    </w:p>
    <w:p w14:paraId="480492F2" w14:textId="77777777" w:rsidR="009A6E70" w:rsidRDefault="009A6E70" w:rsidP="009A6E70">
      <w:pPr>
        <w:pStyle w:val="TableName"/>
      </w:pPr>
      <w:bookmarkStart w:id="311" w:name="_Ref508696798"/>
      <w:bookmarkStart w:id="312" w:name="_Toc509922862"/>
      <w:bookmarkStart w:id="313" w:name="_Toc515374637"/>
      <w:bookmarkStart w:id="314" w:name="_Toc528932311"/>
      <w:bookmarkStart w:id="315" w:name="_Toc531857990"/>
      <w:r>
        <w:t xml:space="preserve">Table </w:t>
      </w:r>
      <w:r>
        <w:rPr>
          <w:noProof/>
        </w:rPr>
        <w:t>4</w:t>
      </w:r>
      <w:r>
        <w:t>.</w:t>
      </w:r>
      <w:r>
        <w:rPr>
          <w:noProof/>
        </w:rPr>
        <w:t>2</w:t>
      </w:r>
      <w:bookmarkEnd w:id="311"/>
      <w:r>
        <w:tab/>
      </w:r>
      <w:r w:rsidRPr="00F65B2B">
        <w:t xml:space="preserve">Methods used to begin searching for information on the </w:t>
      </w:r>
      <w:r>
        <w:t>internet</w:t>
      </w:r>
      <w:r w:rsidRPr="00F65B2B">
        <w:t xml:space="preserve"> in Transitioned ADF and 2015 Regular ADF</w:t>
      </w:r>
      <w:bookmarkEnd w:id="312"/>
      <w:bookmarkEnd w:id="313"/>
      <w:bookmarkEnd w:id="314"/>
      <w:bookmarkEnd w:id="315"/>
    </w:p>
    <w:tbl>
      <w:tblPr>
        <w:tblStyle w:val="TWRPTable"/>
        <w:tblW w:w="5000" w:type="pct"/>
        <w:tblLayout w:type="fixed"/>
        <w:tblCellMar>
          <w:left w:w="115" w:type="dxa"/>
          <w:right w:w="115" w:type="dxa"/>
        </w:tblCellMar>
        <w:tblLook w:val="0000" w:firstRow="0" w:lastRow="0" w:firstColumn="0" w:lastColumn="0" w:noHBand="0" w:noVBand="0"/>
        <w:tblDescription w:val="Table 4.2 Methods used to begin searching for information on the internet in Transitioned ADF and 2015 Regular ADF"/>
      </w:tblPr>
      <w:tblGrid>
        <w:gridCol w:w="2371"/>
        <w:gridCol w:w="471"/>
        <w:gridCol w:w="832"/>
        <w:gridCol w:w="1056"/>
        <w:gridCol w:w="471"/>
        <w:gridCol w:w="832"/>
        <w:gridCol w:w="1056"/>
      </w:tblGrid>
      <w:tr w:rsidR="009A6E70" w:rsidRPr="00663550" w14:paraId="6B426D80" w14:textId="77777777" w:rsidTr="00BF6E26">
        <w:trPr>
          <w:cantSplit/>
          <w:tblHeader/>
        </w:trPr>
        <w:tc>
          <w:tcPr>
            <w:tcW w:w="2380" w:type="dxa"/>
            <w:tcBorders>
              <w:top w:val="single" w:sz="4" w:space="0" w:color="000000"/>
              <w:bottom w:val="nil"/>
            </w:tcBorders>
          </w:tcPr>
          <w:p w14:paraId="72862EDE" w14:textId="77777777" w:rsidR="009A6E70" w:rsidRPr="00964CA5" w:rsidRDefault="009A6E70" w:rsidP="00EB155C">
            <w:pPr>
              <w:pStyle w:val="TableText"/>
              <w:rPr>
                <w:b/>
              </w:rPr>
            </w:pPr>
          </w:p>
        </w:tc>
        <w:tc>
          <w:tcPr>
            <w:tcW w:w="2366" w:type="dxa"/>
            <w:gridSpan w:val="3"/>
            <w:tcBorders>
              <w:top w:val="single" w:sz="4" w:space="0" w:color="000000"/>
              <w:bottom w:val="single" w:sz="4" w:space="0" w:color="000000"/>
            </w:tcBorders>
          </w:tcPr>
          <w:p w14:paraId="20C0FC80" w14:textId="77777777" w:rsidR="009A6E70" w:rsidRPr="00964CA5" w:rsidRDefault="009A6E70" w:rsidP="00BF6E26">
            <w:pPr>
              <w:pStyle w:val="TableText"/>
              <w:jc w:val="center"/>
              <w:rPr>
                <w:b/>
              </w:rPr>
            </w:pPr>
            <w:r w:rsidRPr="00964CA5">
              <w:rPr>
                <w:b/>
              </w:rPr>
              <w:t>Transitioned ADF</w:t>
            </w:r>
            <w:r w:rsidR="00BF6E26">
              <w:rPr>
                <w:b/>
              </w:rPr>
              <w:br/>
            </w:r>
            <w:r w:rsidRPr="00964CA5">
              <w:rPr>
                <w:b/>
              </w:rPr>
              <w:t>n=24,932</w:t>
            </w:r>
          </w:p>
        </w:tc>
        <w:tc>
          <w:tcPr>
            <w:tcW w:w="2366" w:type="dxa"/>
            <w:gridSpan w:val="3"/>
            <w:tcBorders>
              <w:top w:val="single" w:sz="4" w:space="0" w:color="000000"/>
              <w:bottom w:val="single" w:sz="4" w:space="0" w:color="000000"/>
            </w:tcBorders>
          </w:tcPr>
          <w:p w14:paraId="26A38C19" w14:textId="77777777" w:rsidR="009A6E70" w:rsidRPr="00964CA5" w:rsidRDefault="009A6E70" w:rsidP="00BF6E26">
            <w:pPr>
              <w:pStyle w:val="TableText"/>
              <w:jc w:val="center"/>
              <w:rPr>
                <w:b/>
              </w:rPr>
            </w:pPr>
            <w:r w:rsidRPr="00964CA5">
              <w:rPr>
                <w:b/>
              </w:rPr>
              <w:t>2015 Regular ADF</w:t>
            </w:r>
            <w:r w:rsidR="00BF6E26">
              <w:rPr>
                <w:b/>
              </w:rPr>
              <w:br/>
            </w:r>
            <w:r w:rsidRPr="00964CA5">
              <w:rPr>
                <w:b/>
              </w:rPr>
              <w:t>n=52,500</w:t>
            </w:r>
          </w:p>
        </w:tc>
      </w:tr>
      <w:tr w:rsidR="009A6E70" w:rsidRPr="00AF016D" w14:paraId="3D590CA2" w14:textId="77777777" w:rsidTr="00BF6E26">
        <w:trPr>
          <w:cantSplit/>
          <w:tblHeader/>
        </w:trPr>
        <w:tc>
          <w:tcPr>
            <w:tcW w:w="2380" w:type="dxa"/>
            <w:tcBorders>
              <w:top w:val="nil"/>
              <w:bottom w:val="single" w:sz="4" w:space="0" w:color="000000"/>
            </w:tcBorders>
          </w:tcPr>
          <w:p w14:paraId="6E6FC035" w14:textId="77777777" w:rsidR="009A6E70" w:rsidRPr="00964CA5" w:rsidRDefault="009A6E70" w:rsidP="00EB155C">
            <w:pPr>
              <w:pStyle w:val="TableText"/>
              <w:rPr>
                <w:b/>
              </w:rPr>
            </w:pPr>
            <w:r w:rsidRPr="00964CA5">
              <w:rPr>
                <w:b/>
              </w:rPr>
              <w:t>Search strategy</w:t>
            </w:r>
          </w:p>
        </w:tc>
        <w:tc>
          <w:tcPr>
            <w:tcW w:w="472" w:type="dxa"/>
            <w:tcBorders>
              <w:top w:val="single" w:sz="4" w:space="0" w:color="000000"/>
              <w:bottom w:val="single" w:sz="4" w:space="0" w:color="000000"/>
            </w:tcBorders>
          </w:tcPr>
          <w:p w14:paraId="502DA312" w14:textId="77777777" w:rsidR="009A6E70" w:rsidRPr="00964CA5" w:rsidRDefault="009A6E70" w:rsidP="00EB155C">
            <w:pPr>
              <w:pStyle w:val="TableText"/>
              <w:jc w:val="right"/>
              <w:rPr>
                <w:b/>
              </w:rPr>
            </w:pPr>
            <w:r w:rsidRPr="00964CA5">
              <w:rPr>
                <w:b/>
              </w:rPr>
              <w:t>n</w:t>
            </w:r>
          </w:p>
        </w:tc>
        <w:tc>
          <w:tcPr>
            <w:tcW w:w="835" w:type="dxa"/>
            <w:tcBorders>
              <w:top w:val="single" w:sz="4" w:space="0" w:color="000000"/>
              <w:bottom w:val="single" w:sz="4" w:space="0" w:color="000000"/>
            </w:tcBorders>
          </w:tcPr>
          <w:p w14:paraId="01D5C016" w14:textId="77777777" w:rsidR="009A6E70" w:rsidRPr="00964CA5" w:rsidRDefault="009A6E70" w:rsidP="00EB155C">
            <w:pPr>
              <w:pStyle w:val="TableText"/>
              <w:jc w:val="right"/>
              <w:rPr>
                <w:b/>
              </w:rPr>
            </w:pPr>
            <w:r w:rsidRPr="00964CA5">
              <w:rPr>
                <w:b/>
              </w:rPr>
              <w:t>Weighted n</w:t>
            </w:r>
          </w:p>
        </w:tc>
        <w:tc>
          <w:tcPr>
            <w:tcW w:w="1059" w:type="dxa"/>
            <w:tcBorders>
              <w:top w:val="single" w:sz="4" w:space="0" w:color="000000"/>
              <w:bottom w:val="single" w:sz="4" w:space="0" w:color="000000"/>
            </w:tcBorders>
          </w:tcPr>
          <w:p w14:paraId="0036B79B" w14:textId="77777777" w:rsidR="009A6E70" w:rsidRPr="00964CA5" w:rsidRDefault="009A6E70" w:rsidP="00EB155C">
            <w:pPr>
              <w:pStyle w:val="TableText"/>
              <w:jc w:val="right"/>
              <w:rPr>
                <w:b/>
              </w:rPr>
            </w:pPr>
            <w:r w:rsidRPr="00964CA5">
              <w:rPr>
                <w:b/>
              </w:rPr>
              <w:t>% (95%CI)</w:t>
            </w:r>
          </w:p>
        </w:tc>
        <w:tc>
          <w:tcPr>
            <w:tcW w:w="472" w:type="dxa"/>
            <w:tcBorders>
              <w:top w:val="single" w:sz="4" w:space="0" w:color="000000"/>
              <w:bottom w:val="single" w:sz="4" w:space="0" w:color="000000"/>
            </w:tcBorders>
          </w:tcPr>
          <w:p w14:paraId="4E2E5DD9" w14:textId="77777777" w:rsidR="009A6E70" w:rsidRPr="00964CA5" w:rsidRDefault="009A6E70" w:rsidP="00EB155C">
            <w:pPr>
              <w:pStyle w:val="TableText"/>
              <w:jc w:val="right"/>
              <w:rPr>
                <w:b/>
              </w:rPr>
            </w:pPr>
            <w:r w:rsidRPr="00964CA5">
              <w:rPr>
                <w:b/>
              </w:rPr>
              <w:t>n</w:t>
            </w:r>
          </w:p>
        </w:tc>
        <w:tc>
          <w:tcPr>
            <w:tcW w:w="835" w:type="dxa"/>
            <w:tcBorders>
              <w:top w:val="single" w:sz="4" w:space="0" w:color="000000"/>
              <w:bottom w:val="single" w:sz="4" w:space="0" w:color="000000"/>
            </w:tcBorders>
          </w:tcPr>
          <w:p w14:paraId="63D32292" w14:textId="77777777" w:rsidR="009A6E70" w:rsidRPr="00964CA5" w:rsidRDefault="009A6E70" w:rsidP="00EB155C">
            <w:pPr>
              <w:pStyle w:val="TableText"/>
              <w:jc w:val="right"/>
              <w:rPr>
                <w:b/>
              </w:rPr>
            </w:pPr>
            <w:r w:rsidRPr="00964CA5">
              <w:rPr>
                <w:b/>
              </w:rPr>
              <w:t>Weighted n</w:t>
            </w:r>
          </w:p>
        </w:tc>
        <w:tc>
          <w:tcPr>
            <w:tcW w:w="1059" w:type="dxa"/>
            <w:tcBorders>
              <w:top w:val="single" w:sz="4" w:space="0" w:color="000000"/>
              <w:bottom w:val="single" w:sz="4" w:space="0" w:color="000000"/>
            </w:tcBorders>
          </w:tcPr>
          <w:p w14:paraId="35E21554" w14:textId="77777777" w:rsidR="009A6E70" w:rsidRPr="00964CA5" w:rsidRDefault="009A6E70" w:rsidP="00EB155C">
            <w:pPr>
              <w:pStyle w:val="TableText"/>
              <w:jc w:val="right"/>
              <w:rPr>
                <w:b/>
              </w:rPr>
            </w:pPr>
            <w:r w:rsidRPr="00964CA5">
              <w:rPr>
                <w:b/>
              </w:rPr>
              <w:t>% (95%CI)</w:t>
            </w:r>
          </w:p>
        </w:tc>
      </w:tr>
      <w:tr w:rsidR="009A6E70" w:rsidRPr="00AF016D" w14:paraId="3879E964"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2380" w:type="dxa"/>
            <w:tcBorders>
              <w:top w:val="single" w:sz="4" w:space="0" w:color="000000"/>
            </w:tcBorders>
          </w:tcPr>
          <w:p w14:paraId="1C4689E1" w14:textId="77777777" w:rsidR="009A6E70" w:rsidRPr="00494E02" w:rsidRDefault="009A6E70" w:rsidP="00EB155C">
            <w:pPr>
              <w:pStyle w:val="TableText"/>
            </w:pPr>
            <w:r w:rsidRPr="00494E02">
              <w:t>Use a search engine (e.g. Google, Yahoo)</w:t>
            </w:r>
          </w:p>
        </w:tc>
        <w:tc>
          <w:tcPr>
            <w:tcW w:w="472" w:type="dxa"/>
            <w:tcBorders>
              <w:top w:val="single" w:sz="4" w:space="0" w:color="000000"/>
            </w:tcBorders>
          </w:tcPr>
          <w:p w14:paraId="59244D36" w14:textId="77777777" w:rsidR="009A6E70" w:rsidRPr="00494E02" w:rsidRDefault="009A6E70" w:rsidP="00EB155C">
            <w:pPr>
              <w:pStyle w:val="TableText"/>
              <w:jc w:val="right"/>
              <w:rPr>
                <w:color w:val="000000" w:themeColor="text1"/>
              </w:rPr>
            </w:pPr>
            <w:r w:rsidRPr="00494E02">
              <w:t>3161</w:t>
            </w:r>
          </w:p>
        </w:tc>
        <w:tc>
          <w:tcPr>
            <w:tcW w:w="835" w:type="dxa"/>
            <w:tcBorders>
              <w:top w:val="single" w:sz="4" w:space="0" w:color="000000"/>
            </w:tcBorders>
          </w:tcPr>
          <w:p w14:paraId="60B2ED9A" w14:textId="77777777" w:rsidR="009A6E70" w:rsidRPr="00494E02" w:rsidRDefault="009A6E70" w:rsidP="00EB155C">
            <w:pPr>
              <w:pStyle w:val="TableText"/>
              <w:jc w:val="right"/>
              <w:rPr>
                <w:color w:val="000000" w:themeColor="text1"/>
              </w:rPr>
            </w:pPr>
            <w:r w:rsidRPr="00494E02">
              <w:t>22</w:t>
            </w:r>
            <w:r>
              <w:t>,</w:t>
            </w:r>
            <w:r w:rsidRPr="00494E02">
              <w:t>287</w:t>
            </w:r>
          </w:p>
        </w:tc>
        <w:tc>
          <w:tcPr>
            <w:tcW w:w="1059" w:type="dxa"/>
            <w:tcBorders>
              <w:top w:val="single" w:sz="4" w:space="0" w:color="000000"/>
            </w:tcBorders>
          </w:tcPr>
          <w:p w14:paraId="4B5216BE" w14:textId="77777777" w:rsidR="009A6E70" w:rsidRPr="00494E02" w:rsidRDefault="009A6E70" w:rsidP="00EB155C">
            <w:pPr>
              <w:pStyle w:val="TableText"/>
              <w:jc w:val="right"/>
              <w:rPr>
                <w:color w:val="000000" w:themeColor="text1"/>
              </w:rPr>
            </w:pPr>
            <w:r w:rsidRPr="00494E02">
              <w:t>89.4 (88.0,</w:t>
            </w:r>
            <w:r>
              <w:t xml:space="preserve"> </w:t>
            </w:r>
            <w:r w:rsidRPr="00494E02">
              <w:t>90.6)</w:t>
            </w:r>
          </w:p>
        </w:tc>
        <w:tc>
          <w:tcPr>
            <w:tcW w:w="472" w:type="dxa"/>
            <w:tcBorders>
              <w:top w:val="single" w:sz="4" w:space="0" w:color="000000"/>
            </w:tcBorders>
          </w:tcPr>
          <w:p w14:paraId="273F6326" w14:textId="77777777" w:rsidR="009A6E70" w:rsidRPr="00494E02" w:rsidRDefault="009A6E70" w:rsidP="00EB155C">
            <w:pPr>
              <w:pStyle w:val="TableText"/>
              <w:jc w:val="right"/>
              <w:rPr>
                <w:color w:val="000000" w:themeColor="text1"/>
              </w:rPr>
            </w:pPr>
            <w:r w:rsidRPr="00494E02">
              <w:rPr>
                <w:color w:val="000000" w:themeColor="text1"/>
              </w:rPr>
              <w:t>6484</w:t>
            </w:r>
          </w:p>
        </w:tc>
        <w:tc>
          <w:tcPr>
            <w:tcW w:w="835" w:type="dxa"/>
            <w:tcBorders>
              <w:top w:val="single" w:sz="4" w:space="0" w:color="000000"/>
            </w:tcBorders>
          </w:tcPr>
          <w:p w14:paraId="45CB6067" w14:textId="77777777" w:rsidR="009A6E70" w:rsidRPr="00494E02" w:rsidRDefault="009A6E70" w:rsidP="00EB155C">
            <w:pPr>
              <w:pStyle w:val="TableText"/>
              <w:jc w:val="right"/>
              <w:rPr>
                <w:color w:val="000000" w:themeColor="text1"/>
              </w:rPr>
            </w:pPr>
            <w:r w:rsidRPr="00494E02">
              <w:rPr>
                <w:color w:val="000000" w:themeColor="text1"/>
              </w:rPr>
              <w:t>46</w:t>
            </w:r>
            <w:r>
              <w:rPr>
                <w:color w:val="000000" w:themeColor="text1"/>
              </w:rPr>
              <w:t>,</w:t>
            </w:r>
            <w:r w:rsidRPr="00494E02">
              <w:rPr>
                <w:color w:val="000000" w:themeColor="text1"/>
              </w:rPr>
              <w:t>271</w:t>
            </w:r>
          </w:p>
        </w:tc>
        <w:tc>
          <w:tcPr>
            <w:tcW w:w="1059" w:type="dxa"/>
            <w:tcBorders>
              <w:top w:val="single" w:sz="4" w:space="0" w:color="000000"/>
            </w:tcBorders>
          </w:tcPr>
          <w:p w14:paraId="263E20B8" w14:textId="77777777" w:rsidR="009A6E70" w:rsidRPr="00494E02" w:rsidRDefault="009A6E70" w:rsidP="00EB155C">
            <w:pPr>
              <w:pStyle w:val="TableText"/>
              <w:jc w:val="right"/>
              <w:rPr>
                <w:color w:val="000000" w:themeColor="text1"/>
              </w:rPr>
            </w:pPr>
            <w:r w:rsidRPr="00494E02">
              <w:rPr>
                <w:color w:val="000000" w:themeColor="text1"/>
              </w:rPr>
              <w:t>88.1 (85.5,</w:t>
            </w:r>
            <w:r>
              <w:rPr>
                <w:color w:val="000000" w:themeColor="text1"/>
              </w:rPr>
              <w:t xml:space="preserve"> </w:t>
            </w:r>
            <w:r w:rsidRPr="00494E02">
              <w:rPr>
                <w:color w:val="000000" w:themeColor="text1"/>
              </w:rPr>
              <w:t>90.3)</w:t>
            </w:r>
          </w:p>
        </w:tc>
      </w:tr>
      <w:tr w:rsidR="009A6E70" w:rsidRPr="00AF016D" w14:paraId="22B305C0" w14:textId="77777777" w:rsidTr="00BF6E26">
        <w:trPr>
          <w:cantSplit/>
        </w:trPr>
        <w:tc>
          <w:tcPr>
            <w:tcW w:w="2380" w:type="dxa"/>
          </w:tcPr>
          <w:p w14:paraId="37FB8429" w14:textId="77777777" w:rsidR="009A6E70" w:rsidRPr="00494E02" w:rsidRDefault="009A6E70" w:rsidP="00EB155C">
            <w:pPr>
              <w:pStyle w:val="TableText"/>
            </w:pPr>
            <w:r w:rsidRPr="00494E02">
              <w:t>Deliberately accessing a specific website</w:t>
            </w:r>
          </w:p>
        </w:tc>
        <w:tc>
          <w:tcPr>
            <w:tcW w:w="472" w:type="dxa"/>
          </w:tcPr>
          <w:p w14:paraId="4709E2C6" w14:textId="77777777" w:rsidR="009A6E70" w:rsidRPr="00494E02" w:rsidRDefault="009A6E70" w:rsidP="00EB155C">
            <w:pPr>
              <w:pStyle w:val="TableText"/>
              <w:jc w:val="right"/>
              <w:rPr>
                <w:color w:val="000000" w:themeColor="text1"/>
              </w:rPr>
            </w:pPr>
            <w:r w:rsidRPr="00494E02">
              <w:t>346</w:t>
            </w:r>
          </w:p>
        </w:tc>
        <w:tc>
          <w:tcPr>
            <w:tcW w:w="835" w:type="dxa"/>
          </w:tcPr>
          <w:p w14:paraId="614DA383" w14:textId="77777777" w:rsidR="009A6E70" w:rsidRPr="00494E02" w:rsidRDefault="009A6E70" w:rsidP="00EB155C">
            <w:pPr>
              <w:pStyle w:val="TableText"/>
              <w:jc w:val="right"/>
              <w:rPr>
                <w:color w:val="000000" w:themeColor="text1"/>
              </w:rPr>
            </w:pPr>
            <w:r w:rsidRPr="00494E02">
              <w:t>2422</w:t>
            </w:r>
          </w:p>
        </w:tc>
        <w:tc>
          <w:tcPr>
            <w:tcW w:w="1059" w:type="dxa"/>
          </w:tcPr>
          <w:p w14:paraId="7A86D3C5" w14:textId="77777777" w:rsidR="009A6E70" w:rsidRPr="00494E02" w:rsidRDefault="009A6E70" w:rsidP="00EB155C">
            <w:pPr>
              <w:pStyle w:val="TableText"/>
              <w:jc w:val="right"/>
              <w:rPr>
                <w:color w:val="000000" w:themeColor="text1"/>
              </w:rPr>
            </w:pPr>
            <w:r w:rsidRPr="00494E02">
              <w:t>9.7 (8.5,</w:t>
            </w:r>
            <w:r>
              <w:t xml:space="preserve"> </w:t>
            </w:r>
            <w:r w:rsidRPr="00494E02">
              <w:t>11.1)</w:t>
            </w:r>
          </w:p>
        </w:tc>
        <w:tc>
          <w:tcPr>
            <w:tcW w:w="472" w:type="dxa"/>
          </w:tcPr>
          <w:p w14:paraId="21771E16" w14:textId="77777777" w:rsidR="009A6E70" w:rsidRPr="00494E02" w:rsidRDefault="009A6E70" w:rsidP="00EB155C">
            <w:pPr>
              <w:pStyle w:val="TableText"/>
              <w:jc w:val="right"/>
              <w:rPr>
                <w:color w:val="000000" w:themeColor="text1"/>
              </w:rPr>
            </w:pPr>
            <w:r w:rsidRPr="00494E02">
              <w:rPr>
                <w:color w:val="000000" w:themeColor="text1"/>
              </w:rPr>
              <w:t>812</w:t>
            </w:r>
          </w:p>
        </w:tc>
        <w:tc>
          <w:tcPr>
            <w:tcW w:w="835" w:type="dxa"/>
          </w:tcPr>
          <w:p w14:paraId="71C9ECA9" w14:textId="77777777" w:rsidR="009A6E70" w:rsidRPr="00494E02" w:rsidRDefault="009A6E70" w:rsidP="00EB155C">
            <w:pPr>
              <w:pStyle w:val="TableText"/>
              <w:jc w:val="right"/>
              <w:rPr>
                <w:color w:val="000000" w:themeColor="text1"/>
              </w:rPr>
            </w:pPr>
            <w:r w:rsidRPr="00494E02">
              <w:rPr>
                <w:color w:val="000000" w:themeColor="text1"/>
              </w:rPr>
              <w:t>5665</w:t>
            </w:r>
          </w:p>
        </w:tc>
        <w:tc>
          <w:tcPr>
            <w:tcW w:w="1059" w:type="dxa"/>
          </w:tcPr>
          <w:p w14:paraId="6A88F1D9" w14:textId="77777777" w:rsidR="009A6E70" w:rsidRPr="00494E02" w:rsidRDefault="009A6E70" w:rsidP="00EB155C">
            <w:pPr>
              <w:pStyle w:val="TableText"/>
              <w:jc w:val="right"/>
              <w:rPr>
                <w:color w:val="000000" w:themeColor="text1"/>
              </w:rPr>
            </w:pPr>
            <w:r w:rsidRPr="00494E02">
              <w:rPr>
                <w:color w:val="000000" w:themeColor="text1"/>
              </w:rPr>
              <w:t>10.8 (8.7,</w:t>
            </w:r>
            <w:r>
              <w:rPr>
                <w:color w:val="000000" w:themeColor="text1"/>
              </w:rPr>
              <w:t xml:space="preserve"> </w:t>
            </w:r>
            <w:r w:rsidRPr="00494E02">
              <w:rPr>
                <w:color w:val="000000" w:themeColor="text1"/>
              </w:rPr>
              <w:t>13.3)</w:t>
            </w:r>
          </w:p>
        </w:tc>
      </w:tr>
      <w:tr w:rsidR="009A6E70" w:rsidRPr="00AF016D" w14:paraId="187E7D3E"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2380" w:type="dxa"/>
          </w:tcPr>
          <w:p w14:paraId="48F04A27" w14:textId="77777777" w:rsidR="009A6E70" w:rsidRPr="00494E02" w:rsidRDefault="009A6E70" w:rsidP="00EB155C">
            <w:pPr>
              <w:pStyle w:val="TableText"/>
            </w:pPr>
            <w:r w:rsidRPr="00494E02">
              <w:t>Follow a link you accidentally came across</w:t>
            </w:r>
          </w:p>
        </w:tc>
        <w:tc>
          <w:tcPr>
            <w:tcW w:w="472" w:type="dxa"/>
          </w:tcPr>
          <w:p w14:paraId="455984DF" w14:textId="77777777" w:rsidR="009A6E70" w:rsidRPr="00494E02" w:rsidRDefault="009A6E70" w:rsidP="00EB155C">
            <w:pPr>
              <w:pStyle w:val="TableText"/>
              <w:jc w:val="right"/>
              <w:rPr>
                <w:color w:val="000000" w:themeColor="text1"/>
              </w:rPr>
            </w:pPr>
            <w:r w:rsidRPr="00494E02">
              <w:t>9</w:t>
            </w:r>
          </w:p>
        </w:tc>
        <w:tc>
          <w:tcPr>
            <w:tcW w:w="835" w:type="dxa"/>
          </w:tcPr>
          <w:p w14:paraId="164B3C86" w14:textId="77777777" w:rsidR="009A6E70" w:rsidRPr="00494E02" w:rsidRDefault="009A6E70" w:rsidP="00EB155C">
            <w:pPr>
              <w:pStyle w:val="TableText"/>
              <w:jc w:val="right"/>
              <w:rPr>
                <w:color w:val="000000" w:themeColor="text1"/>
              </w:rPr>
            </w:pPr>
            <w:r w:rsidRPr="00494E02">
              <w:t>45</w:t>
            </w:r>
          </w:p>
        </w:tc>
        <w:tc>
          <w:tcPr>
            <w:tcW w:w="1059" w:type="dxa"/>
          </w:tcPr>
          <w:p w14:paraId="5F5DAE87" w14:textId="77777777" w:rsidR="009A6E70" w:rsidRPr="00494E02" w:rsidRDefault="009A6E70" w:rsidP="00EB155C">
            <w:pPr>
              <w:pStyle w:val="TableText"/>
              <w:jc w:val="right"/>
              <w:rPr>
                <w:color w:val="000000" w:themeColor="text1"/>
              </w:rPr>
            </w:pPr>
            <w:r w:rsidRPr="00494E02">
              <w:t>0.2 (0.1,</w:t>
            </w:r>
            <w:r>
              <w:t xml:space="preserve"> </w:t>
            </w:r>
            <w:r w:rsidRPr="00494E02">
              <w:t>0.4)</w:t>
            </w:r>
          </w:p>
        </w:tc>
        <w:tc>
          <w:tcPr>
            <w:tcW w:w="472" w:type="dxa"/>
          </w:tcPr>
          <w:p w14:paraId="27FD66AF" w14:textId="77777777" w:rsidR="009A6E70" w:rsidRPr="00494E02" w:rsidRDefault="009A6E70" w:rsidP="00EB155C">
            <w:pPr>
              <w:pStyle w:val="TableText"/>
              <w:jc w:val="right"/>
              <w:rPr>
                <w:color w:val="000000" w:themeColor="text1"/>
              </w:rPr>
            </w:pPr>
            <w:r w:rsidRPr="00494E02">
              <w:rPr>
                <w:color w:val="000000" w:themeColor="text1"/>
              </w:rPr>
              <w:t>7</w:t>
            </w:r>
          </w:p>
        </w:tc>
        <w:tc>
          <w:tcPr>
            <w:tcW w:w="835" w:type="dxa"/>
          </w:tcPr>
          <w:p w14:paraId="3F5901CB" w14:textId="77777777" w:rsidR="009A6E70" w:rsidRPr="00494E02" w:rsidRDefault="009A6E70" w:rsidP="00EB155C">
            <w:pPr>
              <w:pStyle w:val="TableText"/>
              <w:jc w:val="right"/>
              <w:rPr>
                <w:color w:val="000000" w:themeColor="text1"/>
              </w:rPr>
            </w:pPr>
            <w:r w:rsidRPr="00494E02">
              <w:rPr>
                <w:color w:val="000000" w:themeColor="text1"/>
              </w:rPr>
              <w:t>32</w:t>
            </w:r>
          </w:p>
        </w:tc>
        <w:tc>
          <w:tcPr>
            <w:tcW w:w="1059" w:type="dxa"/>
          </w:tcPr>
          <w:p w14:paraId="54A6A7C1" w14:textId="77777777" w:rsidR="009A6E70" w:rsidRPr="00494E02" w:rsidRDefault="009A6E70" w:rsidP="00EB155C">
            <w:pPr>
              <w:pStyle w:val="TableText"/>
              <w:jc w:val="right"/>
              <w:rPr>
                <w:color w:val="000000" w:themeColor="text1"/>
              </w:rPr>
            </w:pPr>
            <w:r w:rsidRPr="00494E02">
              <w:rPr>
                <w:color w:val="000000" w:themeColor="text1"/>
              </w:rPr>
              <w:t>0.1 (0.0,</w:t>
            </w:r>
            <w:r>
              <w:rPr>
                <w:color w:val="000000" w:themeColor="text1"/>
              </w:rPr>
              <w:t xml:space="preserve"> </w:t>
            </w:r>
            <w:r w:rsidRPr="00494E02">
              <w:rPr>
                <w:color w:val="000000" w:themeColor="text1"/>
              </w:rPr>
              <w:t>0.1)</w:t>
            </w:r>
          </w:p>
        </w:tc>
      </w:tr>
      <w:tr w:rsidR="009A6E70" w:rsidRPr="00AF016D" w14:paraId="7134F02F" w14:textId="77777777" w:rsidTr="00BF6E26">
        <w:trPr>
          <w:cantSplit/>
        </w:trPr>
        <w:tc>
          <w:tcPr>
            <w:tcW w:w="2380" w:type="dxa"/>
          </w:tcPr>
          <w:p w14:paraId="47977D1A" w14:textId="0725DA9D" w:rsidR="009A6E70" w:rsidRPr="00494E02" w:rsidRDefault="00040E45" w:rsidP="00EB155C">
            <w:pPr>
              <w:pStyle w:val="TableText"/>
            </w:pPr>
            <w:r>
              <w:t>Some other way</w:t>
            </w:r>
          </w:p>
        </w:tc>
        <w:tc>
          <w:tcPr>
            <w:tcW w:w="472" w:type="dxa"/>
          </w:tcPr>
          <w:p w14:paraId="19A73686" w14:textId="77777777" w:rsidR="009A6E70" w:rsidRPr="00494E02" w:rsidRDefault="009A6E70" w:rsidP="00EB155C">
            <w:pPr>
              <w:pStyle w:val="TableText"/>
              <w:jc w:val="right"/>
              <w:rPr>
                <w:color w:val="000000" w:themeColor="text1"/>
              </w:rPr>
            </w:pPr>
            <w:r w:rsidRPr="00494E02">
              <w:t>13</w:t>
            </w:r>
          </w:p>
        </w:tc>
        <w:tc>
          <w:tcPr>
            <w:tcW w:w="835" w:type="dxa"/>
          </w:tcPr>
          <w:p w14:paraId="3EE3719F" w14:textId="77777777" w:rsidR="009A6E70" w:rsidRPr="00494E02" w:rsidRDefault="009A6E70" w:rsidP="00EB155C">
            <w:pPr>
              <w:pStyle w:val="TableText"/>
              <w:jc w:val="right"/>
              <w:rPr>
                <w:color w:val="000000" w:themeColor="text1"/>
              </w:rPr>
            </w:pPr>
            <w:r w:rsidRPr="00494E02">
              <w:t>101</w:t>
            </w:r>
          </w:p>
        </w:tc>
        <w:tc>
          <w:tcPr>
            <w:tcW w:w="1059" w:type="dxa"/>
          </w:tcPr>
          <w:p w14:paraId="368AAA6B" w14:textId="77777777" w:rsidR="009A6E70" w:rsidRPr="00494E02" w:rsidRDefault="009A6E70" w:rsidP="00EB155C">
            <w:pPr>
              <w:pStyle w:val="TableText"/>
              <w:jc w:val="right"/>
              <w:rPr>
                <w:color w:val="000000" w:themeColor="text1"/>
              </w:rPr>
            </w:pPr>
            <w:r w:rsidRPr="00494E02">
              <w:t>0.4 (0.2,</w:t>
            </w:r>
            <w:r>
              <w:t xml:space="preserve"> </w:t>
            </w:r>
            <w:r w:rsidRPr="00494E02">
              <w:t>0.8)</w:t>
            </w:r>
          </w:p>
        </w:tc>
        <w:tc>
          <w:tcPr>
            <w:tcW w:w="472" w:type="dxa"/>
          </w:tcPr>
          <w:p w14:paraId="00B8938E" w14:textId="77777777" w:rsidR="009A6E70" w:rsidRPr="00494E02" w:rsidRDefault="009A6E70" w:rsidP="00EB155C">
            <w:pPr>
              <w:pStyle w:val="TableText"/>
              <w:jc w:val="right"/>
              <w:rPr>
                <w:color w:val="000000" w:themeColor="text1"/>
              </w:rPr>
            </w:pPr>
            <w:r w:rsidRPr="00494E02">
              <w:rPr>
                <w:color w:val="000000" w:themeColor="text1"/>
              </w:rPr>
              <w:t>10</w:t>
            </w:r>
          </w:p>
        </w:tc>
        <w:tc>
          <w:tcPr>
            <w:tcW w:w="835" w:type="dxa"/>
          </w:tcPr>
          <w:p w14:paraId="44016968" w14:textId="77777777" w:rsidR="009A6E70" w:rsidRPr="00494E02" w:rsidRDefault="009A6E70" w:rsidP="00EB155C">
            <w:pPr>
              <w:pStyle w:val="TableText"/>
              <w:jc w:val="right"/>
              <w:rPr>
                <w:color w:val="000000" w:themeColor="text1"/>
              </w:rPr>
            </w:pPr>
            <w:r w:rsidRPr="00494E02">
              <w:rPr>
                <w:color w:val="000000" w:themeColor="text1"/>
              </w:rPr>
              <w:t>39</w:t>
            </w:r>
          </w:p>
        </w:tc>
        <w:tc>
          <w:tcPr>
            <w:tcW w:w="1059" w:type="dxa"/>
          </w:tcPr>
          <w:p w14:paraId="053584D1" w14:textId="77777777" w:rsidR="009A6E70" w:rsidRPr="00494E02" w:rsidRDefault="009A6E70" w:rsidP="00EB155C">
            <w:pPr>
              <w:pStyle w:val="TableText"/>
              <w:jc w:val="right"/>
              <w:rPr>
                <w:color w:val="000000" w:themeColor="text1"/>
              </w:rPr>
            </w:pPr>
            <w:r w:rsidRPr="00494E02">
              <w:rPr>
                <w:color w:val="000000" w:themeColor="text1"/>
              </w:rPr>
              <w:t>0.1 (0.0,</w:t>
            </w:r>
            <w:r>
              <w:rPr>
                <w:color w:val="000000" w:themeColor="text1"/>
              </w:rPr>
              <w:t xml:space="preserve"> </w:t>
            </w:r>
            <w:r w:rsidRPr="00494E02">
              <w:rPr>
                <w:color w:val="000000" w:themeColor="text1"/>
              </w:rPr>
              <w:t>0.2)</w:t>
            </w:r>
          </w:p>
        </w:tc>
      </w:tr>
    </w:tbl>
    <w:p w14:paraId="16EF2600" w14:textId="77777777" w:rsidR="009A6E70" w:rsidRPr="006A3EA0" w:rsidRDefault="009A6E70" w:rsidP="009A6E70">
      <w:pPr>
        <w:pStyle w:val="TableNotes"/>
      </w:pPr>
      <w:r w:rsidRPr="006A3EA0">
        <w:t>Notes</w:t>
      </w:r>
    </w:p>
    <w:p w14:paraId="6F918944" w14:textId="77777777" w:rsidR="009A6E70" w:rsidRPr="004C7947" w:rsidRDefault="009A6E70" w:rsidP="009A6E70">
      <w:pPr>
        <w:pStyle w:val="TableNotes"/>
      </w:pPr>
      <w:r w:rsidRPr="004C7947">
        <w:t>Denominator: Entire cohort</w:t>
      </w:r>
      <w:r>
        <w:t>.</w:t>
      </w:r>
    </w:p>
    <w:p w14:paraId="3D4BE98B" w14:textId="77777777" w:rsidR="009A6E70" w:rsidRPr="004C7947" w:rsidRDefault="009A6E70" w:rsidP="009A6E70">
      <w:pPr>
        <w:pStyle w:val="TableNotes"/>
      </w:pPr>
      <w:r w:rsidRPr="004C7947">
        <w:t>Based on weighted counts</w:t>
      </w:r>
      <w:r>
        <w:t>,</w:t>
      </w:r>
      <w:r w:rsidRPr="004C7947">
        <w:t xml:space="preserve"> 76 (0.3%) Transitioned ADF and 492 (0.9%) 2015 Regular ADF had a missing value for this question.</w:t>
      </w:r>
      <w:r>
        <w:t xml:space="preserve"> </w:t>
      </w:r>
      <w:r w:rsidRPr="004C7947">
        <w:t>However, distributions are calculated by including those with a missing value to allow for correct weighted totals.</w:t>
      </w:r>
    </w:p>
    <w:p w14:paraId="244B4C72" w14:textId="77777777" w:rsidR="009A6E70" w:rsidRDefault="009A6E70" w:rsidP="009A6E70">
      <w:pPr>
        <w:pStyle w:val="TableNotes"/>
      </w:pPr>
      <w:r w:rsidRPr="004C7947">
        <w:t>95%CI</w:t>
      </w:r>
      <w:r>
        <w:t xml:space="preserve"> =</w:t>
      </w:r>
      <w:r w:rsidRPr="004C7947">
        <w:t xml:space="preserve"> 95% </w:t>
      </w:r>
      <w:r>
        <w:t xml:space="preserve">confidence interval. </w:t>
      </w:r>
    </w:p>
    <w:p w14:paraId="77C067CF" w14:textId="12ACE649" w:rsidR="009A6E70" w:rsidRDefault="009A6E70" w:rsidP="009A6E70">
      <w:pPr>
        <w:pStyle w:val="FigureName"/>
        <w:rPr>
          <w:lang w:eastAsia="en-AU"/>
        </w:rPr>
      </w:pPr>
      <w:bookmarkStart w:id="316" w:name="_Ref508696810"/>
      <w:bookmarkStart w:id="317" w:name="_Toc509922936"/>
      <w:bookmarkStart w:id="318" w:name="_Toc515374710"/>
      <w:bookmarkStart w:id="319" w:name="_Toc528932394"/>
      <w:bookmarkStart w:id="320" w:name="_Toc531858074"/>
      <w:r>
        <w:t xml:space="preserve">Figure </w:t>
      </w:r>
      <w:r>
        <w:rPr>
          <w:noProof/>
        </w:rPr>
        <w:t>4</w:t>
      </w:r>
      <w:r>
        <w:t>.</w:t>
      </w:r>
      <w:r>
        <w:rPr>
          <w:noProof/>
        </w:rPr>
        <w:t>2</w:t>
      </w:r>
      <w:bookmarkEnd w:id="316"/>
      <w:r>
        <w:tab/>
      </w:r>
      <w:r w:rsidRPr="00F65B2B">
        <w:t xml:space="preserve">Methods used to begin searching for information on the </w:t>
      </w:r>
      <w:r>
        <w:t>internet</w:t>
      </w:r>
      <w:r w:rsidRPr="00F65B2B">
        <w:t xml:space="preserve"> in Transitioned ADF and 2015 Regular ADF</w:t>
      </w:r>
      <w:bookmarkEnd w:id="317"/>
      <w:bookmarkEnd w:id="318"/>
      <w:bookmarkEnd w:id="319"/>
      <w:bookmarkEnd w:id="320"/>
    </w:p>
    <w:p w14:paraId="2B5B6B75" w14:textId="77777777" w:rsidR="009A6E70" w:rsidRPr="00BF6E26" w:rsidRDefault="00BF6E26" w:rsidP="00BF6E26">
      <w:pPr>
        <w:spacing w:after="360"/>
      </w:pPr>
      <w:r w:rsidRPr="00D254D0">
        <w:rPr>
          <w:noProof/>
          <w:lang w:eastAsia="en-AU"/>
        </w:rPr>
        <w:drawing>
          <wp:inline distT="0" distB="0" distL="0" distR="0" wp14:anchorId="3B9B5B2A" wp14:editId="78500B49">
            <wp:extent cx="4572000" cy="2353470"/>
            <wp:effectExtent l="0" t="0" r="0" b="8890"/>
            <wp:docPr id="476" name="Picture 476" descr="Figure 4.2 Methods used to begin searching for information on the internet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Sciences\SPHCP\CTSS\DATA REPOSITORY\TWRP\REPORT 5\FIGURE_4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2353470"/>
                    </a:xfrm>
                    <a:prstGeom prst="rect">
                      <a:avLst/>
                    </a:prstGeom>
                    <a:noFill/>
                    <a:ln>
                      <a:noFill/>
                    </a:ln>
                  </pic:spPr>
                </pic:pic>
              </a:graphicData>
            </a:graphic>
          </wp:inline>
        </w:drawing>
      </w:r>
    </w:p>
    <w:p w14:paraId="6D3639B3" w14:textId="77777777" w:rsidR="009A6E70" w:rsidRPr="00964CA5" w:rsidRDefault="009A6E70" w:rsidP="009A6E70">
      <w:pPr>
        <w:pStyle w:val="Heading3"/>
        <w:numPr>
          <w:ilvl w:val="2"/>
          <w:numId w:val="1"/>
        </w:numPr>
      </w:pPr>
      <w:bookmarkStart w:id="321" w:name="_Toc509917427"/>
      <w:bookmarkStart w:id="322" w:name="_Toc515374469"/>
      <w:bookmarkStart w:id="323" w:name="_Toc518566358"/>
      <w:bookmarkStart w:id="324" w:name="_Toc528932654"/>
      <w:bookmarkStart w:id="325" w:name="_Toc531859191"/>
      <w:r w:rsidRPr="00964CA5">
        <w:t xml:space="preserve">Duration of </w:t>
      </w:r>
      <w:r>
        <w:t>internet</w:t>
      </w:r>
      <w:r w:rsidRPr="00964CA5">
        <w:t xml:space="preserve"> use on a normal work day</w:t>
      </w:r>
      <w:bookmarkEnd w:id="321"/>
      <w:bookmarkEnd w:id="322"/>
      <w:bookmarkEnd w:id="323"/>
      <w:bookmarkEnd w:id="324"/>
      <w:bookmarkEnd w:id="325"/>
    </w:p>
    <w:p w14:paraId="54506BD5" w14:textId="77777777" w:rsidR="009A6E70" w:rsidRDefault="009A6E70" w:rsidP="009A6E70">
      <w:r>
        <w:t xml:space="preserve">The majority of the </w:t>
      </w:r>
      <w:r w:rsidRPr="00A33A73">
        <w:t>Transitioned ADF</w:t>
      </w:r>
      <w:r w:rsidRPr="0065396B">
        <w:t xml:space="preserve"> </w:t>
      </w:r>
      <w:r>
        <w:t xml:space="preserve">and </w:t>
      </w:r>
      <w:r w:rsidRPr="00A33A73">
        <w:t>2015</w:t>
      </w:r>
      <w:r>
        <w:t xml:space="preserve"> </w:t>
      </w:r>
      <w:r w:rsidRPr="00A33A73">
        <w:t>Regular ADF</w:t>
      </w:r>
      <w:r>
        <w:t xml:space="preserve"> spent 1–2 hours per day using the internet (</w:t>
      </w:r>
      <w:r w:rsidRPr="00A33A73">
        <w:t>Transitioned ADF</w:t>
      </w:r>
      <w:r>
        <w:t xml:space="preserve"> 45.0%, </w:t>
      </w:r>
      <w:r w:rsidRPr="00A33A73">
        <w:t>2015</w:t>
      </w:r>
      <w:r>
        <w:t xml:space="preserve"> </w:t>
      </w:r>
      <w:r w:rsidRPr="00A33A73">
        <w:t>Regular ADF</w:t>
      </w:r>
      <w:r>
        <w:t xml:space="preserve"> 47.6%) (Table </w:t>
      </w:r>
      <w:r>
        <w:rPr>
          <w:noProof/>
        </w:rPr>
        <w:t>4.3</w:t>
      </w:r>
      <w:r w:rsidRPr="00CC715B">
        <w:t xml:space="preserve"> and </w:t>
      </w:r>
      <w:r>
        <w:t xml:space="preserve">Figure </w:t>
      </w:r>
      <w:r>
        <w:rPr>
          <w:noProof/>
        </w:rPr>
        <w:t>4.3</w:t>
      </w:r>
      <w:r>
        <w:t xml:space="preserve">). </w:t>
      </w:r>
    </w:p>
    <w:p w14:paraId="2C45A21F" w14:textId="77777777" w:rsidR="009A6E70" w:rsidRPr="0065396B" w:rsidRDefault="009A6E70" w:rsidP="009A6E70">
      <w:pPr>
        <w:pStyle w:val="TableName"/>
      </w:pPr>
      <w:bookmarkStart w:id="326" w:name="_Ref509909042"/>
      <w:bookmarkStart w:id="327" w:name="_Toc509922863"/>
      <w:bookmarkStart w:id="328" w:name="_Toc515374638"/>
      <w:bookmarkStart w:id="329" w:name="_Toc528932312"/>
      <w:bookmarkStart w:id="330" w:name="_Toc531857991"/>
      <w:r>
        <w:t xml:space="preserve">Table </w:t>
      </w:r>
      <w:r>
        <w:rPr>
          <w:noProof/>
        </w:rPr>
        <w:t>4</w:t>
      </w:r>
      <w:r>
        <w:t>.</w:t>
      </w:r>
      <w:r>
        <w:rPr>
          <w:noProof/>
        </w:rPr>
        <w:t>3</w:t>
      </w:r>
      <w:bookmarkEnd w:id="326"/>
      <w:r>
        <w:tab/>
      </w:r>
      <w:r w:rsidRPr="00F65B2B">
        <w:t xml:space="preserve">Duration of </w:t>
      </w:r>
      <w:r>
        <w:t>internet</w:t>
      </w:r>
      <w:r w:rsidRPr="00F65B2B">
        <w:t xml:space="preserve"> usage on a normal work day among Transitioned ADF and 2015 Regular ADF</w:t>
      </w:r>
      <w:bookmarkEnd w:id="327"/>
      <w:bookmarkEnd w:id="328"/>
      <w:bookmarkEnd w:id="329"/>
      <w:bookmarkEnd w:id="330"/>
    </w:p>
    <w:tbl>
      <w:tblPr>
        <w:tblStyle w:val="TWRPTable"/>
        <w:tblW w:w="5000" w:type="pct"/>
        <w:tblLayout w:type="fixed"/>
        <w:tblCellMar>
          <w:left w:w="115" w:type="dxa"/>
          <w:right w:w="115" w:type="dxa"/>
        </w:tblCellMar>
        <w:tblLook w:val="0000" w:firstRow="0" w:lastRow="0" w:firstColumn="0" w:lastColumn="0" w:noHBand="0" w:noVBand="0"/>
        <w:tblDescription w:val="Table 4.3 Duration of internet usage on a normal work day among Transitioned ADF and 2015 Regular ADF"/>
      </w:tblPr>
      <w:tblGrid>
        <w:gridCol w:w="1569"/>
        <w:gridCol w:w="720"/>
        <w:gridCol w:w="957"/>
        <w:gridCol w:w="1085"/>
        <w:gridCol w:w="743"/>
        <w:gridCol w:w="957"/>
        <w:gridCol w:w="1058"/>
      </w:tblGrid>
      <w:tr w:rsidR="009A6E70" w:rsidRPr="00663550" w14:paraId="73AA5A15" w14:textId="77777777" w:rsidTr="00BF6E26">
        <w:trPr>
          <w:cantSplit/>
          <w:tblHeader/>
        </w:trPr>
        <w:tc>
          <w:tcPr>
            <w:tcW w:w="1107" w:type="pct"/>
            <w:tcBorders>
              <w:top w:val="single" w:sz="4" w:space="0" w:color="000000"/>
              <w:bottom w:val="nil"/>
            </w:tcBorders>
          </w:tcPr>
          <w:p w14:paraId="06694DA4" w14:textId="77777777" w:rsidR="009A6E70" w:rsidRPr="00964CA5" w:rsidRDefault="009A6E70" w:rsidP="00EB155C">
            <w:pPr>
              <w:pStyle w:val="TableText"/>
              <w:rPr>
                <w:b/>
              </w:rPr>
            </w:pPr>
          </w:p>
        </w:tc>
        <w:tc>
          <w:tcPr>
            <w:tcW w:w="1948" w:type="pct"/>
            <w:gridSpan w:val="3"/>
            <w:tcBorders>
              <w:top w:val="single" w:sz="4" w:space="0" w:color="000000"/>
              <w:bottom w:val="single" w:sz="4" w:space="0" w:color="000000"/>
            </w:tcBorders>
          </w:tcPr>
          <w:p w14:paraId="10D43FE8" w14:textId="77777777" w:rsidR="009A6E70" w:rsidRPr="00964CA5" w:rsidRDefault="009A6E70" w:rsidP="00BF6E26">
            <w:pPr>
              <w:pStyle w:val="TableText"/>
              <w:jc w:val="center"/>
              <w:rPr>
                <w:b/>
              </w:rPr>
            </w:pPr>
            <w:r w:rsidRPr="00964CA5">
              <w:rPr>
                <w:b/>
              </w:rPr>
              <w:t>Transitioned ADF</w:t>
            </w:r>
            <w:r w:rsidR="00BF6E26">
              <w:rPr>
                <w:b/>
              </w:rPr>
              <w:br/>
            </w:r>
            <w:r w:rsidRPr="00964CA5">
              <w:rPr>
                <w:b/>
              </w:rPr>
              <w:t>n=24,932</w:t>
            </w:r>
          </w:p>
        </w:tc>
        <w:tc>
          <w:tcPr>
            <w:tcW w:w="1945" w:type="pct"/>
            <w:gridSpan w:val="3"/>
            <w:tcBorders>
              <w:top w:val="single" w:sz="4" w:space="0" w:color="000000"/>
              <w:bottom w:val="single" w:sz="4" w:space="0" w:color="000000"/>
            </w:tcBorders>
          </w:tcPr>
          <w:p w14:paraId="39A46B04" w14:textId="77777777" w:rsidR="009A6E70" w:rsidRPr="00964CA5" w:rsidRDefault="009A6E70" w:rsidP="00BF6E26">
            <w:pPr>
              <w:pStyle w:val="TableText"/>
              <w:jc w:val="center"/>
              <w:rPr>
                <w:b/>
              </w:rPr>
            </w:pPr>
            <w:r w:rsidRPr="00964CA5">
              <w:rPr>
                <w:b/>
              </w:rPr>
              <w:t>2015 Regular ADF</w:t>
            </w:r>
            <w:r w:rsidR="00BF6E26">
              <w:rPr>
                <w:b/>
              </w:rPr>
              <w:br/>
            </w:r>
            <w:r w:rsidRPr="00964CA5">
              <w:rPr>
                <w:b/>
              </w:rPr>
              <w:t>n=52,500</w:t>
            </w:r>
          </w:p>
        </w:tc>
      </w:tr>
      <w:tr w:rsidR="00BF6E26" w:rsidRPr="00AF016D" w14:paraId="6E9488D2" w14:textId="77777777" w:rsidTr="00BF6E26">
        <w:trPr>
          <w:cantSplit/>
          <w:tblHeader/>
        </w:trPr>
        <w:tc>
          <w:tcPr>
            <w:tcW w:w="1107" w:type="pct"/>
            <w:tcBorders>
              <w:top w:val="nil"/>
              <w:bottom w:val="single" w:sz="4" w:space="0" w:color="000000"/>
            </w:tcBorders>
          </w:tcPr>
          <w:p w14:paraId="694ECB77" w14:textId="77777777" w:rsidR="009A6E70" w:rsidRPr="00964CA5" w:rsidRDefault="009A6E70" w:rsidP="00EB155C">
            <w:pPr>
              <w:pStyle w:val="TableText"/>
              <w:rPr>
                <w:b/>
              </w:rPr>
            </w:pPr>
            <w:r w:rsidRPr="00964CA5">
              <w:rPr>
                <w:b/>
              </w:rPr>
              <w:t>Duration</w:t>
            </w:r>
          </w:p>
        </w:tc>
        <w:tc>
          <w:tcPr>
            <w:tcW w:w="508" w:type="pct"/>
            <w:tcBorders>
              <w:top w:val="single" w:sz="4" w:space="0" w:color="000000"/>
              <w:bottom w:val="single" w:sz="4" w:space="0" w:color="000000"/>
            </w:tcBorders>
          </w:tcPr>
          <w:p w14:paraId="0EE08D8B" w14:textId="77777777" w:rsidR="009A6E70" w:rsidRPr="00964CA5" w:rsidRDefault="009A6E70" w:rsidP="00EB155C">
            <w:pPr>
              <w:pStyle w:val="TableText"/>
              <w:jc w:val="right"/>
              <w:rPr>
                <w:b/>
              </w:rPr>
            </w:pPr>
            <w:r w:rsidRPr="00964CA5">
              <w:rPr>
                <w:b/>
              </w:rPr>
              <w:t>n</w:t>
            </w:r>
          </w:p>
        </w:tc>
        <w:tc>
          <w:tcPr>
            <w:tcW w:w="675" w:type="pct"/>
            <w:tcBorders>
              <w:top w:val="single" w:sz="4" w:space="0" w:color="000000"/>
              <w:bottom w:val="single" w:sz="4" w:space="0" w:color="000000"/>
            </w:tcBorders>
          </w:tcPr>
          <w:p w14:paraId="57A2C3E5" w14:textId="77777777" w:rsidR="009A6E70" w:rsidRPr="00964CA5" w:rsidRDefault="009A6E70" w:rsidP="00EB155C">
            <w:pPr>
              <w:pStyle w:val="TableText"/>
              <w:jc w:val="right"/>
              <w:rPr>
                <w:b/>
              </w:rPr>
            </w:pPr>
            <w:r w:rsidRPr="00964CA5">
              <w:rPr>
                <w:b/>
              </w:rPr>
              <w:t>Weighted n</w:t>
            </w:r>
          </w:p>
        </w:tc>
        <w:tc>
          <w:tcPr>
            <w:tcW w:w="765" w:type="pct"/>
            <w:tcBorders>
              <w:top w:val="single" w:sz="4" w:space="0" w:color="000000"/>
              <w:bottom w:val="single" w:sz="4" w:space="0" w:color="000000"/>
            </w:tcBorders>
          </w:tcPr>
          <w:p w14:paraId="1A41FD16" w14:textId="77777777" w:rsidR="009A6E70" w:rsidRPr="00964CA5" w:rsidRDefault="009A6E70" w:rsidP="00EB155C">
            <w:pPr>
              <w:pStyle w:val="TableText"/>
              <w:jc w:val="right"/>
              <w:rPr>
                <w:b/>
              </w:rPr>
            </w:pPr>
            <w:r w:rsidRPr="00964CA5">
              <w:rPr>
                <w:b/>
              </w:rPr>
              <w:t>% (95%CI)</w:t>
            </w:r>
          </w:p>
        </w:tc>
        <w:tc>
          <w:tcPr>
            <w:tcW w:w="524" w:type="pct"/>
            <w:tcBorders>
              <w:top w:val="single" w:sz="4" w:space="0" w:color="000000"/>
              <w:bottom w:val="single" w:sz="4" w:space="0" w:color="000000"/>
            </w:tcBorders>
          </w:tcPr>
          <w:p w14:paraId="7097071C" w14:textId="77777777" w:rsidR="009A6E70" w:rsidRPr="00964CA5" w:rsidRDefault="009A6E70" w:rsidP="00EB155C">
            <w:pPr>
              <w:pStyle w:val="TableText"/>
              <w:jc w:val="right"/>
              <w:rPr>
                <w:b/>
              </w:rPr>
            </w:pPr>
            <w:r w:rsidRPr="00964CA5">
              <w:rPr>
                <w:b/>
              </w:rPr>
              <w:t>n</w:t>
            </w:r>
          </w:p>
        </w:tc>
        <w:tc>
          <w:tcPr>
            <w:tcW w:w="675" w:type="pct"/>
            <w:tcBorders>
              <w:top w:val="single" w:sz="4" w:space="0" w:color="000000"/>
              <w:bottom w:val="single" w:sz="4" w:space="0" w:color="000000"/>
            </w:tcBorders>
          </w:tcPr>
          <w:p w14:paraId="6CF8C05E" w14:textId="77777777" w:rsidR="009A6E70" w:rsidRPr="00964CA5" w:rsidRDefault="009A6E70" w:rsidP="00EB155C">
            <w:pPr>
              <w:pStyle w:val="TableText"/>
              <w:jc w:val="right"/>
              <w:rPr>
                <w:b/>
              </w:rPr>
            </w:pPr>
            <w:r w:rsidRPr="00964CA5">
              <w:rPr>
                <w:b/>
              </w:rPr>
              <w:t>Weighted n</w:t>
            </w:r>
          </w:p>
        </w:tc>
        <w:tc>
          <w:tcPr>
            <w:tcW w:w="746" w:type="pct"/>
            <w:tcBorders>
              <w:top w:val="single" w:sz="4" w:space="0" w:color="000000"/>
              <w:bottom w:val="single" w:sz="4" w:space="0" w:color="000000"/>
            </w:tcBorders>
          </w:tcPr>
          <w:p w14:paraId="1DF8D873" w14:textId="77777777" w:rsidR="009A6E70" w:rsidRPr="00964CA5" w:rsidRDefault="009A6E70" w:rsidP="00EB155C">
            <w:pPr>
              <w:pStyle w:val="TableText"/>
              <w:jc w:val="right"/>
              <w:rPr>
                <w:b/>
              </w:rPr>
            </w:pPr>
            <w:r w:rsidRPr="00964CA5">
              <w:rPr>
                <w:b/>
              </w:rPr>
              <w:t>% (95%CI)</w:t>
            </w:r>
          </w:p>
        </w:tc>
      </w:tr>
      <w:tr w:rsidR="00BF6E26" w:rsidRPr="00AF016D" w14:paraId="0257605E"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107" w:type="pct"/>
            <w:tcBorders>
              <w:top w:val="single" w:sz="4" w:space="0" w:color="000000"/>
            </w:tcBorders>
          </w:tcPr>
          <w:p w14:paraId="5351C059" w14:textId="65D9B0DE" w:rsidR="009A6E70" w:rsidRPr="00494E02" w:rsidRDefault="009A6E70" w:rsidP="00EB155C">
            <w:pPr>
              <w:pStyle w:val="TableText"/>
            </w:pPr>
            <w:r w:rsidRPr="00494E02">
              <w:t xml:space="preserve">&lt;1 </w:t>
            </w:r>
            <w:r w:rsidR="00040E45" w:rsidRPr="00494E02">
              <w:t>hour</w:t>
            </w:r>
          </w:p>
        </w:tc>
        <w:tc>
          <w:tcPr>
            <w:tcW w:w="508" w:type="pct"/>
            <w:tcBorders>
              <w:top w:val="single" w:sz="4" w:space="0" w:color="000000"/>
            </w:tcBorders>
          </w:tcPr>
          <w:p w14:paraId="024CEB14" w14:textId="77777777" w:rsidR="009A6E70" w:rsidRPr="00494E02" w:rsidRDefault="009A6E70" w:rsidP="00EB155C">
            <w:pPr>
              <w:pStyle w:val="TableText"/>
              <w:jc w:val="right"/>
              <w:rPr>
                <w:color w:val="000000" w:themeColor="text1"/>
              </w:rPr>
            </w:pPr>
            <w:r w:rsidRPr="00494E02">
              <w:t>338</w:t>
            </w:r>
          </w:p>
        </w:tc>
        <w:tc>
          <w:tcPr>
            <w:tcW w:w="675" w:type="pct"/>
            <w:tcBorders>
              <w:top w:val="single" w:sz="4" w:space="0" w:color="000000"/>
            </w:tcBorders>
          </w:tcPr>
          <w:p w14:paraId="5BE32273" w14:textId="77777777" w:rsidR="009A6E70" w:rsidRPr="00494E02" w:rsidRDefault="009A6E70" w:rsidP="00EB155C">
            <w:pPr>
              <w:pStyle w:val="TableText"/>
              <w:jc w:val="right"/>
              <w:rPr>
                <w:color w:val="000000" w:themeColor="text1"/>
              </w:rPr>
            </w:pPr>
            <w:r w:rsidRPr="00494E02">
              <w:t>2275</w:t>
            </w:r>
          </w:p>
        </w:tc>
        <w:tc>
          <w:tcPr>
            <w:tcW w:w="765" w:type="pct"/>
            <w:tcBorders>
              <w:top w:val="single" w:sz="4" w:space="0" w:color="000000"/>
            </w:tcBorders>
          </w:tcPr>
          <w:p w14:paraId="33AD7ADC" w14:textId="77777777" w:rsidR="009A6E70" w:rsidRPr="00494E02" w:rsidRDefault="009A6E70" w:rsidP="00EB155C">
            <w:pPr>
              <w:pStyle w:val="TableText"/>
              <w:jc w:val="right"/>
              <w:rPr>
                <w:color w:val="000000" w:themeColor="text1"/>
              </w:rPr>
            </w:pPr>
            <w:r w:rsidRPr="00494E02">
              <w:t>9.1 (8.0,</w:t>
            </w:r>
            <w:r>
              <w:t xml:space="preserve"> </w:t>
            </w:r>
            <w:r w:rsidRPr="00494E02">
              <w:t>10.4)</w:t>
            </w:r>
          </w:p>
        </w:tc>
        <w:tc>
          <w:tcPr>
            <w:tcW w:w="524" w:type="pct"/>
            <w:tcBorders>
              <w:top w:val="single" w:sz="4" w:space="0" w:color="000000"/>
            </w:tcBorders>
          </w:tcPr>
          <w:p w14:paraId="214F15AD" w14:textId="77777777" w:rsidR="009A6E70" w:rsidRPr="00494E02" w:rsidRDefault="009A6E70" w:rsidP="00EB155C">
            <w:pPr>
              <w:pStyle w:val="TableText"/>
              <w:jc w:val="right"/>
              <w:rPr>
                <w:color w:val="000000" w:themeColor="text1"/>
              </w:rPr>
            </w:pPr>
            <w:r w:rsidRPr="00494E02">
              <w:t>907</w:t>
            </w:r>
          </w:p>
        </w:tc>
        <w:tc>
          <w:tcPr>
            <w:tcW w:w="675" w:type="pct"/>
            <w:tcBorders>
              <w:top w:val="single" w:sz="4" w:space="0" w:color="000000"/>
            </w:tcBorders>
          </w:tcPr>
          <w:p w14:paraId="71FF59D2" w14:textId="77777777" w:rsidR="009A6E70" w:rsidRPr="00494E02" w:rsidRDefault="009A6E70" w:rsidP="00EB155C">
            <w:pPr>
              <w:pStyle w:val="TableText"/>
              <w:jc w:val="right"/>
              <w:rPr>
                <w:color w:val="000000" w:themeColor="text1"/>
              </w:rPr>
            </w:pPr>
            <w:r w:rsidRPr="00494E02">
              <w:t>6268</w:t>
            </w:r>
          </w:p>
        </w:tc>
        <w:tc>
          <w:tcPr>
            <w:tcW w:w="746" w:type="pct"/>
            <w:tcBorders>
              <w:top w:val="single" w:sz="4" w:space="0" w:color="000000"/>
            </w:tcBorders>
          </w:tcPr>
          <w:p w14:paraId="6C25D488" w14:textId="77777777" w:rsidR="009A6E70" w:rsidRPr="00494E02" w:rsidRDefault="009A6E70" w:rsidP="00EB155C">
            <w:pPr>
              <w:pStyle w:val="TableText"/>
              <w:jc w:val="right"/>
              <w:rPr>
                <w:color w:val="000000" w:themeColor="text1"/>
              </w:rPr>
            </w:pPr>
            <w:r w:rsidRPr="00494E02">
              <w:t>11.9 (9.6,</w:t>
            </w:r>
            <w:r>
              <w:t xml:space="preserve"> </w:t>
            </w:r>
            <w:r w:rsidRPr="00494E02">
              <w:t>14.8)</w:t>
            </w:r>
          </w:p>
        </w:tc>
      </w:tr>
      <w:tr w:rsidR="00BF6E26" w:rsidRPr="00AF016D" w14:paraId="18AAA1CC" w14:textId="77777777" w:rsidTr="00BF6E26">
        <w:trPr>
          <w:cantSplit/>
        </w:trPr>
        <w:tc>
          <w:tcPr>
            <w:tcW w:w="1107" w:type="pct"/>
          </w:tcPr>
          <w:p w14:paraId="6D18AC78" w14:textId="251A0316" w:rsidR="009A6E70" w:rsidRPr="00494E02" w:rsidRDefault="009A6E70" w:rsidP="00EB155C">
            <w:pPr>
              <w:pStyle w:val="TableText"/>
            </w:pPr>
            <w:r w:rsidRPr="00494E02">
              <w:t>1</w:t>
            </w:r>
            <w:r>
              <w:t>–</w:t>
            </w:r>
            <w:r w:rsidRPr="00494E02">
              <w:t xml:space="preserve">2 </w:t>
            </w:r>
            <w:r w:rsidR="00040E45" w:rsidRPr="00494E02">
              <w:t>hours</w:t>
            </w:r>
          </w:p>
        </w:tc>
        <w:tc>
          <w:tcPr>
            <w:tcW w:w="508" w:type="pct"/>
          </w:tcPr>
          <w:p w14:paraId="669D6BE2" w14:textId="77777777" w:rsidR="009A6E70" w:rsidRPr="00494E02" w:rsidRDefault="009A6E70" w:rsidP="00EB155C">
            <w:pPr>
              <w:pStyle w:val="TableText"/>
              <w:jc w:val="right"/>
              <w:rPr>
                <w:color w:val="000000" w:themeColor="text1"/>
              </w:rPr>
            </w:pPr>
            <w:r w:rsidRPr="00494E02">
              <w:t>1673</w:t>
            </w:r>
          </w:p>
        </w:tc>
        <w:tc>
          <w:tcPr>
            <w:tcW w:w="675" w:type="pct"/>
          </w:tcPr>
          <w:p w14:paraId="4040AA6C" w14:textId="77777777" w:rsidR="009A6E70" w:rsidRPr="00494E02" w:rsidRDefault="009A6E70" w:rsidP="00EB155C">
            <w:pPr>
              <w:pStyle w:val="TableText"/>
              <w:jc w:val="right"/>
              <w:rPr>
                <w:color w:val="000000" w:themeColor="text1"/>
              </w:rPr>
            </w:pPr>
            <w:r w:rsidRPr="00494E02">
              <w:t>11</w:t>
            </w:r>
            <w:r>
              <w:t>,</w:t>
            </w:r>
            <w:r w:rsidRPr="00494E02">
              <w:t>210</w:t>
            </w:r>
          </w:p>
        </w:tc>
        <w:tc>
          <w:tcPr>
            <w:tcW w:w="765" w:type="pct"/>
          </w:tcPr>
          <w:p w14:paraId="0BD6CB9A" w14:textId="77777777" w:rsidR="009A6E70" w:rsidRPr="00494E02" w:rsidRDefault="009A6E70" w:rsidP="00EB155C">
            <w:pPr>
              <w:pStyle w:val="TableText"/>
              <w:jc w:val="right"/>
              <w:rPr>
                <w:color w:val="000000" w:themeColor="text1"/>
              </w:rPr>
            </w:pPr>
            <w:r w:rsidRPr="00494E02">
              <w:t>45.0 (42.9,</w:t>
            </w:r>
            <w:r>
              <w:t xml:space="preserve"> </w:t>
            </w:r>
            <w:r w:rsidRPr="00494E02">
              <w:t>47.0)</w:t>
            </w:r>
          </w:p>
        </w:tc>
        <w:tc>
          <w:tcPr>
            <w:tcW w:w="524" w:type="pct"/>
          </w:tcPr>
          <w:p w14:paraId="4A4D88AB" w14:textId="77777777" w:rsidR="009A6E70" w:rsidRPr="00494E02" w:rsidRDefault="009A6E70" w:rsidP="00EB155C">
            <w:pPr>
              <w:pStyle w:val="TableText"/>
              <w:jc w:val="right"/>
              <w:rPr>
                <w:color w:val="000000" w:themeColor="text1"/>
              </w:rPr>
            </w:pPr>
            <w:r w:rsidRPr="00494E02">
              <w:t>3979</w:t>
            </w:r>
          </w:p>
        </w:tc>
        <w:tc>
          <w:tcPr>
            <w:tcW w:w="675" w:type="pct"/>
          </w:tcPr>
          <w:p w14:paraId="1B80EB07" w14:textId="77777777" w:rsidR="009A6E70" w:rsidRPr="00494E02" w:rsidRDefault="009A6E70" w:rsidP="00EB155C">
            <w:pPr>
              <w:pStyle w:val="TableText"/>
              <w:jc w:val="right"/>
              <w:rPr>
                <w:color w:val="000000" w:themeColor="text1"/>
              </w:rPr>
            </w:pPr>
            <w:r w:rsidRPr="00494E02">
              <w:t>24</w:t>
            </w:r>
            <w:r>
              <w:t>,</w:t>
            </w:r>
            <w:r w:rsidRPr="00494E02">
              <w:t>990</w:t>
            </w:r>
          </w:p>
        </w:tc>
        <w:tc>
          <w:tcPr>
            <w:tcW w:w="746" w:type="pct"/>
          </w:tcPr>
          <w:p w14:paraId="3BC53C64" w14:textId="77777777" w:rsidR="009A6E70" w:rsidRPr="00494E02" w:rsidRDefault="009A6E70" w:rsidP="00EB155C">
            <w:pPr>
              <w:pStyle w:val="TableText"/>
              <w:jc w:val="right"/>
              <w:rPr>
                <w:color w:val="000000" w:themeColor="text1"/>
              </w:rPr>
            </w:pPr>
            <w:r w:rsidRPr="00494E02">
              <w:t>47.6 (43.6,</w:t>
            </w:r>
            <w:r>
              <w:t xml:space="preserve"> </w:t>
            </w:r>
            <w:r w:rsidRPr="00494E02">
              <w:t>51.7)</w:t>
            </w:r>
          </w:p>
        </w:tc>
      </w:tr>
      <w:tr w:rsidR="00BF6E26" w:rsidRPr="00AF016D" w14:paraId="06518C7B"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107" w:type="pct"/>
          </w:tcPr>
          <w:p w14:paraId="650DBDF0" w14:textId="30ED4B94" w:rsidR="009A6E70" w:rsidRPr="00494E02" w:rsidRDefault="009A6E70" w:rsidP="00EB155C">
            <w:pPr>
              <w:pStyle w:val="TableText"/>
            </w:pPr>
            <w:r w:rsidRPr="00494E02">
              <w:t>3</w:t>
            </w:r>
            <w:r>
              <w:t>–</w:t>
            </w:r>
            <w:r w:rsidRPr="00494E02">
              <w:t xml:space="preserve">4 </w:t>
            </w:r>
            <w:r w:rsidR="00040E45" w:rsidRPr="00494E02">
              <w:t>hours</w:t>
            </w:r>
          </w:p>
        </w:tc>
        <w:tc>
          <w:tcPr>
            <w:tcW w:w="508" w:type="pct"/>
          </w:tcPr>
          <w:p w14:paraId="5B3C8E2E" w14:textId="77777777" w:rsidR="009A6E70" w:rsidRPr="00494E02" w:rsidRDefault="009A6E70" w:rsidP="00EB155C">
            <w:pPr>
              <w:pStyle w:val="TableText"/>
              <w:jc w:val="right"/>
              <w:rPr>
                <w:color w:val="000000" w:themeColor="text1"/>
              </w:rPr>
            </w:pPr>
            <w:r w:rsidRPr="00494E02">
              <w:t>824</w:t>
            </w:r>
          </w:p>
        </w:tc>
        <w:tc>
          <w:tcPr>
            <w:tcW w:w="675" w:type="pct"/>
          </w:tcPr>
          <w:p w14:paraId="3D276D6D" w14:textId="77777777" w:rsidR="009A6E70" w:rsidRPr="00494E02" w:rsidRDefault="009A6E70" w:rsidP="00EB155C">
            <w:pPr>
              <w:pStyle w:val="TableText"/>
              <w:jc w:val="right"/>
              <w:rPr>
                <w:color w:val="000000" w:themeColor="text1"/>
              </w:rPr>
            </w:pPr>
            <w:r w:rsidRPr="00494E02">
              <w:t>5742</w:t>
            </w:r>
          </w:p>
        </w:tc>
        <w:tc>
          <w:tcPr>
            <w:tcW w:w="765" w:type="pct"/>
          </w:tcPr>
          <w:p w14:paraId="2C9DCBF6" w14:textId="77777777" w:rsidR="009A6E70" w:rsidRPr="00494E02" w:rsidRDefault="009A6E70" w:rsidP="00EB155C">
            <w:pPr>
              <w:pStyle w:val="TableText"/>
              <w:jc w:val="right"/>
              <w:rPr>
                <w:color w:val="000000" w:themeColor="text1"/>
              </w:rPr>
            </w:pPr>
            <w:r w:rsidRPr="00494E02">
              <w:t>23.0 (21.3,</w:t>
            </w:r>
            <w:r>
              <w:t xml:space="preserve"> </w:t>
            </w:r>
            <w:r w:rsidRPr="00494E02">
              <w:t>24.8)</w:t>
            </w:r>
          </w:p>
        </w:tc>
        <w:tc>
          <w:tcPr>
            <w:tcW w:w="524" w:type="pct"/>
          </w:tcPr>
          <w:p w14:paraId="3CA65C48" w14:textId="77777777" w:rsidR="009A6E70" w:rsidRPr="00494E02" w:rsidRDefault="009A6E70" w:rsidP="00EB155C">
            <w:pPr>
              <w:pStyle w:val="TableText"/>
              <w:jc w:val="right"/>
              <w:rPr>
                <w:color w:val="000000" w:themeColor="text1"/>
              </w:rPr>
            </w:pPr>
            <w:r w:rsidRPr="00494E02">
              <w:t>1492</w:t>
            </w:r>
          </w:p>
        </w:tc>
        <w:tc>
          <w:tcPr>
            <w:tcW w:w="675" w:type="pct"/>
          </w:tcPr>
          <w:p w14:paraId="552F0DAC" w14:textId="77777777" w:rsidR="009A6E70" w:rsidRPr="00494E02" w:rsidRDefault="009A6E70" w:rsidP="00EB155C">
            <w:pPr>
              <w:pStyle w:val="TableText"/>
              <w:jc w:val="right"/>
              <w:rPr>
                <w:color w:val="000000" w:themeColor="text1"/>
              </w:rPr>
            </w:pPr>
            <w:r w:rsidRPr="00494E02">
              <w:t>11</w:t>
            </w:r>
            <w:r>
              <w:t>,</w:t>
            </w:r>
            <w:r w:rsidRPr="00494E02">
              <w:t>641</w:t>
            </w:r>
          </w:p>
        </w:tc>
        <w:tc>
          <w:tcPr>
            <w:tcW w:w="746" w:type="pct"/>
          </w:tcPr>
          <w:p w14:paraId="092C5F52" w14:textId="77777777" w:rsidR="009A6E70" w:rsidRPr="00494E02" w:rsidRDefault="009A6E70" w:rsidP="00EB155C">
            <w:pPr>
              <w:pStyle w:val="TableText"/>
              <w:jc w:val="right"/>
              <w:rPr>
                <w:color w:val="000000" w:themeColor="text1"/>
              </w:rPr>
            </w:pPr>
            <w:r w:rsidRPr="00494E02">
              <w:t>22.2 (18.8,</w:t>
            </w:r>
            <w:r>
              <w:t xml:space="preserve"> </w:t>
            </w:r>
            <w:r w:rsidRPr="00494E02">
              <w:t>25.9)</w:t>
            </w:r>
          </w:p>
        </w:tc>
      </w:tr>
      <w:tr w:rsidR="00BF6E26" w:rsidRPr="00AF016D" w14:paraId="32E47853" w14:textId="77777777" w:rsidTr="00BF6E26">
        <w:trPr>
          <w:cantSplit/>
        </w:trPr>
        <w:tc>
          <w:tcPr>
            <w:tcW w:w="1107" w:type="pct"/>
          </w:tcPr>
          <w:p w14:paraId="01870D4D" w14:textId="06876D42" w:rsidR="009A6E70" w:rsidRPr="00494E02" w:rsidRDefault="009A6E70" w:rsidP="00EB155C">
            <w:pPr>
              <w:pStyle w:val="TableText"/>
            </w:pPr>
            <w:r w:rsidRPr="00494E02">
              <w:t>5</w:t>
            </w:r>
            <w:r>
              <w:t>–</w:t>
            </w:r>
            <w:r w:rsidRPr="00494E02">
              <w:t xml:space="preserve">6 </w:t>
            </w:r>
            <w:r w:rsidR="00040E45" w:rsidRPr="00494E02">
              <w:t>hours</w:t>
            </w:r>
          </w:p>
        </w:tc>
        <w:tc>
          <w:tcPr>
            <w:tcW w:w="508" w:type="pct"/>
          </w:tcPr>
          <w:p w14:paraId="3515E272" w14:textId="77777777" w:rsidR="009A6E70" w:rsidRPr="00494E02" w:rsidRDefault="009A6E70" w:rsidP="00EB155C">
            <w:pPr>
              <w:pStyle w:val="TableText"/>
              <w:jc w:val="right"/>
              <w:rPr>
                <w:color w:val="000000" w:themeColor="text1"/>
              </w:rPr>
            </w:pPr>
            <w:r w:rsidRPr="00494E02">
              <w:t>351</w:t>
            </w:r>
          </w:p>
        </w:tc>
        <w:tc>
          <w:tcPr>
            <w:tcW w:w="675" w:type="pct"/>
          </w:tcPr>
          <w:p w14:paraId="239CEDFB" w14:textId="77777777" w:rsidR="009A6E70" w:rsidRPr="00494E02" w:rsidRDefault="009A6E70" w:rsidP="00EB155C">
            <w:pPr>
              <w:pStyle w:val="TableText"/>
              <w:jc w:val="right"/>
              <w:rPr>
                <w:color w:val="000000" w:themeColor="text1"/>
              </w:rPr>
            </w:pPr>
            <w:r w:rsidRPr="00494E02">
              <w:t>2664</w:t>
            </w:r>
          </w:p>
        </w:tc>
        <w:tc>
          <w:tcPr>
            <w:tcW w:w="765" w:type="pct"/>
          </w:tcPr>
          <w:p w14:paraId="56628EDC" w14:textId="77777777" w:rsidR="009A6E70" w:rsidRPr="00494E02" w:rsidRDefault="009A6E70" w:rsidP="00EB155C">
            <w:pPr>
              <w:pStyle w:val="TableText"/>
              <w:jc w:val="right"/>
              <w:rPr>
                <w:color w:val="000000" w:themeColor="text1"/>
              </w:rPr>
            </w:pPr>
            <w:r w:rsidRPr="00494E02">
              <w:t>10.7 (9.4,</w:t>
            </w:r>
            <w:r>
              <w:t xml:space="preserve"> </w:t>
            </w:r>
            <w:r w:rsidRPr="00494E02">
              <w:t>12.1)</w:t>
            </w:r>
          </w:p>
        </w:tc>
        <w:tc>
          <w:tcPr>
            <w:tcW w:w="524" w:type="pct"/>
          </w:tcPr>
          <w:p w14:paraId="1E0F79DC" w14:textId="77777777" w:rsidR="009A6E70" w:rsidRPr="00494E02" w:rsidRDefault="009A6E70" w:rsidP="00EB155C">
            <w:pPr>
              <w:pStyle w:val="TableText"/>
              <w:jc w:val="right"/>
              <w:rPr>
                <w:color w:val="000000" w:themeColor="text1"/>
              </w:rPr>
            </w:pPr>
            <w:r w:rsidRPr="00494E02">
              <w:t>548</w:t>
            </w:r>
          </w:p>
        </w:tc>
        <w:tc>
          <w:tcPr>
            <w:tcW w:w="675" w:type="pct"/>
          </w:tcPr>
          <w:p w14:paraId="52C2A651" w14:textId="77777777" w:rsidR="009A6E70" w:rsidRPr="00494E02" w:rsidRDefault="009A6E70" w:rsidP="00EB155C">
            <w:pPr>
              <w:pStyle w:val="TableText"/>
              <w:jc w:val="right"/>
              <w:rPr>
                <w:color w:val="000000" w:themeColor="text1"/>
              </w:rPr>
            </w:pPr>
            <w:r w:rsidRPr="00494E02">
              <w:t>4945</w:t>
            </w:r>
          </w:p>
        </w:tc>
        <w:tc>
          <w:tcPr>
            <w:tcW w:w="746" w:type="pct"/>
          </w:tcPr>
          <w:p w14:paraId="10735083" w14:textId="77777777" w:rsidR="009A6E70" w:rsidRPr="00494E02" w:rsidRDefault="009A6E70" w:rsidP="00EB155C">
            <w:pPr>
              <w:pStyle w:val="TableText"/>
              <w:jc w:val="right"/>
              <w:rPr>
                <w:color w:val="000000" w:themeColor="text1"/>
              </w:rPr>
            </w:pPr>
            <w:r w:rsidRPr="00494E02">
              <w:t>9.4 (7.0,</w:t>
            </w:r>
            <w:r>
              <w:t xml:space="preserve"> </w:t>
            </w:r>
            <w:r w:rsidRPr="00494E02">
              <w:t>12.6)</w:t>
            </w:r>
          </w:p>
        </w:tc>
      </w:tr>
      <w:tr w:rsidR="00BF6E26" w:rsidRPr="00AF016D" w14:paraId="1B8F7839"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107" w:type="pct"/>
          </w:tcPr>
          <w:p w14:paraId="01E8CD9D" w14:textId="5D9F0830" w:rsidR="009A6E70" w:rsidRPr="00494E02" w:rsidRDefault="009A6E70" w:rsidP="00EB155C">
            <w:pPr>
              <w:pStyle w:val="TableText"/>
            </w:pPr>
            <w:r w:rsidRPr="00494E02">
              <w:t>7</w:t>
            </w:r>
            <w:r>
              <w:t>–</w:t>
            </w:r>
            <w:r w:rsidRPr="00494E02">
              <w:t xml:space="preserve">8 </w:t>
            </w:r>
            <w:r w:rsidR="00040E45" w:rsidRPr="00494E02">
              <w:t>hours</w:t>
            </w:r>
          </w:p>
        </w:tc>
        <w:tc>
          <w:tcPr>
            <w:tcW w:w="508" w:type="pct"/>
          </w:tcPr>
          <w:p w14:paraId="5B24C21F" w14:textId="77777777" w:rsidR="009A6E70" w:rsidRPr="00494E02" w:rsidRDefault="009A6E70" w:rsidP="00EB155C">
            <w:pPr>
              <w:pStyle w:val="TableText"/>
              <w:jc w:val="right"/>
              <w:rPr>
                <w:color w:val="000000" w:themeColor="text1"/>
              </w:rPr>
            </w:pPr>
            <w:r w:rsidRPr="00494E02">
              <w:t>143</w:t>
            </w:r>
          </w:p>
        </w:tc>
        <w:tc>
          <w:tcPr>
            <w:tcW w:w="675" w:type="pct"/>
          </w:tcPr>
          <w:p w14:paraId="2C38010C" w14:textId="77777777" w:rsidR="009A6E70" w:rsidRPr="00494E02" w:rsidRDefault="009A6E70" w:rsidP="00EB155C">
            <w:pPr>
              <w:pStyle w:val="TableText"/>
              <w:jc w:val="right"/>
              <w:rPr>
                <w:color w:val="000000" w:themeColor="text1"/>
              </w:rPr>
            </w:pPr>
            <w:r w:rsidRPr="00494E02">
              <w:t>1224</w:t>
            </w:r>
          </w:p>
        </w:tc>
        <w:tc>
          <w:tcPr>
            <w:tcW w:w="765" w:type="pct"/>
          </w:tcPr>
          <w:p w14:paraId="7B8CF569" w14:textId="77777777" w:rsidR="009A6E70" w:rsidRPr="00494E02" w:rsidRDefault="009A6E70" w:rsidP="00EB155C">
            <w:pPr>
              <w:pStyle w:val="TableText"/>
              <w:jc w:val="right"/>
              <w:rPr>
                <w:color w:val="000000" w:themeColor="text1"/>
              </w:rPr>
            </w:pPr>
            <w:r w:rsidRPr="00494E02">
              <w:t>4.9 (4.0,</w:t>
            </w:r>
            <w:r>
              <w:t xml:space="preserve"> </w:t>
            </w:r>
            <w:r w:rsidRPr="00494E02">
              <w:t>6.0)</w:t>
            </w:r>
          </w:p>
        </w:tc>
        <w:tc>
          <w:tcPr>
            <w:tcW w:w="524" w:type="pct"/>
          </w:tcPr>
          <w:p w14:paraId="69AFA4FE" w14:textId="77777777" w:rsidR="009A6E70" w:rsidRPr="00494E02" w:rsidRDefault="009A6E70" w:rsidP="00EB155C">
            <w:pPr>
              <w:pStyle w:val="TableText"/>
              <w:jc w:val="right"/>
              <w:rPr>
                <w:color w:val="000000" w:themeColor="text1"/>
              </w:rPr>
            </w:pPr>
            <w:r w:rsidRPr="00494E02">
              <w:t>191</w:t>
            </w:r>
          </w:p>
        </w:tc>
        <w:tc>
          <w:tcPr>
            <w:tcW w:w="675" w:type="pct"/>
          </w:tcPr>
          <w:p w14:paraId="12599B30" w14:textId="77777777" w:rsidR="009A6E70" w:rsidRPr="00494E02" w:rsidRDefault="009A6E70" w:rsidP="00EB155C">
            <w:pPr>
              <w:pStyle w:val="TableText"/>
              <w:jc w:val="right"/>
              <w:rPr>
                <w:color w:val="000000" w:themeColor="text1"/>
              </w:rPr>
            </w:pPr>
            <w:r w:rsidRPr="00494E02">
              <w:t>2091</w:t>
            </w:r>
          </w:p>
        </w:tc>
        <w:tc>
          <w:tcPr>
            <w:tcW w:w="746" w:type="pct"/>
          </w:tcPr>
          <w:p w14:paraId="12A33E08" w14:textId="77777777" w:rsidR="009A6E70" w:rsidRPr="00494E02" w:rsidRDefault="009A6E70" w:rsidP="00EB155C">
            <w:pPr>
              <w:pStyle w:val="TableText"/>
              <w:jc w:val="right"/>
              <w:rPr>
                <w:color w:val="000000" w:themeColor="text1"/>
              </w:rPr>
            </w:pPr>
            <w:r w:rsidRPr="00494E02">
              <w:t>4.0 (2.7,</w:t>
            </w:r>
            <w:r>
              <w:t xml:space="preserve"> </w:t>
            </w:r>
            <w:r w:rsidRPr="00494E02">
              <w:t>5.9)</w:t>
            </w:r>
          </w:p>
        </w:tc>
      </w:tr>
      <w:tr w:rsidR="00BF6E26" w:rsidRPr="00AF016D" w14:paraId="5C1B51FC" w14:textId="77777777" w:rsidTr="00BF6E26">
        <w:trPr>
          <w:cantSplit/>
        </w:trPr>
        <w:tc>
          <w:tcPr>
            <w:tcW w:w="1107" w:type="pct"/>
          </w:tcPr>
          <w:p w14:paraId="6A03E8D6" w14:textId="67F40913" w:rsidR="009A6E70" w:rsidRPr="00494E02" w:rsidRDefault="009A6E70" w:rsidP="00EB155C">
            <w:pPr>
              <w:pStyle w:val="TableText"/>
            </w:pPr>
            <w:r w:rsidRPr="00494E02">
              <w:t>9</w:t>
            </w:r>
            <w:r>
              <w:t>–</w:t>
            </w:r>
            <w:r w:rsidRPr="00494E02">
              <w:t xml:space="preserve">10 </w:t>
            </w:r>
            <w:r w:rsidR="00040E45" w:rsidRPr="00494E02">
              <w:t>hours</w:t>
            </w:r>
          </w:p>
        </w:tc>
        <w:tc>
          <w:tcPr>
            <w:tcW w:w="508" w:type="pct"/>
          </w:tcPr>
          <w:p w14:paraId="33085A8C" w14:textId="77777777" w:rsidR="009A6E70" w:rsidRPr="00494E02" w:rsidRDefault="009A6E70" w:rsidP="00EB155C">
            <w:pPr>
              <w:pStyle w:val="TableText"/>
              <w:jc w:val="right"/>
              <w:rPr>
                <w:color w:val="000000" w:themeColor="text1"/>
              </w:rPr>
            </w:pPr>
            <w:r w:rsidRPr="00494E02">
              <w:t>62</w:t>
            </w:r>
          </w:p>
        </w:tc>
        <w:tc>
          <w:tcPr>
            <w:tcW w:w="675" w:type="pct"/>
          </w:tcPr>
          <w:p w14:paraId="6286698D" w14:textId="77777777" w:rsidR="009A6E70" w:rsidRPr="00494E02" w:rsidRDefault="009A6E70" w:rsidP="00EB155C">
            <w:pPr>
              <w:pStyle w:val="TableText"/>
              <w:jc w:val="right"/>
              <w:rPr>
                <w:color w:val="000000" w:themeColor="text1"/>
              </w:rPr>
            </w:pPr>
            <w:r w:rsidRPr="00494E02">
              <w:t>580</w:t>
            </w:r>
          </w:p>
        </w:tc>
        <w:tc>
          <w:tcPr>
            <w:tcW w:w="765" w:type="pct"/>
          </w:tcPr>
          <w:p w14:paraId="598C2501" w14:textId="77777777" w:rsidR="009A6E70" w:rsidRPr="00494E02" w:rsidRDefault="009A6E70" w:rsidP="00EB155C">
            <w:pPr>
              <w:pStyle w:val="TableText"/>
              <w:jc w:val="right"/>
              <w:rPr>
                <w:color w:val="000000" w:themeColor="text1"/>
              </w:rPr>
            </w:pPr>
            <w:r w:rsidRPr="00494E02">
              <w:t>2.3 (1.7,</w:t>
            </w:r>
            <w:r>
              <w:t xml:space="preserve"> </w:t>
            </w:r>
            <w:r w:rsidRPr="00494E02">
              <w:t>3.2)</w:t>
            </w:r>
          </w:p>
        </w:tc>
        <w:tc>
          <w:tcPr>
            <w:tcW w:w="524" w:type="pct"/>
          </w:tcPr>
          <w:p w14:paraId="70748EF2" w14:textId="77777777" w:rsidR="009A6E70" w:rsidRPr="00494E02" w:rsidRDefault="009A6E70" w:rsidP="00EB155C">
            <w:pPr>
              <w:pStyle w:val="TableText"/>
              <w:jc w:val="right"/>
              <w:rPr>
                <w:color w:val="000000" w:themeColor="text1"/>
              </w:rPr>
            </w:pPr>
            <w:r w:rsidRPr="00494E02">
              <w:t>78</w:t>
            </w:r>
          </w:p>
        </w:tc>
        <w:tc>
          <w:tcPr>
            <w:tcW w:w="675" w:type="pct"/>
          </w:tcPr>
          <w:p w14:paraId="429CD638" w14:textId="77777777" w:rsidR="009A6E70" w:rsidRPr="00494E02" w:rsidRDefault="009A6E70" w:rsidP="00EB155C">
            <w:pPr>
              <w:pStyle w:val="TableText"/>
              <w:jc w:val="right"/>
              <w:rPr>
                <w:color w:val="000000" w:themeColor="text1"/>
              </w:rPr>
            </w:pPr>
            <w:r w:rsidRPr="00494E02">
              <w:t>383</w:t>
            </w:r>
          </w:p>
        </w:tc>
        <w:tc>
          <w:tcPr>
            <w:tcW w:w="746" w:type="pct"/>
          </w:tcPr>
          <w:p w14:paraId="15D30960" w14:textId="77777777" w:rsidR="009A6E70" w:rsidRPr="00494E02" w:rsidRDefault="009A6E70" w:rsidP="00EB155C">
            <w:pPr>
              <w:pStyle w:val="TableText"/>
              <w:jc w:val="right"/>
              <w:rPr>
                <w:color w:val="000000" w:themeColor="text1"/>
              </w:rPr>
            </w:pPr>
            <w:r w:rsidRPr="00494E02">
              <w:t>0.7 (0.6,</w:t>
            </w:r>
            <w:r>
              <w:t xml:space="preserve"> </w:t>
            </w:r>
            <w:r w:rsidRPr="00494E02">
              <w:t>1.0)</w:t>
            </w:r>
          </w:p>
        </w:tc>
      </w:tr>
      <w:tr w:rsidR="00BF6E26" w:rsidRPr="00AF016D" w14:paraId="39E1CAAB"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107" w:type="pct"/>
          </w:tcPr>
          <w:p w14:paraId="1F250D89" w14:textId="1AB24B3C" w:rsidR="009A6E70" w:rsidRPr="00494E02" w:rsidRDefault="009A6E70" w:rsidP="00EB155C">
            <w:pPr>
              <w:pStyle w:val="TableText"/>
            </w:pPr>
            <w:r w:rsidRPr="00494E02">
              <w:t xml:space="preserve">&gt; 10 </w:t>
            </w:r>
            <w:r w:rsidR="00040E45" w:rsidRPr="00494E02">
              <w:t>hours</w:t>
            </w:r>
          </w:p>
        </w:tc>
        <w:tc>
          <w:tcPr>
            <w:tcW w:w="508" w:type="pct"/>
          </w:tcPr>
          <w:p w14:paraId="6B850434" w14:textId="77777777" w:rsidR="009A6E70" w:rsidRPr="00494E02" w:rsidRDefault="009A6E70" w:rsidP="00EB155C">
            <w:pPr>
              <w:pStyle w:val="TableText"/>
              <w:jc w:val="right"/>
              <w:rPr>
                <w:color w:val="000000" w:themeColor="text1"/>
              </w:rPr>
            </w:pPr>
            <w:r w:rsidRPr="00494E02">
              <w:t>45</w:t>
            </w:r>
          </w:p>
        </w:tc>
        <w:tc>
          <w:tcPr>
            <w:tcW w:w="675" w:type="pct"/>
          </w:tcPr>
          <w:p w14:paraId="68FF2B03" w14:textId="77777777" w:rsidR="009A6E70" w:rsidRPr="00494E02" w:rsidRDefault="009A6E70" w:rsidP="00EB155C">
            <w:pPr>
              <w:pStyle w:val="TableText"/>
              <w:jc w:val="right"/>
              <w:rPr>
                <w:color w:val="000000" w:themeColor="text1"/>
              </w:rPr>
            </w:pPr>
            <w:r w:rsidRPr="00494E02">
              <w:t>373</w:t>
            </w:r>
          </w:p>
        </w:tc>
        <w:tc>
          <w:tcPr>
            <w:tcW w:w="765" w:type="pct"/>
          </w:tcPr>
          <w:p w14:paraId="2021F021" w14:textId="77777777" w:rsidR="009A6E70" w:rsidRPr="00494E02" w:rsidRDefault="009A6E70" w:rsidP="00EB155C">
            <w:pPr>
              <w:pStyle w:val="TableText"/>
              <w:jc w:val="right"/>
              <w:rPr>
                <w:color w:val="000000" w:themeColor="text1"/>
              </w:rPr>
            </w:pPr>
            <w:r w:rsidRPr="00494E02">
              <w:t>1.5 (1.1,</w:t>
            </w:r>
            <w:r>
              <w:t xml:space="preserve"> </w:t>
            </w:r>
            <w:r w:rsidRPr="00494E02">
              <w:t>2.1)</w:t>
            </w:r>
          </w:p>
        </w:tc>
        <w:tc>
          <w:tcPr>
            <w:tcW w:w="524" w:type="pct"/>
          </w:tcPr>
          <w:p w14:paraId="5105D3E4" w14:textId="77777777" w:rsidR="009A6E70" w:rsidRPr="00494E02" w:rsidRDefault="009A6E70" w:rsidP="00EB155C">
            <w:pPr>
              <w:pStyle w:val="TableText"/>
              <w:jc w:val="right"/>
              <w:rPr>
                <w:color w:val="000000" w:themeColor="text1"/>
              </w:rPr>
            </w:pPr>
            <w:r w:rsidRPr="00494E02">
              <w:t>47</w:t>
            </w:r>
          </w:p>
        </w:tc>
        <w:tc>
          <w:tcPr>
            <w:tcW w:w="675" w:type="pct"/>
          </w:tcPr>
          <w:p w14:paraId="679EAA9E" w14:textId="77777777" w:rsidR="009A6E70" w:rsidRPr="00494E02" w:rsidRDefault="009A6E70" w:rsidP="00EB155C">
            <w:pPr>
              <w:pStyle w:val="TableText"/>
              <w:jc w:val="right"/>
              <w:rPr>
                <w:color w:val="000000" w:themeColor="text1"/>
              </w:rPr>
            </w:pPr>
            <w:r w:rsidRPr="00494E02">
              <w:t>308</w:t>
            </w:r>
          </w:p>
        </w:tc>
        <w:tc>
          <w:tcPr>
            <w:tcW w:w="746" w:type="pct"/>
          </w:tcPr>
          <w:p w14:paraId="4D04529A" w14:textId="77777777" w:rsidR="009A6E70" w:rsidRPr="00494E02" w:rsidRDefault="009A6E70" w:rsidP="00EB155C">
            <w:pPr>
              <w:pStyle w:val="TableText"/>
              <w:jc w:val="right"/>
              <w:rPr>
                <w:color w:val="000000" w:themeColor="text1"/>
              </w:rPr>
            </w:pPr>
            <w:r w:rsidRPr="00494E02">
              <w:t>0.6 (0.3,</w:t>
            </w:r>
            <w:r>
              <w:t xml:space="preserve"> </w:t>
            </w:r>
            <w:r w:rsidRPr="00494E02">
              <w:t>1.1)</w:t>
            </w:r>
          </w:p>
        </w:tc>
      </w:tr>
    </w:tbl>
    <w:p w14:paraId="2628CB1A" w14:textId="77777777" w:rsidR="009A6E70" w:rsidRPr="0065520F" w:rsidRDefault="009A6E70" w:rsidP="009A6E70">
      <w:pPr>
        <w:pStyle w:val="TableNotes"/>
      </w:pPr>
      <w:r w:rsidRPr="0065520F">
        <w:t>Notes</w:t>
      </w:r>
    </w:p>
    <w:p w14:paraId="06047B24" w14:textId="77777777" w:rsidR="009A6E70" w:rsidRPr="004C7947" w:rsidRDefault="009A6E70" w:rsidP="009A6E70">
      <w:pPr>
        <w:pStyle w:val="TableNotes"/>
      </w:pPr>
      <w:r w:rsidRPr="004C7947">
        <w:t>Denominator: Entire cohort</w:t>
      </w:r>
      <w:r>
        <w:t>.</w:t>
      </w:r>
    </w:p>
    <w:p w14:paraId="74F4CD9F" w14:textId="77777777" w:rsidR="009A6E70" w:rsidRPr="004C7947" w:rsidRDefault="009A6E70" w:rsidP="009A6E70">
      <w:pPr>
        <w:pStyle w:val="TableNotes"/>
      </w:pPr>
      <w:r w:rsidRPr="004C7947">
        <w:t>Based on weighted counts</w:t>
      </w:r>
      <w:r>
        <w:t>,</w:t>
      </w:r>
      <w:r w:rsidRPr="004C7947">
        <w:t xml:space="preserve"> 864 (3.5%) Transitioned ADF and 1874 (3.6%) 2015 Regular ADF had a missing value for this question.</w:t>
      </w:r>
      <w:r>
        <w:t xml:space="preserve"> </w:t>
      </w:r>
      <w:r w:rsidRPr="004C7947">
        <w:t>However, distributions are calculated by including those with a missing value to allow for correct weighted totals.</w:t>
      </w:r>
    </w:p>
    <w:p w14:paraId="6E8139C8" w14:textId="77777777" w:rsidR="009A6E70" w:rsidRDefault="009A6E70" w:rsidP="009A6E70">
      <w:pPr>
        <w:pStyle w:val="TableNotes"/>
      </w:pPr>
      <w:r w:rsidRPr="004C7947">
        <w:t>95%CI</w:t>
      </w:r>
      <w:r>
        <w:t xml:space="preserve"> =</w:t>
      </w:r>
      <w:r w:rsidRPr="004C7947">
        <w:t xml:space="preserve"> 95% </w:t>
      </w:r>
      <w:r>
        <w:t>confidence interval.</w:t>
      </w:r>
      <w:r w:rsidRPr="000D64BF">
        <w:t xml:space="preserve"> </w:t>
      </w:r>
    </w:p>
    <w:p w14:paraId="6E929295" w14:textId="6EBBF77E" w:rsidR="009A6E70" w:rsidRPr="00F34D76" w:rsidRDefault="009A6E70" w:rsidP="009A6E70">
      <w:pPr>
        <w:pStyle w:val="FigureName"/>
      </w:pPr>
      <w:bookmarkStart w:id="331" w:name="_Ref509909053"/>
      <w:bookmarkStart w:id="332" w:name="_Toc509922937"/>
      <w:bookmarkStart w:id="333" w:name="_Toc515374711"/>
      <w:bookmarkStart w:id="334" w:name="_Toc528932395"/>
      <w:bookmarkStart w:id="335" w:name="_Toc531858075"/>
      <w:r>
        <w:t xml:space="preserve">Figure </w:t>
      </w:r>
      <w:r>
        <w:rPr>
          <w:noProof/>
        </w:rPr>
        <w:t>4</w:t>
      </w:r>
      <w:r>
        <w:t>.</w:t>
      </w:r>
      <w:r>
        <w:rPr>
          <w:noProof/>
        </w:rPr>
        <w:t>3</w:t>
      </w:r>
      <w:bookmarkEnd w:id="331"/>
      <w:r>
        <w:tab/>
      </w:r>
      <w:r w:rsidRPr="00F65B2B">
        <w:t xml:space="preserve">Duration of </w:t>
      </w:r>
      <w:r>
        <w:t>internet</w:t>
      </w:r>
      <w:r w:rsidRPr="00F65B2B">
        <w:t xml:space="preserve"> usage on a normal work day among Transitioned ADF and 2015 Regular ADF</w:t>
      </w:r>
      <w:bookmarkEnd w:id="332"/>
      <w:bookmarkEnd w:id="333"/>
      <w:bookmarkEnd w:id="334"/>
      <w:bookmarkEnd w:id="335"/>
    </w:p>
    <w:p w14:paraId="080E51BF" w14:textId="77777777" w:rsidR="009A6E70" w:rsidRPr="00BF6E26" w:rsidRDefault="00BF6E26" w:rsidP="00BF6E26">
      <w:pPr>
        <w:spacing w:after="360"/>
      </w:pPr>
      <w:r w:rsidRPr="00D254D0">
        <w:rPr>
          <w:noProof/>
          <w:lang w:eastAsia="en-AU"/>
        </w:rPr>
        <w:drawing>
          <wp:inline distT="0" distB="0" distL="0" distR="0" wp14:anchorId="2B7BC277" wp14:editId="58F3B8AF">
            <wp:extent cx="4572000" cy="2381250"/>
            <wp:effectExtent l="0" t="0" r="0" b="0"/>
            <wp:docPr id="477" name="Picture 477" descr="Figure 4.3 Duration of internet usage on a normal work day among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althSciences\SPHCP\CTSS\DATA REPOSITORY\TWRP\REPORT 5\FIGURE_4_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14:paraId="2862CA5B" w14:textId="77777777" w:rsidR="009A6E70" w:rsidRPr="00964CA5" w:rsidRDefault="009A6E70" w:rsidP="009A6E70">
      <w:pPr>
        <w:pStyle w:val="Heading3"/>
        <w:numPr>
          <w:ilvl w:val="2"/>
          <w:numId w:val="1"/>
        </w:numPr>
      </w:pPr>
      <w:bookmarkStart w:id="336" w:name="_Toc509917428"/>
      <w:bookmarkStart w:id="337" w:name="_Toc515374470"/>
      <w:bookmarkStart w:id="338" w:name="_Toc518566359"/>
      <w:bookmarkStart w:id="339" w:name="_Toc528932655"/>
      <w:bookmarkStart w:id="340" w:name="_Toc531859192"/>
      <w:r>
        <w:t>Internet</w:t>
      </w:r>
      <w:r w:rsidRPr="00964CA5">
        <w:t xml:space="preserve"> use after 11</w:t>
      </w:r>
      <w:r>
        <w:t xml:space="preserve"> pm</w:t>
      </w:r>
      <w:bookmarkEnd w:id="336"/>
      <w:bookmarkEnd w:id="337"/>
      <w:bookmarkEnd w:id="338"/>
      <w:bookmarkEnd w:id="339"/>
      <w:bookmarkEnd w:id="340"/>
    </w:p>
    <w:p w14:paraId="70F9C0D9" w14:textId="77777777" w:rsidR="009A6E70" w:rsidRDefault="009A6E70" w:rsidP="009A6E70">
      <w:pPr>
        <w:rPr>
          <w:rFonts w:eastAsia="Times New Roman"/>
          <w:lang w:eastAsia="en-AU"/>
        </w:rPr>
      </w:pPr>
      <w:r>
        <w:t xml:space="preserve">Table </w:t>
      </w:r>
      <w:r>
        <w:rPr>
          <w:noProof/>
        </w:rPr>
        <w:t>4.4</w:t>
      </w:r>
      <w:r w:rsidRPr="00CC382F">
        <w:t xml:space="preserve"> </w:t>
      </w:r>
      <w:r>
        <w:t xml:space="preserve">and Figure </w:t>
      </w:r>
      <w:r>
        <w:rPr>
          <w:noProof/>
        </w:rPr>
        <w:t>4.4</w:t>
      </w:r>
      <w:r>
        <w:t xml:space="preserve"> </w:t>
      </w:r>
      <w:r w:rsidRPr="00CC382F">
        <w:t>present the proportion of Transitioned ADF and 2015 Regular ADF</w:t>
      </w:r>
      <w:r>
        <w:t xml:space="preserve"> who used the internet after 11 pm</w:t>
      </w:r>
      <w:r w:rsidRPr="00CC382F">
        <w:t xml:space="preserve">. </w:t>
      </w:r>
      <w:r>
        <w:t>The T</w:t>
      </w:r>
      <w:r w:rsidRPr="00CC382F">
        <w:t>ransitioned ADF were</w:t>
      </w:r>
      <w:r>
        <w:t xml:space="preserve"> </w:t>
      </w:r>
      <w:r>
        <w:rPr>
          <w:rFonts w:eastAsia="Times New Roman"/>
          <w:lang w:eastAsia="en-AU"/>
        </w:rPr>
        <w:t xml:space="preserve">significantly </w:t>
      </w:r>
      <w:r w:rsidRPr="00CC382F">
        <w:rPr>
          <w:rFonts w:eastAsia="Times New Roman"/>
          <w:lang w:eastAsia="en-AU"/>
        </w:rPr>
        <w:t>more likely to use</w:t>
      </w:r>
      <w:r w:rsidRPr="00CC382F">
        <w:t xml:space="preserve"> the </w:t>
      </w:r>
      <w:r>
        <w:t>internet</w:t>
      </w:r>
      <w:r w:rsidRPr="00CC382F">
        <w:t xml:space="preserve"> after 11</w:t>
      </w:r>
      <w:r>
        <w:t> pm</w:t>
      </w:r>
      <w:r w:rsidRPr="00CC382F">
        <w:t xml:space="preserve"> compared to the 2015 Regular ADF (33.1% vs 26.4%; </w:t>
      </w:r>
      <w:r w:rsidRPr="00CC382F">
        <w:rPr>
          <w:rFonts w:eastAsia="Times New Roman"/>
          <w:lang w:eastAsia="en-AU"/>
        </w:rPr>
        <w:t>OR 1.5, 95% CI 1.1,1.9)</w:t>
      </w:r>
      <w:r>
        <w:rPr>
          <w:rFonts w:eastAsia="Times New Roman"/>
          <w:lang w:eastAsia="en-AU"/>
        </w:rPr>
        <w:t>.</w:t>
      </w:r>
      <w:r w:rsidRPr="00CC382F">
        <w:rPr>
          <w:rFonts w:eastAsia="Times New Roman"/>
          <w:lang w:eastAsia="en-AU"/>
        </w:rPr>
        <w:t xml:space="preserve"> </w:t>
      </w:r>
    </w:p>
    <w:p w14:paraId="38684316" w14:textId="77777777" w:rsidR="009A6E70" w:rsidRDefault="009A6E70" w:rsidP="009A6E70">
      <w:pPr>
        <w:pStyle w:val="TableName"/>
      </w:pPr>
      <w:bookmarkStart w:id="341" w:name="_Ref508180921"/>
      <w:bookmarkStart w:id="342" w:name="_Toc509922864"/>
      <w:bookmarkStart w:id="343" w:name="_Toc515374639"/>
      <w:bookmarkStart w:id="344" w:name="_Toc528932313"/>
      <w:bookmarkStart w:id="345" w:name="_Toc531857992"/>
      <w:r>
        <w:t xml:space="preserve">Table </w:t>
      </w:r>
      <w:r>
        <w:rPr>
          <w:noProof/>
        </w:rPr>
        <w:t>4</w:t>
      </w:r>
      <w:r>
        <w:t>.</w:t>
      </w:r>
      <w:r>
        <w:rPr>
          <w:noProof/>
        </w:rPr>
        <w:t>4</w:t>
      </w:r>
      <w:bookmarkEnd w:id="341"/>
      <w:r>
        <w:tab/>
        <w:t>Estimated</w:t>
      </w:r>
      <w:r w:rsidRPr="00284FC7">
        <w:t xml:space="preserve"> </w:t>
      </w:r>
      <w:r>
        <w:t>p</w:t>
      </w:r>
      <w:r w:rsidRPr="00284FC7">
        <w:t xml:space="preserve">roportion of </w:t>
      </w:r>
      <w:r w:rsidRPr="001728F4">
        <w:t xml:space="preserve">Transitioned ADF </w:t>
      </w:r>
      <w:r>
        <w:t xml:space="preserve">and </w:t>
      </w:r>
      <w:r w:rsidRPr="001728F4">
        <w:t xml:space="preserve">2015 </w:t>
      </w:r>
      <w:r>
        <w:t xml:space="preserve">Regular </w:t>
      </w:r>
      <w:r w:rsidRPr="001728F4">
        <w:t>ADF</w:t>
      </w:r>
      <w:r>
        <w:t xml:space="preserve"> using the internet after </w:t>
      </w:r>
      <w:bookmarkEnd w:id="342"/>
      <w:bookmarkEnd w:id="343"/>
      <w:r>
        <w:t>11 pm</w:t>
      </w:r>
      <w:bookmarkEnd w:id="344"/>
      <w:bookmarkEnd w:id="345"/>
    </w:p>
    <w:tbl>
      <w:tblPr>
        <w:tblStyle w:val="TWRPTable"/>
        <w:tblW w:w="5000" w:type="pct"/>
        <w:tblLayout w:type="fixed"/>
        <w:tblCellMar>
          <w:left w:w="115" w:type="dxa"/>
          <w:right w:w="115" w:type="dxa"/>
        </w:tblCellMar>
        <w:tblLook w:val="0000" w:firstRow="0" w:lastRow="0" w:firstColumn="0" w:lastColumn="0" w:noHBand="0" w:noVBand="0"/>
        <w:tblDescription w:val="Table 4.4 Estimated proportion of Transitioned ADF and 2015 Regular ADF using the internet after 11 pm"/>
      </w:tblPr>
      <w:tblGrid>
        <w:gridCol w:w="2099"/>
        <w:gridCol w:w="498"/>
        <w:gridCol w:w="880"/>
        <w:gridCol w:w="1117"/>
        <w:gridCol w:w="498"/>
        <w:gridCol w:w="880"/>
        <w:gridCol w:w="1117"/>
      </w:tblGrid>
      <w:tr w:rsidR="009A6E70" w:rsidRPr="00B95AF7" w14:paraId="75D1BAA7" w14:textId="77777777" w:rsidTr="00BF6E26">
        <w:trPr>
          <w:cantSplit/>
          <w:tblHeader/>
        </w:trPr>
        <w:tc>
          <w:tcPr>
            <w:tcW w:w="1991" w:type="dxa"/>
            <w:tcBorders>
              <w:top w:val="single" w:sz="4" w:space="0" w:color="000000"/>
              <w:bottom w:val="nil"/>
            </w:tcBorders>
          </w:tcPr>
          <w:p w14:paraId="12E27F62" w14:textId="77777777" w:rsidR="009A6E70" w:rsidRPr="00494E02" w:rsidRDefault="009A6E70" w:rsidP="00EB155C">
            <w:pPr>
              <w:pStyle w:val="TableText"/>
            </w:pPr>
          </w:p>
        </w:tc>
        <w:tc>
          <w:tcPr>
            <w:tcW w:w="2366" w:type="dxa"/>
            <w:gridSpan w:val="3"/>
            <w:tcBorders>
              <w:top w:val="single" w:sz="4" w:space="0" w:color="000000"/>
              <w:bottom w:val="single" w:sz="4" w:space="0" w:color="000000"/>
            </w:tcBorders>
          </w:tcPr>
          <w:p w14:paraId="163D84A8" w14:textId="77777777" w:rsidR="009A6E70" w:rsidRPr="00964CA5" w:rsidRDefault="009A6E70" w:rsidP="00BF6E26">
            <w:pPr>
              <w:pStyle w:val="TableText"/>
              <w:jc w:val="center"/>
              <w:rPr>
                <w:b/>
              </w:rPr>
            </w:pPr>
            <w:r w:rsidRPr="00964CA5">
              <w:rPr>
                <w:b/>
                <w:bCs/>
              </w:rPr>
              <w:t>Transitioned ADF</w:t>
            </w:r>
            <w:r w:rsidR="00BF6E26">
              <w:rPr>
                <w:b/>
                <w:bCs/>
              </w:rPr>
              <w:br/>
            </w:r>
            <w:r w:rsidRPr="00964CA5">
              <w:rPr>
                <w:b/>
                <w:bCs/>
              </w:rPr>
              <w:t>n=24,932</w:t>
            </w:r>
          </w:p>
        </w:tc>
        <w:tc>
          <w:tcPr>
            <w:tcW w:w="2366" w:type="dxa"/>
            <w:gridSpan w:val="3"/>
            <w:tcBorders>
              <w:top w:val="single" w:sz="4" w:space="0" w:color="000000"/>
              <w:bottom w:val="single" w:sz="4" w:space="0" w:color="000000"/>
            </w:tcBorders>
          </w:tcPr>
          <w:p w14:paraId="5116E165" w14:textId="77777777" w:rsidR="009A6E70" w:rsidRPr="00964CA5" w:rsidRDefault="009A6E70" w:rsidP="00BF6E26">
            <w:pPr>
              <w:pStyle w:val="TableText"/>
              <w:jc w:val="center"/>
              <w:rPr>
                <w:rFonts w:asciiTheme="minorHAnsi" w:hAnsiTheme="minorHAnsi"/>
                <w:b/>
                <w:bCs/>
                <w:i/>
                <w:color w:val="000000" w:themeColor="text1"/>
              </w:rPr>
            </w:pPr>
            <w:r w:rsidRPr="00964CA5">
              <w:rPr>
                <w:b/>
                <w:bCs/>
              </w:rPr>
              <w:t>2015 Regular ADF</w:t>
            </w:r>
            <w:r w:rsidR="00BF6E26">
              <w:rPr>
                <w:b/>
                <w:bCs/>
              </w:rPr>
              <w:br/>
            </w:r>
            <w:r w:rsidRPr="00964CA5">
              <w:rPr>
                <w:b/>
                <w:bCs/>
              </w:rPr>
              <w:t>n=52,500</w:t>
            </w:r>
          </w:p>
        </w:tc>
      </w:tr>
      <w:tr w:rsidR="009A6E70" w:rsidRPr="00B95AF7" w14:paraId="5F95BA47" w14:textId="77777777" w:rsidTr="00BF6E26">
        <w:trPr>
          <w:cantSplit/>
          <w:tblHeader/>
        </w:trPr>
        <w:tc>
          <w:tcPr>
            <w:tcW w:w="1991" w:type="dxa"/>
            <w:tcBorders>
              <w:top w:val="nil"/>
              <w:bottom w:val="single" w:sz="4" w:space="0" w:color="000000"/>
            </w:tcBorders>
          </w:tcPr>
          <w:p w14:paraId="09F28624" w14:textId="77777777" w:rsidR="009A6E70" w:rsidRPr="00494E02" w:rsidRDefault="009A6E70" w:rsidP="00EB155C">
            <w:pPr>
              <w:pStyle w:val="TableText"/>
            </w:pPr>
          </w:p>
        </w:tc>
        <w:tc>
          <w:tcPr>
            <w:tcW w:w="472" w:type="dxa"/>
            <w:tcBorders>
              <w:top w:val="single" w:sz="4" w:space="0" w:color="000000"/>
              <w:bottom w:val="single" w:sz="4" w:space="0" w:color="000000"/>
            </w:tcBorders>
          </w:tcPr>
          <w:p w14:paraId="3810D517" w14:textId="77777777" w:rsidR="009A6E70" w:rsidRPr="00964CA5" w:rsidRDefault="009A6E70" w:rsidP="00EB155C">
            <w:pPr>
              <w:pStyle w:val="TableText"/>
              <w:jc w:val="right"/>
              <w:rPr>
                <w:b/>
              </w:rPr>
            </w:pPr>
            <w:r w:rsidRPr="00964CA5">
              <w:rPr>
                <w:b/>
              </w:rPr>
              <w:t>n</w:t>
            </w:r>
          </w:p>
        </w:tc>
        <w:tc>
          <w:tcPr>
            <w:tcW w:w="835" w:type="dxa"/>
            <w:tcBorders>
              <w:top w:val="single" w:sz="4" w:space="0" w:color="000000"/>
              <w:bottom w:val="single" w:sz="4" w:space="0" w:color="000000"/>
            </w:tcBorders>
          </w:tcPr>
          <w:p w14:paraId="78CBAE2A" w14:textId="77777777" w:rsidR="009A6E70" w:rsidRPr="00964CA5" w:rsidRDefault="009A6E70" w:rsidP="00EB155C">
            <w:pPr>
              <w:pStyle w:val="TableText"/>
              <w:jc w:val="right"/>
              <w:rPr>
                <w:b/>
              </w:rPr>
            </w:pPr>
            <w:r w:rsidRPr="00964CA5">
              <w:rPr>
                <w:b/>
              </w:rPr>
              <w:t>Weighted n</w:t>
            </w:r>
          </w:p>
        </w:tc>
        <w:tc>
          <w:tcPr>
            <w:tcW w:w="1059" w:type="dxa"/>
            <w:tcBorders>
              <w:top w:val="single" w:sz="4" w:space="0" w:color="000000"/>
              <w:bottom w:val="single" w:sz="4" w:space="0" w:color="000000"/>
            </w:tcBorders>
          </w:tcPr>
          <w:p w14:paraId="38E58728" w14:textId="77777777" w:rsidR="009A6E70" w:rsidRPr="00964CA5" w:rsidRDefault="009A6E70" w:rsidP="00EB155C">
            <w:pPr>
              <w:pStyle w:val="TableText"/>
              <w:jc w:val="right"/>
              <w:rPr>
                <w:b/>
              </w:rPr>
            </w:pPr>
            <w:r w:rsidRPr="00964CA5">
              <w:rPr>
                <w:b/>
              </w:rPr>
              <w:t>% (95%CI)</w:t>
            </w:r>
          </w:p>
        </w:tc>
        <w:tc>
          <w:tcPr>
            <w:tcW w:w="472" w:type="dxa"/>
            <w:tcBorders>
              <w:top w:val="single" w:sz="4" w:space="0" w:color="000000"/>
              <w:bottom w:val="single" w:sz="4" w:space="0" w:color="000000"/>
            </w:tcBorders>
          </w:tcPr>
          <w:p w14:paraId="587ED3C9" w14:textId="77777777" w:rsidR="009A6E70" w:rsidRPr="00964CA5" w:rsidRDefault="009A6E70" w:rsidP="00EB155C">
            <w:pPr>
              <w:pStyle w:val="TableText"/>
              <w:jc w:val="right"/>
              <w:rPr>
                <w:b/>
              </w:rPr>
            </w:pPr>
            <w:r w:rsidRPr="00964CA5">
              <w:rPr>
                <w:b/>
              </w:rPr>
              <w:t>n</w:t>
            </w:r>
          </w:p>
        </w:tc>
        <w:tc>
          <w:tcPr>
            <w:tcW w:w="835" w:type="dxa"/>
            <w:tcBorders>
              <w:top w:val="single" w:sz="4" w:space="0" w:color="000000"/>
              <w:bottom w:val="single" w:sz="4" w:space="0" w:color="000000"/>
            </w:tcBorders>
          </w:tcPr>
          <w:p w14:paraId="148FA016" w14:textId="77777777" w:rsidR="009A6E70" w:rsidRPr="00964CA5" w:rsidRDefault="009A6E70" w:rsidP="00EB155C">
            <w:pPr>
              <w:pStyle w:val="TableText"/>
              <w:jc w:val="right"/>
              <w:rPr>
                <w:b/>
              </w:rPr>
            </w:pPr>
            <w:r w:rsidRPr="00964CA5">
              <w:rPr>
                <w:b/>
              </w:rPr>
              <w:t>Weighted n</w:t>
            </w:r>
          </w:p>
        </w:tc>
        <w:tc>
          <w:tcPr>
            <w:tcW w:w="1059" w:type="dxa"/>
            <w:tcBorders>
              <w:top w:val="single" w:sz="4" w:space="0" w:color="000000"/>
              <w:bottom w:val="single" w:sz="4" w:space="0" w:color="000000"/>
            </w:tcBorders>
          </w:tcPr>
          <w:p w14:paraId="64FD2C34" w14:textId="77777777" w:rsidR="009A6E70" w:rsidRPr="00964CA5" w:rsidRDefault="009A6E70" w:rsidP="00EB155C">
            <w:pPr>
              <w:pStyle w:val="TableText"/>
              <w:jc w:val="right"/>
              <w:rPr>
                <w:b/>
              </w:rPr>
            </w:pPr>
            <w:r w:rsidRPr="00964CA5">
              <w:rPr>
                <w:b/>
              </w:rPr>
              <w:t>% (95%CI)</w:t>
            </w:r>
          </w:p>
        </w:tc>
      </w:tr>
      <w:tr w:rsidR="009A6E70" w:rsidRPr="00B95AF7" w14:paraId="4483BB17"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991" w:type="dxa"/>
            <w:tcBorders>
              <w:top w:val="single" w:sz="4" w:space="0" w:color="000000"/>
            </w:tcBorders>
          </w:tcPr>
          <w:p w14:paraId="0E182B82" w14:textId="77777777" w:rsidR="009A6E70" w:rsidRPr="00494E02" w:rsidRDefault="009A6E70" w:rsidP="00EB155C">
            <w:pPr>
              <w:pStyle w:val="TableText"/>
              <w:rPr>
                <w:bCs/>
                <w:color w:val="000000" w:themeColor="text1"/>
              </w:rPr>
            </w:pPr>
            <w:r w:rsidRPr="00494E02">
              <w:t xml:space="preserve">No, do not use </w:t>
            </w:r>
            <w:r>
              <w:t>internet</w:t>
            </w:r>
            <w:r w:rsidRPr="00494E02">
              <w:t xml:space="preserve"> after 11</w:t>
            </w:r>
            <w:r>
              <w:t xml:space="preserve"> pm</w:t>
            </w:r>
          </w:p>
        </w:tc>
        <w:tc>
          <w:tcPr>
            <w:tcW w:w="472" w:type="dxa"/>
            <w:tcBorders>
              <w:top w:val="single" w:sz="4" w:space="0" w:color="000000"/>
            </w:tcBorders>
          </w:tcPr>
          <w:p w14:paraId="5049DB6A" w14:textId="77777777" w:rsidR="009A6E70" w:rsidRPr="00494E02" w:rsidRDefault="009A6E70" w:rsidP="00EB155C">
            <w:pPr>
              <w:pStyle w:val="TableText"/>
              <w:jc w:val="right"/>
            </w:pPr>
            <w:r w:rsidRPr="00494E02">
              <w:t>2510</w:t>
            </w:r>
          </w:p>
        </w:tc>
        <w:tc>
          <w:tcPr>
            <w:tcW w:w="835" w:type="dxa"/>
            <w:tcBorders>
              <w:top w:val="single" w:sz="4" w:space="0" w:color="000000"/>
            </w:tcBorders>
          </w:tcPr>
          <w:p w14:paraId="3C734C65" w14:textId="77777777" w:rsidR="009A6E70" w:rsidRPr="00494E02" w:rsidRDefault="009A6E70" w:rsidP="00EB155C">
            <w:pPr>
              <w:pStyle w:val="TableText"/>
              <w:jc w:val="right"/>
            </w:pPr>
            <w:r w:rsidRPr="00494E02">
              <w:t>16</w:t>
            </w:r>
            <w:r>
              <w:t>,</w:t>
            </w:r>
            <w:r w:rsidRPr="00494E02">
              <w:t>542</w:t>
            </w:r>
          </w:p>
        </w:tc>
        <w:tc>
          <w:tcPr>
            <w:tcW w:w="1059" w:type="dxa"/>
            <w:tcBorders>
              <w:top w:val="single" w:sz="4" w:space="0" w:color="000000"/>
            </w:tcBorders>
          </w:tcPr>
          <w:p w14:paraId="2E46A532" w14:textId="77777777" w:rsidR="009A6E70" w:rsidRPr="00494E02" w:rsidRDefault="009A6E70" w:rsidP="00EB155C">
            <w:pPr>
              <w:pStyle w:val="TableText"/>
              <w:jc w:val="right"/>
            </w:pPr>
            <w:r w:rsidRPr="00494E02">
              <w:t>66.3 (64.3,</w:t>
            </w:r>
            <w:r>
              <w:t xml:space="preserve"> </w:t>
            </w:r>
            <w:r w:rsidRPr="00494E02">
              <w:t>68.3)</w:t>
            </w:r>
          </w:p>
        </w:tc>
        <w:tc>
          <w:tcPr>
            <w:tcW w:w="472" w:type="dxa"/>
            <w:tcBorders>
              <w:top w:val="single" w:sz="4" w:space="0" w:color="000000"/>
            </w:tcBorders>
          </w:tcPr>
          <w:p w14:paraId="673C3538" w14:textId="77777777" w:rsidR="009A6E70" w:rsidRPr="00494E02" w:rsidRDefault="009A6E70" w:rsidP="00EB155C">
            <w:pPr>
              <w:pStyle w:val="TableText"/>
              <w:jc w:val="right"/>
            </w:pPr>
            <w:r w:rsidRPr="00494E02">
              <w:t>5721</w:t>
            </w:r>
          </w:p>
        </w:tc>
        <w:tc>
          <w:tcPr>
            <w:tcW w:w="835" w:type="dxa"/>
            <w:tcBorders>
              <w:top w:val="single" w:sz="4" w:space="0" w:color="000000"/>
            </w:tcBorders>
          </w:tcPr>
          <w:p w14:paraId="0BD29F2E" w14:textId="77777777" w:rsidR="009A6E70" w:rsidRPr="00494E02" w:rsidRDefault="009A6E70" w:rsidP="00EB155C">
            <w:pPr>
              <w:pStyle w:val="TableText"/>
              <w:jc w:val="right"/>
            </w:pPr>
            <w:r w:rsidRPr="00494E02">
              <w:t>38</w:t>
            </w:r>
            <w:r>
              <w:t>,</w:t>
            </w:r>
            <w:r w:rsidRPr="00494E02">
              <w:t>300</w:t>
            </w:r>
          </w:p>
        </w:tc>
        <w:tc>
          <w:tcPr>
            <w:tcW w:w="1059" w:type="dxa"/>
            <w:tcBorders>
              <w:top w:val="single" w:sz="4" w:space="0" w:color="000000"/>
            </w:tcBorders>
          </w:tcPr>
          <w:p w14:paraId="2A316887" w14:textId="77777777" w:rsidR="009A6E70" w:rsidRPr="00494E02" w:rsidRDefault="009A6E70" w:rsidP="00EB155C">
            <w:pPr>
              <w:pStyle w:val="TableText"/>
              <w:jc w:val="right"/>
            </w:pPr>
            <w:r w:rsidRPr="00494E02">
              <w:t>73.0 (68.9,</w:t>
            </w:r>
            <w:r>
              <w:t xml:space="preserve"> </w:t>
            </w:r>
            <w:r w:rsidRPr="00494E02">
              <w:t>76.7)</w:t>
            </w:r>
          </w:p>
        </w:tc>
      </w:tr>
      <w:tr w:rsidR="009A6E70" w:rsidRPr="00B95AF7" w14:paraId="0AE15F42" w14:textId="77777777" w:rsidTr="00BF6E26">
        <w:trPr>
          <w:cantSplit/>
        </w:trPr>
        <w:tc>
          <w:tcPr>
            <w:tcW w:w="1991" w:type="dxa"/>
          </w:tcPr>
          <w:p w14:paraId="0CAD361A" w14:textId="77777777" w:rsidR="009A6E70" w:rsidRPr="00494E02" w:rsidRDefault="009A6E70" w:rsidP="00EB155C">
            <w:pPr>
              <w:pStyle w:val="TableText"/>
              <w:rPr>
                <w:bCs/>
                <w:color w:val="000000" w:themeColor="text1"/>
              </w:rPr>
            </w:pPr>
            <w:r w:rsidRPr="00494E02">
              <w:t xml:space="preserve">Yes, use </w:t>
            </w:r>
            <w:r>
              <w:t xml:space="preserve">internet </w:t>
            </w:r>
            <w:r w:rsidRPr="00494E02">
              <w:t xml:space="preserve">after </w:t>
            </w:r>
            <w:r>
              <w:t>11 pm</w:t>
            </w:r>
          </w:p>
        </w:tc>
        <w:tc>
          <w:tcPr>
            <w:tcW w:w="472" w:type="dxa"/>
          </w:tcPr>
          <w:p w14:paraId="6C0147A1" w14:textId="77777777" w:rsidR="009A6E70" w:rsidRPr="00494E02" w:rsidRDefault="009A6E70" w:rsidP="00EB155C">
            <w:pPr>
              <w:pStyle w:val="TableText"/>
              <w:jc w:val="right"/>
            </w:pPr>
            <w:r w:rsidRPr="00494E02">
              <w:t>1016</w:t>
            </w:r>
          </w:p>
        </w:tc>
        <w:tc>
          <w:tcPr>
            <w:tcW w:w="835" w:type="dxa"/>
          </w:tcPr>
          <w:p w14:paraId="0825D092" w14:textId="77777777" w:rsidR="009A6E70" w:rsidRPr="00494E02" w:rsidRDefault="009A6E70" w:rsidP="00EB155C">
            <w:pPr>
              <w:pStyle w:val="TableText"/>
              <w:jc w:val="right"/>
            </w:pPr>
            <w:r w:rsidRPr="00494E02">
              <w:t>8260</w:t>
            </w:r>
          </w:p>
        </w:tc>
        <w:tc>
          <w:tcPr>
            <w:tcW w:w="1059" w:type="dxa"/>
          </w:tcPr>
          <w:p w14:paraId="2DBF25DD" w14:textId="77777777" w:rsidR="009A6E70" w:rsidRPr="00494E02" w:rsidRDefault="009A6E70" w:rsidP="00EB155C">
            <w:pPr>
              <w:pStyle w:val="TableText"/>
              <w:jc w:val="right"/>
            </w:pPr>
            <w:r w:rsidRPr="00494E02">
              <w:t>33.1 (31.1,</w:t>
            </w:r>
            <w:r>
              <w:t xml:space="preserve"> </w:t>
            </w:r>
            <w:r w:rsidRPr="00494E02">
              <w:t>35.2)</w:t>
            </w:r>
          </w:p>
        </w:tc>
        <w:tc>
          <w:tcPr>
            <w:tcW w:w="472" w:type="dxa"/>
          </w:tcPr>
          <w:p w14:paraId="191C6B4D" w14:textId="77777777" w:rsidR="009A6E70" w:rsidRPr="00494E02" w:rsidRDefault="009A6E70" w:rsidP="00EB155C">
            <w:pPr>
              <w:pStyle w:val="TableText"/>
              <w:jc w:val="right"/>
            </w:pPr>
            <w:r w:rsidRPr="00494E02">
              <w:t>1587</w:t>
            </w:r>
          </w:p>
        </w:tc>
        <w:tc>
          <w:tcPr>
            <w:tcW w:w="835" w:type="dxa"/>
          </w:tcPr>
          <w:p w14:paraId="724D1E8B" w14:textId="77777777" w:rsidR="009A6E70" w:rsidRPr="00494E02" w:rsidRDefault="009A6E70" w:rsidP="00EB155C">
            <w:pPr>
              <w:pStyle w:val="TableText"/>
              <w:jc w:val="right"/>
            </w:pPr>
            <w:r w:rsidRPr="00494E02">
              <w:t>13</w:t>
            </w:r>
            <w:r>
              <w:t>,</w:t>
            </w:r>
            <w:r w:rsidRPr="00494E02">
              <w:t>882</w:t>
            </w:r>
          </w:p>
        </w:tc>
        <w:tc>
          <w:tcPr>
            <w:tcW w:w="1059" w:type="dxa"/>
          </w:tcPr>
          <w:p w14:paraId="1399B5D5" w14:textId="77777777" w:rsidR="009A6E70" w:rsidRPr="00494E02" w:rsidRDefault="009A6E70" w:rsidP="00EB155C">
            <w:pPr>
              <w:pStyle w:val="TableText"/>
              <w:jc w:val="right"/>
            </w:pPr>
            <w:r w:rsidRPr="00494E02">
              <w:t>26.4 (22.7,</w:t>
            </w:r>
            <w:r>
              <w:t xml:space="preserve"> </w:t>
            </w:r>
            <w:r w:rsidRPr="00494E02">
              <w:t>30.5)</w:t>
            </w:r>
          </w:p>
        </w:tc>
      </w:tr>
    </w:tbl>
    <w:p w14:paraId="03102745" w14:textId="77777777" w:rsidR="009A6E70" w:rsidRPr="0065520F" w:rsidRDefault="009A6E70" w:rsidP="009A6E70">
      <w:pPr>
        <w:pStyle w:val="TableNotes"/>
      </w:pPr>
      <w:r w:rsidRPr="0065520F">
        <w:t>Notes</w:t>
      </w:r>
    </w:p>
    <w:p w14:paraId="1DBF2FB3" w14:textId="77777777" w:rsidR="009A6E70" w:rsidRPr="00DE7432" w:rsidRDefault="009A6E70" w:rsidP="009A6E70">
      <w:pPr>
        <w:pStyle w:val="TableNotes"/>
      </w:pPr>
      <w:r w:rsidRPr="00DE7432">
        <w:t>Denominator: Entire cohort</w:t>
      </w:r>
      <w:r>
        <w:t>.</w:t>
      </w:r>
    </w:p>
    <w:p w14:paraId="4A95B142" w14:textId="77777777" w:rsidR="009A6E70" w:rsidRPr="004C7947" w:rsidRDefault="009A6E70" w:rsidP="009A6E70">
      <w:pPr>
        <w:pStyle w:val="TableNotes"/>
      </w:pPr>
      <w:r w:rsidRPr="00DE7432">
        <w:t>Based on weighted counts</w:t>
      </w:r>
      <w:r>
        <w:t>,</w:t>
      </w:r>
      <w:r w:rsidRPr="00DE7432">
        <w:t xml:space="preserve"> 130 (0.5%) Transitioned ADF and 318 (0.6%) 2015 Regular ADF had a missing value for this question.</w:t>
      </w:r>
      <w:r>
        <w:t xml:space="preserve"> </w:t>
      </w:r>
      <w:r w:rsidRPr="004C7947">
        <w:t>However, distributions are calculated by including those with a missing value to allow for correct weighted totals.</w:t>
      </w:r>
    </w:p>
    <w:p w14:paraId="6BBE098A" w14:textId="77777777" w:rsidR="009A6E70" w:rsidRPr="004C7947" w:rsidRDefault="009A6E70" w:rsidP="009A6E70">
      <w:pPr>
        <w:pStyle w:val="TableNotes"/>
      </w:pPr>
      <w:r w:rsidRPr="004C7947">
        <w:t>95%CI</w:t>
      </w:r>
      <w:r>
        <w:t xml:space="preserve"> =</w:t>
      </w:r>
      <w:r w:rsidRPr="004C7947">
        <w:t xml:space="preserve"> 95% </w:t>
      </w:r>
      <w:r>
        <w:t>confidence interval.</w:t>
      </w:r>
      <w:r w:rsidRPr="004C7947">
        <w:t xml:space="preserve"> </w:t>
      </w:r>
    </w:p>
    <w:p w14:paraId="7480E7CB" w14:textId="77777777" w:rsidR="009A6E70" w:rsidRDefault="009A6E70" w:rsidP="009A6E70">
      <w:pPr>
        <w:pStyle w:val="TableNotes"/>
      </w:pPr>
      <w:r w:rsidRPr="004C7947">
        <w:t>For a full description of odds ratios, interpretation and strength of association</w:t>
      </w:r>
      <w:r>
        <w:t>,</w:t>
      </w:r>
      <w:r w:rsidRPr="004C7947">
        <w:t xml:space="preserve"> please refer to Table B.1 </w:t>
      </w:r>
      <w:r w:rsidRPr="00BB1B84">
        <w:t xml:space="preserve">in </w:t>
      </w:r>
      <w:r>
        <w:t>A</w:t>
      </w:r>
      <w:r w:rsidR="00374073">
        <w:t>nnex </w:t>
      </w:r>
      <w:r>
        <w:t>B, Odds ratio table.</w:t>
      </w:r>
    </w:p>
    <w:p w14:paraId="10494FE9" w14:textId="3C12891F" w:rsidR="009A6E70" w:rsidRPr="0082496F" w:rsidRDefault="009A6E70" w:rsidP="009A6E70">
      <w:pPr>
        <w:pStyle w:val="FigureName"/>
      </w:pPr>
      <w:bookmarkStart w:id="346" w:name="_Ref508180983"/>
      <w:bookmarkStart w:id="347" w:name="_Toc509922938"/>
      <w:bookmarkStart w:id="348" w:name="_Toc515374712"/>
      <w:bookmarkStart w:id="349" w:name="_Toc528932396"/>
      <w:bookmarkStart w:id="350" w:name="_Toc531858076"/>
      <w:r>
        <w:t xml:space="preserve">Figure </w:t>
      </w:r>
      <w:r>
        <w:rPr>
          <w:noProof/>
        </w:rPr>
        <w:t>4</w:t>
      </w:r>
      <w:r>
        <w:t>.</w:t>
      </w:r>
      <w:r>
        <w:rPr>
          <w:noProof/>
        </w:rPr>
        <w:t>4</w:t>
      </w:r>
      <w:bookmarkStart w:id="351" w:name="_Ref508180942"/>
      <w:bookmarkEnd w:id="346"/>
      <w:r>
        <w:tab/>
        <w:t>Estimated</w:t>
      </w:r>
      <w:r w:rsidRPr="00284FC7">
        <w:t xml:space="preserve"> </w:t>
      </w:r>
      <w:r>
        <w:t>p</w:t>
      </w:r>
      <w:r w:rsidRPr="00284FC7">
        <w:t>roportion</w:t>
      </w:r>
      <w:r>
        <w:t>s</w:t>
      </w:r>
      <w:r w:rsidRPr="00284FC7">
        <w:t xml:space="preserve"> of </w:t>
      </w:r>
      <w:r>
        <w:t xml:space="preserve">internet usage after 11 pm in </w:t>
      </w:r>
      <w:r w:rsidRPr="001728F4">
        <w:t xml:space="preserve">Transitioned ADF </w:t>
      </w:r>
      <w:r>
        <w:t xml:space="preserve">and </w:t>
      </w:r>
      <w:r w:rsidRPr="001728F4">
        <w:t xml:space="preserve">2015 </w:t>
      </w:r>
      <w:r>
        <w:t xml:space="preserve">Regular </w:t>
      </w:r>
      <w:r w:rsidRPr="001728F4">
        <w:t>ADF</w:t>
      </w:r>
      <w:bookmarkEnd w:id="347"/>
      <w:bookmarkEnd w:id="348"/>
      <w:bookmarkEnd w:id="349"/>
      <w:bookmarkEnd w:id="350"/>
      <w:bookmarkEnd w:id="351"/>
    </w:p>
    <w:p w14:paraId="678B462E" w14:textId="77777777" w:rsidR="009A6E70" w:rsidRDefault="00BF6E26" w:rsidP="009A6E70">
      <w:pPr>
        <w:rPr>
          <w:lang w:eastAsia="en-AU"/>
        </w:rPr>
      </w:pPr>
      <w:r w:rsidRPr="00D254D0">
        <w:rPr>
          <w:noProof/>
          <w:lang w:eastAsia="en-AU"/>
        </w:rPr>
        <w:drawing>
          <wp:inline distT="0" distB="0" distL="0" distR="0" wp14:anchorId="3FFC9298" wp14:editId="48156F46">
            <wp:extent cx="4572000" cy="2375247"/>
            <wp:effectExtent l="0" t="0" r="0" b="6350"/>
            <wp:docPr id="32" name="Picture 32" descr="Figure 4.4 Estimated proportions of internet usage after 11 pm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ealthSciences\SPHCP\CTSS\DATA REPOSITORY\TWRP\REPORT 5\FIGURE_4_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2375247"/>
                    </a:xfrm>
                    <a:prstGeom prst="rect">
                      <a:avLst/>
                    </a:prstGeom>
                    <a:noFill/>
                    <a:ln>
                      <a:noFill/>
                    </a:ln>
                  </pic:spPr>
                </pic:pic>
              </a:graphicData>
            </a:graphic>
          </wp:inline>
        </w:drawing>
      </w:r>
    </w:p>
    <w:p w14:paraId="651036D0" w14:textId="77777777" w:rsidR="009A6E70" w:rsidRPr="00964CA5" w:rsidRDefault="009A6E70" w:rsidP="009A6E70">
      <w:pPr>
        <w:pStyle w:val="Heading2"/>
        <w:numPr>
          <w:ilvl w:val="1"/>
          <w:numId w:val="1"/>
        </w:numPr>
        <w:ind w:left="720" w:hanging="720"/>
      </w:pPr>
      <w:bookmarkStart w:id="352" w:name="_Toc518566360"/>
      <w:bookmarkStart w:id="353" w:name="_Toc528932656"/>
      <w:bookmarkStart w:id="354" w:name="_Toc531859193"/>
      <w:bookmarkStart w:id="355" w:name="_Toc385859330"/>
      <w:bookmarkStart w:id="356" w:name="_Toc509917429"/>
      <w:bookmarkStart w:id="357" w:name="_Toc515374471"/>
      <w:r w:rsidRPr="00964CA5">
        <w:t xml:space="preserve">Attitudes to using the </w:t>
      </w:r>
      <w:r>
        <w:t>internet</w:t>
      </w:r>
      <w:r w:rsidRPr="00964CA5">
        <w:t xml:space="preserve"> in Transitioned </w:t>
      </w:r>
      <w:r>
        <w:t xml:space="preserve">ADF </w:t>
      </w:r>
      <w:r w:rsidRPr="00964CA5">
        <w:t>and 2015 Regular ADF</w:t>
      </w:r>
      <w:bookmarkEnd w:id="352"/>
      <w:bookmarkEnd w:id="353"/>
      <w:bookmarkEnd w:id="354"/>
      <w:r w:rsidRPr="00964CA5">
        <w:t xml:space="preserve"> </w:t>
      </w:r>
      <w:bookmarkEnd w:id="355"/>
    </w:p>
    <w:p w14:paraId="3A13BD2D" w14:textId="77777777" w:rsidR="009A6E70" w:rsidRPr="00964CA5" w:rsidRDefault="009A6E70" w:rsidP="009A6E70">
      <w:pPr>
        <w:pStyle w:val="Heading3"/>
        <w:numPr>
          <w:ilvl w:val="2"/>
          <w:numId w:val="1"/>
        </w:numPr>
      </w:pPr>
      <w:bookmarkStart w:id="358" w:name="_Toc509917430"/>
      <w:bookmarkStart w:id="359" w:name="_Toc515374472"/>
      <w:bookmarkStart w:id="360" w:name="_Toc518566361"/>
      <w:bookmarkStart w:id="361" w:name="_Toc528932657"/>
      <w:bookmarkStart w:id="362" w:name="_Toc531859194"/>
      <w:bookmarkEnd w:id="356"/>
      <w:bookmarkEnd w:id="357"/>
      <w:r w:rsidRPr="00964CA5">
        <w:t>Easier to be myself online than face to face</w:t>
      </w:r>
      <w:bookmarkEnd w:id="358"/>
      <w:bookmarkEnd w:id="359"/>
      <w:bookmarkEnd w:id="360"/>
      <w:bookmarkEnd w:id="361"/>
      <w:bookmarkEnd w:id="362"/>
    </w:p>
    <w:p w14:paraId="224D4B9B" w14:textId="77777777" w:rsidR="009A6E70" w:rsidRDefault="009A6E70" w:rsidP="009A6E70">
      <w:pPr>
        <w:rPr>
          <w:rFonts w:eastAsia="Times New Roman"/>
          <w:lang w:eastAsia="en-AU"/>
        </w:rPr>
      </w:pPr>
      <w:r>
        <w:t xml:space="preserve">Approximately 20–25% of the </w:t>
      </w:r>
      <w:r w:rsidRPr="00A0121A">
        <w:t xml:space="preserve">Transitioned ADF and 2015 Regular ADF </w:t>
      </w:r>
      <w:r>
        <w:t xml:space="preserve">indicated they found it easier to be themselves when they were online than when they were with people face to face (Table </w:t>
      </w:r>
      <w:r>
        <w:rPr>
          <w:noProof/>
        </w:rPr>
        <w:t>4.5</w:t>
      </w:r>
      <w:r>
        <w:t xml:space="preserve"> </w:t>
      </w:r>
      <w:r w:rsidRPr="00A0121A">
        <w:t xml:space="preserve">and </w:t>
      </w:r>
      <w:r>
        <w:t xml:space="preserve">Figure </w:t>
      </w:r>
      <w:r>
        <w:rPr>
          <w:noProof/>
        </w:rPr>
        <w:t>4.5</w:t>
      </w:r>
      <w:r>
        <w:t xml:space="preserve">). </w:t>
      </w:r>
      <w:r w:rsidRPr="00CC382F">
        <w:t>Transitioned ADF were</w:t>
      </w:r>
      <w:r>
        <w:t xml:space="preserve"> </w:t>
      </w:r>
      <w:r>
        <w:rPr>
          <w:rFonts w:eastAsia="Times New Roman"/>
          <w:lang w:eastAsia="en-AU"/>
        </w:rPr>
        <w:t xml:space="preserve">significantly </w:t>
      </w:r>
      <w:r w:rsidRPr="00CC382F">
        <w:rPr>
          <w:rFonts w:eastAsia="Times New Roman"/>
          <w:lang w:eastAsia="en-AU"/>
        </w:rPr>
        <w:t xml:space="preserve">more likely to </w:t>
      </w:r>
      <w:r>
        <w:t>report that they found it easier to be themselves when they were online than when they were with people face to face</w:t>
      </w:r>
      <w:r w:rsidRPr="00CC382F">
        <w:t xml:space="preserve"> compared to the 2015 Regular ADF (</w:t>
      </w:r>
      <w:r>
        <w:t>26.2</w:t>
      </w:r>
      <w:r w:rsidRPr="00CC382F">
        <w:t xml:space="preserve">% vs </w:t>
      </w:r>
      <w:r>
        <w:t>19.9</w:t>
      </w:r>
      <w:r w:rsidRPr="00CC382F">
        <w:t xml:space="preserve">%; </w:t>
      </w:r>
      <w:r w:rsidRPr="00CC382F">
        <w:rPr>
          <w:rFonts w:eastAsia="Times New Roman"/>
          <w:lang w:eastAsia="en-AU"/>
        </w:rPr>
        <w:t>OR 1.</w:t>
      </w:r>
      <w:r>
        <w:rPr>
          <w:rFonts w:eastAsia="Times New Roman"/>
          <w:lang w:eastAsia="en-AU"/>
        </w:rPr>
        <w:t>4</w:t>
      </w:r>
      <w:r w:rsidRPr="00CC382F">
        <w:rPr>
          <w:rFonts w:eastAsia="Times New Roman"/>
          <w:lang w:eastAsia="en-AU"/>
        </w:rPr>
        <w:t>, 95% CI 1.1,</w:t>
      </w:r>
      <w:r>
        <w:rPr>
          <w:rFonts w:eastAsia="Times New Roman"/>
          <w:lang w:eastAsia="en-AU"/>
        </w:rPr>
        <w:t xml:space="preserve"> </w:t>
      </w:r>
      <w:r w:rsidRPr="00CC382F">
        <w:rPr>
          <w:rFonts w:eastAsia="Times New Roman"/>
          <w:lang w:eastAsia="en-AU"/>
        </w:rPr>
        <w:t>1.9)</w:t>
      </w:r>
      <w:r>
        <w:rPr>
          <w:rFonts w:eastAsia="Times New Roman"/>
          <w:lang w:eastAsia="en-AU"/>
        </w:rPr>
        <w:t>.</w:t>
      </w:r>
      <w:r w:rsidRPr="00CC382F">
        <w:rPr>
          <w:rFonts w:eastAsia="Times New Roman"/>
          <w:lang w:eastAsia="en-AU"/>
        </w:rPr>
        <w:t xml:space="preserve"> </w:t>
      </w:r>
    </w:p>
    <w:p w14:paraId="0A5A2E23" w14:textId="77777777" w:rsidR="009A6E70" w:rsidRDefault="009A6E70" w:rsidP="009A6E70">
      <w:pPr>
        <w:pStyle w:val="TableName"/>
      </w:pPr>
      <w:bookmarkStart w:id="363" w:name="_Ref508181019"/>
      <w:bookmarkStart w:id="364" w:name="_Toc509922865"/>
      <w:bookmarkStart w:id="365" w:name="_Toc515374640"/>
      <w:bookmarkStart w:id="366" w:name="_Toc528932314"/>
      <w:bookmarkStart w:id="367" w:name="_Toc531857993"/>
      <w:r>
        <w:t xml:space="preserve">Table </w:t>
      </w:r>
      <w:r>
        <w:rPr>
          <w:noProof/>
        </w:rPr>
        <w:t>4</w:t>
      </w:r>
      <w:r>
        <w:t>.</w:t>
      </w:r>
      <w:r>
        <w:rPr>
          <w:noProof/>
        </w:rPr>
        <w:t>5</w:t>
      </w:r>
      <w:bookmarkEnd w:id="363"/>
      <w:r>
        <w:tab/>
      </w:r>
      <w:r w:rsidRPr="00F65B2B">
        <w:t xml:space="preserve">Estimated proportion of Transitioned ADF and 2015 Regular ADF </w:t>
      </w:r>
      <w:r>
        <w:t>who reported</w:t>
      </w:r>
      <w:r w:rsidRPr="00F65B2B">
        <w:t xml:space="preserve"> </w:t>
      </w:r>
      <w:r>
        <w:t xml:space="preserve">that they found </w:t>
      </w:r>
      <w:r w:rsidRPr="00F65B2B">
        <w:t xml:space="preserve">it easier to be themselves online than when they </w:t>
      </w:r>
      <w:r>
        <w:t>were</w:t>
      </w:r>
      <w:r w:rsidRPr="00F65B2B">
        <w:t xml:space="preserve"> face to face with people</w:t>
      </w:r>
      <w:bookmarkEnd w:id="364"/>
      <w:bookmarkEnd w:id="365"/>
      <w:bookmarkEnd w:id="366"/>
      <w:bookmarkEnd w:id="367"/>
    </w:p>
    <w:tbl>
      <w:tblPr>
        <w:tblStyle w:val="TWRPTable"/>
        <w:tblW w:w="5000" w:type="pct"/>
        <w:tblLayout w:type="fixed"/>
        <w:tblCellMar>
          <w:left w:w="115" w:type="dxa"/>
          <w:right w:w="115" w:type="dxa"/>
        </w:tblCellMar>
        <w:tblLook w:val="0000" w:firstRow="0" w:lastRow="0" w:firstColumn="0" w:lastColumn="0" w:noHBand="0" w:noVBand="0"/>
        <w:tblDescription w:val="Table 4.5 Estimated proportion of Transitioned ADF and 2015 Regular ADF who reported that they found it easier to be themselves online than when they were face to face with people"/>
      </w:tblPr>
      <w:tblGrid>
        <w:gridCol w:w="1757"/>
        <w:gridCol w:w="700"/>
        <w:gridCol w:w="872"/>
        <w:gridCol w:w="1094"/>
        <w:gridCol w:w="650"/>
        <w:gridCol w:w="872"/>
        <w:gridCol w:w="1144"/>
      </w:tblGrid>
      <w:tr w:rsidR="00BF6E26" w:rsidRPr="00A0121A" w14:paraId="28E6E270" w14:textId="77777777" w:rsidTr="00BF6E26">
        <w:trPr>
          <w:cantSplit/>
          <w:tblHeader/>
        </w:trPr>
        <w:tc>
          <w:tcPr>
            <w:tcW w:w="1825" w:type="dxa"/>
            <w:vMerge w:val="restart"/>
            <w:tcBorders>
              <w:top w:val="single" w:sz="4" w:space="0" w:color="000000"/>
            </w:tcBorders>
            <w:vAlign w:val="bottom"/>
          </w:tcPr>
          <w:p w14:paraId="40A8AA5D" w14:textId="77777777" w:rsidR="00BF6E26" w:rsidRPr="00964CA5" w:rsidRDefault="00BF6E26" w:rsidP="00BF6E26">
            <w:pPr>
              <w:pStyle w:val="TableText"/>
              <w:rPr>
                <w:b/>
              </w:rPr>
            </w:pPr>
            <w:r w:rsidRPr="00964CA5">
              <w:rPr>
                <w:rFonts w:eastAsia="Calibri" w:cs="ArialMT"/>
                <w:b/>
              </w:rPr>
              <w:t xml:space="preserve">I find it easier to be myself when online than when I am with people </w:t>
            </w:r>
            <w:r>
              <w:rPr>
                <w:rFonts w:eastAsia="Calibri" w:cs="ArialMT"/>
                <w:b/>
              </w:rPr>
              <w:t>face to face.</w:t>
            </w:r>
          </w:p>
        </w:tc>
        <w:tc>
          <w:tcPr>
            <w:tcW w:w="2752" w:type="dxa"/>
            <w:gridSpan w:val="3"/>
            <w:tcBorders>
              <w:top w:val="single" w:sz="4" w:space="0" w:color="000000"/>
              <w:bottom w:val="single" w:sz="4" w:space="0" w:color="000000"/>
            </w:tcBorders>
          </w:tcPr>
          <w:p w14:paraId="219C8DB9" w14:textId="77777777" w:rsidR="00BF6E26" w:rsidRPr="00964CA5" w:rsidRDefault="00BF6E26" w:rsidP="00BF6E26">
            <w:pPr>
              <w:pStyle w:val="TableText"/>
              <w:jc w:val="center"/>
              <w:rPr>
                <w:b/>
              </w:rPr>
            </w:pPr>
            <w:r w:rsidRPr="00964CA5">
              <w:rPr>
                <w:b/>
              </w:rPr>
              <w:t>Transitioned ADF</w:t>
            </w:r>
            <w:r>
              <w:rPr>
                <w:b/>
              </w:rPr>
              <w:br/>
            </w:r>
            <w:r w:rsidRPr="00964CA5">
              <w:rPr>
                <w:b/>
              </w:rPr>
              <w:t>n=24,932</w:t>
            </w:r>
          </w:p>
        </w:tc>
        <w:tc>
          <w:tcPr>
            <w:tcW w:w="2752" w:type="dxa"/>
            <w:gridSpan w:val="3"/>
            <w:tcBorders>
              <w:top w:val="single" w:sz="4" w:space="0" w:color="000000"/>
              <w:bottom w:val="single" w:sz="4" w:space="0" w:color="000000"/>
            </w:tcBorders>
          </w:tcPr>
          <w:p w14:paraId="0DF5C72E" w14:textId="77777777" w:rsidR="00BF6E26" w:rsidRPr="00964CA5" w:rsidRDefault="00BF6E26" w:rsidP="00BF6E26">
            <w:pPr>
              <w:pStyle w:val="TableText"/>
              <w:jc w:val="center"/>
              <w:rPr>
                <w:b/>
              </w:rPr>
            </w:pPr>
            <w:r w:rsidRPr="00964CA5">
              <w:rPr>
                <w:b/>
              </w:rPr>
              <w:t>2015 Regular ADF</w:t>
            </w:r>
            <w:r>
              <w:rPr>
                <w:b/>
              </w:rPr>
              <w:br/>
            </w:r>
            <w:r w:rsidRPr="00964CA5">
              <w:rPr>
                <w:b/>
              </w:rPr>
              <w:t>n=52,500</w:t>
            </w:r>
          </w:p>
        </w:tc>
      </w:tr>
      <w:tr w:rsidR="00BF6E26" w:rsidRPr="00A0121A" w14:paraId="4EFF2BA2" w14:textId="77777777" w:rsidTr="00BF6E26">
        <w:trPr>
          <w:cantSplit/>
          <w:tblHeader/>
        </w:trPr>
        <w:tc>
          <w:tcPr>
            <w:tcW w:w="1825" w:type="dxa"/>
            <w:vMerge/>
            <w:tcBorders>
              <w:bottom w:val="single" w:sz="4" w:space="0" w:color="000000"/>
            </w:tcBorders>
          </w:tcPr>
          <w:p w14:paraId="3C89BB67" w14:textId="77777777" w:rsidR="00BF6E26" w:rsidRPr="00964CA5" w:rsidRDefault="00BF6E26" w:rsidP="00EB155C">
            <w:pPr>
              <w:pStyle w:val="TableText"/>
              <w:rPr>
                <w:rFonts w:eastAsia="Calibri" w:cs="Arial"/>
                <w:b/>
              </w:rPr>
            </w:pPr>
          </w:p>
        </w:tc>
        <w:tc>
          <w:tcPr>
            <w:tcW w:w="720" w:type="dxa"/>
            <w:tcBorders>
              <w:top w:val="single" w:sz="4" w:space="0" w:color="000000"/>
              <w:bottom w:val="single" w:sz="4" w:space="0" w:color="000000"/>
            </w:tcBorders>
          </w:tcPr>
          <w:p w14:paraId="0AE73AA9" w14:textId="77777777" w:rsidR="00BF6E26" w:rsidRPr="00964CA5" w:rsidRDefault="00BF6E26" w:rsidP="00EB155C">
            <w:pPr>
              <w:pStyle w:val="TableText"/>
              <w:jc w:val="right"/>
              <w:rPr>
                <w:rFonts w:eastAsia="Calibri" w:cs="Arial"/>
                <w:b/>
              </w:rPr>
            </w:pPr>
            <w:r w:rsidRPr="00964CA5">
              <w:rPr>
                <w:rFonts w:eastAsia="Calibri" w:cs="Arial"/>
                <w:b/>
              </w:rPr>
              <w:t>n</w:t>
            </w:r>
          </w:p>
        </w:tc>
        <w:tc>
          <w:tcPr>
            <w:tcW w:w="900" w:type="dxa"/>
            <w:tcBorders>
              <w:top w:val="single" w:sz="4" w:space="0" w:color="000000"/>
              <w:bottom w:val="single" w:sz="4" w:space="0" w:color="000000"/>
            </w:tcBorders>
          </w:tcPr>
          <w:p w14:paraId="63C20982" w14:textId="77777777" w:rsidR="00BF6E26" w:rsidRPr="00964CA5" w:rsidRDefault="00BF6E26" w:rsidP="00EB155C">
            <w:pPr>
              <w:pStyle w:val="TableText"/>
              <w:jc w:val="right"/>
              <w:rPr>
                <w:rFonts w:eastAsia="Calibri" w:cs="Arial"/>
                <w:b/>
              </w:rPr>
            </w:pPr>
            <w:r w:rsidRPr="00964CA5">
              <w:rPr>
                <w:rFonts w:eastAsia="Calibri" w:cs="Arial"/>
                <w:b/>
              </w:rPr>
              <w:t>Weighted n</w:t>
            </w:r>
          </w:p>
        </w:tc>
        <w:tc>
          <w:tcPr>
            <w:tcW w:w="1132" w:type="dxa"/>
            <w:tcBorders>
              <w:top w:val="single" w:sz="4" w:space="0" w:color="000000"/>
              <w:bottom w:val="single" w:sz="4" w:space="0" w:color="000000"/>
            </w:tcBorders>
          </w:tcPr>
          <w:p w14:paraId="25F3AF33" w14:textId="77777777" w:rsidR="00BF6E26" w:rsidRPr="00964CA5" w:rsidRDefault="00BF6E26" w:rsidP="00EB155C">
            <w:pPr>
              <w:pStyle w:val="TableText"/>
              <w:jc w:val="right"/>
              <w:rPr>
                <w:rFonts w:eastAsia="Calibri" w:cs="Arial"/>
                <w:b/>
              </w:rPr>
            </w:pPr>
            <w:r w:rsidRPr="00964CA5">
              <w:rPr>
                <w:rFonts w:eastAsia="Calibri" w:cs="Arial"/>
                <w:b/>
              </w:rPr>
              <w:t>% (95%CI)</w:t>
            </w:r>
          </w:p>
        </w:tc>
        <w:tc>
          <w:tcPr>
            <w:tcW w:w="668" w:type="dxa"/>
            <w:tcBorders>
              <w:top w:val="single" w:sz="4" w:space="0" w:color="000000"/>
              <w:bottom w:val="single" w:sz="4" w:space="0" w:color="000000"/>
            </w:tcBorders>
          </w:tcPr>
          <w:p w14:paraId="1094EB62" w14:textId="77777777" w:rsidR="00BF6E26" w:rsidRPr="00964CA5" w:rsidRDefault="00BF6E26" w:rsidP="00EB155C">
            <w:pPr>
              <w:pStyle w:val="TableText"/>
              <w:jc w:val="right"/>
              <w:rPr>
                <w:rFonts w:eastAsia="Calibri" w:cs="Arial"/>
                <w:b/>
              </w:rPr>
            </w:pPr>
            <w:r w:rsidRPr="00964CA5">
              <w:rPr>
                <w:rFonts w:eastAsia="Calibri" w:cs="Arial"/>
                <w:b/>
              </w:rPr>
              <w:t>n</w:t>
            </w:r>
          </w:p>
        </w:tc>
        <w:tc>
          <w:tcPr>
            <w:tcW w:w="900" w:type="dxa"/>
            <w:tcBorders>
              <w:top w:val="single" w:sz="4" w:space="0" w:color="000000"/>
              <w:bottom w:val="single" w:sz="4" w:space="0" w:color="000000"/>
            </w:tcBorders>
          </w:tcPr>
          <w:p w14:paraId="3C16B664" w14:textId="77777777" w:rsidR="00BF6E26" w:rsidRPr="00964CA5" w:rsidRDefault="00BF6E26" w:rsidP="00EB155C">
            <w:pPr>
              <w:pStyle w:val="TableText"/>
              <w:jc w:val="right"/>
              <w:rPr>
                <w:rFonts w:eastAsia="Calibri" w:cs="Arial"/>
                <w:b/>
              </w:rPr>
            </w:pPr>
            <w:r w:rsidRPr="00964CA5">
              <w:rPr>
                <w:rFonts w:eastAsia="Calibri" w:cs="Arial"/>
                <w:b/>
              </w:rPr>
              <w:t>Weighted n</w:t>
            </w:r>
          </w:p>
        </w:tc>
        <w:tc>
          <w:tcPr>
            <w:tcW w:w="1184" w:type="dxa"/>
            <w:tcBorders>
              <w:top w:val="single" w:sz="4" w:space="0" w:color="000000"/>
              <w:bottom w:val="single" w:sz="4" w:space="0" w:color="000000"/>
            </w:tcBorders>
          </w:tcPr>
          <w:p w14:paraId="4E5FDF1D" w14:textId="77777777" w:rsidR="00BF6E26" w:rsidRPr="00964CA5" w:rsidRDefault="00BF6E26" w:rsidP="00EB155C">
            <w:pPr>
              <w:pStyle w:val="TableText"/>
              <w:jc w:val="right"/>
              <w:rPr>
                <w:rFonts w:eastAsia="Calibri" w:cs="Arial"/>
                <w:b/>
              </w:rPr>
            </w:pPr>
            <w:r w:rsidRPr="00964CA5">
              <w:rPr>
                <w:rFonts w:eastAsia="Calibri" w:cs="Arial"/>
                <w:b/>
              </w:rPr>
              <w:t>% (95%CI)</w:t>
            </w:r>
          </w:p>
        </w:tc>
      </w:tr>
      <w:tr w:rsidR="00BF6E26" w:rsidRPr="00A0121A" w14:paraId="4E0952D2"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tcBorders>
          </w:tcPr>
          <w:p w14:paraId="2E39C65C" w14:textId="77777777" w:rsidR="009A6E70" w:rsidRPr="00A0121A" w:rsidRDefault="009A6E70" w:rsidP="00EB155C">
            <w:pPr>
              <w:pStyle w:val="TableText"/>
              <w:rPr>
                <w:rFonts w:eastAsia="Calibri" w:cs="Arial"/>
              </w:rPr>
            </w:pPr>
            <w:r w:rsidRPr="00A0121A">
              <w:rPr>
                <w:rFonts w:cs="Arial"/>
              </w:rPr>
              <w:t>Not true</w:t>
            </w:r>
          </w:p>
        </w:tc>
        <w:tc>
          <w:tcPr>
            <w:tcW w:w="720" w:type="dxa"/>
            <w:tcBorders>
              <w:top w:val="single" w:sz="4" w:space="0" w:color="000000"/>
            </w:tcBorders>
          </w:tcPr>
          <w:p w14:paraId="797B8F76" w14:textId="77777777" w:rsidR="009A6E70" w:rsidRPr="00A0121A" w:rsidRDefault="009A6E70" w:rsidP="00EB155C">
            <w:pPr>
              <w:pStyle w:val="TableText"/>
              <w:jc w:val="right"/>
              <w:rPr>
                <w:rFonts w:cs="Arial"/>
              </w:rPr>
            </w:pPr>
            <w:r w:rsidRPr="00A0121A">
              <w:rPr>
                <w:rFonts w:cs="Arial"/>
              </w:rPr>
              <w:t>2127</w:t>
            </w:r>
          </w:p>
        </w:tc>
        <w:tc>
          <w:tcPr>
            <w:tcW w:w="900" w:type="dxa"/>
            <w:tcBorders>
              <w:top w:val="single" w:sz="4" w:space="0" w:color="000000"/>
            </w:tcBorders>
          </w:tcPr>
          <w:p w14:paraId="143B8C1E" w14:textId="77777777" w:rsidR="009A6E70" w:rsidRPr="00A0121A" w:rsidRDefault="009A6E70" w:rsidP="00EB155C">
            <w:pPr>
              <w:pStyle w:val="TableText"/>
              <w:jc w:val="right"/>
              <w:rPr>
                <w:rFonts w:cs="Arial"/>
              </w:rPr>
            </w:pPr>
            <w:r w:rsidRPr="00A0121A">
              <w:rPr>
                <w:rFonts w:cs="Arial"/>
              </w:rPr>
              <w:t>14</w:t>
            </w:r>
            <w:r>
              <w:rPr>
                <w:rFonts w:cs="Arial"/>
              </w:rPr>
              <w:t>,</w:t>
            </w:r>
            <w:r w:rsidRPr="00A0121A">
              <w:rPr>
                <w:rFonts w:cs="Arial"/>
              </w:rPr>
              <w:t>703</w:t>
            </w:r>
          </w:p>
        </w:tc>
        <w:tc>
          <w:tcPr>
            <w:tcW w:w="1132" w:type="dxa"/>
            <w:tcBorders>
              <w:top w:val="single" w:sz="4" w:space="0" w:color="000000"/>
            </w:tcBorders>
          </w:tcPr>
          <w:p w14:paraId="4B7B2441" w14:textId="77777777" w:rsidR="009A6E70" w:rsidRPr="00A0121A" w:rsidRDefault="009A6E70" w:rsidP="00EB155C">
            <w:pPr>
              <w:pStyle w:val="TableText"/>
              <w:jc w:val="right"/>
              <w:rPr>
                <w:rFonts w:eastAsia="Calibri" w:cs="Arial"/>
              </w:rPr>
            </w:pPr>
            <w:r w:rsidRPr="00A0121A">
              <w:rPr>
                <w:rFonts w:cs="Arial"/>
              </w:rPr>
              <w:t>59.0 (56.9,</w:t>
            </w:r>
            <w:r>
              <w:rPr>
                <w:rFonts w:cs="Arial"/>
              </w:rPr>
              <w:t xml:space="preserve"> </w:t>
            </w:r>
            <w:r w:rsidRPr="00A0121A">
              <w:rPr>
                <w:rFonts w:cs="Arial"/>
              </w:rPr>
              <w:t>61.0)</w:t>
            </w:r>
          </w:p>
        </w:tc>
        <w:tc>
          <w:tcPr>
            <w:tcW w:w="668" w:type="dxa"/>
            <w:tcBorders>
              <w:top w:val="single" w:sz="4" w:space="0" w:color="000000"/>
            </w:tcBorders>
          </w:tcPr>
          <w:p w14:paraId="4E2AA4C8" w14:textId="77777777" w:rsidR="009A6E70" w:rsidRPr="00A0121A" w:rsidRDefault="009A6E70" w:rsidP="00EB155C">
            <w:pPr>
              <w:pStyle w:val="TableText"/>
              <w:jc w:val="right"/>
              <w:rPr>
                <w:rFonts w:eastAsia="Calibri" w:cs="Arial"/>
              </w:rPr>
            </w:pPr>
            <w:r w:rsidRPr="00A0121A">
              <w:rPr>
                <w:rFonts w:cs="Arial"/>
              </w:rPr>
              <w:t>4976</w:t>
            </w:r>
          </w:p>
        </w:tc>
        <w:tc>
          <w:tcPr>
            <w:tcW w:w="900" w:type="dxa"/>
            <w:tcBorders>
              <w:top w:val="single" w:sz="4" w:space="0" w:color="000000"/>
            </w:tcBorders>
          </w:tcPr>
          <w:p w14:paraId="55007E52" w14:textId="77777777" w:rsidR="009A6E70" w:rsidRPr="00A0121A" w:rsidRDefault="009A6E70" w:rsidP="00EB155C">
            <w:pPr>
              <w:pStyle w:val="TableText"/>
              <w:jc w:val="right"/>
              <w:rPr>
                <w:rFonts w:eastAsia="Calibri" w:cs="Arial"/>
              </w:rPr>
            </w:pPr>
            <w:r w:rsidRPr="00A0121A">
              <w:rPr>
                <w:rFonts w:cs="Arial"/>
              </w:rPr>
              <w:t>32</w:t>
            </w:r>
            <w:r>
              <w:rPr>
                <w:rFonts w:cs="Arial"/>
              </w:rPr>
              <w:t>,</w:t>
            </w:r>
            <w:r w:rsidRPr="00A0121A">
              <w:rPr>
                <w:rFonts w:cs="Arial"/>
              </w:rPr>
              <w:t>488</w:t>
            </w:r>
          </w:p>
        </w:tc>
        <w:tc>
          <w:tcPr>
            <w:tcW w:w="1184" w:type="dxa"/>
            <w:tcBorders>
              <w:top w:val="single" w:sz="4" w:space="0" w:color="000000"/>
            </w:tcBorders>
          </w:tcPr>
          <w:p w14:paraId="0EFAFEB0" w14:textId="77777777" w:rsidR="009A6E70" w:rsidRPr="00A0121A" w:rsidRDefault="009A6E70" w:rsidP="00EB155C">
            <w:pPr>
              <w:pStyle w:val="TableText"/>
              <w:jc w:val="right"/>
              <w:rPr>
                <w:rFonts w:eastAsia="Calibri" w:cs="Arial"/>
              </w:rPr>
            </w:pPr>
            <w:r w:rsidRPr="00A0121A">
              <w:rPr>
                <w:rFonts w:cs="Arial"/>
              </w:rPr>
              <w:t>61.9 (57.7,</w:t>
            </w:r>
            <w:r>
              <w:rPr>
                <w:rFonts w:cs="Arial"/>
              </w:rPr>
              <w:t xml:space="preserve"> </w:t>
            </w:r>
            <w:r w:rsidRPr="00A0121A">
              <w:rPr>
                <w:rFonts w:cs="Arial"/>
              </w:rPr>
              <w:t>65.9)</w:t>
            </w:r>
          </w:p>
        </w:tc>
      </w:tr>
      <w:tr w:rsidR="00BF6E26" w:rsidRPr="00A0121A" w14:paraId="714871E1" w14:textId="77777777" w:rsidTr="00BF6E26">
        <w:trPr>
          <w:cantSplit/>
        </w:trPr>
        <w:tc>
          <w:tcPr>
            <w:tcW w:w="1825" w:type="dxa"/>
          </w:tcPr>
          <w:p w14:paraId="56BB148F" w14:textId="77777777" w:rsidR="009A6E70" w:rsidRPr="00A0121A" w:rsidRDefault="009A6E70" w:rsidP="00EB155C">
            <w:pPr>
              <w:pStyle w:val="TableText"/>
              <w:rPr>
                <w:rFonts w:eastAsia="Calibri" w:cs="Arial"/>
              </w:rPr>
            </w:pPr>
            <w:r w:rsidRPr="00A0121A">
              <w:rPr>
                <w:rFonts w:cs="Arial"/>
              </w:rPr>
              <w:t xml:space="preserve">A bit true </w:t>
            </w:r>
          </w:p>
        </w:tc>
        <w:tc>
          <w:tcPr>
            <w:tcW w:w="720" w:type="dxa"/>
          </w:tcPr>
          <w:p w14:paraId="62109CB8" w14:textId="77777777" w:rsidR="009A6E70" w:rsidRPr="00A0121A" w:rsidRDefault="009A6E70" w:rsidP="00EB155C">
            <w:pPr>
              <w:pStyle w:val="TableText"/>
              <w:jc w:val="right"/>
              <w:rPr>
                <w:rFonts w:eastAsia="Calibri" w:cs="Arial"/>
              </w:rPr>
            </w:pPr>
            <w:r w:rsidRPr="00A0121A">
              <w:rPr>
                <w:rFonts w:cs="Arial"/>
              </w:rPr>
              <w:t>551</w:t>
            </w:r>
          </w:p>
        </w:tc>
        <w:tc>
          <w:tcPr>
            <w:tcW w:w="900" w:type="dxa"/>
          </w:tcPr>
          <w:p w14:paraId="325938D4" w14:textId="77777777" w:rsidR="009A6E70" w:rsidRPr="00A0121A" w:rsidRDefault="009A6E70" w:rsidP="00EB155C">
            <w:pPr>
              <w:pStyle w:val="TableText"/>
              <w:jc w:val="right"/>
              <w:rPr>
                <w:rFonts w:eastAsia="Calibri" w:cs="Arial"/>
              </w:rPr>
            </w:pPr>
            <w:r w:rsidRPr="00A0121A">
              <w:rPr>
                <w:rFonts w:cs="Arial"/>
              </w:rPr>
              <w:t>4447</w:t>
            </w:r>
          </w:p>
        </w:tc>
        <w:tc>
          <w:tcPr>
            <w:tcW w:w="1132" w:type="dxa"/>
          </w:tcPr>
          <w:p w14:paraId="23E5EBC4" w14:textId="77777777" w:rsidR="009A6E70" w:rsidRPr="00A0121A" w:rsidRDefault="009A6E70" w:rsidP="00EB155C">
            <w:pPr>
              <w:pStyle w:val="TableText"/>
              <w:jc w:val="right"/>
              <w:rPr>
                <w:rFonts w:eastAsia="Calibri" w:cs="Arial"/>
              </w:rPr>
            </w:pPr>
            <w:r w:rsidRPr="00A0121A">
              <w:rPr>
                <w:rFonts w:cs="Arial"/>
              </w:rPr>
              <w:t>17.8 (16.2,</w:t>
            </w:r>
            <w:r>
              <w:rPr>
                <w:rFonts w:cs="Arial"/>
              </w:rPr>
              <w:t xml:space="preserve"> </w:t>
            </w:r>
            <w:r w:rsidRPr="00A0121A">
              <w:rPr>
                <w:rFonts w:cs="Arial"/>
              </w:rPr>
              <w:t>19.6)</w:t>
            </w:r>
          </w:p>
        </w:tc>
        <w:tc>
          <w:tcPr>
            <w:tcW w:w="668" w:type="dxa"/>
          </w:tcPr>
          <w:p w14:paraId="4692945F" w14:textId="77777777" w:rsidR="009A6E70" w:rsidRPr="00A0121A" w:rsidRDefault="009A6E70" w:rsidP="00EB155C">
            <w:pPr>
              <w:pStyle w:val="TableText"/>
              <w:jc w:val="right"/>
              <w:rPr>
                <w:rFonts w:eastAsia="Calibri" w:cs="Arial"/>
              </w:rPr>
            </w:pPr>
            <w:r w:rsidRPr="00A0121A">
              <w:rPr>
                <w:rFonts w:cs="Arial"/>
              </w:rPr>
              <w:t>931</w:t>
            </w:r>
          </w:p>
        </w:tc>
        <w:tc>
          <w:tcPr>
            <w:tcW w:w="900" w:type="dxa"/>
          </w:tcPr>
          <w:p w14:paraId="0052D602" w14:textId="77777777" w:rsidR="009A6E70" w:rsidRPr="00A0121A" w:rsidRDefault="009A6E70" w:rsidP="00EB155C">
            <w:pPr>
              <w:pStyle w:val="TableText"/>
              <w:jc w:val="right"/>
              <w:rPr>
                <w:rFonts w:eastAsia="Calibri" w:cs="Arial"/>
              </w:rPr>
            </w:pPr>
            <w:r w:rsidRPr="00A0121A">
              <w:rPr>
                <w:rFonts w:cs="Arial"/>
              </w:rPr>
              <w:t>8154</w:t>
            </w:r>
          </w:p>
        </w:tc>
        <w:tc>
          <w:tcPr>
            <w:tcW w:w="1184" w:type="dxa"/>
          </w:tcPr>
          <w:p w14:paraId="04E8C7DF" w14:textId="77777777" w:rsidR="009A6E70" w:rsidRPr="00A0121A" w:rsidRDefault="009A6E70" w:rsidP="00EB155C">
            <w:pPr>
              <w:pStyle w:val="TableText"/>
              <w:jc w:val="right"/>
              <w:rPr>
                <w:rFonts w:eastAsia="Calibri" w:cs="Arial"/>
              </w:rPr>
            </w:pPr>
            <w:r w:rsidRPr="00A0121A">
              <w:rPr>
                <w:rFonts w:cs="Arial"/>
              </w:rPr>
              <w:t>15.5 (12.5,</w:t>
            </w:r>
            <w:r>
              <w:rPr>
                <w:rFonts w:cs="Arial"/>
              </w:rPr>
              <w:t xml:space="preserve"> </w:t>
            </w:r>
            <w:r w:rsidRPr="00A0121A">
              <w:rPr>
                <w:rFonts w:cs="Arial"/>
              </w:rPr>
              <w:t>19.1)</w:t>
            </w:r>
          </w:p>
        </w:tc>
      </w:tr>
      <w:tr w:rsidR="00BF6E26" w:rsidRPr="00A0121A" w14:paraId="5DC7991D"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825" w:type="dxa"/>
          </w:tcPr>
          <w:p w14:paraId="0345B1F9" w14:textId="77777777" w:rsidR="009A6E70" w:rsidRPr="00A0121A" w:rsidRDefault="009A6E70" w:rsidP="00EB155C">
            <w:pPr>
              <w:pStyle w:val="TableText"/>
              <w:rPr>
                <w:rFonts w:eastAsia="Calibri" w:cs="ArialMT"/>
              </w:rPr>
            </w:pPr>
            <w:r w:rsidRPr="00A0121A">
              <w:rPr>
                <w:rFonts w:cs="Arial"/>
              </w:rPr>
              <w:t>Very true</w:t>
            </w:r>
          </w:p>
        </w:tc>
        <w:tc>
          <w:tcPr>
            <w:tcW w:w="720" w:type="dxa"/>
          </w:tcPr>
          <w:p w14:paraId="23C95A13" w14:textId="77777777" w:rsidR="009A6E70" w:rsidRPr="00A0121A" w:rsidRDefault="009A6E70" w:rsidP="00EB155C">
            <w:pPr>
              <w:pStyle w:val="TableText"/>
              <w:jc w:val="right"/>
              <w:rPr>
                <w:rFonts w:eastAsia="Calibri" w:cs="Arial"/>
              </w:rPr>
            </w:pPr>
            <w:r w:rsidRPr="00A0121A">
              <w:rPr>
                <w:rFonts w:cs="Arial"/>
              </w:rPr>
              <w:t>258</w:t>
            </w:r>
          </w:p>
        </w:tc>
        <w:tc>
          <w:tcPr>
            <w:tcW w:w="900" w:type="dxa"/>
          </w:tcPr>
          <w:p w14:paraId="7E9162B8" w14:textId="77777777" w:rsidR="009A6E70" w:rsidRPr="00A0121A" w:rsidRDefault="009A6E70" w:rsidP="00EB155C">
            <w:pPr>
              <w:pStyle w:val="TableText"/>
              <w:jc w:val="right"/>
              <w:rPr>
                <w:rFonts w:eastAsia="Calibri" w:cs="Arial"/>
              </w:rPr>
            </w:pPr>
            <w:r w:rsidRPr="00A0121A">
              <w:rPr>
                <w:rFonts w:cs="Arial"/>
              </w:rPr>
              <w:t>2097</w:t>
            </w:r>
          </w:p>
        </w:tc>
        <w:tc>
          <w:tcPr>
            <w:tcW w:w="1132" w:type="dxa"/>
          </w:tcPr>
          <w:p w14:paraId="2A851931" w14:textId="77777777" w:rsidR="009A6E70" w:rsidRPr="00A0121A" w:rsidRDefault="009A6E70" w:rsidP="00EB155C">
            <w:pPr>
              <w:pStyle w:val="TableText"/>
              <w:jc w:val="right"/>
              <w:rPr>
                <w:rFonts w:eastAsia="Calibri" w:cs="Arial"/>
              </w:rPr>
            </w:pPr>
            <w:r w:rsidRPr="00A0121A">
              <w:rPr>
                <w:rFonts w:cs="Arial"/>
              </w:rPr>
              <w:t>8.4 (7.3,</w:t>
            </w:r>
            <w:r>
              <w:rPr>
                <w:rFonts w:cs="Arial"/>
              </w:rPr>
              <w:t xml:space="preserve"> </w:t>
            </w:r>
            <w:r w:rsidRPr="00A0121A">
              <w:rPr>
                <w:rFonts w:cs="Arial"/>
              </w:rPr>
              <w:t>9.7)</w:t>
            </w:r>
          </w:p>
        </w:tc>
        <w:tc>
          <w:tcPr>
            <w:tcW w:w="668" w:type="dxa"/>
          </w:tcPr>
          <w:p w14:paraId="4F243974" w14:textId="77777777" w:rsidR="009A6E70" w:rsidRPr="00A0121A" w:rsidRDefault="009A6E70" w:rsidP="00EB155C">
            <w:pPr>
              <w:pStyle w:val="TableText"/>
              <w:jc w:val="right"/>
              <w:rPr>
                <w:rFonts w:eastAsia="Calibri" w:cs="Arial"/>
              </w:rPr>
            </w:pPr>
            <w:r w:rsidRPr="00A0121A">
              <w:rPr>
                <w:rFonts w:cs="Arial"/>
              </w:rPr>
              <w:t>263</w:t>
            </w:r>
          </w:p>
        </w:tc>
        <w:tc>
          <w:tcPr>
            <w:tcW w:w="900" w:type="dxa"/>
          </w:tcPr>
          <w:p w14:paraId="3BBCEA03" w14:textId="77777777" w:rsidR="009A6E70" w:rsidRPr="00A0121A" w:rsidRDefault="009A6E70" w:rsidP="00EB155C">
            <w:pPr>
              <w:pStyle w:val="TableText"/>
              <w:jc w:val="right"/>
              <w:rPr>
                <w:rFonts w:eastAsia="Calibri" w:cs="Arial"/>
              </w:rPr>
            </w:pPr>
            <w:r w:rsidRPr="00A0121A">
              <w:rPr>
                <w:rFonts w:cs="Arial"/>
              </w:rPr>
              <w:t>2278</w:t>
            </w:r>
          </w:p>
        </w:tc>
        <w:tc>
          <w:tcPr>
            <w:tcW w:w="1184" w:type="dxa"/>
          </w:tcPr>
          <w:p w14:paraId="596A4AE2" w14:textId="77777777" w:rsidR="009A6E70" w:rsidRPr="00A0121A" w:rsidRDefault="009A6E70" w:rsidP="00EB155C">
            <w:pPr>
              <w:pStyle w:val="TableText"/>
              <w:jc w:val="right"/>
              <w:rPr>
                <w:rFonts w:eastAsia="Calibri" w:cs="Arial"/>
              </w:rPr>
            </w:pPr>
            <w:r w:rsidRPr="00A0121A">
              <w:rPr>
                <w:rFonts w:cs="Arial"/>
              </w:rPr>
              <w:t>4.3 (2.9,</w:t>
            </w:r>
            <w:r>
              <w:rPr>
                <w:rFonts w:cs="Arial"/>
              </w:rPr>
              <w:t xml:space="preserve"> </w:t>
            </w:r>
            <w:r w:rsidRPr="00A0121A">
              <w:rPr>
                <w:rFonts w:cs="Arial"/>
              </w:rPr>
              <w:t>6.6)</w:t>
            </w:r>
          </w:p>
        </w:tc>
      </w:tr>
      <w:tr w:rsidR="00BF6E26" w:rsidRPr="00A0121A" w14:paraId="7A46CCF4" w14:textId="77777777" w:rsidTr="00BF6E26">
        <w:trPr>
          <w:cantSplit/>
        </w:trPr>
        <w:tc>
          <w:tcPr>
            <w:tcW w:w="1825" w:type="dxa"/>
            <w:tcBorders>
              <w:bottom w:val="single" w:sz="4" w:space="0" w:color="000000"/>
            </w:tcBorders>
          </w:tcPr>
          <w:p w14:paraId="4D49E5A5" w14:textId="77777777" w:rsidR="009A6E70" w:rsidRPr="00A0121A" w:rsidRDefault="009A6E70" w:rsidP="00EB155C">
            <w:pPr>
              <w:pStyle w:val="TableText"/>
              <w:rPr>
                <w:rFonts w:eastAsia="Calibri" w:cs="Arial"/>
              </w:rPr>
            </w:pPr>
            <w:r w:rsidRPr="00A0121A">
              <w:rPr>
                <w:rFonts w:cs="Arial"/>
              </w:rPr>
              <w:t>N/A</w:t>
            </w:r>
          </w:p>
        </w:tc>
        <w:tc>
          <w:tcPr>
            <w:tcW w:w="720" w:type="dxa"/>
            <w:tcBorders>
              <w:bottom w:val="single" w:sz="4" w:space="0" w:color="000000"/>
            </w:tcBorders>
          </w:tcPr>
          <w:p w14:paraId="26FBCB4D" w14:textId="77777777" w:rsidR="009A6E70" w:rsidRPr="00A0121A" w:rsidRDefault="009A6E70" w:rsidP="00EB155C">
            <w:pPr>
              <w:pStyle w:val="TableText"/>
              <w:jc w:val="right"/>
              <w:rPr>
                <w:rFonts w:cs="Arial"/>
              </w:rPr>
            </w:pPr>
            <w:r w:rsidRPr="00A0121A">
              <w:rPr>
                <w:rFonts w:cs="Arial"/>
              </w:rPr>
              <w:t>582</w:t>
            </w:r>
          </w:p>
        </w:tc>
        <w:tc>
          <w:tcPr>
            <w:tcW w:w="900" w:type="dxa"/>
            <w:tcBorders>
              <w:bottom w:val="single" w:sz="4" w:space="0" w:color="000000"/>
            </w:tcBorders>
          </w:tcPr>
          <w:p w14:paraId="24B31314" w14:textId="77777777" w:rsidR="009A6E70" w:rsidRPr="00A0121A" w:rsidRDefault="009A6E70" w:rsidP="00EB155C">
            <w:pPr>
              <w:pStyle w:val="TableText"/>
              <w:jc w:val="right"/>
              <w:rPr>
                <w:rFonts w:eastAsia="Calibri" w:cs="Arial"/>
              </w:rPr>
            </w:pPr>
            <w:r w:rsidRPr="00A0121A">
              <w:rPr>
                <w:rFonts w:cs="Arial"/>
              </w:rPr>
              <w:t>3515</w:t>
            </w:r>
          </w:p>
        </w:tc>
        <w:tc>
          <w:tcPr>
            <w:tcW w:w="1132" w:type="dxa"/>
            <w:tcBorders>
              <w:bottom w:val="single" w:sz="4" w:space="0" w:color="000000"/>
            </w:tcBorders>
          </w:tcPr>
          <w:p w14:paraId="04EFB266" w14:textId="77777777" w:rsidR="009A6E70" w:rsidRPr="00A0121A" w:rsidRDefault="009A6E70" w:rsidP="00EB155C">
            <w:pPr>
              <w:pStyle w:val="TableText"/>
              <w:jc w:val="right"/>
              <w:rPr>
                <w:rFonts w:cs="Arial"/>
              </w:rPr>
            </w:pPr>
            <w:r w:rsidRPr="00A0121A">
              <w:rPr>
                <w:rFonts w:cs="Arial"/>
              </w:rPr>
              <w:t>14.1 (12.8,</w:t>
            </w:r>
            <w:r>
              <w:rPr>
                <w:rFonts w:cs="Arial"/>
              </w:rPr>
              <w:t xml:space="preserve"> </w:t>
            </w:r>
            <w:r w:rsidRPr="00A0121A">
              <w:rPr>
                <w:rFonts w:cs="Arial"/>
              </w:rPr>
              <w:t>15.5)</w:t>
            </w:r>
          </w:p>
        </w:tc>
        <w:tc>
          <w:tcPr>
            <w:tcW w:w="668" w:type="dxa"/>
            <w:tcBorders>
              <w:bottom w:val="single" w:sz="4" w:space="0" w:color="000000"/>
            </w:tcBorders>
          </w:tcPr>
          <w:p w14:paraId="7A9B9525" w14:textId="77777777" w:rsidR="009A6E70" w:rsidRPr="00A0121A" w:rsidRDefault="009A6E70" w:rsidP="00EB155C">
            <w:pPr>
              <w:pStyle w:val="TableText"/>
              <w:jc w:val="right"/>
              <w:rPr>
                <w:rFonts w:eastAsia="Calibri" w:cs="Arial"/>
              </w:rPr>
            </w:pPr>
            <w:r w:rsidRPr="00A0121A">
              <w:rPr>
                <w:rFonts w:cs="Arial"/>
              </w:rPr>
              <w:t>1133</w:t>
            </w:r>
          </w:p>
        </w:tc>
        <w:tc>
          <w:tcPr>
            <w:tcW w:w="900" w:type="dxa"/>
            <w:tcBorders>
              <w:bottom w:val="single" w:sz="4" w:space="0" w:color="000000"/>
            </w:tcBorders>
          </w:tcPr>
          <w:p w14:paraId="3DB59F15" w14:textId="77777777" w:rsidR="009A6E70" w:rsidRPr="00A0121A" w:rsidRDefault="009A6E70" w:rsidP="00EB155C">
            <w:pPr>
              <w:pStyle w:val="TableText"/>
              <w:jc w:val="right"/>
              <w:rPr>
                <w:rFonts w:eastAsia="Calibri" w:cs="Arial"/>
              </w:rPr>
            </w:pPr>
            <w:r w:rsidRPr="00A0121A">
              <w:rPr>
                <w:rFonts w:cs="Arial"/>
              </w:rPr>
              <w:t>8683</w:t>
            </w:r>
          </w:p>
        </w:tc>
        <w:tc>
          <w:tcPr>
            <w:tcW w:w="1184" w:type="dxa"/>
            <w:tcBorders>
              <w:bottom w:val="single" w:sz="4" w:space="0" w:color="000000"/>
            </w:tcBorders>
          </w:tcPr>
          <w:p w14:paraId="7BA4BF2B" w14:textId="77777777" w:rsidR="009A6E70" w:rsidRPr="00A0121A" w:rsidRDefault="009A6E70" w:rsidP="00EB155C">
            <w:pPr>
              <w:pStyle w:val="TableText"/>
              <w:jc w:val="right"/>
              <w:rPr>
                <w:rFonts w:eastAsia="Calibri" w:cs="Arial"/>
              </w:rPr>
            </w:pPr>
            <w:r w:rsidRPr="00A0121A">
              <w:rPr>
                <w:rFonts w:cs="Arial"/>
              </w:rPr>
              <w:t>16.5 (13.5,</w:t>
            </w:r>
            <w:r>
              <w:rPr>
                <w:rFonts w:cs="Arial"/>
              </w:rPr>
              <w:t xml:space="preserve"> </w:t>
            </w:r>
            <w:r w:rsidRPr="00A0121A">
              <w:rPr>
                <w:rFonts w:cs="Arial"/>
              </w:rPr>
              <w:t>20.1)</w:t>
            </w:r>
          </w:p>
        </w:tc>
      </w:tr>
      <w:tr w:rsidR="00BF6E26" w:rsidRPr="00A0121A" w14:paraId="359D7E81"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bottom w:val="nil"/>
            </w:tcBorders>
          </w:tcPr>
          <w:p w14:paraId="0931A20F" w14:textId="77777777" w:rsidR="009A6E70" w:rsidRPr="00964CA5" w:rsidRDefault="009A6E70" w:rsidP="00EB155C">
            <w:pPr>
              <w:pStyle w:val="TableText"/>
              <w:rPr>
                <w:rFonts w:cs="Arial"/>
                <w:b/>
              </w:rPr>
            </w:pPr>
            <w:r>
              <w:rPr>
                <w:rFonts w:cs="Arial"/>
                <w:b/>
              </w:rPr>
              <w:t>Collapsed categories</w:t>
            </w:r>
          </w:p>
        </w:tc>
        <w:tc>
          <w:tcPr>
            <w:tcW w:w="720" w:type="dxa"/>
            <w:tcBorders>
              <w:top w:val="single" w:sz="4" w:space="0" w:color="000000"/>
              <w:bottom w:val="nil"/>
            </w:tcBorders>
          </w:tcPr>
          <w:p w14:paraId="5022BED6"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60000A15" w14:textId="77777777" w:rsidR="009A6E70" w:rsidRPr="00A0121A" w:rsidRDefault="009A6E70" w:rsidP="00EB155C">
            <w:pPr>
              <w:pStyle w:val="TableText"/>
              <w:jc w:val="right"/>
              <w:rPr>
                <w:rFonts w:cs="Arial"/>
              </w:rPr>
            </w:pPr>
          </w:p>
        </w:tc>
        <w:tc>
          <w:tcPr>
            <w:tcW w:w="1132" w:type="dxa"/>
            <w:tcBorders>
              <w:top w:val="single" w:sz="4" w:space="0" w:color="000000"/>
              <w:bottom w:val="nil"/>
            </w:tcBorders>
          </w:tcPr>
          <w:p w14:paraId="7C8FA882" w14:textId="77777777" w:rsidR="009A6E70" w:rsidRPr="00A0121A" w:rsidRDefault="009A6E70" w:rsidP="00EB155C">
            <w:pPr>
              <w:pStyle w:val="TableText"/>
              <w:jc w:val="right"/>
              <w:rPr>
                <w:rFonts w:cs="Arial"/>
              </w:rPr>
            </w:pPr>
          </w:p>
        </w:tc>
        <w:tc>
          <w:tcPr>
            <w:tcW w:w="668" w:type="dxa"/>
            <w:tcBorders>
              <w:top w:val="single" w:sz="4" w:space="0" w:color="000000"/>
              <w:bottom w:val="nil"/>
            </w:tcBorders>
          </w:tcPr>
          <w:p w14:paraId="2E407E1C"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7B32CDD0" w14:textId="77777777" w:rsidR="009A6E70" w:rsidRPr="00A0121A" w:rsidRDefault="009A6E70" w:rsidP="00EB155C">
            <w:pPr>
              <w:pStyle w:val="TableText"/>
              <w:jc w:val="right"/>
              <w:rPr>
                <w:rFonts w:cs="Arial"/>
              </w:rPr>
            </w:pPr>
          </w:p>
        </w:tc>
        <w:tc>
          <w:tcPr>
            <w:tcW w:w="1184" w:type="dxa"/>
            <w:tcBorders>
              <w:top w:val="single" w:sz="4" w:space="0" w:color="000000"/>
              <w:bottom w:val="nil"/>
            </w:tcBorders>
          </w:tcPr>
          <w:p w14:paraId="670E9600" w14:textId="77777777" w:rsidR="009A6E70" w:rsidRPr="00A0121A" w:rsidRDefault="009A6E70" w:rsidP="00EB155C">
            <w:pPr>
              <w:pStyle w:val="TableText"/>
              <w:jc w:val="right"/>
              <w:rPr>
                <w:rFonts w:cs="Arial"/>
              </w:rPr>
            </w:pPr>
          </w:p>
        </w:tc>
      </w:tr>
      <w:tr w:rsidR="00BF6E26" w:rsidRPr="00A0121A" w14:paraId="5E80DD39" w14:textId="77777777" w:rsidTr="00BF6E26">
        <w:trPr>
          <w:cantSplit/>
        </w:trPr>
        <w:tc>
          <w:tcPr>
            <w:tcW w:w="1825" w:type="dxa"/>
            <w:tcBorders>
              <w:top w:val="nil"/>
            </w:tcBorders>
          </w:tcPr>
          <w:p w14:paraId="760AE20B" w14:textId="77777777" w:rsidR="009A6E70" w:rsidRPr="00A0121A" w:rsidRDefault="009A6E70" w:rsidP="00EB155C">
            <w:pPr>
              <w:pStyle w:val="TableText"/>
              <w:rPr>
                <w:rFonts w:cs="Arial"/>
              </w:rPr>
            </w:pPr>
            <w:r w:rsidRPr="00A0121A">
              <w:rPr>
                <w:rFonts w:cs="Arial"/>
              </w:rPr>
              <w:t>N/A</w:t>
            </w:r>
          </w:p>
        </w:tc>
        <w:tc>
          <w:tcPr>
            <w:tcW w:w="720" w:type="dxa"/>
            <w:tcBorders>
              <w:top w:val="nil"/>
            </w:tcBorders>
          </w:tcPr>
          <w:p w14:paraId="1A8EAF44" w14:textId="77777777" w:rsidR="009A6E70" w:rsidRPr="00A0121A" w:rsidRDefault="009A6E70" w:rsidP="00EB155C">
            <w:pPr>
              <w:pStyle w:val="TableText"/>
              <w:jc w:val="right"/>
              <w:rPr>
                <w:rFonts w:cs="Arial"/>
              </w:rPr>
            </w:pPr>
            <w:r w:rsidRPr="00A0121A">
              <w:rPr>
                <w:rFonts w:cs="Arial"/>
              </w:rPr>
              <w:t>582</w:t>
            </w:r>
          </w:p>
        </w:tc>
        <w:tc>
          <w:tcPr>
            <w:tcW w:w="900" w:type="dxa"/>
            <w:tcBorders>
              <w:top w:val="nil"/>
            </w:tcBorders>
          </w:tcPr>
          <w:p w14:paraId="6EE69380" w14:textId="77777777" w:rsidR="009A6E70" w:rsidRPr="00A0121A" w:rsidRDefault="009A6E70" w:rsidP="00EB155C">
            <w:pPr>
              <w:pStyle w:val="TableText"/>
              <w:jc w:val="right"/>
              <w:rPr>
                <w:rFonts w:cs="Arial"/>
              </w:rPr>
            </w:pPr>
            <w:r w:rsidRPr="00A0121A">
              <w:rPr>
                <w:rFonts w:cs="Arial"/>
              </w:rPr>
              <w:t>3515</w:t>
            </w:r>
          </w:p>
        </w:tc>
        <w:tc>
          <w:tcPr>
            <w:tcW w:w="1132" w:type="dxa"/>
            <w:tcBorders>
              <w:top w:val="nil"/>
            </w:tcBorders>
          </w:tcPr>
          <w:p w14:paraId="1EB58080" w14:textId="77777777" w:rsidR="009A6E70" w:rsidRPr="00A0121A" w:rsidRDefault="009A6E70" w:rsidP="00EB155C">
            <w:pPr>
              <w:pStyle w:val="TableText"/>
              <w:jc w:val="right"/>
              <w:rPr>
                <w:rFonts w:cs="Arial"/>
              </w:rPr>
            </w:pPr>
            <w:r w:rsidRPr="00A0121A">
              <w:rPr>
                <w:rFonts w:cs="Arial"/>
              </w:rPr>
              <w:t>14.1 (12.8,</w:t>
            </w:r>
            <w:r>
              <w:rPr>
                <w:rFonts w:cs="Arial"/>
              </w:rPr>
              <w:t xml:space="preserve"> </w:t>
            </w:r>
            <w:r w:rsidRPr="00A0121A">
              <w:rPr>
                <w:rFonts w:cs="Arial"/>
              </w:rPr>
              <w:t>15.5)</w:t>
            </w:r>
          </w:p>
        </w:tc>
        <w:tc>
          <w:tcPr>
            <w:tcW w:w="668" w:type="dxa"/>
            <w:tcBorders>
              <w:top w:val="nil"/>
            </w:tcBorders>
          </w:tcPr>
          <w:p w14:paraId="340F70AA" w14:textId="77777777" w:rsidR="009A6E70" w:rsidRPr="00A0121A" w:rsidRDefault="009A6E70" w:rsidP="00EB155C">
            <w:pPr>
              <w:pStyle w:val="TableText"/>
              <w:jc w:val="right"/>
              <w:rPr>
                <w:rFonts w:cs="Arial"/>
              </w:rPr>
            </w:pPr>
            <w:r w:rsidRPr="00A0121A">
              <w:rPr>
                <w:rFonts w:cs="Arial"/>
              </w:rPr>
              <w:t>1133</w:t>
            </w:r>
          </w:p>
        </w:tc>
        <w:tc>
          <w:tcPr>
            <w:tcW w:w="900" w:type="dxa"/>
            <w:tcBorders>
              <w:top w:val="nil"/>
            </w:tcBorders>
          </w:tcPr>
          <w:p w14:paraId="4F61EC25" w14:textId="77777777" w:rsidR="009A6E70" w:rsidRPr="00A0121A" w:rsidRDefault="009A6E70" w:rsidP="00EB155C">
            <w:pPr>
              <w:pStyle w:val="TableText"/>
              <w:jc w:val="right"/>
              <w:rPr>
                <w:rFonts w:cs="Arial"/>
              </w:rPr>
            </w:pPr>
            <w:r w:rsidRPr="00A0121A">
              <w:rPr>
                <w:rFonts w:cs="Arial"/>
              </w:rPr>
              <w:t>8683</w:t>
            </w:r>
          </w:p>
        </w:tc>
        <w:tc>
          <w:tcPr>
            <w:tcW w:w="1184" w:type="dxa"/>
            <w:tcBorders>
              <w:top w:val="nil"/>
            </w:tcBorders>
          </w:tcPr>
          <w:p w14:paraId="7AAD1EBB" w14:textId="77777777" w:rsidR="009A6E70" w:rsidRPr="00A0121A" w:rsidRDefault="009A6E70" w:rsidP="00EB155C">
            <w:pPr>
              <w:pStyle w:val="TableText"/>
              <w:jc w:val="right"/>
              <w:rPr>
                <w:rFonts w:cs="Arial"/>
              </w:rPr>
            </w:pPr>
            <w:r w:rsidRPr="00A0121A">
              <w:rPr>
                <w:rFonts w:cs="Arial"/>
              </w:rPr>
              <w:t>16.5 (13.5,</w:t>
            </w:r>
            <w:r>
              <w:rPr>
                <w:rFonts w:cs="Arial"/>
              </w:rPr>
              <w:t xml:space="preserve"> </w:t>
            </w:r>
            <w:r w:rsidRPr="00A0121A">
              <w:rPr>
                <w:rFonts w:cs="Arial"/>
              </w:rPr>
              <w:t>20.1)</w:t>
            </w:r>
          </w:p>
        </w:tc>
      </w:tr>
      <w:tr w:rsidR="00BF6E26" w:rsidRPr="00A0121A" w14:paraId="09512CAC" w14:textId="77777777" w:rsidTr="00BF6E26">
        <w:trPr>
          <w:cnfStyle w:val="000000100000" w:firstRow="0" w:lastRow="0" w:firstColumn="0" w:lastColumn="0" w:oddVBand="0" w:evenVBand="0" w:oddHBand="1" w:evenHBand="0" w:firstRowFirstColumn="0" w:firstRowLastColumn="0" w:lastRowFirstColumn="0" w:lastRowLastColumn="0"/>
          <w:cantSplit/>
        </w:trPr>
        <w:tc>
          <w:tcPr>
            <w:tcW w:w="1825" w:type="dxa"/>
          </w:tcPr>
          <w:p w14:paraId="10B3C620" w14:textId="77777777" w:rsidR="009A6E70" w:rsidRPr="00A0121A" w:rsidRDefault="009A6E70" w:rsidP="00EB155C">
            <w:pPr>
              <w:pStyle w:val="TableText"/>
              <w:rPr>
                <w:rFonts w:cs="Arial"/>
              </w:rPr>
            </w:pPr>
            <w:r>
              <w:rPr>
                <w:rFonts w:cs="Arial"/>
              </w:rPr>
              <w:t>Not true</w:t>
            </w:r>
          </w:p>
        </w:tc>
        <w:tc>
          <w:tcPr>
            <w:tcW w:w="720" w:type="dxa"/>
          </w:tcPr>
          <w:p w14:paraId="5BC47B1C" w14:textId="77777777" w:rsidR="009A6E70" w:rsidRPr="00A0121A" w:rsidRDefault="009A6E70" w:rsidP="00EB155C">
            <w:pPr>
              <w:pStyle w:val="TableText"/>
              <w:jc w:val="right"/>
              <w:rPr>
                <w:rFonts w:cs="Arial"/>
              </w:rPr>
            </w:pPr>
            <w:r w:rsidRPr="00A0121A">
              <w:rPr>
                <w:rFonts w:cs="Arial"/>
              </w:rPr>
              <w:t>2127</w:t>
            </w:r>
          </w:p>
        </w:tc>
        <w:tc>
          <w:tcPr>
            <w:tcW w:w="900" w:type="dxa"/>
          </w:tcPr>
          <w:p w14:paraId="1BB3D7F0" w14:textId="77777777" w:rsidR="009A6E70" w:rsidRPr="00A0121A" w:rsidRDefault="009A6E70" w:rsidP="00EB155C">
            <w:pPr>
              <w:pStyle w:val="TableText"/>
              <w:jc w:val="right"/>
              <w:rPr>
                <w:rFonts w:cs="Arial"/>
              </w:rPr>
            </w:pPr>
            <w:r w:rsidRPr="00A0121A">
              <w:rPr>
                <w:rFonts w:cs="Arial"/>
              </w:rPr>
              <w:t>14</w:t>
            </w:r>
            <w:r>
              <w:rPr>
                <w:rFonts w:cs="Arial"/>
              </w:rPr>
              <w:t>,</w:t>
            </w:r>
            <w:r w:rsidRPr="00A0121A">
              <w:rPr>
                <w:rFonts w:cs="Arial"/>
              </w:rPr>
              <w:t>703</w:t>
            </w:r>
          </w:p>
        </w:tc>
        <w:tc>
          <w:tcPr>
            <w:tcW w:w="1132" w:type="dxa"/>
          </w:tcPr>
          <w:p w14:paraId="5D6FC1D7" w14:textId="77777777" w:rsidR="009A6E70" w:rsidRPr="00A0121A" w:rsidRDefault="009A6E70" w:rsidP="00EB155C">
            <w:pPr>
              <w:pStyle w:val="TableText"/>
              <w:jc w:val="right"/>
              <w:rPr>
                <w:rFonts w:cs="Arial"/>
              </w:rPr>
            </w:pPr>
            <w:r w:rsidRPr="00A0121A">
              <w:rPr>
                <w:rFonts w:cs="Arial"/>
              </w:rPr>
              <w:t>59.0 (56.9,</w:t>
            </w:r>
            <w:r>
              <w:rPr>
                <w:rFonts w:cs="Arial"/>
              </w:rPr>
              <w:t xml:space="preserve"> </w:t>
            </w:r>
            <w:r w:rsidRPr="00A0121A">
              <w:rPr>
                <w:rFonts w:cs="Arial"/>
              </w:rPr>
              <w:t>61.0)</w:t>
            </w:r>
          </w:p>
        </w:tc>
        <w:tc>
          <w:tcPr>
            <w:tcW w:w="668" w:type="dxa"/>
          </w:tcPr>
          <w:p w14:paraId="236C4307" w14:textId="77777777" w:rsidR="009A6E70" w:rsidRPr="00A0121A" w:rsidRDefault="009A6E70" w:rsidP="00EB155C">
            <w:pPr>
              <w:pStyle w:val="TableText"/>
              <w:jc w:val="right"/>
              <w:rPr>
                <w:rFonts w:cs="Arial"/>
              </w:rPr>
            </w:pPr>
            <w:r w:rsidRPr="00A0121A">
              <w:rPr>
                <w:rFonts w:cs="Arial"/>
              </w:rPr>
              <w:t>4976</w:t>
            </w:r>
          </w:p>
        </w:tc>
        <w:tc>
          <w:tcPr>
            <w:tcW w:w="900" w:type="dxa"/>
          </w:tcPr>
          <w:p w14:paraId="0B5428EE" w14:textId="77777777" w:rsidR="009A6E70" w:rsidRPr="00A0121A" w:rsidRDefault="009A6E70" w:rsidP="00EB155C">
            <w:pPr>
              <w:pStyle w:val="TableText"/>
              <w:jc w:val="right"/>
              <w:rPr>
                <w:rFonts w:cs="Arial"/>
              </w:rPr>
            </w:pPr>
            <w:r w:rsidRPr="00A0121A">
              <w:rPr>
                <w:rFonts w:cs="Arial"/>
              </w:rPr>
              <w:t>32</w:t>
            </w:r>
            <w:r>
              <w:rPr>
                <w:rFonts w:cs="Arial"/>
              </w:rPr>
              <w:t>,</w:t>
            </w:r>
            <w:r w:rsidRPr="00A0121A">
              <w:rPr>
                <w:rFonts w:cs="Arial"/>
              </w:rPr>
              <w:t>488</w:t>
            </w:r>
          </w:p>
        </w:tc>
        <w:tc>
          <w:tcPr>
            <w:tcW w:w="1184" w:type="dxa"/>
          </w:tcPr>
          <w:p w14:paraId="36B2ED95" w14:textId="77777777" w:rsidR="009A6E70" w:rsidRPr="00A0121A" w:rsidRDefault="009A6E70" w:rsidP="00EB155C">
            <w:pPr>
              <w:pStyle w:val="TableText"/>
              <w:jc w:val="right"/>
              <w:rPr>
                <w:rFonts w:cs="Arial"/>
              </w:rPr>
            </w:pPr>
            <w:r w:rsidRPr="00A0121A">
              <w:rPr>
                <w:rFonts w:cs="Arial"/>
              </w:rPr>
              <w:t>61.9 (57.7,</w:t>
            </w:r>
            <w:r>
              <w:rPr>
                <w:rFonts w:cs="Arial"/>
              </w:rPr>
              <w:t xml:space="preserve"> </w:t>
            </w:r>
            <w:r w:rsidRPr="00A0121A">
              <w:rPr>
                <w:rFonts w:cs="Arial"/>
              </w:rPr>
              <w:t>65.9)</w:t>
            </w:r>
          </w:p>
        </w:tc>
      </w:tr>
      <w:tr w:rsidR="00BF6E26" w:rsidRPr="00A0121A" w14:paraId="1928FD40" w14:textId="77777777" w:rsidTr="00BF6E26">
        <w:trPr>
          <w:cantSplit/>
        </w:trPr>
        <w:tc>
          <w:tcPr>
            <w:tcW w:w="1825" w:type="dxa"/>
          </w:tcPr>
          <w:p w14:paraId="0A2B772A" w14:textId="77777777" w:rsidR="009A6E70" w:rsidRPr="00A0121A" w:rsidRDefault="009A6E70" w:rsidP="00EB155C">
            <w:pPr>
              <w:pStyle w:val="TableText"/>
              <w:rPr>
                <w:rFonts w:cs="Arial"/>
              </w:rPr>
            </w:pPr>
            <w:r w:rsidRPr="00A0121A">
              <w:rPr>
                <w:rFonts w:cs="Arial"/>
              </w:rPr>
              <w:t>True</w:t>
            </w:r>
            <w:r>
              <w:rPr>
                <w:rFonts w:cs="Arial"/>
              </w:rPr>
              <w:t xml:space="preserve"> (A bit true/very true)</w:t>
            </w:r>
          </w:p>
        </w:tc>
        <w:tc>
          <w:tcPr>
            <w:tcW w:w="720" w:type="dxa"/>
          </w:tcPr>
          <w:p w14:paraId="40872DF8" w14:textId="77777777" w:rsidR="009A6E70" w:rsidRPr="00A0121A" w:rsidRDefault="009A6E70" w:rsidP="00EB155C">
            <w:pPr>
              <w:pStyle w:val="TableText"/>
              <w:jc w:val="right"/>
              <w:rPr>
                <w:rFonts w:cs="Arial"/>
              </w:rPr>
            </w:pPr>
            <w:r w:rsidRPr="00A0121A">
              <w:rPr>
                <w:rFonts w:cs="Arial"/>
              </w:rPr>
              <w:t>809</w:t>
            </w:r>
          </w:p>
        </w:tc>
        <w:tc>
          <w:tcPr>
            <w:tcW w:w="900" w:type="dxa"/>
          </w:tcPr>
          <w:p w14:paraId="1CFB6746" w14:textId="77777777" w:rsidR="009A6E70" w:rsidRPr="00A0121A" w:rsidRDefault="009A6E70" w:rsidP="00EB155C">
            <w:pPr>
              <w:pStyle w:val="TableText"/>
              <w:jc w:val="right"/>
              <w:rPr>
                <w:rFonts w:eastAsia="Calibri" w:cs="Arial"/>
              </w:rPr>
            </w:pPr>
            <w:r w:rsidRPr="00A0121A">
              <w:rPr>
                <w:rFonts w:cs="Arial"/>
              </w:rPr>
              <w:t>6544</w:t>
            </w:r>
          </w:p>
        </w:tc>
        <w:tc>
          <w:tcPr>
            <w:tcW w:w="1132" w:type="dxa"/>
          </w:tcPr>
          <w:p w14:paraId="73B5BCA5" w14:textId="77777777" w:rsidR="009A6E70" w:rsidRPr="00A0121A" w:rsidRDefault="009A6E70" w:rsidP="00EB155C">
            <w:pPr>
              <w:pStyle w:val="TableText"/>
              <w:jc w:val="right"/>
              <w:rPr>
                <w:rFonts w:cs="Arial"/>
              </w:rPr>
            </w:pPr>
            <w:r w:rsidRPr="00A0121A">
              <w:rPr>
                <w:rFonts w:cs="Arial"/>
              </w:rPr>
              <w:t>26.2 (24.4,</w:t>
            </w:r>
            <w:r>
              <w:rPr>
                <w:rFonts w:cs="Arial"/>
              </w:rPr>
              <w:t xml:space="preserve"> </w:t>
            </w:r>
            <w:r w:rsidRPr="00A0121A">
              <w:rPr>
                <w:rFonts w:cs="Arial"/>
              </w:rPr>
              <w:t>28.2)</w:t>
            </w:r>
          </w:p>
        </w:tc>
        <w:tc>
          <w:tcPr>
            <w:tcW w:w="668" w:type="dxa"/>
          </w:tcPr>
          <w:p w14:paraId="1E130C71" w14:textId="77777777" w:rsidR="009A6E70" w:rsidRPr="00A0121A" w:rsidRDefault="009A6E70" w:rsidP="00EB155C">
            <w:pPr>
              <w:pStyle w:val="TableText"/>
              <w:jc w:val="right"/>
              <w:rPr>
                <w:rFonts w:eastAsia="Calibri" w:cs="Arial"/>
              </w:rPr>
            </w:pPr>
            <w:r w:rsidRPr="00A0121A">
              <w:rPr>
                <w:rFonts w:cs="Arial"/>
              </w:rPr>
              <w:t>1194</w:t>
            </w:r>
          </w:p>
        </w:tc>
        <w:tc>
          <w:tcPr>
            <w:tcW w:w="900" w:type="dxa"/>
          </w:tcPr>
          <w:p w14:paraId="5BD10053" w14:textId="77777777" w:rsidR="009A6E70" w:rsidRPr="00A0121A" w:rsidRDefault="009A6E70" w:rsidP="00EB155C">
            <w:pPr>
              <w:pStyle w:val="TableText"/>
              <w:jc w:val="right"/>
              <w:rPr>
                <w:rFonts w:eastAsia="Calibri" w:cs="Arial"/>
              </w:rPr>
            </w:pPr>
            <w:r w:rsidRPr="00A0121A">
              <w:rPr>
                <w:rFonts w:cs="Arial"/>
              </w:rPr>
              <w:t>10</w:t>
            </w:r>
            <w:r>
              <w:rPr>
                <w:rFonts w:cs="Arial"/>
              </w:rPr>
              <w:t>,</w:t>
            </w:r>
            <w:r w:rsidRPr="00A0121A">
              <w:rPr>
                <w:rFonts w:cs="Arial"/>
              </w:rPr>
              <w:t>432</w:t>
            </w:r>
          </w:p>
        </w:tc>
        <w:tc>
          <w:tcPr>
            <w:tcW w:w="1184" w:type="dxa"/>
          </w:tcPr>
          <w:p w14:paraId="7C064F9C" w14:textId="77777777" w:rsidR="009A6E70" w:rsidRPr="00A0121A" w:rsidRDefault="009A6E70" w:rsidP="00EB155C">
            <w:pPr>
              <w:pStyle w:val="TableText"/>
              <w:jc w:val="right"/>
              <w:rPr>
                <w:rFonts w:eastAsia="Calibri" w:cs="Arial"/>
              </w:rPr>
            </w:pPr>
            <w:r w:rsidRPr="00A0121A">
              <w:rPr>
                <w:rFonts w:cs="Arial"/>
              </w:rPr>
              <w:t>19.9 (16.5,</w:t>
            </w:r>
            <w:r>
              <w:rPr>
                <w:rFonts w:cs="Arial"/>
              </w:rPr>
              <w:t xml:space="preserve"> </w:t>
            </w:r>
            <w:r w:rsidRPr="00A0121A">
              <w:rPr>
                <w:rFonts w:cs="Arial"/>
              </w:rPr>
              <w:t>23.7)</w:t>
            </w:r>
          </w:p>
        </w:tc>
      </w:tr>
    </w:tbl>
    <w:p w14:paraId="5488312D" w14:textId="77777777" w:rsidR="009A6E70" w:rsidRPr="0065520F" w:rsidRDefault="009A6E70" w:rsidP="009A6E70">
      <w:pPr>
        <w:pStyle w:val="TableNotes"/>
      </w:pPr>
      <w:r w:rsidRPr="0065520F">
        <w:t>Notes</w:t>
      </w:r>
    </w:p>
    <w:p w14:paraId="07D37CA5" w14:textId="77777777" w:rsidR="009A6E70" w:rsidRPr="004C7947" w:rsidRDefault="009A6E70" w:rsidP="009A6E70">
      <w:pPr>
        <w:pStyle w:val="TableNotes"/>
      </w:pPr>
      <w:r w:rsidRPr="004C7947">
        <w:t>Denominator: Entire cohort</w:t>
      </w:r>
      <w:r>
        <w:t>.</w:t>
      </w:r>
    </w:p>
    <w:p w14:paraId="57616BA1" w14:textId="77777777" w:rsidR="009A6E70" w:rsidRPr="004C7947" w:rsidRDefault="009A6E70" w:rsidP="009A6E70">
      <w:pPr>
        <w:pStyle w:val="TableNotes"/>
      </w:pPr>
      <w:r w:rsidRPr="004C7947">
        <w:t>Based on weighted counts, 170 (0.7%) Transitioned ADF and 897 (1.7%) 2015 Regular ADF had a missing value for this question.</w:t>
      </w:r>
      <w:r>
        <w:t xml:space="preserve"> </w:t>
      </w:r>
      <w:r w:rsidRPr="004C7947">
        <w:t>However, distributions are calculated by including those with a missing value to allow for correct weighted totals.</w:t>
      </w:r>
    </w:p>
    <w:p w14:paraId="4F6AE757" w14:textId="77777777" w:rsidR="009A6E70" w:rsidRPr="004C7947" w:rsidRDefault="009A6E70" w:rsidP="009A6E70">
      <w:pPr>
        <w:pStyle w:val="TableNotes"/>
      </w:pPr>
      <w:r w:rsidRPr="004C7947">
        <w:t>95%CI</w:t>
      </w:r>
      <w:r>
        <w:t xml:space="preserve"> =</w:t>
      </w:r>
      <w:r w:rsidRPr="004C7947">
        <w:t xml:space="preserve"> 95% </w:t>
      </w:r>
      <w:r>
        <w:t>confidence interval.</w:t>
      </w:r>
    </w:p>
    <w:p w14:paraId="5339C501" w14:textId="77777777" w:rsidR="009A6E70" w:rsidRDefault="009A6E70" w:rsidP="009A6E70">
      <w:pPr>
        <w:pStyle w:val="TableNotes"/>
      </w:pPr>
      <w:r w:rsidRPr="004C7947">
        <w:t>For a full description of odds ratios, interpretation and strength of association</w:t>
      </w:r>
      <w:r>
        <w:t>,</w:t>
      </w:r>
      <w:r w:rsidRPr="004C7947">
        <w:t xml:space="preserve"> please refer to Table B.1</w:t>
      </w:r>
      <w:r w:rsidRPr="00BB1B84">
        <w:t xml:space="preserve"> in </w:t>
      </w:r>
      <w:r w:rsidR="00374073">
        <w:t>Annex </w:t>
      </w:r>
      <w:r>
        <w:t>B, Odds ratio table.</w:t>
      </w:r>
    </w:p>
    <w:p w14:paraId="6A478D61" w14:textId="5FEF9E3E" w:rsidR="009A6E70" w:rsidRDefault="009A6E70" w:rsidP="009A6E70">
      <w:pPr>
        <w:pStyle w:val="FigureName"/>
        <w:rPr>
          <w:lang w:eastAsia="en-AU"/>
        </w:rPr>
      </w:pPr>
      <w:bookmarkStart w:id="368" w:name="_Ref508181008"/>
      <w:bookmarkStart w:id="369" w:name="_Toc509922939"/>
      <w:bookmarkStart w:id="370" w:name="_Toc515374713"/>
      <w:bookmarkStart w:id="371" w:name="_Toc528932397"/>
      <w:bookmarkStart w:id="372" w:name="_Toc531858077"/>
      <w:r>
        <w:t xml:space="preserve">Figure </w:t>
      </w:r>
      <w:r>
        <w:rPr>
          <w:noProof/>
        </w:rPr>
        <w:t>4</w:t>
      </w:r>
      <w:r>
        <w:t>.</w:t>
      </w:r>
      <w:r>
        <w:rPr>
          <w:noProof/>
        </w:rPr>
        <w:t>5</w:t>
      </w:r>
      <w:bookmarkEnd w:id="368"/>
      <w:r>
        <w:tab/>
      </w:r>
      <w:r w:rsidRPr="00F65B2B">
        <w:t xml:space="preserve">Estimated proportion of Transitioned ADF and 2015 Regular ADF </w:t>
      </w:r>
      <w:r>
        <w:t>who reported that</w:t>
      </w:r>
      <w:r w:rsidRPr="00F65B2B">
        <w:t xml:space="preserve"> it</w:t>
      </w:r>
      <w:r>
        <w:t xml:space="preserve"> was</w:t>
      </w:r>
      <w:r w:rsidRPr="00F65B2B">
        <w:t xml:space="preserve"> easier to be themselves online than when they </w:t>
      </w:r>
      <w:r>
        <w:t>were</w:t>
      </w:r>
      <w:r w:rsidRPr="00F65B2B">
        <w:t xml:space="preserve"> face to face with people</w:t>
      </w:r>
      <w:bookmarkEnd w:id="369"/>
      <w:bookmarkEnd w:id="370"/>
      <w:bookmarkEnd w:id="371"/>
      <w:bookmarkEnd w:id="372"/>
    </w:p>
    <w:p w14:paraId="5607B028" w14:textId="77777777" w:rsidR="009A6E70" w:rsidRPr="00BF6E26" w:rsidRDefault="00BF6E26" w:rsidP="00BF6E26">
      <w:pPr>
        <w:spacing w:after="240"/>
      </w:pPr>
      <w:r w:rsidRPr="00A0121A">
        <w:rPr>
          <w:rFonts w:ascii="Calibri Light" w:hAnsi="Calibri Light"/>
          <w:noProof/>
          <w:lang w:eastAsia="en-AU"/>
        </w:rPr>
        <w:drawing>
          <wp:inline distT="0" distB="0" distL="0" distR="0" wp14:anchorId="6615D810" wp14:editId="0288FB80">
            <wp:extent cx="4572000" cy="2147010"/>
            <wp:effectExtent l="0" t="0" r="0" b="5715"/>
            <wp:docPr id="452" name="Picture 452" descr="Figure 4.5 Estimated proportion of Transitioned ADF and 2015 Regular ADF who reported that it was easier to be themselves online than when they were face to face with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HealthSciences\SPHCP\CTSS\DATA REPOSITORY\TWRP\REPORT 5\FIGURE_5_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2147010"/>
                    </a:xfrm>
                    <a:prstGeom prst="rect">
                      <a:avLst/>
                    </a:prstGeom>
                    <a:noFill/>
                    <a:ln>
                      <a:noFill/>
                    </a:ln>
                  </pic:spPr>
                </pic:pic>
              </a:graphicData>
            </a:graphic>
          </wp:inline>
        </w:drawing>
      </w:r>
    </w:p>
    <w:p w14:paraId="7FFDDA46" w14:textId="77777777" w:rsidR="009A6E70" w:rsidRPr="00EC421D" w:rsidRDefault="009A6E70" w:rsidP="009A6E70">
      <w:pPr>
        <w:pStyle w:val="Heading3"/>
        <w:numPr>
          <w:ilvl w:val="2"/>
          <w:numId w:val="1"/>
        </w:numPr>
      </w:pPr>
      <w:bookmarkStart w:id="373" w:name="_Toc509917431"/>
      <w:bookmarkStart w:id="374" w:name="_Toc515374473"/>
      <w:bookmarkStart w:id="375" w:name="_Toc518566362"/>
      <w:bookmarkStart w:id="376" w:name="_Toc528932658"/>
      <w:bookmarkStart w:id="377" w:name="_Toc531859195"/>
      <w:r w:rsidRPr="00EC421D">
        <w:t>Talk</w:t>
      </w:r>
      <w:r>
        <w:t>ed</w:t>
      </w:r>
      <w:r w:rsidRPr="00EC421D">
        <w:t xml:space="preserve"> about different things online than when face to face</w:t>
      </w:r>
      <w:bookmarkEnd w:id="373"/>
      <w:bookmarkEnd w:id="374"/>
      <w:bookmarkEnd w:id="375"/>
      <w:bookmarkEnd w:id="376"/>
      <w:bookmarkEnd w:id="377"/>
    </w:p>
    <w:p w14:paraId="48ABB746" w14:textId="77777777" w:rsidR="009A6E70" w:rsidRDefault="009A6E70" w:rsidP="00BF6E26">
      <w:pPr>
        <w:keepLines/>
      </w:pPr>
      <w:r>
        <w:t xml:space="preserve">Approximately one quarter of the </w:t>
      </w:r>
      <w:r w:rsidRPr="00A0121A">
        <w:t>Transitioned ADF</w:t>
      </w:r>
      <w:r>
        <w:t xml:space="preserve"> (24.5%)</w:t>
      </w:r>
      <w:r w:rsidRPr="00A0121A">
        <w:t xml:space="preserve"> and 2015 Regular ADF</w:t>
      </w:r>
      <w:r>
        <w:t xml:space="preserve"> (24.2%)</w:t>
      </w:r>
      <w:r w:rsidRPr="00A0121A">
        <w:t xml:space="preserve"> </w:t>
      </w:r>
      <w:r>
        <w:t xml:space="preserve">reported that they talked about different things with people online than when they were with people face to face (Table </w:t>
      </w:r>
      <w:r>
        <w:rPr>
          <w:noProof/>
        </w:rPr>
        <w:t>4.6</w:t>
      </w:r>
      <w:r w:rsidRPr="00421C76">
        <w:t xml:space="preserve"> and </w:t>
      </w:r>
      <w:r>
        <w:t xml:space="preserve">Figure </w:t>
      </w:r>
      <w:r>
        <w:rPr>
          <w:noProof/>
        </w:rPr>
        <w:t>4.6</w:t>
      </w:r>
      <w:r>
        <w:t>). There were no differences between the Transitioned ADF and the 2015 Regular ADF.</w:t>
      </w:r>
    </w:p>
    <w:p w14:paraId="7EA2DE67" w14:textId="77777777" w:rsidR="009A6E70" w:rsidRDefault="009A6E70" w:rsidP="009A6E70">
      <w:pPr>
        <w:pStyle w:val="TableName"/>
        <w:rPr>
          <w:rFonts w:eastAsia="SimSun"/>
          <w:szCs w:val="22"/>
        </w:rPr>
      </w:pPr>
      <w:bookmarkStart w:id="378" w:name="_Ref508181035"/>
      <w:bookmarkStart w:id="379" w:name="_Toc509922866"/>
      <w:bookmarkStart w:id="380" w:name="_Toc515374641"/>
      <w:bookmarkStart w:id="381" w:name="_Toc528932315"/>
      <w:bookmarkStart w:id="382" w:name="_Toc531857994"/>
      <w:r>
        <w:t xml:space="preserve">Table </w:t>
      </w:r>
      <w:r>
        <w:rPr>
          <w:noProof/>
        </w:rPr>
        <w:t>4</w:t>
      </w:r>
      <w:r>
        <w:t>.</w:t>
      </w:r>
      <w:r>
        <w:rPr>
          <w:noProof/>
        </w:rPr>
        <w:t>6</w:t>
      </w:r>
      <w:bookmarkEnd w:id="378"/>
      <w:r>
        <w:tab/>
      </w:r>
      <w:r w:rsidRPr="003C38BD">
        <w:t>Estimated proportion of Transitioned ADF and 2015 Regular ADF who indicated they talk</w:t>
      </w:r>
      <w:r>
        <w:t>ed</w:t>
      </w:r>
      <w:r w:rsidRPr="003C38BD">
        <w:t xml:space="preserve"> about different things with people online than when they </w:t>
      </w:r>
      <w:r>
        <w:t>were</w:t>
      </w:r>
      <w:r w:rsidRPr="003C38BD">
        <w:t xml:space="preserve"> with people face to face</w:t>
      </w:r>
      <w:bookmarkEnd w:id="379"/>
      <w:bookmarkEnd w:id="380"/>
      <w:bookmarkEnd w:id="381"/>
      <w:bookmarkEnd w:id="382"/>
    </w:p>
    <w:tbl>
      <w:tblPr>
        <w:tblStyle w:val="TWRPTable"/>
        <w:tblW w:w="5000" w:type="pct"/>
        <w:tblLayout w:type="fixed"/>
        <w:tblCellMar>
          <w:left w:w="115" w:type="dxa"/>
          <w:right w:w="115" w:type="dxa"/>
        </w:tblCellMar>
        <w:tblLook w:val="0000" w:firstRow="0" w:lastRow="0" w:firstColumn="0" w:lastColumn="0" w:noHBand="0" w:noVBand="0"/>
        <w:tblDescription w:val="Table 4.6 Estimated proportion of Transitioned ADF and 2015 Regular ADF who indicated they talked about different things with people online than when they were with people face to face"/>
      </w:tblPr>
      <w:tblGrid>
        <w:gridCol w:w="1757"/>
        <w:gridCol w:w="700"/>
        <w:gridCol w:w="872"/>
        <w:gridCol w:w="1094"/>
        <w:gridCol w:w="650"/>
        <w:gridCol w:w="872"/>
        <w:gridCol w:w="1144"/>
      </w:tblGrid>
      <w:tr w:rsidR="00BF6E26" w:rsidRPr="00A0121A" w14:paraId="1AC405F6" w14:textId="77777777" w:rsidTr="006722DB">
        <w:trPr>
          <w:cantSplit/>
          <w:tblHeader/>
        </w:trPr>
        <w:tc>
          <w:tcPr>
            <w:tcW w:w="1825" w:type="dxa"/>
            <w:vMerge w:val="restart"/>
            <w:tcBorders>
              <w:top w:val="single" w:sz="4" w:space="0" w:color="000000"/>
            </w:tcBorders>
            <w:vAlign w:val="bottom"/>
          </w:tcPr>
          <w:p w14:paraId="493B1DCA" w14:textId="77777777" w:rsidR="00BF6E26" w:rsidRPr="00EC421D" w:rsidRDefault="00BF6E26" w:rsidP="00BF6E26">
            <w:pPr>
              <w:pStyle w:val="TableText"/>
              <w:rPr>
                <w:b/>
              </w:rPr>
            </w:pPr>
            <w:r w:rsidRPr="00EC421D">
              <w:rPr>
                <w:rFonts w:eastAsia="Calibri" w:cs="Calibri"/>
                <w:b/>
              </w:rPr>
              <w:t xml:space="preserve">I talk about different things with people when online than I do when </w:t>
            </w:r>
            <w:r>
              <w:rPr>
                <w:rFonts w:eastAsia="Calibri" w:cs="Calibri"/>
                <w:b/>
              </w:rPr>
              <w:t>face to face.</w:t>
            </w:r>
          </w:p>
        </w:tc>
        <w:tc>
          <w:tcPr>
            <w:tcW w:w="2752" w:type="dxa"/>
            <w:gridSpan w:val="3"/>
            <w:tcBorders>
              <w:top w:val="single" w:sz="4" w:space="0" w:color="000000"/>
              <w:bottom w:val="single" w:sz="4" w:space="0" w:color="000000"/>
            </w:tcBorders>
          </w:tcPr>
          <w:p w14:paraId="7BF29855" w14:textId="77777777" w:rsidR="00BF6E26" w:rsidRPr="00EC421D" w:rsidRDefault="00BF6E26" w:rsidP="00BF6E26">
            <w:pPr>
              <w:pStyle w:val="TableText"/>
              <w:jc w:val="center"/>
              <w:rPr>
                <w:b/>
              </w:rPr>
            </w:pPr>
            <w:r w:rsidRPr="00EC421D">
              <w:rPr>
                <w:b/>
              </w:rPr>
              <w:t>Transitioned ADF</w:t>
            </w:r>
            <w:r>
              <w:rPr>
                <w:b/>
              </w:rPr>
              <w:br/>
            </w:r>
            <w:r w:rsidRPr="00EC421D">
              <w:rPr>
                <w:b/>
              </w:rPr>
              <w:t>n=24</w:t>
            </w:r>
            <w:r>
              <w:rPr>
                <w:b/>
              </w:rPr>
              <w:t>,</w:t>
            </w:r>
            <w:r w:rsidRPr="00EC421D">
              <w:rPr>
                <w:b/>
              </w:rPr>
              <w:t>932</w:t>
            </w:r>
          </w:p>
        </w:tc>
        <w:tc>
          <w:tcPr>
            <w:tcW w:w="2752" w:type="dxa"/>
            <w:gridSpan w:val="3"/>
            <w:tcBorders>
              <w:top w:val="single" w:sz="4" w:space="0" w:color="000000"/>
              <w:bottom w:val="single" w:sz="4" w:space="0" w:color="000000"/>
            </w:tcBorders>
          </w:tcPr>
          <w:p w14:paraId="24CAFFCC" w14:textId="77777777" w:rsidR="00BF6E26" w:rsidRPr="00EC421D" w:rsidRDefault="00BF6E26" w:rsidP="00BF6E26">
            <w:pPr>
              <w:pStyle w:val="TableText"/>
              <w:jc w:val="center"/>
              <w:rPr>
                <w:b/>
              </w:rPr>
            </w:pPr>
            <w:r w:rsidRPr="00EC421D">
              <w:rPr>
                <w:b/>
              </w:rPr>
              <w:t>2015 Regular ADF</w:t>
            </w:r>
            <w:r>
              <w:rPr>
                <w:b/>
              </w:rPr>
              <w:br/>
            </w:r>
            <w:r w:rsidRPr="00EC421D">
              <w:rPr>
                <w:b/>
              </w:rPr>
              <w:t>n=52</w:t>
            </w:r>
            <w:r>
              <w:rPr>
                <w:b/>
              </w:rPr>
              <w:t>,</w:t>
            </w:r>
            <w:r w:rsidRPr="00EC421D">
              <w:rPr>
                <w:b/>
              </w:rPr>
              <w:t>500</w:t>
            </w:r>
          </w:p>
        </w:tc>
      </w:tr>
      <w:tr w:rsidR="00BF6E26" w:rsidRPr="00A0121A" w14:paraId="2C507E29" w14:textId="77777777" w:rsidTr="006722DB">
        <w:trPr>
          <w:cantSplit/>
          <w:tblHeader/>
        </w:trPr>
        <w:tc>
          <w:tcPr>
            <w:tcW w:w="1825" w:type="dxa"/>
            <w:vMerge/>
            <w:tcBorders>
              <w:bottom w:val="single" w:sz="4" w:space="0" w:color="000000"/>
            </w:tcBorders>
          </w:tcPr>
          <w:p w14:paraId="6D256177" w14:textId="77777777" w:rsidR="00BF6E26" w:rsidRPr="00EC421D" w:rsidRDefault="00BF6E26" w:rsidP="00EB155C">
            <w:pPr>
              <w:pStyle w:val="TableText"/>
              <w:rPr>
                <w:rFonts w:eastAsia="Calibri" w:cs="Arial"/>
                <w:b/>
              </w:rPr>
            </w:pPr>
          </w:p>
        </w:tc>
        <w:tc>
          <w:tcPr>
            <w:tcW w:w="720" w:type="dxa"/>
            <w:tcBorders>
              <w:top w:val="single" w:sz="4" w:space="0" w:color="000000"/>
              <w:bottom w:val="single" w:sz="4" w:space="0" w:color="000000"/>
            </w:tcBorders>
          </w:tcPr>
          <w:p w14:paraId="4E190DC9" w14:textId="77777777" w:rsidR="00BF6E26" w:rsidRPr="00EC421D" w:rsidRDefault="00BF6E26" w:rsidP="00EB155C">
            <w:pPr>
              <w:pStyle w:val="TableText"/>
              <w:jc w:val="right"/>
              <w:rPr>
                <w:rFonts w:eastAsia="Calibri" w:cs="Arial"/>
                <w:b/>
              </w:rPr>
            </w:pPr>
            <w:r w:rsidRPr="00EC421D">
              <w:rPr>
                <w:rFonts w:eastAsia="Calibri" w:cs="Arial"/>
                <w:b/>
              </w:rPr>
              <w:t>n</w:t>
            </w:r>
          </w:p>
        </w:tc>
        <w:tc>
          <w:tcPr>
            <w:tcW w:w="900" w:type="dxa"/>
            <w:tcBorders>
              <w:top w:val="single" w:sz="4" w:space="0" w:color="000000"/>
              <w:bottom w:val="single" w:sz="4" w:space="0" w:color="000000"/>
            </w:tcBorders>
          </w:tcPr>
          <w:p w14:paraId="3232C617" w14:textId="77777777" w:rsidR="00BF6E26" w:rsidRPr="00EC421D" w:rsidRDefault="00BF6E26" w:rsidP="00EB155C">
            <w:pPr>
              <w:pStyle w:val="TableText"/>
              <w:jc w:val="right"/>
              <w:rPr>
                <w:rFonts w:eastAsia="Calibri" w:cs="Arial"/>
                <w:b/>
              </w:rPr>
            </w:pPr>
            <w:r w:rsidRPr="00EC421D">
              <w:rPr>
                <w:rFonts w:eastAsia="Calibri" w:cs="Arial"/>
                <w:b/>
              </w:rPr>
              <w:t>Weighted n</w:t>
            </w:r>
          </w:p>
        </w:tc>
        <w:tc>
          <w:tcPr>
            <w:tcW w:w="1132" w:type="dxa"/>
            <w:tcBorders>
              <w:top w:val="single" w:sz="4" w:space="0" w:color="000000"/>
              <w:bottom w:val="single" w:sz="4" w:space="0" w:color="000000"/>
            </w:tcBorders>
          </w:tcPr>
          <w:p w14:paraId="60E633AD" w14:textId="77777777" w:rsidR="00BF6E26" w:rsidRPr="00EC421D" w:rsidRDefault="00BF6E26" w:rsidP="00EB155C">
            <w:pPr>
              <w:pStyle w:val="TableText"/>
              <w:jc w:val="right"/>
              <w:rPr>
                <w:rFonts w:eastAsia="Calibri" w:cs="Arial"/>
                <w:b/>
              </w:rPr>
            </w:pPr>
            <w:r w:rsidRPr="00EC421D">
              <w:rPr>
                <w:rFonts w:eastAsia="Calibri" w:cs="Arial"/>
                <w:b/>
              </w:rPr>
              <w:t>% (95%CI)</w:t>
            </w:r>
          </w:p>
        </w:tc>
        <w:tc>
          <w:tcPr>
            <w:tcW w:w="668" w:type="dxa"/>
            <w:tcBorders>
              <w:top w:val="single" w:sz="4" w:space="0" w:color="000000"/>
              <w:bottom w:val="single" w:sz="4" w:space="0" w:color="000000"/>
            </w:tcBorders>
          </w:tcPr>
          <w:p w14:paraId="7A594D16" w14:textId="77777777" w:rsidR="00BF6E26" w:rsidRPr="00EC421D" w:rsidRDefault="00BF6E26" w:rsidP="00EB155C">
            <w:pPr>
              <w:pStyle w:val="TableText"/>
              <w:jc w:val="right"/>
              <w:rPr>
                <w:rFonts w:eastAsia="Calibri" w:cs="Arial"/>
                <w:b/>
              </w:rPr>
            </w:pPr>
            <w:r w:rsidRPr="00EC421D">
              <w:rPr>
                <w:rFonts w:eastAsia="Calibri" w:cs="Arial"/>
                <w:b/>
              </w:rPr>
              <w:t>n</w:t>
            </w:r>
          </w:p>
        </w:tc>
        <w:tc>
          <w:tcPr>
            <w:tcW w:w="900" w:type="dxa"/>
            <w:tcBorders>
              <w:top w:val="single" w:sz="4" w:space="0" w:color="000000"/>
              <w:bottom w:val="single" w:sz="4" w:space="0" w:color="000000"/>
            </w:tcBorders>
          </w:tcPr>
          <w:p w14:paraId="4EEF2BA5" w14:textId="77777777" w:rsidR="00BF6E26" w:rsidRPr="00EC421D" w:rsidRDefault="00BF6E26" w:rsidP="00EB155C">
            <w:pPr>
              <w:pStyle w:val="TableText"/>
              <w:jc w:val="right"/>
              <w:rPr>
                <w:rFonts w:eastAsia="Calibri" w:cs="Arial"/>
                <w:b/>
              </w:rPr>
            </w:pPr>
            <w:r w:rsidRPr="00EC421D">
              <w:rPr>
                <w:rFonts w:eastAsia="Calibri" w:cs="Arial"/>
                <w:b/>
              </w:rPr>
              <w:t>Weighted n</w:t>
            </w:r>
          </w:p>
        </w:tc>
        <w:tc>
          <w:tcPr>
            <w:tcW w:w="1184" w:type="dxa"/>
            <w:tcBorders>
              <w:top w:val="single" w:sz="4" w:space="0" w:color="000000"/>
              <w:bottom w:val="single" w:sz="4" w:space="0" w:color="000000"/>
            </w:tcBorders>
          </w:tcPr>
          <w:p w14:paraId="486A2D16" w14:textId="77777777" w:rsidR="00BF6E26" w:rsidRPr="00EC421D" w:rsidRDefault="00BF6E26" w:rsidP="00EB155C">
            <w:pPr>
              <w:pStyle w:val="TableText"/>
              <w:jc w:val="right"/>
              <w:rPr>
                <w:rFonts w:eastAsia="Calibri" w:cs="Arial"/>
                <w:b/>
              </w:rPr>
            </w:pPr>
            <w:r w:rsidRPr="00EC421D">
              <w:rPr>
                <w:rFonts w:eastAsia="Calibri" w:cs="Arial"/>
                <w:b/>
              </w:rPr>
              <w:t>% (95%CI)</w:t>
            </w:r>
          </w:p>
        </w:tc>
      </w:tr>
      <w:tr w:rsidR="009A6E70" w:rsidRPr="00A0121A" w14:paraId="496453C6"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tcBorders>
          </w:tcPr>
          <w:p w14:paraId="2704A437" w14:textId="77777777" w:rsidR="009A6E70" w:rsidRPr="00A0121A" w:rsidRDefault="009A6E70" w:rsidP="00EB155C">
            <w:pPr>
              <w:pStyle w:val="TableText"/>
              <w:rPr>
                <w:rFonts w:eastAsia="Calibri" w:cs="Arial"/>
              </w:rPr>
            </w:pPr>
            <w:r w:rsidRPr="00A0121A">
              <w:rPr>
                <w:rFonts w:cs="Arial"/>
              </w:rPr>
              <w:t>Not true</w:t>
            </w:r>
          </w:p>
        </w:tc>
        <w:tc>
          <w:tcPr>
            <w:tcW w:w="720" w:type="dxa"/>
            <w:tcBorders>
              <w:top w:val="single" w:sz="4" w:space="0" w:color="000000"/>
            </w:tcBorders>
          </w:tcPr>
          <w:p w14:paraId="781CAA18" w14:textId="77777777" w:rsidR="009A6E70" w:rsidRPr="00A0121A" w:rsidRDefault="009A6E70" w:rsidP="00EB155C">
            <w:pPr>
              <w:pStyle w:val="TableText"/>
              <w:jc w:val="right"/>
              <w:rPr>
                <w:rFonts w:cs="Arial"/>
              </w:rPr>
            </w:pPr>
            <w:r w:rsidRPr="00A0121A">
              <w:rPr>
                <w:rFonts w:cs="Arial"/>
              </w:rPr>
              <w:t>2030</w:t>
            </w:r>
          </w:p>
        </w:tc>
        <w:tc>
          <w:tcPr>
            <w:tcW w:w="900" w:type="dxa"/>
            <w:tcBorders>
              <w:top w:val="single" w:sz="4" w:space="0" w:color="000000"/>
            </w:tcBorders>
          </w:tcPr>
          <w:p w14:paraId="7EB64BEF" w14:textId="77777777" w:rsidR="009A6E70" w:rsidRPr="00A0121A" w:rsidRDefault="009A6E70" w:rsidP="00EB155C">
            <w:pPr>
              <w:pStyle w:val="TableText"/>
              <w:jc w:val="right"/>
              <w:rPr>
                <w:rFonts w:cs="Arial"/>
              </w:rPr>
            </w:pPr>
            <w:r w:rsidRPr="00A0121A">
              <w:rPr>
                <w:rFonts w:cs="Arial"/>
              </w:rPr>
              <w:t>14</w:t>
            </w:r>
            <w:r>
              <w:rPr>
                <w:rFonts w:cs="Arial"/>
              </w:rPr>
              <w:t>,</w:t>
            </w:r>
            <w:r w:rsidRPr="00A0121A">
              <w:rPr>
                <w:rFonts w:cs="Arial"/>
              </w:rPr>
              <w:t>166</w:t>
            </w:r>
          </w:p>
        </w:tc>
        <w:tc>
          <w:tcPr>
            <w:tcW w:w="1132" w:type="dxa"/>
            <w:tcBorders>
              <w:top w:val="single" w:sz="4" w:space="0" w:color="000000"/>
            </w:tcBorders>
          </w:tcPr>
          <w:p w14:paraId="328BFB59" w14:textId="77777777" w:rsidR="009A6E70" w:rsidRPr="00A0121A" w:rsidRDefault="009A6E70" w:rsidP="00EB155C">
            <w:pPr>
              <w:pStyle w:val="TableText"/>
              <w:jc w:val="right"/>
              <w:rPr>
                <w:rFonts w:eastAsia="Calibri" w:cs="Arial"/>
              </w:rPr>
            </w:pPr>
            <w:r w:rsidRPr="00A0121A">
              <w:rPr>
                <w:rFonts w:cs="Arial"/>
              </w:rPr>
              <w:t>56.8 (54.7,</w:t>
            </w:r>
            <w:r>
              <w:rPr>
                <w:rFonts w:cs="Arial"/>
              </w:rPr>
              <w:t xml:space="preserve"> </w:t>
            </w:r>
            <w:r w:rsidRPr="00A0121A">
              <w:rPr>
                <w:rFonts w:cs="Arial"/>
              </w:rPr>
              <w:t>58.9)</w:t>
            </w:r>
          </w:p>
        </w:tc>
        <w:tc>
          <w:tcPr>
            <w:tcW w:w="668" w:type="dxa"/>
            <w:tcBorders>
              <w:top w:val="single" w:sz="4" w:space="0" w:color="000000"/>
            </w:tcBorders>
          </w:tcPr>
          <w:p w14:paraId="3F3651FC" w14:textId="77777777" w:rsidR="009A6E70" w:rsidRPr="00A0121A" w:rsidRDefault="009A6E70" w:rsidP="00EB155C">
            <w:pPr>
              <w:pStyle w:val="TableText"/>
              <w:jc w:val="right"/>
              <w:rPr>
                <w:rFonts w:eastAsia="Calibri" w:cs="Arial"/>
              </w:rPr>
            </w:pPr>
            <w:r w:rsidRPr="00A0121A">
              <w:rPr>
                <w:rFonts w:cs="Arial"/>
              </w:rPr>
              <w:t>4594</w:t>
            </w:r>
          </w:p>
        </w:tc>
        <w:tc>
          <w:tcPr>
            <w:tcW w:w="900" w:type="dxa"/>
            <w:tcBorders>
              <w:top w:val="single" w:sz="4" w:space="0" w:color="000000"/>
            </w:tcBorders>
          </w:tcPr>
          <w:p w14:paraId="21F4036B" w14:textId="77777777" w:rsidR="009A6E70" w:rsidRPr="00A0121A" w:rsidRDefault="009A6E70" w:rsidP="00EB155C">
            <w:pPr>
              <w:pStyle w:val="TableText"/>
              <w:jc w:val="right"/>
              <w:rPr>
                <w:rFonts w:eastAsia="Calibri" w:cs="Arial"/>
              </w:rPr>
            </w:pPr>
            <w:r w:rsidRPr="00A0121A">
              <w:rPr>
                <w:rFonts w:cs="Arial"/>
              </w:rPr>
              <w:t>29</w:t>
            </w:r>
            <w:r>
              <w:rPr>
                <w:rFonts w:cs="Arial"/>
              </w:rPr>
              <w:t>,</w:t>
            </w:r>
            <w:r w:rsidRPr="00A0121A">
              <w:rPr>
                <w:rFonts w:cs="Arial"/>
              </w:rPr>
              <w:t>008</w:t>
            </w:r>
          </w:p>
        </w:tc>
        <w:tc>
          <w:tcPr>
            <w:tcW w:w="1184" w:type="dxa"/>
            <w:tcBorders>
              <w:top w:val="single" w:sz="4" w:space="0" w:color="000000"/>
            </w:tcBorders>
          </w:tcPr>
          <w:p w14:paraId="2933F5AA" w14:textId="77777777" w:rsidR="009A6E70" w:rsidRPr="00A0121A" w:rsidRDefault="009A6E70" w:rsidP="00EB155C">
            <w:pPr>
              <w:pStyle w:val="TableText"/>
              <w:jc w:val="right"/>
              <w:rPr>
                <w:rFonts w:eastAsia="Calibri" w:cs="Arial"/>
              </w:rPr>
            </w:pPr>
            <w:r w:rsidRPr="00A0121A">
              <w:rPr>
                <w:rFonts w:cs="Arial"/>
              </w:rPr>
              <w:t>55.3 (51.2,</w:t>
            </w:r>
            <w:r>
              <w:rPr>
                <w:rFonts w:cs="Arial"/>
              </w:rPr>
              <w:t xml:space="preserve"> </w:t>
            </w:r>
            <w:r w:rsidRPr="00A0121A">
              <w:rPr>
                <w:rFonts w:cs="Arial"/>
              </w:rPr>
              <w:t>59.3)</w:t>
            </w:r>
          </w:p>
        </w:tc>
      </w:tr>
      <w:tr w:rsidR="009A6E70" w:rsidRPr="00A0121A" w14:paraId="21B830F3" w14:textId="77777777" w:rsidTr="006722DB">
        <w:trPr>
          <w:cantSplit/>
        </w:trPr>
        <w:tc>
          <w:tcPr>
            <w:tcW w:w="1825" w:type="dxa"/>
          </w:tcPr>
          <w:p w14:paraId="28EEA4AE" w14:textId="77777777" w:rsidR="009A6E70" w:rsidRPr="00A0121A" w:rsidRDefault="009A6E70" w:rsidP="00EB155C">
            <w:pPr>
              <w:pStyle w:val="TableText"/>
              <w:rPr>
                <w:rFonts w:eastAsia="Calibri" w:cs="Arial"/>
              </w:rPr>
            </w:pPr>
            <w:r w:rsidRPr="00A0121A">
              <w:rPr>
                <w:rFonts w:cs="Arial"/>
              </w:rPr>
              <w:t xml:space="preserve">A bit true </w:t>
            </w:r>
          </w:p>
        </w:tc>
        <w:tc>
          <w:tcPr>
            <w:tcW w:w="720" w:type="dxa"/>
          </w:tcPr>
          <w:p w14:paraId="66306134" w14:textId="77777777" w:rsidR="009A6E70" w:rsidRPr="00A0121A" w:rsidRDefault="009A6E70" w:rsidP="00EB155C">
            <w:pPr>
              <w:pStyle w:val="TableText"/>
              <w:jc w:val="right"/>
              <w:rPr>
                <w:rFonts w:eastAsia="Calibri" w:cs="Arial"/>
              </w:rPr>
            </w:pPr>
            <w:r w:rsidRPr="00A0121A">
              <w:rPr>
                <w:rFonts w:cs="Arial"/>
              </w:rPr>
              <w:t>513</w:t>
            </w:r>
          </w:p>
        </w:tc>
        <w:tc>
          <w:tcPr>
            <w:tcW w:w="900" w:type="dxa"/>
          </w:tcPr>
          <w:p w14:paraId="690DF85B" w14:textId="77777777" w:rsidR="009A6E70" w:rsidRPr="00A0121A" w:rsidRDefault="009A6E70" w:rsidP="00EB155C">
            <w:pPr>
              <w:pStyle w:val="TableText"/>
              <w:jc w:val="right"/>
              <w:rPr>
                <w:rFonts w:eastAsia="Calibri" w:cs="Arial"/>
              </w:rPr>
            </w:pPr>
            <w:r w:rsidRPr="00A0121A">
              <w:rPr>
                <w:rFonts w:cs="Arial"/>
              </w:rPr>
              <w:t>4235</w:t>
            </w:r>
          </w:p>
        </w:tc>
        <w:tc>
          <w:tcPr>
            <w:tcW w:w="1132" w:type="dxa"/>
          </w:tcPr>
          <w:p w14:paraId="57FDAD8C" w14:textId="77777777" w:rsidR="009A6E70" w:rsidRPr="00A0121A" w:rsidRDefault="009A6E70" w:rsidP="00EB155C">
            <w:pPr>
              <w:pStyle w:val="TableText"/>
              <w:jc w:val="right"/>
              <w:rPr>
                <w:rFonts w:eastAsia="Calibri" w:cs="Arial"/>
              </w:rPr>
            </w:pPr>
            <w:r w:rsidRPr="00A0121A">
              <w:rPr>
                <w:rFonts w:cs="Arial"/>
              </w:rPr>
              <w:t>17.0 (15.4,</w:t>
            </w:r>
            <w:r>
              <w:rPr>
                <w:rFonts w:cs="Arial"/>
              </w:rPr>
              <w:t xml:space="preserve"> </w:t>
            </w:r>
            <w:r w:rsidRPr="00A0121A">
              <w:rPr>
                <w:rFonts w:cs="Arial"/>
              </w:rPr>
              <w:t>18.7)</w:t>
            </w:r>
          </w:p>
        </w:tc>
        <w:tc>
          <w:tcPr>
            <w:tcW w:w="668" w:type="dxa"/>
          </w:tcPr>
          <w:p w14:paraId="39F7C2AE" w14:textId="77777777" w:rsidR="009A6E70" w:rsidRPr="00A0121A" w:rsidRDefault="009A6E70" w:rsidP="00EB155C">
            <w:pPr>
              <w:pStyle w:val="TableText"/>
              <w:jc w:val="right"/>
              <w:rPr>
                <w:rFonts w:eastAsia="Calibri" w:cs="Arial"/>
              </w:rPr>
            </w:pPr>
            <w:r w:rsidRPr="00A0121A">
              <w:rPr>
                <w:rFonts w:cs="Arial"/>
              </w:rPr>
              <w:t>945</w:t>
            </w:r>
          </w:p>
        </w:tc>
        <w:tc>
          <w:tcPr>
            <w:tcW w:w="900" w:type="dxa"/>
          </w:tcPr>
          <w:p w14:paraId="70F4597C" w14:textId="77777777" w:rsidR="009A6E70" w:rsidRPr="00A0121A" w:rsidRDefault="009A6E70" w:rsidP="00EB155C">
            <w:pPr>
              <w:pStyle w:val="TableText"/>
              <w:jc w:val="right"/>
              <w:rPr>
                <w:rFonts w:eastAsia="Calibri" w:cs="Arial"/>
              </w:rPr>
            </w:pPr>
            <w:r w:rsidRPr="00A0121A">
              <w:rPr>
                <w:rFonts w:cs="Arial"/>
              </w:rPr>
              <w:t>9567</w:t>
            </w:r>
          </w:p>
        </w:tc>
        <w:tc>
          <w:tcPr>
            <w:tcW w:w="1184" w:type="dxa"/>
          </w:tcPr>
          <w:p w14:paraId="6919E6CD" w14:textId="77777777" w:rsidR="009A6E70" w:rsidRPr="00A0121A" w:rsidRDefault="009A6E70" w:rsidP="00EB155C">
            <w:pPr>
              <w:pStyle w:val="TableText"/>
              <w:jc w:val="right"/>
              <w:rPr>
                <w:rFonts w:eastAsia="Calibri" w:cs="Arial"/>
              </w:rPr>
            </w:pPr>
            <w:r w:rsidRPr="00A0121A">
              <w:rPr>
                <w:rFonts w:cs="Arial"/>
              </w:rPr>
              <w:t>18.2 (14.8,</w:t>
            </w:r>
            <w:r>
              <w:rPr>
                <w:rFonts w:cs="Arial"/>
              </w:rPr>
              <w:t xml:space="preserve"> </w:t>
            </w:r>
            <w:r w:rsidRPr="00A0121A">
              <w:rPr>
                <w:rFonts w:cs="Arial"/>
              </w:rPr>
              <w:t>22.2)</w:t>
            </w:r>
          </w:p>
        </w:tc>
      </w:tr>
      <w:tr w:rsidR="009A6E70" w:rsidRPr="00A0121A" w14:paraId="0A79DDDC"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323A9206" w14:textId="77777777" w:rsidR="009A6E70" w:rsidRPr="00A0121A" w:rsidRDefault="009A6E70" w:rsidP="00EB155C">
            <w:pPr>
              <w:pStyle w:val="TableText"/>
              <w:rPr>
                <w:rFonts w:eastAsia="Calibri" w:cs="ArialMT"/>
              </w:rPr>
            </w:pPr>
            <w:r w:rsidRPr="00A0121A">
              <w:rPr>
                <w:rFonts w:cs="Arial"/>
              </w:rPr>
              <w:t>Very true</w:t>
            </w:r>
          </w:p>
        </w:tc>
        <w:tc>
          <w:tcPr>
            <w:tcW w:w="720" w:type="dxa"/>
          </w:tcPr>
          <w:p w14:paraId="0C00CF6B" w14:textId="77777777" w:rsidR="009A6E70" w:rsidRPr="00A0121A" w:rsidRDefault="009A6E70" w:rsidP="00EB155C">
            <w:pPr>
              <w:pStyle w:val="TableText"/>
              <w:jc w:val="right"/>
              <w:rPr>
                <w:rFonts w:eastAsia="Calibri" w:cs="Arial"/>
              </w:rPr>
            </w:pPr>
            <w:r w:rsidRPr="00A0121A">
              <w:rPr>
                <w:rFonts w:cs="Arial"/>
              </w:rPr>
              <w:t>214</w:t>
            </w:r>
          </w:p>
        </w:tc>
        <w:tc>
          <w:tcPr>
            <w:tcW w:w="900" w:type="dxa"/>
          </w:tcPr>
          <w:p w14:paraId="1621EA2E" w14:textId="77777777" w:rsidR="009A6E70" w:rsidRPr="00A0121A" w:rsidRDefault="009A6E70" w:rsidP="00EB155C">
            <w:pPr>
              <w:pStyle w:val="TableText"/>
              <w:jc w:val="right"/>
              <w:rPr>
                <w:rFonts w:eastAsia="Calibri" w:cs="Arial"/>
              </w:rPr>
            </w:pPr>
            <w:r w:rsidRPr="00A0121A">
              <w:rPr>
                <w:rFonts w:cs="Arial"/>
              </w:rPr>
              <w:t>1871</w:t>
            </w:r>
          </w:p>
        </w:tc>
        <w:tc>
          <w:tcPr>
            <w:tcW w:w="1132" w:type="dxa"/>
          </w:tcPr>
          <w:p w14:paraId="2E21A3EE" w14:textId="77777777" w:rsidR="009A6E70" w:rsidRPr="00A0121A" w:rsidRDefault="009A6E70" w:rsidP="00EB155C">
            <w:pPr>
              <w:pStyle w:val="TableText"/>
              <w:jc w:val="right"/>
              <w:rPr>
                <w:rFonts w:eastAsia="Calibri" w:cs="Arial"/>
              </w:rPr>
            </w:pPr>
            <w:r w:rsidRPr="00A0121A">
              <w:rPr>
                <w:rFonts w:cs="Arial"/>
              </w:rPr>
              <w:t>7.5 (6.4,</w:t>
            </w:r>
            <w:r>
              <w:rPr>
                <w:rFonts w:cs="Arial"/>
              </w:rPr>
              <w:t xml:space="preserve"> </w:t>
            </w:r>
            <w:r w:rsidRPr="00A0121A">
              <w:rPr>
                <w:rFonts w:cs="Arial"/>
              </w:rPr>
              <w:t>8.8)</w:t>
            </w:r>
          </w:p>
        </w:tc>
        <w:tc>
          <w:tcPr>
            <w:tcW w:w="668" w:type="dxa"/>
          </w:tcPr>
          <w:p w14:paraId="5B9AA44C" w14:textId="77777777" w:rsidR="009A6E70" w:rsidRPr="00A0121A" w:rsidRDefault="009A6E70" w:rsidP="00EB155C">
            <w:pPr>
              <w:pStyle w:val="TableText"/>
              <w:jc w:val="right"/>
              <w:rPr>
                <w:rFonts w:eastAsia="Calibri" w:cs="Arial"/>
              </w:rPr>
            </w:pPr>
            <w:r w:rsidRPr="00A0121A">
              <w:rPr>
                <w:rFonts w:cs="Arial"/>
              </w:rPr>
              <w:t>297</w:t>
            </w:r>
          </w:p>
        </w:tc>
        <w:tc>
          <w:tcPr>
            <w:tcW w:w="900" w:type="dxa"/>
          </w:tcPr>
          <w:p w14:paraId="569DD259" w14:textId="77777777" w:rsidR="009A6E70" w:rsidRPr="00A0121A" w:rsidRDefault="009A6E70" w:rsidP="00EB155C">
            <w:pPr>
              <w:pStyle w:val="TableText"/>
              <w:jc w:val="right"/>
              <w:rPr>
                <w:rFonts w:eastAsia="Calibri" w:cs="Arial"/>
              </w:rPr>
            </w:pPr>
            <w:r w:rsidRPr="00A0121A">
              <w:rPr>
                <w:rFonts w:cs="Arial"/>
              </w:rPr>
              <w:t>3154</w:t>
            </w:r>
          </w:p>
        </w:tc>
        <w:tc>
          <w:tcPr>
            <w:tcW w:w="1184" w:type="dxa"/>
          </w:tcPr>
          <w:p w14:paraId="7F9B78E5" w14:textId="77777777" w:rsidR="009A6E70" w:rsidRPr="00A0121A" w:rsidRDefault="009A6E70" w:rsidP="00EB155C">
            <w:pPr>
              <w:pStyle w:val="TableText"/>
              <w:jc w:val="right"/>
              <w:rPr>
                <w:rFonts w:eastAsia="Calibri" w:cs="Arial"/>
              </w:rPr>
            </w:pPr>
            <w:r w:rsidRPr="00A0121A">
              <w:rPr>
                <w:rFonts w:cs="Arial"/>
              </w:rPr>
              <w:t>6.0 (4.1,</w:t>
            </w:r>
            <w:r>
              <w:rPr>
                <w:rFonts w:cs="Arial"/>
              </w:rPr>
              <w:t xml:space="preserve"> </w:t>
            </w:r>
            <w:r w:rsidRPr="00A0121A">
              <w:rPr>
                <w:rFonts w:cs="Arial"/>
              </w:rPr>
              <w:t>8.7)</w:t>
            </w:r>
          </w:p>
        </w:tc>
      </w:tr>
      <w:tr w:rsidR="009A6E70" w:rsidRPr="00A0121A" w14:paraId="5C8FBBEC" w14:textId="77777777" w:rsidTr="006722DB">
        <w:trPr>
          <w:cantSplit/>
        </w:trPr>
        <w:tc>
          <w:tcPr>
            <w:tcW w:w="1825" w:type="dxa"/>
            <w:tcBorders>
              <w:bottom w:val="single" w:sz="4" w:space="0" w:color="000000"/>
            </w:tcBorders>
          </w:tcPr>
          <w:p w14:paraId="0040ED5C" w14:textId="77777777" w:rsidR="009A6E70" w:rsidRPr="00A0121A" w:rsidRDefault="009A6E70" w:rsidP="00EB155C">
            <w:pPr>
              <w:pStyle w:val="TableText"/>
              <w:rPr>
                <w:rFonts w:eastAsia="Calibri" w:cs="Arial"/>
              </w:rPr>
            </w:pPr>
            <w:r w:rsidRPr="00A0121A">
              <w:rPr>
                <w:rFonts w:cs="Arial"/>
              </w:rPr>
              <w:t>N/A</w:t>
            </w:r>
          </w:p>
        </w:tc>
        <w:tc>
          <w:tcPr>
            <w:tcW w:w="720" w:type="dxa"/>
            <w:tcBorders>
              <w:bottom w:val="single" w:sz="4" w:space="0" w:color="000000"/>
            </w:tcBorders>
          </w:tcPr>
          <w:p w14:paraId="55DE8AE2" w14:textId="77777777" w:rsidR="009A6E70" w:rsidRPr="00A0121A" w:rsidRDefault="009A6E70" w:rsidP="00EB155C">
            <w:pPr>
              <w:pStyle w:val="TableText"/>
              <w:jc w:val="right"/>
              <w:rPr>
                <w:rFonts w:cs="Arial"/>
              </w:rPr>
            </w:pPr>
            <w:r w:rsidRPr="00A0121A">
              <w:rPr>
                <w:rFonts w:cs="Arial"/>
              </w:rPr>
              <w:t>761</w:t>
            </w:r>
          </w:p>
        </w:tc>
        <w:tc>
          <w:tcPr>
            <w:tcW w:w="900" w:type="dxa"/>
            <w:tcBorders>
              <w:bottom w:val="single" w:sz="4" w:space="0" w:color="000000"/>
            </w:tcBorders>
          </w:tcPr>
          <w:p w14:paraId="5582DD3D" w14:textId="77777777" w:rsidR="009A6E70" w:rsidRPr="00A0121A" w:rsidRDefault="009A6E70" w:rsidP="00EB155C">
            <w:pPr>
              <w:pStyle w:val="TableText"/>
              <w:jc w:val="right"/>
              <w:rPr>
                <w:rFonts w:eastAsia="Calibri" w:cs="Arial"/>
              </w:rPr>
            </w:pPr>
            <w:r w:rsidRPr="00A0121A">
              <w:rPr>
                <w:rFonts w:cs="Arial"/>
              </w:rPr>
              <w:t>4489</w:t>
            </w:r>
          </w:p>
        </w:tc>
        <w:tc>
          <w:tcPr>
            <w:tcW w:w="1132" w:type="dxa"/>
            <w:tcBorders>
              <w:bottom w:val="single" w:sz="4" w:space="0" w:color="000000"/>
            </w:tcBorders>
          </w:tcPr>
          <w:p w14:paraId="186E4CEC" w14:textId="77777777" w:rsidR="009A6E70" w:rsidRPr="00A0121A" w:rsidRDefault="009A6E70" w:rsidP="00EB155C">
            <w:pPr>
              <w:pStyle w:val="TableText"/>
              <w:jc w:val="right"/>
              <w:rPr>
                <w:rFonts w:cs="Arial"/>
              </w:rPr>
            </w:pPr>
            <w:r w:rsidRPr="00A0121A">
              <w:rPr>
                <w:rFonts w:cs="Arial"/>
              </w:rPr>
              <w:t>18.0 (16.6,</w:t>
            </w:r>
            <w:r>
              <w:rPr>
                <w:rFonts w:cs="Arial"/>
              </w:rPr>
              <w:t xml:space="preserve"> </w:t>
            </w:r>
            <w:r w:rsidRPr="00A0121A">
              <w:rPr>
                <w:rFonts w:cs="Arial"/>
              </w:rPr>
              <w:t>19.5)</w:t>
            </w:r>
          </w:p>
        </w:tc>
        <w:tc>
          <w:tcPr>
            <w:tcW w:w="668" w:type="dxa"/>
            <w:tcBorders>
              <w:bottom w:val="single" w:sz="4" w:space="0" w:color="000000"/>
            </w:tcBorders>
          </w:tcPr>
          <w:p w14:paraId="5A89B274" w14:textId="77777777" w:rsidR="009A6E70" w:rsidRPr="00A0121A" w:rsidRDefault="009A6E70" w:rsidP="00EB155C">
            <w:pPr>
              <w:pStyle w:val="TableText"/>
              <w:jc w:val="right"/>
              <w:rPr>
                <w:rFonts w:eastAsia="Calibri" w:cs="Arial"/>
              </w:rPr>
            </w:pPr>
            <w:r w:rsidRPr="00A0121A">
              <w:rPr>
                <w:rFonts w:cs="Arial"/>
              </w:rPr>
              <w:t>1460</w:t>
            </w:r>
          </w:p>
        </w:tc>
        <w:tc>
          <w:tcPr>
            <w:tcW w:w="900" w:type="dxa"/>
            <w:tcBorders>
              <w:bottom w:val="single" w:sz="4" w:space="0" w:color="000000"/>
            </w:tcBorders>
          </w:tcPr>
          <w:p w14:paraId="6F8FF93C" w14:textId="77777777" w:rsidR="009A6E70" w:rsidRPr="00A0121A" w:rsidRDefault="009A6E70" w:rsidP="00EB155C">
            <w:pPr>
              <w:pStyle w:val="TableText"/>
              <w:jc w:val="right"/>
              <w:rPr>
                <w:rFonts w:eastAsia="Calibri" w:cs="Arial"/>
              </w:rPr>
            </w:pPr>
            <w:r w:rsidRPr="00A0121A">
              <w:rPr>
                <w:rFonts w:cs="Arial"/>
              </w:rPr>
              <w:t>9840</w:t>
            </w:r>
          </w:p>
        </w:tc>
        <w:tc>
          <w:tcPr>
            <w:tcW w:w="1184" w:type="dxa"/>
            <w:tcBorders>
              <w:bottom w:val="single" w:sz="4" w:space="0" w:color="000000"/>
            </w:tcBorders>
          </w:tcPr>
          <w:p w14:paraId="01595E9F" w14:textId="77777777" w:rsidR="009A6E70" w:rsidRPr="00A0121A" w:rsidRDefault="009A6E70" w:rsidP="00EB155C">
            <w:pPr>
              <w:pStyle w:val="TableText"/>
              <w:jc w:val="right"/>
              <w:rPr>
                <w:rFonts w:eastAsia="Calibri" w:cs="Arial"/>
              </w:rPr>
            </w:pPr>
            <w:r w:rsidRPr="00A0121A">
              <w:rPr>
                <w:rFonts w:cs="Arial"/>
              </w:rPr>
              <w:t>18.7 (15.7,</w:t>
            </w:r>
            <w:r>
              <w:rPr>
                <w:rFonts w:cs="Arial"/>
              </w:rPr>
              <w:t xml:space="preserve"> </w:t>
            </w:r>
            <w:r w:rsidRPr="00A0121A">
              <w:rPr>
                <w:rFonts w:cs="Arial"/>
              </w:rPr>
              <w:t>22.2)</w:t>
            </w:r>
          </w:p>
        </w:tc>
      </w:tr>
      <w:tr w:rsidR="006722DB" w:rsidRPr="00A0121A" w14:paraId="38EECF2A"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bottom w:val="nil"/>
            </w:tcBorders>
          </w:tcPr>
          <w:p w14:paraId="1129357D" w14:textId="77777777" w:rsidR="009A6E70" w:rsidRPr="00EC421D" w:rsidRDefault="009A6E70" w:rsidP="00EB155C">
            <w:pPr>
              <w:pStyle w:val="TableText"/>
              <w:rPr>
                <w:rFonts w:cs="Arial"/>
                <w:b/>
              </w:rPr>
            </w:pPr>
            <w:r>
              <w:rPr>
                <w:rFonts w:cs="Arial"/>
                <w:b/>
              </w:rPr>
              <w:t>Collapsed categories</w:t>
            </w:r>
          </w:p>
        </w:tc>
        <w:tc>
          <w:tcPr>
            <w:tcW w:w="720" w:type="dxa"/>
            <w:tcBorders>
              <w:top w:val="single" w:sz="4" w:space="0" w:color="000000"/>
              <w:bottom w:val="nil"/>
            </w:tcBorders>
          </w:tcPr>
          <w:p w14:paraId="74F5B8CD"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11BF79C0" w14:textId="77777777" w:rsidR="009A6E70" w:rsidRPr="00A0121A" w:rsidRDefault="009A6E70" w:rsidP="00EB155C">
            <w:pPr>
              <w:pStyle w:val="TableText"/>
              <w:jc w:val="right"/>
              <w:rPr>
                <w:rFonts w:cs="Arial"/>
              </w:rPr>
            </w:pPr>
          </w:p>
        </w:tc>
        <w:tc>
          <w:tcPr>
            <w:tcW w:w="1132" w:type="dxa"/>
            <w:tcBorders>
              <w:top w:val="single" w:sz="4" w:space="0" w:color="000000"/>
              <w:bottom w:val="nil"/>
            </w:tcBorders>
          </w:tcPr>
          <w:p w14:paraId="79AE762A" w14:textId="77777777" w:rsidR="009A6E70" w:rsidRPr="00A0121A" w:rsidRDefault="009A6E70" w:rsidP="00EB155C">
            <w:pPr>
              <w:pStyle w:val="TableText"/>
              <w:jc w:val="right"/>
              <w:rPr>
                <w:rFonts w:cs="Arial"/>
              </w:rPr>
            </w:pPr>
          </w:p>
        </w:tc>
        <w:tc>
          <w:tcPr>
            <w:tcW w:w="668" w:type="dxa"/>
            <w:tcBorders>
              <w:top w:val="single" w:sz="4" w:space="0" w:color="000000"/>
              <w:bottom w:val="nil"/>
            </w:tcBorders>
          </w:tcPr>
          <w:p w14:paraId="34F82B09"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2F97C2D3" w14:textId="77777777" w:rsidR="009A6E70" w:rsidRPr="00A0121A" w:rsidRDefault="009A6E70" w:rsidP="00EB155C">
            <w:pPr>
              <w:pStyle w:val="TableText"/>
              <w:jc w:val="right"/>
              <w:rPr>
                <w:rFonts w:cs="Arial"/>
              </w:rPr>
            </w:pPr>
          </w:p>
        </w:tc>
        <w:tc>
          <w:tcPr>
            <w:tcW w:w="1184" w:type="dxa"/>
            <w:tcBorders>
              <w:top w:val="single" w:sz="4" w:space="0" w:color="000000"/>
              <w:bottom w:val="nil"/>
            </w:tcBorders>
          </w:tcPr>
          <w:p w14:paraId="6C19E839" w14:textId="77777777" w:rsidR="009A6E70" w:rsidRPr="00A0121A" w:rsidRDefault="009A6E70" w:rsidP="00EB155C">
            <w:pPr>
              <w:pStyle w:val="TableText"/>
              <w:jc w:val="right"/>
              <w:rPr>
                <w:rFonts w:cs="Arial"/>
              </w:rPr>
            </w:pPr>
          </w:p>
        </w:tc>
      </w:tr>
      <w:tr w:rsidR="009A6E70" w:rsidRPr="00A0121A" w14:paraId="511DCBFE" w14:textId="77777777" w:rsidTr="006722DB">
        <w:trPr>
          <w:cantSplit/>
        </w:trPr>
        <w:tc>
          <w:tcPr>
            <w:tcW w:w="1825" w:type="dxa"/>
            <w:tcBorders>
              <w:top w:val="nil"/>
            </w:tcBorders>
          </w:tcPr>
          <w:p w14:paraId="3C8E4CDC" w14:textId="77777777" w:rsidR="009A6E70" w:rsidRPr="00A0121A" w:rsidRDefault="009A6E70" w:rsidP="00EB155C">
            <w:pPr>
              <w:pStyle w:val="TableText"/>
              <w:rPr>
                <w:rFonts w:cs="Arial"/>
              </w:rPr>
            </w:pPr>
            <w:r w:rsidRPr="00A0121A">
              <w:rPr>
                <w:rFonts w:cs="Arial"/>
              </w:rPr>
              <w:t>N/A</w:t>
            </w:r>
          </w:p>
        </w:tc>
        <w:tc>
          <w:tcPr>
            <w:tcW w:w="720" w:type="dxa"/>
            <w:tcBorders>
              <w:top w:val="nil"/>
            </w:tcBorders>
          </w:tcPr>
          <w:p w14:paraId="3A275C27" w14:textId="77777777" w:rsidR="009A6E70" w:rsidRPr="00A0121A" w:rsidRDefault="009A6E70" w:rsidP="00EB155C">
            <w:pPr>
              <w:pStyle w:val="TableText"/>
              <w:jc w:val="right"/>
              <w:rPr>
                <w:rFonts w:cs="Arial"/>
              </w:rPr>
            </w:pPr>
            <w:r w:rsidRPr="00A0121A">
              <w:rPr>
                <w:rFonts w:cs="Arial"/>
              </w:rPr>
              <w:t>761</w:t>
            </w:r>
          </w:p>
        </w:tc>
        <w:tc>
          <w:tcPr>
            <w:tcW w:w="900" w:type="dxa"/>
            <w:tcBorders>
              <w:top w:val="nil"/>
            </w:tcBorders>
          </w:tcPr>
          <w:p w14:paraId="130721E8" w14:textId="77777777" w:rsidR="009A6E70" w:rsidRPr="00A0121A" w:rsidRDefault="009A6E70" w:rsidP="00EB155C">
            <w:pPr>
              <w:pStyle w:val="TableText"/>
              <w:jc w:val="right"/>
              <w:rPr>
                <w:rFonts w:cs="Arial"/>
              </w:rPr>
            </w:pPr>
            <w:r w:rsidRPr="00A0121A">
              <w:rPr>
                <w:rFonts w:cs="Arial"/>
              </w:rPr>
              <w:t>4489</w:t>
            </w:r>
          </w:p>
        </w:tc>
        <w:tc>
          <w:tcPr>
            <w:tcW w:w="1132" w:type="dxa"/>
            <w:tcBorders>
              <w:top w:val="nil"/>
            </w:tcBorders>
          </w:tcPr>
          <w:p w14:paraId="13AC7DAD" w14:textId="77777777" w:rsidR="009A6E70" w:rsidRPr="00A0121A" w:rsidRDefault="009A6E70" w:rsidP="00EB155C">
            <w:pPr>
              <w:pStyle w:val="TableText"/>
              <w:jc w:val="right"/>
              <w:rPr>
                <w:rFonts w:cs="Arial"/>
              </w:rPr>
            </w:pPr>
            <w:r w:rsidRPr="00A0121A">
              <w:rPr>
                <w:rFonts w:cs="Arial"/>
              </w:rPr>
              <w:t>18.0 (16.6,</w:t>
            </w:r>
            <w:r>
              <w:rPr>
                <w:rFonts w:cs="Arial"/>
              </w:rPr>
              <w:t xml:space="preserve"> </w:t>
            </w:r>
            <w:r w:rsidRPr="00A0121A">
              <w:rPr>
                <w:rFonts w:cs="Arial"/>
              </w:rPr>
              <w:t>19.5)</w:t>
            </w:r>
          </w:p>
        </w:tc>
        <w:tc>
          <w:tcPr>
            <w:tcW w:w="668" w:type="dxa"/>
            <w:tcBorders>
              <w:top w:val="nil"/>
            </w:tcBorders>
          </w:tcPr>
          <w:p w14:paraId="5B5E18C2" w14:textId="77777777" w:rsidR="009A6E70" w:rsidRPr="00A0121A" w:rsidRDefault="009A6E70" w:rsidP="00EB155C">
            <w:pPr>
              <w:pStyle w:val="TableText"/>
              <w:jc w:val="right"/>
              <w:rPr>
                <w:rFonts w:cs="Arial"/>
              </w:rPr>
            </w:pPr>
            <w:r w:rsidRPr="00A0121A">
              <w:rPr>
                <w:rFonts w:cs="Arial"/>
              </w:rPr>
              <w:t>1460</w:t>
            </w:r>
          </w:p>
        </w:tc>
        <w:tc>
          <w:tcPr>
            <w:tcW w:w="900" w:type="dxa"/>
            <w:tcBorders>
              <w:top w:val="nil"/>
            </w:tcBorders>
          </w:tcPr>
          <w:p w14:paraId="43E8AC2F" w14:textId="77777777" w:rsidR="009A6E70" w:rsidRPr="00A0121A" w:rsidRDefault="009A6E70" w:rsidP="00EB155C">
            <w:pPr>
              <w:pStyle w:val="TableText"/>
              <w:jc w:val="right"/>
              <w:rPr>
                <w:rFonts w:cs="Arial"/>
              </w:rPr>
            </w:pPr>
            <w:r w:rsidRPr="00A0121A">
              <w:rPr>
                <w:rFonts w:cs="Arial"/>
              </w:rPr>
              <w:t>9840</w:t>
            </w:r>
          </w:p>
        </w:tc>
        <w:tc>
          <w:tcPr>
            <w:tcW w:w="1184" w:type="dxa"/>
            <w:tcBorders>
              <w:top w:val="nil"/>
            </w:tcBorders>
          </w:tcPr>
          <w:p w14:paraId="50225B85" w14:textId="77777777" w:rsidR="009A6E70" w:rsidRPr="00A0121A" w:rsidRDefault="009A6E70" w:rsidP="00EB155C">
            <w:pPr>
              <w:pStyle w:val="TableText"/>
              <w:jc w:val="right"/>
              <w:rPr>
                <w:rFonts w:cs="Arial"/>
              </w:rPr>
            </w:pPr>
            <w:r w:rsidRPr="00A0121A">
              <w:rPr>
                <w:rFonts w:cs="Arial"/>
              </w:rPr>
              <w:t>18.7 (15.7,</w:t>
            </w:r>
            <w:r>
              <w:rPr>
                <w:rFonts w:cs="Arial"/>
              </w:rPr>
              <w:t xml:space="preserve"> </w:t>
            </w:r>
            <w:r w:rsidRPr="00A0121A">
              <w:rPr>
                <w:rFonts w:cs="Arial"/>
              </w:rPr>
              <w:t>22.2)</w:t>
            </w:r>
          </w:p>
        </w:tc>
      </w:tr>
      <w:tr w:rsidR="009A6E70" w:rsidRPr="00A0121A" w14:paraId="162F14B5"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7F279E78" w14:textId="77777777" w:rsidR="009A6E70" w:rsidRPr="00A0121A" w:rsidRDefault="009A6E70" w:rsidP="00EB155C">
            <w:pPr>
              <w:pStyle w:val="TableText"/>
              <w:rPr>
                <w:rFonts w:cs="Arial"/>
              </w:rPr>
            </w:pPr>
            <w:r>
              <w:rPr>
                <w:rFonts w:cs="Arial"/>
              </w:rPr>
              <w:t>Not true</w:t>
            </w:r>
          </w:p>
        </w:tc>
        <w:tc>
          <w:tcPr>
            <w:tcW w:w="720" w:type="dxa"/>
          </w:tcPr>
          <w:p w14:paraId="2DF76193" w14:textId="77777777" w:rsidR="009A6E70" w:rsidRPr="00A0121A" w:rsidRDefault="009A6E70" w:rsidP="00EB155C">
            <w:pPr>
              <w:pStyle w:val="TableText"/>
              <w:jc w:val="right"/>
              <w:rPr>
                <w:rFonts w:cs="Arial"/>
              </w:rPr>
            </w:pPr>
            <w:r w:rsidRPr="00A0121A">
              <w:rPr>
                <w:rFonts w:cs="Arial"/>
              </w:rPr>
              <w:t>2030</w:t>
            </w:r>
          </w:p>
        </w:tc>
        <w:tc>
          <w:tcPr>
            <w:tcW w:w="900" w:type="dxa"/>
          </w:tcPr>
          <w:p w14:paraId="0667012C" w14:textId="77777777" w:rsidR="009A6E70" w:rsidRPr="00A0121A" w:rsidRDefault="009A6E70" w:rsidP="00EB155C">
            <w:pPr>
              <w:pStyle w:val="TableText"/>
              <w:jc w:val="right"/>
              <w:rPr>
                <w:rFonts w:cs="Arial"/>
              </w:rPr>
            </w:pPr>
            <w:r w:rsidRPr="00A0121A">
              <w:rPr>
                <w:rFonts w:cs="Arial"/>
              </w:rPr>
              <w:t>14</w:t>
            </w:r>
            <w:r>
              <w:rPr>
                <w:rFonts w:cs="Arial"/>
              </w:rPr>
              <w:t>,</w:t>
            </w:r>
            <w:r w:rsidRPr="00A0121A">
              <w:rPr>
                <w:rFonts w:cs="Arial"/>
              </w:rPr>
              <w:t>166</w:t>
            </w:r>
          </w:p>
        </w:tc>
        <w:tc>
          <w:tcPr>
            <w:tcW w:w="1132" w:type="dxa"/>
          </w:tcPr>
          <w:p w14:paraId="38A4B460" w14:textId="77777777" w:rsidR="009A6E70" w:rsidRPr="00A0121A" w:rsidRDefault="009A6E70" w:rsidP="00EB155C">
            <w:pPr>
              <w:pStyle w:val="TableText"/>
              <w:jc w:val="right"/>
              <w:rPr>
                <w:rFonts w:cs="Arial"/>
              </w:rPr>
            </w:pPr>
            <w:r w:rsidRPr="00A0121A">
              <w:rPr>
                <w:rFonts w:cs="Arial"/>
              </w:rPr>
              <w:t>56.8 (54.7,</w:t>
            </w:r>
            <w:r>
              <w:rPr>
                <w:rFonts w:cs="Arial"/>
              </w:rPr>
              <w:t xml:space="preserve"> </w:t>
            </w:r>
            <w:r w:rsidRPr="00A0121A">
              <w:rPr>
                <w:rFonts w:cs="Arial"/>
              </w:rPr>
              <w:t>58.9)</w:t>
            </w:r>
          </w:p>
        </w:tc>
        <w:tc>
          <w:tcPr>
            <w:tcW w:w="668" w:type="dxa"/>
          </w:tcPr>
          <w:p w14:paraId="21A893FA" w14:textId="77777777" w:rsidR="009A6E70" w:rsidRPr="00A0121A" w:rsidRDefault="009A6E70" w:rsidP="00EB155C">
            <w:pPr>
              <w:pStyle w:val="TableText"/>
              <w:jc w:val="right"/>
              <w:rPr>
                <w:rFonts w:cs="Arial"/>
              </w:rPr>
            </w:pPr>
            <w:r w:rsidRPr="00A0121A">
              <w:rPr>
                <w:rFonts w:cs="Arial"/>
              </w:rPr>
              <w:t>4594</w:t>
            </w:r>
          </w:p>
        </w:tc>
        <w:tc>
          <w:tcPr>
            <w:tcW w:w="900" w:type="dxa"/>
          </w:tcPr>
          <w:p w14:paraId="5B41B423" w14:textId="77777777" w:rsidR="009A6E70" w:rsidRPr="00A0121A" w:rsidRDefault="009A6E70" w:rsidP="00EB155C">
            <w:pPr>
              <w:pStyle w:val="TableText"/>
              <w:jc w:val="right"/>
              <w:rPr>
                <w:rFonts w:cs="Arial"/>
              </w:rPr>
            </w:pPr>
            <w:r w:rsidRPr="00A0121A">
              <w:rPr>
                <w:rFonts w:cs="Arial"/>
              </w:rPr>
              <w:t>29</w:t>
            </w:r>
            <w:r>
              <w:rPr>
                <w:rFonts w:cs="Arial"/>
              </w:rPr>
              <w:t>,</w:t>
            </w:r>
            <w:r w:rsidRPr="00A0121A">
              <w:rPr>
                <w:rFonts w:cs="Arial"/>
              </w:rPr>
              <w:t>008</w:t>
            </w:r>
          </w:p>
        </w:tc>
        <w:tc>
          <w:tcPr>
            <w:tcW w:w="1184" w:type="dxa"/>
          </w:tcPr>
          <w:p w14:paraId="02A88626" w14:textId="77777777" w:rsidR="009A6E70" w:rsidRPr="00A0121A" w:rsidRDefault="009A6E70" w:rsidP="00EB155C">
            <w:pPr>
              <w:pStyle w:val="TableText"/>
              <w:jc w:val="right"/>
              <w:rPr>
                <w:rFonts w:cs="Arial"/>
              </w:rPr>
            </w:pPr>
            <w:r w:rsidRPr="00A0121A">
              <w:rPr>
                <w:rFonts w:cs="Arial"/>
              </w:rPr>
              <w:t>55.3 (51.2,</w:t>
            </w:r>
            <w:r>
              <w:rPr>
                <w:rFonts w:cs="Arial"/>
              </w:rPr>
              <w:t xml:space="preserve"> </w:t>
            </w:r>
            <w:r w:rsidRPr="00A0121A">
              <w:rPr>
                <w:rFonts w:cs="Arial"/>
              </w:rPr>
              <w:t>59.3)</w:t>
            </w:r>
          </w:p>
        </w:tc>
      </w:tr>
      <w:tr w:rsidR="009A6E70" w:rsidRPr="00A0121A" w14:paraId="7BFBD104" w14:textId="77777777" w:rsidTr="006722DB">
        <w:trPr>
          <w:cantSplit/>
        </w:trPr>
        <w:tc>
          <w:tcPr>
            <w:tcW w:w="1825" w:type="dxa"/>
          </w:tcPr>
          <w:p w14:paraId="273A2060" w14:textId="77777777" w:rsidR="009A6E70" w:rsidRPr="00A0121A" w:rsidRDefault="009A6E70" w:rsidP="00EB155C">
            <w:pPr>
              <w:pStyle w:val="TableText"/>
              <w:rPr>
                <w:rFonts w:cs="Arial"/>
              </w:rPr>
            </w:pPr>
            <w:r w:rsidRPr="00A0121A">
              <w:rPr>
                <w:rFonts w:cs="Arial"/>
              </w:rPr>
              <w:t>True</w:t>
            </w:r>
            <w:r>
              <w:rPr>
                <w:rFonts w:cs="Arial"/>
              </w:rPr>
              <w:t xml:space="preserve"> (A bit true/very true)</w:t>
            </w:r>
          </w:p>
        </w:tc>
        <w:tc>
          <w:tcPr>
            <w:tcW w:w="720" w:type="dxa"/>
          </w:tcPr>
          <w:p w14:paraId="7BF8CB54" w14:textId="77777777" w:rsidR="009A6E70" w:rsidRPr="00A0121A" w:rsidRDefault="009A6E70" w:rsidP="00EB155C">
            <w:pPr>
              <w:pStyle w:val="TableText"/>
              <w:jc w:val="right"/>
              <w:rPr>
                <w:rFonts w:cs="Arial"/>
              </w:rPr>
            </w:pPr>
            <w:r w:rsidRPr="00A0121A">
              <w:rPr>
                <w:rFonts w:cs="Arial"/>
              </w:rPr>
              <w:t>727</w:t>
            </w:r>
          </w:p>
        </w:tc>
        <w:tc>
          <w:tcPr>
            <w:tcW w:w="900" w:type="dxa"/>
          </w:tcPr>
          <w:p w14:paraId="129D4829" w14:textId="77777777" w:rsidR="009A6E70" w:rsidRPr="00A0121A" w:rsidRDefault="009A6E70" w:rsidP="00EB155C">
            <w:pPr>
              <w:pStyle w:val="TableText"/>
              <w:jc w:val="right"/>
              <w:rPr>
                <w:rFonts w:eastAsia="Calibri" w:cs="Arial"/>
              </w:rPr>
            </w:pPr>
            <w:r w:rsidRPr="00A0121A">
              <w:rPr>
                <w:rFonts w:cs="Arial"/>
              </w:rPr>
              <w:t>6106</w:t>
            </w:r>
          </w:p>
        </w:tc>
        <w:tc>
          <w:tcPr>
            <w:tcW w:w="1132" w:type="dxa"/>
          </w:tcPr>
          <w:p w14:paraId="36E5FD13" w14:textId="77777777" w:rsidR="009A6E70" w:rsidRPr="00A0121A" w:rsidRDefault="009A6E70" w:rsidP="00EB155C">
            <w:pPr>
              <w:pStyle w:val="TableText"/>
              <w:jc w:val="right"/>
              <w:rPr>
                <w:rFonts w:cs="Arial"/>
              </w:rPr>
            </w:pPr>
            <w:r w:rsidRPr="00A0121A">
              <w:rPr>
                <w:rFonts w:cs="Arial"/>
              </w:rPr>
              <w:t>24.5 (22.6,</w:t>
            </w:r>
            <w:r>
              <w:rPr>
                <w:rFonts w:cs="Arial"/>
              </w:rPr>
              <w:t xml:space="preserve"> </w:t>
            </w:r>
            <w:r w:rsidRPr="00A0121A">
              <w:rPr>
                <w:rFonts w:cs="Arial"/>
              </w:rPr>
              <w:t>26.4)</w:t>
            </w:r>
          </w:p>
        </w:tc>
        <w:tc>
          <w:tcPr>
            <w:tcW w:w="668" w:type="dxa"/>
          </w:tcPr>
          <w:p w14:paraId="302A93E0" w14:textId="77777777" w:rsidR="009A6E70" w:rsidRPr="00A0121A" w:rsidRDefault="009A6E70" w:rsidP="00EB155C">
            <w:pPr>
              <w:pStyle w:val="TableText"/>
              <w:jc w:val="right"/>
              <w:rPr>
                <w:rFonts w:eastAsia="Calibri" w:cs="Arial"/>
              </w:rPr>
            </w:pPr>
            <w:r w:rsidRPr="00A0121A">
              <w:rPr>
                <w:rFonts w:cs="Arial"/>
              </w:rPr>
              <w:t>1242</w:t>
            </w:r>
          </w:p>
        </w:tc>
        <w:tc>
          <w:tcPr>
            <w:tcW w:w="900" w:type="dxa"/>
          </w:tcPr>
          <w:p w14:paraId="6C77C746" w14:textId="77777777" w:rsidR="009A6E70" w:rsidRPr="00A0121A" w:rsidRDefault="009A6E70" w:rsidP="00EB155C">
            <w:pPr>
              <w:pStyle w:val="TableText"/>
              <w:jc w:val="right"/>
              <w:rPr>
                <w:rFonts w:eastAsia="Calibri" w:cs="Arial"/>
              </w:rPr>
            </w:pPr>
            <w:r w:rsidRPr="00A0121A">
              <w:rPr>
                <w:rFonts w:cs="Arial"/>
              </w:rPr>
              <w:t>12721</w:t>
            </w:r>
          </w:p>
        </w:tc>
        <w:tc>
          <w:tcPr>
            <w:tcW w:w="1184" w:type="dxa"/>
          </w:tcPr>
          <w:p w14:paraId="4A24AC89" w14:textId="77777777" w:rsidR="009A6E70" w:rsidRPr="00A0121A" w:rsidRDefault="009A6E70" w:rsidP="00EB155C">
            <w:pPr>
              <w:pStyle w:val="TableText"/>
              <w:jc w:val="right"/>
              <w:rPr>
                <w:rFonts w:eastAsia="Calibri" w:cs="Arial"/>
              </w:rPr>
            </w:pPr>
            <w:r w:rsidRPr="00A0121A">
              <w:rPr>
                <w:rFonts w:cs="Arial"/>
              </w:rPr>
              <w:t>24.2 (20.5,</w:t>
            </w:r>
            <w:r>
              <w:rPr>
                <w:rFonts w:cs="Arial"/>
              </w:rPr>
              <w:t xml:space="preserve"> </w:t>
            </w:r>
            <w:r w:rsidRPr="00A0121A">
              <w:rPr>
                <w:rFonts w:cs="Arial"/>
              </w:rPr>
              <w:t>28.4)</w:t>
            </w:r>
          </w:p>
        </w:tc>
      </w:tr>
    </w:tbl>
    <w:p w14:paraId="068E9113" w14:textId="77777777" w:rsidR="009A6E70" w:rsidRPr="006A3EA0" w:rsidRDefault="009A6E70" w:rsidP="009A6E70">
      <w:pPr>
        <w:pStyle w:val="TableNotes"/>
      </w:pPr>
      <w:r w:rsidRPr="006A3EA0">
        <w:t>Notes</w:t>
      </w:r>
    </w:p>
    <w:p w14:paraId="26603AE1" w14:textId="77777777" w:rsidR="009A6E70" w:rsidRPr="004C7947" w:rsidRDefault="009A6E70" w:rsidP="009A6E70">
      <w:pPr>
        <w:pStyle w:val="TableNotes"/>
      </w:pPr>
      <w:r w:rsidRPr="004C7947">
        <w:t>Denominator: Entire cohort</w:t>
      </w:r>
      <w:r>
        <w:t>.</w:t>
      </w:r>
    </w:p>
    <w:p w14:paraId="54BF8D53" w14:textId="77777777" w:rsidR="009A6E70" w:rsidRPr="004C7947" w:rsidRDefault="009A6E70" w:rsidP="009A6E70">
      <w:pPr>
        <w:pStyle w:val="TableNotes"/>
      </w:pPr>
      <w:r w:rsidRPr="004C7947">
        <w:t>Based on weighted counts</w:t>
      </w:r>
      <w:r>
        <w:t>,</w:t>
      </w:r>
      <w:r w:rsidRPr="004C7947">
        <w:t xml:space="preserve"> 171 (0.7%) Transitioned ADF and 931 (1.8%) 2015 Regular ADF had a missing value for this question.</w:t>
      </w:r>
      <w:r>
        <w:t xml:space="preserve"> </w:t>
      </w:r>
      <w:r w:rsidRPr="004C7947">
        <w:t>However, distributions are calculated by including those with a missing value to allow for correct weighted totals.</w:t>
      </w:r>
    </w:p>
    <w:p w14:paraId="539D7CD9" w14:textId="77777777" w:rsidR="009A6E70" w:rsidRPr="004C7947" w:rsidRDefault="009A6E70" w:rsidP="009A6E70">
      <w:pPr>
        <w:pStyle w:val="TableNotes"/>
      </w:pPr>
      <w:r w:rsidRPr="004C7947">
        <w:t>95%CI</w:t>
      </w:r>
      <w:r>
        <w:t xml:space="preserve"> =</w:t>
      </w:r>
      <w:r w:rsidRPr="004C7947">
        <w:t xml:space="preserve"> 95% </w:t>
      </w:r>
      <w:r>
        <w:t>confidence interval.</w:t>
      </w:r>
    </w:p>
    <w:p w14:paraId="5BCB668C" w14:textId="77777777" w:rsidR="009A6E70" w:rsidRDefault="009A6E70" w:rsidP="009A6E70">
      <w:pPr>
        <w:pStyle w:val="TableNotes"/>
      </w:pPr>
      <w:r w:rsidRPr="004C7947">
        <w:t>For a full description of odds ratios, interpretation and strength of association</w:t>
      </w:r>
      <w:r>
        <w:t>,</w:t>
      </w:r>
      <w:r w:rsidRPr="004C7947">
        <w:t xml:space="preserve"> please refer to Table B.1</w:t>
      </w:r>
      <w:r>
        <w:t xml:space="preserve"> </w:t>
      </w:r>
      <w:r w:rsidRPr="00BB1B84">
        <w:t xml:space="preserve">in </w:t>
      </w:r>
      <w:r w:rsidR="00374073">
        <w:t>Annex </w:t>
      </w:r>
      <w:r>
        <w:t>B, Odds ratio table.</w:t>
      </w:r>
    </w:p>
    <w:p w14:paraId="252A0145" w14:textId="069693BB" w:rsidR="009A6E70" w:rsidRDefault="009A6E70" w:rsidP="009A6E70">
      <w:pPr>
        <w:pStyle w:val="FigureName"/>
      </w:pPr>
      <w:bookmarkStart w:id="383" w:name="_Ref508181048"/>
      <w:bookmarkStart w:id="384" w:name="_Toc509922940"/>
      <w:bookmarkStart w:id="385" w:name="_Toc515374714"/>
      <w:bookmarkStart w:id="386" w:name="_Toc528932398"/>
      <w:bookmarkStart w:id="387" w:name="_Toc531858078"/>
      <w:r>
        <w:t xml:space="preserve">Figure </w:t>
      </w:r>
      <w:r>
        <w:rPr>
          <w:noProof/>
        </w:rPr>
        <w:t>4</w:t>
      </w:r>
      <w:r>
        <w:t>.</w:t>
      </w:r>
      <w:r>
        <w:rPr>
          <w:noProof/>
        </w:rPr>
        <w:t>6</w:t>
      </w:r>
      <w:bookmarkEnd w:id="383"/>
      <w:r>
        <w:tab/>
      </w:r>
      <w:r w:rsidRPr="002F7080">
        <w:t>Estimated proportion of Transitioned ADF and 2015 Regular ADF who indicated they talk</w:t>
      </w:r>
      <w:r>
        <w:t>ed</w:t>
      </w:r>
      <w:r w:rsidRPr="002F7080">
        <w:t xml:space="preserve"> about different things with people online than when they </w:t>
      </w:r>
      <w:r>
        <w:t>were</w:t>
      </w:r>
      <w:r w:rsidRPr="002F7080">
        <w:t xml:space="preserve"> with people face to face</w:t>
      </w:r>
      <w:bookmarkEnd w:id="384"/>
      <w:bookmarkEnd w:id="385"/>
      <w:bookmarkEnd w:id="386"/>
      <w:bookmarkEnd w:id="387"/>
    </w:p>
    <w:p w14:paraId="577F89EF" w14:textId="77777777" w:rsidR="009A6E70" w:rsidRPr="006722DB" w:rsidRDefault="006722DB" w:rsidP="006722DB">
      <w:pPr>
        <w:spacing w:after="360"/>
      </w:pPr>
      <w:r w:rsidRPr="00A0121A">
        <w:rPr>
          <w:rFonts w:ascii="Calibri Light" w:hAnsi="Calibri Light"/>
          <w:noProof/>
          <w:lang w:eastAsia="en-AU"/>
        </w:rPr>
        <w:drawing>
          <wp:inline distT="0" distB="0" distL="0" distR="0" wp14:anchorId="2873909C" wp14:editId="0644235D">
            <wp:extent cx="4572000" cy="2419924"/>
            <wp:effectExtent l="0" t="0" r="0" b="0"/>
            <wp:docPr id="453" name="Picture 453" descr="Figure 4.6 Estimated proportion of Transitioned ADF and 2015 Regular ADF who indicated they talked about different things with people online than when they were with people face to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ealthSciences\SPHCP\CTSS\DATA REPOSITORY\TWRP\REPORT 5\FIGURE_5_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2419924"/>
                    </a:xfrm>
                    <a:prstGeom prst="rect">
                      <a:avLst/>
                    </a:prstGeom>
                    <a:noFill/>
                    <a:ln>
                      <a:noFill/>
                    </a:ln>
                  </pic:spPr>
                </pic:pic>
              </a:graphicData>
            </a:graphic>
          </wp:inline>
        </w:drawing>
      </w:r>
    </w:p>
    <w:p w14:paraId="52DB75CE" w14:textId="77777777" w:rsidR="009A6E70" w:rsidRPr="00EC421D" w:rsidRDefault="009A6E70" w:rsidP="009A6E70">
      <w:pPr>
        <w:pStyle w:val="Heading3"/>
        <w:numPr>
          <w:ilvl w:val="2"/>
          <w:numId w:val="1"/>
        </w:numPr>
      </w:pPr>
      <w:bookmarkStart w:id="388" w:name="_Toc509917432"/>
      <w:bookmarkStart w:id="389" w:name="_Toc515374474"/>
      <w:bookmarkStart w:id="390" w:name="_Toc518566363"/>
      <w:bookmarkStart w:id="391" w:name="_Toc528932659"/>
      <w:bookmarkStart w:id="392" w:name="_Toc531859196"/>
      <w:r w:rsidRPr="00EC421D">
        <w:t>Talk</w:t>
      </w:r>
      <w:r>
        <w:t>ed</w:t>
      </w:r>
      <w:r w:rsidRPr="00EC421D">
        <w:t xml:space="preserve"> about private things online that </w:t>
      </w:r>
      <w:r>
        <w:t>were</w:t>
      </w:r>
      <w:r w:rsidRPr="00EC421D">
        <w:t xml:space="preserve"> not shared with people face to face</w:t>
      </w:r>
      <w:bookmarkEnd w:id="388"/>
      <w:bookmarkEnd w:id="389"/>
      <w:bookmarkEnd w:id="390"/>
      <w:bookmarkEnd w:id="391"/>
      <w:bookmarkEnd w:id="392"/>
    </w:p>
    <w:p w14:paraId="484353D3" w14:textId="77777777" w:rsidR="009A6E70" w:rsidRDefault="009A6E70" w:rsidP="009A6E70">
      <w:r>
        <w:t>Just over 10% of the Transitioned ADF and 2015 Regular ADF reported that they talked about private things with people online which they did not share with people face to face (13.5% and 12.0% respectively) (Table </w:t>
      </w:r>
      <w:r>
        <w:rPr>
          <w:noProof/>
        </w:rPr>
        <w:t>4.7</w:t>
      </w:r>
      <w:r>
        <w:t xml:space="preserve"> </w:t>
      </w:r>
      <w:r w:rsidRPr="00A0121A">
        <w:t xml:space="preserve">and </w:t>
      </w:r>
      <w:r>
        <w:t xml:space="preserve">Figure </w:t>
      </w:r>
      <w:r>
        <w:rPr>
          <w:noProof/>
        </w:rPr>
        <w:t>4.7</w:t>
      </w:r>
      <w:r w:rsidRPr="007F3672">
        <w:rPr>
          <w:bCs/>
          <w:lang w:val="en-US"/>
        </w:rPr>
        <w:t>)</w:t>
      </w:r>
      <w:r w:rsidRPr="007F3672">
        <w:t>.</w:t>
      </w:r>
      <w:r w:rsidRPr="00A0121A">
        <w:t xml:space="preserve"> </w:t>
      </w:r>
      <w:r>
        <w:t>There were no differences between the Transitioned ADF and the 2015 Regular ADF.</w:t>
      </w:r>
    </w:p>
    <w:p w14:paraId="59F3A662" w14:textId="77777777" w:rsidR="009A6E70" w:rsidRPr="00263C95" w:rsidRDefault="009A6E70" w:rsidP="009A6E70">
      <w:pPr>
        <w:pStyle w:val="TableName"/>
      </w:pPr>
      <w:bookmarkStart w:id="393" w:name="_Ref508181060"/>
      <w:bookmarkStart w:id="394" w:name="_Toc509922867"/>
      <w:bookmarkStart w:id="395" w:name="_Toc515374642"/>
      <w:bookmarkStart w:id="396" w:name="_Toc528932316"/>
      <w:bookmarkStart w:id="397" w:name="_Toc531857995"/>
      <w:r>
        <w:t xml:space="preserve">Table </w:t>
      </w:r>
      <w:r>
        <w:rPr>
          <w:noProof/>
        </w:rPr>
        <w:t>4</w:t>
      </w:r>
      <w:r>
        <w:t>.</w:t>
      </w:r>
      <w:r>
        <w:rPr>
          <w:noProof/>
        </w:rPr>
        <w:t>7</w:t>
      </w:r>
      <w:bookmarkEnd w:id="393"/>
      <w:r>
        <w:tab/>
      </w:r>
      <w:r w:rsidRPr="00263C95">
        <w:t>Estimated proportion of Transitioned ADF and 2015 Regular ADF who indicated that they talk</w:t>
      </w:r>
      <w:r>
        <w:t>ed</w:t>
      </w:r>
      <w:r w:rsidRPr="00263C95">
        <w:t xml:space="preserve"> about private things with people online which they </w:t>
      </w:r>
      <w:r>
        <w:t>did</w:t>
      </w:r>
      <w:r w:rsidRPr="00263C95">
        <w:t xml:space="preserve"> not share with people face to face</w:t>
      </w:r>
      <w:bookmarkEnd w:id="394"/>
      <w:bookmarkEnd w:id="395"/>
      <w:bookmarkEnd w:id="396"/>
      <w:bookmarkEnd w:id="397"/>
    </w:p>
    <w:tbl>
      <w:tblPr>
        <w:tblStyle w:val="TWRPTable"/>
        <w:tblW w:w="5000" w:type="pct"/>
        <w:tblLayout w:type="fixed"/>
        <w:tblCellMar>
          <w:left w:w="115" w:type="dxa"/>
          <w:right w:w="115" w:type="dxa"/>
        </w:tblCellMar>
        <w:tblLook w:val="0000" w:firstRow="0" w:lastRow="0" w:firstColumn="0" w:lastColumn="0" w:noHBand="0" w:noVBand="0"/>
        <w:tblDescription w:val="Table 4.7 Estimated proportion of Transitioned ADF and 2015 Regular ADF who indicated that they talked about private things with people online which they did not share with people face to face"/>
      </w:tblPr>
      <w:tblGrid>
        <w:gridCol w:w="1763"/>
        <w:gridCol w:w="697"/>
        <w:gridCol w:w="870"/>
        <w:gridCol w:w="1095"/>
        <w:gridCol w:w="647"/>
        <w:gridCol w:w="871"/>
        <w:gridCol w:w="1146"/>
      </w:tblGrid>
      <w:tr w:rsidR="006722DB" w:rsidRPr="00A0121A" w14:paraId="75F57C61" w14:textId="77777777" w:rsidTr="006722DB">
        <w:trPr>
          <w:cantSplit/>
          <w:tblHeader/>
        </w:trPr>
        <w:tc>
          <w:tcPr>
            <w:tcW w:w="1244" w:type="pct"/>
            <w:vMerge w:val="restart"/>
            <w:tcBorders>
              <w:top w:val="single" w:sz="4" w:space="0" w:color="000000"/>
            </w:tcBorders>
            <w:vAlign w:val="bottom"/>
          </w:tcPr>
          <w:p w14:paraId="7342EA8B" w14:textId="77777777" w:rsidR="006722DB" w:rsidRPr="00EC421D" w:rsidRDefault="006722DB" w:rsidP="006722DB">
            <w:pPr>
              <w:pStyle w:val="TableText"/>
              <w:rPr>
                <w:b/>
              </w:rPr>
            </w:pPr>
            <w:r w:rsidRPr="00EC421D">
              <w:rPr>
                <w:rFonts w:eastAsia="Calibri" w:cs="Calibri"/>
                <w:b/>
              </w:rPr>
              <w:t xml:space="preserve">When I am online, I talk about private things that I do not share with people </w:t>
            </w:r>
            <w:r>
              <w:rPr>
                <w:rFonts w:eastAsia="Calibri" w:cs="Calibri"/>
                <w:b/>
              </w:rPr>
              <w:t>face to face.</w:t>
            </w:r>
          </w:p>
        </w:tc>
        <w:tc>
          <w:tcPr>
            <w:tcW w:w="1878" w:type="pct"/>
            <w:gridSpan w:val="3"/>
            <w:tcBorders>
              <w:top w:val="single" w:sz="4" w:space="0" w:color="000000"/>
              <w:bottom w:val="single" w:sz="4" w:space="0" w:color="000000"/>
            </w:tcBorders>
          </w:tcPr>
          <w:p w14:paraId="692CDABE" w14:textId="77777777" w:rsidR="006722DB" w:rsidRPr="00EC421D" w:rsidRDefault="006722DB" w:rsidP="006722DB">
            <w:pPr>
              <w:pStyle w:val="TableText"/>
              <w:jc w:val="center"/>
              <w:rPr>
                <w:b/>
              </w:rPr>
            </w:pPr>
            <w:r w:rsidRPr="00EC421D">
              <w:rPr>
                <w:b/>
              </w:rPr>
              <w:t>Transitioned ADF</w:t>
            </w:r>
            <w:r>
              <w:rPr>
                <w:b/>
              </w:rPr>
              <w:br/>
            </w:r>
            <w:r w:rsidRPr="00EC421D">
              <w:rPr>
                <w:b/>
              </w:rPr>
              <w:t>n=24</w:t>
            </w:r>
            <w:r>
              <w:rPr>
                <w:b/>
              </w:rPr>
              <w:t>,</w:t>
            </w:r>
            <w:r w:rsidRPr="00EC421D">
              <w:rPr>
                <w:b/>
              </w:rPr>
              <w:t>932</w:t>
            </w:r>
          </w:p>
        </w:tc>
        <w:tc>
          <w:tcPr>
            <w:tcW w:w="1877" w:type="pct"/>
            <w:gridSpan w:val="3"/>
            <w:tcBorders>
              <w:top w:val="single" w:sz="4" w:space="0" w:color="000000"/>
              <w:bottom w:val="single" w:sz="4" w:space="0" w:color="000000"/>
            </w:tcBorders>
          </w:tcPr>
          <w:p w14:paraId="78D09BCA" w14:textId="77777777" w:rsidR="006722DB" w:rsidRPr="00EC421D" w:rsidRDefault="006722DB" w:rsidP="006722DB">
            <w:pPr>
              <w:pStyle w:val="TableText"/>
              <w:jc w:val="center"/>
              <w:rPr>
                <w:b/>
              </w:rPr>
            </w:pPr>
            <w:r w:rsidRPr="00EC421D">
              <w:rPr>
                <w:b/>
              </w:rPr>
              <w:t>2015 Regular ADF</w:t>
            </w:r>
            <w:r>
              <w:rPr>
                <w:b/>
              </w:rPr>
              <w:br/>
            </w:r>
            <w:r w:rsidRPr="00EC421D">
              <w:rPr>
                <w:b/>
              </w:rPr>
              <w:t>n=52</w:t>
            </w:r>
            <w:r>
              <w:rPr>
                <w:b/>
              </w:rPr>
              <w:t>,</w:t>
            </w:r>
            <w:r w:rsidRPr="00EC421D">
              <w:rPr>
                <w:b/>
              </w:rPr>
              <w:t>500</w:t>
            </w:r>
          </w:p>
        </w:tc>
      </w:tr>
      <w:tr w:rsidR="006722DB" w:rsidRPr="00A0121A" w14:paraId="62E09637" w14:textId="77777777" w:rsidTr="006722DB">
        <w:trPr>
          <w:cantSplit/>
          <w:tblHeader/>
        </w:trPr>
        <w:tc>
          <w:tcPr>
            <w:tcW w:w="1244" w:type="pct"/>
            <w:vMerge/>
            <w:tcBorders>
              <w:bottom w:val="single" w:sz="4" w:space="0" w:color="000000"/>
            </w:tcBorders>
          </w:tcPr>
          <w:p w14:paraId="65B199EF" w14:textId="77777777" w:rsidR="006722DB" w:rsidRPr="00EC421D" w:rsidRDefault="006722DB" w:rsidP="00EB155C">
            <w:pPr>
              <w:pStyle w:val="TableText"/>
              <w:rPr>
                <w:rFonts w:eastAsia="Calibri" w:cs="Arial"/>
                <w:b/>
              </w:rPr>
            </w:pPr>
          </w:p>
        </w:tc>
        <w:tc>
          <w:tcPr>
            <w:tcW w:w="492" w:type="pct"/>
            <w:tcBorders>
              <w:top w:val="single" w:sz="4" w:space="0" w:color="000000"/>
              <w:bottom w:val="single" w:sz="4" w:space="0" w:color="000000"/>
            </w:tcBorders>
          </w:tcPr>
          <w:p w14:paraId="696B5A09" w14:textId="77777777" w:rsidR="006722DB" w:rsidRPr="00EC421D" w:rsidRDefault="006722DB" w:rsidP="00EB155C">
            <w:pPr>
              <w:pStyle w:val="TableText"/>
              <w:jc w:val="right"/>
              <w:rPr>
                <w:rFonts w:eastAsia="Calibri" w:cs="Arial"/>
                <w:b/>
              </w:rPr>
            </w:pPr>
            <w:r w:rsidRPr="00EC421D">
              <w:rPr>
                <w:rFonts w:eastAsia="Calibri" w:cs="Arial"/>
                <w:b/>
              </w:rPr>
              <w:t>n</w:t>
            </w:r>
          </w:p>
        </w:tc>
        <w:tc>
          <w:tcPr>
            <w:tcW w:w="614" w:type="pct"/>
            <w:tcBorders>
              <w:top w:val="single" w:sz="4" w:space="0" w:color="000000"/>
              <w:bottom w:val="single" w:sz="4" w:space="0" w:color="000000"/>
            </w:tcBorders>
          </w:tcPr>
          <w:p w14:paraId="566A00E8" w14:textId="77777777" w:rsidR="006722DB" w:rsidRPr="00EC421D" w:rsidRDefault="006722DB" w:rsidP="00EB155C">
            <w:pPr>
              <w:pStyle w:val="TableText"/>
              <w:jc w:val="right"/>
              <w:rPr>
                <w:rFonts w:eastAsia="Calibri" w:cs="Arial"/>
                <w:b/>
              </w:rPr>
            </w:pPr>
            <w:r w:rsidRPr="00EC421D">
              <w:rPr>
                <w:rFonts w:eastAsia="Calibri" w:cs="Arial"/>
                <w:b/>
              </w:rPr>
              <w:t>Weighted n</w:t>
            </w:r>
          </w:p>
        </w:tc>
        <w:tc>
          <w:tcPr>
            <w:tcW w:w="772" w:type="pct"/>
            <w:tcBorders>
              <w:top w:val="single" w:sz="4" w:space="0" w:color="000000"/>
              <w:bottom w:val="single" w:sz="4" w:space="0" w:color="000000"/>
            </w:tcBorders>
          </w:tcPr>
          <w:p w14:paraId="3BB1A4DD" w14:textId="77777777" w:rsidR="006722DB" w:rsidRPr="00EC421D" w:rsidRDefault="006722DB" w:rsidP="00EB155C">
            <w:pPr>
              <w:pStyle w:val="TableText"/>
              <w:jc w:val="right"/>
              <w:rPr>
                <w:rFonts w:eastAsia="Calibri" w:cs="Arial"/>
                <w:b/>
              </w:rPr>
            </w:pPr>
            <w:r w:rsidRPr="00EC421D">
              <w:rPr>
                <w:rFonts w:eastAsia="Calibri" w:cs="Arial"/>
                <w:b/>
              </w:rPr>
              <w:t>% (95%CI)</w:t>
            </w:r>
          </w:p>
        </w:tc>
        <w:tc>
          <w:tcPr>
            <w:tcW w:w="456" w:type="pct"/>
            <w:tcBorders>
              <w:top w:val="single" w:sz="4" w:space="0" w:color="000000"/>
              <w:bottom w:val="single" w:sz="4" w:space="0" w:color="000000"/>
            </w:tcBorders>
          </w:tcPr>
          <w:p w14:paraId="290E914C" w14:textId="77777777" w:rsidR="006722DB" w:rsidRPr="00EC421D" w:rsidRDefault="006722DB" w:rsidP="00EB155C">
            <w:pPr>
              <w:pStyle w:val="TableText"/>
              <w:jc w:val="right"/>
              <w:rPr>
                <w:rFonts w:eastAsia="Calibri" w:cs="Arial"/>
                <w:b/>
              </w:rPr>
            </w:pPr>
            <w:r w:rsidRPr="00EC421D">
              <w:rPr>
                <w:rFonts w:eastAsia="Calibri" w:cs="Arial"/>
                <w:b/>
              </w:rPr>
              <w:t>n</w:t>
            </w:r>
          </w:p>
        </w:tc>
        <w:tc>
          <w:tcPr>
            <w:tcW w:w="614" w:type="pct"/>
            <w:tcBorders>
              <w:top w:val="single" w:sz="4" w:space="0" w:color="000000"/>
              <w:bottom w:val="single" w:sz="4" w:space="0" w:color="000000"/>
            </w:tcBorders>
          </w:tcPr>
          <w:p w14:paraId="2EE8D060" w14:textId="77777777" w:rsidR="006722DB" w:rsidRPr="00EC421D" w:rsidRDefault="006722DB" w:rsidP="00EB155C">
            <w:pPr>
              <w:pStyle w:val="TableText"/>
              <w:jc w:val="right"/>
              <w:rPr>
                <w:rFonts w:eastAsia="Calibri" w:cs="Arial"/>
                <w:b/>
              </w:rPr>
            </w:pPr>
            <w:r w:rsidRPr="00EC421D">
              <w:rPr>
                <w:rFonts w:eastAsia="Calibri" w:cs="Arial"/>
                <w:b/>
              </w:rPr>
              <w:t>Weighted n</w:t>
            </w:r>
          </w:p>
        </w:tc>
        <w:tc>
          <w:tcPr>
            <w:tcW w:w="808" w:type="pct"/>
            <w:tcBorders>
              <w:top w:val="single" w:sz="4" w:space="0" w:color="000000"/>
              <w:bottom w:val="single" w:sz="4" w:space="0" w:color="000000"/>
            </w:tcBorders>
          </w:tcPr>
          <w:p w14:paraId="348EBC75" w14:textId="77777777" w:rsidR="006722DB" w:rsidRPr="00EC421D" w:rsidRDefault="006722DB" w:rsidP="00EB155C">
            <w:pPr>
              <w:pStyle w:val="TableText"/>
              <w:jc w:val="right"/>
              <w:rPr>
                <w:rFonts w:eastAsia="Calibri" w:cs="Arial"/>
                <w:b/>
              </w:rPr>
            </w:pPr>
            <w:r w:rsidRPr="00EC421D">
              <w:rPr>
                <w:rFonts w:eastAsia="Calibri" w:cs="Arial"/>
                <w:b/>
              </w:rPr>
              <w:t>% (95%CI)</w:t>
            </w:r>
          </w:p>
        </w:tc>
      </w:tr>
      <w:tr w:rsidR="006722DB" w:rsidRPr="00A0121A" w14:paraId="60BF9DCE"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244" w:type="pct"/>
            <w:tcBorders>
              <w:top w:val="single" w:sz="4" w:space="0" w:color="000000"/>
            </w:tcBorders>
          </w:tcPr>
          <w:p w14:paraId="5CEFA148" w14:textId="77777777" w:rsidR="009A6E70" w:rsidRPr="00A0121A" w:rsidRDefault="009A6E70" w:rsidP="00EB155C">
            <w:pPr>
              <w:pStyle w:val="TableText"/>
              <w:rPr>
                <w:rFonts w:eastAsia="Calibri" w:cs="Arial"/>
              </w:rPr>
            </w:pPr>
            <w:r w:rsidRPr="00A0121A">
              <w:rPr>
                <w:rFonts w:cs="Arial"/>
              </w:rPr>
              <w:t>Not true</w:t>
            </w:r>
          </w:p>
        </w:tc>
        <w:tc>
          <w:tcPr>
            <w:tcW w:w="492" w:type="pct"/>
            <w:tcBorders>
              <w:top w:val="single" w:sz="4" w:space="0" w:color="000000"/>
            </w:tcBorders>
          </w:tcPr>
          <w:p w14:paraId="700B372C" w14:textId="77777777" w:rsidR="009A6E70" w:rsidRPr="00A0121A" w:rsidRDefault="009A6E70" w:rsidP="00EB155C">
            <w:pPr>
              <w:pStyle w:val="TableText"/>
              <w:jc w:val="right"/>
              <w:rPr>
                <w:rFonts w:cs="Arial"/>
              </w:rPr>
            </w:pPr>
            <w:r w:rsidRPr="00A0121A">
              <w:rPr>
                <w:rFonts w:cs="Arial"/>
              </w:rPr>
              <w:t>2365</w:t>
            </w:r>
          </w:p>
        </w:tc>
        <w:tc>
          <w:tcPr>
            <w:tcW w:w="614" w:type="pct"/>
            <w:tcBorders>
              <w:top w:val="single" w:sz="4" w:space="0" w:color="000000"/>
            </w:tcBorders>
          </w:tcPr>
          <w:p w14:paraId="79508206" w14:textId="77777777" w:rsidR="009A6E70" w:rsidRPr="00A0121A" w:rsidRDefault="009A6E70" w:rsidP="00EB155C">
            <w:pPr>
              <w:pStyle w:val="TableText"/>
              <w:jc w:val="right"/>
              <w:rPr>
                <w:rFonts w:cs="Arial"/>
              </w:rPr>
            </w:pPr>
            <w:r w:rsidRPr="00A0121A">
              <w:rPr>
                <w:rFonts w:cs="Arial"/>
              </w:rPr>
              <w:t>17</w:t>
            </w:r>
            <w:r>
              <w:rPr>
                <w:rFonts w:cs="Arial"/>
              </w:rPr>
              <w:t>,</w:t>
            </w:r>
            <w:r w:rsidRPr="00A0121A">
              <w:rPr>
                <w:rFonts w:cs="Arial"/>
              </w:rPr>
              <w:t>066</w:t>
            </w:r>
          </w:p>
        </w:tc>
        <w:tc>
          <w:tcPr>
            <w:tcW w:w="772" w:type="pct"/>
            <w:tcBorders>
              <w:top w:val="single" w:sz="4" w:space="0" w:color="000000"/>
            </w:tcBorders>
          </w:tcPr>
          <w:p w14:paraId="209927E1" w14:textId="77777777" w:rsidR="009A6E70" w:rsidRPr="00A0121A" w:rsidRDefault="009A6E70" w:rsidP="00EB155C">
            <w:pPr>
              <w:pStyle w:val="TableText"/>
              <w:jc w:val="right"/>
              <w:rPr>
                <w:rFonts w:eastAsia="Calibri" w:cs="Arial"/>
              </w:rPr>
            </w:pPr>
            <w:r w:rsidRPr="00A0121A">
              <w:rPr>
                <w:rFonts w:cs="Arial"/>
              </w:rPr>
              <w:t>68.4 (66.5,</w:t>
            </w:r>
            <w:r>
              <w:rPr>
                <w:rFonts w:cs="Arial"/>
              </w:rPr>
              <w:t xml:space="preserve"> </w:t>
            </w:r>
            <w:r w:rsidRPr="00A0121A">
              <w:rPr>
                <w:rFonts w:cs="Arial"/>
              </w:rPr>
              <w:t>70.3)</w:t>
            </w:r>
          </w:p>
        </w:tc>
        <w:tc>
          <w:tcPr>
            <w:tcW w:w="456" w:type="pct"/>
            <w:tcBorders>
              <w:top w:val="single" w:sz="4" w:space="0" w:color="000000"/>
            </w:tcBorders>
          </w:tcPr>
          <w:p w14:paraId="2E9B946B" w14:textId="77777777" w:rsidR="009A6E70" w:rsidRPr="00A0121A" w:rsidRDefault="009A6E70" w:rsidP="00EB155C">
            <w:pPr>
              <w:pStyle w:val="TableText"/>
              <w:jc w:val="right"/>
              <w:rPr>
                <w:rFonts w:eastAsia="Calibri" w:cs="Arial"/>
              </w:rPr>
            </w:pPr>
            <w:r w:rsidRPr="00A0121A">
              <w:rPr>
                <w:rFonts w:cs="Arial"/>
              </w:rPr>
              <w:t>5250</w:t>
            </w:r>
          </w:p>
        </w:tc>
        <w:tc>
          <w:tcPr>
            <w:tcW w:w="614" w:type="pct"/>
            <w:tcBorders>
              <w:top w:val="single" w:sz="4" w:space="0" w:color="000000"/>
            </w:tcBorders>
          </w:tcPr>
          <w:p w14:paraId="219990C2" w14:textId="77777777" w:rsidR="009A6E70" w:rsidRPr="00A0121A" w:rsidRDefault="009A6E70" w:rsidP="00EB155C">
            <w:pPr>
              <w:pStyle w:val="TableText"/>
              <w:jc w:val="right"/>
              <w:rPr>
                <w:rFonts w:eastAsia="Calibri" w:cs="Arial"/>
              </w:rPr>
            </w:pPr>
            <w:r w:rsidRPr="00A0121A">
              <w:rPr>
                <w:rFonts w:cs="Arial"/>
              </w:rPr>
              <w:t>35</w:t>
            </w:r>
            <w:r>
              <w:rPr>
                <w:rFonts w:cs="Arial"/>
              </w:rPr>
              <w:t>,</w:t>
            </w:r>
            <w:r w:rsidRPr="00A0121A">
              <w:rPr>
                <w:rFonts w:cs="Arial"/>
              </w:rPr>
              <w:t>365</w:t>
            </w:r>
          </w:p>
        </w:tc>
        <w:tc>
          <w:tcPr>
            <w:tcW w:w="808" w:type="pct"/>
            <w:tcBorders>
              <w:top w:val="single" w:sz="4" w:space="0" w:color="000000"/>
            </w:tcBorders>
          </w:tcPr>
          <w:p w14:paraId="1B532BAF" w14:textId="77777777" w:rsidR="009A6E70" w:rsidRPr="00A0121A" w:rsidRDefault="009A6E70" w:rsidP="00EB155C">
            <w:pPr>
              <w:pStyle w:val="TableText"/>
              <w:jc w:val="right"/>
              <w:rPr>
                <w:rFonts w:eastAsia="Calibri" w:cs="Arial"/>
              </w:rPr>
            </w:pPr>
            <w:r w:rsidRPr="00A0121A">
              <w:rPr>
                <w:rFonts w:cs="Arial"/>
              </w:rPr>
              <w:t>67.4 (63.2,</w:t>
            </w:r>
            <w:r>
              <w:rPr>
                <w:rFonts w:cs="Arial"/>
              </w:rPr>
              <w:t xml:space="preserve"> </w:t>
            </w:r>
            <w:r w:rsidRPr="00A0121A">
              <w:rPr>
                <w:rFonts w:cs="Arial"/>
              </w:rPr>
              <w:t>71.3)</w:t>
            </w:r>
          </w:p>
        </w:tc>
      </w:tr>
      <w:tr w:rsidR="009A6E70" w:rsidRPr="00A0121A" w14:paraId="36328EB0" w14:textId="77777777" w:rsidTr="006722DB">
        <w:trPr>
          <w:cantSplit/>
        </w:trPr>
        <w:tc>
          <w:tcPr>
            <w:tcW w:w="1244" w:type="pct"/>
          </w:tcPr>
          <w:p w14:paraId="3215E1BF" w14:textId="77777777" w:rsidR="009A6E70" w:rsidRPr="00A0121A" w:rsidRDefault="009A6E70" w:rsidP="00EB155C">
            <w:pPr>
              <w:pStyle w:val="TableText"/>
              <w:rPr>
                <w:rFonts w:eastAsia="Calibri" w:cs="Arial"/>
              </w:rPr>
            </w:pPr>
            <w:r w:rsidRPr="00A0121A">
              <w:rPr>
                <w:rFonts w:cs="Arial"/>
              </w:rPr>
              <w:t xml:space="preserve">A bit true </w:t>
            </w:r>
          </w:p>
        </w:tc>
        <w:tc>
          <w:tcPr>
            <w:tcW w:w="492" w:type="pct"/>
          </w:tcPr>
          <w:p w14:paraId="0C82242C" w14:textId="77777777" w:rsidR="009A6E70" w:rsidRPr="00A0121A" w:rsidRDefault="009A6E70" w:rsidP="00EB155C">
            <w:pPr>
              <w:pStyle w:val="TableText"/>
              <w:jc w:val="right"/>
              <w:rPr>
                <w:rFonts w:eastAsia="Calibri" w:cs="Arial"/>
              </w:rPr>
            </w:pPr>
            <w:r w:rsidRPr="00A0121A">
              <w:rPr>
                <w:rFonts w:cs="Arial"/>
              </w:rPr>
              <w:t>282</w:t>
            </w:r>
          </w:p>
        </w:tc>
        <w:tc>
          <w:tcPr>
            <w:tcW w:w="614" w:type="pct"/>
          </w:tcPr>
          <w:p w14:paraId="77B25FE8" w14:textId="77777777" w:rsidR="009A6E70" w:rsidRPr="00A0121A" w:rsidRDefault="009A6E70" w:rsidP="00EB155C">
            <w:pPr>
              <w:pStyle w:val="TableText"/>
              <w:jc w:val="right"/>
              <w:rPr>
                <w:rFonts w:eastAsia="Calibri" w:cs="Arial"/>
              </w:rPr>
            </w:pPr>
            <w:r w:rsidRPr="00A0121A">
              <w:rPr>
                <w:rFonts w:cs="Arial"/>
              </w:rPr>
              <w:t>2284</w:t>
            </w:r>
          </w:p>
        </w:tc>
        <w:tc>
          <w:tcPr>
            <w:tcW w:w="772" w:type="pct"/>
          </w:tcPr>
          <w:p w14:paraId="111642C4" w14:textId="77777777" w:rsidR="009A6E70" w:rsidRPr="00A0121A" w:rsidRDefault="009A6E70" w:rsidP="00EB155C">
            <w:pPr>
              <w:pStyle w:val="TableText"/>
              <w:jc w:val="right"/>
              <w:rPr>
                <w:rFonts w:eastAsia="Calibri" w:cs="Arial"/>
              </w:rPr>
            </w:pPr>
            <w:r w:rsidRPr="00A0121A">
              <w:rPr>
                <w:rFonts w:cs="Arial"/>
              </w:rPr>
              <w:t>9.2 (8.0,</w:t>
            </w:r>
            <w:r>
              <w:rPr>
                <w:rFonts w:cs="Arial"/>
              </w:rPr>
              <w:t xml:space="preserve"> </w:t>
            </w:r>
            <w:r w:rsidRPr="00A0121A">
              <w:rPr>
                <w:rFonts w:cs="Arial"/>
              </w:rPr>
              <w:t>10.5)</w:t>
            </w:r>
          </w:p>
        </w:tc>
        <w:tc>
          <w:tcPr>
            <w:tcW w:w="456" w:type="pct"/>
          </w:tcPr>
          <w:p w14:paraId="1E0C19DE" w14:textId="77777777" w:rsidR="009A6E70" w:rsidRPr="00A0121A" w:rsidRDefault="009A6E70" w:rsidP="00EB155C">
            <w:pPr>
              <w:pStyle w:val="TableText"/>
              <w:jc w:val="right"/>
              <w:rPr>
                <w:rFonts w:eastAsia="Calibri" w:cs="Arial"/>
              </w:rPr>
            </w:pPr>
            <w:r w:rsidRPr="00A0121A">
              <w:rPr>
                <w:rFonts w:cs="Arial"/>
              </w:rPr>
              <w:t>479</w:t>
            </w:r>
          </w:p>
        </w:tc>
        <w:tc>
          <w:tcPr>
            <w:tcW w:w="614" w:type="pct"/>
          </w:tcPr>
          <w:p w14:paraId="51492A1F" w14:textId="77777777" w:rsidR="009A6E70" w:rsidRPr="00A0121A" w:rsidRDefault="009A6E70" w:rsidP="00EB155C">
            <w:pPr>
              <w:pStyle w:val="TableText"/>
              <w:jc w:val="right"/>
              <w:rPr>
                <w:rFonts w:eastAsia="Calibri" w:cs="Arial"/>
              </w:rPr>
            </w:pPr>
            <w:r w:rsidRPr="00A0121A">
              <w:rPr>
                <w:rFonts w:cs="Arial"/>
              </w:rPr>
              <w:t>4980</w:t>
            </w:r>
          </w:p>
        </w:tc>
        <w:tc>
          <w:tcPr>
            <w:tcW w:w="808" w:type="pct"/>
          </w:tcPr>
          <w:p w14:paraId="7EE1C43F" w14:textId="77777777" w:rsidR="009A6E70" w:rsidRPr="00A0121A" w:rsidRDefault="009A6E70" w:rsidP="00EB155C">
            <w:pPr>
              <w:pStyle w:val="TableText"/>
              <w:jc w:val="right"/>
              <w:rPr>
                <w:rFonts w:eastAsia="Calibri" w:cs="Arial"/>
              </w:rPr>
            </w:pPr>
            <w:r w:rsidRPr="00A0121A">
              <w:rPr>
                <w:rFonts w:cs="Arial"/>
              </w:rPr>
              <w:t>9.5 (6.9,</w:t>
            </w:r>
            <w:r>
              <w:rPr>
                <w:rFonts w:cs="Arial"/>
              </w:rPr>
              <w:t xml:space="preserve"> </w:t>
            </w:r>
            <w:r w:rsidRPr="00A0121A">
              <w:rPr>
                <w:rFonts w:cs="Arial"/>
              </w:rPr>
              <w:t>12.9)</w:t>
            </w:r>
          </w:p>
        </w:tc>
      </w:tr>
      <w:tr w:rsidR="006722DB" w:rsidRPr="00A0121A" w14:paraId="78AE9A69"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244" w:type="pct"/>
          </w:tcPr>
          <w:p w14:paraId="4C98BBB2" w14:textId="77777777" w:rsidR="009A6E70" w:rsidRPr="00A0121A" w:rsidRDefault="009A6E70" w:rsidP="00EB155C">
            <w:pPr>
              <w:pStyle w:val="TableText"/>
              <w:rPr>
                <w:rFonts w:eastAsia="Calibri" w:cs="ArialMT"/>
              </w:rPr>
            </w:pPr>
            <w:r w:rsidRPr="00A0121A">
              <w:rPr>
                <w:rFonts w:cs="Arial"/>
              </w:rPr>
              <w:t>Very true</w:t>
            </w:r>
          </w:p>
        </w:tc>
        <w:tc>
          <w:tcPr>
            <w:tcW w:w="492" w:type="pct"/>
          </w:tcPr>
          <w:p w14:paraId="1A6579A0" w14:textId="77777777" w:rsidR="009A6E70" w:rsidRPr="00A0121A" w:rsidRDefault="009A6E70" w:rsidP="00EB155C">
            <w:pPr>
              <w:pStyle w:val="TableText"/>
              <w:jc w:val="right"/>
              <w:rPr>
                <w:rFonts w:eastAsia="Calibri" w:cs="Arial"/>
              </w:rPr>
            </w:pPr>
            <w:r w:rsidRPr="00A0121A">
              <w:rPr>
                <w:rFonts w:cs="Arial"/>
              </w:rPr>
              <w:t>118</w:t>
            </w:r>
          </w:p>
        </w:tc>
        <w:tc>
          <w:tcPr>
            <w:tcW w:w="614" w:type="pct"/>
          </w:tcPr>
          <w:p w14:paraId="41F7C06C" w14:textId="77777777" w:rsidR="009A6E70" w:rsidRPr="00A0121A" w:rsidRDefault="009A6E70" w:rsidP="00EB155C">
            <w:pPr>
              <w:pStyle w:val="TableText"/>
              <w:jc w:val="right"/>
              <w:rPr>
                <w:rFonts w:eastAsia="Calibri" w:cs="Arial"/>
              </w:rPr>
            </w:pPr>
            <w:r w:rsidRPr="00A0121A">
              <w:rPr>
                <w:rFonts w:cs="Arial"/>
              </w:rPr>
              <w:t>1084</w:t>
            </w:r>
          </w:p>
        </w:tc>
        <w:tc>
          <w:tcPr>
            <w:tcW w:w="772" w:type="pct"/>
          </w:tcPr>
          <w:p w14:paraId="589DCC25" w14:textId="77777777" w:rsidR="009A6E70" w:rsidRPr="00A0121A" w:rsidRDefault="009A6E70" w:rsidP="00EB155C">
            <w:pPr>
              <w:pStyle w:val="TableText"/>
              <w:jc w:val="right"/>
              <w:rPr>
                <w:rFonts w:eastAsia="Calibri" w:cs="Arial"/>
              </w:rPr>
            </w:pPr>
            <w:r w:rsidRPr="00A0121A">
              <w:rPr>
                <w:rFonts w:cs="Arial"/>
              </w:rPr>
              <w:t>4.3 (3.5,</w:t>
            </w:r>
            <w:r>
              <w:rPr>
                <w:rFonts w:cs="Arial"/>
              </w:rPr>
              <w:t xml:space="preserve"> </w:t>
            </w:r>
            <w:r w:rsidRPr="00A0121A">
              <w:rPr>
                <w:rFonts w:cs="Arial"/>
              </w:rPr>
              <w:t>5.4)</w:t>
            </w:r>
          </w:p>
        </w:tc>
        <w:tc>
          <w:tcPr>
            <w:tcW w:w="456" w:type="pct"/>
          </w:tcPr>
          <w:p w14:paraId="38AD8A46" w14:textId="77777777" w:rsidR="009A6E70" w:rsidRPr="00A0121A" w:rsidRDefault="009A6E70" w:rsidP="00EB155C">
            <w:pPr>
              <w:pStyle w:val="TableText"/>
              <w:jc w:val="right"/>
              <w:rPr>
                <w:rFonts w:eastAsia="Calibri" w:cs="Arial"/>
              </w:rPr>
            </w:pPr>
            <w:r w:rsidRPr="00A0121A">
              <w:rPr>
                <w:rFonts w:cs="Arial"/>
              </w:rPr>
              <w:t>108</w:t>
            </w:r>
          </w:p>
        </w:tc>
        <w:tc>
          <w:tcPr>
            <w:tcW w:w="614" w:type="pct"/>
          </w:tcPr>
          <w:p w14:paraId="749E694E" w14:textId="77777777" w:rsidR="009A6E70" w:rsidRPr="00A0121A" w:rsidRDefault="009A6E70" w:rsidP="00EB155C">
            <w:pPr>
              <w:pStyle w:val="TableText"/>
              <w:jc w:val="right"/>
              <w:rPr>
                <w:rFonts w:eastAsia="Calibri" w:cs="Arial"/>
              </w:rPr>
            </w:pPr>
            <w:r w:rsidRPr="00A0121A">
              <w:rPr>
                <w:rFonts w:cs="Arial"/>
              </w:rPr>
              <w:t>1328</w:t>
            </w:r>
          </w:p>
        </w:tc>
        <w:tc>
          <w:tcPr>
            <w:tcW w:w="808" w:type="pct"/>
          </w:tcPr>
          <w:p w14:paraId="7C3AD948" w14:textId="77777777" w:rsidR="009A6E70" w:rsidRPr="00A0121A" w:rsidRDefault="009A6E70" w:rsidP="00EB155C">
            <w:pPr>
              <w:pStyle w:val="TableText"/>
              <w:jc w:val="right"/>
              <w:rPr>
                <w:rFonts w:eastAsia="Calibri" w:cs="Arial"/>
              </w:rPr>
            </w:pPr>
            <w:r w:rsidRPr="00A0121A">
              <w:rPr>
                <w:rFonts w:cs="Arial"/>
              </w:rPr>
              <w:t>2.5 (1.4,</w:t>
            </w:r>
            <w:r>
              <w:rPr>
                <w:rFonts w:cs="Arial"/>
              </w:rPr>
              <w:t xml:space="preserve"> </w:t>
            </w:r>
            <w:r w:rsidRPr="00A0121A">
              <w:rPr>
                <w:rFonts w:cs="Arial"/>
              </w:rPr>
              <w:t>4.6)</w:t>
            </w:r>
          </w:p>
        </w:tc>
      </w:tr>
      <w:tr w:rsidR="009A6E70" w:rsidRPr="00A0121A" w14:paraId="337FCBB5" w14:textId="77777777" w:rsidTr="006722DB">
        <w:trPr>
          <w:cantSplit/>
        </w:trPr>
        <w:tc>
          <w:tcPr>
            <w:tcW w:w="1244" w:type="pct"/>
            <w:tcBorders>
              <w:bottom w:val="single" w:sz="4" w:space="0" w:color="000000"/>
            </w:tcBorders>
          </w:tcPr>
          <w:p w14:paraId="5D66A6B4" w14:textId="77777777" w:rsidR="009A6E70" w:rsidRPr="00A0121A" w:rsidRDefault="009A6E70" w:rsidP="00EB155C">
            <w:pPr>
              <w:pStyle w:val="TableText"/>
              <w:rPr>
                <w:rFonts w:eastAsia="Calibri" w:cs="Arial"/>
              </w:rPr>
            </w:pPr>
            <w:r w:rsidRPr="00A0121A">
              <w:rPr>
                <w:rFonts w:cs="Arial"/>
              </w:rPr>
              <w:t>N/A</w:t>
            </w:r>
          </w:p>
        </w:tc>
        <w:tc>
          <w:tcPr>
            <w:tcW w:w="492" w:type="pct"/>
            <w:tcBorders>
              <w:bottom w:val="single" w:sz="4" w:space="0" w:color="000000"/>
            </w:tcBorders>
          </w:tcPr>
          <w:p w14:paraId="46162B45" w14:textId="77777777" w:rsidR="009A6E70" w:rsidRPr="00A0121A" w:rsidRDefault="009A6E70" w:rsidP="00EB155C">
            <w:pPr>
              <w:pStyle w:val="TableText"/>
              <w:jc w:val="right"/>
              <w:rPr>
                <w:rFonts w:cs="Arial"/>
              </w:rPr>
            </w:pPr>
            <w:r w:rsidRPr="00A0121A">
              <w:rPr>
                <w:rFonts w:cs="Arial"/>
              </w:rPr>
              <w:t>744</w:t>
            </w:r>
          </w:p>
        </w:tc>
        <w:tc>
          <w:tcPr>
            <w:tcW w:w="614" w:type="pct"/>
            <w:tcBorders>
              <w:bottom w:val="single" w:sz="4" w:space="0" w:color="000000"/>
            </w:tcBorders>
          </w:tcPr>
          <w:p w14:paraId="5B86D4C6" w14:textId="77777777" w:rsidR="009A6E70" w:rsidRPr="00A0121A" w:rsidRDefault="009A6E70" w:rsidP="00EB155C">
            <w:pPr>
              <w:pStyle w:val="TableText"/>
              <w:jc w:val="right"/>
              <w:rPr>
                <w:rFonts w:eastAsia="Calibri" w:cs="Arial"/>
              </w:rPr>
            </w:pPr>
            <w:r w:rsidRPr="00A0121A">
              <w:rPr>
                <w:rFonts w:cs="Arial"/>
              </w:rPr>
              <w:t>4289</w:t>
            </w:r>
          </w:p>
        </w:tc>
        <w:tc>
          <w:tcPr>
            <w:tcW w:w="772" w:type="pct"/>
            <w:tcBorders>
              <w:bottom w:val="single" w:sz="4" w:space="0" w:color="000000"/>
            </w:tcBorders>
          </w:tcPr>
          <w:p w14:paraId="5E9DA08C" w14:textId="77777777" w:rsidR="009A6E70" w:rsidRPr="00A0121A" w:rsidRDefault="009A6E70" w:rsidP="00EB155C">
            <w:pPr>
              <w:pStyle w:val="TableText"/>
              <w:jc w:val="right"/>
              <w:rPr>
                <w:rFonts w:cs="Arial"/>
              </w:rPr>
            </w:pPr>
            <w:r w:rsidRPr="00A0121A">
              <w:rPr>
                <w:rFonts w:cs="Arial"/>
              </w:rPr>
              <w:t>17.2 (15.8,</w:t>
            </w:r>
            <w:r>
              <w:rPr>
                <w:rFonts w:cs="Arial"/>
              </w:rPr>
              <w:t xml:space="preserve"> </w:t>
            </w:r>
            <w:r w:rsidRPr="00A0121A">
              <w:rPr>
                <w:rFonts w:cs="Arial"/>
              </w:rPr>
              <w:t>18.7)</w:t>
            </w:r>
          </w:p>
        </w:tc>
        <w:tc>
          <w:tcPr>
            <w:tcW w:w="456" w:type="pct"/>
            <w:tcBorders>
              <w:bottom w:val="single" w:sz="4" w:space="0" w:color="000000"/>
            </w:tcBorders>
          </w:tcPr>
          <w:p w14:paraId="6024F4EC" w14:textId="77777777" w:rsidR="009A6E70" w:rsidRPr="00A0121A" w:rsidRDefault="009A6E70" w:rsidP="00EB155C">
            <w:pPr>
              <w:pStyle w:val="TableText"/>
              <w:jc w:val="right"/>
              <w:rPr>
                <w:rFonts w:eastAsia="Calibri" w:cs="Arial"/>
              </w:rPr>
            </w:pPr>
            <w:r w:rsidRPr="00A0121A">
              <w:rPr>
                <w:rFonts w:cs="Arial"/>
              </w:rPr>
              <w:t>1453</w:t>
            </w:r>
          </w:p>
        </w:tc>
        <w:tc>
          <w:tcPr>
            <w:tcW w:w="614" w:type="pct"/>
            <w:tcBorders>
              <w:bottom w:val="single" w:sz="4" w:space="0" w:color="000000"/>
            </w:tcBorders>
          </w:tcPr>
          <w:p w14:paraId="04D4E851" w14:textId="77777777" w:rsidR="009A6E70" w:rsidRPr="00A0121A" w:rsidRDefault="009A6E70" w:rsidP="00EB155C">
            <w:pPr>
              <w:pStyle w:val="TableText"/>
              <w:jc w:val="right"/>
              <w:rPr>
                <w:rFonts w:eastAsia="Calibri" w:cs="Arial"/>
              </w:rPr>
            </w:pPr>
            <w:r w:rsidRPr="00A0121A">
              <w:rPr>
                <w:rFonts w:cs="Arial"/>
              </w:rPr>
              <w:t>9787</w:t>
            </w:r>
          </w:p>
        </w:tc>
        <w:tc>
          <w:tcPr>
            <w:tcW w:w="808" w:type="pct"/>
            <w:tcBorders>
              <w:bottom w:val="single" w:sz="4" w:space="0" w:color="000000"/>
            </w:tcBorders>
          </w:tcPr>
          <w:p w14:paraId="76E11216" w14:textId="77777777" w:rsidR="009A6E70" w:rsidRPr="00A0121A" w:rsidRDefault="009A6E70" w:rsidP="00EB155C">
            <w:pPr>
              <w:pStyle w:val="TableText"/>
              <w:jc w:val="right"/>
              <w:rPr>
                <w:rFonts w:eastAsia="Calibri" w:cs="Arial"/>
              </w:rPr>
            </w:pPr>
            <w:r w:rsidRPr="00A0121A">
              <w:rPr>
                <w:rFonts w:cs="Arial"/>
              </w:rPr>
              <w:t>18.6 (15.6,</w:t>
            </w:r>
            <w:r>
              <w:rPr>
                <w:rFonts w:cs="Arial"/>
              </w:rPr>
              <w:t xml:space="preserve"> </w:t>
            </w:r>
            <w:r w:rsidRPr="00A0121A">
              <w:rPr>
                <w:rFonts w:cs="Arial"/>
              </w:rPr>
              <w:t>22.1)</w:t>
            </w:r>
          </w:p>
        </w:tc>
      </w:tr>
      <w:tr w:rsidR="006722DB" w:rsidRPr="00A0121A" w14:paraId="2BCEAB19"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244" w:type="pct"/>
            <w:tcBorders>
              <w:top w:val="single" w:sz="4" w:space="0" w:color="000000"/>
              <w:bottom w:val="nil"/>
            </w:tcBorders>
          </w:tcPr>
          <w:p w14:paraId="48B6A004" w14:textId="77777777" w:rsidR="009A6E70" w:rsidRPr="00EC421D" w:rsidRDefault="009A6E70" w:rsidP="00EB155C">
            <w:pPr>
              <w:pStyle w:val="TableText"/>
              <w:rPr>
                <w:rFonts w:cs="Arial"/>
                <w:b/>
              </w:rPr>
            </w:pPr>
            <w:r>
              <w:rPr>
                <w:rFonts w:cs="Arial"/>
                <w:b/>
              </w:rPr>
              <w:t>Collapsed categories</w:t>
            </w:r>
          </w:p>
        </w:tc>
        <w:tc>
          <w:tcPr>
            <w:tcW w:w="492" w:type="pct"/>
            <w:tcBorders>
              <w:top w:val="single" w:sz="4" w:space="0" w:color="000000"/>
              <w:bottom w:val="nil"/>
            </w:tcBorders>
          </w:tcPr>
          <w:p w14:paraId="21259B50" w14:textId="77777777" w:rsidR="009A6E70" w:rsidRPr="00A0121A" w:rsidRDefault="009A6E70" w:rsidP="00EB155C">
            <w:pPr>
              <w:pStyle w:val="TableText"/>
              <w:jc w:val="right"/>
              <w:rPr>
                <w:rFonts w:cs="Arial"/>
              </w:rPr>
            </w:pPr>
          </w:p>
        </w:tc>
        <w:tc>
          <w:tcPr>
            <w:tcW w:w="614" w:type="pct"/>
            <w:tcBorders>
              <w:top w:val="single" w:sz="4" w:space="0" w:color="000000"/>
              <w:bottom w:val="nil"/>
            </w:tcBorders>
          </w:tcPr>
          <w:p w14:paraId="3AC40815" w14:textId="77777777" w:rsidR="009A6E70" w:rsidRPr="00A0121A" w:rsidRDefault="009A6E70" w:rsidP="00EB155C">
            <w:pPr>
              <w:pStyle w:val="TableText"/>
              <w:jc w:val="right"/>
              <w:rPr>
                <w:rFonts w:cs="Arial"/>
              </w:rPr>
            </w:pPr>
          </w:p>
        </w:tc>
        <w:tc>
          <w:tcPr>
            <w:tcW w:w="772" w:type="pct"/>
            <w:tcBorders>
              <w:top w:val="single" w:sz="4" w:space="0" w:color="000000"/>
              <w:bottom w:val="nil"/>
            </w:tcBorders>
          </w:tcPr>
          <w:p w14:paraId="0D76D411" w14:textId="77777777" w:rsidR="009A6E70" w:rsidRPr="00A0121A" w:rsidRDefault="009A6E70" w:rsidP="00EB155C">
            <w:pPr>
              <w:pStyle w:val="TableText"/>
              <w:jc w:val="right"/>
              <w:rPr>
                <w:rFonts w:cs="Arial"/>
              </w:rPr>
            </w:pPr>
          </w:p>
        </w:tc>
        <w:tc>
          <w:tcPr>
            <w:tcW w:w="456" w:type="pct"/>
            <w:tcBorders>
              <w:top w:val="single" w:sz="4" w:space="0" w:color="000000"/>
              <w:bottom w:val="nil"/>
            </w:tcBorders>
          </w:tcPr>
          <w:p w14:paraId="22B239C3" w14:textId="77777777" w:rsidR="009A6E70" w:rsidRPr="00A0121A" w:rsidRDefault="009A6E70" w:rsidP="00EB155C">
            <w:pPr>
              <w:pStyle w:val="TableText"/>
              <w:jc w:val="right"/>
              <w:rPr>
                <w:rFonts w:cs="Arial"/>
              </w:rPr>
            </w:pPr>
          </w:p>
        </w:tc>
        <w:tc>
          <w:tcPr>
            <w:tcW w:w="614" w:type="pct"/>
            <w:tcBorders>
              <w:top w:val="single" w:sz="4" w:space="0" w:color="000000"/>
              <w:bottom w:val="nil"/>
            </w:tcBorders>
          </w:tcPr>
          <w:p w14:paraId="2A5EC06A" w14:textId="77777777" w:rsidR="009A6E70" w:rsidRPr="00A0121A" w:rsidRDefault="009A6E70" w:rsidP="00EB155C">
            <w:pPr>
              <w:pStyle w:val="TableText"/>
              <w:jc w:val="right"/>
              <w:rPr>
                <w:rFonts w:cs="Arial"/>
              </w:rPr>
            </w:pPr>
          </w:p>
        </w:tc>
        <w:tc>
          <w:tcPr>
            <w:tcW w:w="808" w:type="pct"/>
            <w:tcBorders>
              <w:top w:val="single" w:sz="4" w:space="0" w:color="000000"/>
              <w:bottom w:val="nil"/>
            </w:tcBorders>
          </w:tcPr>
          <w:p w14:paraId="10085C6E" w14:textId="77777777" w:rsidR="009A6E70" w:rsidRPr="00A0121A" w:rsidRDefault="009A6E70" w:rsidP="00EB155C">
            <w:pPr>
              <w:pStyle w:val="TableText"/>
              <w:jc w:val="right"/>
              <w:rPr>
                <w:rFonts w:cs="Arial"/>
              </w:rPr>
            </w:pPr>
          </w:p>
        </w:tc>
      </w:tr>
      <w:tr w:rsidR="009A6E70" w:rsidRPr="00A0121A" w14:paraId="528978FA" w14:textId="77777777" w:rsidTr="006722DB">
        <w:trPr>
          <w:cantSplit/>
        </w:trPr>
        <w:tc>
          <w:tcPr>
            <w:tcW w:w="1244" w:type="pct"/>
            <w:tcBorders>
              <w:top w:val="nil"/>
            </w:tcBorders>
          </w:tcPr>
          <w:p w14:paraId="3286AE55" w14:textId="77777777" w:rsidR="009A6E70" w:rsidRPr="00A0121A" w:rsidRDefault="009A6E70" w:rsidP="00EB155C">
            <w:pPr>
              <w:pStyle w:val="TableText"/>
              <w:rPr>
                <w:rFonts w:cs="Arial"/>
              </w:rPr>
            </w:pPr>
            <w:r w:rsidRPr="00A0121A">
              <w:rPr>
                <w:rFonts w:cs="Arial"/>
              </w:rPr>
              <w:t>N/A</w:t>
            </w:r>
          </w:p>
        </w:tc>
        <w:tc>
          <w:tcPr>
            <w:tcW w:w="492" w:type="pct"/>
            <w:tcBorders>
              <w:top w:val="nil"/>
            </w:tcBorders>
          </w:tcPr>
          <w:p w14:paraId="73DABAF5" w14:textId="77777777" w:rsidR="009A6E70" w:rsidRPr="00A0121A" w:rsidRDefault="009A6E70" w:rsidP="00EB155C">
            <w:pPr>
              <w:pStyle w:val="TableText"/>
              <w:jc w:val="right"/>
              <w:rPr>
                <w:rFonts w:cs="Arial"/>
              </w:rPr>
            </w:pPr>
            <w:r w:rsidRPr="00A0121A">
              <w:rPr>
                <w:rFonts w:cs="Arial"/>
              </w:rPr>
              <w:t>744</w:t>
            </w:r>
          </w:p>
        </w:tc>
        <w:tc>
          <w:tcPr>
            <w:tcW w:w="614" w:type="pct"/>
            <w:tcBorders>
              <w:top w:val="nil"/>
            </w:tcBorders>
          </w:tcPr>
          <w:p w14:paraId="29433F2B" w14:textId="77777777" w:rsidR="009A6E70" w:rsidRPr="00A0121A" w:rsidRDefault="009A6E70" w:rsidP="00EB155C">
            <w:pPr>
              <w:pStyle w:val="TableText"/>
              <w:jc w:val="right"/>
              <w:rPr>
                <w:rFonts w:cs="Arial"/>
              </w:rPr>
            </w:pPr>
            <w:r w:rsidRPr="00A0121A">
              <w:rPr>
                <w:rFonts w:cs="Arial"/>
              </w:rPr>
              <w:t>4289</w:t>
            </w:r>
          </w:p>
        </w:tc>
        <w:tc>
          <w:tcPr>
            <w:tcW w:w="772" w:type="pct"/>
            <w:tcBorders>
              <w:top w:val="nil"/>
            </w:tcBorders>
          </w:tcPr>
          <w:p w14:paraId="13DB1955" w14:textId="77777777" w:rsidR="009A6E70" w:rsidRPr="00A0121A" w:rsidRDefault="009A6E70" w:rsidP="00EB155C">
            <w:pPr>
              <w:pStyle w:val="TableText"/>
              <w:jc w:val="right"/>
              <w:rPr>
                <w:rFonts w:cs="Arial"/>
              </w:rPr>
            </w:pPr>
            <w:r w:rsidRPr="00A0121A">
              <w:rPr>
                <w:rFonts w:cs="Arial"/>
              </w:rPr>
              <w:t>17.2 (15.8,</w:t>
            </w:r>
            <w:r>
              <w:rPr>
                <w:rFonts w:cs="Arial"/>
              </w:rPr>
              <w:t xml:space="preserve"> </w:t>
            </w:r>
            <w:r w:rsidRPr="00A0121A">
              <w:rPr>
                <w:rFonts w:cs="Arial"/>
              </w:rPr>
              <w:t>18.7)</w:t>
            </w:r>
          </w:p>
        </w:tc>
        <w:tc>
          <w:tcPr>
            <w:tcW w:w="456" w:type="pct"/>
            <w:tcBorders>
              <w:top w:val="nil"/>
            </w:tcBorders>
          </w:tcPr>
          <w:p w14:paraId="57679B02" w14:textId="77777777" w:rsidR="009A6E70" w:rsidRPr="00A0121A" w:rsidRDefault="009A6E70" w:rsidP="00EB155C">
            <w:pPr>
              <w:pStyle w:val="TableText"/>
              <w:jc w:val="right"/>
              <w:rPr>
                <w:rFonts w:cs="Arial"/>
              </w:rPr>
            </w:pPr>
            <w:r w:rsidRPr="00A0121A">
              <w:rPr>
                <w:rFonts w:cs="Arial"/>
              </w:rPr>
              <w:t>1453</w:t>
            </w:r>
          </w:p>
        </w:tc>
        <w:tc>
          <w:tcPr>
            <w:tcW w:w="614" w:type="pct"/>
            <w:tcBorders>
              <w:top w:val="nil"/>
            </w:tcBorders>
          </w:tcPr>
          <w:p w14:paraId="3CB2805B" w14:textId="77777777" w:rsidR="009A6E70" w:rsidRPr="00A0121A" w:rsidRDefault="009A6E70" w:rsidP="00EB155C">
            <w:pPr>
              <w:pStyle w:val="TableText"/>
              <w:jc w:val="right"/>
              <w:rPr>
                <w:rFonts w:cs="Arial"/>
              </w:rPr>
            </w:pPr>
            <w:r w:rsidRPr="00A0121A">
              <w:rPr>
                <w:rFonts w:cs="Arial"/>
              </w:rPr>
              <w:t>9787</w:t>
            </w:r>
          </w:p>
        </w:tc>
        <w:tc>
          <w:tcPr>
            <w:tcW w:w="808" w:type="pct"/>
            <w:tcBorders>
              <w:top w:val="nil"/>
            </w:tcBorders>
          </w:tcPr>
          <w:p w14:paraId="26F2FABA" w14:textId="77777777" w:rsidR="009A6E70" w:rsidRPr="00A0121A" w:rsidRDefault="009A6E70" w:rsidP="00EB155C">
            <w:pPr>
              <w:pStyle w:val="TableText"/>
              <w:jc w:val="right"/>
              <w:rPr>
                <w:rFonts w:cs="Arial"/>
              </w:rPr>
            </w:pPr>
            <w:r w:rsidRPr="00A0121A">
              <w:rPr>
                <w:rFonts w:cs="Arial"/>
              </w:rPr>
              <w:t>18.6 (15.6,</w:t>
            </w:r>
            <w:r>
              <w:rPr>
                <w:rFonts w:cs="Arial"/>
              </w:rPr>
              <w:t xml:space="preserve"> </w:t>
            </w:r>
            <w:r w:rsidRPr="00A0121A">
              <w:rPr>
                <w:rFonts w:cs="Arial"/>
              </w:rPr>
              <w:t>22.1)</w:t>
            </w:r>
          </w:p>
        </w:tc>
      </w:tr>
      <w:tr w:rsidR="006722DB" w:rsidRPr="00A0121A" w14:paraId="6014E3FD"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244" w:type="pct"/>
          </w:tcPr>
          <w:p w14:paraId="7EF2ECA1" w14:textId="77777777" w:rsidR="009A6E70" w:rsidRPr="00A0121A" w:rsidRDefault="009A6E70" w:rsidP="00EB155C">
            <w:pPr>
              <w:pStyle w:val="TableText"/>
              <w:rPr>
                <w:rFonts w:cs="Arial"/>
              </w:rPr>
            </w:pPr>
            <w:r>
              <w:rPr>
                <w:rFonts w:cs="Arial"/>
              </w:rPr>
              <w:t>Not true</w:t>
            </w:r>
          </w:p>
        </w:tc>
        <w:tc>
          <w:tcPr>
            <w:tcW w:w="492" w:type="pct"/>
          </w:tcPr>
          <w:p w14:paraId="486CC636" w14:textId="77777777" w:rsidR="009A6E70" w:rsidRPr="00A0121A" w:rsidRDefault="009A6E70" w:rsidP="00EB155C">
            <w:pPr>
              <w:pStyle w:val="TableText"/>
              <w:jc w:val="right"/>
              <w:rPr>
                <w:rFonts w:cs="Arial"/>
              </w:rPr>
            </w:pPr>
            <w:r w:rsidRPr="00A0121A">
              <w:rPr>
                <w:rFonts w:cs="Arial"/>
              </w:rPr>
              <w:t>2365</w:t>
            </w:r>
          </w:p>
        </w:tc>
        <w:tc>
          <w:tcPr>
            <w:tcW w:w="614" w:type="pct"/>
          </w:tcPr>
          <w:p w14:paraId="0FFCEAD9" w14:textId="77777777" w:rsidR="009A6E70" w:rsidRPr="00A0121A" w:rsidRDefault="009A6E70" w:rsidP="00EB155C">
            <w:pPr>
              <w:pStyle w:val="TableText"/>
              <w:jc w:val="right"/>
              <w:rPr>
                <w:rFonts w:cs="Arial"/>
              </w:rPr>
            </w:pPr>
            <w:r w:rsidRPr="00A0121A">
              <w:rPr>
                <w:rFonts w:cs="Arial"/>
              </w:rPr>
              <w:t>17</w:t>
            </w:r>
            <w:r>
              <w:rPr>
                <w:rFonts w:cs="Arial"/>
              </w:rPr>
              <w:t>,</w:t>
            </w:r>
            <w:r w:rsidRPr="00A0121A">
              <w:rPr>
                <w:rFonts w:cs="Arial"/>
              </w:rPr>
              <w:t>066</w:t>
            </w:r>
          </w:p>
        </w:tc>
        <w:tc>
          <w:tcPr>
            <w:tcW w:w="772" w:type="pct"/>
          </w:tcPr>
          <w:p w14:paraId="74CA4984" w14:textId="77777777" w:rsidR="009A6E70" w:rsidRPr="00A0121A" w:rsidRDefault="009A6E70" w:rsidP="00EB155C">
            <w:pPr>
              <w:pStyle w:val="TableText"/>
              <w:jc w:val="right"/>
              <w:rPr>
                <w:rFonts w:cs="Arial"/>
              </w:rPr>
            </w:pPr>
            <w:r w:rsidRPr="00A0121A">
              <w:rPr>
                <w:rFonts w:cs="Arial"/>
              </w:rPr>
              <w:t>68.4 (66.5,</w:t>
            </w:r>
            <w:r>
              <w:rPr>
                <w:rFonts w:cs="Arial"/>
              </w:rPr>
              <w:t xml:space="preserve"> </w:t>
            </w:r>
            <w:r w:rsidRPr="00A0121A">
              <w:rPr>
                <w:rFonts w:cs="Arial"/>
              </w:rPr>
              <w:t>70.3)</w:t>
            </w:r>
          </w:p>
        </w:tc>
        <w:tc>
          <w:tcPr>
            <w:tcW w:w="456" w:type="pct"/>
          </w:tcPr>
          <w:p w14:paraId="0F73401F" w14:textId="77777777" w:rsidR="009A6E70" w:rsidRPr="00A0121A" w:rsidRDefault="009A6E70" w:rsidP="00EB155C">
            <w:pPr>
              <w:pStyle w:val="TableText"/>
              <w:jc w:val="right"/>
              <w:rPr>
                <w:rFonts w:cs="Arial"/>
              </w:rPr>
            </w:pPr>
            <w:r w:rsidRPr="00A0121A">
              <w:rPr>
                <w:rFonts w:cs="Arial"/>
              </w:rPr>
              <w:t>5250</w:t>
            </w:r>
          </w:p>
        </w:tc>
        <w:tc>
          <w:tcPr>
            <w:tcW w:w="614" w:type="pct"/>
          </w:tcPr>
          <w:p w14:paraId="536F9FC8" w14:textId="77777777" w:rsidR="009A6E70" w:rsidRPr="00A0121A" w:rsidRDefault="009A6E70" w:rsidP="00EB155C">
            <w:pPr>
              <w:pStyle w:val="TableText"/>
              <w:jc w:val="right"/>
              <w:rPr>
                <w:rFonts w:cs="Arial"/>
              </w:rPr>
            </w:pPr>
            <w:r w:rsidRPr="00A0121A">
              <w:rPr>
                <w:rFonts w:cs="Arial"/>
              </w:rPr>
              <w:t>35</w:t>
            </w:r>
            <w:r>
              <w:rPr>
                <w:rFonts w:cs="Arial"/>
              </w:rPr>
              <w:t>,</w:t>
            </w:r>
            <w:r w:rsidRPr="00A0121A">
              <w:rPr>
                <w:rFonts w:cs="Arial"/>
              </w:rPr>
              <w:t>365</w:t>
            </w:r>
          </w:p>
        </w:tc>
        <w:tc>
          <w:tcPr>
            <w:tcW w:w="808" w:type="pct"/>
          </w:tcPr>
          <w:p w14:paraId="7C51902C" w14:textId="77777777" w:rsidR="009A6E70" w:rsidRPr="00A0121A" w:rsidRDefault="009A6E70" w:rsidP="00EB155C">
            <w:pPr>
              <w:pStyle w:val="TableText"/>
              <w:jc w:val="right"/>
              <w:rPr>
                <w:rFonts w:cs="Arial"/>
              </w:rPr>
            </w:pPr>
            <w:r w:rsidRPr="00A0121A">
              <w:rPr>
                <w:rFonts w:cs="Arial"/>
              </w:rPr>
              <w:t>67.4 (63.2,</w:t>
            </w:r>
            <w:r>
              <w:rPr>
                <w:rFonts w:cs="Arial"/>
              </w:rPr>
              <w:t xml:space="preserve"> </w:t>
            </w:r>
            <w:r w:rsidRPr="00A0121A">
              <w:rPr>
                <w:rFonts w:cs="Arial"/>
              </w:rPr>
              <w:t>71.3)</w:t>
            </w:r>
          </w:p>
        </w:tc>
      </w:tr>
      <w:tr w:rsidR="009A6E70" w:rsidRPr="00A0121A" w14:paraId="7E86B2DA" w14:textId="77777777" w:rsidTr="006722DB">
        <w:trPr>
          <w:cantSplit/>
        </w:trPr>
        <w:tc>
          <w:tcPr>
            <w:tcW w:w="1244" w:type="pct"/>
          </w:tcPr>
          <w:p w14:paraId="1C7B526E" w14:textId="77777777" w:rsidR="009A6E70" w:rsidRPr="00A0121A" w:rsidRDefault="009A6E70" w:rsidP="00EB155C">
            <w:pPr>
              <w:pStyle w:val="TableText"/>
              <w:rPr>
                <w:rFonts w:cs="Arial"/>
              </w:rPr>
            </w:pPr>
            <w:r w:rsidRPr="00A0121A">
              <w:rPr>
                <w:rFonts w:cs="Arial"/>
              </w:rPr>
              <w:t>True</w:t>
            </w:r>
            <w:r>
              <w:rPr>
                <w:rFonts w:cs="Arial"/>
              </w:rPr>
              <w:t xml:space="preserve"> (A bit true/very true)</w:t>
            </w:r>
          </w:p>
        </w:tc>
        <w:tc>
          <w:tcPr>
            <w:tcW w:w="492" w:type="pct"/>
          </w:tcPr>
          <w:p w14:paraId="4216008E" w14:textId="77777777" w:rsidR="009A6E70" w:rsidRPr="00A0121A" w:rsidRDefault="009A6E70" w:rsidP="00EB155C">
            <w:pPr>
              <w:pStyle w:val="TableText"/>
              <w:jc w:val="right"/>
              <w:rPr>
                <w:rFonts w:cs="Arial"/>
              </w:rPr>
            </w:pPr>
            <w:r w:rsidRPr="00A0121A">
              <w:rPr>
                <w:rFonts w:cs="Arial"/>
              </w:rPr>
              <w:t>400</w:t>
            </w:r>
          </w:p>
        </w:tc>
        <w:tc>
          <w:tcPr>
            <w:tcW w:w="614" w:type="pct"/>
          </w:tcPr>
          <w:p w14:paraId="61202312" w14:textId="77777777" w:rsidR="009A6E70" w:rsidRPr="00A0121A" w:rsidRDefault="009A6E70" w:rsidP="00EB155C">
            <w:pPr>
              <w:pStyle w:val="TableText"/>
              <w:jc w:val="right"/>
              <w:rPr>
                <w:rFonts w:eastAsia="Calibri" w:cs="Arial"/>
              </w:rPr>
            </w:pPr>
            <w:r w:rsidRPr="00A0121A">
              <w:rPr>
                <w:rFonts w:cs="Arial"/>
              </w:rPr>
              <w:t>3368</w:t>
            </w:r>
          </w:p>
        </w:tc>
        <w:tc>
          <w:tcPr>
            <w:tcW w:w="772" w:type="pct"/>
          </w:tcPr>
          <w:p w14:paraId="28EE616D" w14:textId="77777777" w:rsidR="009A6E70" w:rsidRPr="00A0121A" w:rsidRDefault="009A6E70" w:rsidP="00EB155C">
            <w:pPr>
              <w:pStyle w:val="TableText"/>
              <w:jc w:val="right"/>
              <w:rPr>
                <w:rFonts w:cs="Arial"/>
              </w:rPr>
            </w:pPr>
            <w:r w:rsidRPr="00A0121A">
              <w:rPr>
                <w:rFonts w:cs="Arial"/>
              </w:rPr>
              <w:t>13.5 (12.1,</w:t>
            </w:r>
            <w:r>
              <w:rPr>
                <w:rFonts w:cs="Arial"/>
              </w:rPr>
              <w:t xml:space="preserve"> </w:t>
            </w:r>
            <w:r w:rsidRPr="00A0121A">
              <w:rPr>
                <w:rFonts w:cs="Arial"/>
              </w:rPr>
              <w:t>15.1)</w:t>
            </w:r>
          </w:p>
        </w:tc>
        <w:tc>
          <w:tcPr>
            <w:tcW w:w="456" w:type="pct"/>
          </w:tcPr>
          <w:p w14:paraId="5C1C5E0D" w14:textId="77777777" w:rsidR="009A6E70" w:rsidRPr="00A0121A" w:rsidRDefault="009A6E70" w:rsidP="00EB155C">
            <w:pPr>
              <w:pStyle w:val="TableText"/>
              <w:jc w:val="right"/>
              <w:rPr>
                <w:rFonts w:eastAsia="Calibri" w:cs="Arial"/>
              </w:rPr>
            </w:pPr>
            <w:r w:rsidRPr="00A0121A">
              <w:rPr>
                <w:rFonts w:cs="Arial"/>
              </w:rPr>
              <w:t>587</w:t>
            </w:r>
          </w:p>
        </w:tc>
        <w:tc>
          <w:tcPr>
            <w:tcW w:w="614" w:type="pct"/>
          </w:tcPr>
          <w:p w14:paraId="4750EF31" w14:textId="77777777" w:rsidR="009A6E70" w:rsidRPr="00A0121A" w:rsidRDefault="009A6E70" w:rsidP="00EB155C">
            <w:pPr>
              <w:pStyle w:val="TableText"/>
              <w:jc w:val="right"/>
              <w:rPr>
                <w:rFonts w:eastAsia="Calibri" w:cs="Arial"/>
              </w:rPr>
            </w:pPr>
            <w:r w:rsidRPr="00A0121A">
              <w:rPr>
                <w:rFonts w:cs="Arial"/>
              </w:rPr>
              <w:t>6308</w:t>
            </w:r>
          </w:p>
        </w:tc>
        <w:tc>
          <w:tcPr>
            <w:tcW w:w="808" w:type="pct"/>
          </w:tcPr>
          <w:p w14:paraId="06F4F5CF" w14:textId="77777777" w:rsidR="009A6E70" w:rsidRPr="00A0121A" w:rsidRDefault="009A6E70" w:rsidP="00EB155C">
            <w:pPr>
              <w:pStyle w:val="TableText"/>
              <w:jc w:val="right"/>
              <w:rPr>
                <w:rFonts w:eastAsia="Calibri" w:cs="Arial"/>
              </w:rPr>
            </w:pPr>
            <w:r w:rsidRPr="00A0121A">
              <w:rPr>
                <w:rFonts w:cs="Arial"/>
              </w:rPr>
              <w:t>12.0 (9.2,</w:t>
            </w:r>
            <w:r>
              <w:rPr>
                <w:rFonts w:cs="Arial"/>
              </w:rPr>
              <w:t xml:space="preserve"> </w:t>
            </w:r>
            <w:r w:rsidRPr="00A0121A">
              <w:rPr>
                <w:rFonts w:cs="Arial"/>
              </w:rPr>
              <w:t>15.6)</w:t>
            </w:r>
          </w:p>
        </w:tc>
      </w:tr>
    </w:tbl>
    <w:p w14:paraId="10885F4B" w14:textId="77777777" w:rsidR="009A6E70" w:rsidRPr="006A3EA0" w:rsidRDefault="009A6E70" w:rsidP="009A6E70">
      <w:pPr>
        <w:pStyle w:val="TableNotes"/>
      </w:pPr>
      <w:r w:rsidRPr="006A3EA0">
        <w:t>Notes</w:t>
      </w:r>
    </w:p>
    <w:p w14:paraId="5ABC6ABB" w14:textId="77777777" w:rsidR="009A6E70" w:rsidRPr="004C7947" w:rsidRDefault="009A6E70" w:rsidP="009A6E70">
      <w:pPr>
        <w:pStyle w:val="TableNotes"/>
      </w:pPr>
      <w:r w:rsidRPr="004C7947">
        <w:t>Denominator: Entire cohort</w:t>
      </w:r>
      <w:r>
        <w:t>.</w:t>
      </w:r>
    </w:p>
    <w:p w14:paraId="09576167" w14:textId="77777777" w:rsidR="009A6E70" w:rsidRPr="004C7947" w:rsidRDefault="009A6E70" w:rsidP="009A6E70">
      <w:pPr>
        <w:pStyle w:val="TableNotes"/>
      </w:pPr>
      <w:r w:rsidRPr="004C7947">
        <w:t>Based on weighted counts, 170 (0.7%) Transitioned ADF, and 897 (1.7%) 2015 Regular ADF had a missing value for this question.</w:t>
      </w:r>
      <w:r>
        <w:t xml:space="preserve"> </w:t>
      </w:r>
      <w:r w:rsidRPr="004C7947">
        <w:t>However, distributions are calculated by including those with a missing value to allow for correct weighted totals.</w:t>
      </w:r>
    </w:p>
    <w:p w14:paraId="78405B3F" w14:textId="77777777" w:rsidR="009A6E70" w:rsidRPr="004C7947" w:rsidRDefault="009A6E70" w:rsidP="009A6E70">
      <w:pPr>
        <w:pStyle w:val="TableNotes"/>
      </w:pPr>
      <w:r w:rsidRPr="004C7947">
        <w:t>95%CI</w:t>
      </w:r>
      <w:r>
        <w:t xml:space="preserve"> =</w:t>
      </w:r>
      <w:r w:rsidRPr="004C7947">
        <w:t xml:space="preserve"> 95% </w:t>
      </w:r>
      <w:r>
        <w:t>confidence interval.</w:t>
      </w:r>
    </w:p>
    <w:p w14:paraId="57F96DE1" w14:textId="77777777" w:rsidR="009A6E70" w:rsidRDefault="009A6E70" w:rsidP="009A6E70">
      <w:pPr>
        <w:pStyle w:val="TableNotes"/>
      </w:pPr>
      <w:r w:rsidRPr="004C7947">
        <w:t>For a full description of odds ratios, interpretation and strength of association</w:t>
      </w:r>
      <w:r>
        <w:t>,</w:t>
      </w:r>
      <w:r w:rsidRPr="004C7947">
        <w:t xml:space="preserve"> please refer to Table B.1 </w:t>
      </w:r>
      <w:r w:rsidRPr="00BB1B84">
        <w:t xml:space="preserve">in </w:t>
      </w:r>
      <w:r w:rsidR="00374073">
        <w:t>Annex </w:t>
      </w:r>
      <w:r>
        <w:t>B, Odds ratio table.</w:t>
      </w:r>
    </w:p>
    <w:p w14:paraId="16F94375" w14:textId="59AE334A" w:rsidR="009A6E70" w:rsidRDefault="009A6E70" w:rsidP="009A6E70">
      <w:pPr>
        <w:pStyle w:val="FigureName"/>
      </w:pPr>
      <w:bookmarkStart w:id="398" w:name="_Ref508181073"/>
      <w:bookmarkStart w:id="399" w:name="_Toc509922941"/>
      <w:bookmarkStart w:id="400" w:name="_Toc515374715"/>
      <w:bookmarkStart w:id="401" w:name="_Toc528932399"/>
      <w:bookmarkStart w:id="402" w:name="_Toc531858079"/>
      <w:r>
        <w:t xml:space="preserve">Figure </w:t>
      </w:r>
      <w:r>
        <w:rPr>
          <w:noProof/>
        </w:rPr>
        <w:t>4</w:t>
      </w:r>
      <w:r>
        <w:t>.</w:t>
      </w:r>
      <w:r>
        <w:rPr>
          <w:noProof/>
        </w:rPr>
        <w:t>7</w:t>
      </w:r>
      <w:bookmarkEnd w:id="398"/>
      <w:r>
        <w:tab/>
      </w:r>
      <w:r w:rsidRPr="00263C95">
        <w:t>Estimated proportion of Transitioned ADF and 2015 Regular ADF who indicated that they talk</w:t>
      </w:r>
      <w:r>
        <w:t>ed</w:t>
      </w:r>
      <w:r w:rsidRPr="00263C95">
        <w:t xml:space="preserve"> about private things with people online which they </w:t>
      </w:r>
      <w:r>
        <w:t>did</w:t>
      </w:r>
      <w:r w:rsidRPr="00263C95">
        <w:t xml:space="preserve"> not share with people face to face</w:t>
      </w:r>
      <w:bookmarkEnd w:id="399"/>
      <w:bookmarkEnd w:id="400"/>
      <w:bookmarkEnd w:id="401"/>
      <w:bookmarkEnd w:id="402"/>
    </w:p>
    <w:p w14:paraId="739D9680" w14:textId="77777777" w:rsidR="009A6E70" w:rsidRPr="006722DB" w:rsidRDefault="006722DB" w:rsidP="006722DB">
      <w:pPr>
        <w:spacing w:after="360"/>
      </w:pPr>
      <w:r w:rsidRPr="00A0121A">
        <w:rPr>
          <w:noProof/>
          <w:lang w:eastAsia="en-AU"/>
        </w:rPr>
        <w:drawing>
          <wp:inline distT="0" distB="0" distL="0" distR="0" wp14:anchorId="596DB23B" wp14:editId="45B8ADEA">
            <wp:extent cx="4572000" cy="2335748"/>
            <wp:effectExtent l="0" t="0" r="0" b="7620"/>
            <wp:docPr id="454" name="Picture 454" descr="Figure 4.7 Estimated proportion of Transitioned ADF and 2015 Regular ADF who indicated that they talked about private things with people online which they did not share with people face to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ealthSciences\SPHCP\CTSS\DATA REPOSITORY\TWRP\REPORT 5\FIGURE_5_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72000" cy="2335748"/>
                    </a:xfrm>
                    <a:prstGeom prst="rect">
                      <a:avLst/>
                    </a:prstGeom>
                    <a:noFill/>
                    <a:ln>
                      <a:noFill/>
                    </a:ln>
                  </pic:spPr>
                </pic:pic>
              </a:graphicData>
            </a:graphic>
          </wp:inline>
        </w:drawing>
      </w:r>
    </w:p>
    <w:p w14:paraId="7FA392C6" w14:textId="77777777" w:rsidR="009A6E70" w:rsidRPr="007207AC" w:rsidRDefault="009A6E70" w:rsidP="009A6E70">
      <w:pPr>
        <w:pStyle w:val="Heading3"/>
        <w:numPr>
          <w:ilvl w:val="2"/>
          <w:numId w:val="1"/>
        </w:numPr>
      </w:pPr>
      <w:bookmarkStart w:id="403" w:name="_Toc509917433"/>
      <w:bookmarkStart w:id="404" w:name="_Toc515374475"/>
      <w:bookmarkStart w:id="405" w:name="_Toc518566364"/>
      <w:bookmarkStart w:id="406" w:name="_Toc528932660"/>
      <w:bookmarkStart w:id="407" w:name="_Toc531859197"/>
      <w:r>
        <w:t>Went</w:t>
      </w:r>
      <w:r w:rsidRPr="007207AC">
        <w:t xml:space="preserve"> online more often on weekends than on a regular work day</w:t>
      </w:r>
      <w:bookmarkEnd w:id="403"/>
      <w:bookmarkEnd w:id="404"/>
      <w:bookmarkEnd w:id="405"/>
      <w:bookmarkEnd w:id="406"/>
      <w:bookmarkEnd w:id="407"/>
    </w:p>
    <w:p w14:paraId="4142B3E2" w14:textId="77777777" w:rsidR="009A6E70" w:rsidRDefault="009A6E70" w:rsidP="009A6E70">
      <w:r>
        <w:t xml:space="preserve">Transitioned ADF were significantly less likely to go online more often on weekends than on a regular work day compared to the 2015 Regular ADF (30.9% vs 49.0%, OR 0.47, 95% CI 0.37, 0.60) (Table </w:t>
      </w:r>
      <w:r>
        <w:rPr>
          <w:noProof/>
        </w:rPr>
        <w:t>4.8</w:t>
      </w:r>
      <w:r>
        <w:t xml:space="preserve"> </w:t>
      </w:r>
      <w:r w:rsidRPr="00342C00">
        <w:t xml:space="preserve">and </w:t>
      </w:r>
      <w:r>
        <w:t xml:space="preserve">Figure </w:t>
      </w:r>
      <w:r>
        <w:rPr>
          <w:noProof/>
        </w:rPr>
        <w:t>4.8</w:t>
      </w:r>
      <w:r>
        <w:t>).</w:t>
      </w:r>
    </w:p>
    <w:p w14:paraId="36FBCBFB" w14:textId="77777777" w:rsidR="009A6E70" w:rsidRDefault="009A6E70" w:rsidP="009A6E70">
      <w:pPr>
        <w:pStyle w:val="TableName"/>
        <w:rPr>
          <w:rFonts w:eastAsia="Times New Roman"/>
          <w:lang w:eastAsia="en-AU"/>
        </w:rPr>
      </w:pPr>
      <w:bookmarkStart w:id="408" w:name="_Ref508698630"/>
      <w:bookmarkStart w:id="409" w:name="_Toc509922868"/>
      <w:bookmarkStart w:id="410" w:name="_Toc515374643"/>
      <w:bookmarkStart w:id="411" w:name="_Toc528932317"/>
      <w:bookmarkStart w:id="412" w:name="_Toc531857996"/>
      <w:r>
        <w:t xml:space="preserve">Table </w:t>
      </w:r>
      <w:r>
        <w:rPr>
          <w:noProof/>
        </w:rPr>
        <w:t>4</w:t>
      </w:r>
      <w:r>
        <w:t>.</w:t>
      </w:r>
      <w:r>
        <w:rPr>
          <w:noProof/>
        </w:rPr>
        <w:t>8</w:t>
      </w:r>
      <w:bookmarkEnd w:id="408"/>
      <w:r>
        <w:tab/>
      </w:r>
      <w:r w:rsidRPr="00263C95">
        <w:t xml:space="preserve">Estimated proportion of Transitioned ADF and 2015 Regular ADF who indicated that they </w:t>
      </w:r>
      <w:r>
        <w:t>went</w:t>
      </w:r>
      <w:r w:rsidRPr="00263C95">
        <w:t xml:space="preserve"> online more often on weekends than on a regular work day</w:t>
      </w:r>
      <w:bookmarkEnd w:id="409"/>
      <w:bookmarkEnd w:id="410"/>
      <w:bookmarkEnd w:id="411"/>
      <w:bookmarkEnd w:id="412"/>
    </w:p>
    <w:tbl>
      <w:tblPr>
        <w:tblStyle w:val="TWRPTable"/>
        <w:tblW w:w="5000" w:type="pct"/>
        <w:tblLayout w:type="fixed"/>
        <w:tblCellMar>
          <w:left w:w="115" w:type="dxa"/>
          <w:right w:w="115" w:type="dxa"/>
        </w:tblCellMar>
        <w:tblLook w:val="0000" w:firstRow="0" w:lastRow="0" w:firstColumn="0" w:lastColumn="0" w:noHBand="0" w:noVBand="0"/>
        <w:tblDescription w:val="Table 4.8 Estimated proportion of Transitioned ADF and 2015 Regular ADF who indicated that they went online more often on weekends than on a regular work day"/>
      </w:tblPr>
      <w:tblGrid>
        <w:gridCol w:w="1757"/>
        <w:gridCol w:w="700"/>
        <w:gridCol w:w="872"/>
        <w:gridCol w:w="1094"/>
        <w:gridCol w:w="650"/>
        <w:gridCol w:w="872"/>
        <w:gridCol w:w="1144"/>
      </w:tblGrid>
      <w:tr w:rsidR="006722DB" w:rsidRPr="00A0121A" w14:paraId="3DA36A9A" w14:textId="77777777" w:rsidTr="006722DB">
        <w:trPr>
          <w:cantSplit/>
          <w:tblHeader/>
        </w:trPr>
        <w:tc>
          <w:tcPr>
            <w:tcW w:w="1825" w:type="dxa"/>
            <w:vMerge w:val="restart"/>
            <w:tcBorders>
              <w:top w:val="single" w:sz="4" w:space="0" w:color="000000"/>
            </w:tcBorders>
            <w:vAlign w:val="bottom"/>
          </w:tcPr>
          <w:p w14:paraId="74CD1EB8" w14:textId="77777777" w:rsidR="006722DB" w:rsidRPr="007207AC" w:rsidRDefault="006722DB" w:rsidP="006722DB">
            <w:pPr>
              <w:pStyle w:val="TableText"/>
              <w:rPr>
                <w:b/>
              </w:rPr>
            </w:pPr>
            <w:r w:rsidRPr="007207AC">
              <w:rPr>
                <w:rFonts w:eastAsia="Calibri" w:cs="ArialMT"/>
                <w:b/>
              </w:rPr>
              <w:t>I go online much more on the weekends than I do on a regular work day</w:t>
            </w:r>
            <w:r>
              <w:rPr>
                <w:rFonts w:eastAsia="Calibri" w:cs="ArialMT"/>
                <w:b/>
              </w:rPr>
              <w:t>.</w:t>
            </w:r>
          </w:p>
        </w:tc>
        <w:tc>
          <w:tcPr>
            <w:tcW w:w="2752" w:type="dxa"/>
            <w:gridSpan w:val="3"/>
            <w:tcBorders>
              <w:top w:val="single" w:sz="4" w:space="0" w:color="000000"/>
              <w:bottom w:val="single" w:sz="4" w:space="0" w:color="000000"/>
            </w:tcBorders>
          </w:tcPr>
          <w:p w14:paraId="7C205E12" w14:textId="77777777" w:rsidR="006722DB" w:rsidRPr="007207AC" w:rsidRDefault="006722DB" w:rsidP="006722DB">
            <w:pPr>
              <w:pStyle w:val="TableText"/>
              <w:jc w:val="center"/>
              <w:rPr>
                <w:b/>
              </w:rPr>
            </w:pPr>
            <w:r w:rsidRPr="007207AC">
              <w:rPr>
                <w:b/>
              </w:rPr>
              <w:t>Transitioned ADF</w:t>
            </w:r>
            <w:r>
              <w:rPr>
                <w:b/>
              </w:rPr>
              <w:br/>
            </w:r>
            <w:r w:rsidRPr="007207AC">
              <w:rPr>
                <w:b/>
              </w:rPr>
              <w:t>n=24</w:t>
            </w:r>
            <w:r>
              <w:rPr>
                <w:b/>
              </w:rPr>
              <w:t>,</w:t>
            </w:r>
            <w:r w:rsidRPr="007207AC">
              <w:rPr>
                <w:b/>
              </w:rPr>
              <w:t>932</w:t>
            </w:r>
          </w:p>
        </w:tc>
        <w:tc>
          <w:tcPr>
            <w:tcW w:w="2752" w:type="dxa"/>
            <w:gridSpan w:val="3"/>
            <w:tcBorders>
              <w:top w:val="single" w:sz="4" w:space="0" w:color="000000"/>
              <w:bottom w:val="single" w:sz="4" w:space="0" w:color="000000"/>
            </w:tcBorders>
          </w:tcPr>
          <w:p w14:paraId="00C5C1AB" w14:textId="77777777" w:rsidR="006722DB" w:rsidRPr="007207AC" w:rsidRDefault="006722DB" w:rsidP="006722DB">
            <w:pPr>
              <w:pStyle w:val="TableText"/>
              <w:jc w:val="center"/>
              <w:rPr>
                <w:b/>
              </w:rPr>
            </w:pPr>
            <w:r w:rsidRPr="007207AC">
              <w:rPr>
                <w:b/>
              </w:rPr>
              <w:t>2015 Regular ADF</w:t>
            </w:r>
            <w:r>
              <w:rPr>
                <w:b/>
              </w:rPr>
              <w:br/>
            </w:r>
            <w:r w:rsidRPr="007207AC">
              <w:rPr>
                <w:b/>
              </w:rPr>
              <w:t>n=52</w:t>
            </w:r>
            <w:r>
              <w:rPr>
                <w:b/>
              </w:rPr>
              <w:t>,</w:t>
            </w:r>
            <w:r w:rsidRPr="007207AC">
              <w:rPr>
                <w:b/>
              </w:rPr>
              <w:t>500</w:t>
            </w:r>
          </w:p>
        </w:tc>
      </w:tr>
      <w:tr w:rsidR="006722DB" w:rsidRPr="00A0121A" w14:paraId="3E068BD2" w14:textId="77777777" w:rsidTr="006722DB">
        <w:trPr>
          <w:cantSplit/>
          <w:tblHeader/>
        </w:trPr>
        <w:tc>
          <w:tcPr>
            <w:tcW w:w="1825" w:type="dxa"/>
            <w:vMerge/>
            <w:tcBorders>
              <w:bottom w:val="single" w:sz="4" w:space="0" w:color="000000"/>
            </w:tcBorders>
          </w:tcPr>
          <w:p w14:paraId="413D799A" w14:textId="77777777" w:rsidR="006722DB" w:rsidRPr="007207AC" w:rsidRDefault="006722DB" w:rsidP="00EB155C">
            <w:pPr>
              <w:pStyle w:val="TableText"/>
              <w:rPr>
                <w:rFonts w:eastAsia="Calibri" w:cs="Arial"/>
                <w:b/>
              </w:rPr>
            </w:pPr>
          </w:p>
        </w:tc>
        <w:tc>
          <w:tcPr>
            <w:tcW w:w="720" w:type="dxa"/>
            <w:tcBorders>
              <w:top w:val="single" w:sz="4" w:space="0" w:color="000000"/>
              <w:bottom w:val="single" w:sz="4" w:space="0" w:color="000000"/>
            </w:tcBorders>
          </w:tcPr>
          <w:p w14:paraId="6E6EDE36" w14:textId="77777777" w:rsidR="006722DB" w:rsidRPr="007207AC" w:rsidRDefault="006722DB" w:rsidP="00EB155C">
            <w:pPr>
              <w:pStyle w:val="TableText"/>
              <w:jc w:val="right"/>
              <w:rPr>
                <w:rFonts w:eastAsia="Calibri" w:cs="Arial"/>
                <w:b/>
              </w:rPr>
            </w:pPr>
            <w:r w:rsidRPr="007207AC">
              <w:rPr>
                <w:rFonts w:eastAsia="Calibri" w:cs="Arial"/>
                <w:b/>
              </w:rPr>
              <w:t>n</w:t>
            </w:r>
          </w:p>
        </w:tc>
        <w:tc>
          <w:tcPr>
            <w:tcW w:w="900" w:type="dxa"/>
            <w:tcBorders>
              <w:top w:val="single" w:sz="4" w:space="0" w:color="000000"/>
              <w:bottom w:val="single" w:sz="4" w:space="0" w:color="000000"/>
            </w:tcBorders>
          </w:tcPr>
          <w:p w14:paraId="2E4FB295" w14:textId="77777777" w:rsidR="006722DB" w:rsidRPr="007207AC" w:rsidRDefault="006722DB" w:rsidP="00EB155C">
            <w:pPr>
              <w:pStyle w:val="TableText"/>
              <w:jc w:val="right"/>
              <w:rPr>
                <w:rFonts w:eastAsia="Calibri" w:cs="Arial"/>
                <w:b/>
              </w:rPr>
            </w:pPr>
            <w:r w:rsidRPr="007207AC">
              <w:rPr>
                <w:rFonts w:eastAsia="Calibri" w:cs="Arial"/>
                <w:b/>
              </w:rPr>
              <w:t>Weighted n</w:t>
            </w:r>
          </w:p>
        </w:tc>
        <w:tc>
          <w:tcPr>
            <w:tcW w:w="1132" w:type="dxa"/>
            <w:tcBorders>
              <w:top w:val="single" w:sz="4" w:space="0" w:color="000000"/>
              <w:bottom w:val="single" w:sz="4" w:space="0" w:color="000000"/>
            </w:tcBorders>
          </w:tcPr>
          <w:p w14:paraId="4282C66F" w14:textId="77777777" w:rsidR="006722DB" w:rsidRPr="007207AC" w:rsidRDefault="006722DB" w:rsidP="00EB155C">
            <w:pPr>
              <w:pStyle w:val="TableText"/>
              <w:jc w:val="right"/>
              <w:rPr>
                <w:rFonts w:eastAsia="Calibri" w:cs="Arial"/>
                <w:b/>
              </w:rPr>
            </w:pPr>
            <w:r w:rsidRPr="007207AC">
              <w:rPr>
                <w:rFonts w:eastAsia="Calibri" w:cs="Arial"/>
                <w:b/>
              </w:rPr>
              <w:t>% (95%CI)</w:t>
            </w:r>
          </w:p>
        </w:tc>
        <w:tc>
          <w:tcPr>
            <w:tcW w:w="668" w:type="dxa"/>
            <w:tcBorders>
              <w:top w:val="single" w:sz="4" w:space="0" w:color="000000"/>
              <w:bottom w:val="single" w:sz="4" w:space="0" w:color="000000"/>
            </w:tcBorders>
          </w:tcPr>
          <w:p w14:paraId="2E037507" w14:textId="77777777" w:rsidR="006722DB" w:rsidRPr="007207AC" w:rsidRDefault="006722DB" w:rsidP="00EB155C">
            <w:pPr>
              <w:pStyle w:val="TableText"/>
              <w:jc w:val="right"/>
              <w:rPr>
                <w:rFonts w:eastAsia="Calibri" w:cs="Arial"/>
                <w:b/>
              </w:rPr>
            </w:pPr>
            <w:r w:rsidRPr="007207AC">
              <w:rPr>
                <w:rFonts w:eastAsia="Calibri" w:cs="Arial"/>
                <w:b/>
              </w:rPr>
              <w:t>n</w:t>
            </w:r>
          </w:p>
        </w:tc>
        <w:tc>
          <w:tcPr>
            <w:tcW w:w="900" w:type="dxa"/>
            <w:tcBorders>
              <w:top w:val="single" w:sz="4" w:space="0" w:color="000000"/>
              <w:bottom w:val="single" w:sz="4" w:space="0" w:color="000000"/>
            </w:tcBorders>
          </w:tcPr>
          <w:p w14:paraId="55AD6C2D" w14:textId="77777777" w:rsidR="006722DB" w:rsidRPr="007207AC" w:rsidRDefault="006722DB" w:rsidP="00EB155C">
            <w:pPr>
              <w:pStyle w:val="TableText"/>
              <w:jc w:val="right"/>
              <w:rPr>
                <w:rFonts w:eastAsia="Calibri" w:cs="Arial"/>
                <w:b/>
              </w:rPr>
            </w:pPr>
            <w:r w:rsidRPr="007207AC">
              <w:rPr>
                <w:rFonts w:eastAsia="Calibri" w:cs="Arial"/>
                <w:b/>
              </w:rPr>
              <w:t>Weighted n</w:t>
            </w:r>
          </w:p>
        </w:tc>
        <w:tc>
          <w:tcPr>
            <w:tcW w:w="1184" w:type="dxa"/>
            <w:tcBorders>
              <w:top w:val="single" w:sz="4" w:space="0" w:color="000000"/>
              <w:bottom w:val="single" w:sz="4" w:space="0" w:color="000000"/>
            </w:tcBorders>
          </w:tcPr>
          <w:p w14:paraId="791BE3FE" w14:textId="77777777" w:rsidR="006722DB" w:rsidRPr="007207AC" w:rsidRDefault="006722DB" w:rsidP="00EB155C">
            <w:pPr>
              <w:pStyle w:val="TableText"/>
              <w:jc w:val="right"/>
              <w:rPr>
                <w:rFonts w:eastAsia="Calibri" w:cs="Arial"/>
                <w:b/>
              </w:rPr>
            </w:pPr>
            <w:r w:rsidRPr="007207AC">
              <w:rPr>
                <w:rFonts w:eastAsia="Calibri" w:cs="Arial"/>
                <w:b/>
              </w:rPr>
              <w:t>% (95%CI)</w:t>
            </w:r>
          </w:p>
        </w:tc>
      </w:tr>
      <w:tr w:rsidR="009A6E70" w:rsidRPr="00A0121A" w14:paraId="21FAA55A"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tcBorders>
          </w:tcPr>
          <w:p w14:paraId="1C2EDD92" w14:textId="77777777" w:rsidR="009A6E70" w:rsidRPr="00A0121A" w:rsidRDefault="009A6E70" w:rsidP="00EB155C">
            <w:pPr>
              <w:pStyle w:val="TableText"/>
              <w:rPr>
                <w:rFonts w:eastAsia="Calibri" w:cs="Arial"/>
              </w:rPr>
            </w:pPr>
            <w:r w:rsidRPr="00A0121A">
              <w:rPr>
                <w:rFonts w:cs="Arial"/>
              </w:rPr>
              <w:t>Not true</w:t>
            </w:r>
          </w:p>
        </w:tc>
        <w:tc>
          <w:tcPr>
            <w:tcW w:w="720" w:type="dxa"/>
            <w:tcBorders>
              <w:top w:val="single" w:sz="4" w:space="0" w:color="000000"/>
            </w:tcBorders>
          </w:tcPr>
          <w:p w14:paraId="4CF6DB31" w14:textId="77777777" w:rsidR="009A6E70" w:rsidRPr="00A0121A" w:rsidRDefault="009A6E70" w:rsidP="00EB155C">
            <w:pPr>
              <w:pStyle w:val="TableText"/>
              <w:jc w:val="right"/>
              <w:rPr>
                <w:rFonts w:cs="Arial"/>
              </w:rPr>
            </w:pPr>
            <w:r w:rsidRPr="00A0121A">
              <w:rPr>
                <w:rFonts w:cs="Arial"/>
              </w:rPr>
              <w:t>2105</w:t>
            </w:r>
          </w:p>
        </w:tc>
        <w:tc>
          <w:tcPr>
            <w:tcW w:w="900" w:type="dxa"/>
            <w:tcBorders>
              <w:top w:val="single" w:sz="4" w:space="0" w:color="000000"/>
            </w:tcBorders>
          </w:tcPr>
          <w:p w14:paraId="3543C6A3" w14:textId="77777777" w:rsidR="009A6E70" w:rsidRPr="00A0121A" w:rsidRDefault="009A6E70" w:rsidP="00EB155C">
            <w:pPr>
              <w:pStyle w:val="TableText"/>
              <w:jc w:val="right"/>
              <w:rPr>
                <w:rFonts w:cs="Arial"/>
              </w:rPr>
            </w:pPr>
            <w:r w:rsidRPr="00A0121A">
              <w:rPr>
                <w:rFonts w:cs="Arial"/>
              </w:rPr>
              <w:t>14</w:t>
            </w:r>
            <w:r>
              <w:rPr>
                <w:rFonts w:cs="Arial"/>
              </w:rPr>
              <w:t>,</w:t>
            </w:r>
            <w:r w:rsidRPr="00A0121A">
              <w:rPr>
                <w:rFonts w:cs="Arial"/>
              </w:rPr>
              <w:t>572</w:t>
            </w:r>
          </w:p>
        </w:tc>
        <w:tc>
          <w:tcPr>
            <w:tcW w:w="1132" w:type="dxa"/>
            <w:tcBorders>
              <w:top w:val="single" w:sz="4" w:space="0" w:color="000000"/>
            </w:tcBorders>
          </w:tcPr>
          <w:p w14:paraId="04281AE8" w14:textId="77777777" w:rsidR="009A6E70" w:rsidRPr="00A0121A" w:rsidRDefault="009A6E70" w:rsidP="00EB155C">
            <w:pPr>
              <w:pStyle w:val="TableText"/>
              <w:jc w:val="right"/>
              <w:rPr>
                <w:rFonts w:eastAsia="Calibri" w:cs="Arial"/>
              </w:rPr>
            </w:pPr>
            <w:r w:rsidRPr="00A0121A">
              <w:rPr>
                <w:rFonts w:cs="Arial"/>
              </w:rPr>
              <w:t>58.4 (56.4,</w:t>
            </w:r>
            <w:r>
              <w:rPr>
                <w:rFonts w:cs="Arial"/>
              </w:rPr>
              <w:t xml:space="preserve"> </w:t>
            </w:r>
            <w:r w:rsidRPr="00A0121A">
              <w:rPr>
                <w:rFonts w:cs="Arial"/>
              </w:rPr>
              <w:t>60.5)</w:t>
            </w:r>
          </w:p>
        </w:tc>
        <w:tc>
          <w:tcPr>
            <w:tcW w:w="668" w:type="dxa"/>
            <w:tcBorders>
              <w:top w:val="single" w:sz="4" w:space="0" w:color="000000"/>
            </w:tcBorders>
          </w:tcPr>
          <w:p w14:paraId="119CF8E5" w14:textId="77777777" w:rsidR="009A6E70" w:rsidRPr="00A0121A" w:rsidRDefault="009A6E70" w:rsidP="00EB155C">
            <w:pPr>
              <w:pStyle w:val="TableText"/>
              <w:jc w:val="right"/>
              <w:rPr>
                <w:rFonts w:eastAsia="Calibri" w:cs="Arial"/>
              </w:rPr>
            </w:pPr>
            <w:r w:rsidRPr="00A0121A">
              <w:rPr>
                <w:rFonts w:cs="Arial"/>
              </w:rPr>
              <w:t>3290</w:t>
            </w:r>
          </w:p>
        </w:tc>
        <w:tc>
          <w:tcPr>
            <w:tcW w:w="900" w:type="dxa"/>
            <w:tcBorders>
              <w:top w:val="single" w:sz="4" w:space="0" w:color="000000"/>
            </w:tcBorders>
          </w:tcPr>
          <w:p w14:paraId="4E052F06" w14:textId="77777777" w:rsidR="009A6E70" w:rsidRPr="00A0121A" w:rsidRDefault="009A6E70" w:rsidP="00EB155C">
            <w:pPr>
              <w:pStyle w:val="TableText"/>
              <w:jc w:val="right"/>
              <w:rPr>
                <w:rFonts w:eastAsia="Calibri" w:cs="Arial"/>
              </w:rPr>
            </w:pPr>
            <w:r w:rsidRPr="00A0121A">
              <w:rPr>
                <w:rFonts w:cs="Arial"/>
              </w:rPr>
              <w:t>20713</w:t>
            </w:r>
          </w:p>
        </w:tc>
        <w:tc>
          <w:tcPr>
            <w:tcW w:w="1184" w:type="dxa"/>
            <w:tcBorders>
              <w:top w:val="single" w:sz="4" w:space="0" w:color="000000"/>
            </w:tcBorders>
          </w:tcPr>
          <w:p w14:paraId="37E9DE1C" w14:textId="77777777" w:rsidR="009A6E70" w:rsidRPr="00A0121A" w:rsidRDefault="009A6E70" w:rsidP="00EB155C">
            <w:pPr>
              <w:pStyle w:val="TableText"/>
              <w:jc w:val="right"/>
              <w:rPr>
                <w:rFonts w:eastAsia="Calibri" w:cs="Arial"/>
              </w:rPr>
            </w:pPr>
            <w:r w:rsidRPr="00A0121A">
              <w:rPr>
                <w:rFonts w:cs="Arial"/>
              </w:rPr>
              <w:t>39.5 (35.8,</w:t>
            </w:r>
            <w:r>
              <w:rPr>
                <w:rFonts w:cs="Arial"/>
              </w:rPr>
              <w:t xml:space="preserve"> </w:t>
            </w:r>
            <w:r w:rsidRPr="00A0121A">
              <w:rPr>
                <w:rFonts w:cs="Arial"/>
              </w:rPr>
              <w:t>43.2)</w:t>
            </w:r>
          </w:p>
        </w:tc>
      </w:tr>
      <w:tr w:rsidR="009A6E70" w:rsidRPr="00A0121A" w14:paraId="7D9E8C79" w14:textId="77777777" w:rsidTr="006722DB">
        <w:trPr>
          <w:cantSplit/>
        </w:trPr>
        <w:tc>
          <w:tcPr>
            <w:tcW w:w="1825" w:type="dxa"/>
          </w:tcPr>
          <w:p w14:paraId="27A6249F" w14:textId="77777777" w:rsidR="009A6E70" w:rsidRPr="00A0121A" w:rsidRDefault="009A6E70" w:rsidP="00EB155C">
            <w:pPr>
              <w:pStyle w:val="TableText"/>
              <w:rPr>
                <w:rFonts w:eastAsia="Calibri" w:cs="Arial"/>
              </w:rPr>
            </w:pPr>
            <w:r w:rsidRPr="00A0121A">
              <w:rPr>
                <w:rFonts w:cs="Arial"/>
              </w:rPr>
              <w:t>A bit true</w:t>
            </w:r>
            <w:r>
              <w:rPr>
                <w:rFonts w:cs="Arial"/>
              </w:rPr>
              <w:t xml:space="preserve"> </w:t>
            </w:r>
          </w:p>
        </w:tc>
        <w:tc>
          <w:tcPr>
            <w:tcW w:w="720" w:type="dxa"/>
          </w:tcPr>
          <w:p w14:paraId="2BD7A0B5" w14:textId="77777777" w:rsidR="009A6E70" w:rsidRPr="00A0121A" w:rsidRDefault="009A6E70" w:rsidP="00EB155C">
            <w:pPr>
              <w:pStyle w:val="TableText"/>
              <w:jc w:val="right"/>
              <w:rPr>
                <w:rFonts w:eastAsia="Calibri" w:cs="Arial"/>
              </w:rPr>
            </w:pPr>
            <w:r w:rsidRPr="00A0121A">
              <w:rPr>
                <w:rFonts w:cs="Arial"/>
              </w:rPr>
              <w:t>627</w:t>
            </w:r>
          </w:p>
        </w:tc>
        <w:tc>
          <w:tcPr>
            <w:tcW w:w="900" w:type="dxa"/>
          </w:tcPr>
          <w:p w14:paraId="0A3D1B65" w14:textId="77777777" w:rsidR="009A6E70" w:rsidRPr="00A0121A" w:rsidRDefault="009A6E70" w:rsidP="00EB155C">
            <w:pPr>
              <w:pStyle w:val="TableText"/>
              <w:jc w:val="right"/>
              <w:rPr>
                <w:rFonts w:eastAsia="Calibri" w:cs="Arial"/>
              </w:rPr>
            </w:pPr>
            <w:r w:rsidRPr="00A0121A">
              <w:rPr>
                <w:rFonts w:cs="Arial"/>
              </w:rPr>
              <w:t>4605</w:t>
            </w:r>
          </w:p>
        </w:tc>
        <w:tc>
          <w:tcPr>
            <w:tcW w:w="1132" w:type="dxa"/>
          </w:tcPr>
          <w:p w14:paraId="6550AAC9" w14:textId="77777777" w:rsidR="009A6E70" w:rsidRPr="00A0121A" w:rsidRDefault="009A6E70" w:rsidP="00EB155C">
            <w:pPr>
              <w:pStyle w:val="TableText"/>
              <w:jc w:val="right"/>
              <w:rPr>
                <w:rFonts w:eastAsia="Calibri" w:cs="Arial"/>
              </w:rPr>
            </w:pPr>
            <w:r w:rsidRPr="00A0121A">
              <w:rPr>
                <w:rFonts w:cs="Arial"/>
              </w:rPr>
              <w:t>18.5 (16.9,</w:t>
            </w:r>
            <w:r>
              <w:rPr>
                <w:rFonts w:cs="Arial"/>
              </w:rPr>
              <w:t xml:space="preserve"> </w:t>
            </w:r>
            <w:r w:rsidRPr="00A0121A">
              <w:rPr>
                <w:rFonts w:cs="Arial"/>
              </w:rPr>
              <w:t>20.2)</w:t>
            </w:r>
          </w:p>
        </w:tc>
        <w:tc>
          <w:tcPr>
            <w:tcW w:w="668" w:type="dxa"/>
          </w:tcPr>
          <w:p w14:paraId="62B4CA97" w14:textId="77777777" w:rsidR="009A6E70" w:rsidRPr="00A0121A" w:rsidRDefault="009A6E70" w:rsidP="00EB155C">
            <w:pPr>
              <w:pStyle w:val="TableText"/>
              <w:jc w:val="right"/>
              <w:rPr>
                <w:rFonts w:eastAsia="Calibri" w:cs="Arial"/>
              </w:rPr>
            </w:pPr>
            <w:r w:rsidRPr="00A0121A">
              <w:rPr>
                <w:rFonts w:cs="Arial"/>
              </w:rPr>
              <w:t>2111</w:t>
            </w:r>
          </w:p>
        </w:tc>
        <w:tc>
          <w:tcPr>
            <w:tcW w:w="900" w:type="dxa"/>
          </w:tcPr>
          <w:p w14:paraId="4CCD006F" w14:textId="77777777" w:rsidR="009A6E70" w:rsidRPr="00A0121A" w:rsidRDefault="009A6E70" w:rsidP="00EB155C">
            <w:pPr>
              <w:pStyle w:val="TableText"/>
              <w:jc w:val="right"/>
              <w:rPr>
                <w:rFonts w:eastAsia="Calibri" w:cs="Arial"/>
              </w:rPr>
            </w:pPr>
            <w:r w:rsidRPr="00A0121A">
              <w:rPr>
                <w:rFonts w:cs="Arial"/>
              </w:rPr>
              <w:t>15</w:t>
            </w:r>
            <w:r>
              <w:rPr>
                <w:rFonts w:cs="Arial"/>
              </w:rPr>
              <w:t>,</w:t>
            </w:r>
            <w:r w:rsidRPr="00A0121A">
              <w:rPr>
                <w:rFonts w:cs="Arial"/>
              </w:rPr>
              <w:t>023</w:t>
            </w:r>
          </w:p>
        </w:tc>
        <w:tc>
          <w:tcPr>
            <w:tcW w:w="1184" w:type="dxa"/>
          </w:tcPr>
          <w:p w14:paraId="6F968CA5" w14:textId="77777777" w:rsidR="009A6E70" w:rsidRPr="00A0121A" w:rsidRDefault="009A6E70" w:rsidP="00EB155C">
            <w:pPr>
              <w:pStyle w:val="TableText"/>
              <w:jc w:val="right"/>
              <w:rPr>
                <w:rFonts w:eastAsia="Calibri" w:cs="Arial"/>
              </w:rPr>
            </w:pPr>
            <w:r w:rsidRPr="00A0121A">
              <w:rPr>
                <w:rFonts w:cs="Arial"/>
              </w:rPr>
              <w:t>28.6 (25.0,</w:t>
            </w:r>
            <w:r>
              <w:rPr>
                <w:rFonts w:cs="Arial"/>
              </w:rPr>
              <w:t xml:space="preserve"> </w:t>
            </w:r>
            <w:r w:rsidRPr="00A0121A">
              <w:rPr>
                <w:rFonts w:cs="Arial"/>
              </w:rPr>
              <w:t>32.5)</w:t>
            </w:r>
          </w:p>
        </w:tc>
      </w:tr>
      <w:tr w:rsidR="009A6E70" w:rsidRPr="00A0121A" w14:paraId="35B7B7C7"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46800BF2" w14:textId="77777777" w:rsidR="009A6E70" w:rsidRPr="00A0121A" w:rsidRDefault="009A6E70" w:rsidP="00EB155C">
            <w:pPr>
              <w:pStyle w:val="TableText"/>
              <w:rPr>
                <w:rFonts w:eastAsia="Calibri" w:cs="ArialMT"/>
              </w:rPr>
            </w:pPr>
            <w:r w:rsidRPr="00A0121A">
              <w:rPr>
                <w:rFonts w:cs="Arial"/>
              </w:rPr>
              <w:t>Very true</w:t>
            </w:r>
          </w:p>
        </w:tc>
        <w:tc>
          <w:tcPr>
            <w:tcW w:w="720" w:type="dxa"/>
          </w:tcPr>
          <w:p w14:paraId="395724D9" w14:textId="77777777" w:rsidR="009A6E70" w:rsidRPr="00A0121A" w:rsidRDefault="009A6E70" w:rsidP="00EB155C">
            <w:pPr>
              <w:pStyle w:val="TableText"/>
              <w:jc w:val="right"/>
              <w:rPr>
                <w:rFonts w:eastAsia="Calibri" w:cs="Arial"/>
              </w:rPr>
            </w:pPr>
            <w:r w:rsidRPr="00A0121A">
              <w:rPr>
                <w:rFonts w:cs="Arial"/>
              </w:rPr>
              <w:t>378</w:t>
            </w:r>
          </w:p>
        </w:tc>
        <w:tc>
          <w:tcPr>
            <w:tcW w:w="900" w:type="dxa"/>
          </w:tcPr>
          <w:p w14:paraId="5F2D5BD1" w14:textId="77777777" w:rsidR="009A6E70" w:rsidRPr="00A0121A" w:rsidRDefault="009A6E70" w:rsidP="00EB155C">
            <w:pPr>
              <w:pStyle w:val="TableText"/>
              <w:jc w:val="right"/>
              <w:rPr>
                <w:rFonts w:eastAsia="Calibri" w:cs="Arial"/>
              </w:rPr>
            </w:pPr>
            <w:r w:rsidRPr="00A0121A">
              <w:rPr>
                <w:rFonts w:cs="Arial"/>
              </w:rPr>
              <w:t>3093</w:t>
            </w:r>
          </w:p>
        </w:tc>
        <w:tc>
          <w:tcPr>
            <w:tcW w:w="1132" w:type="dxa"/>
          </w:tcPr>
          <w:p w14:paraId="6A284999" w14:textId="77777777" w:rsidR="009A6E70" w:rsidRPr="00A0121A" w:rsidRDefault="009A6E70" w:rsidP="00EB155C">
            <w:pPr>
              <w:pStyle w:val="TableText"/>
              <w:jc w:val="right"/>
              <w:rPr>
                <w:rFonts w:eastAsia="Calibri" w:cs="Arial"/>
              </w:rPr>
            </w:pPr>
            <w:r w:rsidRPr="00A0121A">
              <w:rPr>
                <w:rFonts w:cs="Arial"/>
              </w:rPr>
              <w:t>12.4 (11.0,</w:t>
            </w:r>
            <w:r>
              <w:rPr>
                <w:rFonts w:cs="Arial"/>
              </w:rPr>
              <w:t xml:space="preserve"> </w:t>
            </w:r>
            <w:r w:rsidRPr="00A0121A">
              <w:rPr>
                <w:rFonts w:cs="Arial"/>
              </w:rPr>
              <w:t>14.0)</w:t>
            </w:r>
          </w:p>
        </w:tc>
        <w:tc>
          <w:tcPr>
            <w:tcW w:w="668" w:type="dxa"/>
          </w:tcPr>
          <w:p w14:paraId="269C6945" w14:textId="77777777" w:rsidR="009A6E70" w:rsidRPr="00A0121A" w:rsidRDefault="009A6E70" w:rsidP="00EB155C">
            <w:pPr>
              <w:pStyle w:val="TableText"/>
              <w:jc w:val="right"/>
              <w:rPr>
                <w:rFonts w:eastAsia="Calibri" w:cs="Arial"/>
              </w:rPr>
            </w:pPr>
            <w:r w:rsidRPr="00A0121A">
              <w:rPr>
                <w:rFonts w:cs="Arial"/>
              </w:rPr>
              <w:t>1303</w:t>
            </w:r>
          </w:p>
        </w:tc>
        <w:tc>
          <w:tcPr>
            <w:tcW w:w="900" w:type="dxa"/>
          </w:tcPr>
          <w:p w14:paraId="597F4B1D" w14:textId="77777777" w:rsidR="009A6E70" w:rsidRPr="00A0121A" w:rsidRDefault="009A6E70" w:rsidP="00EB155C">
            <w:pPr>
              <w:pStyle w:val="TableText"/>
              <w:jc w:val="right"/>
              <w:rPr>
                <w:rFonts w:eastAsia="Calibri" w:cs="Arial"/>
              </w:rPr>
            </w:pPr>
            <w:r w:rsidRPr="00A0121A">
              <w:rPr>
                <w:rFonts w:cs="Arial"/>
              </w:rPr>
              <w:t>10</w:t>
            </w:r>
            <w:r>
              <w:rPr>
                <w:rFonts w:cs="Arial"/>
              </w:rPr>
              <w:t>,</w:t>
            </w:r>
            <w:r w:rsidRPr="00A0121A">
              <w:rPr>
                <w:rFonts w:cs="Arial"/>
              </w:rPr>
              <w:t>703</w:t>
            </w:r>
          </w:p>
        </w:tc>
        <w:tc>
          <w:tcPr>
            <w:tcW w:w="1184" w:type="dxa"/>
          </w:tcPr>
          <w:p w14:paraId="03718994" w14:textId="77777777" w:rsidR="009A6E70" w:rsidRPr="00A0121A" w:rsidRDefault="009A6E70" w:rsidP="00EB155C">
            <w:pPr>
              <w:pStyle w:val="TableText"/>
              <w:jc w:val="right"/>
              <w:rPr>
                <w:rFonts w:eastAsia="Calibri" w:cs="Arial"/>
              </w:rPr>
            </w:pPr>
            <w:r w:rsidRPr="00A0121A">
              <w:rPr>
                <w:rFonts w:cs="Arial"/>
              </w:rPr>
              <w:t>20.4 (17.1,</w:t>
            </w:r>
            <w:r>
              <w:rPr>
                <w:rFonts w:cs="Arial"/>
              </w:rPr>
              <w:t xml:space="preserve"> </w:t>
            </w:r>
            <w:r w:rsidRPr="00A0121A">
              <w:rPr>
                <w:rFonts w:cs="Arial"/>
              </w:rPr>
              <w:t>24.1)</w:t>
            </w:r>
          </w:p>
        </w:tc>
      </w:tr>
      <w:tr w:rsidR="009A6E70" w:rsidRPr="00A0121A" w14:paraId="3D46AE1C" w14:textId="77777777" w:rsidTr="006722DB">
        <w:trPr>
          <w:cantSplit/>
        </w:trPr>
        <w:tc>
          <w:tcPr>
            <w:tcW w:w="1825" w:type="dxa"/>
            <w:tcBorders>
              <w:bottom w:val="single" w:sz="4" w:space="0" w:color="000000"/>
            </w:tcBorders>
          </w:tcPr>
          <w:p w14:paraId="64120BEE" w14:textId="77777777" w:rsidR="009A6E70" w:rsidRPr="00A0121A" w:rsidRDefault="009A6E70" w:rsidP="00EB155C">
            <w:pPr>
              <w:pStyle w:val="TableText"/>
              <w:rPr>
                <w:rFonts w:eastAsia="Calibri" w:cs="Arial"/>
              </w:rPr>
            </w:pPr>
            <w:r w:rsidRPr="00A0121A">
              <w:rPr>
                <w:rFonts w:cs="Arial"/>
              </w:rPr>
              <w:t>N/A</w:t>
            </w:r>
          </w:p>
        </w:tc>
        <w:tc>
          <w:tcPr>
            <w:tcW w:w="720" w:type="dxa"/>
            <w:tcBorders>
              <w:bottom w:val="single" w:sz="4" w:space="0" w:color="000000"/>
            </w:tcBorders>
          </w:tcPr>
          <w:p w14:paraId="2360A3F9" w14:textId="77777777" w:rsidR="009A6E70" w:rsidRPr="00A0121A" w:rsidRDefault="009A6E70" w:rsidP="00EB155C">
            <w:pPr>
              <w:pStyle w:val="TableText"/>
              <w:jc w:val="right"/>
              <w:rPr>
                <w:rFonts w:cs="Arial"/>
              </w:rPr>
            </w:pPr>
            <w:r w:rsidRPr="00A0121A">
              <w:rPr>
                <w:rFonts w:cs="Arial"/>
              </w:rPr>
              <w:t>405</w:t>
            </w:r>
          </w:p>
        </w:tc>
        <w:tc>
          <w:tcPr>
            <w:tcW w:w="900" w:type="dxa"/>
            <w:tcBorders>
              <w:bottom w:val="single" w:sz="4" w:space="0" w:color="000000"/>
            </w:tcBorders>
          </w:tcPr>
          <w:p w14:paraId="4D7F3A42" w14:textId="77777777" w:rsidR="009A6E70" w:rsidRPr="00A0121A" w:rsidRDefault="009A6E70" w:rsidP="00EB155C">
            <w:pPr>
              <w:pStyle w:val="TableText"/>
              <w:jc w:val="right"/>
              <w:rPr>
                <w:rFonts w:eastAsia="Calibri" w:cs="Arial"/>
              </w:rPr>
            </w:pPr>
            <w:r w:rsidRPr="00A0121A">
              <w:rPr>
                <w:rFonts w:cs="Arial"/>
              </w:rPr>
              <w:t>2435</w:t>
            </w:r>
          </w:p>
        </w:tc>
        <w:tc>
          <w:tcPr>
            <w:tcW w:w="1132" w:type="dxa"/>
            <w:tcBorders>
              <w:bottom w:val="single" w:sz="4" w:space="0" w:color="000000"/>
            </w:tcBorders>
          </w:tcPr>
          <w:p w14:paraId="24EAD5A9" w14:textId="77777777" w:rsidR="009A6E70" w:rsidRPr="00A0121A" w:rsidRDefault="009A6E70" w:rsidP="00EB155C">
            <w:pPr>
              <w:pStyle w:val="TableText"/>
              <w:jc w:val="right"/>
              <w:rPr>
                <w:rFonts w:cs="Arial"/>
              </w:rPr>
            </w:pPr>
            <w:r w:rsidRPr="00A0121A">
              <w:rPr>
                <w:rFonts w:cs="Arial"/>
              </w:rPr>
              <w:t>9.8 (8.7,</w:t>
            </w:r>
            <w:r>
              <w:rPr>
                <w:rFonts w:cs="Arial"/>
              </w:rPr>
              <w:t xml:space="preserve"> </w:t>
            </w:r>
            <w:r w:rsidRPr="00A0121A">
              <w:rPr>
                <w:rFonts w:cs="Arial"/>
              </w:rPr>
              <w:t>11.0)</w:t>
            </w:r>
          </w:p>
        </w:tc>
        <w:tc>
          <w:tcPr>
            <w:tcW w:w="668" w:type="dxa"/>
            <w:tcBorders>
              <w:bottom w:val="single" w:sz="4" w:space="0" w:color="000000"/>
            </w:tcBorders>
          </w:tcPr>
          <w:p w14:paraId="60138C82" w14:textId="77777777" w:rsidR="009A6E70" w:rsidRPr="00A0121A" w:rsidRDefault="009A6E70" w:rsidP="00EB155C">
            <w:pPr>
              <w:pStyle w:val="TableText"/>
              <w:jc w:val="right"/>
              <w:rPr>
                <w:rFonts w:eastAsia="Calibri" w:cs="Arial"/>
              </w:rPr>
            </w:pPr>
            <w:r w:rsidRPr="00A0121A">
              <w:rPr>
                <w:rFonts w:cs="Arial"/>
              </w:rPr>
              <w:t>595</w:t>
            </w:r>
          </w:p>
        </w:tc>
        <w:tc>
          <w:tcPr>
            <w:tcW w:w="900" w:type="dxa"/>
            <w:tcBorders>
              <w:bottom w:val="single" w:sz="4" w:space="0" w:color="000000"/>
            </w:tcBorders>
          </w:tcPr>
          <w:p w14:paraId="69024871" w14:textId="77777777" w:rsidR="009A6E70" w:rsidRPr="00A0121A" w:rsidRDefault="009A6E70" w:rsidP="00EB155C">
            <w:pPr>
              <w:pStyle w:val="TableText"/>
              <w:jc w:val="right"/>
              <w:rPr>
                <w:rFonts w:eastAsia="Calibri" w:cs="Arial"/>
              </w:rPr>
            </w:pPr>
            <w:r w:rsidRPr="00A0121A">
              <w:rPr>
                <w:rFonts w:cs="Arial"/>
              </w:rPr>
              <w:t>5147</w:t>
            </w:r>
          </w:p>
        </w:tc>
        <w:tc>
          <w:tcPr>
            <w:tcW w:w="1184" w:type="dxa"/>
            <w:tcBorders>
              <w:bottom w:val="single" w:sz="4" w:space="0" w:color="000000"/>
            </w:tcBorders>
          </w:tcPr>
          <w:p w14:paraId="17A20280" w14:textId="77777777" w:rsidR="009A6E70" w:rsidRPr="00A0121A" w:rsidRDefault="009A6E70" w:rsidP="00EB155C">
            <w:pPr>
              <w:pStyle w:val="TableText"/>
              <w:jc w:val="right"/>
              <w:rPr>
                <w:rFonts w:eastAsia="Calibri" w:cs="Arial"/>
              </w:rPr>
            </w:pPr>
            <w:r w:rsidRPr="00A0121A">
              <w:rPr>
                <w:rFonts w:cs="Arial"/>
              </w:rPr>
              <w:t>9.8 (7.2,</w:t>
            </w:r>
            <w:r>
              <w:rPr>
                <w:rFonts w:cs="Arial"/>
              </w:rPr>
              <w:t xml:space="preserve"> </w:t>
            </w:r>
            <w:r w:rsidRPr="00A0121A">
              <w:rPr>
                <w:rFonts w:cs="Arial"/>
              </w:rPr>
              <w:t>13.2)</w:t>
            </w:r>
          </w:p>
        </w:tc>
      </w:tr>
      <w:tr w:rsidR="006722DB" w:rsidRPr="00A0121A" w14:paraId="12C907BA"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bottom w:val="nil"/>
            </w:tcBorders>
          </w:tcPr>
          <w:p w14:paraId="5B923832" w14:textId="77777777" w:rsidR="009A6E70" w:rsidRPr="007207AC" w:rsidRDefault="009A6E70" w:rsidP="00EB155C">
            <w:pPr>
              <w:pStyle w:val="TableText"/>
              <w:rPr>
                <w:rFonts w:cs="Arial"/>
                <w:b/>
              </w:rPr>
            </w:pPr>
            <w:r>
              <w:rPr>
                <w:rFonts w:cs="Arial"/>
                <w:b/>
              </w:rPr>
              <w:t>Collapsed categories</w:t>
            </w:r>
          </w:p>
        </w:tc>
        <w:tc>
          <w:tcPr>
            <w:tcW w:w="720" w:type="dxa"/>
            <w:tcBorders>
              <w:top w:val="single" w:sz="4" w:space="0" w:color="000000"/>
              <w:bottom w:val="nil"/>
            </w:tcBorders>
          </w:tcPr>
          <w:p w14:paraId="1382AFB5"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179B688E" w14:textId="77777777" w:rsidR="009A6E70" w:rsidRPr="00A0121A" w:rsidRDefault="009A6E70" w:rsidP="00EB155C">
            <w:pPr>
              <w:pStyle w:val="TableText"/>
              <w:jc w:val="right"/>
              <w:rPr>
                <w:rFonts w:cs="Arial"/>
              </w:rPr>
            </w:pPr>
          </w:p>
        </w:tc>
        <w:tc>
          <w:tcPr>
            <w:tcW w:w="1132" w:type="dxa"/>
            <w:tcBorders>
              <w:top w:val="single" w:sz="4" w:space="0" w:color="000000"/>
              <w:bottom w:val="nil"/>
            </w:tcBorders>
          </w:tcPr>
          <w:p w14:paraId="4006D319" w14:textId="77777777" w:rsidR="009A6E70" w:rsidRPr="00A0121A" w:rsidRDefault="009A6E70" w:rsidP="00EB155C">
            <w:pPr>
              <w:pStyle w:val="TableText"/>
              <w:jc w:val="right"/>
              <w:rPr>
                <w:rFonts w:cs="Arial"/>
              </w:rPr>
            </w:pPr>
          </w:p>
        </w:tc>
        <w:tc>
          <w:tcPr>
            <w:tcW w:w="668" w:type="dxa"/>
            <w:tcBorders>
              <w:top w:val="single" w:sz="4" w:space="0" w:color="000000"/>
              <w:bottom w:val="nil"/>
            </w:tcBorders>
          </w:tcPr>
          <w:p w14:paraId="60DD32CF"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20F3090A" w14:textId="77777777" w:rsidR="009A6E70" w:rsidRPr="00A0121A" w:rsidRDefault="009A6E70" w:rsidP="00EB155C">
            <w:pPr>
              <w:pStyle w:val="TableText"/>
              <w:jc w:val="right"/>
              <w:rPr>
                <w:rFonts w:cs="Arial"/>
              </w:rPr>
            </w:pPr>
          </w:p>
        </w:tc>
        <w:tc>
          <w:tcPr>
            <w:tcW w:w="1184" w:type="dxa"/>
            <w:tcBorders>
              <w:top w:val="single" w:sz="4" w:space="0" w:color="000000"/>
              <w:bottom w:val="nil"/>
            </w:tcBorders>
          </w:tcPr>
          <w:p w14:paraId="26AE964E" w14:textId="77777777" w:rsidR="009A6E70" w:rsidRPr="00A0121A" w:rsidRDefault="009A6E70" w:rsidP="00EB155C">
            <w:pPr>
              <w:pStyle w:val="TableText"/>
              <w:jc w:val="right"/>
              <w:rPr>
                <w:rFonts w:cs="Arial"/>
              </w:rPr>
            </w:pPr>
          </w:p>
        </w:tc>
      </w:tr>
      <w:tr w:rsidR="009A6E70" w:rsidRPr="00A0121A" w14:paraId="15D67DF1" w14:textId="77777777" w:rsidTr="006722DB">
        <w:trPr>
          <w:cantSplit/>
        </w:trPr>
        <w:tc>
          <w:tcPr>
            <w:tcW w:w="1825" w:type="dxa"/>
            <w:tcBorders>
              <w:top w:val="nil"/>
            </w:tcBorders>
          </w:tcPr>
          <w:p w14:paraId="453A38CC" w14:textId="77777777" w:rsidR="009A6E70" w:rsidRPr="00A0121A" w:rsidRDefault="009A6E70" w:rsidP="00EB155C">
            <w:pPr>
              <w:pStyle w:val="TableText"/>
              <w:rPr>
                <w:rFonts w:cs="Arial"/>
              </w:rPr>
            </w:pPr>
            <w:r w:rsidRPr="00A0121A">
              <w:rPr>
                <w:rFonts w:cs="Arial"/>
              </w:rPr>
              <w:t>N/A</w:t>
            </w:r>
          </w:p>
        </w:tc>
        <w:tc>
          <w:tcPr>
            <w:tcW w:w="720" w:type="dxa"/>
            <w:tcBorders>
              <w:top w:val="nil"/>
            </w:tcBorders>
          </w:tcPr>
          <w:p w14:paraId="65A1B5DC" w14:textId="77777777" w:rsidR="009A6E70" w:rsidRPr="00A0121A" w:rsidRDefault="009A6E70" w:rsidP="00EB155C">
            <w:pPr>
              <w:pStyle w:val="TableText"/>
              <w:jc w:val="right"/>
              <w:rPr>
                <w:rFonts w:cs="Arial"/>
              </w:rPr>
            </w:pPr>
            <w:r w:rsidRPr="00A0121A">
              <w:rPr>
                <w:rFonts w:cs="Arial"/>
              </w:rPr>
              <w:t>405</w:t>
            </w:r>
          </w:p>
        </w:tc>
        <w:tc>
          <w:tcPr>
            <w:tcW w:w="900" w:type="dxa"/>
            <w:tcBorders>
              <w:top w:val="nil"/>
            </w:tcBorders>
          </w:tcPr>
          <w:p w14:paraId="07CAAB44" w14:textId="77777777" w:rsidR="009A6E70" w:rsidRPr="00A0121A" w:rsidRDefault="009A6E70" w:rsidP="00EB155C">
            <w:pPr>
              <w:pStyle w:val="TableText"/>
              <w:jc w:val="right"/>
              <w:rPr>
                <w:rFonts w:cs="Arial"/>
              </w:rPr>
            </w:pPr>
            <w:r w:rsidRPr="00A0121A">
              <w:rPr>
                <w:rFonts w:cs="Arial"/>
              </w:rPr>
              <w:t>2435</w:t>
            </w:r>
          </w:p>
        </w:tc>
        <w:tc>
          <w:tcPr>
            <w:tcW w:w="1132" w:type="dxa"/>
            <w:tcBorders>
              <w:top w:val="nil"/>
            </w:tcBorders>
          </w:tcPr>
          <w:p w14:paraId="05190A3A" w14:textId="77777777" w:rsidR="009A6E70" w:rsidRPr="00A0121A" w:rsidRDefault="009A6E70" w:rsidP="00EB155C">
            <w:pPr>
              <w:pStyle w:val="TableText"/>
              <w:jc w:val="right"/>
              <w:rPr>
                <w:rFonts w:cs="Arial"/>
              </w:rPr>
            </w:pPr>
            <w:r w:rsidRPr="00A0121A">
              <w:rPr>
                <w:rFonts w:cs="Arial"/>
              </w:rPr>
              <w:t>9.8 (8.7,</w:t>
            </w:r>
            <w:r>
              <w:rPr>
                <w:rFonts w:cs="Arial"/>
              </w:rPr>
              <w:t xml:space="preserve"> </w:t>
            </w:r>
            <w:r w:rsidRPr="00A0121A">
              <w:rPr>
                <w:rFonts w:cs="Arial"/>
              </w:rPr>
              <w:t>11.0)</w:t>
            </w:r>
          </w:p>
        </w:tc>
        <w:tc>
          <w:tcPr>
            <w:tcW w:w="668" w:type="dxa"/>
            <w:tcBorders>
              <w:top w:val="nil"/>
            </w:tcBorders>
          </w:tcPr>
          <w:p w14:paraId="2CAA013A" w14:textId="77777777" w:rsidR="009A6E70" w:rsidRPr="00A0121A" w:rsidRDefault="009A6E70" w:rsidP="00EB155C">
            <w:pPr>
              <w:pStyle w:val="TableText"/>
              <w:jc w:val="right"/>
              <w:rPr>
                <w:rFonts w:cs="Arial"/>
              </w:rPr>
            </w:pPr>
            <w:r w:rsidRPr="00A0121A">
              <w:rPr>
                <w:rFonts w:cs="Arial"/>
              </w:rPr>
              <w:t>595</w:t>
            </w:r>
          </w:p>
        </w:tc>
        <w:tc>
          <w:tcPr>
            <w:tcW w:w="900" w:type="dxa"/>
            <w:tcBorders>
              <w:top w:val="nil"/>
            </w:tcBorders>
          </w:tcPr>
          <w:p w14:paraId="10FDE3B7" w14:textId="77777777" w:rsidR="009A6E70" w:rsidRPr="00A0121A" w:rsidRDefault="009A6E70" w:rsidP="00EB155C">
            <w:pPr>
              <w:pStyle w:val="TableText"/>
              <w:jc w:val="right"/>
              <w:rPr>
                <w:rFonts w:cs="Arial"/>
              </w:rPr>
            </w:pPr>
            <w:r w:rsidRPr="00A0121A">
              <w:rPr>
                <w:rFonts w:cs="Arial"/>
              </w:rPr>
              <w:t>5147</w:t>
            </w:r>
          </w:p>
        </w:tc>
        <w:tc>
          <w:tcPr>
            <w:tcW w:w="1184" w:type="dxa"/>
            <w:tcBorders>
              <w:top w:val="nil"/>
            </w:tcBorders>
          </w:tcPr>
          <w:p w14:paraId="7715AE8E" w14:textId="77777777" w:rsidR="009A6E70" w:rsidRPr="00A0121A" w:rsidRDefault="009A6E70" w:rsidP="00EB155C">
            <w:pPr>
              <w:pStyle w:val="TableText"/>
              <w:jc w:val="right"/>
              <w:rPr>
                <w:rFonts w:cs="Arial"/>
              </w:rPr>
            </w:pPr>
            <w:r w:rsidRPr="00A0121A">
              <w:rPr>
                <w:rFonts w:cs="Arial"/>
              </w:rPr>
              <w:t>9.8 (7.2,</w:t>
            </w:r>
            <w:r>
              <w:rPr>
                <w:rFonts w:cs="Arial"/>
              </w:rPr>
              <w:t xml:space="preserve"> </w:t>
            </w:r>
            <w:r w:rsidRPr="00A0121A">
              <w:rPr>
                <w:rFonts w:cs="Arial"/>
              </w:rPr>
              <w:t>13.2)</w:t>
            </w:r>
          </w:p>
        </w:tc>
      </w:tr>
      <w:tr w:rsidR="009A6E70" w:rsidRPr="00A0121A" w14:paraId="5B08B04B"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60AA3FDF" w14:textId="77777777" w:rsidR="009A6E70" w:rsidRPr="00A0121A" w:rsidRDefault="009A6E70" w:rsidP="00EB155C">
            <w:pPr>
              <w:pStyle w:val="TableText"/>
              <w:rPr>
                <w:rFonts w:cs="Arial"/>
              </w:rPr>
            </w:pPr>
            <w:r>
              <w:rPr>
                <w:rFonts w:cs="Arial"/>
              </w:rPr>
              <w:t>Not true</w:t>
            </w:r>
          </w:p>
        </w:tc>
        <w:tc>
          <w:tcPr>
            <w:tcW w:w="720" w:type="dxa"/>
          </w:tcPr>
          <w:p w14:paraId="7E612620" w14:textId="77777777" w:rsidR="009A6E70" w:rsidRPr="00A0121A" w:rsidRDefault="009A6E70" w:rsidP="00EB155C">
            <w:pPr>
              <w:pStyle w:val="TableText"/>
              <w:jc w:val="right"/>
              <w:rPr>
                <w:rFonts w:cs="Arial"/>
              </w:rPr>
            </w:pPr>
            <w:r w:rsidRPr="00A0121A">
              <w:rPr>
                <w:rFonts w:cs="Arial"/>
              </w:rPr>
              <w:t>2105</w:t>
            </w:r>
          </w:p>
        </w:tc>
        <w:tc>
          <w:tcPr>
            <w:tcW w:w="900" w:type="dxa"/>
          </w:tcPr>
          <w:p w14:paraId="70008AD7" w14:textId="77777777" w:rsidR="009A6E70" w:rsidRPr="00A0121A" w:rsidRDefault="009A6E70" w:rsidP="00EB155C">
            <w:pPr>
              <w:pStyle w:val="TableText"/>
              <w:jc w:val="right"/>
              <w:rPr>
                <w:rFonts w:cs="Arial"/>
              </w:rPr>
            </w:pPr>
            <w:r w:rsidRPr="00A0121A">
              <w:rPr>
                <w:rFonts w:cs="Arial"/>
              </w:rPr>
              <w:t>14</w:t>
            </w:r>
            <w:r>
              <w:rPr>
                <w:rFonts w:cs="Arial"/>
              </w:rPr>
              <w:t>,</w:t>
            </w:r>
            <w:r w:rsidRPr="00A0121A">
              <w:rPr>
                <w:rFonts w:cs="Arial"/>
              </w:rPr>
              <w:t>572</w:t>
            </w:r>
          </w:p>
        </w:tc>
        <w:tc>
          <w:tcPr>
            <w:tcW w:w="1132" w:type="dxa"/>
          </w:tcPr>
          <w:p w14:paraId="5FDB45A0" w14:textId="77777777" w:rsidR="009A6E70" w:rsidRPr="00A0121A" w:rsidRDefault="009A6E70" w:rsidP="00EB155C">
            <w:pPr>
              <w:pStyle w:val="TableText"/>
              <w:jc w:val="right"/>
              <w:rPr>
                <w:rFonts w:cs="Arial"/>
              </w:rPr>
            </w:pPr>
            <w:r w:rsidRPr="00A0121A">
              <w:rPr>
                <w:rFonts w:cs="Arial"/>
              </w:rPr>
              <w:t>58.4 (56.4,</w:t>
            </w:r>
            <w:r>
              <w:rPr>
                <w:rFonts w:cs="Arial"/>
              </w:rPr>
              <w:t xml:space="preserve"> </w:t>
            </w:r>
            <w:r w:rsidRPr="00A0121A">
              <w:rPr>
                <w:rFonts w:cs="Arial"/>
              </w:rPr>
              <w:t>60.5)</w:t>
            </w:r>
          </w:p>
        </w:tc>
        <w:tc>
          <w:tcPr>
            <w:tcW w:w="668" w:type="dxa"/>
          </w:tcPr>
          <w:p w14:paraId="7A0AFE23" w14:textId="77777777" w:rsidR="009A6E70" w:rsidRPr="00A0121A" w:rsidRDefault="009A6E70" w:rsidP="00EB155C">
            <w:pPr>
              <w:pStyle w:val="TableText"/>
              <w:jc w:val="right"/>
              <w:rPr>
                <w:rFonts w:cs="Arial"/>
              </w:rPr>
            </w:pPr>
            <w:r w:rsidRPr="00A0121A">
              <w:rPr>
                <w:rFonts w:cs="Arial"/>
              </w:rPr>
              <w:t>3290</w:t>
            </w:r>
          </w:p>
        </w:tc>
        <w:tc>
          <w:tcPr>
            <w:tcW w:w="900" w:type="dxa"/>
          </w:tcPr>
          <w:p w14:paraId="12C47DF4" w14:textId="77777777" w:rsidR="009A6E70" w:rsidRPr="00A0121A" w:rsidRDefault="009A6E70" w:rsidP="00EB155C">
            <w:pPr>
              <w:pStyle w:val="TableText"/>
              <w:jc w:val="right"/>
              <w:rPr>
                <w:rFonts w:cs="Arial"/>
              </w:rPr>
            </w:pPr>
            <w:r w:rsidRPr="00A0121A">
              <w:rPr>
                <w:rFonts w:cs="Arial"/>
              </w:rPr>
              <w:t>20</w:t>
            </w:r>
            <w:r>
              <w:rPr>
                <w:rFonts w:cs="Arial"/>
              </w:rPr>
              <w:t>,</w:t>
            </w:r>
            <w:r w:rsidRPr="00A0121A">
              <w:rPr>
                <w:rFonts w:cs="Arial"/>
              </w:rPr>
              <w:t>713</w:t>
            </w:r>
          </w:p>
        </w:tc>
        <w:tc>
          <w:tcPr>
            <w:tcW w:w="1184" w:type="dxa"/>
          </w:tcPr>
          <w:p w14:paraId="1720A939" w14:textId="77777777" w:rsidR="009A6E70" w:rsidRPr="00A0121A" w:rsidRDefault="009A6E70" w:rsidP="00EB155C">
            <w:pPr>
              <w:pStyle w:val="TableText"/>
              <w:jc w:val="right"/>
              <w:rPr>
                <w:rFonts w:cs="Arial"/>
              </w:rPr>
            </w:pPr>
            <w:r w:rsidRPr="00A0121A">
              <w:rPr>
                <w:rFonts w:cs="Arial"/>
              </w:rPr>
              <w:t>39.5 (35.8,</w:t>
            </w:r>
            <w:r>
              <w:rPr>
                <w:rFonts w:cs="Arial"/>
              </w:rPr>
              <w:t xml:space="preserve"> </w:t>
            </w:r>
            <w:r w:rsidRPr="00A0121A">
              <w:rPr>
                <w:rFonts w:cs="Arial"/>
              </w:rPr>
              <w:t>43.2)</w:t>
            </w:r>
          </w:p>
        </w:tc>
      </w:tr>
      <w:tr w:rsidR="009A6E70" w:rsidRPr="00A0121A" w14:paraId="0C0123AE" w14:textId="77777777" w:rsidTr="006722DB">
        <w:trPr>
          <w:cantSplit/>
        </w:trPr>
        <w:tc>
          <w:tcPr>
            <w:tcW w:w="1825" w:type="dxa"/>
          </w:tcPr>
          <w:p w14:paraId="77601D1C" w14:textId="77777777" w:rsidR="009A6E70" w:rsidRPr="00A0121A" w:rsidRDefault="009A6E70" w:rsidP="00EB155C">
            <w:pPr>
              <w:pStyle w:val="TableText"/>
              <w:rPr>
                <w:rFonts w:cs="Arial"/>
              </w:rPr>
            </w:pPr>
            <w:r w:rsidRPr="00A0121A">
              <w:rPr>
                <w:rFonts w:cs="Arial"/>
              </w:rPr>
              <w:t>True</w:t>
            </w:r>
            <w:r>
              <w:rPr>
                <w:rFonts w:cs="Arial"/>
              </w:rPr>
              <w:t xml:space="preserve"> (A bit true/very true)</w:t>
            </w:r>
          </w:p>
        </w:tc>
        <w:tc>
          <w:tcPr>
            <w:tcW w:w="720" w:type="dxa"/>
          </w:tcPr>
          <w:p w14:paraId="3D49C2A5" w14:textId="77777777" w:rsidR="009A6E70" w:rsidRPr="00A0121A" w:rsidRDefault="009A6E70" w:rsidP="00EB155C">
            <w:pPr>
              <w:pStyle w:val="TableText"/>
              <w:jc w:val="right"/>
              <w:rPr>
                <w:rFonts w:cs="Arial"/>
              </w:rPr>
            </w:pPr>
            <w:r w:rsidRPr="00A0121A">
              <w:rPr>
                <w:rFonts w:cs="Arial"/>
              </w:rPr>
              <w:t>1005</w:t>
            </w:r>
          </w:p>
        </w:tc>
        <w:tc>
          <w:tcPr>
            <w:tcW w:w="900" w:type="dxa"/>
          </w:tcPr>
          <w:p w14:paraId="51BCF700" w14:textId="77777777" w:rsidR="009A6E70" w:rsidRPr="00A0121A" w:rsidRDefault="009A6E70" w:rsidP="00EB155C">
            <w:pPr>
              <w:pStyle w:val="TableText"/>
              <w:jc w:val="right"/>
              <w:rPr>
                <w:rFonts w:eastAsia="Calibri" w:cs="Arial"/>
              </w:rPr>
            </w:pPr>
            <w:r w:rsidRPr="00A0121A">
              <w:rPr>
                <w:rFonts w:cs="Arial"/>
              </w:rPr>
              <w:t>7698</w:t>
            </w:r>
          </w:p>
        </w:tc>
        <w:tc>
          <w:tcPr>
            <w:tcW w:w="1132" w:type="dxa"/>
          </w:tcPr>
          <w:p w14:paraId="595CAAA4" w14:textId="77777777" w:rsidR="009A6E70" w:rsidRPr="00A0121A" w:rsidRDefault="009A6E70" w:rsidP="00EB155C">
            <w:pPr>
              <w:pStyle w:val="TableText"/>
              <w:jc w:val="right"/>
              <w:rPr>
                <w:rFonts w:cs="Arial"/>
              </w:rPr>
            </w:pPr>
            <w:r w:rsidRPr="00A0121A">
              <w:rPr>
                <w:rFonts w:cs="Arial"/>
              </w:rPr>
              <w:t>30.9 (28.9,</w:t>
            </w:r>
            <w:r>
              <w:rPr>
                <w:rFonts w:cs="Arial"/>
              </w:rPr>
              <w:t xml:space="preserve"> </w:t>
            </w:r>
            <w:r w:rsidRPr="00A0121A">
              <w:rPr>
                <w:rFonts w:cs="Arial"/>
              </w:rPr>
              <w:t>32.9)</w:t>
            </w:r>
          </w:p>
        </w:tc>
        <w:tc>
          <w:tcPr>
            <w:tcW w:w="668" w:type="dxa"/>
          </w:tcPr>
          <w:p w14:paraId="530B4825" w14:textId="77777777" w:rsidR="009A6E70" w:rsidRPr="00A0121A" w:rsidRDefault="009A6E70" w:rsidP="00EB155C">
            <w:pPr>
              <w:pStyle w:val="TableText"/>
              <w:jc w:val="right"/>
              <w:rPr>
                <w:rFonts w:eastAsia="Calibri" w:cs="Arial"/>
              </w:rPr>
            </w:pPr>
            <w:r w:rsidRPr="00A0121A">
              <w:rPr>
                <w:rFonts w:cs="Arial"/>
              </w:rPr>
              <w:t>3414</w:t>
            </w:r>
          </w:p>
        </w:tc>
        <w:tc>
          <w:tcPr>
            <w:tcW w:w="900" w:type="dxa"/>
          </w:tcPr>
          <w:p w14:paraId="72DB82DD" w14:textId="77777777" w:rsidR="009A6E70" w:rsidRPr="00A0121A" w:rsidRDefault="009A6E70" w:rsidP="00EB155C">
            <w:pPr>
              <w:pStyle w:val="TableText"/>
              <w:jc w:val="right"/>
              <w:rPr>
                <w:rFonts w:eastAsia="Calibri" w:cs="Arial"/>
              </w:rPr>
            </w:pPr>
            <w:r w:rsidRPr="00A0121A">
              <w:rPr>
                <w:rFonts w:cs="Arial"/>
              </w:rPr>
              <w:t>25</w:t>
            </w:r>
            <w:r>
              <w:rPr>
                <w:rFonts w:cs="Arial"/>
              </w:rPr>
              <w:t>,</w:t>
            </w:r>
            <w:r w:rsidRPr="00A0121A">
              <w:rPr>
                <w:rFonts w:cs="Arial"/>
              </w:rPr>
              <w:t>726</w:t>
            </w:r>
          </w:p>
        </w:tc>
        <w:tc>
          <w:tcPr>
            <w:tcW w:w="1184" w:type="dxa"/>
          </w:tcPr>
          <w:p w14:paraId="6A3846CD" w14:textId="77777777" w:rsidR="009A6E70" w:rsidRPr="00A0121A" w:rsidRDefault="009A6E70" w:rsidP="00EB155C">
            <w:pPr>
              <w:pStyle w:val="TableText"/>
              <w:jc w:val="right"/>
              <w:rPr>
                <w:rFonts w:eastAsia="Calibri" w:cs="Arial"/>
              </w:rPr>
            </w:pPr>
            <w:r w:rsidRPr="00A0121A">
              <w:rPr>
                <w:rFonts w:cs="Arial"/>
              </w:rPr>
              <w:t>49.0 (44.8,</w:t>
            </w:r>
            <w:r>
              <w:rPr>
                <w:rFonts w:cs="Arial"/>
              </w:rPr>
              <w:t xml:space="preserve"> </w:t>
            </w:r>
            <w:r w:rsidRPr="00A0121A">
              <w:rPr>
                <w:rFonts w:cs="Arial"/>
              </w:rPr>
              <w:t>53.2)</w:t>
            </w:r>
          </w:p>
        </w:tc>
      </w:tr>
    </w:tbl>
    <w:p w14:paraId="22C291B2" w14:textId="77777777" w:rsidR="009A6E70" w:rsidRPr="006A3EA0" w:rsidRDefault="009A6E70" w:rsidP="009A6E70">
      <w:pPr>
        <w:pStyle w:val="TableNotes"/>
      </w:pPr>
      <w:r w:rsidRPr="006A3EA0">
        <w:t>Notes</w:t>
      </w:r>
    </w:p>
    <w:p w14:paraId="1D5C1815" w14:textId="77777777" w:rsidR="009A6E70" w:rsidRPr="004C7947" w:rsidRDefault="009A6E70" w:rsidP="009A6E70">
      <w:pPr>
        <w:pStyle w:val="TableNotes"/>
      </w:pPr>
      <w:r w:rsidRPr="004C7947">
        <w:t>Denominator: Entire cohort</w:t>
      </w:r>
      <w:r>
        <w:t>.</w:t>
      </w:r>
    </w:p>
    <w:p w14:paraId="71149CDE" w14:textId="77777777" w:rsidR="009A6E70" w:rsidRPr="004C7947" w:rsidRDefault="009A6E70" w:rsidP="009A6E70">
      <w:pPr>
        <w:pStyle w:val="TableNotes"/>
      </w:pPr>
      <w:r w:rsidRPr="004C7947">
        <w:t>Based on weighted counts, 170 (0.7%) Transitioned ADF, and 897 (1.7%) 2015 Regular ADF had a missing value for this question.</w:t>
      </w:r>
      <w:r>
        <w:t xml:space="preserve"> </w:t>
      </w:r>
      <w:r w:rsidRPr="004C7947">
        <w:t>However, distributions are calculated by including those with a missing value to allow for correct weighted totals.</w:t>
      </w:r>
    </w:p>
    <w:p w14:paraId="3ED2D62D" w14:textId="77777777" w:rsidR="009A6E70" w:rsidRPr="004C7947" w:rsidRDefault="009A6E70" w:rsidP="009A6E70">
      <w:pPr>
        <w:pStyle w:val="TableNotes"/>
      </w:pPr>
      <w:r w:rsidRPr="004C7947">
        <w:t>95%CI</w:t>
      </w:r>
      <w:r>
        <w:t xml:space="preserve"> =</w:t>
      </w:r>
      <w:r w:rsidRPr="004C7947">
        <w:t xml:space="preserve"> 95% </w:t>
      </w:r>
      <w:r>
        <w:t>confidence interval.</w:t>
      </w:r>
    </w:p>
    <w:p w14:paraId="396F5AFC" w14:textId="77777777" w:rsidR="009A6E70" w:rsidRDefault="009A6E70" w:rsidP="009A6E70">
      <w:pPr>
        <w:pStyle w:val="TableNotes"/>
      </w:pPr>
      <w:r w:rsidRPr="004C7947">
        <w:t xml:space="preserve">Note: For a full description of odds ratios, interpretation and strength of association please refer to Table B.1 </w:t>
      </w:r>
      <w:r w:rsidRPr="00BB1B84">
        <w:t xml:space="preserve">in </w:t>
      </w:r>
      <w:r w:rsidR="00374073">
        <w:t>Annex </w:t>
      </w:r>
      <w:r>
        <w:t>B, Odds ratio table.</w:t>
      </w:r>
    </w:p>
    <w:p w14:paraId="000238D6" w14:textId="0AF28D3B" w:rsidR="009A6E70" w:rsidRDefault="009A6E70" w:rsidP="009A6E70">
      <w:pPr>
        <w:pStyle w:val="FigureName"/>
      </w:pPr>
      <w:bookmarkStart w:id="413" w:name="_Ref508181086"/>
      <w:bookmarkStart w:id="414" w:name="_Toc509922942"/>
      <w:bookmarkStart w:id="415" w:name="_Toc515374716"/>
      <w:bookmarkStart w:id="416" w:name="_Toc528932400"/>
      <w:bookmarkStart w:id="417" w:name="_Toc531858080"/>
      <w:r>
        <w:t xml:space="preserve">Figure </w:t>
      </w:r>
      <w:r>
        <w:rPr>
          <w:noProof/>
        </w:rPr>
        <w:t>4</w:t>
      </w:r>
      <w:r>
        <w:t>.</w:t>
      </w:r>
      <w:r>
        <w:rPr>
          <w:noProof/>
        </w:rPr>
        <w:t>8</w:t>
      </w:r>
      <w:bookmarkEnd w:id="413"/>
      <w:r>
        <w:tab/>
      </w:r>
      <w:r w:rsidRPr="00263C95">
        <w:t xml:space="preserve">Estimated proportion of Transitioned ADF and 2015 Regular ADF who indicated that they </w:t>
      </w:r>
      <w:r>
        <w:t>went</w:t>
      </w:r>
      <w:r w:rsidRPr="00263C95">
        <w:t xml:space="preserve"> online more often on weekends than on a regular work day</w:t>
      </w:r>
      <w:bookmarkEnd w:id="414"/>
      <w:bookmarkEnd w:id="415"/>
      <w:bookmarkEnd w:id="416"/>
      <w:bookmarkEnd w:id="417"/>
    </w:p>
    <w:p w14:paraId="704B2190" w14:textId="77777777" w:rsidR="009A6E70" w:rsidRPr="006722DB" w:rsidRDefault="006722DB" w:rsidP="006722DB">
      <w:pPr>
        <w:spacing w:after="360"/>
      </w:pPr>
      <w:r w:rsidRPr="00A0121A">
        <w:rPr>
          <w:noProof/>
          <w:lang w:eastAsia="en-AU"/>
        </w:rPr>
        <w:drawing>
          <wp:inline distT="0" distB="0" distL="0" distR="0" wp14:anchorId="2C19DA7B" wp14:editId="209AE2F8">
            <wp:extent cx="4572000" cy="2395151"/>
            <wp:effectExtent l="0" t="0" r="0" b="5715"/>
            <wp:docPr id="478" name="Picture 478" descr="Figure 4.8 Estimated proportion of Transitioned ADF and 2015 Regular ADF who indicated that they went online more often on weekends than on a regular wor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HealthSciences\SPHCP\CTSS\DATA REPOSITORY\TWRP\REPORT 5\FIGURE_5_7.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2000" cy="2395151"/>
                    </a:xfrm>
                    <a:prstGeom prst="rect">
                      <a:avLst/>
                    </a:prstGeom>
                    <a:noFill/>
                    <a:ln>
                      <a:noFill/>
                    </a:ln>
                  </pic:spPr>
                </pic:pic>
              </a:graphicData>
            </a:graphic>
          </wp:inline>
        </w:drawing>
      </w:r>
    </w:p>
    <w:p w14:paraId="0D537785" w14:textId="77777777" w:rsidR="009A6E70" w:rsidRPr="007207AC" w:rsidRDefault="009A6E70" w:rsidP="009A6E70">
      <w:pPr>
        <w:pStyle w:val="Heading3"/>
        <w:numPr>
          <w:ilvl w:val="2"/>
          <w:numId w:val="1"/>
        </w:numPr>
      </w:pPr>
      <w:bookmarkStart w:id="418" w:name="_Toc509917434"/>
      <w:bookmarkStart w:id="419" w:name="_Toc515374476"/>
      <w:bookmarkStart w:id="420" w:name="_Toc518566365"/>
      <w:bookmarkStart w:id="421" w:name="_Toc528932661"/>
      <w:bookmarkStart w:id="422" w:name="_Toc531859198"/>
      <w:r>
        <w:t>Went</w:t>
      </w:r>
      <w:r w:rsidRPr="007207AC">
        <w:t xml:space="preserve"> online more often when going through a difficult time</w:t>
      </w:r>
      <w:bookmarkEnd w:id="418"/>
      <w:bookmarkEnd w:id="419"/>
      <w:bookmarkEnd w:id="420"/>
      <w:bookmarkEnd w:id="421"/>
      <w:bookmarkEnd w:id="422"/>
    </w:p>
    <w:p w14:paraId="561CE170" w14:textId="77777777" w:rsidR="009A6E70" w:rsidRDefault="009A6E70" w:rsidP="009A6E70">
      <w:r>
        <w:t xml:space="preserve">Approximately one quarter of the </w:t>
      </w:r>
      <w:r w:rsidRPr="00A0121A">
        <w:t>Transitioned ADF</w:t>
      </w:r>
      <w:r>
        <w:t xml:space="preserve"> (27.7%)</w:t>
      </w:r>
      <w:r w:rsidRPr="00A0121A">
        <w:t xml:space="preserve"> and 2015 Regular ADF</w:t>
      </w:r>
      <w:r>
        <w:t xml:space="preserve"> (24.3%)</w:t>
      </w:r>
      <w:r w:rsidRPr="00A0121A">
        <w:t xml:space="preserve"> </w:t>
      </w:r>
      <w:r>
        <w:t xml:space="preserve">reported that they went online more often when they were going through a difficult time (Table </w:t>
      </w:r>
      <w:r>
        <w:rPr>
          <w:noProof/>
        </w:rPr>
        <w:t>4.9</w:t>
      </w:r>
      <w:r w:rsidRPr="006C4604">
        <w:t xml:space="preserve"> </w:t>
      </w:r>
      <w:r w:rsidRPr="00BA284A">
        <w:t xml:space="preserve">and </w:t>
      </w:r>
      <w:r>
        <w:t xml:space="preserve">Figure </w:t>
      </w:r>
      <w:r>
        <w:rPr>
          <w:noProof/>
        </w:rPr>
        <w:t>4.9</w:t>
      </w:r>
      <w:r>
        <w:t>). There were</w:t>
      </w:r>
      <w:r w:rsidRPr="00CC382F">
        <w:t xml:space="preserve"> </w:t>
      </w:r>
      <w:r w:rsidRPr="003C38BD">
        <w:t>no</w:t>
      </w:r>
      <w:r>
        <w:t xml:space="preserve"> significant differences</w:t>
      </w:r>
      <w:r w:rsidRPr="003C38BD">
        <w:t xml:space="preserve"> between the Transitioned ADF and the 2015 Regular ADF</w:t>
      </w:r>
      <w:r>
        <w:t>.</w:t>
      </w:r>
      <w:r w:rsidRPr="003C38BD">
        <w:t xml:space="preserve"> </w:t>
      </w:r>
    </w:p>
    <w:p w14:paraId="2D016167" w14:textId="77777777" w:rsidR="009A6E70" w:rsidRDefault="009A6E70" w:rsidP="009A6E70">
      <w:pPr>
        <w:pStyle w:val="TableName"/>
      </w:pPr>
      <w:bookmarkStart w:id="423" w:name="_Ref508181123"/>
      <w:bookmarkStart w:id="424" w:name="_Toc509922869"/>
      <w:bookmarkStart w:id="425" w:name="_Toc515374644"/>
      <w:bookmarkStart w:id="426" w:name="_Toc528932318"/>
      <w:bookmarkStart w:id="427" w:name="_Toc531857997"/>
      <w:r>
        <w:t xml:space="preserve">Table </w:t>
      </w:r>
      <w:r>
        <w:rPr>
          <w:noProof/>
        </w:rPr>
        <w:t>4</w:t>
      </w:r>
      <w:r>
        <w:t>.</w:t>
      </w:r>
      <w:r>
        <w:rPr>
          <w:noProof/>
        </w:rPr>
        <w:t>9</w:t>
      </w:r>
      <w:bookmarkEnd w:id="423"/>
      <w:r>
        <w:tab/>
      </w:r>
      <w:r w:rsidRPr="002F7080">
        <w:t xml:space="preserve">Estimated proportion of Transitioned ADF and 2015 Regular ADF who indicated that they </w:t>
      </w:r>
      <w:r>
        <w:t>went</w:t>
      </w:r>
      <w:r w:rsidRPr="002F7080">
        <w:t xml:space="preserve"> online more often when going through a difficult time</w:t>
      </w:r>
      <w:bookmarkEnd w:id="424"/>
      <w:bookmarkEnd w:id="425"/>
      <w:bookmarkEnd w:id="426"/>
      <w:bookmarkEnd w:id="427"/>
    </w:p>
    <w:tbl>
      <w:tblPr>
        <w:tblStyle w:val="TWRPTable"/>
        <w:tblW w:w="5000" w:type="pct"/>
        <w:tblLayout w:type="fixed"/>
        <w:tblCellMar>
          <w:left w:w="115" w:type="dxa"/>
          <w:right w:w="115" w:type="dxa"/>
        </w:tblCellMar>
        <w:tblLook w:val="0000" w:firstRow="0" w:lastRow="0" w:firstColumn="0" w:lastColumn="0" w:noHBand="0" w:noVBand="0"/>
        <w:tblDescription w:val="Table 4.9 Estimated proportion of Transitioned ADF and 2015 Regular ADF who indicated that they went online more often when going through a difficult time"/>
      </w:tblPr>
      <w:tblGrid>
        <w:gridCol w:w="1757"/>
        <w:gridCol w:w="700"/>
        <w:gridCol w:w="872"/>
        <w:gridCol w:w="1094"/>
        <w:gridCol w:w="650"/>
        <w:gridCol w:w="872"/>
        <w:gridCol w:w="1144"/>
      </w:tblGrid>
      <w:tr w:rsidR="006722DB" w:rsidRPr="00A0121A" w14:paraId="6DF7A523" w14:textId="77777777" w:rsidTr="006722DB">
        <w:trPr>
          <w:cantSplit/>
          <w:tblHeader/>
        </w:trPr>
        <w:tc>
          <w:tcPr>
            <w:tcW w:w="1825" w:type="dxa"/>
            <w:vMerge w:val="restart"/>
            <w:tcBorders>
              <w:top w:val="single" w:sz="4" w:space="0" w:color="000000"/>
            </w:tcBorders>
            <w:vAlign w:val="bottom"/>
          </w:tcPr>
          <w:p w14:paraId="29026C7C" w14:textId="77777777" w:rsidR="006722DB" w:rsidRPr="007207AC" w:rsidRDefault="006722DB" w:rsidP="006722DB">
            <w:pPr>
              <w:pStyle w:val="TableText"/>
              <w:rPr>
                <w:b/>
              </w:rPr>
            </w:pPr>
            <w:r w:rsidRPr="007207AC">
              <w:rPr>
                <w:rFonts w:eastAsia="Calibri" w:cs="ArialMT"/>
                <w:b/>
              </w:rPr>
              <w:t>When I am going through a difficult time, I go online more often</w:t>
            </w:r>
            <w:r>
              <w:rPr>
                <w:rFonts w:eastAsia="Calibri" w:cs="ArialMT"/>
                <w:b/>
              </w:rPr>
              <w:t>.</w:t>
            </w:r>
          </w:p>
        </w:tc>
        <w:tc>
          <w:tcPr>
            <w:tcW w:w="2752" w:type="dxa"/>
            <w:gridSpan w:val="3"/>
            <w:tcBorders>
              <w:top w:val="single" w:sz="4" w:space="0" w:color="000000"/>
              <w:bottom w:val="single" w:sz="4" w:space="0" w:color="000000"/>
            </w:tcBorders>
          </w:tcPr>
          <w:p w14:paraId="5D089023" w14:textId="77777777" w:rsidR="006722DB" w:rsidRPr="007207AC" w:rsidRDefault="006722DB" w:rsidP="006722DB">
            <w:pPr>
              <w:pStyle w:val="TableText"/>
              <w:jc w:val="center"/>
              <w:rPr>
                <w:b/>
              </w:rPr>
            </w:pPr>
            <w:r w:rsidRPr="007207AC">
              <w:rPr>
                <w:b/>
              </w:rPr>
              <w:t>Transitioned ADF</w:t>
            </w:r>
            <w:r>
              <w:rPr>
                <w:b/>
              </w:rPr>
              <w:br/>
            </w:r>
            <w:r w:rsidRPr="007207AC">
              <w:rPr>
                <w:b/>
              </w:rPr>
              <w:t>n=24</w:t>
            </w:r>
            <w:r>
              <w:rPr>
                <w:b/>
              </w:rPr>
              <w:t>,</w:t>
            </w:r>
            <w:r w:rsidRPr="007207AC">
              <w:rPr>
                <w:b/>
              </w:rPr>
              <w:t>932</w:t>
            </w:r>
          </w:p>
        </w:tc>
        <w:tc>
          <w:tcPr>
            <w:tcW w:w="2752" w:type="dxa"/>
            <w:gridSpan w:val="3"/>
            <w:tcBorders>
              <w:top w:val="single" w:sz="4" w:space="0" w:color="000000"/>
              <w:bottom w:val="single" w:sz="4" w:space="0" w:color="000000"/>
            </w:tcBorders>
          </w:tcPr>
          <w:p w14:paraId="2C8E664F" w14:textId="77777777" w:rsidR="006722DB" w:rsidRPr="007207AC" w:rsidRDefault="006722DB" w:rsidP="006722DB">
            <w:pPr>
              <w:pStyle w:val="TableText"/>
              <w:jc w:val="center"/>
              <w:rPr>
                <w:b/>
              </w:rPr>
            </w:pPr>
            <w:r w:rsidRPr="007207AC">
              <w:rPr>
                <w:b/>
              </w:rPr>
              <w:t>2015 Regular ADF</w:t>
            </w:r>
            <w:r>
              <w:rPr>
                <w:b/>
              </w:rPr>
              <w:br/>
            </w:r>
            <w:r w:rsidRPr="007207AC">
              <w:rPr>
                <w:b/>
              </w:rPr>
              <w:t>n=52</w:t>
            </w:r>
            <w:r>
              <w:rPr>
                <w:b/>
              </w:rPr>
              <w:t>,</w:t>
            </w:r>
            <w:r w:rsidRPr="007207AC">
              <w:rPr>
                <w:b/>
              </w:rPr>
              <w:t>500</w:t>
            </w:r>
          </w:p>
        </w:tc>
      </w:tr>
      <w:tr w:rsidR="006722DB" w:rsidRPr="00A0121A" w14:paraId="4BA87BE7" w14:textId="77777777" w:rsidTr="006722DB">
        <w:trPr>
          <w:cantSplit/>
          <w:tblHeader/>
        </w:trPr>
        <w:tc>
          <w:tcPr>
            <w:tcW w:w="1825" w:type="dxa"/>
            <w:vMerge/>
            <w:tcBorders>
              <w:bottom w:val="single" w:sz="4" w:space="0" w:color="000000"/>
            </w:tcBorders>
          </w:tcPr>
          <w:p w14:paraId="508711A5" w14:textId="77777777" w:rsidR="006722DB" w:rsidRPr="007207AC" w:rsidRDefault="006722DB" w:rsidP="00EB155C">
            <w:pPr>
              <w:pStyle w:val="TableText"/>
              <w:rPr>
                <w:rFonts w:eastAsia="Calibri" w:cs="Arial"/>
                <w:b/>
              </w:rPr>
            </w:pPr>
          </w:p>
        </w:tc>
        <w:tc>
          <w:tcPr>
            <w:tcW w:w="720" w:type="dxa"/>
            <w:tcBorders>
              <w:top w:val="single" w:sz="4" w:space="0" w:color="000000"/>
              <w:bottom w:val="single" w:sz="4" w:space="0" w:color="000000"/>
            </w:tcBorders>
          </w:tcPr>
          <w:p w14:paraId="68BCD05D" w14:textId="77777777" w:rsidR="006722DB" w:rsidRPr="007207AC" w:rsidRDefault="006722DB" w:rsidP="00EB155C">
            <w:pPr>
              <w:pStyle w:val="TableText"/>
              <w:jc w:val="right"/>
              <w:rPr>
                <w:rFonts w:eastAsia="Calibri" w:cs="Arial"/>
                <w:b/>
              </w:rPr>
            </w:pPr>
            <w:r w:rsidRPr="007207AC">
              <w:rPr>
                <w:rFonts w:eastAsia="Calibri" w:cs="Arial"/>
                <w:b/>
              </w:rPr>
              <w:t>n</w:t>
            </w:r>
          </w:p>
        </w:tc>
        <w:tc>
          <w:tcPr>
            <w:tcW w:w="900" w:type="dxa"/>
            <w:tcBorders>
              <w:top w:val="single" w:sz="4" w:space="0" w:color="000000"/>
              <w:bottom w:val="single" w:sz="4" w:space="0" w:color="000000"/>
            </w:tcBorders>
          </w:tcPr>
          <w:p w14:paraId="2E926F6E" w14:textId="77777777" w:rsidR="006722DB" w:rsidRPr="007207AC" w:rsidRDefault="006722DB" w:rsidP="00EB155C">
            <w:pPr>
              <w:pStyle w:val="TableText"/>
              <w:jc w:val="right"/>
              <w:rPr>
                <w:rFonts w:eastAsia="Calibri" w:cs="Arial"/>
                <w:b/>
              </w:rPr>
            </w:pPr>
            <w:r w:rsidRPr="007207AC">
              <w:rPr>
                <w:rFonts w:eastAsia="Calibri" w:cs="Arial"/>
                <w:b/>
              </w:rPr>
              <w:t>Weighted n</w:t>
            </w:r>
          </w:p>
        </w:tc>
        <w:tc>
          <w:tcPr>
            <w:tcW w:w="1132" w:type="dxa"/>
            <w:tcBorders>
              <w:top w:val="single" w:sz="4" w:space="0" w:color="000000"/>
              <w:bottom w:val="single" w:sz="4" w:space="0" w:color="000000"/>
            </w:tcBorders>
          </w:tcPr>
          <w:p w14:paraId="42C99B2A" w14:textId="77777777" w:rsidR="006722DB" w:rsidRPr="007207AC" w:rsidRDefault="006722DB" w:rsidP="00EB155C">
            <w:pPr>
              <w:pStyle w:val="TableText"/>
              <w:jc w:val="right"/>
              <w:rPr>
                <w:rFonts w:eastAsia="Calibri" w:cs="Arial"/>
                <w:b/>
              </w:rPr>
            </w:pPr>
            <w:r w:rsidRPr="007207AC">
              <w:rPr>
                <w:rFonts w:eastAsia="Calibri" w:cs="Arial"/>
                <w:b/>
              </w:rPr>
              <w:t>% (95%CI)</w:t>
            </w:r>
          </w:p>
        </w:tc>
        <w:tc>
          <w:tcPr>
            <w:tcW w:w="668" w:type="dxa"/>
            <w:tcBorders>
              <w:top w:val="single" w:sz="4" w:space="0" w:color="000000"/>
              <w:bottom w:val="single" w:sz="4" w:space="0" w:color="000000"/>
            </w:tcBorders>
          </w:tcPr>
          <w:p w14:paraId="4B5269AE" w14:textId="77777777" w:rsidR="006722DB" w:rsidRPr="007207AC" w:rsidRDefault="006722DB" w:rsidP="00EB155C">
            <w:pPr>
              <w:pStyle w:val="TableText"/>
              <w:jc w:val="right"/>
              <w:rPr>
                <w:rFonts w:eastAsia="Calibri" w:cs="Arial"/>
                <w:b/>
              </w:rPr>
            </w:pPr>
            <w:r w:rsidRPr="007207AC">
              <w:rPr>
                <w:rFonts w:eastAsia="Calibri" w:cs="Arial"/>
                <w:b/>
              </w:rPr>
              <w:t>n</w:t>
            </w:r>
          </w:p>
        </w:tc>
        <w:tc>
          <w:tcPr>
            <w:tcW w:w="900" w:type="dxa"/>
            <w:tcBorders>
              <w:top w:val="single" w:sz="4" w:space="0" w:color="000000"/>
              <w:bottom w:val="single" w:sz="4" w:space="0" w:color="000000"/>
            </w:tcBorders>
          </w:tcPr>
          <w:p w14:paraId="33AD26BB" w14:textId="77777777" w:rsidR="006722DB" w:rsidRPr="007207AC" w:rsidRDefault="006722DB" w:rsidP="00EB155C">
            <w:pPr>
              <w:pStyle w:val="TableText"/>
              <w:jc w:val="right"/>
              <w:rPr>
                <w:rFonts w:eastAsia="Calibri" w:cs="Arial"/>
                <w:b/>
              </w:rPr>
            </w:pPr>
            <w:r w:rsidRPr="007207AC">
              <w:rPr>
                <w:rFonts w:eastAsia="Calibri" w:cs="Arial"/>
                <w:b/>
              </w:rPr>
              <w:t>Weighted n</w:t>
            </w:r>
          </w:p>
        </w:tc>
        <w:tc>
          <w:tcPr>
            <w:tcW w:w="1184" w:type="dxa"/>
            <w:tcBorders>
              <w:top w:val="single" w:sz="4" w:space="0" w:color="000000"/>
              <w:bottom w:val="single" w:sz="4" w:space="0" w:color="000000"/>
            </w:tcBorders>
          </w:tcPr>
          <w:p w14:paraId="14B3AAB4" w14:textId="77777777" w:rsidR="006722DB" w:rsidRPr="007207AC" w:rsidRDefault="006722DB" w:rsidP="00EB155C">
            <w:pPr>
              <w:pStyle w:val="TableText"/>
              <w:jc w:val="right"/>
              <w:rPr>
                <w:rFonts w:eastAsia="Calibri" w:cs="Arial"/>
                <w:b/>
              </w:rPr>
            </w:pPr>
            <w:r w:rsidRPr="007207AC">
              <w:rPr>
                <w:rFonts w:eastAsia="Calibri" w:cs="Arial"/>
                <w:b/>
              </w:rPr>
              <w:t>% (95%CI)</w:t>
            </w:r>
          </w:p>
        </w:tc>
      </w:tr>
      <w:tr w:rsidR="009A6E70" w:rsidRPr="00A0121A" w14:paraId="20224F12"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tcBorders>
          </w:tcPr>
          <w:p w14:paraId="19A635D2" w14:textId="77777777" w:rsidR="009A6E70" w:rsidRPr="00A0121A" w:rsidRDefault="009A6E70" w:rsidP="00EB155C">
            <w:pPr>
              <w:pStyle w:val="TableText"/>
              <w:rPr>
                <w:rFonts w:eastAsia="Calibri" w:cs="Arial"/>
              </w:rPr>
            </w:pPr>
            <w:r w:rsidRPr="00A0121A">
              <w:rPr>
                <w:rFonts w:cs="Arial"/>
              </w:rPr>
              <w:t>Not true</w:t>
            </w:r>
          </w:p>
        </w:tc>
        <w:tc>
          <w:tcPr>
            <w:tcW w:w="720" w:type="dxa"/>
            <w:tcBorders>
              <w:top w:val="single" w:sz="4" w:space="0" w:color="000000"/>
            </w:tcBorders>
          </w:tcPr>
          <w:p w14:paraId="186B7828" w14:textId="77777777" w:rsidR="009A6E70" w:rsidRPr="00A0121A" w:rsidRDefault="009A6E70" w:rsidP="00EB155C">
            <w:pPr>
              <w:pStyle w:val="TableText"/>
              <w:jc w:val="right"/>
              <w:rPr>
                <w:rFonts w:cs="Arial"/>
              </w:rPr>
            </w:pPr>
            <w:r w:rsidRPr="00A0121A">
              <w:rPr>
                <w:rFonts w:cs="Arial"/>
              </w:rPr>
              <w:t>2258</w:t>
            </w:r>
          </w:p>
        </w:tc>
        <w:tc>
          <w:tcPr>
            <w:tcW w:w="900" w:type="dxa"/>
            <w:tcBorders>
              <w:top w:val="single" w:sz="4" w:space="0" w:color="000000"/>
            </w:tcBorders>
          </w:tcPr>
          <w:p w14:paraId="6DED5937" w14:textId="77777777" w:rsidR="009A6E70" w:rsidRPr="00A0121A" w:rsidRDefault="009A6E70" w:rsidP="00EB155C">
            <w:pPr>
              <w:pStyle w:val="TableText"/>
              <w:jc w:val="right"/>
              <w:rPr>
                <w:rFonts w:cs="Arial"/>
              </w:rPr>
            </w:pPr>
            <w:r w:rsidRPr="00A0121A">
              <w:rPr>
                <w:rFonts w:cs="Arial"/>
              </w:rPr>
              <w:t>15</w:t>
            </w:r>
            <w:r>
              <w:rPr>
                <w:rFonts w:cs="Arial"/>
              </w:rPr>
              <w:t>,</w:t>
            </w:r>
            <w:r w:rsidRPr="00A0121A">
              <w:rPr>
                <w:rFonts w:cs="Arial"/>
              </w:rPr>
              <w:t>453</w:t>
            </w:r>
          </w:p>
        </w:tc>
        <w:tc>
          <w:tcPr>
            <w:tcW w:w="1132" w:type="dxa"/>
            <w:tcBorders>
              <w:top w:val="single" w:sz="4" w:space="0" w:color="000000"/>
            </w:tcBorders>
          </w:tcPr>
          <w:p w14:paraId="45848625" w14:textId="77777777" w:rsidR="009A6E70" w:rsidRPr="00A0121A" w:rsidRDefault="009A6E70" w:rsidP="00EB155C">
            <w:pPr>
              <w:pStyle w:val="TableText"/>
              <w:jc w:val="right"/>
              <w:rPr>
                <w:rFonts w:eastAsia="Calibri" w:cs="Arial"/>
              </w:rPr>
            </w:pPr>
            <w:r w:rsidRPr="00A0121A">
              <w:rPr>
                <w:rFonts w:cs="Arial"/>
              </w:rPr>
              <w:t>62.0 (59.9,</w:t>
            </w:r>
            <w:r>
              <w:rPr>
                <w:rFonts w:cs="Arial"/>
              </w:rPr>
              <w:t xml:space="preserve"> </w:t>
            </w:r>
            <w:r w:rsidRPr="00A0121A">
              <w:rPr>
                <w:rFonts w:cs="Arial"/>
              </w:rPr>
              <w:t>64.0)</w:t>
            </w:r>
          </w:p>
        </w:tc>
        <w:tc>
          <w:tcPr>
            <w:tcW w:w="668" w:type="dxa"/>
            <w:tcBorders>
              <w:top w:val="single" w:sz="4" w:space="0" w:color="000000"/>
            </w:tcBorders>
          </w:tcPr>
          <w:p w14:paraId="081B1A54" w14:textId="77777777" w:rsidR="009A6E70" w:rsidRPr="00A0121A" w:rsidRDefault="009A6E70" w:rsidP="00EB155C">
            <w:pPr>
              <w:pStyle w:val="TableText"/>
              <w:jc w:val="right"/>
              <w:rPr>
                <w:rFonts w:eastAsia="Calibri" w:cs="Arial"/>
              </w:rPr>
            </w:pPr>
            <w:r w:rsidRPr="00A0121A">
              <w:rPr>
                <w:rFonts w:cs="Arial"/>
              </w:rPr>
              <w:t>5121</w:t>
            </w:r>
          </w:p>
        </w:tc>
        <w:tc>
          <w:tcPr>
            <w:tcW w:w="900" w:type="dxa"/>
            <w:tcBorders>
              <w:top w:val="single" w:sz="4" w:space="0" w:color="000000"/>
            </w:tcBorders>
          </w:tcPr>
          <w:p w14:paraId="12CDB6AD" w14:textId="77777777" w:rsidR="009A6E70" w:rsidRPr="00A0121A" w:rsidRDefault="009A6E70" w:rsidP="00EB155C">
            <w:pPr>
              <w:pStyle w:val="TableText"/>
              <w:jc w:val="right"/>
              <w:rPr>
                <w:rFonts w:eastAsia="Calibri" w:cs="Arial"/>
              </w:rPr>
            </w:pPr>
            <w:r w:rsidRPr="00A0121A">
              <w:rPr>
                <w:rFonts w:cs="Arial"/>
              </w:rPr>
              <w:t>32</w:t>
            </w:r>
            <w:r>
              <w:rPr>
                <w:rFonts w:cs="Arial"/>
              </w:rPr>
              <w:t>,</w:t>
            </w:r>
            <w:r w:rsidRPr="00A0121A">
              <w:rPr>
                <w:rFonts w:cs="Arial"/>
              </w:rPr>
              <w:t>158</w:t>
            </w:r>
          </w:p>
        </w:tc>
        <w:tc>
          <w:tcPr>
            <w:tcW w:w="1184" w:type="dxa"/>
            <w:tcBorders>
              <w:top w:val="single" w:sz="4" w:space="0" w:color="000000"/>
            </w:tcBorders>
          </w:tcPr>
          <w:p w14:paraId="78E5BA20" w14:textId="77777777" w:rsidR="009A6E70" w:rsidRPr="00A0121A" w:rsidRDefault="009A6E70" w:rsidP="00EB155C">
            <w:pPr>
              <w:pStyle w:val="TableText"/>
              <w:jc w:val="right"/>
              <w:rPr>
                <w:rFonts w:eastAsia="Calibri" w:cs="Arial"/>
              </w:rPr>
            </w:pPr>
            <w:r w:rsidRPr="00A0121A">
              <w:rPr>
                <w:rFonts w:cs="Arial"/>
              </w:rPr>
              <w:t>61.3 (57.2,</w:t>
            </w:r>
            <w:r>
              <w:rPr>
                <w:rFonts w:cs="Arial"/>
              </w:rPr>
              <w:t xml:space="preserve"> </w:t>
            </w:r>
            <w:r w:rsidRPr="00A0121A">
              <w:rPr>
                <w:rFonts w:cs="Arial"/>
              </w:rPr>
              <w:t>65.2)</w:t>
            </w:r>
          </w:p>
        </w:tc>
      </w:tr>
      <w:tr w:rsidR="009A6E70" w:rsidRPr="00A0121A" w14:paraId="44292A6D" w14:textId="77777777" w:rsidTr="006722DB">
        <w:trPr>
          <w:cantSplit/>
        </w:trPr>
        <w:tc>
          <w:tcPr>
            <w:tcW w:w="1825" w:type="dxa"/>
          </w:tcPr>
          <w:p w14:paraId="5F401950" w14:textId="77777777" w:rsidR="009A6E70" w:rsidRPr="00A0121A" w:rsidRDefault="009A6E70" w:rsidP="00EB155C">
            <w:pPr>
              <w:pStyle w:val="TableText"/>
              <w:rPr>
                <w:rFonts w:eastAsia="Calibri" w:cs="Arial"/>
              </w:rPr>
            </w:pPr>
            <w:r w:rsidRPr="00A0121A">
              <w:rPr>
                <w:rFonts w:cs="Arial"/>
              </w:rPr>
              <w:t xml:space="preserve">A bit true </w:t>
            </w:r>
          </w:p>
        </w:tc>
        <w:tc>
          <w:tcPr>
            <w:tcW w:w="720" w:type="dxa"/>
          </w:tcPr>
          <w:p w14:paraId="3917FF9C" w14:textId="77777777" w:rsidR="009A6E70" w:rsidRPr="00A0121A" w:rsidRDefault="009A6E70" w:rsidP="00EB155C">
            <w:pPr>
              <w:pStyle w:val="TableText"/>
              <w:jc w:val="right"/>
              <w:rPr>
                <w:rFonts w:eastAsia="Calibri" w:cs="Arial"/>
              </w:rPr>
            </w:pPr>
            <w:r w:rsidRPr="00A0121A">
              <w:rPr>
                <w:rFonts w:cs="Arial"/>
              </w:rPr>
              <w:t>589</w:t>
            </w:r>
          </w:p>
        </w:tc>
        <w:tc>
          <w:tcPr>
            <w:tcW w:w="900" w:type="dxa"/>
          </w:tcPr>
          <w:p w14:paraId="68B5CC93" w14:textId="77777777" w:rsidR="009A6E70" w:rsidRPr="00A0121A" w:rsidRDefault="009A6E70" w:rsidP="00EB155C">
            <w:pPr>
              <w:pStyle w:val="TableText"/>
              <w:jc w:val="right"/>
              <w:rPr>
                <w:rFonts w:eastAsia="Calibri" w:cs="Arial"/>
              </w:rPr>
            </w:pPr>
            <w:r w:rsidRPr="00A0121A">
              <w:rPr>
                <w:rFonts w:cs="Arial"/>
              </w:rPr>
              <w:t>4619</w:t>
            </w:r>
          </w:p>
        </w:tc>
        <w:tc>
          <w:tcPr>
            <w:tcW w:w="1132" w:type="dxa"/>
          </w:tcPr>
          <w:p w14:paraId="2176197E" w14:textId="77777777" w:rsidR="009A6E70" w:rsidRPr="00A0121A" w:rsidRDefault="009A6E70" w:rsidP="00EB155C">
            <w:pPr>
              <w:pStyle w:val="TableText"/>
              <w:jc w:val="right"/>
              <w:rPr>
                <w:rFonts w:eastAsia="Calibri" w:cs="Arial"/>
              </w:rPr>
            </w:pPr>
            <w:r w:rsidRPr="00A0121A">
              <w:rPr>
                <w:rFonts w:cs="Arial"/>
              </w:rPr>
              <w:t>18.5 (16.9,</w:t>
            </w:r>
            <w:r>
              <w:rPr>
                <w:rFonts w:cs="Arial"/>
              </w:rPr>
              <w:t xml:space="preserve"> </w:t>
            </w:r>
            <w:r w:rsidRPr="00A0121A">
              <w:rPr>
                <w:rFonts w:cs="Arial"/>
              </w:rPr>
              <w:t>20.3)</w:t>
            </w:r>
          </w:p>
        </w:tc>
        <w:tc>
          <w:tcPr>
            <w:tcW w:w="668" w:type="dxa"/>
          </w:tcPr>
          <w:p w14:paraId="4ABCB470" w14:textId="77777777" w:rsidR="009A6E70" w:rsidRPr="00A0121A" w:rsidRDefault="009A6E70" w:rsidP="00EB155C">
            <w:pPr>
              <w:pStyle w:val="TableText"/>
              <w:jc w:val="right"/>
              <w:rPr>
                <w:rFonts w:eastAsia="Calibri" w:cs="Arial"/>
              </w:rPr>
            </w:pPr>
            <w:r w:rsidRPr="00A0121A">
              <w:rPr>
                <w:rFonts w:cs="Arial"/>
              </w:rPr>
              <w:t>1027</w:t>
            </w:r>
          </w:p>
        </w:tc>
        <w:tc>
          <w:tcPr>
            <w:tcW w:w="900" w:type="dxa"/>
          </w:tcPr>
          <w:p w14:paraId="44631955" w14:textId="77777777" w:rsidR="009A6E70" w:rsidRPr="00A0121A" w:rsidRDefault="009A6E70" w:rsidP="00EB155C">
            <w:pPr>
              <w:pStyle w:val="TableText"/>
              <w:jc w:val="right"/>
              <w:rPr>
                <w:rFonts w:eastAsia="Calibri" w:cs="Arial"/>
              </w:rPr>
            </w:pPr>
            <w:r w:rsidRPr="00A0121A">
              <w:rPr>
                <w:rFonts w:cs="Arial"/>
              </w:rPr>
              <w:t>9283</w:t>
            </w:r>
          </w:p>
        </w:tc>
        <w:tc>
          <w:tcPr>
            <w:tcW w:w="1184" w:type="dxa"/>
          </w:tcPr>
          <w:p w14:paraId="28CFBA41" w14:textId="77777777" w:rsidR="009A6E70" w:rsidRPr="00A0121A" w:rsidRDefault="009A6E70" w:rsidP="00EB155C">
            <w:pPr>
              <w:pStyle w:val="TableText"/>
              <w:jc w:val="right"/>
              <w:rPr>
                <w:rFonts w:eastAsia="Calibri" w:cs="Arial"/>
              </w:rPr>
            </w:pPr>
            <w:r w:rsidRPr="00A0121A">
              <w:rPr>
                <w:rFonts w:cs="Arial"/>
              </w:rPr>
              <w:t>17.7 (14.3,</w:t>
            </w:r>
            <w:r>
              <w:rPr>
                <w:rFonts w:cs="Arial"/>
              </w:rPr>
              <w:t xml:space="preserve"> </w:t>
            </w:r>
            <w:r w:rsidRPr="00A0121A">
              <w:rPr>
                <w:rFonts w:cs="Arial"/>
              </w:rPr>
              <w:t>21.6)</w:t>
            </w:r>
          </w:p>
        </w:tc>
      </w:tr>
      <w:tr w:rsidR="009A6E70" w:rsidRPr="00A0121A" w14:paraId="38065174"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7A4D7721" w14:textId="77777777" w:rsidR="009A6E70" w:rsidRPr="00A0121A" w:rsidRDefault="009A6E70" w:rsidP="00EB155C">
            <w:pPr>
              <w:pStyle w:val="TableText"/>
              <w:rPr>
                <w:rFonts w:eastAsia="Calibri" w:cs="ArialMT"/>
              </w:rPr>
            </w:pPr>
            <w:r w:rsidRPr="00A0121A">
              <w:rPr>
                <w:rFonts w:cs="Arial"/>
              </w:rPr>
              <w:t>Very true</w:t>
            </w:r>
          </w:p>
        </w:tc>
        <w:tc>
          <w:tcPr>
            <w:tcW w:w="720" w:type="dxa"/>
          </w:tcPr>
          <w:p w14:paraId="08E01D89" w14:textId="77777777" w:rsidR="009A6E70" w:rsidRPr="00A0121A" w:rsidRDefault="009A6E70" w:rsidP="00EB155C">
            <w:pPr>
              <w:pStyle w:val="TableText"/>
              <w:jc w:val="right"/>
              <w:rPr>
                <w:rFonts w:eastAsia="Calibri" w:cs="Arial"/>
              </w:rPr>
            </w:pPr>
            <w:r w:rsidRPr="00A0121A">
              <w:rPr>
                <w:rFonts w:cs="Arial"/>
              </w:rPr>
              <w:t>254</w:t>
            </w:r>
          </w:p>
        </w:tc>
        <w:tc>
          <w:tcPr>
            <w:tcW w:w="900" w:type="dxa"/>
          </w:tcPr>
          <w:p w14:paraId="18D9BDA8" w14:textId="77777777" w:rsidR="009A6E70" w:rsidRPr="00A0121A" w:rsidRDefault="009A6E70" w:rsidP="00EB155C">
            <w:pPr>
              <w:pStyle w:val="TableText"/>
              <w:jc w:val="right"/>
              <w:rPr>
                <w:rFonts w:eastAsia="Calibri" w:cs="Arial"/>
              </w:rPr>
            </w:pPr>
            <w:r w:rsidRPr="00A0121A">
              <w:rPr>
                <w:rFonts w:cs="Arial"/>
              </w:rPr>
              <w:t>2282</w:t>
            </w:r>
          </w:p>
        </w:tc>
        <w:tc>
          <w:tcPr>
            <w:tcW w:w="1132" w:type="dxa"/>
          </w:tcPr>
          <w:p w14:paraId="744D81F0" w14:textId="77777777" w:rsidR="009A6E70" w:rsidRPr="00A0121A" w:rsidRDefault="009A6E70" w:rsidP="00EB155C">
            <w:pPr>
              <w:pStyle w:val="TableText"/>
              <w:jc w:val="right"/>
              <w:rPr>
                <w:rFonts w:eastAsia="Calibri" w:cs="Arial"/>
              </w:rPr>
            </w:pPr>
            <w:r w:rsidRPr="00A0121A">
              <w:rPr>
                <w:rFonts w:cs="Arial"/>
              </w:rPr>
              <w:t>9.2 (7.9,</w:t>
            </w:r>
            <w:r>
              <w:rPr>
                <w:rFonts w:cs="Arial"/>
              </w:rPr>
              <w:t xml:space="preserve"> </w:t>
            </w:r>
            <w:r w:rsidRPr="00A0121A">
              <w:rPr>
                <w:rFonts w:cs="Arial"/>
              </w:rPr>
              <w:t>10.5)</w:t>
            </w:r>
          </w:p>
        </w:tc>
        <w:tc>
          <w:tcPr>
            <w:tcW w:w="668" w:type="dxa"/>
          </w:tcPr>
          <w:p w14:paraId="5C7EBEF5" w14:textId="77777777" w:rsidR="009A6E70" w:rsidRPr="00A0121A" w:rsidRDefault="009A6E70" w:rsidP="00EB155C">
            <w:pPr>
              <w:pStyle w:val="TableText"/>
              <w:jc w:val="right"/>
              <w:rPr>
                <w:rFonts w:eastAsia="Calibri" w:cs="Arial"/>
              </w:rPr>
            </w:pPr>
            <w:r w:rsidRPr="00A0121A">
              <w:rPr>
                <w:rFonts w:cs="Arial"/>
              </w:rPr>
              <w:t>365</w:t>
            </w:r>
          </w:p>
        </w:tc>
        <w:tc>
          <w:tcPr>
            <w:tcW w:w="900" w:type="dxa"/>
          </w:tcPr>
          <w:p w14:paraId="0570B711" w14:textId="77777777" w:rsidR="009A6E70" w:rsidRPr="00A0121A" w:rsidRDefault="009A6E70" w:rsidP="00EB155C">
            <w:pPr>
              <w:pStyle w:val="TableText"/>
              <w:jc w:val="right"/>
              <w:rPr>
                <w:rFonts w:eastAsia="Calibri" w:cs="Arial"/>
              </w:rPr>
            </w:pPr>
            <w:r w:rsidRPr="00A0121A">
              <w:rPr>
                <w:rFonts w:cs="Arial"/>
              </w:rPr>
              <w:t>3499</w:t>
            </w:r>
          </w:p>
        </w:tc>
        <w:tc>
          <w:tcPr>
            <w:tcW w:w="1184" w:type="dxa"/>
          </w:tcPr>
          <w:p w14:paraId="502BB688" w14:textId="77777777" w:rsidR="009A6E70" w:rsidRPr="00A0121A" w:rsidRDefault="009A6E70" w:rsidP="00EB155C">
            <w:pPr>
              <w:pStyle w:val="TableText"/>
              <w:jc w:val="right"/>
              <w:rPr>
                <w:rFonts w:eastAsia="Calibri" w:cs="Arial"/>
              </w:rPr>
            </w:pPr>
            <w:r w:rsidRPr="00A0121A">
              <w:rPr>
                <w:rFonts w:cs="Arial"/>
              </w:rPr>
              <w:t>6.7 (4.7,</w:t>
            </w:r>
            <w:r>
              <w:rPr>
                <w:rFonts w:cs="Arial"/>
              </w:rPr>
              <w:t xml:space="preserve"> </w:t>
            </w:r>
            <w:r w:rsidRPr="00A0121A">
              <w:rPr>
                <w:rFonts w:cs="Arial"/>
              </w:rPr>
              <w:t>9.3)</w:t>
            </w:r>
          </w:p>
        </w:tc>
      </w:tr>
      <w:tr w:rsidR="009A6E70" w:rsidRPr="00A0121A" w14:paraId="477FB212" w14:textId="77777777" w:rsidTr="006722DB">
        <w:trPr>
          <w:cantSplit/>
        </w:trPr>
        <w:tc>
          <w:tcPr>
            <w:tcW w:w="1825" w:type="dxa"/>
            <w:tcBorders>
              <w:bottom w:val="single" w:sz="4" w:space="0" w:color="000000"/>
            </w:tcBorders>
          </w:tcPr>
          <w:p w14:paraId="656FA502" w14:textId="77777777" w:rsidR="009A6E70" w:rsidRPr="00A0121A" w:rsidRDefault="009A6E70" w:rsidP="00EB155C">
            <w:pPr>
              <w:pStyle w:val="TableText"/>
              <w:rPr>
                <w:rFonts w:eastAsia="Calibri" w:cs="Arial"/>
              </w:rPr>
            </w:pPr>
            <w:r w:rsidRPr="00A0121A">
              <w:rPr>
                <w:rFonts w:cs="Arial"/>
              </w:rPr>
              <w:t>N/A</w:t>
            </w:r>
          </w:p>
        </w:tc>
        <w:tc>
          <w:tcPr>
            <w:tcW w:w="720" w:type="dxa"/>
            <w:tcBorders>
              <w:bottom w:val="single" w:sz="4" w:space="0" w:color="000000"/>
            </w:tcBorders>
          </w:tcPr>
          <w:p w14:paraId="071A1DB7" w14:textId="77777777" w:rsidR="009A6E70" w:rsidRPr="00A0121A" w:rsidRDefault="009A6E70" w:rsidP="00EB155C">
            <w:pPr>
              <w:pStyle w:val="TableText"/>
              <w:jc w:val="right"/>
              <w:rPr>
                <w:rFonts w:cs="Arial"/>
              </w:rPr>
            </w:pPr>
            <w:r w:rsidRPr="00A0121A">
              <w:rPr>
                <w:rFonts w:cs="Arial"/>
              </w:rPr>
              <w:t>410</w:t>
            </w:r>
          </w:p>
        </w:tc>
        <w:tc>
          <w:tcPr>
            <w:tcW w:w="900" w:type="dxa"/>
            <w:tcBorders>
              <w:bottom w:val="single" w:sz="4" w:space="0" w:color="000000"/>
            </w:tcBorders>
          </w:tcPr>
          <w:p w14:paraId="0FF29CBF" w14:textId="77777777" w:rsidR="009A6E70" w:rsidRPr="00A0121A" w:rsidRDefault="009A6E70" w:rsidP="00EB155C">
            <w:pPr>
              <w:pStyle w:val="TableText"/>
              <w:jc w:val="right"/>
              <w:rPr>
                <w:rFonts w:eastAsia="Calibri" w:cs="Arial"/>
              </w:rPr>
            </w:pPr>
            <w:r w:rsidRPr="00A0121A">
              <w:rPr>
                <w:rFonts w:cs="Arial"/>
              </w:rPr>
              <w:t>2359</w:t>
            </w:r>
          </w:p>
        </w:tc>
        <w:tc>
          <w:tcPr>
            <w:tcW w:w="1132" w:type="dxa"/>
            <w:tcBorders>
              <w:bottom w:val="single" w:sz="4" w:space="0" w:color="000000"/>
            </w:tcBorders>
          </w:tcPr>
          <w:p w14:paraId="697405C1" w14:textId="77777777" w:rsidR="009A6E70" w:rsidRPr="00A0121A" w:rsidRDefault="009A6E70" w:rsidP="00EB155C">
            <w:pPr>
              <w:pStyle w:val="TableText"/>
              <w:jc w:val="right"/>
              <w:rPr>
                <w:rFonts w:cs="Arial"/>
              </w:rPr>
            </w:pPr>
            <w:r w:rsidRPr="00A0121A">
              <w:rPr>
                <w:rFonts w:cs="Arial"/>
              </w:rPr>
              <w:t>9.5 (8.4,</w:t>
            </w:r>
            <w:r>
              <w:rPr>
                <w:rFonts w:cs="Arial"/>
              </w:rPr>
              <w:t xml:space="preserve"> </w:t>
            </w:r>
            <w:r w:rsidRPr="00A0121A">
              <w:rPr>
                <w:rFonts w:cs="Arial"/>
              </w:rPr>
              <w:t>10.6)</w:t>
            </w:r>
          </w:p>
        </w:tc>
        <w:tc>
          <w:tcPr>
            <w:tcW w:w="668" w:type="dxa"/>
            <w:tcBorders>
              <w:bottom w:val="single" w:sz="4" w:space="0" w:color="000000"/>
            </w:tcBorders>
          </w:tcPr>
          <w:p w14:paraId="230DAA10" w14:textId="77777777" w:rsidR="009A6E70" w:rsidRPr="00A0121A" w:rsidRDefault="009A6E70" w:rsidP="00EB155C">
            <w:pPr>
              <w:pStyle w:val="TableText"/>
              <w:jc w:val="right"/>
              <w:rPr>
                <w:rFonts w:eastAsia="Calibri" w:cs="Arial"/>
              </w:rPr>
            </w:pPr>
            <w:r w:rsidRPr="00A0121A">
              <w:rPr>
                <w:rFonts w:cs="Arial"/>
              </w:rPr>
              <w:t>780</w:t>
            </w:r>
          </w:p>
        </w:tc>
        <w:tc>
          <w:tcPr>
            <w:tcW w:w="900" w:type="dxa"/>
            <w:tcBorders>
              <w:bottom w:val="single" w:sz="4" w:space="0" w:color="000000"/>
            </w:tcBorders>
          </w:tcPr>
          <w:p w14:paraId="5E41DF55" w14:textId="77777777" w:rsidR="009A6E70" w:rsidRPr="00A0121A" w:rsidRDefault="009A6E70" w:rsidP="00EB155C">
            <w:pPr>
              <w:pStyle w:val="TableText"/>
              <w:jc w:val="right"/>
              <w:rPr>
                <w:rFonts w:eastAsia="Calibri" w:cs="Arial"/>
              </w:rPr>
            </w:pPr>
            <w:r w:rsidRPr="00A0121A">
              <w:rPr>
                <w:rFonts w:cs="Arial"/>
              </w:rPr>
              <w:t>6593</w:t>
            </w:r>
          </w:p>
        </w:tc>
        <w:tc>
          <w:tcPr>
            <w:tcW w:w="1184" w:type="dxa"/>
            <w:tcBorders>
              <w:bottom w:val="single" w:sz="4" w:space="0" w:color="000000"/>
            </w:tcBorders>
          </w:tcPr>
          <w:p w14:paraId="2021B093" w14:textId="77777777" w:rsidR="009A6E70" w:rsidRPr="00A0121A" w:rsidRDefault="009A6E70" w:rsidP="00EB155C">
            <w:pPr>
              <w:pStyle w:val="TableText"/>
              <w:jc w:val="right"/>
              <w:rPr>
                <w:rFonts w:eastAsia="Calibri" w:cs="Arial"/>
              </w:rPr>
            </w:pPr>
            <w:r w:rsidRPr="00A0121A">
              <w:rPr>
                <w:rFonts w:cs="Arial"/>
              </w:rPr>
              <w:t>12.6 (9.8,</w:t>
            </w:r>
            <w:r>
              <w:rPr>
                <w:rFonts w:cs="Arial"/>
              </w:rPr>
              <w:t xml:space="preserve"> </w:t>
            </w:r>
            <w:r w:rsidRPr="00A0121A">
              <w:rPr>
                <w:rFonts w:cs="Arial"/>
              </w:rPr>
              <w:t>16.0)</w:t>
            </w:r>
          </w:p>
        </w:tc>
      </w:tr>
      <w:tr w:rsidR="006722DB" w:rsidRPr="00A0121A" w14:paraId="67924085"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bottom w:val="nil"/>
            </w:tcBorders>
          </w:tcPr>
          <w:p w14:paraId="08DF3F00" w14:textId="77777777" w:rsidR="009A6E70" w:rsidRPr="000A3161" w:rsidRDefault="009A6E70" w:rsidP="00EB155C">
            <w:pPr>
              <w:pStyle w:val="TableText"/>
              <w:rPr>
                <w:rFonts w:cs="Arial"/>
                <w:b/>
              </w:rPr>
            </w:pPr>
            <w:r w:rsidRPr="000A3161">
              <w:rPr>
                <w:rFonts w:cs="Arial"/>
                <w:b/>
              </w:rPr>
              <w:t>Collapsed categories</w:t>
            </w:r>
          </w:p>
        </w:tc>
        <w:tc>
          <w:tcPr>
            <w:tcW w:w="720" w:type="dxa"/>
            <w:tcBorders>
              <w:top w:val="single" w:sz="4" w:space="0" w:color="000000"/>
              <w:bottom w:val="nil"/>
            </w:tcBorders>
          </w:tcPr>
          <w:p w14:paraId="77808A09"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193C6D77" w14:textId="77777777" w:rsidR="009A6E70" w:rsidRPr="00A0121A" w:rsidRDefault="009A6E70" w:rsidP="00EB155C">
            <w:pPr>
              <w:pStyle w:val="TableText"/>
              <w:jc w:val="right"/>
              <w:rPr>
                <w:rFonts w:cs="Arial"/>
              </w:rPr>
            </w:pPr>
          </w:p>
        </w:tc>
        <w:tc>
          <w:tcPr>
            <w:tcW w:w="1132" w:type="dxa"/>
            <w:tcBorders>
              <w:top w:val="single" w:sz="4" w:space="0" w:color="000000"/>
              <w:bottom w:val="nil"/>
            </w:tcBorders>
          </w:tcPr>
          <w:p w14:paraId="3E401AD0" w14:textId="77777777" w:rsidR="009A6E70" w:rsidRPr="00A0121A" w:rsidRDefault="009A6E70" w:rsidP="00EB155C">
            <w:pPr>
              <w:pStyle w:val="TableText"/>
              <w:jc w:val="right"/>
              <w:rPr>
                <w:rFonts w:cs="Arial"/>
              </w:rPr>
            </w:pPr>
          </w:p>
        </w:tc>
        <w:tc>
          <w:tcPr>
            <w:tcW w:w="668" w:type="dxa"/>
            <w:tcBorders>
              <w:top w:val="single" w:sz="4" w:space="0" w:color="000000"/>
              <w:bottom w:val="nil"/>
            </w:tcBorders>
          </w:tcPr>
          <w:p w14:paraId="3C517A53"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1CCE970C" w14:textId="77777777" w:rsidR="009A6E70" w:rsidRPr="00A0121A" w:rsidRDefault="009A6E70" w:rsidP="00EB155C">
            <w:pPr>
              <w:pStyle w:val="TableText"/>
              <w:jc w:val="right"/>
              <w:rPr>
                <w:rFonts w:cs="Arial"/>
              </w:rPr>
            </w:pPr>
          </w:p>
        </w:tc>
        <w:tc>
          <w:tcPr>
            <w:tcW w:w="1184" w:type="dxa"/>
            <w:tcBorders>
              <w:top w:val="single" w:sz="4" w:space="0" w:color="000000"/>
              <w:bottom w:val="nil"/>
            </w:tcBorders>
          </w:tcPr>
          <w:p w14:paraId="3C85797B" w14:textId="77777777" w:rsidR="009A6E70" w:rsidRPr="00A0121A" w:rsidRDefault="009A6E70" w:rsidP="00EB155C">
            <w:pPr>
              <w:pStyle w:val="TableText"/>
              <w:jc w:val="right"/>
              <w:rPr>
                <w:rFonts w:cs="Arial"/>
              </w:rPr>
            </w:pPr>
          </w:p>
        </w:tc>
      </w:tr>
      <w:tr w:rsidR="009A6E70" w:rsidRPr="00A0121A" w14:paraId="296CB085" w14:textId="77777777" w:rsidTr="006722DB">
        <w:trPr>
          <w:cantSplit/>
        </w:trPr>
        <w:tc>
          <w:tcPr>
            <w:tcW w:w="1825" w:type="dxa"/>
            <w:tcBorders>
              <w:top w:val="nil"/>
            </w:tcBorders>
          </w:tcPr>
          <w:p w14:paraId="70C20A2D" w14:textId="77777777" w:rsidR="009A6E70" w:rsidRPr="00A0121A" w:rsidRDefault="009A6E70" w:rsidP="00EB155C">
            <w:pPr>
              <w:pStyle w:val="TableText"/>
              <w:rPr>
                <w:rFonts w:cs="Arial"/>
              </w:rPr>
            </w:pPr>
            <w:r w:rsidRPr="00A0121A">
              <w:rPr>
                <w:rFonts w:cs="Arial"/>
              </w:rPr>
              <w:t>N/A</w:t>
            </w:r>
          </w:p>
        </w:tc>
        <w:tc>
          <w:tcPr>
            <w:tcW w:w="720" w:type="dxa"/>
            <w:tcBorders>
              <w:top w:val="nil"/>
            </w:tcBorders>
          </w:tcPr>
          <w:p w14:paraId="5F0D54B6" w14:textId="77777777" w:rsidR="009A6E70" w:rsidRPr="00A0121A" w:rsidRDefault="009A6E70" w:rsidP="00EB155C">
            <w:pPr>
              <w:pStyle w:val="TableText"/>
              <w:jc w:val="right"/>
              <w:rPr>
                <w:rFonts w:cs="Arial"/>
              </w:rPr>
            </w:pPr>
            <w:r w:rsidRPr="00A0121A">
              <w:rPr>
                <w:rFonts w:cs="Arial"/>
              </w:rPr>
              <w:t>410</w:t>
            </w:r>
          </w:p>
        </w:tc>
        <w:tc>
          <w:tcPr>
            <w:tcW w:w="900" w:type="dxa"/>
            <w:tcBorders>
              <w:top w:val="nil"/>
            </w:tcBorders>
          </w:tcPr>
          <w:p w14:paraId="1D77A768" w14:textId="77777777" w:rsidR="009A6E70" w:rsidRPr="00A0121A" w:rsidRDefault="009A6E70" w:rsidP="00EB155C">
            <w:pPr>
              <w:pStyle w:val="TableText"/>
              <w:jc w:val="right"/>
              <w:rPr>
                <w:rFonts w:cs="Arial"/>
              </w:rPr>
            </w:pPr>
            <w:r w:rsidRPr="00A0121A">
              <w:rPr>
                <w:rFonts w:cs="Arial"/>
              </w:rPr>
              <w:t>2359</w:t>
            </w:r>
          </w:p>
        </w:tc>
        <w:tc>
          <w:tcPr>
            <w:tcW w:w="1132" w:type="dxa"/>
            <w:tcBorders>
              <w:top w:val="nil"/>
            </w:tcBorders>
          </w:tcPr>
          <w:p w14:paraId="125DF9BB" w14:textId="77777777" w:rsidR="009A6E70" w:rsidRPr="00A0121A" w:rsidRDefault="009A6E70" w:rsidP="00EB155C">
            <w:pPr>
              <w:pStyle w:val="TableText"/>
              <w:jc w:val="right"/>
              <w:rPr>
                <w:rFonts w:cs="Arial"/>
              </w:rPr>
            </w:pPr>
            <w:r w:rsidRPr="00A0121A">
              <w:rPr>
                <w:rFonts w:cs="Arial"/>
              </w:rPr>
              <w:t>9.5 (8.4,</w:t>
            </w:r>
            <w:r>
              <w:rPr>
                <w:rFonts w:cs="Arial"/>
              </w:rPr>
              <w:t xml:space="preserve"> </w:t>
            </w:r>
            <w:r w:rsidRPr="00A0121A">
              <w:rPr>
                <w:rFonts w:cs="Arial"/>
              </w:rPr>
              <w:t>10.6)</w:t>
            </w:r>
          </w:p>
        </w:tc>
        <w:tc>
          <w:tcPr>
            <w:tcW w:w="668" w:type="dxa"/>
            <w:tcBorders>
              <w:top w:val="nil"/>
            </w:tcBorders>
          </w:tcPr>
          <w:p w14:paraId="3A423035" w14:textId="77777777" w:rsidR="009A6E70" w:rsidRPr="00A0121A" w:rsidRDefault="009A6E70" w:rsidP="00EB155C">
            <w:pPr>
              <w:pStyle w:val="TableText"/>
              <w:jc w:val="right"/>
              <w:rPr>
                <w:rFonts w:cs="Arial"/>
              </w:rPr>
            </w:pPr>
            <w:r w:rsidRPr="00A0121A">
              <w:rPr>
                <w:rFonts w:cs="Arial"/>
              </w:rPr>
              <w:t>780</w:t>
            </w:r>
          </w:p>
        </w:tc>
        <w:tc>
          <w:tcPr>
            <w:tcW w:w="900" w:type="dxa"/>
            <w:tcBorders>
              <w:top w:val="nil"/>
            </w:tcBorders>
          </w:tcPr>
          <w:p w14:paraId="184040B7" w14:textId="77777777" w:rsidR="009A6E70" w:rsidRPr="00A0121A" w:rsidRDefault="009A6E70" w:rsidP="00EB155C">
            <w:pPr>
              <w:pStyle w:val="TableText"/>
              <w:jc w:val="right"/>
              <w:rPr>
                <w:rFonts w:cs="Arial"/>
              </w:rPr>
            </w:pPr>
            <w:r w:rsidRPr="00A0121A">
              <w:rPr>
                <w:rFonts w:cs="Arial"/>
              </w:rPr>
              <w:t>6593</w:t>
            </w:r>
          </w:p>
        </w:tc>
        <w:tc>
          <w:tcPr>
            <w:tcW w:w="1184" w:type="dxa"/>
            <w:tcBorders>
              <w:top w:val="nil"/>
            </w:tcBorders>
          </w:tcPr>
          <w:p w14:paraId="73FF6FB0" w14:textId="77777777" w:rsidR="009A6E70" w:rsidRPr="00A0121A" w:rsidRDefault="009A6E70" w:rsidP="00EB155C">
            <w:pPr>
              <w:pStyle w:val="TableText"/>
              <w:jc w:val="right"/>
              <w:rPr>
                <w:rFonts w:cs="Arial"/>
              </w:rPr>
            </w:pPr>
            <w:r w:rsidRPr="00A0121A">
              <w:rPr>
                <w:rFonts w:cs="Arial"/>
              </w:rPr>
              <w:t>12.6 (9.8,</w:t>
            </w:r>
            <w:r>
              <w:rPr>
                <w:rFonts w:cs="Arial"/>
              </w:rPr>
              <w:t xml:space="preserve"> </w:t>
            </w:r>
            <w:r w:rsidRPr="00A0121A">
              <w:rPr>
                <w:rFonts w:cs="Arial"/>
              </w:rPr>
              <w:t>16.0)</w:t>
            </w:r>
          </w:p>
        </w:tc>
      </w:tr>
      <w:tr w:rsidR="009A6E70" w:rsidRPr="00A0121A" w14:paraId="015E6338"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49BCA247" w14:textId="77777777" w:rsidR="009A6E70" w:rsidRPr="00A0121A" w:rsidRDefault="009A6E70" w:rsidP="00EB155C">
            <w:pPr>
              <w:pStyle w:val="TableText"/>
              <w:rPr>
                <w:rFonts w:cs="Arial"/>
              </w:rPr>
            </w:pPr>
            <w:r>
              <w:rPr>
                <w:rFonts w:cs="Arial"/>
              </w:rPr>
              <w:t>Not true</w:t>
            </w:r>
          </w:p>
        </w:tc>
        <w:tc>
          <w:tcPr>
            <w:tcW w:w="720" w:type="dxa"/>
          </w:tcPr>
          <w:p w14:paraId="64AA4DF7" w14:textId="77777777" w:rsidR="009A6E70" w:rsidRPr="00A0121A" w:rsidRDefault="009A6E70" w:rsidP="00EB155C">
            <w:pPr>
              <w:pStyle w:val="TableText"/>
              <w:jc w:val="right"/>
              <w:rPr>
                <w:rFonts w:cs="Arial"/>
              </w:rPr>
            </w:pPr>
            <w:r w:rsidRPr="00A0121A">
              <w:rPr>
                <w:rFonts w:cs="Arial"/>
              </w:rPr>
              <w:t>2258</w:t>
            </w:r>
          </w:p>
        </w:tc>
        <w:tc>
          <w:tcPr>
            <w:tcW w:w="900" w:type="dxa"/>
          </w:tcPr>
          <w:p w14:paraId="747DE434" w14:textId="77777777" w:rsidR="009A6E70" w:rsidRPr="00A0121A" w:rsidRDefault="009A6E70" w:rsidP="00EB155C">
            <w:pPr>
              <w:pStyle w:val="TableText"/>
              <w:jc w:val="right"/>
              <w:rPr>
                <w:rFonts w:cs="Arial"/>
              </w:rPr>
            </w:pPr>
            <w:r w:rsidRPr="00A0121A">
              <w:rPr>
                <w:rFonts w:cs="Arial"/>
              </w:rPr>
              <w:t>15</w:t>
            </w:r>
            <w:r>
              <w:rPr>
                <w:rFonts w:cs="Arial"/>
              </w:rPr>
              <w:t>,</w:t>
            </w:r>
            <w:r w:rsidRPr="00A0121A">
              <w:rPr>
                <w:rFonts w:cs="Arial"/>
              </w:rPr>
              <w:t>453</w:t>
            </w:r>
          </w:p>
        </w:tc>
        <w:tc>
          <w:tcPr>
            <w:tcW w:w="1132" w:type="dxa"/>
          </w:tcPr>
          <w:p w14:paraId="1CA8992D" w14:textId="77777777" w:rsidR="009A6E70" w:rsidRPr="00A0121A" w:rsidRDefault="009A6E70" w:rsidP="00EB155C">
            <w:pPr>
              <w:pStyle w:val="TableText"/>
              <w:jc w:val="right"/>
              <w:rPr>
                <w:rFonts w:cs="Arial"/>
              </w:rPr>
            </w:pPr>
            <w:r w:rsidRPr="00A0121A">
              <w:rPr>
                <w:rFonts w:cs="Arial"/>
              </w:rPr>
              <w:t>62.0 (59.9,</w:t>
            </w:r>
            <w:r>
              <w:rPr>
                <w:rFonts w:cs="Arial"/>
              </w:rPr>
              <w:t xml:space="preserve"> </w:t>
            </w:r>
            <w:r w:rsidRPr="00A0121A">
              <w:rPr>
                <w:rFonts w:cs="Arial"/>
              </w:rPr>
              <w:t>64.0)</w:t>
            </w:r>
          </w:p>
        </w:tc>
        <w:tc>
          <w:tcPr>
            <w:tcW w:w="668" w:type="dxa"/>
          </w:tcPr>
          <w:p w14:paraId="0B09179C" w14:textId="77777777" w:rsidR="009A6E70" w:rsidRPr="00A0121A" w:rsidRDefault="009A6E70" w:rsidP="00EB155C">
            <w:pPr>
              <w:pStyle w:val="TableText"/>
              <w:jc w:val="right"/>
              <w:rPr>
                <w:rFonts w:cs="Arial"/>
              </w:rPr>
            </w:pPr>
            <w:r w:rsidRPr="00A0121A">
              <w:rPr>
                <w:rFonts w:cs="Arial"/>
              </w:rPr>
              <w:t>5121</w:t>
            </w:r>
          </w:p>
        </w:tc>
        <w:tc>
          <w:tcPr>
            <w:tcW w:w="900" w:type="dxa"/>
          </w:tcPr>
          <w:p w14:paraId="76DB815A" w14:textId="77777777" w:rsidR="009A6E70" w:rsidRPr="00A0121A" w:rsidRDefault="009A6E70" w:rsidP="00EB155C">
            <w:pPr>
              <w:pStyle w:val="TableText"/>
              <w:jc w:val="right"/>
              <w:rPr>
                <w:rFonts w:cs="Arial"/>
              </w:rPr>
            </w:pPr>
            <w:r w:rsidRPr="00A0121A">
              <w:rPr>
                <w:rFonts w:cs="Arial"/>
              </w:rPr>
              <w:t>32</w:t>
            </w:r>
            <w:r>
              <w:rPr>
                <w:rFonts w:cs="Arial"/>
              </w:rPr>
              <w:t>,</w:t>
            </w:r>
            <w:r w:rsidRPr="00A0121A">
              <w:rPr>
                <w:rFonts w:cs="Arial"/>
              </w:rPr>
              <w:t>158</w:t>
            </w:r>
          </w:p>
        </w:tc>
        <w:tc>
          <w:tcPr>
            <w:tcW w:w="1184" w:type="dxa"/>
          </w:tcPr>
          <w:p w14:paraId="5DFE570D" w14:textId="77777777" w:rsidR="009A6E70" w:rsidRPr="00A0121A" w:rsidRDefault="009A6E70" w:rsidP="00EB155C">
            <w:pPr>
              <w:pStyle w:val="TableText"/>
              <w:jc w:val="right"/>
              <w:rPr>
                <w:rFonts w:cs="Arial"/>
              </w:rPr>
            </w:pPr>
            <w:r w:rsidRPr="00A0121A">
              <w:rPr>
                <w:rFonts w:cs="Arial"/>
              </w:rPr>
              <w:t>61.3 (57.2,</w:t>
            </w:r>
            <w:r>
              <w:rPr>
                <w:rFonts w:cs="Arial"/>
              </w:rPr>
              <w:t xml:space="preserve"> </w:t>
            </w:r>
            <w:r w:rsidRPr="00A0121A">
              <w:rPr>
                <w:rFonts w:cs="Arial"/>
              </w:rPr>
              <w:t>65.2)</w:t>
            </w:r>
          </w:p>
        </w:tc>
      </w:tr>
      <w:tr w:rsidR="009A6E70" w:rsidRPr="00A0121A" w14:paraId="7A59560B" w14:textId="77777777" w:rsidTr="006722DB">
        <w:trPr>
          <w:cantSplit/>
        </w:trPr>
        <w:tc>
          <w:tcPr>
            <w:tcW w:w="1825" w:type="dxa"/>
          </w:tcPr>
          <w:p w14:paraId="1D11187D" w14:textId="77777777" w:rsidR="009A6E70" w:rsidRPr="00A0121A" w:rsidRDefault="009A6E70" w:rsidP="00EB155C">
            <w:pPr>
              <w:pStyle w:val="TableText"/>
              <w:rPr>
                <w:rFonts w:cs="Arial"/>
              </w:rPr>
            </w:pPr>
            <w:r w:rsidRPr="00A0121A">
              <w:rPr>
                <w:rFonts w:cs="Arial"/>
              </w:rPr>
              <w:t>True</w:t>
            </w:r>
            <w:r>
              <w:rPr>
                <w:rFonts w:cs="Arial"/>
              </w:rPr>
              <w:t xml:space="preserve"> (A bit true/very true)</w:t>
            </w:r>
          </w:p>
        </w:tc>
        <w:tc>
          <w:tcPr>
            <w:tcW w:w="720" w:type="dxa"/>
          </w:tcPr>
          <w:p w14:paraId="33E52F48" w14:textId="77777777" w:rsidR="009A6E70" w:rsidRPr="00A0121A" w:rsidRDefault="009A6E70" w:rsidP="00EB155C">
            <w:pPr>
              <w:pStyle w:val="TableText"/>
              <w:jc w:val="right"/>
              <w:rPr>
                <w:rFonts w:cs="Arial"/>
              </w:rPr>
            </w:pPr>
            <w:r w:rsidRPr="00A0121A">
              <w:rPr>
                <w:rFonts w:cs="Arial"/>
              </w:rPr>
              <w:t>843</w:t>
            </w:r>
          </w:p>
        </w:tc>
        <w:tc>
          <w:tcPr>
            <w:tcW w:w="900" w:type="dxa"/>
          </w:tcPr>
          <w:p w14:paraId="7A53A127" w14:textId="77777777" w:rsidR="009A6E70" w:rsidRPr="00A0121A" w:rsidRDefault="009A6E70" w:rsidP="00EB155C">
            <w:pPr>
              <w:pStyle w:val="TableText"/>
              <w:jc w:val="right"/>
              <w:rPr>
                <w:rFonts w:eastAsia="Calibri" w:cs="Arial"/>
              </w:rPr>
            </w:pPr>
            <w:r w:rsidRPr="00A0121A">
              <w:rPr>
                <w:rFonts w:cs="Arial"/>
              </w:rPr>
              <w:t>6900</w:t>
            </w:r>
          </w:p>
        </w:tc>
        <w:tc>
          <w:tcPr>
            <w:tcW w:w="1132" w:type="dxa"/>
          </w:tcPr>
          <w:p w14:paraId="755A3C01" w14:textId="77777777" w:rsidR="009A6E70" w:rsidRPr="00A0121A" w:rsidRDefault="009A6E70" w:rsidP="00EB155C">
            <w:pPr>
              <w:pStyle w:val="TableText"/>
              <w:jc w:val="right"/>
              <w:rPr>
                <w:rFonts w:cs="Arial"/>
              </w:rPr>
            </w:pPr>
            <w:r w:rsidRPr="00A0121A">
              <w:rPr>
                <w:rFonts w:cs="Arial"/>
              </w:rPr>
              <w:t>27.7 (25.8,</w:t>
            </w:r>
            <w:r>
              <w:rPr>
                <w:rFonts w:cs="Arial"/>
              </w:rPr>
              <w:t xml:space="preserve"> </w:t>
            </w:r>
            <w:r w:rsidRPr="00A0121A">
              <w:rPr>
                <w:rFonts w:cs="Arial"/>
              </w:rPr>
              <w:t>29.7)</w:t>
            </w:r>
          </w:p>
        </w:tc>
        <w:tc>
          <w:tcPr>
            <w:tcW w:w="668" w:type="dxa"/>
          </w:tcPr>
          <w:p w14:paraId="21BCEB13" w14:textId="77777777" w:rsidR="009A6E70" w:rsidRPr="00A0121A" w:rsidRDefault="009A6E70" w:rsidP="00EB155C">
            <w:pPr>
              <w:pStyle w:val="TableText"/>
              <w:jc w:val="right"/>
              <w:rPr>
                <w:rFonts w:eastAsia="Calibri" w:cs="Arial"/>
              </w:rPr>
            </w:pPr>
            <w:r w:rsidRPr="00A0121A">
              <w:rPr>
                <w:rFonts w:cs="Arial"/>
              </w:rPr>
              <w:t>1392</w:t>
            </w:r>
          </w:p>
        </w:tc>
        <w:tc>
          <w:tcPr>
            <w:tcW w:w="900" w:type="dxa"/>
          </w:tcPr>
          <w:p w14:paraId="6793035A" w14:textId="77777777" w:rsidR="009A6E70" w:rsidRPr="00A0121A" w:rsidRDefault="009A6E70" w:rsidP="00EB155C">
            <w:pPr>
              <w:pStyle w:val="TableText"/>
              <w:jc w:val="right"/>
              <w:rPr>
                <w:rFonts w:eastAsia="Calibri" w:cs="Arial"/>
              </w:rPr>
            </w:pPr>
            <w:r w:rsidRPr="00A0121A">
              <w:rPr>
                <w:rFonts w:cs="Arial"/>
              </w:rPr>
              <w:t>12782</w:t>
            </w:r>
          </w:p>
        </w:tc>
        <w:tc>
          <w:tcPr>
            <w:tcW w:w="1184" w:type="dxa"/>
          </w:tcPr>
          <w:p w14:paraId="0DF49087" w14:textId="77777777" w:rsidR="009A6E70" w:rsidRPr="00A0121A" w:rsidRDefault="009A6E70" w:rsidP="00EB155C">
            <w:pPr>
              <w:pStyle w:val="TableText"/>
              <w:jc w:val="right"/>
              <w:rPr>
                <w:rFonts w:eastAsia="Calibri" w:cs="Arial"/>
              </w:rPr>
            </w:pPr>
            <w:r w:rsidRPr="00A0121A">
              <w:rPr>
                <w:rFonts w:cs="Arial"/>
              </w:rPr>
              <w:t>24.3 (20.6,</w:t>
            </w:r>
            <w:r>
              <w:rPr>
                <w:rFonts w:cs="Arial"/>
              </w:rPr>
              <w:t xml:space="preserve"> </w:t>
            </w:r>
            <w:r w:rsidRPr="00A0121A">
              <w:rPr>
                <w:rFonts w:cs="Arial"/>
              </w:rPr>
              <w:t>28.5)</w:t>
            </w:r>
          </w:p>
        </w:tc>
      </w:tr>
    </w:tbl>
    <w:p w14:paraId="5046DD61" w14:textId="77777777" w:rsidR="009A6E70" w:rsidRPr="006A3EA0" w:rsidRDefault="009A6E70" w:rsidP="009A6E70">
      <w:pPr>
        <w:pStyle w:val="TableNotes"/>
      </w:pPr>
      <w:r w:rsidRPr="006A3EA0">
        <w:t>Notes</w:t>
      </w:r>
    </w:p>
    <w:p w14:paraId="49A7B5F8" w14:textId="77777777" w:rsidR="009A6E70" w:rsidRPr="004C7947" w:rsidRDefault="009A6E70" w:rsidP="009A6E70">
      <w:pPr>
        <w:pStyle w:val="TableNotes"/>
      </w:pPr>
      <w:r w:rsidRPr="004C7947">
        <w:t>Denominator: Entire cohort</w:t>
      </w:r>
      <w:r>
        <w:t>.</w:t>
      </w:r>
    </w:p>
    <w:p w14:paraId="41FCBBDE" w14:textId="77777777" w:rsidR="009A6E70" w:rsidRPr="004C7947" w:rsidRDefault="009A6E70" w:rsidP="009A6E70">
      <w:pPr>
        <w:pStyle w:val="TableNotes"/>
      </w:pPr>
      <w:r w:rsidRPr="004C7947">
        <w:t>Note: Based on weighted counts, 170 (0.7%) Transitioned ADF and 897 (1.7%) 2015 Regular ADF had a missing value for this question.</w:t>
      </w:r>
      <w:r>
        <w:t xml:space="preserve"> </w:t>
      </w:r>
      <w:r w:rsidRPr="004C7947">
        <w:t>However, distributions are calculated by including those with a missing value to allow for correct weighted totals.</w:t>
      </w:r>
    </w:p>
    <w:p w14:paraId="17C00626" w14:textId="77777777" w:rsidR="009A6E70" w:rsidRPr="004C7947" w:rsidRDefault="009A6E70" w:rsidP="009A6E70">
      <w:pPr>
        <w:pStyle w:val="TableNotes"/>
      </w:pPr>
      <w:r w:rsidRPr="004C7947">
        <w:t>95%CI</w:t>
      </w:r>
      <w:r>
        <w:t xml:space="preserve"> =</w:t>
      </w:r>
      <w:r w:rsidRPr="004C7947">
        <w:t xml:space="preserve"> 95% </w:t>
      </w:r>
      <w:r>
        <w:t>confidence interval.</w:t>
      </w:r>
    </w:p>
    <w:p w14:paraId="3CB892C2" w14:textId="77777777" w:rsidR="009A6E70" w:rsidRDefault="009A6E70" w:rsidP="009A6E70">
      <w:pPr>
        <w:pStyle w:val="TableNotes"/>
      </w:pPr>
      <w:r w:rsidRPr="004C7947">
        <w:t>For a full description of odds ratios, interpretation and strength of association</w:t>
      </w:r>
      <w:r>
        <w:t>,</w:t>
      </w:r>
      <w:r w:rsidRPr="004C7947">
        <w:t xml:space="preserve"> please refer to Table B.1 </w:t>
      </w:r>
      <w:r w:rsidRPr="00BB1B84">
        <w:t xml:space="preserve">in </w:t>
      </w:r>
      <w:r w:rsidR="00374073">
        <w:t>Annex </w:t>
      </w:r>
      <w:r>
        <w:t>B, Odds ratio table.</w:t>
      </w:r>
    </w:p>
    <w:p w14:paraId="0FE2E3BD" w14:textId="1620C0C4" w:rsidR="009A6E70" w:rsidRPr="00A0121A" w:rsidRDefault="009A6E70" w:rsidP="009A6E70">
      <w:pPr>
        <w:pStyle w:val="FigureName"/>
      </w:pPr>
      <w:bookmarkStart w:id="428" w:name="_Ref508181113"/>
      <w:bookmarkStart w:id="429" w:name="_Toc509922943"/>
      <w:bookmarkStart w:id="430" w:name="_Toc515374717"/>
      <w:bookmarkStart w:id="431" w:name="_Toc528932401"/>
      <w:bookmarkStart w:id="432" w:name="_Toc531858081"/>
      <w:r>
        <w:t xml:space="preserve">Figure </w:t>
      </w:r>
      <w:r>
        <w:rPr>
          <w:noProof/>
        </w:rPr>
        <w:t>4</w:t>
      </w:r>
      <w:r>
        <w:t>.</w:t>
      </w:r>
      <w:r>
        <w:rPr>
          <w:noProof/>
        </w:rPr>
        <w:t>9</w:t>
      </w:r>
      <w:bookmarkEnd w:id="428"/>
      <w:r>
        <w:tab/>
      </w:r>
      <w:r w:rsidRPr="002F7080">
        <w:t xml:space="preserve">Estimated proportion of Transitioned ADF and 2015 Regular ADF who indicated that they </w:t>
      </w:r>
      <w:r>
        <w:t>went</w:t>
      </w:r>
      <w:r w:rsidRPr="002F7080">
        <w:t xml:space="preserve"> online more often when going through a difficult time</w:t>
      </w:r>
      <w:bookmarkEnd w:id="429"/>
      <w:bookmarkEnd w:id="430"/>
      <w:bookmarkEnd w:id="431"/>
      <w:bookmarkEnd w:id="432"/>
    </w:p>
    <w:p w14:paraId="0E47732C" w14:textId="77777777" w:rsidR="009A6E70" w:rsidRPr="006722DB" w:rsidRDefault="006722DB" w:rsidP="006722DB">
      <w:pPr>
        <w:spacing w:after="360"/>
      </w:pPr>
      <w:r w:rsidRPr="00A0121A">
        <w:rPr>
          <w:noProof/>
          <w:lang w:eastAsia="en-AU"/>
        </w:rPr>
        <w:drawing>
          <wp:inline distT="0" distB="0" distL="0" distR="0" wp14:anchorId="764F79A4" wp14:editId="1FF402D2">
            <wp:extent cx="4572000" cy="2335942"/>
            <wp:effectExtent l="0" t="0" r="0" b="7620"/>
            <wp:docPr id="479" name="Picture 479" descr="Figure 4.9 Estimated proportion of Transitioned ADF and 2015 Regular ADF who indicated that they went online more often when going through a difficul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HealthSciences\SPHCP\CTSS\DATA REPOSITORY\TWRP\REPORT 5\FIGURE_5_9.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2335942"/>
                    </a:xfrm>
                    <a:prstGeom prst="rect">
                      <a:avLst/>
                    </a:prstGeom>
                    <a:noFill/>
                    <a:ln>
                      <a:noFill/>
                    </a:ln>
                  </pic:spPr>
                </pic:pic>
              </a:graphicData>
            </a:graphic>
          </wp:inline>
        </w:drawing>
      </w:r>
    </w:p>
    <w:p w14:paraId="661A2A96" w14:textId="77777777" w:rsidR="009A6E70" w:rsidRPr="007207AC" w:rsidRDefault="009A6E70" w:rsidP="009A6E70">
      <w:pPr>
        <w:pStyle w:val="Heading3"/>
        <w:numPr>
          <w:ilvl w:val="2"/>
          <w:numId w:val="1"/>
        </w:numPr>
      </w:pPr>
      <w:bookmarkStart w:id="433" w:name="_Toc509917435"/>
      <w:bookmarkStart w:id="434" w:name="_Toc515374477"/>
      <w:bookmarkStart w:id="435" w:name="_Toc518566366"/>
      <w:bookmarkStart w:id="436" w:name="_Toc528932662"/>
      <w:bookmarkStart w:id="437" w:name="_Toc531859199"/>
      <w:r w:rsidRPr="007207AC">
        <w:t>Going online when going through a difficult time makes me feel better</w:t>
      </w:r>
      <w:bookmarkEnd w:id="433"/>
      <w:bookmarkEnd w:id="434"/>
      <w:bookmarkEnd w:id="435"/>
      <w:bookmarkEnd w:id="436"/>
      <w:bookmarkEnd w:id="437"/>
    </w:p>
    <w:p w14:paraId="14E0A0E6" w14:textId="77777777" w:rsidR="009A6E70" w:rsidRPr="00BF0D8B" w:rsidRDefault="009A6E70" w:rsidP="006722DB">
      <w:pPr>
        <w:keepLines/>
      </w:pPr>
      <w:r>
        <w:t xml:space="preserve">A quarter of the </w:t>
      </w:r>
      <w:r w:rsidRPr="00077251">
        <w:t xml:space="preserve">Transitioned ADF and 2015 Regular ADF </w:t>
      </w:r>
      <w:r>
        <w:t>indicated</w:t>
      </w:r>
      <w:r w:rsidRPr="00077251">
        <w:t xml:space="preserve"> that when they </w:t>
      </w:r>
      <w:r>
        <w:t>were</w:t>
      </w:r>
      <w:r w:rsidRPr="00077251">
        <w:t xml:space="preserve"> going through a difficult time</w:t>
      </w:r>
      <w:r>
        <w:t>,</w:t>
      </w:r>
      <w:r w:rsidRPr="00077251">
        <w:t xml:space="preserve"> </w:t>
      </w:r>
      <w:r>
        <w:t xml:space="preserve">going online made them </w:t>
      </w:r>
      <w:r w:rsidRPr="00077251">
        <w:t>feel better</w:t>
      </w:r>
      <w:r>
        <w:t xml:space="preserve"> (Table 4.10</w:t>
      </w:r>
      <w:r w:rsidRPr="00077251">
        <w:t xml:space="preserve"> and </w:t>
      </w:r>
      <w:r>
        <w:t>Figure 4.10)</w:t>
      </w:r>
      <w:r w:rsidRPr="00077251">
        <w:t xml:space="preserve">. There were no significant </w:t>
      </w:r>
      <w:r>
        <w:t>differences between the Transitioned ADF and the 2015 Regular ADF.</w:t>
      </w:r>
    </w:p>
    <w:p w14:paraId="08895A52" w14:textId="77777777" w:rsidR="009A6E70" w:rsidRPr="00077251" w:rsidRDefault="009A6E70" w:rsidP="009A6E70">
      <w:pPr>
        <w:pStyle w:val="TableName"/>
      </w:pPr>
      <w:bookmarkStart w:id="438" w:name="_Ref508181135"/>
      <w:bookmarkStart w:id="439" w:name="_Toc509922870"/>
      <w:bookmarkStart w:id="440" w:name="_Toc515374645"/>
      <w:bookmarkStart w:id="441" w:name="_Toc528932319"/>
      <w:bookmarkStart w:id="442" w:name="_Toc531857998"/>
      <w:r>
        <w:t xml:space="preserve">Table </w:t>
      </w:r>
      <w:r>
        <w:rPr>
          <w:noProof/>
        </w:rPr>
        <w:t>4</w:t>
      </w:r>
      <w:r>
        <w:t>.</w:t>
      </w:r>
      <w:r>
        <w:rPr>
          <w:noProof/>
        </w:rPr>
        <w:t>10</w:t>
      </w:r>
      <w:bookmarkEnd w:id="438"/>
      <w:r>
        <w:tab/>
      </w:r>
      <w:r w:rsidRPr="002F7080">
        <w:t xml:space="preserve">Estimated proportion of Transitioned ADF and 2015 Regular ADF who indicated that when they </w:t>
      </w:r>
      <w:r>
        <w:t>were</w:t>
      </w:r>
      <w:r w:rsidRPr="002F7080">
        <w:t xml:space="preserve"> going through a difficult </w:t>
      </w:r>
      <w:r>
        <w:t>time, going online made them</w:t>
      </w:r>
      <w:r w:rsidRPr="002F7080">
        <w:t xml:space="preserve"> feel better</w:t>
      </w:r>
      <w:bookmarkEnd w:id="439"/>
      <w:bookmarkEnd w:id="440"/>
      <w:bookmarkEnd w:id="441"/>
      <w:bookmarkEnd w:id="442"/>
    </w:p>
    <w:tbl>
      <w:tblPr>
        <w:tblStyle w:val="TWRPTable"/>
        <w:tblW w:w="5000" w:type="pct"/>
        <w:tblLayout w:type="fixed"/>
        <w:tblCellMar>
          <w:left w:w="115" w:type="dxa"/>
          <w:right w:w="115" w:type="dxa"/>
        </w:tblCellMar>
        <w:tblLook w:val="0000" w:firstRow="0" w:lastRow="0" w:firstColumn="0" w:lastColumn="0" w:noHBand="0" w:noVBand="0"/>
        <w:tblDescription w:val="Table 4.10 Estimated proportion of Transitioned ADF and 2015 Regular ADF who indicated that when they were going through a difficult time, going online made them feel better"/>
      </w:tblPr>
      <w:tblGrid>
        <w:gridCol w:w="1757"/>
        <w:gridCol w:w="700"/>
        <w:gridCol w:w="872"/>
        <w:gridCol w:w="1094"/>
        <w:gridCol w:w="650"/>
        <w:gridCol w:w="872"/>
        <w:gridCol w:w="1144"/>
      </w:tblGrid>
      <w:tr w:rsidR="006722DB" w:rsidRPr="00A0121A" w14:paraId="42C66781" w14:textId="77777777" w:rsidTr="006722DB">
        <w:trPr>
          <w:cantSplit/>
          <w:tblHeader/>
        </w:trPr>
        <w:tc>
          <w:tcPr>
            <w:tcW w:w="1825" w:type="dxa"/>
            <w:vMerge w:val="restart"/>
            <w:tcBorders>
              <w:top w:val="single" w:sz="4" w:space="0" w:color="000000"/>
            </w:tcBorders>
            <w:vAlign w:val="bottom"/>
          </w:tcPr>
          <w:p w14:paraId="185AA933" w14:textId="77777777" w:rsidR="006722DB" w:rsidRPr="00516640" w:rsidRDefault="006722DB" w:rsidP="006722DB">
            <w:pPr>
              <w:pStyle w:val="TableText"/>
              <w:rPr>
                <w:b/>
              </w:rPr>
            </w:pPr>
            <w:r w:rsidRPr="00516640">
              <w:rPr>
                <w:rFonts w:eastAsia="Calibri" w:cs="ArialMT"/>
                <w:b/>
              </w:rPr>
              <w:t>When I am going through a difficult time, going online makes me feel better</w:t>
            </w:r>
            <w:r>
              <w:rPr>
                <w:rFonts w:eastAsia="Calibri" w:cs="ArialMT"/>
                <w:b/>
              </w:rPr>
              <w:t>.</w:t>
            </w:r>
          </w:p>
        </w:tc>
        <w:tc>
          <w:tcPr>
            <w:tcW w:w="2752" w:type="dxa"/>
            <w:gridSpan w:val="3"/>
            <w:tcBorders>
              <w:top w:val="single" w:sz="4" w:space="0" w:color="000000"/>
              <w:bottom w:val="single" w:sz="4" w:space="0" w:color="000000"/>
            </w:tcBorders>
          </w:tcPr>
          <w:p w14:paraId="6919BFD9" w14:textId="77777777" w:rsidR="006722DB" w:rsidRPr="00516640" w:rsidRDefault="006722DB" w:rsidP="006722DB">
            <w:pPr>
              <w:pStyle w:val="TableText"/>
              <w:jc w:val="center"/>
              <w:rPr>
                <w:b/>
              </w:rPr>
            </w:pPr>
            <w:r w:rsidRPr="00516640">
              <w:rPr>
                <w:b/>
              </w:rPr>
              <w:t>Transitioned ADF</w:t>
            </w:r>
            <w:r>
              <w:rPr>
                <w:b/>
              </w:rPr>
              <w:br/>
            </w:r>
            <w:r w:rsidRPr="00516640">
              <w:rPr>
                <w:b/>
              </w:rPr>
              <w:t>n=24</w:t>
            </w:r>
            <w:r>
              <w:rPr>
                <w:b/>
              </w:rPr>
              <w:t>,</w:t>
            </w:r>
            <w:r w:rsidRPr="00516640">
              <w:rPr>
                <w:b/>
              </w:rPr>
              <w:t>932</w:t>
            </w:r>
          </w:p>
        </w:tc>
        <w:tc>
          <w:tcPr>
            <w:tcW w:w="2752" w:type="dxa"/>
            <w:gridSpan w:val="3"/>
            <w:tcBorders>
              <w:top w:val="single" w:sz="4" w:space="0" w:color="000000"/>
              <w:bottom w:val="single" w:sz="4" w:space="0" w:color="000000"/>
            </w:tcBorders>
          </w:tcPr>
          <w:p w14:paraId="1BE1DC20" w14:textId="77777777" w:rsidR="006722DB" w:rsidRPr="00516640" w:rsidRDefault="006722DB" w:rsidP="006722DB">
            <w:pPr>
              <w:pStyle w:val="TableText"/>
              <w:jc w:val="center"/>
              <w:rPr>
                <w:b/>
              </w:rPr>
            </w:pPr>
            <w:r w:rsidRPr="00516640">
              <w:rPr>
                <w:b/>
              </w:rPr>
              <w:t>2015 Regular ADF</w:t>
            </w:r>
            <w:r>
              <w:rPr>
                <w:b/>
              </w:rPr>
              <w:br/>
            </w:r>
            <w:r w:rsidRPr="00516640">
              <w:rPr>
                <w:b/>
              </w:rPr>
              <w:t>n=52</w:t>
            </w:r>
            <w:r>
              <w:rPr>
                <w:b/>
              </w:rPr>
              <w:t>,</w:t>
            </w:r>
            <w:r w:rsidRPr="00516640">
              <w:rPr>
                <w:b/>
              </w:rPr>
              <w:t>500</w:t>
            </w:r>
          </w:p>
        </w:tc>
      </w:tr>
      <w:tr w:rsidR="006722DB" w:rsidRPr="00A0121A" w14:paraId="27D0F97B" w14:textId="77777777" w:rsidTr="006722DB">
        <w:trPr>
          <w:cantSplit/>
          <w:tblHeader/>
        </w:trPr>
        <w:tc>
          <w:tcPr>
            <w:tcW w:w="1825" w:type="dxa"/>
            <w:vMerge/>
            <w:tcBorders>
              <w:bottom w:val="single" w:sz="4" w:space="0" w:color="000000"/>
            </w:tcBorders>
          </w:tcPr>
          <w:p w14:paraId="507D9C53" w14:textId="77777777" w:rsidR="006722DB" w:rsidRPr="00516640" w:rsidRDefault="006722DB" w:rsidP="00EB155C">
            <w:pPr>
              <w:pStyle w:val="TableText"/>
              <w:rPr>
                <w:rFonts w:eastAsia="Calibri" w:cs="Arial"/>
                <w:b/>
              </w:rPr>
            </w:pPr>
          </w:p>
        </w:tc>
        <w:tc>
          <w:tcPr>
            <w:tcW w:w="720" w:type="dxa"/>
            <w:tcBorders>
              <w:top w:val="single" w:sz="4" w:space="0" w:color="000000"/>
              <w:bottom w:val="single" w:sz="4" w:space="0" w:color="000000"/>
            </w:tcBorders>
          </w:tcPr>
          <w:p w14:paraId="7DE2FB88" w14:textId="77777777" w:rsidR="006722DB" w:rsidRPr="00516640" w:rsidRDefault="006722DB" w:rsidP="00EB155C">
            <w:pPr>
              <w:pStyle w:val="TableText"/>
              <w:jc w:val="right"/>
              <w:rPr>
                <w:rFonts w:eastAsia="Calibri" w:cs="Arial"/>
                <w:b/>
              </w:rPr>
            </w:pPr>
            <w:r w:rsidRPr="00516640">
              <w:rPr>
                <w:rFonts w:eastAsia="Calibri" w:cs="Arial"/>
                <w:b/>
              </w:rPr>
              <w:t>n</w:t>
            </w:r>
          </w:p>
        </w:tc>
        <w:tc>
          <w:tcPr>
            <w:tcW w:w="900" w:type="dxa"/>
            <w:tcBorders>
              <w:top w:val="single" w:sz="4" w:space="0" w:color="000000"/>
              <w:bottom w:val="single" w:sz="4" w:space="0" w:color="000000"/>
            </w:tcBorders>
          </w:tcPr>
          <w:p w14:paraId="07D89961" w14:textId="77777777" w:rsidR="006722DB" w:rsidRPr="00516640" w:rsidRDefault="006722DB" w:rsidP="00EB155C">
            <w:pPr>
              <w:pStyle w:val="TableText"/>
              <w:jc w:val="right"/>
              <w:rPr>
                <w:rFonts w:eastAsia="Calibri" w:cs="Arial"/>
                <w:b/>
              </w:rPr>
            </w:pPr>
            <w:r w:rsidRPr="00516640">
              <w:rPr>
                <w:rFonts w:eastAsia="Calibri" w:cs="Arial"/>
                <w:b/>
              </w:rPr>
              <w:t>Weighted n</w:t>
            </w:r>
          </w:p>
        </w:tc>
        <w:tc>
          <w:tcPr>
            <w:tcW w:w="1132" w:type="dxa"/>
            <w:tcBorders>
              <w:top w:val="single" w:sz="4" w:space="0" w:color="000000"/>
              <w:bottom w:val="single" w:sz="4" w:space="0" w:color="000000"/>
            </w:tcBorders>
          </w:tcPr>
          <w:p w14:paraId="1B80D337" w14:textId="77777777" w:rsidR="006722DB" w:rsidRPr="00516640" w:rsidRDefault="006722DB" w:rsidP="00EB155C">
            <w:pPr>
              <w:pStyle w:val="TableText"/>
              <w:jc w:val="right"/>
              <w:rPr>
                <w:rFonts w:eastAsia="Calibri" w:cs="Arial"/>
                <w:b/>
              </w:rPr>
            </w:pPr>
            <w:r w:rsidRPr="00516640">
              <w:rPr>
                <w:rFonts w:eastAsia="Calibri" w:cs="Arial"/>
                <w:b/>
              </w:rPr>
              <w:t>% (95%CI)</w:t>
            </w:r>
          </w:p>
        </w:tc>
        <w:tc>
          <w:tcPr>
            <w:tcW w:w="668" w:type="dxa"/>
            <w:tcBorders>
              <w:top w:val="single" w:sz="4" w:space="0" w:color="000000"/>
              <w:bottom w:val="single" w:sz="4" w:space="0" w:color="000000"/>
            </w:tcBorders>
          </w:tcPr>
          <w:p w14:paraId="3833A891" w14:textId="77777777" w:rsidR="006722DB" w:rsidRPr="00516640" w:rsidRDefault="006722DB" w:rsidP="00EB155C">
            <w:pPr>
              <w:pStyle w:val="TableText"/>
              <w:jc w:val="right"/>
              <w:rPr>
                <w:rFonts w:eastAsia="Calibri" w:cs="Arial"/>
                <w:b/>
              </w:rPr>
            </w:pPr>
            <w:r w:rsidRPr="00516640">
              <w:rPr>
                <w:rFonts w:eastAsia="Calibri" w:cs="Arial"/>
                <w:b/>
              </w:rPr>
              <w:t>n</w:t>
            </w:r>
          </w:p>
        </w:tc>
        <w:tc>
          <w:tcPr>
            <w:tcW w:w="900" w:type="dxa"/>
            <w:tcBorders>
              <w:top w:val="single" w:sz="4" w:space="0" w:color="000000"/>
              <w:bottom w:val="single" w:sz="4" w:space="0" w:color="000000"/>
            </w:tcBorders>
          </w:tcPr>
          <w:p w14:paraId="30D6965F" w14:textId="77777777" w:rsidR="006722DB" w:rsidRPr="00516640" w:rsidRDefault="006722DB" w:rsidP="00EB155C">
            <w:pPr>
              <w:pStyle w:val="TableText"/>
              <w:jc w:val="right"/>
              <w:rPr>
                <w:rFonts w:eastAsia="Calibri" w:cs="Arial"/>
                <w:b/>
              </w:rPr>
            </w:pPr>
            <w:r w:rsidRPr="00516640">
              <w:rPr>
                <w:rFonts w:eastAsia="Calibri" w:cs="Arial"/>
                <w:b/>
              </w:rPr>
              <w:t>Weighted n</w:t>
            </w:r>
          </w:p>
        </w:tc>
        <w:tc>
          <w:tcPr>
            <w:tcW w:w="1184" w:type="dxa"/>
            <w:tcBorders>
              <w:top w:val="single" w:sz="4" w:space="0" w:color="000000"/>
              <w:bottom w:val="single" w:sz="4" w:space="0" w:color="000000"/>
            </w:tcBorders>
          </w:tcPr>
          <w:p w14:paraId="3353903B" w14:textId="77777777" w:rsidR="006722DB" w:rsidRPr="00516640" w:rsidRDefault="006722DB" w:rsidP="00EB155C">
            <w:pPr>
              <w:pStyle w:val="TableText"/>
              <w:jc w:val="right"/>
              <w:rPr>
                <w:rFonts w:eastAsia="Calibri" w:cs="Arial"/>
                <w:b/>
              </w:rPr>
            </w:pPr>
            <w:r w:rsidRPr="00516640">
              <w:rPr>
                <w:rFonts w:eastAsia="Calibri" w:cs="Arial"/>
                <w:b/>
              </w:rPr>
              <w:t>% (95%CI)</w:t>
            </w:r>
          </w:p>
        </w:tc>
      </w:tr>
      <w:tr w:rsidR="009A6E70" w:rsidRPr="00A0121A" w14:paraId="572B2658"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tcBorders>
          </w:tcPr>
          <w:p w14:paraId="16FFB98E" w14:textId="77777777" w:rsidR="009A6E70" w:rsidRPr="00A0121A" w:rsidRDefault="009A6E70" w:rsidP="00EB155C">
            <w:pPr>
              <w:pStyle w:val="TableText"/>
              <w:rPr>
                <w:rFonts w:eastAsia="Calibri" w:cs="Arial"/>
              </w:rPr>
            </w:pPr>
            <w:r w:rsidRPr="00A0121A">
              <w:rPr>
                <w:rFonts w:cs="Arial"/>
              </w:rPr>
              <w:t>Not true</w:t>
            </w:r>
          </w:p>
        </w:tc>
        <w:tc>
          <w:tcPr>
            <w:tcW w:w="720" w:type="dxa"/>
            <w:tcBorders>
              <w:top w:val="single" w:sz="4" w:space="0" w:color="000000"/>
            </w:tcBorders>
          </w:tcPr>
          <w:p w14:paraId="6B7E3634" w14:textId="77777777" w:rsidR="009A6E70" w:rsidRPr="00A0121A" w:rsidRDefault="009A6E70" w:rsidP="00EB155C">
            <w:pPr>
              <w:pStyle w:val="TableText"/>
              <w:jc w:val="right"/>
              <w:rPr>
                <w:rFonts w:cs="Arial"/>
              </w:rPr>
            </w:pPr>
            <w:r w:rsidRPr="00A0121A">
              <w:rPr>
                <w:rFonts w:cs="Arial"/>
              </w:rPr>
              <w:t>2336</w:t>
            </w:r>
          </w:p>
        </w:tc>
        <w:tc>
          <w:tcPr>
            <w:tcW w:w="900" w:type="dxa"/>
            <w:tcBorders>
              <w:top w:val="single" w:sz="4" w:space="0" w:color="000000"/>
            </w:tcBorders>
          </w:tcPr>
          <w:p w14:paraId="63F25CE1" w14:textId="77777777" w:rsidR="009A6E70" w:rsidRPr="00A0121A" w:rsidRDefault="009A6E70" w:rsidP="00EB155C">
            <w:pPr>
              <w:pStyle w:val="TableText"/>
              <w:jc w:val="right"/>
              <w:rPr>
                <w:rFonts w:cs="Arial"/>
              </w:rPr>
            </w:pPr>
            <w:r w:rsidRPr="00A0121A">
              <w:rPr>
                <w:rFonts w:cs="Arial"/>
              </w:rPr>
              <w:t>16</w:t>
            </w:r>
            <w:r>
              <w:rPr>
                <w:rFonts w:cs="Arial"/>
              </w:rPr>
              <w:t>,</w:t>
            </w:r>
            <w:r w:rsidRPr="00A0121A">
              <w:rPr>
                <w:rFonts w:cs="Arial"/>
              </w:rPr>
              <w:t>264</w:t>
            </w:r>
          </w:p>
        </w:tc>
        <w:tc>
          <w:tcPr>
            <w:tcW w:w="1132" w:type="dxa"/>
            <w:tcBorders>
              <w:top w:val="single" w:sz="4" w:space="0" w:color="000000"/>
            </w:tcBorders>
          </w:tcPr>
          <w:p w14:paraId="63E20478" w14:textId="77777777" w:rsidR="009A6E70" w:rsidRPr="00A0121A" w:rsidRDefault="009A6E70" w:rsidP="00EB155C">
            <w:pPr>
              <w:pStyle w:val="TableText"/>
              <w:jc w:val="right"/>
              <w:rPr>
                <w:rFonts w:eastAsia="Calibri" w:cs="Arial"/>
              </w:rPr>
            </w:pPr>
            <w:r w:rsidRPr="00A0121A">
              <w:rPr>
                <w:rFonts w:cs="Arial"/>
              </w:rPr>
              <w:t>65.2 (63.2,</w:t>
            </w:r>
            <w:r>
              <w:rPr>
                <w:rFonts w:cs="Arial"/>
              </w:rPr>
              <w:t xml:space="preserve"> </w:t>
            </w:r>
            <w:r w:rsidRPr="00A0121A">
              <w:rPr>
                <w:rFonts w:cs="Arial"/>
              </w:rPr>
              <w:t>67.2)</w:t>
            </w:r>
          </w:p>
        </w:tc>
        <w:tc>
          <w:tcPr>
            <w:tcW w:w="668" w:type="dxa"/>
            <w:tcBorders>
              <w:top w:val="single" w:sz="4" w:space="0" w:color="000000"/>
            </w:tcBorders>
          </w:tcPr>
          <w:p w14:paraId="70D25C89" w14:textId="77777777" w:rsidR="009A6E70" w:rsidRPr="00A0121A" w:rsidRDefault="009A6E70" w:rsidP="00EB155C">
            <w:pPr>
              <w:pStyle w:val="TableText"/>
              <w:jc w:val="right"/>
              <w:rPr>
                <w:rFonts w:eastAsia="Calibri" w:cs="Arial"/>
              </w:rPr>
            </w:pPr>
            <w:r w:rsidRPr="00A0121A">
              <w:rPr>
                <w:rFonts w:cs="Arial"/>
              </w:rPr>
              <w:t>5222</w:t>
            </w:r>
          </w:p>
        </w:tc>
        <w:tc>
          <w:tcPr>
            <w:tcW w:w="900" w:type="dxa"/>
            <w:tcBorders>
              <w:top w:val="single" w:sz="4" w:space="0" w:color="000000"/>
            </w:tcBorders>
          </w:tcPr>
          <w:p w14:paraId="5134F804" w14:textId="77777777" w:rsidR="009A6E70" w:rsidRPr="00A0121A" w:rsidRDefault="009A6E70" w:rsidP="00EB155C">
            <w:pPr>
              <w:pStyle w:val="TableText"/>
              <w:jc w:val="right"/>
              <w:rPr>
                <w:rFonts w:eastAsia="Calibri" w:cs="Arial"/>
              </w:rPr>
            </w:pPr>
            <w:r w:rsidRPr="00A0121A">
              <w:rPr>
                <w:rFonts w:cs="Arial"/>
              </w:rPr>
              <w:t>32</w:t>
            </w:r>
            <w:r>
              <w:rPr>
                <w:rFonts w:cs="Arial"/>
              </w:rPr>
              <w:t>,</w:t>
            </w:r>
            <w:r w:rsidRPr="00A0121A">
              <w:rPr>
                <w:rFonts w:cs="Arial"/>
              </w:rPr>
              <w:t>980</w:t>
            </w:r>
          </w:p>
        </w:tc>
        <w:tc>
          <w:tcPr>
            <w:tcW w:w="1184" w:type="dxa"/>
            <w:tcBorders>
              <w:top w:val="single" w:sz="4" w:space="0" w:color="000000"/>
            </w:tcBorders>
          </w:tcPr>
          <w:p w14:paraId="781BA238" w14:textId="77777777" w:rsidR="009A6E70" w:rsidRPr="00A0121A" w:rsidRDefault="009A6E70" w:rsidP="00EB155C">
            <w:pPr>
              <w:pStyle w:val="TableText"/>
              <w:jc w:val="right"/>
              <w:rPr>
                <w:rFonts w:eastAsia="Calibri" w:cs="Arial"/>
              </w:rPr>
            </w:pPr>
            <w:r w:rsidRPr="00A0121A">
              <w:rPr>
                <w:rFonts w:cs="Arial"/>
              </w:rPr>
              <w:t>62.8 (58.6,</w:t>
            </w:r>
            <w:r>
              <w:rPr>
                <w:rFonts w:cs="Arial"/>
              </w:rPr>
              <w:t xml:space="preserve"> </w:t>
            </w:r>
            <w:r w:rsidRPr="00A0121A">
              <w:rPr>
                <w:rFonts w:cs="Arial"/>
              </w:rPr>
              <w:t>66.9)</w:t>
            </w:r>
          </w:p>
        </w:tc>
      </w:tr>
      <w:tr w:rsidR="009A6E70" w:rsidRPr="00A0121A" w14:paraId="391A2124" w14:textId="77777777" w:rsidTr="006722DB">
        <w:trPr>
          <w:cantSplit/>
        </w:trPr>
        <w:tc>
          <w:tcPr>
            <w:tcW w:w="1825" w:type="dxa"/>
          </w:tcPr>
          <w:p w14:paraId="2D6ADC4E" w14:textId="77777777" w:rsidR="009A6E70" w:rsidRPr="00A0121A" w:rsidRDefault="009A6E70" w:rsidP="00EB155C">
            <w:pPr>
              <w:pStyle w:val="TableText"/>
              <w:rPr>
                <w:rFonts w:eastAsia="Calibri" w:cs="Arial"/>
              </w:rPr>
            </w:pPr>
            <w:r w:rsidRPr="00A0121A">
              <w:rPr>
                <w:rFonts w:cs="Arial"/>
              </w:rPr>
              <w:t xml:space="preserve">A bit true </w:t>
            </w:r>
          </w:p>
        </w:tc>
        <w:tc>
          <w:tcPr>
            <w:tcW w:w="720" w:type="dxa"/>
          </w:tcPr>
          <w:p w14:paraId="77926A1C" w14:textId="77777777" w:rsidR="009A6E70" w:rsidRPr="00A0121A" w:rsidRDefault="009A6E70" w:rsidP="00EB155C">
            <w:pPr>
              <w:pStyle w:val="TableText"/>
              <w:jc w:val="right"/>
              <w:rPr>
                <w:rFonts w:eastAsia="Calibri" w:cs="Arial"/>
              </w:rPr>
            </w:pPr>
            <w:r w:rsidRPr="00A0121A">
              <w:rPr>
                <w:rFonts w:cs="Arial"/>
              </w:rPr>
              <w:t>534</w:t>
            </w:r>
          </w:p>
        </w:tc>
        <w:tc>
          <w:tcPr>
            <w:tcW w:w="900" w:type="dxa"/>
          </w:tcPr>
          <w:p w14:paraId="46FDA2D7" w14:textId="77777777" w:rsidR="009A6E70" w:rsidRPr="00A0121A" w:rsidRDefault="009A6E70" w:rsidP="00EB155C">
            <w:pPr>
              <w:pStyle w:val="TableText"/>
              <w:jc w:val="right"/>
              <w:rPr>
                <w:rFonts w:eastAsia="Calibri" w:cs="Arial"/>
              </w:rPr>
            </w:pPr>
            <w:r w:rsidRPr="00A0121A">
              <w:rPr>
                <w:rFonts w:cs="Arial"/>
              </w:rPr>
              <w:t>4087</w:t>
            </w:r>
          </w:p>
        </w:tc>
        <w:tc>
          <w:tcPr>
            <w:tcW w:w="1132" w:type="dxa"/>
          </w:tcPr>
          <w:p w14:paraId="0B5CF6E3" w14:textId="77777777" w:rsidR="009A6E70" w:rsidRPr="00A0121A" w:rsidRDefault="009A6E70" w:rsidP="00EB155C">
            <w:pPr>
              <w:pStyle w:val="TableText"/>
              <w:jc w:val="right"/>
              <w:rPr>
                <w:rFonts w:eastAsia="Calibri" w:cs="Arial"/>
              </w:rPr>
            </w:pPr>
            <w:r w:rsidRPr="00A0121A">
              <w:rPr>
                <w:rFonts w:cs="Arial"/>
              </w:rPr>
              <w:t>16.4 (14.9,</w:t>
            </w:r>
            <w:r>
              <w:rPr>
                <w:rFonts w:cs="Arial"/>
              </w:rPr>
              <w:t xml:space="preserve"> </w:t>
            </w:r>
            <w:r w:rsidRPr="00A0121A">
              <w:rPr>
                <w:rFonts w:cs="Arial"/>
              </w:rPr>
              <w:t>18.1)</w:t>
            </w:r>
          </w:p>
        </w:tc>
        <w:tc>
          <w:tcPr>
            <w:tcW w:w="668" w:type="dxa"/>
          </w:tcPr>
          <w:p w14:paraId="087821B5" w14:textId="77777777" w:rsidR="009A6E70" w:rsidRPr="00A0121A" w:rsidRDefault="009A6E70" w:rsidP="00EB155C">
            <w:pPr>
              <w:pStyle w:val="TableText"/>
              <w:jc w:val="right"/>
              <w:rPr>
                <w:rFonts w:eastAsia="Calibri" w:cs="Arial"/>
              </w:rPr>
            </w:pPr>
            <w:r w:rsidRPr="00A0121A">
              <w:rPr>
                <w:rFonts w:cs="Arial"/>
              </w:rPr>
              <w:t>964</w:t>
            </w:r>
          </w:p>
        </w:tc>
        <w:tc>
          <w:tcPr>
            <w:tcW w:w="900" w:type="dxa"/>
          </w:tcPr>
          <w:p w14:paraId="03B1DBEC" w14:textId="77777777" w:rsidR="009A6E70" w:rsidRPr="00A0121A" w:rsidRDefault="009A6E70" w:rsidP="00EB155C">
            <w:pPr>
              <w:pStyle w:val="TableText"/>
              <w:jc w:val="right"/>
              <w:rPr>
                <w:rFonts w:eastAsia="Calibri" w:cs="Arial"/>
              </w:rPr>
            </w:pPr>
            <w:r w:rsidRPr="00A0121A">
              <w:rPr>
                <w:rFonts w:cs="Arial"/>
              </w:rPr>
              <w:t>9129</w:t>
            </w:r>
          </w:p>
        </w:tc>
        <w:tc>
          <w:tcPr>
            <w:tcW w:w="1184" w:type="dxa"/>
          </w:tcPr>
          <w:p w14:paraId="594EA4EE" w14:textId="77777777" w:rsidR="009A6E70" w:rsidRPr="00A0121A" w:rsidRDefault="009A6E70" w:rsidP="00EB155C">
            <w:pPr>
              <w:pStyle w:val="TableText"/>
              <w:jc w:val="right"/>
              <w:rPr>
                <w:rFonts w:eastAsia="Calibri" w:cs="Arial"/>
              </w:rPr>
            </w:pPr>
            <w:r w:rsidRPr="00A0121A">
              <w:rPr>
                <w:rFonts w:cs="Arial"/>
              </w:rPr>
              <w:t>17.4 (14.1,</w:t>
            </w:r>
            <w:r>
              <w:rPr>
                <w:rFonts w:cs="Arial"/>
              </w:rPr>
              <w:t xml:space="preserve"> </w:t>
            </w:r>
            <w:r w:rsidRPr="00A0121A">
              <w:rPr>
                <w:rFonts w:cs="Arial"/>
              </w:rPr>
              <w:t>21.3)</w:t>
            </w:r>
          </w:p>
        </w:tc>
      </w:tr>
      <w:tr w:rsidR="009A6E70" w:rsidRPr="00A0121A" w14:paraId="5FD84132"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3A764462" w14:textId="77777777" w:rsidR="009A6E70" w:rsidRPr="00A0121A" w:rsidRDefault="009A6E70" w:rsidP="00EB155C">
            <w:pPr>
              <w:pStyle w:val="TableText"/>
              <w:rPr>
                <w:rFonts w:eastAsia="Calibri" w:cs="ArialMT"/>
              </w:rPr>
            </w:pPr>
            <w:r w:rsidRPr="00A0121A">
              <w:rPr>
                <w:rFonts w:cs="Arial"/>
              </w:rPr>
              <w:t>Very true</w:t>
            </w:r>
          </w:p>
        </w:tc>
        <w:tc>
          <w:tcPr>
            <w:tcW w:w="720" w:type="dxa"/>
          </w:tcPr>
          <w:p w14:paraId="662A496D" w14:textId="77777777" w:rsidR="009A6E70" w:rsidRPr="00A0121A" w:rsidRDefault="009A6E70" w:rsidP="00EB155C">
            <w:pPr>
              <w:pStyle w:val="TableText"/>
              <w:jc w:val="right"/>
              <w:rPr>
                <w:rFonts w:eastAsia="Calibri" w:cs="Arial"/>
              </w:rPr>
            </w:pPr>
            <w:r w:rsidRPr="00A0121A">
              <w:rPr>
                <w:rFonts w:cs="Arial"/>
              </w:rPr>
              <w:t>192</w:t>
            </w:r>
          </w:p>
        </w:tc>
        <w:tc>
          <w:tcPr>
            <w:tcW w:w="900" w:type="dxa"/>
          </w:tcPr>
          <w:p w14:paraId="7F4FD507" w14:textId="77777777" w:rsidR="009A6E70" w:rsidRPr="00A0121A" w:rsidRDefault="009A6E70" w:rsidP="00EB155C">
            <w:pPr>
              <w:pStyle w:val="TableText"/>
              <w:jc w:val="right"/>
              <w:rPr>
                <w:rFonts w:eastAsia="Calibri" w:cs="Arial"/>
              </w:rPr>
            </w:pPr>
            <w:r w:rsidRPr="00A0121A">
              <w:rPr>
                <w:rFonts w:cs="Arial"/>
              </w:rPr>
              <w:t>1735</w:t>
            </w:r>
          </w:p>
        </w:tc>
        <w:tc>
          <w:tcPr>
            <w:tcW w:w="1132" w:type="dxa"/>
          </w:tcPr>
          <w:p w14:paraId="34AC661B" w14:textId="77777777" w:rsidR="009A6E70" w:rsidRPr="00A0121A" w:rsidRDefault="009A6E70" w:rsidP="00EB155C">
            <w:pPr>
              <w:pStyle w:val="TableText"/>
              <w:jc w:val="right"/>
              <w:rPr>
                <w:rFonts w:eastAsia="Calibri" w:cs="Arial"/>
              </w:rPr>
            </w:pPr>
            <w:r w:rsidRPr="00A0121A">
              <w:rPr>
                <w:rFonts w:cs="Arial"/>
              </w:rPr>
              <w:t>7.0 (5.9,</w:t>
            </w:r>
            <w:r>
              <w:rPr>
                <w:rFonts w:cs="Arial"/>
              </w:rPr>
              <w:t xml:space="preserve"> </w:t>
            </w:r>
            <w:r w:rsidRPr="00A0121A">
              <w:rPr>
                <w:rFonts w:cs="Arial"/>
              </w:rPr>
              <w:t>8.2)</w:t>
            </w:r>
          </w:p>
        </w:tc>
        <w:tc>
          <w:tcPr>
            <w:tcW w:w="668" w:type="dxa"/>
          </w:tcPr>
          <w:p w14:paraId="54D5D753" w14:textId="77777777" w:rsidR="009A6E70" w:rsidRPr="00A0121A" w:rsidRDefault="009A6E70" w:rsidP="00EB155C">
            <w:pPr>
              <w:pStyle w:val="TableText"/>
              <w:jc w:val="right"/>
              <w:rPr>
                <w:rFonts w:eastAsia="Calibri" w:cs="Arial"/>
              </w:rPr>
            </w:pPr>
            <w:r w:rsidRPr="00A0121A">
              <w:rPr>
                <w:rFonts w:cs="Arial"/>
              </w:rPr>
              <w:t>242</w:t>
            </w:r>
          </w:p>
        </w:tc>
        <w:tc>
          <w:tcPr>
            <w:tcW w:w="900" w:type="dxa"/>
          </w:tcPr>
          <w:p w14:paraId="2AB269DD" w14:textId="77777777" w:rsidR="009A6E70" w:rsidRPr="00A0121A" w:rsidRDefault="009A6E70" w:rsidP="00EB155C">
            <w:pPr>
              <w:pStyle w:val="TableText"/>
              <w:jc w:val="right"/>
              <w:rPr>
                <w:rFonts w:eastAsia="Calibri" w:cs="Arial"/>
              </w:rPr>
            </w:pPr>
            <w:r w:rsidRPr="00A0121A">
              <w:rPr>
                <w:rFonts w:cs="Arial"/>
              </w:rPr>
              <w:t>2534</w:t>
            </w:r>
          </w:p>
        </w:tc>
        <w:tc>
          <w:tcPr>
            <w:tcW w:w="1184" w:type="dxa"/>
          </w:tcPr>
          <w:p w14:paraId="19940D8B" w14:textId="77777777" w:rsidR="009A6E70" w:rsidRPr="00A0121A" w:rsidRDefault="009A6E70" w:rsidP="00EB155C">
            <w:pPr>
              <w:pStyle w:val="TableText"/>
              <w:jc w:val="right"/>
              <w:rPr>
                <w:rFonts w:eastAsia="Calibri" w:cs="Arial"/>
              </w:rPr>
            </w:pPr>
            <w:r w:rsidRPr="00A0121A">
              <w:rPr>
                <w:rFonts w:cs="Arial"/>
              </w:rPr>
              <w:t>4.8 (3.2,</w:t>
            </w:r>
            <w:r>
              <w:rPr>
                <w:rFonts w:cs="Arial"/>
              </w:rPr>
              <w:t xml:space="preserve"> </w:t>
            </w:r>
            <w:r w:rsidRPr="00A0121A">
              <w:rPr>
                <w:rFonts w:cs="Arial"/>
              </w:rPr>
              <w:t>7.1)</w:t>
            </w:r>
          </w:p>
        </w:tc>
      </w:tr>
      <w:tr w:rsidR="009A6E70" w:rsidRPr="00A0121A" w14:paraId="391E0AD2" w14:textId="77777777" w:rsidTr="006722DB">
        <w:trPr>
          <w:cantSplit/>
        </w:trPr>
        <w:tc>
          <w:tcPr>
            <w:tcW w:w="1825" w:type="dxa"/>
            <w:tcBorders>
              <w:bottom w:val="single" w:sz="4" w:space="0" w:color="000000"/>
            </w:tcBorders>
          </w:tcPr>
          <w:p w14:paraId="064A01BF" w14:textId="77777777" w:rsidR="009A6E70" w:rsidRPr="00A0121A" w:rsidRDefault="009A6E70" w:rsidP="00EB155C">
            <w:pPr>
              <w:pStyle w:val="TableText"/>
              <w:rPr>
                <w:rFonts w:eastAsia="Calibri" w:cs="Arial"/>
              </w:rPr>
            </w:pPr>
            <w:r w:rsidRPr="00A0121A">
              <w:rPr>
                <w:rFonts w:cs="Arial"/>
              </w:rPr>
              <w:t>N/A</w:t>
            </w:r>
          </w:p>
        </w:tc>
        <w:tc>
          <w:tcPr>
            <w:tcW w:w="720" w:type="dxa"/>
            <w:tcBorders>
              <w:bottom w:val="single" w:sz="4" w:space="0" w:color="000000"/>
            </w:tcBorders>
          </w:tcPr>
          <w:p w14:paraId="6031A30C" w14:textId="77777777" w:rsidR="009A6E70" w:rsidRPr="00A0121A" w:rsidRDefault="009A6E70" w:rsidP="00EB155C">
            <w:pPr>
              <w:pStyle w:val="TableText"/>
              <w:jc w:val="right"/>
              <w:rPr>
                <w:rFonts w:cs="Arial"/>
              </w:rPr>
            </w:pPr>
            <w:r w:rsidRPr="00A0121A">
              <w:rPr>
                <w:rFonts w:cs="Arial"/>
              </w:rPr>
              <w:t>448</w:t>
            </w:r>
          </w:p>
        </w:tc>
        <w:tc>
          <w:tcPr>
            <w:tcW w:w="900" w:type="dxa"/>
            <w:tcBorders>
              <w:bottom w:val="single" w:sz="4" w:space="0" w:color="000000"/>
            </w:tcBorders>
          </w:tcPr>
          <w:p w14:paraId="6B48F912" w14:textId="77777777" w:rsidR="009A6E70" w:rsidRPr="00A0121A" w:rsidRDefault="009A6E70" w:rsidP="00EB155C">
            <w:pPr>
              <w:pStyle w:val="TableText"/>
              <w:jc w:val="right"/>
              <w:rPr>
                <w:rFonts w:eastAsia="Calibri" w:cs="Arial"/>
              </w:rPr>
            </w:pPr>
            <w:r w:rsidRPr="00A0121A">
              <w:rPr>
                <w:rFonts w:cs="Arial"/>
              </w:rPr>
              <w:t>2623</w:t>
            </w:r>
          </w:p>
        </w:tc>
        <w:tc>
          <w:tcPr>
            <w:tcW w:w="1132" w:type="dxa"/>
            <w:tcBorders>
              <w:bottom w:val="single" w:sz="4" w:space="0" w:color="000000"/>
            </w:tcBorders>
          </w:tcPr>
          <w:p w14:paraId="69880F16" w14:textId="77777777" w:rsidR="009A6E70" w:rsidRPr="00A0121A" w:rsidRDefault="009A6E70" w:rsidP="00EB155C">
            <w:pPr>
              <w:pStyle w:val="TableText"/>
              <w:jc w:val="right"/>
              <w:rPr>
                <w:rFonts w:cs="Arial"/>
              </w:rPr>
            </w:pPr>
            <w:r w:rsidRPr="00A0121A">
              <w:rPr>
                <w:rFonts w:cs="Arial"/>
              </w:rPr>
              <w:t>10.5 (9.4,</w:t>
            </w:r>
            <w:r>
              <w:rPr>
                <w:rFonts w:cs="Arial"/>
              </w:rPr>
              <w:t xml:space="preserve"> </w:t>
            </w:r>
            <w:r w:rsidRPr="00A0121A">
              <w:rPr>
                <w:rFonts w:cs="Arial"/>
              </w:rPr>
              <w:t>11.7)</w:t>
            </w:r>
          </w:p>
        </w:tc>
        <w:tc>
          <w:tcPr>
            <w:tcW w:w="668" w:type="dxa"/>
            <w:tcBorders>
              <w:bottom w:val="single" w:sz="4" w:space="0" w:color="000000"/>
            </w:tcBorders>
          </w:tcPr>
          <w:p w14:paraId="23B7C065" w14:textId="77777777" w:rsidR="009A6E70" w:rsidRPr="00A0121A" w:rsidRDefault="009A6E70" w:rsidP="00EB155C">
            <w:pPr>
              <w:pStyle w:val="TableText"/>
              <w:jc w:val="right"/>
              <w:rPr>
                <w:rFonts w:eastAsia="Calibri" w:cs="Arial"/>
              </w:rPr>
            </w:pPr>
            <w:r w:rsidRPr="00A0121A">
              <w:rPr>
                <w:rFonts w:cs="Arial"/>
              </w:rPr>
              <w:t>861</w:t>
            </w:r>
          </w:p>
        </w:tc>
        <w:tc>
          <w:tcPr>
            <w:tcW w:w="900" w:type="dxa"/>
            <w:tcBorders>
              <w:bottom w:val="single" w:sz="4" w:space="0" w:color="000000"/>
            </w:tcBorders>
          </w:tcPr>
          <w:p w14:paraId="5B5CB0C4" w14:textId="77777777" w:rsidR="009A6E70" w:rsidRPr="00A0121A" w:rsidRDefault="009A6E70" w:rsidP="00EB155C">
            <w:pPr>
              <w:pStyle w:val="TableText"/>
              <w:jc w:val="right"/>
              <w:rPr>
                <w:rFonts w:eastAsia="Calibri" w:cs="Arial"/>
              </w:rPr>
            </w:pPr>
            <w:r w:rsidRPr="00A0121A">
              <w:rPr>
                <w:rFonts w:cs="Arial"/>
              </w:rPr>
              <w:t>6864</w:t>
            </w:r>
          </w:p>
        </w:tc>
        <w:tc>
          <w:tcPr>
            <w:tcW w:w="1184" w:type="dxa"/>
            <w:tcBorders>
              <w:bottom w:val="single" w:sz="4" w:space="0" w:color="000000"/>
            </w:tcBorders>
          </w:tcPr>
          <w:p w14:paraId="0DF63363" w14:textId="77777777" w:rsidR="009A6E70" w:rsidRPr="00A0121A" w:rsidRDefault="009A6E70" w:rsidP="00EB155C">
            <w:pPr>
              <w:pStyle w:val="TableText"/>
              <w:jc w:val="right"/>
              <w:rPr>
                <w:rFonts w:eastAsia="Calibri" w:cs="Arial"/>
              </w:rPr>
            </w:pPr>
            <w:r w:rsidRPr="00A0121A">
              <w:rPr>
                <w:rFonts w:cs="Arial"/>
              </w:rPr>
              <w:t>13.1 (10.3,</w:t>
            </w:r>
            <w:r>
              <w:rPr>
                <w:rFonts w:cs="Arial"/>
              </w:rPr>
              <w:t xml:space="preserve"> </w:t>
            </w:r>
            <w:r w:rsidRPr="00A0121A">
              <w:rPr>
                <w:rFonts w:cs="Arial"/>
              </w:rPr>
              <w:t>16.5)</w:t>
            </w:r>
          </w:p>
        </w:tc>
      </w:tr>
      <w:tr w:rsidR="006722DB" w:rsidRPr="00A0121A" w14:paraId="7AE9E064"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Borders>
              <w:top w:val="single" w:sz="4" w:space="0" w:color="000000"/>
              <w:bottom w:val="nil"/>
            </w:tcBorders>
          </w:tcPr>
          <w:p w14:paraId="5091FA6C" w14:textId="77777777" w:rsidR="009A6E70" w:rsidRPr="00516640" w:rsidRDefault="009A6E70" w:rsidP="00EB155C">
            <w:pPr>
              <w:pStyle w:val="TableText"/>
              <w:rPr>
                <w:rFonts w:cs="Arial"/>
                <w:b/>
              </w:rPr>
            </w:pPr>
            <w:r>
              <w:rPr>
                <w:rFonts w:cs="Arial"/>
                <w:b/>
              </w:rPr>
              <w:t>Collapsed categories</w:t>
            </w:r>
          </w:p>
        </w:tc>
        <w:tc>
          <w:tcPr>
            <w:tcW w:w="720" w:type="dxa"/>
            <w:tcBorders>
              <w:top w:val="single" w:sz="4" w:space="0" w:color="000000"/>
              <w:bottom w:val="nil"/>
            </w:tcBorders>
          </w:tcPr>
          <w:p w14:paraId="0B40DCCD"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52635699" w14:textId="77777777" w:rsidR="009A6E70" w:rsidRPr="00A0121A" w:rsidRDefault="009A6E70" w:rsidP="00EB155C">
            <w:pPr>
              <w:pStyle w:val="TableText"/>
              <w:jc w:val="right"/>
              <w:rPr>
                <w:rFonts w:cs="Arial"/>
              </w:rPr>
            </w:pPr>
          </w:p>
        </w:tc>
        <w:tc>
          <w:tcPr>
            <w:tcW w:w="1132" w:type="dxa"/>
            <w:tcBorders>
              <w:top w:val="single" w:sz="4" w:space="0" w:color="000000"/>
              <w:bottom w:val="nil"/>
            </w:tcBorders>
          </w:tcPr>
          <w:p w14:paraId="47FE1947" w14:textId="77777777" w:rsidR="009A6E70" w:rsidRPr="00A0121A" w:rsidRDefault="009A6E70" w:rsidP="00EB155C">
            <w:pPr>
              <w:pStyle w:val="TableText"/>
              <w:jc w:val="right"/>
              <w:rPr>
                <w:rFonts w:cs="Arial"/>
              </w:rPr>
            </w:pPr>
          </w:p>
        </w:tc>
        <w:tc>
          <w:tcPr>
            <w:tcW w:w="668" w:type="dxa"/>
            <w:tcBorders>
              <w:top w:val="single" w:sz="4" w:space="0" w:color="000000"/>
              <w:bottom w:val="nil"/>
            </w:tcBorders>
          </w:tcPr>
          <w:p w14:paraId="7A1C8FA2" w14:textId="77777777" w:rsidR="009A6E70" w:rsidRPr="00A0121A" w:rsidRDefault="009A6E70" w:rsidP="00EB155C">
            <w:pPr>
              <w:pStyle w:val="TableText"/>
              <w:jc w:val="right"/>
              <w:rPr>
                <w:rFonts w:cs="Arial"/>
              </w:rPr>
            </w:pPr>
          </w:p>
        </w:tc>
        <w:tc>
          <w:tcPr>
            <w:tcW w:w="900" w:type="dxa"/>
            <w:tcBorders>
              <w:top w:val="single" w:sz="4" w:space="0" w:color="000000"/>
              <w:bottom w:val="nil"/>
            </w:tcBorders>
          </w:tcPr>
          <w:p w14:paraId="34BF27B3" w14:textId="77777777" w:rsidR="009A6E70" w:rsidRPr="00A0121A" w:rsidRDefault="009A6E70" w:rsidP="00EB155C">
            <w:pPr>
              <w:pStyle w:val="TableText"/>
              <w:jc w:val="right"/>
              <w:rPr>
                <w:rFonts w:cs="Arial"/>
              </w:rPr>
            </w:pPr>
          </w:p>
        </w:tc>
        <w:tc>
          <w:tcPr>
            <w:tcW w:w="1184" w:type="dxa"/>
            <w:tcBorders>
              <w:top w:val="single" w:sz="4" w:space="0" w:color="000000"/>
              <w:bottom w:val="nil"/>
            </w:tcBorders>
          </w:tcPr>
          <w:p w14:paraId="2462BC98" w14:textId="77777777" w:rsidR="009A6E70" w:rsidRPr="00A0121A" w:rsidRDefault="009A6E70" w:rsidP="00EB155C">
            <w:pPr>
              <w:pStyle w:val="TableText"/>
              <w:jc w:val="right"/>
              <w:rPr>
                <w:rFonts w:cs="Arial"/>
              </w:rPr>
            </w:pPr>
          </w:p>
        </w:tc>
      </w:tr>
      <w:tr w:rsidR="009A6E70" w:rsidRPr="00A0121A" w14:paraId="048BD217" w14:textId="77777777" w:rsidTr="006722DB">
        <w:trPr>
          <w:cantSplit/>
        </w:trPr>
        <w:tc>
          <w:tcPr>
            <w:tcW w:w="1825" w:type="dxa"/>
            <w:tcBorders>
              <w:top w:val="nil"/>
            </w:tcBorders>
          </w:tcPr>
          <w:p w14:paraId="79525FF9" w14:textId="77777777" w:rsidR="009A6E70" w:rsidRPr="00A0121A" w:rsidRDefault="009A6E70" w:rsidP="00EB155C">
            <w:pPr>
              <w:pStyle w:val="TableText"/>
              <w:rPr>
                <w:rFonts w:cs="Arial"/>
              </w:rPr>
            </w:pPr>
            <w:r w:rsidRPr="00A0121A">
              <w:rPr>
                <w:rFonts w:cs="Arial"/>
              </w:rPr>
              <w:t>N/A</w:t>
            </w:r>
          </w:p>
        </w:tc>
        <w:tc>
          <w:tcPr>
            <w:tcW w:w="720" w:type="dxa"/>
            <w:tcBorders>
              <w:top w:val="nil"/>
            </w:tcBorders>
          </w:tcPr>
          <w:p w14:paraId="6838D934" w14:textId="77777777" w:rsidR="009A6E70" w:rsidRPr="00A0121A" w:rsidRDefault="009A6E70" w:rsidP="00EB155C">
            <w:pPr>
              <w:pStyle w:val="TableText"/>
              <w:jc w:val="right"/>
              <w:rPr>
                <w:rFonts w:cs="Arial"/>
              </w:rPr>
            </w:pPr>
            <w:r w:rsidRPr="00A0121A">
              <w:rPr>
                <w:rFonts w:cs="Arial"/>
              </w:rPr>
              <w:t>448</w:t>
            </w:r>
          </w:p>
        </w:tc>
        <w:tc>
          <w:tcPr>
            <w:tcW w:w="900" w:type="dxa"/>
            <w:tcBorders>
              <w:top w:val="nil"/>
            </w:tcBorders>
          </w:tcPr>
          <w:p w14:paraId="67F18292" w14:textId="77777777" w:rsidR="009A6E70" w:rsidRPr="00A0121A" w:rsidRDefault="009A6E70" w:rsidP="00EB155C">
            <w:pPr>
              <w:pStyle w:val="TableText"/>
              <w:jc w:val="right"/>
              <w:rPr>
                <w:rFonts w:cs="Arial"/>
              </w:rPr>
            </w:pPr>
            <w:r w:rsidRPr="00A0121A">
              <w:rPr>
                <w:rFonts w:cs="Arial"/>
              </w:rPr>
              <w:t>2623</w:t>
            </w:r>
          </w:p>
        </w:tc>
        <w:tc>
          <w:tcPr>
            <w:tcW w:w="1132" w:type="dxa"/>
            <w:tcBorders>
              <w:top w:val="nil"/>
            </w:tcBorders>
          </w:tcPr>
          <w:p w14:paraId="372AFD59" w14:textId="77777777" w:rsidR="009A6E70" w:rsidRPr="00A0121A" w:rsidRDefault="009A6E70" w:rsidP="00EB155C">
            <w:pPr>
              <w:pStyle w:val="TableText"/>
              <w:jc w:val="right"/>
              <w:rPr>
                <w:rFonts w:cs="Arial"/>
              </w:rPr>
            </w:pPr>
            <w:r w:rsidRPr="00A0121A">
              <w:rPr>
                <w:rFonts w:cs="Arial"/>
              </w:rPr>
              <w:t>10.5 (9.4,</w:t>
            </w:r>
            <w:r>
              <w:rPr>
                <w:rFonts w:cs="Arial"/>
              </w:rPr>
              <w:t xml:space="preserve"> </w:t>
            </w:r>
            <w:r w:rsidRPr="00A0121A">
              <w:rPr>
                <w:rFonts w:cs="Arial"/>
              </w:rPr>
              <w:t>11.7)</w:t>
            </w:r>
          </w:p>
        </w:tc>
        <w:tc>
          <w:tcPr>
            <w:tcW w:w="668" w:type="dxa"/>
            <w:tcBorders>
              <w:top w:val="nil"/>
            </w:tcBorders>
          </w:tcPr>
          <w:p w14:paraId="0745FECD" w14:textId="77777777" w:rsidR="009A6E70" w:rsidRPr="00A0121A" w:rsidRDefault="009A6E70" w:rsidP="00EB155C">
            <w:pPr>
              <w:pStyle w:val="TableText"/>
              <w:jc w:val="right"/>
              <w:rPr>
                <w:rFonts w:cs="Arial"/>
              </w:rPr>
            </w:pPr>
            <w:r w:rsidRPr="00A0121A">
              <w:rPr>
                <w:rFonts w:cs="Arial"/>
              </w:rPr>
              <w:t>861</w:t>
            </w:r>
          </w:p>
        </w:tc>
        <w:tc>
          <w:tcPr>
            <w:tcW w:w="900" w:type="dxa"/>
            <w:tcBorders>
              <w:top w:val="nil"/>
            </w:tcBorders>
          </w:tcPr>
          <w:p w14:paraId="234CAC2E" w14:textId="77777777" w:rsidR="009A6E70" w:rsidRPr="00A0121A" w:rsidRDefault="009A6E70" w:rsidP="00EB155C">
            <w:pPr>
              <w:pStyle w:val="TableText"/>
              <w:jc w:val="right"/>
              <w:rPr>
                <w:rFonts w:cs="Arial"/>
              </w:rPr>
            </w:pPr>
            <w:r w:rsidRPr="00A0121A">
              <w:rPr>
                <w:rFonts w:cs="Arial"/>
              </w:rPr>
              <w:t>6864</w:t>
            </w:r>
          </w:p>
        </w:tc>
        <w:tc>
          <w:tcPr>
            <w:tcW w:w="1184" w:type="dxa"/>
            <w:tcBorders>
              <w:top w:val="nil"/>
            </w:tcBorders>
          </w:tcPr>
          <w:p w14:paraId="4F7632E8" w14:textId="77777777" w:rsidR="009A6E70" w:rsidRPr="00A0121A" w:rsidRDefault="009A6E70" w:rsidP="00EB155C">
            <w:pPr>
              <w:pStyle w:val="TableText"/>
              <w:jc w:val="right"/>
              <w:rPr>
                <w:rFonts w:cs="Arial"/>
              </w:rPr>
            </w:pPr>
            <w:r w:rsidRPr="00A0121A">
              <w:rPr>
                <w:rFonts w:cs="Arial"/>
              </w:rPr>
              <w:t>13.1 (10.3,</w:t>
            </w:r>
            <w:r>
              <w:rPr>
                <w:rFonts w:cs="Arial"/>
              </w:rPr>
              <w:t xml:space="preserve"> </w:t>
            </w:r>
            <w:r w:rsidRPr="00A0121A">
              <w:rPr>
                <w:rFonts w:cs="Arial"/>
              </w:rPr>
              <w:t>16.5)</w:t>
            </w:r>
          </w:p>
        </w:tc>
      </w:tr>
      <w:tr w:rsidR="009A6E70" w:rsidRPr="00A0121A" w14:paraId="2B723D87" w14:textId="77777777" w:rsidTr="006722DB">
        <w:trPr>
          <w:cnfStyle w:val="000000100000" w:firstRow="0" w:lastRow="0" w:firstColumn="0" w:lastColumn="0" w:oddVBand="0" w:evenVBand="0" w:oddHBand="1" w:evenHBand="0" w:firstRowFirstColumn="0" w:firstRowLastColumn="0" w:lastRowFirstColumn="0" w:lastRowLastColumn="0"/>
          <w:cantSplit/>
        </w:trPr>
        <w:tc>
          <w:tcPr>
            <w:tcW w:w="1825" w:type="dxa"/>
          </w:tcPr>
          <w:p w14:paraId="03076DBD" w14:textId="77777777" w:rsidR="009A6E70" w:rsidRPr="00A0121A" w:rsidRDefault="009A6E70" w:rsidP="00EB155C">
            <w:pPr>
              <w:pStyle w:val="TableText"/>
              <w:rPr>
                <w:rFonts w:cs="Arial"/>
              </w:rPr>
            </w:pPr>
            <w:r w:rsidRPr="00A0121A">
              <w:rPr>
                <w:rFonts w:cs="Arial"/>
              </w:rPr>
              <w:t xml:space="preserve">Not </w:t>
            </w:r>
            <w:r>
              <w:rPr>
                <w:rFonts w:cs="Arial"/>
              </w:rPr>
              <w:t>t</w:t>
            </w:r>
            <w:r w:rsidRPr="00A0121A">
              <w:rPr>
                <w:rFonts w:cs="Arial"/>
              </w:rPr>
              <w:t>rue</w:t>
            </w:r>
          </w:p>
        </w:tc>
        <w:tc>
          <w:tcPr>
            <w:tcW w:w="720" w:type="dxa"/>
          </w:tcPr>
          <w:p w14:paraId="4F0993AC" w14:textId="77777777" w:rsidR="009A6E70" w:rsidRPr="00A0121A" w:rsidRDefault="009A6E70" w:rsidP="00EB155C">
            <w:pPr>
              <w:pStyle w:val="TableText"/>
              <w:jc w:val="right"/>
              <w:rPr>
                <w:rFonts w:cs="Arial"/>
              </w:rPr>
            </w:pPr>
            <w:r w:rsidRPr="00A0121A">
              <w:rPr>
                <w:rFonts w:cs="Arial"/>
              </w:rPr>
              <w:t>2336</w:t>
            </w:r>
          </w:p>
        </w:tc>
        <w:tc>
          <w:tcPr>
            <w:tcW w:w="900" w:type="dxa"/>
          </w:tcPr>
          <w:p w14:paraId="3D73072D" w14:textId="77777777" w:rsidR="009A6E70" w:rsidRPr="00A0121A" w:rsidRDefault="009A6E70" w:rsidP="00EB155C">
            <w:pPr>
              <w:pStyle w:val="TableText"/>
              <w:jc w:val="right"/>
              <w:rPr>
                <w:rFonts w:cs="Arial"/>
              </w:rPr>
            </w:pPr>
            <w:r w:rsidRPr="00A0121A">
              <w:rPr>
                <w:rFonts w:cs="Arial"/>
              </w:rPr>
              <w:t>16</w:t>
            </w:r>
            <w:r>
              <w:rPr>
                <w:rFonts w:cs="Arial"/>
              </w:rPr>
              <w:t>,</w:t>
            </w:r>
            <w:r w:rsidRPr="00A0121A">
              <w:rPr>
                <w:rFonts w:cs="Arial"/>
              </w:rPr>
              <w:t>264</w:t>
            </w:r>
          </w:p>
        </w:tc>
        <w:tc>
          <w:tcPr>
            <w:tcW w:w="1132" w:type="dxa"/>
          </w:tcPr>
          <w:p w14:paraId="00E72417" w14:textId="77777777" w:rsidR="009A6E70" w:rsidRPr="00A0121A" w:rsidRDefault="009A6E70" w:rsidP="00EB155C">
            <w:pPr>
              <w:pStyle w:val="TableText"/>
              <w:jc w:val="right"/>
              <w:rPr>
                <w:rFonts w:cs="Arial"/>
              </w:rPr>
            </w:pPr>
            <w:r w:rsidRPr="00A0121A">
              <w:rPr>
                <w:rFonts w:cs="Arial"/>
              </w:rPr>
              <w:t>65.2 (63.2,</w:t>
            </w:r>
            <w:r>
              <w:rPr>
                <w:rFonts w:cs="Arial"/>
              </w:rPr>
              <w:t xml:space="preserve"> </w:t>
            </w:r>
            <w:r w:rsidRPr="00A0121A">
              <w:rPr>
                <w:rFonts w:cs="Arial"/>
              </w:rPr>
              <w:t>67.2)</w:t>
            </w:r>
          </w:p>
        </w:tc>
        <w:tc>
          <w:tcPr>
            <w:tcW w:w="668" w:type="dxa"/>
          </w:tcPr>
          <w:p w14:paraId="3E60388F" w14:textId="77777777" w:rsidR="009A6E70" w:rsidRPr="00A0121A" w:rsidRDefault="009A6E70" w:rsidP="00EB155C">
            <w:pPr>
              <w:pStyle w:val="TableText"/>
              <w:jc w:val="right"/>
              <w:rPr>
                <w:rFonts w:cs="Arial"/>
              </w:rPr>
            </w:pPr>
            <w:r w:rsidRPr="00A0121A">
              <w:rPr>
                <w:rFonts w:cs="Arial"/>
              </w:rPr>
              <w:t>5222</w:t>
            </w:r>
          </w:p>
        </w:tc>
        <w:tc>
          <w:tcPr>
            <w:tcW w:w="900" w:type="dxa"/>
          </w:tcPr>
          <w:p w14:paraId="0C669441" w14:textId="77777777" w:rsidR="009A6E70" w:rsidRPr="00A0121A" w:rsidRDefault="009A6E70" w:rsidP="00EB155C">
            <w:pPr>
              <w:pStyle w:val="TableText"/>
              <w:jc w:val="right"/>
              <w:rPr>
                <w:rFonts w:cs="Arial"/>
              </w:rPr>
            </w:pPr>
            <w:r w:rsidRPr="00A0121A">
              <w:rPr>
                <w:rFonts w:cs="Arial"/>
              </w:rPr>
              <w:t>32</w:t>
            </w:r>
            <w:r>
              <w:rPr>
                <w:rFonts w:cs="Arial"/>
              </w:rPr>
              <w:t>,</w:t>
            </w:r>
            <w:r w:rsidRPr="00A0121A">
              <w:rPr>
                <w:rFonts w:cs="Arial"/>
              </w:rPr>
              <w:t>980</w:t>
            </w:r>
          </w:p>
        </w:tc>
        <w:tc>
          <w:tcPr>
            <w:tcW w:w="1184" w:type="dxa"/>
          </w:tcPr>
          <w:p w14:paraId="5652396F" w14:textId="77777777" w:rsidR="009A6E70" w:rsidRPr="00A0121A" w:rsidRDefault="009A6E70" w:rsidP="00EB155C">
            <w:pPr>
              <w:pStyle w:val="TableText"/>
              <w:jc w:val="right"/>
              <w:rPr>
                <w:rFonts w:cs="Arial"/>
              </w:rPr>
            </w:pPr>
            <w:r w:rsidRPr="00A0121A">
              <w:rPr>
                <w:rFonts w:cs="Arial"/>
              </w:rPr>
              <w:t>62.8 (58.6,</w:t>
            </w:r>
            <w:r>
              <w:rPr>
                <w:rFonts w:cs="Arial"/>
              </w:rPr>
              <w:t xml:space="preserve"> </w:t>
            </w:r>
            <w:r w:rsidRPr="00A0121A">
              <w:rPr>
                <w:rFonts w:cs="Arial"/>
              </w:rPr>
              <w:t>66.9)</w:t>
            </w:r>
          </w:p>
        </w:tc>
      </w:tr>
      <w:tr w:rsidR="009A6E70" w:rsidRPr="00A0121A" w14:paraId="6A17A65E" w14:textId="77777777" w:rsidTr="006722DB">
        <w:trPr>
          <w:cantSplit/>
        </w:trPr>
        <w:tc>
          <w:tcPr>
            <w:tcW w:w="1825" w:type="dxa"/>
          </w:tcPr>
          <w:p w14:paraId="58AF3497" w14:textId="77777777" w:rsidR="009A6E70" w:rsidRPr="00A0121A" w:rsidRDefault="009A6E70" w:rsidP="00EB155C">
            <w:pPr>
              <w:pStyle w:val="TableText"/>
              <w:rPr>
                <w:rFonts w:cs="Arial"/>
              </w:rPr>
            </w:pPr>
            <w:r w:rsidRPr="00A0121A">
              <w:rPr>
                <w:rFonts w:cs="Arial"/>
              </w:rPr>
              <w:t>True</w:t>
            </w:r>
            <w:r>
              <w:rPr>
                <w:rFonts w:cs="Arial"/>
              </w:rPr>
              <w:t xml:space="preserve"> (A bit true/very true)</w:t>
            </w:r>
          </w:p>
        </w:tc>
        <w:tc>
          <w:tcPr>
            <w:tcW w:w="720" w:type="dxa"/>
          </w:tcPr>
          <w:p w14:paraId="548168CF" w14:textId="77777777" w:rsidR="009A6E70" w:rsidRPr="00A0121A" w:rsidRDefault="009A6E70" w:rsidP="00EB155C">
            <w:pPr>
              <w:pStyle w:val="TableText"/>
              <w:jc w:val="right"/>
              <w:rPr>
                <w:rFonts w:cs="Arial"/>
              </w:rPr>
            </w:pPr>
            <w:r w:rsidRPr="00A0121A">
              <w:rPr>
                <w:rFonts w:cs="Arial"/>
              </w:rPr>
              <w:t>726</w:t>
            </w:r>
          </w:p>
        </w:tc>
        <w:tc>
          <w:tcPr>
            <w:tcW w:w="900" w:type="dxa"/>
          </w:tcPr>
          <w:p w14:paraId="039EB2E2" w14:textId="77777777" w:rsidR="009A6E70" w:rsidRPr="00A0121A" w:rsidRDefault="009A6E70" w:rsidP="00EB155C">
            <w:pPr>
              <w:pStyle w:val="TableText"/>
              <w:jc w:val="right"/>
              <w:rPr>
                <w:rFonts w:eastAsia="Calibri" w:cs="Arial"/>
              </w:rPr>
            </w:pPr>
            <w:r w:rsidRPr="00A0121A">
              <w:rPr>
                <w:rFonts w:cs="Arial"/>
              </w:rPr>
              <w:t>5822</w:t>
            </w:r>
          </w:p>
        </w:tc>
        <w:tc>
          <w:tcPr>
            <w:tcW w:w="1132" w:type="dxa"/>
          </w:tcPr>
          <w:p w14:paraId="7A4127DE" w14:textId="77777777" w:rsidR="009A6E70" w:rsidRPr="00A0121A" w:rsidRDefault="009A6E70" w:rsidP="00EB155C">
            <w:pPr>
              <w:pStyle w:val="TableText"/>
              <w:jc w:val="right"/>
              <w:rPr>
                <w:rFonts w:cs="Arial"/>
              </w:rPr>
            </w:pPr>
            <w:r w:rsidRPr="00A0121A">
              <w:rPr>
                <w:rFonts w:cs="Arial"/>
              </w:rPr>
              <w:t>23.4 (21.6,</w:t>
            </w:r>
            <w:r>
              <w:rPr>
                <w:rFonts w:cs="Arial"/>
              </w:rPr>
              <w:t xml:space="preserve"> </w:t>
            </w:r>
            <w:r w:rsidRPr="00A0121A">
              <w:rPr>
                <w:rFonts w:cs="Arial"/>
              </w:rPr>
              <w:t>25.2)</w:t>
            </w:r>
          </w:p>
        </w:tc>
        <w:tc>
          <w:tcPr>
            <w:tcW w:w="668" w:type="dxa"/>
          </w:tcPr>
          <w:p w14:paraId="30A37074" w14:textId="77777777" w:rsidR="009A6E70" w:rsidRPr="00A0121A" w:rsidRDefault="009A6E70" w:rsidP="00EB155C">
            <w:pPr>
              <w:pStyle w:val="TableText"/>
              <w:jc w:val="right"/>
              <w:rPr>
                <w:rFonts w:eastAsia="Calibri" w:cs="Arial"/>
              </w:rPr>
            </w:pPr>
            <w:r w:rsidRPr="00A0121A">
              <w:rPr>
                <w:rFonts w:cs="Arial"/>
              </w:rPr>
              <w:t>1206</w:t>
            </w:r>
          </w:p>
        </w:tc>
        <w:tc>
          <w:tcPr>
            <w:tcW w:w="900" w:type="dxa"/>
          </w:tcPr>
          <w:p w14:paraId="091DCEE9" w14:textId="77777777" w:rsidR="009A6E70" w:rsidRPr="00A0121A" w:rsidRDefault="009A6E70" w:rsidP="00EB155C">
            <w:pPr>
              <w:pStyle w:val="TableText"/>
              <w:jc w:val="right"/>
              <w:rPr>
                <w:rFonts w:eastAsia="Calibri" w:cs="Arial"/>
              </w:rPr>
            </w:pPr>
            <w:r w:rsidRPr="00A0121A">
              <w:rPr>
                <w:rFonts w:cs="Arial"/>
              </w:rPr>
              <w:t>11663</w:t>
            </w:r>
          </w:p>
        </w:tc>
        <w:tc>
          <w:tcPr>
            <w:tcW w:w="1184" w:type="dxa"/>
          </w:tcPr>
          <w:p w14:paraId="57978008" w14:textId="77777777" w:rsidR="009A6E70" w:rsidRPr="00A0121A" w:rsidRDefault="009A6E70" w:rsidP="00EB155C">
            <w:pPr>
              <w:pStyle w:val="TableText"/>
              <w:jc w:val="right"/>
              <w:rPr>
                <w:rFonts w:eastAsia="Calibri" w:cs="Arial"/>
              </w:rPr>
            </w:pPr>
            <w:r w:rsidRPr="00A0121A">
              <w:rPr>
                <w:rFonts w:cs="Arial"/>
              </w:rPr>
              <w:t>22.2 (18.6,</w:t>
            </w:r>
            <w:r>
              <w:rPr>
                <w:rFonts w:cs="Arial"/>
              </w:rPr>
              <w:t xml:space="preserve"> </w:t>
            </w:r>
            <w:r w:rsidRPr="00A0121A">
              <w:rPr>
                <w:rFonts w:cs="Arial"/>
              </w:rPr>
              <w:t>26.3)</w:t>
            </w:r>
          </w:p>
        </w:tc>
      </w:tr>
    </w:tbl>
    <w:p w14:paraId="285660D5" w14:textId="77777777" w:rsidR="009A6E70" w:rsidRPr="006A3EA0" w:rsidRDefault="009A6E70" w:rsidP="009A6E70">
      <w:pPr>
        <w:pStyle w:val="TableNotes"/>
      </w:pPr>
      <w:r w:rsidRPr="006A3EA0">
        <w:t>Notes</w:t>
      </w:r>
    </w:p>
    <w:p w14:paraId="14CD8873" w14:textId="77777777" w:rsidR="009A6E70" w:rsidRPr="004C7947" w:rsidRDefault="009A6E70" w:rsidP="009A6E70">
      <w:pPr>
        <w:pStyle w:val="TableNotes"/>
      </w:pPr>
      <w:r w:rsidRPr="004C7947">
        <w:t>Denominator: Entire cohort</w:t>
      </w:r>
      <w:r>
        <w:t>.</w:t>
      </w:r>
    </w:p>
    <w:p w14:paraId="2BF858AE" w14:textId="77777777" w:rsidR="009A6E70" w:rsidRPr="004C7947" w:rsidRDefault="009A6E70" w:rsidP="009A6E70">
      <w:pPr>
        <w:pStyle w:val="TableNotes"/>
      </w:pPr>
      <w:r w:rsidRPr="004C7947">
        <w:t>Based on weighted counts, 170 (0.7%) Transitioned ADF and 897 (1.7%) 2015 Regular ADF had a missing value for this question.</w:t>
      </w:r>
      <w:r>
        <w:t xml:space="preserve"> </w:t>
      </w:r>
      <w:r w:rsidRPr="004C7947">
        <w:t>However, distributions are calculated by including those with a missing value to allow for correct weighted totals.</w:t>
      </w:r>
    </w:p>
    <w:p w14:paraId="716EC7D3" w14:textId="77777777" w:rsidR="009A6E70" w:rsidRPr="004C7947" w:rsidRDefault="009A6E70" w:rsidP="009A6E70">
      <w:pPr>
        <w:pStyle w:val="TableNotes"/>
      </w:pPr>
      <w:r w:rsidRPr="004C7947">
        <w:t>95%CI</w:t>
      </w:r>
      <w:r>
        <w:t xml:space="preserve"> =</w:t>
      </w:r>
      <w:r w:rsidRPr="004C7947">
        <w:t xml:space="preserve"> 95% </w:t>
      </w:r>
      <w:r>
        <w:t>confidence interval.</w:t>
      </w:r>
    </w:p>
    <w:p w14:paraId="41F4E7D5" w14:textId="77777777" w:rsidR="009A6E70" w:rsidRDefault="009A6E70" w:rsidP="009A6E70">
      <w:pPr>
        <w:pStyle w:val="TableNotes"/>
      </w:pPr>
      <w:r w:rsidRPr="004C7947">
        <w:t>For a full description of odds ratios, interpretation and strength of association</w:t>
      </w:r>
      <w:r>
        <w:t>,</w:t>
      </w:r>
      <w:r w:rsidRPr="004C7947">
        <w:t xml:space="preserve"> please refer to Table B.1 </w:t>
      </w:r>
      <w:r w:rsidRPr="00BB1B84">
        <w:t xml:space="preserve">in </w:t>
      </w:r>
      <w:r w:rsidR="00374073">
        <w:t>Annex </w:t>
      </w:r>
      <w:r>
        <w:t>B, Odds ratio table.</w:t>
      </w:r>
    </w:p>
    <w:p w14:paraId="6B6EABB8" w14:textId="018FD8C1" w:rsidR="009A6E70" w:rsidRDefault="009A6E70" w:rsidP="009A6E70">
      <w:pPr>
        <w:pStyle w:val="FigureName"/>
      </w:pPr>
      <w:bookmarkStart w:id="443" w:name="_Ref508181151"/>
      <w:bookmarkStart w:id="444" w:name="_Toc509922944"/>
      <w:bookmarkStart w:id="445" w:name="_Toc515374718"/>
      <w:bookmarkStart w:id="446" w:name="_Toc528932402"/>
      <w:bookmarkStart w:id="447" w:name="_Toc531858082"/>
      <w:r>
        <w:t xml:space="preserve">Figure </w:t>
      </w:r>
      <w:r>
        <w:rPr>
          <w:noProof/>
        </w:rPr>
        <w:t>4</w:t>
      </w:r>
      <w:r>
        <w:t>.</w:t>
      </w:r>
      <w:r>
        <w:rPr>
          <w:noProof/>
        </w:rPr>
        <w:t>10</w:t>
      </w:r>
      <w:bookmarkEnd w:id="443"/>
      <w:r>
        <w:tab/>
      </w:r>
      <w:r w:rsidRPr="002F7080">
        <w:t xml:space="preserve">Estimated proportion of Transitioned ADF and 2015 Regular ADF who indicated that when they </w:t>
      </w:r>
      <w:r>
        <w:t>were</w:t>
      </w:r>
      <w:r w:rsidRPr="002F7080">
        <w:t xml:space="preserve"> going through a difficult</w:t>
      </w:r>
      <w:r>
        <w:t xml:space="preserve"> time, going online made them</w:t>
      </w:r>
      <w:r w:rsidRPr="002F7080">
        <w:t xml:space="preserve"> feel better</w:t>
      </w:r>
      <w:bookmarkEnd w:id="444"/>
      <w:bookmarkEnd w:id="445"/>
      <w:bookmarkEnd w:id="446"/>
      <w:bookmarkEnd w:id="447"/>
    </w:p>
    <w:p w14:paraId="0FBEADC7" w14:textId="77777777" w:rsidR="009A6E70" w:rsidRPr="006722DB" w:rsidRDefault="006722DB" w:rsidP="006722DB">
      <w:pPr>
        <w:spacing w:after="360"/>
      </w:pPr>
      <w:bookmarkStart w:id="448" w:name="_Toc385859344"/>
      <w:r w:rsidRPr="00A0121A">
        <w:rPr>
          <w:noProof/>
          <w:lang w:eastAsia="en-AU"/>
        </w:rPr>
        <w:drawing>
          <wp:inline distT="0" distB="0" distL="0" distR="0" wp14:anchorId="63BA2E43" wp14:editId="55DAC2DC">
            <wp:extent cx="4572000" cy="2286000"/>
            <wp:effectExtent l="0" t="0" r="0" b="0"/>
            <wp:docPr id="34" name="Picture 34" descr="Figure 4.10 Estimated proportion of Transitioned ADF and 2015 Regular ADF who indicated that when they were going through a difficult time, going online made them feel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ealthSciences\SPHCP\CTSS\DATA REPOSITORY\TWRP\REPORT 5\FIGURE_5_1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211D6F8E" w14:textId="77777777" w:rsidR="009A6E70" w:rsidRPr="006D244B" w:rsidRDefault="009A6E70" w:rsidP="009A6E70">
      <w:pPr>
        <w:pStyle w:val="Heading2"/>
        <w:numPr>
          <w:ilvl w:val="1"/>
          <w:numId w:val="1"/>
        </w:numPr>
        <w:ind w:left="720" w:hanging="720"/>
      </w:pPr>
      <w:bookmarkStart w:id="449" w:name="_Toc518566367"/>
      <w:bookmarkStart w:id="450" w:name="_Toc528932663"/>
      <w:bookmarkStart w:id="451" w:name="_Toc531859200"/>
      <w:r w:rsidRPr="00516640">
        <w:t xml:space="preserve">Probable disorder and its relationship with </w:t>
      </w:r>
      <w:r>
        <w:t>internet</w:t>
      </w:r>
      <w:r w:rsidRPr="00516640">
        <w:t xml:space="preserve"> use and attitudes towards using the </w:t>
      </w:r>
      <w:r>
        <w:t>internet</w:t>
      </w:r>
      <w:bookmarkEnd w:id="449"/>
      <w:bookmarkEnd w:id="450"/>
      <w:bookmarkEnd w:id="451"/>
      <w:r w:rsidRPr="00516640">
        <w:t xml:space="preserve"> </w:t>
      </w:r>
    </w:p>
    <w:p w14:paraId="014D6046" w14:textId="77777777" w:rsidR="009A6E70" w:rsidRPr="003B2134" w:rsidRDefault="009A6E70" w:rsidP="009A6E70">
      <w:pPr>
        <w:pStyle w:val="Heading3"/>
        <w:numPr>
          <w:ilvl w:val="2"/>
          <w:numId w:val="1"/>
        </w:numPr>
      </w:pPr>
      <w:bookmarkStart w:id="452" w:name="_Toc518566368"/>
      <w:bookmarkStart w:id="453" w:name="_Toc528932664"/>
      <w:bookmarkStart w:id="454" w:name="_Toc531859201"/>
      <w:r w:rsidRPr="003B2134">
        <w:t>Frequency</w:t>
      </w:r>
      <w:r>
        <w:t>,</w:t>
      </w:r>
      <w:r w:rsidRPr="003B2134">
        <w:t xml:space="preserve"> </w:t>
      </w:r>
      <w:r>
        <w:t>d</w:t>
      </w:r>
      <w:r w:rsidRPr="003B2134">
        <w:t xml:space="preserve">uration and </w:t>
      </w:r>
      <w:r>
        <w:t>t</w:t>
      </w:r>
      <w:r w:rsidRPr="003B2134">
        <w:t xml:space="preserve">iming of </w:t>
      </w:r>
      <w:r>
        <w:t>internet</w:t>
      </w:r>
      <w:r w:rsidRPr="003B2134">
        <w:t xml:space="preserve"> </w:t>
      </w:r>
      <w:r>
        <w:t>u</w:t>
      </w:r>
      <w:r w:rsidRPr="003B2134">
        <w:t xml:space="preserve">se in Transitioned </w:t>
      </w:r>
      <w:r>
        <w:t xml:space="preserve">ADF </w:t>
      </w:r>
      <w:r w:rsidRPr="003B2134">
        <w:t xml:space="preserve">and 2015 Regular ADF with and without </w:t>
      </w:r>
      <w:r>
        <w:t>p</w:t>
      </w:r>
      <w:r w:rsidRPr="003B2134">
        <w:t xml:space="preserve">robable </w:t>
      </w:r>
      <w:r>
        <w:t>d</w:t>
      </w:r>
      <w:r w:rsidRPr="003B2134">
        <w:t>isorder</w:t>
      </w:r>
      <w:bookmarkEnd w:id="448"/>
      <w:bookmarkEnd w:id="452"/>
      <w:bookmarkEnd w:id="453"/>
      <w:bookmarkEnd w:id="454"/>
    </w:p>
    <w:p w14:paraId="10730E10" w14:textId="77777777" w:rsidR="009A6E70" w:rsidRPr="002C58AA" w:rsidRDefault="009A6E70" w:rsidP="006722DB">
      <w:pPr>
        <w:keepLines/>
        <w:rPr>
          <w:lang w:val="en-US" w:eastAsia="en-AU"/>
        </w:rPr>
      </w:pPr>
      <w:r w:rsidRPr="002C58AA">
        <w:t xml:space="preserve">Table </w:t>
      </w:r>
      <w:r>
        <w:rPr>
          <w:noProof/>
        </w:rPr>
        <w:t>4.11</w:t>
      </w:r>
      <w:r>
        <w:rPr>
          <w:lang w:val="en-US" w:eastAsia="en-AU"/>
        </w:rPr>
        <w:t xml:space="preserve"> presents internet use</w:t>
      </w:r>
      <w:r w:rsidRPr="002C58AA">
        <w:rPr>
          <w:lang w:val="en-US" w:eastAsia="en-AU"/>
        </w:rPr>
        <w:t xml:space="preserve"> among Transitioned ADF and 2015 Regular ADF with and without a </w:t>
      </w:r>
      <w:r>
        <w:rPr>
          <w:lang w:val="en-US" w:eastAsia="en-AU"/>
        </w:rPr>
        <w:t>probable disorder</w:t>
      </w:r>
      <w:r w:rsidRPr="002C58AA">
        <w:rPr>
          <w:lang w:val="en-US" w:eastAsia="en-AU"/>
        </w:rPr>
        <w:t xml:space="preserve">. The vast majority of both Transitioned ADF and 2015 Regular ADF reported using the </w:t>
      </w:r>
      <w:r>
        <w:rPr>
          <w:lang w:val="en-US" w:eastAsia="en-AU"/>
        </w:rPr>
        <w:t>internet</w:t>
      </w:r>
      <w:r w:rsidRPr="002C58AA">
        <w:rPr>
          <w:lang w:val="en-US" w:eastAsia="en-AU"/>
        </w:rPr>
        <w:t xml:space="preserve"> every day or almost every day, regardless of probable disorder status.</w:t>
      </w:r>
    </w:p>
    <w:p w14:paraId="28EF2ADF" w14:textId="77777777" w:rsidR="009A6E70" w:rsidRPr="002C58AA" w:rsidRDefault="009A6E70" w:rsidP="009A6E70">
      <w:pPr>
        <w:rPr>
          <w:lang w:val="en-US" w:eastAsia="en-AU"/>
        </w:rPr>
      </w:pPr>
      <w:r w:rsidRPr="002C58AA">
        <w:rPr>
          <w:lang w:val="en-US" w:eastAsia="en-AU"/>
        </w:rPr>
        <w:t xml:space="preserve">In relation to the hours spent on the </w:t>
      </w:r>
      <w:r>
        <w:rPr>
          <w:lang w:val="en-US" w:eastAsia="en-AU"/>
        </w:rPr>
        <w:t>internet</w:t>
      </w:r>
      <w:r w:rsidRPr="002C58AA">
        <w:rPr>
          <w:lang w:val="en-US" w:eastAsia="en-AU"/>
        </w:rPr>
        <w:t xml:space="preserve"> on a typical work day, among </w:t>
      </w:r>
      <w:r>
        <w:rPr>
          <w:lang w:val="en-US" w:eastAsia="en-AU"/>
        </w:rPr>
        <w:t>both the</w:t>
      </w:r>
      <w:r w:rsidRPr="002C58AA">
        <w:rPr>
          <w:lang w:val="en-US" w:eastAsia="en-AU"/>
        </w:rPr>
        <w:t xml:space="preserve"> Transitioned ADF</w:t>
      </w:r>
      <w:r>
        <w:rPr>
          <w:lang w:val="en-US" w:eastAsia="en-AU"/>
        </w:rPr>
        <w:t xml:space="preserve"> and the 2015 Regular ADF</w:t>
      </w:r>
      <w:r w:rsidRPr="002C58AA">
        <w:rPr>
          <w:lang w:val="en-US" w:eastAsia="en-AU"/>
        </w:rPr>
        <w:t xml:space="preserve"> there was a general pattern whereby those with a probable disorder spent more hours on the </w:t>
      </w:r>
      <w:r>
        <w:rPr>
          <w:lang w:val="en-US" w:eastAsia="en-AU"/>
        </w:rPr>
        <w:t>internet</w:t>
      </w:r>
      <w:r w:rsidRPr="002C58AA">
        <w:rPr>
          <w:lang w:val="en-US" w:eastAsia="en-AU"/>
        </w:rPr>
        <w:t xml:space="preserve"> than those without</w:t>
      </w:r>
      <w:r>
        <w:rPr>
          <w:lang w:val="en-US" w:eastAsia="en-AU"/>
        </w:rPr>
        <w:t>. Just under 50% of the Transitioned ADF (49.5%) and just over 50% of the 2015 Regular ADF (52.2%) with a probable disorder reported that they spent three or more hours on the internet each day compared to 39.7% of the Transitioned ADF and 34.2% of the 2015 Regular ADF with no disorder</w:t>
      </w:r>
      <w:r w:rsidRPr="002C58AA">
        <w:rPr>
          <w:lang w:val="en-US" w:eastAsia="en-AU"/>
        </w:rPr>
        <w:t xml:space="preserve">. </w:t>
      </w:r>
    </w:p>
    <w:p w14:paraId="7A4C6EAF" w14:textId="77777777" w:rsidR="009A6E70" w:rsidRPr="003038B1" w:rsidRDefault="009A6E70" w:rsidP="009A6E70">
      <w:pPr>
        <w:rPr>
          <w:lang w:val="en-US" w:eastAsia="en-AU"/>
        </w:rPr>
      </w:pPr>
      <w:r w:rsidRPr="003038B1">
        <w:rPr>
          <w:lang w:val="en-US" w:eastAsia="en-AU"/>
        </w:rPr>
        <w:t xml:space="preserve">Among the Transitioned ADF, a significantly larger proportion of those with than without a probable disorder reported </w:t>
      </w:r>
      <w:r>
        <w:rPr>
          <w:lang w:val="en-US" w:eastAsia="en-AU"/>
        </w:rPr>
        <w:t>internet</w:t>
      </w:r>
      <w:r w:rsidRPr="003038B1">
        <w:rPr>
          <w:lang w:val="en-US" w:eastAsia="en-AU"/>
        </w:rPr>
        <w:t xml:space="preserve"> use after </w:t>
      </w:r>
      <w:r>
        <w:rPr>
          <w:lang w:val="en-US" w:eastAsia="en-AU"/>
        </w:rPr>
        <w:t>11 pm</w:t>
      </w:r>
      <w:r w:rsidRPr="003038B1">
        <w:rPr>
          <w:lang w:val="en-US" w:eastAsia="en-AU"/>
        </w:rPr>
        <w:t xml:space="preserve"> (45.1% vs 28.4%; OR 2.0, 95% CI 1.6, 2.5). No significant differences were observed on this item among 2015 Regular ADF with and without a probable disorder (32.7% vs 25.3%, respectively).</w:t>
      </w:r>
    </w:p>
    <w:p w14:paraId="613F2493" w14:textId="77777777" w:rsidR="00B607E8" w:rsidRPr="003B2134" w:rsidRDefault="00B607E8" w:rsidP="00B607E8">
      <w:pPr>
        <w:pStyle w:val="Heading3"/>
        <w:numPr>
          <w:ilvl w:val="2"/>
          <w:numId w:val="1"/>
        </w:numPr>
      </w:pPr>
      <w:bookmarkStart w:id="455" w:name="_Toc518566369"/>
      <w:bookmarkStart w:id="456" w:name="_Toc528932665"/>
      <w:bookmarkStart w:id="457" w:name="_Toc531859202"/>
      <w:r w:rsidRPr="003B2134">
        <w:t xml:space="preserve">Attitudes </w:t>
      </w:r>
      <w:r>
        <w:t>t</w:t>
      </w:r>
      <w:r w:rsidRPr="003B2134">
        <w:t xml:space="preserve">owards </w:t>
      </w:r>
      <w:r>
        <w:t>internet</w:t>
      </w:r>
      <w:r w:rsidRPr="003B2134">
        <w:t xml:space="preserve"> </w:t>
      </w:r>
      <w:r>
        <w:t>u</w:t>
      </w:r>
      <w:r w:rsidRPr="003B2134">
        <w:t xml:space="preserve">se among Transitioned </w:t>
      </w:r>
      <w:r>
        <w:t xml:space="preserve">ADF </w:t>
      </w:r>
      <w:r w:rsidRPr="003B2134">
        <w:t xml:space="preserve">and 2015 Regular ADF with and without </w:t>
      </w:r>
      <w:r>
        <w:t>p</w:t>
      </w:r>
      <w:r w:rsidRPr="003B2134">
        <w:t xml:space="preserve">robable </w:t>
      </w:r>
      <w:r>
        <w:t>d</w:t>
      </w:r>
      <w:r w:rsidRPr="003B2134">
        <w:t>isorder</w:t>
      </w:r>
      <w:bookmarkEnd w:id="455"/>
      <w:bookmarkEnd w:id="456"/>
      <w:bookmarkEnd w:id="457"/>
    </w:p>
    <w:p w14:paraId="4E6AFA56" w14:textId="77777777" w:rsidR="00B607E8" w:rsidRPr="00A3483D" w:rsidRDefault="00B607E8" w:rsidP="00B607E8">
      <w:pPr>
        <w:rPr>
          <w:lang w:val="en-US" w:eastAsia="en-AU"/>
        </w:rPr>
      </w:pPr>
      <w:r w:rsidRPr="009010C4">
        <w:t xml:space="preserve">Table </w:t>
      </w:r>
      <w:r>
        <w:rPr>
          <w:noProof/>
        </w:rPr>
        <w:t>4</w:t>
      </w:r>
      <w:r>
        <w:t>.</w:t>
      </w:r>
      <w:r>
        <w:rPr>
          <w:noProof/>
        </w:rPr>
        <w:t>12</w:t>
      </w:r>
      <w:r>
        <w:rPr>
          <w:lang w:val="en-US" w:eastAsia="en-AU"/>
        </w:rPr>
        <w:t xml:space="preserve"> </w:t>
      </w:r>
      <w:r w:rsidRPr="00A3483D">
        <w:rPr>
          <w:lang w:val="en-US" w:eastAsia="en-AU"/>
        </w:rPr>
        <w:t xml:space="preserve">presents attitudes towards </w:t>
      </w:r>
      <w:r>
        <w:rPr>
          <w:lang w:val="en-US" w:eastAsia="en-AU"/>
        </w:rPr>
        <w:t>the internet</w:t>
      </w:r>
      <w:r w:rsidRPr="00A3483D">
        <w:rPr>
          <w:lang w:val="en-US" w:eastAsia="en-AU"/>
        </w:rPr>
        <w:t xml:space="preserve"> among Transitioned ADF and 2015 Regular ADF with and without a </w:t>
      </w:r>
      <w:r>
        <w:rPr>
          <w:lang w:val="en-US" w:eastAsia="en-AU"/>
        </w:rPr>
        <w:t>probable disorder</w:t>
      </w:r>
      <w:r w:rsidRPr="00A3483D">
        <w:rPr>
          <w:lang w:val="en-US" w:eastAsia="en-AU"/>
        </w:rPr>
        <w:t>.</w:t>
      </w:r>
    </w:p>
    <w:p w14:paraId="79129466" w14:textId="77777777" w:rsidR="00B607E8" w:rsidRPr="003038B1" w:rsidRDefault="00B607E8" w:rsidP="00B607E8">
      <w:pPr>
        <w:rPr>
          <w:bCs/>
        </w:rPr>
      </w:pPr>
      <w:r w:rsidRPr="003038B1">
        <w:rPr>
          <w:lang w:val="en-US"/>
        </w:rPr>
        <w:t xml:space="preserve">Transitioned ADF with a probable disorder were significantly more likely than those without a probable disorder to report all but one of the items presented. </w:t>
      </w:r>
      <w:r>
        <w:rPr>
          <w:lang w:val="en-US"/>
        </w:rPr>
        <w:t>That is, t</w:t>
      </w:r>
      <w:r w:rsidRPr="003038B1">
        <w:rPr>
          <w:lang w:val="en-US"/>
        </w:rPr>
        <w:t xml:space="preserve">hose with a probable disorder </w:t>
      </w:r>
      <w:r>
        <w:rPr>
          <w:lang w:val="en-US"/>
        </w:rPr>
        <w:t>were more likely to report</w:t>
      </w:r>
      <w:r w:rsidRPr="003038B1">
        <w:rPr>
          <w:lang w:val="en-US"/>
        </w:rPr>
        <w:t xml:space="preserve"> that it was ‘easier to be myself online’ (42.2% vs 19.9%; OR </w:t>
      </w:r>
      <w:r w:rsidRPr="003038B1">
        <w:rPr>
          <w:lang w:val="en-GB"/>
        </w:rPr>
        <w:t>2.8, 95% CI 2.3, 3.5</w:t>
      </w:r>
      <w:r w:rsidRPr="003038B1">
        <w:rPr>
          <w:lang w:val="en-US"/>
        </w:rPr>
        <w:t>), ‘</w:t>
      </w:r>
      <w:r>
        <w:rPr>
          <w:lang w:val="en-US"/>
        </w:rPr>
        <w:t xml:space="preserve">I </w:t>
      </w:r>
      <w:r w:rsidRPr="003038B1">
        <w:rPr>
          <w:bCs/>
        </w:rPr>
        <w:t>talk about different things with people online’ (34.9% vs 20.4%</w:t>
      </w:r>
      <w:r w:rsidRPr="003038B1">
        <w:rPr>
          <w:lang w:val="en-US"/>
        </w:rPr>
        <w:t xml:space="preserve">; OR </w:t>
      </w:r>
      <w:r w:rsidRPr="003038B1">
        <w:rPr>
          <w:lang w:val="en-GB"/>
        </w:rPr>
        <w:t>2.1, 95% CI 1.7, 2.6</w:t>
      </w:r>
      <w:r w:rsidRPr="003038B1">
        <w:rPr>
          <w:bCs/>
        </w:rPr>
        <w:t>), ‘when online I talk about private things’ (21.0% vs 10.6%</w:t>
      </w:r>
      <w:r w:rsidRPr="003038B1">
        <w:rPr>
          <w:lang w:val="en-US"/>
        </w:rPr>
        <w:t xml:space="preserve">; OR </w:t>
      </w:r>
      <w:r w:rsidRPr="003038B1">
        <w:rPr>
          <w:lang w:val="en-GB"/>
        </w:rPr>
        <w:t>2.2, 95% CI 1.6, 2.9</w:t>
      </w:r>
      <w:r w:rsidRPr="003038B1">
        <w:rPr>
          <w:bCs/>
        </w:rPr>
        <w:t>), ‘when I am going through a difficult time, I go online more often’ (42.6% vs 21.8%</w:t>
      </w:r>
      <w:r w:rsidRPr="003038B1">
        <w:rPr>
          <w:lang w:val="en-US"/>
        </w:rPr>
        <w:t xml:space="preserve">; OR </w:t>
      </w:r>
      <w:r w:rsidRPr="003038B1">
        <w:rPr>
          <w:lang w:val="en-GB"/>
        </w:rPr>
        <w:t>2.6, 95% CI 2.1, 3.2</w:t>
      </w:r>
      <w:r w:rsidRPr="003038B1">
        <w:rPr>
          <w:bCs/>
        </w:rPr>
        <w:t>) and ‘when I am going through a difficult time, going online makes me feel better’ (34.2% vs 19.1%</w:t>
      </w:r>
      <w:r w:rsidRPr="003038B1">
        <w:rPr>
          <w:lang w:val="en-US"/>
        </w:rPr>
        <w:t xml:space="preserve">; OR </w:t>
      </w:r>
      <w:r w:rsidRPr="003038B1">
        <w:rPr>
          <w:lang w:val="en-GB"/>
        </w:rPr>
        <w:t>2.2, 95% CI 1.7, 2.7</w:t>
      </w:r>
      <w:r w:rsidRPr="003038B1">
        <w:rPr>
          <w:bCs/>
        </w:rPr>
        <w:t>). All were moderate associations. The only item that did not show a difference was ‘I go online much more on weekends’ (28.6% vs 31.8%).</w:t>
      </w:r>
    </w:p>
    <w:p w14:paraId="58D4011E" w14:textId="5EC842AE" w:rsidR="00B607E8" w:rsidRDefault="00B607E8" w:rsidP="008F66DD">
      <w:pPr>
        <w:keepLines/>
      </w:pPr>
      <w:r w:rsidRPr="003038B1">
        <w:rPr>
          <w:bCs/>
        </w:rPr>
        <w:t xml:space="preserve">For 2015 Regular ADF, those with a probable disorder were significantly more likely to report </w:t>
      </w:r>
      <w:r w:rsidRPr="003038B1">
        <w:rPr>
          <w:lang w:val="en-US"/>
        </w:rPr>
        <w:t xml:space="preserve">that it was ‘easier to be myself online’ (33.4% vs 17.5%; OR </w:t>
      </w:r>
      <w:r w:rsidRPr="003038B1">
        <w:rPr>
          <w:lang w:val="en-GB"/>
        </w:rPr>
        <w:t>2.4, 95% CI 1.3, 4.2</w:t>
      </w:r>
      <w:r w:rsidRPr="003038B1">
        <w:rPr>
          <w:lang w:val="en-US"/>
        </w:rPr>
        <w:t>)</w:t>
      </w:r>
      <w:r w:rsidRPr="003038B1">
        <w:rPr>
          <w:bCs/>
        </w:rPr>
        <w:t xml:space="preserve"> and ‘when online I talk about private things’ (23.0% vs 10.1%</w:t>
      </w:r>
      <w:r w:rsidRPr="003038B1">
        <w:rPr>
          <w:lang w:val="en-US"/>
        </w:rPr>
        <w:t xml:space="preserve">; OR </w:t>
      </w:r>
      <w:r w:rsidRPr="003038B1">
        <w:rPr>
          <w:lang w:val="en-GB"/>
        </w:rPr>
        <w:t>2.3, 95% CI 1.1, 5.0</w:t>
      </w:r>
      <w:r w:rsidRPr="003038B1">
        <w:rPr>
          <w:bCs/>
        </w:rPr>
        <w:t>) compared to those without a probable disorder. Both were moderate associations. Significant differences between those with and those without a probable disorder were not observed for the following items</w:t>
      </w:r>
      <w:r>
        <w:rPr>
          <w:bCs/>
        </w:rPr>
        <w:t>:</w:t>
      </w:r>
      <w:r w:rsidRPr="003038B1">
        <w:rPr>
          <w:bCs/>
        </w:rPr>
        <w:t xml:space="preserve"> ‘when I am going through a difficult time, I</w:t>
      </w:r>
      <w:r w:rsidR="007F21A7">
        <w:rPr>
          <w:bCs/>
        </w:rPr>
        <w:t> </w:t>
      </w:r>
      <w:r w:rsidRPr="003038B1">
        <w:rPr>
          <w:bCs/>
        </w:rPr>
        <w:t xml:space="preserve">go online more often’ (33.5% vs 22.7%), </w:t>
      </w:r>
      <w:r>
        <w:rPr>
          <w:bCs/>
        </w:rPr>
        <w:t>‘</w:t>
      </w:r>
      <w:r w:rsidRPr="003038B1">
        <w:rPr>
          <w:bCs/>
        </w:rPr>
        <w:t xml:space="preserve">when I am going through a difficult time, going online makes me feel better’ (31.4% vs 20.6%), ‘I go online much more on weekends’ (48.1% vs 49.2%), and </w:t>
      </w:r>
      <w:r w:rsidRPr="003038B1">
        <w:rPr>
          <w:lang w:val="en-US"/>
        </w:rPr>
        <w:t>‘</w:t>
      </w:r>
      <w:r>
        <w:rPr>
          <w:lang w:val="en-US"/>
        </w:rPr>
        <w:t xml:space="preserve">I </w:t>
      </w:r>
      <w:r w:rsidRPr="003038B1">
        <w:rPr>
          <w:bCs/>
        </w:rPr>
        <w:t>talk about different things with people online’ (26.5% vs 23.8%).</w:t>
      </w:r>
    </w:p>
    <w:p w14:paraId="583BC3AC" w14:textId="77777777" w:rsidR="006B1ECA" w:rsidRDefault="006B1ECA" w:rsidP="00C44855"/>
    <w:p w14:paraId="07CE8D48" w14:textId="77777777" w:rsidR="00E844D8" w:rsidRDefault="00E844D8" w:rsidP="00E844D8">
      <w:pPr>
        <w:sectPr w:rsidR="00E844D8" w:rsidSect="006B1ECA">
          <w:type w:val="oddPage"/>
          <w:pgSz w:w="9979" w:h="14170" w:code="243"/>
          <w:pgMar w:top="1440" w:right="1152" w:bottom="1440" w:left="1728" w:header="576" w:footer="576" w:gutter="0"/>
          <w:cols w:space="708"/>
          <w:docGrid w:linePitch="360"/>
        </w:sectPr>
      </w:pPr>
    </w:p>
    <w:p w14:paraId="1A0EB6EF" w14:textId="77777777" w:rsidR="00B607E8" w:rsidRDefault="00B607E8" w:rsidP="00B607E8">
      <w:pPr>
        <w:pStyle w:val="TableName"/>
      </w:pPr>
      <w:bookmarkStart w:id="458" w:name="_Toc531857999"/>
      <w:bookmarkStart w:id="459" w:name="_Ref517436545"/>
      <w:bookmarkStart w:id="460" w:name="_Toc385859473"/>
      <w:bookmarkStart w:id="461" w:name="_Toc528932320"/>
      <w:r w:rsidRPr="002C58AA">
        <w:t xml:space="preserve">Table </w:t>
      </w:r>
      <w:r>
        <w:rPr>
          <w:noProof/>
        </w:rPr>
        <w:t>4</w:t>
      </w:r>
      <w:r>
        <w:t>.</w:t>
      </w:r>
      <w:r>
        <w:rPr>
          <w:noProof/>
        </w:rPr>
        <w:t>11</w:t>
      </w:r>
      <w:r>
        <w:tab/>
        <w:t xml:space="preserve">Internet use </w:t>
      </w:r>
      <w:r w:rsidRPr="002C58AA">
        <w:t>in Transitioned</w:t>
      </w:r>
      <w:r>
        <w:t xml:space="preserve"> ADF</w:t>
      </w:r>
      <w:r w:rsidRPr="002C58AA">
        <w:t xml:space="preserve"> and 2015 Regular ADF with and without </w:t>
      </w:r>
      <w:r>
        <w:t>p</w:t>
      </w:r>
      <w:r w:rsidRPr="002C58AA">
        <w:t xml:space="preserve">robable </w:t>
      </w:r>
      <w:r>
        <w:t>30-day d</w:t>
      </w:r>
      <w:r w:rsidRPr="002C58AA">
        <w:t>isorder</w:t>
      </w:r>
      <w:bookmarkEnd w:id="458"/>
    </w:p>
    <w:bookmarkEnd w:id="459"/>
    <w:bookmarkEnd w:id="460"/>
    <w:bookmarkEnd w:id="461"/>
    <w:tbl>
      <w:tblPr>
        <w:tblStyle w:val="TWRPTable"/>
        <w:tblW w:w="5000" w:type="pct"/>
        <w:tblLayout w:type="fixed"/>
        <w:tblLook w:val="0000" w:firstRow="0" w:lastRow="0" w:firstColumn="0" w:lastColumn="0" w:noHBand="0" w:noVBand="0"/>
        <w:tblDescription w:val="Table 4.11 Internet use in Transitioned ADF and 2015 Regular ADF with and without probable 30-day disorder"/>
      </w:tblPr>
      <w:tblGrid>
        <w:gridCol w:w="1692"/>
        <w:gridCol w:w="532"/>
        <w:gridCol w:w="794"/>
        <w:gridCol w:w="1067"/>
        <w:gridCol w:w="521"/>
        <w:gridCol w:w="794"/>
        <w:gridCol w:w="1090"/>
        <w:gridCol w:w="499"/>
        <w:gridCol w:w="794"/>
        <w:gridCol w:w="1108"/>
        <w:gridCol w:w="569"/>
        <w:gridCol w:w="794"/>
        <w:gridCol w:w="1026"/>
      </w:tblGrid>
      <w:tr w:rsidR="002F6831" w:rsidRPr="002C58AA" w14:paraId="4195F46F" w14:textId="77777777" w:rsidTr="007D2109">
        <w:trPr>
          <w:cantSplit/>
          <w:tblHeader/>
        </w:trPr>
        <w:tc>
          <w:tcPr>
            <w:tcW w:w="750" w:type="pct"/>
            <w:tcBorders>
              <w:top w:val="single" w:sz="4" w:space="0" w:color="000000"/>
              <w:bottom w:val="nil"/>
            </w:tcBorders>
          </w:tcPr>
          <w:p w14:paraId="418CB602" w14:textId="77777777" w:rsidR="00B607E8" w:rsidRPr="00516640" w:rsidRDefault="00B607E8" w:rsidP="00EB155C">
            <w:pPr>
              <w:pStyle w:val="TableText"/>
              <w:rPr>
                <w:b/>
              </w:rPr>
            </w:pPr>
          </w:p>
        </w:tc>
        <w:tc>
          <w:tcPr>
            <w:tcW w:w="2127" w:type="pct"/>
            <w:gridSpan w:val="6"/>
            <w:tcBorders>
              <w:top w:val="single" w:sz="4" w:space="0" w:color="000000"/>
              <w:bottom w:val="single" w:sz="4" w:space="0" w:color="000000"/>
            </w:tcBorders>
          </w:tcPr>
          <w:p w14:paraId="4E2F33A2" w14:textId="77777777" w:rsidR="00B607E8" w:rsidRPr="00516640" w:rsidRDefault="00B607E8" w:rsidP="002F6831">
            <w:pPr>
              <w:pStyle w:val="TableText"/>
              <w:jc w:val="center"/>
              <w:rPr>
                <w:b/>
              </w:rPr>
            </w:pPr>
            <w:r w:rsidRPr="00516640">
              <w:rPr>
                <w:b/>
                <w:bCs/>
              </w:rPr>
              <w:t>Transitioned ADF</w:t>
            </w:r>
            <w:r w:rsidR="002F6831">
              <w:rPr>
                <w:b/>
                <w:bCs/>
              </w:rPr>
              <w:br/>
            </w:r>
            <w:r w:rsidRPr="00516640">
              <w:rPr>
                <w:b/>
                <w:bCs/>
              </w:rPr>
              <w:t>n=</w:t>
            </w:r>
            <w:r w:rsidRPr="00516640">
              <w:rPr>
                <w:b/>
              </w:rPr>
              <w:t>24,932</w:t>
            </w:r>
          </w:p>
        </w:tc>
        <w:tc>
          <w:tcPr>
            <w:tcW w:w="2123" w:type="pct"/>
            <w:gridSpan w:val="6"/>
            <w:tcBorders>
              <w:top w:val="single" w:sz="4" w:space="0" w:color="000000"/>
              <w:bottom w:val="single" w:sz="4" w:space="0" w:color="000000"/>
            </w:tcBorders>
          </w:tcPr>
          <w:p w14:paraId="03DC9D94" w14:textId="77777777" w:rsidR="00B607E8" w:rsidRPr="00516640" w:rsidRDefault="00B607E8" w:rsidP="002F6831">
            <w:pPr>
              <w:pStyle w:val="TableText"/>
              <w:jc w:val="center"/>
              <w:rPr>
                <w:b/>
              </w:rPr>
            </w:pPr>
            <w:r w:rsidRPr="00516640">
              <w:rPr>
                <w:b/>
                <w:bCs/>
              </w:rPr>
              <w:t>2015 Regular ADF</w:t>
            </w:r>
            <w:r w:rsidR="002F6831">
              <w:rPr>
                <w:b/>
                <w:bCs/>
              </w:rPr>
              <w:br/>
            </w:r>
            <w:r w:rsidRPr="00516640">
              <w:rPr>
                <w:b/>
                <w:bCs/>
              </w:rPr>
              <w:t>n=52,500</w:t>
            </w:r>
          </w:p>
        </w:tc>
      </w:tr>
      <w:tr w:rsidR="002F6831" w:rsidRPr="009F1781" w14:paraId="5F083D2D" w14:textId="77777777" w:rsidTr="007D2109">
        <w:trPr>
          <w:cantSplit/>
          <w:tblHeader/>
        </w:trPr>
        <w:tc>
          <w:tcPr>
            <w:tcW w:w="750" w:type="pct"/>
            <w:tcBorders>
              <w:top w:val="nil"/>
              <w:bottom w:val="nil"/>
            </w:tcBorders>
          </w:tcPr>
          <w:p w14:paraId="30CF0C9C" w14:textId="77777777" w:rsidR="00B607E8" w:rsidRPr="00516640" w:rsidRDefault="00B607E8" w:rsidP="00EB155C">
            <w:pPr>
              <w:pStyle w:val="TableText"/>
              <w:rPr>
                <w:b/>
              </w:rPr>
            </w:pPr>
          </w:p>
        </w:tc>
        <w:tc>
          <w:tcPr>
            <w:tcW w:w="1061" w:type="pct"/>
            <w:gridSpan w:val="3"/>
            <w:tcBorders>
              <w:top w:val="single" w:sz="4" w:space="0" w:color="000000"/>
              <w:bottom w:val="single" w:sz="4" w:space="0" w:color="000000"/>
            </w:tcBorders>
          </w:tcPr>
          <w:p w14:paraId="12237EB0" w14:textId="77777777" w:rsidR="00B607E8" w:rsidRPr="00516640" w:rsidRDefault="00B607E8" w:rsidP="002F6831">
            <w:pPr>
              <w:pStyle w:val="TableText"/>
              <w:jc w:val="center"/>
              <w:rPr>
                <w:b/>
              </w:rPr>
            </w:pPr>
            <w:r w:rsidRPr="00516640">
              <w:rPr>
                <w:b/>
              </w:rPr>
              <w:t>No Probable Disorder</w:t>
            </w:r>
            <w:r w:rsidR="002F6831">
              <w:rPr>
                <w:b/>
              </w:rPr>
              <w:br/>
            </w:r>
            <w:r w:rsidRPr="00516640">
              <w:rPr>
                <w:b/>
              </w:rPr>
              <w:t>n=17</w:t>
            </w:r>
            <w:r>
              <w:rPr>
                <w:b/>
              </w:rPr>
              <w:t>,</w:t>
            </w:r>
            <w:r w:rsidRPr="00516640">
              <w:rPr>
                <w:b/>
              </w:rPr>
              <w:t>881</w:t>
            </w:r>
          </w:p>
        </w:tc>
        <w:tc>
          <w:tcPr>
            <w:tcW w:w="1066" w:type="pct"/>
            <w:gridSpan w:val="3"/>
            <w:tcBorders>
              <w:top w:val="single" w:sz="4" w:space="0" w:color="000000"/>
              <w:bottom w:val="single" w:sz="4" w:space="0" w:color="000000"/>
            </w:tcBorders>
          </w:tcPr>
          <w:p w14:paraId="76BFDA62" w14:textId="77777777" w:rsidR="00B607E8" w:rsidRPr="00516640" w:rsidRDefault="00B607E8" w:rsidP="002F6831">
            <w:pPr>
              <w:pStyle w:val="TableText"/>
              <w:jc w:val="center"/>
              <w:rPr>
                <w:b/>
              </w:rPr>
            </w:pPr>
            <w:r w:rsidRPr="00516640">
              <w:rPr>
                <w:b/>
              </w:rPr>
              <w:t>Probable Disorder</w:t>
            </w:r>
            <w:r w:rsidR="002F6831">
              <w:rPr>
                <w:b/>
              </w:rPr>
              <w:br/>
            </w:r>
            <w:r w:rsidRPr="00516640">
              <w:rPr>
                <w:b/>
              </w:rPr>
              <w:t>n=7051</w:t>
            </w:r>
          </w:p>
        </w:tc>
        <w:tc>
          <w:tcPr>
            <w:tcW w:w="1064" w:type="pct"/>
            <w:gridSpan w:val="3"/>
            <w:tcBorders>
              <w:top w:val="single" w:sz="4" w:space="0" w:color="000000"/>
              <w:bottom w:val="single" w:sz="4" w:space="0" w:color="000000"/>
            </w:tcBorders>
          </w:tcPr>
          <w:p w14:paraId="3929E780" w14:textId="77777777" w:rsidR="00B607E8" w:rsidRPr="00516640" w:rsidRDefault="00B607E8" w:rsidP="002F6831">
            <w:pPr>
              <w:pStyle w:val="TableText"/>
              <w:jc w:val="center"/>
              <w:rPr>
                <w:b/>
              </w:rPr>
            </w:pPr>
            <w:r w:rsidRPr="00516640">
              <w:rPr>
                <w:b/>
              </w:rPr>
              <w:t>No Probable Disorder</w:t>
            </w:r>
            <w:r w:rsidR="002F6831">
              <w:rPr>
                <w:b/>
              </w:rPr>
              <w:br/>
            </w:r>
            <w:r w:rsidRPr="00516640">
              <w:rPr>
                <w:b/>
              </w:rPr>
              <w:t>n=44</w:t>
            </w:r>
            <w:r>
              <w:rPr>
                <w:b/>
              </w:rPr>
              <w:t>,</w:t>
            </w:r>
            <w:r w:rsidRPr="00516640">
              <w:rPr>
                <w:b/>
              </w:rPr>
              <w:t>620</w:t>
            </w:r>
          </w:p>
        </w:tc>
        <w:tc>
          <w:tcPr>
            <w:tcW w:w="1059" w:type="pct"/>
            <w:gridSpan w:val="3"/>
            <w:tcBorders>
              <w:top w:val="single" w:sz="4" w:space="0" w:color="000000"/>
              <w:bottom w:val="single" w:sz="4" w:space="0" w:color="000000"/>
            </w:tcBorders>
          </w:tcPr>
          <w:p w14:paraId="17A2E3C2" w14:textId="77777777" w:rsidR="00B607E8" w:rsidRPr="00516640" w:rsidRDefault="00B607E8" w:rsidP="002F6831">
            <w:pPr>
              <w:pStyle w:val="TableText"/>
              <w:jc w:val="center"/>
              <w:rPr>
                <w:b/>
              </w:rPr>
            </w:pPr>
            <w:r w:rsidRPr="00516640">
              <w:rPr>
                <w:b/>
              </w:rPr>
              <w:t>Probable Disorder</w:t>
            </w:r>
            <w:r w:rsidR="002F6831">
              <w:rPr>
                <w:b/>
              </w:rPr>
              <w:br/>
            </w:r>
            <w:r w:rsidRPr="00516640">
              <w:rPr>
                <w:b/>
              </w:rPr>
              <w:t>n=7880</w:t>
            </w:r>
          </w:p>
        </w:tc>
      </w:tr>
      <w:tr w:rsidR="007D2109" w:rsidRPr="002C58AA" w14:paraId="69B2D421" w14:textId="77777777" w:rsidTr="00040E45">
        <w:trPr>
          <w:cantSplit/>
          <w:tblHeader/>
        </w:trPr>
        <w:tc>
          <w:tcPr>
            <w:tcW w:w="750" w:type="pct"/>
            <w:tcBorders>
              <w:top w:val="nil"/>
              <w:bottom w:val="single" w:sz="4" w:space="0" w:color="000000"/>
            </w:tcBorders>
          </w:tcPr>
          <w:p w14:paraId="5A1FCDEC" w14:textId="77777777" w:rsidR="00B607E8" w:rsidRPr="00516640" w:rsidRDefault="00B607E8" w:rsidP="00EB155C">
            <w:pPr>
              <w:pStyle w:val="TableText"/>
              <w:rPr>
                <w:b/>
              </w:rPr>
            </w:pPr>
          </w:p>
        </w:tc>
        <w:tc>
          <w:tcPr>
            <w:tcW w:w="236" w:type="pct"/>
            <w:tcBorders>
              <w:top w:val="single" w:sz="4" w:space="0" w:color="000000"/>
              <w:bottom w:val="single" w:sz="4" w:space="0" w:color="000000"/>
            </w:tcBorders>
            <w:vAlign w:val="bottom"/>
          </w:tcPr>
          <w:p w14:paraId="112BCA21" w14:textId="77777777" w:rsidR="00B607E8" w:rsidRPr="00516640" w:rsidRDefault="00B607E8" w:rsidP="00040E45">
            <w:pPr>
              <w:pStyle w:val="TableText"/>
              <w:jc w:val="right"/>
              <w:rPr>
                <w:b/>
              </w:rPr>
            </w:pPr>
            <w:r w:rsidRPr="00516640">
              <w:rPr>
                <w:b/>
              </w:rPr>
              <w:t>n</w:t>
            </w:r>
          </w:p>
        </w:tc>
        <w:tc>
          <w:tcPr>
            <w:tcW w:w="352" w:type="pct"/>
            <w:tcBorders>
              <w:top w:val="single" w:sz="4" w:space="0" w:color="000000"/>
              <w:bottom w:val="single" w:sz="4" w:space="0" w:color="000000"/>
            </w:tcBorders>
            <w:vAlign w:val="bottom"/>
          </w:tcPr>
          <w:p w14:paraId="57F5FCF9" w14:textId="77777777" w:rsidR="00B607E8" w:rsidRPr="00516640" w:rsidRDefault="00B607E8" w:rsidP="00040E45">
            <w:pPr>
              <w:pStyle w:val="TableText"/>
              <w:jc w:val="right"/>
              <w:rPr>
                <w:b/>
              </w:rPr>
            </w:pPr>
            <w:r w:rsidRPr="00516640">
              <w:rPr>
                <w:b/>
              </w:rPr>
              <w:t>Weighted n</w:t>
            </w:r>
          </w:p>
        </w:tc>
        <w:tc>
          <w:tcPr>
            <w:tcW w:w="473" w:type="pct"/>
            <w:tcBorders>
              <w:top w:val="single" w:sz="4" w:space="0" w:color="000000"/>
              <w:bottom w:val="single" w:sz="4" w:space="0" w:color="000000"/>
            </w:tcBorders>
            <w:vAlign w:val="bottom"/>
          </w:tcPr>
          <w:p w14:paraId="12F6C403" w14:textId="77777777" w:rsidR="00B607E8" w:rsidRPr="00516640" w:rsidRDefault="00B607E8" w:rsidP="00040E45">
            <w:pPr>
              <w:pStyle w:val="TableText"/>
              <w:jc w:val="right"/>
              <w:rPr>
                <w:b/>
              </w:rPr>
            </w:pPr>
            <w:r w:rsidRPr="00516640">
              <w:rPr>
                <w:b/>
              </w:rPr>
              <w:t>% (95%CI)</w:t>
            </w:r>
          </w:p>
        </w:tc>
        <w:tc>
          <w:tcPr>
            <w:tcW w:w="231" w:type="pct"/>
            <w:tcBorders>
              <w:top w:val="single" w:sz="4" w:space="0" w:color="000000"/>
              <w:bottom w:val="single" w:sz="4" w:space="0" w:color="000000"/>
            </w:tcBorders>
            <w:vAlign w:val="bottom"/>
          </w:tcPr>
          <w:p w14:paraId="1FCA5B9E" w14:textId="77777777" w:rsidR="00B607E8" w:rsidRPr="00516640" w:rsidRDefault="00B607E8" w:rsidP="00040E45">
            <w:pPr>
              <w:pStyle w:val="TableText"/>
              <w:jc w:val="right"/>
              <w:rPr>
                <w:b/>
              </w:rPr>
            </w:pPr>
            <w:r w:rsidRPr="00516640">
              <w:rPr>
                <w:b/>
              </w:rPr>
              <w:t>n</w:t>
            </w:r>
          </w:p>
        </w:tc>
        <w:tc>
          <w:tcPr>
            <w:tcW w:w="352" w:type="pct"/>
            <w:tcBorders>
              <w:top w:val="single" w:sz="4" w:space="0" w:color="000000"/>
              <w:bottom w:val="single" w:sz="4" w:space="0" w:color="000000"/>
            </w:tcBorders>
            <w:vAlign w:val="bottom"/>
          </w:tcPr>
          <w:p w14:paraId="31297C8A" w14:textId="77777777" w:rsidR="00B607E8" w:rsidRPr="00516640" w:rsidRDefault="00B607E8" w:rsidP="00040E45">
            <w:pPr>
              <w:pStyle w:val="TableText"/>
              <w:jc w:val="right"/>
              <w:rPr>
                <w:b/>
              </w:rPr>
            </w:pPr>
            <w:r w:rsidRPr="00516640">
              <w:rPr>
                <w:b/>
              </w:rPr>
              <w:t>Weighted n</w:t>
            </w:r>
          </w:p>
        </w:tc>
        <w:tc>
          <w:tcPr>
            <w:tcW w:w="483" w:type="pct"/>
            <w:tcBorders>
              <w:top w:val="single" w:sz="4" w:space="0" w:color="000000"/>
              <w:bottom w:val="single" w:sz="4" w:space="0" w:color="000000"/>
            </w:tcBorders>
            <w:vAlign w:val="bottom"/>
          </w:tcPr>
          <w:p w14:paraId="1F9B8031" w14:textId="77777777" w:rsidR="00B607E8" w:rsidRPr="00516640" w:rsidRDefault="00B607E8" w:rsidP="00040E45">
            <w:pPr>
              <w:pStyle w:val="TableText"/>
              <w:jc w:val="right"/>
              <w:rPr>
                <w:b/>
              </w:rPr>
            </w:pPr>
            <w:r w:rsidRPr="00516640">
              <w:rPr>
                <w:b/>
              </w:rPr>
              <w:t>% (95%CI)</w:t>
            </w:r>
          </w:p>
        </w:tc>
        <w:tc>
          <w:tcPr>
            <w:tcW w:w="221" w:type="pct"/>
            <w:tcBorders>
              <w:top w:val="single" w:sz="4" w:space="0" w:color="000000"/>
              <w:bottom w:val="single" w:sz="4" w:space="0" w:color="000000"/>
            </w:tcBorders>
            <w:vAlign w:val="bottom"/>
          </w:tcPr>
          <w:p w14:paraId="2B91AB46" w14:textId="77777777" w:rsidR="00B607E8" w:rsidRPr="00516640" w:rsidRDefault="00B607E8" w:rsidP="00040E45">
            <w:pPr>
              <w:pStyle w:val="TableText"/>
              <w:jc w:val="right"/>
              <w:rPr>
                <w:b/>
              </w:rPr>
            </w:pPr>
            <w:r w:rsidRPr="00516640">
              <w:rPr>
                <w:b/>
              </w:rPr>
              <w:t>n</w:t>
            </w:r>
          </w:p>
        </w:tc>
        <w:tc>
          <w:tcPr>
            <w:tcW w:w="352" w:type="pct"/>
            <w:tcBorders>
              <w:top w:val="single" w:sz="4" w:space="0" w:color="000000"/>
              <w:bottom w:val="single" w:sz="4" w:space="0" w:color="000000"/>
            </w:tcBorders>
            <w:vAlign w:val="bottom"/>
          </w:tcPr>
          <w:p w14:paraId="0E645D3F" w14:textId="77777777" w:rsidR="00B607E8" w:rsidRPr="00516640" w:rsidRDefault="00B607E8" w:rsidP="00040E45">
            <w:pPr>
              <w:pStyle w:val="TableText"/>
              <w:jc w:val="right"/>
              <w:rPr>
                <w:b/>
              </w:rPr>
            </w:pPr>
            <w:r w:rsidRPr="00516640">
              <w:rPr>
                <w:b/>
              </w:rPr>
              <w:t>Weighted n</w:t>
            </w:r>
          </w:p>
        </w:tc>
        <w:tc>
          <w:tcPr>
            <w:tcW w:w="491" w:type="pct"/>
            <w:tcBorders>
              <w:top w:val="single" w:sz="4" w:space="0" w:color="000000"/>
              <w:bottom w:val="single" w:sz="4" w:space="0" w:color="000000"/>
            </w:tcBorders>
            <w:vAlign w:val="bottom"/>
          </w:tcPr>
          <w:p w14:paraId="3B59F1EF" w14:textId="77777777" w:rsidR="00B607E8" w:rsidRPr="00516640" w:rsidRDefault="00B607E8" w:rsidP="00040E45">
            <w:pPr>
              <w:pStyle w:val="TableText"/>
              <w:jc w:val="right"/>
              <w:rPr>
                <w:b/>
              </w:rPr>
            </w:pPr>
            <w:r w:rsidRPr="00516640">
              <w:rPr>
                <w:b/>
              </w:rPr>
              <w:t>% (95%CI)</w:t>
            </w:r>
          </w:p>
        </w:tc>
        <w:tc>
          <w:tcPr>
            <w:tcW w:w="252" w:type="pct"/>
            <w:tcBorders>
              <w:top w:val="single" w:sz="4" w:space="0" w:color="000000"/>
              <w:bottom w:val="single" w:sz="4" w:space="0" w:color="000000"/>
            </w:tcBorders>
            <w:vAlign w:val="bottom"/>
          </w:tcPr>
          <w:p w14:paraId="04A33292" w14:textId="77777777" w:rsidR="00B607E8" w:rsidRPr="00516640" w:rsidRDefault="00B607E8" w:rsidP="00040E45">
            <w:pPr>
              <w:pStyle w:val="TableText"/>
              <w:jc w:val="right"/>
              <w:rPr>
                <w:b/>
              </w:rPr>
            </w:pPr>
            <w:r w:rsidRPr="00516640">
              <w:rPr>
                <w:b/>
              </w:rPr>
              <w:t>n</w:t>
            </w:r>
          </w:p>
        </w:tc>
        <w:tc>
          <w:tcPr>
            <w:tcW w:w="352" w:type="pct"/>
            <w:tcBorders>
              <w:top w:val="single" w:sz="4" w:space="0" w:color="000000"/>
              <w:bottom w:val="single" w:sz="4" w:space="0" w:color="000000"/>
            </w:tcBorders>
            <w:vAlign w:val="bottom"/>
          </w:tcPr>
          <w:p w14:paraId="03D7CF3A" w14:textId="77777777" w:rsidR="00B607E8" w:rsidRPr="00516640" w:rsidRDefault="00B607E8" w:rsidP="00040E45">
            <w:pPr>
              <w:pStyle w:val="TableText"/>
              <w:jc w:val="right"/>
              <w:rPr>
                <w:b/>
              </w:rPr>
            </w:pPr>
            <w:r w:rsidRPr="00516640">
              <w:rPr>
                <w:b/>
              </w:rPr>
              <w:t>Weighted n</w:t>
            </w:r>
          </w:p>
        </w:tc>
        <w:tc>
          <w:tcPr>
            <w:tcW w:w="455" w:type="pct"/>
            <w:tcBorders>
              <w:top w:val="single" w:sz="4" w:space="0" w:color="000000"/>
              <w:bottom w:val="single" w:sz="4" w:space="0" w:color="000000"/>
            </w:tcBorders>
            <w:vAlign w:val="bottom"/>
          </w:tcPr>
          <w:p w14:paraId="0935A2CA" w14:textId="77777777" w:rsidR="00B607E8" w:rsidRPr="00516640" w:rsidRDefault="00B607E8" w:rsidP="00040E45">
            <w:pPr>
              <w:pStyle w:val="TableText"/>
              <w:jc w:val="right"/>
              <w:rPr>
                <w:b/>
              </w:rPr>
            </w:pPr>
            <w:r w:rsidRPr="00516640">
              <w:rPr>
                <w:b/>
              </w:rPr>
              <w:t>% (95%CI)</w:t>
            </w:r>
          </w:p>
        </w:tc>
      </w:tr>
      <w:tr w:rsidR="007D2109" w:rsidRPr="002C58AA" w14:paraId="1B2C0BF8"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750" w:type="pct"/>
            <w:tcBorders>
              <w:top w:val="single" w:sz="4" w:space="0" w:color="000000"/>
            </w:tcBorders>
          </w:tcPr>
          <w:p w14:paraId="0C80F166" w14:textId="77777777" w:rsidR="00B607E8" w:rsidRPr="003B2134" w:rsidRDefault="00B607E8" w:rsidP="00EB155C">
            <w:pPr>
              <w:pStyle w:val="TableText"/>
              <w:rPr>
                <w:b/>
              </w:rPr>
            </w:pPr>
            <w:r w:rsidRPr="003B2134">
              <w:rPr>
                <w:b/>
                <w:bCs/>
                <w:color w:val="000000" w:themeColor="text1"/>
              </w:rPr>
              <w:t xml:space="preserve">How often use the </w:t>
            </w:r>
            <w:r>
              <w:rPr>
                <w:b/>
                <w:bCs/>
                <w:color w:val="000000" w:themeColor="text1"/>
              </w:rPr>
              <w:t>internet</w:t>
            </w:r>
            <w:r>
              <w:rPr>
                <w:b/>
                <w:bCs/>
                <w:color w:val="000000" w:themeColor="text1"/>
                <w:vertAlign w:val="superscript"/>
              </w:rPr>
              <w:t>*</w:t>
            </w:r>
          </w:p>
        </w:tc>
        <w:tc>
          <w:tcPr>
            <w:tcW w:w="236" w:type="pct"/>
            <w:tcBorders>
              <w:top w:val="single" w:sz="4" w:space="0" w:color="000000"/>
            </w:tcBorders>
            <w:tcMar>
              <w:left w:w="72" w:type="dxa"/>
              <w:right w:w="72" w:type="dxa"/>
            </w:tcMar>
          </w:tcPr>
          <w:p w14:paraId="49B98FC0" w14:textId="77777777" w:rsidR="00B607E8" w:rsidRPr="009F1781" w:rsidRDefault="00B607E8" w:rsidP="00EB155C">
            <w:pPr>
              <w:pStyle w:val="TableText"/>
              <w:jc w:val="right"/>
            </w:pPr>
          </w:p>
        </w:tc>
        <w:tc>
          <w:tcPr>
            <w:tcW w:w="352" w:type="pct"/>
            <w:tcBorders>
              <w:top w:val="single" w:sz="4" w:space="0" w:color="000000"/>
            </w:tcBorders>
            <w:tcMar>
              <w:left w:w="72" w:type="dxa"/>
              <w:right w:w="72" w:type="dxa"/>
            </w:tcMar>
          </w:tcPr>
          <w:p w14:paraId="6ECC8D57" w14:textId="77777777" w:rsidR="00B607E8" w:rsidRPr="009F1781" w:rsidRDefault="00B607E8" w:rsidP="00EB155C">
            <w:pPr>
              <w:pStyle w:val="TableText"/>
              <w:jc w:val="right"/>
            </w:pPr>
          </w:p>
        </w:tc>
        <w:tc>
          <w:tcPr>
            <w:tcW w:w="473" w:type="pct"/>
            <w:tcBorders>
              <w:top w:val="single" w:sz="4" w:space="0" w:color="000000"/>
            </w:tcBorders>
            <w:tcMar>
              <w:left w:w="72" w:type="dxa"/>
              <w:right w:w="72" w:type="dxa"/>
            </w:tcMar>
          </w:tcPr>
          <w:p w14:paraId="38574595" w14:textId="77777777" w:rsidR="00B607E8" w:rsidRPr="009F1781" w:rsidRDefault="00B607E8" w:rsidP="00EB155C">
            <w:pPr>
              <w:pStyle w:val="TableText"/>
              <w:jc w:val="right"/>
            </w:pPr>
          </w:p>
        </w:tc>
        <w:tc>
          <w:tcPr>
            <w:tcW w:w="231" w:type="pct"/>
            <w:tcBorders>
              <w:top w:val="single" w:sz="4" w:space="0" w:color="000000"/>
            </w:tcBorders>
            <w:tcMar>
              <w:left w:w="72" w:type="dxa"/>
              <w:right w:w="72" w:type="dxa"/>
            </w:tcMar>
          </w:tcPr>
          <w:p w14:paraId="07152C17" w14:textId="77777777" w:rsidR="00B607E8" w:rsidRPr="009F1781" w:rsidRDefault="00B607E8" w:rsidP="00EB155C">
            <w:pPr>
              <w:pStyle w:val="TableText"/>
              <w:jc w:val="right"/>
            </w:pPr>
          </w:p>
        </w:tc>
        <w:tc>
          <w:tcPr>
            <w:tcW w:w="352" w:type="pct"/>
            <w:tcBorders>
              <w:top w:val="single" w:sz="4" w:space="0" w:color="000000"/>
            </w:tcBorders>
            <w:tcMar>
              <w:left w:w="72" w:type="dxa"/>
              <w:right w:w="72" w:type="dxa"/>
            </w:tcMar>
          </w:tcPr>
          <w:p w14:paraId="5249225B" w14:textId="77777777" w:rsidR="00B607E8" w:rsidRPr="009F1781" w:rsidRDefault="00B607E8" w:rsidP="00EB155C">
            <w:pPr>
              <w:pStyle w:val="TableText"/>
              <w:jc w:val="right"/>
            </w:pPr>
          </w:p>
        </w:tc>
        <w:tc>
          <w:tcPr>
            <w:tcW w:w="483" w:type="pct"/>
            <w:tcBorders>
              <w:top w:val="single" w:sz="4" w:space="0" w:color="000000"/>
            </w:tcBorders>
            <w:tcMar>
              <w:left w:w="72" w:type="dxa"/>
              <w:right w:w="72" w:type="dxa"/>
            </w:tcMar>
          </w:tcPr>
          <w:p w14:paraId="5AB7D925" w14:textId="77777777" w:rsidR="00B607E8" w:rsidRPr="009F1781" w:rsidRDefault="00B607E8" w:rsidP="00EB155C">
            <w:pPr>
              <w:pStyle w:val="TableText"/>
              <w:jc w:val="right"/>
            </w:pPr>
          </w:p>
        </w:tc>
        <w:tc>
          <w:tcPr>
            <w:tcW w:w="221" w:type="pct"/>
            <w:tcBorders>
              <w:top w:val="single" w:sz="4" w:space="0" w:color="000000"/>
            </w:tcBorders>
            <w:tcMar>
              <w:left w:w="72" w:type="dxa"/>
              <w:right w:w="72" w:type="dxa"/>
            </w:tcMar>
          </w:tcPr>
          <w:p w14:paraId="5A124358" w14:textId="77777777" w:rsidR="00B607E8" w:rsidRPr="009F1781" w:rsidRDefault="00B607E8" w:rsidP="00EB155C">
            <w:pPr>
              <w:pStyle w:val="TableText"/>
              <w:jc w:val="right"/>
            </w:pPr>
          </w:p>
        </w:tc>
        <w:tc>
          <w:tcPr>
            <w:tcW w:w="352" w:type="pct"/>
            <w:tcBorders>
              <w:top w:val="single" w:sz="4" w:space="0" w:color="000000"/>
            </w:tcBorders>
            <w:tcMar>
              <w:left w:w="72" w:type="dxa"/>
              <w:right w:w="72" w:type="dxa"/>
            </w:tcMar>
          </w:tcPr>
          <w:p w14:paraId="09AE7E2F" w14:textId="77777777" w:rsidR="00B607E8" w:rsidRPr="009F1781" w:rsidRDefault="00B607E8" w:rsidP="00EB155C">
            <w:pPr>
              <w:pStyle w:val="TableText"/>
              <w:jc w:val="right"/>
            </w:pPr>
          </w:p>
        </w:tc>
        <w:tc>
          <w:tcPr>
            <w:tcW w:w="491" w:type="pct"/>
            <w:tcBorders>
              <w:top w:val="single" w:sz="4" w:space="0" w:color="000000"/>
            </w:tcBorders>
            <w:tcMar>
              <w:left w:w="72" w:type="dxa"/>
              <w:right w:w="72" w:type="dxa"/>
            </w:tcMar>
          </w:tcPr>
          <w:p w14:paraId="062B842E" w14:textId="77777777" w:rsidR="00B607E8" w:rsidRPr="009F1781" w:rsidRDefault="00B607E8" w:rsidP="00EB155C">
            <w:pPr>
              <w:pStyle w:val="TableText"/>
              <w:jc w:val="right"/>
            </w:pPr>
          </w:p>
        </w:tc>
        <w:tc>
          <w:tcPr>
            <w:tcW w:w="252" w:type="pct"/>
            <w:tcBorders>
              <w:top w:val="single" w:sz="4" w:space="0" w:color="000000"/>
            </w:tcBorders>
            <w:tcMar>
              <w:left w:w="72" w:type="dxa"/>
              <w:right w:w="72" w:type="dxa"/>
            </w:tcMar>
          </w:tcPr>
          <w:p w14:paraId="4E7A878A" w14:textId="77777777" w:rsidR="00B607E8" w:rsidRPr="009F1781" w:rsidRDefault="00B607E8" w:rsidP="00EB155C">
            <w:pPr>
              <w:pStyle w:val="TableText"/>
              <w:jc w:val="right"/>
            </w:pPr>
          </w:p>
        </w:tc>
        <w:tc>
          <w:tcPr>
            <w:tcW w:w="352" w:type="pct"/>
            <w:tcBorders>
              <w:top w:val="single" w:sz="4" w:space="0" w:color="000000"/>
            </w:tcBorders>
            <w:tcMar>
              <w:left w:w="72" w:type="dxa"/>
              <w:right w:w="72" w:type="dxa"/>
            </w:tcMar>
          </w:tcPr>
          <w:p w14:paraId="4DAEA721" w14:textId="77777777" w:rsidR="00B607E8" w:rsidRPr="009F1781" w:rsidRDefault="00B607E8" w:rsidP="00EB155C">
            <w:pPr>
              <w:pStyle w:val="TableText"/>
              <w:jc w:val="right"/>
            </w:pPr>
          </w:p>
        </w:tc>
        <w:tc>
          <w:tcPr>
            <w:tcW w:w="455" w:type="pct"/>
            <w:tcBorders>
              <w:top w:val="single" w:sz="4" w:space="0" w:color="000000"/>
            </w:tcBorders>
            <w:tcMar>
              <w:left w:w="72" w:type="dxa"/>
              <w:right w:w="72" w:type="dxa"/>
            </w:tcMar>
          </w:tcPr>
          <w:p w14:paraId="404E6957" w14:textId="77777777" w:rsidR="00B607E8" w:rsidRPr="009F1781" w:rsidRDefault="00B607E8" w:rsidP="00EB155C">
            <w:pPr>
              <w:pStyle w:val="TableText"/>
              <w:jc w:val="right"/>
            </w:pPr>
          </w:p>
        </w:tc>
      </w:tr>
      <w:tr w:rsidR="007D2109" w:rsidRPr="002C58AA" w14:paraId="1C2B6AFB" w14:textId="77777777" w:rsidTr="007D2109">
        <w:trPr>
          <w:cantSplit/>
        </w:trPr>
        <w:tc>
          <w:tcPr>
            <w:tcW w:w="750" w:type="pct"/>
          </w:tcPr>
          <w:p w14:paraId="03D3E903" w14:textId="77777777" w:rsidR="00B607E8" w:rsidRPr="009F1781" w:rsidRDefault="00B607E8" w:rsidP="00EB155C">
            <w:pPr>
              <w:pStyle w:val="TableText"/>
              <w:rPr>
                <w:bCs/>
                <w:color w:val="000000" w:themeColor="text1"/>
              </w:rPr>
            </w:pPr>
            <w:r w:rsidRPr="009F1781">
              <w:t>Every day or almost every day</w:t>
            </w:r>
          </w:p>
        </w:tc>
        <w:tc>
          <w:tcPr>
            <w:tcW w:w="236" w:type="pct"/>
            <w:tcMar>
              <w:left w:w="72" w:type="dxa"/>
              <w:right w:w="72" w:type="dxa"/>
            </w:tcMar>
          </w:tcPr>
          <w:p w14:paraId="739EC93D" w14:textId="77777777" w:rsidR="00B607E8" w:rsidRPr="009F1781" w:rsidRDefault="00B607E8" w:rsidP="00EB155C">
            <w:pPr>
              <w:pStyle w:val="TableText"/>
              <w:jc w:val="right"/>
            </w:pPr>
            <w:r w:rsidRPr="009F1781">
              <w:rPr>
                <w:rFonts w:cs="Arial"/>
              </w:rPr>
              <w:t>2468</w:t>
            </w:r>
          </w:p>
        </w:tc>
        <w:tc>
          <w:tcPr>
            <w:tcW w:w="352" w:type="pct"/>
            <w:tcMar>
              <w:left w:w="72" w:type="dxa"/>
              <w:right w:w="72" w:type="dxa"/>
            </w:tcMar>
          </w:tcPr>
          <w:p w14:paraId="2D9B2F5C" w14:textId="77777777" w:rsidR="00B607E8" w:rsidRPr="009F1781" w:rsidRDefault="00B607E8" w:rsidP="00EB155C">
            <w:pPr>
              <w:pStyle w:val="TableText"/>
              <w:jc w:val="right"/>
            </w:pPr>
            <w:r w:rsidRPr="009F1781">
              <w:rPr>
                <w:rFonts w:cs="Arial"/>
              </w:rPr>
              <w:t>17</w:t>
            </w:r>
            <w:r w:rsidR="002F6831">
              <w:rPr>
                <w:rFonts w:cs="Arial"/>
              </w:rPr>
              <w:t>,</w:t>
            </w:r>
            <w:r w:rsidRPr="009F1781">
              <w:rPr>
                <w:rFonts w:cs="Arial"/>
              </w:rPr>
              <w:t>143</w:t>
            </w:r>
          </w:p>
        </w:tc>
        <w:tc>
          <w:tcPr>
            <w:tcW w:w="473" w:type="pct"/>
            <w:tcMar>
              <w:left w:w="72" w:type="dxa"/>
              <w:right w:w="72" w:type="dxa"/>
            </w:tcMar>
          </w:tcPr>
          <w:p w14:paraId="35749C30" w14:textId="77777777" w:rsidR="00B607E8" w:rsidRPr="009F1781" w:rsidRDefault="00B607E8" w:rsidP="00EB155C">
            <w:pPr>
              <w:pStyle w:val="TableText"/>
              <w:jc w:val="right"/>
            </w:pPr>
            <w:r w:rsidRPr="009F1781">
              <w:rPr>
                <w:rFonts w:cs="Arial"/>
              </w:rPr>
              <w:t>95.9 (94.8,</w:t>
            </w:r>
            <w:r>
              <w:rPr>
                <w:rFonts w:cs="Arial"/>
              </w:rPr>
              <w:t xml:space="preserve"> </w:t>
            </w:r>
            <w:r w:rsidRPr="009F1781">
              <w:rPr>
                <w:rFonts w:cs="Arial"/>
              </w:rPr>
              <w:t>96.7)</w:t>
            </w:r>
          </w:p>
        </w:tc>
        <w:tc>
          <w:tcPr>
            <w:tcW w:w="231" w:type="pct"/>
            <w:tcMar>
              <w:left w:w="72" w:type="dxa"/>
              <w:right w:w="72" w:type="dxa"/>
            </w:tcMar>
          </w:tcPr>
          <w:p w14:paraId="5598A704" w14:textId="77777777" w:rsidR="00B607E8" w:rsidRPr="009F1781" w:rsidRDefault="00B607E8" w:rsidP="00EB155C">
            <w:pPr>
              <w:pStyle w:val="TableText"/>
              <w:jc w:val="right"/>
            </w:pPr>
            <w:r w:rsidRPr="009F1781">
              <w:rPr>
                <w:rFonts w:cs="Arial"/>
              </w:rPr>
              <w:t>904</w:t>
            </w:r>
          </w:p>
        </w:tc>
        <w:tc>
          <w:tcPr>
            <w:tcW w:w="352" w:type="pct"/>
            <w:tcMar>
              <w:left w:w="72" w:type="dxa"/>
              <w:right w:w="72" w:type="dxa"/>
            </w:tcMar>
          </w:tcPr>
          <w:p w14:paraId="5C4C2C87" w14:textId="77777777" w:rsidR="00B607E8" w:rsidRPr="009F1781" w:rsidRDefault="00B607E8" w:rsidP="00EB155C">
            <w:pPr>
              <w:pStyle w:val="TableText"/>
              <w:jc w:val="right"/>
            </w:pPr>
            <w:r w:rsidRPr="009F1781">
              <w:rPr>
                <w:rFonts w:cs="Arial"/>
              </w:rPr>
              <w:t>6645</w:t>
            </w:r>
          </w:p>
        </w:tc>
        <w:tc>
          <w:tcPr>
            <w:tcW w:w="483" w:type="pct"/>
            <w:tcMar>
              <w:left w:w="72" w:type="dxa"/>
              <w:right w:w="72" w:type="dxa"/>
            </w:tcMar>
          </w:tcPr>
          <w:p w14:paraId="71551C58" w14:textId="77777777" w:rsidR="00B607E8" w:rsidRPr="009F1781" w:rsidRDefault="00B607E8" w:rsidP="00EB155C">
            <w:pPr>
              <w:pStyle w:val="TableText"/>
              <w:jc w:val="right"/>
            </w:pPr>
            <w:r w:rsidRPr="009F1781">
              <w:rPr>
                <w:rFonts w:cs="Arial"/>
              </w:rPr>
              <w:t>94.2 (92.3,</w:t>
            </w:r>
            <w:r>
              <w:rPr>
                <w:rFonts w:cs="Arial"/>
              </w:rPr>
              <w:t xml:space="preserve"> </w:t>
            </w:r>
            <w:r w:rsidRPr="009F1781">
              <w:rPr>
                <w:rFonts w:cs="Arial"/>
              </w:rPr>
              <w:t>95.7)</w:t>
            </w:r>
          </w:p>
        </w:tc>
        <w:tc>
          <w:tcPr>
            <w:tcW w:w="221" w:type="pct"/>
            <w:tcMar>
              <w:left w:w="72" w:type="dxa"/>
              <w:right w:w="72" w:type="dxa"/>
            </w:tcMar>
          </w:tcPr>
          <w:p w14:paraId="692D4BFC" w14:textId="77777777" w:rsidR="00B607E8" w:rsidRPr="009F1781" w:rsidRDefault="00B607E8" w:rsidP="00EB155C">
            <w:pPr>
              <w:pStyle w:val="TableText"/>
              <w:jc w:val="right"/>
            </w:pPr>
            <w:r w:rsidRPr="009F1781">
              <w:rPr>
                <w:rFonts w:cs="Arial"/>
              </w:rPr>
              <w:t>6197</w:t>
            </w:r>
          </w:p>
        </w:tc>
        <w:tc>
          <w:tcPr>
            <w:tcW w:w="352" w:type="pct"/>
            <w:tcMar>
              <w:left w:w="72" w:type="dxa"/>
              <w:right w:w="72" w:type="dxa"/>
            </w:tcMar>
          </w:tcPr>
          <w:p w14:paraId="09C8F1AB" w14:textId="77777777" w:rsidR="00B607E8" w:rsidRPr="009F1781" w:rsidRDefault="00B607E8" w:rsidP="00EB155C">
            <w:pPr>
              <w:pStyle w:val="TableText"/>
              <w:jc w:val="right"/>
            </w:pPr>
            <w:r w:rsidRPr="009F1781">
              <w:rPr>
                <w:rFonts w:cs="Arial"/>
              </w:rPr>
              <w:t>42947</w:t>
            </w:r>
          </w:p>
        </w:tc>
        <w:tc>
          <w:tcPr>
            <w:tcW w:w="491" w:type="pct"/>
            <w:tcMar>
              <w:left w:w="72" w:type="dxa"/>
              <w:right w:w="72" w:type="dxa"/>
            </w:tcMar>
          </w:tcPr>
          <w:p w14:paraId="7CEBEEE8" w14:textId="77777777" w:rsidR="00B607E8" w:rsidRPr="009F1781" w:rsidRDefault="00B607E8" w:rsidP="00EB155C">
            <w:pPr>
              <w:pStyle w:val="TableText"/>
              <w:jc w:val="right"/>
            </w:pPr>
            <w:r w:rsidRPr="009F1781">
              <w:rPr>
                <w:rFonts w:cs="Arial"/>
              </w:rPr>
              <w:t>96.2 (94.0,</w:t>
            </w:r>
            <w:r>
              <w:rPr>
                <w:rFonts w:cs="Arial"/>
              </w:rPr>
              <w:t xml:space="preserve"> </w:t>
            </w:r>
            <w:r w:rsidRPr="009F1781">
              <w:rPr>
                <w:rFonts w:cs="Arial"/>
              </w:rPr>
              <w:t>97.7)</w:t>
            </w:r>
          </w:p>
        </w:tc>
        <w:tc>
          <w:tcPr>
            <w:tcW w:w="252" w:type="pct"/>
            <w:tcMar>
              <w:left w:w="72" w:type="dxa"/>
              <w:right w:w="72" w:type="dxa"/>
            </w:tcMar>
          </w:tcPr>
          <w:p w14:paraId="0239268F" w14:textId="77777777" w:rsidR="00B607E8" w:rsidRPr="009F1781" w:rsidRDefault="00B607E8" w:rsidP="00EB155C">
            <w:pPr>
              <w:pStyle w:val="TableText"/>
              <w:jc w:val="right"/>
            </w:pPr>
            <w:r w:rsidRPr="009F1781">
              <w:rPr>
                <w:rFonts w:cs="Arial"/>
              </w:rPr>
              <w:t>874</w:t>
            </w:r>
          </w:p>
        </w:tc>
        <w:tc>
          <w:tcPr>
            <w:tcW w:w="352" w:type="pct"/>
            <w:tcMar>
              <w:left w:w="72" w:type="dxa"/>
              <w:right w:w="72" w:type="dxa"/>
            </w:tcMar>
          </w:tcPr>
          <w:p w14:paraId="6588DB31" w14:textId="77777777" w:rsidR="00B607E8" w:rsidRPr="009F1781" w:rsidRDefault="00B607E8" w:rsidP="00EB155C">
            <w:pPr>
              <w:pStyle w:val="TableText"/>
              <w:jc w:val="right"/>
            </w:pPr>
            <w:r w:rsidRPr="009F1781">
              <w:rPr>
                <w:rFonts w:cs="Arial"/>
              </w:rPr>
              <w:t>7390</w:t>
            </w:r>
          </w:p>
        </w:tc>
        <w:tc>
          <w:tcPr>
            <w:tcW w:w="455" w:type="pct"/>
            <w:tcMar>
              <w:left w:w="72" w:type="dxa"/>
              <w:right w:w="72" w:type="dxa"/>
            </w:tcMar>
          </w:tcPr>
          <w:p w14:paraId="4E4DDD30" w14:textId="77777777" w:rsidR="00B607E8" w:rsidRPr="009F1781" w:rsidRDefault="00B607E8" w:rsidP="00EB155C">
            <w:pPr>
              <w:pStyle w:val="TableText"/>
              <w:jc w:val="right"/>
            </w:pPr>
            <w:r w:rsidRPr="009F1781">
              <w:rPr>
                <w:rFonts w:cs="Arial"/>
              </w:rPr>
              <w:t>93.8 (79.8,</w:t>
            </w:r>
            <w:r>
              <w:rPr>
                <w:rFonts w:cs="Arial"/>
              </w:rPr>
              <w:t xml:space="preserve"> </w:t>
            </w:r>
            <w:r w:rsidRPr="009F1781">
              <w:rPr>
                <w:rFonts w:cs="Arial"/>
              </w:rPr>
              <w:t>98.3)</w:t>
            </w:r>
          </w:p>
        </w:tc>
      </w:tr>
      <w:tr w:rsidR="007D2109" w:rsidRPr="002C58AA" w14:paraId="46D94886"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750" w:type="pct"/>
          </w:tcPr>
          <w:p w14:paraId="48B3F247" w14:textId="77777777" w:rsidR="00B607E8" w:rsidRPr="009F1781" w:rsidRDefault="00B607E8" w:rsidP="00EB155C">
            <w:pPr>
              <w:pStyle w:val="TableText"/>
              <w:rPr>
                <w:bCs/>
                <w:color w:val="000000" w:themeColor="text1"/>
              </w:rPr>
            </w:pPr>
            <w:r w:rsidRPr="009F1781">
              <w:t>Once or twice a week</w:t>
            </w:r>
          </w:p>
        </w:tc>
        <w:tc>
          <w:tcPr>
            <w:tcW w:w="236" w:type="pct"/>
            <w:tcMar>
              <w:left w:w="72" w:type="dxa"/>
              <w:right w:w="72" w:type="dxa"/>
            </w:tcMar>
          </w:tcPr>
          <w:p w14:paraId="3A62787E" w14:textId="77777777" w:rsidR="00B607E8" w:rsidRPr="009F1781" w:rsidRDefault="00B607E8" w:rsidP="00EB155C">
            <w:pPr>
              <w:pStyle w:val="TableText"/>
              <w:jc w:val="right"/>
            </w:pPr>
            <w:r w:rsidRPr="009F1781">
              <w:rPr>
                <w:rFonts w:cs="Arial"/>
              </w:rPr>
              <w:t>98</w:t>
            </w:r>
          </w:p>
        </w:tc>
        <w:tc>
          <w:tcPr>
            <w:tcW w:w="352" w:type="pct"/>
            <w:tcMar>
              <w:left w:w="72" w:type="dxa"/>
              <w:right w:w="72" w:type="dxa"/>
            </w:tcMar>
          </w:tcPr>
          <w:p w14:paraId="6EB5466C" w14:textId="77777777" w:rsidR="00B607E8" w:rsidRPr="009F1781" w:rsidRDefault="00B607E8" w:rsidP="00EB155C">
            <w:pPr>
              <w:pStyle w:val="TableText"/>
              <w:jc w:val="right"/>
            </w:pPr>
            <w:r w:rsidRPr="009F1781">
              <w:rPr>
                <w:rFonts w:cs="Arial"/>
              </w:rPr>
              <w:t>654</w:t>
            </w:r>
          </w:p>
        </w:tc>
        <w:tc>
          <w:tcPr>
            <w:tcW w:w="473" w:type="pct"/>
            <w:tcMar>
              <w:left w:w="72" w:type="dxa"/>
              <w:right w:w="72" w:type="dxa"/>
            </w:tcMar>
          </w:tcPr>
          <w:p w14:paraId="3B5B9678" w14:textId="77777777" w:rsidR="00B607E8" w:rsidRPr="009F1781" w:rsidRDefault="00B607E8" w:rsidP="00EB155C">
            <w:pPr>
              <w:pStyle w:val="TableText"/>
              <w:jc w:val="right"/>
            </w:pPr>
            <w:r w:rsidRPr="009F1781">
              <w:rPr>
                <w:rFonts w:cs="Arial"/>
              </w:rPr>
              <w:t>3.7 (2.8,</w:t>
            </w:r>
            <w:r>
              <w:rPr>
                <w:rFonts w:cs="Arial"/>
              </w:rPr>
              <w:t xml:space="preserve"> </w:t>
            </w:r>
            <w:r w:rsidRPr="009F1781">
              <w:rPr>
                <w:rFonts w:cs="Arial"/>
              </w:rPr>
              <w:t>4.7)</w:t>
            </w:r>
          </w:p>
        </w:tc>
        <w:tc>
          <w:tcPr>
            <w:tcW w:w="231" w:type="pct"/>
            <w:tcMar>
              <w:left w:w="72" w:type="dxa"/>
              <w:right w:w="72" w:type="dxa"/>
            </w:tcMar>
          </w:tcPr>
          <w:p w14:paraId="43A84F89" w14:textId="77777777" w:rsidR="00B607E8" w:rsidRPr="009F1781" w:rsidRDefault="00B607E8" w:rsidP="00EB155C">
            <w:pPr>
              <w:pStyle w:val="TableText"/>
              <w:jc w:val="right"/>
            </w:pPr>
            <w:r w:rsidRPr="009F1781">
              <w:rPr>
                <w:rFonts w:cs="Arial"/>
              </w:rPr>
              <w:t>48</w:t>
            </w:r>
          </w:p>
        </w:tc>
        <w:tc>
          <w:tcPr>
            <w:tcW w:w="352" w:type="pct"/>
            <w:tcMar>
              <w:left w:w="72" w:type="dxa"/>
              <w:right w:w="72" w:type="dxa"/>
            </w:tcMar>
          </w:tcPr>
          <w:p w14:paraId="2B0021B9" w14:textId="77777777" w:rsidR="00B607E8" w:rsidRPr="009F1781" w:rsidRDefault="00B607E8" w:rsidP="00EB155C">
            <w:pPr>
              <w:pStyle w:val="TableText"/>
              <w:jc w:val="right"/>
            </w:pPr>
            <w:r w:rsidRPr="009F1781">
              <w:rPr>
                <w:rFonts w:cs="Arial"/>
              </w:rPr>
              <w:t>339</w:t>
            </w:r>
          </w:p>
        </w:tc>
        <w:tc>
          <w:tcPr>
            <w:tcW w:w="483" w:type="pct"/>
            <w:tcMar>
              <w:left w:w="72" w:type="dxa"/>
              <w:right w:w="72" w:type="dxa"/>
            </w:tcMar>
          </w:tcPr>
          <w:p w14:paraId="3F1A7FB6" w14:textId="77777777" w:rsidR="00B607E8" w:rsidRPr="009F1781" w:rsidRDefault="00B607E8" w:rsidP="00EB155C">
            <w:pPr>
              <w:pStyle w:val="TableText"/>
              <w:jc w:val="right"/>
            </w:pPr>
            <w:r w:rsidRPr="009F1781">
              <w:rPr>
                <w:rFonts w:cs="Arial"/>
              </w:rPr>
              <w:t>4.8 (3.4,</w:t>
            </w:r>
            <w:r>
              <w:rPr>
                <w:rFonts w:cs="Arial"/>
              </w:rPr>
              <w:t xml:space="preserve"> </w:t>
            </w:r>
            <w:r w:rsidRPr="009F1781">
              <w:rPr>
                <w:rFonts w:cs="Arial"/>
              </w:rPr>
              <w:t>6.7)</w:t>
            </w:r>
          </w:p>
        </w:tc>
        <w:tc>
          <w:tcPr>
            <w:tcW w:w="221" w:type="pct"/>
            <w:tcMar>
              <w:left w:w="72" w:type="dxa"/>
              <w:right w:w="72" w:type="dxa"/>
            </w:tcMar>
          </w:tcPr>
          <w:p w14:paraId="76A24A39" w14:textId="77777777" w:rsidR="00B607E8" w:rsidRPr="009F1781" w:rsidRDefault="00B607E8" w:rsidP="00EB155C">
            <w:pPr>
              <w:pStyle w:val="TableText"/>
              <w:jc w:val="right"/>
            </w:pPr>
            <w:r w:rsidRPr="009F1781">
              <w:rPr>
                <w:rFonts w:cs="Arial"/>
              </w:rPr>
              <w:t>196</w:t>
            </w:r>
          </w:p>
        </w:tc>
        <w:tc>
          <w:tcPr>
            <w:tcW w:w="352" w:type="pct"/>
            <w:tcMar>
              <w:left w:w="72" w:type="dxa"/>
              <w:right w:w="72" w:type="dxa"/>
            </w:tcMar>
          </w:tcPr>
          <w:p w14:paraId="4B065621" w14:textId="77777777" w:rsidR="00B607E8" w:rsidRPr="009F1781" w:rsidRDefault="00B607E8" w:rsidP="00EB155C">
            <w:pPr>
              <w:pStyle w:val="TableText"/>
              <w:jc w:val="right"/>
            </w:pPr>
            <w:r w:rsidRPr="009F1781">
              <w:rPr>
                <w:rFonts w:cs="Arial"/>
              </w:rPr>
              <w:t>1405</w:t>
            </w:r>
          </w:p>
        </w:tc>
        <w:tc>
          <w:tcPr>
            <w:tcW w:w="491" w:type="pct"/>
            <w:tcMar>
              <w:left w:w="72" w:type="dxa"/>
              <w:right w:w="72" w:type="dxa"/>
            </w:tcMar>
          </w:tcPr>
          <w:p w14:paraId="4D231FB5" w14:textId="77777777" w:rsidR="00B607E8" w:rsidRPr="009F1781" w:rsidRDefault="00B607E8" w:rsidP="00EB155C">
            <w:pPr>
              <w:pStyle w:val="TableText"/>
              <w:jc w:val="right"/>
            </w:pPr>
            <w:r w:rsidRPr="009F1781">
              <w:rPr>
                <w:rFonts w:cs="Arial"/>
              </w:rPr>
              <w:t>3.1 (1.8,</w:t>
            </w:r>
            <w:r>
              <w:rPr>
                <w:rFonts w:cs="Arial"/>
              </w:rPr>
              <w:t xml:space="preserve"> </w:t>
            </w:r>
            <w:r w:rsidRPr="009F1781">
              <w:rPr>
                <w:rFonts w:cs="Arial"/>
              </w:rPr>
              <w:t>5.3)</w:t>
            </w:r>
          </w:p>
        </w:tc>
        <w:tc>
          <w:tcPr>
            <w:tcW w:w="252" w:type="pct"/>
            <w:tcMar>
              <w:left w:w="72" w:type="dxa"/>
              <w:right w:w="72" w:type="dxa"/>
            </w:tcMar>
          </w:tcPr>
          <w:p w14:paraId="578435EC" w14:textId="77777777" w:rsidR="00B607E8" w:rsidRPr="009F1781" w:rsidRDefault="00B607E8" w:rsidP="00EB155C">
            <w:pPr>
              <w:pStyle w:val="TableText"/>
              <w:jc w:val="right"/>
            </w:pPr>
            <w:r w:rsidRPr="009F1781">
              <w:rPr>
                <w:rFonts w:cs="Arial"/>
              </w:rPr>
              <w:t>31</w:t>
            </w:r>
          </w:p>
        </w:tc>
        <w:tc>
          <w:tcPr>
            <w:tcW w:w="352" w:type="pct"/>
            <w:tcMar>
              <w:left w:w="72" w:type="dxa"/>
              <w:right w:w="72" w:type="dxa"/>
            </w:tcMar>
          </w:tcPr>
          <w:p w14:paraId="06159068" w14:textId="77777777" w:rsidR="00B607E8" w:rsidRPr="009F1781" w:rsidRDefault="00B607E8" w:rsidP="00EB155C">
            <w:pPr>
              <w:pStyle w:val="TableText"/>
              <w:jc w:val="right"/>
            </w:pPr>
            <w:r w:rsidRPr="009F1781">
              <w:rPr>
                <w:rFonts w:cs="Arial"/>
              </w:rPr>
              <w:t>466</w:t>
            </w:r>
          </w:p>
        </w:tc>
        <w:tc>
          <w:tcPr>
            <w:tcW w:w="455" w:type="pct"/>
            <w:tcMar>
              <w:left w:w="72" w:type="dxa"/>
              <w:right w:w="72" w:type="dxa"/>
            </w:tcMar>
          </w:tcPr>
          <w:p w14:paraId="045187F4" w14:textId="77777777" w:rsidR="00B607E8" w:rsidRPr="009F1781" w:rsidRDefault="00B607E8" w:rsidP="00EB155C">
            <w:pPr>
              <w:pStyle w:val="TableText"/>
              <w:jc w:val="right"/>
            </w:pPr>
            <w:r w:rsidRPr="009F1781">
              <w:rPr>
                <w:rFonts w:cs="Arial"/>
              </w:rPr>
              <w:t>5.9 (1.5,</w:t>
            </w:r>
            <w:r>
              <w:rPr>
                <w:rFonts w:cs="Arial"/>
              </w:rPr>
              <w:t xml:space="preserve"> </w:t>
            </w:r>
            <w:r w:rsidRPr="009F1781">
              <w:rPr>
                <w:rFonts w:cs="Arial"/>
              </w:rPr>
              <w:t>20.4)</w:t>
            </w:r>
          </w:p>
        </w:tc>
      </w:tr>
      <w:tr w:rsidR="007D2109" w:rsidRPr="002C58AA" w14:paraId="6B580899" w14:textId="77777777" w:rsidTr="007D2109">
        <w:trPr>
          <w:cantSplit/>
        </w:trPr>
        <w:tc>
          <w:tcPr>
            <w:tcW w:w="750" w:type="pct"/>
          </w:tcPr>
          <w:p w14:paraId="18C00EF4" w14:textId="77777777" w:rsidR="00B607E8" w:rsidRPr="009F1781" w:rsidRDefault="00B607E8" w:rsidP="00EB155C">
            <w:pPr>
              <w:pStyle w:val="TableText"/>
              <w:rPr>
                <w:bCs/>
                <w:color w:val="000000" w:themeColor="text1"/>
              </w:rPr>
            </w:pPr>
            <w:r w:rsidRPr="009F1781">
              <w:t>Once or twice a month</w:t>
            </w:r>
          </w:p>
        </w:tc>
        <w:tc>
          <w:tcPr>
            <w:tcW w:w="236" w:type="pct"/>
            <w:tcMar>
              <w:left w:w="72" w:type="dxa"/>
              <w:right w:w="72" w:type="dxa"/>
            </w:tcMar>
          </w:tcPr>
          <w:p w14:paraId="1B0A6B0E" w14:textId="77777777" w:rsidR="00B607E8" w:rsidRPr="009F1781" w:rsidRDefault="00B607E8" w:rsidP="00EB155C">
            <w:pPr>
              <w:pStyle w:val="TableText"/>
              <w:jc w:val="right"/>
            </w:pPr>
            <w:r w:rsidRPr="009F1781">
              <w:rPr>
                <w:rFonts w:cs="Arial"/>
              </w:rPr>
              <w:t>5</w:t>
            </w:r>
          </w:p>
        </w:tc>
        <w:tc>
          <w:tcPr>
            <w:tcW w:w="352" w:type="pct"/>
            <w:tcMar>
              <w:left w:w="72" w:type="dxa"/>
              <w:right w:w="72" w:type="dxa"/>
            </w:tcMar>
          </w:tcPr>
          <w:p w14:paraId="79B9A557" w14:textId="77777777" w:rsidR="00B607E8" w:rsidRPr="009F1781" w:rsidRDefault="00B607E8" w:rsidP="00EB155C">
            <w:pPr>
              <w:pStyle w:val="TableText"/>
              <w:jc w:val="right"/>
            </w:pPr>
            <w:r w:rsidRPr="009F1781">
              <w:rPr>
                <w:rFonts w:cs="Arial"/>
              </w:rPr>
              <w:t>26</w:t>
            </w:r>
          </w:p>
        </w:tc>
        <w:tc>
          <w:tcPr>
            <w:tcW w:w="473" w:type="pct"/>
            <w:tcMar>
              <w:left w:w="72" w:type="dxa"/>
              <w:right w:w="72" w:type="dxa"/>
            </w:tcMar>
          </w:tcPr>
          <w:p w14:paraId="6208EFB7" w14:textId="77777777" w:rsidR="00B607E8" w:rsidRPr="009F1781" w:rsidRDefault="00B607E8" w:rsidP="00EB155C">
            <w:pPr>
              <w:pStyle w:val="TableText"/>
              <w:jc w:val="right"/>
            </w:pPr>
            <w:r w:rsidRPr="009F1781">
              <w:rPr>
                <w:rFonts w:cs="Arial"/>
              </w:rPr>
              <w:t>0.1 (0.1,</w:t>
            </w:r>
            <w:r>
              <w:rPr>
                <w:rFonts w:cs="Arial"/>
              </w:rPr>
              <w:t xml:space="preserve"> </w:t>
            </w:r>
            <w:r w:rsidRPr="009F1781">
              <w:rPr>
                <w:rFonts w:cs="Arial"/>
              </w:rPr>
              <w:t>0.3)</w:t>
            </w:r>
          </w:p>
        </w:tc>
        <w:tc>
          <w:tcPr>
            <w:tcW w:w="231" w:type="pct"/>
            <w:tcMar>
              <w:left w:w="72" w:type="dxa"/>
              <w:right w:w="72" w:type="dxa"/>
            </w:tcMar>
          </w:tcPr>
          <w:p w14:paraId="0BE13C17" w14:textId="77777777" w:rsidR="00B607E8" w:rsidRPr="009F1781" w:rsidRDefault="00B607E8" w:rsidP="00EB155C">
            <w:pPr>
              <w:pStyle w:val="TableText"/>
              <w:jc w:val="right"/>
            </w:pPr>
            <w:r w:rsidRPr="00E603D7">
              <w:t>#</w:t>
            </w:r>
          </w:p>
        </w:tc>
        <w:tc>
          <w:tcPr>
            <w:tcW w:w="352" w:type="pct"/>
            <w:tcMar>
              <w:left w:w="72" w:type="dxa"/>
              <w:right w:w="72" w:type="dxa"/>
            </w:tcMar>
          </w:tcPr>
          <w:p w14:paraId="5ACAF474" w14:textId="77777777" w:rsidR="00B607E8" w:rsidRPr="009F1781" w:rsidRDefault="00B607E8" w:rsidP="00EB155C">
            <w:pPr>
              <w:pStyle w:val="TableText"/>
              <w:jc w:val="right"/>
            </w:pPr>
            <w:r>
              <w:t>–</w:t>
            </w:r>
          </w:p>
        </w:tc>
        <w:tc>
          <w:tcPr>
            <w:tcW w:w="483" w:type="pct"/>
            <w:tcMar>
              <w:left w:w="72" w:type="dxa"/>
              <w:right w:w="72" w:type="dxa"/>
            </w:tcMar>
          </w:tcPr>
          <w:p w14:paraId="3710E586" w14:textId="77777777" w:rsidR="00B607E8" w:rsidRPr="009F1781" w:rsidRDefault="00B607E8" w:rsidP="00EB155C">
            <w:pPr>
              <w:pStyle w:val="TableText"/>
              <w:jc w:val="right"/>
            </w:pPr>
            <w:r>
              <w:t>–</w:t>
            </w:r>
          </w:p>
        </w:tc>
        <w:tc>
          <w:tcPr>
            <w:tcW w:w="221" w:type="pct"/>
            <w:tcMar>
              <w:left w:w="72" w:type="dxa"/>
              <w:right w:w="72" w:type="dxa"/>
            </w:tcMar>
          </w:tcPr>
          <w:p w14:paraId="1E42284A" w14:textId="77777777" w:rsidR="00B607E8" w:rsidRPr="009F1781" w:rsidRDefault="00B607E8" w:rsidP="00EB155C">
            <w:pPr>
              <w:pStyle w:val="TableText"/>
              <w:jc w:val="right"/>
            </w:pPr>
            <w:r w:rsidRPr="009F1781">
              <w:rPr>
                <w:rFonts w:cs="Arial"/>
              </w:rPr>
              <w:t>19</w:t>
            </w:r>
          </w:p>
        </w:tc>
        <w:tc>
          <w:tcPr>
            <w:tcW w:w="352" w:type="pct"/>
            <w:tcMar>
              <w:left w:w="72" w:type="dxa"/>
              <w:right w:w="72" w:type="dxa"/>
            </w:tcMar>
          </w:tcPr>
          <w:p w14:paraId="6B1053DB" w14:textId="77777777" w:rsidR="00B607E8" w:rsidRPr="009F1781" w:rsidRDefault="00B607E8" w:rsidP="00EB155C">
            <w:pPr>
              <w:pStyle w:val="TableText"/>
              <w:jc w:val="right"/>
            </w:pPr>
            <w:r w:rsidRPr="009F1781">
              <w:rPr>
                <w:rFonts w:cs="Arial"/>
              </w:rPr>
              <w:t>63</w:t>
            </w:r>
          </w:p>
        </w:tc>
        <w:tc>
          <w:tcPr>
            <w:tcW w:w="491" w:type="pct"/>
            <w:tcMar>
              <w:left w:w="72" w:type="dxa"/>
              <w:right w:w="72" w:type="dxa"/>
            </w:tcMar>
          </w:tcPr>
          <w:p w14:paraId="6C6DE281" w14:textId="77777777" w:rsidR="00B607E8" w:rsidRPr="009F1781" w:rsidRDefault="00B607E8" w:rsidP="00EB155C">
            <w:pPr>
              <w:pStyle w:val="TableText"/>
              <w:jc w:val="right"/>
            </w:pPr>
            <w:r w:rsidRPr="009F1781">
              <w:rPr>
                <w:rFonts w:cs="Arial"/>
              </w:rPr>
              <w:t>0.1 (0.1,</w:t>
            </w:r>
            <w:r>
              <w:rPr>
                <w:rFonts w:cs="Arial"/>
              </w:rPr>
              <w:t xml:space="preserve"> </w:t>
            </w:r>
            <w:r w:rsidRPr="009F1781">
              <w:rPr>
                <w:rFonts w:cs="Arial"/>
              </w:rPr>
              <w:t>0.2)</w:t>
            </w:r>
          </w:p>
        </w:tc>
        <w:tc>
          <w:tcPr>
            <w:tcW w:w="252" w:type="pct"/>
            <w:tcMar>
              <w:left w:w="72" w:type="dxa"/>
              <w:right w:w="72" w:type="dxa"/>
            </w:tcMar>
          </w:tcPr>
          <w:p w14:paraId="4E976912" w14:textId="77777777" w:rsidR="00B607E8" w:rsidRPr="009F1781" w:rsidRDefault="00B607E8" w:rsidP="00EB155C">
            <w:pPr>
              <w:pStyle w:val="TableText"/>
              <w:jc w:val="right"/>
            </w:pPr>
            <w:r w:rsidRPr="00E603D7">
              <w:t>#</w:t>
            </w:r>
          </w:p>
        </w:tc>
        <w:tc>
          <w:tcPr>
            <w:tcW w:w="352" w:type="pct"/>
            <w:tcMar>
              <w:left w:w="72" w:type="dxa"/>
              <w:right w:w="72" w:type="dxa"/>
            </w:tcMar>
          </w:tcPr>
          <w:p w14:paraId="21A6BB45" w14:textId="77777777" w:rsidR="00B607E8" w:rsidRPr="009F1781" w:rsidRDefault="00B607E8" w:rsidP="00EB155C">
            <w:pPr>
              <w:pStyle w:val="TableText"/>
              <w:jc w:val="right"/>
            </w:pPr>
            <w:r>
              <w:t>–</w:t>
            </w:r>
          </w:p>
        </w:tc>
        <w:tc>
          <w:tcPr>
            <w:tcW w:w="455" w:type="pct"/>
            <w:tcMar>
              <w:left w:w="72" w:type="dxa"/>
              <w:right w:w="72" w:type="dxa"/>
            </w:tcMar>
          </w:tcPr>
          <w:p w14:paraId="146B16D8" w14:textId="77777777" w:rsidR="00B607E8" w:rsidRPr="009F1781" w:rsidRDefault="00B607E8" w:rsidP="00EB155C">
            <w:pPr>
              <w:pStyle w:val="TableText"/>
              <w:jc w:val="right"/>
            </w:pPr>
            <w:r>
              <w:t>–</w:t>
            </w:r>
          </w:p>
        </w:tc>
      </w:tr>
      <w:tr w:rsidR="007D2109" w:rsidRPr="002C58AA" w14:paraId="716C08FA"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750" w:type="pct"/>
            <w:tcBorders>
              <w:bottom w:val="single" w:sz="4" w:space="0" w:color="000000"/>
            </w:tcBorders>
          </w:tcPr>
          <w:p w14:paraId="2B4ED543" w14:textId="77777777" w:rsidR="00B607E8" w:rsidRPr="009F1781" w:rsidRDefault="00B607E8" w:rsidP="00EB155C">
            <w:pPr>
              <w:pStyle w:val="TableText"/>
              <w:rPr>
                <w:bCs/>
                <w:color w:val="000000" w:themeColor="text1"/>
              </w:rPr>
            </w:pPr>
            <w:r w:rsidRPr="009F1781">
              <w:t>Less than once a month</w:t>
            </w:r>
          </w:p>
        </w:tc>
        <w:tc>
          <w:tcPr>
            <w:tcW w:w="236" w:type="pct"/>
            <w:tcBorders>
              <w:bottom w:val="single" w:sz="4" w:space="0" w:color="000000"/>
            </w:tcBorders>
            <w:tcMar>
              <w:left w:w="72" w:type="dxa"/>
              <w:right w:w="72" w:type="dxa"/>
            </w:tcMar>
          </w:tcPr>
          <w:p w14:paraId="0A58329A" w14:textId="77777777" w:rsidR="00B607E8" w:rsidRPr="009F1781" w:rsidRDefault="00B607E8" w:rsidP="00EB155C">
            <w:pPr>
              <w:pStyle w:val="TableText"/>
              <w:jc w:val="right"/>
            </w:pPr>
            <w:r w:rsidRPr="009F1781">
              <w:rPr>
                <w:rFonts w:cs="Arial"/>
              </w:rPr>
              <w:t>6</w:t>
            </w:r>
          </w:p>
        </w:tc>
        <w:tc>
          <w:tcPr>
            <w:tcW w:w="352" w:type="pct"/>
            <w:tcBorders>
              <w:bottom w:val="single" w:sz="4" w:space="0" w:color="000000"/>
            </w:tcBorders>
            <w:tcMar>
              <w:left w:w="72" w:type="dxa"/>
              <w:right w:w="72" w:type="dxa"/>
            </w:tcMar>
          </w:tcPr>
          <w:p w14:paraId="7499E774" w14:textId="77777777" w:rsidR="00B607E8" w:rsidRPr="009F1781" w:rsidRDefault="00B607E8" w:rsidP="00EB155C">
            <w:pPr>
              <w:pStyle w:val="TableText"/>
              <w:jc w:val="right"/>
            </w:pPr>
            <w:r w:rsidRPr="009F1781">
              <w:rPr>
                <w:rFonts w:cs="Arial"/>
              </w:rPr>
              <w:t>26</w:t>
            </w:r>
          </w:p>
        </w:tc>
        <w:tc>
          <w:tcPr>
            <w:tcW w:w="473" w:type="pct"/>
            <w:tcBorders>
              <w:bottom w:val="single" w:sz="4" w:space="0" w:color="000000"/>
            </w:tcBorders>
            <w:tcMar>
              <w:left w:w="72" w:type="dxa"/>
              <w:right w:w="72" w:type="dxa"/>
            </w:tcMar>
          </w:tcPr>
          <w:p w14:paraId="4F513F1B" w14:textId="77777777" w:rsidR="00B607E8" w:rsidRPr="009F1781" w:rsidRDefault="00B607E8" w:rsidP="00EB155C">
            <w:pPr>
              <w:pStyle w:val="TableText"/>
              <w:jc w:val="right"/>
            </w:pPr>
            <w:r w:rsidRPr="009F1781">
              <w:rPr>
                <w:rFonts w:cs="Arial"/>
              </w:rPr>
              <w:t>0.1 (0.1,</w:t>
            </w:r>
            <w:r>
              <w:rPr>
                <w:rFonts w:cs="Arial"/>
              </w:rPr>
              <w:t xml:space="preserve"> </w:t>
            </w:r>
            <w:r w:rsidRPr="009F1781">
              <w:rPr>
                <w:rFonts w:cs="Arial"/>
              </w:rPr>
              <w:t>0.3)</w:t>
            </w:r>
          </w:p>
        </w:tc>
        <w:tc>
          <w:tcPr>
            <w:tcW w:w="231" w:type="pct"/>
            <w:tcBorders>
              <w:bottom w:val="single" w:sz="4" w:space="0" w:color="000000"/>
            </w:tcBorders>
            <w:tcMar>
              <w:left w:w="72" w:type="dxa"/>
              <w:right w:w="72" w:type="dxa"/>
            </w:tcMar>
          </w:tcPr>
          <w:p w14:paraId="7AEED349" w14:textId="77777777" w:rsidR="00B607E8" w:rsidRPr="009F1781" w:rsidRDefault="00B607E8" w:rsidP="00EB155C">
            <w:pPr>
              <w:pStyle w:val="TableText"/>
              <w:jc w:val="right"/>
            </w:pPr>
            <w:r w:rsidRPr="009F1781">
              <w:rPr>
                <w:rFonts w:cs="Arial"/>
              </w:rPr>
              <w:t>7</w:t>
            </w:r>
          </w:p>
        </w:tc>
        <w:tc>
          <w:tcPr>
            <w:tcW w:w="352" w:type="pct"/>
            <w:tcBorders>
              <w:bottom w:val="single" w:sz="4" w:space="0" w:color="000000"/>
            </w:tcBorders>
            <w:tcMar>
              <w:left w:w="72" w:type="dxa"/>
              <w:right w:w="72" w:type="dxa"/>
            </w:tcMar>
          </w:tcPr>
          <w:p w14:paraId="372C879D" w14:textId="77777777" w:rsidR="00B607E8" w:rsidRPr="009F1781" w:rsidRDefault="00B607E8" w:rsidP="00EB155C">
            <w:pPr>
              <w:pStyle w:val="TableText"/>
              <w:jc w:val="right"/>
            </w:pPr>
            <w:r w:rsidRPr="009F1781">
              <w:rPr>
                <w:rFonts w:cs="Arial"/>
              </w:rPr>
              <w:t>41</w:t>
            </w:r>
          </w:p>
        </w:tc>
        <w:tc>
          <w:tcPr>
            <w:tcW w:w="483" w:type="pct"/>
            <w:tcBorders>
              <w:bottom w:val="single" w:sz="4" w:space="0" w:color="000000"/>
            </w:tcBorders>
            <w:tcMar>
              <w:left w:w="72" w:type="dxa"/>
              <w:right w:w="72" w:type="dxa"/>
            </w:tcMar>
          </w:tcPr>
          <w:p w14:paraId="425B61AF" w14:textId="77777777" w:rsidR="00B607E8" w:rsidRPr="009F1781" w:rsidRDefault="00B607E8" w:rsidP="00EB155C">
            <w:pPr>
              <w:pStyle w:val="TableText"/>
              <w:jc w:val="right"/>
            </w:pPr>
            <w:r w:rsidRPr="009F1781">
              <w:rPr>
                <w:rFonts w:cs="Arial"/>
              </w:rPr>
              <w:t>0.6 (0.3,</w:t>
            </w:r>
            <w:r>
              <w:rPr>
                <w:rFonts w:cs="Arial"/>
              </w:rPr>
              <w:t xml:space="preserve"> </w:t>
            </w:r>
            <w:r w:rsidRPr="009F1781">
              <w:rPr>
                <w:rFonts w:cs="Arial"/>
              </w:rPr>
              <w:t>1.3)</w:t>
            </w:r>
          </w:p>
        </w:tc>
        <w:tc>
          <w:tcPr>
            <w:tcW w:w="221" w:type="pct"/>
            <w:tcBorders>
              <w:bottom w:val="single" w:sz="4" w:space="0" w:color="000000"/>
            </w:tcBorders>
            <w:tcMar>
              <w:left w:w="72" w:type="dxa"/>
              <w:right w:w="72" w:type="dxa"/>
            </w:tcMar>
          </w:tcPr>
          <w:p w14:paraId="46BF53A3" w14:textId="77777777" w:rsidR="00B607E8" w:rsidRPr="009F1781" w:rsidRDefault="00B607E8" w:rsidP="00EB155C">
            <w:pPr>
              <w:pStyle w:val="TableText"/>
              <w:jc w:val="right"/>
            </w:pPr>
            <w:r w:rsidRPr="009F1781">
              <w:rPr>
                <w:rFonts w:cs="Arial"/>
              </w:rPr>
              <w:t>14</w:t>
            </w:r>
          </w:p>
        </w:tc>
        <w:tc>
          <w:tcPr>
            <w:tcW w:w="352" w:type="pct"/>
            <w:tcBorders>
              <w:bottom w:val="single" w:sz="4" w:space="0" w:color="000000"/>
            </w:tcBorders>
            <w:tcMar>
              <w:left w:w="72" w:type="dxa"/>
              <w:right w:w="72" w:type="dxa"/>
            </w:tcMar>
          </w:tcPr>
          <w:p w14:paraId="34F85E9F" w14:textId="77777777" w:rsidR="00B607E8" w:rsidRPr="009F1781" w:rsidRDefault="00B607E8" w:rsidP="00EB155C">
            <w:pPr>
              <w:pStyle w:val="TableText"/>
              <w:jc w:val="right"/>
            </w:pPr>
            <w:r w:rsidRPr="009F1781">
              <w:rPr>
                <w:rFonts w:cs="Arial"/>
              </w:rPr>
              <w:t>181</w:t>
            </w:r>
          </w:p>
        </w:tc>
        <w:tc>
          <w:tcPr>
            <w:tcW w:w="491" w:type="pct"/>
            <w:tcBorders>
              <w:bottom w:val="single" w:sz="4" w:space="0" w:color="000000"/>
            </w:tcBorders>
            <w:tcMar>
              <w:left w:w="72" w:type="dxa"/>
              <w:right w:w="72" w:type="dxa"/>
            </w:tcMar>
          </w:tcPr>
          <w:p w14:paraId="3752BB66" w14:textId="77777777" w:rsidR="00B607E8" w:rsidRPr="009F1781" w:rsidRDefault="00B607E8" w:rsidP="00EB155C">
            <w:pPr>
              <w:pStyle w:val="TableText"/>
              <w:jc w:val="right"/>
            </w:pPr>
            <w:r w:rsidRPr="009F1781">
              <w:rPr>
                <w:rFonts w:cs="Arial"/>
              </w:rPr>
              <w:t>0.4 (0.1,</w:t>
            </w:r>
            <w:r>
              <w:rPr>
                <w:rFonts w:cs="Arial"/>
              </w:rPr>
              <w:t xml:space="preserve"> </w:t>
            </w:r>
            <w:r w:rsidRPr="009F1781">
              <w:rPr>
                <w:rFonts w:cs="Arial"/>
              </w:rPr>
              <w:t>1.6)</w:t>
            </w:r>
          </w:p>
        </w:tc>
        <w:tc>
          <w:tcPr>
            <w:tcW w:w="252" w:type="pct"/>
            <w:tcBorders>
              <w:bottom w:val="single" w:sz="4" w:space="0" w:color="000000"/>
            </w:tcBorders>
            <w:tcMar>
              <w:left w:w="72" w:type="dxa"/>
              <w:right w:w="72" w:type="dxa"/>
            </w:tcMar>
          </w:tcPr>
          <w:p w14:paraId="7BEC1663" w14:textId="77777777" w:rsidR="00B607E8" w:rsidRPr="009F1781" w:rsidRDefault="00B607E8" w:rsidP="00EB155C">
            <w:pPr>
              <w:pStyle w:val="TableText"/>
              <w:jc w:val="right"/>
            </w:pPr>
            <w:r w:rsidRPr="00E603D7">
              <w:t>#</w:t>
            </w:r>
          </w:p>
        </w:tc>
        <w:tc>
          <w:tcPr>
            <w:tcW w:w="352" w:type="pct"/>
            <w:tcBorders>
              <w:bottom w:val="single" w:sz="4" w:space="0" w:color="000000"/>
            </w:tcBorders>
            <w:tcMar>
              <w:left w:w="72" w:type="dxa"/>
              <w:right w:w="72" w:type="dxa"/>
            </w:tcMar>
          </w:tcPr>
          <w:p w14:paraId="2B23C81B" w14:textId="77777777" w:rsidR="00B607E8" w:rsidRPr="009F1781" w:rsidRDefault="00B607E8" w:rsidP="00EB155C">
            <w:pPr>
              <w:pStyle w:val="TableText"/>
              <w:jc w:val="right"/>
            </w:pPr>
            <w:r>
              <w:t>–</w:t>
            </w:r>
          </w:p>
        </w:tc>
        <w:tc>
          <w:tcPr>
            <w:tcW w:w="455" w:type="pct"/>
            <w:tcBorders>
              <w:bottom w:val="single" w:sz="4" w:space="0" w:color="000000"/>
            </w:tcBorders>
            <w:tcMar>
              <w:left w:w="72" w:type="dxa"/>
              <w:right w:w="72" w:type="dxa"/>
            </w:tcMar>
          </w:tcPr>
          <w:p w14:paraId="16C07C44" w14:textId="77777777" w:rsidR="00B607E8" w:rsidRPr="009F1781" w:rsidRDefault="00B607E8" w:rsidP="00EB155C">
            <w:pPr>
              <w:pStyle w:val="TableText"/>
              <w:jc w:val="right"/>
            </w:pPr>
            <w:r>
              <w:t>–</w:t>
            </w:r>
          </w:p>
        </w:tc>
      </w:tr>
      <w:tr w:rsidR="007D2109" w:rsidRPr="002C58AA" w14:paraId="6FD0D099" w14:textId="77777777" w:rsidTr="007D2109">
        <w:trPr>
          <w:cantSplit/>
        </w:trPr>
        <w:tc>
          <w:tcPr>
            <w:tcW w:w="750" w:type="pct"/>
            <w:tcBorders>
              <w:top w:val="single" w:sz="4" w:space="0" w:color="000000"/>
              <w:bottom w:val="nil"/>
            </w:tcBorders>
          </w:tcPr>
          <w:p w14:paraId="58A15B93" w14:textId="77777777" w:rsidR="00B607E8" w:rsidRPr="003B2134" w:rsidRDefault="00B607E8" w:rsidP="00EB155C">
            <w:pPr>
              <w:pStyle w:val="TableText"/>
              <w:rPr>
                <w:b/>
                <w:bCs/>
                <w:color w:val="000000" w:themeColor="text1"/>
              </w:rPr>
            </w:pPr>
            <w:r w:rsidRPr="003B2134">
              <w:rPr>
                <w:b/>
                <w:bCs/>
                <w:color w:val="000000" w:themeColor="text1"/>
              </w:rPr>
              <w:t xml:space="preserve">Hours spent on the </w:t>
            </w:r>
            <w:r>
              <w:rPr>
                <w:b/>
                <w:bCs/>
                <w:color w:val="000000" w:themeColor="text1"/>
              </w:rPr>
              <w:t>internet</w:t>
            </w:r>
            <w:r w:rsidRPr="003B2134">
              <w:rPr>
                <w:b/>
                <w:bCs/>
                <w:color w:val="000000" w:themeColor="text1"/>
              </w:rPr>
              <w:t xml:space="preserve"> on typical work day</w:t>
            </w:r>
            <w:r w:rsidRPr="002444C6">
              <w:t>†</w:t>
            </w:r>
          </w:p>
        </w:tc>
        <w:tc>
          <w:tcPr>
            <w:tcW w:w="236" w:type="pct"/>
            <w:tcBorders>
              <w:top w:val="single" w:sz="4" w:space="0" w:color="000000"/>
              <w:bottom w:val="nil"/>
            </w:tcBorders>
            <w:tcMar>
              <w:left w:w="72" w:type="dxa"/>
              <w:right w:w="72" w:type="dxa"/>
            </w:tcMar>
          </w:tcPr>
          <w:p w14:paraId="414300E0" w14:textId="77777777" w:rsidR="00B607E8" w:rsidRPr="009F1781" w:rsidRDefault="00B607E8" w:rsidP="00EB155C">
            <w:pPr>
              <w:pStyle w:val="TableText"/>
              <w:jc w:val="right"/>
            </w:pPr>
          </w:p>
        </w:tc>
        <w:tc>
          <w:tcPr>
            <w:tcW w:w="352" w:type="pct"/>
            <w:tcBorders>
              <w:top w:val="single" w:sz="4" w:space="0" w:color="000000"/>
              <w:bottom w:val="nil"/>
            </w:tcBorders>
            <w:tcMar>
              <w:left w:w="72" w:type="dxa"/>
              <w:right w:w="72" w:type="dxa"/>
            </w:tcMar>
          </w:tcPr>
          <w:p w14:paraId="42856F7C" w14:textId="77777777" w:rsidR="00B607E8" w:rsidRPr="009F1781" w:rsidRDefault="00B607E8" w:rsidP="00EB155C">
            <w:pPr>
              <w:pStyle w:val="TableText"/>
              <w:jc w:val="right"/>
            </w:pPr>
          </w:p>
        </w:tc>
        <w:tc>
          <w:tcPr>
            <w:tcW w:w="473" w:type="pct"/>
            <w:tcBorders>
              <w:top w:val="single" w:sz="4" w:space="0" w:color="000000"/>
              <w:bottom w:val="nil"/>
            </w:tcBorders>
            <w:tcMar>
              <w:left w:w="72" w:type="dxa"/>
              <w:right w:w="72" w:type="dxa"/>
            </w:tcMar>
          </w:tcPr>
          <w:p w14:paraId="1412C749" w14:textId="77777777" w:rsidR="00B607E8" w:rsidRPr="009F1781" w:rsidRDefault="00B607E8" w:rsidP="00EB155C">
            <w:pPr>
              <w:pStyle w:val="TableText"/>
              <w:jc w:val="right"/>
            </w:pPr>
          </w:p>
        </w:tc>
        <w:tc>
          <w:tcPr>
            <w:tcW w:w="231" w:type="pct"/>
            <w:tcBorders>
              <w:top w:val="single" w:sz="4" w:space="0" w:color="000000"/>
              <w:bottom w:val="nil"/>
            </w:tcBorders>
            <w:tcMar>
              <w:left w:w="72" w:type="dxa"/>
              <w:right w:w="72" w:type="dxa"/>
            </w:tcMar>
          </w:tcPr>
          <w:p w14:paraId="2F73E9D4" w14:textId="77777777" w:rsidR="00B607E8" w:rsidRPr="009F1781" w:rsidRDefault="00B607E8" w:rsidP="00EB155C">
            <w:pPr>
              <w:pStyle w:val="TableText"/>
              <w:jc w:val="right"/>
            </w:pPr>
          </w:p>
        </w:tc>
        <w:tc>
          <w:tcPr>
            <w:tcW w:w="352" w:type="pct"/>
            <w:tcBorders>
              <w:top w:val="single" w:sz="4" w:space="0" w:color="000000"/>
              <w:bottom w:val="nil"/>
            </w:tcBorders>
            <w:tcMar>
              <w:left w:w="72" w:type="dxa"/>
              <w:right w:w="72" w:type="dxa"/>
            </w:tcMar>
          </w:tcPr>
          <w:p w14:paraId="0CDE273C" w14:textId="77777777" w:rsidR="00B607E8" w:rsidRPr="009F1781" w:rsidRDefault="00B607E8" w:rsidP="00EB155C">
            <w:pPr>
              <w:pStyle w:val="TableText"/>
              <w:jc w:val="right"/>
            </w:pPr>
          </w:p>
        </w:tc>
        <w:tc>
          <w:tcPr>
            <w:tcW w:w="483" w:type="pct"/>
            <w:tcBorders>
              <w:top w:val="single" w:sz="4" w:space="0" w:color="000000"/>
              <w:bottom w:val="nil"/>
            </w:tcBorders>
            <w:tcMar>
              <w:left w:w="72" w:type="dxa"/>
              <w:right w:w="72" w:type="dxa"/>
            </w:tcMar>
          </w:tcPr>
          <w:p w14:paraId="4193EBA2" w14:textId="77777777" w:rsidR="00B607E8" w:rsidRPr="009F1781" w:rsidRDefault="00B607E8" w:rsidP="00EB155C">
            <w:pPr>
              <w:pStyle w:val="TableText"/>
              <w:jc w:val="right"/>
            </w:pPr>
          </w:p>
        </w:tc>
        <w:tc>
          <w:tcPr>
            <w:tcW w:w="221" w:type="pct"/>
            <w:tcBorders>
              <w:top w:val="single" w:sz="4" w:space="0" w:color="000000"/>
              <w:bottom w:val="nil"/>
            </w:tcBorders>
            <w:tcMar>
              <w:left w:w="72" w:type="dxa"/>
              <w:right w:w="72" w:type="dxa"/>
            </w:tcMar>
          </w:tcPr>
          <w:p w14:paraId="62C38097" w14:textId="77777777" w:rsidR="00B607E8" w:rsidRPr="009F1781" w:rsidRDefault="00B607E8" w:rsidP="00EB155C">
            <w:pPr>
              <w:pStyle w:val="TableText"/>
              <w:jc w:val="right"/>
            </w:pPr>
          </w:p>
        </w:tc>
        <w:tc>
          <w:tcPr>
            <w:tcW w:w="352" w:type="pct"/>
            <w:tcBorders>
              <w:top w:val="single" w:sz="4" w:space="0" w:color="000000"/>
              <w:bottom w:val="nil"/>
            </w:tcBorders>
            <w:tcMar>
              <w:left w:w="72" w:type="dxa"/>
              <w:right w:w="72" w:type="dxa"/>
            </w:tcMar>
          </w:tcPr>
          <w:p w14:paraId="0128F96D" w14:textId="77777777" w:rsidR="00B607E8" w:rsidRPr="009F1781" w:rsidRDefault="00B607E8" w:rsidP="00EB155C">
            <w:pPr>
              <w:pStyle w:val="TableText"/>
              <w:jc w:val="right"/>
            </w:pPr>
          </w:p>
        </w:tc>
        <w:tc>
          <w:tcPr>
            <w:tcW w:w="491" w:type="pct"/>
            <w:tcBorders>
              <w:top w:val="single" w:sz="4" w:space="0" w:color="000000"/>
              <w:bottom w:val="nil"/>
            </w:tcBorders>
            <w:tcMar>
              <w:left w:w="72" w:type="dxa"/>
              <w:right w:w="72" w:type="dxa"/>
            </w:tcMar>
          </w:tcPr>
          <w:p w14:paraId="1BF57289" w14:textId="77777777" w:rsidR="00B607E8" w:rsidRPr="009F1781" w:rsidRDefault="00B607E8" w:rsidP="00EB155C">
            <w:pPr>
              <w:pStyle w:val="TableText"/>
              <w:jc w:val="right"/>
            </w:pPr>
          </w:p>
        </w:tc>
        <w:tc>
          <w:tcPr>
            <w:tcW w:w="252" w:type="pct"/>
            <w:tcBorders>
              <w:top w:val="single" w:sz="4" w:space="0" w:color="000000"/>
              <w:bottom w:val="nil"/>
            </w:tcBorders>
            <w:tcMar>
              <w:left w:w="72" w:type="dxa"/>
              <w:right w:w="72" w:type="dxa"/>
            </w:tcMar>
          </w:tcPr>
          <w:p w14:paraId="3237C47E" w14:textId="77777777" w:rsidR="00B607E8" w:rsidRPr="009F1781" w:rsidRDefault="00B607E8" w:rsidP="00EB155C">
            <w:pPr>
              <w:pStyle w:val="TableText"/>
              <w:jc w:val="right"/>
            </w:pPr>
          </w:p>
        </w:tc>
        <w:tc>
          <w:tcPr>
            <w:tcW w:w="352" w:type="pct"/>
            <w:tcBorders>
              <w:top w:val="single" w:sz="4" w:space="0" w:color="000000"/>
              <w:bottom w:val="nil"/>
            </w:tcBorders>
            <w:tcMar>
              <w:left w:w="72" w:type="dxa"/>
              <w:right w:w="72" w:type="dxa"/>
            </w:tcMar>
          </w:tcPr>
          <w:p w14:paraId="2079E922" w14:textId="77777777" w:rsidR="00B607E8" w:rsidRPr="009F1781" w:rsidRDefault="00B607E8" w:rsidP="00EB155C">
            <w:pPr>
              <w:pStyle w:val="TableText"/>
              <w:jc w:val="right"/>
            </w:pPr>
          </w:p>
        </w:tc>
        <w:tc>
          <w:tcPr>
            <w:tcW w:w="455" w:type="pct"/>
            <w:tcBorders>
              <w:top w:val="single" w:sz="4" w:space="0" w:color="000000"/>
              <w:bottom w:val="nil"/>
            </w:tcBorders>
            <w:tcMar>
              <w:left w:w="72" w:type="dxa"/>
              <w:right w:w="72" w:type="dxa"/>
            </w:tcMar>
          </w:tcPr>
          <w:p w14:paraId="7FF186E4" w14:textId="77777777" w:rsidR="00B607E8" w:rsidRPr="009F1781" w:rsidRDefault="00B607E8" w:rsidP="00EB155C">
            <w:pPr>
              <w:pStyle w:val="TableText"/>
              <w:jc w:val="right"/>
            </w:pPr>
          </w:p>
        </w:tc>
      </w:tr>
      <w:tr w:rsidR="007D2109" w:rsidRPr="002C58AA" w14:paraId="5D1210BE"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750" w:type="pct"/>
            <w:tcBorders>
              <w:top w:val="nil"/>
            </w:tcBorders>
          </w:tcPr>
          <w:p w14:paraId="38DF783E" w14:textId="77777777" w:rsidR="00B607E8" w:rsidRPr="009F1781" w:rsidRDefault="00B607E8" w:rsidP="00EB155C">
            <w:pPr>
              <w:pStyle w:val="TableText"/>
              <w:rPr>
                <w:bCs/>
                <w:color w:val="000000" w:themeColor="text1"/>
              </w:rPr>
            </w:pPr>
            <w:r w:rsidRPr="009F1781">
              <w:t xml:space="preserve">&lt;1 </w:t>
            </w:r>
            <w:r>
              <w:t>h</w:t>
            </w:r>
            <w:r w:rsidRPr="009F1781">
              <w:t>our</w:t>
            </w:r>
          </w:p>
        </w:tc>
        <w:tc>
          <w:tcPr>
            <w:tcW w:w="236" w:type="pct"/>
            <w:tcBorders>
              <w:top w:val="nil"/>
            </w:tcBorders>
            <w:tcMar>
              <w:left w:w="72" w:type="dxa"/>
              <w:right w:w="72" w:type="dxa"/>
            </w:tcMar>
          </w:tcPr>
          <w:p w14:paraId="7014A355" w14:textId="77777777" w:rsidR="00B607E8" w:rsidRPr="009F1781" w:rsidRDefault="00B607E8" w:rsidP="00EB155C">
            <w:pPr>
              <w:pStyle w:val="TableText"/>
              <w:jc w:val="right"/>
            </w:pPr>
            <w:r w:rsidRPr="009F1781">
              <w:rPr>
                <w:rFonts w:cs="Arial"/>
              </w:rPr>
              <w:t>279</w:t>
            </w:r>
          </w:p>
        </w:tc>
        <w:tc>
          <w:tcPr>
            <w:tcW w:w="352" w:type="pct"/>
            <w:tcBorders>
              <w:top w:val="nil"/>
            </w:tcBorders>
            <w:tcMar>
              <w:left w:w="72" w:type="dxa"/>
              <w:right w:w="72" w:type="dxa"/>
            </w:tcMar>
          </w:tcPr>
          <w:p w14:paraId="62CAF8A6" w14:textId="77777777" w:rsidR="00B607E8" w:rsidRPr="009F1781" w:rsidRDefault="00B607E8" w:rsidP="00EB155C">
            <w:pPr>
              <w:pStyle w:val="TableText"/>
              <w:jc w:val="right"/>
            </w:pPr>
            <w:r w:rsidRPr="009F1781">
              <w:rPr>
                <w:rFonts w:cs="Arial"/>
              </w:rPr>
              <w:t>1786</w:t>
            </w:r>
          </w:p>
        </w:tc>
        <w:tc>
          <w:tcPr>
            <w:tcW w:w="473" w:type="pct"/>
            <w:tcBorders>
              <w:top w:val="nil"/>
            </w:tcBorders>
            <w:tcMar>
              <w:left w:w="72" w:type="dxa"/>
              <w:right w:w="72" w:type="dxa"/>
            </w:tcMar>
          </w:tcPr>
          <w:p w14:paraId="1FB1F36A" w14:textId="77777777" w:rsidR="00B607E8" w:rsidRPr="009F1781" w:rsidRDefault="00B607E8" w:rsidP="00EB155C">
            <w:pPr>
              <w:pStyle w:val="TableText"/>
              <w:jc w:val="right"/>
            </w:pPr>
            <w:r w:rsidRPr="009F1781">
              <w:rPr>
                <w:rFonts w:cs="Arial"/>
              </w:rPr>
              <w:t>10.0 (8.6,</w:t>
            </w:r>
            <w:r>
              <w:rPr>
                <w:rFonts w:cs="Arial"/>
              </w:rPr>
              <w:t xml:space="preserve"> </w:t>
            </w:r>
            <w:r w:rsidRPr="009F1781">
              <w:rPr>
                <w:rFonts w:cs="Arial"/>
              </w:rPr>
              <w:t>11.5)</w:t>
            </w:r>
          </w:p>
        </w:tc>
        <w:tc>
          <w:tcPr>
            <w:tcW w:w="231" w:type="pct"/>
            <w:tcBorders>
              <w:top w:val="nil"/>
            </w:tcBorders>
            <w:tcMar>
              <w:left w:w="72" w:type="dxa"/>
              <w:right w:w="72" w:type="dxa"/>
            </w:tcMar>
          </w:tcPr>
          <w:p w14:paraId="08D3EDB2" w14:textId="77777777" w:rsidR="00B607E8" w:rsidRPr="009F1781" w:rsidRDefault="00B607E8" w:rsidP="00EB155C">
            <w:pPr>
              <w:pStyle w:val="TableText"/>
              <w:jc w:val="right"/>
            </w:pPr>
            <w:r w:rsidRPr="009F1781">
              <w:rPr>
                <w:rFonts w:cs="Arial"/>
              </w:rPr>
              <w:t>59</w:t>
            </w:r>
          </w:p>
        </w:tc>
        <w:tc>
          <w:tcPr>
            <w:tcW w:w="352" w:type="pct"/>
            <w:tcBorders>
              <w:top w:val="nil"/>
            </w:tcBorders>
            <w:tcMar>
              <w:left w:w="72" w:type="dxa"/>
              <w:right w:w="72" w:type="dxa"/>
            </w:tcMar>
          </w:tcPr>
          <w:p w14:paraId="45528461" w14:textId="77777777" w:rsidR="00B607E8" w:rsidRPr="009F1781" w:rsidRDefault="00B607E8" w:rsidP="00EB155C">
            <w:pPr>
              <w:pStyle w:val="TableText"/>
              <w:jc w:val="right"/>
            </w:pPr>
            <w:r w:rsidRPr="009F1781">
              <w:rPr>
                <w:rFonts w:cs="Arial"/>
              </w:rPr>
              <w:t>489</w:t>
            </w:r>
          </w:p>
        </w:tc>
        <w:tc>
          <w:tcPr>
            <w:tcW w:w="483" w:type="pct"/>
            <w:tcBorders>
              <w:top w:val="nil"/>
            </w:tcBorders>
            <w:tcMar>
              <w:left w:w="72" w:type="dxa"/>
              <w:right w:w="72" w:type="dxa"/>
            </w:tcMar>
          </w:tcPr>
          <w:p w14:paraId="09AD585B" w14:textId="77777777" w:rsidR="00B607E8" w:rsidRPr="009F1781" w:rsidRDefault="00B607E8" w:rsidP="00EB155C">
            <w:pPr>
              <w:pStyle w:val="TableText"/>
              <w:jc w:val="right"/>
            </w:pPr>
            <w:r w:rsidRPr="009F1781">
              <w:rPr>
                <w:rFonts w:cs="Arial"/>
              </w:rPr>
              <w:t>6.9 (5.1,</w:t>
            </w:r>
            <w:r>
              <w:rPr>
                <w:rFonts w:cs="Arial"/>
              </w:rPr>
              <w:t xml:space="preserve"> </w:t>
            </w:r>
            <w:r w:rsidRPr="009F1781">
              <w:rPr>
                <w:rFonts w:cs="Arial"/>
              </w:rPr>
              <w:t>9.4)</w:t>
            </w:r>
          </w:p>
        </w:tc>
        <w:tc>
          <w:tcPr>
            <w:tcW w:w="221" w:type="pct"/>
            <w:tcBorders>
              <w:top w:val="nil"/>
            </w:tcBorders>
            <w:tcMar>
              <w:left w:w="72" w:type="dxa"/>
              <w:right w:w="72" w:type="dxa"/>
            </w:tcMar>
          </w:tcPr>
          <w:p w14:paraId="5A2349BD" w14:textId="77777777" w:rsidR="00B607E8" w:rsidRPr="009F1781" w:rsidRDefault="00B607E8" w:rsidP="00EB155C">
            <w:pPr>
              <w:pStyle w:val="TableText"/>
              <w:jc w:val="right"/>
            </w:pPr>
            <w:r w:rsidRPr="009F1781">
              <w:rPr>
                <w:rFonts w:cs="Arial"/>
              </w:rPr>
              <w:t>814</w:t>
            </w:r>
          </w:p>
        </w:tc>
        <w:tc>
          <w:tcPr>
            <w:tcW w:w="352" w:type="pct"/>
            <w:tcBorders>
              <w:top w:val="nil"/>
            </w:tcBorders>
            <w:tcMar>
              <w:left w:w="72" w:type="dxa"/>
              <w:right w:w="72" w:type="dxa"/>
            </w:tcMar>
          </w:tcPr>
          <w:p w14:paraId="16D0B7B9" w14:textId="77777777" w:rsidR="00B607E8" w:rsidRPr="009F1781" w:rsidRDefault="00B607E8" w:rsidP="00EB155C">
            <w:pPr>
              <w:pStyle w:val="TableText"/>
              <w:jc w:val="right"/>
            </w:pPr>
            <w:r w:rsidRPr="009F1781">
              <w:rPr>
                <w:rFonts w:cs="Arial"/>
              </w:rPr>
              <w:t>5789</w:t>
            </w:r>
          </w:p>
        </w:tc>
        <w:tc>
          <w:tcPr>
            <w:tcW w:w="491" w:type="pct"/>
            <w:tcBorders>
              <w:top w:val="nil"/>
            </w:tcBorders>
            <w:tcMar>
              <w:left w:w="72" w:type="dxa"/>
              <w:right w:w="72" w:type="dxa"/>
            </w:tcMar>
          </w:tcPr>
          <w:p w14:paraId="6024E270" w14:textId="77777777" w:rsidR="00B607E8" w:rsidRPr="009F1781" w:rsidRDefault="00B607E8" w:rsidP="00EB155C">
            <w:pPr>
              <w:pStyle w:val="TableText"/>
              <w:jc w:val="right"/>
            </w:pPr>
            <w:r w:rsidRPr="009F1781">
              <w:rPr>
                <w:rFonts w:cs="Arial"/>
              </w:rPr>
              <w:t>13.0 (10.3,</w:t>
            </w:r>
            <w:r>
              <w:rPr>
                <w:rFonts w:cs="Arial"/>
              </w:rPr>
              <w:t xml:space="preserve"> </w:t>
            </w:r>
            <w:r w:rsidRPr="009F1781">
              <w:rPr>
                <w:rFonts w:cs="Arial"/>
              </w:rPr>
              <w:t>16.3)</w:t>
            </w:r>
          </w:p>
        </w:tc>
        <w:tc>
          <w:tcPr>
            <w:tcW w:w="252" w:type="pct"/>
            <w:tcBorders>
              <w:top w:val="nil"/>
            </w:tcBorders>
            <w:tcMar>
              <w:left w:w="72" w:type="dxa"/>
              <w:right w:w="72" w:type="dxa"/>
            </w:tcMar>
          </w:tcPr>
          <w:p w14:paraId="020FBF4E" w14:textId="77777777" w:rsidR="00B607E8" w:rsidRPr="009F1781" w:rsidRDefault="00B607E8" w:rsidP="00EB155C">
            <w:pPr>
              <w:pStyle w:val="TableText"/>
              <w:jc w:val="right"/>
            </w:pPr>
            <w:r w:rsidRPr="009F1781">
              <w:rPr>
                <w:rFonts w:cs="Arial"/>
              </w:rPr>
              <w:t>93</w:t>
            </w:r>
          </w:p>
        </w:tc>
        <w:tc>
          <w:tcPr>
            <w:tcW w:w="352" w:type="pct"/>
            <w:tcBorders>
              <w:top w:val="nil"/>
            </w:tcBorders>
            <w:tcMar>
              <w:left w:w="72" w:type="dxa"/>
              <w:right w:w="72" w:type="dxa"/>
            </w:tcMar>
          </w:tcPr>
          <w:p w14:paraId="312AB3EE" w14:textId="77777777" w:rsidR="00B607E8" w:rsidRPr="009F1781" w:rsidRDefault="00B607E8" w:rsidP="00EB155C">
            <w:pPr>
              <w:pStyle w:val="TableText"/>
              <w:jc w:val="right"/>
            </w:pPr>
            <w:r w:rsidRPr="009F1781">
              <w:rPr>
                <w:rFonts w:cs="Arial"/>
              </w:rPr>
              <w:t>479</w:t>
            </w:r>
          </w:p>
        </w:tc>
        <w:tc>
          <w:tcPr>
            <w:tcW w:w="455" w:type="pct"/>
            <w:tcBorders>
              <w:top w:val="nil"/>
            </w:tcBorders>
            <w:tcMar>
              <w:left w:w="72" w:type="dxa"/>
              <w:right w:w="72" w:type="dxa"/>
            </w:tcMar>
          </w:tcPr>
          <w:p w14:paraId="4E458BD4" w14:textId="77777777" w:rsidR="00B607E8" w:rsidRPr="009F1781" w:rsidRDefault="00B607E8" w:rsidP="00EB155C">
            <w:pPr>
              <w:pStyle w:val="TableText"/>
              <w:jc w:val="right"/>
            </w:pPr>
            <w:r w:rsidRPr="009F1781">
              <w:rPr>
                <w:rFonts w:cs="Arial"/>
              </w:rPr>
              <w:t>6.1 (4.3,</w:t>
            </w:r>
            <w:r>
              <w:rPr>
                <w:rFonts w:cs="Arial"/>
              </w:rPr>
              <w:t xml:space="preserve"> </w:t>
            </w:r>
            <w:r w:rsidRPr="009F1781">
              <w:rPr>
                <w:rFonts w:cs="Arial"/>
              </w:rPr>
              <w:t>8.5)</w:t>
            </w:r>
          </w:p>
        </w:tc>
      </w:tr>
      <w:tr w:rsidR="007D2109" w:rsidRPr="002C58AA" w14:paraId="272B8AE9" w14:textId="77777777" w:rsidTr="007D2109">
        <w:trPr>
          <w:cantSplit/>
        </w:trPr>
        <w:tc>
          <w:tcPr>
            <w:tcW w:w="750" w:type="pct"/>
          </w:tcPr>
          <w:p w14:paraId="191922DD" w14:textId="77777777" w:rsidR="00B607E8" w:rsidRPr="009F1781" w:rsidRDefault="00B607E8" w:rsidP="00EB155C">
            <w:pPr>
              <w:pStyle w:val="TableText"/>
              <w:rPr>
                <w:bCs/>
                <w:color w:val="000000" w:themeColor="text1"/>
              </w:rPr>
            </w:pPr>
            <w:r w:rsidRPr="009F1781">
              <w:t>1</w:t>
            </w:r>
            <w:r>
              <w:t>–</w:t>
            </w:r>
            <w:r w:rsidRPr="009F1781">
              <w:t xml:space="preserve">2 </w:t>
            </w:r>
            <w:r>
              <w:t>h</w:t>
            </w:r>
            <w:r w:rsidRPr="009F1781">
              <w:t>ours</w:t>
            </w:r>
          </w:p>
        </w:tc>
        <w:tc>
          <w:tcPr>
            <w:tcW w:w="236" w:type="pct"/>
            <w:tcMar>
              <w:left w:w="72" w:type="dxa"/>
              <w:right w:w="72" w:type="dxa"/>
            </w:tcMar>
          </w:tcPr>
          <w:p w14:paraId="745B49F4" w14:textId="77777777" w:rsidR="00B607E8" w:rsidRPr="009F1781" w:rsidRDefault="00B607E8" w:rsidP="00EB155C">
            <w:pPr>
              <w:pStyle w:val="TableText"/>
              <w:jc w:val="right"/>
            </w:pPr>
            <w:r w:rsidRPr="009F1781">
              <w:rPr>
                <w:rFonts w:cs="Arial"/>
              </w:rPr>
              <w:t>1292</w:t>
            </w:r>
          </w:p>
        </w:tc>
        <w:tc>
          <w:tcPr>
            <w:tcW w:w="352" w:type="pct"/>
            <w:tcMar>
              <w:left w:w="72" w:type="dxa"/>
              <w:right w:w="72" w:type="dxa"/>
            </w:tcMar>
          </w:tcPr>
          <w:p w14:paraId="6D311564" w14:textId="77777777" w:rsidR="00B607E8" w:rsidRPr="009F1781" w:rsidRDefault="00B607E8" w:rsidP="00EB155C">
            <w:pPr>
              <w:pStyle w:val="TableText"/>
              <w:jc w:val="right"/>
            </w:pPr>
            <w:r w:rsidRPr="009F1781">
              <w:rPr>
                <w:rFonts w:cs="Arial"/>
              </w:rPr>
              <w:t>8569</w:t>
            </w:r>
          </w:p>
        </w:tc>
        <w:tc>
          <w:tcPr>
            <w:tcW w:w="473" w:type="pct"/>
            <w:tcMar>
              <w:left w:w="72" w:type="dxa"/>
              <w:right w:w="72" w:type="dxa"/>
            </w:tcMar>
          </w:tcPr>
          <w:p w14:paraId="0F0E91FF" w14:textId="77777777" w:rsidR="00B607E8" w:rsidRPr="009F1781" w:rsidRDefault="00B607E8" w:rsidP="00EB155C">
            <w:pPr>
              <w:pStyle w:val="TableText"/>
              <w:jc w:val="right"/>
            </w:pPr>
            <w:r w:rsidRPr="009F1781">
              <w:rPr>
                <w:rFonts w:cs="Arial"/>
              </w:rPr>
              <w:t>47.9 (45.4,</w:t>
            </w:r>
            <w:r>
              <w:rPr>
                <w:rFonts w:cs="Arial"/>
              </w:rPr>
              <w:t xml:space="preserve"> </w:t>
            </w:r>
            <w:r w:rsidRPr="009F1781">
              <w:rPr>
                <w:rFonts w:cs="Arial"/>
              </w:rPr>
              <w:t>50.4)</w:t>
            </w:r>
          </w:p>
        </w:tc>
        <w:tc>
          <w:tcPr>
            <w:tcW w:w="231" w:type="pct"/>
            <w:tcMar>
              <w:left w:w="72" w:type="dxa"/>
              <w:right w:w="72" w:type="dxa"/>
            </w:tcMar>
          </w:tcPr>
          <w:p w14:paraId="3D039012" w14:textId="77777777" w:rsidR="00B607E8" w:rsidRPr="009F1781" w:rsidRDefault="00B607E8" w:rsidP="00EB155C">
            <w:pPr>
              <w:pStyle w:val="TableText"/>
              <w:jc w:val="right"/>
            </w:pPr>
            <w:r w:rsidRPr="009F1781">
              <w:rPr>
                <w:rFonts w:cs="Arial"/>
              </w:rPr>
              <w:t>381</w:t>
            </w:r>
          </w:p>
        </w:tc>
        <w:tc>
          <w:tcPr>
            <w:tcW w:w="352" w:type="pct"/>
            <w:tcMar>
              <w:left w:w="72" w:type="dxa"/>
              <w:right w:w="72" w:type="dxa"/>
            </w:tcMar>
          </w:tcPr>
          <w:p w14:paraId="4CBAD15D" w14:textId="77777777" w:rsidR="00B607E8" w:rsidRPr="009F1781" w:rsidRDefault="00B607E8" w:rsidP="00EB155C">
            <w:pPr>
              <w:pStyle w:val="TableText"/>
              <w:jc w:val="right"/>
            </w:pPr>
            <w:r w:rsidRPr="009F1781">
              <w:rPr>
                <w:rFonts w:cs="Arial"/>
              </w:rPr>
              <w:t>2641</w:t>
            </w:r>
          </w:p>
        </w:tc>
        <w:tc>
          <w:tcPr>
            <w:tcW w:w="483" w:type="pct"/>
            <w:tcMar>
              <w:left w:w="72" w:type="dxa"/>
              <w:right w:w="72" w:type="dxa"/>
            </w:tcMar>
          </w:tcPr>
          <w:p w14:paraId="35FEB9EC" w14:textId="77777777" w:rsidR="00B607E8" w:rsidRPr="009F1781" w:rsidRDefault="00B607E8" w:rsidP="00EB155C">
            <w:pPr>
              <w:pStyle w:val="TableText"/>
              <w:jc w:val="right"/>
            </w:pPr>
            <w:r w:rsidRPr="009F1781">
              <w:rPr>
                <w:rFonts w:cs="Arial"/>
              </w:rPr>
              <w:t>37.4 (33.8,</w:t>
            </w:r>
            <w:r>
              <w:rPr>
                <w:rFonts w:cs="Arial"/>
              </w:rPr>
              <w:t xml:space="preserve"> </w:t>
            </w:r>
            <w:r w:rsidRPr="009F1781">
              <w:rPr>
                <w:rFonts w:cs="Arial"/>
              </w:rPr>
              <w:t>41.3)</w:t>
            </w:r>
          </w:p>
        </w:tc>
        <w:tc>
          <w:tcPr>
            <w:tcW w:w="221" w:type="pct"/>
            <w:tcMar>
              <w:left w:w="72" w:type="dxa"/>
              <w:right w:w="72" w:type="dxa"/>
            </w:tcMar>
          </w:tcPr>
          <w:p w14:paraId="082F641C" w14:textId="77777777" w:rsidR="00B607E8" w:rsidRPr="009F1781" w:rsidRDefault="00B607E8" w:rsidP="00EB155C">
            <w:pPr>
              <w:pStyle w:val="TableText"/>
              <w:jc w:val="right"/>
            </w:pPr>
            <w:r w:rsidRPr="009F1781">
              <w:rPr>
                <w:rFonts w:cs="Arial"/>
              </w:rPr>
              <w:t>3523</w:t>
            </w:r>
          </w:p>
        </w:tc>
        <w:tc>
          <w:tcPr>
            <w:tcW w:w="352" w:type="pct"/>
            <w:tcMar>
              <w:left w:w="72" w:type="dxa"/>
              <w:right w:w="72" w:type="dxa"/>
            </w:tcMar>
          </w:tcPr>
          <w:p w14:paraId="1D2043B1" w14:textId="77777777" w:rsidR="00B607E8" w:rsidRPr="009F1781" w:rsidRDefault="00B607E8" w:rsidP="00EB155C">
            <w:pPr>
              <w:pStyle w:val="TableText"/>
              <w:jc w:val="right"/>
            </w:pPr>
            <w:r w:rsidRPr="009F1781">
              <w:rPr>
                <w:rFonts w:cs="Arial"/>
              </w:rPr>
              <w:t>21798</w:t>
            </w:r>
          </w:p>
        </w:tc>
        <w:tc>
          <w:tcPr>
            <w:tcW w:w="491" w:type="pct"/>
            <w:tcMar>
              <w:left w:w="72" w:type="dxa"/>
              <w:right w:w="72" w:type="dxa"/>
            </w:tcMar>
          </w:tcPr>
          <w:p w14:paraId="79D195A5" w14:textId="77777777" w:rsidR="00B607E8" w:rsidRPr="009F1781" w:rsidRDefault="00B607E8" w:rsidP="00EB155C">
            <w:pPr>
              <w:pStyle w:val="TableText"/>
              <w:jc w:val="right"/>
            </w:pPr>
            <w:r w:rsidRPr="009F1781">
              <w:rPr>
                <w:rFonts w:cs="Arial"/>
              </w:rPr>
              <w:t>48.9 (44.5,</w:t>
            </w:r>
            <w:r>
              <w:rPr>
                <w:rFonts w:cs="Arial"/>
              </w:rPr>
              <w:t xml:space="preserve"> </w:t>
            </w:r>
            <w:r w:rsidRPr="009F1781">
              <w:rPr>
                <w:rFonts w:cs="Arial"/>
              </w:rPr>
              <w:t>53.2)</w:t>
            </w:r>
          </w:p>
        </w:tc>
        <w:tc>
          <w:tcPr>
            <w:tcW w:w="252" w:type="pct"/>
            <w:tcMar>
              <w:left w:w="72" w:type="dxa"/>
              <w:right w:w="72" w:type="dxa"/>
            </w:tcMar>
          </w:tcPr>
          <w:p w14:paraId="7866CB8E" w14:textId="77777777" w:rsidR="00B607E8" w:rsidRPr="009F1781" w:rsidRDefault="00B607E8" w:rsidP="00EB155C">
            <w:pPr>
              <w:pStyle w:val="TableText"/>
              <w:jc w:val="right"/>
            </w:pPr>
            <w:r w:rsidRPr="009F1781">
              <w:rPr>
                <w:rFonts w:cs="Arial"/>
              </w:rPr>
              <w:t>456</w:t>
            </w:r>
          </w:p>
        </w:tc>
        <w:tc>
          <w:tcPr>
            <w:tcW w:w="352" w:type="pct"/>
            <w:tcMar>
              <w:left w:w="72" w:type="dxa"/>
              <w:right w:w="72" w:type="dxa"/>
            </w:tcMar>
          </w:tcPr>
          <w:p w14:paraId="1A9C0717" w14:textId="77777777" w:rsidR="00B607E8" w:rsidRPr="009F1781" w:rsidRDefault="00B607E8" w:rsidP="00EB155C">
            <w:pPr>
              <w:pStyle w:val="TableText"/>
              <w:jc w:val="right"/>
            </w:pPr>
            <w:r w:rsidRPr="009F1781">
              <w:rPr>
                <w:rFonts w:cs="Arial"/>
              </w:rPr>
              <w:t>3193</w:t>
            </w:r>
          </w:p>
        </w:tc>
        <w:tc>
          <w:tcPr>
            <w:tcW w:w="455" w:type="pct"/>
            <w:tcMar>
              <w:left w:w="72" w:type="dxa"/>
              <w:right w:w="72" w:type="dxa"/>
            </w:tcMar>
          </w:tcPr>
          <w:p w14:paraId="6EC8C49C" w14:textId="77777777" w:rsidR="00B607E8" w:rsidRPr="009F1781" w:rsidRDefault="00B607E8" w:rsidP="00EB155C">
            <w:pPr>
              <w:pStyle w:val="TableText"/>
              <w:jc w:val="right"/>
            </w:pPr>
            <w:r w:rsidRPr="009F1781">
              <w:rPr>
                <w:rFonts w:cs="Arial"/>
              </w:rPr>
              <w:t>40.5 (30.0,</w:t>
            </w:r>
            <w:r>
              <w:rPr>
                <w:rFonts w:cs="Arial"/>
              </w:rPr>
              <w:t xml:space="preserve"> </w:t>
            </w:r>
            <w:r w:rsidRPr="009F1781">
              <w:rPr>
                <w:rFonts w:cs="Arial"/>
              </w:rPr>
              <w:t>52.0)</w:t>
            </w:r>
          </w:p>
        </w:tc>
      </w:tr>
      <w:tr w:rsidR="007D2109" w:rsidRPr="002C58AA" w14:paraId="202930DB"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750" w:type="pct"/>
          </w:tcPr>
          <w:p w14:paraId="4C7CD866" w14:textId="77777777" w:rsidR="00B607E8" w:rsidRPr="009F1781" w:rsidRDefault="00B607E8" w:rsidP="00EB155C">
            <w:pPr>
              <w:pStyle w:val="TableText"/>
              <w:rPr>
                <w:bCs/>
                <w:color w:val="000000" w:themeColor="text1"/>
              </w:rPr>
            </w:pPr>
            <w:r w:rsidRPr="009F1781">
              <w:t>3</w:t>
            </w:r>
            <w:r>
              <w:t>–</w:t>
            </w:r>
            <w:r w:rsidRPr="009F1781">
              <w:t xml:space="preserve">4 </w:t>
            </w:r>
            <w:r>
              <w:t>h</w:t>
            </w:r>
            <w:r w:rsidRPr="009F1781">
              <w:t>ours</w:t>
            </w:r>
          </w:p>
        </w:tc>
        <w:tc>
          <w:tcPr>
            <w:tcW w:w="236" w:type="pct"/>
            <w:tcMar>
              <w:left w:w="72" w:type="dxa"/>
              <w:right w:w="72" w:type="dxa"/>
            </w:tcMar>
          </w:tcPr>
          <w:p w14:paraId="6C868D08" w14:textId="77777777" w:rsidR="00B607E8" w:rsidRPr="009F1781" w:rsidRDefault="00B607E8" w:rsidP="00EB155C">
            <w:pPr>
              <w:pStyle w:val="TableText"/>
              <w:jc w:val="right"/>
            </w:pPr>
            <w:r w:rsidRPr="009F1781">
              <w:rPr>
                <w:rFonts w:cs="Arial"/>
              </w:rPr>
              <w:t>575</w:t>
            </w:r>
          </w:p>
        </w:tc>
        <w:tc>
          <w:tcPr>
            <w:tcW w:w="352" w:type="pct"/>
            <w:tcMar>
              <w:left w:w="72" w:type="dxa"/>
              <w:right w:w="72" w:type="dxa"/>
            </w:tcMar>
          </w:tcPr>
          <w:p w14:paraId="00DD4CCB" w14:textId="77777777" w:rsidR="00B607E8" w:rsidRPr="009F1781" w:rsidRDefault="00B607E8" w:rsidP="00EB155C">
            <w:pPr>
              <w:pStyle w:val="TableText"/>
              <w:jc w:val="right"/>
            </w:pPr>
            <w:r w:rsidRPr="009F1781">
              <w:rPr>
                <w:rFonts w:cs="Arial"/>
              </w:rPr>
              <w:t>4078</w:t>
            </w:r>
          </w:p>
        </w:tc>
        <w:tc>
          <w:tcPr>
            <w:tcW w:w="473" w:type="pct"/>
            <w:tcMar>
              <w:left w:w="72" w:type="dxa"/>
              <w:right w:w="72" w:type="dxa"/>
            </w:tcMar>
          </w:tcPr>
          <w:p w14:paraId="44D7B5FA" w14:textId="77777777" w:rsidR="00B607E8" w:rsidRPr="009F1781" w:rsidRDefault="00B607E8" w:rsidP="00EB155C">
            <w:pPr>
              <w:pStyle w:val="TableText"/>
              <w:jc w:val="right"/>
            </w:pPr>
            <w:r w:rsidRPr="009F1781">
              <w:rPr>
                <w:rFonts w:cs="Arial"/>
              </w:rPr>
              <w:t>22.8 (20.8,</w:t>
            </w:r>
            <w:r>
              <w:rPr>
                <w:rFonts w:cs="Arial"/>
              </w:rPr>
              <w:t xml:space="preserve"> </w:t>
            </w:r>
            <w:r w:rsidRPr="009F1781">
              <w:rPr>
                <w:rFonts w:cs="Arial"/>
              </w:rPr>
              <w:t>25.0)</w:t>
            </w:r>
          </w:p>
        </w:tc>
        <w:tc>
          <w:tcPr>
            <w:tcW w:w="231" w:type="pct"/>
            <w:tcMar>
              <w:left w:w="72" w:type="dxa"/>
              <w:right w:w="72" w:type="dxa"/>
            </w:tcMar>
          </w:tcPr>
          <w:p w14:paraId="226D146F" w14:textId="77777777" w:rsidR="00B607E8" w:rsidRPr="009F1781" w:rsidRDefault="00B607E8" w:rsidP="00EB155C">
            <w:pPr>
              <w:pStyle w:val="TableText"/>
              <w:jc w:val="right"/>
            </w:pPr>
            <w:r w:rsidRPr="009F1781">
              <w:rPr>
                <w:rFonts w:cs="Arial"/>
              </w:rPr>
              <w:t>249</w:t>
            </w:r>
          </w:p>
        </w:tc>
        <w:tc>
          <w:tcPr>
            <w:tcW w:w="352" w:type="pct"/>
            <w:tcMar>
              <w:left w:w="72" w:type="dxa"/>
              <w:right w:w="72" w:type="dxa"/>
            </w:tcMar>
          </w:tcPr>
          <w:p w14:paraId="4DB5B8BF" w14:textId="77777777" w:rsidR="00B607E8" w:rsidRPr="009F1781" w:rsidRDefault="00B607E8" w:rsidP="00EB155C">
            <w:pPr>
              <w:pStyle w:val="TableText"/>
              <w:jc w:val="right"/>
            </w:pPr>
            <w:r w:rsidRPr="009F1781">
              <w:rPr>
                <w:rFonts w:cs="Arial"/>
              </w:rPr>
              <w:t>1664</w:t>
            </w:r>
          </w:p>
        </w:tc>
        <w:tc>
          <w:tcPr>
            <w:tcW w:w="483" w:type="pct"/>
            <w:tcMar>
              <w:left w:w="72" w:type="dxa"/>
              <w:right w:w="72" w:type="dxa"/>
            </w:tcMar>
          </w:tcPr>
          <w:p w14:paraId="4F7D49BB" w14:textId="77777777" w:rsidR="00B607E8" w:rsidRPr="009F1781" w:rsidRDefault="00B607E8" w:rsidP="00EB155C">
            <w:pPr>
              <w:pStyle w:val="TableText"/>
              <w:jc w:val="right"/>
            </w:pPr>
            <w:r w:rsidRPr="009F1781">
              <w:rPr>
                <w:rFonts w:cs="Arial"/>
              </w:rPr>
              <w:t>23.6 (20.5,</w:t>
            </w:r>
            <w:r>
              <w:rPr>
                <w:rFonts w:cs="Arial"/>
              </w:rPr>
              <w:t xml:space="preserve"> </w:t>
            </w:r>
            <w:r w:rsidRPr="009F1781">
              <w:rPr>
                <w:rFonts w:cs="Arial"/>
              </w:rPr>
              <w:t>27.0)</w:t>
            </w:r>
          </w:p>
        </w:tc>
        <w:tc>
          <w:tcPr>
            <w:tcW w:w="221" w:type="pct"/>
            <w:tcMar>
              <w:left w:w="72" w:type="dxa"/>
              <w:right w:w="72" w:type="dxa"/>
            </w:tcMar>
          </w:tcPr>
          <w:p w14:paraId="14827CAD" w14:textId="77777777" w:rsidR="00B607E8" w:rsidRPr="009F1781" w:rsidRDefault="00B607E8" w:rsidP="00EB155C">
            <w:pPr>
              <w:pStyle w:val="TableText"/>
              <w:jc w:val="right"/>
            </w:pPr>
            <w:r w:rsidRPr="009F1781">
              <w:rPr>
                <w:rFonts w:cs="Arial"/>
              </w:rPr>
              <w:t>1293</w:t>
            </w:r>
          </w:p>
        </w:tc>
        <w:tc>
          <w:tcPr>
            <w:tcW w:w="352" w:type="pct"/>
            <w:tcMar>
              <w:left w:w="72" w:type="dxa"/>
              <w:right w:w="72" w:type="dxa"/>
            </w:tcMar>
          </w:tcPr>
          <w:p w14:paraId="6CF5C858" w14:textId="77777777" w:rsidR="00B607E8" w:rsidRPr="009F1781" w:rsidRDefault="00B607E8" w:rsidP="00EB155C">
            <w:pPr>
              <w:pStyle w:val="TableText"/>
              <w:jc w:val="right"/>
            </w:pPr>
            <w:r w:rsidRPr="009F1781">
              <w:rPr>
                <w:rFonts w:cs="Arial"/>
              </w:rPr>
              <w:t>9682</w:t>
            </w:r>
          </w:p>
        </w:tc>
        <w:tc>
          <w:tcPr>
            <w:tcW w:w="491" w:type="pct"/>
            <w:tcMar>
              <w:left w:w="72" w:type="dxa"/>
              <w:right w:w="72" w:type="dxa"/>
            </w:tcMar>
          </w:tcPr>
          <w:p w14:paraId="2C13CD75" w14:textId="77777777" w:rsidR="00B607E8" w:rsidRPr="009F1781" w:rsidRDefault="00B607E8" w:rsidP="00EB155C">
            <w:pPr>
              <w:pStyle w:val="TableText"/>
              <w:jc w:val="right"/>
            </w:pPr>
            <w:r w:rsidRPr="009F1781">
              <w:rPr>
                <w:rFonts w:cs="Arial"/>
              </w:rPr>
              <w:t>21.7 (18.2,</w:t>
            </w:r>
            <w:r>
              <w:rPr>
                <w:rFonts w:cs="Arial"/>
              </w:rPr>
              <w:t xml:space="preserve"> </w:t>
            </w:r>
            <w:r w:rsidRPr="009F1781">
              <w:rPr>
                <w:rFonts w:cs="Arial"/>
              </w:rPr>
              <w:t>25.6)</w:t>
            </w:r>
          </w:p>
        </w:tc>
        <w:tc>
          <w:tcPr>
            <w:tcW w:w="252" w:type="pct"/>
            <w:tcMar>
              <w:left w:w="72" w:type="dxa"/>
              <w:right w:w="72" w:type="dxa"/>
            </w:tcMar>
          </w:tcPr>
          <w:p w14:paraId="0EBDD427" w14:textId="77777777" w:rsidR="00B607E8" w:rsidRPr="009F1781" w:rsidRDefault="00B607E8" w:rsidP="00EB155C">
            <w:pPr>
              <w:pStyle w:val="TableText"/>
              <w:jc w:val="right"/>
            </w:pPr>
            <w:r w:rsidRPr="009F1781">
              <w:rPr>
                <w:rFonts w:cs="Arial"/>
              </w:rPr>
              <w:t>199</w:t>
            </w:r>
          </w:p>
        </w:tc>
        <w:tc>
          <w:tcPr>
            <w:tcW w:w="352" w:type="pct"/>
            <w:tcMar>
              <w:left w:w="72" w:type="dxa"/>
              <w:right w:w="72" w:type="dxa"/>
            </w:tcMar>
          </w:tcPr>
          <w:p w14:paraId="23809D0F" w14:textId="77777777" w:rsidR="00B607E8" w:rsidRPr="009F1781" w:rsidRDefault="00B607E8" w:rsidP="00EB155C">
            <w:pPr>
              <w:pStyle w:val="TableText"/>
              <w:jc w:val="right"/>
            </w:pPr>
            <w:r w:rsidRPr="009F1781">
              <w:rPr>
                <w:rFonts w:cs="Arial"/>
              </w:rPr>
              <w:t>1959</w:t>
            </w:r>
          </w:p>
        </w:tc>
        <w:tc>
          <w:tcPr>
            <w:tcW w:w="455" w:type="pct"/>
            <w:tcMar>
              <w:left w:w="72" w:type="dxa"/>
              <w:right w:w="72" w:type="dxa"/>
            </w:tcMar>
          </w:tcPr>
          <w:p w14:paraId="18160777" w14:textId="77777777" w:rsidR="00B607E8" w:rsidRPr="009F1781" w:rsidRDefault="00B607E8" w:rsidP="00EB155C">
            <w:pPr>
              <w:pStyle w:val="TableText"/>
              <w:jc w:val="right"/>
            </w:pPr>
            <w:r w:rsidRPr="009F1781">
              <w:rPr>
                <w:rFonts w:cs="Arial"/>
              </w:rPr>
              <w:t>24.9 (15.4,</w:t>
            </w:r>
            <w:r>
              <w:rPr>
                <w:rFonts w:cs="Arial"/>
              </w:rPr>
              <w:t xml:space="preserve"> </w:t>
            </w:r>
            <w:r w:rsidRPr="009F1781">
              <w:rPr>
                <w:rFonts w:cs="Arial"/>
              </w:rPr>
              <w:t>37.5)</w:t>
            </w:r>
          </w:p>
        </w:tc>
      </w:tr>
      <w:tr w:rsidR="007D2109" w:rsidRPr="002C58AA" w14:paraId="1E7F4C37" w14:textId="77777777" w:rsidTr="007D2109">
        <w:trPr>
          <w:cantSplit/>
        </w:trPr>
        <w:tc>
          <w:tcPr>
            <w:tcW w:w="750" w:type="pct"/>
            <w:tcBorders>
              <w:bottom w:val="single" w:sz="4" w:space="0" w:color="000000"/>
            </w:tcBorders>
          </w:tcPr>
          <w:p w14:paraId="6744061E" w14:textId="77777777" w:rsidR="00B607E8" w:rsidRPr="009F1781" w:rsidRDefault="00B607E8" w:rsidP="00EB155C">
            <w:pPr>
              <w:pStyle w:val="TableText"/>
              <w:rPr>
                <w:bCs/>
                <w:color w:val="000000" w:themeColor="text1"/>
              </w:rPr>
            </w:pPr>
            <w:r w:rsidRPr="009F1781">
              <w:t xml:space="preserve">5 plus </w:t>
            </w:r>
            <w:r>
              <w:t>h</w:t>
            </w:r>
            <w:r w:rsidRPr="009F1781">
              <w:t>ours</w:t>
            </w:r>
          </w:p>
        </w:tc>
        <w:tc>
          <w:tcPr>
            <w:tcW w:w="236" w:type="pct"/>
            <w:tcBorders>
              <w:bottom w:val="single" w:sz="4" w:space="0" w:color="000000"/>
            </w:tcBorders>
            <w:tcMar>
              <w:left w:w="72" w:type="dxa"/>
              <w:right w:w="72" w:type="dxa"/>
            </w:tcMar>
          </w:tcPr>
          <w:p w14:paraId="37AB8E75" w14:textId="77777777" w:rsidR="00B607E8" w:rsidRPr="009F1781" w:rsidRDefault="00B607E8" w:rsidP="00EB155C">
            <w:pPr>
              <w:pStyle w:val="TableText"/>
              <w:jc w:val="right"/>
            </w:pPr>
            <w:r w:rsidRPr="009F1781">
              <w:rPr>
                <w:rFonts w:cs="Arial"/>
              </w:rPr>
              <w:t>380</w:t>
            </w:r>
          </w:p>
        </w:tc>
        <w:tc>
          <w:tcPr>
            <w:tcW w:w="352" w:type="pct"/>
            <w:tcBorders>
              <w:bottom w:val="single" w:sz="4" w:space="0" w:color="000000"/>
            </w:tcBorders>
            <w:tcMar>
              <w:left w:w="72" w:type="dxa"/>
              <w:right w:w="72" w:type="dxa"/>
            </w:tcMar>
          </w:tcPr>
          <w:p w14:paraId="4B84E503" w14:textId="77777777" w:rsidR="00B607E8" w:rsidRPr="009F1781" w:rsidRDefault="00B607E8" w:rsidP="00EB155C">
            <w:pPr>
              <w:pStyle w:val="TableText"/>
              <w:jc w:val="right"/>
            </w:pPr>
            <w:r w:rsidRPr="009F1781">
              <w:rPr>
                <w:rFonts w:cs="Arial"/>
              </w:rPr>
              <w:t>3014</w:t>
            </w:r>
          </w:p>
        </w:tc>
        <w:tc>
          <w:tcPr>
            <w:tcW w:w="473" w:type="pct"/>
            <w:tcBorders>
              <w:bottom w:val="single" w:sz="4" w:space="0" w:color="000000"/>
            </w:tcBorders>
            <w:tcMar>
              <w:left w:w="72" w:type="dxa"/>
              <w:right w:w="72" w:type="dxa"/>
            </w:tcMar>
          </w:tcPr>
          <w:p w14:paraId="44527B02" w14:textId="77777777" w:rsidR="00B607E8" w:rsidRPr="009F1781" w:rsidRDefault="00B607E8" w:rsidP="00EB155C">
            <w:pPr>
              <w:pStyle w:val="TableText"/>
              <w:jc w:val="right"/>
            </w:pPr>
            <w:r w:rsidRPr="009F1781">
              <w:rPr>
                <w:rFonts w:cs="Arial"/>
              </w:rPr>
              <w:t>16.9 (15.0,</w:t>
            </w:r>
            <w:r>
              <w:rPr>
                <w:rFonts w:cs="Arial"/>
              </w:rPr>
              <w:t xml:space="preserve"> </w:t>
            </w:r>
            <w:r w:rsidRPr="009F1781">
              <w:rPr>
                <w:rFonts w:cs="Arial"/>
              </w:rPr>
              <w:t>18.9)</w:t>
            </w:r>
          </w:p>
        </w:tc>
        <w:tc>
          <w:tcPr>
            <w:tcW w:w="231" w:type="pct"/>
            <w:tcBorders>
              <w:bottom w:val="single" w:sz="4" w:space="0" w:color="000000"/>
            </w:tcBorders>
            <w:tcMar>
              <w:left w:w="72" w:type="dxa"/>
              <w:right w:w="72" w:type="dxa"/>
            </w:tcMar>
          </w:tcPr>
          <w:p w14:paraId="2B45CA2E" w14:textId="77777777" w:rsidR="00B607E8" w:rsidRPr="009F1781" w:rsidRDefault="00B607E8" w:rsidP="00EB155C">
            <w:pPr>
              <w:pStyle w:val="TableText"/>
              <w:jc w:val="right"/>
            </w:pPr>
            <w:r w:rsidRPr="009F1781">
              <w:rPr>
                <w:rFonts w:cs="Arial"/>
              </w:rPr>
              <w:t>221</w:t>
            </w:r>
          </w:p>
        </w:tc>
        <w:tc>
          <w:tcPr>
            <w:tcW w:w="352" w:type="pct"/>
            <w:tcBorders>
              <w:bottom w:val="single" w:sz="4" w:space="0" w:color="000000"/>
            </w:tcBorders>
            <w:tcMar>
              <w:left w:w="72" w:type="dxa"/>
              <w:right w:w="72" w:type="dxa"/>
            </w:tcMar>
          </w:tcPr>
          <w:p w14:paraId="2F6A0102" w14:textId="77777777" w:rsidR="00B607E8" w:rsidRPr="009F1781" w:rsidRDefault="00B607E8" w:rsidP="00EB155C">
            <w:pPr>
              <w:pStyle w:val="TableText"/>
              <w:jc w:val="right"/>
            </w:pPr>
            <w:r w:rsidRPr="009F1781">
              <w:rPr>
                <w:rFonts w:cs="Arial"/>
              </w:rPr>
              <w:t>1827</w:t>
            </w:r>
          </w:p>
        </w:tc>
        <w:tc>
          <w:tcPr>
            <w:tcW w:w="483" w:type="pct"/>
            <w:tcBorders>
              <w:bottom w:val="single" w:sz="4" w:space="0" w:color="000000"/>
            </w:tcBorders>
            <w:tcMar>
              <w:left w:w="72" w:type="dxa"/>
              <w:right w:w="72" w:type="dxa"/>
            </w:tcMar>
          </w:tcPr>
          <w:p w14:paraId="10B56958" w14:textId="77777777" w:rsidR="00B607E8" w:rsidRPr="009F1781" w:rsidRDefault="00B607E8" w:rsidP="00EB155C">
            <w:pPr>
              <w:pStyle w:val="TableText"/>
              <w:jc w:val="right"/>
            </w:pPr>
            <w:r w:rsidRPr="009F1781">
              <w:rPr>
                <w:rFonts w:cs="Arial"/>
              </w:rPr>
              <w:t>25.9 (22.5,</w:t>
            </w:r>
            <w:r>
              <w:rPr>
                <w:rFonts w:cs="Arial"/>
              </w:rPr>
              <w:t xml:space="preserve"> </w:t>
            </w:r>
            <w:r w:rsidRPr="009F1781">
              <w:rPr>
                <w:rFonts w:cs="Arial"/>
              </w:rPr>
              <w:t>29.6)</w:t>
            </w:r>
          </w:p>
        </w:tc>
        <w:tc>
          <w:tcPr>
            <w:tcW w:w="221" w:type="pct"/>
            <w:tcBorders>
              <w:bottom w:val="single" w:sz="4" w:space="0" w:color="000000"/>
            </w:tcBorders>
            <w:tcMar>
              <w:left w:w="72" w:type="dxa"/>
              <w:right w:w="72" w:type="dxa"/>
            </w:tcMar>
          </w:tcPr>
          <w:p w14:paraId="1A97109D" w14:textId="77777777" w:rsidR="00B607E8" w:rsidRPr="009F1781" w:rsidRDefault="00B607E8" w:rsidP="00EB155C">
            <w:pPr>
              <w:pStyle w:val="TableText"/>
              <w:jc w:val="right"/>
            </w:pPr>
            <w:r w:rsidRPr="009F1781">
              <w:rPr>
                <w:rFonts w:cs="Arial"/>
              </w:rPr>
              <w:t>723</w:t>
            </w:r>
          </w:p>
        </w:tc>
        <w:tc>
          <w:tcPr>
            <w:tcW w:w="352" w:type="pct"/>
            <w:tcBorders>
              <w:bottom w:val="single" w:sz="4" w:space="0" w:color="000000"/>
            </w:tcBorders>
            <w:tcMar>
              <w:left w:w="72" w:type="dxa"/>
              <w:right w:w="72" w:type="dxa"/>
            </w:tcMar>
          </w:tcPr>
          <w:p w14:paraId="306520FE" w14:textId="77777777" w:rsidR="00B607E8" w:rsidRPr="009F1781" w:rsidRDefault="00B607E8" w:rsidP="00EB155C">
            <w:pPr>
              <w:pStyle w:val="TableText"/>
              <w:jc w:val="right"/>
            </w:pPr>
            <w:r w:rsidRPr="009F1781">
              <w:rPr>
                <w:rFonts w:cs="Arial"/>
              </w:rPr>
              <w:t>5573</w:t>
            </w:r>
          </w:p>
        </w:tc>
        <w:tc>
          <w:tcPr>
            <w:tcW w:w="491" w:type="pct"/>
            <w:tcBorders>
              <w:bottom w:val="single" w:sz="4" w:space="0" w:color="000000"/>
            </w:tcBorders>
            <w:tcMar>
              <w:left w:w="72" w:type="dxa"/>
              <w:right w:w="72" w:type="dxa"/>
            </w:tcMar>
          </w:tcPr>
          <w:p w14:paraId="32AF6E77" w14:textId="77777777" w:rsidR="00B607E8" w:rsidRPr="009F1781" w:rsidRDefault="00B607E8" w:rsidP="00EB155C">
            <w:pPr>
              <w:pStyle w:val="TableText"/>
              <w:jc w:val="right"/>
            </w:pPr>
            <w:r w:rsidRPr="009F1781">
              <w:rPr>
                <w:rFonts w:cs="Arial"/>
              </w:rPr>
              <w:t>12.5 (9.9,</w:t>
            </w:r>
            <w:r>
              <w:rPr>
                <w:rFonts w:cs="Arial"/>
              </w:rPr>
              <w:t xml:space="preserve"> </w:t>
            </w:r>
            <w:r w:rsidRPr="009F1781">
              <w:rPr>
                <w:rFonts w:cs="Arial"/>
              </w:rPr>
              <w:t>15.7)</w:t>
            </w:r>
          </w:p>
        </w:tc>
        <w:tc>
          <w:tcPr>
            <w:tcW w:w="252" w:type="pct"/>
            <w:tcBorders>
              <w:bottom w:val="single" w:sz="4" w:space="0" w:color="000000"/>
            </w:tcBorders>
            <w:tcMar>
              <w:left w:w="72" w:type="dxa"/>
              <w:right w:w="72" w:type="dxa"/>
            </w:tcMar>
          </w:tcPr>
          <w:p w14:paraId="0F2D9BEE" w14:textId="77777777" w:rsidR="00B607E8" w:rsidRPr="009F1781" w:rsidRDefault="00B607E8" w:rsidP="00EB155C">
            <w:pPr>
              <w:pStyle w:val="TableText"/>
              <w:jc w:val="right"/>
            </w:pPr>
            <w:r w:rsidRPr="009F1781">
              <w:rPr>
                <w:rFonts w:cs="Arial"/>
              </w:rPr>
              <w:t>141</w:t>
            </w:r>
          </w:p>
        </w:tc>
        <w:tc>
          <w:tcPr>
            <w:tcW w:w="352" w:type="pct"/>
            <w:tcBorders>
              <w:bottom w:val="single" w:sz="4" w:space="0" w:color="000000"/>
            </w:tcBorders>
            <w:tcMar>
              <w:left w:w="72" w:type="dxa"/>
              <w:right w:w="72" w:type="dxa"/>
            </w:tcMar>
          </w:tcPr>
          <w:p w14:paraId="63C3C4FD" w14:textId="77777777" w:rsidR="00B607E8" w:rsidRPr="009F1781" w:rsidRDefault="00B607E8" w:rsidP="00EB155C">
            <w:pPr>
              <w:pStyle w:val="TableText"/>
              <w:jc w:val="right"/>
            </w:pPr>
            <w:r w:rsidRPr="009F1781">
              <w:rPr>
                <w:rFonts w:cs="Arial"/>
              </w:rPr>
              <w:t>2154</w:t>
            </w:r>
          </w:p>
        </w:tc>
        <w:tc>
          <w:tcPr>
            <w:tcW w:w="455" w:type="pct"/>
            <w:tcBorders>
              <w:bottom w:val="single" w:sz="4" w:space="0" w:color="000000"/>
            </w:tcBorders>
            <w:tcMar>
              <w:left w:w="72" w:type="dxa"/>
              <w:right w:w="72" w:type="dxa"/>
            </w:tcMar>
          </w:tcPr>
          <w:p w14:paraId="6868FB58" w14:textId="77777777" w:rsidR="00B607E8" w:rsidRPr="009F1781" w:rsidRDefault="00B607E8" w:rsidP="00EB155C">
            <w:pPr>
              <w:pStyle w:val="TableText"/>
              <w:jc w:val="right"/>
            </w:pPr>
            <w:r w:rsidRPr="009F1781">
              <w:rPr>
                <w:rFonts w:cs="Arial"/>
              </w:rPr>
              <w:t>27.3 (17.1,</w:t>
            </w:r>
            <w:r>
              <w:rPr>
                <w:rFonts w:cs="Arial"/>
              </w:rPr>
              <w:t xml:space="preserve"> </w:t>
            </w:r>
            <w:r w:rsidRPr="009F1781">
              <w:rPr>
                <w:rFonts w:cs="Arial"/>
              </w:rPr>
              <w:t>40.6)</w:t>
            </w:r>
          </w:p>
        </w:tc>
      </w:tr>
      <w:tr w:rsidR="007D2109" w:rsidRPr="002C58AA" w14:paraId="75DF1112"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750" w:type="pct"/>
            <w:tcBorders>
              <w:top w:val="single" w:sz="4" w:space="0" w:color="000000"/>
              <w:bottom w:val="single" w:sz="4" w:space="0" w:color="000000"/>
            </w:tcBorders>
          </w:tcPr>
          <w:p w14:paraId="149BAD61" w14:textId="77777777" w:rsidR="00B607E8" w:rsidRPr="003B2134" w:rsidRDefault="006722DB" w:rsidP="00EB155C">
            <w:pPr>
              <w:pStyle w:val="TableText"/>
              <w:rPr>
                <w:b/>
                <w:bCs/>
                <w:color w:val="000000" w:themeColor="text1"/>
              </w:rPr>
            </w:pPr>
            <w:r>
              <w:rPr>
                <w:b/>
                <w:bCs/>
                <w:color w:val="000000" w:themeColor="text1"/>
              </w:rPr>
              <w:t>Internet</w:t>
            </w:r>
            <w:r w:rsidRPr="003B2134">
              <w:rPr>
                <w:b/>
                <w:bCs/>
                <w:color w:val="000000" w:themeColor="text1"/>
              </w:rPr>
              <w:t xml:space="preserve"> </w:t>
            </w:r>
            <w:r w:rsidR="00B607E8" w:rsidRPr="003B2134">
              <w:rPr>
                <w:b/>
                <w:bCs/>
                <w:color w:val="000000" w:themeColor="text1"/>
              </w:rPr>
              <w:t>use after 11</w:t>
            </w:r>
            <w:r w:rsidR="00B607E8">
              <w:rPr>
                <w:b/>
                <w:bCs/>
                <w:color w:val="000000" w:themeColor="text1"/>
              </w:rPr>
              <w:t xml:space="preserve"> pm</w:t>
            </w:r>
            <w:r w:rsidR="00B607E8" w:rsidRPr="002444C6">
              <w:t>‡</w:t>
            </w:r>
          </w:p>
        </w:tc>
        <w:tc>
          <w:tcPr>
            <w:tcW w:w="236" w:type="pct"/>
            <w:tcBorders>
              <w:top w:val="single" w:sz="4" w:space="0" w:color="000000"/>
              <w:bottom w:val="single" w:sz="4" w:space="0" w:color="000000"/>
            </w:tcBorders>
            <w:tcMar>
              <w:left w:w="72" w:type="dxa"/>
              <w:right w:w="72" w:type="dxa"/>
            </w:tcMar>
          </w:tcPr>
          <w:p w14:paraId="33571C16" w14:textId="77777777" w:rsidR="00B607E8" w:rsidRPr="009F1781" w:rsidRDefault="00B607E8" w:rsidP="00EB155C">
            <w:pPr>
              <w:pStyle w:val="TableText"/>
              <w:jc w:val="right"/>
            </w:pPr>
            <w:r w:rsidRPr="009F1781">
              <w:rPr>
                <w:rFonts w:cs="Arial"/>
              </w:rPr>
              <w:t>630</w:t>
            </w:r>
          </w:p>
        </w:tc>
        <w:tc>
          <w:tcPr>
            <w:tcW w:w="352" w:type="pct"/>
            <w:tcBorders>
              <w:top w:val="single" w:sz="4" w:space="0" w:color="000000"/>
              <w:bottom w:val="single" w:sz="4" w:space="0" w:color="000000"/>
            </w:tcBorders>
            <w:tcMar>
              <w:left w:w="72" w:type="dxa"/>
              <w:right w:w="72" w:type="dxa"/>
            </w:tcMar>
          </w:tcPr>
          <w:p w14:paraId="2FDD3429" w14:textId="77777777" w:rsidR="00B607E8" w:rsidRPr="009F1781" w:rsidRDefault="00B607E8" w:rsidP="00EB155C">
            <w:pPr>
              <w:pStyle w:val="TableText"/>
              <w:jc w:val="right"/>
            </w:pPr>
            <w:r w:rsidRPr="009F1781">
              <w:rPr>
                <w:rFonts w:cs="Arial"/>
              </w:rPr>
              <w:t>5078</w:t>
            </w:r>
          </w:p>
        </w:tc>
        <w:tc>
          <w:tcPr>
            <w:tcW w:w="473" w:type="pct"/>
            <w:tcBorders>
              <w:top w:val="single" w:sz="4" w:space="0" w:color="000000"/>
              <w:bottom w:val="single" w:sz="4" w:space="0" w:color="000000"/>
            </w:tcBorders>
            <w:tcMar>
              <w:left w:w="72" w:type="dxa"/>
              <w:right w:w="72" w:type="dxa"/>
            </w:tcMar>
          </w:tcPr>
          <w:p w14:paraId="5426DD43" w14:textId="77777777" w:rsidR="00B607E8" w:rsidRPr="009F1781" w:rsidRDefault="00B607E8" w:rsidP="00EB155C">
            <w:pPr>
              <w:pStyle w:val="TableText"/>
              <w:jc w:val="right"/>
            </w:pPr>
            <w:r w:rsidRPr="009F1781">
              <w:rPr>
                <w:rFonts w:cs="Arial"/>
              </w:rPr>
              <w:t>28.4 (26.1,</w:t>
            </w:r>
            <w:r>
              <w:rPr>
                <w:rFonts w:cs="Arial"/>
              </w:rPr>
              <w:t xml:space="preserve"> </w:t>
            </w:r>
            <w:r w:rsidRPr="009F1781">
              <w:rPr>
                <w:rFonts w:cs="Arial"/>
              </w:rPr>
              <w:t>30.8)</w:t>
            </w:r>
          </w:p>
        </w:tc>
        <w:tc>
          <w:tcPr>
            <w:tcW w:w="231" w:type="pct"/>
            <w:tcBorders>
              <w:top w:val="single" w:sz="4" w:space="0" w:color="000000"/>
              <w:bottom w:val="single" w:sz="4" w:space="0" w:color="000000"/>
            </w:tcBorders>
            <w:tcMar>
              <w:left w:w="72" w:type="dxa"/>
              <w:right w:w="72" w:type="dxa"/>
            </w:tcMar>
          </w:tcPr>
          <w:p w14:paraId="72034168" w14:textId="77777777" w:rsidR="00B607E8" w:rsidRPr="009F1781" w:rsidRDefault="00B607E8" w:rsidP="00EB155C">
            <w:pPr>
              <w:pStyle w:val="TableText"/>
              <w:jc w:val="right"/>
            </w:pPr>
            <w:r w:rsidRPr="009F1781">
              <w:rPr>
                <w:rFonts w:cs="Arial"/>
              </w:rPr>
              <w:t>386</w:t>
            </w:r>
          </w:p>
        </w:tc>
        <w:tc>
          <w:tcPr>
            <w:tcW w:w="352" w:type="pct"/>
            <w:tcBorders>
              <w:top w:val="single" w:sz="4" w:space="0" w:color="000000"/>
              <w:bottom w:val="single" w:sz="4" w:space="0" w:color="000000"/>
            </w:tcBorders>
            <w:tcMar>
              <w:left w:w="72" w:type="dxa"/>
              <w:right w:w="72" w:type="dxa"/>
            </w:tcMar>
          </w:tcPr>
          <w:p w14:paraId="01F12C78" w14:textId="77777777" w:rsidR="00B607E8" w:rsidRPr="009F1781" w:rsidRDefault="00B607E8" w:rsidP="00EB155C">
            <w:pPr>
              <w:pStyle w:val="TableText"/>
              <w:jc w:val="right"/>
            </w:pPr>
            <w:r w:rsidRPr="009F1781">
              <w:rPr>
                <w:rFonts w:cs="Arial"/>
              </w:rPr>
              <w:t>3182</w:t>
            </w:r>
          </w:p>
        </w:tc>
        <w:tc>
          <w:tcPr>
            <w:tcW w:w="483" w:type="pct"/>
            <w:tcBorders>
              <w:top w:val="single" w:sz="4" w:space="0" w:color="000000"/>
              <w:bottom w:val="single" w:sz="4" w:space="0" w:color="000000"/>
            </w:tcBorders>
            <w:tcMar>
              <w:left w:w="72" w:type="dxa"/>
              <w:right w:w="72" w:type="dxa"/>
            </w:tcMar>
          </w:tcPr>
          <w:p w14:paraId="1C43AA79" w14:textId="77777777" w:rsidR="00B607E8" w:rsidRPr="009F1781" w:rsidRDefault="00B607E8" w:rsidP="00EB155C">
            <w:pPr>
              <w:pStyle w:val="TableText"/>
              <w:jc w:val="right"/>
            </w:pPr>
            <w:r w:rsidRPr="009F1781">
              <w:rPr>
                <w:rFonts w:cs="Arial"/>
              </w:rPr>
              <w:t>45.1 (41.3,</w:t>
            </w:r>
            <w:r>
              <w:rPr>
                <w:rFonts w:cs="Arial"/>
              </w:rPr>
              <w:t xml:space="preserve"> </w:t>
            </w:r>
            <w:r w:rsidRPr="009F1781">
              <w:rPr>
                <w:rFonts w:cs="Arial"/>
              </w:rPr>
              <w:t>49.1)</w:t>
            </w:r>
          </w:p>
        </w:tc>
        <w:tc>
          <w:tcPr>
            <w:tcW w:w="221" w:type="pct"/>
            <w:tcBorders>
              <w:top w:val="single" w:sz="4" w:space="0" w:color="000000"/>
              <w:bottom w:val="single" w:sz="4" w:space="0" w:color="000000"/>
            </w:tcBorders>
            <w:tcMar>
              <w:left w:w="72" w:type="dxa"/>
              <w:right w:w="72" w:type="dxa"/>
            </w:tcMar>
          </w:tcPr>
          <w:p w14:paraId="6AEFA43F" w14:textId="77777777" w:rsidR="00B607E8" w:rsidRPr="009F1781" w:rsidRDefault="00B607E8" w:rsidP="00EB155C">
            <w:pPr>
              <w:pStyle w:val="TableText"/>
              <w:jc w:val="right"/>
            </w:pPr>
            <w:r w:rsidRPr="009F1781">
              <w:rPr>
                <w:rFonts w:cs="Arial"/>
              </w:rPr>
              <w:t>1329</w:t>
            </w:r>
          </w:p>
        </w:tc>
        <w:tc>
          <w:tcPr>
            <w:tcW w:w="352" w:type="pct"/>
            <w:tcBorders>
              <w:top w:val="single" w:sz="4" w:space="0" w:color="000000"/>
              <w:bottom w:val="single" w:sz="4" w:space="0" w:color="000000"/>
            </w:tcBorders>
            <w:tcMar>
              <w:left w:w="72" w:type="dxa"/>
              <w:right w:w="72" w:type="dxa"/>
            </w:tcMar>
          </w:tcPr>
          <w:p w14:paraId="067CEFE3" w14:textId="77777777" w:rsidR="00B607E8" w:rsidRPr="009F1781" w:rsidRDefault="00B607E8" w:rsidP="00EB155C">
            <w:pPr>
              <w:pStyle w:val="TableText"/>
              <w:jc w:val="right"/>
            </w:pPr>
            <w:r w:rsidRPr="009F1781">
              <w:rPr>
                <w:rFonts w:cs="Arial"/>
              </w:rPr>
              <w:t>11304</w:t>
            </w:r>
          </w:p>
        </w:tc>
        <w:tc>
          <w:tcPr>
            <w:tcW w:w="491" w:type="pct"/>
            <w:tcBorders>
              <w:top w:val="single" w:sz="4" w:space="0" w:color="000000"/>
              <w:bottom w:val="single" w:sz="4" w:space="0" w:color="000000"/>
            </w:tcBorders>
            <w:tcMar>
              <w:left w:w="72" w:type="dxa"/>
              <w:right w:w="72" w:type="dxa"/>
            </w:tcMar>
          </w:tcPr>
          <w:p w14:paraId="020B99A1" w14:textId="77777777" w:rsidR="00B607E8" w:rsidRPr="009F1781" w:rsidRDefault="00B607E8" w:rsidP="00EB155C">
            <w:pPr>
              <w:pStyle w:val="TableText"/>
              <w:jc w:val="right"/>
            </w:pPr>
            <w:r w:rsidRPr="009F1781">
              <w:rPr>
                <w:rFonts w:cs="Arial"/>
              </w:rPr>
              <w:t>25.3 (21.4,</w:t>
            </w:r>
            <w:r>
              <w:rPr>
                <w:rFonts w:cs="Arial"/>
              </w:rPr>
              <w:t xml:space="preserve"> </w:t>
            </w:r>
            <w:r w:rsidRPr="009F1781">
              <w:rPr>
                <w:rFonts w:cs="Arial"/>
              </w:rPr>
              <w:t>29.7)</w:t>
            </w:r>
          </w:p>
        </w:tc>
        <w:tc>
          <w:tcPr>
            <w:tcW w:w="252" w:type="pct"/>
            <w:tcBorders>
              <w:top w:val="single" w:sz="4" w:space="0" w:color="000000"/>
              <w:bottom w:val="single" w:sz="4" w:space="0" w:color="000000"/>
            </w:tcBorders>
            <w:tcMar>
              <w:left w:w="72" w:type="dxa"/>
              <w:right w:w="72" w:type="dxa"/>
            </w:tcMar>
          </w:tcPr>
          <w:p w14:paraId="121177E1" w14:textId="77777777" w:rsidR="00B607E8" w:rsidRPr="009F1781" w:rsidRDefault="00B607E8" w:rsidP="00EB155C">
            <w:pPr>
              <w:pStyle w:val="TableText"/>
              <w:jc w:val="right"/>
            </w:pPr>
            <w:r w:rsidRPr="009F1781">
              <w:rPr>
                <w:rFonts w:cs="Arial"/>
              </w:rPr>
              <w:t>258</w:t>
            </w:r>
          </w:p>
        </w:tc>
        <w:tc>
          <w:tcPr>
            <w:tcW w:w="352" w:type="pct"/>
            <w:tcBorders>
              <w:top w:val="single" w:sz="4" w:space="0" w:color="000000"/>
              <w:bottom w:val="single" w:sz="4" w:space="0" w:color="000000"/>
            </w:tcBorders>
            <w:tcMar>
              <w:left w:w="72" w:type="dxa"/>
              <w:right w:w="72" w:type="dxa"/>
            </w:tcMar>
          </w:tcPr>
          <w:p w14:paraId="4330A3AB" w14:textId="77777777" w:rsidR="00B607E8" w:rsidRPr="009F1781" w:rsidRDefault="00B607E8" w:rsidP="00EB155C">
            <w:pPr>
              <w:pStyle w:val="TableText"/>
              <w:jc w:val="right"/>
            </w:pPr>
            <w:r w:rsidRPr="009F1781">
              <w:rPr>
                <w:rFonts w:cs="Arial"/>
              </w:rPr>
              <w:t>2577</w:t>
            </w:r>
          </w:p>
        </w:tc>
        <w:tc>
          <w:tcPr>
            <w:tcW w:w="455" w:type="pct"/>
            <w:tcBorders>
              <w:top w:val="single" w:sz="4" w:space="0" w:color="000000"/>
              <w:bottom w:val="single" w:sz="4" w:space="0" w:color="000000"/>
            </w:tcBorders>
            <w:tcMar>
              <w:left w:w="72" w:type="dxa"/>
              <w:right w:w="72" w:type="dxa"/>
            </w:tcMar>
          </w:tcPr>
          <w:p w14:paraId="3C03B90E" w14:textId="77777777" w:rsidR="00B607E8" w:rsidRPr="009F1781" w:rsidRDefault="00B607E8" w:rsidP="00EB155C">
            <w:pPr>
              <w:pStyle w:val="TableText"/>
              <w:jc w:val="right"/>
            </w:pPr>
            <w:r w:rsidRPr="009F1781">
              <w:rPr>
                <w:rFonts w:cs="Arial"/>
              </w:rPr>
              <w:t>32.7 (22.2,</w:t>
            </w:r>
            <w:r>
              <w:rPr>
                <w:rFonts w:cs="Arial"/>
              </w:rPr>
              <w:t xml:space="preserve"> </w:t>
            </w:r>
            <w:r w:rsidRPr="009F1781">
              <w:rPr>
                <w:rFonts w:cs="Arial"/>
              </w:rPr>
              <w:t>45.3)</w:t>
            </w:r>
          </w:p>
        </w:tc>
      </w:tr>
    </w:tbl>
    <w:p w14:paraId="099EC838" w14:textId="77777777" w:rsidR="00B607E8" w:rsidRPr="00F403FE" w:rsidRDefault="00B607E8" w:rsidP="00B607E8">
      <w:pPr>
        <w:pStyle w:val="TableNotes"/>
      </w:pPr>
      <w:r>
        <w:t>*</w:t>
      </w:r>
      <w:r w:rsidRPr="00A045F9">
        <w:t>Based on weighted counts</w:t>
      </w:r>
      <w:r>
        <w:t>,</w:t>
      </w:r>
      <w:r w:rsidRPr="00A045F9">
        <w:t xml:space="preserve"> 32 (0.1%) Transitioned ADF and 31 (0.1%) 2015 Regular ADF had a missing value for this question.</w:t>
      </w:r>
      <w:r>
        <w:t xml:space="preserve"> </w:t>
      </w:r>
      <w:r w:rsidRPr="00F403FE">
        <w:t xml:space="preserve">However, distributions are calculated by including those with a missing value to allow for correct weighted totals. </w:t>
      </w:r>
    </w:p>
    <w:p w14:paraId="2B73B661" w14:textId="77777777" w:rsidR="00B607E8" w:rsidRPr="00F403FE" w:rsidRDefault="00B607E8" w:rsidP="00B607E8">
      <w:pPr>
        <w:pStyle w:val="TableNotes"/>
      </w:pPr>
      <w:r w:rsidRPr="002444C6">
        <w:t>†</w:t>
      </w:r>
      <w:r w:rsidRPr="00166514">
        <w:t>Based on weighted counts</w:t>
      </w:r>
      <w:r>
        <w:t>,</w:t>
      </w:r>
      <w:r w:rsidRPr="00166514">
        <w:t xml:space="preserve"> 864 (3.5%) Transitioned ADF and 1874 (3.6%) 2015 Regular ADF had a missing value for this question.</w:t>
      </w:r>
      <w:r w:rsidRPr="00F403FE">
        <w:t xml:space="preserve"> However, distributions are calculated by including those with a missing value to allow for correct weighted totals. </w:t>
      </w:r>
    </w:p>
    <w:p w14:paraId="11287D42" w14:textId="77777777" w:rsidR="00B607E8" w:rsidRDefault="00B607E8" w:rsidP="00B607E8">
      <w:pPr>
        <w:pStyle w:val="TableNotes"/>
      </w:pPr>
      <w:r w:rsidRPr="002444C6">
        <w:t>‡</w:t>
      </w:r>
      <w:r w:rsidRPr="00F403FE">
        <w:t>Based on weighted counts</w:t>
      </w:r>
      <w:r>
        <w:t>,</w:t>
      </w:r>
      <w:r w:rsidRPr="00F403FE">
        <w:t xml:space="preserve"> approximately 5% of Transitioned ADF and 2015 Regular ADF had a missing value for this question. However, distributions are calculated by including those with a missing value to allow for correct weighted totals. </w:t>
      </w:r>
    </w:p>
    <w:p w14:paraId="595A1488" w14:textId="77777777" w:rsidR="00B607E8" w:rsidRPr="006A3EA0" w:rsidRDefault="00B607E8" w:rsidP="00B607E8">
      <w:pPr>
        <w:pStyle w:val="TableNotes"/>
      </w:pPr>
      <w:r w:rsidRPr="006A3EA0">
        <w:t>Notes</w:t>
      </w:r>
    </w:p>
    <w:p w14:paraId="6FD29127" w14:textId="77777777" w:rsidR="00075C55" w:rsidRDefault="00B607E8" w:rsidP="00B607E8">
      <w:pPr>
        <w:pStyle w:val="TableNotes"/>
      </w:pPr>
      <w:r>
        <w:t>Denominator: Entire cohort.</w:t>
      </w:r>
      <w:r w:rsidR="005424FB">
        <w:t xml:space="preserve"> </w:t>
      </w:r>
    </w:p>
    <w:p w14:paraId="7C1766A5" w14:textId="77777777" w:rsidR="00075C55" w:rsidRDefault="00B607E8" w:rsidP="00B607E8">
      <w:pPr>
        <w:pStyle w:val="TableNotes"/>
      </w:pPr>
      <w:r w:rsidRPr="00F403FE">
        <w:t>9</w:t>
      </w:r>
      <w:r>
        <w:t>5%CI = 95% confidence interval.</w:t>
      </w:r>
      <w:r w:rsidR="005424FB">
        <w:t xml:space="preserve"> </w:t>
      </w:r>
    </w:p>
    <w:p w14:paraId="28C9D449" w14:textId="77777777" w:rsidR="00B607E8" w:rsidRDefault="00B607E8" w:rsidP="00B607E8">
      <w:pPr>
        <w:pStyle w:val="TableNotes"/>
      </w:pPr>
      <w:r w:rsidRPr="00F403FE">
        <w:t>For a full description of odds ratios, interpretation and strength of association</w:t>
      </w:r>
      <w:r>
        <w:t>,</w:t>
      </w:r>
      <w:r w:rsidRPr="00F403FE">
        <w:t xml:space="preserve"> please refer to </w:t>
      </w:r>
      <w:r w:rsidRPr="009C6157">
        <w:t xml:space="preserve">Table B.1 in </w:t>
      </w:r>
      <w:r w:rsidR="00374073">
        <w:t>Annex </w:t>
      </w:r>
      <w:r>
        <w:t xml:space="preserve">B, Odds ratio table. </w:t>
      </w:r>
    </w:p>
    <w:p w14:paraId="61E1B03C" w14:textId="77777777" w:rsidR="00B607E8" w:rsidRDefault="00B607E8" w:rsidP="00B607E8">
      <w:pPr>
        <w:pStyle w:val="TableNotes"/>
      </w:pPr>
      <w:r w:rsidRPr="00E603D7">
        <w:t>#</w:t>
      </w:r>
      <w:r>
        <w:t xml:space="preserve"> = C</w:t>
      </w:r>
      <w:r w:rsidRPr="00E603D7">
        <w:t>ell size too small to be reported</w:t>
      </w:r>
      <w:r>
        <w:t>.</w:t>
      </w:r>
    </w:p>
    <w:p w14:paraId="2A32E516" w14:textId="77777777" w:rsidR="004D1C19" w:rsidRDefault="004D1C19" w:rsidP="004D1C19">
      <w:pPr>
        <w:pStyle w:val="TableName"/>
      </w:pPr>
      <w:bookmarkStart w:id="462" w:name="_Toc531858000"/>
      <w:bookmarkStart w:id="463" w:name="_Ref517436559"/>
      <w:bookmarkStart w:id="464" w:name="_Toc385859475"/>
      <w:bookmarkStart w:id="465" w:name="_Toc528932321"/>
      <w:r w:rsidRPr="009010C4">
        <w:t xml:space="preserve">Table </w:t>
      </w:r>
      <w:r>
        <w:rPr>
          <w:noProof/>
        </w:rPr>
        <w:t>4</w:t>
      </w:r>
      <w:r>
        <w:t>.</w:t>
      </w:r>
      <w:r>
        <w:rPr>
          <w:noProof/>
        </w:rPr>
        <w:t>12</w:t>
      </w:r>
      <w:r>
        <w:tab/>
        <w:t>A</w:t>
      </w:r>
      <w:r w:rsidRPr="009010C4">
        <w:t>ttitude</w:t>
      </w:r>
      <w:r>
        <w:t xml:space="preserve">s towards online communication </w:t>
      </w:r>
      <w:r w:rsidRPr="009010C4">
        <w:t xml:space="preserve">in Transitioned </w:t>
      </w:r>
      <w:r>
        <w:t xml:space="preserve">ADF </w:t>
      </w:r>
      <w:r w:rsidRPr="009010C4">
        <w:t xml:space="preserve">and 2015 Regular ADF with and without </w:t>
      </w:r>
      <w:r>
        <w:t>p</w:t>
      </w:r>
      <w:r w:rsidRPr="009010C4">
        <w:t xml:space="preserve">robable </w:t>
      </w:r>
      <w:r>
        <w:t>d</w:t>
      </w:r>
      <w:r w:rsidRPr="009010C4">
        <w:t>isorder</w:t>
      </w:r>
      <w:bookmarkEnd w:id="462"/>
    </w:p>
    <w:bookmarkEnd w:id="463"/>
    <w:bookmarkEnd w:id="464"/>
    <w:bookmarkEnd w:id="465"/>
    <w:tbl>
      <w:tblPr>
        <w:tblStyle w:val="TWRPTable"/>
        <w:tblW w:w="5000" w:type="pct"/>
        <w:tblLayout w:type="fixed"/>
        <w:tblLook w:val="0000" w:firstRow="0" w:lastRow="0" w:firstColumn="0" w:lastColumn="0" w:noHBand="0" w:noVBand="0"/>
        <w:tblDescription w:val="Table 4.12 Attitudes towards online communication in Transitioned ADF and 2015 Regular ADF with and without probable disorder"/>
      </w:tblPr>
      <w:tblGrid>
        <w:gridCol w:w="2316"/>
        <w:gridCol w:w="442"/>
        <w:gridCol w:w="794"/>
        <w:gridCol w:w="1004"/>
        <w:gridCol w:w="406"/>
        <w:gridCol w:w="794"/>
        <w:gridCol w:w="1042"/>
        <w:gridCol w:w="458"/>
        <w:gridCol w:w="794"/>
        <w:gridCol w:w="990"/>
        <w:gridCol w:w="420"/>
        <w:gridCol w:w="794"/>
        <w:gridCol w:w="1026"/>
      </w:tblGrid>
      <w:tr w:rsidR="00E23546" w:rsidRPr="002C58AA" w14:paraId="3CEC3F87" w14:textId="77777777" w:rsidTr="007D2109">
        <w:trPr>
          <w:tblHeader/>
        </w:trPr>
        <w:tc>
          <w:tcPr>
            <w:tcW w:w="1026" w:type="pct"/>
          </w:tcPr>
          <w:p w14:paraId="7D8B370F" w14:textId="77777777" w:rsidR="004D1C19" w:rsidRPr="009010C4" w:rsidRDefault="004D1C19" w:rsidP="00EB155C">
            <w:pPr>
              <w:pStyle w:val="TableText"/>
            </w:pPr>
          </w:p>
        </w:tc>
        <w:tc>
          <w:tcPr>
            <w:tcW w:w="1987" w:type="pct"/>
            <w:gridSpan w:val="6"/>
            <w:tcBorders>
              <w:bottom w:val="single" w:sz="4" w:space="0" w:color="000000"/>
            </w:tcBorders>
          </w:tcPr>
          <w:p w14:paraId="60CC31E2" w14:textId="77777777" w:rsidR="004D1C19" w:rsidRPr="003B2134" w:rsidRDefault="004D1C19" w:rsidP="00E23546">
            <w:pPr>
              <w:pStyle w:val="TableText"/>
              <w:jc w:val="center"/>
              <w:rPr>
                <w:rFonts w:cs="Arial"/>
                <w:b/>
              </w:rPr>
            </w:pPr>
            <w:r w:rsidRPr="003B2134">
              <w:rPr>
                <w:b/>
              </w:rPr>
              <w:t>Transitioned ADF</w:t>
            </w:r>
            <w:r w:rsidR="00E23546">
              <w:rPr>
                <w:b/>
              </w:rPr>
              <w:br/>
            </w:r>
            <w:r w:rsidRPr="003B2134">
              <w:rPr>
                <w:b/>
              </w:rPr>
              <w:t>n=24,932</w:t>
            </w:r>
          </w:p>
        </w:tc>
        <w:tc>
          <w:tcPr>
            <w:tcW w:w="1987" w:type="pct"/>
            <w:gridSpan w:val="6"/>
            <w:tcBorders>
              <w:bottom w:val="single" w:sz="4" w:space="0" w:color="000000"/>
            </w:tcBorders>
          </w:tcPr>
          <w:p w14:paraId="14A299A0" w14:textId="77777777" w:rsidR="004D1C19" w:rsidRPr="003B2134" w:rsidRDefault="004D1C19" w:rsidP="00E23546">
            <w:pPr>
              <w:pStyle w:val="TableText"/>
              <w:jc w:val="center"/>
              <w:rPr>
                <w:rFonts w:cs="Arial"/>
                <w:b/>
              </w:rPr>
            </w:pPr>
            <w:r w:rsidRPr="003B2134">
              <w:rPr>
                <w:b/>
              </w:rPr>
              <w:t>2015 Regular ADF</w:t>
            </w:r>
            <w:r w:rsidR="00E23546">
              <w:rPr>
                <w:b/>
              </w:rPr>
              <w:br/>
            </w:r>
            <w:r w:rsidRPr="003B2134">
              <w:rPr>
                <w:b/>
              </w:rPr>
              <w:t>n=52,500</w:t>
            </w:r>
          </w:p>
        </w:tc>
      </w:tr>
      <w:tr w:rsidR="00E23546" w:rsidRPr="002C58AA" w14:paraId="30B1E307" w14:textId="77777777" w:rsidTr="007D2109">
        <w:trPr>
          <w:tblHeader/>
        </w:trPr>
        <w:tc>
          <w:tcPr>
            <w:tcW w:w="1026" w:type="pct"/>
            <w:tcBorders>
              <w:bottom w:val="nil"/>
            </w:tcBorders>
          </w:tcPr>
          <w:p w14:paraId="4E4E04EB" w14:textId="77777777" w:rsidR="004D1C19" w:rsidRPr="009010C4" w:rsidRDefault="004D1C19" w:rsidP="00EB155C">
            <w:pPr>
              <w:pStyle w:val="TableText"/>
            </w:pPr>
          </w:p>
        </w:tc>
        <w:tc>
          <w:tcPr>
            <w:tcW w:w="993" w:type="pct"/>
            <w:gridSpan w:val="3"/>
            <w:tcBorders>
              <w:top w:val="single" w:sz="4" w:space="0" w:color="000000"/>
              <w:bottom w:val="single" w:sz="4" w:space="0" w:color="000000"/>
            </w:tcBorders>
          </w:tcPr>
          <w:p w14:paraId="221F9446" w14:textId="77777777" w:rsidR="004D1C19" w:rsidRPr="003B2134" w:rsidRDefault="004D1C19" w:rsidP="00E23546">
            <w:pPr>
              <w:pStyle w:val="TableText"/>
              <w:jc w:val="center"/>
              <w:rPr>
                <w:b/>
              </w:rPr>
            </w:pPr>
            <w:r w:rsidRPr="003B2134">
              <w:rPr>
                <w:b/>
              </w:rPr>
              <w:t>No Probable Disorder</w:t>
            </w:r>
            <w:r w:rsidR="00E23546">
              <w:rPr>
                <w:b/>
              </w:rPr>
              <w:br/>
            </w:r>
            <w:r w:rsidRPr="003B2134">
              <w:rPr>
                <w:b/>
              </w:rPr>
              <w:t>n=17,881</w:t>
            </w:r>
          </w:p>
        </w:tc>
        <w:tc>
          <w:tcPr>
            <w:tcW w:w="994" w:type="pct"/>
            <w:gridSpan w:val="3"/>
            <w:tcBorders>
              <w:top w:val="single" w:sz="4" w:space="0" w:color="000000"/>
              <w:bottom w:val="single" w:sz="4" w:space="0" w:color="000000"/>
            </w:tcBorders>
          </w:tcPr>
          <w:p w14:paraId="3088004C" w14:textId="77777777" w:rsidR="004D1C19" w:rsidRPr="003B2134" w:rsidRDefault="004D1C19" w:rsidP="00E23546">
            <w:pPr>
              <w:pStyle w:val="TableText"/>
              <w:jc w:val="center"/>
              <w:rPr>
                <w:b/>
              </w:rPr>
            </w:pPr>
            <w:r w:rsidRPr="003B2134">
              <w:rPr>
                <w:b/>
              </w:rPr>
              <w:t>Probable Disorder</w:t>
            </w:r>
            <w:r w:rsidR="00E23546">
              <w:rPr>
                <w:b/>
              </w:rPr>
              <w:br/>
            </w:r>
            <w:r w:rsidRPr="003B2134">
              <w:rPr>
                <w:b/>
              </w:rPr>
              <w:t>n=7051</w:t>
            </w:r>
          </w:p>
        </w:tc>
        <w:tc>
          <w:tcPr>
            <w:tcW w:w="994" w:type="pct"/>
            <w:gridSpan w:val="3"/>
            <w:tcBorders>
              <w:top w:val="single" w:sz="4" w:space="0" w:color="000000"/>
              <w:bottom w:val="single" w:sz="4" w:space="0" w:color="000000"/>
            </w:tcBorders>
          </w:tcPr>
          <w:p w14:paraId="6C80264B" w14:textId="77777777" w:rsidR="004D1C19" w:rsidRPr="003B2134" w:rsidRDefault="004D1C19" w:rsidP="00E23546">
            <w:pPr>
              <w:pStyle w:val="TableText"/>
              <w:jc w:val="center"/>
              <w:rPr>
                <w:b/>
              </w:rPr>
            </w:pPr>
            <w:r w:rsidRPr="003B2134">
              <w:rPr>
                <w:b/>
              </w:rPr>
              <w:t>No Probable Disorder</w:t>
            </w:r>
            <w:r w:rsidR="00E23546">
              <w:rPr>
                <w:b/>
              </w:rPr>
              <w:br/>
            </w:r>
            <w:r w:rsidRPr="003B2134">
              <w:rPr>
                <w:b/>
              </w:rPr>
              <w:t>n=44,620</w:t>
            </w:r>
          </w:p>
        </w:tc>
        <w:tc>
          <w:tcPr>
            <w:tcW w:w="993" w:type="pct"/>
            <w:gridSpan w:val="3"/>
            <w:tcBorders>
              <w:top w:val="single" w:sz="4" w:space="0" w:color="000000"/>
              <w:bottom w:val="single" w:sz="4" w:space="0" w:color="000000"/>
            </w:tcBorders>
          </w:tcPr>
          <w:p w14:paraId="0B49FE6A" w14:textId="77777777" w:rsidR="004D1C19" w:rsidRPr="003B2134" w:rsidRDefault="004D1C19" w:rsidP="00E23546">
            <w:pPr>
              <w:pStyle w:val="TableText"/>
              <w:jc w:val="center"/>
              <w:rPr>
                <w:b/>
              </w:rPr>
            </w:pPr>
            <w:r w:rsidRPr="003B2134">
              <w:rPr>
                <w:b/>
              </w:rPr>
              <w:t>Probable Disorder</w:t>
            </w:r>
            <w:r w:rsidR="00E23546">
              <w:rPr>
                <w:b/>
              </w:rPr>
              <w:br/>
            </w:r>
            <w:r w:rsidRPr="003B2134">
              <w:rPr>
                <w:b/>
              </w:rPr>
              <w:t>n=7880</w:t>
            </w:r>
          </w:p>
        </w:tc>
      </w:tr>
      <w:tr w:rsidR="007D2109" w:rsidRPr="002C58AA" w14:paraId="7AD43F2C" w14:textId="77777777" w:rsidTr="00040E45">
        <w:trPr>
          <w:tblHeader/>
        </w:trPr>
        <w:tc>
          <w:tcPr>
            <w:tcW w:w="1026" w:type="pct"/>
            <w:tcBorders>
              <w:top w:val="nil"/>
              <w:bottom w:val="single" w:sz="4" w:space="0" w:color="000000"/>
            </w:tcBorders>
          </w:tcPr>
          <w:p w14:paraId="335F5810" w14:textId="77777777" w:rsidR="004D1C19" w:rsidRPr="009010C4" w:rsidRDefault="004D1C19" w:rsidP="00EB155C">
            <w:pPr>
              <w:pStyle w:val="TableText"/>
            </w:pPr>
          </w:p>
        </w:tc>
        <w:tc>
          <w:tcPr>
            <w:tcW w:w="196" w:type="pct"/>
            <w:tcBorders>
              <w:top w:val="single" w:sz="4" w:space="0" w:color="000000"/>
              <w:bottom w:val="single" w:sz="4" w:space="0" w:color="000000"/>
            </w:tcBorders>
            <w:vAlign w:val="bottom"/>
          </w:tcPr>
          <w:p w14:paraId="6BC23374" w14:textId="77777777" w:rsidR="004D1C19" w:rsidRPr="003B2134" w:rsidRDefault="004D1C19" w:rsidP="00040E45">
            <w:pPr>
              <w:pStyle w:val="TableText"/>
              <w:jc w:val="right"/>
              <w:rPr>
                <w:b/>
              </w:rPr>
            </w:pPr>
            <w:r w:rsidRPr="003B2134">
              <w:rPr>
                <w:b/>
              </w:rPr>
              <w:t>n</w:t>
            </w:r>
          </w:p>
        </w:tc>
        <w:tc>
          <w:tcPr>
            <w:tcW w:w="352" w:type="pct"/>
            <w:tcBorders>
              <w:top w:val="single" w:sz="4" w:space="0" w:color="000000"/>
              <w:bottom w:val="single" w:sz="4" w:space="0" w:color="000000"/>
            </w:tcBorders>
            <w:vAlign w:val="bottom"/>
          </w:tcPr>
          <w:p w14:paraId="143CDA96" w14:textId="77777777" w:rsidR="004D1C19" w:rsidRPr="003B2134" w:rsidRDefault="004D1C19" w:rsidP="00040E45">
            <w:pPr>
              <w:pStyle w:val="TableText"/>
              <w:jc w:val="right"/>
              <w:rPr>
                <w:b/>
              </w:rPr>
            </w:pPr>
            <w:r w:rsidRPr="003B2134">
              <w:rPr>
                <w:b/>
              </w:rPr>
              <w:t>Weighted n</w:t>
            </w:r>
          </w:p>
        </w:tc>
        <w:tc>
          <w:tcPr>
            <w:tcW w:w="445" w:type="pct"/>
            <w:tcBorders>
              <w:top w:val="single" w:sz="4" w:space="0" w:color="000000"/>
              <w:bottom w:val="single" w:sz="4" w:space="0" w:color="000000"/>
            </w:tcBorders>
            <w:vAlign w:val="bottom"/>
          </w:tcPr>
          <w:p w14:paraId="7D9A6044" w14:textId="77777777" w:rsidR="004D1C19" w:rsidRPr="003B2134" w:rsidRDefault="004D1C19" w:rsidP="00040E45">
            <w:pPr>
              <w:pStyle w:val="TableText"/>
              <w:jc w:val="right"/>
              <w:rPr>
                <w:b/>
              </w:rPr>
            </w:pPr>
            <w:r w:rsidRPr="003B2134">
              <w:rPr>
                <w:b/>
              </w:rPr>
              <w:t>% (95%CI)</w:t>
            </w:r>
          </w:p>
        </w:tc>
        <w:tc>
          <w:tcPr>
            <w:tcW w:w="180" w:type="pct"/>
            <w:tcBorders>
              <w:top w:val="single" w:sz="4" w:space="0" w:color="000000"/>
              <w:bottom w:val="single" w:sz="4" w:space="0" w:color="000000"/>
            </w:tcBorders>
            <w:vAlign w:val="bottom"/>
          </w:tcPr>
          <w:p w14:paraId="266BFE40" w14:textId="77777777" w:rsidR="004D1C19" w:rsidRPr="003B2134" w:rsidRDefault="004D1C19" w:rsidP="00040E45">
            <w:pPr>
              <w:pStyle w:val="TableText"/>
              <w:jc w:val="right"/>
              <w:rPr>
                <w:b/>
              </w:rPr>
            </w:pPr>
            <w:r w:rsidRPr="003B2134">
              <w:rPr>
                <w:b/>
              </w:rPr>
              <w:t>n</w:t>
            </w:r>
          </w:p>
        </w:tc>
        <w:tc>
          <w:tcPr>
            <w:tcW w:w="352" w:type="pct"/>
            <w:tcBorders>
              <w:top w:val="single" w:sz="4" w:space="0" w:color="000000"/>
              <w:bottom w:val="single" w:sz="4" w:space="0" w:color="000000"/>
            </w:tcBorders>
            <w:vAlign w:val="bottom"/>
          </w:tcPr>
          <w:p w14:paraId="1805A64F" w14:textId="77777777" w:rsidR="004D1C19" w:rsidRPr="003B2134" w:rsidRDefault="004D1C19" w:rsidP="00040E45">
            <w:pPr>
              <w:pStyle w:val="TableText"/>
              <w:jc w:val="right"/>
              <w:rPr>
                <w:b/>
              </w:rPr>
            </w:pPr>
            <w:r w:rsidRPr="003B2134">
              <w:rPr>
                <w:b/>
              </w:rPr>
              <w:t>Weighted n</w:t>
            </w:r>
          </w:p>
        </w:tc>
        <w:tc>
          <w:tcPr>
            <w:tcW w:w="462" w:type="pct"/>
            <w:tcBorders>
              <w:top w:val="single" w:sz="4" w:space="0" w:color="000000"/>
              <w:bottom w:val="single" w:sz="4" w:space="0" w:color="000000"/>
            </w:tcBorders>
            <w:vAlign w:val="bottom"/>
          </w:tcPr>
          <w:p w14:paraId="2BC9DBFF" w14:textId="77777777" w:rsidR="004D1C19" w:rsidRPr="003B2134" w:rsidRDefault="004D1C19" w:rsidP="00040E45">
            <w:pPr>
              <w:pStyle w:val="TableText"/>
              <w:jc w:val="right"/>
              <w:rPr>
                <w:b/>
              </w:rPr>
            </w:pPr>
            <w:r w:rsidRPr="003B2134">
              <w:rPr>
                <w:b/>
              </w:rPr>
              <w:t>% (95%CI)</w:t>
            </w:r>
          </w:p>
        </w:tc>
        <w:tc>
          <w:tcPr>
            <w:tcW w:w="203" w:type="pct"/>
            <w:tcBorders>
              <w:top w:val="single" w:sz="4" w:space="0" w:color="000000"/>
              <w:bottom w:val="single" w:sz="4" w:space="0" w:color="000000"/>
            </w:tcBorders>
            <w:vAlign w:val="bottom"/>
          </w:tcPr>
          <w:p w14:paraId="7A09A16C" w14:textId="77777777" w:rsidR="004D1C19" w:rsidRPr="003B2134" w:rsidRDefault="004D1C19" w:rsidP="00040E45">
            <w:pPr>
              <w:pStyle w:val="TableText"/>
              <w:jc w:val="right"/>
              <w:rPr>
                <w:b/>
              </w:rPr>
            </w:pPr>
            <w:r w:rsidRPr="003B2134">
              <w:rPr>
                <w:b/>
              </w:rPr>
              <w:t>n</w:t>
            </w:r>
          </w:p>
        </w:tc>
        <w:tc>
          <w:tcPr>
            <w:tcW w:w="352" w:type="pct"/>
            <w:tcBorders>
              <w:top w:val="single" w:sz="4" w:space="0" w:color="000000"/>
              <w:bottom w:val="single" w:sz="4" w:space="0" w:color="000000"/>
            </w:tcBorders>
            <w:vAlign w:val="bottom"/>
          </w:tcPr>
          <w:p w14:paraId="5E8299A1" w14:textId="77777777" w:rsidR="004D1C19" w:rsidRPr="003B2134" w:rsidRDefault="004D1C19" w:rsidP="00040E45">
            <w:pPr>
              <w:pStyle w:val="TableText"/>
              <w:jc w:val="right"/>
              <w:rPr>
                <w:b/>
              </w:rPr>
            </w:pPr>
            <w:r w:rsidRPr="003B2134">
              <w:rPr>
                <w:b/>
              </w:rPr>
              <w:t>Weighted n</w:t>
            </w:r>
          </w:p>
        </w:tc>
        <w:tc>
          <w:tcPr>
            <w:tcW w:w="439" w:type="pct"/>
            <w:tcBorders>
              <w:top w:val="single" w:sz="4" w:space="0" w:color="000000"/>
              <w:bottom w:val="single" w:sz="4" w:space="0" w:color="000000"/>
            </w:tcBorders>
            <w:vAlign w:val="bottom"/>
          </w:tcPr>
          <w:p w14:paraId="534C96D2" w14:textId="77777777" w:rsidR="004D1C19" w:rsidRPr="003B2134" w:rsidRDefault="004D1C19" w:rsidP="00040E45">
            <w:pPr>
              <w:pStyle w:val="TableText"/>
              <w:jc w:val="right"/>
              <w:rPr>
                <w:b/>
              </w:rPr>
            </w:pPr>
            <w:r w:rsidRPr="003B2134">
              <w:rPr>
                <w:b/>
              </w:rPr>
              <w:t>% (95%CI)</w:t>
            </w:r>
          </w:p>
        </w:tc>
        <w:tc>
          <w:tcPr>
            <w:tcW w:w="186" w:type="pct"/>
            <w:tcBorders>
              <w:top w:val="single" w:sz="4" w:space="0" w:color="000000"/>
              <w:bottom w:val="single" w:sz="4" w:space="0" w:color="000000"/>
            </w:tcBorders>
            <w:vAlign w:val="bottom"/>
          </w:tcPr>
          <w:p w14:paraId="3C42CE41" w14:textId="77777777" w:rsidR="004D1C19" w:rsidRPr="003B2134" w:rsidRDefault="004D1C19" w:rsidP="00040E45">
            <w:pPr>
              <w:pStyle w:val="TableText"/>
              <w:jc w:val="right"/>
              <w:rPr>
                <w:b/>
              </w:rPr>
            </w:pPr>
            <w:r w:rsidRPr="003B2134">
              <w:rPr>
                <w:b/>
              </w:rPr>
              <w:t>n</w:t>
            </w:r>
          </w:p>
        </w:tc>
        <w:tc>
          <w:tcPr>
            <w:tcW w:w="352" w:type="pct"/>
            <w:tcBorders>
              <w:top w:val="single" w:sz="4" w:space="0" w:color="000000"/>
              <w:bottom w:val="single" w:sz="4" w:space="0" w:color="000000"/>
            </w:tcBorders>
            <w:vAlign w:val="bottom"/>
          </w:tcPr>
          <w:p w14:paraId="69EF76E4" w14:textId="77777777" w:rsidR="004D1C19" w:rsidRPr="003B2134" w:rsidRDefault="004D1C19" w:rsidP="00040E45">
            <w:pPr>
              <w:pStyle w:val="TableText"/>
              <w:jc w:val="right"/>
              <w:rPr>
                <w:b/>
              </w:rPr>
            </w:pPr>
            <w:r w:rsidRPr="003B2134">
              <w:rPr>
                <w:b/>
              </w:rPr>
              <w:t>Weighted n</w:t>
            </w:r>
          </w:p>
        </w:tc>
        <w:tc>
          <w:tcPr>
            <w:tcW w:w="455" w:type="pct"/>
            <w:tcBorders>
              <w:top w:val="single" w:sz="4" w:space="0" w:color="000000"/>
              <w:bottom w:val="single" w:sz="4" w:space="0" w:color="000000"/>
            </w:tcBorders>
            <w:vAlign w:val="bottom"/>
          </w:tcPr>
          <w:p w14:paraId="22B0FC85" w14:textId="77777777" w:rsidR="004D1C19" w:rsidRPr="003B2134" w:rsidRDefault="004D1C19" w:rsidP="00040E45">
            <w:pPr>
              <w:pStyle w:val="TableText"/>
              <w:jc w:val="right"/>
              <w:rPr>
                <w:b/>
              </w:rPr>
            </w:pPr>
            <w:r w:rsidRPr="003B2134">
              <w:rPr>
                <w:b/>
              </w:rPr>
              <w:t>% (95%CI)</w:t>
            </w:r>
          </w:p>
        </w:tc>
      </w:tr>
      <w:tr w:rsidR="007D2109" w:rsidRPr="002C58AA" w14:paraId="10E9F730" w14:textId="77777777" w:rsidTr="007D2109">
        <w:trPr>
          <w:cnfStyle w:val="000000100000" w:firstRow="0" w:lastRow="0" w:firstColumn="0" w:lastColumn="0" w:oddVBand="0" w:evenVBand="0" w:oddHBand="1" w:evenHBand="0" w:firstRowFirstColumn="0" w:firstRowLastColumn="0" w:lastRowFirstColumn="0" w:lastRowLastColumn="0"/>
        </w:trPr>
        <w:tc>
          <w:tcPr>
            <w:tcW w:w="1026" w:type="pct"/>
            <w:tcBorders>
              <w:top w:val="single" w:sz="4" w:space="0" w:color="000000"/>
            </w:tcBorders>
          </w:tcPr>
          <w:p w14:paraId="3B88786A" w14:textId="77777777" w:rsidR="004D1C19" w:rsidRPr="009010C4" w:rsidRDefault="004D1C19" w:rsidP="00EB155C">
            <w:pPr>
              <w:pStyle w:val="TableText"/>
              <w:rPr>
                <w:rFonts w:cstheme="minorHAnsi"/>
              </w:rPr>
            </w:pPr>
            <w:r>
              <w:rPr>
                <w:rFonts w:cstheme="minorHAnsi"/>
              </w:rPr>
              <w:t>Easier to be m</w:t>
            </w:r>
            <w:r w:rsidRPr="009010C4">
              <w:rPr>
                <w:rFonts w:cstheme="minorHAnsi"/>
              </w:rPr>
              <w:t>yself when online</w:t>
            </w:r>
            <w:r>
              <w:rPr>
                <w:b/>
                <w:bCs/>
                <w:color w:val="000000" w:themeColor="text1"/>
                <w:vertAlign w:val="superscript"/>
              </w:rPr>
              <w:t>*</w:t>
            </w:r>
          </w:p>
        </w:tc>
        <w:tc>
          <w:tcPr>
            <w:tcW w:w="196" w:type="pct"/>
            <w:tcBorders>
              <w:top w:val="single" w:sz="4" w:space="0" w:color="000000"/>
            </w:tcBorders>
            <w:tcMar>
              <w:left w:w="72" w:type="dxa"/>
              <w:right w:w="72" w:type="dxa"/>
            </w:tcMar>
          </w:tcPr>
          <w:p w14:paraId="7D80570A" w14:textId="77777777" w:rsidR="004D1C19" w:rsidRPr="009010C4" w:rsidRDefault="004D1C19" w:rsidP="00EB155C">
            <w:pPr>
              <w:pStyle w:val="TableText"/>
              <w:jc w:val="right"/>
            </w:pPr>
            <w:r w:rsidRPr="009010C4">
              <w:rPr>
                <w:rFonts w:cs="Arial"/>
              </w:rPr>
              <w:t>425</w:t>
            </w:r>
          </w:p>
        </w:tc>
        <w:tc>
          <w:tcPr>
            <w:tcW w:w="352" w:type="pct"/>
            <w:tcBorders>
              <w:top w:val="single" w:sz="4" w:space="0" w:color="000000"/>
            </w:tcBorders>
            <w:tcMar>
              <w:left w:w="72" w:type="dxa"/>
              <w:right w:w="72" w:type="dxa"/>
            </w:tcMar>
          </w:tcPr>
          <w:p w14:paraId="3F982759" w14:textId="77777777" w:rsidR="004D1C19" w:rsidRPr="009010C4" w:rsidRDefault="004D1C19" w:rsidP="00EB155C">
            <w:pPr>
              <w:pStyle w:val="TableText"/>
              <w:jc w:val="right"/>
            </w:pPr>
            <w:r w:rsidRPr="009010C4">
              <w:rPr>
                <w:rFonts w:cs="Arial"/>
              </w:rPr>
              <w:t>3567</w:t>
            </w:r>
          </w:p>
        </w:tc>
        <w:tc>
          <w:tcPr>
            <w:tcW w:w="445" w:type="pct"/>
            <w:tcBorders>
              <w:top w:val="single" w:sz="4" w:space="0" w:color="000000"/>
            </w:tcBorders>
            <w:tcMar>
              <w:left w:w="72" w:type="dxa"/>
              <w:right w:w="72" w:type="dxa"/>
            </w:tcMar>
          </w:tcPr>
          <w:p w14:paraId="4B2A5FF7" w14:textId="77777777" w:rsidR="004D1C19" w:rsidRPr="009010C4" w:rsidRDefault="004D1C19" w:rsidP="00E23546">
            <w:pPr>
              <w:pStyle w:val="TableText"/>
              <w:jc w:val="right"/>
            </w:pPr>
            <w:r w:rsidRPr="009010C4">
              <w:rPr>
                <w:rFonts w:cs="Arial"/>
              </w:rPr>
              <w:t>19.9 (17.9,</w:t>
            </w:r>
            <w:r w:rsidR="00E23546">
              <w:rPr>
                <w:rFonts w:cs="Arial"/>
              </w:rPr>
              <w:t> </w:t>
            </w:r>
            <w:r w:rsidRPr="009010C4">
              <w:rPr>
                <w:rFonts w:cs="Arial"/>
              </w:rPr>
              <w:t>22.2)</w:t>
            </w:r>
          </w:p>
        </w:tc>
        <w:tc>
          <w:tcPr>
            <w:tcW w:w="180" w:type="pct"/>
            <w:tcBorders>
              <w:top w:val="single" w:sz="4" w:space="0" w:color="000000"/>
            </w:tcBorders>
            <w:tcMar>
              <w:left w:w="72" w:type="dxa"/>
              <w:right w:w="72" w:type="dxa"/>
            </w:tcMar>
          </w:tcPr>
          <w:p w14:paraId="33B07061" w14:textId="77777777" w:rsidR="004D1C19" w:rsidRPr="009010C4" w:rsidRDefault="004D1C19" w:rsidP="00EB155C">
            <w:pPr>
              <w:pStyle w:val="TableText"/>
              <w:jc w:val="right"/>
            </w:pPr>
            <w:r w:rsidRPr="009010C4">
              <w:rPr>
                <w:rFonts w:cs="Arial"/>
              </w:rPr>
              <w:t>384</w:t>
            </w:r>
          </w:p>
        </w:tc>
        <w:tc>
          <w:tcPr>
            <w:tcW w:w="352" w:type="pct"/>
            <w:tcBorders>
              <w:top w:val="single" w:sz="4" w:space="0" w:color="000000"/>
            </w:tcBorders>
            <w:tcMar>
              <w:left w:w="72" w:type="dxa"/>
              <w:right w:w="72" w:type="dxa"/>
            </w:tcMar>
          </w:tcPr>
          <w:p w14:paraId="12D4176D" w14:textId="77777777" w:rsidR="004D1C19" w:rsidRPr="009010C4" w:rsidRDefault="004D1C19" w:rsidP="00EB155C">
            <w:pPr>
              <w:pStyle w:val="TableText"/>
              <w:jc w:val="right"/>
            </w:pPr>
            <w:r w:rsidRPr="009010C4">
              <w:rPr>
                <w:rFonts w:cs="Arial"/>
              </w:rPr>
              <w:t>2977</w:t>
            </w:r>
          </w:p>
        </w:tc>
        <w:tc>
          <w:tcPr>
            <w:tcW w:w="462" w:type="pct"/>
            <w:tcBorders>
              <w:top w:val="single" w:sz="4" w:space="0" w:color="000000"/>
            </w:tcBorders>
            <w:tcMar>
              <w:left w:w="72" w:type="dxa"/>
              <w:right w:w="72" w:type="dxa"/>
            </w:tcMar>
          </w:tcPr>
          <w:p w14:paraId="6D93706F" w14:textId="77777777" w:rsidR="004D1C19" w:rsidRPr="009010C4" w:rsidRDefault="004D1C19" w:rsidP="00E23546">
            <w:pPr>
              <w:pStyle w:val="TableText"/>
              <w:jc w:val="right"/>
            </w:pPr>
            <w:r w:rsidRPr="009010C4">
              <w:rPr>
                <w:rFonts w:cs="Arial"/>
              </w:rPr>
              <w:t>42.2 (38.4,</w:t>
            </w:r>
            <w:r w:rsidR="00E23546">
              <w:rPr>
                <w:rFonts w:cs="Arial"/>
              </w:rPr>
              <w:t> </w:t>
            </w:r>
            <w:r w:rsidRPr="009010C4">
              <w:rPr>
                <w:rFonts w:cs="Arial"/>
              </w:rPr>
              <w:t>46.2)</w:t>
            </w:r>
          </w:p>
        </w:tc>
        <w:tc>
          <w:tcPr>
            <w:tcW w:w="203" w:type="pct"/>
            <w:tcBorders>
              <w:top w:val="single" w:sz="4" w:space="0" w:color="000000"/>
            </w:tcBorders>
            <w:tcMar>
              <w:left w:w="72" w:type="dxa"/>
              <w:right w:w="72" w:type="dxa"/>
            </w:tcMar>
          </w:tcPr>
          <w:p w14:paraId="4C4D493C" w14:textId="77777777" w:rsidR="004D1C19" w:rsidRPr="009010C4" w:rsidRDefault="004D1C19" w:rsidP="00EB155C">
            <w:pPr>
              <w:pStyle w:val="TableText"/>
              <w:jc w:val="right"/>
            </w:pPr>
            <w:r w:rsidRPr="009010C4">
              <w:rPr>
                <w:rFonts w:cs="Arial"/>
              </w:rPr>
              <w:t>953</w:t>
            </w:r>
          </w:p>
        </w:tc>
        <w:tc>
          <w:tcPr>
            <w:tcW w:w="352" w:type="pct"/>
            <w:tcBorders>
              <w:top w:val="single" w:sz="4" w:space="0" w:color="000000"/>
            </w:tcBorders>
            <w:tcMar>
              <w:left w:w="72" w:type="dxa"/>
              <w:right w:w="72" w:type="dxa"/>
            </w:tcMar>
          </w:tcPr>
          <w:p w14:paraId="4BFF66D3" w14:textId="77777777" w:rsidR="004D1C19" w:rsidRPr="009010C4" w:rsidRDefault="004D1C19" w:rsidP="00EB155C">
            <w:pPr>
              <w:pStyle w:val="TableText"/>
              <w:jc w:val="right"/>
            </w:pPr>
            <w:r w:rsidRPr="009010C4">
              <w:rPr>
                <w:rFonts w:cs="Arial"/>
              </w:rPr>
              <w:t>7797</w:t>
            </w:r>
          </w:p>
        </w:tc>
        <w:tc>
          <w:tcPr>
            <w:tcW w:w="439" w:type="pct"/>
            <w:tcBorders>
              <w:top w:val="single" w:sz="4" w:space="0" w:color="000000"/>
            </w:tcBorders>
            <w:tcMar>
              <w:left w:w="72" w:type="dxa"/>
              <w:right w:w="72" w:type="dxa"/>
            </w:tcMar>
          </w:tcPr>
          <w:p w14:paraId="2018994D" w14:textId="77777777" w:rsidR="004D1C19" w:rsidRPr="009010C4" w:rsidRDefault="004D1C19" w:rsidP="00E23546">
            <w:pPr>
              <w:pStyle w:val="TableText"/>
              <w:jc w:val="right"/>
            </w:pPr>
            <w:r w:rsidRPr="009010C4">
              <w:rPr>
                <w:rFonts w:cs="Arial"/>
              </w:rPr>
              <w:t>17.5 (14.1,</w:t>
            </w:r>
            <w:r w:rsidR="00E23546">
              <w:rPr>
                <w:rFonts w:cs="Arial"/>
              </w:rPr>
              <w:t> </w:t>
            </w:r>
            <w:r w:rsidRPr="009010C4">
              <w:rPr>
                <w:rFonts w:cs="Arial"/>
              </w:rPr>
              <w:t>21.4)</w:t>
            </w:r>
          </w:p>
        </w:tc>
        <w:tc>
          <w:tcPr>
            <w:tcW w:w="186" w:type="pct"/>
            <w:tcBorders>
              <w:top w:val="single" w:sz="4" w:space="0" w:color="000000"/>
            </w:tcBorders>
            <w:tcMar>
              <w:left w:w="72" w:type="dxa"/>
              <w:right w:w="72" w:type="dxa"/>
            </w:tcMar>
          </w:tcPr>
          <w:p w14:paraId="6ABDE0FB" w14:textId="77777777" w:rsidR="004D1C19" w:rsidRPr="009010C4" w:rsidRDefault="004D1C19" w:rsidP="00EB155C">
            <w:pPr>
              <w:pStyle w:val="TableText"/>
              <w:jc w:val="right"/>
            </w:pPr>
            <w:r w:rsidRPr="009010C4">
              <w:rPr>
                <w:rFonts w:cs="Arial"/>
              </w:rPr>
              <w:t>241</w:t>
            </w:r>
          </w:p>
        </w:tc>
        <w:tc>
          <w:tcPr>
            <w:tcW w:w="352" w:type="pct"/>
            <w:tcBorders>
              <w:top w:val="single" w:sz="4" w:space="0" w:color="000000"/>
            </w:tcBorders>
            <w:tcMar>
              <w:left w:w="72" w:type="dxa"/>
              <w:right w:w="72" w:type="dxa"/>
            </w:tcMar>
          </w:tcPr>
          <w:p w14:paraId="116CFE5D" w14:textId="77777777" w:rsidR="004D1C19" w:rsidRPr="009010C4" w:rsidRDefault="004D1C19" w:rsidP="00EB155C">
            <w:pPr>
              <w:pStyle w:val="TableText"/>
              <w:jc w:val="right"/>
            </w:pPr>
            <w:r w:rsidRPr="009010C4">
              <w:rPr>
                <w:rFonts w:cs="Arial"/>
              </w:rPr>
              <w:t>2635</w:t>
            </w:r>
          </w:p>
        </w:tc>
        <w:tc>
          <w:tcPr>
            <w:tcW w:w="455" w:type="pct"/>
            <w:tcBorders>
              <w:top w:val="single" w:sz="4" w:space="0" w:color="000000"/>
            </w:tcBorders>
            <w:tcMar>
              <w:left w:w="72" w:type="dxa"/>
              <w:right w:w="72" w:type="dxa"/>
            </w:tcMar>
          </w:tcPr>
          <w:p w14:paraId="1D66EEF5" w14:textId="77777777" w:rsidR="004D1C19" w:rsidRPr="009010C4" w:rsidRDefault="004D1C19" w:rsidP="00E23546">
            <w:pPr>
              <w:pStyle w:val="TableText"/>
              <w:jc w:val="right"/>
            </w:pPr>
            <w:r w:rsidRPr="009010C4">
              <w:rPr>
                <w:rFonts w:cs="Arial"/>
              </w:rPr>
              <w:t>33.4 (22.8,</w:t>
            </w:r>
            <w:r w:rsidR="00E23546">
              <w:rPr>
                <w:rFonts w:cs="Arial"/>
              </w:rPr>
              <w:t> </w:t>
            </w:r>
            <w:r w:rsidRPr="009010C4">
              <w:rPr>
                <w:rFonts w:cs="Arial"/>
              </w:rPr>
              <w:t>46.1)</w:t>
            </w:r>
          </w:p>
        </w:tc>
      </w:tr>
      <w:tr w:rsidR="007D2109" w:rsidRPr="002C58AA" w14:paraId="4D9E55C8" w14:textId="77777777" w:rsidTr="007D2109">
        <w:tc>
          <w:tcPr>
            <w:tcW w:w="1026" w:type="pct"/>
          </w:tcPr>
          <w:p w14:paraId="7ABC992B" w14:textId="77777777" w:rsidR="004D1C19" w:rsidRPr="009010C4" w:rsidRDefault="004D1C19" w:rsidP="00EB155C">
            <w:pPr>
              <w:pStyle w:val="TableText"/>
              <w:rPr>
                <w:rFonts w:cstheme="minorHAnsi"/>
              </w:rPr>
            </w:pPr>
            <w:r w:rsidRPr="009010C4">
              <w:rPr>
                <w:rFonts w:cstheme="minorHAnsi"/>
              </w:rPr>
              <w:t>Talk about different things with people online</w:t>
            </w:r>
            <w:r w:rsidRPr="002444C6">
              <w:rPr>
                <w:vertAlign w:val="superscript"/>
              </w:rPr>
              <w:t>†</w:t>
            </w:r>
          </w:p>
        </w:tc>
        <w:tc>
          <w:tcPr>
            <w:tcW w:w="196" w:type="pct"/>
            <w:tcMar>
              <w:left w:w="72" w:type="dxa"/>
              <w:right w:w="72" w:type="dxa"/>
            </w:tcMar>
          </w:tcPr>
          <w:p w14:paraId="304CF152" w14:textId="77777777" w:rsidR="004D1C19" w:rsidRPr="009010C4" w:rsidRDefault="004D1C19" w:rsidP="00EB155C">
            <w:pPr>
              <w:pStyle w:val="TableText"/>
              <w:jc w:val="right"/>
            </w:pPr>
            <w:r w:rsidRPr="009010C4">
              <w:rPr>
                <w:rFonts w:cs="Arial"/>
              </w:rPr>
              <w:t>419</w:t>
            </w:r>
          </w:p>
        </w:tc>
        <w:tc>
          <w:tcPr>
            <w:tcW w:w="352" w:type="pct"/>
            <w:tcMar>
              <w:left w:w="72" w:type="dxa"/>
              <w:right w:w="72" w:type="dxa"/>
            </w:tcMar>
          </w:tcPr>
          <w:p w14:paraId="12D2A372" w14:textId="77777777" w:rsidR="004D1C19" w:rsidRPr="009010C4" w:rsidRDefault="004D1C19" w:rsidP="00EB155C">
            <w:pPr>
              <w:pStyle w:val="TableText"/>
              <w:jc w:val="right"/>
            </w:pPr>
            <w:r w:rsidRPr="009010C4">
              <w:rPr>
                <w:rFonts w:cs="Arial"/>
              </w:rPr>
              <w:t>3642</w:t>
            </w:r>
          </w:p>
        </w:tc>
        <w:tc>
          <w:tcPr>
            <w:tcW w:w="445" w:type="pct"/>
            <w:tcMar>
              <w:left w:w="72" w:type="dxa"/>
              <w:right w:w="72" w:type="dxa"/>
            </w:tcMar>
          </w:tcPr>
          <w:p w14:paraId="35D4F8EC" w14:textId="77777777" w:rsidR="004D1C19" w:rsidRPr="009010C4" w:rsidRDefault="004D1C19" w:rsidP="00E23546">
            <w:pPr>
              <w:pStyle w:val="TableText"/>
              <w:jc w:val="right"/>
            </w:pPr>
            <w:r w:rsidRPr="009010C4">
              <w:rPr>
                <w:rFonts w:cs="Arial"/>
              </w:rPr>
              <w:t>20.4 (18.3,</w:t>
            </w:r>
            <w:r w:rsidR="00E23546">
              <w:rPr>
                <w:rFonts w:cs="Arial"/>
              </w:rPr>
              <w:t> </w:t>
            </w:r>
            <w:r w:rsidRPr="009010C4">
              <w:rPr>
                <w:rFonts w:cs="Arial"/>
              </w:rPr>
              <w:t>22.6)</w:t>
            </w:r>
          </w:p>
        </w:tc>
        <w:tc>
          <w:tcPr>
            <w:tcW w:w="180" w:type="pct"/>
            <w:tcMar>
              <w:left w:w="72" w:type="dxa"/>
              <w:right w:w="72" w:type="dxa"/>
            </w:tcMar>
          </w:tcPr>
          <w:p w14:paraId="465E4B87" w14:textId="77777777" w:rsidR="004D1C19" w:rsidRPr="009010C4" w:rsidRDefault="004D1C19" w:rsidP="00EB155C">
            <w:pPr>
              <w:pStyle w:val="TableText"/>
              <w:jc w:val="right"/>
            </w:pPr>
            <w:r w:rsidRPr="009010C4">
              <w:rPr>
                <w:rFonts w:cs="Arial"/>
              </w:rPr>
              <w:t>308</w:t>
            </w:r>
          </w:p>
        </w:tc>
        <w:tc>
          <w:tcPr>
            <w:tcW w:w="352" w:type="pct"/>
            <w:tcMar>
              <w:left w:w="72" w:type="dxa"/>
              <w:right w:w="72" w:type="dxa"/>
            </w:tcMar>
          </w:tcPr>
          <w:p w14:paraId="2A84530F" w14:textId="77777777" w:rsidR="004D1C19" w:rsidRPr="009010C4" w:rsidRDefault="004D1C19" w:rsidP="00EB155C">
            <w:pPr>
              <w:pStyle w:val="TableText"/>
              <w:jc w:val="right"/>
            </w:pPr>
            <w:r w:rsidRPr="009010C4">
              <w:rPr>
                <w:rFonts w:cs="Arial"/>
              </w:rPr>
              <w:t>2464</w:t>
            </w:r>
          </w:p>
        </w:tc>
        <w:tc>
          <w:tcPr>
            <w:tcW w:w="462" w:type="pct"/>
            <w:tcMar>
              <w:left w:w="72" w:type="dxa"/>
              <w:right w:w="72" w:type="dxa"/>
            </w:tcMar>
          </w:tcPr>
          <w:p w14:paraId="31733832" w14:textId="77777777" w:rsidR="004D1C19" w:rsidRPr="009010C4" w:rsidRDefault="004D1C19" w:rsidP="00E23546">
            <w:pPr>
              <w:pStyle w:val="TableText"/>
              <w:jc w:val="right"/>
            </w:pPr>
            <w:r w:rsidRPr="009010C4">
              <w:rPr>
                <w:rFonts w:cs="Arial"/>
              </w:rPr>
              <w:t>34.9 (31.2,</w:t>
            </w:r>
            <w:r w:rsidR="00E23546">
              <w:rPr>
                <w:rFonts w:cs="Arial"/>
              </w:rPr>
              <w:t> </w:t>
            </w:r>
            <w:r w:rsidRPr="009010C4">
              <w:rPr>
                <w:rFonts w:cs="Arial"/>
              </w:rPr>
              <w:t>38.8)</w:t>
            </w:r>
          </w:p>
        </w:tc>
        <w:tc>
          <w:tcPr>
            <w:tcW w:w="203" w:type="pct"/>
            <w:tcMar>
              <w:left w:w="72" w:type="dxa"/>
              <w:right w:w="72" w:type="dxa"/>
            </w:tcMar>
          </w:tcPr>
          <w:p w14:paraId="2C3FB686" w14:textId="77777777" w:rsidR="004D1C19" w:rsidRPr="009010C4" w:rsidRDefault="004D1C19" w:rsidP="00EB155C">
            <w:pPr>
              <w:pStyle w:val="TableText"/>
              <w:jc w:val="right"/>
            </w:pPr>
            <w:r w:rsidRPr="009010C4">
              <w:rPr>
                <w:rFonts w:cs="Arial"/>
              </w:rPr>
              <w:t>1014</w:t>
            </w:r>
          </w:p>
        </w:tc>
        <w:tc>
          <w:tcPr>
            <w:tcW w:w="352" w:type="pct"/>
            <w:tcMar>
              <w:left w:w="72" w:type="dxa"/>
              <w:right w:w="72" w:type="dxa"/>
            </w:tcMar>
          </w:tcPr>
          <w:p w14:paraId="2349FCC9" w14:textId="77777777" w:rsidR="004D1C19" w:rsidRPr="009010C4" w:rsidRDefault="004D1C19" w:rsidP="00EB155C">
            <w:pPr>
              <w:pStyle w:val="TableText"/>
              <w:jc w:val="right"/>
            </w:pPr>
            <w:r w:rsidRPr="009010C4">
              <w:rPr>
                <w:rFonts w:cs="Arial"/>
              </w:rPr>
              <w:t>10</w:t>
            </w:r>
            <w:r w:rsidR="007D2109">
              <w:rPr>
                <w:rFonts w:cs="Arial"/>
              </w:rPr>
              <w:t>,</w:t>
            </w:r>
            <w:r w:rsidRPr="009010C4">
              <w:rPr>
                <w:rFonts w:cs="Arial"/>
              </w:rPr>
              <w:t>630</w:t>
            </w:r>
          </w:p>
        </w:tc>
        <w:tc>
          <w:tcPr>
            <w:tcW w:w="439" w:type="pct"/>
            <w:tcMar>
              <w:left w:w="72" w:type="dxa"/>
              <w:right w:w="72" w:type="dxa"/>
            </w:tcMar>
          </w:tcPr>
          <w:p w14:paraId="68737725" w14:textId="77777777" w:rsidR="004D1C19" w:rsidRPr="009010C4" w:rsidRDefault="004D1C19" w:rsidP="00E23546">
            <w:pPr>
              <w:pStyle w:val="TableText"/>
              <w:jc w:val="right"/>
            </w:pPr>
            <w:r w:rsidRPr="009010C4">
              <w:rPr>
                <w:rFonts w:cs="Arial"/>
              </w:rPr>
              <w:t>23.8 (19.8,</w:t>
            </w:r>
            <w:r w:rsidR="00E23546">
              <w:rPr>
                <w:rFonts w:cs="Arial"/>
              </w:rPr>
              <w:t> </w:t>
            </w:r>
            <w:r w:rsidRPr="009010C4">
              <w:rPr>
                <w:rFonts w:cs="Arial"/>
              </w:rPr>
              <w:t>28.4)</w:t>
            </w:r>
          </w:p>
        </w:tc>
        <w:tc>
          <w:tcPr>
            <w:tcW w:w="186" w:type="pct"/>
            <w:tcMar>
              <w:left w:w="72" w:type="dxa"/>
              <w:right w:w="72" w:type="dxa"/>
            </w:tcMar>
          </w:tcPr>
          <w:p w14:paraId="30AEB543" w14:textId="77777777" w:rsidR="004D1C19" w:rsidRPr="009010C4" w:rsidRDefault="004D1C19" w:rsidP="00EB155C">
            <w:pPr>
              <w:pStyle w:val="TableText"/>
              <w:jc w:val="right"/>
            </w:pPr>
            <w:r w:rsidRPr="009010C4">
              <w:rPr>
                <w:rFonts w:cs="Arial"/>
              </w:rPr>
              <w:t>228</w:t>
            </w:r>
          </w:p>
        </w:tc>
        <w:tc>
          <w:tcPr>
            <w:tcW w:w="352" w:type="pct"/>
            <w:tcMar>
              <w:left w:w="72" w:type="dxa"/>
              <w:right w:w="72" w:type="dxa"/>
            </w:tcMar>
          </w:tcPr>
          <w:p w14:paraId="396C979E" w14:textId="77777777" w:rsidR="004D1C19" w:rsidRPr="009010C4" w:rsidRDefault="004D1C19" w:rsidP="00EB155C">
            <w:pPr>
              <w:pStyle w:val="TableText"/>
              <w:jc w:val="right"/>
            </w:pPr>
            <w:r w:rsidRPr="009010C4">
              <w:rPr>
                <w:rFonts w:cs="Arial"/>
              </w:rPr>
              <w:t>2091</w:t>
            </w:r>
          </w:p>
        </w:tc>
        <w:tc>
          <w:tcPr>
            <w:tcW w:w="455" w:type="pct"/>
            <w:tcMar>
              <w:left w:w="72" w:type="dxa"/>
              <w:right w:w="72" w:type="dxa"/>
            </w:tcMar>
          </w:tcPr>
          <w:p w14:paraId="16015ECB" w14:textId="77777777" w:rsidR="004D1C19" w:rsidRPr="009010C4" w:rsidRDefault="004D1C19" w:rsidP="00E23546">
            <w:pPr>
              <w:pStyle w:val="TableText"/>
              <w:jc w:val="right"/>
            </w:pPr>
            <w:r w:rsidRPr="009010C4">
              <w:rPr>
                <w:rFonts w:cs="Arial"/>
              </w:rPr>
              <w:t>26.5 (17.6,</w:t>
            </w:r>
            <w:r w:rsidR="00E23546">
              <w:rPr>
                <w:rFonts w:cs="Arial"/>
              </w:rPr>
              <w:t> </w:t>
            </w:r>
            <w:r w:rsidRPr="009010C4">
              <w:rPr>
                <w:rFonts w:cs="Arial"/>
              </w:rPr>
              <w:t>37.9)</w:t>
            </w:r>
          </w:p>
        </w:tc>
      </w:tr>
      <w:tr w:rsidR="007D2109" w:rsidRPr="002C58AA" w14:paraId="2C9900FE" w14:textId="77777777" w:rsidTr="007D2109">
        <w:trPr>
          <w:cnfStyle w:val="000000100000" w:firstRow="0" w:lastRow="0" w:firstColumn="0" w:lastColumn="0" w:oddVBand="0" w:evenVBand="0" w:oddHBand="1" w:evenHBand="0" w:firstRowFirstColumn="0" w:firstRowLastColumn="0" w:lastRowFirstColumn="0" w:lastRowLastColumn="0"/>
        </w:trPr>
        <w:tc>
          <w:tcPr>
            <w:tcW w:w="1026" w:type="pct"/>
          </w:tcPr>
          <w:p w14:paraId="4E4DB0CC" w14:textId="77777777" w:rsidR="004D1C19" w:rsidRPr="009010C4" w:rsidRDefault="004D1C19" w:rsidP="00EB155C">
            <w:pPr>
              <w:pStyle w:val="TableText"/>
              <w:rPr>
                <w:rFonts w:cstheme="minorHAnsi"/>
              </w:rPr>
            </w:pPr>
            <w:r w:rsidRPr="009010C4">
              <w:rPr>
                <w:rFonts w:cstheme="minorHAnsi"/>
              </w:rPr>
              <w:t>When online I talk about private things</w:t>
            </w:r>
            <w:r w:rsidRPr="002444C6">
              <w:rPr>
                <w:vertAlign w:val="superscript"/>
              </w:rPr>
              <w:t>‡</w:t>
            </w:r>
          </w:p>
        </w:tc>
        <w:tc>
          <w:tcPr>
            <w:tcW w:w="196" w:type="pct"/>
            <w:tcMar>
              <w:left w:w="72" w:type="dxa"/>
              <w:right w:w="72" w:type="dxa"/>
            </w:tcMar>
          </w:tcPr>
          <w:p w14:paraId="15846578" w14:textId="77777777" w:rsidR="004D1C19" w:rsidRPr="009010C4" w:rsidRDefault="004D1C19" w:rsidP="00EB155C">
            <w:pPr>
              <w:pStyle w:val="TableText"/>
              <w:jc w:val="right"/>
            </w:pPr>
            <w:r w:rsidRPr="009010C4">
              <w:rPr>
                <w:rFonts w:cs="Arial"/>
              </w:rPr>
              <w:t>211</w:t>
            </w:r>
          </w:p>
        </w:tc>
        <w:tc>
          <w:tcPr>
            <w:tcW w:w="352" w:type="pct"/>
            <w:tcMar>
              <w:left w:w="72" w:type="dxa"/>
              <w:right w:w="72" w:type="dxa"/>
            </w:tcMar>
          </w:tcPr>
          <w:p w14:paraId="13355A87" w14:textId="77777777" w:rsidR="004D1C19" w:rsidRPr="009010C4" w:rsidRDefault="004D1C19" w:rsidP="00EB155C">
            <w:pPr>
              <w:pStyle w:val="TableText"/>
              <w:jc w:val="right"/>
            </w:pPr>
            <w:r w:rsidRPr="009010C4">
              <w:rPr>
                <w:rFonts w:cs="Arial"/>
              </w:rPr>
              <w:t>1890</w:t>
            </w:r>
          </w:p>
        </w:tc>
        <w:tc>
          <w:tcPr>
            <w:tcW w:w="445" w:type="pct"/>
            <w:tcMar>
              <w:left w:w="72" w:type="dxa"/>
              <w:right w:w="72" w:type="dxa"/>
            </w:tcMar>
          </w:tcPr>
          <w:p w14:paraId="00DEADC9" w14:textId="77777777" w:rsidR="004D1C19" w:rsidRPr="009010C4" w:rsidRDefault="004D1C19" w:rsidP="00E23546">
            <w:pPr>
              <w:pStyle w:val="TableText"/>
              <w:jc w:val="right"/>
            </w:pPr>
            <w:r w:rsidRPr="009010C4">
              <w:rPr>
                <w:rFonts w:cs="Arial"/>
              </w:rPr>
              <w:t>10.6 (9.0,</w:t>
            </w:r>
            <w:r w:rsidR="00E23546">
              <w:rPr>
                <w:rFonts w:cs="Arial"/>
              </w:rPr>
              <w:t> </w:t>
            </w:r>
            <w:r w:rsidRPr="009010C4">
              <w:rPr>
                <w:rFonts w:cs="Arial"/>
              </w:rPr>
              <w:t>12.4)</w:t>
            </w:r>
          </w:p>
        </w:tc>
        <w:tc>
          <w:tcPr>
            <w:tcW w:w="180" w:type="pct"/>
            <w:tcMar>
              <w:left w:w="72" w:type="dxa"/>
              <w:right w:w="72" w:type="dxa"/>
            </w:tcMar>
          </w:tcPr>
          <w:p w14:paraId="79BDA918" w14:textId="77777777" w:rsidR="004D1C19" w:rsidRPr="009010C4" w:rsidRDefault="004D1C19" w:rsidP="00EB155C">
            <w:pPr>
              <w:pStyle w:val="TableText"/>
              <w:jc w:val="right"/>
            </w:pPr>
            <w:r w:rsidRPr="009010C4">
              <w:rPr>
                <w:rFonts w:cs="Arial"/>
              </w:rPr>
              <w:t>189</w:t>
            </w:r>
          </w:p>
        </w:tc>
        <w:tc>
          <w:tcPr>
            <w:tcW w:w="352" w:type="pct"/>
            <w:tcMar>
              <w:left w:w="72" w:type="dxa"/>
              <w:right w:w="72" w:type="dxa"/>
            </w:tcMar>
          </w:tcPr>
          <w:p w14:paraId="7C0CFCF2" w14:textId="77777777" w:rsidR="004D1C19" w:rsidRPr="009010C4" w:rsidRDefault="004D1C19" w:rsidP="00EB155C">
            <w:pPr>
              <w:pStyle w:val="TableText"/>
              <w:jc w:val="right"/>
            </w:pPr>
            <w:r w:rsidRPr="009010C4">
              <w:rPr>
                <w:rFonts w:cs="Arial"/>
              </w:rPr>
              <w:t>1478</w:t>
            </w:r>
          </w:p>
        </w:tc>
        <w:tc>
          <w:tcPr>
            <w:tcW w:w="462" w:type="pct"/>
            <w:tcMar>
              <w:left w:w="72" w:type="dxa"/>
              <w:right w:w="72" w:type="dxa"/>
            </w:tcMar>
          </w:tcPr>
          <w:p w14:paraId="1950C5A1" w14:textId="77777777" w:rsidR="004D1C19" w:rsidRPr="009010C4" w:rsidRDefault="004D1C19" w:rsidP="00E23546">
            <w:pPr>
              <w:pStyle w:val="TableText"/>
              <w:jc w:val="right"/>
            </w:pPr>
            <w:r w:rsidRPr="009010C4">
              <w:rPr>
                <w:rFonts w:cs="Arial"/>
              </w:rPr>
              <w:t>21.0 (17.9,</w:t>
            </w:r>
            <w:r w:rsidR="00E23546">
              <w:rPr>
                <w:rFonts w:cs="Arial"/>
              </w:rPr>
              <w:t> </w:t>
            </w:r>
            <w:r w:rsidRPr="009010C4">
              <w:rPr>
                <w:rFonts w:cs="Arial"/>
              </w:rPr>
              <w:t>24.4)</w:t>
            </w:r>
          </w:p>
        </w:tc>
        <w:tc>
          <w:tcPr>
            <w:tcW w:w="203" w:type="pct"/>
            <w:tcMar>
              <w:left w:w="72" w:type="dxa"/>
              <w:right w:w="72" w:type="dxa"/>
            </w:tcMar>
          </w:tcPr>
          <w:p w14:paraId="4ABA72C0" w14:textId="77777777" w:rsidR="004D1C19" w:rsidRPr="009010C4" w:rsidRDefault="004D1C19" w:rsidP="00EB155C">
            <w:pPr>
              <w:pStyle w:val="TableText"/>
              <w:jc w:val="right"/>
            </w:pPr>
            <w:r w:rsidRPr="009010C4">
              <w:rPr>
                <w:rFonts w:cs="Arial"/>
              </w:rPr>
              <w:t>465</w:t>
            </w:r>
          </w:p>
        </w:tc>
        <w:tc>
          <w:tcPr>
            <w:tcW w:w="352" w:type="pct"/>
            <w:tcMar>
              <w:left w:w="72" w:type="dxa"/>
              <w:right w:w="72" w:type="dxa"/>
            </w:tcMar>
          </w:tcPr>
          <w:p w14:paraId="6DD1119B" w14:textId="77777777" w:rsidR="004D1C19" w:rsidRPr="009010C4" w:rsidRDefault="004D1C19" w:rsidP="00EB155C">
            <w:pPr>
              <w:pStyle w:val="TableText"/>
              <w:jc w:val="right"/>
            </w:pPr>
            <w:r w:rsidRPr="009010C4">
              <w:rPr>
                <w:rFonts w:cs="Arial"/>
              </w:rPr>
              <w:t>4499</w:t>
            </w:r>
          </w:p>
        </w:tc>
        <w:tc>
          <w:tcPr>
            <w:tcW w:w="439" w:type="pct"/>
            <w:tcMar>
              <w:left w:w="72" w:type="dxa"/>
              <w:right w:w="72" w:type="dxa"/>
            </w:tcMar>
          </w:tcPr>
          <w:p w14:paraId="089D49B1" w14:textId="77777777" w:rsidR="004D1C19" w:rsidRPr="009010C4" w:rsidRDefault="004D1C19" w:rsidP="00E23546">
            <w:pPr>
              <w:pStyle w:val="TableText"/>
              <w:jc w:val="right"/>
            </w:pPr>
            <w:r w:rsidRPr="009010C4">
              <w:rPr>
                <w:rFonts w:cs="Arial"/>
              </w:rPr>
              <w:t>10.1 (7.4,</w:t>
            </w:r>
            <w:r w:rsidR="00E23546">
              <w:rPr>
                <w:rFonts w:cs="Arial"/>
              </w:rPr>
              <w:t> </w:t>
            </w:r>
            <w:r w:rsidRPr="009010C4">
              <w:rPr>
                <w:rFonts w:cs="Arial"/>
              </w:rPr>
              <w:t>13.7)</w:t>
            </w:r>
          </w:p>
        </w:tc>
        <w:tc>
          <w:tcPr>
            <w:tcW w:w="186" w:type="pct"/>
            <w:tcMar>
              <w:left w:w="72" w:type="dxa"/>
              <w:right w:w="72" w:type="dxa"/>
            </w:tcMar>
          </w:tcPr>
          <w:p w14:paraId="1520D1D0" w14:textId="77777777" w:rsidR="004D1C19" w:rsidRPr="009010C4" w:rsidRDefault="004D1C19" w:rsidP="00EB155C">
            <w:pPr>
              <w:pStyle w:val="TableText"/>
              <w:jc w:val="right"/>
            </w:pPr>
            <w:r w:rsidRPr="009010C4">
              <w:rPr>
                <w:rFonts w:cs="Arial"/>
              </w:rPr>
              <w:t>122</w:t>
            </w:r>
          </w:p>
        </w:tc>
        <w:tc>
          <w:tcPr>
            <w:tcW w:w="352" w:type="pct"/>
            <w:tcMar>
              <w:left w:w="72" w:type="dxa"/>
              <w:right w:w="72" w:type="dxa"/>
            </w:tcMar>
          </w:tcPr>
          <w:p w14:paraId="271DC91E" w14:textId="77777777" w:rsidR="004D1C19" w:rsidRPr="009010C4" w:rsidRDefault="004D1C19" w:rsidP="00EB155C">
            <w:pPr>
              <w:pStyle w:val="TableText"/>
              <w:jc w:val="right"/>
            </w:pPr>
            <w:r w:rsidRPr="009010C4">
              <w:rPr>
                <w:rFonts w:cs="Arial"/>
              </w:rPr>
              <w:t>1809</w:t>
            </w:r>
          </w:p>
        </w:tc>
        <w:tc>
          <w:tcPr>
            <w:tcW w:w="455" w:type="pct"/>
            <w:tcMar>
              <w:left w:w="72" w:type="dxa"/>
              <w:right w:w="72" w:type="dxa"/>
            </w:tcMar>
          </w:tcPr>
          <w:p w14:paraId="3CB95259" w14:textId="77777777" w:rsidR="004D1C19" w:rsidRPr="009010C4" w:rsidRDefault="004D1C19" w:rsidP="00E23546">
            <w:pPr>
              <w:pStyle w:val="TableText"/>
              <w:jc w:val="right"/>
            </w:pPr>
            <w:r w:rsidRPr="009010C4">
              <w:rPr>
                <w:rFonts w:cs="Arial"/>
              </w:rPr>
              <w:t>23.0 (13.2,</w:t>
            </w:r>
            <w:r w:rsidR="00E23546">
              <w:rPr>
                <w:rFonts w:cs="Arial"/>
              </w:rPr>
              <w:t> </w:t>
            </w:r>
            <w:r w:rsidRPr="009010C4">
              <w:rPr>
                <w:rFonts w:cs="Arial"/>
              </w:rPr>
              <w:t>36.8)</w:t>
            </w:r>
          </w:p>
        </w:tc>
      </w:tr>
      <w:tr w:rsidR="007D2109" w:rsidRPr="002C58AA" w14:paraId="64166E2B" w14:textId="77777777" w:rsidTr="007D2109">
        <w:tc>
          <w:tcPr>
            <w:tcW w:w="1026" w:type="pct"/>
          </w:tcPr>
          <w:p w14:paraId="04C7CFE4" w14:textId="77777777" w:rsidR="004D1C19" w:rsidRPr="009010C4" w:rsidRDefault="004D1C19" w:rsidP="00EB155C">
            <w:pPr>
              <w:pStyle w:val="TableText"/>
              <w:rPr>
                <w:rFonts w:cstheme="minorHAnsi"/>
              </w:rPr>
            </w:pPr>
            <w:r w:rsidRPr="009010C4">
              <w:rPr>
                <w:rFonts w:cstheme="minorHAnsi"/>
              </w:rPr>
              <w:t>I go online much more on weekends</w:t>
            </w:r>
            <w:r w:rsidRPr="002444C6">
              <w:rPr>
                <w:vertAlign w:val="superscript"/>
              </w:rPr>
              <w:t>#</w:t>
            </w:r>
          </w:p>
        </w:tc>
        <w:tc>
          <w:tcPr>
            <w:tcW w:w="196" w:type="pct"/>
            <w:tcMar>
              <w:left w:w="72" w:type="dxa"/>
              <w:right w:w="72" w:type="dxa"/>
            </w:tcMar>
          </w:tcPr>
          <w:p w14:paraId="007F197A" w14:textId="77777777" w:rsidR="004D1C19" w:rsidRPr="009010C4" w:rsidRDefault="004D1C19" w:rsidP="00EB155C">
            <w:pPr>
              <w:pStyle w:val="TableText"/>
              <w:jc w:val="right"/>
            </w:pPr>
            <w:r w:rsidRPr="009010C4">
              <w:rPr>
                <w:rFonts w:cs="Arial"/>
              </w:rPr>
              <w:t>757</w:t>
            </w:r>
          </w:p>
        </w:tc>
        <w:tc>
          <w:tcPr>
            <w:tcW w:w="352" w:type="pct"/>
            <w:tcMar>
              <w:left w:w="72" w:type="dxa"/>
              <w:right w:w="72" w:type="dxa"/>
            </w:tcMar>
          </w:tcPr>
          <w:p w14:paraId="270100EA" w14:textId="77777777" w:rsidR="004D1C19" w:rsidRPr="009010C4" w:rsidRDefault="004D1C19" w:rsidP="00EB155C">
            <w:pPr>
              <w:pStyle w:val="TableText"/>
              <w:jc w:val="right"/>
            </w:pPr>
            <w:r w:rsidRPr="009010C4">
              <w:rPr>
                <w:rFonts w:cs="Arial"/>
              </w:rPr>
              <w:t>5683</w:t>
            </w:r>
          </w:p>
        </w:tc>
        <w:tc>
          <w:tcPr>
            <w:tcW w:w="445" w:type="pct"/>
            <w:tcMar>
              <w:left w:w="72" w:type="dxa"/>
              <w:right w:w="72" w:type="dxa"/>
            </w:tcMar>
          </w:tcPr>
          <w:p w14:paraId="6C8CCF32" w14:textId="77777777" w:rsidR="004D1C19" w:rsidRPr="009010C4" w:rsidRDefault="004D1C19" w:rsidP="00E23546">
            <w:pPr>
              <w:pStyle w:val="TableText"/>
              <w:jc w:val="right"/>
            </w:pPr>
            <w:r w:rsidRPr="009010C4">
              <w:rPr>
                <w:rFonts w:cs="Arial"/>
              </w:rPr>
              <w:t>31.8 (29.5,</w:t>
            </w:r>
            <w:r w:rsidR="00E23546">
              <w:rPr>
                <w:rFonts w:cs="Arial"/>
              </w:rPr>
              <w:t> </w:t>
            </w:r>
            <w:r w:rsidRPr="009010C4">
              <w:rPr>
                <w:rFonts w:cs="Arial"/>
              </w:rPr>
              <w:t>34.2)</w:t>
            </w:r>
          </w:p>
        </w:tc>
        <w:tc>
          <w:tcPr>
            <w:tcW w:w="180" w:type="pct"/>
            <w:tcMar>
              <w:left w:w="72" w:type="dxa"/>
              <w:right w:w="72" w:type="dxa"/>
            </w:tcMar>
          </w:tcPr>
          <w:p w14:paraId="70F5B3B9" w14:textId="77777777" w:rsidR="004D1C19" w:rsidRPr="009010C4" w:rsidRDefault="004D1C19" w:rsidP="00EB155C">
            <w:pPr>
              <w:pStyle w:val="TableText"/>
              <w:jc w:val="right"/>
            </w:pPr>
            <w:r w:rsidRPr="009010C4">
              <w:rPr>
                <w:rFonts w:cs="Arial"/>
              </w:rPr>
              <w:t>248</w:t>
            </w:r>
          </w:p>
        </w:tc>
        <w:tc>
          <w:tcPr>
            <w:tcW w:w="352" w:type="pct"/>
            <w:tcMar>
              <w:left w:w="72" w:type="dxa"/>
              <w:right w:w="72" w:type="dxa"/>
            </w:tcMar>
          </w:tcPr>
          <w:p w14:paraId="1CFCC0DD" w14:textId="77777777" w:rsidR="004D1C19" w:rsidRPr="009010C4" w:rsidRDefault="004D1C19" w:rsidP="00EB155C">
            <w:pPr>
              <w:pStyle w:val="TableText"/>
              <w:jc w:val="right"/>
            </w:pPr>
            <w:r w:rsidRPr="009010C4">
              <w:rPr>
                <w:rFonts w:cs="Arial"/>
              </w:rPr>
              <w:t>2015</w:t>
            </w:r>
          </w:p>
        </w:tc>
        <w:tc>
          <w:tcPr>
            <w:tcW w:w="462" w:type="pct"/>
            <w:tcMar>
              <w:left w:w="72" w:type="dxa"/>
              <w:right w:w="72" w:type="dxa"/>
            </w:tcMar>
          </w:tcPr>
          <w:p w14:paraId="277F8D1E" w14:textId="77777777" w:rsidR="004D1C19" w:rsidRPr="009010C4" w:rsidRDefault="004D1C19" w:rsidP="00E23546">
            <w:pPr>
              <w:pStyle w:val="TableText"/>
              <w:jc w:val="right"/>
            </w:pPr>
            <w:r w:rsidRPr="009010C4">
              <w:rPr>
                <w:rFonts w:cs="Arial"/>
              </w:rPr>
              <w:t>28.6 (25.1,</w:t>
            </w:r>
            <w:r w:rsidR="00E23546">
              <w:rPr>
                <w:rFonts w:cs="Arial"/>
              </w:rPr>
              <w:t> </w:t>
            </w:r>
            <w:r w:rsidRPr="009010C4">
              <w:rPr>
                <w:rFonts w:cs="Arial"/>
              </w:rPr>
              <w:t>32.3)</w:t>
            </w:r>
          </w:p>
        </w:tc>
        <w:tc>
          <w:tcPr>
            <w:tcW w:w="203" w:type="pct"/>
            <w:tcMar>
              <w:left w:w="72" w:type="dxa"/>
              <w:right w:w="72" w:type="dxa"/>
            </w:tcMar>
          </w:tcPr>
          <w:p w14:paraId="63557F87" w14:textId="77777777" w:rsidR="004D1C19" w:rsidRPr="009010C4" w:rsidRDefault="004D1C19" w:rsidP="00EB155C">
            <w:pPr>
              <w:pStyle w:val="TableText"/>
              <w:jc w:val="right"/>
            </w:pPr>
            <w:r w:rsidRPr="009010C4">
              <w:rPr>
                <w:rFonts w:cs="Arial"/>
              </w:rPr>
              <w:t>2980</w:t>
            </w:r>
          </w:p>
        </w:tc>
        <w:tc>
          <w:tcPr>
            <w:tcW w:w="352" w:type="pct"/>
            <w:tcMar>
              <w:left w:w="72" w:type="dxa"/>
              <w:right w:w="72" w:type="dxa"/>
            </w:tcMar>
          </w:tcPr>
          <w:p w14:paraId="620A50C2" w14:textId="77777777" w:rsidR="004D1C19" w:rsidRPr="009010C4" w:rsidRDefault="004D1C19" w:rsidP="00EB155C">
            <w:pPr>
              <w:pStyle w:val="TableText"/>
              <w:jc w:val="right"/>
            </w:pPr>
            <w:r w:rsidRPr="009010C4">
              <w:rPr>
                <w:rFonts w:cs="Arial"/>
              </w:rPr>
              <w:t>21</w:t>
            </w:r>
            <w:r w:rsidR="007D2109">
              <w:rPr>
                <w:rFonts w:cs="Arial"/>
              </w:rPr>
              <w:t>,</w:t>
            </w:r>
            <w:r w:rsidRPr="009010C4">
              <w:rPr>
                <w:rFonts w:cs="Arial"/>
              </w:rPr>
              <w:t>935</w:t>
            </w:r>
          </w:p>
        </w:tc>
        <w:tc>
          <w:tcPr>
            <w:tcW w:w="439" w:type="pct"/>
            <w:tcMar>
              <w:left w:w="72" w:type="dxa"/>
              <w:right w:w="72" w:type="dxa"/>
            </w:tcMar>
          </w:tcPr>
          <w:p w14:paraId="40C8FFD6" w14:textId="77777777" w:rsidR="004D1C19" w:rsidRPr="009010C4" w:rsidRDefault="004D1C19" w:rsidP="00E23546">
            <w:pPr>
              <w:pStyle w:val="TableText"/>
              <w:jc w:val="right"/>
            </w:pPr>
            <w:r w:rsidRPr="009010C4">
              <w:rPr>
                <w:rFonts w:cs="Arial"/>
              </w:rPr>
              <w:t>49.2 (44.8,</w:t>
            </w:r>
            <w:r w:rsidR="00E23546">
              <w:rPr>
                <w:rFonts w:cs="Arial"/>
              </w:rPr>
              <w:t> </w:t>
            </w:r>
            <w:r w:rsidRPr="009010C4">
              <w:rPr>
                <w:rFonts w:cs="Arial"/>
              </w:rPr>
              <w:t>53.6)</w:t>
            </w:r>
          </w:p>
        </w:tc>
        <w:tc>
          <w:tcPr>
            <w:tcW w:w="186" w:type="pct"/>
            <w:tcMar>
              <w:left w:w="72" w:type="dxa"/>
              <w:right w:w="72" w:type="dxa"/>
            </w:tcMar>
          </w:tcPr>
          <w:p w14:paraId="7A0B9B04" w14:textId="77777777" w:rsidR="004D1C19" w:rsidRPr="009010C4" w:rsidRDefault="004D1C19" w:rsidP="00EB155C">
            <w:pPr>
              <w:pStyle w:val="TableText"/>
              <w:jc w:val="right"/>
            </w:pPr>
            <w:r w:rsidRPr="009010C4">
              <w:rPr>
                <w:rFonts w:cs="Arial"/>
              </w:rPr>
              <w:t>434</w:t>
            </w:r>
          </w:p>
        </w:tc>
        <w:tc>
          <w:tcPr>
            <w:tcW w:w="352" w:type="pct"/>
            <w:tcMar>
              <w:left w:w="72" w:type="dxa"/>
              <w:right w:w="72" w:type="dxa"/>
            </w:tcMar>
          </w:tcPr>
          <w:p w14:paraId="2A46E656" w14:textId="77777777" w:rsidR="004D1C19" w:rsidRPr="009010C4" w:rsidRDefault="004D1C19" w:rsidP="00EB155C">
            <w:pPr>
              <w:pStyle w:val="TableText"/>
              <w:jc w:val="right"/>
            </w:pPr>
            <w:r w:rsidRPr="009010C4">
              <w:rPr>
                <w:rFonts w:cs="Arial"/>
              </w:rPr>
              <w:t>3790</w:t>
            </w:r>
          </w:p>
        </w:tc>
        <w:tc>
          <w:tcPr>
            <w:tcW w:w="455" w:type="pct"/>
            <w:tcMar>
              <w:left w:w="72" w:type="dxa"/>
              <w:right w:w="72" w:type="dxa"/>
            </w:tcMar>
          </w:tcPr>
          <w:p w14:paraId="7CFF2AB5" w14:textId="77777777" w:rsidR="004D1C19" w:rsidRPr="009010C4" w:rsidRDefault="004D1C19" w:rsidP="00E23546">
            <w:pPr>
              <w:pStyle w:val="TableText"/>
              <w:jc w:val="right"/>
            </w:pPr>
            <w:r w:rsidRPr="009010C4">
              <w:rPr>
                <w:rFonts w:cs="Arial"/>
              </w:rPr>
              <w:t>48.1 (36.4,</w:t>
            </w:r>
            <w:r w:rsidR="00E23546">
              <w:rPr>
                <w:rFonts w:cs="Arial"/>
              </w:rPr>
              <w:t> </w:t>
            </w:r>
            <w:r w:rsidRPr="009010C4">
              <w:rPr>
                <w:rFonts w:cs="Arial"/>
              </w:rPr>
              <w:t>60.1)</w:t>
            </w:r>
          </w:p>
        </w:tc>
      </w:tr>
      <w:tr w:rsidR="007D2109" w:rsidRPr="002C58AA" w14:paraId="4EBD9B23" w14:textId="77777777" w:rsidTr="007D2109">
        <w:trPr>
          <w:cnfStyle w:val="000000100000" w:firstRow="0" w:lastRow="0" w:firstColumn="0" w:lastColumn="0" w:oddVBand="0" w:evenVBand="0" w:oddHBand="1" w:evenHBand="0" w:firstRowFirstColumn="0" w:firstRowLastColumn="0" w:lastRowFirstColumn="0" w:lastRowLastColumn="0"/>
        </w:trPr>
        <w:tc>
          <w:tcPr>
            <w:tcW w:w="1026" w:type="pct"/>
          </w:tcPr>
          <w:p w14:paraId="4B8D50BF" w14:textId="44814AED" w:rsidR="004D1C19" w:rsidRPr="009010C4" w:rsidRDefault="004D1C19" w:rsidP="00EB155C">
            <w:pPr>
              <w:pStyle w:val="TableText"/>
              <w:rPr>
                <w:rFonts w:cstheme="minorHAnsi"/>
              </w:rPr>
            </w:pPr>
            <w:r w:rsidRPr="009010C4">
              <w:rPr>
                <w:rFonts w:cstheme="minorHAnsi"/>
              </w:rPr>
              <w:t>When I am going through a difficult time, I</w:t>
            </w:r>
            <w:r w:rsidR="007F21A7">
              <w:rPr>
                <w:rFonts w:cstheme="minorHAnsi"/>
              </w:rPr>
              <w:t> </w:t>
            </w:r>
            <w:r w:rsidRPr="009010C4">
              <w:rPr>
                <w:rFonts w:cstheme="minorHAnsi"/>
              </w:rPr>
              <w:t>go online more often</w:t>
            </w:r>
            <w:r w:rsidRPr="002444C6">
              <w:t>^</w:t>
            </w:r>
          </w:p>
        </w:tc>
        <w:tc>
          <w:tcPr>
            <w:tcW w:w="196" w:type="pct"/>
            <w:tcMar>
              <w:left w:w="72" w:type="dxa"/>
              <w:right w:w="72" w:type="dxa"/>
            </w:tcMar>
          </w:tcPr>
          <w:p w14:paraId="075F8329" w14:textId="77777777" w:rsidR="004D1C19" w:rsidRPr="009010C4" w:rsidRDefault="004D1C19" w:rsidP="00EB155C">
            <w:pPr>
              <w:pStyle w:val="TableText"/>
              <w:jc w:val="right"/>
            </w:pPr>
            <w:r w:rsidRPr="009010C4">
              <w:rPr>
                <w:rFonts w:cs="Arial"/>
              </w:rPr>
              <w:t>473</w:t>
            </w:r>
          </w:p>
        </w:tc>
        <w:tc>
          <w:tcPr>
            <w:tcW w:w="352" w:type="pct"/>
            <w:tcMar>
              <w:left w:w="72" w:type="dxa"/>
              <w:right w:w="72" w:type="dxa"/>
            </w:tcMar>
          </w:tcPr>
          <w:p w14:paraId="76377237" w14:textId="77777777" w:rsidR="004D1C19" w:rsidRPr="009010C4" w:rsidRDefault="004D1C19" w:rsidP="00EB155C">
            <w:pPr>
              <w:pStyle w:val="TableText"/>
              <w:jc w:val="right"/>
            </w:pPr>
            <w:r w:rsidRPr="009010C4">
              <w:rPr>
                <w:rFonts w:cs="Arial"/>
              </w:rPr>
              <w:t>3893</w:t>
            </w:r>
          </w:p>
        </w:tc>
        <w:tc>
          <w:tcPr>
            <w:tcW w:w="445" w:type="pct"/>
            <w:tcMar>
              <w:left w:w="72" w:type="dxa"/>
              <w:right w:w="72" w:type="dxa"/>
            </w:tcMar>
          </w:tcPr>
          <w:p w14:paraId="48259C45" w14:textId="77777777" w:rsidR="004D1C19" w:rsidRPr="009010C4" w:rsidRDefault="004D1C19" w:rsidP="00E23546">
            <w:pPr>
              <w:pStyle w:val="TableText"/>
              <w:jc w:val="right"/>
            </w:pPr>
            <w:r w:rsidRPr="009010C4">
              <w:rPr>
                <w:rFonts w:cs="Arial"/>
              </w:rPr>
              <w:t>21.8 (19.7,</w:t>
            </w:r>
            <w:r w:rsidR="00E23546">
              <w:rPr>
                <w:rFonts w:cs="Arial"/>
              </w:rPr>
              <w:t> </w:t>
            </w:r>
            <w:r w:rsidRPr="009010C4">
              <w:rPr>
                <w:rFonts w:cs="Arial"/>
              </w:rPr>
              <w:t>24.0)</w:t>
            </w:r>
          </w:p>
        </w:tc>
        <w:tc>
          <w:tcPr>
            <w:tcW w:w="180" w:type="pct"/>
            <w:tcMar>
              <w:left w:w="72" w:type="dxa"/>
              <w:right w:w="72" w:type="dxa"/>
            </w:tcMar>
          </w:tcPr>
          <w:p w14:paraId="65E8D94F" w14:textId="77777777" w:rsidR="004D1C19" w:rsidRPr="009010C4" w:rsidRDefault="004D1C19" w:rsidP="00EB155C">
            <w:pPr>
              <w:pStyle w:val="TableText"/>
              <w:jc w:val="right"/>
            </w:pPr>
            <w:r w:rsidRPr="009010C4">
              <w:rPr>
                <w:rFonts w:cs="Arial"/>
              </w:rPr>
              <w:t>370</w:t>
            </w:r>
          </w:p>
        </w:tc>
        <w:tc>
          <w:tcPr>
            <w:tcW w:w="352" w:type="pct"/>
            <w:tcMar>
              <w:left w:w="72" w:type="dxa"/>
              <w:right w:w="72" w:type="dxa"/>
            </w:tcMar>
          </w:tcPr>
          <w:p w14:paraId="30E58829" w14:textId="77777777" w:rsidR="004D1C19" w:rsidRPr="009010C4" w:rsidRDefault="004D1C19" w:rsidP="00EB155C">
            <w:pPr>
              <w:pStyle w:val="TableText"/>
              <w:jc w:val="right"/>
            </w:pPr>
            <w:r w:rsidRPr="009010C4">
              <w:rPr>
                <w:rFonts w:cs="Arial"/>
              </w:rPr>
              <w:t>3007</w:t>
            </w:r>
          </w:p>
        </w:tc>
        <w:tc>
          <w:tcPr>
            <w:tcW w:w="462" w:type="pct"/>
            <w:tcMar>
              <w:left w:w="72" w:type="dxa"/>
              <w:right w:w="72" w:type="dxa"/>
            </w:tcMar>
          </w:tcPr>
          <w:p w14:paraId="70A56C47" w14:textId="77777777" w:rsidR="004D1C19" w:rsidRPr="009010C4" w:rsidRDefault="004D1C19" w:rsidP="00E23546">
            <w:pPr>
              <w:pStyle w:val="TableText"/>
              <w:jc w:val="right"/>
            </w:pPr>
            <w:r w:rsidRPr="009010C4">
              <w:rPr>
                <w:rFonts w:cs="Arial"/>
              </w:rPr>
              <w:t>42.6 (38.8,</w:t>
            </w:r>
            <w:r w:rsidR="00E23546">
              <w:rPr>
                <w:rFonts w:cs="Arial"/>
              </w:rPr>
              <w:t> </w:t>
            </w:r>
            <w:r w:rsidRPr="009010C4">
              <w:rPr>
                <w:rFonts w:cs="Arial"/>
              </w:rPr>
              <w:t>46.6)</w:t>
            </w:r>
          </w:p>
        </w:tc>
        <w:tc>
          <w:tcPr>
            <w:tcW w:w="203" w:type="pct"/>
            <w:tcMar>
              <w:left w:w="72" w:type="dxa"/>
              <w:right w:w="72" w:type="dxa"/>
            </w:tcMar>
          </w:tcPr>
          <w:p w14:paraId="1537C267" w14:textId="77777777" w:rsidR="004D1C19" w:rsidRPr="009010C4" w:rsidRDefault="004D1C19" w:rsidP="00EB155C">
            <w:pPr>
              <w:pStyle w:val="TableText"/>
              <w:jc w:val="right"/>
            </w:pPr>
            <w:r w:rsidRPr="009010C4">
              <w:rPr>
                <w:rFonts w:cs="Arial"/>
              </w:rPr>
              <w:t>1105</w:t>
            </w:r>
          </w:p>
        </w:tc>
        <w:tc>
          <w:tcPr>
            <w:tcW w:w="352" w:type="pct"/>
            <w:tcMar>
              <w:left w:w="72" w:type="dxa"/>
              <w:right w:w="72" w:type="dxa"/>
            </w:tcMar>
          </w:tcPr>
          <w:p w14:paraId="17299E65" w14:textId="77777777" w:rsidR="004D1C19" w:rsidRPr="009010C4" w:rsidRDefault="004D1C19" w:rsidP="00EB155C">
            <w:pPr>
              <w:pStyle w:val="TableText"/>
              <w:jc w:val="right"/>
            </w:pPr>
            <w:r w:rsidRPr="009010C4">
              <w:rPr>
                <w:rFonts w:cs="Arial"/>
              </w:rPr>
              <w:t>10</w:t>
            </w:r>
            <w:r w:rsidR="007D2109">
              <w:rPr>
                <w:rFonts w:cs="Arial"/>
              </w:rPr>
              <w:t>,</w:t>
            </w:r>
            <w:r w:rsidRPr="009010C4">
              <w:rPr>
                <w:rFonts w:cs="Arial"/>
              </w:rPr>
              <w:t>143</w:t>
            </w:r>
          </w:p>
        </w:tc>
        <w:tc>
          <w:tcPr>
            <w:tcW w:w="439" w:type="pct"/>
            <w:tcMar>
              <w:left w:w="72" w:type="dxa"/>
              <w:right w:w="72" w:type="dxa"/>
            </w:tcMar>
          </w:tcPr>
          <w:p w14:paraId="32AE4C47" w14:textId="77777777" w:rsidR="004D1C19" w:rsidRPr="009010C4" w:rsidRDefault="004D1C19" w:rsidP="00E23546">
            <w:pPr>
              <w:pStyle w:val="TableText"/>
              <w:jc w:val="right"/>
            </w:pPr>
            <w:r w:rsidRPr="009010C4">
              <w:rPr>
                <w:rFonts w:cs="Arial"/>
              </w:rPr>
              <w:t>22.7 (18.8,</w:t>
            </w:r>
            <w:r w:rsidR="00E23546">
              <w:rPr>
                <w:rFonts w:cs="Arial"/>
              </w:rPr>
              <w:t> </w:t>
            </w:r>
            <w:r w:rsidRPr="009010C4">
              <w:rPr>
                <w:rFonts w:cs="Arial"/>
              </w:rPr>
              <w:t>27.2)</w:t>
            </w:r>
          </w:p>
        </w:tc>
        <w:tc>
          <w:tcPr>
            <w:tcW w:w="186" w:type="pct"/>
            <w:tcMar>
              <w:left w:w="72" w:type="dxa"/>
              <w:right w:w="72" w:type="dxa"/>
            </w:tcMar>
          </w:tcPr>
          <w:p w14:paraId="63B1137C" w14:textId="77777777" w:rsidR="004D1C19" w:rsidRPr="009010C4" w:rsidRDefault="004D1C19" w:rsidP="00EB155C">
            <w:pPr>
              <w:pStyle w:val="TableText"/>
              <w:jc w:val="right"/>
            </w:pPr>
            <w:r w:rsidRPr="009010C4">
              <w:rPr>
                <w:rFonts w:cs="Arial"/>
              </w:rPr>
              <w:t>287</w:t>
            </w:r>
          </w:p>
        </w:tc>
        <w:tc>
          <w:tcPr>
            <w:tcW w:w="352" w:type="pct"/>
            <w:tcMar>
              <w:left w:w="72" w:type="dxa"/>
              <w:right w:w="72" w:type="dxa"/>
            </w:tcMar>
          </w:tcPr>
          <w:p w14:paraId="1B457821" w14:textId="77777777" w:rsidR="004D1C19" w:rsidRPr="009010C4" w:rsidRDefault="004D1C19" w:rsidP="00EB155C">
            <w:pPr>
              <w:pStyle w:val="TableText"/>
              <w:jc w:val="right"/>
            </w:pPr>
            <w:r w:rsidRPr="009010C4">
              <w:rPr>
                <w:rFonts w:cs="Arial"/>
              </w:rPr>
              <w:t>2639</w:t>
            </w:r>
          </w:p>
        </w:tc>
        <w:tc>
          <w:tcPr>
            <w:tcW w:w="455" w:type="pct"/>
            <w:tcMar>
              <w:left w:w="72" w:type="dxa"/>
              <w:right w:w="72" w:type="dxa"/>
            </w:tcMar>
          </w:tcPr>
          <w:p w14:paraId="531E5C09" w14:textId="77777777" w:rsidR="004D1C19" w:rsidRPr="009010C4" w:rsidRDefault="004D1C19" w:rsidP="00E23546">
            <w:pPr>
              <w:pStyle w:val="TableText"/>
              <w:jc w:val="right"/>
            </w:pPr>
            <w:r w:rsidRPr="009010C4">
              <w:rPr>
                <w:rFonts w:cs="Arial"/>
              </w:rPr>
              <w:t>33.5 (23.1,</w:t>
            </w:r>
            <w:r w:rsidR="00E23546">
              <w:rPr>
                <w:rFonts w:cs="Arial"/>
              </w:rPr>
              <w:t> </w:t>
            </w:r>
            <w:r w:rsidRPr="009010C4">
              <w:rPr>
                <w:rFonts w:cs="Arial"/>
              </w:rPr>
              <w:t>45.8)</w:t>
            </w:r>
          </w:p>
        </w:tc>
      </w:tr>
      <w:tr w:rsidR="007D2109" w:rsidRPr="002C58AA" w14:paraId="1C77EE7C" w14:textId="77777777" w:rsidTr="007D2109">
        <w:tc>
          <w:tcPr>
            <w:tcW w:w="1026" w:type="pct"/>
          </w:tcPr>
          <w:p w14:paraId="5AF56DB2" w14:textId="77777777" w:rsidR="004D1C19" w:rsidRPr="009010C4" w:rsidRDefault="004D1C19" w:rsidP="00EB155C">
            <w:pPr>
              <w:pStyle w:val="TableText"/>
              <w:rPr>
                <w:rFonts w:cstheme="minorHAnsi"/>
              </w:rPr>
            </w:pPr>
            <w:r w:rsidRPr="009010C4">
              <w:rPr>
                <w:rFonts w:cstheme="minorHAnsi"/>
              </w:rPr>
              <w:t>When I am going through a difficult time, going online makes me feel better</w:t>
            </w:r>
            <w:r w:rsidRPr="002444C6">
              <w:rPr>
                <w:vertAlign w:val="superscript"/>
              </w:rPr>
              <w:t>+</w:t>
            </w:r>
          </w:p>
        </w:tc>
        <w:tc>
          <w:tcPr>
            <w:tcW w:w="196" w:type="pct"/>
            <w:tcMar>
              <w:left w:w="72" w:type="dxa"/>
              <w:right w:w="72" w:type="dxa"/>
            </w:tcMar>
          </w:tcPr>
          <w:p w14:paraId="147E39A8" w14:textId="77777777" w:rsidR="004D1C19" w:rsidRPr="009010C4" w:rsidRDefault="004D1C19" w:rsidP="00EB155C">
            <w:pPr>
              <w:pStyle w:val="TableText"/>
              <w:jc w:val="right"/>
            </w:pPr>
            <w:r w:rsidRPr="009010C4">
              <w:rPr>
                <w:rFonts w:cs="Arial"/>
              </w:rPr>
              <w:t>419</w:t>
            </w:r>
          </w:p>
        </w:tc>
        <w:tc>
          <w:tcPr>
            <w:tcW w:w="352" w:type="pct"/>
            <w:tcMar>
              <w:left w:w="72" w:type="dxa"/>
              <w:right w:w="72" w:type="dxa"/>
            </w:tcMar>
          </w:tcPr>
          <w:p w14:paraId="49769C66" w14:textId="77777777" w:rsidR="004D1C19" w:rsidRPr="009010C4" w:rsidRDefault="004D1C19" w:rsidP="00EB155C">
            <w:pPr>
              <w:pStyle w:val="TableText"/>
              <w:jc w:val="right"/>
            </w:pPr>
            <w:r w:rsidRPr="009010C4">
              <w:rPr>
                <w:rFonts w:cs="Arial"/>
              </w:rPr>
              <w:t>3409</w:t>
            </w:r>
          </w:p>
        </w:tc>
        <w:tc>
          <w:tcPr>
            <w:tcW w:w="445" w:type="pct"/>
            <w:tcMar>
              <w:left w:w="72" w:type="dxa"/>
              <w:right w:w="72" w:type="dxa"/>
            </w:tcMar>
          </w:tcPr>
          <w:p w14:paraId="665AE200" w14:textId="77777777" w:rsidR="004D1C19" w:rsidRPr="009010C4" w:rsidRDefault="004D1C19" w:rsidP="00E23546">
            <w:pPr>
              <w:pStyle w:val="TableText"/>
              <w:jc w:val="right"/>
            </w:pPr>
            <w:r w:rsidRPr="009010C4">
              <w:rPr>
                <w:rFonts w:cs="Arial"/>
              </w:rPr>
              <w:t>19.1 (17.1,</w:t>
            </w:r>
            <w:r w:rsidR="00E23546">
              <w:rPr>
                <w:rFonts w:cs="Arial"/>
              </w:rPr>
              <w:t> </w:t>
            </w:r>
            <w:r w:rsidRPr="009010C4">
              <w:rPr>
                <w:rFonts w:cs="Arial"/>
              </w:rPr>
              <w:t>21.2)</w:t>
            </w:r>
          </w:p>
        </w:tc>
        <w:tc>
          <w:tcPr>
            <w:tcW w:w="180" w:type="pct"/>
            <w:tcMar>
              <w:left w:w="72" w:type="dxa"/>
              <w:right w:w="72" w:type="dxa"/>
            </w:tcMar>
          </w:tcPr>
          <w:p w14:paraId="479CF7E3" w14:textId="77777777" w:rsidR="004D1C19" w:rsidRPr="009010C4" w:rsidRDefault="004D1C19" w:rsidP="00EB155C">
            <w:pPr>
              <w:pStyle w:val="TableText"/>
              <w:jc w:val="right"/>
            </w:pPr>
            <w:r w:rsidRPr="009010C4">
              <w:rPr>
                <w:rFonts w:cs="Arial"/>
              </w:rPr>
              <w:t>307</w:t>
            </w:r>
          </w:p>
        </w:tc>
        <w:tc>
          <w:tcPr>
            <w:tcW w:w="352" w:type="pct"/>
            <w:tcMar>
              <w:left w:w="72" w:type="dxa"/>
              <w:right w:w="72" w:type="dxa"/>
            </w:tcMar>
          </w:tcPr>
          <w:p w14:paraId="6BDE89CB" w14:textId="77777777" w:rsidR="004D1C19" w:rsidRPr="009010C4" w:rsidRDefault="004D1C19" w:rsidP="00EB155C">
            <w:pPr>
              <w:pStyle w:val="TableText"/>
              <w:jc w:val="right"/>
            </w:pPr>
            <w:r w:rsidRPr="009010C4">
              <w:rPr>
                <w:rFonts w:cs="Arial"/>
              </w:rPr>
              <w:t>2413</w:t>
            </w:r>
          </w:p>
        </w:tc>
        <w:tc>
          <w:tcPr>
            <w:tcW w:w="462" w:type="pct"/>
            <w:tcMar>
              <w:left w:w="72" w:type="dxa"/>
              <w:right w:w="72" w:type="dxa"/>
            </w:tcMar>
          </w:tcPr>
          <w:p w14:paraId="535911C7" w14:textId="77777777" w:rsidR="004D1C19" w:rsidRPr="009010C4" w:rsidRDefault="004D1C19" w:rsidP="00E23546">
            <w:pPr>
              <w:pStyle w:val="TableText"/>
              <w:jc w:val="right"/>
            </w:pPr>
            <w:r w:rsidRPr="009010C4">
              <w:rPr>
                <w:rFonts w:cs="Arial"/>
              </w:rPr>
              <w:t>34.2 (30.6,</w:t>
            </w:r>
            <w:r w:rsidR="00E23546">
              <w:rPr>
                <w:rFonts w:cs="Arial"/>
              </w:rPr>
              <w:t> </w:t>
            </w:r>
            <w:r w:rsidRPr="009010C4">
              <w:rPr>
                <w:rFonts w:cs="Arial"/>
              </w:rPr>
              <w:t>38.1)</w:t>
            </w:r>
          </w:p>
        </w:tc>
        <w:tc>
          <w:tcPr>
            <w:tcW w:w="203" w:type="pct"/>
            <w:tcMar>
              <w:left w:w="72" w:type="dxa"/>
              <w:right w:w="72" w:type="dxa"/>
            </w:tcMar>
          </w:tcPr>
          <w:p w14:paraId="1B0BE1D4" w14:textId="77777777" w:rsidR="004D1C19" w:rsidRPr="009010C4" w:rsidRDefault="004D1C19" w:rsidP="00EB155C">
            <w:pPr>
              <w:pStyle w:val="TableText"/>
              <w:jc w:val="right"/>
            </w:pPr>
            <w:r w:rsidRPr="009010C4">
              <w:rPr>
                <w:rFonts w:cs="Arial"/>
              </w:rPr>
              <w:t>975</w:t>
            </w:r>
          </w:p>
        </w:tc>
        <w:tc>
          <w:tcPr>
            <w:tcW w:w="352" w:type="pct"/>
            <w:tcMar>
              <w:left w:w="72" w:type="dxa"/>
              <w:right w:w="72" w:type="dxa"/>
            </w:tcMar>
          </w:tcPr>
          <w:p w14:paraId="31E33006" w14:textId="77777777" w:rsidR="004D1C19" w:rsidRPr="009010C4" w:rsidRDefault="004D1C19" w:rsidP="00EB155C">
            <w:pPr>
              <w:pStyle w:val="TableText"/>
              <w:jc w:val="right"/>
            </w:pPr>
            <w:r w:rsidRPr="009010C4">
              <w:rPr>
                <w:rFonts w:cs="Arial"/>
              </w:rPr>
              <w:t>9189</w:t>
            </w:r>
          </w:p>
        </w:tc>
        <w:tc>
          <w:tcPr>
            <w:tcW w:w="439" w:type="pct"/>
            <w:tcMar>
              <w:left w:w="72" w:type="dxa"/>
              <w:right w:w="72" w:type="dxa"/>
            </w:tcMar>
          </w:tcPr>
          <w:p w14:paraId="73B61DE2" w14:textId="77777777" w:rsidR="004D1C19" w:rsidRPr="009010C4" w:rsidRDefault="004D1C19" w:rsidP="00E23546">
            <w:pPr>
              <w:pStyle w:val="TableText"/>
              <w:jc w:val="right"/>
            </w:pPr>
            <w:r w:rsidRPr="009010C4">
              <w:rPr>
                <w:rFonts w:cs="Arial"/>
              </w:rPr>
              <w:t>20.6 (16.8,</w:t>
            </w:r>
            <w:r w:rsidR="00E23546">
              <w:rPr>
                <w:rFonts w:cs="Arial"/>
              </w:rPr>
              <w:t> </w:t>
            </w:r>
            <w:r w:rsidRPr="009010C4">
              <w:rPr>
                <w:rFonts w:cs="Arial"/>
              </w:rPr>
              <w:t>24.9)</w:t>
            </w:r>
          </w:p>
        </w:tc>
        <w:tc>
          <w:tcPr>
            <w:tcW w:w="186" w:type="pct"/>
            <w:tcMar>
              <w:left w:w="72" w:type="dxa"/>
              <w:right w:w="72" w:type="dxa"/>
            </w:tcMar>
          </w:tcPr>
          <w:p w14:paraId="2CA560C9" w14:textId="77777777" w:rsidR="004D1C19" w:rsidRPr="009010C4" w:rsidRDefault="004D1C19" w:rsidP="00EB155C">
            <w:pPr>
              <w:pStyle w:val="TableText"/>
              <w:jc w:val="right"/>
            </w:pPr>
            <w:r w:rsidRPr="009010C4">
              <w:rPr>
                <w:rFonts w:cs="Arial"/>
              </w:rPr>
              <w:t>231</w:t>
            </w:r>
          </w:p>
        </w:tc>
        <w:tc>
          <w:tcPr>
            <w:tcW w:w="352" w:type="pct"/>
            <w:tcMar>
              <w:left w:w="72" w:type="dxa"/>
              <w:right w:w="72" w:type="dxa"/>
            </w:tcMar>
          </w:tcPr>
          <w:p w14:paraId="5F7ED842" w14:textId="77777777" w:rsidR="004D1C19" w:rsidRPr="009010C4" w:rsidRDefault="004D1C19" w:rsidP="00EB155C">
            <w:pPr>
              <w:pStyle w:val="TableText"/>
              <w:jc w:val="right"/>
            </w:pPr>
            <w:r w:rsidRPr="009010C4">
              <w:rPr>
                <w:rFonts w:cs="Arial"/>
              </w:rPr>
              <w:t>2474</w:t>
            </w:r>
          </w:p>
        </w:tc>
        <w:tc>
          <w:tcPr>
            <w:tcW w:w="455" w:type="pct"/>
            <w:tcMar>
              <w:left w:w="72" w:type="dxa"/>
              <w:right w:w="72" w:type="dxa"/>
            </w:tcMar>
          </w:tcPr>
          <w:p w14:paraId="203B42A1" w14:textId="77777777" w:rsidR="004D1C19" w:rsidRPr="009010C4" w:rsidRDefault="004D1C19" w:rsidP="00E23546">
            <w:pPr>
              <w:pStyle w:val="TableText"/>
              <w:jc w:val="right"/>
            </w:pPr>
            <w:r w:rsidRPr="009010C4">
              <w:rPr>
                <w:rFonts w:cs="Arial"/>
              </w:rPr>
              <w:t>31.4 (21.1,</w:t>
            </w:r>
            <w:r w:rsidR="00E23546">
              <w:rPr>
                <w:rFonts w:cs="Arial"/>
              </w:rPr>
              <w:t> </w:t>
            </w:r>
            <w:r w:rsidRPr="009010C4">
              <w:rPr>
                <w:rFonts w:cs="Arial"/>
              </w:rPr>
              <w:t>43.9)</w:t>
            </w:r>
          </w:p>
        </w:tc>
      </w:tr>
    </w:tbl>
    <w:p w14:paraId="4004D646" w14:textId="77777777" w:rsidR="004D1C19" w:rsidRPr="004D4860" w:rsidRDefault="004D1C19" w:rsidP="004D1C19">
      <w:pPr>
        <w:pStyle w:val="TableNotes"/>
      </w:pPr>
      <w:r>
        <w:t>*</w:t>
      </w:r>
      <w:r w:rsidRPr="004D4860">
        <w:t>Based on weighted counts, 170 (0.7%) Transitioned ADF, and 897 (1.7%) 2015 Regular ADF had a missing value for this question. However, distributions are calculated by including those with a missing value to allo</w:t>
      </w:r>
      <w:r>
        <w:t>w for correct weighted totals.</w:t>
      </w:r>
    </w:p>
    <w:p w14:paraId="149D235C" w14:textId="77777777" w:rsidR="004D1C19" w:rsidRPr="004D4860" w:rsidRDefault="004D1C19" w:rsidP="004D1C19">
      <w:pPr>
        <w:pStyle w:val="TableNotes"/>
      </w:pPr>
      <w:r w:rsidRPr="002444C6">
        <w:t>†</w:t>
      </w:r>
      <w:r w:rsidRPr="004D4860">
        <w:t>Based on weighted counts</w:t>
      </w:r>
      <w:r>
        <w:t>,</w:t>
      </w:r>
      <w:r w:rsidRPr="004D4860">
        <w:t xml:space="preserve"> 171 (0.7%) Transitioned ADF, and 931 (1.8%) 2015 Regular ADF had a missing value for this question. However, distributions are calculated by including those with a missing value to allo</w:t>
      </w:r>
      <w:r>
        <w:t>w for correct weighted totals.</w:t>
      </w:r>
    </w:p>
    <w:p w14:paraId="6B62316C" w14:textId="77777777" w:rsidR="004D1C19" w:rsidRPr="004D4860" w:rsidRDefault="004D1C19" w:rsidP="004D1C19">
      <w:pPr>
        <w:pStyle w:val="TableNotes"/>
      </w:pPr>
      <w:r w:rsidRPr="002444C6">
        <w:t>‡</w:t>
      </w:r>
      <w:r w:rsidRPr="004D4860">
        <w:t>Based on weighted counts, 170 (0.7%) Transitioned ADF, and 897 (1.7%) 2015 Regular ADF had a missing value for this question. However, distributions are calculated by including those with a missing value to allo</w:t>
      </w:r>
      <w:r>
        <w:t>w for correct weighted totals.</w:t>
      </w:r>
    </w:p>
    <w:p w14:paraId="310EF47F" w14:textId="77777777" w:rsidR="004D1C19" w:rsidRPr="004D4860" w:rsidRDefault="004D1C19" w:rsidP="004D1C19">
      <w:pPr>
        <w:pStyle w:val="TableNotes"/>
      </w:pPr>
      <w:r>
        <w:t>#</w:t>
      </w:r>
      <w:r w:rsidRPr="004D4860">
        <w:t>Based on weighted counts, 170 (0.7%) Transitioned ADF, and 897 (1.7%) 2015 Regular ADF had a missing value for this question. However, distributions are calculated by including those with a missing value to allo</w:t>
      </w:r>
      <w:r>
        <w:t>w for correct weighted totals.</w:t>
      </w:r>
    </w:p>
    <w:p w14:paraId="25C67425" w14:textId="77777777" w:rsidR="004D1C19" w:rsidRPr="004D4860" w:rsidRDefault="004D1C19" w:rsidP="004D1C19">
      <w:pPr>
        <w:pStyle w:val="TableNotes"/>
      </w:pPr>
      <w:r>
        <w:rPr>
          <w:b/>
          <w:bCs/>
          <w:color w:val="000000" w:themeColor="text1"/>
          <w:vertAlign w:val="superscript"/>
        </w:rPr>
        <w:t>^</w:t>
      </w:r>
      <w:r w:rsidRPr="004D4860">
        <w:t>Based on weighted counts, 170 (0.7%) Transitioned ADF, and 897 (1.7%) 2015 Regular ADF had a missing value for this question. However, distributions are calculated by including those with a missing value to allo</w:t>
      </w:r>
      <w:r>
        <w:t>w for correct weighted totals.</w:t>
      </w:r>
    </w:p>
    <w:p w14:paraId="49627845" w14:textId="77777777" w:rsidR="004D1C19" w:rsidRPr="004D4860" w:rsidRDefault="004D1C19" w:rsidP="004D1C19">
      <w:pPr>
        <w:pStyle w:val="TableNotes"/>
      </w:pPr>
      <w:r>
        <w:rPr>
          <w:b/>
          <w:bCs/>
          <w:color w:val="000000" w:themeColor="text1"/>
          <w:vertAlign w:val="superscript"/>
        </w:rPr>
        <w:t>+</w:t>
      </w:r>
      <w:r w:rsidRPr="004D4860">
        <w:t>Based on weighted counts, 170 (0.7%) Transitioned ADF, and 897 (1.7%) 2015 Regular ADF had a missing value for this question. However, distributions are calculated by including those with a missing value to allo</w:t>
      </w:r>
      <w:r>
        <w:t>w for correct weighted totals.</w:t>
      </w:r>
    </w:p>
    <w:p w14:paraId="61ACDE2F" w14:textId="77777777" w:rsidR="004D1C19" w:rsidRPr="007F21A7" w:rsidRDefault="004D1C19" w:rsidP="004D1C19">
      <w:pPr>
        <w:pStyle w:val="TableNotes"/>
      </w:pPr>
      <w:r w:rsidRPr="007F21A7">
        <w:t>Notes</w:t>
      </w:r>
    </w:p>
    <w:p w14:paraId="3FD4993A" w14:textId="77777777" w:rsidR="004D1C19" w:rsidRPr="004D4860" w:rsidRDefault="004D1C19" w:rsidP="004D1C19">
      <w:pPr>
        <w:pStyle w:val="TableNotes"/>
      </w:pPr>
      <w:r w:rsidRPr="004D4860">
        <w:t>Denominator: Entire cohort</w:t>
      </w:r>
      <w:r>
        <w:t>.</w:t>
      </w:r>
    </w:p>
    <w:p w14:paraId="5A070BFA" w14:textId="77777777" w:rsidR="004D1C19" w:rsidRDefault="004D1C19" w:rsidP="004D1C19">
      <w:pPr>
        <w:pStyle w:val="TableNotes"/>
      </w:pPr>
      <w:r w:rsidRPr="004D4860">
        <w:t>95%CI</w:t>
      </w:r>
      <w:r>
        <w:t xml:space="preserve"> =</w:t>
      </w:r>
      <w:r w:rsidRPr="004D4860">
        <w:t xml:space="preserve"> 95% </w:t>
      </w:r>
      <w:r>
        <w:t>confidence interval.</w:t>
      </w:r>
    </w:p>
    <w:p w14:paraId="5B6361B7" w14:textId="77777777" w:rsidR="004D1C19" w:rsidRDefault="004D1C19" w:rsidP="004D1C19">
      <w:pPr>
        <w:pStyle w:val="TableNotes"/>
      </w:pPr>
      <w:r w:rsidRPr="004C7947">
        <w:t>For a full description of odds ratios, interpretation and strength of association</w:t>
      </w:r>
      <w:r>
        <w:t>,</w:t>
      </w:r>
      <w:r w:rsidRPr="004C7947">
        <w:t xml:space="preserve"> please refer to Table B.1 </w:t>
      </w:r>
      <w:r w:rsidRPr="00BB1B84">
        <w:t xml:space="preserve">in </w:t>
      </w:r>
      <w:r w:rsidR="00374073">
        <w:t>Annex </w:t>
      </w:r>
      <w:r>
        <w:t>B, Odds ratio table.</w:t>
      </w:r>
    </w:p>
    <w:p w14:paraId="0EA898E7" w14:textId="77777777" w:rsidR="00E844D8" w:rsidRDefault="00E844D8" w:rsidP="00C44855">
      <w:pPr>
        <w:sectPr w:rsidR="00E844D8" w:rsidSect="00D2297D">
          <w:footerReference w:type="even" r:id="rId46"/>
          <w:footerReference w:type="default" r:id="rId47"/>
          <w:pgSz w:w="14170" w:h="9979" w:orient="landscape" w:code="243"/>
          <w:pgMar w:top="1872" w:right="1440" w:bottom="1152" w:left="1440" w:header="576" w:footer="576" w:gutter="0"/>
          <w:cols w:space="708"/>
          <w:docGrid w:linePitch="360"/>
        </w:sectPr>
      </w:pPr>
    </w:p>
    <w:p w14:paraId="74FE8D36" w14:textId="77777777" w:rsidR="00783F0D" w:rsidRDefault="00783F0D" w:rsidP="00783F0D">
      <w:pPr>
        <w:pStyle w:val="Heading1"/>
        <w:numPr>
          <w:ilvl w:val="0"/>
          <w:numId w:val="1"/>
        </w:numPr>
      </w:pPr>
      <w:bookmarkStart w:id="466" w:name="_Toc518566370"/>
      <w:bookmarkStart w:id="467" w:name="_Toc528932666"/>
      <w:bookmarkStart w:id="468" w:name="_Toc531859203"/>
      <w:r w:rsidRPr="003B2134">
        <w:t>Use of new and emerging technology in Transitioned and 2015 Regular ADF</w:t>
      </w:r>
      <w:bookmarkEnd w:id="466"/>
      <w:bookmarkEnd w:id="467"/>
      <w:bookmarkEnd w:id="468"/>
    </w:p>
    <w:p w14:paraId="647C52C4" w14:textId="77777777" w:rsidR="00783F0D" w:rsidRPr="00D4741B" w:rsidRDefault="00783F0D" w:rsidP="00783F0D">
      <w:pPr>
        <w:pStyle w:val="ShadedBoxSubheading"/>
        <w:spacing w:after="160"/>
      </w:pPr>
      <w:bookmarkStart w:id="469" w:name="_Toc518566371"/>
      <w:r w:rsidRPr="00D4741B">
        <w:t xml:space="preserve">Use of </w:t>
      </w:r>
      <w:r>
        <w:t>app</w:t>
      </w:r>
      <w:r w:rsidRPr="00D4741B">
        <w:t>s and wearable devices</w:t>
      </w:r>
      <w:bookmarkEnd w:id="469"/>
    </w:p>
    <w:p w14:paraId="108016AD" w14:textId="77777777" w:rsidR="00783F0D" w:rsidRPr="00DE4E76" w:rsidRDefault="00783F0D" w:rsidP="00133458">
      <w:pPr>
        <w:pStyle w:val="ShadedBullet"/>
      </w:pPr>
      <w:r w:rsidRPr="00DE4E76">
        <w:t xml:space="preserve">Half of the Transitioned ADF and 2015 Regular ADF reported using new and emerging technologies. Of these, over 80% used </w:t>
      </w:r>
      <w:r>
        <w:t>app</w:t>
      </w:r>
      <w:r w:rsidRPr="00DE4E76">
        <w:t>s</w:t>
      </w:r>
      <w:r>
        <w:t>,</w:t>
      </w:r>
      <w:r w:rsidRPr="00DE4E76">
        <w:t xml:space="preserve"> while almost a third used wearable devices. </w:t>
      </w:r>
    </w:p>
    <w:p w14:paraId="1CF2ACC9" w14:textId="77777777" w:rsidR="00783F0D" w:rsidRPr="00DE4E76" w:rsidRDefault="00783F0D" w:rsidP="00133458">
      <w:pPr>
        <w:pStyle w:val="ShadedBullet"/>
      </w:pPr>
      <w:r w:rsidRPr="00DE4E76">
        <w:t xml:space="preserve">Of those who </w:t>
      </w:r>
      <w:r>
        <w:t>did</w:t>
      </w:r>
      <w:r w:rsidRPr="00DE4E76">
        <w:t xml:space="preserve"> not use new and emerging technologies, about three quarters did not use them because they had ‘no need or interest’, it was ‘too expensive’ or it was a ‘privacy issue’. </w:t>
      </w:r>
    </w:p>
    <w:p w14:paraId="24DB6EDE" w14:textId="77777777" w:rsidR="00783F0D" w:rsidRPr="00DE4E76" w:rsidRDefault="00783F0D" w:rsidP="00133458">
      <w:pPr>
        <w:pStyle w:val="ShadedBullet"/>
      </w:pPr>
      <w:r w:rsidRPr="00DE4E76">
        <w:t>Of the Transitioned ADF and 2015 Regular ADF who use</w:t>
      </w:r>
      <w:r>
        <w:t>d</w:t>
      </w:r>
      <w:r w:rsidRPr="00DE4E76">
        <w:t xml:space="preserve"> </w:t>
      </w:r>
      <w:r>
        <w:t>app</w:t>
      </w:r>
      <w:r w:rsidRPr="00DE4E76">
        <w:t xml:space="preserve">s and </w:t>
      </w:r>
      <w:r>
        <w:t>w</w:t>
      </w:r>
      <w:r w:rsidRPr="00DE4E76">
        <w:t xml:space="preserve">earable </w:t>
      </w:r>
      <w:r>
        <w:t>d</w:t>
      </w:r>
      <w:r w:rsidRPr="00DE4E76">
        <w:t>evices, just under half report</w:t>
      </w:r>
      <w:r>
        <w:t>ed</w:t>
      </w:r>
      <w:r w:rsidRPr="00DE4E76">
        <w:t xml:space="preserve"> using them to improve their health and wellbeing. </w:t>
      </w:r>
    </w:p>
    <w:p w14:paraId="1138F7F1" w14:textId="77777777" w:rsidR="00783F0D" w:rsidRPr="00DE4E76" w:rsidRDefault="00783F0D" w:rsidP="00133458">
      <w:pPr>
        <w:pStyle w:val="ShadedBullet"/>
      </w:pPr>
      <w:r w:rsidRPr="00DE4E76">
        <w:t xml:space="preserve">Improving fitness, tracking progress and staying organised were the three most common ways in which </w:t>
      </w:r>
      <w:r>
        <w:t>app</w:t>
      </w:r>
      <w:r w:rsidRPr="00DE4E76">
        <w:t>s and wearable devices were used to improve health and wellbeing.</w:t>
      </w:r>
    </w:p>
    <w:p w14:paraId="518CA25B" w14:textId="77777777" w:rsidR="00783F0D" w:rsidRPr="00DE4E76" w:rsidRDefault="00783F0D" w:rsidP="00133458">
      <w:pPr>
        <w:pStyle w:val="ShadedBullet"/>
      </w:pPr>
      <w:r w:rsidRPr="00DE4E76">
        <w:t>A quarter of the Transitioned ADF and 2015 Regular ADF who use</w:t>
      </w:r>
      <w:r>
        <w:t>d</w:t>
      </w:r>
      <w:r w:rsidRPr="00DE4E76">
        <w:t xml:space="preserve"> </w:t>
      </w:r>
      <w:r>
        <w:t>app</w:t>
      </w:r>
      <w:r w:rsidRPr="00DE4E76">
        <w:t xml:space="preserve">s and </w:t>
      </w:r>
      <w:r>
        <w:t>w</w:t>
      </w:r>
      <w:r w:rsidRPr="00DE4E76">
        <w:t xml:space="preserve">earable </w:t>
      </w:r>
      <w:r>
        <w:t>d</w:t>
      </w:r>
      <w:r w:rsidRPr="00DE4E76">
        <w:t>evices for health and wellbeing use</w:t>
      </w:r>
      <w:r>
        <w:t>d</w:t>
      </w:r>
      <w:r w:rsidRPr="00DE4E76">
        <w:t xml:space="preserve"> them to ‘improve sleep’.</w:t>
      </w:r>
    </w:p>
    <w:p w14:paraId="1B3D53AE" w14:textId="77777777" w:rsidR="00783F0D" w:rsidRPr="00DE4E76" w:rsidRDefault="00783F0D" w:rsidP="00133458">
      <w:pPr>
        <w:pStyle w:val="ShadedBullet"/>
      </w:pPr>
      <w:r w:rsidRPr="00DE4E76">
        <w:t xml:space="preserve">Apps, when not being used to improve health and wellbeing, were being used for fun or recreation, for study or work and to enhance social interaction. </w:t>
      </w:r>
    </w:p>
    <w:p w14:paraId="1ABFECCA" w14:textId="77777777" w:rsidR="00783F0D" w:rsidRPr="00D4741B" w:rsidRDefault="00783F0D" w:rsidP="00783F0D">
      <w:pPr>
        <w:pStyle w:val="ShadedBoxSubheading"/>
        <w:spacing w:after="160"/>
      </w:pPr>
      <w:bookmarkStart w:id="470" w:name="_Toc518566372"/>
      <w:r w:rsidRPr="00D4741B">
        <w:t>Probable 30-</w:t>
      </w:r>
      <w:r>
        <w:t>d</w:t>
      </w:r>
      <w:r w:rsidRPr="00D4741B">
        <w:t>ay disorder and use of new and emerging technology</w:t>
      </w:r>
      <w:bookmarkEnd w:id="470"/>
      <w:r w:rsidRPr="00D4741B">
        <w:t xml:space="preserve"> </w:t>
      </w:r>
    </w:p>
    <w:p w14:paraId="4FEBCC29" w14:textId="77777777" w:rsidR="00783F0D" w:rsidRPr="007C1857" w:rsidRDefault="00783F0D" w:rsidP="00783F0D">
      <w:pPr>
        <w:pStyle w:val="ShadedBoxText"/>
        <w:spacing w:after="120"/>
        <w:rPr>
          <w:u w:val="single"/>
          <w:lang w:eastAsia="en-AU"/>
        </w:rPr>
      </w:pPr>
      <w:bookmarkStart w:id="471" w:name="_Toc518566373"/>
      <w:r w:rsidRPr="007C1857">
        <w:rPr>
          <w:lang w:eastAsia="en-AU"/>
        </w:rPr>
        <w:t xml:space="preserve">Among those who reported using new or emerging technologies </w:t>
      </w:r>
      <w:r w:rsidRPr="007C1857">
        <w:rPr>
          <w:rFonts w:eastAsia="MS Mincho"/>
          <w:u w:val="single"/>
        </w:rPr>
        <w:t>for the purpose of improving health and wellbeing:</w:t>
      </w:r>
      <w:bookmarkEnd w:id="471"/>
      <w:r w:rsidRPr="007C1857">
        <w:rPr>
          <w:rFonts w:eastAsia="MS Mincho"/>
          <w:lang w:eastAsia="en-AU"/>
        </w:rPr>
        <w:t xml:space="preserve"> </w:t>
      </w:r>
    </w:p>
    <w:p w14:paraId="24042560" w14:textId="7BE429A0" w:rsidR="00783F0D" w:rsidRPr="00DE4E76" w:rsidRDefault="00783F0D" w:rsidP="00133458">
      <w:pPr>
        <w:pStyle w:val="ShadedBullet"/>
        <w:rPr>
          <w:lang w:eastAsia="en-AU"/>
        </w:rPr>
      </w:pPr>
      <w:r w:rsidRPr="00DE4E76">
        <w:rPr>
          <w:lang w:eastAsia="en-AU"/>
        </w:rPr>
        <w:t xml:space="preserve">20.9% of </w:t>
      </w:r>
      <w:r>
        <w:rPr>
          <w:lang w:eastAsia="en-AU"/>
        </w:rPr>
        <w:t xml:space="preserve">Transitioned ADF and 7.8% of </w:t>
      </w:r>
      <w:r w:rsidRPr="00DE4E76">
        <w:rPr>
          <w:lang w:eastAsia="en-AU"/>
        </w:rPr>
        <w:t xml:space="preserve">2015 Regular ADF met </w:t>
      </w:r>
      <w:r w:rsidR="00432A6D">
        <w:rPr>
          <w:lang w:eastAsia="en-AU"/>
        </w:rPr>
        <w:t xml:space="preserve">the </w:t>
      </w:r>
      <w:r w:rsidRPr="00DE4E76">
        <w:rPr>
          <w:lang w:eastAsia="en-AU"/>
        </w:rPr>
        <w:t>criteria for a probable disorder.</w:t>
      </w:r>
      <w:r w:rsidRPr="00DE4E76">
        <w:rPr>
          <w:b/>
          <w:lang w:eastAsia="en-AU"/>
        </w:rPr>
        <w:t xml:space="preserve"> </w:t>
      </w:r>
    </w:p>
    <w:p w14:paraId="4E1A9D9B" w14:textId="77777777" w:rsidR="00783F0D" w:rsidRPr="00DE4E76" w:rsidRDefault="00783F0D" w:rsidP="00133458">
      <w:pPr>
        <w:pStyle w:val="ShadedBullet"/>
        <w:rPr>
          <w:lang w:eastAsia="en-AU"/>
        </w:rPr>
      </w:pPr>
      <w:r w:rsidRPr="00DE4E76">
        <w:t xml:space="preserve">Transitioned ADF with a probable disorder were significantly more likely to use </w:t>
      </w:r>
      <w:r>
        <w:t>new or emerging technologies</w:t>
      </w:r>
      <w:r w:rsidRPr="00DE4E76">
        <w:t xml:space="preserve"> to improve their mood and less likely to use them to improve their fitness than those without a probable disorder.</w:t>
      </w:r>
    </w:p>
    <w:p w14:paraId="6E1D12F4" w14:textId="77777777" w:rsidR="00783F0D" w:rsidRPr="007C1857" w:rsidRDefault="00783F0D" w:rsidP="00783F0D">
      <w:pPr>
        <w:pStyle w:val="ShadedBoxText"/>
        <w:spacing w:after="120"/>
        <w:rPr>
          <w:lang w:eastAsia="en-AU"/>
        </w:rPr>
      </w:pPr>
      <w:r w:rsidRPr="007C1857">
        <w:rPr>
          <w:lang w:eastAsia="en-AU"/>
        </w:rPr>
        <w:t xml:space="preserve">Among those who reported using new or emerging technologies </w:t>
      </w:r>
      <w:r w:rsidRPr="007C1857">
        <w:rPr>
          <w:rFonts w:eastAsia="MS Mincho"/>
          <w:u w:val="single"/>
        </w:rPr>
        <w:t>for reasons other than to improve health and wellbeing</w:t>
      </w:r>
      <w:r w:rsidRPr="007C1857">
        <w:rPr>
          <w:rFonts w:eastAsia="MS Mincho"/>
        </w:rPr>
        <w:t>:</w:t>
      </w:r>
    </w:p>
    <w:p w14:paraId="6C6D1E10" w14:textId="4FFC7EC2" w:rsidR="00783F0D" w:rsidRPr="00DE4E76" w:rsidRDefault="00783F0D" w:rsidP="00133458">
      <w:pPr>
        <w:pStyle w:val="ShadedBullet"/>
        <w:rPr>
          <w:lang w:eastAsia="en-AU"/>
        </w:rPr>
      </w:pPr>
      <w:r w:rsidRPr="00DE4E76">
        <w:rPr>
          <w:lang w:eastAsia="en-AU"/>
        </w:rPr>
        <w:t xml:space="preserve">25.2% of the Transitioned ADF and 14.1% of the 2015 Regular ADF met </w:t>
      </w:r>
      <w:r w:rsidR="00432A6D">
        <w:rPr>
          <w:lang w:eastAsia="en-AU"/>
        </w:rPr>
        <w:t xml:space="preserve">the </w:t>
      </w:r>
      <w:r w:rsidRPr="00DE4E76">
        <w:rPr>
          <w:lang w:eastAsia="en-AU"/>
        </w:rPr>
        <w:t xml:space="preserve">criteria for a probable disorder. </w:t>
      </w:r>
    </w:p>
    <w:p w14:paraId="31273CBB" w14:textId="77777777" w:rsidR="00783F0D" w:rsidRPr="00DE4E76" w:rsidRDefault="00783F0D" w:rsidP="00133458">
      <w:pPr>
        <w:pStyle w:val="ShadedBullet"/>
        <w:rPr>
          <w:lang w:eastAsia="en-AU"/>
        </w:rPr>
      </w:pPr>
      <w:r w:rsidRPr="00DE4E76">
        <w:rPr>
          <w:lang w:val="en-US" w:eastAsia="en-AU"/>
        </w:rPr>
        <w:t xml:space="preserve">Most </w:t>
      </w:r>
      <w:r>
        <w:rPr>
          <w:lang w:val="en-US" w:eastAsia="en-AU"/>
        </w:rPr>
        <w:t>of</w:t>
      </w:r>
      <w:r w:rsidRPr="00DE4E76">
        <w:rPr>
          <w:lang w:val="en-US" w:eastAsia="en-AU"/>
        </w:rPr>
        <w:t xml:space="preserve"> the Transitioned </w:t>
      </w:r>
      <w:r>
        <w:rPr>
          <w:lang w:val="en-US" w:eastAsia="en-AU"/>
        </w:rPr>
        <w:t xml:space="preserve">ADF </w:t>
      </w:r>
      <w:r w:rsidRPr="00DE4E76">
        <w:rPr>
          <w:lang w:val="en-US" w:eastAsia="en-AU"/>
        </w:rPr>
        <w:t xml:space="preserve">and 2015 Regular ADF used them </w:t>
      </w:r>
      <w:r>
        <w:rPr>
          <w:lang w:val="en-US" w:eastAsia="en-AU"/>
        </w:rPr>
        <w:t xml:space="preserve">for </w:t>
      </w:r>
      <w:r w:rsidRPr="00DE4E76">
        <w:t>‘fun or recreation’</w:t>
      </w:r>
      <w:r>
        <w:t>,</w:t>
      </w:r>
      <w:r w:rsidRPr="00DE4E76">
        <w:t xml:space="preserve"> for ‘study or work’ and to ‘enhance social interaction’. </w:t>
      </w:r>
    </w:p>
    <w:p w14:paraId="4951A195" w14:textId="77777777" w:rsidR="00783F0D" w:rsidRDefault="00783F0D" w:rsidP="00133458">
      <w:pPr>
        <w:pStyle w:val="ShadedBullet"/>
      </w:pPr>
      <w:r w:rsidRPr="00DE4E76">
        <w:t xml:space="preserve">Transitioned ADF with a probable disorder were significantly less likely to use them for fun and recreation compared to Transitioned ADF with no probable disorder. </w:t>
      </w:r>
    </w:p>
    <w:p w14:paraId="31DE5CCF" w14:textId="77777777" w:rsidR="00513700" w:rsidRDefault="00513700" w:rsidP="000B5E49">
      <w:pPr>
        <w:pStyle w:val="ShadedBoxText"/>
      </w:pPr>
      <w:r w:rsidRPr="00D4741B">
        <w:rPr>
          <w:b/>
        </w:rPr>
        <w:t>Glossary:</w:t>
      </w:r>
      <w:r w:rsidRPr="00D4741B">
        <w:t xml:space="preserve"> refer to the </w:t>
      </w:r>
      <w:r w:rsidRPr="00104D02">
        <w:t>Glossary</w:t>
      </w:r>
      <w:r w:rsidRPr="00D4741B">
        <w:t xml:space="preserve"> of terms for definitions of key terms.</w:t>
      </w:r>
    </w:p>
    <w:p w14:paraId="5BB0AE30" w14:textId="77777777" w:rsidR="00783F0D" w:rsidRPr="003B2134" w:rsidRDefault="00783F0D" w:rsidP="00783F0D">
      <w:pPr>
        <w:pStyle w:val="Heading2"/>
        <w:numPr>
          <w:ilvl w:val="1"/>
          <w:numId w:val="1"/>
        </w:numPr>
        <w:ind w:left="720" w:hanging="720"/>
      </w:pPr>
      <w:bookmarkStart w:id="472" w:name="_Toc385859324"/>
      <w:bookmarkStart w:id="473" w:name="_Toc518566374"/>
      <w:bookmarkStart w:id="474" w:name="_Toc528932667"/>
      <w:bookmarkStart w:id="475" w:name="_Toc531859204"/>
      <w:r w:rsidRPr="003B2134">
        <w:t>Introduction</w:t>
      </w:r>
      <w:bookmarkEnd w:id="472"/>
      <w:bookmarkEnd w:id="473"/>
      <w:bookmarkEnd w:id="474"/>
      <w:bookmarkEnd w:id="475"/>
    </w:p>
    <w:p w14:paraId="24175835" w14:textId="77777777" w:rsidR="00783F0D" w:rsidRPr="00E26506" w:rsidRDefault="00783F0D" w:rsidP="00783F0D">
      <w:pPr>
        <w:rPr>
          <w:rFonts w:eastAsia="SimSun" w:cs="Calibri"/>
        </w:rPr>
      </w:pPr>
      <w:r w:rsidRPr="00E26506">
        <w:rPr>
          <w:lang w:eastAsia="en-AU"/>
        </w:rPr>
        <w:t xml:space="preserve">The following chapter describes </w:t>
      </w:r>
      <w:r>
        <w:rPr>
          <w:lang w:eastAsia="en-AU"/>
        </w:rPr>
        <w:t xml:space="preserve">the use of new and emerging technologies </w:t>
      </w:r>
      <w:r w:rsidRPr="00E26506">
        <w:rPr>
          <w:lang w:eastAsia="en-AU"/>
        </w:rPr>
        <w:t>in the Transitioned ADF and the 2015 Regular ADF.</w:t>
      </w:r>
      <w:r>
        <w:rPr>
          <w:lang w:eastAsia="en-AU"/>
        </w:rPr>
        <w:t xml:space="preserve"> It is important to note that the survey was conducted in 2014 and that ‘new and emerging technologies’ included apps, biometrics and other wearable technologies. </w:t>
      </w:r>
      <w:r w:rsidRPr="00E26506">
        <w:rPr>
          <w:lang w:eastAsia="en-AU"/>
        </w:rPr>
        <w:t xml:space="preserve">The chapter ends with a breakdown of these factors by probable disorder and no probable disorder among the Transitioned and 2015 Regular ADF. </w:t>
      </w:r>
      <w:r w:rsidRPr="00E26506">
        <w:rPr>
          <w:rFonts w:eastAsia="SimSun" w:cs="Calibri"/>
        </w:rPr>
        <w:t>The key research questions this chapter explores include:</w:t>
      </w:r>
    </w:p>
    <w:p w14:paraId="2E9FAAE4" w14:textId="77777777" w:rsidR="00783F0D" w:rsidRPr="00E26506" w:rsidRDefault="00783F0D" w:rsidP="00783F0D">
      <w:pPr>
        <w:pStyle w:val="Bullet"/>
        <w:numPr>
          <w:ilvl w:val="0"/>
          <w:numId w:val="3"/>
        </w:numPr>
        <w:ind w:left="360"/>
      </w:pPr>
      <w:r w:rsidRPr="00E26506">
        <w:t xml:space="preserve">How do the Transitioned and 2015 Regular ADF use </w:t>
      </w:r>
      <w:r>
        <w:t>new and emerging technologies</w:t>
      </w:r>
      <w:r w:rsidRPr="00E26506">
        <w:t>?</w:t>
      </w:r>
    </w:p>
    <w:p w14:paraId="3E6BCB2A" w14:textId="77777777" w:rsidR="00783F0D" w:rsidRPr="003B2134" w:rsidRDefault="00783F0D" w:rsidP="00783F0D">
      <w:pPr>
        <w:pStyle w:val="Bullet"/>
        <w:numPr>
          <w:ilvl w:val="0"/>
          <w:numId w:val="3"/>
        </w:numPr>
        <w:ind w:left="360"/>
      </w:pPr>
      <w:r w:rsidRPr="00E26506">
        <w:t xml:space="preserve">Do patterns of </w:t>
      </w:r>
      <w:r>
        <w:t>use of new and emerging technologies</w:t>
      </w:r>
      <w:r w:rsidRPr="00E26506">
        <w:t xml:space="preserve"> differ depending on the presence or absence of probable 30-day disorder in the Transitioned and 2015 Regular ADF?</w:t>
      </w:r>
    </w:p>
    <w:p w14:paraId="485DD808" w14:textId="77777777" w:rsidR="00783F0D" w:rsidRDefault="00783F0D" w:rsidP="00783F0D">
      <w:pPr>
        <w:rPr>
          <w:i/>
        </w:rPr>
      </w:pPr>
      <w:r w:rsidRPr="003B2134">
        <w:rPr>
          <w:i/>
        </w:rPr>
        <w:t xml:space="preserve">The use of new and emerging technologies </w:t>
      </w:r>
      <w:r w:rsidRPr="00657CF8">
        <w:t>was examined using the following questions:</w:t>
      </w:r>
    </w:p>
    <w:p w14:paraId="53359993" w14:textId="77777777" w:rsidR="00783F0D" w:rsidRDefault="00783F0D" w:rsidP="008F66DD">
      <w:pPr>
        <w:pStyle w:val="Bullet"/>
        <w:numPr>
          <w:ilvl w:val="0"/>
          <w:numId w:val="19"/>
        </w:numPr>
        <w:spacing w:after="60"/>
        <w:ind w:left="360"/>
      </w:pPr>
      <w:r w:rsidRPr="00D74297">
        <w:t xml:space="preserve">Do you currently use any new or emerging technologies (e.g. software applications or </w:t>
      </w:r>
      <w:r>
        <w:t>‘</w:t>
      </w:r>
      <w:r w:rsidRPr="00D74297">
        <w:t>apps</w:t>
      </w:r>
      <w:r>
        <w:t>’</w:t>
      </w:r>
      <w:r w:rsidRPr="00D74297">
        <w:t>, wearable technology)?</w:t>
      </w:r>
    </w:p>
    <w:p w14:paraId="4A51811B" w14:textId="77777777" w:rsidR="00783F0D" w:rsidRPr="0084671D" w:rsidRDefault="00783F0D" w:rsidP="008F66DD">
      <w:pPr>
        <w:pStyle w:val="Bullet"/>
        <w:numPr>
          <w:ilvl w:val="0"/>
          <w:numId w:val="21"/>
        </w:numPr>
        <w:spacing w:after="60"/>
      </w:pPr>
      <w:r w:rsidRPr="0084671D">
        <w:t>IF YES: What new or emerging technologies do you currently use?</w:t>
      </w:r>
    </w:p>
    <w:p w14:paraId="33D2C772" w14:textId="77777777" w:rsidR="00783F0D" w:rsidRPr="00320596" w:rsidRDefault="00783F0D" w:rsidP="00783F0D">
      <w:pPr>
        <w:pStyle w:val="Bullet"/>
        <w:numPr>
          <w:ilvl w:val="0"/>
          <w:numId w:val="21"/>
        </w:numPr>
      </w:pPr>
      <w:r w:rsidRPr="00514C4B">
        <w:t>IF N</w:t>
      </w:r>
      <w:r>
        <w:t>O</w:t>
      </w:r>
      <w:r w:rsidRPr="00514C4B">
        <w:t>: Why don't you use any new or emerging technologies?</w:t>
      </w:r>
    </w:p>
    <w:p w14:paraId="383A23B3" w14:textId="77777777" w:rsidR="00783F0D" w:rsidRDefault="00783F0D" w:rsidP="00783F0D">
      <w:pPr>
        <w:pStyle w:val="Bullet"/>
        <w:numPr>
          <w:ilvl w:val="0"/>
          <w:numId w:val="19"/>
        </w:numPr>
        <w:ind w:left="360"/>
      </w:pPr>
      <w:r w:rsidRPr="00514C4B">
        <w:t>In an ideal world where money and time were no obstacle, what new and emerging technologies would you like to use to help improve your health and wellbeing?</w:t>
      </w:r>
    </w:p>
    <w:p w14:paraId="29786837" w14:textId="77777777" w:rsidR="00783F0D" w:rsidRDefault="00783F0D" w:rsidP="00783F0D">
      <w:pPr>
        <w:pStyle w:val="Bullet"/>
        <w:numPr>
          <w:ilvl w:val="0"/>
          <w:numId w:val="19"/>
        </w:numPr>
        <w:ind w:left="360"/>
      </w:pPr>
      <w:r w:rsidRPr="00514C4B">
        <w:t>Because new and emerging technologies are constantly being created then continually upgraded, when is the right time for you to buy a product?</w:t>
      </w:r>
    </w:p>
    <w:p w14:paraId="0B42C5D3" w14:textId="77777777" w:rsidR="00783F0D" w:rsidRDefault="00783F0D" w:rsidP="008F66DD">
      <w:pPr>
        <w:pStyle w:val="Bullet"/>
        <w:numPr>
          <w:ilvl w:val="0"/>
          <w:numId w:val="19"/>
        </w:numPr>
        <w:spacing w:after="60"/>
        <w:ind w:left="360"/>
      </w:pPr>
      <w:r w:rsidRPr="00514C4B">
        <w:t>Do you use any new or emerging technologies to help you improve your health and wellbeing?</w:t>
      </w:r>
    </w:p>
    <w:p w14:paraId="1BABD9D7" w14:textId="77777777" w:rsidR="00783F0D" w:rsidRDefault="00783F0D" w:rsidP="008F66DD">
      <w:pPr>
        <w:pStyle w:val="Bullet"/>
        <w:numPr>
          <w:ilvl w:val="0"/>
          <w:numId w:val="20"/>
        </w:numPr>
        <w:spacing w:after="60"/>
      </w:pPr>
      <w:r>
        <w:t>IF YES: H</w:t>
      </w:r>
      <w:r w:rsidRPr="004026A0">
        <w:t>ow or why do you use new and emerging technologies to improve your health and wellbeing?</w:t>
      </w:r>
    </w:p>
    <w:p w14:paraId="2AD0CAB3" w14:textId="77777777" w:rsidR="00783F0D" w:rsidRPr="00320596" w:rsidRDefault="00783F0D" w:rsidP="00783F0D">
      <w:pPr>
        <w:pStyle w:val="Bullet"/>
        <w:numPr>
          <w:ilvl w:val="0"/>
          <w:numId w:val="20"/>
        </w:numPr>
        <w:rPr>
          <w:rFonts w:asciiTheme="minorHAnsi" w:hAnsiTheme="minorHAnsi"/>
          <w:lang w:val="en-US" w:eastAsia="ja-JP"/>
        </w:rPr>
      </w:pPr>
      <w:r>
        <w:t>IF NO: H</w:t>
      </w:r>
      <w:r w:rsidRPr="004026A0">
        <w:t>ow or why do you use new and emerging technologies?</w:t>
      </w:r>
    </w:p>
    <w:p w14:paraId="26FCF458" w14:textId="77777777" w:rsidR="00783F0D" w:rsidRPr="004445C3" w:rsidRDefault="00783F0D" w:rsidP="00783F0D">
      <w:r>
        <w:t xml:space="preserve">All outcomes measures in this chapter (as described above) were stratified by transition status (according to whether they were transitioned or remained in the Regular ADF in 2015) and </w:t>
      </w:r>
      <w:r w:rsidRPr="00A0121A">
        <w:t>probable 30</w:t>
      </w:r>
      <w:r>
        <w:t>-</w:t>
      </w:r>
      <w:r w:rsidRPr="00A0121A">
        <w:t>day disorder</w:t>
      </w:r>
      <w:r>
        <w:t xml:space="preserve"> (according to whether they met criteria for a probable disorder or not) (as described in Chapter 4).</w:t>
      </w:r>
    </w:p>
    <w:p w14:paraId="51369A1A" w14:textId="77777777" w:rsidR="00783F0D" w:rsidRPr="00320596" w:rsidRDefault="00783F0D" w:rsidP="00783F0D">
      <w:pPr>
        <w:rPr>
          <w:rFonts w:eastAsia="SimSun" w:cs="Calibri"/>
        </w:rPr>
      </w:pPr>
      <w:r w:rsidRPr="003038B1">
        <w:rPr>
          <w:rFonts w:eastAsia="SimSun" w:cs="Calibri"/>
        </w:rPr>
        <w:t>Logistic regression models performed on select</w:t>
      </w:r>
      <w:r>
        <w:rPr>
          <w:rFonts w:eastAsia="SimSun" w:cs="Calibri"/>
        </w:rPr>
        <w:t>ed collapsed grouping variables</w:t>
      </w:r>
      <w:r w:rsidRPr="003038B1">
        <w:rPr>
          <w:rFonts w:eastAsia="SimSun" w:cs="Calibri"/>
        </w:rPr>
        <w:t xml:space="preserve"> were adjusted for sex and age. </w:t>
      </w:r>
    </w:p>
    <w:p w14:paraId="36C2B1E2" w14:textId="77777777" w:rsidR="00783F0D" w:rsidRPr="00320596" w:rsidRDefault="00783F0D" w:rsidP="00783F0D">
      <w:pPr>
        <w:pStyle w:val="Heading2"/>
        <w:numPr>
          <w:ilvl w:val="1"/>
          <w:numId w:val="1"/>
        </w:numPr>
        <w:ind w:left="720" w:hanging="720"/>
      </w:pPr>
      <w:bookmarkStart w:id="476" w:name="_Toc509917437"/>
      <w:bookmarkStart w:id="477" w:name="_Toc515374479"/>
      <w:bookmarkStart w:id="478" w:name="_Toc518566375"/>
      <w:bookmarkStart w:id="479" w:name="_Toc528932668"/>
      <w:bookmarkStart w:id="480" w:name="_Toc531859205"/>
      <w:r w:rsidRPr="00320596">
        <w:t>Current use of new and emerging technologies</w:t>
      </w:r>
      <w:bookmarkEnd w:id="476"/>
      <w:bookmarkEnd w:id="477"/>
      <w:bookmarkEnd w:id="478"/>
      <w:bookmarkEnd w:id="479"/>
      <w:bookmarkEnd w:id="480"/>
    </w:p>
    <w:p w14:paraId="662F0E28" w14:textId="77777777" w:rsidR="00783F0D" w:rsidRDefault="00783F0D" w:rsidP="00783F0D">
      <w:pPr>
        <w:rPr>
          <w:rFonts w:eastAsia="MS Mincho"/>
        </w:rPr>
      </w:pPr>
      <w:r w:rsidRPr="00320596">
        <w:t xml:space="preserve">Table </w:t>
      </w:r>
      <w:r>
        <w:rPr>
          <w:noProof/>
        </w:rPr>
        <w:t>5</w:t>
      </w:r>
      <w:r>
        <w:t>.</w:t>
      </w:r>
      <w:r>
        <w:rPr>
          <w:noProof/>
        </w:rPr>
        <w:t>1</w:t>
      </w:r>
      <w:r>
        <w:t xml:space="preserve"> and Figure </w:t>
      </w:r>
      <w:r>
        <w:rPr>
          <w:noProof/>
        </w:rPr>
        <w:t>5</w:t>
      </w:r>
      <w:r>
        <w:t>.</w:t>
      </w:r>
      <w:r>
        <w:rPr>
          <w:noProof/>
        </w:rPr>
        <w:t>1</w:t>
      </w:r>
      <w:r>
        <w:t xml:space="preserve"> present</w:t>
      </w:r>
      <w:r w:rsidRPr="006C4604">
        <w:t xml:space="preserve"> the estimated proportions of Transitioned ADF</w:t>
      </w:r>
      <w:r w:rsidRPr="004D6D6C">
        <w:t xml:space="preserve"> and 2015 Regular ADF who </w:t>
      </w:r>
      <w:r>
        <w:t xml:space="preserve">reported </w:t>
      </w:r>
      <w:r w:rsidRPr="004D6D6C">
        <w:t>currently us</w:t>
      </w:r>
      <w:r>
        <w:t>ing new and</w:t>
      </w:r>
      <w:r w:rsidRPr="004D6D6C">
        <w:t xml:space="preserve"> emerging technologies. Respondents were asked </w:t>
      </w:r>
      <w:r w:rsidRPr="005B4AF4">
        <w:t>‘Do you currently use any new or emerging technologies (e.g. software applications or ‘apps’</w:t>
      </w:r>
      <w:r>
        <w:t>, wearable technology)?’</w:t>
      </w:r>
    </w:p>
    <w:p w14:paraId="363EF351" w14:textId="77777777" w:rsidR="00783F0D" w:rsidRDefault="00783F0D" w:rsidP="00783F0D">
      <w:r>
        <w:rPr>
          <w:rFonts w:eastAsia="MS Mincho"/>
        </w:rPr>
        <w:t>A</w:t>
      </w:r>
      <w:r w:rsidRPr="00E26506">
        <w:rPr>
          <w:rFonts w:eastAsia="MS Mincho"/>
        </w:rPr>
        <w:t xml:space="preserve">pproximately half of the Transitioned ADF (48.7%) and 2015 Regular ADF (50.4%) reported </w:t>
      </w:r>
      <w:r>
        <w:rPr>
          <w:rFonts w:eastAsia="MS Mincho"/>
        </w:rPr>
        <w:t xml:space="preserve">that they </w:t>
      </w:r>
      <w:r w:rsidRPr="00E26506">
        <w:rPr>
          <w:rFonts w:eastAsia="MS Mincho"/>
        </w:rPr>
        <w:t xml:space="preserve">currently </w:t>
      </w:r>
      <w:r>
        <w:rPr>
          <w:rFonts w:eastAsia="MS Mincho"/>
        </w:rPr>
        <w:t xml:space="preserve">used new and emerging technologies, </w:t>
      </w:r>
      <w:r w:rsidRPr="004D6D6C">
        <w:t>with no significant differences between the groups</w:t>
      </w:r>
      <w:r>
        <w:t>.</w:t>
      </w:r>
    </w:p>
    <w:p w14:paraId="28093BA6" w14:textId="77777777" w:rsidR="00783F0D" w:rsidRDefault="00783F0D" w:rsidP="00783F0D">
      <w:pPr>
        <w:pStyle w:val="TableName"/>
      </w:pPr>
      <w:bookmarkStart w:id="481" w:name="_Ref517351329"/>
      <w:bookmarkStart w:id="482" w:name="_Toc509922871"/>
      <w:bookmarkStart w:id="483" w:name="_Toc515374646"/>
      <w:bookmarkStart w:id="484" w:name="_Toc528932322"/>
      <w:bookmarkStart w:id="485" w:name="_Toc531858001"/>
      <w:r w:rsidRPr="00320596">
        <w:t xml:space="preserve">Table </w:t>
      </w:r>
      <w:r>
        <w:rPr>
          <w:noProof/>
        </w:rPr>
        <w:t>5</w:t>
      </w:r>
      <w:r>
        <w:t>.</w:t>
      </w:r>
      <w:r>
        <w:rPr>
          <w:noProof/>
        </w:rPr>
        <w:t>1</w:t>
      </w:r>
      <w:bookmarkEnd w:id="481"/>
      <w:r w:rsidRPr="00320596">
        <w:tab/>
        <w:t>Use of new and emerging technologies among Transitioned ADF and 2015 Regular ADF</w:t>
      </w:r>
      <w:bookmarkEnd w:id="482"/>
      <w:bookmarkEnd w:id="483"/>
      <w:bookmarkEnd w:id="484"/>
      <w:bookmarkEnd w:id="485"/>
    </w:p>
    <w:tbl>
      <w:tblPr>
        <w:tblStyle w:val="TWRPTable"/>
        <w:tblW w:w="5000" w:type="pct"/>
        <w:tblLayout w:type="fixed"/>
        <w:tblLook w:val="0000" w:firstRow="0" w:lastRow="0" w:firstColumn="0" w:lastColumn="0" w:noHBand="0" w:noVBand="0"/>
        <w:tblDescription w:val="Table 5.1 Use of new and emerging technologies among Transitioned ADF and 2015 Regular ADF"/>
      </w:tblPr>
      <w:tblGrid>
        <w:gridCol w:w="1935"/>
        <w:gridCol w:w="612"/>
        <w:gridCol w:w="872"/>
        <w:gridCol w:w="1093"/>
        <w:gridCol w:w="564"/>
        <w:gridCol w:w="872"/>
        <w:gridCol w:w="1141"/>
      </w:tblGrid>
      <w:tr w:rsidR="00783F0D" w:rsidRPr="00663550" w14:paraId="1A9BA6C8" w14:textId="77777777" w:rsidTr="007D2109">
        <w:trPr>
          <w:cantSplit/>
          <w:tblHeader/>
        </w:trPr>
        <w:tc>
          <w:tcPr>
            <w:tcW w:w="1364" w:type="pct"/>
            <w:tcBorders>
              <w:top w:val="single" w:sz="4" w:space="0" w:color="000000"/>
              <w:bottom w:val="nil"/>
            </w:tcBorders>
          </w:tcPr>
          <w:p w14:paraId="05422540" w14:textId="77777777" w:rsidR="00783F0D" w:rsidRPr="00320596" w:rsidRDefault="00783F0D" w:rsidP="00EB155C">
            <w:pPr>
              <w:pStyle w:val="TableText"/>
              <w:rPr>
                <w:b/>
              </w:rPr>
            </w:pPr>
          </w:p>
        </w:tc>
        <w:tc>
          <w:tcPr>
            <w:tcW w:w="1818" w:type="pct"/>
            <w:gridSpan w:val="3"/>
            <w:tcBorders>
              <w:top w:val="single" w:sz="4" w:space="0" w:color="000000"/>
              <w:bottom w:val="single" w:sz="4" w:space="0" w:color="000000"/>
            </w:tcBorders>
          </w:tcPr>
          <w:p w14:paraId="559BC8D6" w14:textId="77777777" w:rsidR="00783F0D" w:rsidRPr="00320596" w:rsidRDefault="00783F0D" w:rsidP="00783F0D">
            <w:pPr>
              <w:pStyle w:val="TableText"/>
              <w:jc w:val="center"/>
              <w:rPr>
                <w:b/>
              </w:rPr>
            </w:pPr>
            <w:r w:rsidRPr="00320596">
              <w:rPr>
                <w:b/>
              </w:rPr>
              <w:t>Transitioned ADF</w:t>
            </w:r>
            <w:r>
              <w:rPr>
                <w:b/>
              </w:rPr>
              <w:br/>
            </w:r>
            <w:r w:rsidRPr="00320596">
              <w:rPr>
                <w:b/>
              </w:rPr>
              <w:t>n=24,932</w:t>
            </w:r>
          </w:p>
        </w:tc>
        <w:tc>
          <w:tcPr>
            <w:tcW w:w="1817" w:type="pct"/>
            <w:gridSpan w:val="3"/>
            <w:tcBorders>
              <w:top w:val="single" w:sz="4" w:space="0" w:color="000000"/>
              <w:bottom w:val="single" w:sz="4" w:space="0" w:color="000000"/>
            </w:tcBorders>
          </w:tcPr>
          <w:p w14:paraId="5474A99C" w14:textId="77777777" w:rsidR="00783F0D" w:rsidRPr="00320596" w:rsidRDefault="00783F0D" w:rsidP="00783F0D">
            <w:pPr>
              <w:pStyle w:val="TableText"/>
              <w:jc w:val="center"/>
              <w:rPr>
                <w:b/>
              </w:rPr>
            </w:pPr>
            <w:r w:rsidRPr="00320596">
              <w:rPr>
                <w:b/>
              </w:rPr>
              <w:t>2015 Regular ADF</w:t>
            </w:r>
            <w:r>
              <w:rPr>
                <w:b/>
              </w:rPr>
              <w:br/>
            </w:r>
            <w:r w:rsidRPr="00320596">
              <w:rPr>
                <w:b/>
              </w:rPr>
              <w:t>n=52,500</w:t>
            </w:r>
          </w:p>
        </w:tc>
      </w:tr>
      <w:tr w:rsidR="007D2109" w:rsidRPr="00AF016D" w14:paraId="0BDF8793" w14:textId="77777777" w:rsidTr="007D2109">
        <w:trPr>
          <w:cantSplit/>
          <w:tblHeader/>
        </w:trPr>
        <w:tc>
          <w:tcPr>
            <w:tcW w:w="1364" w:type="pct"/>
            <w:tcBorders>
              <w:top w:val="nil"/>
              <w:bottom w:val="single" w:sz="4" w:space="0" w:color="000000"/>
            </w:tcBorders>
          </w:tcPr>
          <w:p w14:paraId="605A09B7" w14:textId="77777777" w:rsidR="00783F0D" w:rsidRPr="00320596" w:rsidRDefault="00783F0D" w:rsidP="00EB155C">
            <w:pPr>
              <w:pStyle w:val="TableText"/>
              <w:rPr>
                <w:b/>
              </w:rPr>
            </w:pPr>
            <w:r w:rsidRPr="00320596">
              <w:rPr>
                <w:b/>
              </w:rPr>
              <w:t xml:space="preserve">Use of </w:t>
            </w:r>
            <w:r>
              <w:rPr>
                <w:b/>
              </w:rPr>
              <w:t>e</w:t>
            </w:r>
            <w:r w:rsidRPr="00320596">
              <w:rPr>
                <w:b/>
              </w:rPr>
              <w:t xml:space="preserve">merging </w:t>
            </w:r>
            <w:r>
              <w:rPr>
                <w:b/>
              </w:rPr>
              <w:t>t</w:t>
            </w:r>
            <w:r w:rsidRPr="00320596">
              <w:rPr>
                <w:b/>
              </w:rPr>
              <w:t>echnologies</w:t>
            </w:r>
          </w:p>
        </w:tc>
        <w:tc>
          <w:tcPr>
            <w:tcW w:w="432" w:type="pct"/>
            <w:tcBorders>
              <w:top w:val="single" w:sz="4" w:space="0" w:color="000000"/>
              <w:bottom w:val="single" w:sz="4" w:space="0" w:color="000000"/>
            </w:tcBorders>
          </w:tcPr>
          <w:p w14:paraId="7933A11F" w14:textId="77777777" w:rsidR="00783F0D" w:rsidRPr="00320596" w:rsidRDefault="00783F0D" w:rsidP="00EB155C">
            <w:pPr>
              <w:pStyle w:val="TableText"/>
              <w:jc w:val="right"/>
              <w:rPr>
                <w:b/>
              </w:rPr>
            </w:pPr>
            <w:r w:rsidRPr="00320596">
              <w:rPr>
                <w:b/>
              </w:rPr>
              <w:t>n</w:t>
            </w:r>
          </w:p>
        </w:tc>
        <w:tc>
          <w:tcPr>
            <w:tcW w:w="615" w:type="pct"/>
            <w:tcBorders>
              <w:top w:val="single" w:sz="4" w:space="0" w:color="000000"/>
              <w:bottom w:val="single" w:sz="4" w:space="0" w:color="000000"/>
            </w:tcBorders>
          </w:tcPr>
          <w:p w14:paraId="4CB914D4" w14:textId="77777777" w:rsidR="00783F0D" w:rsidRPr="00320596" w:rsidRDefault="00783F0D" w:rsidP="00EB155C">
            <w:pPr>
              <w:pStyle w:val="TableText"/>
              <w:jc w:val="right"/>
              <w:rPr>
                <w:b/>
              </w:rPr>
            </w:pPr>
            <w:r w:rsidRPr="00320596">
              <w:rPr>
                <w:b/>
              </w:rPr>
              <w:t>Weighted n</w:t>
            </w:r>
          </w:p>
        </w:tc>
        <w:tc>
          <w:tcPr>
            <w:tcW w:w="771" w:type="pct"/>
            <w:tcBorders>
              <w:top w:val="single" w:sz="4" w:space="0" w:color="000000"/>
              <w:bottom w:val="single" w:sz="4" w:space="0" w:color="000000"/>
            </w:tcBorders>
          </w:tcPr>
          <w:p w14:paraId="7360D883" w14:textId="77777777" w:rsidR="00783F0D" w:rsidRPr="00320596" w:rsidRDefault="00783F0D" w:rsidP="00EB155C">
            <w:pPr>
              <w:pStyle w:val="TableText"/>
              <w:jc w:val="right"/>
              <w:rPr>
                <w:b/>
              </w:rPr>
            </w:pPr>
            <w:r w:rsidRPr="00320596">
              <w:rPr>
                <w:b/>
              </w:rPr>
              <w:t>% (95%CI)</w:t>
            </w:r>
          </w:p>
        </w:tc>
        <w:tc>
          <w:tcPr>
            <w:tcW w:w="398" w:type="pct"/>
            <w:tcBorders>
              <w:top w:val="single" w:sz="4" w:space="0" w:color="000000"/>
              <w:bottom w:val="single" w:sz="4" w:space="0" w:color="000000"/>
            </w:tcBorders>
          </w:tcPr>
          <w:p w14:paraId="655F0F13" w14:textId="77777777" w:rsidR="00783F0D" w:rsidRPr="00320596" w:rsidRDefault="00783F0D" w:rsidP="00EB155C">
            <w:pPr>
              <w:pStyle w:val="TableText"/>
              <w:jc w:val="right"/>
              <w:rPr>
                <w:b/>
              </w:rPr>
            </w:pPr>
            <w:r w:rsidRPr="00320596">
              <w:rPr>
                <w:b/>
              </w:rPr>
              <w:t>n</w:t>
            </w:r>
          </w:p>
        </w:tc>
        <w:tc>
          <w:tcPr>
            <w:tcW w:w="615" w:type="pct"/>
            <w:tcBorders>
              <w:top w:val="single" w:sz="4" w:space="0" w:color="000000"/>
              <w:bottom w:val="single" w:sz="4" w:space="0" w:color="000000"/>
            </w:tcBorders>
          </w:tcPr>
          <w:p w14:paraId="0AD244EA" w14:textId="77777777" w:rsidR="00783F0D" w:rsidRPr="00320596" w:rsidRDefault="00783F0D" w:rsidP="00EB155C">
            <w:pPr>
              <w:pStyle w:val="TableText"/>
              <w:jc w:val="right"/>
              <w:rPr>
                <w:b/>
              </w:rPr>
            </w:pPr>
            <w:r w:rsidRPr="00320596">
              <w:rPr>
                <w:b/>
              </w:rPr>
              <w:t>Weighted n</w:t>
            </w:r>
          </w:p>
        </w:tc>
        <w:tc>
          <w:tcPr>
            <w:tcW w:w="805" w:type="pct"/>
            <w:tcBorders>
              <w:top w:val="single" w:sz="4" w:space="0" w:color="000000"/>
              <w:bottom w:val="single" w:sz="4" w:space="0" w:color="000000"/>
            </w:tcBorders>
          </w:tcPr>
          <w:p w14:paraId="3FAA85E5" w14:textId="77777777" w:rsidR="00783F0D" w:rsidRPr="00320596" w:rsidRDefault="00783F0D" w:rsidP="00EB155C">
            <w:pPr>
              <w:pStyle w:val="TableText"/>
              <w:jc w:val="right"/>
              <w:rPr>
                <w:b/>
              </w:rPr>
            </w:pPr>
            <w:r w:rsidRPr="00320596">
              <w:rPr>
                <w:b/>
              </w:rPr>
              <w:t>% (95%CI)</w:t>
            </w:r>
          </w:p>
        </w:tc>
      </w:tr>
      <w:tr w:rsidR="007D2109" w:rsidRPr="00AF016D" w14:paraId="34E8C252"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1364" w:type="pct"/>
            <w:tcBorders>
              <w:top w:val="single" w:sz="4" w:space="0" w:color="000000"/>
            </w:tcBorders>
          </w:tcPr>
          <w:p w14:paraId="1960BCAA" w14:textId="77777777" w:rsidR="00783F0D" w:rsidRPr="00494E02" w:rsidRDefault="00783F0D" w:rsidP="00EB155C">
            <w:pPr>
              <w:pStyle w:val="TableText"/>
            </w:pPr>
            <w:r w:rsidRPr="00494E02">
              <w:t>No, don’t currently use emerging technologies</w:t>
            </w:r>
          </w:p>
        </w:tc>
        <w:tc>
          <w:tcPr>
            <w:tcW w:w="432" w:type="pct"/>
            <w:tcBorders>
              <w:top w:val="single" w:sz="4" w:space="0" w:color="000000"/>
            </w:tcBorders>
          </w:tcPr>
          <w:p w14:paraId="2F328A52" w14:textId="77777777" w:rsidR="00783F0D" w:rsidRPr="00494E02" w:rsidRDefault="00783F0D" w:rsidP="00EB155C">
            <w:pPr>
              <w:pStyle w:val="TableText"/>
              <w:jc w:val="right"/>
              <w:rPr>
                <w:color w:val="000000" w:themeColor="text1"/>
              </w:rPr>
            </w:pPr>
            <w:r w:rsidRPr="00494E02">
              <w:t>1492</w:t>
            </w:r>
          </w:p>
        </w:tc>
        <w:tc>
          <w:tcPr>
            <w:tcW w:w="615" w:type="pct"/>
            <w:tcBorders>
              <w:top w:val="single" w:sz="4" w:space="0" w:color="000000"/>
            </w:tcBorders>
          </w:tcPr>
          <w:p w14:paraId="40F126FC" w14:textId="77777777" w:rsidR="00783F0D" w:rsidRPr="00494E02" w:rsidRDefault="00783F0D" w:rsidP="00EB155C">
            <w:pPr>
              <w:pStyle w:val="TableText"/>
              <w:jc w:val="right"/>
              <w:rPr>
                <w:color w:val="000000" w:themeColor="text1"/>
              </w:rPr>
            </w:pPr>
            <w:r w:rsidRPr="00494E02">
              <w:t>10</w:t>
            </w:r>
            <w:r>
              <w:t>,</w:t>
            </w:r>
            <w:r w:rsidRPr="00494E02">
              <w:t>347</w:t>
            </w:r>
          </w:p>
        </w:tc>
        <w:tc>
          <w:tcPr>
            <w:tcW w:w="771" w:type="pct"/>
            <w:tcBorders>
              <w:top w:val="single" w:sz="4" w:space="0" w:color="000000"/>
            </w:tcBorders>
          </w:tcPr>
          <w:p w14:paraId="7E71580D" w14:textId="77777777" w:rsidR="00783F0D" w:rsidRPr="00494E02" w:rsidRDefault="00783F0D" w:rsidP="00EB155C">
            <w:pPr>
              <w:pStyle w:val="TableText"/>
              <w:jc w:val="right"/>
              <w:rPr>
                <w:color w:val="000000" w:themeColor="text1"/>
              </w:rPr>
            </w:pPr>
            <w:r w:rsidRPr="00494E02">
              <w:t>41.5 (39.5,</w:t>
            </w:r>
            <w:r>
              <w:t xml:space="preserve"> </w:t>
            </w:r>
            <w:r w:rsidRPr="00494E02">
              <w:t>43.6)</w:t>
            </w:r>
          </w:p>
        </w:tc>
        <w:tc>
          <w:tcPr>
            <w:tcW w:w="398" w:type="pct"/>
            <w:tcBorders>
              <w:top w:val="single" w:sz="4" w:space="0" w:color="000000"/>
            </w:tcBorders>
          </w:tcPr>
          <w:p w14:paraId="5D4BE800" w14:textId="77777777" w:rsidR="00783F0D" w:rsidRPr="00494E02" w:rsidRDefault="00783F0D" w:rsidP="00EB155C">
            <w:pPr>
              <w:pStyle w:val="TableText"/>
              <w:jc w:val="right"/>
              <w:rPr>
                <w:color w:val="000000" w:themeColor="text1"/>
              </w:rPr>
            </w:pPr>
            <w:r w:rsidRPr="00494E02">
              <w:t>2737</w:t>
            </w:r>
          </w:p>
        </w:tc>
        <w:tc>
          <w:tcPr>
            <w:tcW w:w="615" w:type="pct"/>
            <w:tcBorders>
              <w:top w:val="single" w:sz="4" w:space="0" w:color="000000"/>
            </w:tcBorders>
          </w:tcPr>
          <w:p w14:paraId="44103CD0" w14:textId="77777777" w:rsidR="00783F0D" w:rsidRPr="00494E02" w:rsidRDefault="00783F0D" w:rsidP="00EB155C">
            <w:pPr>
              <w:pStyle w:val="TableText"/>
              <w:jc w:val="right"/>
              <w:rPr>
                <w:color w:val="000000" w:themeColor="text1"/>
              </w:rPr>
            </w:pPr>
            <w:r w:rsidRPr="00494E02">
              <w:t>20</w:t>
            </w:r>
            <w:r>
              <w:t>,</w:t>
            </w:r>
            <w:r w:rsidRPr="00494E02">
              <w:t>164</w:t>
            </w:r>
          </w:p>
        </w:tc>
        <w:tc>
          <w:tcPr>
            <w:tcW w:w="805" w:type="pct"/>
            <w:tcBorders>
              <w:top w:val="single" w:sz="4" w:space="0" w:color="000000"/>
            </w:tcBorders>
          </w:tcPr>
          <w:p w14:paraId="3DF9D838" w14:textId="77777777" w:rsidR="00783F0D" w:rsidRPr="00494E02" w:rsidRDefault="00783F0D" w:rsidP="00EB155C">
            <w:pPr>
              <w:pStyle w:val="TableText"/>
              <w:jc w:val="right"/>
              <w:rPr>
                <w:color w:val="000000" w:themeColor="text1"/>
              </w:rPr>
            </w:pPr>
            <w:r w:rsidRPr="00494E02">
              <w:t>38.4 (34.4,</w:t>
            </w:r>
            <w:r>
              <w:t xml:space="preserve"> </w:t>
            </w:r>
            <w:r w:rsidRPr="00494E02">
              <w:t>42.6)</w:t>
            </w:r>
          </w:p>
        </w:tc>
      </w:tr>
      <w:tr w:rsidR="007D2109" w:rsidRPr="00AF016D" w14:paraId="003D6B3C" w14:textId="77777777" w:rsidTr="007D2109">
        <w:trPr>
          <w:cantSplit/>
        </w:trPr>
        <w:tc>
          <w:tcPr>
            <w:tcW w:w="1364" w:type="pct"/>
          </w:tcPr>
          <w:p w14:paraId="6073A5CB" w14:textId="77777777" w:rsidR="00783F0D" w:rsidRPr="00494E02" w:rsidRDefault="00783F0D" w:rsidP="00EB155C">
            <w:pPr>
              <w:pStyle w:val="TableText"/>
            </w:pPr>
            <w:r w:rsidRPr="00494E02">
              <w:t xml:space="preserve">Yes, currently use emerging </w:t>
            </w:r>
            <w:r>
              <w:t>t</w:t>
            </w:r>
            <w:r w:rsidRPr="00494E02">
              <w:t>echnologies</w:t>
            </w:r>
          </w:p>
        </w:tc>
        <w:tc>
          <w:tcPr>
            <w:tcW w:w="432" w:type="pct"/>
          </w:tcPr>
          <w:p w14:paraId="4FAC4D10" w14:textId="77777777" w:rsidR="00783F0D" w:rsidRPr="00494E02" w:rsidRDefault="00783F0D" w:rsidP="00EB155C">
            <w:pPr>
              <w:pStyle w:val="TableText"/>
              <w:jc w:val="right"/>
              <w:rPr>
                <w:color w:val="000000" w:themeColor="text1"/>
              </w:rPr>
            </w:pPr>
            <w:r w:rsidRPr="00494E02">
              <w:t>1749</w:t>
            </w:r>
          </w:p>
        </w:tc>
        <w:tc>
          <w:tcPr>
            <w:tcW w:w="615" w:type="pct"/>
          </w:tcPr>
          <w:p w14:paraId="2015435E" w14:textId="77777777" w:rsidR="00783F0D" w:rsidRPr="00494E02" w:rsidRDefault="00783F0D" w:rsidP="00EB155C">
            <w:pPr>
              <w:pStyle w:val="TableText"/>
              <w:jc w:val="right"/>
              <w:rPr>
                <w:color w:val="000000" w:themeColor="text1"/>
              </w:rPr>
            </w:pPr>
            <w:r w:rsidRPr="00494E02">
              <w:t>12</w:t>
            </w:r>
            <w:r>
              <w:t>,</w:t>
            </w:r>
            <w:r w:rsidRPr="00494E02">
              <w:t>145</w:t>
            </w:r>
          </w:p>
        </w:tc>
        <w:tc>
          <w:tcPr>
            <w:tcW w:w="771" w:type="pct"/>
          </w:tcPr>
          <w:p w14:paraId="6AC63DD8" w14:textId="77777777" w:rsidR="00783F0D" w:rsidRPr="00494E02" w:rsidRDefault="00783F0D" w:rsidP="00EB155C">
            <w:pPr>
              <w:pStyle w:val="TableText"/>
              <w:jc w:val="right"/>
              <w:rPr>
                <w:color w:val="000000" w:themeColor="text1"/>
              </w:rPr>
            </w:pPr>
            <w:r w:rsidRPr="00494E02">
              <w:t>48.7 (46.6,</w:t>
            </w:r>
            <w:r>
              <w:t xml:space="preserve"> </w:t>
            </w:r>
            <w:r w:rsidRPr="00494E02">
              <w:t>50.8)</w:t>
            </w:r>
          </w:p>
        </w:tc>
        <w:tc>
          <w:tcPr>
            <w:tcW w:w="398" w:type="pct"/>
          </w:tcPr>
          <w:p w14:paraId="523F795C" w14:textId="77777777" w:rsidR="00783F0D" w:rsidRPr="00494E02" w:rsidRDefault="00783F0D" w:rsidP="00EB155C">
            <w:pPr>
              <w:pStyle w:val="TableText"/>
              <w:jc w:val="right"/>
              <w:rPr>
                <w:color w:val="000000" w:themeColor="text1"/>
              </w:rPr>
            </w:pPr>
            <w:r w:rsidRPr="00494E02">
              <w:t>4019</w:t>
            </w:r>
          </w:p>
        </w:tc>
        <w:tc>
          <w:tcPr>
            <w:tcW w:w="615" w:type="pct"/>
          </w:tcPr>
          <w:p w14:paraId="681F9BDB" w14:textId="77777777" w:rsidR="00783F0D" w:rsidRPr="00494E02" w:rsidRDefault="00783F0D" w:rsidP="00EB155C">
            <w:pPr>
              <w:pStyle w:val="TableText"/>
              <w:jc w:val="right"/>
              <w:rPr>
                <w:color w:val="000000" w:themeColor="text1"/>
              </w:rPr>
            </w:pPr>
            <w:r w:rsidRPr="00494E02">
              <w:t>26</w:t>
            </w:r>
            <w:r>
              <w:t>,</w:t>
            </w:r>
            <w:r w:rsidRPr="00494E02">
              <w:t>480</w:t>
            </w:r>
          </w:p>
        </w:tc>
        <w:tc>
          <w:tcPr>
            <w:tcW w:w="805" w:type="pct"/>
          </w:tcPr>
          <w:p w14:paraId="1FAB0DCE" w14:textId="77777777" w:rsidR="00783F0D" w:rsidRPr="00494E02" w:rsidRDefault="00783F0D" w:rsidP="00EB155C">
            <w:pPr>
              <w:pStyle w:val="TableText"/>
              <w:jc w:val="right"/>
              <w:rPr>
                <w:color w:val="000000" w:themeColor="text1"/>
              </w:rPr>
            </w:pPr>
            <w:r w:rsidRPr="00494E02">
              <w:t>50.4 (46.3,</w:t>
            </w:r>
            <w:r>
              <w:t xml:space="preserve"> </w:t>
            </w:r>
            <w:r w:rsidRPr="00494E02">
              <w:t>54.6)</w:t>
            </w:r>
          </w:p>
        </w:tc>
      </w:tr>
      <w:tr w:rsidR="007D2109" w:rsidRPr="00AF016D" w14:paraId="023B35A7"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1364" w:type="pct"/>
          </w:tcPr>
          <w:p w14:paraId="4F4796A4" w14:textId="77777777" w:rsidR="00783F0D" w:rsidRPr="00494E02" w:rsidRDefault="00783F0D" w:rsidP="00EB155C">
            <w:pPr>
              <w:pStyle w:val="TableText"/>
            </w:pPr>
            <w:r w:rsidRPr="00494E02">
              <w:t>Don’t know</w:t>
            </w:r>
          </w:p>
        </w:tc>
        <w:tc>
          <w:tcPr>
            <w:tcW w:w="432" w:type="pct"/>
          </w:tcPr>
          <w:p w14:paraId="086AF41D" w14:textId="77777777" w:rsidR="00783F0D" w:rsidRPr="00494E02" w:rsidRDefault="00783F0D" w:rsidP="00EB155C">
            <w:pPr>
              <w:pStyle w:val="TableText"/>
              <w:jc w:val="right"/>
              <w:rPr>
                <w:color w:val="000000" w:themeColor="text1"/>
              </w:rPr>
            </w:pPr>
            <w:r w:rsidRPr="00494E02">
              <w:t>278</w:t>
            </w:r>
          </w:p>
        </w:tc>
        <w:tc>
          <w:tcPr>
            <w:tcW w:w="615" w:type="pct"/>
          </w:tcPr>
          <w:p w14:paraId="0A23B8EE" w14:textId="77777777" w:rsidR="00783F0D" w:rsidRPr="00494E02" w:rsidRDefault="00783F0D" w:rsidP="00EB155C">
            <w:pPr>
              <w:pStyle w:val="TableText"/>
              <w:jc w:val="right"/>
              <w:rPr>
                <w:color w:val="000000" w:themeColor="text1"/>
              </w:rPr>
            </w:pPr>
            <w:r w:rsidRPr="00494E02">
              <w:t>2427</w:t>
            </w:r>
          </w:p>
        </w:tc>
        <w:tc>
          <w:tcPr>
            <w:tcW w:w="771" w:type="pct"/>
          </w:tcPr>
          <w:p w14:paraId="177A4560" w14:textId="77777777" w:rsidR="00783F0D" w:rsidRPr="00494E02" w:rsidRDefault="00783F0D" w:rsidP="00EB155C">
            <w:pPr>
              <w:pStyle w:val="TableText"/>
              <w:jc w:val="right"/>
              <w:rPr>
                <w:color w:val="000000" w:themeColor="text1"/>
              </w:rPr>
            </w:pPr>
            <w:r w:rsidRPr="00494E02">
              <w:t>9.7 (8.5,</w:t>
            </w:r>
            <w:r>
              <w:t xml:space="preserve"> </w:t>
            </w:r>
            <w:r w:rsidRPr="00494E02">
              <w:t>11.2)</w:t>
            </w:r>
          </w:p>
        </w:tc>
        <w:tc>
          <w:tcPr>
            <w:tcW w:w="398" w:type="pct"/>
          </w:tcPr>
          <w:p w14:paraId="48C42F38" w14:textId="77777777" w:rsidR="00783F0D" w:rsidRPr="00494E02" w:rsidRDefault="00783F0D" w:rsidP="00EB155C">
            <w:pPr>
              <w:pStyle w:val="TableText"/>
              <w:jc w:val="right"/>
              <w:rPr>
                <w:color w:val="000000" w:themeColor="text1"/>
              </w:rPr>
            </w:pPr>
            <w:r w:rsidRPr="00494E02">
              <w:t>552</w:t>
            </w:r>
          </w:p>
        </w:tc>
        <w:tc>
          <w:tcPr>
            <w:tcW w:w="615" w:type="pct"/>
          </w:tcPr>
          <w:p w14:paraId="29544BCA" w14:textId="77777777" w:rsidR="00783F0D" w:rsidRPr="00494E02" w:rsidRDefault="00783F0D" w:rsidP="00EB155C">
            <w:pPr>
              <w:pStyle w:val="TableText"/>
              <w:jc w:val="right"/>
              <w:rPr>
                <w:color w:val="000000" w:themeColor="text1"/>
              </w:rPr>
            </w:pPr>
            <w:r w:rsidRPr="00494E02">
              <w:t>5812</w:t>
            </w:r>
          </w:p>
        </w:tc>
        <w:tc>
          <w:tcPr>
            <w:tcW w:w="805" w:type="pct"/>
          </w:tcPr>
          <w:p w14:paraId="21EC530F" w14:textId="77777777" w:rsidR="00783F0D" w:rsidRPr="00494E02" w:rsidRDefault="00783F0D" w:rsidP="00EB155C">
            <w:pPr>
              <w:pStyle w:val="TableText"/>
              <w:jc w:val="right"/>
              <w:rPr>
                <w:color w:val="000000" w:themeColor="text1"/>
              </w:rPr>
            </w:pPr>
            <w:r w:rsidRPr="00494E02">
              <w:t>11.1 (8.2,</w:t>
            </w:r>
            <w:r>
              <w:t xml:space="preserve"> </w:t>
            </w:r>
            <w:r w:rsidRPr="00494E02">
              <w:t>14.7)</w:t>
            </w:r>
          </w:p>
        </w:tc>
      </w:tr>
    </w:tbl>
    <w:p w14:paraId="3485FAEC" w14:textId="77777777" w:rsidR="00783F0D" w:rsidRDefault="00783F0D" w:rsidP="00783F0D">
      <w:pPr>
        <w:pStyle w:val="TableNotes"/>
      </w:pPr>
      <w:r>
        <w:t>Notes</w:t>
      </w:r>
    </w:p>
    <w:p w14:paraId="12F7EC82" w14:textId="77777777" w:rsidR="00783F0D" w:rsidRPr="00F403FE" w:rsidRDefault="00783F0D" w:rsidP="00783F0D">
      <w:pPr>
        <w:pStyle w:val="TableNotes"/>
      </w:pPr>
      <w:r w:rsidRPr="00F403FE">
        <w:t>Denominator: Entire cohort</w:t>
      </w:r>
      <w:r>
        <w:t>.</w:t>
      </w:r>
    </w:p>
    <w:p w14:paraId="4C38E741" w14:textId="77777777" w:rsidR="00783F0D" w:rsidRPr="00F403FE" w:rsidRDefault="00783F0D" w:rsidP="00783F0D">
      <w:pPr>
        <w:pStyle w:val="TableNotes"/>
      </w:pPr>
      <w:r w:rsidRPr="00F403FE">
        <w:t>Based on weighted counts</w:t>
      </w:r>
      <w:r>
        <w:t>,</w:t>
      </w:r>
      <w:r w:rsidRPr="00F403FE">
        <w:t xml:space="preserve"> 13 (0.1%) Transitioned ADF and 43 (0.1%) 2015 Regular ADF had a missing value for this question.</w:t>
      </w:r>
      <w:r>
        <w:t xml:space="preserve"> </w:t>
      </w:r>
      <w:r w:rsidRPr="00F403FE">
        <w:t>However, distributions are calculated by including those with a missing value to allow for correct weighted totals.</w:t>
      </w:r>
    </w:p>
    <w:p w14:paraId="3E0C9303" w14:textId="77777777" w:rsidR="00783F0D" w:rsidRDefault="00783F0D" w:rsidP="00783F0D">
      <w:pPr>
        <w:pStyle w:val="TableNotes"/>
      </w:pPr>
      <w:r w:rsidRPr="00F403FE">
        <w:t>95%CI</w:t>
      </w:r>
      <w:r>
        <w:t xml:space="preserve"> =</w:t>
      </w:r>
      <w:r w:rsidRPr="00F403FE">
        <w:t xml:space="preserve"> 95% </w:t>
      </w:r>
      <w:r>
        <w:t>confidence interval.</w:t>
      </w:r>
    </w:p>
    <w:p w14:paraId="0370B13C" w14:textId="77777777" w:rsidR="00783F0D" w:rsidRDefault="00783F0D" w:rsidP="00783F0D">
      <w:pPr>
        <w:pStyle w:val="TableNotes"/>
      </w:pPr>
      <w:r w:rsidRPr="004C7947">
        <w:t>For a full description of odds ratios, interpretation and strength of association</w:t>
      </w:r>
      <w:r>
        <w:t>,</w:t>
      </w:r>
      <w:r w:rsidRPr="004C7947">
        <w:t xml:space="preserve"> please refer to Table B.1 </w:t>
      </w:r>
      <w:r w:rsidRPr="00BB1B84">
        <w:t xml:space="preserve">in </w:t>
      </w:r>
      <w:r w:rsidR="00374073">
        <w:t>Annex </w:t>
      </w:r>
      <w:r>
        <w:t>B, Odds ratio table.</w:t>
      </w:r>
    </w:p>
    <w:p w14:paraId="154C07CB" w14:textId="667149B2" w:rsidR="00783F0D" w:rsidRDefault="00783F0D" w:rsidP="00783F0D">
      <w:pPr>
        <w:pStyle w:val="FigureName"/>
      </w:pPr>
      <w:bookmarkStart w:id="486" w:name="_Ref517351346"/>
      <w:bookmarkStart w:id="487" w:name="_Toc509922945"/>
      <w:bookmarkStart w:id="488" w:name="_Toc515374719"/>
      <w:bookmarkStart w:id="489" w:name="_Toc528932403"/>
      <w:bookmarkStart w:id="490" w:name="_Toc531858083"/>
      <w:r>
        <w:t xml:space="preserve">Figure </w:t>
      </w:r>
      <w:r>
        <w:rPr>
          <w:noProof/>
        </w:rPr>
        <w:t>5</w:t>
      </w:r>
      <w:r>
        <w:t>.</w:t>
      </w:r>
      <w:r>
        <w:rPr>
          <w:noProof/>
        </w:rPr>
        <w:t>1</w:t>
      </w:r>
      <w:bookmarkEnd w:id="486"/>
      <w:r>
        <w:tab/>
      </w:r>
      <w:r w:rsidRPr="006C4604">
        <w:t>Use</w:t>
      </w:r>
      <w:r w:rsidRPr="00F65B2B">
        <w:t xml:space="preserve"> of new and emerging technologies among Transitioned ADF and 2015 Regular ADF</w:t>
      </w:r>
      <w:bookmarkEnd w:id="487"/>
      <w:bookmarkEnd w:id="488"/>
      <w:bookmarkEnd w:id="489"/>
      <w:bookmarkEnd w:id="490"/>
    </w:p>
    <w:p w14:paraId="20D3A4AE" w14:textId="77777777" w:rsidR="00783F0D" w:rsidRDefault="00783F0D" w:rsidP="00783F0D">
      <w:pPr>
        <w:spacing w:after="360"/>
      </w:pPr>
      <w:r w:rsidRPr="00D254D0">
        <w:rPr>
          <w:noProof/>
          <w:lang w:eastAsia="en-AU"/>
        </w:rPr>
        <w:drawing>
          <wp:inline distT="0" distB="0" distL="0" distR="0" wp14:anchorId="6F9697E2" wp14:editId="59A24264">
            <wp:extent cx="4572000" cy="2416285"/>
            <wp:effectExtent l="0" t="0" r="0" b="3175"/>
            <wp:docPr id="9" name="Picture 9" descr="Figure 5.1 Use of new and emerging technologies among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ealthSciences\SPHCP\CTSS\DATA REPOSITORY\TWRP\REPORT 5\FIGURE_4_5.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2416285"/>
                    </a:xfrm>
                    <a:prstGeom prst="rect">
                      <a:avLst/>
                    </a:prstGeom>
                    <a:noFill/>
                    <a:ln>
                      <a:noFill/>
                    </a:ln>
                  </pic:spPr>
                </pic:pic>
              </a:graphicData>
            </a:graphic>
          </wp:inline>
        </w:drawing>
      </w:r>
    </w:p>
    <w:p w14:paraId="726167F2" w14:textId="77777777" w:rsidR="00783F0D" w:rsidRPr="00320596" w:rsidRDefault="00783F0D" w:rsidP="00783F0D">
      <w:pPr>
        <w:pStyle w:val="Heading3"/>
        <w:numPr>
          <w:ilvl w:val="2"/>
          <w:numId w:val="1"/>
        </w:numPr>
      </w:pPr>
      <w:bookmarkStart w:id="491" w:name="_Toc509917438"/>
      <w:bookmarkStart w:id="492" w:name="_Toc515374480"/>
      <w:bookmarkStart w:id="493" w:name="_Toc518566376"/>
      <w:bookmarkStart w:id="494" w:name="_Toc528932669"/>
      <w:bookmarkStart w:id="495" w:name="_Toc531859206"/>
      <w:r w:rsidRPr="00320596">
        <w:t>Types of new and emerging technologies used</w:t>
      </w:r>
      <w:bookmarkEnd w:id="491"/>
      <w:bookmarkEnd w:id="492"/>
      <w:bookmarkEnd w:id="493"/>
      <w:bookmarkEnd w:id="494"/>
      <w:bookmarkEnd w:id="495"/>
    </w:p>
    <w:p w14:paraId="1DDDACB9" w14:textId="77777777" w:rsidR="00783F0D" w:rsidRDefault="00783F0D" w:rsidP="00783F0D">
      <w:pPr>
        <w:rPr>
          <w:lang w:eastAsia="en-AU"/>
        </w:rPr>
      </w:pPr>
      <w:r>
        <w:t>A</w:t>
      </w:r>
      <w:r w:rsidRPr="00E26506">
        <w:t>mong those who reported using new and emerging technologies</w:t>
      </w:r>
      <w:r>
        <w:t>,</w:t>
      </w:r>
      <w:r w:rsidRPr="00E26506">
        <w:t xml:space="preserve"> the most common type of emerging technology used </w:t>
      </w:r>
      <w:r>
        <w:t xml:space="preserve">was </w:t>
      </w:r>
      <w:r w:rsidRPr="00071F81">
        <w:t>software applications</w:t>
      </w:r>
      <w:r>
        <w:t>,</w:t>
      </w:r>
      <w:r w:rsidRPr="00071F81">
        <w:t xml:space="preserve"> or apps</w:t>
      </w:r>
      <w:r>
        <w:t>,</w:t>
      </w:r>
      <w:r w:rsidRPr="00071F81">
        <w:t xml:space="preserve"> with over 80% of the Transitioned ADF (83.0%) and 2015 Regular ADF (85.4%) using them </w:t>
      </w:r>
      <w:r w:rsidRPr="00071F81">
        <w:rPr>
          <w:lang w:eastAsia="en-AU"/>
        </w:rPr>
        <w:t>(</w:t>
      </w:r>
      <w:r w:rsidRPr="00071F81">
        <w:t xml:space="preserve">Table </w:t>
      </w:r>
      <w:r>
        <w:t>5.2</w:t>
      </w:r>
      <w:r w:rsidRPr="00071F81">
        <w:rPr>
          <w:lang w:eastAsia="en-AU"/>
        </w:rPr>
        <w:t xml:space="preserve"> </w:t>
      </w:r>
      <w:r w:rsidRPr="00071F81">
        <w:t xml:space="preserve">and </w:t>
      </w:r>
      <w:r>
        <w:t xml:space="preserve">Figure </w:t>
      </w:r>
      <w:r>
        <w:rPr>
          <w:noProof/>
        </w:rPr>
        <w:t>5.2</w:t>
      </w:r>
      <w:r w:rsidRPr="00071F81">
        <w:t>). A</w:t>
      </w:r>
      <w:r>
        <w:t xml:space="preserve">pproximately a third of the Transitioned ADF (28.7%) and 2015 Regular ADF (33.0%) reported using wearable technology (e.g. a commercially available wrist-based tracker), while just under 10% of </w:t>
      </w:r>
      <w:r w:rsidRPr="00E26506">
        <w:t xml:space="preserve">Transitioned ADF </w:t>
      </w:r>
      <w:r>
        <w:t>(6.9%) and just over 10% of the</w:t>
      </w:r>
      <w:r w:rsidRPr="00E26506">
        <w:t xml:space="preserve"> 2015 Regular ADF</w:t>
      </w:r>
      <w:r>
        <w:t xml:space="preserve"> (11.7%)</w:t>
      </w:r>
      <w:r w:rsidRPr="00E26506">
        <w:t xml:space="preserve"> </w:t>
      </w:r>
      <w:r>
        <w:t xml:space="preserve">wore a Smartwatch. </w:t>
      </w:r>
      <w:r>
        <w:rPr>
          <w:lang w:eastAsia="en-AU"/>
        </w:rPr>
        <w:t>The</w:t>
      </w:r>
      <w:r w:rsidRPr="00E26506">
        <w:rPr>
          <w:lang w:eastAsia="en-AU"/>
        </w:rPr>
        <w:t xml:space="preserve"> Transitioned ADF were significantly less likely to use a </w:t>
      </w:r>
      <w:r>
        <w:rPr>
          <w:lang w:eastAsia="en-AU"/>
        </w:rPr>
        <w:t>S</w:t>
      </w:r>
      <w:r w:rsidRPr="00E26506">
        <w:rPr>
          <w:lang w:eastAsia="en-AU"/>
        </w:rPr>
        <w:t>martwatch than 2015 Regular ADF (OR 0.5, 95% CI 0.3,</w:t>
      </w:r>
      <w:r>
        <w:rPr>
          <w:lang w:eastAsia="en-AU"/>
        </w:rPr>
        <w:t xml:space="preserve"> </w:t>
      </w:r>
      <w:r w:rsidRPr="00E26506">
        <w:rPr>
          <w:lang w:eastAsia="en-AU"/>
        </w:rPr>
        <w:t>0.9). T</w:t>
      </w:r>
      <w:r>
        <w:rPr>
          <w:lang w:eastAsia="en-AU"/>
        </w:rPr>
        <w:t>his was a moderate association.</w:t>
      </w:r>
    </w:p>
    <w:p w14:paraId="5C37E7C8" w14:textId="77777777" w:rsidR="00783F0D" w:rsidRDefault="00783F0D" w:rsidP="00783F0D">
      <w:pPr>
        <w:pStyle w:val="TableName"/>
      </w:pPr>
      <w:bookmarkStart w:id="496" w:name="_Ref517352010"/>
      <w:bookmarkStart w:id="497" w:name="_Toc509922872"/>
      <w:bookmarkStart w:id="498" w:name="_Toc515374647"/>
      <w:bookmarkStart w:id="499" w:name="_Toc528932323"/>
      <w:bookmarkStart w:id="500" w:name="_Toc531858002"/>
      <w:r w:rsidRPr="00071F81">
        <w:t xml:space="preserve">Table </w:t>
      </w:r>
      <w:r>
        <w:rPr>
          <w:noProof/>
        </w:rPr>
        <w:t>5</w:t>
      </w:r>
      <w:r>
        <w:t>.</w:t>
      </w:r>
      <w:r>
        <w:rPr>
          <w:noProof/>
        </w:rPr>
        <w:t>2</w:t>
      </w:r>
      <w:bookmarkEnd w:id="496"/>
      <w:r w:rsidRPr="00071F81">
        <w:tab/>
        <w:t>Types of technologies used by Transitioned ADF and 2015 Regular ADF who report</w:t>
      </w:r>
      <w:r>
        <w:t>ed</w:t>
      </w:r>
      <w:r w:rsidRPr="00071F81">
        <w:t xml:space="preserve"> that they use</w:t>
      </w:r>
      <w:r>
        <w:t>d</w:t>
      </w:r>
      <w:r w:rsidRPr="00071F81">
        <w:t xml:space="preserve"> new and emerging technologies</w:t>
      </w:r>
      <w:bookmarkEnd w:id="497"/>
      <w:bookmarkEnd w:id="498"/>
      <w:bookmarkEnd w:id="499"/>
      <w:bookmarkEnd w:id="500"/>
    </w:p>
    <w:tbl>
      <w:tblPr>
        <w:tblStyle w:val="TWRPTable"/>
        <w:tblW w:w="5000" w:type="pct"/>
        <w:tblLayout w:type="fixed"/>
        <w:tblLook w:val="0000" w:firstRow="0" w:lastRow="0" w:firstColumn="0" w:lastColumn="0" w:noHBand="0" w:noVBand="0"/>
        <w:tblDescription w:val="Table 5.2 Types of technologies used by Transitioned ADF and 2015 Regular ADF who reported that they used new and emerging technologies"/>
      </w:tblPr>
      <w:tblGrid>
        <w:gridCol w:w="2100"/>
        <w:gridCol w:w="528"/>
        <w:gridCol w:w="874"/>
        <w:gridCol w:w="1092"/>
        <w:gridCol w:w="568"/>
        <w:gridCol w:w="874"/>
        <w:gridCol w:w="1053"/>
      </w:tblGrid>
      <w:tr w:rsidR="00783F0D" w:rsidRPr="00663550" w14:paraId="6E6D9623" w14:textId="77777777" w:rsidTr="007D2109">
        <w:trPr>
          <w:cantSplit/>
          <w:tblHeader/>
        </w:trPr>
        <w:tc>
          <w:tcPr>
            <w:tcW w:w="2178" w:type="dxa"/>
            <w:tcBorders>
              <w:top w:val="single" w:sz="4" w:space="0" w:color="000000"/>
              <w:bottom w:val="nil"/>
            </w:tcBorders>
          </w:tcPr>
          <w:p w14:paraId="67C3D4CC" w14:textId="77777777" w:rsidR="00783F0D" w:rsidRPr="00284570" w:rsidRDefault="00783F0D" w:rsidP="00EB155C">
            <w:pPr>
              <w:pStyle w:val="TableText"/>
              <w:rPr>
                <w:b/>
              </w:rPr>
            </w:pPr>
          </w:p>
        </w:tc>
        <w:tc>
          <w:tcPr>
            <w:tcW w:w="2568" w:type="dxa"/>
            <w:gridSpan w:val="3"/>
            <w:tcBorders>
              <w:top w:val="single" w:sz="4" w:space="0" w:color="000000"/>
              <w:bottom w:val="single" w:sz="4" w:space="0" w:color="000000"/>
            </w:tcBorders>
          </w:tcPr>
          <w:p w14:paraId="5EC77A96" w14:textId="77777777" w:rsidR="00783F0D" w:rsidRPr="00284570" w:rsidRDefault="00783F0D" w:rsidP="002E3D99">
            <w:pPr>
              <w:pStyle w:val="TableText"/>
              <w:jc w:val="center"/>
              <w:rPr>
                <w:b/>
              </w:rPr>
            </w:pPr>
            <w:r w:rsidRPr="00284570">
              <w:rPr>
                <w:b/>
              </w:rPr>
              <w:t>Transitioned ADF</w:t>
            </w:r>
            <w:r w:rsidR="002E3D99">
              <w:rPr>
                <w:b/>
              </w:rPr>
              <w:br/>
            </w:r>
            <w:r w:rsidRPr="00284570">
              <w:rPr>
                <w:b/>
              </w:rPr>
              <w:t>n=12,145</w:t>
            </w:r>
          </w:p>
        </w:tc>
        <w:tc>
          <w:tcPr>
            <w:tcW w:w="2569" w:type="dxa"/>
            <w:gridSpan w:val="3"/>
            <w:tcBorders>
              <w:top w:val="single" w:sz="4" w:space="0" w:color="000000"/>
              <w:bottom w:val="single" w:sz="4" w:space="0" w:color="000000"/>
            </w:tcBorders>
          </w:tcPr>
          <w:p w14:paraId="25B6BC96" w14:textId="77777777" w:rsidR="00783F0D" w:rsidRPr="00284570" w:rsidRDefault="00783F0D" w:rsidP="002E3D99">
            <w:pPr>
              <w:pStyle w:val="TableText"/>
              <w:jc w:val="center"/>
              <w:rPr>
                <w:b/>
              </w:rPr>
            </w:pPr>
            <w:r w:rsidRPr="00284570">
              <w:rPr>
                <w:b/>
              </w:rPr>
              <w:t>2015 Regular ADF</w:t>
            </w:r>
            <w:r w:rsidR="002E3D99">
              <w:rPr>
                <w:b/>
              </w:rPr>
              <w:br/>
            </w:r>
            <w:r w:rsidRPr="00284570">
              <w:rPr>
                <w:b/>
              </w:rPr>
              <w:t>n=26,480</w:t>
            </w:r>
          </w:p>
        </w:tc>
      </w:tr>
      <w:tr w:rsidR="00783F0D" w:rsidRPr="00AF016D" w14:paraId="36070098" w14:textId="77777777" w:rsidTr="007D2109">
        <w:trPr>
          <w:cantSplit/>
          <w:tblHeader/>
        </w:trPr>
        <w:tc>
          <w:tcPr>
            <w:tcW w:w="2178" w:type="dxa"/>
            <w:tcBorders>
              <w:top w:val="nil"/>
              <w:bottom w:val="single" w:sz="4" w:space="0" w:color="000000"/>
            </w:tcBorders>
          </w:tcPr>
          <w:p w14:paraId="7D25C023" w14:textId="77777777" w:rsidR="00783F0D" w:rsidRPr="00284570" w:rsidRDefault="00783F0D" w:rsidP="00EB155C">
            <w:pPr>
              <w:pStyle w:val="TableText"/>
              <w:rPr>
                <w:b/>
              </w:rPr>
            </w:pPr>
            <w:r w:rsidRPr="00284570">
              <w:rPr>
                <w:b/>
              </w:rPr>
              <w:t xml:space="preserve">Current </w:t>
            </w:r>
            <w:r>
              <w:rPr>
                <w:b/>
              </w:rPr>
              <w:t>t</w:t>
            </w:r>
            <w:r w:rsidRPr="00284570">
              <w:rPr>
                <w:b/>
              </w:rPr>
              <w:t xml:space="preserve">ypes </w:t>
            </w:r>
            <w:r>
              <w:rPr>
                <w:b/>
              </w:rPr>
              <w:t>u</w:t>
            </w:r>
            <w:r w:rsidRPr="00284570">
              <w:rPr>
                <w:b/>
              </w:rPr>
              <w:t>sed</w:t>
            </w:r>
          </w:p>
        </w:tc>
        <w:tc>
          <w:tcPr>
            <w:tcW w:w="540" w:type="dxa"/>
            <w:tcBorders>
              <w:top w:val="single" w:sz="4" w:space="0" w:color="000000"/>
              <w:bottom w:val="single" w:sz="4" w:space="0" w:color="000000"/>
            </w:tcBorders>
          </w:tcPr>
          <w:p w14:paraId="2C48EFA2" w14:textId="77777777" w:rsidR="00783F0D" w:rsidRPr="00284570" w:rsidRDefault="00783F0D" w:rsidP="00EB155C">
            <w:pPr>
              <w:pStyle w:val="TableText"/>
              <w:jc w:val="right"/>
              <w:rPr>
                <w:b/>
              </w:rPr>
            </w:pPr>
            <w:r w:rsidRPr="00284570">
              <w:rPr>
                <w:b/>
              </w:rPr>
              <w:t>n</w:t>
            </w:r>
          </w:p>
        </w:tc>
        <w:tc>
          <w:tcPr>
            <w:tcW w:w="900" w:type="dxa"/>
            <w:tcBorders>
              <w:top w:val="single" w:sz="4" w:space="0" w:color="000000"/>
              <w:bottom w:val="single" w:sz="4" w:space="0" w:color="000000"/>
            </w:tcBorders>
          </w:tcPr>
          <w:p w14:paraId="051DE981" w14:textId="77777777" w:rsidR="00783F0D" w:rsidRPr="00284570" w:rsidRDefault="00783F0D" w:rsidP="00EB155C">
            <w:pPr>
              <w:pStyle w:val="TableText"/>
              <w:jc w:val="right"/>
              <w:rPr>
                <w:b/>
              </w:rPr>
            </w:pPr>
            <w:r w:rsidRPr="00284570">
              <w:rPr>
                <w:b/>
              </w:rPr>
              <w:t>Weighted n</w:t>
            </w:r>
          </w:p>
        </w:tc>
        <w:tc>
          <w:tcPr>
            <w:tcW w:w="1128" w:type="dxa"/>
            <w:tcBorders>
              <w:top w:val="single" w:sz="4" w:space="0" w:color="000000"/>
              <w:bottom w:val="single" w:sz="4" w:space="0" w:color="000000"/>
            </w:tcBorders>
          </w:tcPr>
          <w:p w14:paraId="6793B08F" w14:textId="77777777" w:rsidR="00783F0D" w:rsidRPr="00284570" w:rsidRDefault="00783F0D" w:rsidP="00EB155C">
            <w:pPr>
              <w:pStyle w:val="TableText"/>
              <w:jc w:val="right"/>
              <w:rPr>
                <w:b/>
              </w:rPr>
            </w:pPr>
            <w:r w:rsidRPr="00284570">
              <w:rPr>
                <w:b/>
              </w:rPr>
              <w:t>% (95%CI)</w:t>
            </w:r>
          </w:p>
        </w:tc>
        <w:tc>
          <w:tcPr>
            <w:tcW w:w="582" w:type="dxa"/>
            <w:tcBorders>
              <w:top w:val="single" w:sz="4" w:space="0" w:color="000000"/>
              <w:bottom w:val="single" w:sz="4" w:space="0" w:color="000000"/>
            </w:tcBorders>
          </w:tcPr>
          <w:p w14:paraId="27E94EB8" w14:textId="77777777" w:rsidR="00783F0D" w:rsidRPr="00284570" w:rsidRDefault="00783F0D" w:rsidP="00EB155C">
            <w:pPr>
              <w:pStyle w:val="TableText"/>
              <w:jc w:val="right"/>
              <w:rPr>
                <w:b/>
              </w:rPr>
            </w:pPr>
            <w:r w:rsidRPr="00284570">
              <w:rPr>
                <w:b/>
              </w:rPr>
              <w:t>n</w:t>
            </w:r>
          </w:p>
        </w:tc>
        <w:tc>
          <w:tcPr>
            <w:tcW w:w="900" w:type="dxa"/>
            <w:tcBorders>
              <w:top w:val="single" w:sz="4" w:space="0" w:color="000000"/>
              <w:bottom w:val="single" w:sz="4" w:space="0" w:color="000000"/>
            </w:tcBorders>
          </w:tcPr>
          <w:p w14:paraId="3C7DAA7B" w14:textId="77777777" w:rsidR="00783F0D" w:rsidRPr="00284570" w:rsidRDefault="00783F0D" w:rsidP="00EB155C">
            <w:pPr>
              <w:pStyle w:val="TableText"/>
              <w:jc w:val="right"/>
              <w:rPr>
                <w:b/>
              </w:rPr>
            </w:pPr>
            <w:r w:rsidRPr="00284570">
              <w:rPr>
                <w:b/>
              </w:rPr>
              <w:t>Weighted n</w:t>
            </w:r>
          </w:p>
        </w:tc>
        <w:tc>
          <w:tcPr>
            <w:tcW w:w="1087" w:type="dxa"/>
            <w:tcBorders>
              <w:top w:val="single" w:sz="4" w:space="0" w:color="000000"/>
              <w:bottom w:val="single" w:sz="4" w:space="0" w:color="000000"/>
            </w:tcBorders>
          </w:tcPr>
          <w:p w14:paraId="3C020F05" w14:textId="77777777" w:rsidR="00783F0D" w:rsidRPr="00284570" w:rsidRDefault="00783F0D" w:rsidP="00EB155C">
            <w:pPr>
              <w:pStyle w:val="TableText"/>
              <w:jc w:val="right"/>
              <w:rPr>
                <w:b/>
              </w:rPr>
            </w:pPr>
            <w:r w:rsidRPr="00284570">
              <w:rPr>
                <w:b/>
              </w:rPr>
              <w:t>% (95%CI)</w:t>
            </w:r>
          </w:p>
        </w:tc>
      </w:tr>
      <w:tr w:rsidR="00783F0D" w:rsidRPr="007807D1" w14:paraId="4722F4A1"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2178" w:type="dxa"/>
            <w:tcBorders>
              <w:top w:val="single" w:sz="4" w:space="0" w:color="000000"/>
            </w:tcBorders>
          </w:tcPr>
          <w:p w14:paraId="45AE8F86" w14:textId="77777777" w:rsidR="00783F0D" w:rsidRPr="007807D1" w:rsidRDefault="00783F0D" w:rsidP="00EB155C">
            <w:pPr>
              <w:pStyle w:val="TableText"/>
            </w:pPr>
            <w:r w:rsidRPr="007807D1">
              <w:t>Smartwatch</w:t>
            </w:r>
          </w:p>
        </w:tc>
        <w:tc>
          <w:tcPr>
            <w:tcW w:w="540" w:type="dxa"/>
            <w:tcBorders>
              <w:top w:val="single" w:sz="4" w:space="0" w:color="000000"/>
            </w:tcBorders>
          </w:tcPr>
          <w:p w14:paraId="54C4EC62" w14:textId="77777777" w:rsidR="00783F0D" w:rsidRPr="007807D1" w:rsidRDefault="00783F0D" w:rsidP="00EB155C">
            <w:pPr>
              <w:pStyle w:val="TableText"/>
              <w:jc w:val="right"/>
              <w:rPr>
                <w:color w:val="000000" w:themeColor="text1"/>
              </w:rPr>
            </w:pPr>
            <w:r w:rsidRPr="007807D1">
              <w:t>133</w:t>
            </w:r>
          </w:p>
        </w:tc>
        <w:tc>
          <w:tcPr>
            <w:tcW w:w="900" w:type="dxa"/>
            <w:tcBorders>
              <w:top w:val="single" w:sz="4" w:space="0" w:color="000000"/>
            </w:tcBorders>
          </w:tcPr>
          <w:p w14:paraId="21AD4A3D" w14:textId="77777777" w:rsidR="00783F0D" w:rsidRPr="007807D1" w:rsidRDefault="00783F0D" w:rsidP="00EB155C">
            <w:pPr>
              <w:pStyle w:val="TableText"/>
              <w:jc w:val="right"/>
              <w:rPr>
                <w:color w:val="000000" w:themeColor="text1"/>
              </w:rPr>
            </w:pPr>
            <w:r w:rsidRPr="007807D1">
              <w:t>837</w:t>
            </w:r>
          </w:p>
        </w:tc>
        <w:tc>
          <w:tcPr>
            <w:tcW w:w="1128" w:type="dxa"/>
            <w:tcBorders>
              <w:top w:val="single" w:sz="4" w:space="0" w:color="000000"/>
            </w:tcBorders>
          </w:tcPr>
          <w:p w14:paraId="1005C973" w14:textId="77777777" w:rsidR="00783F0D" w:rsidRPr="007807D1" w:rsidRDefault="00783F0D" w:rsidP="00EB155C">
            <w:pPr>
              <w:pStyle w:val="TableText"/>
              <w:jc w:val="right"/>
              <w:rPr>
                <w:color w:val="000000" w:themeColor="text1"/>
              </w:rPr>
            </w:pPr>
            <w:r w:rsidRPr="007807D1">
              <w:t>6.9 (5.6,</w:t>
            </w:r>
            <w:r>
              <w:t xml:space="preserve"> </w:t>
            </w:r>
            <w:r w:rsidRPr="007807D1">
              <w:t>8.4)</w:t>
            </w:r>
          </w:p>
        </w:tc>
        <w:tc>
          <w:tcPr>
            <w:tcW w:w="582" w:type="dxa"/>
            <w:tcBorders>
              <w:top w:val="single" w:sz="4" w:space="0" w:color="000000"/>
            </w:tcBorders>
          </w:tcPr>
          <w:p w14:paraId="490DF899" w14:textId="77777777" w:rsidR="00783F0D" w:rsidRPr="007807D1" w:rsidRDefault="00783F0D" w:rsidP="00EB155C">
            <w:pPr>
              <w:pStyle w:val="TableText"/>
              <w:jc w:val="right"/>
              <w:rPr>
                <w:color w:val="000000" w:themeColor="text1"/>
              </w:rPr>
            </w:pPr>
            <w:r w:rsidRPr="007807D1">
              <w:t>314</w:t>
            </w:r>
          </w:p>
        </w:tc>
        <w:tc>
          <w:tcPr>
            <w:tcW w:w="900" w:type="dxa"/>
            <w:tcBorders>
              <w:top w:val="single" w:sz="4" w:space="0" w:color="000000"/>
            </w:tcBorders>
          </w:tcPr>
          <w:p w14:paraId="3806EBC9" w14:textId="77777777" w:rsidR="00783F0D" w:rsidRPr="007807D1" w:rsidRDefault="00783F0D" w:rsidP="00EB155C">
            <w:pPr>
              <w:pStyle w:val="TableText"/>
              <w:jc w:val="right"/>
              <w:rPr>
                <w:color w:val="000000" w:themeColor="text1"/>
              </w:rPr>
            </w:pPr>
            <w:r w:rsidRPr="007807D1">
              <w:t>3092</w:t>
            </w:r>
          </w:p>
        </w:tc>
        <w:tc>
          <w:tcPr>
            <w:tcW w:w="1087" w:type="dxa"/>
            <w:tcBorders>
              <w:top w:val="single" w:sz="4" w:space="0" w:color="000000"/>
            </w:tcBorders>
          </w:tcPr>
          <w:p w14:paraId="7C904E90" w14:textId="77777777" w:rsidR="00783F0D" w:rsidRPr="007807D1" w:rsidRDefault="00783F0D" w:rsidP="00EB155C">
            <w:pPr>
              <w:pStyle w:val="TableText"/>
              <w:jc w:val="right"/>
              <w:rPr>
                <w:color w:val="000000" w:themeColor="text1"/>
              </w:rPr>
            </w:pPr>
            <w:r w:rsidRPr="007807D1">
              <w:t>11.7 (8.0,</w:t>
            </w:r>
            <w:r>
              <w:t xml:space="preserve"> </w:t>
            </w:r>
            <w:r w:rsidRPr="007807D1">
              <w:t>16.8)</w:t>
            </w:r>
          </w:p>
        </w:tc>
      </w:tr>
      <w:tr w:rsidR="00783F0D" w:rsidRPr="007807D1" w14:paraId="13E04100" w14:textId="77777777" w:rsidTr="007D2109">
        <w:trPr>
          <w:cantSplit/>
        </w:trPr>
        <w:tc>
          <w:tcPr>
            <w:tcW w:w="2178" w:type="dxa"/>
          </w:tcPr>
          <w:p w14:paraId="230FAA51" w14:textId="77777777" w:rsidR="00783F0D" w:rsidRPr="007807D1" w:rsidRDefault="00783F0D" w:rsidP="00EB155C">
            <w:pPr>
              <w:pStyle w:val="TableText"/>
            </w:pPr>
            <w:r w:rsidRPr="007807D1">
              <w:t xml:space="preserve">Software applications or </w:t>
            </w:r>
            <w:r>
              <w:t>‘</w:t>
            </w:r>
            <w:r w:rsidRPr="007807D1">
              <w:t>apps</w:t>
            </w:r>
            <w:r>
              <w:t>’</w:t>
            </w:r>
          </w:p>
        </w:tc>
        <w:tc>
          <w:tcPr>
            <w:tcW w:w="540" w:type="dxa"/>
          </w:tcPr>
          <w:p w14:paraId="2B05B97F" w14:textId="77777777" w:rsidR="00783F0D" w:rsidRPr="007807D1" w:rsidRDefault="00783F0D" w:rsidP="00EB155C">
            <w:pPr>
              <w:pStyle w:val="TableText"/>
              <w:jc w:val="right"/>
              <w:rPr>
                <w:color w:val="000000" w:themeColor="text1"/>
              </w:rPr>
            </w:pPr>
            <w:r w:rsidRPr="007807D1">
              <w:t>1456</w:t>
            </w:r>
          </w:p>
        </w:tc>
        <w:tc>
          <w:tcPr>
            <w:tcW w:w="900" w:type="dxa"/>
          </w:tcPr>
          <w:p w14:paraId="15AA0F56" w14:textId="77777777" w:rsidR="00783F0D" w:rsidRPr="007807D1" w:rsidRDefault="00783F0D" w:rsidP="00EB155C">
            <w:pPr>
              <w:pStyle w:val="TableText"/>
              <w:jc w:val="right"/>
              <w:rPr>
                <w:color w:val="000000" w:themeColor="text1"/>
              </w:rPr>
            </w:pPr>
            <w:r w:rsidRPr="007807D1">
              <w:t>10</w:t>
            </w:r>
            <w:r>
              <w:t>,</w:t>
            </w:r>
            <w:r w:rsidRPr="007807D1">
              <w:t>081</w:t>
            </w:r>
          </w:p>
        </w:tc>
        <w:tc>
          <w:tcPr>
            <w:tcW w:w="1128" w:type="dxa"/>
          </w:tcPr>
          <w:p w14:paraId="381B13AF" w14:textId="77777777" w:rsidR="00783F0D" w:rsidRPr="007807D1" w:rsidRDefault="00783F0D" w:rsidP="00EB155C">
            <w:pPr>
              <w:pStyle w:val="TableText"/>
              <w:jc w:val="right"/>
              <w:rPr>
                <w:color w:val="000000" w:themeColor="text1"/>
              </w:rPr>
            </w:pPr>
            <w:r w:rsidRPr="007807D1">
              <w:t>83.0 (80.6,</w:t>
            </w:r>
            <w:r>
              <w:t xml:space="preserve"> </w:t>
            </w:r>
            <w:r w:rsidRPr="007807D1">
              <w:t>85.2)</w:t>
            </w:r>
          </w:p>
        </w:tc>
        <w:tc>
          <w:tcPr>
            <w:tcW w:w="582" w:type="dxa"/>
          </w:tcPr>
          <w:p w14:paraId="01CEF852" w14:textId="77777777" w:rsidR="00783F0D" w:rsidRPr="007807D1" w:rsidRDefault="00783F0D" w:rsidP="00EB155C">
            <w:pPr>
              <w:pStyle w:val="TableText"/>
              <w:jc w:val="right"/>
              <w:rPr>
                <w:color w:val="000000" w:themeColor="text1"/>
              </w:rPr>
            </w:pPr>
            <w:r w:rsidRPr="007807D1">
              <w:t>3337</w:t>
            </w:r>
          </w:p>
        </w:tc>
        <w:tc>
          <w:tcPr>
            <w:tcW w:w="900" w:type="dxa"/>
          </w:tcPr>
          <w:p w14:paraId="7C1909CC" w14:textId="77777777" w:rsidR="00783F0D" w:rsidRPr="007807D1" w:rsidRDefault="00783F0D" w:rsidP="00EB155C">
            <w:pPr>
              <w:pStyle w:val="TableText"/>
              <w:jc w:val="right"/>
              <w:rPr>
                <w:color w:val="000000" w:themeColor="text1"/>
              </w:rPr>
            </w:pPr>
            <w:r w:rsidRPr="007807D1">
              <w:t>22</w:t>
            </w:r>
            <w:r>
              <w:t>,</w:t>
            </w:r>
            <w:r w:rsidRPr="007807D1">
              <w:t>618</w:t>
            </w:r>
          </w:p>
        </w:tc>
        <w:tc>
          <w:tcPr>
            <w:tcW w:w="1087" w:type="dxa"/>
          </w:tcPr>
          <w:p w14:paraId="6799D729" w14:textId="77777777" w:rsidR="00783F0D" w:rsidRPr="007807D1" w:rsidRDefault="00783F0D" w:rsidP="00EB155C">
            <w:pPr>
              <w:pStyle w:val="TableText"/>
              <w:jc w:val="right"/>
              <w:rPr>
                <w:color w:val="000000" w:themeColor="text1"/>
              </w:rPr>
            </w:pPr>
            <w:r w:rsidRPr="007807D1">
              <w:t>85.4 (81.7,</w:t>
            </w:r>
            <w:r>
              <w:t xml:space="preserve"> </w:t>
            </w:r>
            <w:r w:rsidRPr="007807D1">
              <w:t>88.5)</w:t>
            </w:r>
          </w:p>
        </w:tc>
      </w:tr>
      <w:tr w:rsidR="00783F0D" w:rsidRPr="00AF016D" w14:paraId="1833F1B9" w14:textId="77777777" w:rsidTr="007D2109">
        <w:trPr>
          <w:cnfStyle w:val="000000100000" w:firstRow="0" w:lastRow="0" w:firstColumn="0" w:lastColumn="0" w:oddVBand="0" w:evenVBand="0" w:oddHBand="1" w:evenHBand="0" w:firstRowFirstColumn="0" w:firstRowLastColumn="0" w:lastRowFirstColumn="0" w:lastRowLastColumn="0"/>
          <w:cantSplit/>
        </w:trPr>
        <w:tc>
          <w:tcPr>
            <w:tcW w:w="2178" w:type="dxa"/>
          </w:tcPr>
          <w:p w14:paraId="1D2A4F34" w14:textId="77777777" w:rsidR="00783F0D" w:rsidRPr="007807D1" w:rsidRDefault="00783F0D" w:rsidP="00EB155C">
            <w:pPr>
              <w:pStyle w:val="TableText"/>
            </w:pPr>
            <w:r w:rsidRPr="007807D1">
              <w:t>Wearable technology (</w:t>
            </w:r>
            <w:r>
              <w:t>e.g. wrist-based tracker)</w:t>
            </w:r>
          </w:p>
        </w:tc>
        <w:tc>
          <w:tcPr>
            <w:tcW w:w="540" w:type="dxa"/>
          </w:tcPr>
          <w:p w14:paraId="7B2D4C30" w14:textId="77777777" w:rsidR="00783F0D" w:rsidRPr="007807D1" w:rsidRDefault="00783F0D" w:rsidP="00EB155C">
            <w:pPr>
              <w:pStyle w:val="TableText"/>
              <w:jc w:val="right"/>
              <w:rPr>
                <w:color w:val="000000" w:themeColor="text1"/>
              </w:rPr>
            </w:pPr>
            <w:r w:rsidRPr="007807D1">
              <w:t>538</w:t>
            </w:r>
          </w:p>
        </w:tc>
        <w:tc>
          <w:tcPr>
            <w:tcW w:w="900" w:type="dxa"/>
          </w:tcPr>
          <w:p w14:paraId="13D0C686" w14:textId="77777777" w:rsidR="00783F0D" w:rsidRPr="007807D1" w:rsidRDefault="00783F0D" w:rsidP="00EB155C">
            <w:pPr>
              <w:pStyle w:val="TableText"/>
              <w:jc w:val="right"/>
              <w:rPr>
                <w:color w:val="000000" w:themeColor="text1"/>
              </w:rPr>
            </w:pPr>
            <w:r w:rsidRPr="007807D1">
              <w:t>3485</w:t>
            </w:r>
          </w:p>
        </w:tc>
        <w:tc>
          <w:tcPr>
            <w:tcW w:w="1128" w:type="dxa"/>
          </w:tcPr>
          <w:p w14:paraId="4B5CCA89" w14:textId="77777777" w:rsidR="00783F0D" w:rsidRPr="007807D1" w:rsidRDefault="00783F0D" w:rsidP="00EB155C">
            <w:pPr>
              <w:pStyle w:val="TableText"/>
              <w:jc w:val="right"/>
              <w:rPr>
                <w:color w:val="000000" w:themeColor="text1"/>
              </w:rPr>
            </w:pPr>
            <w:r w:rsidRPr="007807D1">
              <w:t>28.7 (26.2,</w:t>
            </w:r>
            <w:r>
              <w:t xml:space="preserve"> </w:t>
            </w:r>
            <w:r w:rsidRPr="007807D1">
              <w:t>31.4)</w:t>
            </w:r>
          </w:p>
        </w:tc>
        <w:tc>
          <w:tcPr>
            <w:tcW w:w="582" w:type="dxa"/>
          </w:tcPr>
          <w:p w14:paraId="41D2CB07" w14:textId="77777777" w:rsidR="00783F0D" w:rsidRPr="007807D1" w:rsidRDefault="00783F0D" w:rsidP="00EB155C">
            <w:pPr>
              <w:pStyle w:val="TableText"/>
              <w:jc w:val="right"/>
              <w:rPr>
                <w:color w:val="000000" w:themeColor="text1"/>
              </w:rPr>
            </w:pPr>
            <w:r w:rsidRPr="007807D1">
              <w:t>1413</w:t>
            </w:r>
          </w:p>
        </w:tc>
        <w:tc>
          <w:tcPr>
            <w:tcW w:w="900" w:type="dxa"/>
          </w:tcPr>
          <w:p w14:paraId="4EC39C8A" w14:textId="77777777" w:rsidR="00783F0D" w:rsidRPr="007807D1" w:rsidRDefault="00783F0D" w:rsidP="00EB155C">
            <w:pPr>
              <w:pStyle w:val="TableText"/>
              <w:jc w:val="right"/>
              <w:rPr>
                <w:color w:val="000000" w:themeColor="text1"/>
              </w:rPr>
            </w:pPr>
            <w:r w:rsidRPr="007807D1">
              <w:t>8730</w:t>
            </w:r>
          </w:p>
        </w:tc>
        <w:tc>
          <w:tcPr>
            <w:tcW w:w="1087" w:type="dxa"/>
          </w:tcPr>
          <w:p w14:paraId="41594189" w14:textId="77777777" w:rsidR="00783F0D" w:rsidRPr="001A4AF2" w:rsidRDefault="00783F0D" w:rsidP="00EB155C">
            <w:pPr>
              <w:pStyle w:val="TableText"/>
              <w:jc w:val="right"/>
              <w:rPr>
                <w:color w:val="000000" w:themeColor="text1"/>
              </w:rPr>
            </w:pPr>
            <w:r w:rsidRPr="007807D1">
              <w:t>33.0 (28.2,</w:t>
            </w:r>
            <w:r>
              <w:t xml:space="preserve"> </w:t>
            </w:r>
            <w:r w:rsidRPr="007807D1">
              <w:t>38.1)</w:t>
            </w:r>
          </w:p>
        </w:tc>
      </w:tr>
      <w:tr w:rsidR="00783F0D" w:rsidRPr="00AF016D" w14:paraId="0F65FF2E" w14:textId="77777777" w:rsidTr="007D2109">
        <w:trPr>
          <w:cantSplit/>
        </w:trPr>
        <w:tc>
          <w:tcPr>
            <w:tcW w:w="2178" w:type="dxa"/>
          </w:tcPr>
          <w:p w14:paraId="1BCD0E97" w14:textId="0FC7DF5B" w:rsidR="00783F0D" w:rsidRPr="002F7080" w:rsidRDefault="00040E45" w:rsidP="00EB155C">
            <w:pPr>
              <w:pStyle w:val="TableText"/>
            </w:pPr>
            <w:r>
              <w:t>Other (please specify)</w:t>
            </w:r>
          </w:p>
        </w:tc>
        <w:tc>
          <w:tcPr>
            <w:tcW w:w="540" w:type="dxa"/>
          </w:tcPr>
          <w:p w14:paraId="24B57C2B" w14:textId="77777777" w:rsidR="00783F0D" w:rsidRPr="002F7080" w:rsidRDefault="00783F0D" w:rsidP="00EB155C">
            <w:pPr>
              <w:pStyle w:val="TableText"/>
              <w:jc w:val="right"/>
              <w:rPr>
                <w:color w:val="000000" w:themeColor="text1"/>
              </w:rPr>
            </w:pPr>
            <w:r w:rsidRPr="002F7080">
              <w:t>96</w:t>
            </w:r>
          </w:p>
        </w:tc>
        <w:tc>
          <w:tcPr>
            <w:tcW w:w="900" w:type="dxa"/>
          </w:tcPr>
          <w:p w14:paraId="616931C5" w14:textId="77777777" w:rsidR="00783F0D" w:rsidRPr="002F7080" w:rsidRDefault="00783F0D" w:rsidP="00EB155C">
            <w:pPr>
              <w:pStyle w:val="TableText"/>
              <w:jc w:val="right"/>
              <w:rPr>
                <w:color w:val="000000" w:themeColor="text1"/>
              </w:rPr>
            </w:pPr>
            <w:r w:rsidRPr="002F7080">
              <w:t>717</w:t>
            </w:r>
          </w:p>
        </w:tc>
        <w:tc>
          <w:tcPr>
            <w:tcW w:w="1128" w:type="dxa"/>
          </w:tcPr>
          <w:p w14:paraId="1BA73C98" w14:textId="77777777" w:rsidR="00783F0D" w:rsidRPr="002F7080" w:rsidRDefault="00783F0D" w:rsidP="00EB155C">
            <w:pPr>
              <w:pStyle w:val="TableText"/>
              <w:jc w:val="right"/>
              <w:rPr>
                <w:color w:val="000000" w:themeColor="text1"/>
              </w:rPr>
            </w:pPr>
            <w:r w:rsidRPr="002F7080">
              <w:t>5.9 (4.6, 7.6)</w:t>
            </w:r>
          </w:p>
        </w:tc>
        <w:tc>
          <w:tcPr>
            <w:tcW w:w="582" w:type="dxa"/>
          </w:tcPr>
          <w:p w14:paraId="79CC4784" w14:textId="77777777" w:rsidR="00783F0D" w:rsidRPr="002F7080" w:rsidRDefault="00783F0D" w:rsidP="00EB155C">
            <w:pPr>
              <w:pStyle w:val="TableText"/>
              <w:jc w:val="right"/>
              <w:rPr>
                <w:color w:val="000000" w:themeColor="text1"/>
              </w:rPr>
            </w:pPr>
            <w:r w:rsidRPr="002F7080">
              <w:t>179</w:t>
            </w:r>
          </w:p>
        </w:tc>
        <w:tc>
          <w:tcPr>
            <w:tcW w:w="900" w:type="dxa"/>
          </w:tcPr>
          <w:p w14:paraId="2CE08AEA" w14:textId="77777777" w:rsidR="00783F0D" w:rsidRPr="002F7080" w:rsidRDefault="00783F0D" w:rsidP="00EB155C">
            <w:pPr>
              <w:pStyle w:val="TableText"/>
              <w:jc w:val="right"/>
              <w:rPr>
                <w:color w:val="000000" w:themeColor="text1"/>
              </w:rPr>
            </w:pPr>
            <w:r w:rsidRPr="002F7080">
              <w:t>1159</w:t>
            </w:r>
          </w:p>
        </w:tc>
        <w:tc>
          <w:tcPr>
            <w:tcW w:w="1087" w:type="dxa"/>
          </w:tcPr>
          <w:p w14:paraId="3D3E0581" w14:textId="77777777" w:rsidR="00783F0D" w:rsidRPr="001A4AF2" w:rsidRDefault="00783F0D" w:rsidP="00EB155C">
            <w:pPr>
              <w:pStyle w:val="TableText"/>
              <w:jc w:val="right"/>
              <w:rPr>
                <w:color w:val="000000" w:themeColor="text1"/>
              </w:rPr>
            </w:pPr>
            <w:r w:rsidRPr="002F7080">
              <w:t>4.4 (2.9, 6.6)</w:t>
            </w:r>
          </w:p>
        </w:tc>
      </w:tr>
    </w:tbl>
    <w:p w14:paraId="56FB4EF7" w14:textId="77777777" w:rsidR="00783F0D" w:rsidRPr="006A3EA0" w:rsidRDefault="00783F0D" w:rsidP="00783F0D">
      <w:pPr>
        <w:pStyle w:val="TableNotes"/>
      </w:pPr>
      <w:bookmarkStart w:id="501" w:name="_Ref482701358"/>
      <w:r w:rsidRPr="006A3EA0">
        <w:t>Notes</w:t>
      </w:r>
    </w:p>
    <w:p w14:paraId="02114FF9" w14:textId="77777777" w:rsidR="00783F0D" w:rsidRDefault="00783F0D" w:rsidP="00783F0D">
      <w:pPr>
        <w:pStyle w:val="TableNotes"/>
      </w:pPr>
      <w:r w:rsidRPr="00F403FE">
        <w:t>Denominator: Those</w:t>
      </w:r>
      <w:r>
        <w:t xml:space="preserve"> who use emerging technologies.</w:t>
      </w:r>
    </w:p>
    <w:p w14:paraId="6D35A8B2" w14:textId="77777777" w:rsidR="00783F0D" w:rsidRPr="00F403FE" w:rsidRDefault="00783F0D" w:rsidP="00783F0D">
      <w:pPr>
        <w:pStyle w:val="TableNotes"/>
      </w:pPr>
      <w:r>
        <w:t>Participants could endorse multiple responses for this question, hence percentages do not add up to 100%. Because responses that were not endorsed were assumed to be left blank intentionally, there are no missing values for this question.</w:t>
      </w:r>
    </w:p>
    <w:p w14:paraId="3E959912" w14:textId="77777777" w:rsidR="00783F0D" w:rsidRPr="00F403FE" w:rsidRDefault="00783F0D" w:rsidP="00783F0D">
      <w:pPr>
        <w:pStyle w:val="TableNotes"/>
      </w:pPr>
      <w:r w:rsidRPr="00F403FE">
        <w:t>95%CI</w:t>
      </w:r>
      <w:r>
        <w:t xml:space="preserve"> =</w:t>
      </w:r>
      <w:r w:rsidRPr="00F403FE">
        <w:t xml:space="preserve"> 95% </w:t>
      </w:r>
      <w:r>
        <w:t>confidence interval.</w:t>
      </w:r>
      <w:r w:rsidRPr="00F403FE">
        <w:t xml:space="preserve"> </w:t>
      </w:r>
    </w:p>
    <w:p w14:paraId="0C1E2162" w14:textId="77777777" w:rsidR="00783F0D" w:rsidRDefault="00783F0D" w:rsidP="00783F0D">
      <w:pPr>
        <w:pStyle w:val="TableNotes"/>
      </w:pPr>
      <w:r w:rsidRPr="00F403FE">
        <w:t>For a full description of odds ratios, interpretation and strength of association</w:t>
      </w:r>
      <w:r>
        <w:t>,</w:t>
      </w:r>
      <w:r w:rsidRPr="00F403FE">
        <w:t xml:space="preserve"> please refer to Table B.1</w:t>
      </w:r>
      <w:r>
        <w:t xml:space="preserve"> </w:t>
      </w:r>
      <w:r w:rsidRPr="00BB1B84">
        <w:t xml:space="preserve">in </w:t>
      </w:r>
      <w:r w:rsidR="00374073">
        <w:t>Annex </w:t>
      </w:r>
      <w:r>
        <w:t>B, Odds ratio table.</w:t>
      </w:r>
    </w:p>
    <w:p w14:paraId="7AF357E8" w14:textId="77777777" w:rsidR="00783F0D" w:rsidRDefault="00783F0D" w:rsidP="00783F0D">
      <w:pPr>
        <w:pStyle w:val="FigureName"/>
      </w:pPr>
      <w:bookmarkStart w:id="502" w:name="_Ref517351647"/>
      <w:bookmarkStart w:id="503" w:name="_Toc509922946"/>
      <w:bookmarkStart w:id="504" w:name="_Toc515374720"/>
      <w:bookmarkStart w:id="505" w:name="_Toc528932404"/>
      <w:bookmarkStart w:id="506" w:name="_Toc531858084"/>
      <w:r w:rsidRPr="002E3D99">
        <w:t>Figure</w:t>
      </w:r>
      <w:r>
        <w:t xml:space="preserve"> </w:t>
      </w:r>
      <w:r>
        <w:rPr>
          <w:noProof/>
        </w:rPr>
        <w:t>5</w:t>
      </w:r>
      <w:r>
        <w:t>.</w:t>
      </w:r>
      <w:r>
        <w:rPr>
          <w:noProof/>
        </w:rPr>
        <w:t>2</w:t>
      </w:r>
      <w:bookmarkEnd w:id="502"/>
      <w:r>
        <w:tab/>
      </w:r>
      <w:r w:rsidRPr="00E26506">
        <w:t xml:space="preserve">Types of technologies used by Transitioned ADF and 2015 Regular ADF who </w:t>
      </w:r>
      <w:r>
        <w:t>reported that they</w:t>
      </w:r>
      <w:r w:rsidRPr="00E26506">
        <w:t xml:space="preserve"> us</w:t>
      </w:r>
      <w:r>
        <w:t>ed</w:t>
      </w:r>
      <w:r w:rsidRPr="00E26506">
        <w:t xml:space="preserve"> new and emerging technologies</w:t>
      </w:r>
      <w:bookmarkEnd w:id="503"/>
      <w:bookmarkEnd w:id="504"/>
      <w:bookmarkEnd w:id="505"/>
      <w:bookmarkEnd w:id="506"/>
    </w:p>
    <w:bookmarkEnd w:id="501"/>
    <w:p w14:paraId="64805F08" w14:textId="77777777" w:rsidR="00783F0D" w:rsidRDefault="002E3D99" w:rsidP="002E3D99">
      <w:pPr>
        <w:spacing w:after="360" w:line="259" w:lineRule="auto"/>
      </w:pPr>
      <w:r>
        <w:rPr>
          <w:noProof/>
          <w:lang w:eastAsia="en-AU"/>
        </w:rPr>
        <w:drawing>
          <wp:inline distT="0" distB="0" distL="0" distR="0" wp14:anchorId="621B8A7B" wp14:editId="6F7F5515">
            <wp:extent cx="4572000" cy="3200400"/>
            <wp:effectExtent l="0" t="0" r="19050" b="19050"/>
            <wp:docPr id="10" name="Chart 10" descr="Figure 5.2 Types of technologies used by Transitioned ADF and 2015 Regular ADF who reported that they used new and emerging technolog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BCAAA92" w14:textId="77777777" w:rsidR="00783F0D" w:rsidRPr="000A423E" w:rsidRDefault="00783F0D" w:rsidP="00783F0D">
      <w:pPr>
        <w:pStyle w:val="Heading3"/>
        <w:numPr>
          <w:ilvl w:val="2"/>
          <w:numId w:val="1"/>
        </w:numPr>
      </w:pPr>
      <w:bookmarkStart w:id="507" w:name="_Toc518566377"/>
      <w:bookmarkStart w:id="508" w:name="_Toc528932670"/>
      <w:bookmarkStart w:id="509" w:name="_Toc531859207"/>
      <w:r w:rsidRPr="000A423E">
        <w:t>Barriers to using new and emerging technologies</w:t>
      </w:r>
      <w:bookmarkEnd w:id="507"/>
      <w:bookmarkEnd w:id="508"/>
      <w:bookmarkEnd w:id="509"/>
    </w:p>
    <w:p w14:paraId="18FE75C3" w14:textId="77777777" w:rsidR="00783F0D" w:rsidRDefault="00783F0D" w:rsidP="00783F0D">
      <w:r w:rsidRPr="00071F81">
        <w:t>Of the Transitioned ADF and 2015 Regular ADF who did not use new and emerging technologies</w:t>
      </w:r>
      <w:r>
        <w:t>,</w:t>
      </w:r>
      <w:r w:rsidRPr="00071F81">
        <w:t xml:space="preserve"> the majority reported that they ‘did not have a need or interest’ (77.4%, 74.2% respectively) (</w:t>
      </w:r>
      <w:r>
        <w:t xml:space="preserve">Table </w:t>
      </w:r>
      <w:r>
        <w:rPr>
          <w:noProof/>
        </w:rPr>
        <w:t>5.3</w:t>
      </w:r>
      <w:r w:rsidRPr="00071F81">
        <w:rPr>
          <w:rFonts w:asciiTheme="minorHAnsi" w:hAnsiTheme="minorHAnsi"/>
        </w:rPr>
        <w:t xml:space="preserve"> and </w:t>
      </w:r>
      <w:r>
        <w:t xml:space="preserve">Figure </w:t>
      </w:r>
      <w:r>
        <w:rPr>
          <w:noProof/>
        </w:rPr>
        <w:t>5.3</w:t>
      </w:r>
      <w:r w:rsidRPr="00071F81">
        <w:rPr>
          <w:rFonts w:asciiTheme="minorHAnsi" w:hAnsiTheme="minorHAnsi"/>
        </w:rPr>
        <w:t xml:space="preserve">). </w:t>
      </w:r>
      <w:r w:rsidRPr="00071F81">
        <w:t>Other reasons included that it was ‘too expensive’ (Transitioned ADF 25.8%, 2015 Regular ADF 29.5%,</w:t>
      </w:r>
      <w:r>
        <w:t xml:space="preserve"> respectively) or that privacy</w:t>
      </w:r>
      <w:r w:rsidRPr="00071F81">
        <w:t xml:space="preserve"> was an issue (18.2%, 20.9%, respectively). L</w:t>
      </w:r>
      <w:r w:rsidRPr="00071F81">
        <w:rPr>
          <w:rFonts w:eastAsia="Times New Roman"/>
          <w:lang w:eastAsia="en-AU"/>
        </w:rPr>
        <w:t xml:space="preserve">ogistic regression indicated that there were no significant differences in the barriers to using technology </w:t>
      </w:r>
      <w:r w:rsidRPr="00071F81">
        <w:t>between the Transitioned ADF and the 2015 Regular ADF.</w:t>
      </w:r>
      <w:r w:rsidRPr="00E26506">
        <w:t xml:space="preserve"> </w:t>
      </w:r>
    </w:p>
    <w:p w14:paraId="74F881B1" w14:textId="77777777" w:rsidR="00783F0D" w:rsidRDefault="00783F0D" w:rsidP="00783F0D">
      <w:pPr>
        <w:pStyle w:val="TableName"/>
      </w:pPr>
      <w:bookmarkStart w:id="510" w:name="_Ref517352065"/>
      <w:bookmarkStart w:id="511" w:name="_Toc509922873"/>
      <w:bookmarkStart w:id="512" w:name="_Toc515374648"/>
      <w:bookmarkStart w:id="513" w:name="_Toc528932324"/>
      <w:bookmarkStart w:id="514" w:name="_Toc531858003"/>
      <w:r>
        <w:t xml:space="preserve">Table </w:t>
      </w:r>
      <w:r>
        <w:rPr>
          <w:noProof/>
        </w:rPr>
        <w:t>5</w:t>
      </w:r>
      <w:r>
        <w:t>.</w:t>
      </w:r>
      <w:r>
        <w:rPr>
          <w:noProof/>
        </w:rPr>
        <w:t>3</w:t>
      </w:r>
      <w:bookmarkEnd w:id="510"/>
      <w:r>
        <w:tab/>
      </w:r>
      <w:r w:rsidRPr="00F65B2B">
        <w:t xml:space="preserve">Barriers to using </w:t>
      </w:r>
      <w:r>
        <w:t xml:space="preserve">new and </w:t>
      </w:r>
      <w:r w:rsidRPr="00F65B2B">
        <w:t xml:space="preserve">emerging technologies in Transitioned ADF and 2015 Regular </w:t>
      </w:r>
      <w:bookmarkEnd w:id="511"/>
      <w:bookmarkEnd w:id="512"/>
      <w:r w:rsidRPr="00F65B2B">
        <w:t>ADF</w:t>
      </w:r>
      <w:r>
        <w:t xml:space="preserve">, </w:t>
      </w:r>
      <w:r w:rsidRPr="00E26506">
        <w:rPr>
          <w:rFonts w:eastAsia="Calibri"/>
        </w:rPr>
        <w:t>among those who report</w:t>
      </w:r>
      <w:r>
        <w:rPr>
          <w:rFonts w:eastAsia="Calibri"/>
        </w:rPr>
        <w:t>ed</w:t>
      </w:r>
      <w:r w:rsidRPr="00E26506">
        <w:rPr>
          <w:rFonts w:eastAsia="Calibri"/>
        </w:rPr>
        <w:t xml:space="preserve"> </w:t>
      </w:r>
      <w:r>
        <w:rPr>
          <w:rFonts w:eastAsia="Calibri"/>
        </w:rPr>
        <w:t xml:space="preserve">that they did </w:t>
      </w:r>
      <w:r w:rsidRPr="00E26506">
        <w:rPr>
          <w:rFonts w:eastAsia="Calibri"/>
        </w:rPr>
        <w:t>not us</w:t>
      </w:r>
      <w:r>
        <w:rPr>
          <w:rFonts w:eastAsia="Calibri"/>
        </w:rPr>
        <w:t>e</w:t>
      </w:r>
      <w:r w:rsidRPr="00E26506">
        <w:rPr>
          <w:rFonts w:eastAsia="Calibri"/>
        </w:rPr>
        <w:t xml:space="preserve"> new and emerging technologies</w:t>
      </w:r>
      <w:bookmarkEnd w:id="513"/>
      <w:bookmarkEnd w:id="514"/>
    </w:p>
    <w:tbl>
      <w:tblPr>
        <w:tblStyle w:val="TWRPTable"/>
        <w:tblW w:w="5000" w:type="pct"/>
        <w:tblLayout w:type="fixed"/>
        <w:tblLook w:val="0000" w:firstRow="0" w:lastRow="0" w:firstColumn="0" w:lastColumn="0" w:noHBand="0" w:noVBand="0"/>
        <w:tblDescription w:val="Table 5.3 Barriers to using new and emerging technologies in Transitioned ADF and 2015 Regular ADF, among those who reported that they did not use new and emerging technologies"/>
      </w:tblPr>
      <w:tblGrid>
        <w:gridCol w:w="2061"/>
        <w:gridCol w:w="476"/>
        <w:gridCol w:w="891"/>
        <w:gridCol w:w="1147"/>
        <w:gridCol w:w="476"/>
        <w:gridCol w:w="891"/>
        <w:gridCol w:w="1147"/>
      </w:tblGrid>
      <w:tr w:rsidR="00783F0D" w:rsidRPr="00663550" w14:paraId="6535ACD8" w14:textId="77777777" w:rsidTr="00A7285A">
        <w:trPr>
          <w:cantSplit/>
          <w:tblHeader/>
        </w:trPr>
        <w:tc>
          <w:tcPr>
            <w:tcW w:w="1801" w:type="dxa"/>
            <w:tcBorders>
              <w:top w:val="single" w:sz="4" w:space="0" w:color="000000"/>
              <w:bottom w:val="nil"/>
            </w:tcBorders>
          </w:tcPr>
          <w:p w14:paraId="7C946AEB" w14:textId="77777777" w:rsidR="00783F0D" w:rsidRPr="00071F81" w:rsidRDefault="00783F0D" w:rsidP="00EB155C">
            <w:pPr>
              <w:pStyle w:val="TableText"/>
              <w:rPr>
                <w:b/>
              </w:rPr>
            </w:pPr>
          </w:p>
        </w:tc>
        <w:tc>
          <w:tcPr>
            <w:tcW w:w="2198" w:type="dxa"/>
            <w:gridSpan w:val="3"/>
            <w:tcBorders>
              <w:top w:val="single" w:sz="4" w:space="0" w:color="000000"/>
              <w:bottom w:val="single" w:sz="4" w:space="0" w:color="000000"/>
            </w:tcBorders>
          </w:tcPr>
          <w:p w14:paraId="64D6B0E1" w14:textId="77777777" w:rsidR="00783F0D" w:rsidRPr="00071F81" w:rsidRDefault="00783F0D" w:rsidP="00A7285A">
            <w:pPr>
              <w:pStyle w:val="TableText"/>
              <w:jc w:val="center"/>
              <w:rPr>
                <w:b/>
              </w:rPr>
            </w:pPr>
            <w:r w:rsidRPr="00071F81">
              <w:rPr>
                <w:b/>
              </w:rPr>
              <w:t>Transitioned ADF</w:t>
            </w:r>
            <w:r w:rsidR="00A7285A">
              <w:rPr>
                <w:b/>
              </w:rPr>
              <w:br/>
            </w:r>
            <w:r w:rsidRPr="00071F81">
              <w:rPr>
                <w:b/>
              </w:rPr>
              <w:t>n=10,347</w:t>
            </w:r>
          </w:p>
        </w:tc>
        <w:tc>
          <w:tcPr>
            <w:tcW w:w="2198" w:type="dxa"/>
            <w:gridSpan w:val="3"/>
            <w:tcBorders>
              <w:top w:val="single" w:sz="4" w:space="0" w:color="000000"/>
              <w:bottom w:val="single" w:sz="4" w:space="0" w:color="000000"/>
            </w:tcBorders>
          </w:tcPr>
          <w:p w14:paraId="1B4C9D27" w14:textId="77777777" w:rsidR="00783F0D" w:rsidRPr="00071F81" w:rsidRDefault="00783F0D" w:rsidP="00A7285A">
            <w:pPr>
              <w:pStyle w:val="TableText"/>
              <w:jc w:val="center"/>
              <w:rPr>
                <w:b/>
              </w:rPr>
            </w:pPr>
            <w:r w:rsidRPr="00071F81">
              <w:rPr>
                <w:b/>
              </w:rPr>
              <w:t>2015 Regular ADF</w:t>
            </w:r>
            <w:r w:rsidR="00A7285A">
              <w:rPr>
                <w:b/>
              </w:rPr>
              <w:br/>
            </w:r>
            <w:r w:rsidRPr="00071F81">
              <w:rPr>
                <w:b/>
              </w:rPr>
              <w:t>n=20,164</w:t>
            </w:r>
          </w:p>
        </w:tc>
      </w:tr>
      <w:tr w:rsidR="00783F0D" w:rsidRPr="00AF016D" w14:paraId="2FBB68E5" w14:textId="77777777" w:rsidTr="00A7285A">
        <w:trPr>
          <w:cantSplit/>
          <w:tblHeader/>
        </w:trPr>
        <w:tc>
          <w:tcPr>
            <w:tcW w:w="1801" w:type="dxa"/>
            <w:tcBorders>
              <w:top w:val="nil"/>
              <w:bottom w:val="single" w:sz="4" w:space="0" w:color="000000"/>
            </w:tcBorders>
          </w:tcPr>
          <w:p w14:paraId="5734C5D7" w14:textId="77777777" w:rsidR="00783F0D" w:rsidRPr="00071F81" w:rsidRDefault="00783F0D" w:rsidP="00EB155C">
            <w:pPr>
              <w:pStyle w:val="TableText"/>
              <w:rPr>
                <w:b/>
              </w:rPr>
            </w:pPr>
            <w:r w:rsidRPr="00071F81">
              <w:rPr>
                <w:b/>
              </w:rPr>
              <w:t>Barriers</w:t>
            </w:r>
          </w:p>
        </w:tc>
        <w:tc>
          <w:tcPr>
            <w:tcW w:w="416" w:type="dxa"/>
            <w:tcBorders>
              <w:top w:val="single" w:sz="4" w:space="0" w:color="000000"/>
              <w:bottom w:val="single" w:sz="4" w:space="0" w:color="000000"/>
            </w:tcBorders>
          </w:tcPr>
          <w:p w14:paraId="1E96AE1C" w14:textId="77777777" w:rsidR="00783F0D" w:rsidRPr="00071F81" w:rsidRDefault="00783F0D" w:rsidP="00EB155C">
            <w:pPr>
              <w:pStyle w:val="TableText"/>
              <w:jc w:val="right"/>
              <w:rPr>
                <w:b/>
              </w:rPr>
            </w:pPr>
            <w:r w:rsidRPr="00071F81">
              <w:rPr>
                <w:b/>
              </w:rPr>
              <w:t>n</w:t>
            </w:r>
          </w:p>
        </w:tc>
        <w:tc>
          <w:tcPr>
            <w:tcW w:w="779" w:type="dxa"/>
            <w:tcBorders>
              <w:top w:val="single" w:sz="4" w:space="0" w:color="000000"/>
              <w:bottom w:val="single" w:sz="4" w:space="0" w:color="000000"/>
            </w:tcBorders>
          </w:tcPr>
          <w:p w14:paraId="15A23C52" w14:textId="77777777" w:rsidR="00783F0D" w:rsidRPr="00071F81" w:rsidRDefault="00783F0D" w:rsidP="00EB155C">
            <w:pPr>
              <w:pStyle w:val="TableText"/>
              <w:jc w:val="right"/>
              <w:rPr>
                <w:b/>
              </w:rPr>
            </w:pPr>
            <w:r w:rsidRPr="00071F81">
              <w:rPr>
                <w:b/>
              </w:rPr>
              <w:t>Weighted n</w:t>
            </w:r>
          </w:p>
        </w:tc>
        <w:tc>
          <w:tcPr>
            <w:tcW w:w="1003" w:type="dxa"/>
            <w:tcBorders>
              <w:top w:val="single" w:sz="4" w:space="0" w:color="000000"/>
              <w:bottom w:val="single" w:sz="4" w:space="0" w:color="000000"/>
            </w:tcBorders>
          </w:tcPr>
          <w:p w14:paraId="0BF0C898" w14:textId="77777777" w:rsidR="00783F0D" w:rsidRPr="00071F81" w:rsidRDefault="00783F0D" w:rsidP="00EB155C">
            <w:pPr>
              <w:pStyle w:val="TableText"/>
              <w:jc w:val="right"/>
              <w:rPr>
                <w:b/>
              </w:rPr>
            </w:pPr>
            <w:r w:rsidRPr="00071F81">
              <w:rPr>
                <w:b/>
              </w:rPr>
              <w:t>% (95%CI)</w:t>
            </w:r>
          </w:p>
        </w:tc>
        <w:tc>
          <w:tcPr>
            <w:tcW w:w="416" w:type="dxa"/>
            <w:tcBorders>
              <w:top w:val="single" w:sz="4" w:space="0" w:color="000000"/>
              <w:bottom w:val="single" w:sz="4" w:space="0" w:color="000000"/>
            </w:tcBorders>
          </w:tcPr>
          <w:p w14:paraId="2F4C288A" w14:textId="77777777" w:rsidR="00783F0D" w:rsidRPr="00071F81" w:rsidRDefault="00783F0D" w:rsidP="00EB155C">
            <w:pPr>
              <w:pStyle w:val="TableText"/>
              <w:jc w:val="right"/>
              <w:rPr>
                <w:b/>
              </w:rPr>
            </w:pPr>
            <w:r w:rsidRPr="00071F81">
              <w:rPr>
                <w:b/>
              </w:rPr>
              <w:t>n</w:t>
            </w:r>
          </w:p>
        </w:tc>
        <w:tc>
          <w:tcPr>
            <w:tcW w:w="779" w:type="dxa"/>
            <w:tcBorders>
              <w:top w:val="single" w:sz="4" w:space="0" w:color="000000"/>
              <w:bottom w:val="single" w:sz="4" w:space="0" w:color="000000"/>
            </w:tcBorders>
          </w:tcPr>
          <w:p w14:paraId="17BC0E40" w14:textId="77777777" w:rsidR="00783F0D" w:rsidRPr="00071F81" w:rsidRDefault="00783F0D" w:rsidP="00EB155C">
            <w:pPr>
              <w:pStyle w:val="TableText"/>
              <w:jc w:val="right"/>
              <w:rPr>
                <w:b/>
              </w:rPr>
            </w:pPr>
            <w:r w:rsidRPr="00071F81">
              <w:rPr>
                <w:b/>
              </w:rPr>
              <w:t>Weighted n</w:t>
            </w:r>
          </w:p>
        </w:tc>
        <w:tc>
          <w:tcPr>
            <w:tcW w:w="1003" w:type="dxa"/>
            <w:tcBorders>
              <w:top w:val="single" w:sz="4" w:space="0" w:color="000000"/>
              <w:bottom w:val="single" w:sz="4" w:space="0" w:color="000000"/>
            </w:tcBorders>
          </w:tcPr>
          <w:p w14:paraId="247B781B" w14:textId="77777777" w:rsidR="00783F0D" w:rsidRPr="00071F81" w:rsidRDefault="00783F0D" w:rsidP="00EB155C">
            <w:pPr>
              <w:pStyle w:val="TableText"/>
              <w:jc w:val="right"/>
              <w:rPr>
                <w:b/>
              </w:rPr>
            </w:pPr>
            <w:r w:rsidRPr="00071F81">
              <w:rPr>
                <w:b/>
              </w:rPr>
              <w:t>% (95%CI)</w:t>
            </w:r>
          </w:p>
        </w:tc>
      </w:tr>
      <w:tr w:rsidR="00783F0D" w:rsidRPr="00AF016D" w14:paraId="7F737D95"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801" w:type="dxa"/>
            <w:tcBorders>
              <w:top w:val="single" w:sz="4" w:space="0" w:color="000000"/>
            </w:tcBorders>
          </w:tcPr>
          <w:p w14:paraId="43B3DECD" w14:textId="77777777" w:rsidR="00783F0D" w:rsidRPr="00494E02" w:rsidRDefault="00783F0D" w:rsidP="00EB155C">
            <w:pPr>
              <w:pStyle w:val="TableText"/>
            </w:pPr>
            <w:r w:rsidRPr="00494E02">
              <w:t>No need or interest</w:t>
            </w:r>
          </w:p>
        </w:tc>
        <w:tc>
          <w:tcPr>
            <w:tcW w:w="416" w:type="dxa"/>
            <w:tcBorders>
              <w:top w:val="single" w:sz="4" w:space="0" w:color="000000"/>
            </w:tcBorders>
          </w:tcPr>
          <w:p w14:paraId="66772E7E" w14:textId="77777777" w:rsidR="00783F0D" w:rsidRPr="004803BD" w:rsidRDefault="00783F0D" w:rsidP="00EB155C">
            <w:pPr>
              <w:pStyle w:val="TableText"/>
              <w:jc w:val="right"/>
              <w:rPr>
                <w:color w:val="000000" w:themeColor="text1"/>
              </w:rPr>
            </w:pPr>
            <w:r w:rsidRPr="004803BD">
              <w:t>1150</w:t>
            </w:r>
          </w:p>
        </w:tc>
        <w:tc>
          <w:tcPr>
            <w:tcW w:w="779" w:type="dxa"/>
            <w:tcBorders>
              <w:top w:val="single" w:sz="4" w:space="0" w:color="000000"/>
            </w:tcBorders>
          </w:tcPr>
          <w:p w14:paraId="053F97AE" w14:textId="77777777" w:rsidR="00783F0D" w:rsidRPr="004803BD" w:rsidRDefault="00783F0D" w:rsidP="00EB155C">
            <w:pPr>
              <w:pStyle w:val="TableText"/>
              <w:jc w:val="right"/>
              <w:rPr>
                <w:color w:val="000000" w:themeColor="text1"/>
              </w:rPr>
            </w:pPr>
            <w:r w:rsidRPr="004803BD">
              <w:t>7987</w:t>
            </w:r>
          </w:p>
        </w:tc>
        <w:tc>
          <w:tcPr>
            <w:tcW w:w="1003" w:type="dxa"/>
            <w:tcBorders>
              <w:top w:val="single" w:sz="4" w:space="0" w:color="000000"/>
            </w:tcBorders>
          </w:tcPr>
          <w:p w14:paraId="73AAA402" w14:textId="77777777" w:rsidR="00783F0D" w:rsidRPr="004803BD" w:rsidRDefault="00783F0D" w:rsidP="00EB155C">
            <w:pPr>
              <w:pStyle w:val="TableText"/>
              <w:jc w:val="right"/>
              <w:rPr>
                <w:color w:val="000000" w:themeColor="text1"/>
              </w:rPr>
            </w:pPr>
            <w:r w:rsidRPr="004803BD">
              <w:t>77.2 (74.4,</w:t>
            </w:r>
            <w:r>
              <w:t xml:space="preserve"> </w:t>
            </w:r>
            <w:r w:rsidRPr="004803BD">
              <w:t>79.7)</w:t>
            </w:r>
          </w:p>
        </w:tc>
        <w:tc>
          <w:tcPr>
            <w:tcW w:w="416" w:type="dxa"/>
            <w:tcBorders>
              <w:top w:val="single" w:sz="4" w:space="0" w:color="000000"/>
            </w:tcBorders>
          </w:tcPr>
          <w:p w14:paraId="7462CA99" w14:textId="77777777" w:rsidR="00783F0D" w:rsidRPr="004803BD" w:rsidRDefault="00783F0D" w:rsidP="00EB155C">
            <w:pPr>
              <w:pStyle w:val="TableText"/>
              <w:jc w:val="right"/>
              <w:rPr>
                <w:color w:val="000000" w:themeColor="text1"/>
              </w:rPr>
            </w:pPr>
            <w:r w:rsidRPr="004803BD">
              <w:t>2167</w:t>
            </w:r>
          </w:p>
        </w:tc>
        <w:tc>
          <w:tcPr>
            <w:tcW w:w="779" w:type="dxa"/>
            <w:tcBorders>
              <w:top w:val="single" w:sz="4" w:space="0" w:color="000000"/>
            </w:tcBorders>
          </w:tcPr>
          <w:p w14:paraId="0D0342C0" w14:textId="77777777" w:rsidR="00783F0D" w:rsidRPr="004803BD" w:rsidRDefault="00783F0D" w:rsidP="00EB155C">
            <w:pPr>
              <w:pStyle w:val="TableText"/>
              <w:jc w:val="right"/>
              <w:rPr>
                <w:color w:val="000000" w:themeColor="text1"/>
              </w:rPr>
            </w:pPr>
            <w:r w:rsidRPr="004803BD">
              <w:t>14</w:t>
            </w:r>
            <w:r>
              <w:t>,</w:t>
            </w:r>
            <w:r w:rsidRPr="004803BD">
              <w:t>958</w:t>
            </w:r>
          </w:p>
        </w:tc>
        <w:tc>
          <w:tcPr>
            <w:tcW w:w="1003" w:type="dxa"/>
            <w:tcBorders>
              <w:top w:val="single" w:sz="4" w:space="0" w:color="000000"/>
            </w:tcBorders>
          </w:tcPr>
          <w:p w14:paraId="51247A45" w14:textId="77777777" w:rsidR="00783F0D" w:rsidRPr="004803BD" w:rsidRDefault="00783F0D" w:rsidP="00EB155C">
            <w:pPr>
              <w:pStyle w:val="TableText"/>
              <w:jc w:val="right"/>
              <w:rPr>
                <w:color w:val="000000" w:themeColor="text1"/>
              </w:rPr>
            </w:pPr>
            <w:r w:rsidRPr="004803BD">
              <w:t>74.2 (67.0,</w:t>
            </w:r>
            <w:r>
              <w:t xml:space="preserve"> </w:t>
            </w:r>
            <w:r w:rsidRPr="004803BD">
              <w:t>80.2)</w:t>
            </w:r>
          </w:p>
        </w:tc>
      </w:tr>
      <w:tr w:rsidR="00783F0D" w:rsidRPr="00AF016D" w14:paraId="63693AAD" w14:textId="77777777" w:rsidTr="00A7285A">
        <w:trPr>
          <w:cantSplit/>
        </w:trPr>
        <w:tc>
          <w:tcPr>
            <w:tcW w:w="1801" w:type="dxa"/>
          </w:tcPr>
          <w:p w14:paraId="0CA5B924" w14:textId="77777777" w:rsidR="00783F0D" w:rsidRPr="00494E02" w:rsidRDefault="00783F0D" w:rsidP="00EB155C">
            <w:pPr>
              <w:pStyle w:val="TableText"/>
            </w:pPr>
            <w:r w:rsidRPr="00494E02">
              <w:t>No time to learn new technology</w:t>
            </w:r>
          </w:p>
        </w:tc>
        <w:tc>
          <w:tcPr>
            <w:tcW w:w="416" w:type="dxa"/>
          </w:tcPr>
          <w:p w14:paraId="4CBC3EDE" w14:textId="77777777" w:rsidR="00783F0D" w:rsidRPr="004803BD" w:rsidRDefault="00783F0D" w:rsidP="00EB155C">
            <w:pPr>
              <w:pStyle w:val="TableText"/>
              <w:jc w:val="right"/>
              <w:rPr>
                <w:color w:val="000000" w:themeColor="text1"/>
              </w:rPr>
            </w:pPr>
            <w:r w:rsidRPr="004803BD">
              <w:t>106</w:t>
            </w:r>
          </w:p>
        </w:tc>
        <w:tc>
          <w:tcPr>
            <w:tcW w:w="779" w:type="dxa"/>
          </w:tcPr>
          <w:p w14:paraId="6CC4AB9A" w14:textId="77777777" w:rsidR="00783F0D" w:rsidRPr="004803BD" w:rsidRDefault="00783F0D" w:rsidP="00EB155C">
            <w:pPr>
              <w:pStyle w:val="TableText"/>
              <w:jc w:val="right"/>
              <w:rPr>
                <w:color w:val="000000" w:themeColor="text1"/>
              </w:rPr>
            </w:pPr>
            <w:r w:rsidRPr="004803BD">
              <w:t>610</w:t>
            </w:r>
          </w:p>
        </w:tc>
        <w:tc>
          <w:tcPr>
            <w:tcW w:w="1003" w:type="dxa"/>
          </w:tcPr>
          <w:p w14:paraId="4FF834CC" w14:textId="77777777" w:rsidR="00783F0D" w:rsidRPr="004803BD" w:rsidRDefault="00783F0D" w:rsidP="00EB155C">
            <w:pPr>
              <w:pStyle w:val="TableText"/>
              <w:jc w:val="right"/>
              <w:rPr>
                <w:color w:val="000000" w:themeColor="text1"/>
              </w:rPr>
            </w:pPr>
            <w:r w:rsidRPr="004803BD">
              <w:t>5.9 (4.6,</w:t>
            </w:r>
            <w:r>
              <w:t xml:space="preserve"> </w:t>
            </w:r>
            <w:r w:rsidRPr="004803BD">
              <w:t>7.5)</w:t>
            </w:r>
          </w:p>
        </w:tc>
        <w:tc>
          <w:tcPr>
            <w:tcW w:w="416" w:type="dxa"/>
          </w:tcPr>
          <w:p w14:paraId="000E47B6" w14:textId="77777777" w:rsidR="00783F0D" w:rsidRPr="004803BD" w:rsidRDefault="00783F0D" w:rsidP="00EB155C">
            <w:pPr>
              <w:pStyle w:val="TableText"/>
              <w:jc w:val="right"/>
              <w:rPr>
                <w:color w:val="000000" w:themeColor="text1"/>
              </w:rPr>
            </w:pPr>
            <w:r w:rsidRPr="004803BD">
              <w:t>243</w:t>
            </w:r>
          </w:p>
        </w:tc>
        <w:tc>
          <w:tcPr>
            <w:tcW w:w="779" w:type="dxa"/>
          </w:tcPr>
          <w:p w14:paraId="3EE1BD2D" w14:textId="77777777" w:rsidR="00783F0D" w:rsidRPr="004803BD" w:rsidRDefault="00783F0D" w:rsidP="00EB155C">
            <w:pPr>
              <w:pStyle w:val="TableText"/>
              <w:jc w:val="right"/>
              <w:rPr>
                <w:color w:val="000000" w:themeColor="text1"/>
              </w:rPr>
            </w:pPr>
            <w:r w:rsidRPr="004803BD">
              <w:t>1483</w:t>
            </w:r>
          </w:p>
        </w:tc>
        <w:tc>
          <w:tcPr>
            <w:tcW w:w="1003" w:type="dxa"/>
          </w:tcPr>
          <w:p w14:paraId="752339B1" w14:textId="77777777" w:rsidR="00783F0D" w:rsidRPr="004803BD" w:rsidRDefault="00783F0D" w:rsidP="00EB155C">
            <w:pPr>
              <w:pStyle w:val="TableText"/>
              <w:jc w:val="right"/>
              <w:rPr>
                <w:color w:val="000000" w:themeColor="text1"/>
              </w:rPr>
            </w:pPr>
            <w:r w:rsidRPr="004803BD">
              <w:t>7.4 (5.4,</w:t>
            </w:r>
            <w:r>
              <w:t xml:space="preserve"> </w:t>
            </w:r>
            <w:r w:rsidRPr="004803BD">
              <w:t>9.9)</w:t>
            </w:r>
          </w:p>
        </w:tc>
      </w:tr>
      <w:tr w:rsidR="00783F0D" w:rsidRPr="00AF016D" w14:paraId="004928C8"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801" w:type="dxa"/>
          </w:tcPr>
          <w:p w14:paraId="56FCF6F5" w14:textId="77777777" w:rsidR="00783F0D" w:rsidRPr="00494E02" w:rsidRDefault="00783F0D" w:rsidP="00EB155C">
            <w:pPr>
              <w:pStyle w:val="TableText"/>
            </w:pPr>
            <w:r w:rsidRPr="00494E02">
              <w:t>Too confusing</w:t>
            </w:r>
          </w:p>
        </w:tc>
        <w:tc>
          <w:tcPr>
            <w:tcW w:w="416" w:type="dxa"/>
          </w:tcPr>
          <w:p w14:paraId="419AF55D" w14:textId="77777777" w:rsidR="00783F0D" w:rsidRPr="004803BD" w:rsidRDefault="00783F0D" w:rsidP="00EB155C">
            <w:pPr>
              <w:pStyle w:val="TableText"/>
              <w:jc w:val="right"/>
              <w:rPr>
                <w:color w:val="000000" w:themeColor="text1"/>
              </w:rPr>
            </w:pPr>
            <w:r w:rsidRPr="004803BD">
              <w:t>186</w:t>
            </w:r>
          </w:p>
        </w:tc>
        <w:tc>
          <w:tcPr>
            <w:tcW w:w="779" w:type="dxa"/>
          </w:tcPr>
          <w:p w14:paraId="70C3BAE3" w14:textId="77777777" w:rsidR="00783F0D" w:rsidRPr="004803BD" w:rsidRDefault="00783F0D" w:rsidP="00EB155C">
            <w:pPr>
              <w:pStyle w:val="TableText"/>
              <w:jc w:val="right"/>
              <w:rPr>
                <w:color w:val="000000" w:themeColor="text1"/>
              </w:rPr>
            </w:pPr>
            <w:r w:rsidRPr="004803BD">
              <w:t>1067</w:t>
            </w:r>
          </w:p>
        </w:tc>
        <w:tc>
          <w:tcPr>
            <w:tcW w:w="1003" w:type="dxa"/>
          </w:tcPr>
          <w:p w14:paraId="1FE588F5" w14:textId="77777777" w:rsidR="00783F0D" w:rsidRPr="004803BD" w:rsidRDefault="00783F0D" w:rsidP="00EB155C">
            <w:pPr>
              <w:pStyle w:val="TableText"/>
              <w:jc w:val="right"/>
              <w:rPr>
                <w:color w:val="000000" w:themeColor="text1"/>
              </w:rPr>
            </w:pPr>
            <w:r w:rsidRPr="004803BD">
              <w:t>10.3 (8.7,</w:t>
            </w:r>
            <w:r>
              <w:t xml:space="preserve"> </w:t>
            </w:r>
            <w:r w:rsidRPr="004803BD">
              <w:t>12.2)</w:t>
            </w:r>
          </w:p>
        </w:tc>
        <w:tc>
          <w:tcPr>
            <w:tcW w:w="416" w:type="dxa"/>
          </w:tcPr>
          <w:p w14:paraId="43C3E776" w14:textId="77777777" w:rsidR="00783F0D" w:rsidRPr="004803BD" w:rsidRDefault="00783F0D" w:rsidP="00EB155C">
            <w:pPr>
              <w:pStyle w:val="TableText"/>
              <w:jc w:val="right"/>
              <w:rPr>
                <w:color w:val="000000" w:themeColor="text1"/>
              </w:rPr>
            </w:pPr>
            <w:r w:rsidRPr="004803BD">
              <w:t>280</w:t>
            </w:r>
          </w:p>
        </w:tc>
        <w:tc>
          <w:tcPr>
            <w:tcW w:w="779" w:type="dxa"/>
          </w:tcPr>
          <w:p w14:paraId="4D936625" w14:textId="77777777" w:rsidR="00783F0D" w:rsidRPr="004803BD" w:rsidRDefault="00783F0D" w:rsidP="00EB155C">
            <w:pPr>
              <w:pStyle w:val="TableText"/>
              <w:jc w:val="right"/>
              <w:rPr>
                <w:color w:val="000000" w:themeColor="text1"/>
              </w:rPr>
            </w:pPr>
            <w:r w:rsidRPr="004803BD">
              <w:t>2224</w:t>
            </w:r>
          </w:p>
        </w:tc>
        <w:tc>
          <w:tcPr>
            <w:tcW w:w="1003" w:type="dxa"/>
          </w:tcPr>
          <w:p w14:paraId="2AC26FD6" w14:textId="77777777" w:rsidR="00783F0D" w:rsidRPr="004803BD" w:rsidRDefault="00783F0D" w:rsidP="00EB155C">
            <w:pPr>
              <w:pStyle w:val="TableText"/>
              <w:jc w:val="right"/>
              <w:rPr>
                <w:color w:val="000000" w:themeColor="text1"/>
              </w:rPr>
            </w:pPr>
            <w:r w:rsidRPr="004803BD">
              <w:t>11.0 (7.1,</w:t>
            </w:r>
            <w:r>
              <w:t xml:space="preserve"> </w:t>
            </w:r>
            <w:r w:rsidRPr="004803BD">
              <w:t>16.7)</w:t>
            </w:r>
          </w:p>
        </w:tc>
      </w:tr>
      <w:tr w:rsidR="00783F0D" w:rsidRPr="00AF016D" w14:paraId="405D741E" w14:textId="77777777" w:rsidTr="00A7285A">
        <w:trPr>
          <w:cantSplit/>
        </w:trPr>
        <w:tc>
          <w:tcPr>
            <w:tcW w:w="1801" w:type="dxa"/>
          </w:tcPr>
          <w:p w14:paraId="11AE3170" w14:textId="77777777" w:rsidR="00783F0D" w:rsidRPr="00494E02" w:rsidRDefault="00783F0D" w:rsidP="00EB155C">
            <w:pPr>
              <w:pStyle w:val="TableText"/>
            </w:pPr>
            <w:r w:rsidRPr="00494E02">
              <w:t>Too expensive</w:t>
            </w:r>
          </w:p>
        </w:tc>
        <w:tc>
          <w:tcPr>
            <w:tcW w:w="416" w:type="dxa"/>
          </w:tcPr>
          <w:p w14:paraId="62AB52AE" w14:textId="77777777" w:rsidR="00783F0D" w:rsidRPr="004803BD" w:rsidRDefault="00783F0D" w:rsidP="00EB155C">
            <w:pPr>
              <w:pStyle w:val="TableText"/>
              <w:jc w:val="right"/>
              <w:rPr>
                <w:color w:val="000000" w:themeColor="text1"/>
              </w:rPr>
            </w:pPr>
            <w:r w:rsidRPr="004803BD">
              <w:t>339</w:t>
            </w:r>
          </w:p>
        </w:tc>
        <w:tc>
          <w:tcPr>
            <w:tcW w:w="779" w:type="dxa"/>
          </w:tcPr>
          <w:p w14:paraId="618FBFDF" w14:textId="77777777" w:rsidR="00783F0D" w:rsidRPr="004803BD" w:rsidRDefault="00783F0D" w:rsidP="00EB155C">
            <w:pPr>
              <w:pStyle w:val="TableText"/>
              <w:jc w:val="right"/>
              <w:rPr>
                <w:color w:val="000000" w:themeColor="text1"/>
              </w:rPr>
            </w:pPr>
            <w:r w:rsidRPr="004803BD">
              <w:t>2673</w:t>
            </w:r>
          </w:p>
        </w:tc>
        <w:tc>
          <w:tcPr>
            <w:tcW w:w="1003" w:type="dxa"/>
          </w:tcPr>
          <w:p w14:paraId="62C0B82F" w14:textId="77777777" w:rsidR="00783F0D" w:rsidRPr="004803BD" w:rsidRDefault="00783F0D" w:rsidP="00EB155C">
            <w:pPr>
              <w:pStyle w:val="TableText"/>
              <w:jc w:val="right"/>
              <w:rPr>
                <w:color w:val="000000" w:themeColor="text1"/>
              </w:rPr>
            </w:pPr>
            <w:r w:rsidRPr="004803BD">
              <w:t>25.8 (23.0,</w:t>
            </w:r>
            <w:r>
              <w:t xml:space="preserve"> </w:t>
            </w:r>
            <w:r w:rsidRPr="004803BD">
              <w:t>28.9)</w:t>
            </w:r>
          </w:p>
        </w:tc>
        <w:tc>
          <w:tcPr>
            <w:tcW w:w="416" w:type="dxa"/>
          </w:tcPr>
          <w:p w14:paraId="1666CBAD" w14:textId="77777777" w:rsidR="00783F0D" w:rsidRPr="004803BD" w:rsidRDefault="00783F0D" w:rsidP="00EB155C">
            <w:pPr>
              <w:pStyle w:val="TableText"/>
              <w:jc w:val="right"/>
              <w:rPr>
                <w:color w:val="000000" w:themeColor="text1"/>
              </w:rPr>
            </w:pPr>
            <w:r w:rsidRPr="004803BD">
              <w:t>610</w:t>
            </w:r>
          </w:p>
        </w:tc>
        <w:tc>
          <w:tcPr>
            <w:tcW w:w="779" w:type="dxa"/>
          </w:tcPr>
          <w:p w14:paraId="00A07535" w14:textId="77777777" w:rsidR="00783F0D" w:rsidRPr="004803BD" w:rsidRDefault="00783F0D" w:rsidP="00EB155C">
            <w:pPr>
              <w:pStyle w:val="TableText"/>
              <w:jc w:val="right"/>
              <w:rPr>
                <w:color w:val="000000" w:themeColor="text1"/>
              </w:rPr>
            </w:pPr>
            <w:r w:rsidRPr="004803BD">
              <w:t>5946</w:t>
            </w:r>
          </w:p>
        </w:tc>
        <w:tc>
          <w:tcPr>
            <w:tcW w:w="1003" w:type="dxa"/>
          </w:tcPr>
          <w:p w14:paraId="26BD1F10" w14:textId="77777777" w:rsidR="00783F0D" w:rsidRPr="004803BD" w:rsidRDefault="00783F0D" w:rsidP="00EB155C">
            <w:pPr>
              <w:pStyle w:val="TableText"/>
              <w:jc w:val="right"/>
              <w:rPr>
                <w:color w:val="000000" w:themeColor="text1"/>
              </w:rPr>
            </w:pPr>
            <w:r w:rsidRPr="004803BD">
              <w:t>29.5 (23.1,</w:t>
            </w:r>
            <w:r>
              <w:t xml:space="preserve"> </w:t>
            </w:r>
            <w:r w:rsidRPr="004803BD">
              <w:t>36.7)</w:t>
            </w:r>
          </w:p>
        </w:tc>
      </w:tr>
      <w:tr w:rsidR="00783F0D" w:rsidRPr="00AF016D" w14:paraId="021B824C"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801" w:type="dxa"/>
          </w:tcPr>
          <w:p w14:paraId="5C3C76EE" w14:textId="77777777" w:rsidR="00783F0D" w:rsidRPr="00494E02" w:rsidRDefault="00783F0D" w:rsidP="00EB155C">
            <w:pPr>
              <w:pStyle w:val="TableText"/>
            </w:pPr>
            <w:r w:rsidRPr="00494E02">
              <w:t>Upgrades required too often</w:t>
            </w:r>
          </w:p>
        </w:tc>
        <w:tc>
          <w:tcPr>
            <w:tcW w:w="416" w:type="dxa"/>
          </w:tcPr>
          <w:p w14:paraId="16AB6A52" w14:textId="77777777" w:rsidR="00783F0D" w:rsidRPr="004803BD" w:rsidRDefault="00783F0D" w:rsidP="00EB155C">
            <w:pPr>
              <w:pStyle w:val="TableText"/>
              <w:jc w:val="right"/>
              <w:rPr>
                <w:color w:val="000000" w:themeColor="text1"/>
              </w:rPr>
            </w:pPr>
            <w:r w:rsidRPr="004803BD">
              <w:t>165</w:t>
            </w:r>
          </w:p>
        </w:tc>
        <w:tc>
          <w:tcPr>
            <w:tcW w:w="779" w:type="dxa"/>
          </w:tcPr>
          <w:p w14:paraId="491A87CE" w14:textId="77777777" w:rsidR="00783F0D" w:rsidRPr="004803BD" w:rsidRDefault="00783F0D" w:rsidP="00EB155C">
            <w:pPr>
              <w:pStyle w:val="TableText"/>
              <w:jc w:val="right"/>
              <w:rPr>
                <w:color w:val="000000" w:themeColor="text1"/>
              </w:rPr>
            </w:pPr>
            <w:r w:rsidRPr="004803BD">
              <w:t>1219</w:t>
            </w:r>
          </w:p>
        </w:tc>
        <w:tc>
          <w:tcPr>
            <w:tcW w:w="1003" w:type="dxa"/>
          </w:tcPr>
          <w:p w14:paraId="19D8D6A2" w14:textId="77777777" w:rsidR="00783F0D" w:rsidRPr="004803BD" w:rsidRDefault="00783F0D" w:rsidP="00EB155C">
            <w:pPr>
              <w:pStyle w:val="TableText"/>
              <w:jc w:val="right"/>
              <w:rPr>
                <w:color w:val="000000" w:themeColor="text1"/>
              </w:rPr>
            </w:pPr>
            <w:r w:rsidRPr="004803BD">
              <w:t>11.8 (9.8,</w:t>
            </w:r>
            <w:r>
              <w:t xml:space="preserve"> </w:t>
            </w:r>
            <w:r w:rsidRPr="004803BD">
              <w:t>14.1)</w:t>
            </w:r>
          </w:p>
        </w:tc>
        <w:tc>
          <w:tcPr>
            <w:tcW w:w="416" w:type="dxa"/>
          </w:tcPr>
          <w:p w14:paraId="2EAED4CD" w14:textId="77777777" w:rsidR="00783F0D" w:rsidRPr="004803BD" w:rsidRDefault="00783F0D" w:rsidP="00EB155C">
            <w:pPr>
              <w:pStyle w:val="TableText"/>
              <w:jc w:val="right"/>
              <w:rPr>
                <w:color w:val="000000" w:themeColor="text1"/>
              </w:rPr>
            </w:pPr>
            <w:r w:rsidRPr="004803BD">
              <w:t>293</w:t>
            </w:r>
          </w:p>
        </w:tc>
        <w:tc>
          <w:tcPr>
            <w:tcW w:w="779" w:type="dxa"/>
          </w:tcPr>
          <w:p w14:paraId="04268F0C" w14:textId="77777777" w:rsidR="00783F0D" w:rsidRPr="004803BD" w:rsidRDefault="00783F0D" w:rsidP="00EB155C">
            <w:pPr>
              <w:pStyle w:val="TableText"/>
              <w:jc w:val="right"/>
              <w:rPr>
                <w:color w:val="000000" w:themeColor="text1"/>
              </w:rPr>
            </w:pPr>
            <w:r w:rsidRPr="004803BD">
              <w:t>2613</w:t>
            </w:r>
          </w:p>
        </w:tc>
        <w:tc>
          <w:tcPr>
            <w:tcW w:w="1003" w:type="dxa"/>
          </w:tcPr>
          <w:p w14:paraId="564A7947" w14:textId="77777777" w:rsidR="00783F0D" w:rsidRPr="004803BD" w:rsidRDefault="00783F0D" w:rsidP="00EB155C">
            <w:pPr>
              <w:pStyle w:val="TableText"/>
              <w:jc w:val="right"/>
              <w:rPr>
                <w:color w:val="000000" w:themeColor="text1"/>
              </w:rPr>
            </w:pPr>
            <w:r w:rsidRPr="004803BD">
              <w:t>13.0 (9.0,</w:t>
            </w:r>
            <w:r>
              <w:t xml:space="preserve"> </w:t>
            </w:r>
            <w:r w:rsidRPr="004803BD">
              <w:t>18.3)</w:t>
            </w:r>
          </w:p>
        </w:tc>
      </w:tr>
      <w:tr w:rsidR="00783F0D" w:rsidRPr="00AF016D" w14:paraId="67D97E9B" w14:textId="77777777" w:rsidTr="00A7285A">
        <w:trPr>
          <w:cantSplit/>
        </w:trPr>
        <w:tc>
          <w:tcPr>
            <w:tcW w:w="1801" w:type="dxa"/>
          </w:tcPr>
          <w:p w14:paraId="7462477E" w14:textId="77777777" w:rsidR="00783F0D" w:rsidRPr="00494E02" w:rsidRDefault="00783F0D" w:rsidP="00EB155C">
            <w:pPr>
              <w:pStyle w:val="TableText"/>
            </w:pPr>
            <w:r>
              <w:t>Privacy i</w:t>
            </w:r>
            <w:r w:rsidRPr="00494E02">
              <w:t>ssues</w:t>
            </w:r>
          </w:p>
        </w:tc>
        <w:tc>
          <w:tcPr>
            <w:tcW w:w="416" w:type="dxa"/>
          </w:tcPr>
          <w:p w14:paraId="795D9B38" w14:textId="77777777" w:rsidR="00783F0D" w:rsidRPr="004803BD" w:rsidRDefault="00783F0D" w:rsidP="00EB155C">
            <w:pPr>
              <w:pStyle w:val="TableText"/>
              <w:jc w:val="right"/>
              <w:rPr>
                <w:color w:val="000000" w:themeColor="text1"/>
              </w:rPr>
            </w:pPr>
            <w:r w:rsidRPr="004803BD">
              <w:t>260</w:t>
            </w:r>
          </w:p>
        </w:tc>
        <w:tc>
          <w:tcPr>
            <w:tcW w:w="779" w:type="dxa"/>
          </w:tcPr>
          <w:p w14:paraId="17189A39" w14:textId="77777777" w:rsidR="00783F0D" w:rsidRPr="004803BD" w:rsidRDefault="00783F0D" w:rsidP="00EB155C">
            <w:pPr>
              <w:pStyle w:val="TableText"/>
              <w:jc w:val="right"/>
              <w:rPr>
                <w:color w:val="000000" w:themeColor="text1"/>
              </w:rPr>
            </w:pPr>
            <w:r w:rsidRPr="004803BD">
              <w:t>1880</w:t>
            </w:r>
          </w:p>
        </w:tc>
        <w:tc>
          <w:tcPr>
            <w:tcW w:w="1003" w:type="dxa"/>
          </w:tcPr>
          <w:p w14:paraId="25E13F52" w14:textId="77777777" w:rsidR="00783F0D" w:rsidRPr="004803BD" w:rsidRDefault="00783F0D" w:rsidP="00EB155C">
            <w:pPr>
              <w:pStyle w:val="TableText"/>
              <w:jc w:val="right"/>
              <w:rPr>
                <w:color w:val="000000" w:themeColor="text1"/>
              </w:rPr>
            </w:pPr>
            <w:r w:rsidRPr="004803BD">
              <w:t>18.2 (15.7,</w:t>
            </w:r>
            <w:r>
              <w:t xml:space="preserve"> </w:t>
            </w:r>
            <w:r w:rsidRPr="004803BD">
              <w:t>20.9)</w:t>
            </w:r>
          </w:p>
        </w:tc>
        <w:tc>
          <w:tcPr>
            <w:tcW w:w="416" w:type="dxa"/>
          </w:tcPr>
          <w:p w14:paraId="4D46F29F" w14:textId="77777777" w:rsidR="00783F0D" w:rsidRPr="004803BD" w:rsidRDefault="00783F0D" w:rsidP="00EB155C">
            <w:pPr>
              <w:pStyle w:val="TableText"/>
              <w:jc w:val="right"/>
              <w:rPr>
                <w:color w:val="000000" w:themeColor="text1"/>
              </w:rPr>
            </w:pPr>
            <w:r w:rsidRPr="004803BD">
              <w:t>417</w:t>
            </w:r>
          </w:p>
        </w:tc>
        <w:tc>
          <w:tcPr>
            <w:tcW w:w="779" w:type="dxa"/>
          </w:tcPr>
          <w:p w14:paraId="35D6A2B1" w14:textId="77777777" w:rsidR="00783F0D" w:rsidRPr="004803BD" w:rsidRDefault="00783F0D" w:rsidP="00EB155C">
            <w:pPr>
              <w:pStyle w:val="TableText"/>
              <w:jc w:val="right"/>
              <w:rPr>
                <w:color w:val="000000" w:themeColor="text1"/>
              </w:rPr>
            </w:pPr>
            <w:r w:rsidRPr="004803BD">
              <w:t>4219</w:t>
            </w:r>
          </w:p>
        </w:tc>
        <w:tc>
          <w:tcPr>
            <w:tcW w:w="1003" w:type="dxa"/>
          </w:tcPr>
          <w:p w14:paraId="062C2D7B" w14:textId="77777777" w:rsidR="00783F0D" w:rsidRPr="004803BD" w:rsidRDefault="00783F0D" w:rsidP="00EB155C">
            <w:pPr>
              <w:pStyle w:val="TableText"/>
              <w:jc w:val="right"/>
              <w:rPr>
                <w:color w:val="000000" w:themeColor="text1"/>
              </w:rPr>
            </w:pPr>
            <w:r w:rsidRPr="004803BD">
              <w:t>20.9 (15.2,</w:t>
            </w:r>
            <w:r>
              <w:t xml:space="preserve"> </w:t>
            </w:r>
            <w:r w:rsidRPr="004803BD">
              <w:t>28.1)</w:t>
            </w:r>
          </w:p>
        </w:tc>
      </w:tr>
      <w:tr w:rsidR="00783F0D" w:rsidRPr="00AF016D" w14:paraId="507C9E6E"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801" w:type="dxa"/>
          </w:tcPr>
          <w:p w14:paraId="1DDADF9F" w14:textId="77777777" w:rsidR="00783F0D" w:rsidRPr="00494E02" w:rsidRDefault="00783F0D" w:rsidP="00EB155C">
            <w:pPr>
              <w:pStyle w:val="TableText"/>
            </w:pPr>
            <w:r w:rsidRPr="00494E02">
              <w:t>Other</w:t>
            </w:r>
          </w:p>
        </w:tc>
        <w:tc>
          <w:tcPr>
            <w:tcW w:w="416" w:type="dxa"/>
          </w:tcPr>
          <w:p w14:paraId="70C18C08" w14:textId="77777777" w:rsidR="00783F0D" w:rsidRPr="004803BD" w:rsidRDefault="00783F0D" w:rsidP="00EB155C">
            <w:pPr>
              <w:pStyle w:val="TableText"/>
              <w:jc w:val="right"/>
              <w:rPr>
                <w:color w:val="000000" w:themeColor="text1"/>
              </w:rPr>
            </w:pPr>
            <w:r w:rsidRPr="004803BD">
              <w:t>58</w:t>
            </w:r>
          </w:p>
        </w:tc>
        <w:tc>
          <w:tcPr>
            <w:tcW w:w="779" w:type="dxa"/>
          </w:tcPr>
          <w:p w14:paraId="4C2614BA" w14:textId="77777777" w:rsidR="00783F0D" w:rsidRPr="004803BD" w:rsidRDefault="00783F0D" w:rsidP="00EB155C">
            <w:pPr>
              <w:pStyle w:val="TableText"/>
              <w:jc w:val="right"/>
              <w:rPr>
                <w:color w:val="000000" w:themeColor="text1"/>
              </w:rPr>
            </w:pPr>
            <w:r w:rsidRPr="004803BD">
              <w:t>385</w:t>
            </w:r>
          </w:p>
        </w:tc>
        <w:tc>
          <w:tcPr>
            <w:tcW w:w="1003" w:type="dxa"/>
          </w:tcPr>
          <w:p w14:paraId="6BF60D4B" w14:textId="77777777" w:rsidR="00783F0D" w:rsidRPr="004803BD" w:rsidRDefault="00783F0D" w:rsidP="00EB155C">
            <w:pPr>
              <w:pStyle w:val="TableText"/>
              <w:jc w:val="right"/>
              <w:rPr>
                <w:color w:val="000000" w:themeColor="text1"/>
              </w:rPr>
            </w:pPr>
            <w:r w:rsidRPr="004803BD">
              <w:t>3.7 (2.7,</w:t>
            </w:r>
            <w:r>
              <w:t xml:space="preserve"> </w:t>
            </w:r>
            <w:r w:rsidRPr="004803BD">
              <w:t>5.1)</w:t>
            </w:r>
          </w:p>
        </w:tc>
        <w:tc>
          <w:tcPr>
            <w:tcW w:w="416" w:type="dxa"/>
          </w:tcPr>
          <w:p w14:paraId="5968DB66" w14:textId="77777777" w:rsidR="00783F0D" w:rsidRPr="004803BD" w:rsidRDefault="00783F0D" w:rsidP="00EB155C">
            <w:pPr>
              <w:pStyle w:val="TableText"/>
              <w:jc w:val="right"/>
              <w:rPr>
                <w:color w:val="000000" w:themeColor="text1"/>
              </w:rPr>
            </w:pPr>
            <w:r w:rsidRPr="004803BD">
              <w:t>110</w:t>
            </w:r>
          </w:p>
        </w:tc>
        <w:tc>
          <w:tcPr>
            <w:tcW w:w="779" w:type="dxa"/>
          </w:tcPr>
          <w:p w14:paraId="26B5BA4A" w14:textId="77777777" w:rsidR="00783F0D" w:rsidRPr="004803BD" w:rsidRDefault="00783F0D" w:rsidP="00EB155C">
            <w:pPr>
              <w:pStyle w:val="TableText"/>
              <w:jc w:val="right"/>
              <w:rPr>
                <w:color w:val="000000" w:themeColor="text1"/>
              </w:rPr>
            </w:pPr>
            <w:r w:rsidRPr="004803BD">
              <w:t>938</w:t>
            </w:r>
          </w:p>
        </w:tc>
        <w:tc>
          <w:tcPr>
            <w:tcW w:w="1003" w:type="dxa"/>
          </w:tcPr>
          <w:p w14:paraId="24B86161" w14:textId="77777777" w:rsidR="00783F0D" w:rsidRPr="004803BD" w:rsidRDefault="00783F0D" w:rsidP="00EB155C">
            <w:pPr>
              <w:pStyle w:val="TableText"/>
              <w:jc w:val="right"/>
              <w:rPr>
                <w:color w:val="000000" w:themeColor="text1"/>
              </w:rPr>
            </w:pPr>
            <w:r w:rsidRPr="004803BD">
              <w:t>4.7 (2.7,</w:t>
            </w:r>
            <w:r>
              <w:t xml:space="preserve"> </w:t>
            </w:r>
            <w:r w:rsidRPr="004803BD">
              <w:t>8.0)</w:t>
            </w:r>
          </w:p>
        </w:tc>
      </w:tr>
    </w:tbl>
    <w:p w14:paraId="57D6B3C8" w14:textId="77777777" w:rsidR="00783F0D" w:rsidRPr="006A3EA0" w:rsidRDefault="00783F0D" w:rsidP="00783F0D">
      <w:pPr>
        <w:pStyle w:val="TableNotes"/>
      </w:pPr>
      <w:r w:rsidRPr="006A3EA0">
        <w:t>Notes</w:t>
      </w:r>
    </w:p>
    <w:p w14:paraId="62BBE6FB" w14:textId="77777777" w:rsidR="00783F0D" w:rsidRDefault="00783F0D" w:rsidP="00783F0D">
      <w:pPr>
        <w:pStyle w:val="TableNotes"/>
      </w:pPr>
      <w:r w:rsidRPr="00F403FE">
        <w:t xml:space="preserve">Denominator: Those who </w:t>
      </w:r>
      <w:r>
        <w:t>don’t use emerging technologies.</w:t>
      </w:r>
    </w:p>
    <w:p w14:paraId="5D991787" w14:textId="77777777" w:rsidR="00783F0D" w:rsidRPr="00F403FE" w:rsidRDefault="00783F0D" w:rsidP="00783F0D">
      <w:pPr>
        <w:pStyle w:val="TableNotes"/>
      </w:pPr>
      <w:r>
        <w:t>Participants could endorse multiple responses for this question, hence percentages do not add up to 100%. Because responses that were not endorsed were assumed to be left blank intentionally, there are no missing values for this question.</w:t>
      </w:r>
    </w:p>
    <w:p w14:paraId="552888E8" w14:textId="7D7E0A6D" w:rsidR="00783F0D" w:rsidRPr="00F403FE" w:rsidRDefault="00783F0D" w:rsidP="00783F0D">
      <w:pPr>
        <w:pStyle w:val="TableNotes"/>
      </w:pPr>
      <w:r w:rsidRPr="00F403FE">
        <w:t>95%CI</w:t>
      </w:r>
      <w:r>
        <w:t xml:space="preserve"> =</w:t>
      </w:r>
      <w:r w:rsidRPr="00F403FE">
        <w:t xml:space="preserve"> 95% </w:t>
      </w:r>
      <w:r>
        <w:t>confidence interval</w:t>
      </w:r>
      <w:r w:rsidR="00A33631">
        <w:t>.</w:t>
      </w:r>
      <w:r w:rsidRPr="00F403FE">
        <w:t xml:space="preserve"> </w:t>
      </w:r>
    </w:p>
    <w:p w14:paraId="0F191795" w14:textId="77777777" w:rsidR="00783F0D" w:rsidRDefault="00783F0D" w:rsidP="000624A6">
      <w:pPr>
        <w:pStyle w:val="TableNotes"/>
      </w:pPr>
      <w:r w:rsidRPr="00F403FE">
        <w:t>For a full description of odds ratios, interpretation and strength of association</w:t>
      </w:r>
      <w:r>
        <w:t>,</w:t>
      </w:r>
      <w:r w:rsidRPr="00F403FE">
        <w:t xml:space="preserve"> please refer to Table B.1</w:t>
      </w:r>
      <w:r w:rsidRPr="00BB1B84">
        <w:t xml:space="preserve"> in </w:t>
      </w:r>
      <w:r w:rsidR="00374073">
        <w:t>Annex </w:t>
      </w:r>
      <w:r>
        <w:t>B, Odds ratio table.</w:t>
      </w:r>
    </w:p>
    <w:p w14:paraId="50AA66CD" w14:textId="232526C7" w:rsidR="00783F0D" w:rsidRDefault="00783F0D" w:rsidP="00783F0D">
      <w:pPr>
        <w:pStyle w:val="FigureName"/>
      </w:pPr>
      <w:bookmarkStart w:id="515" w:name="_Ref517352079"/>
      <w:bookmarkStart w:id="516" w:name="_Toc509922947"/>
      <w:bookmarkStart w:id="517" w:name="_Toc515374721"/>
      <w:bookmarkStart w:id="518" w:name="_Toc528932405"/>
      <w:bookmarkStart w:id="519" w:name="_Toc531858085"/>
      <w:r>
        <w:t xml:space="preserve">Figure </w:t>
      </w:r>
      <w:r>
        <w:rPr>
          <w:noProof/>
        </w:rPr>
        <w:t>5</w:t>
      </w:r>
      <w:r>
        <w:t>.</w:t>
      </w:r>
      <w:r>
        <w:rPr>
          <w:noProof/>
        </w:rPr>
        <w:t>3</w:t>
      </w:r>
      <w:bookmarkEnd w:id="515"/>
      <w:r>
        <w:tab/>
      </w:r>
      <w:r w:rsidRPr="00F65B2B">
        <w:t>Barriers to using new and emerging technologies in Transitioned ADF and 2015 Regular ADF</w:t>
      </w:r>
      <w:bookmarkEnd w:id="516"/>
      <w:bookmarkEnd w:id="517"/>
      <w:r>
        <w:t xml:space="preserve"> </w:t>
      </w:r>
      <w:r w:rsidRPr="00E26506">
        <w:rPr>
          <w:rFonts w:eastAsia="Calibri"/>
        </w:rPr>
        <w:t>among those who report</w:t>
      </w:r>
      <w:r>
        <w:rPr>
          <w:rFonts w:eastAsia="Calibri"/>
        </w:rPr>
        <w:t>ed</w:t>
      </w:r>
      <w:r w:rsidRPr="00E26506">
        <w:rPr>
          <w:rFonts w:eastAsia="Calibri"/>
        </w:rPr>
        <w:t xml:space="preserve"> </w:t>
      </w:r>
      <w:r>
        <w:rPr>
          <w:rFonts w:eastAsia="Calibri"/>
        </w:rPr>
        <w:t xml:space="preserve">that they did </w:t>
      </w:r>
      <w:r w:rsidRPr="00E26506">
        <w:rPr>
          <w:rFonts w:eastAsia="Calibri"/>
        </w:rPr>
        <w:t>not us</w:t>
      </w:r>
      <w:r>
        <w:rPr>
          <w:rFonts w:eastAsia="Calibri"/>
        </w:rPr>
        <w:t>e</w:t>
      </w:r>
      <w:r w:rsidRPr="00E26506">
        <w:rPr>
          <w:rFonts w:eastAsia="Calibri"/>
        </w:rPr>
        <w:t xml:space="preserve"> new and emerging technologies</w:t>
      </w:r>
      <w:bookmarkEnd w:id="518"/>
      <w:bookmarkEnd w:id="519"/>
    </w:p>
    <w:p w14:paraId="34369EBD" w14:textId="77777777" w:rsidR="00783F0D" w:rsidRDefault="000624A6" w:rsidP="000624A6">
      <w:pPr>
        <w:spacing w:after="360"/>
      </w:pPr>
      <w:r w:rsidRPr="00D254D0">
        <w:rPr>
          <w:noProof/>
          <w:lang w:eastAsia="en-AU"/>
        </w:rPr>
        <w:drawing>
          <wp:inline distT="0" distB="0" distL="0" distR="0" wp14:anchorId="6E531578" wp14:editId="01CCA9A1">
            <wp:extent cx="4572000" cy="2362952"/>
            <wp:effectExtent l="0" t="0" r="0" b="0"/>
            <wp:docPr id="13" name="Picture 13" descr="Figure 5.3 Barriers to using new and emerging technologies in Transitioned ADF and 2015 Regular ADF among those who reported that they did not use new and emerging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althSciences\SPHCP\CTSS\DATA REPOSITORY\TWRP\REPORT 5\FIGURE_4_6.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2362952"/>
                    </a:xfrm>
                    <a:prstGeom prst="rect">
                      <a:avLst/>
                    </a:prstGeom>
                    <a:noFill/>
                    <a:ln>
                      <a:noFill/>
                    </a:ln>
                  </pic:spPr>
                </pic:pic>
              </a:graphicData>
            </a:graphic>
          </wp:inline>
        </w:drawing>
      </w:r>
    </w:p>
    <w:p w14:paraId="2E749174" w14:textId="77777777" w:rsidR="00783F0D" w:rsidRPr="00071F81" w:rsidRDefault="00783F0D" w:rsidP="00783F0D">
      <w:pPr>
        <w:pStyle w:val="Heading2"/>
        <w:numPr>
          <w:ilvl w:val="1"/>
          <w:numId w:val="1"/>
        </w:numPr>
        <w:ind w:left="720" w:hanging="720"/>
      </w:pPr>
      <w:bookmarkStart w:id="520" w:name="_Toc509917439"/>
      <w:bookmarkStart w:id="521" w:name="_Toc515374481"/>
      <w:bookmarkStart w:id="522" w:name="_Toc518566378"/>
      <w:bookmarkStart w:id="523" w:name="_Toc528932671"/>
      <w:bookmarkStart w:id="524" w:name="_Toc531859208"/>
      <w:r w:rsidRPr="00071F81">
        <w:t>Desired new and emerging technologies</w:t>
      </w:r>
      <w:bookmarkEnd w:id="520"/>
      <w:bookmarkEnd w:id="521"/>
      <w:bookmarkEnd w:id="522"/>
      <w:bookmarkEnd w:id="523"/>
      <w:bookmarkEnd w:id="524"/>
    </w:p>
    <w:p w14:paraId="48FCCBFB" w14:textId="77777777" w:rsidR="00783F0D" w:rsidRDefault="00783F0D" w:rsidP="008F66DD">
      <w:pPr>
        <w:keepLines/>
      </w:pPr>
      <w:r>
        <w:t xml:space="preserve">More than three quarters of the </w:t>
      </w:r>
      <w:r w:rsidRPr="00E26506">
        <w:t>Transitioned ADF and 2015 Regular ADF</w:t>
      </w:r>
      <w:r>
        <w:t xml:space="preserve"> report</w:t>
      </w:r>
      <w:r w:rsidRPr="00071F81">
        <w:t xml:space="preserve">ed that they would like to use ‘any emerging technology’ for health and wellbeing </w:t>
      </w:r>
      <w:r>
        <w:t xml:space="preserve">if money was not an issue </w:t>
      </w:r>
      <w:r w:rsidRPr="00071F81">
        <w:rPr>
          <w:color w:val="auto"/>
        </w:rPr>
        <w:t>(</w:t>
      </w:r>
      <w:r>
        <w:t xml:space="preserve">Table </w:t>
      </w:r>
      <w:r>
        <w:rPr>
          <w:noProof/>
        </w:rPr>
        <w:t>5.4</w:t>
      </w:r>
      <w:r w:rsidRPr="00071F81">
        <w:rPr>
          <w:color w:val="auto"/>
        </w:rPr>
        <w:t xml:space="preserve"> and </w:t>
      </w:r>
      <w:r>
        <w:t xml:space="preserve">Figure </w:t>
      </w:r>
      <w:r>
        <w:rPr>
          <w:noProof/>
        </w:rPr>
        <w:t>5.4</w:t>
      </w:r>
      <w:r w:rsidRPr="00071F81">
        <w:rPr>
          <w:color w:val="auto"/>
        </w:rPr>
        <w:t xml:space="preserve">). </w:t>
      </w:r>
      <w:r w:rsidRPr="00071F81">
        <w:t>A</w:t>
      </w:r>
      <w:r>
        <w:t xml:space="preserve">pproximately </w:t>
      </w:r>
      <w:r w:rsidRPr="00071F81">
        <w:t xml:space="preserve">40% were interested in using wearable technology (e.g. </w:t>
      </w:r>
      <w:r>
        <w:t>a commercially available wrist-based tracker</w:t>
      </w:r>
      <w:r w:rsidRPr="00071F81">
        <w:t>) (Transitioned ADF 37.8%, 2015 Regular ADF 42.3</w:t>
      </w:r>
      <w:r w:rsidRPr="00E26506">
        <w:t xml:space="preserve">%), </w:t>
      </w:r>
      <w:r>
        <w:t>a S</w:t>
      </w:r>
      <w:r w:rsidRPr="00E26506">
        <w:t xml:space="preserve">martwatch (Transitioned ADF 32.3%, 2015 Regular ADF 37.3%) and software applications or </w:t>
      </w:r>
      <w:r>
        <w:t>app</w:t>
      </w:r>
      <w:r w:rsidRPr="00E26506">
        <w:t>s (Transitioned ADF 33.5%, 2015 Regular ADF 32.5%).</w:t>
      </w:r>
      <w:r w:rsidRPr="00E26506">
        <w:rPr>
          <w:rFonts w:eastAsia="Times New Roman"/>
          <w:lang w:eastAsia="en-AU"/>
        </w:rPr>
        <w:t xml:space="preserve"> </w:t>
      </w:r>
      <w:r>
        <w:t>There were no significant differences between Transitioned ADF and 2015 Regular ADF in the types of technologies desired.</w:t>
      </w:r>
    </w:p>
    <w:p w14:paraId="252A48E8" w14:textId="77777777" w:rsidR="00783F0D" w:rsidRPr="00D50754" w:rsidRDefault="00783F0D" w:rsidP="00783F0D">
      <w:pPr>
        <w:pStyle w:val="TableName"/>
      </w:pPr>
      <w:bookmarkStart w:id="525" w:name="_Ref517352388"/>
      <w:bookmarkStart w:id="526" w:name="_Toc509922874"/>
      <w:bookmarkStart w:id="527" w:name="_Toc515374649"/>
      <w:bookmarkStart w:id="528" w:name="_Toc528932325"/>
      <w:bookmarkStart w:id="529" w:name="_Toc531858004"/>
      <w:r>
        <w:t xml:space="preserve">Table </w:t>
      </w:r>
      <w:r>
        <w:rPr>
          <w:noProof/>
        </w:rPr>
        <w:t>5</w:t>
      </w:r>
      <w:r>
        <w:t>.</w:t>
      </w:r>
      <w:r>
        <w:rPr>
          <w:noProof/>
        </w:rPr>
        <w:t>4</w:t>
      </w:r>
      <w:bookmarkEnd w:id="525"/>
      <w:r>
        <w:tab/>
      </w:r>
      <w:r w:rsidRPr="006C4604">
        <w:t>Desired</w:t>
      </w:r>
      <w:r w:rsidRPr="00F65B2B">
        <w:t xml:space="preserve"> new and emerging technologies in Transitioned ADF and 2015 Regular ADF</w:t>
      </w:r>
      <w:bookmarkEnd w:id="526"/>
      <w:bookmarkEnd w:id="527"/>
      <w:bookmarkEnd w:id="528"/>
      <w:bookmarkEnd w:id="529"/>
    </w:p>
    <w:tbl>
      <w:tblPr>
        <w:tblStyle w:val="TWRPTable"/>
        <w:tblW w:w="5000" w:type="pct"/>
        <w:tblLayout w:type="fixed"/>
        <w:tblLook w:val="0000" w:firstRow="0" w:lastRow="0" w:firstColumn="0" w:lastColumn="0" w:noHBand="0" w:noVBand="0"/>
        <w:tblDescription w:val="Table 5.4 Desired new and emerging technologies in Transitioned ADF and 2015 Regular ADF"/>
      </w:tblPr>
      <w:tblGrid>
        <w:gridCol w:w="2203"/>
        <w:gridCol w:w="520"/>
        <w:gridCol w:w="872"/>
        <w:gridCol w:w="1053"/>
        <w:gridCol w:w="516"/>
        <w:gridCol w:w="872"/>
        <w:gridCol w:w="1053"/>
      </w:tblGrid>
      <w:tr w:rsidR="00783F0D" w:rsidRPr="00920278" w14:paraId="4D9AD495" w14:textId="77777777" w:rsidTr="00A7285A">
        <w:trPr>
          <w:cantSplit/>
          <w:tblHeader/>
        </w:trPr>
        <w:tc>
          <w:tcPr>
            <w:tcW w:w="1553" w:type="pct"/>
            <w:tcBorders>
              <w:top w:val="single" w:sz="4" w:space="0" w:color="000000"/>
              <w:bottom w:val="nil"/>
            </w:tcBorders>
          </w:tcPr>
          <w:p w14:paraId="623BB542" w14:textId="77777777" w:rsidR="00783F0D" w:rsidRPr="00071F81" w:rsidRDefault="00783F0D" w:rsidP="00EB155C">
            <w:pPr>
              <w:pStyle w:val="TableText"/>
              <w:rPr>
                <w:b/>
              </w:rPr>
            </w:pPr>
          </w:p>
        </w:tc>
        <w:tc>
          <w:tcPr>
            <w:tcW w:w="1725" w:type="pct"/>
            <w:gridSpan w:val="3"/>
            <w:tcBorders>
              <w:top w:val="single" w:sz="4" w:space="0" w:color="000000"/>
              <w:bottom w:val="single" w:sz="4" w:space="0" w:color="000000"/>
            </w:tcBorders>
          </w:tcPr>
          <w:p w14:paraId="27A5A209" w14:textId="77777777" w:rsidR="00783F0D" w:rsidRPr="00071F81" w:rsidRDefault="00783F0D" w:rsidP="000624A6">
            <w:pPr>
              <w:pStyle w:val="TableText"/>
              <w:jc w:val="center"/>
              <w:rPr>
                <w:b/>
              </w:rPr>
            </w:pPr>
            <w:r w:rsidRPr="00071F81">
              <w:rPr>
                <w:b/>
              </w:rPr>
              <w:t>Transitioned ADF</w:t>
            </w:r>
            <w:r w:rsidR="000624A6">
              <w:rPr>
                <w:b/>
              </w:rPr>
              <w:br/>
            </w:r>
            <w:r w:rsidRPr="00071F81">
              <w:rPr>
                <w:b/>
              </w:rPr>
              <w:t>n=24,932</w:t>
            </w:r>
          </w:p>
        </w:tc>
        <w:tc>
          <w:tcPr>
            <w:tcW w:w="1722" w:type="pct"/>
            <w:gridSpan w:val="3"/>
            <w:tcBorders>
              <w:top w:val="single" w:sz="4" w:space="0" w:color="000000"/>
              <w:bottom w:val="single" w:sz="4" w:space="0" w:color="000000"/>
            </w:tcBorders>
          </w:tcPr>
          <w:p w14:paraId="1845ECD1" w14:textId="77777777" w:rsidR="00783F0D" w:rsidRPr="00071F81" w:rsidRDefault="00783F0D" w:rsidP="000624A6">
            <w:pPr>
              <w:pStyle w:val="TableText"/>
              <w:jc w:val="center"/>
              <w:rPr>
                <w:b/>
              </w:rPr>
            </w:pPr>
            <w:r w:rsidRPr="00071F81">
              <w:rPr>
                <w:b/>
              </w:rPr>
              <w:t>2015 Regular ADF</w:t>
            </w:r>
            <w:r w:rsidR="000624A6">
              <w:rPr>
                <w:b/>
              </w:rPr>
              <w:br/>
            </w:r>
            <w:r w:rsidRPr="00071F81">
              <w:rPr>
                <w:b/>
              </w:rPr>
              <w:t>n=52,500</w:t>
            </w:r>
          </w:p>
        </w:tc>
      </w:tr>
      <w:tr w:rsidR="00A7285A" w:rsidRPr="00920278" w14:paraId="62421A72" w14:textId="77777777" w:rsidTr="00A7285A">
        <w:trPr>
          <w:cantSplit/>
          <w:tblHeader/>
        </w:trPr>
        <w:tc>
          <w:tcPr>
            <w:tcW w:w="1553" w:type="pct"/>
            <w:tcBorders>
              <w:top w:val="nil"/>
              <w:bottom w:val="single" w:sz="4" w:space="0" w:color="000000"/>
            </w:tcBorders>
          </w:tcPr>
          <w:p w14:paraId="47DA3CFB" w14:textId="77777777" w:rsidR="00783F0D" w:rsidRPr="00071F81" w:rsidRDefault="00783F0D" w:rsidP="00EB155C">
            <w:pPr>
              <w:pStyle w:val="TableText"/>
              <w:rPr>
                <w:b/>
              </w:rPr>
            </w:pPr>
            <w:r w:rsidRPr="00071F81">
              <w:rPr>
                <w:b/>
              </w:rPr>
              <w:t xml:space="preserve">Ideal </w:t>
            </w:r>
            <w:r>
              <w:rPr>
                <w:b/>
              </w:rPr>
              <w:t>t</w:t>
            </w:r>
            <w:r w:rsidRPr="00071F81">
              <w:rPr>
                <w:b/>
              </w:rPr>
              <w:t>ypes</w:t>
            </w:r>
          </w:p>
        </w:tc>
        <w:tc>
          <w:tcPr>
            <w:tcW w:w="367" w:type="pct"/>
            <w:tcBorders>
              <w:top w:val="single" w:sz="4" w:space="0" w:color="000000"/>
              <w:bottom w:val="single" w:sz="4" w:space="0" w:color="000000"/>
            </w:tcBorders>
          </w:tcPr>
          <w:p w14:paraId="1A6255C2" w14:textId="77777777" w:rsidR="00783F0D" w:rsidRPr="00071F81" w:rsidRDefault="00783F0D" w:rsidP="00EB155C">
            <w:pPr>
              <w:pStyle w:val="TableText"/>
              <w:jc w:val="right"/>
              <w:rPr>
                <w:b/>
              </w:rPr>
            </w:pPr>
            <w:r w:rsidRPr="00071F81">
              <w:rPr>
                <w:b/>
              </w:rPr>
              <w:t>n</w:t>
            </w:r>
          </w:p>
        </w:tc>
        <w:tc>
          <w:tcPr>
            <w:tcW w:w="615" w:type="pct"/>
            <w:tcBorders>
              <w:top w:val="single" w:sz="4" w:space="0" w:color="000000"/>
              <w:bottom w:val="single" w:sz="4" w:space="0" w:color="000000"/>
            </w:tcBorders>
          </w:tcPr>
          <w:p w14:paraId="4980AE85" w14:textId="77777777" w:rsidR="00783F0D" w:rsidRPr="00071F81" w:rsidRDefault="00783F0D" w:rsidP="00EB155C">
            <w:pPr>
              <w:pStyle w:val="TableText"/>
              <w:jc w:val="right"/>
              <w:rPr>
                <w:b/>
              </w:rPr>
            </w:pPr>
            <w:r w:rsidRPr="00071F81">
              <w:rPr>
                <w:b/>
              </w:rPr>
              <w:t>Weighted n</w:t>
            </w:r>
          </w:p>
        </w:tc>
        <w:tc>
          <w:tcPr>
            <w:tcW w:w="743" w:type="pct"/>
            <w:tcBorders>
              <w:top w:val="single" w:sz="4" w:space="0" w:color="000000"/>
              <w:bottom w:val="single" w:sz="4" w:space="0" w:color="000000"/>
            </w:tcBorders>
          </w:tcPr>
          <w:p w14:paraId="68B40340" w14:textId="77777777" w:rsidR="00783F0D" w:rsidRPr="00071F81" w:rsidRDefault="00783F0D" w:rsidP="00EB155C">
            <w:pPr>
              <w:pStyle w:val="TableText"/>
              <w:jc w:val="right"/>
              <w:rPr>
                <w:b/>
              </w:rPr>
            </w:pPr>
            <w:r w:rsidRPr="00071F81">
              <w:rPr>
                <w:b/>
              </w:rPr>
              <w:t>% (95%CI)</w:t>
            </w:r>
          </w:p>
        </w:tc>
        <w:tc>
          <w:tcPr>
            <w:tcW w:w="364" w:type="pct"/>
            <w:tcBorders>
              <w:top w:val="single" w:sz="4" w:space="0" w:color="000000"/>
              <w:bottom w:val="single" w:sz="4" w:space="0" w:color="000000"/>
            </w:tcBorders>
          </w:tcPr>
          <w:p w14:paraId="5CED8D68" w14:textId="77777777" w:rsidR="00783F0D" w:rsidRPr="00071F81" w:rsidRDefault="00783F0D" w:rsidP="00EB155C">
            <w:pPr>
              <w:pStyle w:val="TableText"/>
              <w:jc w:val="right"/>
              <w:rPr>
                <w:b/>
              </w:rPr>
            </w:pPr>
            <w:r w:rsidRPr="00071F81">
              <w:rPr>
                <w:b/>
              </w:rPr>
              <w:t>n</w:t>
            </w:r>
          </w:p>
        </w:tc>
        <w:tc>
          <w:tcPr>
            <w:tcW w:w="615" w:type="pct"/>
            <w:tcBorders>
              <w:top w:val="single" w:sz="4" w:space="0" w:color="000000"/>
              <w:bottom w:val="single" w:sz="4" w:space="0" w:color="000000"/>
            </w:tcBorders>
          </w:tcPr>
          <w:p w14:paraId="2056C2D9" w14:textId="77777777" w:rsidR="00783F0D" w:rsidRPr="00071F81" w:rsidRDefault="00783F0D" w:rsidP="00EB155C">
            <w:pPr>
              <w:pStyle w:val="TableText"/>
              <w:jc w:val="right"/>
              <w:rPr>
                <w:b/>
              </w:rPr>
            </w:pPr>
            <w:r w:rsidRPr="00071F81">
              <w:rPr>
                <w:b/>
              </w:rPr>
              <w:t>Weighted n</w:t>
            </w:r>
          </w:p>
        </w:tc>
        <w:tc>
          <w:tcPr>
            <w:tcW w:w="743" w:type="pct"/>
            <w:tcBorders>
              <w:top w:val="single" w:sz="4" w:space="0" w:color="000000"/>
              <w:bottom w:val="single" w:sz="4" w:space="0" w:color="000000"/>
            </w:tcBorders>
          </w:tcPr>
          <w:p w14:paraId="3B7DC02C" w14:textId="77777777" w:rsidR="00783F0D" w:rsidRPr="00071F81" w:rsidRDefault="00783F0D" w:rsidP="00EB155C">
            <w:pPr>
              <w:pStyle w:val="TableText"/>
              <w:jc w:val="right"/>
              <w:rPr>
                <w:b/>
              </w:rPr>
            </w:pPr>
            <w:r w:rsidRPr="00071F81">
              <w:rPr>
                <w:b/>
              </w:rPr>
              <w:t>% (95%CI)</w:t>
            </w:r>
          </w:p>
        </w:tc>
      </w:tr>
      <w:tr w:rsidR="00A7285A" w:rsidRPr="00920278" w14:paraId="41D91134"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553" w:type="pct"/>
            <w:tcBorders>
              <w:top w:val="single" w:sz="4" w:space="0" w:color="000000"/>
            </w:tcBorders>
          </w:tcPr>
          <w:p w14:paraId="1CFD65AD" w14:textId="77777777" w:rsidR="00783F0D" w:rsidRPr="00D50754" w:rsidDel="00CF2FAE" w:rsidRDefault="00783F0D" w:rsidP="00EB155C">
            <w:pPr>
              <w:pStyle w:val="TableText"/>
            </w:pPr>
            <w:r w:rsidRPr="00D50754">
              <w:t xml:space="preserve">Any </w:t>
            </w:r>
            <w:r>
              <w:t>e</w:t>
            </w:r>
            <w:r w:rsidRPr="00D50754">
              <w:t xml:space="preserve">merging </w:t>
            </w:r>
            <w:r>
              <w:t>t</w:t>
            </w:r>
            <w:r w:rsidRPr="00D50754">
              <w:t>echnology</w:t>
            </w:r>
          </w:p>
        </w:tc>
        <w:tc>
          <w:tcPr>
            <w:tcW w:w="367" w:type="pct"/>
            <w:tcBorders>
              <w:top w:val="single" w:sz="4" w:space="0" w:color="000000"/>
            </w:tcBorders>
          </w:tcPr>
          <w:p w14:paraId="403264A8" w14:textId="77777777" w:rsidR="00783F0D" w:rsidRPr="00D50754" w:rsidDel="00CF2FAE" w:rsidRDefault="00783F0D" w:rsidP="00EB155C">
            <w:pPr>
              <w:pStyle w:val="TableText"/>
              <w:jc w:val="right"/>
            </w:pPr>
            <w:r w:rsidRPr="00D50754">
              <w:t>2555</w:t>
            </w:r>
          </w:p>
        </w:tc>
        <w:tc>
          <w:tcPr>
            <w:tcW w:w="615" w:type="pct"/>
            <w:tcBorders>
              <w:top w:val="single" w:sz="4" w:space="0" w:color="000000"/>
            </w:tcBorders>
          </w:tcPr>
          <w:p w14:paraId="684C4D75" w14:textId="77777777" w:rsidR="00783F0D" w:rsidRPr="00D50754" w:rsidDel="00CF2FAE" w:rsidRDefault="00783F0D" w:rsidP="00EB155C">
            <w:pPr>
              <w:pStyle w:val="TableText"/>
              <w:jc w:val="right"/>
            </w:pPr>
            <w:r w:rsidRPr="00D50754">
              <w:t>18</w:t>
            </w:r>
            <w:r>
              <w:t>,</w:t>
            </w:r>
            <w:r w:rsidRPr="00D50754">
              <w:t>275</w:t>
            </w:r>
          </w:p>
        </w:tc>
        <w:tc>
          <w:tcPr>
            <w:tcW w:w="743" w:type="pct"/>
            <w:tcBorders>
              <w:top w:val="single" w:sz="4" w:space="0" w:color="000000"/>
            </w:tcBorders>
          </w:tcPr>
          <w:p w14:paraId="524465D5" w14:textId="77777777" w:rsidR="00783F0D" w:rsidRPr="00D50754" w:rsidDel="00CF2FAE" w:rsidRDefault="00783F0D" w:rsidP="00EB155C">
            <w:pPr>
              <w:pStyle w:val="TableText"/>
              <w:jc w:val="right"/>
            </w:pPr>
            <w:r w:rsidRPr="00D50754">
              <w:t>73.3 (71.4, 75.1)</w:t>
            </w:r>
          </w:p>
        </w:tc>
        <w:tc>
          <w:tcPr>
            <w:tcW w:w="364" w:type="pct"/>
            <w:tcBorders>
              <w:top w:val="single" w:sz="4" w:space="0" w:color="000000"/>
            </w:tcBorders>
          </w:tcPr>
          <w:p w14:paraId="25037E89" w14:textId="77777777" w:rsidR="00783F0D" w:rsidRPr="00D50754" w:rsidDel="00CF2FAE" w:rsidRDefault="00783F0D" w:rsidP="00EB155C">
            <w:pPr>
              <w:pStyle w:val="TableText"/>
              <w:jc w:val="right"/>
            </w:pPr>
            <w:r w:rsidRPr="00D50754">
              <w:t>5643</w:t>
            </w:r>
          </w:p>
        </w:tc>
        <w:tc>
          <w:tcPr>
            <w:tcW w:w="615" w:type="pct"/>
            <w:tcBorders>
              <w:top w:val="single" w:sz="4" w:space="0" w:color="000000"/>
            </w:tcBorders>
          </w:tcPr>
          <w:p w14:paraId="121A25AA" w14:textId="77777777" w:rsidR="00783F0D" w:rsidRPr="00D50754" w:rsidDel="00CF2FAE" w:rsidRDefault="00783F0D" w:rsidP="00EB155C">
            <w:pPr>
              <w:pStyle w:val="TableText"/>
              <w:jc w:val="right"/>
            </w:pPr>
            <w:r w:rsidRPr="00D50754">
              <w:t>38</w:t>
            </w:r>
            <w:r>
              <w:t>,</w:t>
            </w:r>
            <w:r w:rsidRPr="00D50754">
              <w:t>062</w:t>
            </w:r>
          </w:p>
        </w:tc>
        <w:tc>
          <w:tcPr>
            <w:tcW w:w="743" w:type="pct"/>
            <w:tcBorders>
              <w:top w:val="single" w:sz="4" w:space="0" w:color="000000"/>
            </w:tcBorders>
          </w:tcPr>
          <w:p w14:paraId="1023A0B6" w14:textId="77777777" w:rsidR="00783F0D" w:rsidRPr="00071F81" w:rsidDel="00CF2FAE" w:rsidRDefault="00783F0D" w:rsidP="00EB155C">
            <w:pPr>
              <w:pStyle w:val="TableText"/>
              <w:jc w:val="right"/>
            </w:pPr>
            <w:r w:rsidRPr="00071F81">
              <w:t>72.5 (68.3,</w:t>
            </w:r>
            <w:r>
              <w:t xml:space="preserve"> </w:t>
            </w:r>
            <w:r w:rsidRPr="00071F81">
              <w:t>76.3)</w:t>
            </w:r>
          </w:p>
        </w:tc>
      </w:tr>
      <w:tr w:rsidR="00A7285A" w:rsidRPr="00920278" w14:paraId="68D09018" w14:textId="77777777" w:rsidTr="00A7285A">
        <w:trPr>
          <w:cantSplit/>
        </w:trPr>
        <w:tc>
          <w:tcPr>
            <w:tcW w:w="1553" w:type="pct"/>
          </w:tcPr>
          <w:p w14:paraId="3F75BC60" w14:textId="77777777" w:rsidR="00783F0D" w:rsidRPr="00920278" w:rsidRDefault="00783F0D" w:rsidP="00EB155C">
            <w:pPr>
              <w:pStyle w:val="TableText"/>
            </w:pPr>
            <w:r w:rsidRPr="00920278">
              <w:t>Smartwatch</w:t>
            </w:r>
          </w:p>
        </w:tc>
        <w:tc>
          <w:tcPr>
            <w:tcW w:w="367" w:type="pct"/>
          </w:tcPr>
          <w:p w14:paraId="22C88977" w14:textId="77777777" w:rsidR="00783F0D" w:rsidRPr="00920278" w:rsidRDefault="00783F0D" w:rsidP="00EB155C">
            <w:pPr>
              <w:pStyle w:val="TableText"/>
              <w:jc w:val="right"/>
              <w:rPr>
                <w:color w:val="000000" w:themeColor="text1"/>
              </w:rPr>
            </w:pPr>
            <w:r w:rsidRPr="00920278">
              <w:t>1156</w:t>
            </w:r>
          </w:p>
        </w:tc>
        <w:tc>
          <w:tcPr>
            <w:tcW w:w="615" w:type="pct"/>
          </w:tcPr>
          <w:p w14:paraId="024E64DD" w14:textId="77777777" w:rsidR="00783F0D" w:rsidRPr="00920278" w:rsidRDefault="00783F0D" w:rsidP="00EB155C">
            <w:pPr>
              <w:pStyle w:val="TableText"/>
              <w:jc w:val="right"/>
              <w:rPr>
                <w:color w:val="000000" w:themeColor="text1"/>
              </w:rPr>
            </w:pPr>
            <w:r w:rsidRPr="00920278">
              <w:t>8053</w:t>
            </w:r>
          </w:p>
        </w:tc>
        <w:tc>
          <w:tcPr>
            <w:tcW w:w="743" w:type="pct"/>
          </w:tcPr>
          <w:p w14:paraId="14802278" w14:textId="77777777" w:rsidR="00783F0D" w:rsidRPr="00920278" w:rsidRDefault="00783F0D" w:rsidP="00EB155C">
            <w:pPr>
              <w:pStyle w:val="TableText"/>
              <w:jc w:val="right"/>
              <w:rPr>
                <w:color w:val="000000" w:themeColor="text1"/>
              </w:rPr>
            </w:pPr>
            <w:r w:rsidRPr="00920278">
              <w:t>32.3 (30.4,</w:t>
            </w:r>
            <w:r>
              <w:t xml:space="preserve"> </w:t>
            </w:r>
            <w:r w:rsidRPr="00920278">
              <w:t>34.3)</w:t>
            </w:r>
          </w:p>
        </w:tc>
        <w:tc>
          <w:tcPr>
            <w:tcW w:w="364" w:type="pct"/>
          </w:tcPr>
          <w:p w14:paraId="12B70135" w14:textId="77777777" w:rsidR="00783F0D" w:rsidRPr="00920278" w:rsidRDefault="00783F0D" w:rsidP="00EB155C">
            <w:pPr>
              <w:pStyle w:val="TableText"/>
              <w:jc w:val="right"/>
              <w:rPr>
                <w:color w:val="000000" w:themeColor="text1"/>
              </w:rPr>
            </w:pPr>
            <w:r w:rsidRPr="00920278">
              <w:t>2792</w:t>
            </w:r>
          </w:p>
        </w:tc>
        <w:tc>
          <w:tcPr>
            <w:tcW w:w="615" w:type="pct"/>
          </w:tcPr>
          <w:p w14:paraId="11B60DCC" w14:textId="77777777" w:rsidR="00783F0D" w:rsidRPr="00920278" w:rsidRDefault="00783F0D" w:rsidP="00EB155C">
            <w:pPr>
              <w:pStyle w:val="TableText"/>
              <w:jc w:val="right"/>
              <w:rPr>
                <w:color w:val="000000" w:themeColor="text1"/>
              </w:rPr>
            </w:pPr>
            <w:r w:rsidRPr="00920278">
              <w:t>19571</w:t>
            </w:r>
          </w:p>
        </w:tc>
        <w:tc>
          <w:tcPr>
            <w:tcW w:w="743" w:type="pct"/>
          </w:tcPr>
          <w:p w14:paraId="103BFFCA" w14:textId="77777777" w:rsidR="00783F0D" w:rsidRPr="00920278" w:rsidRDefault="00783F0D" w:rsidP="00EB155C">
            <w:pPr>
              <w:pStyle w:val="TableText"/>
              <w:jc w:val="right"/>
              <w:rPr>
                <w:color w:val="000000" w:themeColor="text1"/>
              </w:rPr>
            </w:pPr>
            <w:r w:rsidRPr="00920278">
              <w:t>37.3 (33.3,</w:t>
            </w:r>
            <w:r>
              <w:t xml:space="preserve"> </w:t>
            </w:r>
            <w:r w:rsidRPr="00920278">
              <w:t>41.5)</w:t>
            </w:r>
          </w:p>
        </w:tc>
      </w:tr>
      <w:tr w:rsidR="00A7285A" w:rsidRPr="00920278" w14:paraId="3F417B86"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553" w:type="pct"/>
          </w:tcPr>
          <w:p w14:paraId="2434CCE6" w14:textId="77777777" w:rsidR="00783F0D" w:rsidRPr="00920278" w:rsidRDefault="00783F0D" w:rsidP="00EB155C">
            <w:pPr>
              <w:pStyle w:val="TableText"/>
            </w:pPr>
            <w:r w:rsidRPr="00920278">
              <w:t xml:space="preserve">Software applications or </w:t>
            </w:r>
            <w:r>
              <w:t>‘</w:t>
            </w:r>
            <w:r w:rsidRPr="00920278">
              <w:t>apps</w:t>
            </w:r>
            <w:r>
              <w:t>’</w:t>
            </w:r>
          </w:p>
        </w:tc>
        <w:tc>
          <w:tcPr>
            <w:tcW w:w="367" w:type="pct"/>
          </w:tcPr>
          <w:p w14:paraId="18A567C7" w14:textId="77777777" w:rsidR="00783F0D" w:rsidRPr="00920278" w:rsidRDefault="00783F0D" w:rsidP="00EB155C">
            <w:pPr>
              <w:pStyle w:val="TableText"/>
              <w:jc w:val="right"/>
              <w:rPr>
                <w:color w:val="000000" w:themeColor="text1"/>
              </w:rPr>
            </w:pPr>
            <w:r w:rsidRPr="00920278">
              <w:t>1192</w:t>
            </w:r>
          </w:p>
        </w:tc>
        <w:tc>
          <w:tcPr>
            <w:tcW w:w="615" w:type="pct"/>
          </w:tcPr>
          <w:p w14:paraId="1C8AF711" w14:textId="77777777" w:rsidR="00783F0D" w:rsidRPr="00920278" w:rsidRDefault="00783F0D" w:rsidP="00EB155C">
            <w:pPr>
              <w:pStyle w:val="TableText"/>
              <w:jc w:val="right"/>
              <w:rPr>
                <w:color w:val="000000" w:themeColor="text1"/>
              </w:rPr>
            </w:pPr>
            <w:r w:rsidRPr="00920278">
              <w:t>8360</w:t>
            </w:r>
          </w:p>
        </w:tc>
        <w:tc>
          <w:tcPr>
            <w:tcW w:w="743" w:type="pct"/>
          </w:tcPr>
          <w:p w14:paraId="1A34FC61" w14:textId="77777777" w:rsidR="00783F0D" w:rsidRPr="00920278" w:rsidRDefault="00783F0D" w:rsidP="00EB155C">
            <w:pPr>
              <w:pStyle w:val="TableText"/>
              <w:jc w:val="right"/>
              <w:rPr>
                <w:color w:val="000000" w:themeColor="text1"/>
              </w:rPr>
            </w:pPr>
            <w:r w:rsidRPr="00920278">
              <w:t>33.5 (31.6,</w:t>
            </w:r>
            <w:r>
              <w:t xml:space="preserve"> </w:t>
            </w:r>
            <w:r w:rsidRPr="00920278">
              <w:t>35.5)</w:t>
            </w:r>
          </w:p>
        </w:tc>
        <w:tc>
          <w:tcPr>
            <w:tcW w:w="364" w:type="pct"/>
          </w:tcPr>
          <w:p w14:paraId="7DC2C75D" w14:textId="77777777" w:rsidR="00783F0D" w:rsidRPr="00920278" w:rsidRDefault="00783F0D" w:rsidP="00EB155C">
            <w:pPr>
              <w:pStyle w:val="TableText"/>
              <w:jc w:val="right"/>
              <w:rPr>
                <w:color w:val="000000" w:themeColor="text1"/>
              </w:rPr>
            </w:pPr>
            <w:r w:rsidRPr="00920278">
              <w:t>2626</w:t>
            </w:r>
          </w:p>
        </w:tc>
        <w:tc>
          <w:tcPr>
            <w:tcW w:w="615" w:type="pct"/>
          </w:tcPr>
          <w:p w14:paraId="3467287B" w14:textId="77777777" w:rsidR="00783F0D" w:rsidRPr="00920278" w:rsidRDefault="00783F0D" w:rsidP="00EB155C">
            <w:pPr>
              <w:pStyle w:val="TableText"/>
              <w:jc w:val="right"/>
              <w:rPr>
                <w:color w:val="000000" w:themeColor="text1"/>
              </w:rPr>
            </w:pPr>
            <w:r w:rsidRPr="00920278">
              <w:t>17</w:t>
            </w:r>
            <w:r>
              <w:t>,</w:t>
            </w:r>
            <w:r w:rsidRPr="00920278">
              <w:t>076</w:t>
            </w:r>
          </w:p>
        </w:tc>
        <w:tc>
          <w:tcPr>
            <w:tcW w:w="743" w:type="pct"/>
          </w:tcPr>
          <w:p w14:paraId="7488CD86" w14:textId="77777777" w:rsidR="00783F0D" w:rsidRPr="00920278" w:rsidRDefault="00783F0D" w:rsidP="00EB155C">
            <w:pPr>
              <w:pStyle w:val="TableText"/>
              <w:jc w:val="right"/>
              <w:rPr>
                <w:color w:val="000000" w:themeColor="text1"/>
              </w:rPr>
            </w:pPr>
            <w:r w:rsidRPr="00920278">
              <w:t>32.5 (29.0,</w:t>
            </w:r>
            <w:r>
              <w:t xml:space="preserve"> </w:t>
            </w:r>
            <w:r w:rsidRPr="00920278">
              <w:t>36.3)</w:t>
            </w:r>
          </w:p>
        </w:tc>
      </w:tr>
      <w:tr w:rsidR="00A7285A" w:rsidRPr="00920278" w14:paraId="7CC51CEF" w14:textId="77777777" w:rsidTr="00A7285A">
        <w:trPr>
          <w:cantSplit/>
        </w:trPr>
        <w:tc>
          <w:tcPr>
            <w:tcW w:w="1553" w:type="pct"/>
          </w:tcPr>
          <w:p w14:paraId="4E2CA89C" w14:textId="77777777" w:rsidR="00783F0D" w:rsidRPr="00920278" w:rsidRDefault="00783F0D" w:rsidP="00EB155C">
            <w:pPr>
              <w:pStyle w:val="TableText"/>
            </w:pPr>
            <w:r w:rsidRPr="00920278">
              <w:t xml:space="preserve">Wearable technology (e.g. </w:t>
            </w:r>
            <w:r>
              <w:t>wrist based tracker</w:t>
            </w:r>
            <w:r w:rsidRPr="00920278">
              <w:t>)</w:t>
            </w:r>
          </w:p>
        </w:tc>
        <w:tc>
          <w:tcPr>
            <w:tcW w:w="367" w:type="pct"/>
          </w:tcPr>
          <w:p w14:paraId="224D35DA" w14:textId="77777777" w:rsidR="00783F0D" w:rsidRPr="00920278" w:rsidRDefault="00783F0D" w:rsidP="00EB155C">
            <w:pPr>
              <w:pStyle w:val="TableText"/>
              <w:jc w:val="right"/>
              <w:rPr>
                <w:color w:val="000000" w:themeColor="text1"/>
              </w:rPr>
            </w:pPr>
            <w:r w:rsidRPr="00920278">
              <w:t>1314</w:t>
            </w:r>
          </w:p>
        </w:tc>
        <w:tc>
          <w:tcPr>
            <w:tcW w:w="615" w:type="pct"/>
          </w:tcPr>
          <w:p w14:paraId="0717A31F" w14:textId="77777777" w:rsidR="00783F0D" w:rsidRPr="00920278" w:rsidRDefault="00783F0D" w:rsidP="00EB155C">
            <w:pPr>
              <w:pStyle w:val="TableText"/>
              <w:jc w:val="right"/>
              <w:rPr>
                <w:color w:val="000000" w:themeColor="text1"/>
              </w:rPr>
            </w:pPr>
            <w:r w:rsidRPr="00920278">
              <w:t>9415</w:t>
            </w:r>
          </w:p>
        </w:tc>
        <w:tc>
          <w:tcPr>
            <w:tcW w:w="743" w:type="pct"/>
          </w:tcPr>
          <w:p w14:paraId="30D99535" w14:textId="77777777" w:rsidR="00783F0D" w:rsidRPr="00920278" w:rsidRDefault="00783F0D" w:rsidP="00EB155C">
            <w:pPr>
              <w:pStyle w:val="TableText"/>
              <w:jc w:val="right"/>
              <w:rPr>
                <w:color w:val="000000" w:themeColor="text1"/>
              </w:rPr>
            </w:pPr>
            <w:r w:rsidRPr="00920278">
              <w:t>37.8 (35.8,</w:t>
            </w:r>
            <w:r>
              <w:t xml:space="preserve"> </w:t>
            </w:r>
            <w:r w:rsidRPr="00920278">
              <w:t>39.8)</w:t>
            </w:r>
          </w:p>
        </w:tc>
        <w:tc>
          <w:tcPr>
            <w:tcW w:w="364" w:type="pct"/>
          </w:tcPr>
          <w:p w14:paraId="263DEDE5" w14:textId="77777777" w:rsidR="00783F0D" w:rsidRPr="00920278" w:rsidRDefault="00783F0D" w:rsidP="00EB155C">
            <w:pPr>
              <w:pStyle w:val="TableText"/>
              <w:jc w:val="right"/>
              <w:rPr>
                <w:color w:val="000000" w:themeColor="text1"/>
              </w:rPr>
            </w:pPr>
            <w:r w:rsidRPr="00920278">
              <w:t>3256</w:t>
            </w:r>
          </w:p>
        </w:tc>
        <w:tc>
          <w:tcPr>
            <w:tcW w:w="615" w:type="pct"/>
          </w:tcPr>
          <w:p w14:paraId="30DC234A" w14:textId="77777777" w:rsidR="00783F0D" w:rsidRPr="00920278" w:rsidRDefault="00783F0D" w:rsidP="00EB155C">
            <w:pPr>
              <w:pStyle w:val="TableText"/>
              <w:jc w:val="right"/>
              <w:rPr>
                <w:color w:val="000000" w:themeColor="text1"/>
              </w:rPr>
            </w:pPr>
            <w:r w:rsidRPr="00920278">
              <w:t>22</w:t>
            </w:r>
            <w:r>
              <w:t>,</w:t>
            </w:r>
            <w:r w:rsidRPr="00920278">
              <w:t>182</w:t>
            </w:r>
          </w:p>
        </w:tc>
        <w:tc>
          <w:tcPr>
            <w:tcW w:w="743" w:type="pct"/>
          </w:tcPr>
          <w:p w14:paraId="08429119" w14:textId="77777777" w:rsidR="00783F0D" w:rsidRPr="00920278" w:rsidRDefault="00783F0D" w:rsidP="00EB155C">
            <w:pPr>
              <w:pStyle w:val="TableText"/>
              <w:jc w:val="right"/>
              <w:rPr>
                <w:color w:val="000000" w:themeColor="text1"/>
              </w:rPr>
            </w:pPr>
            <w:r w:rsidRPr="00920278">
              <w:t>42.3 (38.2,</w:t>
            </w:r>
            <w:r>
              <w:t xml:space="preserve"> </w:t>
            </w:r>
            <w:r w:rsidRPr="00920278">
              <w:t>46.4)</w:t>
            </w:r>
          </w:p>
        </w:tc>
      </w:tr>
      <w:tr w:rsidR="00A7285A" w:rsidRPr="00920278" w14:paraId="28BCB198"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553" w:type="pct"/>
          </w:tcPr>
          <w:p w14:paraId="30F3E726" w14:textId="77777777" w:rsidR="00783F0D" w:rsidRPr="00D50754" w:rsidRDefault="00783F0D" w:rsidP="00EB155C">
            <w:pPr>
              <w:pStyle w:val="TableText"/>
            </w:pPr>
            <w:r w:rsidRPr="00D50754">
              <w:t>Other (please specify):</w:t>
            </w:r>
          </w:p>
        </w:tc>
        <w:tc>
          <w:tcPr>
            <w:tcW w:w="367" w:type="pct"/>
          </w:tcPr>
          <w:p w14:paraId="17F76D0E" w14:textId="77777777" w:rsidR="00783F0D" w:rsidRPr="00D50754" w:rsidRDefault="00783F0D" w:rsidP="00EB155C">
            <w:pPr>
              <w:pStyle w:val="TableText"/>
              <w:jc w:val="right"/>
              <w:rPr>
                <w:color w:val="000000" w:themeColor="text1"/>
              </w:rPr>
            </w:pPr>
            <w:r w:rsidRPr="00D50754">
              <w:t>676</w:t>
            </w:r>
          </w:p>
        </w:tc>
        <w:tc>
          <w:tcPr>
            <w:tcW w:w="615" w:type="pct"/>
          </w:tcPr>
          <w:p w14:paraId="0A1F7A2C" w14:textId="77777777" w:rsidR="00783F0D" w:rsidRPr="00D50754" w:rsidRDefault="00783F0D" w:rsidP="00EB155C">
            <w:pPr>
              <w:pStyle w:val="TableText"/>
              <w:jc w:val="right"/>
              <w:rPr>
                <w:color w:val="000000" w:themeColor="text1"/>
              </w:rPr>
            </w:pPr>
            <w:r w:rsidRPr="00D50754">
              <w:t>5172</w:t>
            </w:r>
          </w:p>
        </w:tc>
        <w:tc>
          <w:tcPr>
            <w:tcW w:w="743" w:type="pct"/>
          </w:tcPr>
          <w:p w14:paraId="749E936B" w14:textId="77777777" w:rsidR="00783F0D" w:rsidRPr="00D50754" w:rsidRDefault="00783F0D" w:rsidP="00EB155C">
            <w:pPr>
              <w:pStyle w:val="TableText"/>
              <w:jc w:val="right"/>
              <w:rPr>
                <w:color w:val="000000" w:themeColor="text1"/>
              </w:rPr>
            </w:pPr>
            <w:r w:rsidRPr="00D50754">
              <w:t>20.7 (19.0, 22.6)</w:t>
            </w:r>
          </w:p>
        </w:tc>
        <w:tc>
          <w:tcPr>
            <w:tcW w:w="364" w:type="pct"/>
          </w:tcPr>
          <w:p w14:paraId="028A5ADF" w14:textId="77777777" w:rsidR="00783F0D" w:rsidRPr="00D50754" w:rsidRDefault="00783F0D" w:rsidP="00EB155C">
            <w:pPr>
              <w:pStyle w:val="TableText"/>
              <w:jc w:val="right"/>
              <w:rPr>
                <w:color w:val="000000" w:themeColor="text1"/>
              </w:rPr>
            </w:pPr>
            <w:r w:rsidRPr="00D50754">
              <w:t>1230</w:t>
            </w:r>
          </w:p>
        </w:tc>
        <w:tc>
          <w:tcPr>
            <w:tcW w:w="615" w:type="pct"/>
          </w:tcPr>
          <w:p w14:paraId="10CCDF2D" w14:textId="77777777" w:rsidR="00783F0D" w:rsidRPr="00D50754" w:rsidRDefault="00783F0D" w:rsidP="00EB155C">
            <w:pPr>
              <w:pStyle w:val="TableText"/>
              <w:jc w:val="right"/>
              <w:rPr>
                <w:color w:val="000000" w:themeColor="text1"/>
              </w:rPr>
            </w:pPr>
            <w:r w:rsidRPr="00D50754">
              <w:t>9497</w:t>
            </w:r>
          </w:p>
        </w:tc>
        <w:tc>
          <w:tcPr>
            <w:tcW w:w="743" w:type="pct"/>
          </w:tcPr>
          <w:p w14:paraId="1E9A83BD" w14:textId="77777777" w:rsidR="00783F0D" w:rsidRPr="00920278" w:rsidRDefault="00783F0D" w:rsidP="00EB155C">
            <w:pPr>
              <w:pStyle w:val="TableText"/>
              <w:jc w:val="right"/>
              <w:rPr>
                <w:color w:val="000000" w:themeColor="text1"/>
              </w:rPr>
            </w:pPr>
            <w:r w:rsidRPr="00D50754">
              <w:t>18.1(15.1,</w:t>
            </w:r>
            <w:r>
              <w:t xml:space="preserve"> </w:t>
            </w:r>
            <w:r w:rsidRPr="00D50754">
              <w:t>21.5)</w:t>
            </w:r>
          </w:p>
        </w:tc>
      </w:tr>
    </w:tbl>
    <w:p w14:paraId="69F5D614" w14:textId="77777777" w:rsidR="00783F0D" w:rsidRPr="006A3EA0" w:rsidRDefault="00783F0D" w:rsidP="00783F0D">
      <w:pPr>
        <w:pStyle w:val="TableNotes"/>
      </w:pPr>
      <w:r w:rsidRPr="006A3EA0">
        <w:t>Notes</w:t>
      </w:r>
    </w:p>
    <w:p w14:paraId="1722B082" w14:textId="77777777" w:rsidR="00783F0D" w:rsidRDefault="00783F0D" w:rsidP="00783F0D">
      <w:pPr>
        <w:pStyle w:val="TableNotes"/>
      </w:pPr>
      <w:r w:rsidRPr="00F403FE">
        <w:t>Denominator: Entire cohort</w:t>
      </w:r>
      <w:r>
        <w:t>.</w:t>
      </w:r>
    </w:p>
    <w:p w14:paraId="28DA2CA4" w14:textId="77777777" w:rsidR="00783F0D" w:rsidRPr="00F403FE" w:rsidRDefault="00783F0D" w:rsidP="00783F0D">
      <w:pPr>
        <w:pStyle w:val="TableNotes"/>
      </w:pPr>
      <w:r>
        <w:t>Participants could endorse multiple responses for this question, hence percentages do not add up to 100%. Because responses that were not endorsed were assumed to be left blank intentionally, there are no missing values for this question.</w:t>
      </w:r>
    </w:p>
    <w:p w14:paraId="54EF5902" w14:textId="77777777" w:rsidR="00783F0D" w:rsidRPr="00F403FE" w:rsidRDefault="00783F0D" w:rsidP="00783F0D">
      <w:pPr>
        <w:pStyle w:val="TableNotes"/>
      </w:pPr>
      <w:r w:rsidRPr="00F403FE">
        <w:t>95%CI</w:t>
      </w:r>
      <w:r>
        <w:t xml:space="preserve"> =</w:t>
      </w:r>
      <w:r w:rsidRPr="00F403FE">
        <w:t xml:space="preserve"> 95% </w:t>
      </w:r>
      <w:r>
        <w:t>confidence interval.</w:t>
      </w:r>
    </w:p>
    <w:p w14:paraId="7D367BDD" w14:textId="77777777" w:rsidR="00783F0D" w:rsidRDefault="00783F0D" w:rsidP="00783F0D">
      <w:pPr>
        <w:pStyle w:val="TableNotes"/>
      </w:pPr>
      <w:r w:rsidRPr="00F403FE">
        <w:t>For a full description of odds ratios, interpretation and strength of association</w:t>
      </w:r>
      <w:r>
        <w:t>,</w:t>
      </w:r>
      <w:r w:rsidRPr="00F403FE">
        <w:t xml:space="preserve"> please refer to Table B.1 </w:t>
      </w:r>
      <w:r w:rsidRPr="00BB1B84">
        <w:t xml:space="preserve">in </w:t>
      </w:r>
      <w:r w:rsidR="00374073">
        <w:t>Annex </w:t>
      </w:r>
      <w:r>
        <w:t>B, Odds ratio table.</w:t>
      </w:r>
    </w:p>
    <w:p w14:paraId="2E3ABAD5" w14:textId="634D7675" w:rsidR="00783F0D" w:rsidRPr="002D1611" w:rsidRDefault="00783F0D" w:rsidP="00783F0D">
      <w:pPr>
        <w:pStyle w:val="FigureName"/>
        <w:rPr>
          <w:lang w:eastAsia="en-AU"/>
        </w:rPr>
      </w:pPr>
      <w:bookmarkStart w:id="530" w:name="_Ref517352400"/>
      <w:bookmarkStart w:id="531" w:name="_Toc509922948"/>
      <w:bookmarkStart w:id="532" w:name="_Toc515374722"/>
      <w:bookmarkStart w:id="533" w:name="_Toc528932406"/>
      <w:bookmarkStart w:id="534" w:name="_Toc531858086"/>
      <w:r>
        <w:t xml:space="preserve">Figure </w:t>
      </w:r>
      <w:r>
        <w:rPr>
          <w:noProof/>
        </w:rPr>
        <w:t>5</w:t>
      </w:r>
      <w:r>
        <w:t>.</w:t>
      </w:r>
      <w:r>
        <w:rPr>
          <w:noProof/>
        </w:rPr>
        <w:t>4</w:t>
      </w:r>
      <w:bookmarkEnd w:id="530"/>
      <w:r>
        <w:tab/>
      </w:r>
      <w:r w:rsidRPr="006C4604">
        <w:t>Desired</w:t>
      </w:r>
      <w:r w:rsidRPr="00F65B2B">
        <w:t xml:space="preserve"> new and</w:t>
      </w:r>
      <w:r w:rsidRPr="001D27E5">
        <w:t xml:space="preserve"> emerging technologies in Transitioned ADF and 2015 Regular ADF</w:t>
      </w:r>
      <w:bookmarkEnd w:id="531"/>
      <w:bookmarkEnd w:id="532"/>
      <w:bookmarkEnd w:id="533"/>
      <w:bookmarkEnd w:id="534"/>
    </w:p>
    <w:p w14:paraId="1E1E4670" w14:textId="77777777" w:rsidR="00783F0D" w:rsidRPr="000624A6" w:rsidRDefault="000624A6" w:rsidP="000624A6">
      <w:pPr>
        <w:spacing w:after="360"/>
      </w:pPr>
      <w:r>
        <w:rPr>
          <w:noProof/>
          <w:lang w:eastAsia="en-AU"/>
        </w:rPr>
        <w:drawing>
          <wp:inline distT="0" distB="0" distL="0" distR="0" wp14:anchorId="2B6BBDE6" wp14:editId="296A1D00">
            <wp:extent cx="4572000" cy="2286000"/>
            <wp:effectExtent l="0" t="0" r="0" b="0"/>
            <wp:docPr id="455" name="Picture 455" descr="Figure 5.4 Desired new and emerging technologies in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4_8_NEW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0A80EDFD" w14:textId="77777777" w:rsidR="00783F0D" w:rsidRPr="00BC1F06" w:rsidRDefault="00783F0D" w:rsidP="00783F0D">
      <w:pPr>
        <w:pStyle w:val="Heading2"/>
        <w:numPr>
          <w:ilvl w:val="1"/>
          <w:numId w:val="1"/>
        </w:numPr>
        <w:ind w:left="720" w:hanging="720"/>
      </w:pPr>
      <w:bookmarkStart w:id="535" w:name="_Toc509917440"/>
      <w:bookmarkStart w:id="536" w:name="_Toc515374482"/>
      <w:bookmarkStart w:id="537" w:name="_Toc518566379"/>
      <w:bookmarkStart w:id="538" w:name="_Toc528932672"/>
      <w:bookmarkStart w:id="539" w:name="_Toc531859209"/>
      <w:r w:rsidRPr="00071F81">
        <w:t>Best time to purchase new and emerging technologies</w:t>
      </w:r>
      <w:bookmarkEnd w:id="535"/>
      <w:bookmarkEnd w:id="536"/>
      <w:bookmarkEnd w:id="537"/>
      <w:bookmarkEnd w:id="538"/>
      <w:bookmarkEnd w:id="539"/>
      <w:r w:rsidRPr="00071F81">
        <w:t xml:space="preserve"> </w:t>
      </w:r>
    </w:p>
    <w:p w14:paraId="0F36B856" w14:textId="77777777" w:rsidR="00783F0D" w:rsidRDefault="00783F0D" w:rsidP="00783F0D">
      <w:r>
        <w:t>Approximately one in three of</w:t>
      </w:r>
      <w:r w:rsidRPr="006C4604">
        <w:t xml:space="preserve"> Transitioned ADF (30.7%) and </w:t>
      </w:r>
      <w:r>
        <w:t>2015 Regular ADF (28.1%)</w:t>
      </w:r>
      <w:r w:rsidRPr="006C4604">
        <w:t xml:space="preserve"> </w:t>
      </w:r>
      <w:r>
        <w:t>reported that the best time to purchase new and emerging technologies was when they had</w:t>
      </w:r>
      <w:r w:rsidRPr="006C4604">
        <w:t xml:space="preserve"> been on the market for a while and all the bugs </w:t>
      </w:r>
      <w:r>
        <w:t>had</w:t>
      </w:r>
      <w:r w:rsidRPr="006C4604">
        <w:t xml:space="preserve"> been removed</w:t>
      </w:r>
      <w:r>
        <w:t xml:space="preserve"> (</w:t>
      </w:r>
      <w:r w:rsidRPr="00071F81">
        <w:t xml:space="preserve">Table </w:t>
      </w:r>
      <w:r>
        <w:rPr>
          <w:noProof/>
        </w:rPr>
        <w:t>5</w:t>
      </w:r>
      <w:r>
        <w:t>.</w:t>
      </w:r>
      <w:r>
        <w:rPr>
          <w:noProof/>
        </w:rPr>
        <w:t>5</w:t>
      </w:r>
      <w:r>
        <w:t xml:space="preserve"> and Figure </w:t>
      </w:r>
      <w:r>
        <w:rPr>
          <w:noProof/>
        </w:rPr>
        <w:t>5</w:t>
      </w:r>
      <w:r>
        <w:t>.</w:t>
      </w:r>
      <w:r>
        <w:rPr>
          <w:noProof/>
        </w:rPr>
        <w:t>5</w:t>
      </w:r>
      <w:r>
        <w:t>).</w:t>
      </w:r>
      <w:r w:rsidRPr="006C4604">
        <w:t xml:space="preserve"> </w:t>
      </w:r>
      <w:r>
        <w:t xml:space="preserve">Very few would choose to purchase them when they were first released. Compared to the Transitioned ADF, the 2015 Regular ADF were more likely to preference purchasing new and emerging technologies when the product has been improved and updated (15.5% compared to 11.0%), whereas a higher proportion of the Transitioned ADF reported not purchasing new and emerging technologies (15.7% compared to 10.5%). </w:t>
      </w:r>
    </w:p>
    <w:p w14:paraId="414A8246" w14:textId="77777777" w:rsidR="00783F0D" w:rsidRDefault="00783F0D" w:rsidP="00783F0D">
      <w:pPr>
        <w:pStyle w:val="TableName"/>
      </w:pPr>
      <w:bookmarkStart w:id="540" w:name="_Ref518556191"/>
      <w:bookmarkStart w:id="541" w:name="_Toc509922875"/>
      <w:bookmarkStart w:id="542" w:name="_Toc515374650"/>
      <w:bookmarkStart w:id="543" w:name="_Toc528932326"/>
      <w:bookmarkStart w:id="544" w:name="_Toc531858005"/>
      <w:r w:rsidRPr="00071F81">
        <w:t xml:space="preserve">Table </w:t>
      </w:r>
      <w:r>
        <w:rPr>
          <w:noProof/>
        </w:rPr>
        <w:t>5</w:t>
      </w:r>
      <w:r>
        <w:t>.</w:t>
      </w:r>
      <w:r>
        <w:rPr>
          <w:noProof/>
        </w:rPr>
        <w:t>5</w:t>
      </w:r>
      <w:bookmarkEnd w:id="540"/>
      <w:r w:rsidRPr="00071F81">
        <w:tab/>
        <w:t>Best time to purchase new and emerging technologies among Transitioned ADF and 2015 Regular ADF</w:t>
      </w:r>
      <w:bookmarkEnd w:id="541"/>
      <w:bookmarkEnd w:id="542"/>
      <w:bookmarkEnd w:id="543"/>
      <w:bookmarkEnd w:id="544"/>
    </w:p>
    <w:tbl>
      <w:tblPr>
        <w:tblStyle w:val="TWRPTable"/>
        <w:tblW w:w="5000" w:type="pct"/>
        <w:tblLayout w:type="fixed"/>
        <w:tblLook w:val="0000" w:firstRow="0" w:lastRow="0" w:firstColumn="0" w:lastColumn="0" w:noHBand="0" w:noVBand="0"/>
        <w:tblDescription w:val="Table 5.5 Best time to purchase new and emerging technologies among Transitioned ADF and 2015 Regular ADF"/>
      </w:tblPr>
      <w:tblGrid>
        <w:gridCol w:w="2360"/>
        <w:gridCol w:w="528"/>
        <w:gridCol w:w="787"/>
        <w:gridCol w:w="1046"/>
        <w:gridCol w:w="528"/>
        <w:gridCol w:w="806"/>
        <w:gridCol w:w="1034"/>
      </w:tblGrid>
      <w:tr w:rsidR="00783F0D" w:rsidRPr="00663550" w14:paraId="15A04E3A" w14:textId="77777777" w:rsidTr="00A7285A">
        <w:trPr>
          <w:cantSplit/>
          <w:tblHeader/>
        </w:trPr>
        <w:tc>
          <w:tcPr>
            <w:tcW w:w="2448" w:type="dxa"/>
            <w:tcBorders>
              <w:top w:val="single" w:sz="4" w:space="0" w:color="000000"/>
              <w:bottom w:val="nil"/>
            </w:tcBorders>
          </w:tcPr>
          <w:p w14:paraId="627498C2" w14:textId="77777777" w:rsidR="00783F0D" w:rsidRPr="00071F81" w:rsidRDefault="00783F0D" w:rsidP="000624A6">
            <w:pPr>
              <w:pStyle w:val="TableText"/>
              <w:jc w:val="right"/>
              <w:rPr>
                <w:b/>
              </w:rPr>
            </w:pPr>
          </w:p>
        </w:tc>
        <w:tc>
          <w:tcPr>
            <w:tcW w:w="2430" w:type="dxa"/>
            <w:gridSpan w:val="3"/>
            <w:tcBorders>
              <w:top w:val="single" w:sz="4" w:space="0" w:color="000000"/>
              <w:bottom w:val="single" w:sz="4" w:space="0" w:color="000000"/>
            </w:tcBorders>
          </w:tcPr>
          <w:p w14:paraId="2E1548CF" w14:textId="77777777" w:rsidR="00783F0D" w:rsidRPr="00071F81" w:rsidRDefault="00783F0D" w:rsidP="000624A6">
            <w:pPr>
              <w:pStyle w:val="TableText"/>
              <w:jc w:val="center"/>
              <w:rPr>
                <w:b/>
              </w:rPr>
            </w:pPr>
            <w:r w:rsidRPr="00071F81">
              <w:rPr>
                <w:b/>
              </w:rPr>
              <w:t>Transitioned ADF</w:t>
            </w:r>
            <w:r w:rsidR="000624A6">
              <w:rPr>
                <w:b/>
              </w:rPr>
              <w:br/>
            </w:r>
            <w:r w:rsidRPr="00071F81">
              <w:rPr>
                <w:b/>
              </w:rPr>
              <w:t>n=24,932</w:t>
            </w:r>
          </w:p>
        </w:tc>
        <w:tc>
          <w:tcPr>
            <w:tcW w:w="2437" w:type="dxa"/>
            <w:gridSpan w:val="3"/>
            <w:tcBorders>
              <w:top w:val="single" w:sz="4" w:space="0" w:color="000000"/>
              <w:bottom w:val="single" w:sz="4" w:space="0" w:color="000000"/>
            </w:tcBorders>
          </w:tcPr>
          <w:p w14:paraId="0196EA1F" w14:textId="77777777" w:rsidR="00783F0D" w:rsidRPr="00071F81" w:rsidRDefault="00783F0D" w:rsidP="000624A6">
            <w:pPr>
              <w:pStyle w:val="TableText"/>
              <w:jc w:val="center"/>
              <w:rPr>
                <w:b/>
              </w:rPr>
            </w:pPr>
            <w:r w:rsidRPr="00071F81">
              <w:rPr>
                <w:b/>
              </w:rPr>
              <w:t>2015 Regular ADF</w:t>
            </w:r>
            <w:r w:rsidR="000624A6">
              <w:rPr>
                <w:b/>
              </w:rPr>
              <w:br/>
            </w:r>
            <w:r w:rsidRPr="00071F81">
              <w:rPr>
                <w:b/>
              </w:rPr>
              <w:t>n=52,500</w:t>
            </w:r>
          </w:p>
        </w:tc>
      </w:tr>
      <w:tr w:rsidR="000624A6" w:rsidRPr="00AF016D" w14:paraId="074C7B4F" w14:textId="77777777" w:rsidTr="00A7285A">
        <w:trPr>
          <w:cantSplit/>
          <w:tblHeader/>
        </w:trPr>
        <w:tc>
          <w:tcPr>
            <w:tcW w:w="2448" w:type="dxa"/>
            <w:tcBorders>
              <w:top w:val="nil"/>
              <w:bottom w:val="single" w:sz="4" w:space="0" w:color="000000"/>
            </w:tcBorders>
            <w:vAlign w:val="bottom"/>
          </w:tcPr>
          <w:p w14:paraId="41E5CBEE" w14:textId="77777777" w:rsidR="00783F0D" w:rsidRPr="00071F81" w:rsidRDefault="00783F0D" w:rsidP="00A7285A">
            <w:pPr>
              <w:pStyle w:val="TableText"/>
              <w:rPr>
                <w:b/>
              </w:rPr>
            </w:pPr>
            <w:r w:rsidRPr="00071F81">
              <w:rPr>
                <w:b/>
              </w:rPr>
              <w:t>Response</w:t>
            </w:r>
          </w:p>
        </w:tc>
        <w:tc>
          <w:tcPr>
            <w:tcW w:w="540" w:type="dxa"/>
            <w:tcBorders>
              <w:top w:val="single" w:sz="4" w:space="0" w:color="000000"/>
              <w:bottom w:val="single" w:sz="4" w:space="0" w:color="000000"/>
            </w:tcBorders>
            <w:vAlign w:val="bottom"/>
          </w:tcPr>
          <w:p w14:paraId="27CD4C08" w14:textId="77777777" w:rsidR="00783F0D" w:rsidRPr="00071F81" w:rsidRDefault="00783F0D" w:rsidP="00A7285A">
            <w:pPr>
              <w:pStyle w:val="TableText"/>
              <w:jc w:val="right"/>
              <w:rPr>
                <w:b/>
              </w:rPr>
            </w:pPr>
            <w:r w:rsidRPr="00071F81">
              <w:rPr>
                <w:b/>
              </w:rPr>
              <w:t>n</w:t>
            </w:r>
          </w:p>
        </w:tc>
        <w:tc>
          <w:tcPr>
            <w:tcW w:w="810" w:type="dxa"/>
            <w:tcBorders>
              <w:top w:val="single" w:sz="4" w:space="0" w:color="000000"/>
              <w:bottom w:val="single" w:sz="4" w:space="0" w:color="000000"/>
            </w:tcBorders>
            <w:vAlign w:val="bottom"/>
          </w:tcPr>
          <w:p w14:paraId="09EA938B" w14:textId="77777777" w:rsidR="00783F0D" w:rsidRPr="00071F81" w:rsidRDefault="00783F0D" w:rsidP="00A7285A">
            <w:pPr>
              <w:pStyle w:val="TableText"/>
              <w:jc w:val="right"/>
              <w:rPr>
                <w:b/>
              </w:rPr>
            </w:pPr>
            <w:r w:rsidRPr="00071F81">
              <w:rPr>
                <w:b/>
              </w:rPr>
              <w:t>Weighted n</w:t>
            </w:r>
          </w:p>
        </w:tc>
        <w:tc>
          <w:tcPr>
            <w:tcW w:w="1080" w:type="dxa"/>
            <w:tcBorders>
              <w:top w:val="single" w:sz="4" w:space="0" w:color="000000"/>
              <w:bottom w:val="single" w:sz="4" w:space="0" w:color="000000"/>
            </w:tcBorders>
            <w:vAlign w:val="bottom"/>
          </w:tcPr>
          <w:p w14:paraId="072AFDA9" w14:textId="77777777" w:rsidR="00783F0D" w:rsidRPr="00071F81" w:rsidRDefault="00783F0D" w:rsidP="00A7285A">
            <w:pPr>
              <w:pStyle w:val="TableText"/>
              <w:jc w:val="right"/>
              <w:rPr>
                <w:b/>
              </w:rPr>
            </w:pPr>
            <w:r w:rsidRPr="00071F81">
              <w:rPr>
                <w:b/>
              </w:rPr>
              <w:t>% (95%CI)</w:t>
            </w:r>
          </w:p>
        </w:tc>
        <w:tc>
          <w:tcPr>
            <w:tcW w:w="540" w:type="dxa"/>
            <w:tcBorders>
              <w:top w:val="single" w:sz="4" w:space="0" w:color="000000"/>
              <w:bottom w:val="single" w:sz="4" w:space="0" w:color="000000"/>
            </w:tcBorders>
            <w:vAlign w:val="bottom"/>
          </w:tcPr>
          <w:p w14:paraId="1751FEC9" w14:textId="77777777" w:rsidR="00783F0D" w:rsidRPr="00071F81" w:rsidRDefault="00783F0D" w:rsidP="00A7285A">
            <w:pPr>
              <w:pStyle w:val="TableText"/>
              <w:jc w:val="right"/>
              <w:rPr>
                <w:b/>
              </w:rPr>
            </w:pPr>
            <w:r w:rsidRPr="00071F81">
              <w:rPr>
                <w:b/>
              </w:rPr>
              <w:t>n</w:t>
            </w:r>
          </w:p>
        </w:tc>
        <w:tc>
          <w:tcPr>
            <w:tcW w:w="830" w:type="dxa"/>
            <w:tcBorders>
              <w:top w:val="single" w:sz="4" w:space="0" w:color="000000"/>
              <w:bottom w:val="single" w:sz="4" w:space="0" w:color="000000"/>
            </w:tcBorders>
            <w:vAlign w:val="bottom"/>
          </w:tcPr>
          <w:p w14:paraId="3FA815F3" w14:textId="77777777" w:rsidR="00783F0D" w:rsidRPr="00071F81" w:rsidRDefault="00783F0D" w:rsidP="00A7285A">
            <w:pPr>
              <w:pStyle w:val="TableText"/>
              <w:jc w:val="right"/>
              <w:rPr>
                <w:b/>
              </w:rPr>
            </w:pPr>
            <w:r w:rsidRPr="00071F81">
              <w:rPr>
                <w:b/>
              </w:rPr>
              <w:t>Weighted n</w:t>
            </w:r>
          </w:p>
        </w:tc>
        <w:tc>
          <w:tcPr>
            <w:tcW w:w="1067" w:type="dxa"/>
            <w:tcBorders>
              <w:top w:val="single" w:sz="4" w:space="0" w:color="000000"/>
              <w:bottom w:val="single" w:sz="4" w:space="0" w:color="000000"/>
            </w:tcBorders>
            <w:vAlign w:val="bottom"/>
          </w:tcPr>
          <w:p w14:paraId="2E5ED635" w14:textId="77777777" w:rsidR="00783F0D" w:rsidRPr="00071F81" w:rsidRDefault="00783F0D" w:rsidP="00A7285A">
            <w:pPr>
              <w:pStyle w:val="TableText"/>
              <w:jc w:val="right"/>
              <w:rPr>
                <w:b/>
              </w:rPr>
            </w:pPr>
            <w:r w:rsidRPr="00071F81">
              <w:rPr>
                <w:b/>
              </w:rPr>
              <w:t>% (95%CI)</w:t>
            </w:r>
          </w:p>
        </w:tc>
      </w:tr>
      <w:tr w:rsidR="000624A6" w:rsidRPr="00AF016D" w14:paraId="276C11B8"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448" w:type="dxa"/>
            <w:tcBorders>
              <w:top w:val="single" w:sz="4" w:space="0" w:color="000000"/>
            </w:tcBorders>
          </w:tcPr>
          <w:p w14:paraId="1C234730" w14:textId="77777777" w:rsidR="00783F0D" w:rsidRPr="00494E02" w:rsidRDefault="00783F0D" w:rsidP="00EB155C">
            <w:pPr>
              <w:pStyle w:val="TableText"/>
            </w:pPr>
            <w:r w:rsidRPr="00494E02">
              <w:t>When it is first released</w:t>
            </w:r>
          </w:p>
        </w:tc>
        <w:tc>
          <w:tcPr>
            <w:tcW w:w="540" w:type="dxa"/>
            <w:tcBorders>
              <w:top w:val="single" w:sz="4" w:space="0" w:color="000000"/>
            </w:tcBorders>
          </w:tcPr>
          <w:p w14:paraId="106ECCD7" w14:textId="77777777" w:rsidR="00783F0D" w:rsidRPr="00494E02" w:rsidRDefault="00783F0D" w:rsidP="00EB155C">
            <w:pPr>
              <w:pStyle w:val="TableText"/>
              <w:jc w:val="right"/>
              <w:rPr>
                <w:color w:val="000000" w:themeColor="text1"/>
              </w:rPr>
            </w:pPr>
            <w:r w:rsidRPr="00494E02">
              <w:t>112</w:t>
            </w:r>
          </w:p>
        </w:tc>
        <w:tc>
          <w:tcPr>
            <w:tcW w:w="810" w:type="dxa"/>
            <w:tcBorders>
              <w:top w:val="single" w:sz="4" w:space="0" w:color="000000"/>
            </w:tcBorders>
          </w:tcPr>
          <w:p w14:paraId="05B503C4" w14:textId="77777777" w:rsidR="00783F0D" w:rsidRPr="00494E02" w:rsidRDefault="00783F0D" w:rsidP="00EB155C">
            <w:pPr>
              <w:pStyle w:val="TableText"/>
              <w:jc w:val="right"/>
              <w:rPr>
                <w:color w:val="000000" w:themeColor="text1"/>
              </w:rPr>
            </w:pPr>
            <w:r w:rsidRPr="00494E02">
              <w:t>780</w:t>
            </w:r>
          </w:p>
        </w:tc>
        <w:tc>
          <w:tcPr>
            <w:tcW w:w="1080" w:type="dxa"/>
            <w:tcBorders>
              <w:top w:val="single" w:sz="4" w:space="0" w:color="000000"/>
            </w:tcBorders>
          </w:tcPr>
          <w:p w14:paraId="0C5E1766" w14:textId="77777777" w:rsidR="00783F0D" w:rsidRPr="00494E02" w:rsidRDefault="00783F0D" w:rsidP="00EB155C">
            <w:pPr>
              <w:pStyle w:val="TableText"/>
              <w:jc w:val="right"/>
              <w:rPr>
                <w:color w:val="000000" w:themeColor="text1"/>
              </w:rPr>
            </w:pPr>
            <w:r w:rsidRPr="00494E02">
              <w:t>3.1 (2.5,</w:t>
            </w:r>
            <w:r>
              <w:t xml:space="preserve"> </w:t>
            </w:r>
            <w:r w:rsidRPr="00494E02">
              <w:t>3.9)</w:t>
            </w:r>
          </w:p>
        </w:tc>
        <w:tc>
          <w:tcPr>
            <w:tcW w:w="540" w:type="dxa"/>
            <w:tcBorders>
              <w:top w:val="single" w:sz="4" w:space="0" w:color="000000"/>
            </w:tcBorders>
          </w:tcPr>
          <w:p w14:paraId="10B46971" w14:textId="77777777" w:rsidR="00783F0D" w:rsidRPr="00494E02" w:rsidRDefault="00783F0D" w:rsidP="00EB155C">
            <w:pPr>
              <w:pStyle w:val="TableText"/>
              <w:jc w:val="right"/>
              <w:rPr>
                <w:color w:val="000000" w:themeColor="text1"/>
              </w:rPr>
            </w:pPr>
            <w:r w:rsidRPr="00494E02">
              <w:t>197</w:t>
            </w:r>
          </w:p>
        </w:tc>
        <w:tc>
          <w:tcPr>
            <w:tcW w:w="830" w:type="dxa"/>
            <w:tcBorders>
              <w:top w:val="single" w:sz="4" w:space="0" w:color="000000"/>
            </w:tcBorders>
          </w:tcPr>
          <w:p w14:paraId="743DCF2B" w14:textId="77777777" w:rsidR="00783F0D" w:rsidRPr="00494E02" w:rsidRDefault="00783F0D" w:rsidP="00EB155C">
            <w:pPr>
              <w:pStyle w:val="TableText"/>
              <w:jc w:val="right"/>
              <w:rPr>
                <w:color w:val="000000" w:themeColor="text1"/>
              </w:rPr>
            </w:pPr>
            <w:r w:rsidRPr="00494E02">
              <w:t>2027</w:t>
            </w:r>
          </w:p>
        </w:tc>
        <w:tc>
          <w:tcPr>
            <w:tcW w:w="1067" w:type="dxa"/>
            <w:tcBorders>
              <w:top w:val="single" w:sz="4" w:space="0" w:color="000000"/>
            </w:tcBorders>
          </w:tcPr>
          <w:p w14:paraId="02418A87" w14:textId="77777777" w:rsidR="00783F0D" w:rsidRPr="00494E02" w:rsidRDefault="00783F0D" w:rsidP="00EB155C">
            <w:pPr>
              <w:pStyle w:val="TableText"/>
              <w:jc w:val="right"/>
              <w:rPr>
                <w:color w:val="000000" w:themeColor="text1"/>
              </w:rPr>
            </w:pPr>
            <w:r w:rsidRPr="00494E02">
              <w:t>3.9 (2.3,</w:t>
            </w:r>
            <w:r>
              <w:t xml:space="preserve"> </w:t>
            </w:r>
            <w:r w:rsidRPr="00494E02">
              <w:t>6.4)</w:t>
            </w:r>
          </w:p>
        </w:tc>
      </w:tr>
      <w:tr w:rsidR="000624A6" w:rsidRPr="00AF016D" w14:paraId="5FDF2C40" w14:textId="77777777" w:rsidTr="00A7285A">
        <w:trPr>
          <w:cantSplit/>
        </w:trPr>
        <w:tc>
          <w:tcPr>
            <w:tcW w:w="2448" w:type="dxa"/>
          </w:tcPr>
          <w:p w14:paraId="77F08DEB" w14:textId="77777777" w:rsidR="00783F0D" w:rsidRPr="00494E02" w:rsidRDefault="00783F0D" w:rsidP="00EB155C">
            <w:pPr>
              <w:pStyle w:val="TableText"/>
            </w:pPr>
            <w:r w:rsidRPr="00494E02">
              <w:t>When it has been on the market for a while and all the bugs have been removed</w:t>
            </w:r>
          </w:p>
        </w:tc>
        <w:tc>
          <w:tcPr>
            <w:tcW w:w="540" w:type="dxa"/>
          </w:tcPr>
          <w:p w14:paraId="62816B8D" w14:textId="77777777" w:rsidR="00783F0D" w:rsidRPr="00494E02" w:rsidRDefault="00783F0D" w:rsidP="00EB155C">
            <w:pPr>
              <w:pStyle w:val="TableText"/>
              <w:jc w:val="right"/>
              <w:rPr>
                <w:color w:val="000000" w:themeColor="text1"/>
              </w:rPr>
            </w:pPr>
            <w:r w:rsidRPr="00494E02">
              <w:t>1076</w:t>
            </w:r>
          </w:p>
        </w:tc>
        <w:tc>
          <w:tcPr>
            <w:tcW w:w="810" w:type="dxa"/>
          </w:tcPr>
          <w:p w14:paraId="1A07F1BE" w14:textId="77777777" w:rsidR="00783F0D" w:rsidRPr="00494E02" w:rsidRDefault="00783F0D" w:rsidP="00EB155C">
            <w:pPr>
              <w:pStyle w:val="TableText"/>
              <w:jc w:val="right"/>
              <w:rPr>
                <w:color w:val="000000" w:themeColor="text1"/>
              </w:rPr>
            </w:pPr>
            <w:r w:rsidRPr="00494E02">
              <w:t>7643</w:t>
            </w:r>
          </w:p>
        </w:tc>
        <w:tc>
          <w:tcPr>
            <w:tcW w:w="1080" w:type="dxa"/>
          </w:tcPr>
          <w:p w14:paraId="3DD1C09E" w14:textId="77777777" w:rsidR="00783F0D" w:rsidRPr="00494E02" w:rsidRDefault="00783F0D" w:rsidP="00EB155C">
            <w:pPr>
              <w:pStyle w:val="TableText"/>
              <w:jc w:val="right"/>
              <w:rPr>
                <w:color w:val="000000" w:themeColor="text1"/>
              </w:rPr>
            </w:pPr>
            <w:r w:rsidRPr="00494E02">
              <w:t>30.7 (28.7,</w:t>
            </w:r>
            <w:r>
              <w:t xml:space="preserve"> </w:t>
            </w:r>
            <w:r w:rsidRPr="00494E02">
              <w:t>32.6)</w:t>
            </w:r>
          </w:p>
        </w:tc>
        <w:tc>
          <w:tcPr>
            <w:tcW w:w="540" w:type="dxa"/>
          </w:tcPr>
          <w:p w14:paraId="32D748E3" w14:textId="77777777" w:rsidR="00783F0D" w:rsidRPr="00494E02" w:rsidRDefault="00783F0D" w:rsidP="00EB155C">
            <w:pPr>
              <w:pStyle w:val="TableText"/>
              <w:jc w:val="right"/>
              <w:rPr>
                <w:color w:val="000000" w:themeColor="text1"/>
              </w:rPr>
            </w:pPr>
            <w:r w:rsidRPr="00494E02">
              <w:t>2327</w:t>
            </w:r>
          </w:p>
        </w:tc>
        <w:tc>
          <w:tcPr>
            <w:tcW w:w="830" w:type="dxa"/>
          </w:tcPr>
          <w:p w14:paraId="0813FDFE" w14:textId="77777777" w:rsidR="00783F0D" w:rsidRPr="00494E02" w:rsidRDefault="00783F0D" w:rsidP="00EB155C">
            <w:pPr>
              <w:pStyle w:val="TableText"/>
              <w:jc w:val="right"/>
              <w:rPr>
                <w:color w:val="000000" w:themeColor="text1"/>
              </w:rPr>
            </w:pPr>
            <w:r w:rsidRPr="00494E02">
              <w:t>14</w:t>
            </w:r>
            <w:r>
              <w:t>,</w:t>
            </w:r>
            <w:r w:rsidRPr="00494E02">
              <w:t>731</w:t>
            </w:r>
          </w:p>
        </w:tc>
        <w:tc>
          <w:tcPr>
            <w:tcW w:w="1067" w:type="dxa"/>
          </w:tcPr>
          <w:p w14:paraId="02039E5E" w14:textId="77777777" w:rsidR="00783F0D" w:rsidRPr="00494E02" w:rsidRDefault="00783F0D" w:rsidP="00EB155C">
            <w:pPr>
              <w:pStyle w:val="TableText"/>
              <w:jc w:val="right"/>
              <w:rPr>
                <w:color w:val="000000" w:themeColor="text1"/>
              </w:rPr>
            </w:pPr>
            <w:r w:rsidRPr="00494E02">
              <w:t>28.1 (24.9,</w:t>
            </w:r>
            <w:r>
              <w:t xml:space="preserve"> </w:t>
            </w:r>
            <w:r w:rsidRPr="00494E02">
              <w:t>31.5)</w:t>
            </w:r>
          </w:p>
        </w:tc>
      </w:tr>
      <w:tr w:rsidR="000624A6" w:rsidRPr="00AF016D" w14:paraId="49C4C2B7"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448" w:type="dxa"/>
          </w:tcPr>
          <w:p w14:paraId="0FB1849F" w14:textId="77777777" w:rsidR="00783F0D" w:rsidRPr="00494E02" w:rsidRDefault="00783F0D" w:rsidP="00EB155C">
            <w:pPr>
              <w:pStyle w:val="TableText"/>
            </w:pPr>
            <w:r w:rsidRPr="00494E02">
              <w:t>When the product has been improved and updated</w:t>
            </w:r>
          </w:p>
        </w:tc>
        <w:tc>
          <w:tcPr>
            <w:tcW w:w="540" w:type="dxa"/>
          </w:tcPr>
          <w:p w14:paraId="28398B6C" w14:textId="77777777" w:rsidR="00783F0D" w:rsidRPr="00494E02" w:rsidRDefault="00783F0D" w:rsidP="00EB155C">
            <w:pPr>
              <w:pStyle w:val="TableText"/>
              <w:jc w:val="right"/>
              <w:rPr>
                <w:color w:val="000000" w:themeColor="text1"/>
              </w:rPr>
            </w:pPr>
            <w:r w:rsidRPr="00494E02">
              <w:t>434</w:t>
            </w:r>
          </w:p>
        </w:tc>
        <w:tc>
          <w:tcPr>
            <w:tcW w:w="810" w:type="dxa"/>
          </w:tcPr>
          <w:p w14:paraId="42A688E6" w14:textId="77777777" w:rsidR="00783F0D" w:rsidRPr="00494E02" w:rsidRDefault="00783F0D" w:rsidP="00EB155C">
            <w:pPr>
              <w:pStyle w:val="TableText"/>
              <w:jc w:val="right"/>
              <w:rPr>
                <w:color w:val="000000" w:themeColor="text1"/>
              </w:rPr>
            </w:pPr>
            <w:r w:rsidRPr="00494E02">
              <w:t>2749</w:t>
            </w:r>
          </w:p>
        </w:tc>
        <w:tc>
          <w:tcPr>
            <w:tcW w:w="1080" w:type="dxa"/>
          </w:tcPr>
          <w:p w14:paraId="09DEB128" w14:textId="77777777" w:rsidR="00783F0D" w:rsidRPr="00494E02" w:rsidRDefault="00783F0D" w:rsidP="00EB155C">
            <w:pPr>
              <w:pStyle w:val="TableText"/>
              <w:jc w:val="right"/>
              <w:rPr>
                <w:color w:val="000000" w:themeColor="text1"/>
              </w:rPr>
            </w:pPr>
            <w:r w:rsidRPr="00494E02">
              <w:t>11.0 (9.8,</w:t>
            </w:r>
            <w:r>
              <w:t xml:space="preserve"> </w:t>
            </w:r>
            <w:r w:rsidRPr="00494E02">
              <w:t>12.3)</w:t>
            </w:r>
          </w:p>
        </w:tc>
        <w:tc>
          <w:tcPr>
            <w:tcW w:w="540" w:type="dxa"/>
          </w:tcPr>
          <w:p w14:paraId="3F3EF797" w14:textId="77777777" w:rsidR="00783F0D" w:rsidRPr="00494E02" w:rsidRDefault="00783F0D" w:rsidP="00EB155C">
            <w:pPr>
              <w:pStyle w:val="TableText"/>
              <w:jc w:val="right"/>
              <w:rPr>
                <w:color w:val="000000" w:themeColor="text1"/>
              </w:rPr>
            </w:pPr>
            <w:r w:rsidRPr="00494E02">
              <w:t>1115</w:t>
            </w:r>
          </w:p>
        </w:tc>
        <w:tc>
          <w:tcPr>
            <w:tcW w:w="830" w:type="dxa"/>
          </w:tcPr>
          <w:p w14:paraId="6DAD2E33" w14:textId="77777777" w:rsidR="00783F0D" w:rsidRPr="00494E02" w:rsidRDefault="00783F0D" w:rsidP="00EB155C">
            <w:pPr>
              <w:pStyle w:val="TableText"/>
              <w:jc w:val="right"/>
              <w:rPr>
                <w:color w:val="000000" w:themeColor="text1"/>
              </w:rPr>
            </w:pPr>
            <w:r w:rsidRPr="00494E02">
              <w:t>8148</w:t>
            </w:r>
          </w:p>
        </w:tc>
        <w:tc>
          <w:tcPr>
            <w:tcW w:w="1067" w:type="dxa"/>
          </w:tcPr>
          <w:p w14:paraId="27D24C45" w14:textId="77777777" w:rsidR="00783F0D" w:rsidRPr="00494E02" w:rsidRDefault="00783F0D" w:rsidP="00EB155C">
            <w:pPr>
              <w:pStyle w:val="TableText"/>
              <w:jc w:val="right"/>
              <w:rPr>
                <w:color w:val="000000" w:themeColor="text1"/>
              </w:rPr>
            </w:pPr>
            <w:r w:rsidRPr="00494E02">
              <w:t>15.5 (12.5,</w:t>
            </w:r>
            <w:r>
              <w:t xml:space="preserve"> </w:t>
            </w:r>
            <w:r w:rsidRPr="00494E02">
              <w:t>19.0)</w:t>
            </w:r>
          </w:p>
        </w:tc>
      </w:tr>
      <w:tr w:rsidR="000624A6" w:rsidRPr="00AF016D" w14:paraId="43014DD3" w14:textId="77777777" w:rsidTr="00A7285A">
        <w:trPr>
          <w:cantSplit/>
        </w:trPr>
        <w:tc>
          <w:tcPr>
            <w:tcW w:w="2448" w:type="dxa"/>
          </w:tcPr>
          <w:p w14:paraId="1C6EC38B" w14:textId="77777777" w:rsidR="00783F0D" w:rsidRPr="00494E02" w:rsidRDefault="00783F0D" w:rsidP="00EB155C">
            <w:pPr>
              <w:pStyle w:val="TableText"/>
            </w:pPr>
            <w:r w:rsidRPr="00494E02">
              <w:t>When I have used and tested products from friends/ family</w:t>
            </w:r>
          </w:p>
        </w:tc>
        <w:tc>
          <w:tcPr>
            <w:tcW w:w="540" w:type="dxa"/>
          </w:tcPr>
          <w:p w14:paraId="605075E6" w14:textId="77777777" w:rsidR="00783F0D" w:rsidRPr="00494E02" w:rsidRDefault="00783F0D" w:rsidP="00EB155C">
            <w:pPr>
              <w:pStyle w:val="TableText"/>
              <w:jc w:val="right"/>
              <w:rPr>
                <w:color w:val="000000" w:themeColor="text1"/>
              </w:rPr>
            </w:pPr>
            <w:r w:rsidRPr="00494E02">
              <w:t>178</w:t>
            </w:r>
          </w:p>
        </w:tc>
        <w:tc>
          <w:tcPr>
            <w:tcW w:w="810" w:type="dxa"/>
          </w:tcPr>
          <w:p w14:paraId="09C7E08F" w14:textId="77777777" w:rsidR="00783F0D" w:rsidRPr="00494E02" w:rsidRDefault="00783F0D" w:rsidP="00EB155C">
            <w:pPr>
              <w:pStyle w:val="TableText"/>
              <w:jc w:val="right"/>
              <w:rPr>
                <w:color w:val="000000" w:themeColor="text1"/>
              </w:rPr>
            </w:pPr>
            <w:r w:rsidRPr="00494E02">
              <w:t>1304</w:t>
            </w:r>
          </w:p>
        </w:tc>
        <w:tc>
          <w:tcPr>
            <w:tcW w:w="1080" w:type="dxa"/>
          </w:tcPr>
          <w:p w14:paraId="53FE85EB" w14:textId="77777777" w:rsidR="00783F0D" w:rsidRPr="00494E02" w:rsidRDefault="00783F0D" w:rsidP="00EB155C">
            <w:pPr>
              <w:pStyle w:val="TableText"/>
              <w:jc w:val="right"/>
              <w:rPr>
                <w:color w:val="000000" w:themeColor="text1"/>
              </w:rPr>
            </w:pPr>
            <w:r w:rsidRPr="00494E02">
              <w:t>5.2 (4.3,</w:t>
            </w:r>
            <w:r>
              <w:t xml:space="preserve"> </w:t>
            </w:r>
            <w:r w:rsidRPr="00494E02">
              <w:t>6.3)</w:t>
            </w:r>
          </w:p>
        </w:tc>
        <w:tc>
          <w:tcPr>
            <w:tcW w:w="540" w:type="dxa"/>
          </w:tcPr>
          <w:p w14:paraId="66647C82" w14:textId="77777777" w:rsidR="00783F0D" w:rsidRPr="00494E02" w:rsidRDefault="00783F0D" w:rsidP="00EB155C">
            <w:pPr>
              <w:pStyle w:val="TableText"/>
              <w:jc w:val="right"/>
              <w:rPr>
                <w:color w:val="000000" w:themeColor="text1"/>
              </w:rPr>
            </w:pPr>
            <w:r w:rsidRPr="00494E02">
              <w:t>429</w:t>
            </w:r>
          </w:p>
        </w:tc>
        <w:tc>
          <w:tcPr>
            <w:tcW w:w="830" w:type="dxa"/>
          </w:tcPr>
          <w:p w14:paraId="380975E5" w14:textId="77777777" w:rsidR="00783F0D" w:rsidRPr="00494E02" w:rsidRDefault="00783F0D" w:rsidP="00EB155C">
            <w:pPr>
              <w:pStyle w:val="TableText"/>
              <w:jc w:val="right"/>
              <w:rPr>
                <w:color w:val="000000" w:themeColor="text1"/>
              </w:rPr>
            </w:pPr>
            <w:r w:rsidRPr="00494E02">
              <w:t>3321</w:t>
            </w:r>
          </w:p>
        </w:tc>
        <w:tc>
          <w:tcPr>
            <w:tcW w:w="1067" w:type="dxa"/>
          </w:tcPr>
          <w:p w14:paraId="5DFCB6E5" w14:textId="77777777" w:rsidR="00783F0D" w:rsidRPr="00494E02" w:rsidRDefault="00783F0D" w:rsidP="00EB155C">
            <w:pPr>
              <w:pStyle w:val="TableText"/>
              <w:jc w:val="right"/>
              <w:rPr>
                <w:color w:val="000000" w:themeColor="text1"/>
              </w:rPr>
            </w:pPr>
            <w:r w:rsidRPr="00494E02">
              <w:t>6.3 (4.3,</w:t>
            </w:r>
            <w:r>
              <w:t xml:space="preserve"> </w:t>
            </w:r>
            <w:r w:rsidRPr="00494E02">
              <w:t>9.2)</w:t>
            </w:r>
          </w:p>
        </w:tc>
      </w:tr>
      <w:tr w:rsidR="000624A6" w:rsidRPr="00AF016D" w14:paraId="1A79E585"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448" w:type="dxa"/>
          </w:tcPr>
          <w:p w14:paraId="2413814E" w14:textId="77777777" w:rsidR="00783F0D" w:rsidRPr="00494E02" w:rsidRDefault="00783F0D" w:rsidP="00EB155C">
            <w:pPr>
              <w:pStyle w:val="TableText"/>
            </w:pPr>
            <w:r w:rsidRPr="00494E02">
              <w:t>When it has been on the market for a while and cheaper because a newer version has been released</w:t>
            </w:r>
          </w:p>
        </w:tc>
        <w:tc>
          <w:tcPr>
            <w:tcW w:w="540" w:type="dxa"/>
          </w:tcPr>
          <w:p w14:paraId="1B544529" w14:textId="77777777" w:rsidR="00783F0D" w:rsidRPr="00494E02" w:rsidRDefault="00783F0D" w:rsidP="00EB155C">
            <w:pPr>
              <w:pStyle w:val="TableText"/>
              <w:jc w:val="right"/>
              <w:rPr>
                <w:color w:val="000000" w:themeColor="text1"/>
              </w:rPr>
            </w:pPr>
            <w:r w:rsidRPr="00494E02">
              <w:t>503</w:t>
            </w:r>
          </w:p>
        </w:tc>
        <w:tc>
          <w:tcPr>
            <w:tcW w:w="810" w:type="dxa"/>
          </w:tcPr>
          <w:p w14:paraId="0AEDF5BD" w14:textId="77777777" w:rsidR="00783F0D" w:rsidRPr="00494E02" w:rsidRDefault="00783F0D" w:rsidP="00EB155C">
            <w:pPr>
              <w:pStyle w:val="TableText"/>
              <w:jc w:val="right"/>
              <w:rPr>
                <w:color w:val="000000" w:themeColor="text1"/>
              </w:rPr>
            </w:pPr>
            <w:r w:rsidRPr="00494E02">
              <w:t>3704</w:t>
            </w:r>
          </w:p>
        </w:tc>
        <w:tc>
          <w:tcPr>
            <w:tcW w:w="1080" w:type="dxa"/>
          </w:tcPr>
          <w:p w14:paraId="65F8FDD8" w14:textId="77777777" w:rsidR="00783F0D" w:rsidRPr="00494E02" w:rsidRDefault="00783F0D" w:rsidP="00EB155C">
            <w:pPr>
              <w:pStyle w:val="TableText"/>
              <w:jc w:val="right"/>
              <w:rPr>
                <w:color w:val="000000" w:themeColor="text1"/>
              </w:rPr>
            </w:pPr>
            <w:r w:rsidRPr="00494E02">
              <w:t>14.9 (13.4,</w:t>
            </w:r>
            <w:r>
              <w:t xml:space="preserve"> </w:t>
            </w:r>
            <w:r w:rsidRPr="00494E02">
              <w:t>16.4)</w:t>
            </w:r>
          </w:p>
        </w:tc>
        <w:tc>
          <w:tcPr>
            <w:tcW w:w="540" w:type="dxa"/>
          </w:tcPr>
          <w:p w14:paraId="1C2F2B6D" w14:textId="77777777" w:rsidR="00783F0D" w:rsidRPr="00494E02" w:rsidRDefault="00783F0D" w:rsidP="00EB155C">
            <w:pPr>
              <w:pStyle w:val="TableText"/>
              <w:jc w:val="right"/>
              <w:rPr>
                <w:color w:val="000000" w:themeColor="text1"/>
              </w:rPr>
            </w:pPr>
            <w:r w:rsidRPr="00494E02">
              <w:t>1231</w:t>
            </w:r>
          </w:p>
        </w:tc>
        <w:tc>
          <w:tcPr>
            <w:tcW w:w="830" w:type="dxa"/>
          </w:tcPr>
          <w:p w14:paraId="58A1B3E9" w14:textId="77777777" w:rsidR="00783F0D" w:rsidRPr="00494E02" w:rsidRDefault="00783F0D" w:rsidP="00EB155C">
            <w:pPr>
              <w:pStyle w:val="TableText"/>
              <w:jc w:val="right"/>
              <w:rPr>
                <w:color w:val="000000" w:themeColor="text1"/>
              </w:rPr>
            </w:pPr>
            <w:r w:rsidRPr="00494E02">
              <w:t>9949</w:t>
            </w:r>
          </w:p>
        </w:tc>
        <w:tc>
          <w:tcPr>
            <w:tcW w:w="1067" w:type="dxa"/>
          </w:tcPr>
          <w:p w14:paraId="4E7FDE24" w14:textId="77777777" w:rsidR="00783F0D" w:rsidRPr="00494E02" w:rsidRDefault="00783F0D" w:rsidP="00EB155C">
            <w:pPr>
              <w:pStyle w:val="TableText"/>
              <w:jc w:val="right"/>
              <w:rPr>
                <w:color w:val="000000" w:themeColor="text1"/>
              </w:rPr>
            </w:pPr>
            <w:r w:rsidRPr="00494E02">
              <w:t>19.0 (15.6,</w:t>
            </w:r>
            <w:r>
              <w:t xml:space="preserve"> </w:t>
            </w:r>
            <w:r w:rsidRPr="00494E02">
              <w:t>22.8)</w:t>
            </w:r>
          </w:p>
        </w:tc>
      </w:tr>
      <w:tr w:rsidR="000624A6" w:rsidRPr="00AF016D" w14:paraId="3B74329A" w14:textId="77777777" w:rsidTr="00A7285A">
        <w:trPr>
          <w:cantSplit/>
        </w:trPr>
        <w:tc>
          <w:tcPr>
            <w:tcW w:w="2448" w:type="dxa"/>
          </w:tcPr>
          <w:p w14:paraId="5166DC02" w14:textId="77777777" w:rsidR="00783F0D" w:rsidRPr="00494E02" w:rsidRDefault="00783F0D" w:rsidP="00EB155C">
            <w:pPr>
              <w:pStyle w:val="TableText"/>
            </w:pPr>
            <w:r w:rsidRPr="00494E02">
              <w:t>I don’t buy new and emerging technologies</w:t>
            </w:r>
          </w:p>
        </w:tc>
        <w:tc>
          <w:tcPr>
            <w:tcW w:w="540" w:type="dxa"/>
          </w:tcPr>
          <w:p w14:paraId="72131782" w14:textId="77777777" w:rsidR="00783F0D" w:rsidRPr="00494E02" w:rsidRDefault="00783F0D" w:rsidP="00EB155C">
            <w:pPr>
              <w:pStyle w:val="TableText"/>
              <w:jc w:val="right"/>
              <w:rPr>
                <w:color w:val="000000" w:themeColor="text1"/>
              </w:rPr>
            </w:pPr>
            <w:r w:rsidRPr="00494E02">
              <w:t>563</w:t>
            </w:r>
          </w:p>
        </w:tc>
        <w:tc>
          <w:tcPr>
            <w:tcW w:w="810" w:type="dxa"/>
          </w:tcPr>
          <w:p w14:paraId="6179CDCF" w14:textId="77777777" w:rsidR="00783F0D" w:rsidRPr="00494E02" w:rsidRDefault="00783F0D" w:rsidP="00EB155C">
            <w:pPr>
              <w:pStyle w:val="TableText"/>
              <w:jc w:val="right"/>
              <w:rPr>
                <w:color w:val="000000" w:themeColor="text1"/>
              </w:rPr>
            </w:pPr>
            <w:r w:rsidRPr="00494E02">
              <w:t>3905</w:t>
            </w:r>
          </w:p>
        </w:tc>
        <w:tc>
          <w:tcPr>
            <w:tcW w:w="1080" w:type="dxa"/>
          </w:tcPr>
          <w:p w14:paraId="18D97A82" w14:textId="77777777" w:rsidR="00783F0D" w:rsidRPr="00494E02" w:rsidRDefault="00783F0D" w:rsidP="00EB155C">
            <w:pPr>
              <w:pStyle w:val="TableText"/>
              <w:jc w:val="right"/>
              <w:rPr>
                <w:color w:val="000000" w:themeColor="text1"/>
              </w:rPr>
            </w:pPr>
            <w:r w:rsidRPr="00494E02">
              <w:t>15.7 (14.2,</w:t>
            </w:r>
            <w:r>
              <w:t xml:space="preserve"> </w:t>
            </w:r>
            <w:r w:rsidRPr="00494E02">
              <w:t>17.3)</w:t>
            </w:r>
          </w:p>
        </w:tc>
        <w:tc>
          <w:tcPr>
            <w:tcW w:w="540" w:type="dxa"/>
          </w:tcPr>
          <w:p w14:paraId="6A3D8DD0" w14:textId="77777777" w:rsidR="00783F0D" w:rsidRPr="00494E02" w:rsidRDefault="00783F0D" w:rsidP="00EB155C">
            <w:pPr>
              <w:pStyle w:val="TableText"/>
              <w:jc w:val="right"/>
              <w:rPr>
                <w:color w:val="000000" w:themeColor="text1"/>
              </w:rPr>
            </w:pPr>
            <w:r w:rsidRPr="00494E02">
              <w:t>925</w:t>
            </w:r>
          </w:p>
        </w:tc>
        <w:tc>
          <w:tcPr>
            <w:tcW w:w="830" w:type="dxa"/>
          </w:tcPr>
          <w:p w14:paraId="5676546E" w14:textId="77777777" w:rsidR="00783F0D" w:rsidRPr="00494E02" w:rsidRDefault="00783F0D" w:rsidP="00EB155C">
            <w:pPr>
              <w:pStyle w:val="TableText"/>
              <w:jc w:val="right"/>
              <w:rPr>
                <w:color w:val="000000" w:themeColor="text1"/>
              </w:rPr>
            </w:pPr>
            <w:r w:rsidRPr="00494E02">
              <w:t>5531</w:t>
            </w:r>
          </w:p>
        </w:tc>
        <w:tc>
          <w:tcPr>
            <w:tcW w:w="1067" w:type="dxa"/>
          </w:tcPr>
          <w:p w14:paraId="1491E112" w14:textId="77777777" w:rsidR="00783F0D" w:rsidRPr="00494E02" w:rsidRDefault="00783F0D" w:rsidP="00EB155C">
            <w:pPr>
              <w:pStyle w:val="TableText"/>
              <w:jc w:val="right"/>
              <w:rPr>
                <w:color w:val="000000" w:themeColor="text1"/>
              </w:rPr>
            </w:pPr>
            <w:r w:rsidRPr="00494E02">
              <w:t>10.5 (8.8,</w:t>
            </w:r>
            <w:r>
              <w:t xml:space="preserve"> </w:t>
            </w:r>
            <w:r w:rsidRPr="00494E02">
              <w:t>12.5)</w:t>
            </w:r>
          </w:p>
        </w:tc>
      </w:tr>
      <w:tr w:rsidR="000624A6" w:rsidRPr="00AF016D" w14:paraId="0BE522CC"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448" w:type="dxa"/>
          </w:tcPr>
          <w:p w14:paraId="73C60739" w14:textId="77777777" w:rsidR="00783F0D" w:rsidRPr="00494E02" w:rsidRDefault="00783F0D" w:rsidP="00EB155C">
            <w:pPr>
              <w:pStyle w:val="TableText"/>
            </w:pPr>
            <w:r w:rsidRPr="00494E02">
              <w:t>Other (please specify):</w:t>
            </w:r>
          </w:p>
        </w:tc>
        <w:tc>
          <w:tcPr>
            <w:tcW w:w="540" w:type="dxa"/>
          </w:tcPr>
          <w:p w14:paraId="0F100847" w14:textId="77777777" w:rsidR="00783F0D" w:rsidRPr="00494E02" w:rsidRDefault="00783F0D" w:rsidP="00EB155C">
            <w:pPr>
              <w:pStyle w:val="TableText"/>
              <w:jc w:val="right"/>
              <w:rPr>
                <w:color w:val="000000" w:themeColor="text1"/>
              </w:rPr>
            </w:pPr>
            <w:r w:rsidRPr="00494E02">
              <w:t>99</w:t>
            </w:r>
          </w:p>
        </w:tc>
        <w:tc>
          <w:tcPr>
            <w:tcW w:w="810" w:type="dxa"/>
          </w:tcPr>
          <w:p w14:paraId="751A34ED" w14:textId="77777777" w:rsidR="00783F0D" w:rsidRPr="00494E02" w:rsidRDefault="00783F0D" w:rsidP="00EB155C">
            <w:pPr>
              <w:pStyle w:val="TableText"/>
              <w:jc w:val="right"/>
              <w:rPr>
                <w:color w:val="000000" w:themeColor="text1"/>
              </w:rPr>
            </w:pPr>
            <w:r w:rsidRPr="00494E02">
              <w:t>689</w:t>
            </w:r>
          </w:p>
        </w:tc>
        <w:tc>
          <w:tcPr>
            <w:tcW w:w="1080" w:type="dxa"/>
          </w:tcPr>
          <w:p w14:paraId="096D5D97" w14:textId="77777777" w:rsidR="00783F0D" w:rsidRPr="00494E02" w:rsidRDefault="00783F0D" w:rsidP="00EB155C">
            <w:pPr>
              <w:pStyle w:val="TableText"/>
              <w:jc w:val="right"/>
              <w:rPr>
                <w:color w:val="000000" w:themeColor="text1"/>
              </w:rPr>
            </w:pPr>
            <w:r w:rsidRPr="00494E02">
              <w:t>2.8 (2.2,</w:t>
            </w:r>
            <w:r>
              <w:t xml:space="preserve"> </w:t>
            </w:r>
            <w:r w:rsidRPr="00494E02">
              <w:t>3.5)</w:t>
            </w:r>
          </w:p>
        </w:tc>
        <w:tc>
          <w:tcPr>
            <w:tcW w:w="540" w:type="dxa"/>
          </w:tcPr>
          <w:p w14:paraId="43AC1623" w14:textId="77777777" w:rsidR="00783F0D" w:rsidRPr="00494E02" w:rsidRDefault="00783F0D" w:rsidP="00EB155C">
            <w:pPr>
              <w:pStyle w:val="TableText"/>
              <w:jc w:val="right"/>
              <w:rPr>
                <w:color w:val="000000" w:themeColor="text1"/>
              </w:rPr>
            </w:pPr>
            <w:r w:rsidRPr="00494E02">
              <w:t>197</w:t>
            </w:r>
          </w:p>
        </w:tc>
        <w:tc>
          <w:tcPr>
            <w:tcW w:w="830" w:type="dxa"/>
          </w:tcPr>
          <w:p w14:paraId="3BDA23F7" w14:textId="77777777" w:rsidR="00783F0D" w:rsidRPr="00494E02" w:rsidRDefault="00783F0D" w:rsidP="00EB155C">
            <w:pPr>
              <w:pStyle w:val="TableText"/>
              <w:jc w:val="right"/>
              <w:rPr>
                <w:color w:val="000000" w:themeColor="text1"/>
              </w:rPr>
            </w:pPr>
            <w:r w:rsidRPr="00494E02">
              <w:t>1518</w:t>
            </w:r>
          </w:p>
        </w:tc>
        <w:tc>
          <w:tcPr>
            <w:tcW w:w="1067" w:type="dxa"/>
          </w:tcPr>
          <w:p w14:paraId="3AA2A01C" w14:textId="77777777" w:rsidR="00783F0D" w:rsidRPr="00494E02" w:rsidRDefault="00783F0D" w:rsidP="00EB155C">
            <w:pPr>
              <w:pStyle w:val="TableText"/>
              <w:jc w:val="right"/>
              <w:rPr>
                <w:color w:val="000000" w:themeColor="text1"/>
              </w:rPr>
            </w:pPr>
            <w:r w:rsidRPr="00494E02">
              <w:t>2.9 (1.7,</w:t>
            </w:r>
            <w:r>
              <w:t xml:space="preserve"> </w:t>
            </w:r>
            <w:r w:rsidRPr="00494E02">
              <w:t>4.9)</w:t>
            </w:r>
          </w:p>
        </w:tc>
      </w:tr>
      <w:tr w:rsidR="000624A6" w:rsidRPr="00AF016D" w14:paraId="53217723" w14:textId="77777777" w:rsidTr="00A7285A">
        <w:trPr>
          <w:cantSplit/>
        </w:trPr>
        <w:tc>
          <w:tcPr>
            <w:tcW w:w="2448" w:type="dxa"/>
          </w:tcPr>
          <w:p w14:paraId="7074B0AB" w14:textId="77777777" w:rsidR="00783F0D" w:rsidRPr="00494E02" w:rsidRDefault="00783F0D" w:rsidP="00EB155C">
            <w:pPr>
              <w:pStyle w:val="TableText"/>
            </w:pPr>
            <w:r w:rsidRPr="00494E02">
              <w:t>Don’t know</w:t>
            </w:r>
          </w:p>
        </w:tc>
        <w:tc>
          <w:tcPr>
            <w:tcW w:w="540" w:type="dxa"/>
          </w:tcPr>
          <w:p w14:paraId="47AA71AD" w14:textId="77777777" w:rsidR="00783F0D" w:rsidRPr="00494E02" w:rsidRDefault="00783F0D" w:rsidP="00EB155C">
            <w:pPr>
              <w:pStyle w:val="TableText"/>
              <w:jc w:val="right"/>
              <w:rPr>
                <w:color w:val="000000" w:themeColor="text1"/>
              </w:rPr>
            </w:pPr>
            <w:r w:rsidRPr="00494E02">
              <w:t>499</w:t>
            </w:r>
          </w:p>
        </w:tc>
        <w:tc>
          <w:tcPr>
            <w:tcW w:w="810" w:type="dxa"/>
          </w:tcPr>
          <w:p w14:paraId="70D7E6DE" w14:textId="77777777" w:rsidR="00783F0D" w:rsidRPr="00494E02" w:rsidRDefault="00783F0D" w:rsidP="00EB155C">
            <w:pPr>
              <w:pStyle w:val="TableText"/>
              <w:jc w:val="right"/>
              <w:rPr>
                <w:color w:val="000000" w:themeColor="text1"/>
              </w:rPr>
            </w:pPr>
            <w:r w:rsidRPr="00494E02">
              <w:t>3683</w:t>
            </w:r>
          </w:p>
        </w:tc>
        <w:tc>
          <w:tcPr>
            <w:tcW w:w="1080" w:type="dxa"/>
          </w:tcPr>
          <w:p w14:paraId="25C0B781" w14:textId="77777777" w:rsidR="00783F0D" w:rsidRPr="00494E02" w:rsidRDefault="00783F0D" w:rsidP="00EB155C">
            <w:pPr>
              <w:pStyle w:val="TableText"/>
              <w:jc w:val="right"/>
              <w:rPr>
                <w:color w:val="000000" w:themeColor="text1"/>
              </w:rPr>
            </w:pPr>
            <w:r w:rsidRPr="00494E02">
              <w:t>14.8 (13.3,</w:t>
            </w:r>
            <w:r>
              <w:t xml:space="preserve"> </w:t>
            </w:r>
            <w:r w:rsidRPr="00494E02">
              <w:t>16.3)</w:t>
            </w:r>
          </w:p>
        </w:tc>
        <w:tc>
          <w:tcPr>
            <w:tcW w:w="540" w:type="dxa"/>
          </w:tcPr>
          <w:p w14:paraId="6D4C9638" w14:textId="77777777" w:rsidR="00783F0D" w:rsidRPr="00494E02" w:rsidRDefault="00783F0D" w:rsidP="00EB155C">
            <w:pPr>
              <w:pStyle w:val="TableText"/>
              <w:jc w:val="right"/>
              <w:rPr>
                <w:color w:val="000000" w:themeColor="text1"/>
              </w:rPr>
            </w:pPr>
            <w:r w:rsidRPr="00494E02">
              <w:t>821</w:t>
            </w:r>
          </w:p>
        </w:tc>
        <w:tc>
          <w:tcPr>
            <w:tcW w:w="830" w:type="dxa"/>
          </w:tcPr>
          <w:p w14:paraId="2E2BD1B0" w14:textId="77777777" w:rsidR="00783F0D" w:rsidRPr="00494E02" w:rsidRDefault="00783F0D" w:rsidP="00EB155C">
            <w:pPr>
              <w:pStyle w:val="TableText"/>
              <w:jc w:val="right"/>
              <w:rPr>
                <w:color w:val="000000" w:themeColor="text1"/>
              </w:rPr>
            </w:pPr>
            <w:r w:rsidRPr="00494E02">
              <w:t>6342</w:t>
            </w:r>
          </w:p>
        </w:tc>
        <w:tc>
          <w:tcPr>
            <w:tcW w:w="1067" w:type="dxa"/>
          </w:tcPr>
          <w:p w14:paraId="621823C7" w14:textId="77777777" w:rsidR="00783F0D" w:rsidRPr="00494E02" w:rsidRDefault="00783F0D" w:rsidP="00EB155C">
            <w:pPr>
              <w:pStyle w:val="TableText"/>
              <w:jc w:val="right"/>
              <w:rPr>
                <w:color w:val="000000" w:themeColor="text1"/>
              </w:rPr>
            </w:pPr>
            <w:r w:rsidRPr="00494E02">
              <w:t>12.1 (9.6,</w:t>
            </w:r>
            <w:r>
              <w:t xml:space="preserve"> </w:t>
            </w:r>
            <w:r w:rsidRPr="00494E02">
              <w:t>15.1)</w:t>
            </w:r>
          </w:p>
        </w:tc>
      </w:tr>
    </w:tbl>
    <w:p w14:paraId="45E45E7E" w14:textId="77777777" w:rsidR="00783F0D" w:rsidRPr="00286725" w:rsidRDefault="00783F0D" w:rsidP="00783F0D">
      <w:pPr>
        <w:pStyle w:val="TableNotes"/>
      </w:pPr>
      <w:r w:rsidRPr="00286725">
        <w:t>Notes</w:t>
      </w:r>
    </w:p>
    <w:p w14:paraId="6509ED60" w14:textId="77777777" w:rsidR="00783F0D" w:rsidRPr="00F42F9D" w:rsidRDefault="00783F0D" w:rsidP="00783F0D">
      <w:pPr>
        <w:pStyle w:val="TableNotes"/>
      </w:pPr>
      <w:r w:rsidRPr="00F42F9D">
        <w:t>Denominator: Entire cohort</w:t>
      </w:r>
      <w:r>
        <w:t>.</w:t>
      </w:r>
    </w:p>
    <w:p w14:paraId="48E46167" w14:textId="77777777" w:rsidR="00783F0D" w:rsidRPr="00F42F9D" w:rsidRDefault="00783F0D" w:rsidP="00783F0D">
      <w:pPr>
        <w:pStyle w:val="TableNotes"/>
      </w:pPr>
      <w:r w:rsidRPr="00F42F9D">
        <w:t>Based on weighted counts, 475 (1.9%) Transitioned ADF, and 935 (1.8%) 2015 Regular ADF had a missing value for this question. However, distributions are calculated by including those with a missing value to allow for correct weighted totals.</w:t>
      </w:r>
    </w:p>
    <w:p w14:paraId="7C798AF9" w14:textId="77777777" w:rsidR="00783F0D" w:rsidRDefault="00783F0D" w:rsidP="00783F0D">
      <w:pPr>
        <w:pStyle w:val="TableNotes"/>
      </w:pPr>
      <w:r w:rsidRPr="00F42F9D">
        <w:t>95%CI</w:t>
      </w:r>
      <w:r>
        <w:t xml:space="preserve"> =</w:t>
      </w:r>
      <w:r w:rsidRPr="00F42F9D">
        <w:t xml:space="preserve"> 95% </w:t>
      </w:r>
      <w:r>
        <w:t>confidence interval.</w:t>
      </w:r>
    </w:p>
    <w:p w14:paraId="5DD57B80" w14:textId="2DC6625D" w:rsidR="00783F0D" w:rsidRDefault="00783F0D" w:rsidP="00783F0D">
      <w:pPr>
        <w:pStyle w:val="FigureName"/>
      </w:pPr>
      <w:bookmarkStart w:id="545" w:name="_Ref517352703"/>
      <w:bookmarkStart w:id="546" w:name="_Toc509922949"/>
      <w:bookmarkStart w:id="547" w:name="_Toc515374723"/>
      <w:bookmarkStart w:id="548" w:name="_Toc528932407"/>
      <w:bookmarkStart w:id="549" w:name="_Toc531858087"/>
      <w:r>
        <w:t xml:space="preserve">Figure </w:t>
      </w:r>
      <w:r>
        <w:rPr>
          <w:noProof/>
        </w:rPr>
        <w:t>5</w:t>
      </w:r>
      <w:r>
        <w:t>.</w:t>
      </w:r>
      <w:r>
        <w:rPr>
          <w:noProof/>
        </w:rPr>
        <w:t>5</w:t>
      </w:r>
      <w:bookmarkEnd w:id="545"/>
      <w:r>
        <w:tab/>
      </w:r>
      <w:r w:rsidRPr="00F65B2B">
        <w:t>Best time to purchase new and emerging technologies among Transitioned ADF and 2015 Regular ADF</w:t>
      </w:r>
      <w:bookmarkEnd w:id="546"/>
      <w:bookmarkEnd w:id="547"/>
      <w:bookmarkEnd w:id="548"/>
      <w:bookmarkEnd w:id="549"/>
    </w:p>
    <w:p w14:paraId="61EFBFE1" w14:textId="77777777" w:rsidR="00783F0D" w:rsidRDefault="000624A6" w:rsidP="000624A6">
      <w:pPr>
        <w:spacing w:after="360"/>
      </w:pPr>
      <w:r w:rsidRPr="001A4FD0">
        <w:rPr>
          <w:noProof/>
          <w:lang w:eastAsia="en-AU"/>
        </w:rPr>
        <w:drawing>
          <wp:inline distT="0" distB="0" distL="0" distR="0" wp14:anchorId="23118D4B" wp14:editId="31EEDB42">
            <wp:extent cx="4572000" cy="2465857"/>
            <wp:effectExtent l="0" t="0" r="0" b="0"/>
            <wp:docPr id="480" name="Picture 480" descr="Figure 5.5 Best time to purchase new and emerging technologies among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ealthSciences\SPHCP\CTSS\DATA REPOSITORY\TWRP\REPORT 5\FIGURE_4_9.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000" cy="2465857"/>
                    </a:xfrm>
                    <a:prstGeom prst="rect">
                      <a:avLst/>
                    </a:prstGeom>
                    <a:noFill/>
                    <a:ln>
                      <a:noFill/>
                    </a:ln>
                  </pic:spPr>
                </pic:pic>
              </a:graphicData>
            </a:graphic>
          </wp:inline>
        </w:drawing>
      </w:r>
    </w:p>
    <w:p w14:paraId="45A10789" w14:textId="77777777" w:rsidR="00783F0D" w:rsidRPr="00071F81" w:rsidRDefault="00783F0D" w:rsidP="00783F0D">
      <w:pPr>
        <w:pStyle w:val="Heading2"/>
        <w:numPr>
          <w:ilvl w:val="1"/>
          <w:numId w:val="1"/>
        </w:numPr>
        <w:ind w:left="720" w:hanging="720"/>
      </w:pPr>
      <w:bookmarkStart w:id="550" w:name="_Toc509917441"/>
      <w:bookmarkStart w:id="551" w:name="_Toc515374483"/>
      <w:bookmarkStart w:id="552" w:name="_Toc518566380"/>
      <w:bookmarkStart w:id="553" w:name="_Toc528932673"/>
      <w:bookmarkStart w:id="554" w:name="_Toc531859210"/>
      <w:r w:rsidRPr="00071F81">
        <w:t>Current use of new and emerging technologies for the purpose of improving health and wellbeing</w:t>
      </w:r>
      <w:bookmarkEnd w:id="550"/>
      <w:bookmarkEnd w:id="551"/>
      <w:bookmarkEnd w:id="552"/>
      <w:bookmarkEnd w:id="553"/>
      <w:bookmarkEnd w:id="554"/>
    </w:p>
    <w:p w14:paraId="4DAAE2B8" w14:textId="77777777" w:rsidR="00783F0D" w:rsidRPr="00E26506" w:rsidRDefault="00783F0D" w:rsidP="00783F0D">
      <w:r>
        <w:t xml:space="preserve">Approximately 50% of the </w:t>
      </w:r>
      <w:r w:rsidRPr="00E26506">
        <w:t>Transitioned ADF and 2015 Regular ADF who use</w:t>
      </w:r>
      <w:r>
        <w:t>d</w:t>
      </w:r>
      <w:r w:rsidRPr="00E26506">
        <w:t xml:space="preserve"> new and emerging technologies</w:t>
      </w:r>
      <w:r>
        <w:t xml:space="preserve"> used them to improve</w:t>
      </w:r>
      <w:r w:rsidRPr="00E26506">
        <w:t xml:space="preserve"> their health and wellbeing</w:t>
      </w:r>
      <w:r>
        <w:t xml:space="preserve"> (</w:t>
      </w:r>
      <w:r w:rsidRPr="00E26506">
        <w:t xml:space="preserve">46.7% </w:t>
      </w:r>
      <w:r>
        <w:t>and</w:t>
      </w:r>
      <w:r w:rsidRPr="00E26506">
        <w:t xml:space="preserve"> 49.6%</w:t>
      </w:r>
      <w:r>
        <w:t xml:space="preserve"> respectively) (</w:t>
      </w:r>
      <w:r w:rsidRPr="00071F81">
        <w:t xml:space="preserve">Table </w:t>
      </w:r>
      <w:r>
        <w:rPr>
          <w:noProof/>
        </w:rPr>
        <w:t>5</w:t>
      </w:r>
      <w:r>
        <w:t>.</w:t>
      </w:r>
      <w:r>
        <w:rPr>
          <w:noProof/>
        </w:rPr>
        <w:t>6</w:t>
      </w:r>
      <w:r>
        <w:t xml:space="preserve"> and Figure 5.6).</w:t>
      </w:r>
    </w:p>
    <w:p w14:paraId="2FC87F6B" w14:textId="77777777" w:rsidR="00783F0D" w:rsidRPr="001D27E5" w:rsidRDefault="00783F0D" w:rsidP="00783F0D">
      <w:r w:rsidRPr="00E26506">
        <w:rPr>
          <w:rFonts w:eastAsia="SimSun"/>
          <w:szCs w:val="22"/>
        </w:rPr>
        <w:t xml:space="preserve">Logistic regression showed no </w:t>
      </w:r>
      <w:r>
        <w:rPr>
          <w:rFonts w:eastAsia="SimSun"/>
          <w:szCs w:val="22"/>
        </w:rPr>
        <w:t>differences</w:t>
      </w:r>
      <w:r w:rsidRPr="00E26506">
        <w:rPr>
          <w:rFonts w:eastAsia="SimSun"/>
          <w:szCs w:val="22"/>
        </w:rPr>
        <w:t xml:space="preserve"> between the Transitioned ADF and the 2015 Regular ADF</w:t>
      </w:r>
      <w:r>
        <w:rPr>
          <w:rFonts w:eastAsia="SimSun"/>
          <w:szCs w:val="22"/>
        </w:rPr>
        <w:t xml:space="preserve"> </w:t>
      </w:r>
      <w:r w:rsidRPr="003C38BD">
        <w:rPr>
          <w:rFonts w:eastAsia="SimSun"/>
          <w:szCs w:val="22"/>
        </w:rPr>
        <w:t xml:space="preserve">in </w:t>
      </w:r>
      <w:r>
        <w:rPr>
          <w:rFonts w:eastAsia="SimSun"/>
          <w:szCs w:val="22"/>
        </w:rPr>
        <w:t>the proportion who used</w:t>
      </w:r>
      <w:r w:rsidRPr="00BD16E0">
        <w:t xml:space="preserve"> new and emerging technologies for the purpose of improving their health and wellbeing.</w:t>
      </w:r>
    </w:p>
    <w:p w14:paraId="39CCE5CB" w14:textId="77777777" w:rsidR="00783F0D" w:rsidRDefault="00783F0D" w:rsidP="00783F0D">
      <w:pPr>
        <w:pStyle w:val="TableName"/>
      </w:pPr>
      <w:bookmarkStart w:id="555" w:name="_Ref518551374"/>
      <w:bookmarkStart w:id="556" w:name="_Toc509922876"/>
      <w:bookmarkStart w:id="557" w:name="_Toc515374651"/>
      <w:bookmarkStart w:id="558" w:name="_Toc528932327"/>
      <w:bookmarkStart w:id="559" w:name="_Toc531858006"/>
      <w:r w:rsidRPr="00071F81">
        <w:t xml:space="preserve">Table </w:t>
      </w:r>
      <w:r>
        <w:rPr>
          <w:noProof/>
        </w:rPr>
        <w:t>5</w:t>
      </w:r>
      <w:r>
        <w:t>.</w:t>
      </w:r>
      <w:r>
        <w:rPr>
          <w:noProof/>
        </w:rPr>
        <w:t>6</w:t>
      </w:r>
      <w:bookmarkEnd w:id="555"/>
      <w:r w:rsidRPr="00071F81">
        <w:tab/>
        <w:t>Use of new or emerging technologies to improve health and wellbeing among Transitioned ADF and 2015 Regular ADF who currently use</w:t>
      </w:r>
      <w:r>
        <w:t>d</w:t>
      </w:r>
      <w:r w:rsidRPr="00071F81">
        <w:t xml:space="preserve"> new or emerging technologies</w:t>
      </w:r>
      <w:bookmarkEnd w:id="556"/>
      <w:bookmarkEnd w:id="557"/>
      <w:bookmarkEnd w:id="558"/>
      <w:bookmarkEnd w:id="559"/>
    </w:p>
    <w:tbl>
      <w:tblPr>
        <w:tblStyle w:val="TWRPTable"/>
        <w:tblW w:w="5000" w:type="pct"/>
        <w:tblLayout w:type="fixed"/>
        <w:tblLook w:val="0000" w:firstRow="0" w:lastRow="0" w:firstColumn="0" w:lastColumn="0" w:noHBand="0" w:noVBand="0"/>
        <w:tblDescription w:val="Table 5.6 Use of new or emerging technologies to improve health and wellbeing among Transitioned ADF and 2015 Regular ADF who currently used new or emerging technologies"/>
      </w:tblPr>
      <w:tblGrid>
        <w:gridCol w:w="1762"/>
        <w:gridCol w:w="698"/>
        <w:gridCol w:w="872"/>
        <w:gridCol w:w="1093"/>
        <w:gridCol w:w="651"/>
        <w:gridCol w:w="872"/>
        <w:gridCol w:w="1141"/>
      </w:tblGrid>
      <w:tr w:rsidR="000624A6" w:rsidRPr="00F62477" w14:paraId="681BCF17" w14:textId="77777777" w:rsidTr="00A7285A">
        <w:trPr>
          <w:cantSplit/>
          <w:tblHeader/>
        </w:trPr>
        <w:tc>
          <w:tcPr>
            <w:tcW w:w="1243" w:type="pct"/>
            <w:vMerge w:val="restart"/>
            <w:tcBorders>
              <w:top w:val="single" w:sz="4" w:space="0" w:color="000000"/>
              <w:bottom w:val="single" w:sz="4" w:space="0" w:color="000000"/>
            </w:tcBorders>
            <w:vAlign w:val="bottom"/>
          </w:tcPr>
          <w:p w14:paraId="04985FE3" w14:textId="77777777" w:rsidR="000624A6" w:rsidRPr="00071F81" w:rsidRDefault="000624A6" w:rsidP="00A7285A">
            <w:pPr>
              <w:pStyle w:val="TableText"/>
              <w:rPr>
                <w:b/>
              </w:rPr>
            </w:pPr>
            <w:r>
              <w:rPr>
                <w:b/>
              </w:rPr>
              <w:t xml:space="preserve">Use any new or emerging </w:t>
            </w:r>
            <w:r w:rsidRPr="00071F81">
              <w:rPr>
                <w:b/>
              </w:rPr>
              <w:t>technologies to improve health and wellbeing</w:t>
            </w:r>
          </w:p>
        </w:tc>
        <w:tc>
          <w:tcPr>
            <w:tcW w:w="1878" w:type="pct"/>
            <w:gridSpan w:val="3"/>
            <w:tcBorders>
              <w:top w:val="single" w:sz="4" w:space="0" w:color="000000"/>
              <w:bottom w:val="single" w:sz="4" w:space="0" w:color="000000"/>
            </w:tcBorders>
          </w:tcPr>
          <w:p w14:paraId="64A33159" w14:textId="77777777" w:rsidR="000624A6" w:rsidRPr="00071F81" w:rsidRDefault="000624A6" w:rsidP="000624A6">
            <w:pPr>
              <w:pStyle w:val="TableText"/>
              <w:jc w:val="center"/>
              <w:rPr>
                <w:b/>
              </w:rPr>
            </w:pPr>
            <w:r w:rsidRPr="00071F81">
              <w:rPr>
                <w:b/>
              </w:rPr>
              <w:t>Transitioned ADF</w:t>
            </w:r>
            <w:r>
              <w:rPr>
                <w:b/>
              </w:rPr>
              <w:br/>
            </w:r>
            <w:r w:rsidRPr="00071F81">
              <w:rPr>
                <w:b/>
              </w:rPr>
              <w:t>n=12,145</w:t>
            </w:r>
          </w:p>
        </w:tc>
        <w:tc>
          <w:tcPr>
            <w:tcW w:w="1879" w:type="pct"/>
            <w:gridSpan w:val="3"/>
            <w:tcBorders>
              <w:top w:val="single" w:sz="4" w:space="0" w:color="000000"/>
              <w:bottom w:val="single" w:sz="4" w:space="0" w:color="000000"/>
            </w:tcBorders>
          </w:tcPr>
          <w:p w14:paraId="63A911C6" w14:textId="77777777" w:rsidR="000624A6" w:rsidRPr="00071F81" w:rsidRDefault="000624A6" w:rsidP="000624A6">
            <w:pPr>
              <w:pStyle w:val="TableText"/>
              <w:jc w:val="center"/>
              <w:rPr>
                <w:b/>
              </w:rPr>
            </w:pPr>
            <w:r w:rsidRPr="00071F81">
              <w:rPr>
                <w:b/>
              </w:rPr>
              <w:t>2015 Regular ADF</w:t>
            </w:r>
            <w:r>
              <w:rPr>
                <w:b/>
              </w:rPr>
              <w:br/>
            </w:r>
            <w:r w:rsidRPr="00071F81">
              <w:rPr>
                <w:b/>
              </w:rPr>
              <w:t>n=26,480</w:t>
            </w:r>
          </w:p>
        </w:tc>
      </w:tr>
      <w:tr w:rsidR="000624A6" w:rsidRPr="00F62477" w14:paraId="44410A2D" w14:textId="77777777" w:rsidTr="00A7285A">
        <w:trPr>
          <w:cantSplit/>
          <w:tblHeader/>
        </w:trPr>
        <w:tc>
          <w:tcPr>
            <w:tcW w:w="1243" w:type="pct"/>
            <w:vMerge/>
            <w:tcBorders>
              <w:top w:val="single" w:sz="4" w:space="0" w:color="000000"/>
              <w:bottom w:val="single" w:sz="4" w:space="0" w:color="000000"/>
            </w:tcBorders>
          </w:tcPr>
          <w:p w14:paraId="0DE4905B" w14:textId="77777777" w:rsidR="000624A6" w:rsidRPr="00071F81" w:rsidRDefault="000624A6" w:rsidP="00EB155C">
            <w:pPr>
              <w:pStyle w:val="TableText"/>
              <w:rPr>
                <w:b/>
              </w:rPr>
            </w:pPr>
          </w:p>
        </w:tc>
        <w:tc>
          <w:tcPr>
            <w:tcW w:w="492" w:type="pct"/>
            <w:tcBorders>
              <w:top w:val="single" w:sz="4" w:space="0" w:color="000000"/>
              <w:bottom w:val="single" w:sz="4" w:space="0" w:color="000000"/>
            </w:tcBorders>
          </w:tcPr>
          <w:p w14:paraId="1482B539" w14:textId="77777777" w:rsidR="000624A6" w:rsidRPr="00071F81" w:rsidRDefault="000624A6" w:rsidP="00EB155C">
            <w:pPr>
              <w:pStyle w:val="TableText"/>
              <w:jc w:val="right"/>
              <w:rPr>
                <w:b/>
              </w:rPr>
            </w:pPr>
            <w:r w:rsidRPr="00071F81">
              <w:rPr>
                <w:b/>
              </w:rPr>
              <w:t>n</w:t>
            </w:r>
          </w:p>
        </w:tc>
        <w:tc>
          <w:tcPr>
            <w:tcW w:w="615" w:type="pct"/>
            <w:tcBorders>
              <w:top w:val="single" w:sz="4" w:space="0" w:color="000000"/>
              <w:bottom w:val="single" w:sz="4" w:space="0" w:color="000000"/>
            </w:tcBorders>
          </w:tcPr>
          <w:p w14:paraId="756F0E17" w14:textId="77777777" w:rsidR="000624A6" w:rsidRPr="00071F81" w:rsidRDefault="000624A6" w:rsidP="00EB155C">
            <w:pPr>
              <w:pStyle w:val="TableText"/>
              <w:jc w:val="right"/>
              <w:rPr>
                <w:b/>
              </w:rPr>
            </w:pPr>
            <w:r w:rsidRPr="00071F81">
              <w:rPr>
                <w:b/>
              </w:rPr>
              <w:t>Weighted n</w:t>
            </w:r>
          </w:p>
        </w:tc>
        <w:tc>
          <w:tcPr>
            <w:tcW w:w="771" w:type="pct"/>
            <w:tcBorders>
              <w:top w:val="single" w:sz="4" w:space="0" w:color="000000"/>
              <w:bottom w:val="single" w:sz="4" w:space="0" w:color="000000"/>
            </w:tcBorders>
          </w:tcPr>
          <w:p w14:paraId="407C8603" w14:textId="77777777" w:rsidR="000624A6" w:rsidRPr="00071F81" w:rsidRDefault="000624A6" w:rsidP="00EB155C">
            <w:pPr>
              <w:pStyle w:val="TableText"/>
              <w:jc w:val="right"/>
              <w:rPr>
                <w:b/>
              </w:rPr>
            </w:pPr>
            <w:r w:rsidRPr="00071F81">
              <w:rPr>
                <w:b/>
              </w:rPr>
              <w:t>% (95%CI)</w:t>
            </w:r>
          </w:p>
        </w:tc>
        <w:tc>
          <w:tcPr>
            <w:tcW w:w="459" w:type="pct"/>
            <w:tcBorders>
              <w:top w:val="single" w:sz="4" w:space="0" w:color="000000"/>
              <w:bottom w:val="single" w:sz="4" w:space="0" w:color="000000"/>
            </w:tcBorders>
          </w:tcPr>
          <w:p w14:paraId="042DEC19" w14:textId="77777777" w:rsidR="000624A6" w:rsidRPr="00071F81" w:rsidRDefault="000624A6" w:rsidP="00EB155C">
            <w:pPr>
              <w:pStyle w:val="TableText"/>
              <w:jc w:val="right"/>
              <w:rPr>
                <w:b/>
              </w:rPr>
            </w:pPr>
            <w:r w:rsidRPr="00071F81">
              <w:rPr>
                <w:b/>
              </w:rPr>
              <w:t>n</w:t>
            </w:r>
          </w:p>
        </w:tc>
        <w:tc>
          <w:tcPr>
            <w:tcW w:w="615" w:type="pct"/>
            <w:tcBorders>
              <w:top w:val="single" w:sz="4" w:space="0" w:color="000000"/>
              <w:bottom w:val="single" w:sz="4" w:space="0" w:color="000000"/>
            </w:tcBorders>
          </w:tcPr>
          <w:p w14:paraId="70C727BD" w14:textId="77777777" w:rsidR="000624A6" w:rsidRPr="00071F81" w:rsidRDefault="000624A6" w:rsidP="00EB155C">
            <w:pPr>
              <w:pStyle w:val="TableText"/>
              <w:jc w:val="right"/>
              <w:rPr>
                <w:b/>
              </w:rPr>
            </w:pPr>
            <w:r w:rsidRPr="00071F81">
              <w:rPr>
                <w:b/>
              </w:rPr>
              <w:t>Weighted n</w:t>
            </w:r>
          </w:p>
        </w:tc>
        <w:tc>
          <w:tcPr>
            <w:tcW w:w="805" w:type="pct"/>
            <w:tcBorders>
              <w:top w:val="single" w:sz="4" w:space="0" w:color="000000"/>
              <w:bottom w:val="single" w:sz="4" w:space="0" w:color="000000"/>
            </w:tcBorders>
          </w:tcPr>
          <w:p w14:paraId="234C6164" w14:textId="77777777" w:rsidR="000624A6" w:rsidRPr="00071F81" w:rsidRDefault="000624A6" w:rsidP="00EB155C">
            <w:pPr>
              <w:pStyle w:val="TableText"/>
              <w:jc w:val="right"/>
              <w:rPr>
                <w:b/>
              </w:rPr>
            </w:pPr>
            <w:r w:rsidRPr="00071F81">
              <w:rPr>
                <w:b/>
              </w:rPr>
              <w:t>% (95%CI)</w:t>
            </w:r>
          </w:p>
        </w:tc>
      </w:tr>
      <w:tr w:rsidR="000624A6" w:rsidRPr="00F62477" w14:paraId="13183683"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243" w:type="pct"/>
            <w:tcBorders>
              <w:top w:val="single" w:sz="4" w:space="0" w:color="000000"/>
            </w:tcBorders>
          </w:tcPr>
          <w:p w14:paraId="0E3039D1" w14:textId="77777777" w:rsidR="00783F0D" w:rsidRPr="001D27E5" w:rsidRDefault="00783F0D" w:rsidP="00EB155C">
            <w:pPr>
              <w:pStyle w:val="TableText"/>
            </w:pPr>
            <w:r w:rsidRPr="001D27E5">
              <w:t>No</w:t>
            </w:r>
          </w:p>
        </w:tc>
        <w:tc>
          <w:tcPr>
            <w:tcW w:w="492" w:type="pct"/>
            <w:tcBorders>
              <w:top w:val="single" w:sz="4" w:space="0" w:color="000000"/>
            </w:tcBorders>
          </w:tcPr>
          <w:p w14:paraId="6B26B5C1" w14:textId="77777777" w:rsidR="00783F0D" w:rsidRPr="001D27E5" w:rsidRDefault="00783F0D" w:rsidP="00EB155C">
            <w:pPr>
              <w:pStyle w:val="TableText"/>
              <w:jc w:val="right"/>
              <w:rPr>
                <w:color w:val="000000" w:themeColor="text1"/>
              </w:rPr>
            </w:pPr>
            <w:r w:rsidRPr="001D27E5">
              <w:rPr>
                <w:color w:val="000000" w:themeColor="text1"/>
              </w:rPr>
              <w:t>817</w:t>
            </w:r>
          </w:p>
        </w:tc>
        <w:tc>
          <w:tcPr>
            <w:tcW w:w="615" w:type="pct"/>
            <w:tcBorders>
              <w:top w:val="single" w:sz="4" w:space="0" w:color="000000"/>
            </w:tcBorders>
          </w:tcPr>
          <w:p w14:paraId="47179B1C" w14:textId="77777777" w:rsidR="00783F0D" w:rsidRPr="001D27E5" w:rsidRDefault="00783F0D" w:rsidP="00EB155C">
            <w:pPr>
              <w:pStyle w:val="TableText"/>
              <w:jc w:val="right"/>
              <w:rPr>
                <w:color w:val="000000" w:themeColor="text1"/>
              </w:rPr>
            </w:pPr>
            <w:r w:rsidRPr="001D27E5">
              <w:rPr>
                <w:color w:val="000000" w:themeColor="text1"/>
              </w:rPr>
              <w:t>5749</w:t>
            </w:r>
          </w:p>
        </w:tc>
        <w:tc>
          <w:tcPr>
            <w:tcW w:w="771" w:type="pct"/>
            <w:tcBorders>
              <w:top w:val="single" w:sz="4" w:space="0" w:color="000000"/>
            </w:tcBorders>
          </w:tcPr>
          <w:p w14:paraId="6FA64D85" w14:textId="77777777" w:rsidR="00783F0D" w:rsidRPr="001D27E5" w:rsidRDefault="00783F0D" w:rsidP="00EB155C">
            <w:pPr>
              <w:pStyle w:val="TableText"/>
              <w:jc w:val="right"/>
              <w:rPr>
                <w:color w:val="000000" w:themeColor="text1"/>
              </w:rPr>
            </w:pPr>
            <w:r w:rsidRPr="001D27E5">
              <w:rPr>
                <w:color w:val="000000" w:themeColor="text1"/>
              </w:rPr>
              <w:t>47.3 (44.4, 50.3)</w:t>
            </w:r>
          </w:p>
        </w:tc>
        <w:tc>
          <w:tcPr>
            <w:tcW w:w="459" w:type="pct"/>
            <w:tcBorders>
              <w:top w:val="single" w:sz="4" w:space="0" w:color="000000"/>
            </w:tcBorders>
          </w:tcPr>
          <w:p w14:paraId="59F8EB0A" w14:textId="77777777" w:rsidR="00783F0D" w:rsidRPr="001D27E5" w:rsidRDefault="00783F0D" w:rsidP="00EB155C">
            <w:pPr>
              <w:pStyle w:val="TableText"/>
              <w:jc w:val="right"/>
              <w:rPr>
                <w:color w:val="000000" w:themeColor="text1"/>
              </w:rPr>
            </w:pPr>
            <w:r w:rsidRPr="001D27E5">
              <w:rPr>
                <w:color w:val="000000" w:themeColor="text1"/>
              </w:rPr>
              <w:t>1646</w:t>
            </w:r>
          </w:p>
        </w:tc>
        <w:tc>
          <w:tcPr>
            <w:tcW w:w="615" w:type="pct"/>
            <w:tcBorders>
              <w:top w:val="single" w:sz="4" w:space="0" w:color="000000"/>
            </w:tcBorders>
          </w:tcPr>
          <w:p w14:paraId="3D5DC50F" w14:textId="77777777" w:rsidR="00783F0D" w:rsidRPr="001D27E5" w:rsidRDefault="00783F0D" w:rsidP="00EB155C">
            <w:pPr>
              <w:pStyle w:val="TableText"/>
              <w:jc w:val="right"/>
              <w:rPr>
                <w:color w:val="000000" w:themeColor="text1"/>
              </w:rPr>
            </w:pPr>
            <w:r w:rsidRPr="001D27E5">
              <w:rPr>
                <w:color w:val="000000" w:themeColor="text1"/>
              </w:rPr>
              <w:t>11</w:t>
            </w:r>
            <w:r w:rsidR="000624A6">
              <w:rPr>
                <w:color w:val="000000" w:themeColor="text1"/>
              </w:rPr>
              <w:t>,</w:t>
            </w:r>
            <w:r w:rsidRPr="001D27E5">
              <w:rPr>
                <w:color w:val="000000" w:themeColor="text1"/>
              </w:rPr>
              <w:t>925</w:t>
            </w:r>
          </w:p>
        </w:tc>
        <w:tc>
          <w:tcPr>
            <w:tcW w:w="805" w:type="pct"/>
            <w:tcBorders>
              <w:top w:val="single" w:sz="4" w:space="0" w:color="000000"/>
            </w:tcBorders>
          </w:tcPr>
          <w:p w14:paraId="515DB5E7" w14:textId="77777777" w:rsidR="00783F0D" w:rsidRPr="00071F81" w:rsidRDefault="00783F0D" w:rsidP="00EB155C">
            <w:pPr>
              <w:pStyle w:val="TableText"/>
              <w:jc w:val="right"/>
            </w:pPr>
            <w:r w:rsidRPr="00071F81">
              <w:t>45.0 (39.6,</w:t>
            </w:r>
            <w:r>
              <w:t xml:space="preserve"> </w:t>
            </w:r>
            <w:r w:rsidRPr="00071F81">
              <w:t>50.5)</w:t>
            </w:r>
          </w:p>
        </w:tc>
      </w:tr>
      <w:tr w:rsidR="000624A6" w:rsidRPr="00F62477" w14:paraId="4BFAE73C" w14:textId="77777777" w:rsidTr="00A7285A">
        <w:trPr>
          <w:cantSplit/>
        </w:trPr>
        <w:tc>
          <w:tcPr>
            <w:tcW w:w="1243" w:type="pct"/>
          </w:tcPr>
          <w:p w14:paraId="22F00008" w14:textId="77777777" w:rsidR="00783F0D" w:rsidRPr="001D27E5" w:rsidRDefault="00783F0D" w:rsidP="00EB155C">
            <w:pPr>
              <w:pStyle w:val="TableText"/>
            </w:pPr>
            <w:r w:rsidRPr="001D27E5">
              <w:t>Yes</w:t>
            </w:r>
          </w:p>
        </w:tc>
        <w:tc>
          <w:tcPr>
            <w:tcW w:w="492" w:type="pct"/>
          </w:tcPr>
          <w:p w14:paraId="6C3DEE79" w14:textId="77777777" w:rsidR="00783F0D" w:rsidRPr="001D27E5" w:rsidRDefault="00783F0D" w:rsidP="00EB155C">
            <w:pPr>
              <w:pStyle w:val="TableText"/>
              <w:jc w:val="right"/>
              <w:rPr>
                <w:color w:val="000000" w:themeColor="text1"/>
              </w:rPr>
            </w:pPr>
            <w:r w:rsidRPr="001D27E5">
              <w:rPr>
                <w:color w:val="000000" w:themeColor="text1"/>
              </w:rPr>
              <w:t>847</w:t>
            </w:r>
          </w:p>
        </w:tc>
        <w:tc>
          <w:tcPr>
            <w:tcW w:w="615" w:type="pct"/>
          </w:tcPr>
          <w:p w14:paraId="1EF2814F" w14:textId="77777777" w:rsidR="00783F0D" w:rsidRPr="001D27E5" w:rsidRDefault="00783F0D" w:rsidP="00EB155C">
            <w:pPr>
              <w:pStyle w:val="TableText"/>
              <w:jc w:val="right"/>
              <w:rPr>
                <w:color w:val="000000" w:themeColor="text1"/>
              </w:rPr>
            </w:pPr>
            <w:r w:rsidRPr="001D27E5">
              <w:rPr>
                <w:color w:val="000000" w:themeColor="text1"/>
              </w:rPr>
              <w:t>5668</w:t>
            </w:r>
          </w:p>
        </w:tc>
        <w:tc>
          <w:tcPr>
            <w:tcW w:w="771" w:type="pct"/>
          </w:tcPr>
          <w:p w14:paraId="58577629" w14:textId="77777777" w:rsidR="00783F0D" w:rsidRPr="001D27E5" w:rsidRDefault="00783F0D" w:rsidP="00EB155C">
            <w:pPr>
              <w:pStyle w:val="TableText"/>
              <w:jc w:val="right"/>
              <w:rPr>
                <w:color w:val="000000" w:themeColor="text1"/>
              </w:rPr>
            </w:pPr>
            <w:r w:rsidRPr="001D27E5">
              <w:rPr>
                <w:color w:val="000000" w:themeColor="text1"/>
              </w:rPr>
              <w:t>46.7 (43.7, 49.6)</w:t>
            </w:r>
          </w:p>
        </w:tc>
        <w:tc>
          <w:tcPr>
            <w:tcW w:w="459" w:type="pct"/>
          </w:tcPr>
          <w:p w14:paraId="2E5CE128" w14:textId="77777777" w:rsidR="00783F0D" w:rsidRPr="001D27E5" w:rsidRDefault="00783F0D" w:rsidP="00EB155C">
            <w:pPr>
              <w:pStyle w:val="TableText"/>
              <w:jc w:val="right"/>
              <w:rPr>
                <w:color w:val="000000" w:themeColor="text1"/>
              </w:rPr>
            </w:pPr>
            <w:r w:rsidRPr="001D27E5">
              <w:rPr>
                <w:color w:val="000000" w:themeColor="text1"/>
              </w:rPr>
              <w:t>2220</w:t>
            </w:r>
          </w:p>
        </w:tc>
        <w:tc>
          <w:tcPr>
            <w:tcW w:w="615" w:type="pct"/>
          </w:tcPr>
          <w:p w14:paraId="3C368257" w14:textId="77777777" w:rsidR="00783F0D" w:rsidRPr="001D27E5" w:rsidRDefault="00783F0D" w:rsidP="00EB155C">
            <w:pPr>
              <w:pStyle w:val="TableText"/>
              <w:jc w:val="right"/>
              <w:rPr>
                <w:color w:val="000000" w:themeColor="text1"/>
              </w:rPr>
            </w:pPr>
            <w:r w:rsidRPr="001D27E5">
              <w:rPr>
                <w:color w:val="000000" w:themeColor="text1"/>
              </w:rPr>
              <w:t>13</w:t>
            </w:r>
            <w:r w:rsidR="000624A6">
              <w:rPr>
                <w:color w:val="000000" w:themeColor="text1"/>
              </w:rPr>
              <w:t>,</w:t>
            </w:r>
            <w:r w:rsidRPr="001D27E5">
              <w:rPr>
                <w:color w:val="000000" w:themeColor="text1"/>
              </w:rPr>
              <w:t>131</w:t>
            </w:r>
          </w:p>
        </w:tc>
        <w:tc>
          <w:tcPr>
            <w:tcW w:w="805" w:type="pct"/>
          </w:tcPr>
          <w:p w14:paraId="12331009" w14:textId="77777777" w:rsidR="00783F0D" w:rsidRPr="00071F81" w:rsidRDefault="00783F0D" w:rsidP="00EB155C">
            <w:pPr>
              <w:pStyle w:val="TableText"/>
              <w:jc w:val="right"/>
            </w:pPr>
            <w:r w:rsidRPr="00071F81">
              <w:t>49.6 (44.2,</w:t>
            </w:r>
            <w:r>
              <w:t xml:space="preserve"> </w:t>
            </w:r>
            <w:r w:rsidRPr="00071F81">
              <w:t>55.0)</w:t>
            </w:r>
          </w:p>
        </w:tc>
      </w:tr>
      <w:tr w:rsidR="000624A6" w:rsidRPr="00F62477" w14:paraId="20C342B2"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243" w:type="pct"/>
          </w:tcPr>
          <w:p w14:paraId="7385CAF3" w14:textId="77777777" w:rsidR="00783F0D" w:rsidRPr="001D27E5" w:rsidRDefault="00783F0D" w:rsidP="00EB155C">
            <w:pPr>
              <w:pStyle w:val="TableText"/>
            </w:pPr>
            <w:r w:rsidRPr="00494E02">
              <w:t>Don’t know</w:t>
            </w:r>
          </w:p>
        </w:tc>
        <w:tc>
          <w:tcPr>
            <w:tcW w:w="492" w:type="pct"/>
          </w:tcPr>
          <w:p w14:paraId="6EC7CA87" w14:textId="77777777" w:rsidR="00783F0D" w:rsidRPr="00486D3A" w:rsidRDefault="00783F0D" w:rsidP="00EB155C">
            <w:pPr>
              <w:pStyle w:val="TableText"/>
              <w:jc w:val="right"/>
              <w:rPr>
                <w:color w:val="000000" w:themeColor="text1"/>
                <w:szCs w:val="14"/>
              </w:rPr>
            </w:pPr>
            <w:r w:rsidRPr="00486D3A">
              <w:rPr>
                <w:rFonts w:cs="Arial"/>
                <w:szCs w:val="14"/>
              </w:rPr>
              <w:t>72</w:t>
            </w:r>
          </w:p>
        </w:tc>
        <w:tc>
          <w:tcPr>
            <w:tcW w:w="615" w:type="pct"/>
          </w:tcPr>
          <w:p w14:paraId="01B19FCC" w14:textId="77777777" w:rsidR="00783F0D" w:rsidRPr="00486D3A" w:rsidRDefault="00783F0D" w:rsidP="00EB155C">
            <w:pPr>
              <w:pStyle w:val="TableText"/>
              <w:jc w:val="right"/>
              <w:rPr>
                <w:color w:val="000000" w:themeColor="text1"/>
                <w:szCs w:val="14"/>
              </w:rPr>
            </w:pPr>
            <w:r w:rsidRPr="00486D3A">
              <w:rPr>
                <w:rFonts w:cs="Arial"/>
                <w:szCs w:val="14"/>
              </w:rPr>
              <w:t>628</w:t>
            </w:r>
          </w:p>
        </w:tc>
        <w:tc>
          <w:tcPr>
            <w:tcW w:w="771" w:type="pct"/>
          </w:tcPr>
          <w:p w14:paraId="164C073D" w14:textId="77777777" w:rsidR="00783F0D" w:rsidRPr="00486D3A" w:rsidRDefault="00783F0D" w:rsidP="00EB155C">
            <w:pPr>
              <w:pStyle w:val="TableText"/>
              <w:jc w:val="right"/>
              <w:rPr>
                <w:color w:val="000000" w:themeColor="text1"/>
                <w:szCs w:val="14"/>
              </w:rPr>
            </w:pPr>
            <w:r w:rsidRPr="00486D3A">
              <w:rPr>
                <w:rFonts w:cs="Arial"/>
                <w:szCs w:val="14"/>
              </w:rPr>
              <w:t>5.2 (3.9,</w:t>
            </w:r>
            <w:r>
              <w:rPr>
                <w:rFonts w:cs="Arial"/>
                <w:szCs w:val="14"/>
              </w:rPr>
              <w:t xml:space="preserve"> </w:t>
            </w:r>
            <w:r w:rsidRPr="00486D3A">
              <w:rPr>
                <w:rFonts w:cs="Arial"/>
                <w:szCs w:val="14"/>
              </w:rPr>
              <w:t>6.8)</w:t>
            </w:r>
          </w:p>
        </w:tc>
        <w:tc>
          <w:tcPr>
            <w:tcW w:w="459" w:type="pct"/>
          </w:tcPr>
          <w:p w14:paraId="7DBE767E" w14:textId="77777777" w:rsidR="00783F0D" w:rsidRPr="00486D3A" w:rsidRDefault="00783F0D" w:rsidP="00EB155C">
            <w:pPr>
              <w:pStyle w:val="TableText"/>
              <w:jc w:val="right"/>
              <w:rPr>
                <w:color w:val="000000" w:themeColor="text1"/>
                <w:szCs w:val="14"/>
              </w:rPr>
            </w:pPr>
            <w:r w:rsidRPr="00486D3A">
              <w:rPr>
                <w:rFonts w:cs="Arial"/>
                <w:szCs w:val="14"/>
              </w:rPr>
              <w:t>135</w:t>
            </w:r>
          </w:p>
        </w:tc>
        <w:tc>
          <w:tcPr>
            <w:tcW w:w="615" w:type="pct"/>
          </w:tcPr>
          <w:p w14:paraId="0ED4AD9F" w14:textId="77777777" w:rsidR="00783F0D" w:rsidRPr="00486D3A" w:rsidRDefault="00783F0D" w:rsidP="00EB155C">
            <w:pPr>
              <w:pStyle w:val="TableText"/>
              <w:jc w:val="right"/>
              <w:rPr>
                <w:color w:val="000000" w:themeColor="text1"/>
                <w:szCs w:val="14"/>
              </w:rPr>
            </w:pPr>
            <w:r w:rsidRPr="00486D3A">
              <w:rPr>
                <w:rFonts w:cs="Arial"/>
                <w:szCs w:val="14"/>
              </w:rPr>
              <w:t>1319</w:t>
            </w:r>
          </w:p>
        </w:tc>
        <w:tc>
          <w:tcPr>
            <w:tcW w:w="805" w:type="pct"/>
          </w:tcPr>
          <w:p w14:paraId="10156B55" w14:textId="77777777" w:rsidR="00783F0D" w:rsidRPr="00486D3A" w:rsidRDefault="00783F0D" w:rsidP="00EB155C">
            <w:pPr>
              <w:pStyle w:val="TableText"/>
              <w:jc w:val="right"/>
              <w:rPr>
                <w:szCs w:val="14"/>
              </w:rPr>
            </w:pPr>
            <w:r w:rsidRPr="00486D3A">
              <w:rPr>
                <w:rFonts w:cs="Arial"/>
                <w:szCs w:val="14"/>
              </w:rPr>
              <w:t>5.0 (2.7,</w:t>
            </w:r>
            <w:r>
              <w:rPr>
                <w:rFonts w:cs="Arial"/>
                <w:szCs w:val="14"/>
              </w:rPr>
              <w:t xml:space="preserve"> </w:t>
            </w:r>
            <w:r w:rsidRPr="00486D3A">
              <w:rPr>
                <w:rFonts w:cs="Arial"/>
                <w:szCs w:val="14"/>
              </w:rPr>
              <w:t>9.0)</w:t>
            </w:r>
          </w:p>
        </w:tc>
      </w:tr>
    </w:tbl>
    <w:p w14:paraId="7DE25D95" w14:textId="77777777" w:rsidR="00783F0D" w:rsidRPr="006A3EA0" w:rsidRDefault="00783F0D" w:rsidP="00783F0D">
      <w:pPr>
        <w:pStyle w:val="TableNotes"/>
      </w:pPr>
      <w:r w:rsidRPr="006A3EA0">
        <w:t>Notes</w:t>
      </w:r>
    </w:p>
    <w:p w14:paraId="702D22CC" w14:textId="77777777" w:rsidR="00783F0D" w:rsidRPr="00F403FE" w:rsidRDefault="00783F0D" w:rsidP="00783F0D">
      <w:pPr>
        <w:pStyle w:val="TableNotes"/>
      </w:pPr>
      <w:r w:rsidRPr="00F403FE">
        <w:t>Denominator: Those who currently use any new and emerging technologies</w:t>
      </w:r>
      <w:r>
        <w:t>.</w:t>
      </w:r>
    </w:p>
    <w:p w14:paraId="0E9CEE1D" w14:textId="77777777" w:rsidR="00783F0D" w:rsidRPr="00F403FE" w:rsidRDefault="00783F0D" w:rsidP="00783F0D">
      <w:pPr>
        <w:pStyle w:val="TableNotes"/>
      </w:pPr>
      <w:r w:rsidRPr="00F403FE">
        <w:t>Ba</w:t>
      </w:r>
      <w:r>
        <w:t>sed on weighted counts, 100 (0.8%) Transitioned ADF, and 105 (0.5</w:t>
      </w:r>
      <w:r w:rsidRPr="00F403FE">
        <w:t>%) 2015 Regular ADF had a missing value for this question.</w:t>
      </w:r>
      <w:r>
        <w:t xml:space="preserve"> </w:t>
      </w:r>
      <w:r w:rsidRPr="00F403FE">
        <w:t>However, distributions are calculated by including those with a missing value to allow for correct weighted totals.</w:t>
      </w:r>
    </w:p>
    <w:p w14:paraId="356787B5" w14:textId="77777777" w:rsidR="00783F0D" w:rsidRPr="00F403FE" w:rsidRDefault="00783F0D" w:rsidP="00783F0D">
      <w:pPr>
        <w:pStyle w:val="TableNotes"/>
      </w:pPr>
      <w:r w:rsidRPr="00F403FE">
        <w:t>95%CI</w:t>
      </w:r>
      <w:r>
        <w:t xml:space="preserve"> =</w:t>
      </w:r>
      <w:r w:rsidRPr="00F403FE">
        <w:t xml:space="preserve"> 95% </w:t>
      </w:r>
      <w:r>
        <w:t>confidence interval.</w:t>
      </w:r>
      <w:r w:rsidRPr="00F403FE">
        <w:t xml:space="preserve"> </w:t>
      </w:r>
    </w:p>
    <w:p w14:paraId="5FCDF4EE" w14:textId="77777777" w:rsidR="00783F0D" w:rsidRDefault="00783F0D" w:rsidP="00783F0D">
      <w:pPr>
        <w:pStyle w:val="TableNotes"/>
      </w:pPr>
      <w:r w:rsidRPr="00F403FE">
        <w:t>For a full description of odds ratios, interpretation and strength of association</w:t>
      </w:r>
      <w:r>
        <w:t>,</w:t>
      </w:r>
      <w:r w:rsidRPr="00F403FE">
        <w:t xml:space="preserve"> please refer to Table B.1 </w:t>
      </w:r>
      <w:r w:rsidRPr="00BB1B84">
        <w:t xml:space="preserve">in </w:t>
      </w:r>
      <w:r w:rsidR="00374073">
        <w:t>Annex </w:t>
      </w:r>
      <w:r>
        <w:t>B, Odds ratio table.</w:t>
      </w:r>
    </w:p>
    <w:p w14:paraId="7B3A47EB" w14:textId="77777777" w:rsidR="00783F0D" w:rsidRDefault="00783F0D" w:rsidP="00783F0D">
      <w:pPr>
        <w:pStyle w:val="FigureName"/>
      </w:pPr>
      <w:bookmarkStart w:id="560" w:name="_Toc528932408"/>
      <w:bookmarkStart w:id="561" w:name="_Toc531858088"/>
      <w:r>
        <w:t xml:space="preserve">Figure </w:t>
      </w:r>
      <w:r>
        <w:rPr>
          <w:noProof/>
        </w:rPr>
        <w:t>5</w:t>
      </w:r>
      <w:r>
        <w:t>.</w:t>
      </w:r>
      <w:r>
        <w:rPr>
          <w:noProof/>
        </w:rPr>
        <w:t>6</w:t>
      </w:r>
      <w:r>
        <w:tab/>
      </w:r>
      <w:r w:rsidRPr="00725673">
        <w:t xml:space="preserve">Use of new or emerging technologies to improve health and wellbeing </w:t>
      </w:r>
      <w:r w:rsidRPr="00391D90">
        <w:t>among Transitioned ADF and 2015 Regular ADF who currently use</w:t>
      </w:r>
      <w:r>
        <w:t>d</w:t>
      </w:r>
      <w:r w:rsidRPr="00391D90">
        <w:t xml:space="preserve"> new or emerging technologies</w:t>
      </w:r>
      <w:bookmarkEnd w:id="560"/>
      <w:bookmarkEnd w:id="561"/>
    </w:p>
    <w:p w14:paraId="05E5ED13" w14:textId="77777777" w:rsidR="00783F0D" w:rsidRPr="000624A6" w:rsidRDefault="000624A6" w:rsidP="000624A6">
      <w:pPr>
        <w:spacing w:after="360"/>
      </w:pPr>
      <w:r>
        <w:rPr>
          <w:noProof/>
          <w:lang w:eastAsia="en-AU"/>
        </w:rPr>
        <w:drawing>
          <wp:inline distT="0" distB="0" distL="0" distR="0" wp14:anchorId="3335BA8B" wp14:editId="2D72EDBB">
            <wp:extent cx="4572000" cy="3108960"/>
            <wp:effectExtent l="0" t="0" r="19050" b="15240"/>
            <wp:docPr id="456" name="Chart 456" descr="Figure 5.6 Use of new or emerging technologies to improve health and wellbeing among Transitioned ADF and 2015 Regular ADF who currently used new or emerging technolog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0C49830" w14:textId="77777777" w:rsidR="00783F0D" w:rsidRPr="00071F81" w:rsidRDefault="00783F0D" w:rsidP="00783F0D">
      <w:pPr>
        <w:pStyle w:val="Heading3"/>
        <w:numPr>
          <w:ilvl w:val="2"/>
          <w:numId w:val="1"/>
        </w:numPr>
      </w:pPr>
      <w:bookmarkStart w:id="562" w:name="_Toc518566381"/>
      <w:bookmarkStart w:id="563" w:name="_Toc528932674"/>
      <w:bookmarkStart w:id="564" w:name="_Toc531859211"/>
      <w:r w:rsidRPr="00071F81">
        <w:t>The ways in which emerging technologies are used to improve health and wellbeing</w:t>
      </w:r>
      <w:bookmarkEnd w:id="562"/>
      <w:bookmarkEnd w:id="563"/>
      <w:bookmarkEnd w:id="564"/>
      <w:r w:rsidRPr="00071F81">
        <w:t xml:space="preserve"> </w:t>
      </w:r>
    </w:p>
    <w:p w14:paraId="710F62AB" w14:textId="77777777" w:rsidR="00783F0D" w:rsidRPr="00E26506" w:rsidRDefault="00783F0D" w:rsidP="00783F0D">
      <w:r>
        <w:t xml:space="preserve">Among the 50% of </w:t>
      </w:r>
      <w:r w:rsidRPr="00E26506">
        <w:t>Transitioned ADF and 2015 Regular ADF</w:t>
      </w:r>
      <w:r w:rsidRPr="00885563">
        <w:t xml:space="preserve"> </w:t>
      </w:r>
      <w:r>
        <w:t>who used emerging technologies</w:t>
      </w:r>
      <w:r w:rsidRPr="00E26506">
        <w:t xml:space="preserve"> to improve </w:t>
      </w:r>
      <w:r>
        <w:t xml:space="preserve">their </w:t>
      </w:r>
      <w:r w:rsidRPr="00E26506">
        <w:t>health and wellbeing</w:t>
      </w:r>
      <w:r>
        <w:t>,</w:t>
      </w:r>
      <w:r w:rsidRPr="00E26506">
        <w:t xml:space="preserve"> </w:t>
      </w:r>
      <w:r>
        <w:t xml:space="preserve">the </w:t>
      </w:r>
      <w:r w:rsidRPr="00E26506">
        <w:t>three most common</w:t>
      </w:r>
      <w:r>
        <w:t xml:space="preserve"> reasons they were used were</w:t>
      </w:r>
      <w:r w:rsidRPr="00E26506">
        <w:t xml:space="preserve"> to </w:t>
      </w:r>
      <w:r>
        <w:t>‘</w:t>
      </w:r>
      <w:r w:rsidRPr="00E26506">
        <w:t>improve fitness</w:t>
      </w:r>
      <w:r>
        <w:t>’</w:t>
      </w:r>
      <w:r w:rsidRPr="00E26506">
        <w:t xml:space="preserve"> (80.9% Transitioned ADF, 88.4% 2015 Regular ADF), to </w:t>
      </w:r>
      <w:r>
        <w:t>‘</w:t>
      </w:r>
      <w:r w:rsidRPr="00E26506">
        <w:t>track progress</w:t>
      </w:r>
      <w:r>
        <w:t>’</w:t>
      </w:r>
      <w:r w:rsidRPr="00E26506">
        <w:t xml:space="preserve"> (58.8% Transitioned ADF, 56.1% 2015 Regular ADF) and to </w:t>
      </w:r>
      <w:r>
        <w:t>‘</w:t>
      </w:r>
      <w:r w:rsidRPr="00E26506">
        <w:t>keep organised</w:t>
      </w:r>
      <w:r>
        <w:t>’</w:t>
      </w:r>
      <w:r w:rsidRPr="00E26506">
        <w:t xml:space="preserve"> (36.2% Transitioned ADF, 37.4% 2015 Regular ADF)</w:t>
      </w:r>
      <w:r>
        <w:t xml:space="preserve"> (Table </w:t>
      </w:r>
      <w:r>
        <w:rPr>
          <w:noProof/>
        </w:rPr>
        <w:t>5</w:t>
      </w:r>
      <w:r>
        <w:t>.</w:t>
      </w:r>
      <w:r>
        <w:rPr>
          <w:noProof/>
        </w:rPr>
        <w:t>7</w:t>
      </w:r>
      <w:r>
        <w:t xml:space="preserve"> and Figure </w:t>
      </w:r>
      <w:r>
        <w:rPr>
          <w:noProof/>
        </w:rPr>
        <w:t>5</w:t>
      </w:r>
      <w:r>
        <w:t>.</w:t>
      </w:r>
      <w:r>
        <w:rPr>
          <w:noProof/>
        </w:rPr>
        <w:t>7</w:t>
      </w:r>
      <w:r>
        <w:t>). Approximately a quarter of this subgroup of Transitioned ADF and 2015 Regular ADF used them to ‘improve sleep’ (25.3% and 24.9% respectively).</w:t>
      </w:r>
    </w:p>
    <w:p w14:paraId="76493646" w14:textId="45F2E3F3" w:rsidR="00783F0D" w:rsidRDefault="00783F0D" w:rsidP="00783F0D">
      <w:pPr>
        <w:rPr>
          <w:rFonts w:eastAsia="Times New Roman"/>
          <w:lang w:eastAsia="en-AU"/>
        </w:rPr>
      </w:pPr>
      <w:r>
        <w:t xml:space="preserve">Among the </w:t>
      </w:r>
      <w:r w:rsidRPr="00E26506">
        <w:t>Transitioned ADF and 2015 Regular ADF</w:t>
      </w:r>
      <w:r w:rsidRPr="00885563">
        <w:t xml:space="preserve"> </w:t>
      </w:r>
      <w:r>
        <w:t>who used emerging technologies</w:t>
      </w:r>
      <w:r w:rsidRPr="00E26506">
        <w:t xml:space="preserve"> to improve health and wellbeing</w:t>
      </w:r>
      <w:r>
        <w:t>,</w:t>
      </w:r>
      <w:r w:rsidRPr="00E26506">
        <w:t xml:space="preserve"> </w:t>
      </w:r>
      <w:r w:rsidRPr="00E26506">
        <w:rPr>
          <w:rFonts w:eastAsia="SimSun"/>
          <w:szCs w:val="22"/>
        </w:rPr>
        <w:t xml:space="preserve">Transitioned ADF were </w:t>
      </w:r>
      <w:r>
        <w:rPr>
          <w:rFonts w:eastAsia="SimSun"/>
          <w:szCs w:val="22"/>
        </w:rPr>
        <w:t xml:space="preserve">significantly </w:t>
      </w:r>
      <w:r w:rsidRPr="00E26506">
        <w:rPr>
          <w:rFonts w:eastAsia="SimSun"/>
          <w:szCs w:val="22"/>
        </w:rPr>
        <w:t xml:space="preserve">more likely to use </w:t>
      </w:r>
      <w:r>
        <w:rPr>
          <w:rFonts w:eastAsia="SimSun"/>
          <w:szCs w:val="22"/>
        </w:rPr>
        <w:t xml:space="preserve">emerging technologies </w:t>
      </w:r>
      <w:r w:rsidRPr="00E26506">
        <w:rPr>
          <w:rFonts w:eastAsia="SimSun"/>
          <w:szCs w:val="22"/>
        </w:rPr>
        <w:t xml:space="preserve">to </w:t>
      </w:r>
      <w:r>
        <w:rPr>
          <w:rFonts w:eastAsia="SimSun"/>
          <w:szCs w:val="22"/>
        </w:rPr>
        <w:t>‘</w:t>
      </w:r>
      <w:r w:rsidRPr="00E26506">
        <w:rPr>
          <w:rFonts w:eastAsia="SimSun"/>
          <w:szCs w:val="22"/>
        </w:rPr>
        <w:t>maintain their diet or track their food</w:t>
      </w:r>
      <w:r>
        <w:rPr>
          <w:rFonts w:eastAsia="SimSun"/>
          <w:szCs w:val="22"/>
        </w:rPr>
        <w:t xml:space="preserve"> intake’</w:t>
      </w:r>
      <w:r w:rsidRPr="00E26506">
        <w:rPr>
          <w:rFonts w:eastAsia="SimSun"/>
          <w:szCs w:val="22"/>
        </w:rPr>
        <w:t xml:space="preserve"> (OR 1.5, 95% CI 1.2, 2.0) or </w:t>
      </w:r>
      <w:r>
        <w:rPr>
          <w:rFonts w:eastAsia="SimSun"/>
          <w:szCs w:val="22"/>
        </w:rPr>
        <w:t>to ‘</w:t>
      </w:r>
      <w:r w:rsidRPr="00E26506">
        <w:rPr>
          <w:rFonts w:eastAsia="SimSun"/>
          <w:szCs w:val="22"/>
        </w:rPr>
        <w:t>keep motivated</w:t>
      </w:r>
      <w:r>
        <w:rPr>
          <w:rFonts w:eastAsia="SimSun"/>
          <w:szCs w:val="22"/>
        </w:rPr>
        <w:t>’</w:t>
      </w:r>
      <w:r w:rsidRPr="00E26506">
        <w:rPr>
          <w:rFonts w:eastAsia="SimSun"/>
          <w:szCs w:val="22"/>
        </w:rPr>
        <w:t xml:space="preserve"> (OR 1.4, 95% CI 1.1, 1.9) than the 2015 Regular ADF</w:t>
      </w:r>
      <w:r>
        <w:rPr>
          <w:rFonts w:eastAsia="SimSun"/>
          <w:szCs w:val="22"/>
        </w:rPr>
        <w:t>.</w:t>
      </w:r>
      <w:r w:rsidRPr="00E26506">
        <w:rPr>
          <w:rFonts w:eastAsia="SimSun"/>
          <w:szCs w:val="22"/>
        </w:rPr>
        <w:t xml:space="preserve"> </w:t>
      </w:r>
      <w:r>
        <w:rPr>
          <w:rFonts w:eastAsia="SimSun"/>
          <w:szCs w:val="22"/>
        </w:rPr>
        <w:t xml:space="preserve">These </w:t>
      </w:r>
      <w:r w:rsidRPr="00E26506">
        <w:rPr>
          <w:rFonts w:eastAsia="SimSun"/>
          <w:szCs w:val="22"/>
        </w:rPr>
        <w:t>were moderate and weak associations</w:t>
      </w:r>
      <w:r>
        <w:rPr>
          <w:rFonts w:eastAsia="SimSun"/>
          <w:szCs w:val="22"/>
        </w:rPr>
        <w:t>, respectively</w:t>
      </w:r>
      <w:r w:rsidRPr="00E26506">
        <w:rPr>
          <w:rFonts w:eastAsia="Times New Roman"/>
          <w:lang w:eastAsia="en-AU"/>
        </w:rPr>
        <w:t>.</w:t>
      </w:r>
    </w:p>
    <w:p w14:paraId="71B41AE1" w14:textId="77777777" w:rsidR="00783F0D" w:rsidRPr="00B33E9C" w:rsidRDefault="00783F0D" w:rsidP="00783F0D">
      <w:pPr>
        <w:pStyle w:val="TableName"/>
      </w:pPr>
      <w:bookmarkStart w:id="565" w:name="_Ref517353156"/>
      <w:bookmarkStart w:id="566" w:name="_Toc509922877"/>
      <w:bookmarkStart w:id="567" w:name="_Toc515374652"/>
      <w:bookmarkStart w:id="568" w:name="_Toc528932328"/>
      <w:bookmarkStart w:id="569" w:name="_Toc531858007"/>
      <w:r>
        <w:t xml:space="preserve">Table </w:t>
      </w:r>
      <w:r>
        <w:rPr>
          <w:noProof/>
        </w:rPr>
        <w:t>5</w:t>
      </w:r>
      <w:r>
        <w:t>.</w:t>
      </w:r>
      <w:r>
        <w:rPr>
          <w:noProof/>
        </w:rPr>
        <w:t>7</w:t>
      </w:r>
      <w:bookmarkEnd w:id="565"/>
      <w:r>
        <w:tab/>
      </w:r>
      <w:r w:rsidRPr="00B33E9C">
        <w:t>The ways in which emerging technologies are used to improve health and wellbeing among Transitioned ADF and 2015 Regular ADF</w:t>
      </w:r>
      <w:bookmarkEnd w:id="566"/>
      <w:bookmarkEnd w:id="567"/>
      <w:bookmarkEnd w:id="568"/>
      <w:bookmarkEnd w:id="569"/>
      <w:r>
        <w:t xml:space="preserve"> </w:t>
      </w:r>
    </w:p>
    <w:tbl>
      <w:tblPr>
        <w:tblStyle w:val="TWRPTable"/>
        <w:tblW w:w="5000" w:type="pct"/>
        <w:tblLayout w:type="fixed"/>
        <w:tblLook w:val="0000" w:firstRow="0" w:lastRow="0" w:firstColumn="0" w:lastColumn="0" w:noHBand="0" w:noVBand="0"/>
        <w:tblDescription w:val="Table 5.7 The ways in which emerging technologies are used to improve health and wellbeing among Transitioned ADF and 2015 Regular ADF "/>
      </w:tblPr>
      <w:tblGrid>
        <w:gridCol w:w="2004"/>
        <w:gridCol w:w="618"/>
        <w:gridCol w:w="793"/>
        <w:gridCol w:w="1131"/>
        <w:gridCol w:w="629"/>
        <w:gridCol w:w="793"/>
        <w:gridCol w:w="1121"/>
      </w:tblGrid>
      <w:tr w:rsidR="00EB155C" w:rsidRPr="00492B18" w14:paraId="10075C5D" w14:textId="77777777" w:rsidTr="00A7285A">
        <w:trPr>
          <w:cantSplit/>
          <w:tblHeader/>
        </w:trPr>
        <w:tc>
          <w:tcPr>
            <w:tcW w:w="2060" w:type="dxa"/>
            <w:vMerge w:val="restart"/>
            <w:tcBorders>
              <w:top w:val="single" w:sz="4" w:space="0" w:color="000000"/>
              <w:bottom w:val="single" w:sz="4" w:space="0" w:color="000000"/>
            </w:tcBorders>
            <w:vAlign w:val="bottom"/>
          </w:tcPr>
          <w:p w14:paraId="257828E5" w14:textId="77777777" w:rsidR="00EB155C" w:rsidRPr="00071F81" w:rsidRDefault="00EB155C" w:rsidP="00A7285A">
            <w:pPr>
              <w:pStyle w:val="TableText"/>
              <w:rPr>
                <w:b/>
              </w:rPr>
            </w:pPr>
            <w:r w:rsidRPr="00071F81">
              <w:rPr>
                <w:b/>
              </w:rPr>
              <w:t>How emerging technologies are used to improve health and wellbeing</w:t>
            </w:r>
            <w:r>
              <w:rPr>
                <w:b/>
              </w:rPr>
              <w:t xml:space="preserve"> </w:t>
            </w:r>
          </w:p>
        </w:tc>
        <w:tc>
          <w:tcPr>
            <w:tcW w:w="2599" w:type="dxa"/>
            <w:gridSpan w:val="3"/>
            <w:tcBorders>
              <w:top w:val="single" w:sz="4" w:space="0" w:color="000000"/>
              <w:bottom w:val="single" w:sz="4" w:space="0" w:color="000000"/>
            </w:tcBorders>
          </w:tcPr>
          <w:p w14:paraId="0DC5961D" w14:textId="77777777" w:rsidR="00EB155C" w:rsidRPr="00071F81" w:rsidRDefault="00EB155C" w:rsidP="00EB155C">
            <w:pPr>
              <w:pStyle w:val="TableText"/>
              <w:jc w:val="center"/>
              <w:rPr>
                <w:b/>
              </w:rPr>
            </w:pPr>
            <w:r w:rsidRPr="00071F81">
              <w:rPr>
                <w:b/>
              </w:rPr>
              <w:t>Transitioned ADF</w:t>
            </w:r>
            <w:r>
              <w:rPr>
                <w:b/>
              </w:rPr>
              <w:br/>
            </w:r>
            <w:r w:rsidRPr="00071F81">
              <w:rPr>
                <w:b/>
              </w:rPr>
              <w:t>n=5668</w:t>
            </w:r>
          </w:p>
        </w:tc>
        <w:tc>
          <w:tcPr>
            <w:tcW w:w="2600" w:type="dxa"/>
            <w:gridSpan w:val="3"/>
            <w:tcBorders>
              <w:top w:val="single" w:sz="4" w:space="0" w:color="000000"/>
              <w:bottom w:val="single" w:sz="4" w:space="0" w:color="000000"/>
            </w:tcBorders>
          </w:tcPr>
          <w:p w14:paraId="701C7D7F" w14:textId="77777777" w:rsidR="00EB155C" w:rsidRPr="00071F81" w:rsidRDefault="00EB155C" w:rsidP="00EB155C">
            <w:pPr>
              <w:pStyle w:val="TableText"/>
              <w:jc w:val="center"/>
              <w:rPr>
                <w:b/>
              </w:rPr>
            </w:pPr>
            <w:r w:rsidRPr="00071F81">
              <w:rPr>
                <w:b/>
              </w:rPr>
              <w:t>2015 Regular ADF</w:t>
            </w:r>
            <w:r>
              <w:rPr>
                <w:b/>
              </w:rPr>
              <w:br/>
            </w:r>
            <w:r w:rsidRPr="00071F81">
              <w:rPr>
                <w:b/>
              </w:rPr>
              <w:t>n=13,131</w:t>
            </w:r>
          </w:p>
        </w:tc>
      </w:tr>
      <w:tr w:rsidR="00EB155C" w:rsidRPr="00492B18" w14:paraId="4E54338F" w14:textId="77777777" w:rsidTr="00040E45">
        <w:trPr>
          <w:cantSplit/>
          <w:tblHeader/>
        </w:trPr>
        <w:tc>
          <w:tcPr>
            <w:tcW w:w="2060" w:type="dxa"/>
            <w:vMerge/>
            <w:tcBorders>
              <w:top w:val="single" w:sz="4" w:space="0" w:color="000000"/>
              <w:bottom w:val="single" w:sz="4" w:space="0" w:color="000000"/>
            </w:tcBorders>
          </w:tcPr>
          <w:p w14:paraId="056F0C91" w14:textId="77777777" w:rsidR="00EB155C" w:rsidRPr="00071F81" w:rsidRDefault="00EB155C" w:rsidP="00EB155C">
            <w:pPr>
              <w:pStyle w:val="TableText"/>
              <w:rPr>
                <w:b/>
              </w:rPr>
            </w:pPr>
          </w:p>
        </w:tc>
        <w:tc>
          <w:tcPr>
            <w:tcW w:w="630" w:type="dxa"/>
            <w:tcBorders>
              <w:top w:val="single" w:sz="4" w:space="0" w:color="000000"/>
              <w:bottom w:val="single" w:sz="4" w:space="0" w:color="000000"/>
            </w:tcBorders>
            <w:vAlign w:val="bottom"/>
          </w:tcPr>
          <w:p w14:paraId="1041D3AC" w14:textId="77777777" w:rsidR="00EB155C" w:rsidRPr="00071F81" w:rsidRDefault="00EB155C" w:rsidP="00040E45">
            <w:pPr>
              <w:pStyle w:val="TableText"/>
              <w:jc w:val="right"/>
              <w:rPr>
                <w:b/>
              </w:rPr>
            </w:pPr>
            <w:r w:rsidRPr="00071F81">
              <w:rPr>
                <w:b/>
              </w:rPr>
              <w:t>n</w:t>
            </w:r>
          </w:p>
        </w:tc>
        <w:tc>
          <w:tcPr>
            <w:tcW w:w="810" w:type="dxa"/>
            <w:tcBorders>
              <w:top w:val="single" w:sz="4" w:space="0" w:color="000000"/>
              <w:bottom w:val="single" w:sz="4" w:space="0" w:color="000000"/>
            </w:tcBorders>
            <w:vAlign w:val="bottom"/>
          </w:tcPr>
          <w:p w14:paraId="48621B6A" w14:textId="77777777" w:rsidR="00EB155C" w:rsidRPr="00071F81" w:rsidRDefault="00EB155C" w:rsidP="00040E45">
            <w:pPr>
              <w:pStyle w:val="TableText"/>
              <w:jc w:val="right"/>
              <w:rPr>
                <w:b/>
              </w:rPr>
            </w:pPr>
            <w:r w:rsidRPr="00071F81">
              <w:rPr>
                <w:b/>
              </w:rPr>
              <w:t>Weighted n</w:t>
            </w:r>
          </w:p>
        </w:tc>
        <w:tc>
          <w:tcPr>
            <w:tcW w:w="1159" w:type="dxa"/>
            <w:tcBorders>
              <w:top w:val="single" w:sz="4" w:space="0" w:color="000000"/>
              <w:bottom w:val="single" w:sz="4" w:space="0" w:color="000000"/>
            </w:tcBorders>
            <w:vAlign w:val="bottom"/>
          </w:tcPr>
          <w:p w14:paraId="76C2989B" w14:textId="77777777" w:rsidR="00EB155C" w:rsidRPr="00071F81" w:rsidRDefault="00EB155C" w:rsidP="00040E45">
            <w:pPr>
              <w:pStyle w:val="TableText"/>
              <w:jc w:val="right"/>
              <w:rPr>
                <w:b/>
              </w:rPr>
            </w:pPr>
            <w:r w:rsidRPr="00071F81">
              <w:rPr>
                <w:b/>
              </w:rPr>
              <w:t>% (95%CI)</w:t>
            </w:r>
          </w:p>
        </w:tc>
        <w:tc>
          <w:tcPr>
            <w:tcW w:w="641" w:type="dxa"/>
            <w:tcBorders>
              <w:top w:val="single" w:sz="4" w:space="0" w:color="000000"/>
              <w:bottom w:val="single" w:sz="4" w:space="0" w:color="000000"/>
            </w:tcBorders>
            <w:vAlign w:val="bottom"/>
          </w:tcPr>
          <w:p w14:paraId="2265701E" w14:textId="77777777" w:rsidR="00EB155C" w:rsidRPr="00071F81" w:rsidRDefault="00EB155C" w:rsidP="00040E45">
            <w:pPr>
              <w:pStyle w:val="TableText"/>
              <w:jc w:val="right"/>
              <w:rPr>
                <w:b/>
              </w:rPr>
            </w:pPr>
            <w:r w:rsidRPr="00071F81">
              <w:rPr>
                <w:b/>
              </w:rPr>
              <w:t>n</w:t>
            </w:r>
          </w:p>
        </w:tc>
        <w:tc>
          <w:tcPr>
            <w:tcW w:w="810" w:type="dxa"/>
            <w:tcBorders>
              <w:top w:val="single" w:sz="4" w:space="0" w:color="000000"/>
              <w:bottom w:val="single" w:sz="4" w:space="0" w:color="000000"/>
            </w:tcBorders>
            <w:vAlign w:val="bottom"/>
          </w:tcPr>
          <w:p w14:paraId="288AE17A" w14:textId="77777777" w:rsidR="00EB155C" w:rsidRPr="00071F81" w:rsidRDefault="00EB155C" w:rsidP="00040E45">
            <w:pPr>
              <w:pStyle w:val="TableText"/>
              <w:jc w:val="right"/>
              <w:rPr>
                <w:b/>
              </w:rPr>
            </w:pPr>
            <w:r w:rsidRPr="00071F81">
              <w:rPr>
                <w:b/>
              </w:rPr>
              <w:t>Weighted n</w:t>
            </w:r>
          </w:p>
        </w:tc>
        <w:tc>
          <w:tcPr>
            <w:tcW w:w="1149" w:type="dxa"/>
            <w:tcBorders>
              <w:top w:val="single" w:sz="4" w:space="0" w:color="000000"/>
              <w:bottom w:val="single" w:sz="4" w:space="0" w:color="000000"/>
            </w:tcBorders>
            <w:vAlign w:val="bottom"/>
          </w:tcPr>
          <w:p w14:paraId="72F8D019" w14:textId="77777777" w:rsidR="00EB155C" w:rsidRPr="00071F81" w:rsidRDefault="00EB155C" w:rsidP="00040E45">
            <w:pPr>
              <w:pStyle w:val="TableText"/>
              <w:jc w:val="right"/>
              <w:rPr>
                <w:b/>
              </w:rPr>
            </w:pPr>
            <w:r w:rsidRPr="00071F81">
              <w:rPr>
                <w:b/>
              </w:rPr>
              <w:t>% (95%CI)</w:t>
            </w:r>
          </w:p>
        </w:tc>
      </w:tr>
      <w:tr w:rsidR="00EB155C" w:rsidRPr="00492B18" w14:paraId="5022C50F"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060" w:type="dxa"/>
            <w:tcBorders>
              <w:top w:val="single" w:sz="4" w:space="0" w:color="000000"/>
            </w:tcBorders>
          </w:tcPr>
          <w:p w14:paraId="0F4AE51F" w14:textId="77777777" w:rsidR="00783F0D" w:rsidRPr="00071F81" w:rsidRDefault="00783F0D" w:rsidP="00EB155C">
            <w:pPr>
              <w:pStyle w:val="TableText"/>
            </w:pPr>
            <w:r w:rsidRPr="00071F81">
              <w:t>Improve my fitness</w:t>
            </w:r>
          </w:p>
        </w:tc>
        <w:tc>
          <w:tcPr>
            <w:tcW w:w="630" w:type="dxa"/>
            <w:tcBorders>
              <w:top w:val="single" w:sz="4" w:space="0" w:color="000000"/>
            </w:tcBorders>
          </w:tcPr>
          <w:p w14:paraId="47448684" w14:textId="77777777" w:rsidR="00783F0D" w:rsidRPr="00071F81" w:rsidRDefault="00783F0D" w:rsidP="00EB155C">
            <w:pPr>
              <w:pStyle w:val="TableText"/>
              <w:jc w:val="right"/>
            </w:pPr>
            <w:r w:rsidRPr="00071F81">
              <w:t>694</w:t>
            </w:r>
          </w:p>
        </w:tc>
        <w:tc>
          <w:tcPr>
            <w:tcW w:w="810" w:type="dxa"/>
            <w:tcBorders>
              <w:top w:val="single" w:sz="4" w:space="0" w:color="000000"/>
            </w:tcBorders>
          </w:tcPr>
          <w:p w14:paraId="2AE94EE5" w14:textId="77777777" w:rsidR="00783F0D" w:rsidRPr="00071F81" w:rsidRDefault="00783F0D" w:rsidP="00EB155C">
            <w:pPr>
              <w:pStyle w:val="TableText"/>
              <w:jc w:val="right"/>
            </w:pPr>
            <w:r w:rsidRPr="00071F81">
              <w:t>4587</w:t>
            </w:r>
          </w:p>
        </w:tc>
        <w:tc>
          <w:tcPr>
            <w:tcW w:w="1159" w:type="dxa"/>
            <w:tcBorders>
              <w:top w:val="single" w:sz="4" w:space="0" w:color="000000"/>
            </w:tcBorders>
          </w:tcPr>
          <w:p w14:paraId="538471F8" w14:textId="77777777" w:rsidR="00783F0D" w:rsidRPr="00071F81" w:rsidRDefault="00783F0D" w:rsidP="00EB155C">
            <w:pPr>
              <w:pStyle w:val="TableText"/>
              <w:jc w:val="right"/>
            </w:pPr>
            <w:r w:rsidRPr="00071F81">
              <w:t>80.9 (77.3,</w:t>
            </w:r>
            <w:r>
              <w:t xml:space="preserve"> </w:t>
            </w:r>
            <w:r w:rsidRPr="00071F81">
              <w:t>84.1)</w:t>
            </w:r>
          </w:p>
        </w:tc>
        <w:tc>
          <w:tcPr>
            <w:tcW w:w="641" w:type="dxa"/>
            <w:tcBorders>
              <w:top w:val="single" w:sz="4" w:space="0" w:color="000000"/>
            </w:tcBorders>
          </w:tcPr>
          <w:p w14:paraId="1B151B93" w14:textId="77777777" w:rsidR="00783F0D" w:rsidRPr="00071F81" w:rsidRDefault="00783F0D" w:rsidP="00EB155C">
            <w:pPr>
              <w:pStyle w:val="TableText"/>
              <w:jc w:val="right"/>
            </w:pPr>
            <w:r w:rsidRPr="00071F81">
              <w:t>1942</w:t>
            </w:r>
          </w:p>
        </w:tc>
        <w:tc>
          <w:tcPr>
            <w:tcW w:w="810" w:type="dxa"/>
            <w:tcBorders>
              <w:top w:val="single" w:sz="4" w:space="0" w:color="000000"/>
            </w:tcBorders>
          </w:tcPr>
          <w:p w14:paraId="13CFA023" w14:textId="77777777" w:rsidR="00783F0D" w:rsidRPr="00071F81" w:rsidRDefault="00783F0D" w:rsidP="00EB155C">
            <w:pPr>
              <w:pStyle w:val="TableText"/>
              <w:jc w:val="right"/>
            </w:pPr>
            <w:r w:rsidRPr="00071F81">
              <w:t>11,614</w:t>
            </w:r>
          </w:p>
        </w:tc>
        <w:tc>
          <w:tcPr>
            <w:tcW w:w="1149" w:type="dxa"/>
            <w:tcBorders>
              <w:top w:val="single" w:sz="4" w:space="0" w:color="000000"/>
            </w:tcBorders>
          </w:tcPr>
          <w:p w14:paraId="1F3F0801" w14:textId="77777777" w:rsidR="00783F0D" w:rsidRPr="00071F81" w:rsidRDefault="00783F0D" w:rsidP="00EB155C">
            <w:pPr>
              <w:pStyle w:val="TableText"/>
              <w:jc w:val="right"/>
            </w:pPr>
            <w:r w:rsidRPr="00071F81">
              <w:t>88.4 (84.0,</w:t>
            </w:r>
            <w:r>
              <w:t xml:space="preserve"> </w:t>
            </w:r>
            <w:r w:rsidRPr="00071F81">
              <w:t>91.8)</w:t>
            </w:r>
          </w:p>
        </w:tc>
      </w:tr>
      <w:tr w:rsidR="00EB155C" w:rsidRPr="00492B18" w14:paraId="20ACB865" w14:textId="77777777" w:rsidTr="00A7285A">
        <w:trPr>
          <w:cantSplit/>
        </w:trPr>
        <w:tc>
          <w:tcPr>
            <w:tcW w:w="2060" w:type="dxa"/>
          </w:tcPr>
          <w:p w14:paraId="60EEC137" w14:textId="77777777" w:rsidR="00783F0D" w:rsidRPr="00071F81" w:rsidRDefault="00783F0D" w:rsidP="00EB155C">
            <w:pPr>
              <w:pStyle w:val="TableText"/>
            </w:pPr>
            <w:r w:rsidRPr="00071F81">
              <w:t>Improve my mood</w:t>
            </w:r>
          </w:p>
        </w:tc>
        <w:tc>
          <w:tcPr>
            <w:tcW w:w="630" w:type="dxa"/>
          </w:tcPr>
          <w:p w14:paraId="427742FB" w14:textId="77777777" w:rsidR="00783F0D" w:rsidRPr="00071F81" w:rsidRDefault="00783F0D" w:rsidP="00EB155C">
            <w:pPr>
              <w:pStyle w:val="TableText"/>
              <w:jc w:val="right"/>
            </w:pPr>
            <w:r w:rsidRPr="00071F81">
              <w:t>122</w:t>
            </w:r>
          </w:p>
        </w:tc>
        <w:tc>
          <w:tcPr>
            <w:tcW w:w="810" w:type="dxa"/>
          </w:tcPr>
          <w:p w14:paraId="74517584" w14:textId="77777777" w:rsidR="00783F0D" w:rsidRPr="00071F81" w:rsidRDefault="00783F0D" w:rsidP="00EB155C">
            <w:pPr>
              <w:pStyle w:val="TableText"/>
              <w:jc w:val="right"/>
            </w:pPr>
            <w:r w:rsidRPr="00071F81">
              <w:t>892</w:t>
            </w:r>
          </w:p>
        </w:tc>
        <w:tc>
          <w:tcPr>
            <w:tcW w:w="1159" w:type="dxa"/>
          </w:tcPr>
          <w:p w14:paraId="74163D17" w14:textId="77777777" w:rsidR="00783F0D" w:rsidRPr="00071F81" w:rsidRDefault="00783F0D" w:rsidP="00EB155C">
            <w:pPr>
              <w:pStyle w:val="TableText"/>
              <w:jc w:val="right"/>
            </w:pPr>
            <w:r w:rsidRPr="00071F81">
              <w:t>15.7 (12.7,</w:t>
            </w:r>
            <w:r>
              <w:t xml:space="preserve"> </w:t>
            </w:r>
            <w:r w:rsidRPr="00071F81">
              <w:t>19.3)</w:t>
            </w:r>
          </w:p>
        </w:tc>
        <w:tc>
          <w:tcPr>
            <w:tcW w:w="641" w:type="dxa"/>
          </w:tcPr>
          <w:p w14:paraId="14328A2D" w14:textId="77777777" w:rsidR="00783F0D" w:rsidRPr="00071F81" w:rsidRDefault="00783F0D" w:rsidP="00EB155C">
            <w:pPr>
              <w:pStyle w:val="TableText"/>
              <w:jc w:val="right"/>
            </w:pPr>
            <w:r w:rsidRPr="00071F81">
              <w:t>225</w:t>
            </w:r>
          </w:p>
        </w:tc>
        <w:tc>
          <w:tcPr>
            <w:tcW w:w="810" w:type="dxa"/>
          </w:tcPr>
          <w:p w14:paraId="71EBACB2" w14:textId="77777777" w:rsidR="00783F0D" w:rsidRPr="00071F81" w:rsidRDefault="00783F0D" w:rsidP="00EB155C">
            <w:pPr>
              <w:pStyle w:val="TableText"/>
              <w:jc w:val="right"/>
            </w:pPr>
            <w:r w:rsidRPr="00071F81">
              <w:t>2146</w:t>
            </w:r>
          </w:p>
        </w:tc>
        <w:tc>
          <w:tcPr>
            <w:tcW w:w="1149" w:type="dxa"/>
          </w:tcPr>
          <w:p w14:paraId="794D2C63" w14:textId="77777777" w:rsidR="00783F0D" w:rsidRPr="00071F81" w:rsidRDefault="00783F0D" w:rsidP="00EB155C">
            <w:pPr>
              <w:pStyle w:val="TableText"/>
              <w:jc w:val="right"/>
            </w:pPr>
            <w:r w:rsidRPr="00071F81">
              <w:t>16.3 (11.0,</w:t>
            </w:r>
            <w:r>
              <w:t xml:space="preserve"> </w:t>
            </w:r>
            <w:r w:rsidRPr="00071F81">
              <w:t>23.6)</w:t>
            </w:r>
          </w:p>
        </w:tc>
      </w:tr>
      <w:tr w:rsidR="00EB155C" w:rsidRPr="00492B18" w14:paraId="203D1BF1"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060" w:type="dxa"/>
          </w:tcPr>
          <w:p w14:paraId="1D2AB9DC" w14:textId="77777777" w:rsidR="00783F0D" w:rsidRPr="00071F81" w:rsidRDefault="00783F0D" w:rsidP="00EB155C">
            <w:pPr>
              <w:pStyle w:val="TableText"/>
            </w:pPr>
            <w:r w:rsidRPr="00071F81">
              <w:t>Improve my sleep</w:t>
            </w:r>
          </w:p>
        </w:tc>
        <w:tc>
          <w:tcPr>
            <w:tcW w:w="630" w:type="dxa"/>
          </w:tcPr>
          <w:p w14:paraId="0B28E51F" w14:textId="77777777" w:rsidR="00783F0D" w:rsidRPr="00071F81" w:rsidRDefault="00783F0D" w:rsidP="00EB155C">
            <w:pPr>
              <w:pStyle w:val="TableText"/>
              <w:jc w:val="right"/>
            </w:pPr>
            <w:r w:rsidRPr="00071F81">
              <w:t>216</w:t>
            </w:r>
          </w:p>
        </w:tc>
        <w:tc>
          <w:tcPr>
            <w:tcW w:w="810" w:type="dxa"/>
          </w:tcPr>
          <w:p w14:paraId="3AEA9294" w14:textId="77777777" w:rsidR="00783F0D" w:rsidRPr="00071F81" w:rsidRDefault="00783F0D" w:rsidP="00EB155C">
            <w:pPr>
              <w:pStyle w:val="TableText"/>
              <w:jc w:val="right"/>
            </w:pPr>
            <w:r w:rsidRPr="00071F81">
              <w:t>1431</w:t>
            </w:r>
          </w:p>
        </w:tc>
        <w:tc>
          <w:tcPr>
            <w:tcW w:w="1159" w:type="dxa"/>
          </w:tcPr>
          <w:p w14:paraId="54061A12" w14:textId="77777777" w:rsidR="00783F0D" w:rsidRPr="00071F81" w:rsidRDefault="00783F0D" w:rsidP="00EB155C">
            <w:pPr>
              <w:pStyle w:val="TableText"/>
              <w:jc w:val="right"/>
            </w:pPr>
            <w:r w:rsidRPr="00071F81">
              <w:t>25.3 (21.8,</w:t>
            </w:r>
            <w:r>
              <w:t xml:space="preserve"> </w:t>
            </w:r>
            <w:r w:rsidRPr="00071F81">
              <w:t>29.1)</w:t>
            </w:r>
          </w:p>
        </w:tc>
        <w:tc>
          <w:tcPr>
            <w:tcW w:w="641" w:type="dxa"/>
          </w:tcPr>
          <w:p w14:paraId="09230A5F" w14:textId="77777777" w:rsidR="00783F0D" w:rsidRPr="00071F81" w:rsidRDefault="00783F0D" w:rsidP="00EB155C">
            <w:pPr>
              <w:pStyle w:val="TableText"/>
              <w:jc w:val="right"/>
            </w:pPr>
            <w:r w:rsidRPr="00071F81">
              <w:t>529</w:t>
            </w:r>
          </w:p>
        </w:tc>
        <w:tc>
          <w:tcPr>
            <w:tcW w:w="810" w:type="dxa"/>
          </w:tcPr>
          <w:p w14:paraId="20518C38" w14:textId="77777777" w:rsidR="00783F0D" w:rsidRPr="00071F81" w:rsidRDefault="00783F0D" w:rsidP="00EB155C">
            <w:pPr>
              <w:pStyle w:val="TableText"/>
              <w:jc w:val="right"/>
            </w:pPr>
            <w:r w:rsidRPr="00071F81">
              <w:t>3274</w:t>
            </w:r>
          </w:p>
        </w:tc>
        <w:tc>
          <w:tcPr>
            <w:tcW w:w="1149" w:type="dxa"/>
          </w:tcPr>
          <w:p w14:paraId="737D128A" w14:textId="77777777" w:rsidR="00783F0D" w:rsidRPr="00071F81" w:rsidRDefault="00783F0D" w:rsidP="00EB155C">
            <w:pPr>
              <w:pStyle w:val="TableText"/>
              <w:jc w:val="right"/>
            </w:pPr>
            <w:r w:rsidRPr="00071F81">
              <w:t>24.9 (19.1,</w:t>
            </w:r>
            <w:r>
              <w:t xml:space="preserve"> </w:t>
            </w:r>
            <w:r w:rsidRPr="00071F81">
              <w:t>31.8)</w:t>
            </w:r>
          </w:p>
        </w:tc>
      </w:tr>
      <w:tr w:rsidR="00EB155C" w:rsidRPr="00492B18" w14:paraId="4A718D22" w14:textId="77777777" w:rsidTr="00A7285A">
        <w:trPr>
          <w:cantSplit/>
        </w:trPr>
        <w:tc>
          <w:tcPr>
            <w:tcW w:w="2060" w:type="dxa"/>
          </w:tcPr>
          <w:p w14:paraId="63659DED" w14:textId="77777777" w:rsidR="00783F0D" w:rsidRPr="00071F81" w:rsidRDefault="00783F0D" w:rsidP="00EB155C">
            <w:pPr>
              <w:pStyle w:val="TableText"/>
            </w:pPr>
            <w:r w:rsidRPr="00071F81">
              <w:t>Keep me organised</w:t>
            </w:r>
          </w:p>
        </w:tc>
        <w:tc>
          <w:tcPr>
            <w:tcW w:w="630" w:type="dxa"/>
          </w:tcPr>
          <w:p w14:paraId="4C6881D6" w14:textId="77777777" w:rsidR="00783F0D" w:rsidRPr="00071F81" w:rsidRDefault="00783F0D" w:rsidP="00EB155C">
            <w:pPr>
              <w:pStyle w:val="TableText"/>
              <w:jc w:val="right"/>
            </w:pPr>
            <w:r w:rsidRPr="00071F81">
              <w:t>311</w:t>
            </w:r>
          </w:p>
        </w:tc>
        <w:tc>
          <w:tcPr>
            <w:tcW w:w="810" w:type="dxa"/>
          </w:tcPr>
          <w:p w14:paraId="6049C86E" w14:textId="77777777" w:rsidR="00783F0D" w:rsidRPr="00071F81" w:rsidRDefault="00783F0D" w:rsidP="00EB155C">
            <w:pPr>
              <w:pStyle w:val="TableText"/>
              <w:jc w:val="right"/>
            </w:pPr>
            <w:r w:rsidRPr="00071F81">
              <w:t>2053</w:t>
            </w:r>
          </w:p>
        </w:tc>
        <w:tc>
          <w:tcPr>
            <w:tcW w:w="1159" w:type="dxa"/>
          </w:tcPr>
          <w:p w14:paraId="099B0E10" w14:textId="77777777" w:rsidR="00783F0D" w:rsidRPr="00071F81" w:rsidRDefault="00783F0D" w:rsidP="00EB155C">
            <w:pPr>
              <w:pStyle w:val="TableText"/>
              <w:jc w:val="right"/>
            </w:pPr>
            <w:r w:rsidRPr="00071F81">
              <w:t>36.2 (32.2,</w:t>
            </w:r>
            <w:r>
              <w:t xml:space="preserve"> </w:t>
            </w:r>
            <w:r w:rsidRPr="00071F81">
              <w:t>40.4)</w:t>
            </w:r>
          </w:p>
        </w:tc>
        <w:tc>
          <w:tcPr>
            <w:tcW w:w="641" w:type="dxa"/>
          </w:tcPr>
          <w:p w14:paraId="1C773715" w14:textId="77777777" w:rsidR="00783F0D" w:rsidRPr="00071F81" w:rsidRDefault="00783F0D" w:rsidP="00EB155C">
            <w:pPr>
              <w:pStyle w:val="TableText"/>
              <w:jc w:val="right"/>
            </w:pPr>
            <w:r w:rsidRPr="00071F81">
              <w:t>754</w:t>
            </w:r>
          </w:p>
        </w:tc>
        <w:tc>
          <w:tcPr>
            <w:tcW w:w="810" w:type="dxa"/>
          </w:tcPr>
          <w:p w14:paraId="2488EE1B" w14:textId="77777777" w:rsidR="00783F0D" w:rsidRPr="00071F81" w:rsidRDefault="00783F0D" w:rsidP="00EB155C">
            <w:pPr>
              <w:pStyle w:val="TableText"/>
              <w:jc w:val="right"/>
            </w:pPr>
            <w:r w:rsidRPr="00071F81">
              <w:t>4912</w:t>
            </w:r>
          </w:p>
        </w:tc>
        <w:tc>
          <w:tcPr>
            <w:tcW w:w="1149" w:type="dxa"/>
          </w:tcPr>
          <w:p w14:paraId="3423549B" w14:textId="77777777" w:rsidR="00783F0D" w:rsidRPr="00071F81" w:rsidRDefault="00783F0D" w:rsidP="00EB155C">
            <w:pPr>
              <w:pStyle w:val="TableText"/>
              <w:jc w:val="right"/>
            </w:pPr>
            <w:r w:rsidRPr="00071F81">
              <w:t>37.4 (30.5,</w:t>
            </w:r>
            <w:r>
              <w:t xml:space="preserve"> </w:t>
            </w:r>
            <w:r w:rsidRPr="00071F81">
              <w:t>44.9)</w:t>
            </w:r>
          </w:p>
        </w:tc>
      </w:tr>
      <w:tr w:rsidR="00EB155C" w:rsidRPr="00492B18" w14:paraId="2E115EDE"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060" w:type="dxa"/>
          </w:tcPr>
          <w:p w14:paraId="01402E7E" w14:textId="77777777" w:rsidR="00783F0D" w:rsidRPr="00071F81" w:rsidRDefault="00783F0D" w:rsidP="00EB155C">
            <w:pPr>
              <w:pStyle w:val="TableText"/>
            </w:pPr>
            <w:r w:rsidRPr="00071F81">
              <w:t>Maintain my diet/track food intake</w:t>
            </w:r>
          </w:p>
        </w:tc>
        <w:tc>
          <w:tcPr>
            <w:tcW w:w="630" w:type="dxa"/>
          </w:tcPr>
          <w:p w14:paraId="164442C9" w14:textId="77777777" w:rsidR="00783F0D" w:rsidRPr="00071F81" w:rsidRDefault="00783F0D" w:rsidP="00EB155C">
            <w:pPr>
              <w:pStyle w:val="TableText"/>
              <w:jc w:val="right"/>
            </w:pPr>
            <w:r w:rsidRPr="00071F81">
              <w:t>223</w:t>
            </w:r>
          </w:p>
        </w:tc>
        <w:tc>
          <w:tcPr>
            <w:tcW w:w="810" w:type="dxa"/>
          </w:tcPr>
          <w:p w14:paraId="53C2D689" w14:textId="77777777" w:rsidR="00783F0D" w:rsidRPr="00071F81" w:rsidRDefault="00783F0D" w:rsidP="00EB155C">
            <w:pPr>
              <w:pStyle w:val="TableText"/>
              <w:jc w:val="right"/>
            </w:pPr>
            <w:r w:rsidRPr="00071F81">
              <w:t>1496</w:t>
            </w:r>
          </w:p>
        </w:tc>
        <w:tc>
          <w:tcPr>
            <w:tcW w:w="1159" w:type="dxa"/>
          </w:tcPr>
          <w:p w14:paraId="74AD2FFA" w14:textId="77777777" w:rsidR="00783F0D" w:rsidRPr="00071F81" w:rsidRDefault="00783F0D" w:rsidP="00EB155C">
            <w:pPr>
              <w:pStyle w:val="TableText"/>
              <w:jc w:val="right"/>
            </w:pPr>
            <w:r w:rsidRPr="00071F81">
              <w:t>26.4 (22.8,</w:t>
            </w:r>
            <w:r>
              <w:t xml:space="preserve"> </w:t>
            </w:r>
            <w:r w:rsidRPr="00071F81">
              <w:t>30.3)</w:t>
            </w:r>
          </w:p>
        </w:tc>
        <w:tc>
          <w:tcPr>
            <w:tcW w:w="641" w:type="dxa"/>
          </w:tcPr>
          <w:p w14:paraId="3316890D" w14:textId="77777777" w:rsidR="00783F0D" w:rsidRPr="00071F81" w:rsidRDefault="00783F0D" w:rsidP="00EB155C">
            <w:pPr>
              <w:pStyle w:val="TableText"/>
              <w:jc w:val="right"/>
            </w:pPr>
            <w:r w:rsidRPr="00071F81">
              <w:t>633</w:t>
            </w:r>
          </w:p>
        </w:tc>
        <w:tc>
          <w:tcPr>
            <w:tcW w:w="810" w:type="dxa"/>
          </w:tcPr>
          <w:p w14:paraId="02947BB0" w14:textId="77777777" w:rsidR="00783F0D" w:rsidRPr="00071F81" w:rsidRDefault="00783F0D" w:rsidP="00EB155C">
            <w:pPr>
              <w:pStyle w:val="TableText"/>
              <w:jc w:val="right"/>
            </w:pPr>
            <w:r w:rsidRPr="00071F81">
              <w:t>2767</w:t>
            </w:r>
          </w:p>
        </w:tc>
        <w:tc>
          <w:tcPr>
            <w:tcW w:w="1149" w:type="dxa"/>
          </w:tcPr>
          <w:p w14:paraId="1559B8C0" w14:textId="77777777" w:rsidR="00783F0D" w:rsidRPr="00071F81" w:rsidRDefault="00783F0D" w:rsidP="00EB155C">
            <w:pPr>
              <w:pStyle w:val="TableText"/>
              <w:jc w:val="right"/>
            </w:pPr>
            <w:r w:rsidRPr="00071F81">
              <w:t>21.1 (17.9,</w:t>
            </w:r>
            <w:r>
              <w:t xml:space="preserve"> </w:t>
            </w:r>
            <w:r w:rsidRPr="00071F81">
              <w:t>24.7)</w:t>
            </w:r>
          </w:p>
        </w:tc>
      </w:tr>
      <w:tr w:rsidR="00EB155C" w:rsidRPr="00492B18" w14:paraId="33E9C5A0" w14:textId="77777777" w:rsidTr="00A7285A">
        <w:trPr>
          <w:cantSplit/>
        </w:trPr>
        <w:tc>
          <w:tcPr>
            <w:tcW w:w="2060" w:type="dxa"/>
          </w:tcPr>
          <w:p w14:paraId="6B712F35" w14:textId="77777777" w:rsidR="00783F0D" w:rsidRPr="00071F81" w:rsidRDefault="00783F0D" w:rsidP="00EB155C">
            <w:pPr>
              <w:pStyle w:val="TableText"/>
            </w:pPr>
            <w:r w:rsidRPr="00071F81">
              <w:t>To keep me motivated</w:t>
            </w:r>
          </w:p>
        </w:tc>
        <w:tc>
          <w:tcPr>
            <w:tcW w:w="630" w:type="dxa"/>
          </w:tcPr>
          <w:p w14:paraId="702CE5CF" w14:textId="77777777" w:rsidR="00783F0D" w:rsidRPr="00071F81" w:rsidRDefault="00783F0D" w:rsidP="00EB155C">
            <w:pPr>
              <w:pStyle w:val="TableText"/>
              <w:jc w:val="right"/>
            </w:pPr>
            <w:r w:rsidRPr="00071F81">
              <w:t>259</w:t>
            </w:r>
          </w:p>
        </w:tc>
        <w:tc>
          <w:tcPr>
            <w:tcW w:w="810" w:type="dxa"/>
          </w:tcPr>
          <w:p w14:paraId="05792339" w14:textId="77777777" w:rsidR="00783F0D" w:rsidRPr="00071F81" w:rsidRDefault="00783F0D" w:rsidP="00EB155C">
            <w:pPr>
              <w:pStyle w:val="TableText"/>
              <w:jc w:val="right"/>
            </w:pPr>
            <w:r w:rsidRPr="00071F81">
              <w:t>1796</w:t>
            </w:r>
          </w:p>
        </w:tc>
        <w:tc>
          <w:tcPr>
            <w:tcW w:w="1159" w:type="dxa"/>
          </w:tcPr>
          <w:p w14:paraId="13490046" w14:textId="77777777" w:rsidR="00783F0D" w:rsidRPr="00071F81" w:rsidRDefault="00783F0D" w:rsidP="00EB155C">
            <w:pPr>
              <w:pStyle w:val="TableText"/>
              <w:jc w:val="right"/>
            </w:pPr>
            <w:r w:rsidRPr="00071F81">
              <w:t>31.7 (27.8,</w:t>
            </w:r>
            <w:r>
              <w:t xml:space="preserve"> </w:t>
            </w:r>
            <w:r w:rsidRPr="00071F81">
              <w:t>35.8)</w:t>
            </w:r>
          </w:p>
        </w:tc>
        <w:tc>
          <w:tcPr>
            <w:tcW w:w="641" w:type="dxa"/>
          </w:tcPr>
          <w:p w14:paraId="729C4A9A" w14:textId="77777777" w:rsidR="00783F0D" w:rsidRPr="00071F81" w:rsidRDefault="00783F0D" w:rsidP="00EB155C">
            <w:pPr>
              <w:pStyle w:val="TableText"/>
              <w:jc w:val="right"/>
            </w:pPr>
            <w:r w:rsidRPr="00071F81">
              <w:t>697</w:t>
            </w:r>
          </w:p>
        </w:tc>
        <w:tc>
          <w:tcPr>
            <w:tcW w:w="810" w:type="dxa"/>
          </w:tcPr>
          <w:p w14:paraId="70E6F997" w14:textId="77777777" w:rsidR="00783F0D" w:rsidRPr="00071F81" w:rsidRDefault="00783F0D" w:rsidP="00EB155C">
            <w:pPr>
              <w:pStyle w:val="TableText"/>
              <w:jc w:val="right"/>
            </w:pPr>
            <w:r w:rsidRPr="00071F81">
              <w:t>3510</w:t>
            </w:r>
          </w:p>
        </w:tc>
        <w:tc>
          <w:tcPr>
            <w:tcW w:w="1149" w:type="dxa"/>
          </w:tcPr>
          <w:p w14:paraId="68021B9A" w14:textId="77777777" w:rsidR="00783F0D" w:rsidRPr="00071F81" w:rsidRDefault="00783F0D" w:rsidP="00EB155C">
            <w:pPr>
              <w:pStyle w:val="TableText"/>
              <w:jc w:val="right"/>
            </w:pPr>
            <w:r w:rsidRPr="00071F81">
              <w:t>26.7 (22.5,</w:t>
            </w:r>
            <w:r>
              <w:t xml:space="preserve"> </w:t>
            </w:r>
            <w:r w:rsidRPr="00071F81">
              <w:t>31.4)</w:t>
            </w:r>
          </w:p>
        </w:tc>
      </w:tr>
      <w:tr w:rsidR="00EB155C" w:rsidRPr="00492B18" w14:paraId="41A31EDC"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060" w:type="dxa"/>
          </w:tcPr>
          <w:p w14:paraId="2A4F6D6F" w14:textId="77777777" w:rsidR="00783F0D" w:rsidRPr="00071F81" w:rsidRDefault="00783F0D" w:rsidP="00EB155C">
            <w:pPr>
              <w:pStyle w:val="TableText"/>
            </w:pPr>
            <w:r w:rsidRPr="00071F81">
              <w:t>Track my progress</w:t>
            </w:r>
          </w:p>
        </w:tc>
        <w:tc>
          <w:tcPr>
            <w:tcW w:w="630" w:type="dxa"/>
          </w:tcPr>
          <w:p w14:paraId="4425FACA" w14:textId="77777777" w:rsidR="00783F0D" w:rsidRPr="00071F81" w:rsidRDefault="00783F0D" w:rsidP="00EB155C">
            <w:pPr>
              <w:pStyle w:val="TableText"/>
              <w:jc w:val="right"/>
            </w:pPr>
            <w:r w:rsidRPr="00071F81">
              <w:t>492</w:t>
            </w:r>
          </w:p>
        </w:tc>
        <w:tc>
          <w:tcPr>
            <w:tcW w:w="810" w:type="dxa"/>
          </w:tcPr>
          <w:p w14:paraId="0012EB75" w14:textId="77777777" w:rsidR="00783F0D" w:rsidRPr="00071F81" w:rsidRDefault="00783F0D" w:rsidP="00EB155C">
            <w:pPr>
              <w:pStyle w:val="TableText"/>
              <w:jc w:val="right"/>
            </w:pPr>
            <w:r w:rsidRPr="00071F81">
              <w:t>3331</w:t>
            </w:r>
          </w:p>
        </w:tc>
        <w:tc>
          <w:tcPr>
            <w:tcW w:w="1159" w:type="dxa"/>
          </w:tcPr>
          <w:p w14:paraId="70DF9356" w14:textId="77777777" w:rsidR="00783F0D" w:rsidRPr="00071F81" w:rsidRDefault="00783F0D" w:rsidP="00EB155C">
            <w:pPr>
              <w:pStyle w:val="TableText"/>
              <w:jc w:val="right"/>
            </w:pPr>
            <w:r w:rsidRPr="00071F81">
              <w:t>58.8 (54.5,</w:t>
            </w:r>
            <w:r>
              <w:t xml:space="preserve"> </w:t>
            </w:r>
            <w:r w:rsidRPr="00071F81">
              <w:t>62.9)</w:t>
            </w:r>
          </w:p>
        </w:tc>
        <w:tc>
          <w:tcPr>
            <w:tcW w:w="641" w:type="dxa"/>
          </w:tcPr>
          <w:p w14:paraId="4C242E0C" w14:textId="77777777" w:rsidR="00783F0D" w:rsidRPr="00071F81" w:rsidRDefault="00783F0D" w:rsidP="00EB155C">
            <w:pPr>
              <w:pStyle w:val="TableText"/>
              <w:jc w:val="right"/>
            </w:pPr>
            <w:r w:rsidRPr="00071F81">
              <w:t>1388</w:t>
            </w:r>
          </w:p>
        </w:tc>
        <w:tc>
          <w:tcPr>
            <w:tcW w:w="810" w:type="dxa"/>
          </w:tcPr>
          <w:p w14:paraId="230767E4" w14:textId="77777777" w:rsidR="00783F0D" w:rsidRPr="00071F81" w:rsidRDefault="00783F0D" w:rsidP="00EB155C">
            <w:pPr>
              <w:pStyle w:val="TableText"/>
              <w:jc w:val="right"/>
            </w:pPr>
            <w:r w:rsidRPr="00071F81">
              <w:t>7362</w:t>
            </w:r>
          </w:p>
        </w:tc>
        <w:tc>
          <w:tcPr>
            <w:tcW w:w="1149" w:type="dxa"/>
          </w:tcPr>
          <w:p w14:paraId="6E294E06" w14:textId="77777777" w:rsidR="00783F0D" w:rsidRPr="00071F81" w:rsidRDefault="00783F0D" w:rsidP="00EB155C">
            <w:pPr>
              <w:pStyle w:val="TableText"/>
              <w:jc w:val="right"/>
            </w:pPr>
            <w:r w:rsidRPr="00071F81">
              <w:t>56.1 (48.7,</w:t>
            </w:r>
            <w:r>
              <w:t xml:space="preserve"> </w:t>
            </w:r>
            <w:r w:rsidRPr="00071F81">
              <w:t>63.2)</w:t>
            </w:r>
          </w:p>
        </w:tc>
      </w:tr>
      <w:tr w:rsidR="00EB155C" w:rsidRPr="00492B18" w14:paraId="18CE6EA3" w14:textId="77777777" w:rsidTr="00A7285A">
        <w:trPr>
          <w:cantSplit/>
        </w:trPr>
        <w:tc>
          <w:tcPr>
            <w:tcW w:w="2060" w:type="dxa"/>
          </w:tcPr>
          <w:p w14:paraId="29E3C04E" w14:textId="77777777" w:rsidR="00783F0D" w:rsidRPr="00071F81" w:rsidRDefault="00783F0D" w:rsidP="00EB155C">
            <w:pPr>
              <w:pStyle w:val="TableText"/>
            </w:pPr>
            <w:r w:rsidRPr="00071F81">
              <w:t xml:space="preserve">Other </w:t>
            </w:r>
          </w:p>
        </w:tc>
        <w:tc>
          <w:tcPr>
            <w:tcW w:w="630" w:type="dxa"/>
          </w:tcPr>
          <w:p w14:paraId="215536C5" w14:textId="77777777" w:rsidR="00783F0D" w:rsidRPr="00071F81" w:rsidRDefault="00783F0D" w:rsidP="00EB155C">
            <w:pPr>
              <w:pStyle w:val="TableText"/>
              <w:jc w:val="right"/>
            </w:pPr>
            <w:r w:rsidRPr="00071F81">
              <w:t>23</w:t>
            </w:r>
          </w:p>
        </w:tc>
        <w:tc>
          <w:tcPr>
            <w:tcW w:w="810" w:type="dxa"/>
          </w:tcPr>
          <w:p w14:paraId="5D22F383" w14:textId="77777777" w:rsidR="00783F0D" w:rsidRPr="00071F81" w:rsidRDefault="00783F0D" w:rsidP="00EB155C">
            <w:pPr>
              <w:pStyle w:val="TableText"/>
              <w:jc w:val="right"/>
            </w:pPr>
            <w:r w:rsidRPr="00071F81">
              <w:t>134</w:t>
            </w:r>
          </w:p>
        </w:tc>
        <w:tc>
          <w:tcPr>
            <w:tcW w:w="1159" w:type="dxa"/>
          </w:tcPr>
          <w:p w14:paraId="20E4E187" w14:textId="77777777" w:rsidR="00783F0D" w:rsidRPr="00071F81" w:rsidRDefault="00783F0D" w:rsidP="00EB155C">
            <w:pPr>
              <w:pStyle w:val="TableText"/>
              <w:jc w:val="right"/>
            </w:pPr>
            <w:r w:rsidRPr="00071F81">
              <w:t>2.4 (1.5,</w:t>
            </w:r>
            <w:r>
              <w:t xml:space="preserve"> </w:t>
            </w:r>
            <w:r w:rsidRPr="00071F81">
              <w:t>3.8)</w:t>
            </w:r>
          </w:p>
        </w:tc>
        <w:tc>
          <w:tcPr>
            <w:tcW w:w="641" w:type="dxa"/>
          </w:tcPr>
          <w:p w14:paraId="07ACB1F7" w14:textId="77777777" w:rsidR="00783F0D" w:rsidRPr="00071F81" w:rsidRDefault="00783F0D" w:rsidP="00EB155C">
            <w:pPr>
              <w:pStyle w:val="TableText"/>
              <w:jc w:val="right"/>
            </w:pPr>
            <w:r w:rsidRPr="00071F81">
              <w:t>48</w:t>
            </w:r>
          </w:p>
        </w:tc>
        <w:tc>
          <w:tcPr>
            <w:tcW w:w="810" w:type="dxa"/>
          </w:tcPr>
          <w:p w14:paraId="073413DF" w14:textId="77777777" w:rsidR="00783F0D" w:rsidRPr="00071F81" w:rsidRDefault="00783F0D" w:rsidP="00EB155C">
            <w:pPr>
              <w:pStyle w:val="TableText"/>
              <w:jc w:val="right"/>
            </w:pPr>
            <w:r w:rsidRPr="00071F81">
              <w:t>300</w:t>
            </w:r>
          </w:p>
        </w:tc>
        <w:tc>
          <w:tcPr>
            <w:tcW w:w="1149" w:type="dxa"/>
          </w:tcPr>
          <w:p w14:paraId="73EAFBE5" w14:textId="77777777" w:rsidR="00783F0D" w:rsidRPr="00071F81" w:rsidRDefault="00783F0D" w:rsidP="00EB155C">
            <w:pPr>
              <w:pStyle w:val="TableText"/>
              <w:jc w:val="right"/>
            </w:pPr>
            <w:r w:rsidRPr="00071F81">
              <w:t>2.3 (1.0,</w:t>
            </w:r>
            <w:r>
              <w:t xml:space="preserve"> </w:t>
            </w:r>
            <w:r w:rsidRPr="00071F81">
              <w:t>5.2)</w:t>
            </w:r>
          </w:p>
        </w:tc>
      </w:tr>
    </w:tbl>
    <w:p w14:paraId="4277332A" w14:textId="77777777" w:rsidR="00783F0D" w:rsidRPr="006A3EA0" w:rsidRDefault="00783F0D" w:rsidP="00783F0D">
      <w:pPr>
        <w:pStyle w:val="TableNotes"/>
        <w:keepNext/>
      </w:pPr>
      <w:r w:rsidRPr="006A3EA0">
        <w:t>Notes</w:t>
      </w:r>
    </w:p>
    <w:p w14:paraId="71F2A4D3" w14:textId="77777777" w:rsidR="00783F0D" w:rsidRPr="00071F81" w:rsidRDefault="00783F0D" w:rsidP="00783F0D">
      <w:pPr>
        <w:pStyle w:val="TableNotes"/>
        <w:keepNext/>
      </w:pPr>
      <w:r w:rsidRPr="00071F81">
        <w:t>Denominator: Transitioned ADF and 2015 Regular ADF who use new or emerging technologies to improve their health and wellbeing</w:t>
      </w:r>
      <w:r>
        <w:t>.</w:t>
      </w:r>
    </w:p>
    <w:p w14:paraId="04AA394D" w14:textId="77777777" w:rsidR="00783F0D" w:rsidRPr="00F403FE" w:rsidRDefault="00783F0D" w:rsidP="00783F0D">
      <w:pPr>
        <w:pStyle w:val="TableNotes"/>
        <w:keepNext/>
      </w:pPr>
      <w:r>
        <w:t>Participants could endorse multiple responses for this question, hence percentages do not add up to 100%. Because responses that were not endorsed were assumed to be left blank intentionally, there are no missing values for this question.</w:t>
      </w:r>
    </w:p>
    <w:p w14:paraId="11650230" w14:textId="77777777" w:rsidR="00783F0D" w:rsidRPr="00071F81" w:rsidRDefault="00783F0D" w:rsidP="00783F0D">
      <w:pPr>
        <w:pStyle w:val="TableNotes"/>
        <w:keepNext/>
      </w:pPr>
      <w:r w:rsidRPr="00071F81">
        <w:t>95%CI</w:t>
      </w:r>
      <w:r>
        <w:t xml:space="preserve"> =</w:t>
      </w:r>
      <w:r w:rsidRPr="00071F81">
        <w:t xml:space="preserve"> 95% </w:t>
      </w:r>
      <w:r>
        <w:t>confidence interval.</w:t>
      </w:r>
      <w:r w:rsidRPr="00071F81">
        <w:t xml:space="preserve"> </w:t>
      </w:r>
    </w:p>
    <w:p w14:paraId="6B119C4A" w14:textId="77777777" w:rsidR="00783F0D" w:rsidRDefault="00783F0D" w:rsidP="00783F0D">
      <w:pPr>
        <w:pStyle w:val="TableNotes"/>
      </w:pPr>
      <w:r w:rsidRPr="00071F81">
        <w:t>For a full description of odds ratios, interpretation and strength of association</w:t>
      </w:r>
      <w:r>
        <w:t>,</w:t>
      </w:r>
      <w:r w:rsidRPr="00071F81">
        <w:t xml:space="preserve"> please refer to Table B.1 </w:t>
      </w:r>
      <w:r w:rsidRPr="00BB1B84">
        <w:t xml:space="preserve">in </w:t>
      </w:r>
      <w:r w:rsidR="00374073">
        <w:t>Annex </w:t>
      </w:r>
      <w:r>
        <w:t>B, Odds ratio table.</w:t>
      </w:r>
    </w:p>
    <w:p w14:paraId="1DA5AD35" w14:textId="2EB846EE" w:rsidR="00783F0D" w:rsidRDefault="00783F0D" w:rsidP="00783F0D">
      <w:pPr>
        <w:pStyle w:val="FigureName"/>
      </w:pPr>
      <w:bookmarkStart w:id="570" w:name="_Ref517353208"/>
      <w:bookmarkStart w:id="571" w:name="_Toc509922951"/>
      <w:bookmarkStart w:id="572" w:name="_Toc515374725"/>
      <w:bookmarkStart w:id="573" w:name="_Ref517353166"/>
      <w:bookmarkStart w:id="574" w:name="_Toc528932409"/>
      <w:bookmarkStart w:id="575" w:name="_Toc531858089"/>
      <w:r>
        <w:t xml:space="preserve">Figure </w:t>
      </w:r>
      <w:r>
        <w:rPr>
          <w:noProof/>
        </w:rPr>
        <w:t>5</w:t>
      </w:r>
      <w:r>
        <w:t>.</w:t>
      </w:r>
      <w:r>
        <w:rPr>
          <w:noProof/>
        </w:rPr>
        <w:t>7</w:t>
      </w:r>
      <w:bookmarkEnd w:id="570"/>
      <w:r>
        <w:tab/>
      </w:r>
      <w:r w:rsidRPr="00B33E9C">
        <w:t>The ways in which emerging technologies are used to improve health and wellbeing</w:t>
      </w:r>
      <w:r w:rsidRPr="00F65B2B" w:rsidDel="00E11AB1">
        <w:t xml:space="preserve"> </w:t>
      </w:r>
      <w:r w:rsidRPr="00B33E9C">
        <w:t>among Transitioned ADF and 2015 Regular ADF</w:t>
      </w:r>
      <w:bookmarkEnd w:id="571"/>
      <w:bookmarkEnd w:id="572"/>
      <w:bookmarkEnd w:id="573"/>
      <w:bookmarkEnd w:id="574"/>
      <w:bookmarkEnd w:id="575"/>
    </w:p>
    <w:p w14:paraId="77F29A80" w14:textId="77777777" w:rsidR="00783F0D" w:rsidRPr="00EB155C" w:rsidRDefault="00EB155C" w:rsidP="00EB155C">
      <w:pPr>
        <w:spacing w:after="360"/>
      </w:pPr>
      <w:r w:rsidRPr="004D2129">
        <w:rPr>
          <w:noProof/>
          <w:lang w:eastAsia="en-AU"/>
        </w:rPr>
        <w:drawing>
          <wp:inline distT="0" distB="0" distL="0" distR="0" wp14:anchorId="1772258B" wp14:editId="63C0EF14">
            <wp:extent cx="4572000" cy="2308516"/>
            <wp:effectExtent l="0" t="0" r="0" b="0"/>
            <wp:docPr id="481" name="Picture 481" descr="Figure 5.7 The ways in which emerging technologies are used to improve health and wellbeing among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HOW_USED_IMPROVE_NEW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000" cy="2308516"/>
                    </a:xfrm>
                    <a:prstGeom prst="rect">
                      <a:avLst/>
                    </a:prstGeom>
                    <a:noFill/>
                    <a:ln>
                      <a:noFill/>
                    </a:ln>
                  </pic:spPr>
                </pic:pic>
              </a:graphicData>
            </a:graphic>
          </wp:inline>
        </w:drawing>
      </w:r>
    </w:p>
    <w:p w14:paraId="311E0EF2" w14:textId="77777777" w:rsidR="00783F0D" w:rsidRPr="00071F81" w:rsidRDefault="00783F0D" w:rsidP="00783F0D">
      <w:pPr>
        <w:pStyle w:val="Heading3"/>
        <w:numPr>
          <w:ilvl w:val="2"/>
          <w:numId w:val="1"/>
        </w:numPr>
      </w:pPr>
      <w:bookmarkStart w:id="576" w:name="_Toc509917442"/>
      <w:bookmarkStart w:id="577" w:name="_Toc515374484"/>
      <w:bookmarkStart w:id="578" w:name="_Toc518566382"/>
      <w:bookmarkStart w:id="579" w:name="_Toc528932675"/>
      <w:bookmarkStart w:id="580" w:name="_Toc531859212"/>
      <w:r w:rsidRPr="00071F81">
        <w:t>Other reasons for using new and emerging technologies</w:t>
      </w:r>
      <w:bookmarkEnd w:id="576"/>
      <w:bookmarkEnd w:id="577"/>
      <w:r w:rsidRPr="00071F81">
        <w:t xml:space="preserve"> if they are not being used to improve health and wellbeing</w:t>
      </w:r>
      <w:bookmarkEnd w:id="578"/>
      <w:bookmarkEnd w:id="579"/>
      <w:bookmarkEnd w:id="580"/>
    </w:p>
    <w:p w14:paraId="693029DC" w14:textId="77777777" w:rsidR="00783F0D" w:rsidRPr="00E26506" w:rsidRDefault="00783F0D" w:rsidP="00783F0D">
      <w:r w:rsidRPr="00E26506">
        <w:t xml:space="preserve">Among those who did not report using new or emerging technologies to improve their health and wellbeing, the three most commonly reported reasons </w:t>
      </w:r>
      <w:r>
        <w:t xml:space="preserve">for using emerging technologies </w:t>
      </w:r>
      <w:r w:rsidRPr="00E26506">
        <w:t xml:space="preserve">were for </w:t>
      </w:r>
      <w:r>
        <w:t>‘</w:t>
      </w:r>
      <w:r w:rsidRPr="00E26506">
        <w:t>fun or recreation</w:t>
      </w:r>
      <w:r>
        <w:t>’</w:t>
      </w:r>
      <w:r w:rsidRPr="00E26506">
        <w:t xml:space="preserve"> (73.4% Transitioned ADF, 84.2% 2015 Regular ADF), for </w:t>
      </w:r>
      <w:r>
        <w:t>‘</w:t>
      </w:r>
      <w:r w:rsidRPr="00E26506">
        <w:t>study or work</w:t>
      </w:r>
      <w:r>
        <w:t>’</w:t>
      </w:r>
      <w:r w:rsidRPr="00E26506">
        <w:t xml:space="preserve"> (51.7% Transitioned ADF, 38.1% 2015 Regular ADF) and to </w:t>
      </w:r>
      <w:r>
        <w:t>‘</w:t>
      </w:r>
      <w:r w:rsidRPr="00E26506">
        <w:t>enhance social interaction</w:t>
      </w:r>
      <w:r>
        <w:t>’</w:t>
      </w:r>
      <w:r w:rsidRPr="00E26506">
        <w:t xml:space="preserve"> (29.5% Transitioned ADF, 30.4% 2015 Regular ADF)</w:t>
      </w:r>
      <w:r>
        <w:t xml:space="preserve"> (</w:t>
      </w:r>
      <w:r w:rsidRPr="00E67FD0">
        <w:t>Table</w:t>
      </w:r>
      <w:r w:rsidR="00EB155C">
        <w:t> </w:t>
      </w:r>
      <w:r>
        <w:rPr>
          <w:noProof/>
        </w:rPr>
        <w:t>5</w:t>
      </w:r>
      <w:r>
        <w:t>.</w:t>
      </w:r>
      <w:r>
        <w:rPr>
          <w:noProof/>
        </w:rPr>
        <w:t>8</w:t>
      </w:r>
      <w:r>
        <w:t xml:space="preserve"> and </w:t>
      </w:r>
      <w:r w:rsidRPr="00071F81">
        <w:t xml:space="preserve">Figure </w:t>
      </w:r>
      <w:r>
        <w:rPr>
          <w:noProof/>
        </w:rPr>
        <w:t>5</w:t>
      </w:r>
      <w:r>
        <w:t>.</w:t>
      </w:r>
      <w:r>
        <w:rPr>
          <w:noProof/>
        </w:rPr>
        <w:t>8</w:t>
      </w:r>
      <w:r>
        <w:t>)</w:t>
      </w:r>
      <w:r w:rsidRPr="00E26506">
        <w:t xml:space="preserve">. </w:t>
      </w:r>
    </w:p>
    <w:p w14:paraId="77C2D5DA" w14:textId="77777777" w:rsidR="00783F0D" w:rsidRDefault="00783F0D" w:rsidP="00783F0D">
      <w:pPr>
        <w:rPr>
          <w:rFonts w:eastAsia="Times New Roman"/>
          <w:lang w:eastAsia="en-AU"/>
        </w:rPr>
      </w:pPr>
      <w:r>
        <w:t>Among</w:t>
      </w:r>
      <w:r w:rsidRPr="00E26506">
        <w:rPr>
          <w:rFonts w:eastAsia="SimSun"/>
          <w:szCs w:val="22"/>
        </w:rPr>
        <w:t xml:space="preserve"> those who used emerging technologies for reasons other than to improve their health and wellbeing, Transitioned ADF were </w:t>
      </w:r>
      <w:r>
        <w:rPr>
          <w:rFonts w:eastAsia="SimSun"/>
          <w:szCs w:val="22"/>
        </w:rPr>
        <w:t xml:space="preserve">significantly more </w:t>
      </w:r>
      <w:r w:rsidRPr="00E26506">
        <w:rPr>
          <w:rFonts w:eastAsia="SimSun"/>
          <w:szCs w:val="22"/>
        </w:rPr>
        <w:t xml:space="preserve">likely to use them for </w:t>
      </w:r>
      <w:r>
        <w:rPr>
          <w:rFonts w:eastAsia="SimSun"/>
          <w:szCs w:val="22"/>
        </w:rPr>
        <w:t>‘</w:t>
      </w:r>
      <w:r w:rsidRPr="00E26506">
        <w:rPr>
          <w:rFonts w:eastAsia="SimSun"/>
          <w:szCs w:val="22"/>
        </w:rPr>
        <w:t>study or</w:t>
      </w:r>
      <w:r>
        <w:rPr>
          <w:rFonts w:eastAsia="SimSun"/>
          <w:szCs w:val="22"/>
        </w:rPr>
        <w:t xml:space="preserve"> work’</w:t>
      </w:r>
      <w:r w:rsidRPr="00E26506">
        <w:rPr>
          <w:rFonts w:eastAsia="SimSun"/>
          <w:szCs w:val="22"/>
        </w:rPr>
        <w:t xml:space="preserve"> (OR 1.9, 95% CI 1.1, 3.1) than the 2015 Regular ADF, which was a moderate association</w:t>
      </w:r>
      <w:r w:rsidRPr="00E26506">
        <w:rPr>
          <w:rFonts w:eastAsia="Times New Roman"/>
          <w:lang w:eastAsia="en-AU"/>
        </w:rPr>
        <w:t>.</w:t>
      </w:r>
    </w:p>
    <w:p w14:paraId="089312D8" w14:textId="77777777" w:rsidR="00783F0D" w:rsidRDefault="00783F0D" w:rsidP="00783F0D">
      <w:pPr>
        <w:pStyle w:val="TableName"/>
        <w:rPr>
          <w:lang w:eastAsia="en-AU"/>
        </w:rPr>
      </w:pPr>
      <w:bookmarkStart w:id="581" w:name="_Ref508181551"/>
      <w:bookmarkStart w:id="582" w:name="_Toc509922878"/>
      <w:bookmarkStart w:id="583" w:name="_Toc515374653"/>
      <w:bookmarkStart w:id="584" w:name="_Toc528932329"/>
      <w:bookmarkStart w:id="585" w:name="_Toc531858008"/>
      <w:r w:rsidRPr="00E67FD0">
        <w:t xml:space="preserve">Table </w:t>
      </w:r>
      <w:r>
        <w:rPr>
          <w:noProof/>
        </w:rPr>
        <w:t>5</w:t>
      </w:r>
      <w:r>
        <w:t>.</w:t>
      </w:r>
      <w:r>
        <w:rPr>
          <w:noProof/>
        </w:rPr>
        <w:t>8</w:t>
      </w:r>
      <w:bookmarkEnd w:id="581"/>
      <w:r>
        <w:tab/>
      </w:r>
      <w:r w:rsidRPr="00E26506">
        <w:t>Other reasons for using new and emerging technologies among Transitioned ADF and 2015 Regular ADF, among those who currently use</w:t>
      </w:r>
      <w:r>
        <w:t>d</w:t>
      </w:r>
      <w:r w:rsidRPr="00E26506">
        <w:t xml:space="preserve"> </w:t>
      </w:r>
      <w:r>
        <w:t>emerging</w:t>
      </w:r>
      <w:r w:rsidRPr="00E26506">
        <w:t xml:space="preserve"> technologies, but not for health and wellbeing</w:t>
      </w:r>
      <w:bookmarkEnd w:id="582"/>
      <w:bookmarkEnd w:id="583"/>
      <w:bookmarkEnd w:id="584"/>
      <w:bookmarkEnd w:id="585"/>
    </w:p>
    <w:tbl>
      <w:tblPr>
        <w:tblStyle w:val="TWRPTable"/>
        <w:tblW w:w="5000" w:type="pct"/>
        <w:tblLayout w:type="fixed"/>
        <w:tblLook w:val="0000" w:firstRow="0" w:lastRow="0" w:firstColumn="0" w:lastColumn="0" w:noHBand="0" w:noVBand="0"/>
        <w:tblDescription w:val="Table 5.8 Other reasons for using new and emerging technologies among Transitioned ADF and 2015 Regular ADF, among those who currently used emerging technologies, but not for health and wellbeing"/>
      </w:tblPr>
      <w:tblGrid>
        <w:gridCol w:w="2004"/>
        <w:gridCol w:w="618"/>
        <w:gridCol w:w="793"/>
        <w:gridCol w:w="1131"/>
        <w:gridCol w:w="629"/>
        <w:gridCol w:w="793"/>
        <w:gridCol w:w="1121"/>
      </w:tblGrid>
      <w:tr w:rsidR="00EB155C" w:rsidRPr="00312860" w14:paraId="577321FB" w14:textId="77777777" w:rsidTr="00A7285A">
        <w:trPr>
          <w:cantSplit/>
          <w:tblHeader/>
        </w:trPr>
        <w:tc>
          <w:tcPr>
            <w:tcW w:w="2060" w:type="dxa"/>
            <w:vMerge w:val="restart"/>
            <w:tcBorders>
              <w:top w:val="single" w:sz="4" w:space="0" w:color="000000"/>
              <w:bottom w:val="single" w:sz="4" w:space="0" w:color="000000"/>
            </w:tcBorders>
            <w:vAlign w:val="bottom"/>
          </w:tcPr>
          <w:p w14:paraId="0D46ABAF" w14:textId="77777777" w:rsidR="00EB155C" w:rsidRPr="00071F81" w:rsidRDefault="00EB155C" w:rsidP="00A7285A">
            <w:pPr>
              <w:pStyle w:val="TableText"/>
              <w:rPr>
                <w:b/>
              </w:rPr>
            </w:pPr>
            <w:r w:rsidRPr="00071F81">
              <w:rPr>
                <w:b/>
              </w:rPr>
              <w:t>Reasons for using new and emerging technologies if not to improve health and wellbeing</w:t>
            </w:r>
          </w:p>
        </w:tc>
        <w:tc>
          <w:tcPr>
            <w:tcW w:w="2599" w:type="dxa"/>
            <w:gridSpan w:val="3"/>
            <w:tcBorders>
              <w:top w:val="single" w:sz="4" w:space="0" w:color="000000"/>
              <w:bottom w:val="single" w:sz="4" w:space="0" w:color="000000"/>
            </w:tcBorders>
          </w:tcPr>
          <w:p w14:paraId="6B35096D" w14:textId="77777777" w:rsidR="00EB155C" w:rsidRPr="00071F81" w:rsidRDefault="00EB155C" w:rsidP="00EB155C">
            <w:pPr>
              <w:pStyle w:val="TableText"/>
              <w:jc w:val="center"/>
              <w:rPr>
                <w:b/>
              </w:rPr>
            </w:pPr>
            <w:r w:rsidRPr="00071F81">
              <w:rPr>
                <w:b/>
              </w:rPr>
              <w:t>Transitioned ADF</w:t>
            </w:r>
            <w:r>
              <w:rPr>
                <w:b/>
              </w:rPr>
              <w:br/>
            </w:r>
            <w:r w:rsidRPr="00071F81">
              <w:rPr>
                <w:b/>
              </w:rPr>
              <w:t>n=5749</w:t>
            </w:r>
          </w:p>
        </w:tc>
        <w:tc>
          <w:tcPr>
            <w:tcW w:w="2600" w:type="dxa"/>
            <w:gridSpan w:val="3"/>
            <w:tcBorders>
              <w:top w:val="single" w:sz="4" w:space="0" w:color="000000"/>
              <w:bottom w:val="single" w:sz="4" w:space="0" w:color="000000"/>
            </w:tcBorders>
          </w:tcPr>
          <w:p w14:paraId="6CB784EB" w14:textId="77777777" w:rsidR="00EB155C" w:rsidRPr="00071F81" w:rsidRDefault="00EB155C" w:rsidP="00EB155C">
            <w:pPr>
              <w:pStyle w:val="TableText"/>
              <w:jc w:val="center"/>
              <w:rPr>
                <w:b/>
              </w:rPr>
            </w:pPr>
            <w:r w:rsidRPr="00071F81">
              <w:rPr>
                <w:b/>
              </w:rPr>
              <w:t>2015 Regular ADF</w:t>
            </w:r>
            <w:r>
              <w:rPr>
                <w:b/>
              </w:rPr>
              <w:br/>
            </w:r>
            <w:r w:rsidRPr="00071F81">
              <w:rPr>
                <w:b/>
              </w:rPr>
              <w:t>n=11,925</w:t>
            </w:r>
          </w:p>
        </w:tc>
      </w:tr>
      <w:tr w:rsidR="00EB155C" w:rsidRPr="00312860" w14:paraId="3AC1807D" w14:textId="77777777" w:rsidTr="00040E45">
        <w:trPr>
          <w:cantSplit/>
          <w:tblHeader/>
        </w:trPr>
        <w:tc>
          <w:tcPr>
            <w:tcW w:w="2060" w:type="dxa"/>
            <w:vMerge/>
            <w:tcBorders>
              <w:top w:val="single" w:sz="4" w:space="0" w:color="000000"/>
              <w:bottom w:val="single" w:sz="4" w:space="0" w:color="000000"/>
            </w:tcBorders>
          </w:tcPr>
          <w:p w14:paraId="76EB88B3" w14:textId="77777777" w:rsidR="00EB155C" w:rsidRPr="00071F81" w:rsidRDefault="00EB155C" w:rsidP="00EB155C">
            <w:pPr>
              <w:pStyle w:val="TableText"/>
              <w:rPr>
                <w:b/>
              </w:rPr>
            </w:pPr>
          </w:p>
        </w:tc>
        <w:tc>
          <w:tcPr>
            <w:tcW w:w="630" w:type="dxa"/>
            <w:tcBorders>
              <w:top w:val="single" w:sz="4" w:space="0" w:color="000000"/>
              <w:bottom w:val="single" w:sz="4" w:space="0" w:color="000000"/>
            </w:tcBorders>
            <w:vAlign w:val="bottom"/>
          </w:tcPr>
          <w:p w14:paraId="44E83828" w14:textId="77777777" w:rsidR="00EB155C" w:rsidRPr="00071F81" w:rsidRDefault="00EB155C" w:rsidP="00040E45">
            <w:pPr>
              <w:pStyle w:val="TableText"/>
              <w:jc w:val="right"/>
              <w:rPr>
                <w:b/>
              </w:rPr>
            </w:pPr>
            <w:r w:rsidRPr="00071F81">
              <w:rPr>
                <w:b/>
              </w:rPr>
              <w:t>n</w:t>
            </w:r>
          </w:p>
        </w:tc>
        <w:tc>
          <w:tcPr>
            <w:tcW w:w="810" w:type="dxa"/>
            <w:tcBorders>
              <w:top w:val="single" w:sz="4" w:space="0" w:color="000000"/>
              <w:bottom w:val="single" w:sz="4" w:space="0" w:color="000000"/>
            </w:tcBorders>
            <w:vAlign w:val="bottom"/>
          </w:tcPr>
          <w:p w14:paraId="1BBF3D8F" w14:textId="77777777" w:rsidR="00EB155C" w:rsidRPr="00071F81" w:rsidRDefault="00EB155C" w:rsidP="00040E45">
            <w:pPr>
              <w:pStyle w:val="TableText"/>
              <w:jc w:val="right"/>
              <w:rPr>
                <w:b/>
              </w:rPr>
            </w:pPr>
            <w:r w:rsidRPr="00071F81">
              <w:rPr>
                <w:b/>
              </w:rPr>
              <w:t>Weighted n</w:t>
            </w:r>
          </w:p>
        </w:tc>
        <w:tc>
          <w:tcPr>
            <w:tcW w:w="1159" w:type="dxa"/>
            <w:tcBorders>
              <w:top w:val="single" w:sz="4" w:space="0" w:color="000000"/>
              <w:bottom w:val="single" w:sz="4" w:space="0" w:color="000000"/>
            </w:tcBorders>
            <w:vAlign w:val="bottom"/>
          </w:tcPr>
          <w:p w14:paraId="12A9676D" w14:textId="77777777" w:rsidR="00EB155C" w:rsidRPr="00071F81" w:rsidRDefault="00EB155C" w:rsidP="00040E45">
            <w:pPr>
              <w:pStyle w:val="TableText"/>
              <w:jc w:val="right"/>
              <w:rPr>
                <w:b/>
              </w:rPr>
            </w:pPr>
            <w:r w:rsidRPr="00071F81">
              <w:rPr>
                <w:b/>
              </w:rPr>
              <w:t>% (95%CI)</w:t>
            </w:r>
          </w:p>
        </w:tc>
        <w:tc>
          <w:tcPr>
            <w:tcW w:w="641" w:type="dxa"/>
            <w:tcBorders>
              <w:top w:val="single" w:sz="4" w:space="0" w:color="000000"/>
              <w:bottom w:val="single" w:sz="4" w:space="0" w:color="000000"/>
            </w:tcBorders>
            <w:vAlign w:val="bottom"/>
          </w:tcPr>
          <w:p w14:paraId="07F17739" w14:textId="77777777" w:rsidR="00EB155C" w:rsidRPr="00071F81" w:rsidRDefault="00EB155C" w:rsidP="00040E45">
            <w:pPr>
              <w:pStyle w:val="TableText"/>
              <w:jc w:val="right"/>
              <w:rPr>
                <w:b/>
              </w:rPr>
            </w:pPr>
            <w:r w:rsidRPr="00071F81">
              <w:rPr>
                <w:b/>
              </w:rPr>
              <w:t>n</w:t>
            </w:r>
          </w:p>
        </w:tc>
        <w:tc>
          <w:tcPr>
            <w:tcW w:w="810" w:type="dxa"/>
            <w:tcBorders>
              <w:top w:val="single" w:sz="4" w:space="0" w:color="000000"/>
              <w:bottom w:val="single" w:sz="4" w:space="0" w:color="000000"/>
            </w:tcBorders>
            <w:vAlign w:val="bottom"/>
          </w:tcPr>
          <w:p w14:paraId="55778924" w14:textId="77777777" w:rsidR="00EB155C" w:rsidRPr="00071F81" w:rsidRDefault="00EB155C" w:rsidP="00040E45">
            <w:pPr>
              <w:pStyle w:val="TableText"/>
              <w:jc w:val="right"/>
              <w:rPr>
                <w:b/>
              </w:rPr>
            </w:pPr>
            <w:r w:rsidRPr="00071F81">
              <w:rPr>
                <w:b/>
              </w:rPr>
              <w:t>Weighted n</w:t>
            </w:r>
          </w:p>
        </w:tc>
        <w:tc>
          <w:tcPr>
            <w:tcW w:w="1149" w:type="dxa"/>
            <w:tcBorders>
              <w:top w:val="single" w:sz="4" w:space="0" w:color="000000"/>
              <w:bottom w:val="single" w:sz="4" w:space="0" w:color="000000"/>
            </w:tcBorders>
            <w:vAlign w:val="bottom"/>
          </w:tcPr>
          <w:p w14:paraId="65D51633" w14:textId="77777777" w:rsidR="00EB155C" w:rsidRPr="00071F81" w:rsidRDefault="00EB155C" w:rsidP="00040E45">
            <w:pPr>
              <w:pStyle w:val="TableText"/>
              <w:jc w:val="right"/>
              <w:rPr>
                <w:b/>
              </w:rPr>
            </w:pPr>
            <w:r w:rsidRPr="00071F81">
              <w:rPr>
                <w:b/>
              </w:rPr>
              <w:t>% (95%CI)</w:t>
            </w:r>
          </w:p>
        </w:tc>
      </w:tr>
      <w:tr w:rsidR="00783F0D" w:rsidRPr="00312860" w14:paraId="7D4CAA6B"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060" w:type="dxa"/>
            <w:tcBorders>
              <w:top w:val="single" w:sz="4" w:space="0" w:color="000000"/>
            </w:tcBorders>
          </w:tcPr>
          <w:p w14:paraId="2C6B0CB5" w14:textId="77777777" w:rsidR="00783F0D" w:rsidRPr="00071F81" w:rsidRDefault="00783F0D" w:rsidP="00EB155C">
            <w:pPr>
              <w:pStyle w:val="TableText"/>
            </w:pPr>
            <w:r w:rsidRPr="00071F81">
              <w:t>Enhance social interaction</w:t>
            </w:r>
          </w:p>
        </w:tc>
        <w:tc>
          <w:tcPr>
            <w:tcW w:w="630" w:type="dxa"/>
            <w:tcBorders>
              <w:top w:val="single" w:sz="4" w:space="0" w:color="000000"/>
            </w:tcBorders>
          </w:tcPr>
          <w:p w14:paraId="21D358AB" w14:textId="77777777" w:rsidR="00783F0D" w:rsidRPr="00071F81" w:rsidRDefault="00783F0D" w:rsidP="00EB155C">
            <w:pPr>
              <w:pStyle w:val="TableText"/>
              <w:jc w:val="right"/>
            </w:pPr>
            <w:r w:rsidRPr="00071F81">
              <w:t>223</w:t>
            </w:r>
          </w:p>
        </w:tc>
        <w:tc>
          <w:tcPr>
            <w:tcW w:w="810" w:type="dxa"/>
            <w:tcBorders>
              <w:top w:val="single" w:sz="4" w:space="0" w:color="000000"/>
            </w:tcBorders>
          </w:tcPr>
          <w:p w14:paraId="43FD5497" w14:textId="77777777" w:rsidR="00783F0D" w:rsidRPr="00071F81" w:rsidRDefault="00783F0D" w:rsidP="00EB155C">
            <w:pPr>
              <w:pStyle w:val="TableText"/>
              <w:jc w:val="right"/>
            </w:pPr>
            <w:r w:rsidRPr="00071F81">
              <w:t>1694</w:t>
            </w:r>
          </w:p>
        </w:tc>
        <w:tc>
          <w:tcPr>
            <w:tcW w:w="1159" w:type="dxa"/>
            <w:tcBorders>
              <w:top w:val="single" w:sz="4" w:space="0" w:color="000000"/>
            </w:tcBorders>
          </w:tcPr>
          <w:p w14:paraId="68A2EEBC" w14:textId="77777777" w:rsidR="00783F0D" w:rsidRPr="00071F81" w:rsidRDefault="00783F0D" w:rsidP="00EB155C">
            <w:pPr>
              <w:pStyle w:val="TableText"/>
              <w:jc w:val="right"/>
            </w:pPr>
            <w:r w:rsidRPr="00071F81">
              <w:t>29.5 (25.5,</w:t>
            </w:r>
            <w:r>
              <w:t xml:space="preserve"> </w:t>
            </w:r>
            <w:r w:rsidRPr="00071F81">
              <w:t>33.7)</w:t>
            </w:r>
          </w:p>
        </w:tc>
        <w:tc>
          <w:tcPr>
            <w:tcW w:w="641" w:type="dxa"/>
            <w:tcBorders>
              <w:top w:val="single" w:sz="4" w:space="0" w:color="000000"/>
            </w:tcBorders>
          </w:tcPr>
          <w:p w14:paraId="4DAD7FE2" w14:textId="77777777" w:rsidR="00783F0D" w:rsidRPr="00071F81" w:rsidRDefault="00783F0D" w:rsidP="00EB155C">
            <w:pPr>
              <w:pStyle w:val="TableText"/>
              <w:jc w:val="right"/>
            </w:pPr>
            <w:r w:rsidRPr="00071F81">
              <w:t>504</w:t>
            </w:r>
          </w:p>
        </w:tc>
        <w:tc>
          <w:tcPr>
            <w:tcW w:w="810" w:type="dxa"/>
            <w:tcBorders>
              <w:top w:val="single" w:sz="4" w:space="0" w:color="000000"/>
            </w:tcBorders>
          </w:tcPr>
          <w:p w14:paraId="140FD5EC" w14:textId="77777777" w:rsidR="00783F0D" w:rsidRPr="00071F81" w:rsidRDefault="00783F0D" w:rsidP="00EB155C">
            <w:pPr>
              <w:pStyle w:val="TableText"/>
              <w:jc w:val="right"/>
            </w:pPr>
            <w:r w:rsidRPr="00071F81">
              <w:t>3623</w:t>
            </w:r>
          </w:p>
        </w:tc>
        <w:tc>
          <w:tcPr>
            <w:tcW w:w="1149" w:type="dxa"/>
            <w:tcBorders>
              <w:top w:val="single" w:sz="4" w:space="0" w:color="000000"/>
            </w:tcBorders>
          </w:tcPr>
          <w:p w14:paraId="3E8E89E3" w14:textId="77777777" w:rsidR="00783F0D" w:rsidRPr="00071F81" w:rsidRDefault="00783F0D" w:rsidP="00EB155C">
            <w:pPr>
              <w:pStyle w:val="TableText"/>
              <w:jc w:val="right"/>
            </w:pPr>
            <w:r w:rsidRPr="00071F81">
              <w:t>30.4 (22.8,</w:t>
            </w:r>
            <w:r>
              <w:t xml:space="preserve"> </w:t>
            </w:r>
            <w:r w:rsidRPr="00071F81">
              <w:t>39.3)</w:t>
            </w:r>
          </w:p>
        </w:tc>
      </w:tr>
      <w:tr w:rsidR="00783F0D" w:rsidRPr="00312860" w14:paraId="1C25E281" w14:textId="77777777" w:rsidTr="00A7285A">
        <w:trPr>
          <w:cantSplit/>
        </w:trPr>
        <w:tc>
          <w:tcPr>
            <w:tcW w:w="2060" w:type="dxa"/>
          </w:tcPr>
          <w:p w14:paraId="0132CCBA" w14:textId="77777777" w:rsidR="00783F0D" w:rsidRPr="00071F81" w:rsidRDefault="00783F0D" w:rsidP="00EB155C">
            <w:pPr>
              <w:pStyle w:val="TableText"/>
            </w:pPr>
            <w:r w:rsidRPr="00071F81">
              <w:t>Fun or recreation</w:t>
            </w:r>
          </w:p>
        </w:tc>
        <w:tc>
          <w:tcPr>
            <w:tcW w:w="630" w:type="dxa"/>
          </w:tcPr>
          <w:p w14:paraId="14E4A6CF" w14:textId="77777777" w:rsidR="00783F0D" w:rsidRPr="00071F81" w:rsidRDefault="00783F0D" w:rsidP="00EB155C">
            <w:pPr>
              <w:pStyle w:val="TableText"/>
              <w:jc w:val="right"/>
            </w:pPr>
            <w:r w:rsidRPr="00071F81">
              <w:t>579</w:t>
            </w:r>
          </w:p>
        </w:tc>
        <w:tc>
          <w:tcPr>
            <w:tcW w:w="810" w:type="dxa"/>
          </w:tcPr>
          <w:p w14:paraId="22DFFF43" w14:textId="77777777" w:rsidR="00783F0D" w:rsidRPr="00071F81" w:rsidRDefault="00783F0D" w:rsidP="00EB155C">
            <w:pPr>
              <w:pStyle w:val="TableText"/>
              <w:jc w:val="right"/>
            </w:pPr>
            <w:r w:rsidRPr="00071F81">
              <w:t>4221</w:t>
            </w:r>
          </w:p>
        </w:tc>
        <w:tc>
          <w:tcPr>
            <w:tcW w:w="1159" w:type="dxa"/>
          </w:tcPr>
          <w:p w14:paraId="065064D4" w14:textId="77777777" w:rsidR="00783F0D" w:rsidRPr="00071F81" w:rsidRDefault="00783F0D" w:rsidP="00EB155C">
            <w:pPr>
              <w:pStyle w:val="TableText"/>
              <w:jc w:val="right"/>
            </w:pPr>
            <w:r w:rsidRPr="00071F81">
              <w:t>73.4 (69.5,</w:t>
            </w:r>
            <w:r>
              <w:t xml:space="preserve"> </w:t>
            </w:r>
            <w:r w:rsidRPr="00071F81">
              <w:t>77.0)</w:t>
            </w:r>
          </w:p>
        </w:tc>
        <w:tc>
          <w:tcPr>
            <w:tcW w:w="641" w:type="dxa"/>
          </w:tcPr>
          <w:p w14:paraId="5538CCAD" w14:textId="77777777" w:rsidR="00783F0D" w:rsidRPr="00071F81" w:rsidRDefault="00783F0D" w:rsidP="00EB155C">
            <w:pPr>
              <w:pStyle w:val="TableText"/>
              <w:jc w:val="right"/>
            </w:pPr>
            <w:r w:rsidRPr="00071F81">
              <w:t>1371</w:t>
            </w:r>
          </w:p>
        </w:tc>
        <w:tc>
          <w:tcPr>
            <w:tcW w:w="810" w:type="dxa"/>
          </w:tcPr>
          <w:p w14:paraId="7F10FF1E" w14:textId="77777777" w:rsidR="00783F0D" w:rsidRPr="00071F81" w:rsidRDefault="00783F0D" w:rsidP="00EB155C">
            <w:pPr>
              <w:pStyle w:val="TableText"/>
              <w:jc w:val="right"/>
            </w:pPr>
            <w:r w:rsidRPr="00071F81">
              <w:t>10</w:t>
            </w:r>
            <w:r>
              <w:t>,</w:t>
            </w:r>
            <w:r w:rsidRPr="00071F81">
              <w:t>041</w:t>
            </w:r>
          </w:p>
        </w:tc>
        <w:tc>
          <w:tcPr>
            <w:tcW w:w="1149" w:type="dxa"/>
          </w:tcPr>
          <w:p w14:paraId="4A182A91" w14:textId="77777777" w:rsidR="00783F0D" w:rsidRPr="00071F81" w:rsidRDefault="00783F0D" w:rsidP="00EB155C">
            <w:pPr>
              <w:pStyle w:val="TableText"/>
              <w:jc w:val="right"/>
            </w:pPr>
            <w:r w:rsidRPr="00071F81">
              <w:t>84.2 (77.6,</w:t>
            </w:r>
            <w:r>
              <w:t xml:space="preserve"> </w:t>
            </w:r>
            <w:r w:rsidRPr="00071F81">
              <w:t>89.1)</w:t>
            </w:r>
          </w:p>
        </w:tc>
      </w:tr>
      <w:tr w:rsidR="00783F0D" w:rsidRPr="00312860" w14:paraId="7E2C7A87"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060" w:type="dxa"/>
          </w:tcPr>
          <w:p w14:paraId="746F42EE" w14:textId="77777777" w:rsidR="00783F0D" w:rsidRPr="00071F81" w:rsidRDefault="00783F0D" w:rsidP="00EB155C">
            <w:pPr>
              <w:pStyle w:val="TableText"/>
            </w:pPr>
            <w:r w:rsidRPr="00071F81">
              <w:t>Study or work</w:t>
            </w:r>
          </w:p>
        </w:tc>
        <w:tc>
          <w:tcPr>
            <w:tcW w:w="630" w:type="dxa"/>
          </w:tcPr>
          <w:p w14:paraId="6B679D05" w14:textId="77777777" w:rsidR="00783F0D" w:rsidRPr="00071F81" w:rsidRDefault="00783F0D" w:rsidP="00EB155C">
            <w:pPr>
              <w:pStyle w:val="TableText"/>
              <w:jc w:val="right"/>
            </w:pPr>
            <w:r w:rsidRPr="00071F81">
              <w:t>396</w:t>
            </w:r>
          </w:p>
        </w:tc>
        <w:tc>
          <w:tcPr>
            <w:tcW w:w="810" w:type="dxa"/>
          </w:tcPr>
          <w:p w14:paraId="00FFACB3" w14:textId="77777777" w:rsidR="00783F0D" w:rsidRPr="00071F81" w:rsidRDefault="00783F0D" w:rsidP="00EB155C">
            <w:pPr>
              <w:pStyle w:val="TableText"/>
              <w:jc w:val="right"/>
            </w:pPr>
            <w:r w:rsidRPr="00071F81">
              <w:t>2974</w:t>
            </w:r>
          </w:p>
        </w:tc>
        <w:tc>
          <w:tcPr>
            <w:tcW w:w="1159" w:type="dxa"/>
          </w:tcPr>
          <w:p w14:paraId="6B910772" w14:textId="77777777" w:rsidR="00783F0D" w:rsidRPr="00071F81" w:rsidRDefault="00783F0D" w:rsidP="00EB155C">
            <w:pPr>
              <w:pStyle w:val="TableText"/>
              <w:jc w:val="right"/>
            </w:pPr>
            <w:r w:rsidRPr="00071F81">
              <w:t>51.7 (47.3,</w:t>
            </w:r>
            <w:r>
              <w:t xml:space="preserve"> </w:t>
            </w:r>
            <w:r w:rsidRPr="00071F81">
              <w:t>56.1)</w:t>
            </w:r>
          </w:p>
        </w:tc>
        <w:tc>
          <w:tcPr>
            <w:tcW w:w="641" w:type="dxa"/>
          </w:tcPr>
          <w:p w14:paraId="35D79800" w14:textId="77777777" w:rsidR="00783F0D" w:rsidRPr="00071F81" w:rsidRDefault="00783F0D" w:rsidP="00EB155C">
            <w:pPr>
              <w:pStyle w:val="TableText"/>
              <w:jc w:val="right"/>
            </w:pPr>
            <w:r w:rsidRPr="00071F81">
              <w:t>716</w:t>
            </w:r>
          </w:p>
        </w:tc>
        <w:tc>
          <w:tcPr>
            <w:tcW w:w="810" w:type="dxa"/>
          </w:tcPr>
          <w:p w14:paraId="2AEF197C" w14:textId="77777777" w:rsidR="00783F0D" w:rsidRPr="00071F81" w:rsidRDefault="00783F0D" w:rsidP="00EB155C">
            <w:pPr>
              <w:pStyle w:val="TableText"/>
              <w:jc w:val="right"/>
            </w:pPr>
            <w:r w:rsidRPr="00071F81">
              <w:t>4538</w:t>
            </w:r>
          </w:p>
        </w:tc>
        <w:tc>
          <w:tcPr>
            <w:tcW w:w="1149" w:type="dxa"/>
          </w:tcPr>
          <w:p w14:paraId="31B16996" w14:textId="77777777" w:rsidR="00783F0D" w:rsidRPr="00071F81" w:rsidRDefault="00783F0D" w:rsidP="00EB155C">
            <w:pPr>
              <w:pStyle w:val="TableText"/>
              <w:jc w:val="right"/>
            </w:pPr>
            <w:r w:rsidRPr="00071F81">
              <w:t>38.1 (30.4,</w:t>
            </w:r>
            <w:r>
              <w:t xml:space="preserve"> </w:t>
            </w:r>
            <w:r w:rsidRPr="00071F81">
              <w:t>46.3)</w:t>
            </w:r>
          </w:p>
        </w:tc>
      </w:tr>
      <w:tr w:rsidR="00783F0D" w:rsidRPr="00312860" w14:paraId="43EA87D4" w14:textId="77777777" w:rsidTr="00A7285A">
        <w:trPr>
          <w:cantSplit/>
        </w:trPr>
        <w:tc>
          <w:tcPr>
            <w:tcW w:w="2060" w:type="dxa"/>
          </w:tcPr>
          <w:p w14:paraId="0B65817C" w14:textId="77777777" w:rsidR="00783F0D" w:rsidRPr="00071F81" w:rsidRDefault="00783F0D" w:rsidP="00EB155C">
            <w:pPr>
              <w:pStyle w:val="TableText"/>
            </w:pPr>
            <w:r w:rsidRPr="00071F81">
              <w:t>To make videos or take photos</w:t>
            </w:r>
          </w:p>
        </w:tc>
        <w:tc>
          <w:tcPr>
            <w:tcW w:w="630" w:type="dxa"/>
          </w:tcPr>
          <w:p w14:paraId="50253003" w14:textId="77777777" w:rsidR="00783F0D" w:rsidRPr="00071F81" w:rsidRDefault="00783F0D" w:rsidP="00EB155C">
            <w:pPr>
              <w:pStyle w:val="TableText"/>
              <w:jc w:val="right"/>
            </w:pPr>
            <w:r w:rsidRPr="00071F81">
              <w:t>147</w:t>
            </w:r>
          </w:p>
        </w:tc>
        <w:tc>
          <w:tcPr>
            <w:tcW w:w="810" w:type="dxa"/>
          </w:tcPr>
          <w:p w14:paraId="3DAFC53F" w14:textId="77777777" w:rsidR="00783F0D" w:rsidRPr="00071F81" w:rsidRDefault="00783F0D" w:rsidP="00EB155C">
            <w:pPr>
              <w:pStyle w:val="TableText"/>
              <w:jc w:val="right"/>
            </w:pPr>
            <w:r w:rsidRPr="00071F81">
              <w:t>1107</w:t>
            </w:r>
          </w:p>
        </w:tc>
        <w:tc>
          <w:tcPr>
            <w:tcW w:w="1159" w:type="dxa"/>
          </w:tcPr>
          <w:p w14:paraId="1B2ED9C8" w14:textId="77777777" w:rsidR="00783F0D" w:rsidRPr="00071F81" w:rsidRDefault="00783F0D" w:rsidP="00EB155C">
            <w:pPr>
              <w:pStyle w:val="TableText"/>
              <w:jc w:val="right"/>
            </w:pPr>
            <w:r w:rsidRPr="00071F81">
              <w:t>19.3 (16.0,</w:t>
            </w:r>
            <w:r>
              <w:t xml:space="preserve"> </w:t>
            </w:r>
            <w:r w:rsidRPr="00071F81">
              <w:t>23.1)</w:t>
            </w:r>
          </w:p>
        </w:tc>
        <w:tc>
          <w:tcPr>
            <w:tcW w:w="641" w:type="dxa"/>
          </w:tcPr>
          <w:p w14:paraId="6F65839A" w14:textId="77777777" w:rsidR="00783F0D" w:rsidRPr="00071F81" w:rsidRDefault="00783F0D" w:rsidP="00EB155C">
            <w:pPr>
              <w:pStyle w:val="TableText"/>
              <w:jc w:val="right"/>
            </w:pPr>
            <w:r w:rsidRPr="00071F81">
              <w:t>340</w:t>
            </w:r>
          </w:p>
        </w:tc>
        <w:tc>
          <w:tcPr>
            <w:tcW w:w="810" w:type="dxa"/>
          </w:tcPr>
          <w:p w14:paraId="2476A2C2" w14:textId="77777777" w:rsidR="00783F0D" w:rsidRPr="00071F81" w:rsidRDefault="00783F0D" w:rsidP="00EB155C">
            <w:pPr>
              <w:pStyle w:val="TableText"/>
              <w:jc w:val="right"/>
            </w:pPr>
            <w:r w:rsidRPr="00071F81">
              <w:t>2472</w:t>
            </w:r>
          </w:p>
        </w:tc>
        <w:tc>
          <w:tcPr>
            <w:tcW w:w="1149" w:type="dxa"/>
          </w:tcPr>
          <w:p w14:paraId="764EB108" w14:textId="77777777" w:rsidR="00783F0D" w:rsidRPr="00071F81" w:rsidRDefault="00783F0D" w:rsidP="00EB155C">
            <w:pPr>
              <w:pStyle w:val="TableText"/>
              <w:jc w:val="right"/>
            </w:pPr>
            <w:r w:rsidRPr="00071F81">
              <w:t>20.7 (14.2,</w:t>
            </w:r>
            <w:r>
              <w:t xml:space="preserve"> </w:t>
            </w:r>
            <w:r w:rsidRPr="00071F81">
              <w:t>29.3)</w:t>
            </w:r>
          </w:p>
        </w:tc>
      </w:tr>
      <w:tr w:rsidR="00783F0D" w:rsidRPr="00312860" w14:paraId="51D8C50E"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2060" w:type="dxa"/>
          </w:tcPr>
          <w:p w14:paraId="176996AD" w14:textId="5CC10CB0" w:rsidR="00783F0D" w:rsidRPr="00071F81" w:rsidRDefault="00040E45" w:rsidP="00EB155C">
            <w:pPr>
              <w:pStyle w:val="TableText"/>
            </w:pPr>
            <w:r>
              <w:t>Other (please specify)</w:t>
            </w:r>
          </w:p>
        </w:tc>
        <w:tc>
          <w:tcPr>
            <w:tcW w:w="630" w:type="dxa"/>
          </w:tcPr>
          <w:p w14:paraId="48C62956" w14:textId="77777777" w:rsidR="00783F0D" w:rsidRPr="00071F81" w:rsidRDefault="00783F0D" w:rsidP="00EB155C">
            <w:pPr>
              <w:pStyle w:val="TableText"/>
              <w:jc w:val="right"/>
            </w:pPr>
            <w:r w:rsidRPr="00071F81">
              <w:t>71</w:t>
            </w:r>
          </w:p>
        </w:tc>
        <w:tc>
          <w:tcPr>
            <w:tcW w:w="810" w:type="dxa"/>
          </w:tcPr>
          <w:p w14:paraId="752CB4CF" w14:textId="77777777" w:rsidR="00783F0D" w:rsidRPr="00071F81" w:rsidRDefault="00783F0D" w:rsidP="00EB155C">
            <w:pPr>
              <w:pStyle w:val="TableText"/>
              <w:jc w:val="right"/>
            </w:pPr>
            <w:r w:rsidRPr="00071F81">
              <w:t>517</w:t>
            </w:r>
          </w:p>
        </w:tc>
        <w:tc>
          <w:tcPr>
            <w:tcW w:w="1159" w:type="dxa"/>
          </w:tcPr>
          <w:p w14:paraId="4F2170F8" w14:textId="77777777" w:rsidR="00783F0D" w:rsidRPr="00071F81" w:rsidRDefault="00783F0D" w:rsidP="00EB155C">
            <w:pPr>
              <w:pStyle w:val="TableText"/>
              <w:jc w:val="right"/>
            </w:pPr>
            <w:r w:rsidRPr="00071F81">
              <w:t>9.0 (6.7,</w:t>
            </w:r>
            <w:r>
              <w:t xml:space="preserve"> </w:t>
            </w:r>
            <w:r w:rsidRPr="00071F81">
              <w:t>12.0)</w:t>
            </w:r>
          </w:p>
        </w:tc>
        <w:tc>
          <w:tcPr>
            <w:tcW w:w="641" w:type="dxa"/>
          </w:tcPr>
          <w:p w14:paraId="50F7B907" w14:textId="77777777" w:rsidR="00783F0D" w:rsidRPr="00071F81" w:rsidRDefault="00783F0D" w:rsidP="00EB155C">
            <w:pPr>
              <w:pStyle w:val="TableText"/>
              <w:jc w:val="right"/>
            </w:pPr>
            <w:r w:rsidRPr="00071F81">
              <w:t>89</w:t>
            </w:r>
          </w:p>
        </w:tc>
        <w:tc>
          <w:tcPr>
            <w:tcW w:w="810" w:type="dxa"/>
          </w:tcPr>
          <w:p w14:paraId="4A8220B4" w14:textId="77777777" w:rsidR="00783F0D" w:rsidRPr="00071F81" w:rsidRDefault="00783F0D" w:rsidP="00EB155C">
            <w:pPr>
              <w:pStyle w:val="TableText"/>
              <w:jc w:val="right"/>
            </w:pPr>
            <w:r w:rsidRPr="00071F81">
              <w:t>791</w:t>
            </w:r>
          </w:p>
        </w:tc>
        <w:tc>
          <w:tcPr>
            <w:tcW w:w="1149" w:type="dxa"/>
          </w:tcPr>
          <w:p w14:paraId="7D2D6716" w14:textId="77777777" w:rsidR="00783F0D" w:rsidRPr="00071F81" w:rsidRDefault="00783F0D" w:rsidP="00EB155C">
            <w:pPr>
              <w:pStyle w:val="TableText"/>
              <w:jc w:val="right"/>
            </w:pPr>
            <w:r w:rsidRPr="00071F81">
              <w:t>6.6 (2.9,</w:t>
            </w:r>
            <w:r>
              <w:t xml:space="preserve"> </w:t>
            </w:r>
            <w:r w:rsidRPr="00071F81">
              <w:t>14.5)</w:t>
            </w:r>
          </w:p>
        </w:tc>
      </w:tr>
    </w:tbl>
    <w:p w14:paraId="040C92EA" w14:textId="77777777" w:rsidR="00783F0D" w:rsidRPr="006A3EA0" w:rsidRDefault="00783F0D" w:rsidP="00783F0D">
      <w:pPr>
        <w:pStyle w:val="TableNotes"/>
      </w:pPr>
      <w:bookmarkStart w:id="586" w:name="_Ref499128526"/>
      <w:r w:rsidRPr="006A3EA0">
        <w:t>Notes</w:t>
      </w:r>
    </w:p>
    <w:p w14:paraId="716CD2E7" w14:textId="77777777" w:rsidR="00783F0D" w:rsidRPr="00071F81" w:rsidRDefault="00783F0D" w:rsidP="00783F0D">
      <w:pPr>
        <w:pStyle w:val="TableNotes"/>
      </w:pPr>
      <w:r w:rsidRPr="00071F81">
        <w:t>Denominator: Transitioned ADF and 2015 Regular ADF who do not use new or emerging technologies to improve their health and wellbeing</w:t>
      </w:r>
      <w:r>
        <w:t>.</w:t>
      </w:r>
    </w:p>
    <w:p w14:paraId="76E3D516" w14:textId="77777777" w:rsidR="00783F0D" w:rsidRPr="00F403FE" w:rsidRDefault="00783F0D" w:rsidP="00783F0D">
      <w:pPr>
        <w:pStyle w:val="TableNotes"/>
      </w:pPr>
      <w:r>
        <w:t>Participants could endorse multiple responses for this question, hence percentages do not add up to 100%. Because responses that were not endorsed were assumed to be left blank intentionally, there are no missing values for this question.</w:t>
      </w:r>
    </w:p>
    <w:p w14:paraId="1D729FDC" w14:textId="77777777" w:rsidR="00783F0D" w:rsidRPr="00071F81" w:rsidRDefault="00783F0D" w:rsidP="00783F0D">
      <w:pPr>
        <w:pStyle w:val="TableNotes"/>
      </w:pPr>
      <w:r w:rsidRPr="00071F81">
        <w:t>95%CI</w:t>
      </w:r>
      <w:r>
        <w:t xml:space="preserve"> =</w:t>
      </w:r>
      <w:r w:rsidRPr="00071F81">
        <w:t xml:space="preserve"> 95% </w:t>
      </w:r>
      <w:r>
        <w:t>confidence interval.</w:t>
      </w:r>
    </w:p>
    <w:p w14:paraId="516B7FEE" w14:textId="77777777" w:rsidR="00783F0D" w:rsidRDefault="00783F0D" w:rsidP="00783F0D">
      <w:pPr>
        <w:pStyle w:val="TableNotes"/>
      </w:pPr>
      <w:r w:rsidRPr="00071F81">
        <w:t>For a full description of odds ratios, interpretation and strength of association</w:t>
      </w:r>
      <w:r>
        <w:t>,</w:t>
      </w:r>
      <w:r w:rsidRPr="00071F81">
        <w:t xml:space="preserve"> please refer to Table B.1 </w:t>
      </w:r>
      <w:r w:rsidRPr="00BB1B84">
        <w:t xml:space="preserve">in </w:t>
      </w:r>
      <w:r w:rsidR="00374073">
        <w:t>Annex </w:t>
      </w:r>
      <w:r>
        <w:t>B, Odds ratio table.</w:t>
      </w:r>
    </w:p>
    <w:p w14:paraId="2417B277" w14:textId="6E85D453" w:rsidR="00783F0D" w:rsidRDefault="00783F0D" w:rsidP="00783F0D">
      <w:pPr>
        <w:pStyle w:val="FigureName"/>
      </w:pPr>
      <w:bookmarkStart w:id="587" w:name="_Ref508181640"/>
      <w:bookmarkStart w:id="588" w:name="_Toc509922952"/>
      <w:bookmarkStart w:id="589" w:name="_Toc515374726"/>
      <w:bookmarkStart w:id="590" w:name="_Toc528932410"/>
      <w:bookmarkStart w:id="591" w:name="_Toc531858090"/>
      <w:r w:rsidRPr="00071F81">
        <w:t xml:space="preserve">Figure </w:t>
      </w:r>
      <w:r>
        <w:rPr>
          <w:noProof/>
        </w:rPr>
        <w:t>5</w:t>
      </w:r>
      <w:r>
        <w:t>.</w:t>
      </w:r>
      <w:r>
        <w:rPr>
          <w:noProof/>
        </w:rPr>
        <w:t>8</w:t>
      </w:r>
      <w:bookmarkEnd w:id="587"/>
      <w:r w:rsidRPr="00071F81">
        <w:tab/>
        <w:t>Other reasons for using new and emerging technologies among Transitioned ADF and 2015 Regular ADF, among those who currently use</w:t>
      </w:r>
      <w:r>
        <w:t>d</w:t>
      </w:r>
      <w:r w:rsidRPr="00071F81">
        <w:t xml:space="preserve"> emerging technologies, but not for health and wellbeing</w:t>
      </w:r>
      <w:bookmarkEnd w:id="588"/>
      <w:bookmarkEnd w:id="589"/>
      <w:bookmarkEnd w:id="590"/>
      <w:bookmarkEnd w:id="591"/>
    </w:p>
    <w:bookmarkEnd w:id="586"/>
    <w:p w14:paraId="3C265360" w14:textId="77777777" w:rsidR="00783F0D" w:rsidRPr="00EB155C" w:rsidRDefault="00EB155C" w:rsidP="00EB155C">
      <w:pPr>
        <w:spacing w:after="360"/>
      </w:pPr>
      <w:r w:rsidRPr="00EB155C">
        <w:rPr>
          <w:noProof/>
          <w:lang w:eastAsia="en-AU"/>
        </w:rPr>
        <w:drawing>
          <wp:inline distT="0" distB="0" distL="0" distR="0" wp14:anchorId="3B87E10A" wp14:editId="0FBE69F9">
            <wp:extent cx="4572000" cy="2309247"/>
            <wp:effectExtent l="0" t="0" r="0" b="0"/>
            <wp:docPr id="457" name="Picture 457" descr="Figure 5.8 Other reasons for using new and emerging technologies among Transitioned ADF and 2015 Regular ADF, among those who currently used emerging technologies, but not for health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HOW_USED_NEW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72000" cy="2309247"/>
                    </a:xfrm>
                    <a:prstGeom prst="rect">
                      <a:avLst/>
                    </a:prstGeom>
                    <a:noFill/>
                    <a:ln>
                      <a:noFill/>
                    </a:ln>
                  </pic:spPr>
                </pic:pic>
              </a:graphicData>
            </a:graphic>
          </wp:inline>
        </w:drawing>
      </w:r>
    </w:p>
    <w:p w14:paraId="2559630B" w14:textId="77777777" w:rsidR="00783F0D" w:rsidRPr="00071F81" w:rsidRDefault="00783F0D" w:rsidP="00783F0D">
      <w:pPr>
        <w:pStyle w:val="Heading2"/>
        <w:numPr>
          <w:ilvl w:val="1"/>
          <w:numId w:val="1"/>
        </w:numPr>
        <w:ind w:left="720" w:hanging="720"/>
      </w:pPr>
      <w:bookmarkStart w:id="592" w:name="_Toc518566383"/>
      <w:bookmarkStart w:id="593" w:name="_Toc528932676"/>
      <w:bookmarkStart w:id="594" w:name="_Toc531859213"/>
      <w:r w:rsidRPr="00071F81">
        <w:t xml:space="preserve">Reasons for using emerging technology among Transitioned </w:t>
      </w:r>
      <w:r>
        <w:t xml:space="preserve">ADF </w:t>
      </w:r>
      <w:r w:rsidRPr="00071F81">
        <w:t>and 2015 Regular ADF with and without probable disorder</w:t>
      </w:r>
      <w:bookmarkEnd w:id="592"/>
      <w:bookmarkEnd w:id="593"/>
      <w:bookmarkEnd w:id="594"/>
      <w:r w:rsidRPr="00071F81">
        <w:t xml:space="preserve"> </w:t>
      </w:r>
    </w:p>
    <w:p w14:paraId="71395650" w14:textId="77777777" w:rsidR="00783F0D" w:rsidRPr="00071F81" w:rsidRDefault="00783F0D" w:rsidP="00783F0D">
      <w:pPr>
        <w:pStyle w:val="Heading3"/>
        <w:numPr>
          <w:ilvl w:val="2"/>
          <w:numId w:val="1"/>
        </w:numPr>
      </w:pPr>
      <w:bookmarkStart w:id="595" w:name="_Toc518566384"/>
      <w:bookmarkStart w:id="596" w:name="_Toc528932677"/>
      <w:bookmarkStart w:id="597" w:name="_Toc531859214"/>
      <w:r w:rsidRPr="00071F81">
        <w:t xml:space="preserve">The ways in which emerging technologies </w:t>
      </w:r>
      <w:r>
        <w:t>we</w:t>
      </w:r>
      <w:r w:rsidRPr="00071F81">
        <w:t xml:space="preserve">re used to improve health and wellbeing among Transitioned </w:t>
      </w:r>
      <w:r>
        <w:t xml:space="preserve">ADF </w:t>
      </w:r>
      <w:r w:rsidRPr="00071F81">
        <w:t>and 2015 Regular ADF with and without probable disorder</w:t>
      </w:r>
      <w:bookmarkEnd w:id="595"/>
      <w:bookmarkEnd w:id="596"/>
      <w:bookmarkEnd w:id="597"/>
    </w:p>
    <w:p w14:paraId="3FB1398B" w14:textId="02873BE2" w:rsidR="00783F0D" w:rsidRPr="00AD4FA2" w:rsidRDefault="00783F0D" w:rsidP="00783F0D">
      <w:pPr>
        <w:rPr>
          <w:lang w:eastAsia="en-AU"/>
        </w:rPr>
      </w:pPr>
      <w:r>
        <w:t xml:space="preserve">Among the approximate 25% of </w:t>
      </w:r>
      <w:r w:rsidRPr="00E26506">
        <w:t>Transitioned ADF</w:t>
      </w:r>
      <w:r>
        <w:t xml:space="preserve"> (22.8%, </w:t>
      </w:r>
      <w:r w:rsidR="00D70D09">
        <w:t xml:space="preserve">n = </w:t>
      </w:r>
      <w:r>
        <w:t>5685)</w:t>
      </w:r>
      <w:r w:rsidRPr="00E26506">
        <w:t xml:space="preserve"> and 2015 Regular ADF</w:t>
      </w:r>
      <w:r>
        <w:t xml:space="preserve"> (25.0%, </w:t>
      </w:r>
      <w:r w:rsidR="00D70D09">
        <w:t xml:space="preserve">n = </w:t>
      </w:r>
      <w:r>
        <w:t>13,140)</w:t>
      </w:r>
      <w:r w:rsidRPr="00885563">
        <w:t xml:space="preserve"> </w:t>
      </w:r>
      <w:r>
        <w:t>who reported using emerging technologies</w:t>
      </w:r>
      <w:r w:rsidRPr="00E26506">
        <w:t xml:space="preserve"> </w:t>
      </w:r>
      <w:r>
        <w:t xml:space="preserve">for the purpose of </w:t>
      </w:r>
      <w:r w:rsidRPr="00E26506">
        <w:t>improv</w:t>
      </w:r>
      <w:r>
        <w:t>ing</w:t>
      </w:r>
      <w:r w:rsidRPr="00E26506">
        <w:t xml:space="preserve"> health and wellbeing</w:t>
      </w:r>
      <w:r>
        <w:t>,</w:t>
      </w:r>
      <w:r w:rsidRPr="00F05A9E">
        <w:rPr>
          <w:lang w:eastAsia="en-AU"/>
        </w:rPr>
        <w:t xml:space="preserve"> </w:t>
      </w:r>
      <w:r>
        <w:rPr>
          <w:lang w:eastAsia="en-AU"/>
        </w:rPr>
        <w:t>20.9% (</w:t>
      </w:r>
      <w:r w:rsidR="00D70D09">
        <w:rPr>
          <w:lang w:eastAsia="en-AU"/>
        </w:rPr>
        <w:t xml:space="preserve">n = </w:t>
      </w:r>
      <w:r>
        <w:rPr>
          <w:lang w:eastAsia="en-AU"/>
        </w:rPr>
        <w:t>1189) of Transitioned ADF and 7.8% (</w:t>
      </w:r>
      <w:r w:rsidR="00D70D09">
        <w:rPr>
          <w:lang w:eastAsia="en-AU"/>
        </w:rPr>
        <w:t>n</w:t>
      </w:r>
      <w:r w:rsidR="00356416">
        <w:rPr>
          <w:lang w:eastAsia="en-AU"/>
        </w:rPr>
        <w:t> </w:t>
      </w:r>
      <w:r w:rsidR="00D70D09">
        <w:rPr>
          <w:lang w:eastAsia="en-AU"/>
        </w:rPr>
        <w:t>=</w:t>
      </w:r>
      <w:r w:rsidR="00356416">
        <w:rPr>
          <w:lang w:eastAsia="en-AU"/>
        </w:rPr>
        <w:t> </w:t>
      </w:r>
      <w:r>
        <w:rPr>
          <w:lang w:eastAsia="en-AU"/>
        </w:rPr>
        <w:t>1029) of 2015 Regular ADF met the criteria for a probable disorder. In contrast, 79.1% (</w:t>
      </w:r>
      <w:r w:rsidR="00D70D09">
        <w:rPr>
          <w:lang w:eastAsia="en-AU"/>
        </w:rPr>
        <w:t xml:space="preserve">n = </w:t>
      </w:r>
      <w:r>
        <w:rPr>
          <w:lang w:eastAsia="en-AU"/>
        </w:rPr>
        <w:t>4496) of Transitioned ADF and 92.1% (</w:t>
      </w:r>
      <w:r w:rsidR="00D70D09">
        <w:rPr>
          <w:lang w:eastAsia="en-AU"/>
        </w:rPr>
        <w:t xml:space="preserve">n = </w:t>
      </w:r>
      <w:r>
        <w:rPr>
          <w:lang w:eastAsia="en-AU"/>
        </w:rPr>
        <w:t xml:space="preserve">12,111) of 2015 Regular ADF did not meet </w:t>
      </w:r>
      <w:r w:rsidR="00FE69EB">
        <w:rPr>
          <w:lang w:eastAsia="en-AU"/>
        </w:rPr>
        <w:t xml:space="preserve">the </w:t>
      </w:r>
      <w:r>
        <w:rPr>
          <w:lang w:eastAsia="en-AU"/>
        </w:rPr>
        <w:t xml:space="preserve">criteria for a probable 30-day disorder. The following section reports on the reasons for using new and emerging technologies </w:t>
      </w:r>
      <w:r w:rsidRPr="00E26506">
        <w:t>to improve health and wellbeing</w:t>
      </w:r>
      <w:r>
        <w:rPr>
          <w:lang w:eastAsia="en-AU"/>
        </w:rPr>
        <w:t xml:space="preserve"> among these four </w:t>
      </w:r>
      <w:r w:rsidRPr="00AD4FA2">
        <w:rPr>
          <w:lang w:eastAsia="en-AU"/>
        </w:rPr>
        <w:t xml:space="preserve">subgroups. </w:t>
      </w:r>
    </w:p>
    <w:p w14:paraId="0CF9545A" w14:textId="77777777" w:rsidR="00783F0D" w:rsidRDefault="00783F0D" w:rsidP="00783F0D">
      <w:pPr>
        <w:rPr>
          <w:rFonts w:eastAsia="SimSun"/>
          <w:szCs w:val="22"/>
        </w:rPr>
      </w:pPr>
      <w:r w:rsidRPr="00AD4FA2">
        <w:rPr>
          <w:lang w:val="en-US" w:eastAsia="en-AU"/>
        </w:rPr>
        <w:t>Similar to the pattern reported in Transitioned</w:t>
      </w:r>
      <w:r>
        <w:rPr>
          <w:lang w:val="en-US" w:eastAsia="en-AU"/>
        </w:rPr>
        <w:t xml:space="preserve"> ADF</w:t>
      </w:r>
      <w:r w:rsidRPr="00AD4FA2">
        <w:rPr>
          <w:lang w:val="en-US" w:eastAsia="en-AU"/>
        </w:rPr>
        <w:t xml:space="preserve"> and Regular ADF in section 5.5.1 above, the three most common reasons for using new and emerging technologies among both the Transitioned </w:t>
      </w:r>
      <w:r>
        <w:rPr>
          <w:lang w:val="en-US" w:eastAsia="en-AU"/>
        </w:rPr>
        <w:t xml:space="preserve">ADF </w:t>
      </w:r>
      <w:r w:rsidRPr="00AD4FA2">
        <w:rPr>
          <w:lang w:val="en-US" w:eastAsia="en-AU"/>
        </w:rPr>
        <w:t xml:space="preserve">and </w:t>
      </w:r>
      <w:r>
        <w:rPr>
          <w:lang w:val="en-US" w:eastAsia="en-AU"/>
        </w:rPr>
        <w:t xml:space="preserve">2015 </w:t>
      </w:r>
      <w:r w:rsidRPr="00AD4FA2">
        <w:rPr>
          <w:lang w:val="en-US" w:eastAsia="en-AU"/>
        </w:rPr>
        <w:t>Regular ADF with and without a probable 30</w:t>
      </w:r>
      <w:r>
        <w:rPr>
          <w:lang w:val="en-US" w:eastAsia="en-AU"/>
        </w:rPr>
        <w:t>-</w:t>
      </w:r>
      <w:r w:rsidRPr="00AD4FA2">
        <w:rPr>
          <w:lang w:val="en-US" w:eastAsia="en-AU"/>
        </w:rPr>
        <w:t>day disorder w</w:t>
      </w:r>
      <w:r>
        <w:rPr>
          <w:lang w:val="en-US" w:eastAsia="en-AU"/>
        </w:rPr>
        <w:t>ere</w:t>
      </w:r>
      <w:r w:rsidRPr="00AD4FA2">
        <w:rPr>
          <w:lang w:val="en-US" w:eastAsia="en-AU"/>
        </w:rPr>
        <w:t xml:space="preserve"> to improve fitness, to track progress and to keep motivated (</w:t>
      </w:r>
      <w:r w:rsidRPr="001F3926">
        <w:t xml:space="preserve">Table </w:t>
      </w:r>
      <w:r w:rsidR="001F3926" w:rsidRPr="001F3926">
        <w:t>5.</w:t>
      </w:r>
      <w:r w:rsidRPr="001F3926">
        <w:rPr>
          <w:noProof/>
        </w:rPr>
        <w:t>9</w:t>
      </w:r>
      <w:r w:rsidRPr="00AD4FA2">
        <w:rPr>
          <w:lang w:val="en-US" w:eastAsia="en-AU"/>
        </w:rPr>
        <w:t xml:space="preserve">). </w:t>
      </w:r>
      <w:r w:rsidRPr="003038B1">
        <w:rPr>
          <w:lang w:val="en-US" w:eastAsia="en-AU"/>
        </w:rPr>
        <w:t xml:space="preserve">The only observable differences in the reasons for using new or emerging technologies to improve health and wellbeing were among the Transitioned ADF. </w:t>
      </w:r>
      <w:r w:rsidRPr="003038B1">
        <w:t>Among</w:t>
      </w:r>
      <w:r w:rsidRPr="003038B1">
        <w:rPr>
          <w:rFonts w:eastAsia="SimSun"/>
          <w:szCs w:val="22"/>
        </w:rPr>
        <w:t xml:space="preserve"> those who used emerging technologies to improve their health and wellbeing, Transitioned ADF with a probable disorder were significantly less likely to use them to improve their fitness (</w:t>
      </w:r>
      <w:r w:rsidRPr="003038B1">
        <w:rPr>
          <w:lang w:val="en-US" w:eastAsia="en-AU"/>
        </w:rPr>
        <w:t xml:space="preserve">68.6% vs 84.0%; </w:t>
      </w:r>
      <w:r w:rsidRPr="003038B1">
        <w:rPr>
          <w:rFonts w:eastAsia="SimSun"/>
          <w:szCs w:val="22"/>
        </w:rPr>
        <w:t>OR 0.4, 95% CI 0.3, 0.7) compared to Transitioned ADF with no probable disorder, and more likely to use them to improve their mood (</w:t>
      </w:r>
      <w:r w:rsidRPr="003038B1">
        <w:rPr>
          <w:lang w:val="en-US" w:eastAsia="en-AU"/>
        </w:rPr>
        <w:t xml:space="preserve">23.1% vs 13.7%; </w:t>
      </w:r>
      <w:r w:rsidRPr="003038B1">
        <w:rPr>
          <w:rFonts w:eastAsia="SimSun"/>
          <w:szCs w:val="22"/>
        </w:rPr>
        <w:t>OR 1.9, 95% CI 1.1, 3.3). Both were moderate associations.</w:t>
      </w:r>
    </w:p>
    <w:p w14:paraId="5425C5C7" w14:textId="77777777" w:rsidR="00EB155C" w:rsidRPr="000E7ECE" w:rsidRDefault="00EB155C" w:rsidP="00EB155C">
      <w:pPr>
        <w:pStyle w:val="Heading3"/>
        <w:numPr>
          <w:ilvl w:val="2"/>
          <w:numId w:val="1"/>
        </w:numPr>
      </w:pPr>
      <w:bookmarkStart w:id="598" w:name="_Toc518566385"/>
      <w:bookmarkStart w:id="599" w:name="_Toc528932678"/>
      <w:bookmarkStart w:id="600" w:name="_Toc531859215"/>
      <w:r w:rsidRPr="000E7ECE">
        <w:t xml:space="preserve">Other reasons for using new and emerging technologies if they </w:t>
      </w:r>
      <w:r>
        <w:t>were</w:t>
      </w:r>
      <w:r w:rsidRPr="000E7ECE">
        <w:t xml:space="preserve"> not being used to improve health and wellbeing among Transitioned </w:t>
      </w:r>
      <w:r>
        <w:t xml:space="preserve">ADF </w:t>
      </w:r>
      <w:r w:rsidRPr="000E7ECE">
        <w:t>and 2015 Regular ADF with and without probable disorder</w:t>
      </w:r>
      <w:bookmarkEnd w:id="598"/>
      <w:bookmarkEnd w:id="599"/>
      <w:bookmarkEnd w:id="600"/>
    </w:p>
    <w:p w14:paraId="48214F44" w14:textId="056F5AFB" w:rsidR="00EB155C" w:rsidRDefault="00EB155C" w:rsidP="00EB155C">
      <w:pPr>
        <w:rPr>
          <w:lang w:eastAsia="en-AU"/>
        </w:rPr>
      </w:pPr>
      <w:r>
        <w:t xml:space="preserve">Among the approximately 25% of </w:t>
      </w:r>
      <w:r w:rsidRPr="00E26506">
        <w:t>Transitioned ADF</w:t>
      </w:r>
      <w:r>
        <w:t xml:space="preserve"> (23.4%, </w:t>
      </w:r>
      <w:r w:rsidR="00D70D09">
        <w:t xml:space="preserve">n = </w:t>
      </w:r>
      <w:r>
        <w:t>5837)</w:t>
      </w:r>
      <w:r w:rsidRPr="00E26506">
        <w:t xml:space="preserve"> and 2015 Regular ADF</w:t>
      </w:r>
      <w:r>
        <w:t xml:space="preserve"> (23.05%, </w:t>
      </w:r>
      <w:r w:rsidR="00D70D09">
        <w:t xml:space="preserve">n = </w:t>
      </w:r>
      <w:r>
        <w:t>12,101)</w:t>
      </w:r>
      <w:r w:rsidRPr="00885563">
        <w:t xml:space="preserve"> </w:t>
      </w:r>
      <w:r>
        <w:t>who reported using emerging technologies</w:t>
      </w:r>
      <w:r w:rsidRPr="00E26506">
        <w:t xml:space="preserve"> </w:t>
      </w:r>
      <w:r>
        <w:t xml:space="preserve">for reasons other than to improve their </w:t>
      </w:r>
      <w:r w:rsidRPr="00E26506">
        <w:t>health and wellbeing</w:t>
      </w:r>
      <w:r>
        <w:t>,</w:t>
      </w:r>
      <w:r w:rsidRPr="00F05A9E">
        <w:rPr>
          <w:lang w:eastAsia="en-AU"/>
        </w:rPr>
        <w:t xml:space="preserve"> </w:t>
      </w:r>
      <w:r>
        <w:rPr>
          <w:lang w:eastAsia="en-AU"/>
        </w:rPr>
        <w:t>25.2% (</w:t>
      </w:r>
      <w:r w:rsidR="00D70D09">
        <w:rPr>
          <w:lang w:eastAsia="en-AU"/>
        </w:rPr>
        <w:t xml:space="preserve">n = </w:t>
      </w:r>
      <w:r>
        <w:rPr>
          <w:lang w:eastAsia="en-AU"/>
        </w:rPr>
        <w:t>1472) of Transitioned ADF and 14.1% (</w:t>
      </w:r>
      <w:r w:rsidR="00D70D09">
        <w:rPr>
          <w:lang w:eastAsia="en-AU"/>
        </w:rPr>
        <w:t xml:space="preserve">n = </w:t>
      </w:r>
      <w:r>
        <w:rPr>
          <w:lang w:eastAsia="en-AU"/>
        </w:rPr>
        <w:t>1700) of 2015 Regular ADF met the criteria for a probable disorder. In contrast, 74.8% (</w:t>
      </w:r>
      <w:r w:rsidR="00D70D09">
        <w:rPr>
          <w:lang w:eastAsia="en-AU"/>
        </w:rPr>
        <w:t xml:space="preserve">n = </w:t>
      </w:r>
      <w:r>
        <w:rPr>
          <w:lang w:eastAsia="en-AU"/>
        </w:rPr>
        <w:t>4365) of Transitioned ADF and 85.9% (</w:t>
      </w:r>
      <w:r w:rsidR="00D70D09">
        <w:rPr>
          <w:lang w:eastAsia="en-AU"/>
        </w:rPr>
        <w:t xml:space="preserve">n = </w:t>
      </w:r>
      <w:r>
        <w:rPr>
          <w:lang w:eastAsia="en-AU"/>
        </w:rPr>
        <w:t>10401) of 2015 Regular ADF did not meet the criteria for probable 30-day disorder. The following section reports other reasons for using new and emerging technologies (</w:t>
      </w:r>
      <w:r>
        <w:t xml:space="preserve">other than to improve </w:t>
      </w:r>
      <w:r w:rsidRPr="00E26506">
        <w:t>health and wellbeing</w:t>
      </w:r>
      <w:r>
        <w:t>)</w:t>
      </w:r>
      <w:r>
        <w:rPr>
          <w:lang w:eastAsia="en-AU"/>
        </w:rPr>
        <w:t xml:space="preserve"> among these four subgroups. </w:t>
      </w:r>
    </w:p>
    <w:p w14:paraId="40EAB3BA" w14:textId="77777777" w:rsidR="00EB155C" w:rsidRPr="00E26506" w:rsidRDefault="00EB155C" w:rsidP="00EB155C">
      <w:r w:rsidRPr="003038B1">
        <w:rPr>
          <w:lang w:val="en-US" w:eastAsia="en-AU"/>
        </w:rPr>
        <w:t xml:space="preserve">Similar to the pattern reported in the Transitioned </w:t>
      </w:r>
      <w:r>
        <w:rPr>
          <w:lang w:val="en-US" w:eastAsia="en-AU"/>
        </w:rPr>
        <w:t xml:space="preserve">ADF </w:t>
      </w:r>
      <w:r w:rsidRPr="003038B1">
        <w:rPr>
          <w:lang w:val="en-US" w:eastAsia="en-AU"/>
        </w:rPr>
        <w:t>and Regular ADF in section</w:t>
      </w:r>
      <w:r>
        <w:rPr>
          <w:lang w:val="en-US" w:eastAsia="en-AU"/>
        </w:rPr>
        <w:t> </w:t>
      </w:r>
      <w:r w:rsidRPr="003038B1">
        <w:rPr>
          <w:lang w:val="en-US" w:eastAsia="en-AU"/>
        </w:rPr>
        <w:t xml:space="preserve">5.5.2 above, the three most common reasons for using new and emerging technologies (other than for health and wellbeing) among both Transitioned </w:t>
      </w:r>
      <w:r>
        <w:rPr>
          <w:lang w:val="en-US" w:eastAsia="en-AU"/>
        </w:rPr>
        <w:t xml:space="preserve">ADF </w:t>
      </w:r>
      <w:r w:rsidRPr="003038B1">
        <w:rPr>
          <w:lang w:val="en-US" w:eastAsia="en-AU"/>
        </w:rPr>
        <w:t xml:space="preserve">and </w:t>
      </w:r>
      <w:r>
        <w:rPr>
          <w:lang w:val="en-US" w:eastAsia="en-AU"/>
        </w:rPr>
        <w:t xml:space="preserve">2015 </w:t>
      </w:r>
      <w:r w:rsidRPr="003038B1">
        <w:rPr>
          <w:lang w:val="en-US" w:eastAsia="en-AU"/>
        </w:rPr>
        <w:t>Regular ADF with and without a probable 30</w:t>
      </w:r>
      <w:r>
        <w:rPr>
          <w:lang w:val="en-US" w:eastAsia="en-AU"/>
        </w:rPr>
        <w:t>-</w:t>
      </w:r>
      <w:r w:rsidRPr="003038B1">
        <w:rPr>
          <w:lang w:val="en-US" w:eastAsia="en-AU"/>
        </w:rPr>
        <w:t>day disorder w</w:t>
      </w:r>
      <w:r>
        <w:rPr>
          <w:lang w:val="en-US" w:eastAsia="en-AU"/>
        </w:rPr>
        <w:t>ere</w:t>
      </w:r>
      <w:r w:rsidRPr="003038B1">
        <w:rPr>
          <w:lang w:val="en-US" w:eastAsia="en-AU"/>
        </w:rPr>
        <w:t xml:space="preserve"> </w:t>
      </w:r>
      <w:r w:rsidRPr="00B25BEC">
        <w:rPr>
          <w:lang w:val="en-US" w:eastAsia="en-AU"/>
        </w:rPr>
        <w:t xml:space="preserve">for </w:t>
      </w:r>
      <w:r w:rsidRPr="00B25BEC">
        <w:t>‘fun or recreation’</w:t>
      </w:r>
      <w:r>
        <w:t>,</w:t>
      </w:r>
      <w:r w:rsidRPr="00B25BEC">
        <w:t xml:space="preserve"> for ‘study or work’ and to ‘enhance social interaction’ (</w:t>
      </w:r>
      <w:r>
        <w:t xml:space="preserve">Table </w:t>
      </w:r>
      <w:r>
        <w:rPr>
          <w:noProof/>
        </w:rPr>
        <w:t>5</w:t>
      </w:r>
      <w:r>
        <w:t>.</w:t>
      </w:r>
      <w:r>
        <w:rPr>
          <w:noProof/>
        </w:rPr>
        <w:t>10</w:t>
      </w:r>
      <w:r w:rsidRPr="00B25BEC">
        <w:t>)</w:t>
      </w:r>
      <w:r>
        <w:t>.</w:t>
      </w:r>
    </w:p>
    <w:p w14:paraId="06FDC01D" w14:textId="77777777" w:rsidR="00EB155C" w:rsidRPr="003038B1" w:rsidRDefault="00EB155C" w:rsidP="00EB155C">
      <w:pPr>
        <w:rPr>
          <w:rFonts w:eastAsia="SimSun"/>
          <w:szCs w:val="22"/>
        </w:rPr>
      </w:pPr>
      <w:r w:rsidRPr="003038B1">
        <w:t>Among</w:t>
      </w:r>
      <w:r w:rsidRPr="003038B1">
        <w:rPr>
          <w:rFonts w:eastAsia="SimSun"/>
          <w:szCs w:val="22"/>
        </w:rPr>
        <w:t xml:space="preserve"> those who used emerging technologies for reasons other than to improve their health and wellbeing, Transitioned ADF with a probable disorder were significantly less likely to use them for fun and recreation (65.1% vs 75.2%; OR 0.5, 95% CI 0.3, 0.8) compared to Transitioned ADF with no probable disorder. This was a moderate association. A strong association was found for 2015 Regular ADF</w:t>
      </w:r>
      <w:r>
        <w:rPr>
          <w:rFonts w:eastAsia="SimSun"/>
          <w:szCs w:val="22"/>
        </w:rPr>
        <w:t xml:space="preserve">. Specifically, </w:t>
      </w:r>
      <w:r w:rsidRPr="003038B1">
        <w:rPr>
          <w:rFonts w:eastAsia="SimSun"/>
          <w:szCs w:val="22"/>
        </w:rPr>
        <w:t xml:space="preserve">those with a probable disorder </w:t>
      </w:r>
      <w:r>
        <w:rPr>
          <w:rFonts w:eastAsia="SimSun"/>
          <w:szCs w:val="22"/>
        </w:rPr>
        <w:t xml:space="preserve">were </w:t>
      </w:r>
      <w:r w:rsidRPr="003038B1">
        <w:rPr>
          <w:rFonts w:eastAsia="SimSun"/>
          <w:szCs w:val="22"/>
        </w:rPr>
        <w:t>significantly less likely to use emerging technologies to make videos or take photos (9.1% vs 22.4%; OR 0.3, 95% CI 0.1, 0.7) compared to 2015 Regular ADF with no probable disorder.</w:t>
      </w:r>
    </w:p>
    <w:p w14:paraId="4FBFCE55" w14:textId="77777777" w:rsidR="00E844D8" w:rsidRDefault="00E844D8" w:rsidP="00C44855"/>
    <w:p w14:paraId="0C5B7CC2" w14:textId="77777777" w:rsidR="006016C9" w:rsidRDefault="006016C9" w:rsidP="00C44855">
      <w:pPr>
        <w:sectPr w:rsidR="006016C9" w:rsidSect="006B1ECA">
          <w:footerReference w:type="even" r:id="rId56"/>
          <w:footerReference w:type="default" r:id="rId57"/>
          <w:type w:val="oddPage"/>
          <w:pgSz w:w="9979" w:h="14170" w:code="243"/>
          <w:pgMar w:top="1440" w:right="1152" w:bottom="1440" w:left="1728" w:header="576" w:footer="576" w:gutter="0"/>
          <w:cols w:space="708"/>
          <w:docGrid w:linePitch="360"/>
        </w:sectPr>
      </w:pPr>
    </w:p>
    <w:p w14:paraId="2CCDC4D7" w14:textId="77777777" w:rsidR="00EB155C" w:rsidRDefault="00EB155C" w:rsidP="00EB155C">
      <w:pPr>
        <w:pStyle w:val="TableName"/>
      </w:pPr>
      <w:bookmarkStart w:id="601" w:name="_Toc531858009"/>
      <w:bookmarkStart w:id="602" w:name="_Ref517436768"/>
      <w:bookmarkStart w:id="603" w:name="_Toc528932330"/>
      <w:r w:rsidRPr="00347DDE">
        <w:t xml:space="preserve">Table </w:t>
      </w:r>
      <w:r>
        <w:rPr>
          <w:noProof/>
        </w:rPr>
        <w:t>5</w:t>
      </w:r>
      <w:r>
        <w:t>.</w:t>
      </w:r>
      <w:r>
        <w:rPr>
          <w:noProof/>
        </w:rPr>
        <w:t>9</w:t>
      </w:r>
      <w:r w:rsidRPr="00347DDE">
        <w:tab/>
        <w:t>The ways in which emerging technologies</w:t>
      </w:r>
      <w:r>
        <w:t xml:space="preserve"> were</w:t>
      </w:r>
      <w:r w:rsidRPr="00347DDE">
        <w:t xml:space="preserve"> used to improve health and wellbeing among Transitioned ADF and 2015 Regular ADF who use</w:t>
      </w:r>
      <w:r>
        <w:t>d</w:t>
      </w:r>
      <w:r w:rsidRPr="00347DDE">
        <w:t xml:space="preserve"> emerging technologies to improve their health and wellbeing with and without </w:t>
      </w:r>
      <w:r>
        <w:t>p</w:t>
      </w:r>
      <w:r w:rsidRPr="00347DDE">
        <w:t xml:space="preserve">robable </w:t>
      </w:r>
      <w:r>
        <w:t>d</w:t>
      </w:r>
      <w:r w:rsidRPr="00347DDE">
        <w:t>isorder</w:t>
      </w:r>
      <w:bookmarkEnd w:id="601"/>
    </w:p>
    <w:tbl>
      <w:tblPr>
        <w:tblStyle w:val="TWRPTable"/>
        <w:tblW w:w="5000" w:type="pct"/>
        <w:tblLayout w:type="fixed"/>
        <w:tblLook w:val="0000" w:firstRow="0" w:lastRow="0" w:firstColumn="0" w:lastColumn="0" w:noHBand="0" w:noVBand="0"/>
        <w:tblDescription w:val="Table 5.9 The ways in which emerging technologies were used to improve health and wellbeing among Transitioned ADF and 2015 Regular ADF who used emerging technologies to improve their health and wellbeing with and without probable disorder"/>
      </w:tblPr>
      <w:tblGrid>
        <w:gridCol w:w="1950"/>
        <w:gridCol w:w="532"/>
        <w:gridCol w:w="795"/>
        <w:gridCol w:w="1006"/>
        <w:gridCol w:w="496"/>
        <w:gridCol w:w="795"/>
        <w:gridCol w:w="1042"/>
        <w:gridCol w:w="547"/>
        <w:gridCol w:w="795"/>
        <w:gridCol w:w="990"/>
        <w:gridCol w:w="511"/>
        <w:gridCol w:w="795"/>
        <w:gridCol w:w="1026"/>
      </w:tblGrid>
      <w:tr w:rsidR="00A7285A" w:rsidRPr="002C58AA" w14:paraId="14686925" w14:textId="77777777" w:rsidTr="00A7285A">
        <w:trPr>
          <w:cantSplit/>
          <w:tblHeader/>
        </w:trPr>
        <w:tc>
          <w:tcPr>
            <w:tcW w:w="1998" w:type="dxa"/>
            <w:vMerge w:val="restart"/>
            <w:tcBorders>
              <w:top w:val="single" w:sz="4" w:space="0" w:color="000000"/>
            </w:tcBorders>
            <w:vAlign w:val="bottom"/>
          </w:tcPr>
          <w:bookmarkEnd w:id="602"/>
          <w:bookmarkEnd w:id="603"/>
          <w:p w14:paraId="6D0545F1" w14:textId="77777777" w:rsidR="00A7285A" w:rsidRPr="00347DDE" w:rsidRDefault="00A7285A" w:rsidP="00A7285A">
            <w:pPr>
              <w:pStyle w:val="TableText"/>
              <w:rPr>
                <w:b/>
              </w:rPr>
            </w:pPr>
            <w:r w:rsidRPr="00347DDE">
              <w:rPr>
                <w:b/>
              </w:rPr>
              <w:t>How emerging technologies are used to improve health and wellbeing</w:t>
            </w:r>
            <w:r>
              <w:rPr>
                <w:b/>
              </w:rPr>
              <w:t xml:space="preserve"> </w:t>
            </w:r>
          </w:p>
        </w:tc>
        <w:tc>
          <w:tcPr>
            <w:tcW w:w="4754" w:type="dxa"/>
            <w:gridSpan w:val="6"/>
            <w:tcBorders>
              <w:top w:val="single" w:sz="4" w:space="0" w:color="000000"/>
              <w:bottom w:val="single" w:sz="4" w:space="0" w:color="000000"/>
            </w:tcBorders>
          </w:tcPr>
          <w:p w14:paraId="7E592695" w14:textId="77777777" w:rsidR="00A7285A" w:rsidRPr="00347DDE" w:rsidRDefault="00A7285A" w:rsidP="000D09F5">
            <w:pPr>
              <w:pStyle w:val="TableText"/>
              <w:jc w:val="center"/>
              <w:rPr>
                <w:b/>
              </w:rPr>
            </w:pPr>
            <w:r w:rsidRPr="00347DDE">
              <w:rPr>
                <w:b/>
              </w:rPr>
              <w:t>Transitioned ADF who use new and emerging technologies to improve their health and wellbeing</w:t>
            </w:r>
            <w:r>
              <w:rPr>
                <w:b/>
              </w:rPr>
              <w:br/>
            </w:r>
            <w:r w:rsidRPr="00347DDE">
              <w:rPr>
                <w:b/>
              </w:rPr>
              <w:t>n=5685</w:t>
            </w:r>
          </w:p>
        </w:tc>
        <w:tc>
          <w:tcPr>
            <w:tcW w:w="4754" w:type="dxa"/>
            <w:gridSpan w:val="6"/>
            <w:tcBorders>
              <w:top w:val="single" w:sz="4" w:space="0" w:color="000000"/>
              <w:bottom w:val="single" w:sz="4" w:space="0" w:color="000000"/>
            </w:tcBorders>
          </w:tcPr>
          <w:p w14:paraId="3D2A2208" w14:textId="77777777" w:rsidR="00A7285A" w:rsidRPr="00347DDE" w:rsidRDefault="00A7285A" w:rsidP="000D09F5">
            <w:pPr>
              <w:pStyle w:val="TableText"/>
              <w:jc w:val="center"/>
              <w:rPr>
                <w:b/>
              </w:rPr>
            </w:pPr>
            <w:r w:rsidRPr="00347DDE">
              <w:rPr>
                <w:b/>
              </w:rPr>
              <w:t>2015 Regular ADF who use new and emerging technologies to improve their health and wellbeing</w:t>
            </w:r>
            <w:r>
              <w:rPr>
                <w:b/>
              </w:rPr>
              <w:br/>
              <w:t>n</w:t>
            </w:r>
            <w:r w:rsidRPr="00347DDE">
              <w:rPr>
                <w:b/>
              </w:rPr>
              <w:t>=13,140</w:t>
            </w:r>
          </w:p>
        </w:tc>
      </w:tr>
      <w:tr w:rsidR="00A7285A" w:rsidRPr="002C58AA" w14:paraId="755345D6" w14:textId="77777777" w:rsidTr="00A7285A">
        <w:trPr>
          <w:cantSplit/>
          <w:tblHeader/>
        </w:trPr>
        <w:tc>
          <w:tcPr>
            <w:tcW w:w="1998" w:type="dxa"/>
            <w:vMerge/>
          </w:tcPr>
          <w:p w14:paraId="04967AED" w14:textId="77777777" w:rsidR="00A7285A" w:rsidRPr="00347DDE" w:rsidRDefault="00A7285A" w:rsidP="00EB155C">
            <w:pPr>
              <w:pStyle w:val="TableText"/>
              <w:rPr>
                <w:b/>
              </w:rPr>
            </w:pPr>
          </w:p>
        </w:tc>
        <w:tc>
          <w:tcPr>
            <w:tcW w:w="2377" w:type="dxa"/>
            <w:gridSpan w:val="3"/>
            <w:tcBorders>
              <w:top w:val="single" w:sz="4" w:space="0" w:color="000000"/>
              <w:bottom w:val="single" w:sz="4" w:space="0" w:color="000000"/>
            </w:tcBorders>
          </w:tcPr>
          <w:p w14:paraId="1BF67858" w14:textId="77777777" w:rsidR="00A7285A" w:rsidRPr="00347DDE" w:rsidRDefault="00A7285A" w:rsidP="000D09F5">
            <w:pPr>
              <w:pStyle w:val="TableText"/>
              <w:jc w:val="center"/>
              <w:rPr>
                <w:b/>
              </w:rPr>
            </w:pPr>
            <w:r w:rsidRPr="00347DDE">
              <w:rPr>
                <w:b/>
              </w:rPr>
              <w:t>No Probable Disorder</w:t>
            </w:r>
            <w:r>
              <w:rPr>
                <w:b/>
              </w:rPr>
              <w:br/>
            </w:r>
            <w:r w:rsidRPr="00347DDE">
              <w:rPr>
                <w:b/>
              </w:rPr>
              <w:t>n=4496</w:t>
            </w:r>
          </w:p>
        </w:tc>
        <w:tc>
          <w:tcPr>
            <w:tcW w:w="2377" w:type="dxa"/>
            <w:gridSpan w:val="3"/>
            <w:tcBorders>
              <w:top w:val="single" w:sz="4" w:space="0" w:color="000000"/>
              <w:bottom w:val="single" w:sz="4" w:space="0" w:color="000000"/>
            </w:tcBorders>
          </w:tcPr>
          <w:p w14:paraId="59737BD1" w14:textId="77777777" w:rsidR="00A7285A" w:rsidRPr="00347DDE" w:rsidRDefault="00A7285A" w:rsidP="000D09F5">
            <w:pPr>
              <w:pStyle w:val="TableText"/>
              <w:jc w:val="center"/>
              <w:rPr>
                <w:b/>
              </w:rPr>
            </w:pPr>
            <w:r w:rsidRPr="00347DDE">
              <w:rPr>
                <w:b/>
              </w:rPr>
              <w:t>Probable Disorder</w:t>
            </w:r>
            <w:r>
              <w:rPr>
                <w:b/>
              </w:rPr>
              <w:br/>
            </w:r>
            <w:r w:rsidRPr="00347DDE">
              <w:rPr>
                <w:b/>
              </w:rPr>
              <w:t>n=1189</w:t>
            </w:r>
          </w:p>
        </w:tc>
        <w:tc>
          <w:tcPr>
            <w:tcW w:w="2377" w:type="dxa"/>
            <w:gridSpan w:val="3"/>
            <w:tcBorders>
              <w:top w:val="single" w:sz="4" w:space="0" w:color="000000"/>
              <w:bottom w:val="single" w:sz="4" w:space="0" w:color="000000"/>
            </w:tcBorders>
          </w:tcPr>
          <w:p w14:paraId="3E61F571" w14:textId="77777777" w:rsidR="00A7285A" w:rsidRPr="00347DDE" w:rsidRDefault="00A7285A" w:rsidP="000D09F5">
            <w:pPr>
              <w:pStyle w:val="TableText"/>
              <w:jc w:val="center"/>
              <w:rPr>
                <w:b/>
              </w:rPr>
            </w:pPr>
            <w:r w:rsidRPr="00347DDE">
              <w:rPr>
                <w:b/>
              </w:rPr>
              <w:t>No Probable Disorder</w:t>
            </w:r>
            <w:r>
              <w:rPr>
                <w:b/>
              </w:rPr>
              <w:br/>
            </w:r>
            <w:r w:rsidRPr="00347DDE">
              <w:rPr>
                <w:b/>
              </w:rPr>
              <w:t>n=12,111</w:t>
            </w:r>
          </w:p>
        </w:tc>
        <w:tc>
          <w:tcPr>
            <w:tcW w:w="2377" w:type="dxa"/>
            <w:gridSpan w:val="3"/>
            <w:tcBorders>
              <w:top w:val="single" w:sz="4" w:space="0" w:color="000000"/>
              <w:bottom w:val="single" w:sz="4" w:space="0" w:color="000000"/>
            </w:tcBorders>
          </w:tcPr>
          <w:p w14:paraId="4F11B4D6" w14:textId="77777777" w:rsidR="00A7285A" w:rsidRPr="00347DDE" w:rsidRDefault="00A7285A" w:rsidP="000D09F5">
            <w:pPr>
              <w:pStyle w:val="TableText"/>
              <w:jc w:val="center"/>
              <w:rPr>
                <w:b/>
              </w:rPr>
            </w:pPr>
            <w:r w:rsidRPr="00347DDE">
              <w:rPr>
                <w:b/>
              </w:rPr>
              <w:t>Probable Disorder</w:t>
            </w:r>
            <w:r>
              <w:rPr>
                <w:b/>
              </w:rPr>
              <w:br/>
            </w:r>
            <w:r w:rsidRPr="00347DDE">
              <w:rPr>
                <w:b/>
              </w:rPr>
              <w:t>n=1029</w:t>
            </w:r>
          </w:p>
        </w:tc>
      </w:tr>
      <w:tr w:rsidR="00A7285A" w:rsidRPr="002C58AA" w14:paraId="5BEBCA53" w14:textId="77777777" w:rsidTr="00A7285A">
        <w:trPr>
          <w:cantSplit/>
          <w:tblHeader/>
        </w:trPr>
        <w:tc>
          <w:tcPr>
            <w:tcW w:w="1998" w:type="dxa"/>
            <w:vMerge/>
            <w:tcBorders>
              <w:bottom w:val="single" w:sz="4" w:space="0" w:color="000000"/>
            </w:tcBorders>
          </w:tcPr>
          <w:p w14:paraId="16AB299E" w14:textId="77777777" w:rsidR="00A7285A" w:rsidRPr="00347DDE" w:rsidRDefault="00A7285A" w:rsidP="00EB155C">
            <w:pPr>
              <w:pStyle w:val="TableText"/>
              <w:rPr>
                <w:b/>
              </w:rPr>
            </w:pPr>
          </w:p>
        </w:tc>
        <w:tc>
          <w:tcPr>
            <w:tcW w:w="540" w:type="dxa"/>
            <w:tcBorders>
              <w:top w:val="single" w:sz="4" w:space="0" w:color="000000"/>
              <w:bottom w:val="single" w:sz="4" w:space="0" w:color="000000"/>
            </w:tcBorders>
            <w:vAlign w:val="bottom"/>
          </w:tcPr>
          <w:p w14:paraId="3F684414" w14:textId="77777777" w:rsidR="00A7285A" w:rsidRPr="00347DDE" w:rsidRDefault="00A7285A" w:rsidP="00A7285A">
            <w:pPr>
              <w:pStyle w:val="TableText"/>
              <w:jc w:val="right"/>
              <w:rPr>
                <w:b/>
              </w:rPr>
            </w:pPr>
            <w:r w:rsidRPr="00347DDE">
              <w:rPr>
                <w:b/>
              </w:rPr>
              <w:t>n</w:t>
            </w:r>
          </w:p>
        </w:tc>
        <w:tc>
          <w:tcPr>
            <w:tcW w:w="810" w:type="dxa"/>
            <w:tcBorders>
              <w:top w:val="single" w:sz="4" w:space="0" w:color="000000"/>
              <w:bottom w:val="single" w:sz="4" w:space="0" w:color="000000"/>
            </w:tcBorders>
            <w:vAlign w:val="bottom"/>
          </w:tcPr>
          <w:p w14:paraId="1E087727" w14:textId="77777777" w:rsidR="00A7285A" w:rsidRPr="00347DDE" w:rsidRDefault="00A7285A" w:rsidP="00A7285A">
            <w:pPr>
              <w:pStyle w:val="TableText"/>
              <w:jc w:val="right"/>
              <w:rPr>
                <w:b/>
              </w:rPr>
            </w:pPr>
            <w:r w:rsidRPr="00347DDE">
              <w:rPr>
                <w:b/>
              </w:rPr>
              <w:t>Weighted n</w:t>
            </w:r>
          </w:p>
        </w:tc>
        <w:tc>
          <w:tcPr>
            <w:tcW w:w="1027" w:type="dxa"/>
            <w:tcBorders>
              <w:top w:val="single" w:sz="4" w:space="0" w:color="000000"/>
              <w:bottom w:val="single" w:sz="4" w:space="0" w:color="000000"/>
            </w:tcBorders>
            <w:vAlign w:val="bottom"/>
          </w:tcPr>
          <w:p w14:paraId="45CFDC5F" w14:textId="77777777" w:rsidR="00A7285A" w:rsidRPr="00347DDE" w:rsidRDefault="00A7285A" w:rsidP="00A7285A">
            <w:pPr>
              <w:pStyle w:val="TableText"/>
              <w:jc w:val="right"/>
              <w:rPr>
                <w:b/>
              </w:rPr>
            </w:pPr>
            <w:r w:rsidRPr="00347DDE">
              <w:rPr>
                <w:b/>
              </w:rPr>
              <w:t>% (95%CI)</w:t>
            </w:r>
          </w:p>
        </w:tc>
        <w:tc>
          <w:tcPr>
            <w:tcW w:w="503" w:type="dxa"/>
            <w:tcBorders>
              <w:top w:val="single" w:sz="4" w:space="0" w:color="000000"/>
              <w:bottom w:val="single" w:sz="4" w:space="0" w:color="000000"/>
            </w:tcBorders>
            <w:vAlign w:val="bottom"/>
          </w:tcPr>
          <w:p w14:paraId="5246141C" w14:textId="77777777" w:rsidR="00A7285A" w:rsidRPr="00347DDE" w:rsidRDefault="00A7285A" w:rsidP="00A7285A">
            <w:pPr>
              <w:pStyle w:val="TableText"/>
              <w:jc w:val="right"/>
              <w:rPr>
                <w:b/>
              </w:rPr>
            </w:pPr>
            <w:r w:rsidRPr="00347DDE">
              <w:rPr>
                <w:b/>
              </w:rPr>
              <w:t>n</w:t>
            </w:r>
          </w:p>
        </w:tc>
        <w:tc>
          <w:tcPr>
            <w:tcW w:w="810" w:type="dxa"/>
            <w:tcBorders>
              <w:top w:val="single" w:sz="4" w:space="0" w:color="000000"/>
              <w:bottom w:val="single" w:sz="4" w:space="0" w:color="000000"/>
            </w:tcBorders>
            <w:vAlign w:val="bottom"/>
          </w:tcPr>
          <w:p w14:paraId="657E49B7" w14:textId="77777777" w:rsidR="00A7285A" w:rsidRPr="00347DDE" w:rsidRDefault="00A7285A" w:rsidP="00A7285A">
            <w:pPr>
              <w:pStyle w:val="TableText"/>
              <w:jc w:val="right"/>
              <w:rPr>
                <w:b/>
              </w:rPr>
            </w:pPr>
            <w:r w:rsidRPr="00347DDE">
              <w:rPr>
                <w:b/>
              </w:rPr>
              <w:t>Weighted n</w:t>
            </w:r>
          </w:p>
        </w:tc>
        <w:tc>
          <w:tcPr>
            <w:tcW w:w="1064" w:type="dxa"/>
            <w:tcBorders>
              <w:top w:val="single" w:sz="4" w:space="0" w:color="000000"/>
              <w:bottom w:val="single" w:sz="4" w:space="0" w:color="000000"/>
            </w:tcBorders>
            <w:vAlign w:val="bottom"/>
          </w:tcPr>
          <w:p w14:paraId="38DEDFA0" w14:textId="77777777" w:rsidR="00A7285A" w:rsidRPr="00347DDE" w:rsidRDefault="00A7285A" w:rsidP="00A7285A">
            <w:pPr>
              <w:pStyle w:val="TableText"/>
              <w:jc w:val="right"/>
              <w:rPr>
                <w:b/>
              </w:rPr>
            </w:pPr>
            <w:r w:rsidRPr="00347DDE">
              <w:rPr>
                <w:b/>
              </w:rPr>
              <w:t>% (95%CI)</w:t>
            </w:r>
          </w:p>
        </w:tc>
        <w:tc>
          <w:tcPr>
            <w:tcW w:w="556" w:type="dxa"/>
            <w:tcBorders>
              <w:top w:val="single" w:sz="4" w:space="0" w:color="000000"/>
              <w:bottom w:val="single" w:sz="4" w:space="0" w:color="000000"/>
            </w:tcBorders>
            <w:vAlign w:val="bottom"/>
          </w:tcPr>
          <w:p w14:paraId="5935D76A" w14:textId="77777777" w:rsidR="00A7285A" w:rsidRPr="00347DDE" w:rsidRDefault="00A7285A" w:rsidP="00A7285A">
            <w:pPr>
              <w:pStyle w:val="TableText"/>
              <w:jc w:val="right"/>
              <w:rPr>
                <w:b/>
              </w:rPr>
            </w:pPr>
            <w:r w:rsidRPr="00347DDE">
              <w:rPr>
                <w:b/>
              </w:rPr>
              <w:t>n</w:t>
            </w:r>
          </w:p>
        </w:tc>
        <w:tc>
          <w:tcPr>
            <w:tcW w:w="810" w:type="dxa"/>
            <w:tcBorders>
              <w:top w:val="single" w:sz="4" w:space="0" w:color="000000"/>
              <w:bottom w:val="single" w:sz="4" w:space="0" w:color="000000"/>
            </w:tcBorders>
            <w:vAlign w:val="bottom"/>
          </w:tcPr>
          <w:p w14:paraId="0195D2A1" w14:textId="77777777" w:rsidR="00A7285A" w:rsidRPr="00347DDE" w:rsidRDefault="00A7285A" w:rsidP="00A7285A">
            <w:pPr>
              <w:pStyle w:val="TableText"/>
              <w:jc w:val="right"/>
              <w:rPr>
                <w:b/>
              </w:rPr>
            </w:pPr>
            <w:r w:rsidRPr="00347DDE">
              <w:rPr>
                <w:b/>
              </w:rPr>
              <w:t>Weighted n</w:t>
            </w:r>
          </w:p>
        </w:tc>
        <w:tc>
          <w:tcPr>
            <w:tcW w:w="1011" w:type="dxa"/>
            <w:tcBorders>
              <w:top w:val="single" w:sz="4" w:space="0" w:color="000000"/>
              <w:bottom w:val="single" w:sz="4" w:space="0" w:color="000000"/>
            </w:tcBorders>
            <w:vAlign w:val="bottom"/>
          </w:tcPr>
          <w:p w14:paraId="6BBE2B26" w14:textId="77777777" w:rsidR="00A7285A" w:rsidRPr="00347DDE" w:rsidRDefault="00A7285A" w:rsidP="00A7285A">
            <w:pPr>
              <w:pStyle w:val="TableText"/>
              <w:jc w:val="right"/>
              <w:rPr>
                <w:b/>
              </w:rPr>
            </w:pPr>
            <w:r w:rsidRPr="00347DDE">
              <w:rPr>
                <w:b/>
              </w:rPr>
              <w:t>% (95%CI)</w:t>
            </w:r>
          </w:p>
        </w:tc>
        <w:tc>
          <w:tcPr>
            <w:tcW w:w="519" w:type="dxa"/>
            <w:tcBorders>
              <w:top w:val="single" w:sz="4" w:space="0" w:color="000000"/>
              <w:bottom w:val="single" w:sz="4" w:space="0" w:color="000000"/>
            </w:tcBorders>
            <w:vAlign w:val="bottom"/>
          </w:tcPr>
          <w:p w14:paraId="798A47A4" w14:textId="77777777" w:rsidR="00A7285A" w:rsidRPr="00347DDE" w:rsidRDefault="00A7285A" w:rsidP="00A7285A">
            <w:pPr>
              <w:pStyle w:val="TableText"/>
              <w:jc w:val="right"/>
              <w:rPr>
                <w:b/>
              </w:rPr>
            </w:pPr>
            <w:r w:rsidRPr="00347DDE">
              <w:rPr>
                <w:b/>
              </w:rPr>
              <w:t>n</w:t>
            </w:r>
          </w:p>
        </w:tc>
        <w:tc>
          <w:tcPr>
            <w:tcW w:w="810" w:type="dxa"/>
            <w:tcBorders>
              <w:top w:val="single" w:sz="4" w:space="0" w:color="000000"/>
              <w:bottom w:val="single" w:sz="4" w:space="0" w:color="000000"/>
            </w:tcBorders>
            <w:vAlign w:val="bottom"/>
          </w:tcPr>
          <w:p w14:paraId="48EB471A" w14:textId="77777777" w:rsidR="00A7285A" w:rsidRPr="00347DDE" w:rsidRDefault="00A7285A" w:rsidP="00A7285A">
            <w:pPr>
              <w:pStyle w:val="TableText"/>
              <w:jc w:val="right"/>
              <w:rPr>
                <w:b/>
              </w:rPr>
            </w:pPr>
            <w:r w:rsidRPr="00347DDE">
              <w:rPr>
                <w:b/>
              </w:rPr>
              <w:t>Weighted n</w:t>
            </w:r>
          </w:p>
        </w:tc>
        <w:tc>
          <w:tcPr>
            <w:tcW w:w="1048" w:type="dxa"/>
            <w:tcBorders>
              <w:top w:val="single" w:sz="4" w:space="0" w:color="000000"/>
              <w:bottom w:val="single" w:sz="4" w:space="0" w:color="000000"/>
            </w:tcBorders>
            <w:vAlign w:val="bottom"/>
          </w:tcPr>
          <w:p w14:paraId="05139946" w14:textId="77777777" w:rsidR="00A7285A" w:rsidRPr="00347DDE" w:rsidRDefault="00A7285A" w:rsidP="00A7285A">
            <w:pPr>
              <w:pStyle w:val="TableText"/>
              <w:jc w:val="right"/>
              <w:rPr>
                <w:b/>
              </w:rPr>
            </w:pPr>
            <w:r w:rsidRPr="00347DDE">
              <w:rPr>
                <w:b/>
              </w:rPr>
              <w:t>% (95%CI)</w:t>
            </w:r>
          </w:p>
        </w:tc>
      </w:tr>
      <w:tr w:rsidR="00A7285A" w:rsidRPr="002C58AA" w14:paraId="72A99E46"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998" w:type="dxa"/>
            <w:tcBorders>
              <w:top w:val="single" w:sz="4" w:space="0" w:color="000000"/>
            </w:tcBorders>
          </w:tcPr>
          <w:p w14:paraId="7FBDBF52" w14:textId="77777777" w:rsidR="00EB155C" w:rsidRPr="009010C4" w:rsidRDefault="00EB155C" w:rsidP="00EB155C">
            <w:pPr>
              <w:pStyle w:val="TableText"/>
              <w:rPr>
                <w:rFonts w:cstheme="minorHAnsi"/>
              </w:rPr>
            </w:pPr>
            <w:r w:rsidRPr="009010C4">
              <w:rPr>
                <w:rFonts w:cstheme="minorHAnsi"/>
              </w:rPr>
              <w:t>To improve fitness</w:t>
            </w:r>
          </w:p>
        </w:tc>
        <w:tc>
          <w:tcPr>
            <w:tcW w:w="540" w:type="dxa"/>
            <w:tcBorders>
              <w:top w:val="single" w:sz="4" w:space="0" w:color="000000"/>
            </w:tcBorders>
            <w:tcMar>
              <w:left w:w="72" w:type="dxa"/>
              <w:right w:w="72" w:type="dxa"/>
            </w:tcMar>
          </w:tcPr>
          <w:p w14:paraId="2D619F95" w14:textId="77777777" w:rsidR="00EB155C" w:rsidRPr="00C01C8C" w:rsidRDefault="00EB155C" w:rsidP="00EB155C">
            <w:pPr>
              <w:pStyle w:val="TableText"/>
              <w:jc w:val="right"/>
            </w:pPr>
            <w:r w:rsidRPr="00C01C8C">
              <w:rPr>
                <w:rFonts w:cs="Arial"/>
              </w:rPr>
              <w:t>555</w:t>
            </w:r>
          </w:p>
        </w:tc>
        <w:tc>
          <w:tcPr>
            <w:tcW w:w="810" w:type="dxa"/>
            <w:tcBorders>
              <w:top w:val="single" w:sz="4" w:space="0" w:color="000000"/>
            </w:tcBorders>
            <w:tcMar>
              <w:left w:w="72" w:type="dxa"/>
              <w:right w:w="72" w:type="dxa"/>
            </w:tcMar>
          </w:tcPr>
          <w:p w14:paraId="1533D519" w14:textId="77777777" w:rsidR="00EB155C" w:rsidRPr="00C01C8C" w:rsidRDefault="00EB155C" w:rsidP="00EB155C">
            <w:pPr>
              <w:pStyle w:val="TableText"/>
              <w:jc w:val="right"/>
            </w:pPr>
            <w:r w:rsidRPr="00C01C8C">
              <w:rPr>
                <w:rFonts w:cs="Arial"/>
              </w:rPr>
              <w:t>3775</w:t>
            </w:r>
          </w:p>
        </w:tc>
        <w:tc>
          <w:tcPr>
            <w:tcW w:w="1027" w:type="dxa"/>
            <w:tcBorders>
              <w:top w:val="single" w:sz="4" w:space="0" w:color="000000"/>
            </w:tcBorders>
            <w:tcMar>
              <w:left w:w="72" w:type="dxa"/>
              <w:right w:w="72" w:type="dxa"/>
            </w:tcMar>
          </w:tcPr>
          <w:p w14:paraId="0082DBE1" w14:textId="77777777" w:rsidR="00EB155C" w:rsidRPr="00C01C8C" w:rsidRDefault="00EB155C" w:rsidP="00EB155C">
            <w:pPr>
              <w:pStyle w:val="TableText"/>
              <w:jc w:val="right"/>
              <w:rPr>
                <w:rFonts w:eastAsia="Times New Roman" w:cs="Arial"/>
              </w:rPr>
            </w:pPr>
            <w:r w:rsidRPr="00C01C8C">
              <w:rPr>
                <w:rFonts w:cs="Arial"/>
              </w:rPr>
              <w:t>84.0 (80.2,</w:t>
            </w:r>
            <w:r>
              <w:rPr>
                <w:rFonts w:cs="Arial"/>
              </w:rPr>
              <w:t xml:space="preserve"> </w:t>
            </w:r>
            <w:r w:rsidRPr="00C01C8C">
              <w:rPr>
                <w:rFonts w:cs="Arial"/>
              </w:rPr>
              <w:t>87.2)</w:t>
            </w:r>
          </w:p>
        </w:tc>
        <w:tc>
          <w:tcPr>
            <w:tcW w:w="503" w:type="dxa"/>
            <w:tcBorders>
              <w:top w:val="single" w:sz="4" w:space="0" w:color="000000"/>
            </w:tcBorders>
            <w:tcMar>
              <w:left w:w="72" w:type="dxa"/>
              <w:right w:w="72" w:type="dxa"/>
            </w:tcMar>
          </w:tcPr>
          <w:p w14:paraId="3739F844" w14:textId="77777777" w:rsidR="00EB155C" w:rsidRPr="00C01C8C" w:rsidRDefault="00EB155C" w:rsidP="00EB155C">
            <w:pPr>
              <w:pStyle w:val="TableText"/>
              <w:jc w:val="right"/>
            </w:pPr>
            <w:r w:rsidRPr="00C01C8C">
              <w:rPr>
                <w:rFonts w:cs="Arial"/>
              </w:rPr>
              <w:t>140</w:t>
            </w:r>
          </w:p>
        </w:tc>
        <w:tc>
          <w:tcPr>
            <w:tcW w:w="810" w:type="dxa"/>
            <w:tcBorders>
              <w:top w:val="single" w:sz="4" w:space="0" w:color="000000"/>
            </w:tcBorders>
            <w:tcMar>
              <w:left w:w="72" w:type="dxa"/>
              <w:right w:w="72" w:type="dxa"/>
            </w:tcMar>
          </w:tcPr>
          <w:p w14:paraId="45F62504" w14:textId="77777777" w:rsidR="00EB155C" w:rsidRPr="00C01C8C" w:rsidRDefault="00EB155C" w:rsidP="00EB155C">
            <w:pPr>
              <w:pStyle w:val="TableText"/>
              <w:jc w:val="right"/>
            </w:pPr>
            <w:r w:rsidRPr="00C01C8C">
              <w:rPr>
                <w:rFonts w:cs="Arial"/>
              </w:rPr>
              <w:t>816</w:t>
            </w:r>
          </w:p>
        </w:tc>
        <w:tc>
          <w:tcPr>
            <w:tcW w:w="1064" w:type="dxa"/>
            <w:tcBorders>
              <w:top w:val="single" w:sz="4" w:space="0" w:color="000000"/>
            </w:tcBorders>
            <w:tcMar>
              <w:left w:w="72" w:type="dxa"/>
              <w:right w:w="72" w:type="dxa"/>
            </w:tcMar>
          </w:tcPr>
          <w:p w14:paraId="0EF6E75E" w14:textId="77777777" w:rsidR="00EB155C" w:rsidRPr="00C01C8C" w:rsidRDefault="00EB155C" w:rsidP="00EB155C">
            <w:pPr>
              <w:pStyle w:val="TableText"/>
              <w:jc w:val="right"/>
              <w:rPr>
                <w:rFonts w:eastAsia="Times New Roman" w:cs="Arial"/>
              </w:rPr>
            </w:pPr>
            <w:r w:rsidRPr="00C01C8C">
              <w:rPr>
                <w:rFonts w:cs="Arial"/>
              </w:rPr>
              <w:t>68.6 (59.3,</w:t>
            </w:r>
            <w:r>
              <w:rPr>
                <w:rFonts w:cs="Arial"/>
              </w:rPr>
              <w:t xml:space="preserve"> </w:t>
            </w:r>
            <w:r w:rsidRPr="00C01C8C">
              <w:rPr>
                <w:rFonts w:cs="Arial"/>
              </w:rPr>
              <w:t>76.7)</w:t>
            </w:r>
          </w:p>
        </w:tc>
        <w:tc>
          <w:tcPr>
            <w:tcW w:w="556" w:type="dxa"/>
            <w:tcBorders>
              <w:top w:val="single" w:sz="4" w:space="0" w:color="000000"/>
            </w:tcBorders>
            <w:tcMar>
              <w:left w:w="72" w:type="dxa"/>
              <w:right w:w="72" w:type="dxa"/>
            </w:tcMar>
          </w:tcPr>
          <w:p w14:paraId="3116BD9E" w14:textId="77777777" w:rsidR="00EB155C" w:rsidRPr="00C01C8C" w:rsidRDefault="00EB155C" w:rsidP="00EB155C">
            <w:pPr>
              <w:pStyle w:val="TableText"/>
              <w:jc w:val="right"/>
            </w:pPr>
            <w:r w:rsidRPr="00C01C8C">
              <w:rPr>
                <w:rFonts w:cs="Arial"/>
              </w:rPr>
              <w:t>1736</w:t>
            </w:r>
          </w:p>
        </w:tc>
        <w:tc>
          <w:tcPr>
            <w:tcW w:w="810" w:type="dxa"/>
            <w:tcBorders>
              <w:top w:val="single" w:sz="4" w:space="0" w:color="000000"/>
            </w:tcBorders>
            <w:tcMar>
              <w:left w:w="72" w:type="dxa"/>
              <w:right w:w="72" w:type="dxa"/>
            </w:tcMar>
          </w:tcPr>
          <w:p w14:paraId="50752047" w14:textId="77777777" w:rsidR="00EB155C" w:rsidRPr="00C01C8C" w:rsidRDefault="00EB155C" w:rsidP="00EB155C">
            <w:pPr>
              <w:pStyle w:val="TableText"/>
              <w:jc w:val="right"/>
            </w:pPr>
            <w:r w:rsidRPr="00C01C8C">
              <w:rPr>
                <w:rFonts w:cs="Arial"/>
              </w:rPr>
              <w:t>10698</w:t>
            </w:r>
          </w:p>
        </w:tc>
        <w:tc>
          <w:tcPr>
            <w:tcW w:w="1011" w:type="dxa"/>
            <w:tcBorders>
              <w:top w:val="single" w:sz="4" w:space="0" w:color="000000"/>
            </w:tcBorders>
            <w:tcMar>
              <w:left w:w="72" w:type="dxa"/>
              <w:right w:w="72" w:type="dxa"/>
            </w:tcMar>
          </w:tcPr>
          <w:p w14:paraId="38642161" w14:textId="77777777" w:rsidR="00EB155C" w:rsidRPr="00C01C8C" w:rsidRDefault="00EB155C" w:rsidP="00EB155C">
            <w:pPr>
              <w:pStyle w:val="TableText"/>
              <w:jc w:val="right"/>
              <w:rPr>
                <w:rFonts w:eastAsia="Times New Roman" w:cs="Arial"/>
              </w:rPr>
            </w:pPr>
            <w:r w:rsidRPr="00C01C8C">
              <w:rPr>
                <w:rFonts w:cs="Arial"/>
              </w:rPr>
              <w:t>88.3 (83.5,</w:t>
            </w:r>
            <w:r>
              <w:rPr>
                <w:rFonts w:cs="Arial"/>
              </w:rPr>
              <w:t xml:space="preserve"> </w:t>
            </w:r>
            <w:r w:rsidRPr="00C01C8C">
              <w:rPr>
                <w:rFonts w:cs="Arial"/>
              </w:rPr>
              <w:t>91.9)</w:t>
            </w:r>
          </w:p>
        </w:tc>
        <w:tc>
          <w:tcPr>
            <w:tcW w:w="519" w:type="dxa"/>
            <w:tcBorders>
              <w:top w:val="single" w:sz="4" w:space="0" w:color="000000"/>
            </w:tcBorders>
            <w:tcMar>
              <w:left w:w="72" w:type="dxa"/>
              <w:right w:w="72" w:type="dxa"/>
            </w:tcMar>
          </w:tcPr>
          <w:p w14:paraId="74615B0E" w14:textId="77777777" w:rsidR="00EB155C" w:rsidRPr="00C01C8C" w:rsidRDefault="00EB155C" w:rsidP="00EB155C">
            <w:pPr>
              <w:pStyle w:val="TableText"/>
              <w:jc w:val="right"/>
            </w:pPr>
            <w:r w:rsidRPr="00C01C8C">
              <w:rPr>
                <w:rFonts w:cs="Arial"/>
              </w:rPr>
              <w:t>206</w:t>
            </w:r>
          </w:p>
        </w:tc>
        <w:tc>
          <w:tcPr>
            <w:tcW w:w="810" w:type="dxa"/>
            <w:tcBorders>
              <w:top w:val="single" w:sz="4" w:space="0" w:color="000000"/>
            </w:tcBorders>
            <w:tcMar>
              <w:left w:w="72" w:type="dxa"/>
              <w:right w:w="72" w:type="dxa"/>
            </w:tcMar>
          </w:tcPr>
          <w:p w14:paraId="55EF199A" w14:textId="77777777" w:rsidR="00EB155C" w:rsidRPr="00C01C8C" w:rsidRDefault="00EB155C" w:rsidP="00EB155C">
            <w:pPr>
              <w:pStyle w:val="TableText"/>
              <w:jc w:val="right"/>
            </w:pPr>
            <w:r w:rsidRPr="00C01C8C">
              <w:rPr>
                <w:rFonts w:cs="Arial"/>
              </w:rPr>
              <w:t>916</w:t>
            </w:r>
          </w:p>
        </w:tc>
        <w:tc>
          <w:tcPr>
            <w:tcW w:w="1048" w:type="dxa"/>
            <w:tcBorders>
              <w:top w:val="single" w:sz="4" w:space="0" w:color="000000"/>
            </w:tcBorders>
            <w:tcMar>
              <w:left w:w="72" w:type="dxa"/>
              <w:right w:w="72" w:type="dxa"/>
            </w:tcMar>
          </w:tcPr>
          <w:p w14:paraId="50B609FA" w14:textId="77777777" w:rsidR="00EB155C" w:rsidRPr="00C01C8C" w:rsidRDefault="00EB155C" w:rsidP="00EB155C">
            <w:pPr>
              <w:pStyle w:val="TableText"/>
              <w:jc w:val="right"/>
              <w:rPr>
                <w:rFonts w:eastAsia="Times New Roman" w:cs="Arial"/>
              </w:rPr>
            </w:pPr>
            <w:r w:rsidRPr="00C01C8C">
              <w:rPr>
                <w:rFonts w:cs="Arial"/>
              </w:rPr>
              <w:t>89.0 (84.9,</w:t>
            </w:r>
            <w:r>
              <w:rPr>
                <w:rFonts w:cs="Arial"/>
              </w:rPr>
              <w:t xml:space="preserve"> </w:t>
            </w:r>
            <w:r w:rsidRPr="00C01C8C">
              <w:rPr>
                <w:rFonts w:cs="Arial"/>
              </w:rPr>
              <w:t>92.1)</w:t>
            </w:r>
          </w:p>
        </w:tc>
      </w:tr>
      <w:tr w:rsidR="00A7285A" w:rsidRPr="002C58AA" w14:paraId="29215591" w14:textId="77777777" w:rsidTr="00A7285A">
        <w:trPr>
          <w:cantSplit/>
        </w:trPr>
        <w:tc>
          <w:tcPr>
            <w:tcW w:w="1998" w:type="dxa"/>
          </w:tcPr>
          <w:p w14:paraId="7029D731" w14:textId="77777777" w:rsidR="00EB155C" w:rsidRPr="009010C4" w:rsidRDefault="00EB155C" w:rsidP="00EB155C">
            <w:pPr>
              <w:pStyle w:val="TableText"/>
              <w:rPr>
                <w:rFonts w:cstheme="minorHAnsi"/>
              </w:rPr>
            </w:pPr>
            <w:r w:rsidRPr="009010C4">
              <w:rPr>
                <w:rFonts w:cstheme="minorHAnsi"/>
              </w:rPr>
              <w:t>To improve mood</w:t>
            </w:r>
          </w:p>
        </w:tc>
        <w:tc>
          <w:tcPr>
            <w:tcW w:w="540" w:type="dxa"/>
            <w:tcMar>
              <w:left w:w="72" w:type="dxa"/>
              <w:right w:w="72" w:type="dxa"/>
            </w:tcMar>
          </w:tcPr>
          <w:p w14:paraId="10316512" w14:textId="77777777" w:rsidR="00EB155C" w:rsidRPr="00C01C8C" w:rsidRDefault="00EB155C" w:rsidP="00EB155C">
            <w:pPr>
              <w:pStyle w:val="TableText"/>
              <w:jc w:val="right"/>
            </w:pPr>
            <w:r w:rsidRPr="00C01C8C">
              <w:rPr>
                <w:rFonts w:cs="Arial"/>
              </w:rPr>
              <w:t>81</w:t>
            </w:r>
          </w:p>
        </w:tc>
        <w:tc>
          <w:tcPr>
            <w:tcW w:w="810" w:type="dxa"/>
            <w:tcMar>
              <w:left w:w="72" w:type="dxa"/>
              <w:right w:w="72" w:type="dxa"/>
            </w:tcMar>
          </w:tcPr>
          <w:p w14:paraId="51FF172A" w14:textId="77777777" w:rsidR="00EB155C" w:rsidRPr="00C01C8C" w:rsidRDefault="00EB155C" w:rsidP="00EB155C">
            <w:pPr>
              <w:pStyle w:val="TableText"/>
              <w:jc w:val="right"/>
            </w:pPr>
            <w:r w:rsidRPr="00C01C8C">
              <w:rPr>
                <w:rFonts w:cs="Arial"/>
              </w:rPr>
              <w:t>617</w:t>
            </w:r>
          </w:p>
        </w:tc>
        <w:tc>
          <w:tcPr>
            <w:tcW w:w="1027" w:type="dxa"/>
            <w:tcMar>
              <w:left w:w="72" w:type="dxa"/>
              <w:right w:w="72" w:type="dxa"/>
            </w:tcMar>
          </w:tcPr>
          <w:p w14:paraId="422885DE" w14:textId="77777777" w:rsidR="00EB155C" w:rsidRPr="00C01C8C" w:rsidRDefault="00EB155C" w:rsidP="00EB155C">
            <w:pPr>
              <w:pStyle w:val="TableText"/>
              <w:jc w:val="right"/>
              <w:rPr>
                <w:rFonts w:eastAsia="Times New Roman" w:cs="Arial"/>
              </w:rPr>
            </w:pPr>
            <w:r w:rsidRPr="00C01C8C">
              <w:rPr>
                <w:rFonts w:cs="Arial"/>
              </w:rPr>
              <w:t>13.7 (10.6,</w:t>
            </w:r>
            <w:r>
              <w:rPr>
                <w:rFonts w:cs="Arial"/>
              </w:rPr>
              <w:t xml:space="preserve"> </w:t>
            </w:r>
            <w:r w:rsidRPr="00C01C8C">
              <w:rPr>
                <w:rFonts w:cs="Arial"/>
              </w:rPr>
              <w:t>17.6)</w:t>
            </w:r>
          </w:p>
        </w:tc>
        <w:tc>
          <w:tcPr>
            <w:tcW w:w="503" w:type="dxa"/>
            <w:tcMar>
              <w:left w:w="72" w:type="dxa"/>
              <w:right w:w="72" w:type="dxa"/>
            </w:tcMar>
          </w:tcPr>
          <w:p w14:paraId="27A466CC" w14:textId="77777777" w:rsidR="00EB155C" w:rsidRPr="00C01C8C" w:rsidRDefault="00EB155C" w:rsidP="00EB155C">
            <w:pPr>
              <w:pStyle w:val="TableText"/>
              <w:jc w:val="right"/>
            </w:pPr>
            <w:r w:rsidRPr="00C01C8C">
              <w:rPr>
                <w:rFonts w:cs="Arial"/>
              </w:rPr>
              <w:t>41</w:t>
            </w:r>
          </w:p>
        </w:tc>
        <w:tc>
          <w:tcPr>
            <w:tcW w:w="810" w:type="dxa"/>
            <w:tcMar>
              <w:left w:w="72" w:type="dxa"/>
              <w:right w:w="72" w:type="dxa"/>
            </w:tcMar>
          </w:tcPr>
          <w:p w14:paraId="69086F15" w14:textId="77777777" w:rsidR="00EB155C" w:rsidRPr="00C01C8C" w:rsidRDefault="00EB155C" w:rsidP="00EB155C">
            <w:pPr>
              <w:pStyle w:val="TableText"/>
              <w:jc w:val="right"/>
            </w:pPr>
            <w:r w:rsidRPr="00C01C8C">
              <w:rPr>
                <w:rFonts w:cs="Arial"/>
              </w:rPr>
              <w:t>275</w:t>
            </w:r>
          </w:p>
        </w:tc>
        <w:tc>
          <w:tcPr>
            <w:tcW w:w="1064" w:type="dxa"/>
            <w:tcMar>
              <w:left w:w="72" w:type="dxa"/>
              <w:right w:w="72" w:type="dxa"/>
            </w:tcMar>
          </w:tcPr>
          <w:p w14:paraId="039A63B5" w14:textId="77777777" w:rsidR="00EB155C" w:rsidRPr="00C01C8C" w:rsidRDefault="00EB155C" w:rsidP="00EB155C">
            <w:pPr>
              <w:pStyle w:val="TableText"/>
              <w:jc w:val="right"/>
              <w:rPr>
                <w:rFonts w:eastAsia="Times New Roman" w:cs="Arial"/>
              </w:rPr>
            </w:pPr>
            <w:r w:rsidRPr="00C01C8C">
              <w:rPr>
                <w:rFonts w:cs="Arial"/>
              </w:rPr>
              <w:t>23.1 (16.1,</w:t>
            </w:r>
            <w:r>
              <w:rPr>
                <w:rFonts w:cs="Arial"/>
              </w:rPr>
              <w:t xml:space="preserve"> </w:t>
            </w:r>
            <w:r w:rsidRPr="00C01C8C">
              <w:rPr>
                <w:rFonts w:cs="Arial"/>
              </w:rPr>
              <w:t>32.0)</w:t>
            </w:r>
          </w:p>
        </w:tc>
        <w:tc>
          <w:tcPr>
            <w:tcW w:w="556" w:type="dxa"/>
            <w:tcMar>
              <w:left w:w="72" w:type="dxa"/>
              <w:right w:w="72" w:type="dxa"/>
            </w:tcMar>
          </w:tcPr>
          <w:p w14:paraId="54EFB985" w14:textId="77777777" w:rsidR="00EB155C" w:rsidRPr="00C01C8C" w:rsidRDefault="00EB155C" w:rsidP="00EB155C">
            <w:pPr>
              <w:pStyle w:val="TableText"/>
              <w:jc w:val="right"/>
            </w:pPr>
            <w:r w:rsidRPr="00C01C8C">
              <w:rPr>
                <w:rFonts w:cs="Arial"/>
              </w:rPr>
              <w:t>172</w:t>
            </w:r>
          </w:p>
        </w:tc>
        <w:tc>
          <w:tcPr>
            <w:tcW w:w="810" w:type="dxa"/>
            <w:tcMar>
              <w:left w:w="72" w:type="dxa"/>
              <w:right w:w="72" w:type="dxa"/>
            </w:tcMar>
          </w:tcPr>
          <w:p w14:paraId="0BAD07F3" w14:textId="77777777" w:rsidR="00EB155C" w:rsidRPr="00C01C8C" w:rsidRDefault="00EB155C" w:rsidP="00EB155C">
            <w:pPr>
              <w:pStyle w:val="TableText"/>
              <w:jc w:val="right"/>
            </w:pPr>
            <w:r w:rsidRPr="00C01C8C">
              <w:rPr>
                <w:rFonts w:cs="Arial"/>
              </w:rPr>
              <w:t>1964</w:t>
            </w:r>
          </w:p>
        </w:tc>
        <w:tc>
          <w:tcPr>
            <w:tcW w:w="1011" w:type="dxa"/>
            <w:tcMar>
              <w:left w:w="72" w:type="dxa"/>
              <w:right w:w="72" w:type="dxa"/>
            </w:tcMar>
          </w:tcPr>
          <w:p w14:paraId="0816A695" w14:textId="77777777" w:rsidR="00EB155C" w:rsidRPr="00C01C8C" w:rsidRDefault="00EB155C" w:rsidP="00EB155C">
            <w:pPr>
              <w:pStyle w:val="TableText"/>
              <w:jc w:val="right"/>
              <w:rPr>
                <w:rFonts w:eastAsia="Times New Roman" w:cs="Arial"/>
              </w:rPr>
            </w:pPr>
            <w:r w:rsidRPr="00C01C8C">
              <w:rPr>
                <w:rFonts w:cs="Arial"/>
              </w:rPr>
              <w:t>16.2 (10.5,</w:t>
            </w:r>
            <w:r>
              <w:rPr>
                <w:rFonts w:cs="Arial"/>
              </w:rPr>
              <w:t xml:space="preserve"> </w:t>
            </w:r>
            <w:r w:rsidRPr="00C01C8C">
              <w:rPr>
                <w:rFonts w:cs="Arial"/>
              </w:rPr>
              <w:t>24.2)</w:t>
            </w:r>
          </w:p>
        </w:tc>
        <w:tc>
          <w:tcPr>
            <w:tcW w:w="519" w:type="dxa"/>
            <w:tcMar>
              <w:left w:w="72" w:type="dxa"/>
              <w:right w:w="72" w:type="dxa"/>
            </w:tcMar>
          </w:tcPr>
          <w:p w14:paraId="68016989" w14:textId="77777777" w:rsidR="00EB155C" w:rsidRPr="00C01C8C" w:rsidRDefault="00EB155C" w:rsidP="00EB155C">
            <w:pPr>
              <w:pStyle w:val="TableText"/>
              <w:jc w:val="right"/>
            </w:pPr>
            <w:r w:rsidRPr="00C01C8C">
              <w:rPr>
                <w:rFonts w:cs="Arial"/>
              </w:rPr>
              <w:t>53</w:t>
            </w:r>
          </w:p>
        </w:tc>
        <w:tc>
          <w:tcPr>
            <w:tcW w:w="810" w:type="dxa"/>
            <w:tcMar>
              <w:left w:w="72" w:type="dxa"/>
              <w:right w:w="72" w:type="dxa"/>
            </w:tcMar>
          </w:tcPr>
          <w:p w14:paraId="193A8A95" w14:textId="77777777" w:rsidR="00EB155C" w:rsidRPr="00C01C8C" w:rsidRDefault="00EB155C" w:rsidP="00EB155C">
            <w:pPr>
              <w:pStyle w:val="TableText"/>
              <w:jc w:val="right"/>
            </w:pPr>
            <w:r w:rsidRPr="00C01C8C">
              <w:rPr>
                <w:rFonts w:cs="Arial"/>
              </w:rPr>
              <w:t>182</w:t>
            </w:r>
          </w:p>
        </w:tc>
        <w:tc>
          <w:tcPr>
            <w:tcW w:w="1048" w:type="dxa"/>
            <w:tcMar>
              <w:left w:w="72" w:type="dxa"/>
              <w:right w:w="72" w:type="dxa"/>
            </w:tcMar>
          </w:tcPr>
          <w:p w14:paraId="75E3397D" w14:textId="77777777" w:rsidR="00EB155C" w:rsidRPr="00C01C8C" w:rsidRDefault="00EB155C" w:rsidP="00EB155C">
            <w:pPr>
              <w:pStyle w:val="TableText"/>
              <w:jc w:val="right"/>
              <w:rPr>
                <w:rFonts w:eastAsia="Times New Roman" w:cs="Arial"/>
              </w:rPr>
            </w:pPr>
            <w:r w:rsidRPr="00C01C8C">
              <w:rPr>
                <w:rFonts w:cs="Arial"/>
              </w:rPr>
              <w:t>17.6 (12.7,</w:t>
            </w:r>
            <w:r>
              <w:rPr>
                <w:rFonts w:cs="Arial"/>
              </w:rPr>
              <w:t xml:space="preserve"> </w:t>
            </w:r>
            <w:r w:rsidRPr="00C01C8C">
              <w:rPr>
                <w:rFonts w:cs="Arial"/>
              </w:rPr>
              <w:t>24.0)</w:t>
            </w:r>
          </w:p>
        </w:tc>
      </w:tr>
      <w:tr w:rsidR="00A7285A" w:rsidRPr="002C58AA" w14:paraId="08630A4A"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EDC578A" w14:textId="77777777" w:rsidR="00EB155C" w:rsidRPr="009010C4" w:rsidRDefault="00EB155C" w:rsidP="00EB155C">
            <w:pPr>
              <w:pStyle w:val="TableText"/>
              <w:rPr>
                <w:rFonts w:cstheme="minorHAnsi"/>
              </w:rPr>
            </w:pPr>
            <w:r w:rsidRPr="009010C4">
              <w:rPr>
                <w:rFonts w:cstheme="minorHAnsi"/>
              </w:rPr>
              <w:t>To improve sleep</w:t>
            </w:r>
          </w:p>
        </w:tc>
        <w:tc>
          <w:tcPr>
            <w:tcW w:w="540" w:type="dxa"/>
            <w:tcMar>
              <w:left w:w="72" w:type="dxa"/>
              <w:right w:w="72" w:type="dxa"/>
            </w:tcMar>
          </w:tcPr>
          <w:p w14:paraId="66174E5A" w14:textId="77777777" w:rsidR="00EB155C" w:rsidRPr="00C01C8C" w:rsidRDefault="00EB155C" w:rsidP="00EB155C">
            <w:pPr>
              <w:pStyle w:val="TableText"/>
              <w:jc w:val="right"/>
            </w:pPr>
            <w:r w:rsidRPr="00C01C8C">
              <w:rPr>
                <w:rFonts w:cs="Arial"/>
              </w:rPr>
              <w:t>154</w:t>
            </w:r>
          </w:p>
        </w:tc>
        <w:tc>
          <w:tcPr>
            <w:tcW w:w="810" w:type="dxa"/>
            <w:tcMar>
              <w:left w:w="72" w:type="dxa"/>
              <w:right w:w="72" w:type="dxa"/>
            </w:tcMar>
          </w:tcPr>
          <w:p w14:paraId="2725D167" w14:textId="77777777" w:rsidR="00EB155C" w:rsidRPr="00C01C8C" w:rsidRDefault="00EB155C" w:rsidP="00EB155C">
            <w:pPr>
              <w:pStyle w:val="TableText"/>
              <w:jc w:val="right"/>
            </w:pPr>
            <w:r w:rsidRPr="00C01C8C">
              <w:rPr>
                <w:rFonts w:cs="Arial"/>
              </w:rPr>
              <w:t>1072</w:t>
            </w:r>
          </w:p>
        </w:tc>
        <w:tc>
          <w:tcPr>
            <w:tcW w:w="1027" w:type="dxa"/>
            <w:tcMar>
              <w:left w:w="72" w:type="dxa"/>
              <w:right w:w="72" w:type="dxa"/>
            </w:tcMar>
          </w:tcPr>
          <w:p w14:paraId="70DF15CF" w14:textId="77777777" w:rsidR="00EB155C" w:rsidRPr="00C01C8C" w:rsidRDefault="00EB155C" w:rsidP="00EB155C">
            <w:pPr>
              <w:pStyle w:val="TableText"/>
              <w:jc w:val="right"/>
              <w:rPr>
                <w:rFonts w:eastAsia="Times New Roman" w:cs="Arial"/>
              </w:rPr>
            </w:pPr>
            <w:r w:rsidRPr="00C01C8C">
              <w:rPr>
                <w:rFonts w:cs="Arial"/>
              </w:rPr>
              <w:t>23.8 (19.9,</w:t>
            </w:r>
            <w:r>
              <w:rPr>
                <w:rFonts w:cs="Arial"/>
              </w:rPr>
              <w:t xml:space="preserve"> </w:t>
            </w:r>
            <w:r w:rsidRPr="00C01C8C">
              <w:rPr>
                <w:rFonts w:cs="Arial"/>
              </w:rPr>
              <w:t>28.2)</w:t>
            </w:r>
          </w:p>
        </w:tc>
        <w:tc>
          <w:tcPr>
            <w:tcW w:w="503" w:type="dxa"/>
            <w:tcMar>
              <w:left w:w="72" w:type="dxa"/>
              <w:right w:w="72" w:type="dxa"/>
            </w:tcMar>
          </w:tcPr>
          <w:p w14:paraId="3954ABA6" w14:textId="77777777" w:rsidR="00EB155C" w:rsidRPr="00C01C8C" w:rsidRDefault="00EB155C" w:rsidP="00EB155C">
            <w:pPr>
              <w:pStyle w:val="TableText"/>
              <w:jc w:val="right"/>
            </w:pPr>
            <w:r w:rsidRPr="00C01C8C">
              <w:rPr>
                <w:rFonts w:cs="Arial"/>
              </w:rPr>
              <w:t>62</w:t>
            </w:r>
          </w:p>
        </w:tc>
        <w:tc>
          <w:tcPr>
            <w:tcW w:w="810" w:type="dxa"/>
            <w:tcMar>
              <w:left w:w="72" w:type="dxa"/>
              <w:right w:w="72" w:type="dxa"/>
            </w:tcMar>
          </w:tcPr>
          <w:p w14:paraId="0049C61E" w14:textId="77777777" w:rsidR="00EB155C" w:rsidRPr="00C01C8C" w:rsidRDefault="00EB155C" w:rsidP="00EB155C">
            <w:pPr>
              <w:pStyle w:val="TableText"/>
              <w:jc w:val="right"/>
            </w:pPr>
            <w:r w:rsidRPr="00C01C8C">
              <w:rPr>
                <w:rFonts w:cs="Arial"/>
              </w:rPr>
              <w:t>359</w:t>
            </w:r>
          </w:p>
        </w:tc>
        <w:tc>
          <w:tcPr>
            <w:tcW w:w="1064" w:type="dxa"/>
            <w:tcMar>
              <w:left w:w="72" w:type="dxa"/>
              <w:right w:w="72" w:type="dxa"/>
            </w:tcMar>
          </w:tcPr>
          <w:p w14:paraId="294212F7" w14:textId="77777777" w:rsidR="00EB155C" w:rsidRPr="00C01C8C" w:rsidRDefault="00EB155C" w:rsidP="00EB155C">
            <w:pPr>
              <w:pStyle w:val="TableText"/>
              <w:jc w:val="right"/>
              <w:rPr>
                <w:rFonts w:eastAsia="Times New Roman" w:cs="Arial"/>
              </w:rPr>
            </w:pPr>
            <w:r w:rsidRPr="00C01C8C">
              <w:rPr>
                <w:rFonts w:cs="Arial"/>
              </w:rPr>
              <w:t>30.2 (23.1,</w:t>
            </w:r>
            <w:r>
              <w:rPr>
                <w:rFonts w:cs="Arial"/>
              </w:rPr>
              <w:t xml:space="preserve"> </w:t>
            </w:r>
            <w:r w:rsidRPr="00C01C8C">
              <w:rPr>
                <w:rFonts w:cs="Arial"/>
              </w:rPr>
              <w:t>38.4)</w:t>
            </w:r>
          </w:p>
        </w:tc>
        <w:tc>
          <w:tcPr>
            <w:tcW w:w="556" w:type="dxa"/>
            <w:tcMar>
              <w:left w:w="72" w:type="dxa"/>
              <w:right w:w="72" w:type="dxa"/>
            </w:tcMar>
          </w:tcPr>
          <w:p w14:paraId="66DE4BB2" w14:textId="77777777" w:rsidR="00EB155C" w:rsidRPr="00C01C8C" w:rsidRDefault="00EB155C" w:rsidP="00EB155C">
            <w:pPr>
              <w:pStyle w:val="TableText"/>
              <w:jc w:val="right"/>
            </w:pPr>
            <w:r w:rsidRPr="00C01C8C">
              <w:rPr>
                <w:rFonts w:cs="Arial"/>
              </w:rPr>
              <w:t>461</w:t>
            </w:r>
          </w:p>
        </w:tc>
        <w:tc>
          <w:tcPr>
            <w:tcW w:w="810" w:type="dxa"/>
            <w:tcMar>
              <w:left w:w="72" w:type="dxa"/>
              <w:right w:w="72" w:type="dxa"/>
            </w:tcMar>
          </w:tcPr>
          <w:p w14:paraId="790ADC34" w14:textId="77777777" w:rsidR="00EB155C" w:rsidRPr="00C01C8C" w:rsidRDefault="00EB155C" w:rsidP="00EB155C">
            <w:pPr>
              <w:pStyle w:val="TableText"/>
              <w:jc w:val="right"/>
            </w:pPr>
            <w:r w:rsidRPr="00C01C8C">
              <w:rPr>
                <w:rFonts w:cs="Arial"/>
              </w:rPr>
              <w:t>2999</w:t>
            </w:r>
          </w:p>
        </w:tc>
        <w:tc>
          <w:tcPr>
            <w:tcW w:w="1011" w:type="dxa"/>
            <w:tcMar>
              <w:left w:w="72" w:type="dxa"/>
              <w:right w:w="72" w:type="dxa"/>
            </w:tcMar>
          </w:tcPr>
          <w:p w14:paraId="30AEB05A" w14:textId="77777777" w:rsidR="00EB155C" w:rsidRPr="00C01C8C" w:rsidRDefault="00EB155C" w:rsidP="00EB155C">
            <w:pPr>
              <w:pStyle w:val="TableText"/>
              <w:jc w:val="right"/>
              <w:rPr>
                <w:rFonts w:eastAsia="Times New Roman" w:cs="Arial"/>
              </w:rPr>
            </w:pPr>
            <w:r w:rsidRPr="00C01C8C">
              <w:rPr>
                <w:rFonts w:cs="Arial"/>
              </w:rPr>
              <w:t>24.8 (18.5,</w:t>
            </w:r>
            <w:r>
              <w:rPr>
                <w:rFonts w:cs="Arial"/>
              </w:rPr>
              <w:t xml:space="preserve"> </w:t>
            </w:r>
            <w:r w:rsidRPr="00C01C8C">
              <w:rPr>
                <w:rFonts w:cs="Arial"/>
              </w:rPr>
              <w:t>32.3)</w:t>
            </w:r>
          </w:p>
        </w:tc>
        <w:tc>
          <w:tcPr>
            <w:tcW w:w="519" w:type="dxa"/>
            <w:tcMar>
              <w:left w:w="72" w:type="dxa"/>
              <w:right w:w="72" w:type="dxa"/>
            </w:tcMar>
          </w:tcPr>
          <w:p w14:paraId="38B0311B" w14:textId="77777777" w:rsidR="00EB155C" w:rsidRPr="00C01C8C" w:rsidRDefault="00EB155C" w:rsidP="00EB155C">
            <w:pPr>
              <w:pStyle w:val="TableText"/>
              <w:jc w:val="right"/>
            </w:pPr>
            <w:r w:rsidRPr="00C01C8C">
              <w:rPr>
                <w:rFonts w:cs="Arial"/>
              </w:rPr>
              <w:t>68</w:t>
            </w:r>
          </w:p>
        </w:tc>
        <w:tc>
          <w:tcPr>
            <w:tcW w:w="810" w:type="dxa"/>
            <w:tcMar>
              <w:left w:w="72" w:type="dxa"/>
              <w:right w:w="72" w:type="dxa"/>
            </w:tcMar>
          </w:tcPr>
          <w:p w14:paraId="5A58AC6D" w14:textId="77777777" w:rsidR="00EB155C" w:rsidRPr="00C01C8C" w:rsidRDefault="00EB155C" w:rsidP="00EB155C">
            <w:pPr>
              <w:pStyle w:val="TableText"/>
              <w:jc w:val="right"/>
            </w:pPr>
            <w:r w:rsidRPr="00C01C8C">
              <w:rPr>
                <w:rFonts w:cs="Arial"/>
              </w:rPr>
              <w:t>274</w:t>
            </w:r>
          </w:p>
        </w:tc>
        <w:tc>
          <w:tcPr>
            <w:tcW w:w="1048" w:type="dxa"/>
            <w:tcMar>
              <w:left w:w="72" w:type="dxa"/>
              <w:right w:w="72" w:type="dxa"/>
            </w:tcMar>
          </w:tcPr>
          <w:p w14:paraId="16DBC6B7" w14:textId="77777777" w:rsidR="00EB155C" w:rsidRPr="00C01C8C" w:rsidRDefault="00EB155C" w:rsidP="00EB155C">
            <w:pPr>
              <w:pStyle w:val="TableText"/>
              <w:jc w:val="right"/>
              <w:rPr>
                <w:rFonts w:eastAsia="Times New Roman" w:cs="Arial"/>
              </w:rPr>
            </w:pPr>
            <w:r w:rsidRPr="00C01C8C">
              <w:rPr>
                <w:rFonts w:cs="Arial"/>
              </w:rPr>
              <w:t>26.6 (19.7,</w:t>
            </w:r>
            <w:r>
              <w:rPr>
                <w:rFonts w:cs="Arial"/>
              </w:rPr>
              <w:t xml:space="preserve"> </w:t>
            </w:r>
            <w:r w:rsidRPr="00C01C8C">
              <w:rPr>
                <w:rFonts w:cs="Arial"/>
              </w:rPr>
              <w:t>35.0)</w:t>
            </w:r>
          </w:p>
        </w:tc>
      </w:tr>
      <w:tr w:rsidR="00A7285A" w:rsidRPr="002C58AA" w14:paraId="1CE09EDE" w14:textId="77777777" w:rsidTr="00A7285A">
        <w:trPr>
          <w:cantSplit/>
        </w:trPr>
        <w:tc>
          <w:tcPr>
            <w:tcW w:w="1998" w:type="dxa"/>
          </w:tcPr>
          <w:p w14:paraId="5A8E6803" w14:textId="77777777" w:rsidR="00EB155C" w:rsidRPr="009010C4" w:rsidRDefault="00EB155C" w:rsidP="00EB155C">
            <w:pPr>
              <w:pStyle w:val="TableText"/>
              <w:rPr>
                <w:rFonts w:cstheme="minorHAnsi"/>
              </w:rPr>
            </w:pPr>
            <w:r w:rsidRPr="009010C4">
              <w:rPr>
                <w:rFonts w:cstheme="minorHAnsi"/>
              </w:rPr>
              <w:t>To keep organised</w:t>
            </w:r>
          </w:p>
        </w:tc>
        <w:tc>
          <w:tcPr>
            <w:tcW w:w="540" w:type="dxa"/>
            <w:tcMar>
              <w:left w:w="72" w:type="dxa"/>
              <w:right w:w="72" w:type="dxa"/>
            </w:tcMar>
          </w:tcPr>
          <w:p w14:paraId="24391E99" w14:textId="77777777" w:rsidR="00EB155C" w:rsidRPr="00C01C8C" w:rsidRDefault="00EB155C" w:rsidP="00EB155C">
            <w:pPr>
              <w:pStyle w:val="TableText"/>
              <w:jc w:val="right"/>
            </w:pPr>
            <w:r w:rsidRPr="00C01C8C">
              <w:rPr>
                <w:rFonts w:cs="Arial"/>
              </w:rPr>
              <w:t>239</w:t>
            </w:r>
          </w:p>
        </w:tc>
        <w:tc>
          <w:tcPr>
            <w:tcW w:w="810" w:type="dxa"/>
            <w:tcMar>
              <w:left w:w="72" w:type="dxa"/>
              <w:right w:w="72" w:type="dxa"/>
            </w:tcMar>
          </w:tcPr>
          <w:p w14:paraId="3E578F73" w14:textId="77777777" w:rsidR="00EB155C" w:rsidRPr="00C01C8C" w:rsidRDefault="00EB155C" w:rsidP="00EB155C">
            <w:pPr>
              <w:pStyle w:val="TableText"/>
              <w:jc w:val="right"/>
            </w:pPr>
            <w:r w:rsidRPr="00C01C8C">
              <w:rPr>
                <w:rFonts w:cs="Arial"/>
              </w:rPr>
              <w:t>1583</w:t>
            </w:r>
          </w:p>
        </w:tc>
        <w:tc>
          <w:tcPr>
            <w:tcW w:w="1027" w:type="dxa"/>
            <w:tcMar>
              <w:left w:w="72" w:type="dxa"/>
              <w:right w:w="72" w:type="dxa"/>
            </w:tcMar>
          </w:tcPr>
          <w:p w14:paraId="40270DA3" w14:textId="77777777" w:rsidR="00EB155C" w:rsidRPr="00C01C8C" w:rsidRDefault="00EB155C" w:rsidP="00EB155C">
            <w:pPr>
              <w:pStyle w:val="TableText"/>
              <w:jc w:val="right"/>
              <w:rPr>
                <w:rFonts w:eastAsia="Times New Roman" w:cs="Arial"/>
              </w:rPr>
            </w:pPr>
            <w:r w:rsidRPr="00C01C8C">
              <w:rPr>
                <w:rFonts w:cs="Arial"/>
              </w:rPr>
              <w:t>35.2 (30.7,</w:t>
            </w:r>
            <w:r>
              <w:rPr>
                <w:rFonts w:cs="Arial"/>
              </w:rPr>
              <w:t xml:space="preserve"> </w:t>
            </w:r>
            <w:r w:rsidRPr="00C01C8C">
              <w:rPr>
                <w:rFonts w:cs="Arial"/>
              </w:rPr>
              <w:t>39.9)</w:t>
            </w:r>
          </w:p>
        </w:tc>
        <w:tc>
          <w:tcPr>
            <w:tcW w:w="503" w:type="dxa"/>
            <w:tcMar>
              <w:left w:w="72" w:type="dxa"/>
              <w:right w:w="72" w:type="dxa"/>
            </w:tcMar>
          </w:tcPr>
          <w:p w14:paraId="3542FE68" w14:textId="77777777" w:rsidR="00EB155C" w:rsidRPr="00C01C8C" w:rsidRDefault="00EB155C" w:rsidP="00EB155C">
            <w:pPr>
              <w:pStyle w:val="TableText"/>
              <w:jc w:val="right"/>
            </w:pPr>
            <w:r w:rsidRPr="00C01C8C">
              <w:rPr>
                <w:rFonts w:cs="Arial"/>
              </w:rPr>
              <w:t>72</w:t>
            </w:r>
          </w:p>
        </w:tc>
        <w:tc>
          <w:tcPr>
            <w:tcW w:w="810" w:type="dxa"/>
            <w:tcMar>
              <w:left w:w="72" w:type="dxa"/>
              <w:right w:w="72" w:type="dxa"/>
            </w:tcMar>
          </w:tcPr>
          <w:p w14:paraId="6626AD9A" w14:textId="77777777" w:rsidR="00EB155C" w:rsidRPr="00C01C8C" w:rsidRDefault="00EB155C" w:rsidP="00EB155C">
            <w:pPr>
              <w:pStyle w:val="TableText"/>
              <w:jc w:val="right"/>
            </w:pPr>
            <w:r w:rsidRPr="00C01C8C">
              <w:rPr>
                <w:rFonts w:cs="Arial"/>
              </w:rPr>
              <w:t>470</w:t>
            </w:r>
          </w:p>
        </w:tc>
        <w:tc>
          <w:tcPr>
            <w:tcW w:w="1064" w:type="dxa"/>
            <w:tcMar>
              <w:left w:w="72" w:type="dxa"/>
              <w:right w:w="72" w:type="dxa"/>
            </w:tcMar>
          </w:tcPr>
          <w:p w14:paraId="74DED445" w14:textId="77777777" w:rsidR="00EB155C" w:rsidRPr="00C01C8C" w:rsidRDefault="00EB155C" w:rsidP="00EB155C">
            <w:pPr>
              <w:pStyle w:val="TableText"/>
              <w:jc w:val="right"/>
              <w:rPr>
                <w:rFonts w:eastAsia="Times New Roman" w:cs="Arial"/>
              </w:rPr>
            </w:pPr>
            <w:r w:rsidRPr="00C01C8C">
              <w:rPr>
                <w:rFonts w:cs="Arial"/>
              </w:rPr>
              <w:t>39.6 (31.3,</w:t>
            </w:r>
            <w:r>
              <w:rPr>
                <w:rFonts w:cs="Arial"/>
              </w:rPr>
              <w:t xml:space="preserve"> </w:t>
            </w:r>
            <w:r w:rsidRPr="00C01C8C">
              <w:rPr>
                <w:rFonts w:cs="Arial"/>
              </w:rPr>
              <w:t>48.4)</w:t>
            </w:r>
          </w:p>
        </w:tc>
        <w:tc>
          <w:tcPr>
            <w:tcW w:w="556" w:type="dxa"/>
            <w:tcMar>
              <w:left w:w="72" w:type="dxa"/>
              <w:right w:w="72" w:type="dxa"/>
            </w:tcMar>
          </w:tcPr>
          <w:p w14:paraId="2382476A" w14:textId="77777777" w:rsidR="00EB155C" w:rsidRPr="00C01C8C" w:rsidRDefault="00EB155C" w:rsidP="00EB155C">
            <w:pPr>
              <w:pStyle w:val="TableText"/>
              <w:jc w:val="right"/>
            </w:pPr>
            <w:r w:rsidRPr="00C01C8C">
              <w:rPr>
                <w:rFonts w:cs="Arial"/>
              </w:rPr>
              <w:t>675</w:t>
            </w:r>
          </w:p>
        </w:tc>
        <w:tc>
          <w:tcPr>
            <w:tcW w:w="810" w:type="dxa"/>
            <w:tcMar>
              <w:left w:w="72" w:type="dxa"/>
              <w:right w:w="72" w:type="dxa"/>
            </w:tcMar>
          </w:tcPr>
          <w:p w14:paraId="57FA7A29" w14:textId="77777777" w:rsidR="00EB155C" w:rsidRPr="00C01C8C" w:rsidRDefault="00EB155C" w:rsidP="00EB155C">
            <w:pPr>
              <w:pStyle w:val="TableText"/>
              <w:jc w:val="right"/>
            </w:pPr>
            <w:r w:rsidRPr="00C01C8C">
              <w:rPr>
                <w:rFonts w:cs="Arial"/>
              </w:rPr>
              <w:t>4500</w:t>
            </w:r>
          </w:p>
        </w:tc>
        <w:tc>
          <w:tcPr>
            <w:tcW w:w="1011" w:type="dxa"/>
            <w:tcMar>
              <w:left w:w="72" w:type="dxa"/>
              <w:right w:w="72" w:type="dxa"/>
            </w:tcMar>
          </w:tcPr>
          <w:p w14:paraId="3F2D49C4" w14:textId="77777777" w:rsidR="00EB155C" w:rsidRPr="00C01C8C" w:rsidRDefault="00EB155C" w:rsidP="00EB155C">
            <w:pPr>
              <w:pStyle w:val="TableText"/>
              <w:jc w:val="right"/>
              <w:rPr>
                <w:rFonts w:eastAsia="Times New Roman" w:cs="Arial"/>
              </w:rPr>
            </w:pPr>
            <w:r w:rsidRPr="00C01C8C">
              <w:rPr>
                <w:rFonts w:cs="Arial"/>
              </w:rPr>
              <w:t>37.2 (29.8,</w:t>
            </w:r>
            <w:r>
              <w:rPr>
                <w:rFonts w:cs="Arial"/>
              </w:rPr>
              <w:t xml:space="preserve"> </w:t>
            </w:r>
            <w:r w:rsidRPr="00C01C8C">
              <w:rPr>
                <w:rFonts w:cs="Arial"/>
              </w:rPr>
              <w:t>45.2)</w:t>
            </w:r>
          </w:p>
        </w:tc>
        <w:tc>
          <w:tcPr>
            <w:tcW w:w="519" w:type="dxa"/>
            <w:tcMar>
              <w:left w:w="72" w:type="dxa"/>
              <w:right w:w="72" w:type="dxa"/>
            </w:tcMar>
          </w:tcPr>
          <w:p w14:paraId="4773B9FF" w14:textId="77777777" w:rsidR="00EB155C" w:rsidRPr="00C01C8C" w:rsidRDefault="00EB155C" w:rsidP="00EB155C">
            <w:pPr>
              <w:pStyle w:val="TableText"/>
              <w:jc w:val="right"/>
            </w:pPr>
            <w:r w:rsidRPr="00C01C8C">
              <w:rPr>
                <w:rFonts w:cs="Arial"/>
              </w:rPr>
              <w:t>80</w:t>
            </w:r>
          </w:p>
        </w:tc>
        <w:tc>
          <w:tcPr>
            <w:tcW w:w="810" w:type="dxa"/>
            <w:tcMar>
              <w:left w:w="72" w:type="dxa"/>
              <w:right w:w="72" w:type="dxa"/>
            </w:tcMar>
          </w:tcPr>
          <w:p w14:paraId="3DB344A7" w14:textId="77777777" w:rsidR="00EB155C" w:rsidRPr="00C01C8C" w:rsidRDefault="00EB155C" w:rsidP="00EB155C">
            <w:pPr>
              <w:pStyle w:val="TableText"/>
              <w:jc w:val="right"/>
            </w:pPr>
            <w:r w:rsidRPr="00C01C8C">
              <w:rPr>
                <w:rFonts w:cs="Arial"/>
              </w:rPr>
              <w:t>415</w:t>
            </w:r>
          </w:p>
        </w:tc>
        <w:tc>
          <w:tcPr>
            <w:tcW w:w="1048" w:type="dxa"/>
            <w:tcMar>
              <w:left w:w="72" w:type="dxa"/>
              <w:right w:w="72" w:type="dxa"/>
            </w:tcMar>
          </w:tcPr>
          <w:p w14:paraId="215D8C6B" w14:textId="77777777" w:rsidR="00EB155C" w:rsidRPr="00C01C8C" w:rsidRDefault="00EB155C" w:rsidP="00EB155C">
            <w:pPr>
              <w:pStyle w:val="TableText"/>
              <w:jc w:val="right"/>
              <w:rPr>
                <w:rFonts w:eastAsia="Times New Roman" w:cs="Arial"/>
              </w:rPr>
            </w:pPr>
            <w:r w:rsidRPr="00C01C8C">
              <w:rPr>
                <w:rFonts w:cs="Arial"/>
              </w:rPr>
              <w:t>40.3 (29.4,</w:t>
            </w:r>
            <w:r>
              <w:rPr>
                <w:rFonts w:cs="Arial"/>
              </w:rPr>
              <w:t xml:space="preserve"> </w:t>
            </w:r>
            <w:r w:rsidRPr="00C01C8C">
              <w:rPr>
                <w:rFonts w:cs="Arial"/>
              </w:rPr>
              <w:t>52.3)</w:t>
            </w:r>
          </w:p>
        </w:tc>
      </w:tr>
      <w:tr w:rsidR="00A7285A" w:rsidRPr="002C58AA" w14:paraId="5A51BC67"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998" w:type="dxa"/>
          </w:tcPr>
          <w:p w14:paraId="703B74C0" w14:textId="77777777" w:rsidR="00EB155C" w:rsidRPr="009010C4" w:rsidRDefault="00EB155C" w:rsidP="00EB155C">
            <w:pPr>
              <w:pStyle w:val="TableText"/>
              <w:rPr>
                <w:rFonts w:cstheme="minorHAnsi"/>
              </w:rPr>
            </w:pPr>
            <w:r w:rsidRPr="009010C4">
              <w:rPr>
                <w:rFonts w:cstheme="minorHAnsi"/>
              </w:rPr>
              <w:t>To maintain diet/track food intake</w:t>
            </w:r>
          </w:p>
        </w:tc>
        <w:tc>
          <w:tcPr>
            <w:tcW w:w="540" w:type="dxa"/>
            <w:tcMar>
              <w:left w:w="72" w:type="dxa"/>
              <w:right w:w="72" w:type="dxa"/>
            </w:tcMar>
          </w:tcPr>
          <w:p w14:paraId="33FADC3E" w14:textId="77777777" w:rsidR="00EB155C" w:rsidRPr="00C01C8C" w:rsidRDefault="00EB155C" w:rsidP="00EB155C">
            <w:pPr>
              <w:pStyle w:val="TableText"/>
              <w:jc w:val="right"/>
            </w:pPr>
            <w:r w:rsidRPr="00C01C8C">
              <w:rPr>
                <w:rFonts w:cs="Arial"/>
              </w:rPr>
              <w:t>164</w:t>
            </w:r>
          </w:p>
        </w:tc>
        <w:tc>
          <w:tcPr>
            <w:tcW w:w="810" w:type="dxa"/>
            <w:tcMar>
              <w:left w:w="72" w:type="dxa"/>
              <w:right w:w="72" w:type="dxa"/>
            </w:tcMar>
          </w:tcPr>
          <w:p w14:paraId="39DFFEFB" w14:textId="77777777" w:rsidR="00EB155C" w:rsidRPr="00C01C8C" w:rsidRDefault="00EB155C" w:rsidP="00EB155C">
            <w:pPr>
              <w:pStyle w:val="TableText"/>
              <w:jc w:val="right"/>
            </w:pPr>
            <w:r w:rsidRPr="00C01C8C">
              <w:rPr>
                <w:rFonts w:cs="Arial"/>
              </w:rPr>
              <w:t>1136</w:t>
            </w:r>
          </w:p>
        </w:tc>
        <w:tc>
          <w:tcPr>
            <w:tcW w:w="1027" w:type="dxa"/>
            <w:tcMar>
              <w:left w:w="72" w:type="dxa"/>
              <w:right w:w="72" w:type="dxa"/>
            </w:tcMar>
          </w:tcPr>
          <w:p w14:paraId="6145AF75" w14:textId="77777777" w:rsidR="00EB155C" w:rsidRPr="00C01C8C" w:rsidRDefault="00EB155C" w:rsidP="00EB155C">
            <w:pPr>
              <w:pStyle w:val="TableText"/>
              <w:jc w:val="right"/>
              <w:rPr>
                <w:rFonts w:eastAsia="Times New Roman" w:cs="Arial"/>
              </w:rPr>
            </w:pPr>
            <w:r w:rsidRPr="00C01C8C">
              <w:rPr>
                <w:rFonts w:cs="Arial"/>
              </w:rPr>
              <w:t>25.3 (21.3,</w:t>
            </w:r>
            <w:r>
              <w:rPr>
                <w:rFonts w:cs="Arial"/>
              </w:rPr>
              <w:t xml:space="preserve"> </w:t>
            </w:r>
            <w:r w:rsidRPr="00C01C8C">
              <w:rPr>
                <w:rFonts w:cs="Arial"/>
              </w:rPr>
              <w:t>29.8)</w:t>
            </w:r>
          </w:p>
        </w:tc>
        <w:tc>
          <w:tcPr>
            <w:tcW w:w="503" w:type="dxa"/>
            <w:tcMar>
              <w:left w:w="72" w:type="dxa"/>
              <w:right w:w="72" w:type="dxa"/>
            </w:tcMar>
          </w:tcPr>
          <w:p w14:paraId="49691842" w14:textId="77777777" w:rsidR="00EB155C" w:rsidRPr="00C01C8C" w:rsidRDefault="00EB155C" w:rsidP="00EB155C">
            <w:pPr>
              <w:pStyle w:val="TableText"/>
              <w:jc w:val="right"/>
            </w:pPr>
            <w:r w:rsidRPr="00C01C8C">
              <w:rPr>
                <w:rFonts w:cs="Arial"/>
              </w:rPr>
              <w:t>59</w:t>
            </w:r>
          </w:p>
        </w:tc>
        <w:tc>
          <w:tcPr>
            <w:tcW w:w="810" w:type="dxa"/>
            <w:tcMar>
              <w:left w:w="72" w:type="dxa"/>
              <w:right w:w="72" w:type="dxa"/>
            </w:tcMar>
          </w:tcPr>
          <w:p w14:paraId="5FD48660" w14:textId="77777777" w:rsidR="00EB155C" w:rsidRPr="00C01C8C" w:rsidRDefault="00EB155C" w:rsidP="00EB155C">
            <w:pPr>
              <w:pStyle w:val="TableText"/>
              <w:jc w:val="right"/>
            </w:pPr>
            <w:r w:rsidRPr="00C01C8C">
              <w:rPr>
                <w:rFonts w:cs="Arial"/>
              </w:rPr>
              <w:t>360</w:t>
            </w:r>
          </w:p>
        </w:tc>
        <w:tc>
          <w:tcPr>
            <w:tcW w:w="1064" w:type="dxa"/>
            <w:tcMar>
              <w:left w:w="72" w:type="dxa"/>
              <w:right w:w="72" w:type="dxa"/>
            </w:tcMar>
          </w:tcPr>
          <w:p w14:paraId="7733E803" w14:textId="77777777" w:rsidR="00EB155C" w:rsidRPr="00C01C8C" w:rsidRDefault="00EB155C" w:rsidP="00EB155C">
            <w:pPr>
              <w:pStyle w:val="TableText"/>
              <w:jc w:val="right"/>
              <w:rPr>
                <w:rFonts w:eastAsia="Times New Roman" w:cs="Arial"/>
              </w:rPr>
            </w:pPr>
            <w:r w:rsidRPr="00C01C8C">
              <w:rPr>
                <w:rFonts w:cs="Arial"/>
              </w:rPr>
              <w:t>30.3 (22.9,</w:t>
            </w:r>
            <w:r>
              <w:rPr>
                <w:rFonts w:cs="Arial"/>
              </w:rPr>
              <w:t xml:space="preserve"> </w:t>
            </w:r>
            <w:r w:rsidRPr="00C01C8C">
              <w:rPr>
                <w:rFonts w:cs="Arial"/>
              </w:rPr>
              <w:t>38.9)</w:t>
            </w:r>
          </w:p>
        </w:tc>
        <w:tc>
          <w:tcPr>
            <w:tcW w:w="556" w:type="dxa"/>
            <w:tcMar>
              <w:left w:w="72" w:type="dxa"/>
              <w:right w:w="72" w:type="dxa"/>
            </w:tcMar>
          </w:tcPr>
          <w:p w14:paraId="1D58C4CF" w14:textId="77777777" w:rsidR="00EB155C" w:rsidRPr="00C01C8C" w:rsidRDefault="00EB155C" w:rsidP="00EB155C">
            <w:pPr>
              <w:pStyle w:val="TableText"/>
              <w:jc w:val="right"/>
            </w:pPr>
            <w:r w:rsidRPr="00C01C8C">
              <w:rPr>
                <w:rFonts w:cs="Arial"/>
              </w:rPr>
              <w:t>571</w:t>
            </w:r>
          </w:p>
        </w:tc>
        <w:tc>
          <w:tcPr>
            <w:tcW w:w="810" w:type="dxa"/>
            <w:tcMar>
              <w:left w:w="72" w:type="dxa"/>
              <w:right w:w="72" w:type="dxa"/>
            </w:tcMar>
          </w:tcPr>
          <w:p w14:paraId="71830DA4" w14:textId="77777777" w:rsidR="00EB155C" w:rsidRPr="00C01C8C" w:rsidRDefault="00EB155C" w:rsidP="00EB155C">
            <w:pPr>
              <w:pStyle w:val="TableText"/>
              <w:jc w:val="right"/>
            </w:pPr>
            <w:r w:rsidRPr="00C01C8C">
              <w:rPr>
                <w:rFonts w:cs="Arial"/>
              </w:rPr>
              <w:t>2524</w:t>
            </w:r>
          </w:p>
        </w:tc>
        <w:tc>
          <w:tcPr>
            <w:tcW w:w="1011" w:type="dxa"/>
            <w:tcMar>
              <w:left w:w="72" w:type="dxa"/>
              <w:right w:w="72" w:type="dxa"/>
            </w:tcMar>
          </w:tcPr>
          <w:p w14:paraId="4BAF419E" w14:textId="77777777" w:rsidR="00EB155C" w:rsidRPr="00C01C8C" w:rsidRDefault="00EB155C" w:rsidP="00EB155C">
            <w:pPr>
              <w:pStyle w:val="TableText"/>
              <w:jc w:val="right"/>
              <w:rPr>
                <w:rFonts w:eastAsia="Times New Roman" w:cs="Arial"/>
              </w:rPr>
            </w:pPr>
            <w:r w:rsidRPr="00C01C8C">
              <w:rPr>
                <w:rFonts w:cs="Arial"/>
              </w:rPr>
              <w:t>20.8 (17.4,</w:t>
            </w:r>
            <w:r>
              <w:rPr>
                <w:rFonts w:cs="Arial"/>
              </w:rPr>
              <w:t xml:space="preserve"> </w:t>
            </w:r>
            <w:r w:rsidRPr="00C01C8C">
              <w:rPr>
                <w:rFonts w:cs="Arial"/>
              </w:rPr>
              <w:t>24.7)</w:t>
            </w:r>
          </w:p>
        </w:tc>
        <w:tc>
          <w:tcPr>
            <w:tcW w:w="519" w:type="dxa"/>
            <w:tcMar>
              <w:left w:w="72" w:type="dxa"/>
              <w:right w:w="72" w:type="dxa"/>
            </w:tcMar>
          </w:tcPr>
          <w:p w14:paraId="1D7519C0" w14:textId="77777777" w:rsidR="00EB155C" w:rsidRPr="00C01C8C" w:rsidRDefault="00EB155C" w:rsidP="00EB155C">
            <w:pPr>
              <w:pStyle w:val="TableText"/>
              <w:jc w:val="right"/>
            </w:pPr>
            <w:r w:rsidRPr="00C01C8C">
              <w:rPr>
                <w:rFonts w:cs="Arial"/>
              </w:rPr>
              <w:t>62</w:t>
            </w:r>
          </w:p>
        </w:tc>
        <w:tc>
          <w:tcPr>
            <w:tcW w:w="810" w:type="dxa"/>
            <w:tcMar>
              <w:left w:w="72" w:type="dxa"/>
              <w:right w:w="72" w:type="dxa"/>
            </w:tcMar>
          </w:tcPr>
          <w:p w14:paraId="30699BF0" w14:textId="77777777" w:rsidR="00EB155C" w:rsidRPr="00C01C8C" w:rsidRDefault="00EB155C" w:rsidP="00EB155C">
            <w:pPr>
              <w:pStyle w:val="TableText"/>
              <w:jc w:val="right"/>
            </w:pPr>
            <w:r w:rsidRPr="00C01C8C">
              <w:rPr>
                <w:rFonts w:cs="Arial"/>
              </w:rPr>
              <w:t>243</w:t>
            </w:r>
          </w:p>
        </w:tc>
        <w:tc>
          <w:tcPr>
            <w:tcW w:w="1048" w:type="dxa"/>
            <w:tcMar>
              <w:left w:w="72" w:type="dxa"/>
              <w:right w:w="72" w:type="dxa"/>
            </w:tcMar>
          </w:tcPr>
          <w:p w14:paraId="5E902113" w14:textId="77777777" w:rsidR="00EB155C" w:rsidRPr="00C01C8C" w:rsidRDefault="00EB155C" w:rsidP="00EB155C">
            <w:pPr>
              <w:pStyle w:val="TableText"/>
              <w:jc w:val="right"/>
              <w:rPr>
                <w:rFonts w:eastAsia="Times New Roman" w:cs="Arial"/>
              </w:rPr>
            </w:pPr>
            <w:r w:rsidRPr="00C01C8C">
              <w:rPr>
                <w:rFonts w:cs="Arial"/>
              </w:rPr>
              <w:t>23.6 (17.1,</w:t>
            </w:r>
            <w:r>
              <w:rPr>
                <w:rFonts w:cs="Arial"/>
              </w:rPr>
              <w:t xml:space="preserve"> </w:t>
            </w:r>
            <w:r w:rsidRPr="00C01C8C">
              <w:rPr>
                <w:rFonts w:cs="Arial"/>
              </w:rPr>
              <w:t>31.6)</w:t>
            </w:r>
          </w:p>
        </w:tc>
      </w:tr>
      <w:tr w:rsidR="00A7285A" w:rsidRPr="002C58AA" w14:paraId="7FA3D5A1" w14:textId="77777777" w:rsidTr="00A7285A">
        <w:trPr>
          <w:cantSplit/>
        </w:trPr>
        <w:tc>
          <w:tcPr>
            <w:tcW w:w="1998" w:type="dxa"/>
          </w:tcPr>
          <w:p w14:paraId="0CB5A7D8" w14:textId="77777777" w:rsidR="00EB155C" w:rsidRPr="009010C4" w:rsidRDefault="00EB155C" w:rsidP="00EB155C">
            <w:pPr>
              <w:pStyle w:val="TableText"/>
              <w:rPr>
                <w:rFonts w:cstheme="minorHAnsi"/>
              </w:rPr>
            </w:pPr>
            <w:r w:rsidRPr="009010C4">
              <w:rPr>
                <w:rFonts w:cstheme="minorHAnsi"/>
              </w:rPr>
              <w:t>To keep motivated</w:t>
            </w:r>
          </w:p>
        </w:tc>
        <w:tc>
          <w:tcPr>
            <w:tcW w:w="540" w:type="dxa"/>
            <w:tcMar>
              <w:left w:w="72" w:type="dxa"/>
              <w:right w:w="72" w:type="dxa"/>
            </w:tcMar>
          </w:tcPr>
          <w:p w14:paraId="2FF4B694" w14:textId="77777777" w:rsidR="00EB155C" w:rsidRPr="00C01C8C" w:rsidRDefault="00EB155C" w:rsidP="00EB155C">
            <w:pPr>
              <w:pStyle w:val="TableText"/>
              <w:jc w:val="right"/>
            </w:pPr>
            <w:r w:rsidRPr="00C01C8C">
              <w:rPr>
                <w:rFonts w:cs="Arial"/>
              </w:rPr>
              <w:t>213</w:t>
            </w:r>
          </w:p>
        </w:tc>
        <w:tc>
          <w:tcPr>
            <w:tcW w:w="810" w:type="dxa"/>
            <w:tcMar>
              <w:left w:w="72" w:type="dxa"/>
              <w:right w:w="72" w:type="dxa"/>
            </w:tcMar>
          </w:tcPr>
          <w:p w14:paraId="5A0D0C94" w14:textId="77777777" w:rsidR="00EB155C" w:rsidRPr="00C01C8C" w:rsidRDefault="00EB155C" w:rsidP="00EB155C">
            <w:pPr>
              <w:pStyle w:val="TableText"/>
              <w:jc w:val="right"/>
            </w:pPr>
            <w:r w:rsidRPr="00C01C8C">
              <w:rPr>
                <w:rFonts w:cs="Arial"/>
              </w:rPr>
              <w:t>1461</w:t>
            </w:r>
          </w:p>
        </w:tc>
        <w:tc>
          <w:tcPr>
            <w:tcW w:w="1027" w:type="dxa"/>
            <w:tcMar>
              <w:left w:w="72" w:type="dxa"/>
              <w:right w:w="72" w:type="dxa"/>
            </w:tcMar>
          </w:tcPr>
          <w:p w14:paraId="41A8682D" w14:textId="77777777" w:rsidR="00EB155C" w:rsidRPr="00C01C8C" w:rsidRDefault="00EB155C" w:rsidP="00EB155C">
            <w:pPr>
              <w:pStyle w:val="TableText"/>
              <w:jc w:val="right"/>
              <w:rPr>
                <w:rFonts w:eastAsia="Times New Roman" w:cs="Arial"/>
              </w:rPr>
            </w:pPr>
            <w:r w:rsidRPr="00C01C8C">
              <w:rPr>
                <w:rFonts w:cs="Arial"/>
              </w:rPr>
              <w:t>32.5 (28.1,</w:t>
            </w:r>
            <w:r>
              <w:rPr>
                <w:rFonts w:cs="Arial"/>
              </w:rPr>
              <w:t xml:space="preserve"> </w:t>
            </w:r>
            <w:r w:rsidRPr="00C01C8C">
              <w:rPr>
                <w:rFonts w:cs="Arial"/>
              </w:rPr>
              <w:t>37.2)</w:t>
            </w:r>
          </w:p>
        </w:tc>
        <w:tc>
          <w:tcPr>
            <w:tcW w:w="503" w:type="dxa"/>
            <w:tcMar>
              <w:left w:w="72" w:type="dxa"/>
              <w:right w:w="72" w:type="dxa"/>
            </w:tcMar>
          </w:tcPr>
          <w:p w14:paraId="74B15B17" w14:textId="77777777" w:rsidR="00EB155C" w:rsidRPr="00C01C8C" w:rsidRDefault="00EB155C" w:rsidP="00EB155C">
            <w:pPr>
              <w:pStyle w:val="TableText"/>
              <w:jc w:val="right"/>
            </w:pPr>
            <w:r w:rsidRPr="00C01C8C">
              <w:rPr>
                <w:rFonts w:cs="Arial"/>
              </w:rPr>
              <w:t>46</w:t>
            </w:r>
          </w:p>
        </w:tc>
        <w:tc>
          <w:tcPr>
            <w:tcW w:w="810" w:type="dxa"/>
            <w:tcMar>
              <w:left w:w="72" w:type="dxa"/>
              <w:right w:w="72" w:type="dxa"/>
            </w:tcMar>
          </w:tcPr>
          <w:p w14:paraId="53006BE7" w14:textId="77777777" w:rsidR="00EB155C" w:rsidRPr="00C01C8C" w:rsidRDefault="00EB155C" w:rsidP="00EB155C">
            <w:pPr>
              <w:pStyle w:val="TableText"/>
              <w:jc w:val="right"/>
            </w:pPr>
            <w:r w:rsidRPr="00C01C8C">
              <w:rPr>
                <w:rFonts w:cs="Arial"/>
              </w:rPr>
              <w:t>335</w:t>
            </w:r>
          </w:p>
        </w:tc>
        <w:tc>
          <w:tcPr>
            <w:tcW w:w="1064" w:type="dxa"/>
            <w:tcMar>
              <w:left w:w="72" w:type="dxa"/>
              <w:right w:w="72" w:type="dxa"/>
            </w:tcMar>
          </w:tcPr>
          <w:p w14:paraId="52386225" w14:textId="77777777" w:rsidR="00EB155C" w:rsidRPr="00C01C8C" w:rsidRDefault="00EB155C" w:rsidP="00EB155C">
            <w:pPr>
              <w:pStyle w:val="TableText"/>
              <w:jc w:val="right"/>
              <w:rPr>
                <w:rFonts w:eastAsia="Times New Roman" w:cs="Arial"/>
              </w:rPr>
            </w:pPr>
            <w:r w:rsidRPr="00C01C8C">
              <w:rPr>
                <w:rFonts w:cs="Arial"/>
              </w:rPr>
              <w:t>28.2 (20.6,</w:t>
            </w:r>
            <w:r>
              <w:rPr>
                <w:rFonts w:cs="Arial"/>
              </w:rPr>
              <w:t xml:space="preserve"> </w:t>
            </w:r>
            <w:r w:rsidRPr="00C01C8C">
              <w:rPr>
                <w:rFonts w:cs="Arial"/>
              </w:rPr>
              <w:t>37.3)</w:t>
            </w:r>
          </w:p>
        </w:tc>
        <w:tc>
          <w:tcPr>
            <w:tcW w:w="556" w:type="dxa"/>
            <w:tcMar>
              <w:left w:w="72" w:type="dxa"/>
              <w:right w:w="72" w:type="dxa"/>
            </w:tcMar>
          </w:tcPr>
          <w:p w14:paraId="581A0E7D" w14:textId="77777777" w:rsidR="00EB155C" w:rsidRPr="00C01C8C" w:rsidRDefault="00EB155C" w:rsidP="00EB155C">
            <w:pPr>
              <w:pStyle w:val="TableText"/>
              <w:jc w:val="right"/>
            </w:pPr>
            <w:r w:rsidRPr="00C01C8C">
              <w:rPr>
                <w:rFonts w:cs="Arial"/>
              </w:rPr>
              <w:t>608</w:t>
            </w:r>
          </w:p>
        </w:tc>
        <w:tc>
          <w:tcPr>
            <w:tcW w:w="810" w:type="dxa"/>
            <w:tcMar>
              <w:left w:w="72" w:type="dxa"/>
              <w:right w:w="72" w:type="dxa"/>
            </w:tcMar>
          </w:tcPr>
          <w:p w14:paraId="7AAAC492" w14:textId="77777777" w:rsidR="00EB155C" w:rsidRPr="00C01C8C" w:rsidRDefault="00EB155C" w:rsidP="00EB155C">
            <w:pPr>
              <w:pStyle w:val="TableText"/>
              <w:jc w:val="right"/>
            </w:pPr>
            <w:r w:rsidRPr="00C01C8C">
              <w:rPr>
                <w:rFonts w:cs="Arial"/>
              </w:rPr>
              <w:t>3152</w:t>
            </w:r>
          </w:p>
        </w:tc>
        <w:tc>
          <w:tcPr>
            <w:tcW w:w="1011" w:type="dxa"/>
            <w:tcMar>
              <w:left w:w="72" w:type="dxa"/>
              <w:right w:w="72" w:type="dxa"/>
            </w:tcMar>
          </w:tcPr>
          <w:p w14:paraId="04441C37" w14:textId="77777777" w:rsidR="00EB155C" w:rsidRPr="00C01C8C" w:rsidRDefault="00EB155C" w:rsidP="00EB155C">
            <w:pPr>
              <w:pStyle w:val="TableText"/>
              <w:jc w:val="right"/>
              <w:rPr>
                <w:rFonts w:eastAsia="Times New Roman" w:cs="Arial"/>
              </w:rPr>
            </w:pPr>
            <w:r w:rsidRPr="00C01C8C">
              <w:rPr>
                <w:rFonts w:cs="Arial"/>
              </w:rPr>
              <w:t>26.0 (21.6,</w:t>
            </w:r>
            <w:r>
              <w:rPr>
                <w:rFonts w:cs="Arial"/>
              </w:rPr>
              <w:t xml:space="preserve"> </w:t>
            </w:r>
            <w:r w:rsidRPr="00C01C8C">
              <w:rPr>
                <w:rFonts w:cs="Arial"/>
              </w:rPr>
              <w:t>31.0)</w:t>
            </w:r>
          </w:p>
        </w:tc>
        <w:tc>
          <w:tcPr>
            <w:tcW w:w="519" w:type="dxa"/>
            <w:tcMar>
              <w:left w:w="72" w:type="dxa"/>
              <w:right w:w="72" w:type="dxa"/>
            </w:tcMar>
          </w:tcPr>
          <w:p w14:paraId="43FB112B" w14:textId="77777777" w:rsidR="00EB155C" w:rsidRPr="00C01C8C" w:rsidRDefault="00EB155C" w:rsidP="00EB155C">
            <w:pPr>
              <w:pStyle w:val="TableText"/>
              <w:jc w:val="right"/>
            </w:pPr>
            <w:r w:rsidRPr="00C01C8C">
              <w:rPr>
                <w:rFonts w:cs="Arial"/>
              </w:rPr>
              <w:t>89</w:t>
            </w:r>
          </w:p>
        </w:tc>
        <w:tc>
          <w:tcPr>
            <w:tcW w:w="810" w:type="dxa"/>
            <w:tcMar>
              <w:left w:w="72" w:type="dxa"/>
              <w:right w:w="72" w:type="dxa"/>
            </w:tcMar>
          </w:tcPr>
          <w:p w14:paraId="11CE7863" w14:textId="77777777" w:rsidR="00EB155C" w:rsidRPr="00C01C8C" w:rsidRDefault="00EB155C" w:rsidP="00EB155C">
            <w:pPr>
              <w:pStyle w:val="TableText"/>
              <w:jc w:val="right"/>
            </w:pPr>
            <w:r w:rsidRPr="00C01C8C">
              <w:rPr>
                <w:rFonts w:cs="Arial"/>
              </w:rPr>
              <w:t>358</w:t>
            </w:r>
          </w:p>
        </w:tc>
        <w:tc>
          <w:tcPr>
            <w:tcW w:w="1048" w:type="dxa"/>
            <w:tcMar>
              <w:left w:w="72" w:type="dxa"/>
              <w:right w:w="72" w:type="dxa"/>
            </w:tcMar>
          </w:tcPr>
          <w:p w14:paraId="38ED38AB" w14:textId="77777777" w:rsidR="00EB155C" w:rsidRPr="00C01C8C" w:rsidRDefault="00EB155C" w:rsidP="00EB155C">
            <w:pPr>
              <w:pStyle w:val="TableText"/>
              <w:jc w:val="right"/>
              <w:rPr>
                <w:rFonts w:eastAsia="Times New Roman" w:cs="Arial"/>
              </w:rPr>
            </w:pPr>
            <w:r w:rsidRPr="00C01C8C">
              <w:rPr>
                <w:rFonts w:cs="Arial"/>
              </w:rPr>
              <w:t>34.8 (26.5,</w:t>
            </w:r>
            <w:r>
              <w:rPr>
                <w:rFonts w:cs="Arial"/>
              </w:rPr>
              <w:t xml:space="preserve"> </w:t>
            </w:r>
            <w:r w:rsidRPr="00C01C8C">
              <w:rPr>
                <w:rFonts w:cs="Arial"/>
              </w:rPr>
              <w:t>44.1)</w:t>
            </w:r>
          </w:p>
        </w:tc>
      </w:tr>
      <w:tr w:rsidR="00A7285A" w:rsidRPr="002C58AA" w14:paraId="3D1D5C38"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998" w:type="dxa"/>
          </w:tcPr>
          <w:p w14:paraId="4B4775B4" w14:textId="77777777" w:rsidR="00EB155C" w:rsidRPr="009010C4" w:rsidRDefault="00EB155C" w:rsidP="00EB155C">
            <w:pPr>
              <w:pStyle w:val="TableText"/>
              <w:rPr>
                <w:rFonts w:cstheme="minorHAnsi"/>
              </w:rPr>
            </w:pPr>
            <w:r w:rsidRPr="009010C4">
              <w:rPr>
                <w:rFonts w:cstheme="minorHAnsi"/>
              </w:rPr>
              <w:t>To track progress</w:t>
            </w:r>
          </w:p>
        </w:tc>
        <w:tc>
          <w:tcPr>
            <w:tcW w:w="540" w:type="dxa"/>
            <w:tcMar>
              <w:left w:w="72" w:type="dxa"/>
              <w:right w:w="72" w:type="dxa"/>
            </w:tcMar>
          </w:tcPr>
          <w:p w14:paraId="0F7B49BE" w14:textId="77777777" w:rsidR="00EB155C" w:rsidRPr="00C01C8C" w:rsidRDefault="00EB155C" w:rsidP="00EB155C">
            <w:pPr>
              <w:pStyle w:val="TableText"/>
              <w:jc w:val="right"/>
            </w:pPr>
            <w:r w:rsidRPr="00C01C8C">
              <w:rPr>
                <w:rFonts w:cs="Arial"/>
              </w:rPr>
              <w:t>393</w:t>
            </w:r>
          </w:p>
        </w:tc>
        <w:tc>
          <w:tcPr>
            <w:tcW w:w="810" w:type="dxa"/>
            <w:tcMar>
              <w:left w:w="72" w:type="dxa"/>
              <w:right w:w="72" w:type="dxa"/>
            </w:tcMar>
          </w:tcPr>
          <w:p w14:paraId="07C8BF37" w14:textId="77777777" w:rsidR="00EB155C" w:rsidRPr="00C01C8C" w:rsidRDefault="00EB155C" w:rsidP="00EB155C">
            <w:pPr>
              <w:pStyle w:val="TableText"/>
              <w:jc w:val="right"/>
            </w:pPr>
            <w:r w:rsidRPr="00C01C8C">
              <w:rPr>
                <w:rFonts w:cs="Arial"/>
              </w:rPr>
              <w:t>2714</w:t>
            </w:r>
          </w:p>
        </w:tc>
        <w:tc>
          <w:tcPr>
            <w:tcW w:w="1027" w:type="dxa"/>
            <w:tcMar>
              <w:left w:w="72" w:type="dxa"/>
              <w:right w:w="72" w:type="dxa"/>
            </w:tcMar>
          </w:tcPr>
          <w:p w14:paraId="3B5C5581" w14:textId="77777777" w:rsidR="00EB155C" w:rsidRPr="00C01C8C" w:rsidRDefault="00EB155C" w:rsidP="00A7285A">
            <w:pPr>
              <w:pStyle w:val="TableText"/>
              <w:jc w:val="right"/>
              <w:rPr>
                <w:rFonts w:eastAsia="Times New Roman" w:cs="Arial"/>
              </w:rPr>
            </w:pPr>
            <w:r w:rsidRPr="00C01C8C">
              <w:rPr>
                <w:rFonts w:cs="Arial"/>
              </w:rPr>
              <w:t>60.4 (55.5,</w:t>
            </w:r>
            <w:r w:rsidR="00A7285A">
              <w:rPr>
                <w:rFonts w:cs="Arial"/>
              </w:rPr>
              <w:t xml:space="preserve"> </w:t>
            </w:r>
            <w:r w:rsidRPr="00C01C8C">
              <w:rPr>
                <w:rFonts w:cs="Arial"/>
              </w:rPr>
              <w:t>65.0)</w:t>
            </w:r>
          </w:p>
        </w:tc>
        <w:tc>
          <w:tcPr>
            <w:tcW w:w="503" w:type="dxa"/>
            <w:tcMar>
              <w:left w:w="72" w:type="dxa"/>
              <w:right w:w="72" w:type="dxa"/>
            </w:tcMar>
          </w:tcPr>
          <w:p w14:paraId="60491C5D" w14:textId="77777777" w:rsidR="00EB155C" w:rsidRPr="00C01C8C" w:rsidRDefault="00EB155C" w:rsidP="00EB155C">
            <w:pPr>
              <w:pStyle w:val="TableText"/>
              <w:jc w:val="right"/>
            </w:pPr>
            <w:r w:rsidRPr="00C01C8C">
              <w:rPr>
                <w:rFonts w:cs="Arial"/>
              </w:rPr>
              <w:t>100</w:t>
            </w:r>
          </w:p>
        </w:tc>
        <w:tc>
          <w:tcPr>
            <w:tcW w:w="810" w:type="dxa"/>
            <w:tcMar>
              <w:left w:w="72" w:type="dxa"/>
              <w:right w:w="72" w:type="dxa"/>
            </w:tcMar>
          </w:tcPr>
          <w:p w14:paraId="6FD20834" w14:textId="77777777" w:rsidR="00EB155C" w:rsidRPr="00C01C8C" w:rsidRDefault="00EB155C" w:rsidP="00EB155C">
            <w:pPr>
              <w:pStyle w:val="TableText"/>
              <w:jc w:val="right"/>
            </w:pPr>
            <w:r w:rsidRPr="00C01C8C">
              <w:rPr>
                <w:rFonts w:cs="Arial"/>
              </w:rPr>
              <w:t>621</w:t>
            </w:r>
          </w:p>
        </w:tc>
        <w:tc>
          <w:tcPr>
            <w:tcW w:w="1064" w:type="dxa"/>
            <w:tcMar>
              <w:left w:w="72" w:type="dxa"/>
              <w:right w:w="72" w:type="dxa"/>
            </w:tcMar>
          </w:tcPr>
          <w:p w14:paraId="6791ACB9" w14:textId="77777777" w:rsidR="00EB155C" w:rsidRPr="00C01C8C" w:rsidRDefault="00EB155C" w:rsidP="00EB155C">
            <w:pPr>
              <w:pStyle w:val="TableText"/>
              <w:jc w:val="right"/>
              <w:rPr>
                <w:rFonts w:eastAsia="Times New Roman" w:cs="Arial"/>
              </w:rPr>
            </w:pPr>
            <w:r w:rsidRPr="00C01C8C">
              <w:rPr>
                <w:rFonts w:cs="Arial"/>
              </w:rPr>
              <w:t>52.2 (43.5,</w:t>
            </w:r>
            <w:r>
              <w:rPr>
                <w:rFonts w:cs="Arial"/>
              </w:rPr>
              <w:t xml:space="preserve"> </w:t>
            </w:r>
            <w:r w:rsidRPr="00C01C8C">
              <w:rPr>
                <w:rFonts w:cs="Arial"/>
              </w:rPr>
              <w:t>60.8)</w:t>
            </w:r>
          </w:p>
        </w:tc>
        <w:tc>
          <w:tcPr>
            <w:tcW w:w="556" w:type="dxa"/>
            <w:tcMar>
              <w:left w:w="72" w:type="dxa"/>
              <w:right w:w="72" w:type="dxa"/>
            </w:tcMar>
          </w:tcPr>
          <w:p w14:paraId="5A9C1C88" w14:textId="77777777" w:rsidR="00EB155C" w:rsidRPr="00C01C8C" w:rsidRDefault="00EB155C" w:rsidP="00EB155C">
            <w:pPr>
              <w:pStyle w:val="TableText"/>
              <w:jc w:val="right"/>
            </w:pPr>
            <w:r w:rsidRPr="00C01C8C">
              <w:rPr>
                <w:rFonts w:cs="Arial"/>
              </w:rPr>
              <w:t>1244</w:t>
            </w:r>
          </w:p>
        </w:tc>
        <w:tc>
          <w:tcPr>
            <w:tcW w:w="810" w:type="dxa"/>
            <w:tcMar>
              <w:left w:w="72" w:type="dxa"/>
              <w:right w:w="72" w:type="dxa"/>
            </w:tcMar>
          </w:tcPr>
          <w:p w14:paraId="31FF79C1" w14:textId="77777777" w:rsidR="00EB155C" w:rsidRPr="00C01C8C" w:rsidRDefault="00EB155C" w:rsidP="00EB155C">
            <w:pPr>
              <w:pStyle w:val="TableText"/>
              <w:jc w:val="right"/>
            </w:pPr>
            <w:r w:rsidRPr="00C01C8C">
              <w:rPr>
                <w:rFonts w:cs="Arial"/>
              </w:rPr>
              <w:t>6811</w:t>
            </w:r>
          </w:p>
        </w:tc>
        <w:tc>
          <w:tcPr>
            <w:tcW w:w="1011" w:type="dxa"/>
            <w:tcMar>
              <w:left w:w="72" w:type="dxa"/>
              <w:right w:w="72" w:type="dxa"/>
            </w:tcMar>
          </w:tcPr>
          <w:p w14:paraId="30EEAD9E" w14:textId="77777777" w:rsidR="00EB155C" w:rsidRPr="00C01C8C" w:rsidRDefault="00EB155C" w:rsidP="00EB155C">
            <w:pPr>
              <w:pStyle w:val="TableText"/>
              <w:jc w:val="right"/>
              <w:rPr>
                <w:rFonts w:eastAsia="Times New Roman" w:cs="Arial"/>
              </w:rPr>
            </w:pPr>
            <w:r w:rsidRPr="00C01C8C">
              <w:rPr>
                <w:rFonts w:cs="Arial"/>
              </w:rPr>
              <w:t>56.2 (48.3,</w:t>
            </w:r>
            <w:r>
              <w:rPr>
                <w:rFonts w:cs="Arial"/>
              </w:rPr>
              <w:t xml:space="preserve"> </w:t>
            </w:r>
            <w:r w:rsidRPr="00C01C8C">
              <w:rPr>
                <w:rFonts w:cs="Arial"/>
              </w:rPr>
              <w:t>63.9)</w:t>
            </w:r>
          </w:p>
        </w:tc>
        <w:tc>
          <w:tcPr>
            <w:tcW w:w="519" w:type="dxa"/>
            <w:tcMar>
              <w:left w:w="72" w:type="dxa"/>
              <w:right w:w="72" w:type="dxa"/>
            </w:tcMar>
          </w:tcPr>
          <w:p w14:paraId="4F874B55" w14:textId="77777777" w:rsidR="00EB155C" w:rsidRPr="00C01C8C" w:rsidRDefault="00EB155C" w:rsidP="00EB155C">
            <w:pPr>
              <w:pStyle w:val="TableText"/>
              <w:jc w:val="right"/>
            </w:pPr>
            <w:r w:rsidRPr="00C01C8C">
              <w:rPr>
                <w:rFonts w:cs="Arial"/>
              </w:rPr>
              <w:t>145</w:t>
            </w:r>
          </w:p>
        </w:tc>
        <w:tc>
          <w:tcPr>
            <w:tcW w:w="810" w:type="dxa"/>
            <w:tcMar>
              <w:left w:w="72" w:type="dxa"/>
              <w:right w:w="72" w:type="dxa"/>
            </w:tcMar>
          </w:tcPr>
          <w:p w14:paraId="1461D9EB" w14:textId="77777777" w:rsidR="00EB155C" w:rsidRPr="00C01C8C" w:rsidRDefault="00EB155C" w:rsidP="00EB155C">
            <w:pPr>
              <w:pStyle w:val="TableText"/>
              <w:jc w:val="right"/>
            </w:pPr>
            <w:r w:rsidRPr="00C01C8C">
              <w:rPr>
                <w:rFonts w:cs="Arial"/>
              </w:rPr>
              <w:t>554</w:t>
            </w:r>
          </w:p>
        </w:tc>
        <w:tc>
          <w:tcPr>
            <w:tcW w:w="1048" w:type="dxa"/>
            <w:tcMar>
              <w:left w:w="72" w:type="dxa"/>
              <w:right w:w="72" w:type="dxa"/>
            </w:tcMar>
          </w:tcPr>
          <w:p w14:paraId="08F1BE47" w14:textId="77777777" w:rsidR="00EB155C" w:rsidRPr="00C01C8C" w:rsidRDefault="00EB155C" w:rsidP="00EB155C">
            <w:pPr>
              <w:pStyle w:val="TableText"/>
              <w:jc w:val="right"/>
              <w:rPr>
                <w:rFonts w:eastAsia="Times New Roman" w:cs="Arial"/>
              </w:rPr>
            </w:pPr>
            <w:r w:rsidRPr="00C01C8C">
              <w:rPr>
                <w:rFonts w:cs="Arial"/>
              </w:rPr>
              <w:t>53.8 (42.9,</w:t>
            </w:r>
            <w:r>
              <w:rPr>
                <w:rFonts w:cs="Arial"/>
              </w:rPr>
              <w:t xml:space="preserve"> </w:t>
            </w:r>
            <w:r w:rsidRPr="00C01C8C">
              <w:rPr>
                <w:rFonts w:cs="Arial"/>
              </w:rPr>
              <w:t>64.4)</w:t>
            </w:r>
          </w:p>
        </w:tc>
      </w:tr>
    </w:tbl>
    <w:p w14:paraId="2A67B38D" w14:textId="77777777" w:rsidR="00EB155C" w:rsidRPr="006A3EA0" w:rsidRDefault="00EB155C" w:rsidP="00EB155C">
      <w:pPr>
        <w:pStyle w:val="TableNotes"/>
      </w:pPr>
      <w:r w:rsidRPr="006A3EA0">
        <w:t>Notes</w:t>
      </w:r>
    </w:p>
    <w:p w14:paraId="675FEE94" w14:textId="77777777" w:rsidR="00EB155C" w:rsidRDefault="00EB155C" w:rsidP="00EB155C">
      <w:pPr>
        <w:pStyle w:val="TableNotes"/>
      </w:pPr>
      <w:r w:rsidRPr="000E7ECE">
        <w:t>Denominator: Those who use emerging technologies to impr</w:t>
      </w:r>
      <w:r>
        <w:t>ove their health and wellbeing.</w:t>
      </w:r>
    </w:p>
    <w:p w14:paraId="6650931B" w14:textId="77777777" w:rsidR="00EB155C" w:rsidRPr="000E7ECE" w:rsidRDefault="00EB155C" w:rsidP="00EB155C">
      <w:pPr>
        <w:pStyle w:val="TableNotes"/>
      </w:pPr>
      <w:r>
        <w:t>Participants could endorse multiple responses for this question, hence percentages do not add up to 100%. Because responses that were not endorsed were assumed to be left blank intentionally, there are no missing values for this question.</w:t>
      </w:r>
    </w:p>
    <w:p w14:paraId="3C286FDD" w14:textId="77777777" w:rsidR="00EB155C" w:rsidRPr="000E7ECE" w:rsidRDefault="00EB155C" w:rsidP="00EB155C">
      <w:pPr>
        <w:pStyle w:val="TableNotes"/>
      </w:pPr>
      <w:r w:rsidRPr="000E7ECE">
        <w:t>95%CI</w:t>
      </w:r>
      <w:r>
        <w:t xml:space="preserve"> =</w:t>
      </w:r>
      <w:r w:rsidRPr="000E7ECE">
        <w:t xml:space="preserve"> 95% </w:t>
      </w:r>
      <w:r>
        <w:t>confidence interval.</w:t>
      </w:r>
      <w:r w:rsidRPr="000E7ECE">
        <w:t xml:space="preserve"> </w:t>
      </w:r>
    </w:p>
    <w:p w14:paraId="76585131" w14:textId="77777777" w:rsidR="00EB155C" w:rsidRDefault="00EB155C" w:rsidP="00EB155C">
      <w:pPr>
        <w:pStyle w:val="TableNotes"/>
      </w:pPr>
      <w:r w:rsidRPr="000E7ECE">
        <w:t>For a full description of odds ratios, interpretation and strength of association</w:t>
      </w:r>
      <w:r>
        <w:t>,</w:t>
      </w:r>
      <w:r w:rsidRPr="000E7ECE">
        <w:t xml:space="preserve"> please refer to Table B.1 </w:t>
      </w:r>
      <w:r w:rsidRPr="00BB1B84">
        <w:t xml:space="preserve">in </w:t>
      </w:r>
      <w:r w:rsidR="00374073">
        <w:t>Annex </w:t>
      </w:r>
      <w:r>
        <w:t>B, Odds ratio table.</w:t>
      </w:r>
    </w:p>
    <w:p w14:paraId="352FB1D3" w14:textId="77777777" w:rsidR="00EB155C" w:rsidRDefault="00EB155C" w:rsidP="00EB155C">
      <w:pPr>
        <w:pStyle w:val="TableName"/>
        <w:rPr>
          <w:lang w:val="en-US" w:eastAsia="en-AU"/>
        </w:rPr>
      </w:pPr>
      <w:bookmarkStart w:id="604" w:name="_Toc531858010"/>
      <w:r>
        <w:t xml:space="preserve">Table </w:t>
      </w:r>
      <w:r>
        <w:rPr>
          <w:noProof/>
        </w:rPr>
        <w:t>5</w:t>
      </w:r>
      <w:r>
        <w:t>.</w:t>
      </w:r>
      <w:r>
        <w:rPr>
          <w:noProof/>
        </w:rPr>
        <w:t>10</w:t>
      </w:r>
      <w:r>
        <w:tab/>
      </w:r>
      <w:r w:rsidRPr="00B33E9C">
        <w:t xml:space="preserve">The ways in which emerging technologies </w:t>
      </w:r>
      <w:r>
        <w:t>were</w:t>
      </w:r>
      <w:r w:rsidRPr="00B33E9C">
        <w:t xml:space="preserve"> used </w:t>
      </w:r>
      <w:r>
        <w:t>by</w:t>
      </w:r>
      <w:r w:rsidRPr="00B33E9C">
        <w:t xml:space="preserve"> Transitioned ADF and 2015 Regular ADF</w:t>
      </w:r>
      <w:r>
        <w:t xml:space="preserve"> </w:t>
      </w:r>
      <w:r w:rsidRPr="009010C4">
        <w:t xml:space="preserve">with and without </w:t>
      </w:r>
      <w:r>
        <w:t>p</w:t>
      </w:r>
      <w:r w:rsidRPr="009010C4">
        <w:t xml:space="preserve">robable </w:t>
      </w:r>
      <w:r>
        <w:t>d</w:t>
      </w:r>
      <w:r w:rsidRPr="009010C4">
        <w:t>isorder</w:t>
      </w:r>
      <w:r>
        <w:t xml:space="preserve"> when they were not being used to improve health and wellbeing</w:t>
      </w:r>
      <w:bookmarkEnd w:id="604"/>
    </w:p>
    <w:tbl>
      <w:tblPr>
        <w:tblStyle w:val="TWRPTable"/>
        <w:tblW w:w="5000" w:type="pct"/>
        <w:tblLayout w:type="fixed"/>
        <w:tblLook w:val="0000" w:firstRow="0" w:lastRow="0" w:firstColumn="0" w:lastColumn="0" w:noHBand="0" w:noVBand="0"/>
        <w:tblDescription w:val="Table 5.10 The ways in which emerging technologies were used by Transitioned ADF and 2015 Regular ADF with and without probable disorder when they were not being used to improve health and wellbeing"/>
      </w:tblPr>
      <w:tblGrid>
        <w:gridCol w:w="1864"/>
        <w:gridCol w:w="434"/>
        <w:gridCol w:w="794"/>
        <w:gridCol w:w="1093"/>
        <w:gridCol w:w="433"/>
        <w:gridCol w:w="781"/>
        <w:gridCol w:w="1105"/>
        <w:gridCol w:w="497"/>
        <w:gridCol w:w="793"/>
        <w:gridCol w:w="1038"/>
        <w:gridCol w:w="487"/>
        <w:gridCol w:w="870"/>
        <w:gridCol w:w="1091"/>
      </w:tblGrid>
      <w:tr w:rsidR="00A7285A" w:rsidRPr="002C58AA" w14:paraId="5FAC9441" w14:textId="77777777" w:rsidTr="00A7285A">
        <w:trPr>
          <w:cantSplit/>
          <w:tblHeader/>
        </w:trPr>
        <w:tc>
          <w:tcPr>
            <w:tcW w:w="1910" w:type="dxa"/>
            <w:vMerge w:val="restart"/>
            <w:tcBorders>
              <w:top w:val="single" w:sz="4" w:space="0" w:color="000000"/>
            </w:tcBorders>
            <w:vAlign w:val="bottom"/>
          </w:tcPr>
          <w:p w14:paraId="01C5AA39" w14:textId="77777777" w:rsidR="00A7285A" w:rsidRPr="000E7ECE" w:rsidRDefault="00A7285A" w:rsidP="00A7285A">
            <w:pPr>
              <w:pStyle w:val="TableText"/>
              <w:rPr>
                <w:b/>
              </w:rPr>
            </w:pPr>
            <w:r w:rsidRPr="000E7ECE">
              <w:rPr>
                <w:rFonts w:cstheme="minorHAnsi"/>
                <w:b/>
              </w:rPr>
              <w:t>Use of new or emerging technologies for other reasons</w:t>
            </w:r>
          </w:p>
        </w:tc>
        <w:tc>
          <w:tcPr>
            <w:tcW w:w="4728" w:type="dxa"/>
            <w:gridSpan w:val="6"/>
            <w:tcBorders>
              <w:top w:val="single" w:sz="4" w:space="0" w:color="000000"/>
              <w:bottom w:val="single" w:sz="4" w:space="0" w:color="000000"/>
            </w:tcBorders>
          </w:tcPr>
          <w:p w14:paraId="171FF386" w14:textId="77777777" w:rsidR="00A7285A" w:rsidRPr="00CD7977" w:rsidRDefault="00A7285A" w:rsidP="000D09F5">
            <w:pPr>
              <w:pStyle w:val="TableText"/>
              <w:jc w:val="center"/>
              <w:rPr>
                <w:b/>
              </w:rPr>
            </w:pPr>
            <w:r w:rsidRPr="00CD7977">
              <w:rPr>
                <w:b/>
              </w:rPr>
              <w:t>Transitioned ADF using new and emerging technologies for reasons other than to improve their health and wellbeing</w:t>
            </w:r>
            <w:r>
              <w:rPr>
                <w:b/>
              </w:rPr>
              <w:br/>
            </w:r>
            <w:r w:rsidRPr="00CD7977">
              <w:rPr>
                <w:b/>
              </w:rPr>
              <w:t>n=5837</w:t>
            </w:r>
          </w:p>
        </w:tc>
        <w:tc>
          <w:tcPr>
            <w:tcW w:w="4868" w:type="dxa"/>
            <w:gridSpan w:val="6"/>
            <w:tcBorders>
              <w:top w:val="single" w:sz="4" w:space="0" w:color="000000"/>
              <w:bottom w:val="single" w:sz="4" w:space="0" w:color="000000"/>
            </w:tcBorders>
          </w:tcPr>
          <w:p w14:paraId="3FCE129B" w14:textId="77777777" w:rsidR="00A7285A" w:rsidRPr="00CD7977" w:rsidRDefault="00A7285A" w:rsidP="000D09F5">
            <w:pPr>
              <w:pStyle w:val="TableText"/>
              <w:jc w:val="center"/>
              <w:rPr>
                <w:b/>
              </w:rPr>
            </w:pPr>
            <w:r w:rsidRPr="00CD7977">
              <w:rPr>
                <w:b/>
              </w:rPr>
              <w:t>2015 Regular ADF using new and emerging technologies for reasons other than to improve their health and wellbeing</w:t>
            </w:r>
            <w:r>
              <w:rPr>
                <w:b/>
              </w:rPr>
              <w:br/>
            </w:r>
            <w:r w:rsidRPr="00CD7977">
              <w:rPr>
                <w:b/>
              </w:rPr>
              <w:t>n=12,101</w:t>
            </w:r>
          </w:p>
        </w:tc>
      </w:tr>
      <w:tr w:rsidR="00A7285A" w:rsidRPr="002C58AA" w14:paraId="428495C5" w14:textId="77777777" w:rsidTr="00A7285A">
        <w:trPr>
          <w:cantSplit/>
          <w:tblHeader/>
        </w:trPr>
        <w:tc>
          <w:tcPr>
            <w:tcW w:w="1910" w:type="dxa"/>
            <w:vMerge/>
          </w:tcPr>
          <w:p w14:paraId="7AC07A8B" w14:textId="77777777" w:rsidR="00A7285A" w:rsidRPr="000E7ECE" w:rsidRDefault="00A7285A" w:rsidP="00EB155C">
            <w:pPr>
              <w:pStyle w:val="TableText"/>
              <w:rPr>
                <w:b/>
              </w:rPr>
            </w:pPr>
          </w:p>
        </w:tc>
        <w:tc>
          <w:tcPr>
            <w:tcW w:w="2365" w:type="dxa"/>
            <w:gridSpan w:val="3"/>
            <w:tcBorders>
              <w:top w:val="single" w:sz="4" w:space="0" w:color="000000"/>
              <w:bottom w:val="single" w:sz="4" w:space="0" w:color="000000"/>
            </w:tcBorders>
          </w:tcPr>
          <w:p w14:paraId="452A2D24" w14:textId="77777777" w:rsidR="00A7285A" w:rsidRPr="00CD7977" w:rsidRDefault="00A7285A" w:rsidP="000D09F5">
            <w:pPr>
              <w:pStyle w:val="TableText"/>
              <w:jc w:val="center"/>
              <w:rPr>
                <w:b/>
              </w:rPr>
            </w:pPr>
            <w:r w:rsidRPr="00CD7977">
              <w:rPr>
                <w:b/>
              </w:rPr>
              <w:t>No Probable Disorder</w:t>
            </w:r>
            <w:r>
              <w:rPr>
                <w:b/>
              </w:rPr>
              <w:br/>
            </w:r>
            <w:r w:rsidRPr="00CD7977">
              <w:rPr>
                <w:b/>
              </w:rPr>
              <w:t>n=4365</w:t>
            </w:r>
          </w:p>
        </w:tc>
        <w:tc>
          <w:tcPr>
            <w:tcW w:w="2363" w:type="dxa"/>
            <w:gridSpan w:val="3"/>
            <w:tcBorders>
              <w:top w:val="single" w:sz="4" w:space="0" w:color="000000"/>
              <w:bottom w:val="single" w:sz="4" w:space="0" w:color="000000"/>
            </w:tcBorders>
          </w:tcPr>
          <w:p w14:paraId="7E12A7A6" w14:textId="77777777" w:rsidR="00A7285A" w:rsidRPr="00CD7977" w:rsidRDefault="00A7285A" w:rsidP="000D09F5">
            <w:pPr>
              <w:pStyle w:val="TableText"/>
              <w:jc w:val="center"/>
              <w:rPr>
                <w:b/>
              </w:rPr>
            </w:pPr>
            <w:r w:rsidRPr="00CD7977">
              <w:rPr>
                <w:b/>
              </w:rPr>
              <w:t>Probable Disorder</w:t>
            </w:r>
            <w:r>
              <w:rPr>
                <w:b/>
              </w:rPr>
              <w:br/>
            </w:r>
            <w:r w:rsidRPr="00CD7977">
              <w:rPr>
                <w:b/>
              </w:rPr>
              <w:t>n=1472</w:t>
            </w:r>
          </w:p>
        </w:tc>
        <w:tc>
          <w:tcPr>
            <w:tcW w:w="2372" w:type="dxa"/>
            <w:gridSpan w:val="3"/>
            <w:tcBorders>
              <w:top w:val="single" w:sz="4" w:space="0" w:color="000000"/>
              <w:bottom w:val="single" w:sz="4" w:space="0" w:color="000000"/>
            </w:tcBorders>
          </w:tcPr>
          <w:p w14:paraId="2CB688E3" w14:textId="77777777" w:rsidR="00A7285A" w:rsidRPr="00CD7977" w:rsidRDefault="00A7285A" w:rsidP="000D09F5">
            <w:pPr>
              <w:pStyle w:val="TableText"/>
              <w:jc w:val="center"/>
              <w:rPr>
                <w:b/>
              </w:rPr>
            </w:pPr>
            <w:r w:rsidRPr="00CD7977">
              <w:rPr>
                <w:b/>
              </w:rPr>
              <w:t>No Probable Disorder</w:t>
            </w:r>
            <w:r>
              <w:rPr>
                <w:b/>
              </w:rPr>
              <w:br/>
            </w:r>
            <w:r w:rsidRPr="00CD7977">
              <w:rPr>
                <w:b/>
              </w:rPr>
              <w:t>n=10</w:t>
            </w:r>
            <w:r>
              <w:rPr>
                <w:b/>
              </w:rPr>
              <w:t>,</w:t>
            </w:r>
            <w:r w:rsidRPr="00CD7977">
              <w:rPr>
                <w:b/>
              </w:rPr>
              <w:t>401</w:t>
            </w:r>
          </w:p>
        </w:tc>
        <w:tc>
          <w:tcPr>
            <w:tcW w:w="2496" w:type="dxa"/>
            <w:gridSpan w:val="3"/>
            <w:tcBorders>
              <w:top w:val="single" w:sz="4" w:space="0" w:color="000000"/>
              <w:bottom w:val="single" w:sz="4" w:space="0" w:color="000000"/>
            </w:tcBorders>
          </w:tcPr>
          <w:p w14:paraId="71AE306C" w14:textId="77777777" w:rsidR="00A7285A" w:rsidRPr="00CD7977" w:rsidRDefault="00A7285A" w:rsidP="000D09F5">
            <w:pPr>
              <w:pStyle w:val="TableText"/>
              <w:jc w:val="center"/>
              <w:rPr>
                <w:b/>
              </w:rPr>
            </w:pPr>
            <w:r w:rsidRPr="00CD7977">
              <w:rPr>
                <w:b/>
              </w:rPr>
              <w:t>Probable Disorder</w:t>
            </w:r>
            <w:r>
              <w:rPr>
                <w:b/>
              </w:rPr>
              <w:br/>
            </w:r>
            <w:r w:rsidRPr="00CD7977">
              <w:rPr>
                <w:b/>
              </w:rPr>
              <w:t>n=1700</w:t>
            </w:r>
          </w:p>
        </w:tc>
      </w:tr>
      <w:tr w:rsidR="00A7285A" w:rsidRPr="002C58AA" w14:paraId="61D0A662" w14:textId="77777777" w:rsidTr="00D6757C">
        <w:trPr>
          <w:cantSplit/>
          <w:tblHeader/>
        </w:trPr>
        <w:tc>
          <w:tcPr>
            <w:tcW w:w="1910" w:type="dxa"/>
            <w:vMerge/>
            <w:tcBorders>
              <w:bottom w:val="single" w:sz="4" w:space="0" w:color="000000"/>
            </w:tcBorders>
          </w:tcPr>
          <w:p w14:paraId="73728E30" w14:textId="77777777" w:rsidR="00A7285A" w:rsidRPr="000E7ECE" w:rsidRDefault="00A7285A" w:rsidP="00EB155C">
            <w:pPr>
              <w:pStyle w:val="TableText"/>
              <w:rPr>
                <w:b/>
              </w:rPr>
            </w:pPr>
          </w:p>
        </w:tc>
        <w:tc>
          <w:tcPr>
            <w:tcW w:w="439" w:type="dxa"/>
            <w:tcBorders>
              <w:top w:val="single" w:sz="4" w:space="0" w:color="000000"/>
              <w:bottom w:val="single" w:sz="4" w:space="0" w:color="000000"/>
            </w:tcBorders>
            <w:vAlign w:val="bottom"/>
          </w:tcPr>
          <w:p w14:paraId="0CC5CFA9" w14:textId="77777777" w:rsidR="00A7285A" w:rsidRPr="000E7ECE" w:rsidRDefault="00A7285A" w:rsidP="00D6757C">
            <w:pPr>
              <w:pStyle w:val="TableText"/>
              <w:jc w:val="right"/>
              <w:rPr>
                <w:b/>
              </w:rPr>
            </w:pPr>
            <w:r w:rsidRPr="000E7ECE">
              <w:rPr>
                <w:b/>
              </w:rPr>
              <w:t>n</w:t>
            </w:r>
          </w:p>
        </w:tc>
        <w:tc>
          <w:tcPr>
            <w:tcW w:w="809" w:type="dxa"/>
            <w:tcBorders>
              <w:top w:val="single" w:sz="4" w:space="0" w:color="000000"/>
              <w:bottom w:val="single" w:sz="4" w:space="0" w:color="000000"/>
            </w:tcBorders>
            <w:vAlign w:val="bottom"/>
          </w:tcPr>
          <w:p w14:paraId="1BBC4291" w14:textId="77777777" w:rsidR="00A7285A" w:rsidRPr="000E7ECE" w:rsidRDefault="00A7285A" w:rsidP="00D6757C">
            <w:pPr>
              <w:pStyle w:val="TableText"/>
              <w:jc w:val="right"/>
              <w:rPr>
                <w:b/>
              </w:rPr>
            </w:pPr>
            <w:r w:rsidRPr="000E7ECE">
              <w:rPr>
                <w:b/>
              </w:rPr>
              <w:t>Weighted n</w:t>
            </w:r>
          </w:p>
        </w:tc>
        <w:tc>
          <w:tcPr>
            <w:tcW w:w="1117" w:type="dxa"/>
            <w:tcBorders>
              <w:top w:val="single" w:sz="4" w:space="0" w:color="000000"/>
              <w:bottom w:val="single" w:sz="4" w:space="0" w:color="000000"/>
            </w:tcBorders>
            <w:vAlign w:val="bottom"/>
          </w:tcPr>
          <w:p w14:paraId="205262AF" w14:textId="77777777" w:rsidR="00A7285A" w:rsidRPr="000E7ECE" w:rsidRDefault="00A7285A" w:rsidP="00D6757C">
            <w:pPr>
              <w:pStyle w:val="TableText"/>
              <w:jc w:val="right"/>
              <w:rPr>
                <w:b/>
              </w:rPr>
            </w:pPr>
            <w:r w:rsidRPr="000E7ECE">
              <w:rPr>
                <w:b/>
              </w:rPr>
              <w:t>% (95%CI)</w:t>
            </w:r>
          </w:p>
        </w:tc>
        <w:tc>
          <w:tcPr>
            <w:tcW w:w="438" w:type="dxa"/>
            <w:tcBorders>
              <w:top w:val="single" w:sz="4" w:space="0" w:color="000000"/>
              <w:bottom w:val="single" w:sz="4" w:space="0" w:color="000000"/>
            </w:tcBorders>
            <w:vAlign w:val="bottom"/>
          </w:tcPr>
          <w:p w14:paraId="13A09B49" w14:textId="77777777" w:rsidR="00A7285A" w:rsidRPr="000E7ECE" w:rsidRDefault="00A7285A" w:rsidP="00D6757C">
            <w:pPr>
              <w:pStyle w:val="TableText"/>
              <w:jc w:val="right"/>
              <w:rPr>
                <w:b/>
              </w:rPr>
            </w:pPr>
            <w:r w:rsidRPr="000E7ECE">
              <w:rPr>
                <w:b/>
              </w:rPr>
              <w:t>n</w:t>
            </w:r>
          </w:p>
        </w:tc>
        <w:tc>
          <w:tcPr>
            <w:tcW w:w="796" w:type="dxa"/>
            <w:tcBorders>
              <w:top w:val="single" w:sz="4" w:space="0" w:color="000000"/>
              <w:bottom w:val="single" w:sz="4" w:space="0" w:color="000000"/>
            </w:tcBorders>
            <w:vAlign w:val="bottom"/>
          </w:tcPr>
          <w:p w14:paraId="1371EC7B" w14:textId="77777777" w:rsidR="00A7285A" w:rsidRPr="000E7ECE" w:rsidRDefault="00A7285A" w:rsidP="00D6757C">
            <w:pPr>
              <w:pStyle w:val="TableText"/>
              <w:jc w:val="right"/>
              <w:rPr>
                <w:b/>
              </w:rPr>
            </w:pPr>
            <w:r w:rsidRPr="000E7ECE">
              <w:rPr>
                <w:b/>
              </w:rPr>
              <w:t>Weighted n</w:t>
            </w:r>
          </w:p>
        </w:tc>
        <w:tc>
          <w:tcPr>
            <w:tcW w:w="1129" w:type="dxa"/>
            <w:tcBorders>
              <w:top w:val="single" w:sz="4" w:space="0" w:color="000000"/>
              <w:bottom w:val="single" w:sz="4" w:space="0" w:color="000000"/>
            </w:tcBorders>
            <w:vAlign w:val="bottom"/>
          </w:tcPr>
          <w:p w14:paraId="1489DD90" w14:textId="77777777" w:rsidR="00A7285A" w:rsidRPr="000E7ECE" w:rsidRDefault="00A7285A" w:rsidP="00D6757C">
            <w:pPr>
              <w:pStyle w:val="TableText"/>
              <w:jc w:val="right"/>
              <w:rPr>
                <w:b/>
              </w:rPr>
            </w:pPr>
            <w:r w:rsidRPr="000E7ECE">
              <w:rPr>
                <w:b/>
              </w:rPr>
              <w:t>% (95%CI)</w:t>
            </w:r>
          </w:p>
        </w:tc>
        <w:tc>
          <w:tcPr>
            <w:tcW w:w="504" w:type="dxa"/>
            <w:tcBorders>
              <w:top w:val="single" w:sz="4" w:space="0" w:color="000000"/>
              <w:bottom w:val="single" w:sz="4" w:space="0" w:color="000000"/>
            </w:tcBorders>
            <w:vAlign w:val="bottom"/>
          </w:tcPr>
          <w:p w14:paraId="08059D9B" w14:textId="77777777" w:rsidR="00A7285A" w:rsidRPr="000E7ECE" w:rsidRDefault="00A7285A" w:rsidP="00D6757C">
            <w:pPr>
              <w:pStyle w:val="TableText"/>
              <w:jc w:val="right"/>
              <w:rPr>
                <w:b/>
              </w:rPr>
            </w:pPr>
            <w:r w:rsidRPr="000E7ECE">
              <w:rPr>
                <w:b/>
              </w:rPr>
              <w:t>n</w:t>
            </w:r>
          </w:p>
        </w:tc>
        <w:tc>
          <w:tcPr>
            <w:tcW w:w="808" w:type="dxa"/>
            <w:tcBorders>
              <w:top w:val="single" w:sz="4" w:space="0" w:color="000000"/>
              <w:bottom w:val="single" w:sz="4" w:space="0" w:color="000000"/>
            </w:tcBorders>
            <w:vAlign w:val="bottom"/>
          </w:tcPr>
          <w:p w14:paraId="5A7BF0F0" w14:textId="77777777" w:rsidR="00A7285A" w:rsidRPr="000E7ECE" w:rsidRDefault="00A7285A" w:rsidP="00D6757C">
            <w:pPr>
              <w:pStyle w:val="TableText"/>
              <w:jc w:val="right"/>
              <w:rPr>
                <w:b/>
              </w:rPr>
            </w:pPr>
            <w:r w:rsidRPr="000E7ECE">
              <w:rPr>
                <w:b/>
              </w:rPr>
              <w:t>Weighted n</w:t>
            </w:r>
          </w:p>
        </w:tc>
        <w:tc>
          <w:tcPr>
            <w:tcW w:w="1060" w:type="dxa"/>
            <w:tcBorders>
              <w:top w:val="single" w:sz="4" w:space="0" w:color="000000"/>
              <w:bottom w:val="single" w:sz="4" w:space="0" w:color="000000"/>
            </w:tcBorders>
            <w:vAlign w:val="bottom"/>
          </w:tcPr>
          <w:p w14:paraId="5FD718C7" w14:textId="77777777" w:rsidR="00A7285A" w:rsidRPr="000E7ECE" w:rsidRDefault="00A7285A" w:rsidP="00D6757C">
            <w:pPr>
              <w:pStyle w:val="TableText"/>
              <w:jc w:val="right"/>
              <w:rPr>
                <w:b/>
              </w:rPr>
            </w:pPr>
            <w:r w:rsidRPr="000E7ECE">
              <w:rPr>
                <w:b/>
              </w:rPr>
              <w:t>% (95%CI)</w:t>
            </w:r>
          </w:p>
        </w:tc>
        <w:tc>
          <w:tcPr>
            <w:tcW w:w="494" w:type="dxa"/>
            <w:tcBorders>
              <w:top w:val="single" w:sz="4" w:space="0" w:color="000000"/>
              <w:bottom w:val="single" w:sz="4" w:space="0" w:color="000000"/>
            </w:tcBorders>
            <w:vAlign w:val="bottom"/>
          </w:tcPr>
          <w:p w14:paraId="59DE7238" w14:textId="77777777" w:rsidR="00A7285A" w:rsidRPr="000E7ECE" w:rsidRDefault="00A7285A" w:rsidP="00D6757C">
            <w:pPr>
              <w:pStyle w:val="TableText"/>
              <w:jc w:val="right"/>
              <w:rPr>
                <w:b/>
              </w:rPr>
            </w:pPr>
            <w:r w:rsidRPr="000E7ECE">
              <w:rPr>
                <w:b/>
              </w:rPr>
              <w:t>n</w:t>
            </w:r>
          </w:p>
        </w:tc>
        <w:tc>
          <w:tcPr>
            <w:tcW w:w="887" w:type="dxa"/>
            <w:tcBorders>
              <w:top w:val="single" w:sz="4" w:space="0" w:color="000000"/>
              <w:bottom w:val="single" w:sz="4" w:space="0" w:color="000000"/>
            </w:tcBorders>
            <w:vAlign w:val="bottom"/>
          </w:tcPr>
          <w:p w14:paraId="45D0A5B6" w14:textId="77777777" w:rsidR="00A7285A" w:rsidRPr="000E7ECE" w:rsidRDefault="00A7285A" w:rsidP="00D6757C">
            <w:pPr>
              <w:pStyle w:val="TableText"/>
              <w:jc w:val="right"/>
              <w:rPr>
                <w:b/>
              </w:rPr>
            </w:pPr>
            <w:r w:rsidRPr="000E7ECE">
              <w:rPr>
                <w:b/>
              </w:rPr>
              <w:t>Weighted n</w:t>
            </w:r>
          </w:p>
        </w:tc>
        <w:tc>
          <w:tcPr>
            <w:tcW w:w="1115" w:type="dxa"/>
            <w:tcBorders>
              <w:top w:val="single" w:sz="4" w:space="0" w:color="000000"/>
              <w:bottom w:val="single" w:sz="4" w:space="0" w:color="000000"/>
            </w:tcBorders>
            <w:vAlign w:val="bottom"/>
          </w:tcPr>
          <w:p w14:paraId="70720903" w14:textId="77777777" w:rsidR="00A7285A" w:rsidRPr="000E7ECE" w:rsidRDefault="00A7285A" w:rsidP="00D6757C">
            <w:pPr>
              <w:pStyle w:val="TableText"/>
              <w:jc w:val="right"/>
              <w:rPr>
                <w:b/>
              </w:rPr>
            </w:pPr>
            <w:r w:rsidRPr="000E7ECE">
              <w:rPr>
                <w:b/>
              </w:rPr>
              <w:t>% (95%CI)</w:t>
            </w:r>
          </w:p>
        </w:tc>
      </w:tr>
      <w:tr w:rsidR="00EB155C" w:rsidRPr="002C58AA" w14:paraId="7FE89DDF"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910" w:type="dxa"/>
            <w:tcBorders>
              <w:top w:val="single" w:sz="4" w:space="0" w:color="000000"/>
            </w:tcBorders>
          </w:tcPr>
          <w:p w14:paraId="1C8BE5D4" w14:textId="77777777" w:rsidR="00EB155C" w:rsidRPr="009010C4" w:rsidRDefault="00EB155C" w:rsidP="00EB155C">
            <w:pPr>
              <w:pStyle w:val="TableText"/>
              <w:rPr>
                <w:rFonts w:cstheme="minorHAnsi"/>
              </w:rPr>
            </w:pPr>
            <w:r w:rsidRPr="009010C4">
              <w:rPr>
                <w:rFonts w:cstheme="minorHAnsi"/>
              </w:rPr>
              <w:t>To enhance social interaction</w:t>
            </w:r>
          </w:p>
        </w:tc>
        <w:tc>
          <w:tcPr>
            <w:tcW w:w="439" w:type="dxa"/>
            <w:tcBorders>
              <w:top w:val="single" w:sz="4" w:space="0" w:color="000000"/>
            </w:tcBorders>
          </w:tcPr>
          <w:p w14:paraId="3DFCC2E4" w14:textId="77777777" w:rsidR="00EB155C" w:rsidRPr="00C01C8C" w:rsidRDefault="00EB155C" w:rsidP="00EB155C">
            <w:pPr>
              <w:pStyle w:val="TableText"/>
              <w:jc w:val="right"/>
            </w:pPr>
            <w:r w:rsidRPr="00C01C8C">
              <w:rPr>
                <w:rFonts w:cs="Arial"/>
              </w:rPr>
              <w:t>175</w:t>
            </w:r>
          </w:p>
        </w:tc>
        <w:tc>
          <w:tcPr>
            <w:tcW w:w="809" w:type="dxa"/>
            <w:tcBorders>
              <w:top w:val="single" w:sz="4" w:space="0" w:color="000000"/>
            </w:tcBorders>
          </w:tcPr>
          <w:p w14:paraId="24CD8C9B" w14:textId="77777777" w:rsidR="00EB155C" w:rsidRPr="00C01C8C" w:rsidRDefault="00EB155C" w:rsidP="00EB155C">
            <w:pPr>
              <w:pStyle w:val="TableText"/>
              <w:jc w:val="right"/>
            </w:pPr>
            <w:r w:rsidRPr="00C01C8C">
              <w:rPr>
                <w:rFonts w:cs="Arial"/>
              </w:rPr>
              <w:t>1243</w:t>
            </w:r>
          </w:p>
        </w:tc>
        <w:tc>
          <w:tcPr>
            <w:tcW w:w="1117" w:type="dxa"/>
            <w:tcBorders>
              <w:top w:val="single" w:sz="4" w:space="0" w:color="000000"/>
            </w:tcBorders>
          </w:tcPr>
          <w:p w14:paraId="7C97DFBC" w14:textId="77777777" w:rsidR="00EB155C" w:rsidRPr="00C01C8C" w:rsidRDefault="00EB155C" w:rsidP="00EB155C">
            <w:pPr>
              <w:pStyle w:val="TableText"/>
              <w:jc w:val="right"/>
              <w:rPr>
                <w:rFonts w:eastAsia="Times New Roman" w:cs="Arial"/>
              </w:rPr>
            </w:pPr>
            <w:r w:rsidRPr="00C01C8C">
              <w:rPr>
                <w:rFonts w:cs="Arial"/>
              </w:rPr>
              <w:t>28.5 (24.1,</w:t>
            </w:r>
            <w:r>
              <w:rPr>
                <w:rFonts w:cs="Arial"/>
              </w:rPr>
              <w:t xml:space="preserve"> </w:t>
            </w:r>
            <w:r w:rsidRPr="00C01C8C">
              <w:rPr>
                <w:rFonts w:cs="Arial"/>
              </w:rPr>
              <w:t>33.3)</w:t>
            </w:r>
          </w:p>
        </w:tc>
        <w:tc>
          <w:tcPr>
            <w:tcW w:w="438" w:type="dxa"/>
            <w:tcBorders>
              <w:top w:val="single" w:sz="4" w:space="0" w:color="000000"/>
            </w:tcBorders>
          </w:tcPr>
          <w:p w14:paraId="696F2FCC" w14:textId="77777777" w:rsidR="00EB155C" w:rsidRPr="00C01C8C" w:rsidRDefault="00EB155C" w:rsidP="00EB155C">
            <w:pPr>
              <w:pStyle w:val="TableText"/>
              <w:jc w:val="right"/>
            </w:pPr>
            <w:r w:rsidRPr="00C01C8C">
              <w:rPr>
                <w:rFonts w:cs="Arial"/>
              </w:rPr>
              <w:t>49</w:t>
            </w:r>
          </w:p>
        </w:tc>
        <w:tc>
          <w:tcPr>
            <w:tcW w:w="796" w:type="dxa"/>
            <w:tcBorders>
              <w:top w:val="single" w:sz="4" w:space="0" w:color="000000"/>
            </w:tcBorders>
          </w:tcPr>
          <w:p w14:paraId="698992BA" w14:textId="77777777" w:rsidR="00EB155C" w:rsidRPr="00C01C8C" w:rsidRDefault="00EB155C" w:rsidP="00EB155C">
            <w:pPr>
              <w:pStyle w:val="TableText"/>
              <w:jc w:val="right"/>
            </w:pPr>
            <w:r w:rsidRPr="00C01C8C">
              <w:rPr>
                <w:rFonts w:cs="Arial"/>
              </w:rPr>
              <w:t>455</w:t>
            </w:r>
          </w:p>
        </w:tc>
        <w:tc>
          <w:tcPr>
            <w:tcW w:w="1129" w:type="dxa"/>
            <w:tcBorders>
              <w:top w:val="single" w:sz="4" w:space="0" w:color="000000"/>
            </w:tcBorders>
          </w:tcPr>
          <w:p w14:paraId="5DCEDFCE" w14:textId="77777777" w:rsidR="00EB155C" w:rsidRPr="00C01C8C" w:rsidRDefault="00EB155C" w:rsidP="00EB155C">
            <w:pPr>
              <w:pStyle w:val="TableText"/>
              <w:jc w:val="right"/>
              <w:rPr>
                <w:rFonts w:eastAsia="Times New Roman" w:cs="Arial"/>
              </w:rPr>
            </w:pPr>
            <w:r w:rsidRPr="00C01C8C">
              <w:rPr>
                <w:rFonts w:cs="Arial"/>
              </w:rPr>
              <w:t>30.9 (23.0,</w:t>
            </w:r>
            <w:r>
              <w:rPr>
                <w:rFonts w:cs="Arial"/>
              </w:rPr>
              <w:t xml:space="preserve"> </w:t>
            </w:r>
            <w:r w:rsidRPr="00C01C8C">
              <w:rPr>
                <w:rFonts w:cs="Arial"/>
              </w:rPr>
              <w:t>40.0)</w:t>
            </w:r>
          </w:p>
        </w:tc>
        <w:tc>
          <w:tcPr>
            <w:tcW w:w="504" w:type="dxa"/>
            <w:tcBorders>
              <w:top w:val="single" w:sz="4" w:space="0" w:color="000000"/>
            </w:tcBorders>
          </w:tcPr>
          <w:p w14:paraId="646CD3CD" w14:textId="77777777" w:rsidR="00EB155C" w:rsidRPr="00C01C8C" w:rsidRDefault="00EB155C" w:rsidP="00EB155C">
            <w:pPr>
              <w:pStyle w:val="TableText"/>
              <w:jc w:val="right"/>
            </w:pPr>
            <w:r w:rsidRPr="00C01C8C">
              <w:rPr>
                <w:rFonts w:cs="Arial"/>
              </w:rPr>
              <w:t>445</w:t>
            </w:r>
          </w:p>
        </w:tc>
        <w:tc>
          <w:tcPr>
            <w:tcW w:w="808" w:type="dxa"/>
            <w:tcBorders>
              <w:top w:val="single" w:sz="4" w:space="0" w:color="000000"/>
            </w:tcBorders>
          </w:tcPr>
          <w:p w14:paraId="3E0643E1" w14:textId="77777777" w:rsidR="00EB155C" w:rsidRPr="00C01C8C" w:rsidRDefault="00EB155C" w:rsidP="00EB155C">
            <w:pPr>
              <w:pStyle w:val="TableText"/>
              <w:jc w:val="right"/>
            </w:pPr>
            <w:r w:rsidRPr="00C01C8C">
              <w:rPr>
                <w:rFonts w:cs="Arial"/>
              </w:rPr>
              <w:t>2959</w:t>
            </w:r>
          </w:p>
        </w:tc>
        <w:tc>
          <w:tcPr>
            <w:tcW w:w="1060" w:type="dxa"/>
            <w:tcBorders>
              <w:top w:val="single" w:sz="4" w:space="0" w:color="000000"/>
            </w:tcBorders>
          </w:tcPr>
          <w:p w14:paraId="1166D181" w14:textId="77777777" w:rsidR="00EB155C" w:rsidRPr="00C01C8C" w:rsidRDefault="00EB155C" w:rsidP="00EB155C">
            <w:pPr>
              <w:pStyle w:val="TableText"/>
              <w:jc w:val="right"/>
              <w:rPr>
                <w:rFonts w:eastAsia="Times New Roman" w:cs="Arial"/>
              </w:rPr>
            </w:pPr>
            <w:r w:rsidRPr="00C01C8C">
              <w:rPr>
                <w:rFonts w:cs="Arial"/>
              </w:rPr>
              <w:t>28.5 (20.8,</w:t>
            </w:r>
            <w:r>
              <w:rPr>
                <w:rFonts w:cs="Arial"/>
              </w:rPr>
              <w:t xml:space="preserve"> </w:t>
            </w:r>
            <w:r w:rsidRPr="00C01C8C">
              <w:rPr>
                <w:rFonts w:cs="Arial"/>
              </w:rPr>
              <w:t>37.5)</w:t>
            </w:r>
          </w:p>
        </w:tc>
        <w:tc>
          <w:tcPr>
            <w:tcW w:w="494" w:type="dxa"/>
            <w:tcBorders>
              <w:top w:val="single" w:sz="4" w:space="0" w:color="000000"/>
            </w:tcBorders>
          </w:tcPr>
          <w:p w14:paraId="307FEF45" w14:textId="77777777" w:rsidR="00EB155C" w:rsidRPr="00C01C8C" w:rsidRDefault="00EB155C" w:rsidP="00EB155C">
            <w:pPr>
              <w:pStyle w:val="TableText"/>
              <w:jc w:val="right"/>
            </w:pPr>
            <w:r w:rsidRPr="00C01C8C">
              <w:rPr>
                <w:rFonts w:cs="Arial"/>
              </w:rPr>
              <w:t>59</w:t>
            </w:r>
          </w:p>
        </w:tc>
        <w:tc>
          <w:tcPr>
            <w:tcW w:w="887" w:type="dxa"/>
            <w:tcBorders>
              <w:top w:val="single" w:sz="4" w:space="0" w:color="000000"/>
            </w:tcBorders>
          </w:tcPr>
          <w:p w14:paraId="370B06C1" w14:textId="77777777" w:rsidR="00EB155C" w:rsidRPr="00C01C8C" w:rsidRDefault="00EB155C" w:rsidP="00EB155C">
            <w:pPr>
              <w:pStyle w:val="TableText"/>
              <w:jc w:val="right"/>
            </w:pPr>
            <w:r w:rsidRPr="00C01C8C">
              <w:rPr>
                <w:rFonts w:cs="Arial"/>
              </w:rPr>
              <w:t>664</w:t>
            </w:r>
          </w:p>
        </w:tc>
        <w:tc>
          <w:tcPr>
            <w:tcW w:w="1115" w:type="dxa"/>
            <w:tcBorders>
              <w:top w:val="single" w:sz="4" w:space="0" w:color="000000"/>
            </w:tcBorders>
          </w:tcPr>
          <w:p w14:paraId="3D0EE80A" w14:textId="77777777" w:rsidR="00EB155C" w:rsidRPr="00C01C8C" w:rsidRDefault="00EB155C" w:rsidP="00EB155C">
            <w:pPr>
              <w:pStyle w:val="TableText"/>
              <w:jc w:val="right"/>
              <w:rPr>
                <w:rFonts w:eastAsia="Times New Roman" w:cs="Arial"/>
              </w:rPr>
            </w:pPr>
            <w:r w:rsidRPr="00C01C8C">
              <w:rPr>
                <w:rFonts w:cs="Arial"/>
              </w:rPr>
              <w:t>39.1 (17.5,</w:t>
            </w:r>
            <w:r>
              <w:rPr>
                <w:rFonts w:cs="Arial"/>
              </w:rPr>
              <w:t xml:space="preserve"> </w:t>
            </w:r>
            <w:r w:rsidRPr="00C01C8C">
              <w:rPr>
                <w:rFonts w:cs="Arial"/>
              </w:rPr>
              <w:t>65.9)</w:t>
            </w:r>
          </w:p>
        </w:tc>
      </w:tr>
      <w:tr w:rsidR="00A7285A" w:rsidRPr="002C58AA" w14:paraId="17201DEB" w14:textId="77777777" w:rsidTr="00A7285A">
        <w:trPr>
          <w:cantSplit/>
        </w:trPr>
        <w:tc>
          <w:tcPr>
            <w:tcW w:w="1910" w:type="dxa"/>
          </w:tcPr>
          <w:p w14:paraId="19FD76D7" w14:textId="77777777" w:rsidR="00EB155C" w:rsidRPr="009010C4" w:rsidRDefault="00EB155C" w:rsidP="00EB155C">
            <w:pPr>
              <w:pStyle w:val="TableText"/>
              <w:rPr>
                <w:rFonts w:cstheme="minorHAnsi"/>
              </w:rPr>
            </w:pPr>
            <w:r w:rsidRPr="009010C4">
              <w:rPr>
                <w:rFonts w:cstheme="minorHAnsi"/>
              </w:rPr>
              <w:t>For fun or recreation</w:t>
            </w:r>
          </w:p>
        </w:tc>
        <w:tc>
          <w:tcPr>
            <w:tcW w:w="439" w:type="dxa"/>
          </w:tcPr>
          <w:p w14:paraId="2BC4CF47" w14:textId="77777777" w:rsidR="00EB155C" w:rsidRPr="00C01C8C" w:rsidRDefault="00EB155C" w:rsidP="00EB155C">
            <w:pPr>
              <w:pStyle w:val="TableText"/>
              <w:jc w:val="right"/>
            </w:pPr>
            <w:r w:rsidRPr="00C01C8C">
              <w:rPr>
                <w:rFonts w:cs="Arial"/>
              </w:rPr>
              <w:t>463</w:t>
            </w:r>
          </w:p>
        </w:tc>
        <w:tc>
          <w:tcPr>
            <w:tcW w:w="809" w:type="dxa"/>
          </w:tcPr>
          <w:p w14:paraId="3850A0F9" w14:textId="77777777" w:rsidR="00EB155C" w:rsidRPr="00C01C8C" w:rsidRDefault="00EB155C" w:rsidP="00EB155C">
            <w:pPr>
              <w:pStyle w:val="TableText"/>
              <w:jc w:val="right"/>
            </w:pPr>
            <w:r w:rsidRPr="00C01C8C">
              <w:rPr>
                <w:rFonts w:cs="Arial"/>
              </w:rPr>
              <w:t>3282</w:t>
            </w:r>
          </w:p>
        </w:tc>
        <w:tc>
          <w:tcPr>
            <w:tcW w:w="1117" w:type="dxa"/>
          </w:tcPr>
          <w:p w14:paraId="083C438E" w14:textId="77777777" w:rsidR="00EB155C" w:rsidRPr="00C01C8C" w:rsidRDefault="00EB155C" w:rsidP="00EB155C">
            <w:pPr>
              <w:pStyle w:val="TableText"/>
              <w:jc w:val="right"/>
              <w:rPr>
                <w:rFonts w:eastAsia="Times New Roman" w:cs="Arial"/>
              </w:rPr>
            </w:pPr>
            <w:r w:rsidRPr="00C01C8C">
              <w:rPr>
                <w:rFonts w:cs="Arial"/>
              </w:rPr>
              <w:t>75.2 (70.8,</w:t>
            </w:r>
            <w:r>
              <w:rPr>
                <w:rFonts w:cs="Arial"/>
              </w:rPr>
              <w:t xml:space="preserve"> </w:t>
            </w:r>
            <w:r w:rsidRPr="00C01C8C">
              <w:rPr>
                <w:rFonts w:cs="Arial"/>
              </w:rPr>
              <w:t>79.1)</w:t>
            </w:r>
          </w:p>
        </w:tc>
        <w:tc>
          <w:tcPr>
            <w:tcW w:w="438" w:type="dxa"/>
          </w:tcPr>
          <w:p w14:paraId="0AF862ED" w14:textId="77777777" w:rsidR="00EB155C" w:rsidRPr="00C01C8C" w:rsidRDefault="00EB155C" w:rsidP="00EB155C">
            <w:pPr>
              <w:pStyle w:val="TableText"/>
              <w:jc w:val="right"/>
            </w:pPr>
            <w:r w:rsidRPr="00C01C8C">
              <w:rPr>
                <w:rFonts w:cs="Arial"/>
              </w:rPr>
              <w:t>119</w:t>
            </w:r>
          </w:p>
        </w:tc>
        <w:tc>
          <w:tcPr>
            <w:tcW w:w="796" w:type="dxa"/>
          </w:tcPr>
          <w:p w14:paraId="75F7C462" w14:textId="77777777" w:rsidR="00EB155C" w:rsidRPr="00C01C8C" w:rsidRDefault="00EB155C" w:rsidP="00EB155C">
            <w:pPr>
              <w:pStyle w:val="TableText"/>
              <w:jc w:val="right"/>
            </w:pPr>
            <w:r w:rsidRPr="00C01C8C">
              <w:rPr>
                <w:rFonts w:cs="Arial"/>
              </w:rPr>
              <w:t>958</w:t>
            </w:r>
          </w:p>
        </w:tc>
        <w:tc>
          <w:tcPr>
            <w:tcW w:w="1129" w:type="dxa"/>
          </w:tcPr>
          <w:p w14:paraId="3D35DCD6" w14:textId="77777777" w:rsidR="00EB155C" w:rsidRPr="00C01C8C" w:rsidRDefault="00EB155C" w:rsidP="00EB155C">
            <w:pPr>
              <w:pStyle w:val="TableText"/>
              <w:jc w:val="right"/>
              <w:rPr>
                <w:rFonts w:eastAsia="Times New Roman" w:cs="Arial"/>
              </w:rPr>
            </w:pPr>
            <w:r w:rsidRPr="00C01C8C">
              <w:rPr>
                <w:rFonts w:cs="Arial"/>
              </w:rPr>
              <w:t>65.1 (56.6,</w:t>
            </w:r>
            <w:r>
              <w:rPr>
                <w:rFonts w:cs="Arial"/>
              </w:rPr>
              <w:t xml:space="preserve"> </w:t>
            </w:r>
            <w:r w:rsidRPr="00C01C8C">
              <w:rPr>
                <w:rFonts w:cs="Arial"/>
              </w:rPr>
              <w:t>72.6)</w:t>
            </w:r>
          </w:p>
        </w:tc>
        <w:tc>
          <w:tcPr>
            <w:tcW w:w="504" w:type="dxa"/>
          </w:tcPr>
          <w:p w14:paraId="5665D3AF" w14:textId="77777777" w:rsidR="00EB155C" w:rsidRPr="00C01C8C" w:rsidRDefault="00EB155C" w:rsidP="00EB155C">
            <w:pPr>
              <w:pStyle w:val="TableText"/>
              <w:jc w:val="right"/>
            </w:pPr>
            <w:r w:rsidRPr="00C01C8C">
              <w:rPr>
                <w:rFonts w:cs="Arial"/>
              </w:rPr>
              <w:t>1226</w:t>
            </w:r>
          </w:p>
        </w:tc>
        <w:tc>
          <w:tcPr>
            <w:tcW w:w="808" w:type="dxa"/>
          </w:tcPr>
          <w:p w14:paraId="1B76C787" w14:textId="77777777" w:rsidR="00EB155C" w:rsidRPr="00C01C8C" w:rsidRDefault="00EB155C" w:rsidP="00EB155C">
            <w:pPr>
              <w:pStyle w:val="TableText"/>
              <w:jc w:val="right"/>
            </w:pPr>
            <w:r w:rsidRPr="00C01C8C">
              <w:rPr>
                <w:rFonts w:cs="Arial"/>
              </w:rPr>
              <w:t>8666</w:t>
            </w:r>
          </w:p>
        </w:tc>
        <w:tc>
          <w:tcPr>
            <w:tcW w:w="1060" w:type="dxa"/>
          </w:tcPr>
          <w:p w14:paraId="36D14F8C" w14:textId="77777777" w:rsidR="00EB155C" w:rsidRPr="00C01C8C" w:rsidRDefault="00EB155C" w:rsidP="00EB155C">
            <w:pPr>
              <w:pStyle w:val="TableText"/>
              <w:jc w:val="right"/>
              <w:rPr>
                <w:rFonts w:eastAsia="Times New Roman" w:cs="Arial"/>
              </w:rPr>
            </w:pPr>
            <w:r w:rsidRPr="00C01C8C">
              <w:rPr>
                <w:rFonts w:cs="Arial"/>
              </w:rPr>
              <w:t>83.3 (75.9,</w:t>
            </w:r>
            <w:r>
              <w:rPr>
                <w:rFonts w:cs="Arial"/>
              </w:rPr>
              <w:t xml:space="preserve"> </w:t>
            </w:r>
            <w:r w:rsidRPr="00C01C8C">
              <w:rPr>
                <w:rFonts w:cs="Arial"/>
              </w:rPr>
              <w:t>88.8)</w:t>
            </w:r>
          </w:p>
        </w:tc>
        <w:tc>
          <w:tcPr>
            <w:tcW w:w="494" w:type="dxa"/>
          </w:tcPr>
          <w:p w14:paraId="16E58EF8" w14:textId="77777777" w:rsidR="00EB155C" w:rsidRPr="00C01C8C" w:rsidRDefault="00EB155C" w:rsidP="00EB155C">
            <w:pPr>
              <w:pStyle w:val="TableText"/>
              <w:jc w:val="right"/>
            </w:pPr>
            <w:r w:rsidRPr="00C01C8C">
              <w:rPr>
                <w:rFonts w:cs="Arial"/>
              </w:rPr>
              <w:t>148</w:t>
            </w:r>
          </w:p>
        </w:tc>
        <w:tc>
          <w:tcPr>
            <w:tcW w:w="887" w:type="dxa"/>
          </w:tcPr>
          <w:p w14:paraId="7FAA8327" w14:textId="77777777" w:rsidR="00EB155C" w:rsidRPr="00C01C8C" w:rsidRDefault="00EB155C" w:rsidP="00EB155C">
            <w:pPr>
              <w:pStyle w:val="TableText"/>
              <w:jc w:val="right"/>
            </w:pPr>
            <w:r w:rsidRPr="00C01C8C">
              <w:rPr>
                <w:rFonts w:cs="Arial"/>
              </w:rPr>
              <w:t>1394</w:t>
            </w:r>
          </w:p>
        </w:tc>
        <w:tc>
          <w:tcPr>
            <w:tcW w:w="1115" w:type="dxa"/>
          </w:tcPr>
          <w:p w14:paraId="4B765ED0" w14:textId="77777777" w:rsidR="00EB155C" w:rsidRPr="00C01C8C" w:rsidRDefault="00EB155C" w:rsidP="00EB155C">
            <w:pPr>
              <w:pStyle w:val="TableText"/>
              <w:jc w:val="right"/>
              <w:rPr>
                <w:rFonts w:eastAsia="Times New Roman" w:cs="Arial"/>
              </w:rPr>
            </w:pPr>
            <w:r w:rsidRPr="00C01C8C">
              <w:rPr>
                <w:rFonts w:cs="Arial"/>
              </w:rPr>
              <w:t>82.0 (66.2,</w:t>
            </w:r>
            <w:r>
              <w:rPr>
                <w:rFonts w:cs="Arial"/>
              </w:rPr>
              <w:t xml:space="preserve"> </w:t>
            </w:r>
            <w:r w:rsidRPr="00C01C8C">
              <w:rPr>
                <w:rFonts w:cs="Arial"/>
              </w:rPr>
              <w:t>91.4)</w:t>
            </w:r>
          </w:p>
        </w:tc>
      </w:tr>
      <w:tr w:rsidR="00EB155C" w:rsidRPr="002C58AA" w14:paraId="3E2AACB4"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910" w:type="dxa"/>
          </w:tcPr>
          <w:p w14:paraId="4628775E" w14:textId="77777777" w:rsidR="00EB155C" w:rsidRPr="009010C4" w:rsidRDefault="00EB155C" w:rsidP="00EB155C">
            <w:pPr>
              <w:pStyle w:val="TableText"/>
              <w:rPr>
                <w:rFonts w:cstheme="minorHAnsi"/>
              </w:rPr>
            </w:pPr>
            <w:r w:rsidRPr="009010C4">
              <w:rPr>
                <w:rFonts w:cs="ArialMT"/>
              </w:rPr>
              <w:t>For study or work</w:t>
            </w:r>
          </w:p>
        </w:tc>
        <w:tc>
          <w:tcPr>
            <w:tcW w:w="439" w:type="dxa"/>
          </w:tcPr>
          <w:p w14:paraId="1978376E" w14:textId="77777777" w:rsidR="00EB155C" w:rsidRPr="00C01C8C" w:rsidRDefault="00EB155C" w:rsidP="00EB155C">
            <w:pPr>
              <w:pStyle w:val="TableText"/>
              <w:jc w:val="right"/>
            </w:pPr>
            <w:r w:rsidRPr="00C01C8C">
              <w:rPr>
                <w:rFonts w:cs="Arial"/>
              </w:rPr>
              <w:t>310</w:t>
            </w:r>
          </w:p>
        </w:tc>
        <w:tc>
          <w:tcPr>
            <w:tcW w:w="809" w:type="dxa"/>
          </w:tcPr>
          <w:p w14:paraId="33F3281D" w14:textId="77777777" w:rsidR="00EB155C" w:rsidRPr="00C01C8C" w:rsidRDefault="00EB155C" w:rsidP="00EB155C">
            <w:pPr>
              <w:pStyle w:val="TableText"/>
              <w:jc w:val="right"/>
            </w:pPr>
            <w:r w:rsidRPr="00C01C8C">
              <w:rPr>
                <w:rFonts w:cs="Arial"/>
              </w:rPr>
              <w:t>2315</w:t>
            </w:r>
          </w:p>
        </w:tc>
        <w:tc>
          <w:tcPr>
            <w:tcW w:w="1117" w:type="dxa"/>
          </w:tcPr>
          <w:p w14:paraId="1256C05F" w14:textId="77777777" w:rsidR="00EB155C" w:rsidRPr="00C01C8C" w:rsidRDefault="00EB155C" w:rsidP="00EB155C">
            <w:pPr>
              <w:pStyle w:val="TableText"/>
              <w:jc w:val="right"/>
              <w:rPr>
                <w:rFonts w:eastAsia="Times New Roman" w:cs="Arial"/>
              </w:rPr>
            </w:pPr>
            <w:r w:rsidRPr="00C01C8C">
              <w:rPr>
                <w:rFonts w:cs="Arial"/>
              </w:rPr>
              <w:t>53.0 (48.0,</w:t>
            </w:r>
            <w:r>
              <w:rPr>
                <w:rFonts w:cs="Arial"/>
              </w:rPr>
              <w:t xml:space="preserve"> </w:t>
            </w:r>
            <w:r w:rsidRPr="00C01C8C">
              <w:rPr>
                <w:rFonts w:cs="Arial"/>
              </w:rPr>
              <w:t>58.0)</w:t>
            </w:r>
          </w:p>
        </w:tc>
        <w:tc>
          <w:tcPr>
            <w:tcW w:w="438" w:type="dxa"/>
          </w:tcPr>
          <w:p w14:paraId="251EBC34" w14:textId="77777777" w:rsidR="00EB155C" w:rsidRPr="00C01C8C" w:rsidRDefault="00EB155C" w:rsidP="00EB155C">
            <w:pPr>
              <w:pStyle w:val="TableText"/>
              <w:jc w:val="right"/>
            </w:pPr>
            <w:r w:rsidRPr="00C01C8C">
              <w:rPr>
                <w:rFonts w:cs="Arial"/>
              </w:rPr>
              <w:t>87</w:t>
            </w:r>
          </w:p>
        </w:tc>
        <w:tc>
          <w:tcPr>
            <w:tcW w:w="796" w:type="dxa"/>
          </w:tcPr>
          <w:p w14:paraId="2726D981" w14:textId="77777777" w:rsidR="00EB155C" w:rsidRPr="00C01C8C" w:rsidRDefault="00EB155C" w:rsidP="00EB155C">
            <w:pPr>
              <w:pStyle w:val="TableText"/>
              <w:jc w:val="right"/>
            </w:pPr>
            <w:r w:rsidRPr="00C01C8C">
              <w:rPr>
                <w:rFonts w:cs="Arial"/>
              </w:rPr>
              <w:t>683</w:t>
            </w:r>
          </w:p>
        </w:tc>
        <w:tc>
          <w:tcPr>
            <w:tcW w:w="1129" w:type="dxa"/>
          </w:tcPr>
          <w:p w14:paraId="1872EFB3" w14:textId="77777777" w:rsidR="00EB155C" w:rsidRPr="00C01C8C" w:rsidRDefault="00EB155C" w:rsidP="00EB155C">
            <w:pPr>
              <w:pStyle w:val="TableText"/>
              <w:jc w:val="right"/>
              <w:rPr>
                <w:rFonts w:eastAsia="Times New Roman" w:cs="Arial"/>
              </w:rPr>
            </w:pPr>
            <w:r w:rsidRPr="00C01C8C">
              <w:rPr>
                <w:rFonts w:cs="Arial"/>
              </w:rPr>
              <w:t>46.4 (37.8,</w:t>
            </w:r>
            <w:r>
              <w:rPr>
                <w:rFonts w:cs="Arial"/>
              </w:rPr>
              <w:t xml:space="preserve"> </w:t>
            </w:r>
            <w:r w:rsidRPr="00C01C8C">
              <w:rPr>
                <w:rFonts w:cs="Arial"/>
              </w:rPr>
              <w:t>55.1)</w:t>
            </w:r>
          </w:p>
        </w:tc>
        <w:tc>
          <w:tcPr>
            <w:tcW w:w="504" w:type="dxa"/>
          </w:tcPr>
          <w:p w14:paraId="0C626499" w14:textId="77777777" w:rsidR="00EB155C" w:rsidRPr="00C01C8C" w:rsidRDefault="00EB155C" w:rsidP="00EB155C">
            <w:pPr>
              <w:pStyle w:val="TableText"/>
              <w:jc w:val="right"/>
            </w:pPr>
            <w:r w:rsidRPr="00C01C8C">
              <w:rPr>
                <w:rFonts w:cs="Arial"/>
              </w:rPr>
              <w:t>642</w:t>
            </w:r>
          </w:p>
        </w:tc>
        <w:tc>
          <w:tcPr>
            <w:tcW w:w="808" w:type="dxa"/>
          </w:tcPr>
          <w:p w14:paraId="35B9E865" w14:textId="77777777" w:rsidR="00EB155C" w:rsidRPr="00C01C8C" w:rsidRDefault="00EB155C" w:rsidP="00EB155C">
            <w:pPr>
              <w:pStyle w:val="TableText"/>
              <w:jc w:val="right"/>
            </w:pPr>
            <w:r w:rsidRPr="00C01C8C">
              <w:rPr>
                <w:rFonts w:cs="Arial"/>
              </w:rPr>
              <w:t>3994</w:t>
            </w:r>
          </w:p>
        </w:tc>
        <w:tc>
          <w:tcPr>
            <w:tcW w:w="1060" w:type="dxa"/>
          </w:tcPr>
          <w:p w14:paraId="381547FA" w14:textId="77777777" w:rsidR="00EB155C" w:rsidRPr="00C01C8C" w:rsidRDefault="00EB155C" w:rsidP="00EB155C">
            <w:pPr>
              <w:pStyle w:val="TableText"/>
              <w:jc w:val="right"/>
              <w:rPr>
                <w:rFonts w:eastAsia="Times New Roman" w:cs="Arial"/>
              </w:rPr>
            </w:pPr>
            <w:r w:rsidRPr="00C01C8C">
              <w:rPr>
                <w:rFonts w:cs="Arial"/>
              </w:rPr>
              <w:t>38.4 (30.4,</w:t>
            </w:r>
            <w:r>
              <w:rPr>
                <w:rFonts w:cs="Arial"/>
              </w:rPr>
              <w:t xml:space="preserve"> </w:t>
            </w:r>
            <w:r w:rsidRPr="00C01C8C">
              <w:rPr>
                <w:rFonts w:cs="Arial"/>
              </w:rPr>
              <w:t>47.1)</w:t>
            </w:r>
          </w:p>
        </w:tc>
        <w:tc>
          <w:tcPr>
            <w:tcW w:w="494" w:type="dxa"/>
          </w:tcPr>
          <w:p w14:paraId="23772122" w14:textId="77777777" w:rsidR="00EB155C" w:rsidRPr="00C01C8C" w:rsidRDefault="00EB155C" w:rsidP="00EB155C">
            <w:pPr>
              <w:pStyle w:val="TableText"/>
              <w:jc w:val="right"/>
            </w:pPr>
            <w:r w:rsidRPr="00C01C8C">
              <w:rPr>
                <w:rFonts w:cs="Arial"/>
              </w:rPr>
              <w:t>74</w:t>
            </w:r>
          </w:p>
        </w:tc>
        <w:tc>
          <w:tcPr>
            <w:tcW w:w="887" w:type="dxa"/>
          </w:tcPr>
          <w:p w14:paraId="2C3ECAA1" w14:textId="77777777" w:rsidR="00EB155C" w:rsidRPr="00C01C8C" w:rsidRDefault="00EB155C" w:rsidP="00EB155C">
            <w:pPr>
              <w:pStyle w:val="TableText"/>
              <w:jc w:val="right"/>
            </w:pPr>
            <w:r w:rsidRPr="00C01C8C">
              <w:rPr>
                <w:rFonts w:cs="Arial"/>
              </w:rPr>
              <w:t>544</w:t>
            </w:r>
          </w:p>
        </w:tc>
        <w:tc>
          <w:tcPr>
            <w:tcW w:w="1115" w:type="dxa"/>
          </w:tcPr>
          <w:p w14:paraId="7FF03B94" w14:textId="77777777" w:rsidR="00EB155C" w:rsidRPr="00C01C8C" w:rsidRDefault="00EB155C" w:rsidP="00EB155C">
            <w:pPr>
              <w:pStyle w:val="TableText"/>
              <w:jc w:val="right"/>
              <w:rPr>
                <w:rFonts w:eastAsia="Times New Roman" w:cs="Arial"/>
              </w:rPr>
            </w:pPr>
            <w:r w:rsidRPr="00C01C8C">
              <w:rPr>
                <w:rFonts w:cs="Arial"/>
              </w:rPr>
              <w:t>32.0 (15.1,</w:t>
            </w:r>
            <w:r>
              <w:rPr>
                <w:rFonts w:cs="Arial"/>
              </w:rPr>
              <w:t xml:space="preserve"> </w:t>
            </w:r>
            <w:r w:rsidRPr="00C01C8C">
              <w:rPr>
                <w:rFonts w:cs="Arial"/>
              </w:rPr>
              <w:t>55.3)</w:t>
            </w:r>
          </w:p>
        </w:tc>
      </w:tr>
      <w:tr w:rsidR="00A7285A" w:rsidRPr="002C58AA" w14:paraId="022D75F2" w14:textId="77777777" w:rsidTr="00A7285A">
        <w:trPr>
          <w:cantSplit/>
        </w:trPr>
        <w:tc>
          <w:tcPr>
            <w:tcW w:w="1910" w:type="dxa"/>
          </w:tcPr>
          <w:p w14:paraId="06304CB0" w14:textId="77777777" w:rsidR="00EB155C" w:rsidRPr="009010C4" w:rsidRDefault="00EB155C" w:rsidP="00EB155C">
            <w:pPr>
              <w:pStyle w:val="TableText"/>
              <w:rPr>
                <w:rFonts w:cstheme="minorHAnsi"/>
              </w:rPr>
            </w:pPr>
            <w:r w:rsidRPr="009010C4">
              <w:rPr>
                <w:rFonts w:cstheme="minorHAnsi"/>
              </w:rPr>
              <w:t>To make videos or take photos</w:t>
            </w:r>
          </w:p>
        </w:tc>
        <w:tc>
          <w:tcPr>
            <w:tcW w:w="439" w:type="dxa"/>
          </w:tcPr>
          <w:p w14:paraId="05FAA082" w14:textId="77777777" w:rsidR="00EB155C" w:rsidRPr="00C01C8C" w:rsidRDefault="00EB155C" w:rsidP="00EB155C">
            <w:pPr>
              <w:pStyle w:val="TableText"/>
              <w:jc w:val="right"/>
            </w:pPr>
            <w:r w:rsidRPr="00C01C8C">
              <w:rPr>
                <w:rFonts w:cs="Arial"/>
              </w:rPr>
              <w:t>110</w:t>
            </w:r>
          </w:p>
        </w:tc>
        <w:tc>
          <w:tcPr>
            <w:tcW w:w="809" w:type="dxa"/>
          </w:tcPr>
          <w:p w14:paraId="7AEC40EA" w14:textId="77777777" w:rsidR="00EB155C" w:rsidRPr="00C01C8C" w:rsidRDefault="00EB155C" w:rsidP="00EB155C">
            <w:pPr>
              <w:pStyle w:val="TableText"/>
              <w:jc w:val="right"/>
            </w:pPr>
            <w:r w:rsidRPr="00C01C8C">
              <w:rPr>
                <w:rFonts w:cs="Arial"/>
              </w:rPr>
              <w:t>749</w:t>
            </w:r>
          </w:p>
        </w:tc>
        <w:tc>
          <w:tcPr>
            <w:tcW w:w="1117" w:type="dxa"/>
          </w:tcPr>
          <w:p w14:paraId="548338DC" w14:textId="77777777" w:rsidR="00EB155C" w:rsidRPr="00C01C8C" w:rsidRDefault="00EB155C" w:rsidP="00EB155C">
            <w:pPr>
              <w:pStyle w:val="TableText"/>
              <w:jc w:val="right"/>
              <w:rPr>
                <w:rFonts w:eastAsia="Times New Roman" w:cs="Arial"/>
              </w:rPr>
            </w:pPr>
            <w:r w:rsidRPr="00C01C8C">
              <w:rPr>
                <w:rFonts w:cs="Arial"/>
              </w:rPr>
              <w:t>17.2 (13.7,</w:t>
            </w:r>
            <w:r>
              <w:rPr>
                <w:rFonts w:cs="Arial"/>
              </w:rPr>
              <w:t xml:space="preserve"> </w:t>
            </w:r>
            <w:r w:rsidRPr="00C01C8C">
              <w:rPr>
                <w:rFonts w:cs="Arial"/>
              </w:rPr>
              <w:t>21.2)</w:t>
            </w:r>
          </w:p>
        </w:tc>
        <w:tc>
          <w:tcPr>
            <w:tcW w:w="438" w:type="dxa"/>
          </w:tcPr>
          <w:p w14:paraId="49292078" w14:textId="77777777" w:rsidR="00EB155C" w:rsidRPr="00C01C8C" w:rsidRDefault="00EB155C" w:rsidP="00EB155C">
            <w:pPr>
              <w:pStyle w:val="TableText"/>
              <w:jc w:val="right"/>
            </w:pPr>
            <w:r w:rsidRPr="00C01C8C">
              <w:rPr>
                <w:rFonts w:cs="Arial"/>
              </w:rPr>
              <w:t>37</w:t>
            </w:r>
          </w:p>
        </w:tc>
        <w:tc>
          <w:tcPr>
            <w:tcW w:w="796" w:type="dxa"/>
          </w:tcPr>
          <w:p w14:paraId="49CF7F8C" w14:textId="77777777" w:rsidR="00EB155C" w:rsidRPr="00C01C8C" w:rsidRDefault="00EB155C" w:rsidP="00EB155C">
            <w:pPr>
              <w:pStyle w:val="TableText"/>
              <w:jc w:val="right"/>
            </w:pPr>
            <w:r w:rsidRPr="00C01C8C">
              <w:rPr>
                <w:rFonts w:cs="Arial"/>
              </w:rPr>
              <w:t>358</w:t>
            </w:r>
          </w:p>
        </w:tc>
        <w:tc>
          <w:tcPr>
            <w:tcW w:w="1129" w:type="dxa"/>
          </w:tcPr>
          <w:p w14:paraId="385D038A" w14:textId="77777777" w:rsidR="00EB155C" w:rsidRPr="00C01C8C" w:rsidRDefault="00EB155C" w:rsidP="00EB155C">
            <w:pPr>
              <w:pStyle w:val="TableText"/>
              <w:jc w:val="right"/>
              <w:rPr>
                <w:rFonts w:eastAsia="Times New Roman" w:cs="Arial"/>
              </w:rPr>
            </w:pPr>
            <w:r w:rsidRPr="00C01C8C">
              <w:rPr>
                <w:rFonts w:cs="Arial"/>
              </w:rPr>
              <w:t>24.3 (17.2,</w:t>
            </w:r>
            <w:r>
              <w:rPr>
                <w:rFonts w:cs="Arial"/>
              </w:rPr>
              <w:t xml:space="preserve"> </w:t>
            </w:r>
            <w:r w:rsidRPr="00C01C8C">
              <w:rPr>
                <w:rFonts w:cs="Arial"/>
              </w:rPr>
              <w:t>33.3)</w:t>
            </w:r>
          </w:p>
        </w:tc>
        <w:tc>
          <w:tcPr>
            <w:tcW w:w="504" w:type="dxa"/>
          </w:tcPr>
          <w:p w14:paraId="635D8B44" w14:textId="77777777" w:rsidR="00EB155C" w:rsidRPr="00C01C8C" w:rsidRDefault="00EB155C" w:rsidP="00EB155C">
            <w:pPr>
              <w:pStyle w:val="TableText"/>
              <w:jc w:val="right"/>
            </w:pPr>
            <w:r w:rsidRPr="00C01C8C">
              <w:rPr>
                <w:rFonts w:cs="Arial"/>
              </w:rPr>
              <w:t>307</w:t>
            </w:r>
          </w:p>
        </w:tc>
        <w:tc>
          <w:tcPr>
            <w:tcW w:w="808" w:type="dxa"/>
          </w:tcPr>
          <w:p w14:paraId="16B48A25" w14:textId="77777777" w:rsidR="00EB155C" w:rsidRPr="00C01C8C" w:rsidRDefault="00EB155C" w:rsidP="00EB155C">
            <w:pPr>
              <w:pStyle w:val="TableText"/>
              <w:jc w:val="right"/>
            </w:pPr>
            <w:r w:rsidRPr="00C01C8C">
              <w:rPr>
                <w:rFonts w:cs="Arial"/>
              </w:rPr>
              <w:t>2330</w:t>
            </w:r>
          </w:p>
        </w:tc>
        <w:tc>
          <w:tcPr>
            <w:tcW w:w="1060" w:type="dxa"/>
          </w:tcPr>
          <w:p w14:paraId="27246A23" w14:textId="77777777" w:rsidR="00EB155C" w:rsidRPr="00C01C8C" w:rsidRDefault="00EB155C" w:rsidP="00EB155C">
            <w:pPr>
              <w:pStyle w:val="TableText"/>
              <w:jc w:val="right"/>
              <w:rPr>
                <w:rFonts w:eastAsia="Times New Roman" w:cs="Arial"/>
              </w:rPr>
            </w:pPr>
            <w:r w:rsidRPr="00C01C8C">
              <w:rPr>
                <w:rFonts w:cs="Arial"/>
              </w:rPr>
              <w:t>22.4 (15.1,</w:t>
            </w:r>
            <w:r>
              <w:rPr>
                <w:rFonts w:cs="Arial"/>
              </w:rPr>
              <w:t xml:space="preserve"> </w:t>
            </w:r>
            <w:r w:rsidRPr="00C01C8C">
              <w:rPr>
                <w:rFonts w:cs="Arial"/>
              </w:rPr>
              <w:t>31.9)</w:t>
            </w:r>
          </w:p>
        </w:tc>
        <w:tc>
          <w:tcPr>
            <w:tcW w:w="494" w:type="dxa"/>
          </w:tcPr>
          <w:p w14:paraId="3B087923" w14:textId="77777777" w:rsidR="00EB155C" w:rsidRPr="00C01C8C" w:rsidRDefault="00EB155C" w:rsidP="00EB155C">
            <w:pPr>
              <w:pStyle w:val="TableText"/>
              <w:jc w:val="right"/>
            </w:pPr>
            <w:r w:rsidRPr="00C01C8C">
              <w:rPr>
                <w:rFonts w:cs="Arial"/>
              </w:rPr>
              <w:t>34</w:t>
            </w:r>
          </w:p>
        </w:tc>
        <w:tc>
          <w:tcPr>
            <w:tcW w:w="887" w:type="dxa"/>
          </w:tcPr>
          <w:p w14:paraId="4F1C04F0" w14:textId="77777777" w:rsidR="00EB155C" w:rsidRPr="00C01C8C" w:rsidRDefault="00EB155C" w:rsidP="00EB155C">
            <w:pPr>
              <w:pStyle w:val="TableText"/>
              <w:jc w:val="right"/>
            </w:pPr>
            <w:r w:rsidRPr="00C01C8C">
              <w:rPr>
                <w:rFonts w:cs="Arial"/>
              </w:rPr>
              <w:t>156</w:t>
            </w:r>
          </w:p>
        </w:tc>
        <w:tc>
          <w:tcPr>
            <w:tcW w:w="1115" w:type="dxa"/>
          </w:tcPr>
          <w:p w14:paraId="00F64122" w14:textId="77777777" w:rsidR="00EB155C" w:rsidRPr="00C01C8C" w:rsidRDefault="00EB155C" w:rsidP="00EB155C">
            <w:pPr>
              <w:pStyle w:val="TableText"/>
              <w:jc w:val="right"/>
              <w:rPr>
                <w:rFonts w:eastAsia="Times New Roman" w:cs="Arial"/>
              </w:rPr>
            </w:pPr>
            <w:r w:rsidRPr="00C01C8C">
              <w:rPr>
                <w:rFonts w:cs="Arial"/>
              </w:rPr>
              <w:t>9.1 (4.9,</w:t>
            </w:r>
            <w:r>
              <w:rPr>
                <w:rFonts w:cs="Arial"/>
              </w:rPr>
              <w:t xml:space="preserve"> </w:t>
            </w:r>
            <w:r w:rsidRPr="00C01C8C">
              <w:rPr>
                <w:rFonts w:cs="Arial"/>
              </w:rPr>
              <w:t>16.5)</w:t>
            </w:r>
          </w:p>
        </w:tc>
      </w:tr>
      <w:tr w:rsidR="00EB155C" w:rsidRPr="002C58AA" w14:paraId="1BA23C3F" w14:textId="77777777" w:rsidTr="00A7285A">
        <w:trPr>
          <w:cnfStyle w:val="000000100000" w:firstRow="0" w:lastRow="0" w:firstColumn="0" w:lastColumn="0" w:oddVBand="0" w:evenVBand="0" w:oddHBand="1" w:evenHBand="0" w:firstRowFirstColumn="0" w:firstRowLastColumn="0" w:lastRowFirstColumn="0" w:lastRowLastColumn="0"/>
          <w:cantSplit/>
        </w:trPr>
        <w:tc>
          <w:tcPr>
            <w:tcW w:w="1910" w:type="dxa"/>
          </w:tcPr>
          <w:p w14:paraId="2512680F" w14:textId="77777777" w:rsidR="00EB155C" w:rsidRPr="009010C4" w:rsidRDefault="00EB155C" w:rsidP="00EB155C">
            <w:pPr>
              <w:pStyle w:val="TableText"/>
              <w:rPr>
                <w:rFonts w:cstheme="minorHAnsi"/>
              </w:rPr>
            </w:pPr>
            <w:r w:rsidRPr="009010C4">
              <w:rPr>
                <w:rFonts w:cstheme="minorHAnsi"/>
              </w:rPr>
              <w:t>Other (please specify):</w:t>
            </w:r>
          </w:p>
        </w:tc>
        <w:tc>
          <w:tcPr>
            <w:tcW w:w="439" w:type="dxa"/>
          </w:tcPr>
          <w:p w14:paraId="4E2ECDB1" w14:textId="77777777" w:rsidR="00EB155C" w:rsidRPr="00C01C8C" w:rsidRDefault="00EB155C" w:rsidP="00EB155C">
            <w:pPr>
              <w:pStyle w:val="TableText"/>
              <w:jc w:val="right"/>
            </w:pPr>
            <w:r w:rsidRPr="00C01C8C">
              <w:rPr>
                <w:rFonts w:cs="Arial"/>
              </w:rPr>
              <w:t>51</w:t>
            </w:r>
          </w:p>
        </w:tc>
        <w:tc>
          <w:tcPr>
            <w:tcW w:w="809" w:type="dxa"/>
          </w:tcPr>
          <w:p w14:paraId="7495E05E" w14:textId="77777777" w:rsidR="00EB155C" w:rsidRPr="00C01C8C" w:rsidRDefault="00EB155C" w:rsidP="00EB155C">
            <w:pPr>
              <w:pStyle w:val="TableText"/>
              <w:jc w:val="right"/>
            </w:pPr>
            <w:r w:rsidRPr="00C01C8C">
              <w:rPr>
                <w:rFonts w:cs="Arial"/>
              </w:rPr>
              <w:t>371</w:t>
            </w:r>
          </w:p>
        </w:tc>
        <w:tc>
          <w:tcPr>
            <w:tcW w:w="1117" w:type="dxa"/>
          </w:tcPr>
          <w:p w14:paraId="34CD6F3C" w14:textId="77777777" w:rsidR="00EB155C" w:rsidRPr="00C01C8C" w:rsidRDefault="00EB155C" w:rsidP="00EB155C">
            <w:pPr>
              <w:pStyle w:val="TableText"/>
              <w:jc w:val="right"/>
              <w:rPr>
                <w:rFonts w:eastAsia="Times New Roman" w:cs="Arial"/>
              </w:rPr>
            </w:pPr>
            <w:r w:rsidRPr="00C01C8C">
              <w:rPr>
                <w:rFonts w:cs="Arial"/>
              </w:rPr>
              <w:t>8.5 (5.9,</w:t>
            </w:r>
            <w:r>
              <w:rPr>
                <w:rFonts w:cs="Arial"/>
              </w:rPr>
              <w:t xml:space="preserve"> </w:t>
            </w:r>
            <w:r w:rsidRPr="00C01C8C">
              <w:rPr>
                <w:rFonts w:cs="Arial"/>
              </w:rPr>
              <w:t>12.0)</w:t>
            </w:r>
          </w:p>
        </w:tc>
        <w:tc>
          <w:tcPr>
            <w:tcW w:w="438" w:type="dxa"/>
          </w:tcPr>
          <w:p w14:paraId="483118A7" w14:textId="77777777" w:rsidR="00EB155C" w:rsidRPr="00C01C8C" w:rsidRDefault="00EB155C" w:rsidP="00EB155C">
            <w:pPr>
              <w:pStyle w:val="TableText"/>
              <w:jc w:val="right"/>
            </w:pPr>
            <w:r w:rsidRPr="00C01C8C">
              <w:rPr>
                <w:rFonts w:cs="Arial"/>
              </w:rPr>
              <w:t>22</w:t>
            </w:r>
          </w:p>
        </w:tc>
        <w:tc>
          <w:tcPr>
            <w:tcW w:w="796" w:type="dxa"/>
          </w:tcPr>
          <w:p w14:paraId="1E8B9FED" w14:textId="77777777" w:rsidR="00EB155C" w:rsidRPr="00C01C8C" w:rsidRDefault="00EB155C" w:rsidP="00EB155C">
            <w:pPr>
              <w:pStyle w:val="TableText"/>
              <w:jc w:val="right"/>
            </w:pPr>
            <w:r w:rsidRPr="00C01C8C">
              <w:rPr>
                <w:rFonts w:cs="Arial"/>
              </w:rPr>
              <w:t>157</w:t>
            </w:r>
          </w:p>
        </w:tc>
        <w:tc>
          <w:tcPr>
            <w:tcW w:w="1129" w:type="dxa"/>
          </w:tcPr>
          <w:p w14:paraId="6D831818" w14:textId="77777777" w:rsidR="00EB155C" w:rsidRPr="00C01C8C" w:rsidRDefault="00EB155C" w:rsidP="00EB155C">
            <w:pPr>
              <w:pStyle w:val="TableText"/>
              <w:jc w:val="right"/>
              <w:rPr>
                <w:rFonts w:eastAsia="Times New Roman" w:cs="Arial"/>
              </w:rPr>
            </w:pPr>
            <w:r w:rsidRPr="00C01C8C">
              <w:rPr>
                <w:rFonts w:cs="Arial"/>
              </w:rPr>
              <w:t>10.7 (6.5,</w:t>
            </w:r>
            <w:r>
              <w:rPr>
                <w:rFonts w:cs="Arial"/>
              </w:rPr>
              <w:t xml:space="preserve"> </w:t>
            </w:r>
            <w:r w:rsidRPr="00C01C8C">
              <w:rPr>
                <w:rFonts w:cs="Arial"/>
              </w:rPr>
              <w:t>17.0)</w:t>
            </w:r>
          </w:p>
        </w:tc>
        <w:tc>
          <w:tcPr>
            <w:tcW w:w="504" w:type="dxa"/>
          </w:tcPr>
          <w:p w14:paraId="5940381E" w14:textId="77777777" w:rsidR="00EB155C" w:rsidRPr="00C01C8C" w:rsidRDefault="00EB155C" w:rsidP="00EB155C">
            <w:pPr>
              <w:pStyle w:val="TableText"/>
              <w:jc w:val="right"/>
            </w:pPr>
            <w:r w:rsidRPr="00C01C8C">
              <w:rPr>
                <w:rFonts w:cs="Arial"/>
              </w:rPr>
              <w:t>75</w:t>
            </w:r>
          </w:p>
        </w:tc>
        <w:tc>
          <w:tcPr>
            <w:tcW w:w="808" w:type="dxa"/>
          </w:tcPr>
          <w:p w14:paraId="0FB5CA37" w14:textId="77777777" w:rsidR="00EB155C" w:rsidRPr="00C01C8C" w:rsidRDefault="00EB155C" w:rsidP="00EB155C">
            <w:pPr>
              <w:pStyle w:val="TableText"/>
              <w:jc w:val="right"/>
            </w:pPr>
            <w:r w:rsidRPr="00C01C8C">
              <w:rPr>
                <w:rFonts w:cs="Arial"/>
              </w:rPr>
              <w:t>702</w:t>
            </w:r>
          </w:p>
        </w:tc>
        <w:tc>
          <w:tcPr>
            <w:tcW w:w="1060" w:type="dxa"/>
          </w:tcPr>
          <w:p w14:paraId="4C1B685C" w14:textId="77777777" w:rsidR="00EB155C" w:rsidRPr="00C01C8C" w:rsidRDefault="00EB155C" w:rsidP="00EB155C">
            <w:pPr>
              <w:pStyle w:val="TableText"/>
              <w:jc w:val="right"/>
              <w:rPr>
                <w:rFonts w:eastAsia="Times New Roman" w:cs="Arial"/>
              </w:rPr>
            </w:pPr>
            <w:r w:rsidRPr="00C01C8C">
              <w:rPr>
                <w:rFonts w:cs="Arial"/>
              </w:rPr>
              <w:t>6.7 (2.7,</w:t>
            </w:r>
            <w:r>
              <w:rPr>
                <w:rFonts w:cs="Arial"/>
              </w:rPr>
              <w:t xml:space="preserve"> </w:t>
            </w:r>
            <w:r w:rsidRPr="00C01C8C">
              <w:rPr>
                <w:rFonts w:cs="Arial"/>
              </w:rPr>
              <w:t>16.0)</w:t>
            </w:r>
          </w:p>
        </w:tc>
        <w:tc>
          <w:tcPr>
            <w:tcW w:w="494" w:type="dxa"/>
          </w:tcPr>
          <w:p w14:paraId="527F7D18" w14:textId="77777777" w:rsidR="00EB155C" w:rsidRPr="00C01C8C" w:rsidRDefault="00EB155C" w:rsidP="00EB155C">
            <w:pPr>
              <w:pStyle w:val="TableText"/>
              <w:jc w:val="right"/>
            </w:pPr>
            <w:r w:rsidRPr="00C01C8C">
              <w:rPr>
                <w:rFonts w:cs="Arial"/>
              </w:rPr>
              <w:t>14</w:t>
            </w:r>
          </w:p>
        </w:tc>
        <w:tc>
          <w:tcPr>
            <w:tcW w:w="887" w:type="dxa"/>
          </w:tcPr>
          <w:p w14:paraId="7FEEDC3B" w14:textId="77777777" w:rsidR="00EB155C" w:rsidRPr="00C01C8C" w:rsidRDefault="00EB155C" w:rsidP="00EB155C">
            <w:pPr>
              <w:pStyle w:val="TableText"/>
              <w:jc w:val="right"/>
            </w:pPr>
            <w:r w:rsidRPr="00C01C8C">
              <w:rPr>
                <w:rFonts w:cs="Arial"/>
              </w:rPr>
              <w:t>89</w:t>
            </w:r>
          </w:p>
        </w:tc>
        <w:tc>
          <w:tcPr>
            <w:tcW w:w="1115" w:type="dxa"/>
          </w:tcPr>
          <w:p w14:paraId="0983AD76" w14:textId="77777777" w:rsidR="00EB155C" w:rsidRPr="00C01C8C" w:rsidRDefault="00EB155C" w:rsidP="00EB155C">
            <w:pPr>
              <w:pStyle w:val="TableText"/>
              <w:jc w:val="right"/>
              <w:rPr>
                <w:rFonts w:eastAsia="Times New Roman" w:cs="Arial"/>
              </w:rPr>
            </w:pPr>
            <w:r w:rsidRPr="00C01C8C">
              <w:rPr>
                <w:rFonts w:cs="Arial"/>
              </w:rPr>
              <w:t>5.3 (2.4,</w:t>
            </w:r>
            <w:r>
              <w:rPr>
                <w:rFonts w:cs="Arial"/>
              </w:rPr>
              <w:t xml:space="preserve"> </w:t>
            </w:r>
            <w:r w:rsidRPr="00C01C8C">
              <w:rPr>
                <w:rFonts w:cs="Arial"/>
              </w:rPr>
              <w:t>11.4)</w:t>
            </w:r>
          </w:p>
        </w:tc>
      </w:tr>
    </w:tbl>
    <w:p w14:paraId="39EDEF17" w14:textId="77777777" w:rsidR="00EB155C" w:rsidRPr="006A3EA0" w:rsidRDefault="00EB155C" w:rsidP="00EB155C">
      <w:pPr>
        <w:pStyle w:val="TableNotes"/>
      </w:pPr>
      <w:r w:rsidRPr="006A3EA0">
        <w:t>Notes</w:t>
      </w:r>
    </w:p>
    <w:p w14:paraId="77FA13A7" w14:textId="77777777" w:rsidR="00EB155C" w:rsidRDefault="00EB155C" w:rsidP="00EB155C">
      <w:pPr>
        <w:pStyle w:val="TableNotes"/>
      </w:pPr>
      <w:r w:rsidRPr="000E7ECE">
        <w:t xml:space="preserve">Denominator: Those who use emerging technologies for reasons other than to improve their health and wellbeing. </w:t>
      </w:r>
    </w:p>
    <w:p w14:paraId="4FD0E6C0" w14:textId="77777777" w:rsidR="00EB155C" w:rsidRPr="000E7ECE" w:rsidRDefault="00EB155C" w:rsidP="00EB155C">
      <w:pPr>
        <w:pStyle w:val="TableNotes"/>
      </w:pPr>
      <w:r>
        <w:t>Participants could endorse multiple responses for this question, hence percentages do not add up to 100%. Because responses that were not endorsed were assumed to be left blank intentionally, there are no missing values for this question.</w:t>
      </w:r>
    </w:p>
    <w:p w14:paraId="1C3141F9" w14:textId="77777777" w:rsidR="00EB155C" w:rsidRPr="000E7ECE" w:rsidRDefault="00EB155C" w:rsidP="00EB155C">
      <w:pPr>
        <w:pStyle w:val="TableNotes"/>
      </w:pPr>
      <w:r w:rsidRPr="000E7ECE">
        <w:t>95%CI</w:t>
      </w:r>
      <w:r>
        <w:t xml:space="preserve"> =</w:t>
      </w:r>
      <w:r w:rsidRPr="000E7ECE">
        <w:t xml:space="preserve"> 95% </w:t>
      </w:r>
      <w:r>
        <w:t>confidence interval.</w:t>
      </w:r>
      <w:r w:rsidRPr="000E7ECE">
        <w:t xml:space="preserve"> </w:t>
      </w:r>
    </w:p>
    <w:p w14:paraId="28BCA85A" w14:textId="77777777" w:rsidR="00EB155C" w:rsidRDefault="00EB155C" w:rsidP="000D09F5">
      <w:pPr>
        <w:pStyle w:val="TableNotes"/>
      </w:pPr>
      <w:r w:rsidRPr="000E7ECE">
        <w:t>For a full description of odds ratios, interpretation and strength of association</w:t>
      </w:r>
      <w:r>
        <w:t>,</w:t>
      </w:r>
      <w:r w:rsidRPr="000E7ECE">
        <w:t xml:space="preserve"> please refer to Table B.1</w:t>
      </w:r>
      <w:r w:rsidRPr="00BB1B84">
        <w:t xml:space="preserve"> in </w:t>
      </w:r>
      <w:r w:rsidR="00374073">
        <w:t>Annex </w:t>
      </w:r>
      <w:r>
        <w:t>B, Odds ratio table.</w:t>
      </w:r>
    </w:p>
    <w:p w14:paraId="689355B1" w14:textId="77777777" w:rsidR="006016C9" w:rsidRPr="007E2F9E" w:rsidRDefault="006016C9" w:rsidP="000D09F5"/>
    <w:p w14:paraId="774B4EB3" w14:textId="77777777" w:rsidR="006016C9" w:rsidRDefault="006016C9" w:rsidP="000D09F5">
      <w:pPr>
        <w:sectPr w:rsidR="006016C9" w:rsidSect="00147BFC">
          <w:footerReference w:type="even" r:id="rId58"/>
          <w:footerReference w:type="default" r:id="rId59"/>
          <w:pgSz w:w="14170" w:h="9979" w:orient="landscape" w:code="243"/>
          <w:pgMar w:top="1872" w:right="1440" w:bottom="1152" w:left="1440" w:header="576" w:footer="576" w:gutter="0"/>
          <w:cols w:space="708"/>
          <w:docGrid w:linePitch="360"/>
        </w:sectPr>
      </w:pPr>
    </w:p>
    <w:p w14:paraId="1F171C58" w14:textId="77777777" w:rsidR="00463E44" w:rsidRDefault="00463E44" w:rsidP="00463E44">
      <w:pPr>
        <w:pStyle w:val="Heading1"/>
        <w:numPr>
          <w:ilvl w:val="0"/>
          <w:numId w:val="1"/>
        </w:numPr>
      </w:pPr>
      <w:bookmarkStart w:id="605" w:name="_Toc515374486"/>
      <w:bookmarkStart w:id="606" w:name="_Toc518566386"/>
      <w:bookmarkStart w:id="607" w:name="_Toc528932679"/>
      <w:bookmarkStart w:id="608" w:name="_Toc509917444"/>
      <w:bookmarkStart w:id="609" w:name="_Toc531859216"/>
      <w:r w:rsidRPr="000E7ECE">
        <w:t xml:space="preserve">Use of the </w:t>
      </w:r>
      <w:r>
        <w:t>internet</w:t>
      </w:r>
      <w:r w:rsidRPr="000E7ECE">
        <w:t xml:space="preserve"> to </w:t>
      </w:r>
      <w:r>
        <w:t>s</w:t>
      </w:r>
      <w:r w:rsidRPr="000E7ECE">
        <w:t xml:space="preserve">eek </w:t>
      </w:r>
      <w:r>
        <w:t>m</w:t>
      </w:r>
      <w:r w:rsidRPr="000E7ECE">
        <w:t xml:space="preserve">ental </w:t>
      </w:r>
      <w:r>
        <w:t>h</w:t>
      </w:r>
      <w:r w:rsidRPr="000E7ECE">
        <w:t xml:space="preserve">ealth </w:t>
      </w:r>
      <w:r>
        <w:t>i</w:t>
      </w:r>
      <w:r w:rsidRPr="000E7ECE">
        <w:t xml:space="preserve">nformation or </w:t>
      </w:r>
      <w:r>
        <w:t>h</w:t>
      </w:r>
      <w:r w:rsidRPr="000E7ECE">
        <w:t>elp (for self or other)</w:t>
      </w:r>
      <w:bookmarkEnd w:id="605"/>
      <w:bookmarkEnd w:id="606"/>
      <w:bookmarkEnd w:id="607"/>
      <w:bookmarkEnd w:id="608"/>
      <w:bookmarkEnd w:id="609"/>
    </w:p>
    <w:p w14:paraId="54A7246C" w14:textId="77777777" w:rsidR="00463E44" w:rsidRPr="007C1857" w:rsidRDefault="00463E44" w:rsidP="00463E44">
      <w:pPr>
        <w:pStyle w:val="ShadedBoxSubheading"/>
      </w:pPr>
      <w:bookmarkStart w:id="610" w:name="_Toc518566387"/>
      <w:bookmarkStart w:id="611" w:name="_Hlk520815055"/>
      <w:r w:rsidRPr="007C1857">
        <w:t>Use of the internet to seek help or information for, or to manage, mental health issues</w:t>
      </w:r>
      <w:bookmarkEnd w:id="610"/>
    </w:p>
    <w:p w14:paraId="2B2D35E0" w14:textId="77777777" w:rsidR="00463E44" w:rsidRPr="00BF0D40" w:rsidRDefault="00463E44" w:rsidP="00133458">
      <w:pPr>
        <w:pStyle w:val="ShadedBullet"/>
      </w:pPr>
      <w:r w:rsidRPr="00BF0D40">
        <w:t xml:space="preserve">One in four Transitioned ADF and one in </w:t>
      </w:r>
      <w:r>
        <w:t>six</w:t>
      </w:r>
      <w:r w:rsidRPr="00BF0D40">
        <w:t xml:space="preserve"> 2015 Regular ADF use</w:t>
      </w:r>
      <w:r>
        <w:t>d</w:t>
      </w:r>
      <w:r w:rsidRPr="00BF0D40">
        <w:t xml:space="preserve"> the </w:t>
      </w:r>
      <w:r>
        <w:t>internet</w:t>
      </w:r>
      <w:r w:rsidRPr="00BF0D40">
        <w:t xml:space="preserve"> to seek help or information for, or to manage, mental health issues. </w:t>
      </w:r>
    </w:p>
    <w:p w14:paraId="0078A8C6" w14:textId="77777777" w:rsidR="00463E44" w:rsidRPr="00BF0D40" w:rsidRDefault="00463E44" w:rsidP="00133458">
      <w:pPr>
        <w:pStyle w:val="ShadedBullet"/>
      </w:pPr>
      <w:r w:rsidRPr="00BF0D40">
        <w:t xml:space="preserve">A higher proportion of Transitioned ADF and 2015 Regular ADF with a probable disorder reported using the </w:t>
      </w:r>
      <w:r>
        <w:t>internet</w:t>
      </w:r>
      <w:r w:rsidRPr="00BF0D40">
        <w:t xml:space="preserve"> to </w:t>
      </w:r>
      <w:r w:rsidRPr="00BF0D40">
        <w:rPr>
          <w:rFonts w:cs="Calibri"/>
        </w:rPr>
        <w:t>seek help</w:t>
      </w:r>
      <w:r>
        <w:rPr>
          <w:rFonts w:cs="Calibri"/>
        </w:rPr>
        <w:t xml:space="preserve"> or</w:t>
      </w:r>
      <w:r w:rsidRPr="00BF0D40">
        <w:rPr>
          <w:rFonts w:cs="Calibri"/>
        </w:rPr>
        <w:t xml:space="preserve"> information or to manage mental health issues</w:t>
      </w:r>
      <w:r w:rsidRPr="00BF0D40">
        <w:t xml:space="preserve"> than those without a probable disorder</w:t>
      </w:r>
      <w:r>
        <w:t>.</w:t>
      </w:r>
    </w:p>
    <w:p w14:paraId="2FEF519A" w14:textId="77777777" w:rsidR="00463E44" w:rsidRPr="00BF0D40" w:rsidRDefault="00463E44" w:rsidP="00133458">
      <w:pPr>
        <w:pStyle w:val="ShadedBullet"/>
      </w:pPr>
      <w:r w:rsidRPr="00BF0D40">
        <w:t xml:space="preserve">Among those </w:t>
      </w:r>
      <w:r w:rsidRPr="00D45390">
        <w:t>with</w:t>
      </w:r>
      <w:r w:rsidRPr="00BF0D40">
        <w:t xml:space="preserve"> a probable 30-day disorder, Transitioned ADF were more likely than 2015 Regular ADF to report using the </w:t>
      </w:r>
      <w:r>
        <w:t>internet</w:t>
      </w:r>
      <w:r w:rsidRPr="00BF0D40">
        <w:t xml:space="preserve"> to seek information on mental health issues.</w:t>
      </w:r>
    </w:p>
    <w:p w14:paraId="0B1A5817" w14:textId="77777777" w:rsidR="00463E44" w:rsidRPr="007C1857" w:rsidRDefault="00463E44" w:rsidP="00463E44">
      <w:pPr>
        <w:pStyle w:val="ShadedBoxSubheading"/>
      </w:pPr>
      <w:bookmarkStart w:id="612" w:name="_Toc518566388"/>
      <w:r w:rsidRPr="007C1857">
        <w:t>Suitability, usefulness and level of satisfaction with using the internet to seek help or information, or to manage mental health</w:t>
      </w:r>
      <w:bookmarkEnd w:id="612"/>
      <w:r w:rsidRPr="007C1857">
        <w:t xml:space="preserve"> </w:t>
      </w:r>
    </w:p>
    <w:p w14:paraId="0CB232DA" w14:textId="77777777" w:rsidR="00463E44" w:rsidRPr="00BF0D40" w:rsidRDefault="00463E44" w:rsidP="00133458">
      <w:pPr>
        <w:pStyle w:val="ShadedBullet"/>
        <w:rPr>
          <w:rFonts w:cs="Calibri"/>
        </w:rPr>
      </w:pPr>
      <w:bookmarkStart w:id="613" w:name="_Toc518566389"/>
      <w:r w:rsidRPr="00BF0D40">
        <w:t>The majority of Transit</w:t>
      </w:r>
      <w:r>
        <w:t xml:space="preserve">ioned ADF and 2015 Regular ADF </w:t>
      </w:r>
      <w:r w:rsidRPr="00BF0D40">
        <w:t xml:space="preserve">who used the </w:t>
      </w:r>
      <w:r>
        <w:t>internet</w:t>
      </w:r>
      <w:r w:rsidRPr="00BF0D40">
        <w:t xml:space="preserve"> to seek </w:t>
      </w:r>
      <w:r>
        <w:t>information about mental health</w:t>
      </w:r>
      <w:r w:rsidRPr="00BF0D40">
        <w:t xml:space="preserve"> reported that they received the kind of information they required</w:t>
      </w:r>
      <w:r w:rsidRPr="00BF0D40">
        <w:rPr>
          <w:rFonts w:cs="Calibri"/>
        </w:rPr>
        <w:t>.</w:t>
      </w:r>
      <w:bookmarkEnd w:id="613"/>
    </w:p>
    <w:p w14:paraId="2B5591C7" w14:textId="77777777" w:rsidR="00463E44" w:rsidRPr="00BF0D40" w:rsidRDefault="00463E44" w:rsidP="00133458">
      <w:pPr>
        <w:pStyle w:val="ShadedBullet"/>
      </w:pPr>
      <w:bookmarkStart w:id="614" w:name="_Toc518566390"/>
      <w:r>
        <w:t xml:space="preserve">The majority of </w:t>
      </w:r>
      <w:r w:rsidRPr="00BF0D40">
        <w:t xml:space="preserve">Transitioned ADF and 2015 Regular ADF who used the </w:t>
      </w:r>
      <w:r>
        <w:t>internet</w:t>
      </w:r>
      <w:r w:rsidRPr="00BF0D40">
        <w:t xml:space="preserve"> to seek help or information or to manage mental health reported the </w:t>
      </w:r>
      <w:r>
        <w:t>internet</w:t>
      </w:r>
      <w:r w:rsidRPr="00BF0D40">
        <w:t xml:space="preserve"> helped them either a little or a lot.</w:t>
      </w:r>
      <w:bookmarkEnd w:id="614"/>
      <w:r w:rsidRPr="00BF0D40">
        <w:t xml:space="preserve"> </w:t>
      </w:r>
    </w:p>
    <w:p w14:paraId="0CC64072" w14:textId="77777777" w:rsidR="00463E44" w:rsidRPr="00BF0D40" w:rsidRDefault="00463E44" w:rsidP="00133458">
      <w:pPr>
        <w:pStyle w:val="ShadedBullet"/>
      </w:pPr>
      <w:r>
        <w:t>Less</w:t>
      </w:r>
      <w:r w:rsidRPr="00BF0D40">
        <w:t xml:space="preserve"> than </w:t>
      </w:r>
      <w:r>
        <w:t>10%</w:t>
      </w:r>
      <w:r w:rsidRPr="00BF0D40">
        <w:t xml:space="preserve"> of Transitioned ADF and 2015 Regular ADF reported that the </w:t>
      </w:r>
      <w:r>
        <w:t>internet</w:t>
      </w:r>
      <w:r w:rsidRPr="00BF0D40">
        <w:t xml:space="preserve"> helped them a lot and only </w:t>
      </w:r>
      <w:r>
        <w:t>5%</w:t>
      </w:r>
      <w:r w:rsidRPr="00BF0D40">
        <w:t xml:space="preserve"> were very satisfied with the information they received.</w:t>
      </w:r>
    </w:p>
    <w:p w14:paraId="2CA319A3" w14:textId="77777777" w:rsidR="00463E44" w:rsidRDefault="00463E44" w:rsidP="00133458">
      <w:pPr>
        <w:pStyle w:val="ShadedBullet"/>
      </w:pPr>
      <w:r w:rsidRPr="00BF0D40">
        <w:t>Almost 18% of Transitioned ADF and 13.2% of 2015 Regular ADF reported being dissatisfied with the information they received.</w:t>
      </w:r>
    </w:p>
    <w:p w14:paraId="186BDEAF" w14:textId="77777777" w:rsidR="00513700" w:rsidRDefault="00513700" w:rsidP="00133458">
      <w:pPr>
        <w:pStyle w:val="ShadedBullet"/>
        <w:numPr>
          <w:ilvl w:val="0"/>
          <w:numId w:val="0"/>
        </w:numPr>
      </w:pPr>
      <w:r w:rsidRPr="00D4741B">
        <w:rPr>
          <w:b/>
        </w:rPr>
        <w:t>Glossary:</w:t>
      </w:r>
      <w:r w:rsidRPr="00D4741B">
        <w:t xml:space="preserve"> refer to the </w:t>
      </w:r>
      <w:r w:rsidRPr="00104D02">
        <w:t>Glossary</w:t>
      </w:r>
      <w:r w:rsidRPr="00D4741B">
        <w:t xml:space="preserve"> of terms for definitions of key terms.</w:t>
      </w:r>
    </w:p>
    <w:p w14:paraId="081B5799" w14:textId="77777777" w:rsidR="00463E44" w:rsidRPr="00AB0539" w:rsidRDefault="00463E44" w:rsidP="00463E44">
      <w:pPr>
        <w:pStyle w:val="Heading2"/>
      </w:pPr>
      <w:bookmarkStart w:id="615" w:name="_Toc509917445"/>
      <w:bookmarkStart w:id="616" w:name="_Toc515374492"/>
      <w:bookmarkStart w:id="617" w:name="_Toc518566391"/>
      <w:bookmarkStart w:id="618" w:name="_Toc528932680"/>
      <w:bookmarkStart w:id="619" w:name="_Toc531859217"/>
      <w:bookmarkEnd w:id="611"/>
      <w:r w:rsidRPr="00AB0539">
        <w:t>Introduction</w:t>
      </w:r>
      <w:bookmarkEnd w:id="615"/>
      <w:bookmarkEnd w:id="616"/>
      <w:bookmarkEnd w:id="617"/>
      <w:bookmarkEnd w:id="618"/>
      <w:bookmarkEnd w:id="619"/>
    </w:p>
    <w:p w14:paraId="1BFC4E75" w14:textId="77777777" w:rsidR="00463E44" w:rsidRDefault="00463E44" w:rsidP="00463E44">
      <w:r w:rsidRPr="00C16236">
        <w:t xml:space="preserve">This </w:t>
      </w:r>
      <w:r>
        <w:t>chapter</w:t>
      </w:r>
      <w:r w:rsidRPr="00C16236">
        <w:t xml:space="preserve"> presents the estimated proportion of Transitioned ADF and 2015 Regular ADF who rep</w:t>
      </w:r>
      <w:r>
        <w:t xml:space="preserve">orted using the internet to seek help or information for, or to manage, mental health issues more broadly, not necessarily for their own mental health. For those who responded ‘YES’, a series of further </w:t>
      </w:r>
      <w:r w:rsidRPr="00657C26">
        <w:t xml:space="preserve">questions about </w:t>
      </w:r>
      <w:r>
        <w:t>their experiences with using the internet</w:t>
      </w:r>
      <w:r w:rsidRPr="00657C26">
        <w:t xml:space="preserve"> for </w:t>
      </w:r>
      <w:r>
        <w:t>this purpose was examined</w:t>
      </w:r>
      <w:r w:rsidRPr="00657C26">
        <w:t xml:space="preserve">. </w:t>
      </w:r>
    </w:p>
    <w:p w14:paraId="395A8D5F" w14:textId="77777777" w:rsidR="00463E44" w:rsidRPr="00F6455B" w:rsidRDefault="00463E44" w:rsidP="00463E44">
      <w:pPr>
        <w:keepNext/>
      </w:pPr>
      <w:r w:rsidRPr="00F6455B">
        <w:t>Specific questions asked were:</w:t>
      </w:r>
    </w:p>
    <w:p w14:paraId="61EE53CF" w14:textId="77777777" w:rsidR="00463E44" w:rsidRDefault="00463E44" w:rsidP="00463E44">
      <w:pPr>
        <w:tabs>
          <w:tab w:val="left" w:pos="360"/>
        </w:tabs>
        <w:ind w:left="360" w:hanging="360"/>
      </w:pPr>
      <w:r>
        <w:t>1.</w:t>
      </w:r>
      <w:r>
        <w:tab/>
      </w:r>
      <w:r w:rsidRPr="00F6455B">
        <w:t>Do you use the internet to seek help or information for, or manage, mental health issues?</w:t>
      </w:r>
    </w:p>
    <w:p w14:paraId="0F1209B7" w14:textId="77777777" w:rsidR="00463E44" w:rsidRPr="00F6455B" w:rsidRDefault="00463E44" w:rsidP="00463E44">
      <w:pPr>
        <w:ind w:left="360"/>
      </w:pPr>
      <w:bookmarkStart w:id="620" w:name="_Toc518566392"/>
      <w:r w:rsidRPr="00F6455B">
        <w:t>IF YES:</w:t>
      </w:r>
      <w:bookmarkEnd w:id="620"/>
    </w:p>
    <w:p w14:paraId="420B58F8" w14:textId="77777777" w:rsidR="00463E44" w:rsidRDefault="00463E44" w:rsidP="00463E44">
      <w:pPr>
        <w:pStyle w:val="Bullet"/>
        <w:numPr>
          <w:ilvl w:val="0"/>
          <w:numId w:val="3"/>
        </w:numPr>
      </w:pPr>
      <w:r>
        <w:t>Which devices do you mainly use to access the internet?</w:t>
      </w:r>
    </w:p>
    <w:p w14:paraId="4860F15E" w14:textId="77777777" w:rsidR="00463E44" w:rsidRPr="00DD4997" w:rsidRDefault="00463E44" w:rsidP="00463E44">
      <w:pPr>
        <w:pStyle w:val="Bullet"/>
        <w:numPr>
          <w:ilvl w:val="0"/>
          <w:numId w:val="3"/>
        </w:numPr>
      </w:pPr>
      <w:r w:rsidRPr="00DD4997">
        <w:t xml:space="preserve">By using the </w:t>
      </w:r>
      <w:r>
        <w:t>internet</w:t>
      </w:r>
      <w:r w:rsidRPr="00DD4997">
        <w:t>, did you get the kind of information you needed in relation to mental health?</w:t>
      </w:r>
    </w:p>
    <w:p w14:paraId="4A1883BB" w14:textId="77777777" w:rsidR="00463E44" w:rsidRPr="00BE1F79" w:rsidRDefault="00463E44" w:rsidP="00463E44">
      <w:pPr>
        <w:pStyle w:val="Bullet"/>
        <w:numPr>
          <w:ilvl w:val="0"/>
          <w:numId w:val="3"/>
        </w:numPr>
        <w:rPr>
          <w:rFonts w:asciiTheme="minorHAnsi" w:hAnsiTheme="minorHAnsi"/>
        </w:rPr>
      </w:pPr>
      <w:r w:rsidRPr="00DD4997">
        <w:t xml:space="preserve">Did the </w:t>
      </w:r>
      <w:r>
        <w:t>internet</w:t>
      </w:r>
      <w:r w:rsidRPr="00DD4997">
        <w:t xml:space="preserve"> help you deal more effectively with mental health problems</w:t>
      </w:r>
      <w:r w:rsidRPr="00E7794D">
        <w:t>?</w:t>
      </w:r>
    </w:p>
    <w:p w14:paraId="29827BF2" w14:textId="77777777" w:rsidR="00463E44" w:rsidRPr="000E7ECE" w:rsidRDefault="00463E44" w:rsidP="00463E44">
      <w:pPr>
        <w:pStyle w:val="Bullet"/>
        <w:numPr>
          <w:ilvl w:val="0"/>
          <w:numId w:val="3"/>
        </w:numPr>
        <w:rPr>
          <w:rFonts w:cstheme="minorBidi"/>
        </w:rPr>
      </w:pPr>
      <w:r w:rsidRPr="00BE1F79">
        <w:t xml:space="preserve">Overall, how satisfied were you with the information you received on the </w:t>
      </w:r>
      <w:r>
        <w:t>internet</w:t>
      </w:r>
      <w:r w:rsidRPr="00BE1F79">
        <w:t xml:space="preserve"> in relation to mental health?</w:t>
      </w:r>
    </w:p>
    <w:p w14:paraId="0DD9B2AE" w14:textId="77777777" w:rsidR="00463E44" w:rsidRDefault="00463E44" w:rsidP="00463E44">
      <w:r>
        <w:t>Each section within this chapter begins with a statistical comparison of the prevalence of each outcome variable listed above among the Transitioned and 2015 Regular ADF. Following this, each of the dichotomised outcome measures was further</w:t>
      </w:r>
      <w:r w:rsidRPr="00855176">
        <w:t xml:space="preserve"> stratified by </w:t>
      </w:r>
      <w:r>
        <w:t xml:space="preserve">probable disorder, </w:t>
      </w:r>
      <w:r w:rsidRPr="00855176">
        <w:t>sex, age group, and age group by sex categories</w:t>
      </w:r>
      <w:r>
        <w:t xml:space="preserve"> for descriptive purposes (no odds ratios) in order to provide detailed information on the demographic profile of those who use the internet to seek help or information for, or manage, mental health issues. </w:t>
      </w:r>
    </w:p>
    <w:p w14:paraId="73A886CA" w14:textId="77777777" w:rsidR="00463E44" w:rsidRDefault="00463E44" w:rsidP="00463E44">
      <w:pPr>
        <w:pStyle w:val="Heading2"/>
        <w:numPr>
          <w:ilvl w:val="1"/>
          <w:numId w:val="1"/>
        </w:numPr>
        <w:ind w:left="720" w:hanging="720"/>
      </w:pPr>
      <w:bookmarkStart w:id="621" w:name="_Toc509917446"/>
      <w:bookmarkStart w:id="622" w:name="_Toc515374493"/>
      <w:bookmarkStart w:id="623" w:name="_Toc518566393"/>
      <w:bookmarkStart w:id="624" w:name="_Toc528932681"/>
      <w:bookmarkStart w:id="625" w:name="_Toc531859218"/>
      <w:r w:rsidRPr="00AB0539">
        <w:t xml:space="preserve">Use of the </w:t>
      </w:r>
      <w:r>
        <w:t>internet</w:t>
      </w:r>
      <w:r w:rsidRPr="00AB0539">
        <w:t xml:space="preserve"> for seeking help</w:t>
      </w:r>
      <w:r>
        <w:t xml:space="preserve"> or</w:t>
      </w:r>
      <w:r w:rsidRPr="00AB0539">
        <w:t xml:space="preserve"> information, or </w:t>
      </w:r>
      <w:r>
        <w:t xml:space="preserve">for </w:t>
      </w:r>
      <w:r w:rsidRPr="00AB0539">
        <w:t>managing</w:t>
      </w:r>
      <w:r>
        <w:t>,</w:t>
      </w:r>
      <w:r w:rsidRPr="00AB0539">
        <w:t xml:space="preserve"> mental health issues</w:t>
      </w:r>
      <w:bookmarkStart w:id="626" w:name="_Toc515374494"/>
      <w:bookmarkEnd w:id="621"/>
      <w:bookmarkEnd w:id="622"/>
      <w:bookmarkEnd w:id="623"/>
      <w:bookmarkEnd w:id="624"/>
      <w:bookmarkEnd w:id="625"/>
    </w:p>
    <w:p w14:paraId="2347DB76" w14:textId="77777777" w:rsidR="00463E44" w:rsidRPr="000E7ECE" w:rsidRDefault="00463E44" w:rsidP="00463E44">
      <w:pPr>
        <w:pStyle w:val="Heading3"/>
        <w:numPr>
          <w:ilvl w:val="2"/>
          <w:numId w:val="1"/>
        </w:numPr>
      </w:pPr>
      <w:bookmarkStart w:id="627" w:name="_Toc518566394"/>
      <w:bookmarkStart w:id="628" w:name="_Toc528932682"/>
      <w:bookmarkStart w:id="629" w:name="_Toc531859219"/>
      <w:r w:rsidRPr="000E7ECE">
        <w:t>Transitioned ADF and 2015 Regular ADF</w:t>
      </w:r>
      <w:bookmarkEnd w:id="626"/>
      <w:bookmarkEnd w:id="627"/>
      <w:bookmarkEnd w:id="628"/>
      <w:bookmarkEnd w:id="629"/>
    </w:p>
    <w:p w14:paraId="16BAFCE2" w14:textId="77777777" w:rsidR="00463E44" w:rsidRDefault="00463E44" w:rsidP="00463E44">
      <w:r>
        <w:t xml:space="preserve">Table </w:t>
      </w:r>
      <w:r>
        <w:rPr>
          <w:noProof/>
        </w:rPr>
        <w:t>6</w:t>
      </w:r>
      <w:r>
        <w:t>.</w:t>
      </w:r>
      <w:r>
        <w:rPr>
          <w:noProof/>
        </w:rPr>
        <w:t>1</w:t>
      </w:r>
      <w:r>
        <w:t xml:space="preserve"> and Figure </w:t>
      </w:r>
      <w:r>
        <w:rPr>
          <w:noProof/>
        </w:rPr>
        <w:t>6</w:t>
      </w:r>
      <w:r>
        <w:t>.</w:t>
      </w:r>
      <w:r>
        <w:rPr>
          <w:noProof/>
        </w:rPr>
        <w:t>1</w:t>
      </w:r>
      <w:r>
        <w:t xml:space="preserve"> </w:t>
      </w:r>
      <w:r w:rsidRPr="00AA2E3A">
        <w:t xml:space="preserve">describe the estimated proportions of Transitioned ADF and 2015 Regular ADF who used the </w:t>
      </w:r>
      <w:r>
        <w:t>internet</w:t>
      </w:r>
      <w:r w:rsidRPr="00AA2E3A">
        <w:t xml:space="preserve"> </w:t>
      </w:r>
      <w:r w:rsidRPr="00AA2E3A">
        <w:rPr>
          <w:i/>
        </w:rPr>
        <w:t>to seek</w:t>
      </w:r>
      <w:r w:rsidRPr="00F15790">
        <w:rPr>
          <w:i/>
        </w:rPr>
        <w:t xml:space="preserve"> help or information for, or manage, mental health issues</w:t>
      </w:r>
      <w:r>
        <w:t xml:space="preserve">. </w:t>
      </w:r>
      <w:r w:rsidRPr="004826D8">
        <w:rPr>
          <w:rFonts w:eastAsia="Times New Roman"/>
          <w:lang w:eastAsia="en-AU"/>
        </w:rPr>
        <w:t xml:space="preserve">Transitioned ADF were </w:t>
      </w:r>
      <w:r>
        <w:rPr>
          <w:rFonts w:eastAsia="Times New Roman"/>
          <w:lang w:eastAsia="en-AU"/>
        </w:rPr>
        <w:t xml:space="preserve">significantly </w:t>
      </w:r>
      <w:r w:rsidRPr="004826D8">
        <w:rPr>
          <w:rFonts w:eastAsia="Times New Roman"/>
          <w:lang w:eastAsia="en-AU"/>
        </w:rPr>
        <w:t xml:space="preserve">more likely to use the </w:t>
      </w:r>
      <w:r>
        <w:rPr>
          <w:rFonts w:eastAsia="Times New Roman"/>
          <w:lang w:eastAsia="en-AU"/>
        </w:rPr>
        <w:t>internet</w:t>
      </w:r>
      <w:r w:rsidRPr="004826D8">
        <w:rPr>
          <w:rFonts w:eastAsia="Times New Roman"/>
          <w:lang w:eastAsia="en-AU"/>
        </w:rPr>
        <w:t xml:space="preserve"> to seek help or information for, or manage, mental health issues </w:t>
      </w:r>
      <w:r>
        <w:rPr>
          <w:rFonts w:eastAsia="Times New Roman"/>
          <w:lang w:eastAsia="en-AU"/>
        </w:rPr>
        <w:t>compared to</w:t>
      </w:r>
      <w:r w:rsidRPr="004826D8">
        <w:rPr>
          <w:rFonts w:eastAsia="Times New Roman"/>
          <w:lang w:eastAsia="en-AU"/>
        </w:rPr>
        <w:t xml:space="preserve"> 2015 Regular ADF (24.5% vs 17.2%; OR 1.6, 95% CI 1.2,</w:t>
      </w:r>
      <w:r>
        <w:rPr>
          <w:rFonts w:eastAsia="Times New Roman"/>
          <w:lang w:eastAsia="en-AU"/>
        </w:rPr>
        <w:t xml:space="preserve"> </w:t>
      </w:r>
      <w:r w:rsidRPr="004826D8">
        <w:rPr>
          <w:rFonts w:eastAsia="Times New Roman"/>
          <w:lang w:eastAsia="en-AU"/>
        </w:rPr>
        <w:t>2.1). This was a moderate association.</w:t>
      </w:r>
      <w:r>
        <w:t xml:space="preserve"> Most of the Transitioned ADF and the 2015 Regular ADF did not use the internet for seeking help or information or to manage mental health issues (74.9% and 81.7%, respectively). </w:t>
      </w:r>
    </w:p>
    <w:p w14:paraId="1E843ABA" w14:textId="77777777" w:rsidR="00463E44" w:rsidRDefault="00463E44" w:rsidP="00463E44">
      <w:pPr>
        <w:pStyle w:val="TableName"/>
      </w:pPr>
      <w:bookmarkStart w:id="630" w:name="_Ref517354272"/>
      <w:bookmarkStart w:id="631" w:name="_Toc509922882"/>
      <w:bookmarkStart w:id="632" w:name="_Toc515374657"/>
      <w:bookmarkStart w:id="633" w:name="_Toc528932332"/>
      <w:bookmarkStart w:id="634" w:name="_Toc531858011"/>
      <w:r>
        <w:t xml:space="preserve">Table </w:t>
      </w:r>
      <w:r>
        <w:rPr>
          <w:noProof/>
        </w:rPr>
        <w:t>6</w:t>
      </w:r>
      <w:r>
        <w:t>.</w:t>
      </w:r>
      <w:r>
        <w:rPr>
          <w:noProof/>
        </w:rPr>
        <w:t>1</w:t>
      </w:r>
      <w:bookmarkEnd w:id="630"/>
      <w:r>
        <w:tab/>
      </w:r>
      <w:r w:rsidRPr="00AA2E3A">
        <w:t xml:space="preserve">Use of the </w:t>
      </w:r>
      <w:r>
        <w:t>internet</w:t>
      </w:r>
      <w:r w:rsidRPr="00AA2E3A">
        <w:t xml:space="preserve"> for seeking help</w:t>
      </w:r>
      <w:r>
        <w:t xml:space="preserve"> or</w:t>
      </w:r>
      <w:r w:rsidRPr="00AA2E3A">
        <w:t xml:space="preserve"> information, or </w:t>
      </w:r>
      <w:r>
        <w:t xml:space="preserve">for </w:t>
      </w:r>
      <w:r w:rsidRPr="00AA2E3A">
        <w:t>managing</w:t>
      </w:r>
      <w:r>
        <w:t xml:space="preserve"> mental health issues among </w:t>
      </w:r>
      <w:r w:rsidRPr="00AA2E3A">
        <w:t>Transitioned ADF and 2015 Regular ADF</w:t>
      </w:r>
      <w:bookmarkEnd w:id="631"/>
      <w:bookmarkEnd w:id="632"/>
      <w:bookmarkEnd w:id="633"/>
      <w:bookmarkEnd w:id="634"/>
    </w:p>
    <w:tbl>
      <w:tblPr>
        <w:tblStyle w:val="TWRPTable"/>
        <w:tblW w:w="5000" w:type="pct"/>
        <w:tblLayout w:type="fixed"/>
        <w:tblLook w:val="0000" w:firstRow="0" w:lastRow="0" w:firstColumn="0" w:lastColumn="0" w:noHBand="0" w:noVBand="0"/>
        <w:tblDescription w:val="Table 6.1 Use of the internet for seeking help or information, or for managing mental health issues among Transitioned ADF and 2015 Regular ADF"/>
      </w:tblPr>
      <w:tblGrid>
        <w:gridCol w:w="2355"/>
        <w:gridCol w:w="472"/>
        <w:gridCol w:w="858"/>
        <w:gridCol w:w="1038"/>
        <w:gridCol w:w="472"/>
        <w:gridCol w:w="858"/>
        <w:gridCol w:w="1036"/>
      </w:tblGrid>
      <w:tr w:rsidR="00463E44" w:rsidRPr="0069440C" w14:paraId="20FE4311" w14:textId="77777777" w:rsidTr="00D6757C">
        <w:trPr>
          <w:cantSplit/>
          <w:tblHeader/>
        </w:trPr>
        <w:tc>
          <w:tcPr>
            <w:tcW w:w="1661" w:type="pct"/>
            <w:tcBorders>
              <w:top w:val="single" w:sz="4" w:space="0" w:color="000000"/>
              <w:bottom w:val="nil"/>
            </w:tcBorders>
          </w:tcPr>
          <w:p w14:paraId="51CDB621" w14:textId="77777777" w:rsidR="00463E44" w:rsidRPr="000E7ECE" w:rsidRDefault="00463E44" w:rsidP="009D2CB4">
            <w:pPr>
              <w:pStyle w:val="TableText"/>
              <w:rPr>
                <w:b/>
              </w:rPr>
            </w:pPr>
          </w:p>
        </w:tc>
        <w:tc>
          <w:tcPr>
            <w:tcW w:w="1670" w:type="pct"/>
            <w:gridSpan w:val="3"/>
            <w:tcBorders>
              <w:top w:val="single" w:sz="4" w:space="0" w:color="000000"/>
              <w:bottom w:val="single" w:sz="4" w:space="0" w:color="000000"/>
            </w:tcBorders>
          </w:tcPr>
          <w:p w14:paraId="5BD0F18B" w14:textId="77777777" w:rsidR="00463E44" w:rsidRPr="000E7ECE" w:rsidRDefault="00463E44" w:rsidP="00463E44">
            <w:pPr>
              <w:pStyle w:val="TableText"/>
              <w:jc w:val="center"/>
              <w:rPr>
                <w:b/>
              </w:rPr>
            </w:pPr>
            <w:r w:rsidRPr="000E7ECE">
              <w:rPr>
                <w:b/>
              </w:rPr>
              <w:t>Transitioned ADF</w:t>
            </w:r>
            <w:r>
              <w:rPr>
                <w:b/>
              </w:rPr>
              <w:br/>
            </w:r>
            <w:r w:rsidRPr="000E7ECE">
              <w:rPr>
                <w:b/>
              </w:rPr>
              <w:t>n=24,932</w:t>
            </w:r>
          </w:p>
        </w:tc>
        <w:tc>
          <w:tcPr>
            <w:tcW w:w="1670" w:type="pct"/>
            <w:gridSpan w:val="3"/>
            <w:tcBorders>
              <w:top w:val="single" w:sz="4" w:space="0" w:color="000000"/>
              <w:bottom w:val="single" w:sz="4" w:space="0" w:color="000000"/>
            </w:tcBorders>
          </w:tcPr>
          <w:p w14:paraId="79CF4E5D" w14:textId="77777777" w:rsidR="00463E44" w:rsidRPr="000E7ECE" w:rsidRDefault="00463E44" w:rsidP="00463E44">
            <w:pPr>
              <w:pStyle w:val="TableText"/>
              <w:jc w:val="center"/>
              <w:rPr>
                <w:b/>
              </w:rPr>
            </w:pPr>
            <w:r w:rsidRPr="000E7ECE">
              <w:rPr>
                <w:b/>
              </w:rPr>
              <w:t>2015 Regular ADF</w:t>
            </w:r>
            <w:r>
              <w:rPr>
                <w:b/>
              </w:rPr>
              <w:br/>
            </w:r>
            <w:r w:rsidRPr="000E7ECE">
              <w:rPr>
                <w:b/>
              </w:rPr>
              <w:t>n=52,500</w:t>
            </w:r>
          </w:p>
        </w:tc>
      </w:tr>
      <w:tr w:rsidR="00463E44" w:rsidRPr="0069440C" w14:paraId="7AD5FE29" w14:textId="77777777" w:rsidTr="00D6757C">
        <w:trPr>
          <w:cantSplit/>
          <w:tblHeader/>
        </w:trPr>
        <w:tc>
          <w:tcPr>
            <w:tcW w:w="1661" w:type="pct"/>
            <w:tcBorders>
              <w:top w:val="nil"/>
              <w:bottom w:val="single" w:sz="4" w:space="0" w:color="000000"/>
            </w:tcBorders>
          </w:tcPr>
          <w:p w14:paraId="555FB1A0" w14:textId="77777777" w:rsidR="00463E44" w:rsidRPr="000E7ECE" w:rsidRDefault="00463E44" w:rsidP="009D2CB4">
            <w:pPr>
              <w:pStyle w:val="TableText"/>
              <w:rPr>
                <w:b/>
              </w:rPr>
            </w:pPr>
            <w:r w:rsidRPr="000E7ECE">
              <w:rPr>
                <w:b/>
              </w:rPr>
              <w:t xml:space="preserve">Use </w:t>
            </w:r>
            <w:r>
              <w:rPr>
                <w:b/>
              </w:rPr>
              <w:t>internet</w:t>
            </w:r>
            <w:r w:rsidRPr="000E7ECE">
              <w:rPr>
                <w:b/>
              </w:rPr>
              <w:t xml:space="preserve"> for </w:t>
            </w:r>
            <w:r>
              <w:rPr>
                <w:b/>
              </w:rPr>
              <w:t>m</w:t>
            </w:r>
            <w:r w:rsidRPr="000E7ECE">
              <w:rPr>
                <w:b/>
              </w:rPr>
              <w:t xml:space="preserve">ental </w:t>
            </w:r>
            <w:r>
              <w:rPr>
                <w:b/>
              </w:rPr>
              <w:t>h</w:t>
            </w:r>
            <w:r w:rsidRPr="000E7ECE">
              <w:rPr>
                <w:b/>
              </w:rPr>
              <w:t xml:space="preserve">ealth </w:t>
            </w:r>
            <w:r>
              <w:rPr>
                <w:b/>
              </w:rPr>
              <w:t>i</w:t>
            </w:r>
            <w:r w:rsidRPr="000E7ECE">
              <w:rPr>
                <w:b/>
              </w:rPr>
              <w:t>ssues</w:t>
            </w:r>
            <w:r>
              <w:rPr>
                <w:b/>
              </w:rPr>
              <w:t>.</w:t>
            </w:r>
          </w:p>
        </w:tc>
        <w:tc>
          <w:tcPr>
            <w:tcW w:w="333" w:type="pct"/>
            <w:tcBorders>
              <w:top w:val="single" w:sz="4" w:space="0" w:color="000000"/>
              <w:bottom w:val="single" w:sz="4" w:space="0" w:color="000000"/>
            </w:tcBorders>
          </w:tcPr>
          <w:p w14:paraId="532E27C8" w14:textId="77777777" w:rsidR="00463E44" w:rsidRPr="000E7ECE" w:rsidRDefault="00463E44" w:rsidP="009D2CB4">
            <w:pPr>
              <w:pStyle w:val="TableText"/>
              <w:jc w:val="right"/>
              <w:rPr>
                <w:b/>
              </w:rPr>
            </w:pPr>
            <w:r w:rsidRPr="000E7ECE">
              <w:rPr>
                <w:b/>
              </w:rPr>
              <w:t>n</w:t>
            </w:r>
          </w:p>
        </w:tc>
        <w:tc>
          <w:tcPr>
            <w:tcW w:w="605" w:type="pct"/>
            <w:tcBorders>
              <w:top w:val="single" w:sz="4" w:space="0" w:color="000000"/>
              <w:bottom w:val="single" w:sz="4" w:space="0" w:color="000000"/>
            </w:tcBorders>
          </w:tcPr>
          <w:p w14:paraId="2CB909A3" w14:textId="77777777" w:rsidR="00463E44" w:rsidRPr="000E7ECE" w:rsidRDefault="00463E44" w:rsidP="009D2CB4">
            <w:pPr>
              <w:pStyle w:val="TableText"/>
              <w:jc w:val="right"/>
              <w:rPr>
                <w:b/>
              </w:rPr>
            </w:pPr>
            <w:r w:rsidRPr="000E7ECE">
              <w:rPr>
                <w:b/>
              </w:rPr>
              <w:t>Weighted n</w:t>
            </w:r>
          </w:p>
        </w:tc>
        <w:tc>
          <w:tcPr>
            <w:tcW w:w="732" w:type="pct"/>
            <w:tcBorders>
              <w:top w:val="single" w:sz="4" w:space="0" w:color="000000"/>
              <w:bottom w:val="single" w:sz="4" w:space="0" w:color="000000"/>
            </w:tcBorders>
          </w:tcPr>
          <w:p w14:paraId="51B36DDB" w14:textId="77777777" w:rsidR="00463E44" w:rsidRPr="000E7ECE" w:rsidRDefault="00463E44" w:rsidP="009D2CB4">
            <w:pPr>
              <w:pStyle w:val="TableText"/>
              <w:jc w:val="right"/>
              <w:rPr>
                <w:b/>
              </w:rPr>
            </w:pPr>
            <w:r w:rsidRPr="000E7ECE">
              <w:rPr>
                <w:b/>
              </w:rPr>
              <w:t>% (95%CI)</w:t>
            </w:r>
          </w:p>
        </w:tc>
        <w:tc>
          <w:tcPr>
            <w:tcW w:w="333" w:type="pct"/>
            <w:tcBorders>
              <w:top w:val="single" w:sz="4" w:space="0" w:color="000000"/>
              <w:bottom w:val="single" w:sz="4" w:space="0" w:color="000000"/>
            </w:tcBorders>
          </w:tcPr>
          <w:p w14:paraId="6B8A5AE0" w14:textId="77777777" w:rsidR="00463E44" w:rsidRPr="000E7ECE" w:rsidRDefault="00463E44" w:rsidP="009D2CB4">
            <w:pPr>
              <w:pStyle w:val="TableText"/>
              <w:jc w:val="right"/>
              <w:rPr>
                <w:b/>
              </w:rPr>
            </w:pPr>
            <w:r w:rsidRPr="000E7ECE">
              <w:rPr>
                <w:b/>
              </w:rPr>
              <w:t>n</w:t>
            </w:r>
          </w:p>
        </w:tc>
        <w:tc>
          <w:tcPr>
            <w:tcW w:w="605" w:type="pct"/>
            <w:tcBorders>
              <w:top w:val="single" w:sz="4" w:space="0" w:color="000000"/>
              <w:bottom w:val="single" w:sz="4" w:space="0" w:color="000000"/>
            </w:tcBorders>
          </w:tcPr>
          <w:p w14:paraId="35CD27EE" w14:textId="77777777" w:rsidR="00463E44" w:rsidRPr="000E7ECE" w:rsidRDefault="00463E44" w:rsidP="009D2CB4">
            <w:pPr>
              <w:pStyle w:val="TableText"/>
              <w:jc w:val="right"/>
              <w:rPr>
                <w:b/>
              </w:rPr>
            </w:pPr>
            <w:r w:rsidRPr="000E7ECE">
              <w:rPr>
                <w:b/>
              </w:rPr>
              <w:t>Weighted n</w:t>
            </w:r>
          </w:p>
        </w:tc>
        <w:tc>
          <w:tcPr>
            <w:tcW w:w="732" w:type="pct"/>
            <w:tcBorders>
              <w:top w:val="single" w:sz="4" w:space="0" w:color="000000"/>
              <w:bottom w:val="single" w:sz="4" w:space="0" w:color="000000"/>
            </w:tcBorders>
          </w:tcPr>
          <w:p w14:paraId="1A81A650" w14:textId="77777777" w:rsidR="00463E44" w:rsidRPr="000E7ECE" w:rsidRDefault="00463E44" w:rsidP="009D2CB4">
            <w:pPr>
              <w:pStyle w:val="TableText"/>
              <w:jc w:val="right"/>
              <w:rPr>
                <w:b/>
              </w:rPr>
            </w:pPr>
            <w:r w:rsidRPr="000E7ECE">
              <w:rPr>
                <w:b/>
              </w:rPr>
              <w:t>% (95%CI)</w:t>
            </w:r>
          </w:p>
        </w:tc>
      </w:tr>
      <w:tr w:rsidR="00463E44" w:rsidRPr="0069440C" w14:paraId="3B08CF49"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61" w:type="pct"/>
            <w:tcBorders>
              <w:top w:val="single" w:sz="4" w:space="0" w:color="000000"/>
            </w:tcBorders>
          </w:tcPr>
          <w:p w14:paraId="7E846673" w14:textId="77777777" w:rsidR="00463E44" w:rsidRPr="0069440C" w:rsidRDefault="00463E44" w:rsidP="009D2CB4">
            <w:pPr>
              <w:pStyle w:val="TableText"/>
            </w:pPr>
            <w:r w:rsidRPr="0069440C">
              <w:t xml:space="preserve">No, don’t use </w:t>
            </w:r>
            <w:r>
              <w:t>internet</w:t>
            </w:r>
            <w:r w:rsidRPr="0069440C">
              <w:t xml:space="preserve"> for mental health issues</w:t>
            </w:r>
            <w:r>
              <w:t>.</w:t>
            </w:r>
          </w:p>
        </w:tc>
        <w:tc>
          <w:tcPr>
            <w:tcW w:w="333" w:type="pct"/>
            <w:tcBorders>
              <w:top w:val="single" w:sz="4" w:space="0" w:color="000000"/>
            </w:tcBorders>
          </w:tcPr>
          <w:p w14:paraId="385B37D9" w14:textId="77777777" w:rsidR="00463E44" w:rsidRPr="0069440C" w:rsidRDefault="00463E44" w:rsidP="009D2CB4">
            <w:pPr>
              <w:pStyle w:val="TableText"/>
              <w:jc w:val="right"/>
              <w:rPr>
                <w:color w:val="000000" w:themeColor="text1"/>
              </w:rPr>
            </w:pPr>
            <w:r w:rsidRPr="0069440C">
              <w:t>2668</w:t>
            </w:r>
          </w:p>
        </w:tc>
        <w:tc>
          <w:tcPr>
            <w:tcW w:w="605" w:type="pct"/>
            <w:tcBorders>
              <w:top w:val="single" w:sz="4" w:space="0" w:color="000000"/>
            </w:tcBorders>
          </w:tcPr>
          <w:p w14:paraId="1E7A533B" w14:textId="77777777" w:rsidR="00463E44" w:rsidRPr="0069440C" w:rsidRDefault="00463E44" w:rsidP="009D2CB4">
            <w:pPr>
              <w:pStyle w:val="TableText"/>
              <w:jc w:val="right"/>
              <w:rPr>
                <w:color w:val="000000" w:themeColor="text1"/>
              </w:rPr>
            </w:pPr>
            <w:r w:rsidRPr="0069440C">
              <w:t>18</w:t>
            </w:r>
            <w:r>
              <w:t>,</w:t>
            </w:r>
            <w:r w:rsidRPr="0069440C">
              <w:t>667</w:t>
            </w:r>
          </w:p>
        </w:tc>
        <w:tc>
          <w:tcPr>
            <w:tcW w:w="732" w:type="pct"/>
            <w:tcBorders>
              <w:top w:val="single" w:sz="4" w:space="0" w:color="000000"/>
            </w:tcBorders>
          </w:tcPr>
          <w:p w14:paraId="55D7B847" w14:textId="77777777" w:rsidR="00463E44" w:rsidRPr="0069440C" w:rsidRDefault="00463E44" w:rsidP="009D2CB4">
            <w:pPr>
              <w:pStyle w:val="TableText"/>
              <w:jc w:val="right"/>
              <w:rPr>
                <w:color w:val="000000" w:themeColor="text1"/>
              </w:rPr>
            </w:pPr>
            <w:r w:rsidRPr="0069440C">
              <w:t>74.9 (73.0,</w:t>
            </w:r>
            <w:r>
              <w:t xml:space="preserve"> </w:t>
            </w:r>
            <w:r w:rsidRPr="0069440C">
              <w:t>76.7)</w:t>
            </w:r>
          </w:p>
        </w:tc>
        <w:tc>
          <w:tcPr>
            <w:tcW w:w="333" w:type="pct"/>
            <w:tcBorders>
              <w:top w:val="single" w:sz="4" w:space="0" w:color="000000"/>
            </w:tcBorders>
          </w:tcPr>
          <w:p w14:paraId="4FC55E53" w14:textId="77777777" w:rsidR="00463E44" w:rsidRPr="0069440C" w:rsidRDefault="00463E44" w:rsidP="009D2CB4">
            <w:pPr>
              <w:pStyle w:val="TableText"/>
              <w:jc w:val="right"/>
              <w:rPr>
                <w:color w:val="000000" w:themeColor="text1"/>
              </w:rPr>
            </w:pPr>
            <w:r w:rsidRPr="0069440C">
              <w:t>5875</w:t>
            </w:r>
          </w:p>
        </w:tc>
        <w:tc>
          <w:tcPr>
            <w:tcW w:w="605" w:type="pct"/>
            <w:tcBorders>
              <w:top w:val="single" w:sz="4" w:space="0" w:color="000000"/>
            </w:tcBorders>
          </w:tcPr>
          <w:p w14:paraId="61C06A85" w14:textId="77777777" w:rsidR="00463E44" w:rsidRPr="0069440C" w:rsidRDefault="00463E44" w:rsidP="009D2CB4">
            <w:pPr>
              <w:pStyle w:val="TableText"/>
              <w:jc w:val="right"/>
              <w:rPr>
                <w:color w:val="000000" w:themeColor="text1"/>
              </w:rPr>
            </w:pPr>
            <w:r w:rsidRPr="0069440C">
              <w:t>42</w:t>
            </w:r>
            <w:r>
              <w:t>,</w:t>
            </w:r>
            <w:r w:rsidRPr="0069440C">
              <w:t>914</w:t>
            </w:r>
          </w:p>
        </w:tc>
        <w:tc>
          <w:tcPr>
            <w:tcW w:w="732" w:type="pct"/>
            <w:tcBorders>
              <w:top w:val="single" w:sz="4" w:space="0" w:color="000000"/>
            </w:tcBorders>
          </w:tcPr>
          <w:p w14:paraId="2DC35E63" w14:textId="77777777" w:rsidR="00463E44" w:rsidRPr="0069440C" w:rsidRDefault="00463E44" w:rsidP="009D2CB4">
            <w:pPr>
              <w:pStyle w:val="TableText"/>
              <w:jc w:val="right"/>
              <w:rPr>
                <w:color w:val="000000" w:themeColor="text1"/>
              </w:rPr>
            </w:pPr>
            <w:r w:rsidRPr="0069440C">
              <w:t>81.7 (78.4,</w:t>
            </w:r>
            <w:r>
              <w:t xml:space="preserve"> </w:t>
            </w:r>
            <w:r w:rsidRPr="0069440C">
              <w:t>84.6)</w:t>
            </w:r>
          </w:p>
        </w:tc>
      </w:tr>
      <w:tr w:rsidR="00463E44" w:rsidRPr="0069440C" w14:paraId="020AF292" w14:textId="77777777" w:rsidTr="00D6757C">
        <w:trPr>
          <w:cantSplit/>
        </w:trPr>
        <w:tc>
          <w:tcPr>
            <w:tcW w:w="1661" w:type="pct"/>
          </w:tcPr>
          <w:p w14:paraId="5C04FCC2" w14:textId="77777777" w:rsidR="00463E44" w:rsidRPr="0069440C" w:rsidRDefault="00463E44" w:rsidP="009D2CB4">
            <w:pPr>
              <w:pStyle w:val="TableText"/>
            </w:pPr>
            <w:r w:rsidRPr="0069440C">
              <w:t xml:space="preserve">Yes, use </w:t>
            </w:r>
            <w:r>
              <w:t>internet</w:t>
            </w:r>
            <w:r w:rsidRPr="0069440C">
              <w:t xml:space="preserve"> for mental health issues</w:t>
            </w:r>
            <w:r>
              <w:t>.</w:t>
            </w:r>
          </w:p>
        </w:tc>
        <w:tc>
          <w:tcPr>
            <w:tcW w:w="333" w:type="pct"/>
          </w:tcPr>
          <w:p w14:paraId="46618521" w14:textId="77777777" w:rsidR="00463E44" w:rsidRPr="0069440C" w:rsidRDefault="00463E44" w:rsidP="009D2CB4">
            <w:pPr>
              <w:pStyle w:val="TableText"/>
              <w:jc w:val="right"/>
              <w:rPr>
                <w:color w:val="000000" w:themeColor="text1"/>
              </w:rPr>
            </w:pPr>
            <w:r w:rsidRPr="0069440C">
              <w:t>856</w:t>
            </w:r>
          </w:p>
        </w:tc>
        <w:tc>
          <w:tcPr>
            <w:tcW w:w="605" w:type="pct"/>
          </w:tcPr>
          <w:p w14:paraId="263D16FC" w14:textId="77777777" w:rsidR="00463E44" w:rsidRPr="0069440C" w:rsidRDefault="00463E44" w:rsidP="009D2CB4">
            <w:pPr>
              <w:pStyle w:val="TableText"/>
              <w:jc w:val="right"/>
              <w:rPr>
                <w:color w:val="000000" w:themeColor="text1"/>
              </w:rPr>
            </w:pPr>
            <w:r w:rsidRPr="0069440C">
              <w:t>6116</w:t>
            </w:r>
          </w:p>
        </w:tc>
        <w:tc>
          <w:tcPr>
            <w:tcW w:w="732" w:type="pct"/>
          </w:tcPr>
          <w:p w14:paraId="10A78CC7" w14:textId="77777777" w:rsidR="00463E44" w:rsidRPr="0069440C" w:rsidRDefault="00463E44" w:rsidP="009D2CB4">
            <w:pPr>
              <w:pStyle w:val="TableText"/>
              <w:jc w:val="right"/>
              <w:rPr>
                <w:color w:val="000000" w:themeColor="text1"/>
              </w:rPr>
            </w:pPr>
            <w:r w:rsidRPr="0069440C">
              <w:t>24.5 (22.8,</w:t>
            </w:r>
            <w:r>
              <w:t xml:space="preserve"> </w:t>
            </w:r>
            <w:r w:rsidRPr="0069440C">
              <w:t>26.4)</w:t>
            </w:r>
          </w:p>
        </w:tc>
        <w:tc>
          <w:tcPr>
            <w:tcW w:w="333" w:type="pct"/>
          </w:tcPr>
          <w:p w14:paraId="06D06FDC" w14:textId="77777777" w:rsidR="00463E44" w:rsidRPr="0069440C" w:rsidRDefault="00463E44" w:rsidP="009D2CB4">
            <w:pPr>
              <w:pStyle w:val="TableText"/>
              <w:jc w:val="right"/>
              <w:rPr>
                <w:color w:val="000000" w:themeColor="text1"/>
              </w:rPr>
            </w:pPr>
            <w:r w:rsidRPr="0069440C">
              <w:t>1431</w:t>
            </w:r>
          </w:p>
        </w:tc>
        <w:tc>
          <w:tcPr>
            <w:tcW w:w="605" w:type="pct"/>
          </w:tcPr>
          <w:p w14:paraId="055FFBEE" w14:textId="77777777" w:rsidR="00463E44" w:rsidRPr="0069440C" w:rsidRDefault="00463E44" w:rsidP="009D2CB4">
            <w:pPr>
              <w:pStyle w:val="TableText"/>
              <w:jc w:val="right"/>
              <w:rPr>
                <w:color w:val="000000" w:themeColor="text1"/>
              </w:rPr>
            </w:pPr>
            <w:r w:rsidRPr="0069440C">
              <w:t>9042</w:t>
            </w:r>
          </w:p>
        </w:tc>
        <w:tc>
          <w:tcPr>
            <w:tcW w:w="732" w:type="pct"/>
          </w:tcPr>
          <w:p w14:paraId="4E5084FE" w14:textId="77777777" w:rsidR="00463E44" w:rsidRPr="0069440C" w:rsidRDefault="00463E44" w:rsidP="009D2CB4">
            <w:pPr>
              <w:pStyle w:val="TableText"/>
              <w:jc w:val="right"/>
              <w:rPr>
                <w:color w:val="000000" w:themeColor="text1"/>
              </w:rPr>
            </w:pPr>
            <w:r w:rsidRPr="0069440C">
              <w:t>17.2 (14.4,</w:t>
            </w:r>
            <w:r>
              <w:t xml:space="preserve"> </w:t>
            </w:r>
            <w:r w:rsidRPr="0069440C">
              <w:t>20.5)</w:t>
            </w:r>
          </w:p>
        </w:tc>
      </w:tr>
    </w:tbl>
    <w:p w14:paraId="79088CE6" w14:textId="77777777" w:rsidR="00463E44" w:rsidRPr="006A3EA0" w:rsidRDefault="00463E44" w:rsidP="00463E44">
      <w:pPr>
        <w:pStyle w:val="TableNotes"/>
      </w:pPr>
      <w:r w:rsidRPr="006A3EA0">
        <w:t>Notes</w:t>
      </w:r>
    </w:p>
    <w:p w14:paraId="581246CC" w14:textId="77777777" w:rsidR="00463E44" w:rsidRDefault="00463E44" w:rsidP="00463E44">
      <w:pPr>
        <w:pStyle w:val="TableNotes"/>
      </w:pPr>
      <w:r w:rsidRPr="000E7ECE">
        <w:t>Denominator: Entire cohort</w:t>
      </w:r>
      <w:r>
        <w:t>.</w:t>
      </w:r>
    </w:p>
    <w:p w14:paraId="5032D899" w14:textId="77777777" w:rsidR="00463E44" w:rsidRDefault="00463E44" w:rsidP="00463E44">
      <w:pPr>
        <w:pStyle w:val="TableNotes"/>
      </w:pPr>
      <w:r w:rsidRPr="009B2F7A">
        <w:t>Based on weighted counts, 1</w:t>
      </w:r>
      <w:r>
        <w:t>49 (0.6</w:t>
      </w:r>
      <w:r w:rsidRPr="009B2F7A">
        <w:t xml:space="preserve">%) Transitioned ADF and </w:t>
      </w:r>
      <w:r>
        <w:t>543 (1.0</w:t>
      </w:r>
      <w:r w:rsidRPr="009B2F7A">
        <w:t xml:space="preserve">%) 2015 Regular ADF had a missing value for this question. However, distributions are calculated by including those with a missing value to allow for correct weighted totals. </w:t>
      </w:r>
    </w:p>
    <w:p w14:paraId="49AC5347" w14:textId="77777777" w:rsidR="00463E44" w:rsidRPr="000E7ECE" w:rsidRDefault="00463E44" w:rsidP="00463E44">
      <w:pPr>
        <w:pStyle w:val="TableNotes"/>
      </w:pPr>
      <w:r w:rsidRPr="000E7ECE">
        <w:t>95%CI</w:t>
      </w:r>
      <w:r>
        <w:t xml:space="preserve"> =</w:t>
      </w:r>
      <w:r w:rsidRPr="000E7ECE">
        <w:t xml:space="preserve"> 95% </w:t>
      </w:r>
      <w:r>
        <w:t>confidence interval.</w:t>
      </w:r>
      <w:r w:rsidRPr="000E7ECE">
        <w:t xml:space="preserve"> </w:t>
      </w:r>
    </w:p>
    <w:p w14:paraId="7303A1A2" w14:textId="77777777" w:rsidR="00463E44" w:rsidRDefault="00463E44" w:rsidP="00463E44">
      <w:pPr>
        <w:pStyle w:val="TableNotes"/>
      </w:pPr>
      <w:r w:rsidRPr="000E7ECE">
        <w:t>For a full description of odds ratios, interpretation and strength of association</w:t>
      </w:r>
      <w:r>
        <w:t>,</w:t>
      </w:r>
      <w:r w:rsidRPr="000E7ECE">
        <w:t xml:space="preserve"> please refer to Table B.1</w:t>
      </w:r>
      <w:r w:rsidRPr="00BB1B84">
        <w:t xml:space="preserve"> in </w:t>
      </w:r>
      <w:r w:rsidR="00374073">
        <w:t>Annex </w:t>
      </w:r>
      <w:r>
        <w:t>B, Odds ratio table.</w:t>
      </w:r>
    </w:p>
    <w:p w14:paraId="6D5CB1B2" w14:textId="1F2F7961" w:rsidR="00463E44" w:rsidRDefault="00463E44" w:rsidP="00463E44">
      <w:pPr>
        <w:pStyle w:val="FigureName"/>
        <w:rPr>
          <w:rFonts w:eastAsia="Times New Roman"/>
          <w:lang w:eastAsia="en-AU"/>
        </w:rPr>
      </w:pPr>
      <w:bookmarkStart w:id="635" w:name="_Ref517354290"/>
      <w:bookmarkStart w:id="636" w:name="_Toc509922953"/>
      <w:bookmarkStart w:id="637" w:name="_Toc515374727"/>
      <w:bookmarkStart w:id="638" w:name="_Toc528932411"/>
      <w:bookmarkStart w:id="639" w:name="_Toc531858091"/>
      <w:r>
        <w:t xml:space="preserve">Figure </w:t>
      </w:r>
      <w:r>
        <w:rPr>
          <w:noProof/>
        </w:rPr>
        <w:t>6</w:t>
      </w:r>
      <w:r>
        <w:t>.</w:t>
      </w:r>
      <w:r>
        <w:rPr>
          <w:noProof/>
        </w:rPr>
        <w:t>1</w:t>
      </w:r>
      <w:bookmarkEnd w:id="635"/>
      <w:r>
        <w:tab/>
        <w:t xml:space="preserve">Use of the internet for seeking help or information, or for managing mental health issues among </w:t>
      </w:r>
      <w:r w:rsidRPr="00CC5727">
        <w:t>Transitioned ADF and 2015 Regular ADF</w:t>
      </w:r>
      <w:bookmarkEnd w:id="636"/>
      <w:bookmarkEnd w:id="637"/>
      <w:bookmarkEnd w:id="638"/>
      <w:bookmarkEnd w:id="639"/>
    </w:p>
    <w:p w14:paraId="1819DE98" w14:textId="77777777" w:rsidR="00463E44" w:rsidRPr="00463E44" w:rsidRDefault="00463E44" w:rsidP="00463E44">
      <w:pPr>
        <w:spacing w:after="360"/>
      </w:pPr>
      <w:r w:rsidRPr="001A4FD0">
        <w:rPr>
          <w:noProof/>
          <w:lang w:eastAsia="en-AU"/>
        </w:rPr>
        <w:drawing>
          <wp:inline distT="0" distB="0" distL="0" distR="0" wp14:anchorId="7F3267CC" wp14:editId="6DCDB69B">
            <wp:extent cx="4572000" cy="2375510"/>
            <wp:effectExtent l="0" t="0" r="0" b="6350"/>
            <wp:docPr id="458" name="Picture 458" descr="Figure 6.1 Use of the internet for seeking help or information, or for managing mental health issues among Transitioned ADF and 2015 Regular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ealthSciences\SPHCP\CTSS\DATA REPOSITORY\TWRP\REPORT 5\FIGURE_4_10.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2000" cy="2375510"/>
                    </a:xfrm>
                    <a:prstGeom prst="rect">
                      <a:avLst/>
                    </a:prstGeom>
                    <a:noFill/>
                    <a:ln>
                      <a:noFill/>
                    </a:ln>
                  </pic:spPr>
                </pic:pic>
              </a:graphicData>
            </a:graphic>
          </wp:inline>
        </w:drawing>
      </w:r>
    </w:p>
    <w:p w14:paraId="337D3A79" w14:textId="77777777" w:rsidR="00463E44" w:rsidRPr="000E7ECE" w:rsidRDefault="00463E44" w:rsidP="00463E44">
      <w:pPr>
        <w:pStyle w:val="Heading3"/>
      </w:pPr>
      <w:bookmarkStart w:id="640" w:name="_Toc515374495"/>
      <w:bookmarkStart w:id="641" w:name="_Toc518566395"/>
      <w:bookmarkStart w:id="642" w:name="_Toc528932683"/>
      <w:bookmarkStart w:id="643" w:name="_Toc531859220"/>
      <w:r w:rsidRPr="000E7ECE">
        <w:t>Probable 30-day disorder and demographic characteristics</w:t>
      </w:r>
      <w:bookmarkEnd w:id="640"/>
      <w:bookmarkEnd w:id="641"/>
      <w:bookmarkEnd w:id="642"/>
      <w:bookmarkEnd w:id="643"/>
    </w:p>
    <w:p w14:paraId="6638F1D9" w14:textId="77777777" w:rsidR="00463E44" w:rsidRDefault="00463E44" w:rsidP="00463E44">
      <w:r>
        <w:t xml:space="preserve">Table </w:t>
      </w:r>
      <w:r>
        <w:rPr>
          <w:noProof/>
        </w:rPr>
        <w:t>6</w:t>
      </w:r>
      <w:r>
        <w:t>.</w:t>
      </w:r>
      <w:r>
        <w:rPr>
          <w:noProof/>
        </w:rPr>
        <w:t>2</w:t>
      </w:r>
      <w:r>
        <w:t xml:space="preserve"> presents the e</w:t>
      </w:r>
      <w:r w:rsidRPr="00CC5727">
        <w:t xml:space="preserve">stimated </w:t>
      </w:r>
      <w:r>
        <w:t>proportion</w:t>
      </w:r>
      <w:r w:rsidRPr="00CC5727">
        <w:t xml:space="preserve"> of Transitioned ADF and 2015 Regular ADF who did and did not report using the </w:t>
      </w:r>
      <w:r>
        <w:t>internet</w:t>
      </w:r>
      <w:r w:rsidRPr="00CC5727">
        <w:t xml:space="preserve"> </w:t>
      </w:r>
      <w:r>
        <w:t xml:space="preserve">to </w:t>
      </w:r>
      <w:r>
        <w:rPr>
          <w:rFonts w:cs="Calibri"/>
        </w:rPr>
        <w:t>seek help or information or to manage mental health issues</w:t>
      </w:r>
      <w:r w:rsidRPr="00CC5727">
        <w:t xml:space="preserve"> according to </w:t>
      </w:r>
      <w:r>
        <w:t>probable disorder</w:t>
      </w:r>
      <w:r w:rsidRPr="00CC5727">
        <w:t xml:space="preserve"> and demographic characteristics</w:t>
      </w:r>
      <w:r>
        <w:t>.</w:t>
      </w:r>
    </w:p>
    <w:p w14:paraId="31A2ED05" w14:textId="77777777" w:rsidR="00463E44" w:rsidRPr="0090619B" w:rsidRDefault="00463E44" w:rsidP="00463E44">
      <w:r w:rsidRPr="003038B1">
        <w:t xml:space="preserve">For both groups, the majority of respondents reported that they did </w:t>
      </w:r>
      <w:r w:rsidRPr="003038B1">
        <w:rPr>
          <w:i/>
        </w:rPr>
        <w:t>not</w:t>
      </w:r>
      <w:r w:rsidRPr="003038B1">
        <w:t xml:space="preserve"> use the </w:t>
      </w:r>
      <w:r>
        <w:t>internet</w:t>
      </w:r>
      <w:r w:rsidRPr="003038B1">
        <w:t xml:space="preserve"> for mental health issues, regardless of whether or not they had a </w:t>
      </w:r>
      <w:r>
        <w:t xml:space="preserve">probable disorder. </w:t>
      </w:r>
      <w:r w:rsidRPr="000A44DA">
        <w:t>A higher pr</w:t>
      </w:r>
      <w:r>
        <w:t>o</w:t>
      </w:r>
      <w:r w:rsidRPr="000A44DA">
        <w:t>po</w:t>
      </w:r>
      <w:r>
        <w:t>r</w:t>
      </w:r>
      <w:r w:rsidRPr="000A44DA">
        <w:t xml:space="preserve">tion of </w:t>
      </w:r>
      <w:r>
        <w:t>Trans</w:t>
      </w:r>
      <w:r w:rsidRPr="000A44DA">
        <w:t>it</w:t>
      </w:r>
      <w:r>
        <w:t>i</w:t>
      </w:r>
      <w:r w:rsidRPr="000A44DA">
        <w:t>oned ADF and 2015 Regu</w:t>
      </w:r>
      <w:r>
        <w:t xml:space="preserve">lar </w:t>
      </w:r>
      <w:r w:rsidRPr="000A44DA">
        <w:t xml:space="preserve">ADF with a probable disorder reported using the </w:t>
      </w:r>
      <w:r>
        <w:t xml:space="preserve">internet to </w:t>
      </w:r>
      <w:r w:rsidRPr="000A44DA">
        <w:rPr>
          <w:rFonts w:cs="Calibri"/>
        </w:rPr>
        <w:t>seek help</w:t>
      </w:r>
      <w:r>
        <w:rPr>
          <w:rFonts w:cs="Calibri"/>
        </w:rPr>
        <w:t xml:space="preserve"> or</w:t>
      </w:r>
      <w:r w:rsidRPr="000A44DA">
        <w:rPr>
          <w:rFonts w:cs="Calibri"/>
        </w:rPr>
        <w:t xml:space="preserve"> information or to manage mental health issues</w:t>
      </w:r>
      <w:r w:rsidRPr="003038B1">
        <w:t xml:space="preserve"> </w:t>
      </w:r>
      <w:r>
        <w:t>than those without a</w:t>
      </w:r>
      <w:r w:rsidRPr="000A44DA">
        <w:t xml:space="preserve"> probable disorder (Transitioned ADF: 38.3% vs 19.1%; 2015 Regular ADF: 22.0% vs 16.4%).</w:t>
      </w:r>
      <w:r>
        <w:t xml:space="preserve"> </w:t>
      </w:r>
      <w:r w:rsidRPr="003038B1">
        <w:t xml:space="preserve">Among those </w:t>
      </w:r>
      <w:r w:rsidRPr="003038B1">
        <w:rPr>
          <w:i/>
        </w:rPr>
        <w:t>with</w:t>
      </w:r>
      <w:r w:rsidRPr="003038B1">
        <w:t xml:space="preserve"> a </w:t>
      </w:r>
      <w:r>
        <w:t>probable disorder</w:t>
      </w:r>
      <w:r w:rsidRPr="003038B1">
        <w:t>, Transitioned ADF (38.3%) were more likely than 2015 Regular ADF (22</w:t>
      </w:r>
      <w:r>
        <w:t>.0</w:t>
      </w:r>
      <w:r w:rsidRPr="003038B1">
        <w:t xml:space="preserve">%) to report using the </w:t>
      </w:r>
      <w:r>
        <w:t>internet</w:t>
      </w:r>
      <w:r w:rsidRPr="003038B1">
        <w:t xml:space="preserve"> to seek information on mental health issues.</w:t>
      </w:r>
    </w:p>
    <w:p w14:paraId="526BB4D4" w14:textId="77777777" w:rsidR="00463E44" w:rsidRDefault="00463E44" w:rsidP="0061597C">
      <w:pPr>
        <w:sectPr w:rsidR="00463E44" w:rsidSect="00147BFC">
          <w:footerReference w:type="even" r:id="rId61"/>
          <w:footerReference w:type="default" r:id="rId62"/>
          <w:type w:val="oddPage"/>
          <w:pgSz w:w="9979" w:h="14170" w:code="243"/>
          <w:pgMar w:top="1440" w:right="1152" w:bottom="1440" w:left="1728" w:header="576" w:footer="576" w:gutter="0"/>
          <w:cols w:space="708"/>
          <w:docGrid w:linePitch="360"/>
        </w:sectPr>
      </w:pPr>
    </w:p>
    <w:p w14:paraId="090504F5" w14:textId="77777777" w:rsidR="00D92626" w:rsidRDefault="00D92626" w:rsidP="00D92626">
      <w:pPr>
        <w:pStyle w:val="TableName"/>
      </w:pPr>
      <w:bookmarkStart w:id="644" w:name="_Toc531858012"/>
      <w:bookmarkStart w:id="645" w:name="_Ref517354644"/>
      <w:bookmarkStart w:id="646" w:name="_Toc509922883"/>
      <w:bookmarkStart w:id="647" w:name="_Toc515374658"/>
      <w:bookmarkStart w:id="648" w:name="_Toc528932333"/>
      <w:r>
        <w:t xml:space="preserve">Table </w:t>
      </w:r>
      <w:r>
        <w:rPr>
          <w:noProof/>
        </w:rPr>
        <w:t>6</w:t>
      </w:r>
      <w:r>
        <w:t>.</w:t>
      </w:r>
      <w:r>
        <w:rPr>
          <w:noProof/>
        </w:rPr>
        <w:t>2</w:t>
      </w:r>
      <w:r>
        <w:tab/>
        <w:t xml:space="preserve">Use of internet for management of mental health issues among Transitioned ADF and 2015 Regular ADF by </w:t>
      </w:r>
      <w:r w:rsidRPr="00F85741">
        <w:t>probable disorder and demographic</w:t>
      </w:r>
      <w:r>
        <w:t xml:space="preserve"> characteristics</w:t>
      </w:r>
      <w:bookmarkEnd w:id="644"/>
    </w:p>
    <w:bookmarkEnd w:id="645"/>
    <w:bookmarkEnd w:id="646"/>
    <w:bookmarkEnd w:id="647"/>
    <w:bookmarkEnd w:id="648"/>
    <w:tbl>
      <w:tblPr>
        <w:tblStyle w:val="TWRPTable"/>
        <w:tblW w:w="5000" w:type="pct"/>
        <w:tblLayout w:type="fixed"/>
        <w:tblCellMar>
          <w:left w:w="115" w:type="dxa"/>
          <w:right w:w="115" w:type="dxa"/>
        </w:tblCellMar>
        <w:tblLook w:val="0000" w:firstRow="0" w:lastRow="0" w:firstColumn="0" w:lastColumn="0" w:noHBand="0" w:noVBand="0"/>
        <w:tblDescription w:val="Table 6.2 Use of internet for management of mental health issues among Transitioned ADF and 2015 Regular ADF by probable disorder and demographic characteristics"/>
      </w:tblPr>
      <w:tblGrid>
        <w:gridCol w:w="1599"/>
        <w:gridCol w:w="540"/>
        <w:gridCol w:w="776"/>
        <w:gridCol w:w="1074"/>
        <w:gridCol w:w="440"/>
        <w:gridCol w:w="808"/>
        <w:gridCol w:w="1074"/>
        <w:gridCol w:w="499"/>
        <w:gridCol w:w="819"/>
        <w:gridCol w:w="1074"/>
        <w:gridCol w:w="521"/>
        <w:gridCol w:w="923"/>
        <w:gridCol w:w="1133"/>
      </w:tblGrid>
      <w:tr w:rsidR="00D92626" w:rsidRPr="00B95AF7" w14:paraId="0C094ED3" w14:textId="77777777" w:rsidTr="00D6757C">
        <w:trPr>
          <w:cantSplit/>
          <w:tblHeader/>
        </w:trPr>
        <w:tc>
          <w:tcPr>
            <w:tcW w:w="709" w:type="pct"/>
            <w:tcBorders>
              <w:top w:val="single" w:sz="4" w:space="0" w:color="000000"/>
              <w:bottom w:val="nil"/>
            </w:tcBorders>
          </w:tcPr>
          <w:p w14:paraId="209BD99D" w14:textId="77777777" w:rsidR="00D92626" w:rsidRPr="00494E02" w:rsidRDefault="00D92626" w:rsidP="00D92626">
            <w:pPr>
              <w:pStyle w:val="TableText"/>
            </w:pPr>
          </w:p>
        </w:tc>
        <w:tc>
          <w:tcPr>
            <w:tcW w:w="2089" w:type="pct"/>
            <w:gridSpan w:val="6"/>
            <w:tcBorders>
              <w:top w:val="single" w:sz="4" w:space="0" w:color="000000"/>
              <w:bottom w:val="single" w:sz="4" w:space="0" w:color="000000"/>
            </w:tcBorders>
          </w:tcPr>
          <w:p w14:paraId="15F80EC4" w14:textId="77777777" w:rsidR="00D92626" w:rsidRPr="00DE7D1D" w:rsidRDefault="00D92626" w:rsidP="00D92626">
            <w:pPr>
              <w:pStyle w:val="TableText"/>
              <w:jc w:val="center"/>
              <w:rPr>
                <w:b/>
              </w:rPr>
            </w:pPr>
            <w:r>
              <w:rPr>
                <w:b/>
              </w:rPr>
              <w:t>Transitioned ADF</w:t>
            </w:r>
            <w:r>
              <w:rPr>
                <w:b/>
              </w:rPr>
              <w:br/>
            </w:r>
            <w:r w:rsidRPr="00DE7D1D">
              <w:rPr>
                <w:b/>
                <w:bCs/>
              </w:rPr>
              <w:t>n=24,932</w:t>
            </w:r>
          </w:p>
        </w:tc>
        <w:tc>
          <w:tcPr>
            <w:tcW w:w="2202" w:type="pct"/>
            <w:gridSpan w:val="6"/>
            <w:tcBorders>
              <w:top w:val="single" w:sz="4" w:space="0" w:color="000000"/>
              <w:bottom w:val="single" w:sz="4" w:space="0" w:color="000000"/>
            </w:tcBorders>
          </w:tcPr>
          <w:p w14:paraId="685B278E" w14:textId="77777777" w:rsidR="00D92626" w:rsidRPr="00DE7D1D" w:rsidRDefault="00D92626" w:rsidP="00D92626">
            <w:pPr>
              <w:pStyle w:val="TableText"/>
              <w:jc w:val="center"/>
              <w:rPr>
                <w:b/>
              </w:rPr>
            </w:pPr>
            <w:r>
              <w:rPr>
                <w:b/>
              </w:rPr>
              <w:t>2015 Regular ADF</w:t>
            </w:r>
            <w:r>
              <w:rPr>
                <w:b/>
              </w:rPr>
              <w:br/>
            </w:r>
            <w:r w:rsidRPr="00DE7D1D">
              <w:rPr>
                <w:b/>
                <w:bCs/>
              </w:rPr>
              <w:t>n=52,500</w:t>
            </w:r>
          </w:p>
        </w:tc>
      </w:tr>
      <w:tr w:rsidR="00D92626" w:rsidRPr="00B95AF7" w14:paraId="5A0D13D5" w14:textId="77777777" w:rsidTr="00D6757C">
        <w:trPr>
          <w:cantSplit/>
          <w:tblHeader/>
        </w:trPr>
        <w:tc>
          <w:tcPr>
            <w:tcW w:w="709" w:type="pct"/>
            <w:tcBorders>
              <w:top w:val="nil"/>
              <w:bottom w:val="nil"/>
            </w:tcBorders>
          </w:tcPr>
          <w:p w14:paraId="5C21BF21" w14:textId="77777777" w:rsidR="00D92626" w:rsidRPr="00494E02" w:rsidRDefault="00D92626" w:rsidP="00D92626">
            <w:pPr>
              <w:pStyle w:val="TableText"/>
            </w:pPr>
          </w:p>
        </w:tc>
        <w:tc>
          <w:tcPr>
            <w:tcW w:w="1060" w:type="pct"/>
            <w:gridSpan w:val="3"/>
            <w:tcBorders>
              <w:top w:val="single" w:sz="4" w:space="0" w:color="000000"/>
              <w:bottom w:val="single" w:sz="4" w:space="0" w:color="000000"/>
            </w:tcBorders>
          </w:tcPr>
          <w:p w14:paraId="15AE43F6" w14:textId="77777777" w:rsidR="00D92626" w:rsidRPr="00DE7D1D" w:rsidRDefault="00D92626" w:rsidP="00D92626">
            <w:pPr>
              <w:pStyle w:val="TableText"/>
              <w:jc w:val="center"/>
              <w:rPr>
                <w:b/>
              </w:rPr>
            </w:pPr>
            <w:r w:rsidRPr="00DE7D1D">
              <w:rPr>
                <w:b/>
              </w:rPr>
              <w:t xml:space="preserve">No, don’t use </w:t>
            </w:r>
            <w:r>
              <w:rPr>
                <w:b/>
              </w:rPr>
              <w:t>internet for mental health issues.</w:t>
            </w:r>
            <w:r>
              <w:rPr>
                <w:b/>
              </w:rPr>
              <w:br/>
              <w:t>n=</w:t>
            </w:r>
            <w:r w:rsidRPr="00DE7D1D">
              <w:rPr>
                <w:b/>
              </w:rPr>
              <w:t>18,667</w:t>
            </w:r>
          </w:p>
        </w:tc>
        <w:tc>
          <w:tcPr>
            <w:tcW w:w="1029" w:type="pct"/>
            <w:gridSpan w:val="3"/>
            <w:tcBorders>
              <w:top w:val="single" w:sz="4" w:space="0" w:color="000000"/>
              <w:bottom w:val="single" w:sz="4" w:space="0" w:color="000000"/>
            </w:tcBorders>
          </w:tcPr>
          <w:p w14:paraId="5971E837" w14:textId="77777777" w:rsidR="00D92626" w:rsidRPr="00DE7D1D" w:rsidRDefault="00D92626" w:rsidP="00D92626">
            <w:pPr>
              <w:pStyle w:val="TableText"/>
              <w:jc w:val="center"/>
              <w:rPr>
                <w:b/>
              </w:rPr>
            </w:pPr>
            <w:r w:rsidRPr="00DE7D1D">
              <w:rPr>
                <w:b/>
              </w:rPr>
              <w:t xml:space="preserve">Yes, use </w:t>
            </w:r>
            <w:r>
              <w:rPr>
                <w:b/>
              </w:rPr>
              <w:t>internet for mental health issues.</w:t>
            </w:r>
            <w:r>
              <w:rPr>
                <w:b/>
              </w:rPr>
              <w:br/>
              <w:t>n=</w:t>
            </w:r>
            <w:r w:rsidRPr="00DE7D1D">
              <w:rPr>
                <w:b/>
              </w:rPr>
              <w:t>6116</w:t>
            </w:r>
          </w:p>
        </w:tc>
        <w:tc>
          <w:tcPr>
            <w:tcW w:w="1060" w:type="pct"/>
            <w:gridSpan w:val="3"/>
            <w:tcBorders>
              <w:top w:val="single" w:sz="4" w:space="0" w:color="000000"/>
              <w:bottom w:val="single" w:sz="4" w:space="0" w:color="000000"/>
            </w:tcBorders>
          </w:tcPr>
          <w:p w14:paraId="01E67A80" w14:textId="77777777" w:rsidR="00D92626" w:rsidRPr="00DE7D1D" w:rsidRDefault="00D92626" w:rsidP="00D92626">
            <w:pPr>
              <w:pStyle w:val="TableText"/>
              <w:jc w:val="center"/>
              <w:rPr>
                <w:b/>
              </w:rPr>
            </w:pPr>
            <w:r w:rsidRPr="00DE7D1D">
              <w:rPr>
                <w:b/>
              </w:rPr>
              <w:t xml:space="preserve">No, don’t use </w:t>
            </w:r>
            <w:r>
              <w:rPr>
                <w:b/>
              </w:rPr>
              <w:t>internet for mental health issues.</w:t>
            </w:r>
            <w:r>
              <w:rPr>
                <w:b/>
              </w:rPr>
              <w:br/>
              <w:t>n=</w:t>
            </w:r>
            <w:r w:rsidRPr="00DE7D1D">
              <w:rPr>
                <w:b/>
              </w:rPr>
              <w:t>42,914</w:t>
            </w:r>
          </w:p>
        </w:tc>
        <w:tc>
          <w:tcPr>
            <w:tcW w:w="1142" w:type="pct"/>
            <w:gridSpan w:val="3"/>
            <w:tcBorders>
              <w:top w:val="single" w:sz="4" w:space="0" w:color="000000"/>
              <w:bottom w:val="single" w:sz="4" w:space="0" w:color="000000"/>
            </w:tcBorders>
          </w:tcPr>
          <w:p w14:paraId="01F61EED" w14:textId="77777777" w:rsidR="00D92626" w:rsidRPr="00DE7D1D" w:rsidRDefault="00D92626" w:rsidP="00D92626">
            <w:pPr>
              <w:pStyle w:val="TableText"/>
              <w:jc w:val="center"/>
              <w:rPr>
                <w:b/>
              </w:rPr>
            </w:pPr>
            <w:r w:rsidRPr="00DE7D1D">
              <w:rPr>
                <w:b/>
              </w:rPr>
              <w:t xml:space="preserve">Yes, use </w:t>
            </w:r>
            <w:r>
              <w:rPr>
                <w:b/>
              </w:rPr>
              <w:t>internet</w:t>
            </w:r>
            <w:r w:rsidRPr="00DE7D1D">
              <w:rPr>
                <w:b/>
              </w:rPr>
              <w:t xml:space="preserve"> for mental health issues</w:t>
            </w:r>
            <w:r>
              <w:rPr>
                <w:b/>
              </w:rPr>
              <w:t>.</w:t>
            </w:r>
            <w:r>
              <w:rPr>
                <w:b/>
              </w:rPr>
              <w:br/>
              <w:t>n=</w:t>
            </w:r>
            <w:r w:rsidRPr="00DE7D1D">
              <w:rPr>
                <w:b/>
              </w:rPr>
              <w:t>9042</w:t>
            </w:r>
          </w:p>
        </w:tc>
      </w:tr>
      <w:tr w:rsidR="00D6757C" w:rsidRPr="00B95AF7" w14:paraId="18C7FE9A" w14:textId="77777777" w:rsidTr="00D6757C">
        <w:trPr>
          <w:cantSplit/>
          <w:tblHeader/>
        </w:trPr>
        <w:tc>
          <w:tcPr>
            <w:tcW w:w="709" w:type="pct"/>
            <w:tcBorders>
              <w:top w:val="nil"/>
              <w:bottom w:val="single" w:sz="4" w:space="0" w:color="000000"/>
            </w:tcBorders>
          </w:tcPr>
          <w:p w14:paraId="42BEC9E3" w14:textId="77777777" w:rsidR="00D92626" w:rsidRPr="00494E02" w:rsidRDefault="00D92626" w:rsidP="00D92626">
            <w:pPr>
              <w:pStyle w:val="TableText"/>
            </w:pPr>
          </w:p>
        </w:tc>
        <w:tc>
          <w:tcPr>
            <w:tcW w:w="240" w:type="pct"/>
            <w:tcBorders>
              <w:top w:val="single" w:sz="4" w:space="0" w:color="000000"/>
              <w:bottom w:val="single" w:sz="4" w:space="0" w:color="000000"/>
            </w:tcBorders>
            <w:vAlign w:val="bottom"/>
          </w:tcPr>
          <w:p w14:paraId="2C53D0CC" w14:textId="77777777" w:rsidR="00D92626" w:rsidRPr="00DE7D1D" w:rsidRDefault="00D92626" w:rsidP="00D6757C">
            <w:pPr>
              <w:pStyle w:val="TableText"/>
              <w:jc w:val="right"/>
              <w:rPr>
                <w:b/>
              </w:rPr>
            </w:pPr>
            <w:r w:rsidRPr="00DE7D1D">
              <w:rPr>
                <w:b/>
              </w:rPr>
              <w:t>n</w:t>
            </w:r>
          </w:p>
        </w:tc>
        <w:tc>
          <w:tcPr>
            <w:tcW w:w="344" w:type="pct"/>
            <w:tcBorders>
              <w:top w:val="single" w:sz="4" w:space="0" w:color="000000"/>
              <w:bottom w:val="single" w:sz="4" w:space="0" w:color="000000"/>
            </w:tcBorders>
            <w:vAlign w:val="bottom"/>
          </w:tcPr>
          <w:p w14:paraId="267DF8F4" w14:textId="77777777" w:rsidR="00D92626" w:rsidRPr="00DE7D1D" w:rsidRDefault="00D92626" w:rsidP="00D6757C">
            <w:pPr>
              <w:pStyle w:val="TableText"/>
              <w:jc w:val="right"/>
              <w:rPr>
                <w:b/>
              </w:rPr>
            </w:pPr>
            <w:r w:rsidRPr="00DE7D1D">
              <w:rPr>
                <w:b/>
              </w:rPr>
              <w:t>Weighted n</w:t>
            </w:r>
          </w:p>
        </w:tc>
        <w:tc>
          <w:tcPr>
            <w:tcW w:w="476" w:type="pct"/>
            <w:tcBorders>
              <w:top w:val="single" w:sz="4" w:space="0" w:color="000000"/>
              <w:bottom w:val="single" w:sz="4" w:space="0" w:color="000000"/>
            </w:tcBorders>
            <w:vAlign w:val="bottom"/>
          </w:tcPr>
          <w:p w14:paraId="49C4701F" w14:textId="77777777" w:rsidR="00D92626" w:rsidRPr="00DE7D1D" w:rsidRDefault="00D92626" w:rsidP="00D6757C">
            <w:pPr>
              <w:pStyle w:val="TableText"/>
              <w:jc w:val="right"/>
              <w:rPr>
                <w:b/>
              </w:rPr>
            </w:pPr>
            <w:r w:rsidRPr="00DE7D1D">
              <w:rPr>
                <w:b/>
              </w:rPr>
              <w:t>% (95%CI)</w:t>
            </w:r>
          </w:p>
        </w:tc>
        <w:tc>
          <w:tcPr>
            <w:tcW w:w="195" w:type="pct"/>
            <w:tcBorders>
              <w:top w:val="single" w:sz="4" w:space="0" w:color="000000"/>
              <w:bottom w:val="single" w:sz="4" w:space="0" w:color="000000"/>
            </w:tcBorders>
            <w:vAlign w:val="bottom"/>
          </w:tcPr>
          <w:p w14:paraId="100E3A0B" w14:textId="77777777" w:rsidR="00D92626" w:rsidRPr="00DE7D1D" w:rsidRDefault="00D92626" w:rsidP="00D6757C">
            <w:pPr>
              <w:pStyle w:val="TableText"/>
              <w:jc w:val="right"/>
              <w:rPr>
                <w:b/>
              </w:rPr>
            </w:pPr>
            <w:r w:rsidRPr="00DE7D1D">
              <w:rPr>
                <w:b/>
              </w:rPr>
              <w:t>n</w:t>
            </w:r>
          </w:p>
        </w:tc>
        <w:tc>
          <w:tcPr>
            <w:tcW w:w="358" w:type="pct"/>
            <w:tcBorders>
              <w:top w:val="single" w:sz="4" w:space="0" w:color="000000"/>
              <w:bottom w:val="single" w:sz="4" w:space="0" w:color="000000"/>
            </w:tcBorders>
            <w:vAlign w:val="bottom"/>
          </w:tcPr>
          <w:p w14:paraId="0CD5773D" w14:textId="77777777" w:rsidR="00D92626" w:rsidRPr="00DE7D1D" w:rsidRDefault="00D92626" w:rsidP="00D6757C">
            <w:pPr>
              <w:pStyle w:val="TableText"/>
              <w:jc w:val="right"/>
              <w:rPr>
                <w:b/>
              </w:rPr>
            </w:pPr>
            <w:r w:rsidRPr="00DE7D1D">
              <w:rPr>
                <w:b/>
              </w:rPr>
              <w:t>Weighted n</w:t>
            </w:r>
          </w:p>
        </w:tc>
        <w:tc>
          <w:tcPr>
            <w:tcW w:w="476" w:type="pct"/>
            <w:tcBorders>
              <w:top w:val="single" w:sz="4" w:space="0" w:color="000000"/>
              <w:bottom w:val="single" w:sz="4" w:space="0" w:color="000000"/>
            </w:tcBorders>
            <w:vAlign w:val="bottom"/>
          </w:tcPr>
          <w:p w14:paraId="744C1E52" w14:textId="77777777" w:rsidR="00D92626" w:rsidRPr="00DE7D1D" w:rsidRDefault="00D92626" w:rsidP="00D6757C">
            <w:pPr>
              <w:pStyle w:val="TableText"/>
              <w:jc w:val="right"/>
              <w:rPr>
                <w:b/>
              </w:rPr>
            </w:pPr>
            <w:r w:rsidRPr="00DE7D1D">
              <w:rPr>
                <w:b/>
              </w:rPr>
              <w:t>% (95%CI)</w:t>
            </w:r>
          </w:p>
        </w:tc>
        <w:tc>
          <w:tcPr>
            <w:tcW w:w="221" w:type="pct"/>
            <w:tcBorders>
              <w:top w:val="single" w:sz="4" w:space="0" w:color="000000"/>
              <w:bottom w:val="single" w:sz="4" w:space="0" w:color="000000"/>
            </w:tcBorders>
            <w:vAlign w:val="bottom"/>
          </w:tcPr>
          <w:p w14:paraId="273434B7" w14:textId="77777777" w:rsidR="00D92626" w:rsidRPr="00DE7D1D" w:rsidRDefault="00D92626" w:rsidP="00D6757C">
            <w:pPr>
              <w:pStyle w:val="TableText"/>
              <w:jc w:val="right"/>
              <w:rPr>
                <w:b/>
              </w:rPr>
            </w:pPr>
            <w:r w:rsidRPr="00DE7D1D">
              <w:rPr>
                <w:b/>
              </w:rPr>
              <w:t>n</w:t>
            </w:r>
          </w:p>
        </w:tc>
        <w:tc>
          <w:tcPr>
            <w:tcW w:w="363" w:type="pct"/>
            <w:tcBorders>
              <w:top w:val="single" w:sz="4" w:space="0" w:color="000000"/>
              <w:bottom w:val="single" w:sz="4" w:space="0" w:color="000000"/>
            </w:tcBorders>
            <w:vAlign w:val="bottom"/>
          </w:tcPr>
          <w:p w14:paraId="18D70CF3" w14:textId="77777777" w:rsidR="00D92626" w:rsidRPr="00DE7D1D" w:rsidRDefault="00D92626" w:rsidP="00D6757C">
            <w:pPr>
              <w:pStyle w:val="TableText"/>
              <w:jc w:val="right"/>
              <w:rPr>
                <w:b/>
              </w:rPr>
            </w:pPr>
            <w:r w:rsidRPr="00DE7D1D">
              <w:rPr>
                <w:b/>
              </w:rPr>
              <w:t>Weighted n</w:t>
            </w:r>
          </w:p>
        </w:tc>
        <w:tc>
          <w:tcPr>
            <w:tcW w:w="476" w:type="pct"/>
            <w:tcBorders>
              <w:top w:val="single" w:sz="4" w:space="0" w:color="000000"/>
              <w:bottom w:val="single" w:sz="4" w:space="0" w:color="000000"/>
            </w:tcBorders>
            <w:vAlign w:val="bottom"/>
          </w:tcPr>
          <w:p w14:paraId="0D189029" w14:textId="77777777" w:rsidR="00D92626" w:rsidRPr="00DE7D1D" w:rsidRDefault="00D92626" w:rsidP="00D6757C">
            <w:pPr>
              <w:pStyle w:val="TableText"/>
              <w:jc w:val="right"/>
              <w:rPr>
                <w:b/>
              </w:rPr>
            </w:pPr>
            <w:r w:rsidRPr="00DE7D1D">
              <w:rPr>
                <w:b/>
              </w:rPr>
              <w:t>% (95%CI)</w:t>
            </w:r>
          </w:p>
        </w:tc>
        <w:tc>
          <w:tcPr>
            <w:tcW w:w="231" w:type="pct"/>
            <w:tcBorders>
              <w:top w:val="single" w:sz="4" w:space="0" w:color="000000"/>
              <w:bottom w:val="single" w:sz="4" w:space="0" w:color="000000"/>
            </w:tcBorders>
            <w:vAlign w:val="bottom"/>
          </w:tcPr>
          <w:p w14:paraId="025F2C1F" w14:textId="77777777" w:rsidR="00D92626" w:rsidRPr="00DE7D1D" w:rsidRDefault="00D92626" w:rsidP="00D6757C">
            <w:pPr>
              <w:pStyle w:val="TableText"/>
              <w:jc w:val="right"/>
              <w:rPr>
                <w:b/>
              </w:rPr>
            </w:pPr>
            <w:r w:rsidRPr="00DE7D1D">
              <w:rPr>
                <w:b/>
              </w:rPr>
              <w:t>n</w:t>
            </w:r>
          </w:p>
        </w:tc>
        <w:tc>
          <w:tcPr>
            <w:tcW w:w="409" w:type="pct"/>
            <w:tcBorders>
              <w:top w:val="single" w:sz="4" w:space="0" w:color="000000"/>
              <w:bottom w:val="single" w:sz="4" w:space="0" w:color="000000"/>
            </w:tcBorders>
            <w:vAlign w:val="bottom"/>
          </w:tcPr>
          <w:p w14:paraId="182C4FB8" w14:textId="77777777" w:rsidR="00D92626" w:rsidRPr="00DE7D1D" w:rsidRDefault="00D92626" w:rsidP="00D6757C">
            <w:pPr>
              <w:pStyle w:val="TableText"/>
              <w:jc w:val="right"/>
              <w:rPr>
                <w:b/>
              </w:rPr>
            </w:pPr>
            <w:r w:rsidRPr="00DE7D1D">
              <w:rPr>
                <w:b/>
              </w:rPr>
              <w:t>Weighted n</w:t>
            </w:r>
          </w:p>
        </w:tc>
        <w:tc>
          <w:tcPr>
            <w:tcW w:w="502" w:type="pct"/>
            <w:tcBorders>
              <w:top w:val="single" w:sz="4" w:space="0" w:color="000000"/>
              <w:bottom w:val="single" w:sz="4" w:space="0" w:color="000000"/>
            </w:tcBorders>
            <w:vAlign w:val="bottom"/>
          </w:tcPr>
          <w:p w14:paraId="76FB10FF" w14:textId="77777777" w:rsidR="00D92626" w:rsidRPr="00DE7D1D" w:rsidRDefault="00D92626" w:rsidP="00D6757C">
            <w:pPr>
              <w:pStyle w:val="TableText"/>
              <w:jc w:val="right"/>
              <w:rPr>
                <w:b/>
              </w:rPr>
            </w:pPr>
            <w:r w:rsidRPr="00DE7D1D">
              <w:rPr>
                <w:b/>
              </w:rPr>
              <w:t>% (95%CI)</w:t>
            </w:r>
          </w:p>
        </w:tc>
      </w:tr>
      <w:tr w:rsidR="00D92626" w:rsidRPr="00B95AF7" w14:paraId="06E8A7D5"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Borders>
              <w:top w:val="single" w:sz="4" w:space="0" w:color="000000"/>
            </w:tcBorders>
          </w:tcPr>
          <w:p w14:paraId="4B7F0614" w14:textId="77777777" w:rsidR="00D92626" w:rsidRPr="00DE7D1D" w:rsidRDefault="00D92626" w:rsidP="00D92626">
            <w:pPr>
              <w:pStyle w:val="TableText"/>
              <w:rPr>
                <w:b/>
                <w:bCs/>
                <w:color w:val="000000" w:themeColor="text1"/>
              </w:rPr>
            </w:pPr>
            <w:r w:rsidRPr="00DE7D1D">
              <w:rPr>
                <w:b/>
                <w:bCs/>
                <w:color w:val="000000" w:themeColor="text1"/>
              </w:rPr>
              <w:t>Probable 30-day disorder</w:t>
            </w:r>
          </w:p>
        </w:tc>
        <w:tc>
          <w:tcPr>
            <w:tcW w:w="240" w:type="pct"/>
            <w:tcBorders>
              <w:top w:val="single" w:sz="4" w:space="0" w:color="000000"/>
            </w:tcBorders>
          </w:tcPr>
          <w:p w14:paraId="63190694" w14:textId="77777777" w:rsidR="00D92626" w:rsidRPr="003A385D" w:rsidRDefault="00D92626" w:rsidP="00D92626">
            <w:pPr>
              <w:pStyle w:val="TableText"/>
              <w:jc w:val="right"/>
            </w:pPr>
          </w:p>
        </w:tc>
        <w:tc>
          <w:tcPr>
            <w:tcW w:w="344" w:type="pct"/>
            <w:tcBorders>
              <w:top w:val="single" w:sz="4" w:space="0" w:color="000000"/>
            </w:tcBorders>
          </w:tcPr>
          <w:p w14:paraId="521E4963" w14:textId="77777777" w:rsidR="00D92626" w:rsidRPr="003A385D" w:rsidRDefault="00D92626" w:rsidP="00D92626">
            <w:pPr>
              <w:pStyle w:val="TableText"/>
              <w:jc w:val="right"/>
            </w:pPr>
          </w:p>
        </w:tc>
        <w:tc>
          <w:tcPr>
            <w:tcW w:w="476" w:type="pct"/>
            <w:tcBorders>
              <w:top w:val="single" w:sz="4" w:space="0" w:color="000000"/>
            </w:tcBorders>
          </w:tcPr>
          <w:p w14:paraId="6EF22AD6" w14:textId="77777777" w:rsidR="00D92626" w:rsidRPr="003A385D" w:rsidRDefault="00D92626" w:rsidP="00D92626">
            <w:pPr>
              <w:pStyle w:val="TableText"/>
              <w:jc w:val="right"/>
            </w:pPr>
          </w:p>
        </w:tc>
        <w:tc>
          <w:tcPr>
            <w:tcW w:w="195" w:type="pct"/>
            <w:tcBorders>
              <w:top w:val="single" w:sz="4" w:space="0" w:color="000000"/>
            </w:tcBorders>
          </w:tcPr>
          <w:p w14:paraId="5B6245B5" w14:textId="77777777" w:rsidR="00D92626" w:rsidRPr="003A385D" w:rsidRDefault="00D92626" w:rsidP="00D92626">
            <w:pPr>
              <w:pStyle w:val="TableText"/>
              <w:jc w:val="right"/>
            </w:pPr>
          </w:p>
        </w:tc>
        <w:tc>
          <w:tcPr>
            <w:tcW w:w="358" w:type="pct"/>
            <w:tcBorders>
              <w:top w:val="single" w:sz="4" w:space="0" w:color="000000"/>
            </w:tcBorders>
          </w:tcPr>
          <w:p w14:paraId="6419153B" w14:textId="77777777" w:rsidR="00D92626" w:rsidRPr="003A385D" w:rsidRDefault="00D92626" w:rsidP="00D92626">
            <w:pPr>
              <w:pStyle w:val="TableText"/>
              <w:jc w:val="right"/>
            </w:pPr>
          </w:p>
        </w:tc>
        <w:tc>
          <w:tcPr>
            <w:tcW w:w="476" w:type="pct"/>
            <w:tcBorders>
              <w:top w:val="single" w:sz="4" w:space="0" w:color="000000"/>
            </w:tcBorders>
          </w:tcPr>
          <w:p w14:paraId="31506887" w14:textId="77777777" w:rsidR="00D92626" w:rsidRPr="003A385D" w:rsidRDefault="00D92626" w:rsidP="00D92626">
            <w:pPr>
              <w:pStyle w:val="TableText"/>
              <w:jc w:val="right"/>
            </w:pPr>
          </w:p>
        </w:tc>
        <w:tc>
          <w:tcPr>
            <w:tcW w:w="221" w:type="pct"/>
            <w:tcBorders>
              <w:top w:val="single" w:sz="4" w:space="0" w:color="000000"/>
            </w:tcBorders>
          </w:tcPr>
          <w:p w14:paraId="74C6D2B0" w14:textId="77777777" w:rsidR="00D92626" w:rsidRPr="003A385D" w:rsidRDefault="00D92626" w:rsidP="00D92626">
            <w:pPr>
              <w:pStyle w:val="TableText"/>
              <w:jc w:val="right"/>
            </w:pPr>
          </w:p>
        </w:tc>
        <w:tc>
          <w:tcPr>
            <w:tcW w:w="363" w:type="pct"/>
            <w:tcBorders>
              <w:top w:val="single" w:sz="4" w:space="0" w:color="000000"/>
            </w:tcBorders>
          </w:tcPr>
          <w:p w14:paraId="0A8DAD5E" w14:textId="77777777" w:rsidR="00D92626" w:rsidRPr="003A385D" w:rsidRDefault="00D92626" w:rsidP="00D92626">
            <w:pPr>
              <w:pStyle w:val="TableText"/>
              <w:jc w:val="right"/>
            </w:pPr>
          </w:p>
        </w:tc>
        <w:tc>
          <w:tcPr>
            <w:tcW w:w="476" w:type="pct"/>
            <w:tcBorders>
              <w:top w:val="single" w:sz="4" w:space="0" w:color="000000"/>
            </w:tcBorders>
          </w:tcPr>
          <w:p w14:paraId="78409356" w14:textId="77777777" w:rsidR="00D92626" w:rsidRPr="003A385D" w:rsidRDefault="00D92626" w:rsidP="00D92626">
            <w:pPr>
              <w:pStyle w:val="TableText"/>
              <w:jc w:val="right"/>
            </w:pPr>
          </w:p>
        </w:tc>
        <w:tc>
          <w:tcPr>
            <w:tcW w:w="231" w:type="pct"/>
            <w:tcBorders>
              <w:top w:val="single" w:sz="4" w:space="0" w:color="000000"/>
            </w:tcBorders>
          </w:tcPr>
          <w:p w14:paraId="6061402D" w14:textId="77777777" w:rsidR="00D92626" w:rsidRPr="003A385D" w:rsidRDefault="00D92626" w:rsidP="00D92626">
            <w:pPr>
              <w:pStyle w:val="TableText"/>
              <w:jc w:val="right"/>
            </w:pPr>
          </w:p>
        </w:tc>
        <w:tc>
          <w:tcPr>
            <w:tcW w:w="409" w:type="pct"/>
            <w:tcBorders>
              <w:top w:val="single" w:sz="4" w:space="0" w:color="000000"/>
            </w:tcBorders>
          </w:tcPr>
          <w:p w14:paraId="0DE7FAF5" w14:textId="77777777" w:rsidR="00D92626" w:rsidRPr="003A385D" w:rsidRDefault="00D92626" w:rsidP="00D92626">
            <w:pPr>
              <w:pStyle w:val="TableText"/>
              <w:jc w:val="right"/>
            </w:pPr>
          </w:p>
        </w:tc>
        <w:tc>
          <w:tcPr>
            <w:tcW w:w="502" w:type="pct"/>
            <w:tcBorders>
              <w:top w:val="single" w:sz="4" w:space="0" w:color="000000"/>
            </w:tcBorders>
          </w:tcPr>
          <w:p w14:paraId="17933F1B" w14:textId="77777777" w:rsidR="00D92626" w:rsidRPr="003A385D" w:rsidRDefault="00D92626" w:rsidP="00D92626">
            <w:pPr>
              <w:pStyle w:val="TableText"/>
              <w:jc w:val="right"/>
            </w:pPr>
          </w:p>
        </w:tc>
      </w:tr>
      <w:tr w:rsidR="00D6757C" w:rsidRPr="00B95AF7" w14:paraId="57E2F62F" w14:textId="77777777" w:rsidTr="00D6757C">
        <w:trPr>
          <w:cantSplit/>
        </w:trPr>
        <w:tc>
          <w:tcPr>
            <w:tcW w:w="709" w:type="pct"/>
          </w:tcPr>
          <w:p w14:paraId="267B52A0" w14:textId="77777777" w:rsidR="00D92626" w:rsidRPr="00DE7D1D" w:rsidRDefault="00D92626" w:rsidP="00D92626">
            <w:pPr>
              <w:pStyle w:val="TableText"/>
              <w:rPr>
                <w:bCs/>
                <w:color w:val="000000" w:themeColor="text1"/>
              </w:rPr>
            </w:pPr>
            <w:r w:rsidRPr="00DE7D1D">
              <w:rPr>
                <w:bCs/>
                <w:color w:val="000000" w:themeColor="text1"/>
              </w:rPr>
              <w:t>Yes</w:t>
            </w:r>
          </w:p>
        </w:tc>
        <w:tc>
          <w:tcPr>
            <w:tcW w:w="240" w:type="pct"/>
          </w:tcPr>
          <w:p w14:paraId="641D7919" w14:textId="77777777" w:rsidR="00D92626" w:rsidRPr="003A385D" w:rsidRDefault="00D92626" w:rsidP="00D92626">
            <w:pPr>
              <w:pStyle w:val="TableText"/>
              <w:jc w:val="right"/>
            </w:pPr>
            <w:r w:rsidRPr="003A385D">
              <w:t>568</w:t>
            </w:r>
          </w:p>
        </w:tc>
        <w:tc>
          <w:tcPr>
            <w:tcW w:w="344" w:type="pct"/>
          </w:tcPr>
          <w:p w14:paraId="59BB9E08" w14:textId="77777777" w:rsidR="00D92626" w:rsidRPr="003A385D" w:rsidRDefault="00D92626" w:rsidP="00D92626">
            <w:pPr>
              <w:pStyle w:val="TableText"/>
              <w:jc w:val="right"/>
            </w:pPr>
            <w:r w:rsidRPr="003A385D">
              <w:t>4316</w:t>
            </w:r>
          </w:p>
        </w:tc>
        <w:tc>
          <w:tcPr>
            <w:tcW w:w="476" w:type="pct"/>
          </w:tcPr>
          <w:p w14:paraId="0DAA6C9B" w14:textId="77777777" w:rsidR="00D92626" w:rsidRPr="003A385D" w:rsidRDefault="00D92626" w:rsidP="00D92626">
            <w:pPr>
              <w:pStyle w:val="TableText"/>
              <w:jc w:val="right"/>
            </w:pPr>
            <w:r w:rsidRPr="003A385D">
              <w:t>61.2 (57.3,</w:t>
            </w:r>
            <w:r>
              <w:t xml:space="preserve"> </w:t>
            </w:r>
            <w:r w:rsidRPr="003A385D">
              <w:t>64.9)</w:t>
            </w:r>
          </w:p>
        </w:tc>
        <w:tc>
          <w:tcPr>
            <w:tcW w:w="195" w:type="pct"/>
          </w:tcPr>
          <w:p w14:paraId="5E1525A9" w14:textId="77777777" w:rsidR="00D92626" w:rsidRPr="003A385D" w:rsidRDefault="00D92626" w:rsidP="00D92626">
            <w:pPr>
              <w:pStyle w:val="TableText"/>
              <w:jc w:val="right"/>
            </w:pPr>
            <w:r w:rsidRPr="003A385D">
              <w:t>389</w:t>
            </w:r>
          </w:p>
        </w:tc>
        <w:tc>
          <w:tcPr>
            <w:tcW w:w="358" w:type="pct"/>
          </w:tcPr>
          <w:p w14:paraId="6C52BCCD" w14:textId="77777777" w:rsidR="00D92626" w:rsidRPr="003A385D" w:rsidRDefault="00D92626" w:rsidP="00D92626">
            <w:pPr>
              <w:pStyle w:val="TableText"/>
              <w:jc w:val="right"/>
            </w:pPr>
            <w:r w:rsidRPr="003A385D">
              <w:t>2703</w:t>
            </w:r>
          </w:p>
        </w:tc>
        <w:tc>
          <w:tcPr>
            <w:tcW w:w="476" w:type="pct"/>
          </w:tcPr>
          <w:p w14:paraId="3D2200B4" w14:textId="77777777" w:rsidR="00D92626" w:rsidRPr="003A385D" w:rsidRDefault="00D92626" w:rsidP="00D92626">
            <w:pPr>
              <w:pStyle w:val="TableText"/>
              <w:jc w:val="right"/>
            </w:pPr>
            <w:r w:rsidRPr="003A385D">
              <w:t>38.3 (34.6,</w:t>
            </w:r>
            <w:r>
              <w:t xml:space="preserve"> </w:t>
            </w:r>
            <w:r w:rsidRPr="003A385D">
              <w:t>42.2)</w:t>
            </w:r>
          </w:p>
        </w:tc>
        <w:tc>
          <w:tcPr>
            <w:tcW w:w="221" w:type="pct"/>
          </w:tcPr>
          <w:p w14:paraId="5C81D986" w14:textId="77777777" w:rsidR="00D92626" w:rsidRPr="003A385D" w:rsidRDefault="00D92626" w:rsidP="00D92626">
            <w:pPr>
              <w:pStyle w:val="TableText"/>
              <w:jc w:val="right"/>
            </w:pPr>
            <w:r w:rsidRPr="003A385D">
              <w:t>627</w:t>
            </w:r>
          </w:p>
        </w:tc>
        <w:tc>
          <w:tcPr>
            <w:tcW w:w="363" w:type="pct"/>
          </w:tcPr>
          <w:p w14:paraId="7C82C53D" w14:textId="77777777" w:rsidR="00D92626" w:rsidRPr="003A385D" w:rsidRDefault="00D92626" w:rsidP="00D92626">
            <w:pPr>
              <w:pStyle w:val="TableText"/>
              <w:jc w:val="right"/>
            </w:pPr>
            <w:r w:rsidRPr="003A385D">
              <w:t>6120</w:t>
            </w:r>
          </w:p>
        </w:tc>
        <w:tc>
          <w:tcPr>
            <w:tcW w:w="476" w:type="pct"/>
          </w:tcPr>
          <w:p w14:paraId="3FD5B404" w14:textId="77777777" w:rsidR="00D92626" w:rsidRPr="003A385D" w:rsidRDefault="00D92626" w:rsidP="00D92626">
            <w:pPr>
              <w:pStyle w:val="TableText"/>
              <w:jc w:val="right"/>
            </w:pPr>
            <w:r w:rsidRPr="003A385D">
              <w:t>77.7 (67.0,</w:t>
            </w:r>
            <w:r>
              <w:t xml:space="preserve"> </w:t>
            </w:r>
            <w:r w:rsidRPr="003A385D">
              <w:t>85.6)</w:t>
            </w:r>
          </w:p>
        </w:tc>
        <w:tc>
          <w:tcPr>
            <w:tcW w:w="231" w:type="pct"/>
          </w:tcPr>
          <w:p w14:paraId="0467C4DD" w14:textId="77777777" w:rsidR="00D92626" w:rsidRPr="003A385D" w:rsidRDefault="00D92626" w:rsidP="00D92626">
            <w:pPr>
              <w:pStyle w:val="TableText"/>
              <w:jc w:val="right"/>
            </w:pPr>
            <w:r w:rsidRPr="003A385D">
              <w:t>280</w:t>
            </w:r>
          </w:p>
        </w:tc>
        <w:tc>
          <w:tcPr>
            <w:tcW w:w="409" w:type="pct"/>
          </w:tcPr>
          <w:p w14:paraId="1BF809BC" w14:textId="77777777" w:rsidR="00D92626" w:rsidRPr="003A385D" w:rsidRDefault="00D92626" w:rsidP="00D92626">
            <w:pPr>
              <w:pStyle w:val="TableText"/>
              <w:jc w:val="right"/>
            </w:pPr>
            <w:r w:rsidRPr="003A385D">
              <w:t>1732</w:t>
            </w:r>
          </w:p>
        </w:tc>
        <w:tc>
          <w:tcPr>
            <w:tcW w:w="502" w:type="pct"/>
          </w:tcPr>
          <w:p w14:paraId="159A34A9" w14:textId="77777777" w:rsidR="00D92626" w:rsidRPr="003A385D" w:rsidRDefault="00D92626" w:rsidP="00D92626">
            <w:pPr>
              <w:pStyle w:val="TableText"/>
              <w:jc w:val="right"/>
            </w:pPr>
            <w:r w:rsidRPr="003A385D">
              <w:t>22.0 (14.1,</w:t>
            </w:r>
            <w:r>
              <w:t xml:space="preserve"> </w:t>
            </w:r>
            <w:r w:rsidRPr="003A385D">
              <w:t>32.6)</w:t>
            </w:r>
          </w:p>
        </w:tc>
      </w:tr>
      <w:tr w:rsidR="00D92626" w:rsidRPr="00B95AF7" w14:paraId="15C20932"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Pr>
          <w:p w14:paraId="390B4B28" w14:textId="77777777" w:rsidR="00D92626" w:rsidRPr="00DE7D1D" w:rsidRDefault="00D92626" w:rsidP="00D92626">
            <w:pPr>
              <w:pStyle w:val="TableText"/>
              <w:rPr>
                <w:bCs/>
                <w:color w:val="000000" w:themeColor="text1"/>
              </w:rPr>
            </w:pPr>
            <w:r w:rsidRPr="00DE7D1D">
              <w:rPr>
                <w:bCs/>
                <w:color w:val="000000" w:themeColor="text1"/>
              </w:rPr>
              <w:t xml:space="preserve">No </w:t>
            </w:r>
          </w:p>
        </w:tc>
        <w:tc>
          <w:tcPr>
            <w:tcW w:w="240" w:type="pct"/>
          </w:tcPr>
          <w:p w14:paraId="014F0E75" w14:textId="77777777" w:rsidR="00D92626" w:rsidRPr="003A385D" w:rsidRDefault="00D92626" w:rsidP="00D92626">
            <w:pPr>
              <w:pStyle w:val="TableText"/>
              <w:jc w:val="right"/>
            </w:pPr>
            <w:r w:rsidRPr="003A385D">
              <w:t>2100</w:t>
            </w:r>
          </w:p>
        </w:tc>
        <w:tc>
          <w:tcPr>
            <w:tcW w:w="344" w:type="pct"/>
          </w:tcPr>
          <w:p w14:paraId="50EA5893" w14:textId="77777777" w:rsidR="00D92626" w:rsidRPr="003A385D" w:rsidRDefault="00D92626" w:rsidP="00D92626">
            <w:pPr>
              <w:pStyle w:val="TableText"/>
              <w:jc w:val="right"/>
            </w:pPr>
            <w:r w:rsidRPr="003A385D">
              <w:t>14</w:t>
            </w:r>
            <w:r>
              <w:t>,</w:t>
            </w:r>
            <w:r w:rsidRPr="003A385D">
              <w:t>351</w:t>
            </w:r>
          </w:p>
        </w:tc>
        <w:tc>
          <w:tcPr>
            <w:tcW w:w="476" w:type="pct"/>
          </w:tcPr>
          <w:p w14:paraId="4954D07A" w14:textId="77777777" w:rsidR="00D92626" w:rsidRPr="003A385D" w:rsidRDefault="00D92626" w:rsidP="00D92626">
            <w:pPr>
              <w:pStyle w:val="TableText"/>
              <w:jc w:val="right"/>
            </w:pPr>
            <w:r w:rsidRPr="003A385D">
              <w:t>80.3 (78.2,</w:t>
            </w:r>
            <w:r>
              <w:t xml:space="preserve"> </w:t>
            </w:r>
            <w:r w:rsidRPr="003A385D">
              <w:t>82.2)</w:t>
            </w:r>
          </w:p>
        </w:tc>
        <w:tc>
          <w:tcPr>
            <w:tcW w:w="195" w:type="pct"/>
          </w:tcPr>
          <w:p w14:paraId="55CEABCA" w14:textId="77777777" w:rsidR="00D92626" w:rsidRPr="003A385D" w:rsidRDefault="00D92626" w:rsidP="00D92626">
            <w:pPr>
              <w:pStyle w:val="TableText"/>
              <w:jc w:val="right"/>
            </w:pPr>
            <w:r w:rsidRPr="003A385D">
              <w:t>467</w:t>
            </w:r>
          </w:p>
        </w:tc>
        <w:tc>
          <w:tcPr>
            <w:tcW w:w="358" w:type="pct"/>
          </w:tcPr>
          <w:p w14:paraId="74A14B8E" w14:textId="77777777" w:rsidR="00D92626" w:rsidRPr="003A385D" w:rsidRDefault="00D92626" w:rsidP="00D92626">
            <w:pPr>
              <w:pStyle w:val="TableText"/>
              <w:jc w:val="right"/>
            </w:pPr>
            <w:r w:rsidRPr="003A385D">
              <w:t>3413</w:t>
            </w:r>
          </w:p>
        </w:tc>
        <w:tc>
          <w:tcPr>
            <w:tcW w:w="476" w:type="pct"/>
          </w:tcPr>
          <w:p w14:paraId="6ADC8B5B" w14:textId="77777777" w:rsidR="00D92626" w:rsidRPr="003A385D" w:rsidRDefault="00D92626" w:rsidP="00D92626">
            <w:pPr>
              <w:pStyle w:val="TableText"/>
              <w:jc w:val="right"/>
            </w:pPr>
            <w:r w:rsidRPr="003A385D">
              <w:t>19.1 (17.2,</w:t>
            </w:r>
            <w:r>
              <w:t xml:space="preserve"> </w:t>
            </w:r>
            <w:r w:rsidRPr="003A385D">
              <w:t>21.2)</w:t>
            </w:r>
          </w:p>
        </w:tc>
        <w:tc>
          <w:tcPr>
            <w:tcW w:w="221" w:type="pct"/>
          </w:tcPr>
          <w:p w14:paraId="29DB1D2B" w14:textId="77777777" w:rsidR="00D92626" w:rsidRPr="003A385D" w:rsidRDefault="00D92626" w:rsidP="00D92626">
            <w:pPr>
              <w:pStyle w:val="TableText"/>
              <w:jc w:val="right"/>
            </w:pPr>
            <w:r w:rsidRPr="003A385D">
              <w:t>5248</w:t>
            </w:r>
          </w:p>
        </w:tc>
        <w:tc>
          <w:tcPr>
            <w:tcW w:w="363" w:type="pct"/>
          </w:tcPr>
          <w:p w14:paraId="55FABEE1" w14:textId="77777777" w:rsidR="00D92626" w:rsidRPr="003A385D" w:rsidRDefault="00D92626" w:rsidP="00D92626">
            <w:pPr>
              <w:pStyle w:val="TableText"/>
              <w:jc w:val="right"/>
            </w:pPr>
            <w:r w:rsidRPr="003A385D">
              <w:t>36</w:t>
            </w:r>
            <w:r>
              <w:t>,</w:t>
            </w:r>
            <w:r w:rsidRPr="003A385D">
              <w:t>794</w:t>
            </w:r>
          </w:p>
        </w:tc>
        <w:tc>
          <w:tcPr>
            <w:tcW w:w="476" w:type="pct"/>
          </w:tcPr>
          <w:p w14:paraId="0F79A9CA" w14:textId="77777777" w:rsidR="00D92626" w:rsidRPr="003A385D" w:rsidRDefault="00D92626" w:rsidP="00D92626">
            <w:pPr>
              <w:pStyle w:val="TableText"/>
              <w:jc w:val="right"/>
            </w:pPr>
            <w:r w:rsidRPr="003A385D">
              <w:t>82.5 (79.0,</w:t>
            </w:r>
            <w:r>
              <w:t xml:space="preserve"> </w:t>
            </w:r>
            <w:r w:rsidRPr="003A385D">
              <w:t>85.5)</w:t>
            </w:r>
          </w:p>
        </w:tc>
        <w:tc>
          <w:tcPr>
            <w:tcW w:w="231" w:type="pct"/>
          </w:tcPr>
          <w:p w14:paraId="49735B03" w14:textId="77777777" w:rsidR="00D92626" w:rsidRPr="003A385D" w:rsidRDefault="00D92626" w:rsidP="00D92626">
            <w:pPr>
              <w:pStyle w:val="TableText"/>
              <w:jc w:val="right"/>
            </w:pPr>
            <w:r w:rsidRPr="003A385D">
              <w:t>1151</w:t>
            </w:r>
          </w:p>
        </w:tc>
        <w:tc>
          <w:tcPr>
            <w:tcW w:w="409" w:type="pct"/>
          </w:tcPr>
          <w:p w14:paraId="69775782" w14:textId="77777777" w:rsidR="00D92626" w:rsidRPr="003A385D" w:rsidRDefault="00D92626" w:rsidP="00D92626">
            <w:pPr>
              <w:pStyle w:val="TableText"/>
              <w:jc w:val="right"/>
            </w:pPr>
            <w:r w:rsidRPr="003A385D">
              <w:t>7310</w:t>
            </w:r>
          </w:p>
        </w:tc>
        <w:tc>
          <w:tcPr>
            <w:tcW w:w="502" w:type="pct"/>
          </w:tcPr>
          <w:p w14:paraId="2264F2C4" w14:textId="77777777" w:rsidR="00D92626" w:rsidRPr="003A385D" w:rsidRDefault="00D92626" w:rsidP="00D92626">
            <w:pPr>
              <w:pStyle w:val="TableText"/>
              <w:jc w:val="right"/>
            </w:pPr>
            <w:r w:rsidRPr="003A385D">
              <w:t>16.4 (13.5,</w:t>
            </w:r>
            <w:r>
              <w:t xml:space="preserve"> </w:t>
            </w:r>
            <w:r w:rsidRPr="003A385D">
              <w:t>19.8)</w:t>
            </w:r>
          </w:p>
        </w:tc>
      </w:tr>
      <w:tr w:rsidR="00D6757C" w:rsidRPr="00B95AF7" w14:paraId="3D0A35C8" w14:textId="77777777" w:rsidTr="00D6757C">
        <w:trPr>
          <w:cantSplit/>
        </w:trPr>
        <w:tc>
          <w:tcPr>
            <w:tcW w:w="709" w:type="pct"/>
          </w:tcPr>
          <w:p w14:paraId="4FE77B49" w14:textId="77777777" w:rsidR="00D92626" w:rsidRPr="00DE7D1D" w:rsidRDefault="00D92626" w:rsidP="00D92626">
            <w:pPr>
              <w:pStyle w:val="TableText"/>
              <w:rPr>
                <w:b/>
                <w:bCs/>
                <w:color w:val="000000" w:themeColor="text1"/>
              </w:rPr>
            </w:pPr>
            <w:r w:rsidRPr="00DE7D1D">
              <w:rPr>
                <w:b/>
                <w:bCs/>
                <w:color w:val="000000" w:themeColor="text1"/>
              </w:rPr>
              <w:t>Sex</w:t>
            </w:r>
          </w:p>
        </w:tc>
        <w:tc>
          <w:tcPr>
            <w:tcW w:w="240" w:type="pct"/>
          </w:tcPr>
          <w:p w14:paraId="7E717B3A" w14:textId="77777777" w:rsidR="00D92626" w:rsidRPr="00494E02" w:rsidRDefault="00D92626" w:rsidP="00D92626">
            <w:pPr>
              <w:pStyle w:val="TableText"/>
              <w:jc w:val="right"/>
            </w:pPr>
          </w:p>
        </w:tc>
        <w:tc>
          <w:tcPr>
            <w:tcW w:w="344" w:type="pct"/>
          </w:tcPr>
          <w:p w14:paraId="62916CDC" w14:textId="77777777" w:rsidR="00D92626" w:rsidRPr="00494E02" w:rsidRDefault="00D92626" w:rsidP="00D92626">
            <w:pPr>
              <w:pStyle w:val="TableText"/>
              <w:jc w:val="right"/>
            </w:pPr>
          </w:p>
        </w:tc>
        <w:tc>
          <w:tcPr>
            <w:tcW w:w="476" w:type="pct"/>
          </w:tcPr>
          <w:p w14:paraId="000A1974" w14:textId="77777777" w:rsidR="00D92626" w:rsidRPr="00494E02" w:rsidRDefault="00D92626" w:rsidP="00D92626">
            <w:pPr>
              <w:pStyle w:val="TableText"/>
              <w:jc w:val="right"/>
            </w:pPr>
          </w:p>
        </w:tc>
        <w:tc>
          <w:tcPr>
            <w:tcW w:w="195" w:type="pct"/>
          </w:tcPr>
          <w:p w14:paraId="1E7F2F57" w14:textId="77777777" w:rsidR="00D92626" w:rsidRPr="00494E02" w:rsidRDefault="00D92626" w:rsidP="00D92626">
            <w:pPr>
              <w:pStyle w:val="TableText"/>
              <w:jc w:val="right"/>
            </w:pPr>
          </w:p>
        </w:tc>
        <w:tc>
          <w:tcPr>
            <w:tcW w:w="358" w:type="pct"/>
          </w:tcPr>
          <w:p w14:paraId="1047D8ED" w14:textId="77777777" w:rsidR="00D92626" w:rsidRPr="00494E02" w:rsidRDefault="00D92626" w:rsidP="00D92626">
            <w:pPr>
              <w:pStyle w:val="TableText"/>
              <w:jc w:val="right"/>
            </w:pPr>
          </w:p>
        </w:tc>
        <w:tc>
          <w:tcPr>
            <w:tcW w:w="476" w:type="pct"/>
          </w:tcPr>
          <w:p w14:paraId="2F59C5AE" w14:textId="77777777" w:rsidR="00D92626" w:rsidRPr="00494E02" w:rsidRDefault="00D92626" w:rsidP="00D92626">
            <w:pPr>
              <w:pStyle w:val="TableText"/>
              <w:jc w:val="right"/>
            </w:pPr>
          </w:p>
        </w:tc>
        <w:tc>
          <w:tcPr>
            <w:tcW w:w="221" w:type="pct"/>
          </w:tcPr>
          <w:p w14:paraId="220165ED" w14:textId="77777777" w:rsidR="00D92626" w:rsidRPr="00494E02" w:rsidRDefault="00D92626" w:rsidP="00D92626">
            <w:pPr>
              <w:pStyle w:val="TableText"/>
              <w:jc w:val="right"/>
            </w:pPr>
          </w:p>
        </w:tc>
        <w:tc>
          <w:tcPr>
            <w:tcW w:w="363" w:type="pct"/>
          </w:tcPr>
          <w:p w14:paraId="2AAFF40A" w14:textId="77777777" w:rsidR="00D92626" w:rsidRPr="00494E02" w:rsidRDefault="00D92626" w:rsidP="00D92626">
            <w:pPr>
              <w:pStyle w:val="TableText"/>
              <w:jc w:val="right"/>
            </w:pPr>
          </w:p>
        </w:tc>
        <w:tc>
          <w:tcPr>
            <w:tcW w:w="476" w:type="pct"/>
          </w:tcPr>
          <w:p w14:paraId="3B31ED4A" w14:textId="77777777" w:rsidR="00D92626" w:rsidRPr="00494E02" w:rsidRDefault="00D92626" w:rsidP="00D92626">
            <w:pPr>
              <w:pStyle w:val="TableText"/>
              <w:jc w:val="right"/>
            </w:pPr>
          </w:p>
        </w:tc>
        <w:tc>
          <w:tcPr>
            <w:tcW w:w="231" w:type="pct"/>
          </w:tcPr>
          <w:p w14:paraId="0568F891" w14:textId="77777777" w:rsidR="00D92626" w:rsidRPr="00494E02" w:rsidRDefault="00D92626" w:rsidP="00D92626">
            <w:pPr>
              <w:pStyle w:val="TableText"/>
              <w:jc w:val="right"/>
            </w:pPr>
          </w:p>
        </w:tc>
        <w:tc>
          <w:tcPr>
            <w:tcW w:w="409" w:type="pct"/>
          </w:tcPr>
          <w:p w14:paraId="27148D7F" w14:textId="77777777" w:rsidR="00D92626" w:rsidRPr="00494E02" w:rsidRDefault="00D92626" w:rsidP="00D92626">
            <w:pPr>
              <w:pStyle w:val="TableText"/>
              <w:jc w:val="right"/>
            </w:pPr>
          </w:p>
        </w:tc>
        <w:tc>
          <w:tcPr>
            <w:tcW w:w="502" w:type="pct"/>
          </w:tcPr>
          <w:p w14:paraId="5A850B2A" w14:textId="77777777" w:rsidR="00D92626" w:rsidRPr="00494E02" w:rsidRDefault="00D92626" w:rsidP="00D92626">
            <w:pPr>
              <w:pStyle w:val="TableText"/>
              <w:jc w:val="right"/>
            </w:pPr>
          </w:p>
        </w:tc>
      </w:tr>
      <w:tr w:rsidR="00D92626" w:rsidRPr="00B95AF7" w14:paraId="2554EAF5"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Pr>
          <w:p w14:paraId="4BBE063C" w14:textId="77777777" w:rsidR="00D92626" w:rsidRPr="00DE7D1D" w:rsidRDefault="00D92626" w:rsidP="00D92626">
            <w:pPr>
              <w:pStyle w:val="TableText"/>
              <w:rPr>
                <w:bCs/>
                <w:color w:val="000000" w:themeColor="text1"/>
              </w:rPr>
            </w:pPr>
            <w:r w:rsidRPr="00DE7D1D">
              <w:rPr>
                <w:bCs/>
                <w:color w:val="000000" w:themeColor="text1"/>
              </w:rPr>
              <w:t>Male</w:t>
            </w:r>
          </w:p>
        </w:tc>
        <w:tc>
          <w:tcPr>
            <w:tcW w:w="240" w:type="pct"/>
          </w:tcPr>
          <w:p w14:paraId="5401F7B3" w14:textId="77777777" w:rsidR="00D92626" w:rsidRPr="00494E02" w:rsidRDefault="00D92626" w:rsidP="00D92626">
            <w:pPr>
              <w:pStyle w:val="TableText"/>
              <w:jc w:val="right"/>
            </w:pPr>
            <w:r w:rsidRPr="00494E02">
              <w:t>2308</w:t>
            </w:r>
          </w:p>
        </w:tc>
        <w:tc>
          <w:tcPr>
            <w:tcW w:w="344" w:type="pct"/>
          </w:tcPr>
          <w:p w14:paraId="6A8867F0" w14:textId="77777777" w:rsidR="00D92626" w:rsidRPr="00494E02" w:rsidRDefault="00D92626" w:rsidP="00D92626">
            <w:pPr>
              <w:pStyle w:val="TableText"/>
              <w:jc w:val="right"/>
            </w:pPr>
            <w:r w:rsidRPr="00494E02">
              <w:t>16</w:t>
            </w:r>
            <w:r>
              <w:t>,</w:t>
            </w:r>
            <w:r w:rsidRPr="00494E02">
              <w:t>554</w:t>
            </w:r>
          </w:p>
        </w:tc>
        <w:tc>
          <w:tcPr>
            <w:tcW w:w="476" w:type="pct"/>
          </w:tcPr>
          <w:p w14:paraId="0E086132" w14:textId="77777777" w:rsidR="00D92626" w:rsidRPr="00494E02" w:rsidRDefault="00D92626" w:rsidP="00D92626">
            <w:pPr>
              <w:pStyle w:val="TableText"/>
              <w:jc w:val="right"/>
            </w:pPr>
            <w:r w:rsidRPr="00494E02">
              <w:t>76.4 (74.3,</w:t>
            </w:r>
            <w:r>
              <w:t xml:space="preserve"> </w:t>
            </w:r>
            <w:r w:rsidRPr="00494E02">
              <w:t>78.3)</w:t>
            </w:r>
          </w:p>
        </w:tc>
        <w:tc>
          <w:tcPr>
            <w:tcW w:w="195" w:type="pct"/>
          </w:tcPr>
          <w:p w14:paraId="72856A11" w14:textId="77777777" w:rsidR="00D92626" w:rsidRPr="00494E02" w:rsidRDefault="00D92626" w:rsidP="00D92626">
            <w:pPr>
              <w:pStyle w:val="TableText"/>
              <w:jc w:val="right"/>
            </w:pPr>
            <w:r w:rsidRPr="00494E02">
              <w:t>664</w:t>
            </w:r>
          </w:p>
        </w:tc>
        <w:tc>
          <w:tcPr>
            <w:tcW w:w="358" w:type="pct"/>
          </w:tcPr>
          <w:p w14:paraId="03430325" w14:textId="77777777" w:rsidR="00D92626" w:rsidRPr="00494E02" w:rsidRDefault="00D92626" w:rsidP="00D92626">
            <w:pPr>
              <w:pStyle w:val="TableText"/>
              <w:jc w:val="right"/>
            </w:pPr>
            <w:r w:rsidRPr="00494E02">
              <w:t>4990</w:t>
            </w:r>
          </w:p>
        </w:tc>
        <w:tc>
          <w:tcPr>
            <w:tcW w:w="476" w:type="pct"/>
          </w:tcPr>
          <w:p w14:paraId="3CDC4462" w14:textId="77777777" w:rsidR="00D92626" w:rsidRPr="00494E02" w:rsidRDefault="00D92626" w:rsidP="00D92626">
            <w:pPr>
              <w:pStyle w:val="TableText"/>
              <w:jc w:val="right"/>
            </w:pPr>
            <w:r w:rsidRPr="00494E02">
              <w:t>23.0 (21.1,</w:t>
            </w:r>
            <w:r>
              <w:t xml:space="preserve"> </w:t>
            </w:r>
            <w:r w:rsidRPr="00494E02">
              <w:t>25.0)</w:t>
            </w:r>
          </w:p>
        </w:tc>
        <w:tc>
          <w:tcPr>
            <w:tcW w:w="221" w:type="pct"/>
          </w:tcPr>
          <w:p w14:paraId="6938484E" w14:textId="77777777" w:rsidR="00D92626" w:rsidRPr="00494E02" w:rsidRDefault="00D92626" w:rsidP="00D92626">
            <w:pPr>
              <w:pStyle w:val="TableText"/>
              <w:jc w:val="right"/>
            </w:pPr>
            <w:r w:rsidRPr="00494E02">
              <w:t>4809</w:t>
            </w:r>
          </w:p>
        </w:tc>
        <w:tc>
          <w:tcPr>
            <w:tcW w:w="363" w:type="pct"/>
          </w:tcPr>
          <w:p w14:paraId="2F3ACDFA" w14:textId="77777777" w:rsidR="00D92626" w:rsidRPr="00494E02" w:rsidRDefault="00D92626" w:rsidP="00D92626">
            <w:pPr>
              <w:pStyle w:val="TableText"/>
              <w:jc w:val="right"/>
            </w:pPr>
            <w:r w:rsidRPr="00494E02">
              <w:t>39</w:t>
            </w:r>
            <w:r>
              <w:t>,</w:t>
            </w:r>
            <w:r w:rsidRPr="00494E02">
              <w:t>503</w:t>
            </w:r>
          </w:p>
        </w:tc>
        <w:tc>
          <w:tcPr>
            <w:tcW w:w="476" w:type="pct"/>
          </w:tcPr>
          <w:p w14:paraId="7DFCAA09" w14:textId="77777777" w:rsidR="00D92626" w:rsidRPr="00494E02" w:rsidRDefault="00D92626" w:rsidP="00D92626">
            <w:pPr>
              <w:pStyle w:val="TableText"/>
              <w:jc w:val="right"/>
            </w:pPr>
            <w:r w:rsidRPr="00494E02">
              <w:t>82.9 (79.2,</w:t>
            </w:r>
            <w:r>
              <w:t xml:space="preserve"> </w:t>
            </w:r>
            <w:r w:rsidRPr="00494E02">
              <w:t>86.1)</w:t>
            </w:r>
          </w:p>
        </w:tc>
        <w:tc>
          <w:tcPr>
            <w:tcW w:w="231" w:type="pct"/>
          </w:tcPr>
          <w:p w14:paraId="611420A4" w14:textId="77777777" w:rsidR="00D92626" w:rsidRPr="00494E02" w:rsidRDefault="00D92626" w:rsidP="00D92626">
            <w:pPr>
              <w:pStyle w:val="TableText"/>
              <w:jc w:val="right"/>
            </w:pPr>
            <w:r w:rsidRPr="00494E02">
              <w:t>1002</w:t>
            </w:r>
          </w:p>
        </w:tc>
        <w:tc>
          <w:tcPr>
            <w:tcW w:w="409" w:type="pct"/>
          </w:tcPr>
          <w:p w14:paraId="5C3519B4" w14:textId="77777777" w:rsidR="00D92626" w:rsidRPr="00494E02" w:rsidRDefault="00D92626" w:rsidP="00D92626">
            <w:pPr>
              <w:pStyle w:val="TableText"/>
              <w:jc w:val="right"/>
            </w:pPr>
            <w:r w:rsidRPr="00494E02">
              <w:t>7636</w:t>
            </w:r>
          </w:p>
        </w:tc>
        <w:tc>
          <w:tcPr>
            <w:tcW w:w="502" w:type="pct"/>
          </w:tcPr>
          <w:p w14:paraId="7C27FE55" w14:textId="77777777" w:rsidR="00D92626" w:rsidRPr="00494E02" w:rsidRDefault="00D92626" w:rsidP="00D92626">
            <w:pPr>
              <w:pStyle w:val="TableText"/>
              <w:jc w:val="right"/>
            </w:pPr>
            <w:r w:rsidRPr="00494E02">
              <w:t>16.0 (13.0,</w:t>
            </w:r>
            <w:r>
              <w:t xml:space="preserve"> </w:t>
            </w:r>
            <w:r w:rsidRPr="00494E02">
              <w:t>19.6)</w:t>
            </w:r>
          </w:p>
        </w:tc>
      </w:tr>
      <w:tr w:rsidR="00D6757C" w:rsidRPr="00B95AF7" w14:paraId="4246FA33" w14:textId="77777777" w:rsidTr="00D6757C">
        <w:trPr>
          <w:cantSplit/>
        </w:trPr>
        <w:tc>
          <w:tcPr>
            <w:tcW w:w="709" w:type="pct"/>
            <w:tcBorders>
              <w:bottom w:val="single" w:sz="4" w:space="0" w:color="000000"/>
            </w:tcBorders>
          </w:tcPr>
          <w:p w14:paraId="45C67805" w14:textId="77777777" w:rsidR="00D92626" w:rsidRPr="00DE7D1D" w:rsidRDefault="00D92626" w:rsidP="00D92626">
            <w:pPr>
              <w:pStyle w:val="TableText"/>
              <w:rPr>
                <w:bCs/>
                <w:color w:val="000000" w:themeColor="text1"/>
              </w:rPr>
            </w:pPr>
            <w:r w:rsidRPr="00DE7D1D">
              <w:rPr>
                <w:bCs/>
                <w:color w:val="000000" w:themeColor="text1"/>
              </w:rPr>
              <w:t>Female</w:t>
            </w:r>
          </w:p>
        </w:tc>
        <w:tc>
          <w:tcPr>
            <w:tcW w:w="240" w:type="pct"/>
            <w:tcBorders>
              <w:bottom w:val="single" w:sz="4" w:space="0" w:color="000000"/>
            </w:tcBorders>
          </w:tcPr>
          <w:p w14:paraId="69F72870" w14:textId="77777777" w:rsidR="00D92626" w:rsidRPr="00494E02" w:rsidRDefault="00D92626" w:rsidP="00D92626">
            <w:pPr>
              <w:pStyle w:val="TableText"/>
              <w:jc w:val="right"/>
            </w:pPr>
            <w:r w:rsidRPr="00494E02">
              <w:t>360</w:t>
            </w:r>
          </w:p>
        </w:tc>
        <w:tc>
          <w:tcPr>
            <w:tcW w:w="344" w:type="pct"/>
            <w:tcBorders>
              <w:bottom w:val="single" w:sz="4" w:space="0" w:color="000000"/>
            </w:tcBorders>
          </w:tcPr>
          <w:p w14:paraId="49D73B9C" w14:textId="77777777" w:rsidR="00D92626" w:rsidRPr="00494E02" w:rsidRDefault="00D92626" w:rsidP="00D92626">
            <w:pPr>
              <w:pStyle w:val="TableText"/>
              <w:jc w:val="right"/>
            </w:pPr>
            <w:r w:rsidRPr="00494E02">
              <w:t>2113</w:t>
            </w:r>
          </w:p>
        </w:tc>
        <w:tc>
          <w:tcPr>
            <w:tcW w:w="476" w:type="pct"/>
            <w:tcBorders>
              <w:bottom w:val="single" w:sz="4" w:space="0" w:color="000000"/>
            </w:tcBorders>
          </w:tcPr>
          <w:p w14:paraId="6116B13A" w14:textId="77777777" w:rsidR="00D92626" w:rsidRPr="00494E02" w:rsidRDefault="00D92626" w:rsidP="00D92626">
            <w:pPr>
              <w:pStyle w:val="TableText"/>
              <w:jc w:val="right"/>
            </w:pPr>
            <w:r w:rsidRPr="00494E02">
              <w:t>64.8 (60.1,</w:t>
            </w:r>
            <w:r>
              <w:t xml:space="preserve"> </w:t>
            </w:r>
            <w:r w:rsidRPr="00494E02">
              <w:t>69.2)</w:t>
            </w:r>
          </w:p>
        </w:tc>
        <w:tc>
          <w:tcPr>
            <w:tcW w:w="195" w:type="pct"/>
            <w:tcBorders>
              <w:bottom w:val="single" w:sz="4" w:space="0" w:color="000000"/>
            </w:tcBorders>
          </w:tcPr>
          <w:p w14:paraId="3E99EAF1" w14:textId="77777777" w:rsidR="00D92626" w:rsidRPr="00494E02" w:rsidRDefault="00D92626" w:rsidP="00D92626">
            <w:pPr>
              <w:pStyle w:val="TableText"/>
              <w:jc w:val="right"/>
            </w:pPr>
            <w:r w:rsidRPr="00494E02">
              <w:t>192</w:t>
            </w:r>
          </w:p>
        </w:tc>
        <w:tc>
          <w:tcPr>
            <w:tcW w:w="358" w:type="pct"/>
            <w:tcBorders>
              <w:bottom w:val="single" w:sz="4" w:space="0" w:color="000000"/>
            </w:tcBorders>
          </w:tcPr>
          <w:p w14:paraId="31D6F678" w14:textId="77777777" w:rsidR="00D92626" w:rsidRPr="00494E02" w:rsidRDefault="00D92626" w:rsidP="00D92626">
            <w:pPr>
              <w:pStyle w:val="TableText"/>
              <w:jc w:val="right"/>
            </w:pPr>
            <w:r w:rsidRPr="00494E02">
              <w:t>1126</w:t>
            </w:r>
          </w:p>
        </w:tc>
        <w:tc>
          <w:tcPr>
            <w:tcW w:w="476" w:type="pct"/>
            <w:tcBorders>
              <w:bottom w:val="single" w:sz="4" w:space="0" w:color="000000"/>
            </w:tcBorders>
          </w:tcPr>
          <w:p w14:paraId="1EBA280C" w14:textId="77777777" w:rsidR="00D92626" w:rsidRPr="00494E02" w:rsidRDefault="00D92626" w:rsidP="00D92626">
            <w:pPr>
              <w:pStyle w:val="TableText"/>
              <w:jc w:val="right"/>
            </w:pPr>
            <w:r w:rsidRPr="00494E02">
              <w:t>34.5 (30.1,</w:t>
            </w:r>
            <w:r>
              <w:t xml:space="preserve"> </w:t>
            </w:r>
            <w:r w:rsidRPr="00494E02">
              <w:t>39.2)</w:t>
            </w:r>
          </w:p>
        </w:tc>
        <w:tc>
          <w:tcPr>
            <w:tcW w:w="221" w:type="pct"/>
            <w:tcBorders>
              <w:bottom w:val="single" w:sz="4" w:space="0" w:color="000000"/>
            </w:tcBorders>
          </w:tcPr>
          <w:p w14:paraId="669F0EA7" w14:textId="77777777" w:rsidR="00D92626" w:rsidRPr="00494E02" w:rsidRDefault="00D92626" w:rsidP="00D92626">
            <w:pPr>
              <w:pStyle w:val="TableText"/>
              <w:jc w:val="right"/>
            </w:pPr>
            <w:r w:rsidRPr="00494E02">
              <w:t>1065</w:t>
            </w:r>
          </w:p>
        </w:tc>
        <w:tc>
          <w:tcPr>
            <w:tcW w:w="363" w:type="pct"/>
            <w:tcBorders>
              <w:bottom w:val="single" w:sz="4" w:space="0" w:color="000000"/>
            </w:tcBorders>
          </w:tcPr>
          <w:p w14:paraId="7F0202A4" w14:textId="77777777" w:rsidR="00D92626" w:rsidRPr="00494E02" w:rsidRDefault="00D92626" w:rsidP="00D92626">
            <w:pPr>
              <w:pStyle w:val="TableText"/>
              <w:jc w:val="right"/>
            </w:pPr>
            <w:r w:rsidRPr="00494E02">
              <w:t>3408</w:t>
            </w:r>
          </w:p>
        </w:tc>
        <w:tc>
          <w:tcPr>
            <w:tcW w:w="476" w:type="pct"/>
            <w:tcBorders>
              <w:bottom w:val="single" w:sz="4" w:space="0" w:color="000000"/>
            </w:tcBorders>
          </w:tcPr>
          <w:p w14:paraId="0B2C55F3" w14:textId="77777777" w:rsidR="00D92626" w:rsidRPr="00494E02" w:rsidRDefault="00D92626" w:rsidP="00D92626">
            <w:pPr>
              <w:pStyle w:val="TableText"/>
              <w:jc w:val="right"/>
            </w:pPr>
            <w:r w:rsidRPr="00494E02">
              <w:t>70.2 (67.7,</w:t>
            </w:r>
            <w:r>
              <w:t xml:space="preserve"> </w:t>
            </w:r>
            <w:r w:rsidRPr="00494E02">
              <w:t>72.5)</w:t>
            </w:r>
          </w:p>
        </w:tc>
        <w:tc>
          <w:tcPr>
            <w:tcW w:w="231" w:type="pct"/>
            <w:tcBorders>
              <w:bottom w:val="single" w:sz="4" w:space="0" w:color="000000"/>
            </w:tcBorders>
          </w:tcPr>
          <w:p w14:paraId="3EEA153B" w14:textId="77777777" w:rsidR="00D92626" w:rsidRPr="00494E02" w:rsidRDefault="00D92626" w:rsidP="00D92626">
            <w:pPr>
              <w:pStyle w:val="TableText"/>
              <w:jc w:val="right"/>
            </w:pPr>
            <w:r w:rsidRPr="00494E02">
              <w:t>429</w:t>
            </w:r>
          </w:p>
        </w:tc>
        <w:tc>
          <w:tcPr>
            <w:tcW w:w="409" w:type="pct"/>
            <w:tcBorders>
              <w:bottom w:val="single" w:sz="4" w:space="0" w:color="000000"/>
            </w:tcBorders>
          </w:tcPr>
          <w:p w14:paraId="353D5CFD" w14:textId="77777777" w:rsidR="00D92626" w:rsidRPr="00494E02" w:rsidRDefault="00D92626" w:rsidP="00D92626">
            <w:pPr>
              <w:pStyle w:val="TableText"/>
              <w:jc w:val="right"/>
            </w:pPr>
            <w:r w:rsidRPr="00494E02">
              <w:t>1407</w:t>
            </w:r>
          </w:p>
        </w:tc>
        <w:tc>
          <w:tcPr>
            <w:tcW w:w="502" w:type="pct"/>
            <w:tcBorders>
              <w:bottom w:val="single" w:sz="4" w:space="0" w:color="000000"/>
            </w:tcBorders>
          </w:tcPr>
          <w:p w14:paraId="0E25269C" w14:textId="77777777" w:rsidR="00D92626" w:rsidRPr="00494E02" w:rsidRDefault="00D92626" w:rsidP="00D92626">
            <w:pPr>
              <w:pStyle w:val="TableText"/>
              <w:jc w:val="right"/>
            </w:pPr>
            <w:r w:rsidRPr="00494E02">
              <w:t>29.0 (26.7,</w:t>
            </w:r>
            <w:r>
              <w:t xml:space="preserve"> </w:t>
            </w:r>
            <w:r w:rsidRPr="00494E02">
              <w:t>31.4)</w:t>
            </w:r>
          </w:p>
        </w:tc>
      </w:tr>
      <w:tr w:rsidR="00D6757C" w:rsidRPr="00B95AF7" w14:paraId="18E28F2F"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Borders>
              <w:top w:val="single" w:sz="4" w:space="0" w:color="000000"/>
              <w:bottom w:val="nil"/>
            </w:tcBorders>
          </w:tcPr>
          <w:p w14:paraId="37F953F7" w14:textId="77777777" w:rsidR="00D92626" w:rsidRPr="00DE7D1D" w:rsidRDefault="00D92626" w:rsidP="00D92626">
            <w:pPr>
              <w:pStyle w:val="TableText"/>
              <w:rPr>
                <w:b/>
                <w:bCs/>
                <w:color w:val="000000" w:themeColor="text1"/>
              </w:rPr>
            </w:pPr>
            <w:r w:rsidRPr="00DE7D1D">
              <w:rPr>
                <w:b/>
                <w:bCs/>
                <w:color w:val="000000" w:themeColor="text1"/>
              </w:rPr>
              <w:t>Age group</w:t>
            </w:r>
          </w:p>
        </w:tc>
        <w:tc>
          <w:tcPr>
            <w:tcW w:w="240" w:type="pct"/>
            <w:tcBorders>
              <w:top w:val="single" w:sz="4" w:space="0" w:color="000000"/>
              <w:bottom w:val="nil"/>
            </w:tcBorders>
          </w:tcPr>
          <w:p w14:paraId="7316F19C" w14:textId="77777777" w:rsidR="00D92626" w:rsidRPr="00494E02" w:rsidRDefault="00D92626" w:rsidP="00D92626">
            <w:pPr>
              <w:pStyle w:val="TableText"/>
              <w:jc w:val="right"/>
            </w:pPr>
          </w:p>
        </w:tc>
        <w:tc>
          <w:tcPr>
            <w:tcW w:w="344" w:type="pct"/>
            <w:tcBorders>
              <w:top w:val="single" w:sz="4" w:space="0" w:color="000000"/>
              <w:bottom w:val="nil"/>
            </w:tcBorders>
          </w:tcPr>
          <w:p w14:paraId="523FE76E" w14:textId="77777777" w:rsidR="00D92626" w:rsidRPr="00494E02" w:rsidRDefault="00D92626" w:rsidP="00D92626">
            <w:pPr>
              <w:pStyle w:val="TableText"/>
              <w:jc w:val="right"/>
            </w:pPr>
          </w:p>
        </w:tc>
        <w:tc>
          <w:tcPr>
            <w:tcW w:w="476" w:type="pct"/>
            <w:tcBorders>
              <w:top w:val="single" w:sz="4" w:space="0" w:color="000000"/>
              <w:bottom w:val="nil"/>
            </w:tcBorders>
          </w:tcPr>
          <w:p w14:paraId="789E473E" w14:textId="77777777" w:rsidR="00D92626" w:rsidRPr="00494E02" w:rsidRDefault="00D92626" w:rsidP="00D92626">
            <w:pPr>
              <w:pStyle w:val="TableText"/>
              <w:jc w:val="right"/>
            </w:pPr>
          </w:p>
        </w:tc>
        <w:tc>
          <w:tcPr>
            <w:tcW w:w="195" w:type="pct"/>
            <w:tcBorders>
              <w:top w:val="single" w:sz="4" w:space="0" w:color="000000"/>
              <w:bottom w:val="nil"/>
            </w:tcBorders>
          </w:tcPr>
          <w:p w14:paraId="6B1FFF05" w14:textId="77777777" w:rsidR="00D92626" w:rsidRPr="00494E02" w:rsidRDefault="00D92626" w:rsidP="00D92626">
            <w:pPr>
              <w:pStyle w:val="TableText"/>
              <w:jc w:val="right"/>
            </w:pPr>
          </w:p>
        </w:tc>
        <w:tc>
          <w:tcPr>
            <w:tcW w:w="358" w:type="pct"/>
            <w:tcBorders>
              <w:top w:val="single" w:sz="4" w:space="0" w:color="000000"/>
              <w:bottom w:val="nil"/>
            </w:tcBorders>
          </w:tcPr>
          <w:p w14:paraId="4587596E" w14:textId="77777777" w:rsidR="00D92626" w:rsidRPr="00494E02" w:rsidRDefault="00D92626" w:rsidP="00D92626">
            <w:pPr>
              <w:pStyle w:val="TableText"/>
              <w:jc w:val="right"/>
            </w:pPr>
          </w:p>
        </w:tc>
        <w:tc>
          <w:tcPr>
            <w:tcW w:w="476" w:type="pct"/>
            <w:tcBorders>
              <w:top w:val="single" w:sz="4" w:space="0" w:color="000000"/>
              <w:bottom w:val="nil"/>
            </w:tcBorders>
          </w:tcPr>
          <w:p w14:paraId="747E991D" w14:textId="77777777" w:rsidR="00D92626" w:rsidRPr="00494E02" w:rsidRDefault="00D92626" w:rsidP="00D92626">
            <w:pPr>
              <w:pStyle w:val="TableText"/>
              <w:jc w:val="right"/>
            </w:pPr>
          </w:p>
        </w:tc>
        <w:tc>
          <w:tcPr>
            <w:tcW w:w="221" w:type="pct"/>
            <w:tcBorders>
              <w:top w:val="single" w:sz="4" w:space="0" w:color="000000"/>
              <w:bottom w:val="nil"/>
            </w:tcBorders>
          </w:tcPr>
          <w:p w14:paraId="37C4EAAB" w14:textId="77777777" w:rsidR="00D92626" w:rsidRPr="00494E02" w:rsidRDefault="00D92626" w:rsidP="00D92626">
            <w:pPr>
              <w:pStyle w:val="TableText"/>
              <w:jc w:val="right"/>
            </w:pPr>
          </w:p>
        </w:tc>
        <w:tc>
          <w:tcPr>
            <w:tcW w:w="363" w:type="pct"/>
            <w:tcBorders>
              <w:top w:val="single" w:sz="4" w:space="0" w:color="000000"/>
              <w:bottom w:val="nil"/>
            </w:tcBorders>
          </w:tcPr>
          <w:p w14:paraId="186B62C9" w14:textId="77777777" w:rsidR="00D92626" w:rsidRPr="00494E02" w:rsidRDefault="00D92626" w:rsidP="00D92626">
            <w:pPr>
              <w:pStyle w:val="TableText"/>
              <w:jc w:val="right"/>
            </w:pPr>
          </w:p>
        </w:tc>
        <w:tc>
          <w:tcPr>
            <w:tcW w:w="476" w:type="pct"/>
            <w:tcBorders>
              <w:top w:val="single" w:sz="4" w:space="0" w:color="000000"/>
              <w:bottom w:val="nil"/>
            </w:tcBorders>
          </w:tcPr>
          <w:p w14:paraId="6AB9897E" w14:textId="77777777" w:rsidR="00D92626" w:rsidRPr="00494E02" w:rsidRDefault="00D92626" w:rsidP="00D92626">
            <w:pPr>
              <w:pStyle w:val="TableText"/>
              <w:jc w:val="right"/>
            </w:pPr>
          </w:p>
        </w:tc>
        <w:tc>
          <w:tcPr>
            <w:tcW w:w="231" w:type="pct"/>
            <w:tcBorders>
              <w:top w:val="single" w:sz="4" w:space="0" w:color="000000"/>
              <w:bottom w:val="nil"/>
            </w:tcBorders>
          </w:tcPr>
          <w:p w14:paraId="6ADC83C2" w14:textId="77777777" w:rsidR="00D92626" w:rsidRPr="00494E02" w:rsidRDefault="00D92626" w:rsidP="00D92626">
            <w:pPr>
              <w:pStyle w:val="TableText"/>
              <w:jc w:val="right"/>
            </w:pPr>
          </w:p>
        </w:tc>
        <w:tc>
          <w:tcPr>
            <w:tcW w:w="409" w:type="pct"/>
            <w:tcBorders>
              <w:top w:val="single" w:sz="4" w:space="0" w:color="000000"/>
              <w:bottom w:val="nil"/>
            </w:tcBorders>
          </w:tcPr>
          <w:p w14:paraId="28B79347" w14:textId="77777777" w:rsidR="00D92626" w:rsidRPr="00494E02" w:rsidRDefault="00D92626" w:rsidP="00D92626">
            <w:pPr>
              <w:pStyle w:val="TableText"/>
              <w:jc w:val="right"/>
            </w:pPr>
          </w:p>
        </w:tc>
        <w:tc>
          <w:tcPr>
            <w:tcW w:w="502" w:type="pct"/>
            <w:tcBorders>
              <w:top w:val="single" w:sz="4" w:space="0" w:color="000000"/>
              <w:bottom w:val="nil"/>
            </w:tcBorders>
          </w:tcPr>
          <w:p w14:paraId="2599D08E" w14:textId="77777777" w:rsidR="00D92626" w:rsidRPr="00494E02" w:rsidRDefault="00D92626" w:rsidP="00D92626">
            <w:pPr>
              <w:pStyle w:val="TableText"/>
              <w:jc w:val="right"/>
            </w:pPr>
          </w:p>
        </w:tc>
      </w:tr>
      <w:tr w:rsidR="00D6757C" w:rsidRPr="00B95AF7" w14:paraId="3C6FEBF8" w14:textId="77777777" w:rsidTr="00D6757C">
        <w:trPr>
          <w:cantSplit/>
        </w:trPr>
        <w:tc>
          <w:tcPr>
            <w:tcW w:w="709" w:type="pct"/>
            <w:tcBorders>
              <w:top w:val="nil"/>
            </w:tcBorders>
          </w:tcPr>
          <w:p w14:paraId="469BCF5F" w14:textId="77777777" w:rsidR="00D92626" w:rsidRPr="00DE7D1D" w:rsidRDefault="00D92626" w:rsidP="00D92626">
            <w:pPr>
              <w:pStyle w:val="TableText"/>
              <w:rPr>
                <w:bCs/>
                <w:color w:val="000000" w:themeColor="text1"/>
              </w:rPr>
            </w:pPr>
            <w:r w:rsidRPr="00DE7D1D">
              <w:rPr>
                <w:bCs/>
                <w:color w:val="000000" w:themeColor="text1"/>
              </w:rPr>
              <w:t>18</w:t>
            </w:r>
            <w:r>
              <w:rPr>
                <w:bCs/>
                <w:color w:val="000000" w:themeColor="text1"/>
              </w:rPr>
              <w:t>–</w:t>
            </w:r>
            <w:r w:rsidRPr="00DE7D1D">
              <w:rPr>
                <w:bCs/>
                <w:color w:val="000000" w:themeColor="text1"/>
              </w:rPr>
              <w:t>27</w:t>
            </w:r>
          </w:p>
        </w:tc>
        <w:tc>
          <w:tcPr>
            <w:tcW w:w="240" w:type="pct"/>
            <w:tcBorders>
              <w:top w:val="nil"/>
            </w:tcBorders>
          </w:tcPr>
          <w:p w14:paraId="626F4C6C" w14:textId="77777777" w:rsidR="00D92626" w:rsidRPr="00494E02" w:rsidRDefault="00D92626" w:rsidP="00D92626">
            <w:pPr>
              <w:pStyle w:val="TableText"/>
              <w:jc w:val="right"/>
            </w:pPr>
            <w:r w:rsidRPr="00494E02">
              <w:t>247</w:t>
            </w:r>
          </w:p>
        </w:tc>
        <w:tc>
          <w:tcPr>
            <w:tcW w:w="344" w:type="pct"/>
            <w:tcBorders>
              <w:top w:val="nil"/>
            </w:tcBorders>
          </w:tcPr>
          <w:p w14:paraId="62D3AE10" w14:textId="77777777" w:rsidR="00D92626" w:rsidRPr="00494E02" w:rsidRDefault="00D92626" w:rsidP="00D92626">
            <w:pPr>
              <w:pStyle w:val="TableText"/>
              <w:jc w:val="right"/>
            </w:pPr>
            <w:r w:rsidRPr="00494E02">
              <w:t>3621</w:t>
            </w:r>
          </w:p>
        </w:tc>
        <w:tc>
          <w:tcPr>
            <w:tcW w:w="476" w:type="pct"/>
            <w:tcBorders>
              <w:top w:val="nil"/>
            </w:tcBorders>
          </w:tcPr>
          <w:p w14:paraId="6DC98C0D" w14:textId="77777777" w:rsidR="00D92626" w:rsidRPr="00494E02" w:rsidRDefault="00D92626" w:rsidP="00D92626">
            <w:pPr>
              <w:pStyle w:val="TableText"/>
              <w:jc w:val="right"/>
            </w:pPr>
            <w:r w:rsidRPr="00494E02">
              <w:t>74.2 (68.8,</w:t>
            </w:r>
            <w:r>
              <w:t xml:space="preserve"> </w:t>
            </w:r>
            <w:r w:rsidRPr="00494E02">
              <w:t>78.9)</w:t>
            </w:r>
          </w:p>
        </w:tc>
        <w:tc>
          <w:tcPr>
            <w:tcW w:w="195" w:type="pct"/>
            <w:tcBorders>
              <w:top w:val="nil"/>
            </w:tcBorders>
          </w:tcPr>
          <w:p w14:paraId="680ED2AB" w14:textId="77777777" w:rsidR="00D92626" w:rsidRPr="00494E02" w:rsidRDefault="00D92626" w:rsidP="00D92626">
            <w:pPr>
              <w:pStyle w:val="TableText"/>
              <w:jc w:val="right"/>
            </w:pPr>
            <w:r w:rsidRPr="00494E02">
              <w:t>97</w:t>
            </w:r>
          </w:p>
        </w:tc>
        <w:tc>
          <w:tcPr>
            <w:tcW w:w="358" w:type="pct"/>
            <w:tcBorders>
              <w:top w:val="nil"/>
            </w:tcBorders>
          </w:tcPr>
          <w:p w14:paraId="1BB4E561" w14:textId="77777777" w:rsidR="00D92626" w:rsidRPr="00494E02" w:rsidRDefault="00D92626" w:rsidP="00D92626">
            <w:pPr>
              <w:pStyle w:val="TableText"/>
              <w:jc w:val="right"/>
            </w:pPr>
            <w:r w:rsidRPr="00494E02">
              <w:t>1231</w:t>
            </w:r>
          </w:p>
        </w:tc>
        <w:tc>
          <w:tcPr>
            <w:tcW w:w="476" w:type="pct"/>
            <w:tcBorders>
              <w:top w:val="nil"/>
            </w:tcBorders>
          </w:tcPr>
          <w:p w14:paraId="05D08C5D" w14:textId="77777777" w:rsidR="00D92626" w:rsidRPr="00494E02" w:rsidRDefault="00D92626" w:rsidP="00D92626">
            <w:pPr>
              <w:pStyle w:val="TableText"/>
              <w:jc w:val="right"/>
            </w:pPr>
            <w:r w:rsidRPr="00494E02">
              <w:t>25.2 (20.6,</w:t>
            </w:r>
            <w:r>
              <w:t xml:space="preserve"> </w:t>
            </w:r>
            <w:r w:rsidRPr="00494E02">
              <w:t>30.5)</w:t>
            </w:r>
          </w:p>
        </w:tc>
        <w:tc>
          <w:tcPr>
            <w:tcW w:w="221" w:type="pct"/>
            <w:tcBorders>
              <w:top w:val="nil"/>
            </w:tcBorders>
          </w:tcPr>
          <w:p w14:paraId="2CA58242" w14:textId="77777777" w:rsidR="00D92626" w:rsidRPr="00494E02" w:rsidRDefault="00D92626" w:rsidP="00D92626">
            <w:pPr>
              <w:pStyle w:val="TableText"/>
              <w:jc w:val="right"/>
            </w:pPr>
            <w:r w:rsidRPr="00494E02">
              <w:t>359</w:t>
            </w:r>
          </w:p>
        </w:tc>
        <w:tc>
          <w:tcPr>
            <w:tcW w:w="363" w:type="pct"/>
            <w:tcBorders>
              <w:top w:val="nil"/>
            </w:tcBorders>
          </w:tcPr>
          <w:p w14:paraId="6482F9D6" w14:textId="77777777" w:rsidR="00D92626" w:rsidRPr="00494E02" w:rsidRDefault="00D92626" w:rsidP="00D92626">
            <w:pPr>
              <w:pStyle w:val="TableText"/>
              <w:jc w:val="right"/>
            </w:pPr>
            <w:r w:rsidRPr="00494E02">
              <w:t>7443</w:t>
            </w:r>
          </w:p>
        </w:tc>
        <w:tc>
          <w:tcPr>
            <w:tcW w:w="476" w:type="pct"/>
            <w:tcBorders>
              <w:top w:val="nil"/>
            </w:tcBorders>
          </w:tcPr>
          <w:p w14:paraId="0FB77B1C" w14:textId="77777777" w:rsidR="00D92626" w:rsidRPr="00494E02" w:rsidRDefault="00D92626" w:rsidP="00D92626">
            <w:pPr>
              <w:pStyle w:val="TableText"/>
              <w:jc w:val="right"/>
            </w:pPr>
            <w:r w:rsidRPr="00494E02">
              <w:t>77.0 (63.5,</w:t>
            </w:r>
            <w:r>
              <w:t xml:space="preserve"> </w:t>
            </w:r>
            <w:r w:rsidRPr="00494E02">
              <w:t>86.6)</w:t>
            </w:r>
          </w:p>
        </w:tc>
        <w:tc>
          <w:tcPr>
            <w:tcW w:w="231" w:type="pct"/>
            <w:tcBorders>
              <w:top w:val="nil"/>
            </w:tcBorders>
          </w:tcPr>
          <w:p w14:paraId="0CFA9806" w14:textId="77777777" w:rsidR="00D92626" w:rsidRPr="00494E02" w:rsidRDefault="00D92626" w:rsidP="00D92626">
            <w:pPr>
              <w:pStyle w:val="TableText"/>
              <w:jc w:val="right"/>
            </w:pPr>
            <w:r w:rsidRPr="00494E02">
              <w:t>117</w:t>
            </w:r>
          </w:p>
        </w:tc>
        <w:tc>
          <w:tcPr>
            <w:tcW w:w="409" w:type="pct"/>
            <w:tcBorders>
              <w:top w:val="nil"/>
            </w:tcBorders>
          </w:tcPr>
          <w:p w14:paraId="04A6D029" w14:textId="77777777" w:rsidR="00D92626" w:rsidRPr="00494E02" w:rsidRDefault="00D92626" w:rsidP="00D92626">
            <w:pPr>
              <w:pStyle w:val="TableText"/>
              <w:jc w:val="right"/>
            </w:pPr>
            <w:r w:rsidRPr="00494E02">
              <w:t>2002</w:t>
            </w:r>
          </w:p>
        </w:tc>
        <w:tc>
          <w:tcPr>
            <w:tcW w:w="502" w:type="pct"/>
            <w:tcBorders>
              <w:top w:val="nil"/>
            </w:tcBorders>
          </w:tcPr>
          <w:p w14:paraId="0E8C6E4B" w14:textId="77777777" w:rsidR="00D92626" w:rsidRPr="00494E02" w:rsidRDefault="00D92626" w:rsidP="00D92626">
            <w:pPr>
              <w:pStyle w:val="TableText"/>
              <w:jc w:val="right"/>
            </w:pPr>
            <w:r w:rsidRPr="00494E02">
              <w:t>20.7 (11.7,</w:t>
            </w:r>
            <w:r>
              <w:t xml:space="preserve"> </w:t>
            </w:r>
            <w:r w:rsidRPr="00494E02">
              <w:t>34.1)</w:t>
            </w:r>
          </w:p>
        </w:tc>
      </w:tr>
      <w:tr w:rsidR="00D92626" w:rsidRPr="00B95AF7" w14:paraId="1743BA04"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Pr>
          <w:p w14:paraId="2CBC4FD4" w14:textId="77777777" w:rsidR="00D92626" w:rsidRPr="00DE7D1D" w:rsidRDefault="00D92626" w:rsidP="00D92626">
            <w:pPr>
              <w:pStyle w:val="TableText"/>
              <w:rPr>
                <w:bCs/>
                <w:color w:val="000000" w:themeColor="text1"/>
              </w:rPr>
            </w:pPr>
            <w:r w:rsidRPr="00DE7D1D">
              <w:rPr>
                <w:bCs/>
                <w:color w:val="000000" w:themeColor="text1"/>
              </w:rPr>
              <w:t>28</w:t>
            </w:r>
            <w:r>
              <w:rPr>
                <w:bCs/>
                <w:color w:val="000000" w:themeColor="text1"/>
              </w:rPr>
              <w:t>–</w:t>
            </w:r>
            <w:r w:rsidRPr="00DE7D1D">
              <w:rPr>
                <w:bCs/>
                <w:color w:val="000000" w:themeColor="text1"/>
              </w:rPr>
              <w:t>37</w:t>
            </w:r>
          </w:p>
        </w:tc>
        <w:tc>
          <w:tcPr>
            <w:tcW w:w="240" w:type="pct"/>
          </w:tcPr>
          <w:p w14:paraId="4F4F3D79" w14:textId="77777777" w:rsidR="00D92626" w:rsidRPr="00494E02" w:rsidRDefault="00D92626" w:rsidP="00D92626">
            <w:pPr>
              <w:pStyle w:val="TableText"/>
              <w:jc w:val="right"/>
            </w:pPr>
            <w:r w:rsidRPr="00494E02">
              <w:t>703</w:t>
            </w:r>
          </w:p>
        </w:tc>
        <w:tc>
          <w:tcPr>
            <w:tcW w:w="344" w:type="pct"/>
          </w:tcPr>
          <w:p w14:paraId="2DF63369" w14:textId="77777777" w:rsidR="00D92626" w:rsidRPr="00494E02" w:rsidRDefault="00D92626" w:rsidP="00D92626">
            <w:pPr>
              <w:pStyle w:val="TableText"/>
              <w:jc w:val="right"/>
            </w:pPr>
            <w:r w:rsidRPr="00494E02">
              <w:t>6424</w:t>
            </w:r>
          </w:p>
        </w:tc>
        <w:tc>
          <w:tcPr>
            <w:tcW w:w="476" w:type="pct"/>
          </w:tcPr>
          <w:p w14:paraId="591EFE90" w14:textId="77777777" w:rsidR="00D92626" w:rsidRPr="00494E02" w:rsidRDefault="00D92626" w:rsidP="00D92626">
            <w:pPr>
              <w:pStyle w:val="TableText"/>
              <w:jc w:val="right"/>
            </w:pPr>
            <w:r w:rsidRPr="00494E02">
              <w:t>72.5 (68.9,</w:t>
            </w:r>
            <w:r>
              <w:t xml:space="preserve"> </w:t>
            </w:r>
            <w:r w:rsidRPr="00494E02">
              <w:t>75.9)</w:t>
            </w:r>
          </w:p>
        </w:tc>
        <w:tc>
          <w:tcPr>
            <w:tcW w:w="195" w:type="pct"/>
          </w:tcPr>
          <w:p w14:paraId="1518B5BA" w14:textId="77777777" w:rsidR="00D92626" w:rsidRPr="00494E02" w:rsidRDefault="00D92626" w:rsidP="00D92626">
            <w:pPr>
              <w:pStyle w:val="TableText"/>
              <w:jc w:val="right"/>
            </w:pPr>
            <w:r w:rsidRPr="00494E02">
              <w:t>279</w:t>
            </w:r>
          </w:p>
        </w:tc>
        <w:tc>
          <w:tcPr>
            <w:tcW w:w="358" w:type="pct"/>
          </w:tcPr>
          <w:p w14:paraId="70006B1F" w14:textId="77777777" w:rsidR="00D92626" w:rsidRPr="00494E02" w:rsidRDefault="00D92626" w:rsidP="00D92626">
            <w:pPr>
              <w:pStyle w:val="TableText"/>
              <w:jc w:val="right"/>
            </w:pPr>
            <w:r w:rsidRPr="00494E02">
              <w:t>2415</w:t>
            </w:r>
          </w:p>
        </w:tc>
        <w:tc>
          <w:tcPr>
            <w:tcW w:w="476" w:type="pct"/>
          </w:tcPr>
          <w:p w14:paraId="5B1A7A33" w14:textId="77777777" w:rsidR="00D92626" w:rsidRPr="00494E02" w:rsidRDefault="00D92626" w:rsidP="00D92626">
            <w:pPr>
              <w:pStyle w:val="TableText"/>
              <w:jc w:val="right"/>
            </w:pPr>
            <w:r w:rsidRPr="00494E02">
              <w:t>27.3 (23.9,</w:t>
            </w:r>
            <w:r>
              <w:t xml:space="preserve"> </w:t>
            </w:r>
            <w:r w:rsidRPr="00494E02">
              <w:t>30.9)</w:t>
            </w:r>
          </w:p>
        </w:tc>
        <w:tc>
          <w:tcPr>
            <w:tcW w:w="221" w:type="pct"/>
          </w:tcPr>
          <w:p w14:paraId="21CECCC6" w14:textId="77777777" w:rsidR="00D92626" w:rsidRPr="00494E02" w:rsidRDefault="00D92626" w:rsidP="00D92626">
            <w:pPr>
              <w:pStyle w:val="TableText"/>
              <w:jc w:val="right"/>
            </w:pPr>
            <w:r w:rsidRPr="00494E02">
              <w:t>1554</w:t>
            </w:r>
          </w:p>
        </w:tc>
        <w:tc>
          <w:tcPr>
            <w:tcW w:w="363" w:type="pct"/>
          </w:tcPr>
          <w:p w14:paraId="15927E08" w14:textId="77777777" w:rsidR="00D92626" w:rsidRPr="00494E02" w:rsidRDefault="00D92626" w:rsidP="00D92626">
            <w:pPr>
              <w:pStyle w:val="TableText"/>
              <w:jc w:val="right"/>
            </w:pPr>
            <w:r w:rsidRPr="00494E02">
              <w:t>13</w:t>
            </w:r>
            <w:r>
              <w:t>,</w:t>
            </w:r>
            <w:r w:rsidRPr="00494E02">
              <w:t>522</w:t>
            </w:r>
          </w:p>
        </w:tc>
        <w:tc>
          <w:tcPr>
            <w:tcW w:w="476" w:type="pct"/>
          </w:tcPr>
          <w:p w14:paraId="2FF9B1EE" w14:textId="77777777" w:rsidR="00D92626" w:rsidRPr="00494E02" w:rsidRDefault="00D92626" w:rsidP="00D92626">
            <w:pPr>
              <w:pStyle w:val="TableText"/>
              <w:jc w:val="right"/>
            </w:pPr>
            <w:r w:rsidRPr="00494E02">
              <w:t>77.5 (70.9,</w:t>
            </w:r>
            <w:r>
              <w:t xml:space="preserve"> </w:t>
            </w:r>
            <w:r w:rsidRPr="00494E02">
              <w:t>82.9)</w:t>
            </w:r>
          </w:p>
        </w:tc>
        <w:tc>
          <w:tcPr>
            <w:tcW w:w="231" w:type="pct"/>
          </w:tcPr>
          <w:p w14:paraId="192BB3B5" w14:textId="77777777" w:rsidR="00D92626" w:rsidRPr="00494E02" w:rsidRDefault="00D92626" w:rsidP="00D92626">
            <w:pPr>
              <w:pStyle w:val="TableText"/>
              <w:jc w:val="right"/>
            </w:pPr>
            <w:r w:rsidRPr="00494E02">
              <w:t>508</w:t>
            </w:r>
          </w:p>
        </w:tc>
        <w:tc>
          <w:tcPr>
            <w:tcW w:w="409" w:type="pct"/>
          </w:tcPr>
          <w:p w14:paraId="3C99DBBB" w14:textId="77777777" w:rsidR="00D92626" w:rsidRPr="00494E02" w:rsidRDefault="00D92626" w:rsidP="00D92626">
            <w:pPr>
              <w:pStyle w:val="TableText"/>
              <w:jc w:val="right"/>
            </w:pPr>
            <w:r w:rsidRPr="00494E02">
              <w:t>3844</w:t>
            </w:r>
          </w:p>
        </w:tc>
        <w:tc>
          <w:tcPr>
            <w:tcW w:w="502" w:type="pct"/>
          </w:tcPr>
          <w:p w14:paraId="758F5884" w14:textId="77777777" w:rsidR="00D92626" w:rsidRPr="00494E02" w:rsidRDefault="00D92626" w:rsidP="00D92626">
            <w:pPr>
              <w:pStyle w:val="TableText"/>
              <w:jc w:val="right"/>
            </w:pPr>
            <w:r w:rsidRPr="00494E02">
              <w:t>22.0 (16.6,</w:t>
            </w:r>
            <w:r>
              <w:t xml:space="preserve"> </w:t>
            </w:r>
            <w:r w:rsidRPr="00494E02">
              <w:t>28.6)</w:t>
            </w:r>
          </w:p>
        </w:tc>
      </w:tr>
      <w:tr w:rsidR="00D6757C" w:rsidRPr="00B95AF7" w14:paraId="56C67B80" w14:textId="77777777" w:rsidTr="00D6757C">
        <w:trPr>
          <w:cantSplit/>
        </w:trPr>
        <w:tc>
          <w:tcPr>
            <w:tcW w:w="709" w:type="pct"/>
          </w:tcPr>
          <w:p w14:paraId="1C43DAE3" w14:textId="77777777" w:rsidR="00D92626" w:rsidRPr="00DE7D1D" w:rsidRDefault="00D92626" w:rsidP="00D92626">
            <w:pPr>
              <w:pStyle w:val="TableText"/>
              <w:rPr>
                <w:bCs/>
                <w:color w:val="000000" w:themeColor="text1"/>
              </w:rPr>
            </w:pPr>
            <w:r w:rsidRPr="00DE7D1D">
              <w:rPr>
                <w:bCs/>
                <w:color w:val="000000" w:themeColor="text1"/>
              </w:rPr>
              <w:t>38</w:t>
            </w:r>
            <w:r>
              <w:rPr>
                <w:bCs/>
                <w:color w:val="000000" w:themeColor="text1"/>
              </w:rPr>
              <w:t>–</w:t>
            </w:r>
            <w:r w:rsidRPr="00DE7D1D">
              <w:rPr>
                <w:bCs/>
                <w:color w:val="000000" w:themeColor="text1"/>
              </w:rPr>
              <w:t>47</w:t>
            </w:r>
          </w:p>
        </w:tc>
        <w:tc>
          <w:tcPr>
            <w:tcW w:w="240" w:type="pct"/>
          </w:tcPr>
          <w:p w14:paraId="7230E91D" w14:textId="77777777" w:rsidR="00D92626" w:rsidRPr="00494E02" w:rsidRDefault="00D92626" w:rsidP="00D92626">
            <w:pPr>
              <w:pStyle w:val="TableText"/>
              <w:jc w:val="right"/>
            </w:pPr>
            <w:r w:rsidRPr="00494E02">
              <w:t>654</w:t>
            </w:r>
          </w:p>
        </w:tc>
        <w:tc>
          <w:tcPr>
            <w:tcW w:w="344" w:type="pct"/>
          </w:tcPr>
          <w:p w14:paraId="596BF5A5" w14:textId="77777777" w:rsidR="00D92626" w:rsidRPr="00494E02" w:rsidRDefault="00D92626" w:rsidP="00D92626">
            <w:pPr>
              <w:pStyle w:val="TableText"/>
              <w:jc w:val="right"/>
            </w:pPr>
            <w:r w:rsidRPr="00494E02">
              <w:t>3744</w:t>
            </w:r>
          </w:p>
        </w:tc>
        <w:tc>
          <w:tcPr>
            <w:tcW w:w="476" w:type="pct"/>
          </w:tcPr>
          <w:p w14:paraId="1DBB9B60" w14:textId="77777777" w:rsidR="00D92626" w:rsidRPr="00494E02" w:rsidRDefault="00D92626" w:rsidP="00D92626">
            <w:pPr>
              <w:pStyle w:val="TableText"/>
              <w:jc w:val="right"/>
            </w:pPr>
            <w:r w:rsidRPr="00494E02">
              <w:t>71.4 (67.9,</w:t>
            </w:r>
            <w:r>
              <w:t xml:space="preserve"> </w:t>
            </w:r>
            <w:r w:rsidRPr="00494E02">
              <w:t>74.7)</w:t>
            </w:r>
          </w:p>
        </w:tc>
        <w:tc>
          <w:tcPr>
            <w:tcW w:w="195" w:type="pct"/>
          </w:tcPr>
          <w:p w14:paraId="414482F3" w14:textId="77777777" w:rsidR="00D92626" w:rsidRPr="00494E02" w:rsidRDefault="00D92626" w:rsidP="00D92626">
            <w:pPr>
              <w:pStyle w:val="TableText"/>
              <w:jc w:val="right"/>
            </w:pPr>
            <w:r w:rsidRPr="00494E02">
              <w:t>263</w:t>
            </w:r>
          </w:p>
        </w:tc>
        <w:tc>
          <w:tcPr>
            <w:tcW w:w="358" w:type="pct"/>
          </w:tcPr>
          <w:p w14:paraId="7C606C48" w14:textId="77777777" w:rsidR="00D92626" w:rsidRPr="00494E02" w:rsidRDefault="00D92626" w:rsidP="00D92626">
            <w:pPr>
              <w:pStyle w:val="TableText"/>
              <w:jc w:val="right"/>
            </w:pPr>
            <w:r w:rsidRPr="00494E02">
              <w:t>1450</w:t>
            </w:r>
          </w:p>
        </w:tc>
        <w:tc>
          <w:tcPr>
            <w:tcW w:w="476" w:type="pct"/>
          </w:tcPr>
          <w:p w14:paraId="1A26F55A" w14:textId="77777777" w:rsidR="00D92626" w:rsidRPr="00494E02" w:rsidRDefault="00D92626" w:rsidP="00D92626">
            <w:pPr>
              <w:pStyle w:val="TableText"/>
              <w:jc w:val="right"/>
            </w:pPr>
            <w:r w:rsidRPr="00494E02">
              <w:t>27.7 (24.4,</w:t>
            </w:r>
            <w:r>
              <w:t xml:space="preserve"> </w:t>
            </w:r>
            <w:r w:rsidRPr="00494E02">
              <w:t>31.2)</w:t>
            </w:r>
          </w:p>
        </w:tc>
        <w:tc>
          <w:tcPr>
            <w:tcW w:w="221" w:type="pct"/>
          </w:tcPr>
          <w:p w14:paraId="639F4673" w14:textId="77777777" w:rsidR="00D92626" w:rsidRPr="00494E02" w:rsidRDefault="00D92626" w:rsidP="00D92626">
            <w:pPr>
              <w:pStyle w:val="TableText"/>
              <w:jc w:val="right"/>
            </w:pPr>
            <w:r w:rsidRPr="00494E02">
              <w:t>2099</w:t>
            </w:r>
          </w:p>
        </w:tc>
        <w:tc>
          <w:tcPr>
            <w:tcW w:w="363" w:type="pct"/>
          </w:tcPr>
          <w:p w14:paraId="705E91ED" w14:textId="77777777" w:rsidR="00D92626" w:rsidRPr="00494E02" w:rsidRDefault="00D92626" w:rsidP="00D92626">
            <w:pPr>
              <w:pStyle w:val="TableText"/>
              <w:jc w:val="right"/>
            </w:pPr>
            <w:r w:rsidRPr="00494E02">
              <w:t>12</w:t>
            </w:r>
            <w:r>
              <w:t>,</w:t>
            </w:r>
            <w:r w:rsidRPr="00494E02">
              <w:t>578</w:t>
            </w:r>
          </w:p>
        </w:tc>
        <w:tc>
          <w:tcPr>
            <w:tcW w:w="476" w:type="pct"/>
          </w:tcPr>
          <w:p w14:paraId="77111D5E" w14:textId="77777777" w:rsidR="00D92626" w:rsidRPr="00494E02" w:rsidRDefault="00D92626" w:rsidP="00D92626">
            <w:pPr>
              <w:pStyle w:val="TableText"/>
              <w:jc w:val="right"/>
            </w:pPr>
            <w:r w:rsidRPr="00494E02">
              <w:t>85.8 (82.9,</w:t>
            </w:r>
            <w:r>
              <w:t xml:space="preserve"> </w:t>
            </w:r>
            <w:r w:rsidRPr="00494E02">
              <w:t>88.3)</w:t>
            </w:r>
          </w:p>
        </w:tc>
        <w:tc>
          <w:tcPr>
            <w:tcW w:w="231" w:type="pct"/>
          </w:tcPr>
          <w:p w14:paraId="66A08B1E" w14:textId="77777777" w:rsidR="00D92626" w:rsidRPr="00494E02" w:rsidRDefault="00D92626" w:rsidP="00D92626">
            <w:pPr>
              <w:pStyle w:val="TableText"/>
              <w:jc w:val="right"/>
            </w:pPr>
            <w:r w:rsidRPr="00494E02">
              <w:t>498</w:t>
            </w:r>
          </w:p>
        </w:tc>
        <w:tc>
          <w:tcPr>
            <w:tcW w:w="409" w:type="pct"/>
          </w:tcPr>
          <w:p w14:paraId="3805F45C" w14:textId="77777777" w:rsidR="00D92626" w:rsidRPr="00494E02" w:rsidRDefault="00D92626" w:rsidP="00D92626">
            <w:pPr>
              <w:pStyle w:val="TableText"/>
              <w:jc w:val="right"/>
            </w:pPr>
            <w:r w:rsidRPr="00494E02">
              <w:t>1932</w:t>
            </w:r>
          </w:p>
        </w:tc>
        <w:tc>
          <w:tcPr>
            <w:tcW w:w="502" w:type="pct"/>
          </w:tcPr>
          <w:p w14:paraId="577C4DEE" w14:textId="77777777" w:rsidR="00D92626" w:rsidRPr="00494E02" w:rsidRDefault="00D92626" w:rsidP="00D92626">
            <w:pPr>
              <w:pStyle w:val="TableText"/>
              <w:jc w:val="right"/>
            </w:pPr>
            <w:r w:rsidRPr="00494E02">
              <w:t>13.2 (11.1,</w:t>
            </w:r>
            <w:r>
              <w:t xml:space="preserve"> </w:t>
            </w:r>
            <w:r w:rsidRPr="00494E02">
              <w:t>15.5)</w:t>
            </w:r>
          </w:p>
        </w:tc>
      </w:tr>
      <w:tr w:rsidR="00D92626" w:rsidRPr="00B95AF7" w14:paraId="6C4FD944"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Pr>
          <w:p w14:paraId="177CC7C0" w14:textId="77777777" w:rsidR="00D92626" w:rsidRPr="00DE7D1D" w:rsidRDefault="00D92626" w:rsidP="00D92626">
            <w:pPr>
              <w:pStyle w:val="TableText"/>
              <w:rPr>
                <w:bCs/>
                <w:color w:val="000000" w:themeColor="text1"/>
              </w:rPr>
            </w:pPr>
            <w:r w:rsidRPr="00DE7D1D">
              <w:rPr>
                <w:bCs/>
                <w:color w:val="000000" w:themeColor="text1"/>
              </w:rPr>
              <w:t>48</w:t>
            </w:r>
            <w:r>
              <w:rPr>
                <w:bCs/>
                <w:color w:val="000000" w:themeColor="text1"/>
              </w:rPr>
              <w:t>–</w:t>
            </w:r>
            <w:r w:rsidRPr="00DE7D1D">
              <w:rPr>
                <w:bCs/>
                <w:color w:val="000000" w:themeColor="text1"/>
              </w:rPr>
              <w:t>57</w:t>
            </w:r>
          </w:p>
        </w:tc>
        <w:tc>
          <w:tcPr>
            <w:tcW w:w="240" w:type="pct"/>
          </w:tcPr>
          <w:p w14:paraId="2907D9F5" w14:textId="77777777" w:rsidR="00D92626" w:rsidRPr="00494E02" w:rsidRDefault="00D92626" w:rsidP="00D92626">
            <w:pPr>
              <w:pStyle w:val="TableText"/>
              <w:jc w:val="right"/>
            </w:pPr>
            <w:r w:rsidRPr="00494E02">
              <w:t>616</w:t>
            </w:r>
          </w:p>
        </w:tc>
        <w:tc>
          <w:tcPr>
            <w:tcW w:w="344" w:type="pct"/>
          </w:tcPr>
          <w:p w14:paraId="2D41513D" w14:textId="77777777" w:rsidR="00D92626" w:rsidRPr="00494E02" w:rsidRDefault="00D92626" w:rsidP="00D92626">
            <w:pPr>
              <w:pStyle w:val="TableText"/>
              <w:jc w:val="right"/>
            </w:pPr>
            <w:r w:rsidRPr="00494E02">
              <w:t>2895</w:t>
            </w:r>
          </w:p>
        </w:tc>
        <w:tc>
          <w:tcPr>
            <w:tcW w:w="476" w:type="pct"/>
          </w:tcPr>
          <w:p w14:paraId="3DD664B5" w14:textId="77777777" w:rsidR="00D92626" w:rsidRPr="00494E02" w:rsidRDefault="00D92626" w:rsidP="00D92626">
            <w:pPr>
              <w:pStyle w:val="TableText"/>
              <w:jc w:val="right"/>
            </w:pPr>
            <w:r w:rsidRPr="00494E02">
              <w:t>81.2 (77.8,</w:t>
            </w:r>
            <w:r>
              <w:t xml:space="preserve"> </w:t>
            </w:r>
            <w:r w:rsidRPr="00494E02">
              <w:t>84.2)</w:t>
            </w:r>
          </w:p>
        </w:tc>
        <w:tc>
          <w:tcPr>
            <w:tcW w:w="195" w:type="pct"/>
          </w:tcPr>
          <w:p w14:paraId="64E23B89" w14:textId="77777777" w:rsidR="00D92626" w:rsidRPr="00494E02" w:rsidRDefault="00D92626" w:rsidP="00D92626">
            <w:pPr>
              <w:pStyle w:val="TableText"/>
              <w:jc w:val="right"/>
            </w:pPr>
            <w:r w:rsidRPr="00494E02">
              <w:t>137</w:t>
            </w:r>
          </w:p>
        </w:tc>
        <w:tc>
          <w:tcPr>
            <w:tcW w:w="358" w:type="pct"/>
          </w:tcPr>
          <w:p w14:paraId="5612D10F" w14:textId="77777777" w:rsidR="00D92626" w:rsidRPr="00494E02" w:rsidRDefault="00D92626" w:rsidP="00D92626">
            <w:pPr>
              <w:pStyle w:val="TableText"/>
              <w:jc w:val="right"/>
            </w:pPr>
            <w:r w:rsidRPr="00494E02">
              <w:t>632</w:t>
            </w:r>
          </w:p>
        </w:tc>
        <w:tc>
          <w:tcPr>
            <w:tcW w:w="476" w:type="pct"/>
          </w:tcPr>
          <w:p w14:paraId="2AEB0192" w14:textId="77777777" w:rsidR="00D92626" w:rsidRPr="00494E02" w:rsidRDefault="00D92626" w:rsidP="00D92626">
            <w:pPr>
              <w:pStyle w:val="TableText"/>
              <w:jc w:val="right"/>
            </w:pPr>
            <w:r w:rsidRPr="00494E02">
              <w:t>17.7 (15.0,</w:t>
            </w:r>
            <w:r>
              <w:t xml:space="preserve"> </w:t>
            </w:r>
            <w:r w:rsidRPr="00494E02">
              <w:t>20.9)</w:t>
            </w:r>
          </w:p>
        </w:tc>
        <w:tc>
          <w:tcPr>
            <w:tcW w:w="221" w:type="pct"/>
          </w:tcPr>
          <w:p w14:paraId="14A7FEB5" w14:textId="77777777" w:rsidR="00D92626" w:rsidRPr="00494E02" w:rsidRDefault="00D92626" w:rsidP="00D92626">
            <w:pPr>
              <w:pStyle w:val="TableText"/>
              <w:jc w:val="right"/>
            </w:pPr>
            <w:r w:rsidRPr="00494E02">
              <w:t>1605</w:t>
            </w:r>
          </w:p>
        </w:tc>
        <w:tc>
          <w:tcPr>
            <w:tcW w:w="363" w:type="pct"/>
          </w:tcPr>
          <w:p w14:paraId="0BE30FDE" w14:textId="77777777" w:rsidR="00D92626" w:rsidRPr="00494E02" w:rsidRDefault="00D92626" w:rsidP="00D92626">
            <w:pPr>
              <w:pStyle w:val="TableText"/>
              <w:jc w:val="right"/>
            </w:pPr>
            <w:r w:rsidRPr="00494E02">
              <w:t>7428</w:t>
            </w:r>
          </w:p>
        </w:tc>
        <w:tc>
          <w:tcPr>
            <w:tcW w:w="476" w:type="pct"/>
          </w:tcPr>
          <w:p w14:paraId="20E46E46" w14:textId="77777777" w:rsidR="00D92626" w:rsidRPr="00494E02" w:rsidRDefault="00D92626" w:rsidP="00D92626">
            <w:pPr>
              <w:pStyle w:val="TableText"/>
              <w:jc w:val="right"/>
            </w:pPr>
            <w:r w:rsidRPr="00494E02">
              <w:t>87.8 (85.9,</w:t>
            </w:r>
            <w:r>
              <w:t xml:space="preserve"> </w:t>
            </w:r>
            <w:r w:rsidRPr="00494E02">
              <w:t>89.5)</w:t>
            </w:r>
          </w:p>
        </w:tc>
        <w:tc>
          <w:tcPr>
            <w:tcW w:w="231" w:type="pct"/>
          </w:tcPr>
          <w:p w14:paraId="766736DD" w14:textId="77777777" w:rsidR="00D92626" w:rsidRPr="00494E02" w:rsidRDefault="00D92626" w:rsidP="00D92626">
            <w:pPr>
              <w:pStyle w:val="TableText"/>
              <w:jc w:val="right"/>
            </w:pPr>
            <w:r w:rsidRPr="00494E02">
              <w:t>263</w:t>
            </w:r>
          </w:p>
        </w:tc>
        <w:tc>
          <w:tcPr>
            <w:tcW w:w="409" w:type="pct"/>
          </w:tcPr>
          <w:p w14:paraId="70B0A867" w14:textId="77777777" w:rsidR="00D92626" w:rsidRPr="00494E02" w:rsidRDefault="00D92626" w:rsidP="00D92626">
            <w:pPr>
              <w:pStyle w:val="TableText"/>
              <w:jc w:val="right"/>
            </w:pPr>
            <w:r w:rsidRPr="00494E02">
              <w:t>961</w:t>
            </w:r>
          </w:p>
        </w:tc>
        <w:tc>
          <w:tcPr>
            <w:tcW w:w="502" w:type="pct"/>
          </w:tcPr>
          <w:p w14:paraId="44397BD1" w14:textId="77777777" w:rsidR="00D92626" w:rsidRPr="00494E02" w:rsidRDefault="00D92626" w:rsidP="00D92626">
            <w:pPr>
              <w:pStyle w:val="TableText"/>
              <w:jc w:val="right"/>
            </w:pPr>
            <w:r w:rsidRPr="00494E02">
              <w:t>11.4 (9.8,</w:t>
            </w:r>
            <w:r>
              <w:t xml:space="preserve"> </w:t>
            </w:r>
            <w:r w:rsidRPr="00494E02">
              <w:t>13.2)</w:t>
            </w:r>
          </w:p>
        </w:tc>
      </w:tr>
      <w:tr w:rsidR="00D6757C" w:rsidRPr="00B95AF7" w14:paraId="15557803" w14:textId="77777777" w:rsidTr="00D6757C">
        <w:trPr>
          <w:cantSplit/>
        </w:trPr>
        <w:tc>
          <w:tcPr>
            <w:tcW w:w="709" w:type="pct"/>
            <w:tcBorders>
              <w:bottom w:val="single" w:sz="4" w:space="0" w:color="000000"/>
            </w:tcBorders>
          </w:tcPr>
          <w:p w14:paraId="4E4EE576" w14:textId="77777777" w:rsidR="00D92626" w:rsidRPr="00DE7D1D" w:rsidRDefault="00D92626" w:rsidP="00D92626">
            <w:pPr>
              <w:pStyle w:val="TableText"/>
              <w:rPr>
                <w:bCs/>
                <w:color w:val="000000" w:themeColor="text1"/>
              </w:rPr>
            </w:pPr>
            <w:r w:rsidRPr="00DE7D1D">
              <w:rPr>
                <w:bCs/>
                <w:color w:val="000000" w:themeColor="text1"/>
              </w:rPr>
              <w:t>58+</w:t>
            </w:r>
          </w:p>
        </w:tc>
        <w:tc>
          <w:tcPr>
            <w:tcW w:w="240" w:type="pct"/>
            <w:tcBorders>
              <w:bottom w:val="single" w:sz="4" w:space="0" w:color="000000"/>
            </w:tcBorders>
          </w:tcPr>
          <w:p w14:paraId="43C5BF1A" w14:textId="77777777" w:rsidR="00D92626" w:rsidRPr="00494E02" w:rsidRDefault="00D92626" w:rsidP="00D92626">
            <w:pPr>
              <w:pStyle w:val="TableText"/>
              <w:jc w:val="right"/>
            </w:pPr>
            <w:r w:rsidRPr="00494E02">
              <w:t>424</w:t>
            </w:r>
          </w:p>
        </w:tc>
        <w:tc>
          <w:tcPr>
            <w:tcW w:w="344" w:type="pct"/>
            <w:tcBorders>
              <w:bottom w:val="single" w:sz="4" w:space="0" w:color="000000"/>
            </w:tcBorders>
          </w:tcPr>
          <w:p w14:paraId="14411D1E" w14:textId="77777777" w:rsidR="00D92626" w:rsidRPr="00494E02" w:rsidRDefault="00D92626" w:rsidP="00D92626">
            <w:pPr>
              <w:pStyle w:val="TableText"/>
              <w:jc w:val="right"/>
            </w:pPr>
            <w:r w:rsidRPr="00494E02">
              <w:t>1759</w:t>
            </w:r>
          </w:p>
        </w:tc>
        <w:tc>
          <w:tcPr>
            <w:tcW w:w="476" w:type="pct"/>
            <w:tcBorders>
              <w:bottom w:val="single" w:sz="4" w:space="0" w:color="000000"/>
            </w:tcBorders>
          </w:tcPr>
          <w:p w14:paraId="2106C51E" w14:textId="77777777" w:rsidR="00D92626" w:rsidRPr="00494E02" w:rsidRDefault="00D92626" w:rsidP="00D92626">
            <w:pPr>
              <w:pStyle w:val="TableText"/>
              <w:jc w:val="right"/>
            </w:pPr>
            <w:r w:rsidRPr="00494E02">
              <w:t>85.2 (81.6,</w:t>
            </w:r>
            <w:r>
              <w:t xml:space="preserve"> </w:t>
            </w:r>
            <w:r w:rsidRPr="00494E02">
              <w:t>88.2)</w:t>
            </w:r>
          </w:p>
        </w:tc>
        <w:tc>
          <w:tcPr>
            <w:tcW w:w="195" w:type="pct"/>
            <w:tcBorders>
              <w:bottom w:val="single" w:sz="4" w:space="0" w:color="000000"/>
            </w:tcBorders>
          </w:tcPr>
          <w:p w14:paraId="1BC4D2BD" w14:textId="77777777" w:rsidR="00D92626" w:rsidRPr="00494E02" w:rsidRDefault="00D92626" w:rsidP="00D92626">
            <w:pPr>
              <w:pStyle w:val="TableText"/>
              <w:jc w:val="right"/>
            </w:pPr>
            <w:r w:rsidRPr="00494E02">
              <w:t>70</w:t>
            </w:r>
          </w:p>
        </w:tc>
        <w:tc>
          <w:tcPr>
            <w:tcW w:w="358" w:type="pct"/>
            <w:tcBorders>
              <w:bottom w:val="single" w:sz="4" w:space="0" w:color="000000"/>
            </w:tcBorders>
          </w:tcPr>
          <w:p w14:paraId="68D55108" w14:textId="77777777" w:rsidR="00D92626" w:rsidRPr="00494E02" w:rsidRDefault="00D92626" w:rsidP="00D92626">
            <w:pPr>
              <w:pStyle w:val="TableText"/>
              <w:jc w:val="right"/>
            </w:pPr>
            <w:r w:rsidRPr="00494E02">
              <w:t>294</w:t>
            </w:r>
          </w:p>
        </w:tc>
        <w:tc>
          <w:tcPr>
            <w:tcW w:w="476" w:type="pct"/>
            <w:tcBorders>
              <w:bottom w:val="single" w:sz="4" w:space="0" w:color="000000"/>
            </w:tcBorders>
          </w:tcPr>
          <w:p w14:paraId="5A929ED5" w14:textId="77777777" w:rsidR="00D92626" w:rsidRPr="00494E02" w:rsidRDefault="00D92626" w:rsidP="00D92626">
            <w:pPr>
              <w:pStyle w:val="TableText"/>
              <w:jc w:val="right"/>
            </w:pPr>
            <w:r w:rsidRPr="00494E02">
              <w:t>14.2 (11.3,</w:t>
            </w:r>
            <w:r>
              <w:t xml:space="preserve"> </w:t>
            </w:r>
            <w:r w:rsidRPr="00494E02">
              <w:t>17.8)</w:t>
            </w:r>
          </w:p>
        </w:tc>
        <w:tc>
          <w:tcPr>
            <w:tcW w:w="221" w:type="pct"/>
            <w:tcBorders>
              <w:bottom w:val="single" w:sz="4" w:space="0" w:color="000000"/>
            </w:tcBorders>
          </w:tcPr>
          <w:p w14:paraId="45E4460B" w14:textId="77777777" w:rsidR="00D92626" w:rsidRPr="00494E02" w:rsidRDefault="00D92626" w:rsidP="00D92626">
            <w:pPr>
              <w:pStyle w:val="TableText"/>
              <w:jc w:val="right"/>
            </w:pPr>
            <w:r w:rsidRPr="00494E02">
              <w:t>164</w:t>
            </w:r>
          </w:p>
        </w:tc>
        <w:tc>
          <w:tcPr>
            <w:tcW w:w="363" w:type="pct"/>
            <w:tcBorders>
              <w:bottom w:val="single" w:sz="4" w:space="0" w:color="000000"/>
            </w:tcBorders>
          </w:tcPr>
          <w:p w14:paraId="615FE6B7" w14:textId="77777777" w:rsidR="00D92626" w:rsidRPr="00494E02" w:rsidRDefault="00D92626" w:rsidP="00D92626">
            <w:pPr>
              <w:pStyle w:val="TableText"/>
              <w:jc w:val="right"/>
            </w:pPr>
            <w:r w:rsidRPr="00494E02">
              <w:t>712</w:t>
            </w:r>
          </w:p>
        </w:tc>
        <w:tc>
          <w:tcPr>
            <w:tcW w:w="476" w:type="pct"/>
            <w:tcBorders>
              <w:bottom w:val="single" w:sz="4" w:space="0" w:color="000000"/>
            </w:tcBorders>
          </w:tcPr>
          <w:p w14:paraId="3722E8B3" w14:textId="77777777" w:rsidR="00D92626" w:rsidRPr="00494E02" w:rsidRDefault="00D92626" w:rsidP="00D92626">
            <w:pPr>
              <w:pStyle w:val="TableText"/>
              <w:jc w:val="right"/>
            </w:pPr>
            <w:r w:rsidRPr="00494E02">
              <w:t>89.5 (82.9,</w:t>
            </w:r>
            <w:r>
              <w:t xml:space="preserve"> </w:t>
            </w:r>
            <w:r w:rsidRPr="00494E02">
              <w:t>93.8)</w:t>
            </w:r>
          </w:p>
        </w:tc>
        <w:tc>
          <w:tcPr>
            <w:tcW w:w="231" w:type="pct"/>
            <w:tcBorders>
              <w:bottom w:val="single" w:sz="4" w:space="0" w:color="000000"/>
            </w:tcBorders>
          </w:tcPr>
          <w:p w14:paraId="5145FC49" w14:textId="77777777" w:rsidR="00D92626" w:rsidRPr="00494E02" w:rsidRDefault="00D92626" w:rsidP="00D92626">
            <w:pPr>
              <w:pStyle w:val="TableText"/>
              <w:jc w:val="right"/>
            </w:pPr>
            <w:r w:rsidRPr="00494E02">
              <w:t>22</w:t>
            </w:r>
          </w:p>
        </w:tc>
        <w:tc>
          <w:tcPr>
            <w:tcW w:w="409" w:type="pct"/>
            <w:tcBorders>
              <w:bottom w:val="single" w:sz="4" w:space="0" w:color="000000"/>
            </w:tcBorders>
          </w:tcPr>
          <w:p w14:paraId="04EC4D85" w14:textId="77777777" w:rsidR="00D92626" w:rsidRPr="00494E02" w:rsidRDefault="00D92626" w:rsidP="00D92626">
            <w:pPr>
              <w:pStyle w:val="TableText"/>
              <w:jc w:val="right"/>
            </w:pPr>
            <w:r w:rsidRPr="00494E02">
              <w:t>84</w:t>
            </w:r>
          </w:p>
        </w:tc>
        <w:tc>
          <w:tcPr>
            <w:tcW w:w="502" w:type="pct"/>
            <w:tcBorders>
              <w:bottom w:val="single" w:sz="4" w:space="0" w:color="000000"/>
            </w:tcBorders>
          </w:tcPr>
          <w:p w14:paraId="7866A85A" w14:textId="77777777" w:rsidR="00D92626" w:rsidRPr="00494E02" w:rsidRDefault="00D92626" w:rsidP="00D92626">
            <w:pPr>
              <w:pStyle w:val="TableText"/>
              <w:jc w:val="right"/>
            </w:pPr>
            <w:r w:rsidRPr="00494E02">
              <w:t>10.5 (6.2,</w:t>
            </w:r>
            <w:r>
              <w:t xml:space="preserve"> </w:t>
            </w:r>
            <w:r w:rsidRPr="00494E02">
              <w:t>17.1)</w:t>
            </w:r>
          </w:p>
        </w:tc>
      </w:tr>
      <w:tr w:rsidR="00D6757C" w:rsidRPr="00B95AF7" w14:paraId="6F9CA2D9"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Borders>
              <w:top w:val="single" w:sz="4" w:space="0" w:color="000000"/>
              <w:bottom w:val="nil"/>
            </w:tcBorders>
          </w:tcPr>
          <w:p w14:paraId="0AE9D38D" w14:textId="77777777" w:rsidR="00D92626" w:rsidRPr="00DE7D1D" w:rsidRDefault="00D92626" w:rsidP="00D92626">
            <w:pPr>
              <w:pStyle w:val="TableText"/>
              <w:rPr>
                <w:b/>
                <w:bCs/>
                <w:color w:val="000000" w:themeColor="text1"/>
              </w:rPr>
            </w:pPr>
            <w:r w:rsidRPr="00DE7D1D">
              <w:rPr>
                <w:b/>
                <w:bCs/>
                <w:color w:val="000000" w:themeColor="text1"/>
              </w:rPr>
              <w:t>Sex and Age group</w:t>
            </w:r>
          </w:p>
        </w:tc>
        <w:tc>
          <w:tcPr>
            <w:tcW w:w="240" w:type="pct"/>
            <w:tcBorders>
              <w:top w:val="single" w:sz="4" w:space="0" w:color="000000"/>
              <w:bottom w:val="nil"/>
            </w:tcBorders>
          </w:tcPr>
          <w:p w14:paraId="47656E23" w14:textId="77777777" w:rsidR="00D92626" w:rsidRPr="00494E02" w:rsidRDefault="00D92626" w:rsidP="00D92626">
            <w:pPr>
              <w:pStyle w:val="TableText"/>
              <w:jc w:val="right"/>
            </w:pPr>
          </w:p>
        </w:tc>
        <w:tc>
          <w:tcPr>
            <w:tcW w:w="344" w:type="pct"/>
            <w:tcBorders>
              <w:top w:val="single" w:sz="4" w:space="0" w:color="000000"/>
              <w:bottom w:val="nil"/>
            </w:tcBorders>
          </w:tcPr>
          <w:p w14:paraId="193F0B1C" w14:textId="77777777" w:rsidR="00D92626" w:rsidRPr="00494E02" w:rsidRDefault="00D92626" w:rsidP="00D92626">
            <w:pPr>
              <w:pStyle w:val="TableText"/>
              <w:jc w:val="right"/>
            </w:pPr>
          </w:p>
        </w:tc>
        <w:tc>
          <w:tcPr>
            <w:tcW w:w="476" w:type="pct"/>
            <w:tcBorders>
              <w:top w:val="single" w:sz="4" w:space="0" w:color="000000"/>
              <w:bottom w:val="nil"/>
            </w:tcBorders>
          </w:tcPr>
          <w:p w14:paraId="2299F535" w14:textId="77777777" w:rsidR="00D92626" w:rsidRPr="00494E02" w:rsidRDefault="00D92626" w:rsidP="00D92626">
            <w:pPr>
              <w:pStyle w:val="TableText"/>
              <w:jc w:val="right"/>
            </w:pPr>
          </w:p>
        </w:tc>
        <w:tc>
          <w:tcPr>
            <w:tcW w:w="195" w:type="pct"/>
            <w:tcBorders>
              <w:top w:val="single" w:sz="4" w:space="0" w:color="000000"/>
              <w:bottom w:val="nil"/>
            </w:tcBorders>
          </w:tcPr>
          <w:p w14:paraId="0760C966" w14:textId="77777777" w:rsidR="00D92626" w:rsidRPr="00494E02" w:rsidRDefault="00D92626" w:rsidP="00D92626">
            <w:pPr>
              <w:pStyle w:val="TableText"/>
              <w:jc w:val="right"/>
            </w:pPr>
          </w:p>
        </w:tc>
        <w:tc>
          <w:tcPr>
            <w:tcW w:w="358" w:type="pct"/>
            <w:tcBorders>
              <w:top w:val="single" w:sz="4" w:space="0" w:color="000000"/>
              <w:bottom w:val="nil"/>
            </w:tcBorders>
          </w:tcPr>
          <w:p w14:paraId="271B0B0C" w14:textId="77777777" w:rsidR="00D92626" w:rsidRPr="00494E02" w:rsidRDefault="00D92626" w:rsidP="00D92626">
            <w:pPr>
              <w:pStyle w:val="TableText"/>
              <w:jc w:val="right"/>
            </w:pPr>
          </w:p>
        </w:tc>
        <w:tc>
          <w:tcPr>
            <w:tcW w:w="476" w:type="pct"/>
            <w:tcBorders>
              <w:top w:val="single" w:sz="4" w:space="0" w:color="000000"/>
              <w:bottom w:val="nil"/>
            </w:tcBorders>
          </w:tcPr>
          <w:p w14:paraId="53839FA7" w14:textId="77777777" w:rsidR="00D92626" w:rsidRPr="00494E02" w:rsidRDefault="00D92626" w:rsidP="00D92626">
            <w:pPr>
              <w:pStyle w:val="TableText"/>
              <w:jc w:val="right"/>
            </w:pPr>
          </w:p>
        </w:tc>
        <w:tc>
          <w:tcPr>
            <w:tcW w:w="221" w:type="pct"/>
            <w:tcBorders>
              <w:top w:val="single" w:sz="4" w:space="0" w:color="000000"/>
              <w:bottom w:val="nil"/>
            </w:tcBorders>
          </w:tcPr>
          <w:p w14:paraId="7B90B0C4" w14:textId="77777777" w:rsidR="00D92626" w:rsidRPr="00494E02" w:rsidRDefault="00D92626" w:rsidP="00D92626">
            <w:pPr>
              <w:pStyle w:val="TableText"/>
              <w:jc w:val="right"/>
            </w:pPr>
          </w:p>
        </w:tc>
        <w:tc>
          <w:tcPr>
            <w:tcW w:w="363" w:type="pct"/>
            <w:tcBorders>
              <w:top w:val="single" w:sz="4" w:space="0" w:color="000000"/>
              <w:bottom w:val="nil"/>
            </w:tcBorders>
          </w:tcPr>
          <w:p w14:paraId="78DA4D01" w14:textId="77777777" w:rsidR="00D92626" w:rsidRPr="00494E02" w:rsidRDefault="00D92626" w:rsidP="00D92626">
            <w:pPr>
              <w:pStyle w:val="TableText"/>
              <w:jc w:val="right"/>
            </w:pPr>
          </w:p>
        </w:tc>
        <w:tc>
          <w:tcPr>
            <w:tcW w:w="476" w:type="pct"/>
            <w:tcBorders>
              <w:top w:val="single" w:sz="4" w:space="0" w:color="000000"/>
              <w:bottom w:val="nil"/>
            </w:tcBorders>
          </w:tcPr>
          <w:p w14:paraId="69C91EAA" w14:textId="77777777" w:rsidR="00D92626" w:rsidRPr="00494E02" w:rsidRDefault="00D92626" w:rsidP="00D92626">
            <w:pPr>
              <w:pStyle w:val="TableText"/>
              <w:jc w:val="right"/>
            </w:pPr>
          </w:p>
        </w:tc>
        <w:tc>
          <w:tcPr>
            <w:tcW w:w="231" w:type="pct"/>
            <w:tcBorders>
              <w:top w:val="single" w:sz="4" w:space="0" w:color="000000"/>
              <w:bottom w:val="nil"/>
            </w:tcBorders>
          </w:tcPr>
          <w:p w14:paraId="63AA50F9" w14:textId="77777777" w:rsidR="00D92626" w:rsidRPr="00494E02" w:rsidRDefault="00D92626" w:rsidP="00D92626">
            <w:pPr>
              <w:pStyle w:val="TableText"/>
              <w:jc w:val="right"/>
            </w:pPr>
          </w:p>
        </w:tc>
        <w:tc>
          <w:tcPr>
            <w:tcW w:w="409" w:type="pct"/>
            <w:tcBorders>
              <w:top w:val="single" w:sz="4" w:space="0" w:color="000000"/>
              <w:bottom w:val="nil"/>
            </w:tcBorders>
          </w:tcPr>
          <w:p w14:paraId="17F14BE8" w14:textId="77777777" w:rsidR="00D92626" w:rsidRPr="00494E02" w:rsidRDefault="00D92626" w:rsidP="00D92626">
            <w:pPr>
              <w:pStyle w:val="TableText"/>
              <w:jc w:val="right"/>
            </w:pPr>
          </w:p>
        </w:tc>
        <w:tc>
          <w:tcPr>
            <w:tcW w:w="502" w:type="pct"/>
            <w:tcBorders>
              <w:top w:val="single" w:sz="4" w:space="0" w:color="000000"/>
              <w:bottom w:val="nil"/>
            </w:tcBorders>
          </w:tcPr>
          <w:p w14:paraId="1EF9C8E4" w14:textId="77777777" w:rsidR="00D92626" w:rsidRPr="00494E02" w:rsidRDefault="00D92626" w:rsidP="00D92626">
            <w:pPr>
              <w:pStyle w:val="TableText"/>
              <w:jc w:val="right"/>
            </w:pPr>
          </w:p>
        </w:tc>
      </w:tr>
      <w:tr w:rsidR="00D6757C" w:rsidRPr="00B95AF7" w14:paraId="7CF8E5AA" w14:textId="77777777" w:rsidTr="00D6757C">
        <w:trPr>
          <w:cantSplit/>
        </w:trPr>
        <w:tc>
          <w:tcPr>
            <w:tcW w:w="709" w:type="pct"/>
            <w:tcBorders>
              <w:top w:val="nil"/>
            </w:tcBorders>
          </w:tcPr>
          <w:p w14:paraId="67205EBC" w14:textId="77777777" w:rsidR="00D92626" w:rsidRPr="00DE7D1D" w:rsidRDefault="00D92626" w:rsidP="00D92626">
            <w:pPr>
              <w:pStyle w:val="TableText"/>
              <w:rPr>
                <w:bCs/>
                <w:color w:val="000000" w:themeColor="text1"/>
              </w:rPr>
            </w:pPr>
            <w:r w:rsidRPr="00DE7D1D">
              <w:rPr>
                <w:bCs/>
                <w:color w:val="000000" w:themeColor="text1"/>
              </w:rPr>
              <w:t>Male 18</w:t>
            </w:r>
            <w:r>
              <w:rPr>
                <w:bCs/>
                <w:color w:val="000000" w:themeColor="text1"/>
              </w:rPr>
              <w:t>–</w:t>
            </w:r>
            <w:r w:rsidRPr="00DE7D1D">
              <w:rPr>
                <w:bCs/>
                <w:color w:val="000000" w:themeColor="text1"/>
              </w:rPr>
              <w:t>37</w:t>
            </w:r>
          </w:p>
        </w:tc>
        <w:tc>
          <w:tcPr>
            <w:tcW w:w="240" w:type="pct"/>
            <w:tcBorders>
              <w:top w:val="nil"/>
            </w:tcBorders>
          </w:tcPr>
          <w:p w14:paraId="5FDF2E88" w14:textId="77777777" w:rsidR="00D92626" w:rsidRPr="00DE7D1D" w:rsidRDefault="00D92626" w:rsidP="00D92626">
            <w:pPr>
              <w:pStyle w:val="TableText"/>
              <w:jc w:val="right"/>
            </w:pPr>
            <w:r w:rsidRPr="00DE7D1D">
              <w:t>761</w:t>
            </w:r>
          </w:p>
        </w:tc>
        <w:tc>
          <w:tcPr>
            <w:tcW w:w="344" w:type="pct"/>
            <w:tcBorders>
              <w:top w:val="nil"/>
            </w:tcBorders>
          </w:tcPr>
          <w:p w14:paraId="10090840" w14:textId="77777777" w:rsidR="00D92626" w:rsidRPr="00DE7D1D" w:rsidRDefault="00D92626" w:rsidP="00D92626">
            <w:pPr>
              <w:pStyle w:val="TableText"/>
              <w:jc w:val="right"/>
            </w:pPr>
            <w:r w:rsidRPr="00DE7D1D">
              <w:t>8681</w:t>
            </w:r>
          </w:p>
        </w:tc>
        <w:tc>
          <w:tcPr>
            <w:tcW w:w="476" w:type="pct"/>
            <w:tcBorders>
              <w:top w:val="nil"/>
            </w:tcBorders>
          </w:tcPr>
          <w:p w14:paraId="458E47DB" w14:textId="77777777" w:rsidR="00D92626" w:rsidRPr="00DE7D1D" w:rsidRDefault="00D92626" w:rsidP="00D92626">
            <w:pPr>
              <w:pStyle w:val="TableText"/>
              <w:jc w:val="right"/>
            </w:pPr>
            <w:r w:rsidRPr="00DE7D1D">
              <w:t>74.9 (71.5,</w:t>
            </w:r>
            <w:r>
              <w:t xml:space="preserve"> </w:t>
            </w:r>
            <w:r w:rsidRPr="00DE7D1D">
              <w:t>77.9)</w:t>
            </w:r>
          </w:p>
        </w:tc>
        <w:tc>
          <w:tcPr>
            <w:tcW w:w="195" w:type="pct"/>
            <w:tcBorders>
              <w:top w:val="nil"/>
            </w:tcBorders>
          </w:tcPr>
          <w:p w14:paraId="7E6776C5" w14:textId="77777777" w:rsidR="00D92626" w:rsidRPr="00DE7D1D" w:rsidRDefault="00D92626" w:rsidP="00D92626">
            <w:pPr>
              <w:pStyle w:val="TableText"/>
              <w:jc w:val="right"/>
            </w:pPr>
            <w:r w:rsidRPr="00DE7D1D">
              <w:t>260</w:t>
            </w:r>
          </w:p>
        </w:tc>
        <w:tc>
          <w:tcPr>
            <w:tcW w:w="358" w:type="pct"/>
            <w:tcBorders>
              <w:top w:val="nil"/>
            </w:tcBorders>
          </w:tcPr>
          <w:p w14:paraId="62445814" w14:textId="77777777" w:rsidR="00D92626" w:rsidRPr="00DE7D1D" w:rsidRDefault="00D92626" w:rsidP="00D92626">
            <w:pPr>
              <w:pStyle w:val="TableText"/>
              <w:jc w:val="right"/>
            </w:pPr>
            <w:r w:rsidRPr="00DE7D1D">
              <w:t>2875</w:t>
            </w:r>
          </w:p>
        </w:tc>
        <w:tc>
          <w:tcPr>
            <w:tcW w:w="476" w:type="pct"/>
            <w:tcBorders>
              <w:top w:val="nil"/>
            </w:tcBorders>
          </w:tcPr>
          <w:p w14:paraId="72F3E27C" w14:textId="77777777" w:rsidR="00D92626" w:rsidRPr="00DE7D1D" w:rsidRDefault="00D92626" w:rsidP="00D92626">
            <w:pPr>
              <w:pStyle w:val="TableText"/>
              <w:jc w:val="right"/>
            </w:pPr>
            <w:r w:rsidRPr="00DE7D1D">
              <w:t>24.8 (21.8,</w:t>
            </w:r>
            <w:r>
              <w:t xml:space="preserve"> </w:t>
            </w:r>
            <w:r w:rsidRPr="00DE7D1D">
              <w:t>28.1)</w:t>
            </w:r>
          </w:p>
        </w:tc>
        <w:tc>
          <w:tcPr>
            <w:tcW w:w="221" w:type="pct"/>
            <w:tcBorders>
              <w:top w:val="nil"/>
            </w:tcBorders>
          </w:tcPr>
          <w:p w14:paraId="1144AC7B" w14:textId="77777777" w:rsidR="00D92626" w:rsidRPr="00DE7D1D" w:rsidRDefault="00D92626" w:rsidP="00D92626">
            <w:pPr>
              <w:pStyle w:val="TableText"/>
              <w:jc w:val="right"/>
            </w:pPr>
            <w:r w:rsidRPr="00DE7D1D">
              <w:t>1361</w:t>
            </w:r>
          </w:p>
        </w:tc>
        <w:tc>
          <w:tcPr>
            <w:tcW w:w="363" w:type="pct"/>
            <w:tcBorders>
              <w:top w:val="nil"/>
            </w:tcBorders>
          </w:tcPr>
          <w:p w14:paraId="1299A0DC" w14:textId="77777777" w:rsidR="00D92626" w:rsidRPr="00DE7D1D" w:rsidRDefault="00D92626" w:rsidP="00D92626">
            <w:pPr>
              <w:pStyle w:val="TableText"/>
              <w:jc w:val="right"/>
            </w:pPr>
            <w:r w:rsidRPr="00DE7D1D">
              <w:t>19,041</w:t>
            </w:r>
          </w:p>
        </w:tc>
        <w:tc>
          <w:tcPr>
            <w:tcW w:w="476" w:type="pct"/>
            <w:tcBorders>
              <w:top w:val="nil"/>
            </w:tcBorders>
          </w:tcPr>
          <w:p w14:paraId="2ABCD7EA" w14:textId="77777777" w:rsidR="00D92626" w:rsidRPr="00DE7D1D" w:rsidRDefault="00D92626" w:rsidP="00D92626">
            <w:pPr>
              <w:pStyle w:val="TableText"/>
              <w:jc w:val="right"/>
            </w:pPr>
            <w:r w:rsidRPr="00DE7D1D">
              <w:t>78.4 (71.4,</w:t>
            </w:r>
            <w:r>
              <w:t xml:space="preserve"> </w:t>
            </w:r>
            <w:r w:rsidRPr="00DE7D1D">
              <w:t>84.1)</w:t>
            </w:r>
          </w:p>
        </w:tc>
        <w:tc>
          <w:tcPr>
            <w:tcW w:w="231" w:type="pct"/>
            <w:tcBorders>
              <w:top w:val="nil"/>
            </w:tcBorders>
          </w:tcPr>
          <w:p w14:paraId="29B3E421" w14:textId="77777777" w:rsidR="00D92626" w:rsidRPr="00DE7D1D" w:rsidRDefault="00D92626" w:rsidP="00D92626">
            <w:pPr>
              <w:pStyle w:val="TableText"/>
              <w:jc w:val="right"/>
            </w:pPr>
            <w:r w:rsidRPr="00DE7D1D">
              <w:t>368</w:t>
            </w:r>
          </w:p>
        </w:tc>
        <w:tc>
          <w:tcPr>
            <w:tcW w:w="409" w:type="pct"/>
            <w:tcBorders>
              <w:top w:val="nil"/>
            </w:tcBorders>
          </w:tcPr>
          <w:p w14:paraId="7543A1B3" w14:textId="77777777" w:rsidR="00D92626" w:rsidRPr="00DE7D1D" w:rsidRDefault="00D92626" w:rsidP="00D92626">
            <w:pPr>
              <w:pStyle w:val="TableText"/>
              <w:jc w:val="right"/>
            </w:pPr>
            <w:r w:rsidRPr="00DE7D1D">
              <w:t>4967</w:t>
            </w:r>
          </w:p>
        </w:tc>
        <w:tc>
          <w:tcPr>
            <w:tcW w:w="502" w:type="pct"/>
            <w:tcBorders>
              <w:top w:val="nil"/>
            </w:tcBorders>
          </w:tcPr>
          <w:p w14:paraId="3E9F3674" w14:textId="77777777" w:rsidR="00D92626" w:rsidRPr="00DE7D1D" w:rsidRDefault="00D92626" w:rsidP="00D92626">
            <w:pPr>
              <w:pStyle w:val="TableText"/>
              <w:jc w:val="right"/>
            </w:pPr>
            <w:r w:rsidRPr="00DE7D1D">
              <w:t>20.5 (14.9,</w:t>
            </w:r>
            <w:r>
              <w:t xml:space="preserve"> </w:t>
            </w:r>
            <w:r w:rsidRPr="00DE7D1D">
              <w:t>27.5)</w:t>
            </w:r>
          </w:p>
        </w:tc>
      </w:tr>
      <w:tr w:rsidR="00D92626" w:rsidRPr="00B95AF7" w14:paraId="31B719BA"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Pr>
          <w:p w14:paraId="738FAFAE" w14:textId="77777777" w:rsidR="00D92626" w:rsidRPr="00DE7D1D" w:rsidRDefault="00D92626" w:rsidP="00D92626">
            <w:pPr>
              <w:pStyle w:val="TableText"/>
              <w:rPr>
                <w:bCs/>
                <w:color w:val="000000" w:themeColor="text1"/>
              </w:rPr>
            </w:pPr>
            <w:r w:rsidRPr="00DE7D1D">
              <w:rPr>
                <w:bCs/>
                <w:color w:val="000000" w:themeColor="text1"/>
              </w:rPr>
              <w:t>Male 38</w:t>
            </w:r>
            <w:r>
              <w:rPr>
                <w:bCs/>
                <w:color w:val="000000" w:themeColor="text1"/>
              </w:rPr>
              <w:t>+</w:t>
            </w:r>
          </w:p>
        </w:tc>
        <w:tc>
          <w:tcPr>
            <w:tcW w:w="240" w:type="pct"/>
          </w:tcPr>
          <w:p w14:paraId="6A53890A" w14:textId="77777777" w:rsidR="00D92626" w:rsidRPr="00DE7D1D" w:rsidRDefault="00D92626" w:rsidP="00D92626">
            <w:pPr>
              <w:pStyle w:val="TableText"/>
              <w:jc w:val="right"/>
            </w:pPr>
            <w:r w:rsidRPr="00DE7D1D">
              <w:t>1528</w:t>
            </w:r>
          </w:p>
        </w:tc>
        <w:tc>
          <w:tcPr>
            <w:tcW w:w="344" w:type="pct"/>
          </w:tcPr>
          <w:p w14:paraId="21BD34F4" w14:textId="77777777" w:rsidR="00D92626" w:rsidRPr="00DE7D1D" w:rsidRDefault="00D92626" w:rsidP="00D92626">
            <w:pPr>
              <w:pStyle w:val="TableText"/>
              <w:jc w:val="right"/>
            </w:pPr>
            <w:r w:rsidRPr="00DE7D1D">
              <w:t>7666</w:t>
            </w:r>
          </w:p>
        </w:tc>
        <w:tc>
          <w:tcPr>
            <w:tcW w:w="476" w:type="pct"/>
          </w:tcPr>
          <w:p w14:paraId="72A532D4" w14:textId="77777777" w:rsidR="00D92626" w:rsidRPr="00DE7D1D" w:rsidRDefault="00D92626" w:rsidP="00D92626">
            <w:pPr>
              <w:pStyle w:val="TableText"/>
              <w:jc w:val="right"/>
            </w:pPr>
            <w:r w:rsidRPr="00DE7D1D">
              <w:t>78.3 (76.1,</w:t>
            </w:r>
            <w:r>
              <w:t xml:space="preserve"> </w:t>
            </w:r>
            <w:r w:rsidRPr="00DE7D1D">
              <w:t>80.4)</w:t>
            </w:r>
          </w:p>
        </w:tc>
        <w:tc>
          <w:tcPr>
            <w:tcW w:w="195" w:type="pct"/>
          </w:tcPr>
          <w:p w14:paraId="469BE614" w14:textId="77777777" w:rsidR="00D92626" w:rsidRPr="00DE7D1D" w:rsidRDefault="00D92626" w:rsidP="00D92626">
            <w:pPr>
              <w:pStyle w:val="TableText"/>
              <w:jc w:val="right"/>
            </w:pPr>
            <w:r w:rsidRPr="00DE7D1D">
              <w:t>397</w:t>
            </w:r>
          </w:p>
        </w:tc>
        <w:tc>
          <w:tcPr>
            <w:tcW w:w="358" w:type="pct"/>
          </w:tcPr>
          <w:p w14:paraId="65D658DE" w14:textId="77777777" w:rsidR="00D92626" w:rsidRPr="00DE7D1D" w:rsidRDefault="00D92626" w:rsidP="00D92626">
            <w:pPr>
              <w:pStyle w:val="TableText"/>
              <w:jc w:val="right"/>
            </w:pPr>
            <w:r w:rsidRPr="00DE7D1D">
              <w:t>2038</w:t>
            </w:r>
          </w:p>
        </w:tc>
        <w:tc>
          <w:tcPr>
            <w:tcW w:w="476" w:type="pct"/>
          </w:tcPr>
          <w:p w14:paraId="6B1C210D" w14:textId="77777777" w:rsidR="00D92626" w:rsidRPr="00DE7D1D" w:rsidRDefault="00D92626" w:rsidP="00D92626">
            <w:pPr>
              <w:pStyle w:val="TableText"/>
              <w:jc w:val="right"/>
            </w:pPr>
            <w:r w:rsidRPr="00DE7D1D">
              <w:t>20.8 (18.8,</w:t>
            </w:r>
            <w:r>
              <w:t xml:space="preserve"> </w:t>
            </w:r>
            <w:r w:rsidRPr="00DE7D1D">
              <w:t>23.0)</w:t>
            </w:r>
          </w:p>
        </w:tc>
        <w:tc>
          <w:tcPr>
            <w:tcW w:w="221" w:type="pct"/>
          </w:tcPr>
          <w:p w14:paraId="312CD8D9" w14:textId="77777777" w:rsidR="00D92626" w:rsidRPr="00DE7D1D" w:rsidRDefault="00D92626" w:rsidP="00D92626">
            <w:pPr>
              <w:pStyle w:val="TableText"/>
              <w:jc w:val="right"/>
            </w:pPr>
            <w:r w:rsidRPr="00DE7D1D">
              <w:t>3368</w:t>
            </w:r>
          </w:p>
        </w:tc>
        <w:tc>
          <w:tcPr>
            <w:tcW w:w="363" w:type="pct"/>
          </w:tcPr>
          <w:p w14:paraId="2087D0AE" w14:textId="77777777" w:rsidR="00D92626" w:rsidRPr="00DE7D1D" w:rsidRDefault="00D92626" w:rsidP="00D92626">
            <w:pPr>
              <w:pStyle w:val="TableText"/>
              <w:jc w:val="right"/>
            </w:pPr>
            <w:r w:rsidRPr="00DE7D1D">
              <w:t>19,288</w:t>
            </w:r>
          </w:p>
        </w:tc>
        <w:tc>
          <w:tcPr>
            <w:tcW w:w="476" w:type="pct"/>
          </w:tcPr>
          <w:p w14:paraId="155D6081" w14:textId="77777777" w:rsidR="00D92626" w:rsidRPr="00DE7D1D" w:rsidRDefault="00D92626" w:rsidP="00D92626">
            <w:pPr>
              <w:pStyle w:val="TableText"/>
              <w:jc w:val="right"/>
            </w:pPr>
            <w:r w:rsidRPr="00DE7D1D">
              <w:t>87.6 (85.7,</w:t>
            </w:r>
            <w:r>
              <w:t xml:space="preserve"> </w:t>
            </w:r>
            <w:r w:rsidRPr="00DE7D1D">
              <w:t>89.4)</w:t>
            </w:r>
          </w:p>
        </w:tc>
        <w:tc>
          <w:tcPr>
            <w:tcW w:w="231" w:type="pct"/>
          </w:tcPr>
          <w:p w14:paraId="3A4BFEAB" w14:textId="77777777" w:rsidR="00D92626" w:rsidRPr="00DE7D1D" w:rsidRDefault="00D92626" w:rsidP="00D92626">
            <w:pPr>
              <w:pStyle w:val="TableText"/>
              <w:jc w:val="right"/>
            </w:pPr>
            <w:r w:rsidRPr="00DE7D1D">
              <w:t>622</w:t>
            </w:r>
          </w:p>
        </w:tc>
        <w:tc>
          <w:tcPr>
            <w:tcW w:w="409" w:type="pct"/>
          </w:tcPr>
          <w:p w14:paraId="1075BCBE" w14:textId="77777777" w:rsidR="00D92626" w:rsidRPr="00DE7D1D" w:rsidRDefault="00D92626" w:rsidP="00D92626">
            <w:pPr>
              <w:pStyle w:val="TableText"/>
              <w:jc w:val="right"/>
            </w:pPr>
            <w:r w:rsidRPr="00DE7D1D">
              <w:t>2504</w:t>
            </w:r>
          </w:p>
        </w:tc>
        <w:tc>
          <w:tcPr>
            <w:tcW w:w="502" w:type="pct"/>
          </w:tcPr>
          <w:p w14:paraId="0FD6779A" w14:textId="77777777" w:rsidR="00D92626" w:rsidRPr="00DE7D1D" w:rsidRDefault="00D92626" w:rsidP="00D92626">
            <w:pPr>
              <w:pStyle w:val="TableText"/>
              <w:jc w:val="right"/>
            </w:pPr>
            <w:r w:rsidRPr="00DE7D1D">
              <w:t>11.4 (10.0,</w:t>
            </w:r>
            <w:r>
              <w:t xml:space="preserve"> </w:t>
            </w:r>
            <w:r w:rsidRPr="00DE7D1D">
              <w:t>13.0)</w:t>
            </w:r>
          </w:p>
        </w:tc>
      </w:tr>
      <w:tr w:rsidR="00D6757C" w:rsidRPr="00B95AF7" w14:paraId="1DCF45C2" w14:textId="77777777" w:rsidTr="00D6757C">
        <w:trPr>
          <w:cantSplit/>
        </w:trPr>
        <w:tc>
          <w:tcPr>
            <w:tcW w:w="709" w:type="pct"/>
          </w:tcPr>
          <w:p w14:paraId="5862B2AF" w14:textId="77777777" w:rsidR="00D92626" w:rsidRPr="00DE7D1D" w:rsidRDefault="00D92626" w:rsidP="00D92626">
            <w:pPr>
              <w:pStyle w:val="TableText"/>
              <w:rPr>
                <w:bCs/>
                <w:color w:val="000000" w:themeColor="text1"/>
              </w:rPr>
            </w:pPr>
            <w:r w:rsidRPr="00DE7D1D">
              <w:rPr>
                <w:bCs/>
                <w:color w:val="000000" w:themeColor="text1"/>
              </w:rPr>
              <w:t>Female 18</w:t>
            </w:r>
            <w:r>
              <w:rPr>
                <w:bCs/>
                <w:color w:val="000000" w:themeColor="text1"/>
              </w:rPr>
              <w:t>–</w:t>
            </w:r>
            <w:r w:rsidRPr="00DE7D1D">
              <w:rPr>
                <w:bCs/>
                <w:color w:val="000000" w:themeColor="text1"/>
              </w:rPr>
              <w:t>37</w:t>
            </w:r>
          </w:p>
        </w:tc>
        <w:tc>
          <w:tcPr>
            <w:tcW w:w="240" w:type="pct"/>
          </w:tcPr>
          <w:p w14:paraId="5D6DD3AA" w14:textId="77777777" w:rsidR="00D92626" w:rsidRPr="00DE7D1D" w:rsidRDefault="00D92626" w:rsidP="00D92626">
            <w:pPr>
              <w:pStyle w:val="TableText"/>
              <w:jc w:val="right"/>
            </w:pPr>
            <w:r w:rsidRPr="00DE7D1D">
              <w:t>189</w:t>
            </w:r>
          </w:p>
        </w:tc>
        <w:tc>
          <w:tcPr>
            <w:tcW w:w="344" w:type="pct"/>
          </w:tcPr>
          <w:p w14:paraId="595E16C5" w14:textId="77777777" w:rsidR="00D92626" w:rsidRPr="00DE7D1D" w:rsidRDefault="00D92626" w:rsidP="00D92626">
            <w:pPr>
              <w:pStyle w:val="TableText"/>
              <w:jc w:val="right"/>
            </w:pPr>
            <w:r w:rsidRPr="00DE7D1D">
              <w:t>1363</w:t>
            </w:r>
          </w:p>
        </w:tc>
        <w:tc>
          <w:tcPr>
            <w:tcW w:w="476" w:type="pct"/>
          </w:tcPr>
          <w:p w14:paraId="099C60A2" w14:textId="77777777" w:rsidR="00D92626" w:rsidRPr="00DE7D1D" w:rsidRDefault="00D92626" w:rsidP="00D92626">
            <w:pPr>
              <w:pStyle w:val="TableText"/>
              <w:jc w:val="right"/>
            </w:pPr>
            <w:r w:rsidRPr="00DE7D1D">
              <w:t>63.6 (57.2,</w:t>
            </w:r>
            <w:r>
              <w:t xml:space="preserve"> </w:t>
            </w:r>
            <w:r w:rsidRPr="00DE7D1D">
              <w:t>69.5)</w:t>
            </w:r>
          </w:p>
        </w:tc>
        <w:tc>
          <w:tcPr>
            <w:tcW w:w="195" w:type="pct"/>
          </w:tcPr>
          <w:p w14:paraId="4F33CAE4" w14:textId="77777777" w:rsidR="00D92626" w:rsidRPr="00DE7D1D" w:rsidRDefault="00D92626" w:rsidP="00D92626">
            <w:pPr>
              <w:pStyle w:val="TableText"/>
              <w:jc w:val="right"/>
            </w:pPr>
            <w:r w:rsidRPr="00DE7D1D">
              <w:t>116</w:t>
            </w:r>
          </w:p>
        </w:tc>
        <w:tc>
          <w:tcPr>
            <w:tcW w:w="358" w:type="pct"/>
          </w:tcPr>
          <w:p w14:paraId="10FB74D5" w14:textId="77777777" w:rsidR="00D92626" w:rsidRPr="00DE7D1D" w:rsidRDefault="00D92626" w:rsidP="00D92626">
            <w:pPr>
              <w:pStyle w:val="TableText"/>
              <w:jc w:val="right"/>
            </w:pPr>
            <w:r w:rsidRPr="00DE7D1D">
              <w:t>771</w:t>
            </w:r>
          </w:p>
        </w:tc>
        <w:tc>
          <w:tcPr>
            <w:tcW w:w="476" w:type="pct"/>
          </w:tcPr>
          <w:p w14:paraId="19BDC75A" w14:textId="77777777" w:rsidR="00D92626" w:rsidRPr="00DE7D1D" w:rsidRDefault="00D92626" w:rsidP="00D92626">
            <w:pPr>
              <w:pStyle w:val="TableText"/>
              <w:jc w:val="right"/>
            </w:pPr>
            <w:r w:rsidRPr="00DE7D1D">
              <w:t>36.0 (30.0,</w:t>
            </w:r>
            <w:r>
              <w:t xml:space="preserve"> </w:t>
            </w:r>
            <w:r w:rsidRPr="00DE7D1D">
              <w:t>42.4)</w:t>
            </w:r>
          </w:p>
        </w:tc>
        <w:tc>
          <w:tcPr>
            <w:tcW w:w="221" w:type="pct"/>
          </w:tcPr>
          <w:p w14:paraId="20959579" w14:textId="77777777" w:rsidR="00D92626" w:rsidRPr="00DE7D1D" w:rsidRDefault="00D92626" w:rsidP="00D92626">
            <w:pPr>
              <w:pStyle w:val="TableText"/>
              <w:jc w:val="right"/>
            </w:pPr>
            <w:r w:rsidRPr="00DE7D1D">
              <w:t>551</w:t>
            </w:r>
          </w:p>
        </w:tc>
        <w:tc>
          <w:tcPr>
            <w:tcW w:w="363" w:type="pct"/>
          </w:tcPr>
          <w:p w14:paraId="25940B44" w14:textId="77777777" w:rsidR="00D92626" w:rsidRPr="00DE7D1D" w:rsidRDefault="00D92626" w:rsidP="00D92626">
            <w:pPr>
              <w:pStyle w:val="TableText"/>
              <w:jc w:val="right"/>
            </w:pPr>
            <w:r w:rsidRPr="00DE7D1D">
              <w:t>1921</w:t>
            </w:r>
          </w:p>
        </w:tc>
        <w:tc>
          <w:tcPr>
            <w:tcW w:w="476" w:type="pct"/>
          </w:tcPr>
          <w:p w14:paraId="3B80EE0B" w14:textId="77777777" w:rsidR="00D92626" w:rsidRPr="00DE7D1D" w:rsidRDefault="00D92626" w:rsidP="00D92626">
            <w:pPr>
              <w:pStyle w:val="TableText"/>
              <w:jc w:val="right"/>
            </w:pPr>
            <w:r w:rsidRPr="00DE7D1D">
              <w:t>67.8 (64.3,</w:t>
            </w:r>
            <w:r>
              <w:t xml:space="preserve"> </w:t>
            </w:r>
            <w:r w:rsidRPr="00DE7D1D">
              <w:t>71.0)</w:t>
            </w:r>
          </w:p>
        </w:tc>
        <w:tc>
          <w:tcPr>
            <w:tcW w:w="231" w:type="pct"/>
          </w:tcPr>
          <w:p w14:paraId="5C38FAA1" w14:textId="77777777" w:rsidR="00D92626" w:rsidRPr="00DE7D1D" w:rsidRDefault="00D92626" w:rsidP="00D92626">
            <w:pPr>
              <w:pStyle w:val="TableText"/>
              <w:jc w:val="right"/>
            </w:pPr>
            <w:r w:rsidRPr="00DE7D1D">
              <w:t>257</w:t>
            </w:r>
          </w:p>
        </w:tc>
        <w:tc>
          <w:tcPr>
            <w:tcW w:w="409" w:type="pct"/>
          </w:tcPr>
          <w:p w14:paraId="10F3DC24" w14:textId="77777777" w:rsidR="00D92626" w:rsidRPr="00DE7D1D" w:rsidRDefault="00D92626" w:rsidP="00D92626">
            <w:pPr>
              <w:pStyle w:val="TableText"/>
              <w:jc w:val="right"/>
            </w:pPr>
            <w:r w:rsidRPr="00DE7D1D">
              <w:t>880</w:t>
            </w:r>
          </w:p>
        </w:tc>
        <w:tc>
          <w:tcPr>
            <w:tcW w:w="502" w:type="pct"/>
          </w:tcPr>
          <w:p w14:paraId="765108E6" w14:textId="77777777" w:rsidR="00D92626" w:rsidRPr="00DE7D1D" w:rsidRDefault="00D92626" w:rsidP="00D92626">
            <w:pPr>
              <w:pStyle w:val="TableText"/>
              <w:jc w:val="right"/>
            </w:pPr>
            <w:r w:rsidRPr="00DE7D1D">
              <w:t>31.0 (27.8,</w:t>
            </w:r>
            <w:r>
              <w:t xml:space="preserve"> </w:t>
            </w:r>
            <w:r w:rsidRPr="00DE7D1D">
              <w:t>34.5)</w:t>
            </w:r>
          </w:p>
        </w:tc>
      </w:tr>
      <w:tr w:rsidR="00D92626" w:rsidRPr="00B95AF7" w14:paraId="6D95BE18"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709" w:type="pct"/>
          </w:tcPr>
          <w:p w14:paraId="33B3F407" w14:textId="77777777" w:rsidR="00D92626" w:rsidRPr="00DE7D1D" w:rsidRDefault="00D92626" w:rsidP="00D92626">
            <w:pPr>
              <w:pStyle w:val="TableText"/>
              <w:rPr>
                <w:bCs/>
                <w:color w:val="000000" w:themeColor="text1"/>
              </w:rPr>
            </w:pPr>
            <w:r w:rsidRPr="00DE7D1D">
              <w:rPr>
                <w:bCs/>
                <w:color w:val="000000" w:themeColor="text1"/>
              </w:rPr>
              <w:t>Female 38</w:t>
            </w:r>
            <w:r>
              <w:rPr>
                <w:bCs/>
                <w:color w:val="000000" w:themeColor="text1"/>
              </w:rPr>
              <w:t>+</w:t>
            </w:r>
          </w:p>
        </w:tc>
        <w:tc>
          <w:tcPr>
            <w:tcW w:w="240" w:type="pct"/>
          </w:tcPr>
          <w:p w14:paraId="19A56E23" w14:textId="77777777" w:rsidR="00D92626" w:rsidRPr="00DE7D1D" w:rsidRDefault="00D92626" w:rsidP="00D92626">
            <w:pPr>
              <w:pStyle w:val="TableText"/>
              <w:jc w:val="right"/>
            </w:pPr>
            <w:r w:rsidRPr="00DE7D1D">
              <w:t>166</w:t>
            </w:r>
          </w:p>
        </w:tc>
        <w:tc>
          <w:tcPr>
            <w:tcW w:w="344" w:type="pct"/>
          </w:tcPr>
          <w:p w14:paraId="7A7EF407" w14:textId="77777777" w:rsidR="00D92626" w:rsidRPr="00DE7D1D" w:rsidRDefault="00D92626" w:rsidP="00D92626">
            <w:pPr>
              <w:pStyle w:val="TableText"/>
              <w:jc w:val="right"/>
            </w:pPr>
            <w:r w:rsidRPr="00DE7D1D">
              <w:t>732</w:t>
            </w:r>
          </w:p>
        </w:tc>
        <w:tc>
          <w:tcPr>
            <w:tcW w:w="476" w:type="pct"/>
          </w:tcPr>
          <w:p w14:paraId="73649D09" w14:textId="77777777" w:rsidR="00D92626" w:rsidRPr="00DE7D1D" w:rsidRDefault="00D92626" w:rsidP="00D92626">
            <w:pPr>
              <w:pStyle w:val="TableText"/>
              <w:jc w:val="right"/>
            </w:pPr>
            <w:r w:rsidRPr="00DE7D1D">
              <w:t>67.7 (61.0,</w:t>
            </w:r>
            <w:r>
              <w:t xml:space="preserve"> </w:t>
            </w:r>
            <w:r w:rsidRPr="00DE7D1D">
              <w:t>73.7)</w:t>
            </w:r>
          </w:p>
        </w:tc>
        <w:tc>
          <w:tcPr>
            <w:tcW w:w="195" w:type="pct"/>
          </w:tcPr>
          <w:p w14:paraId="75E96311" w14:textId="77777777" w:rsidR="00D92626" w:rsidRPr="00DE7D1D" w:rsidRDefault="00D92626" w:rsidP="00D92626">
            <w:pPr>
              <w:pStyle w:val="TableText"/>
              <w:jc w:val="right"/>
            </w:pPr>
            <w:r w:rsidRPr="00DE7D1D">
              <w:t>73</w:t>
            </w:r>
          </w:p>
        </w:tc>
        <w:tc>
          <w:tcPr>
            <w:tcW w:w="358" w:type="pct"/>
          </w:tcPr>
          <w:p w14:paraId="158A8CAC" w14:textId="77777777" w:rsidR="00D92626" w:rsidRPr="00DE7D1D" w:rsidRDefault="00D92626" w:rsidP="00D92626">
            <w:pPr>
              <w:pStyle w:val="TableText"/>
              <w:jc w:val="right"/>
            </w:pPr>
            <w:r w:rsidRPr="00DE7D1D">
              <w:t>337</w:t>
            </w:r>
          </w:p>
        </w:tc>
        <w:tc>
          <w:tcPr>
            <w:tcW w:w="476" w:type="pct"/>
          </w:tcPr>
          <w:p w14:paraId="7F4361F2" w14:textId="77777777" w:rsidR="00D92626" w:rsidRPr="00DE7D1D" w:rsidRDefault="00D92626" w:rsidP="00D92626">
            <w:pPr>
              <w:pStyle w:val="TableText"/>
              <w:jc w:val="right"/>
            </w:pPr>
            <w:r w:rsidRPr="00DE7D1D">
              <w:t>31.2 (25.3,</w:t>
            </w:r>
            <w:r>
              <w:t xml:space="preserve"> </w:t>
            </w:r>
            <w:r w:rsidRPr="00DE7D1D">
              <w:t>37.8)</w:t>
            </w:r>
          </w:p>
        </w:tc>
        <w:tc>
          <w:tcPr>
            <w:tcW w:w="221" w:type="pct"/>
          </w:tcPr>
          <w:p w14:paraId="57117B59" w14:textId="77777777" w:rsidR="00D92626" w:rsidRPr="00DE7D1D" w:rsidRDefault="00D92626" w:rsidP="00D92626">
            <w:pPr>
              <w:pStyle w:val="TableText"/>
              <w:jc w:val="right"/>
            </w:pPr>
            <w:r w:rsidRPr="00DE7D1D">
              <w:t>500</w:t>
            </w:r>
          </w:p>
        </w:tc>
        <w:tc>
          <w:tcPr>
            <w:tcW w:w="363" w:type="pct"/>
          </w:tcPr>
          <w:p w14:paraId="54B5D7AD" w14:textId="77777777" w:rsidR="00D92626" w:rsidRPr="00DE7D1D" w:rsidRDefault="00D92626" w:rsidP="00D92626">
            <w:pPr>
              <w:pStyle w:val="TableText"/>
              <w:jc w:val="right"/>
            </w:pPr>
            <w:r w:rsidRPr="00DE7D1D">
              <w:t>1429</w:t>
            </w:r>
          </w:p>
        </w:tc>
        <w:tc>
          <w:tcPr>
            <w:tcW w:w="476" w:type="pct"/>
          </w:tcPr>
          <w:p w14:paraId="5F1FF996" w14:textId="77777777" w:rsidR="00D92626" w:rsidRPr="00DE7D1D" w:rsidRDefault="00D92626" w:rsidP="00D92626">
            <w:pPr>
              <w:pStyle w:val="TableText"/>
              <w:jc w:val="right"/>
            </w:pPr>
            <w:r w:rsidRPr="00DE7D1D">
              <w:t>75.1 (71.9,</w:t>
            </w:r>
            <w:r>
              <w:t xml:space="preserve"> </w:t>
            </w:r>
            <w:r w:rsidRPr="00DE7D1D">
              <w:t>78.0)</w:t>
            </w:r>
          </w:p>
        </w:tc>
        <w:tc>
          <w:tcPr>
            <w:tcW w:w="231" w:type="pct"/>
          </w:tcPr>
          <w:p w14:paraId="68B6E55A" w14:textId="77777777" w:rsidR="00D92626" w:rsidRPr="00DE7D1D" w:rsidRDefault="00D92626" w:rsidP="00D92626">
            <w:pPr>
              <w:pStyle w:val="TableText"/>
              <w:jc w:val="right"/>
            </w:pPr>
            <w:r w:rsidRPr="00DE7D1D">
              <w:t>161</w:t>
            </w:r>
          </w:p>
        </w:tc>
        <w:tc>
          <w:tcPr>
            <w:tcW w:w="409" w:type="pct"/>
          </w:tcPr>
          <w:p w14:paraId="4B89A32F" w14:textId="77777777" w:rsidR="00D92626" w:rsidRPr="00DE7D1D" w:rsidRDefault="00D92626" w:rsidP="00D92626">
            <w:pPr>
              <w:pStyle w:val="TableText"/>
              <w:jc w:val="right"/>
            </w:pPr>
            <w:r w:rsidRPr="00DE7D1D">
              <w:t>473</w:t>
            </w:r>
          </w:p>
        </w:tc>
        <w:tc>
          <w:tcPr>
            <w:tcW w:w="502" w:type="pct"/>
          </w:tcPr>
          <w:p w14:paraId="7A4614B8" w14:textId="77777777" w:rsidR="00D92626" w:rsidRPr="00DE7D1D" w:rsidRDefault="00D92626" w:rsidP="00D92626">
            <w:pPr>
              <w:pStyle w:val="TableText"/>
              <w:jc w:val="right"/>
            </w:pPr>
            <w:r w:rsidRPr="00DE7D1D">
              <w:t>24.8 (21.9,</w:t>
            </w:r>
            <w:r>
              <w:t xml:space="preserve"> </w:t>
            </w:r>
            <w:r w:rsidRPr="00DE7D1D">
              <w:t>28.0)</w:t>
            </w:r>
          </w:p>
        </w:tc>
      </w:tr>
    </w:tbl>
    <w:p w14:paraId="24AA8440" w14:textId="77777777" w:rsidR="00D92626" w:rsidRPr="006A3EA0" w:rsidRDefault="00D92626" w:rsidP="00D92626">
      <w:pPr>
        <w:pStyle w:val="TableNotes"/>
      </w:pPr>
      <w:r w:rsidRPr="006A3EA0">
        <w:t>Notes</w:t>
      </w:r>
    </w:p>
    <w:p w14:paraId="3CA04386" w14:textId="77777777" w:rsidR="00D92626" w:rsidRDefault="00D92626" w:rsidP="00D92626">
      <w:pPr>
        <w:pStyle w:val="TableNotes"/>
      </w:pPr>
      <w:r w:rsidRPr="00DE7D1D">
        <w:t>Denominator: Entire cohort</w:t>
      </w:r>
      <w:r>
        <w:t>.</w:t>
      </w:r>
      <w:r w:rsidRPr="00DE7D1D">
        <w:t xml:space="preserve"> Probable 30-day disorder = PCL </w:t>
      </w:r>
      <w:r w:rsidRPr="00DE7D1D">
        <w:rPr>
          <w:rFonts w:hint="eastAsia"/>
        </w:rPr>
        <w:t>≥</w:t>
      </w:r>
      <w:r w:rsidRPr="00DE7D1D">
        <w:t xml:space="preserve"> 53 or K10 </w:t>
      </w:r>
      <w:r w:rsidRPr="00DE7D1D">
        <w:rPr>
          <w:rFonts w:hint="eastAsia"/>
        </w:rPr>
        <w:t>≥</w:t>
      </w:r>
      <w:r w:rsidRPr="00DE7D1D">
        <w:t xml:space="preserve"> 25; No probable 30-day disorder = PCL &lt; 53 and K10 &lt; 25.</w:t>
      </w:r>
    </w:p>
    <w:p w14:paraId="6B4B2EF7" w14:textId="77777777" w:rsidR="00D92626" w:rsidRDefault="00D92626" w:rsidP="00D92626">
      <w:pPr>
        <w:pStyle w:val="TableNotes"/>
      </w:pPr>
      <w:r w:rsidRPr="009B2F7A">
        <w:t>Based on weighted counts, 1</w:t>
      </w:r>
      <w:r>
        <w:t>49 (0.6</w:t>
      </w:r>
      <w:r w:rsidRPr="009B2F7A">
        <w:t xml:space="preserve">%) Transitioned ADF and </w:t>
      </w:r>
      <w:r>
        <w:t>543 (1.0</w:t>
      </w:r>
      <w:r w:rsidRPr="009B2F7A">
        <w:t xml:space="preserve">%) 2015 Regular ADF had a missing value for this question. However, distributions are calculated by including those with a missing value to allow for correct weighted totals. </w:t>
      </w:r>
      <w:r w:rsidRPr="00DE7D1D">
        <w:t>95%CI</w:t>
      </w:r>
      <w:r>
        <w:t xml:space="preserve"> =</w:t>
      </w:r>
      <w:r w:rsidRPr="00DE7D1D">
        <w:t xml:space="preserve"> 95% </w:t>
      </w:r>
      <w:r>
        <w:t>confidence interval.</w:t>
      </w:r>
    </w:p>
    <w:p w14:paraId="3E5597EA" w14:textId="77777777" w:rsidR="00463E44" w:rsidRDefault="00463E44" w:rsidP="0061597C">
      <w:pPr>
        <w:sectPr w:rsidR="00463E44" w:rsidSect="00463E44">
          <w:footerReference w:type="even" r:id="rId63"/>
          <w:footerReference w:type="default" r:id="rId64"/>
          <w:pgSz w:w="14170" w:h="9979" w:orient="landscape" w:code="243"/>
          <w:pgMar w:top="1872" w:right="1440" w:bottom="1152" w:left="1440" w:header="576" w:footer="576" w:gutter="0"/>
          <w:cols w:space="708"/>
          <w:docGrid w:linePitch="360"/>
        </w:sectPr>
      </w:pPr>
    </w:p>
    <w:p w14:paraId="74B1D248" w14:textId="374F5726" w:rsidR="008F66DD" w:rsidRPr="00957941" w:rsidRDefault="008F66DD" w:rsidP="00463E44">
      <w:bookmarkStart w:id="649" w:name="_Toc509917447"/>
      <w:bookmarkStart w:id="650" w:name="_Toc515374496"/>
      <w:bookmarkStart w:id="651" w:name="_Toc518566396"/>
      <w:bookmarkStart w:id="652" w:name="_Toc528932684"/>
      <w:r>
        <w:t xml:space="preserve">As can be seen in Table 6.2, overall, among both the </w:t>
      </w:r>
      <w:r w:rsidRPr="00A702FB">
        <w:t>Transitioned ADF and 2015 Regular ADF</w:t>
      </w:r>
      <w:r>
        <w:t>,</w:t>
      </w:r>
      <w:r w:rsidRPr="00A702FB">
        <w:t xml:space="preserve"> males were less likely to report using the </w:t>
      </w:r>
      <w:r>
        <w:t xml:space="preserve">internet to </w:t>
      </w:r>
      <w:r>
        <w:rPr>
          <w:rFonts w:cs="Calibri"/>
        </w:rPr>
        <w:t>seek help or information or to manage mental health issues</w:t>
      </w:r>
      <w:r w:rsidRPr="00CC5727">
        <w:t xml:space="preserve"> </w:t>
      </w:r>
      <w:r w:rsidRPr="00A702FB">
        <w:t>compared to females (Transitioned ADF</w:t>
      </w:r>
      <w:r>
        <w:t>:</w:t>
      </w:r>
      <w:r w:rsidRPr="00A702FB">
        <w:t xml:space="preserve"> </w:t>
      </w:r>
      <w:r>
        <w:t xml:space="preserve">23.0% vs 34.5%; </w:t>
      </w:r>
      <w:r w:rsidRPr="00A702FB">
        <w:t>2015 Regular ADF</w:t>
      </w:r>
      <w:r>
        <w:t>: 16.0% vs 29.0%)</w:t>
      </w:r>
      <w:r w:rsidR="00506F87">
        <w:t>,</w:t>
      </w:r>
      <w:r>
        <w:t xml:space="preserve"> with the younger age groups (particularly young females) being most likely to use it for this purpose. These comparisons were not statistically tested. </w:t>
      </w:r>
    </w:p>
    <w:p w14:paraId="64DD1209" w14:textId="77777777" w:rsidR="009D2CB4" w:rsidRPr="00957941" w:rsidRDefault="009D2CB4" w:rsidP="009D2CB4">
      <w:pPr>
        <w:pStyle w:val="Heading2"/>
        <w:numPr>
          <w:ilvl w:val="1"/>
          <w:numId w:val="1"/>
        </w:numPr>
        <w:ind w:left="720" w:hanging="720"/>
      </w:pPr>
      <w:bookmarkStart w:id="653" w:name="_Toc531859221"/>
      <w:r w:rsidRPr="00957941">
        <w:t xml:space="preserve">Use of devices to access the </w:t>
      </w:r>
      <w:r>
        <w:t>internet</w:t>
      </w:r>
      <w:bookmarkEnd w:id="649"/>
      <w:bookmarkEnd w:id="650"/>
      <w:bookmarkEnd w:id="651"/>
      <w:bookmarkEnd w:id="652"/>
      <w:bookmarkEnd w:id="653"/>
    </w:p>
    <w:p w14:paraId="1009C31B" w14:textId="77777777" w:rsidR="009D2CB4" w:rsidRPr="00957941" w:rsidRDefault="009D2CB4" w:rsidP="009D2CB4">
      <w:pPr>
        <w:pStyle w:val="Heading3"/>
        <w:numPr>
          <w:ilvl w:val="2"/>
          <w:numId w:val="1"/>
        </w:numPr>
      </w:pPr>
      <w:bookmarkStart w:id="654" w:name="_Toc515374497"/>
      <w:bookmarkStart w:id="655" w:name="_Toc518566397"/>
      <w:bookmarkStart w:id="656" w:name="_Toc528932685"/>
      <w:bookmarkStart w:id="657" w:name="_Toc531859222"/>
      <w:r w:rsidRPr="00957941">
        <w:t>Transitioned ADF and 2015 Regular ADF</w:t>
      </w:r>
      <w:bookmarkStart w:id="658" w:name="here"/>
      <w:bookmarkEnd w:id="654"/>
      <w:bookmarkEnd w:id="655"/>
      <w:bookmarkEnd w:id="656"/>
      <w:bookmarkEnd w:id="657"/>
      <w:bookmarkEnd w:id="658"/>
    </w:p>
    <w:p w14:paraId="618EA27F" w14:textId="77777777" w:rsidR="009D2CB4" w:rsidRDefault="009D2CB4" w:rsidP="009D2CB4">
      <w:r>
        <w:t xml:space="preserve">Table </w:t>
      </w:r>
      <w:r>
        <w:rPr>
          <w:noProof/>
        </w:rPr>
        <w:t>6.3</w:t>
      </w:r>
      <w:r>
        <w:t xml:space="preserve"> </w:t>
      </w:r>
      <w:r w:rsidRPr="00526B04">
        <w:t>present</w:t>
      </w:r>
      <w:r>
        <w:t>s</w:t>
      </w:r>
      <w:r w:rsidRPr="00DF1417">
        <w:t xml:space="preserve"> </w:t>
      </w:r>
      <w:r>
        <w:t>the</w:t>
      </w:r>
      <w:r w:rsidRPr="00DF1417">
        <w:t xml:space="preserve"> </w:t>
      </w:r>
      <w:r>
        <w:t>types of devices used to access the internet among Transitioned ADF and 2015 Regular ADF who reported that they used</w:t>
      </w:r>
      <w:r w:rsidRPr="00DF1417">
        <w:t xml:space="preserve"> the </w:t>
      </w:r>
      <w:r>
        <w:t>internet</w:t>
      </w:r>
      <w:r w:rsidRPr="00DF1417">
        <w:t xml:space="preserve"> to seek help or information or manage mental health</w:t>
      </w:r>
      <w:r>
        <w:t xml:space="preserve"> issues.</w:t>
      </w:r>
    </w:p>
    <w:p w14:paraId="37FCCB1D" w14:textId="77777777" w:rsidR="009D2CB4" w:rsidRPr="00DF1417" w:rsidRDefault="009D2CB4" w:rsidP="009D2CB4">
      <w:r>
        <w:t>Among both the Transitioned ADF and 2015 Regular ADF, the most commonly used devices were smart phones (59.5% and 72.1% respectively), followed by a privately used or owned laptop (52.2% and 42.3% respectively) and other hand-held portable devices (24.8% and 24.7% respectively). These were followed by other shared laptops and computers. The least commonly used devices among both groups were portable gaming devices, televisions and gaming consoles.</w:t>
      </w:r>
    </w:p>
    <w:p w14:paraId="7808DD5D" w14:textId="77777777" w:rsidR="009D2CB4" w:rsidRPr="0065396B" w:rsidRDefault="009D2CB4" w:rsidP="009D2CB4">
      <w:pPr>
        <w:pStyle w:val="TableName"/>
      </w:pPr>
      <w:bookmarkStart w:id="659" w:name="_Ref517354765"/>
      <w:bookmarkStart w:id="660" w:name="_Toc509922884"/>
      <w:bookmarkStart w:id="661" w:name="_Toc515374659"/>
      <w:bookmarkStart w:id="662" w:name="_Toc528932334"/>
      <w:bookmarkStart w:id="663" w:name="_Toc531858013"/>
      <w:r>
        <w:t xml:space="preserve">Table </w:t>
      </w:r>
      <w:r>
        <w:rPr>
          <w:noProof/>
        </w:rPr>
        <w:t>6</w:t>
      </w:r>
      <w:r>
        <w:t>.</w:t>
      </w:r>
      <w:r>
        <w:rPr>
          <w:noProof/>
        </w:rPr>
        <w:t>3</w:t>
      </w:r>
      <w:bookmarkEnd w:id="659"/>
      <w:r>
        <w:tab/>
      </w:r>
      <w:r w:rsidRPr="00D23AF8">
        <w:t xml:space="preserve">The types of devices used to access the </w:t>
      </w:r>
      <w:r>
        <w:t>internet</w:t>
      </w:r>
      <w:r w:rsidRPr="00D23AF8">
        <w:t xml:space="preserve"> among Transitioned ADF and 2015 Regular ADF </w:t>
      </w:r>
      <w:r>
        <w:t xml:space="preserve">who </w:t>
      </w:r>
      <w:r w:rsidRPr="00D23AF8">
        <w:t>reported that they use</w:t>
      </w:r>
      <w:r>
        <w:t>d</w:t>
      </w:r>
      <w:r w:rsidRPr="00D23AF8">
        <w:t xml:space="preserve"> the </w:t>
      </w:r>
      <w:r>
        <w:t>internet</w:t>
      </w:r>
      <w:r w:rsidRPr="00D23AF8">
        <w:t xml:space="preserve"> to seek help or information or manage mental health</w:t>
      </w:r>
      <w:r>
        <w:t xml:space="preserve"> issues</w:t>
      </w:r>
      <w:bookmarkEnd w:id="660"/>
      <w:bookmarkEnd w:id="661"/>
      <w:bookmarkEnd w:id="662"/>
      <w:bookmarkEnd w:id="663"/>
    </w:p>
    <w:tbl>
      <w:tblPr>
        <w:tblStyle w:val="TWRPTable"/>
        <w:tblW w:w="5000" w:type="pct"/>
        <w:tblLayout w:type="fixed"/>
        <w:tblLook w:val="0000" w:firstRow="0" w:lastRow="0" w:firstColumn="0" w:lastColumn="0" w:noHBand="0" w:noVBand="0"/>
        <w:tblDescription w:val="Table 6.3 The types of devices used to access the internet among Transitioned ADF and 2015 Regular ADF who reported that they used the internet to seek help or information or manage mental health issues"/>
      </w:tblPr>
      <w:tblGrid>
        <w:gridCol w:w="2526"/>
        <w:gridCol w:w="449"/>
        <w:gridCol w:w="789"/>
        <w:gridCol w:w="1043"/>
        <w:gridCol w:w="442"/>
        <w:gridCol w:w="806"/>
        <w:gridCol w:w="1034"/>
      </w:tblGrid>
      <w:tr w:rsidR="009D2CB4" w:rsidRPr="00BF2792" w14:paraId="1944C872" w14:textId="77777777" w:rsidTr="00D6757C">
        <w:trPr>
          <w:cantSplit/>
          <w:tblHeader/>
        </w:trPr>
        <w:tc>
          <w:tcPr>
            <w:tcW w:w="2620" w:type="dxa"/>
            <w:tcBorders>
              <w:top w:val="single" w:sz="4" w:space="0" w:color="000000"/>
              <w:bottom w:val="nil"/>
            </w:tcBorders>
          </w:tcPr>
          <w:p w14:paraId="07214415" w14:textId="77777777" w:rsidR="009D2CB4" w:rsidRPr="00957941" w:rsidRDefault="009D2CB4" w:rsidP="009D2CB4">
            <w:pPr>
              <w:pStyle w:val="TableText"/>
              <w:rPr>
                <w:b/>
              </w:rPr>
            </w:pPr>
          </w:p>
        </w:tc>
        <w:tc>
          <w:tcPr>
            <w:tcW w:w="2347" w:type="dxa"/>
            <w:gridSpan w:val="3"/>
            <w:tcBorders>
              <w:top w:val="single" w:sz="4" w:space="0" w:color="000000"/>
              <w:bottom w:val="single" w:sz="4" w:space="0" w:color="000000"/>
            </w:tcBorders>
          </w:tcPr>
          <w:p w14:paraId="223D8085" w14:textId="77777777" w:rsidR="009D2CB4" w:rsidRPr="00957941" w:rsidRDefault="009D2CB4" w:rsidP="009D2CB4">
            <w:pPr>
              <w:pStyle w:val="TableText"/>
              <w:jc w:val="center"/>
              <w:rPr>
                <w:b/>
              </w:rPr>
            </w:pPr>
            <w:r w:rsidRPr="00957941">
              <w:rPr>
                <w:b/>
              </w:rPr>
              <w:t>Transitioned ADF</w:t>
            </w:r>
            <w:r>
              <w:rPr>
                <w:b/>
              </w:rPr>
              <w:br/>
            </w:r>
            <w:r w:rsidRPr="00957941">
              <w:rPr>
                <w:b/>
              </w:rPr>
              <w:t>n=6116</w:t>
            </w:r>
          </w:p>
        </w:tc>
        <w:tc>
          <w:tcPr>
            <w:tcW w:w="2348" w:type="dxa"/>
            <w:gridSpan w:val="3"/>
            <w:tcBorders>
              <w:top w:val="single" w:sz="4" w:space="0" w:color="000000"/>
              <w:bottom w:val="single" w:sz="4" w:space="0" w:color="000000"/>
            </w:tcBorders>
          </w:tcPr>
          <w:p w14:paraId="2C782C35" w14:textId="77777777" w:rsidR="009D2CB4" w:rsidRPr="00957941" w:rsidRDefault="009D2CB4" w:rsidP="009D2CB4">
            <w:pPr>
              <w:pStyle w:val="TableText"/>
              <w:jc w:val="center"/>
              <w:rPr>
                <w:b/>
              </w:rPr>
            </w:pPr>
            <w:r w:rsidRPr="00957941">
              <w:rPr>
                <w:b/>
              </w:rPr>
              <w:t>2015 Regular ADF</w:t>
            </w:r>
            <w:r>
              <w:rPr>
                <w:b/>
              </w:rPr>
              <w:br/>
              <w:t>n=</w:t>
            </w:r>
            <w:r w:rsidRPr="00957941">
              <w:rPr>
                <w:b/>
              </w:rPr>
              <w:t>9042</w:t>
            </w:r>
          </w:p>
        </w:tc>
      </w:tr>
      <w:tr w:rsidR="009D2CB4" w:rsidRPr="00BF2792" w14:paraId="788EA5C8" w14:textId="77777777" w:rsidTr="00D6757C">
        <w:trPr>
          <w:cantSplit/>
          <w:tblHeader/>
        </w:trPr>
        <w:tc>
          <w:tcPr>
            <w:tcW w:w="2620" w:type="dxa"/>
            <w:tcBorders>
              <w:top w:val="nil"/>
              <w:bottom w:val="single" w:sz="4" w:space="0" w:color="000000"/>
            </w:tcBorders>
            <w:vAlign w:val="bottom"/>
          </w:tcPr>
          <w:p w14:paraId="7ECA730F" w14:textId="77777777" w:rsidR="009D2CB4" w:rsidRPr="00957941" w:rsidRDefault="009D2CB4" w:rsidP="00D6757C">
            <w:pPr>
              <w:pStyle w:val="TableText"/>
              <w:rPr>
                <w:b/>
              </w:rPr>
            </w:pPr>
            <w:r w:rsidRPr="00957941">
              <w:rPr>
                <w:b/>
              </w:rPr>
              <w:t xml:space="preserve">Devices used to access </w:t>
            </w:r>
            <w:r>
              <w:rPr>
                <w:b/>
              </w:rPr>
              <w:t>internet</w:t>
            </w:r>
          </w:p>
        </w:tc>
        <w:tc>
          <w:tcPr>
            <w:tcW w:w="458" w:type="dxa"/>
            <w:tcBorders>
              <w:top w:val="single" w:sz="4" w:space="0" w:color="000000"/>
              <w:bottom w:val="single" w:sz="4" w:space="0" w:color="000000"/>
            </w:tcBorders>
            <w:vAlign w:val="bottom"/>
          </w:tcPr>
          <w:p w14:paraId="37AD08C0" w14:textId="77777777" w:rsidR="009D2CB4" w:rsidRPr="00957941" w:rsidRDefault="009D2CB4" w:rsidP="00D6757C">
            <w:pPr>
              <w:pStyle w:val="TableText"/>
              <w:jc w:val="right"/>
              <w:rPr>
                <w:b/>
              </w:rPr>
            </w:pPr>
            <w:r w:rsidRPr="00957941">
              <w:rPr>
                <w:b/>
              </w:rPr>
              <w:t>n</w:t>
            </w:r>
          </w:p>
        </w:tc>
        <w:tc>
          <w:tcPr>
            <w:tcW w:w="812" w:type="dxa"/>
            <w:tcBorders>
              <w:top w:val="single" w:sz="4" w:space="0" w:color="000000"/>
              <w:bottom w:val="single" w:sz="4" w:space="0" w:color="000000"/>
            </w:tcBorders>
            <w:vAlign w:val="bottom"/>
          </w:tcPr>
          <w:p w14:paraId="043582CC" w14:textId="77777777" w:rsidR="009D2CB4" w:rsidRPr="00957941" w:rsidRDefault="009D2CB4" w:rsidP="00D6757C">
            <w:pPr>
              <w:pStyle w:val="TableText"/>
              <w:jc w:val="right"/>
              <w:rPr>
                <w:b/>
              </w:rPr>
            </w:pPr>
            <w:r w:rsidRPr="00957941">
              <w:rPr>
                <w:b/>
              </w:rPr>
              <w:t>Weighted n</w:t>
            </w:r>
          </w:p>
        </w:tc>
        <w:tc>
          <w:tcPr>
            <w:tcW w:w="1077" w:type="dxa"/>
            <w:tcBorders>
              <w:top w:val="single" w:sz="4" w:space="0" w:color="000000"/>
              <w:bottom w:val="single" w:sz="4" w:space="0" w:color="000000"/>
            </w:tcBorders>
            <w:vAlign w:val="bottom"/>
          </w:tcPr>
          <w:p w14:paraId="13E785CF" w14:textId="77777777" w:rsidR="009D2CB4" w:rsidRPr="00957941" w:rsidRDefault="009D2CB4" w:rsidP="00D6757C">
            <w:pPr>
              <w:pStyle w:val="TableText"/>
              <w:jc w:val="right"/>
              <w:rPr>
                <w:b/>
              </w:rPr>
            </w:pPr>
            <w:r w:rsidRPr="00957941">
              <w:rPr>
                <w:b/>
              </w:rPr>
              <w:t>% (95%CI)</w:t>
            </w:r>
          </w:p>
        </w:tc>
        <w:tc>
          <w:tcPr>
            <w:tcW w:w="451" w:type="dxa"/>
            <w:tcBorders>
              <w:top w:val="single" w:sz="4" w:space="0" w:color="000000"/>
              <w:bottom w:val="single" w:sz="4" w:space="0" w:color="000000"/>
            </w:tcBorders>
            <w:vAlign w:val="bottom"/>
          </w:tcPr>
          <w:p w14:paraId="3405046E" w14:textId="77777777" w:rsidR="009D2CB4" w:rsidRPr="00957941" w:rsidRDefault="009D2CB4" w:rsidP="00D6757C">
            <w:pPr>
              <w:pStyle w:val="TableText"/>
              <w:jc w:val="right"/>
              <w:rPr>
                <w:b/>
              </w:rPr>
            </w:pPr>
            <w:r w:rsidRPr="00957941">
              <w:rPr>
                <w:b/>
              </w:rPr>
              <w:t>n</w:t>
            </w:r>
          </w:p>
        </w:tc>
        <w:tc>
          <w:tcPr>
            <w:tcW w:w="830" w:type="dxa"/>
            <w:tcBorders>
              <w:top w:val="single" w:sz="4" w:space="0" w:color="000000"/>
              <w:bottom w:val="single" w:sz="4" w:space="0" w:color="000000"/>
            </w:tcBorders>
            <w:vAlign w:val="bottom"/>
          </w:tcPr>
          <w:p w14:paraId="3F87CC93" w14:textId="77777777" w:rsidR="009D2CB4" w:rsidRPr="00957941" w:rsidRDefault="009D2CB4" w:rsidP="00D6757C">
            <w:pPr>
              <w:pStyle w:val="TableText"/>
              <w:jc w:val="right"/>
              <w:rPr>
                <w:b/>
              </w:rPr>
            </w:pPr>
            <w:r w:rsidRPr="00957941">
              <w:rPr>
                <w:b/>
              </w:rPr>
              <w:t>Weighted n</w:t>
            </w:r>
          </w:p>
        </w:tc>
        <w:tc>
          <w:tcPr>
            <w:tcW w:w="1067" w:type="dxa"/>
            <w:tcBorders>
              <w:top w:val="single" w:sz="4" w:space="0" w:color="000000"/>
              <w:bottom w:val="single" w:sz="4" w:space="0" w:color="000000"/>
            </w:tcBorders>
            <w:vAlign w:val="bottom"/>
          </w:tcPr>
          <w:p w14:paraId="57BFEA5C" w14:textId="77777777" w:rsidR="009D2CB4" w:rsidRPr="00957941" w:rsidRDefault="009D2CB4" w:rsidP="00D6757C">
            <w:pPr>
              <w:pStyle w:val="TableText"/>
              <w:jc w:val="right"/>
              <w:rPr>
                <w:b/>
              </w:rPr>
            </w:pPr>
            <w:r w:rsidRPr="00957941">
              <w:rPr>
                <w:b/>
              </w:rPr>
              <w:t>% (95%CI)</w:t>
            </w:r>
          </w:p>
        </w:tc>
      </w:tr>
      <w:tr w:rsidR="009D2CB4" w:rsidRPr="00BF2792" w14:paraId="521B444D"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620" w:type="dxa"/>
            <w:tcBorders>
              <w:top w:val="single" w:sz="4" w:space="0" w:color="000000"/>
            </w:tcBorders>
          </w:tcPr>
          <w:p w14:paraId="137AEC1C" w14:textId="77777777" w:rsidR="009D2CB4" w:rsidRPr="00BF2792" w:rsidRDefault="009D2CB4" w:rsidP="009D2CB4">
            <w:pPr>
              <w:pStyle w:val="TableText"/>
            </w:pPr>
            <w:r w:rsidRPr="00BF2792">
              <w:rPr>
                <w:rFonts w:cs="ArialMT"/>
              </w:rPr>
              <w:t>A desktop computer shared with other members of your family</w:t>
            </w:r>
          </w:p>
        </w:tc>
        <w:tc>
          <w:tcPr>
            <w:tcW w:w="458" w:type="dxa"/>
            <w:tcBorders>
              <w:top w:val="single" w:sz="4" w:space="0" w:color="000000"/>
            </w:tcBorders>
          </w:tcPr>
          <w:p w14:paraId="6DC0AAC9" w14:textId="77777777" w:rsidR="009D2CB4" w:rsidRPr="00BF2792" w:rsidRDefault="009D2CB4" w:rsidP="009D2CB4">
            <w:pPr>
              <w:pStyle w:val="TableText"/>
              <w:jc w:val="right"/>
              <w:rPr>
                <w:color w:val="000000" w:themeColor="text1"/>
              </w:rPr>
            </w:pPr>
            <w:r w:rsidRPr="00BF2792">
              <w:rPr>
                <w:rFonts w:cs="Arial"/>
              </w:rPr>
              <w:t>217</w:t>
            </w:r>
          </w:p>
        </w:tc>
        <w:tc>
          <w:tcPr>
            <w:tcW w:w="812" w:type="dxa"/>
            <w:tcBorders>
              <w:top w:val="single" w:sz="4" w:space="0" w:color="000000"/>
            </w:tcBorders>
          </w:tcPr>
          <w:p w14:paraId="1364DF34" w14:textId="77777777" w:rsidR="009D2CB4" w:rsidRPr="00BF2792" w:rsidRDefault="009D2CB4" w:rsidP="009D2CB4">
            <w:pPr>
              <w:pStyle w:val="TableText"/>
              <w:jc w:val="right"/>
              <w:rPr>
                <w:color w:val="000000" w:themeColor="text1"/>
              </w:rPr>
            </w:pPr>
            <w:r w:rsidRPr="00BF2792">
              <w:rPr>
                <w:rFonts w:cs="Arial"/>
              </w:rPr>
              <w:t>1384</w:t>
            </w:r>
          </w:p>
        </w:tc>
        <w:tc>
          <w:tcPr>
            <w:tcW w:w="1077" w:type="dxa"/>
            <w:tcBorders>
              <w:top w:val="single" w:sz="4" w:space="0" w:color="000000"/>
            </w:tcBorders>
          </w:tcPr>
          <w:p w14:paraId="1FD37CDF" w14:textId="77777777" w:rsidR="009D2CB4" w:rsidRPr="00BF2792" w:rsidRDefault="009D2CB4" w:rsidP="009D2CB4">
            <w:pPr>
              <w:pStyle w:val="TableText"/>
              <w:jc w:val="right"/>
              <w:rPr>
                <w:color w:val="000000" w:themeColor="text1"/>
              </w:rPr>
            </w:pPr>
            <w:r w:rsidRPr="00BF2792">
              <w:rPr>
                <w:rFonts w:cs="Arial"/>
              </w:rPr>
              <w:t>22.6 (19.4,</w:t>
            </w:r>
            <w:r>
              <w:rPr>
                <w:rFonts w:cs="Arial"/>
              </w:rPr>
              <w:t xml:space="preserve"> </w:t>
            </w:r>
            <w:r w:rsidRPr="00BF2792">
              <w:rPr>
                <w:rFonts w:cs="Arial"/>
              </w:rPr>
              <w:t>26.2)</w:t>
            </w:r>
          </w:p>
        </w:tc>
        <w:tc>
          <w:tcPr>
            <w:tcW w:w="451" w:type="dxa"/>
            <w:tcBorders>
              <w:top w:val="single" w:sz="4" w:space="0" w:color="000000"/>
            </w:tcBorders>
          </w:tcPr>
          <w:p w14:paraId="0F6A4C95" w14:textId="77777777" w:rsidR="009D2CB4" w:rsidRPr="00BF2792" w:rsidRDefault="009D2CB4" w:rsidP="009D2CB4">
            <w:pPr>
              <w:pStyle w:val="TableText"/>
              <w:jc w:val="right"/>
              <w:rPr>
                <w:color w:val="000000" w:themeColor="text1"/>
              </w:rPr>
            </w:pPr>
            <w:r w:rsidRPr="00BF2792">
              <w:rPr>
                <w:rFonts w:cs="Arial"/>
              </w:rPr>
              <w:t>342</w:t>
            </w:r>
          </w:p>
        </w:tc>
        <w:tc>
          <w:tcPr>
            <w:tcW w:w="830" w:type="dxa"/>
            <w:tcBorders>
              <w:top w:val="single" w:sz="4" w:space="0" w:color="000000"/>
            </w:tcBorders>
          </w:tcPr>
          <w:p w14:paraId="7C08B43C" w14:textId="77777777" w:rsidR="009D2CB4" w:rsidRPr="00BF2792" w:rsidRDefault="009D2CB4" w:rsidP="009D2CB4">
            <w:pPr>
              <w:pStyle w:val="TableText"/>
              <w:jc w:val="right"/>
              <w:rPr>
                <w:color w:val="000000" w:themeColor="text1"/>
              </w:rPr>
            </w:pPr>
            <w:r w:rsidRPr="00BF2792">
              <w:rPr>
                <w:rFonts w:cs="Arial"/>
              </w:rPr>
              <w:t>1434</w:t>
            </w:r>
          </w:p>
        </w:tc>
        <w:tc>
          <w:tcPr>
            <w:tcW w:w="1067" w:type="dxa"/>
            <w:tcBorders>
              <w:top w:val="single" w:sz="4" w:space="0" w:color="000000"/>
            </w:tcBorders>
          </w:tcPr>
          <w:p w14:paraId="74F76644" w14:textId="77777777" w:rsidR="009D2CB4" w:rsidRPr="00BF2792" w:rsidRDefault="009D2CB4" w:rsidP="009D2CB4">
            <w:pPr>
              <w:pStyle w:val="TableText"/>
              <w:jc w:val="right"/>
              <w:rPr>
                <w:color w:val="000000" w:themeColor="text1"/>
              </w:rPr>
            </w:pPr>
            <w:r w:rsidRPr="00BF2792">
              <w:rPr>
                <w:rFonts w:cs="Arial"/>
              </w:rPr>
              <w:t>15.9 (12.6,</w:t>
            </w:r>
            <w:r>
              <w:rPr>
                <w:rFonts w:cs="Arial"/>
              </w:rPr>
              <w:t xml:space="preserve"> </w:t>
            </w:r>
            <w:r w:rsidRPr="00BF2792">
              <w:rPr>
                <w:rFonts w:cs="Arial"/>
              </w:rPr>
              <w:t>19.8)</w:t>
            </w:r>
          </w:p>
        </w:tc>
      </w:tr>
      <w:tr w:rsidR="009D2CB4" w:rsidRPr="00BF2792" w14:paraId="3AE5E883" w14:textId="77777777" w:rsidTr="00D6757C">
        <w:trPr>
          <w:cantSplit/>
        </w:trPr>
        <w:tc>
          <w:tcPr>
            <w:tcW w:w="2620" w:type="dxa"/>
          </w:tcPr>
          <w:p w14:paraId="7B1812B7" w14:textId="77777777" w:rsidR="009D2CB4" w:rsidRPr="00BF2792" w:rsidRDefault="009D2CB4" w:rsidP="009D2CB4">
            <w:pPr>
              <w:pStyle w:val="TableText"/>
            </w:pPr>
            <w:r>
              <w:rPr>
                <w:rFonts w:cs="ArialMT"/>
              </w:rPr>
              <w:t xml:space="preserve">A </w:t>
            </w:r>
            <w:r w:rsidRPr="00BF2792">
              <w:rPr>
                <w:rFonts w:cs="ArialMT"/>
              </w:rPr>
              <w:t>games console (e.g. Playstation, Xbox,Wii)</w:t>
            </w:r>
          </w:p>
        </w:tc>
        <w:tc>
          <w:tcPr>
            <w:tcW w:w="458" w:type="dxa"/>
          </w:tcPr>
          <w:p w14:paraId="6592E107" w14:textId="77777777" w:rsidR="009D2CB4" w:rsidRPr="00BF2792" w:rsidRDefault="009D2CB4" w:rsidP="009D2CB4">
            <w:pPr>
              <w:pStyle w:val="TableText"/>
              <w:jc w:val="right"/>
              <w:rPr>
                <w:color w:val="000000" w:themeColor="text1"/>
              </w:rPr>
            </w:pPr>
            <w:r w:rsidRPr="00BF2792">
              <w:rPr>
                <w:rFonts w:cs="Arial"/>
              </w:rPr>
              <w:t>43</w:t>
            </w:r>
          </w:p>
        </w:tc>
        <w:tc>
          <w:tcPr>
            <w:tcW w:w="812" w:type="dxa"/>
          </w:tcPr>
          <w:p w14:paraId="4ECFAEC5" w14:textId="77777777" w:rsidR="009D2CB4" w:rsidRPr="00BF2792" w:rsidRDefault="009D2CB4" w:rsidP="009D2CB4">
            <w:pPr>
              <w:pStyle w:val="TableText"/>
              <w:jc w:val="right"/>
              <w:rPr>
                <w:color w:val="000000" w:themeColor="text1"/>
              </w:rPr>
            </w:pPr>
            <w:r w:rsidRPr="00BF2792">
              <w:rPr>
                <w:rFonts w:cs="Arial"/>
              </w:rPr>
              <w:t>488</w:t>
            </w:r>
          </w:p>
        </w:tc>
        <w:tc>
          <w:tcPr>
            <w:tcW w:w="1077" w:type="dxa"/>
          </w:tcPr>
          <w:p w14:paraId="1070A49E" w14:textId="77777777" w:rsidR="009D2CB4" w:rsidRPr="00BF2792" w:rsidRDefault="009D2CB4" w:rsidP="009D2CB4">
            <w:pPr>
              <w:pStyle w:val="TableText"/>
              <w:jc w:val="right"/>
              <w:rPr>
                <w:color w:val="000000" w:themeColor="text1"/>
              </w:rPr>
            </w:pPr>
            <w:r w:rsidRPr="00BF2792">
              <w:rPr>
                <w:rFonts w:cs="Arial"/>
              </w:rPr>
              <w:t>8.0 (5.7,</w:t>
            </w:r>
            <w:r>
              <w:rPr>
                <w:rFonts w:cs="Arial"/>
              </w:rPr>
              <w:t xml:space="preserve"> </w:t>
            </w:r>
            <w:r w:rsidRPr="00BF2792">
              <w:rPr>
                <w:rFonts w:cs="Arial"/>
              </w:rPr>
              <w:t>11.1)</w:t>
            </w:r>
          </w:p>
        </w:tc>
        <w:tc>
          <w:tcPr>
            <w:tcW w:w="451" w:type="dxa"/>
          </w:tcPr>
          <w:p w14:paraId="4C680E33" w14:textId="77777777" w:rsidR="009D2CB4" w:rsidRPr="00BF2792" w:rsidRDefault="009D2CB4" w:rsidP="009D2CB4">
            <w:pPr>
              <w:pStyle w:val="TableText"/>
              <w:jc w:val="right"/>
              <w:rPr>
                <w:color w:val="000000" w:themeColor="text1"/>
              </w:rPr>
            </w:pPr>
            <w:r w:rsidRPr="00BF2792">
              <w:rPr>
                <w:rFonts w:cs="Arial"/>
              </w:rPr>
              <w:t>63</w:t>
            </w:r>
          </w:p>
        </w:tc>
        <w:tc>
          <w:tcPr>
            <w:tcW w:w="830" w:type="dxa"/>
          </w:tcPr>
          <w:p w14:paraId="4EF59B56" w14:textId="77777777" w:rsidR="009D2CB4" w:rsidRPr="00BF2792" w:rsidRDefault="009D2CB4" w:rsidP="009D2CB4">
            <w:pPr>
              <w:pStyle w:val="TableText"/>
              <w:jc w:val="right"/>
              <w:rPr>
                <w:color w:val="000000" w:themeColor="text1"/>
              </w:rPr>
            </w:pPr>
            <w:r w:rsidRPr="00BF2792">
              <w:rPr>
                <w:rFonts w:cs="Arial"/>
              </w:rPr>
              <w:t>835</w:t>
            </w:r>
          </w:p>
        </w:tc>
        <w:tc>
          <w:tcPr>
            <w:tcW w:w="1067" w:type="dxa"/>
          </w:tcPr>
          <w:p w14:paraId="3F54FFCB" w14:textId="77777777" w:rsidR="009D2CB4" w:rsidRPr="00BF2792" w:rsidRDefault="009D2CB4" w:rsidP="009D2CB4">
            <w:pPr>
              <w:pStyle w:val="TableText"/>
              <w:jc w:val="right"/>
              <w:rPr>
                <w:color w:val="000000" w:themeColor="text1"/>
              </w:rPr>
            </w:pPr>
            <w:r w:rsidRPr="00BF2792">
              <w:rPr>
                <w:rFonts w:cs="Arial"/>
              </w:rPr>
              <w:t>9.2 (4.1,</w:t>
            </w:r>
            <w:r>
              <w:rPr>
                <w:rFonts w:cs="Arial"/>
              </w:rPr>
              <w:t xml:space="preserve"> </w:t>
            </w:r>
            <w:r w:rsidRPr="00BF2792">
              <w:rPr>
                <w:rFonts w:cs="Arial"/>
              </w:rPr>
              <w:t>19.4)</w:t>
            </w:r>
          </w:p>
        </w:tc>
      </w:tr>
      <w:tr w:rsidR="009D2CB4" w:rsidRPr="00BF2792" w14:paraId="62A9B4F6"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620" w:type="dxa"/>
          </w:tcPr>
          <w:p w14:paraId="2115B44C" w14:textId="77777777" w:rsidR="009D2CB4" w:rsidRPr="00BF2792" w:rsidRDefault="009D2CB4" w:rsidP="009D2CB4">
            <w:pPr>
              <w:pStyle w:val="TableText"/>
            </w:pPr>
            <w:r w:rsidRPr="00BF2792">
              <w:rPr>
                <w:rFonts w:cs="ArialMT"/>
              </w:rPr>
              <w:t>A laptop shared with other members of your family and that you cannot use in private</w:t>
            </w:r>
          </w:p>
        </w:tc>
        <w:tc>
          <w:tcPr>
            <w:tcW w:w="458" w:type="dxa"/>
          </w:tcPr>
          <w:p w14:paraId="58B27EC1" w14:textId="77777777" w:rsidR="009D2CB4" w:rsidRPr="00BF2792" w:rsidRDefault="009D2CB4" w:rsidP="009D2CB4">
            <w:pPr>
              <w:pStyle w:val="TableText"/>
              <w:jc w:val="right"/>
              <w:rPr>
                <w:color w:val="000000" w:themeColor="text1"/>
              </w:rPr>
            </w:pPr>
            <w:r w:rsidRPr="00BF2792">
              <w:rPr>
                <w:rFonts w:cs="Arial"/>
              </w:rPr>
              <w:t>89</w:t>
            </w:r>
          </w:p>
        </w:tc>
        <w:tc>
          <w:tcPr>
            <w:tcW w:w="812" w:type="dxa"/>
          </w:tcPr>
          <w:p w14:paraId="52B5A654" w14:textId="77777777" w:rsidR="009D2CB4" w:rsidRPr="00BF2792" w:rsidRDefault="009D2CB4" w:rsidP="009D2CB4">
            <w:pPr>
              <w:pStyle w:val="TableText"/>
              <w:jc w:val="right"/>
              <w:rPr>
                <w:color w:val="000000" w:themeColor="text1"/>
              </w:rPr>
            </w:pPr>
            <w:r w:rsidRPr="00BF2792">
              <w:rPr>
                <w:rFonts w:cs="Arial"/>
              </w:rPr>
              <w:t>599</w:t>
            </w:r>
          </w:p>
        </w:tc>
        <w:tc>
          <w:tcPr>
            <w:tcW w:w="1077" w:type="dxa"/>
          </w:tcPr>
          <w:p w14:paraId="1DBAB3CB" w14:textId="77777777" w:rsidR="009D2CB4" w:rsidRPr="00BF2792" w:rsidRDefault="009D2CB4" w:rsidP="009D2CB4">
            <w:pPr>
              <w:pStyle w:val="TableText"/>
              <w:jc w:val="right"/>
              <w:rPr>
                <w:color w:val="000000" w:themeColor="text1"/>
              </w:rPr>
            </w:pPr>
            <w:r w:rsidRPr="00BF2792">
              <w:rPr>
                <w:rFonts w:cs="Arial"/>
              </w:rPr>
              <w:t>9.8 (7.6,</w:t>
            </w:r>
            <w:r>
              <w:rPr>
                <w:rFonts w:cs="Arial"/>
              </w:rPr>
              <w:t xml:space="preserve"> </w:t>
            </w:r>
            <w:r w:rsidRPr="00BF2792">
              <w:rPr>
                <w:rFonts w:cs="Arial"/>
              </w:rPr>
              <w:t>12.5)</w:t>
            </w:r>
          </w:p>
        </w:tc>
        <w:tc>
          <w:tcPr>
            <w:tcW w:w="451" w:type="dxa"/>
          </w:tcPr>
          <w:p w14:paraId="1E902CF8" w14:textId="77777777" w:rsidR="009D2CB4" w:rsidRPr="00BF2792" w:rsidRDefault="009D2CB4" w:rsidP="009D2CB4">
            <w:pPr>
              <w:pStyle w:val="TableText"/>
              <w:jc w:val="right"/>
              <w:rPr>
                <w:color w:val="000000" w:themeColor="text1"/>
              </w:rPr>
            </w:pPr>
            <w:r w:rsidRPr="00BF2792">
              <w:rPr>
                <w:rFonts w:cs="Arial"/>
              </w:rPr>
              <w:t>183</w:t>
            </w:r>
          </w:p>
        </w:tc>
        <w:tc>
          <w:tcPr>
            <w:tcW w:w="830" w:type="dxa"/>
          </w:tcPr>
          <w:p w14:paraId="1C19DEBE" w14:textId="77777777" w:rsidR="009D2CB4" w:rsidRPr="00BF2792" w:rsidRDefault="009D2CB4" w:rsidP="009D2CB4">
            <w:pPr>
              <w:pStyle w:val="TableText"/>
              <w:jc w:val="right"/>
              <w:rPr>
                <w:color w:val="000000" w:themeColor="text1"/>
              </w:rPr>
            </w:pPr>
            <w:r w:rsidRPr="00BF2792">
              <w:rPr>
                <w:rFonts w:cs="Arial"/>
              </w:rPr>
              <w:t>1435</w:t>
            </w:r>
          </w:p>
        </w:tc>
        <w:tc>
          <w:tcPr>
            <w:tcW w:w="1067" w:type="dxa"/>
          </w:tcPr>
          <w:p w14:paraId="2782DECA" w14:textId="77777777" w:rsidR="009D2CB4" w:rsidRPr="00BF2792" w:rsidRDefault="009D2CB4" w:rsidP="009D2CB4">
            <w:pPr>
              <w:pStyle w:val="TableText"/>
              <w:jc w:val="right"/>
              <w:rPr>
                <w:color w:val="000000" w:themeColor="text1"/>
              </w:rPr>
            </w:pPr>
            <w:r w:rsidRPr="00BF2792">
              <w:rPr>
                <w:rFonts w:cs="Arial"/>
              </w:rPr>
              <w:t>15.9 (9.2,</w:t>
            </w:r>
            <w:r>
              <w:rPr>
                <w:rFonts w:cs="Arial"/>
              </w:rPr>
              <w:t xml:space="preserve"> </w:t>
            </w:r>
            <w:r w:rsidRPr="00BF2792">
              <w:rPr>
                <w:rFonts w:cs="Arial"/>
              </w:rPr>
              <w:t>26.0)</w:t>
            </w:r>
          </w:p>
        </w:tc>
      </w:tr>
      <w:tr w:rsidR="009D2CB4" w:rsidRPr="00BF2792" w14:paraId="6D77C64A" w14:textId="77777777" w:rsidTr="00D6757C">
        <w:trPr>
          <w:cantSplit/>
        </w:trPr>
        <w:tc>
          <w:tcPr>
            <w:tcW w:w="2620" w:type="dxa"/>
          </w:tcPr>
          <w:p w14:paraId="23902972" w14:textId="77777777" w:rsidR="009D2CB4" w:rsidRPr="00BF2792" w:rsidRDefault="009D2CB4" w:rsidP="009D2CB4">
            <w:pPr>
              <w:pStyle w:val="TableText"/>
            </w:pPr>
            <w:r w:rsidRPr="00BF2792">
              <w:rPr>
                <w:rFonts w:cs="ArialMT"/>
              </w:rPr>
              <w:t>A portable gaming device (e.g. PSP, DS. Gameboy)</w:t>
            </w:r>
          </w:p>
        </w:tc>
        <w:tc>
          <w:tcPr>
            <w:tcW w:w="458" w:type="dxa"/>
          </w:tcPr>
          <w:p w14:paraId="6C92B95A" w14:textId="77777777" w:rsidR="009D2CB4" w:rsidRPr="00BF2792" w:rsidRDefault="009D2CB4" w:rsidP="009D2CB4">
            <w:pPr>
              <w:pStyle w:val="TableText"/>
              <w:jc w:val="right"/>
              <w:rPr>
                <w:color w:val="000000" w:themeColor="text1"/>
              </w:rPr>
            </w:pPr>
            <w:r w:rsidRPr="00BF2792">
              <w:rPr>
                <w:rFonts w:cs="Arial"/>
              </w:rPr>
              <w:t>6</w:t>
            </w:r>
          </w:p>
        </w:tc>
        <w:tc>
          <w:tcPr>
            <w:tcW w:w="812" w:type="dxa"/>
          </w:tcPr>
          <w:p w14:paraId="53DDA1B6" w14:textId="77777777" w:rsidR="009D2CB4" w:rsidRPr="00BF2792" w:rsidRDefault="009D2CB4" w:rsidP="009D2CB4">
            <w:pPr>
              <w:pStyle w:val="TableText"/>
              <w:jc w:val="right"/>
              <w:rPr>
                <w:color w:val="000000" w:themeColor="text1"/>
              </w:rPr>
            </w:pPr>
            <w:r w:rsidRPr="00BF2792">
              <w:rPr>
                <w:rFonts w:cs="Arial"/>
              </w:rPr>
              <w:t>78</w:t>
            </w:r>
          </w:p>
        </w:tc>
        <w:tc>
          <w:tcPr>
            <w:tcW w:w="1077" w:type="dxa"/>
          </w:tcPr>
          <w:p w14:paraId="7891B23C" w14:textId="77777777" w:rsidR="009D2CB4" w:rsidRPr="00BF2792" w:rsidRDefault="009D2CB4" w:rsidP="009D2CB4">
            <w:pPr>
              <w:pStyle w:val="TableText"/>
              <w:jc w:val="right"/>
              <w:rPr>
                <w:color w:val="000000" w:themeColor="text1"/>
              </w:rPr>
            </w:pPr>
            <w:r w:rsidRPr="00BF2792">
              <w:rPr>
                <w:rFonts w:cs="Arial"/>
              </w:rPr>
              <w:t>1.3 (0.5,</w:t>
            </w:r>
            <w:r>
              <w:rPr>
                <w:rFonts w:cs="Arial"/>
              </w:rPr>
              <w:t xml:space="preserve"> </w:t>
            </w:r>
            <w:r w:rsidRPr="00BF2792">
              <w:rPr>
                <w:rFonts w:cs="Arial"/>
              </w:rPr>
              <w:t>3.2)</w:t>
            </w:r>
          </w:p>
        </w:tc>
        <w:tc>
          <w:tcPr>
            <w:tcW w:w="451" w:type="dxa"/>
          </w:tcPr>
          <w:p w14:paraId="086F8FF3" w14:textId="77777777" w:rsidR="009D2CB4" w:rsidRPr="00BF2792" w:rsidRDefault="009D2CB4" w:rsidP="009D2CB4">
            <w:pPr>
              <w:pStyle w:val="TableText"/>
              <w:jc w:val="right"/>
              <w:rPr>
                <w:color w:val="000000" w:themeColor="text1"/>
              </w:rPr>
            </w:pPr>
            <w:r w:rsidRPr="00BF2792">
              <w:rPr>
                <w:rFonts w:cs="Arial"/>
              </w:rPr>
              <w:t>7</w:t>
            </w:r>
          </w:p>
        </w:tc>
        <w:tc>
          <w:tcPr>
            <w:tcW w:w="830" w:type="dxa"/>
          </w:tcPr>
          <w:p w14:paraId="3AF22356" w14:textId="77777777" w:rsidR="009D2CB4" w:rsidRPr="00BF2792" w:rsidRDefault="009D2CB4" w:rsidP="009D2CB4">
            <w:pPr>
              <w:pStyle w:val="TableText"/>
              <w:jc w:val="right"/>
              <w:rPr>
                <w:color w:val="000000" w:themeColor="text1"/>
              </w:rPr>
            </w:pPr>
            <w:r w:rsidRPr="00BF2792">
              <w:rPr>
                <w:rFonts w:cs="Arial"/>
              </w:rPr>
              <w:t>27</w:t>
            </w:r>
          </w:p>
        </w:tc>
        <w:tc>
          <w:tcPr>
            <w:tcW w:w="1067" w:type="dxa"/>
          </w:tcPr>
          <w:p w14:paraId="76426DB6" w14:textId="77777777" w:rsidR="009D2CB4" w:rsidRPr="00BF2792" w:rsidRDefault="009D2CB4" w:rsidP="009D2CB4">
            <w:pPr>
              <w:pStyle w:val="TableText"/>
              <w:jc w:val="right"/>
              <w:rPr>
                <w:color w:val="000000" w:themeColor="text1"/>
              </w:rPr>
            </w:pPr>
            <w:r w:rsidRPr="00BF2792">
              <w:rPr>
                <w:rFonts w:cs="Arial"/>
              </w:rPr>
              <w:t>0.3 (0.1,</w:t>
            </w:r>
            <w:r>
              <w:rPr>
                <w:rFonts w:cs="Arial"/>
              </w:rPr>
              <w:t xml:space="preserve"> </w:t>
            </w:r>
            <w:r w:rsidRPr="00BF2792">
              <w:rPr>
                <w:rFonts w:cs="Arial"/>
              </w:rPr>
              <w:t>0.7)</w:t>
            </w:r>
          </w:p>
        </w:tc>
      </w:tr>
      <w:tr w:rsidR="009D2CB4" w:rsidRPr="00BF2792" w14:paraId="7950E377"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620" w:type="dxa"/>
          </w:tcPr>
          <w:p w14:paraId="26FF09BC" w14:textId="77777777" w:rsidR="009D2CB4" w:rsidRPr="00BF2792" w:rsidRDefault="009D2CB4" w:rsidP="009D2CB4">
            <w:pPr>
              <w:pStyle w:val="TableText"/>
              <w:rPr>
                <w:rFonts w:cs="ArialMT"/>
              </w:rPr>
            </w:pPr>
            <w:r w:rsidRPr="00BF2792">
              <w:rPr>
                <w:rFonts w:cs="ArialMT"/>
              </w:rPr>
              <w:t>A smart phone (e.g. iPhone, Blackberry)</w:t>
            </w:r>
          </w:p>
        </w:tc>
        <w:tc>
          <w:tcPr>
            <w:tcW w:w="458" w:type="dxa"/>
          </w:tcPr>
          <w:p w14:paraId="212526B9" w14:textId="77777777" w:rsidR="009D2CB4" w:rsidRPr="00BF2792" w:rsidRDefault="009D2CB4" w:rsidP="009D2CB4">
            <w:pPr>
              <w:pStyle w:val="TableText"/>
              <w:jc w:val="right"/>
              <w:rPr>
                <w:color w:val="000000" w:themeColor="text1"/>
              </w:rPr>
            </w:pPr>
            <w:r w:rsidRPr="00BF2792">
              <w:rPr>
                <w:rFonts w:cs="Arial"/>
              </w:rPr>
              <w:t>481</w:t>
            </w:r>
          </w:p>
        </w:tc>
        <w:tc>
          <w:tcPr>
            <w:tcW w:w="812" w:type="dxa"/>
          </w:tcPr>
          <w:p w14:paraId="294B4E3E" w14:textId="77777777" w:rsidR="009D2CB4" w:rsidRPr="00BF2792" w:rsidRDefault="009D2CB4" w:rsidP="009D2CB4">
            <w:pPr>
              <w:pStyle w:val="TableText"/>
              <w:jc w:val="right"/>
              <w:rPr>
                <w:color w:val="000000" w:themeColor="text1"/>
              </w:rPr>
            </w:pPr>
            <w:r w:rsidRPr="00BF2792">
              <w:rPr>
                <w:rFonts w:cs="Arial"/>
              </w:rPr>
              <w:t>3642</w:t>
            </w:r>
          </w:p>
        </w:tc>
        <w:tc>
          <w:tcPr>
            <w:tcW w:w="1077" w:type="dxa"/>
          </w:tcPr>
          <w:p w14:paraId="49055B7E" w14:textId="77777777" w:rsidR="009D2CB4" w:rsidRPr="00BF2792" w:rsidRDefault="009D2CB4" w:rsidP="009D2CB4">
            <w:pPr>
              <w:pStyle w:val="TableText"/>
              <w:jc w:val="right"/>
              <w:rPr>
                <w:color w:val="000000" w:themeColor="text1"/>
              </w:rPr>
            </w:pPr>
            <w:r w:rsidRPr="00BF2792">
              <w:rPr>
                <w:rFonts w:cs="Arial"/>
              </w:rPr>
              <w:t>59.5 (55.4,</w:t>
            </w:r>
            <w:r>
              <w:rPr>
                <w:rFonts w:cs="Arial"/>
              </w:rPr>
              <w:t xml:space="preserve"> </w:t>
            </w:r>
            <w:r w:rsidRPr="00BF2792">
              <w:rPr>
                <w:rFonts w:cs="Arial"/>
              </w:rPr>
              <w:t>63.6)</w:t>
            </w:r>
          </w:p>
        </w:tc>
        <w:tc>
          <w:tcPr>
            <w:tcW w:w="451" w:type="dxa"/>
          </w:tcPr>
          <w:p w14:paraId="6D93C8BD" w14:textId="77777777" w:rsidR="009D2CB4" w:rsidRPr="00BF2792" w:rsidRDefault="009D2CB4" w:rsidP="009D2CB4">
            <w:pPr>
              <w:pStyle w:val="TableText"/>
              <w:jc w:val="right"/>
              <w:rPr>
                <w:color w:val="000000" w:themeColor="text1"/>
              </w:rPr>
            </w:pPr>
            <w:r w:rsidRPr="00BF2792">
              <w:rPr>
                <w:rFonts w:cs="Arial"/>
              </w:rPr>
              <w:t>908</w:t>
            </w:r>
          </w:p>
        </w:tc>
        <w:tc>
          <w:tcPr>
            <w:tcW w:w="830" w:type="dxa"/>
          </w:tcPr>
          <w:p w14:paraId="5988DDF0" w14:textId="77777777" w:rsidR="009D2CB4" w:rsidRPr="00BF2792" w:rsidRDefault="009D2CB4" w:rsidP="009D2CB4">
            <w:pPr>
              <w:pStyle w:val="TableText"/>
              <w:jc w:val="right"/>
              <w:rPr>
                <w:color w:val="000000" w:themeColor="text1"/>
              </w:rPr>
            </w:pPr>
            <w:r w:rsidRPr="00BF2792">
              <w:rPr>
                <w:rFonts w:cs="Arial"/>
              </w:rPr>
              <w:t>6518</w:t>
            </w:r>
          </w:p>
        </w:tc>
        <w:tc>
          <w:tcPr>
            <w:tcW w:w="1067" w:type="dxa"/>
          </w:tcPr>
          <w:p w14:paraId="72B733F3" w14:textId="77777777" w:rsidR="009D2CB4" w:rsidRPr="00BF2792" w:rsidRDefault="009D2CB4" w:rsidP="009D2CB4">
            <w:pPr>
              <w:pStyle w:val="TableText"/>
              <w:jc w:val="right"/>
              <w:rPr>
                <w:color w:val="000000" w:themeColor="text1"/>
              </w:rPr>
            </w:pPr>
            <w:r w:rsidRPr="00BF2792">
              <w:rPr>
                <w:rFonts w:cs="Arial"/>
              </w:rPr>
              <w:t>72.1 (64.1,</w:t>
            </w:r>
            <w:r>
              <w:rPr>
                <w:rFonts w:cs="Arial"/>
              </w:rPr>
              <w:t xml:space="preserve"> </w:t>
            </w:r>
            <w:r w:rsidRPr="00BF2792">
              <w:rPr>
                <w:rFonts w:cs="Arial"/>
              </w:rPr>
              <w:t>78.8)</w:t>
            </w:r>
          </w:p>
        </w:tc>
      </w:tr>
      <w:tr w:rsidR="009D2CB4" w:rsidRPr="00BF2792" w14:paraId="0DAE4EBE" w14:textId="77777777" w:rsidTr="00D6757C">
        <w:trPr>
          <w:cantSplit/>
        </w:trPr>
        <w:tc>
          <w:tcPr>
            <w:tcW w:w="2620" w:type="dxa"/>
          </w:tcPr>
          <w:p w14:paraId="2F33458A" w14:textId="77777777" w:rsidR="009D2CB4" w:rsidRPr="00BF2792" w:rsidRDefault="009D2CB4" w:rsidP="009D2CB4">
            <w:pPr>
              <w:pStyle w:val="TableText"/>
            </w:pPr>
            <w:r w:rsidRPr="00BF2792">
              <w:rPr>
                <w:rFonts w:cs="ArialMT"/>
              </w:rPr>
              <w:t>A television set (TV)</w:t>
            </w:r>
          </w:p>
        </w:tc>
        <w:tc>
          <w:tcPr>
            <w:tcW w:w="458" w:type="dxa"/>
          </w:tcPr>
          <w:p w14:paraId="5CFF9BF8" w14:textId="77777777" w:rsidR="009D2CB4" w:rsidRPr="00BF2792" w:rsidRDefault="009D2CB4" w:rsidP="009D2CB4">
            <w:pPr>
              <w:pStyle w:val="TableText"/>
              <w:jc w:val="right"/>
              <w:rPr>
                <w:color w:val="000000" w:themeColor="text1"/>
              </w:rPr>
            </w:pPr>
            <w:r w:rsidRPr="00BF2792">
              <w:rPr>
                <w:rFonts w:cs="Arial"/>
              </w:rPr>
              <w:t>23</w:t>
            </w:r>
          </w:p>
        </w:tc>
        <w:tc>
          <w:tcPr>
            <w:tcW w:w="812" w:type="dxa"/>
          </w:tcPr>
          <w:p w14:paraId="550F54F4" w14:textId="77777777" w:rsidR="009D2CB4" w:rsidRPr="00BF2792" w:rsidRDefault="009D2CB4" w:rsidP="009D2CB4">
            <w:pPr>
              <w:pStyle w:val="TableText"/>
              <w:jc w:val="right"/>
              <w:rPr>
                <w:color w:val="000000" w:themeColor="text1"/>
              </w:rPr>
            </w:pPr>
            <w:r w:rsidRPr="00BF2792">
              <w:rPr>
                <w:rFonts w:cs="Arial"/>
              </w:rPr>
              <w:t>171</w:t>
            </w:r>
          </w:p>
        </w:tc>
        <w:tc>
          <w:tcPr>
            <w:tcW w:w="1077" w:type="dxa"/>
          </w:tcPr>
          <w:p w14:paraId="483B0901" w14:textId="77777777" w:rsidR="009D2CB4" w:rsidRPr="00BF2792" w:rsidRDefault="009D2CB4" w:rsidP="009D2CB4">
            <w:pPr>
              <w:pStyle w:val="TableText"/>
              <w:jc w:val="right"/>
              <w:rPr>
                <w:color w:val="000000" w:themeColor="text1"/>
              </w:rPr>
            </w:pPr>
            <w:r w:rsidRPr="00BF2792">
              <w:rPr>
                <w:rFonts w:cs="Arial"/>
              </w:rPr>
              <w:t>2.8 (1.7,</w:t>
            </w:r>
            <w:r>
              <w:rPr>
                <w:rFonts w:cs="Arial"/>
              </w:rPr>
              <w:t xml:space="preserve"> </w:t>
            </w:r>
            <w:r w:rsidRPr="00BF2792">
              <w:rPr>
                <w:rFonts w:cs="Arial"/>
              </w:rPr>
              <w:t>4.6)</w:t>
            </w:r>
          </w:p>
        </w:tc>
        <w:tc>
          <w:tcPr>
            <w:tcW w:w="451" w:type="dxa"/>
          </w:tcPr>
          <w:p w14:paraId="1BD54894" w14:textId="77777777" w:rsidR="009D2CB4" w:rsidRPr="00BF2792" w:rsidRDefault="009D2CB4" w:rsidP="009D2CB4">
            <w:pPr>
              <w:pStyle w:val="TableText"/>
              <w:jc w:val="right"/>
              <w:rPr>
                <w:color w:val="000000" w:themeColor="text1"/>
              </w:rPr>
            </w:pPr>
            <w:r w:rsidRPr="00BF2792">
              <w:rPr>
                <w:rFonts w:cs="Arial"/>
              </w:rPr>
              <w:t>53</w:t>
            </w:r>
          </w:p>
        </w:tc>
        <w:tc>
          <w:tcPr>
            <w:tcW w:w="830" w:type="dxa"/>
          </w:tcPr>
          <w:p w14:paraId="604E07BE" w14:textId="77777777" w:rsidR="009D2CB4" w:rsidRPr="00BF2792" w:rsidRDefault="009D2CB4" w:rsidP="009D2CB4">
            <w:pPr>
              <w:pStyle w:val="TableText"/>
              <w:jc w:val="right"/>
              <w:rPr>
                <w:color w:val="000000" w:themeColor="text1"/>
              </w:rPr>
            </w:pPr>
            <w:r w:rsidRPr="00BF2792">
              <w:rPr>
                <w:rFonts w:cs="Arial"/>
              </w:rPr>
              <w:t>413</w:t>
            </w:r>
          </w:p>
        </w:tc>
        <w:tc>
          <w:tcPr>
            <w:tcW w:w="1067" w:type="dxa"/>
          </w:tcPr>
          <w:p w14:paraId="2C8BE3C9" w14:textId="77777777" w:rsidR="009D2CB4" w:rsidRPr="00BF2792" w:rsidRDefault="009D2CB4" w:rsidP="009D2CB4">
            <w:pPr>
              <w:pStyle w:val="TableText"/>
              <w:jc w:val="right"/>
              <w:rPr>
                <w:color w:val="000000" w:themeColor="text1"/>
              </w:rPr>
            </w:pPr>
            <w:r w:rsidRPr="00BF2792">
              <w:rPr>
                <w:rFonts w:cs="Arial"/>
              </w:rPr>
              <w:t>4.6 (1.8,</w:t>
            </w:r>
            <w:r>
              <w:rPr>
                <w:rFonts w:cs="Arial"/>
              </w:rPr>
              <w:t xml:space="preserve"> </w:t>
            </w:r>
            <w:r w:rsidRPr="00BF2792">
              <w:rPr>
                <w:rFonts w:cs="Arial"/>
              </w:rPr>
              <w:t>11.1)</w:t>
            </w:r>
          </w:p>
        </w:tc>
      </w:tr>
      <w:tr w:rsidR="009D2CB4" w:rsidRPr="00BF2792" w14:paraId="769E3E0C"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620" w:type="dxa"/>
          </w:tcPr>
          <w:p w14:paraId="730F95C1" w14:textId="77777777" w:rsidR="009D2CB4" w:rsidRPr="00BF2792" w:rsidRDefault="009D2CB4" w:rsidP="009D2CB4">
            <w:pPr>
              <w:pStyle w:val="TableText"/>
              <w:rPr>
                <w:rFonts w:cs="ArialMT"/>
              </w:rPr>
            </w:pPr>
            <w:r w:rsidRPr="00BF2792">
              <w:rPr>
                <w:rFonts w:cs="ArialMT"/>
              </w:rPr>
              <w:t>Your own desktop computer</w:t>
            </w:r>
          </w:p>
        </w:tc>
        <w:tc>
          <w:tcPr>
            <w:tcW w:w="458" w:type="dxa"/>
          </w:tcPr>
          <w:p w14:paraId="37F0F8F0" w14:textId="77777777" w:rsidR="009D2CB4" w:rsidRPr="00BF2792" w:rsidRDefault="009D2CB4" w:rsidP="009D2CB4">
            <w:pPr>
              <w:pStyle w:val="TableText"/>
              <w:jc w:val="right"/>
              <w:rPr>
                <w:color w:val="000000" w:themeColor="text1"/>
              </w:rPr>
            </w:pPr>
            <w:r w:rsidRPr="00BF2792">
              <w:rPr>
                <w:rFonts w:cs="Arial"/>
              </w:rPr>
              <w:t>146</w:t>
            </w:r>
          </w:p>
        </w:tc>
        <w:tc>
          <w:tcPr>
            <w:tcW w:w="812" w:type="dxa"/>
          </w:tcPr>
          <w:p w14:paraId="328AD15A" w14:textId="77777777" w:rsidR="009D2CB4" w:rsidRPr="00BF2792" w:rsidRDefault="009D2CB4" w:rsidP="009D2CB4">
            <w:pPr>
              <w:pStyle w:val="TableText"/>
              <w:jc w:val="right"/>
              <w:rPr>
                <w:color w:val="000000" w:themeColor="text1"/>
              </w:rPr>
            </w:pPr>
            <w:r w:rsidRPr="00BF2792">
              <w:rPr>
                <w:rFonts w:cs="Arial"/>
              </w:rPr>
              <w:t>1117</w:t>
            </w:r>
          </w:p>
        </w:tc>
        <w:tc>
          <w:tcPr>
            <w:tcW w:w="1077" w:type="dxa"/>
          </w:tcPr>
          <w:p w14:paraId="128E2C16" w14:textId="77777777" w:rsidR="009D2CB4" w:rsidRPr="00BF2792" w:rsidRDefault="009D2CB4" w:rsidP="009D2CB4">
            <w:pPr>
              <w:pStyle w:val="TableText"/>
              <w:jc w:val="right"/>
              <w:rPr>
                <w:color w:val="000000" w:themeColor="text1"/>
              </w:rPr>
            </w:pPr>
            <w:r w:rsidRPr="00BF2792">
              <w:rPr>
                <w:rFonts w:cs="Arial"/>
              </w:rPr>
              <w:t>18.3 (15.2,</w:t>
            </w:r>
            <w:r>
              <w:rPr>
                <w:rFonts w:cs="Arial"/>
              </w:rPr>
              <w:t xml:space="preserve"> </w:t>
            </w:r>
            <w:r w:rsidRPr="00BF2792">
              <w:rPr>
                <w:rFonts w:cs="Arial"/>
              </w:rPr>
              <w:t>21.8)</w:t>
            </w:r>
          </w:p>
        </w:tc>
        <w:tc>
          <w:tcPr>
            <w:tcW w:w="451" w:type="dxa"/>
          </w:tcPr>
          <w:p w14:paraId="733DF8EB" w14:textId="77777777" w:rsidR="009D2CB4" w:rsidRPr="00BF2792" w:rsidRDefault="009D2CB4" w:rsidP="009D2CB4">
            <w:pPr>
              <w:pStyle w:val="TableText"/>
              <w:jc w:val="right"/>
              <w:rPr>
                <w:color w:val="000000" w:themeColor="text1"/>
              </w:rPr>
            </w:pPr>
            <w:r w:rsidRPr="00BF2792">
              <w:rPr>
                <w:rFonts w:cs="Arial"/>
              </w:rPr>
              <w:t>227</w:t>
            </w:r>
          </w:p>
        </w:tc>
        <w:tc>
          <w:tcPr>
            <w:tcW w:w="830" w:type="dxa"/>
          </w:tcPr>
          <w:p w14:paraId="2B8340AA" w14:textId="77777777" w:rsidR="009D2CB4" w:rsidRPr="00BF2792" w:rsidRDefault="009D2CB4" w:rsidP="009D2CB4">
            <w:pPr>
              <w:pStyle w:val="TableText"/>
              <w:jc w:val="right"/>
              <w:rPr>
                <w:color w:val="000000" w:themeColor="text1"/>
              </w:rPr>
            </w:pPr>
            <w:r w:rsidRPr="00BF2792">
              <w:rPr>
                <w:rFonts w:cs="Arial"/>
              </w:rPr>
              <w:t>1572</w:t>
            </w:r>
          </w:p>
        </w:tc>
        <w:tc>
          <w:tcPr>
            <w:tcW w:w="1067" w:type="dxa"/>
          </w:tcPr>
          <w:p w14:paraId="655485CF" w14:textId="77777777" w:rsidR="009D2CB4" w:rsidRPr="00BF2792" w:rsidRDefault="009D2CB4" w:rsidP="009D2CB4">
            <w:pPr>
              <w:pStyle w:val="TableText"/>
              <w:jc w:val="right"/>
              <w:rPr>
                <w:color w:val="000000" w:themeColor="text1"/>
              </w:rPr>
            </w:pPr>
            <w:r w:rsidRPr="00BF2792">
              <w:rPr>
                <w:rFonts w:cs="Arial"/>
              </w:rPr>
              <w:t>17.4 (11.5,</w:t>
            </w:r>
            <w:r>
              <w:rPr>
                <w:rFonts w:cs="Arial"/>
              </w:rPr>
              <w:t xml:space="preserve"> </w:t>
            </w:r>
            <w:r w:rsidRPr="00BF2792">
              <w:rPr>
                <w:rFonts w:cs="Arial"/>
              </w:rPr>
              <w:t>25.3)</w:t>
            </w:r>
          </w:p>
        </w:tc>
      </w:tr>
      <w:tr w:rsidR="009D2CB4" w:rsidRPr="00BF2792" w14:paraId="307CE6EF" w14:textId="77777777" w:rsidTr="00D6757C">
        <w:trPr>
          <w:cantSplit/>
        </w:trPr>
        <w:tc>
          <w:tcPr>
            <w:tcW w:w="2620" w:type="dxa"/>
          </w:tcPr>
          <w:p w14:paraId="2FBF491F" w14:textId="77777777" w:rsidR="009D2CB4" w:rsidRPr="00BF2792" w:rsidRDefault="009D2CB4" w:rsidP="009D2CB4">
            <w:pPr>
              <w:pStyle w:val="TableText"/>
              <w:rPr>
                <w:rFonts w:cs="ArialMT"/>
              </w:rPr>
            </w:pPr>
            <w:r w:rsidRPr="00BF2792">
              <w:rPr>
                <w:rFonts w:cs="ArialMT"/>
              </w:rPr>
              <w:t>Your own laptop or laptop that you mainly use and can use in private</w:t>
            </w:r>
          </w:p>
        </w:tc>
        <w:tc>
          <w:tcPr>
            <w:tcW w:w="458" w:type="dxa"/>
          </w:tcPr>
          <w:p w14:paraId="5865005A" w14:textId="77777777" w:rsidR="009D2CB4" w:rsidRPr="00BF2792" w:rsidRDefault="009D2CB4" w:rsidP="009D2CB4">
            <w:pPr>
              <w:pStyle w:val="TableText"/>
              <w:jc w:val="right"/>
              <w:rPr>
                <w:color w:val="000000" w:themeColor="text1"/>
              </w:rPr>
            </w:pPr>
            <w:r w:rsidRPr="00BF2792">
              <w:rPr>
                <w:rFonts w:cs="Arial"/>
              </w:rPr>
              <w:t>434</w:t>
            </w:r>
          </w:p>
        </w:tc>
        <w:tc>
          <w:tcPr>
            <w:tcW w:w="812" w:type="dxa"/>
          </w:tcPr>
          <w:p w14:paraId="35CB7196" w14:textId="77777777" w:rsidR="009D2CB4" w:rsidRPr="00BF2792" w:rsidRDefault="009D2CB4" w:rsidP="009D2CB4">
            <w:pPr>
              <w:pStyle w:val="TableText"/>
              <w:jc w:val="right"/>
              <w:rPr>
                <w:color w:val="000000" w:themeColor="text1"/>
              </w:rPr>
            </w:pPr>
            <w:r w:rsidRPr="00BF2792">
              <w:rPr>
                <w:rFonts w:cs="Arial"/>
              </w:rPr>
              <w:t>3191</w:t>
            </w:r>
          </w:p>
        </w:tc>
        <w:tc>
          <w:tcPr>
            <w:tcW w:w="1077" w:type="dxa"/>
          </w:tcPr>
          <w:p w14:paraId="58D148C1" w14:textId="77777777" w:rsidR="009D2CB4" w:rsidRPr="00BF2792" w:rsidRDefault="009D2CB4" w:rsidP="009D2CB4">
            <w:pPr>
              <w:pStyle w:val="TableText"/>
              <w:jc w:val="right"/>
              <w:rPr>
                <w:color w:val="000000" w:themeColor="text1"/>
              </w:rPr>
            </w:pPr>
            <w:r w:rsidRPr="00BF2792">
              <w:rPr>
                <w:rFonts w:cs="Arial"/>
              </w:rPr>
              <w:t>52.2 (48.0,</w:t>
            </w:r>
            <w:r>
              <w:rPr>
                <w:rFonts w:cs="Arial"/>
              </w:rPr>
              <w:t xml:space="preserve"> </w:t>
            </w:r>
            <w:r w:rsidRPr="00BF2792">
              <w:rPr>
                <w:rFonts w:cs="Arial"/>
              </w:rPr>
              <w:t>56.4)</w:t>
            </w:r>
          </w:p>
        </w:tc>
        <w:tc>
          <w:tcPr>
            <w:tcW w:w="451" w:type="dxa"/>
          </w:tcPr>
          <w:p w14:paraId="6FE0F5F8" w14:textId="77777777" w:rsidR="009D2CB4" w:rsidRPr="00BF2792" w:rsidRDefault="009D2CB4" w:rsidP="009D2CB4">
            <w:pPr>
              <w:pStyle w:val="TableText"/>
              <w:jc w:val="right"/>
              <w:rPr>
                <w:color w:val="000000" w:themeColor="text1"/>
              </w:rPr>
            </w:pPr>
            <w:r w:rsidRPr="00BF2792">
              <w:rPr>
                <w:rFonts w:cs="Arial"/>
              </w:rPr>
              <w:t>679</w:t>
            </w:r>
          </w:p>
        </w:tc>
        <w:tc>
          <w:tcPr>
            <w:tcW w:w="830" w:type="dxa"/>
          </w:tcPr>
          <w:p w14:paraId="24490D7A" w14:textId="77777777" w:rsidR="009D2CB4" w:rsidRPr="00BF2792" w:rsidRDefault="009D2CB4" w:rsidP="009D2CB4">
            <w:pPr>
              <w:pStyle w:val="TableText"/>
              <w:jc w:val="right"/>
              <w:rPr>
                <w:color w:val="000000" w:themeColor="text1"/>
              </w:rPr>
            </w:pPr>
            <w:r w:rsidRPr="00BF2792">
              <w:rPr>
                <w:rFonts w:cs="Arial"/>
              </w:rPr>
              <w:t>3823</w:t>
            </w:r>
          </w:p>
        </w:tc>
        <w:tc>
          <w:tcPr>
            <w:tcW w:w="1067" w:type="dxa"/>
          </w:tcPr>
          <w:p w14:paraId="2196C7D4" w14:textId="77777777" w:rsidR="009D2CB4" w:rsidRPr="00BF2792" w:rsidRDefault="009D2CB4" w:rsidP="009D2CB4">
            <w:pPr>
              <w:pStyle w:val="TableText"/>
              <w:jc w:val="right"/>
              <w:rPr>
                <w:color w:val="000000" w:themeColor="text1"/>
              </w:rPr>
            </w:pPr>
            <w:r w:rsidRPr="00BF2792">
              <w:rPr>
                <w:rFonts w:cs="Arial"/>
              </w:rPr>
              <w:t>42.3 (33.5,</w:t>
            </w:r>
            <w:r>
              <w:rPr>
                <w:rFonts w:cs="Arial"/>
              </w:rPr>
              <w:t xml:space="preserve"> </w:t>
            </w:r>
            <w:r w:rsidRPr="00BF2792">
              <w:rPr>
                <w:rFonts w:cs="Arial"/>
              </w:rPr>
              <w:t>51.6)</w:t>
            </w:r>
          </w:p>
        </w:tc>
      </w:tr>
      <w:tr w:rsidR="009D2CB4" w:rsidRPr="00BF2792" w14:paraId="6DE6B40A"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620" w:type="dxa"/>
          </w:tcPr>
          <w:p w14:paraId="42B42D46" w14:textId="77777777" w:rsidR="009D2CB4" w:rsidRPr="00BF2792" w:rsidRDefault="009D2CB4" w:rsidP="009D2CB4">
            <w:pPr>
              <w:pStyle w:val="TableText"/>
              <w:rPr>
                <w:rFonts w:cs="ArialMT"/>
              </w:rPr>
            </w:pPr>
            <w:r w:rsidRPr="00BF2792">
              <w:rPr>
                <w:rFonts w:cs="ArialMT"/>
              </w:rPr>
              <w:t>Other handheld portable devices (e.g. MP3 player, iPod Touch, iPad or other Android tablets)</w:t>
            </w:r>
          </w:p>
        </w:tc>
        <w:tc>
          <w:tcPr>
            <w:tcW w:w="458" w:type="dxa"/>
          </w:tcPr>
          <w:p w14:paraId="1539B717" w14:textId="77777777" w:rsidR="009D2CB4" w:rsidRPr="00BF2792" w:rsidRDefault="009D2CB4" w:rsidP="009D2CB4">
            <w:pPr>
              <w:pStyle w:val="TableText"/>
              <w:jc w:val="right"/>
              <w:rPr>
                <w:color w:val="000000" w:themeColor="text1"/>
              </w:rPr>
            </w:pPr>
            <w:r w:rsidRPr="00BF2792">
              <w:rPr>
                <w:rFonts w:cs="Arial"/>
              </w:rPr>
              <w:t>251</w:t>
            </w:r>
          </w:p>
        </w:tc>
        <w:tc>
          <w:tcPr>
            <w:tcW w:w="812" w:type="dxa"/>
          </w:tcPr>
          <w:p w14:paraId="6231ACF8" w14:textId="77777777" w:rsidR="009D2CB4" w:rsidRPr="00BF2792" w:rsidRDefault="009D2CB4" w:rsidP="009D2CB4">
            <w:pPr>
              <w:pStyle w:val="TableText"/>
              <w:jc w:val="right"/>
              <w:rPr>
                <w:color w:val="000000" w:themeColor="text1"/>
              </w:rPr>
            </w:pPr>
            <w:r w:rsidRPr="00BF2792">
              <w:rPr>
                <w:rFonts w:cs="Arial"/>
              </w:rPr>
              <w:t>1516</w:t>
            </w:r>
          </w:p>
        </w:tc>
        <w:tc>
          <w:tcPr>
            <w:tcW w:w="1077" w:type="dxa"/>
          </w:tcPr>
          <w:p w14:paraId="26C5881A" w14:textId="77777777" w:rsidR="009D2CB4" w:rsidRPr="00BF2792" w:rsidRDefault="009D2CB4" w:rsidP="009D2CB4">
            <w:pPr>
              <w:pStyle w:val="TableText"/>
              <w:jc w:val="right"/>
              <w:rPr>
                <w:color w:val="000000" w:themeColor="text1"/>
              </w:rPr>
            </w:pPr>
            <w:r w:rsidRPr="00BF2792">
              <w:rPr>
                <w:rFonts w:cs="Arial"/>
              </w:rPr>
              <w:t>24.8 (21.5,</w:t>
            </w:r>
            <w:r>
              <w:rPr>
                <w:rFonts w:cs="Arial"/>
              </w:rPr>
              <w:t xml:space="preserve"> </w:t>
            </w:r>
            <w:r w:rsidRPr="00BF2792">
              <w:rPr>
                <w:rFonts w:cs="Arial"/>
              </w:rPr>
              <w:t>28.4)</w:t>
            </w:r>
          </w:p>
        </w:tc>
        <w:tc>
          <w:tcPr>
            <w:tcW w:w="451" w:type="dxa"/>
          </w:tcPr>
          <w:p w14:paraId="03031767" w14:textId="77777777" w:rsidR="009D2CB4" w:rsidRPr="00BF2792" w:rsidRDefault="009D2CB4" w:rsidP="009D2CB4">
            <w:pPr>
              <w:pStyle w:val="TableText"/>
              <w:jc w:val="right"/>
              <w:rPr>
                <w:color w:val="000000" w:themeColor="text1"/>
              </w:rPr>
            </w:pPr>
            <w:r w:rsidRPr="00BF2792">
              <w:rPr>
                <w:rFonts w:cs="Arial"/>
              </w:rPr>
              <w:t>496</w:t>
            </w:r>
          </w:p>
        </w:tc>
        <w:tc>
          <w:tcPr>
            <w:tcW w:w="830" w:type="dxa"/>
          </w:tcPr>
          <w:p w14:paraId="28A5889C" w14:textId="77777777" w:rsidR="009D2CB4" w:rsidRPr="00BF2792" w:rsidRDefault="009D2CB4" w:rsidP="009D2CB4">
            <w:pPr>
              <w:pStyle w:val="TableText"/>
              <w:jc w:val="right"/>
              <w:rPr>
                <w:color w:val="000000" w:themeColor="text1"/>
              </w:rPr>
            </w:pPr>
            <w:r w:rsidRPr="00BF2792">
              <w:rPr>
                <w:rFonts w:cs="Arial"/>
              </w:rPr>
              <w:t>2231</w:t>
            </w:r>
          </w:p>
        </w:tc>
        <w:tc>
          <w:tcPr>
            <w:tcW w:w="1067" w:type="dxa"/>
          </w:tcPr>
          <w:p w14:paraId="7176995F" w14:textId="77777777" w:rsidR="009D2CB4" w:rsidRPr="00BF2792" w:rsidRDefault="009D2CB4" w:rsidP="009D2CB4">
            <w:pPr>
              <w:pStyle w:val="TableText"/>
              <w:jc w:val="right"/>
              <w:rPr>
                <w:color w:val="000000" w:themeColor="text1"/>
              </w:rPr>
            </w:pPr>
            <w:r w:rsidRPr="00BF2792">
              <w:rPr>
                <w:rFonts w:cs="Arial"/>
              </w:rPr>
              <w:t>24.7 (19.1,</w:t>
            </w:r>
            <w:r>
              <w:rPr>
                <w:rFonts w:cs="Arial"/>
              </w:rPr>
              <w:t xml:space="preserve"> </w:t>
            </w:r>
            <w:r w:rsidRPr="00BF2792">
              <w:rPr>
                <w:rFonts w:cs="Arial"/>
              </w:rPr>
              <w:t>31.3)</w:t>
            </w:r>
          </w:p>
        </w:tc>
      </w:tr>
      <w:tr w:rsidR="009D2CB4" w:rsidRPr="00BF2792" w14:paraId="0278B465" w14:textId="77777777" w:rsidTr="00D6757C">
        <w:trPr>
          <w:cantSplit/>
        </w:trPr>
        <w:tc>
          <w:tcPr>
            <w:tcW w:w="2620" w:type="dxa"/>
          </w:tcPr>
          <w:p w14:paraId="4695DE71" w14:textId="77777777" w:rsidR="009D2CB4" w:rsidRPr="00BF2792" w:rsidRDefault="009D2CB4" w:rsidP="009D2CB4">
            <w:pPr>
              <w:pStyle w:val="TableText"/>
              <w:rPr>
                <w:rFonts w:cs="ArialMT"/>
              </w:rPr>
            </w:pPr>
            <w:r w:rsidRPr="00BF2792">
              <w:rPr>
                <w:rFonts w:cs="ArialMT"/>
              </w:rPr>
              <w:t>Other</w:t>
            </w:r>
          </w:p>
        </w:tc>
        <w:tc>
          <w:tcPr>
            <w:tcW w:w="458" w:type="dxa"/>
          </w:tcPr>
          <w:p w14:paraId="7E8363CC" w14:textId="77777777" w:rsidR="009D2CB4" w:rsidRPr="00BF2792" w:rsidRDefault="009D2CB4" w:rsidP="009D2CB4">
            <w:pPr>
              <w:pStyle w:val="TableText"/>
              <w:jc w:val="right"/>
              <w:rPr>
                <w:color w:val="000000" w:themeColor="text1"/>
              </w:rPr>
            </w:pPr>
            <w:r w:rsidRPr="00BF2792">
              <w:rPr>
                <w:rFonts w:cs="Arial"/>
              </w:rPr>
              <w:t>7</w:t>
            </w:r>
          </w:p>
        </w:tc>
        <w:tc>
          <w:tcPr>
            <w:tcW w:w="812" w:type="dxa"/>
          </w:tcPr>
          <w:p w14:paraId="119885A5" w14:textId="77777777" w:rsidR="009D2CB4" w:rsidRPr="00BF2792" w:rsidRDefault="009D2CB4" w:rsidP="009D2CB4">
            <w:pPr>
              <w:pStyle w:val="TableText"/>
              <w:jc w:val="right"/>
              <w:rPr>
                <w:color w:val="000000" w:themeColor="text1"/>
              </w:rPr>
            </w:pPr>
            <w:r w:rsidRPr="00BF2792">
              <w:rPr>
                <w:rFonts w:cs="Arial"/>
              </w:rPr>
              <w:t>42</w:t>
            </w:r>
          </w:p>
        </w:tc>
        <w:tc>
          <w:tcPr>
            <w:tcW w:w="1077" w:type="dxa"/>
          </w:tcPr>
          <w:p w14:paraId="234BBA39" w14:textId="77777777" w:rsidR="009D2CB4" w:rsidRPr="00BF2792" w:rsidRDefault="009D2CB4" w:rsidP="009D2CB4">
            <w:pPr>
              <w:pStyle w:val="TableText"/>
              <w:jc w:val="right"/>
              <w:rPr>
                <w:color w:val="000000" w:themeColor="text1"/>
              </w:rPr>
            </w:pPr>
            <w:r w:rsidRPr="00BF2792">
              <w:rPr>
                <w:rFonts w:cs="Arial"/>
              </w:rPr>
              <w:t>0.7 (0.3,1.5)</w:t>
            </w:r>
          </w:p>
        </w:tc>
        <w:tc>
          <w:tcPr>
            <w:tcW w:w="451" w:type="dxa"/>
          </w:tcPr>
          <w:p w14:paraId="2B33E7C9" w14:textId="77777777" w:rsidR="009D2CB4" w:rsidRPr="00BF2792" w:rsidRDefault="009D2CB4" w:rsidP="009D2CB4">
            <w:pPr>
              <w:pStyle w:val="TableText"/>
              <w:jc w:val="right"/>
              <w:rPr>
                <w:color w:val="000000" w:themeColor="text1"/>
              </w:rPr>
            </w:pPr>
            <w:r w:rsidRPr="00BF2792">
              <w:rPr>
                <w:rFonts w:cs="Arial"/>
              </w:rPr>
              <w:t>19</w:t>
            </w:r>
          </w:p>
        </w:tc>
        <w:tc>
          <w:tcPr>
            <w:tcW w:w="830" w:type="dxa"/>
          </w:tcPr>
          <w:p w14:paraId="014FE403" w14:textId="77777777" w:rsidR="009D2CB4" w:rsidRPr="00BF2792" w:rsidRDefault="009D2CB4" w:rsidP="009D2CB4">
            <w:pPr>
              <w:pStyle w:val="TableText"/>
              <w:jc w:val="right"/>
              <w:rPr>
                <w:color w:val="000000" w:themeColor="text1"/>
              </w:rPr>
            </w:pPr>
            <w:r w:rsidRPr="00BF2792">
              <w:rPr>
                <w:rFonts w:cs="Arial"/>
              </w:rPr>
              <w:t>157</w:t>
            </w:r>
          </w:p>
        </w:tc>
        <w:tc>
          <w:tcPr>
            <w:tcW w:w="1067" w:type="dxa"/>
          </w:tcPr>
          <w:p w14:paraId="70EB0055" w14:textId="77777777" w:rsidR="009D2CB4" w:rsidRPr="00BF2792" w:rsidRDefault="009D2CB4" w:rsidP="009D2CB4">
            <w:pPr>
              <w:pStyle w:val="TableText"/>
              <w:jc w:val="right"/>
              <w:rPr>
                <w:color w:val="000000" w:themeColor="text1"/>
              </w:rPr>
            </w:pPr>
            <w:r w:rsidRPr="00BF2792">
              <w:rPr>
                <w:rFonts w:cs="Arial"/>
              </w:rPr>
              <w:t>1.7 (0.6,</w:t>
            </w:r>
            <w:r>
              <w:rPr>
                <w:rFonts w:cs="Arial"/>
              </w:rPr>
              <w:t xml:space="preserve"> </w:t>
            </w:r>
            <w:r w:rsidRPr="00BF2792">
              <w:rPr>
                <w:rFonts w:cs="Arial"/>
              </w:rPr>
              <w:t>4.9)</w:t>
            </w:r>
          </w:p>
        </w:tc>
      </w:tr>
    </w:tbl>
    <w:p w14:paraId="6BAD3AEA" w14:textId="77777777" w:rsidR="009D2CB4" w:rsidRPr="006A3EA0" w:rsidRDefault="009D2CB4" w:rsidP="009D2CB4">
      <w:pPr>
        <w:pStyle w:val="TableNotes"/>
      </w:pPr>
      <w:r w:rsidRPr="006A3EA0">
        <w:t>Notes</w:t>
      </w:r>
    </w:p>
    <w:p w14:paraId="6FBA1400" w14:textId="77777777" w:rsidR="009D2CB4" w:rsidRDefault="009D2CB4" w:rsidP="009D2CB4">
      <w:pPr>
        <w:pStyle w:val="TableNotes"/>
      </w:pPr>
      <w:r w:rsidRPr="00957941">
        <w:t xml:space="preserve">Denominator: Those who use the </w:t>
      </w:r>
      <w:r>
        <w:t>internet</w:t>
      </w:r>
      <w:r w:rsidRPr="00957941">
        <w:t xml:space="preserve"> to seek help or information for, or manage, mental health issues</w:t>
      </w:r>
      <w:r>
        <w:t>.</w:t>
      </w:r>
    </w:p>
    <w:p w14:paraId="509E319F" w14:textId="77777777" w:rsidR="009D2CB4" w:rsidRDefault="009D2CB4" w:rsidP="009D2CB4">
      <w:pPr>
        <w:pStyle w:val="TableNotes"/>
        <w:rPr>
          <w:rFonts w:cs="Arial"/>
        </w:rPr>
      </w:pPr>
      <w:r>
        <w:t>Participants could endorse multiple responses for this question, hence percentages do not add up to 100%. Because responses that were not endorsed were assumed to be left blank intentionally, there are no missing values for this question.</w:t>
      </w:r>
      <w:r w:rsidR="008F66DD">
        <w:t xml:space="preserve"> </w:t>
      </w:r>
      <w:r w:rsidRPr="00957941">
        <w:t>95%CI</w:t>
      </w:r>
      <w:r>
        <w:t xml:space="preserve"> =</w:t>
      </w:r>
      <w:r w:rsidRPr="00957941">
        <w:t xml:space="preserve"> 95% </w:t>
      </w:r>
      <w:r>
        <w:t>confidence interval.</w:t>
      </w:r>
      <w:r w:rsidRPr="00E003C0">
        <w:rPr>
          <w:rFonts w:cs="Arial"/>
        </w:rPr>
        <w:t xml:space="preserve"> </w:t>
      </w:r>
    </w:p>
    <w:p w14:paraId="5FE270B5" w14:textId="77777777" w:rsidR="009D2CB4" w:rsidRPr="00957941" w:rsidRDefault="009D2CB4" w:rsidP="009D2CB4">
      <w:pPr>
        <w:pStyle w:val="Heading2"/>
        <w:numPr>
          <w:ilvl w:val="1"/>
          <w:numId w:val="1"/>
        </w:numPr>
        <w:ind w:left="720" w:hanging="720"/>
      </w:pPr>
      <w:bookmarkStart w:id="664" w:name="_Toc509917448"/>
      <w:bookmarkStart w:id="665" w:name="_Toc515374498"/>
      <w:bookmarkStart w:id="666" w:name="_Toc518566398"/>
      <w:bookmarkStart w:id="667" w:name="_Toc528932686"/>
      <w:bookmarkStart w:id="668" w:name="_Toc531859223"/>
      <w:r w:rsidRPr="00957941">
        <w:t xml:space="preserve">Suitability of available information about </w:t>
      </w:r>
      <w:r>
        <w:t>m</w:t>
      </w:r>
      <w:r w:rsidRPr="00957941">
        <w:t xml:space="preserve">ental </w:t>
      </w:r>
      <w:r>
        <w:t>h</w:t>
      </w:r>
      <w:r w:rsidRPr="00957941">
        <w:t xml:space="preserve">ealth on the </w:t>
      </w:r>
      <w:r>
        <w:t>internet</w:t>
      </w:r>
      <w:bookmarkEnd w:id="664"/>
      <w:bookmarkEnd w:id="665"/>
      <w:bookmarkEnd w:id="666"/>
      <w:bookmarkEnd w:id="667"/>
      <w:bookmarkEnd w:id="668"/>
      <w:r w:rsidRPr="00957941">
        <w:t xml:space="preserve"> </w:t>
      </w:r>
    </w:p>
    <w:p w14:paraId="0D0AC8B1" w14:textId="77777777" w:rsidR="009D2CB4" w:rsidRPr="00957941" w:rsidRDefault="009D2CB4" w:rsidP="009D2CB4">
      <w:pPr>
        <w:pStyle w:val="Heading3"/>
        <w:numPr>
          <w:ilvl w:val="2"/>
          <w:numId w:val="1"/>
        </w:numPr>
      </w:pPr>
      <w:bookmarkStart w:id="669" w:name="_Toc515374499"/>
      <w:bookmarkStart w:id="670" w:name="_Toc518566399"/>
      <w:bookmarkStart w:id="671" w:name="_Toc528932687"/>
      <w:bookmarkStart w:id="672" w:name="_Toc531859224"/>
      <w:r w:rsidRPr="00957941">
        <w:t>Overall Transitioned ADF and 2015 Regular ADF</w:t>
      </w:r>
      <w:bookmarkEnd w:id="669"/>
      <w:bookmarkEnd w:id="670"/>
      <w:bookmarkEnd w:id="671"/>
      <w:bookmarkEnd w:id="672"/>
    </w:p>
    <w:p w14:paraId="71C1E838" w14:textId="77777777" w:rsidR="009D2CB4" w:rsidRDefault="009D2CB4" w:rsidP="006850EE">
      <w:pPr>
        <w:rPr>
          <w:rFonts w:asciiTheme="minorHAnsi" w:hAnsiTheme="minorHAnsi" w:cs="Calibri"/>
        </w:rPr>
      </w:pPr>
      <w:r>
        <w:rPr>
          <w:rFonts w:asciiTheme="minorHAnsi" w:hAnsiTheme="minorHAnsi" w:cs="Calibri"/>
        </w:rPr>
        <w:t xml:space="preserve">Among both the </w:t>
      </w:r>
      <w:r>
        <w:t>Transitioned ADF and 2015 Regular ADF who reported that they used</w:t>
      </w:r>
      <w:r w:rsidRPr="00DF1417">
        <w:t xml:space="preserve"> the </w:t>
      </w:r>
      <w:r>
        <w:t>internet</w:t>
      </w:r>
      <w:r w:rsidRPr="00DF1417">
        <w:t xml:space="preserve"> to seek help or information or manage mental health</w:t>
      </w:r>
      <w:r>
        <w:t xml:space="preserve">, most indicated that they ‘somewhat’ received </w:t>
      </w:r>
      <w:r w:rsidRPr="00C34EAB">
        <w:t xml:space="preserve">the </w:t>
      </w:r>
      <w:r w:rsidRPr="00C34EAB">
        <w:rPr>
          <w:rFonts w:asciiTheme="minorHAnsi" w:hAnsiTheme="minorHAnsi" w:cs="Calibri"/>
        </w:rPr>
        <w:t>kind of information they</w:t>
      </w:r>
      <w:r>
        <w:rPr>
          <w:rFonts w:asciiTheme="minorHAnsi" w:hAnsiTheme="minorHAnsi" w:cs="Calibri"/>
        </w:rPr>
        <w:t xml:space="preserve"> </w:t>
      </w:r>
      <w:r w:rsidRPr="00C34EAB">
        <w:rPr>
          <w:rFonts w:asciiTheme="minorHAnsi" w:hAnsiTheme="minorHAnsi" w:cs="Calibri"/>
        </w:rPr>
        <w:t xml:space="preserve">needed in relation to mental health </w:t>
      </w:r>
      <w:r>
        <w:rPr>
          <w:rFonts w:asciiTheme="minorHAnsi" w:hAnsiTheme="minorHAnsi" w:cs="Calibri"/>
        </w:rPr>
        <w:t>(78.3% and 81.2% respectively), with only 9.6% of Transitioned ADF and 8.1% of 2015 Regular ADF responding ‘not at all’ (</w:t>
      </w:r>
      <w:r>
        <w:t xml:space="preserve">Table </w:t>
      </w:r>
      <w:r>
        <w:rPr>
          <w:noProof/>
        </w:rPr>
        <w:t>6</w:t>
      </w:r>
      <w:r>
        <w:t>.</w:t>
      </w:r>
      <w:r>
        <w:rPr>
          <w:noProof/>
        </w:rPr>
        <w:t>2</w:t>
      </w:r>
      <w:r>
        <w:rPr>
          <w:rFonts w:asciiTheme="minorHAnsi" w:hAnsiTheme="minorHAnsi" w:cs="Calibri"/>
        </w:rPr>
        <w:t xml:space="preserve"> and </w:t>
      </w:r>
      <w:r>
        <w:t xml:space="preserve">Figure </w:t>
      </w:r>
      <w:r>
        <w:rPr>
          <w:noProof/>
        </w:rPr>
        <w:t>6</w:t>
      </w:r>
      <w:r>
        <w:t>.</w:t>
      </w:r>
      <w:r>
        <w:rPr>
          <w:noProof/>
        </w:rPr>
        <w:t>2</w:t>
      </w:r>
      <w:r>
        <w:rPr>
          <w:rFonts w:asciiTheme="minorHAnsi" w:hAnsiTheme="minorHAnsi" w:cs="Calibri"/>
        </w:rPr>
        <w:t>). This pattern remained</w:t>
      </w:r>
      <w:r w:rsidRPr="003E4BCD">
        <w:rPr>
          <w:rFonts w:asciiTheme="minorHAnsi" w:hAnsiTheme="minorHAnsi" w:cs="Calibri"/>
        </w:rPr>
        <w:t xml:space="preserve"> when responses were further dichotomised to ‘</w:t>
      </w:r>
      <w:r>
        <w:rPr>
          <w:rFonts w:asciiTheme="minorHAnsi" w:hAnsiTheme="minorHAnsi" w:cs="Calibri"/>
        </w:rPr>
        <w:t>s</w:t>
      </w:r>
      <w:r w:rsidRPr="003E4BCD">
        <w:rPr>
          <w:rFonts w:asciiTheme="minorHAnsi" w:hAnsiTheme="minorHAnsi" w:cs="Calibri"/>
        </w:rPr>
        <w:t>omewhat/</w:t>
      </w:r>
      <w:r>
        <w:rPr>
          <w:rFonts w:asciiTheme="minorHAnsi" w:hAnsiTheme="minorHAnsi" w:cs="Calibri"/>
        </w:rPr>
        <w:t>v</w:t>
      </w:r>
      <w:r w:rsidRPr="003E4BCD">
        <w:rPr>
          <w:rFonts w:asciiTheme="minorHAnsi" w:hAnsiTheme="minorHAnsi" w:cs="Calibri"/>
        </w:rPr>
        <w:t>ery much’</w:t>
      </w:r>
      <w:r>
        <w:rPr>
          <w:rFonts w:asciiTheme="minorHAnsi" w:hAnsiTheme="minorHAnsi" w:cs="Calibri"/>
        </w:rPr>
        <w:t>, with no significant differences between groups.</w:t>
      </w:r>
    </w:p>
    <w:p w14:paraId="36F695D8" w14:textId="77777777" w:rsidR="009D2CB4" w:rsidRPr="003A21B1" w:rsidRDefault="009D2CB4" w:rsidP="009D2CB4">
      <w:pPr>
        <w:pStyle w:val="TableName"/>
        <w:rPr>
          <w:rFonts w:asciiTheme="minorHAnsi" w:hAnsiTheme="minorHAnsi" w:cs="Calibri"/>
        </w:rPr>
      </w:pPr>
      <w:bookmarkStart w:id="673" w:name="_Ref517436835"/>
      <w:bookmarkStart w:id="674" w:name="_Toc509922885"/>
      <w:bookmarkStart w:id="675" w:name="_Toc515374660"/>
      <w:bookmarkStart w:id="676" w:name="_Toc528932335"/>
      <w:bookmarkStart w:id="677" w:name="_Toc531858014"/>
      <w:r>
        <w:t xml:space="preserve">Table </w:t>
      </w:r>
      <w:r>
        <w:rPr>
          <w:noProof/>
        </w:rPr>
        <w:t>6</w:t>
      </w:r>
      <w:r>
        <w:t>.</w:t>
      </w:r>
      <w:r>
        <w:rPr>
          <w:noProof/>
        </w:rPr>
        <w:t>4</w:t>
      </w:r>
      <w:bookmarkEnd w:id="673"/>
      <w:r>
        <w:tab/>
      </w:r>
      <w:r w:rsidRPr="00526B04">
        <w:t xml:space="preserve">Suitability of information received from the </w:t>
      </w:r>
      <w:r>
        <w:t>internet</w:t>
      </w:r>
      <w:r w:rsidRPr="00526B04">
        <w:t xml:space="preserve"> about mental health among Transitioned ADF and 2015 Regular ADF</w:t>
      </w:r>
      <w:bookmarkEnd w:id="674"/>
      <w:bookmarkEnd w:id="675"/>
      <w:r>
        <w:t xml:space="preserve"> who reported that they used</w:t>
      </w:r>
      <w:r w:rsidRPr="00DF1417">
        <w:t xml:space="preserve"> the </w:t>
      </w:r>
      <w:r>
        <w:t>internet</w:t>
      </w:r>
      <w:r w:rsidRPr="00DF1417">
        <w:t xml:space="preserve"> to seek help or information or manage mental health</w:t>
      </w:r>
      <w:r>
        <w:t xml:space="preserve"> issues</w:t>
      </w:r>
      <w:bookmarkEnd w:id="676"/>
      <w:bookmarkEnd w:id="677"/>
    </w:p>
    <w:tbl>
      <w:tblPr>
        <w:tblStyle w:val="TWRPTable"/>
        <w:tblW w:w="5000" w:type="pct"/>
        <w:tblLayout w:type="fixed"/>
        <w:tblLook w:val="0000" w:firstRow="0" w:lastRow="0" w:firstColumn="0" w:lastColumn="0" w:noHBand="0" w:noVBand="0"/>
        <w:tblDescription w:val="Table 6.4 Suitability of information received from the internet about mental health among Transitioned ADF and 2015 Regular ADF who reported that they used the internet to seek help or information or manage mental health issues"/>
      </w:tblPr>
      <w:tblGrid>
        <w:gridCol w:w="2187"/>
        <w:gridCol w:w="522"/>
        <w:gridCol w:w="799"/>
        <w:gridCol w:w="1120"/>
        <w:gridCol w:w="547"/>
        <w:gridCol w:w="794"/>
        <w:gridCol w:w="1120"/>
      </w:tblGrid>
      <w:tr w:rsidR="009D2CB4" w:rsidRPr="00285A26" w14:paraId="5E449830" w14:textId="77777777" w:rsidTr="00D6757C">
        <w:trPr>
          <w:cantSplit/>
          <w:tblHeader/>
        </w:trPr>
        <w:tc>
          <w:tcPr>
            <w:tcW w:w="2268" w:type="dxa"/>
            <w:tcBorders>
              <w:top w:val="single" w:sz="4" w:space="0" w:color="000000"/>
              <w:bottom w:val="nil"/>
            </w:tcBorders>
          </w:tcPr>
          <w:p w14:paraId="2CDF4FB8" w14:textId="77777777" w:rsidR="009D2CB4" w:rsidRPr="00285A26" w:rsidRDefault="009D2CB4" w:rsidP="009D2CB4">
            <w:pPr>
              <w:pStyle w:val="TableText"/>
            </w:pPr>
          </w:p>
        </w:tc>
        <w:tc>
          <w:tcPr>
            <w:tcW w:w="2513" w:type="dxa"/>
            <w:gridSpan w:val="3"/>
            <w:tcBorders>
              <w:top w:val="single" w:sz="4" w:space="0" w:color="000000"/>
              <w:bottom w:val="single" w:sz="4" w:space="0" w:color="000000"/>
            </w:tcBorders>
          </w:tcPr>
          <w:p w14:paraId="0E020DEE" w14:textId="77777777" w:rsidR="009D2CB4" w:rsidRPr="009B2F7A" w:rsidRDefault="009D2CB4" w:rsidP="006850EE">
            <w:pPr>
              <w:pStyle w:val="TableText"/>
              <w:jc w:val="center"/>
              <w:rPr>
                <w:b/>
              </w:rPr>
            </w:pPr>
            <w:r w:rsidRPr="009B2F7A">
              <w:rPr>
                <w:b/>
              </w:rPr>
              <w:t>Transitioned ADF</w:t>
            </w:r>
            <w:r w:rsidR="006850EE">
              <w:rPr>
                <w:b/>
              </w:rPr>
              <w:br/>
            </w:r>
            <w:r w:rsidRPr="009B2F7A">
              <w:rPr>
                <w:b/>
              </w:rPr>
              <w:t>n=6116</w:t>
            </w:r>
          </w:p>
        </w:tc>
        <w:tc>
          <w:tcPr>
            <w:tcW w:w="2534" w:type="dxa"/>
            <w:gridSpan w:val="3"/>
            <w:tcBorders>
              <w:top w:val="single" w:sz="4" w:space="0" w:color="000000"/>
              <w:bottom w:val="single" w:sz="4" w:space="0" w:color="000000"/>
            </w:tcBorders>
          </w:tcPr>
          <w:p w14:paraId="7FDD0CE5" w14:textId="77777777" w:rsidR="009D2CB4" w:rsidRPr="009B2F7A" w:rsidRDefault="009D2CB4" w:rsidP="006850EE">
            <w:pPr>
              <w:pStyle w:val="TableText"/>
              <w:jc w:val="center"/>
              <w:rPr>
                <w:b/>
              </w:rPr>
            </w:pPr>
            <w:r w:rsidRPr="009B2F7A">
              <w:rPr>
                <w:b/>
              </w:rPr>
              <w:t>2015 Regular ADF</w:t>
            </w:r>
            <w:r w:rsidR="006850EE">
              <w:rPr>
                <w:b/>
              </w:rPr>
              <w:br/>
            </w:r>
            <w:r w:rsidRPr="009B2F7A">
              <w:rPr>
                <w:b/>
              </w:rPr>
              <w:t>n=9042</w:t>
            </w:r>
          </w:p>
        </w:tc>
      </w:tr>
      <w:tr w:rsidR="009D2CB4" w:rsidRPr="00285A26" w14:paraId="4494D787" w14:textId="77777777" w:rsidTr="00D6757C">
        <w:trPr>
          <w:cantSplit/>
          <w:tblHeader/>
        </w:trPr>
        <w:tc>
          <w:tcPr>
            <w:tcW w:w="2268" w:type="dxa"/>
            <w:tcBorders>
              <w:top w:val="nil"/>
              <w:bottom w:val="single" w:sz="4" w:space="0" w:color="000000"/>
            </w:tcBorders>
            <w:vAlign w:val="bottom"/>
          </w:tcPr>
          <w:p w14:paraId="088F51F7" w14:textId="77777777" w:rsidR="009D2CB4" w:rsidRPr="004565F5" w:rsidRDefault="009D2CB4" w:rsidP="00D6757C">
            <w:pPr>
              <w:pStyle w:val="TableText"/>
              <w:rPr>
                <w:b/>
              </w:rPr>
            </w:pPr>
            <w:r w:rsidRPr="004565F5">
              <w:rPr>
                <w:b/>
              </w:rPr>
              <w:t>Suitability of information received</w:t>
            </w:r>
          </w:p>
        </w:tc>
        <w:tc>
          <w:tcPr>
            <w:tcW w:w="534" w:type="dxa"/>
            <w:tcBorders>
              <w:top w:val="single" w:sz="4" w:space="0" w:color="000000"/>
              <w:bottom w:val="single" w:sz="4" w:space="0" w:color="000000"/>
            </w:tcBorders>
            <w:vAlign w:val="bottom"/>
          </w:tcPr>
          <w:p w14:paraId="7D48331D" w14:textId="77777777" w:rsidR="009D2CB4" w:rsidRPr="009B2F7A" w:rsidRDefault="009D2CB4" w:rsidP="00D6757C">
            <w:pPr>
              <w:pStyle w:val="TableText"/>
              <w:jc w:val="right"/>
              <w:rPr>
                <w:b/>
              </w:rPr>
            </w:pPr>
            <w:r w:rsidRPr="009B2F7A">
              <w:rPr>
                <w:b/>
              </w:rPr>
              <w:t>n</w:t>
            </w:r>
          </w:p>
        </w:tc>
        <w:tc>
          <w:tcPr>
            <w:tcW w:w="822" w:type="dxa"/>
            <w:tcBorders>
              <w:top w:val="single" w:sz="4" w:space="0" w:color="000000"/>
              <w:bottom w:val="single" w:sz="4" w:space="0" w:color="000000"/>
            </w:tcBorders>
            <w:vAlign w:val="bottom"/>
          </w:tcPr>
          <w:p w14:paraId="55DDDD30" w14:textId="77777777" w:rsidR="009D2CB4" w:rsidRPr="009B2F7A" w:rsidRDefault="009D2CB4" w:rsidP="00D6757C">
            <w:pPr>
              <w:pStyle w:val="TableText"/>
              <w:jc w:val="right"/>
              <w:rPr>
                <w:b/>
              </w:rPr>
            </w:pPr>
            <w:r w:rsidRPr="009B2F7A">
              <w:rPr>
                <w:b/>
              </w:rPr>
              <w:t>Weighted n</w:t>
            </w:r>
          </w:p>
        </w:tc>
        <w:tc>
          <w:tcPr>
            <w:tcW w:w="1157" w:type="dxa"/>
            <w:tcBorders>
              <w:top w:val="single" w:sz="4" w:space="0" w:color="000000"/>
              <w:bottom w:val="single" w:sz="4" w:space="0" w:color="000000"/>
            </w:tcBorders>
            <w:vAlign w:val="bottom"/>
          </w:tcPr>
          <w:p w14:paraId="3B7B6BCE" w14:textId="77777777" w:rsidR="009D2CB4" w:rsidRPr="009B2F7A" w:rsidRDefault="009D2CB4" w:rsidP="00D6757C">
            <w:pPr>
              <w:pStyle w:val="TableText"/>
              <w:jc w:val="right"/>
              <w:rPr>
                <w:b/>
              </w:rPr>
            </w:pPr>
            <w:r w:rsidRPr="009B2F7A">
              <w:rPr>
                <w:b/>
              </w:rPr>
              <w:t>% (95%CI)</w:t>
            </w:r>
          </w:p>
        </w:tc>
        <w:tc>
          <w:tcPr>
            <w:tcW w:w="560" w:type="dxa"/>
            <w:tcBorders>
              <w:top w:val="single" w:sz="4" w:space="0" w:color="000000"/>
              <w:bottom w:val="single" w:sz="4" w:space="0" w:color="000000"/>
            </w:tcBorders>
            <w:vAlign w:val="bottom"/>
          </w:tcPr>
          <w:p w14:paraId="08E390DC" w14:textId="77777777" w:rsidR="009D2CB4" w:rsidRPr="009B2F7A" w:rsidRDefault="009D2CB4" w:rsidP="00D6757C">
            <w:pPr>
              <w:pStyle w:val="TableText"/>
              <w:jc w:val="right"/>
              <w:rPr>
                <w:b/>
              </w:rPr>
            </w:pPr>
            <w:r w:rsidRPr="009B2F7A">
              <w:rPr>
                <w:b/>
              </w:rPr>
              <w:t>n</w:t>
            </w:r>
          </w:p>
        </w:tc>
        <w:tc>
          <w:tcPr>
            <w:tcW w:w="817" w:type="dxa"/>
            <w:tcBorders>
              <w:top w:val="single" w:sz="4" w:space="0" w:color="000000"/>
              <w:bottom w:val="single" w:sz="4" w:space="0" w:color="000000"/>
            </w:tcBorders>
            <w:vAlign w:val="bottom"/>
          </w:tcPr>
          <w:p w14:paraId="1D39054A" w14:textId="77777777" w:rsidR="009D2CB4" w:rsidRPr="009B2F7A" w:rsidRDefault="009D2CB4" w:rsidP="00D6757C">
            <w:pPr>
              <w:pStyle w:val="TableText"/>
              <w:jc w:val="right"/>
              <w:rPr>
                <w:b/>
              </w:rPr>
            </w:pPr>
            <w:r w:rsidRPr="009B2F7A">
              <w:rPr>
                <w:b/>
              </w:rPr>
              <w:t>Weighted n</w:t>
            </w:r>
          </w:p>
        </w:tc>
        <w:tc>
          <w:tcPr>
            <w:tcW w:w="1157" w:type="dxa"/>
            <w:tcBorders>
              <w:top w:val="single" w:sz="4" w:space="0" w:color="000000"/>
              <w:bottom w:val="single" w:sz="4" w:space="0" w:color="000000"/>
            </w:tcBorders>
            <w:vAlign w:val="bottom"/>
          </w:tcPr>
          <w:p w14:paraId="2F8CB8A8" w14:textId="77777777" w:rsidR="009D2CB4" w:rsidRPr="009B2F7A" w:rsidRDefault="009D2CB4" w:rsidP="00D6757C">
            <w:pPr>
              <w:pStyle w:val="TableText"/>
              <w:jc w:val="right"/>
              <w:rPr>
                <w:b/>
              </w:rPr>
            </w:pPr>
            <w:r w:rsidRPr="009B2F7A">
              <w:rPr>
                <w:b/>
              </w:rPr>
              <w:t>% (95%CI)</w:t>
            </w:r>
          </w:p>
        </w:tc>
      </w:tr>
      <w:tr w:rsidR="009D2CB4" w:rsidRPr="00285A26" w14:paraId="54AE1E7B"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268" w:type="dxa"/>
            <w:tcBorders>
              <w:top w:val="single" w:sz="4" w:space="0" w:color="000000"/>
            </w:tcBorders>
          </w:tcPr>
          <w:p w14:paraId="1D1D2F5C" w14:textId="77777777" w:rsidR="009D2CB4" w:rsidRPr="00285A26" w:rsidRDefault="009D2CB4" w:rsidP="009D2CB4">
            <w:pPr>
              <w:pStyle w:val="TableText"/>
            </w:pPr>
            <w:r w:rsidRPr="00285A26">
              <w:t>Not at all</w:t>
            </w:r>
          </w:p>
        </w:tc>
        <w:tc>
          <w:tcPr>
            <w:tcW w:w="534" w:type="dxa"/>
            <w:tcBorders>
              <w:top w:val="single" w:sz="4" w:space="0" w:color="000000"/>
            </w:tcBorders>
          </w:tcPr>
          <w:p w14:paraId="03AEA3AF" w14:textId="77777777" w:rsidR="009D2CB4" w:rsidRPr="00285A26" w:rsidRDefault="009D2CB4" w:rsidP="009D2CB4">
            <w:pPr>
              <w:pStyle w:val="TableText"/>
              <w:jc w:val="right"/>
              <w:rPr>
                <w:color w:val="000000" w:themeColor="text1"/>
              </w:rPr>
            </w:pPr>
            <w:r w:rsidRPr="00285A26">
              <w:t>69</w:t>
            </w:r>
          </w:p>
        </w:tc>
        <w:tc>
          <w:tcPr>
            <w:tcW w:w="822" w:type="dxa"/>
            <w:tcBorders>
              <w:top w:val="single" w:sz="4" w:space="0" w:color="000000"/>
            </w:tcBorders>
          </w:tcPr>
          <w:p w14:paraId="5DCA1A15" w14:textId="77777777" w:rsidR="009D2CB4" w:rsidRPr="00285A26" w:rsidRDefault="009D2CB4" w:rsidP="009D2CB4">
            <w:pPr>
              <w:pStyle w:val="TableText"/>
              <w:jc w:val="right"/>
              <w:rPr>
                <w:color w:val="000000" w:themeColor="text1"/>
              </w:rPr>
            </w:pPr>
            <w:r w:rsidRPr="00285A26">
              <w:t>585</w:t>
            </w:r>
          </w:p>
        </w:tc>
        <w:tc>
          <w:tcPr>
            <w:tcW w:w="1157" w:type="dxa"/>
            <w:tcBorders>
              <w:top w:val="single" w:sz="4" w:space="0" w:color="000000"/>
            </w:tcBorders>
          </w:tcPr>
          <w:p w14:paraId="2D578999" w14:textId="77777777" w:rsidR="009D2CB4" w:rsidRPr="00285A26" w:rsidRDefault="009D2CB4" w:rsidP="009D2CB4">
            <w:pPr>
              <w:pStyle w:val="TableText"/>
              <w:jc w:val="right"/>
              <w:rPr>
                <w:color w:val="000000" w:themeColor="text1"/>
              </w:rPr>
            </w:pPr>
            <w:r w:rsidRPr="00285A26">
              <w:t>9.6 (7.2,</w:t>
            </w:r>
            <w:r>
              <w:t xml:space="preserve"> </w:t>
            </w:r>
            <w:r w:rsidRPr="00285A26">
              <w:t>12.6)</w:t>
            </w:r>
          </w:p>
        </w:tc>
        <w:tc>
          <w:tcPr>
            <w:tcW w:w="560" w:type="dxa"/>
            <w:tcBorders>
              <w:top w:val="single" w:sz="4" w:space="0" w:color="000000"/>
            </w:tcBorders>
          </w:tcPr>
          <w:p w14:paraId="124670A0" w14:textId="77777777" w:rsidR="009D2CB4" w:rsidRPr="00285A26" w:rsidRDefault="009D2CB4" w:rsidP="009D2CB4">
            <w:pPr>
              <w:pStyle w:val="TableText"/>
              <w:jc w:val="right"/>
              <w:rPr>
                <w:color w:val="000000" w:themeColor="text1"/>
              </w:rPr>
            </w:pPr>
            <w:r w:rsidRPr="00285A26">
              <w:t>92</w:t>
            </w:r>
          </w:p>
        </w:tc>
        <w:tc>
          <w:tcPr>
            <w:tcW w:w="817" w:type="dxa"/>
            <w:tcBorders>
              <w:top w:val="single" w:sz="4" w:space="0" w:color="000000"/>
            </w:tcBorders>
          </w:tcPr>
          <w:p w14:paraId="335B6CE3" w14:textId="77777777" w:rsidR="009D2CB4" w:rsidRPr="00285A26" w:rsidRDefault="009D2CB4" w:rsidP="009D2CB4">
            <w:pPr>
              <w:pStyle w:val="TableText"/>
              <w:jc w:val="right"/>
              <w:rPr>
                <w:color w:val="000000" w:themeColor="text1"/>
              </w:rPr>
            </w:pPr>
            <w:r w:rsidRPr="00285A26">
              <w:t>729</w:t>
            </w:r>
          </w:p>
        </w:tc>
        <w:tc>
          <w:tcPr>
            <w:tcW w:w="1157" w:type="dxa"/>
            <w:tcBorders>
              <w:top w:val="single" w:sz="4" w:space="0" w:color="000000"/>
            </w:tcBorders>
          </w:tcPr>
          <w:p w14:paraId="556D143C" w14:textId="77777777" w:rsidR="009D2CB4" w:rsidRPr="00285A26" w:rsidRDefault="009D2CB4" w:rsidP="009D2CB4">
            <w:pPr>
              <w:pStyle w:val="TableText"/>
              <w:jc w:val="right"/>
              <w:rPr>
                <w:color w:val="000000" w:themeColor="text1"/>
              </w:rPr>
            </w:pPr>
            <w:r w:rsidRPr="00285A26">
              <w:t>8.1 (3.4,</w:t>
            </w:r>
            <w:r>
              <w:t xml:space="preserve"> </w:t>
            </w:r>
            <w:r w:rsidRPr="00285A26">
              <w:t>17.9)</w:t>
            </w:r>
          </w:p>
        </w:tc>
      </w:tr>
      <w:tr w:rsidR="009D2CB4" w:rsidRPr="00285A26" w14:paraId="109D1A89" w14:textId="77777777" w:rsidTr="00D6757C">
        <w:trPr>
          <w:cantSplit/>
        </w:trPr>
        <w:tc>
          <w:tcPr>
            <w:tcW w:w="2268" w:type="dxa"/>
          </w:tcPr>
          <w:p w14:paraId="36D448F9" w14:textId="77777777" w:rsidR="009D2CB4" w:rsidRPr="00285A26" w:rsidRDefault="009D2CB4" w:rsidP="009D2CB4">
            <w:pPr>
              <w:pStyle w:val="TableText"/>
            </w:pPr>
            <w:r w:rsidRPr="00285A26">
              <w:t>Somewhat</w:t>
            </w:r>
          </w:p>
        </w:tc>
        <w:tc>
          <w:tcPr>
            <w:tcW w:w="534" w:type="dxa"/>
          </w:tcPr>
          <w:p w14:paraId="09004EB4" w14:textId="77777777" w:rsidR="009D2CB4" w:rsidRPr="00285A26" w:rsidRDefault="009D2CB4" w:rsidP="009D2CB4">
            <w:pPr>
              <w:pStyle w:val="TableText"/>
              <w:jc w:val="right"/>
              <w:rPr>
                <w:color w:val="000000" w:themeColor="text1"/>
              </w:rPr>
            </w:pPr>
            <w:r w:rsidRPr="00285A26">
              <w:t>683</w:t>
            </w:r>
          </w:p>
        </w:tc>
        <w:tc>
          <w:tcPr>
            <w:tcW w:w="822" w:type="dxa"/>
          </w:tcPr>
          <w:p w14:paraId="6BD8057D" w14:textId="77777777" w:rsidR="009D2CB4" w:rsidRPr="00285A26" w:rsidRDefault="009D2CB4" w:rsidP="009D2CB4">
            <w:pPr>
              <w:pStyle w:val="TableText"/>
              <w:jc w:val="right"/>
              <w:rPr>
                <w:color w:val="000000" w:themeColor="text1"/>
              </w:rPr>
            </w:pPr>
            <w:r w:rsidRPr="00285A26">
              <w:t>4788</w:t>
            </w:r>
          </w:p>
        </w:tc>
        <w:tc>
          <w:tcPr>
            <w:tcW w:w="1157" w:type="dxa"/>
          </w:tcPr>
          <w:p w14:paraId="59576BCB" w14:textId="77777777" w:rsidR="009D2CB4" w:rsidRPr="00285A26" w:rsidRDefault="009D2CB4" w:rsidP="009D2CB4">
            <w:pPr>
              <w:pStyle w:val="TableText"/>
              <w:jc w:val="right"/>
              <w:rPr>
                <w:color w:val="000000" w:themeColor="text1"/>
              </w:rPr>
            </w:pPr>
            <w:r w:rsidRPr="00285A26">
              <w:t>78.3 (74.5,</w:t>
            </w:r>
            <w:r>
              <w:t xml:space="preserve"> </w:t>
            </w:r>
            <w:r w:rsidRPr="00285A26">
              <w:t>81.7)</w:t>
            </w:r>
          </w:p>
        </w:tc>
        <w:tc>
          <w:tcPr>
            <w:tcW w:w="560" w:type="dxa"/>
          </w:tcPr>
          <w:p w14:paraId="09CF2D6E" w14:textId="77777777" w:rsidR="009D2CB4" w:rsidRPr="00285A26" w:rsidRDefault="009D2CB4" w:rsidP="009D2CB4">
            <w:pPr>
              <w:pStyle w:val="TableText"/>
              <w:jc w:val="right"/>
              <w:rPr>
                <w:color w:val="000000" w:themeColor="text1"/>
              </w:rPr>
            </w:pPr>
            <w:r w:rsidRPr="00285A26">
              <w:t>1153</w:t>
            </w:r>
          </w:p>
        </w:tc>
        <w:tc>
          <w:tcPr>
            <w:tcW w:w="817" w:type="dxa"/>
          </w:tcPr>
          <w:p w14:paraId="6C0E90E7" w14:textId="77777777" w:rsidR="009D2CB4" w:rsidRPr="00285A26" w:rsidRDefault="009D2CB4" w:rsidP="009D2CB4">
            <w:pPr>
              <w:pStyle w:val="TableText"/>
              <w:jc w:val="right"/>
              <w:rPr>
                <w:color w:val="000000" w:themeColor="text1"/>
              </w:rPr>
            </w:pPr>
            <w:r w:rsidRPr="00285A26">
              <w:t>7341</w:t>
            </w:r>
          </w:p>
        </w:tc>
        <w:tc>
          <w:tcPr>
            <w:tcW w:w="1157" w:type="dxa"/>
          </w:tcPr>
          <w:p w14:paraId="05D9D3C0" w14:textId="77777777" w:rsidR="009D2CB4" w:rsidRPr="00285A26" w:rsidRDefault="009D2CB4" w:rsidP="009D2CB4">
            <w:pPr>
              <w:pStyle w:val="TableText"/>
              <w:jc w:val="right"/>
              <w:rPr>
                <w:color w:val="000000" w:themeColor="text1"/>
              </w:rPr>
            </w:pPr>
            <w:r w:rsidRPr="00285A26">
              <w:t>81.2 (72.3,</w:t>
            </w:r>
            <w:r>
              <w:t xml:space="preserve"> </w:t>
            </w:r>
            <w:r w:rsidRPr="00285A26">
              <w:t>87.7)</w:t>
            </w:r>
          </w:p>
        </w:tc>
      </w:tr>
      <w:tr w:rsidR="009D2CB4" w:rsidRPr="00285A26" w14:paraId="3B09032C"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268" w:type="dxa"/>
          </w:tcPr>
          <w:p w14:paraId="760FAC91" w14:textId="77777777" w:rsidR="009D2CB4" w:rsidRPr="00285A26" w:rsidRDefault="009D2CB4" w:rsidP="009D2CB4">
            <w:pPr>
              <w:pStyle w:val="TableText"/>
            </w:pPr>
            <w:r w:rsidRPr="00285A26">
              <w:t>Very much</w:t>
            </w:r>
          </w:p>
        </w:tc>
        <w:tc>
          <w:tcPr>
            <w:tcW w:w="534" w:type="dxa"/>
          </w:tcPr>
          <w:p w14:paraId="525C3CB9" w14:textId="77777777" w:rsidR="009D2CB4" w:rsidRPr="00285A26" w:rsidRDefault="009D2CB4" w:rsidP="009D2CB4">
            <w:pPr>
              <w:pStyle w:val="TableText"/>
              <w:jc w:val="right"/>
              <w:rPr>
                <w:color w:val="000000" w:themeColor="text1"/>
              </w:rPr>
            </w:pPr>
            <w:r w:rsidRPr="00285A26">
              <w:t>91</w:t>
            </w:r>
          </w:p>
        </w:tc>
        <w:tc>
          <w:tcPr>
            <w:tcW w:w="822" w:type="dxa"/>
          </w:tcPr>
          <w:p w14:paraId="37925D66" w14:textId="77777777" w:rsidR="009D2CB4" w:rsidRPr="00285A26" w:rsidRDefault="009D2CB4" w:rsidP="009D2CB4">
            <w:pPr>
              <w:pStyle w:val="TableText"/>
              <w:jc w:val="right"/>
              <w:rPr>
                <w:color w:val="000000" w:themeColor="text1"/>
              </w:rPr>
            </w:pPr>
            <w:r w:rsidRPr="00285A26">
              <w:t>641</w:t>
            </w:r>
          </w:p>
        </w:tc>
        <w:tc>
          <w:tcPr>
            <w:tcW w:w="1157" w:type="dxa"/>
          </w:tcPr>
          <w:p w14:paraId="0515E3E1" w14:textId="77777777" w:rsidR="009D2CB4" w:rsidRPr="00285A26" w:rsidRDefault="009D2CB4" w:rsidP="009D2CB4">
            <w:pPr>
              <w:pStyle w:val="TableText"/>
              <w:jc w:val="right"/>
              <w:rPr>
                <w:color w:val="000000" w:themeColor="text1"/>
              </w:rPr>
            </w:pPr>
            <w:r w:rsidRPr="00285A26">
              <w:t>10.5 (8.2,</w:t>
            </w:r>
            <w:r>
              <w:t xml:space="preserve"> </w:t>
            </w:r>
            <w:r w:rsidRPr="00285A26">
              <w:t>13.3)</w:t>
            </w:r>
          </w:p>
        </w:tc>
        <w:tc>
          <w:tcPr>
            <w:tcW w:w="560" w:type="dxa"/>
          </w:tcPr>
          <w:p w14:paraId="33D3EFB4" w14:textId="77777777" w:rsidR="009D2CB4" w:rsidRPr="00285A26" w:rsidRDefault="009D2CB4" w:rsidP="009D2CB4">
            <w:pPr>
              <w:pStyle w:val="TableText"/>
              <w:jc w:val="right"/>
              <w:rPr>
                <w:color w:val="000000" w:themeColor="text1"/>
              </w:rPr>
            </w:pPr>
            <w:r w:rsidRPr="00285A26">
              <w:t>162</w:t>
            </w:r>
          </w:p>
        </w:tc>
        <w:tc>
          <w:tcPr>
            <w:tcW w:w="817" w:type="dxa"/>
          </w:tcPr>
          <w:p w14:paraId="649F925F" w14:textId="77777777" w:rsidR="009D2CB4" w:rsidRPr="00285A26" w:rsidRDefault="009D2CB4" w:rsidP="009D2CB4">
            <w:pPr>
              <w:pStyle w:val="TableText"/>
              <w:jc w:val="right"/>
              <w:rPr>
                <w:color w:val="000000" w:themeColor="text1"/>
              </w:rPr>
            </w:pPr>
            <w:r w:rsidRPr="00285A26">
              <w:t>829</w:t>
            </w:r>
          </w:p>
        </w:tc>
        <w:tc>
          <w:tcPr>
            <w:tcW w:w="1157" w:type="dxa"/>
          </w:tcPr>
          <w:p w14:paraId="58BF3960" w14:textId="77777777" w:rsidR="009D2CB4" w:rsidRPr="00285A26" w:rsidRDefault="009D2CB4" w:rsidP="009D2CB4">
            <w:pPr>
              <w:pStyle w:val="TableText"/>
              <w:jc w:val="right"/>
              <w:rPr>
                <w:color w:val="000000" w:themeColor="text1"/>
              </w:rPr>
            </w:pPr>
            <w:r w:rsidRPr="00285A26">
              <w:t>9.2 (5.6,</w:t>
            </w:r>
            <w:r>
              <w:t xml:space="preserve"> </w:t>
            </w:r>
            <w:r w:rsidRPr="00285A26">
              <w:t>14.6)</w:t>
            </w:r>
          </w:p>
        </w:tc>
      </w:tr>
      <w:tr w:rsidR="009D2CB4" w:rsidRPr="00285A26" w14:paraId="78C95768" w14:textId="77777777" w:rsidTr="00D6757C">
        <w:trPr>
          <w:cantSplit/>
        </w:trPr>
        <w:tc>
          <w:tcPr>
            <w:tcW w:w="2268" w:type="dxa"/>
          </w:tcPr>
          <w:p w14:paraId="63CB8D04" w14:textId="77777777" w:rsidR="009D2CB4" w:rsidRPr="009B2F7A" w:rsidRDefault="009D2CB4" w:rsidP="009D2CB4">
            <w:pPr>
              <w:pStyle w:val="TableText"/>
              <w:rPr>
                <w:b/>
              </w:rPr>
            </w:pPr>
            <w:r>
              <w:rPr>
                <w:b/>
              </w:rPr>
              <w:t>Dichotomised grouping</w:t>
            </w:r>
          </w:p>
        </w:tc>
        <w:tc>
          <w:tcPr>
            <w:tcW w:w="534" w:type="dxa"/>
          </w:tcPr>
          <w:p w14:paraId="12EDD116" w14:textId="77777777" w:rsidR="009D2CB4" w:rsidRPr="00285A26" w:rsidRDefault="009D2CB4" w:rsidP="009D2CB4">
            <w:pPr>
              <w:pStyle w:val="TableText"/>
              <w:jc w:val="right"/>
              <w:rPr>
                <w:color w:val="000000" w:themeColor="text1"/>
              </w:rPr>
            </w:pPr>
          </w:p>
        </w:tc>
        <w:tc>
          <w:tcPr>
            <w:tcW w:w="822" w:type="dxa"/>
          </w:tcPr>
          <w:p w14:paraId="487AEB6B" w14:textId="77777777" w:rsidR="009D2CB4" w:rsidRPr="00285A26" w:rsidRDefault="009D2CB4" w:rsidP="009D2CB4">
            <w:pPr>
              <w:pStyle w:val="TableText"/>
              <w:jc w:val="right"/>
              <w:rPr>
                <w:color w:val="000000" w:themeColor="text1"/>
              </w:rPr>
            </w:pPr>
          </w:p>
        </w:tc>
        <w:tc>
          <w:tcPr>
            <w:tcW w:w="1157" w:type="dxa"/>
          </w:tcPr>
          <w:p w14:paraId="2EA64B14" w14:textId="77777777" w:rsidR="009D2CB4" w:rsidRPr="00285A26" w:rsidRDefault="009D2CB4" w:rsidP="009D2CB4">
            <w:pPr>
              <w:pStyle w:val="TableText"/>
              <w:jc w:val="right"/>
              <w:rPr>
                <w:color w:val="000000" w:themeColor="text1"/>
              </w:rPr>
            </w:pPr>
          </w:p>
        </w:tc>
        <w:tc>
          <w:tcPr>
            <w:tcW w:w="560" w:type="dxa"/>
          </w:tcPr>
          <w:p w14:paraId="3C9B04A0" w14:textId="77777777" w:rsidR="009D2CB4" w:rsidRPr="00285A26" w:rsidRDefault="009D2CB4" w:rsidP="009D2CB4">
            <w:pPr>
              <w:pStyle w:val="TableText"/>
              <w:jc w:val="right"/>
              <w:rPr>
                <w:color w:val="000000" w:themeColor="text1"/>
              </w:rPr>
            </w:pPr>
          </w:p>
        </w:tc>
        <w:tc>
          <w:tcPr>
            <w:tcW w:w="817" w:type="dxa"/>
          </w:tcPr>
          <w:p w14:paraId="220D371B" w14:textId="77777777" w:rsidR="009D2CB4" w:rsidRPr="00285A26" w:rsidRDefault="009D2CB4" w:rsidP="009D2CB4">
            <w:pPr>
              <w:pStyle w:val="TableText"/>
              <w:jc w:val="right"/>
              <w:rPr>
                <w:color w:val="000000" w:themeColor="text1"/>
              </w:rPr>
            </w:pPr>
          </w:p>
        </w:tc>
        <w:tc>
          <w:tcPr>
            <w:tcW w:w="1157" w:type="dxa"/>
          </w:tcPr>
          <w:p w14:paraId="7007DD7F" w14:textId="77777777" w:rsidR="009D2CB4" w:rsidRPr="00285A26" w:rsidRDefault="009D2CB4" w:rsidP="009D2CB4">
            <w:pPr>
              <w:pStyle w:val="TableText"/>
              <w:jc w:val="right"/>
              <w:rPr>
                <w:color w:val="000000" w:themeColor="text1"/>
              </w:rPr>
            </w:pPr>
          </w:p>
        </w:tc>
      </w:tr>
      <w:tr w:rsidR="009D2CB4" w:rsidRPr="00285A26" w14:paraId="4200C9EB"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2268" w:type="dxa"/>
          </w:tcPr>
          <w:p w14:paraId="5F2B1DCD" w14:textId="77777777" w:rsidR="009D2CB4" w:rsidRPr="00285A26" w:rsidRDefault="009D2CB4" w:rsidP="009D2CB4">
            <w:pPr>
              <w:pStyle w:val="TableText"/>
            </w:pPr>
            <w:r w:rsidRPr="00285A26">
              <w:t>Not at all</w:t>
            </w:r>
          </w:p>
        </w:tc>
        <w:tc>
          <w:tcPr>
            <w:tcW w:w="534" w:type="dxa"/>
          </w:tcPr>
          <w:p w14:paraId="14232667" w14:textId="77777777" w:rsidR="009D2CB4" w:rsidRPr="00285A26" w:rsidRDefault="009D2CB4" w:rsidP="009D2CB4">
            <w:pPr>
              <w:pStyle w:val="TableText"/>
              <w:jc w:val="right"/>
              <w:rPr>
                <w:color w:val="000000" w:themeColor="text1"/>
              </w:rPr>
            </w:pPr>
            <w:r w:rsidRPr="00285A26">
              <w:t>69</w:t>
            </w:r>
          </w:p>
        </w:tc>
        <w:tc>
          <w:tcPr>
            <w:tcW w:w="822" w:type="dxa"/>
          </w:tcPr>
          <w:p w14:paraId="23850A99" w14:textId="77777777" w:rsidR="009D2CB4" w:rsidRPr="00285A26" w:rsidRDefault="009D2CB4" w:rsidP="009D2CB4">
            <w:pPr>
              <w:pStyle w:val="TableText"/>
              <w:jc w:val="right"/>
              <w:rPr>
                <w:color w:val="000000" w:themeColor="text1"/>
              </w:rPr>
            </w:pPr>
            <w:r w:rsidRPr="00285A26">
              <w:t>585</w:t>
            </w:r>
          </w:p>
        </w:tc>
        <w:tc>
          <w:tcPr>
            <w:tcW w:w="1157" w:type="dxa"/>
          </w:tcPr>
          <w:p w14:paraId="41F44681" w14:textId="77777777" w:rsidR="009D2CB4" w:rsidRPr="00285A26" w:rsidRDefault="009D2CB4" w:rsidP="009D2CB4">
            <w:pPr>
              <w:pStyle w:val="TableText"/>
              <w:jc w:val="right"/>
              <w:rPr>
                <w:color w:val="000000" w:themeColor="text1"/>
              </w:rPr>
            </w:pPr>
            <w:r w:rsidRPr="00285A26">
              <w:t>9.6 (7.2,</w:t>
            </w:r>
            <w:r>
              <w:t xml:space="preserve"> </w:t>
            </w:r>
            <w:r w:rsidRPr="00285A26">
              <w:t>12.6)</w:t>
            </w:r>
          </w:p>
        </w:tc>
        <w:tc>
          <w:tcPr>
            <w:tcW w:w="560" w:type="dxa"/>
          </w:tcPr>
          <w:p w14:paraId="5341A22C" w14:textId="77777777" w:rsidR="009D2CB4" w:rsidRPr="00285A26" w:rsidRDefault="009D2CB4" w:rsidP="009D2CB4">
            <w:pPr>
              <w:pStyle w:val="TableText"/>
              <w:jc w:val="right"/>
              <w:rPr>
                <w:color w:val="000000" w:themeColor="text1"/>
              </w:rPr>
            </w:pPr>
            <w:r w:rsidRPr="00285A26">
              <w:t>92</w:t>
            </w:r>
          </w:p>
        </w:tc>
        <w:tc>
          <w:tcPr>
            <w:tcW w:w="817" w:type="dxa"/>
          </w:tcPr>
          <w:p w14:paraId="17F74DA0" w14:textId="77777777" w:rsidR="009D2CB4" w:rsidRPr="00285A26" w:rsidRDefault="009D2CB4" w:rsidP="009D2CB4">
            <w:pPr>
              <w:pStyle w:val="TableText"/>
              <w:jc w:val="right"/>
              <w:rPr>
                <w:color w:val="000000" w:themeColor="text1"/>
              </w:rPr>
            </w:pPr>
            <w:r w:rsidRPr="00285A26">
              <w:t>729</w:t>
            </w:r>
          </w:p>
        </w:tc>
        <w:tc>
          <w:tcPr>
            <w:tcW w:w="1157" w:type="dxa"/>
          </w:tcPr>
          <w:p w14:paraId="0569AC39" w14:textId="77777777" w:rsidR="009D2CB4" w:rsidRPr="00285A26" w:rsidRDefault="009D2CB4" w:rsidP="009D2CB4">
            <w:pPr>
              <w:pStyle w:val="TableText"/>
              <w:jc w:val="right"/>
              <w:rPr>
                <w:color w:val="000000" w:themeColor="text1"/>
              </w:rPr>
            </w:pPr>
            <w:r w:rsidRPr="00285A26">
              <w:t>8.1 (3.4,</w:t>
            </w:r>
            <w:r>
              <w:t xml:space="preserve"> </w:t>
            </w:r>
            <w:r w:rsidRPr="00285A26">
              <w:t>17.9)</w:t>
            </w:r>
          </w:p>
        </w:tc>
      </w:tr>
      <w:tr w:rsidR="009D2CB4" w:rsidRPr="00285A26" w14:paraId="05D72C91" w14:textId="77777777" w:rsidTr="00D6757C">
        <w:trPr>
          <w:cantSplit/>
        </w:trPr>
        <w:tc>
          <w:tcPr>
            <w:tcW w:w="2268" w:type="dxa"/>
          </w:tcPr>
          <w:p w14:paraId="334F1397" w14:textId="77777777" w:rsidR="009D2CB4" w:rsidRPr="00285A26" w:rsidRDefault="009D2CB4" w:rsidP="009D2CB4">
            <w:pPr>
              <w:pStyle w:val="TableText"/>
            </w:pPr>
            <w:r w:rsidRPr="00285A26">
              <w:t>Somewhat/Very much</w:t>
            </w:r>
          </w:p>
        </w:tc>
        <w:tc>
          <w:tcPr>
            <w:tcW w:w="534" w:type="dxa"/>
          </w:tcPr>
          <w:p w14:paraId="7BAF4BD0" w14:textId="77777777" w:rsidR="009D2CB4" w:rsidRPr="00285A26" w:rsidRDefault="009D2CB4" w:rsidP="009D2CB4">
            <w:pPr>
              <w:pStyle w:val="TableText"/>
              <w:jc w:val="right"/>
              <w:rPr>
                <w:color w:val="000000" w:themeColor="text1"/>
              </w:rPr>
            </w:pPr>
            <w:r w:rsidRPr="00285A26">
              <w:t>774</w:t>
            </w:r>
          </w:p>
        </w:tc>
        <w:tc>
          <w:tcPr>
            <w:tcW w:w="822" w:type="dxa"/>
          </w:tcPr>
          <w:p w14:paraId="0EFC611A" w14:textId="77777777" w:rsidR="009D2CB4" w:rsidRPr="00285A26" w:rsidRDefault="009D2CB4" w:rsidP="009D2CB4">
            <w:pPr>
              <w:pStyle w:val="TableText"/>
              <w:jc w:val="right"/>
              <w:rPr>
                <w:color w:val="000000" w:themeColor="text1"/>
              </w:rPr>
            </w:pPr>
            <w:r w:rsidRPr="00285A26">
              <w:t>5429</w:t>
            </w:r>
          </w:p>
        </w:tc>
        <w:tc>
          <w:tcPr>
            <w:tcW w:w="1157" w:type="dxa"/>
          </w:tcPr>
          <w:p w14:paraId="0325E3B6" w14:textId="77777777" w:rsidR="009D2CB4" w:rsidRPr="00285A26" w:rsidRDefault="009D2CB4" w:rsidP="009D2CB4">
            <w:pPr>
              <w:pStyle w:val="TableText"/>
              <w:jc w:val="right"/>
              <w:rPr>
                <w:color w:val="000000" w:themeColor="text1"/>
              </w:rPr>
            </w:pPr>
            <w:r w:rsidRPr="00285A26">
              <w:t>88.8 (85.6,</w:t>
            </w:r>
            <w:r>
              <w:t xml:space="preserve"> </w:t>
            </w:r>
            <w:r w:rsidRPr="00285A26">
              <w:t>91.3)</w:t>
            </w:r>
          </w:p>
        </w:tc>
        <w:tc>
          <w:tcPr>
            <w:tcW w:w="560" w:type="dxa"/>
          </w:tcPr>
          <w:p w14:paraId="5F9D789C" w14:textId="77777777" w:rsidR="009D2CB4" w:rsidRPr="00285A26" w:rsidRDefault="009D2CB4" w:rsidP="009D2CB4">
            <w:pPr>
              <w:pStyle w:val="TableText"/>
              <w:jc w:val="right"/>
              <w:rPr>
                <w:color w:val="000000" w:themeColor="text1"/>
              </w:rPr>
            </w:pPr>
            <w:r w:rsidRPr="00285A26">
              <w:t>1315</w:t>
            </w:r>
          </w:p>
        </w:tc>
        <w:tc>
          <w:tcPr>
            <w:tcW w:w="817" w:type="dxa"/>
          </w:tcPr>
          <w:p w14:paraId="3728DB0E" w14:textId="77777777" w:rsidR="009D2CB4" w:rsidRPr="00285A26" w:rsidRDefault="009D2CB4" w:rsidP="009D2CB4">
            <w:pPr>
              <w:pStyle w:val="TableText"/>
              <w:jc w:val="right"/>
              <w:rPr>
                <w:color w:val="000000" w:themeColor="text1"/>
              </w:rPr>
            </w:pPr>
            <w:r w:rsidRPr="00285A26">
              <w:t>8170</w:t>
            </w:r>
          </w:p>
        </w:tc>
        <w:tc>
          <w:tcPr>
            <w:tcW w:w="1157" w:type="dxa"/>
          </w:tcPr>
          <w:p w14:paraId="35688586" w14:textId="77777777" w:rsidR="009D2CB4" w:rsidRPr="00285A26" w:rsidRDefault="009D2CB4" w:rsidP="009D2CB4">
            <w:pPr>
              <w:pStyle w:val="TableText"/>
              <w:jc w:val="right"/>
              <w:rPr>
                <w:color w:val="000000" w:themeColor="text1"/>
              </w:rPr>
            </w:pPr>
            <w:r w:rsidRPr="00285A26">
              <w:t>90.4 (81.2,</w:t>
            </w:r>
            <w:r>
              <w:t xml:space="preserve"> </w:t>
            </w:r>
            <w:r w:rsidRPr="00285A26">
              <w:t>95.3)</w:t>
            </w:r>
          </w:p>
        </w:tc>
      </w:tr>
    </w:tbl>
    <w:p w14:paraId="2AD563B6" w14:textId="77777777" w:rsidR="009D2CB4" w:rsidRPr="00D87181" w:rsidRDefault="009D2CB4" w:rsidP="009D2CB4">
      <w:pPr>
        <w:pStyle w:val="TableNotes"/>
      </w:pPr>
      <w:r w:rsidRPr="00D87181">
        <w:t>Notes</w:t>
      </w:r>
    </w:p>
    <w:p w14:paraId="575EF6F6" w14:textId="77777777" w:rsidR="009D2CB4" w:rsidRPr="009B2F7A" w:rsidRDefault="009D2CB4" w:rsidP="009D2CB4">
      <w:pPr>
        <w:pStyle w:val="TableNotes"/>
      </w:pPr>
      <w:r w:rsidRPr="009B2F7A">
        <w:t xml:space="preserve">Denominator: Those who use the </w:t>
      </w:r>
      <w:r>
        <w:t>internet</w:t>
      </w:r>
      <w:r w:rsidRPr="009B2F7A">
        <w:t xml:space="preserve"> to seek help or information for, or manage, mental health issues</w:t>
      </w:r>
      <w:r>
        <w:t>.</w:t>
      </w:r>
    </w:p>
    <w:p w14:paraId="71351DE5" w14:textId="77777777" w:rsidR="009D2CB4" w:rsidRDefault="009D2CB4" w:rsidP="009D2CB4">
      <w:pPr>
        <w:pStyle w:val="TableNotes"/>
      </w:pPr>
      <w:r w:rsidRPr="009B2F7A">
        <w:t xml:space="preserve">Based on weighted counts, 102 (1.7%) Transitioned ADF, and 144 (1.6%) 2015 Regular ADF had a missing value for this question. However, distributions are calculated by including those with a missing value to allow for correct weighted totals. </w:t>
      </w:r>
    </w:p>
    <w:p w14:paraId="1DC8D4ED" w14:textId="77777777" w:rsidR="009D2CB4" w:rsidRPr="009B2F7A" w:rsidRDefault="009D2CB4" w:rsidP="009D2CB4">
      <w:pPr>
        <w:pStyle w:val="TableNotes"/>
      </w:pPr>
      <w:r w:rsidRPr="009B2F7A">
        <w:t>95%CI</w:t>
      </w:r>
      <w:r>
        <w:t xml:space="preserve"> =</w:t>
      </w:r>
      <w:r w:rsidRPr="009B2F7A">
        <w:t xml:space="preserve"> 95% </w:t>
      </w:r>
      <w:r>
        <w:t>confidence interval.</w:t>
      </w:r>
    </w:p>
    <w:p w14:paraId="3C9D4FF4" w14:textId="77777777" w:rsidR="009D2CB4" w:rsidRDefault="009D2CB4" w:rsidP="009D2CB4">
      <w:pPr>
        <w:pStyle w:val="TableNotes"/>
      </w:pPr>
      <w:r w:rsidRPr="009B2F7A">
        <w:t>For a full description of odds ratios, interpretation and strength of association</w:t>
      </w:r>
      <w:r>
        <w:t>,</w:t>
      </w:r>
      <w:r w:rsidRPr="009B2F7A">
        <w:t xml:space="preserve"> please refer to Table B.1</w:t>
      </w:r>
      <w:r>
        <w:t xml:space="preserve"> </w:t>
      </w:r>
      <w:r w:rsidRPr="00BB1B84">
        <w:t xml:space="preserve">in </w:t>
      </w:r>
      <w:r w:rsidR="00374073">
        <w:t>Annex </w:t>
      </w:r>
      <w:r>
        <w:t>B, Odds ratio table.</w:t>
      </w:r>
    </w:p>
    <w:p w14:paraId="7A1124E5" w14:textId="7B503010" w:rsidR="009D2CB4" w:rsidRPr="00285A26" w:rsidRDefault="009D2CB4" w:rsidP="009D2CB4">
      <w:pPr>
        <w:pStyle w:val="FigureName"/>
      </w:pPr>
      <w:bookmarkStart w:id="678" w:name="_Ref517355160"/>
      <w:bookmarkStart w:id="679" w:name="_Toc509922954"/>
      <w:bookmarkStart w:id="680" w:name="_Toc515374728"/>
      <w:bookmarkStart w:id="681" w:name="_Toc528932412"/>
      <w:bookmarkStart w:id="682" w:name="_Toc531858092"/>
      <w:r>
        <w:t xml:space="preserve">Figure </w:t>
      </w:r>
      <w:r>
        <w:rPr>
          <w:noProof/>
        </w:rPr>
        <w:t>6</w:t>
      </w:r>
      <w:r>
        <w:t>.</w:t>
      </w:r>
      <w:r>
        <w:rPr>
          <w:noProof/>
        </w:rPr>
        <w:t>2</w:t>
      </w:r>
      <w:bookmarkEnd w:id="678"/>
      <w:r>
        <w:tab/>
      </w:r>
      <w:r w:rsidRPr="00951F29">
        <w:t xml:space="preserve">Suitability of information received from the </w:t>
      </w:r>
      <w:r>
        <w:t>internet</w:t>
      </w:r>
      <w:r w:rsidRPr="00951F29">
        <w:t xml:space="preserve"> about mental health among Transitioned ADF and 2015 Regular ADF</w:t>
      </w:r>
      <w:bookmarkEnd w:id="679"/>
      <w:bookmarkEnd w:id="680"/>
      <w:r>
        <w:t xml:space="preserve"> who reported that they used</w:t>
      </w:r>
      <w:r w:rsidRPr="00DF1417">
        <w:t xml:space="preserve"> the </w:t>
      </w:r>
      <w:r>
        <w:t>internet</w:t>
      </w:r>
      <w:r w:rsidRPr="00DF1417">
        <w:t xml:space="preserve"> to seek help or information or manage mental health</w:t>
      </w:r>
      <w:r>
        <w:t xml:space="preserve"> issues</w:t>
      </w:r>
      <w:bookmarkEnd w:id="681"/>
      <w:bookmarkEnd w:id="682"/>
    </w:p>
    <w:p w14:paraId="7EC15C8C" w14:textId="77777777" w:rsidR="009D2CB4" w:rsidRPr="00374073" w:rsidRDefault="006850EE" w:rsidP="006850EE">
      <w:pPr>
        <w:spacing w:after="360"/>
      </w:pPr>
      <w:r w:rsidRPr="001A4FD0">
        <w:rPr>
          <w:noProof/>
          <w:lang w:eastAsia="en-AU"/>
        </w:rPr>
        <w:drawing>
          <wp:inline distT="0" distB="0" distL="0" distR="0" wp14:anchorId="5E340372" wp14:editId="55C8BB4B">
            <wp:extent cx="4572000" cy="2286000"/>
            <wp:effectExtent l="0" t="0" r="0" b="0"/>
            <wp:docPr id="482" name="Picture 482" descr="Figure 6.2 Suitability of information received from the internet about mental health among Transitioned ADF and 2015 Regular ADF who reported that they used the internet to seek help or information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ealthSciences\SPHCP\CTSS\DATA REPOSITORY\TWRP\REPORT 5\FIGURE_4_16.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5B0874B3" w14:textId="77777777" w:rsidR="009D2CB4" w:rsidRPr="009B2F7A" w:rsidRDefault="009D2CB4" w:rsidP="009D2CB4">
      <w:pPr>
        <w:pStyle w:val="Heading3"/>
        <w:numPr>
          <w:ilvl w:val="2"/>
          <w:numId w:val="1"/>
        </w:numPr>
      </w:pPr>
      <w:bookmarkStart w:id="683" w:name="_Toc515374500"/>
      <w:bookmarkStart w:id="684" w:name="_Toc518566400"/>
      <w:bookmarkStart w:id="685" w:name="_Toc528932688"/>
      <w:bookmarkStart w:id="686" w:name="_Toc531859225"/>
      <w:r w:rsidRPr="009B2F7A">
        <w:t>Probable 30-day disorder and demographic characteristics</w:t>
      </w:r>
      <w:bookmarkEnd w:id="683"/>
      <w:bookmarkEnd w:id="684"/>
      <w:bookmarkEnd w:id="685"/>
      <w:bookmarkEnd w:id="686"/>
    </w:p>
    <w:p w14:paraId="6E71CB05" w14:textId="77777777" w:rsidR="009D2CB4" w:rsidRPr="0026226F" w:rsidRDefault="009D2CB4" w:rsidP="009D2CB4">
      <w:r w:rsidRPr="009B2F7A">
        <w:t xml:space="preserve">Table </w:t>
      </w:r>
      <w:r>
        <w:rPr>
          <w:noProof/>
        </w:rPr>
        <w:t>6.5</w:t>
      </w:r>
      <w:r>
        <w:t xml:space="preserve"> </w:t>
      </w:r>
      <w:r w:rsidRPr="0026226F">
        <w:t>presents the estimated proportion of Transitioned ADF and 2015 Regular ADF</w:t>
      </w:r>
      <w:r>
        <w:t xml:space="preserve"> (who reported that they used</w:t>
      </w:r>
      <w:r w:rsidRPr="00DF1417">
        <w:t xml:space="preserve"> the </w:t>
      </w:r>
      <w:r>
        <w:t>internet</w:t>
      </w:r>
      <w:r w:rsidRPr="00DF1417">
        <w:t xml:space="preserve"> to seek help or information or manage mental health</w:t>
      </w:r>
      <w:r>
        <w:t xml:space="preserve"> issues) who</w:t>
      </w:r>
      <w:r w:rsidRPr="0026226F">
        <w:t xml:space="preserve"> </w:t>
      </w:r>
      <w:r>
        <w:t>did (somewhat/very much) and did not</w:t>
      </w:r>
      <w:r w:rsidRPr="0026226F">
        <w:t xml:space="preserve"> </w:t>
      </w:r>
      <w:r>
        <w:t>(at all) report receiving</w:t>
      </w:r>
      <w:r w:rsidRPr="0026226F">
        <w:t xml:space="preserve"> the information they needed in relation to their mental health, according to probable disorder and demographic characteristics.</w:t>
      </w:r>
    </w:p>
    <w:p w14:paraId="1E867069" w14:textId="77777777" w:rsidR="009D2CB4" w:rsidRDefault="009D2CB4" w:rsidP="009D2CB4">
      <w:r w:rsidRPr="0026226F">
        <w:t>Among the Transitioned ADF and 2015 Regular ADF</w:t>
      </w:r>
      <w:r>
        <w:t>,</w:t>
      </w:r>
      <w:r w:rsidRPr="0026226F">
        <w:t xml:space="preserve"> the vast majority of respondents reported they received the information they needed from the </w:t>
      </w:r>
      <w:r>
        <w:t>internet</w:t>
      </w:r>
      <w:r w:rsidRPr="0026226F">
        <w:t xml:space="preserve"> regarding their mental health, regardless of probable </w:t>
      </w:r>
      <w:r>
        <w:t xml:space="preserve">disorder status, sex or age. </w:t>
      </w:r>
      <w:r w:rsidRPr="0026226F">
        <w:t>When the sex and age categories were examined</w:t>
      </w:r>
      <w:r>
        <w:t xml:space="preserve"> together</w:t>
      </w:r>
      <w:r w:rsidRPr="0026226F">
        <w:t xml:space="preserve">, for both the Transitioned ADF and 2015 </w:t>
      </w:r>
      <w:r>
        <w:t>R</w:t>
      </w:r>
      <w:r w:rsidRPr="0026226F">
        <w:t>egular ADF, females aged 38</w:t>
      </w:r>
      <w:r>
        <w:t>+</w:t>
      </w:r>
      <w:r w:rsidRPr="0026226F">
        <w:t xml:space="preserve"> were most likely to report receiving the information they needed.</w:t>
      </w:r>
    </w:p>
    <w:p w14:paraId="26932DB5" w14:textId="77777777" w:rsidR="006850EE" w:rsidRDefault="006850EE" w:rsidP="009D2CB4">
      <w:pPr>
        <w:sectPr w:rsidR="006850EE" w:rsidSect="00463E44">
          <w:footerReference w:type="even" r:id="rId66"/>
          <w:footerReference w:type="default" r:id="rId67"/>
          <w:pgSz w:w="9979" w:h="14170" w:code="243"/>
          <w:pgMar w:top="1440" w:right="1152" w:bottom="1440" w:left="1728" w:header="576" w:footer="576" w:gutter="0"/>
          <w:cols w:space="708"/>
          <w:docGrid w:linePitch="360"/>
        </w:sectPr>
      </w:pPr>
    </w:p>
    <w:p w14:paraId="774D501E" w14:textId="77777777" w:rsidR="00073DFC" w:rsidRDefault="00073DFC" w:rsidP="00073DFC">
      <w:pPr>
        <w:pStyle w:val="TableName"/>
      </w:pPr>
      <w:bookmarkStart w:id="687" w:name="_Toc531858015"/>
      <w:bookmarkStart w:id="688" w:name="_Ref509913148"/>
      <w:bookmarkStart w:id="689" w:name="_Toc509922886"/>
      <w:bookmarkStart w:id="690" w:name="_Toc515374661"/>
      <w:bookmarkStart w:id="691" w:name="_Toc528932336"/>
      <w:r w:rsidRPr="009B2F7A">
        <w:t xml:space="preserve">Table </w:t>
      </w:r>
      <w:r>
        <w:rPr>
          <w:noProof/>
        </w:rPr>
        <w:t>6</w:t>
      </w:r>
      <w:r>
        <w:t>.</w:t>
      </w:r>
      <w:r>
        <w:rPr>
          <w:noProof/>
        </w:rPr>
        <w:t>5</w:t>
      </w:r>
      <w:r w:rsidRPr="009B2F7A">
        <w:tab/>
        <w:t xml:space="preserve">Suitability of information received from the </w:t>
      </w:r>
      <w:r>
        <w:t>internet</w:t>
      </w:r>
      <w:r w:rsidRPr="009B2F7A">
        <w:t xml:space="preserve"> about mental health among Transitioned ADF and 2015 Regular ADF who reported that they use</w:t>
      </w:r>
      <w:r>
        <w:t>d</w:t>
      </w:r>
      <w:r w:rsidRPr="009B2F7A">
        <w:t xml:space="preserve"> the </w:t>
      </w:r>
      <w:r>
        <w:t>internet</w:t>
      </w:r>
      <w:r w:rsidRPr="009B2F7A">
        <w:t xml:space="preserve"> to seek help or information or manage mental health issues, by probable 30</w:t>
      </w:r>
      <w:r>
        <w:t>-</w:t>
      </w:r>
      <w:r w:rsidRPr="009B2F7A">
        <w:t>day disorder and demographic characteristics</w:t>
      </w:r>
      <w:bookmarkEnd w:id="687"/>
    </w:p>
    <w:bookmarkEnd w:id="688"/>
    <w:bookmarkEnd w:id="689"/>
    <w:bookmarkEnd w:id="690"/>
    <w:bookmarkEnd w:id="691"/>
    <w:tbl>
      <w:tblPr>
        <w:tblStyle w:val="TWRPTable"/>
        <w:tblW w:w="5000" w:type="pct"/>
        <w:tblLayout w:type="fixed"/>
        <w:tblLook w:val="0000" w:firstRow="0" w:lastRow="0" w:firstColumn="0" w:lastColumn="0" w:noHBand="0" w:noVBand="0"/>
        <w:tblDescription w:val="Table 6.5 Suitability of information received from the internet about mental health among Transitioned ADF and 2015 Regular ADF who reported that they used the internet to seek help or information or manage mental health issues, by probable 30-day disorder and demographic characteristics"/>
      </w:tblPr>
      <w:tblGrid>
        <w:gridCol w:w="1659"/>
        <w:gridCol w:w="560"/>
        <w:gridCol w:w="774"/>
        <w:gridCol w:w="1051"/>
        <w:gridCol w:w="559"/>
        <w:gridCol w:w="778"/>
        <w:gridCol w:w="1047"/>
        <w:gridCol w:w="559"/>
        <w:gridCol w:w="782"/>
        <w:gridCol w:w="1043"/>
        <w:gridCol w:w="549"/>
        <w:gridCol w:w="796"/>
        <w:gridCol w:w="1123"/>
      </w:tblGrid>
      <w:tr w:rsidR="00073DFC" w:rsidRPr="00285A26" w14:paraId="153D6B74" w14:textId="77777777" w:rsidTr="00D6757C">
        <w:trPr>
          <w:cantSplit/>
          <w:tblHeader/>
        </w:trPr>
        <w:tc>
          <w:tcPr>
            <w:tcW w:w="1699" w:type="dxa"/>
            <w:tcBorders>
              <w:top w:val="single" w:sz="4" w:space="0" w:color="000000"/>
              <w:bottom w:val="nil"/>
            </w:tcBorders>
          </w:tcPr>
          <w:p w14:paraId="6C078728" w14:textId="77777777" w:rsidR="00073DFC" w:rsidRPr="009B2F7A" w:rsidRDefault="00073DFC" w:rsidP="00D46588">
            <w:pPr>
              <w:pStyle w:val="TableText"/>
              <w:rPr>
                <w:b/>
              </w:rPr>
            </w:pPr>
          </w:p>
        </w:tc>
        <w:tc>
          <w:tcPr>
            <w:tcW w:w="4861" w:type="dxa"/>
            <w:gridSpan w:val="6"/>
            <w:tcBorders>
              <w:top w:val="single" w:sz="4" w:space="0" w:color="000000"/>
              <w:bottom w:val="single" w:sz="4" w:space="0" w:color="000000"/>
            </w:tcBorders>
          </w:tcPr>
          <w:p w14:paraId="77D8F7E6" w14:textId="77777777" w:rsidR="00073DFC" w:rsidRPr="009B2F7A" w:rsidRDefault="00073DFC" w:rsidP="00073DFC">
            <w:pPr>
              <w:pStyle w:val="TableText"/>
              <w:jc w:val="center"/>
              <w:rPr>
                <w:b/>
              </w:rPr>
            </w:pPr>
            <w:r w:rsidRPr="009B2F7A">
              <w:rPr>
                <w:rFonts w:cs="Calibri"/>
                <w:b/>
                <w:bCs/>
              </w:rPr>
              <w:t>Transitioned ADF</w:t>
            </w:r>
            <w:r>
              <w:rPr>
                <w:rFonts w:cs="Calibri"/>
                <w:b/>
                <w:bCs/>
              </w:rPr>
              <w:br/>
            </w:r>
            <w:r w:rsidRPr="009B2F7A">
              <w:rPr>
                <w:rFonts w:cs="Calibri"/>
                <w:b/>
                <w:bCs/>
              </w:rPr>
              <w:t>n=6116</w:t>
            </w:r>
          </w:p>
        </w:tc>
        <w:tc>
          <w:tcPr>
            <w:tcW w:w="4946" w:type="dxa"/>
            <w:gridSpan w:val="6"/>
            <w:tcBorders>
              <w:top w:val="single" w:sz="4" w:space="0" w:color="000000"/>
              <w:bottom w:val="single" w:sz="4" w:space="0" w:color="000000"/>
            </w:tcBorders>
          </w:tcPr>
          <w:p w14:paraId="59AB21D2" w14:textId="77777777" w:rsidR="00073DFC" w:rsidRPr="009B2F7A" w:rsidRDefault="00073DFC" w:rsidP="00073DFC">
            <w:pPr>
              <w:pStyle w:val="TableText"/>
              <w:jc w:val="center"/>
              <w:rPr>
                <w:b/>
              </w:rPr>
            </w:pPr>
            <w:r w:rsidRPr="009B2F7A">
              <w:rPr>
                <w:rFonts w:cs="Calibri"/>
                <w:b/>
                <w:bCs/>
              </w:rPr>
              <w:t>2015 Regular ADF</w:t>
            </w:r>
            <w:r>
              <w:rPr>
                <w:rFonts w:cs="Calibri"/>
                <w:b/>
                <w:bCs/>
              </w:rPr>
              <w:br/>
            </w:r>
            <w:r w:rsidRPr="009B2F7A">
              <w:rPr>
                <w:rFonts w:cs="Calibri"/>
                <w:b/>
                <w:bCs/>
              </w:rPr>
              <w:t>n=9042</w:t>
            </w:r>
          </w:p>
        </w:tc>
      </w:tr>
      <w:tr w:rsidR="00073DFC" w:rsidRPr="00285A26" w14:paraId="372F9D22" w14:textId="77777777" w:rsidTr="00D6757C">
        <w:trPr>
          <w:cantSplit/>
          <w:tblHeader/>
        </w:trPr>
        <w:tc>
          <w:tcPr>
            <w:tcW w:w="1699" w:type="dxa"/>
            <w:tcBorders>
              <w:top w:val="nil"/>
              <w:bottom w:val="nil"/>
            </w:tcBorders>
          </w:tcPr>
          <w:p w14:paraId="705005C6" w14:textId="77777777" w:rsidR="00073DFC" w:rsidRPr="009B2F7A" w:rsidRDefault="00073DFC" w:rsidP="00D46588">
            <w:pPr>
              <w:pStyle w:val="TableText"/>
              <w:rPr>
                <w:b/>
              </w:rPr>
            </w:pPr>
          </w:p>
        </w:tc>
        <w:tc>
          <w:tcPr>
            <w:tcW w:w="2431" w:type="dxa"/>
            <w:gridSpan w:val="3"/>
            <w:tcBorders>
              <w:top w:val="single" w:sz="4" w:space="0" w:color="000000"/>
              <w:bottom w:val="single" w:sz="4" w:space="0" w:color="000000"/>
            </w:tcBorders>
          </w:tcPr>
          <w:p w14:paraId="48FA6574" w14:textId="77777777" w:rsidR="00073DFC" w:rsidRPr="009B2F7A" w:rsidRDefault="00073DFC" w:rsidP="00073DFC">
            <w:pPr>
              <w:pStyle w:val="TableText"/>
              <w:jc w:val="center"/>
              <w:rPr>
                <w:rFonts w:cs="Arial"/>
                <w:b/>
              </w:rPr>
            </w:pPr>
            <w:r w:rsidRPr="009B2F7A">
              <w:rPr>
                <w:rFonts w:cs="Arial"/>
                <w:b/>
              </w:rPr>
              <w:t xml:space="preserve">Not at all </w:t>
            </w:r>
            <w:r>
              <w:rPr>
                <w:rFonts w:cs="Arial"/>
                <w:b/>
              </w:rPr>
              <w:br/>
              <w:t>n=</w:t>
            </w:r>
            <w:r w:rsidRPr="009B2F7A">
              <w:rPr>
                <w:rFonts w:cs="Arial"/>
                <w:b/>
              </w:rPr>
              <w:t>585</w:t>
            </w:r>
          </w:p>
        </w:tc>
        <w:tc>
          <w:tcPr>
            <w:tcW w:w="2430" w:type="dxa"/>
            <w:gridSpan w:val="3"/>
            <w:tcBorders>
              <w:top w:val="single" w:sz="4" w:space="0" w:color="000000"/>
              <w:bottom w:val="single" w:sz="4" w:space="0" w:color="000000"/>
            </w:tcBorders>
          </w:tcPr>
          <w:p w14:paraId="4912FBF7" w14:textId="77777777" w:rsidR="00073DFC" w:rsidRPr="009B2F7A" w:rsidRDefault="00073DFC" w:rsidP="00073DFC">
            <w:pPr>
              <w:pStyle w:val="TableText"/>
              <w:jc w:val="center"/>
              <w:rPr>
                <w:rFonts w:cs="Arial"/>
                <w:b/>
              </w:rPr>
            </w:pPr>
            <w:r w:rsidRPr="009B2F7A">
              <w:rPr>
                <w:rFonts w:cs="Arial"/>
                <w:b/>
              </w:rPr>
              <w:t xml:space="preserve">Somewhat / Very </w:t>
            </w:r>
            <w:r>
              <w:rPr>
                <w:rFonts w:cs="Arial"/>
                <w:b/>
              </w:rPr>
              <w:t>m</w:t>
            </w:r>
            <w:r w:rsidRPr="009B2F7A">
              <w:rPr>
                <w:rFonts w:cs="Arial"/>
                <w:b/>
              </w:rPr>
              <w:t xml:space="preserve">uch </w:t>
            </w:r>
            <w:r>
              <w:rPr>
                <w:rFonts w:cs="Arial"/>
                <w:b/>
              </w:rPr>
              <w:br/>
              <w:t>n=</w:t>
            </w:r>
            <w:r w:rsidRPr="009B2F7A">
              <w:rPr>
                <w:rFonts w:cs="Arial"/>
                <w:b/>
              </w:rPr>
              <w:t>5429</w:t>
            </w:r>
          </w:p>
        </w:tc>
        <w:tc>
          <w:tcPr>
            <w:tcW w:w="2430" w:type="dxa"/>
            <w:gridSpan w:val="3"/>
            <w:tcBorders>
              <w:top w:val="single" w:sz="4" w:space="0" w:color="000000"/>
              <w:bottom w:val="single" w:sz="4" w:space="0" w:color="000000"/>
            </w:tcBorders>
          </w:tcPr>
          <w:p w14:paraId="785910FD" w14:textId="77777777" w:rsidR="00073DFC" w:rsidRPr="009B2F7A" w:rsidRDefault="00073DFC" w:rsidP="00073DFC">
            <w:pPr>
              <w:pStyle w:val="TableText"/>
              <w:jc w:val="center"/>
              <w:rPr>
                <w:rFonts w:cs="Arial"/>
                <w:b/>
              </w:rPr>
            </w:pPr>
            <w:r w:rsidRPr="009B2F7A">
              <w:rPr>
                <w:rFonts w:cs="Arial"/>
                <w:b/>
              </w:rPr>
              <w:t xml:space="preserve">Not at all </w:t>
            </w:r>
            <w:r>
              <w:rPr>
                <w:rFonts w:cs="Arial"/>
                <w:b/>
              </w:rPr>
              <w:br/>
              <w:t>n=</w:t>
            </w:r>
            <w:r w:rsidRPr="009B2F7A">
              <w:rPr>
                <w:rFonts w:cs="Arial"/>
                <w:b/>
              </w:rPr>
              <w:t>729</w:t>
            </w:r>
          </w:p>
        </w:tc>
        <w:tc>
          <w:tcPr>
            <w:tcW w:w="2516" w:type="dxa"/>
            <w:gridSpan w:val="3"/>
            <w:tcBorders>
              <w:top w:val="single" w:sz="4" w:space="0" w:color="000000"/>
              <w:bottom w:val="single" w:sz="4" w:space="0" w:color="000000"/>
            </w:tcBorders>
          </w:tcPr>
          <w:p w14:paraId="0BEDA716" w14:textId="77777777" w:rsidR="00073DFC" w:rsidRPr="009B2F7A" w:rsidRDefault="00073DFC" w:rsidP="00073DFC">
            <w:pPr>
              <w:pStyle w:val="TableText"/>
              <w:jc w:val="center"/>
              <w:rPr>
                <w:rFonts w:cs="Arial"/>
                <w:b/>
              </w:rPr>
            </w:pPr>
            <w:r w:rsidRPr="009B2F7A">
              <w:rPr>
                <w:rFonts w:cs="Arial"/>
                <w:b/>
              </w:rPr>
              <w:t xml:space="preserve">Somewhat / Very </w:t>
            </w:r>
            <w:r>
              <w:rPr>
                <w:rFonts w:cs="Arial"/>
                <w:b/>
              </w:rPr>
              <w:t>m</w:t>
            </w:r>
            <w:r w:rsidRPr="009B2F7A">
              <w:rPr>
                <w:rFonts w:cs="Arial"/>
                <w:b/>
              </w:rPr>
              <w:t xml:space="preserve">uch </w:t>
            </w:r>
            <w:r>
              <w:rPr>
                <w:rFonts w:cs="Arial"/>
                <w:b/>
              </w:rPr>
              <w:br/>
              <w:t>n=</w:t>
            </w:r>
            <w:r w:rsidRPr="009B2F7A">
              <w:rPr>
                <w:rFonts w:cs="Arial"/>
                <w:b/>
              </w:rPr>
              <w:t>8170</w:t>
            </w:r>
          </w:p>
        </w:tc>
      </w:tr>
      <w:tr w:rsidR="00D6757C" w:rsidRPr="00285A26" w14:paraId="43756BFE" w14:textId="77777777" w:rsidTr="00D6757C">
        <w:trPr>
          <w:cantSplit/>
          <w:tblHeader/>
        </w:trPr>
        <w:tc>
          <w:tcPr>
            <w:tcW w:w="1699" w:type="dxa"/>
            <w:tcBorders>
              <w:top w:val="nil"/>
              <w:bottom w:val="single" w:sz="4" w:space="0" w:color="000000"/>
            </w:tcBorders>
            <w:vAlign w:val="bottom"/>
          </w:tcPr>
          <w:p w14:paraId="38ABE649" w14:textId="77777777" w:rsidR="00073DFC" w:rsidRPr="009B2F7A" w:rsidRDefault="00073DFC" w:rsidP="00D6757C">
            <w:pPr>
              <w:pStyle w:val="TableText"/>
              <w:rPr>
                <w:b/>
              </w:rPr>
            </w:pPr>
            <w:r w:rsidRPr="009B2F7A">
              <w:rPr>
                <w:b/>
              </w:rPr>
              <w:t>Type</w:t>
            </w:r>
          </w:p>
        </w:tc>
        <w:tc>
          <w:tcPr>
            <w:tcW w:w="569" w:type="dxa"/>
            <w:tcBorders>
              <w:top w:val="single" w:sz="4" w:space="0" w:color="000000"/>
              <w:bottom w:val="single" w:sz="4" w:space="0" w:color="000000"/>
            </w:tcBorders>
            <w:vAlign w:val="bottom"/>
          </w:tcPr>
          <w:p w14:paraId="35AE5C8E" w14:textId="77777777" w:rsidR="00073DFC" w:rsidRPr="009B2F7A" w:rsidRDefault="00073DFC" w:rsidP="00D6757C">
            <w:pPr>
              <w:pStyle w:val="TableText"/>
              <w:jc w:val="right"/>
              <w:rPr>
                <w:b/>
              </w:rPr>
            </w:pPr>
            <w:r w:rsidRPr="009B2F7A">
              <w:rPr>
                <w:b/>
              </w:rPr>
              <w:t>n</w:t>
            </w:r>
          </w:p>
        </w:tc>
        <w:tc>
          <w:tcPr>
            <w:tcW w:w="789" w:type="dxa"/>
            <w:tcBorders>
              <w:top w:val="single" w:sz="4" w:space="0" w:color="000000"/>
              <w:bottom w:val="single" w:sz="4" w:space="0" w:color="000000"/>
            </w:tcBorders>
            <w:vAlign w:val="bottom"/>
          </w:tcPr>
          <w:p w14:paraId="7D218BD9" w14:textId="77777777" w:rsidR="00073DFC" w:rsidRPr="009B2F7A" w:rsidRDefault="00073DFC" w:rsidP="00D6757C">
            <w:pPr>
              <w:pStyle w:val="TableText"/>
              <w:jc w:val="right"/>
              <w:rPr>
                <w:b/>
              </w:rPr>
            </w:pPr>
            <w:r w:rsidRPr="009B2F7A">
              <w:rPr>
                <w:b/>
              </w:rPr>
              <w:t>Weighted n</w:t>
            </w:r>
          </w:p>
        </w:tc>
        <w:tc>
          <w:tcPr>
            <w:tcW w:w="1073" w:type="dxa"/>
            <w:tcBorders>
              <w:top w:val="single" w:sz="4" w:space="0" w:color="000000"/>
              <w:bottom w:val="single" w:sz="4" w:space="0" w:color="000000"/>
            </w:tcBorders>
            <w:vAlign w:val="bottom"/>
          </w:tcPr>
          <w:p w14:paraId="0AFF02FD" w14:textId="77777777" w:rsidR="00073DFC" w:rsidRPr="009B2F7A" w:rsidRDefault="00073DFC" w:rsidP="00D6757C">
            <w:pPr>
              <w:pStyle w:val="TableText"/>
              <w:jc w:val="right"/>
              <w:rPr>
                <w:b/>
              </w:rPr>
            </w:pPr>
            <w:r w:rsidRPr="009B2F7A">
              <w:rPr>
                <w:b/>
              </w:rPr>
              <w:t>% (95%CI)</w:t>
            </w:r>
          </w:p>
        </w:tc>
        <w:tc>
          <w:tcPr>
            <w:tcW w:w="568" w:type="dxa"/>
            <w:tcBorders>
              <w:top w:val="single" w:sz="4" w:space="0" w:color="000000"/>
              <w:bottom w:val="single" w:sz="4" w:space="0" w:color="000000"/>
            </w:tcBorders>
            <w:vAlign w:val="bottom"/>
          </w:tcPr>
          <w:p w14:paraId="742260D3" w14:textId="77777777" w:rsidR="00073DFC" w:rsidRPr="009B2F7A" w:rsidRDefault="00073DFC" w:rsidP="00D6757C">
            <w:pPr>
              <w:pStyle w:val="TableText"/>
              <w:jc w:val="right"/>
              <w:rPr>
                <w:b/>
              </w:rPr>
            </w:pPr>
            <w:r w:rsidRPr="009B2F7A">
              <w:rPr>
                <w:b/>
              </w:rPr>
              <w:t>n</w:t>
            </w:r>
          </w:p>
        </w:tc>
        <w:tc>
          <w:tcPr>
            <w:tcW w:w="793" w:type="dxa"/>
            <w:tcBorders>
              <w:top w:val="single" w:sz="4" w:space="0" w:color="000000"/>
              <w:bottom w:val="single" w:sz="4" w:space="0" w:color="000000"/>
            </w:tcBorders>
            <w:vAlign w:val="bottom"/>
          </w:tcPr>
          <w:p w14:paraId="65E97257" w14:textId="77777777" w:rsidR="00073DFC" w:rsidRPr="009B2F7A" w:rsidRDefault="00073DFC" w:rsidP="00D6757C">
            <w:pPr>
              <w:pStyle w:val="TableText"/>
              <w:jc w:val="right"/>
              <w:rPr>
                <w:b/>
              </w:rPr>
            </w:pPr>
            <w:r w:rsidRPr="009B2F7A">
              <w:rPr>
                <w:b/>
              </w:rPr>
              <w:t>Weighted n</w:t>
            </w:r>
          </w:p>
        </w:tc>
        <w:tc>
          <w:tcPr>
            <w:tcW w:w="1069" w:type="dxa"/>
            <w:tcBorders>
              <w:top w:val="single" w:sz="4" w:space="0" w:color="000000"/>
              <w:bottom w:val="single" w:sz="4" w:space="0" w:color="000000"/>
            </w:tcBorders>
            <w:vAlign w:val="bottom"/>
          </w:tcPr>
          <w:p w14:paraId="47D45ED4" w14:textId="77777777" w:rsidR="00073DFC" w:rsidRPr="009B2F7A" w:rsidRDefault="00073DFC" w:rsidP="00D6757C">
            <w:pPr>
              <w:pStyle w:val="TableText"/>
              <w:jc w:val="right"/>
              <w:rPr>
                <w:b/>
              </w:rPr>
            </w:pPr>
            <w:r w:rsidRPr="009B2F7A">
              <w:rPr>
                <w:b/>
              </w:rPr>
              <w:t>% (95%CI)</w:t>
            </w:r>
          </w:p>
        </w:tc>
        <w:tc>
          <w:tcPr>
            <w:tcW w:w="568" w:type="dxa"/>
            <w:tcBorders>
              <w:top w:val="single" w:sz="4" w:space="0" w:color="000000"/>
              <w:bottom w:val="single" w:sz="4" w:space="0" w:color="000000"/>
            </w:tcBorders>
            <w:vAlign w:val="bottom"/>
          </w:tcPr>
          <w:p w14:paraId="3946C215" w14:textId="77777777" w:rsidR="00073DFC" w:rsidRPr="009B2F7A" w:rsidRDefault="00073DFC" w:rsidP="00D6757C">
            <w:pPr>
              <w:pStyle w:val="TableText"/>
              <w:jc w:val="right"/>
              <w:rPr>
                <w:b/>
              </w:rPr>
            </w:pPr>
            <w:r w:rsidRPr="009B2F7A">
              <w:rPr>
                <w:b/>
              </w:rPr>
              <w:t>n</w:t>
            </w:r>
          </w:p>
        </w:tc>
        <w:tc>
          <w:tcPr>
            <w:tcW w:w="797" w:type="dxa"/>
            <w:tcBorders>
              <w:top w:val="single" w:sz="4" w:space="0" w:color="000000"/>
              <w:bottom w:val="single" w:sz="4" w:space="0" w:color="000000"/>
            </w:tcBorders>
            <w:vAlign w:val="bottom"/>
          </w:tcPr>
          <w:p w14:paraId="6A907C03" w14:textId="77777777" w:rsidR="00073DFC" w:rsidRPr="009B2F7A" w:rsidRDefault="00073DFC" w:rsidP="00D6757C">
            <w:pPr>
              <w:pStyle w:val="TableText"/>
              <w:jc w:val="right"/>
              <w:rPr>
                <w:b/>
              </w:rPr>
            </w:pPr>
            <w:r w:rsidRPr="009B2F7A">
              <w:rPr>
                <w:b/>
              </w:rPr>
              <w:t>Weighted n</w:t>
            </w:r>
          </w:p>
        </w:tc>
        <w:tc>
          <w:tcPr>
            <w:tcW w:w="1065" w:type="dxa"/>
            <w:tcBorders>
              <w:top w:val="single" w:sz="4" w:space="0" w:color="000000"/>
              <w:bottom w:val="single" w:sz="4" w:space="0" w:color="000000"/>
            </w:tcBorders>
            <w:vAlign w:val="bottom"/>
          </w:tcPr>
          <w:p w14:paraId="43F27DDE" w14:textId="77777777" w:rsidR="00073DFC" w:rsidRPr="009B2F7A" w:rsidRDefault="00073DFC" w:rsidP="00D6757C">
            <w:pPr>
              <w:pStyle w:val="TableText"/>
              <w:jc w:val="right"/>
              <w:rPr>
                <w:b/>
              </w:rPr>
            </w:pPr>
            <w:r w:rsidRPr="009B2F7A">
              <w:rPr>
                <w:b/>
              </w:rPr>
              <w:t>% (95%CI)</w:t>
            </w:r>
          </w:p>
        </w:tc>
        <w:tc>
          <w:tcPr>
            <w:tcW w:w="558" w:type="dxa"/>
            <w:tcBorders>
              <w:top w:val="single" w:sz="4" w:space="0" w:color="000000"/>
              <w:bottom w:val="single" w:sz="4" w:space="0" w:color="000000"/>
            </w:tcBorders>
            <w:vAlign w:val="bottom"/>
          </w:tcPr>
          <w:p w14:paraId="48D39460" w14:textId="77777777" w:rsidR="00073DFC" w:rsidRPr="009B2F7A" w:rsidRDefault="00073DFC" w:rsidP="00D6757C">
            <w:pPr>
              <w:pStyle w:val="TableText"/>
              <w:jc w:val="right"/>
              <w:rPr>
                <w:b/>
              </w:rPr>
            </w:pPr>
            <w:r w:rsidRPr="009B2F7A">
              <w:rPr>
                <w:b/>
              </w:rPr>
              <w:t>n</w:t>
            </w:r>
          </w:p>
        </w:tc>
        <w:tc>
          <w:tcPr>
            <w:tcW w:w="811" w:type="dxa"/>
            <w:tcBorders>
              <w:top w:val="single" w:sz="4" w:space="0" w:color="000000"/>
              <w:bottom w:val="single" w:sz="4" w:space="0" w:color="000000"/>
            </w:tcBorders>
            <w:vAlign w:val="bottom"/>
          </w:tcPr>
          <w:p w14:paraId="77F001D6" w14:textId="77777777" w:rsidR="00073DFC" w:rsidRPr="009B2F7A" w:rsidRDefault="00073DFC" w:rsidP="00D6757C">
            <w:pPr>
              <w:pStyle w:val="TableText"/>
              <w:jc w:val="right"/>
              <w:rPr>
                <w:b/>
              </w:rPr>
            </w:pPr>
            <w:r w:rsidRPr="009B2F7A">
              <w:rPr>
                <w:b/>
              </w:rPr>
              <w:t>Weighted n</w:t>
            </w:r>
          </w:p>
        </w:tc>
        <w:tc>
          <w:tcPr>
            <w:tcW w:w="1147" w:type="dxa"/>
            <w:tcBorders>
              <w:top w:val="single" w:sz="4" w:space="0" w:color="000000"/>
              <w:bottom w:val="single" w:sz="4" w:space="0" w:color="000000"/>
            </w:tcBorders>
            <w:vAlign w:val="bottom"/>
          </w:tcPr>
          <w:p w14:paraId="4D835C36" w14:textId="77777777" w:rsidR="00073DFC" w:rsidRPr="009B2F7A" w:rsidRDefault="00073DFC" w:rsidP="00D6757C">
            <w:pPr>
              <w:pStyle w:val="TableText"/>
              <w:jc w:val="right"/>
              <w:rPr>
                <w:b/>
              </w:rPr>
            </w:pPr>
            <w:r w:rsidRPr="009B2F7A">
              <w:rPr>
                <w:b/>
              </w:rPr>
              <w:t>% (95%CI)</w:t>
            </w:r>
          </w:p>
        </w:tc>
      </w:tr>
      <w:tr w:rsidR="00CF0E4F" w:rsidRPr="00285A26" w14:paraId="1C16A6AF"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Borders>
              <w:top w:val="single" w:sz="4" w:space="0" w:color="000000"/>
            </w:tcBorders>
          </w:tcPr>
          <w:p w14:paraId="0ABCCA17" w14:textId="77777777" w:rsidR="00073DFC" w:rsidRPr="009B2F7A" w:rsidRDefault="00073DFC" w:rsidP="00D46588">
            <w:pPr>
              <w:pStyle w:val="TableText"/>
              <w:rPr>
                <w:rFonts w:cs="Calibri"/>
                <w:b/>
              </w:rPr>
            </w:pPr>
            <w:r w:rsidRPr="009B2F7A">
              <w:rPr>
                <w:rFonts w:cs="Calibri"/>
                <w:b/>
                <w:bCs/>
                <w:color w:val="000000" w:themeColor="text1"/>
              </w:rPr>
              <w:t>Probable 30-day disorder</w:t>
            </w:r>
          </w:p>
        </w:tc>
        <w:tc>
          <w:tcPr>
            <w:tcW w:w="569" w:type="dxa"/>
            <w:tcBorders>
              <w:top w:val="single" w:sz="4" w:space="0" w:color="000000"/>
            </w:tcBorders>
          </w:tcPr>
          <w:p w14:paraId="07A18D88" w14:textId="77777777" w:rsidR="00073DFC" w:rsidRPr="00285A26" w:rsidRDefault="00073DFC" w:rsidP="00D46588">
            <w:pPr>
              <w:pStyle w:val="TableText"/>
              <w:jc w:val="right"/>
              <w:rPr>
                <w:rFonts w:cs="Calibri"/>
              </w:rPr>
            </w:pPr>
          </w:p>
        </w:tc>
        <w:tc>
          <w:tcPr>
            <w:tcW w:w="789" w:type="dxa"/>
            <w:tcBorders>
              <w:top w:val="single" w:sz="4" w:space="0" w:color="000000"/>
            </w:tcBorders>
          </w:tcPr>
          <w:p w14:paraId="5BBF3E38" w14:textId="77777777" w:rsidR="00073DFC" w:rsidRPr="00285A26" w:rsidRDefault="00073DFC" w:rsidP="00D46588">
            <w:pPr>
              <w:pStyle w:val="TableText"/>
              <w:jc w:val="right"/>
              <w:rPr>
                <w:rFonts w:cs="Calibri"/>
              </w:rPr>
            </w:pPr>
          </w:p>
        </w:tc>
        <w:tc>
          <w:tcPr>
            <w:tcW w:w="1073" w:type="dxa"/>
            <w:tcBorders>
              <w:top w:val="single" w:sz="4" w:space="0" w:color="000000"/>
            </w:tcBorders>
          </w:tcPr>
          <w:p w14:paraId="52C2E3CD" w14:textId="77777777" w:rsidR="00073DFC" w:rsidRPr="00285A26" w:rsidRDefault="00073DFC" w:rsidP="00D46588">
            <w:pPr>
              <w:pStyle w:val="TableText"/>
              <w:jc w:val="right"/>
              <w:rPr>
                <w:rFonts w:cs="Calibri"/>
              </w:rPr>
            </w:pPr>
          </w:p>
        </w:tc>
        <w:tc>
          <w:tcPr>
            <w:tcW w:w="568" w:type="dxa"/>
            <w:tcBorders>
              <w:top w:val="single" w:sz="4" w:space="0" w:color="000000"/>
            </w:tcBorders>
          </w:tcPr>
          <w:p w14:paraId="19AA1A2C" w14:textId="77777777" w:rsidR="00073DFC" w:rsidRPr="00285A26" w:rsidRDefault="00073DFC" w:rsidP="00D46588">
            <w:pPr>
              <w:pStyle w:val="TableText"/>
              <w:jc w:val="right"/>
              <w:rPr>
                <w:rFonts w:cs="Calibri"/>
              </w:rPr>
            </w:pPr>
          </w:p>
        </w:tc>
        <w:tc>
          <w:tcPr>
            <w:tcW w:w="793" w:type="dxa"/>
            <w:tcBorders>
              <w:top w:val="single" w:sz="4" w:space="0" w:color="000000"/>
            </w:tcBorders>
          </w:tcPr>
          <w:p w14:paraId="2DBAD6A3" w14:textId="77777777" w:rsidR="00073DFC" w:rsidRPr="00285A26" w:rsidRDefault="00073DFC" w:rsidP="00D46588">
            <w:pPr>
              <w:pStyle w:val="TableText"/>
              <w:jc w:val="right"/>
              <w:rPr>
                <w:rFonts w:cs="Calibri"/>
              </w:rPr>
            </w:pPr>
          </w:p>
        </w:tc>
        <w:tc>
          <w:tcPr>
            <w:tcW w:w="1069" w:type="dxa"/>
            <w:tcBorders>
              <w:top w:val="single" w:sz="4" w:space="0" w:color="000000"/>
            </w:tcBorders>
          </w:tcPr>
          <w:p w14:paraId="73C8FE15" w14:textId="77777777" w:rsidR="00073DFC" w:rsidRPr="00285A26" w:rsidRDefault="00073DFC" w:rsidP="00D46588">
            <w:pPr>
              <w:pStyle w:val="TableText"/>
              <w:jc w:val="right"/>
              <w:rPr>
                <w:rFonts w:cs="Calibri"/>
              </w:rPr>
            </w:pPr>
          </w:p>
        </w:tc>
        <w:tc>
          <w:tcPr>
            <w:tcW w:w="568" w:type="dxa"/>
            <w:tcBorders>
              <w:top w:val="single" w:sz="4" w:space="0" w:color="000000"/>
            </w:tcBorders>
          </w:tcPr>
          <w:p w14:paraId="00C867CA" w14:textId="77777777" w:rsidR="00073DFC" w:rsidRPr="00285A26" w:rsidRDefault="00073DFC" w:rsidP="00D46588">
            <w:pPr>
              <w:pStyle w:val="TableText"/>
              <w:jc w:val="right"/>
              <w:rPr>
                <w:rFonts w:cs="Calibri"/>
              </w:rPr>
            </w:pPr>
          </w:p>
        </w:tc>
        <w:tc>
          <w:tcPr>
            <w:tcW w:w="797" w:type="dxa"/>
            <w:tcBorders>
              <w:top w:val="single" w:sz="4" w:space="0" w:color="000000"/>
            </w:tcBorders>
          </w:tcPr>
          <w:p w14:paraId="2342631D" w14:textId="77777777" w:rsidR="00073DFC" w:rsidRPr="00285A26" w:rsidRDefault="00073DFC" w:rsidP="00D46588">
            <w:pPr>
              <w:pStyle w:val="TableText"/>
              <w:jc w:val="right"/>
              <w:rPr>
                <w:rFonts w:cs="Calibri"/>
              </w:rPr>
            </w:pPr>
          </w:p>
        </w:tc>
        <w:tc>
          <w:tcPr>
            <w:tcW w:w="1065" w:type="dxa"/>
            <w:tcBorders>
              <w:top w:val="single" w:sz="4" w:space="0" w:color="000000"/>
            </w:tcBorders>
          </w:tcPr>
          <w:p w14:paraId="44E101E3" w14:textId="77777777" w:rsidR="00073DFC" w:rsidRPr="00285A26" w:rsidRDefault="00073DFC" w:rsidP="00D46588">
            <w:pPr>
              <w:pStyle w:val="TableText"/>
              <w:jc w:val="right"/>
              <w:rPr>
                <w:rFonts w:cs="Calibri"/>
              </w:rPr>
            </w:pPr>
          </w:p>
        </w:tc>
        <w:tc>
          <w:tcPr>
            <w:tcW w:w="558" w:type="dxa"/>
            <w:tcBorders>
              <w:top w:val="single" w:sz="4" w:space="0" w:color="000000"/>
            </w:tcBorders>
          </w:tcPr>
          <w:p w14:paraId="07124935" w14:textId="77777777" w:rsidR="00073DFC" w:rsidRPr="00285A26" w:rsidRDefault="00073DFC" w:rsidP="00D46588">
            <w:pPr>
              <w:pStyle w:val="TableText"/>
              <w:jc w:val="right"/>
              <w:rPr>
                <w:rFonts w:cs="Calibri"/>
              </w:rPr>
            </w:pPr>
          </w:p>
        </w:tc>
        <w:tc>
          <w:tcPr>
            <w:tcW w:w="811" w:type="dxa"/>
            <w:tcBorders>
              <w:top w:val="single" w:sz="4" w:space="0" w:color="000000"/>
            </w:tcBorders>
          </w:tcPr>
          <w:p w14:paraId="638F290E" w14:textId="77777777" w:rsidR="00073DFC" w:rsidRPr="00285A26" w:rsidRDefault="00073DFC" w:rsidP="00D46588">
            <w:pPr>
              <w:pStyle w:val="TableText"/>
              <w:jc w:val="right"/>
              <w:rPr>
                <w:rFonts w:cs="Calibri"/>
              </w:rPr>
            </w:pPr>
          </w:p>
        </w:tc>
        <w:tc>
          <w:tcPr>
            <w:tcW w:w="1147" w:type="dxa"/>
            <w:tcBorders>
              <w:top w:val="single" w:sz="4" w:space="0" w:color="000000"/>
            </w:tcBorders>
          </w:tcPr>
          <w:p w14:paraId="0626DDC6" w14:textId="77777777" w:rsidR="00073DFC" w:rsidRPr="00285A26" w:rsidRDefault="00073DFC" w:rsidP="00D46588">
            <w:pPr>
              <w:pStyle w:val="TableText"/>
              <w:jc w:val="right"/>
              <w:rPr>
                <w:rFonts w:cs="Calibri"/>
              </w:rPr>
            </w:pPr>
          </w:p>
        </w:tc>
      </w:tr>
      <w:tr w:rsidR="00D6757C" w:rsidRPr="00285A26" w14:paraId="3D052010" w14:textId="77777777" w:rsidTr="00D6757C">
        <w:trPr>
          <w:cantSplit/>
        </w:trPr>
        <w:tc>
          <w:tcPr>
            <w:tcW w:w="1699" w:type="dxa"/>
          </w:tcPr>
          <w:p w14:paraId="2C05526E"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Yes</w:t>
            </w:r>
          </w:p>
        </w:tc>
        <w:tc>
          <w:tcPr>
            <w:tcW w:w="569" w:type="dxa"/>
          </w:tcPr>
          <w:p w14:paraId="63380B0B" w14:textId="77777777" w:rsidR="00073DFC" w:rsidRPr="004B5F81" w:rsidRDefault="00073DFC" w:rsidP="00D46588">
            <w:pPr>
              <w:pStyle w:val="TableText"/>
              <w:jc w:val="right"/>
              <w:rPr>
                <w:rFonts w:cs="Calibri"/>
              </w:rPr>
            </w:pPr>
            <w:r w:rsidRPr="004B5F81">
              <w:t>34</w:t>
            </w:r>
          </w:p>
        </w:tc>
        <w:tc>
          <w:tcPr>
            <w:tcW w:w="789" w:type="dxa"/>
          </w:tcPr>
          <w:p w14:paraId="780C90F7" w14:textId="77777777" w:rsidR="00073DFC" w:rsidRPr="004B5F81" w:rsidRDefault="00073DFC" w:rsidP="00D46588">
            <w:pPr>
              <w:pStyle w:val="TableText"/>
              <w:jc w:val="right"/>
              <w:rPr>
                <w:rFonts w:cs="Calibri"/>
              </w:rPr>
            </w:pPr>
            <w:r w:rsidRPr="004B5F81">
              <w:t>285</w:t>
            </w:r>
          </w:p>
        </w:tc>
        <w:tc>
          <w:tcPr>
            <w:tcW w:w="1073" w:type="dxa"/>
          </w:tcPr>
          <w:p w14:paraId="15224A1F" w14:textId="77777777" w:rsidR="00073DFC" w:rsidRPr="004B5F81" w:rsidRDefault="00073DFC" w:rsidP="00D46588">
            <w:pPr>
              <w:pStyle w:val="TableText"/>
              <w:jc w:val="right"/>
              <w:rPr>
                <w:rFonts w:cs="Calibri"/>
              </w:rPr>
            </w:pPr>
            <w:r w:rsidRPr="004B5F81">
              <w:t>10.5 (7.0,</w:t>
            </w:r>
            <w:r>
              <w:t xml:space="preserve"> </w:t>
            </w:r>
            <w:r w:rsidRPr="004B5F81">
              <w:t>15.5)</w:t>
            </w:r>
          </w:p>
        </w:tc>
        <w:tc>
          <w:tcPr>
            <w:tcW w:w="568" w:type="dxa"/>
          </w:tcPr>
          <w:p w14:paraId="5F823A70" w14:textId="77777777" w:rsidR="00073DFC" w:rsidRPr="004B5F81" w:rsidRDefault="00073DFC" w:rsidP="00D46588">
            <w:pPr>
              <w:pStyle w:val="TableText"/>
              <w:jc w:val="right"/>
              <w:rPr>
                <w:rFonts w:cs="Calibri"/>
              </w:rPr>
            </w:pPr>
            <w:r w:rsidRPr="004B5F81">
              <w:t>350</w:t>
            </w:r>
          </w:p>
        </w:tc>
        <w:tc>
          <w:tcPr>
            <w:tcW w:w="793" w:type="dxa"/>
          </w:tcPr>
          <w:p w14:paraId="2208B6DA" w14:textId="77777777" w:rsidR="00073DFC" w:rsidRPr="004B5F81" w:rsidRDefault="00073DFC" w:rsidP="00D46588">
            <w:pPr>
              <w:pStyle w:val="TableText"/>
              <w:jc w:val="right"/>
              <w:rPr>
                <w:rFonts w:cs="Calibri"/>
              </w:rPr>
            </w:pPr>
            <w:r w:rsidRPr="004B5F81">
              <w:t>2384</w:t>
            </w:r>
          </w:p>
        </w:tc>
        <w:tc>
          <w:tcPr>
            <w:tcW w:w="1069" w:type="dxa"/>
          </w:tcPr>
          <w:p w14:paraId="435B8CB5" w14:textId="77777777" w:rsidR="00073DFC" w:rsidRPr="004B5F81" w:rsidRDefault="00073DFC" w:rsidP="00D46588">
            <w:pPr>
              <w:pStyle w:val="TableText"/>
              <w:jc w:val="right"/>
              <w:rPr>
                <w:rFonts w:cs="Calibri"/>
              </w:rPr>
            </w:pPr>
            <w:r w:rsidRPr="004B5F81">
              <w:t>88.2 (83.2,</w:t>
            </w:r>
            <w:r>
              <w:t xml:space="preserve"> </w:t>
            </w:r>
            <w:r w:rsidRPr="004B5F81">
              <w:t>91.9)</w:t>
            </w:r>
          </w:p>
        </w:tc>
        <w:tc>
          <w:tcPr>
            <w:tcW w:w="568" w:type="dxa"/>
          </w:tcPr>
          <w:p w14:paraId="2A31C87B" w14:textId="77777777" w:rsidR="00073DFC" w:rsidRPr="004B5F81" w:rsidRDefault="00073DFC" w:rsidP="00D46588">
            <w:pPr>
              <w:pStyle w:val="TableText"/>
              <w:jc w:val="right"/>
              <w:rPr>
                <w:rFonts w:cs="Calibri"/>
              </w:rPr>
            </w:pPr>
            <w:r w:rsidRPr="004B5F81">
              <w:t>18</w:t>
            </w:r>
          </w:p>
        </w:tc>
        <w:tc>
          <w:tcPr>
            <w:tcW w:w="797" w:type="dxa"/>
          </w:tcPr>
          <w:p w14:paraId="52E4F086" w14:textId="77777777" w:rsidR="00073DFC" w:rsidRPr="004B5F81" w:rsidRDefault="00073DFC" w:rsidP="00D46588">
            <w:pPr>
              <w:pStyle w:val="TableText"/>
              <w:jc w:val="right"/>
              <w:rPr>
                <w:rFonts w:cs="Calibri"/>
              </w:rPr>
            </w:pPr>
            <w:r w:rsidRPr="004B5F81">
              <w:t>77</w:t>
            </w:r>
          </w:p>
        </w:tc>
        <w:tc>
          <w:tcPr>
            <w:tcW w:w="1065" w:type="dxa"/>
          </w:tcPr>
          <w:p w14:paraId="33EC165A" w14:textId="77777777" w:rsidR="00073DFC" w:rsidRPr="004B5F81" w:rsidRDefault="00073DFC" w:rsidP="00D46588">
            <w:pPr>
              <w:pStyle w:val="TableText"/>
              <w:jc w:val="right"/>
              <w:rPr>
                <w:rFonts w:cs="Calibri"/>
              </w:rPr>
            </w:pPr>
            <w:r w:rsidRPr="004B5F81">
              <w:t>4.5 (2.2,</w:t>
            </w:r>
            <w:r>
              <w:t xml:space="preserve"> </w:t>
            </w:r>
            <w:r w:rsidRPr="004B5F81">
              <w:t>8.8)</w:t>
            </w:r>
          </w:p>
        </w:tc>
        <w:tc>
          <w:tcPr>
            <w:tcW w:w="558" w:type="dxa"/>
          </w:tcPr>
          <w:p w14:paraId="03225417" w14:textId="77777777" w:rsidR="00073DFC" w:rsidRPr="004B5F81" w:rsidRDefault="00073DFC" w:rsidP="00D46588">
            <w:pPr>
              <w:pStyle w:val="TableText"/>
              <w:jc w:val="right"/>
              <w:rPr>
                <w:rFonts w:cs="Calibri"/>
              </w:rPr>
            </w:pPr>
            <w:r w:rsidRPr="004B5F81">
              <w:t>258</w:t>
            </w:r>
          </w:p>
        </w:tc>
        <w:tc>
          <w:tcPr>
            <w:tcW w:w="811" w:type="dxa"/>
          </w:tcPr>
          <w:p w14:paraId="57009E37" w14:textId="77777777" w:rsidR="00073DFC" w:rsidRPr="004B5F81" w:rsidRDefault="00073DFC" w:rsidP="00D46588">
            <w:pPr>
              <w:pStyle w:val="TableText"/>
              <w:jc w:val="right"/>
              <w:rPr>
                <w:rFonts w:cs="Calibri"/>
              </w:rPr>
            </w:pPr>
            <w:r w:rsidRPr="004B5F81">
              <w:t>1644</w:t>
            </w:r>
          </w:p>
        </w:tc>
        <w:tc>
          <w:tcPr>
            <w:tcW w:w="1147" w:type="dxa"/>
          </w:tcPr>
          <w:p w14:paraId="4DC29619" w14:textId="77777777" w:rsidR="00073DFC" w:rsidRPr="004B5F81" w:rsidRDefault="00073DFC" w:rsidP="00D46588">
            <w:pPr>
              <w:pStyle w:val="TableText"/>
              <w:jc w:val="right"/>
              <w:rPr>
                <w:rFonts w:cs="Calibri"/>
              </w:rPr>
            </w:pPr>
            <w:r w:rsidRPr="004B5F81">
              <w:t>94.9 (90.4,</w:t>
            </w:r>
            <w:r>
              <w:t xml:space="preserve"> </w:t>
            </w:r>
            <w:r w:rsidRPr="004B5F81">
              <w:t>97.4)</w:t>
            </w:r>
          </w:p>
        </w:tc>
      </w:tr>
      <w:tr w:rsidR="00CF0E4F" w:rsidRPr="00285A26" w14:paraId="15DD4245"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08ABDDA2"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 xml:space="preserve">No </w:t>
            </w:r>
          </w:p>
        </w:tc>
        <w:tc>
          <w:tcPr>
            <w:tcW w:w="569" w:type="dxa"/>
          </w:tcPr>
          <w:p w14:paraId="44623ED5" w14:textId="77777777" w:rsidR="00073DFC" w:rsidRPr="004B5F81" w:rsidRDefault="00073DFC" w:rsidP="00D46588">
            <w:pPr>
              <w:pStyle w:val="TableText"/>
              <w:jc w:val="right"/>
              <w:rPr>
                <w:rFonts w:cs="Calibri"/>
              </w:rPr>
            </w:pPr>
            <w:r w:rsidRPr="004B5F81">
              <w:t>35</w:t>
            </w:r>
          </w:p>
        </w:tc>
        <w:tc>
          <w:tcPr>
            <w:tcW w:w="789" w:type="dxa"/>
          </w:tcPr>
          <w:p w14:paraId="081146F3" w14:textId="77777777" w:rsidR="00073DFC" w:rsidRPr="004B5F81" w:rsidRDefault="00073DFC" w:rsidP="00D46588">
            <w:pPr>
              <w:pStyle w:val="TableText"/>
              <w:jc w:val="right"/>
              <w:rPr>
                <w:rFonts w:cs="Calibri"/>
              </w:rPr>
            </w:pPr>
            <w:r w:rsidRPr="004B5F81">
              <w:t>301</w:t>
            </w:r>
          </w:p>
        </w:tc>
        <w:tc>
          <w:tcPr>
            <w:tcW w:w="1073" w:type="dxa"/>
          </w:tcPr>
          <w:p w14:paraId="19DB9C64" w14:textId="77777777" w:rsidR="00073DFC" w:rsidRPr="004B5F81" w:rsidRDefault="00073DFC" w:rsidP="00D46588">
            <w:pPr>
              <w:pStyle w:val="TableText"/>
              <w:jc w:val="right"/>
              <w:rPr>
                <w:rFonts w:cs="Calibri"/>
              </w:rPr>
            </w:pPr>
            <w:r w:rsidRPr="004B5F81">
              <w:t>8.8 (5.9,</w:t>
            </w:r>
            <w:r>
              <w:t xml:space="preserve"> </w:t>
            </w:r>
            <w:r w:rsidRPr="004B5F81">
              <w:t>13.0)</w:t>
            </w:r>
          </w:p>
        </w:tc>
        <w:tc>
          <w:tcPr>
            <w:tcW w:w="568" w:type="dxa"/>
          </w:tcPr>
          <w:p w14:paraId="190B6014" w14:textId="77777777" w:rsidR="00073DFC" w:rsidRPr="004B5F81" w:rsidRDefault="00073DFC" w:rsidP="00D46588">
            <w:pPr>
              <w:pStyle w:val="TableText"/>
              <w:jc w:val="right"/>
              <w:rPr>
                <w:rFonts w:cs="Calibri"/>
              </w:rPr>
            </w:pPr>
            <w:r w:rsidRPr="004B5F81">
              <w:t>424</w:t>
            </w:r>
          </w:p>
        </w:tc>
        <w:tc>
          <w:tcPr>
            <w:tcW w:w="793" w:type="dxa"/>
          </w:tcPr>
          <w:p w14:paraId="64719822" w14:textId="77777777" w:rsidR="00073DFC" w:rsidRPr="004B5F81" w:rsidRDefault="00073DFC" w:rsidP="00D46588">
            <w:pPr>
              <w:pStyle w:val="TableText"/>
              <w:jc w:val="right"/>
              <w:rPr>
                <w:rFonts w:cs="Calibri"/>
              </w:rPr>
            </w:pPr>
            <w:r w:rsidRPr="004B5F81">
              <w:t>3044</w:t>
            </w:r>
          </w:p>
        </w:tc>
        <w:tc>
          <w:tcPr>
            <w:tcW w:w="1069" w:type="dxa"/>
          </w:tcPr>
          <w:p w14:paraId="74E64B62" w14:textId="77777777" w:rsidR="00073DFC" w:rsidRPr="004B5F81" w:rsidRDefault="00073DFC" w:rsidP="00D46588">
            <w:pPr>
              <w:pStyle w:val="TableText"/>
              <w:jc w:val="right"/>
              <w:rPr>
                <w:rFonts w:cs="Calibri"/>
              </w:rPr>
            </w:pPr>
            <w:r w:rsidRPr="004B5F81">
              <w:t>89.2 (84.7,</w:t>
            </w:r>
            <w:r>
              <w:t xml:space="preserve"> </w:t>
            </w:r>
            <w:r w:rsidRPr="004B5F81">
              <w:t>92.5)</w:t>
            </w:r>
          </w:p>
        </w:tc>
        <w:tc>
          <w:tcPr>
            <w:tcW w:w="568" w:type="dxa"/>
          </w:tcPr>
          <w:p w14:paraId="41E6D22E" w14:textId="77777777" w:rsidR="00073DFC" w:rsidRPr="004B5F81" w:rsidRDefault="00073DFC" w:rsidP="00D46588">
            <w:pPr>
              <w:pStyle w:val="TableText"/>
              <w:jc w:val="right"/>
              <w:rPr>
                <w:rFonts w:cs="Calibri"/>
              </w:rPr>
            </w:pPr>
            <w:r w:rsidRPr="004B5F81">
              <w:t>74</w:t>
            </w:r>
          </w:p>
        </w:tc>
        <w:tc>
          <w:tcPr>
            <w:tcW w:w="797" w:type="dxa"/>
          </w:tcPr>
          <w:p w14:paraId="4F1A17FC" w14:textId="77777777" w:rsidR="00073DFC" w:rsidRPr="004B5F81" w:rsidRDefault="00073DFC" w:rsidP="00D46588">
            <w:pPr>
              <w:pStyle w:val="TableText"/>
              <w:jc w:val="right"/>
              <w:rPr>
                <w:rFonts w:cs="Calibri"/>
              </w:rPr>
            </w:pPr>
            <w:r w:rsidRPr="004B5F81">
              <w:t>651</w:t>
            </w:r>
          </w:p>
        </w:tc>
        <w:tc>
          <w:tcPr>
            <w:tcW w:w="1065" w:type="dxa"/>
          </w:tcPr>
          <w:p w14:paraId="37170041" w14:textId="77777777" w:rsidR="00073DFC" w:rsidRPr="004B5F81" w:rsidRDefault="00073DFC" w:rsidP="00D46588">
            <w:pPr>
              <w:pStyle w:val="TableText"/>
              <w:jc w:val="right"/>
              <w:rPr>
                <w:rFonts w:cs="Calibri"/>
              </w:rPr>
            </w:pPr>
            <w:r w:rsidRPr="004B5F81">
              <w:t>8.9 (3.4,</w:t>
            </w:r>
            <w:r>
              <w:t xml:space="preserve"> </w:t>
            </w:r>
            <w:r w:rsidRPr="004B5F81">
              <w:t>21.2)</w:t>
            </w:r>
          </w:p>
        </w:tc>
        <w:tc>
          <w:tcPr>
            <w:tcW w:w="558" w:type="dxa"/>
          </w:tcPr>
          <w:p w14:paraId="08719210" w14:textId="77777777" w:rsidR="00073DFC" w:rsidRPr="004B5F81" w:rsidRDefault="00073DFC" w:rsidP="00D46588">
            <w:pPr>
              <w:pStyle w:val="TableText"/>
              <w:jc w:val="right"/>
              <w:rPr>
                <w:rFonts w:cs="Calibri"/>
              </w:rPr>
            </w:pPr>
            <w:r w:rsidRPr="004B5F81">
              <w:t>1057</w:t>
            </w:r>
          </w:p>
        </w:tc>
        <w:tc>
          <w:tcPr>
            <w:tcW w:w="811" w:type="dxa"/>
          </w:tcPr>
          <w:p w14:paraId="07FD1821" w14:textId="77777777" w:rsidR="00073DFC" w:rsidRPr="004B5F81" w:rsidRDefault="00073DFC" w:rsidP="00D46588">
            <w:pPr>
              <w:pStyle w:val="TableText"/>
              <w:jc w:val="right"/>
              <w:rPr>
                <w:rFonts w:cs="Calibri"/>
              </w:rPr>
            </w:pPr>
            <w:r w:rsidRPr="004B5F81">
              <w:t>6526</w:t>
            </w:r>
          </w:p>
        </w:tc>
        <w:tc>
          <w:tcPr>
            <w:tcW w:w="1147" w:type="dxa"/>
          </w:tcPr>
          <w:p w14:paraId="139352D4" w14:textId="77777777" w:rsidR="00073DFC" w:rsidRPr="004B5F81" w:rsidRDefault="00073DFC" w:rsidP="00D46588">
            <w:pPr>
              <w:pStyle w:val="TableText"/>
              <w:jc w:val="right"/>
              <w:rPr>
                <w:rFonts w:cs="Calibri"/>
              </w:rPr>
            </w:pPr>
            <w:r w:rsidRPr="004B5F81">
              <w:t>89.3 (78.0,</w:t>
            </w:r>
            <w:r>
              <w:t xml:space="preserve"> </w:t>
            </w:r>
            <w:r w:rsidRPr="004B5F81">
              <w:t>95.1)</w:t>
            </w:r>
          </w:p>
        </w:tc>
      </w:tr>
      <w:tr w:rsidR="00D6757C" w:rsidRPr="00285A26" w14:paraId="1EAC59A0" w14:textId="77777777" w:rsidTr="00D6757C">
        <w:trPr>
          <w:cantSplit/>
        </w:trPr>
        <w:tc>
          <w:tcPr>
            <w:tcW w:w="1699" w:type="dxa"/>
          </w:tcPr>
          <w:p w14:paraId="64440DD5" w14:textId="77777777" w:rsidR="00073DFC" w:rsidRPr="009B2F7A" w:rsidRDefault="00073DFC" w:rsidP="00D46588">
            <w:pPr>
              <w:pStyle w:val="TableText"/>
              <w:rPr>
                <w:rFonts w:cs="Calibri"/>
                <w:b/>
                <w:bCs/>
                <w:color w:val="000000" w:themeColor="text1"/>
              </w:rPr>
            </w:pPr>
            <w:r w:rsidRPr="009B2F7A">
              <w:rPr>
                <w:rFonts w:cs="Calibri"/>
                <w:b/>
                <w:bCs/>
                <w:color w:val="000000" w:themeColor="text1"/>
              </w:rPr>
              <w:t>Sex</w:t>
            </w:r>
          </w:p>
        </w:tc>
        <w:tc>
          <w:tcPr>
            <w:tcW w:w="569" w:type="dxa"/>
          </w:tcPr>
          <w:p w14:paraId="21D38A22" w14:textId="77777777" w:rsidR="00073DFC" w:rsidRPr="004B5F81" w:rsidRDefault="00073DFC" w:rsidP="00D46588">
            <w:pPr>
              <w:pStyle w:val="TableText"/>
              <w:jc w:val="right"/>
              <w:rPr>
                <w:rFonts w:cs="Calibri"/>
              </w:rPr>
            </w:pPr>
          </w:p>
        </w:tc>
        <w:tc>
          <w:tcPr>
            <w:tcW w:w="789" w:type="dxa"/>
          </w:tcPr>
          <w:p w14:paraId="4B670774" w14:textId="77777777" w:rsidR="00073DFC" w:rsidRPr="004B5F81" w:rsidRDefault="00073DFC" w:rsidP="00D46588">
            <w:pPr>
              <w:pStyle w:val="TableText"/>
              <w:jc w:val="right"/>
              <w:rPr>
                <w:rFonts w:cs="Calibri"/>
              </w:rPr>
            </w:pPr>
          </w:p>
        </w:tc>
        <w:tc>
          <w:tcPr>
            <w:tcW w:w="1073" w:type="dxa"/>
          </w:tcPr>
          <w:p w14:paraId="4A95C375" w14:textId="77777777" w:rsidR="00073DFC" w:rsidRPr="004B5F81" w:rsidRDefault="00073DFC" w:rsidP="00D46588">
            <w:pPr>
              <w:pStyle w:val="TableText"/>
              <w:jc w:val="right"/>
              <w:rPr>
                <w:rFonts w:cs="Calibri"/>
              </w:rPr>
            </w:pPr>
          </w:p>
        </w:tc>
        <w:tc>
          <w:tcPr>
            <w:tcW w:w="568" w:type="dxa"/>
          </w:tcPr>
          <w:p w14:paraId="6E7842EE" w14:textId="77777777" w:rsidR="00073DFC" w:rsidRPr="004B5F81" w:rsidRDefault="00073DFC" w:rsidP="00D46588">
            <w:pPr>
              <w:pStyle w:val="TableText"/>
              <w:jc w:val="right"/>
              <w:rPr>
                <w:rFonts w:cs="Calibri"/>
              </w:rPr>
            </w:pPr>
          </w:p>
        </w:tc>
        <w:tc>
          <w:tcPr>
            <w:tcW w:w="793" w:type="dxa"/>
          </w:tcPr>
          <w:p w14:paraId="16ACA617" w14:textId="77777777" w:rsidR="00073DFC" w:rsidRPr="004B5F81" w:rsidRDefault="00073DFC" w:rsidP="00D46588">
            <w:pPr>
              <w:pStyle w:val="TableText"/>
              <w:jc w:val="right"/>
              <w:rPr>
                <w:rFonts w:cs="Calibri"/>
              </w:rPr>
            </w:pPr>
          </w:p>
        </w:tc>
        <w:tc>
          <w:tcPr>
            <w:tcW w:w="1069" w:type="dxa"/>
          </w:tcPr>
          <w:p w14:paraId="786C7D1F" w14:textId="77777777" w:rsidR="00073DFC" w:rsidRPr="004B5F81" w:rsidRDefault="00073DFC" w:rsidP="00D46588">
            <w:pPr>
              <w:pStyle w:val="TableText"/>
              <w:jc w:val="right"/>
              <w:rPr>
                <w:rFonts w:cs="Calibri"/>
              </w:rPr>
            </w:pPr>
          </w:p>
        </w:tc>
        <w:tc>
          <w:tcPr>
            <w:tcW w:w="568" w:type="dxa"/>
          </w:tcPr>
          <w:p w14:paraId="7508F403" w14:textId="77777777" w:rsidR="00073DFC" w:rsidRPr="004B5F81" w:rsidRDefault="00073DFC" w:rsidP="00D46588">
            <w:pPr>
              <w:pStyle w:val="TableText"/>
              <w:jc w:val="right"/>
              <w:rPr>
                <w:rFonts w:cs="Calibri"/>
              </w:rPr>
            </w:pPr>
          </w:p>
        </w:tc>
        <w:tc>
          <w:tcPr>
            <w:tcW w:w="797" w:type="dxa"/>
          </w:tcPr>
          <w:p w14:paraId="73860AB4" w14:textId="77777777" w:rsidR="00073DFC" w:rsidRPr="004B5F81" w:rsidRDefault="00073DFC" w:rsidP="00D46588">
            <w:pPr>
              <w:pStyle w:val="TableText"/>
              <w:jc w:val="right"/>
              <w:rPr>
                <w:rFonts w:cs="Calibri"/>
              </w:rPr>
            </w:pPr>
          </w:p>
        </w:tc>
        <w:tc>
          <w:tcPr>
            <w:tcW w:w="1065" w:type="dxa"/>
          </w:tcPr>
          <w:p w14:paraId="78557FB7" w14:textId="77777777" w:rsidR="00073DFC" w:rsidRPr="004B5F81" w:rsidRDefault="00073DFC" w:rsidP="00D46588">
            <w:pPr>
              <w:pStyle w:val="TableText"/>
              <w:jc w:val="right"/>
              <w:rPr>
                <w:rFonts w:cs="Calibri"/>
              </w:rPr>
            </w:pPr>
          </w:p>
        </w:tc>
        <w:tc>
          <w:tcPr>
            <w:tcW w:w="558" w:type="dxa"/>
          </w:tcPr>
          <w:p w14:paraId="03119814" w14:textId="77777777" w:rsidR="00073DFC" w:rsidRPr="004B5F81" w:rsidRDefault="00073DFC" w:rsidP="00D46588">
            <w:pPr>
              <w:pStyle w:val="TableText"/>
              <w:jc w:val="right"/>
              <w:rPr>
                <w:rFonts w:cs="Calibri"/>
              </w:rPr>
            </w:pPr>
          </w:p>
        </w:tc>
        <w:tc>
          <w:tcPr>
            <w:tcW w:w="811" w:type="dxa"/>
          </w:tcPr>
          <w:p w14:paraId="5503EFD6" w14:textId="77777777" w:rsidR="00073DFC" w:rsidRPr="004B5F81" w:rsidRDefault="00073DFC" w:rsidP="00D46588">
            <w:pPr>
              <w:pStyle w:val="TableText"/>
              <w:jc w:val="right"/>
              <w:rPr>
                <w:rFonts w:cs="Calibri"/>
              </w:rPr>
            </w:pPr>
          </w:p>
        </w:tc>
        <w:tc>
          <w:tcPr>
            <w:tcW w:w="1147" w:type="dxa"/>
          </w:tcPr>
          <w:p w14:paraId="1314C3E8" w14:textId="77777777" w:rsidR="00073DFC" w:rsidRPr="004B5F81" w:rsidRDefault="00073DFC" w:rsidP="00D46588">
            <w:pPr>
              <w:pStyle w:val="TableText"/>
              <w:jc w:val="right"/>
              <w:rPr>
                <w:rFonts w:cs="Calibri"/>
              </w:rPr>
            </w:pPr>
          </w:p>
        </w:tc>
      </w:tr>
      <w:tr w:rsidR="00CF0E4F" w:rsidRPr="00285A26" w14:paraId="37CAA3F7"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54F70765"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Male</w:t>
            </w:r>
          </w:p>
        </w:tc>
        <w:tc>
          <w:tcPr>
            <w:tcW w:w="569" w:type="dxa"/>
          </w:tcPr>
          <w:p w14:paraId="23E39758" w14:textId="77777777" w:rsidR="00073DFC" w:rsidRPr="004B5F81" w:rsidRDefault="00073DFC" w:rsidP="00D46588">
            <w:pPr>
              <w:pStyle w:val="TableText"/>
              <w:jc w:val="right"/>
              <w:rPr>
                <w:rFonts w:cs="Calibri"/>
              </w:rPr>
            </w:pPr>
            <w:r w:rsidRPr="004B5F81">
              <w:t>62</w:t>
            </w:r>
          </w:p>
        </w:tc>
        <w:tc>
          <w:tcPr>
            <w:tcW w:w="789" w:type="dxa"/>
          </w:tcPr>
          <w:p w14:paraId="6D31C2CA" w14:textId="77777777" w:rsidR="00073DFC" w:rsidRPr="004B5F81" w:rsidRDefault="00073DFC" w:rsidP="00D46588">
            <w:pPr>
              <w:pStyle w:val="TableText"/>
              <w:jc w:val="right"/>
              <w:rPr>
                <w:rFonts w:cs="Calibri"/>
              </w:rPr>
            </w:pPr>
            <w:r w:rsidRPr="004B5F81">
              <w:t>543</w:t>
            </w:r>
          </w:p>
        </w:tc>
        <w:tc>
          <w:tcPr>
            <w:tcW w:w="1073" w:type="dxa"/>
          </w:tcPr>
          <w:p w14:paraId="290AA596" w14:textId="77777777" w:rsidR="00073DFC" w:rsidRPr="004B5F81" w:rsidRDefault="00073DFC" w:rsidP="00D46588">
            <w:pPr>
              <w:pStyle w:val="TableText"/>
              <w:jc w:val="right"/>
              <w:rPr>
                <w:rFonts w:cs="Calibri"/>
              </w:rPr>
            </w:pPr>
            <w:r w:rsidRPr="004B5F81">
              <w:t>10.9 (8.1,</w:t>
            </w:r>
            <w:r>
              <w:t xml:space="preserve"> </w:t>
            </w:r>
            <w:r w:rsidRPr="004B5F81">
              <w:t>14.5)</w:t>
            </w:r>
          </w:p>
        </w:tc>
        <w:tc>
          <w:tcPr>
            <w:tcW w:w="568" w:type="dxa"/>
          </w:tcPr>
          <w:p w14:paraId="187F3C0B" w14:textId="77777777" w:rsidR="00073DFC" w:rsidRPr="004B5F81" w:rsidRDefault="00073DFC" w:rsidP="00D46588">
            <w:pPr>
              <w:pStyle w:val="TableText"/>
              <w:jc w:val="right"/>
              <w:rPr>
                <w:rFonts w:cs="Calibri"/>
              </w:rPr>
            </w:pPr>
            <w:r w:rsidRPr="004B5F81">
              <w:t>592</w:t>
            </w:r>
          </w:p>
        </w:tc>
        <w:tc>
          <w:tcPr>
            <w:tcW w:w="793" w:type="dxa"/>
          </w:tcPr>
          <w:p w14:paraId="642F2F96" w14:textId="77777777" w:rsidR="00073DFC" w:rsidRPr="004B5F81" w:rsidRDefault="00073DFC" w:rsidP="00D46588">
            <w:pPr>
              <w:pStyle w:val="TableText"/>
              <w:jc w:val="right"/>
              <w:rPr>
                <w:rFonts w:cs="Calibri"/>
              </w:rPr>
            </w:pPr>
            <w:r w:rsidRPr="004B5F81">
              <w:t>4373</w:t>
            </w:r>
          </w:p>
        </w:tc>
        <w:tc>
          <w:tcPr>
            <w:tcW w:w="1069" w:type="dxa"/>
          </w:tcPr>
          <w:p w14:paraId="0141732D" w14:textId="77777777" w:rsidR="00073DFC" w:rsidRPr="004B5F81" w:rsidRDefault="00073DFC" w:rsidP="00D46588">
            <w:pPr>
              <w:pStyle w:val="TableText"/>
              <w:jc w:val="right"/>
              <w:rPr>
                <w:rFonts w:cs="Calibri"/>
              </w:rPr>
            </w:pPr>
            <w:r w:rsidRPr="004B5F81">
              <w:t>87.6 (83.9,</w:t>
            </w:r>
            <w:r>
              <w:t xml:space="preserve"> </w:t>
            </w:r>
            <w:r w:rsidRPr="004B5F81">
              <w:t>90.6)</w:t>
            </w:r>
          </w:p>
        </w:tc>
        <w:tc>
          <w:tcPr>
            <w:tcW w:w="568" w:type="dxa"/>
          </w:tcPr>
          <w:p w14:paraId="46EC251E" w14:textId="77777777" w:rsidR="00073DFC" w:rsidRPr="004B5F81" w:rsidRDefault="00073DFC" w:rsidP="00D46588">
            <w:pPr>
              <w:pStyle w:val="TableText"/>
              <w:jc w:val="right"/>
              <w:rPr>
                <w:rFonts w:cs="Calibri"/>
              </w:rPr>
            </w:pPr>
            <w:r w:rsidRPr="004B5F81">
              <w:t>72</w:t>
            </w:r>
          </w:p>
        </w:tc>
        <w:tc>
          <w:tcPr>
            <w:tcW w:w="797" w:type="dxa"/>
          </w:tcPr>
          <w:p w14:paraId="6C58CA56" w14:textId="77777777" w:rsidR="00073DFC" w:rsidRPr="004B5F81" w:rsidRDefault="00073DFC" w:rsidP="00D46588">
            <w:pPr>
              <w:pStyle w:val="TableText"/>
              <w:jc w:val="right"/>
              <w:rPr>
                <w:rFonts w:cs="Calibri"/>
              </w:rPr>
            </w:pPr>
            <w:r w:rsidRPr="004B5F81">
              <w:t>666</w:t>
            </w:r>
          </w:p>
        </w:tc>
        <w:tc>
          <w:tcPr>
            <w:tcW w:w="1065" w:type="dxa"/>
          </w:tcPr>
          <w:p w14:paraId="255733C3" w14:textId="77777777" w:rsidR="00073DFC" w:rsidRPr="004B5F81" w:rsidRDefault="00073DFC" w:rsidP="00D46588">
            <w:pPr>
              <w:pStyle w:val="TableText"/>
              <w:jc w:val="right"/>
              <w:rPr>
                <w:rFonts w:cs="Calibri"/>
              </w:rPr>
            </w:pPr>
            <w:r w:rsidRPr="004B5F81">
              <w:t>8.7 (3.4,</w:t>
            </w:r>
            <w:r>
              <w:t xml:space="preserve"> </w:t>
            </w:r>
            <w:r w:rsidRPr="004B5F81">
              <w:t>20.6)</w:t>
            </w:r>
          </w:p>
        </w:tc>
        <w:tc>
          <w:tcPr>
            <w:tcW w:w="558" w:type="dxa"/>
          </w:tcPr>
          <w:p w14:paraId="1D6996AF" w14:textId="77777777" w:rsidR="00073DFC" w:rsidRPr="004B5F81" w:rsidRDefault="00073DFC" w:rsidP="00D46588">
            <w:pPr>
              <w:pStyle w:val="TableText"/>
              <w:jc w:val="right"/>
              <w:rPr>
                <w:rFonts w:cs="Calibri"/>
              </w:rPr>
            </w:pPr>
            <w:r w:rsidRPr="004B5F81">
              <w:t>913</w:t>
            </w:r>
          </w:p>
        </w:tc>
        <w:tc>
          <w:tcPr>
            <w:tcW w:w="811" w:type="dxa"/>
          </w:tcPr>
          <w:p w14:paraId="76C67F0E" w14:textId="77777777" w:rsidR="00073DFC" w:rsidRPr="004B5F81" w:rsidRDefault="00073DFC" w:rsidP="00D46588">
            <w:pPr>
              <w:pStyle w:val="TableText"/>
              <w:jc w:val="right"/>
              <w:rPr>
                <w:rFonts w:cs="Calibri"/>
              </w:rPr>
            </w:pPr>
            <w:r w:rsidRPr="004B5F81">
              <w:t>6848</w:t>
            </w:r>
          </w:p>
        </w:tc>
        <w:tc>
          <w:tcPr>
            <w:tcW w:w="1147" w:type="dxa"/>
          </w:tcPr>
          <w:p w14:paraId="380520DE" w14:textId="77777777" w:rsidR="00073DFC" w:rsidRPr="004B5F81" w:rsidRDefault="00073DFC" w:rsidP="00D46588">
            <w:pPr>
              <w:pStyle w:val="TableText"/>
              <w:jc w:val="right"/>
              <w:rPr>
                <w:rFonts w:cs="Calibri"/>
              </w:rPr>
            </w:pPr>
            <w:r w:rsidRPr="004B5F81">
              <w:t>89.7 (78.6,</w:t>
            </w:r>
            <w:r>
              <w:t xml:space="preserve"> </w:t>
            </w:r>
            <w:r w:rsidRPr="004B5F81">
              <w:t>95.4)</w:t>
            </w:r>
          </w:p>
        </w:tc>
      </w:tr>
      <w:tr w:rsidR="00D6757C" w:rsidRPr="00285A26" w14:paraId="2BCF993E" w14:textId="77777777" w:rsidTr="00D6757C">
        <w:trPr>
          <w:cantSplit/>
        </w:trPr>
        <w:tc>
          <w:tcPr>
            <w:tcW w:w="1699" w:type="dxa"/>
          </w:tcPr>
          <w:p w14:paraId="740100DC"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Female</w:t>
            </w:r>
          </w:p>
        </w:tc>
        <w:tc>
          <w:tcPr>
            <w:tcW w:w="569" w:type="dxa"/>
          </w:tcPr>
          <w:p w14:paraId="658AF8B9" w14:textId="77777777" w:rsidR="00073DFC" w:rsidRPr="004B5F81" w:rsidRDefault="00073DFC" w:rsidP="00D46588">
            <w:pPr>
              <w:pStyle w:val="TableText"/>
              <w:jc w:val="right"/>
              <w:rPr>
                <w:rFonts w:cs="Calibri"/>
              </w:rPr>
            </w:pPr>
            <w:r w:rsidRPr="004B5F81">
              <w:t>7</w:t>
            </w:r>
          </w:p>
        </w:tc>
        <w:tc>
          <w:tcPr>
            <w:tcW w:w="789" w:type="dxa"/>
          </w:tcPr>
          <w:p w14:paraId="1F74B457" w14:textId="77777777" w:rsidR="00073DFC" w:rsidRPr="004B5F81" w:rsidRDefault="00073DFC" w:rsidP="00D46588">
            <w:pPr>
              <w:pStyle w:val="TableText"/>
              <w:jc w:val="right"/>
              <w:rPr>
                <w:rFonts w:cs="Calibri"/>
              </w:rPr>
            </w:pPr>
            <w:r w:rsidRPr="004B5F81">
              <w:t>42</w:t>
            </w:r>
          </w:p>
        </w:tc>
        <w:tc>
          <w:tcPr>
            <w:tcW w:w="1073" w:type="dxa"/>
          </w:tcPr>
          <w:p w14:paraId="5B372CFE" w14:textId="77777777" w:rsidR="00073DFC" w:rsidRPr="004B5F81" w:rsidRDefault="00073DFC" w:rsidP="00D46588">
            <w:pPr>
              <w:pStyle w:val="TableText"/>
              <w:jc w:val="right"/>
              <w:rPr>
                <w:rFonts w:cs="Calibri"/>
              </w:rPr>
            </w:pPr>
            <w:r w:rsidRPr="004B5F81">
              <w:t>3.7 (1.6,</w:t>
            </w:r>
            <w:r>
              <w:t xml:space="preserve"> </w:t>
            </w:r>
            <w:r w:rsidRPr="004B5F81">
              <w:t>8.6)</w:t>
            </w:r>
          </w:p>
        </w:tc>
        <w:tc>
          <w:tcPr>
            <w:tcW w:w="568" w:type="dxa"/>
          </w:tcPr>
          <w:p w14:paraId="6EC5FFBC" w14:textId="77777777" w:rsidR="00073DFC" w:rsidRPr="004B5F81" w:rsidRDefault="00073DFC" w:rsidP="00D46588">
            <w:pPr>
              <w:pStyle w:val="TableText"/>
              <w:jc w:val="right"/>
              <w:rPr>
                <w:rFonts w:cs="Calibri"/>
              </w:rPr>
            </w:pPr>
            <w:r w:rsidRPr="004B5F81">
              <w:t>182</w:t>
            </w:r>
          </w:p>
        </w:tc>
        <w:tc>
          <w:tcPr>
            <w:tcW w:w="793" w:type="dxa"/>
          </w:tcPr>
          <w:p w14:paraId="3CF0CBFA" w14:textId="77777777" w:rsidR="00073DFC" w:rsidRPr="004B5F81" w:rsidRDefault="00073DFC" w:rsidP="00D46588">
            <w:pPr>
              <w:pStyle w:val="TableText"/>
              <w:jc w:val="right"/>
              <w:rPr>
                <w:rFonts w:cs="Calibri"/>
              </w:rPr>
            </w:pPr>
            <w:r w:rsidRPr="004B5F81">
              <w:t>1056</w:t>
            </w:r>
          </w:p>
        </w:tc>
        <w:tc>
          <w:tcPr>
            <w:tcW w:w="1069" w:type="dxa"/>
          </w:tcPr>
          <w:p w14:paraId="7CCE193F" w14:textId="77777777" w:rsidR="00073DFC" w:rsidRPr="004B5F81" w:rsidRDefault="00073DFC" w:rsidP="00D46588">
            <w:pPr>
              <w:pStyle w:val="TableText"/>
              <w:jc w:val="right"/>
              <w:rPr>
                <w:rFonts w:cs="Calibri"/>
              </w:rPr>
            </w:pPr>
            <w:r w:rsidRPr="004B5F81">
              <w:t>93.8 (87.9,</w:t>
            </w:r>
            <w:r>
              <w:t xml:space="preserve"> </w:t>
            </w:r>
            <w:r w:rsidRPr="004B5F81">
              <w:t>96.9)</w:t>
            </w:r>
          </w:p>
        </w:tc>
        <w:tc>
          <w:tcPr>
            <w:tcW w:w="568" w:type="dxa"/>
          </w:tcPr>
          <w:p w14:paraId="09AB8784" w14:textId="77777777" w:rsidR="00073DFC" w:rsidRPr="004B5F81" w:rsidRDefault="00073DFC" w:rsidP="00D46588">
            <w:pPr>
              <w:pStyle w:val="TableText"/>
              <w:jc w:val="right"/>
              <w:rPr>
                <w:rFonts w:cs="Calibri"/>
              </w:rPr>
            </w:pPr>
            <w:r w:rsidRPr="004B5F81">
              <w:t>20</w:t>
            </w:r>
          </w:p>
        </w:tc>
        <w:tc>
          <w:tcPr>
            <w:tcW w:w="797" w:type="dxa"/>
          </w:tcPr>
          <w:p w14:paraId="147A8FB9" w14:textId="77777777" w:rsidR="00073DFC" w:rsidRPr="004B5F81" w:rsidRDefault="00073DFC" w:rsidP="00D46588">
            <w:pPr>
              <w:pStyle w:val="TableText"/>
              <w:jc w:val="right"/>
              <w:rPr>
                <w:rFonts w:cs="Calibri"/>
              </w:rPr>
            </w:pPr>
            <w:r w:rsidRPr="004B5F81">
              <w:t>62</w:t>
            </w:r>
          </w:p>
        </w:tc>
        <w:tc>
          <w:tcPr>
            <w:tcW w:w="1065" w:type="dxa"/>
          </w:tcPr>
          <w:p w14:paraId="3CE86B99" w14:textId="77777777" w:rsidR="00073DFC" w:rsidRPr="004B5F81" w:rsidRDefault="00073DFC" w:rsidP="00D46588">
            <w:pPr>
              <w:pStyle w:val="TableText"/>
              <w:jc w:val="right"/>
              <w:rPr>
                <w:rFonts w:cs="Calibri"/>
              </w:rPr>
            </w:pPr>
            <w:r w:rsidRPr="004B5F81">
              <w:t>4.4 (3.1,</w:t>
            </w:r>
            <w:r>
              <w:t xml:space="preserve"> </w:t>
            </w:r>
            <w:r w:rsidRPr="004B5F81">
              <w:t>6.4)</w:t>
            </w:r>
          </w:p>
        </w:tc>
        <w:tc>
          <w:tcPr>
            <w:tcW w:w="558" w:type="dxa"/>
          </w:tcPr>
          <w:p w14:paraId="3B7499AF" w14:textId="77777777" w:rsidR="00073DFC" w:rsidRPr="004B5F81" w:rsidRDefault="00073DFC" w:rsidP="00D46588">
            <w:pPr>
              <w:pStyle w:val="TableText"/>
              <w:jc w:val="right"/>
              <w:rPr>
                <w:rFonts w:cs="Calibri"/>
              </w:rPr>
            </w:pPr>
            <w:r w:rsidRPr="004B5F81">
              <w:t>402</w:t>
            </w:r>
          </w:p>
        </w:tc>
        <w:tc>
          <w:tcPr>
            <w:tcW w:w="811" w:type="dxa"/>
          </w:tcPr>
          <w:p w14:paraId="0338A4E5" w14:textId="77777777" w:rsidR="00073DFC" w:rsidRPr="004B5F81" w:rsidRDefault="00073DFC" w:rsidP="00D46588">
            <w:pPr>
              <w:pStyle w:val="TableText"/>
              <w:jc w:val="right"/>
              <w:rPr>
                <w:rFonts w:cs="Calibri"/>
              </w:rPr>
            </w:pPr>
            <w:r w:rsidRPr="004B5F81">
              <w:t>1322</w:t>
            </w:r>
          </w:p>
        </w:tc>
        <w:tc>
          <w:tcPr>
            <w:tcW w:w="1147" w:type="dxa"/>
          </w:tcPr>
          <w:p w14:paraId="2F1AA242" w14:textId="77777777" w:rsidR="00073DFC" w:rsidRPr="004B5F81" w:rsidRDefault="00073DFC" w:rsidP="00D46588">
            <w:pPr>
              <w:pStyle w:val="TableText"/>
              <w:jc w:val="right"/>
              <w:rPr>
                <w:rFonts w:cs="Calibri"/>
              </w:rPr>
            </w:pPr>
            <w:r w:rsidRPr="004B5F81">
              <w:t>94.0 (91.8,95.6)</w:t>
            </w:r>
          </w:p>
        </w:tc>
      </w:tr>
      <w:tr w:rsidR="00CF0E4F" w:rsidRPr="00285A26" w14:paraId="1C1E5996"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5636B324" w14:textId="77777777" w:rsidR="00073DFC" w:rsidRPr="009B2F7A" w:rsidRDefault="00073DFC" w:rsidP="00D46588">
            <w:pPr>
              <w:pStyle w:val="TableText"/>
              <w:rPr>
                <w:rFonts w:cs="Calibri"/>
                <w:b/>
                <w:bCs/>
                <w:color w:val="000000" w:themeColor="text1"/>
              </w:rPr>
            </w:pPr>
            <w:r w:rsidRPr="009B2F7A">
              <w:rPr>
                <w:rFonts w:cs="Calibri"/>
                <w:b/>
                <w:bCs/>
                <w:color w:val="000000" w:themeColor="text1"/>
              </w:rPr>
              <w:t>Age (yrs)</w:t>
            </w:r>
          </w:p>
        </w:tc>
        <w:tc>
          <w:tcPr>
            <w:tcW w:w="569" w:type="dxa"/>
          </w:tcPr>
          <w:p w14:paraId="0B836132" w14:textId="77777777" w:rsidR="00073DFC" w:rsidRPr="004B5F81" w:rsidRDefault="00073DFC" w:rsidP="00D46588">
            <w:pPr>
              <w:pStyle w:val="TableText"/>
              <w:jc w:val="right"/>
              <w:rPr>
                <w:rFonts w:cs="Calibri"/>
              </w:rPr>
            </w:pPr>
          </w:p>
        </w:tc>
        <w:tc>
          <w:tcPr>
            <w:tcW w:w="789" w:type="dxa"/>
          </w:tcPr>
          <w:p w14:paraId="4A346AF8" w14:textId="77777777" w:rsidR="00073DFC" w:rsidRPr="004B5F81" w:rsidRDefault="00073DFC" w:rsidP="00D46588">
            <w:pPr>
              <w:pStyle w:val="TableText"/>
              <w:jc w:val="right"/>
              <w:rPr>
                <w:rFonts w:cs="Calibri"/>
              </w:rPr>
            </w:pPr>
          </w:p>
        </w:tc>
        <w:tc>
          <w:tcPr>
            <w:tcW w:w="1073" w:type="dxa"/>
          </w:tcPr>
          <w:p w14:paraId="57F88196" w14:textId="77777777" w:rsidR="00073DFC" w:rsidRPr="004B5F81" w:rsidRDefault="00073DFC" w:rsidP="00D46588">
            <w:pPr>
              <w:pStyle w:val="TableText"/>
              <w:jc w:val="right"/>
              <w:rPr>
                <w:rFonts w:cs="Calibri"/>
              </w:rPr>
            </w:pPr>
          </w:p>
        </w:tc>
        <w:tc>
          <w:tcPr>
            <w:tcW w:w="568" w:type="dxa"/>
          </w:tcPr>
          <w:p w14:paraId="73903AFE" w14:textId="77777777" w:rsidR="00073DFC" w:rsidRPr="004B5F81" w:rsidRDefault="00073DFC" w:rsidP="00D46588">
            <w:pPr>
              <w:pStyle w:val="TableText"/>
              <w:jc w:val="right"/>
              <w:rPr>
                <w:rFonts w:cs="Calibri"/>
              </w:rPr>
            </w:pPr>
          </w:p>
        </w:tc>
        <w:tc>
          <w:tcPr>
            <w:tcW w:w="793" w:type="dxa"/>
          </w:tcPr>
          <w:p w14:paraId="7F342ADD" w14:textId="77777777" w:rsidR="00073DFC" w:rsidRPr="004B5F81" w:rsidRDefault="00073DFC" w:rsidP="00D46588">
            <w:pPr>
              <w:pStyle w:val="TableText"/>
              <w:jc w:val="right"/>
              <w:rPr>
                <w:rFonts w:cs="Calibri"/>
              </w:rPr>
            </w:pPr>
          </w:p>
        </w:tc>
        <w:tc>
          <w:tcPr>
            <w:tcW w:w="1069" w:type="dxa"/>
          </w:tcPr>
          <w:p w14:paraId="0F5D6596" w14:textId="77777777" w:rsidR="00073DFC" w:rsidRPr="004B5F81" w:rsidRDefault="00073DFC" w:rsidP="00D46588">
            <w:pPr>
              <w:pStyle w:val="TableText"/>
              <w:jc w:val="right"/>
              <w:rPr>
                <w:rFonts w:cs="Calibri"/>
              </w:rPr>
            </w:pPr>
          </w:p>
        </w:tc>
        <w:tc>
          <w:tcPr>
            <w:tcW w:w="568" w:type="dxa"/>
          </w:tcPr>
          <w:p w14:paraId="0D0EE45E" w14:textId="77777777" w:rsidR="00073DFC" w:rsidRPr="004B5F81" w:rsidRDefault="00073DFC" w:rsidP="00D46588">
            <w:pPr>
              <w:pStyle w:val="TableText"/>
              <w:jc w:val="right"/>
              <w:rPr>
                <w:rFonts w:cs="Calibri"/>
              </w:rPr>
            </w:pPr>
          </w:p>
        </w:tc>
        <w:tc>
          <w:tcPr>
            <w:tcW w:w="797" w:type="dxa"/>
          </w:tcPr>
          <w:p w14:paraId="0F5B9875" w14:textId="77777777" w:rsidR="00073DFC" w:rsidRPr="004B5F81" w:rsidRDefault="00073DFC" w:rsidP="00D46588">
            <w:pPr>
              <w:pStyle w:val="TableText"/>
              <w:jc w:val="right"/>
              <w:rPr>
                <w:rFonts w:cs="Calibri"/>
              </w:rPr>
            </w:pPr>
          </w:p>
        </w:tc>
        <w:tc>
          <w:tcPr>
            <w:tcW w:w="1065" w:type="dxa"/>
          </w:tcPr>
          <w:p w14:paraId="47F47DB8" w14:textId="77777777" w:rsidR="00073DFC" w:rsidRPr="004B5F81" w:rsidRDefault="00073DFC" w:rsidP="00D46588">
            <w:pPr>
              <w:pStyle w:val="TableText"/>
              <w:jc w:val="right"/>
              <w:rPr>
                <w:rFonts w:cs="Calibri"/>
              </w:rPr>
            </w:pPr>
          </w:p>
        </w:tc>
        <w:tc>
          <w:tcPr>
            <w:tcW w:w="558" w:type="dxa"/>
          </w:tcPr>
          <w:p w14:paraId="0987E50C" w14:textId="77777777" w:rsidR="00073DFC" w:rsidRPr="004B5F81" w:rsidRDefault="00073DFC" w:rsidP="00D46588">
            <w:pPr>
              <w:pStyle w:val="TableText"/>
              <w:jc w:val="right"/>
              <w:rPr>
                <w:rFonts w:cs="Calibri"/>
              </w:rPr>
            </w:pPr>
          </w:p>
        </w:tc>
        <w:tc>
          <w:tcPr>
            <w:tcW w:w="811" w:type="dxa"/>
          </w:tcPr>
          <w:p w14:paraId="3D6AB1BC" w14:textId="77777777" w:rsidR="00073DFC" w:rsidRPr="004B5F81" w:rsidRDefault="00073DFC" w:rsidP="00D46588">
            <w:pPr>
              <w:pStyle w:val="TableText"/>
              <w:jc w:val="right"/>
              <w:rPr>
                <w:rFonts w:cs="Calibri"/>
              </w:rPr>
            </w:pPr>
          </w:p>
        </w:tc>
        <w:tc>
          <w:tcPr>
            <w:tcW w:w="1147" w:type="dxa"/>
          </w:tcPr>
          <w:p w14:paraId="413151DD" w14:textId="77777777" w:rsidR="00073DFC" w:rsidRPr="004B5F81" w:rsidRDefault="00073DFC" w:rsidP="00D46588">
            <w:pPr>
              <w:pStyle w:val="TableText"/>
              <w:jc w:val="right"/>
              <w:rPr>
                <w:rFonts w:cs="Calibri"/>
              </w:rPr>
            </w:pPr>
          </w:p>
        </w:tc>
      </w:tr>
      <w:tr w:rsidR="00D6757C" w:rsidRPr="00285A26" w14:paraId="242A07D0" w14:textId="77777777" w:rsidTr="00D6757C">
        <w:trPr>
          <w:cantSplit/>
        </w:trPr>
        <w:tc>
          <w:tcPr>
            <w:tcW w:w="1699" w:type="dxa"/>
          </w:tcPr>
          <w:p w14:paraId="535FA236"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18</w:t>
            </w:r>
            <w:r>
              <w:rPr>
                <w:rFonts w:cs="Calibri"/>
                <w:bCs/>
                <w:color w:val="000000" w:themeColor="text1"/>
              </w:rPr>
              <w:t>–</w:t>
            </w:r>
            <w:r w:rsidRPr="009B2F7A">
              <w:rPr>
                <w:rFonts w:cs="Calibri"/>
                <w:bCs/>
                <w:color w:val="000000" w:themeColor="text1"/>
              </w:rPr>
              <w:t>27</w:t>
            </w:r>
          </w:p>
        </w:tc>
        <w:tc>
          <w:tcPr>
            <w:tcW w:w="569" w:type="dxa"/>
          </w:tcPr>
          <w:p w14:paraId="16DEDFD7" w14:textId="77777777" w:rsidR="00073DFC" w:rsidRPr="004B5F81" w:rsidRDefault="00073DFC" w:rsidP="00D46588">
            <w:pPr>
              <w:pStyle w:val="TableText"/>
              <w:jc w:val="right"/>
              <w:rPr>
                <w:rFonts w:cs="Calibri"/>
              </w:rPr>
            </w:pPr>
            <w:r w:rsidRPr="004B5F81">
              <w:t>9</w:t>
            </w:r>
          </w:p>
        </w:tc>
        <w:tc>
          <w:tcPr>
            <w:tcW w:w="789" w:type="dxa"/>
          </w:tcPr>
          <w:p w14:paraId="7F3DF5FF" w14:textId="77777777" w:rsidR="00073DFC" w:rsidRPr="004B5F81" w:rsidRDefault="00073DFC" w:rsidP="00D46588">
            <w:pPr>
              <w:pStyle w:val="TableText"/>
              <w:jc w:val="right"/>
              <w:rPr>
                <w:rFonts w:cs="Calibri"/>
              </w:rPr>
            </w:pPr>
            <w:r w:rsidRPr="004B5F81">
              <w:t>133</w:t>
            </w:r>
          </w:p>
        </w:tc>
        <w:tc>
          <w:tcPr>
            <w:tcW w:w="1073" w:type="dxa"/>
          </w:tcPr>
          <w:p w14:paraId="07132F00" w14:textId="77777777" w:rsidR="00073DFC" w:rsidRPr="004B5F81" w:rsidRDefault="00073DFC" w:rsidP="00D46588">
            <w:pPr>
              <w:pStyle w:val="TableText"/>
              <w:jc w:val="right"/>
              <w:rPr>
                <w:rFonts w:cs="Calibri"/>
              </w:rPr>
            </w:pPr>
            <w:r w:rsidRPr="004B5F81">
              <w:t>10.8 (5.4,</w:t>
            </w:r>
            <w:r>
              <w:t xml:space="preserve"> </w:t>
            </w:r>
            <w:r w:rsidRPr="004B5F81">
              <w:t>20.5)</w:t>
            </w:r>
          </w:p>
        </w:tc>
        <w:tc>
          <w:tcPr>
            <w:tcW w:w="568" w:type="dxa"/>
          </w:tcPr>
          <w:p w14:paraId="05FED41E" w14:textId="77777777" w:rsidR="00073DFC" w:rsidRPr="004B5F81" w:rsidRDefault="00073DFC" w:rsidP="00D46588">
            <w:pPr>
              <w:pStyle w:val="TableText"/>
              <w:jc w:val="right"/>
              <w:rPr>
                <w:rFonts w:cs="Calibri"/>
              </w:rPr>
            </w:pPr>
            <w:r w:rsidRPr="004B5F81">
              <w:t>87</w:t>
            </w:r>
          </w:p>
        </w:tc>
        <w:tc>
          <w:tcPr>
            <w:tcW w:w="793" w:type="dxa"/>
          </w:tcPr>
          <w:p w14:paraId="1C1C3075" w14:textId="77777777" w:rsidR="00073DFC" w:rsidRPr="004B5F81" w:rsidRDefault="00073DFC" w:rsidP="00D46588">
            <w:pPr>
              <w:pStyle w:val="TableText"/>
              <w:jc w:val="right"/>
              <w:rPr>
                <w:rFonts w:cs="Calibri"/>
              </w:rPr>
            </w:pPr>
            <w:r w:rsidRPr="004B5F81">
              <w:t>1083</w:t>
            </w:r>
          </w:p>
        </w:tc>
        <w:tc>
          <w:tcPr>
            <w:tcW w:w="1069" w:type="dxa"/>
          </w:tcPr>
          <w:p w14:paraId="007BBCC5" w14:textId="77777777" w:rsidR="00073DFC" w:rsidRPr="004B5F81" w:rsidRDefault="00073DFC" w:rsidP="00D46588">
            <w:pPr>
              <w:pStyle w:val="TableText"/>
              <w:jc w:val="right"/>
              <w:rPr>
                <w:rFonts w:cs="Calibri"/>
              </w:rPr>
            </w:pPr>
            <w:r w:rsidRPr="004B5F81">
              <w:t>87.9 (78.1,</w:t>
            </w:r>
            <w:r>
              <w:t xml:space="preserve"> </w:t>
            </w:r>
            <w:r w:rsidRPr="004B5F81">
              <w:t>93.7)</w:t>
            </w:r>
          </w:p>
        </w:tc>
        <w:tc>
          <w:tcPr>
            <w:tcW w:w="568" w:type="dxa"/>
          </w:tcPr>
          <w:p w14:paraId="260570E3" w14:textId="77777777" w:rsidR="00073DFC" w:rsidRPr="004B5F81" w:rsidRDefault="00073DFC" w:rsidP="00D46588">
            <w:pPr>
              <w:pStyle w:val="TableText"/>
              <w:jc w:val="right"/>
              <w:rPr>
                <w:rFonts w:cs="Calibri"/>
              </w:rPr>
            </w:pPr>
            <w:r w:rsidRPr="004B5F81">
              <w:t>9</w:t>
            </w:r>
          </w:p>
        </w:tc>
        <w:tc>
          <w:tcPr>
            <w:tcW w:w="797" w:type="dxa"/>
          </w:tcPr>
          <w:p w14:paraId="39C88B75" w14:textId="77777777" w:rsidR="00073DFC" w:rsidRPr="004B5F81" w:rsidRDefault="00073DFC" w:rsidP="00D46588">
            <w:pPr>
              <w:pStyle w:val="TableText"/>
              <w:jc w:val="right"/>
              <w:rPr>
                <w:rFonts w:cs="Calibri"/>
              </w:rPr>
            </w:pPr>
            <w:r w:rsidRPr="004B5F81">
              <w:t>359</w:t>
            </w:r>
          </w:p>
        </w:tc>
        <w:tc>
          <w:tcPr>
            <w:tcW w:w="1065" w:type="dxa"/>
          </w:tcPr>
          <w:p w14:paraId="5D9AE86C" w14:textId="77777777" w:rsidR="00073DFC" w:rsidRPr="004B5F81" w:rsidRDefault="00073DFC" w:rsidP="00D46588">
            <w:pPr>
              <w:pStyle w:val="TableText"/>
              <w:jc w:val="right"/>
              <w:rPr>
                <w:rFonts w:cs="Calibri"/>
              </w:rPr>
            </w:pPr>
            <w:r w:rsidRPr="004B5F81">
              <w:t>17.9 (3.2,</w:t>
            </w:r>
            <w:r>
              <w:t xml:space="preserve"> </w:t>
            </w:r>
            <w:r w:rsidRPr="004B5F81">
              <w:t>59.4)</w:t>
            </w:r>
          </w:p>
        </w:tc>
        <w:tc>
          <w:tcPr>
            <w:tcW w:w="558" w:type="dxa"/>
          </w:tcPr>
          <w:p w14:paraId="1AD36262" w14:textId="77777777" w:rsidR="00073DFC" w:rsidRPr="004B5F81" w:rsidRDefault="00073DFC" w:rsidP="00D46588">
            <w:pPr>
              <w:pStyle w:val="TableText"/>
              <w:jc w:val="right"/>
              <w:rPr>
                <w:rFonts w:cs="Calibri"/>
              </w:rPr>
            </w:pPr>
            <w:r w:rsidRPr="004B5F81">
              <w:t>105</w:t>
            </w:r>
          </w:p>
        </w:tc>
        <w:tc>
          <w:tcPr>
            <w:tcW w:w="811" w:type="dxa"/>
          </w:tcPr>
          <w:p w14:paraId="3A7219B3" w14:textId="77777777" w:rsidR="00073DFC" w:rsidRPr="004B5F81" w:rsidRDefault="00073DFC" w:rsidP="00D46588">
            <w:pPr>
              <w:pStyle w:val="TableText"/>
              <w:jc w:val="right"/>
              <w:rPr>
                <w:rFonts w:cs="Calibri"/>
              </w:rPr>
            </w:pPr>
            <w:r w:rsidRPr="004B5F81">
              <w:t>1613</w:t>
            </w:r>
          </w:p>
        </w:tc>
        <w:tc>
          <w:tcPr>
            <w:tcW w:w="1147" w:type="dxa"/>
          </w:tcPr>
          <w:p w14:paraId="4650C889" w14:textId="77777777" w:rsidR="00073DFC" w:rsidRPr="004B5F81" w:rsidRDefault="00073DFC" w:rsidP="00D46588">
            <w:pPr>
              <w:pStyle w:val="TableText"/>
              <w:jc w:val="right"/>
              <w:rPr>
                <w:rFonts w:cs="Calibri"/>
              </w:rPr>
            </w:pPr>
            <w:r w:rsidRPr="004B5F81">
              <w:t>80.5 (41.1,</w:t>
            </w:r>
            <w:r>
              <w:t xml:space="preserve"> </w:t>
            </w:r>
            <w:r w:rsidRPr="004B5F81">
              <w:t>96.1)</w:t>
            </w:r>
          </w:p>
        </w:tc>
      </w:tr>
      <w:tr w:rsidR="00CF0E4F" w:rsidRPr="00285A26" w14:paraId="49DEC4D7"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7B7A7A72"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28</w:t>
            </w:r>
            <w:r>
              <w:rPr>
                <w:rFonts w:cs="Calibri"/>
                <w:bCs/>
                <w:color w:val="000000" w:themeColor="text1"/>
              </w:rPr>
              <w:t>–</w:t>
            </w:r>
            <w:r w:rsidRPr="009B2F7A">
              <w:rPr>
                <w:rFonts w:cs="Calibri"/>
                <w:bCs/>
                <w:color w:val="000000" w:themeColor="text1"/>
              </w:rPr>
              <w:t>37</w:t>
            </w:r>
          </w:p>
        </w:tc>
        <w:tc>
          <w:tcPr>
            <w:tcW w:w="569" w:type="dxa"/>
          </w:tcPr>
          <w:p w14:paraId="24B856FC" w14:textId="77777777" w:rsidR="00073DFC" w:rsidRPr="004B5F81" w:rsidRDefault="00073DFC" w:rsidP="00D46588">
            <w:pPr>
              <w:pStyle w:val="TableText"/>
              <w:jc w:val="right"/>
              <w:rPr>
                <w:rFonts w:cs="Calibri"/>
              </w:rPr>
            </w:pPr>
            <w:r w:rsidRPr="004B5F81">
              <w:t>23</w:t>
            </w:r>
          </w:p>
        </w:tc>
        <w:tc>
          <w:tcPr>
            <w:tcW w:w="789" w:type="dxa"/>
          </w:tcPr>
          <w:p w14:paraId="4EEDC6DB" w14:textId="77777777" w:rsidR="00073DFC" w:rsidRPr="004B5F81" w:rsidRDefault="00073DFC" w:rsidP="00D46588">
            <w:pPr>
              <w:pStyle w:val="TableText"/>
              <w:jc w:val="right"/>
              <w:rPr>
                <w:rFonts w:cs="Calibri"/>
              </w:rPr>
            </w:pPr>
            <w:r w:rsidRPr="004B5F81">
              <w:t>198</w:t>
            </w:r>
          </w:p>
        </w:tc>
        <w:tc>
          <w:tcPr>
            <w:tcW w:w="1073" w:type="dxa"/>
          </w:tcPr>
          <w:p w14:paraId="12F29A13" w14:textId="77777777" w:rsidR="00073DFC" w:rsidRPr="004B5F81" w:rsidRDefault="00073DFC" w:rsidP="00D46588">
            <w:pPr>
              <w:pStyle w:val="TableText"/>
              <w:jc w:val="right"/>
              <w:rPr>
                <w:rFonts w:cs="Calibri"/>
              </w:rPr>
            </w:pPr>
            <w:r w:rsidRPr="004B5F81">
              <w:t>8.2 (5.0,</w:t>
            </w:r>
            <w:r>
              <w:t xml:space="preserve"> </w:t>
            </w:r>
            <w:r w:rsidRPr="004B5F81">
              <w:t>13.2)</w:t>
            </w:r>
          </w:p>
        </w:tc>
        <w:tc>
          <w:tcPr>
            <w:tcW w:w="568" w:type="dxa"/>
          </w:tcPr>
          <w:p w14:paraId="000D8E91" w14:textId="77777777" w:rsidR="00073DFC" w:rsidRPr="004B5F81" w:rsidRDefault="00073DFC" w:rsidP="00D46588">
            <w:pPr>
              <w:pStyle w:val="TableText"/>
              <w:jc w:val="right"/>
              <w:rPr>
                <w:rFonts w:cs="Calibri"/>
              </w:rPr>
            </w:pPr>
            <w:r w:rsidRPr="004B5F81">
              <w:t>252</w:t>
            </w:r>
          </w:p>
        </w:tc>
        <w:tc>
          <w:tcPr>
            <w:tcW w:w="793" w:type="dxa"/>
          </w:tcPr>
          <w:p w14:paraId="232304FA" w14:textId="77777777" w:rsidR="00073DFC" w:rsidRPr="004B5F81" w:rsidRDefault="00073DFC" w:rsidP="00D46588">
            <w:pPr>
              <w:pStyle w:val="TableText"/>
              <w:jc w:val="right"/>
              <w:rPr>
                <w:rFonts w:cs="Calibri"/>
              </w:rPr>
            </w:pPr>
            <w:r w:rsidRPr="004B5F81">
              <w:t>2191</w:t>
            </w:r>
          </w:p>
        </w:tc>
        <w:tc>
          <w:tcPr>
            <w:tcW w:w="1069" w:type="dxa"/>
          </w:tcPr>
          <w:p w14:paraId="1182BC6C" w14:textId="77777777" w:rsidR="00073DFC" w:rsidRPr="004B5F81" w:rsidRDefault="00073DFC" w:rsidP="00D46588">
            <w:pPr>
              <w:pStyle w:val="TableText"/>
              <w:jc w:val="right"/>
              <w:rPr>
                <w:rFonts w:cs="Calibri"/>
              </w:rPr>
            </w:pPr>
            <w:r w:rsidRPr="004B5F81">
              <w:t>90.7 (85.6,</w:t>
            </w:r>
            <w:r>
              <w:t xml:space="preserve"> </w:t>
            </w:r>
            <w:r w:rsidRPr="004B5F81">
              <w:t>94.1)</w:t>
            </w:r>
          </w:p>
        </w:tc>
        <w:tc>
          <w:tcPr>
            <w:tcW w:w="568" w:type="dxa"/>
          </w:tcPr>
          <w:p w14:paraId="5F8334ED" w14:textId="77777777" w:rsidR="00073DFC" w:rsidRPr="004B5F81" w:rsidRDefault="00073DFC" w:rsidP="00D46588">
            <w:pPr>
              <w:pStyle w:val="TableText"/>
              <w:jc w:val="right"/>
              <w:rPr>
                <w:rFonts w:cs="Calibri"/>
              </w:rPr>
            </w:pPr>
            <w:r w:rsidRPr="004B5F81">
              <w:t>23</w:t>
            </w:r>
          </w:p>
        </w:tc>
        <w:tc>
          <w:tcPr>
            <w:tcW w:w="797" w:type="dxa"/>
          </w:tcPr>
          <w:p w14:paraId="4792630E" w14:textId="77777777" w:rsidR="00073DFC" w:rsidRPr="004B5F81" w:rsidRDefault="00073DFC" w:rsidP="00D46588">
            <w:pPr>
              <w:pStyle w:val="TableText"/>
              <w:jc w:val="right"/>
              <w:rPr>
                <w:rFonts w:cs="Calibri"/>
              </w:rPr>
            </w:pPr>
            <w:r w:rsidRPr="004B5F81">
              <w:t>113</w:t>
            </w:r>
          </w:p>
        </w:tc>
        <w:tc>
          <w:tcPr>
            <w:tcW w:w="1065" w:type="dxa"/>
          </w:tcPr>
          <w:p w14:paraId="55EEECB2" w14:textId="77777777" w:rsidR="00073DFC" w:rsidRPr="004B5F81" w:rsidRDefault="00073DFC" w:rsidP="00D46588">
            <w:pPr>
              <w:pStyle w:val="TableText"/>
              <w:jc w:val="right"/>
              <w:rPr>
                <w:rFonts w:cs="Calibri"/>
              </w:rPr>
            </w:pPr>
            <w:r w:rsidRPr="004B5F81">
              <w:t>2.9 (1.6,</w:t>
            </w:r>
            <w:r>
              <w:t xml:space="preserve"> </w:t>
            </w:r>
            <w:r w:rsidRPr="004B5F81">
              <w:t>5.2)</w:t>
            </w:r>
          </w:p>
        </w:tc>
        <w:tc>
          <w:tcPr>
            <w:tcW w:w="558" w:type="dxa"/>
          </w:tcPr>
          <w:p w14:paraId="49FB55FC" w14:textId="77777777" w:rsidR="00073DFC" w:rsidRPr="004B5F81" w:rsidRDefault="00073DFC" w:rsidP="00D46588">
            <w:pPr>
              <w:pStyle w:val="TableText"/>
              <w:jc w:val="right"/>
              <w:rPr>
                <w:rFonts w:cs="Calibri"/>
              </w:rPr>
            </w:pPr>
            <w:r w:rsidRPr="004B5F81">
              <w:t>475</w:t>
            </w:r>
          </w:p>
        </w:tc>
        <w:tc>
          <w:tcPr>
            <w:tcW w:w="811" w:type="dxa"/>
          </w:tcPr>
          <w:p w14:paraId="4A1E7EE9" w14:textId="77777777" w:rsidR="00073DFC" w:rsidRPr="004B5F81" w:rsidRDefault="00073DFC" w:rsidP="00D46588">
            <w:pPr>
              <w:pStyle w:val="TableText"/>
              <w:jc w:val="right"/>
              <w:rPr>
                <w:rFonts w:cs="Calibri"/>
              </w:rPr>
            </w:pPr>
            <w:r w:rsidRPr="004B5F81">
              <w:t>3673</w:t>
            </w:r>
          </w:p>
        </w:tc>
        <w:tc>
          <w:tcPr>
            <w:tcW w:w="1147" w:type="dxa"/>
          </w:tcPr>
          <w:p w14:paraId="0EF78CBC" w14:textId="77777777" w:rsidR="00073DFC" w:rsidRPr="004B5F81" w:rsidRDefault="00073DFC" w:rsidP="00D46588">
            <w:pPr>
              <w:pStyle w:val="TableText"/>
              <w:jc w:val="right"/>
              <w:rPr>
                <w:rFonts w:cs="Calibri"/>
              </w:rPr>
            </w:pPr>
            <w:r w:rsidRPr="004B5F81">
              <w:t>95.5 (92.8,</w:t>
            </w:r>
            <w:r>
              <w:t xml:space="preserve"> </w:t>
            </w:r>
            <w:r w:rsidRPr="004B5F81">
              <w:t>97.3)</w:t>
            </w:r>
          </w:p>
        </w:tc>
      </w:tr>
      <w:tr w:rsidR="00D6757C" w:rsidRPr="00285A26" w14:paraId="2090048F" w14:textId="77777777" w:rsidTr="00D6757C">
        <w:trPr>
          <w:cantSplit/>
        </w:trPr>
        <w:tc>
          <w:tcPr>
            <w:tcW w:w="1699" w:type="dxa"/>
          </w:tcPr>
          <w:p w14:paraId="02323CF5"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38</w:t>
            </w:r>
            <w:r>
              <w:rPr>
                <w:rFonts w:cs="Calibri"/>
                <w:bCs/>
                <w:color w:val="000000" w:themeColor="text1"/>
              </w:rPr>
              <w:t>–</w:t>
            </w:r>
            <w:r w:rsidRPr="009B2F7A">
              <w:rPr>
                <w:rFonts w:cs="Calibri"/>
                <w:bCs/>
                <w:color w:val="000000" w:themeColor="text1"/>
              </w:rPr>
              <w:t>47</w:t>
            </w:r>
          </w:p>
        </w:tc>
        <w:tc>
          <w:tcPr>
            <w:tcW w:w="569" w:type="dxa"/>
          </w:tcPr>
          <w:p w14:paraId="5C59361B" w14:textId="77777777" w:rsidR="00073DFC" w:rsidRPr="004B5F81" w:rsidRDefault="00073DFC" w:rsidP="00D46588">
            <w:pPr>
              <w:pStyle w:val="TableText"/>
              <w:jc w:val="right"/>
              <w:rPr>
                <w:rFonts w:cs="Calibri"/>
              </w:rPr>
            </w:pPr>
            <w:r w:rsidRPr="004B5F81">
              <w:t>15</w:t>
            </w:r>
          </w:p>
        </w:tc>
        <w:tc>
          <w:tcPr>
            <w:tcW w:w="789" w:type="dxa"/>
          </w:tcPr>
          <w:p w14:paraId="657D7F01" w14:textId="77777777" w:rsidR="00073DFC" w:rsidRPr="004B5F81" w:rsidRDefault="00073DFC" w:rsidP="00D46588">
            <w:pPr>
              <w:pStyle w:val="TableText"/>
              <w:jc w:val="right"/>
              <w:rPr>
                <w:rFonts w:cs="Calibri"/>
              </w:rPr>
            </w:pPr>
            <w:r w:rsidRPr="004B5F81">
              <w:t>108</w:t>
            </w:r>
          </w:p>
        </w:tc>
        <w:tc>
          <w:tcPr>
            <w:tcW w:w="1073" w:type="dxa"/>
          </w:tcPr>
          <w:p w14:paraId="1A7E2800" w14:textId="77777777" w:rsidR="00073DFC" w:rsidRPr="004B5F81" w:rsidRDefault="00073DFC" w:rsidP="00D46588">
            <w:pPr>
              <w:pStyle w:val="TableText"/>
              <w:jc w:val="right"/>
              <w:rPr>
                <w:rFonts w:cs="Calibri"/>
              </w:rPr>
            </w:pPr>
            <w:r w:rsidRPr="004B5F81">
              <w:t>7.5 (4.1,</w:t>
            </w:r>
            <w:r>
              <w:t xml:space="preserve"> </w:t>
            </w:r>
            <w:r w:rsidRPr="004B5F81">
              <w:t>13.2)</w:t>
            </w:r>
          </w:p>
        </w:tc>
        <w:tc>
          <w:tcPr>
            <w:tcW w:w="568" w:type="dxa"/>
          </w:tcPr>
          <w:p w14:paraId="74D14B48" w14:textId="77777777" w:rsidR="00073DFC" w:rsidRPr="004B5F81" w:rsidRDefault="00073DFC" w:rsidP="00D46588">
            <w:pPr>
              <w:pStyle w:val="TableText"/>
              <w:jc w:val="right"/>
              <w:rPr>
                <w:rFonts w:cs="Calibri"/>
              </w:rPr>
            </w:pPr>
            <w:r w:rsidRPr="004B5F81">
              <w:t>245</w:t>
            </w:r>
          </w:p>
        </w:tc>
        <w:tc>
          <w:tcPr>
            <w:tcW w:w="793" w:type="dxa"/>
          </w:tcPr>
          <w:p w14:paraId="1C420DB5" w14:textId="77777777" w:rsidR="00073DFC" w:rsidRPr="004B5F81" w:rsidRDefault="00073DFC" w:rsidP="00D46588">
            <w:pPr>
              <w:pStyle w:val="TableText"/>
              <w:jc w:val="right"/>
              <w:rPr>
                <w:rFonts w:cs="Calibri"/>
              </w:rPr>
            </w:pPr>
            <w:r w:rsidRPr="004B5F81">
              <w:t>1306</w:t>
            </w:r>
          </w:p>
        </w:tc>
        <w:tc>
          <w:tcPr>
            <w:tcW w:w="1069" w:type="dxa"/>
          </w:tcPr>
          <w:p w14:paraId="2D1498AB" w14:textId="77777777" w:rsidR="00073DFC" w:rsidRPr="004B5F81" w:rsidRDefault="00073DFC" w:rsidP="00D46588">
            <w:pPr>
              <w:pStyle w:val="TableText"/>
              <w:jc w:val="right"/>
              <w:rPr>
                <w:rFonts w:cs="Calibri"/>
              </w:rPr>
            </w:pPr>
            <w:r w:rsidRPr="004B5F81">
              <w:t>90.1 (83.4,</w:t>
            </w:r>
            <w:r>
              <w:t xml:space="preserve"> </w:t>
            </w:r>
            <w:r w:rsidRPr="004B5F81">
              <w:t>94.2)</w:t>
            </w:r>
          </w:p>
        </w:tc>
        <w:tc>
          <w:tcPr>
            <w:tcW w:w="568" w:type="dxa"/>
          </w:tcPr>
          <w:p w14:paraId="0A31AFA4" w14:textId="77777777" w:rsidR="00073DFC" w:rsidRPr="004B5F81" w:rsidRDefault="00073DFC" w:rsidP="00D46588">
            <w:pPr>
              <w:pStyle w:val="TableText"/>
              <w:jc w:val="right"/>
              <w:rPr>
                <w:rFonts w:cs="Calibri"/>
              </w:rPr>
            </w:pPr>
            <w:r w:rsidRPr="004B5F81">
              <w:t>33</w:t>
            </w:r>
          </w:p>
        </w:tc>
        <w:tc>
          <w:tcPr>
            <w:tcW w:w="797" w:type="dxa"/>
          </w:tcPr>
          <w:p w14:paraId="2F2BE00D" w14:textId="77777777" w:rsidR="00073DFC" w:rsidRPr="004B5F81" w:rsidRDefault="00073DFC" w:rsidP="00D46588">
            <w:pPr>
              <w:pStyle w:val="TableText"/>
              <w:jc w:val="right"/>
              <w:rPr>
                <w:rFonts w:cs="Calibri"/>
              </w:rPr>
            </w:pPr>
            <w:r w:rsidRPr="004B5F81">
              <w:t>134</w:t>
            </w:r>
          </w:p>
        </w:tc>
        <w:tc>
          <w:tcPr>
            <w:tcW w:w="1065" w:type="dxa"/>
          </w:tcPr>
          <w:p w14:paraId="413F1269" w14:textId="77777777" w:rsidR="00073DFC" w:rsidRPr="004B5F81" w:rsidRDefault="00073DFC" w:rsidP="00D46588">
            <w:pPr>
              <w:pStyle w:val="TableText"/>
              <w:jc w:val="right"/>
              <w:rPr>
                <w:rFonts w:cs="Calibri"/>
              </w:rPr>
            </w:pPr>
            <w:r w:rsidRPr="004B5F81">
              <w:t>7.0 (4.7,</w:t>
            </w:r>
            <w:r>
              <w:t xml:space="preserve"> </w:t>
            </w:r>
            <w:r w:rsidRPr="004B5F81">
              <w:t>10.1)</w:t>
            </w:r>
          </w:p>
        </w:tc>
        <w:tc>
          <w:tcPr>
            <w:tcW w:w="558" w:type="dxa"/>
          </w:tcPr>
          <w:p w14:paraId="2BB22F1F" w14:textId="77777777" w:rsidR="00073DFC" w:rsidRPr="004B5F81" w:rsidRDefault="00073DFC" w:rsidP="00D46588">
            <w:pPr>
              <w:pStyle w:val="TableText"/>
              <w:jc w:val="right"/>
              <w:rPr>
                <w:rFonts w:cs="Calibri"/>
              </w:rPr>
            </w:pPr>
            <w:r w:rsidRPr="004B5F81">
              <w:t>462</w:t>
            </w:r>
          </w:p>
        </w:tc>
        <w:tc>
          <w:tcPr>
            <w:tcW w:w="811" w:type="dxa"/>
          </w:tcPr>
          <w:p w14:paraId="6DC67E18" w14:textId="77777777" w:rsidR="00073DFC" w:rsidRPr="004B5F81" w:rsidRDefault="00073DFC" w:rsidP="00D46588">
            <w:pPr>
              <w:pStyle w:val="TableText"/>
              <w:jc w:val="right"/>
              <w:rPr>
                <w:rFonts w:cs="Calibri"/>
              </w:rPr>
            </w:pPr>
            <w:r w:rsidRPr="004B5F81">
              <w:t>1789</w:t>
            </w:r>
          </w:p>
        </w:tc>
        <w:tc>
          <w:tcPr>
            <w:tcW w:w="1147" w:type="dxa"/>
          </w:tcPr>
          <w:p w14:paraId="72E043A5" w14:textId="77777777" w:rsidR="00073DFC" w:rsidRPr="004B5F81" w:rsidRDefault="00073DFC" w:rsidP="00D46588">
            <w:pPr>
              <w:pStyle w:val="TableText"/>
              <w:jc w:val="right"/>
              <w:rPr>
                <w:rFonts w:cs="Calibri"/>
              </w:rPr>
            </w:pPr>
            <w:r w:rsidRPr="004B5F81">
              <w:t>92.6 (89.5,</w:t>
            </w:r>
            <w:r>
              <w:t xml:space="preserve"> </w:t>
            </w:r>
            <w:r w:rsidRPr="004B5F81">
              <w:t>94.9)</w:t>
            </w:r>
          </w:p>
        </w:tc>
      </w:tr>
      <w:tr w:rsidR="00CF0E4F" w:rsidRPr="00285A26" w14:paraId="36608703"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500B9FEA"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48</w:t>
            </w:r>
            <w:r>
              <w:rPr>
                <w:rFonts w:cs="Calibri"/>
                <w:bCs/>
                <w:color w:val="000000" w:themeColor="text1"/>
              </w:rPr>
              <w:t>–</w:t>
            </w:r>
            <w:r w:rsidRPr="009B2F7A">
              <w:rPr>
                <w:rFonts w:cs="Calibri"/>
                <w:bCs/>
                <w:color w:val="000000" w:themeColor="text1"/>
              </w:rPr>
              <w:t>57</w:t>
            </w:r>
          </w:p>
        </w:tc>
        <w:tc>
          <w:tcPr>
            <w:tcW w:w="569" w:type="dxa"/>
          </w:tcPr>
          <w:p w14:paraId="6902B629" w14:textId="77777777" w:rsidR="00073DFC" w:rsidRPr="004B5F81" w:rsidRDefault="00073DFC" w:rsidP="00D46588">
            <w:pPr>
              <w:pStyle w:val="TableText"/>
              <w:jc w:val="right"/>
              <w:rPr>
                <w:rFonts w:cs="Calibri"/>
              </w:rPr>
            </w:pPr>
            <w:r w:rsidRPr="004B5F81">
              <w:t>11</w:t>
            </w:r>
          </w:p>
        </w:tc>
        <w:tc>
          <w:tcPr>
            <w:tcW w:w="789" w:type="dxa"/>
          </w:tcPr>
          <w:p w14:paraId="28134127" w14:textId="77777777" w:rsidR="00073DFC" w:rsidRPr="004B5F81" w:rsidRDefault="00073DFC" w:rsidP="00D46588">
            <w:pPr>
              <w:pStyle w:val="TableText"/>
              <w:jc w:val="right"/>
              <w:rPr>
                <w:rFonts w:cs="Calibri"/>
              </w:rPr>
            </w:pPr>
            <w:r w:rsidRPr="004B5F81">
              <w:t>82</w:t>
            </w:r>
          </w:p>
        </w:tc>
        <w:tc>
          <w:tcPr>
            <w:tcW w:w="1073" w:type="dxa"/>
          </w:tcPr>
          <w:p w14:paraId="05B72B1F" w14:textId="77777777" w:rsidR="00073DFC" w:rsidRPr="004B5F81" w:rsidRDefault="00073DFC" w:rsidP="00D46588">
            <w:pPr>
              <w:pStyle w:val="TableText"/>
              <w:jc w:val="right"/>
              <w:rPr>
                <w:rFonts w:cs="Calibri"/>
              </w:rPr>
            </w:pPr>
            <w:r w:rsidRPr="004B5F81">
              <w:t>12.9 (6.4,</w:t>
            </w:r>
            <w:r>
              <w:t xml:space="preserve"> </w:t>
            </w:r>
            <w:r w:rsidRPr="004B5F81">
              <w:t>24.3)</w:t>
            </w:r>
          </w:p>
        </w:tc>
        <w:tc>
          <w:tcPr>
            <w:tcW w:w="568" w:type="dxa"/>
          </w:tcPr>
          <w:p w14:paraId="5EFDEF58" w14:textId="77777777" w:rsidR="00073DFC" w:rsidRPr="004B5F81" w:rsidRDefault="00073DFC" w:rsidP="00D46588">
            <w:pPr>
              <w:pStyle w:val="TableText"/>
              <w:jc w:val="right"/>
              <w:rPr>
                <w:rFonts w:cs="Calibri"/>
              </w:rPr>
            </w:pPr>
            <w:r w:rsidRPr="004B5F81">
              <w:t>124</w:t>
            </w:r>
          </w:p>
        </w:tc>
        <w:tc>
          <w:tcPr>
            <w:tcW w:w="793" w:type="dxa"/>
          </w:tcPr>
          <w:p w14:paraId="4ED3EDD1" w14:textId="77777777" w:rsidR="00073DFC" w:rsidRPr="004B5F81" w:rsidRDefault="00073DFC" w:rsidP="00D46588">
            <w:pPr>
              <w:pStyle w:val="TableText"/>
              <w:jc w:val="right"/>
              <w:rPr>
                <w:rFonts w:cs="Calibri"/>
              </w:rPr>
            </w:pPr>
            <w:r w:rsidRPr="004B5F81">
              <w:t>542</w:t>
            </w:r>
          </w:p>
        </w:tc>
        <w:tc>
          <w:tcPr>
            <w:tcW w:w="1069" w:type="dxa"/>
          </w:tcPr>
          <w:p w14:paraId="33574584" w14:textId="77777777" w:rsidR="00073DFC" w:rsidRPr="004B5F81" w:rsidRDefault="00073DFC" w:rsidP="00D46588">
            <w:pPr>
              <w:pStyle w:val="TableText"/>
              <w:jc w:val="right"/>
              <w:rPr>
                <w:rFonts w:cs="Calibri"/>
              </w:rPr>
            </w:pPr>
            <w:r w:rsidRPr="004B5F81">
              <w:t>85.7 (74.6,</w:t>
            </w:r>
            <w:r>
              <w:t xml:space="preserve"> </w:t>
            </w:r>
            <w:r w:rsidRPr="004B5F81">
              <w:t>92.5)</w:t>
            </w:r>
          </w:p>
        </w:tc>
        <w:tc>
          <w:tcPr>
            <w:tcW w:w="568" w:type="dxa"/>
          </w:tcPr>
          <w:p w14:paraId="3612A395" w14:textId="77777777" w:rsidR="00073DFC" w:rsidRPr="004B5F81" w:rsidRDefault="00073DFC" w:rsidP="00D46588">
            <w:pPr>
              <w:pStyle w:val="TableText"/>
              <w:jc w:val="right"/>
              <w:rPr>
                <w:rFonts w:cs="Calibri"/>
              </w:rPr>
            </w:pPr>
            <w:r w:rsidRPr="004B5F81">
              <w:t>25</w:t>
            </w:r>
          </w:p>
        </w:tc>
        <w:tc>
          <w:tcPr>
            <w:tcW w:w="797" w:type="dxa"/>
          </w:tcPr>
          <w:p w14:paraId="041A61AD" w14:textId="77777777" w:rsidR="00073DFC" w:rsidRPr="004B5F81" w:rsidRDefault="00073DFC" w:rsidP="00D46588">
            <w:pPr>
              <w:pStyle w:val="TableText"/>
              <w:jc w:val="right"/>
              <w:rPr>
                <w:rFonts w:cs="Calibri"/>
              </w:rPr>
            </w:pPr>
            <w:r w:rsidRPr="004B5F81">
              <w:t>100</w:t>
            </w:r>
          </w:p>
        </w:tc>
        <w:tc>
          <w:tcPr>
            <w:tcW w:w="1065" w:type="dxa"/>
          </w:tcPr>
          <w:p w14:paraId="0321D576" w14:textId="77777777" w:rsidR="00073DFC" w:rsidRPr="004B5F81" w:rsidRDefault="00073DFC" w:rsidP="00D46588">
            <w:pPr>
              <w:pStyle w:val="TableText"/>
              <w:jc w:val="right"/>
              <w:rPr>
                <w:rFonts w:cs="Calibri"/>
              </w:rPr>
            </w:pPr>
            <w:r w:rsidRPr="004B5F81">
              <w:t>10.4 (6.7,</w:t>
            </w:r>
            <w:r>
              <w:t xml:space="preserve"> </w:t>
            </w:r>
            <w:r w:rsidRPr="004B5F81">
              <w:t>15.9)</w:t>
            </w:r>
          </w:p>
        </w:tc>
        <w:tc>
          <w:tcPr>
            <w:tcW w:w="558" w:type="dxa"/>
          </w:tcPr>
          <w:p w14:paraId="4406B867" w14:textId="77777777" w:rsidR="00073DFC" w:rsidRPr="004B5F81" w:rsidRDefault="00073DFC" w:rsidP="00D46588">
            <w:pPr>
              <w:pStyle w:val="TableText"/>
              <w:jc w:val="right"/>
              <w:rPr>
                <w:rFonts w:cs="Calibri"/>
              </w:rPr>
            </w:pPr>
            <w:r w:rsidRPr="004B5F81">
              <w:t>233</w:t>
            </w:r>
          </w:p>
        </w:tc>
        <w:tc>
          <w:tcPr>
            <w:tcW w:w="811" w:type="dxa"/>
          </w:tcPr>
          <w:p w14:paraId="50DD2B86" w14:textId="77777777" w:rsidR="00073DFC" w:rsidRPr="004B5F81" w:rsidRDefault="00073DFC" w:rsidP="00D46588">
            <w:pPr>
              <w:pStyle w:val="TableText"/>
              <w:jc w:val="right"/>
              <w:rPr>
                <w:rFonts w:cs="Calibri"/>
              </w:rPr>
            </w:pPr>
            <w:r w:rsidRPr="004B5F81">
              <w:t>842</w:t>
            </w:r>
          </w:p>
        </w:tc>
        <w:tc>
          <w:tcPr>
            <w:tcW w:w="1147" w:type="dxa"/>
          </w:tcPr>
          <w:p w14:paraId="4FDB97EF" w14:textId="77777777" w:rsidR="00073DFC" w:rsidRPr="004B5F81" w:rsidRDefault="00073DFC" w:rsidP="00D46588">
            <w:pPr>
              <w:pStyle w:val="TableText"/>
              <w:jc w:val="right"/>
              <w:rPr>
                <w:rFonts w:cs="Calibri"/>
              </w:rPr>
            </w:pPr>
            <w:r w:rsidRPr="004B5F81">
              <w:t>87.6 (82.0,</w:t>
            </w:r>
            <w:r>
              <w:t xml:space="preserve"> </w:t>
            </w:r>
            <w:r w:rsidRPr="004B5F81">
              <w:t>91.7)</w:t>
            </w:r>
          </w:p>
        </w:tc>
      </w:tr>
      <w:tr w:rsidR="00D6757C" w:rsidRPr="00285A26" w14:paraId="072FA45B" w14:textId="77777777" w:rsidTr="00D6757C">
        <w:trPr>
          <w:cantSplit/>
        </w:trPr>
        <w:tc>
          <w:tcPr>
            <w:tcW w:w="1699" w:type="dxa"/>
          </w:tcPr>
          <w:p w14:paraId="30285A1A"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58+</w:t>
            </w:r>
          </w:p>
        </w:tc>
        <w:tc>
          <w:tcPr>
            <w:tcW w:w="569" w:type="dxa"/>
          </w:tcPr>
          <w:p w14:paraId="17157363" w14:textId="77777777" w:rsidR="00073DFC" w:rsidRPr="004B5F81" w:rsidRDefault="00073DFC" w:rsidP="00D46588">
            <w:pPr>
              <w:pStyle w:val="TableText"/>
              <w:jc w:val="right"/>
              <w:rPr>
                <w:rFonts w:cs="Calibri"/>
              </w:rPr>
            </w:pPr>
            <w:r w:rsidRPr="004B5F81">
              <w:t>8</w:t>
            </w:r>
          </w:p>
        </w:tc>
        <w:tc>
          <w:tcPr>
            <w:tcW w:w="789" w:type="dxa"/>
          </w:tcPr>
          <w:p w14:paraId="2CF84B92" w14:textId="77777777" w:rsidR="00073DFC" w:rsidRPr="004B5F81" w:rsidRDefault="00073DFC" w:rsidP="00D46588">
            <w:pPr>
              <w:pStyle w:val="TableText"/>
              <w:jc w:val="right"/>
              <w:rPr>
                <w:rFonts w:cs="Calibri"/>
              </w:rPr>
            </w:pPr>
            <w:r w:rsidRPr="004B5F81">
              <w:t>32</w:t>
            </w:r>
          </w:p>
        </w:tc>
        <w:tc>
          <w:tcPr>
            <w:tcW w:w="1073" w:type="dxa"/>
          </w:tcPr>
          <w:p w14:paraId="4C77F921" w14:textId="77777777" w:rsidR="00073DFC" w:rsidRPr="004B5F81" w:rsidRDefault="00073DFC" w:rsidP="00D46588">
            <w:pPr>
              <w:pStyle w:val="TableText"/>
              <w:jc w:val="right"/>
              <w:rPr>
                <w:rFonts w:cs="Calibri"/>
              </w:rPr>
            </w:pPr>
            <w:r w:rsidRPr="004B5F81">
              <w:t>10.8 (5.9,</w:t>
            </w:r>
            <w:r>
              <w:t xml:space="preserve"> </w:t>
            </w:r>
            <w:r w:rsidRPr="004B5F81">
              <w:t>19.1)</w:t>
            </w:r>
          </w:p>
        </w:tc>
        <w:tc>
          <w:tcPr>
            <w:tcW w:w="568" w:type="dxa"/>
          </w:tcPr>
          <w:p w14:paraId="319D3FB4" w14:textId="77777777" w:rsidR="00073DFC" w:rsidRPr="004B5F81" w:rsidRDefault="00073DFC" w:rsidP="00D46588">
            <w:pPr>
              <w:pStyle w:val="TableText"/>
              <w:jc w:val="right"/>
              <w:rPr>
                <w:rFonts w:cs="Calibri"/>
              </w:rPr>
            </w:pPr>
            <w:r w:rsidRPr="004B5F81">
              <w:t>61</w:t>
            </w:r>
          </w:p>
        </w:tc>
        <w:tc>
          <w:tcPr>
            <w:tcW w:w="793" w:type="dxa"/>
          </w:tcPr>
          <w:p w14:paraId="78A1B8A0" w14:textId="77777777" w:rsidR="00073DFC" w:rsidRPr="004B5F81" w:rsidRDefault="00073DFC" w:rsidP="00D46588">
            <w:pPr>
              <w:pStyle w:val="TableText"/>
              <w:jc w:val="right"/>
              <w:rPr>
                <w:rFonts w:cs="Calibri"/>
              </w:rPr>
            </w:pPr>
            <w:r w:rsidRPr="004B5F81">
              <w:t>258</w:t>
            </w:r>
          </w:p>
        </w:tc>
        <w:tc>
          <w:tcPr>
            <w:tcW w:w="1069" w:type="dxa"/>
          </w:tcPr>
          <w:p w14:paraId="6F34C2F7" w14:textId="77777777" w:rsidR="00073DFC" w:rsidRPr="004B5F81" w:rsidRDefault="00073DFC" w:rsidP="00D46588">
            <w:pPr>
              <w:pStyle w:val="TableText"/>
              <w:jc w:val="right"/>
              <w:rPr>
                <w:rFonts w:cs="Calibri"/>
              </w:rPr>
            </w:pPr>
            <w:r w:rsidRPr="004B5F81">
              <w:t>88.0 (79.6,</w:t>
            </w:r>
            <w:r>
              <w:t xml:space="preserve"> </w:t>
            </w:r>
            <w:r w:rsidRPr="004B5F81">
              <w:t>93.2)</w:t>
            </w:r>
          </w:p>
        </w:tc>
        <w:tc>
          <w:tcPr>
            <w:tcW w:w="568" w:type="dxa"/>
          </w:tcPr>
          <w:p w14:paraId="56286CD9" w14:textId="77777777" w:rsidR="00073DFC" w:rsidRPr="004B5F81" w:rsidRDefault="00073DFC" w:rsidP="00D46588">
            <w:pPr>
              <w:pStyle w:val="TableText"/>
              <w:jc w:val="right"/>
              <w:rPr>
                <w:rFonts w:cs="Calibri"/>
              </w:rPr>
            </w:pPr>
            <w:r w:rsidRPr="00E603D7">
              <w:t>#</w:t>
            </w:r>
          </w:p>
        </w:tc>
        <w:tc>
          <w:tcPr>
            <w:tcW w:w="797" w:type="dxa"/>
          </w:tcPr>
          <w:p w14:paraId="67E4A90E" w14:textId="77777777" w:rsidR="00073DFC" w:rsidRPr="004B5F81" w:rsidRDefault="00073DFC" w:rsidP="00D46588">
            <w:pPr>
              <w:pStyle w:val="TableText"/>
              <w:jc w:val="right"/>
              <w:rPr>
                <w:rFonts w:cs="Calibri"/>
              </w:rPr>
            </w:pPr>
            <w:r>
              <w:t>–</w:t>
            </w:r>
          </w:p>
        </w:tc>
        <w:tc>
          <w:tcPr>
            <w:tcW w:w="1065" w:type="dxa"/>
          </w:tcPr>
          <w:p w14:paraId="4A367153" w14:textId="77777777" w:rsidR="00073DFC" w:rsidRPr="004B5F81" w:rsidRDefault="00073DFC" w:rsidP="00D46588">
            <w:pPr>
              <w:pStyle w:val="TableText"/>
              <w:jc w:val="right"/>
              <w:rPr>
                <w:rFonts w:cs="Calibri"/>
              </w:rPr>
            </w:pPr>
            <w:r>
              <w:t>–</w:t>
            </w:r>
          </w:p>
        </w:tc>
        <w:tc>
          <w:tcPr>
            <w:tcW w:w="558" w:type="dxa"/>
          </w:tcPr>
          <w:p w14:paraId="25A664EE" w14:textId="77777777" w:rsidR="00073DFC" w:rsidRPr="004B5F81" w:rsidRDefault="00073DFC" w:rsidP="00D46588">
            <w:pPr>
              <w:pStyle w:val="TableText"/>
              <w:jc w:val="right"/>
              <w:rPr>
                <w:rFonts w:cs="Calibri"/>
              </w:rPr>
            </w:pPr>
            <w:r w:rsidRPr="004B5F81">
              <w:t>21</w:t>
            </w:r>
          </w:p>
        </w:tc>
        <w:tc>
          <w:tcPr>
            <w:tcW w:w="811" w:type="dxa"/>
          </w:tcPr>
          <w:p w14:paraId="7B7AC7E3" w14:textId="77777777" w:rsidR="00073DFC" w:rsidRPr="004B5F81" w:rsidRDefault="00073DFC" w:rsidP="00D46588">
            <w:pPr>
              <w:pStyle w:val="TableText"/>
              <w:jc w:val="right"/>
              <w:rPr>
                <w:rFonts w:cs="Calibri"/>
              </w:rPr>
            </w:pPr>
            <w:r w:rsidRPr="004B5F81">
              <w:t>81</w:t>
            </w:r>
          </w:p>
        </w:tc>
        <w:tc>
          <w:tcPr>
            <w:tcW w:w="1147" w:type="dxa"/>
          </w:tcPr>
          <w:p w14:paraId="30534FF8" w14:textId="77777777" w:rsidR="00073DFC" w:rsidRPr="004B5F81" w:rsidRDefault="00073DFC" w:rsidP="00D46588">
            <w:pPr>
              <w:pStyle w:val="TableText"/>
              <w:jc w:val="right"/>
              <w:rPr>
                <w:rFonts w:cs="Calibri"/>
              </w:rPr>
            </w:pPr>
            <w:r w:rsidRPr="004B5F81">
              <w:t>97.2 (87.7,</w:t>
            </w:r>
            <w:r>
              <w:t xml:space="preserve"> </w:t>
            </w:r>
            <w:r w:rsidRPr="004B5F81">
              <w:t>99.4)</w:t>
            </w:r>
          </w:p>
        </w:tc>
      </w:tr>
      <w:tr w:rsidR="00CF0E4F" w:rsidRPr="00285A26" w14:paraId="0E38A573"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49C0E092" w14:textId="77777777" w:rsidR="00073DFC" w:rsidRPr="009B2F7A" w:rsidRDefault="00073DFC" w:rsidP="00D46588">
            <w:pPr>
              <w:pStyle w:val="TableText"/>
              <w:rPr>
                <w:rFonts w:cs="Calibri"/>
                <w:b/>
                <w:bCs/>
                <w:color w:val="000000" w:themeColor="text1"/>
              </w:rPr>
            </w:pPr>
            <w:r w:rsidRPr="009B2F7A">
              <w:rPr>
                <w:rFonts w:cs="Calibri"/>
                <w:b/>
                <w:bCs/>
                <w:color w:val="000000" w:themeColor="text1"/>
              </w:rPr>
              <w:t>Sex and Age (yrs)</w:t>
            </w:r>
          </w:p>
        </w:tc>
        <w:tc>
          <w:tcPr>
            <w:tcW w:w="569" w:type="dxa"/>
          </w:tcPr>
          <w:p w14:paraId="07740CA5" w14:textId="77777777" w:rsidR="00073DFC" w:rsidRPr="004B5F81" w:rsidRDefault="00073DFC" w:rsidP="00D46588">
            <w:pPr>
              <w:pStyle w:val="TableText"/>
              <w:jc w:val="right"/>
              <w:rPr>
                <w:rFonts w:cs="Calibri"/>
              </w:rPr>
            </w:pPr>
          </w:p>
        </w:tc>
        <w:tc>
          <w:tcPr>
            <w:tcW w:w="789" w:type="dxa"/>
          </w:tcPr>
          <w:p w14:paraId="0A15D3FC" w14:textId="77777777" w:rsidR="00073DFC" w:rsidRPr="004B5F81" w:rsidRDefault="00073DFC" w:rsidP="00D46588">
            <w:pPr>
              <w:pStyle w:val="TableText"/>
              <w:jc w:val="right"/>
              <w:rPr>
                <w:rFonts w:cs="Calibri"/>
              </w:rPr>
            </w:pPr>
          </w:p>
        </w:tc>
        <w:tc>
          <w:tcPr>
            <w:tcW w:w="1073" w:type="dxa"/>
          </w:tcPr>
          <w:p w14:paraId="02722D50" w14:textId="77777777" w:rsidR="00073DFC" w:rsidRPr="004B5F81" w:rsidRDefault="00073DFC" w:rsidP="00D46588">
            <w:pPr>
              <w:pStyle w:val="TableText"/>
              <w:jc w:val="right"/>
              <w:rPr>
                <w:rFonts w:cs="Calibri"/>
              </w:rPr>
            </w:pPr>
          </w:p>
        </w:tc>
        <w:tc>
          <w:tcPr>
            <w:tcW w:w="568" w:type="dxa"/>
          </w:tcPr>
          <w:p w14:paraId="71410377" w14:textId="77777777" w:rsidR="00073DFC" w:rsidRPr="004B5F81" w:rsidRDefault="00073DFC" w:rsidP="00D46588">
            <w:pPr>
              <w:pStyle w:val="TableText"/>
              <w:jc w:val="right"/>
              <w:rPr>
                <w:rFonts w:cs="Calibri"/>
              </w:rPr>
            </w:pPr>
          </w:p>
        </w:tc>
        <w:tc>
          <w:tcPr>
            <w:tcW w:w="793" w:type="dxa"/>
          </w:tcPr>
          <w:p w14:paraId="662EEF48" w14:textId="77777777" w:rsidR="00073DFC" w:rsidRPr="004B5F81" w:rsidRDefault="00073DFC" w:rsidP="00D46588">
            <w:pPr>
              <w:pStyle w:val="TableText"/>
              <w:jc w:val="right"/>
              <w:rPr>
                <w:rFonts w:cs="Calibri"/>
              </w:rPr>
            </w:pPr>
          </w:p>
        </w:tc>
        <w:tc>
          <w:tcPr>
            <w:tcW w:w="1069" w:type="dxa"/>
          </w:tcPr>
          <w:p w14:paraId="319E8216" w14:textId="77777777" w:rsidR="00073DFC" w:rsidRPr="004B5F81" w:rsidRDefault="00073DFC" w:rsidP="00D46588">
            <w:pPr>
              <w:pStyle w:val="TableText"/>
              <w:jc w:val="right"/>
              <w:rPr>
                <w:rFonts w:cs="Calibri"/>
              </w:rPr>
            </w:pPr>
          </w:p>
        </w:tc>
        <w:tc>
          <w:tcPr>
            <w:tcW w:w="568" w:type="dxa"/>
          </w:tcPr>
          <w:p w14:paraId="28F1532C" w14:textId="77777777" w:rsidR="00073DFC" w:rsidRPr="004B5F81" w:rsidRDefault="00073DFC" w:rsidP="00D46588">
            <w:pPr>
              <w:pStyle w:val="TableText"/>
              <w:jc w:val="right"/>
              <w:rPr>
                <w:rFonts w:cs="Calibri"/>
              </w:rPr>
            </w:pPr>
          </w:p>
        </w:tc>
        <w:tc>
          <w:tcPr>
            <w:tcW w:w="797" w:type="dxa"/>
          </w:tcPr>
          <w:p w14:paraId="4D1075E8" w14:textId="77777777" w:rsidR="00073DFC" w:rsidRPr="004B5F81" w:rsidRDefault="00073DFC" w:rsidP="00D46588">
            <w:pPr>
              <w:pStyle w:val="TableText"/>
              <w:jc w:val="right"/>
              <w:rPr>
                <w:rFonts w:cs="Calibri"/>
              </w:rPr>
            </w:pPr>
          </w:p>
        </w:tc>
        <w:tc>
          <w:tcPr>
            <w:tcW w:w="1065" w:type="dxa"/>
          </w:tcPr>
          <w:p w14:paraId="0B882498" w14:textId="77777777" w:rsidR="00073DFC" w:rsidRPr="004B5F81" w:rsidRDefault="00073DFC" w:rsidP="00D46588">
            <w:pPr>
              <w:pStyle w:val="TableText"/>
              <w:jc w:val="right"/>
              <w:rPr>
                <w:rFonts w:cs="Calibri"/>
              </w:rPr>
            </w:pPr>
          </w:p>
        </w:tc>
        <w:tc>
          <w:tcPr>
            <w:tcW w:w="558" w:type="dxa"/>
          </w:tcPr>
          <w:p w14:paraId="00F0907F" w14:textId="77777777" w:rsidR="00073DFC" w:rsidRPr="004B5F81" w:rsidRDefault="00073DFC" w:rsidP="00D46588">
            <w:pPr>
              <w:pStyle w:val="TableText"/>
              <w:jc w:val="right"/>
              <w:rPr>
                <w:rFonts w:cs="Calibri"/>
              </w:rPr>
            </w:pPr>
          </w:p>
        </w:tc>
        <w:tc>
          <w:tcPr>
            <w:tcW w:w="811" w:type="dxa"/>
          </w:tcPr>
          <w:p w14:paraId="27E4113C" w14:textId="77777777" w:rsidR="00073DFC" w:rsidRPr="004B5F81" w:rsidRDefault="00073DFC" w:rsidP="00D46588">
            <w:pPr>
              <w:pStyle w:val="TableText"/>
              <w:jc w:val="right"/>
              <w:rPr>
                <w:rFonts w:cs="Calibri"/>
              </w:rPr>
            </w:pPr>
          </w:p>
        </w:tc>
        <w:tc>
          <w:tcPr>
            <w:tcW w:w="1147" w:type="dxa"/>
          </w:tcPr>
          <w:p w14:paraId="7375EE02" w14:textId="77777777" w:rsidR="00073DFC" w:rsidRPr="004B5F81" w:rsidRDefault="00073DFC" w:rsidP="00D46588">
            <w:pPr>
              <w:pStyle w:val="TableText"/>
              <w:jc w:val="right"/>
              <w:rPr>
                <w:rFonts w:cs="Calibri"/>
              </w:rPr>
            </w:pPr>
          </w:p>
        </w:tc>
      </w:tr>
      <w:tr w:rsidR="00D6757C" w:rsidRPr="00285A26" w14:paraId="0ACD587C" w14:textId="77777777" w:rsidTr="00D6757C">
        <w:trPr>
          <w:cantSplit/>
        </w:trPr>
        <w:tc>
          <w:tcPr>
            <w:tcW w:w="1699" w:type="dxa"/>
          </w:tcPr>
          <w:p w14:paraId="2E2FD910"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Male 18</w:t>
            </w:r>
            <w:r>
              <w:rPr>
                <w:rFonts w:cs="Calibri"/>
                <w:bCs/>
                <w:color w:val="000000" w:themeColor="text1"/>
              </w:rPr>
              <w:t>–</w:t>
            </w:r>
            <w:r w:rsidRPr="009B2F7A">
              <w:rPr>
                <w:rFonts w:cs="Calibri"/>
                <w:bCs/>
                <w:color w:val="000000" w:themeColor="text1"/>
              </w:rPr>
              <w:t>37</w:t>
            </w:r>
          </w:p>
        </w:tc>
        <w:tc>
          <w:tcPr>
            <w:tcW w:w="569" w:type="dxa"/>
          </w:tcPr>
          <w:p w14:paraId="7CA6FBB2" w14:textId="77777777" w:rsidR="00073DFC" w:rsidRPr="004B5F81" w:rsidRDefault="00073DFC" w:rsidP="00D46588">
            <w:pPr>
              <w:pStyle w:val="TableText"/>
              <w:jc w:val="right"/>
              <w:rPr>
                <w:rFonts w:cs="Calibri"/>
              </w:rPr>
            </w:pPr>
            <w:r w:rsidRPr="004B5F81">
              <w:t>28</w:t>
            </w:r>
          </w:p>
        </w:tc>
        <w:tc>
          <w:tcPr>
            <w:tcW w:w="789" w:type="dxa"/>
          </w:tcPr>
          <w:p w14:paraId="2D12E768" w14:textId="77777777" w:rsidR="00073DFC" w:rsidRPr="004B5F81" w:rsidRDefault="00073DFC" w:rsidP="00D46588">
            <w:pPr>
              <w:pStyle w:val="TableText"/>
              <w:jc w:val="right"/>
              <w:rPr>
                <w:rFonts w:cs="Calibri"/>
              </w:rPr>
            </w:pPr>
            <w:r w:rsidRPr="004B5F81">
              <w:t>299</w:t>
            </w:r>
          </w:p>
        </w:tc>
        <w:tc>
          <w:tcPr>
            <w:tcW w:w="1073" w:type="dxa"/>
          </w:tcPr>
          <w:p w14:paraId="4944517B" w14:textId="77777777" w:rsidR="00073DFC" w:rsidRPr="004B5F81" w:rsidRDefault="00073DFC" w:rsidP="00D46588">
            <w:pPr>
              <w:pStyle w:val="TableText"/>
              <w:jc w:val="right"/>
              <w:rPr>
                <w:rFonts w:cs="Calibri"/>
              </w:rPr>
            </w:pPr>
            <w:r w:rsidRPr="004B5F81">
              <w:t>10.4 (6.7,</w:t>
            </w:r>
            <w:r>
              <w:t xml:space="preserve"> </w:t>
            </w:r>
            <w:r w:rsidRPr="004B5F81">
              <w:t>15.8)</w:t>
            </w:r>
          </w:p>
        </w:tc>
        <w:tc>
          <w:tcPr>
            <w:tcW w:w="568" w:type="dxa"/>
          </w:tcPr>
          <w:p w14:paraId="5CF6A736" w14:textId="77777777" w:rsidR="00073DFC" w:rsidRPr="004B5F81" w:rsidRDefault="00073DFC" w:rsidP="00D46588">
            <w:pPr>
              <w:pStyle w:val="TableText"/>
              <w:jc w:val="right"/>
              <w:rPr>
                <w:rFonts w:cs="Calibri"/>
              </w:rPr>
            </w:pPr>
            <w:r w:rsidRPr="004B5F81">
              <w:t>229</w:t>
            </w:r>
          </w:p>
        </w:tc>
        <w:tc>
          <w:tcPr>
            <w:tcW w:w="793" w:type="dxa"/>
          </w:tcPr>
          <w:p w14:paraId="7D79A00D" w14:textId="77777777" w:rsidR="00073DFC" w:rsidRPr="004B5F81" w:rsidRDefault="00073DFC" w:rsidP="00D46588">
            <w:pPr>
              <w:pStyle w:val="TableText"/>
              <w:jc w:val="right"/>
              <w:rPr>
                <w:rFonts w:cs="Calibri"/>
              </w:rPr>
            </w:pPr>
            <w:r w:rsidRPr="004B5F81">
              <w:t>2553</w:t>
            </w:r>
          </w:p>
        </w:tc>
        <w:tc>
          <w:tcPr>
            <w:tcW w:w="1069" w:type="dxa"/>
          </w:tcPr>
          <w:p w14:paraId="3DFDFFF8" w14:textId="77777777" w:rsidR="00073DFC" w:rsidRPr="004B5F81" w:rsidRDefault="00073DFC" w:rsidP="00D46588">
            <w:pPr>
              <w:pStyle w:val="TableText"/>
              <w:jc w:val="right"/>
              <w:rPr>
                <w:rFonts w:cs="Calibri"/>
              </w:rPr>
            </w:pPr>
            <w:r w:rsidRPr="004B5F81">
              <w:t>88.8 (83.4,</w:t>
            </w:r>
            <w:r>
              <w:t xml:space="preserve"> </w:t>
            </w:r>
            <w:r w:rsidRPr="004B5F81">
              <w:t>92.6)</w:t>
            </w:r>
          </w:p>
        </w:tc>
        <w:tc>
          <w:tcPr>
            <w:tcW w:w="568" w:type="dxa"/>
          </w:tcPr>
          <w:p w14:paraId="5451A0A3" w14:textId="77777777" w:rsidR="00073DFC" w:rsidRPr="004B5F81" w:rsidRDefault="00073DFC" w:rsidP="00D46588">
            <w:pPr>
              <w:pStyle w:val="TableText"/>
              <w:jc w:val="right"/>
              <w:rPr>
                <w:rFonts w:cs="Calibri"/>
              </w:rPr>
            </w:pPr>
            <w:r w:rsidRPr="004B5F81">
              <w:t>19</w:t>
            </w:r>
          </w:p>
        </w:tc>
        <w:tc>
          <w:tcPr>
            <w:tcW w:w="797" w:type="dxa"/>
          </w:tcPr>
          <w:p w14:paraId="5A8C7B5C" w14:textId="77777777" w:rsidR="00073DFC" w:rsidRPr="004B5F81" w:rsidRDefault="00073DFC" w:rsidP="00D46588">
            <w:pPr>
              <w:pStyle w:val="TableText"/>
              <w:jc w:val="right"/>
              <w:rPr>
                <w:rFonts w:cs="Calibri"/>
              </w:rPr>
            </w:pPr>
            <w:r w:rsidRPr="004B5F81">
              <w:t>428</w:t>
            </w:r>
          </w:p>
        </w:tc>
        <w:tc>
          <w:tcPr>
            <w:tcW w:w="1065" w:type="dxa"/>
          </w:tcPr>
          <w:p w14:paraId="5A6552B6" w14:textId="77777777" w:rsidR="00073DFC" w:rsidRPr="004B5F81" w:rsidRDefault="00073DFC" w:rsidP="00D46588">
            <w:pPr>
              <w:pStyle w:val="TableText"/>
              <w:jc w:val="right"/>
              <w:rPr>
                <w:rFonts w:cs="Calibri"/>
              </w:rPr>
            </w:pPr>
            <w:r w:rsidRPr="004B5F81">
              <w:t>8.6 (2.0,</w:t>
            </w:r>
            <w:r>
              <w:t xml:space="preserve"> </w:t>
            </w:r>
            <w:r w:rsidRPr="004B5F81">
              <w:t>30.6)</w:t>
            </w:r>
          </w:p>
        </w:tc>
        <w:tc>
          <w:tcPr>
            <w:tcW w:w="558" w:type="dxa"/>
          </w:tcPr>
          <w:p w14:paraId="7C22E53B" w14:textId="77777777" w:rsidR="00073DFC" w:rsidRPr="004B5F81" w:rsidRDefault="00073DFC" w:rsidP="00D46588">
            <w:pPr>
              <w:pStyle w:val="TableText"/>
              <w:jc w:val="right"/>
              <w:rPr>
                <w:rFonts w:cs="Calibri"/>
              </w:rPr>
            </w:pPr>
            <w:r w:rsidRPr="004B5F81">
              <w:t>340</w:t>
            </w:r>
          </w:p>
        </w:tc>
        <w:tc>
          <w:tcPr>
            <w:tcW w:w="811" w:type="dxa"/>
          </w:tcPr>
          <w:p w14:paraId="61C115D2" w14:textId="77777777" w:rsidR="00073DFC" w:rsidRPr="004B5F81" w:rsidRDefault="00073DFC" w:rsidP="00D46588">
            <w:pPr>
              <w:pStyle w:val="TableText"/>
              <w:jc w:val="right"/>
              <w:rPr>
                <w:rFonts w:cs="Calibri"/>
              </w:rPr>
            </w:pPr>
            <w:r w:rsidRPr="004B5F81">
              <w:t>4463</w:t>
            </w:r>
          </w:p>
        </w:tc>
        <w:tc>
          <w:tcPr>
            <w:tcW w:w="1147" w:type="dxa"/>
          </w:tcPr>
          <w:p w14:paraId="476F1033" w14:textId="77777777" w:rsidR="00073DFC" w:rsidRPr="004B5F81" w:rsidRDefault="00073DFC" w:rsidP="00D46588">
            <w:pPr>
              <w:pStyle w:val="TableText"/>
              <w:jc w:val="right"/>
              <w:rPr>
                <w:rFonts w:cs="Calibri"/>
              </w:rPr>
            </w:pPr>
            <w:r w:rsidRPr="004B5F81">
              <w:t>89.9 (70.1,</w:t>
            </w:r>
            <w:r>
              <w:t xml:space="preserve"> </w:t>
            </w:r>
            <w:r w:rsidRPr="004B5F81">
              <w:t>97.1)</w:t>
            </w:r>
          </w:p>
        </w:tc>
      </w:tr>
      <w:tr w:rsidR="00CF0E4F" w:rsidRPr="00285A26" w14:paraId="08EE673F"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02C84C5E"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Male 38+</w:t>
            </w:r>
          </w:p>
        </w:tc>
        <w:tc>
          <w:tcPr>
            <w:tcW w:w="569" w:type="dxa"/>
          </w:tcPr>
          <w:p w14:paraId="592651EB" w14:textId="77777777" w:rsidR="00073DFC" w:rsidRPr="004B5F81" w:rsidRDefault="00073DFC" w:rsidP="00D46588">
            <w:pPr>
              <w:pStyle w:val="TableText"/>
              <w:jc w:val="right"/>
              <w:rPr>
                <w:rFonts w:cs="Calibri"/>
              </w:rPr>
            </w:pPr>
            <w:r w:rsidRPr="004B5F81">
              <w:t>32</w:t>
            </w:r>
          </w:p>
        </w:tc>
        <w:tc>
          <w:tcPr>
            <w:tcW w:w="789" w:type="dxa"/>
          </w:tcPr>
          <w:p w14:paraId="2E217ED0" w14:textId="77777777" w:rsidR="00073DFC" w:rsidRPr="004B5F81" w:rsidRDefault="00073DFC" w:rsidP="00D46588">
            <w:pPr>
              <w:pStyle w:val="TableText"/>
              <w:jc w:val="right"/>
              <w:rPr>
                <w:rFonts w:cs="Calibri"/>
              </w:rPr>
            </w:pPr>
            <w:r w:rsidRPr="004B5F81">
              <w:t>215</w:t>
            </w:r>
          </w:p>
        </w:tc>
        <w:tc>
          <w:tcPr>
            <w:tcW w:w="1073" w:type="dxa"/>
          </w:tcPr>
          <w:p w14:paraId="560AC542" w14:textId="77777777" w:rsidR="00073DFC" w:rsidRPr="004B5F81" w:rsidRDefault="00073DFC" w:rsidP="00D46588">
            <w:pPr>
              <w:pStyle w:val="TableText"/>
              <w:jc w:val="right"/>
              <w:rPr>
                <w:rFonts w:cs="Calibri"/>
              </w:rPr>
            </w:pPr>
            <w:r w:rsidRPr="004B5F81">
              <w:t>10.6 (7.0,</w:t>
            </w:r>
            <w:r>
              <w:t xml:space="preserve"> </w:t>
            </w:r>
            <w:r w:rsidRPr="004B5F81">
              <w:t>15.6)</w:t>
            </w:r>
          </w:p>
        </w:tc>
        <w:tc>
          <w:tcPr>
            <w:tcW w:w="568" w:type="dxa"/>
          </w:tcPr>
          <w:p w14:paraId="763E4AB1" w14:textId="77777777" w:rsidR="00073DFC" w:rsidRPr="004B5F81" w:rsidRDefault="00073DFC" w:rsidP="00D46588">
            <w:pPr>
              <w:pStyle w:val="TableText"/>
              <w:jc w:val="right"/>
              <w:rPr>
                <w:rFonts w:cs="Calibri"/>
              </w:rPr>
            </w:pPr>
            <w:r w:rsidRPr="004B5F81">
              <w:t>359</w:t>
            </w:r>
          </w:p>
        </w:tc>
        <w:tc>
          <w:tcPr>
            <w:tcW w:w="793" w:type="dxa"/>
          </w:tcPr>
          <w:p w14:paraId="4EC460B6" w14:textId="77777777" w:rsidR="00073DFC" w:rsidRPr="004B5F81" w:rsidRDefault="00073DFC" w:rsidP="00D46588">
            <w:pPr>
              <w:pStyle w:val="TableText"/>
              <w:jc w:val="right"/>
              <w:rPr>
                <w:rFonts w:cs="Calibri"/>
              </w:rPr>
            </w:pPr>
            <w:r w:rsidRPr="004B5F81">
              <w:t>1776</w:t>
            </w:r>
          </w:p>
        </w:tc>
        <w:tc>
          <w:tcPr>
            <w:tcW w:w="1069" w:type="dxa"/>
          </w:tcPr>
          <w:p w14:paraId="5EBEFC0F" w14:textId="77777777" w:rsidR="00073DFC" w:rsidRPr="004B5F81" w:rsidRDefault="00073DFC" w:rsidP="00D46588">
            <w:pPr>
              <w:pStyle w:val="TableText"/>
              <w:jc w:val="right"/>
              <w:rPr>
                <w:rFonts w:cs="Calibri"/>
              </w:rPr>
            </w:pPr>
            <w:r w:rsidRPr="004B5F81">
              <w:t>87.1 (81.7,</w:t>
            </w:r>
            <w:r>
              <w:t xml:space="preserve"> </w:t>
            </w:r>
            <w:r w:rsidRPr="004B5F81">
              <w:t>91.1)</w:t>
            </w:r>
          </w:p>
        </w:tc>
        <w:tc>
          <w:tcPr>
            <w:tcW w:w="568" w:type="dxa"/>
          </w:tcPr>
          <w:p w14:paraId="5FD8B266" w14:textId="77777777" w:rsidR="00073DFC" w:rsidRPr="004B5F81" w:rsidRDefault="00073DFC" w:rsidP="00D46588">
            <w:pPr>
              <w:pStyle w:val="TableText"/>
              <w:jc w:val="right"/>
              <w:rPr>
                <w:rFonts w:cs="Calibri"/>
              </w:rPr>
            </w:pPr>
            <w:r w:rsidRPr="004B5F81">
              <w:t>52</w:t>
            </w:r>
          </w:p>
        </w:tc>
        <w:tc>
          <w:tcPr>
            <w:tcW w:w="797" w:type="dxa"/>
          </w:tcPr>
          <w:p w14:paraId="1740E2ED" w14:textId="77777777" w:rsidR="00073DFC" w:rsidRPr="004B5F81" w:rsidRDefault="00073DFC" w:rsidP="00D46588">
            <w:pPr>
              <w:pStyle w:val="TableText"/>
              <w:jc w:val="right"/>
              <w:rPr>
                <w:rFonts w:cs="Calibri"/>
              </w:rPr>
            </w:pPr>
            <w:r w:rsidRPr="004B5F81">
              <w:t>218</w:t>
            </w:r>
          </w:p>
        </w:tc>
        <w:tc>
          <w:tcPr>
            <w:tcW w:w="1065" w:type="dxa"/>
          </w:tcPr>
          <w:p w14:paraId="2F4E58D8" w14:textId="77777777" w:rsidR="00073DFC" w:rsidRPr="004B5F81" w:rsidRDefault="00073DFC" w:rsidP="00D46588">
            <w:pPr>
              <w:pStyle w:val="TableText"/>
              <w:jc w:val="right"/>
              <w:rPr>
                <w:rFonts w:cs="Calibri"/>
              </w:rPr>
            </w:pPr>
            <w:r w:rsidRPr="004B5F81">
              <w:t>8.7 (6.4,</w:t>
            </w:r>
            <w:r>
              <w:t xml:space="preserve"> </w:t>
            </w:r>
            <w:r w:rsidRPr="004B5F81">
              <w:t>11.8)</w:t>
            </w:r>
          </w:p>
        </w:tc>
        <w:tc>
          <w:tcPr>
            <w:tcW w:w="558" w:type="dxa"/>
          </w:tcPr>
          <w:p w14:paraId="6BB31987" w14:textId="77777777" w:rsidR="00073DFC" w:rsidRPr="004B5F81" w:rsidRDefault="00073DFC" w:rsidP="00D46588">
            <w:pPr>
              <w:pStyle w:val="TableText"/>
              <w:jc w:val="right"/>
              <w:rPr>
                <w:rFonts w:cs="Calibri"/>
              </w:rPr>
            </w:pPr>
            <w:r w:rsidRPr="004B5F81">
              <w:t>563</w:t>
            </w:r>
          </w:p>
        </w:tc>
        <w:tc>
          <w:tcPr>
            <w:tcW w:w="811" w:type="dxa"/>
          </w:tcPr>
          <w:p w14:paraId="50E73FAF" w14:textId="77777777" w:rsidR="00073DFC" w:rsidRPr="004B5F81" w:rsidRDefault="00073DFC" w:rsidP="00D46588">
            <w:pPr>
              <w:pStyle w:val="TableText"/>
              <w:jc w:val="right"/>
              <w:rPr>
                <w:rFonts w:cs="Calibri"/>
              </w:rPr>
            </w:pPr>
            <w:r w:rsidRPr="004B5F81">
              <w:t>2261</w:t>
            </w:r>
          </w:p>
        </w:tc>
        <w:tc>
          <w:tcPr>
            <w:tcW w:w="1147" w:type="dxa"/>
          </w:tcPr>
          <w:p w14:paraId="52830F4A" w14:textId="77777777" w:rsidR="00073DFC" w:rsidRPr="004B5F81" w:rsidRDefault="00073DFC" w:rsidP="00D46588">
            <w:pPr>
              <w:pStyle w:val="TableText"/>
              <w:jc w:val="right"/>
              <w:rPr>
                <w:rFonts w:cs="Calibri"/>
              </w:rPr>
            </w:pPr>
            <w:r w:rsidRPr="004B5F81">
              <w:t>90.3 (87.1,</w:t>
            </w:r>
            <w:r>
              <w:t xml:space="preserve"> </w:t>
            </w:r>
            <w:r w:rsidRPr="004B5F81">
              <w:t>92.7)</w:t>
            </w:r>
          </w:p>
        </w:tc>
      </w:tr>
      <w:tr w:rsidR="00D6757C" w:rsidRPr="00285A26" w14:paraId="09B75598" w14:textId="77777777" w:rsidTr="00D6757C">
        <w:trPr>
          <w:cantSplit/>
        </w:trPr>
        <w:tc>
          <w:tcPr>
            <w:tcW w:w="1699" w:type="dxa"/>
          </w:tcPr>
          <w:p w14:paraId="3CFB9BCD"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Female 18</w:t>
            </w:r>
            <w:r>
              <w:rPr>
                <w:rFonts w:cs="Calibri"/>
                <w:bCs/>
                <w:color w:val="000000" w:themeColor="text1"/>
              </w:rPr>
              <w:t>–</w:t>
            </w:r>
            <w:r w:rsidRPr="009B2F7A">
              <w:rPr>
                <w:rFonts w:cs="Calibri"/>
                <w:bCs/>
                <w:color w:val="000000" w:themeColor="text1"/>
              </w:rPr>
              <w:t>37</w:t>
            </w:r>
          </w:p>
        </w:tc>
        <w:tc>
          <w:tcPr>
            <w:tcW w:w="569" w:type="dxa"/>
          </w:tcPr>
          <w:p w14:paraId="1B94DEFE" w14:textId="77777777" w:rsidR="00073DFC" w:rsidRPr="004B5F81" w:rsidRDefault="00073DFC" w:rsidP="00D46588">
            <w:pPr>
              <w:pStyle w:val="TableText"/>
              <w:jc w:val="right"/>
              <w:rPr>
                <w:rFonts w:cs="Calibri"/>
              </w:rPr>
            </w:pPr>
            <w:r w:rsidRPr="00E603D7">
              <w:t>#</w:t>
            </w:r>
          </w:p>
        </w:tc>
        <w:tc>
          <w:tcPr>
            <w:tcW w:w="789" w:type="dxa"/>
          </w:tcPr>
          <w:p w14:paraId="393B6FBF" w14:textId="77777777" w:rsidR="00073DFC" w:rsidRPr="004B5F81" w:rsidRDefault="00073DFC" w:rsidP="00D46588">
            <w:pPr>
              <w:pStyle w:val="TableText"/>
              <w:jc w:val="right"/>
              <w:rPr>
                <w:rFonts w:cs="Calibri"/>
              </w:rPr>
            </w:pPr>
            <w:r>
              <w:t>–</w:t>
            </w:r>
          </w:p>
        </w:tc>
        <w:tc>
          <w:tcPr>
            <w:tcW w:w="1073" w:type="dxa"/>
          </w:tcPr>
          <w:p w14:paraId="383AB214" w14:textId="77777777" w:rsidR="00073DFC" w:rsidRPr="004B5F81" w:rsidRDefault="00073DFC" w:rsidP="00D46588">
            <w:pPr>
              <w:pStyle w:val="TableText"/>
              <w:jc w:val="right"/>
              <w:rPr>
                <w:rFonts w:cs="Calibri"/>
              </w:rPr>
            </w:pPr>
            <w:r>
              <w:t>–</w:t>
            </w:r>
          </w:p>
        </w:tc>
        <w:tc>
          <w:tcPr>
            <w:tcW w:w="568" w:type="dxa"/>
          </w:tcPr>
          <w:p w14:paraId="3ECE6BE1" w14:textId="77777777" w:rsidR="00073DFC" w:rsidRPr="004B5F81" w:rsidRDefault="00073DFC" w:rsidP="00D46588">
            <w:pPr>
              <w:pStyle w:val="TableText"/>
              <w:jc w:val="right"/>
              <w:rPr>
                <w:rFonts w:cs="Calibri"/>
              </w:rPr>
            </w:pPr>
            <w:r w:rsidRPr="004B5F81">
              <w:t>110</w:t>
            </w:r>
          </w:p>
        </w:tc>
        <w:tc>
          <w:tcPr>
            <w:tcW w:w="793" w:type="dxa"/>
          </w:tcPr>
          <w:p w14:paraId="100D5C93" w14:textId="77777777" w:rsidR="00073DFC" w:rsidRPr="004B5F81" w:rsidRDefault="00073DFC" w:rsidP="00D46588">
            <w:pPr>
              <w:pStyle w:val="TableText"/>
              <w:jc w:val="right"/>
              <w:rPr>
                <w:rFonts w:cs="Calibri"/>
              </w:rPr>
            </w:pPr>
            <w:r w:rsidRPr="004B5F81">
              <w:t>720</w:t>
            </w:r>
          </w:p>
        </w:tc>
        <w:tc>
          <w:tcPr>
            <w:tcW w:w="1069" w:type="dxa"/>
          </w:tcPr>
          <w:p w14:paraId="6BA531F7" w14:textId="77777777" w:rsidR="00073DFC" w:rsidRPr="004B5F81" w:rsidRDefault="00073DFC" w:rsidP="00D46588">
            <w:pPr>
              <w:pStyle w:val="TableText"/>
              <w:jc w:val="right"/>
              <w:rPr>
                <w:rFonts w:cs="Calibri"/>
              </w:rPr>
            </w:pPr>
            <w:r w:rsidRPr="004B5F81">
              <w:t>93.4 (84.9,</w:t>
            </w:r>
            <w:r>
              <w:t xml:space="preserve"> </w:t>
            </w:r>
            <w:r w:rsidRPr="004B5F81">
              <w:t>97.3)</w:t>
            </w:r>
          </w:p>
        </w:tc>
        <w:tc>
          <w:tcPr>
            <w:tcW w:w="568" w:type="dxa"/>
          </w:tcPr>
          <w:p w14:paraId="3B7AC445" w14:textId="77777777" w:rsidR="00073DFC" w:rsidRPr="004B5F81" w:rsidRDefault="00073DFC" w:rsidP="00D46588">
            <w:pPr>
              <w:pStyle w:val="TableText"/>
              <w:jc w:val="right"/>
              <w:rPr>
                <w:rFonts w:cs="Calibri"/>
              </w:rPr>
            </w:pPr>
            <w:r w:rsidRPr="004B5F81">
              <w:t>13</w:t>
            </w:r>
          </w:p>
        </w:tc>
        <w:tc>
          <w:tcPr>
            <w:tcW w:w="797" w:type="dxa"/>
          </w:tcPr>
          <w:p w14:paraId="6FC86880" w14:textId="77777777" w:rsidR="00073DFC" w:rsidRPr="004B5F81" w:rsidRDefault="00073DFC" w:rsidP="00D46588">
            <w:pPr>
              <w:pStyle w:val="TableText"/>
              <w:jc w:val="right"/>
              <w:rPr>
                <w:rFonts w:cs="Calibri"/>
              </w:rPr>
            </w:pPr>
            <w:r w:rsidRPr="004B5F81">
              <w:t>44</w:t>
            </w:r>
          </w:p>
        </w:tc>
        <w:tc>
          <w:tcPr>
            <w:tcW w:w="1065" w:type="dxa"/>
          </w:tcPr>
          <w:p w14:paraId="765DE3BE" w14:textId="77777777" w:rsidR="00073DFC" w:rsidRPr="004B5F81" w:rsidRDefault="00073DFC" w:rsidP="00D46588">
            <w:pPr>
              <w:pStyle w:val="TableText"/>
              <w:jc w:val="right"/>
              <w:rPr>
                <w:rFonts w:cs="Calibri"/>
              </w:rPr>
            </w:pPr>
            <w:r w:rsidRPr="004B5F81">
              <w:t>5.0 (3.1,</w:t>
            </w:r>
            <w:r>
              <w:t xml:space="preserve"> </w:t>
            </w:r>
            <w:r w:rsidRPr="004B5F81">
              <w:t>7.8)</w:t>
            </w:r>
          </w:p>
        </w:tc>
        <w:tc>
          <w:tcPr>
            <w:tcW w:w="558" w:type="dxa"/>
          </w:tcPr>
          <w:p w14:paraId="0AF6E9EF" w14:textId="77777777" w:rsidR="00073DFC" w:rsidRPr="004B5F81" w:rsidRDefault="00073DFC" w:rsidP="00D46588">
            <w:pPr>
              <w:pStyle w:val="TableText"/>
              <w:jc w:val="right"/>
              <w:rPr>
                <w:rFonts w:cs="Calibri"/>
              </w:rPr>
            </w:pPr>
            <w:r w:rsidRPr="004B5F81">
              <w:t>240</w:t>
            </w:r>
          </w:p>
        </w:tc>
        <w:tc>
          <w:tcPr>
            <w:tcW w:w="811" w:type="dxa"/>
          </w:tcPr>
          <w:p w14:paraId="3D793DAE" w14:textId="77777777" w:rsidR="00073DFC" w:rsidRPr="004B5F81" w:rsidRDefault="00073DFC" w:rsidP="00D46588">
            <w:pPr>
              <w:pStyle w:val="TableText"/>
              <w:jc w:val="right"/>
              <w:rPr>
                <w:rFonts w:cs="Calibri"/>
              </w:rPr>
            </w:pPr>
            <w:r w:rsidRPr="004B5F81">
              <w:t>823</w:t>
            </w:r>
          </w:p>
        </w:tc>
        <w:tc>
          <w:tcPr>
            <w:tcW w:w="1147" w:type="dxa"/>
          </w:tcPr>
          <w:p w14:paraId="6F401D77" w14:textId="77777777" w:rsidR="00073DFC" w:rsidRPr="004B5F81" w:rsidRDefault="00073DFC" w:rsidP="00D46588">
            <w:pPr>
              <w:pStyle w:val="TableText"/>
              <w:jc w:val="right"/>
              <w:rPr>
                <w:rFonts w:cs="Calibri"/>
              </w:rPr>
            </w:pPr>
            <w:r w:rsidRPr="004B5F81">
              <w:t>93.5 (90.4,</w:t>
            </w:r>
            <w:r>
              <w:t xml:space="preserve"> </w:t>
            </w:r>
            <w:r w:rsidRPr="004B5F81">
              <w:t>95.7)</w:t>
            </w:r>
          </w:p>
        </w:tc>
      </w:tr>
      <w:tr w:rsidR="00CF0E4F" w:rsidRPr="00285A26" w14:paraId="3D58528A" w14:textId="77777777" w:rsidTr="00D6757C">
        <w:trPr>
          <w:cnfStyle w:val="000000100000" w:firstRow="0" w:lastRow="0" w:firstColumn="0" w:lastColumn="0" w:oddVBand="0" w:evenVBand="0" w:oddHBand="1" w:evenHBand="0" w:firstRowFirstColumn="0" w:firstRowLastColumn="0" w:lastRowFirstColumn="0" w:lastRowLastColumn="0"/>
          <w:cantSplit/>
        </w:trPr>
        <w:tc>
          <w:tcPr>
            <w:tcW w:w="1699" w:type="dxa"/>
          </w:tcPr>
          <w:p w14:paraId="595B6955" w14:textId="77777777" w:rsidR="00073DFC" w:rsidRPr="009B2F7A" w:rsidRDefault="00073DFC" w:rsidP="00D46588">
            <w:pPr>
              <w:pStyle w:val="TableText"/>
              <w:rPr>
                <w:rFonts w:cs="Calibri"/>
                <w:bCs/>
                <w:color w:val="000000" w:themeColor="text1"/>
              </w:rPr>
            </w:pPr>
            <w:r w:rsidRPr="009B2F7A">
              <w:rPr>
                <w:rFonts w:cs="Calibri"/>
                <w:bCs/>
                <w:color w:val="000000" w:themeColor="text1"/>
              </w:rPr>
              <w:t>Female 38+</w:t>
            </w:r>
          </w:p>
        </w:tc>
        <w:tc>
          <w:tcPr>
            <w:tcW w:w="569" w:type="dxa"/>
          </w:tcPr>
          <w:p w14:paraId="22E4B5CD" w14:textId="77777777" w:rsidR="00073DFC" w:rsidRPr="004B5F81" w:rsidRDefault="00073DFC" w:rsidP="00D46588">
            <w:pPr>
              <w:pStyle w:val="TableText"/>
              <w:jc w:val="right"/>
              <w:rPr>
                <w:rFonts w:cs="Calibri"/>
              </w:rPr>
            </w:pPr>
            <w:r w:rsidRPr="00E603D7">
              <w:t>#</w:t>
            </w:r>
          </w:p>
        </w:tc>
        <w:tc>
          <w:tcPr>
            <w:tcW w:w="789" w:type="dxa"/>
          </w:tcPr>
          <w:p w14:paraId="3B1F3DBC" w14:textId="77777777" w:rsidR="00073DFC" w:rsidRPr="004B5F81" w:rsidRDefault="00073DFC" w:rsidP="00D46588">
            <w:pPr>
              <w:pStyle w:val="TableText"/>
              <w:jc w:val="right"/>
              <w:rPr>
                <w:rFonts w:cs="Calibri"/>
              </w:rPr>
            </w:pPr>
            <w:r>
              <w:t>–</w:t>
            </w:r>
          </w:p>
        </w:tc>
        <w:tc>
          <w:tcPr>
            <w:tcW w:w="1073" w:type="dxa"/>
          </w:tcPr>
          <w:p w14:paraId="38901AFB" w14:textId="77777777" w:rsidR="00073DFC" w:rsidRPr="004B5F81" w:rsidRDefault="00073DFC" w:rsidP="00D46588">
            <w:pPr>
              <w:pStyle w:val="TableText"/>
              <w:jc w:val="right"/>
              <w:rPr>
                <w:rFonts w:cs="Calibri"/>
              </w:rPr>
            </w:pPr>
            <w:r>
              <w:t>–</w:t>
            </w:r>
          </w:p>
        </w:tc>
        <w:tc>
          <w:tcPr>
            <w:tcW w:w="568" w:type="dxa"/>
          </w:tcPr>
          <w:p w14:paraId="0B67E62E" w14:textId="77777777" w:rsidR="00073DFC" w:rsidRPr="004B5F81" w:rsidRDefault="00073DFC" w:rsidP="00D46588">
            <w:pPr>
              <w:pStyle w:val="TableText"/>
              <w:jc w:val="right"/>
              <w:rPr>
                <w:rFonts w:cs="Calibri"/>
              </w:rPr>
            </w:pPr>
            <w:r w:rsidRPr="004B5F81">
              <w:t>71</w:t>
            </w:r>
          </w:p>
        </w:tc>
        <w:tc>
          <w:tcPr>
            <w:tcW w:w="793" w:type="dxa"/>
          </w:tcPr>
          <w:p w14:paraId="2BF621C4" w14:textId="77777777" w:rsidR="00073DFC" w:rsidRPr="004B5F81" w:rsidRDefault="00073DFC" w:rsidP="00D46588">
            <w:pPr>
              <w:pStyle w:val="TableText"/>
              <w:jc w:val="right"/>
              <w:rPr>
                <w:rFonts w:cs="Calibri"/>
              </w:rPr>
            </w:pPr>
            <w:r w:rsidRPr="004B5F81">
              <w:t>331</w:t>
            </w:r>
          </w:p>
        </w:tc>
        <w:tc>
          <w:tcPr>
            <w:tcW w:w="1069" w:type="dxa"/>
          </w:tcPr>
          <w:p w14:paraId="1C7A38BE" w14:textId="77777777" w:rsidR="00073DFC" w:rsidRPr="004B5F81" w:rsidRDefault="00073DFC" w:rsidP="00D46588">
            <w:pPr>
              <w:pStyle w:val="TableText"/>
              <w:jc w:val="right"/>
              <w:rPr>
                <w:rFonts w:cs="Calibri"/>
              </w:rPr>
            </w:pPr>
            <w:r w:rsidRPr="004B5F81">
              <w:t>98.0 (93.5,</w:t>
            </w:r>
            <w:r>
              <w:t xml:space="preserve"> </w:t>
            </w:r>
            <w:r w:rsidRPr="004B5F81">
              <w:t>99.4)</w:t>
            </w:r>
          </w:p>
        </w:tc>
        <w:tc>
          <w:tcPr>
            <w:tcW w:w="568" w:type="dxa"/>
          </w:tcPr>
          <w:p w14:paraId="17DF9104" w14:textId="77777777" w:rsidR="00073DFC" w:rsidRPr="004B5F81" w:rsidRDefault="00073DFC" w:rsidP="00D46588">
            <w:pPr>
              <w:pStyle w:val="TableText"/>
              <w:jc w:val="right"/>
              <w:rPr>
                <w:rFonts w:cs="Calibri"/>
              </w:rPr>
            </w:pPr>
            <w:r w:rsidRPr="004B5F81">
              <w:t>7</w:t>
            </w:r>
          </w:p>
        </w:tc>
        <w:tc>
          <w:tcPr>
            <w:tcW w:w="797" w:type="dxa"/>
          </w:tcPr>
          <w:p w14:paraId="76CAFE92" w14:textId="77777777" w:rsidR="00073DFC" w:rsidRPr="004B5F81" w:rsidRDefault="00073DFC" w:rsidP="00D46588">
            <w:pPr>
              <w:pStyle w:val="TableText"/>
              <w:jc w:val="right"/>
              <w:rPr>
                <w:rFonts w:cs="Calibri"/>
              </w:rPr>
            </w:pPr>
            <w:r w:rsidRPr="004B5F81">
              <w:t>18</w:t>
            </w:r>
          </w:p>
        </w:tc>
        <w:tc>
          <w:tcPr>
            <w:tcW w:w="1065" w:type="dxa"/>
          </w:tcPr>
          <w:p w14:paraId="6495291D" w14:textId="77777777" w:rsidR="00073DFC" w:rsidRPr="004B5F81" w:rsidRDefault="00073DFC" w:rsidP="00D46588">
            <w:pPr>
              <w:pStyle w:val="TableText"/>
              <w:jc w:val="right"/>
              <w:rPr>
                <w:rFonts w:cs="Calibri"/>
              </w:rPr>
            </w:pPr>
            <w:r w:rsidRPr="004B5F81">
              <w:t>3.9 (2.1,</w:t>
            </w:r>
            <w:r>
              <w:t xml:space="preserve"> </w:t>
            </w:r>
            <w:r w:rsidRPr="004B5F81">
              <w:t>7.0)</w:t>
            </w:r>
          </w:p>
        </w:tc>
        <w:tc>
          <w:tcPr>
            <w:tcW w:w="558" w:type="dxa"/>
          </w:tcPr>
          <w:p w14:paraId="495723F6" w14:textId="77777777" w:rsidR="00073DFC" w:rsidRPr="004B5F81" w:rsidRDefault="00073DFC" w:rsidP="00D46588">
            <w:pPr>
              <w:pStyle w:val="TableText"/>
              <w:jc w:val="right"/>
              <w:rPr>
                <w:rFonts w:cs="Calibri"/>
              </w:rPr>
            </w:pPr>
            <w:r w:rsidRPr="004B5F81">
              <w:t>153</w:t>
            </w:r>
          </w:p>
        </w:tc>
        <w:tc>
          <w:tcPr>
            <w:tcW w:w="811" w:type="dxa"/>
          </w:tcPr>
          <w:p w14:paraId="2F0B79D2" w14:textId="77777777" w:rsidR="00073DFC" w:rsidRPr="004B5F81" w:rsidRDefault="00073DFC" w:rsidP="00D46588">
            <w:pPr>
              <w:pStyle w:val="TableText"/>
              <w:jc w:val="right"/>
              <w:rPr>
                <w:rFonts w:cs="Calibri"/>
              </w:rPr>
            </w:pPr>
            <w:r w:rsidRPr="004B5F81">
              <w:t>452</w:t>
            </w:r>
          </w:p>
        </w:tc>
        <w:tc>
          <w:tcPr>
            <w:tcW w:w="1147" w:type="dxa"/>
          </w:tcPr>
          <w:p w14:paraId="664D44E1" w14:textId="77777777" w:rsidR="00073DFC" w:rsidRPr="004B5F81" w:rsidRDefault="00073DFC" w:rsidP="00D46588">
            <w:pPr>
              <w:pStyle w:val="TableText"/>
              <w:jc w:val="right"/>
              <w:rPr>
                <w:rFonts w:cs="Calibri"/>
              </w:rPr>
            </w:pPr>
            <w:r w:rsidRPr="004B5F81">
              <w:t>95.6 (92.5,</w:t>
            </w:r>
            <w:r>
              <w:t xml:space="preserve"> </w:t>
            </w:r>
            <w:r w:rsidRPr="004B5F81">
              <w:t>97.5)</w:t>
            </w:r>
          </w:p>
        </w:tc>
      </w:tr>
    </w:tbl>
    <w:p w14:paraId="00635A11" w14:textId="77777777" w:rsidR="00073DFC" w:rsidRPr="006A3EA0" w:rsidRDefault="00073DFC" w:rsidP="00073DFC">
      <w:pPr>
        <w:pStyle w:val="TableNotes"/>
      </w:pPr>
      <w:r w:rsidRPr="006A3EA0">
        <w:t>Notes</w:t>
      </w:r>
    </w:p>
    <w:p w14:paraId="7E830128" w14:textId="77777777" w:rsidR="00073DFC" w:rsidRPr="009B2F7A" w:rsidRDefault="00073DFC" w:rsidP="00073DFC">
      <w:pPr>
        <w:pStyle w:val="TableNotes"/>
      </w:pPr>
      <w:r w:rsidRPr="009B2F7A">
        <w:t xml:space="preserve">Denominator: Those who use the </w:t>
      </w:r>
      <w:r>
        <w:t>internet</w:t>
      </w:r>
      <w:r w:rsidRPr="009B2F7A">
        <w:t xml:space="preserve"> to seek help or information for, or manage, mental health issues (IU Q6 = Yes)</w:t>
      </w:r>
      <w:r>
        <w:t>.</w:t>
      </w:r>
    </w:p>
    <w:p w14:paraId="02D06A93" w14:textId="77777777" w:rsidR="00073DFC" w:rsidRDefault="00073DFC" w:rsidP="00073DFC">
      <w:pPr>
        <w:pStyle w:val="TableNotes"/>
        <w:rPr>
          <w:rFonts w:cs="Calibri"/>
          <w:bCs/>
          <w:color w:val="000000" w:themeColor="text1"/>
          <w:szCs w:val="14"/>
        </w:rPr>
      </w:pPr>
      <w:r w:rsidRPr="009B2F7A">
        <w:t>Based on weighted counts, 102 (1.7%) Transitioned ADF and 144 (1.6%) 2015 Regular ADF had a missing value for this question.</w:t>
      </w:r>
      <w:r>
        <w:t xml:space="preserve"> </w:t>
      </w:r>
      <w:r w:rsidRPr="009B2F7A">
        <w:t>However, distributions are calculated by including those with a missing value to allow for correct weighted totals. 95%CI</w:t>
      </w:r>
      <w:r>
        <w:t xml:space="preserve"> =</w:t>
      </w:r>
      <w:r w:rsidRPr="009B2F7A">
        <w:t xml:space="preserve"> 95% </w:t>
      </w:r>
      <w:r>
        <w:t>confidence interval</w:t>
      </w:r>
      <w:r w:rsidRPr="009B2F7A">
        <w:t>.</w:t>
      </w:r>
      <w:r>
        <w:rPr>
          <w:bCs/>
          <w:color w:val="000000" w:themeColor="text1"/>
        </w:rPr>
        <w:t xml:space="preserve"> </w:t>
      </w:r>
      <w:r w:rsidRPr="00E603D7">
        <w:rPr>
          <w:rFonts w:cs="Calibri"/>
          <w:bCs/>
          <w:color w:val="000000" w:themeColor="text1"/>
          <w:szCs w:val="14"/>
        </w:rPr>
        <w:t xml:space="preserve"># </w:t>
      </w:r>
      <w:r>
        <w:rPr>
          <w:rFonts w:cs="Calibri"/>
          <w:bCs/>
          <w:color w:val="000000" w:themeColor="text1"/>
          <w:szCs w:val="14"/>
        </w:rPr>
        <w:t>= C</w:t>
      </w:r>
      <w:r w:rsidRPr="00E603D7">
        <w:rPr>
          <w:rFonts w:cs="Calibri"/>
          <w:bCs/>
          <w:color w:val="000000" w:themeColor="text1"/>
          <w:szCs w:val="14"/>
        </w:rPr>
        <w:t>ell size too small to be reported</w:t>
      </w:r>
      <w:r>
        <w:rPr>
          <w:rFonts w:cs="Calibri"/>
          <w:bCs/>
          <w:color w:val="000000" w:themeColor="text1"/>
          <w:szCs w:val="14"/>
        </w:rPr>
        <w:t>.</w:t>
      </w:r>
    </w:p>
    <w:p w14:paraId="109541D4" w14:textId="77777777" w:rsidR="006850EE" w:rsidRDefault="006850EE" w:rsidP="009D2CB4">
      <w:pPr>
        <w:sectPr w:rsidR="006850EE" w:rsidSect="00980AE4">
          <w:footerReference w:type="even" r:id="rId68"/>
          <w:footerReference w:type="default" r:id="rId69"/>
          <w:pgSz w:w="14170" w:h="9979" w:orient="landscape" w:code="243"/>
          <w:pgMar w:top="1872" w:right="1440" w:bottom="1152" w:left="1440" w:header="576" w:footer="576" w:gutter="0"/>
          <w:cols w:space="708"/>
          <w:docGrid w:linePitch="360"/>
        </w:sectPr>
      </w:pPr>
    </w:p>
    <w:p w14:paraId="490B0CE0" w14:textId="77777777" w:rsidR="006E5ED2" w:rsidRPr="009B2F7A" w:rsidRDefault="006E5ED2" w:rsidP="006E5ED2">
      <w:pPr>
        <w:pStyle w:val="Heading2"/>
        <w:numPr>
          <w:ilvl w:val="1"/>
          <w:numId w:val="1"/>
        </w:numPr>
        <w:ind w:left="720" w:hanging="720"/>
      </w:pPr>
      <w:bookmarkStart w:id="692" w:name="_Toc509917449"/>
      <w:bookmarkStart w:id="693" w:name="_Toc515374501"/>
      <w:bookmarkStart w:id="694" w:name="_Toc518566401"/>
      <w:bookmarkStart w:id="695" w:name="_Toc528932689"/>
      <w:bookmarkStart w:id="696" w:name="_Toc531859226"/>
      <w:r w:rsidRPr="009B2F7A">
        <w:t xml:space="preserve">Usefulness of the </w:t>
      </w:r>
      <w:r>
        <w:t>internet</w:t>
      </w:r>
      <w:r w:rsidRPr="009B2F7A">
        <w:t xml:space="preserve"> in helping to deal </w:t>
      </w:r>
      <w:bookmarkEnd w:id="692"/>
      <w:bookmarkEnd w:id="693"/>
      <w:r w:rsidRPr="009B2F7A">
        <w:t>more effectively with mental health problems</w:t>
      </w:r>
      <w:bookmarkEnd w:id="694"/>
      <w:bookmarkEnd w:id="695"/>
      <w:bookmarkEnd w:id="696"/>
    </w:p>
    <w:p w14:paraId="47F9DA52" w14:textId="77777777" w:rsidR="006E5ED2" w:rsidRPr="009B2F7A" w:rsidRDefault="006E5ED2" w:rsidP="006E5ED2">
      <w:pPr>
        <w:pStyle w:val="Heading3"/>
        <w:numPr>
          <w:ilvl w:val="2"/>
          <w:numId w:val="1"/>
        </w:numPr>
      </w:pPr>
      <w:bookmarkStart w:id="697" w:name="_Toc515374502"/>
      <w:bookmarkStart w:id="698" w:name="_Toc518566402"/>
      <w:bookmarkStart w:id="699" w:name="_Toc528932690"/>
      <w:bookmarkStart w:id="700" w:name="_Toc531859227"/>
      <w:r>
        <w:t xml:space="preserve">Use of internet for this purpose by </w:t>
      </w:r>
      <w:r w:rsidRPr="009B2F7A">
        <w:t>Transitioned ADF and 2015 Regular ADF</w:t>
      </w:r>
      <w:bookmarkEnd w:id="697"/>
      <w:bookmarkEnd w:id="698"/>
      <w:r>
        <w:t xml:space="preserve"> overall</w:t>
      </w:r>
      <w:bookmarkEnd w:id="699"/>
      <w:bookmarkEnd w:id="700"/>
    </w:p>
    <w:p w14:paraId="573959AC" w14:textId="77777777" w:rsidR="006E5ED2" w:rsidRDefault="006E5ED2" w:rsidP="006E5ED2">
      <w:pPr>
        <w:rPr>
          <w:rFonts w:cs="Calibri"/>
        </w:rPr>
      </w:pPr>
      <w:r>
        <w:rPr>
          <w:rFonts w:asciiTheme="minorHAnsi" w:hAnsiTheme="minorHAnsi" w:cs="Calibri"/>
        </w:rPr>
        <w:t xml:space="preserve">Among both the </w:t>
      </w:r>
      <w:r>
        <w:t>Transitioned ADF and 2015 Regular ADF who reported that they used</w:t>
      </w:r>
      <w:r w:rsidRPr="00DF1417">
        <w:t xml:space="preserve"> the </w:t>
      </w:r>
      <w:r>
        <w:t>internet</w:t>
      </w:r>
      <w:r w:rsidRPr="00DF1417">
        <w:t xml:space="preserve"> to seek help or information or manage mental health</w:t>
      </w:r>
      <w:r>
        <w:t xml:space="preserve"> issues, most </w:t>
      </w:r>
      <w:r>
        <w:rPr>
          <w:rFonts w:cs="Calibri"/>
        </w:rPr>
        <w:t xml:space="preserve">reported that using </w:t>
      </w:r>
      <w:r w:rsidRPr="002F5B18">
        <w:rPr>
          <w:rFonts w:cs="Calibri"/>
        </w:rPr>
        <w:t xml:space="preserve">the </w:t>
      </w:r>
      <w:r>
        <w:rPr>
          <w:rFonts w:cs="Calibri"/>
        </w:rPr>
        <w:t>internet</w:t>
      </w:r>
      <w:r w:rsidRPr="002F5B18">
        <w:rPr>
          <w:rFonts w:cs="Calibri"/>
        </w:rPr>
        <w:t xml:space="preserve"> helped </w:t>
      </w:r>
      <w:r>
        <w:rPr>
          <w:rFonts w:cs="Calibri"/>
        </w:rPr>
        <w:t xml:space="preserve">a little or a lot </w:t>
      </w:r>
      <w:r w:rsidRPr="002F5B18">
        <w:rPr>
          <w:rFonts w:cs="Calibri"/>
        </w:rPr>
        <w:t xml:space="preserve">to effectively deal with mental health problems </w:t>
      </w:r>
      <w:r>
        <w:rPr>
          <w:rFonts w:cs="Calibri"/>
        </w:rPr>
        <w:t xml:space="preserve">(52.2% and </w:t>
      </w:r>
      <w:r w:rsidRPr="00C55D20">
        <w:rPr>
          <w:rFonts w:cs="Calibri"/>
        </w:rPr>
        <w:t>62.4%)</w:t>
      </w:r>
      <w:r>
        <w:rPr>
          <w:rFonts w:cs="Calibri"/>
        </w:rPr>
        <w:t xml:space="preserve"> </w:t>
      </w:r>
      <w:r w:rsidRPr="00C55D20">
        <w:rPr>
          <w:rFonts w:cs="Calibri"/>
        </w:rPr>
        <w:t>(</w:t>
      </w:r>
      <w:r>
        <w:t xml:space="preserve">Table </w:t>
      </w:r>
      <w:r>
        <w:rPr>
          <w:noProof/>
        </w:rPr>
        <w:t>6.6</w:t>
      </w:r>
      <w:r w:rsidRPr="00C55D20">
        <w:rPr>
          <w:rFonts w:cs="Calibri"/>
        </w:rPr>
        <w:t xml:space="preserve"> and </w:t>
      </w:r>
      <w:r>
        <w:t xml:space="preserve">Figure </w:t>
      </w:r>
      <w:r>
        <w:rPr>
          <w:noProof/>
        </w:rPr>
        <w:t>6.3</w:t>
      </w:r>
      <w:r w:rsidRPr="00C55D20">
        <w:rPr>
          <w:rFonts w:cs="Calibri"/>
        </w:rPr>
        <w:t>). Just</w:t>
      </w:r>
      <w:r>
        <w:rPr>
          <w:rFonts w:cs="Calibri"/>
        </w:rPr>
        <w:t xml:space="preserve"> over one third of both the Transitioned ADF and 2015 Regular ADF </w:t>
      </w:r>
      <w:r>
        <w:t>who reported that they used</w:t>
      </w:r>
      <w:r w:rsidRPr="00DF1417">
        <w:t xml:space="preserve"> the </w:t>
      </w:r>
      <w:r>
        <w:t>internet</w:t>
      </w:r>
      <w:r w:rsidRPr="00DF1417">
        <w:t xml:space="preserve"> to seek help or information or manage mental health</w:t>
      </w:r>
      <w:r w:rsidDel="005C5B9E">
        <w:rPr>
          <w:rFonts w:cs="Calibri"/>
        </w:rPr>
        <w:t xml:space="preserve"> </w:t>
      </w:r>
      <w:r>
        <w:rPr>
          <w:rFonts w:cs="Calibri"/>
        </w:rPr>
        <w:t xml:space="preserve">issues indicated that it ‘neither helped nor made it worse’ (43.6% and 35.1%). Only a very small minority reported that the internet ‘made it worse’ for them to deal effectively with mental health problems (Transitioned ADF: 1.6%; 2015 Regular ADF: 0.9%). </w:t>
      </w:r>
      <w:r w:rsidRPr="00455D9C">
        <w:rPr>
          <w:rFonts w:eastAsia="Times New Roman"/>
          <w:lang w:eastAsia="en-AU"/>
        </w:rPr>
        <w:t xml:space="preserve">When logistic regression was performed </w:t>
      </w:r>
      <w:r>
        <w:rPr>
          <w:rFonts w:eastAsia="Times New Roman"/>
          <w:lang w:eastAsia="en-AU"/>
        </w:rPr>
        <w:t>on the grouped</w:t>
      </w:r>
      <w:r w:rsidRPr="00455D9C">
        <w:rPr>
          <w:rFonts w:eastAsia="Times New Roman"/>
          <w:lang w:eastAsia="en-AU"/>
        </w:rPr>
        <w:t xml:space="preserve"> variables, no </w:t>
      </w:r>
      <w:r>
        <w:rPr>
          <w:rFonts w:eastAsia="Times New Roman"/>
          <w:lang w:eastAsia="en-AU"/>
        </w:rPr>
        <w:t>significant differences</w:t>
      </w:r>
      <w:r w:rsidRPr="00455D9C">
        <w:rPr>
          <w:rFonts w:eastAsia="Times New Roman"/>
          <w:lang w:eastAsia="en-AU"/>
        </w:rPr>
        <w:t xml:space="preserve"> </w:t>
      </w:r>
      <w:r>
        <w:rPr>
          <w:rFonts w:eastAsia="Times New Roman"/>
          <w:lang w:eastAsia="en-AU"/>
        </w:rPr>
        <w:t xml:space="preserve">between the Transitioned ADF and the 2015 Regular ADF </w:t>
      </w:r>
      <w:r w:rsidRPr="00455D9C">
        <w:rPr>
          <w:rFonts w:eastAsia="Times New Roman"/>
          <w:lang w:eastAsia="en-AU"/>
        </w:rPr>
        <w:t>were found.</w:t>
      </w:r>
    </w:p>
    <w:p w14:paraId="4E320C2D" w14:textId="77777777" w:rsidR="006E5ED2" w:rsidRPr="00941BE1" w:rsidRDefault="006E5ED2" w:rsidP="006E5ED2">
      <w:pPr>
        <w:pStyle w:val="TableName"/>
        <w:rPr>
          <w:rFonts w:eastAsia="Times New Roman"/>
          <w:lang w:eastAsia="en-AU"/>
        </w:rPr>
      </w:pPr>
      <w:bookmarkStart w:id="701" w:name="_Ref517355510"/>
      <w:bookmarkStart w:id="702" w:name="_Toc509922887"/>
      <w:bookmarkStart w:id="703" w:name="_Toc515374662"/>
      <w:bookmarkStart w:id="704" w:name="_Toc528932337"/>
      <w:bookmarkStart w:id="705" w:name="_Toc531858016"/>
      <w:r>
        <w:t xml:space="preserve">Table </w:t>
      </w:r>
      <w:r>
        <w:rPr>
          <w:noProof/>
        </w:rPr>
        <w:t>6</w:t>
      </w:r>
      <w:r>
        <w:t>.</w:t>
      </w:r>
      <w:r>
        <w:rPr>
          <w:noProof/>
        </w:rPr>
        <w:t>6</w:t>
      </w:r>
      <w:bookmarkEnd w:id="701"/>
      <w:r>
        <w:tab/>
        <w:t xml:space="preserve">Usefulness of the internet in helping to deal more effectively with </w:t>
      </w:r>
      <w:r w:rsidRPr="00111AEB">
        <w:t>mental health issues among Transitioned ADF and 2015 Regular ADF</w:t>
      </w:r>
      <w:bookmarkEnd w:id="702"/>
      <w:bookmarkEnd w:id="703"/>
      <w:r>
        <w:t xml:space="preserve"> who reported that they used</w:t>
      </w:r>
      <w:r w:rsidRPr="00DF1417">
        <w:t xml:space="preserve"> the </w:t>
      </w:r>
      <w:r>
        <w:t>internet</w:t>
      </w:r>
      <w:r w:rsidRPr="00DF1417">
        <w:t xml:space="preserve"> to seek help or information or </w:t>
      </w:r>
      <w:r>
        <w:t xml:space="preserve">to </w:t>
      </w:r>
      <w:r w:rsidRPr="00DF1417">
        <w:t>manage mental health</w:t>
      </w:r>
      <w:r>
        <w:t xml:space="preserve"> issues</w:t>
      </w:r>
      <w:bookmarkEnd w:id="704"/>
      <w:bookmarkEnd w:id="705"/>
    </w:p>
    <w:tbl>
      <w:tblPr>
        <w:tblStyle w:val="TWRPTable"/>
        <w:tblW w:w="5000" w:type="pct"/>
        <w:tblLayout w:type="fixed"/>
        <w:tblLook w:val="0000" w:firstRow="0" w:lastRow="0" w:firstColumn="0" w:lastColumn="0" w:noHBand="0" w:noVBand="0"/>
        <w:tblDescription w:val="Table 6.6 Usefulness of the internet in helping to deal more effectively with mental health issues among Transitioned ADF and 2015 Regular ADF who reported that they used the internet to seek help or information or to manage mental health issues"/>
      </w:tblPr>
      <w:tblGrid>
        <w:gridCol w:w="1710"/>
        <w:gridCol w:w="745"/>
        <w:gridCol w:w="874"/>
        <w:gridCol w:w="1070"/>
        <w:gridCol w:w="763"/>
        <w:gridCol w:w="874"/>
        <w:gridCol w:w="1053"/>
      </w:tblGrid>
      <w:tr w:rsidR="006E5ED2" w:rsidRPr="00285A26" w14:paraId="125853BF" w14:textId="77777777" w:rsidTr="001F3BA4">
        <w:trPr>
          <w:cantSplit/>
          <w:tblHeader/>
        </w:trPr>
        <w:tc>
          <w:tcPr>
            <w:tcW w:w="1772" w:type="dxa"/>
            <w:tcBorders>
              <w:top w:val="single" w:sz="4" w:space="0" w:color="000000"/>
              <w:bottom w:val="nil"/>
            </w:tcBorders>
          </w:tcPr>
          <w:p w14:paraId="7109FB61" w14:textId="77777777" w:rsidR="006E5ED2" w:rsidRPr="004565F5" w:rsidRDefault="006E5ED2" w:rsidP="00D46588">
            <w:pPr>
              <w:pStyle w:val="TableText"/>
              <w:rPr>
                <w:b/>
              </w:rPr>
            </w:pPr>
          </w:p>
        </w:tc>
        <w:tc>
          <w:tcPr>
            <w:tcW w:w="2771" w:type="dxa"/>
            <w:gridSpan w:val="3"/>
            <w:tcBorders>
              <w:top w:val="single" w:sz="4" w:space="0" w:color="000000"/>
              <w:bottom w:val="single" w:sz="4" w:space="0" w:color="000000"/>
            </w:tcBorders>
          </w:tcPr>
          <w:p w14:paraId="26FD9AB2" w14:textId="77777777" w:rsidR="006E5ED2" w:rsidRPr="004565F5" w:rsidRDefault="006E5ED2" w:rsidP="006E5ED2">
            <w:pPr>
              <w:pStyle w:val="TableText"/>
              <w:jc w:val="center"/>
              <w:rPr>
                <w:b/>
              </w:rPr>
            </w:pPr>
            <w:r w:rsidRPr="004565F5">
              <w:rPr>
                <w:b/>
              </w:rPr>
              <w:t>Transitioned ADF</w:t>
            </w:r>
            <w:r>
              <w:rPr>
                <w:b/>
              </w:rPr>
              <w:br/>
            </w:r>
            <w:r w:rsidRPr="004565F5">
              <w:rPr>
                <w:b/>
              </w:rPr>
              <w:t>n=6116</w:t>
            </w:r>
          </w:p>
        </w:tc>
        <w:tc>
          <w:tcPr>
            <w:tcW w:w="2772" w:type="dxa"/>
            <w:gridSpan w:val="3"/>
            <w:tcBorders>
              <w:top w:val="single" w:sz="4" w:space="0" w:color="000000"/>
              <w:bottom w:val="single" w:sz="4" w:space="0" w:color="000000"/>
            </w:tcBorders>
          </w:tcPr>
          <w:p w14:paraId="6A246C36" w14:textId="77777777" w:rsidR="006E5ED2" w:rsidRPr="004565F5" w:rsidRDefault="006E5ED2" w:rsidP="006E5ED2">
            <w:pPr>
              <w:pStyle w:val="TableText"/>
              <w:jc w:val="center"/>
              <w:rPr>
                <w:b/>
              </w:rPr>
            </w:pPr>
            <w:r w:rsidRPr="004565F5">
              <w:rPr>
                <w:b/>
              </w:rPr>
              <w:t>2015 Regular ADF</w:t>
            </w:r>
            <w:r>
              <w:rPr>
                <w:b/>
              </w:rPr>
              <w:br/>
            </w:r>
            <w:r w:rsidRPr="004565F5">
              <w:rPr>
                <w:b/>
              </w:rPr>
              <w:t>n=9042</w:t>
            </w:r>
          </w:p>
        </w:tc>
      </w:tr>
      <w:tr w:rsidR="006E5ED2" w:rsidRPr="00285A26" w14:paraId="77F5C5B2" w14:textId="77777777" w:rsidTr="001F3BA4">
        <w:trPr>
          <w:cantSplit/>
          <w:tblHeader/>
        </w:trPr>
        <w:tc>
          <w:tcPr>
            <w:tcW w:w="1772" w:type="dxa"/>
            <w:tcBorders>
              <w:top w:val="nil"/>
              <w:bottom w:val="single" w:sz="4" w:space="0" w:color="000000"/>
            </w:tcBorders>
          </w:tcPr>
          <w:p w14:paraId="61919117" w14:textId="77777777" w:rsidR="006E5ED2" w:rsidRPr="004565F5" w:rsidRDefault="006E5ED2" w:rsidP="00D46588">
            <w:pPr>
              <w:pStyle w:val="TableText"/>
              <w:rPr>
                <w:b/>
              </w:rPr>
            </w:pPr>
            <w:r>
              <w:rPr>
                <w:b/>
              </w:rPr>
              <w:t>Usefulness of internet</w:t>
            </w:r>
          </w:p>
        </w:tc>
        <w:tc>
          <w:tcPr>
            <w:tcW w:w="766" w:type="dxa"/>
            <w:tcBorders>
              <w:top w:val="single" w:sz="4" w:space="0" w:color="000000"/>
              <w:bottom w:val="single" w:sz="4" w:space="0" w:color="000000"/>
            </w:tcBorders>
          </w:tcPr>
          <w:p w14:paraId="2877FCDE" w14:textId="77777777" w:rsidR="006E5ED2" w:rsidRPr="004565F5" w:rsidRDefault="006E5ED2" w:rsidP="00D46588">
            <w:pPr>
              <w:pStyle w:val="TableText"/>
              <w:jc w:val="right"/>
              <w:rPr>
                <w:b/>
              </w:rPr>
            </w:pPr>
            <w:r w:rsidRPr="004565F5">
              <w:rPr>
                <w:b/>
              </w:rPr>
              <w:t>n</w:t>
            </w:r>
          </w:p>
        </w:tc>
        <w:tc>
          <w:tcPr>
            <w:tcW w:w="900" w:type="dxa"/>
            <w:tcBorders>
              <w:top w:val="single" w:sz="4" w:space="0" w:color="000000"/>
              <w:bottom w:val="single" w:sz="4" w:space="0" w:color="000000"/>
            </w:tcBorders>
          </w:tcPr>
          <w:p w14:paraId="1E2C9E80" w14:textId="77777777" w:rsidR="006E5ED2" w:rsidRPr="004565F5" w:rsidRDefault="006E5ED2" w:rsidP="00D46588">
            <w:pPr>
              <w:pStyle w:val="TableText"/>
              <w:jc w:val="right"/>
              <w:rPr>
                <w:b/>
              </w:rPr>
            </w:pPr>
            <w:r w:rsidRPr="004565F5">
              <w:rPr>
                <w:b/>
              </w:rPr>
              <w:t>Weighted n</w:t>
            </w:r>
          </w:p>
        </w:tc>
        <w:tc>
          <w:tcPr>
            <w:tcW w:w="1105" w:type="dxa"/>
            <w:tcBorders>
              <w:top w:val="single" w:sz="4" w:space="0" w:color="000000"/>
              <w:bottom w:val="single" w:sz="4" w:space="0" w:color="000000"/>
            </w:tcBorders>
          </w:tcPr>
          <w:p w14:paraId="30C963C6" w14:textId="77777777" w:rsidR="006E5ED2" w:rsidRPr="004565F5" w:rsidRDefault="006E5ED2" w:rsidP="00D46588">
            <w:pPr>
              <w:pStyle w:val="TableText"/>
              <w:jc w:val="right"/>
              <w:rPr>
                <w:b/>
              </w:rPr>
            </w:pPr>
            <w:r w:rsidRPr="004565F5">
              <w:rPr>
                <w:b/>
              </w:rPr>
              <w:t>% (95%CI)</w:t>
            </w:r>
          </w:p>
        </w:tc>
        <w:tc>
          <w:tcPr>
            <w:tcW w:w="785" w:type="dxa"/>
            <w:tcBorders>
              <w:top w:val="single" w:sz="4" w:space="0" w:color="000000"/>
              <w:bottom w:val="single" w:sz="4" w:space="0" w:color="000000"/>
            </w:tcBorders>
          </w:tcPr>
          <w:p w14:paraId="39058383" w14:textId="77777777" w:rsidR="006E5ED2" w:rsidRPr="004565F5" w:rsidRDefault="006E5ED2" w:rsidP="00D46588">
            <w:pPr>
              <w:pStyle w:val="TableText"/>
              <w:jc w:val="right"/>
              <w:rPr>
                <w:b/>
              </w:rPr>
            </w:pPr>
            <w:r w:rsidRPr="004565F5">
              <w:rPr>
                <w:b/>
              </w:rPr>
              <w:t>n</w:t>
            </w:r>
          </w:p>
        </w:tc>
        <w:tc>
          <w:tcPr>
            <w:tcW w:w="900" w:type="dxa"/>
            <w:tcBorders>
              <w:top w:val="single" w:sz="4" w:space="0" w:color="000000"/>
              <w:bottom w:val="single" w:sz="4" w:space="0" w:color="000000"/>
            </w:tcBorders>
          </w:tcPr>
          <w:p w14:paraId="2393179A" w14:textId="77777777" w:rsidR="006E5ED2" w:rsidRPr="004565F5" w:rsidRDefault="006E5ED2" w:rsidP="00D46588">
            <w:pPr>
              <w:pStyle w:val="TableText"/>
              <w:jc w:val="right"/>
              <w:rPr>
                <w:b/>
              </w:rPr>
            </w:pPr>
            <w:r w:rsidRPr="004565F5">
              <w:rPr>
                <w:b/>
              </w:rPr>
              <w:t>Weighted n</w:t>
            </w:r>
          </w:p>
        </w:tc>
        <w:tc>
          <w:tcPr>
            <w:tcW w:w="1087" w:type="dxa"/>
            <w:tcBorders>
              <w:top w:val="single" w:sz="4" w:space="0" w:color="000000"/>
              <w:bottom w:val="single" w:sz="4" w:space="0" w:color="000000"/>
            </w:tcBorders>
          </w:tcPr>
          <w:p w14:paraId="5CFD2EB5" w14:textId="77777777" w:rsidR="006E5ED2" w:rsidRPr="004565F5" w:rsidRDefault="006E5ED2" w:rsidP="00D46588">
            <w:pPr>
              <w:pStyle w:val="TableText"/>
              <w:jc w:val="right"/>
              <w:rPr>
                <w:b/>
              </w:rPr>
            </w:pPr>
            <w:r w:rsidRPr="004565F5">
              <w:rPr>
                <w:b/>
              </w:rPr>
              <w:t>% (95%CI)</w:t>
            </w:r>
          </w:p>
        </w:tc>
      </w:tr>
      <w:tr w:rsidR="006E5ED2" w:rsidRPr="00297986" w14:paraId="0A3CD551"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1772" w:type="dxa"/>
            <w:tcBorders>
              <w:top w:val="single" w:sz="4" w:space="0" w:color="000000"/>
            </w:tcBorders>
          </w:tcPr>
          <w:p w14:paraId="2AAE25BE" w14:textId="77777777" w:rsidR="006E5ED2" w:rsidRPr="00297986" w:rsidRDefault="006E5ED2" w:rsidP="00D46588">
            <w:pPr>
              <w:pStyle w:val="TableText"/>
              <w:rPr>
                <w:szCs w:val="14"/>
              </w:rPr>
            </w:pPr>
            <w:r w:rsidRPr="00297986">
              <w:rPr>
                <w:szCs w:val="14"/>
              </w:rPr>
              <w:t>Made it a lot worse</w:t>
            </w:r>
          </w:p>
        </w:tc>
        <w:tc>
          <w:tcPr>
            <w:tcW w:w="766" w:type="dxa"/>
            <w:tcBorders>
              <w:top w:val="single" w:sz="4" w:space="0" w:color="000000"/>
            </w:tcBorders>
          </w:tcPr>
          <w:p w14:paraId="75EAA909" w14:textId="77777777" w:rsidR="006E5ED2" w:rsidRPr="00297986" w:rsidRDefault="006E5ED2" w:rsidP="00D46588">
            <w:pPr>
              <w:pStyle w:val="TableText"/>
              <w:jc w:val="right"/>
              <w:rPr>
                <w:color w:val="000000" w:themeColor="text1"/>
                <w:szCs w:val="14"/>
              </w:rPr>
            </w:pPr>
            <w:r w:rsidRPr="00E603D7">
              <w:t>#</w:t>
            </w:r>
          </w:p>
        </w:tc>
        <w:tc>
          <w:tcPr>
            <w:tcW w:w="900" w:type="dxa"/>
            <w:tcBorders>
              <w:top w:val="single" w:sz="4" w:space="0" w:color="000000"/>
            </w:tcBorders>
          </w:tcPr>
          <w:p w14:paraId="4663B541" w14:textId="77777777" w:rsidR="006E5ED2" w:rsidRPr="00297986" w:rsidRDefault="006E5ED2" w:rsidP="00D46588">
            <w:pPr>
              <w:pStyle w:val="TableText"/>
              <w:jc w:val="right"/>
              <w:rPr>
                <w:color w:val="000000" w:themeColor="text1"/>
                <w:szCs w:val="14"/>
              </w:rPr>
            </w:pPr>
            <w:r>
              <w:t>–</w:t>
            </w:r>
          </w:p>
        </w:tc>
        <w:tc>
          <w:tcPr>
            <w:tcW w:w="1105" w:type="dxa"/>
            <w:tcBorders>
              <w:top w:val="single" w:sz="4" w:space="0" w:color="000000"/>
            </w:tcBorders>
          </w:tcPr>
          <w:p w14:paraId="7A2D6988" w14:textId="77777777" w:rsidR="006E5ED2" w:rsidRPr="00297986" w:rsidRDefault="006E5ED2" w:rsidP="00D46588">
            <w:pPr>
              <w:pStyle w:val="TableText"/>
              <w:jc w:val="right"/>
              <w:rPr>
                <w:color w:val="000000" w:themeColor="text1"/>
                <w:szCs w:val="14"/>
              </w:rPr>
            </w:pPr>
            <w:r>
              <w:t>–</w:t>
            </w:r>
          </w:p>
        </w:tc>
        <w:tc>
          <w:tcPr>
            <w:tcW w:w="785" w:type="dxa"/>
            <w:tcBorders>
              <w:top w:val="single" w:sz="4" w:space="0" w:color="000000"/>
            </w:tcBorders>
          </w:tcPr>
          <w:p w14:paraId="3B368E54" w14:textId="77777777" w:rsidR="006E5ED2" w:rsidRPr="00297986" w:rsidRDefault="006E5ED2" w:rsidP="00D46588">
            <w:pPr>
              <w:pStyle w:val="TableText"/>
              <w:jc w:val="right"/>
              <w:rPr>
                <w:color w:val="000000" w:themeColor="text1"/>
                <w:szCs w:val="14"/>
              </w:rPr>
            </w:pPr>
            <w:r w:rsidRPr="00E603D7">
              <w:t>#</w:t>
            </w:r>
          </w:p>
        </w:tc>
        <w:tc>
          <w:tcPr>
            <w:tcW w:w="900" w:type="dxa"/>
            <w:tcBorders>
              <w:top w:val="single" w:sz="4" w:space="0" w:color="000000"/>
            </w:tcBorders>
          </w:tcPr>
          <w:p w14:paraId="36FEF32D" w14:textId="77777777" w:rsidR="006E5ED2" w:rsidRPr="00297986" w:rsidRDefault="006E5ED2" w:rsidP="00D46588">
            <w:pPr>
              <w:pStyle w:val="TableText"/>
              <w:jc w:val="right"/>
              <w:rPr>
                <w:color w:val="000000" w:themeColor="text1"/>
                <w:szCs w:val="14"/>
              </w:rPr>
            </w:pPr>
            <w:r>
              <w:t>–</w:t>
            </w:r>
          </w:p>
        </w:tc>
        <w:tc>
          <w:tcPr>
            <w:tcW w:w="1087" w:type="dxa"/>
            <w:tcBorders>
              <w:top w:val="single" w:sz="4" w:space="0" w:color="000000"/>
            </w:tcBorders>
          </w:tcPr>
          <w:p w14:paraId="6DC3C3D6" w14:textId="77777777" w:rsidR="006E5ED2" w:rsidRPr="00297986" w:rsidRDefault="006E5ED2" w:rsidP="00D46588">
            <w:pPr>
              <w:pStyle w:val="TableText"/>
              <w:jc w:val="right"/>
              <w:rPr>
                <w:color w:val="000000" w:themeColor="text1"/>
                <w:szCs w:val="14"/>
              </w:rPr>
            </w:pPr>
            <w:r>
              <w:t>–</w:t>
            </w:r>
          </w:p>
        </w:tc>
      </w:tr>
      <w:tr w:rsidR="006E5ED2" w:rsidRPr="00285A26" w14:paraId="405102CF" w14:textId="77777777" w:rsidTr="001F3BA4">
        <w:trPr>
          <w:cantSplit/>
        </w:trPr>
        <w:tc>
          <w:tcPr>
            <w:tcW w:w="1772" w:type="dxa"/>
          </w:tcPr>
          <w:p w14:paraId="5AD03F8B" w14:textId="77777777" w:rsidR="006E5ED2" w:rsidRPr="00285A26" w:rsidRDefault="006E5ED2" w:rsidP="00D46588">
            <w:pPr>
              <w:pStyle w:val="TableText"/>
            </w:pPr>
            <w:r w:rsidRPr="00285A26">
              <w:t>Made it a little worse</w:t>
            </w:r>
          </w:p>
        </w:tc>
        <w:tc>
          <w:tcPr>
            <w:tcW w:w="766" w:type="dxa"/>
          </w:tcPr>
          <w:p w14:paraId="02229D67" w14:textId="77777777" w:rsidR="006E5ED2" w:rsidRPr="00285A26" w:rsidRDefault="006E5ED2" w:rsidP="00D46588">
            <w:pPr>
              <w:pStyle w:val="TableText"/>
              <w:jc w:val="right"/>
              <w:rPr>
                <w:color w:val="000000" w:themeColor="text1"/>
              </w:rPr>
            </w:pPr>
            <w:r w:rsidRPr="00285A26">
              <w:t>14</w:t>
            </w:r>
          </w:p>
        </w:tc>
        <w:tc>
          <w:tcPr>
            <w:tcW w:w="900" w:type="dxa"/>
          </w:tcPr>
          <w:p w14:paraId="04FD2D19" w14:textId="77777777" w:rsidR="006E5ED2" w:rsidRPr="00285A26" w:rsidRDefault="006E5ED2" w:rsidP="00D46588">
            <w:pPr>
              <w:pStyle w:val="TableText"/>
              <w:jc w:val="right"/>
              <w:rPr>
                <w:color w:val="000000" w:themeColor="text1"/>
              </w:rPr>
            </w:pPr>
            <w:r w:rsidRPr="00285A26">
              <w:t>96</w:t>
            </w:r>
          </w:p>
        </w:tc>
        <w:tc>
          <w:tcPr>
            <w:tcW w:w="1105" w:type="dxa"/>
          </w:tcPr>
          <w:p w14:paraId="7FB7BFCB" w14:textId="77777777" w:rsidR="006E5ED2" w:rsidRPr="00285A26" w:rsidRDefault="006E5ED2" w:rsidP="00D46588">
            <w:pPr>
              <w:pStyle w:val="TableText"/>
              <w:jc w:val="right"/>
              <w:rPr>
                <w:color w:val="000000" w:themeColor="text1"/>
              </w:rPr>
            </w:pPr>
            <w:r w:rsidRPr="00285A26">
              <w:t>1.6 (0.8,</w:t>
            </w:r>
            <w:r>
              <w:t xml:space="preserve"> </w:t>
            </w:r>
            <w:r w:rsidRPr="00285A26">
              <w:t>2.9)</w:t>
            </w:r>
          </w:p>
        </w:tc>
        <w:tc>
          <w:tcPr>
            <w:tcW w:w="785" w:type="dxa"/>
          </w:tcPr>
          <w:p w14:paraId="4745C9EB" w14:textId="77777777" w:rsidR="006E5ED2" w:rsidRPr="00285A26" w:rsidRDefault="006E5ED2" w:rsidP="00D46588">
            <w:pPr>
              <w:pStyle w:val="TableText"/>
              <w:jc w:val="right"/>
              <w:rPr>
                <w:color w:val="000000" w:themeColor="text1"/>
              </w:rPr>
            </w:pPr>
            <w:r w:rsidRPr="00285A26">
              <w:t>15</w:t>
            </w:r>
          </w:p>
        </w:tc>
        <w:tc>
          <w:tcPr>
            <w:tcW w:w="900" w:type="dxa"/>
          </w:tcPr>
          <w:p w14:paraId="5B601EC0" w14:textId="77777777" w:rsidR="006E5ED2" w:rsidRPr="00285A26" w:rsidRDefault="006E5ED2" w:rsidP="00D46588">
            <w:pPr>
              <w:pStyle w:val="TableText"/>
              <w:jc w:val="right"/>
              <w:rPr>
                <w:color w:val="000000" w:themeColor="text1"/>
              </w:rPr>
            </w:pPr>
            <w:r w:rsidRPr="00285A26">
              <w:t>75</w:t>
            </w:r>
          </w:p>
        </w:tc>
        <w:tc>
          <w:tcPr>
            <w:tcW w:w="1087" w:type="dxa"/>
          </w:tcPr>
          <w:p w14:paraId="1188988D" w14:textId="77777777" w:rsidR="006E5ED2" w:rsidRPr="00285A26" w:rsidRDefault="006E5ED2" w:rsidP="00D46588">
            <w:pPr>
              <w:pStyle w:val="TableText"/>
              <w:jc w:val="right"/>
              <w:rPr>
                <w:color w:val="000000" w:themeColor="text1"/>
              </w:rPr>
            </w:pPr>
            <w:r w:rsidRPr="00285A26">
              <w:t>0.8 (0.4,</w:t>
            </w:r>
            <w:r>
              <w:t xml:space="preserve"> </w:t>
            </w:r>
            <w:r w:rsidRPr="00285A26">
              <w:t>1.6)</w:t>
            </w:r>
          </w:p>
        </w:tc>
      </w:tr>
      <w:tr w:rsidR="006E5ED2" w:rsidRPr="00285A26" w14:paraId="13758E98"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1772" w:type="dxa"/>
          </w:tcPr>
          <w:p w14:paraId="7EE591C4" w14:textId="77777777" w:rsidR="006E5ED2" w:rsidRPr="00285A26" w:rsidRDefault="006E5ED2" w:rsidP="00D46588">
            <w:pPr>
              <w:pStyle w:val="TableText"/>
            </w:pPr>
            <w:r w:rsidRPr="00285A26">
              <w:t>Neither</w:t>
            </w:r>
          </w:p>
        </w:tc>
        <w:tc>
          <w:tcPr>
            <w:tcW w:w="766" w:type="dxa"/>
          </w:tcPr>
          <w:p w14:paraId="481612D9" w14:textId="77777777" w:rsidR="006E5ED2" w:rsidRPr="00285A26" w:rsidRDefault="006E5ED2" w:rsidP="00D46588">
            <w:pPr>
              <w:pStyle w:val="TableText"/>
              <w:jc w:val="right"/>
              <w:rPr>
                <w:color w:val="000000" w:themeColor="text1"/>
              </w:rPr>
            </w:pPr>
            <w:r w:rsidRPr="00285A26">
              <w:t>343</w:t>
            </w:r>
          </w:p>
        </w:tc>
        <w:tc>
          <w:tcPr>
            <w:tcW w:w="900" w:type="dxa"/>
          </w:tcPr>
          <w:p w14:paraId="11DDF869" w14:textId="77777777" w:rsidR="006E5ED2" w:rsidRPr="00285A26" w:rsidRDefault="006E5ED2" w:rsidP="00D46588">
            <w:pPr>
              <w:pStyle w:val="TableText"/>
              <w:jc w:val="right"/>
              <w:rPr>
                <w:color w:val="000000" w:themeColor="text1"/>
              </w:rPr>
            </w:pPr>
            <w:r w:rsidRPr="00285A26">
              <w:t>2669</w:t>
            </w:r>
          </w:p>
        </w:tc>
        <w:tc>
          <w:tcPr>
            <w:tcW w:w="1105" w:type="dxa"/>
          </w:tcPr>
          <w:p w14:paraId="0B8F8500" w14:textId="77777777" w:rsidR="006E5ED2" w:rsidRPr="00285A26" w:rsidRDefault="006E5ED2" w:rsidP="00D46588">
            <w:pPr>
              <w:pStyle w:val="TableText"/>
              <w:jc w:val="right"/>
              <w:rPr>
                <w:color w:val="000000" w:themeColor="text1"/>
              </w:rPr>
            </w:pPr>
            <w:r w:rsidRPr="00285A26">
              <w:t>43.6 (39.4,</w:t>
            </w:r>
            <w:r>
              <w:t xml:space="preserve"> </w:t>
            </w:r>
            <w:r w:rsidRPr="00285A26">
              <w:t>47.9)</w:t>
            </w:r>
          </w:p>
        </w:tc>
        <w:tc>
          <w:tcPr>
            <w:tcW w:w="785" w:type="dxa"/>
          </w:tcPr>
          <w:p w14:paraId="1BEE14F6" w14:textId="77777777" w:rsidR="006E5ED2" w:rsidRPr="00285A26" w:rsidRDefault="006E5ED2" w:rsidP="00D46588">
            <w:pPr>
              <w:pStyle w:val="TableText"/>
              <w:jc w:val="right"/>
              <w:rPr>
                <w:color w:val="000000" w:themeColor="text1"/>
              </w:rPr>
            </w:pPr>
            <w:r w:rsidRPr="00285A26">
              <w:t>505</w:t>
            </w:r>
          </w:p>
        </w:tc>
        <w:tc>
          <w:tcPr>
            <w:tcW w:w="900" w:type="dxa"/>
          </w:tcPr>
          <w:p w14:paraId="17A6F18B" w14:textId="77777777" w:rsidR="006E5ED2" w:rsidRPr="00285A26" w:rsidRDefault="006E5ED2" w:rsidP="00D46588">
            <w:pPr>
              <w:pStyle w:val="TableText"/>
              <w:jc w:val="right"/>
              <w:rPr>
                <w:color w:val="000000" w:themeColor="text1"/>
              </w:rPr>
            </w:pPr>
            <w:r w:rsidRPr="00285A26">
              <w:t>3173</w:t>
            </w:r>
          </w:p>
        </w:tc>
        <w:tc>
          <w:tcPr>
            <w:tcW w:w="1087" w:type="dxa"/>
          </w:tcPr>
          <w:p w14:paraId="7A8D229B" w14:textId="77777777" w:rsidR="006E5ED2" w:rsidRPr="00285A26" w:rsidRDefault="006E5ED2" w:rsidP="00D46588">
            <w:pPr>
              <w:pStyle w:val="TableText"/>
              <w:jc w:val="right"/>
              <w:rPr>
                <w:color w:val="000000" w:themeColor="text1"/>
              </w:rPr>
            </w:pPr>
            <w:r w:rsidRPr="00285A26">
              <w:t>35.1 (26.5,</w:t>
            </w:r>
            <w:r>
              <w:t xml:space="preserve"> </w:t>
            </w:r>
            <w:r w:rsidRPr="00285A26">
              <w:t>44.8)</w:t>
            </w:r>
          </w:p>
        </w:tc>
      </w:tr>
      <w:tr w:rsidR="006E5ED2" w:rsidRPr="00285A26" w14:paraId="5A2BC8C8" w14:textId="77777777" w:rsidTr="001F3BA4">
        <w:trPr>
          <w:cantSplit/>
        </w:trPr>
        <w:tc>
          <w:tcPr>
            <w:tcW w:w="1772" w:type="dxa"/>
          </w:tcPr>
          <w:p w14:paraId="1FEC217B" w14:textId="77777777" w:rsidR="006E5ED2" w:rsidRPr="00285A26" w:rsidRDefault="006E5ED2" w:rsidP="00D46588">
            <w:pPr>
              <w:pStyle w:val="TableText"/>
            </w:pPr>
            <w:r w:rsidRPr="00285A26">
              <w:t>Helped a little</w:t>
            </w:r>
          </w:p>
        </w:tc>
        <w:tc>
          <w:tcPr>
            <w:tcW w:w="766" w:type="dxa"/>
          </w:tcPr>
          <w:p w14:paraId="40CD315E" w14:textId="77777777" w:rsidR="006E5ED2" w:rsidRPr="00285A26" w:rsidRDefault="006E5ED2" w:rsidP="00D46588">
            <w:pPr>
              <w:pStyle w:val="TableText"/>
              <w:jc w:val="right"/>
              <w:rPr>
                <w:color w:val="000000" w:themeColor="text1"/>
              </w:rPr>
            </w:pPr>
            <w:r w:rsidRPr="00285A26">
              <w:t>418</w:t>
            </w:r>
          </w:p>
        </w:tc>
        <w:tc>
          <w:tcPr>
            <w:tcW w:w="900" w:type="dxa"/>
          </w:tcPr>
          <w:p w14:paraId="1AEBBA25" w14:textId="77777777" w:rsidR="006E5ED2" w:rsidRPr="00285A26" w:rsidRDefault="006E5ED2" w:rsidP="00D46588">
            <w:pPr>
              <w:pStyle w:val="TableText"/>
              <w:jc w:val="right"/>
              <w:rPr>
                <w:color w:val="000000" w:themeColor="text1"/>
              </w:rPr>
            </w:pPr>
            <w:r w:rsidRPr="00285A26">
              <w:t>2755</w:t>
            </w:r>
          </w:p>
        </w:tc>
        <w:tc>
          <w:tcPr>
            <w:tcW w:w="1105" w:type="dxa"/>
          </w:tcPr>
          <w:p w14:paraId="6050CC7F" w14:textId="77777777" w:rsidR="006E5ED2" w:rsidRPr="00285A26" w:rsidRDefault="006E5ED2" w:rsidP="00D46588">
            <w:pPr>
              <w:pStyle w:val="TableText"/>
              <w:jc w:val="right"/>
              <w:rPr>
                <w:color w:val="000000" w:themeColor="text1"/>
              </w:rPr>
            </w:pPr>
            <w:r w:rsidRPr="00285A26">
              <w:t>45.0 (40.9,</w:t>
            </w:r>
            <w:r>
              <w:t xml:space="preserve"> </w:t>
            </w:r>
            <w:r w:rsidRPr="00285A26">
              <w:t>49.3)</w:t>
            </w:r>
          </w:p>
        </w:tc>
        <w:tc>
          <w:tcPr>
            <w:tcW w:w="785" w:type="dxa"/>
          </w:tcPr>
          <w:p w14:paraId="16C200AD" w14:textId="77777777" w:rsidR="006E5ED2" w:rsidRPr="00285A26" w:rsidRDefault="006E5ED2" w:rsidP="00D46588">
            <w:pPr>
              <w:pStyle w:val="TableText"/>
              <w:jc w:val="right"/>
              <w:rPr>
                <w:color w:val="000000" w:themeColor="text1"/>
              </w:rPr>
            </w:pPr>
            <w:r w:rsidRPr="00285A26">
              <w:t>784</w:t>
            </w:r>
          </w:p>
        </w:tc>
        <w:tc>
          <w:tcPr>
            <w:tcW w:w="900" w:type="dxa"/>
          </w:tcPr>
          <w:p w14:paraId="2BA0ACD7" w14:textId="77777777" w:rsidR="006E5ED2" w:rsidRPr="00285A26" w:rsidRDefault="006E5ED2" w:rsidP="00D46588">
            <w:pPr>
              <w:pStyle w:val="TableText"/>
              <w:jc w:val="right"/>
              <w:rPr>
                <w:color w:val="000000" w:themeColor="text1"/>
              </w:rPr>
            </w:pPr>
            <w:r w:rsidRPr="00285A26">
              <w:t>4909</w:t>
            </w:r>
          </w:p>
        </w:tc>
        <w:tc>
          <w:tcPr>
            <w:tcW w:w="1087" w:type="dxa"/>
          </w:tcPr>
          <w:p w14:paraId="4E136C3A" w14:textId="77777777" w:rsidR="006E5ED2" w:rsidRPr="00285A26" w:rsidRDefault="006E5ED2" w:rsidP="00D46588">
            <w:pPr>
              <w:pStyle w:val="TableText"/>
              <w:jc w:val="right"/>
              <w:rPr>
                <w:color w:val="000000" w:themeColor="text1"/>
              </w:rPr>
            </w:pPr>
            <w:r w:rsidRPr="00285A26">
              <w:t>54.3 (44.7,</w:t>
            </w:r>
            <w:r>
              <w:t xml:space="preserve"> </w:t>
            </w:r>
            <w:r w:rsidRPr="00285A26">
              <w:t>63.6)</w:t>
            </w:r>
          </w:p>
        </w:tc>
      </w:tr>
      <w:tr w:rsidR="006E5ED2" w:rsidRPr="00285A26" w14:paraId="5280A5A5"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1772" w:type="dxa"/>
            <w:tcBorders>
              <w:bottom w:val="single" w:sz="4" w:space="0" w:color="000000"/>
            </w:tcBorders>
          </w:tcPr>
          <w:p w14:paraId="5CC28715" w14:textId="77777777" w:rsidR="006E5ED2" w:rsidRPr="00285A26" w:rsidRDefault="006E5ED2" w:rsidP="00D46588">
            <w:pPr>
              <w:pStyle w:val="TableText"/>
            </w:pPr>
            <w:r w:rsidRPr="00285A26">
              <w:t>Helped a lot</w:t>
            </w:r>
          </w:p>
        </w:tc>
        <w:tc>
          <w:tcPr>
            <w:tcW w:w="766" w:type="dxa"/>
            <w:tcBorders>
              <w:bottom w:val="single" w:sz="4" w:space="0" w:color="000000"/>
            </w:tcBorders>
          </w:tcPr>
          <w:p w14:paraId="2DC51615" w14:textId="77777777" w:rsidR="006E5ED2" w:rsidRPr="00285A26" w:rsidRDefault="006E5ED2" w:rsidP="00D46588">
            <w:pPr>
              <w:pStyle w:val="TableText"/>
              <w:jc w:val="right"/>
              <w:rPr>
                <w:color w:val="000000" w:themeColor="text1"/>
              </w:rPr>
            </w:pPr>
            <w:r w:rsidRPr="00285A26">
              <w:t>63</w:t>
            </w:r>
          </w:p>
        </w:tc>
        <w:tc>
          <w:tcPr>
            <w:tcW w:w="900" w:type="dxa"/>
            <w:tcBorders>
              <w:bottom w:val="single" w:sz="4" w:space="0" w:color="000000"/>
            </w:tcBorders>
          </w:tcPr>
          <w:p w14:paraId="7CECFB37" w14:textId="77777777" w:rsidR="006E5ED2" w:rsidRPr="00285A26" w:rsidRDefault="006E5ED2" w:rsidP="00D46588">
            <w:pPr>
              <w:pStyle w:val="TableText"/>
              <w:jc w:val="right"/>
              <w:rPr>
                <w:color w:val="000000" w:themeColor="text1"/>
              </w:rPr>
            </w:pPr>
            <w:r w:rsidRPr="00285A26">
              <w:t>442</w:t>
            </w:r>
          </w:p>
        </w:tc>
        <w:tc>
          <w:tcPr>
            <w:tcW w:w="1105" w:type="dxa"/>
            <w:tcBorders>
              <w:bottom w:val="single" w:sz="4" w:space="0" w:color="000000"/>
            </w:tcBorders>
          </w:tcPr>
          <w:p w14:paraId="2A6E7A26" w14:textId="77777777" w:rsidR="006E5ED2" w:rsidRPr="00285A26" w:rsidRDefault="006E5ED2" w:rsidP="00D46588">
            <w:pPr>
              <w:pStyle w:val="TableText"/>
              <w:jc w:val="right"/>
              <w:rPr>
                <w:color w:val="000000" w:themeColor="text1"/>
              </w:rPr>
            </w:pPr>
            <w:r w:rsidRPr="00285A26">
              <w:t>7.2 (5.3,</w:t>
            </w:r>
            <w:r>
              <w:t xml:space="preserve"> </w:t>
            </w:r>
            <w:r w:rsidRPr="00285A26">
              <w:t>9.7)</w:t>
            </w:r>
          </w:p>
        </w:tc>
        <w:tc>
          <w:tcPr>
            <w:tcW w:w="785" w:type="dxa"/>
            <w:tcBorders>
              <w:bottom w:val="single" w:sz="4" w:space="0" w:color="000000"/>
            </w:tcBorders>
          </w:tcPr>
          <w:p w14:paraId="6B50BF5F" w14:textId="77777777" w:rsidR="006E5ED2" w:rsidRPr="00285A26" w:rsidRDefault="006E5ED2" w:rsidP="00D46588">
            <w:pPr>
              <w:pStyle w:val="TableText"/>
              <w:jc w:val="right"/>
              <w:rPr>
                <w:color w:val="000000" w:themeColor="text1"/>
              </w:rPr>
            </w:pPr>
            <w:r w:rsidRPr="00285A26">
              <w:t>101</w:t>
            </w:r>
          </w:p>
        </w:tc>
        <w:tc>
          <w:tcPr>
            <w:tcW w:w="900" w:type="dxa"/>
            <w:tcBorders>
              <w:bottom w:val="single" w:sz="4" w:space="0" w:color="000000"/>
            </w:tcBorders>
          </w:tcPr>
          <w:p w14:paraId="13CA88DD" w14:textId="77777777" w:rsidR="006E5ED2" w:rsidRPr="00285A26" w:rsidRDefault="006E5ED2" w:rsidP="00D46588">
            <w:pPr>
              <w:pStyle w:val="TableText"/>
              <w:jc w:val="right"/>
              <w:rPr>
                <w:color w:val="000000" w:themeColor="text1"/>
              </w:rPr>
            </w:pPr>
            <w:r w:rsidRPr="00285A26">
              <w:t>736</w:t>
            </w:r>
          </w:p>
        </w:tc>
        <w:tc>
          <w:tcPr>
            <w:tcW w:w="1087" w:type="dxa"/>
            <w:tcBorders>
              <w:bottom w:val="single" w:sz="4" w:space="0" w:color="000000"/>
            </w:tcBorders>
          </w:tcPr>
          <w:p w14:paraId="5BF148BF" w14:textId="77777777" w:rsidR="006E5ED2" w:rsidRPr="00285A26" w:rsidRDefault="006E5ED2" w:rsidP="00D46588">
            <w:pPr>
              <w:pStyle w:val="TableText"/>
              <w:jc w:val="right"/>
              <w:rPr>
                <w:color w:val="000000" w:themeColor="text1"/>
              </w:rPr>
            </w:pPr>
            <w:r w:rsidRPr="00285A26">
              <w:t>8.1 (4.4,</w:t>
            </w:r>
            <w:r>
              <w:t xml:space="preserve"> </w:t>
            </w:r>
            <w:r w:rsidRPr="00285A26">
              <w:t>14.5)</w:t>
            </w:r>
          </w:p>
        </w:tc>
      </w:tr>
      <w:tr w:rsidR="006E5ED2" w:rsidRPr="00285A26" w14:paraId="77D279DC" w14:textId="77777777" w:rsidTr="001F3BA4">
        <w:trPr>
          <w:cantSplit/>
        </w:trPr>
        <w:tc>
          <w:tcPr>
            <w:tcW w:w="1772" w:type="dxa"/>
            <w:tcBorders>
              <w:top w:val="single" w:sz="4" w:space="0" w:color="000000"/>
              <w:bottom w:val="nil"/>
            </w:tcBorders>
          </w:tcPr>
          <w:p w14:paraId="2C5F981D" w14:textId="77777777" w:rsidR="006E5ED2" w:rsidRPr="004565F5" w:rsidRDefault="006E5ED2" w:rsidP="00D46588">
            <w:pPr>
              <w:pStyle w:val="TableText"/>
              <w:rPr>
                <w:b/>
              </w:rPr>
            </w:pPr>
            <w:r>
              <w:rPr>
                <w:b/>
              </w:rPr>
              <w:t>Collapsed grouping</w:t>
            </w:r>
          </w:p>
        </w:tc>
        <w:tc>
          <w:tcPr>
            <w:tcW w:w="766" w:type="dxa"/>
            <w:tcBorders>
              <w:top w:val="single" w:sz="4" w:space="0" w:color="000000"/>
              <w:bottom w:val="nil"/>
            </w:tcBorders>
          </w:tcPr>
          <w:p w14:paraId="6A5B5CF6" w14:textId="77777777" w:rsidR="006E5ED2" w:rsidRPr="00285A26" w:rsidRDefault="006E5ED2" w:rsidP="00D46588">
            <w:pPr>
              <w:pStyle w:val="TableText"/>
              <w:jc w:val="right"/>
              <w:rPr>
                <w:color w:val="000000" w:themeColor="text1"/>
              </w:rPr>
            </w:pPr>
          </w:p>
        </w:tc>
        <w:tc>
          <w:tcPr>
            <w:tcW w:w="900" w:type="dxa"/>
            <w:tcBorders>
              <w:top w:val="single" w:sz="4" w:space="0" w:color="000000"/>
              <w:bottom w:val="nil"/>
            </w:tcBorders>
          </w:tcPr>
          <w:p w14:paraId="4E0A2DB2" w14:textId="77777777" w:rsidR="006E5ED2" w:rsidRPr="00285A26" w:rsidRDefault="006E5ED2" w:rsidP="00D46588">
            <w:pPr>
              <w:pStyle w:val="TableText"/>
              <w:jc w:val="right"/>
              <w:rPr>
                <w:color w:val="000000" w:themeColor="text1"/>
              </w:rPr>
            </w:pPr>
          </w:p>
        </w:tc>
        <w:tc>
          <w:tcPr>
            <w:tcW w:w="1105" w:type="dxa"/>
            <w:tcBorders>
              <w:top w:val="single" w:sz="4" w:space="0" w:color="000000"/>
              <w:bottom w:val="nil"/>
            </w:tcBorders>
          </w:tcPr>
          <w:p w14:paraId="7787E7D1" w14:textId="77777777" w:rsidR="006E5ED2" w:rsidRPr="00285A26" w:rsidRDefault="006E5ED2" w:rsidP="00D46588">
            <w:pPr>
              <w:pStyle w:val="TableText"/>
              <w:jc w:val="right"/>
              <w:rPr>
                <w:color w:val="000000" w:themeColor="text1"/>
              </w:rPr>
            </w:pPr>
          </w:p>
        </w:tc>
        <w:tc>
          <w:tcPr>
            <w:tcW w:w="785" w:type="dxa"/>
            <w:tcBorders>
              <w:top w:val="single" w:sz="4" w:space="0" w:color="000000"/>
              <w:bottom w:val="nil"/>
            </w:tcBorders>
          </w:tcPr>
          <w:p w14:paraId="33D53B2E" w14:textId="77777777" w:rsidR="006E5ED2" w:rsidRPr="00285A26" w:rsidRDefault="006E5ED2" w:rsidP="00D46588">
            <w:pPr>
              <w:pStyle w:val="TableText"/>
              <w:jc w:val="right"/>
              <w:rPr>
                <w:color w:val="000000" w:themeColor="text1"/>
              </w:rPr>
            </w:pPr>
          </w:p>
        </w:tc>
        <w:tc>
          <w:tcPr>
            <w:tcW w:w="900" w:type="dxa"/>
            <w:tcBorders>
              <w:top w:val="single" w:sz="4" w:space="0" w:color="000000"/>
              <w:bottom w:val="nil"/>
            </w:tcBorders>
          </w:tcPr>
          <w:p w14:paraId="164C301A" w14:textId="77777777" w:rsidR="006E5ED2" w:rsidRPr="00285A26" w:rsidRDefault="006E5ED2" w:rsidP="00D46588">
            <w:pPr>
              <w:pStyle w:val="TableText"/>
              <w:jc w:val="right"/>
              <w:rPr>
                <w:color w:val="000000" w:themeColor="text1"/>
              </w:rPr>
            </w:pPr>
          </w:p>
        </w:tc>
        <w:tc>
          <w:tcPr>
            <w:tcW w:w="1087" w:type="dxa"/>
            <w:tcBorders>
              <w:top w:val="single" w:sz="4" w:space="0" w:color="000000"/>
              <w:bottom w:val="nil"/>
            </w:tcBorders>
          </w:tcPr>
          <w:p w14:paraId="03DE0780" w14:textId="77777777" w:rsidR="006E5ED2" w:rsidRPr="00285A26" w:rsidRDefault="006E5ED2" w:rsidP="00D46588">
            <w:pPr>
              <w:pStyle w:val="TableText"/>
              <w:jc w:val="right"/>
              <w:rPr>
                <w:color w:val="000000" w:themeColor="text1"/>
              </w:rPr>
            </w:pPr>
          </w:p>
        </w:tc>
      </w:tr>
      <w:tr w:rsidR="006E5ED2" w:rsidRPr="00285A26" w14:paraId="52D22356"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1772" w:type="dxa"/>
            <w:tcBorders>
              <w:top w:val="nil"/>
            </w:tcBorders>
          </w:tcPr>
          <w:p w14:paraId="6099EE3F" w14:textId="77777777" w:rsidR="006E5ED2" w:rsidRPr="00285A26" w:rsidRDefault="006E5ED2" w:rsidP="00D46588">
            <w:pPr>
              <w:pStyle w:val="TableText"/>
            </w:pPr>
            <w:r>
              <w:t>Made it worse</w:t>
            </w:r>
          </w:p>
        </w:tc>
        <w:tc>
          <w:tcPr>
            <w:tcW w:w="766" w:type="dxa"/>
            <w:tcBorders>
              <w:top w:val="nil"/>
            </w:tcBorders>
          </w:tcPr>
          <w:p w14:paraId="0C55D483" w14:textId="77777777" w:rsidR="006E5ED2" w:rsidRPr="00285A26" w:rsidRDefault="006E5ED2" w:rsidP="00D46588">
            <w:pPr>
              <w:pStyle w:val="TableText"/>
              <w:jc w:val="right"/>
              <w:rPr>
                <w:color w:val="000000" w:themeColor="text1"/>
              </w:rPr>
            </w:pPr>
            <w:r w:rsidRPr="00285A26">
              <w:t>15</w:t>
            </w:r>
          </w:p>
        </w:tc>
        <w:tc>
          <w:tcPr>
            <w:tcW w:w="900" w:type="dxa"/>
            <w:tcBorders>
              <w:top w:val="nil"/>
            </w:tcBorders>
          </w:tcPr>
          <w:p w14:paraId="53C64F19" w14:textId="77777777" w:rsidR="006E5ED2" w:rsidRPr="00285A26" w:rsidRDefault="006E5ED2" w:rsidP="00D46588">
            <w:pPr>
              <w:pStyle w:val="TableText"/>
              <w:jc w:val="right"/>
              <w:rPr>
                <w:color w:val="000000" w:themeColor="text1"/>
              </w:rPr>
            </w:pPr>
            <w:r w:rsidRPr="00285A26">
              <w:t>99</w:t>
            </w:r>
          </w:p>
        </w:tc>
        <w:tc>
          <w:tcPr>
            <w:tcW w:w="1105" w:type="dxa"/>
            <w:tcBorders>
              <w:top w:val="nil"/>
            </w:tcBorders>
          </w:tcPr>
          <w:p w14:paraId="79D5640B" w14:textId="77777777" w:rsidR="006E5ED2" w:rsidRPr="00285A26" w:rsidRDefault="006E5ED2" w:rsidP="00D46588">
            <w:pPr>
              <w:pStyle w:val="TableText"/>
              <w:jc w:val="right"/>
              <w:rPr>
                <w:color w:val="000000" w:themeColor="text1"/>
              </w:rPr>
            </w:pPr>
            <w:r w:rsidRPr="00285A26">
              <w:t>1.6 (0.9,</w:t>
            </w:r>
            <w:r>
              <w:t xml:space="preserve"> </w:t>
            </w:r>
            <w:r w:rsidRPr="00285A26">
              <w:t>3.0)</w:t>
            </w:r>
          </w:p>
        </w:tc>
        <w:tc>
          <w:tcPr>
            <w:tcW w:w="785" w:type="dxa"/>
            <w:tcBorders>
              <w:top w:val="nil"/>
            </w:tcBorders>
          </w:tcPr>
          <w:p w14:paraId="0A6C04C4" w14:textId="77777777" w:rsidR="006E5ED2" w:rsidRPr="00285A26" w:rsidRDefault="006E5ED2" w:rsidP="00D46588">
            <w:pPr>
              <w:pStyle w:val="TableText"/>
              <w:jc w:val="right"/>
              <w:rPr>
                <w:color w:val="000000" w:themeColor="text1"/>
              </w:rPr>
            </w:pPr>
            <w:r w:rsidRPr="00285A26">
              <w:t>18</w:t>
            </w:r>
          </w:p>
        </w:tc>
        <w:tc>
          <w:tcPr>
            <w:tcW w:w="900" w:type="dxa"/>
            <w:tcBorders>
              <w:top w:val="nil"/>
            </w:tcBorders>
          </w:tcPr>
          <w:p w14:paraId="6CFF95F6" w14:textId="77777777" w:rsidR="006E5ED2" w:rsidRPr="00285A26" w:rsidRDefault="006E5ED2" w:rsidP="00D46588">
            <w:pPr>
              <w:pStyle w:val="TableText"/>
              <w:jc w:val="right"/>
              <w:rPr>
                <w:color w:val="000000" w:themeColor="text1"/>
              </w:rPr>
            </w:pPr>
            <w:r w:rsidRPr="00285A26">
              <w:t>82</w:t>
            </w:r>
          </w:p>
        </w:tc>
        <w:tc>
          <w:tcPr>
            <w:tcW w:w="1087" w:type="dxa"/>
            <w:tcBorders>
              <w:top w:val="nil"/>
            </w:tcBorders>
          </w:tcPr>
          <w:p w14:paraId="2428F881" w14:textId="77777777" w:rsidR="006E5ED2" w:rsidRPr="00285A26" w:rsidRDefault="006E5ED2" w:rsidP="00D46588">
            <w:pPr>
              <w:pStyle w:val="TableText"/>
              <w:jc w:val="right"/>
              <w:rPr>
                <w:color w:val="000000" w:themeColor="text1"/>
              </w:rPr>
            </w:pPr>
            <w:r w:rsidRPr="00285A26">
              <w:t>0.9 (0.5,</w:t>
            </w:r>
            <w:r>
              <w:t xml:space="preserve"> </w:t>
            </w:r>
            <w:r w:rsidRPr="00285A26">
              <w:t>1.7)</w:t>
            </w:r>
          </w:p>
        </w:tc>
      </w:tr>
      <w:tr w:rsidR="006E5ED2" w:rsidRPr="00285A26" w14:paraId="653D6B0D" w14:textId="77777777" w:rsidTr="001F3BA4">
        <w:trPr>
          <w:cantSplit/>
        </w:trPr>
        <w:tc>
          <w:tcPr>
            <w:tcW w:w="1772" w:type="dxa"/>
          </w:tcPr>
          <w:p w14:paraId="62A2761A" w14:textId="77777777" w:rsidR="006E5ED2" w:rsidRPr="00285A26" w:rsidRDefault="006E5ED2" w:rsidP="00D46588">
            <w:pPr>
              <w:pStyle w:val="TableText"/>
            </w:pPr>
            <w:r w:rsidRPr="00285A26">
              <w:t>Helped</w:t>
            </w:r>
          </w:p>
        </w:tc>
        <w:tc>
          <w:tcPr>
            <w:tcW w:w="766" w:type="dxa"/>
          </w:tcPr>
          <w:p w14:paraId="0D99B7D0" w14:textId="77777777" w:rsidR="006E5ED2" w:rsidRPr="00285A26" w:rsidRDefault="006E5ED2" w:rsidP="00D46588">
            <w:pPr>
              <w:pStyle w:val="TableText"/>
              <w:jc w:val="right"/>
              <w:rPr>
                <w:color w:val="000000" w:themeColor="text1"/>
              </w:rPr>
            </w:pPr>
            <w:r w:rsidRPr="00285A26">
              <w:t>481</w:t>
            </w:r>
          </w:p>
        </w:tc>
        <w:tc>
          <w:tcPr>
            <w:tcW w:w="900" w:type="dxa"/>
          </w:tcPr>
          <w:p w14:paraId="5D2D5D69" w14:textId="77777777" w:rsidR="006E5ED2" w:rsidRPr="00285A26" w:rsidRDefault="006E5ED2" w:rsidP="00D46588">
            <w:pPr>
              <w:pStyle w:val="TableText"/>
              <w:jc w:val="right"/>
              <w:rPr>
                <w:color w:val="000000" w:themeColor="text1"/>
              </w:rPr>
            </w:pPr>
            <w:r w:rsidRPr="00285A26">
              <w:t>3197</w:t>
            </w:r>
          </w:p>
        </w:tc>
        <w:tc>
          <w:tcPr>
            <w:tcW w:w="1105" w:type="dxa"/>
          </w:tcPr>
          <w:p w14:paraId="30655D7C" w14:textId="77777777" w:rsidR="006E5ED2" w:rsidRPr="00285A26" w:rsidRDefault="006E5ED2" w:rsidP="00D46588">
            <w:pPr>
              <w:pStyle w:val="TableText"/>
              <w:jc w:val="right"/>
              <w:rPr>
                <w:color w:val="000000" w:themeColor="text1"/>
              </w:rPr>
            </w:pPr>
            <w:r w:rsidRPr="00285A26">
              <w:t>52.3 (48.0,</w:t>
            </w:r>
            <w:r>
              <w:t xml:space="preserve"> </w:t>
            </w:r>
            <w:r w:rsidRPr="00285A26">
              <w:t>56.5)</w:t>
            </w:r>
          </w:p>
        </w:tc>
        <w:tc>
          <w:tcPr>
            <w:tcW w:w="785" w:type="dxa"/>
          </w:tcPr>
          <w:p w14:paraId="3BC03DCE" w14:textId="77777777" w:rsidR="006E5ED2" w:rsidRPr="00285A26" w:rsidRDefault="006E5ED2" w:rsidP="00D46588">
            <w:pPr>
              <w:pStyle w:val="TableText"/>
              <w:jc w:val="right"/>
              <w:rPr>
                <w:color w:val="000000" w:themeColor="text1"/>
              </w:rPr>
            </w:pPr>
            <w:r w:rsidRPr="00285A26">
              <w:t>885</w:t>
            </w:r>
          </w:p>
        </w:tc>
        <w:tc>
          <w:tcPr>
            <w:tcW w:w="900" w:type="dxa"/>
          </w:tcPr>
          <w:p w14:paraId="590FE6EB" w14:textId="77777777" w:rsidR="006E5ED2" w:rsidRPr="00285A26" w:rsidRDefault="006E5ED2" w:rsidP="00D46588">
            <w:pPr>
              <w:pStyle w:val="TableText"/>
              <w:jc w:val="right"/>
              <w:rPr>
                <w:color w:val="000000" w:themeColor="text1"/>
              </w:rPr>
            </w:pPr>
            <w:r w:rsidRPr="00285A26">
              <w:t>5644</w:t>
            </w:r>
          </w:p>
        </w:tc>
        <w:tc>
          <w:tcPr>
            <w:tcW w:w="1087" w:type="dxa"/>
          </w:tcPr>
          <w:p w14:paraId="521AB277" w14:textId="77777777" w:rsidR="006E5ED2" w:rsidRPr="00285A26" w:rsidRDefault="006E5ED2" w:rsidP="00D46588">
            <w:pPr>
              <w:pStyle w:val="TableText"/>
              <w:jc w:val="right"/>
              <w:rPr>
                <w:color w:val="000000" w:themeColor="text1"/>
              </w:rPr>
            </w:pPr>
            <w:r w:rsidRPr="00285A26">
              <w:t>62.4 (52.8,</w:t>
            </w:r>
            <w:r>
              <w:t xml:space="preserve"> </w:t>
            </w:r>
            <w:r w:rsidRPr="00285A26">
              <w:t>71.1)</w:t>
            </w:r>
          </w:p>
        </w:tc>
      </w:tr>
      <w:tr w:rsidR="006E5ED2" w:rsidRPr="00285A26" w14:paraId="51C1EF12"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1772" w:type="dxa"/>
          </w:tcPr>
          <w:p w14:paraId="0040BA2D" w14:textId="77777777" w:rsidR="006E5ED2" w:rsidRPr="00285A26" w:rsidRDefault="006E5ED2" w:rsidP="00D46588">
            <w:pPr>
              <w:pStyle w:val="TableText"/>
            </w:pPr>
            <w:r w:rsidRPr="00285A26">
              <w:t>Neither</w:t>
            </w:r>
          </w:p>
        </w:tc>
        <w:tc>
          <w:tcPr>
            <w:tcW w:w="766" w:type="dxa"/>
          </w:tcPr>
          <w:p w14:paraId="4E330BC4" w14:textId="77777777" w:rsidR="006E5ED2" w:rsidRPr="00285A26" w:rsidRDefault="006E5ED2" w:rsidP="00D46588">
            <w:pPr>
              <w:pStyle w:val="TableText"/>
              <w:jc w:val="right"/>
              <w:rPr>
                <w:color w:val="000000" w:themeColor="text1"/>
              </w:rPr>
            </w:pPr>
            <w:r w:rsidRPr="00285A26">
              <w:t>343</w:t>
            </w:r>
          </w:p>
        </w:tc>
        <w:tc>
          <w:tcPr>
            <w:tcW w:w="900" w:type="dxa"/>
          </w:tcPr>
          <w:p w14:paraId="1757399F" w14:textId="77777777" w:rsidR="006E5ED2" w:rsidRPr="00285A26" w:rsidRDefault="006E5ED2" w:rsidP="00D46588">
            <w:pPr>
              <w:pStyle w:val="TableText"/>
              <w:jc w:val="right"/>
              <w:rPr>
                <w:color w:val="000000" w:themeColor="text1"/>
              </w:rPr>
            </w:pPr>
            <w:r w:rsidRPr="00285A26">
              <w:t>2669</w:t>
            </w:r>
          </w:p>
        </w:tc>
        <w:tc>
          <w:tcPr>
            <w:tcW w:w="1105" w:type="dxa"/>
          </w:tcPr>
          <w:p w14:paraId="084A3B58" w14:textId="77777777" w:rsidR="006E5ED2" w:rsidRPr="00285A26" w:rsidRDefault="006E5ED2" w:rsidP="00D46588">
            <w:pPr>
              <w:pStyle w:val="TableText"/>
              <w:jc w:val="right"/>
              <w:rPr>
                <w:color w:val="000000" w:themeColor="text1"/>
              </w:rPr>
            </w:pPr>
            <w:r w:rsidRPr="00285A26">
              <w:t>43.6 (39.4,</w:t>
            </w:r>
            <w:r>
              <w:t xml:space="preserve"> </w:t>
            </w:r>
            <w:r w:rsidRPr="00285A26">
              <w:t>47.9)</w:t>
            </w:r>
          </w:p>
        </w:tc>
        <w:tc>
          <w:tcPr>
            <w:tcW w:w="785" w:type="dxa"/>
          </w:tcPr>
          <w:p w14:paraId="22D34363" w14:textId="77777777" w:rsidR="006E5ED2" w:rsidRPr="00285A26" w:rsidRDefault="006E5ED2" w:rsidP="00D46588">
            <w:pPr>
              <w:pStyle w:val="TableText"/>
              <w:jc w:val="right"/>
              <w:rPr>
                <w:color w:val="000000" w:themeColor="text1"/>
              </w:rPr>
            </w:pPr>
            <w:r w:rsidRPr="00285A26">
              <w:t>505</w:t>
            </w:r>
          </w:p>
        </w:tc>
        <w:tc>
          <w:tcPr>
            <w:tcW w:w="900" w:type="dxa"/>
          </w:tcPr>
          <w:p w14:paraId="1DCCEB15" w14:textId="77777777" w:rsidR="006E5ED2" w:rsidRPr="00285A26" w:rsidRDefault="006E5ED2" w:rsidP="00D46588">
            <w:pPr>
              <w:pStyle w:val="TableText"/>
              <w:jc w:val="right"/>
              <w:rPr>
                <w:color w:val="000000" w:themeColor="text1"/>
              </w:rPr>
            </w:pPr>
            <w:r w:rsidRPr="00285A26">
              <w:t>3173</w:t>
            </w:r>
          </w:p>
        </w:tc>
        <w:tc>
          <w:tcPr>
            <w:tcW w:w="1087" w:type="dxa"/>
          </w:tcPr>
          <w:p w14:paraId="59634E5B" w14:textId="77777777" w:rsidR="006E5ED2" w:rsidRPr="00285A26" w:rsidRDefault="006E5ED2" w:rsidP="00D46588">
            <w:pPr>
              <w:pStyle w:val="TableText"/>
              <w:jc w:val="right"/>
              <w:rPr>
                <w:color w:val="000000" w:themeColor="text1"/>
              </w:rPr>
            </w:pPr>
            <w:r w:rsidRPr="00285A26">
              <w:t>35.1 (26.5,</w:t>
            </w:r>
            <w:r>
              <w:t xml:space="preserve"> </w:t>
            </w:r>
            <w:r w:rsidRPr="00285A26">
              <w:t>44.8)</w:t>
            </w:r>
          </w:p>
        </w:tc>
      </w:tr>
    </w:tbl>
    <w:p w14:paraId="17FD629A" w14:textId="77777777" w:rsidR="006E5ED2" w:rsidRPr="006A3EA0" w:rsidRDefault="006E5ED2" w:rsidP="006E5ED2">
      <w:pPr>
        <w:pStyle w:val="TableNotes"/>
      </w:pPr>
      <w:r w:rsidRPr="006A3EA0">
        <w:t>Notes</w:t>
      </w:r>
    </w:p>
    <w:p w14:paraId="6EBC7859" w14:textId="77777777" w:rsidR="006E5ED2" w:rsidRPr="004565F5" w:rsidRDefault="006E5ED2" w:rsidP="006E5ED2">
      <w:pPr>
        <w:pStyle w:val="TableNotes"/>
      </w:pPr>
      <w:r w:rsidRPr="004565F5">
        <w:t xml:space="preserve">Denominator: Those who use the </w:t>
      </w:r>
      <w:r>
        <w:t>internet</w:t>
      </w:r>
      <w:r w:rsidRPr="004565F5">
        <w:t xml:space="preserve"> to seek help or information for, or manage, mental health issues</w:t>
      </w:r>
      <w:r>
        <w:t>.</w:t>
      </w:r>
    </w:p>
    <w:p w14:paraId="4F61D655" w14:textId="77777777" w:rsidR="006E5ED2" w:rsidRPr="004565F5" w:rsidRDefault="006E5ED2" w:rsidP="006E5ED2">
      <w:pPr>
        <w:pStyle w:val="TableNotes"/>
      </w:pPr>
      <w:r w:rsidRPr="004565F5">
        <w:t>Based on weighted counts, 151 (2.5%) Transitioned ADF and 143 (0.1%) 2015 Regular ADF had a missing value for this question.</w:t>
      </w:r>
      <w:r>
        <w:t xml:space="preserve"> </w:t>
      </w:r>
      <w:r w:rsidRPr="004565F5">
        <w:t>However, distributions are calculated by including those with a missing value to allow for correct weighted totals.</w:t>
      </w:r>
    </w:p>
    <w:p w14:paraId="77685936" w14:textId="77777777" w:rsidR="006E5ED2" w:rsidRPr="004565F5" w:rsidRDefault="006E5ED2" w:rsidP="006E5ED2">
      <w:pPr>
        <w:pStyle w:val="TableNotes"/>
      </w:pPr>
      <w:r w:rsidRPr="004565F5">
        <w:t>95%CI</w:t>
      </w:r>
      <w:r>
        <w:t xml:space="preserve"> =</w:t>
      </w:r>
      <w:r w:rsidRPr="004565F5">
        <w:t xml:space="preserve"> 95% </w:t>
      </w:r>
      <w:r>
        <w:t>confidence interval.</w:t>
      </w:r>
      <w:r w:rsidRPr="004565F5">
        <w:t xml:space="preserve"> </w:t>
      </w:r>
    </w:p>
    <w:p w14:paraId="793360C1" w14:textId="77777777" w:rsidR="006E5ED2" w:rsidRDefault="006E5ED2" w:rsidP="006E5ED2">
      <w:pPr>
        <w:pStyle w:val="TableNotes"/>
      </w:pPr>
      <w:r w:rsidRPr="004565F5">
        <w:t>For a full description of odds ratios, interpretation and strength of association</w:t>
      </w:r>
      <w:r>
        <w:t>,</w:t>
      </w:r>
      <w:r w:rsidRPr="004565F5">
        <w:t xml:space="preserve"> please refer to Tabl</w:t>
      </w:r>
      <w:r w:rsidRPr="00BB1B84">
        <w:t xml:space="preserve">e B.1 in </w:t>
      </w:r>
      <w:r w:rsidR="00374073">
        <w:t>Annex </w:t>
      </w:r>
      <w:r>
        <w:t>B, Odds ratio table.</w:t>
      </w:r>
    </w:p>
    <w:p w14:paraId="4313BAEF" w14:textId="77777777" w:rsidR="006E5ED2" w:rsidRDefault="006E5ED2" w:rsidP="006E5ED2">
      <w:pPr>
        <w:pStyle w:val="TableNotes"/>
        <w:rPr>
          <w:rFonts w:cs="Calibri"/>
          <w:bCs/>
          <w:color w:val="000000" w:themeColor="text1"/>
          <w:szCs w:val="14"/>
        </w:rPr>
      </w:pPr>
      <w:r w:rsidRPr="00E603D7">
        <w:rPr>
          <w:rFonts w:cs="Calibri"/>
          <w:bCs/>
          <w:color w:val="000000" w:themeColor="text1"/>
          <w:szCs w:val="14"/>
        </w:rPr>
        <w:t xml:space="preserve"># </w:t>
      </w:r>
      <w:r>
        <w:rPr>
          <w:rFonts w:cs="Calibri"/>
          <w:bCs/>
          <w:color w:val="000000" w:themeColor="text1"/>
          <w:szCs w:val="14"/>
        </w:rPr>
        <w:t>= C</w:t>
      </w:r>
      <w:r w:rsidRPr="00E603D7">
        <w:rPr>
          <w:rFonts w:cs="Calibri"/>
          <w:bCs/>
          <w:color w:val="000000" w:themeColor="text1"/>
          <w:szCs w:val="14"/>
        </w:rPr>
        <w:t>ell size too small to be reported</w:t>
      </w:r>
      <w:r>
        <w:rPr>
          <w:rFonts w:cs="Calibri"/>
          <w:bCs/>
          <w:color w:val="000000" w:themeColor="text1"/>
          <w:szCs w:val="14"/>
        </w:rPr>
        <w:t>.</w:t>
      </w:r>
    </w:p>
    <w:p w14:paraId="66F72F2D" w14:textId="4E50CDFF" w:rsidR="006E5ED2" w:rsidRDefault="006E5ED2" w:rsidP="00AF7E3E">
      <w:pPr>
        <w:pStyle w:val="FigureName"/>
        <w:spacing w:after="60"/>
      </w:pPr>
      <w:bookmarkStart w:id="706" w:name="_Ref509913630"/>
      <w:bookmarkStart w:id="707" w:name="_Toc509922955"/>
      <w:bookmarkStart w:id="708" w:name="_Toc515374729"/>
      <w:bookmarkStart w:id="709" w:name="_Toc528932413"/>
      <w:bookmarkStart w:id="710" w:name="_Toc531858093"/>
      <w:r>
        <w:t xml:space="preserve">Figure </w:t>
      </w:r>
      <w:r>
        <w:rPr>
          <w:noProof/>
        </w:rPr>
        <w:t>6</w:t>
      </w:r>
      <w:r>
        <w:t>.</w:t>
      </w:r>
      <w:r>
        <w:rPr>
          <w:noProof/>
        </w:rPr>
        <w:t>3</w:t>
      </w:r>
      <w:bookmarkEnd w:id="706"/>
      <w:r>
        <w:tab/>
        <w:t xml:space="preserve">Usefulness of the internet in helping to deal more effectively with </w:t>
      </w:r>
      <w:r w:rsidRPr="00111AEB">
        <w:t xml:space="preserve">mental health issues </w:t>
      </w:r>
      <w:r>
        <w:t>among Transitioned ADF and 2015 Regular ADF</w:t>
      </w:r>
      <w:bookmarkEnd w:id="707"/>
      <w:bookmarkEnd w:id="708"/>
      <w:r>
        <w:t xml:space="preserve"> who reported that they used</w:t>
      </w:r>
      <w:r w:rsidRPr="00DF1417">
        <w:t xml:space="preserve"> the </w:t>
      </w:r>
      <w:r>
        <w:t>internet</w:t>
      </w:r>
      <w:r w:rsidRPr="00DF1417">
        <w:t xml:space="preserve"> to seek help or information or manage mental health</w:t>
      </w:r>
      <w:r>
        <w:t xml:space="preserve"> issues</w:t>
      </w:r>
      <w:bookmarkEnd w:id="709"/>
      <w:bookmarkEnd w:id="710"/>
    </w:p>
    <w:p w14:paraId="33D9AEB6" w14:textId="77777777" w:rsidR="006E5ED2" w:rsidRPr="00AF7E3E" w:rsidRDefault="00AF7E3E" w:rsidP="00AF7E3E">
      <w:r w:rsidRPr="001A4FD0">
        <w:rPr>
          <w:noProof/>
          <w:lang w:eastAsia="en-AU"/>
        </w:rPr>
        <w:drawing>
          <wp:inline distT="0" distB="0" distL="0" distR="0" wp14:anchorId="054EE5CF" wp14:editId="10766C14">
            <wp:extent cx="4572000" cy="2270895"/>
            <wp:effectExtent l="0" t="0" r="0" b="0"/>
            <wp:docPr id="36" name="Picture 36" descr="Figure 6.3 Usefulness of the internet in helping to deal more effectively with mental health issues among Transitioned ADF and 2015 Regular ADF who reported that they used the internet to seek help or information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ealthSciences\SPHCP\CTSS\DATA REPOSITORY\TWRP\REPORT 5\FIGURE_4_17.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270895"/>
                    </a:xfrm>
                    <a:prstGeom prst="rect">
                      <a:avLst/>
                    </a:prstGeom>
                    <a:noFill/>
                    <a:ln>
                      <a:noFill/>
                    </a:ln>
                  </pic:spPr>
                </pic:pic>
              </a:graphicData>
            </a:graphic>
          </wp:inline>
        </w:drawing>
      </w:r>
    </w:p>
    <w:p w14:paraId="41103C08" w14:textId="77777777" w:rsidR="006E5ED2" w:rsidRPr="004565F5" w:rsidRDefault="006E5ED2" w:rsidP="006E5ED2">
      <w:pPr>
        <w:pStyle w:val="Heading3"/>
        <w:numPr>
          <w:ilvl w:val="2"/>
          <w:numId w:val="1"/>
        </w:numPr>
      </w:pPr>
      <w:bookmarkStart w:id="711" w:name="_Toc515374503"/>
      <w:bookmarkStart w:id="712" w:name="_Toc518566403"/>
      <w:bookmarkStart w:id="713" w:name="_Toc528932691"/>
      <w:bookmarkStart w:id="714" w:name="_Toc531859228"/>
      <w:r w:rsidRPr="004565F5">
        <w:t>Probable 30-day disorder and demographic characteristics</w:t>
      </w:r>
      <w:bookmarkEnd w:id="711"/>
      <w:bookmarkEnd w:id="712"/>
      <w:bookmarkEnd w:id="713"/>
      <w:bookmarkEnd w:id="714"/>
    </w:p>
    <w:p w14:paraId="26DBD66D" w14:textId="77777777" w:rsidR="006E5ED2" w:rsidRPr="00C42552" w:rsidRDefault="006E5ED2" w:rsidP="00AF7E3E">
      <w:pPr>
        <w:spacing w:after="180" w:line="262" w:lineRule="atLeast"/>
        <w:rPr>
          <w:rFonts w:cs="Calibri"/>
        </w:rPr>
      </w:pPr>
      <w:r w:rsidRPr="004565F5">
        <w:t xml:space="preserve">Table </w:t>
      </w:r>
      <w:r>
        <w:rPr>
          <w:noProof/>
        </w:rPr>
        <w:t>6.7</w:t>
      </w:r>
      <w:r w:rsidRPr="00C42552">
        <w:rPr>
          <w:rFonts w:cs="Calibri"/>
        </w:rPr>
        <w:t xml:space="preserve"> presents the estimated proportion of Transitioned ADF and 2015 Regular ADF </w:t>
      </w:r>
      <w:r>
        <w:rPr>
          <w:rFonts w:asciiTheme="minorHAnsi" w:hAnsiTheme="minorHAnsi"/>
        </w:rPr>
        <w:t>(</w:t>
      </w:r>
      <w:r>
        <w:t xml:space="preserve">who reported that they used the internet to seek help or </w:t>
      </w:r>
      <w:r w:rsidRPr="00DF1417">
        <w:t xml:space="preserve">information or </w:t>
      </w:r>
      <w:r>
        <w:t xml:space="preserve">to </w:t>
      </w:r>
      <w:r w:rsidRPr="00DF1417">
        <w:t>manage mental health</w:t>
      </w:r>
      <w:r>
        <w:t xml:space="preserve"> issues) who </w:t>
      </w:r>
      <w:r>
        <w:rPr>
          <w:rFonts w:cs="Calibri"/>
        </w:rPr>
        <w:t>reported</w:t>
      </w:r>
      <w:r w:rsidRPr="00C42552">
        <w:rPr>
          <w:rFonts w:cs="Calibri"/>
        </w:rPr>
        <w:t xml:space="preserve"> that the </w:t>
      </w:r>
      <w:r>
        <w:rPr>
          <w:rFonts w:cs="Calibri"/>
        </w:rPr>
        <w:t>internet</w:t>
      </w:r>
      <w:r w:rsidRPr="00C42552">
        <w:rPr>
          <w:rFonts w:cs="Calibri"/>
        </w:rPr>
        <w:t xml:space="preserve"> ‘helped’, ‘did not help’ or ‘neither helped </w:t>
      </w:r>
      <w:r>
        <w:rPr>
          <w:rFonts w:cs="Calibri"/>
        </w:rPr>
        <w:t>n</w:t>
      </w:r>
      <w:r w:rsidRPr="00C42552">
        <w:rPr>
          <w:rFonts w:cs="Calibri"/>
        </w:rPr>
        <w:t>or did not help</w:t>
      </w:r>
      <w:r>
        <w:rPr>
          <w:rFonts w:cs="Calibri"/>
        </w:rPr>
        <w:t>’ them</w:t>
      </w:r>
      <w:r w:rsidRPr="00C42552">
        <w:rPr>
          <w:rFonts w:cs="Calibri"/>
        </w:rPr>
        <w:t xml:space="preserve"> deal more effectively with mental health problems, according to probable disorder and demographic characteristics.</w:t>
      </w:r>
      <w:r>
        <w:rPr>
          <w:rFonts w:cs="Calibri"/>
        </w:rPr>
        <w:t xml:space="preserve"> </w:t>
      </w:r>
    </w:p>
    <w:p w14:paraId="5ABDCD11" w14:textId="77777777" w:rsidR="006E5ED2" w:rsidRDefault="006E5ED2" w:rsidP="00AF7E3E">
      <w:pPr>
        <w:spacing w:after="180" w:line="262" w:lineRule="atLeast"/>
        <w:rPr>
          <w:rFonts w:cs="Calibri"/>
        </w:rPr>
      </w:pPr>
      <w:r w:rsidRPr="00A870C1">
        <w:rPr>
          <w:rFonts w:cs="Calibri"/>
        </w:rPr>
        <w:t>Among the Transitioned ADF</w:t>
      </w:r>
      <w:r>
        <w:rPr>
          <w:rFonts w:cs="Calibri"/>
        </w:rPr>
        <w:t xml:space="preserve"> who reported using the internet to seek help or information or manage mental health issues</w:t>
      </w:r>
      <w:r w:rsidRPr="00A870C1">
        <w:rPr>
          <w:rFonts w:cs="Calibri"/>
        </w:rPr>
        <w:t>, 48.4%</w:t>
      </w:r>
      <w:r>
        <w:rPr>
          <w:rFonts w:cs="Calibri"/>
        </w:rPr>
        <w:t xml:space="preserve"> </w:t>
      </w:r>
      <w:r w:rsidRPr="00A870C1">
        <w:rPr>
          <w:rFonts w:cs="Calibri"/>
        </w:rPr>
        <w:t xml:space="preserve">of those with a probable disorder reported that </w:t>
      </w:r>
      <w:r>
        <w:rPr>
          <w:rFonts w:cs="Calibri"/>
        </w:rPr>
        <w:t>using the internet</w:t>
      </w:r>
      <w:r w:rsidRPr="00A870C1">
        <w:rPr>
          <w:rFonts w:cs="Calibri"/>
        </w:rPr>
        <w:t xml:space="preserve"> neither helped nor did not help them deal effec</w:t>
      </w:r>
      <w:r>
        <w:rPr>
          <w:rFonts w:cs="Calibri"/>
        </w:rPr>
        <w:t>tively with their mental health</w:t>
      </w:r>
      <w:r w:rsidRPr="00A870C1">
        <w:rPr>
          <w:rFonts w:cs="Calibri"/>
        </w:rPr>
        <w:t>. A similar proportion (46.2%</w:t>
      </w:r>
      <w:r>
        <w:rPr>
          <w:rFonts w:cs="Calibri"/>
        </w:rPr>
        <w:t xml:space="preserve">) </w:t>
      </w:r>
      <w:r w:rsidRPr="00A870C1">
        <w:rPr>
          <w:rFonts w:cs="Calibri"/>
        </w:rPr>
        <w:t>reported that it helped.</w:t>
      </w:r>
      <w:r>
        <w:rPr>
          <w:rFonts w:cs="Calibri"/>
        </w:rPr>
        <w:t xml:space="preserve"> </w:t>
      </w:r>
      <w:r w:rsidRPr="00C42552">
        <w:rPr>
          <w:rFonts w:cs="Calibri"/>
        </w:rPr>
        <w:t xml:space="preserve">Only 3.1% reported that it did not help. </w:t>
      </w:r>
    </w:p>
    <w:p w14:paraId="3E70EB3B" w14:textId="77777777" w:rsidR="006E5ED2" w:rsidRPr="00C42552" w:rsidRDefault="006E5ED2" w:rsidP="00AF7E3E">
      <w:pPr>
        <w:spacing w:after="180" w:line="262" w:lineRule="atLeast"/>
        <w:rPr>
          <w:rFonts w:cs="Calibri"/>
        </w:rPr>
      </w:pPr>
      <w:r>
        <w:rPr>
          <w:rFonts w:cs="Calibri"/>
        </w:rPr>
        <w:t>A slightly different pattern was seen a</w:t>
      </w:r>
      <w:r w:rsidRPr="00A870C1">
        <w:rPr>
          <w:rFonts w:cs="Calibri"/>
        </w:rPr>
        <w:t>mong the</w:t>
      </w:r>
      <w:r>
        <w:rPr>
          <w:rFonts w:cs="Calibri"/>
        </w:rPr>
        <w:t xml:space="preserve"> 2015 Regular</w:t>
      </w:r>
      <w:r w:rsidRPr="00A870C1">
        <w:rPr>
          <w:rFonts w:cs="Calibri"/>
        </w:rPr>
        <w:t xml:space="preserve"> ADF</w:t>
      </w:r>
      <w:r>
        <w:rPr>
          <w:rFonts w:cs="Calibri"/>
        </w:rPr>
        <w:t xml:space="preserve"> who reported using the internet to seek help or information or manage mental health issues. In this group</w:t>
      </w:r>
      <w:r w:rsidRPr="00A870C1">
        <w:rPr>
          <w:rFonts w:cs="Calibri"/>
        </w:rPr>
        <w:t xml:space="preserve">, </w:t>
      </w:r>
      <w:r>
        <w:rPr>
          <w:rFonts w:cs="Calibri"/>
        </w:rPr>
        <w:t>51.7</w:t>
      </w:r>
      <w:r w:rsidRPr="00A870C1">
        <w:rPr>
          <w:rFonts w:cs="Calibri"/>
        </w:rPr>
        <w:t>%</w:t>
      </w:r>
      <w:r>
        <w:rPr>
          <w:rFonts w:cs="Calibri"/>
        </w:rPr>
        <w:t xml:space="preserve"> </w:t>
      </w:r>
      <w:r w:rsidRPr="00A870C1">
        <w:rPr>
          <w:rFonts w:cs="Calibri"/>
        </w:rPr>
        <w:t>of those with a probable disorder</w:t>
      </w:r>
      <w:r w:rsidRPr="00C42552" w:rsidDel="00B44E50">
        <w:rPr>
          <w:rFonts w:cs="Calibri"/>
        </w:rPr>
        <w:t xml:space="preserve"> </w:t>
      </w:r>
      <w:r w:rsidRPr="00C42552">
        <w:rPr>
          <w:rFonts w:cs="Calibri"/>
        </w:rPr>
        <w:t xml:space="preserve">reported use of the </w:t>
      </w:r>
      <w:r>
        <w:rPr>
          <w:rFonts w:cs="Calibri"/>
        </w:rPr>
        <w:t>internet</w:t>
      </w:r>
      <w:r w:rsidRPr="00C42552">
        <w:rPr>
          <w:rFonts w:cs="Calibri"/>
        </w:rPr>
        <w:t xml:space="preserve"> to be helpful (51.7%</w:t>
      </w:r>
      <w:r>
        <w:rPr>
          <w:rFonts w:cs="Calibri"/>
        </w:rPr>
        <w:t xml:space="preserve">), </w:t>
      </w:r>
      <w:r w:rsidRPr="00C42552">
        <w:rPr>
          <w:rFonts w:cs="Calibri"/>
        </w:rPr>
        <w:t>followed by neither helpful nor not helpful (45.3%</w:t>
      </w:r>
      <w:r>
        <w:rPr>
          <w:rFonts w:cs="Calibri"/>
        </w:rPr>
        <w:t xml:space="preserve">), </w:t>
      </w:r>
      <w:r w:rsidRPr="00C42552">
        <w:rPr>
          <w:rFonts w:cs="Calibri"/>
        </w:rPr>
        <w:t>with again only a very small proportion reporting it to be not helpful (2.2%</w:t>
      </w:r>
      <w:r>
        <w:rPr>
          <w:rFonts w:cs="Calibri"/>
        </w:rPr>
        <w:t>).</w:t>
      </w:r>
    </w:p>
    <w:p w14:paraId="0CFCF90C" w14:textId="77777777" w:rsidR="006E5ED2" w:rsidRPr="00C42552" w:rsidRDefault="006E5ED2" w:rsidP="00AF7E3E">
      <w:pPr>
        <w:spacing w:after="180" w:line="262" w:lineRule="atLeast"/>
        <w:rPr>
          <w:rFonts w:eastAsia="Times New Roman"/>
          <w:lang w:eastAsia="en-AU"/>
        </w:rPr>
      </w:pPr>
      <w:r w:rsidRPr="00C42552">
        <w:rPr>
          <w:rFonts w:eastAsia="Times New Roman"/>
          <w:lang w:eastAsia="en-AU"/>
        </w:rPr>
        <w:t>Transitioned ADF aged 28</w:t>
      </w:r>
      <w:r>
        <w:rPr>
          <w:rFonts w:eastAsia="Times New Roman"/>
          <w:lang w:eastAsia="en-AU"/>
        </w:rPr>
        <w:t>–</w:t>
      </w:r>
      <w:r w:rsidRPr="00C42552">
        <w:rPr>
          <w:rFonts w:eastAsia="Times New Roman"/>
          <w:lang w:eastAsia="en-AU"/>
        </w:rPr>
        <w:t>37 (57.9%</w:t>
      </w:r>
      <w:r>
        <w:rPr>
          <w:rFonts w:eastAsia="Times New Roman"/>
          <w:lang w:eastAsia="en-AU"/>
        </w:rPr>
        <w:t xml:space="preserve">) </w:t>
      </w:r>
      <w:r w:rsidRPr="00C42552">
        <w:rPr>
          <w:rFonts w:eastAsia="Times New Roman"/>
          <w:lang w:eastAsia="en-AU"/>
        </w:rPr>
        <w:t>and 58+ (56.5%</w:t>
      </w:r>
      <w:r>
        <w:rPr>
          <w:rFonts w:eastAsia="Times New Roman"/>
          <w:lang w:eastAsia="en-AU"/>
        </w:rPr>
        <w:t xml:space="preserve">) </w:t>
      </w:r>
      <w:r w:rsidRPr="00C42552">
        <w:rPr>
          <w:rFonts w:eastAsia="Times New Roman"/>
          <w:lang w:eastAsia="en-AU"/>
        </w:rPr>
        <w:t xml:space="preserve">were most likely to report use of the </w:t>
      </w:r>
      <w:r>
        <w:rPr>
          <w:rFonts w:eastAsia="Times New Roman"/>
          <w:lang w:eastAsia="en-AU"/>
        </w:rPr>
        <w:t>internet</w:t>
      </w:r>
      <w:r w:rsidRPr="00C42552">
        <w:rPr>
          <w:rFonts w:eastAsia="Times New Roman"/>
          <w:lang w:eastAsia="en-AU"/>
        </w:rPr>
        <w:t xml:space="preserve"> for this purpose as helpful, while in the 2015 Regular ADF those aged 58</w:t>
      </w:r>
      <w:r>
        <w:rPr>
          <w:rFonts w:eastAsia="Times New Roman"/>
          <w:lang w:eastAsia="en-AU"/>
        </w:rPr>
        <w:t>+</w:t>
      </w:r>
      <w:r w:rsidRPr="00C42552">
        <w:rPr>
          <w:rFonts w:eastAsia="Times New Roman"/>
          <w:lang w:eastAsia="en-AU"/>
        </w:rPr>
        <w:t xml:space="preserve"> were most likely to perceive it as helpful (82.5%</w:t>
      </w:r>
      <w:r>
        <w:rPr>
          <w:rFonts w:eastAsia="Times New Roman"/>
          <w:lang w:eastAsia="en-AU"/>
        </w:rPr>
        <w:t>).</w:t>
      </w:r>
    </w:p>
    <w:p w14:paraId="5FEB0731" w14:textId="77777777" w:rsidR="006E5ED2" w:rsidRPr="00C42552" w:rsidRDefault="006E5ED2" w:rsidP="00AF7E3E">
      <w:pPr>
        <w:spacing w:line="262" w:lineRule="atLeast"/>
        <w:rPr>
          <w:rFonts w:eastAsia="Times New Roman"/>
          <w:lang w:eastAsia="en-AU"/>
        </w:rPr>
      </w:pPr>
      <w:r>
        <w:rPr>
          <w:rFonts w:eastAsia="Times New Roman"/>
          <w:lang w:eastAsia="en-AU"/>
        </w:rPr>
        <w:t>L</w:t>
      </w:r>
      <w:r w:rsidRPr="00C42552">
        <w:rPr>
          <w:rFonts w:eastAsia="Times New Roman"/>
          <w:lang w:eastAsia="en-AU"/>
        </w:rPr>
        <w:t xml:space="preserve">ooking at sex differences by age group, </w:t>
      </w:r>
      <w:r>
        <w:rPr>
          <w:rFonts w:eastAsia="Times New Roman"/>
          <w:lang w:eastAsia="en-AU"/>
        </w:rPr>
        <w:t>f</w:t>
      </w:r>
      <w:r w:rsidRPr="00C42552">
        <w:rPr>
          <w:rFonts w:eastAsia="Times New Roman"/>
          <w:lang w:eastAsia="en-AU"/>
        </w:rPr>
        <w:t xml:space="preserve">emale Transitioned ADF in the 38+ age group were most likely to report use of the </w:t>
      </w:r>
      <w:r>
        <w:rPr>
          <w:rFonts w:eastAsia="Times New Roman"/>
          <w:lang w:eastAsia="en-AU"/>
        </w:rPr>
        <w:t>internet</w:t>
      </w:r>
      <w:r w:rsidRPr="00C42552">
        <w:rPr>
          <w:rFonts w:eastAsia="Times New Roman"/>
          <w:lang w:eastAsia="en-AU"/>
        </w:rPr>
        <w:t xml:space="preserve"> for this purpose as helpful (65.8%</w:t>
      </w:r>
      <w:r>
        <w:rPr>
          <w:rFonts w:eastAsia="Times New Roman"/>
          <w:lang w:eastAsia="en-AU"/>
        </w:rPr>
        <w:t xml:space="preserve">) </w:t>
      </w:r>
      <w:r w:rsidRPr="00C42552">
        <w:rPr>
          <w:rFonts w:eastAsia="Times New Roman"/>
          <w:lang w:eastAsia="en-AU"/>
        </w:rPr>
        <w:t>while in the 201</w:t>
      </w:r>
      <w:r>
        <w:rPr>
          <w:rFonts w:eastAsia="Times New Roman"/>
          <w:lang w:eastAsia="en-AU"/>
        </w:rPr>
        <w:t>5 Regular ADF males aged 18–37</w:t>
      </w:r>
      <w:r w:rsidRPr="00C42552">
        <w:rPr>
          <w:rFonts w:eastAsia="Times New Roman"/>
          <w:lang w:eastAsia="en-AU"/>
        </w:rPr>
        <w:t xml:space="preserve"> were most likely to report use of the </w:t>
      </w:r>
      <w:r>
        <w:rPr>
          <w:rFonts w:eastAsia="Times New Roman"/>
          <w:lang w:eastAsia="en-AU"/>
        </w:rPr>
        <w:t>internet</w:t>
      </w:r>
      <w:r w:rsidRPr="00C42552">
        <w:rPr>
          <w:rFonts w:eastAsia="Times New Roman"/>
          <w:lang w:eastAsia="en-AU"/>
        </w:rPr>
        <w:t xml:space="preserve"> for this purpose as helpful (66.0%</w:t>
      </w:r>
      <w:r>
        <w:rPr>
          <w:rFonts w:eastAsia="Times New Roman"/>
          <w:lang w:eastAsia="en-AU"/>
        </w:rPr>
        <w:t>).</w:t>
      </w:r>
    </w:p>
    <w:p w14:paraId="567FC7BA" w14:textId="77777777" w:rsidR="00980AE4" w:rsidRDefault="00980AE4" w:rsidP="00980AE4">
      <w:pPr>
        <w:sectPr w:rsidR="00980AE4" w:rsidSect="00463E44">
          <w:footerReference w:type="even" r:id="rId71"/>
          <w:footerReference w:type="default" r:id="rId72"/>
          <w:pgSz w:w="9979" w:h="14170" w:code="243"/>
          <w:pgMar w:top="1440" w:right="1152" w:bottom="1440" w:left="1728" w:header="576" w:footer="576" w:gutter="0"/>
          <w:cols w:space="708"/>
          <w:docGrid w:linePitch="360"/>
        </w:sectPr>
      </w:pPr>
    </w:p>
    <w:p w14:paraId="7F1E1E1B" w14:textId="77777777" w:rsidR="0081652D" w:rsidRDefault="0081652D" w:rsidP="0081652D">
      <w:pPr>
        <w:pStyle w:val="TableName"/>
      </w:pPr>
      <w:bookmarkStart w:id="715" w:name="_Toc531858017"/>
      <w:bookmarkStart w:id="716" w:name="_Ref509913166"/>
      <w:bookmarkStart w:id="717" w:name="_Toc509922888"/>
      <w:bookmarkStart w:id="718" w:name="_Toc515374663"/>
      <w:bookmarkStart w:id="719" w:name="_Toc528932338"/>
      <w:r w:rsidRPr="004565F5">
        <w:t xml:space="preserve">Table </w:t>
      </w:r>
      <w:r>
        <w:rPr>
          <w:noProof/>
        </w:rPr>
        <w:t>6</w:t>
      </w:r>
      <w:r>
        <w:t>.</w:t>
      </w:r>
      <w:r>
        <w:rPr>
          <w:noProof/>
        </w:rPr>
        <w:t>7</w:t>
      </w:r>
      <w:r w:rsidRPr="004565F5">
        <w:tab/>
        <w:t xml:space="preserve">Usefulness of the </w:t>
      </w:r>
      <w:r>
        <w:t>internet</w:t>
      </w:r>
      <w:r w:rsidRPr="004565F5">
        <w:t xml:space="preserve"> in helping to deal more effectively with mental health issues </w:t>
      </w:r>
      <w:r>
        <w:t>among Transitioned ADF and 2015 Regular ADF</w:t>
      </w:r>
      <w:r w:rsidRPr="004565F5">
        <w:t xml:space="preserve"> who reported that they use</w:t>
      </w:r>
      <w:r>
        <w:t>d</w:t>
      </w:r>
      <w:r w:rsidRPr="004565F5">
        <w:t xml:space="preserve"> the </w:t>
      </w:r>
      <w:r>
        <w:t>internet</w:t>
      </w:r>
      <w:r w:rsidRPr="004565F5">
        <w:t xml:space="preserve"> to seek help or information</w:t>
      </w:r>
      <w:r>
        <w:t xml:space="preserve"> or manage mental health issues</w:t>
      </w:r>
      <w:r w:rsidRPr="004565F5">
        <w:t xml:space="preserve"> by probable disorder and demographic characteristics</w:t>
      </w:r>
      <w:bookmarkEnd w:id="715"/>
    </w:p>
    <w:bookmarkEnd w:id="716"/>
    <w:bookmarkEnd w:id="717"/>
    <w:bookmarkEnd w:id="718"/>
    <w:bookmarkEnd w:id="719"/>
    <w:tbl>
      <w:tblPr>
        <w:tblStyle w:val="TWRPTable"/>
        <w:tblW w:w="5000" w:type="pct"/>
        <w:tblLayout w:type="fixed"/>
        <w:tblLook w:val="04A0" w:firstRow="1" w:lastRow="0" w:firstColumn="1" w:lastColumn="0" w:noHBand="0" w:noVBand="1"/>
        <w:tblDescription w:val="Table 6.7 Usefulness of the internet in helping to deal more effectively with mental health issues among Transitioned ADF and 2015 Regular ADF who reported that they used the internet to seek help or information or manage mental health issues by probable disorder and demographic characteristics"/>
      </w:tblPr>
      <w:tblGrid>
        <w:gridCol w:w="725"/>
        <w:gridCol w:w="356"/>
        <w:gridCol w:w="617"/>
        <w:gridCol w:w="787"/>
        <w:gridCol w:w="448"/>
        <w:gridCol w:w="617"/>
        <w:gridCol w:w="694"/>
        <w:gridCol w:w="365"/>
        <w:gridCol w:w="617"/>
        <w:gridCol w:w="777"/>
        <w:gridCol w:w="458"/>
        <w:gridCol w:w="617"/>
        <w:gridCol w:w="683"/>
        <w:gridCol w:w="464"/>
        <w:gridCol w:w="617"/>
        <w:gridCol w:w="679"/>
        <w:gridCol w:w="381"/>
        <w:gridCol w:w="617"/>
        <w:gridCol w:w="761"/>
      </w:tblGrid>
      <w:tr w:rsidR="0081652D" w:rsidRPr="001F3BA4" w14:paraId="650320E0" w14:textId="77777777" w:rsidTr="001F3BA4">
        <w:trPr>
          <w:cnfStyle w:val="100000000000" w:firstRow="1" w:lastRow="0" w:firstColumn="0" w:lastColumn="0" w:oddVBand="0" w:evenVBand="0" w:oddHBand="0" w:evenHBand="0" w:firstRowFirstColumn="0" w:firstRowLastColumn="0" w:lastRowFirstColumn="0" w:lastRowLastColumn="0"/>
          <w:cantSplit/>
          <w:tblHeader/>
        </w:trPr>
        <w:tc>
          <w:tcPr>
            <w:tcW w:w="738" w:type="dxa"/>
            <w:tcBorders>
              <w:bottom w:val="nil"/>
            </w:tcBorders>
          </w:tcPr>
          <w:p w14:paraId="4175F575" w14:textId="77777777" w:rsidR="0081652D" w:rsidRPr="001F3BA4" w:rsidRDefault="0081652D" w:rsidP="00D46588">
            <w:pPr>
              <w:pStyle w:val="TableText"/>
            </w:pPr>
          </w:p>
        </w:tc>
        <w:tc>
          <w:tcPr>
            <w:tcW w:w="5384" w:type="dxa"/>
            <w:gridSpan w:val="9"/>
          </w:tcPr>
          <w:p w14:paraId="655668E3" w14:textId="77777777" w:rsidR="0081652D" w:rsidRPr="001F3BA4" w:rsidRDefault="0081652D" w:rsidP="0081652D">
            <w:pPr>
              <w:pStyle w:val="TableText"/>
              <w:jc w:val="center"/>
            </w:pPr>
            <w:r w:rsidRPr="001F3BA4">
              <w:rPr>
                <w:bCs/>
              </w:rPr>
              <w:t>Transitioned ADF</w:t>
            </w:r>
            <w:r w:rsidRPr="001F3BA4">
              <w:rPr>
                <w:bCs/>
              </w:rPr>
              <w:br/>
              <w:t>n=6116</w:t>
            </w:r>
          </w:p>
        </w:tc>
        <w:tc>
          <w:tcPr>
            <w:tcW w:w="5384" w:type="dxa"/>
            <w:gridSpan w:val="9"/>
          </w:tcPr>
          <w:p w14:paraId="3F02AF12" w14:textId="77777777" w:rsidR="0081652D" w:rsidRPr="001F3BA4" w:rsidRDefault="0081652D" w:rsidP="0081652D">
            <w:pPr>
              <w:pStyle w:val="TableText"/>
              <w:jc w:val="center"/>
            </w:pPr>
            <w:r w:rsidRPr="001F3BA4">
              <w:rPr>
                <w:bCs/>
              </w:rPr>
              <w:t>2015 Regular ADF</w:t>
            </w:r>
            <w:r w:rsidRPr="001F3BA4">
              <w:rPr>
                <w:bCs/>
              </w:rPr>
              <w:br/>
              <w:t>n=9042</w:t>
            </w:r>
          </w:p>
        </w:tc>
      </w:tr>
      <w:tr w:rsidR="0081652D" w:rsidRPr="001F3BA4" w14:paraId="26764C63" w14:textId="77777777" w:rsidTr="001F3BA4">
        <w:trPr>
          <w:cnfStyle w:val="100000000000" w:firstRow="1" w:lastRow="0" w:firstColumn="0" w:lastColumn="0" w:oddVBand="0" w:evenVBand="0" w:oddHBand="0" w:evenHBand="0" w:firstRowFirstColumn="0" w:firstRowLastColumn="0" w:lastRowFirstColumn="0" w:lastRowLastColumn="0"/>
          <w:cantSplit/>
          <w:tblHeader/>
        </w:trPr>
        <w:tc>
          <w:tcPr>
            <w:tcW w:w="738" w:type="dxa"/>
            <w:tcBorders>
              <w:top w:val="nil"/>
              <w:bottom w:val="nil"/>
            </w:tcBorders>
          </w:tcPr>
          <w:p w14:paraId="44111B53" w14:textId="77777777" w:rsidR="0081652D" w:rsidRPr="001F3BA4" w:rsidRDefault="0081652D" w:rsidP="00D46588">
            <w:pPr>
              <w:pStyle w:val="TableText"/>
            </w:pPr>
          </w:p>
        </w:tc>
        <w:tc>
          <w:tcPr>
            <w:tcW w:w="1794" w:type="dxa"/>
            <w:gridSpan w:val="3"/>
          </w:tcPr>
          <w:p w14:paraId="5F5212D8" w14:textId="77777777" w:rsidR="0081652D" w:rsidRPr="001F3BA4" w:rsidRDefault="0081652D" w:rsidP="0081652D">
            <w:pPr>
              <w:pStyle w:val="TableText"/>
              <w:jc w:val="center"/>
            </w:pPr>
            <w:r w:rsidRPr="001F3BA4">
              <w:t xml:space="preserve">Did not help </w:t>
            </w:r>
            <w:r w:rsidRPr="001F3BA4">
              <w:br/>
              <w:t>n=99</w:t>
            </w:r>
          </w:p>
        </w:tc>
        <w:tc>
          <w:tcPr>
            <w:tcW w:w="1795" w:type="dxa"/>
            <w:gridSpan w:val="3"/>
          </w:tcPr>
          <w:p w14:paraId="6AA9E48C" w14:textId="77777777" w:rsidR="0081652D" w:rsidRPr="001F3BA4" w:rsidRDefault="0081652D" w:rsidP="0081652D">
            <w:pPr>
              <w:pStyle w:val="TableText"/>
              <w:jc w:val="center"/>
            </w:pPr>
            <w:r w:rsidRPr="001F3BA4">
              <w:t xml:space="preserve">Helped </w:t>
            </w:r>
            <w:r w:rsidRPr="001F3BA4">
              <w:br/>
              <w:t>n=3197</w:t>
            </w:r>
          </w:p>
        </w:tc>
        <w:tc>
          <w:tcPr>
            <w:tcW w:w="1795" w:type="dxa"/>
            <w:gridSpan w:val="3"/>
          </w:tcPr>
          <w:p w14:paraId="12B1C746" w14:textId="77777777" w:rsidR="0081652D" w:rsidRPr="001F3BA4" w:rsidRDefault="0081652D" w:rsidP="0081652D">
            <w:pPr>
              <w:pStyle w:val="TableText"/>
              <w:jc w:val="center"/>
            </w:pPr>
            <w:r w:rsidRPr="001F3BA4">
              <w:t xml:space="preserve">Neither </w:t>
            </w:r>
            <w:r w:rsidRPr="001F3BA4">
              <w:br/>
              <w:t>n=2669</w:t>
            </w:r>
          </w:p>
        </w:tc>
        <w:tc>
          <w:tcPr>
            <w:tcW w:w="1794" w:type="dxa"/>
            <w:gridSpan w:val="3"/>
          </w:tcPr>
          <w:p w14:paraId="493677EF" w14:textId="77777777" w:rsidR="0081652D" w:rsidRPr="001F3BA4" w:rsidRDefault="0081652D" w:rsidP="0081652D">
            <w:pPr>
              <w:pStyle w:val="TableText"/>
              <w:jc w:val="center"/>
            </w:pPr>
            <w:r w:rsidRPr="001F3BA4">
              <w:t xml:space="preserve">Did not help </w:t>
            </w:r>
            <w:r w:rsidRPr="001F3BA4">
              <w:br/>
              <w:t>n=82</w:t>
            </w:r>
          </w:p>
        </w:tc>
        <w:tc>
          <w:tcPr>
            <w:tcW w:w="1795" w:type="dxa"/>
            <w:gridSpan w:val="3"/>
          </w:tcPr>
          <w:p w14:paraId="49A3EBCF" w14:textId="77777777" w:rsidR="0081652D" w:rsidRPr="001F3BA4" w:rsidRDefault="0081652D" w:rsidP="0081652D">
            <w:pPr>
              <w:pStyle w:val="TableText"/>
              <w:jc w:val="center"/>
            </w:pPr>
            <w:r w:rsidRPr="001F3BA4">
              <w:t xml:space="preserve">Helped </w:t>
            </w:r>
            <w:r w:rsidRPr="001F3BA4">
              <w:br/>
              <w:t>n=5644</w:t>
            </w:r>
          </w:p>
        </w:tc>
        <w:tc>
          <w:tcPr>
            <w:tcW w:w="1795" w:type="dxa"/>
            <w:gridSpan w:val="3"/>
          </w:tcPr>
          <w:p w14:paraId="309A31D4" w14:textId="77777777" w:rsidR="0081652D" w:rsidRPr="001F3BA4" w:rsidRDefault="0081652D" w:rsidP="0081652D">
            <w:pPr>
              <w:pStyle w:val="TableText"/>
              <w:jc w:val="center"/>
            </w:pPr>
            <w:r w:rsidRPr="001F3BA4">
              <w:t xml:space="preserve">Neither </w:t>
            </w:r>
            <w:r w:rsidRPr="001F3BA4">
              <w:br/>
              <w:t>n=3174</w:t>
            </w:r>
          </w:p>
        </w:tc>
      </w:tr>
      <w:tr w:rsidR="00A97F11" w:rsidRPr="001F3BA4" w14:paraId="3D03218F" w14:textId="77777777" w:rsidTr="001F3BA4">
        <w:trPr>
          <w:cnfStyle w:val="100000000000" w:firstRow="1" w:lastRow="0" w:firstColumn="0" w:lastColumn="0" w:oddVBand="0" w:evenVBand="0" w:oddHBand="0" w:evenHBand="0" w:firstRowFirstColumn="0" w:firstRowLastColumn="0" w:lastRowFirstColumn="0" w:lastRowLastColumn="0"/>
          <w:cantSplit/>
          <w:tblHeader/>
        </w:trPr>
        <w:tc>
          <w:tcPr>
            <w:tcW w:w="738" w:type="dxa"/>
            <w:tcBorders>
              <w:top w:val="nil"/>
            </w:tcBorders>
          </w:tcPr>
          <w:p w14:paraId="235D388D" w14:textId="77777777" w:rsidR="0081652D" w:rsidRPr="001F3BA4" w:rsidRDefault="0081652D" w:rsidP="00D46588">
            <w:pPr>
              <w:pStyle w:val="TableText"/>
              <w:rPr>
                <w:szCs w:val="14"/>
              </w:rPr>
            </w:pPr>
          </w:p>
        </w:tc>
        <w:tc>
          <w:tcPr>
            <w:tcW w:w="360" w:type="dxa"/>
            <w:tcMar>
              <w:left w:w="72" w:type="dxa"/>
              <w:right w:w="72" w:type="dxa"/>
            </w:tcMar>
          </w:tcPr>
          <w:p w14:paraId="4A4F30BF" w14:textId="77777777" w:rsidR="0081652D" w:rsidRPr="001F3BA4" w:rsidRDefault="0081652D" w:rsidP="001F3BA4">
            <w:pPr>
              <w:pStyle w:val="TableText"/>
              <w:jc w:val="right"/>
              <w:rPr>
                <w:sz w:val="13"/>
                <w:szCs w:val="13"/>
              </w:rPr>
            </w:pPr>
            <w:r w:rsidRPr="001F3BA4">
              <w:rPr>
                <w:sz w:val="13"/>
                <w:szCs w:val="13"/>
              </w:rPr>
              <w:t>n</w:t>
            </w:r>
          </w:p>
        </w:tc>
        <w:tc>
          <w:tcPr>
            <w:tcW w:w="630" w:type="dxa"/>
            <w:tcMar>
              <w:left w:w="72" w:type="dxa"/>
              <w:right w:w="72" w:type="dxa"/>
            </w:tcMar>
          </w:tcPr>
          <w:p w14:paraId="5B0DD9B7" w14:textId="77777777" w:rsidR="0081652D" w:rsidRPr="001F3BA4" w:rsidRDefault="0081652D" w:rsidP="001F3BA4">
            <w:pPr>
              <w:pStyle w:val="TableText"/>
              <w:jc w:val="right"/>
              <w:rPr>
                <w:sz w:val="13"/>
                <w:szCs w:val="13"/>
              </w:rPr>
            </w:pPr>
            <w:r w:rsidRPr="001F3BA4">
              <w:rPr>
                <w:sz w:val="13"/>
                <w:szCs w:val="13"/>
              </w:rPr>
              <w:t>Weighted n</w:t>
            </w:r>
          </w:p>
        </w:tc>
        <w:tc>
          <w:tcPr>
            <w:tcW w:w="804" w:type="dxa"/>
            <w:tcMar>
              <w:left w:w="72" w:type="dxa"/>
              <w:right w:w="72" w:type="dxa"/>
            </w:tcMar>
          </w:tcPr>
          <w:p w14:paraId="3D662283" w14:textId="77777777" w:rsidR="0081652D" w:rsidRPr="001F3BA4" w:rsidRDefault="0081652D" w:rsidP="001F3BA4">
            <w:pPr>
              <w:pStyle w:val="TableText"/>
              <w:jc w:val="right"/>
              <w:rPr>
                <w:sz w:val="13"/>
                <w:szCs w:val="13"/>
              </w:rPr>
            </w:pPr>
            <w:r w:rsidRPr="001F3BA4">
              <w:rPr>
                <w:sz w:val="13"/>
                <w:szCs w:val="13"/>
              </w:rPr>
              <w:t>% (95%CI)</w:t>
            </w:r>
          </w:p>
        </w:tc>
        <w:tc>
          <w:tcPr>
            <w:tcW w:w="456" w:type="dxa"/>
            <w:tcMar>
              <w:left w:w="72" w:type="dxa"/>
              <w:right w:w="72" w:type="dxa"/>
            </w:tcMar>
          </w:tcPr>
          <w:p w14:paraId="1246DE0C" w14:textId="77777777" w:rsidR="0081652D" w:rsidRPr="001F3BA4" w:rsidRDefault="0081652D" w:rsidP="001F3BA4">
            <w:pPr>
              <w:pStyle w:val="TableText"/>
              <w:jc w:val="right"/>
              <w:rPr>
                <w:sz w:val="13"/>
                <w:szCs w:val="13"/>
              </w:rPr>
            </w:pPr>
            <w:r w:rsidRPr="001F3BA4">
              <w:rPr>
                <w:sz w:val="13"/>
                <w:szCs w:val="13"/>
              </w:rPr>
              <w:t>n</w:t>
            </w:r>
          </w:p>
        </w:tc>
        <w:tc>
          <w:tcPr>
            <w:tcW w:w="630" w:type="dxa"/>
            <w:tcMar>
              <w:left w:w="72" w:type="dxa"/>
              <w:right w:w="72" w:type="dxa"/>
            </w:tcMar>
          </w:tcPr>
          <w:p w14:paraId="43C13FC3" w14:textId="77777777" w:rsidR="0081652D" w:rsidRPr="001F3BA4" w:rsidRDefault="0081652D" w:rsidP="001F3BA4">
            <w:pPr>
              <w:pStyle w:val="TableText"/>
              <w:jc w:val="right"/>
              <w:rPr>
                <w:sz w:val="13"/>
                <w:szCs w:val="13"/>
              </w:rPr>
            </w:pPr>
            <w:r w:rsidRPr="001F3BA4">
              <w:rPr>
                <w:sz w:val="13"/>
                <w:szCs w:val="13"/>
              </w:rPr>
              <w:t>Weighted n</w:t>
            </w:r>
          </w:p>
        </w:tc>
        <w:tc>
          <w:tcPr>
            <w:tcW w:w="709" w:type="dxa"/>
            <w:tcMar>
              <w:left w:w="72" w:type="dxa"/>
              <w:right w:w="72" w:type="dxa"/>
            </w:tcMar>
          </w:tcPr>
          <w:p w14:paraId="67B7E7AA" w14:textId="77777777" w:rsidR="0081652D" w:rsidRPr="001F3BA4" w:rsidRDefault="0081652D" w:rsidP="001F3BA4">
            <w:pPr>
              <w:pStyle w:val="TableText"/>
              <w:jc w:val="right"/>
              <w:rPr>
                <w:sz w:val="13"/>
                <w:szCs w:val="13"/>
              </w:rPr>
            </w:pPr>
            <w:r w:rsidRPr="001F3BA4">
              <w:rPr>
                <w:sz w:val="13"/>
                <w:szCs w:val="13"/>
              </w:rPr>
              <w:t>% (95%CI)</w:t>
            </w:r>
          </w:p>
        </w:tc>
        <w:tc>
          <w:tcPr>
            <w:tcW w:w="371" w:type="dxa"/>
            <w:tcMar>
              <w:left w:w="72" w:type="dxa"/>
              <w:right w:w="72" w:type="dxa"/>
            </w:tcMar>
          </w:tcPr>
          <w:p w14:paraId="153F5E12" w14:textId="77777777" w:rsidR="0081652D" w:rsidRPr="001F3BA4" w:rsidRDefault="0081652D" w:rsidP="001F3BA4">
            <w:pPr>
              <w:pStyle w:val="TableText"/>
              <w:jc w:val="right"/>
              <w:rPr>
                <w:sz w:val="13"/>
                <w:szCs w:val="13"/>
              </w:rPr>
            </w:pPr>
            <w:r w:rsidRPr="001F3BA4">
              <w:rPr>
                <w:sz w:val="13"/>
                <w:szCs w:val="13"/>
              </w:rPr>
              <w:t>n</w:t>
            </w:r>
          </w:p>
        </w:tc>
        <w:tc>
          <w:tcPr>
            <w:tcW w:w="630" w:type="dxa"/>
            <w:tcMar>
              <w:left w:w="72" w:type="dxa"/>
              <w:right w:w="72" w:type="dxa"/>
            </w:tcMar>
          </w:tcPr>
          <w:p w14:paraId="3B088EF0" w14:textId="77777777" w:rsidR="0081652D" w:rsidRPr="001F3BA4" w:rsidRDefault="0081652D" w:rsidP="001F3BA4">
            <w:pPr>
              <w:pStyle w:val="TableText"/>
              <w:jc w:val="right"/>
              <w:rPr>
                <w:sz w:val="13"/>
                <w:szCs w:val="13"/>
              </w:rPr>
            </w:pPr>
            <w:r w:rsidRPr="001F3BA4">
              <w:rPr>
                <w:sz w:val="13"/>
                <w:szCs w:val="13"/>
              </w:rPr>
              <w:t>Weighted n</w:t>
            </w:r>
          </w:p>
        </w:tc>
        <w:tc>
          <w:tcPr>
            <w:tcW w:w="794" w:type="dxa"/>
            <w:tcMar>
              <w:left w:w="72" w:type="dxa"/>
              <w:right w:w="72" w:type="dxa"/>
            </w:tcMar>
          </w:tcPr>
          <w:p w14:paraId="52606215" w14:textId="77777777" w:rsidR="0081652D" w:rsidRPr="001F3BA4" w:rsidRDefault="0081652D" w:rsidP="001F3BA4">
            <w:pPr>
              <w:pStyle w:val="TableText"/>
              <w:jc w:val="right"/>
              <w:rPr>
                <w:sz w:val="13"/>
                <w:szCs w:val="13"/>
              </w:rPr>
            </w:pPr>
            <w:r w:rsidRPr="001F3BA4">
              <w:rPr>
                <w:sz w:val="13"/>
                <w:szCs w:val="13"/>
              </w:rPr>
              <w:t>% (95%CI)</w:t>
            </w:r>
          </w:p>
        </w:tc>
        <w:tc>
          <w:tcPr>
            <w:tcW w:w="466" w:type="dxa"/>
            <w:tcMar>
              <w:left w:w="72" w:type="dxa"/>
              <w:right w:w="72" w:type="dxa"/>
            </w:tcMar>
          </w:tcPr>
          <w:p w14:paraId="569F91C0" w14:textId="77777777" w:rsidR="0081652D" w:rsidRPr="001F3BA4" w:rsidRDefault="0081652D" w:rsidP="001F3BA4">
            <w:pPr>
              <w:pStyle w:val="TableText"/>
              <w:jc w:val="right"/>
              <w:rPr>
                <w:sz w:val="13"/>
                <w:szCs w:val="13"/>
              </w:rPr>
            </w:pPr>
            <w:r w:rsidRPr="001F3BA4">
              <w:rPr>
                <w:sz w:val="13"/>
                <w:szCs w:val="13"/>
              </w:rPr>
              <w:t>n</w:t>
            </w:r>
          </w:p>
        </w:tc>
        <w:tc>
          <w:tcPr>
            <w:tcW w:w="630" w:type="dxa"/>
            <w:tcMar>
              <w:left w:w="72" w:type="dxa"/>
              <w:right w:w="72" w:type="dxa"/>
            </w:tcMar>
          </w:tcPr>
          <w:p w14:paraId="42A74F96" w14:textId="77777777" w:rsidR="0081652D" w:rsidRPr="001F3BA4" w:rsidRDefault="0081652D" w:rsidP="001F3BA4">
            <w:pPr>
              <w:pStyle w:val="TableText"/>
              <w:jc w:val="right"/>
              <w:rPr>
                <w:sz w:val="13"/>
                <w:szCs w:val="13"/>
              </w:rPr>
            </w:pPr>
            <w:r w:rsidRPr="001F3BA4">
              <w:rPr>
                <w:sz w:val="13"/>
                <w:szCs w:val="13"/>
              </w:rPr>
              <w:t>Weighted n</w:t>
            </w:r>
          </w:p>
        </w:tc>
        <w:tc>
          <w:tcPr>
            <w:tcW w:w="698" w:type="dxa"/>
            <w:tcMar>
              <w:left w:w="72" w:type="dxa"/>
              <w:right w:w="72" w:type="dxa"/>
            </w:tcMar>
          </w:tcPr>
          <w:p w14:paraId="27A5095B" w14:textId="77777777" w:rsidR="0081652D" w:rsidRPr="001F3BA4" w:rsidRDefault="0081652D" w:rsidP="001F3BA4">
            <w:pPr>
              <w:pStyle w:val="TableText"/>
              <w:jc w:val="right"/>
              <w:rPr>
                <w:sz w:val="13"/>
                <w:szCs w:val="13"/>
              </w:rPr>
            </w:pPr>
            <w:r w:rsidRPr="001F3BA4">
              <w:rPr>
                <w:sz w:val="13"/>
                <w:szCs w:val="13"/>
              </w:rPr>
              <w:t>% (95%CI)</w:t>
            </w:r>
          </w:p>
        </w:tc>
        <w:tc>
          <w:tcPr>
            <w:tcW w:w="472" w:type="dxa"/>
            <w:tcMar>
              <w:left w:w="72" w:type="dxa"/>
              <w:right w:w="72" w:type="dxa"/>
            </w:tcMar>
          </w:tcPr>
          <w:p w14:paraId="0164B610" w14:textId="77777777" w:rsidR="0081652D" w:rsidRPr="001F3BA4" w:rsidRDefault="0081652D" w:rsidP="001F3BA4">
            <w:pPr>
              <w:pStyle w:val="TableText"/>
              <w:jc w:val="right"/>
              <w:rPr>
                <w:sz w:val="13"/>
                <w:szCs w:val="13"/>
              </w:rPr>
            </w:pPr>
            <w:r w:rsidRPr="001F3BA4">
              <w:rPr>
                <w:sz w:val="13"/>
                <w:szCs w:val="13"/>
              </w:rPr>
              <w:t>n</w:t>
            </w:r>
          </w:p>
        </w:tc>
        <w:tc>
          <w:tcPr>
            <w:tcW w:w="630" w:type="dxa"/>
            <w:tcMar>
              <w:left w:w="72" w:type="dxa"/>
              <w:right w:w="72" w:type="dxa"/>
            </w:tcMar>
          </w:tcPr>
          <w:p w14:paraId="0FA93AAA" w14:textId="77777777" w:rsidR="0081652D" w:rsidRPr="001F3BA4" w:rsidRDefault="0081652D" w:rsidP="001F3BA4">
            <w:pPr>
              <w:pStyle w:val="TableText"/>
              <w:jc w:val="right"/>
              <w:rPr>
                <w:sz w:val="13"/>
                <w:szCs w:val="13"/>
              </w:rPr>
            </w:pPr>
            <w:r w:rsidRPr="001F3BA4">
              <w:rPr>
                <w:sz w:val="13"/>
                <w:szCs w:val="13"/>
              </w:rPr>
              <w:t>Weighted n</w:t>
            </w:r>
          </w:p>
        </w:tc>
        <w:tc>
          <w:tcPr>
            <w:tcW w:w="693" w:type="dxa"/>
            <w:tcMar>
              <w:left w:w="72" w:type="dxa"/>
              <w:right w:w="72" w:type="dxa"/>
            </w:tcMar>
          </w:tcPr>
          <w:p w14:paraId="6A3C3DBC" w14:textId="77777777" w:rsidR="0081652D" w:rsidRPr="001F3BA4" w:rsidRDefault="0081652D" w:rsidP="001F3BA4">
            <w:pPr>
              <w:pStyle w:val="TableText"/>
              <w:jc w:val="right"/>
              <w:rPr>
                <w:sz w:val="13"/>
                <w:szCs w:val="13"/>
              </w:rPr>
            </w:pPr>
            <w:r w:rsidRPr="001F3BA4">
              <w:rPr>
                <w:sz w:val="13"/>
                <w:szCs w:val="13"/>
              </w:rPr>
              <w:t>% (95%CI)</w:t>
            </w:r>
          </w:p>
        </w:tc>
        <w:tc>
          <w:tcPr>
            <w:tcW w:w="387" w:type="dxa"/>
            <w:tcMar>
              <w:left w:w="72" w:type="dxa"/>
              <w:right w:w="72" w:type="dxa"/>
            </w:tcMar>
          </w:tcPr>
          <w:p w14:paraId="2419408F" w14:textId="77777777" w:rsidR="0081652D" w:rsidRPr="001F3BA4" w:rsidRDefault="0081652D" w:rsidP="001F3BA4">
            <w:pPr>
              <w:pStyle w:val="TableText"/>
              <w:jc w:val="right"/>
              <w:rPr>
                <w:sz w:val="13"/>
                <w:szCs w:val="13"/>
              </w:rPr>
            </w:pPr>
            <w:r w:rsidRPr="001F3BA4">
              <w:rPr>
                <w:sz w:val="13"/>
                <w:szCs w:val="13"/>
              </w:rPr>
              <w:t>n</w:t>
            </w:r>
          </w:p>
        </w:tc>
        <w:tc>
          <w:tcPr>
            <w:tcW w:w="630" w:type="dxa"/>
            <w:tcMar>
              <w:left w:w="72" w:type="dxa"/>
              <w:right w:w="72" w:type="dxa"/>
            </w:tcMar>
          </w:tcPr>
          <w:p w14:paraId="77CE7547" w14:textId="77777777" w:rsidR="0081652D" w:rsidRPr="001F3BA4" w:rsidRDefault="0081652D" w:rsidP="001F3BA4">
            <w:pPr>
              <w:pStyle w:val="TableText"/>
              <w:jc w:val="right"/>
              <w:rPr>
                <w:sz w:val="13"/>
                <w:szCs w:val="13"/>
              </w:rPr>
            </w:pPr>
            <w:r w:rsidRPr="001F3BA4">
              <w:rPr>
                <w:sz w:val="13"/>
                <w:szCs w:val="13"/>
              </w:rPr>
              <w:t>Weighted n</w:t>
            </w:r>
          </w:p>
        </w:tc>
        <w:tc>
          <w:tcPr>
            <w:tcW w:w="778" w:type="dxa"/>
            <w:tcMar>
              <w:left w:w="72" w:type="dxa"/>
              <w:right w:w="72" w:type="dxa"/>
            </w:tcMar>
          </w:tcPr>
          <w:p w14:paraId="46762200" w14:textId="77777777" w:rsidR="0081652D" w:rsidRPr="001F3BA4" w:rsidRDefault="0081652D" w:rsidP="001F3BA4">
            <w:pPr>
              <w:pStyle w:val="TableText"/>
              <w:jc w:val="right"/>
              <w:rPr>
                <w:sz w:val="13"/>
                <w:szCs w:val="13"/>
              </w:rPr>
            </w:pPr>
            <w:r w:rsidRPr="001F3BA4">
              <w:rPr>
                <w:sz w:val="13"/>
                <w:szCs w:val="13"/>
              </w:rPr>
              <w:t>% (95%CI)</w:t>
            </w:r>
          </w:p>
        </w:tc>
      </w:tr>
      <w:tr w:rsidR="00BD41F3" w:rsidRPr="004565F5" w14:paraId="3EFE47A5"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3C2B3055" w14:textId="77777777" w:rsidR="0081652D" w:rsidRPr="00F9389A" w:rsidRDefault="0081652D" w:rsidP="00D46588">
            <w:pPr>
              <w:pStyle w:val="TableText"/>
              <w:rPr>
                <w:b/>
                <w:szCs w:val="14"/>
              </w:rPr>
            </w:pPr>
            <w:r w:rsidRPr="00F9389A">
              <w:rPr>
                <w:b/>
                <w:bCs/>
                <w:color w:val="000000" w:themeColor="text1"/>
                <w:szCs w:val="14"/>
              </w:rPr>
              <w:t>Probable 30-day disorder</w:t>
            </w:r>
          </w:p>
        </w:tc>
        <w:tc>
          <w:tcPr>
            <w:tcW w:w="360" w:type="dxa"/>
            <w:tcMar>
              <w:left w:w="72" w:type="dxa"/>
              <w:right w:w="72" w:type="dxa"/>
            </w:tcMar>
          </w:tcPr>
          <w:p w14:paraId="5FEA0E5C" w14:textId="77777777" w:rsidR="0081652D" w:rsidRPr="00A97F11" w:rsidRDefault="0081652D" w:rsidP="00D46588">
            <w:pPr>
              <w:pStyle w:val="TableText"/>
              <w:jc w:val="right"/>
              <w:rPr>
                <w:sz w:val="13"/>
                <w:szCs w:val="13"/>
              </w:rPr>
            </w:pPr>
          </w:p>
        </w:tc>
        <w:tc>
          <w:tcPr>
            <w:tcW w:w="630" w:type="dxa"/>
            <w:tcMar>
              <w:left w:w="72" w:type="dxa"/>
              <w:right w:w="72" w:type="dxa"/>
            </w:tcMar>
          </w:tcPr>
          <w:p w14:paraId="3135C553" w14:textId="77777777" w:rsidR="0081652D" w:rsidRPr="00A97F11" w:rsidRDefault="0081652D" w:rsidP="00D46588">
            <w:pPr>
              <w:pStyle w:val="TableText"/>
              <w:jc w:val="right"/>
              <w:rPr>
                <w:sz w:val="13"/>
                <w:szCs w:val="13"/>
              </w:rPr>
            </w:pPr>
          </w:p>
        </w:tc>
        <w:tc>
          <w:tcPr>
            <w:tcW w:w="804" w:type="dxa"/>
            <w:tcMar>
              <w:left w:w="72" w:type="dxa"/>
              <w:right w:w="72" w:type="dxa"/>
            </w:tcMar>
          </w:tcPr>
          <w:p w14:paraId="76DFDC30" w14:textId="77777777" w:rsidR="0081652D" w:rsidRPr="00A97F11" w:rsidRDefault="0081652D" w:rsidP="00D46588">
            <w:pPr>
              <w:pStyle w:val="TableText"/>
              <w:jc w:val="right"/>
              <w:rPr>
                <w:sz w:val="13"/>
                <w:szCs w:val="13"/>
              </w:rPr>
            </w:pPr>
          </w:p>
        </w:tc>
        <w:tc>
          <w:tcPr>
            <w:tcW w:w="456" w:type="dxa"/>
            <w:tcMar>
              <w:left w:w="72" w:type="dxa"/>
              <w:right w:w="72" w:type="dxa"/>
            </w:tcMar>
          </w:tcPr>
          <w:p w14:paraId="050F11E1" w14:textId="77777777" w:rsidR="0081652D" w:rsidRPr="00A97F11" w:rsidRDefault="0081652D" w:rsidP="00D46588">
            <w:pPr>
              <w:pStyle w:val="TableText"/>
              <w:jc w:val="right"/>
              <w:rPr>
                <w:sz w:val="13"/>
                <w:szCs w:val="13"/>
              </w:rPr>
            </w:pPr>
          </w:p>
        </w:tc>
        <w:tc>
          <w:tcPr>
            <w:tcW w:w="630" w:type="dxa"/>
            <w:tcMar>
              <w:left w:w="72" w:type="dxa"/>
              <w:right w:w="72" w:type="dxa"/>
            </w:tcMar>
          </w:tcPr>
          <w:p w14:paraId="2E2DA2B5" w14:textId="77777777" w:rsidR="0081652D" w:rsidRPr="00A97F11" w:rsidRDefault="0081652D" w:rsidP="00D46588">
            <w:pPr>
              <w:pStyle w:val="TableText"/>
              <w:jc w:val="right"/>
              <w:rPr>
                <w:sz w:val="13"/>
                <w:szCs w:val="13"/>
              </w:rPr>
            </w:pPr>
          </w:p>
        </w:tc>
        <w:tc>
          <w:tcPr>
            <w:tcW w:w="709" w:type="dxa"/>
            <w:tcMar>
              <w:left w:w="72" w:type="dxa"/>
              <w:right w:w="72" w:type="dxa"/>
            </w:tcMar>
          </w:tcPr>
          <w:p w14:paraId="27C7B58C" w14:textId="77777777" w:rsidR="0081652D" w:rsidRPr="00A97F11" w:rsidRDefault="0081652D" w:rsidP="00D46588">
            <w:pPr>
              <w:pStyle w:val="TableText"/>
              <w:jc w:val="right"/>
              <w:rPr>
                <w:sz w:val="13"/>
                <w:szCs w:val="13"/>
              </w:rPr>
            </w:pPr>
          </w:p>
        </w:tc>
        <w:tc>
          <w:tcPr>
            <w:tcW w:w="371" w:type="dxa"/>
            <w:tcMar>
              <w:left w:w="72" w:type="dxa"/>
              <w:right w:w="72" w:type="dxa"/>
            </w:tcMar>
          </w:tcPr>
          <w:p w14:paraId="338C93C0" w14:textId="77777777" w:rsidR="0081652D" w:rsidRPr="00A97F11" w:rsidRDefault="0081652D" w:rsidP="00D46588">
            <w:pPr>
              <w:pStyle w:val="TableText"/>
              <w:jc w:val="right"/>
              <w:rPr>
                <w:sz w:val="13"/>
                <w:szCs w:val="13"/>
              </w:rPr>
            </w:pPr>
          </w:p>
        </w:tc>
        <w:tc>
          <w:tcPr>
            <w:tcW w:w="630" w:type="dxa"/>
            <w:tcMar>
              <w:left w:w="72" w:type="dxa"/>
              <w:right w:w="72" w:type="dxa"/>
            </w:tcMar>
          </w:tcPr>
          <w:p w14:paraId="330D0910" w14:textId="77777777" w:rsidR="0081652D" w:rsidRPr="00A97F11" w:rsidRDefault="0081652D" w:rsidP="00D46588">
            <w:pPr>
              <w:pStyle w:val="TableText"/>
              <w:jc w:val="right"/>
              <w:rPr>
                <w:sz w:val="13"/>
                <w:szCs w:val="13"/>
              </w:rPr>
            </w:pPr>
          </w:p>
        </w:tc>
        <w:tc>
          <w:tcPr>
            <w:tcW w:w="794" w:type="dxa"/>
            <w:tcMar>
              <w:left w:w="72" w:type="dxa"/>
              <w:right w:w="72" w:type="dxa"/>
            </w:tcMar>
          </w:tcPr>
          <w:p w14:paraId="16217C43" w14:textId="77777777" w:rsidR="0081652D" w:rsidRPr="00A97F11" w:rsidRDefault="0081652D" w:rsidP="00D46588">
            <w:pPr>
              <w:pStyle w:val="TableText"/>
              <w:jc w:val="right"/>
              <w:rPr>
                <w:sz w:val="13"/>
                <w:szCs w:val="13"/>
              </w:rPr>
            </w:pPr>
          </w:p>
        </w:tc>
        <w:tc>
          <w:tcPr>
            <w:tcW w:w="466" w:type="dxa"/>
            <w:tcMar>
              <w:left w:w="72" w:type="dxa"/>
              <w:right w:w="72" w:type="dxa"/>
            </w:tcMar>
          </w:tcPr>
          <w:p w14:paraId="1DA8DAD4" w14:textId="77777777" w:rsidR="0081652D" w:rsidRPr="00A97F11" w:rsidRDefault="0081652D" w:rsidP="00D46588">
            <w:pPr>
              <w:pStyle w:val="TableText"/>
              <w:jc w:val="right"/>
              <w:rPr>
                <w:sz w:val="13"/>
                <w:szCs w:val="13"/>
              </w:rPr>
            </w:pPr>
          </w:p>
        </w:tc>
        <w:tc>
          <w:tcPr>
            <w:tcW w:w="630" w:type="dxa"/>
            <w:tcMar>
              <w:left w:w="72" w:type="dxa"/>
              <w:right w:w="72" w:type="dxa"/>
            </w:tcMar>
          </w:tcPr>
          <w:p w14:paraId="71DFAB3D" w14:textId="77777777" w:rsidR="0081652D" w:rsidRPr="00A97F11" w:rsidRDefault="0081652D" w:rsidP="00D46588">
            <w:pPr>
              <w:pStyle w:val="TableText"/>
              <w:jc w:val="right"/>
              <w:rPr>
                <w:sz w:val="13"/>
                <w:szCs w:val="13"/>
              </w:rPr>
            </w:pPr>
          </w:p>
        </w:tc>
        <w:tc>
          <w:tcPr>
            <w:tcW w:w="698" w:type="dxa"/>
            <w:tcMar>
              <w:left w:w="72" w:type="dxa"/>
              <w:right w:w="72" w:type="dxa"/>
            </w:tcMar>
          </w:tcPr>
          <w:p w14:paraId="2CB93427" w14:textId="77777777" w:rsidR="0081652D" w:rsidRPr="00A97F11" w:rsidRDefault="0081652D" w:rsidP="00D46588">
            <w:pPr>
              <w:pStyle w:val="TableText"/>
              <w:jc w:val="right"/>
              <w:rPr>
                <w:sz w:val="13"/>
                <w:szCs w:val="13"/>
              </w:rPr>
            </w:pPr>
          </w:p>
        </w:tc>
        <w:tc>
          <w:tcPr>
            <w:tcW w:w="472" w:type="dxa"/>
            <w:tcMar>
              <w:left w:w="72" w:type="dxa"/>
              <w:right w:w="72" w:type="dxa"/>
            </w:tcMar>
          </w:tcPr>
          <w:p w14:paraId="581292B6" w14:textId="77777777" w:rsidR="0081652D" w:rsidRPr="00A97F11" w:rsidRDefault="0081652D" w:rsidP="00D46588">
            <w:pPr>
              <w:pStyle w:val="TableText"/>
              <w:jc w:val="right"/>
              <w:rPr>
                <w:sz w:val="13"/>
                <w:szCs w:val="13"/>
              </w:rPr>
            </w:pPr>
          </w:p>
        </w:tc>
        <w:tc>
          <w:tcPr>
            <w:tcW w:w="630" w:type="dxa"/>
            <w:tcMar>
              <w:left w:w="72" w:type="dxa"/>
              <w:right w:w="72" w:type="dxa"/>
            </w:tcMar>
          </w:tcPr>
          <w:p w14:paraId="5B932216" w14:textId="77777777" w:rsidR="0081652D" w:rsidRPr="00A97F11" w:rsidRDefault="0081652D" w:rsidP="00D46588">
            <w:pPr>
              <w:pStyle w:val="TableText"/>
              <w:jc w:val="right"/>
              <w:rPr>
                <w:sz w:val="13"/>
                <w:szCs w:val="13"/>
              </w:rPr>
            </w:pPr>
          </w:p>
        </w:tc>
        <w:tc>
          <w:tcPr>
            <w:tcW w:w="693" w:type="dxa"/>
            <w:tcMar>
              <w:left w:w="72" w:type="dxa"/>
              <w:right w:w="72" w:type="dxa"/>
            </w:tcMar>
          </w:tcPr>
          <w:p w14:paraId="368F9B42" w14:textId="77777777" w:rsidR="0081652D" w:rsidRPr="00A97F11" w:rsidRDefault="0081652D" w:rsidP="00D46588">
            <w:pPr>
              <w:pStyle w:val="TableText"/>
              <w:jc w:val="right"/>
              <w:rPr>
                <w:sz w:val="13"/>
                <w:szCs w:val="13"/>
              </w:rPr>
            </w:pPr>
          </w:p>
        </w:tc>
        <w:tc>
          <w:tcPr>
            <w:tcW w:w="387" w:type="dxa"/>
            <w:tcMar>
              <w:left w:w="72" w:type="dxa"/>
              <w:right w:w="72" w:type="dxa"/>
            </w:tcMar>
          </w:tcPr>
          <w:p w14:paraId="3E43F0B8" w14:textId="77777777" w:rsidR="0081652D" w:rsidRPr="00A97F11" w:rsidRDefault="0081652D" w:rsidP="00D46588">
            <w:pPr>
              <w:pStyle w:val="TableText"/>
              <w:jc w:val="right"/>
              <w:rPr>
                <w:sz w:val="13"/>
                <w:szCs w:val="13"/>
              </w:rPr>
            </w:pPr>
          </w:p>
        </w:tc>
        <w:tc>
          <w:tcPr>
            <w:tcW w:w="630" w:type="dxa"/>
            <w:tcMar>
              <w:left w:w="72" w:type="dxa"/>
              <w:right w:w="72" w:type="dxa"/>
            </w:tcMar>
          </w:tcPr>
          <w:p w14:paraId="4F769018" w14:textId="77777777" w:rsidR="0081652D" w:rsidRPr="00A97F11" w:rsidRDefault="0081652D" w:rsidP="00D46588">
            <w:pPr>
              <w:pStyle w:val="TableText"/>
              <w:jc w:val="right"/>
              <w:rPr>
                <w:sz w:val="13"/>
                <w:szCs w:val="13"/>
              </w:rPr>
            </w:pPr>
          </w:p>
        </w:tc>
        <w:tc>
          <w:tcPr>
            <w:tcW w:w="778" w:type="dxa"/>
            <w:tcMar>
              <w:left w:w="72" w:type="dxa"/>
              <w:right w:w="72" w:type="dxa"/>
            </w:tcMar>
          </w:tcPr>
          <w:p w14:paraId="1282CCFA" w14:textId="77777777" w:rsidR="0081652D" w:rsidRPr="00A97F11" w:rsidRDefault="0081652D" w:rsidP="00D46588">
            <w:pPr>
              <w:pStyle w:val="TableText"/>
              <w:jc w:val="right"/>
              <w:rPr>
                <w:sz w:val="13"/>
                <w:szCs w:val="13"/>
              </w:rPr>
            </w:pPr>
          </w:p>
        </w:tc>
      </w:tr>
      <w:tr w:rsidR="00A97F11" w:rsidRPr="004565F5" w14:paraId="53C652D4" w14:textId="77777777" w:rsidTr="001F3BA4">
        <w:trPr>
          <w:cantSplit/>
        </w:trPr>
        <w:tc>
          <w:tcPr>
            <w:tcW w:w="738" w:type="dxa"/>
          </w:tcPr>
          <w:p w14:paraId="3C0F60F4" w14:textId="77777777" w:rsidR="0081652D" w:rsidRPr="00F9389A" w:rsidRDefault="0081652D" w:rsidP="00D46588">
            <w:pPr>
              <w:pStyle w:val="TableText"/>
              <w:rPr>
                <w:bCs/>
                <w:color w:val="000000" w:themeColor="text1"/>
                <w:szCs w:val="14"/>
              </w:rPr>
            </w:pPr>
            <w:r w:rsidRPr="00F9389A">
              <w:rPr>
                <w:bCs/>
                <w:color w:val="000000" w:themeColor="text1"/>
                <w:szCs w:val="14"/>
              </w:rPr>
              <w:t>Yes</w:t>
            </w:r>
          </w:p>
        </w:tc>
        <w:tc>
          <w:tcPr>
            <w:tcW w:w="360" w:type="dxa"/>
            <w:tcMar>
              <w:left w:w="72" w:type="dxa"/>
              <w:right w:w="72" w:type="dxa"/>
            </w:tcMar>
          </w:tcPr>
          <w:p w14:paraId="35074C94" w14:textId="77777777" w:rsidR="0081652D" w:rsidRPr="00A97F11" w:rsidRDefault="0081652D" w:rsidP="00D46588">
            <w:pPr>
              <w:pStyle w:val="TableText"/>
              <w:jc w:val="right"/>
              <w:rPr>
                <w:sz w:val="13"/>
                <w:szCs w:val="13"/>
              </w:rPr>
            </w:pPr>
            <w:r w:rsidRPr="00A97F11">
              <w:rPr>
                <w:sz w:val="13"/>
                <w:szCs w:val="13"/>
              </w:rPr>
              <w:t>12</w:t>
            </w:r>
          </w:p>
        </w:tc>
        <w:tc>
          <w:tcPr>
            <w:tcW w:w="630" w:type="dxa"/>
            <w:tcMar>
              <w:left w:w="72" w:type="dxa"/>
              <w:right w:w="72" w:type="dxa"/>
            </w:tcMar>
          </w:tcPr>
          <w:p w14:paraId="74119EBB" w14:textId="77777777" w:rsidR="0081652D" w:rsidRPr="00A97F11" w:rsidRDefault="0081652D" w:rsidP="00D46588">
            <w:pPr>
              <w:pStyle w:val="TableText"/>
              <w:jc w:val="right"/>
              <w:rPr>
                <w:sz w:val="13"/>
                <w:szCs w:val="13"/>
              </w:rPr>
            </w:pPr>
            <w:r w:rsidRPr="00A97F11">
              <w:rPr>
                <w:sz w:val="13"/>
                <w:szCs w:val="13"/>
              </w:rPr>
              <w:t>83</w:t>
            </w:r>
          </w:p>
        </w:tc>
        <w:tc>
          <w:tcPr>
            <w:tcW w:w="804" w:type="dxa"/>
            <w:tcMar>
              <w:left w:w="72" w:type="dxa"/>
              <w:right w:w="72" w:type="dxa"/>
            </w:tcMar>
          </w:tcPr>
          <w:p w14:paraId="63036B63" w14:textId="77777777" w:rsidR="0081652D" w:rsidRPr="00A97F11" w:rsidRDefault="0081652D" w:rsidP="0081652D">
            <w:pPr>
              <w:pStyle w:val="TableText"/>
              <w:jc w:val="right"/>
              <w:rPr>
                <w:sz w:val="13"/>
                <w:szCs w:val="13"/>
              </w:rPr>
            </w:pPr>
            <w:r w:rsidRPr="00A97F11">
              <w:rPr>
                <w:sz w:val="13"/>
                <w:szCs w:val="13"/>
              </w:rPr>
              <w:t>3.1 (1.5, 6.1)</w:t>
            </w:r>
          </w:p>
        </w:tc>
        <w:tc>
          <w:tcPr>
            <w:tcW w:w="456" w:type="dxa"/>
            <w:tcMar>
              <w:left w:w="72" w:type="dxa"/>
              <w:right w:w="72" w:type="dxa"/>
            </w:tcMar>
          </w:tcPr>
          <w:p w14:paraId="153B8DC2" w14:textId="77777777" w:rsidR="0081652D" w:rsidRPr="00A97F11" w:rsidRDefault="0081652D" w:rsidP="00D46588">
            <w:pPr>
              <w:pStyle w:val="TableText"/>
              <w:jc w:val="right"/>
              <w:rPr>
                <w:sz w:val="13"/>
                <w:szCs w:val="13"/>
              </w:rPr>
            </w:pPr>
            <w:r w:rsidRPr="00A97F11">
              <w:rPr>
                <w:sz w:val="13"/>
                <w:szCs w:val="13"/>
              </w:rPr>
              <w:t>194</w:t>
            </w:r>
          </w:p>
        </w:tc>
        <w:tc>
          <w:tcPr>
            <w:tcW w:w="630" w:type="dxa"/>
            <w:tcMar>
              <w:left w:w="72" w:type="dxa"/>
              <w:right w:w="72" w:type="dxa"/>
            </w:tcMar>
          </w:tcPr>
          <w:p w14:paraId="28BA0852" w14:textId="77777777" w:rsidR="0081652D" w:rsidRPr="00A97F11" w:rsidRDefault="0081652D" w:rsidP="00D46588">
            <w:pPr>
              <w:pStyle w:val="TableText"/>
              <w:jc w:val="right"/>
              <w:rPr>
                <w:sz w:val="13"/>
                <w:szCs w:val="13"/>
              </w:rPr>
            </w:pPr>
            <w:r w:rsidRPr="00A97F11">
              <w:rPr>
                <w:sz w:val="13"/>
                <w:szCs w:val="13"/>
              </w:rPr>
              <w:t>1249</w:t>
            </w:r>
          </w:p>
        </w:tc>
        <w:tc>
          <w:tcPr>
            <w:tcW w:w="709" w:type="dxa"/>
            <w:tcMar>
              <w:left w:w="72" w:type="dxa"/>
              <w:right w:w="72" w:type="dxa"/>
            </w:tcMar>
          </w:tcPr>
          <w:p w14:paraId="03DDF827" w14:textId="77777777" w:rsidR="0081652D" w:rsidRPr="00A97F11" w:rsidRDefault="0081652D" w:rsidP="0081652D">
            <w:pPr>
              <w:pStyle w:val="TableText"/>
              <w:jc w:val="right"/>
              <w:rPr>
                <w:sz w:val="13"/>
                <w:szCs w:val="13"/>
              </w:rPr>
            </w:pPr>
            <w:r w:rsidRPr="00A97F11">
              <w:rPr>
                <w:sz w:val="13"/>
                <w:szCs w:val="13"/>
              </w:rPr>
              <w:t>46.2 (40.2, 52.4)</w:t>
            </w:r>
          </w:p>
        </w:tc>
        <w:tc>
          <w:tcPr>
            <w:tcW w:w="371" w:type="dxa"/>
            <w:tcMar>
              <w:left w:w="72" w:type="dxa"/>
              <w:right w:w="72" w:type="dxa"/>
            </w:tcMar>
          </w:tcPr>
          <w:p w14:paraId="758592C8" w14:textId="77777777" w:rsidR="0081652D" w:rsidRPr="00A97F11" w:rsidRDefault="0081652D" w:rsidP="00D46588">
            <w:pPr>
              <w:pStyle w:val="TableText"/>
              <w:jc w:val="right"/>
              <w:rPr>
                <w:sz w:val="13"/>
                <w:szCs w:val="13"/>
              </w:rPr>
            </w:pPr>
            <w:r w:rsidRPr="00A97F11">
              <w:rPr>
                <w:sz w:val="13"/>
                <w:szCs w:val="13"/>
              </w:rPr>
              <w:t>174</w:t>
            </w:r>
          </w:p>
        </w:tc>
        <w:tc>
          <w:tcPr>
            <w:tcW w:w="630" w:type="dxa"/>
            <w:tcMar>
              <w:left w:w="72" w:type="dxa"/>
              <w:right w:w="72" w:type="dxa"/>
            </w:tcMar>
          </w:tcPr>
          <w:p w14:paraId="205CFFB7" w14:textId="77777777" w:rsidR="0081652D" w:rsidRPr="00A97F11" w:rsidRDefault="0081652D" w:rsidP="00D46588">
            <w:pPr>
              <w:pStyle w:val="TableText"/>
              <w:jc w:val="right"/>
              <w:rPr>
                <w:sz w:val="13"/>
                <w:szCs w:val="13"/>
              </w:rPr>
            </w:pPr>
            <w:r w:rsidRPr="00A97F11">
              <w:rPr>
                <w:sz w:val="13"/>
                <w:szCs w:val="13"/>
              </w:rPr>
              <w:t>1307</w:t>
            </w:r>
          </w:p>
        </w:tc>
        <w:tc>
          <w:tcPr>
            <w:tcW w:w="794" w:type="dxa"/>
            <w:tcMar>
              <w:left w:w="72" w:type="dxa"/>
              <w:right w:w="72" w:type="dxa"/>
            </w:tcMar>
          </w:tcPr>
          <w:p w14:paraId="2ACAC91A" w14:textId="77777777" w:rsidR="0081652D" w:rsidRPr="00A97F11" w:rsidRDefault="0081652D" w:rsidP="0081652D">
            <w:pPr>
              <w:pStyle w:val="TableText"/>
              <w:jc w:val="right"/>
              <w:rPr>
                <w:sz w:val="13"/>
                <w:szCs w:val="13"/>
              </w:rPr>
            </w:pPr>
            <w:r w:rsidRPr="00A97F11">
              <w:rPr>
                <w:sz w:val="13"/>
                <w:szCs w:val="13"/>
              </w:rPr>
              <w:t>48.4 (42.2, 54.6)</w:t>
            </w:r>
          </w:p>
        </w:tc>
        <w:tc>
          <w:tcPr>
            <w:tcW w:w="466" w:type="dxa"/>
            <w:tcMar>
              <w:left w:w="72" w:type="dxa"/>
              <w:right w:w="72" w:type="dxa"/>
            </w:tcMar>
          </w:tcPr>
          <w:p w14:paraId="4091B812" w14:textId="77777777" w:rsidR="0081652D" w:rsidRPr="00A97F11" w:rsidRDefault="0081652D" w:rsidP="00D46588">
            <w:pPr>
              <w:pStyle w:val="TableText"/>
              <w:jc w:val="right"/>
              <w:rPr>
                <w:sz w:val="13"/>
                <w:szCs w:val="13"/>
              </w:rPr>
            </w:pPr>
            <w:r w:rsidRPr="00A97F11">
              <w:rPr>
                <w:sz w:val="13"/>
                <w:szCs w:val="13"/>
              </w:rPr>
              <w:t>9</w:t>
            </w:r>
          </w:p>
        </w:tc>
        <w:tc>
          <w:tcPr>
            <w:tcW w:w="630" w:type="dxa"/>
            <w:tcMar>
              <w:left w:w="72" w:type="dxa"/>
              <w:right w:w="72" w:type="dxa"/>
            </w:tcMar>
          </w:tcPr>
          <w:p w14:paraId="314F6B46" w14:textId="77777777" w:rsidR="0081652D" w:rsidRPr="00A97F11" w:rsidRDefault="0081652D" w:rsidP="00D46588">
            <w:pPr>
              <w:pStyle w:val="TableText"/>
              <w:jc w:val="right"/>
              <w:rPr>
                <w:sz w:val="13"/>
                <w:szCs w:val="13"/>
              </w:rPr>
            </w:pPr>
            <w:r w:rsidRPr="00A97F11">
              <w:rPr>
                <w:sz w:val="13"/>
                <w:szCs w:val="13"/>
              </w:rPr>
              <w:t>39</w:t>
            </w:r>
          </w:p>
        </w:tc>
        <w:tc>
          <w:tcPr>
            <w:tcW w:w="698" w:type="dxa"/>
            <w:tcMar>
              <w:left w:w="72" w:type="dxa"/>
              <w:right w:w="72" w:type="dxa"/>
            </w:tcMar>
          </w:tcPr>
          <w:p w14:paraId="4ED32303" w14:textId="77777777" w:rsidR="0081652D" w:rsidRPr="00A97F11" w:rsidRDefault="0081652D" w:rsidP="0081652D">
            <w:pPr>
              <w:pStyle w:val="TableText"/>
              <w:jc w:val="right"/>
              <w:rPr>
                <w:sz w:val="13"/>
                <w:szCs w:val="13"/>
              </w:rPr>
            </w:pPr>
            <w:r w:rsidRPr="00A97F11">
              <w:rPr>
                <w:sz w:val="13"/>
                <w:szCs w:val="13"/>
              </w:rPr>
              <w:t>2.2 (0.9, 5.6)</w:t>
            </w:r>
          </w:p>
        </w:tc>
        <w:tc>
          <w:tcPr>
            <w:tcW w:w="472" w:type="dxa"/>
            <w:tcMar>
              <w:left w:w="72" w:type="dxa"/>
              <w:right w:w="72" w:type="dxa"/>
            </w:tcMar>
          </w:tcPr>
          <w:p w14:paraId="14F307FA" w14:textId="77777777" w:rsidR="0081652D" w:rsidRPr="00A97F11" w:rsidRDefault="0081652D" w:rsidP="00D46588">
            <w:pPr>
              <w:pStyle w:val="TableText"/>
              <w:jc w:val="right"/>
              <w:rPr>
                <w:sz w:val="13"/>
                <w:szCs w:val="13"/>
              </w:rPr>
            </w:pPr>
            <w:r w:rsidRPr="00A97F11">
              <w:rPr>
                <w:sz w:val="13"/>
                <w:szCs w:val="13"/>
              </w:rPr>
              <w:t>151</w:t>
            </w:r>
          </w:p>
        </w:tc>
        <w:tc>
          <w:tcPr>
            <w:tcW w:w="630" w:type="dxa"/>
            <w:tcMar>
              <w:left w:w="72" w:type="dxa"/>
              <w:right w:w="72" w:type="dxa"/>
            </w:tcMar>
          </w:tcPr>
          <w:p w14:paraId="4A85CC26" w14:textId="77777777" w:rsidR="0081652D" w:rsidRPr="00A97F11" w:rsidRDefault="0081652D" w:rsidP="00D46588">
            <w:pPr>
              <w:pStyle w:val="TableText"/>
              <w:jc w:val="right"/>
              <w:rPr>
                <w:sz w:val="13"/>
                <w:szCs w:val="13"/>
              </w:rPr>
            </w:pPr>
            <w:r w:rsidRPr="00A97F11">
              <w:rPr>
                <w:sz w:val="13"/>
                <w:szCs w:val="13"/>
              </w:rPr>
              <w:t>896</w:t>
            </w:r>
          </w:p>
        </w:tc>
        <w:tc>
          <w:tcPr>
            <w:tcW w:w="693" w:type="dxa"/>
            <w:tcMar>
              <w:left w:w="72" w:type="dxa"/>
              <w:right w:w="72" w:type="dxa"/>
            </w:tcMar>
          </w:tcPr>
          <w:p w14:paraId="09F5AED7" w14:textId="77777777" w:rsidR="0081652D" w:rsidRPr="00A97F11" w:rsidRDefault="0081652D" w:rsidP="0081652D">
            <w:pPr>
              <w:pStyle w:val="TableText"/>
              <w:jc w:val="right"/>
              <w:rPr>
                <w:sz w:val="13"/>
                <w:szCs w:val="13"/>
              </w:rPr>
            </w:pPr>
            <w:r w:rsidRPr="00A97F11">
              <w:rPr>
                <w:sz w:val="13"/>
                <w:szCs w:val="13"/>
              </w:rPr>
              <w:t>51.7 (29.8, 73.1)</w:t>
            </w:r>
          </w:p>
        </w:tc>
        <w:tc>
          <w:tcPr>
            <w:tcW w:w="387" w:type="dxa"/>
            <w:tcMar>
              <w:left w:w="72" w:type="dxa"/>
              <w:right w:w="72" w:type="dxa"/>
            </w:tcMar>
          </w:tcPr>
          <w:p w14:paraId="31412A33" w14:textId="77777777" w:rsidR="0081652D" w:rsidRPr="00A97F11" w:rsidRDefault="0081652D" w:rsidP="00D46588">
            <w:pPr>
              <w:pStyle w:val="TableText"/>
              <w:jc w:val="right"/>
              <w:rPr>
                <w:sz w:val="13"/>
                <w:szCs w:val="13"/>
              </w:rPr>
            </w:pPr>
            <w:r w:rsidRPr="00A97F11">
              <w:rPr>
                <w:sz w:val="13"/>
                <w:szCs w:val="13"/>
              </w:rPr>
              <w:t>115</w:t>
            </w:r>
          </w:p>
        </w:tc>
        <w:tc>
          <w:tcPr>
            <w:tcW w:w="630" w:type="dxa"/>
            <w:tcMar>
              <w:left w:w="72" w:type="dxa"/>
              <w:right w:w="72" w:type="dxa"/>
            </w:tcMar>
          </w:tcPr>
          <w:p w14:paraId="2BFCB3EE" w14:textId="77777777" w:rsidR="0081652D" w:rsidRPr="00A97F11" w:rsidRDefault="0081652D" w:rsidP="00D46588">
            <w:pPr>
              <w:pStyle w:val="TableText"/>
              <w:jc w:val="right"/>
              <w:rPr>
                <w:sz w:val="13"/>
                <w:szCs w:val="13"/>
              </w:rPr>
            </w:pPr>
            <w:r w:rsidRPr="00A97F11">
              <w:rPr>
                <w:sz w:val="13"/>
                <w:szCs w:val="13"/>
              </w:rPr>
              <w:t>784</w:t>
            </w:r>
          </w:p>
        </w:tc>
        <w:tc>
          <w:tcPr>
            <w:tcW w:w="778" w:type="dxa"/>
            <w:tcMar>
              <w:left w:w="72" w:type="dxa"/>
              <w:right w:w="72" w:type="dxa"/>
            </w:tcMar>
          </w:tcPr>
          <w:p w14:paraId="188F7D4B" w14:textId="77777777" w:rsidR="0081652D" w:rsidRPr="00A97F11" w:rsidRDefault="0081652D" w:rsidP="0081652D">
            <w:pPr>
              <w:pStyle w:val="TableText"/>
              <w:jc w:val="right"/>
              <w:rPr>
                <w:sz w:val="13"/>
                <w:szCs w:val="13"/>
              </w:rPr>
            </w:pPr>
            <w:r w:rsidRPr="00A97F11">
              <w:rPr>
                <w:sz w:val="13"/>
                <w:szCs w:val="13"/>
              </w:rPr>
              <w:t>45.3 (24.1, 68.3)</w:t>
            </w:r>
          </w:p>
        </w:tc>
      </w:tr>
      <w:tr w:rsidR="00BD41F3" w:rsidRPr="004565F5" w14:paraId="7FBC8475"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7A646BC6" w14:textId="77777777" w:rsidR="0081652D" w:rsidRPr="00F9389A" w:rsidRDefault="0081652D" w:rsidP="00D46588">
            <w:pPr>
              <w:pStyle w:val="TableText"/>
              <w:rPr>
                <w:bCs/>
                <w:color w:val="000000" w:themeColor="text1"/>
                <w:szCs w:val="14"/>
              </w:rPr>
            </w:pPr>
            <w:r w:rsidRPr="00F9389A">
              <w:rPr>
                <w:bCs/>
                <w:color w:val="000000" w:themeColor="text1"/>
                <w:szCs w:val="14"/>
              </w:rPr>
              <w:t xml:space="preserve">No </w:t>
            </w:r>
          </w:p>
        </w:tc>
        <w:tc>
          <w:tcPr>
            <w:tcW w:w="360" w:type="dxa"/>
            <w:tcMar>
              <w:left w:w="72" w:type="dxa"/>
              <w:right w:w="72" w:type="dxa"/>
            </w:tcMar>
          </w:tcPr>
          <w:p w14:paraId="7987862F"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5F33B1A2" w14:textId="77777777" w:rsidR="0081652D" w:rsidRPr="00A97F11" w:rsidRDefault="0081652D" w:rsidP="00D46588">
            <w:pPr>
              <w:pStyle w:val="TableText"/>
              <w:jc w:val="right"/>
              <w:rPr>
                <w:sz w:val="13"/>
                <w:szCs w:val="13"/>
              </w:rPr>
            </w:pPr>
            <w:r w:rsidRPr="00A97F11">
              <w:rPr>
                <w:sz w:val="13"/>
                <w:szCs w:val="13"/>
              </w:rPr>
              <w:t>–</w:t>
            </w:r>
          </w:p>
        </w:tc>
        <w:tc>
          <w:tcPr>
            <w:tcW w:w="804" w:type="dxa"/>
            <w:tcMar>
              <w:left w:w="72" w:type="dxa"/>
              <w:right w:w="72" w:type="dxa"/>
            </w:tcMar>
          </w:tcPr>
          <w:p w14:paraId="5D3277BB" w14:textId="77777777" w:rsidR="0081652D" w:rsidRPr="00A97F11" w:rsidRDefault="0081652D" w:rsidP="00D46588">
            <w:pPr>
              <w:pStyle w:val="TableText"/>
              <w:jc w:val="right"/>
              <w:rPr>
                <w:sz w:val="13"/>
                <w:szCs w:val="13"/>
              </w:rPr>
            </w:pPr>
            <w:r w:rsidRPr="00A97F11">
              <w:rPr>
                <w:sz w:val="13"/>
                <w:szCs w:val="13"/>
              </w:rPr>
              <w:t>–</w:t>
            </w:r>
          </w:p>
        </w:tc>
        <w:tc>
          <w:tcPr>
            <w:tcW w:w="456" w:type="dxa"/>
            <w:tcMar>
              <w:left w:w="72" w:type="dxa"/>
              <w:right w:w="72" w:type="dxa"/>
            </w:tcMar>
          </w:tcPr>
          <w:p w14:paraId="74281FA4" w14:textId="77777777" w:rsidR="0081652D" w:rsidRPr="00A97F11" w:rsidRDefault="0081652D" w:rsidP="00D46588">
            <w:pPr>
              <w:pStyle w:val="TableText"/>
              <w:jc w:val="right"/>
              <w:rPr>
                <w:sz w:val="13"/>
                <w:szCs w:val="13"/>
              </w:rPr>
            </w:pPr>
            <w:r w:rsidRPr="00A97F11">
              <w:rPr>
                <w:sz w:val="13"/>
                <w:szCs w:val="13"/>
              </w:rPr>
              <w:t>287</w:t>
            </w:r>
          </w:p>
        </w:tc>
        <w:tc>
          <w:tcPr>
            <w:tcW w:w="630" w:type="dxa"/>
            <w:tcMar>
              <w:left w:w="72" w:type="dxa"/>
              <w:right w:w="72" w:type="dxa"/>
            </w:tcMar>
          </w:tcPr>
          <w:p w14:paraId="4252C732" w14:textId="77777777" w:rsidR="0081652D" w:rsidRPr="00A97F11" w:rsidRDefault="0081652D" w:rsidP="00D46588">
            <w:pPr>
              <w:pStyle w:val="TableText"/>
              <w:jc w:val="right"/>
              <w:rPr>
                <w:sz w:val="13"/>
                <w:szCs w:val="13"/>
              </w:rPr>
            </w:pPr>
            <w:r w:rsidRPr="00A97F11">
              <w:rPr>
                <w:sz w:val="13"/>
                <w:szCs w:val="13"/>
              </w:rPr>
              <w:t>1947</w:t>
            </w:r>
          </w:p>
        </w:tc>
        <w:tc>
          <w:tcPr>
            <w:tcW w:w="709" w:type="dxa"/>
            <w:tcMar>
              <w:left w:w="72" w:type="dxa"/>
              <w:right w:w="72" w:type="dxa"/>
            </w:tcMar>
          </w:tcPr>
          <w:p w14:paraId="7CB0A34D" w14:textId="77777777" w:rsidR="0081652D" w:rsidRPr="00A97F11" w:rsidRDefault="0081652D" w:rsidP="0081652D">
            <w:pPr>
              <w:pStyle w:val="TableText"/>
              <w:jc w:val="right"/>
              <w:rPr>
                <w:sz w:val="13"/>
                <w:szCs w:val="13"/>
              </w:rPr>
            </w:pPr>
            <w:r w:rsidRPr="00A97F11">
              <w:rPr>
                <w:sz w:val="13"/>
                <w:szCs w:val="13"/>
              </w:rPr>
              <w:t>57.0 (51.1, 62.8)</w:t>
            </w:r>
          </w:p>
        </w:tc>
        <w:tc>
          <w:tcPr>
            <w:tcW w:w="371" w:type="dxa"/>
            <w:tcMar>
              <w:left w:w="72" w:type="dxa"/>
              <w:right w:w="72" w:type="dxa"/>
            </w:tcMar>
          </w:tcPr>
          <w:p w14:paraId="1F75AE85" w14:textId="77777777" w:rsidR="0081652D" w:rsidRPr="00A97F11" w:rsidRDefault="0081652D" w:rsidP="00D46588">
            <w:pPr>
              <w:pStyle w:val="TableText"/>
              <w:jc w:val="right"/>
              <w:rPr>
                <w:sz w:val="13"/>
                <w:szCs w:val="13"/>
              </w:rPr>
            </w:pPr>
            <w:r w:rsidRPr="00A97F11">
              <w:rPr>
                <w:sz w:val="13"/>
                <w:szCs w:val="13"/>
              </w:rPr>
              <w:t>169</w:t>
            </w:r>
          </w:p>
        </w:tc>
        <w:tc>
          <w:tcPr>
            <w:tcW w:w="630" w:type="dxa"/>
            <w:tcMar>
              <w:left w:w="72" w:type="dxa"/>
              <w:right w:w="72" w:type="dxa"/>
            </w:tcMar>
          </w:tcPr>
          <w:p w14:paraId="00B4ED60" w14:textId="77777777" w:rsidR="0081652D" w:rsidRPr="00A97F11" w:rsidRDefault="0081652D" w:rsidP="00D46588">
            <w:pPr>
              <w:pStyle w:val="TableText"/>
              <w:jc w:val="right"/>
              <w:rPr>
                <w:sz w:val="13"/>
                <w:szCs w:val="13"/>
              </w:rPr>
            </w:pPr>
            <w:r w:rsidRPr="00A97F11">
              <w:rPr>
                <w:sz w:val="13"/>
                <w:szCs w:val="13"/>
              </w:rPr>
              <w:t>1362</w:t>
            </w:r>
          </w:p>
        </w:tc>
        <w:tc>
          <w:tcPr>
            <w:tcW w:w="794" w:type="dxa"/>
            <w:tcMar>
              <w:left w:w="72" w:type="dxa"/>
              <w:right w:w="72" w:type="dxa"/>
            </w:tcMar>
          </w:tcPr>
          <w:p w14:paraId="3803332C" w14:textId="77777777" w:rsidR="0081652D" w:rsidRPr="00A97F11" w:rsidRDefault="0081652D" w:rsidP="0081652D">
            <w:pPr>
              <w:pStyle w:val="TableText"/>
              <w:jc w:val="right"/>
              <w:rPr>
                <w:sz w:val="13"/>
                <w:szCs w:val="13"/>
              </w:rPr>
            </w:pPr>
            <w:r w:rsidRPr="00A97F11">
              <w:rPr>
                <w:sz w:val="13"/>
                <w:szCs w:val="13"/>
              </w:rPr>
              <w:t>39.9 (34.3, 45.8)</w:t>
            </w:r>
          </w:p>
        </w:tc>
        <w:tc>
          <w:tcPr>
            <w:tcW w:w="466" w:type="dxa"/>
            <w:tcMar>
              <w:left w:w="72" w:type="dxa"/>
              <w:right w:w="72" w:type="dxa"/>
            </w:tcMar>
          </w:tcPr>
          <w:p w14:paraId="6DCEFAC5" w14:textId="77777777" w:rsidR="0081652D" w:rsidRPr="00A97F11" w:rsidRDefault="0081652D" w:rsidP="00D46588">
            <w:pPr>
              <w:pStyle w:val="TableText"/>
              <w:jc w:val="right"/>
              <w:rPr>
                <w:sz w:val="13"/>
                <w:szCs w:val="13"/>
              </w:rPr>
            </w:pPr>
            <w:r w:rsidRPr="00A97F11">
              <w:rPr>
                <w:sz w:val="13"/>
                <w:szCs w:val="13"/>
              </w:rPr>
              <w:t>9</w:t>
            </w:r>
          </w:p>
        </w:tc>
        <w:tc>
          <w:tcPr>
            <w:tcW w:w="630" w:type="dxa"/>
            <w:tcMar>
              <w:left w:w="72" w:type="dxa"/>
              <w:right w:w="72" w:type="dxa"/>
            </w:tcMar>
          </w:tcPr>
          <w:p w14:paraId="3877506D" w14:textId="77777777" w:rsidR="0081652D" w:rsidRPr="00A97F11" w:rsidRDefault="0081652D" w:rsidP="00D46588">
            <w:pPr>
              <w:pStyle w:val="TableText"/>
              <w:jc w:val="right"/>
              <w:rPr>
                <w:sz w:val="13"/>
                <w:szCs w:val="13"/>
              </w:rPr>
            </w:pPr>
            <w:r w:rsidRPr="00A97F11">
              <w:rPr>
                <w:sz w:val="13"/>
                <w:szCs w:val="13"/>
              </w:rPr>
              <w:t>43</w:t>
            </w:r>
          </w:p>
        </w:tc>
        <w:tc>
          <w:tcPr>
            <w:tcW w:w="698" w:type="dxa"/>
            <w:tcMar>
              <w:left w:w="72" w:type="dxa"/>
              <w:right w:w="72" w:type="dxa"/>
            </w:tcMar>
          </w:tcPr>
          <w:p w14:paraId="54553EFC" w14:textId="77777777" w:rsidR="0081652D" w:rsidRPr="00A97F11" w:rsidRDefault="0081652D" w:rsidP="0081652D">
            <w:pPr>
              <w:pStyle w:val="TableText"/>
              <w:jc w:val="right"/>
              <w:rPr>
                <w:sz w:val="13"/>
                <w:szCs w:val="13"/>
              </w:rPr>
            </w:pPr>
            <w:r w:rsidRPr="00A97F11">
              <w:rPr>
                <w:sz w:val="13"/>
                <w:szCs w:val="13"/>
              </w:rPr>
              <w:t>0.6 (0.3, 1.4)</w:t>
            </w:r>
          </w:p>
        </w:tc>
        <w:tc>
          <w:tcPr>
            <w:tcW w:w="472" w:type="dxa"/>
            <w:tcMar>
              <w:left w:w="72" w:type="dxa"/>
              <w:right w:w="72" w:type="dxa"/>
            </w:tcMar>
          </w:tcPr>
          <w:p w14:paraId="655E3E22" w14:textId="77777777" w:rsidR="0081652D" w:rsidRPr="00A97F11" w:rsidRDefault="0081652D" w:rsidP="00D46588">
            <w:pPr>
              <w:pStyle w:val="TableText"/>
              <w:jc w:val="right"/>
              <w:rPr>
                <w:sz w:val="13"/>
                <w:szCs w:val="13"/>
              </w:rPr>
            </w:pPr>
            <w:r w:rsidRPr="00A97F11">
              <w:rPr>
                <w:sz w:val="13"/>
                <w:szCs w:val="13"/>
              </w:rPr>
              <w:t>734</w:t>
            </w:r>
          </w:p>
        </w:tc>
        <w:tc>
          <w:tcPr>
            <w:tcW w:w="630" w:type="dxa"/>
            <w:tcMar>
              <w:left w:w="72" w:type="dxa"/>
              <w:right w:w="72" w:type="dxa"/>
            </w:tcMar>
          </w:tcPr>
          <w:p w14:paraId="6B829077" w14:textId="77777777" w:rsidR="0081652D" w:rsidRPr="00A97F11" w:rsidRDefault="0081652D" w:rsidP="00D46588">
            <w:pPr>
              <w:pStyle w:val="TableText"/>
              <w:jc w:val="right"/>
              <w:rPr>
                <w:sz w:val="13"/>
                <w:szCs w:val="13"/>
              </w:rPr>
            </w:pPr>
            <w:r w:rsidRPr="00A97F11">
              <w:rPr>
                <w:sz w:val="13"/>
                <w:szCs w:val="13"/>
              </w:rPr>
              <w:t>4748</w:t>
            </w:r>
          </w:p>
        </w:tc>
        <w:tc>
          <w:tcPr>
            <w:tcW w:w="693" w:type="dxa"/>
            <w:tcMar>
              <w:left w:w="72" w:type="dxa"/>
              <w:right w:w="72" w:type="dxa"/>
            </w:tcMar>
          </w:tcPr>
          <w:p w14:paraId="0AED1793" w14:textId="77777777" w:rsidR="0081652D" w:rsidRPr="00A97F11" w:rsidRDefault="0081652D" w:rsidP="0081652D">
            <w:pPr>
              <w:pStyle w:val="TableText"/>
              <w:jc w:val="right"/>
              <w:rPr>
                <w:sz w:val="13"/>
                <w:szCs w:val="13"/>
              </w:rPr>
            </w:pPr>
            <w:r w:rsidRPr="00A97F11">
              <w:rPr>
                <w:sz w:val="13"/>
                <w:szCs w:val="13"/>
              </w:rPr>
              <w:t>64.9 (54.8, 73.9)</w:t>
            </w:r>
          </w:p>
        </w:tc>
        <w:tc>
          <w:tcPr>
            <w:tcW w:w="387" w:type="dxa"/>
            <w:tcMar>
              <w:left w:w="72" w:type="dxa"/>
              <w:right w:w="72" w:type="dxa"/>
            </w:tcMar>
          </w:tcPr>
          <w:p w14:paraId="44AE1D12" w14:textId="77777777" w:rsidR="0081652D" w:rsidRPr="00A97F11" w:rsidRDefault="0081652D" w:rsidP="00D46588">
            <w:pPr>
              <w:pStyle w:val="TableText"/>
              <w:jc w:val="right"/>
              <w:rPr>
                <w:sz w:val="13"/>
                <w:szCs w:val="13"/>
              </w:rPr>
            </w:pPr>
            <w:r w:rsidRPr="00A97F11">
              <w:rPr>
                <w:sz w:val="13"/>
                <w:szCs w:val="13"/>
              </w:rPr>
              <w:t>390</w:t>
            </w:r>
          </w:p>
        </w:tc>
        <w:tc>
          <w:tcPr>
            <w:tcW w:w="630" w:type="dxa"/>
            <w:tcMar>
              <w:left w:w="72" w:type="dxa"/>
              <w:right w:w="72" w:type="dxa"/>
            </w:tcMar>
          </w:tcPr>
          <w:p w14:paraId="669E1DFE" w14:textId="77777777" w:rsidR="0081652D" w:rsidRPr="00A97F11" w:rsidRDefault="0081652D" w:rsidP="00D46588">
            <w:pPr>
              <w:pStyle w:val="TableText"/>
              <w:jc w:val="right"/>
              <w:rPr>
                <w:sz w:val="13"/>
                <w:szCs w:val="13"/>
              </w:rPr>
            </w:pPr>
            <w:r w:rsidRPr="00A97F11">
              <w:rPr>
                <w:sz w:val="13"/>
                <w:szCs w:val="13"/>
              </w:rPr>
              <w:t>2389</w:t>
            </w:r>
          </w:p>
        </w:tc>
        <w:tc>
          <w:tcPr>
            <w:tcW w:w="778" w:type="dxa"/>
            <w:tcMar>
              <w:left w:w="72" w:type="dxa"/>
              <w:right w:w="72" w:type="dxa"/>
            </w:tcMar>
          </w:tcPr>
          <w:p w14:paraId="5AF18D09" w14:textId="77777777" w:rsidR="0081652D" w:rsidRPr="00A97F11" w:rsidRDefault="0081652D" w:rsidP="0081652D">
            <w:pPr>
              <w:pStyle w:val="TableText"/>
              <w:jc w:val="right"/>
              <w:rPr>
                <w:sz w:val="13"/>
                <w:szCs w:val="13"/>
              </w:rPr>
            </w:pPr>
            <w:r w:rsidRPr="00A97F11">
              <w:rPr>
                <w:sz w:val="13"/>
                <w:szCs w:val="13"/>
              </w:rPr>
              <w:t>32.7 (23.9, 42.9)</w:t>
            </w:r>
          </w:p>
        </w:tc>
      </w:tr>
      <w:tr w:rsidR="00A97F11" w:rsidRPr="004565F5" w14:paraId="25149F37" w14:textId="77777777" w:rsidTr="001F3BA4">
        <w:trPr>
          <w:cantSplit/>
        </w:trPr>
        <w:tc>
          <w:tcPr>
            <w:tcW w:w="738" w:type="dxa"/>
          </w:tcPr>
          <w:p w14:paraId="7E3275CF" w14:textId="77777777" w:rsidR="0081652D" w:rsidRPr="00F9389A" w:rsidRDefault="0081652D" w:rsidP="00D46588">
            <w:pPr>
              <w:pStyle w:val="TableText"/>
              <w:rPr>
                <w:b/>
                <w:bCs/>
                <w:color w:val="000000" w:themeColor="text1"/>
                <w:szCs w:val="14"/>
              </w:rPr>
            </w:pPr>
            <w:r w:rsidRPr="00F9389A">
              <w:rPr>
                <w:b/>
                <w:bCs/>
                <w:color w:val="000000" w:themeColor="text1"/>
                <w:szCs w:val="14"/>
              </w:rPr>
              <w:t>Sex</w:t>
            </w:r>
          </w:p>
        </w:tc>
        <w:tc>
          <w:tcPr>
            <w:tcW w:w="360" w:type="dxa"/>
            <w:tcMar>
              <w:left w:w="72" w:type="dxa"/>
              <w:right w:w="72" w:type="dxa"/>
            </w:tcMar>
          </w:tcPr>
          <w:p w14:paraId="70DE8965" w14:textId="77777777" w:rsidR="0081652D" w:rsidRPr="00A97F11" w:rsidRDefault="0081652D" w:rsidP="00D46588">
            <w:pPr>
              <w:pStyle w:val="TableText"/>
              <w:jc w:val="right"/>
              <w:rPr>
                <w:sz w:val="13"/>
                <w:szCs w:val="13"/>
              </w:rPr>
            </w:pPr>
          </w:p>
        </w:tc>
        <w:tc>
          <w:tcPr>
            <w:tcW w:w="630" w:type="dxa"/>
            <w:tcMar>
              <w:left w:w="72" w:type="dxa"/>
              <w:right w:w="72" w:type="dxa"/>
            </w:tcMar>
          </w:tcPr>
          <w:p w14:paraId="2449E9FE" w14:textId="77777777" w:rsidR="0081652D" w:rsidRPr="00A97F11" w:rsidRDefault="0081652D" w:rsidP="00D46588">
            <w:pPr>
              <w:pStyle w:val="TableText"/>
              <w:jc w:val="right"/>
              <w:rPr>
                <w:sz w:val="13"/>
                <w:szCs w:val="13"/>
              </w:rPr>
            </w:pPr>
          </w:p>
        </w:tc>
        <w:tc>
          <w:tcPr>
            <w:tcW w:w="804" w:type="dxa"/>
            <w:tcMar>
              <w:left w:w="72" w:type="dxa"/>
              <w:right w:w="72" w:type="dxa"/>
            </w:tcMar>
          </w:tcPr>
          <w:p w14:paraId="42A28A51" w14:textId="77777777" w:rsidR="0081652D" w:rsidRPr="00A97F11" w:rsidRDefault="0081652D" w:rsidP="00D46588">
            <w:pPr>
              <w:pStyle w:val="TableText"/>
              <w:jc w:val="right"/>
              <w:rPr>
                <w:sz w:val="13"/>
                <w:szCs w:val="13"/>
              </w:rPr>
            </w:pPr>
          </w:p>
        </w:tc>
        <w:tc>
          <w:tcPr>
            <w:tcW w:w="456" w:type="dxa"/>
            <w:tcMar>
              <w:left w:w="72" w:type="dxa"/>
              <w:right w:w="72" w:type="dxa"/>
            </w:tcMar>
          </w:tcPr>
          <w:p w14:paraId="70A1257B" w14:textId="77777777" w:rsidR="0081652D" w:rsidRPr="00A97F11" w:rsidRDefault="0081652D" w:rsidP="00D46588">
            <w:pPr>
              <w:pStyle w:val="TableText"/>
              <w:jc w:val="right"/>
              <w:rPr>
                <w:sz w:val="13"/>
                <w:szCs w:val="13"/>
              </w:rPr>
            </w:pPr>
          </w:p>
        </w:tc>
        <w:tc>
          <w:tcPr>
            <w:tcW w:w="630" w:type="dxa"/>
            <w:tcMar>
              <w:left w:w="72" w:type="dxa"/>
              <w:right w:w="72" w:type="dxa"/>
            </w:tcMar>
          </w:tcPr>
          <w:p w14:paraId="7127DAA3" w14:textId="77777777" w:rsidR="0081652D" w:rsidRPr="00A97F11" w:rsidRDefault="0081652D" w:rsidP="00D46588">
            <w:pPr>
              <w:pStyle w:val="TableText"/>
              <w:jc w:val="right"/>
              <w:rPr>
                <w:sz w:val="13"/>
                <w:szCs w:val="13"/>
              </w:rPr>
            </w:pPr>
          </w:p>
        </w:tc>
        <w:tc>
          <w:tcPr>
            <w:tcW w:w="709" w:type="dxa"/>
            <w:tcMar>
              <w:left w:w="72" w:type="dxa"/>
              <w:right w:w="72" w:type="dxa"/>
            </w:tcMar>
          </w:tcPr>
          <w:p w14:paraId="20FBA244" w14:textId="77777777" w:rsidR="0081652D" w:rsidRPr="00A97F11" w:rsidRDefault="0081652D" w:rsidP="00D46588">
            <w:pPr>
              <w:pStyle w:val="TableText"/>
              <w:jc w:val="right"/>
              <w:rPr>
                <w:sz w:val="13"/>
                <w:szCs w:val="13"/>
              </w:rPr>
            </w:pPr>
          </w:p>
        </w:tc>
        <w:tc>
          <w:tcPr>
            <w:tcW w:w="371" w:type="dxa"/>
            <w:tcMar>
              <w:left w:w="72" w:type="dxa"/>
              <w:right w:w="72" w:type="dxa"/>
            </w:tcMar>
          </w:tcPr>
          <w:p w14:paraId="708CD8B3" w14:textId="77777777" w:rsidR="0081652D" w:rsidRPr="00A97F11" w:rsidRDefault="0081652D" w:rsidP="00D46588">
            <w:pPr>
              <w:pStyle w:val="TableText"/>
              <w:jc w:val="right"/>
              <w:rPr>
                <w:sz w:val="13"/>
                <w:szCs w:val="13"/>
              </w:rPr>
            </w:pPr>
          </w:p>
        </w:tc>
        <w:tc>
          <w:tcPr>
            <w:tcW w:w="630" w:type="dxa"/>
            <w:tcMar>
              <w:left w:w="72" w:type="dxa"/>
              <w:right w:w="72" w:type="dxa"/>
            </w:tcMar>
          </w:tcPr>
          <w:p w14:paraId="66624E99" w14:textId="77777777" w:rsidR="0081652D" w:rsidRPr="00A97F11" w:rsidRDefault="0081652D" w:rsidP="00D46588">
            <w:pPr>
              <w:pStyle w:val="TableText"/>
              <w:jc w:val="right"/>
              <w:rPr>
                <w:sz w:val="13"/>
                <w:szCs w:val="13"/>
              </w:rPr>
            </w:pPr>
          </w:p>
        </w:tc>
        <w:tc>
          <w:tcPr>
            <w:tcW w:w="794" w:type="dxa"/>
            <w:tcMar>
              <w:left w:w="72" w:type="dxa"/>
              <w:right w:w="72" w:type="dxa"/>
            </w:tcMar>
          </w:tcPr>
          <w:p w14:paraId="646E4249" w14:textId="77777777" w:rsidR="0081652D" w:rsidRPr="00A97F11" w:rsidRDefault="0081652D" w:rsidP="00D46588">
            <w:pPr>
              <w:pStyle w:val="TableText"/>
              <w:jc w:val="right"/>
              <w:rPr>
                <w:sz w:val="13"/>
                <w:szCs w:val="13"/>
              </w:rPr>
            </w:pPr>
          </w:p>
        </w:tc>
        <w:tc>
          <w:tcPr>
            <w:tcW w:w="466" w:type="dxa"/>
            <w:tcMar>
              <w:left w:w="72" w:type="dxa"/>
              <w:right w:w="72" w:type="dxa"/>
            </w:tcMar>
          </w:tcPr>
          <w:p w14:paraId="74F1CA46" w14:textId="77777777" w:rsidR="0081652D" w:rsidRPr="00A97F11" w:rsidRDefault="0081652D" w:rsidP="00D46588">
            <w:pPr>
              <w:pStyle w:val="TableText"/>
              <w:jc w:val="right"/>
              <w:rPr>
                <w:sz w:val="13"/>
                <w:szCs w:val="13"/>
              </w:rPr>
            </w:pPr>
          </w:p>
        </w:tc>
        <w:tc>
          <w:tcPr>
            <w:tcW w:w="630" w:type="dxa"/>
            <w:tcMar>
              <w:left w:w="72" w:type="dxa"/>
              <w:right w:w="72" w:type="dxa"/>
            </w:tcMar>
          </w:tcPr>
          <w:p w14:paraId="7AE9E4E0" w14:textId="77777777" w:rsidR="0081652D" w:rsidRPr="00A97F11" w:rsidRDefault="0081652D" w:rsidP="00D46588">
            <w:pPr>
              <w:pStyle w:val="TableText"/>
              <w:jc w:val="right"/>
              <w:rPr>
                <w:sz w:val="13"/>
                <w:szCs w:val="13"/>
              </w:rPr>
            </w:pPr>
          </w:p>
        </w:tc>
        <w:tc>
          <w:tcPr>
            <w:tcW w:w="698" w:type="dxa"/>
            <w:tcMar>
              <w:left w:w="72" w:type="dxa"/>
              <w:right w:w="72" w:type="dxa"/>
            </w:tcMar>
          </w:tcPr>
          <w:p w14:paraId="79FE528B" w14:textId="77777777" w:rsidR="0081652D" w:rsidRPr="00A97F11" w:rsidRDefault="0081652D" w:rsidP="00D46588">
            <w:pPr>
              <w:pStyle w:val="TableText"/>
              <w:jc w:val="right"/>
              <w:rPr>
                <w:sz w:val="13"/>
                <w:szCs w:val="13"/>
              </w:rPr>
            </w:pPr>
          </w:p>
        </w:tc>
        <w:tc>
          <w:tcPr>
            <w:tcW w:w="472" w:type="dxa"/>
            <w:tcMar>
              <w:left w:w="72" w:type="dxa"/>
              <w:right w:w="72" w:type="dxa"/>
            </w:tcMar>
          </w:tcPr>
          <w:p w14:paraId="2CB1915D" w14:textId="77777777" w:rsidR="0081652D" w:rsidRPr="00A97F11" w:rsidRDefault="0081652D" w:rsidP="00D46588">
            <w:pPr>
              <w:pStyle w:val="TableText"/>
              <w:jc w:val="right"/>
              <w:rPr>
                <w:sz w:val="13"/>
                <w:szCs w:val="13"/>
              </w:rPr>
            </w:pPr>
          </w:p>
        </w:tc>
        <w:tc>
          <w:tcPr>
            <w:tcW w:w="630" w:type="dxa"/>
            <w:tcMar>
              <w:left w:w="72" w:type="dxa"/>
              <w:right w:w="72" w:type="dxa"/>
            </w:tcMar>
          </w:tcPr>
          <w:p w14:paraId="332261CC" w14:textId="77777777" w:rsidR="0081652D" w:rsidRPr="00A97F11" w:rsidRDefault="0081652D" w:rsidP="00D46588">
            <w:pPr>
              <w:pStyle w:val="TableText"/>
              <w:jc w:val="right"/>
              <w:rPr>
                <w:sz w:val="13"/>
                <w:szCs w:val="13"/>
              </w:rPr>
            </w:pPr>
          </w:p>
        </w:tc>
        <w:tc>
          <w:tcPr>
            <w:tcW w:w="693" w:type="dxa"/>
            <w:tcMar>
              <w:left w:w="72" w:type="dxa"/>
              <w:right w:w="72" w:type="dxa"/>
            </w:tcMar>
          </w:tcPr>
          <w:p w14:paraId="490E8DC0" w14:textId="77777777" w:rsidR="0081652D" w:rsidRPr="00A97F11" w:rsidRDefault="0081652D" w:rsidP="00D46588">
            <w:pPr>
              <w:pStyle w:val="TableText"/>
              <w:jc w:val="right"/>
              <w:rPr>
                <w:sz w:val="13"/>
                <w:szCs w:val="13"/>
              </w:rPr>
            </w:pPr>
          </w:p>
        </w:tc>
        <w:tc>
          <w:tcPr>
            <w:tcW w:w="387" w:type="dxa"/>
            <w:tcMar>
              <w:left w:w="72" w:type="dxa"/>
              <w:right w:w="72" w:type="dxa"/>
            </w:tcMar>
          </w:tcPr>
          <w:p w14:paraId="4E60D2E5" w14:textId="77777777" w:rsidR="0081652D" w:rsidRPr="00A97F11" w:rsidRDefault="0081652D" w:rsidP="00D46588">
            <w:pPr>
              <w:pStyle w:val="TableText"/>
              <w:jc w:val="right"/>
              <w:rPr>
                <w:sz w:val="13"/>
                <w:szCs w:val="13"/>
              </w:rPr>
            </w:pPr>
          </w:p>
        </w:tc>
        <w:tc>
          <w:tcPr>
            <w:tcW w:w="630" w:type="dxa"/>
            <w:tcMar>
              <w:left w:w="72" w:type="dxa"/>
              <w:right w:w="72" w:type="dxa"/>
            </w:tcMar>
          </w:tcPr>
          <w:p w14:paraId="7387745A" w14:textId="77777777" w:rsidR="0081652D" w:rsidRPr="00A97F11" w:rsidRDefault="0081652D" w:rsidP="00D46588">
            <w:pPr>
              <w:pStyle w:val="TableText"/>
              <w:jc w:val="right"/>
              <w:rPr>
                <w:sz w:val="13"/>
                <w:szCs w:val="13"/>
              </w:rPr>
            </w:pPr>
          </w:p>
        </w:tc>
        <w:tc>
          <w:tcPr>
            <w:tcW w:w="778" w:type="dxa"/>
            <w:tcMar>
              <w:left w:w="72" w:type="dxa"/>
              <w:right w:w="72" w:type="dxa"/>
            </w:tcMar>
          </w:tcPr>
          <w:p w14:paraId="2E87A6BE" w14:textId="77777777" w:rsidR="0081652D" w:rsidRPr="00A97F11" w:rsidRDefault="0081652D" w:rsidP="00D46588">
            <w:pPr>
              <w:pStyle w:val="TableText"/>
              <w:jc w:val="right"/>
              <w:rPr>
                <w:sz w:val="13"/>
                <w:szCs w:val="13"/>
              </w:rPr>
            </w:pPr>
          </w:p>
        </w:tc>
      </w:tr>
      <w:tr w:rsidR="00BD41F3" w:rsidRPr="004565F5" w14:paraId="11F41932"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232CD2CE" w14:textId="77777777" w:rsidR="0081652D" w:rsidRPr="00F9389A" w:rsidRDefault="0081652D" w:rsidP="00D46588">
            <w:pPr>
              <w:pStyle w:val="TableText"/>
              <w:rPr>
                <w:bCs/>
                <w:color w:val="000000" w:themeColor="text1"/>
                <w:szCs w:val="14"/>
              </w:rPr>
            </w:pPr>
            <w:r w:rsidRPr="00F9389A">
              <w:rPr>
                <w:bCs/>
                <w:color w:val="000000" w:themeColor="text1"/>
                <w:szCs w:val="14"/>
              </w:rPr>
              <w:t>Male</w:t>
            </w:r>
          </w:p>
        </w:tc>
        <w:tc>
          <w:tcPr>
            <w:tcW w:w="360" w:type="dxa"/>
            <w:tcMar>
              <w:left w:w="72" w:type="dxa"/>
              <w:right w:w="72" w:type="dxa"/>
            </w:tcMar>
          </w:tcPr>
          <w:p w14:paraId="099FE9CD" w14:textId="77777777" w:rsidR="0081652D" w:rsidRPr="00A97F11" w:rsidRDefault="0081652D" w:rsidP="00D46588">
            <w:pPr>
              <w:pStyle w:val="TableText"/>
              <w:jc w:val="right"/>
              <w:rPr>
                <w:sz w:val="13"/>
                <w:szCs w:val="13"/>
              </w:rPr>
            </w:pPr>
            <w:r w:rsidRPr="00A97F11">
              <w:rPr>
                <w:sz w:val="13"/>
                <w:szCs w:val="13"/>
              </w:rPr>
              <w:t>10</w:t>
            </w:r>
          </w:p>
        </w:tc>
        <w:tc>
          <w:tcPr>
            <w:tcW w:w="630" w:type="dxa"/>
            <w:tcMar>
              <w:left w:w="72" w:type="dxa"/>
              <w:right w:w="72" w:type="dxa"/>
            </w:tcMar>
          </w:tcPr>
          <w:p w14:paraId="56D92374" w14:textId="77777777" w:rsidR="0081652D" w:rsidRPr="00A97F11" w:rsidRDefault="0081652D" w:rsidP="00D46588">
            <w:pPr>
              <w:pStyle w:val="TableText"/>
              <w:jc w:val="right"/>
              <w:rPr>
                <w:sz w:val="13"/>
                <w:szCs w:val="13"/>
              </w:rPr>
            </w:pPr>
            <w:r w:rsidRPr="00A97F11">
              <w:rPr>
                <w:sz w:val="13"/>
                <w:szCs w:val="13"/>
              </w:rPr>
              <w:t>66</w:t>
            </w:r>
          </w:p>
        </w:tc>
        <w:tc>
          <w:tcPr>
            <w:tcW w:w="804" w:type="dxa"/>
            <w:tcMar>
              <w:left w:w="72" w:type="dxa"/>
              <w:right w:w="72" w:type="dxa"/>
            </w:tcMar>
          </w:tcPr>
          <w:p w14:paraId="63320C01" w14:textId="77777777" w:rsidR="0081652D" w:rsidRPr="00A97F11" w:rsidRDefault="0081652D" w:rsidP="0081652D">
            <w:pPr>
              <w:pStyle w:val="TableText"/>
              <w:jc w:val="right"/>
              <w:rPr>
                <w:sz w:val="13"/>
                <w:szCs w:val="13"/>
              </w:rPr>
            </w:pPr>
            <w:r w:rsidRPr="00A97F11">
              <w:rPr>
                <w:sz w:val="13"/>
                <w:szCs w:val="13"/>
              </w:rPr>
              <w:t>1.3 (0.6, 3.0)</w:t>
            </w:r>
          </w:p>
        </w:tc>
        <w:tc>
          <w:tcPr>
            <w:tcW w:w="456" w:type="dxa"/>
            <w:tcMar>
              <w:left w:w="72" w:type="dxa"/>
              <w:right w:w="72" w:type="dxa"/>
            </w:tcMar>
          </w:tcPr>
          <w:p w14:paraId="12036DAA" w14:textId="77777777" w:rsidR="0081652D" w:rsidRPr="00A97F11" w:rsidRDefault="0081652D" w:rsidP="00D46588">
            <w:pPr>
              <w:pStyle w:val="TableText"/>
              <w:jc w:val="right"/>
              <w:rPr>
                <w:sz w:val="13"/>
                <w:szCs w:val="13"/>
              </w:rPr>
            </w:pPr>
            <w:r w:rsidRPr="00A97F11">
              <w:rPr>
                <w:sz w:val="13"/>
                <w:szCs w:val="13"/>
              </w:rPr>
              <w:t>360</w:t>
            </w:r>
          </w:p>
        </w:tc>
        <w:tc>
          <w:tcPr>
            <w:tcW w:w="630" w:type="dxa"/>
            <w:tcMar>
              <w:left w:w="72" w:type="dxa"/>
              <w:right w:w="72" w:type="dxa"/>
            </w:tcMar>
          </w:tcPr>
          <w:p w14:paraId="2892CA6E" w14:textId="77777777" w:rsidR="0081652D" w:rsidRPr="00A97F11" w:rsidRDefault="0081652D" w:rsidP="00D46588">
            <w:pPr>
              <w:pStyle w:val="TableText"/>
              <w:jc w:val="right"/>
              <w:rPr>
                <w:sz w:val="13"/>
                <w:szCs w:val="13"/>
              </w:rPr>
            </w:pPr>
            <w:r w:rsidRPr="00A97F11">
              <w:rPr>
                <w:sz w:val="13"/>
                <w:szCs w:val="13"/>
              </w:rPr>
              <w:t>2545</w:t>
            </w:r>
          </w:p>
        </w:tc>
        <w:tc>
          <w:tcPr>
            <w:tcW w:w="709" w:type="dxa"/>
            <w:tcMar>
              <w:left w:w="72" w:type="dxa"/>
              <w:right w:w="72" w:type="dxa"/>
            </w:tcMar>
          </w:tcPr>
          <w:p w14:paraId="226CB63B" w14:textId="77777777" w:rsidR="0081652D" w:rsidRPr="00A97F11" w:rsidRDefault="0081652D" w:rsidP="0081652D">
            <w:pPr>
              <w:pStyle w:val="TableText"/>
              <w:jc w:val="right"/>
              <w:rPr>
                <w:sz w:val="13"/>
                <w:szCs w:val="13"/>
              </w:rPr>
            </w:pPr>
            <w:r w:rsidRPr="00A97F11">
              <w:rPr>
                <w:sz w:val="13"/>
                <w:szCs w:val="13"/>
              </w:rPr>
              <w:t>51.0 (46.1, 55.9)</w:t>
            </w:r>
          </w:p>
        </w:tc>
        <w:tc>
          <w:tcPr>
            <w:tcW w:w="371" w:type="dxa"/>
            <w:tcMar>
              <w:left w:w="72" w:type="dxa"/>
              <w:right w:w="72" w:type="dxa"/>
            </w:tcMar>
          </w:tcPr>
          <w:p w14:paraId="3F97A7DC" w14:textId="77777777" w:rsidR="0081652D" w:rsidRPr="00A97F11" w:rsidRDefault="0081652D" w:rsidP="00D46588">
            <w:pPr>
              <w:pStyle w:val="TableText"/>
              <w:jc w:val="right"/>
              <w:rPr>
                <w:sz w:val="13"/>
                <w:szCs w:val="13"/>
              </w:rPr>
            </w:pPr>
            <w:r w:rsidRPr="00A97F11">
              <w:rPr>
                <w:sz w:val="13"/>
                <w:szCs w:val="13"/>
              </w:rPr>
              <w:t>279</w:t>
            </w:r>
          </w:p>
        </w:tc>
        <w:tc>
          <w:tcPr>
            <w:tcW w:w="630" w:type="dxa"/>
            <w:tcMar>
              <w:left w:w="72" w:type="dxa"/>
              <w:right w:w="72" w:type="dxa"/>
            </w:tcMar>
          </w:tcPr>
          <w:p w14:paraId="380F8621" w14:textId="77777777" w:rsidR="0081652D" w:rsidRPr="00A97F11" w:rsidRDefault="0081652D" w:rsidP="00D46588">
            <w:pPr>
              <w:pStyle w:val="TableText"/>
              <w:jc w:val="right"/>
              <w:rPr>
                <w:sz w:val="13"/>
                <w:szCs w:val="13"/>
              </w:rPr>
            </w:pPr>
            <w:r w:rsidRPr="00A97F11">
              <w:rPr>
                <w:sz w:val="13"/>
                <w:szCs w:val="13"/>
              </w:rPr>
              <w:t>2247</w:t>
            </w:r>
          </w:p>
        </w:tc>
        <w:tc>
          <w:tcPr>
            <w:tcW w:w="794" w:type="dxa"/>
            <w:tcMar>
              <w:left w:w="72" w:type="dxa"/>
              <w:right w:w="72" w:type="dxa"/>
            </w:tcMar>
          </w:tcPr>
          <w:p w14:paraId="46996659" w14:textId="77777777" w:rsidR="0081652D" w:rsidRPr="00A97F11" w:rsidRDefault="0081652D" w:rsidP="0081652D">
            <w:pPr>
              <w:pStyle w:val="TableText"/>
              <w:jc w:val="right"/>
              <w:rPr>
                <w:sz w:val="13"/>
                <w:szCs w:val="13"/>
              </w:rPr>
            </w:pPr>
            <w:r w:rsidRPr="00A97F11">
              <w:rPr>
                <w:sz w:val="13"/>
                <w:szCs w:val="13"/>
              </w:rPr>
              <w:t>45.0 (40.2, 50.0)</w:t>
            </w:r>
          </w:p>
        </w:tc>
        <w:tc>
          <w:tcPr>
            <w:tcW w:w="466" w:type="dxa"/>
            <w:tcMar>
              <w:left w:w="72" w:type="dxa"/>
              <w:right w:w="72" w:type="dxa"/>
            </w:tcMar>
          </w:tcPr>
          <w:p w14:paraId="05F82D51" w14:textId="77777777" w:rsidR="0081652D" w:rsidRPr="00A97F11" w:rsidRDefault="0081652D" w:rsidP="00D46588">
            <w:pPr>
              <w:pStyle w:val="TableText"/>
              <w:jc w:val="right"/>
              <w:rPr>
                <w:sz w:val="13"/>
                <w:szCs w:val="13"/>
              </w:rPr>
            </w:pPr>
            <w:r w:rsidRPr="00A97F11">
              <w:rPr>
                <w:sz w:val="13"/>
                <w:szCs w:val="13"/>
              </w:rPr>
              <w:t>13</w:t>
            </w:r>
          </w:p>
        </w:tc>
        <w:tc>
          <w:tcPr>
            <w:tcW w:w="630" w:type="dxa"/>
            <w:tcMar>
              <w:left w:w="72" w:type="dxa"/>
              <w:right w:w="72" w:type="dxa"/>
            </w:tcMar>
          </w:tcPr>
          <w:p w14:paraId="1CEF2CC2" w14:textId="77777777" w:rsidR="0081652D" w:rsidRPr="00A97F11" w:rsidRDefault="0081652D" w:rsidP="00D46588">
            <w:pPr>
              <w:pStyle w:val="TableText"/>
              <w:jc w:val="right"/>
              <w:rPr>
                <w:sz w:val="13"/>
                <w:szCs w:val="13"/>
              </w:rPr>
            </w:pPr>
            <w:r w:rsidRPr="00A97F11">
              <w:rPr>
                <w:sz w:val="13"/>
                <w:szCs w:val="13"/>
              </w:rPr>
              <w:t>68</w:t>
            </w:r>
          </w:p>
        </w:tc>
        <w:tc>
          <w:tcPr>
            <w:tcW w:w="698" w:type="dxa"/>
            <w:tcMar>
              <w:left w:w="72" w:type="dxa"/>
              <w:right w:w="72" w:type="dxa"/>
            </w:tcMar>
          </w:tcPr>
          <w:p w14:paraId="1E94C806" w14:textId="77777777" w:rsidR="0081652D" w:rsidRPr="00A97F11" w:rsidRDefault="0081652D" w:rsidP="0081652D">
            <w:pPr>
              <w:pStyle w:val="TableText"/>
              <w:jc w:val="right"/>
              <w:rPr>
                <w:sz w:val="13"/>
                <w:szCs w:val="13"/>
              </w:rPr>
            </w:pPr>
            <w:r w:rsidRPr="00A97F11">
              <w:rPr>
                <w:sz w:val="13"/>
                <w:szCs w:val="13"/>
              </w:rPr>
              <w:t>0.9 (0.4, 1.8)</w:t>
            </w:r>
          </w:p>
        </w:tc>
        <w:tc>
          <w:tcPr>
            <w:tcW w:w="472" w:type="dxa"/>
            <w:tcMar>
              <w:left w:w="72" w:type="dxa"/>
              <w:right w:w="72" w:type="dxa"/>
            </w:tcMar>
          </w:tcPr>
          <w:p w14:paraId="4CCA54D6" w14:textId="77777777" w:rsidR="0081652D" w:rsidRPr="00A97F11" w:rsidRDefault="0081652D" w:rsidP="00D46588">
            <w:pPr>
              <w:pStyle w:val="TableText"/>
              <w:jc w:val="right"/>
              <w:rPr>
                <w:sz w:val="13"/>
                <w:szCs w:val="13"/>
              </w:rPr>
            </w:pPr>
            <w:r w:rsidRPr="00A97F11">
              <w:rPr>
                <w:sz w:val="13"/>
                <w:szCs w:val="13"/>
              </w:rPr>
              <w:t>615</w:t>
            </w:r>
          </w:p>
        </w:tc>
        <w:tc>
          <w:tcPr>
            <w:tcW w:w="630" w:type="dxa"/>
            <w:tcMar>
              <w:left w:w="72" w:type="dxa"/>
              <w:right w:w="72" w:type="dxa"/>
            </w:tcMar>
          </w:tcPr>
          <w:p w14:paraId="09257A99" w14:textId="77777777" w:rsidR="0081652D" w:rsidRPr="00A97F11" w:rsidRDefault="0081652D" w:rsidP="00D46588">
            <w:pPr>
              <w:pStyle w:val="TableText"/>
              <w:jc w:val="right"/>
              <w:rPr>
                <w:sz w:val="13"/>
                <w:szCs w:val="13"/>
              </w:rPr>
            </w:pPr>
            <w:r w:rsidRPr="00A97F11">
              <w:rPr>
                <w:sz w:val="13"/>
                <w:szCs w:val="13"/>
              </w:rPr>
              <w:t>4776</w:t>
            </w:r>
          </w:p>
        </w:tc>
        <w:tc>
          <w:tcPr>
            <w:tcW w:w="693" w:type="dxa"/>
            <w:tcMar>
              <w:left w:w="72" w:type="dxa"/>
              <w:right w:w="72" w:type="dxa"/>
            </w:tcMar>
          </w:tcPr>
          <w:p w14:paraId="7DDD05C9" w14:textId="77777777" w:rsidR="0081652D" w:rsidRPr="00A97F11" w:rsidRDefault="0081652D" w:rsidP="0081652D">
            <w:pPr>
              <w:pStyle w:val="TableText"/>
              <w:jc w:val="right"/>
              <w:rPr>
                <w:sz w:val="13"/>
                <w:szCs w:val="13"/>
              </w:rPr>
            </w:pPr>
            <w:r w:rsidRPr="00A97F11">
              <w:rPr>
                <w:sz w:val="13"/>
                <w:szCs w:val="13"/>
              </w:rPr>
              <w:t>62.6 (51.2, 72.7)</w:t>
            </w:r>
          </w:p>
        </w:tc>
        <w:tc>
          <w:tcPr>
            <w:tcW w:w="387" w:type="dxa"/>
            <w:tcMar>
              <w:left w:w="72" w:type="dxa"/>
              <w:right w:w="72" w:type="dxa"/>
            </w:tcMar>
          </w:tcPr>
          <w:p w14:paraId="2333F7CB" w14:textId="77777777" w:rsidR="0081652D" w:rsidRPr="00A97F11" w:rsidRDefault="0081652D" w:rsidP="00D46588">
            <w:pPr>
              <w:pStyle w:val="TableText"/>
              <w:jc w:val="right"/>
              <w:rPr>
                <w:sz w:val="13"/>
                <w:szCs w:val="13"/>
              </w:rPr>
            </w:pPr>
            <w:r w:rsidRPr="00A97F11">
              <w:rPr>
                <w:sz w:val="13"/>
                <w:szCs w:val="13"/>
              </w:rPr>
              <w:t>355</w:t>
            </w:r>
          </w:p>
        </w:tc>
        <w:tc>
          <w:tcPr>
            <w:tcW w:w="630" w:type="dxa"/>
            <w:tcMar>
              <w:left w:w="72" w:type="dxa"/>
              <w:right w:w="72" w:type="dxa"/>
            </w:tcMar>
          </w:tcPr>
          <w:p w14:paraId="1BB5DF52" w14:textId="77777777" w:rsidR="0081652D" w:rsidRPr="00A97F11" w:rsidRDefault="0081652D" w:rsidP="00D46588">
            <w:pPr>
              <w:pStyle w:val="TableText"/>
              <w:jc w:val="right"/>
              <w:rPr>
                <w:sz w:val="13"/>
                <w:szCs w:val="13"/>
              </w:rPr>
            </w:pPr>
            <w:r w:rsidRPr="00A97F11">
              <w:rPr>
                <w:sz w:val="13"/>
                <w:szCs w:val="13"/>
              </w:rPr>
              <w:t>2661</w:t>
            </w:r>
          </w:p>
        </w:tc>
        <w:tc>
          <w:tcPr>
            <w:tcW w:w="778" w:type="dxa"/>
            <w:tcMar>
              <w:left w:w="72" w:type="dxa"/>
              <w:right w:w="72" w:type="dxa"/>
            </w:tcMar>
          </w:tcPr>
          <w:p w14:paraId="2B450596" w14:textId="77777777" w:rsidR="0081652D" w:rsidRPr="00A97F11" w:rsidRDefault="0081652D" w:rsidP="0081652D">
            <w:pPr>
              <w:pStyle w:val="TableText"/>
              <w:jc w:val="right"/>
              <w:rPr>
                <w:sz w:val="13"/>
                <w:szCs w:val="13"/>
              </w:rPr>
            </w:pPr>
            <w:r w:rsidRPr="00A97F11">
              <w:rPr>
                <w:sz w:val="13"/>
                <w:szCs w:val="13"/>
              </w:rPr>
              <w:t>34.9 (24.9, 46.4)</w:t>
            </w:r>
          </w:p>
        </w:tc>
      </w:tr>
      <w:tr w:rsidR="00A97F11" w:rsidRPr="004565F5" w14:paraId="47286764" w14:textId="77777777" w:rsidTr="001F3BA4">
        <w:trPr>
          <w:cantSplit/>
        </w:trPr>
        <w:tc>
          <w:tcPr>
            <w:tcW w:w="738" w:type="dxa"/>
            <w:tcBorders>
              <w:bottom w:val="single" w:sz="4" w:space="0" w:color="000000"/>
            </w:tcBorders>
          </w:tcPr>
          <w:p w14:paraId="5C775480" w14:textId="77777777" w:rsidR="0081652D" w:rsidRPr="00F9389A" w:rsidRDefault="0081652D" w:rsidP="00D46588">
            <w:pPr>
              <w:pStyle w:val="TableText"/>
              <w:rPr>
                <w:bCs/>
                <w:color w:val="000000" w:themeColor="text1"/>
                <w:szCs w:val="14"/>
              </w:rPr>
            </w:pPr>
            <w:r w:rsidRPr="00F9389A">
              <w:rPr>
                <w:bCs/>
                <w:color w:val="000000" w:themeColor="text1"/>
                <w:szCs w:val="14"/>
              </w:rPr>
              <w:t>Female</w:t>
            </w:r>
          </w:p>
        </w:tc>
        <w:tc>
          <w:tcPr>
            <w:tcW w:w="360" w:type="dxa"/>
            <w:tcBorders>
              <w:bottom w:val="single" w:sz="4" w:space="0" w:color="000000"/>
            </w:tcBorders>
            <w:tcMar>
              <w:left w:w="72" w:type="dxa"/>
              <w:right w:w="72" w:type="dxa"/>
            </w:tcMar>
          </w:tcPr>
          <w:p w14:paraId="68F19B53" w14:textId="77777777" w:rsidR="0081652D" w:rsidRPr="00A97F11" w:rsidRDefault="0081652D" w:rsidP="00D46588">
            <w:pPr>
              <w:pStyle w:val="TableText"/>
              <w:jc w:val="right"/>
              <w:rPr>
                <w:sz w:val="13"/>
                <w:szCs w:val="13"/>
              </w:rPr>
            </w:pPr>
            <w:r w:rsidRPr="00A97F11">
              <w:rPr>
                <w:sz w:val="13"/>
                <w:szCs w:val="13"/>
              </w:rPr>
              <w:t>5</w:t>
            </w:r>
          </w:p>
        </w:tc>
        <w:tc>
          <w:tcPr>
            <w:tcW w:w="630" w:type="dxa"/>
            <w:tcBorders>
              <w:bottom w:val="single" w:sz="4" w:space="0" w:color="000000"/>
            </w:tcBorders>
            <w:tcMar>
              <w:left w:w="72" w:type="dxa"/>
              <w:right w:w="72" w:type="dxa"/>
            </w:tcMar>
          </w:tcPr>
          <w:p w14:paraId="17E09D6A" w14:textId="77777777" w:rsidR="0081652D" w:rsidRPr="00A97F11" w:rsidRDefault="0081652D" w:rsidP="00D46588">
            <w:pPr>
              <w:pStyle w:val="TableText"/>
              <w:jc w:val="right"/>
              <w:rPr>
                <w:sz w:val="13"/>
                <w:szCs w:val="13"/>
              </w:rPr>
            </w:pPr>
            <w:r w:rsidRPr="00A97F11">
              <w:rPr>
                <w:sz w:val="13"/>
                <w:szCs w:val="13"/>
              </w:rPr>
              <w:t>33</w:t>
            </w:r>
          </w:p>
        </w:tc>
        <w:tc>
          <w:tcPr>
            <w:tcW w:w="804" w:type="dxa"/>
            <w:tcBorders>
              <w:bottom w:val="single" w:sz="4" w:space="0" w:color="000000"/>
            </w:tcBorders>
            <w:tcMar>
              <w:left w:w="72" w:type="dxa"/>
              <w:right w:w="72" w:type="dxa"/>
            </w:tcMar>
          </w:tcPr>
          <w:p w14:paraId="1F03B251" w14:textId="77777777" w:rsidR="0081652D" w:rsidRPr="00A97F11" w:rsidRDefault="0081652D" w:rsidP="0081652D">
            <w:pPr>
              <w:pStyle w:val="TableText"/>
              <w:jc w:val="right"/>
              <w:rPr>
                <w:sz w:val="13"/>
                <w:szCs w:val="13"/>
              </w:rPr>
            </w:pPr>
            <w:r w:rsidRPr="00A97F11">
              <w:rPr>
                <w:sz w:val="13"/>
                <w:szCs w:val="13"/>
              </w:rPr>
              <w:t>2.9 (1.3, 6.6)</w:t>
            </w:r>
          </w:p>
        </w:tc>
        <w:tc>
          <w:tcPr>
            <w:tcW w:w="456" w:type="dxa"/>
            <w:tcBorders>
              <w:bottom w:val="single" w:sz="4" w:space="0" w:color="000000"/>
            </w:tcBorders>
            <w:tcMar>
              <w:left w:w="72" w:type="dxa"/>
              <w:right w:w="72" w:type="dxa"/>
            </w:tcMar>
          </w:tcPr>
          <w:p w14:paraId="6BDC99DA" w14:textId="77777777" w:rsidR="0081652D" w:rsidRPr="00A97F11" w:rsidRDefault="0081652D" w:rsidP="00D46588">
            <w:pPr>
              <w:pStyle w:val="TableText"/>
              <w:jc w:val="right"/>
              <w:rPr>
                <w:sz w:val="13"/>
                <w:szCs w:val="13"/>
              </w:rPr>
            </w:pPr>
            <w:r w:rsidRPr="00A97F11">
              <w:rPr>
                <w:sz w:val="13"/>
                <w:szCs w:val="13"/>
              </w:rPr>
              <w:t>121</w:t>
            </w:r>
          </w:p>
        </w:tc>
        <w:tc>
          <w:tcPr>
            <w:tcW w:w="630" w:type="dxa"/>
            <w:tcBorders>
              <w:bottom w:val="single" w:sz="4" w:space="0" w:color="000000"/>
            </w:tcBorders>
            <w:tcMar>
              <w:left w:w="72" w:type="dxa"/>
              <w:right w:w="72" w:type="dxa"/>
            </w:tcMar>
          </w:tcPr>
          <w:p w14:paraId="09072487" w14:textId="77777777" w:rsidR="0081652D" w:rsidRPr="00A97F11" w:rsidRDefault="0081652D" w:rsidP="00D46588">
            <w:pPr>
              <w:pStyle w:val="TableText"/>
              <w:jc w:val="right"/>
              <w:rPr>
                <w:sz w:val="13"/>
                <w:szCs w:val="13"/>
              </w:rPr>
            </w:pPr>
            <w:r w:rsidRPr="00A97F11">
              <w:rPr>
                <w:sz w:val="13"/>
                <w:szCs w:val="13"/>
              </w:rPr>
              <w:t>652</w:t>
            </w:r>
          </w:p>
        </w:tc>
        <w:tc>
          <w:tcPr>
            <w:tcW w:w="709" w:type="dxa"/>
            <w:tcBorders>
              <w:bottom w:val="single" w:sz="4" w:space="0" w:color="000000"/>
            </w:tcBorders>
            <w:tcMar>
              <w:left w:w="72" w:type="dxa"/>
              <w:right w:w="72" w:type="dxa"/>
            </w:tcMar>
          </w:tcPr>
          <w:p w14:paraId="72110AE8" w14:textId="77777777" w:rsidR="0081652D" w:rsidRPr="00A97F11" w:rsidRDefault="0081652D" w:rsidP="0081652D">
            <w:pPr>
              <w:pStyle w:val="TableText"/>
              <w:jc w:val="right"/>
              <w:rPr>
                <w:sz w:val="13"/>
                <w:szCs w:val="13"/>
              </w:rPr>
            </w:pPr>
            <w:r w:rsidRPr="00A97F11">
              <w:rPr>
                <w:sz w:val="13"/>
                <w:szCs w:val="13"/>
              </w:rPr>
              <w:t>57.9 (49.7, 65.7)</w:t>
            </w:r>
          </w:p>
        </w:tc>
        <w:tc>
          <w:tcPr>
            <w:tcW w:w="371" w:type="dxa"/>
            <w:tcBorders>
              <w:bottom w:val="single" w:sz="4" w:space="0" w:color="000000"/>
            </w:tcBorders>
            <w:tcMar>
              <w:left w:w="72" w:type="dxa"/>
              <w:right w:w="72" w:type="dxa"/>
            </w:tcMar>
          </w:tcPr>
          <w:p w14:paraId="12DC6B82" w14:textId="77777777" w:rsidR="0081652D" w:rsidRPr="00A97F11" w:rsidRDefault="0081652D" w:rsidP="00D46588">
            <w:pPr>
              <w:pStyle w:val="TableText"/>
              <w:jc w:val="right"/>
              <w:rPr>
                <w:sz w:val="13"/>
                <w:szCs w:val="13"/>
              </w:rPr>
            </w:pPr>
            <w:r w:rsidRPr="00A97F11">
              <w:rPr>
                <w:sz w:val="13"/>
                <w:szCs w:val="13"/>
              </w:rPr>
              <w:t>64</w:t>
            </w:r>
          </w:p>
        </w:tc>
        <w:tc>
          <w:tcPr>
            <w:tcW w:w="630" w:type="dxa"/>
            <w:tcBorders>
              <w:bottom w:val="single" w:sz="4" w:space="0" w:color="000000"/>
            </w:tcBorders>
            <w:tcMar>
              <w:left w:w="72" w:type="dxa"/>
              <w:right w:w="72" w:type="dxa"/>
            </w:tcMar>
          </w:tcPr>
          <w:p w14:paraId="2D150C35" w14:textId="77777777" w:rsidR="0081652D" w:rsidRPr="00A97F11" w:rsidRDefault="0081652D" w:rsidP="00D46588">
            <w:pPr>
              <w:pStyle w:val="TableText"/>
              <w:jc w:val="right"/>
              <w:rPr>
                <w:sz w:val="13"/>
                <w:szCs w:val="13"/>
              </w:rPr>
            </w:pPr>
            <w:r w:rsidRPr="00A97F11">
              <w:rPr>
                <w:sz w:val="13"/>
                <w:szCs w:val="13"/>
              </w:rPr>
              <w:t>422</w:t>
            </w:r>
          </w:p>
        </w:tc>
        <w:tc>
          <w:tcPr>
            <w:tcW w:w="794" w:type="dxa"/>
            <w:tcBorders>
              <w:bottom w:val="single" w:sz="4" w:space="0" w:color="000000"/>
            </w:tcBorders>
            <w:tcMar>
              <w:left w:w="72" w:type="dxa"/>
              <w:right w:w="72" w:type="dxa"/>
            </w:tcMar>
          </w:tcPr>
          <w:p w14:paraId="1B8206A7" w14:textId="77777777" w:rsidR="0081652D" w:rsidRPr="00A97F11" w:rsidRDefault="0081652D" w:rsidP="0081652D">
            <w:pPr>
              <w:pStyle w:val="TableText"/>
              <w:jc w:val="right"/>
              <w:rPr>
                <w:sz w:val="13"/>
                <w:szCs w:val="13"/>
              </w:rPr>
            </w:pPr>
            <w:r w:rsidRPr="00A97F11">
              <w:rPr>
                <w:sz w:val="13"/>
                <w:szCs w:val="13"/>
              </w:rPr>
              <w:t>37.5 (29.8, 45.8)</w:t>
            </w:r>
          </w:p>
        </w:tc>
        <w:tc>
          <w:tcPr>
            <w:tcW w:w="466" w:type="dxa"/>
            <w:tcBorders>
              <w:bottom w:val="single" w:sz="4" w:space="0" w:color="000000"/>
            </w:tcBorders>
            <w:tcMar>
              <w:left w:w="72" w:type="dxa"/>
              <w:right w:w="72" w:type="dxa"/>
            </w:tcMar>
          </w:tcPr>
          <w:p w14:paraId="6645ED63" w14:textId="77777777" w:rsidR="0081652D" w:rsidRPr="00A97F11" w:rsidRDefault="0081652D" w:rsidP="00D46588">
            <w:pPr>
              <w:pStyle w:val="TableText"/>
              <w:jc w:val="right"/>
              <w:rPr>
                <w:sz w:val="13"/>
                <w:szCs w:val="13"/>
              </w:rPr>
            </w:pPr>
            <w:r w:rsidRPr="00A97F11">
              <w:rPr>
                <w:sz w:val="13"/>
                <w:szCs w:val="13"/>
              </w:rPr>
              <w:t>5</w:t>
            </w:r>
          </w:p>
        </w:tc>
        <w:tc>
          <w:tcPr>
            <w:tcW w:w="630" w:type="dxa"/>
            <w:tcBorders>
              <w:bottom w:val="single" w:sz="4" w:space="0" w:color="000000"/>
            </w:tcBorders>
            <w:tcMar>
              <w:left w:w="72" w:type="dxa"/>
              <w:right w:w="72" w:type="dxa"/>
            </w:tcMar>
          </w:tcPr>
          <w:p w14:paraId="23B0DC10" w14:textId="77777777" w:rsidR="0081652D" w:rsidRPr="00A97F11" w:rsidRDefault="0081652D" w:rsidP="00D46588">
            <w:pPr>
              <w:pStyle w:val="TableText"/>
              <w:jc w:val="right"/>
              <w:rPr>
                <w:sz w:val="13"/>
                <w:szCs w:val="13"/>
              </w:rPr>
            </w:pPr>
            <w:r w:rsidRPr="00A97F11">
              <w:rPr>
                <w:sz w:val="13"/>
                <w:szCs w:val="13"/>
              </w:rPr>
              <w:t>14</w:t>
            </w:r>
          </w:p>
        </w:tc>
        <w:tc>
          <w:tcPr>
            <w:tcW w:w="698" w:type="dxa"/>
            <w:tcBorders>
              <w:bottom w:val="single" w:sz="4" w:space="0" w:color="000000"/>
            </w:tcBorders>
            <w:tcMar>
              <w:left w:w="72" w:type="dxa"/>
              <w:right w:w="72" w:type="dxa"/>
            </w:tcMar>
          </w:tcPr>
          <w:p w14:paraId="52F71745" w14:textId="77777777" w:rsidR="0081652D" w:rsidRPr="00A97F11" w:rsidRDefault="0081652D" w:rsidP="0081652D">
            <w:pPr>
              <w:pStyle w:val="TableText"/>
              <w:jc w:val="right"/>
              <w:rPr>
                <w:sz w:val="13"/>
                <w:szCs w:val="13"/>
              </w:rPr>
            </w:pPr>
            <w:r w:rsidRPr="00A97F11">
              <w:rPr>
                <w:sz w:val="13"/>
                <w:szCs w:val="13"/>
              </w:rPr>
              <w:t>1.0 (0.5, 2.2)</w:t>
            </w:r>
          </w:p>
        </w:tc>
        <w:tc>
          <w:tcPr>
            <w:tcW w:w="472" w:type="dxa"/>
            <w:tcBorders>
              <w:bottom w:val="single" w:sz="4" w:space="0" w:color="000000"/>
            </w:tcBorders>
            <w:tcMar>
              <w:left w:w="72" w:type="dxa"/>
              <w:right w:w="72" w:type="dxa"/>
            </w:tcMar>
          </w:tcPr>
          <w:p w14:paraId="6C449A84" w14:textId="77777777" w:rsidR="0081652D" w:rsidRPr="00A97F11" w:rsidRDefault="0081652D" w:rsidP="00D46588">
            <w:pPr>
              <w:pStyle w:val="TableText"/>
              <w:jc w:val="right"/>
              <w:rPr>
                <w:sz w:val="13"/>
                <w:szCs w:val="13"/>
              </w:rPr>
            </w:pPr>
            <w:r w:rsidRPr="00A97F11">
              <w:rPr>
                <w:sz w:val="13"/>
                <w:szCs w:val="13"/>
              </w:rPr>
              <w:t>270</w:t>
            </w:r>
          </w:p>
        </w:tc>
        <w:tc>
          <w:tcPr>
            <w:tcW w:w="630" w:type="dxa"/>
            <w:tcBorders>
              <w:bottom w:val="single" w:sz="4" w:space="0" w:color="000000"/>
            </w:tcBorders>
            <w:tcMar>
              <w:left w:w="72" w:type="dxa"/>
              <w:right w:w="72" w:type="dxa"/>
            </w:tcMar>
          </w:tcPr>
          <w:p w14:paraId="1EE89BBD" w14:textId="77777777" w:rsidR="0081652D" w:rsidRPr="00A97F11" w:rsidRDefault="0081652D" w:rsidP="00D46588">
            <w:pPr>
              <w:pStyle w:val="TableText"/>
              <w:jc w:val="right"/>
              <w:rPr>
                <w:sz w:val="13"/>
                <w:szCs w:val="13"/>
              </w:rPr>
            </w:pPr>
            <w:r w:rsidRPr="00A97F11">
              <w:rPr>
                <w:sz w:val="13"/>
                <w:szCs w:val="13"/>
              </w:rPr>
              <w:t>868</w:t>
            </w:r>
          </w:p>
        </w:tc>
        <w:tc>
          <w:tcPr>
            <w:tcW w:w="693" w:type="dxa"/>
            <w:tcBorders>
              <w:bottom w:val="single" w:sz="4" w:space="0" w:color="000000"/>
            </w:tcBorders>
            <w:tcMar>
              <w:left w:w="72" w:type="dxa"/>
              <w:right w:w="72" w:type="dxa"/>
            </w:tcMar>
          </w:tcPr>
          <w:p w14:paraId="5CAB56C8" w14:textId="77777777" w:rsidR="0081652D" w:rsidRPr="00A97F11" w:rsidRDefault="0081652D" w:rsidP="0081652D">
            <w:pPr>
              <w:pStyle w:val="TableText"/>
              <w:jc w:val="right"/>
              <w:rPr>
                <w:sz w:val="13"/>
                <w:szCs w:val="13"/>
              </w:rPr>
            </w:pPr>
            <w:r w:rsidRPr="00A97F11">
              <w:rPr>
                <w:sz w:val="13"/>
                <w:szCs w:val="13"/>
              </w:rPr>
              <w:t>61.7 (56.9, 66.3)</w:t>
            </w:r>
          </w:p>
        </w:tc>
        <w:tc>
          <w:tcPr>
            <w:tcW w:w="387" w:type="dxa"/>
            <w:tcBorders>
              <w:bottom w:val="single" w:sz="4" w:space="0" w:color="000000"/>
            </w:tcBorders>
            <w:tcMar>
              <w:left w:w="72" w:type="dxa"/>
              <w:right w:w="72" w:type="dxa"/>
            </w:tcMar>
          </w:tcPr>
          <w:p w14:paraId="342D2E8B" w14:textId="77777777" w:rsidR="0081652D" w:rsidRPr="00A97F11" w:rsidRDefault="0081652D" w:rsidP="00D46588">
            <w:pPr>
              <w:pStyle w:val="TableText"/>
              <w:jc w:val="right"/>
              <w:rPr>
                <w:sz w:val="13"/>
                <w:szCs w:val="13"/>
              </w:rPr>
            </w:pPr>
            <w:r w:rsidRPr="00A97F11">
              <w:rPr>
                <w:sz w:val="13"/>
                <w:szCs w:val="13"/>
              </w:rPr>
              <w:t>150</w:t>
            </w:r>
          </w:p>
        </w:tc>
        <w:tc>
          <w:tcPr>
            <w:tcW w:w="630" w:type="dxa"/>
            <w:tcBorders>
              <w:bottom w:val="single" w:sz="4" w:space="0" w:color="000000"/>
            </w:tcBorders>
            <w:tcMar>
              <w:left w:w="72" w:type="dxa"/>
              <w:right w:w="72" w:type="dxa"/>
            </w:tcMar>
          </w:tcPr>
          <w:p w14:paraId="445F55F3" w14:textId="77777777" w:rsidR="0081652D" w:rsidRPr="00A97F11" w:rsidRDefault="0081652D" w:rsidP="00D46588">
            <w:pPr>
              <w:pStyle w:val="TableText"/>
              <w:jc w:val="right"/>
              <w:rPr>
                <w:sz w:val="13"/>
                <w:szCs w:val="13"/>
              </w:rPr>
            </w:pPr>
            <w:r w:rsidRPr="00A97F11">
              <w:rPr>
                <w:sz w:val="13"/>
                <w:szCs w:val="13"/>
              </w:rPr>
              <w:t>512</w:t>
            </w:r>
          </w:p>
        </w:tc>
        <w:tc>
          <w:tcPr>
            <w:tcW w:w="778" w:type="dxa"/>
            <w:tcBorders>
              <w:bottom w:val="single" w:sz="4" w:space="0" w:color="000000"/>
            </w:tcBorders>
            <w:tcMar>
              <w:left w:w="72" w:type="dxa"/>
              <w:right w:w="72" w:type="dxa"/>
            </w:tcMar>
          </w:tcPr>
          <w:p w14:paraId="187121BF" w14:textId="77777777" w:rsidR="0081652D" w:rsidRPr="00A97F11" w:rsidRDefault="0081652D" w:rsidP="0081652D">
            <w:pPr>
              <w:pStyle w:val="TableText"/>
              <w:jc w:val="right"/>
              <w:rPr>
                <w:sz w:val="13"/>
                <w:szCs w:val="13"/>
              </w:rPr>
            </w:pPr>
            <w:r w:rsidRPr="00A97F11">
              <w:rPr>
                <w:sz w:val="13"/>
                <w:szCs w:val="13"/>
              </w:rPr>
              <w:t>36.4 (31.8, 41.2)</w:t>
            </w:r>
          </w:p>
        </w:tc>
      </w:tr>
      <w:tr w:rsidR="00BD41F3" w:rsidRPr="004565F5" w14:paraId="608E277E"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Borders>
              <w:top w:val="single" w:sz="4" w:space="0" w:color="000000"/>
              <w:bottom w:val="nil"/>
            </w:tcBorders>
          </w:tcPr>
          <w:p w14:paraId="74133A59" w14:textId="77777777" w:rsidR="0081652D" w:rsidRPr="00F9389A" w:rsidRDefault="0081652D" w:rsidP="00D46588">
            <w:pPr>
              <w:pStyle w:val="TableText"/>
              <w:rPr>
                <w:b/>
                <w:bCs/>
                <w:color w:val="000000" w:themeColor="text1"/>
                <w:szCs w:val="14"/>
              </w:rPr>
            </w:pPr>
            <w:r w:rsidRPr="00F9389A">
              <w:rPr>
                <w:b/>
                <w:bCs/>
                <w:color w:val="000000" w:themeColor="text1"/>
                <w:szCs w:val="14"/>
              </w:rPr>
              <w:t>Age (yrs)</w:t>
            </w:r>
          </w:p>
        </w:tc>
        <w:tc>
          <w:tcPr>
            <w:tcW w:w="360" w:type="dxa"/>
            <w:tcBorders>
              <w:top w:val="single" w:sz="4" w:space="0" w:color="000000"/>
              <w:bottom w:val="nil"/>
            </w:tcBorders>
            <w:tcMar>
              <w:left w:w="72" w:type="dxa"/>
              <w:right w:w="72" w:type="dxa"/>
            </w:tcMar>
          </w:tcPr>
          <w:p w14:paraId="20B24C10" w14:textId="77777777" w:rsidR="0081652D" w:rsidRPr="00A97F11" w:rsidRDefault="0081652D" w:rsidP="00D46588">
            <w:pPr>
              <w:pStyle w:val="TableText"/>
              <w:jc w:val="right"/>
              <w:rPr>
                <w:sz w:val="13"/>
                <w:szCs w:val="13"/>
              </w:rPr>
            </w:pPr>
          </w:p>
        </w:tc>
        <w:tc>
          <w:tcPr>
            <w:tcW w:w="630" w:type="dxa"/>
            <w:tcBorders>
              <w:top w:val="single" w:sz="4" w:space="0" w:color="000000"/>
              <w:bottom w:val="nil"/>
            </w:tcBorders>
            <w:tcMar>
              <w:left w:w="72" w:type="dxa"/>
              <w:right w:w="72" w:type="dxa"/>
            </w:tcMar>
          </w:tcPr>
          <w:p w14:paraId="731CD2A8" w14:textId="77777777" w:rsidR="0081652D" w:rsidRPr="00A97F11" w:rsidRDefault="0081652D" w:rsidP="00D46588">
            <w:pPr>
              <w:pStyle w:val="TableText"/>
              <w:jc w:val="right"/>
              <w:rPr>
                <w:sz w:val="13"/>
                <w:szCs w:val="13"/>
              </w:rPr>
            </w:pPr>
          </w:p>
        </w:tc>
        <w:tc>
          <w:tcPr>
            <w:tcW w:w="804" w:type="dxa"/>
            <w:tcBorders>
              <w:top w:val="single" w:sz="4" w:space="0" w:color="000000"/>
              <w:bottom w:val="nil"/>
            </w:tcBorders>
            <w:tcMar>
              <w:left w:w="72" w:type="dxa"/>
              <w:right w:w="72" w:type="dxa"/>
            </w:tcMar>
          </w:tcPr>
          <w:p w14:paraId="33CA76DC" w14:textId="77777777" w:rsidR="0081652D" w:rsidRPr="00A97F11" w:rsidRDefault="0081652D" w:rsidP="00D46588">
            <w:pPr>
              <w:pStyle w:val="TableText"/>
              <w:jc w:val="right"/>
              <w:rPr>
                <w:sz w:val="13"/>
                <w:szCs w:val="13"/>
              </w:rPr>
            </w:pPr>
          </w:p>
        </w:tc>
        <w:tc>
          <w:tcPr>
            <w:tcW w:w="456" w:type="dxa"/>
            <w:tcBorders>
              <w:top w:val="single" w:sz="4" w:space="0" w:color="000000"/>
              <w:bottom w:val="nil"/>
            </w:tcBorders>
            <w:tcMar>
              <w:left w:w="72" w:type="dxa"/>
              <w:right w:w="72" w:type="dxa"/>
            </w:tcMar>
          </w:tcPr>
          <w:p w14:paraId="793EAB43" w14:textId="77777777" w:rsidR="0081652D" w:rsidRPr="00A97F11" w:rsidRDefault="0081652D" w:rsidP="00D46588">
            <w:pPr>
              <w:pStyle w:val="TableText"/>
              <w:jc w:val="right"/>
              <w:rPr>
                <w:sz w:val="13"/>
                <w:szCs w:val="13"/>
              </w:rPr>
            </w:pPr>
          </w:p>
        </w:tc>
        <w:tc>
          <w:tcPr>
            <w:tcW w:w="630" w:type="dxa"/>
            <w:tcBorders>
              <w:top w:val="single" w:sz="4" w:space="0" w:color="000000"/>
              <w:bottom w:val="nil"/>
            </w:tcBorders>
            <w:tcMar>
              <w:left w:w="72" w:type="dxa"/>
              <w:right w:w="72" w:type="dxa"/>
            </w:tcMar>
          </w:tcPr>
          <w:p w14:paraId="743D2545" w14:textId="77777777" w:rsidR="0081652D" w:rsidRPr="00A97F11" w:rsidRDefault="0081652D" w:rsidP="00D46588">
            <w:pPr>
              <w:pStyle w:val="TableText"/>
              <w:jc w:val="right"/>
              <w:rPr>
                <w:sz w:val="13"/>
                <w:szCs w:val="13"/>
              </w:rPr>
            </w:pPr>
          </w:p>
        </w:tc>
        <w:tc>
          <w:tcPr>
            <w:tcW w:w="709" w:type="dxa"/>
            <w:tcBorders>
              <w:top w:val="single" w:sz="4" w:space="0" w:color="000000"/>
              <w:bottom w:val="nil"/>
            </w:tcBorders>
            <w:tcMar>
              <w:left w:w="72" w:type="dxa"/>
              <w:right w:w="72" w:type="dxa"/>
            </w:tcMar>
          </w:tcPr>
          <w:p w14:paraId="68CBB2B0" w14:textId="77777777" w:rsidR="0081652D" w:rsidRPr="00A97F11" w:rsidRDefault="0081652D" w:rsidP="00D46588">
            <w:pPr>
              <w:pStyle w:val="TableText"/>
              <w:jc w:val="right"/>
              <w:rPr>
                <w:sz w:val="13"/>
                <w:szCs w:val="13"/>
              </w:rPr>
            </w:pPr>
          </w:p>
        </w:tc>
        <w:tc>
          <w:tcPr>
            <w:tcW w:w="371" w:type="dxa"/>
            <w:tcBorders>
              <w:top w:val="single" w:sz="4" w:space="0" w:color="000000"/>
              <w:bottom w:val="nil"/>
            </w:tcBorders>
            <w:tcMar>
              <w:left w:w="72" w:type="dxa"/>
              <w:right w:w="72" w:type="dxa"/>
            </w:tcMar>
          </w:tcPr>
          <w:p w14:paraId="6992F60F" w14:textId="77777777" w:rsidR="0081652D" w:rsidRPr="00A97F11" w:rsidRDefault="0081652D" w:rsidP="00D46588">
            <w:pPr>
              <w:pStyle w:val="TableText"/>
              <w:jc w:val="right"/>
              <w:rPr>
                <w:sz w:val="13"/>
                <w:szCs w:val="13"/>
              </w:rPr>
            </w:pPr>
          </w:p>
        </w:tc>
        <w:tc>
          <w:tcPr>
            <w:tcW w:w="630" w:type="dxa"/>
            <w:tcBorders>
              <w:top w:val="single" w:sz="4" w:space="0" w:color="000000"/>
              <w:bottom w:val="nil"/>
            </w:tcBorders>
            <w:tcMar>
              <w:left w:w="72" w:type="dxa"/>
              <w:right w:w="72" w:type="dxa"/>
            </w:tcMar>
          </w:tcPr>
          <w:p w14:paraId="45F67B69" w14:textId="77777777" w:rsidR="0081652D" w:rsidRPr="00A97F11" w:rsidRDefault="0081652D" w:rsidP="00D46588">
            <w:pPr>
              <w:pStyle w:val="TableText"/>
              <w:jc w:val="right"/>
              <w:rPr>
                <w:sz w:val="13"/>
                <w:szCs w:val="13"/>
              </w:rPr>
            </w:pPr>
          </w:p>
        </w:tc>
        <w:tc>
          <w:tcPr>
            <w:tcW w:w="794" w:type="dxa"/>
            <w:tcBorders>
              <w:top w:val="single" w:sz="4" w:space="0" w:color="000000"/>
              <w:bottom w:val="nil"/>
            </w:tcBorders>
            <w:tcMar>
              <w:left w:w="72" w:type="dxa"/>
              <w:right w:w="72" w:type="dxa"/>
            </w:tcMar>
          </w:tcPr>
          <w:p w14:paraId="1BE93C72" w14:textId="77777777" w:rsidR="0081652D" w:rsidRPr="00A97F11" w:rsidRDefault="0081652D" w:rsidP="00D46588">
            <w:pPr>
              <w:pStyle w:val="TableText"/>
              <w:jc w:val="right"/>
              <w:rPr>
                <w:sz w:val="13"/>
                <w:szCs w:val="13"/>
              </w:rPr>
            </w:pPr>
          </w:p>
        </w:tc>
        <w:tc>
          <w:tcPr>
            <w:tcW w:w="466" w:type="dxa"/>
            <w:tcBorders>
              <w:top w:val="single" w:sz="4" w:space="0" w:color="000000"/>
              <w:bottom w:val="nil"/>
            </w:tcBorders>
            <w:tcMar>
              <w:left w:w="72" w:type="dxa"/>
              <w:right w:w="72" w:type="dxa"/>
            </w:tcMar>
          </w:tcPr>
          <w:p w14:paraId="5DC097F6" w14:textId="77777777" w:rsidR="0081652D" w:rsidRPr="00A97F11" w:rsidRDefault="0081652D" w:rsidP="00D46588">
            <w:pPr>
              <w:pStyle w:val="TableText"/>
              <w:jc w:val="right"/>
              <w:rPr>
                <w:sz w:val="13"/>
                <w:szCs w:val="13"/>
              </w:rPr>
            </w:pPr>
          </w:p>
        </w:tc>
        <w:tc>
          <w:tcPr>
            <w:tcW w:w="630" w:type="dxa"/>
            <w:tcBorders>
              <w:top w:val="single" w:sz="4" w:space="0" w:color="000000"/>
              <w:bottom w:val="nil"/>
            </w:tcBorders>
            <w:tcMar>
              <w:left w:w="72" w:type="dxa"/>
              <w:right w:w="72" w:type="dxa"/>
            </w:tcMar>
          </w:tcPr>
          <w:p w14:paraId="40929B33" w14:textId="77777777" w:rsidR="0081652D" w:rsidRPr="00A97F11" w:rsidRDefault="0081652D" w:rsidP="00D46588">
            <w:pPr>
              <w:pStyle w:val="TableText"/>
              <w:jc w:val="right"/>
              <w:rPr>
                <w:sz w:val="13"/>
                <w:szCs w:val="13"/>
              </w:rPr>
            </w:pPr>
          </w:p>
        </w:tc>
        <w:tc>
          <w:tcPr>
            <w:tcW w:w="698" w:type="dxa"/>
            <w:tcBorders>
              <w:top w:val="single" w:sz="4" w:space="0" w:color="000000"/>
              <w:bottom w:val="nil"/>
            </w:tcBorders>
            <w:tcMar>
              <w:left w:w="72" w:type="dxa"/>
              <w:right w:w="72" w:type="dxa"/>
            </w:tcMar>
          </w:tcPr>
          <w:p w14:paraId="5358BD68" w14:textId="77777777" w:rsidR="0081652D" w:rsidRPr="00A97F11" w:rsidRDefault="0081652D" w:rsidP="00D46588">
            <w:pPr>
              <w:pStyle w:val="TableText"/>
              <w:jc w:val="right"/>
              <w:rPr>
                <w:sz w:val="13"/>
                <w:szCs w:val="13"/>
              </w:rPr>
            </w:pPr>
          </w:p>
        </w:tc>
        <w:tc>
          <w:tcPr>
            <w:tcW w:w="472" w:type="dxa"/>
            <w:tcBorders>
              <w:top w:val="single" w:sz="4" w:space="0" w:color="000000"/>
              <w:bottom w:val="nil"/>
            </w:tcBorders>
            <w:tcMar>
              <w:left w:w="72" w:type="dxa"/>
              <w:right w:w="72" w:type="dxa"/>
            </w:tcMar>
          </w:tcPr>
          <w:p w14:paraId="0E671C5F" w14:textId="77777777" w:rsidR="0081652D" w:rsidRPr="00A97F11" w:rsidRDefault="0081652D" w:rsidP="00D46588">
            <w:pPr>
              <w:pStyle w:val="TableText"/>
              <w:jc w:val="right"/>
              <w:rPr>
                <w:sz w:val="13"/>
                <w:szCs w:val="13"/>
              </w:rPr>
            </w:pPr>
          </w:p>
        </w:tc>
        <w:tc>
          <w:tcPr>
            <w:tcW w:w="630" w:type="dxa"/>
            <w:tcBorders>
              <w:top w:val="single" w:sz="4" w:space="0" w:color="000000"/>
              <w:bottom w:val="nil"/>
            </w:tcBorders>
            <w:tcMar>
              <w:left w:w="72" w:type="dxa"/>
              <w:right w:w="72" w:type="dxa"/>
            </w:tcMar>
          </w:tcPr>
          <w:p w14:paraId="24B816F8" w14:textId="77777777" w:rsidR="0081652D" w:rsidRPr="00A97F11" w:rsidRDefault="0081652D" w:rsidP="00D46588">
            <w:pPr>
              <w:pStyle w:val="TableText"/>
              <w:jc w:val="right"/>
              <w:rPr>
                <w:sz w:val="13"/>
                <w:szCs w:val="13"/>
              </w:rPr>
            </w:pPr>
          </w:p>
        </w:tc>
        <w:tc>
          <w:tcPr>
            <w:tcW w:w="693" w:type="dxa"/>
            <w:tcBorders>
              <w:top w:val="single" w:sz="4" w:space="0" w:color="000000"/>
              <w:bottom w:val="nil"/>
            </w:tcBorders>
            <w:tcMar>
              <w:left w:w="72" w:type="dxa"/>
              <w:right w:w="72" w:type="dxa"/>
            </w:tcMar>
          </w:tcPr>
          <w:p w14:paraId="4555F33F" w14:textId="77777777" w:rsidR="0081652D" w:rsidRPr="00A97F11" w:rsidRDefault="0081652D" w:rsidP="00D46588">
            <w:pPr>
              <w:pStyle w:val="TableText"/>
              <w:jc w:val="right"/>
              <w:rPr>
                <w:sz w:val="13"/>
                <w:szCs w:val="13"/>
              </w:rPr>
            </w:pPr>
          </w:p>
        </w:tc>
        <w:tc>
          <w:tcPr>
            <w:tcW w:w="387" w:type="dxa"/>
            <w:tcBorders>
              <w:top w:val="single" w:sz="4" w:space="0" w:color="000000"/>
              <w:bottom w:val="nil"/>
            </w:tcBorders>
            <w:tcMar>
              <w:left w:w="72" w:type="dxa"/>
              <w:right w:w="72" w:type="dxa"/>
            </w:tcMar>
          </w:tcPr>
          <w:p w14:paraId="0D6198D9" w14:textId="77777777" w:rsidR="0081652D" w:rsidRPr="00A97F11" w:rsidRDefault="0081652D" w:rsidP="00D46588">
            <w:pPr>
              <w:pStyle w:val="TableText"/>
              <w:jc w:val="right"/>
              <w:rPr>
                <w:sz w:val="13"/>
                <w:szCs w:val="13"/>
              </w:rPr>
            </w:pPr>
          </w:p>
        </w:tc>
        <w:tc>
          <w:tcPr>
            <w:tcW w:w="630" w:type="dxa"/>
            <w:tcBorders>
              <w:top w:val="single" w:sz="4" w:space="0" w:color="000000"/>
              <w:bottom w:val="nil"/>
            </w:tcBorders>
            <w:tcMar>
              <w:left w:w="72" w:type="dxa"/>
              <w:right w:w="72" w:type="dxa"/>
            </w:tcMar>
          </w:tcPr>
          <w:p w14:paraId="743171F4" w14:textId="77777777" w:rsidR="0081652D" w:rsidRPr="00A97F11" w:rsidRDefault="0081652D" w:rsidP="00D46588">
            <w:pPr>
              <w:pStyle w:val="TableText"/>
              <w:jc w:val="right"/>
              <w:rPr>
                <w:sz w:val="13"/>
                <w:szCs w:val="13"/>
              </w:rPr>
            </w:pPr>
          </w:p>
        </w:tc>
        <w:tc>
          <w:tcPr>
            <w:tcW w:w="778" w:type="dxa"/>
            <w:tcBorders>
              <w:top w:val="single" w:sz="4" w:space="0" w:color="000000"/>
              <w:bottom w:val="nil"/>
            </w:tcBorders>
            <w:tcMar>
              <w:left w:w="72" w:type="dxa"/>
              <w:right w:w="72" w:type="dxa"/>
            </w:tcMar>
          </w:tcPr>
          <w:p w14:paraId="27ED9587" w14:textId="77777777" w:rsidR="0081652D" w:rsidRPr="00A97F11" w:rsidRDefault="0081652D" w:rsidP="00D46588">
            <w:pPr>
              <w:pStyle w:val="TableText"/>
              <w:jc w:val="right"/>
              <w:rPr>
                <w:sz w:val="13"/>
                <w:szCs w:val="13"/>
              </w:rPr>
            </w:pPr>
          </w:p>
        </w:tc>
      </w:tr>
      <w:tr w:rsidR="00A97F11" w:rsidRPr="004565F5" w14:paraId="6C69CBCF" w14:textId="77777777" w:rsidTr="001F3BA4">
        <w:trPr>
          <w:cantSplit/>
        </w:trPr>
        <w:tc>
          <w:tcPr>
            <w:tcW w:w="738" w:type="dxa"/>
            <w:tcBorders>
              <w:top w:val="nil"/>
            </w:tcBorders>
          </w:tcPr>
          <w:p w14:paraId="488E099B" w14:textId="77777777" w:rsidR="0081652D" w:rsidRPr="00F9389A" w:rsidRDefault="0081652D" w:rsidP="00D46588">
            <w:pPr>
              <w:pStyle w:val="TableText"/>
              <w:rPr>
                <w:bCs/>
                <w:color w:val="000000" w:themeColor="text1"/>
                <w:szCs w:val="14"/>
              </w:rPr>
            </w:pPr>
            <w:r w:rsidRPr="00F9389A">
              <w:rPr>
                <w:bCs/>
                <w:color w:val="000000" w:themeColor="text1"/>
                <w:szCs w:val="14"/>
              </w:rPr>
              <w:t>18</w:t>
            </w:r>
            <w:r>
              <w:rPr>
                <w:bCs/>
                <w:color w:val="000000" w:themeColor="text1"/>
                <w:szCs w:val="14"/>
              </w:rPr>
              <w:t>–</w:t>
            </w:r>
            <w:r w:rsidRPr="00F9389A">
              <w:rPr>
                <w:bCs/>
                <w:color w:val="000000" w:themeColor="text1"/>
                <w:szCs w:val="14"/>
              </w:rPr>
              <w:t>27</w:t>
            </w:r>
          </w:p>
        </w:tc>
        <w:tc>
          <w:tcPr>
            <w:tcW w:w="360" w:type="dxa"/>
            <w:tcBorders>
              <w:top w:val="nil"/>
            </w:tcBorders>
            <w:tcMar>
              <w:left w:w="72" w:type="dxa"/>
              <w:right w:w="72" w:type="dxa"/>
            </w:tcMar>
          </w:tcPr>
          <w:p w14:paraId="0C134A51" w14:textId="77777777" w:rsidR="0081652D" w:rsidRPr="00A97F11" w:rsidRDefault="0081652D" w:rsidP="00D46588">
            <w:pPr>
              <w:pStyle w:val="TableText"/>
              <w:jc w:val="right"/>
              <w:rPr>
                <w:sz w:val="13"/>
                <w:szCs w:val="13"/>
              </w:rPr>
            </w:pPr>
            <w:r w:rsidRPr="00A97F11">
              <w:rPr>
                <w:sz w:val="13"/>
                <w:szCs w:val="13"/>
              </w:rPr>
              <w:t>5</w:t>
            </w:r>
          </w:p>
        </w:tc>
        <w:tc>
          <w:tcPr>
            <w:tcW w:w="630" w:type="dxa"/>
            <w:tcBorders>
              <w:top w:val="nil"/>
            </w:tcBorders>
            <w:tcMar>
              <w:left w:w="72" w:type="dxa"/>
              <w:right w:w="72" w:type="dxa"/>
            </w:tcMar>
          </w:tcPr>
          <w:p w14:paraId="5B16B215" w14:textId="77777777" w:rsidR="0081652D" w:rsidRPr="00A97F11" w:rsidRDefault="0081652D" w:rsidP="00D46588">
            <w:pPr>
              <w:pStyle w:val="TableText"/>
              <w:jc w:val="right"/>
              <w:rPr>
                <w:sz w:val="13"/>
                <w:szCs w:val="13"/>
              </w:rPr>
            </w:pPr>
            <w:r w:rsidRPr="00A97F11">
              <w:rPr>
                <w:sz w:val="13"/>
                <w:szCs w:val="13"/>
              </w:rPr>
              <w:t>31</w:t>
            </w:r>
          </w:p>
        </w:tc>
        <w:tc>
          <w:tcPr>
            <w:tcW w:w="804" w:type="dxa"/>
            <w:tcBorders>
              <w:top w:val="nil"/>
            </w:tcBorders>
            <w:tcMar>
              <w:left w:w="72" w:type="dxa"/>
              <w:right w:w="72" w:type="dxa"/>
            </w:tcMar>
          </w:tcPr>
          <w:p w14:paraId="10BAB35D" w14:textId="77777777" w:rsidR="0081652D" w:rsidRPr="00A97F11" w:rsidRDefault="0081652D" w:rsidP="0081652D">
            <w:pPr>
              <w:pStyle w:val="TableText"/>
              <w:jc w:val="right"/>
              <w:rPr>
                <w:sz w:val="13"/>
                <w:szCs w:val="13"/>
              </w:rPr>
            </w:pPr>
            <w:r w:rsidRPr="00A97F11">
              <w:rPr>
                <w:sz w:val="13"/>
                <w:szCs w:val="13"/>
              </w:rPr>
              <w:t>2.5 (1.1, 6.0)</w:t>
            </w:r>
          </w:p>
        </w:tc>
        <w:tc>
          <w:tcPr>
            <w:tcW w:w="456" w:type="dxa"/>
            <w:tcBorders>
              <w:top w:val="nil"/>
            </w:tcBorders>
            <w:tcMar>
              <w:left w:w="72" w:type="dxa"/>
              <w:right w:w="72" w:type="dxa"/>
            </w:tcMar>
          </w:tcPr>
          <w:p w14:paraId="657FA131" w14:textId="77777777" w:rsidR="0081652D" w:rsidRPr="00A97F11" w:rsidRDefault="0081652D" w:rsidP="00D46588">
            <w:pPr>
              <w:pStyle w:val="TableText"/>
              <w:jc w:val="right"/>
              <w:rPr>
                <w:sz w:val="13"/>
                <w:szCs w:val="13"/>
              </w:rPr>
            </w:pPr>
            <w:r w:rsidRPr="00A97F11">
              <w:rPr>
                <w:sz w:val="13"/>
                <w:szCs w:val="13"/>
              </w:rPr>
              <w:t>43</w:t>
            </w:r>
          </w:p>
        </w:tc>
        <w:tc>
          <w:tcPr>
            <w:tcW w:w="630" w:type="dxa"/>
            <w:tcBorders>
              <w:top w:val="nil"/>
            </w:tcBorders>
            <w:tcMar>
              <w:left w:w="72" w:type="dxa"/>
              <w:right w:w="72" w:type="dxa"/>
            </w:tcMar>
          </w:tcPr>
          <w:p w14:paraId="6C57CDA8" w14:textId="77777777" w:rsidR="0081652D" w:rsidRPr="00A97F11" w:rsidRDefault="0081652D" w:rsidP="00D46588">
            <w:pPr>
              <w:pStyle w:val="TableText"/>
              <w:jc w:val="right"/>
              <w:rPr>
                <w:sz w:val="13"/>
                <w:szCs w:val="13"/>
              </w:rPr>
            </w:pPr>
            <w:r w:rsidRPr="00A97F11">
              <w:rPr>
                <w:sz w:val="13"/>
                <w:szCs w:val="13"/>
              </w:rPr>
              <w:t>506</w:t>
            </w:r>
          </w:p>
        </w:tc>
        <w:tc>
          <w:tcPr>
            <w:tcW w:w="709" w:type="dxa"/>
            <w:tcBorders>
              <w:top w:val="nil"/>
            </w:tcBorders>
            <w:tcMar>
              <w:left w:w="72" w:type="dxa"/>
              <w:right w:w="72" w:type="dxa"/>
            </w:tcMar>
          </w:tcPr>
          <w:p w14:paraId="7F79A5B5" w14:textId="77777777" w:rsidR="0081652D" w:rsidRPr="00A97F11" w:rsidRDefault="0081652D" w:rsidP="0081652D">
            <w:pPr>
              <w:pStyle w:val="TableText"/>
              <w:jc w:val="right"/>
              <w:rPr>
                <w:rFonts w:eastAsia="Times New Roman" w:cstheme="minorHAnsi"/>
                <w:sz w:val="13"/>
                <w:szCs w:val="13"/>
              </w:rPr>
            </w:pPr>
            <w:r w:rsidRPr="00A97F11">
              <w:rPr>
                <w:rFonts w:cstheme="minorHAnsi"/>
                <w:sz w:val="13"/>
                <w:szCs w:val="13"/>
              </w:rPr>
              <w:t>41.1 (30.6, 52.5)</w:t>
            </w:r>
          </w:p>
        </w:tc>
        <w:tc>
          <w:tcPr>
            <w:tcW w:w="371" w:type="dxa"/>
            <w:tcBorders>
              <w:top w:val="nil"/>
            </w:tcBorders>
            <w:tcMar>
              <w:left w:w="72" w:type="dxa"/>
              <w:right w:w="72" w:type="dxa"/>
            </w:tcMar>
          </w:tcPr>
          <w:p w14:paraId="78D6FE5F" w14:textId="77777777" w:rsidR="0081652D" w:rsidRPr="00A97F11" w:rsidRDefault="0081652D" w:rsidP="00D46588">
            <w:pPr>
              <w:pStyle w:val="TableText"/>
              <w:jc w:val="right"/>
              <w:rPr>
                <w:sz w:val="13"/>
                <w:szCs w:val="13"/>
              </w:rPr>
            </w:pPr>
            <w:r w:rsidRPr="00A97F11">
              <w:rPr>
                <w:sz w:val="13"/>
                <w:szCs w:val="13"/>
              </w:rPr>
              <w:t>48</w:t>
            </w:r>
          </w:p>
        </w:tc>
        <w:tc>
          <w:tcPr>
            <w:tcW w:w="630" w:type="dxa"/>
            <w:tcBorders>
              <w:top w:val="nil"/>
            </w:tcBorders>
            <w:tcMar>
              <w:left w:w="72" w:type="dxa"/>
              <w:right w:w="72" w:type="dxa"/>
            </w:tcMar>
          </w:tcPr>
          <w:p w14:paraId="6AE978D2" w14:textId="77777777" w:rsidR="0081652D" w:rsidRPr="00A97F11" w:rsidRDefault="0081652D" w:rsidP="00D46588">
            <w:pPr>
              <w:pStyle w:val="TableText"/>
              <w:jc w:val="right"/>
              <w:rPr>
                <w:sz w:val="13"/>
                <w:szCs w:val="13"/>
              </w:rPr>
            </w:pPr>
            <w:r w:rsidRPr="00A97F11">
              <w:rPr>
                <w:sz w:val="13"/>
                <w:szCs w:val="13"/>
              </w:rPr>
              <w:t>678</w:t>
            </w:r>
          </w:p>
        </w:tc>
        <w:tc>
          <w:tcPr>
            <w:tcW w:w="794" w:type="dxa"/>
            <w:tcBorders>
              <w:top w:val="nil"/>
            </w:tcBorders>
            <w:tcMar>
              <w:left w:w="72" w:type="dxa"/>
              <w:right w:w="72" w:type="dxa"/>
            </w:tcMar>
          </w:tcPr>
          <w:p w14:paraId="19CD094D" w14:textId="77777777" w:rsidR="0081652D" w:rsidRPr="00A97F11" w:rsidRDefault="0081652D" w:rsidP="0081652D">
            <w:pPr>
              <w:pStyle w:val="TableText"/>
              <w:jc w:val="right"/>
              <w:rPr>
                <w:sz w:val="13"/>
                <w:szCs w:val="13"/>
              </w:rPr>
            </w:pPr>
            <w:r w:rsidRPr="00A97F11">
              <w:rPr>
                <w:sz w:val="13"/>
                <w:szCs w:val="13"/>
              </w:rPr>
              <w:t>55.0 (43.8, 65.8)</w:t>
            </w:r>
          </w:p>
        </w:tc>
        <w:tc>
          <w:tcPr>
            <w:tcW w:w="466" w:type="dxa"/>
            <w:tcBorders>
              <w:top w:val="nil"/>
            </w:tcBorders>
            <w:tcMar>
              <w:left w:w="72" w:type="dxa"/>
              <w:right w:w="72" w:type="dxa"/>
            </w:tcMar>
          </w:tcPr>
          <w:p w14:paraId="69EA8FEF" w14:textId="77777777" w:rsidR="0081652D" w:rsidRPr="00A97F11" w:rsidRDefault="0081652D" w:rsidP="00D46588">
            <w:pPr>
              <w:pStyle w:val="TableText"/>
              <w:jc w:val="right"/>
              <w:rPr>
                <w:sz w:val="13"/>
                <w:szCs w:val="13"/>
              </w:rPr>
            </w:pPr>
            <w:r w:rsidRPr="00A97F11">
              <w:rPr>
                <w:sz w:val="13"/>
                <w:szCs w:val="13"/>
              </w:rPr>
              <w:t>#</w:t>
            </w:r>
          </w:p>
        </w:tc>
        <w:tc>
          <w:tcPr>
            <w:tcW w:w="630" w:type="dxa"/>
            <w:tcBorders>
              <w:top w:val="nil"/>
            </w:tcBorders>
            <w:tcMar>
              <w:left w:w="72" w:type="dxa"/>
              <w:right w:w="72" w:type="dxa"/>
            </w:tcMar>
          </w:tcPr>
          <w:p w14:paraId="66A0B02B" w14:textId="77777777" w:rsidR="0081652D" w:rsidRPr="00A97F11" w:rsidRDefault="0081652D" w:rsidP="00D46588">
            <w:pPr>
              <w:pStyle w:val="TableText"/>
              <w:jc w:val="right"/>
              <w:rPr>
                <w:sz w:val="13"/>
                <w:szCs w:val="13"/>
              </w:rPr>
            </w:pPr>
            <w:r w:rsidRPr="00A97F11">
              <w:rPr>
                <w:sz w:val="13"/>
                <w:szCs w:val="13"/>
              </w:rPr>
              <w:t>–</w:t>
            </w:r>
          </w:p>
        </w:tc>
        <w:tc>
          <w:tcPr>
            <w:tcW w:w="698" w:type="dxa"/>
            <w:tcBorders>
              <w:top w:val="nil"/>
            </w:tcBorders>
            <w:tcMar>
              <w:left w:w="72" w:type="dxa"/>
              <w:right w:w="72" w:type="dxa"/>
            </w:tcMar>
          </w:tcPr>
          <w:p w14:paraId="3D93547D" w14:textId="77777777" w:rsidR="0081652D" w:rsidRPr="00A97F11" w:rsidRDefault="0081652D" w:rsidP="00D46588">
            <w:pPr>
              <w:pStyle w:val="TableText"/>
              <w:jc w:val="right"/>
              <w:rPr>
                <w:sz w:val="13"/>
                <w:szCs w:val="13"/>
              </w:rPr>
            </w:pPr>
            <w:r w:rsidRPr="00A97F11">
              <w:rPr>
                <w:sz w:val="13"/>
                <w:szCs w:val="13"/>
              </w:rPr>
              <w:t>–</w:t>
            </w:r>
          </w:p>
        </w:tc>
        <w:tc>
          <w:tcPr>
            <w:tcW w:w="472" w:type="dxa"/>
            <w:tcBorders>
              <w:top w:val="nil"/>
            </w:tcBorders>
            <w:tcMar>
              <w:left w:w="72" w:type="dxa"/>
              <w:right w:w="72" w:type="dxa"/>
            </w:tcMar>
          </w:tcPr>
          <w:p w14:paraId="581D0458" w14:textId="77777777" w:rsidR="0081652D" w:rsidRPr="00A97F11" w:rsidRDefault="0081652D" w:rsidP="00D46588">
            <w:pPr>
              <w:pStyle w:val="TableText"/>
              <w:jc w:val="right"/>
              <w:rPr>
                <w:sz w:val="13"/>
                <w:szCs w:val="13"/>
              </w:rPr>
            </w:pPr>
            <w:r w:rsidRPr="00A97F11">
              <w:rPr>
                <w:sz w:val="13"/>
                <w:szCs w:val="13"/>
              </w:rPr>
              <w:t>67</w:t>
            </w:r>
          </w:p>
        </w:tc>
        <w:tc>
          <w:tcPr>
            <w:tcW w:w="630" w:type="dxa"/>
            <w:tcBorders>
              <w:top w:val="nil"/>
            </w:tcBorders>
            <w:tcMar>
              <w:left w:w="72" w:type="dxa"/>
              <w:right w:w="72" w:type="dxa"/>
            </w:tcMar>
          </w:tcPr>
          <w:p w14:paraId="6C3C8200" w14:textId="77777777" w:rsidR="0081652D" w:rsidRPr="00A97F11" w:rsidRDefault="0081652D" w:rsidP="00D46588">
            <w:pPr>
              <w:pStyle w:val="TableText"/>
              <w:jc w:val="right"/>
              <w:rPr>
                <w:sz w:val="13"/>
                <w:szCs w:val="13"/>
              </w:rPr>
            </w:pPr>
            <w:r w:rsidRPr="00A97F11">
              <w:rPr>
                <w:sz w:val="13"/>
                <w:szCs w:val="13"/>
              </w:rPr>
              <w:t>1269</w:t>
            </w:r>
          </w:p>
        </w:tc>
        <w:tc>
          <w:tcPr>
            <w:tcW w:w="693" w:type="dxa"/>
            <w:tcBorders>
              <w:top w:val="nil"/>
            </w:tcBorders>
            <w:tcMar>
              <w:left w:w="72" w:type="dxa"/>
              <w:right w:w="72" w:type="dxa"/>
            </w:tcMar>
          </w:tcPr>
          <w:p w14:paraId="685438A0" w14:textId="77777777" w:rsidR="0081652D" w:rsidRPr="00A97F11" w:rsidRDefault="0081652D" w:rsidP="0081652D">
            <w:pPr>
              <w:pStyle w:val="TableText"/>
              <w:jc w:val="right"/>
              <w:rPr>
                <w:sz w:val="13"/>
                <w:szCs w:val="13"/>
              </w:rPr>
            </w:pPr>
            <w:r w:rsidRPr="00A97F11">
              <w:rPr>
                <w:sz w:val="13"/>
                <w:szCs w:val="13"/>
              </w:rPr>
              <w:t>63.4 (32.4, 86.2)</w:t>
            </w:r>
          </w:p>
        </w:tc>
        <w:tc>
          <w:tcPr>
            <w:tcW w:w="387" w:type="dxa"/>
            <w:tcBorders>
              <w:top w:val="nil"/>
            </w:tcBorders>
            <w:tcMar>
              <w:left w:w="72" w:type="dxa"/>
              <w:right w:w="72" w:type="dxa"/>
            </w:tcMar>
          </w:tcPr>
          <w:p w14:paraId="020D516F" w14:textId="77777777" w:rsidR="0081652D" w:rsidRPr="00A97F11" w:rsidRDefault="0081652D" w:rsidP="00D46588">
            <w:pPr>
              <w:pStyle w:val="TableText"/>
              <w:jc w:val="right"/>
              <w:rPr>
                <w:sz w:val="13"/>
                <w:szCs w:val="13"/>
              </w:rPr>
            </w:pPr>
            <w:r w:rsidRPr="00A97F11">
              <w:rPr>
                <w:sz w:val="13"/>
                <w:szCs w:val="13"/>
              </w:rPr>
              <w:t>44</w:t>
            </w:r>
          </w:p>
        </w:tc>
        <w:tc>
          <w:tcPr>
            <w:tcW w:w="630" w:type="dxa"/>
            <w:tcBorders>
              <w:top w:val="nil"/>
            </w:tcBorders>
            <w:tcMar>
              <w:left w:w="72" w:type="dxa"/>
              <w:right w:w="72" w:type="dxa"/>
            </w:tcMar>
          </w:tcPr>
          <w:p w14:paraId="53F9B3BD" w14:textId="77777777" w:rsidR="0081652D" w:rsidRPr="00A97F11" w:rsidRDefault="0081652D" w:rsidP="00D46588">
            <w:pPr>
              <w:pStyle w:val="TableText"/>
              <w:jc w:val="right"/>
              <w:rPr>
                <w:sz w:val="13"/>
                <w:szCs w:val="13"/>
              </w:rPr>
            </w:pPr>
            <w:r w:rsidRPr="00A97F11">
              <w:rPr>
                <w:sz w:val="13"/>
                <w:szCs w:val="13"/>
              </w:rPr>
              <w:t>686</w:t>
            </w:r>
          </w:p>
        </w:tc>
        <w:tc>
          <w:tcPr>
            <w:tcW w:w="778" w:type="dxa"/>
            <w:tcBorders>
              <w:top w:val="nil"/>
            </w:tcBorders>
            <w:tcMar>
              <w:left w:w="72" w:type="dxa"/>
              <w:right w:w="72" w:type="dxa"/>
            </w:tcMar>
          </w:tcPr>
          <w:p w14:paraId="2D713E25" w14:textId="77777777" w:rsidR="0081652D" w:rsidRPr="00A97F11" w:rsidRDefault="0081652D" w:rsidP="0081652D">
            <w:pPr>
              <w:pStyle w:val="TableText"/>
              <w:jc w:val="right"/>
              <w:rPr>
                <w:sz w:val="13"/>
                <w:szCs w:val="13"/>
              </w:rPr>
            </w:pPr>
            <w:r w:rsidRPr="00A97F11">
              <w:rPr>
                <w:sz w:val="13"/>
                <w:szCs w:val="13"/>
              </w:rPr>
              <w:t>34.2 (12.2, 66.2)</w:t>
            </w:r>
          </w:p>
        </w:tc>
      </w:tr>
      <w:tr w:rsidR="00BD41F3" w:rsidRPr="004565F5" w14:paraId="38682ABA"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31BCB125" w14:textId="77777777" w:rsidR="0081652D" w:rsidRPr="00F9389A" w:rsidRDefault="0081652D" w:rsidP="00D46588">
            <w:pPr>
              <w:pStyle w:val="TableText"/>
              <w:rPr>
                <w:bCs/>
                <w:color w:val="000000" w:themeColor="text1"/>
                <w:szCs w:val="14"/>
              </w:rPr>
            </w:pPr>
            <w:r w:rsidRPr="00F9389A">
              <w:rPr>
                <w:bCs/>
                <w:color w:val="000000" w:themeColor="text1"/>
                <w:szCs w:val="14"/>
              </w:rPr>
              <w:t>28</w:t>
            </w:r>
            <w:r>
              <w:rPr>
                <w:bCs/>
                <w:color w:val="000000" w:themeColor="text1"/>
                <w:szCs w:val="14"/>
              </w:rPr>
              <w:t>–</w:t>
            </w:r>
            <w:r w:rsidRPr="00F9389A">
              <w:rPr>
                <w:bCs/>
                <w:color w:val="000000" w:themeColor="text1"/>
                <w:szCs w:val="14"/>
              </w:rPr>
              <w:t>37</w:t>
            </w:r>
          </w:p>
        </w:tc>
        <w:tc>
          <w:tcPr>
            <w:tcW w:w="360" w:type="dxa"/>
            <w:tcMar>
              <w:left w:w="72" w:type="dxa"/>
              <w:right w:w="72" w:type="dxa"/>
            </w:tcMar>
          </w:tcPr>
          <w:p w14:paraId="2EE4B67A"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17393E97" w14:textId="77777777" w:rsidR="0081652D" w:rsidRPr="00A97F11" w:rsidRDefault="0081652D" w:rsidP="00D46588">
            <w:pPr>
              <w:pStyle w:val="TableText"/>
              <w:jc w:val="right"/>
              <w:rPr>
                <w:sz w:val="13"/>
                <w:szCs w:val="13"/>
              </w:rPr>
            </w:pPr>
            <w:r w:rsidRPr="00A97F11">
              <w:rPr>
                <w:sz w:val="13"/>
                <w:szCs w:val="13"/>
              </w:rPr>
              <w:t>–</w:t>
            </w:r>
          </w:p>
        </w:tc>
        <w:tc>
          <w:tcPr>
            <w:tcW w:w="804" w:type="dxa"/>
            <w:tcMar>
              <w:left w:w="72" w:type="dxa"/>
              <w:right w:w="72" w:type="dxa"/>
            </w:tcMar>
          </w:tcPr>
          <w:p w14:paraId="0A22D949" w14:textId="77777777" w:rsidR="0081652D" w:rsidRPr="00A97F11" w:rsidRDefault="0081652D" w:rsidP="00D46588">
            <w:pPr>
              <w:pStyle w:val="TableText"/>
              <w:jc w:val="right"/>
              <w:rPr>
                <w:sz w:val="13"/>
                <w:szCs w:val="13"/>
              </w:rPr>
            </w:pPr>
            <w:r w:rsidRPr="00A97F11">
              <w:rPr>
                <w:sz w:val="13"/>
                <w:szCs w:val="13"/>
              </w:rPr>
              <w:t>–</w:t>
            </w:r>
          </w:p>
        </w:tc>
        <w:tc>
          <w:tcPr>
            <w:tcW w:w="456" w:type="dxa"/>
            <w:tcMar>
              <w:left w:w="72" w:type="dxa"/>
              <w:right w:w="72" w:type="dxa"/>
            </w:tcMar>
          </w:tcPr>
          <w:p w14:paraId="75F6825C" w14:textId="77777777" w:rsidR="0081652D" w:rsidRPr="00A97F11" w:rsidRDefault="0081652D" w:rsidP="00D46588">
            <w:pPr>
              <w:pStyle w:val="TableText"/>
              <w:jc w:val="right"/>
              <w:rPr>
                <w:sz w:val="13"/>
                <w:szCs w:val="13"/>
              </w:rPr>
            </w:pPr>
            <w:r w:rsidRPr="00A97F11">
              <w:rPr>
                <w:sz w:val="13"/>
                <w:szCs w:val="13"/>
              </w:rPr>
              <w:t>171</w:t>
            </w:r>
          </w:p>
        </w:tc>
        <w:tc>
          <w:tcPr>
            <w:tcW w:w="630" w:type="dxa"/>
            <w:tcMar>
              <w:left w:w="72" w:type="dxa"/>
              <w:right w:w="72" w:type="dxa"/>
            </w:tcMar>
          </w:tcPr>
          <w:p w14:paraId="0CF3F025" w14:textId="77777777" w:rsidR="0081652D" w:rsidRPr="00A97F11" w:rsidRDefault="0081652D" w:rsidP="00D46588">
            <w:pPr>
              <w:pStyle w:val="TableText"/>
              <w:jc w:val="right"/>
              <w:rPr>
                <w:sz w:val="13"/>
                <w:szCs w:val="13"/>
              </w:rPr>
            </w:pPr>
            <w:r w:rsidRPr="00A97F11">
              <w:rPr>
                <w:sz w:val="13"/>
                <w:szCs w:val="13"/>
              </w:rPr>
              <w:t>1399</w:t>
            </w:r>
          </w:p>
        </w:tc>
        <w:tc>
          <w:tcPr>
            <w:tcW w:w="709" w:type="dxa"/>
            <w:tcMar>
              <w:left w:w="72" w:type="dxa"/>
              <w:right w:w="72" w:type="dxa"/>
            </w:tcMar>
          </w:tcPr>
          <w:p w14:paraId="05508480" w14:textId="77777777" w:rsidR="0081652D" w:rsidRPr="00A97F11" w:rsidRDefault="0081652D" w:rsidP="0081652D">
            <w:pPr>
              <w:pStyle w:val="TableText"/>
              <w:jc w:val="right"/>
              <w:rPr>
                <w:rFonts w:eastAsia="Times New Roman" w:cstheme="minorHAnsi"/>
                <w:sz w:val="13"/>
                <w:szCs w:val="13"/>
              </w:rPr>
            </w:pPr>
            <w:r w:rsidRPr="00A97F11">
              <w:rPr>
                <w:rFonts w:cstheme="minorHAnsi"/>
                <w:sz w:val="13"/>
                <w:szCs w:val="13"/>
              </w:rPr>
              <w:t>57.9 (50.4, 65.0)</w:t>
            </w:r>
          </w:p>
        </w:tc>
        <w:tc>
          <w:tcPr>
            <w:tcW w:w="371" w:type="dxa"/>
            <w:tcMar>
              <w:left w:w="72" w:type="dxa"/>
              <w:right w:w="72" w:type="dxa"/>
            </w:tcMar>
          </w:tcPr>
          <w:p w14:paraId="7CF7D9CB" w14:textId="77777777" w:rsidR="0081652D" w:rsidRPr="00A97F11" w:rsidRDefault="0081652D" w:rsidP="00D46588">
            <w:pPr>
              <w:pStyle w:val="TableText"/>
              <w:jc w:val="right"/>
              <w:rPr>
                <w:sz w:val="13"/>
                <w:szCs w:val="13"/>
              </w:rPr>
            </w:pPr>
            <w:r w:rsidRPr="00A97F11">
              <w:rPr>
                <w:sz w:val="13"/>
                <w:szCs w:val="13"/>
              </w:rPr>
              <w:t>101</w:t>
            </w:r>
          </w:p>
        </w:tc>
        <w:tc>
          <w:tcPr>
            <w:tcW w:w="630" w:type="dxa"/>
            <w:tcMar>
              <w:left w:w="72" w:type="dxa"/>
              <w:right w:w="72" w:type="dxa"/>
            </w:tcMar>
          </w:tcPr>
          <w:p w14:paraId="4B6B42E5" w14:textId="77777777" w:rsidR="0081652D" w:rsidRPr="00A97F11" w:rsidRDefault="0081652D" w:rsidP="00D46588">
            <w:pPr>
              <w:pStyle w:val="TableText"/>
              <w:jc w:val="right"/>
              <w:rPr>
                <w:sz w:val="13"/>
                <w:szCs w:val="13"/>
              </w:rPr>
            </w:pPr>
            <w:r w:rsidRPr="00A97F11">
              <w:rPr>
                <w:sz w:val="13"/>
                <w:szCs w:val="13"/>
              </w:rPr>
              <w:t>974</w:t>
            </w:r>
          </w:p>
        </w:tc>
        <w:tc>
          <w:tcPr>
            <w:tcW w:w="794" w:type="dxa"/>
            <w:tcMar>
              <w:left w:w="72" w:type="dxa"/>
              <w:right w:w="72" w:type="dxa"/>
            </w:tcMar>
          </w:tcPr>
          <w:p w14:paraId="6CF238A9" w14:textId="77777777" w:rsidR="0081652D" w:rsidRPr="00A97F11" w:rsidRDefault="0081652D" w:rsidP="0081652D">
            <w:pPr>
              <w:pStyle w:val="TableText"/>
              <w:jc w:val="right"/>
              <w:rPr>
                <w:sz w:val="13"/>
                <w:szCs w:val="13"/>
              </w:rPr>
            </w:pPr>
            <w:r w:rsidRPr="00A97F11">
              <w:rPr>
                <w:sz w:val="13"/>
                <w:szCs w:val="13"/>
              </w:rPr>
              <w:t>40.3 (33.2, 47.8)</w:t>
            </w:r>
          </w:p>
        </w:tc>
        <w:tc>
          <w:tcPr>
            <w:tcW w:w="466" w:type="dxa"/>
            <w:tcMar>
              <w:left w:w="72" w:type="dxa"/>
              <w:right w:w="72" w:type="dxa"/>
            </w:tcMar>
          </w:tcPr>
          <w:p w14:paraId="237493B2"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4A52E782" w14:textId="77777777" w:rsidR="0081652D" w:rsidRPr="00A97F11" w:rsidRDefault="0081652D" w:rsidP="00D46588">
            <w:pPr>
              <w:pStyle w:val="TableText"/>
              <w:jc w:val="right"/>
              <w:rPr>
                <w:sz w:val="13"/>
                <w:szCs w:val="13"/>
              </w:rPr>
            </w:pPr>
            <w:r w:rsidRPr="00A97F11">
              <w:rPr>
                <w:sz w:val="13"/>
                <w:szCs w:val="13"/>
              </w:rPr>
              <w:t>–</w:t>
            </w:r>
          </w:p>
        </w:tc>
        <w:tc>
          <w:tcPr>
            <w:tcW w:w="698" w:type="dxa"/>
            <w:tcMar>
              <w:left w:w="72" w:type="dxa"/>
              <w:right w:w="72" w:type="dxa"/>
            </w:tcMar>
          </w:tcPr>
          <w:p w14:paraId="698849E1" w14:textId="77777777" w:rsidR="0081652D" w:rsidRPr="00A97F11" w:rsidRDefault="0081652D" w:rsidP="00D46588">
            <w:pPr>
              <w:pStyle w:val="TableText"/>
              <w:jc w:val="right"/>
              <w:rPr>
                <w:sz w:val="13"/>
                <w:szCs w:val="13"/>
              </w:rPr>
            </w:pPr>
            <w:r w:rsidRPr="00A97F11">
              <w:rPr>
                <w:sz w:val="13"/>
                <w:szCs w:val="13"/>
              </w:rPr>
              <w:t>–</w:t>
            </w:r>
          </w:p>
        </w:tc>
        <w:tc>
          <w:tcPr>
            <w:tcW w:w="472" w:type="dxa"/>
            <w:tcMar>
              <w:left w:w="72" w:type="dxa"/>
              <w:right w:w="72" w:type="dxa"/>
            </w:tcMar>
          </w:tcPr>
          <w:p w14:paraId="2C872CE8" w14:textId="77777777" w:rsidR="0081652D" w:rsidRPr="00A97F11" w:rsidRDefault="0081652D" w:rsidP="00D46588">
            <w:pPr>
              <w:pStyle w:val="TableText"/>
              <w:jc w:val="right"/>
              <w:rPr>
                <w:sz w:val="13"/>
                <w:szCs w:val="13"/>
              </w:rPr>
            </w:pPr>
            <w:r w:rsidRPr="00A97F11">
              <w:rPr>
                <w:sz w:val="13"/>
                <w:szCs w:val="13"/>
              </w:rPr>
              <w:t>326</w:t>
            </w:r>
          </w:p>
        </w:tc>
        <w:tc>
          <w:tcPr>
            <w:tcW w:w="630" w:type="dxa"/>
            <w:tcMar>
              <w:left w:w="72" w:type="dxa"/>
              <w:right w:w="72" w:type="dxa"/>
            </w:tcMar>
          </w:tcPr>
          <w:p w14:paraId="58D296E6" w14:textId="77777777" w:rsidR="0081652D" w:rsidRPr="00A97F11" w:rsidRDefault="0081652D" w:rsidP="00D46588">
            <w:pPr>
              <w:pStyle w:val="TableText"/>
              <w:jc w:val="right"/>
              <w:rPr>
                <w:sz w:val="13"/>
                <w:szCs w:val="13"/>
              </w:rPr>
            </w:pPr>
            <w:r w:rsidRPr="00A97F11">
              <w:rPr>
                <w:sz w:val="13"/>
                <w:szCs w:val="13"/>
              </w:rPr>
              <w:t>2559</w:t>
            </w:r>
          </w:p>
        </w:tc>
        <w:tc>
          <w:tcPr>
            <w:tcW w:w="693" w:type="dxa"/>
            <w:tcMar>
              <w:left w:w="72" w:type="dxa"/>
              <w:right w:w="72" w:type="dxa"/>
            </w:tcMar>
          </w:tcPr>
          <w:p w14:paraId="21F3CE7F" w14:textId="77777777" w:rsidR="0081652D" w:rsidRPr="00A97F11" w:rsidRDefault="0081652D" w:rsidP="0081652D">
            <w:pPr>
              <w:pStyle w:val="TableText"/>
              <w:jc w:val="right"/>
              <w:rPr>
                <w:sz w:val="13"/>
                <w:szCs w:val="13"/>
              </w:rPr>
            </w:pPr>
            <w:r w:rsidRPr="00A97F11">
              <w:rPr>
                <w:sz w:val="13"/>
                <w:szCs w:val="13"/>
              </w:rPr>
              <w:t>66.6 (51.3, 79.0)</w:t>
            </w:r>
          </w:p>
        </w:tc>
        <w:tc>
          <w:tcPr>
            <w:tcW w:w="387" w:type="dxa"/>
            <w:tcMar>
              <w:left w:w="72" w:type="dxa"/>
              <w:right w:w="72" w:type="dxa"/>
            </w:tcMar>
          </w:tcPr>
          <w:p w14:paraId="2145A8EB" w14:textId="77777777" w:rsidR="0081652D" w:rsidRPr="00A97F11" w:rsidRDefault="0081652D" w:rsidP="00D46588">
            <w:pPr>
              <w:pStyle w:val="TableText"/>
              <w:jc w:val="right"/>
              <w:rPr>
                <w:sz w:val="13"/>
                <w:szCs w:val="13"/>
              </w:rPr>
            </w:pPr>
            <w:r w:rsidRPr="00A97F11">
              <w:rPr>
                <w:sz w:val="13"/>
                <w:szCs w:val="13"/>
              </w:rPr>
              <w:t>170</w:t>
            </w:r>
          </w:p>
        </w:tc>
        <w:tc>
          <w:tcPr>
            <w:tcW w:w="630" w:type="dxa"/>
            <w:tcMar>
              <w:left w:w="72" w:type="dxa"/>
              <w:right w:w="72" w:type="dxa"/>
            </w:tcMar>
          </w:tcPr>
          <w:p w14:paraId="086DFD7E" w14:textId="77777777" w:rsidR="0081652D" w:rsidRPr="00A97F11" w:rsidRDefault="0081652D" w:rsidP="00D46588">
            <w:pPr>
              <w:pStyle w:val="TableText"/>
              <w:jc w:val="right"/>
              <w:rPr>
                <w:sz w:val="13"/>
                <w:szCs w:val="13"/>
              </w:rPr>
            </w:pPr>
            <w:r w:rsidRPr="00A97F11">
              <w:rPr>
                <w:sz w:val="13"/>
                <w:szCs w:val="13"/>
              </w:rPr>
              <w:t>1211</w:t>
            </w:r>
          </w:p>
        </w:tc>
        <w:tc>
          <w:tcPr>
            <w:tcW w:w="778" w:type="dxa"/>
            <w:tcMar>
              <w:left w:w="72" w:type="dxa"/>
              <w:right w:w="72" w:type="dxa"/>
            </w:tcMar>
          </w:tcPr>
          <w:p w14:paraId="7EA26E23" w14:textId="77777777" w:rsidR="0081652D" w:rsidRPr="00A97F11" w:rsidRDefault="0081652D" w:rsidP="0081652D">
            <w:pPr>
              <w:pStyle w:val="TableText"/>
              <w:jc w:val="right"/>
              <w:rPr>
                <w:sz w:val="13"/>
                <w:szCs w:val="13"/>
              </w:rPr>
            </w:pPr>
            <w:r w:rsidRPr="00A97F11">
              <w:rPr>
                <w:sz w:val="13"/>
                <w:szCs w:val="13"/>
              </w:rPr>
              <w:t>31.5 (19.2, 47.1)</w:t>
            </w:r>
          </w:p>
        </w:tc>
      </w:tr>
      <w:tr w:rsidR="00A97F11" w:rsidRPr="004565F5" w14:paraId="722EAC67" w14:textId="77777777" w:rsidTr="001F3BA4">
        <w:trPr>
          <w:cantSplit/>
        </w:trPr>
        <w:tc>
          <w:tcPr>
            <w:tcW w:w="738" w:type="dxa"/>
          </w:tcPr>
          <w:p w14:paraId="0F3BFEB6" w14:textId="77777777" w:rsidR="0081652D" w:rsidRPr="00F9389A" w:rsidRDefault="0081652D" w:rsidP="00D46588">
            <w:pPr>
              <w:pStyle w:val="TableText"/>
              <w:rPr>
                <w:bCs/>
                <w:color w:val="000000" w:themeColor="text1"/>
                <w:szCs w:val="14"/>
              </w:rPr>
            </w:pPr>
            <w:r w:rsidRPr="00F9389A">
              <w:rPr>
                <w:bCs/>
                <w:color w:val="000000" w:themeColor="text1"/>
                <w:szCs w:val="14"/>
              </w:rPr>
              <w:t>38</w:t>
            </w:r>
            <w:r>
              <w:rPr>
                <w:bCs/>
                <w:color w:val="000000" w:themeColor="text1"/>
                <w:szCs w:val="14"/>
              </w:rPr>
              <w:t>–</w:t>
            </w:r>
            <w:r w:rsidRPr="00F9389A">
              <w:rPr>
                <w:bCs/>
                <w:color w:val="000000" w:themeColor="text1"/>
                <w:szCs w:val="14"/>
              </w:rPr>
              <w:t>47</w:t>
            </w:r>
          </w:p>
        </w:tc>
        <w:tc>
          <w:tcPr>
            <w:tcW w:w="360" w:type="dxa"/>
            <w:tcMar>
              <w:left w:w="72" w:type="dxa"/>
              <w:right w:w="72" w:type="dxa"/>
            </w:tcMar>
          </w:tcPr>
          <w:p w14:paraId="0BA73721"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28FAAA82" w14:textId="77777777" w:rsidR="0081652D" w:rsidRPr="00A97F11" w:rsidRDefault="0081652D" w:rsidP="00D46588">
            <w:pPr>
              <w:pStyle w:val="TableText"/>
              <w:jc w:val="right"/>
              <w:rPr>
                <w:sz w:val="13"/>
                <w:szCs w:val="13"/>
              </w:rPr>
            </w:pPr>
            <w:r w:rsidRPr="00A97F11">
              <w:rPr>
                <w:sz w:val="13"/>
                <w:szCs w:val="13"/>
              </w:rPr>
              <w:t>–</w:t>
            </w:r>
          </w:p>
        </w:tc>
        <w:tc>
          <w:tcPr>
            <w:tcW w:w="804" w:type="dxa"/>
            <w:tcMar>
              <w:left w:w="72" w:type="dxa"/>
              <w:right w:w="72" w:type="dxa"/>
            </w:tcMar>
          </w:tcPr>
          <w:p w14:paraId="336BF593" w14:textId="77777777" w:rsidR="0081652D" w:rsidRPr="00A97F11" w:rsidRDefault="0081652D" w:rsidP="00D46588">
            <w:pPr>
              <w:pStyle w:val="TableText"/>
              <w:jc w:val="right"/>
              <w:rPr>
                <w:sz w:val="13"/>
                <w:szCs w:val="13"/>
              </w:rPr>
            </w:pPr>
            <w:r w:rsidRPr="00A97F11">
              <w:rPr>
                <w:sz w:val="13"/>
                <w:szCs w:val="13"/>
              </w:rPr>
              <w:t>–</w:t>
            </w:r>
          </w:p>
        </w:tc>
        <w:tc>
          <w:tcPr>
            <w:tcW w:w="456" w:type="dxa"/>
            <w:tcMar>
              <w:left w:w="72" w:type="dxa"/>
              <w:right w:w="72" w:type="dxa"/>
            </w:tcMar>
          </w:tcPr>
          <w:p w14:paraId="4FB8D2A8" w14:textId="77777777" w:rsidR="0081652D" w:rsidRPr="00A97F11" w:rsidRDefault="0081652D" w:rsidP="00D46588">
            <w:pPr>
              <w:pStyle w:val="TableText"/>
              <w:jc w:val="right"/>
              <w:rPr>
                <w:sz w:val="13"/>
                <w:szCs w:val="13"/>
              </w:rPr>
            </w:pPr>
            <w:r w:rsidRPr="00A97F11">
              <w:rPr>
                <w:sz w:val="13"/>
                <w:szCs w:val="13"/>
              </w:rPr>
              <w:t>148</w:t>
            </w:r>
          </w:p>
        </w:tc>
        <w:tc>
          <w:tcPr>
            <w:tcW w:w="630" w:type="dxa"/>
            <w:tcMar>
              <w:left w:w="72" w:type="dxa"/>
              <w:right w:w="72" w:type="dxa"/>
            </w:tcMar>
          </w:tcPr>
          <w:p w14:paraId="00765119" w14:textId="77777777" w:rsidR="0081652D" w:rsidRPr="00A97F11" w:rsidRDefault="0081652D" w:rsidP="00D46588">
            <w:pPr>
              <w:pStyle w:val="TableText"/>
              <w:jc w:val="right"/>
              <w:rPr>
                <w:sz w:val="13"/>
                <w:szCs w:val="13"/>
              </w:rPr>
            </w:pPr>
            <w:r w:rsidRPr="00A97F11">
              <w:rPr>
                <w:sz w:val="13"/>
                <w:szCs w:val="13"/>
              </w:rPr>
              <w:t>767</w:t>
            </w:r>
          </w:p>
        </w:tc>
        <w:tc>
          <w:tcPr>
            <w:tcW w:w="709" w:type="dxa"/>
            <w:tcMar>
              <w:left w:w="72" w:type="dxa"/>
              <w:right w:w="72" w:type="dxa"/>
            </w:tcMar>
          </w:tcPr>
          <w:p w14:paraId="5611EC4B" w14:textId="77777777" w:rsidR="0081652D" w:rsidRPr="00A97F11" w:rsidRDefault="0081652D" w:rsidP="0081652D">
            <w:pPr>
              <w:pStyle w:val="TableText"/>
              <w:jc w:val="right"/>
              <w:rPr>
                <w:rFonts w:eastAsia="Times New Roman" w:cstheme="minorHAnsi"/>
                <w:sz w:val="13"/>
                <w:szCs w:val="13"/>
              </w:rPr>
            </w:pPr>
            <w:r w:rsidRPr="00A97F11">
              <w:rPr>
                <w:rFonts w:cstheme="minorHAnsi"/>
                <w:sz w:val="13"/>
                <w:szCs w:val="13"/>
              </w:rPr>
              <w:t>52.9 (45.7, 60.0)</w:t>
            </w:r>
          </w:p>
        </w:tc>
        <w:tc>
          <w:tcPr>
            <w:tcW w:w="371" w:type="dxa"/>
            <w:tcMar>
              <w:left w:w="72" w:type="dxa"/>
              <w:right w:w="72" w:type="dxa"/>
            </w:tcMar>
          </w:tcPr>
          <w:p w14:paraId="08A2ECA4" w14:textId="77777777" w:rsidR="0081652D" w:rsidRPr="00A97F11" w:rsidRDefault="0081652D" w:rsidP="00D46588">
            <w:pPr>
              <w:pStyle w:val="TableText"/>
              <w:jc w:val="right"/>
              <w:rPr>
                <w:sz w:val="13"/>
                <w:szCs w:val="13"/>
              </w:rPr>
            </w:pPr>
            <w:r w:rsidRPr="00A97F11">
              <w:rPr>
                <w:sz w:val="13"/>
                <w:szCs w:val="13"/>
              </w:rPr>
              <w:t>107</w:t>
            </w:r>
          </w:p>
        </w:tc>
        <w:tc>
          <w:tcPr>
            <w:tcW w:w="630" w:type="dxa"/>
            <w:tcMar>
              <w:left w:w="72" w:type="dxa"/>
              <w:right w:w="72" w:type="dxa"/>
            </w:tcMar>
          </w:tcPr>
          <w:p w14:paraId="6D5D0407" w14:textId="77777777" w:rsidR="0081652D" w:rsidRPr="00A97F11" w:rsidRDefault="0081652D" w:rsidP="00D46588">
            <w:pPr>
              <w:pStyle w:val="TableText"/>
              <w:jc w:val="right"/>
              <w:rPr>
                <w:sz w:val="13"/>
                <w:szCs w:val="13"/>
              </w:rPr>
            </w:pPr>
            <w:r w:rsidRPr="00A97F11">
              <w:rPr>
                <w:sz w:val="13"/>
                <w:szCs w:val="13"/>
              </w:rPr>
              <w:t>599</w:t>
            </w:r>
          </w:p>
        </w:tc>
        <w:tc>
          <w:tcPr>
            <w:tcW w:w="794" w:type="dxa"/>
            <w:tcMar>
              <w:left w:w="72" w:type="dxa"/>
              <w:right w:w="72" w:type="dxa"/>
            </w:tcMar>
          </w:tcPr>
          <w:p w14:paraId="24706014" w14:textId="77777777" w:rsidR="0081652D" w:rsidRPr="00A97F11" w:rsidRDefault="0081652D" w:rsidP="0081652D">
            <w:pPr>
              <w:pStyle w:val="TableText"/>
              <w:jc w:val="right"/>
              <w:rPr>
                <w:sz w:val="13"/>
                <w:szCs w:val="13"/>
              </w:rPr>
            </w:pPr>
            <w:r w:rsidRPr="00A97F11">
              <w:rPr>
                <w:sz w:val="13"/>
                <w:szCs w:val="13"/>
              </w:rPr>
              <w:t>41.3 (34.5, 48.4)</w:t>
            </w:r>
          </w:p>
        </w:tc>
        <w:tc>
          <w:tcPr>
            <w:tcW w:w="466" w:type="dxa"/>
            <w:tcMar>
              <w:left w:w="72" w:type="dxa"/>
              <w:right w:w="72" w:type="dxa"/>
            </w:tcMar>
          </w:tcPr>
          <w:p w14:paraId="0622A986" w14:textId="77777777" w:rsidR="0081652D" w:rsidRPr="00A97F11" w:rsidRDefault="0081652D" w:rsidP="00D46588">
            <w:pPr>
              <w:pStyle w:val="TableText"/>
              <w:jc w:val="right"/>
              <w:rPr>
                <w:sz w:val="13"/>
                <w:szCs w:val="13"/>
              </w:rPr>
            </w:pPr>
            <w:r w:rsidRPr="00A97F11">
              <w:rPr>
                <w:sz w:val="13"/>
                <w:szCs w:val="13"/>
              </w:rPr>
              <w:t>8</w:t>
            </w:r>
          </w:p>
        </w:tc>
        <w:tc>
          <w:tcPr>
            <w:tcW w:w="630" w:type="dxa"/>
            <w:tcMar>
              <w:left w:w="72" w:type="dxa"/>
              <w:right w:w="72" w:type="dxa"/>
            </w:tcMar>
          </w:tcPr>
          <w:p w14:paraId="7ACE2D60" w14:textId="77777777" w:rsidR="0081652D" w:rsidRPr="00A97F11" w:rsidRDefault="0081652D" w:rsidP="00D46588">
            <w:pPr>
              <w:pStyle w:val="TableText"/>
              <w:jc w:val="right"/>
              <w:rPr>
                <w:sz w:val="13"/>
                <w:szCs w:val="13"/>
              </w:rPr>
            </w:pPr>
            <w:r w:rsidRPr="00A97F11">
              <w:rPr>
                <w:sz w:val="13"/>
                <w:szCs w:val="13"/>
              </w:rPr>
              <w:t>31</w:t>
            </w:r>
          </w:p>
        </w:tc>
        <w:tc>
          <w:tcPr>
            <w:tcW w:w="698" w:type="dxa"/>
            <w:tcMar>
              <w:left w:w="72" w:type="dxa"/>
              <w:right w:w="72" w:type="dxa"/>
            </w:tcMar>
          </w:tcPr>
          <w:p w14:paraId="52AFC8D0" w14:textId="77777777" w:rsidR="0081652D" w:rsidRPr="00A97F11" w:rsidRDefault="0081652D" w:rsidP="0081652D">
            <w:pPr>
              <w:pStyle w:val="TableText"/>
              <w:jc w:val="right"/>
              <w:rPr>
                <w:sz w:val="13"/>
                <w:szCs w:val="13"/>
              </w:rPr>
            </w:pPr>
            <w:r w:rsidRPr="00A97F11">
              <w:rPr>
                <w:sz w:val="13"/>
                <w:szCs w:val="13"/>
              </w:rPr>
              <w:t>1.6 (0.7, 3.8)</w:t>
            </w:r>
          </w:p>
        </w:tc>
        <w:tc>
          <w:tcPr>
            <w:tcW w:w="472" w:type="dxa"/>
            <w:tcMar>
              <w:left w:w="72" w:type="dxa"/>
              <w:right w:w="72" w:type="dxa"/>
            </w:tcMar>
          </w:tcPr>
          <w:p w14:paraId="3CB7C707" w14:textId="77777777" w:rsidR="0081652D" w:rsidRPr="00A97F11" w:rsidRDefault="0081652D" w:rsidP="00D46588">
            <w:pPr>
              <w:pStyle w:val="TableText"/>
              <w:jc w:val="right"/>
              <w:rPr>
                <w:sz w:val="13"/>
                <w:szCs w:val="13"/>
              </w:rPr>
            </w:pPr>
            <w:r w:rsidRPr="00A97F11">
              <w:rPr>
                <w:sz w:val="13"/>
                <w:szCs w:val="13"/>
              </w:rPr>
              <w:t>310</w:t>
            </w:r>
          </w:p>
        </w:tc>
        <w:tc>
          <w:tcPr>
            <w:tcW w:w="630" w:type="dxa"/>
            <w:tcMar>
              <w:left w:w="72" w:type="dxa"/>
              <w:right w:w="72" w:type="dxa"/>
            </w:tcMar>
          </w:tcPr>
          <w:p w14:paraId="715B2DDC" w14:textId="77777777" w:rsidR="0081652D" w:rsidRPr="00A97F11" w:rsidRDefault="0081652D" w:rsidP="00D46588">
            <w:pPr>
              <w:pStyle w:val="TableText"/>
              <w:jc w:val="right"/>
              <w:rPr>
                <w:sz w:val="13"/>
                <w:szCs w:val="13"/>
              </w:rPr>
            </w:pPr>
            <w:r w:rsidRPr="00A97F11">
              <w:rPr>
                <w:sz w:val="13"/>
                <w:szCs w:val="13"/>
              </w:rPr>
              <w:t>1084</w:t>
            </w:r>
          </w:p>
        </w:tc>
        <w:tc>
          <w:tcPr>
            <w:tcW w:w="693" w:type="dxa"/>
            <w:tcMar>
              <w:left w:w="72" w:type="dxa"/>
              <w:right w:w="72" w:type="dxa"/>
            </w:tcMar>
          </w:tcPr>
          <w:p w14:paraId="51FB345A" w14:textId="77777777" w:rsidR="0081652D" w:rsidRPr="00A97F11" w:rsidRDefault="0081652D" w:rsidP="0081652D">
            <w:pPr>
              <w:pStyle w:val="TableText"/>
              <w:jc w:val="right"/>
              <w:rPr>
                <w:sz w:val="13"/>
                <w:szCs w:val="13"/>
              </w:rPr>
            </w:pPr>
            <w:r w:rsidRPr="00A97F11">
              <w:rPr>
                <w:sz w:val="13"/>
                <w:szCs w:val="13"/>
              </w:rPr>
              <w:t>56.1 (49.2, 62.9)</w:t>
            </w:r>
          </w:p>
        </w:tc>
        <w:tc>
          <w:tcPr>
            <w:tcW w:w="387" w:type="dxa"/>
            <w:tcMar>
              <w:left w:w="72" w:type="dxa"/>
              <w:right w:w="72" w:type="dxa"/>
            </w:tcMar>
          </w:tcPr>
          <w:p w14:paraId="2D143C09" w14:textId="77777777" w:rsidR="0081652D" w:rsidRPr="00A97F11" w:rsidRDefault="0081652D" w:rsidP="00D46588">
            <w:pPr>
              <w:pStyle w:val="TableText"/>
              <w:jc w:val="right"/>
              <w:rPr>
                <w:sz w:val="13"/>
                <w:szCs w:val="13"/>
              </w:rPr>
            </w:pPr>
            <w:r w:rsidRPr="00A97F11">
              <w:rPr>
                <w:sz w:val="13"/>
                <w:szCs w:val="13"/>
              </w:rPr>
              <w:t>176</w:t>
            </w:r>
          </w:p>
        </w:tc>
        <w:tc>
          <w:tcPr>
            <w:tcW w:w="630" w:type="dxa"/>
            <w:tcMar>
              <w:left w:w="72" w:type="dxa"/>
              <w:right w:w="72" w:type="dxa"/>
            </w:tcMar>
          </w:tcPr>
          <w:p w14:paraId="7C4FE8DA" w14:textId="77777777" w:rsidR="0081652D" w:rsidRPr="00A97F11" w:rsidRDefault="0081652D" w:rsidP="00D46588">
            <w:pPr>
              <w:pStyle w:val="TableText"/>
              <w:jc w:val="right"/>
              <w:rPr>
                <w:sz w:val="13"/>
                <w:szCs w:val="13"/>
              </w:rPr>
            </w:pPr>
            <w:r w:rsidRPr="00A97F11">
              <w:rPr>
                <w:sz w:val="13"/>
                <w:szCs w:val="13"/>
              </w:rPr>
              <w:t>794</w:t>
            </w:r>
          </w:p>
        </w:tc>
        <w:tc>
          <w:tcPr>
            <w:tcW w:w="778" w:type="dxa"/>
            <w:tcMar>
              <w:left w:w="72" w:type="dxa"/>
              <w:right w:w="72" w:type="dxa"/>
            </w:tcMar>
          </w:tcPr>
          <w:p w14:paraId="20A4ED41" w14:textId="77777777" w:rsidR="0081652D" w:rsidRPr="00A97F11" w:rsidRDefault="0081652D" w:rsidP="0081652D">
            <w:pPr>
              <w:pStyle w:val="TableText"/>
              <w:jc w:val="right"/>
              <w:rPr>
                <w:sz w:val="13"/>
                <w:szCs w:val="13"/>
              </w:rPr>
            </w:pPr>
            <w:r w:rsidRPr="00A97F11">
              <w:rPr>
                <w:sz w:val="13"/>
                <w:szCs w:val="13"/>
              </w:rPr>
              <w:t>41.1 (34.3, 48.3)</w:t>
            </w:r>
          </w:p>
        </w:tc>
      </w:tr>
      <w:tr w:rsidR="00BD41F3" w:rsidRPr="004565F5" w14:paraId="0877AFA3"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0398EACD" w14:textId="77777777" w:rsidR="0081652D" w:rsidRPr="00F9389A" w:rsidRDefault="0081652D" w:rsidP="00D46588">
            <w:pPr>
              <w:pStyle w:val="TableText"/>
              <w:rPr>
                <w:bCs/>
                <w:color w:val="000000" w:themeColor="text1"/>
                <w:szCs w:val="14"/>
              </w:rPr>
            </w:pPr>
            <w:r w:rsidRPr="00F9389A">
              <w:rPr>
                <w:bCs/>
                <w:color w:val="000000" w:themeColor="text1"/>
                <w:szCs w:val="14"/>
              </w:rPr>
              <w:t>48</w:t>
            </w:r>
            <w:r>
              <w:rPr>
                <w:bCs/>
                <w:color w:val="000000" w:themeColor="text1"/>
                <w:szCs w:val="14"/>
              </w:rPr>
              <w:t>–</w:t>
            </w:r>
            <w:r w:rsidRPr="00F9389A">
              <w:rPr>
                <w:bCs/>
                <w:color w:val="000000" w:themeColor="text1"/>
                <w:szCs w:val="14"/>
              </w:rPr>
              <w:t>57</w:t>
            </w:r>
          </w:p>
        </w:tc>
        <w:tc>
          <w:tcPr>
            <w:tcW w:w="360" w:type="dxa"/>
            <w:tcMar>
              <w:left w:w="72" w:type="dxa"/>
              <w:right w:w="72" w:type="dxa"/>
            </w:tcMar>
          </w:tcPr>
          <w:p w14:paraId="1C7465DC"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387462EB" w14:textId="77777777" w:rsidR="0081652D" w:rsidRPr="00A97F11" w:rsidRDefault="0081652D" w:rsidP="00D46588">
            <w:pPr>
              <w:pStyle w:val="TableText"/>
              <w:jc w:val="right"/>
              <w:rPr>
                <w:sz w:val="13"/>
                <w:szCs w:val="13"/>
              </w:rPr>
            </w:pPr>
            <w:r w:rsidRPr="00A97F11">
              <w:rPr>
                <w:sz w:val="13"/>
                <w:szCs w:val="13"/>
              </w:rPr>
              <w:t>–</w:t>
            </w:r>
          </w:p>
        </w:tc>
        <w:tc>
          <w:tcPr>
            <w:tcW w:w="804" w:type="dxa"/>
            <w:tcMar>
              <w:left w:w="72" w:type="dxa"/>
              <w:right w:w="72" w:type="dxa"/>
            </w:tcMar>
          </w:tcPr>
          <w:p w14:paraId="64039B79" w14:textId="77777777" w:rsidR="0081652D" w:rsidRPr="00A97F11" w:rsidRDefault="0081652D" w:rsidP="00D46588">
            <w:pPr>
              <w:pStyle w:val="TableText"/>
              <w:jc w:val="right"/>
              <w:rPr>
                <w:sz w:val="13"/>
                <w:szCs w:val="13"/>
              </w:rPr>
            </w:pPr>
            <w:r w:rsidRPr="00A97F11">
              <w:rPr>
                <w:sz w:val="13"/>
                <w:szCs w:val="13"/>
              </w:rPr>
              <w:t>–</w:t>
            </w:r>
          </w:p>
        </w:tc>
        <w:tc>
          <w:tcPr>
            <w:tcW w:w="456" w:type="dxa"/>
            <w:tcMar>
              <w:left w:w="72" w:type="dxa"/>
              <w:right w:w="72" w:type="dxa"/>
            </w:tcMar>
          </w:tcPr>
          <w:p w14:paraId="79706372" w14:textId="77777777" w:rsidR="0081652D" w:rsidRPr="00A97F11" w:rsidRDefault="0081652D" w:rsidP="00D46588">
            <w:pPr>
              <w:pStyle w:val="TableText"/>
              <w:jc w:val="right"/>
              <w:rPr>
                <w:sz w:val="13"/>
                <w:szCs w:val="13"/>
              </w:rPr>
            </w:pPr>
            <w:r w:rsidRPr="00A97F11">
              <w:rPr>
                <w:sz w:val="13"/>
                <w:szCs w:val="13"/>
              </w:rPr>
              <w:t>80</w:t>
            </w:r>
          </w:p>
        </w:tc>
        <w:tc>
          <w:tcPr>
            <w:tcW w:w="630" w:type="dxa"/>
            <w:tcMar>
              <w:left w:w="72" w:type="dxa"/>
              <w:right w:w="72" w:type="dxa"/>
            </w:tcMar>
          </w:tcPr>
          <w:p w14:paraId="67A3FB3B" w14:textId="77777777" w:rsidR="0081652D" w:rsidRPr="00A97F11" w:rsidRDefault="0081652D" w:rsidP="00D46588">
            <w:pPr>
              <w:pStyle w:val="TableText"/>
              <w:jc w:val="right"/>
              <w:rPr>
                <w:sz w:val="13"/>
                <w:szCs w:val="13"/>
              </w:rPr>
            </w:pPr>
            <w:r w:rsidRPr="00A97F11">
              <w:rPr>
                <w:sz w:val="13"/>
                <w:szCs w:val="13"/>
              </w:rPr>
              <w:t>347</w:t>
            </w:r>
          </w:p>
        </w:tc>
        <w:tc>
          <w:tcPr>
            <w:tcW w:w="709" w:type="dxa"/>
            <w:tcMar>
              <w:left w:w="72" w:type="dxa"/>
              <w:right w:w="72" w:type="dxa"/>
            </w:tcMar>
          </w:tcPr>
          <w:p w14:paraId="18E9F927" w14:textId="77777777" w:rsidR="0081652D" w:rsidRPr="00A97F11" w:rsidRDefault="0081652D" w:rsidP="0081652D">
            <w:pPr>
              <w:pStyle w:val="TableText"/>
              <w:jc w:val="right"/>
              <w:rPr>
                <w:rFonts w:eastAsia="Times New Roman" w:cstheme="minorHAnsi"/>
                <w:sz w:val="13"/>
                <w:szCs w:val="13"/>
              </w:rPr>
            </w:pPr>
            <w:r w:rsidRPr="00A97F11">
              <w:rPr>
                <w:rFonts w:cstheme="minorHAnsi"/>
                <w:sz w:val="13"/>
                <w:szCs w:val="13"/>
              </w:rPr>
              <w:t>54.9 (45.5, 63.9)</w:t>
            </w:r>
          </w:p>
        </w:tc>
        <w:tc>
          <w:tcPr>
            <w:tcW w:w="371" w:type="dxa"/>
            <w:tcMar>
              <w:left w:w="72" w:type="dxa"/>
              <w:right w:w="72" w:type="dxa"/>
            </w:tcMar>
          </w:tcPr>
          <w:p w14:paraId="6308042A" w14:textId="77777777" w:rsidR="0081652D" w:rsidRPr="00A97F11" w:rsidRDefault="0081652D" w:rsidP="00D46588">
            <w:pPr>
              <w:pStyle w:val="TableText"/>
              <w:jc w:val="right"/>
              <w:rPr>
                <w:sz w:val="13"/>
                <w:szCs w:val="13"/>
              </w:rPr>
            </w:pPr>
            <w:r w:rsidRPr="00A97F11">
              <w:rPr>
                <w:sz w:val="13"/>
                <w:szCs w:val="13"/>
              </w:rPr>
              <w:t>50</w:t>
            </w:r>
          </w:p>
        </w:tc>
        <w:tc>
          <w:tcPr>
            <w:tcW w:w="630" w:type="dxa"/>
            <w:tcMar>
              <w:left w:w="72" w:type="dxa"/>
              <w:right w:w="72" w:type="dxa"/>
            </w:tcMar>
          </w:tcPr>
          <w:p w14:paraId="4594A589" w14:textId="77777777" w:rsidR="0081652D" w:rsidRPr="00A97F11" w:rsidRDefault="0081652D" w:rsidP="00D46588">
            <w:pPr>
              <w:pStyle w:val="TableText"/>
              <w:jc w:val="right"/>
              <w:rPr>
                <w:sz w:val="13"/>
                <w:szCs w:val="13"/>
              </w:rPr>
            </w:pPr>
            <w:r w:rsidRPr="00A97F11">
              <w:rPr>
                <w:sz w:val="13"/>
                <w:szCs w:val="13"/>
              </w:rPr>
              <w:t>236</w:t>
            </w:r>
          </w:p>
        </w:tc>
        <w:tc>
          <w:tcPr>
            <w:tcW w:w="794" w:type="dxa"/>
            <w:tcMar>
              <w:left w:w="72" w:type="dxa"/>
              <w:right w:w="72" w:type="dxa"/>
            </w:tcMar>
          </w:tcPr>
          <w:p w14:paraId="729F5048" w14:textId="77777777" w:rsidR="0081652D" w:rsidRPr="00A97F11" w:rsidRDefault="0081652D" w:rsidP="0081652D">
            <w:pPr>
              <w:pStyle w:val="TableText"/>
              <w:jc w:val="right"/>
              <w:rPr>
                <w:sz w:val="13"/>
                <w:szCs w:val="13"/>
              </w:rPr>
            </w:pPr>
            <w:r w:rsidRPr="00A97F11">
              <w:rPr>
                <w:sz w:val="13"/>
                <w:szCs w:val="13"/>
              </w:rPr>
              <w:t>37.3 (29.1, 46.2)</w:t>
            </w:r>
          </w:p>
        </w:tc>
        <w:tc>
          <w:tcPr>
            <w:tcW w:w="466" w:type="dxa"/>
            <w:tcMar>
              <w:left w:w="72" w:type="dxa"/>
              <w:right w:w="72" w:type="dxa"/>
            </w:tcMar>
          </w:tcPr>
          <w:p w14:paraId="64D7E05A"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48C6C2D3" w14:textId="77777777" w:rsidR="0081652D" w:rsidRPr="00A97F11" w:rsidRDefault="0081652D" w:rsidP="00D46588">
            <w:pPr>
              <w:pStyle w:val="TableText"/>
              <w:jc w:val="right"/>
              <w:rPr>
                <w:sz w:val="13"/>
                <w:szCs w:val="13"/>
              </w:rPr>
            </w:pPr>
            <w:r w:rsidRPr="00A97F11">
              <w:rPr>
                <w:sz w:val="13"/>
                <w:szCs w:val="13"/>
              </w:rPr>
              <w:t>–</w:t>
            </w:r>
          </w:p>
        </w:tc>
        <w:tc>
          <w:tcPr>
            <w:tcW w:w="698" w:type="dxa"/>
            <w:tcMar>
              <w:left w:w="72" w:type="dxa"/>
              <w:right w:w="72" w:type="dxa"/>
            </w:tcMar>
          </w:tcPr>
          <w:p w14:paraId="0C2CE23C" w14:textId="77777777" w:rsidR="0081652D" w:rsidRPr="00A97F11" w:rsidRDefault="0081652D" w:rsidP="00D46588">
            <w:pPr>
              <w:pStyle w:val="TableText"/>
              <w:jc w:val="right"/>
              <w:rPr>
                <w:sz w:val="13"/>
                <w:szCs w:val="13"/>
              </w:rPr>
            </w:pPr>
            <w:r w:rsidRPr="00A97F11">
              <w:rPr>
                <w:sz w:val="13"/>
                <w:szCs w:val="13"/>
              </w:rPr>
              <w:t>–</w:t>
            </w:r>
          </w:p>
        </w:tc>
        <w:tc>
          <w:tcPr>
            <w:tcW w:w="472" w:type="dxa"/>
            <w:tcMar>
              <w:left w:w="72" w:type="dxa"/>
              <w:right w:w="72" w:type="dxa"/>
            </w:tcMar>
          </w:tcPr>
          <w:p w14:paraId="30EFD983" w14:textId="77777777" w:rsidR="0081652D" w:rsidRPr="00A97F11" w:rsidRDefault="0081652D" w:rsidP="00D46588">
            <w:pPr>
              <w:pStyle w:val="TableText"/>
              <w:jc w:val="right"/>
              <w:rPr>
                <w:sz w:val="13"/>
                <w:szCs w:val="13"/>
              </w:rPr>
            </w:pPr>
            <w:r w:rsidRPr="00A97F11">
              <w:rPr>
                <w:sz w:val="13"/>
                <w:szCs w:val="13"/>
              </w:rPr>
              <w:t>151</w:t>
            </w:r>
          </w:p>
        </w:tc>
        <w:tc>
          <w:tcPr>
            <w:tcW w:w="630" w:type="dxa"/>
            <w:tcMar>
              <w:left w:w="72" w:type="dxa"/>
              <w:right w:w="72" w:type="dxa"/>
            </w:tcMar>
          </w:tcPr>
          <w:p w14:paraId="7C783587" w14:textId="77777777" w:rsidR="0081652D" w:rsidRPr="00A97F11" w:rsidRDefault="0081652D" w:rsidP="00D46588">
            <w:pPr>
              <w:pStyle w:val="TableText"/>
              <w:jc w:val="right"/>
              <w:rPr>
                <w:sz w:val="13"/>
                <w:szCs w:val="13"/>
              </w:rPr>
            </w:pPr>
            <w:r w:rsidRPr="00A97F11">
              <w:rPr>
                <w:sz w:val="13"/>
                <w:szCs w:val="13"/>
              </w:rPr>
              <w:t>515</w:t>
            </w:r>
          </w:p>
        </w:tc>
        <w:tc>
          <w:tcPr>
            <w:tcW w:w="693" w:type="dxa"/>
            <w:tcMar>
              <w:left w:w="72" w:type="dxa"/>
              <w:right w:w="72" w:type="dxa"/>
            </w:tcMar>
          </w:tcPr>
          <w:p w14:paraId="2AAA6C10" w14:textId="77777777" w:rsidR="0081652D" w:rsidRPr="00A97F11" w:rsidRDefault="0081652D" w:rsidP="0081652D">
            <w:pPr>
              <w:pStyle w:val="TableText"/>
              <w:jc w:val="right"/>
              <w:rPr>
                <w:sz w:val="13"/>
                <w:szCs w:val="13"/>
              </w:rPr>
            </w:pPr>
            <w:r w:rsidRPr="00A97F11">
              <w:rPr>
                <w:sz w:val="13"/>
                <w:szCs w:val="13"/>
              </w:rPr>
              <w:t>53.6 (46.5, 60.5)</w:t>
            </w:r>
          </w:p>
        </w:tc>
        <w:tc>
          <w:tcPr>
            <w:tcW w:w="387" w:type="dxa"/>
            <w:tcMar>
              <w:left w:w="72" w:type="dxa"/>
              <w:right w:w="72" w:type="dxa"/>
            </w:tcMar>
          </w:tcPr>
          <w:p w14:paraId="67006A91" w14:textId="77777777" w:rsidR="0081652D" w:rsidRPr="00A97F11" w:rsidRDefault="0081652D" w:rsidP="00D46588">
            <w:pPr>
              <w:pStyle w:val="TableText"/>
              <w:jc w:val="right"/>
              <w:rPr>
                <w:sz w:val="13"/>
                <w:szCs w:val="13"/>
              </w:rPr>
            </w:pPr>
            <w:r w:rsidRPr="00A97F11">
              <w:rPr>
                <w:sz w:val="13"/>
                <w:szCs w:val="13"/>
              </w:rPr>
              <w:t>103</w:t>
            </w:r>
          </w:p>
        </w:tc>
        <w:tc>
          <w:tcPr>
            <w:tcW w:w="630" w:type="dxa"/>
            <w:tcMar>
              <w:left w:w="72" w:type="dxa"/>
              <w:right w:w="72" w:type="dxa"/>
            </w:tcMar>
          </w:tcPr>
          <w:p w14:paraId="160524D4" w14:textId="77777777" w:rsidR="0081652D" w:rsidRPr="00A97F11" w:rsidRDefault="0081652D" w:rsidP="00D46588">
            <w:pPr>
              <w:pStyle w:val="TableText"/>
              <w:jc w:val="right"/>
              <w:rPr>
                <w:sz w:val="13"/>
                <w:szCs w:val="13"/>
              </w:rPr>
            </w:pPr>
            <w:r w:rsidRPr="00A97F11">
              <w:rPr>
                <w:sz w:val="13"/>
                <w:szCs w:val="13"/>
              </w:rPr>
              <w:t>403</w:t>
            </w:r>
          </w:p>
        </w:tc>
        <w:tc>
          <w:tcPr>
            <w:tcW w:w="778" w:type="dxa"/>
            <w:tcMar>
              <w:left w:w="72" w:type="dxa"/>
              <w:right w:w="72" w:type="dxa"/>
            </w:tcMar>
          </w:tcPr>
          <w:p w14:paraId="5E629EEC" w14:textId="77777777" w:rsidR="0081652D" w:rsidRPr="00A97F11" w:rsidRDefault="0081652D" w:rsidP="0081652D">
            <w:pPr>
              <w:pStyle w:val="TableText"/>
              <w:jc w:val="right"/>
              <w:rPr>
                <w:sz w:val="13"/>
                <w:szCs w:val="13"/>
              </w:rPr>
            </w:pPr>
            <w:r w:rsidRPr="00A97F11">
              <w:rPr>
                <w:sz w:val="13"/>
                <w:szCs w:val="13"/>
              </w:rPr>
              <w:t>42.0 (35.2, 49.1)</w:t>
            </w:r>
          </w:p>
        </w:tc>
      </w:tr>
      <w:tr w:rsidR="00A97F11" w:rsidRPr="004565F5" w14:paraId="1A8EFCF7" w14:textId="77777777" w:rsidTr="001F3BA4">
        <w:trPr>
          <w:cantSplit/>
        </w:trPr>
        <w:tc>
          <w:tcPr>
            <w:tcW w:w="738" w:type="dxa"/>
          </w:tcPr>
          <w:p w14:paraId="7299A2E7" w14:textId="77777777" w:rsidR="0081652D" w:rsidRPr="00F9389A" w:rsidRDefault="0081652D" w:rsidP="00A97F11">
            <w:pPr>
              <w:pStyle w:val="TableText"/>
              <w:keepNext w:val="0"/>
              <w:rPr>
                <w:bCs/>
                <w:color w:val="000000" w:themeColor="text1"/>
                <w:szCs w:val="14"/>
              </w:rPr>
            </w:pPr>
            <w:r w:rsidRPr="00F9389A">
              <w:rPr>
                <w:bCs/>
                <w:color w:val="000000" w:themeColor="text1"/>
                <w:szCs w:val="14"/>
              </w:rPr>
              <w:t>58+</w:t>
            </w:r>
          </w:p>
        </w:tc>
        <w:tc>
          <w:tcPr>
            <w:tcW w:w="360" w:type="dxa"/>
            <w:tcMar>
              <w:left w:w="72" w:type="dxa"/>
              <w:right w:w="72" w:type="dxa"/>
            </w:tcMar>
          </w:tcPr>
          <w:p w14:paraId="0B0B7BF2" w14:textId="77777777" w:rsidR="0081652D" w:rsidRPr="00A97F11" w:rsidRDefault="0081652D" w:rsidP="00A97F11">
            <w:pPr>
              <w:pStyle w:val="TableText"/>
              <w:keepNext w:val="0"/>
              <w:jc w:val="right"/>
              <w:rPr>
                <w:sz w:val="13"/>
                <w:szCs w:val="13"/>
              </w:rPr>
            </w:pPr>
            <w:r w:rsidRPr="00A97F11">
              <w:rPr>
                <w:sz w:val="13"/>
                <w:szCs w:val="13"/>
              </w:rPr>
              <w:t>#</w:t>
            </w:r>
          </w:p>
        </w:tc>
        <w:tc>
          <w:tcPr>
            <w:tcW w:w="630" w:type="dxa"/>
            <w:tcMar>
              <w:left w:w="72" w:type="dxa"/>
              <w:right w:w="72" w:type="dxa"/>
            </w:tcMar>
          </w:tcPr>
          <w:p w14:paraId="529EA87D" w14:textId="77777777" w:rsidR="0081652D" w:rsidRPr="00A97F11" w:rsidRDefault="0081652D" w:rsidP="00A97F11">
            <w:pPr>
              <w:pStyle w:val="TableText"/>
              <w:keepNext w:val="0"/>
              <w:jc w:val="right"/>
              <w:rPr>
                <w:sz w:val="13"/>
                <w:szCs w:val="13"/>
              </w:rPr>
            </w:pPr>
            <w:r w:rsidRPr="00A97F11">
              <w:rPr>
                <w:sz w:val="13"/>
                <w:szCs w:val="13"/>
              </w:rPr>
              <w:t>–</w:t>
            </w:r>
          </w:p>
        </w:tc>
        <w:tc>
          <w:tcPr>
            <w:tcW w:w="804" w:type="dxa"/>
            <w:tcMar>
              <w:left w:w="72" w:type="dxa"/>
              <w:right w:w="72" w:type="dxa"/>
            </w:tcMar>
          </w:tcPr>
          <w:p w14:paraId="2BB29861" w14:textId="77777777" w:rsidR="0081652D" w:rsidRPr="00A97F11" w:rsidRDefault="0081652D" w:rsidP="00A97F11">
            <w:pPr>
              <w:pStyle w:val="TableText"/>
              <w:keepNext w:val="0"/>
              <w:jc w:val="right"/>
              <w:rPr>
                <w:sz w:val="13"/>
                <w:szCs w:val="13"/>
              </w:rPr>
            </w:pPr>
            <w:r w:rsidRPr="00A97F11">
              <w:rPr>
                <w:sz w:val="13"/>
                <w:szCs w:val="13"/>
              </w:rPr>
              <w:t>–</w:t>
            </w:r>
          </w:p>
        </w:tc>
        <w:tc>
          <w:tcPr>
            <w:tcW w:w="456" w:type="dxa"/>
            <w:tcMar>
              <w:left w:w="72" w:type="dxa"/>
              <w:right w:w="72" w:type="dxa"/>
            </w:tcMar>
          </w:tcPr>
          <w:p w14:paraId="7D8C9A53" w14:textId="77777777" w:rsidR="0081652D" w:rsidRPr="00A97F11" w:rsidRDefault="0081652D" w:rsidP="00A97F11">
            <w:pPr>
              <w:pStyle w:val="TableText"/>
              <w:keepNext w:val="0"/>
              <w:jc w:val="right"/>
              <w:rPr>
                <w:sz w:val="13"/>
                <w:szCs w:val="13"/>
              </w:rPr>
            </w:pPr>
            <w:r w:rsidRPr="00A97F11">
              <w:rPr>
                <w:sz w:val="13"/>
                <w:szCs w:val="13"/>
              </w:rPr>
              <w:t>37</w:t>
            </w:r>
          </w:p>
        </w:tc>
        <w:tc>
          <w:tcPr>
            <w:tcW w:w="630" w:type="dxa"/>
            <w:tcMar>
              <w:left w:w="72" w:type="dxa"/>
              <w:right w:w="72" w:type="dxa"/>
            </w:tcMar>
          </w:tcPr>
          <w:p w14:paraId="1609613C" w14:textId="77777777" w:rsidR="0081652D" w:rsidRPr="00A97F11" w:rsidRDefault="0081652D" w:rsidP="00A97F11">
            <w:pPr>
              <w:pStyle w:val="TableText"/>
              <w:keepNext w:val="0"/>
              <w:jc w:val="right"/>
              <w:rPr>
                <w:sz w:val="13"/>
                <w:szCs w:val="13"/>
              </w:rPr>
            </w:pPr>
            <w:r w:rsidRPr="00A97F11">
              <w:rPr>
                <w:sz w:val="13"/>
                <w:szCs w:val="13"/>
              </w:rPr>
              <w:t>166</w:t>
            </w:r>
          </w:p>
        </w:tc>
        <w:tc>
          <w:tcPr>
            <w:tcW w:w="709" w:type="dxa"/>
            <w:tcMar>
              <w:left w:w="72" w:type="dxa"/>
              <w:right w:w="72" w:type="dxa"/>
            </w:tcMar>
          </w:tcPr>
          <w:p w14:paraId="00E3F0AD" w14:textId="77777777" w:rsidR="0081652D" w:rsidRPr="00A97F11" w:rsidRDefault="0081652D" w:rsidP="00A97F11">
            <w:pPr>
              <w:pStyle w:val="TableText"/>
              <w:keepNext w:val="0"/>
              <w:jc w:val="right"/>
              <w:rPr>
                <w:rFonts w:eastAsia="Times New Roman" w:cstheme="minorHAnsi"/>
                <w:sz w:val="13"/>
                <w:szCs w:val="13"/>
              </w:rPr>
            </w:pPr>
            <w:r w:rsidRPr="00A97F11">
              <w:rPr>
                <w:rFonts w:cstheme="minorHAnsi"/>
                <w:sz w:val="13"/>
                <w:szCs w:val="13"/>
              </w:rPr>
              <w:t>56.5 (44.4, 67.8)</w:t>
            </w:r>
          </w:p>
        </w:tc>
        <w:tc>
          <w:tcPr>
            <w:tcW w:w="371" w:type="dxa"/>
            <w:tcMar>
              <w:left w:w="72" w:type="dxa"/>
              <w:right w:w="72" w:type="dxa"/>
            </w:tcMar>
          </w:tcPr>
          <w:p w14:paraId="4394C0F7" w14:textId="77777777" w:rsidR="0081652D" w:rsidRPr="00A97F11" w:rsidRDefault="0081652D" w:rsidP="00A97F11">
            <w:pPr>
              <w:pStyle w:val="TableText"/>
              <w:keepNext w:val="0"/>
              <w:jc w:val="right"/>
              <w:rPr>
                <w:sz w:val="13"/>
                <w:szCs w:val="13"/>
              </w:rPr>
            </w:pPr>
            <w:r w:rsidRPr="00A97F11">
              <w:rPr>
                <w:sz w:val="13"/>
                <w:szCs w:val="13"/>
              </w:rPr>
              <w:t>31</w:t>
            </w:r>
          </w:p>
        </w:tc>
        <w:tc>
          <w:tcPr>
            <w:tcW w:w="630" w:type="dxa"/>
            <w:tcMar>
              <w:left w:w="72" w:type="dxa"/>
              <w:right w:w="72" w:type="dxa"/>
            </w:tcMar>
          </w:tcPr>
          <w:p w14:paraId="3CBB8C56" w14:textId="77777777" w:rsidR="0081652D" w:rsidRPr="00A97F11" w:rsidRDefault="0081652D" w:rsidP="00A97F11">
            <w:pPr>
              <w:pStyle w:val="TableText"/>
              <w:keepNext w:val="0"/>
              <w:jc w:val="right"/>
              <w:rPr>
                <w:sz w:val="13"/>
                <w:szCs w:val="13"/>
              </w:rPr>
            </w:pPr>
            <w:r w:rsidRPr="00A97F11">
              <w:rPr>
                <w:sz w:val="13"/>
                <w:szCs w:val="13"/>
              </w:rPr>
              <w:t>120</w:t>
            </w:r>
          </w:p>
        </w:tc>
        <w:tc>
          <w:tcPr>
            <w:tcW w:w="794" w:type="dxa"/>
            <w:tcMar>
              <w:left w:w="72" w:type="dxa"/>
              <w:right w:w="72" w:type="dxa"/>
            </w:tcMar>
          </w:tcPr>
          <w:p w14:paraId="0203A4ED" w14:textId="77777777" w:rsidR="0081652D" w:rsidRPr="00A97F11" w:rsidRDefault="0081652D" w:rsidP="00A97F11">
            <w:pPr>
              <w:pStyle w:val="TableText"/>
              <w:keepNext w:val="0"/>
              <w:jc w:val="right"/>
              <w:rPr>
                <w:sz w:val="13"/>
                <w:szCs w:val="13"/>
              </w:rPr>
            </w:pPr>
            <w:r w:rsidRPr="00A97F11">
              <w:rPr>
                <w:sz w:val="13"/>
                <w:szCs w:val="13"/>
              </w:rPr>
              <w:t>40.8 (29.9, 52.7)</w:t>
            </w:r>
          </w:p>
        </w:tc>
        <w:tc>
          <w:tcPr>
            <w:tcW w:w="466" w:type="dxa"/>
            <w:tcMar>
              <w:left w:w="72" w:type="dxa"/>
              <w:right w:w="72" w:type="dxa"/>
            </w:tcMar>
          </w:tcPr>
          <w:p w14:paraId="60DAB7DE" w14:textId="77777777" w:rsidR="0081652D" w:rsidRPr="00A97F11" w:rsidRDefault="0081652D" w:rsidP="00A97F11">
            <w:pPr>
              <w:pStyle w:val="TableText"/>
              <w:keepNext w:val="0"/>
              <w:jc w:val="right"/>
              <w:rPr>
                <w:sz w:val="13"/>
                <w:szCs w:val="13"/>
              </w:rPr>
            </w:pPr>
            <w:r w:rsidRPr="00A97F11">
              <w:rPr>
                <w:sz w:val="13"/>
                <w:szCs w:val="13"/>
              </w:rPr>
              <w:t>#</w:t>
            </w:r>
          </w:p>
        </w:tc>
        <w:tc>
          <w:tcPr>
            <w:tcW w:w="630" w:type="dxa"/>
            <w:tcMar>
              <w:left w:w="72" w:type="dxa"/>
              <w:right w:w="72" w:type="dxa"/>
            </w:tcMar>
          </w:tcPr>
          <w:p w14:paraId="41CC9A17" w14:textId="77777777" w:rsidR="0081652D" w:rsidRPr="00A97F11" w:rsidRDefault="0081652D" w:rsidP="00A97F11">
            <w:pPr>
              <w:pStyle w:val="TableText"/>
              <w:keepNext w:val="0"/>
              <w:jc w:val="right"/>
              <w:rPr>
                <w:sz w:val="13"/>
                <w:szCs w:val="13"/>
              </w:rPr>
            </w:pPr>
            <w:r w:rsidRPr="00A97F11">
              <w:rPr>
                <w:sz w:val="13"/>
                <w:szCs w:val="13"/>
              </w:rPr>
              <w:t>–</w:t>
            </w:r>
          </w:p>
        </w:tc>
        <w:tc>
          <w:tcPr>
            <w:tcW w:w="698" w:type="dxa"/>
            <w:tcMar>
              <w:left w:w="72" w:type="dxa"/>
              <w:right w:w="72" w:type="dxa"/>
            </w:tcMar>
          </w:tcPr>
          <w:p w14:paraId="6140380C" w14:textId="77777777" w:rsidR="0081652D" w:rsidRPr="00A97F11" w:rsidRDefault="0081652D" w:rsidP="00A97F11">
            <w:pPr>
              <w:pStyle w:val="TableText"/>
              <w:keepNext w:val="0"/>
              <w:jc w:val="right"/>
              <w:rPr>
                <w:sz w:val="13"/>
                <w:szCs w:val="13"/>
              </w:rPr>
            </w:pPr>
            <w:r w:rsidRPr="00A97F11">
              <w:rPr>
                <w:sz w:val="13"/>
                <w:szCs w:val="13"/>
              </w:rPr>
              <w:t>–</w:t>
            </w:r>
          </w:p>
        </w:tc>
        <w:tc>
          <w:tcPr>
            <w:tcW w:w="472" w:type="dxa"/>
            <w:tcMar>
              <w:left w:w="72" w:type="dxa"/>
              <w:right w:w="72" w:type="dxa"/>
            </w:tcMar>
          </w:tcPr>
          <w:p w14:paraId="77B32070" w14:textId="77777777" w:rsidR="0081652D" w:rsidRPr="00A97F11" w:rsidRDefault="0081652D" w:rsidP="00A97F11">
            <w:pPr>
              <w:pStyle w:val="TableText"/>
              <w:keepNext w:val="0"/>
              <w:jc w:val="right"/>
              <w:rPr>
                <w:sz w:val="13"/>
                <w:szCs w:val="13"/>
              </w:rPr>
            </w:pPr>
            <w:r w:rsidRPr="00A97F11">
              <w:rPr>
                <w:sz w:val="13"/>
                <w:szCs w:val="13"/>
              </w:rPr>
              <w:t>16</w:t>
            </w:r>
          </w:p>
        </w:tc>
        <w:tc>
          <w:tcPr>
            <w:tcW w:w="630" w:type="dxa"/>
            <w:tcMar>
              <w:left w:w="72" w:type="dxa"/>
              <w:right w:w="72" w:type="dxa"/>
            </w:tcMar>
          </w:tcPr>
          <w:p w14:paraId="2DF06119" w14:textId="77777777" w:rsidR="0081652D" w:rsidRPr="00A97F11" w:rsidRDefault="0081652D" w:rsidP="00A97F11">
            <w:pPr>
              <w:pStyle w:val="TableText"/>
              <w:keepNext w:val="0"/>
              <w:jc w:val="right"/>
              <w:rPr>
                <w:sz w:val="13"/>
                <w:szCs w:val="13"/>
              </w:rPr>
            </w:pPr>
            <w:r w:rsidRPr="00A97F11">
              <w:rPr>
                <w:sz w:val="13"/>
                <w:szCs w:val="13"/>
              </w:rPr>
              <w:t>69</w:t>
            </w:r>
          </w:p>
        </w:tc>
        <w:tc>
          <w:tcPr>
            <w:tcW w:w="693" w:type="dxa"/>
            <w:tcMar>
              <w:left w:w="72" w:type="dxa"/>
              <w:right w:w="72" w:type="dxa"/>
            </w:tcMar>
          </w:tcPr>
          <w:p w14:paraId="79C9D206" w14:textId="77777777" w:rsidR="0081652D" w:rsidRPr="00A97F11" w:rsidRDefault="0081652D" w:rsidP="00A97F11">
            <w:pPr>
              <w:pStyle w:val="TableText"/>
              <w:keepNext w:val="0"/>
              <w:jc w:val="right"/>
              <w:rPr>
                <w:sz w:val="13"/>
                <w:szCs w:val="13"/>
              </w:rPr>
            </w:pPr>
            <w:r w:rsidRPr="00A97F11">
              <w:rPr>
                <w:sz w:val="13"/>
                <w:szCs w:val="13"/>
              </w:rPr>
              <w:t>82.5 (66.9, 91.7)</w:t>
            </w:r>
          </w:p>
        </w:tc>
        <w:tc>
          <w:tcPr>
            <w:tcW w:w="387" w:type="dxa"/>
            <w:tcMar>
              <w:left w:w="72" w:type="dxa"/>
              <w:right w:w="72" w:type="dxa"/>
            </w:tcMar>
          </w:tcPr>
          <w:p w14:paraId="4E8B1721" w14:textId="77777777" w:rsidR="0081652D" w:rsidRPr="00A97F11" w:rsidRDefault="0081652D" w:rsidP="00A97F11">
            <w:pPr>
              <w:pStyle w:val="TableText"/>
              <w:keepNext w:val="0"/>
              <w:jc w:val="right"/>
              <w:rPr>
                <w:sz w:val="13"/>
                <w:szCs w:val="13"/>
              </w:rPr>
            </w:pPr>
            <w:r w:rsidRPr="00A97F11">
              <w:rPr>
                <w:sz w:val="13"/>
                <w:szCs w:val="13"/>
              </w:rPr>
              <w:t>6</w:t>
            </w:r>
          </w:p>
        </w:tc>
        <w:tc>
          <w:tcPr>
            <w:tcW w:w="630" w:type="dxa"/>
            <w:tcMar>
              <w:left w:w="72" w:type="dxa"/>
              <w:right w:w="72" w:type="dxa"/>
            </w:tcMar>
          </w:tcPr>
          <w:p w14:paraId="49033D01" w14:textId="77777777" w:rsidR="0081652D" w:rsidRPr="00A97F11" w:rsidRDefault="0081652D" w:rsidP="00A97F11">
            <w:pPr>
              <w:pStyle w:val="TableText"/>
              <w:keepNext w:val="0"/>
              <w:jc w:val="right"/>
              <w:rPr>
                <w:sz w:val="13"/>
                <w:szCs w:val="13"/>
              </w:rPr>
            </w:pPr>
            <w:r w:rsidRPr="00A97F11">
              <w:rPr>
                <w:sz w:val="13"/>
                <w:szCs w:val="13"/>
              </w:rPr>
              <w:t>15</w:t>
            </w:r>
          </w:p>
        </w:tc>
        <w:tc>
          <w:tcPr>
            <w:tcW w:w="778" w:type="dxa"/>
            <w:tcMar>
              <w:left w:w="72" w:type="dxa"/>
              <w:right w:w="72" w:type="dxa"/>
            </w:tcMar>
          </w:tcPr>
          <w:p w14:paraId="1C483E69" w14:textId="77777777" w:rsidR="0081652D" w:rsidRPr="00A97F11" w:rsidRDefault="0081652D" w:rsidP="00A97F11">
            <w:pPr>
              <w:pStyle w:val="TableText"/>
              <w:keepNext w:val="0"/>
              <w:jc w:val="right"/>
              <w:rPr>
                <w:sz w:val="13"/>
                <w:szCs w:val="13"/>
              </w:rPr>
            </w:pPr>
            <w:r w:rsidRPr="00A97F11">
              <w:rPr>
                <w:sz w:val="13"/>
                <w:szCs w:val="13"/>
              </w:rPr>
              <w:t>17.5 (8.3, 33.1)</w:t>
            </w:r>
          </w:p>
        </w:tc>
      </w:tr>
      <w:tr w:rsidR="00BD41F3" w:rsidRPr="004565F5" w14:paraId="58738837"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7A8B59C2" w14:textId="77777777" w:rsidR="0081652D" w:rsidRPr="00F9389A" w:rsidRDefault="0081652D" w:rsidP="00D46588">
            <w:pPr>
              <w:pStyle w:val="TableText"/>
              <w:rPr>
                <w:b/>
                <w:bCs/>
                <w:color w:val="000000" w:themeColor="text1"/>
                <w:szCs w:val="14"/>
              </w:rPr>
            </w:pPr>
            <w:r w:rsidRPr="00F9389A">
              <w:rPr>
                <w:b/>
                <w:bCs/>
                <w:color w:val="000000" w:themeColor="text1"/>
                <w:szCs w:val="14"/>
              </w:rPr>
              <w:t>Sex and Age (yrs)</w:t>
            </w:r>
          </w:p>
        </w:tc>
        <w:tc>
          <w:tcPr>
            <w:tcW w:w="360" w:type="dxa"/>
            <w:tcMar>
              <w:left w:w="72" w:type="dxa"/>
              <w:right w:w="72" w:type="dxa"/>
            </w:tcMar>
          </w:tcPr>
          <w:p w14:paraId="4EFF5300" w14:textId="77777777" w:rsidR="0081652D" w:rsidRPr="00A97F11" w:rsidRDefault="0081652D" w:rsidP="00D46588">
            <w:pPr>
              <w:pStyle w:val="TableText"/>
              <w:jc w:val="right"/>
              <w:rPr>
                <w:sz w:val="13"/>
                <w:szCs w:val="13"/>
              </w:rPr>
            </w:pPr>
          </w:p>
        </w:tc>
        <w:tc>
          <w:tcPr>
            <w:tcW w:w="630" w:type="dxa"/>
            <w:tcMar>
              <w:left w:w="72" w:type="dxa"/>
              <w:right w:w="72" w:type="dxa"/>
            </w:tcMar>
          </w:tcPr>
          <w:p w14:paraId="341FF3A7" w14:textId="77777777" w:rsidR="0081652D" w:rsidRPr="00A97F11" w:rsidRDefault="0081652D" w:rsidP="00D46588">
            <w:pPr>
              <w:pStyle w:val="TableText"/>
              <w:jc w:val="right"/>
              <w:rPr>
                <w:sz w:val="13"/>
                <w:szCs w:val="13"/>
              </w:rPr>
            </w:pPr>
          </w:p>
        </w:tc>
        <w:tc>
          <w:tcPr>
            <w:tcW w:w="804" w:type="dxa"/>
            <w:tcMar>
              <w:left w:w="72" w:type="dxa"/>
              <w:right w:w="72" w:type="dxa"/>
            </w:tcMar>
          </w:tcPr>
          <w:p w14:paraId="48D3208A" w14:textId="77777777" w:rsidR="0081652D" w:rsidRPr="00A97F11" w:rsidRDefault="0081652D" w:rsidP="00D46588">
            <w:pPr>
              <w:pStyle w:val="TableText"/>
              <w:jc w:val="right"/>
              <w:rPr>
                <w:sz w:val="13"/>
                <w:szCs w:val="13"/>
              </w:rPr>
            </w:pPr>
          </w:p>
        </w:tc>
        <w:tc>
          <w:tcPr>
            <w:tcW w:w="456" w:type="dxa"/>
            <w:tcMar>
              <w:left w:w="72" w:type="dxa"/>
              <w:right w:w="72" w:type="dxa"/>
            </w:tcMar>
          </w:tcPr>
          <w:p w14:paraId="669423EC" w14:textId="77777777" w:rsidR="0081652D" w:rsidRPr="00A97F11" w:rsidRDefault="0081652D" w:rsidP="00D46588">
            <w:pPr>
              <w:pStyle w:val="TableText"/>
              <w:jc w:val="right"/>
              <w:rPr>
                <w:sz w:val="13"/>
                <w:szCs w:val="13"/>
              </w:rPr>
            </w:pPr>
          </w:p>
        </w:tc>
        <w:tc>
          <w:tcPr>
            <w:tcW w:w="630" w:type="dxa"/>
            <w:tcMar>
              <w:left w:w="72" w:type="dxa"/>
              <w:right w:w="72" w:type="dxa"/>
            </w:tcMar>
          </w:tcPr>
          <w:p w14:paraId="5C33141C" w14:textId="77777777" w:rsidR="0081652D" w:rsidRPr="00A97F11" w:rsidRDefault="0081652D" w:rsidP="00D46588">
            <w:pPr>
              <w:pStyle w:val="TableText"/>
              <w:jc w:val="right"/>
              <w:rPr>
                <w:sz w:val="13"/>
                <w:szCs w:val="13"/>
              </w:rPr>
            </w:pPr>
          </w:p>
        </w:tc>
        <w:tc>
          <w:tcPr>
            <w:tcW w:w="709" w:type="dxa"/>
            <w:tcMar>
              <w:left w:w="72" w:type="dxa"/>
              <w:right w:w="72" w:type="dxa"/>
            </w:tcMar>
          </w:tcPr>
          <w:p w14:paraId="2E976E49" w14:textId="77777777" w:rsidR="0081652D" w:rsidRPr="00A97F11" w:rsidRDefault="0081652D" w:rsidP="00D46588">
            <w:pPr>
              <w:pStyle w:val="TableText"/>
              <w:jc w:val="right"/>
              <w:rPr>
                <w:sz w:val="13"/>
                <w:szCs w:val="13"/>
              </w:rPr>
            </w:pPr>
          </w:p>
        </w:tc>
        <w:tc>
          <w:tcPr>
            <w:tcW w:w="371" w:type="dxa"/>
            <w:tcMar>
              <w:left w:w="72" w:type="dxa"/>
              <w:right w:w="72" w:type="dxa"/>
            </w:tcMar>
          </w:tcPr>
          <w:p w14:paraId="026EA085" w14:textId="77777777" w:rsidR="0081652D" w:rsidRPr="00A97F11" w:rsidRDefault="0081652D" w:rsidP="00D46588">
            <w:pPr>
              <w:pStyle w:val="TableText"/>
              <w:jc w:val="right"/>
              <w:rPr>
                <w:sz w:val="13"/>
                <w:szCs w:val="13"/>
              </w:rPr>
            </w:pPr>
          </w:p>
        </w:tc>
        <w:tc>
          <w:tcPr>
            <w:tcW w:w="630" w:type="dxa"/>
            <w:tcMar>
              <w:left w:w="72" w:type="dxa"/>
              <w:right w:w="72" w:type="dxa"/>
            </w:tcMar>
          </w:tcPr>
          <w:p w14:paraId="6910B20E" w14:textId="77777777" w:rsidR="0081652D" w:rsidRPr="00A97F11" w:rsidRDefault="0081652D" w:rsidP="00D46588">
            <w:pPr>
              <w:pStyle w:val="TableText"/>
              <w:jc w:val="right"/>
              <w:rPr>
                <w:sz w:val="13"/>
                <w:szCs w:val="13"/>
              </w:rPr>
            </w:pPr>
          </w:p>
        </w:tc>
        <w:tc>
          <w:tcPr>
            <w:tcW w:w="794" w:type="dxa"/>
            <w:tcMar>
              <w:left w:w="72" w:type="dxa"/>
              <w:right w:w="72" w:type="dxa"/>
            </w:tcMar>
          </w:tcPr>
          <w:p w14:paraId="408BB594" w14:textId="77777777" w:rsidR="0081652D" w:rsidRPr="00A97F11" w:rsidRDefault="0081652D" w:rsidP="00D46588">
            <w:pPr>
              <w:pStyle w:val="TableText"/>
              <w:jc w:val="right"/>
              <w:rPr>
                <w:sz w:val="13"/>
                <w:szCs w:val="13"/>
              </w:rPr>
            </w:pPr>
          </w:p>
        </w:tc>
        <w:tc>
          <w:tcPr>
            <w:tcW w:w="466" w:type="dxa"/>
            <w:tcMar>
              <w:left w:w="72" w:type="dxa"/>
              <w:right w:w="72" w:type="dxa"/>
            </w:tcMar>
          </w:tcPr>
          <w:p w14:paraId="4AC1CE39" w14:textId="77777777" w:rsidR="0081652D" w:rsidRPr="00A97F11" w:rsidRDefault="0081652D" w:rsidP="00D46588">
            <w:pPr>
              <w:pStyle w:val="TableText"/>
              <w:jc w:val="right"/>
              <w:rPr>
                <w:sz w:val="13"/>
                <w:szCs w:val="13"/>
              </w:rPr>
            </w:pPr>
          </w:p>
        </w:tc>
        <w:tc>
          <w:tcPr>
            <w:tcW w:w="630" w:type="dxa"/>
            <w:tcMar>
              <w:left w:w="72" w:type="dxa"/>
              <w:right w:w="72" w:type="dxa"/>
            </w:tcMar>
          </w:tcPr>
          <w:p w14:paraId="08114A49" w14:textId="77777777" w:rsidR="0081652D" w:rsidRPr="00A97F11" w:rsidRDefault="0081652D" w:rsidP="00D46588">
            <w:pPr>
              <w:pStyle w:val="TableText"/>
              <w:jc w:val="right"/>
              <w:rPr>
                <w:sz w:val="13"/>
                <w:szCs w:val="13"/>
              </w:rPr>
            </w:pPr>
          </w:p>
        </w:tc>
        <w:tc>
          <w:tcPr>
            <w:tcW w:w="698" w:type="dxa"/>
            <w:tcMar>
              <w:left w:w="72" w:type="dxa"/>
              <w:right w:w="72" w:type="dxa"/>
            </w:tcMar>
          </w:tcPr>
          <w:p w14:paraId="1A5B8360" w14:textId="77777777" w:rsidR="0081652D" w:rsidRPr="00A97F11" w:rsidRDefault="0081652D" w:rsidP="00D46588">
            <w:pPr>
              <w:pStyle w:val="TableText"/>
              <w:jc w:val="right"/>
              <w:rPr>
                <w:sz w:val="13"/>
                <w:szCs w:val="13"/>
              </w:rPr>
            </w:pPr>
          </w:p>
        </w:tc>
        <w:tc>
          <w:tcPr>
            <w:tcW w:w="472" w:type="dxa"/>
            <w:tcMar>
              <w:left w:w="72" w:type="dxa"/>
              <w:right w:w="72" w:type="dxa"/>
            </w:tcMar>
          </w:tcPr>
          <w:p w14:paraId="43CBBDD6" w14:textId="77777777" w:rsidR="0081652D" w:rsidRPr="00A97F11" w:rsidRDefault="0081652D" w:rsidP="00D46588">
            <w:pPr>
              <w:pStyle w:val="TableText"/>
              <w:jc w:val="right"/>
              <w:rPr>
                <w:sz w:val="13"/>
                <w:szCs w:val="13"/>
              </w:rPr>
            </w:pPr>
          </w:p>
        </w:tc>
        <w:tc>
          <w:tcPr>
            <w:tcW w:w="630" w:type="dxa"/>
            <w:tcMar>
              <w:left w:w="72" w:type="dxa"/>
              <w:right w:w="72" w:type="dxa"/>
            </w:tcMar>
          </w:tcPr>
          <w:p w14:paraId="7A3E8AEA" w14:textId="77777777" w:rsidR="0081652D" w:rsidRPr="00A97F11" w:rsidRDefault="0081652D" w:rsidP="00D46588">
            <w:pPr>
              <w:pStyle w:val="TableText"/>
              <w:jc w:val="right"/>
              <w:rPr>
                <w:sz w:val="13"/>
                <w:szCs w:val="13"/>
              </w:rPr>
            </w:pPr>
          </w:p>
        </w:tc>
        <w:tc>
          <w:tcPr>
            <w:tcW w:w="693" w:type="dxa"/>
            <w:tcMar>
              <w:left w:w="72" w:type="dxa"/>
              <w:right w:w="72" w:type="dxa"/>
            </w:tcMar>
          </w:tcPr>
          <w:p w14:paraId="4C641A7C" w14:textId="77777777" w:rsidR="0081652D" w:rsidRPr="00A97F11" w:rsidRDefault="0081652D" w:rsidP="00D46588">
            <w:pPr>
              <w:pStyle w:val="TableText"/>
              <w:jc w:val="right"/>
              <w:rPr>
                <w:sz w:val="13"/>
                <w:szCs w:val="13"/>
              </w:rPr>
            </w:pPr>
          </w:p>
        </w:tc>
        <w:tc>
          <w:tcPr>
            <w:tcW w:w="387" w:type="dxa"/>
            <w:tcMar>
              <w:left w:w="72" w:type="dxa"/>
              <w:right w:w="72" w:type="dxa"/>
            </w:tcMar>
          </w:tcPr>
          <w:p w14:paraId="3758DB0B" w14:textId="77777777" w:rsidR="0081652D" w:rsidRPr="00A97F11" w:rsidRDefault="0081652D" w:rsidP="00D46588">
            <w:pPr>
              <w:pStyle w:val="TableText"/>
              <w:jc w:val="right"/>
              <w:rPr>
                <w:sz w:val="13"/>
                <w:szCs w:val="13"/>
              </w:rPr>
            </w:pPr>
          </w:p>
        </w:tc>
        <w:tc>
          <w:tcPr>
            <w:tcW w:w="630" w:type="dxa"/>
            <w:tcMar>
              <w:left w:w="72" w:type="dxa"/>
              <w:right w:w="72" w:type="dxa"/>
            </w:tcMar>
          </w:tcPr>
          <w:p w14:paraId="66D80039" w14:textId="77777777" w:rsidR="0081652D" w:rsidRPr="00A97F11" w:rsidRDefault="0081652D" w:rsidP="00D46588">
            <w:pPr>
              <w:pStyle w:val="TableText"/>
              <w:jc w:val="right"/>
              <w:rPr>
                <w:sz w:val="13"/>
                <w:szCs w:val="13"/>
              </w:rPr>
            </w:pPr>
          </w:p>
        </w:tc>
        <w:tc>
          <w:tcPr>
            <w:tcW w:w="778" w:type="dxa"/>
            <w:tcMar>
              <w:left w:w="72" w:type="dxa"/>
              <w:right w:w="72" w:type="dxa"/>
            </w:tcMar>
          </w:tcPr>
          <w:p w14:paraId="078D72A3" w14:textId="77777777" w:rsidR="0081652D" w:rsidRPr="00A97F11" w:rsidRDefault="0081652D" w:rsidP="00D46588">
            <w:pPr>
              <w:pStyle w:val="TableText"/>
              <w:jc w:val="right"/>
              <w:rPr>
                <w:sz w:val="13"/>
                <w:szCs w:val="13"/>
              </w:rPr>
            </w:pPr>
          </w:p>
        </w:tc>
      </w:tr>
      <w:tr w:rsidR="00A97F11" w:rsidRPr="004565F5" w14:paraId="74304C9B" w14:textId="77777777" w:rsidTr="001F3BA4">
        <w:trPr>
          <w:cantSplit/>
        </w:trPr>
        <w:tc>
          <w:tcPr>
            <w:tcW w:w="738" w:type="dxa"/>
          </w:tcPr>
          <w:p w14:paraId="633D9E3D" w14:textId="77777777" w:rsidR="0081652D" w:rsidRPr="00F9389A" w:rsidRDefault="0081652D" w:rsidP="00D46588">
            <w:pPr>
              <w:pStyle w:val="TableText"/>
              <w:rPr>
                <w:bCs/>
                <w:color w:val="000000" w:themeColor="text1"/>
                <w:szCs w:val="14"/>
              </w:rPr>
            </w:pPr>
            <w:r w:rsidRPr="00F9389A">
              <w:rPr>
                <w:bCs/>
                <w:color w:val="000000" w:themeColor="text1"/>
                <w:szCs w:val="14"/>
              </w:rPr>
              <w:t>Male 18</w:t>
            </w:r>
            <w:r>
              <w:rPr>
                <w:bCs/>
                <w:color w:val="000000" w:themeColor="text1"/>
                <w:szCs w:val="14"/>
              </w:rPr>
              <w:t>–</w:t>
            </w:r>
            <w:r w:rsidRPr="00F9389A">
              <w:rPr>
                <w:bCs/>
                <w:color w:val="000000" w:themeColor="text1"/>
                <w:szCs w:val="14"/>
              </w:rPr>
              <w:t>37</w:t>
            </w:r>
          </w:p>
        </w:tc>
        <w:tc>
          <w:tcPr>
            <w:tcW w:w="360" w:type="dxa"/>
            <w:tcMar>
              <w:left w:w="72" w:type="dxa"/>
              <w:right w:w="72" w:type="dxa"/>
            </w:tcMar>
          </w:tcPr>
          <w:p w14:paraId="4DEC7874"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03D5E25F" w14:textId="77777777" w:rsidR="0081652D" w:rsidRPr="00A97F11" w:rsidRDefault="0081652D" w:rsidP="00D46588">
            <w:pPr>
              <w:pStyle w:val="TableText"/>
              <w:jc w:val="right"/>
              <w:rPr>
                <w:sz w:val="13"/>
                <w:szCs w:val="13"/>
              </w:rPr>
            </w:pPr>
            <w:r w:rsidRPr="00A97F11">
              <w:rPr>
                <w:sz w:val="13"/>
                <w:szCs w:val="13"/>
              </w:rPr>
              <w:t>–</w:t>
            </w:r>
          </w:p>
        </w:tc>
        <w:tc>
          <w:tcPr>
            <w:tcW w:w="804" w:type="dxa"/>
            <w:tcMar>
              <w:left w:w="72" w:type="dxa"/>
              <w:right w:w="72" w:type="dxa"/>
            </w:tcMar>
          </w:tcPr>
          <w:p w14:paraId="3F59FD06" w14:textId="77777777" w:rsidR="0081652D" w:rsidRPr="00A97F11" w:rsidRDefault="0081652D" w:rsidP="00D46588">
            <w:pPr>
              <w:pStyle w:val="TableText"/>
              <w:jc w:val="right"/>
              <w:rPr>
                <w:sz w:val="13"/>
                <w:szCs w:val="13"/>
              </w:rPr>
            </w:pPr>
            <w:r w:rsidRPr="00A97F11">
              <w:rPr>
                <w:sz w:val="13"/>
                <w:szCs w:val="13"/>
              </w:rPr>
              <w:t>–</w:t>
            </w:r>
          </w:p>
        </w:tc>
        <w:tc>
          <w:tcPr>
            <w:tcW w:w="456" w:type="dxa"/>
            <w:tcMar>
              <w:left w:w="72" w:type="dxa"/>
              <w:right w:w="72" w:type="dxa"/>
            </w:tcMar>
          </w:tcPr>
          <w:p w14:paraId="7A4CB6F4" w14:textId="77777777" w:rsidR="0081652D" w:rsidRPr="00A97F11" w:rsidRDefault="0081652D" w:rsidP="00D46588">
            <w:pPr>
              <w:pStyle w:val="TableText"/>
              <w:jc w:val="right"/>
              <w:rPr>
                <w:sz w:val="13"/>
                <w:szCs w:val="13"/>
              </w:rPr>
            </w:pPr>
            <w:r w:rsidRPr="00A97F11">
              <w:rPr>
                <w:sz w:val="13"/>
                <w:szCs w:val="13"/>
              </w:rPr>
              <w:t>143</w:t>
            </w:r>
          </w:p>
        </w:tc>
        <w:tc>
          <w:tcPr>
            <w:tcW w:w="630" w:type="dxa"/>
            <w:tcMar>
              <w:left w:w="72" w:type="dxa"/>
              <w:right w:w="72" w:type="dxa"/>
            </w:tcMar>
          </w:tcPr>
          <w:p w14:paraId="6C139E6E" w14:textId="77777777" w:rsidR="0081652D" w:rsidRPr="00A97F11" w:rsidRDefault="0081652D" w:rsidP="00D46588">
            <w:pPr>
              <w:pStyle w:val="TableText"/>
              <w:jc w:val="right"/>
              <w:rPr>
                <w:sz w:val="13"/>
                <w:szCs w:val="13"/>
              </w:rPr>
            </w:pPr>
            <w:r w:rsidRPr="00A97F11">
              <w:rPr>
                <w:sz w:val="13"/>
                <w:szCs w:val="13"/>
              </w:rPr>
              <w:t>1475</w:t>
            </w:r>
          </w:p>
        </w:tc>
        <w:tc>
          <w:tcPr>
            <w:tcW w:w="709" w:type="dxa"/>
            <w:tcMar>
              <w:left w:w="72" w:type="dxa"/>
              <w:right w:w="72" w:type="dxa"/>
            </w:tcMar>
          </w:tcPr>
          <w:p w14:paraId="47B1E276" w14:textId="77777777" w:rsidR="0081652D" w:rsidRPr="00A97F11" w:rsidRDefault="0081652D" w:rsidP="0081652D">
            <w:pPr>
              <w:pStyle w:val="TableText"/>
              <w:jc w:val="right"/>
              <w:rPr>
                <w:sz w:val="13"/>
                <w:szCs w:val="13"/>
              </w:rPr>
            </w:pPr>
            <w:r w:rsidRPr="00A97F11">
              <w:rPr>
                <w:sz w:val="13"/>
                <w:szCs w:val="13"/>
              </w:rPr>
              <w:t>51.3 (44.0, 58.6)</w:t>
            </w:r>
          </w:p>
        </w:tc>
        <w:tc>
          <w:tcPr>
            <w:tcW w:w="371" w:type="dxa"/>
            <w:tcMar>
              <w:left w:w="72" w:type="dxa"/>
              <w:right w:w="72" w:type="dxa"/>
            </w:tcMar>
          </w:tcPr>
          <w:p w14:paraId="0E49B67E" w14:textId="77777777" w:rsidR="0081652D" w:rsidRPr="00A97F11" w:rsidRDefault="0081652D" w:rsidP="00D46588">
            <w:pPr>
              <w:pStyle w:val="TableText"/>
              <w:jc w:val="right"/>
              <w:rPr>
                <w:sz w:val="13"/>
                <w:szCs w:val="13"/>
              </w:rPr>
            </w:pPr>
            <w:r w:rsidRPr="00A97F11">
              <w:rPr>
                <w:sz w:val="13"/>
                <w:szCs w:val="13"/>
              </w:rPr>
              <w:t>111</w:t>
            </w:r>
          </w:p>
        </w:tc>
        <w:tc>
          <w:tcPr>
            <w:tcW w:w="630" w:type="dxa"/>
            <w:tcMar>
              <w:left w:w="72" w:type="dxa"/>
              <w:right w:w="72" w:type="dxa"/>
            </w:tcMar>
          </w:tcPr>
          <w:p w14:paraId="3CEAA949" w14:textId="77777777" w:rsidR="0081652D" w:rsidRPr="00A97F11" w:rsidRDefault="0081652D" w:rsidP="00D46588">
            <w:pPr>
              <w:pStyle w:val="TableText"/>
              <w:jc w:val="right"/>
              <w:rPr>
                <w:sz w:val="13"/>
                <w:szCs w:val="13"/>
              </w:rPr>
            </w:pPr>
            <w:r w:rsidRPr="00A97F11">
              <w:rPr>
                <w:sz w:val="13"/>
                <w:szCs w:val="13"/>
              </w:rPr>
              <w:t>1362</w:t>
            </w:r>
          </w:p>
        </w:tc>
        <w:tc>
          <w:tcPr>
            <w:tcW w:w="794" w:type="dxa"/>
            <w:tcMar>
              <w:left w:w="72" w:type="dxa"/>
              <w:right w:w="72" w:type="dxa"/>
            </w:tcMar>
          </w:tcPr>
          <w:p w14:paraId="116D2120" w14:textId="77777777" w:rsidR="0081652D" w:rsidRPr="00A97F11" w:rsidRDefault="0081652D" w:rsidP="0081652D">
            <w:pPr>
              <w:pStyle w:val="TableText"/>
              <w:jc w:val="right"/>
              <w:rPr>
                <w:sz w:val="13"/>
                <w:szCs w:val="13"/>
              </w:rPr>
            </w:pPr>
            <w:r w:rsidRPr="00A97F11">
              <w:rPr>
                <w:sz w:val="13"/>
                <w:szCs w:val="13"/>
              </w:rPr>
              <w:t>47.4 (40.1, 54.7)</w:t>
            </w:r>
          </w:p>
        </w:tc>
        <w:tc>
          <w:tcPr>
            <w:tcW w:w="466" w:type="dxa"/>
            <w:tcMar>
              <w:left w:w="72" w:type="dxa"/>
              <w:right w:w="72" w:type="dxa"/>
            </w:tcMar>
          </w:tcPr>
          <w:p w14:paraId="229C86AB"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69E710E1" w14:textId="77777777" w:rsidR="0081652D" w:rsidRPr="00A97F11" w:rsidRDefault="0081652D" w:rsidP="00D46588">
            <w:pPr>
              <w:pStyle w:val="TableText"/>
              <w:jc w:val="right"/>
              <w:rPr>
                <w:sz w:val="13"/>
                <w:szCs w:val="13"/>
              </w:rPr>
            </w:pPr>
            <w:r w:rsidRPr="00A97F11">
              <w:rPr>
                <w:sz w:val="13"/>
                <w:szCs w:val="13"/>
              </w:rPr>
              <w:t>–</w:t>
            </w:r>
          </w:p>
        </w:tc>
        <w:tc>
          <w:tcPr>
            <w:tcW w:w="698" w:type="dxa"/>
            <w:tcMar>
              <w:left w:w="72" w:type="dxa"/>
              <w:right w:w="72" w:type="dxa"/>
            </w:tcMar>
          </w:tcPr>
          <w:p w14:paraId="607F81DF" w14:textId="77777777" w:rsidR="0081652D" w:rsidRPr="00A97F11" w:rsidRDefault="0081652D" w:rsidP="00D46588">
            <w:pPr>
              <w:pStyle w:val="TableText"/>
              <w:jc w:val="right"/>
              <w:rPr>
                <w:sz w:val="13"/>
                <w:szCs w:val="13"/>
              </w:rPr>
            </w:pPr>
            <w:r w:rsidRPr="00A97F11">
              <w:rPr>
                <w:sz w:val="13"/>
                <w:szCs w:val="13"/>
              </w:rPr>
              <w:t>–</w:t>
            </w:r>
          </w:p>
        </w:tc>
        <w:tc>
          <w:tcPr>
            <w:tcW w:w="472" w:type="dxa"/>
            <w:tcMar>
              <w:left w:w="72" w:type="dxa"/>
              <w:right w:w="72" w:type="dxa"/>
            </w:tcMar>
          </w:tcPr>
          <w:p w14:paraId="16A624B3" w14:textId="77777777" w:rsidR="0081652D" w:rsidRPr="00A97F11" w:rsidRDefault="0081652D" w:rsidP="00D46588">
            <w:pPr>
              <w:pStyle w:val="TableText"/>
              <w:jc w:val="right"/>
              <w:rPr>
                <w:sz w:val="13"/>
                <w:szCs w:val="13"/>
              </w:rPr>
            </w:pPr>
            <w:r w:rsidRPr="00A97F11">
              <w:rPr>
                <w:sz w:val="13"/>
                <w:szCs w:val="13"/>
              </w:rPr>
              <w:t>231</w:t>
            </w:r>
          </w:p>
        </w:tc>
        <w:tc>
          <w:tcPr>
            <w:tcW w:w="630" w:type="dxa"/>
            <w:tcMar>
              <w:left w:w="72" w:type="dxa"/>
              <w:right w:w="72" w:type="dxa"/>
            </w:tcMar>
          </w:tcPr>
          <w:p w14:paraId="7EDAB4F3" w14:textId="77777777" w:rsidR="0081652D" w:rsidRPr="00A97F11" w:rsidRDefault="0081652D" w:rsidP="00D46588">
            <w:pPr>
              <w:pStyle w:val="TableText"/>
              <w:jc w:val="right"/>
              <w:rPr>
                <w:sz w:val="13"/>
                <w:szCs w:val="13"/>
              </w:rPr>
            </w:pPr>
            <w:r w:rsidRPr="00A97F11">
              <w:rPr>
                <w:sz w:val="13"/>
                <w:szCs w:val="13"/>
              </w:rPr>
              <w:t>3280</w:t>
            </w:r>
          </w:p>
        </w:tc>
        <w:tc>
          <w:tcPr>
            <w:tcW w:w="693" w:type="dxa"/>
            <w:tcMar>
              <w:left w:w="72" w:type="dxa"/>
              <w:right w:w="72" w:type="dxa"/>
            </w:tcMar>
          </w:tcPr>
          <w:p w14:paraId="275CCAE3" w14:textId="77777777" w:rsidR="0081652D" w:rsidRPr="00A97F11" w:rsidRDefault="0081652D" w:rsidP="0081652D">
            <w:pPr>
              <w:pStyle w:val="TableText"/>
              <w:jc w:val="right"/>
              <w:rPr>
                <w:sz w:val="13"/>
                <w:szCs w:val="13"/>
              </w:rPr>
            </w:pPr>
            <w:r w:rsidRPr="00A97F11">
              <w:rPr>
                <w:sz w:val="13"/>
                <w:szCs w:val="13"/>
              </w:rPr>
              <w:t>66.0 (48.3, 80.2)</w:t>
            </w:r>
          </w:p>
        </w:tc>
        <w:tc>
          <w:tcPr>
            <w:tcW w:w="387" w:type="dxa"/>
            <w:tcMar>
              <w:left w:w="72" w:type="dxa"/>
              <w:right w:w="72" w:type="dxa"/>
            </w:tcMar>
          </w:tcPr>
          <w:p w14:paraId="2DE01CA4" w14:textId="77777777" w:rsidR="0081652D" w:rsidRPr="00A97F11" w:rsidRDefault="0081652D" w:rsidP="00D46588">
            <w:pPr>
              <w:pStyle w:val="TableText"/>
              <w:jc w:val="right"/>
              <w:rPr>
                <w:sz w:val="13"/>
                <w:szCs w:val="13"/>
              </w:rPr>
            </w:pPr>
            <w:r w:rsidRPr="00A97F11">
              <w:rPr>
                <w:sz w:val="13"/>
                <w:szCs w:val="13"/>
              </w:rPr>
              <w:t>124</w:t>
            </w:r>
          </w:p>
        </w:tc>
        <w:tc>
          <w:tcPr>
            <w:tcW w:w="630" w:type="dxa"/>
            <w:tcMar>
              <w:left w:w="72" w:type="dxa"/>
              <w:right w:w="72" w:type="dxa"/>
            </w:tcMar>
          </w:tcPr>
          <w:p w14:paraId="09B77F92" w14:textId="77777777" w:rsidR="0081652D" w:rsidRPr="00A97F11" w:rsidRDefault="0081652D" w:rsidP="00D46588">
            <w:pPr>
              <w:pStyle w:val="TableText"/>
              <w:jc w:val="right"/>
              <w:rPr>
                <w:sz w:val="13"/>
                <w:szCs w:val="13"/>
              </w:rPr>
            </w:pPr>
            <w:r w:rsidRPr="00A97F11">
              <w:rPr>
                <w:sz w:val="13"/>
                <w:szCs w:val="13"/>
              </w:rPr>
              <w:t>1580</w:t>
            </w:r>
          </w:p>
        </w:tc>
        <w:tc>
          <w:tcPr>
            <w:tcW w:w="778" w:type="dxa"/>
            <w:tcMar>
              <w:left w:w="72" w:type="dxa"/>
              <w:right w:w="72" w:type="dxa"/>
            </w:tcMar>
          </w:tcPr>
          <w:p w14:paraId="5FA5BC29" w14:textId="77777777" w:rsidR="0081652D" w:rsidRPr="00A97F11" w:rsidRDefault="0081652D" w:rsidP="0081652D">
            <w:pPr>
              <w:pStyle w:val="TableText"/>
              <w:jc w:val="right"/>
              <w:rPr>
                <w:sz w:val="13"/>
                <w:szCs w:val="13"/>
              </w:rPr>
            </w:pPr>
            <w:r w:rsidRPr="00A97F11">
              <w:rPr>
                <w:sz w:val="13"/>
                <w:szCs w:val="13"/>
              </w:rPr>
              <w:t>31.8 (17.9, 49.9)</w:t>
            </w:r>
          </w:p>
        </w:tc>
      </w:tr>
      <w:tr w:rsidR="00BD41F3" w:rsidRPr="004565F5" w14:paraId="42ED60F6"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7BF7BCBB" w14:textId="77777777" w:rsidR="0081652D" w:rsidRPr="00F9389A" w:rsidRDefault="0081652D" w:rsidP="00D46588">
            <w:pPr>
              <w:pStyle w:val="TableText"/>
              <w:rPr>
                <w:bCs/>
                <w:color w:val="000000" w:themeColor="text1"/>
                <w:szCs w:val="14"/>
              </w:rPr>
            </w:pPr>
            <w:r w:rsidRPr="00F9389A">
              <w:rPr>
                <w:bCs/>
                <w:color w:val="000000" w:themeColor="text1"/>
                <w:szCs w:val="14"/>
              </w:rPr>
              <w:t>Male 38+</w:t>
            </w:r>
          </w:p>
        </w:tc>
        <w:tc>
          <w:tcPr>
            <w:tcW w:w="360" w:type="dxa"/>
            <w:tcMar>
              <w:left w:w="72" w:type="dxa"/>
              <w:right w:w="72" w:type="dxa"/>
            </w:tcMar>
          </w:tcPr>
          <w:p w14:paraId="6A105DD3" w14:textId="77777777" w:rsidR="0081652D" w:rsidRPr="00A97F11" w:rsidRDefault="0081652D" w:rsidP="00D46588">
            <w:pPr>
              <w:pStyle w:val="TableText"/>
              <w:jc w:val="right"/>
              <w:rPr>
                <w:sz w:val="13"/>
                <w:szCs w:val="13"/>
              </w:rPr>
            </w:pPr>
            <w:r w:rsidRPr="00A97F11">
              <w:rPr>
                <w:sz w:val="13"/>
                <w:szCs w:val="13"/>
              </w:rPr>
              <w:t>8</w:t>
            </w:r>
          </w:p>
        </w:tc>
        <w:tc>
          <w:tcPr>
            <w:tcW w:w="630" w:type="dxa"/>
            <w:tcMar>
              <w:left w:w="72" w:type="dxa"/>
              <w:right w:w="72" w:type="dxa"/>
            </w:tcMar>
          </w:tcPr>
          <w:p w14:paraId="10EC464A" w14:textId="77777777" w:rsidR="0081652D" w:rsidRPr="00A97F11" w:rsidRDefault="0081652D" w:rsidP="00D46588">
            <w:pPr>
              <w:pStyle w:val="TableText"/>
              <w:jc w:val="right"/>
              <w:rPr>
                <w:sz w:val="13"/>
                <w:szCs w:val="13"/>
              </w:rPr>
            </w:pPr>
            <w:r w:rsidRPr="00A97F11">
              <w:rPr>
                <w:sz w:val="13"/>
                <w:szCs w:val="13"/>
              </w:rPr>
              <w:t>59</w:t>
            </w:r>
          </w:p>
        </w:tc>
        <w:tc>
          <w:tcPr>
            <w:tcW w:w="804" w:type="dxa"/>
            <w:tcMar>
              <w:left w:w="72" w:type="dxa"/>
              <w:right w:w="72" w:type="dxa"/>
            </w:tcMar>
          </w:tcPr>
          <w:p w14:paraId="5351482B" w14:textId="77777777" w:rsidR="0081652D" w:rsidRPr="00A97F11" w:rsidRDefault="0081652D" w:rsidP="00D46588">
            <w:pPr>
              <w:pStyle w:val="TableText"/>
              <w:jc w:val="right"/>
              <w:rPr>
                <w:sz w:val="13"/>
                <w:szCs w:val="13"/>
              </w:rPr>
            </w:pPr>
            <w:r w:rsidRPr="00A97F11">
              <w:rPr>
                <w:sz w:val="13"/>
                <w:szCs w:val="13"/>
              </w:rPr>
              <w:t>2.9 (1.2, 7.0)</w:t>
            </w:r>
          </w:p>
        </w:tc>
        <w:tc>
          <w:tcPr>
            <w:tcW w:w="456" w:type="dxa"/>
            <w:tcMar>
              <w:left w:w="72" w:type="dxa"/>
              <w:right w:w="72" w:type="dxa"/>
            </w:tcMar>
          </w:tcPr>
          <w:p w14:paraId="704A77CE" w14:textId="77777777" w:rsidR="0081652D" w:rsidRPr="00A97F11" w:rsidRDefault="0081652D" w:rsidP="00D46588">
            <w:pPr>
              <w:pStyle w:val="TableText"/>
              <w:jc w:val="right"/>
              <w:rPr>
                <w:sz w:val="13"/>
                <w:szCs w:val="13"/>
              </w:rPr>
            </w:pPr>
            <w:r w:rsidRPr="00A97F11">
              <w:rPr>
                <w:sz w:val="13"/>
                <w:szCs w:val="13"/>
              </w:rPr>
              <w:t>215</w:t>
            </w:r>
          </w:p>
        </w:tc>
        <w:tc>
          <w:tcPr>
            <w:tcW w:w="630" w:type="dxa"/>
            <w:tcMar>
              <w:left w:w="72" w:type="dxa"/>
              <w:right w:w="72" w:type="dxa"/>
            </w:tcMar>
          </w:tcPr>
          <w:p w14:paraId="73E30009" w14:textId="77777777" w:rsidR="0081652D" w:rsidRPr="00A97F11" w:rsidRDefault="0081652D" w:rsidP="00D46588">
            <w:pPr>
              <w:pStyle w:val="TableText"/>
              <w:jc w:val="right"/>
              <w:rPr>
                <w:sz w:val="13"/>
                <w:szCs w:val="13"/>
              </w:rPr>
            </w:pPr>
            <w:r w:rsidRPr="00A97F11">
              <w:rPr>
                <w:sz w:val="13"/>
                <w:szCs w:val="13"/>
              </w:rPr>
              <w:t>1058</w:t>
            </w:r>
          </w:p>
        </w:tc>
        <w:tc>
          <w:tcPr>
            <w:tcW w:w="709" w:type="dxa"/>
            <w:tcMar>
              <w:left w:w="72" w:type="dxa"/>
              <w:right w:w="72" w:type="dxa"/>
            </w:tcMar>
          </w:tcPr>
          <w:p w14:paraId="6685502E" w14:textId="77777777" w:rsidR="0081652D" w:rsidRPr="00A97F11" w:rsidRDefault="0081652D" w:rsidP="0081652D">
            <w:pPr>
              <w:pStyle w:val="TableText"/>
              <w:jc w:val="right"/>
              <w:rPr>
                <w:sz w:val="13"/>
                <w:szCs w:val="13"/>
              </w:rPr>
            </w:pPr>
            <w:r w:rsidRPr="00A97F11">
              <w:rPr>
                <w:sz w:val="13"/>
                <w:szCs w:val="13"/>
              </w:rPr>
              <w:t>51.9 (46.1, 57.6)</w:t>
            </w:r>
          </w:p>
        </w:tc>
        <w:tc>
          <w:tcPr>
            <w:tcW w:w="371" w:type="dxa"/>
            <w:tcMar>
              <w:left w:w="72" w:type="dxa"/>
              <w:right w:w="72" w:type="dxa"/>
            </w:tcMar>
          </w:tcPr>
          <w:p w14:paraId="2361D8BE" w14:textId="77777777" w:rsidR="0081652D" w:rsidRPr="00A97F11" w:rsidRDefault="0081652D" w:rsidP="00D46588">
            <w:pPr>
              <w:pStyle w:val="TableText"/>
              <w:jc w:val="right"/>
              <w:rPr>
                <w:sz w:val="13"/>
                <w:szCs w:val="13"/>
              </w:rPr>
            </w:pPr>
            <w:r w:rsidRPr="00A97F11">
              <w:rPr>
                <w:sz w:val="13"/>
                <w:szCs w:val="13"/>
              </w:rPr>
              <w:t>165</w:t>
            </w:r>
          </w:p>
        </w:tc>
        <w:tc>
          <w:tcPr>
            <w:tcW w:w="630" w:type="dxa"/>
            <w:tcMar>
              <w:left w:w="72" w:type="dxa"/>
              <w:right w:w="72" w:type="dxa"/>
            </w:tcMar>
          </w:tcPr>
          <w:p w14:paraId="7BC4B74E" w14:textId="77777777" w:rsidR="0081652D" w:rsidRPr="00A97F11" w:rsidRDefault="0081652D" w:rsidP="00D46588">
            <w:pPr>
              <w:pStyle w:val="TableText"/>
              <w:jc w:val="right"/>
              <w:rPr>
                <w:sz w:val="13"/>
                <w:szCs w:val="13"/>
              </w:rPr>
            </w:pPr>
            <w:r w:rsidRPr="00A97F11">
              <w:rPr>
                <w:sz w:val="13"/>
                <w:szCs w:val="13"/>
              </w:rPr>
              <w:t>839</w:t>
            </w:r>
          </w:p>
        </w:tc>
        <w:tc>
          <w:tcPr>
            <w:tcW w:w="794" w:type="dxa"/>
            <w:tcMar>
              <w:left w:w="72" w:type="dxa"/>
              <w:right w:w="72" w:type="dxa"/>
            </w:tcMar>
          </w:tcPr>
          <w:p w14:paraId="44B913B6" w14:textId="77777777" w:rsidR="0081652D" w:rsidRPr="00A97F11" w:rsidRDefault="0081652D" w:rsidP="0081652D">
            <w:pPr>
              <w:pStyle w:val="TableText"/>
              <w:jc w:val="right"/>
              <w:rPr>
                <w:sz w:val="13"/>
                <w:szCs w:val="13"/>
              </w:rPr>
            </w:pPr>
            <w:r w:rsidRPr="00A97F11">
              <w:rPr>
                <w:sz w:val="13"/>
                <w:szCs w:val="13"/>
              </w:rPr>
              <w:t>41.1 (35.7, 46.8)</w:t>
            </w:r>
          </w:p>
        </w:tc>
        <w:tc>
          <w:tcPr>
            <w:tcW w:w="466" w:type="dxa"/>
            <w:tcMar>
              <w:left w:w="72" w:type="dxa"/>
              <w:right w:w="72" w:type="dxa"/>
            </w:tcMar>
          </w:tcPr>
          <w:p w14:paraId="0B360802" w14:textId="77777777" w:rsidR="0081652D" w:rsidRPr="00A97F11" w:rsidRDefault="0081652D" w:rsidP="00D46588">
            <w:pPr>
              <w:pStyle w:val="TableText"/>
              <w:jc w:val="right"/>
              <w:rPr>
                <w:sz w:val="13"/>
                <w:szCs w:val="13"/>
              </w:rPr>
            </w:pPr>
            <w:r w:rsidRPr="00A97F11">
              <w:rPr>
                <w:sz w:val="13"/>
                <w:szCs w:val="13"/>
              </w:rPr>
              <w:t>9</w:t>
            </w:r>
          </w:p>
        </w:tc>
        <w:tc>
          <w:tcPr>
            <w:tcW w:w="630" w:type="dxa"/>
            <w:tcMar>
              <w:left w:w="72" w:type="dxa"/>
              <w:right w:w="72" w:type="dxa"/>
            </w:tcMar>
          </w:tcPr>
          <w:p w14:paraId="32DDF4DE" w14:textId="77777777" w:rsidR="0081652D" w:rsidRPr="00A97F11" w:rsidRDefault="0081652D" w:rsidP="00D46588">
            <w:pPr>
              <w:pStyle w:val="TableText"/>
              <w:jc w:val="right"/>
              <w:rPr>
                <w:sz w:val="13"/>
                <w:szCs w:val="13"/>
              </w:rPr>
            </w:pPr>
            <w:r w:rsidRPr="00A97F11">
              <w:rPr>
                <w:sz w:val="13"/>
                <w:szCs w:val="13"/>
              </w:rPr>
              <w:t>47</w:t>
            </w:r>
          </w:p>
        </w:tc>
        <w:tc>
          <w:tcPr>
            <w:tcW w:w="698" w:type="dxa"/>
            <w:tcMar>
              <w:left w:w="72" w:type="dxa"/>
              <w:right w:w="72" w:type="dxa"/>
            </w:tcMar>
          </w:tcPr>
          <w:p w14:paraId="0807AEB6" w14:textId="77777777" w:rsidR="0081652D" w:rsidRPr="00A97F11" w:rsidRDefault="0081652D" w:rsidP="0081652D">
            <w:pPr>
              <w:pStyle w:val="TableText"/>
              <w:jc w:val="right"/>
              <w:rPr>
                <w:sz w:val="13"/>
                <w:szCs w:val="13"/>
              </w:rPr>
            </w:pPr>
            <w:r w:rsidRPr="00A97F11">
              <w:rPr>
                <w:sz w:val="13"/>
                <w:szCs w:val="13"/>
              </w:rPr>
              <w:t>1.9 (0.8, 4.3)</w:t>
            </w:r>
          </w:p>
        </w:tc>
        <w:tc>
          <w:tcPr>
            <w:tcW w:w="472" w:type="dxa"/>
            <w:tcMar>
              <w:left w:w="72" w:type="dxa"/>
              <w:right w:w="72" w:type="dxa"/>
            </w:tcMar>
          </w:tcPr>
          <w:p w14:paraId="29C6293A" w14:textId="77777777" w:rsidR="0081652D" w:rsidRPr="00A97F11" w:rsidRDefault="0081652D" w:rsidP="00D46588">
            <w:pPr>
              <w:pStyle w:val="TableText"/>
              <w:jc w:val="right"/>
              <w:rPr>
                <w:sz w:val="13"/>
                <w:szCs w:val="13"/>
              </w:rPr>
            </w:pPr>
            <w:r w:rsidRPr="00A97F11">
              <w:rPr>
                <w:sz w:val="13"/>
                <w:szCs w:val="13"/>
              </w:rPr>
              <w:t>375</w:t>
            </w:r>
          </w:p>
        </w:tc>
        <w:tc>
          <w:tcPr>
            <w:tcW w:w="630" w:type="dxa"/>
            <w:tcMar>
              <w:left w:w="72" w:type="dxa"/>
              <w:right w:w="72" w:type="dxa"/>
            </w:tcMar>
          </w:tcPr>
          <w:p w14:paraId="322856E2" w14:textId="77777777" w:rsidR="0081652D" w:rsidRPr="00A97F11" w:rsidRDefault="0081652D" w:rsidP="00D46588">
            <w:pPr>
              <w:pStyle w:val="TableText"/>
              <w:jc w:val="right"/>
              <w:rPr>
                <w:sz w:val="13"/>
                <w:szCs w:val="13"/>
              </w:rPr>
            </w:pPr>
            <w:r w:rsidRPr="00A97F11">
              <w:rPr>
                <w:sz w:val="13"/>
                <w:szCs w:val="13"/>
              </w:rPr>
              <w:t>1380</w:t>
            </w:r>
          </w:p>
        </w:tc>
        <w:tc>
          <w:tcPr>
            <w:tcW w:w="693" w:type="dxa"/>
            <w:tcMar>
              <w:left w:w="72" w:type="dxa"/>
              <w:right w:w="72" w:type="dxa"/>
            </w:tcMar>
          </w:tcPr>
          <w:p w14:paraId="5099FA83" w14:textId="77777777" w:rsidR="0081652D" w:rsidRPr="00A97F11" w:rsidRDefault="0081652D" w:rsidP="0081652D">
            <w:pPr>
              <w:pStyle w:val="TableText"/>
              <w:jc w:val="right"/>
              <w:rPr>
                <w:sz w:val="13"/>
                <w:szCs w:val="13"/>
              </w:rPr>
            </w:pPr>
            <w:r w:rsidRPr="00A97F11">
              <w:rPr>
                <w:sz w:val="13"/>
                <w:szCs w:val="13"/>
              </w:rPr>
              <w:t>55.1 (49.2, 60.8)</w:t>
            </w:r>
          </w:p>
        </w:tc>
        <w:tc>
          <w:tcPr>
            <w:tcW w:w="387" w:type="dxa"/>
            <w:tcMar>
              <w:left w:w="72" w:type="dxa"/>
              <w:right w:w="72" w:type="dxa"/>
            </w:tcMar>
          </w:tcPr>
          <w:p w14:paraId="3E2C4856" w14:textId="77777777" w:rsidR="0081652D" w:rsidRPr="00A97F11" w:rsidRDefault="0081652D" w:rsidP="00D46588">
            <w:pPr>
              <w:pStyle w:val="TableText"/>
              <w:jc w:val="right"/>
              <w:rPr>
                <w:sz w:val="13"/>
                <w:szCs w:val="13"/>
              </w:rPr>
            </w:pPr>
            <w:r w:rsidRPr="00A97F11">
              <w:rPr>
                <w:sz w:val="13"/>
                <w:szCs w:val="13"/>
              </w:rPr>
              <w:t>228</w:t>
            </w:r>
          </w:p>
        </w:tc>
        <w:tc>
          <w:tcPr>
            <w:tcW w:w="630" w:type="dxa"/>
            <w:tcMar>
              <w:left w:w="72" w:type="dxa"/>
              <w:right w:w="72" w:type="dxa"/>
            </w:tcMar>
          </w:tcPr>
          <w:p w14:paraId="43DFCF6D" w14:textId="77777777" w:rsidR="0081652D" w:rsidRPr="00A97F11" w:rsidRDefault="0081652D" w:rsidP="00D46588">
            <w:pPr>
              <w:pStyle w:val="TableText"/>
              <w:jc w:val="right"/>
              <w:rPr>
                <w:sz w:val="13"/>
                <w:szCs w:val="13"/>
              </w:rPr>
            </w:pPr>
            <w:r w:rsidRPr="00A97F11">
              <w:rPr>
                <w:sz w:val="13"/>
                <w:szCs w:val="13"/>
              </w:rPr>
              <w:t>1032</w:t>
            </w:r>
          </w:p>
        </w:tc>
        <w:tc>
          <w:tcPr>
            <w:tcW w:w="778" w:type="dxa"/>
            <w:tcMar>
              <w:left w:w="72" w:type="dxa"/>
              <w:right w:w="72" w:type="dxa"/>
            </w:tcMar>
          </w:tcPr>
          <w:p w14:paraId="7C256DAC" w14:textId="77777777" w:rsidR="0081652D" w:rsidRPr="00A97F11" w:rsidRDefault="0081652D" w:rsidP="0081652D">
            <w:pPr>
              <w:pStyle w:val="TableText"/>
              <w:jc w:val="right"/>
              <w:rPr>
                <w:sz w:val="13"/>
                <w:szCs w:val="13"/>
              </w:rPr>
            </w:pPr>
            <w:r w:rsidRPr="00A97F11">
              <w:rPr>
                <w:sz w:val="13"/>
                <w:szCs w:val="13"/>
              </w:rPr>
              <w:t>41.2 (35.4, 47.3)</w:t>
            </w:r>
          </w:p>
        </w:tc>
      </w:tr>
      <w:tr w:rsidR="00A97F11" w:rsidRPr="004565F5" w14:paraId="4CBD2574" w14:textId="77777777" w:rsidTr="001F3BA4">
        <w:trPr>
          <w:cantSplit/>
        </w:trPr>
        <w:tc>
          <w:tcPr>
            <w:tcW w:w="738" w:type="dxa"/>
          </w:tcPr>
          <w:p w14:paraId="27AD926A" w14:textId="77777777" w:rsidR="0081652D" w:rsidRPr="00F9389A" w:rsidRDefault="0081652D" w:rsidP="00D46588">
            <w:pPr>
              <w:pStyle w:val="TableText"/>
              <w:rPr>
                <w:bCs/>
                <w:color w:val="000000" w:themeColor="text1"/>
                <w:szCs w:val="14"/>
              </w:rPr>
            </w:pPr>
            <w:r w:rsidRPr="00F9389A">
              <w:rPr>
                <w:bCs/>
                <w:color w:val="000000" w:themeColor="text1"/>
                <w:szCs w:val="14"/>
              </w:rPr>
              <w:t>Female 18</w:t>
            </w:r>
            <w:r>
              <w:rPr>
                <w:bCs/>
                <w:color w:val="000000" w:themeColor="text1"/>
                <w:szCs w:val="14"/>
              </w:rPr>
              <w:t>–</w:t>
            </w:r>
            <w:r w:rsidRPr="00F9389A">
              <w:rPr>
                <w:bCs/>
                <w:color w:val="000000" w:themeColor="text1"/>
                <w:szCs w:val="14"/>
              </w:rPr>
              <w:t>37</w:t>
            </w:r>
          </w:p>
        </w:tc>
        <w:tc>
          <w:tcPr>
            <w:tcW w:w="360" w:type="dxa"/>
            <w:tcMar>
              <w:left w:w="72" w:type="dxa"/>
              <w:right w:w="72" w:type="dxa"/>
            </w:tcMar>
          </w:tcPr>
          <w:p w14:paraId="48D6A634" w14:textId="77777777" w:rsidR="0081652D" w:rsidRPr="00A97F11" w:rsidRDefault="0081652D" w:rsidP="00D46588">
            <w:pPr>
              <w:pStyle w:val="TableText"/>
              <w:jc w:val="right"/>
              <w:rPr>
                <w:sz w:val="13"/>
                <w:szCs w:val="13"/>
              </w:rPr>
            </w:pPr>
            <w:r w:rsidRPr="00A97F11">
              <w:rPr>
                <w:sz w:val="13"/>
                <w:szCs w:val="13"/>
              </w:rPr>
              <w:t>5</w:t>
            </w:r>
          </w:p>
        </w:tc>
        <w:tc>
          <w:tcPr>
            <w:tcW w:w="630" w:type="dxa"/>
            <w:tcMar>
              <w:left w:w="72" w:type="dxa"/>
              <w:right w:w="72" w:type="dxa"/>
            </w:tcMar>
          </w:tcPr>
          <w:p w14:paraId="6DB2ED7B" w14:textId="77777777" w:rsidR="0081652D" w:rsidRPr="00A97F11" w:rsidRDefault="0081652D" w:rsidP="00D46588">
            <w:pPr>
              <w:pStyle w:val="TableText"/>
              <w:jc w:val="right"/>
              <w:rPr>
                <w:sz w:val="13"/>
                <w:szCs w:val="13"/>
              </w:rPr>
            </w:pPr>
            <w:r w:rsidRPr="00A97F11">
              <w:rPr>
                <w:sz w:val="13"/>
                <w:szCs w:val="13"/>
              </w:rPr>
              <w:t>33</w:t>
            </w:r>
          </w:p>
        </w:tc>
        <w:tc>
          <w:tcPr>
            <w:tcW w:w="804" w:type="dxa"/>
            <w:tcMar>
              <w:left w:w="72" w:type="dxa"/>
              <w:right w:w="72" w:type="dxa"/>
            </w:tcMar>
          </w:tcPr>
          <w:p w14:paraId="044D8AAA" w14:textId="77777777" w:rsidR="0081652D" w:rsidRPr="00A97F11" w:rsidRDefault="0081652D" w:rsidP="00D46588">
            <w:pPr>
              <w:pStyle w:val="TableText"/>
              <w:jc w:val="right"/>
              <w:rPr>
                <w:sz w:val="13"/>
                <w:szCs w:val="13"/>
              </w:rPr>
            </w:pPr>
            <w:r w:rsidRPr="00A97F11">
              <w:rPr>
                <w:sz w:val="13"/>
                <w:szCs w:val="13"/>
              </w:rPr>
              <w:t>4.3 (1.8, 9.6)</w:t>
            </w:r>
          </w:p>
        </w:tc>
        <w:tc>
          <w:tcPr>
            <w:tcW w:w="456" w:type="dxa"/>
            <w:tcMar>
              <w:left w:w="72" w:type="dxa"/>
              <w:right w:w="72" w:type="dxa"/>
            </w:tcMar>
          </w:tcPr>
          <w:p w14:paraId="2DCD3C5A" w14:textId="77777777" w:rsidR="0081652D" w:rsidRPr="00A97F11" w:rsidRDefault="0081652D" w:rsidP="00D46588">
            <w:pPr>
              <w:pStyle w:val="TableText"/>
              <w:jc w:val="right"/>
              <w:rPr>
                <w:sz w:val="13"/>
                <w:szCs w:val="13"/>
              </w:rPr>
            </w:pPr>
            <w:r w:rsidRPr="00A97F11">
              <w:rPr>
                <w:sz w:val="13"/>
                <w:szCs w:val="13"/>
              </w:rPr>
              <w:t>71</w:t>
            </w:r>
          </w:p>
        </w:tc>
        <w:tc>
          <w:tcPr>
            <w:tcW w:w="630" w:type="dxa"/>
            <w:tcMar>
              <w:left w:w="72" w:type="dxa"/>
              <w:right w:w="72" w:type="dxa"/>
            </w:tcMar>
          </w:tcPr>
          <w:p w14:paraId="3591230F" w14:textId="77777777" w:rsidR="0081652D" w:rsidRPr="00A97F11" w:rsidRDefault="0081652D" w:rsidP="00D46588">
            <w:pPr>
              <w:pStyle w:val="TableText"/>
              <w:jc w:val="right"/>
              <w:rPr>
                <w:sz w:val="13"/>
                <w:szCs w:val="13"/>
              </w:rPr>
            </w:pPr>
            <w:r w:rsidRPr="00A97F11">
              <w:rPr>
                <w:sz w:val="13"/>
                <w:szCs w:val="13"/>
              </w:rPr>
              <w:t>430</w:t>
            </w:r>
          </w:p>
        </w:tc>
        <w:tc>
          <w:tcPr>
            <w:tcW w:w="709" w:type="dxa"/>
            <w:tcMar>
              <w:left w:w="72" w:type="dxa"/>
              <w:right w:w="72" w:type="dxa"/>
            </w:tcMar>
          </w:tcPr>
          <w:p w14:paraId="1BFAD28A" w14:textId="77777777" w:rsidR="0081652D" w:rsidRPr="00A97F11" w:rsidRDefault="0081652D" w:rsidP="0081652D">
            <w:pPr>
              <w:pStyle w:val="TableText"/>
              <w:jc w:val="right"/>
              <w:rPr>
                <w:sz w:val="13"/>
                <w:szCs w:val="13"/>
              </w:rPr>
            </w:pPr>
            <w:r w:rsidRPr="00A97F11">
              <w:rPr>
                <w:sz w:val="13"/>
                <w:szCs w:val="13"/>
              </w:rPr>
              <w:t>55.7 (45.1, 65.8)</w:t>
            </w:r>
          </w:p>
        </w:tc>
        <w:tc>
          <w:tcPr>
            <w:tcW w:w="371" w:type="dxa"/>
            <w:tcMar>
              <w:left w:w="72" w:type="dxa"/>
              <w:right w:w="72" w:type="dxa"/>
            </w:tcMar>
          </w:tcPr>
          <w:p w14:paraId="006BB4AE" w14:textId="77777777" w:rsidR="0081652D" w:rsidRPr="00A97F11" w:rsidRDefault="0081652D" w:rsidP="00D46588">
            <w:pPr>
              <w:pStyle w:val="TableText"/>
              <w:jc w:val="right"/>
              <w:rPr>
                <w:sz w:val="13"/>
                <w:szCs w:val="13"/>
              </w:rPr>
            </w:pPr>
            <w:r w:rsidRPr="00A97F11">
              <w:rPr>
                <w:sz w:val="13"/>
                <w:szCs w:val="13"/>
              </w:rPr>
              <w:t>38</w:t>
            </w:r>
          </w:p>
        </w:tc>
        <w:tc>
          <w:tcPr>
            <w:tcW w:w="630" w:type="dxa"/>
            <w:tcMar>
              <w:left w:w="72" w:type="dxa"/>
              <w:right w:w="72" w:type="dxa"/>
            </w:tcMar>
          </w:tcPr>
          <w:p w14:paraId="3EFF21B2" w14:textId="77777777" w:rsidR="0081652D" w:rsidRPr="00A97F11" w:rsidRDefault="0081652D" w:rsidP="00D46588">
            <w:pPr>
              <w:pStyle w:val="TableText"/>
              <w:jc w:val="right"/>
              <w:rPr>
                <w:sz w:val="13"/>
                <w:szCs w:val="13"/>
              </w:rPr>
            </w:pPr>
            <w:r w:rsidRPr="00A97F11">
              <w:rPr>
                <w:sz w:val="13"/>
                <w:szCs w:val="13"/>
              </w:rPr>
              <w:t>289</w:t>
            </w:r>
          </w:p>
        </w:tc>
        <w:tc>
          <w:tcPr>
            <w:tcW w:w="794" w:type="dxa"/>
            <w:tcMar>
              <w:left w:w="72" w:type="dxa"/>
              <w:right w:w="72" w:type="dxa"/>
            </w:tcMar>
          </w:tcPr>
          <w:p w14:paraId="5CBC8321" w14:textId="77777777" w:rsidR="0081652D" w:rsidRPr="00A97F11" w:rsidRDefault="0081652D" w:rsidP="0081652D">
            <w:pPr>
              <w:pStyle w:val="TableText"/>
              <w:jc w:val="right"/>
              <w:rPr>
                <w:sz w:val="13"/>
                <w:szCs w:val="13"/>
              </w:rPr>
            </w:pPr>
            <w:r w:rsidRPr="00A97F11">
              <w:rPr>
                <w:sz w:val="13"/>
                <w:szCs w:val="13"/>
              </w:rPr>
              <w:t>37.5 (27.8, 48.4)</w:t>
            </w:r>
          </w:p>
        </w:tc>
        <w:tc>
          <w:tcPr>
            <w:tcW w:w="466" w:type="dxa"/>
            <w:tcMar>
              <w:left w:w="72" w:type="dxa"/>
              <w:right w:w="72" w:type="dxa"/>
            </w:tcMar>
          </w:tcPr>
          <w:p w14:paraId="46FF69A5"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4F84C4EB" w14:textId="77777777" w:rsidR="0081652D" w:rsidRPr="00A97F11" w:rsidRDefault="0081652D" w:rsidP="00D46588">
            <w:pPr>
              <w:pStyle w:val="TableText"/>
              <w:jc w:val="right"/>
              <w:rPr>
                <w:sz w:val="13"/>
                <w:szCs w:val="13"/>
              </w:rPr>
            </w:pPr>
            <w:r w:rsidRPr="00A97F11">
              <w:rPr>
                <w:sz w:val="13"/>
                <w:szCs w:val="13"/>
              </w:rPr>
              <w:t>–</w:t>
            </w:r>
          </w:p>
        </w:tc>
        <w:tc>
          <w:tcPr>
            <w:tcW w:w="698" w:type="dxa"/>
            <w:tcMar>
              <w:left w:w="72" w:type="dxa"/>
              <w:right w:w="72" w:type="dxa"/>
            </w:tcMar>
          </w:tcPr>
          <w:p w14:paraId="33834D61" w14:textId="77777777" w:rsidR="0081652D" w:rsidRPr="00A97F11" w:rsidRDefault="0081652D" w:rsidP="00D46588">
            <w:pPr>
              <w:pStyle w:val="TableText"/>
              <w:jc w:val="right"/>
              <w:rPr>
                <w:sz w:val="13"/>
                <w:szCs w:val="13"/>
              </w:rPr>
            </w:pPr>
            <w:r w:rsidRPr="00A97F11">
              <w:rPr>
                <w:sz w:val="13"/>
                <w:szCs w:val="13"/>
              </w:rPr>
              <w:t>–</w:t>
            </w:r>
          </w:p>
        </w:tc>
        <w:tc>
          <w:tcPr>
            <w:tcW w:w="472" w:type="dxa"/>
            <w:tcMar>
              <w:left w:w="72" w:type="dxa"/>
              <w:right w:w="72" w:type="dxa"/>
            </w:tcMar>
          </w:tcPr>
          <w:p w14:paraId="4F3C4C31" w14:textId="77777777" w:rsidR="0081652D" w:rsidRPr="00A97F11" w:rsidRDefault="0081652D" w:rsidP="00D46588">
            <w:pPr>
              <w:pStyle w:val="TableText"/>
              <w:jc w:val="right"/>
              <w:rPr>
                <w:sz w:val="13"/>
                <w:szCs w:val="13"/>
              </w:rPr>
            </w:pPr>
            <w:r w:rsidRPr="00A97F11">
              <w:rPr>
                <w:sz w:val="13"/>
                <w:szCs w:val="13"/>
              </w:rPr>
              <w:t>162</w:t>
            </w:r>
          </w:p>
        </w:tc>
        <w:tc>
          <w:tcPr>
            <w:tcW w:w="630" w:type="dxa"/>
            <w:tcMar>
              <w:left w:w="72" w:type="dxa"/>
              <w:right w:w="72" w:type="dxa"/>
            </w:tcMar>
          </w:tcPr>
          <w:p w14:paraId="5743D85A" w14:textId="77777777" w:rsidR="0081652D" w:rsidRPr="00A97F11" w:rsidRDefault="0081652D" w:rsidP="00D46588">
            <w:pPr>
              <w:pStyle w:val="TableText"/>
              <w:jc w:val="right"/>
              <w:rPr>
                <w:sz w:val="13"/>
                <w:szCs w:val="13"/>
              </w:rPr>
            </w:pPr>
            <w:r w:rsidRPr="00A97F11">
              <w:rPr>
                <w:sz w:val="13"/>
                <w:szCs w:val="13"/>
              </w:rPr>
              <w:t>548</w:t>
            </w:r>
          </w:p>
        </w:tc>
        <w:tc>
          <w:tcPr>
            <w:tcW w:w="693" w:type="dxa"/>
            <w:tcMar>
              <w:left w:w="72" w:type="dxa"/>
              <w:right w:w="72" w:type="dxa"/>
            </w:tcMar>
          </w:tcPr>
          <w:p w14:paraId="60CFEBC1" w14:textId="77777777" w:rsidR="0081652D" w:rsidRPr="00A97F11" w:rsidRDefault="0081652D" w:rsidP="0081652D">
            <w:pPr>
              <w:pStyle w:val="TableText"/>
              <w:jc w:val="right"/>
              <w:rPr>
                <w:sz w:val="13"/>
                <w:szCs w:val="13"/>
              </w:rPr>
            </w:pPr>
            <w:r w:rsidRPr="00A97F11">
              <w:rPr>
                <w:sz w:val="13"/>
                <w:szCs w:val="13"/>
              </w:rPr>
              <w:t>62.3 (56.1, 68.0)</w:t>
            </w:r>
          </w:p>
        </w:tc>
        <w:tc>
          <w:tcPr>
            <w:tcW w:w="387" w:type="dxa"/>
            <w:tcMar>
              <w:left w:w="72" w:type="dxa"/>
              <w:right w:w="72" w:type="dxa"/>
            </w:tcMar>
          </w:tcPr>
          <w:p w14:paraId="23943D02" w14:textId="77777777" w:rsidR="0081652D" w:rsidRPr="00A97F11" w:rsidRDefault="0081652D" w:rsidP="00D46588">
            <w:pPr>
              <w:pStyle w:val="TableText"/>
              <w:jc w:val="right"/>
              <w:rPr>
                <w:sz w:val="13"/>
                <w:szCs w:val="13"/>
              </w:rPr>
            </w:pPr>
            <w:r w:rsidRPr="00A97F11">
              <w:rPr>
                <w:sz w:val="13"/>
                <w:szCs w:val="13"/>
              </w:rPr>
              <w:t>90</w:t>
            </w:r>
          </w:p>
        </w:tc>
        <w:tc>
          <w:tcPr>
            <w:tcW w:w="630" w:type="dxa"/>
            <w:tcMar>
              <w:left w:w="72" w:type="dxa"/>
              <w:right w:w="72" w:type="dxa"/>
            </w:tcMar>
          </w:tcPr>
          <w:p w14:paraId="08F52CCD" w14:textId="77777777" w:rsidR="0081652D" w:rsidRPr="00A97F11" w:rsidRDefault="0081652D" w:rsidP="00D46588">
            <w:pPr>
              <w:pStyle w:val="TableText"/>
              <w:jc w:val="right"/>
              <w:rPr>
                <w:sz w:val="13"/>
                <w:szCs w:val="13"/>
              </w:rPr>
            </w:pPr>
            <w:r w:rsidRPr="00A97F11">
              <w:rPr>
                <w:sz w:val="13"/>
                <w:szCs w:val="13"/>
              </w:rPr>
              <w:t>316</w:t>
            </w:r>
          </w:p>
        </w:tc>
        <w:tc>
          <w:tcPr>
            <w:tcW w:w="778" w:type="dxa"/>
            <w:tcMar>
              <w:left w:w="72" w:type="dxa"/>
              <w:right w:w="72" w:type="dxa"/>
            </w:tcMar>
          </w:tcPr>
          <w:p w14:paraId="40C47B5B" w14:textId="77777777" w:rsidR="0081652D" w:rsidRPr="00A97F11" w:rsidRDefault="0081652D" w:rsidP="0081652D">
            <w:pPr>
              <w:pStyle w:val="TableText"/>
              <w:jc w:val="right"/>
              <w:rPr>
                <w:sz w:val="13"/>
                <w:szCs w:val="13"/>
              </w:rPr>
            </w:pPr>
            <w:r w:rsidRPr="00A97F11">
              <w:rPr>
                <w:sz w:val="13"/>
                <w:szCs w:val="13"/>
              </w:rPr>
              <w:t>35.9 (30.2, 42.1)</w:t>
            </w:r>
          </w:p>
        </w:tc>
      </w:tr>
      <w:tr w:rsidR="00BD41F3" w:rsidRPr="004565F5" w14:paraId="13BB73E5" w14:textId="77777777" w:rsidTr="001F3BA4">
        <w:trPr>
          <w:cnfStyle w:val="000000100000" w:firstRow="0" w:lastRow="0" w:firstColumn="0" w:lastColumn="0" w:oddVBand="0" w:evenVBand="0" w:oddHBand="1" w:evenHBand="0" w:firstRowFirstColumn="0" w:firstRowLastColumn="0" w:lastRowFirstColumn="0" w:lastRowLastColumn="0"/>
          <w:cantSplit/>
        </w:trPr>
        <w:tc>
          <w:tcPr>
            <w:tcW w:w="738" w:type="dxa"/>
          </w:tcPr>
          <w:p w14:paraId="0F52B35A" w14:textId="77777777" w:rsidR="0081652D" w:rsidRPr="00F9389A" w:rsidRDefault="0081652D" w:rsidP="00D46588">
            <w:pPr>
              <w:pStyle w:val="TableText"/>
              <w:rPr>
                <w:bCs/>
                <w:color w:val="000000" w:themeColor="text1"/>
                <w:szCs w:val="14"/>
              </w:rPr>
            </w:pPr>
            <w:r w:rsidRPr="00F9389A">
              <w:rPr>
                <w:bCs/>
                <w:color w:val="000000" w:themeColor="text1"/>
                <w:szCs w:val="14"/>
              </w:rPr>
              <w:t>Female 38+</w:t>
            </w:r>
          </w:p>
        </w:tc>
        <w:tc>
          <w:tcPr>
            <w:tcW w:w="360" w:type="dxa"/>
            <w:tcMar>
              <w:left w:w="72" w:type="dxa"/>
              <w:right w:w="72" w:type="dxa"/>
            </w:tcMar>
          </w:tcPr>
          <w:p w14:paraId="72B73FDC"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7B19D5A7" w14:textId="77777777" w:rsidR="0081652D" w:rsidRPr="00A97F11" w:rsidRDefault="0081652D" w:rsidP="00D46588">
            <w:pPr>
              <w:pStyle w:val="TableText"/>
              <w:jc w:val="right"/>
              <w:rPr>
                <w:sz w:val="13"/>
                <w:szCs w:val="13"/>
              </w:rPr>
            </w:pPr>
            <w:r w:rsidRPr="00A97F11">
              <w:rPr>
                <w:sz w:val="13"/>
                <w:szCs w:val="13"/>
              </w:rPr>
              <w:t>–</w:t>
            </w:r>
          </w:p>
        </w:tc>
        <w:tc>
          <w:tcPr>
            <w:tcW w:w="804" w:type="dxa"/>
            <w:tcMar>
              <w:left w:w="72" w:type="dxa"/>
              <w:right w:w="72" w:type="dxa"/>
            </w:tcMar>
          </w:tcPr>
          <w:p w14:paraId="292655E4" w14:textId="77777777" w:rsidR="0081652D" w:rsidRPr="00A97F11" w:rsidRDefault="0081652D" w:rsidP="00D46588">
            <w:pPr>
              <w:pStyle w:val="TableText"/>
              <w:jc w:val="right"/>
              <w:rPr>
                <w:sz w:val="13"/>
                <w:szCs w:val="13"/>
              </w:rPr>
            </w:pPr>
            <w:r w:rsidRPr="00A97F11">
              <w:rPr>
                <w:sz w:val="13"/>
                <w:szCs w:val="13"/>
              </w:rPr>
              <w:t>–</w:t>
            </w:r>
          </w:p>
        </w:tc>
        <w:tc>
          <w:tcPr>
            <w:tcW w:w="456" w:type="dxa"/>
            <w:tcMar>
              <w:left w:w="72" w:type="dxa"/>
              <w:right w:w="72" w:type="dxa"/>
            </w:tcMar>
          </w:tcPr>
          <w:p w14:paraId="3EB9C6CC" w14:textId="77777777" w:rsidR="0081652D" w:rsidRPr="00A97F11" w:rsidRDefault="0081652D" w:rsidP="00D46588">
            <w:pPr>
              <w:pStyle w:val="TableText"/>
              <w:jc w:val="right"/>
              <w:rPr>
                <w:sz w:val="13"/>
                <w:szCs w:val="13"/>
              </w:rPr>
            </w:pPr>
            <w:r w:rsidRPr="00A97F11">
              <w:rPr>
                <w:sz w:val="13"/>
                <w:szCs w:val="13"/>
              </w:rPr>
              <w:t>50</w:t>
            </w:r>
          </w:p>
        </w:tc>
        <w:tc>
          <w:tcPr>
            <w:tcW w:w="630" w:type="dxa"/>
            <w:tcMar>
              <w:left w:w="72" w:type="dxa"/>
              <w:right w:w="72" w:type="dxa"/>
            </w:tcMar>
          </w:tcPr>
          <w:p w14:paraId="780C5812" w14:textId="77777777" w:rsidR="0081652D" w:rsidRPr="00A97F11" w:rsidRDefault="0081652D" w:rsidP="00D46588">
            <w:pPr>
              <w:pStyle w:val="TableText"/>
              <w:jc w:val="right"/>
              <w:rPr>
                <w:sz w:val="13"/>
                <w:szCs w:val="13"/>
              </w:rPr>
            </w:pPr>
            <w:r w:rsidRPr="00A97F11">
              <w:rPr>
                <w:sz w:val="13"/>
                <w:szCs w:val="13"/>
              </w:rPr>
              <w:t>222</w:t>
            </w:r>
          </w:p>
        </w:tc>
        <w:tc>
          <w:tcPr>
            <w:tcW w:w="709" w:type="dxa"/>
            <w:tcMar>
              <w:left w:w="72" w:type="dxa"/>
              <w:right w:w="72" w:type="dxa"/>
            </w:tcMar>
          </w:tcPr>
          <w:p w14:paraId="0C9BB430" w14:textId="77777777" w:rsidR="0081652D" w:rsidRPr="00A97F11" w:rsidRDefault="0081652D" w:rsidP="0081652D">
            <w:pPr>
              <w:pStyle w:val="TableText"/>
              <w:jc w:val="right"/>
              <w:rPr>
                <w:sz w:val="13"/>
                <w:szCs w:val="13"/>
              </w:rPr>
            </w:pPr>
            <w:r w:rsidRPr="00A97F11">
              <w:rPr>
                <w:sz w:val="13"/>
                <w:szCs w:val="13"/>
              </w:rPr>
              <w:t>65.8 (52.7, 76.9)</w:t>
            </w:r>
          </w:p>
        </w:tc>
        <w:tc>
          <w:tcPr>
            <w:tcW w:w="371" w:type="dxa"/>
            <w:tcMar>
              <w:left w:w="72" w:type="dxa"/>
              <w:right w:w="72" w:type="dxa"/>
            </w:tcMar>
          </w:tcPr>
          <w:p w14:paraId="4C5C3C7A" w14:textId="77777777" w:rsidR="0081652D" w:rsidRPr="00A97F11" w:rsidRDefault="0081652D" w:rsidP="00D46588">
            <w:pPr>
              <w:pStyle w:val="TableText"/>
              <w:jc w:val="right"/>
              <w:rPr>
                <w:sz w:val="13"/>
                <w:szCs w:val="13"/>
              </w:rPr>
            </w:pPr>
            <w:r w:rsidRPr="00A97F11">
              <w:rPr>
                <w:sz w:val="13"/>
                <w:szCs w:val="13"/>
              </w:rPr>
              <w:t>23</w:t>
            </w:r>
          </w:p>
        </w:tc>
        <w:tc>
          <w:tcPr>
            <w:tcW w:w="630" w:type="dxa"/>
            <w:tcMar>
              <w:left w:w="72" w:type="dxa"/>
              <w:right w:w="72" w:type="dxa"/>
            </w:tcMar>
          </w:tcPr>
          <w:p w14:paraId="0988E027" w14:textId="77777777" w:rsidR="0081652D" w:rsidRPr="00A97F11" w:rsidRDefault="0081652D" w:rsidP="00D46588">
            <w:pPr>
              <w:pStyle w:val="TableText"/>
              <w:jc w:val="right"/>
              <w:rPr>
                <w:sz w:val="13"/>
                <w:szCs w:val="13"/>
              </w:rPr>
            </w:pPr>
            <w:r w:rsidRPr="00A97F11">
              <w:rPr>
                <w:sz w:val="13"/>
                <w:szCs w:val="13"/>
              </w:rPr>
              <w:t>115</w:t>
            </w:r>
          </w:p>
        </w:tc>
        <w:tc>
          <w:tcPr>
            <w:tcW w:w="794" w:type="dxa"/>
            <w:tcMar>
              <w:left w:w="72" w:type="dxa"/>
              <w:right w:w="72" w:type="dxa"/>
            </w:tcMar>
          </w:tcPr>
          <w:p w14:paraId="630BE4C0" w14:textId="77777777" w:rsidR="0081652D" w:rsidRPr="00A97F11" w:rsidRDefault="0081652D" w:rsidP="0081652D">
            <w:pPr>
              <w:pStyle w:val="TableText"/>
              <w:jc w:val="right"/>
              <w:rPr>
                <w:sz w:val="13"/>
                <w:szCs w:val="13"/>
              </w:rPr>
            </w:pPr>
            <w:r w:rsidRPr="00A97F11">
              <w:rPr>
                <w:sz w:val="13"/>
                <w:szCs w:val="13"/>
              </w:rPr>
              <w:t>34.2 (23.1, 47.3)</w:t>
            </w:r>
          </w:p>
        </w:tc>
        <w:tc>
          <w:tcPr>
            <w:tcW w:w="466" w:type="dxa"/>
            <w:tcMar>
              <w:left w:w="72" w:type="dxa"/>
              <w:right w:w="72" w:type="dxa"/>
            </w:tcMar>
          </w:tcPr>
          <w:p w14:paraId="5A537683" w14:textId="77777777" w:rsidR="0081652D" w:rsidRPr="00A97F11" w:rsidRDefault="0081652D" w:rsidP="00D46588">
            <w:pPr>
              <w:pStyle w:val="TableText"/>
              <w:jc w:val="right"/>
              <w:rPr>
                <w:sz w:val="13"/>
                <w:szCs w:val="13"/>
              </w:rPr>
            </w:pPr>
            <w:r w:rsidRPr="00A97F11">
              <w:rPr>
                <w:sz w:val="13"/>
                <w:szCs w:val="13"/>
              </w:rPr>
              <w:t>#</w:t>
            </w:r>
          </w:p>
        </w:tc>
        <w:tc>
          <w:tcPr>
            <w:tcW w:w="630" w:type="dxa"/>
            <w:tcMar>
              <w:left w:w="72" w:type="dxa"/>
              <w:right w:w="72" w:type="dxa"/>
            </w:tcMar>
          </w:tcPr>
          <w:p w14:paraId="4EF6547C" w14:textId="77777777" w:rsidR="0081652D" w:rsidRPr="00A97F11" w:rsidRDefault="0081652D" w:rsidP="00D46588">
            <w:pPr>
              <w:pStyle w:val="TableText"/>
              <w:jc w:val="right"/>
              <w:rPr>
                <w:sz w:val="13"/>
                <w:szCs w:val="13"/>
              </w:rPr>
            </w:pPr>
            <w:r w:rsidRPr="00A97F11">
              <w:rPr>
                <w:sz w:val="13"/>
                <w:szCs w:val="13"/>
              </w:rPr>
              <w:t>–</w:t>
            </w:r>
          </w:p>
        </w:tc>
        <w:tc>
          <w:tcPr>
            <w:tcW w:w="698" w:type="dxa"/>
            <w:tcMar>
              <w:left w:w="72" w:type="dxa"/>
              <w:right w:w="72" w:type="dxa"/>
            </w:tcMar>
          </w:tcPr>
          <w:p w14:paraId="5B13EB2B" w14:textId="77777777" w:rsidR="0081652D" w:rsidRPr="00A97F11" w:rsidRDefault="0081652D" w:rsidP="00D46588">
            <w:pPr>
              <w:pStyle w:val="TableText"/>
              <w:jc w:val="right"/>
              <w:rPr>
                <w:sz w:val="13"/>
                <w:szCs w:val="13"/>
              </w:rPr>
            </w:pPr>
            <w:r w:rsidRPr="00A97F11">
              <w:rPr>
                <w:sz w:val="13"/>
                <w:szCs w:val="13"/>
              </w:rPr>
              <w:t>–</w:t>
            </w:r>
          </w:p>
        </w:tc>
        <w:tc>
          <w:tcPr>
            <w:tcW w:w="472" w:type="dxa"/>
            <w:tcMar>
              <w:left w:w="72" w:type="dxa"/>
              <w:right w:w="72" w:type="dxa"/>
            </w:tcMar>
          </w:tcPr>
          <w:p w14:paraId="2631AD76" w14:textId="77777777" w:rsidR="0081652D" w:rsidRPr="00A97F11" w:rsidRDefault="0081652D" w:rsidP="00D46588">
            <w:pPr>
              <w:pStyle w:val="TableText"/>
              <w:jc w:val="right"/>
              <w:rPr>
                <w:sz w:val="13"/>
                <w:szCs w:val="13"/>
              </w:rPr>
            </w:pPr>
            <w:r w:rsidRPr="00A97F11">
              <w:rPr>
                <w:sz w:val="13"/>
                <w:szCs w:val="13"/>
              </w:rPr>
              <w:t>102</w:t>
            </w:r>
          </w:p>
        </w:tc>
        <w:tc>
          <w:tcPr>
            <w:tcW w:w="630" w:type="dxa"/>
            <w:tcMar>
              <w:left w:w="72" w:type="dxa"/>
              <w:right w:w="72" w:type="dxa"/>
            </w:tcMar>
          </w:tcPr>
          <w:p w14:paraId="5AD83D5D" w14:textId="77777777" w:rsidR="0081652D" w:rsidRPr="00A97F11" w:rsidRDefault="0081652D" w:rsidP="00D46588">
            <w:pPr>
              <w:pStyle w:val="TableText"/>
              <w:jc w:val="right"/>
              <w:rPr>
                <w:sz w:val="13"/>
                <w:szCs w:val="13"/>
              </w:rPr>
            </w:pPr>
            <w:r w:rsidRPr="00A97F11">
              <w:rPr>
                <w:sz w:val="13"/>
                <w:szCs w:val="13"/>
              </w:rPr>
              <w:t>289</w:t>
            </w:r>
          </w:p>
        </w:tc>
        <w:tc>
          <w:tcPr>
            <w:tcW w:w="693" w:type="dxa"/>
            <w:tcMar>
              <w:left w:w="72" w:type="dxa"/>
              <w:right w:w="72" w:type="dxa"/>
            </w:tcMar>
          </w:tcPr>
          <w:p w14:paraId="34B70D26" w14:textId="77777777" w:rsidR="0081652D" w:rsidRPr="00A97F11" w:rsidRDefault="0081652D" w:rsidP="0081652D">
            <w:pPr>
              <w:pStyle w:val="TableText"/>
              <w:jc w:val="right"/>
              <w:rPr>
                <w:sz w:val="13"/>
                <w:szCs w:val="13"/>
              </w:rPr>
            </w:pPr>
            <w:r w:rsidRPr="00A97F11">
              <w:rPr>
                <w:sz w:val="13"/>
                <w:szCs w:val="13"/>
              </w:rPr>
              <w:t>61.1 (53.6, 68.0)</w:t>
            </w:r>
          </w:p>
        </w:tc>
        <w:tc>
          <w:tcPr>
            <w:tcW w:w="387" w:type="dxa"/>
            <w:tcMar>
              <w:left w:w="72" w:type="dxa"/>
              <w:right w:w="72" w:type="dxa"/>
            </w:tcMar>
          </w:tcPr>
          <w:p w14:paraId="6D804803" w14:textId="77777777" w:rsidR="0081652D" w:rsidRPr="00A97F11" w:rsidRDefault="0081652D" w:rsidP="00D46588">
            <w:pPr>
              <w:pStyle w:val="TableText"/>
              <w:jc w:val="right"/>
              <w:rPr>
                <w:sz w:val="13"/>
                <w:szCs w:val="13"/>
              </w:rPr>
            </w:pPr>
            <w:r w:rsidRPr="00A97F11">
              <w:rPr>
                <w:sz w:val="13"/>
                <w:szCs w:val="13"/>
              </w:rPr>
              <w:t>57</w:t>
            </w:r>
          </w:p>
        </w:tc>
        <w:tc>
          <w:tcPr>
            <w:tcW w:w="630" w:type="dxa"/>
            <w:tcMar>
              <w:left w:w="72" w:type="dxa"/>
              <w:right w:w="72" w:type="dxa"/>
            </w:tcMar>
          </w:tcPr>
          <w:p w14:paraId="6D5799CB" w14:textId="77777777" w:rsidR="0081652D" w:rsidRPr="00A97F11" w:rsidRDefault="0081652D" w:rsidP="00D46588">
            <w:pPr>
              <w:pStyle w:val="TableText"/>
              <w:jc w:val="right"/>
              <w:rPr>
                <w:sz w:val="13"/>
                <w:szCs w:val="13"/>
              </w:rPr>
            </w:pPr>
            <w:r w:rsidRPr="00A97F11">
              <w:rPr>
                <w:sz w:val="13"/>
                <w:szCs w:val="13"/>
              </w:rPr>
              <w:t>180</w:t>
            </w:r>
          </w:p>
        </w:tc>
        <w:tc>
          <w:tcPr>
            <w:tcW w:w="778" w:type="dxa"/>
            <w:tcMar>
              <w:left w:w="72" w:type="dxa"/>
              <w:right w:w="72" w:type="dxa"/>
            </w:tcMar>
          </w:tcPr>
          <w:p w14:paraId="54B3E094" w14:textId="77777777" w:rsidR="0081652D" w:rsidRPr="00A97F11" w:rsidRDefault="0081652D" w:rsidP="00D46588">
            <w:pPr>
              <w:pStyle w:val="TableText"/>
              <w:jc w:val="right"/>
              <w:rPr>
                <w:sz w:val="13"/>
                <w:szCs w:val="13"/>
              </w:rPr>
            </w:pPr>
            <w:r w:rsidRPr="00A97F11">
              <w:rPr>
                <w:sz w:val="13"/>
                <w:szCs w:val="13"/>
              </w:rPr>
              <w:t>38.0 (31.0, 45.5)</w:t>
            </w:r>
          </w:p>
        </w:tc>
      </w:tr>
    </w:tbl>
    <w:p w14:paraId="1959E1C6" w14:textId="77777777" w:rsidR="0081652D" w:rsidRPr="006A3EA0" w:rsidRDefault="0081652D" w:rsidP="0081652D">
      <w:pPr>
        <w:pStyle w:val="TableNotes"/>
      </w:pPr>
      <w:r w:rsidRPr="006A3EA0">
        <w:t>Notes</w:t>
      </w:r>
    </w:p>
    <w:p w14:paraId="28372AA5" w14:textId="77777777" w:rsidR="0081652D" w:rsidRDefault="0081652D" w:rsidP="0081652D">
      <w:pPr>
        <w:pStyle w:val="TableNotes"/>
      </w:pPr>
      <w:r w:rsidRPr="004565F5">
        <w:t xml:space="preserve">Denominator: Those who use the </w:t>
      </w:r>
      <w:r>
        <w:t>internet</w:t>
      </w:r>
      <w:r w:rsidRPr="004565F5">
        <w:t xml:space="preserve"> to seek help or information for, or manage, mental health issues</w:t>
      </w:r>
      <w:r>
        <w:t>.</w:t>
      </w:r>
    </w:p>
    <w:p w14:paraId="676BBAE1" w14:textId="77777777" w:rsidR="0081652D" w:rsidRDefault="0081652D" w:rsidP="0081652D">
      <w:pPr>
        <w:pStyle w:val="TableNotes"/>
      </w:pPr>
      <w:r w:rsidRPr="004565F5">
        <w:t>Based on weighted counts, 151 (2.5%) Transitioned ADF and 143 (0.1%) 2015 Regular ADF had a missing value for this question. However, distributions are calculated by including those with a missing value to allow for correct weighted totals.</w:t>
      </w:r>
      <w:r>
        <w:t xml:space="preserve"> </w:t>
      </w:r>
    </w:p>
    <w:p w14:paraId="2AED39C2" w14:textId="77777777" w:rsidR="0081652D" w:rsidRDefault="0081652D" w:rsidP="0081652D">
      <w:pPr>
        <w:pStyle w:val="TableNotes"/>
      </w:pPr>
      <w:r w:rsidRPr="004565F5">
        <w:t>Probable 30-day disorder = PCL ≥ 53 or K10 ≥ 25; No probable 30-day disorder = PCL &lt; 53 and K10 &lt; 25.</w:t>
      </w:r>
      <w:r>
        <w:t xml:space="preserve"> </w:t>
      </w:r>
    </w:p>
    <w:p w14:paraId="69CD9028" w14:textId="77777777" w:rsidR="0081652D" w:rsidRDefault="0081652D" w:rsidP="0081652D">
      <w:pPr>
        <w:pStyle w:val="TableNotes"/>
      </w:pPr>
      <w:r w:rsidRPr="004565F5">
        <w:t>95%CI</w:t>
      </w:r>
      <w:r>
        <w:t xml:space="preserve"> =</w:t>
      </w:r>
      <w:r w:rsidRPr="004565F5">
        <w:t xml:space="preserve"> 95% </w:t>
      </w:r>
      <w:r>
        <w:t xml:space="preserve">confidence interval. </w:t>
      </w:r>
    </w:p>
    <w:p w14:paraId="0E202FB7" w14:textId="77777777" w:rsidR="0081652D" w:rsidRDefault="0081652D" w:rsidP="0081652D">
      <w:pPr>
        <w:pStyle w:val="TableNotes"/>
        <w:rPr>
          <w:rFonts w:cs="Calibri"/>
          <w:bCs/>
          <w:color w:val="000000" w:themeColor="text1"/>
          <w:szCs w:val="14"/>
        </w:rPr>
      </w:pPr>
      <w:r w:rsidRPr="00E603D7">
        <w:rPr>
          <w:rFonts w:cs="Calibri"/>
          <w:bCs/>
          <w:color w:val="000000" w:themeColor="text1"/>
          <w:szCs w:val="14"/>
        </w:rPr>
        <w:t xml:space="preserve"># </w:t>
      </w:r>
      <w:r>
        <w:rPr>
          <w:rFonts w:cs="Calibri"/>
          <w:bCs/>
          <w:color w:val="000000" w:themeColor="text1"/>
          <w:szCs w:val="14"/>
        </w:rPr>
        <w:t>= C</w:t>
      </w:r>
      <w:r w:rsidRPr="00E603D7">
        <w:rPr>
          <w:rFonts w:cs="Calibri"/>
          <w:bCs/>
          <w:color w:val="000000" w:themeColor="text1"/>
          <w:szCs w:val="14"/>
        </w:rPr>
        <w:t>ell size too small to be reported</w:t>
      </w:r>
      <w:r>
        <w:rPr>
          <w:rFonts w:cs="Calibri"/>
          <w:bCs/>
          <w:color w:val="000000" w:themeColor="text1"/>
          <w:szCs w:val="14"/>
        </w:rPr>
        <w:t>.</w:t>
      </w:r>
    </w:p>
    <w:p w14:paraId="03D34983" w14:textId="77777777" w:rsidR="00B76B5B" w:rsidRDefault="00B76B5B" w:rsidP="00B76B5B"/>
    <w:p w14:paraId="5BB7EBBF" w14:textId="77777777" w:rsidR="00980AE4" w:rsidRDefault="00980AE4" w:rsidP="00980AE4">
      <w:pPr>
        <w:sectPr w:rsidR="00980AE4" w:rsidSect="00980AE4">
          <w:footerReference w:type="even" r:id="rId73"/>
          <w:footerReference w:type="default" r:id="rId74"/>
          <w:pgSz w:w="14170" w:h="9979" w:orient="landscape" w:code="243"/>
          <w:pgMar w:top="1872" w:right="1440" w:bottom="1152" w:left="1440" w:header="576" w:footer="576" w:gutter="0"/>
          <w:cols w:space="708"/>
          <w:docGrid w:linePitch="360"/>
        </w:sectPr>
      </w:pPr>
    </w:p>
    <w:p w14:paraId="39DBF154" w14:textId="44C76D3C" w:rsidR="002B61D7" w:rsidRPr="00F9389A" w:rsidRDefault="002B61D7" w:rsidP="002B61D7">
      <w:pPr>
        <w:pStyle w:val="Heading2"/>
        <w:numPr>
          <w:ilvl w:val="1"/>
          <w:numId w:val="1"/>
        </w:numPr>
        <w:ind w:left="720" w:hanging="720"/>
      </w:pPr>
      <w:bookmarkStart w:id="720" w:name="_Toc509917450"/>
      <w:bookmarkStart w:id="721" w:name="_Toc515374504"/>
      <w:bookmarkStart w:id="722" w:name="_Toc518566404"/>
      <w:bookmarkStart w:id="723" w:name="_Toc528932692"/>
      <w:bookmarkStart w:id="724" w:name="_Toc531859229"/>
      <w:r w:rsidRPr="00F9389A">
        <w:t xml:space="preserve">Satisfaction with available information about </w:t>
      </w:r>
      <w:r w:rsidR="00D8510E">
        <w:t>m</w:t>
      </w:r>
      <w:r w:rsidRPr="00F9389A">
        <w:t xml:space="preserve">ental </w:t>
      </w:r>
      <w:r w:rsidR="00D8510E">
        <w:t>h</w:t>
      </w:r>
      <w:r w:rsidRPr="00F9389A">
        <w:t xml:space="preserve">ealth on the </w:t>
      </w:r>
      <w:r>
        <w:t>internet</w:t>
      </w:r>
      <w:bookmarkEnd w:id="720"/>
      <w:bookmarkEnd w:id="721"/>
      <w:bookmarkEnd w:id="722"/>
      <w:bookmarkEnd w:id="723"/>
      <w:bookmarkEnd w:id="724"/>
      <w:r w:rsidRPr="00F9389A">
        <w:t xml:space="preserve"> </w:t>
      </w:r>
    </w:p>
    <w:p w14:paraId="45C5EF6B" w14:textId="77777777" w:rsidR="002B61D7" w:rsidRPr="00F9389A" w:rsidRDefault="002B61D7" w:rsidP="002B61D7">
      <w:pPr>
        <w:pStyle w:val="Heading3"/>
        <w:numPr>
          <w:ilvl w:val="2"/>
          <w:numId w:val="1"/>
        </w:numPr>
      </w:pPr>
      <w:bookmarkStart w:id="725" w:name="_Toc515374505"/>
      <w:bookmarkStart w:id="726" w:name="_Toc518566405"/>
      <w:bookmarkStart w:id="727" w:name="_Toc528932693"/>
      <w:bookmarkStart w:id="728" w:name="_Toc531859230"/>
      <w:r>
        <w:t xml:space="preserve">Satisfaction among </w:t>
      </w:r>
      <w:r w:rsidRPr="00F9389A">
        <w:t>Transitioned ADF and 2015 Regular ADF</w:t>
      </w:r>
      <w:bookmarkEnd w:id="725"/>
      <w:bookmarkEnd w:id="726"/>
      <w:r>
        <w:t xml:space="preserve"> overall</w:t>
      </w:r>
      <w:bookmarkEnd w:id="727"/>
      <w:bookmarkEnd w:id="728"/>
    </w:p>
    <w:p w14:paraId="557EB5C9" w14:textId="77777777" w:rsidR="002B61D7" w:rsidRDefault="002B61D7" w:rsidP="002B61D7">
      <w:pPr>
        <w:rPr>
          <w:rFonts w:asciiTheme="minorHAnsi" w:hAnsiTheme="minorHAnsi" w:cs="Calibri"/>
          <w:szCs w:val="22"/>
        </w:rPr>
      </w:pPr>
      <w:r>
        <w:rPr>
          <w:rFonts w:asciiTheme="minorHAnsi" w:hAnsiTheme="minorHAnsi" w:cs="Calibri"/>
        </w:rPr>
        <w:t xml:space="preserve">Among both the </w:t>
      </w:r>
      <w:r>
        <w:t>Transitioned ADF and 2015 Regular ADF who reported that they used</w:t>
      </w:r>
      <w:r w:rsidRPr="00DF1417">
        <w:t xml:space="preserve"> the </w:t>
      </w:r>
      <w:r>
        <w:t>internet</w:t>
      </w:r>
      <w:r w:rsidRPr="00DF1417">
        <w:t xml:space="preserve"> to seek help or information or manage mental health</w:t>
      </w:r>
      <w:r>
        <w:t xml:space="preserve"> issues, </w:t>
      </w:r>
      <w:r>
        <w:rPr>
          <w:rFonts w:asciiTheme="minorHAnsi" w:hAnsiTheme="minorHAnsi" w:cs="Calibri"/>
          <w:szCs w:val="22"/>
        </w:rPr>
        <w:t xml:space="preserve">the majority reported being ‘somewhat satisfied’ </w:t>
      </w:r>
      <w:r w:rsidRPr="003038B1">
        <w:rPr>
          <w:rFonts w:asciiTheme="minorHAnsi" w:hAnsiTheme="minorHAnsi" w:cs="Calibri"/>
          <w:szCs w:val="22"/>
        </w:rPr>
        <w:t xml:space="preserve">with the </w:t>
      </w:r>
      <w:r w:rsidRPr="00F9389A">
        <w:rPr>
          <w:rFonts w:asciiTheme="minorHAnsi" w:hAnsiTheme="minorHAnsi" w:cs="Calibri"/>
          <w:szCs w:val="22"/>
        </w:rPr>
        <w:t xml:space="preserve">information </w:t>
      </w:r>
      <w:r>
        <w:rPr>
          <w:rFonts w:asciiTheme="minorHAnsi" w:hAnsiTheme="minorHAnsi" w:cs="Calibri"/>
          <w:szCs w:val="22"/>
        </w:rPr>
        <w:t xml:space="preserve">they </w:t>
      </w:r>
      <w:r w:rsidRPr="00F9389A">
        <w:rPr>
          <w:rFonts w:asciiTheme="minorHAnsi" w:hAnsiTheme="minorHAnsi" w:cs="Calibri"/>
          <w:szCs w:val="22"/>
        </w:rPr>
        <w:t xml:space="preserve">received on the </w:t>
      </w:r>
      <w:r>
        <w:rPr>
          <w:rFonts w:asciiTheme="minorHAnsi" w:hAnsiTheme="minorHAnsi" w:cs="Calibri"/>
          <w:szCs w:val="22"/>
        </w:rPr>
        <w:t>internet</w:t>
      </w:r>
      <w:r w:rsidRPr="00F9389A">
        <w:rPr>
          <w:rFonts w:asciiTheme="minorHAnsi" w:hAnsiTheme="minorHAnsi" w:cs="Calibri"/>
          <w:szCs w:val="22"/>
        </w:rPr>
        <w:t xml:space="preserve"> in relation to mental health (73.5% and 80.0%) (</w:t>
      </w:r>
      <w:r w:rsidRPr="00443625">
        <w:t xml:space="preserve">Table </w:t>
      </w:r>
      <w:r>
        <w:rPr>
          <w:noProof/>
        </w:rPr>
        <w:t>6</w:t>
      </w:r>
      <w:r>
        <w:t>.</w:t>
      </w:r>
      <w:r>
        <w:rPr>
          <w:noProof/>
        </w:rPr>
        <w:t>8</w:t>
      </w:r>
      <w:r>
        <w:rPr>
          <w:rFonts w:asciiTheme="minorHAnsi" w:hAnsiTheme="minorHAnsi" w:cs="Calibri"/>
          <w:szCs w:val="22"/>
        </w:rPr>
        <w:t xml:space="preserve"> </w:t>
      </w:r>
      <w:r w:rsidRPr="00F9389A">
        <w:rPr>
          <w:rFonts w:asciiTheme="minorHAnsi" w:hAnsiTheme="minorHAnsi" w:cs="Calibri"/>
          <w:szCs w:val="22"/>
        </w:rPr>
        <w:t xml:space="preserve">and </w:t>
      </w:r>
      <w:r>
        <w:t>Figure </w:t>
      </w:r>
      <w:r>
        <w:rPr>
          <w:noProof/>
        </w:rPr>
        <w:t>6</w:t>
      </w:r>
      <w:r>
        <w:t>.</w:t>
      </w:r>
      <w:r>
        <w:rPr>
          <w:noProof/>
        </w:rPr>
        <w:t>4</w:t>
      </w:r>
      <w:r w:rsidRPr="00F9389A">
        <w:rPr>
          <w:rFonts w:asciiTheme="minorHAnsi" w:hAnsiTheme="minorHAnsi" w:cs="Calibri"/>
          <w:szCs w:val="22"/>
        </w:rPr>
        <w:t>). When</w:t>
      </w:r>
      <w:r>
        <w:rPr>
          <w:rFonts w:asciiTheme="minorHAnsi" w:hAnsiTheme="minorHAnsi" w:cs="Calibri"/>
          <w:szCs w:val="22"/>
        </w:rPr>
        <w:t xml:space="preserve"> dichotomised, a slightly larger proportion of Transitioned ADF than 2015 Regular ADF reported being dissatisfied (17.9% vs 13.2%); however this difference was not significant.</w:t>
      </w:r>
    </w:p>
    <w:p w14:paraId="7910B8A8" w14:textId="77777777" w:rsidR="002B61D7" w:rsidRDefault="002B61D7" w:rsidP="002B61D7">
      <w:pPr>
        <w:pStyle w:val="TableName"/>
      </w:pPr>
      <w:bookmarkStart w:id="729" w:name="_Ref517356671"/>
      <w:bookmarkStart w:id="730" w:name="_Toc509922889"/>
      <w:bookmarkStart w:id="731" w:name="_Toc515374664"/>
      <w:bookmarkStart w:id="732" w:name="_Toc528932339"/>
      <w:bookmarkStart w:id="733" w:name="_Toc531858018"/>
      <w:r w:rsidRPr="00443625">
        <w:t xml:space="preserve">Table </w:t>
      </w:r>
      <w:r>
        <w:rPr>
          <w:noProof/>
        </w:rPr>
        <w:t>6</w:t>
      </w:r>
      <w:r>
        <w:t>.</w:t>
      </w:r>
      <w:r>
        <w:rPr>
          <w:noProof/>
        </w:rPr>
        <w:t>8</w:t>
      </w:r>
      <w:bookmarkEnd w:id="729"/>
      <w:r w:rsidRPr="00443625">
        <w:tab/>
        <w:t xml:space="preserve">Satisfaction with mental health information available on the </w:t>
      </w:r>
      <w:r>
        <w:t>internet</w:t>
      </w:r>
      <w:r w:rsidRPr="00443625">
        <w:t xml:space="preserve"> </w:t>
      </w:r>
      <w:r>
        <w:t>among Transitioned ADF and 2015 Regular ADF</w:t>
      </w:r>
      <w:bookmarkEnd w:id="730"/>
      <w:bookmarkEnd w:id="731"/>
      <w:r w:rsidRPr="00443625">
        <w:t xml:space="preserve"> who reported that they use</w:t>
      </w:r>
      <w:r>
        <w:t>d</w:t>
      </w:r>
      <w:r w:rsidRPr="00443625">
        <w:t xml:space="preserve"> the </w:t>
      </w:r>
      <w:r>
        <w:t>internet</w:t>
      </w:r>
      <w:r w:rsidRPr="00443625">
        <w:t xml:space="preserve"> to seek help or information or manage mental health issues</w:t>
      </w:r>
      <w:bookmarkEnd w:id="732"/>
      <w:bookmarkEnd w:id="733"/>
    </w:p>
    <w:tbl>
      <w:tblPr>
        <w:tblStyle w:val="TWRPTable"/>
        <w:tblW w:w="5000" w:type="pct"/>
        <w:tblLayout w:type="fixed"/>
        <w:tblLook w:val="0000" w:firstRow="0" w:lastRow="0" w:firstColumn="0" w:lastColumn="0" w:noHBand="0" w:noVBand="0"/>
        <w:tblDescription w:val="Table 6.8 Satisfaction with mental health information available on the internet among Transitioned ADF and 2015 Regular ADF who reported that they used the internet to seek help or information or manage mental health issues"/>
      </w:tblPr>
      <w:tblGrid>
        <w:gridCol w:w="1582"/>
        <w:gridCol w:w="787"/>
        <w:gridCol w:w="874"/>
        <w:gridCol w:w="1092"/>
        <w:gridCol w:w="741"/>
        <w:gridCol w:w="960"/>
        <w:gridCol w:w="1053"/>
      </w:tblGrid>
      <w:tr w:rsidR="002B61D7" w:rsidRPr="00663550" w14:paraId="6DC2ED2F" w14:textId="77777777" w:rsidTr="00A903BD">
        <w:trPr>
          <w:cantSplit/>
          <w:tblHeader/>
        </w:trPr>
        <w:tc>
          <w:tcPr>
            <w:tcW w:w="1638" w:type="dxa"/>
            <w:tcBorders>
              <w:top w:val="single" w:sz="4" w:space="0" w:color="000000"/>
              <w:bottom w:val="nil"/>
            </w:tcBorders>
          </w:tcPr>
          <w:p w14:paraId="118900AB" w14:textId="77777777" w:rsidR="002B61D7" w:rsidRPr="00443625" w:rsidRDefault="002B61D7" w:rsidP="00D46588">
            <w:pPr>
              <w:pStyle w:val="TableText"/>
              <w:jc w:val="center"/>
              <w:rPr>
                <w:b/>
              </w:rPr>
            </w:pPr>
          </w:p>
        </w:tc>
        <w:tc>
          <w:tcPr>
            <w:tcW w:w="2838" w:type="dxa"/>
            <w:gridSpan w:val="3"/>
            <w:tcBorders>
              <w:top w:val="single" w:sz="4" w:space="0" w:color="000000"/>
              <w:bottom w:val="single" w:sz="4" w:space="0" w:color="000000"/>
            </w:tcBorders>
          </w:tcPr>
          <w:p w14:paraId="4FEB4882" w14:textId="77777777" w:rsidR="002B61D7" w:rsidRPr="00443625" w:rsidRDefault="002B61D7" w:rsidP="002B61D7">
            <w:pPr>
              <w:pStyle w:val="TableText"/>
              <w:jc w:val="center"/>
              <w:rPr>
                <w:b/>
              </w:rPr>
            </w:pPr>
            <w:r w:rsidRPr="00443625">
              <w:rPr>
                <w:b/>
              </w:rPr>
              <w:t>Transitioned ADF</w:t>
            </w:r>
            <w:r>
              <w:rPr>
                <w:b/>
              </w:rPr>
              <w:br/>
            </w:r>
            <w:r w:rsidRPr="00443625">
              <w:rPr>
                <w:b/>
              </w:rPr>
              <w:t>n=6116</w:t>
            </w:r>
          </w:p>
        </w:tc>
        <w:tc>
          <w:tcPr>
            <w:tcW w:w="2839" w:type="dxa"/>
            <w:gridSpan w:val="3"/>
            <w:tcBorders>
              <w:top w:val="single" w:sz="4" w:space="0" w:color="000000"/>
              <w:bottom w:val="single" w:sz="4" w:space="0" w:color="000000"/>
            </w:tcBorders>
          </w:tcPr>
          <w:p w14:paraId="10497966" w14:textId="77777777" w:rsidR="002B61D7" w:rsidRPr="00443625" w:rsidRDefault="002B61D7" w:rsidP="002B61D7">
            <w:pPr>
              <w:pStyle w:val="TableText"/>
              <w:jc w:val="center"/>
              <w:rPr>
                <w:b/>
              </w:rPr>
            </w:pPr>
            <w:r w:rsidRPr="00443625">
              <w:rPr>
                <w:b/>
              </w:rPr>
              <w:t>2015 Regular ADF</w:t>
            </w:r>
            <w:r>
              <w:rPr>
                <w:b/>
              </w:rPr>
              <w:br/>
            </w:r>
            <w:r w:rsidRPr="00443625">
              <w:rPr>
                <w:b/>
              </w:rPr>
              <w:t>n=9042</w:t>
            </w:r>
          </w:p>
        </w:tc>
      </w:tr>
      <w:tr w:rsidR="002B61D7" w:rsidRPr="00AF016D" w14:paraId="5FF7AAE2" w14:textId="77777777" w:rsidTr="00A903BD">
        <w:trPr>
          <w:cantSplit/>
          <w:tblHeader/>
        </w:trPr>
        <w:tc>
          <w:tcPr>
            <w:tcW w:w="1638" w:type="dxa"/>
            <w:tcBorders>
              <w:top w:val="nil"/>
              <w:bottom w:val="single" w:sz="4" w:space="0" w:color="000000"/>
            </w:tcBorders>
          </w:tcPr>
          <w:p w14:paraId="6A120794" w14:textId="77777777" w:rsidR="002B61D7" w:rsidRPr="00443625" w:rsidRDefault="002B61D7" w:rsidP="00D46588">
            <w:pPr>
              <w:pStyle w:val="TableText"/>
              <w:jc w:val="center"/>
              <w:rPr>
                <w:b/>
              </w:rPr>
            </w:pPr>
          </w:p>
        </w:tc>
        <w:tc>
          <w:tcPr>
            <w:tcW w:w="810" w:type="dxa"/>
            <w:tcBorders>
              <w:top w:val="single" w:sz="4" w:space="0" w:color="000000"/>
              <w:bottom w:val="single" w:sz="4" w:space="0" w:color="000000"/>
            </w:tcBorders>
          </w:tcPr>
          <w:p w14:paraId="50B99AFF" w14:textId="77777777" w:rsidR="002B61D7" w:rsidRPr="00443625" w:rsidRDefault="002B61D7" w:rsidP="00D46588">
            <w:pPr>
              <w:pStyle w:val="TableText"/>
              <w:jc w:val="right"/>
              <w:rPr>
                <w:b/>
              </w:rPr>
            </w:pPr>
            <w:r w:rsidRPr="00443625">
              <w:rPr>
                <w:b/>
              </w:rPr>
              <w:t>n</w:t>
            </w:r>
          </w:p>
        </w:tc>
        <w:tc>
          <w:tcPr>
            <w:tcW w:w="900" w:type="dxa"/>
            <w:tcBorders>
              <w:top w:val="single" w:sz="4" w:space="0" w:color="000000"/>
              <w:bottom w:val="single" w:sz="4" w:space="0" w:color="000000"/>
            </w:tcBorders>
          </w:tcPr>
          <w:p w14:paraId="7B7C077E" w14:textId="77777777" w:rsidR="002B61D7" w:rsidRPr="00443625" w:rsidRDefault="002B61D7" w:rsidP="00D46588">
            <w:pPr>
              <w:pStyle w:val="TableText"/>
              <w:jc w:val="right"/>
              <w:rPr>
                <w:b/>
              </w:rPr>
            </w:pPr>
            <w:r w:rsidRPr="00443625">
              <w:rPr>
                <w:b/>
              </w:rPr>
              <w:t>Weighted n</w:t>
            </w:r>
          </w:p>
        </w:tc>
        <w:tc>
          <w:tcPr>
            <w:tcW w:w="1128" w:type="dxa"/>
            <w:tcBorders>
              <w:top w:val="single" w:sz="4" w:space="0" w:color="000000"/>
              <w:bottom w:val="single" w:sz="4" w:space="0" w:color="000000"/>
            </w:tcBorders>
          </w:tcPr>
          <w:p w14:paraId="60386B53" w14:textId="77777777" w:rsidR="002B61D7" w:rsidRPr="00443625" w:rsidRDefault="002B61D7" w:rsidP="00D46588">
            <w:pPr>
              <w:pStyle w:val="TableText"/>
              <w:jc w:val="right"/>
              <w:rPr>
                <w:b/>
              </w:rPr>
            </w:pPr>
            <w:r w:rsidRPr="00443625">
              <w:rPr>
                <w:b/>
              </w:rPr>
              <w:t>% (95%CI)</w:t>
            </w:r>
          </w:p>
        </w:tc>
        <w:tc>
          <w:tcPr>
            <w:tcW w:w="762" w:type="dxa"/>
            <w:tcBorders>
              <w:top w:val="single" w:sz="4" w:space="0" w:color="000000"/>
              <w:bottom w:val="single" w:sz="4" w:space="0" w:color="000000"/>
            </w:tcBorders>
          </w:tcPr>
          <w:p w14:paraId="6F7A4769" w14:textId="77777777" w:rsidR="002B61D7" w:rsidRPr="00443625" w:rsidRDefault="002B61D7" w:rsidP="00D46588">
            <w:pPr>
              <w:pStyle w:val="TableText"/>
              <w:jc w:val="right"/>
              <w:rPr>
                <w:b/>
              </w:rPr>
            </w:pPr>
            <w:r w:rsidRPr="00443625">
              <w:rPr>
                <w:b/>
              </w:rPr>
              <w:t>n</w:t>
            </w:r>
          </w:p>
        </w:tc>
        <w:tc>
          <w:tcPr>
            <w:tcW w:w="990" w:type="dxa"/>
            <w:tcBorders>
              <w:top w:val="single" w:sz="4" w:space="0" w:color="000000"/>
              <w:bottom w:val="single" w:sz="4" w:space="0" w:color="000000"/>
            </w:tcBorders>
          </w:tcPr>
          <w:p w14:paraId="41127570" w14:textId="77777777" w:rsidR="002B61D7" w:rsidRPr="00443625" w:rsidRDefault="002B61D7" w:rsidP="00D46588">
            <w:pPr>
              <w:pStyle w:val="TableText"/>
              <w:jc w:val="right"/>
              <w:rPr>
                <w:b/>
              </w:rPr>
            </w:pPr>
            <w:r w:rsidRPr="00443625">
              <w:rPr>
                <w:b/>
              </w:rPr>
              <w:t>Weighted n</w:t>
            </w:r>
          </w:p>
        </w:tc>
        <w:tc>
          <w:tcPr>
            <w:tcW w:w="1087" w:type="dxa"/>
            <w:tcBorders>
              <w:top w:val="single" w:sz="4" w:space="0" w:color="000000"/>
              <w:bottom w:val="single" w:sz="4" w:space="0" w:color="000000"/>
            </w:tcBorders>
          </w:tcPr>
          <w:p w14:paraId="7C3031E9" w14:textId="77777777" w:rsidR="002B61D7" w:rsidRPr="00443625" w:rsidRDefault="002B61D7" w:rsidP="00D46588">
            <w:pPr>
              <w:pStyle w:val="TableText"/>
              <w:jc w:val="right"/>
              <w:rPr>
                <w:b/>
              </w:rPr>
            </w:pPr>
            <w:r w:rsidRPr="00443625">
              <w:rPr>
                <w:b/>
              </w:rPr>
              <w:t>% (95%CI)</w:t>
            </w:r>
          </w:p>
        </w:tc>
      </w:tr>
      <w:tr w:rsidR="002B61D7" w:rsidRPr="00AF016D" w14:paraId="235E6217"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638" w:type="dxa"/>
            <w:tcBorders>
              <w:top w:val="single" w:sz="4" w:space="0" w:color="000000"/>
            </w:tcBorders>
          </w:tcPr>
          <w:p w14:paraId="3B638807" w14:textId="77777777" w:rsidR="002B61D7" w:rsidRPr="004445C3" w:rsidRDefault="002B61D7" w:rsidP="00D46588">
            <w:pPr>
              <w:pStyle w:val="TableText"/>
            </w:pPr>
            <w:r w:rsidRPr="004445C3">
              <w:t>Very dissatisfied</w:t>
            </w:r>
          </w:p>
        </w:tc>
        <w:tc>
          <w:tcPr>
            <w:tcW w:w="810" w:type="dxa"/>
            <w:tcBorders>
              <w:top w:val="single" w:sz="4" w:space="0" w:color="000000"/>
            </w:tcBorders>
          </w:tcPr>
          <w:p w14:paraId="74664BE8" w14:textId="77777777" w:rsidR="002B61D7" w:rsidRPr="00443625" w:rsidRDefault="002B61D7" w:rsidP="00D46588">
            <w:pPr>
              <w:pStyle w:val="TableText"/>
              <w:jc w:val="right"/>
            </w:pPr>
            <w:r w:rsidRPr="00443625">
              <w:t>11</w:t>
            </w:r>
          </w:p>
        </w:tc>
        <w:tc>
          <w:tcPr>
            <w:tcW w:w="900" w:type="dxa"/>
            <w:tcBorders>
              <w:top w:val="single" w:sz="4" w:space="0" w:color="000000"/>
            </w:tcBorders>
          </w:tcPr>
          <w:p w14:paraId="137AFB8B" w14:textId="77777777" w:rsidR="002B61D7" w:rsidRPr="00443625" w:rsidRDefault="002B61D7" w:rsidP="00D46588">
            <w:pPr>
              <w:pStyle w:val="TableText"/>
              <w:jc w:val="right"/>
            </w:pPr>
            <w:r w:rsidRPr="00443625">
              <w:t>81</w:t>
            </w:r>
          </w:p>
        </w:tc>
        <w:tc>
          <w:tcPr>
            <w:tcW w:w="1128" w:type="dxa"/>
            <w:tcBorders>
              <w:top w:val="single" w:sz="4" w:space="0" w:color="000000"/>
            </w:tcBorders>
          </w:tcPr>
          <w:p w14:paraId="7010CB80" w14:textId="77777777" w:rsidR="002B61D7" w:rsidRPr="00443625" w:rsidRDefault="002B61D7" w:rsidP="00D46588">
            <w:pPr>
              <w:pStyle w:val="TableText"/>
              <w:jc w:val="right"/>
            </w:pPr>
            <w:r w:rsidRPr="00443625">
              <w:t>1.3 (0.7,</w:t>
            </w:r>
            <w:r>
              <w:t xml:space="preserve"> </w:t>
            </w:r>
            <w:r w:rsidRPr="00443625">
              <w:t>2.6)</w:t>
            </w:r>
          </w:p>
        </w:tc>
        <w:tc>
          <w:tcPr>
            <w:tcW w:w="762" w:type="dxa"/>
            <w:tcBorders>
              <w:top w:val="single" w:sz="4" w:space="0" w:color="000000"/>
            </w:tcBorders>
          </w:tcPr>
          <w:p w14:paraId="4F5BDCB1" w14:textId="77777777" w:rsidR="002B61D7" w:rsidRPr="00443625" w:rsidRDefault="002B61D7" w:rsidP="00D46588">
            <w:pPr>
              <w:pStyle w:val="TableText"/>
              <w:jc w:val="right"/>
            </w:pPr>
            <w:r w:rsidRPr="00443625">
              <w:t>12</w:t>
            </w:r>
          </w:p>
        </w:tc>
        <w:tc>
          <w:tcPr>
            <w:tcW w:w="990" w:type="dxa"/>
            <w:tcBorders>
              <w:top w:val="single" w:sz="4" w:space="0" w:color="000000"/>
            </w:tcBorders>
          </w:tcPr>
          <w:p w14:paraId="122E616C" w14:textId="77777777" w:rsidR="002B61D7" w:rsidRPr="00443625" w:rsidRDefault="002B61D7" w:rsidP="00D46588">
            <w:pPr>
              <w:pStyle w:val="TableText"/>
              <w:jc w:val="right"/>
            </w:pPr>
            <w:r w:rsidRPr="00443625">
              <w:t>359</w:t>
            </w:r>
          </w:p>
        </w:tc>
        <w:tc>
          <w:tcPr>
            <w:tcW w:w="1087" w:type="dxa"/>
            <w:tcBorders>
              <w:top w:val="single" w:sz="4" w:space="0" w:color="000000"/>
            </w:tcBorders>
          </w:tcPr>
          <w:p w14:paraId="185C2E06" w14:textId="77777777" w:rsidR="002B61D7" w:rsidRPr="00443625" w:rsidRDefault="002B61D7" w:rsidP="00D46588">
            <w:pPr>
              <w:pStyle w:val="TableText"/>
              <w:jc w:val="right"/>
            </w:pPr>
            <w:r w:rsidRPr="00443625">
              <w:t>4.0 (0.7,</w:t>
            </w:r>
            <w:r>
              <w:t xml:space="preserve"> </w:t>
            </w:r>
            <w:r w:rsidRPr="00443625">
              <w:t>19.8)</w:t>
            </w:r>
          </w:p>
        </w:tc>
      </w:tr>
      <w:tr w:rsidR="002B61D7" w:rsidRPr="00AF016D" w14:paraId="7AA3B240" w14:textId="77777777" w:rsidTr="00A903BD">
        <w:trPr>
          <w:cantSplit/>
        </w:trPr>
        <w:tc>
          <w:tcPr>
            <w:tcW w:w="1638" w:type="dxa"/>
          </w:tcPr>
          <w:p w14:paraId="76E5D1E3" w14:textId="77777777" w:rsidR="002B61D7" w:rsidRPr="004445C3" w:rsidRDefault="002B61D7" w:rsidP="00D46588">
            <w:pPr>
              <w:pStyle w:val="TableText"/>
            </w:pPr>
            <w:r w:rsidRPr="004445C3">
              <w:t>Somewhat dissatisfied</w:t>
            </w:r>
          </w:p>
        </w:tc>
        <w:tc>
          <w:tcPr>
            <w:tcW w:w="810" w:type="dxa"/>
          </w:tcPr>
          <w:p w14:paraId="69B1E0E2" w14:textId="77777777" w:rsidR="002B61D7" w:rsidRPr="00443625" w:rsidRDefault="002B61D7" w:rsidP="00D46588">
            <w:pPr>
              <w:pStyle w:val="TableText"/>
              <w:jc w:val="right"/>
            </w:pPr>
            <w:r w:rsidRPr="00443625">
              <w:t>126</w:t>
            </w:r>
          </w:p>
        </w:tc>
        <w:tc>
          <w:tcPr>
            <w:tcW w:w="900" w:type="dxa"/>
          </w:tcPr>
          <w:p w14:paraId="680D1BD6" w14:textId="77777777" w:rsidR="002B61D7" w:rsidRPr="00443625" w:rsidRDefault="002B61D7" w:rsidP="00D46588">
            <w:pPr>
              <w:pStyle w:val="TableText"/>
              <w:jc w:val="right"/>
            </w:pPr>
            <w:r w:rsidRPr="00443625">
              <w:t>1016</w:t>
            </w:r>
          </w:p>
        </w:tc>
        <w:tc>
          <w:tcPr>
            <w:tcW w:w="1128" w:type="dxa"/>
          </w:tcPr>
          <w:p w14:paraId="59F1C37F" w14:textId="77777777" w:rsidR="002B61D7" w:rsidRPr="00443625" w:rsidRDefault="002B61D7" w:rsidP="00D46588">
            <w:pPr>
              <w:pStyle w:val="TableText"/>
              <w:jc w:val="right"/>
            </w:pPr>
            <w:r w:rsidRPr="00443625">
              <w:t>16.6 (13.6,</w:t>
            </w:r>
            <w:r>
              <w:t xml:space="preserve"> </w:t>
            </w:r>
            <w:r w:rsidRPr="00443625">
              <w:t>20.1)</w:t>
            </w:r>
          </w:p>
        </w:tc>
        <w:tc>
          <w:tcPr>
            <w:tcW w:w="762" w:type="dxa"/>
          </w:tcPr>
          <w:p w14:paraId="2AE5C86A" w14:textId="77777777" w:rsidR="002B61D7" w:rsidRPr="00443625" w:rsidRDefault="002B61D7" w:rsidP="00D46588">
            <w:pPr>
              <w:pStyle w:val="TableText"/>
              <w:jc w:val="right"/>
            </w:pPr>
            <w:r w:rsidRPr="00443625">
              <w:t>149</w:t>
            </w:r>
          </w:p>
        </w:tc>
        <w:tc>
          <w:tcPr>
            <w:tcW w:w="990" w:type="dxa"/>
          </w:tcPr>
          <w:p w14:paraId="4C4645DA" w14:textId="77777777" w:rsidR="002B61D7" w:rsidRPr="00443625" w:rsidRDefault="002B61D7" w:rsidP="00D46588">
            <w:pPr>
              <w:pStyle w:val="TableText"/>
              <w:jc w:val="right"/>
            </w:pPr>
            <w:r w:rsidRPr="00443625">
              <w:t>831</w:t>
            </w:r>
          </w:p>
        </w:tc>
        <w:tc>
          <w:tcPr>
            <w:tcW w:w="1087" w:type="dxa"/>
          </w:tcPr>
          <w:p w14:paraId="3EF290A4" w14:textId="77777777" w:rsidR="002B61D7" w:rsidRPr="00443625" w:rsidRDefault="002B61D7" w:rsidP="00D46588">
            <w:pPr>
              <w:pStyle w:val="TableText"/>
              <w:jc w:val="right"/>
            </w:pPr>
            <w:r w:rsidRPr="00443625">
              <w:t>9.2 (5.8,</w:t>
            </w:r>
            <w:r>
              <w:t xml:space="preserve"> </w:t>
            </w:r>
            <w:r w:rsidRPr="00443625">
              <w:t>14.2)</w:t>
            </w:r>
          </w:p>
        </w:tc>
      </w:tr>
      <w:tr w:rsidR="002B61D7" w:rsidRPr="00AF016D" w14:paraId="1B736FE7"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638" w:type="dxa"/>
          </w:tcPr>
          <w:p w14:paraId="74FA36CF" w14:textId="77777777" w:rsidR="002B61D7" w:rsidRPr="004445C3" w:rsidRDefault="002B61D7" w:rsidP="00D46588">
            <w:pPr>
              <w:pStyle w:val="TableText"/>
            </w:pPr>
            <w:r w:rsidRPr="004445C3">
              <w:t>Somewhat satisfied</w:t>
            </w:r>
          </w:p>
        </w:tc>
        <w:tc>
          <w:tcPr>
            <w:tcW w:w="810" w:type="dxa"/>
          </w:tcPr>
          <w:p w14:paraId="3E15A341" w14:textId="77777777" w:rsidR="002B61D7" w:rsidRPr="00443625" w:rsidRDefault="002B61D7" w:rsidP="00D46588">
            <w:pPr>
              <w:pStyle w:val="TableText"/>
              <w:jc w:val="right"/>
            </w:pPr>
            <w:r w:rsidRPr="00443625">
              <w:t>642</w:t>
            </w:r>
          </w:p>
        </w:tc>
        <w:tc>
          <w:tcPr>
            <w:tcW w:w="900" w:type="dxa"/>
          </w:tcPr>
          <w:p w14:paraId="5F24B86C" w14:textId="77777777" w:rsidR="002B61D7" w:rsidRPr="00443625" w:rsidRDefault="002B61D7" w:rsidP="00D46588">
            <w:pPr>
              <w:pStyle w:val="TableText"/>
              <w:jc w:val="right"/>
            </w:pPr>
            <w:r w:rsidRPr="00443625">
              <w:t>4495</w:t>
            </w:r>
          </w:p>
        </w:tc>
        <w:tc>
          <w:tcPr>
            <w:tcW w:w="1128" w:type="dxa"/>
          </w:tcPr>
          <w:p w14:paraId="1EC3EFD6" w14:textId="77777777" w:rsidR="002B61D7" w:rsidRPr="00443625" w:rsidRDefault="002B61D7" w:rsidP="00D46588">
            <w:pPr>
              <w:pStyle w:val="TableText"/>
              <w:jc w:val="right"/>
            </w:pPr>
            <w:r w:rsidRPr="00443625">
              <w:t>73.5 (69.6,</w:t>
            </w:r>
            <w:r>
              <w:t xml:space="preserve"> </w:t>
            </w:r>
            <w:r w:rsidRPr="00443625">
              <w:t>77.1)</w:t>
            </w:r>
          </w:p>
        </w:tc>
        <w:tc>
          <w:tcPr>
            <w:tcW w:w="762" w:type="dxa"/>
          </w:tcPr>
          <w:p w14:paraId="5DD4AE18" w14:textId="77777777" w:rsidR="002B61D7" w:rsidRPr="00443625" w:rsidRDefault="002B61D7" w:rsidP="00D46588">
            <w:pPr>
              <w:pStyle w:val="TableText"/>
              <w:jc w:val="right"/>
            </w:pPr>
            <w:r w:rsidRPr="00443625">
              <w:t>1121</w:t>
            </w:r>
          </w:p>
        </w:tc>
        <w:tc>
          <w:tcPr>
            <w:tcW w:w="990" w:type="dxa"/>
          </w:tcPr>
          <w:p w14:paraId="4327C841" w14:textId="77777777" w:rsidR="002B61D7" w:rsidRPr="00443625" w:rsidRDefault="002B61D7" w:rsidP="00D46588">
            <w:pPr>
              <w:pStyle w:val="TableText"/>
              <w:jc w:val="right"/>
            </w:pPr>
            <w:r w:rsidRPr="00443625">
              <w:t>7231</w:t>
            </w:r>
          </w:p>
        </w:tc>
        <w:tc>
          <w:tcPr>
            <w:tcW w:w="1087" w:type="dxa"/>
          </w:tcPr>
          <w:p w14:paraId="683A30EA" w14:textId="77777777" w:rsidR="002B61D7" w:rsidRPr="00443625" w:rsidRDefault="002B61D7" w:rsidP="00D46588">
            <w:pPr>
              <w:pStyle w:val="TableText"/>
              <w:jc w:val="right"/>
            </w:pPr>
            <w:r w:rsidRPr="00443625">
              <w:t>80.0 (71.4,</w:t>
            </w:r>
            <w:r>
              <w:t xml:space="preserve"> </w:t>
            </w:r>
            <w:r w:rsidRPr="00443625">
              <w:t>86.4)</w:t>
            </w:r>
          </w:p>
        </w:tc>
      </w:tr>
      <w:tr w:rsidR="002B61D7" w:rsidRPr="00AF016D" w14:paraId="20A73C17" w14:textId="77777777" w:rsidTr="00A903BD">
        <w:trPr>
          <w:cantSplit/>
        </w:trPr>
        <w:tc>
          <w:tcPr>
            <w:tcW w:w="1638" w:type="dxa"/>
            <w:tcBorders>
              <w:bottom w:val="single" w:sz="4" w:space="0" w:color="000000"/>
            </w:tcBorders>
          </w:tcPr>
          <w:p w14:paraId="3698C42A" w14:textId="77777777" w:rsidR="002B61D7" w:rsidRPr="004445C3" w:rsidRDefault="002B61D7" w:rsidP="00D46588">
            <w:pPr>
              <w:pStyle w:val="TableText"/>
            </w:pPr>
            <w:r w:rsidRPr="004445C3">
              <w:t>Very satisfied</w:t>
            </w:r>
          </w:p>
        </w:tc>
        <w:tc>
          <w:tcPr>
            <w:tcW w:w="810" w:type="dxa"/>
            <w:tcBorders>
              <w:bottom w:val="single" w:sz="4" w:space="0" w:color="000000"/>
            </w:tcBorders>
          </w:tcPr>
          <w:p w14:paraId="1DAA5188" w14:textId="77777777" w:rsidR="002B61D7" w:rsidRPr="00443625" w:rsidRDefault="002B61D7" w:rsidP="00D46588">
            <w:pPr>
              <w:pStyle w:val="TableText"/>
              <w:jc w:val="right"/>
            </w:pPr>
            <w:r w:rsidRPr="00443625">
              <w:t>53</w:t>
            </w:r>
          </w:p>
        </w:tc>
        <w:tc>
          <w:tcPr>
            <w:tcW w:w="900" w:type="dxa"/>
            <w:tcBorders>
              <w:bottom w:val="single" w:sz="4" w:space="0" w:color="000000"/>
            </w:tcBorders>
          </w:tcPr>
          <w:p w14:paraId="2A0692D1" w14:textId="77777777" w:rsidR="002B61D7" w:rsidRPr="00443625" w:rsidRDefault="002B61D7" w:rsidP="00D46588">
            <w:pPr>
              <w:pStyle w:val="TableText"/>
              <w:jc w:val="right"/>
            </w:pPr>
            <w:r w:rsidRPr="00443625">
              <w:t>324</w:t>
            </w:r>
          </w:p>
        </w:tc>
        <w:tc>
          <w:tcPr>
            <w:tcW w:w="1128" w:type="dxa"/>
            <w:tcBorders>
              <w:bottom w:val="single" w:sz="4" w:space="0" w:color="000000"/>
            </w:tcBorders>
          </w:tcPr>
          <w:p w14:paraId="593B2F8B" w14:textId="77777777" w:rsidR="002B61D7" w:rsidRPr="00443625" w:rsidRDefault="002B61D7" w:rsidP="00D46588">
            <w:pPr>
              <w:pStyle w:val="TableText"/>
              <w:jc w:val="right"/>
            </w:pPr>
            <w:r w:rsidRPr="00443625">
              <w:t>5.3 (3.9,</w:t>
            </w:r>
            <w:r>
              <w:t xml:space="preserve"> </w:t>
            </w:r>
            <w:r w:rsidRPr="00443625">
              <w:t>7.2)</w:t>
            </w:r>
          </w:p>
        </w:tc>
        <w:tc>
          <w:tcPr>
            <w:tcW w:w="762" w:type="dxa"/>
            <w:tcBorders>
              <w:bottom w:val="single" w:sz="4" w:space="0" w:color="000000"/>
            </w:tcBorders>
          </w:tcPr>
          <w:p w14:paraId="4E9BDC9C" w14:textId="77777777" w:rsidR="002B61D7" w:rsidRPr="00443625" w:rsidRDefault="002B61D7" w:rsidP="00D46588">
            <w:pPr>
              <w:pStyle w:val="TableText"/>
              <w:jc w:val="right"/>
            </w:pPr>
            <w:r w:rsidRPr="00443625">
              <w:t>106</w:t>
            </w:r>
          </w:p>
        </w:tc>
        <w:tc>
          <w:tcPr>
            <w:tcW w:w="990" w:type="dxa"/>
            <w:tcBorders>
              <w:bottom w:val="single" w:sz="4" w:space="0" w:color="000000"/>
            </w:tcBorders>
          </w:tcPr>
          <w:p w14:paraId="4C6B22D7" w14:textId="77777777" w:rsidR="002B61D7" w:rsidRPr="00443625" w:rsidRDefault="002B61D7" w:rsidP="00D46588">
            <w:pPr>
              <w:pStyle w:val="TableText"/>
              <w:jc w:val="right"/>
            </w:pPr>
            <w:r w:rsidRPr="00443625">
              <w:t>404</w:t>
            </w:r>
          </w:p>
        </w:tc>
        <w:tc>
          <w:tcPr>
            <w:tcW w:w="1087" w:type="dxa"/>
            <w:tcBorders>
              <w:bottom w:val="single" w:sz="4" w:space="0" w:color="000000"/>
            </w:tcBorders>
          </w:tcPr>
          <w:p w14:paraId="45246799" w14:textId="77777777" w:rsidR="002B61D7" w:rsidRPr="00443625" w:rsidRDefault="002B61D7" w:rsidP="00D46588">
            <w:pPr>
              <w:pStyle w:val="TableText"/>
              <w:jc w:val="right"/>
            </w:pPr>
            <w:r w:rsidRPr="00443625">
              <w:t>4.5 (3.4,</w:t>
            </w:r>
            <w:r>
              <w:t xml:space="preserve"> </w:t>
            </w:r>
            <w:r w:rsidRPr="00443625">
              <w:t>5.9)</w:t>
            </w:r>
          </w:p>
        </w:tc>
      </w:tr>
      <w:tr w:rsidR="002B61D7" w:rsidRPr="00AF016D" w14:paraId="6C186657"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638" w:type="dxa"/>
            <w:tcBorders>
              <w:top w:val="single" w:sz="4" w:space="0" w:color="000000"/>
              <w:bottom w:val="nil"/>
            </w:tcBorders>
          </w:tcPr>
          <w:p w14:paraId="4AB8FA39" w14:textId="77777777" w:rsidR="002B61D7" w:rsidRPr="00443625" w:rsidRDefault="002B61D7" w:rsidP="00D46588">
            <w:pPr>
              <w:pStyle w:val="TableText"/>
              <w:rPr>
                <w:b/>
              </w:rPr>
            </w:pPr>
            <w:r w:rsidRPr="00443625">
              <w:rPr>
                <w:b/>
              </w:rPr>
              <w:t xml:space="preserve">Dichotomous </w:t>
            </w:r>
            <w:r>
              <w:rPr>
                <w:b/>
              </w:rPr>
              <w:t>g</w:t>
            </w:r>
            <w:r w:rsidRPr="00443625">
              <w:rPr>
                <w:b/>
              </w:rPr>
              <w:t>rouping</w:t>
            </w:r>
          </w:p>
        </w:tc>
        <w:tc>
          <w:tcPr>
            <w:tcW w:w="810" w:type="dxa"/>
            <w:tcBorders>
              <w:top w:val="single" w:sz="4" w:space="0" w:color="000000"/>
              <w:bottom w:val="nil"/>
            </w:tcBorders>
          </w:tcPr>
          <w:p w14:paraId="35643B91" w14:textId="77777777" w:rsidR="002B61D7" w:rsidRPr="00443625" w:rsidRDefault="002B61D7" w:rsidP="00D46588">
            <w:pPr>
              <w:pStyle w:val="TableText"/>
              <w:jc w:val="right"/>
            </w:pPr>
          </w:p>
        </w:tc>
        <w:tc>
          <w:tcPr>
            <w:tcW w:w="900" w:type="dxa"/>
            <w:tcBorders>
              <w:top w:val="single" w:sz="4" w:space="0" w:color="000000"/>
              <w:bottom w:val="nil"/>
            </w:tcBorders>
          </w:tcPr>
          <w:p w14:paraId="614E01DD" w14:textId="77777777" w:rsidR="002B61D7" w:rsidRPr="00443625" w:rsidRDefault="002B61D7" w:rsidP="00D46588">
            <w:pPr>
              <w:pStyle w:val="TableText"/>
              <w:jc w:val="right"/>
            </w:pPr>
          </w:p>
        </w:tc>
        <w:tc>
          <w:tcPr>
            <w:tcW w:w="1128" w:type="dxa"/>
            <w:tcBorders>
              <w:top w:val="single" w:sz="4" w:space="0" w:color="000000"/>
              <w:bottom w:val="nil"/>
            </w:tcBorders>
          </w:tcPr>
          <w:p w14:paraId="08AA7379" w14:textId="77777777" w:rsidR="002B61D7" w:rsidRPr="00443625" w:rsidRDefault="002B61D7" w:rsidP="00D46588">
            <w:pPr>
              <w:pStyle w:val="TableText"/>
              <w:jc w:val="right"/>
            </w:pPr>
          </w:p>
        </w:tc>
        <w:tc>
          <w:tcPr>
            <w:tcW w:w="762" w:type="dxa"/>
            <w:tcBorders>
              <w:top w:val="single" w:sz="4" w:space="0" w:color="000000"/>
              <w:bottom w:val="nil"/>
            </w:tcBorders>
          </w:tcPr>
          <w:p w14:paraId="0E1CA9EC" w14:textId="77777777" w:rsidR="002B61D7" w:rsidRPr="00443625" w:rsidRDefault="002B61D7" w:rsidP="00D46588">
            <w:pPr>
              <w:pStyle w:val="TableText"/>
              <w:jc w:val="right"/>
            </w:pPr>
          </w:p>
        </w:tc>
        <w:tc>
          <w:tcPr>
            <w:tcW w:w="990" w:type="dxa"/>
            <w:tcBorders>
              <w:top w:val="single" w:sz="4" w:space="0" w:color="000000"/>
              <w:bottom w:val="nil"/>
            </w:tcBorders>
          </w:tcPr>
          <w:p w14:paraId="7CAF88B7" w14:textId="77777777" w:rsidR="002B61D7" w:rsidRPr="00443625" w:rsidRDefault="002B61D7" w:rsidP="00D46588">
            <w:pPr>
              <w:pStyle w:val="TableText"/>
              <w:jc w:val="right"/>
            </w:pPr>
          </w:p>
        </w:tc>
        <w:tc>
          <w:tcPr>
            <w:tcW w:w="1087" w:type="dxa"/>
            <w:tcBorders>
              <w:top w:val="single" w:sz="4" w:space="0" w:color="000000"/>
              <w:bottom w:val="nil"/>
            </w:tcBorders>
          </w:tcPr>
          <w:p w14:paraId="751CC758" w14:textId="77777777" w:rsidR="002B61D7" w:rsidRPr="00443625" w:rsidRDefault="002B61D7" w:rsidP="00D46588">
            <w:pPr>
              <w:pStyle w:val="TableText"/>
              <w:jc w:val="right"/>
            </w:pPr>
          </w:p>
        </w:tc>
      </w:tr>
      <w:tr w:rsidR="002B61D7" w:rsidRPr="00AF016D" w14:paraId="708AFD89" w14:textId="77777777" w:rsidTr="00A903BD">
        <w:trPr>
          <w:cantSplit/>
        </w:trPr>
        <w:tc>
          <w:tcPr>
            <w:tcW w:w="1638" w:type="dxa"/>
            <w:tcBorders>
              <w:top w:val="nil"/>
            </w:tcBorders>
          </w:tcPr>
          <w:p w14:paraId="7F1AFCAE" w14:textId="77777777" w:rsidR="002B61D7" w:rsidRPr="004445C3" w:rsidRDefault="002B61D7" w:rsidP="00D46588">
            <w:pPr>
              <w:pStyle w:val="TableText"/>
            </w:pPr>
            <w:r w:rsidRPr="004445C3">
              <w:t>Dissatisfied</w:t>
            </w:r>
          </w:p>
        </w:tc>
        <w:tc>
          <w:tcPr>
            <w:tcW w:w="810" w:type="dxa"/>
            <w:tcBorders>
              <w:top w:val="nil"/>
            </w:tcBorders>
          </w:tcPr>
          <w:p w14:paraId="495CA0C3" w14:textId="77777777" w:rsidR="002B61D7" w:rsidRPr="00443625" w:rsidRDefault="002B61D7" w:rsidP="00D46588">
            <w:pPr>
              <w:pStyle w:val="TableText"/>
              <w:jc w:val="right"/>
            </w:pPr>
            <w:r w:rsidRPr="00443625">
              <w:t>137</w:t>
            </w:r>
          </w:p>
        </w:tc>
        <w:tc>
          <w:tcPr>
            <w:tcW w:w="900" w:type="dxa"/>
            <w:tcBorders>
              <w:top w:val="nil"/>
            </w:tcBorders>
          </w:tcPr>
          <w:p w14:paraId="019034EE" w14:textId="77777777" w:rsidR="002B61D7" w:rsidRPr="00443625" w:rsidRDefault="002B61D7" w:rsidP="00D46588">
            <w:pPr>
              <w:pStyle w:val="TableText"/>
              <w:jc w:val="right"/>
            </w:pPr>
            <w:r w:rsidRPr="00443625">
              <w:t>1097</w:t>
            </w:r>
          </w:p>
        </w:tc>
        <w:tc>
          <w:tcPr>
            <w:tcW w:w="1128" w:type="dxa"/>
            <w:tcBorders>
              <w:top w:val="nil"/>
            </w:tcBorders>
          </w:tcPr>
          <w:p w14:paraId="144B4B02" w14:textId="77777777" w:rsidR="002B61D7" w:rsidRPr="00443625" w:rsidRDefault="002B61D7" w:rsidP="00D46588">
            <w:pPr>
              <w:pStyle w:val="TableText"/>
              <w:jc w:val="right"/>
            </w:pPr>
            <w:r w:rsidRPr="00443625">
              <w:t>17.9 (14.8,</w:t>
            </w:r>
            <w:r>
              <w:t xml:space="preserve"> </w:t>
            </w:r>
            <w:r w:rsidRPr="00443625">
              <w:t>21.5)</w:t>
            </w:r>
          </w:p>
        </w:tc>
        <w:tc>
          <w:tcPr>
            <w:tcW w:w="762" w:type="dxa"/>
            <w:tcBorders>
              <w:top w:val="nil"/>
            </w:tcBorders>
          </w:tcPr>
          <w:p w14:paraId="27893637" w14:textId="77777777" w:rsidR="002B61D7" w:rsidRPr="00443625" w:rsidRDefault="002B61D7" w:rsidP="00D46588">
            <w:pPr>
              <w:pStyle w:val="TableText"/>
              <w:jc w:val="right"/>
            </w:pPr>
            <w:r w:rsidRPr="00443625">
              <w:t>161</w:t>
            </w:r>
          </w:p>
        </w:tc>
        <w:tc>
          <w:tcPr>
            <w:tcW w:w="990" w:type="dxa"/>
            <w:tcBorders>
              <w:top w:val="nil"/>
            </w:tcBorders>
          </w:tcPr>
          <w:p w14:paraId="55F19A95" w14:textId="77777777" w:rsidR="002B61D7" w:rsidRPr="00443625" w:rsidRDefault="002B61D7" w:rsidP="00D46588">
            <w:pPr>
              <w:pStyle w:val="TableText"/>
              <w:jc w:val="right"/>
            </w:pPr>
            <w:r w:rsidRPr="00443625">
              <w:t>1190</w:t>
            </w:r>
          </w:p>
        </w:tc>
        <w:tc>
          <w:tcPr>
            <w:tcW w:w="1087" w:type="dxa"/>
            <w:tcBorders>
              <w:top w:val="nil"/>
            </w:tcBorders>
          </w:tcPr>
          <w:p w14:paraId="30C429F9" w14:textId="77777777" w:rsidR="002B61D7" w:rsidRPr="00443625" w:rsidRDefault="002B61D7" w:rsidP="00D46588">
            <w:pPr>
              <w:pStyle w:val="TableText"/>
              <w:jc w:val="right"/>
            </w:pPr>
            <w:r w:rsidRPr="00443625">
              <w:t>13.2 (7.3,</w:t>
            </w:r>
            <w:r>
              <w:t xml:space="preserve"> </w:t>
            </w:r>
            <w:r w:rsidRPr="00443625">
              <w:t>22.6)</w:t>
            </w:r>
          </w:p>
        </w:tc>
      </w:tr>
      <w:tr w:rsidR="002B61D7" w:rsidRPr="00AF016D" w14:paraId="59745912"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638" w:type="dxa"/>
          </w:tcPr>
          <w:p w14:paraId="1F2D66EF" w14:textId="77777777" w:rsidR="002B61D7" w:rsidRPr="004445C3" w:rsidRDefault="002B61D7" w:rsidP="00D46588">
            <w:pPr>
              <w:pStyle w:val="TableText"/>
            </w:pPr>
            <w:r w:rsidRPr="004445C3">
              <w:t>Satisfied</w:t>
            </w:r>
          </w:p>
        </w:tc>
        <w:tc>
          <w:tcPr>
            <w:tcW w:w="810" w:type="dxa"/>
          </w:tcPr>
          <w:p w14:paraId="2BD2A389" w14:textId="77777777" w:rsidR="002B61D7" w:rsidRPr="00443625" w:rsidRDefault="002B61D7" w:rsidP="00D46588">
            <w:pPr>
              <w:pStyle w:val="TableText"/>
              <w:jc w:val="right"/>
            </w:pPr>
            <w:r w:rsidRPr="00443625">
              <w:t>695</w:t>
            </w:r>
          </w:p>
        </w:tc>
        <w:tc>
          <w:tcPr>
            <w:tcW w:w="900" w:type="dxa"/>
          </w:tcPr>
          <w:p w14:paraId="4AD887E6" w14:textId="77777777" w:rsidR="002B61D7" w:rsidRPr="00443625" w:rsidRDefault="002B61D7" w:rsidP="00D46588">
            <w:pPr>
              <w:pStyle w:val="TableText"/>
              <w:jc w:val="right"/>
            </w:pPr>
            <w:r w:rsidRPr="00443625">
              <w:t>4820</w:t>
            </w:r>
          </w:p>
        </w:tc>
        <w:tc>
          <w:tcPr>
            <w:tcW w:w="1128" w:type="dxa"/>
          </w:tcPr>
          <w:p w14:paraId="6FE2672E" w14:textId="77777777" w:rsidR="002B61D7" w:rsidRPr="00443625" w:rsidRDefault="002B61D7" w:rsidP="00D46588">
            <w:pPr>
              <w:pStyle w:val="TableText"/>
              <w:jc w:val="right"/>
            </w:pPr>
            <w:r w:rsidRPr="00443625">
              <w:t>78.8 (75.0,</w:t>
            </w:r>
            <w:r>
              <w:t xml:space="preserve"> </w:t>
            </w:r>
            <w:r w:rsidRPr="00443625">
              <w:t>82.2)</w:t>
            </w:r>
          </w:p>
        </w:tc>
        <w:tc>
          <w:tcPr>
            <w:tcW w:w="762" w:type="dxa"/>
          </w:tcPr>
          <w:p w14:paraId="5B9D4DBD" w14:textId="77777777" w:rsidR="002B61D7" w:rsidRPr="00443625" w:rsidRDefault="002B61D7" w:rsidP="00D46588">
            <w:pPr>
              <w:pStyle w:val="TableText"/>
              <w:jc w:val="right"/>
            </w:pPr>
            <w:r w:rsidRPr="00443625">
              <w:t>1227</w:t>
            </w:r>
          </w:p>
        </w:tc>
        <w:tc>
          <w:tcPr>
            <w:tcW w:w="990" w:type="dxa"/>
          </w:tcPr>
          <w:p w14:paraId="3CBC3995" w14:textId="77777777" w:rsidR="002B61D7" w:rsidRPr="00443625" w:rsidRDefault="002B61D7" w:rsidP="00D46588">
            <w:pPr>
              <w:pStyle w:val="TableText"/>
              <w:jc w:val="right"/>
            </w:pPr>
            <w:r w:rsidRPr="00443625">
              <w:t>7635</w:t>
            </w:r>
          </w:p>
        </w:tc>
        <w:tc>
          <w:tcPr>
            <w:tcW w:w="1087" w:type="dxa"/>
          </w:tcPr>
          <w:p w14:paraId="1BF9CE84" w14:textId="77777777" w:rsidR="002B61D7" w:rsidRPr="00443625" w:rsidRDefault="002B61D7" w:rsidP="00D46588">
            <w:pPr>
              <w:pStyle w:val="TableText"/>
              <w:jc w:val="right"/>
            </w:pPr>
            <w:r w:rsidRPr="00443625">
              <w:t>84.4 (75.4,</w:t>
            </w:r>
            <w:r>
              <w:t xml:space="preserve"> </w:t>
            </w:r>
            <w:r w:rsidRPr="00443625">
              <w:t>90.5)</w:t>
            </w:r>
          </w:p>
        </w:tc>
      </w:tr>
    </w:tbl>
    <w:p w14:paraId="5F89ED71" w14:textId="77777777" w:rsidR="002B61D7" w:rsidRPr="006A3EA0" w:rsidRDefault="002B61D7" w:rsidP="002B61D7">
      <w:pPr>
        <w:pStyle w:val="TableNotes"/>
      </w:pPr>
      <w:r w:rsidRPr="006A3EA0">
        <w:t>Notes</w:t>
      </w:r>
    </w:p>
    <w:p w14:paraId="4966E317" w14:textId="77777777" w:rsidR="002B61D7" w:rsidRPr="00443625" w:rsidRDefault="002B61D7" w:rsidP="002B61D7">
      <w:pPr>
        <w:pStyle w:val="TableNotes"/>
      </w:pPr>
      <w:r w:rsidRPr="00443625">
        <w:t xml:space="preserve">Denominator: Those who use the </w:t>
      </w:r>
      <w:r>
        <w:t>internet</w:t>
      </w:r>
      <w:r w:rsidRPr="00443625">
        <w:t xml:space="preserve"> to seek help or information for, or manage, mental health issues</w:t>
      </w:r>
      <w:r>
        <w:t>.</w:t>
      </w:r>
    </w:p>
    <w:p w14:paraId="0B22B76F" w14:textId="77777777" w:rsidR="002B61D7" w:rsidRPr="00443625" w:rsidRDefault="002B61D7" w:rsidP="002B61D7">
      <w:pPr>
        <w:pStyle w:val="TableNotes"/>
      </w:pPr>
      <w:r w:rsidRPr="00443625">
        <w:t>Based on weighted counts, 200 (3.3%) Transitioned ADF and 218 (2.4%) 2015 Regular ADF had a missing value for this question.</w:t>
      </w:r>
      <w:r>
        <w:t xml:space="preserve"> </w:t>
      </w:r>
      <w:r w:rsidRPr="00443625">
        <w:t>However, distributions are calculated by including those with a missing value to allow for correct weighted totals.</w:t>
      </w:r>
    </w:p>
    <w:p w14:paraId="4DE3DB24" w14:textId="77777777" w:rsidR="002B61D7" w:rsidRPr="00443625" w:rsidRDefault="002B61D7" w:rsidP="002B61D7">
      <w:pPr>
        <w:pStyle w:val="TableNotes"/>
      </w:pPr>
      <w:r>
        <w:t>95%CI = 95% confidence interval.</w:t>
      </w:r>
    </w:p>
    <w:p w14:paraId="395AC84C" w14:textId="77777777" w:rsidR="002B61D7" w:rsidRDefault="002B61D7" w:rsidP="002B61D7">
      <w:pPr>
        <w:pStyle w:val="TableNotes"/>
      </w:pPr>
      <w:r w:rsidRPr="00443625">
        <w:t>For a full description of odds ratios, interpretation and strength of association</w:t>
      </w:r>
      <w:r>
        <w:t>,</w:t>
      </w:r>
      <w:r w:rsidRPr="00443625">
        <w:t xml:space="preserve"> please refer to Table B.1 </w:t>
      </w:r>
      <w:r w:rsidRPr="00BB1B84">
        <w:t xml:space="preserve">in </w:t>
      </w:r>
      <w:r w:rsidR="00374073">
        <w:t>Annex </w:t>
      </w:r>
      <w:r>
        <w:t>B, Odds ratio table.</w:t>
      </w:r>
    </w:p>
    <w:p w14:paraId="6AC2EBBD" w14:textId="0CFB96F7" w:rsidR="002B61D7" w:rsidRDefault="002B61D7" w:rsidP="002B61D7">
      <w:pPr>
        <w:pStyle w:val="FigureName"/>
      </w:pPr>
      <w:bookmarkStart w:id="734" w:name="_Ref517356846"/>
      <w:bookmarkStart w:id="735" w:name="_Toc509922956"/>
      <w:bookmarkStart w:id="736" w:name="_Toc515374730"/>
      <w:bookmarkStart w:id="737" w:name="_Toc528932414"/>
      <w:bookmarkStart w:id="738" w:name="_Toc531858094"/>
      <w:r>
        <w:t xml:space="preserve">Figure </w:t>
      </w:r>
      <w:r>
        <w:rPr>
          <w:noProof/>
        </w:rPr>
        <w:t>6</w:t>
      </w:r>
      <w:r>
        <w:t>.</w:t>
      </w:r>
      <w:r>
        <w:rPr>
          <w:noProof/>
        </w:rPr>
        <w:t>4</w:t>
      </w:r>
      <w:bookmarkEnd w:id="734"/>
      <w:r>
        <w:tab/>
      </w:r>
      <w:r w:rsidRPr="001934CF">
        <w:t xml:space="preserve">Satisfaction with mental health information available on the </w:t>
      </w:r>
      <w:r>
        <w:t>internet</w:t>
      </w:r>
      <w:r w:rsidRPr="001934CF">
        <w:t xml:space="preserve"> </w:t>
      </w:r>
      <w:r>
        <w:t>among Transitioned ADF and 2015 Regular ADF</w:t>
      </w:r>
      <w:bookmarkEnd w:id="735"/>
      <w:bookmarkEnd w:id="736"/>
      <w:r>
        <w:t xml:space="preserve"> who reported that they used</w:t>
      </w:r>
      <w:r w:rsidRPr="00DF1417">
        <w:t xml:space="preserve"> the </w:t>
      </w:r>
      <w:r>
        <w:t>internet</w:t>
      </w:r>
      <w:r w:rsidRPr="00DF1417">
        <w:t xml:space="preserve"> to seek help or information or manage mental health</w:t>
      </w:r>
      <w:r>
        <w:t xml:space="preserve"> issues</w:t>
      </w:r>
      <w:bookmarkEnd w:id="737"/>
      <w:bookmarkEnd w:id="738"/>
    </w:p>
    <w:p w14:paraId="52DAB396" w14:textId="77777777" w:rsidR="002B61D7" w:rsidRDefault="002B61D7" w:rsidP="002B61D7">
      <w:pPr>
        <w:spacing w:after="360"/>
      </w:pPr>
      <w:r w:rsidRPr="001A4FD0">
        <w:rPr>
          <w:noProof/>
          <w:lang w:eastAsia="en-AU"/>
        </w:rPr>
        <w:drawing>
          <wp:inline distT="0" distB="0" distL="0" distR="0" wp14:anchorId="3BCE89DB" wp14:editId="3DF391CD">
            <wp:extent cx="4572000" cy="2286000"/>
            <wp:effectExtent l="0" t="0" r="0" b="0"/>
            <wp:docPr id="473" name="Picture 473" descr="Figure 6.4 Satisfaction with mental health information available on the internet among Transitioned ADF and 2015 Regular ADF who reported that they used the internet to seek help or information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ealthSciences\SPHCP\CTSS\DATA REPOSITORY\TWRP\REPORT 5\FIGURE_4_18.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14:paraId="2B2859FC" w14:textId="77777777" w:rsidR="002B61D7" w:rsidRPr="00443625" w:rsidRDefault="002B61D7" w:rsidP="002B61D7">
      <w:pPr>
        <w:pStyle w:val="Heading3"/>
        <w:numPr>
          <w:ilvl w:val="2"/>
          <w:numId w:val="1"/>
        </w:numPr>
      </w:pPr>
      <w:bookmarkStart w:id="739" w:name="_Toc515374506"/>
      <w:bookmarkStart w:id="740" w:name="_Toc518566406"/>
      <w:bookmarkStart w:id="741" w:name="_Toc528932694"/>
      <w:bookmarkStart w:id="742" w:name="_Toc531859231"/>
      <w:r w:rsidRPr="00443625">
        <w:t>Probable 30-day disorder and demographic characteristics</w:t>
      </w:r>
      <w:bookmarkEnd w:id="739"/>
      <w:bookmarkEnd w:id="740"/>
      <w:bookmarkEnd w:id="741"/>
      <w:bookmarkEnd w:id="742"/>
    </w:p>
    <w:p w14:paraId="4610DFE1" w14:textId="77777777" w:rsidR="002B61D7" w:rsidRPr="00B14249" w:rsidRDefault="002B61D7" w:rsidP="004E24A7">
      <w:r>
        <w:t xml:space="preserve">Table </w:t>
      </w:r>
      <w:r>
        <w:rPr>
          <w:noProof/>
        </w:rPr>
        <w:t>6</w:t>
      </w:r>
      <w:r>
        <w:t>.</w:t>
      </w:r>
      <w:r>
        <w:rPr>
          <w:noProof/>
        </w:rPr>
        <w:t>9</w:t>
      </w:r>
      <w:r>
        <w:t xml:space="preserve"> </w:t>
      </w:r>
      <w:r w:rsidRPr="00B14249">
        <w:t>presents the estimated proportion of the Transitioned ADF and 2015 Regular ADF</w:t>
      </w:r>
      <w:r>
        <w:t xml:space="preserve"> </w:t>
      </w:r>
      <w:r>
        <w:rPr>
          <w:rFonts w:asciiTheme="minorHAnsi" w:hAnsiTheme="minorHAnsi"/>
        </w:rPr>
        <w:t>(</w:t>
      </w:r>
      <w:r>
        <w:t xml:space="preserve">who reported that they use the internet to seek help or </w:t>
      </w:r>
      <w:r w:rsidRPr="00DF1417">
        <w:t xml:space="preserve">information or </w:t>
      </w:r>
      <w:r>
        <w:t xml:space="preserve">to </w:t>
      </w:r>
      <w:r w:rsidRPr="00DF1417">
        <w:t>manage mental health</w:t>
      </w:r>
      <w:r>
        <w:t xml:space="preserve"> issues) </w:t>
      </w:r>
      <w:r w:rsidRPr="00B14249">
        <w:t xml:space="preserve">who were satisfied </w:t>
      </w:r>
      <w:r w:rsidR="008A5AB0">
        <w:t xml:space="preserve">versus </w:t>
      </w:r>
      <w:r>
        <w:t xml:space="preserve">those dissatisfied </w:t>
      </w:r>
      <w:r w:rsidRPr="00B14249">
        <w:t xml:space="preserve">with the mental health information they received on the </w:t>
      </w:r>
      <w:r>
        <w:t>internet</w:t>
      </w:r>
      <w:r w:rsidRPr="00B14249">
        <w:t>, according to probable disorder status and demographic characteristics.</w:t>
      </w:r>
    </w:p>
    <w:p w14:paraId="10699195" w14:textId="77777777" w:rsidR="002B61D7" w:rsidRPr="00B14249" w:rsidRDefault="002B61D7" w:rsidP="004E24A7">
      <w:r>
        <w:t>The majority of Transitioned ADF and 2015 Regular ADF with a probable 30-day disorder reported being satisfied with the information they received (74.2% and 86.7% respectively).</w:t>
      </w:r>
    </w:p>
    <w:p w14:paraId="3D02C89C" w14:textId="77777777" w:rsidR="002B61D7" w:rsidRDefault="002B61D7" w:rsidP="004E24A7">
      <w:r>
        <w:t>Satisfaction</w:t>
      </w:r>
      <w:r w:rsidRPr="00B723BD">
        <w:t xml:space="preserve"> </w:t>
      </w:r>
      <w:r w:rsidRPr="00B14249">
        <w:t>with the mental health informatio</w:t>
      </w:r>
      <w:r>
        <w:t xml:space="preserve">n they received on the internet did not appear to differ according to probable disorder, age or sex. </w:t>
      </w:r>
    </w:p>
    <w:p w14:paraId="2ED6ED74" w14:textId="77777777" w:rsidR="006E5ED2" w:rsidRDefault="006E5ED2" w:rsidP="006E5ED2"/>
    <w:p w14:paraId="06603A62" w14:textId="77777777" w:rsidR="006E5ED2" w:rsidRDefault="006E5ED2" w:rsidP="006E5ED2">
      <w:pPr>
        <w:sectPr w:rsidR="006E5ED2" w:rsidSect="00463E44">
          <w:footerReference w:type="even" r:id="rId76"/>
          <w:footerReference w:type="default" r:id="rId77"/>
          <w:pgSz w:w="9979" w:h="14170" w:code="243"/>
          <w:pgMar w:top="1440" w:right="1152" w:bottom="1440" w:left="1728" w:header="576" w:footer="576" w:gutter="0"/>
          <w:cols w:space="708"/>
          <w:docGrid w:linePitch="360"/>
        </w:sectPr>
      </w:pPr>
    </w:p>
    <w:p w14:paraId="34AC80C4" w14:textId="77777777" w:rsidR="005D725B" w:rsidRDefault="005D725B" w:rsidP="005D725B">
      <w:pPr>
        <w:pStyle w:val="TableName"/>
      </w:pPr>
      <w:bookmarkStart w:id="743" w:name="_Toc531858019"/>
      <w:bookmarkStart w:id="744" w:name="_Ref509913076"/>
      <w:bookmarkStart w:id="745" w:name="_Toc509922890"/>
      <w:bookmarkStart w:id="746" w:name="_Toc515374665"/>
      <w:bookmarkStart w:id="747" w:name="_Toc528932340"/>
      <w:r>
        <w:t xml:space="preserve">Table </w:t>
      </w:r>
      <w:r>
        <w:rPr>
          <w:noProof/>
        </w:rPr>
        <w:t>6</w:t>
      </w:r>
      <w:r>
        <w:t>.</w:t>
      </w:r>
      <w:r>
        <w:rPr>
          <w:noProof/>
        </w:rPr>
        <w:t>9</w:t>
      </w:r>
      <w:r>
        <w:tab/>
      </w:r>
      <w:r w:rsidRPr="001934CF">
        <w:t xml:space="preserve">Satisfaction with mental health information available on the </w:t>
      </w:r>
      <w:r>
        <w:t>internet</w:t>
      </w:r>
      <w:r w:rsidRPr="001934CF">
        <w:t xml:space="preserve"> </w:t>
      </w:r>
      <w:r>
        <w:t>among Transitioned ADF and 2015 Regular ADF</w:t>
      </w:r>
      <w:r w:rsidRPr="001934CF">
        <w:t xml:space="preserve"> </w:t>
      </w:r>
      <w:r>
        <w:t>who reported that they used</w:t>
      </w:r>
      <w:r w:rsidRPr="00DF1417">
        <w:t xml:space="preserve"> the </w:t>
      </w:r>
      <w:r>
        <w:t>internet</w:t>
      </w:r>
      <w:r w:rsidRPr="00DF1417">
        <w:t xml:space="preserve"> to seek help or information or manage mental health</w:t>
      </w:r>
      <w:r w:rsidRPr="00D06A87">
        <w:t>, by probable disorder and demographic</w:t>
      </w:r>
      <w:r>
        <w:t xml:space="preserve"> characteristics</w:t>
      </w:r>
      <w:bookmarkEnd w:id="743"/>
    </w:p>
    <w:bookmarkEnd w:id="744"/>
    <w:bookmarkEnd w:id="745"/>
    <w:bookmarkEnd w:id="746"/>
    <w:bookmarkEnd w:id="747"/>
    <w:tbl>
      <w:tblPr>
        <w:tblStyle w:val="TWRPTable"/>
        <w:tblW w:w="5000" w:type="pct"/>
        <w:tblLayout w:type="fixed"/>
        <w:tblCellMar>
          <w:left w:w="115" w:type="dxa"/>
          <w:right w:w="115" w:type="dxa"/>
        </w:tblCellMar>
        <w:tblLook w:val="0000" w:firstRow="0" w:lastRow="0" w:firstColumn="0" w:lastColumn="0" w:noHBand="0" w:noVBand="0"/>
        <w:tblDescription w:val="Table 6.9 Satisfaction with mental health information available on the internet among Transitioned ADF and 2015 Regular ADF who reported that they used the internet to seek help or information or manage mental health, by probable disorder and demographic characteristics"/>
      </w:tblPr>
      <w:tblGrid>
        <w:gridCol w:w="1647"/>
        <w:gridCol w:w="487"/>
        <w:gridCol w:w="794"/>
        <w:gridCol w:w="1126"/>
        <w:gridCol w:w="549"/>
        <w:gridCol w:w="794"/>
        <w:gridCol w:w="1066"/>
        <w:gridCol w:w="522"/>
        <w:gridCol w:w="794"/>
        <w:gridCol w:w="1092"/>
        <w:gridCol w:w="496"/>
        <w:gridCol w:w="794"/>
        <w:gridCol w:w="1119"/>
      </w:tblGrid>
      <w:tr w:rsidR="005D725B" w:rsidRPr="00B95AF7" w14:paraId="1ABE2D98" w14:textId="77777777" w:rsidTr="005D725B">
        <w:trPr>
          <w:cantSplit/>
          <w:tblHeader/>
        </w:trPr>
        <w:tc>
          <w:tcPr>
            <w:tcW w:w="1690" w:type="dxa"/>
            <w:tcBorders>
              <w:top w:val="single" w:sz="4" w:space="0" w:color="000000"/>
              <w:bottom w:val="nil"/>
            </w:tcBorders>
          </w:tcPr>
          <w:p w14:paraId="58D4BDC3" w14:textId="77777777" w:rsidR="005D725B" w:rsidRPr="00B95AF7" w:rsidRDefault="005D725B" w:rsidP="00D46588">
            <w:pPr>
              <w:pStyle w:val="TableText"/>
            </w:pPr>
          </w:p>
        </w:tc>
        <w:tc>
          <w:tcPr>
            <w:tcW w:w="4915" w:type="dxa"/>
            <w:gridSpan w:val="6"/>
            <w:tcBorders>
              <w:top w:val="single" w:sz="4" w:space="0" w:color="000000"/>
              <w:bottom w:val="single" w:sz="4" w:space="0" w:color="000000"/>
            </w:tcBorders>
          </w:tcPr>
          <w:p w14:paraId="7480C484" w14:textId="77777777" w:rsidR="005D725B" w:rsidRPr="00474A81" w:rsidRDefault="005D725B" w:rsidP="005D725B">
            <w:pPr>
              <w:pStyle w:val="TableText"/>
              <w:jc w:val="center"/>
              <w:rPr>
                <w:b/>
              </w:rPr>
            </w:pPr>
            <w:r w:rsidRPr="00474A81">
              <w:rPr>
                <w:rFonts w:cs="Calibri"/>
                <w:b/>
                <w:bCs/>
              </w:rPr>
              <w:t xml:space="preserve">Transitioned ADF </w:t>
            </w:r>
            <w:r>
              <w:rPr>
                <w:rFonts w:cs="Calibri"/>
                <w:b/>
                <w:bCs/>
              </w:rPr>
              <w:br/>
            </w:r>
            <w:r w:rsidRPr="00474A81">
              <w:rPr>
                <w:rFonts w:cs="Calibri"/>
                <w:b/>
                <w:bCs/>
              </w:rPr>
              <w:t>n=6116</w:t>
            </w:r>
          </w:p>
        </w:tc>
        <w:tc>
          <w:tcPr>
            <w:tcW w:w="4915" w:type="dxa"/>
            <w:gridSpan w:val="6"/>
            <w:tcBorders>
              <w:top w:val="single" w:sz="4" w:space="0" w:color="000000"/>
              <w:bottom w:val="single" w:sz="4" w:space="0" w:color="000000"/>
            </w:tcBorders>
          </w:tcPr>
          <w:p w14:paraId="0B0004A0" w14:textId="77777777" w:rsidR="005D725B" w:rsidRPr="00474A81" w:rsidRDefault="005D725B" w:rsidP="005D725B">
            <w:pPr>
              <w:pStyle w:val="TableText"/>
              <w:jc w:val="center"/>
              <w:rPr>
                <w:b/>
              </w:rPr>
            </w:pPr>
            <w:r w:rsidRPr="00474A81">
              <w:rPr>
                <w:rFonts w:cs="Calibri"/>
                <w:b/>
                <w:bCs/>
              </w:rPr>
              <w:t xml:space="preserve">2015 Regular ADF </w:t>
            </w:r>
            <w:r>
              <w:rPr>
                <w:rFonts w:cs="Calibri"/>
                <w:b/>
                <w:bCs/>
              </w:rPr>
              <w:br/>
            </w:r>
            <w:r w:rsidRPr="00474A81">
              <w:rPr>
                <w:rFonts w:cs="Calibri"/>
                <w:b/>
                <w:bCs/>
              </w:rPr>
              <w:t>n=9042</w:t>
            </w:r>
          </w:p>
        </w:tc>
      </w:tr>
      <w:tr w:rsidR="005D725B" w:rsidRPr="00B95AF7" w14:paraId="5DAB88FF" w14:textId="77777777" w:rsidTr="005D725B">
        <w:trPr>
          <w:cantSplit/>
          <w:tblHeader/>
        </w:trPr>
        <w:tc>
          <w:tcPr>
            <w:tcW w:w="1690" w:type="dxa"/>
            <w:tcBorders>
              <w:top w:val="nil"/>
              <w:bottom w:val="nil"/>
            </w:tcBorders>
          </w:tcPr>
          <w:p w14:paraId="0CE7CDEE" w14:textId="77777777" w:rsidR="005D725B" w:rsidRPr="00474A81" w:rsidRDefault="005D725B" w:rsidP="00D46588">
            <w:pPr>
              <w:pStyle w:val="TableText"/>
              <w:rPr>
                <w:b/>
              </w:rPr>
            </w:pPr>
          </w:p>
        </w:tc>
        <w:tc>
          <w:tcPr>
            <w:tcW w:w="2457" w:type="dxa"/>
            <w:gridSpan w:val="3"/>
            <w:tcBorders>
              <w:top w:val="single" w:sz="4" w:space="0" w:color="000000"/>
              <w:bottom w:val="single" w:sz="4" w:space="0" w:color="000000"/>
            </w:tcBorders>
          </w:tcPr>
          <w:p w14:paraId="33D3CF4C" w14:textId="77777777" w:rsidR="005D725B" w:rsidRPr="00474A81" w:rsidRDefault="005D725B" w:rsidP="005D725B">
            <w:pPr>
              <w:pStyle w:val="TableText"/>
              <w:jc w:val="center"/>
              <w:rPr>
                <w:rFonts w:cs="Arial"/>
                <w:b/>
              </w:rPr>
            </w:pPr>
            <w:r w:rsidRPr="00474A81">
              <w:rPr>
                <w:rFonts w:cs="Arial"/>
                <w:b/>
              </w:rPr>
              <w:t>Dissatisfied</w:t>
            </w:r>
            <w:r>
              <w:rPr>
                <w:rFonts w:cs="Arial"/>
                <w:b/>
              </w:rPr>
              <w:br/>
              <w:t>n=</w:t>
            </w:r>
            <w:r w:rsidRPr="00474A81">
              <w:rPr>
                <w:rFonts w:cs="Arial"/>
                <w:b/>
              </w:rPr>
              <w:t>1097</w:t>
            </w:r>
          </w:p>
        </w:tc>
        <w:tc>
          <w:tcPr>
            <w:tcW w:w="2458" w:type="dxa"/>
            <w:gridSpan w:val="3"/>
            <w:tcBorders>
              <w:top w:val="single" w:sz="4" w:space="0" w:color="000000"/>
              <w:bottom w:val="single" w:sz="4" w:space="0" w:color="000000"/>
            </w:tcBorders>
          </w:tcPr>
          <w:p w14:paraId="5FC4540D" w14:textId="77777777" w:rsidR="005D725B" w:rsidRPr="00474A81" w:rsidRDefault="005D725B" w:rsidP="005D725B">
            <w:pPr>
              <w:pStyle w:val="TableText"/>
              <w:jc w:val="center"/>
              <w:rPr>
                <w:rFonts w:cs="Arial"/>
                <w:b/>
              </w:rPr>
            </w:pPr>
            <w:r w:rsidRPr="00474A81">
              <w:rPr>
                <w:rFonts w:cs="Arial"/>
                <w:b/>
              </w:rPr>
              <w:t>Satisfied</w:t>
            </w:r>
            <w:r>
              <w:rPr>
                <w:rFonts w:cs="Arial"/>
                <w:b/>
              </w:rPr>
              <w:br/>
              <w:t>n=</w:t>
            </w:r>
            <w:r w:rsidRPr="00474A81">
              <w:rPr>
                <w:rFonts w:cs="Arial"/>
                <w:b/>
              </w:rPr>
              <w:t>4820</w:t>
            </w:r>
          </w:p>
        </w:tc>
        <w:tc>
          <w:tcPr>
            <w:tcW w:w="2457" w:type="dxa"/>
            <w:gridSpan w:val="3"/>
            <w:tcBorders>
              <w:top w:val="single" w:sz="4" w:space="0" w:color="000000"/>
              <w:bottom w:val="single" w:sz="4" w:space="0" w:color="000000"/>
            </w:tcBorders>
          </w:tcPr>
          <w:p w14:paraId="09D94E78" w14:textId="77777777" w:rsidR="005D725B" w:rsidRPr="00474A81" w:rsidRDefault="005D725B" w:rsidP="005D725B">
            <w:pPr>
              <w:pStyle w:val="TableText"/>
              <w:jc w:val="center"/>
              <w:rPr>
                <w:rFonts w:cs="Arial"/>
                <w:b/>
              </w:rPr>
            </w:pPr>
            <w:r w:rsidRPr="00474A81">
              <w:rPr>
                <w:rFonts w:cs="Arial"/>
                <w:b/>
              </w:rPr>
              <w:t>Dissatisfied</w:t>
            </w:r>
            <w:r>
              <w:rPr>
                <w:rFonts w:cs="Arial"/>
                <w:b/>
              </w:rPr>
              <w:br/>
              <w:t>n=</w:t>
            </w:r>
            <w:r w:rsidRPr="00474A81">
              <w:rPr>
                <w:rFonts w:cs="Arial"/>
                <w:b/>
              </w:rPr>
              <w:t>1190</w:t>
            </w:r>
          </w:p>
        </w:tc>
        <w:tc>
          <w:tcPr>
            <w:tcW w:w="2458" w:type="dxa"/>
            <w:gridSpan w:val="3"/>
            <w:tcBorders>
              <w:top w:val="single" w:sz="4" w:space="0" w:color="000000"/>
              <w:bottom w:val="single" w:sz="4" w:space="0" w:color="000000"/>
            </w:tcBorders>
          </w:tcPr>
          <w:p w14:paraId="70A3F99A" w14:textId="77777777" w:rsidR="005D725B" w:rsidRPr="00474A81" w:rsidRDefault="005D725B" w:rsidP="005D725B">
            <w:pPr>
              <w:pStyle w:val="TableText"/>
              <w:jc w:val="center"/>
              <w:rPr>
                <w:rFonts w:cs="Arial"/>
                <w:b/>
              </w:rPr>
            </w:pPr>
            <w:r w:rsidRPr="00474A81">
              <w:rPr>
                <w:rFonts w:cs="Arial"/>
                <w:b/>
              </w:rPr>
              <w:t>Satisfied</w:t>
            </w:r>
            <w:r>
              <w:rPr>
                <w:rFonts w:cs="Arial"/>
                <w:b/>
              </w:rPr>
              <w:br/>
            </w:r>
            <w:r w:rsidRPr="00474A81">
              <w:rPr>
                <w:rFonts w:cs="Arial"/>
                <w:b/>
              </w:rPr>
              <w:t>n=7635</w:t>
            </w:r>
          </w:p>
        </w:tc>
      </w:tr>
      <w:tr w:rsidR="005D725B" w:rsidRPr="00B95AF7" w14:paraId="469C435B" w14:textId="77777777" w:rsidTr="005D725B">
        <w:trPr>
          <w:cantSplit/>
          <w:tblHeader/>
        </w:trPr>
        <w:tc>
          <w:tcPr>
            <w:tcW w:w="1690" w:type="dxa"/>
            <w:tcBorders>
              <w:top w:val="nil"/>
              <w:bottom w:val="single" w:sz="4" w:space="0" w:color="000000"/>
            </w:tcBorders>
            <w:vAlign w:val="bottom"/>
          </w:tcPr>
          <w:p w14:paraId="18B388D0" w14:textId="77777777" w:rsidR="005D725B" w:rsidRPr="00474A81" w:rsidRDefault="005D725B" w:rsidP="005D725B">
            <w:pPr>
              <w:pStyle w:val="TableText"/>
              <w:rPr>
                <w:b/>
              </w:rPr>
            </w:pPr>
            <w:r w:rsidRPr="00474A81">
              <w:rPr>
                <w:b/>
              </w:rPr>
              <w:t>Type</w:t>
            </w:r>
          </w:p>
        </w:tc>
        <w:tc>
          <w:tcPr>
            <w:tcW w:w="495" w:type="dxa"/>
            <w:tcBorders>
              <w:top w:val="single" w:sz="4" w:space="0" w:color="000000"/>
              <w:bottom w:val="single" w:sz="4" w:space="0" w:color="000000"/>
            </w:tcBorders>
            <w:vAlign w:val="bottom"/>
          </w:tcPr>
          <w:p w14:paraId="3A9455CD" w14:textId="77777777" w:rsidR="005D725B" w:rsidRPr="00474A81" w:rsidRDefault="005D725B" w:rsidP="005D725B">
            <w:pPr>
              <w:pStyle w:val="TableText"/>
              <w:jc w:val="right"/>
              <w:rPr>
                <w:b/>
              </w:rPr>
            </w:pPr>
            <w:r w:rsidRPr="00474A81">
              <w:rPr>
                <w:b/>
              </w:rPr>
              <w:t>n</w:t>
            </w:r>
          </w:p>
        </w:tc>
        <w:tc>
          <w:tcPr>
            <w:tcW w:w="810" w:type="dxa"/>
            <w:tcBorders>
              <w:top w:val="single" w:sz="4" w:space="0" w:color="000000"/>
              <w:bottom w:val="single" w:sz="4" w:space="0" w:color="000000"/>
            </w:tcBorders>
            <w:vAlign w:val="bottom"/>
          </w:tcPr>
          <w:p w14:paraId="67AC62D3" w14:textId="77777777" w:rsidR="005D725B" w:rsidRPr="00474A81" w:rsidRDefault="005D725B" w:rsidP="005D725B">
            <w:pPr>
              <w:pStyle w:val="TableText"/>
              <w:jc w:val="right"/>
              <w:rPr>
                <w:b/>
              </w:rPr>
            </w:pPr>
            <w:r w:rsidRPr="00474A81">
              <w:rPr>
                <w:b/>
              </w:rPr>
              <w:t>Weighted n</w:t>
            </w:r>
          </w:p>
        </w:tc>
        <w:tc>
          <w:tcPr>
            <w:tcW w:w="1152" w:type="dxa"/>
            <w:tcBorders>
              <w:top w:val="single" w:sz="4" w:space="0" w:color="000000"/>
              <w:bottom w:val="single" w:sz="4" w:space="0" w:color="000000"/>
            </w:tcBorders>
            <w:vAlign w:val="bottom"/>
          </w:tcPr>
          <w:p w14:paraId="5B58322F" w14:textId="77777777" w:rsidR="005D725B" w:rsidRPr="00474A81" w:rsidRDefault="005D725B" w:rsidP="005D725B">
            <w:pPr>
              <w:pStyle w:val="TableText"/>
              <w:jc w:val="right"/>
              <w:rPr>
                <w:b/>
              </w:rPr>
            </w:pPr>
            <w:r w:rsidRPr="00474A81">
              <w:rPr>
                <w:b/>
              </w:rPr>
              <w:t>% (95%CI)</w:t>
            </w:r>
          </w:p>
        </w:tc>
        <w:tc>
          <w:tcPr>
            <w:tcW w:w="558" w:type="dxa"/>
            <w:tcBorders>
              <w:top w:val="single" w:sz="4" w:space="0" w:color="000000"/>
              <w:bottom w:val="single" w:sz="4" w:space="0" w:color="000000"/>
            </w:tcBorders>
            <w:vAlign w:val="bottom"/>
          </w:tcPr>
          <w:p w14:paraId="618A26BD" w14:textId="77777777" w:rsidR="005D725B" w:rsidRPr="00474A81" w:rsidRDefault="005D725B" w:rsidP="005D725B">
            <w:pPr>
              <w:pStyle w:val="TableText"/>
              <w:jc w:val="right"/>
              <w:rPr>
                <w:b/>
              </w:rPr>
            </w:pPr>
            <w:r w:rsidRPr="00474A81">
              <w:rPr>
                <w:b/>
              </w:rPr>
              <w:t>n</w:t>
            </w:r>
          </w:p>
        </w:tc>
        <w:tc>
          <w:tcPr>
            <w:tcW w:w="810" w:type="dxa"/>
            <w:tcBorders>
              <w:top w:val="single" w:sz="4" w:space="0" w:color="000000"/>
              <w:bottom w:val="single" w:sz="4" w:space="0" w:color="000000"/>
            </w:tcBorders>
            <w:vAlign w:val="bottom"/>
          </w:tcPr>
          <w:p w14:paraId="0BFD0F8F" w14:textId="77777777" w:rsidR="005D725B" w:rsidRPr="00474A81" w:rsidRDefault="005D725B" w:rsidP="005D725B">
            <w:pPr>
              <w:pStyle w:val="TableText"/>
              <w:jc w:val="right"/>
              <w:rPr>
                <w:b/>
              </w:rPr>
            </w:pPr>
            <w:r w:rsidRPr="00474A81">
              <w:rPr>
                <w:b/>
              </w:rPr>
              <w:t>Weighted n</w:t>
            </w:r>
          </w:p>
        </w:tc>
        <w:tc>
          <w:tcPr>
            <w:tcW w:w="1090" w:type="dxa"/>
            <w:tcBorders>
              <w:top w:val="single" w:sz="4" w:space="0" w:color="000000"/>
              <w:bottom w:val="single" w:sz="4" w:space="0" w:color="000000"/>
            </w:tcBorders>
            <w:vAlign w:val="bottom"/>
          </w:tcPr>
          <w:p w14:paraId="064A8DD6" w14:textId="77777777" w:rsidR="005D725B" w:rsidRPr="00474A81" w:rsidRDefault="005D725B" w:rsidP="005D725B">
            <w:pPr>
              <w:pStyle w:val="TableText"/>
              <w:jc w:val="right"/>
              <w:rPr>
                <w:b/>
              </w:rPr>
            </w:pPr>
            <w:r w:rsidRPr="00474A81">
              <w:rPr>
                <w:b/>
              </w:rPr>
              <w:t>% (95%CI)</w:t>
            </w:r>
          </w:p>
        </w:tc>
        <w:tc>
          <w:tcPr>
            <w:tcW w:w="530" w:type="dxa"/>
            <w:tcBorders>
              <w:top w:val="single" w:sz="4" w:space="0" w:color="000000"/>
              <w:bottom w:val="single" w:sz="4" w:space="0" w:color="000000"/>
            </w:tcBorders>
            <w:vAlign w:val="bottom"/>
          </w:tcPr>
          <w:p w14:paraId="752FF6A6" w14:textId="77777777" w:rsidR="005D725B" w:rsidRPr="00474A81" w:rsidRDefault="005D725B" w:rsidP="005D725B">
            <w:pPr>
              <w:pStyle w:val="TableText"/>
              <w:jc w:val="right"/>
              <w:rPr>
                <w:b/>
              </w:rPr>
            </w:pPr>
            <w:r w:rsidRPr="00474A81">
              <w:rPr>
                <w:b/>
              </w:rPr>
              <w:t>n</w:t>
            </w:r>
          </w:p>
        </w:tc>
        <w:tc>
          <w:tcPr>
            <w:tcW w:w="810" w:type="dxa"/>
            <w:tcBorders>
              <w:top w:val="single" w:sz="4" w:space="0" w:color="000000"/>
              <w:bottom w:val="single" w:sz="4" w:space="0" w:color="000000"/>
            </w:tcBorders>
            <w:vAlign w:val="bottom"/>
          </w:tcPr>
          <w:p w14:paraId="4C162914" w14:textId="77777777" w:rsidR="005D725B" w:rsidRPr="00474A81" w:rsidRDefault="005D725B" w:rsidP="005D725B">
            <w:pPr>
              <w:pStyle w:val="TableText"/>
              <w:jc w:val="right"/>
              <w:rPr>
                <w:b/>
              </w:rPr>
            </w:pPr>
            <w:r w:rsidRPr="00474A81">
              <w:rPr>
                <w:b/>
              </w:rPr>
              <w:t>Weighted n</w:t>
            </w:r>
          </w:p>
        </w:tc>
        <w:tc>
          <w:tcPr>
            <w:tcW w:w="1117" w:type="dxa"/>
            <w:tcBorders>
              <w:top w:val="single" w:sz="4" w:space="0" w:color="000000"/>
              <w:bottom w:val="single" w:sz="4" w:space="0" w:color="000000"/>
            </w:tcBorders>
            <w:vAlign w:val="bottom"/>
          </w:tcPr>
          <w:p w14:paraId="0932B7F7" w14:textId="77777777" w:rsidR="005D725B" w:rsidRPr="00474A81" w:rsidRDefault="005D725B" w:rsidP="005D725B">
            <w:pPr>
              <w:pStyle w:val="TableText"/>
              <w:jc w:val="right"/>
              <w:rPr>
                <w:b/>
              </w:rPr>
            </w:pPr>
            <w:r w:rsidRPr="00474A81">
              <w:rPr>
                <w:b/>
              </w:rPr>
              <w:t>% (95%CI)</w:t>
            </w:r>
          </w:p>
        </w:tc>
        <w:tc>
          <w:tcPr>
            <w:tcW w:w="503" w:type="dxa"/>
            <w:tcBorders>
              <w:top w:val="single" w:sz="4" w:space="0" w:color="000000"/>
              <w:bottom w:val="single" w:sz="4" w:space="0" w:color="000000"/>
            </w:tcBorders>
            <w:vAlign w:val="bottom"/>
          </w:tcPr>
          <w:p w14:paraId="79C82E15" w14:textId="77777777" w:rsidR="005D725B" w:rsidRPr="00474A81" w:rsidRDefault="005D725B" w:rsidP="005D725B">
            <w:pPr>
              <w:pStyle w:val="TableText"/>
              <w:jc w:val="right"/>
              <w:rPr>
                <w:b/>
              </w:rPr>
            </w:pPr>
            <w:r w:rsidRPr="00474A81">
              <w:rPr>
                <w:b/>
              </w:rPr>
              <w:t>n</w:t>
            </w:r>
          </w:p>
        </w:tc>
        <w:tc>
          <w:tcPr>
            <w:tcW w:w="810" w:type="dxa"/>
            <w:tcBorders>
              <w:top w:val="single" w:sz="4" w:space="0" w:color="000000"/>
              <w:bottom w:val="single" w:sz="4" w:space="0" w:color="000000"/>
            </w:tcBorders>
            <w:vAlign w:val="bottom"/>
          </w:tcPr>
          <w:p w14:paraId="0F9CD40B" w14:textId="77777777" w:rsidR="005D725B" w:rsidRPr="00474A81" w:rsidRDefault="005D725B" w:rsidP="005D725B">
            <w:pPr>
              <w:pStyle w:val="TableText"/>
              <w:jc w:val="right"/>
              <w:rPr>
                <w:b/>
              </w:rPr>
            </w:pPr>
            <w:r w:rsidRPr="00474A81">
              <w:rPr>
                <w:b/>
              </w:rPr>
              <w:t>Weighted n</w:t>
            </w:r>
          </w:p>
        </w:tc>
        <w:tc>
          <w:tcPr>
            <w:tcW w:w="1145" w:type="dxa"/>
            <w:tcBorders>
              <w:top w:val="single" w:sz="4" w:space="0" w:color="000000"/>
              <w:bottom w:val="single" w:sz="4" w:space="0" w:color="000000"/>
            </w:tcBorders>
            <w:vAlign w:val="bottom"/>
          </w:tcPr>
          <w:p w14:paraId="0E7F5994" w14:textId="77777777" w:rsidR="005D725B" w:rsidRPr="00474A81" w:rsidRDefault="005D725B" w:rsidP="005D725B">
            <w:pPr>
              <w:pStyle w:val="TableText"/>
              <w:jc w:val="right"/>
              <w:rPr>
                <w:b/>
              </w:rPr>
            </w:pPr>
            <w:r w:rsidRPr="00474A81">
              <w:rPr>
                <w:b/>
              </w:rPr>
              <w:t>% (95%CI)</w:t>
            </w:r>
          </w:p>
        </w:tc>
      </w:tr>
      <w:tr w:rsidR="005D725B" w:rsidRPr="00B95AF7" w14:paraId="3A1FA169"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Borders>
              <w:top w:val="single" w:sz="4" w:space="0" w:color="000000"/>
            </w:tcBorders>
          </w:tcPr>
          <w:p w14:paraId="73D0C38F" w14:textId="77777777" w:rsidR="005D725B" w:rsidRPr="00474A81" w:rsidRDefault="005D725B" w:rsidP="00D46588">
            <w:pPr>
              <w:pStyle w:val="TableText"/>
              <w:rPr>
                <w:rFonts w:cs="Calibri"/>
                <w:b/>
              </w:rPr>
            </w:pPr>
            <w:r w:rsidRPr="00474A81">
              <w:rPr>
                <w:rFonts w:cs="Calibri"/>
                <w:b/>
                <w:bCs/>
                <w:color w:val="000000" w:themeColor="text1"/>
              </w:rPr>
              <w:t>Probable 30-day disorder</w:t>
            </w:r>
          </w:p>
        </w:tc>
        <w:tc>
          <w:tcPr>
            <w:tcW w:w="495" w:type="dxa"/>
            <w:tcBorders>
              <w:top w:val="single" w:sz="4" w:space="0" w:color="000000"/>
            </w:tcBorders>
          </w:tcPr>
          <w:p w14:paraId="2AEB4C6C" w14:textId="77777777" w:rsidR="005D725B" w:rsidRPr="00740423" w:rsidRDefault="005D725B" w:rsidP="00D46588">
            <w:pPr>
              <w:pStyle w:val="TableText"/>
              <w:jc w:val="right"/>
              <w:rPr>
                <w:rFonts w:cs="Calibri"/>
              </w:rPr>
            </w:pPr>
          </w:p>
        </w:tc>
        <w:tc>
          <w:tcPr>
            <w:tcW w:w="810" w:type="dxa"/>
            <w:tcBorders>
              <w:top w:val="single" w:sz="4" w:space="0" w:color="000000"/>
            </w:tcBorders>
          </w:tcPr>
          <w:p w14:paraId="1FDF8E4C" w14:textId="77777777" w:rsidR="005D725B" w:rsidRPr="00740423" w:rsidRDefault="005D725B" w:rsidP="00D46588">
            <w:pPr>
              <w:pStyle w:val="TableText"/>
              <w:jc w:val="right"/>
              <w:rPr>
                <w:rFonts w:cs="Calibri"/>
              </w:rPr>
            </w:pPr>
          </w:p>
        </w:tc>
        <w:tc>
          <w:tcPr>
            <w:tcW w:w="1152" w:type="dxa"/>
            <w:tcBorders>
              <w:top w:val="single" w:sz="4" w:space="0" w:color="000000"/>
            </w:tcBorders>
          </w:tcPr>
          <w:p w14:paraId="5E62C2E3" w14:textId="77777777" w:rsidR="005D725B" w:rsidRPr="00740423" w:rsidRDefault="005D725B" w:rsidP="00D46588">
            <w:pPr>
              <w:pStyle w:val="TableText"/>
              <w:jc w:val="right"/>
              <w:rPr>
                <w:rFonts w:cs="Calibri"/>
              </w:rPr>
            </w:pPr>
          </w:p>
        </w:tc>
        <w:tc>
          <w:tcPr>
            <w:tcW w:w="558" w:type="dxa"/>
            <w:tcBorders>
              <w:top w:val="single" w:sz="4" w:space="0" w:color="000000"/>
            </w:tcBorders>
          </w:tcPr>
          <w:p w14:paraId="0DDB7109" w14:textId="77777777" w:rsidR="005D725B" w:rsidRPr="00740423" w:rsidRDefault="005D725B" w:rsidP="00D46588">
            <w:pPr>
              <w:pStyle w:val="TableText"/>
              <w:jc w:val="right"/>
              <w:rPr>
                <w:rFonts w:cs="Calibri"/>
              </w:rPr>
            </w:pPr>
          </w:p>
        </w:tc>
        <w:tc>
          <w:tcPr>
            <w:tcW w:w="810" w:type="dxa"/>
            <w:tcBorders>
              <w:top w:val="single" w:sz="4" w:space="0" w:color="000000"/>
            </w:tcBorders>
          </w:tcPr>
          <w:p w14:paraId="368C0F55" w14:textId="77777777" w:rsidR="005D725B" w:rsidRPr="00740423" w:rsidRDefault="005D725B" w:rsidP="00D46588">
            <w:pPr>
              <w:pStyle w:val="TableText"/>
              <w:jc w:val="right"/>
              <w:rPr>
                <w:rFonts w:cs="Calibri"/>
              </w:rPr>
            </w:pPr>
          </w:p>
        </w:tc>
        <w:tc>
          <w:tcPr>
            <w:tcW w:w="1090" w:type="dxa"/>
            <w:tcBorders>
              <w:top w:val="single" w:sz="4" w:space="0" w:color="000000"/>
            </w:tcBorders>
          </w:tcPr>
          <w:p w14:paraId="3634F809" w14:textId="77777777" w:rsidR="005D725B" w:rsidRPr="00740423" w:rsidRDefault="005D725B" w:rsidP="00D46588">
            <w:pPr>
              <w:pStyle w:val="TableText"/>
              <w:jc w:val="right"/>
              <w:rPr>
                <w:rFonts w:cs="Calibri"/>
              </w:rPr>
            </w:pPr>
          </w:p>
        </w:tc>
        <w:tc>
          <w:tcPr>
            <w:tcW w:w="530" w:type="dxa"/>
            <w:tcBorders>
              <w:top w:val="single" w:sz="4" w:space="0" w:color="000000"/>
            </w:tcBorders>
          </w:tcPr>
          <w:p w14:paraId="291C480A" w14:textId="77777777" w:rsidR="005D725B" w:rsidRPr="00740423" w:rsidRDefault="005D725B" w:rsidP="00D46588">
            <w:pPr>
              <w:pStyle w:val="TableText"/>
              <w:jc w:val="right"/>
              <w:rPr>
                <w:rFonts w:cs="Calibri"/>
              </w:rPr>
            </w:pPr>
          </w:p>
        </w:tc>
        <w:tc>
          <w:tcPr>
            <w:tcW w:w="810" w:type="dxa"/>
            <w:tcBorders>
              <w:top w:val="single" w:sz="4" w:space="0" w:color="000000"/>
            </w:tcBorders>
          </w:tcPr>
          <w:p w14:paraId="3D046826" w14:textId="77777777" w:rsidR="005D725B" w:rsidRPr="00740423" w:rsidRDefault="005D725B" w:rsidP="00D46588">
            <w:pPr>
              <w:pStyle w:val="TableText"/>
              <w:jc w:val="right"/>
              <w:rPr>
                <w:rFonts w:cs="Calibri"/>
              </w:rPr>
            </w:pPr>
          </w:p>
        </w:tc>
        <w:tc>
          <w:tcPr>
            <w:tcW w:w="1117" w:type="dxa"/>
            <w:tcBorders>
              <w:top w:val="single" w:sz="4" w:space="0" w:color="000000"/>
            </w:tcBorders>
          </w:tcPr>
          <w:p w14:paraId="6D1C3C57" w14:textId="77777777" w:rsidR="005D725B" w:rsidRPr="00740423" w:rsidRDefault="005D725B" w:rsidP="00D46588">
            <w:pPr>
              <w:pStyle w:val="TableText"/>
              <w:jc w:val="right"/>
              <w:rPr>
                <w:rFonts w:cs="Calibri"/>
              </w:rPr>
            </w:pPr>
          </w:p>
        </w:tc>
        <w:tc>
          <w:tcPr>
            <w:tcW w:w="503" w:type="dxa"/>
            <w:tcBorders>
              <w:top w:val="single" w:sz="4" w:space="0" w:color="000000"/>
            </w:tcBorders>
          </w:tcPr>
          <w:p w14:paraId="6F43BAD5" w14:textId="77777777" w:rsidR="005D725B" w:rsidRPr="00740423" w:rsidRDefault="005D725B" w:rsidP="00D46588">
            <w:pPr>
              <w:pStyle w:val="TableText"/>
              <w:jc w:val="right"/>
              <w:rPr>
                <w:rFonts w:cs="Calibri"/>
              </w:rPr>
            </w:pPr>
          </w:p>
        </w:tc>
        <w:tc>
          <w:tcPr>
            <w:tcW w:w="810" w:type="dxa"/>
            <w:tcBorders>
              <w:top w:val="single" w:sz="4" w:space="0" w:color="000000"/>
            </w:tcBorders>
          </w:tcPr>
          <w:p w14:paraId="14636682" w14:textId="77777777" w:rsidR="005D725B" w:rsidRPr="00740423" w:rsidRDefault="005D725B" w:rsidP="00D46588">
            <w:pPr>
              <w:pStyle w:val="TableText"/>
              <w:jc w:val="right"/>
              <w:rPr>
                <w:rFonts w:cs="Calibri"/>
              </w:rPr>
            </w:pPr>
          </w:p>
        </w:tc>
        <w:tc>
          <w:tcPr>
            <w:tcW w:w="1145" w:type="dxa"/>
            <w:tcBorders>
              <w:top w:val="single" w:sz="4" w:space="0" w:color="000000"/>
            </w:tcBorders>
          </w:tcPr>
          <w:p w14:paraId="446036B5" w14:textId="77777777" w:rsidR="005D725B" w:rsidRPr="00740423" w:rsidRDefault="005D725B" w:rsidP="00D46588">
            <w:pPr>
              <w:pStyle w:val="TableText"/>
              <w:jc w:val="right"/>
              <w:rPr>
                <w:rFonts w:cs="Calibri"/>
              </w:rPr>
            </w:pPr>
          </w:p>
        </w:tc>
      </w:tr>
      <w:tr w:rsidR="005D725B" w:rsidRPr="00B95AF7" w14:paraId="44163383" w14:textId="77777777" w:rsidTr="005D725B">
        <w:trPr>
          <w:cantSplit/>
        </w:trPr>
        <w:tc>
          <w:tcPr>
            <w:tcW w:w="1690" w:type="dxa"/>
          </w:tcPr>
          <w:p w14:paraId="6A8002F2" w14:textId="77777777" w:rsidR="005D725B" w:rsidRPr="005A04D1" w:rsidRDefault="005D725B" w:rsidP="00D46588">
            <w:pPr>
              <w:pStyle w:val="TableText"/>
              <w:rPr>
                <w:rFonts w:cs="Calibri"/>
                <w:bCs/>
                <w:color w:val="000000" w:themeColor="text1"/>
              </w:rPr>
            </w:pPr>
            <w:r w:rsidRPr="005A04D1">
              <w:rPr>
                <w:rFonts w:cs="Calibri"/>
                <w:bCs/>
                <w:color w:val="000000" w:themeColor="text1"/>
              </w:rPr>
              <w:t>Yes</w:t>
            </w:r>
          </w:p>
        </w:tc>
        <w:tc>
          <w:tcPr>
            <w:tcW w:w="495" w:type="dxa"/>
          </w:tcPr>
          <w:p w14:paraId="4BFDFAE5" w14:textId="77777777" w:rsidR="005D725B" w:rsidRPr="00577AC4" w:rsidRDefault="005D725B" w:rsidP="00D46588">
            <w:pPr>
              <w:pStyle w:val="TableText"/>
              <w:jc w:val="right"/>
              <w:rPr>
                <w:rFonts w:cs="Calibri"/>
              </w:rPr>
            </w:pPr>
            <w:r w:rsidRPr="00577AC4">
              <w:t>80</w:t>
            </w:r>
          </w:p>
        </w:tc>
        <w:tc>
          <w:tcPr>
            <w:tcW w:w="810" w:type="dxa"/>
          </w:tcPr>
          <w:p w14:paraId="698EFC21" w14:textId="77777777" w:rsidR="005D725B" w:rsidRPr="00577AC4" w:rsidRDefault="005D725B" w:rsidP="00D46588">
            <w:pPr>
              <w:pStyle w:val="TableText"/>
              <w:jc w:val="right"/>
              <w:rPr>
                <w:rFonts w:cs="Calibri"/>
              </w:rPr>
            </w:pPr>
            <w:r w:rsidRPr="00577AC4">
              <w:t>614</w:t>
            </w:r>
          </w:p>
        </w:tc>
        <w:tc>
          <w:tcPr>
            <w:tcW w:w="1152" w:type="dxa"/>
          </w:tcPr>
          <w:p w14:paraId="2D6B6F22" w14:textId="77777777" w:rsidR="005D725B" w:rsidRPr="00577AC4" w:rsidRDefault="005D725B" w:rsidP="00D46588">
            <w:pPr>
              <w:pStyle w:val="TableText"/>
              <w:jc w:val="right"/>
              <w:rPr>
                <w:rFonts w:cs="Calibri"/>
              </w:rPr>
            </w:pPr>
            <w:r w:rsidRPr="00577AC4">
              <w:t>22.7 (17.8</w:t>
            </w:r>
            <w:r>
              <w:t xml:space="preserve">, </w:t>
            </w:r>
            <w:r w:rsidRPr="00577AC4">
              <w:t>28.6)</w:t>
            </w:r>
          </w:p>
        </w:tc>
        <w:tc>
          <w:tcPr>
            <w:tcW w:w="558" w:type="dxa"/>
          </w:tcPr>
          <w:p w14:paraId="0D932978" w14:textId="77777777" w:rsidR="005D725B" w:rsidRPr="00577AC4" w:rsidRDefault="005D725B" w:rsidP="00D46588">
            <w:pPr>
              <w:pStyle w:val="TableText"/>
              <w:jc w:val="right"/>
              <w:rPr>
                <w:rFonts w:cs="Calibri"/>
              </w:rPr>
            </w:pPr>
            <w:r w:rsidRPr="00577AC4">
              <w:t>300</w:t>
            </w:r>
          </w:p>
        </w:tc>
        <w:tc>
          <w:tcPr>
            <w:tcW w:w="810" w:type="dxa"/>
          </w:tcPr>
          <w:p w14:paraId="61AAAA52" w14:textId="77777777" w:rsidR="005D725B" w:rsidRPr="00577AC4" w:rsidRDefault="005D725B" w:rsidP="00D46588">
            <w:pPr>
              <w:pStyle w:val="TableText"/>
              <w:jc w:val="right"/>
              <w:rPr>
                <w:rFonts w:cs="Calibri"/>
              </w:rPr>
            </w:pPr>
            <w:r w:rsidRPr="00577AC4">
              <w:t>2005</w:t>
            </w:r>
          </w:p>
        </w:tc>
        <w:tc>
          <w:tcPr>
            <w:tcW w:w="1090" w:type="dxa"/>
          </w:tcPr>
          <w:p w14:paraId="6B5501CC" w14:textId="77777777" w:rsidR="005D725B" w:rsidRPr="00577AC4" w:rsidRDefault="005D725B" w:rsidP="00D46588">
            <w:pPr>
              <w:pStyle w:val="TableText"/>
              <w:jc w:val="right"/>
              <w:rPr>
                <w:rFonts w:cs="Calibri"/>
              </w:rPr>
            </w:pPr>
            <w:r w:rsidRPr="00577AC4">
              <w:t>74.2 (68.2</w:t>
            </w:r>
            <w:r>
              <w:t xml:space="preserve">, </w:t>
            </w:r>
            <w:r w:rsidRPr="00577AC4">
              <w:t>79.4)</w:t>
            </w:r>
          </w:p>
        </w:tc>
        <w:tc>
          <w:tcPr>
            <w:tcW w:w="530" w:type="dxa"/>
          </w:tcPr>
          <w:p w14:paraId="3732F289" w14:textId="77777777" w:rsidR="005D725B" w:rsidRPr="00577AC4" w:rsidRDefault="005D725B" w:rsidP="00D46588">
            <w:pPr>
              <w:pStyle w:val="TableText"/>
              <w:jc w:val="right"/>
              <w:rPr>
                <w:rFonts w:cs="Calibri"/>
              </w:rPr>
            </w:pPr>
            <w:r w:rsidRPr="00577AC4">
              <w:t>46</w:t>
            </w:r>
          </w:p>
        </w:tc>
        <w:tc>
          <w:tcPr>
            <w:tcW w:w="810" w:type="dxa"/>
          </w:tcPr>
          <w:p w14:paraId="388F3C53" w14:textId="77777777" w:rsidR="005D725B" w:rsidRPr="00577AC4" w:rsidRDefault="005D725B" w:rsidP="00D46588">
            <w:pPr>
              <w:pStyle w:val="TableText"/>
              <w:jc w:val="right"/>
              <w:rPr>
                <w:rFonts w:cs="Calibri"/>
              </w:rPr>
            </w:pPr>
            <w:r w:rsidRPr="00577AC4">
              <w:t>195</w:t>
            </w:r>
          </w:p>
        </w:tc>
        <w:tc>
          <w:tcPr>
            <w:tcW w:w="1117" w:type="dxa"/>
          </w:tcPr>
          <w:p w14:paraId="6A0A0BB9" w14:textId="77777777" w:rsidR="005D725B" w:rsidRPr="00577AC4" w:rsidRDefault="005D725B" w:rsidP="00D46588">
            <w:pPr>
              <w:pStyle w:val="TableText"/>
              <w:jc w:val="right"/>
              <w:rPr>
                <w:rFonts w:cs="Calibri"/>
              </w:rPr>
            </w:pPr>
            <w:r w:rsidRPr="00577AC4">
              <w:t>11.3 (6.4</w:t>
            </w:r>
            <w:r>
              <w:t xml:space="preserve">, </w:t>
            </w:r>
            <w:r w:rsidRPr="00577AC4">
              <w:t>19.1)</w:t>
            </w:r>
          </w:p>
        </w:tc>
        <w:tc>
          <w:tcPr>
            <w:tcW w:w="503" w:type="dxa"/>
          </w:tcPr>
          <w:p w14:paraId="1E70B4AA" w14:textId="77777777" w:rsidR="005D725B" w:rsidRPr="00577AC4" w:rsidRDefault="005D725B" w:rsidP="00D46588">
            <w:pPr>
              <w:pStyle w:val="TableText"/>
              <w:jc w:val="right"/>
              <w:rPr>
                <w:rFonts w:cs="Calibri"/>
              </w:rPr>
            </w:pPr>
            <w:r w:rsidRPr="00577AC4">
              <w:t>225</w:t>
            </w:r>
          </w:p>
        </w:tc>
        <w:tc>
          <w:tcPr>
            <w:tcW w:w="810" w:type="dxa"/>
          </w:tcPr>
          <w:p w14:paraId="64CFAC48" w14:textId="77777777" w:rsidR="005D725B" w:rsidRPr="00577AC4" w:rsidRDefault="005D725B" w:rsidP="00D46588">
            <w:pPr>
              <w:pStyle w:val="TableText"/>
              <w:jc w:val="right"/>
              <w:rPr>
                <w:rFonts w:cs="Calibri"/>
              </w:rPr>
            </w:pPr>
            <w:r w:rsidRPr="00577AC4">
              <w:t>1502</w:t>
            </w:r>
          </w:p>
        </w:tc>
        <w:tc>
          <w:tcPr>
            <w:tcW w:w="1145" w:type="dxa"/>
          </w:tcPr>
          <w:p w14:paraId="0E112DC9" w14:textId="77777777" w:rsidR="005D725B" w:rsidRPr="00577AC4" w:rsidRDefault="005D725B" w:rsidP="00D46588">
            <w:pPr>
              <w:pStyle w:val="TableText"/>
              <w:jc w:val="right"/>
              <w:rPr>
                <w:rFonts w:cs="Calibri"/>
              </w:rPr>
            </w:pPr>
            <w:r w:rsidRPr="00577AC4">
              <w:t>86.7 (77.9</w:t>
            </w:r>
            <w:r>
              <w:t xml:space="preserve">, </w:t>
            </w:r>
            <w:r w:rsidRPr="00577AC4">
              <w:t>92.4)</w:t>
            </w:r>
          </w:p>
        </w:tc>
      </w:tr>
      <w:tr w:rsidR="005D725B" w:rsidRPr="00B95AF7" w14:paraId="0121B0FD"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Pr>
          <w:p w14:paraId="22C30AF9" w14:textId="77777777" w:rsidR="005D725B" w:rsidRPr="005A04D1" w:rsidRDefault="005D725B" w:rsidP="00D46588">
            <w:pPr>
              <w:pStyle w:val="TableText"/>
              <w:rPr>
                <w:rFonts w:cs="Calibri"/>
                <w:bCs/>
                <w:color w:val="000000" w:themeColor="text1"/>
              </w:rPr>
            </w:pPr>
            <w:r w:rsidRPr="005A04D1">
              <w:rPr>
                <w:rFonts w:cs="Calibri"/>
                <w:bCs/>
                <w:color w:val="000000" w:themeColor="text1"/>
              </w:rPr>
              <w:t xml:space="preserve">No </w:t>
            </w:r>
          </w:p>
        </w:tc>
        <w:tc>
          <w:tcPr>
            <w:tcW w:w="495" w:type="dxa"/>
          </w:tcPr>
          <w:p w14:paraId="2F88B8E4" w14:textId="77777777" w:rsidR="005D725B" w:rsidRPr="00577AC4" w:rsidRDefault="005D725B" w:rsidP="00D46588">
            <w:pPr>
              <w:pStyle w:val="TableText"/>
              <w:jc w:val="right"/>
              <w:rPr>
                <w:rFonts w:cs="Calibri"/>
              </w:rPr>
            </w:pPr>
            <w:r w:rsidRPr="00577AC4">
              <w:t>57</w:t>
            </w:r>
          </w:p>
        </w:tc>
        <w:tc>
          <w:tcPr>
            <w:tcW w:w="810" w:type="dxa"/>
          </w:tcPr>
          <w:p w14:paraId="2B29D2C7" w14:textId="77777777" w:rsidR="005D725B" w:rsidRPr="00577AC4" w:rsidRDefault="005D725B" w:rsidP="00D46588">
            <w:pPr>
              <w:pStyle w:val="TableText"/>
              <w:jc w:val="right"/>
              <w:rPr>
                <w:rFonts w:cs="Calibri"/>
              </w:rPr>
            </w:pPr>
            <w:r w:rsidRPr="00577AC4">
              <w:t>482</w:t>
            </w:r>
          </w:p>
        </w:tc>
        <w:tc>
          <w:tcPr>
            <w:tcW w:w="1152" w:type="dxa"/>
          </w:tcPr>
          <w:p w14:paraId="7E87EEDC" w14:textId="77777777" w:rsidR="005D725B" w:rsidRPr="00577AC4" w:rsidRDefault="005D725B" w:rsidP="00D46588">
            <w:pPr>
              <w:pStyle w:val="TableText"/>
              <w:jc w:val="right"/>
              <w:rPr>
                <w:rFonts w:cs="Calibri"/>
              </w:rPr>
            </w:pPr>
            <w:r w:rsidRPr="00577AC4">
              <w:t>14.1 (10.4</w:t>
            </w:r>
            <w:r>
              <w:t xml:space="preserve">, </w:t>
            </w:r>
            <w:r w:rsidRPr="00577AC4">
              <w:t>18.9)</w:t>
            </w:r>
          </w:p>
        </w:tc>
        <w:tc>
          <w:tcPr>
            <w:tcW w:w="558" w:type="dxa"/>
          </w:tcPr>
          <w:p w14:paraId="3FE37491" w14:textId="77777777" w:rsidR="005D725B" w:rsidRPr="00577AC4" w:rsidRDefault="005D725B" w:rsidP="00D46588">
            <w:pPr>
              <w:pStyle w:val="TableText"/>
              <w:jc w:val="right"/>
              <w:rPr>
                <w:rFonts w:cs="Calibri"/>
              </w:rPr>
            </w:pPr>
            <w:r w:rsidRPr="00577AC4">
              <w:t>395</w:t>
            </w:r>
          </w:p>
        </w:tc>
        <w:tc>
          <w:tcPr>
            <w:tcW w:w="810" w:type="dxa"/>
          </w:tcPr>
          <w:p w14:paraId="13FBC841" w14:textId="77777777" w:rsidR="005D725B" w:rsidRPr="00577AC4" w:rsidRDefault="005D725B" w:rsidP="00D46588">
            <w:pPr>
              <w:pStyle w:val="TableText"/>
              <w:jc w:val="right"/>
              <w:rPr>
                <w:rFonts w:cs="Calibri"/>
              </w:rPr>
            </w:pPr>
            <w:r w:rsidRPr="00577AC4">
              <w:t>2815</w:t>
            </w:r>
          </w:p>
        </w:tc>
        <w:tc>
          <w:tcPr>
            <w:tcW w:w="1090" w:type="dxa"/>
          </w:tcPr>
          <w:p w14:paraId="3D3E1678" w14:textId="77777777" w:rsidR="005D725B" w:rsidRPr="00577AC4" w:rsidRDefault="005D725B" w:rsidP="00D46588">
            <w:pPr>
              <w:pStyle w:val="TableText"/>
              <w:jc w:val="right"/>
              <w:rPr>
                <w:rFonts w:cs="Calibri"/>
              </w:rPr>
            </w:pPr>
            <w:r w:rsidRPr="00577AC4">
              <w:t>82.5 (77.4</w:t>
            </w:r>
            <w:r>
              <w:t xml:space="preserve">, </w:t>
            </w:r>
            <w:r w:rsidRPr="00577AC4">
              <w:t>86.6)</w:t>
            </w:r>
          </w:p>
        </w:tc>
        <w:tc>
          <w:tcPr>
            <w:tcW w:w="530" w:type="dxa"/>
          </w:tcPr>
          <w:p w14:paraId="11F0BD8F" w14:textId="77777777" w:rsidR="005D725B" w:rsidRPr="00577AC4" w:rsidRDefault="005D725B" w:rsidP="00D46588">
            <w:pPr>
              <w:pStyle w:val="TableText"/>
              <w:jc w:val="right"/>
              <w:rPr>
                <w:rFonts w:cs="Calibri"/>
              </w:rPr>
            </w:pPr>
            <w:r w:rsidRPr="00577AC4">
              <w:t>115</w:t>
            </w:r>
          </w:p>
        </w:tc>
        <w:tc>
          <w:tcPr>
            <w:tcW w:w="810" w:type="dxa"/>
          </w:tcPr>
          <w:p w14:paraId="5BA4C0C2" w14:textId="77777777" w:rsidR="005D725B" w:rsidRPr="00577AC4" w:rsidRDefault="005D725B" w:rsidP="00D46588">
            <w:pPr>
              <w:pStyle w:val="TableText"/>
              <w:jc w:val="right"/>
              <w:rPr>
                <w:rFonts w:cs="Calibri"/>
              </w:rPr>
            </w:pPr>
            <w:r w:rsidRPr="00577AC4">
              <w:t>995</w:t>
            </w:r>
          </w:p>
        </w:tc>
        <w:tc>
          <w:tcPr>
            <w:tcW w:w="1117" w:type="dxa"/>
          </w:tcPr>
          <w:p w14:paraId="5A83B9F4" w14:textId="77777777" w:rsidR="005D725B" w:rsidRPr="00577AC4" w:rsidRDefault="005D725B" w:rsidP="00D46588">
            <w:pPr>
              <w:pStyle w:val="TableText"/>
              <w:jc w:val="right"/>
              <w:rPr>
                <w:rFonts w:cs="Calibri"/>
              </w:rPr>
            </w:pPr>
            <w:r w:rsidRPr="00577AC4">
              <w:t>13.6 (6.8</w:t>
            </w:r>
            <w:r>
              <w:t xml:space="preserve">, </w:t>
            </w:r>
            <w:r w:rsidRPr="00577AC4">
              <w:t>25.4)</w:t>
            </w:r>
          </w:p>
        </w:tc>
        <w:tc>
          <w:tcPr>
            <w:tcW w:w="503" w:type="dxa"/>
          </w:tcPr>
          <w:p w14:paraId="0A819990" w14:textId="77777777" w:rsidR="005D725B" w:rsidRPr="00577AC4" w:rsidRDefault="005D725B" w:rsidP="00D46588">
            <w:pPr>
              <w:pStyle w:val="TableText"/>
              <w:jc w:val="right"/>
              <w:rPr>
                <w:rFonts w:cs="Calibri"/>
              </w:rPr>
            </w:pPr>
            <w:r w:rsidRPr="00577AC4">
              <w:t>1002</w:t>
            </w:r>
          </w:p>
        </w:tc>
        <w:tc>
          <w:tcPr>
            <w:tcW w:w="810" w:type="dxa"/>
          </w:tcPr>
          <w:p w14:paraId="28ECED93" w14:textId="77777777" w:rsidR="005D725B" w:rsidRPr="00577AC4" w:rsidRDefault="005D725B" w:rsidP="00D46588">
            <w:pPr>
              <w:pStyle w:val="TableText"/>
              <w:jc w:val="right"/>
              <w:rPr>
                <w:rFonts w:cs="Calibri"/>
              </w:rPr>
            </w:pPr>
            <w:r w:rsidRPr="00577AC4">
              <w:t>6133</w:t>
            </w:r>
          </w:p>
        </w:tc>
        <w:tc>
          <w:tcPr>
            <w:tcW w:w="1145" w:type="dxa"/>
          </w:tcPr>
          <w:p w14:paraId="2462E616" w14:textId="77777777" w:rsidR="005D725B" w:rsidRPr="00577AC4" w:rsidRDefault="005D725B" w:rsidP="00D46588">
            <w:pPr>
              <w:pStyle w:val="TableText"/>
              <w:jc w:val="right"/>
              <w:rPr>
                <w:rFonts w:cs="Calibri"/>
              </w:rPr>
            </w:pPr>
            <w:r w:rsidRPr="00577AC4">
              <w:t>83.9 (72.8</w:t>
            </w:r>
            <w:r>
              <w:t xml:space="preserve">, </w:t>
            </w:r>
            <w:r w:rsidRPr="00577AC4">
              <w:t>91.0)</w:t>
            </w:r>
          </w:p>
        </w:tc>
      </w:tr>
      <w:tr w:rsidR="005D725B" w:rsidRPr="00B95AF7" w14:paraId="74C86605" w14:textId="77777777" w:rsidTr="005D725B">
        <w:trPr>
          <w:cantSplit/>
        </w:trPr>
        <w:tc>
          <w:tcPr>
            <w:tcW w:w="1690" w:type="dxa"/>
          </w:tcPr>
          <w:p w14:paraId="048F88F8" w14:textId="77777777" w:rsidR="005D725B" w:rsidRPr="00474A81" w:rsidRDefault="005D725B" w:rsidP="00D46588">
            <w:pPr>
              <w:pStyle w:val="TableText"/>
              <w:rPr>
                <w:rFonts w:cs="Calibri"/>
                <w:b/>
                <w:bCs/>
                <w:color w:val="000000" w:themeColor="text1"/>
              </w:rPr>
            </w:pPr>
            <w:r w:rsidRPr="00474A81">
              <w:rPr>
                <w:rFonts w:cs="Calibri"/>
                <w:b/>
                <w:bCs/>
                <w:color w:val="000000" w:themeColor="text1"/>
              </w:rPr>
              <w:t>Sex</w:t>
            </w:r>
          </w:p>
        </w:tc>
        <w:tc>
          <w:tcPr>
            <w:tcW w:w="495" w:type="dxa"/>
          </w:tcPr>
          <w:p w14:paraId="11864845" w14:textId="77777777" w:rsidR="005D725B" w:rsidRPr="00577AC4" w:rsidRDefault="005D725B" w:rsidP="00D46588">
            <w:pPr>
              <w:pStyle w:val="TableText"/>
              <w:jc w:val="right"/>
              <w:rPr>
                <w:rFonts w:cs="Calibri"/>
              </w:rPr>
            </w:pPr>
          </w:p>
        </w:tc>
        <w:tc>
          <w:tcPr>
            <w:tcW w:w="810" w:type="dxa"/>
          </w:tcPr>
          <w:p w14:paraId="678F4A8D" w14:textId="77777777" w:rsidR="005D725B" w:rsidRPr="00577AC4" w:rsidRDefault="005D725B" w:rsidP="00D46588">
            <w:pPr>
              <w:pStyle w:val="TableText"/>
              <w:jc w:val="right"/>
              <w:rPr>
                <w:rFonts w:cs="Calibri"/>
              </w:rPr>
            </w:pPr>
          </w:p>
        </w:tc>
        <w:tc>
          <w:tcPr>
            <w:tcW w:w="1152" w:type="dxa"/>
          </w:tcPr>
          <w:p w14:paraId="7F2BE8BA" w14:textId="77777777" w:rsidR="005D725B" w:rsidRPr="00577AC4" w:rsidRDefault="005D725B" w:rsidP="00D46588">
            <w:pPr>
              <w:pStyle w:val="TableText"/>
              <w:jc w:val="right"/>
              <w:rPr>
                <w:rFonts w:cs="Calibri"/>
              </w:rPr>
            </w:pPr>
          </w:p>
        </w:tc>
        <w:tc>
          <w:tcPr>
            <w:tcW w:w="558" w:type="dxa"/>
          </w:tcPr>
          <w:p w14:paraId="528C345C" w14:textId="77777777" w:rsidR="005D725B" w:rsidRPr="00577AC4" w:rsidRDefault="005D725B" w:rsidP="00D46588">
            <w:pPr>
              <w:pStyle w:val="TableText"/>
              <w:jc w:val="right"/>
              <w:rPr>
                <w:rFonts w:cs="Calibri"/>
              </w:rPr>
            </w:pPr>
          </w:p>
        </w:tc>
        <w:tc>
          <w:tcPr>
            <w:tcW w:w="810" w:type="dxa"/>
          </w:tcPr>
          <w:p w14:paraId="67C192F3" w14:textId="77777777" w:rsidR="005D725B" w:rsidRPr="00577AC4" w:rsidRDefault="005D725B" w:rsidP="00D46588">
            <w:pPr>
              <w:pStyle w:val="TableText"/>
              <w:jc w:val="right"/>
              <w:rPr>
                <w:rFonts w:cs="Calibri"/>
              </w:rPr>
            </w:pPr>
          </w:p>
        </w:tc>
        <w:tc>
          <w:tcPr>
            <w:tcW w:w="1090" w:type="dxa"/>
          </w:tcPr>
          <w:p w14:paraId="082F52D7" w14:textId="77777777" w:rsidR="005D725B" w:rsidRPr="00577AC4" w:rsidRDefault="005D725B" w:rsidP="00D46588">
            <w:pPr>
              <w:pStyle w:val="TableText"/>
              <w:jc w:val="right"/>
              <w:rPr>
                <w:rFonts w:cs="Calibri"/>
              </w:rPr>
            </w:pPr>
          </w:p>
        </w:tc>
        <w:tc>
          <w:tcPr>
            <w:tcW w:w="530" w:type="dxa"/>
          </w:tcPr>
          <w:p w14:paraId="1A89BE6D" w14:textId="77777777" w:rsidR="005D725B" w:rsidRPr="00577AC4" w:rsidRDefault="005D725B" w:rsidP="00D46588">
            <w:pPr>
              <w:pStyle w:val="TableText"/>
              <w:jc w:val="right"/>
              <w:rPr>
                <w:rFonts w:cs="Calibri"/>
              </w:rPr>
            </w:pPr>
          </w:p>
        </w:tc>
        <w:tc>
          <w:tcPr>
            <w:tcW w:w="810" w:type="dxa"/>
          </w:tcPr>
          <w:p w14:paraId="315B178B" w14:textId="77777777" w:rsidR="005D725B" w:rsidRPr="00577AC4" w:rsidRDefault="005D725B" w:rsidP="00D46588">
            <w:pPr>
              <w:pStyle w:val="TableText"/>
              <w:jc w:val="right"/>
              <w:rPr>
                <w:rFonts w:cs="Calibri"/>
              </w:rPr>
            </w:pPr>
          </w:p>
        </w:tc>
        <w:tc>
          <w:tcPr>
            <w:tcW w:w="1117" w:type="dxa"/>
          </w:tcPr>
          <w:p w14:paraId="0EA2EEF7" w14:textId="77777777" w:rsidR="005D725B" w:rsidRPr="00577AC4" w:rsidRDefault="005D725B" w:rsidP="00D46588">
            <w:pPr>
              <w:pStyle w:val="TableText"/>
              <w:jc w:val="right"/>
              <w:rPr>
                <w:rFonts w:cs="Calibri"/>
              </w:rPr>
            </w:pPr>
          </w:p>
        </w:tc>
        <w:tc>
          <w:tcPr>
            <w:tcW w:w="503" w:type="dxa"/>
          </w:tcPr>
          <w:p w14:paraId="1BB62770" w14:textId="77777777" w:rsidR="005D725B" w:rsidRPr="00577AC4" w:rsidRDefault="005D725B" w:rsidP="00D46588">
            <w:pPr>
              <w:pStyle w:val="TableText"/>
              <w:jc w:val="right"/>
              <w:rPr>
                <w:rFonts w:cs="Calibri"/>
              </w:rPr>
            </w:pPr>
          </w:p>
        </w:tc>
        <w:tc>
          <w:tcPr>
            <w:tcW w:w="810" w:type="dxa"/>
          </w:tcPr>
          <w:p w14:paraId="3613C5E3" w14:textId="77777777" w:rsidR="005D725B" w:rsidRPr="00577AC4" w:rsidRDefault="005D725B" w:rsidP="00D46588">
            <w:pPr>
              <w:pStyle w:val="TableText"/>
              <w:jc w:val="right"/>
              <w:rPr>
                <w:rFonts w:cs="Calibri"/>
              </w:rPr>
            </w:pPr>
          </w:p>
        </w:tc>
        <w:tc>
          <w:tcPr>
            <w:tcW w:w="1145" w:type="dxa"/>
          </w:tcPr>
          <w:p w14:paraId="2F9B52E8" w14:textId="77777777" w:rsidR="005D725B" w:rsidRPr="00577AC4" w:rsidRDefault="005D725B" w:rsidP="00D46588">
            <w:pPr>
              <w:pStyle w:val="TableText"/>
              <w:jc w:val="right"/>
              <w:rPr>
                <w:rFonts w:cs="Calibri"/>
              </w:rPr>
            </w:pPr>
          </w:p>
        </w:tc>
      </w:tr>
      <w:tr w:rsidR="005D725B" w:rsidRPr="00B95AF7" w14:paraId="0BFE89F6"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Pr>
          <w:p w14:paraId="46FEC28E"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Male</w:t>
            </w:r>
          </w:p>
        </w:tc>
        <w:tc>
          <w:tcPr>
            <w:tcW w:w="495" w:type="dxa"/>
          </w:tcPr>
          <w:p w14:paraId="367A9B6D" w14:textId="77777777" w:rsidR="005D725B" w:rsidRPr="00577AC4" w:rsidRDefault="005D725B" w:rsidP="00D46588">
            <w:pPr>
              <w:pStyle w:val="TableText"/>
              <w:jc w:val="right"/>
              <w:rPr>
                <w:rFonts w:cs="Calibri"/>
              </w:rPr>
            </w:pPr>
            <w:r w:rsidRPr="00577AC4">
              <w:t>118</w:t>
            </w:r>
          </w:p>
        </w:tc>
        <w:tc>
          <w:tcPr>
            <w:tcW w:w="810" w:type="dxa"/>
          </w:tcPr>
          <w:p w14:paraId="18A97646" w14:textId="77777777" w:rsidR="005D725B" w:rsidRPr="00577AC4" w:rsidRDefault="005D725B" w:rsidP="00D46588">
            <w:pPr>
              <w:pStyle w:val="TableText"/>
              <w:jc w:val="right"/>
              <w:rPr>
                <w:rFonts w:cs="Calibri"/>
              </w:rPr>
            </w:pPr>
            <w:r w:rsidRPr="00577AC4">
              <w:t>967</w:t>
            </w:r>
          </w:p>
        </w:tc>
        <w:tc>
          <w:tcPr>
            <w:tcW w:w="1152" w:type="dxa"/>
          </w:tcPr>
          <w:p w14:paraId="382B0E75" w14:textId="77777777" w:rsidR="005D725B" w:rsidRPr="00577AC4" w:rsidRDefault="005D725B" w:rsidP="00D46588">
            <w:pPr>
              <w:pStyle w:val="TableText"/>
              <w:jc w:val="right"/>
              <w:rPr>
                <w:rFonts w:cs="Calibri"/>
              </w:rPr>
            </w:pPr>
            <w:r w:rsidRPr="00577AC4">
              <w:t>19.4 (15.8</w:t>
            </w:r>
            <w:r>
              <w:t xml:space="preserve">, </w:t>
            </w:r>
            <w:r w:rsidRPr="00577AC4">
              <w:t>23.6)</w:t>
            </w:r>
          </w:p>
        </w:tc>
        <w:tc>
          <w:tcPr>
            <w:tcW w:w="558" w:type="dxa"/>
          </w:tcPr>
          <w:p w14:paraId="66D66CBA" w14:textId="77777777" w:rsidR="005D725B" w:rsidRPr="00577AC4" w:rsidRDefault="005D725B" w:rsidP="00D46588">
            <w:pPr>
              <w:pStyle w:val="TableText"/>
              <w:jc w:val="right"/>
              <w:rPr>
                <w:rFonts w:cs="Calibri"/>
              </w:rPr>
            </w:pPr>
            <w:r w:rsidRPr="00577AC4">
              <w:t>528</w:t>
            </w:r>
          </w:p>
        </w:tc>
        <w:tc>
          <w:tcPr>
            <w:tcW w:w="810" w:type="dxa"/>
          </w:tcPr>
          <w:p w14:paraId="4B160DB0" w14:textId="77777777" w:rsidR="005D725B" w:rsidRPr="00577AC4" w:rsidRDefault="005D725B" w:rsidP="00D46588">
            <w:pPr>
              <w:pStyle w:val="TableText"/>
              <w:jc w:val="right"/>
              <w:rPr>
                <w:rFonts w:cs="Calibri"/>
              </w:rPr>
            </w:pPr>
            <w:r w:rsidRPr="00577AC4">
              <w:t>3862</w:t>
            </w:r>
          </w:p>
        </w:tc>
        <w:tc>
          <w:tcPr>
            <w:tcW w:w="1090" w:type="dxa"/>
          </w:tcPr>
          <w:p w14:paraId="2817E4EB" w14:textId="77777777" w:rsidR="005D725B" w:rsidRPr="00577AC4" w:rsidRDefault="005D725B" w:rsidP="00D46588">
            <w:pPr>
              <w:pStyle w:val="TableText"/>
              <w:jc w:val="right"/>
              <w:rPr>
                <w:rFonts w:cs="Calibri"/>
              </w:rPr>
            </w:pPr>
            <w:r w:rsidRPr="00577AC4">
              <w:t>77.4 (73.0</w:t>
            </w:r>
            <w:r>
              <w:t xml:space="preserve">, </w:t>
            </w:r>
            <w:r w:rsidRPr="00577AC4">
              <w:t>81.3)</w:t>
            </w:r>
          </w:p>
        </w:tc>
        <w:tc>
          <w:tcPr>
            <w:tcW w:w="530" w:type="dxa"/>
          </w:tcPr>
          <w:p w14:paraId="37B5C5E4" w14:textId="77777777" w:rsidR="005D725B" w:rsidRPr="00577AC4" w:rsidRDefault="005D725B" w:rsidP="00D46588">
            <w:pPr>
              <w:pStyle w:val="TableText"/>
              <w:jc w:val="right"/>
              <w:rPr>
                <w:rFonts w:cs="Calibri"/>
              </w:rPr>
            </w:pPr>
            <w:r w:rsidRPr="00577AC4">
              <w:t>119</w:t>
            </w:r>
          </w:p>
        </w:tc>
        <w:tc>
          <w:tcPr>
            <w:tcW w:w="810" w:type="dxa"/>
          </w:tcPr>
          <w:p w14:paraId="53759059" w14:textId="77777777" w:rsidR="005D725B" w:rsidRPr="00577AC4" w:rsidRDefault="005D725B" w:rsidP="00D46588">
            <w:pPr>
              <w:pStyle w:val="TableText"/>
              <w:jc w:val="right"/>
              <w:rPr>
                <w:rFonts w:cs="Calibri"/>
              </w:rPr>
            </w:pPr>
            <w:r w:rsidRPr="00577AC4">
              <w:t>1054</w:t>
            </w:r>
          </w:p>
        </w:tc>
        <w:tc>
          <w:tcPr>
            <w:tcW w:w="1117" w:type="dxa"/>
          </w:tcPr>
          <w:p w14:paraId="602F7BF9" w14:textId="77777777" w:rsidR="005D725B" w:rsidRPr="00577AC4" w:rsidRDefault="005D725B" w:rsidP="00D46588">
            <w:pPr>
              <w:pStyle w:val="TableText"/>
              <w:jc w:val="right"/>
              <w:rPr>
                <w:rFonts w:cs="Calibri"/>
              </w:rPr>
            </w:pPr>
            <w:r w:rsidRPr="00577AC4">
              <w:t>13.8 (7.1</w:t>
            </w:r>
            <w:r>
              <w:t xml:space="preserve">, </w:t>
            </w:r>
            <w:r w:rsidRPr="00577AC4">
              <w:t>25.2)</w:t>
            </w:r>
          </w:p>
        </w:tc>
        <w:tc>
          <w:tcPr>
            <w:tcW w:w="503" w:type="dxa"/>
          </w:tcPr>
          <w:p w14:paraId="18B3F0E7" w14:textId="77777777" w:rsidR="005D725B" w:rsidRPr="00577AC4" w:rsidRDefault="005D725B" w:rsidP="00D46588">
            <w:pPr>
              <w:pStyle w:val="TableText"/>
              <w:jc w:val="right"/>
              <w:rPr>
                <w:rFonts w:cs="Calibri"/>
              </w:rPr>
            </w:pPr>
            <w:r w:rsidRPr="00577AC4">
              <w:t>851</w:t>
            </w:r>
          </w:p>
        </w:tc>
        <w:tc>
          <w:tcPr>
            <w:tcW w:w="810" w:type="dxa"/>
          </w:tcPr>
          <w:p w14:paraId="4A2D818B" w14:textId="77777777" w:rsidR="005D725B" w:rsidRPr="00577AC4" w:rsidRDefault="005D725B" w:rsidP="00D46588">
            <w:pPr>
              <w:pStyle w:val="TableText"/>
              <w:jc w:val="right"/>
              <w:rPr>
                <w:rFonts w:cs="Calibri"/>
              </w:rPr>
            </w:pPr>
            <w:r w:rsidRPr="00577AC4">
              <w:t>6399</w:t>
            </w:r>
          </w:p>
        </w:tc>
        <w:tc>
          <w:tcPr>
            <w:tcW w:w="1145" w:type="dxa"/>
          </w:tcPr>
          <w:p w14:paraId="4ECF911B" w14:textId="77777777" w:rsidR="005D725B" w:rsidRPr="00577AC4" w:rsidRDefault="005D725B" w:rsidP="00D46588">
            <w:pPr>
              <w:pStyle w:val="TableText"/>
              <w:jc w:val="right"/>
              <w:rPr>
                <w:rFonts w:cs="Calibri"/>
              </w:rPr>
            </w:pPr>
            <w:r w:rsidRPr="00577AC4">
              <w:t>83.8 (73.0</w:t>
            </w:r>
            <w:r>
              <w:t xml:space="preserve">, </w:t>
            </w:r>
            <w:r w:rsidRPr="00577AC4">
              <w:t>90.8)</w:t>
            </w:r>
          </w:p>
        </w:tc>
      </w:tr>
      <w:tr w:rsidR="005D725B" w:rsidRPr="00B95AF7" w14:paraId="0F1ACDAF" w14:textId="77777777" w:rsidTr="005D725B">
        <w:trPr>
          <w:cantSplit/>
        </w:trPr>
        <w:tc>
          <w:tcPr>
            <w:tcW w:w="1690" w:type="dxa"/>
            <w:tcBorders>
              <w:bottom w:val="single" w:sz="4" w:space="0" w:color="000000"/>
            </w:tcBorders>
          </w:tcPr>
          <w:p w14:paraId="3EFF4AFB"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Female</w:t>
            </w:r>
          </w:p>
        </w:tc>
        <w:tc>
          <w:tcPr>
            <w:tcW w:w="495" w:type="dxa"/>
            <w:tcBorders>
              <w:bottom w:val="single" w:sz="4" w:space="0" w:color="000000"/>
            </w:tcBorders>
          </w:tcPr>
          <w:p w14:paraId="62EC43E4" w14:textId="77777777" w:rsidR="005D725B" w:rsidRPr="00577AC4" w:rsidRDefault="005D725B" w:rsidP="00D46588">
            <w:pPr>
              <w:pStyle w:val="TableText"/>
              <w:jc w:val="right"/>
              <w:rPr>
                <w:rFonts w:cs="Calibri"/>
              </w:rPr>
            </w:pPr>
            <w:r w:rsidRPr="00577AC4">
              <w:t>19</w:t>
            </w:r>
          </w:p>
        </w:tc>
        <w:tc>
          <w:tcPr>
            <w:tcW w:w="810" w:type="dxa"/>
            <w:tcBorders>
              <w:bottom w:val="single" w:sz="4" w:space="0" w:color="000000"/>
            </w:tcBorders>
          </w:tcPr>
          <w:p w14:paraId="1CF57153" w14:textId="77777777" w:rsidR="005D725B" w:rsidRPr="00577AC4" w:rsidRDefault="005D725B" w:rsidP="00D46588">
            <w:pPr>
              <w:pStyle w:val="TableText"/>
              <w:jc w:val="right"/>
              <w:rPr>
                <w:rFonts w:cs="Calibri"/>
              </w:rPr>
            </w:pPr>
            <w:r w:rsidRPr="00577AC4">
              <w:t>129</w:t>
            </w:r>
          </w:p>
        </w:tc>
        <w:tc>
          <w:tcPr>
            <w:tcW w:w="1152" w:type="dxa"/>
            <w:tcBorders>
              <w:bottom w:val="single" w:sz="4" w:space="0" w:color="000000"/>
            </w:tcBorders>
          </w:tcPr>
          <w:p w14:paraId="0F093B6C" w14:textId="77777777" w:rsidR="005D725B" w:rsidRPr="00577AC4" w:rsidRDefault="005D725B" w:rsidP="00D46588">
            <w:pPr>
              <w:pStyle w:val="TableText"/>
              <w:jc w:val="right"/>
              <w:rPr>
                <w:rFonts w:cs="Calibri"/>
              </w:rPr>
            </w:pPr>
            <w:r w:rsidRPr="00577AC4">
              <w:t>11.5 (7.0</w:t>
            </w:r>
            <w:r>
              <w:t xml:space="preserve">, </w:t>
            </w:r>
            <w:r w:rsidRPr="00577AC4">
              <w:t>18.2)</w:t>
            </w:r>
          </w:p>
        </w:tc>
        <w:tc>
          <w:tcPr>
            <w:tcW w:w="558" w:type="dxa"/>
            <w:tcBorders>
              <w:bottom w:val="single" w:sz="4" w:space="0" w:color="000000"/>
            </w:tcBorders>
          </w:tcPr>
          <w:p w14:paraId="70394F89" w14:textId="77777777" w:rsidR="005D725B" w:rsidRPr="00577AC4" w:rsidRDefault="005D725B" w:rsidP="00D46588">
            <w:pPr>
              <w:pStyle w:val="TableText"/>
              <w:jc w:val="right"/>
              <w:rPr>
                <w:rFonts w:cs="Calibri"/>
              </w:rPr>
            </w:pPr>
            <w:r w:rsidRPr="00577AC4">
              <w:t>167</w:t>
            </w:r>
          </w:p>
        </w:tc>
        <w:tc>
          <w:tcPr>
            <w:tcW w:w="810" w:type="dxa"/>
            <w:tcBorders>
              <w:bottom w:val="single" w:sz="4" w:space="0" w:color="000000"/>
            </w:tcBorders>
          </w:tcPr>
          <w:p w14:paraId="61AD288A" w14:textId="77777777" w:rsidR="005D725B" w:rsidRPr="00577AC4" w:rsidRDefault="005D725B" w:rsidP="00D46588">
            <w:pPr>
              <w:pStyle w:val="TableText"/>
              <w:jc w:val="right"/>
              <w:rPr>
                <w:rFonts w:cs="Calibri"/>
              </w:rPr>
            </w:pPr>
            <w:r w:rsidRPr="00577AC4">
              <w:t>958</w:t>
            </w:r>
          </w:p>
        </w:tc>
        <w:tc>
          <w:tcPr>
            <w:tcW w:w="1090" w:type="dxa"/>
            <w:tcBorders>
              <w:bottom w:val="single" w:sz="4" w:space="0" w:color="000000"/>
            </w:tcBorders>
          </w:tcPr>
          <w:p w14:paraId="4AF91405" w14:textId="77777777" w:rsidR="005D725B" w:rsidRPr="00577AC4" w:rsidRDefault="005D725B" w:rsidP="00D46588">
            <w:pPr>
              <w:pStyle w:val="TableText"/>
              <w:jc w:val="right"/>
              <w:rPr>
                <w:rFonts w:cs="Calibri"/>
              </w:rPr>
            </w:pPr>
            <w:r w:rsidRPr="00577AC4">
              <w:t>85.1 (78.1</w:t>
            </w:r>
            <w:r>
              <w:t xml:space="preserve">, </w:t>
            </w:r>
            <w:r w:rsidRPr="00577AC4">
              <w:t>90.1)</w:t>
            </w:r>
          </w:p>
        </w:tc>
        <w:tc>
          <w:tcPr>
            <w:tcW w:w="530" w:type="dxa"/>
            <w:tcBorders>
              <w:bottom w:val="single" w:sz="4" w:space="0" w:color="000000"/>
            </w:tcBorders>
          </w:tcPr>
          <w:p w14:paraId="5081CE25" w14:textId="77777777" w:rsidR="005D725B" w:rsidRPr="00577AC4" w:rsidRDefault="005D725B" w:rsidP="00D46588">
            <w:pPr>
              <w:pStyle w:val="TableText"/>
              <w:jc w:val="right"/>
              <w:rPr>
                <w:rFonts w:cs="Calibri"/>
              </w:rPr>
            </w:pPr>
            <w:r w:rsidRPr="00577AC4">
              <w:t>42</w:t>
            </w:r>
          </w:p>
        </w:tc>
        <w:tc>
          <w:tcPr>
            <w:tcW w:w="810" w:type="dxa"/>
            <w:tcBorders>
              <w:bottom w:val="single" w:sz="4" w:space="0" w:color="000000"/>
            </w:tcBorders>
          </w:tcPr>
          <w:p w14:paraId="1ECE427A" w14:textId="77777777" w:rsidR="005D725B" w:rsidRPr="00577AC4" w:rsidRDefault="005D725B" w:rsidP="00D46588">
            <w:pPr>
              <w:pStyle w:val="TableText"/>
              <w:jc w:val="right"/>
              <w:rPr>
                <w:rFonts w:cs="Calibri"/>
              </w:rPr>
            </w:pPr>
            <w:r w:rsidRPr="00577AC4">
              <w:t>136</w:t>
            </w:r>
          </w:p>
        </w:tc>
        <w:tc>
          <w:tcPr>
            <w:tcW w:w="1117" w:type="dxa"/>
            <w:tcBorders>
              <w:bottom w:val="single" w:sz="4" w:space="0" w:color="000000"/>
            </w:tcBorders>
          </w:tcPr>
          <w:p w14:paraId="69D8FE69" w14:textId="77777777" w:rsidR="005D725B" w:rsidRPr="00577AC4" w:rsidRDefault="005D725B" w:rsidP="00D46588">
            <w:pPr>
              <w:pStyle w:val="TableText"/>
              <w:jc w:val="right"/>
              <w:rPr>
                <w:rFonts w:cs="Calibri"/>
              </w:rPr>
            </w:pPr>
            <w:r w:rsidRPr="00577AC4">
              <w:t>9.7 (7.2</w:t>
            </w:r>
            <w:r>
              <w:t xml:space="preserve">, </w:t>
            </w:r>
            <w:r w:rsidRPr="00577AC4">
              <w:t>12.9)</w:t>
            </w:r>
          </w:p>
        </w:tc>
        <w:tc>
          <w:tcPr>
            <w:tcW w:w="503" w:type="dxa"/>
            <w:tcBorders>
              <w:bottom w:val="single" w:sz="4" w:space="0" w:color="000000"/>
            </w:tcBorders>
          </w:tcPr>
          <w:p w14:paraId="44A4F5E9" w14:textId="77777777" w:rsidR="005D725B" w:rsidRPr="00577AC4" w:rsidRDefault="005D725B" w:rsidP="00D46588">
            <w:pPr>
              <w:pStyle w:val="TableText"/>
              <w:jc w:val="right"/>
              <w:rPr>
                <w:rFonts w:cs="Calibri"/>
              </w:rPr>
            </w:pPr>
            <w:r w:rsidRPr="00577AC4">
              <w:t>376</w:t>
            </w:r>
          </w:p>
        </w:tc>
        <w:tc>
          <w:tcPr>
            <w:tcW w:w="810" w:type="dxa"/>
            <w:tcBorders>
              <w:bottom w:val="single" w:sz="4" w:space="0" w:color="000000"/>
            </w:tcBorders>
          </w:tcPr>
          <w:p w14:paraId="077AB77A" w14:textId="77777777" w:rsidR="005D725B" w:rsidRPr="00577AC4" w:rsidRDefault="005D725B" w:rsidP="00D46588">
            <w:pPr>
              <w:pStyle w:val="TableText"/>
              <w:jc w:val="right"/>
              <w:rPr>
                <w:rFonts w:cs="Calibri"/>
              </w:rPr>
            </w:pPr>
            <w:r w:rsidRPr="00577AC4">
              <w:t>1235</w:t>
            </w:r>
          </w:p>
        </w:tc>
        <w:tc>
          <w:tcPr>
            <w:tcW w:w="1145" w:type="dxa"/>
            <w:tcBorders>
              <w:bottom w:val="single" w:sz="4" w:space="0" w:color="000000"/>
            </w:tcBorders>
          </w:tcPr>
          <w:p w14:paraId="09DD6FE8" w14:textId="77777777" w:rsidR="005D725B" w:rsidRPr="00577AC4" w:rsidRDefault="005D725B" w:rsidP="00D46588">
            <w:pPr>
              <w:pStyle w:val="TableText"/>
              <w:jc w:val="right"/>
              <w:rPr>
                <w:rFonts w:cs="Calibri"/>
              </w:rPr>
            </w:pPr>
            <w:r w:rsidRPr="00577AC4">
              <w:t>87.8 (84.4</w:t>
            </w:r>
            <w:r>
              <w:t xml:space="preserve">, </w:t>
            </w:r>
            <w:r w:rsidRPr="00577AC4">
              <w:t>90.5)</w:t>
            </w:r>
          </w:p>
        </w:tc>
      </w:tr>
      <w:tr w:rsidR="005D725B" w:rsidRPr="00B95AF7" w14:paraId="09CFC7EA"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Borders>
              <w:top w:val="single" w:sz="4" w:space="0" w:color="000000"/>
              <w:bottom w:val="nil"/>
            </w:tcBorders>
          </w:tcPr>
          <w:p w14:paraId="1251611C" w14:textId="77777777" w:rsidR="005D725B" w:rsidRPr="00474A81" w:rsidRDefault="005D725B" w:rsidP="00D46588">
            <w:pPr>
              <w:pStyle w:val="TableText"/>
              <w:rPr>
                <w:rFonts w:cs="Calibri"/>
                <w:b/>
                <w:bCs/>
                <w:color w:val="000000" w:themeColor="text1"/>
              </w:rPr>
            </w:pPr>
            <w:r w:rsidRPr="00474A81">
              <w:rPr>
                <w:rFonts w:cs="Calibri"/>
                <w:b/>
                <w:bCs/>
                <w:color w:val="000000" w:themeColor="text1"/>
              </w:rPr>
              <w:t>Age (yrs)</w:t>
            </w:r>
          </w:p>
        </w:tc>
        <w:tc>
          <w:tcPr>
            <w:tcW w:w="495" w:type="dxa"/>
            <w:tcBorders>
              <w:top w:val="single" w:sz="4" w:space="0" w:color="000000"/>
              <w:bottom w:val="nil"/>
            </w:tcBorders>
          </w:tcPr>
          <w:p w14:paraId="57071AEE"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46A0F94C" w14:textId="77777777" w:rsidR="005D725B" w:rsidRPr="00577AC4" w:rsidRDefault="005D725B" w:rsidP="00D46588">
            <w:pPr>
              <w:pStyle w:val="TableText"/>
              <w:jc w:val="right"/>
              <w:rPr>
                <w:rFonts w:cs="Calibri"/>
              </w:rPr>
            </w:pPr>
          </w:p>
        </w:tc>
        <w:tc>
          <w:tcPr>
            <w:tcW w:w="1152" w:type="dxa"/>
            <w:tcBorders>
              <w:top w:val="single" w:sz="4" w:space="0" w:color="000000"/>
              <w:bottom w:val="nil"/>
            </w:tcBorders>
          </w:tcPr>
          <w:p w14:paraId="2888B479" w14:textId="77777777" w:rsidR="005D725B" w:rsidRPr="00577AC4" w:rsidRDefault="005D725B" w:rsidP="00D46588">
            <w:pPr>
              <w:pStyle w:val="TableText"/>
              <w:jc w:val="right"/>
              <w:rPr>
                <w:rFonts w:cs="Calibri"/>
              </w:rPr>
            </w:pPr>
          </w:p>
        </w:tc>
        <w:tc>
          <w:tcPr>
            <w:tcW w:w="558" w:type="dxa"/>
            <w:tcBorders>
              <w:top w:val="single" w:sz="4" w:space="0" w:color="000000"/>
              <w:bottom w:val="nil"/>
            </w:tcBorders>
          </w:tcPr>
          <w:p w14:paraId="1F8053F6"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1921BB38" w14:textId="77777777" w:rsidR="005D725B" w:rsidRPr="00577AC4" w:rsidRDefault="005D725B" w:rsidP="00D46588">
            <w:pPr>
              <w:pStyle w:val="TableText"/>
              <w:jc w:val="right"/>
              <w:rPr>
                <w:rFonts w:cs="Calibri"/>
              </w:rPr>
            </w:pPr>
          </w:p>
        </w:tc>
        <w:tc>
          <w:tcPr>
            <w:tcW w:w="1090" w:type="dxa"/>
            <w:tcBorders>
              <w:top w:val="single" w:sz="4" w:space="0" w:color="000000"/>
              <w:bottom w:val="nil"/>
            </w:tcBorders>
          </w:tcPr>
          <w:p w14:paraId="3E180552" w14:textId="77777777" w:rsidR="005D725B" w:rsidRPr="00577AC4" w:rsidRDefault="005D725B" w:rsidP="00D46588">
            <w:pPr>
              <w:pStyle w:val="TableText"/>
              <w:jc w:val="right"/>
              <w:rPr>
                <w:rFonts w:cs="Calibri"/>
              </w:rPr>
            </w:pPr>
          </w:p>
        </w:tc>
        <w:tc>
          <w:tcPr>
            <w:tcW w:w="530" w:type="dxa"/>
            <w:tcBorders>
              <w:top w:val="single" w:sz="4" w:space="0" w:color="000000"/>
              <w:bottom w:val="nil"/>
            </w:tcBorders>
          </w:tcPr>
          <w:p w14:paraId="3A90FA8C"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66E8ABF1" w14:textId="77777777" w:rsidR="005D725B" w:rsidRPr="00577AC4" w:rsidRDefault="005D725B" w:rsidP="00D46588">
            <w:pPr>
              <w:pStyle w:val="TableText"/>
              <w:jc w:val="right"/>
              <w:rPr>
                <w:rFonts w:cs="Calibri"/>
              </w:rPr>
            </w:pPr>
          </w:p>
        </w:tc>
        <w:tc>
          <w:tcPr>
            <w:tcW w:w="1117" w:type="dxa"/>
            <w:tcBorders>
              <w:top w:val="single" w:sz="4" w:space="0" w:color="000000"/>
              <w:bottom w:val="nil"/>
            </w:tcBorders>
          </w:tcPr>
          <w:p w14:paraId="071929A6" w14:textId="77777777" w:rsidR="005D725B" w:rsidRPr="00577AC4" w:rsidRDefault="005D725B" w:rsidP="00D46588">
            <w:pPr>
              <w:pStyle w:val="TableText"/>
              <w:jc w:val="right"/>
              <w:rPr>
                <w:rFonts w:cs="Calibri"/>
              </w:rPr>
            </w:pPr>
          </w:p>
        </w:tc>
        <w:tc>
          <w:tcPr>
            <w:tcW w:w="503" w:type="dxa"/>
            <w:tcBorders>
              <w:top w:val="single" w:sz="4" w:space="0" w:color="000000"/>
              <w:bottom w:val="nil"/>
            </w:tcBorders>
          </w:tcPr>
          <w:p w14:paraId="6B5F8AC3"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4B5B434A" w14:textId="77777777" w:rsidR="005D725B" w:rsidRPr="00577AC4" w:rsidRDefault="005D725B" w:rsidP="00D46588">
            <w:pPr>
              <w:pStyle w:val="TableText"/>
              <w:jc w:val="right"/>
              <w:rPr>
                <w:rFonts w:cs="Calibri"/>
              </w:rPr>
            </w:pPr>
          </w:p>
        </w:tc>
        <w:tc>
          <w:tcPr>
            <w:tcW w:w="1145" w:type="dxa"/>
            <w:tcBorders>
              <w:top w:val="single" w:sz="4" w:space="0" w:color="000000"/>
              <w:bottom w:val="nil"/>
            </w:tcBorders>
          </w:tcPr>
          <w:p w14:paraId="07314FD1" w14:textId="77777777" w:rsidR="005D725B" w:rsidRPr="00577AC4" w:rsidRDefault="005D725B" w:rsidP="00D46588">
            <w:pPr>
              <w:pStyle w:val="TableText"/>
              <w:jc w:val="right"/>
              <w:rPr>
                <w:rFonts w:cs="Calibri"/>
              </w:rPr>
            </w:pPr>
          </w:p>
        </w:tc>
      </w:tr>
      <w:tr w:rsidR="005D725B" w:rsidRPr="00B95AF7" w14:paraId="6E960E34" w14:textId="77777777" w:rsidTr="005D725B">
        <w:trPr>
          <w:cantSplit/>
        </w:trPr>
        <w:tc>
          <w:tcPr>
            <w:tcW w:w="1690" w:type="dxa"/>
            <w:tcBorders>
              <w:top w:val="nil"/>
            </w:tcBorders>
          </w:tcPr>
          <w:p w14:paraId="03351E53"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18</w:t>
            </w:r>
            <w:r>
              <w:rPr>
                <w:rFonts w:cs="Calibri"/>
                <w:bCs/>
                <w:color w:val="000000" w:themeColor="text1"/>
              </w:rPr>
              <w:t>–</w:t>
            </w:r>
            <w:r w:rsidRPr="00474A81">
              <w:rPr>
                <w:rFonts w:cs="Calibri"/>
                <w:bCs/>
                <w:color w:val="000000" w:themeColor="text1"/>
              </w:rPr>
              <w:t>27</w:t>
            </w:r>
          </w:p>
        </w:tc>
        <w:tc>
          <w:tcPr>
            <w:tcW w:w="495" w:type="dxa"/>
            <w:tcBorders>
              <w:top w:val="nil"/>
            </w:tcBorders>
          </w:tcPr>
          <w:p w14:paraId="27D9001D" w14:textId="77777777" w:rsidR="005D725B" w:rsidRPr="00577AC4" w:rsidRDefault="005D725B" w:rsidP="00D46588">
            <w:pPr>
              <w:pStyle w:val="TableText"/>
              <w:jc w:val="right"/>
              <w:rPr>
                <w:rFonts w:cs="Calibri"/>
              </w:rPr>
            </w:pPr>
            <w:r w:rsidRPr="00577AC4">
              <w:t>20</w:t>
            </w:r>
          </w:p>
        </w:tc>
        <w:tc>
          <w:tcPr>
            <w:tcW w:w="810" w:type="dxa"/>
            <w:tcBorders>
              <w:top w:val="nil"/>
            </w:tcBorders>
          </w:tcPr>
          <w:p w14:paraId="4AE62796" w14:textId="77777777" w:rsidR="005D725B" w:rsidRPr="00577AC4" w:rsidRDefault="005D725B" w:rsidP="00D46588">
            <w:pPr>
              <w:pStyle w:val="TableText"/>
              <w:jc w:val="right"/>
              <w:rPr>
                <w:rFonts w:cs="Calibri"/>
              </w:rPr>
            </w:pPr>
            <w:r w:rsidRPr="00577AC4">
              <w:t>272</w:t>
            </w:r>
          </w:p>
        </w:tc>
        <w:tc>
          <w:tcPr>
            <w:tcW w:w="1152" w:type="dxa"/>
            <w:tcBorders>
              <w:top w:val="nil"/>
            </w:tcBorders>
          </w:tcPr>
          <w:p w14:paraId="7A89882B" w14:textId="77777777" w:rsidR="005D725B" w:rsidRPr="00577AC4" w:rsidRDefault="005D725B" w:rsidP="00D46588">
            <w:pPr>
              <w:pStyle w:val="TableText"/>
              <w:jc w:val="right"/>
              <w:rPr>
                <w:rFonts w:cs="Calibri"/>
              </w:rPr>
            </w:pPr>
            <w:r w:rsidRPr="00577AC4">
              <w:t>22.1 (14.1</w:t>
            </w:r>
            <w:r>
              <w:t xml:space="preserve">, </w:t>
            </w:r>
            <w:r w:rsidRPr="00577AC4">
              <w:t>32.9)</w:t>
            </w:r>
          </w:p>
        </w:tc>
        <w:tc>
          <w:tcPr>
            <w:tcW w:w="558" w:type="dxa"/>
            <w:tcBorders>
              <w:top w:val="nil"/>
            </w:tcBorders>
          </w:tcPr>
          <w:p w14:paraId="0939E24B" w14:textId="77777777" w:rsidR="005D725B" w:rsidRPr="00577AC4" w:rsidRDefault="005D725B" w:rsidP="00D46588">
            <w:pPr>
              <w:pStyle w:val="TableText"/>
              <w:jc w:val="right"/>
              <w:rPr>
                <w:rFonts w:cs="Calibri"/>
              </w:rPr>
            </w:pPr>
            <w:r w:rsidRPr="00577AC4">
              <w:t>74</w:t>
            </w:r>
          </w:p>
        </w:tc>
        <w:tc>
          <w:tcPr>
            <w:tcW w:w="810" w:type="dxa"/>
            <w:tcBorders>
              <w:top w:val="nil"/>
            </w:tcBorders>
          </w:tcPr>
          <w:p w14:paraId="0CAB16B7" w14:textId="77777777" w:rsidR="005D725B" w:rsidRPr="00577AC4" w:rsidRDefault="005D725B" w:rsidP="00D46588">
            <w:pPr>
              <w:pStyle w:val="TableText"/>
              <w:jc w:val="right"/>
              <w:rPr>
                <w:rFonts w:cs="Calibri"/>
              </w:rPr>
            </w:pPr>
            <w:r w:rsidRPr="00577AC4">
              <w:t>896</w:t>
            </w:r>
          </w:p>
        </w:tc>
        <w:tc>
          <w:tcPr>
            <w:tcW w:w="1090" w:type="dxa"/>
            <w:tcBorders>
              <w:top w:val="nil"/>
            </w:tcBorders>
          </w:tcPr>
          <w:p w14:paraId="1A931830" w14:textId="77777777" w:rsidR="005D725B" w:rsidRPr="00577AC4" w:rsidRDefault="005D725B" w:rsidP="00D46588">
            <w:pPr>
              <w:pStyle w:val="TableText"/>
              <w:jc w:val="right"/>
              <w:rPr>
                <w:rFonts w:cs="Calibri"/>
              </w:rPr>
            </w:pPr>
            <w:r w:rsidRPr="00577AC4">
              <w:t>72.8 (61.4</w:t>
            </w:r>
            <w:r>
              <w:t xml:space="preserve">, </w:t>
            </w:r>
            <w:r w:rsidRPr="00577AC4">
              <w:t>81.8)</w:t>
            </w:r>
          </w:p>
        </w:tc>
        <w:tc>
          <w:tcPr>
            <w:tcW w:w="530" w:type="dxa"/>
            <w:tcBorders>
              <w:top w:val="nil"/>
            </w:tcBorders>
          </w:tcPr>
          <w:p w14:paraId="1813BBA3" w14:textId="77777777" w:rsidR="005D725B" w:rsidRPr="00577AC4" w:rsidRDefault="005D725B" w:rsidP="00D46588">
            <w:pPr>
              <w:pStyle w:val="TableText"/>
              <w:jc w:val="right"/>
              <w:rPr>
                <w:rFonts w:cs="Calibri"/>
              </w:rPr>
            </w:pPr>
            <w:r w:rsidRPr="00577AC4">
              <w:t>12</w:t>
            </w:r>
          </w:p>
        </w:tc>
        <w:tc>
          <w:tcPr>
            <w:tcW w:w="810" w:type="dxa"/>
            <w:tcBorders>
              <w:top w:val="nil"/>
            </w:tcBorders>
          </w:tcPr>
          <w:p w14:paraId="481219A8" w14:textId="77777777" w:rsidR="005D725B" w:rsidRPr="00577AC4" w:rsidRDefault="005D725B" w:rsidP="00D46588">
            <w:pPr>
              <w:pStyle w:val="TableText"/>
              <w:jc w:val="right"/>
              <w:rPr>
                <w:rFonts w:cs="Calibri"/>
              </w:rPr>
            </w:pPr>
            <w:r w:rsidRPr="00577AC4">
              <w:t>385</w:t>
            </w:r>
          </w:p>
        </w:tc>
        <w:tc>
          <w:tcPr>
            <w:tcW w:w="1117" w:type="dxa"/>
            <w:tcBorders>
              <w:top w:val="nil"/>
            </w:tcBorders>
          </w:tcPr>
          <w:p w14:paraId="796F19C5" w14:textId="77777777" w:rsidR="005D725B" w:rsidRPr="00577AC4" w:rsidRDefault="005D725B" w:rsidP="00D46588">
            <w:pPr>
              <w:pStyle w:val="TableText"/>
              <w:jc w:val="right"/>
              <w:rPr>
                <w:rFonts w:cs="Calibri"/>
              </w:rPr>
            </w:pPr>
            <w:r w:rsidRPr="00577AC4">
              <w:t>19.2 (3.8</w:t>
            </w:r>
            <w:r>
              <w:t xml:space="preserve">, </w:t>
            </w:r>
            <w:r w:rsidRPr="00577AC4">
              <w:t>58.9)</w:t>
            </w:r>
          </w:p>
        </w:tc>
        <w:tc>
          <w:tcPr>
            <w:tcW w:w="503" w:type="dxa"/>
            <w:tcBorders>
              <w:top w:val="nil"/>
            </w:tcBorders>
          </w:tcPr>
          <w:p w14:paraId="363C8F4E" w14:textId="77777777" w:rsidR="005D725B" w:rsidRPr="00577AC4" w:rsidRDefault="005D725B" w:rsidP="00D46588">
            <w:pPr>
              <w:pStyle w:val="TableText"/>
              <w:jc w:val="right"/>
              <w:rPr>
                <w:rFonts w:cs="Calibri"/>
              </w:rPr>
            </w:pPr>
            <w:r w:rsidRPr="00577AC4">
              <w:t>101</w:t>
            </w:r>
          </w:p>
        </w:tc>
        <w:tc>
          <w:tcPr>
            <w:tcW w:w="810" w:type="dxa"/>
            <w:tcBorders>
              <w:top w:val="nil"/>
            </w:tcBorders>
          </w:tcPr>
          <w:p w14:paraId="4C527D2D" w14:textId="77777777" w:rsidR="005D725B" w:rsidRPr="00577AC4" w:rsidRDefault="005D725B" w:rsidP="00D46588">
            <w:pPr>
              <w:pStyle w:val="TableText"/>
              <w:jc w:val="right"/>
              <w:rPr>
                <w:rFonts w:cs="Calibri"/>
              </w:rPr>
            </w:pPr>
            <w:r w:rsidRPr="00577AC4">
              <w:t>1584</w:t>
            </w:r>
          </w:p>
        </w:tc>
        <w:tc>
          <w:tcPr>
            <w:tcW w:w="1145" w:type="dxa"/>
            <w:tcBorders>
              <w:top w:val="nil"/>
            </w:tcBorders>
          </w:tcPr>
          <w:p w14:paraId="1398F906" w14:textId="77777777" w:rsidR="005D725B" w:rsidRPr="00577AC4" w:rsidRDefault="005D725B" w:rsidP="00D46588">
            <w:pPr>
              <w:pStyle w:val="TableText"/>
              <w:jc w:val="right"/>
              <w:rPr>
                <w:rFonts w:cs="Calibri"/>
              </w:rPr>
            </w:pPr>
            <w:r w:rsidRPr="00577AC4">
              <w:t>79.1 (41.3</w:t>
            </w:r>
            <w:r>
              <w:t xml:space="preserve">, </w:t>
            </w:r>
            <w:r w:rsidRPr="00577AC4">
              <w:t>95.3)</w:t>
            </w:r>
          </w:p>
        </w:tc>
      </w:tr>
      <w:tr w:rsidR="005D725B" w:rsidRPr="00B95AF7" w14:paraId="4A95CC6B"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Pr>
          <w:p w14:paraId="0DABD57C"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28</w:t>
            </w:r>
            <w:r>
              <w:rPr>
                <w:rFonts w:cs="Calibri"/>
                <w:bCs/>
                <w:color w:val="000000" w:themeColor="text1"/>
              </w:rPr>
              <w:t>–</w:t>
            </w:r>
            <w:r w:rsidRPr="00474A81">
              <w:rPr>
                <w:rFonts w:cs="Calibri"/>
                <w:bCs/>
                <w:color w:val="000000" w:themeColor="text1"/>
              </w:rPr>
              <w:t>37</w:t>
            </w:r>
          </w:p>
        </w:tc>
        <w:tc>
          <w:tcPr>
            <w:tcW w:w="495" w:type="dxa"/>
          </w:tcPr>
          <w:p w14:paraId="14299B70" w14:textId="77777777" w:rsidR="005D725B" w:rsidRPr="00577AC4" w:rsidRDefault="005D725B" w:rsidP="00D46588">
            <w:pPr>
              <w:pStyle w:val="TableText"/>
              <w:jc w:val="right"/>
              <w:rPr>
                <w:rFonts w:cs="Calibri"/>
              </w:rPr>
            </w:pPr>
            <w:r w:rsidRPr="00577AC4">
              <w:t>38</w:t>
            </w:r>
          </w:p>
        </w:tc>
        <w:tc>
          <w:tcPr>
            <w:tcW w:w="810" w:type="dxa"/>
          </w:tcPr>
          <w:p w14:paraId="1B3CE3AB" w14:textId="77777777" w:rsidR="005D725B" w:rsidRPr="00577AC4" w:rsidRDefault="005D725B" w:rsidP="00D46588">
            <w:pPr>
              <w:pStyle w:val="TableText"/>
              <w:jc w:val="right"/>
              <w:rPr>
                <w:rFonts w:cs="Calibri"/>
              </w:rPr>
            </w:pPr>
            <w:r w:rsidRPr="00577AC4">
              <w:t>389</w:t>
            </w:r>
          </w:p>
        </w:tc>
        <w:tc>
          <w:tcPr>
            <w:tcW w:w="1152" w:type="dxa"/>
          </w:tcPr>
          <w:p w14:paraId="09F6D1A5" w14:textId="77777777" w:rsidR="005D725B" w:rsidRPr="00577AC4" w:rsidRDefault="005D725B" w:rsidP="00D46588">
            <w:pPr>
              <w:pStyle w:val="TableText"/>
              <w:jc w:val="right"/>
              <w:rPr>
                <w:rFonts w:cs="Calibri"/>
              </w:rPr>
            </w:pPr>
            <w:r w:rsidRPr="00577AC4">
              <w:t>16.1 (11.3</w:t>
            </w:r>
            <w:r>
              <w:t xml:space="preserve">, </w:t>
            </w:r>
            <w:r w:rsidRPr="00577AC4">
              <w:t>22.4)</w:t>
            </w:r>
          </w:p>
        </w:tc>
        <w:tc>
          <w:tcPr>
            <w:tcW w:w="558" w:type="dxa"/>
          </w:tcPr>
          <w:p w14:paraId="5CD55519" w14:textId="77777777" w:rsidR="005D725B" w:rsidRPr="00577AC4" w:rsidRDefault="005D725B" w:rsidP="00D46588">
            <w:pPr>
              <w:pStyle w:val="TableText"/>
              <w:jc w:val="right"/>
              <w:rPr>
                <w:rFonts w:cs="Calibri"/>
              </w:rPr>
            </w:pPr>
            <w:r w:rsidRPr="00577AC4">
              <w:t>234</w:t>
            </w:r>
          </w:p>
        </w:tc>
        <w:tc>
          <w:tcPr>
            <w:tcW w:w="810" w:type="dxa"/>
          </w:tcPr>
          <w:p w14:paraId="7F2E75B9" w14:textId="77777777" w:rsidR="005D725B" w:rsidRPr="00577AC4" w:rsidRDefault="005D725B" w:rsidP="00D46588">
            <w:pPr>
              <w:pStyle w:val="TableText"/>
              <w:jc w:val="right"/>
              <w:rPr>
                <w:rFonts w:cs="Calibri"/>
              </w:rPr>
            </w:pPr>
            <w:r w:rsidRPr="00577AC4">
              <w:t>1988</w:t>
            </w:r>
          </w:p>
        </w:tc>
        <w:tc>
          <w:tcPr>
            <w:tcW w:w="1090" w:type="dxa"/>
          </w:tcPr>
          <w:p w14:paraId="34672BA6" w14:textId="77777777" w:rsidR="005D725B" w:rsidRPr="00577AC4" w:rsidRDefault="005D725B" w:rsidP="00D46588">
            <w:pPr>
              <w:pStyle w:val="TableText"/>
              <w:jc w:val="right"/>
              <w:rPr>
                <w:rFonts w:cs="Calibri"/>
              </w:rPr>
            </w:pPr>
            <w:r w:rsidRPr="00577AC4">
              <w:t>82.3 (76.0</w:t>
            </w:r>
            <w:r>
              <w:t xml:space="preserve">, </w:t>
            </w:r>
            <w:r w:rsidRPr="00577AC4">
              <w:t>87.3)</w:t>
            </w:r>
          </w:p>
        </w:tc>
        <w:tc>
          <w:tcPr>
            <w:tcW w:w="530" w:type="dxa"/>
          </w:tcPr>
          <w:p w14:paraId="75025971" w14:textId="77777777" w:rsidR="005D725B" w:rsidRPr="00577AC4" w:rsidRDefault="005D725B" w:rsidP="00D46588">
            <w:pPr>
              <w:pStyle w:val="TableText"/>
              <w:jc w:val="right"/>
              <w:rPr>
                <w:rFonts w:cs="Calibri"/>
              </w:rPr>
            </w:pPr>
            <w:r w:rsidRPr="00577AC4">
              <w:t>43</w:t>
            </w:r>
          </w:p>
        </w:tc>
        <w:tc>
          <w:tcPr>
            <w:tcW w:w="810" w:type="dxa"/>
          </w:tcPr>
          <w:p w14:paraId="762E3198" w14:textId="77777777" w:rsidR="005D725B" w:rsidRPr="00577AC4" w:rsidRDefault="005D725B" w:rsidP="00D46588">
            <w:pPr>
              <w:pStyle w:val="TableText"/>
              <w:jc w:val="right"/>
              <w:rPr>
                <w:rFonts w:cs="Calibri"/>
              </w:rPr>
            </w:pPr>
            <w:r w:rsidRPr="00577AC4">
              <w:t>412</w:t>
            </w:r>
          </w:p>
        </w:tc>
        <w:tc>
          <w:tcPr>
            <w:tcW w:w="1117" w:type="dxa"/>
          </w:tcPr>
          <w:p w14:paraId="653183A3" w14:textId="77777777" w:rsidR="005D725B" w:rsidRPr="00577AC4" w:rsidRDefault="005D725B" w:rsidP="00D46588">
            <w:pPr>
              <w:pStyle w:val="TableText"/>
              <w:jc w:val="right"/>
              <w:rPr>
                <w:rFonts w:cs="Calibri"/>
              </w:rPr>
            </w:pPr>
            <w:r w:rsidRPr="00577AC4">
              <w:t>10.7 (4.5</w:t>
            </w:r>
            <w:r>
              <w:t xml:space="preserve">, </w:t>
            </w:r>
            <w:r w:rsidRPr="00577AC4">
              <w:t>23.4)</w:t>
            </w:r>
          </w:p>
        </w:tc>
        <w:tc>
          <w:tcPr>
            <w:tcW w:w="503" w:type="dxa"/>
          </w:tcPr>
          <w:p w14:paraId="3793E1F3" w14:textId="77777777" w:rsidR="005D725B" w:rsidRPr="00577AC4" w:rsidRDefault="005D725B" w:rsidP="00D46588">
            <w:pPr>
              <w:pStyle w:val="TableText"/>
              <w:jc w:val="right"/>
              <w:rPr>
                <w:rFonts w:cs="Calibri"/>
              </w:rPr>
            </w:pPr>
            <w:r w:rsidRPr="00577AC4">
              <w:t>449</w:t>
            </w:r>
          </w:p>
        </w:tc>
        <w:tc>
          <w:tcPr>
            <w:tcW w:w="810" w:type="dxa"/>
          </w:tcPr>
          <w:p w14:paraId="3F500A08" w14:textId="77777777" w:rsidR="005D725B" w:rsidRPr="00577AC4" w:rsidRDefault="005D725B" w:rsidP="00D46588">
            <w:pPr>
              <w:pStyle w:val="TableText"/>
              <w:jc w:val="right"/>
              <w:rPr>
                <w:rFonts w:cs="Calibri"/>
              </w:rPr>
            </w:pPr>
            <w:r w:rsidRPr="00577AC4">
              <w:t>3337</w:t>
            </w:r>
          </w:p>
        </w:tc>
        <w:tc>
          <w:tcPr>
            <w:tcW w:w="1145" w:type="dxa"/>
          </w:tcPr>
          <w:p w14:paraId="7C9DBE2D" w14:textId="77777777" w:rsidR="005D725B" w:rsidRPr="00577AC4" w:rsidRDefault="005D725B" w:rsidP="00D46588">
            <w:pPr>
              <w:pStyle w:val="TableText"/>
              <w:jc w:val="right"/>
              <w:rPr>
                <w:rFonts w:cs="Calibri"/>
              </w:rPr>
            </w:pPr>
            <w:r w:rsidRPr="00577AC4">
              <w:t>86.8 (74.9</w:t>
            </w:r>
            <w:r>
              <w:t xml:space="preserve">, </w:t>
            </w:r>
            <w:r w:rsidRPr="00577AC4">
              <w:t>93.6)</w:t>
            </w:r>
          </w:p>
        </w:tc>
      </w:tr>
      <w:tr w:rsidR="005D725B" w:rsidRPr="00B95AF7" w14:paraId="6CF2527B" w14:textId="77777777" w:rsidTr="005D725B">
        <w:trPr>
          <w:cantSplit/>
        </w:trPr>
        <w:tc>
          <w:tcPr>
            <w:tcW w:w="1690" w:type="dxa"/>
          </w:tcPr>
          <w:p w14:paraId="6FCFF950"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38</w:t>
            </w:r>
            <w:r>
              <w:rPr>
                <w:rFonts w:cs="Calibri"/>
                <w:bCs/>
                <w:color w:val="000000" w:themeColor="text1"/>
              </w:rPr>
              <w:t>–</w:t>
            </w:r>
            <w:r w:rsidRPr="00474A81">
              <w:rPr>
                <w:rFonts w:cs="Calibri"/>
                <w:bCs/>
                <w:color w:val="000000" w:themeColor="text1"/>
              </w:rPr>
              <w:t>47</w:t>
            </w:r>
          </w:p>
        </w:tc>
        <w:tc>
          <w:tcPr>
            <w:tcW w:w="495" w:type="dxa"/>
          </w:tcPr>
          <w:p w14:paraId="189C671A" w14:textId="77777777" w:rsidR="005D725B" w:rsidRPr="00577AC4" w:rsidRDefault="005D725B" w:rsidP="00D46588">
            <w:pPr>
              <w:pStyle w:val="TableText"/>
              <w:jc w:val="right"/>
              <w:rPr>
                <w:rFonts w:cs="Calibri"/>
              </w:rPr>
            </w:pPr>
            <w:r w:rsidRPr="00577AC4">
              <w:t>36</w:t>
            </w:r>
          </w:p>
        </w:tc>
        <w:tc>
          <w:tcPr>
            <w:tcW w:w="810" w:type="dxa"/>
          </w:tcPr>
          <w:p w14:paraId="432C1FCB" w14:textId="77777777" w:rsidR="005D725B" w:rsidRPr="00577AC4" w:rsidRDefault="005D725B" w:rsidP="00D46588">
            <w:pPr>
              <w:pStyle w:val="TableText"/>
              <w:jc w:val="right"/>
              <w:rPr>
                <w:rFonts w:cs="Calibri"/>
              </w:rPr>
            </w:pPr>
            <w:r w:rsidRPr="00577AC4">
              <w:t>202</w:t>
            </w:r>
          </w:p>
        </w:tc>
        <w:tc>
          <w:tcPr>
            <w:tcW w:w="1152" w:type="dxa"/>
          </w:tcPr>
          <w:p w14:paraId="0ECC964D" w14:textId="77777777" w:rsidR="005D725B" w:rsidRPr="00577AC4" w:rsidRDefault="005D725B" w:rsidP="00D46588">
            <w:pPr>
              <w:pStyle w:val="TableText"/>
              <w:jc w:val="right"/>
              <w:rPr>
                <w:rFonts w:cs="Calibri"/>
              </w:rPr>
            </w:pPr>
            <w:r w:rsidRPr="00577AC4">
              <w:t>13.9 (9.8</w:t>
            </w:r>
            <w:r>
              <w:t xml:space="preserve">, </w:t>
            </w:r>
            <w:r w:rsidRPr="00577AC4">
              <w:t>19.4)</w:t>
            </w:r>
          </w:p>
        </w:tc>
        <w:tc>
          <w:tcPr>
            <w:tcW w:w="558" w:type="dxa"/>
          </w:tcPr>
          <w:p w14:paraId="59AEBC7F" w14:textId="77777777" w:rsidR="005D725B" w:rsidRPr="00577AC4" w:rsidRDefault="005D725B" w:rsidP="00D46588">
            <w:pPr>
              <w:pStyle w:val="TableText"/>
              <w:jc w:val="right"/>
              <w:rPr>
                <w:rFonts w:cs="Calibri"/>
              </w:rPr>
            </w:pPr>
            <w:r w:rsidRPr="00577AC4">
              <w:t>223</w:t>
            </w:r>
          </w:p>
        </w:tc>
        <w:tc>
          <w:tcPr>
            <w:tcW w:w="810" w:type="dxa"/>
          </w:tcPr>
          <w:p w14:paraId="1F823AA4" w14:textId="77777777" w:rsidR="005D725B" w:rsidRPr="00577AC4" w:rsidRDefault="005D725B" w:rsidP="00D46588">
            <w:pPr>
              <w:pStyle w:val="TableText"/>
              <w:jc w:val="right"/>
              <w:rPr>
                <w:rFonts w:cs="Calibri"/>
              </w:rPr>
            </w:pPr>
            <w:r w:rsidRPr="00577AC4">
              <w:t>1205</w:t>
            </w:r>
          </w:p>
        </w:tc>
        <w:tc>
          <w:tcPr>
            <w:tcW w:w="1090" w:type="dxa"/>
          </w:tcPr>
          <w:p w14:paraId="62106BA2" w14:textId="77777777" w:rsidR="005D725B" w:rsidRPr="00577AC4" w:rsidRDefault="005D725B" w:rsidP="00D46588">
            <w:pPr>
              <w:pStyle w:val="TableText"/>
              <w:jc w:val="right"/>
              <w:rPr>
                <w:rFonts w:cs="Calibri"/>
              </w:rPr>
            </w:pPr>
            <w:r w:rsidRPr="00577AC4">
              <w:t>83.1 (76.8</w:t>
            </w:r>
            <w:r>
              <w:t xml:space="preserve">, </w:t>
            </w:r>
            <w:r w:rsidRPr="00577AC4">
              <w:t>88.0)</w:t>
            </w:r>
          </w:p>
        </w:tc>
        <w:tc>
          <w:tcPr>
            <w:tcW w:w="530" w:type="dxa"/>
          </w:tcPr>
          <w:p w14:paraId="2AFE1FB0" w14:textId="77777777" w:rsidR="005D725B" w:rsidRPr="00577AC4" w:rsidRDefault="005D725B" w:rsidP="00D46588">
            <w:pPr>
              <w:pStyle w:val="TableText"/>
              <w:jc w:val="right"/>
              <w:rPr>
                <w:rFonts w:cs="Calibri"/>
              </w:rPr>
            </w:pPr>
            <w:r w:rsidRPr="00577AC4">
              <w:t>68</w:t>
            </w:r>
          </w:p>
        </w:tc>
        <w:tc>
          <w:tcPr>
            <w:tcW w:w="810" w:type="dxa"/>
          </w:tcPr>
          <w:p w14:paraId="721263BF" w14:textId="77777777" w:rsidR="005D725B" w:rsidRPr="00577AC4" w:rsidRDefault="005D725B" w:rsidP="00D46588">
            <w:pPr>
              <w:pStyle w:val="TableText"/>
              <w:jc w:val="right"/>
              <w:rPr>
                <w:rFonts w:cs="Calibri"/>
              </w:rPr>
            </w:pPr>
            <w:r w:rsidRPr="00577AC4">
              <w:t>226</w:t>
            </w:r>
          </w:p>
        </w:tc>
        <w:tc>
          <w:tcPr>
            <w:tcW w:w="1117" w:type="dxa"/>
          </w:tcPr>
          <w:p w14:paraId="46899B29" w14:textId="77777777" w:rsidR="005D725B" w:rsidRPr="00577AC4" w:rsidRDefault="005D725B" w:rsidP="00D46588">
            <w:pPr>
              <w:pStyle w:val="TableText"/>
              <w:jc w:val="right"/>
              <w:rPr>
                <w:rFonts w:cs="Calibri"/>
              </w:rPr>
            </w:pPr>
            <w:r w:rsidRPr="00577AC4">
              <w:t>11.7 (8.8</w:t>
            </w:r>
            <w:r>
              <w:t xml:space="preserve">, </w:t>
            </w:r>
            <w:r w:rsidRPr="00577AC4">
              <w:t>15.3)</w:t>
            </w:r>
          </w:p>
        </w:tc>
        <w:tc>
          <w:tcPr>
            <w:tcW w:w="503" w:type="dxa"/>
          </w:tcPr>
          <w:p w14:paraId="281248A4" w14:textId="77777777" w:rsidR="005D725B" w:rsidRPr="00577AC4" w:rsidRDefault="005D725B" w:rsidP="00D46588">
            <w:pPr>
              <w:pStyle w:val="TableText"/>
              <w:jc w:val="right"/>
              <w:rPr>
                <w:rFonts w:cs="Calibri"/>
              </w:rPr>
            </w:pPr>
            <w:r w:rsidRPr="00577AC4">
              <w:t>420</w:t>
            </w:r>
          </w:p>
        </w:tc>
        <w:tc>
          <w:tcPr>
            <w:tcW w:w="810" w:type="dxa"/>
          </w:tcPr>
          <w:p w14:paraId="60797FC3" w14:textId="77777777" w:rsidR="005D725B" w:rsidRPr="00577AC4" w:rsidRDefault="005D725B" w:rsidP="00D46588">
            <w:pPr>
              <w:pStyle w:val="TableText"/>
              <w:jc w:val="right"/>
              <w:rPr>
                <w:rFonts w:cs="Calibri"/>
              </w:rPr>
            </w:pPr>
            <w:r w:rsidRPr="00577AC4">
              <w:t>1660</w:t>
            </w:r>
          </w:p>
        </w:tc>
        <w:tc>
          <w:tcPr>
            <w:tcW w:w="1145" w:type="dxa"/>
          </w:tcPr>
          <w:p w14:paraId="302740EB" w14:textId="77777777" w:rsidR="005D725B" w:rsidRPr="00577AC4" w:rsidRDefault="005D725B" w:rsidP="00D46588">
            <w:pPr>
              <w:pStyle w:val="TableText"/>
              <w:jc w:val="right"/>
              <w:rPr>
                <w:rFonts w:cs="Calibri"/>
              </w:rPr>
            </w:pPr>
            <w:r w:rsidRPr="00577AC4">
              <w:t>85.9 (81.9</w:t>
            </w:r>
            <w:r>
              <w:t xml:space="preserve">, </w:t>
            </w:r>
            <w:r w:rsidRPr="00577AC4">
              <w:t>89.1)</w:t>
            </w:r>
          </w:p>
        </w:tc>
      </w:tr>
      <w:tr w:rsidR="005D725B" w:rsidRPr="00B95AF7" w14:paraId="7D34D65F"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Pr>
          <w:p w14:paraId="27533418"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48</w:t>
            </w:r>
            <w:r>
              <w:rPr>
                <w:rFonts w:cs="Calibri"/>
                <w:bCs/>
                <w:color w:val="000000" w:themeColor="text1"/>
              </w:rPr>
              <w:t>–</w:t>
            </w:r>
            <w:r w:rsidRPr="00474A81">
              <w:rPr>
                <w:rFonts w:cs="Calibri"/>
                <w:bCs/>
                <w:color w:val="000000" w:themeColor="text1"/>
              </w:rPr>
              <w:t>57</w:t>
            </w:r>
          </w:p>
        </w:tc>
        <w:tc>
          <w:tcPr>
            <w:tcW w:w="495" w:type="dxa"/>
          </w:tcPr>
          <w:p w14:paraId="3E02367D" w14:textId="77777777" w:rsidR="005D725B" w:rsidRPr="00577AC4" w:rsidRDefault="005D725B" w:rsidP="00D46588">
            <w:pPr>
              <w:pStyle w:val="TableText"/>
              <w:jc w:val="right"/>
              <w:rPr>
                <w:rFonts w:cs="Calibri"/>
              </w:rPr>
            </w:pPr>
            <w:r w:rsidRPr="00577AC4">
              <w:t>29</w:t>
            </w:r>
          </w:p>
        </w:tc>
        <w:tc>
          <w:tcPr>
            <w:tcW w:w="810" w:type="dxa"/>
          </w:tcPr>
          <w:p w14:paraId="75F134F8" w14:textId="77777777" w:rsidR="005D725B" w:rsidRPr="00577AC4" w:rsidRDefault="005D725B" w:rsidP="00D46588">
            <w:pPr>
              <w:pStyle w:val="TableText"/>
              <w:jc w:val="right"/>
              <w:rPr>
                <w:rFonts w:cs="Calibri"/>
              </w:rPr>
            </w:pPr>
            <w:r w:rsidRPr="00577AC4">
              <w:t>155</w:t>
            </w:r>
          </w:p>
        </w:tc>
        <w:tc>
          <w:tcPr>
            <w:tcW w:w="1152" w:type="dxa"/>
          </w:tcPr>
          <w:p w14:paraId="418A0CF3" w14:textId="77777777" w:rsidR="005D725B" w:rsidRPr="00577AC4" w:rsidRDefault="005D725B" w:rsidP="00D46588">
            <w:pPr>
              <w:pStyle w:val="TableText"/>
              <w:jc w:val="right"/>
              <w:rPr>
                <w:rFonts w:cs="Calibri"/>
              </w:rPr>
            </w:pPr>
            <w:r w:rsidRPr="00577AC4">
              <w:t>24.5 (16.6</w:t>
            </w:r>
            <w:r>
              <w:t xml:space="preserve">, </w:t>
            </w:r>
            <w:r w:rsidRPr="00577AC4">
              <w:t>34.5)</w:t>
            </w:r>
          </w:p>
        </w:tc>
        <w:tc>
          <w:tcPr>
            <w:tcW w:w="558" w:type="dxa"/>
          </w:tcPr>
          <w:p w14:paraId="681F8DAF" w14:textId="77777777" w:rsidR="005D725B" w:rsidRPr="00577AC4" w:rsidRDefault="005D725B" w:rsidP="00D46588">
            <w:pPr>
              <w:pStyle w:val="TableText"/>
              <w:jc w:val="right"/>
              <w:rPr>
                <w:rFonts w:cs="Calibri"/>
              </w:rPr>
            </w:pPr>
            <w:r w:rsidRPr="00577AC4">
              <w:t>103</w:t>
            </w:r>
          </w:p>
        </w:tc>
        <w:tc>
          <w:tcPr>
            <w:tcW w:w="810" w:type="dxa"/>
          </w:tcPr>
          <w:p w14:paraId="1D8B5063" w14:textId="77777777" w:rsidR="005D725B" w:rsidRPr="00577AC4" w:rsidRDefault="005D725B" w:rsidP="00D46588">
            <w:pPr>
              <w:pStyle w:val="TableText"/>
              <w:jc w:val="right"/>
              <w:rPr>
                <w:rFonts w:cs="Calibri"/>
              </w:rPr>
            </w:pPr>
            <w:r w:rsidRPr="00577AC4">
              <w:t>446</w:t>
            </w:r>
          </w:p>
        </w:tc>
        <w:tc>
          <w:tcPr>
            <w:tcW w:w="1090" w:type="dxa"/>
          </w:tcPr>
          <w:p w14:paraId="0497A954" w14:textId="77777777" w:rsidR="005D725B" w:rsidRPr="00577AC4" w:rsidRDefault="005D725B" w:rsidP="00D46588">
            <w:pPr>
              <w:pStyle w:val="TableText"/>
              <w:jc w:val="right"/>
              <w:rPr>
                <w:rFonts w:cs="Calibri"/>
              </w:rPr>
            </w:pPr>
            <w:r w:rsidRPr="00577AC4">
              <w:t>70.5 (60.4</w:t>
            </w:r>
            <w:r>
              <w:t xml:space="preserve">, </w:t>
            </w:r>
            <w:r w:rsidRPr="00577AC4">
              <w:t>79.0)</w:t>
            </w:r>
          </w:p>
        </w:tc>
        <w:tc>
          <w:tcPr>
            <w:tcW w:w="530" w:type="dxa"/>
          </w:tcPr>
          <w:p w14:paraId="4947BA4E" w14:textId="77777777" w:rsidR="005D725B" w:rsidRPr="00577AC4" w:rsidRDefault="005D725B" w:rsidP="00D46588">
            <w:pPr>
              <w:pStyle w:val="TableText"/>
              <w:jc w:val="right"/>
              <w:rPr>
                <w:rFonts w:cs="Calibri"/>
              </w:rPr>
            </w:pPr>
            <w:r w:rsidRPr="00577AC4">
              <w:t>34</w:t>
            </w:r>
          </w:p>
        </w:tc>
        <w:tc>
          <w:tcPr>
            <w:tcW w:w="810" w:type="dxa"/>
          </w:tcPr>
          <w:p w14:paraId="5FC3246A" w14:textId="77777777" w:rsidR="005D725B" w:rsidRPr="00577AC4" w:rsidRDefault="005D725B" w:rsidP="00D46588">
            <w:pPr>
              <w:pStyle w:val="TableText"/>
              <w:jc w:val="right"/>
              <w:rPr>
                <w:rFonts w:cs="Calibri"/>
              </w:rPr>
            </w:pPr>
            <w:r w:rsidRPr="00577AC4">
              <w:t>139</w:t>
            </w:r>
          </w:p>
        </w:tc>
        <w:tc>
          <w:tcPr>
            <w:tcW w:w="1117" w:type="dxa"/>
          </w:tcPr>
          <w:p w14:paraId="5C58EDCB" w14:textId="77777777" w:rsidR="005D725B" w:rsidRPr="00577AC4" w:rsidRDefault="005D725B" w:rsidP="00D46588">
            <w:pPr>
              <w:pStyle w:val="TableText"/>
              <w:jc w:val="right"/>
              <w:rPr>
                <w:rFonts w:cs="Calibri"/>
              </w:rPr>
            </w:pPr>
            <w:r w:rsidRPr="00577AC4">
              <w:t>14.5 (10.0</w:t>
            </w:r>
            <w:r>
              <w:t xml:space="preserve">, </w:t>
            </w:r>
            <w:r w:rsidRPr="00577AC4">
              <w:t>20.6)</w:t>
            </w:r>
          </w:p>
        </w:tc>
        <w:tc>
          <w:tcPr>
            <w:tcW w:w="503" w:type="dxa"/>
          </w:tcPr>
          <w:p w14:paraId="5AA7652D" w14:textId="77777777" w:rsidR="005D725B" w:rsidRPr="00577AC4" w:rsidRDefault="005D725B" w:rsidP="00D46588">
            <w:pPr>
              <w:pStyle w:val="TableText"/>
              <w:jc w:val="right"/>
              <w:rPr>
                <w:rFonts w:cs="Calibri"/>
              </w:rPr>
            </w:pPr>
            <w:r w:rsidRPr="00577AC4">
              <w:t>218</w:t>
            </w:r>
          </w:p>
        </w:tc>
        <w:tc>
          <w:tcPr>
            <w:tcW w:w="810" w:type="dxa"/>
          </w:tcPr>
          <w:p w14:paraId="62E166C8" w14:textId="77777777" w:rsidR="005D725B" w:rsidRPr="00577AC4" w:rsidRDefault="005D725B" w:rsidP="00D46588">
            <w:pPr>
              <w:pStyle w:val="TableText"/>
              <w:jc w:val="right"/>
              <w:rPr>
                <w:rFonts w:cs="Calibri"/>
              </w:rPr>
            </w:pPr>
            <w:r w:rsidRPr="00577AC4">
              <w:t>787</w:t>
            </w:r>
          </w:p>
        </w:tc>
        <w:tc>
          <w:tcPr>
            <w:tcW w:w="1145" w:type="dxa"/>
          </w:tcPr>
          <w:p w14:paraId="7C30F506" w14:textId="77777777" w:rsidR="005D725B" w:rsidRPr="00577AC4" w:rsidRDefault="005D725B" w:rsidP="00D46588">
            <w:pPr>
              <w:pStyle w:val="TableText"/>
              <w:jc w:val="right"/>
              <w:rPr>
                <w:rFonts w:cs="Calibri"/>
              </w:rPr>
            </w:pPr>
            <w:r w:rsidRPr="00577AC4">
              <w:t>81.8 (75.6</w:t>
            </w:r>
            <w:r>
              <w:t xml:space="preserve">, </w:t>
            </w:r>
            <w:r w:rsidRPr="00577AC4">
              <w:t>86.7)</w:t>
            </w:r>
          </w:p>
        </w:tc>
      </w:tr>
      <w:tr w:rsidR="005D725B" w:rsidRPr="00B95AF7" w14:paraId="72E7B8E9" w14:textId="77777777" w:rsidTr="005D725B">
        <w:trPr>
          <w:cantSplit/>
        </w:trPr>
        <w:tc>
          <w:tcPr>
            <w:tcW w:w="1690" w:type="dxa"/>
            <w:tcBorders>
              <w:bottom w:val="single" w:sz="4" w:space="0" w:color="000000"/>
            </w:tcBorders>
          </w:tcPr>
          <w:p w14:paraId="6F10E9A1"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58+</w:t>
            </w:r>
          </w:p>
        </w:tc>
        <w:tc>
          <w:tcPr>
            <w:tcW w:w="495" w:type="dxa"/>
            <w:tcBorders>
              <w:bottom w:val="single" w:sz="4" w:space="0" w:color="000000"/>
            </w:tcBorders>
          </w:tcPr>
          <w:p w14:paraId="76DFADB6" w14:textId="77777777" w:rsidR="005D725B" w:rsidRPr="00577AC4" w:rsidRDefault="005D725B" w:rsidP="00D46588">
            <w:pPr>
              <w:pStyle w:val="TableText"/>
              <w:jc w:val="right"/>
              <w:rPr>
                <w:rFonts w:cs="Calibri"/>
              </w:rPr>
            </w:pPr>
            <w:r w:rsidRPr="00577AC4">
              <w:t>11</w:t>
            </w:r>
          </w:p>
        </w:tc>
        <w:tc>
          <w:tcPr>
            <w:tcW w:w="810" w:type="dxa"/>
            <w:tcBorders>
              <w:bottom w:val="single" w:sz="4" w:space="0" w:color="000000"/>
            </w:tcBorders>
          </w:tcPr>
          <w:p w14:paraId="7E18126E" w14:textId="77777777" w:rsidR="005D725B" w:rsidRPr="00577AC4" w:rsidRDefault="005D725B" w:rsidP="00D46588">
            <w:pPr>
              <w:pStyle w:val="TableText"/>
              <w:jc w:val="right"/>
              <w:rPr>
                <w:rFonts w:cs="Calibri"/>
              </w:rPr>
            </w:pPr>
            <w:r w:rsidRPr="00577AC4">
              <w:t>46</w:t>
            </w:r>
          </w:p>
        </w:tc>
        <w:tc>
          <w:tcPr>
            <w:tcW w:w="1152" w:type="dxa"/>
            <w:tcBorders>
              <w:bottom w:val="single" w:sz="4" w:space="0" w:color="000000"/>
            </w:tcBorders>
          </w:tcPr>
          <w:p w14:paraId="7C87F4C7" w14:textId="77777777" w:rsidR="005D725B" w:rsidRPr="00577AC4" w:rsidRDefault="005D725B" w:rsidP="00D46588">
            <w:pPr>
              <w:pStyle w:val="TableText"/>
              <w:jc w:val="right"/>
              <w:rPr>
                <w:rFonts w:cs="Calibri"/>
              </w:rPr>
            </w:pPr>
            <w:r w:rsidRPr="00577AC4">
              <w:t>15.5 (9.1</w:t>
            </w:r>
            <w:r>
              <w:t xml:space="preserve">, </w:t>
            </w:r>
            <w:r w:rsidRPr="00577AC4">
              <w:t>25.2)</w:t>
            </w:r>
          </w:p>
        </w:tc>
        <w:tc>
          <w:tcPr>
            <w:tcW w:w="558" w:type="dxa"/>
            <w:tcBorders>
              <w:bottom w:val="single" w:sz="4" w:space="0" w:color="000000"/>
            </w:tcBorders>
          </w:tcPr>
          <w:p w14:paraId="06C66903" w14:textId="77777777" w:rsidR="005D725B" w:rsidRPr="00577AC4" w:rsidRDefault="005D725B" w:rsidP="00D46588">
            <w:pPr>
              <w:pStyle w:val="TableText"/>
              <w:jc w:val="right"/>
              <w:rPr>
                <w:rFonts w:cs="Calibri"/>
              </w:rPr>
            </w:pPr>
            <w:r w:rsidRPr="00577AC4">
              <w:t>56</w:t>
            </w:r>
          </w:p>
        </w:tc>
        <w:tc>
          <w:tcPr>
            <w:tcW w:w="810" w:type="dxa"/>
            <w:tcBorders>
              <w:bottom w:val="single" w:sz="4" w:space="0" w:color="000000"/>
            </w:tcBorders>
          </w:tcPr>
          <w:p w14:paraId="04B74F2B" w14:textId="77777777" w:rsidR="005D725B" w:rsidRPr="00577AC4" w:rsidRDefault="005D725B" w:rsidP="00D46588">
            <w:pPr>
              <w:pStyle w:val="TableText"/>
              <w:jc w:val="right"/>
              <w:rPr>
                <w:rFonts w:cs="Calibri"/>
              </w:rPr>
            </w:pPr>
            <w:r w:rsidRPr="00577AC4">
              <w:t>236</w:t>
            </w:r>
          </w:p>
        </w:tc>
        <w:tc>
          <w:tcPr>
            <w:tcW w:w="1090" w:type="dxa"/>
            <w:tcBorders>
              <w:bottom w:val="single" w:sz="4" w:space="0" w:color="000000"/>
            </w:tcBorders>
          </w:tcPr>
          <w:p w14:paraId="0764C525" w14:textId="77777777" w:rsidR="005D725B" w:rsidRPr="00577AC4" w:rsidRDefault="005D725B" w:rsidP="00D46588">
            <w:pPr>
              <w:pStyle w:val="TableText"/>
              <w:jc w:val="right"/>
              <w:rPr>
                <w:rFonts w:cs="Calibri"/>
              </w:rPr>
            </w:pPr>
            <w:r w:rsidRPr="00577AC4">
              <w:t>80.4 (70.3</w:t>
            </w:r>
            <w:r>
              <w:t xml:space="preserve">, </w:t>
            </w:r>
            <w:r w:rsidRPr="00577AC4">
              <w:t>87.8)</w:t>
            </w:r>
          </w:p>
        </w:tc>
        <w:tc>
          <w:tcPr>
            <w:tcW w:w="530" w:type="dxa"/>
            <w:tcBorders>
              <w:bottom w:val="single" w:sz="4" w:space="0" w:color="000000"/>
            </w:tcBorders>
          </w:tcPr>
          <w:p w14:paraId="3FEBC979" w14:textId="77777777" w:rsidR="005D725B" w:rsidRPr="00577AC4" w:rsidRDefault="005D725B" w:rsidP="00D46588">
            <w:pPr>
              <w:pStyle w:val="TableText"/>
              <w:jc w:val="right"/>
              <w:rPr>
                <w:rFonts w:cs="Calibri"/>
              </w:rPr>
            </w:pPr>
            <w:r w:rsidRPr="00E603D7">
              <w:t>#</w:t>
            </w:r>
          </w:p>
        </w:tc>
        <w:tc>
          <w:tcPr>
            <w:tcW w:w="810" w:type="dxa"/>
            <w:tcBorders>
              <w:bottom w:val="single" w:sz="4" w:space="0" w:color="000000"/>
            </w:tcBorders>
          </w:tcPr>
          <w:p w14:paraId="539D072A" w14:textId="77777777" w:rsidR="005D725B" w:rsidRPr="00577AC4" w:rsidRDefault="005D725B" w:rsidP="00D46588">
            <w:pPr>
              <w:pStyle w:val="TableText"/>
              <w:jc w:val="right"/>
              <w:rPr>
                <w:rFonts w:cs="Calibri"/>
              </w:rPr>
            </w:pPr>
            <w:r>
              <w:t>–</w:t>
            </w:r>
          </w:p>
        </w:tc>
        <w:tc>
          <w:tcPr>
            <w:tcW w:w="1117" w:type="dxa"/>
            <w:tcBorders>
              <w:bottom w:val="single" w:sz="4" w:space="0" w:color="000000"/>
            </w:tcBorders>
          </w:tcPr>
          <w:p w14:paraId="4A28B8CA" w14:textId="77777777" w:rsidR="005D725B" w:rsidRPr="00577AC4" w:rsidRDefault="005D725B" w:rsidP="00D46588">
            <w:pPr>
              <w:pStyle w:val="TableText"/>
              <w:jc w:val="right"/>
              <w:rPr>
                <w:rFonts w:cs="Calibri"/>
              </w:rPr>
            </w:pPr>
            <w:r>
              <w:t>–</w:t>
            </w:r>
          </w:p>
        </w:tc>
        <w:tc>
          <w:tcPr>
            <w:tcW w:w="503" w:type="dxa"/>
            <w:tcBorders>
              <w:bottom w:val="single" w:sz="4" w:space="0" w:color="000000"/>
            </w:tcBorders>
          </w:tcPr>
          <w:p w14:paraId="1745F1C1" w14:textId="77777777" w:rsidR="005D725B" w:rsidRPr="00577AC4" w:rsidRDefault="005D725B" w:rsidP="00D46588">
            <w:pPr>
              <w:pStyle w:val="TableText"/>
              <w:jc w:val="right"/>
              <w:rPr>
                <w:rFonts w:cs="Calibri"/>
              </w:rPr>
            </w:pPr>
            <w:r w:rsidRPr="00577AC4">
              <w:t>19</w:t>
            </w:r>
          </w:p>
        </w:tc>
        <w:tc>
          <w:tcPr>
            <w:tcW w:w="810" w:type="dxa"/>
            <w:tcBorders>
              <w:bottom w:val="single" w:sz="4" w:space="0" w:color="000000"/>
            </w:tcBorders>
          </w:tcPr>
          <w:p w14:paraId="715840D1" w14:textId="77777777" w:rsidR="005D725B" w:rsidRPr="00577AC4" w:rsidRDefault="005D725B" w:rsidP="00D46588">
            <w:pPr>
              <w:pStyle w:val="TableText"/>
              <w:jc w:val="right"/>
              <w:rPr>
                <w:rFonts w:cs="Calibri"/>
              </w:rPr>
            </w:pPr>
            <w:r w:rsidRPr="00577AC4">
              <w:t>76</w:t>
            </w:r>
          </w:p>
        </w:tc>
        <w:tc>
          <w:tcPr>
            <w:tcW w:w="1145" w:type="dxa"/>
            <w:tcBorders>
              <w:bottom w:val="single" w:sz="4" w:space="0" w:color="000000"/>
            </w:tcBorders>
          </w:tcPr>
          <w:p w14:paraId="61BB8B9C" w14:textId="77777777" w:rsidR="005D725B" w:rsidRPr="00577AC4" w:rsidRDefault="005D725B" w:rsidP="00D46588">
            <w:pPr>
              <w:pStyle w:val="TableText"/>
              <w:jc w:val="right"/>
              <w:rPr>
                <w:rFonts w:cs="Calibri"/>
              </w:rPr>
            </w:pPr>
            <w:r w:rsidRPr="00577AC4">
              <w:t>90.5 (76.8</w:t>
            </w:r>
            <w:r>
              <w:t xml:space="preserve">, </w:t>
            </w:r>
            <w:r w:rsidRPr="00577AC4">
              <w:t>96.5)</w:t>
            </w:r>
          </w:p>
        </w:tc>
      </w:tr>
      <w:tr w:rsidR="005D725B" w:rsidRPr="00B95AF7" w14:paraId="79B50BC2"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Borders>
              <w:top w:val="single" w:sz="4" w:space="0" w:color="000000"/>
              <w:bottom w:val="nil"/>
            </w:tcBorders>
          </w:tcPr>
          <w:p w14:paraId="3EADA94C" w14:textId="77777777" w:rsidR="005D725B" w:rsidRPr="00474A81" w:rsidRDefault="005D725B" w:rsidP="00D46588">
            <w:pPr>
              <w:pStyle w:val="TableText"/>
              <w:rPr>
                <w:rFonts w:cs="Calibri"/>
                <w:b/>
                <w:bCs/>
                <w:color w:val="000000" w:themeColor="text1"/>
              </w:rPr>
            </w:pPr>
            <w:r w:rsidRPr="00474A81">
              <w:rPr>
                <w:rFonts w:cs="Calibri"/>
                <w:b/>
                <w:bCs/>
                <w:color w:val="000000" w:themeColor="text1"/>
              </w:rPr>
              <w:t>Sex and Age (yrs)</w:t>
            </w:r>
          </w:p>
        </w:tc>
        <w:tc>
          <w:tcPr>
            <w:tcW w:w="495" w:type="dxa"/>
            <w:tcBorders>
              <w:top w:val="single" w:sz="4" w:space="0" w:color="000000"/>
              <w:bottom w:val="nil"/>
            </w:tcBorders>
          </w:tcPr>
          <w:p w14:paraId="27449CC1"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0E3E7148" w14:textId="77777777" w:rsidR="005D725B" w:rsidRPr="00577AC4" w:rsidRDefault="005D725B" w:rsidP="00D46588">
            <w:pPr>
              <w:pStyle w:val="TableText"/>
              <w:jc w:val="right"/>
              <w:rPr>
                <w:rFonts w:cs="Calibri"/>
              </w:rPr>
            </w:pPr>
          </w:p>
        </w:tc>
        <w:tc>
          <w:tcPr>
            <w:tcW w:w="1152" w:type="dxa"/>
            <w:tcBorders>
              <w:top w:val="single" w:sz="4" w:space="0" w:color="000000"/>
              <w:bottom w:val="nil"/>
            </w:tcBorders>
          </w:tcPr>
          <w:p w14:paraId="0C8C907B" w14:textId="77777777" w:rsidR="005D725B" w:rsidRPr="00577AC4" w:rsidRDefault="005D725B" w:rsidP="00D46588">
            <w:pPr>
              <w:pStyle w:val="TableText"/>
              <w:jc w:val="right"/>
              <w:rPr>
                <w:rFonts w:cs="Calibri"/>
              </w:rPr>
            </w:pPr>
          </w:p>
        </w:tc>
        <w:tc>
          <w:tcPr>
            <w:tcW w:w="558" w:type="dxa"/>
            <w:tcBorders>
              <w:top w:val="single" w:sz="4" w:space="0" w:color="000000"/>
              <w:bottom w:val="nil"/>
            </w:tcBorders>
          </w:tcPr>
          <w:p w14:paraId="078F7071"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24D9438B" w14:textId="77777777" w:rsidR="005D725B" w:rsidRPr="00577AC4" w:rsidRDefault="005D725B" w:rsidP="00D46588">
            <w:pPr>
              <w:pStyle w:val="TableText"/>
              <w:jc w:val="right"/>
              <w:rPr>
                <w:rFonts w:cs="Calibri"/>
              </w:rPr>
            </w:pPr>
          </w:p>
        </w:tc>
        <w:tc>
          <w:tcPr>
            <w:tcW w:w="1090" w:type="dxa"/>
            <w:tcBorders>
              <w:top w:val="single" w:sz="4" w:space="0" w:color="000000"/>
              <w:bottom w:val="nil"/>
            </w:tcBorders>
          </w:tcPr>
          <w:p w14:paraId="3E00F095" w14:textId="77777777" w:rsidR="005D725B" w:rsidRPr="00577AC4" w:rsidRDefault="005D725B" w:rsidP="00D46588">
            <w:pPr>
              <w:pStyle w:val="TableText"/>
              <w:jc w:val="right"/>
              <w:rPr>
                <w:rFonts w:cs="Calibri"/>
              </w:rPr>
            </w:pPr>
          </w:p>
        </w:tc>
        <w:tc>
          <w:tcPr>
            <w:tcW w:w="530" w:type="dxa"/>
            <w:tcBorders>
              <w:top w:val="single" w:sz="4" w:space="0" w:color="000000"/>
              <w:bottom w:val="nil"/>
            </w:tcBorders>
          </w:tcPr>
          <w:p w14:paraId="451A49BD"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1C8BA7B0" w14:textId="77777777" w:rsidR="005D725B" w:rsidRPr="00577AC4" w:rsidRDefault="005D725B" w:rsidP="00D46588">
            <w:pPr>
              <w:pStyle w:val="TableText"/>
              <w:jc w:val="right"/>
              <w:rPr>
                <w:rFonts w:cs="Calibri"/>
              </w:rPr>
            </w:pPr>
          </w:p>
        </w:tc>
        <w:tc>
          <w:tcPr>
            <w:tcW w:w="1117" w:type="dxa"/>
            <w:tcBorders>
              <w:top w:val="single" w:sz="4" w:space="0" w:color="000000"/>
              <w:bottom w:val="nil"/>
            </w:tcBorders>
          </w:tcPr>
          <w:p w14:paraId="34ACBE1D" w14:textId="77777777" w:rsidR="005D725B" w:rsidRPr="00577AC4" w:rsidRDefault="005D725B" w:rsidP="00D46588">
            <w:pPr>
              <w:pStyle w:val="TableText"/>
              <w:jc w:val="right"/>
              <w:rPr>
                <w:rFonts w:cs="Calibri"/>
              </w:rPr>
            </w:pPr>
          </w:p>
        </w:tc>
        <w:tc>
          <w:tcPr>
            <w:tcW w:w="503" w:type="dxa"/>
            <w:tcBorders>
              <w:top w:val="single" w:sz="4" w:space="0" w:color="000000"/>
              <w:bottom w:val="nil"/>
            </w:tcBorders>
          </w:tcPr>
          <w:p w14:paraId="62063AB2" w14:textId="77777777" w:rsidR="005D725B" w:rsidRPr="00577AC4" w:rsidRDefault="005D725B" w:rsidP="00D46588">
            <w:pPr>
              <w:pStyle w:val="TableText"/>
              <w:jc w:val="right"/>
              <w:rPr>
                <w:rFonts w:cs="Calibri"/>
              </w:rPr>
            </w:pPr>
          </w:p>
        </w:tc>
        <w:tc>
          <w:tcPr>
            <w:tcW w:w="810" w:type="dxa"/>
            <w:tcBorders>
              <w:top w:val="single" w:sz="4" w:space="0" w:color="000000"/>
              <w:bottom w:val="nil"/>
            </w:tcBorders>
          </w:tcPr>
          <w:p w14:paraId="2406A88A" w14:textId="77777777" w:rsidR="005D725B" w:rsidRPr="00577AC4" w:rsidRDefault="005D725B" w:rsidP="00D46588">
            <w:pPr>
              <w:pStyle w:val="TableText"/>
              <w:jc w:val="right"/>
              <w:rPr>
                <w:rFonts w:cs="Calibri"/>
              </w:rPr>
            </w:pPr>
          </w:p>
        </w:tc>
        <w:tc>
          <w:tcPr>
            <w:tcW w:w="1145" w:type="dxa"/>
            <w:tcBorders>
              <w:top w:val="single" w:sz="4" w:space="0" w:color="000000"/>
              <w:bottom w:val="nil"/>
            </w:tcBorders>
          </w:tcPr>
          <w:p w14:paraId="2E7C82DC" w14:textId="77777777" w:rsidR="005D725B" w:rsidRPr="00577AC4" w:rsidRDefault="005D725B" w:rsidP="00D46588">
            <w:pPr>
              <w:pStyle w:val="TableText"/>
              <w:jc w:val="right"/>
              <w:rPr>
                <w:rFonts w:cs="Calibri"/>
              </w:rPr>
            </w:pPr>
          </w:p>
        </w:tc>
      </w:tr>
      <w:tr w:rsidR="005D725B" w:rsidRPr="00B95AF7" w14:paraId="1B6A5432" w14:textId="77777777" w:rsidTr="005D725B">
        <w:trPr>
          <w:cantSplit/>
        </w:trPr>
        <w:tc>
          <w:tcPr>
            <w:tcW w:w="1690" w:type="dxa"/>
            <w:tcBorders>
              <w:top w:val="nil"/>
            </w:tcBorders>
          </w:tcPr>
          <w:p w14:paraId="31910983"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Male 18</w:t>
            </w:r>
            <w:r>
              <w:rPr>
                <w:rFonts w:cs="Calibri"/>
                <w:bCs/>
                <w:color w:val="000000" w:themeColor="text1"/>
              </w:rPr>
              <w:t>–</w:t>
            </w:r>
            <w:r w:rsidRPr="00474A81">
              <w:rPr>
                <w:rFonts w:cs="Calibri"/>
                <w:bCs/>
                <w:color w:val="000000" w:themeColor="text1"/>
              </w:rPr>
              <w:t>37</w:t>
            </w:r>
          </w:p>
        </w:tc>
        <w:tc>
          <w:tcPr>
            <w:tcW w:w="495" w:type="dxa"/>
            <w:tcBorders>
              <w:top w:val="nil"/>
            </w:tcBorders>
          </w:tcPr>
          <w:p w14:paraId="2426C022" w14:textId="77777777" w:rsidR="005D725B" w:rsidRPr="00577AC4" w:rsidRDefault="005D725B" w:rsidP="00D46588">
            <w:pPr>
              <w:pStyle w:val="TableText"/>
              <w:jc w:val="right"/>
              <w:rPr>
                <w:rFonts w:cs="Calibri"/>
              </w:rPr>
            </w:pPr>
            <w:r w:rsidRPr="00577AC4">
              <w:t>49</w:t>
            </w:r>
          </w:p>
        </w:tc>
        <w:tc>
          <w:tcPr>
            <w:tcW w:w="810" w:type="dxa"/>
            <w:tcBorders>
              <w:top w:val="nil"/>
            </w:tcBorders>
          </w:tcPr>
          <w:p w14:paraId="7DA58E26" w14:textId="77777777" w:rsidR="005D725B" w:rsidRPr="00577AC4" w:rsidRDefault="005D725B" w:rsidP="00D46588">
            <w:pPr>
              <w:pStyle w:val="TableText"/>
              <w:jc w:val="right"/>
              <w:rPr>
                <w:rFonts w:cs="Calibri"/>
              </w:rPr>
            </w:pPr>
            <w:r w:rsidRPr="00577AC4">
              <w:t>580</w:t>
            </w:r>
          </w:p>
        </w:tc>
        <w:tc>
          <w:tcPr>
            <w:tcW w:w="1152" w:type="dxa"/>
            <w:tcBorders>
              <w:top w:val="nil"/>
            </w:tcBorders>
          </w:tcPr>
          <w:p w14:paraId="534B31AD" w14:textId="77777777" w:rsidR="005D725B" w:rsidRPr="00577AC4" w:rsidRDefault="005D725B" w:rsidP="00D46588">
            <w:pPr>
              <w:pStyle w:val="TableText"/>
              <w:jc w:val="right"/>
              <w:rPr>
                <w:rFonts w:cs="Calibri"/>
              </w:rPr>
            </w:pPr>
            <w:r w:rsidRPr="00577AC4">
              <w:t>20.2 (15.0</w:t>
            </w:r>
            <w:r>
              <w:t xml:space="preserve">, </w:t>
            </w:r>
            <w:r w:rsidRPr="00577AC4">
              <w:t>26.7)</w:t>
            </w:r>
          </w:p>
        </w:tc>
        <w:tc>
          <w:tcPr>
            <w:tcW w:w="558" w:type="dxa"/>
            <w:tcBorders>
              <w:top w:val="nil"/>
            </w:tcBorders>
          </w:tcPr>
          <w:p w14:paraId="06BDAD04" w14:textId="77777777" w:rsidR="005D725B" w:rsidRPr="00577AC4" w:rsidRDefault="005D725B" w:rsidP="00D46588">
            <w:pPr>
              <w:pStyle w:val="TableText"/>
              <w:jc w:val="right"/>
              <w:rPr>
                <w:rFonts w:cs="Calibri"/>
              </w:rPr>
            </w:pPr>
            <w:r w:rsidRPr="00577AC4">
              <w:t>206</w:t>
            </w:r>
          </w:p>
        </w:tc>
        <w:tc>
          <w:tcPr>
            <w:tcW w:w="810" w:type="dxa"/>
            <w:tcBorders>
              <w:top w:val="nil"/>
            </w:tcBorders>
          </w:tcPr>
          <w:p w14:paraId="35A32CE6" w14:textId="77777777" w:rsidR="005D725B" w:rsidRPr="00577AC4" w:rsidRDefault="005D725B" w:rsidP="00D46588">
            <w:pPr>
              <w:pStyle w:val="TableText"/>
              <w:jc w:val="right"/>
              <w:rPr>
                <w:rFonts w:cs="Calibri"/>
              </w:rPr>
            </w:pPr>
            <w:r w:rsidRPr="00577AC4">
              <w:t>2224</w:t>
            </w:r>
          </w:p>
        </w:tc>
        <w:tc>
          <w:tcPr>
            <w:tcW w:w="1090" w:type="dxa"/>
            <w:tcBorders>
              <w:top w:val="nil"/>
            </w:tcBorders>
          </w:tcPr>
          <w:p w14:paraId="4FFE411B" w14:textId="77777777" w:rsidR="005D725B" w:rsidRPr="00577AC4" w:rsidRDefault="005D725B" w:rsidP="00D46588">
            <w:pPr>
              <w:pStyle w:val="TableText"/>
              <w:jc w:val="right"/>
              <w:rPr>
                <w:rFonts w:cs="Calibri"/>
              </w:rPr>
            </w:pPr>
            <w:r w:rsidRPr="00577AC4">
              <w:t>77.4 (70.6</w:t>
            </w:r>
            <w:r>
              <w:t xml:space="preserve">, </w:t>
            </w:r>
            <w:r w:rsidRPr="00577AC4">
              <w:t>82.9)</w:t>
            </w:r>
          </w:p>
        </w:tc>
        <w:tc>
          <w:tcPr>
            <w:tcW w:w="530" w:type="dxa"/>
            <w:tcBorders>
              <w:top w:val="nil"/>
            </w:tcBorders>
          </w:tcPr>
          <w:p w14:paraId="68148292" w14:textId="77777777" w:rsidR="005D725B" w:rsidRPr="00577AC4" w:rsidRDefault="005D725B" w:rsidP="00D46588">
            <w:pPr>
              <w:pStyle w:val="TableText"/>
              <w:jc w:val="right"/>
              <w:rPr>
                <w:rFonts w:cs="Calibri"/>
              </w:rPr>
            </w:pPr>
            <w:r w:rsidRPr="00577AC4">
              <w:t>32</w:t>
            </w:r>
          </w:p>
        </w:tc>
        <w:tc>
          <w:tcPr>
            <w:tcW w:w="810" w:type="dxa"/>
            <w:tcBorders>
              <w:top w:val="nil"/>
            </w:tcBorders>
          </w:tcPr>
          <w:p w14:paraId="75E20C1A" w14:textId="77777777" w:rsidR="005D725B" w:rsidRPr="00577AC4" w:rsidRDefault="005D725B" w:rsidP="00D46588">
            <w:pPr>
              <w:pStyle w:val="TableText"/>
              <w:jc w:val="right"/>
              <w:rPr>
                <w:rFonts w:cs="Calibri"/>
              </w:rPr>
            </w:pPr>
            <w:r w:rsidRPr="00577AC4">
              <w:t>712</w:t>
            </w:r>
          </w:p>
        </w:tc>
        <w:tc>
          <w:tcPr>
            <w:tcW w:w="1117" w:type="dxa"/>
            <w:tcBorders>
              <w:top w:val="nil"/>
            </w:tcBorders>
          </w:tcPr>
          <w:p w14:paraId="7BF74551" w14:textId="77777777" w:rsidR="005D725B" w:rsidRPr="00577AC4" w:rsidRDefault="005D725B" w:rsidP="00D46588">
            <w:pPr>
              <w:pStyle w:val="TableText"/>
              <w:jc w:val="right"/>
              <w:rPr>
                <w:rFonts w:cs="Calibri"/>
              </w:rPr>
            </w:pPr>
            <w:r w:rsidRPr="00577AC4">
              <w:t>14.3 (5.3</w:t>
            </w:r>
            <w:r>
              <w:t xml:space="preserve">, </w:t>
            </w:r>
            <w:r w:rsidRPr="00577AC4">
              <w:t>33.4)</w:t>
            </w:r>
          </w:p>
        </w:tc>
        <w:tc>
          <w:tcPr>
            <w:tcW w:w="503" w:type="dxa"/>
            <w:tcBorders>
              <w:top w:val="nil"/>
            </w:tcBorders>
          </w:tcPr>
          <w:p w14:paraId="582B28A3" w14:textId="77777777" w:rsidR="005D725B" w:rsidRPr="00577AC4" w:rsidRDefault="005D725B" w:rsidP="00D46588">
            <w:pPr>
              <w:pStyle w:val="TableText"/>
              <w:jc w:val="right"/>
              <w:rPr>
                <w:rFonts w:cs="Calibri"/>
              </w:rPr>
            </w:pPr>
            <w:r w:rsidRPr="00577AC4">
              <w:t>323</w:t>
            </w:r>
          </w:p>
        </w:tc>
        <w:tc>
          <w:tcPr>
            <w:tcW w:w="810" w:type="dxa"/>
            <w:tcBorders>
              <w:top w:val="nil"/>
            </w:tcBorders>
          </w:tcPr>
          <w:p w14:paraId="0AC2EAEE" w14:textId="77777777" w:rsidR="005D725B" w:rsidRPr="00577AC4" w:rsidRDefault="005D725B" w:rsidP="00D46588">
            <w:pPr>
              <w:pStyle w:val="TableText"/>
              <w:jc w:val="right"/>
              <w:rPr>
                <w:rFonts w:cs="Calibri"/>
              </w:rPr>
            </w:pPr>
            <w:r w:rsidRPr="00577AC4">
              <w:t>4147</w:t>
            </w:r>
          </w:p>
        </w:tc>
        <w:tc>
          <w:tcPr>
            <w:tcW w:w="1145" w:type="dxa"/>
            <w:tcBorders>
              <w:top w:val="nil"/>
            </w:tcBorders>
          </w:tcPr>
          <w:p w14:paraId="72BB6DA5" w14:textId="77777777" w:rsidR="005D725B" w:rsidRPr="00577AC4" w:rsidRDefault="005D725B" w:rsidP="00D46588">
            <w:pPr>
              <w:pStyle w:val="TableText"/>
              <w:jc w:val="right"/>
              <w:rPr>
                <w:rFonts w:cs="Calibri"/>
              </w:rPr>
            </w:pPr>
            <w:r w:rsidRPr="00577AC4">
              <w:t>83.5 (65.6</w:t>
            </w:r>
            <w:r>
              <w:t xml:space="preserve">, </w:t>
            </w:r>
            <w:r w:rsidRPr="00577AC4">
              <w:t>93.1)</w:t>
            </w:r>
          </w:p>
        </w:tc>
      </w:tr>
      <w:tr w:rsidR="005D725B" w:rsidRPr="00B95AF7" w14:paraId="6397B53B"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Pr>
          <w:p w14:paraId="592CC260"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Male 38+</w:t>
            </w:r>
          </w:p>
        </w:tc>
        <w:tc>
          <w:tcPr>
            <w:tcW w:w="495" w:type="dxa"/>
          </w:tcPr>
          <w:p w14:paraId="2529D044" w14:textId="77777777" w:rsidR="005D725B" w:rsidRPr="00577AC4" w:rsidRDefault="005D725B" w:rsidP="00D46588">
            <w:pPr>
              <w:pStyle w:val="TableText"/>
              <w:jc w:val="right"/>
              <w:rPr>
                <w:rFonts w:cs="Calibri"/>
              </w:rPr>
            </w:pPr>
            <w:r w:rsidRPr="00577AC4">
              <w:t>67</w:t>
            </w:r>
          </w:p>
        </w:tc>
        <w:tc>
          <w:tcPr>
            <w:tcW w:w="810" w:type="dxa"/>
          </w:tcPr>
          <w:p w14:paraId="5027900D" w14:textId="77777777" w:rsidR="005D725B" w:rsidRPr="00577AC4" w:rsidRDefault="005D725B" w:rsidP="00D46588">
            <w:pPr>
              <w:pStyle w:val="TableText"/>
              <w:jc w:val="right"/>
              <w:rPr>
                <w:rFonts w:cs="Calibri"/>
              </w:rPr>
            </w:pPr>
            <w:r w:rsidRPr="00577AC4">
              <w:t>358</w:t>
            </w:r>
          </w:p>
        </w:tc>
        <w:tc>
          <w:tcPr>
            <w:tcW w:w="1152" w:type="dxa"/>
          </w:tcPr>
          <w:p w14:paraId="18CE2A47" w14:textId="77777777" w:rsidR="005D725B" w:rsidRPr="00577AC4" w:rsidRDefault="005D725B" w:rsidP="00D46588">
            <w:pPr>
              <w:pStyle w:val="TableText"/>
              <w:jc w:val="right"/>
              <w:rPr>
                <w:rFonts w:cs="Calibri"/>
              </w:rPr>
            </w:pPr>
            <w:r w:rsidRPr="00577AC4">
              <w:t>17.6 (13.6</w:t>
            </w:r>
            <w:r>
              <w:t xml:space="preserve">, </w:t>
            </w:r>
            <w:r w:rsidRPr="00577AC4">
              <w:t>22.4)</w:t>
            </w:r>
          </w:p>
        </w:tc>
        <w:tc>
          <w:tcPr>
            <w:tcW w:w="558" w:type="dxa"/>
          </w:tcPr>
          <w:p w14:paraId="38389A52" w14:textId="77777777" w:rsidR="005D725B" w:rsidRPr="00577AC4" w:rsidRDefault="005D725B" w:rsidP="00D46588">
            <w:pPr>
              <w:pStyle w:val="TableText"/>
              <w:jc w:val="right"/>
              <w:rPr>
                <w:rFonts w:cs="Calibri"/>
              </w:rPr>
            </w:pPr>
            <w:r w:rsidRPr="00577AC4">
              <w:t>318</w:t>
            </w:r>
          </w:p>
        </w:tc>
        <w:tc>
          <w:tcPr>
            <w:tcW w:w="810" w:type="dxa"/>
          </w:tcPr>
          <w:p w14:paraId="6E84FBED" w14:textId="77777777" w:rsidR="005D725B" w:rsidRPr="00577AC4" w:rsidRDefault="005D725B" w:rsidP="00D46588">
            <w:pPr>
              <w:pStyle w:val="TableText"/>
              <w:jc w:val="right"/>
              <w:rPr>
                <w:rFonts w:cs="Calibri"/>
              </w:rPr>
            </w:pPr>
            <w:r w:rsidRPr="00577AC4">
              <w:t>1594</w:t>
            </w:r>
          </w:p>
        </w:tc>
        <w:tc>
          <w:tcPr>
            <w:tcW w:w="1090" w:type="dxa"/>
          </w:tcPr>
          <w:p w14:paraId="7EC19F84" w14:textId="77777777" w:rsidR="005D725B" w:rsidRPr="00577AC4" w:rsidRDefault="005D725B" w:rsidP="00D46588">
            <w:pPr>
              <w:pStyle w:val="TableText"/>
              <w:jc w:val="right"/>
              <w:rPr>
                <w:rFonts w:cs="Calibri"/>
              </w:rPr>
            </w:pPr>
            <w:r w:rsidRPr="00577AC4">
              <w:t>78.2 (72.9</w:t>
            </w:r>
            <w:r>
              <w:t xml:space="preserve">, </w:t>
            </w:r>
            <w:r w:rsidRPr="00577AC4">
              <w:t>82.7)</w:t>
            </w:r>
          </w:p>
        </w:tc>
        <w:tc>
          <w:tcPr>
            <w:tcW w:w="530" w:type="dxa"/>
          </w:tcPr>
          <w:p w14:paraId="651184DC" w14:textId="77777777" w:rsidR="005D725B" w:rsidRPr="00577AC4" w:rsidRDefault="005D725B" w:rsidP="00D46588">
            <w:pPr>
              <w:pStyle w:val="TableText"/>
              <w:jc w:val="right"/>
              <w:rPr>
                <w:rFonts w:cs="Calibri"/>
              </w:rPr>
            </w:pPr>
            <w:r w:rsidRPr="00577AC4">
              <w:t>86</w:t>
            </w:r>
          </w:p>
        </w:tc>
        <w:tc>
          <w:tcPr>
            <w:tcW w:w="810" w:type="dxa"/>
          </w:tcPr>
          <w:p w14:paraId="6C22DA24" w14:textId="77777777" w:rsidR="005D725B" w:rsidRPr="00577AC4" w:rsidRDefault="005D725B" w:rsidP="00D46588">
            <w:pPr>
              <w:pStyle w:val="TableText"/>
              <w:jc w:val="right"/>
              <w:rPr>
                <w:rFonts w:cs="Calibri"/>
              </w:rPr>
            </w:pPr>
            <w:r w:rsidRPr="00577AC4">
              <w:t>322</w:t>
            </w:r>
          </w:p>
        </w:tc>
        <w:tc>
          <w:tcPr>
            <w:tcW w:w="1117" w:type="dxa"/>
          </w:tcPr>
          <w:p w14:paraId="10177857" w14:textId="77777777" w:rsidR="005D725B" w:rsidRPr="00577AC4" w:rsidRDefault="005D725B" w:rsidP="00D46588">
            <w:pPr>
              <w:pStyle w:val="TableText"/>
              <w:jc w:val="right"/>
              <w:rPr>
                <w:rFonts w:cs="Calibri"/>
              </w:rPr>
            </w:pPr>
            <w:r w:rsidRPr="00577AC4">
              <w:t>12.8 (10.0</w:t>
            </w:r>
            <w:r>
              <w:t xml:space="preserve">, </w:t>
            </w:r>
            <w:r w:rsidRPr="00577AC4">
              <w:t>16.4)</w:t>
            </w:r>
          </w:p>
        </w:tc>
        <w:tc>
          <w:tcPr>
            <w:tcW w:w="503" w:type="dxa"/>
          </w:tcPr>
          <w:p w14:paraId="6F704C63" w14:textId="77777777" w:rsidR="005D725B" w:rsidRPr="00577AC4" w:rsidRDefault="005D725B" w:rsidP="00D46588">
            <w:pPr>
              <w:pStyle w:val="TableText"/>
              <w:jc w:val="right"/>
              <w:rPr>
                <w:rFonts w:cs="Calibri"/>
              </w:rPr>
            </w:pPr>
            <w:r w:rsidRPr="00577AC4">
              <w:t>517</w:t>
            </w:r>
          </w:p>
        </w:tc>
        <w:tc>
          <w:tcPr>
            <w:tcW w:w="810" w:type="dxa"/>
          </w:tcPr>
          <w:p w14:paraId="422F674E" w14:textId="77777777" w:rsidR="005D725B" w:rsidRPr="00577AC4" w:rsidRDefault="005D725B" w:rsidP="00D46588">
            <w:pPr>
              <w:pStyle w:val="TableText"/>
              <w:jc w:val="right"/>
              <w:rPr>
                <w:rFonts w:cs="Calibri"/>
              </w:rPr>
            </w:pPr>
            <w:r w:rsidRPr="00577AC4">
              <w:t>2107</w:t>
            </w:r>
          </w:p>
        </w:tc>
        <w:tc>
          <w:tcPr>
            <w:tcW w:w="1145" w:type="dxa"/>
          </w:tcPr>
          <w:p w14:paraId="2F9AE032" w14:textId="77777777" w:rsidR="005D725B" w:rsidRPr="00577AC4" w:rsidRDefault="005D725B" w:rsidP="00D46588">
            <w:pPr>
              <w:pStyle w:val="TableText"/>
              <w:jc w:val="right"/>
              <w:rPr>
                <w:rFonts w:cs="Calibri"/>
              </w:rPr>
            </w:pPr>
            <w:r w:rsidRPr="00577AC4">
              <w:t>84.2 (80.4</w:t>
            </w:r>
            <w:r>
              <w:t xml:space="preserve">, </w:t>
            </w:r>
            <w:r w:rsidRPr="00577AC4">
              <w:t>87.3)</w:t>
            </w:r>
          </w:p>
        </w:tc>
      </w:tr>
      <w:tr w:rsidR="005D725B" w:rsidRPr="00B95AF7" w14:paraId="68B2E272" w14:textId="77777777" w:rsidTr="005D725B">
        <w:trPr>
          <w:cantSplit/>
        </w:trPr>
        <w:tc>
          <w:tcPr>
            <w:tcW w:w="1690" w:type="dxa"/>
          </w:tcPr>
          <w:p w14:paraId="4E1074D2"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Female 18</w:t>
            </w:r>
            <w:r>
              <w:rPr>
                <w:rFonts w:cs="Calibri"/>
                <w:bCs/>
                <w:color w:val="000000" w:themeColor="text1"/>
              </w:rPr>
              <w:t>–</w:t>
            </w:r>
            <w:r w:rsidRPr="00474A81">
              <w:rPr>
                <w:rFonts w:cs="Calibri"/>
                <w:bCs/>
                <w:color w:val="000000" w:themeColor="text1"/>
              </w:rPr>
              <w:t>37</w:t>
            </w:r>
          </w:p>
        </w:tc>
        <w:tc>
          <w:tcPr>
            <w:tcW w:w="495" w:type="dxa"/>
          </w:tcPr>
          <w:p w14:paraId="685E74B4" w14:textId="77777777" w:rsidR="005D725B" w:rsidRPr="00577AC4" w:rsidRDefault="005D725B" w:rsidP="00D46588">
            <w:pPr>
              <w:pStyle w:val="TableText"/>
              <w:jc w:val="right"/>
              <w:rPr>
                <w:rFonts w:cs="Calibri"/>
              </w:rPr>
            </w:pPr>
            <w:r w:rsidRPr="00577AC4">
              <w:t>9</w:t>
            </w:r>
          </w:p>
        </w:tc>
        <w:tc>
          <w:tcPr>
            <w:tcW w:w="810" w:type="dxa"/>
          </w:tcPr>
          <w:p w14:paraId="0AB0041F" w14:textId="77777777" w:rsidR="005D725B" w:rsidRPr="00577AC4" w:rsidRDefault="005D725B" w:rsidP="00D46588">
            <w:pPr>
              <w:pStyle w:val="TableText"/>
              <w:jc w:val="right"/>
              <w:rPr>
                <w:rFonts w:cs="Calibri"/>
              </w:rPr>
            </w:pPr>
            <w:r w:rsidRPr="00577AC4">
              <w:t>81</w:t>
            </w:r>
          </w:p>
        </w:tc>
        <w:tc>
          <w:tcPr>
            <w:tcW w:w="1152" w:type="dxa"/>
          </w:tcPr>
          <w:p w14:paraId="1D9ACDDD" w14:textId="77777777" w:rsidR="005D725B" w:rsidRPr="00577AC4" w:rsidRDefault="005D725B" w:rsidP="00D46588">
            <w:pPr>
              <w:pStyle w:val="TableText"/>
              <w:jc w:val="right"/>
              <w:rPr>
                <w:rFonts w:cs="Calibri"/>
              </w:rPr>
            </w:pPr>
            <w:r w:rsidRPr="00577AC4">
              <w:t>10.5 (5.3</w:t>
            </w:r>
            <w:r>
              <w:t xml:space="preserve">, </w:t>
            </w:r>
            <w:r w:rsidRPr="00577AC4">
              <w:t>19.7)</w:t>
            </w:r>
          </w:p>
        </w:tc>
        <w:tc>
          <w:tcPr>
            <w:tcW w:w="558" w:type="dxa"/>
          </w:tcPr>
          <w:p w14:paraId="56D85E64" w14:textId="77777777" w:rsidR="005D725B" w:rsidRPr="00577AC4" w:rsidRDefault="005D725B" w:rsidP="00D46588">
            <w:pPr>
              <w:pStyle w:val="TableText"/>
              <w:jc w:val="right"/>
              <w:rPr>
                <w:rFonts w:cs="Calibri"/>
              </w:rPr>
            </w:pPr>
            <w:r w:rsidRPr="00577AC4">
              <w:t>102</w:t>
            </w:r>
          </w:p>
        </w:tc>
        <w:tc>
          <w:tcPr>
            <w:tcW w:w="810" w:type="dxa"/>
          </w:tcPr>
          <w:p w14:paraId="45AA0AA1" w14:textId="77777777" w:rsidR="005D725B" w:rsidRPr="00577AC4" w:rsidRDefault="005D725B" w:rsidP="00D46588">
            <w:pPr>
              <w:pStyle w:val="TableText"/>
              <w:jc w:val="right"/>
              <w:rPr>
                <w:rFonts w:cs="Calibri"/>
              </w:rPr>
            </w:pPr>
            <w:r w:rsidRPr="00577AC4">
              <w:t>660</w:t>
            </w:r>
          </w:p>
        </w:tc>
        <w:tc>
          <w:tcPr>
            <w:tcW w:w="1090" w:type="dxa"/>
          </w:tcPr>
          <w:p w14:paraId="27669656" w14:textId="77777777" w:rsidR="005D725B" w:rsidRPr="00577AC4" w:rsidRDefault="005D725B" w:rsidP="00D46588">
            <w:pPr>
              <w:pStyle w:val="TableText"/>
              <w:jc w:val="right"/>
              <w:rPr>
                <w:rFonts w:cs="Calibri"/>
              </w:rPr>
            </w:pPr>
            <w:r w:rsidRPr="00577AC4">
              <w:t>85.5 (76.1</w:t>
            </w:r>
            <w:r>
              <w:t xml:space="preserve">, </w:t>
            </w:r>
            <w:r w:rsidRPr="00577AC4">
              <w:t>91.6)</w:t>
            </w:r>
          </w:p>
        </w:tc>
        <w:tc>
          <w:tcPr>
            <w:tcW w:w="530" w:type="dxa"/>
          </w:tcPr>
          <w:p w14:paraId="25A21E89" w14:textId="77777777" w:rsidR="005D725B" w:rsidRPr="00577AC4" w:rsidRDefault="005D725B" w:rsidP="00D46588">
            <w:pPr>
              <w:pStyle w:val="TableText"/>
              <w:jc w:val="right"/>
              <w:rPr>
                <w:rFonts w:cs="Calibri"/>
              </w:rPr>
            </w:pPr>
            <w:r w:rsidRPr="00577AC4">
              <w:t>23</w:t>
            </w:r>
          </w:p>
        </w:tc>
        <w:tc>
          <w:tcPr>
            <w:tcW w:w="810" w:type="dxa"/>
          </w:tcPr>
          <w:p w14:paraId="577A3793" w14:textId="77777777" w:rsidR="005D725B" w:rsidRPr="00577AC4" w:rsidRDefault="005D725B" w:rsidP="00D46588">
            <w:pPr>
              <w:pStyle w:val="TableText"/>
              <w:jc w:val="right"/>
              <w:rPr>
                <w:rFonts w:cs="Calibri"/>
              </w:rPr>
            </w:pPr>
            <w:r w:rsidRPr="00577AC4">
              <w:t>85</w:t>
            </w:r>
          </w:p>
        </w:tc>
        <w:tc>
          <w:tcPr>
            <w:tcW w:w="1117" w:type="dxa"/>
          </w:tcPr>
          <w:p w14:paraId="06B2D906" w14:textId="77777777" w:rsidR="005D725B" w:rsidRPr="00577AC4" w:rsidRDefault="005D725B" w:rsidP="00D46588">
            <w:pPr>
              <w:pStyle w:val="TableText"/>
              <w:jc w:val="right"/>
              <w:rPr>
                <w:rFonts w:cs="Calibri"/>
              </w:rPr>
            </w:pPr>
            <w:r w:rsidRPr="00577AC4">
              <w:t>9.6 (6.3</w:t>
            </w:r>
            <w:r>
              <w:t xml:space="preserve">, </w:t>
            </w:r>
            <w:r w:rsidRPr="00577AC4">
              <w:t>14.4)</w:t>
            </w:r>
          </w:p>
        </w:tc>
        <w:tc>
          <w:tcPr>
            <w:tcW w:w="503" w:type="dxa"/>
          </w:tcPr>
          <w:p w14:paraId="163C6DC2" w14:textId="77777777" w:rsidR="005D725B" w:rsidRPr="00577AC4" w:rsidRDefault="005D725B" w:rsidP="00D46588">
            <w:pPr>
              <w:pStyle w:val="TableText"/>
              <w:jc w:val="right"/>
              <w:rPr>
                <w:rFonts w:cs="Calibri"/>
              </w:rPr>
            </w:pPr>
            <w:r w:rsidRPr="00577AC4">
              <w:t>227</w:t>
            </w:r>
          </w:p>
        </w:tc>
        <w:tc>
          <w:tcPr>
            <w:tcW w:w="810" w:type="dxa"/>
          </w:tcPr>
          <w:p w14:paraId="274B7642" w14:textId="77777777" w:rsidR="005D725B" w:rsidRPr="00577AC4" w:rsidRDefault="005D725B" w:rsidP="00D46588">
            <w:pPr>
              <w:pStyle w:val="TableText"/>
              <w:jc w:val="right"/>
              <w:rPr>
                <w:rFonts w:cs="Calibri"/>
              </w:rPr>
            </w:pPr>
            <w:r w:rsidRPr="00577AC4">
              <w:t>774</w:t>
            </w:r>
          </w:p>
        </w:tc>
        <w:tc>
          <w:tcPr>
            <w:tcW w:w="1145" w:type="dxa"/>
          </w:tcPr>
          <w:p w14:paraId="15048018" w14:textId="77777777" w:rsidR="005D725B" w:rsidRPr="00577AC4" w:rsidRDefault="005D725B" w:rsidP="00D46588">
            <w:pPr>
              <w:pStyle w:val="TableText"/>
              <w:jc w:val="right"/>
              <w:rPr>
                <w:rFonts w:cs="Calibri"/>
              </w:rPr>
            </w:pPr>
            <w:r w:rsidRPr="00577AC4">
              <w:t>87.9 (83.0</w:t>
            </w:r>
            <w:r>
              <w:t xml:space="preserve">, </w:t>
            </w:r>
            <w:r w:rsidRPr="00577AC4">
              <w:t>91.5)</w:t>
            </w:r>
          </w:p>
        </w:tc>
      </w:tr>
      <w:tr w:rsidR="005D725B" w:rsidRPr="00B95AF7" w14:paraId="0625BFD2" w14:textId="77777777" w:rsidTr="005D725B">
        <w:trPr>
          <w:cnfStyle w:val="000000100000" w:firstRow="0" w:lastRow="0" w:firstColumn="0" w:lastColumn="0" w:oddVBand="0" w:evenVBand="0" w:oddHBand="1" w:evenHBand="0" w:firstRowFirstColumn="0" w:firstRowLastColumn="0" w:lastRowFirstColumn="0" w:lastRowLastColumn="0"/>
          <w:cantSplit/>
        </w:trPr>
        <w:tc>
          <w:tcPr>
            <w:tcW w:w="1690" w:type="dxa"/>
          </w:tcPr>
          <w:p w14:paraId="31A6256D" w14:textId="77777777" w:rsidR="005D725B" w:rsidRPr="00474A81" w:rsidRDefault="005D725B" w:rsidP="00D46588">
            <w:pPr>
              <w:pStyle w:val="TableText"/>
              <w:rPr>
                <w:rFonts w:cs="Calibri"/>
                <w:bCs/>
                <w:color w:val="000000" w:themeColor="text1"/>
              </w:rPr>
            </w:pPr>
            <w:r w:rsidRPr="00474A81">
              <w:rPr>
                <w:rFonts w:cs="Calibri"/>
                <w:bCs/>
                <w:color w:val="000000" w:themeColor="text1"/>
              </w:rPr>
              <w:t>Female 38+</w:t>
            </w:r>
          </w:p>
        </w:tc>
        <w:tc>
          <w:tcPr>
            <w:tcW w:w="495" w:type="dxa"/>
          </w:tcPr>
          <w:p w14:paraId="4DF6A3A8" w14:textId="77777777" w:rsidR="005D725B" w:rsidRPr="00577AC4" w:rsidRDefault="005D725B" w:rsidP="00D46588">
            <w:pPr>
              <w:pStyle w:val="TableText"/>
              <w:jc w:val="right"/>
              <w:rPr>
                <w:rFonts w:cs="Calibri"/>
              </w:rPr>
            </w:pPr>
            <w:r w:rsidRPr="00577AC4">
              <w:t>9</w:t>
            </w:r>
          </w:p>
        </w:tc>
        <w:tc>
          <w:tcPr>
            <w:tcW w:w="810" w:type="dxa"/>
          </w:tcPr>
          <w:p w14:paraId="09F154CD" w14:textId="77777777" w:rsidR="005D725B" w:rsidRPr="00577AC4" w:rsidRDefault="005D725B" w:rsidP="00D46588">
            <w:pPr>
              <w:pStyle w:val="TableText"/>
              <w:jc w:val="right"/>
              <w:rPr>
                <w:rFonts w:cs="Calibri"/>
              </w:rPr>
            </w:pPr>
            <w:r w:rsidRPr="00577AC4">
              <w:t>44</w:t>
            </w:r>
          </w:p>
        </w:tc>
        <w:tc>
          <w:tcPr>
            <w:tcW w:w="1152" w:type="dxa"/>
          </w:tcPr>
          <w:p w14:paraId="0A4EFE1D" w14:textId="77777777" w:rsidR="005D725B" w:rsidRPr="00577AC4" w:rsidRDefault="005D725B" w:rsidP="00D46588">
            <w:pPr>
              <w:pStyle w:val="TableText"/>
              <w:jc w:val="right"/>
              <w:rPr>
                <w:rFonts w:cs="Calibri"/>
              </w:rPr>
            </w:pPr>
            <w:r w:rsidRPr="00577AC4">
              <w:t>13.1 (6.2</w:t>
            </w:r>
            <w:r>
              <w:t xml:space="preserve">, </w:t>
            </w:r>
            <w:r w:rsidRPr="00577AC4">
              <w:t>25.5)</w:t>
            </w:r>
          </w:p>
        </w:tc>
        <w:tc>
          <w:tcPr>
            <w:tcW w:w="558" w:type="dxa"/>
          </w:tcPr>
          <w:p w14:paraId="13775682" w14:textId="77777777" w:rsidR="005D725B" w:rsidRPr="00577AC4" w:rsidRDefault="005D725B" w:rsidP="00D46588">
            <w:pPr>
              <w:pStyle w:val="TableText"/>
              <w:jc w:val="right"/>
              <w:rPr>
                <w:rFonts w:cs="Calibri"/>
              </w:rPr>
            </w:pPr>
            <w:r w:rsidRPr="00577AC4">
              <w:t>64</w:t>
            </w:r>
          </w:p>
        </w:tc>
        <w:tc>
          <w:tcPr>
            <w:tcW w:w="810" w:type="dxa"/>
          </w:tcPr>
          <w:p w14:paraId="643E8700" w14:textId="77777777" w:rsidR="005D725B" w:rsidRPr="00577AC4" w:rsidRDefault="005D725B" w:rsidP="00D46588">
            <w:pPr>
              <w:pStyle w:val="TableText"/>
              <w:jc w:val="right"/>
              <w:rPr>
                <w:rFonts w:cs="Calibri"/>
              </w:rPr>
            </w:pPr>
            <w:r w:rsidRPr="00577AC4">
              <w:t>293</w:t>
            </w:r>
          </w:p>
        </w:tc>
        <w:tc>
          <w:tcPr>
            <w:tcW w:w="1090" w:type="dxa"/>
          </w:tcPr>
          <w:p w14:paraId="4DCDF9AB" w14:textId="77777777" w:rsidR="005D725B" w:rsidRPr="00577AC4" w:rsidRDefault="005D725B" w:rsidP="00D46588">
            <w:pPr>
              <w:pStyle w:val="TableText"/>
              <w:jc w:val="right"/>
              <w:rPr>
                <w:rFonts w:cs="Calibri"/>
              </w:rPr>
            </w:pPr>
            <w:r w:rsidRPr="00577AC4">
              <w:t>86.9 (74.5</w:t>
            </w:r>
            <w:r>
              <w:t xml:space="preserve">, </w:t>
            </w:r>
            <w:r w:rsidRPr="00577AC4">
              <w:t>93.8)</w:t>
            </w:r>
          </w:p>
        </w:tc>
        <w:tc>
          <w:tcPr>
            <w:tcW w:w="530" w:type="dxa"/>
          </w:tcPr>
          <w:p w14:paraId="71EFF9D2" w14:textId="77777777" w:rsidR="005D725B" w:rsidRPr="00577AC4" w:rsidRDefault="005D725B" w:rsidP="00D46588">
            <w:pPr>
              <w:pStyle w:val="TableText"/>
              <w:jc w:val="right"/>
              <w:rPr>
                <w:rFonts w:cs="Calibri"/>
              </w:rPr>
            </w:pPr>
            <w:r w:rsidRPr="00577AC4">
              <w:t>19</w:t>
            </w:r>
          </w:p>
        </w:tc>
        <w:tc>
          <w:tcPr>
            <w:tcW w:w="810" w:type="dxa"/>
          </w:tcPr>
          <w:p w14:paraId="1E4FF24A" w14:textId="77777777" w:rsidR="005D725B" w:rsidRPr="00577AC4" w:rsidRDefault="005D725B" w:rsidP="00D46588">
            <w:pPr>
              <w:pStyle w:val="TableText"/>
              <w:jc w:val="right"/>
              <w:rPr>
                <w:rFonts w:cs="Calibri"/>
              </w:rPr>
            </w:pPr>
            <w:r w:rsidRPr="00577AC4">
              <w:t>51</w:t>
            </w:r>
          </w:p>
        </w:tc>
        <w:tc>
          <w:tcPr>
            <w:tcW w:w="1117" w:type="dxa"/>
          </w:tcPr>
          <w:p w14:paraId="7C0EC43D" w14:textId="77777777" w:rsidR="005D725B" w:rsidRPr="00577AC4" w:rsidRDefault="005D725B" w:rsidP="00D46588">
            <w:pPr>
              <w:pStyle w:val="TableText"/>
              <w:jc w:val="right"/>
              <w:rPr>
                <w:rFonts w:cs="Calibri"/>
              </w:rPr>
            </w:pPr>
            <w:r w:rsidRPr="00577AC4">
              <w:t>10.8 (7.6</w:t>
            </w:r>
            <w:r>
              <w:t xml:space="preserve">, </w:t>
            </w:r>
            <w:r w:rsidRPr="00577AC4">
              <w:t>15.3)</w:t>
            </w:r>
          </w:p>
        </w:tc>
        <w:tc>
          <w:tcPr>
            <w:tcW w:w="503" w:type="dxa"/>
          </w:tcPr>
          <w:p w14:paraId="5D8B63AD" w14:textId="77777777" w:rsidR="005D725B" w:rsidRPr="00577AC4" w:rsidRDefault="005D725B" w:rsidP="00D46588">
            <w:pPr>
              <w:pStyle w:val="TableText"/>
              <w:jc w:val="right"/>
              <w:rPr>
                <w:rFonts w:cs="Calibri"/>
              </w:rPr>
            </w:pPr>
            <w:r w:rsidRPr="00577AC4">
              <w:t>140</w:t>
            </w:r>
          </w:p>
        </w:tc>
        <w:tc>
          <w:tcPr>
            <w:tcW w:w="810" w:type="dxa"/>
          </w:tcPr>
          <w:p w14:paraId="477BC614" w14:textId="77777777" w:rsidR="005D725B" w:rsidRPr="00577AC4" w:rsidRDefault="005D725B" w:rsidP="00D46588">
            <w:pPr>
              <w:pStyle w:val="TableText"/>
              <w:jc w:val="right"/>
              <w:rPr>
                <w:rFonts w:cs="Calibri"/>
              </w:rPr>
            </w:pPr>
            <w:r w:rsidRPr="00577AC4">
              <w:t>414</w:t>
            </w:r>
          </w:p>
        </w:tc>
        <w:tc>
          <w:tcPr>
            <w:tcW w:w="1145" w:type="dxa"/>
          </w:tcPr>
          <w:p w14:paraId="726ACC1F" w14:textId="77777777" w:rsidR="005D725B" w:rsidRPr="00577AC4" w:rsidRDefault="005D725B" w:rsidP="00D46588">
            <w:pPr>
              <w:pStyle w:val="TableText"/>
              <w:jc w:val="right"/>
              <w:rPr>
                <w:rFonts w:cs="Calibri"/>
              </w:rPr>
            </w:pPr>
            <w:r w:rsidRPr="00577AC4">
              <w:t>87.7 (82.9,91.3)</w:t>
            </w:r>
          </w:p>
        </w:tc>
      </w:tr>
    </w:tbl>
    <w:p w14:paraId="713C86D2" w14:textId="77777777" w:rsidR="005D725B" w:rsidRPr="006A3EA0" w:rsidRDefault="005D725B" w:rsidP="005D725B">
      <w:pPr>
        <w:pStyle w:val="TableNotes"/>
      </w:pPr>
      <w:r w:rsidRPr="006A3EA0">
        <w:t>Notes</w:t>
      </w:r>
    </w:p>
    <w:p w14:paraId="3A0D1496" w14:textId="77777777" w:rsidR="005D725B" w:rsidRPr="00474A81" w:rsidRDefault="005D725B" w:rsidP="005D725B">
      <w:pPr>
        <w:pStyle w:val="TableNotes"/>
      </w:pPr>
      <w:r>
        <w:t xml:space="preserve">Denominator: </w:t>
      </w:r>
      <w:r w:rsidRPr="00474A81">
        <w:t xml:space="preserve">Those who use the </w:t>
      </w:r>
      <w:r>
        <w:t>internet</w:t>
      </w:r>
      <w:r w:rsidRPr="00474A81">
        <w:t xml:space="preserve"> to seek help or information for, or manage, mental health issues</w:t>
      </w:r>
      <w:r>
        <w:t>.</w:t>
      </w:r>
    </w:p>
    <w:p w14:paraId="22DB805B" w14:textId="77777777" w:rsidR="005D725B" w:rsidRPr="00474A81" w:rsidRDefault="005D725B" w:rsidP="005D725B">
      <w:pPr>
        <w:pStyle w:val="TableNotes"/>
      </w:pPr>
      <w:r w:rsidRPr="00474A81">
        <w:t>Based on weighted counts, 200 (3.3%) Transitioned ADF and 218 (2.4%) 2015 Regular ADF had a missing value for this question.</w:t>
      </w:r>
      <w:r>
        <w:t xml:space="preserve"> H</w:t>
      </w:r>
      <w:r w:rsidRPr="00474A81">
        <w:t>owever, distributions are calculated by including those with a missing value to allow for correct weighted totals.</w:t>
      </w:r>
    </w:p>
    <w:p w14:paraId="59D7EFEF" w14:textId="77777777" w:rsidR="005D725B" w:rsidRDefault="005D725B" w:rsidP="005D725B">
      <w:pPr>
        <w:pStyle w:val="TableNotes"/>
        <w:rPr>
          <w:bCs/>
          <w:color w:val="000000" w:themeColor="text1"/>
        </w:rPr>
      </w:pPr>
      <w:r>
        <w:t>95%CI = 95% confidence interval.</w:t>
      </w:r>
      <w:r>
        <w:rPr>
          <w:rFonts w:cs="Arial"/>
        </w:rPr>
        <w:t xml:space="preserve"> </w:t>
      </w:r>
    </w:p>
    <w:p w14:paraId="4C1C8B99" w14:textId="77777777" w:rsidR="005D725B" w:rsidRDefault="005D725B" w:rsidP="005D725B">
      <w:pPr>
        <w:pStyle w:val="TableNotes"/>
        <w:rPr>
          <w:rFonts w:cs="Calibri"/>
          <w:bCs/>
          <w:color w:val="000000" w:themeColor="text1"/>
          <w:szCs w:val="14"/>
        </w:rPr>
      </w:pPr>
      <w:r>
        <w:rPr>
          <w:rFonts w:cs="Calibri"/>
          <w:bCs/>
          <w:color w:val="000000" w:themeColor="text1"/>
          <w:szCs w:val="14"/>
        </w:rPr>
        <w:t># = Cell size too small to be reported.</w:t>
      </w:r>
    </w:p>
    <w:p w14:paraId="7E245C5F" w14:textId="77777777" w:rsidR="006E5ED2" w:rsidRDefault="006E5ED2" w:rsidP="006E5ED2">
      <w:pPr>
        <w:sectPr w:rsidR="006E5ED2" w:rsidSect="00980AE4">
          <w:footerReference w:type="even" r:id="rId78"/>
          <w:footerReference w:type="default" r:id="rId79"/>
          <w:pgSz w:w="14170" w:h="9979" w:orient="landscape" w:code="243"/>
          <w:pgMar w:top="1872" w:right="1440" w:bottom="1152" w:left="1440" w:header="576" w:footer="576" w:gutter="0"/>
          <w:cols w:space="708"/>
          <w:docGrid w:linePitch="360"/>
        </w:sectPr>
      </w:pPr>
    </w:p>
    <w:p w14:paraId="53F8A903" w14:textId="77777777" w:rsidR="00D46588" w:rsidRPr="00474A81" w:rsidRDefault="00D46588" w:rsidP="00D46588">
      <w:pPr>
        <w:pStyle w:val="Heading1"/>
        <w:numPr>
          <w:ilvl w:val="0"/>
          <w:numId w:val="1"/>
        </w:numPr>
      </w:pPr>
      <w:bookmarkStart w:id="748" w:name="_Toc509917451"/>
      <w:bookmarkStart w:id="749" w:name="_Toc515374507"/>
      <w:bookmarkStart w:id="750" w:name="_Toc518566407"/>
      <w:bookmarkStart w:id="751" w:name="_Toc528932695"/>
      <w:bookmarkStart w:id="752" w:name="_Toc531859232"/>
      <w:r w:rsidRPr="00474A81">
        <w:t xml:space="preserve">Use of the </w:t>
      </w:r>
      <w:r>
        <w:t>internet</w:t>
      </w:r>
      <w:r w:rsidRPr="00474A81">
        <w:t xml:space="preserve"> for one’s own mental health</w:t>
      </w:r>
      <w:bookmarkEnd w:id="748"/>
      <w:bookmarkEnd w:id="749"/>
      <w:bookmarkEnd w:id="750"/>
      <w:bookmarkEnd w:id="751"/>
      <w:bookmarkEnd w:id="752"/>
    </w:p>
    <w:p w14:paraId="0578C5B7" w14:textId="6781AED6" w:rsidR="00D46588" w:rsidRPr="00F7597D" w:rsidRDefault="00D46588" w:rsidP="000A2491">
      <w:bookmarkStart w:id="753" w:name="_Toc515373315"/>
      <w:r w:rsidRPr="00F7597D">
        <w:t xml:space="preserve">Note: All findings reported in this </w:t>
      </w:r>
      <w:r>
        <w:t xml:space="preserve">chapter </w:t>
      </w:r>
      <w:r w:rsidRPr="00F7597D">
        <w:t xml:space="preserve">are a proportion of those in the Transitioned </w:t>
      </w:r>
      <w:r>
        <w:t xml:space="preserve">ADF </w:t>
      </w:r>
      <w:r w:rsidRPr="00F7597D">
        <w:t>(</w:t>
      </w:r>
      <w:r w:rsidR="00D70D09">
        <w:t xml:space="preserve">n = </w:t>
      </w:r>
      <w:r w:rsidRPr="00F7597D">
        <w:t>6116) and 2015 Regular ADF (</w:t>
      </w:r>
      <w:r w:rsidR="00D70D09">
        <w:t xml:space="preserve">n = </w:t>
      </w:r>
      <w:r w:rsidRPr="00F7597D">
        <w:t xml:space="preserve">9042) </w:t>
      </w:r>
      <w:r w:rsidRPr="00F7597D">
        <w:rPr>
          <w:rFonts w:cs="Arial"/>
          <w:szCs w:val="22"/>
        </w:rPr>
        <w:t xml:space="preserve">who reported using </w:t>
      </w:r>
      <w:r>
        <w:rPr>
          <w:rFonts w:cs="Arial"/>
          <w:szCs w:val="22"/>
        </w:rPr>
        <w:t>the internet</w:t>
      </w:r>
      <w:r w:rsidRPr="00F7597D">
        <w:rPr>
          <w:rFonts w:cs="Arial"/>
          <w:szCs w:val="22"/>
        </w:rPr>
        <w:t xml:space="preserve"> to </w:t>
      </w:r>
      <w:r w:rsidRPr="00F7597D">
        <w:t>seek help or information for, or to manage, mental health issue</w:t>
      </w:r>
      <w:r>
        <w:t xml:space="preserve">s. </w:t>
      </w:r>
      <w:bookmarkEnd w:id="753"/>
    </w:p>
    <w:p w14:paraId="0545A6FF" w14:textId="77777777" w:rsidR="00D46588" w:rsidRPr="00874BAA" w:rsidRDefault="00D46588" w:rsidP="00D46588">
      <w:pPr>
        <w:pStyle w:val="ShadedBoxSubheading"/>
      </w:pPr>
      <w:bookmarkStart w:id="754" w:name="_Toc518566408"/>
      <w:r w:rsidRPr="00874BAA">
        <w:t xml:space="preserve">Frequency and timing of seeking help or information about their </w:t>
      </w:r>
      <w:r w:rsidRPr="00874BAA">
        <w:rPr>
          <w:i/>
        </w:rPr>
        <w:t>own</w:t>
      </w:r>
      <w:r w:rsidRPr="00874BAA">
        <w:t xml:space="preserve"> mental health</w:t>
      </w:r>
      <w:bookmarkEnd w:id="754"/>
      <w:r w:rsidRPr="00874BAA">
        <w:t xml:space="preserve"> </w:t>
      </w:r>
    </w:p>
    <w:p w14:paraId="5C2429E0" w14:textId="77777777" w:rsidR="00D46588" w:rsidRPr="00823DB1" w:rsidRDefault="00D46588" w:rsidP="00133458">
      <w:pPr>
        <w:pStyle w:val="ShadedBullet"/>
      </w:pPr>
      <w:bookmarkStart w:id="755" w:name="_Hlk520815203"/>
      <w:r w:rsidRPr="00823DB1">
        <w:t>Among those who reported using the internet to seek help</w:t>
      </w:r>
      <w:r>
        <w:t xml:space="preserve"> or</w:t>
      </w:r>
      <w:r w:rsidRPr="00823DB1">
        <w:t xml:space="preserve"> information or manage mental health issues,</w:t>
      </w:r>
      <w:r w:rsidRPr="00823DB1" w:rsidDel="004917B8">
        <w:t xml:space="preserve"> </w:t>
      </w:r>
      <w:r w:rsidRPr="00823DB1">
        <w:t>almost 30% of the Transitioned ADF (29.1%) and 19.8% of the 2015 Regular ADF used the internet to seek help or access information about their own mental health at least once per month.</w:t>
      </w:r>
    </w:p>
    <w:p w14:paraId="72675AC7" w14:textId="77777777" w:rsidR="00D46588" w:rsidRPr="00823DB1" w:rsidRDefault="00D46588" w:rsidP="00133458">
      <w:pPr>
        <w:pStyle w:val="ShadedBullet"/>
      </w:pPr>
      <w:r w:rsidRPr="00823DB1">
        <w:t xml:space="preserve">While frequent use (at least once a month) was more common among Transitioned ADF with a probable disorder than those without (42.5% and 18.4%), the majority of the Transitioned </w:t>
      </w:r>
      <w:r>
        <w:t xml:space="preserve">ADF </w:t>
      </w:r>
      <w:r w:rsidRPr="00823DB1">
        <w:t>and 2015 Regular ADF use</w:t>
      </w:r>
      <w:r>
        <w:t>d</w:t>
      </w:r>
      <w:r w:rsidRPr="00823DB1">
        <w:t xml:space="preserve"> the internet infrequently (less than once per month) for their own mental health (52.3% and 68.8%), if at all (3.7% and 2.1%).</w:t>
      </w:r>
    </w:p>
    <w:p w14:paraId="02126D6C" w14:textId="77777777" w:rsidR="00D46588" w:rsidRPr="00823DB1" w:rsidRDefault="00D46588" w:rsidP="00133458">
      <w:pPr>
        <w:pStyle w:val="ShadedBullet"/>
      </w:pPr>
      <w:r w:rsidRPr="00823DB1">
        <w:t>Among those who reported using the internet to seek help</w:t>
      </w:r>
      <w:r>
        <w:t xml:space="preserve"> or</w:t>
      </w:r>
      <w:r w:rsidRPr="00823DB1">
        <w:t xml:space="preserve"> information or manage mental health issues,</w:t>
      </w:r>
      <w:r>
        <w:t xml:space="preserve"> both the Transitioned ADF and </w:t>
      </w:r>
      <w:r w:rsidRPr="00823DB1">
        <w:t>2015 Regular ADF were most likely to report accessing the internet for their own mental health between 8</w:t>
      </w:r>
      <w:r>
        <w:t xml:space="preserve"> pm</w:t>
      </w:r>
      <w:r w:rsidRPr="00823DB1">
        <w:t xml:space="preserve"> and 12 midnight (40.6%</w:t>
      </w:r>
      <w:r>
        <w:t xml:space="preserve"> and</w:t>
      </w:r>
      <w:r w:rsidRPr="00823DB1">
        <w:t xml:space="preserve"> 42.8%</w:t>
      </w:r>
      <w:r>
        <w:t xml:space="preserve"> respectively</w:t>
      </w:r>
      <w:r w:rsidRPr="00823DB1">
        <w:t>).</w:t>
      </w:r>
    </w:p>
    <w:p w14:paraId="17FC75B8" w14:textId="77777777" w:rsidR="00D46588" w:rsidRPr="00874BAA" w:rsidRDefault="00D46588" w:rsidP="00D46588">
      <w:pPr>
        <w:pStyle w:val="ShadedBoxSubheading"/>
      </w:pPr>
      <w:bookmarkStart w:id="756" w:name="_Toc515373317"/>
      <w:bookmarkStart w:id="757" w:name="_Toc515374509"/>
      <w:bookmarkStart w:id="758" w:name="_Toc518566409"/>
      <w:bookmarkStart w:id="759" w:name="_Hlk520815440"/>
      <w:bookmarkEnd w:id="755"/>
      <w:r w:rsidRPr="00874BAA">
        <w:t xml:space="preserve">Talking online to peers, family or friends about one’s </w:t>
      </w:r>
      <w:r w:rsidRPr="00874BAA">
        <w:rPr>
          <w:i/>
        </w:rPr>
        <w:t>own</w:t>
      </w:r>
      <w:r w:rsidRPr="00874BAA">
        <w:t xml:space="preserve"> mental health</w:t>
      </w:r>
      <w:bookmarkEnd w:id="756"/>
      <w:bookmarkEnd w:id="757"/>
      <w:bookmarkEnd w:id="758"/>
    </w:p>
    <w:p w14:paraId="4B3CD123" w14:textId="77777777" w:rsidR="00D46588" w:rsidRPr="00BF0D40" w:rsidRDefault="00D46588" w:rsidP="00133458">
      <w:pPr>
        <w:pStyle w:val="ShadedBullet"/>
      </w:pPr>
      <w:bookmarkStart w:id="760" w:name="_Hlk520815240"/>
      <w:bookmarkEnd w:id="759"/>
      <w:r w:rsidRPr="00BF0D40">
        <w:t xml:space="preserve">Almost </w:t>
      </w:r>
      <w:r>
        <w:t>one</w:t>
      </w:r>
      <w:r w:rsidRPr="00BF0D40">
        <w:t xml:space="preserve"> in </w:t>
      </w:r>
      <w:r>
        <w:t>three</w:t>
      </w:r>
      <w:r w:rsidRPr="00BF0D40">
        <w:t xml:space="preserve"> Transitioned ADF and 2015 Regular ADF who use</w:t>
      </w:r>
      <w:r>
        <w:t>d</w:t>
      </w:r>
      <w:r w:rsidRPr="00BF0D40">
        <w:t xml:space="preserve"> the </w:t>
      </w:r>
      <w:r>
        <w:t>internet</w:t>
      </w:r>
      <w:r w:rsidRPr="00BF0D40">
        <w:t xml:space="preserve"> to seek help</w:t>
      </w:r>
      <w:r>
        <w:t xml:space="preserve"> or</w:t>
      </w:r>
      <w:r w:rsidRPr="00BF0D40">
        <w:t xml:space="preserve"> information or manage mental health issues reported talking online to a peer, family member or friend about their </w:t>
      </w:r>
      <w:r w:rsidRPr="00BF0D40">
        <w:rPr>
          <w:i/>
        </w:rPr>
        <w:t>own</w:t>
      </w:r>
      <w:r w:rsidRPr="00BF0D40">
        <w:t xml:space="preserve"> mental health (33.4% and 30.6% respectively)</w:t>
      </w:r>
      <w:r>
        <w:t>,</w:t>
      </w:r>
      <w:r w:rsidRPr="00BF0D40">
        <w:t xml:space="preserve"> with the majority finding this helpful (63.3% and 75.2% respectively).</w:t>
      </w:r>
    </w:p>
    <w:p w14:paraId="77300C85" w14:textId="77777777" w:rsidR="00D46588" w:rsidRPr="00BF0D40" w:rsidRDefault="00D46588" w:rsidP="00133458">
      <w:pPr>
        <w:pStyle w:val="ShadedBullet"/>
      </w:pPr>
      <w:r w:rsidRPr="00BF0D40">
        <w:t>Approximately one third of the Transitioned ADF and 2015 Regular ADF</w:t>
      </w:r>
      <w:r w:rsidRPr="00BF0D40" w:rsidDel="004917B8">
        <w:t xml:space="preserve"> </w:t>
      </w:r>
      <w:r w:rsidRPr="00BF0D40">
        <w:t>with a probable disorder who use</w:t>
      </w:r>
      <w:r>
        <w:t>d</w:t>
      </w:r>
      <w:r w:rsidRPr="00BF0D40">
        <w:t xml:space="preserve"> the </w:t>
      </w:r>
      <w:r>
        <w:t>internet</w:t>
      </w:r>
      <w:r w:rsidRPr="00BF0D40">
        <w:t xml:space="preserve"> to manage their mental health reported talking </w:t>
      </w:r>
      <w:r>
        <w:t xml:space="preserve">online </w:t>
      </w:r>
      <w:r w:rsidRPr="00BF0D40">
        <w:t>with a peer, family member or friend about their mental health (37.2% and 37.0% respectively).</w:t>
      </w:r>
    </w:p>
    <w:p w14:paraId="095D3E3C" w14:textId="77777777" w:rsidR="00D46588" w:rsidRPr="00BF0D40" w:rsidRDefault="00D46588" w:rsidP="00133458">
      <w:pPr>
        <w:pStyle w:val="ShadedBullet"/>
      </w:pPr>
      <w:r w:rsidRPr="00BF0D40">
        <w:t>In general, younger Transitioned ADF and 2015 Regular ADF who use</w:t>
      </w:r>
      <w:r>
        <w:t>d</w:t>
      </w:r>
      <w:r w:rsidRPr="00BF0D40">
        <w:t xml:space="preserve"> the </w:t>
      </w:r>
      <w:r>
        <w:t>internet</w:t>
      </w:r>
      <w:r w:rsidRPr="00BF0D40">
        <w:t xml:space="preserve"> to seek help</w:t>
      </w:r>
      <w:r>
        <w:t xml:space="preserve"> or</w:t>
      </w:r>
      <w:r w:rsidRPr="00BF0D40">
        <w:t xml:space="preserve"> information or manage mental health issues were most likely to talk online to a peer, family member or friend, with nearly half of those aged 18</w:t>
      </w:r>
      <w:r>
        <w:t>–</w:t>
      </w:r>
      <w:r w:rsidRPr="00BF0D40">
        <w:t xml:space="preserve">27 endorsing this. </w:t>
      </w:r>
    </w:p>
    <w:p w14:paraId="59293745" w14:textId="77777777" w:rsidR="00D46588" w:rsidRPr="00874BAA" w:rsidRDefault="00D46588" w:rsidP="00D46588">
      <w:pPr>
        <w:pStyle w:val="ShadedBoxSubheading"/>
      </w:pPr>
      <w:bookmarkStart w:id="761" w:name="_Toc515373318"/>
      <w:bookmarkStart w:id="762" w:name="_Toc515374510"/>
      <w:bookmarkStart w:id="763" w:name="_Toc518566410"/>
      <w:bookmarkStart w:id="764" w:name="_Hlk520815452"/>
      <w:bookmarkEnd w:id="760"/>
      <w:r w:rsidRPr="00874BAA">
        <w:t xml:space="preserve">Talking online to other people (e.g. online forums, chatrooms, blogs, MSN or Gmail messenger) about one’s </w:t>
      </w:r>
      <w:r w:rsidRPr="00874BAA">
        <w:rPr>
          <w:i/>
        </w:rPr>
        <w:t>own</w:t>
      </w:r>
      <w:r w:rsidRPr="00874BAA">
        <w:t xml:space="preserve"> mental health</w:t>
      </w:r>
      <w:bookmarkEnd w:id="761"/>
      <w:bookmarkEnd w:id="762"/>
      <w:bookmarkEnd w:id="763"/>
    </w:p>
    <w:p w14:paraId="1D3A4A1B" w14:textId="77777777" w:rsidR="00D46588" w:rsidRPr="00823DB1" w:rsidRDefault="00D46588" w:rsidP="00133458">
      <w:pPr>
        <w:pStyle w:val="ShadedBullet"/>
      </w:pPr>
      <w:bookmarkStart w:id="765" w:name="_Hlk520815413"/>
      <w:bookmarkEnd w:id="764"/>
      <w:r w:rsidRPr="00823DB1">
        <w:t xml:space="preserve">Approximately one in </w:t>
      </w:r>
      <w:r>
        <w:t>10</w:t>
      </w:r>
      <w:r w:rsidRPr="00823DB1">
        <w:t xml:space="preserve"> Transitioned ADF and 2015 Regular ADF who use</w:t>
      </w:r>
      <w:r>
        <w:t>d</w:t>
      </w:r>
      <w:r w:rsidRPr="00823DB1">
        <w:t xml:space="preserve"> the internet to manage mental health reported talking online to other people (e.g. online forums, chatrooms, blogs, MSN or Gmail messenger) about their mental health (12.4% and 7.8%).</w:t>
      </w:r>
    </w:p>
    <w:p w14:paraId="6039A0D5" w14:textId="77777777" w:rsidR="00D46588" w:rsidRPr="00823DB1" w:rsidRDefault="00D46588" w:rsidP="00133458">
      <w:pPr>
        <w:pStyle w:val="ShadedBullet"/>
      </w:pPr>
      <w:r w:rsidRPr="00823DB1">
        <w:t xml:space="preserve">Transitioned ADF were significantly more likely to talk online to other people about their own mental health compared to 2015 Regular ADF. </w:t>
      </w:r>
    </w:p>
    <w:p w14:paraId="1DDBFFF8" w14:textId="77777777" w:rsidR="00D46588" w:rsidRPr="00823DB1" w:rsidRDefault="00D46588" w:rsidP="00133458">
      <w:pPr>
        <w:pStyle w:val="ShadedBullet"/>
      </w:pPr>
      <w:r w:rsidRPr="00823DB1">
        <w:t>Among those who reported talking online to other people about their own mental health, the majority found it helpful, although this was lower among the Transitioned ADF compared to the 2015 Regular ADF (60.9% vs 87.8%).</w:t>
      </w:r>
    </w:p>
    <w:p w14:paraId="1BF798D9" w14:textId="77777777" w:rsidR="00D46588" w:rsidRPr="00823DB1" w:rsidRDefault="00D46588" w:rsidP="00133458">
      <w:pPr>
        <w:pStyle w:val="ShadedBullet"/>
      </w:pPr>
      <w:r w:rsidRPr="00823DB1">
        <w:t>A small minority of both the Transitioned ADF and 2015 Regular ADF who us</w:t>
      </w:r>
      <w:r>
        <w:t>ed</w:t>
      </w:r>
      <w:r w:rsidRPr="00823DB1">
        <w:t xml:space="preserve"> the internet to manage mental health found it to be harmful to talk online to other people about their own mental health (5.9% and 1.3% respectively).</w:t>
      </w:r>
    </w:p>
    <w:p w14:paraId="04AF88D0" w14:textId="77777777" w:rsidR="00D46588" w:rsidRPr="00823DB1" w:rsidRDefault="00D46588" w:rsidP="00133458">
      <w:pPr>
        <w:pStyle w:val="ShadedBullet"/>
      </w:pPr>
      <w:r w:rsidRPr="00823DB1">
        <w:t xml:space="preserve">Just under 20% (17.4%) of the Transitioned ADF and </w:t>
      </w:r>
      <w:r>
        <w:t>6.2</w:t>
      </w:r>
      <w:r w:rsidRPr="00823DB1">
        <w:t xml:space="preserve">% of the 2015 Regular ADF with a probable disorder and who used the internet to manage mental health reported talking to others on the internet about their own mental health. </w:t>
      </w:r>
    </w:p>
    <w:p w14:paraId="5D204E14" w14:textId="77777777" w:rsidR="00D46588" w:rsidRPr="00823DB1" w:rsidRDefault="00D46588" w:rsidP="00133458">
      <w:pPr>
        <w:pStyle w:val="ShadedBullet"/>
      </w:pPr>
      <w:r w:rsidRPr="00823DB1">
        <w:t xml:space="preserve">Among the Transitioned ADF, a greater proportion of those with a probable disorder than those without reported talking to others on the internet about their own mental health (17.4% vs 8.4%). </w:t>
      </w:r>
    </w:p>
    <w:p w14:paraId="3B605026" w14:textId="77777777" w:rsidR="00D46588" w:rsidRPr="00823DB1" w:rsidRDefault="00D46588" w:rsidP="00133458">
      <w:pPr>
        <w:pStyle w:val="ShadedBullet"/>
      </w:pPr>
      <w:r w:rsidRPr="00823DB1">
        <w:t>Among the 2015 Regular ADF</w:t>
      </w:r>
      <w:r>
        <w:t>,</w:t>
      </w:r>
      <w:r w:rsidRPr="00823DB1">
        <w:t xml:space="preserve"> there was little difference in the proportion of those with a probable disorder compared to</w:t>
      </w:r>
      <w:r>
        <w:t xml:space="preserve"> those</w:t>
      </w:r>
      <w:r w:rsidRPr="00823DB1">
        <w:t xml:space="preserve"> without a probable disorder who reported talking to others on the internet about their own mental health (6.2% vs 8.1%).</w:t>
      </w:r>
    </w:p>
    <w:p w14:paraId="78EF9772" w14:textId="77777777" w:rsidR="00D46588" w:rsidRPr="00874BAA" w:rsidRDefault="00D46588" w:rsidP="00D46588">
      <w:pPr>
        <w:pStyle w:val="ShadedBoxSubheading"/>
      </w:pPr>
      <w:bookmarkStart w:id="766" w:name="_Toc515373319"/>
      <w:bookmarkStart w:id="767" w:name="_Toc515374511"/>
      <w:bookmarkStart w:id="768" w:name="_Toc518566411"/>
      <w:bookmarkEnd w:id="765"/>
      <w:r w:rsidRPr="00874BAA">
        <w:t xml:space="preserve">Talking online to a psychologist or other mental health professional about one’s </w:t>
      </w:r>
      <w:r w:rsidRPr="00874BAA">
        <w:rPr>
          <w:i/>
        </w:rPr>
        <w:t>own</w:t>
      </w:r>
      <w:r w:rsidRPr="00874BAA">
        <w:t xml:space="preserve"> mental health</w:t>
      </w:r>
      <w:bookmarkEnd w:id="766"/>
      <w:bookmarkEnd w:id="767"/>
      <w:bookmarkEnd w:id="768"/>
    </w:p>
    <w:p w14:paraId="1A91E1DC" w14:textId="77777777" w:rsidR="00D46588" w:rsidRPr="00823DB1" w:rsidRDefault="00D46588" w:rsidP="00133458">
      <w:pPr>
        <w:pStyle w:val="ShadedBullet"/>
      </w:pPr>
      <w:bookmarkStart w:id="769" w:name="_Hlk520815502"/>
      <w:r w:rsidRPr="00823DB1">
        <w:t xml:space="preserve">Almost one in </w:t>
      </w:r>
      <w:r>
        <w:t>10</w:t>
      </w:r>
      <w:r w:rsidRPr="00823DB1">
        <w:t xml:space="preserve"> Transitioned ADF and 2015 Regular ADF who use</w:t>
      </w:r>
      <w:r>
        <w:t>d</w:t>
      </w:r>
      <w:r w:rsidRPr="00823DB1">
        <w:t xml:space="preserve"> the internet to manage mental health reported talking online to a psychologist or other mental health professional about their mental health (7.9% and 9.5%)</w:t>
      </w:r>
      <w:r>
        <w:t>,</w:t>
      </w:r>
      <w:r w:rsidRPr="00823DB1">
        <w:t xml:space="preserve"> with the majority finding this helpful (65.3% and 59.7%).</w:t>
      </w:r>
    </w:p>
    <w:p w14:paraId="699268B2" w14:textId="77777777" w:rsidR="00D46588" w:rsidRPr="00823DB1" w:rsidRDefault="00D46588" w:rsidP="00133458">
      <w:pPr>
        <w:pStyle w:val="ShadedBullet"/>
      </w:pPr>
      <w:r w:rsidRPr="00823DB1">
        <w:t>Among those who use</w:t>
      </w:r>
      <w:r>
        <w:t>d</w:t>
      </w:r>
      <w:r w:rsidRPr="00823DB1">
        <w:t xml:space="preserve"> the internet to manage mental health who ha</w:t>
      </w:r>
      <w:r>
        <w:t>d</w:t>
      </w:r>
      <w:r w:rsidRPr="00823DB1">
        <w:t xml:space="preserve"> a probable 30</w:t>
      </w:r>
      <w:r>
        <w:t>-</w:t>
      </w:r>
      <w:r w:rsidRPr="00823DB1">
        <w:t>day disorder, an estimated 7.2% of Transitioned ADF and an estimated 3.7% of 2015 Regular ADF reported using the internet to talk to a psychologist or other health professional about their own mental health.</w:t>
      </w:r>
    </w:p>
    <w:p w14:paraId="30C76236" w14:textId="77777777" w:rsidR="00D46588" w:rsidRDefault="00D46588" w:rsidP="00133458">
      <w:pPr>
        <w:pStyle w:val="ShadedBullet"/>
      </w:pPr>
      <w:r w:rsidRPr="00823DB1">
        <w:t>Transitioned ADF in the 18</w:t>
      </w:r>
      <w:r>
        <w:t>–</w:t>
      </w:r>
      <w:r w:rsidRPr="00823DB1">
        <w:t>27 age band (9.8%) and 2015 Regular ADF aged 28</w:t>
      </w:r>
      <w:r>
        <w:t>–</w:t>
      </w:r>
      <w:r w:rsidRPr="00823DB1">
        <w:t>37 (17.1%) were most likely to talk online to a psychologist or other mental health professional about their own mental health, followed by those aged 58+ (13.4%).</w:t>
      </w:r>
    </w:p>
    <w:p w14:paraId="49F8DF37" w14:textId="6C6474F0" w:rsidR="00513700" w:rsidRPr="00823DB1" w:rsidRDefault="00513700" w:rsidP="004E24A7">
      <w:pPr>
        <w:pStyle w:val="ShadedBoxText"/>
      </w:pPr>
      <w:r w:rsidRPr="00D4741B">
        <w:rPr>
          <w:b/>
        </w:rPr>
        <w:t>Glossary:</w:t>
      </w:r>
      <w:r w:rsidRPr="00D4741B">
        <w:t xml:space="preserve"> refer to the </w:t>
      </w:r>
      <w:r w:rsidRPr="00104D02">
        <w:t>Glossary</w:t>
      </w:r>
      <w:r w:rsidRPr="00D4741B">
        <w:t xml:space="preserve"> of terms for definitions of key terms.</w:t>
      </w:r>
    </w:p>
    <w:bookmarkEnd w:id="769"/>
    <w:p w14:paraId="6C0F7A85" w14:textId="77777777" w:rsidR="00D46588" w:rsidRDefault="00D46588" w:rsidP="00D46588">
      <w:r>
        <w:t>Many assumptions are made about the benefits of technology and the role technology may play in supporting self-management of one’s own mental health issues and enhancing early help seeking, and how technology may act as an adjunct to one’s own mental health care. In community samples, evidence clearly suggests that young people feel safer online, are able to express their feelings online and are more likely to disclose sensitive information.</w:t>
      </w:r>
    </w:p>
    <w:p w14:paraId="28DC3668" w14:textId="77777777" w:rsidR="00D46588" w:rsidRDefault="00D46588" w:rsidP="00D46588">
      <w:r>
        <w:t xml:space="preserve">This chapter explores the use of the internet specifically for one’s </w:t>
      </w:r>
      <w:r w:rsidRPr="00781C1B">
        <w:rPr>
          <w:i/>
        </w:rPr>
        <w:t>own</w:t>
      </w:r>
      <w:r>
        <w:t xml:space="preserve"> mental health among those who reported using the internet to seek help or assistance for mental health more broadly. The key questions examined were:</w:t>
      </w:r>
    </w:p>
    <w:p w14:paraId="231FF173" w14:textId="77777777" w:rsidR="00D46588" w:rsidRPr="003564CE" w:rsidRDefault="00D46588" w:rsidP="00D46588">
      <w:pPr>
        <w:pStyle w:val="Bullet"/>
        <w:numPr>
          <w:ilvl w:val="0"/>
          <w:numId w:val="3"/>
        </w:numPr>
        <w:ind w:left="360"/>
      </w:pPr>
      <w:r w:rsidRPr="003564CE">
        <w:t xml:space="preserve">How often do you use the </w:t>
      </w:r>
      <w:r>
        <w:t>internet</w:t>
      </w:r>
      <w:r w:rsidRPr="003564CE">
        <w:t xml:space="preserve"> to seek help or access information about </w:t>
      </w:r>
      <w:r w:rsidRPr="00995924">
        <w:rPr>
          <w:i/>
        </w:rPr>
        <w:t>your</w:t>
      </w:r>
      <w:r w:rsidRPr="003564CE">
        <w:t xml:space="preserve"> mental health?’</w:t>
      </w:r>
    </w:p>
    <w:p w14:paraId="1B7E8F10" w14:textId="77777777" w:rsidR="00D46588" w:rsidRPr="003564CE" w:rsidRDefault="00D46588" w:rsidP="00D46588">
      <w:pPr>
        <w:pStyle w:val="Bullet"/>
        <w:numPr>
          <w:ilvl w:val="0"/>
          <w:numId w:val="3"/>
        </w:numPr>
        <w:ind w:left="360"/>
      </w:pPr>
      <w:r w:rsidRPr="003564CE">
        <w:t xml:space="preserve">What time are you most likely to use the </w:t>
      </w:r>
      <w:r>
        <w:t>internet</w:t>
      </w:r>
      <w:r w:rsidRPr="003564CE">
        <w:t xml:space="preserve"> to seek help or access information about </w:t>
      </w:r>
      <w:r w:rsidRPr="00995924">
        <w:rPr>
          <w:i/>
        </w:rPr>
        <w:t>your</w:t>
      </w:r>
      <w:r w:rsidRPr="003564CE">
        <w:t xml:space="preserve"> mental health?</w:t>
      </w:r>
    </w:p>
    <w:p w14:paraId="61431AD3" w14:textId="77777777" w:rsidR="00D46588" w:rsidRDefault="00D46588" w:rsidP="00D46588">
      <w:pPr>
        <w:pStyle w:val="Bullet"/>
        <w:numPr>
          <w:ilvl w:val="0"/>
          <w:numId w:val="3"/>
        </w:numPr>
        <w:ind w:left="360"/>
      </w:pPr>
      <w:r w:rsidRPr="003564CE">
        <w:t xml:space="preserve">Have you ever talked about </w:t>
      </w:r>
      <w:r w:rsidRPr="00995924">
        <w:rPr>
          <w:i/>
        </w:rPr>
        <w:t>your</w:t>
      </w:r>
      <w:r w:rsidRPr="003564CE">
        <w:t xml:space="preserve"> mental health on the </w:t>
      </w:r>
      <w:r>
        <w:t>internet</w:t>
      </w:r>
      <w:r w:rsidRPr="003564CE">
        <w:t xml:space="preserve"> with peer, family member or friend?’</w:t>
      </w:r>
    </w:p>
    <w:p w14:paraId="6668EB77" w14:textId="77777777" w:rsidR="00D46588" w:rsidRDefault="00D46588" w:rsidP="00D46588">
      <w:pPr>
        <w:pStyle w:val="Bullet"/>
        <w:numPr>
          <w:ilvl w:val="0"/>
          <w:numId w:val="0"/>
        </w:numPr>
        <w:ind w:left="709"/>
      </w:pPr>
      <w:r w:rsidRPr="003564CE">
        <w:t>IF YES: did you find this harmful, helpful or neither?’</w:t>
      </w:r>
    </w:p>
    <w:p w14:paraId="621E13C3" w14:textId="77777777" w:rsidR="00D46588" w:rsidRDefault="00D46588" w:rsidP="00D46588">
      <w:r>
        <w:t>Each section within this chapter begins with a statistical comparison of the prevalence of each outcome variable listed above among the Transitioned and 2015 Regular ADF. Following this, each of the dichotomised outcome measures was further</w:t>
      </w:r>
      <w:r w:rsidRPr="00855176">
        <w:t xml:space="preserve"> stratified by </w:t>
      </w:r>
      <w:r>
        <w:t xml:space="preserve">probable disorder, </w:t>
      </w:r>
      <w:r w:rsidRPr="00855176">
        <w:t>sex, age group, and age group by sex categories</w:t>
      </w:r>
      <w:r>
        <w:t xml:space="preserve"> for descriptive purposes (no odds ratios) in order to provide detailed information on the demographic profile of those who used the internet to seek help or information for or to manage mental health issues. </w:t>
      </w:r>
    </w:p>
    <w:p w14:paraId="36E91062" w14:textId="77777777" w:rsidR="00D46588" w:rsidRPr="005B471D" w:rsidRDefault="00D46588" w:rsidP="00D46588">
      <w:pPr>
        <w:pStyle w:val="Heading2"/>
        <w:numPr>
          <w:ilvl w:val="1"/>
          <w:numId w:val="1"/>
        </w:numPr>
        <w:ind w:left="720" w:hanging="720"/>
      </w:pPr>
      <w:bookmarkStart w:id="770" w:name="_Toc509917452"/>
      <w:bookmarkStart w:id="771" w:name="_Toc515374512"/>
      <w:bookmarkStart w:id="772" w:name="_Toc518566412"/>
      <w:bookmarkStart w:id="773" w:name="_Toc528932696"/>
      <w:bookmarkStart w:id="774" w:name="_Toc531859233"/>
      <w:r w:rsidRPr="005B471D">
        <w:t xml:space="preserve">Frequency of seeking information about one’s </w:t>
      </w:r>
      <w:r w:rsidRPr="005B471D">
        <w:rPr>
          <w:i/>
        </w:rPr>
        <w:t>own</w:t>
      </w:r>
      <w:r w:rsidRPr="005B471D">
        <w:t xml:space="preserve"> mental health on the </w:t>
      </w:r>
      <w:r>
        <w:t>internet</w:t>
      </w:r>
      <w:bookmarkEnd w:id="770"/>
      <w:bookmarkEnd w:id="771"/>
      <w:bookmarkEnd w:id="772"/>
      <w:bookmarkEnd w:id="773"/>
      <w:bookmarkEnd w:id="774"/>
    </w:p>
    <w:p w14:paraId="262652B3" w14:textId="77777777" w:rsidR="00D46588" w:rsidRPr="005B471D" w:rsidRDefault="00D46588" w:rsidP="00D46588">
      <w:pPr>
        <w:pStyle w:val="Heading3"/>
        <w:numPr>
          <w:ilvl w:val="2"/>
          <w:numId w:val="1"/>
        </w:numPr>
      </w:pPr>
      <w:bookmarkStart w:id="775" w:name="_Toc509917453"/>
      <w:bookmarkStart w:id="776" w:name="_Toc515374513"/>
      <w:bookmarkStart w:id="777" w:name="_Toc518566413"/>
      <w:bookmarkStart w:id="778" w:name="_Toc528932697"/>
      <w:bookmarkStart w:id="779" w:name="_Toc531859234"/>
      <w:r w:rsidRPr="005B471D">
        <w:t>Transitioned ADF and 2015 Regular ADF</w:t>
      </w:r>
      <w:bookmarkEnd w:id="775"/>
      <w:bookmarkEnd w:id="776"/>
      <w:bookmarkEnd w:id="777"/>
      <w:bookmarkEnd w:id="778"/>
      <w:bookmarkEnd w:id="779"/>
    </w:p>
    <w:p w14:paraId="273F615D" w14:textId="77777777" w:rsidR="00D46588" w:rsidRDefault="00D46588" w:rsidP="00D46588">
      <w:r>
        <w:t xml:space="preserve">Of the Transitioned ADF and 2015 Regular ADF 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 xml:space="preserve">issues </w:t>
      </w:r>
      <w:r w:rsidRPr="00A872E0">
        <w:rPr>
          <w:rFonts w:cs="Arial"/>
        </w:rPr>
        <w:t>more broadly</w:t>
      </w:r>
      <w:r>
        <w:rPr>
          <w:rFonts w:cs="Arial"/>
        </w:rPr>
        <w:t>,</w:t>
      </w:r>
      <w:r>
        <w:t xml:space="preserve"> most reported using</w:t>
      </w:r>
      <w:r w:rsidRPr="007C2944">
        <w:t xml:space="preserve"> the </w:t>
      </w:r>
      <w:r>
        <w:t>internet</w:t>
      </w:r>
      <w:r w:rsidRPr="007C2944">
        <w:t xml:space="preserve"> to seek help for </w:t>
      </w:r>
      <w:r>
        <w:t xml:space="preserve">their </w:t>
      </w:r>
      <w:r w:rsidRPr="003038B1">
        <w:rPr>
          <w:i/>
        </w:rPr>
        <w:t xml:space="preserve">own </w:t>
      </w:r>
      <w:r w:rsidRPr="007C2944">
        <w:t xml:space="preserve">mental health </w:t>
      </w:r>
      <w:r>
        <w:t>less than once a month</w:t>
      </w:r>
      <w:r w:rsidRPr="007C2944">
        <w:t xml:space="preserve"> </w:t>
      </w:r>
      <w:r>
        <w:t>(</w:t>
      </w:r>
      <w:r w:rsidRPr="007C2944">
        <w:t xml:space="preserve">62.8% </w:t>
      </w:r>
      <w:r>
        <w:t xml:space="preserve">and </w:t>
      </w:r>
      <w:r w:rsidRPr="007C2944">
        <w:t xml:space="preserve">67.4% </w:t>
      </w:r>
      <w:r>
        <w:t>respectively) (</w:t>
      </w:r>
      <w:r w:rsidRPr="00032422">
        <w:t xml:space="preserve">Table </w:t>
      </w:r>
      <w:r>
        <w:rPr>
          <w:noProof/>
        </w:rPr>
        <w:t>7.1</w:t>
      </w:r>
      <w:r w:rsidRPr="009D3556">
        <w:t xml:space="preserve"> and </w:t>
      </w:r>
      <w:r w:rsidRPr="005B471D">
        <w:t xml:space="preserve">Figure </w:t>
      </w:r>
      <w:r>
        <w:rPr>
          <w:noProof/>
        </w:rPr>
        <w:t>7</w:t>
      </w:r>
      <w:r w:rsidRPr="005B471D">
        <w:rPr>
          <w:noProof/>
        </w:rPr>
        <w:t>.</w:t>
      </w:r>
      <w:r>
        <w:rPr>
          <w:noProof/>
        </w:rPr>
        <w:t>1</w:t>
      </w:r>
      <w:r>
        <w:t>). Only a very small proportion used the internet to seek information about their own mental health every day or almost every day</w:t>
      </w:r>
      <w:r w:rsidRPr="007C2944">
        <w:t xml:space="preserve"> (</w:t>
      </w:r>
      <w:r>
        <w:t xml:space="preserve">Transitioned ADF: 1.7%, 2015 Regular ADF: </w:t>
      </w:r>
      <w:r w:rsidRPr="007C2944">
        <w:t>1.0%).</w:t>
      </w:r>
      <w:r>
        <w:t xml:space="preserve"> </w:t>
      </w:r>
    </w:p>
    <w:p w14:paraId="4586F970" w14:textId="77777777" w:rsidR="00D46588" w:rsidRPr="003A21B1" w:rsidRDefault="00D46588" w:rsidP="00D46588">
      <w:pPr>
        <w:pStyle w:val="TableName"/>
      </w:pPr>
      <w:bookmarkStart w:id="780" w:name="_Ref509915088"/>
      <w:bookmarkStart w:id="781" w:name="_Toc509922891"/>
      <w:bookmarkStart w:id="782" w:name="_Toc515374666"/>
      <w:bookmarkStart w:id="783" w:name="_Toc528932341"/>
      <w:bookmarkStart w:id="784" w:name="_Toc531858020"/>
      <w:r w:rsidRPr="00032422">
        <w:t xml:space="preserve">Table </w:t>
      </w:r>
      <w:r>
        <w:rPr>
          <w:noProof/>
        </w:rPr>
        <w:t>7</w:t>
      </w:r>
      <w:r>
        <w:t>.</w:t>
      </w:r>
      <w:r>
        <w:rPr>
          <w:noProof/>
        </w:rPr>
        <w:t>1</w:t>
      </w:r>
      <w:bookmarkEnd w:id="780"/>
      <w:r>
        <w:tab/>
        <w:t>Estimated f</w:t>
      </w:r>
      <w:r w:rsidRPr="00032422">
        <w:t>requency</w:t>
      </w:r>
      <w:r>
        <w:t xml:space="preserve"> of internet use</w:t>
      </w:r>
      <w:r w:rsidRPr="004D152E">
        <w:t xml:space="preserve"> to seek help or access information about </w:t>
      </w:r>
      <w:r>
        <w:t xml:space="preserve">one’s </w:t>
      </w:r>
      <w:r w:rsidRPr="00A872E0">
        <w:rPr>
          <w:i/>
        </w:rPr>
        <w:t>own</w:t>
      </w:r>
      <w:r>
        <w:t xml:space="preserve"> </w:t>
      </w:r>
      <w:r w:rsidRPr="004D152E">
        <w:t>mental health</w:t>
      </w:r>
      <w:r>
        <w:t xml:space="preserve"> among Transitioned ADF and 2015 Regular ADF</w:t>
      </w:r>
      <w:bookmarkEnd w:id="781"/>
      <w:bookmarkEnd w:id="782"/>
      <w:r>
        <w:t xml:space="preserv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783"/>
      <w:bookmarkEnd w:id="784"/>
    </w:p>
    <w:tbl>
      <w:tblPr>
        <w:tblStyle w:val="TWRPTable"/>
        <w:tblW w:w="5000" w:type="pct"/>
        <w:tblLayout w:type="fixed"/>
        <w:tblLook w:val="0000" w:firstRow="0" w:lastRow="0" w:firstColumn="0" w:lastColumn="0" w:noHBand="0" w:noVBand="0"/>
        <w:tblDescription w:val="Table 7.1 Estimated frequency of internet use to seek help or access information about one’s own mental health among Transitioned ADF and 2015 Regular ADF who reported using the internet to seek help or information for or manage mental health issues"/>
      </w:tblPr>
      <w:tblGrid>
        <w:gridCol w:w="1827"/>
        <w:gridCol w:w="714"/>
        <w:gridCol w:w="874"/>
        <w:gridCol w:w="1042"/>
        <w:gridCol w:w="705"/>
        <w:gridCol w:w="874"/>
        <w:gridCol w:w="1053"/>
      </w:tblGrid>
      <w:tr w:rsidR="00D46588" w:rsidRPr="004D152E" w14:paraId="4CA70661" w14:textId="77777777" w:rsidTr="00A903BD">
        <w:trPr>
          <w:cantSplit/>
          <w:tblHeader/>
        </w:trPr>
        <w:tc>
          <w:tcPr>
            <w:tcW w:w="1894" w:type="dxa"/>
            <w:tcBorders>
              <w:top w:val="single" w:sz="4" w:space="0" w:color="000000"/>
              <w:bottom w:val="nil"/>
            </w:tcBorders>
          </w:tcPr>
          <w:p w14:paraId="661C108E" w14:textId="77777777" w:rsidR="00D46588" w:rsidRPr="005B471D" w:rsidRDefault="00D46588" w:rsidP="00D46588">
            <w:pPr>
              <w:pStyle w:val="TableText"/>
              <w:rPr>
                <w:b/>
              </w:rPr>
            </w:pPr>
          </w:p>
        </w:tc>
        <w:tc>
          <w:tcPr>
            <w:tcW w:w="2710" w:type="dxa"/>
            <w:gridSpan w:val="3"/>
            <w:tcBorders>
              <w:top w:val="single" w:sz="4" w:space="0" w:color="000000"/>
              <w:bottom w:val="single" w:sz="4" w:space="0" w:color="000000"/>
            </w:tcBorders>
          </w:tcPr>
          <w:p w14:paraId="5DB413BE" w14:textId="77777777" w:rsidR="00D46588" w:rsidRPr="005B471D" w:rsidRDefault="00D46588" w:rsidP="000A2491">
            <w:pPr>
              <w:pStyle w:val="TableText"/>
              <w:jc w:val="center"/>
              <w:rPr>
                <w:b/>
              </w:rPr>
            </w:pPr>
            <w:r w:rsidRPr="005B471D">
              <w:rPr>
                <w:b/>
              </w:rPr>
              <w:t>Transitioned ADF</w:t>
            </w:r>
            <w:r w:rsidR="000A2491">
              <w:rPr>
                <w:b/>
              </w:rPr>
              <w:br/>
            </w:r>
            <w:r w:rsidRPr="005B471D">
              <w:rPr>
                <w:b/>
              </w:rPr>
              <w:t>n=6116</w:t>
            </w:r>
          </w:p>
        </w:tc>
        <w:tc>
          <w:tcPr>
            <w:tcW w:w="2711" w:type="dxa"/>
            <w:gridSpan w:val="3"/>
            <w:tcBorders>
              <w:top w:val="single" w:sz="4" w:space="0" w:color="000000"/>
              <w:bottom w:val="single" w:sz="4" w:space="0" w:color="000000"/>
            </w:tcBorders>
          </w:tcPr>
          <w:p w14:paraId="60663909" w14:textId="77777777" w:rsidR="00D46588" w:rsidRPr="005B471D" w:rsidRDefault="00D46588" w:rsidP="000A2491">
            <w:pPr>
              <w:pStyle w:val="TableText"/>
              <w:jc w:val="center"/>
              <w:rPr>
                <w:b/>
              </w:rPr>
            </w:pPr>
            <w:r w:rsidRPr="005B471D">
              <w:rPr>
                <w:b/>
              </w:rPr>
              <w:t>2015 Regular ADF</w:t>
            </w:r>
            <w:r w:rsidR="000A2491">
              <w:rPr>
                <w:b/>
              </w:rPr>
              <w:br/>
            </w:r>
            <w:r w:rsidRPr="005B471D">
              <w:rPr>
                <w:b/>
              </w:rPr>
              <w:t>n=9042</w:t>
            </w:r>
          </w:p>
        </w:tc>
      </w:tr>
      <w:tr w:rsidR="00D46588" w:rsidRPr="004D152E" w14:paraId="02A320A5" w14:textId="77777777" w:rsidTr="00A903BD">
        <w:trPr>
          <w:cantSplit/>
          <w:tblHeader/>
        </w:trPr>
        <w:tc>
          <w:tcPr>
            <w:tcW w:w="1894" w:type="dxa"/>
            <w:tcBorders>
              <w:top w:val="nil"/>
              <w:bottom w:val="single" w:sz="4" w:space="0" w:color="000000"/>
            </w:tcBorders>
          </w:tcPr>
          <w:p w14:paraId="3EAC9799" w14:textId="77777777" w:rsidR="00D46588" w:rsidRPr="005B471D" w:rsidRDefault="00D46588" w:rsidP="00D46588">
            <w:pPr>
              <w:pStyle w:val="TableText"/>
              <w:rPr>
                <w:b/>
              </w:rPr>
            </w:pPr>
            <w:r w:rsidRPr="005B471D">
              <w:rPr>
                <w:b/>
              </w:rPr>
              <w:t xml:space="preserve">Frequency of </w:t>
            </w:r>
            <w:r>
              <w:rPr>
                <w:b/>
              </w:rPr>
              <w:t>u</w:t>
            </w:r>
            <w:r w:rsidRPr="005B471D">
              <w:rPr>
                <w:b/>
              </w:rPr>
              <w:t>se</w:t>
            </w:r>
          </w:p>
        </w:tc>
        <w:tc>
          <w:tcPr>
            <w:tcW w:w="734" w:type="dxa"/>
            <w:tcBorders>
              <w:top w:val="single" w:sz="4" w:space="0" w:color="000000"/>
              <w:bottom w:val="single" w:sz="4" w:space="0" w:color="000000"/>
            </w:tcBorders>
          </w:tcPr>
          <w:p w14:paraId="7E4092AF" w14:textId="77777777" w:rsidR="00D46588" w:rsidRPr="005B471D" w:rsidRDefault="00D46588" w:rsidP="00D46588">
            <w:pPr>
              <w:pStyle w:val="TableText"/>
              <w:jc w:val="right"/>
              <w:rPr>
                <w:b/>
              </w:rPr>
            </w:pPr>
            <w:r w:rsidRPr="005B471D">
              <w:rPr>
                <w:b/>
              </w:rPr>
              <w:t>n</w:t>
            </w:r>
          </w:p>
        </w:tc>
        <w:tc>
          <w:tcPr>
            <w:tcW w:w="900" w:type="dxa"/>
            <w:tcBorders>
              <w:top w:val="single" w:sz="4" w:space="0" w:color="000000"/>
              <w:bottom w:val="single" w:sz="4" w:space="0" w:color="000000"/>
            </w:tcBorders>
          </w:tcPr>
          <w:p w14:paraId="0E483611" w14:textId="77777777" w:rsidR="00D46588" w:rsidRPr="005B471D" w:rsidRDefault="00D46588" w:rsidP="00D46588">
            <w:pPr>
              <w:pStyle w:val="TableText"/>
              <w:jc w:val="right"/>
              <w:rPr>
                <w:b/>
              </w:rPr>
            </w:pPr>
            <w:r w:rsidRPr="005B471D">
              <w:rPr>
                <w:b/>
              </w:rPr>
              <w:t>Weighted n</w:t>
            </w:r>
          </w:p>
        </w:tc>
        <w:tc>
          <w:tcPr>
            <w:tcW w:w="1076" w:type="dxa"/>
            <w:tcBorders>
              <w:top w:val="single" w:sz="4" w:space="0" w:color="000000"/>
              <w:bottom w:val="single" w:sz="4" w:space="0" w:color="000000"/>
            </w:tcBorders>
          </w:tcPr>
          <w:p w14:paraId="034EF2A3" w14:textId="77777777" w:rsidR="00D46588" w:rsidRPr="005B471D" w:rsidRDefault="00D46588" w:rsidP="00D46588">
            <w:pPr>
              <w:pStyle w:val="TableText"/>
              <w:jc w:val="right"/>
              <w:rPr>
                <w:b/>
              </w:rPr>
            </w:pPr>
            <w:r w:rsidRPr="005B471D">
              <w:rPr>
                <w:b/>
              </w:rPr>
              <w:t>% (95%CI)</w:t>
            </w:r>
          </w:p>
        </w:tc>
        <w:tc>
          <w:tcPr>
            <w:tcW w:w="724" w:type="dxa"/>
            <w:tcBorders>
              <w:top w:val="single" w:sz="4" w:space="0" w:color="000000"/>
              <w:bottom w:val="single" w:sz="4" w:space="0" w:color="000000"/>
            </w:tcBorders>
          </w:tcPr>
          <w:p w14:paraId="06BEFD22" w14:textId="77777777" w:rsidR="00D46588" w:rsidRPr="005B471D" w:rsidRDefault="00D46588" w:rsidP="00D46588">
            <w:pPr>
              <w:pStyle w:val="TableText"/>
              <w:jc w:val="right"/>
              <w:rPr>
                <w:b/>
              </w:rPr>
            </w:pPr>
            <w:r w:rsidRPr="005B471D">
              <w:rPr>
                <w:b/>
              </w:rPr>
              <w:t>n</w:t>
            </w:r>
          </w:p>
        </w:tc>
        <w:tc>
          <w:tcPr>
            <w:tcW w:w="900" w:type="dxa"/>
            <w:tcBorders>
              <w:top w:val="single" w:sz="4" w:space="0" w:color="000000"/>
              <w:bottom w:val="single" w:sz="4" w:space="0" w:color="000000"/>
            </w:tcBorders>
          </w:tcPr>
          <w:p w14:paraId="6801B161" w14:textId="77777777" w:rsidR="00D46588" w:rsidRPr="005B471D" w:rsidRDefault="00D46588" w:rsidP="00D46588">
            <w:pPr>
              <w:pStyle w:val="TableText"/>
              <w:jc w:val="right"/>
              <w:rPr>
                <w:b/>
              </w:rPr>
            </w:pPr>
            <w:r w:rsidRPr="005B471D">
              <w:rPr>
                <w:b/>
              </w:rPr>
              <w:t>Weighted n</w:t>
            </w:r>
          </w:p>
        </w:tc>
        <w:tc>
          <w:tcPr>
            <w:tcW w:w="1087" w:type="dxa"/>
            <w:tcBorders>
              <w:top w:val="single" w:sz="4" w:space="0" w:color="000000"/>
              <w:bottom w:val="single" w:sz="4" w:space="0" w:color="000000"/>
            </w:tcBorders>
          </w:tcPr>
          <w:p w14:paraId="23FED7A2" w14:textId="77777777" w:rsidR="00D46588" w:rsidRPr="005B471D" w:rsidRDefault="00D46588" w:rsidP="00D46588">
            <w:pPr>
              <w:pStyle w:val="TableText"/>
              <w:jc w:val="right"/>
              <w:rPr>
                <w:b/>
              </w:rPr>
            </w:pPr>
            <w:r w:rsidRPr="005B471D">
              <w:rPr>
                <w:b/>
              </w:rPr>
              <w:t>% (95%CI)</w:t>
            </w:r>
          </w:p>
        </w:tc>
      </w:tr>
      <w:tr w:rsidR="005A48E4" w:rsidRPr="004D152E" w14:paraId="783BD600"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894" w:type="dxa"/>
            <w:tcBorders>
              <w:top w:val="single" w:sz="4" w:space="0" w:color="000000"/>
            </w:tcBorders>
          </w:tcPr>
          <w:p w14:paraId="472815A9" w14:textId="77777777" w:rsidR="00D46588" w:rsidRPr="004D152E" w:rsidRDefault="00D46588" w:rsidP="00D46588">
            <w:pPr>
              <w:pStyle w:val="TableText"/>
            </w:pPr>
            <w:r>
              <w:t>Every day</w:t>
            </w:r>
            <w:r w:rsidRPr="004D152E">
              <w:t xml:space="preserve"> or almost every</w:t>
            </w:r>
            <w:r>
              <w:t xml:space="preserve"> </w:t>
            </w:r>
            <w:r w:rsidRPr="004D152E">
              <w:t>day</w:t>
            </w:r>
          </w:p>
        </w:tc>
        <w:tc>
          <w:tcPr>
            <w:tcW w:w="734" w:type="dxa"/>
            <w:tcBorders>
              <w:top w:val="single" w:sz="4" w:space="0" w:color="000000"/>
            </w:tcBorders>
          </w:tcPr>
          <w:p w14:paraId="67D3C551" w14:textId="77777777" w:rsidR="00D46588" w:rsidRPr="004D152E" w:rsidRDefault="00D46588" w:rsidP="00D46588">
            <w:pPr>
              <w:pStyle w:val="TableText"/>
              <w:jc w:val="right"/>
              <w:rPr>
                <w:color w:val="000000" w:themeColor="text1"/>
              </w:rPr>
            </w:pPr>
            <w:r w:rsidRPr="004D152E">
              <w:t>17</w:t>
            </w:r>
          </w:p>
        </w:tc>
        <w:tc>
          <w:tcPr>
            <w:tcW w:w="900" w:type="dxa"/>
            <w:tcBorders>
              <w:top w:val="single" w:sz="4" w:space="0" w:color="000000"/>
            </w:tcBorders>
          </w:tcPr>
          <w:p w14:paraId="4245ABDD" w14:textId="77777777" w:rsidR="00D46588" w:rsidRPr="004D152E" w:rsidRDefault="00D46588" w:rsidP="00D46588">
            <w:pPr>
              <w:pStyle w:val="TableText"/>
              <w:jc w:val="right"/>
              <w:rPr>
                <w:color w:val="000000" w:themeColor="text1"/>
              </w:rPr>
            </w:pPr>
            <w:r w:rsidRPr="004D152E">
              <w:t>107</w:t>
            </w:r>
          </w:p>
        </w:tc>
        <w:tc>
          <w:tcPr>
            <w:tcW w:w="1076" w:type="dxa"/>
            <w:tcBorders>
              <w:top w:val="single" w:sz="4" w:space="0" w:color="000000"/>
            </w:tcBorders>
          </w:tcPr>
          <w:p w14:paraId="05DF054C" w14:textId="77777777" w:rsidR="00D46588" w:rsidRPr="004D152E" w:rsidRDefault="00D46588" w:rsidP="00D46588">
            <w:pPr>
              <w:pStyle w:val="TableText"/>
              <w:jc w:val="right"/>
              <w:rPr>
                <w:color w:val="000000" w:themeColor="text1"/>
              </w:rPr>
            </w:pPr>
            <w:r w:rsidRPr="004D152E">
              <w:t>1.7 (1.0</w:t>
            </w:r>
            <w:r>
              <w:t xml:space="preserve">, </w:t>
            </w:r>
            <w:r w:rsidRPr="004D152E">
              <w:t>3.1)</w:t>
            </w:r>
          </w:p>
        </w:tc>
        <w:tc>
          <w:tcPr>
            <w:tcW w:w="724" w:type="dxa"/>
            <w:tcBorders>
              <w:top w:val="single" w:sz="4" w:space="0" w:color="000000"/>
            </w:tcBorders>
          </w:tcPr>
          <w:p w14:paraId="57DAD713" w14:textId="77777777" w:rsidR="00D46588" w:rsidRPr="004D152E" w:rsidRDefault="00D46588" w:rsidP="00D46588">
            <w:pPr>
              <w:pStyle w:val="TableText"/>
              <w:jc w:val="right"/>
              <w:rPr>
                <w:color w:val="000000" w:themeColor="text1"/>
              </w:rPr>
            </w:pPr>
            <w:r w:rsidRPr="004D152E">
              <w:t>23</w:t>
            </w:r>
          </w:p>
        </w:tc>
        <w:tc>
          <w:tcPr>
            <w:tcW w:w="900" w:type="dxa"/>
            <w:tcBorders>
              <w:top w:val="single" w:sz="4" w:space="0" w:color="000000"/>
            </w:tcBorders>
          </w:tcPr>
          <w:p w14:paraId="0179E306" w14:textId="77777777" w:rsidR="00D46588" w:rsidRPr="004D152E" w:rsidRDefault="00D46588" w:rsidP="00D46588">
            <w:pPr>
              <w:pStyle w:val="TableText"/>
              <w:jc w:val="right"/>
              <w:rPr>
                <w:color w:val="000000" w:themeColor="text1"/>
              </w:rPr>
            </w:pPr>
            <w:r w:rsidRPr="004D152E">
              <w:t>90</w:t>
            </w:r>
          </w:p>
        </w:tc>
        <w:tc>
          <w:tcPr>
            <w:tcW w:w="1087" w:type="dxa"/>
            <w:tcBorders>
              <w:top w:val="single" w:sz="4" w:space="0" w:color="000000"/>
            </w:tcBorders>
          </w:tcPr>
          <w:p w14:paraId="3C071EF8" w14:textId="77777777" w:rsidR="00D46588" w:rsidRPr="004D152E" w:rsidRDefault="00D46588" w:rsidP="00D46588">
            <w:pPr>
              <w:pStyle w:val="TableText"/>
              <w:jc w:val="right"/>
              <w:rPr>
                <w:color w:val="000000" w:themeColor="text1"/>
              </w:rPr>
            </w:pPr>
            <w:r w:rsidRPr="004D152E">
              <w:t>1.0 (0.6</w:t>
            </w:r>
            <w:r>
              <w:t xml:space="preserve">, </w:t>
            </w:r>
            <w:r w:rsidRPr="004D152E">
              <w:t>1.6)</w:t>
            </w:r>
          </w:p>
        </w:tc>
      </w:tr>
      <w:tr w:rsidR="00D46588" w:rsidRPr="004D152E" w14:paraId="686A2F2D" w14:textId="77777777" w:rsidTr="00A903BD">
        <w:trPr>
          <w:cantSplit/>
        </w:trPr>
        <w:tc>
          <w:tcPr>
            <w:tcW w:w="1894" w:type="dxa"/>
          </w:tcPr>
          <w:p w14:paraId="2A8DB55D" w14:textId="77777777" w:rsidR="00D46588" w:rsidRPr="004D152E" w:rsidRDefault="00D46588" w:rsidP="00D46588">
            <w:pPr>
              <w:pStyle w:val="TableText"/>
            </w:pPr>
            <w:r w:rsidRPr="004D152E">
              <w:t>Once or twice a week</w:t>
            </w:r>
          </w:p>
        </w:tc>
        <w:tc>
          <w:tcPr>
            <w:tcW w:w="734" w:type="dxa"/>
          </w:tcPr>
          <w:p w14:paraId="197371E7" w14:textId="77777777" w:rsidR="00D46588" w:rsidRPr="004D152E" w:rsidRDefault="00D46588" w:rsidP="00D46588">
            <w:pPr>
              <w:pStyle w:val="TableText"/>
              <w:jc w:val="right"/>
              <w:rPr>
                <w:color w:val="000000" w:themeColor="text1"/>
              </w:rPr>
            </w:pPr>
            <w:r w:rsidRPr="004D152E">
              <w:t>72</w:t>
            </w:r>
          </w:p>
        </w:tc>
        <w:tc>
          <w:tcPr>
            <w:tcW w:w="900" w:type="dxa"/>
          </w:tcPr>
          <w:p w14:paraId="7CE55879" w14:textId="77777777" w:rsidR="00D46588" w:rsidRPr="004D152E" w:rsidRDefault="00D46588" w:rsidP="00D46588">
            <w:pPr>
              <w:pStyle w:val="TableText"/>
              <w:jc w:val="right"/>
              <w:rPr>
                <w:color w:val="000000" w:themeColor="text1"/>
              </w:rPr>
            </w:pPr>
            <w:r w:rsidRPr="004D152E">
              <w:t>470</w:t>
            </w:r>
          </w:p>
        </w:tc>
        <w:tc>
          <w:tcPr>
            <w:tcW w:w="1076" w:type="dxa"/>
          </w:tcPr>
          <w:p w14:paraId="05800495" w14:textId="77777777" w:rsidR="00D46588" w:rsidRPr="004D152E" w:rsidRDefault="00D46588" w:rsidP="00D46588">
            <w:pPr>
              <w:pStyle w:val="TableText"/>
              <w:jc w:val="right"/>
              <w:rPr>
                <w:color w:val="000000" w:themeColor="text1"/>
              </w:rPr>
            </w:pPr>
            <w:r w:rsidRPr="004D152E">
              <w:t>7.7 (5.8</w:t>
            </w:r>
            <w:r>
              <w:t xml:space="preserve">, </w:t>
            </w:r>
            <w:r w:rsidRPr="004D152E">
              <w:t>10.1)</w:t>
            </w:r>
          </w:p>
        </w:tc>
        <w:tc>
          <w:tcPr>
            <w:tcW w:w="724" w:type="dxa"/>
          </w:tcPr>
          <w:p w14:paraId="1B3C8DE4" w14:textId="77777777" w:rsidR="00D46588" w:rsidRPr="004D152E" w:rsidRDefault="00D46588" w:rsidP="00D46588">
            <w:pPr>
              <w:pStyle w:val="TableText"/>
              <w:jc w:val="right"/>
              <w:rPr>
                <w:color w:val="000000" w:themeColor="text1"/>
              </w:rPr>
            </w:pPr>
            <w:r w:rsidRPr="004D152E">
              <w:t>72</w:t>
            </w:r>
          </w:p>
        </w:tc>
        <w:tc>
          <w:tcPr>
            <w:tcW w:w="900" w:type="dxa"/>
          </w:tcPr>
          <w:p w14:paraId="7D1C1B6C" w14:textId="77777777" w:rsidR="00D46588" w:rsidRPr="004D152E" w:rsidRDefault="00D46588" w:rsidP="00D46588">
            <w:pPr>
              <w:pStyle w:val="TableText"/>
              <w:jc w:val="right"/>
              <w:rPr>
                <w:color w:val="000000" w:themeColor="text1"/>
              </w:rPr>
            </w:pPr>
            <w:r w:rsidRPr="004D152E">
              <w:t>296</w:t>
            </w:r>
          </w:p>
        </w:tc>
        <w:tc>
          <w:tcPr>
            <w:tcW w:w="1087" w:type="dxa"/>
          </w:tcPr>
          <w:p w14:paraId="3A54F5E5" w14:textId="77777777" w:rsidR="00D46588" w:rsidRPr="004D152E" w:rsidRDefault="00D46588" w:rsidP="00D46588">
            <w:pPr>
              <w:pStyle w:val="TableText"/>
              <w:jc w:val="right"/>
              <w:rPr>
                <w:color w:val="000000" w:themeColor="text1"/>
              </w:rPr>
            </w:pPr>
            <w:r w:rsidRPr="004D152E">
              <w:t>3.3 (2.4</w:t>
            </w:r>
            <w:r>
              <w:t xml:space="preserve">, </w:t>
            </w:r>
            <w:r w:rsidRPr="004D152E">
              <w:t>4.5)</w:t>
            </w:r>
          </w:p>
        </w:tc>
      </w:tr>
      <w:tr w:rsidR="00D46588" w:rsidRPr="004D152E" w14:paraId="73FCE8F6"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894" w:type="dxa"/>
          </w:tcPr>
          <w:p w14:paraId="4CA0BB25" w14:textId="77777777" w:rsidR="00D46588" w:rsidRPr="004D152E" w:rsidRDefault="00D46588" w:rsidP="00D46588">
            <w:pPr>
              <w:pStyle w:val="TableText"/>
            </w:pPr>
            <w:r w:rsidRPr="004D152E">
              <w:t>Once or twice a month</w:t>
            </w:r>
          </w:p>
        </w:tc>
        <w:tc>
          <w:tcPr>
            <w:tcW w:w="734" w:type="dxa"/>
          </w:tcPr>
          <w:p w14:paraId="4D386690" w14:textId="77777777" w:rsidR="00D46588" w:rsidRPr="004D152E" w:rsidRDefault="00D46588" w:rsidP="00D46588">
            <w:pPr>
              <w:pStyle w:val="TableText"/>
              <w:jc w:val="right"/>
              <w:rPr>
                <w:color w:val="000000" w:themeColor="text1"/>
              </w:rPr>
            </w:pPr>
            <w:r w:rsidRPr="004D152E">
              <w:t>170</w:t>
            </w:r>
          </w:p>
        </w:tc>
        <w:tc>
          <w:tcPr>
            <w:tcW w:w="900" w:type="dxa"/>
          </w:tcPr>
          <w:p w14:paraId="07C38047" w14:textId="77777777" w:rsidR="00D46588" w:rsidRPr="004D152E" w:rsidRDefault="00D46588" w:rsidP="00D46588">
            <w:pPr>
              <w:pStyle w:val="TableText"/>
              <w:jc w:val="right"/>
              <w:rPr>
                <w:color w:val="000000" w:themeColor="text1"/>
              </w:rPr>
            </w:pPr>
            <w:r w:rsidRPr="004D152E">
              <w:t>1202</w:t>
            </w:r>
          </w:p>
        </w:tc>
        <w:tc>
          <w:tcPr>
            <w:tcW w:w="1076" w:type="dxa"/>
          </w:tcPr>
          <w:p w14:paraId="721CCEB9" w14:textId="77777777" w:rsidR="00D46588" w:rsidRPr="004D152E" w:rsidRDefault="00D46588" w:rsidP="00D46588">
            <w:pPr>
              <w:pStyle w:val="TableText"/>
              <w:jc w:val="right"/>
              <w:rPr>
                <w:color w:val="000000" w:themeColor="text1"/>
              </w:rPr>
            </w:pPr>
            <w:r w:rsidRPr="004D152E">
              <w:t>19.7 (16.5</w:t>
            </w:r>
            <w:r>
              <w:t xml:space="preserve">, </w:t>
            </w:r>
            <w:r w:rsidRPr="004D152E">
              <w:t>23.2)</w:t>
            </w:r>
          </w:p>
        </w:tc>
        <w:tc>
          <w:tcPr>
            <w:tcW w:w="724" w:type="dxa"/>
          </w:tcPr>
          <w:p w14:paraId="5633927B" w14:textId="77777777" w:rsidR="00D46588" w:rsidRPr="004D152E" w:rsidRDefault="00D46588" w:rsidP="00D46588">
            <w:pPr>
              <w:pStyle w:val="TableText"/>
              <w:jc w:val="right"/>
              <w:rPr>
                <w:color w:val="000000" w:themeColor="text1"/>
              </w:rPr>
            </w:pPr>
            <w:r w:rsidRPr="004D152E">
              <w:t>203</w:t>
            </w:r>
          </w:p>
        </w:tc>
        <w:tc>
          <w:tcPr>
            <w:tcW w:w="900" w:type="dxa"/>
          </w:tcPr>
          <w:p w14:paraId="13875B84" w14:textId="77777777" w:rsidR="00D46588" w:rsidRPr="004D152E" w:rsidRDefault="00D46588" w:rsidP="00D46588">
            <w:pPr>
              <w:pStyle w:val="TableText"/>
              <w:jc w:val="right"/>
              <w:rPr>
                <w:color w:val="000000" w:themeColor="text1"/>
              </w:rPr>
            </w:pPr>
            <w:r w:rsidRPr="004D152E">
              <w:t>1402</w:t>
            </w:r>
          </w:p>
        </w:tc>
        <w:tc>
          <w:tcPr>
            <w:tcW w:w="1087" w:type="dxa"/>
          </w:tcPr>
          <w:p w14:paraId="4ACEA0D5" w14:textId="77777777" w:rsidR="00D46588" w:rsidRPr="004D152E" w:rsidRDefault="00D46588" w:rsidP="00D46588">
            <w:pPr>
              <w:pStyle w:val="TableText"/>
              <w:jc w:val="right"/>
              <w:rPr>
                <w:color w:val="000000" w:themeColor="text1"/>
              </w:rPr>
            </w:pPr>
            <w:r w:rsidRPr="004D152E">
              <w:t>15.5 (8.6</w:t>
            </w:r>
            <w:r>
              <w:t xml:space="preserve">, </w:t>
            </w:r>
            <w:r w:rsidRPr="004D152E">
              <w:t>26.4)</w:t>
            </w:r>
          </w:p>
        </w:tc>
      </w:tr>
      <w:tr w:rsidR="00D46588" w:rsidRPr="004D152E" w14:paraId="7C1B0E88" w14:textId="77777777" w:rsidTr="00A903BD">
        <w:trPr>
          <w:cantSplit/>
        </w:trPr>
        <w:tc>
          <w:tcPr>
            <w:tcW w:w="1894" w:type="dxa"/>
          </w:tcPr>
          <w:p w14:paraId="4882208D" w14:textId="77777777" w:rsidR="00D46588" w:rsidRPr="004D152E" w:rsidRDefault="00D46588" w:rsidP="00D46588">
            <w:pPr>
              <w:pStyle w:val="TableText"/>
            </w:pPr>
            <w:r w:rsidRPr="004D152E">
              <w:t>Less than once a month</w:t>
            </w:r>
          </w:p>
        </w:tc>
        <w:tc>
          <w:tcPr>
            <w:tcW w:w="734" w:type="dxa"/>
          </w:tcPr>
          <w:p w14:paraId="43278C60" w14:textId="77777777" w:rsidR="00D46588" w:rsidRPr="004D152E" w:rsidRDefault="00D46588" w:rsidP="00D46588">
            <w:pPr>
              <w:pStyle w:val="TableText"/>
              <w:jc w:val="right"/>
              <w:rPr>
                <w:color w:val="000000" w:themeColor="text1"/>
              </w:rPr>
            </w:pPr>
            <w:r w:rsidRPr="004D152E">
              <w:t>547</w:t>
            </w:r>
          </w:p>
        </w:tc>
        <w:tc>
          <w:tcPr>
            <w:tcW w:w="900" w:type="dxa"/>
          </w:tcPr>
          <w:p w14:paraId="5F411FD5" w14:textId="77777777" w:rsidR="00D46588" w:rsidRPr="004D152E" w:rsidRDefault="00D46588" w:rsidP="00D46588">
            <w:pPr>
              <w:pStyle w:val="TableText"/>
              <w:jc w:val="right"/>
              <w:rPr>
                <w:color w:val="000000" w:themeColor="text1"/>
              </w:rPr>
            </w:pPr>
            <w:r w:rsidRPr="004D152E">
              <w:t>3841</w:t>
            </w:r>
          </w:p>
        </w:tc>
        <w:tc>
          <w:tcPr>
            <w:tcW w:w="1076" w:type="dxa"/>
          </w:tcPr>
          <w:p w14:paraId="606F09DD" w14:textId="77777777" w:rsidR="00D46588" w:rsidRPr="004D152E" w:rsidRDefault="00D46588" w:rsidP="00D46588">
            <w:pPr>
              <w:pStyle w:val="TableText"/>
              <w:jc w:val="right"/>
              <w:rPr>
                <w:color w:val="000000" w:themeColor="text1"/>
              </w:rPr>
            </w:pPr>
            <w:r w:rsidRPr="004D152E">
              <w:t>62.8 (58.6</w:t>
            </w:r>
            <w:r>
              <w:t xml:space="preserve">, </w:t>
            </w:r>
            <w:r w:rsidRPr="004D152E">
              <w:t>66.8)</w:t>
            </w:r>
          </w:p>
        </w:tc>
        <w:tc>
          <w:tcPr>
            <w:tcW w:w="724" w:type="dxa"/>
          </w:tcPr>
          <w:p w14:paraId="1EDA5B2C" w14:textId="77777777" w:rsidR="00D46588" w:rsidRPr="004D152E" w:rsidRDefault="00D46588" w:rsidP="00D46588">
            <w:pPr>
              <w:pStyle w:val="TableText"/>
              <w:jc w:val="right"/>
              <w:rPr>
                <w:color w:val="000000" w:themeColor="text1"/>
              </w:rPr>
            </w:pPr>
            <w:r w:rsidRPr="004D152E">
              <w:t>1005</w:t>
            </w:r>
          </w:p>
        </w:tc>
        <w:tc>
          <w:tcPr>
            <w:tcW w:w="900" w:type="dxa"/>
          </w:tcPr>
          <w:p w14:paraId="39E87270" w14:textId="77777777" w:rsidR="00D46588" w:rsidRPr="004D152E" w:rsidRDefault="00D46588" w:rsidP="00D46588">
            <w:pPr>
              <w:pStyle w:val="TableText"/>
              <w:jc w:val="right"/>
              <w:rPr>
                <w:color w:val="000000" w:themeColor="text1"/>
              </w:rPr>
            </w:pPr>
            <w:r w:rsidRPr="004D152E">
              <w:t>6095</w:t>
            </w:r>
          </w:p>
        </w:tc>
        <w:tc>
          <w:tcPr>
            <w:tcW w:w="1087" w:type="dxa"/>
          </w:tcPr>
          <w:p w14:paraId="257B0928" w14:textId="77777777" w:rsidR="00D46588" w:rsidRPr="004D152E" w:rsidRDefault="00D46588" w:rsidP="00D46588">
            <w:pPr>
              <w:pStyle w:val="TableText"/>
              <w:jc w:val="right"/>
              <w:rPr>
                <w:color w:val="000000" w:themeColor="text1"/>
              </w:rPr>
            </w:pPr>
            <w:r w:rsidRPr="004D152E">
              <w:t>67.4 (57.3</w:t>
            </w:r>
            <w:r>
              <w:t xml:space="preserve">, </w:t>
            </w:r>
            <w:r w:rsidRPr="004D152E">
              <w:t>76.1)</w:t>
            </w:r>
          </w:p>
        </w:tc>
      </w:tr>
      <w:tr w:rsidR="00D46588" w:rsidRPr="004D152E" w14:paraId="3B0DA933"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894" w:type="dxa"/>
            <w:tcBorders>
              <w:bottom w:val="single" w:sz="4" w:space="0" w:color="000000"/>
            </w:tcBorders>
          </w:tcPr>
          <w:p w14:paraId="350970CB" w14:textId="77777777" w:rsidR="00D46588" w:rsidRPr="004D152E" w:rsidRDefault="00D46588" w:rsidP="00D46588">
            <w:pPr>
              <w:pStyle w:val="TableText"/>
            </w:pPr>
            <w:r w:rsidRPr="004D152E">
              <w:t>Never</w:t>
            </w:r>
          </w:p>
        </w:tc>
        <w:tc>
          <w:tcPr>
            <w:tcW w:w="734" w:type="dxa"/>
            <w:tcBorders>
              <w:bottom w:val="single" w:sz="4" w:space="0" w:color="000000"/>
            </w:tcBorders>
          </w:tcPr>
          <w:p w14:paraId="4638D91D" w14:textId="77777777" w:rsidR="00D46588" w:rsidRPr="004D152E" w:rsidRDefault="00D46588" w:rsidP="00D46588">
            <w:pPr>
              <w:pStyle w:val="TableText"/>
              <w:jc w:val="right"/>
              <w:rPr>
                <w:color w:val="000000" w:themeColor="text1"/>
              </w:rPr>
            </w:pPr>
            <w:r w:rsidRPr="004D152E">
              <w:t>41</w:t>
            </w:r>
          </w:p>
        </w:tc>
        <w:tc>
          <w:tcPr>
            <w:tcW w:w="900" w:type="dxa"/>
            <w:tcBorders>
              <w:bottom w:val="single" w:sz="4" w:space="0" w:color="000000"/>
            </w:tcBorders>
          </w:tcPr>
          <w:p w14:paraId="0DEDFE50" w14:textId="77777777" w:rsidR="00D46588" w:rsidRPr="004D152E" w:rsidRDefault="00D46588" w:rsidP="00D46588">
            <w:pPr>
              <w:pStyle w:val="TableText"/>
              <w:jc w:val="right"/>
              <w:rPr>
                <w:color w:val="000000" w:themeColor="text1"/>
              </w:rPr>
            </w:pPr>
            <w:r w:rsidRPr="004D152E">
              <w:t>399</w:t>
            </w:r>
          </w:p>
        </w:tc>
        <w:tc>
          <w:tcPr>
            <w:tcW w:w="1076" w:type="dxa"/>
            <w:tcBorders>
              <w:bottom w:val="single" w:sz="4" w:space="0" w:color="000000"/>
            </w:tcBorders>
          </w:tcPr>
          <w:p w14:paraId="7E41EF31" w14:textId="77777777" w:rsidR="00D46588" w:rsidRPr="004D152E" w:rsidRDefault="00D46588" w:rsidP="00D46588">
            <w:pPr>
              <w:pStyle w:val="TableText"/>
              <w:jc w:val="right"/>
              <w:rPr>
                <w:color w:val="000000" w:themeColor="text1"/>
              </w:rPr>
            </w:pPr>
            <w:r w:rsidRPr="004D152E">
              <w:t>6.5 (4.5</w:t>
            </w:r>
            <w:r>
              <w:t xml:space="preserve">, </w:t>
            </w:r>
            <w:r w:rsidRPr="004D152E">
              <w:t>9.4)</w:t>
            </w:r>
          </w:p>
        </w:tc>
        <w:tc>
          <w:tcPr>
            <w:tcW w:w="724" w:type="dxa"/>
            <w:tcBorders>
              <w:bottom w:val="single" w:sz="4" w:space="0" w:color="000000"/>
            </w:tcBorders>
          </w:tcPr>
          <w:p w14:paraId="42822A7B" w14:textId="77777777" w:rsidR="00D46588" w:rsidRPr="004D152E" w:rsidRDefault="00D46588" w:rsidP="00D46588">
            <w:pPr>
              <w:pStyle w:val="TableText"/>
              <w:jc w:val="right"/>
              <w:rPr>
                <w:color w:val="000000" w:themeColor="text1"/>
              </w:rPr>
            </w:pPr>
            <w:r w:rsidRPr="004D152E">
              <w:t>118</w:t>
            </w:r>
          </w:p>
        </w:tc>
        <w:tc>
          <w:tcPr>
            <w:tcW w:w="900" w:type="dxa"/>
            <w:tcBorders>
              <w:bottom w:val="single" w:sz="4" w:space="0" w:color="000000"/>
            </w:tcBorders>
          </w:tcPr>
          <w:p w14:paraId="16A477F1" w14:textId="77777777" w:rsidR="00D46588" w:rsidRPr="004D152E" w:rsidRDefault="00D46588" w:rsidP="00D46588">
            <w:pPr>
              <w:pStyle w:val="TableText"/>
              <w:jc w:val="right"/>
              <w:rPr>
                <w:color w:val="000000" w:themeColor="text1"/>
              </w:rPr>
            </w:pPr>
            <w:r w:rsidRPr="004D152E">
              <w:t>1120</w:t>
            </w:r>
          </w:p>
        </w:tc>
        <w:tc>
          <w:tcPr>
            <w:tcW w:w="1087" w:type="dxa"/>
            <w:tcBorders>
              <w:bottom w:val="single" w:sz="4" w:space="0" w:color="000000"/>
            </w:tcBorders>
          </w:tcPr>
          <w:p w14:paraId="3E9A286D" w14:textId="77777777" w:rsidR="00D46588" w:rsidRPr="004D152E" w:rsidRDefault="00D46588" w:rsidP="00D46588">
            <w:pPr>
              <w:pStyle w:val="TableText"/>
              <w:jc w:val="right"/>
              <w:rPr>
                <w:color w:val="000000" w:themeColor="text1"/>
              </w:rPr>
            </w:pPr>
            <w:r w:rsidRPr="004D152E">
              <w:t>12.4 (6.8</w:t>
            </w:r>
            <w:r>
              <w:t xml:space="preserve">, </w:t>
            </w:r>
            <w:r w:rsidRPr="004D152E">
              <w:t>21.5)</w:t>
            </w:r>
          </w:p>
        </w:tc>
      </w:tr>
      <w:tr w:rsidR="00D46588" w:rsidRPr="005B471D" w14:paraId="6571F425" w14:textId="77777777" w:rsidTr="00A903BD">
        <w:trPr>
          <w:cantSplit/>
        </w:trPr>
        <w:tc>
          <w:tcPr>
            <w:tcW w:w="1894" w:type="dxa"/>
            <w:tcBorders>
              <w:top w:val="single" w:sz="4" w:space="0" w:color="000000"/>
              <w:bottom w:val="nil"/>
            </w:tcBorders>
          </w:tcPr>
          <w:p w14:paraId="1620EDEF" w14:textId="77777777" w:rsidR="00D46588" w:rsidRPr="005B471D" w:rsidRDefault="00D46588" w:rsidP="00D46588">
            <w:pPr>
              <w:pStyle w:val="TableText"/>
              <w:rPr>
                <w:b/>
              </w:rPr>
            </w:pPr>
            <w:r>
              <w:rPr>
                <w:b/>
              </w:rPr>
              <w:t>Collapsed grouping</w:t>
            </w:r>
          </w:p>
        </w:tc>
        <w:tc>
          <w:tcPr>
            <w:tcW w:w="734" w:type="dxa"/>
            <w:tcBorders>
              <w:top w:val="single" w:sz="4" w:space="0" w:color="000000"/>
              <w:bottom w:val="nil"/>
            </w:tcBorders>
          </w:tcPr>
          <w:p w14:paraId="0854AC97" w14:textId="77777777" w:rsidR="00D46588" w:rsidRPr="005B471D" w:rsidRDefault="00D46588" w:rsidP="00D46588">
            <w:pPr>
              <w:pStyle w:val="TableText"/>
              <w:jc w:val="right"/>
              <w:rPr>
                <w:color w:val="000000" w:themeColor="text1"/>
              </w:rPr>
            </w:pPr>
          </w:p>
        </w:tc>
        <w:tc>
          <w:tcPr>
            <w:tcW w:w="900" w:type="dxa"/>
            <w:tcBorders>
              <w:top w:val="single" w:sz="4" w:space="0" w:color="000000"/>
              <w:bottom w:val="nil"/>
            </w:tcBorders>
          </w:tcPr>
          <w:p w14:paraId="336DCA43" w14:textId="77777777" w:rsidR="00D46588" w:rsidRPr="005B471D" w:rsidRDefault="00D46588" w:rsidP="00D46588">
            <w:pPr>
              <w:pStyle w:val="TableText"/>
              <w:jc w:val="right"/>
              <w:rPr>
                <w:color w:val="000000" w:themeColor="text1"/>
              </w:rPr>
            </w:pPr>
          </w:p>
        </w:tc>
        <w:tc>
          <w:tcPr>
            <w:tcW w:w="1076" w:type="dxa"/>
            <w:tcBorders>
              <w:top w:val="single" w:sz="4" w:space="0" w:color="000000"/>
              <w:bottom w:val="nil"/>
            </w:tcBorders>
          </w:tcPr>
          <w:p w14:paraId="15F54907" w14:textId="77777777" w:rsidR="00D46588" w:rsidRPr="005B471D" w:rsidRDefault="00D46588" w:rsidP="00D46588">
            <w:pPr>
              <w:pStyle w:val="TableText"/>
              <w:jc w:val="right"/>
              <w:rPr>
                <w:color w:val="000000" w:themeColor="text1"/>
              </w:rPr>
            </w:pPr>
          </w:p>
        </w:tc>
        <w:tc>
          <w:tcPr>
            <w:tcW w:w="724" w:type="dxa"/>
            <w:tcBorders>
              <w:top w:val="single" w:sz="4" w:space="0" w:color="000000"/>
              <w:bottom w:val="nil"/>
            </w:tcBorders>
          </w:tcPr>
          <w:p w14:paraId="7DFF5F77" w14:textId="77777777" w:rsidR="00D46588" w:rsidRPr="005B471D" w:rsidRDefault="00D46588" w:rsidP="00D46588">
            <w:pPr>
              <w:pStyle w:val="TableText"/>
              <w:jc w:val="right"/>
              <w:rPr>
                <w:color w:val="000000" w:themeColor="text1"/>
              </w:rPr>
            </w:pPr>
          </w:p>
        </w:tc>
        <w:tc>
          <w:tcPr>
            <w:tcW w:w="900" w:type="dxa"/>
            <w:tcBorders>
              <w:top w:val="single" w:sz="4" w:space="0" w:color="000000"/>
              <w:bottom w:val="nil"/>
            </w:tcBorders>
          </w:tcPr>
          <w:p w14:paraId="48FE54D6" w14:textId="77777777" w:rsidR="00D46588" w:rsidRPr="005B471D" w:rsidRDefault="00D46588" w:rsidP="00D46588">
            <w:pPr>
              <w:pStyle w:val="TableText"/>
              <w:jc w:val="right"/>
              <w:rPr>
                <w:color w:val="000000" w:themeColor="text1"/>
              </w:rPr>
            </w:pPr>
          </w:p>
        </w:tc>
        <w:tc>
          <w:tcPr>
            <w:tcW w:w="1087" w:type="dxa"/>
            <w:tcBorders>
              <w:top w:val="single" w:sz="4" w:space="0" w:color="000000"/>
              <w:bottom w:val="nil"/>
            </w:tcBorders>
          </w:tcPr>
          <w:p w14:paraId="60097247" w14:textId="77777777" w:rsidR="00D46588" w:rsidRPr="005B471D" w:rsidRDefault="00D46588" w:rsidP="00D46588">
            <w:pPr>
              <w:pStyle w:val="TableText"/>
              <w:jc w:val="right"/>
              <w:rPr>
                <w:color w:val="000000" w:themeColor="text1"/>
              </w:rPr>
            </w:pPr>
          </w:p>
        </w:tc>
      </w:tr>
      <w:tr w:rsidR="00D46588" w:rsidRPr="005B471D" w14:paraId="3EE3AEDB"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894" w:type="dxa"/>
            <w:tcBorders>
              <w:top w:val="nil"/>
            </w:tcBorders>
          </w:tcPr>
          <w:p w14:paraId="5FB00DED" w14:textId="77777777" w:rsidR="00D46588" w:rsidRPr="005B471D" w:rsidRDefault="00D46588" w:rsidP="00D46588">
            <w:pPr>
              <w:pStyle w:val="TableText"/>
            </w:pPr>
            <w:r w:rsidRPr="005B471D">
              <w:t>At least once per month</w:t>
            </w:r>
          </w:p>
        </w:tc>
        <w:tc>
          <w:tcPr>
            <w:tcW w:w="734" w:type="dxa"/>
            <w:tcBorders>
              <w:top w:val="nil"/>
            </w:tcBorders>
          </w:tcPr>
          <w:p w14:paraId="001318D0" w14:textId="77777777" w:rsidR="00D46588" w:rsidRPr="005B471D" w:rsidRDefault="00D46588" w:rsidP="00D46588">
            <w:pPr>
              <w:pStyle w:val="TableText"/>
              <w:jc w:val="right"/>
            </w:pPr>
            <w:r w:rsidRPr="005B471D">
              <w:t>259</w:t>
            </w:r>
          </w:p>
        </w:tc>
        <w:tc>
          <w:tcPr>
            <w:tcW w:w="900" w:type="dxa"/>
            <w:tcBorders>
              <w:top w:val="nil"/>
            </w:tcBorders>
          </w:tcPr>
          <w:p w14:paraId="77ABA3A0" w14:textId="77777777" w:rsidR="00D46588" w:rsidRPr="005B471D" w:rsidRDefault="00D46588" w:rsidP="00D46588">
            <w:pPr>
              <w:pStyle w:val="TableText"/>
              <w:jc w:val="right"/>
            </w:pPr>
            <w:r w:rsidRPr="005B471D">
              <w:t>1778</w:t>
            </w:r>
          </w:p>
        </w:tc>
        <w:tc>
          <w:tcPr>
            <w:tcW w:w="1076" w:type="dxa"/>
            <w:tcBorders>
              <w:top w:val="nil"/>
            </w:tcBorders>
          </w:tcPr>
          <w:p w14:paraId="0EB11695" w14:textId="77777777" w:rsidR="00D46588" w:rsidRPr="005B471D" w:rsidRDefault="00D46588" w:rsidP="00D46588">
            <w:pPr>
              <w:pStyle w:val="TableText"/>
              <w:jc w:val="right"/>
            </w:pPr>
            <w:r w:rsidRPr="005B471D">
              <w:t>29.1 (25.4</w:t>
            </w:r>
            <w:r>
              <w:t xml:space="preserve">, </w:t>
            </w:r>
            <w:r w:rsidRPr="005B471D">
              <w:t>33.0)</w:t>
            </w:r>
          </w:p>
        </w:tc>
        <w:tc>
          <w:tcPr>
            <w:tcW w:w="724" w:type="dxa"/>
            <w:tcBorders>
              <w:top w:val="nil"/>
            </w:tcBorders>
          </w:tcPr>
          <w:p w14:paraId="3ABC1125" w14:textId="77777777" w:rsidR="00D46588" w:rsidRPr="005B471D" w:rsidRDefault="00D46588" w:rsidP="00D46588">
            <w:pPr>
              <w:pStyle w:val="TableText"/>
              <w:jc w:val="right"/>
            </w:pPr>
            <w:r w:rsidRPr="005B471D">
              <w:t>298</w:t>
            </w:r>
          </w:p>
        </w:tc>
        <w:tc>
          <w:tcPr>
            <w:tcW w:w="900" w:type="dxa"/>
            <w:tcBorders>
              <w:top w:val="nil"/>
            </w:tcBorders>
          </w:tcPr>
          <w:p w14:paraId="5BEA8910" w14:textId="77777777" w:rsidR="00D46588" w:rsidRPr="005B471D" w:rsidRDefault="00D46588" w:rsidP="00D46588">
            <w:pPr>
              <w:pStyle w:val="TableText"/>
              <w:jc w:val="right"/>
            </w:pPr>
            <w:r w:rsidRPr="005B471D">
              <w:t>1788</w:t>
            </w:r>
          </w:p>
        </w:tc>
        <w:tc>
          <w:tcPr>
            <w:tcW w:w="1087" w:type="dxa"/>
            <w:tcBorders>
              <w:top w:val="nil"/>
            </w:tcBorders>
          </w:tcPr>
          <w:p w14:paraId="4F9915BC" w14:textId="77777777" w:rsidR="00D46588" w:rsidRPr="005B471D" w:rsidRDefault="00D46588" w:rsidP="00D46588">
            <w:pPr>
              <w:pStyle w:val="TableText"/>
              <w:jc w:val="right"/>
            </w:pPr>
            <w:r>
              <w:t>19.8 (12.5, 29.8)</w:t>
            </w:r>
          </w:p>
        </w:tc>
      </w:tr>
      <w:tr w:rsidR="00D46588" w:rsidRPr="004D152E" w14:paraId="240E4881" w14:textId="77777777" w:rsidTr="00A903BD">
        <w:trPr>
          <w:cantSplit/>
        </w:trPr>
        <w:tc>
          <w:tcPr>
            <w:tcW w:w="1894" w:type="dxa"/>
          </w:tcPr>
          <w:p w14:paraId="3FB7CE11" w14:textId="77777777" w:rsidR="00D46588" w:rsidRPr="005B471D" w:rsidRDefault="00D46588" w:rsidP="00D46588">
            <w:pPr>
              <w:pStyle w:val="TableText"/>
            </w:pPr>
            <w:r w:rsidRPr="005B471D">
              <w:t xml:space="preserve">Less than </w:t>
            </w:r>
            <w:r>
              <w:t>m</w:t>
            </w:r>
            <w:r w:rsidRPr="005B471D">
              <w:t>onthly</w:t>
            </w:r>
          </w:p>
        </w:tc>
        <w:tc>
          <w:tcPr>
            <w:tcW w:w="734" w:type="dxa"/>
          </w:tcPr>
          <w:p w14:paraId="09693919" w14:textId="77777777" w:rsidR="00D46588" w:rsidRPr="005B471D" w:rsidRDefault="00D46588" w:rsidP="00D46588">
            <w:pPr>
              <w:pStyle w:val="TableText"/>
              <w:jc w:val="right"/>
            </w:pPr>
            <w:r w:rsidRPr="005B471D">
              <w:t>547</w:t>
            </w:r>
          </w:p>
        </w:tc>
        <w:tc>
          <w:tcPr>
            <w:tcW w:w="900" w:type="dxa"/>
          </w:tcPr>
          <w:p w14:paraId="24C01C2C" w14:textId="77777777" w:rsidR="00D46588" w:rsidRPr="005B471D" w:rsidRDefault="00D46588" w:rsidP="00D46588">
            <w:pPr>
              <w:pStyle w:val="TableText"/>
              <w:jc w:val="right"/>
            </w:pPr>
            <w:r w:rsidRPr="005B471D">
              <w:t>3841</w:t>
            </w:r>
          </w:p>
        </w:tc>
        <w:tc>
          <w:tcPr>
            <w:tcW w:w="1076" w:type="dxa"/>
          </w:tcPr>
          <w:p w14:paraId="79057E47" w14:textId="77777777" w:rsidR="00D46588" w:rsidRPr="005B471D" w:rsidRDefault="00D46588" w:rsidP="00D46588">
            <w:pPr>
              <w:pStyle w:val="TableText"/>
              <w:jc w:val="right"/>
            </w:pPr>
            <w:r w:rsidRPr="005B471D">
              <w:t>62.8 (58.6</w:t>
            </w:r>
            <w:r>
              <w:t xml:space="preserve">, </w:t>
            </w:r>
            <w:r w:rsidRPr="005B471D">
              <w:t>66.8)</w:t>
            </w:r>
          </w:p>
        </w:tc>
        <w:tc>
          <w:tcPr>
            <w:tcW w:w="724" w:type="dxa"/>
          </w:tcPr>
          <w:p w14:paraId="62CA4FC5" w14:textId="77777777" w:rsidR="00D46588" w:rsidRPr="005B471D" w:rsidRDefault="00D46588" w:rsidP="00D46588">
            <w:pPr>
              <w:pStyle w:val="TableText"/>
              <w:jc w:val="right"/>
            </w:pPr>
            <w:r w:rsidRPr="005B471D">
              <w:t>1005</w:t>
            </w:r>
          </w:p>
        </w:tc>
        <w:tc>
          <w:tcPr>
            <w:tcW w:w="900" w:type="dxa"/>
          </w:tcPr>
          <w:p w14:paraId="06631AA7" w14:textId="77777777" w:rsidR="00D46588" w:rsidRPr="005B471D" w:rsidRDefault="00D46588" w:rsidP="00D46588">
            <w:pPr>
              <w:pStyle w:val="TableText"/>
              <w:jc w:val="right"/>
            </w:pPr>
            <w:r w:rsidRPr="005B471D">
              <w:t>6095</w:t>
            </w:r>
          </w:p>
        </w:tc>
        <w:tc>
          <w:tcPr>
            <w:tcW w:w="1087" w:type="dxa"/>
          </w:tcPr>
          <w:p w14:paraId="2302233B" w14:textId="77777777" w:rsidR="00D46588" w:rsidRPr="005B471D" w:rsidRDefault="00D46588" w:rsidP="00D46588">
            <w:pPr>
              <w:pStyle w:val="TableText"/>
              <w:jc w:val="right"/>
            </w:pPr>
            <w:r w:rsidRPr="005B471D">
              <w:t>67.4 (57.3</w:t>
            </w:r>
            <w:r>
              <w:t xml:space="preserve">, </w:t>
            </w:r>
            <w:r w:rsidRPr="005B471D">
              <w:t>76.1)</w:t>
            </w:r>
          </w:p>
        </w:tc>
      </w:tr>
      <w:tr w:rsidR="00D46588" w:rsidRPr="004D152E" w14:paraId="238ECE2C" w14:textId="77777777" w:rsidTr="00A903BD">
        <w:trPr>
          <w:cnfStyle w:val="000000100000" w:firstRow="0" w:lastRow="0" w:firstColumn="0" w:lastColumn="0" w:oddVBand="0" w:evenVBand="0" w:oddHBand="1" w:evenHBand="0" w:firstRowFirstColumn="0" w:firstRowLastColumn="0" w:lastRowFirstColumn="0" w:lastRowLastColumn="0"/>
          <w:cantSplit/>
        </w:trPr>
        <w:tc>
          <w:tcPr>
            <w:tcW w:w="1894" w:type="dxa"/>
          </w:tcPr>
          <w:p w14:paraId="53004DEF" w14:textId="77777777" w:rsidR="00D46588" w:rsidRPr="004D152E" w:rsidRDefault="00D46588" w:rsidP="00D46588">
            <w:pPr>
              <w:pStyle w:val="TableText"/>
            </w:pPr>
            <w:r w:rsidRPr="004D152E">
              <w:t>Never</w:t>
            </w:r>
          </w:p>
        </w:tc>
        <w:tc>
          <w:tcPr>
            <w:tcW w:w="734" w:type="dxa"/>
          </w:tcPr>
          <w:p w14:paraId="4DBAB831" w14:textId="77777777" w:rsidR="00D46588" w:rsidRPr="004D152E" w:rsidRDefault="00D46588" w:rsidP="00D46588">
            <w:pPr>
              <w:pStyle w:val="TableText"/>
              <w:jc w:val="right"/>
              <w:rPr>
                <w:color w:val="000000" w:themeColor="text1"/>
              </w:rPr>
            </w:pPr>
            <w:r w:rsidRPr="004D152E">
              <w:t>41</w:t>
            </w:r>
          </w:p>
        </w:tc>
        <w:tc>
          <w:tcPr>
            <w:tcW w:w="900" w:type="dxa"/>
          </w:tcPr>
          <w:p w14:paraId="0F391EFF" w14:textId="77777777" w:rsidR="00D46588" w:rsidRPr="004D152E" w:rsidRDefault="00D46588" w:rsidP="00D46588">
            <w:pPr>
              <w:pStyle w:val="TableText"/>
              <w:jc w:val="right"/>
              <w:rPr>
                <w:color w:val="000000" w:themeColor="text1"/>
              </w:rPr>
            </w:pPr>
            <w:r w:rsidRPr="004D152E">
              <w:t>399</w:t>
            </w:r>
          </w:p>
        </w:tc>
        <w:tc>
          <w:tcPr>
            <w:tcW w:w="1076" w:type="dxa"/>
          </w:tcPr>
          <w:p w14:paraId="1D66E565" w14:textId="77777777" w:rsidR="00D46588" w:rsidRPr="004D152E" w:rsidRDefault="00D46588" w:rsidP="00D46588">
            <w:pPr>
              <w:pStyle w:val="TableText"/>
              <w:jc w:val="right"/>
              <w:rPr>
                <w:color w:val="000000" w:themeColor="text1"/>
              </w:rPr>
            </w:pPr>
            <w:r w:rsidRPr="004D152E">
              <w:t>6.5 (4.5</w:t>
            </w:r>
            <w:r>
              <w:t xml:space="preserve">, </w:t>
            </w:r>
            <w:r w:rsidRPr="004D152E">
              <w:t>9.4)</w:t>
            </w:r>
          </w:p>
        </w:tc>
        <w:tc>
          <w:tcPr>
            <w:tcW w:w="724" w:type="dxa"/>
          </w:tcPr>
          <w:p w14:paraId="0F7B157B" w14:textId="77777777" w:rsidR="00D46588" w:rsidRPr="004D152E" w:rsidRDefault="00D46588" w:rsidP="00D46588">
            <w:pPr>
              <w:pStyle w:val="TableText"/>
              <w:jc w:val="right"/>
            </w:pPr>
            <w:r w:rsidRPr="004D152E">
              <w:t>118</w:t>
            </w:r>
          </w:p>
        </w:tc>
        <w:tc>
          <w:tcPr>
            <w:tcW w:w="900" w:type="dxa"/>
          </w:tcPr>
          <w:p w14:paraId="7FF3D597" w14:textId="77777777" w:rsidR="00D46588" w:rsidRPr="004D152E" w:rsidRDefault="00D46588" w:rsidP="00D46588">
            <w:pPr>
              <w:pStyle w:val="TableText"/>
              <w:jc w:val="right"/>
            </w:pPr>
            <w:r w:rsidRPr="004D152E">
              <w:t>1120</w:t>
            </w:r>
          </w:p>
        </w:tc>
        <w:tc>
          <w:tcPr>
            <w:tcW w:w="1087" w:type="dxa"/>
          </w:tcPr>
          <w:p w14:paraId="4855EDC1" w14:textId="77777777" w:rsidR="00D46588" w:rsidRPr="004D152E" w:rsidRDefault="00D46588" w:rsidP="00D46588">
            <w:pPr>
              <w:pStyle w:val="TableText"/>
              <w:jc w:val="right"/>
            </w:pPr>
            <w:r w:rsidRPr="004D152E">
              <w:t>12.4 (6.8</w:t>
            </w:r>
            <w:r>
              <w:t xml:space="preserve">, </w:t>
            </w:r>
            <w:r w:rsidRPr="004D152E">
              <w:t>21.5)</w:t>
            </w:r>
          </w:p>
        </w:tc>
      </w:tr>
    </w:tbl>
    <w:p w14:paraId="38882548" w14:textId="77777777" w:rsidR="00D46588" w:rsidRPr="006A3EA0" w:rsidRDefault="00D46588" w:rsidP="00D46588">
      <w:pPr>
        <w:pStyle w:val="TableNotes"/>
      </w:pPr>
      <w:r w:rsidRPr="006A3EA0">
        <w:t>Notes</w:t>
      </w:r>
    </w:p>
    <w:p w14:paraId="5A0B16F1" w14:textId="77777777" w:rsidR="00D46588" w:rsidRPr="005B471D" w:rsidRDefault="00D46588" w:rsidP="00D46588">
      <w:pPr>
        <w:pStyle w:val="TableNotes"/>
      </w:pPr>
      <w:r w:rsidRPr="005B471D">
        <w:t xml:space="preserve">Denominator: Those who used </w:t>
      </w:r>
      <w:r>
        <w:t>internet</w:t>
      </w:r>
      <w:r w:rsidRPr="005B471D">
        <w:t xml:space="preserve"> to manage mental health</w:t>
      </w:r>
      <w:r>
        <w:t>.</w:t>
      </w:r>
      <w:r w:rsidRPr="005B471D">
        <w:t xml:space="preserve"> </w:t>
      </w:r>
    </w:p>
    <w:p w14:paraId="767C08F1" w14:textId="77777777" w:rsidR="00D46588" w:rsidRPr="005B471D" w:rsidRDefault="00D46588" w:rsidP="00D46588">
      <w:pPr>
        <w:pStyle w:val="TableNotes"/>
      </w:pPr>
      <w:r w:rsidRPr="005B471D">
        <w:t>Based on weighted counts, 97 (1.6%) Transitioned ADF and 39 (0.4%) 2015 Regular ADF had a missing value for this question.</w:t>
      </w:r>
      <w:r>
        <w:t xml:space="preserve"> </w:t>
      </w:r>
      <w:r w:rsidRPr="005B471D">
        <w:t>However, distributions are calculated by including those with a missing value to allow for correct weighted totals</w:t>
      </w:r>
      <w:r>
        <w:t>.</w:t>
      </w:r>
    </w:p>
    <w:p w14:paraId="0F700D40" w14:textId="77777777" w:rsidR="00D46588" w:rsidRPr="005B471D" w:rsidRDefault="00D46588" w:rsidP="00D46588">
      <w:pPr>
        <w:pStyle w:val="TableNotes"/>
      </w:pPr>
      <w:r>
        <w:t>95%CI = 95% confidence interval.</w:t>
      </w:r>
      <w:r w:rsidRPr="005B471D">
        <w:t xml:space="preserve"> </w:t>
      </w:r>
    </w:p>
    <w:p w14:paraId="58B901ED" w14:textId="77777777" w:rsidR="00D46588" w:rsidRDefault="00D46588" w:rsidP="00D46588">
      <w:pPr>
        <w:pStyle w:val="TableNotes"/>
      </w:pPr>
      <w:r w:rsidRPr="005B471D">
        <w:t>For a full description of odds ratios, interpretation and strength of association</w:t>
      </w:r>
      <w:r>
        <w:t>,</w:t>
      </w:r>
      <w:r w:rsidRPr="005B471D">
        <w:t xml:space="preserve"> please refer to Table B.1</w:t>
      </w:r>
      <w:r w:rsidRPr="00BB1B84">
        <w:t xml:space="preserve"> in </w:t>
      </w:r>
      <w:r w:rsidR="00374073">
        <w:t>Annex </w:t>
      </w:r>
      <w:r>
        <w:t>B, Odds ratio table.</w:t>
      </w:r>
    </w:p>
    <w:p w14:paraId="4C8BCB58" w14:textId="2ADB47B7" w:rsidR="00D46588" w:rsidRDefault="00D46588" w:rsidP="00D46588">
      <w:pPr>
        <w:pStyle w:val="FigureName"/>
      </w:pPr>
      <w:bookmarkStart w:id="785" w:name="_Ref509915108"/>
      <w:bookmarkStart w:id="786" w:name="_Toc509922957"/>
      <w:bookmarkStart w:id="787" w:name="_Toc515374731"/>
      <w:bookmarkStart w:id="788" w:name="_Toc528932415"/>
      <w:bookmarkStart w:id="789" w:name="_Toc531858095"/>
      <w:r w:rsidRPr="005B471D">
        <w:t xml:space="preserve">Figure </w:t>
      </w:r>
      <w:r>
        <w:rPr>
          <w:noProof/>
        </w:rPr>
        <w:t>7</w:t>
      </w:r>
      <w:r w:rsidRPr="005B471D">
        <w:t>.</w:t>
      </w:r>
      <w:r>
        <w:rPr>
          <w:noProof/>
        </w:rPr>
        <w:t>1</w:t>
      </w:r>
      <w:bookmarkEnd w:id="785"/>
      <w:r w:rsidRPr="005B471D">
        <w:tab/>
        <w:t xml:space="preserve">Estimated frequency of </w:t>
      </w:r>
      <w:r>
        <w:t>internet</w:t>
      </w:r>
      <w:r w:rsidRPr="005B471D">
        <w:t xml:space="preserve"> use to seek help or access information about one’s own mental health </w:t>
      </w:r>
      <w:r>
        <w:t>among Transitioned ADF and 2015 Regular ADF</w:t>
      </w:r>
      <w:bookmarkEnd w:id="786"/>
      <w:bookmarkEnd w:id="787"/>
      <w:r w:rsidRPr="005B471D">
        <w:t xml:space="preserve"> who reported using the </w:t>
      </w:r>
      <w:r>
        <w:t>internet</w:t>
      </w:r>
      <w:r w:rsidRPr="005B471D">
        <w:t xml:space="preserve"> to seek help or information for or manage mental health issues</w:t>
      </w:r>
      <w:bookmarkEnd w:id="788"/>
      <w:bookmarkEnd w:id="789"/>
    </w:p>
    <w:p w14:paraId="2A04DE8A" w14:textId="77777777" w:rsidR="00D46588" w:rsidRDefault="005A48E4" w:rsidP="005A48E4">
      <w:pPr>
        <w:spacing w:after="360"/>
      </w:pPr>
      <w:bookmarkStart w:id="790" w:name="_Toc509917454"/>
      <w:r w:rsidRPr="001A4FD0">
        <w:rPr>
          <w:noProof/>
          <w:lang w:eastAsia="en-AU"/>
        </w:rPr>
        <w:drawing>
          <wp:inline distT="0" distB="0" distL="0" distR="0" wp14:anchorId="6AD69A0B" wp14:editId="2061EB30">
            <wp:extent cx="4572000" cy="2287001"/>
            <wp:effectExtent l="0" t="0" r="0" b="0"/>
            <wp:docPr id="483" name="Picture 483" descr="Figure 7.1 Estimated frequency of internet use to seek help or access information about one’s own mental health among Transitioned ADF and 2015 Regular ADF who reported using the internet to seek help or information for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ealthSciences\SPHCP\CTSS\DATA REPOSITORY\TWRP\REPORT 5\FIGURE_4_11.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572000" cy="2287001"/>
                    </a:xfrm>
                    <a:prstGeom prst="rect">
                      <a:avLst/>
                    </a:prstGeom>
                    <a:noFill/>
                    <a:ln>
                      <a:noFill/>
                    </a:ln>
                  </pic:spPr>
                </pic:pic>
              </a:graphicData>
            </a:graphic>
          </wp:inline>
        </w:drawing>
      </w:r>
    </w:p>
    <w:p w14:paraId="17DA195F" w14:textId="77777777" w:rsidR="00D46588" w:rsidRPr="005B471D" w:rsidRDefault="00D46588" w:rsidP="00D46588">
      <w:pPr>
        <w:pStyle w:val="Heading3"/>
        <w:numPr>
          <w:ilvl w:val="2"/>
          <w:numId w:val="1"/>
        </w:numPr>
      </w:pPr>
      <w:bookmarkStart w:id="791" w:name="_Toc515374514"/>
      <w:bookmarkStart w:id="792" w:name="_Toc518566414"/>
      <w:bookmarkStart w:id="793" w:name="_Toc528932698"/>
      <w:bookmarkStart w:id="794" w:name="_Toc531859235"/>
      <w:r w:rsidRPr="005B471D">
        <w:t>Probable 30-day disorder and demographic characteristics</w:t>
      </w:r>
      <w:bookmarkEnd w:id="790"/>
      <w:bookmarkEnd w:id="791"/>
      <w:bookmarkEnd w:id="792"/>
      <w:bookmarkEnd w:id="793"/>
      <w:bookmarkEnd w:id="794"/>
    </w:p>
    <w:p w14:paraId="250BFEB2" w14:textId="77777777" w:rsidR="00D46588" w:rsidRPr="00975B8F" w:rsidRDefault="00D46588" w:rsidP="008F66DD">
      <w:pPr>
        <w:keepNext/>
      </w:pPr>
      <w:r w:rsidRPr="005B471D">
        <w:t xml:space="preserve">Table </w:t>
      </w:r>
      <w:r>
        <w:rPr>
          <w:noProof/>
        </w:rPr>
        <w:t>7.2</w:t>
      </w:r>
      <w:r>
        <w:t xml:space="preserve"> </w:t>
      </w:r>
      <w:r w:rsidRPr="00975B8F">
        <w:t xml:space="preserve">presents the frequency of </w:t>
      </w:r>
      <w:r>
        <w:t>internet</w:t>
      </w:r>
      <w:r w:rsidRPr="00975B8F">
        <w:t xml:space="preserve"> use for seeking information about </w:t>
      </w:r>
      <w:r>
        <w:t xml:space="preserve">their own </w:t>
      </w:r>
      <w:r w:rsidRPr="00975B8F">
        <w:t xml:space="preserve">mental health </w:t>
      </w:r>
      <w:r>
        <w:t>among Transitioned ADF and 2015 Regular ADF</w:t>
      </w:r>
      <w:r w:rsidRPr="00975B8F">
        <w:t xml:space="preserve">, according to </w:t>
      </w:r>
      <w:r>
        <w:t>probable disorder</w:t>
      </w:r>
      <w:r w:rsidRPr="00975B8F">
        <w:t xml:space="preserve"> status and demographic characteristics. </w:t>
      </w:r>
    </w:p>
    <w:p w14:paraId="5836BA72" w14:textId="77777777" w:rsidR="00D46588" w:rsidRPr="00975B8F" w:rsidRDefault="00D46588" w:rsidP="00D46588">
      <w:r w:rsidRPr="00975B8F">
        <w:t>Among the Transitioned ADF</w:t>
      </w:r>
      <w:r w:rsidRPr="008C742F">
        <w:t xml:space="preserve"> </w:t>
      </w:r>
      <w:r>
        <w:t xml:space="preserve">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issues</w:t>
      </w:r>
      <w:r w:rsidRPr="00975B8F">
        <w:t xml:space="preserve">, 42.5% of those with a probable disorder reported using the </w:t>
      </w:r>
      <w:r>
        <w:t>internet</w:t>
      </w:r>
      <w:r w:rsidRPr="00975B8F">
        <w:t xml:space="preserve"> to seek information about </w:t>
      </w:r>
      <w:r>
        <w:t xml:space="preserve">their </w:t>
      </w:r>
      <w:r w:rsidRPr="003038B1">
        <w:rPr>
          <w:i/>
        </w:rPr>
        <w:t>own</w:t>
      </w:r>
      <w:r>
        <w:t xml:space="preserve"> </w:t>
      </w:r>
      <w:r w:rsidRPr="00975B8F">
        <w:t>mental health at least once a month, 52.3% reported using it less than once a month and 3.7% reported never using it for this purpose</w:t>
      </w:r>
      <w:r>
        <w:t xml:space="preserve">. Among the 2015 Regular ADF 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issues,</w:t>
      </w:r>
      <w:r w:rsidDel="008C742F">
        <w:t xml:space="preserve"> </w:t>
      </w:r>
      <w:r w:rsidRPr="00975B8F">
        <w:t xml:space="preserve">28.6% of those with a probable disorder reported using the </w:t>
      </w:r>
      <w:r>
        <w:t>internet</w:t>
      </w:r>
      <w:r w:rsidRPr="00975B8F">
        <w:t xml:space="preserve"> to seek </w:t>
      </w:r>
      <w:r>
        <w:t>information about their own mental health at</w:t>
      </w:r>
      <w:r w:rsidRPr="00975B8F">
        <w:t xml:space="preserve"> least once a month, 68.8% reported using </w:t>
      </w:r>
      <w:r>
        <w:t xml:space="preserve">it </w:t>
      </w:r>
      <w:r w:rsidRPr="00975B8F">
        <w:t xml:space="preserve">less than once a month and 2.1% reported never using the </w:t>
      </w:r>
      <w:r>
        <w:t>internet</w:t>
      </w:r>
      <w:r w:rsidRPr="00975B8F">
        <w:t xml:space="preserve"> for this purpose.</w:t>
      </w:r>
    </w:p>
    <w:p w14:paraId="469B81B4" w14:textId="77777777" w:rsidR="00D46588" w:rsidRDefault="00D46588" w:rsidP="00D46588">
      <w:r w:rsidRPr="00975B8F">
        <w:t>Among Transitioned ADF</w:t>
      </w:r>
      <w:r>
        <w:t xml:space="preserve"> 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issues</w:t>
      </w:r>
      <w:r w:rsidRPr="00975B8F">
        <w:t xml:space="preserve">, </w:t>
      </w:r>
      <w:r>
        <w:t>t</w:t>
      </w:r>
      <w:r w:rsidRPr="00975B8F">
        <w:t xml:space="preserve">hose who had a probable disorder were more likely to report using the </w:t>
      </w:r>
      <w:r>
        <w:t>internet</w:t>
      </w:r>
      <w:r w:rsidRPr="00975B8F">
        <w:t xml:space="preserve"> for seeking mental health information </w:t>
      </w:r>
      <w:r>
        <w:t>at least once a month than</w:t>
      </w:r>
      <w:r w:rsidRPr="00975B8F">
        <w:t xml:space="preserve"> those with no probable disorder</w:t>
      </w:r>
      <w:r>
        <w:t xml:space="preserve"> (42.5% vs 18.4%), whereas those with no probable disorder were more likely to use the internet for their own mental health less than once per month (71.1% vs 52.3%). </w:t>
      </w:r>
    </w:p>
    <w:p w14:paraId="56CBAB82" w14:textId="77777777" w:rsidR="00D46588" w:rsidRPr="00975B8F" w:rsidRDefault="00D46588" w:rsidP="00D46588">
      <w:r w:rsidRPr="00975B8F">
        <w:t xml:space="preserve">Among </w:t>
      </w:r>
      <w:r>
        <w:t xml:space="preserve">2015 Regular </w:t>
      </w:r>
      <w:r w:rsidRPr="00975B8F">
        <w:t>ADF</w:t>
      </w:r>
      <w:r>
        <w:t xml:space="preserve"> 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issues</w:t>
      </w:r>
      <w:r w:rsidRPr="00975B8F">
        <w:t>,</w:t>
      </w:r>
      <w:r>
        <w:t xml:space="preserve"> a higher proportion of those without a probable disorder reported never using the internet for their own mental health compared to those with a probable disorder (14.8% and 2.1% respectively).</w:t>
      </w:r>
    </w:p>
    <w:p w14:paraId="5E7F8140" w14:textId="77777777" w:rsidR="00D46588" w:rsidRPr="00DC420E" w:rsidRDefault="00D46588" w:rsidP="00D46588">
      <w:r>
        <w:t xml:space="preserve">Among the Transitioned ADF and the 2015 Regular ADF, the frequency with which respondents reported using the internet to seek mental health information was reasonably evenly distributed across sex and age bands. </w:t>
      </w:r>
    </w:p>
    <w:p w14:paraId="5C8E6B16" w14:textId="4664CCAF" w:rsidR="00D46588" w:rsidRDefault="00D46588" w:rsidP="00D46588">
      <w:r w:rsidRPr="00DC420E">
        <w:t xml:space="preserve">When the frequency of using the </w:t>
      </w:r>
      <w:r>
        <w:t>internet</w:t>
      </w:r>
      <w:r w:rsidRPr="00DC420E">
        <w:t xml:space="preserve"> for mental health issues was examined by age and sex group</w:t>
      </w:r>
      <w:r>
        <w:t>,</w:t>
      </w:r>
      <w:r w:rsidRPr="00DC420E">
        <w:t xml:space="preserve"> </w:t>
      </w:r>
      <w:r>
        <w:t>a</w:t>
      </w:r>
      <w:r w:rsidRPr="00DC420E">
        <w:t xml:space="preserve">mong the Transitioned ADF </w:t>
      </w:r>
      <w:r>
        <w:t xml:space="preserve">a higher proportion of males aged </w:t>
      </w:r>
      <w:r w:rsidR="00D8510E">
        <w:br/>
      </w:r>
      <w:r>
        <w:t>18–37 reported never using the internet for their own mental health compared to</w:t>
      </w:r>
      <w:r w:rsidRPr="00DC420E">
        <w:t xml:space="preserve"> </w:t>
      </w:r>
      <w:r>
        <w:t xml:space="preserve">males aged 38 and older (10.0% and 2.4% respectively). </w:t>
      </w:r>
    </w:p>
    <w:p w14:paraId="5EAF07FA" w14:textId="77777777" w:rsidR="005D725B" w:rsidRDefault="005D725B" w:rsidP="00B76B5B"/>
    <w:p w14:paraId="7BD1EB9E" w14:textId="77777777" w:rsidR="005D725B" w:rsidRDefault="005D725B" w:rsidP="00B76B5B">
      <w:pPr>
        <w:sectPr w:rsidR="005D725B" w:rsidSect="00463E44">
          <w:footerReference w:type="even" r:id="rId81"/>
          <w:footerReference w:type="default" r:id="rId82"/>
          <w:pgSz w:w="9979" w:h="14170" w:code="243"/>
          <w:pgMar w:top="1440" w:right="1152" w:bottom="1440" w:left="1728" w:header="576" w:footer="576" w:gutter="0"/>
          <w:cols w:space="708"/>
          <w:docGrid w:linePitch="360"/>
        </w:sectPr>
      </w:pPr>
    </w:p>
    <w:p w14:paraId="3F48F885" w14:textId="77777777" w:rsidR="00EB017E" w:rsidRDefault="00EB017E" w:rsidP="00EB017E">
      <w:pPr>
        <w:pStyle w:val="TableName"/>
      </w:pPr>
      <w:bookmarkStart w:id="795" w:name="formatTables"/>
      <w:bookmarkStart w:id="796" w:name="_Toc531858021"/>
      <w:bookmarkStart w:id="797" w:name="_Ref509916319"/>
      <w:bookmarkStart w:id="798" w:name="_Toc509922892"/>
      <w:bookmarkStart w:id="799" w:name="_Toc515374667"/>
      <w:bookmarkStart w:id="800" w:name="_Toc528932342"/>
      <w:bookmarkEnd w:id="795"/>
      <w:r w:rsidRPr="005B471D">
        <w:t xml:space="preserve">Table </w:t>
      </w:r>
      <w:r>
        <w:rPr>
          <w:noProof/>
        </w:rPr>
        <w:t>7</w:t>
      </w:r>
      <w:r>
        <w:t>.</w:t>
      </w:r>
      <w:r>
        <w:rPr>
          <w:noProof/>
        </w:rPr>
        <w:t>2</w:t>
      </w:r>
      <w:r w:rsidRPr="005B471D">
        <w:tab/>
        <w:t xml:space="preserve">Estimated frequency of </w:t>
      </w:r>
      <w:r>
        <w:t>internet</w:t>
      </w:r>
      <w:r w:rsidRPr="005B471D">
        <w:t xml:space="preserve"> use to seek help or access informatio</w:t>
      </w:r>
      <w:r>
        <w:t>n about one’s own mental health</w:t>
      </w:r>
      <w:r w:rsidRPr="005B471D">
        <w:t xml:space="preserve"> </w:t>
      </w:r>
      <w:r>
        <w:t>among Transitioned ADF and 2015 Regular ADF</w:t>
      </w:r>
      <w:r w:rsidRPr="005B471D">
        <w:t xml:space="preserv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rsidRPr="0010531B">
        <w:t xml:space="preserve">, </w:t>
      </w:r>
      <w:r w:rsidRPr="005B471D">
        <w:t>by probable disorder and demographic characteristics</w:t>
      </w:r>
      <w:bookmarkEnd w:id="796"/>
    </w:p>
    <w:bookmarkEnd w:id="797"/>
    <w:bookmarkEnd w:id="798"/>
    <w:bookmarkEnd w:id="799"/>
    <w:bookmarkEnd w:id="800"/>
    <w:tbl>
      <w:tblPr>
        <w:tblStyle w:val="TWRPTable"/>
        <w:tblW w:w="5000" w:type="pct"/>
        <w:tblLayout w:type="fixed"/>
        <w:tblCellMar>
          <w:left w:w="115" w:type="dxa"/>
          <w:right w:w="115" w:type="dxa"/>
        </w:tblCellMar>
        <w:tblLook w:val="04A0" w:firstRow="1" w:lastRow="0" w:firstColumn="1" w:lastColumn="0" w:noHBand="0" w:noVBand="1"/>
        <w:tblDescription w:val="Table 7.2 Estimated frequency of internet use to seek help or access information about one’s own mental health among Transitioned ADF and 2015 Regular ADF who reported using the internet to seek help or information for or manage mental health issues, by probable disorder and demographic characteristics"/>
      </w:tblPr>
      <w:tblGrid>
        <w:gridCol w:w="731"/>
        <w:gridCol w:w="367"/>
        <w:gridCol w:w="604"/>
        <w:gridCol w:w="736"/>
        <w:gridCol w:w="401"/>
        <w:gridCol w:w="625"/>
        <w:gridCol w:w="715"/>
        <w:gridCol w:w="338"/>
        <w:gridCol w:w="621"/>
        <w:gridCol w:w="719"/>
        <w:gridCol w:w="401"/>
        <w:gridCol w:w="643"/>
        <w:gridCol w:w="697"/>
        <w:gridCol w:w="401"/>
        <w:gridCol w:w="664"/>
        <w:gridCol w:w="807"/>
        <w:gridCol w:w="401"/>
        <w:gridCol w:w="642"/>
        <w:gridCol w:w="767"/>
      </w:tblGrid>
      <w:tr w:rsidR="00EB017E" w:rsidRPr="005A48E4" w14:paraId="123A278E" w14:textId="77777777" w:rsidTr="00680D52">
        <w:trPr>
          <w:cnfStyle w:val="100000000000" w:firstRow="1" w:lastRow="0" w:firstColumn="0" w:lastColumn="0" w:oddVBand="0" w:evenVBand="0" w:oddHBand="0" w:evenHBand="0" w:firstRowFirstColumn="0" w:firstRowLastColumn="0" w:lastRowFirstColumn="0" w:lastRowLastColumn="0"/>
          <w:cantSplit/>
          <w:tblHeader/>
        </w:trPr>
        <w:tc>
          <w:tcPr>
            <w:tcW w:w="745" w:type="dxa"/>
            <w:tcBorders>
              <w:bottom w:val="nil"/>
            </w:tcBorders>
          </w:tcPr>
          <w:p w14:paraId="6D72E459" w14:textId="77777777" w:rsidR="00EB017E" w:rsidRPr="005A48E4" w:rsidRDefault="00EB017E" w:rsidP="000A2491">
            <w:pPr>
              <w:pStyle w:val="TableText"/>
            </w:pPr>
          </w:p>
        </w:tc>
        <w:tc>
          <w:tcPr>
            <w:tcW w:w="5235" w:type="dxa"/>
            <w:gridSpan w:val="9"/>
          </w:tcPr>
          <w:p w14:paraId="6BAF28F5" w14:textId="77777777" w:rsidR="00EB017E" w:rsidRPr="005A48E4" w:rsidRDefault="00EB017E" w:rsidP="005A48E4">
            <w:pPr>
              <w:pStyle w:val="TableText"/>
              <w:jc w:val="center"/>
            </w:pPr>
            <w:r w:rsidRPr="005A48E4">
              <w:rPr>
                <w:bCs/>
              </w:rPr>
              <w:t>Transitioned ADF</w:t>
            </w:r>
            <w:r w:rsidR="005A48E4" w:rsidRPr="005A48E4">
              <w:rPr>
                <w:bCs/>
              </w:rPr>
              <w:br/>
            </w:r>
            <w:r w:rsidRPr="005A48E4">
              <w:rPr>
                <w:bCs/>
              </w:rPr>
              <w:t>n=6116</w:t>
            </w:r>
          </w:p>
        </w:tc>
        <w:tc>
          <w:tcPr>
            <w:tcW w:w="5540" w:type="dxa"/>
            <w:gridSpan w:val="9"/>
          </w:tcPr>
          <w:p w14:paraId="39C33E4F" w14:textId="77777777" w:rsidR="00EB017E" w:rsidRPr="005A48E4" w:rsidRDefault="00EB017E" w:rsidP="005A48E4">
            <w:pPr>
              <w:pStyle w:val="TableText"/>
              <w:jc w:val="center"/>
              <w:rPr>
                <w:bCs/>
              </w:rPr>
            </w:pPr>
            <w:r w:rsidRPr="005A48E4">
              <w:rPr>
                <w:bCs/>
              </w:rPr>
              <w:t>2015 Regular ADF</w:t>
            </w:r>
            <w:r w:rsidR="005A48E4" w:rsidRPr="005A48E4">
              <w:rPr>
                <w:bCs/>
              </w:rPr>
              <w:br/>
            </w:r>
            <w:r w:rsidRPr="005A48E4">
              <w:rPr>
                <w:bCs/>
              </w:rPr>
              <w:t>n=9042</w:t>
            </w:r>
          </w:p>
        </w:tc>
      </w:tr>
      <w:tr w:rsidR="00EB017E" w:rsidRPr="005A48E4" w14:paraId="2611F9A6" w14:textId="77777777" w:rsidTr="00680D52">
        <w:trPr>
          <w:cnfStyle w:val="100000000000" w:firstRow="1" w:lastRow="0" w:firstColumn="0" w:lastColumn="0" w:oddVBand="0" w:evenVBand="0" w:oddHBand="0" w:evenHBand="0" w:firstRowFirstColumn="0" w:firstRowLastColumn="0" w:lastRowFirstColumn="0" w:lastRowLastColumn="0"/>
          <w:cantSplit/>
          <w:tblHeader/>
        </w:trPr>
        <w:tc>
          <w:tcPr>
            <w:tcW w:w="745" w:type="dxa"/>
            <w:tcBorders>
              <w:top w:val="nil"/>
              <w:bottom w:val="nil"/>
            </w:tcBorders>
          </w:tcPr>
          <w:p w14:paraId="5C0C37AB" w14:textId="77777777" w:rsidR="00EB017E" w:rsidRPr="005A48E4" w:rsidRDefault="00EB017E" w:rsidP="000A2491">
            <w:pPr>
              <w:pStyle w:val="TableText"/>
            </w:pPr>
          </w:p>
        </w:tc>
        <w:tc>
          <w:tcPr>
            <w:tcW w:w="1743" w:type="dxa"/>
            <w:gridSpan w:val="3"/>
          </w:tcPr>
          <w:p w14:paraId="5BC08717" w14:textId="77777777" w:rsidR="00EB017E" w:rsidRPr="005A48E4" w:rsidRDefault="00EB017E" w:rsidP="005A48E4">
            <w:pPr>
              <w:pStyle w:val="TableText"/>
              <w:jc w:val="center"/>
            </w:pPr>
            <w:r w:rsidRPr="005A48E4">
              <w:t>At least once per month</w:t>
            </w:r>
            <w:r w:rsidR="005A48E4" w:rsidRPr="005A48E4">
              <w:br/>
            </w:r>
            <w:r w:rsidRPr="005A48E4">
              <w:t>n=1778</w:t>
            </w:r>
          </w:p>
        </w:tc>
        <w:tc>
          <w:tcPr>
            <w:tcW w:w="1778" w:type="dxa"/>
            <w:gridSpan w:val="3"/>
          </w:tcPr>
          <w:p w14:paraId="040B73BF" w14:textId="77777777" w:rsidR="00EB017E" w:rsidRPr="005A48E4" w:rsidRDefault="00EB017E" w:rsidP="005A48E4">
            <w:pPr>
              <w:pStyle w:val="TableText"/>
              <w:jc w:val="center"/>
            </w:pPr>
            <w:r w:rsidRPr="005A48E4">
              <w:t>Less than once per month</w:t>
            </w:r>
            <w:r w:rsidR="005A48E4" w:rsidRPr="005A48E4">
              <w:br/>
            </w:r>
            <w:r w:rsidRPr="005A48E4">
              <w:t>n=3841</w:t>
            </w:r>
          </w:p>
        </w:tc>
        <w:tc>
          <w:tcPr>
            <w:tcW w:w="1714" w:type="dxa"/>
            <w:gridSpan w:val="3"/>
          </w:tcPr>
          <w:p w14:paraId="46641990" w14:textId="77777777" w:rsidR="00EB017E" w:rsidRPr="005A48E4" w:rsidRDefault="00EB017E" w:rsidP="005A48E4">
            <w:pPr>
              <w:pStyle w:val="TableText"/>
              <w:jc w:val="center"/>
            </w:pPr>
            <w:r w:rsidRPr="005A48E4">
              <w:t>Never</w:t>
            </w:r>
            <w:r w:rsidR="005A48E4" w:rsidRPr="005A48E4">
              <w:br/>
            </w:r>
            <w:r w:rsidRPr="005A48E4">
              <w:t>n=399</w:t>
            </w:r>
          </w:p>
        </w:tc>
        <w:tc>
          <w:tcPr>
            <w:tcW w:w="1778" w:type="dxa"/>
            <w:gridSpan w:val="3"/>
          </w:tcPr>
          <w:p w14:paraId="0935857A" w14:textId="77777777" w:rsidR="00EB017E" w:rsidRPr="005A48E4" w:rsidRDefault="00EB017E" w:rsidP="005A48E4">
            <w:pPr>
              <w:pStyle w:val="TableText"/>
              <w:jc w:val="center"/>
            </w:pPr>
            <w:r w:rsidRPr="005A48E4">
              <w:t>At least once per month</w:t>
            </w:r>
            <w:r w:rsidR="005A48E4" w:rsidRPr="005A48E4">
              <w:br/>
            </w:r>
            <w:r w:rsidRPr="005A48E4">
              <w:t>n=1788</w:t>
            </w:r>
          </w:p>
        </w:tc>
        <w:tc>
          <w:tcPr>
            <w:tcW w:w="1913" w:type="dxa"/>
            <w:gridSpan w:val="3"/>
          </w:tcPr>
          <w:p w14:paraId="654E5CD4" w14:textId="77777777" w:rsidR="00EB017E" w:rsidRPr="005A48E4" w:rsidRDefault="00EB017E" w:rsidP="005A48E4">
            <w:pPr>
              <w:pStyle w:val="TableText"/>
              <w:jc w:val="center"/>
            </w:pPr>
            <w:r w:rsidRPr="005A48E4">
              <w:t>Less than once per month</w:t>
            </w:r>
            <w:r w:rsidR="005A48E4" w:rsidRPr="005A48E4">
              <w:br/>
            </w:r>
            <w:r w:rsidRPr="005A48E4">
              <w:t>n=6095</w:t>
            </w:r>
          </w:p>
        </w:tc>
        <w:tc>
          <w:tcPr>
            <w:tcW w:w="1849" w:type="dxa"/>
            <w:gridSpan w:val="3"/>
          </w:tcPr>
          <w:p w14:paraId="0A4C241C" w14:textId="77777777" w:rsidR="00EB017E" w:rsidRPr="005A48E4" w:rsidRDefault="00EB017E" w:rsidP="005A48E4">
            <w:pPr>
              <w:pStyle w:val="TableText"/>
              <w:jc w:val="center"/>
            </w:pPr>
            <w:r w:rsidRPr="005A48E4">
              <w:t>Never</w:t>
            </w:r>
            <w:r w:rsidR="005A48E4" w:rsidRPr="005A48E4">
              <w:br/>
            </w:r>
            <w:r w:rsidRPr="005A48E4">
              <w:t>n=1120</w:t>
            </w:r>
          </w:p>
        </w:tc>
      </w:tr>
      <w:tr w:rsidR="00680D52" w:rsidRPr="005A48E4" w14:paraId="091FB109" w14:textId="77777777" w:rsidTr="00680D52">
        <w:trPr>
          <w:cnfStyle w:val="100000000000" w:firstRow="1" w:lastRow="0" w:firstColumn="0" w:lastColumn="0" w:oddVBand="0" w:evenVBand="0" w:oddHBand="0" w:evenHBand="0" w:firstRowFirstColumn="0" w:firstRowLastColumn="0" w:lastRowFirstColumn="0" w:lastRowLastColumn="0"/>
          <w:cantSplit/>
          <w:tblHeader/>
        </w:trPr>
        <w:tc>
          <w:tcPr>
            <w:tcW w:w="745" w:type="dxa"/>
            <w:tcBorders>
              <w:top w:val="nil"/>
            </w:tcBorders>
          </w:tcPr>
          <w:p w14:paraId="1AA326FB" w14:textId="77777777" w:rsidR="00EB017E" w:rsidRPr="005A48E4" w:rsidRDefault="00EB017E" w:rsidP="000A2491">
            <w:pPr>
              <w:pStyle w:val="TableText"/>
            </w:pPr>
            <w:r w:rsidRPr="005A48E4">
              <w:t>Type</w:t>
            </w:r>
          </w:p>
        </w:tc>
        <w:tc>
          <w:tcPr>
            <w:tcW w:w="373" w:type="dxa"/>
            <w:tcMar>
              <w:left w:w="58" w:type="dxa"/>
              <w:right w:w="58" w:type="dxa"/>
            </w:tcMar>
          </w:tcPr>
          <w:p w14:paraId="001B1E37" w14:textId="77777777" w:rsidR="00EB017E" w:rsidRPr="005A48E4" w:rsidRDefault="00EB017E" w:rsidP="00680D52">
            <w:pPr>
              <w:pStyle w:val="TableText"/>
              <w:jc w:val="right"/>
              <w:rPr>
                <w:sz w:val="13"/>
                <w:szCs w:val="13"/>
              </w:rPr>
            </w:pPr>
            <w:r w:rsidRPr="005A48E4">
              <w:rPr>
                <w:sz w:val="13"/>
                <w:szCs w:val="13"/>
              </w:rPr>
              <w:t>n</w:t>
            </w:r>
          </w:p>
        </w:tc>
        <w:tc>
          <w:tcPr>
            <w:tcW w:w="617" w:type="dxa"/>
            <w:tcMar>
              <w:left w:w="58" w:type="dxa"/>
              <w:right w:w="58" w:type="dxa"/>
            </w:tcMar>
          </w:tcPr>
          <w:p w14:paraId="2B62CBD8" w14:textId="77777777" w:rsidR="00EB017E" w:rsidRPr="005A48E4" w:rsidRDefault="00EB017E" w:rsidP="00680D52">
            <w:pPr>
              <w:pStyle w:val="TableText"/>
              <w:jc w:val="right"/>
              <w:rPr>
                <w:sz w:val="13"/>
                <w:szCs w:val="13"/>
              </w:rPr>
            </w:pPr>
            <w:r w:rsidRPr="005A48E4">
              <w:rPr>
                <w:sz w:val="13"/>
                <w:szCs w:val="13"/>
              </w:rPr>
              <w:t>Weighted n</w:t>
            </w:r>
          </w:p>
        </w:tc>
        <w:tc>
          <w:tcPr>
            <w:tcW w:w="753" w:type="dxa"/>
            <w:tcMar>
              <w:left w:w="58" w:type="dxa"/>
              <w:right w:w="58" w:type="dxa"/>
            </w:tcMar>
          </w:tcPr>
          <w:p w14:paraId="0832E93A" w14:textId="77777777" w:rsidR="00EB017E" w:rsidRPr="005A48E4" w:rsidRDefault="00EB017E" w:rsidP="00680D52">
            <w:pPr>
              <w:pStyle w:val="TableText"/>
              <w:jc w:val="right"/>
              <w:rPr>
                <w:sz w:val="13"/>
                <w:szCs w:val="13"/>
              </w:rPr>
            </w:pPr>
            <w:r w:rsidRPr="005A48E4">
              <w:rPr>
                <w:sz w:val="13"/>
                <w:szCs w:val="13"/>
              </w:rPr>
              <w:t>% (95%CI)</w:t>
            </w:r>
          </w:p>
        </w:tc>
        <w:tc>
          <w:tcPr>
            <w:tcW w:w="408" w:type="dxa"/>
            <w:tcMar>
              <w:left w:w="58" w:type="dxa"/>
              <w:right w:w="58" w:type="dxa"/>
            </w:tcMar>
          </w:tcPr>
          <w:p w14:paraId="242A0A13" w14:textId="77777777" w:rsidR="00EB017E" w:rsidRPr="005A48E4" w:rsidRDefault="00EB017E" w:rsidP="00680D52">
            <w:pPr>
              <w:pStyle w:val="TableText"/>
              <w:jc w:val="right"/>
              <w:rPr>
                <w:sz w:val="13"/>
                <w:szCs w:val="13"/>
              </w:rPr>
            </w:pPr>
            <w:r w:rsidRPr="005A48E4">
              <w:rPr>
                <w:sz w:val="13"/>
                <w:szCs w:val="13"/>
              </w:rPr>
              <w:t>n</w:t>
            </w:r>
          </w:p>
        </w:tc>
        <w:tc>
          <w:tcPr>
            <w:tcW w:w="639" w:type="dxa"/>
            <w:tcMar>
              <w:left w:w="58" w:type="dxa"/>
              <w:right w:w="58" w:type="dxa"/>
            </w:tcMar>
          </w:tcPr>
          <w:p w14:paraId="7BD1309F" w14:textId="77777777" w:rsidR="00EB017E" w:rsidRPr="005A48E4" w:rsidRDefault="00EB017E" w:rsidP="00680D52">
            <w:pPr>
              <w:pStyle w:val="TableText"/>
              <w:jc w:val="right"/>
              <w:rPr>
                <w:sz w:val="13"/>
                <w:szCs w:val="13"/>
              </w:rPr>
            </w:pPr>
            <w:r w:rsidRPr="005A48E4">
              <w:rPr>
                <w:sz w:val="13"/>
                <w:szCs w:val="13"/>
              </w:rPr>
              <w:t>Weighted n</w:t>
            </w:r>
          </w:p>
        </w:tc>
        <w:tc>
          <w:tcPr>
            <w:tcW w:w="731" w:type="dxa"/>
            <w:tcMar>
              <w:left w:w="58" w:type="dxa"/>
              <w:right w:w="58" w:type="dxa"/>
            </w:tcMar>
          </w:tcPr>
          <w:p w14:paraId="23434D08" w14:textId="77777777" w:rsidR="00EB017E" w:rsidRPr="005A48E4" w:rsidRDefault="00EB017E" w:rsidP="00680D52">
            <w:pPr>
              <w:pStyle w:val="TableText"/>
              <w:jc w:val="right"/>
              <w:rPr>
                <w:sz w:val="13"/>
                <w:szCs w:val="13"/>
              </w:rPr>
            </w:pPr>
            <w:r w:rsidRPr="005A48E4">
              <w:rPr>
                <w:sz w:val="13"/>
                <w:szCs w:val="13"/>
              </w:rPr>
              <w:t>% (95%CI)</w:t>
            </w:r>
          </w:p>
        </w:tc>
        <w:tc>
          <w:tcPr>
            <w:tcW w:w="344" w:type="dxa"/>
            <w:tcMar>
              <w:left w:w="58" w:type="dxa"/>
              <w:right w:w="58" w:type="dxa"/>
            </w:tcMar>
          </w:tcPr>
          <w:p w14:paraId="67EEFCC0" w14:textId="77777777" w:rsidR="00EB017E" w:rsidRPr="005A48E4" w:rsidRDefault="00EB017E" w:rsidP="00680D52">
            <w:pPr>
              <w:pStyle w:val="TableText"/>
              <w:jc w:val="right"/>
              <w:rPr>
                <w:sz w:val="13"/>
                <w:szCs w:val="13"/>
              </w:rPr>
            </w:pPr>
            <w:r w:rsidRPr="005A48E4">
              <w:rPr>
                <w:sz w:val="13"/>
                <w:szCs w:val="13"/>
              </w:rPr>
              <w:t>n</w:t>
            </w:r>
          </w:p>
        </w:tc>
        <w:tc>
          <w:tcPr>
            <w:tcW w:w="635" w:type="dxa"/>
            <w:tcMar>
              <w:left w:w="58" w:type="dxa"/>
              <w:right w:w="58" w:type="dxa"/>
            </w:tcMar>
          </w:tcPr>
          <w:p w14:paraId="56635194" w14:textId="77777777" w:rsidR="00EB017E" w:rsidRPr="005A48E4" w:rsidRDefault="00EB017E" w:rsidP="00680D52">
            <w:pPr>
              <w:pStyle w:val="TableText"/>
              <w:jc w:val="right"/>
              <w:rPr>
                <w:sz w:val="13"/>
                <w:szCs w:val="13"/>
              </w:rPr>
            </w:pPr>
            <w:r w:rsidRPr="005A48E4">
              <w:rPr>
                <w:sz w:val="13"/>
                <w:szCs w:val="13"/>
              </w:rPr>
              <w:t>Weighted n</w:t>
            </w:r>
          </w:p>
        </w:tc>
        <w:tc>
          <w:tcPr>
            <w:tcW w:w="735" w:type="dxa"/>
            <w:tcMar>
              <w:left w:w="58" w:type="dxa"/>
              <w:right w:w="58" w:type="dxa"/>
            </w:tcMar>
          </w:tcPr>
          <w:p w14:paraId="3B3D6FF6" w14:textId="77777777" w:rsidR="00EB017E" w:rsidRPr="005A48E4" w:rsidRDefault="00EB017E" w:rsidP="00680D52">
            <w:pPr>
              <w:pStyle w:val="TableText"/>
              <w:jc w:val="right"/>
              <w:rPr>
                <w:sz w:val="13"/>
                <w:szCs w:val="13"/>
              </w:rPr>
            </w:pPr>
            <w:r w:rsidRPr="005A48E4">
              <w:rPr>
                <w:sz w:val="13"/>
                <w:szCs w:val="13"/>
              </w:rPr>
              <w:t>% (95%CI)</w:t>
            </w:r>
          </w:p>
        </w:tc>
        <w:tc>
          <w:tcPr>
            <w:tcW w:w="408" w:type="dxa"/>
            <w:tcMar>
              <w:left w:w="58" w:type="dxa"/>
              <w:right w:w="58" w:type="dxa"/>
            </w:tcMar>
          </w:tcPr>
          <w:p w14:paraId="3EFCF800" w14:textId="77777777" w:rsidR="00EB017E" w:rsidRPr="005A48E4" w:rsidRDefault="00EB017E" w:rsidP="00680D52">
            <w:pPr>
              <w:pStyle w:val="TableText"/>
              <w:jc w:val="right"/>
              <w:rPr>
                <w:sz w:val="13"/>
                <w:szCs w:val="13"/>
              </w:rPr>
            </w:pPr>
            <w:r w:rsidRPr="005A48E4">
              <w:rPr>
                <w:sz w:val="13"/>
                <w:szCs w:val="13"/>
              </w:rPr>
              <w:t>n</w:t>
            </w:r>
          </w:p>
        </w:tc>
        <w:tc>
          <w:tcPr>
            <w:tcW w:w="657" w:type="dxa"/>
            <w:tcMar>
              <w:left w:w="58" w:type="dxa"/>
              <w:right w:w="58" w:type="dxa"/>
            </w:tcMar>
          </w:tcPr>
          <w:p w14:paraId="09C2E45B" w14:textId="77777777" w:rsidR="00EB017E" w:rsidRPr="005A48E4" w:rsidRDefault="00EB017E" w:rsidP="00680D52">
            <w:pPr>
              <w:pStyle w:val="TableText"/>
              <w:jc w:val="right"/>
              <w:rPr>
                <w:sz w:val="13"/>
                <w:szCs w:val="13"/>
              </w:rPr>
            </w:pPr>
            <w:r w:rsidRPr="005A48E4">
              <w:rPr>
                <w:sz w:val="13"/>
                <w:szCs w:val="13"/>
              </w:rPr>
              <w:t>Weighted n</w:t>
            </w:r>
          </w:p>
        </w:tc>
        <w:tc>
          <w:tcPr>
            <w:tcW w:w="713" w:type="dxa"/>
            <w:tcMar>
              <w:left w:w="58" w:type="dxa"/>
              <w:right w:w="58" w:type="dxa"/>
            </w:tcMar>
          </w:tcPr>
          <w:p w14:paraId="14BF2E0F" w14:textId="77777777" w:rsidR="00EB017E" w:rsidRPr="005A48E4" w:rsidRDefault="00EB017E" w:rsidP="00680D52">
            <w:pPr>
              <w:pStyle w:val="TableText"/>
              <w:jc w:val="right"/>
              <w:rPr>
                <w:sz w:val="13"/>
                <w:szCs w:val="13"/>
              </w:rPr>
            </w:pPr>
            <w:r w:rsidRPr="005A48E4">
              <w:rPr>
                <w:sz w:val="13"/>
                <w:szCs w:val="13"/>
              </w:rPr>
              <w:t>% (95%CI)</w:t>
            </w:r>
          </w:p>
        </w:tc>
        <w:tc>
          <w:tcPr>
            <w:tcW w:w="408" w:type="dxa"/>
            <w:tcMar>
              <w:left w:w="58" w:type="dxa"/>
              <w:right w:w="58" w:type="dxa"/>
            </w:tcMar>
          </w:tcPr>
          <w:p w14:paraId="0556B55E" w14:textId="77777777" w:rsidR="00EB017E" w:rsidRPr="005A48E4" w:rsidRDefault="00EB017E" w:rsidP="00680D52">
            <w:pPr>
              <w:pStyle w:val="TableText"/>
              <w:jc w:val="right"/>
              <w:rPr>
                <w:sz w:val="13"/>
                <w:szCs w:val="13"/>
              </w:rPr>
            </w:pPr>
            <w:r w:rsidRPr="005A48E4">
              <w:rPr>
                <w:sz w:val="13"/>
                <w:szCs w:val="13"/>
              </w:rPr>
              <w:t>n</w:t>
            </w:r>
          </w:p>
        </w:tc>
        <w:tc>
          <w:tcPr>
            <w:tcW w:w="679" w:type="dxa"/>
            <w:tcMar>
              <w:left w:w="58" w:type="dxa"/>
              <w:right w:w="58" w:type="dxa"/>
            </w:tcMar>
          </w:tcPr>
          <w:p w14:paraId="6A78884D" w14:textId="77777777" w:rsidR="00EB017E" w:rsidRPr="005A48E4" w:rsidRDefault="00EB017E" w:rsidP="00680D52">
            <w:pPr>
              <w:pStyle w:val="TableText"/>
              <w:jc w:val="right"/>
              <w:rPr>
                <w:sz w:val="13"/>
                <w:szCs w:val="13"/>
              </w:rPr>
            </w:pPr>
            <w:r w:rsidRPr="005A48E4">
              <w:rPr>
                <w:sz w:val="13"/>
                <w:szCs w:val="13"/>
              </w:rPr>
              <w:t>Weighted n</w:t>
            </w:r>
          </w:p>
        </w:tc>
        <w:tc>
          <w:tcPr>
            <w:tcW w:w="826" w:type="dxa"/>
            <w:tcMar>
              <w:left w:w="58" w:type="dxa"/>
              <w:right w:w="58" w:type="dxa"/>
            </w:tcMar>
          </w:tcPr>
          <w:p w14:paraId="2D11D1CF" w14:textId="77777777" w:rsidR="00EB017E" w:rsidRPr="005A48E4" w:rsidRDefault="00EB017E" w:rsidP="00680D52">
            <w:pPr>
              <w:pStyle w:val="TableText"/>
              <w:jc w:val="right"/>
              <w:rPr>
                <w:sz w:val="13"/>
                <w:szCs w:val="13"/>
              </w:rPr>
            </w:pPr>
            <w:r w:rsidRPr="005A48E4">
              <w:rPr>
                <w:sz w:val="13"/>
                <w:szCs w:val="13"/>
              </w:rPr>
              <w:t>% (95%CI)</w:t>
            </w:r>
          </w:p>
        </w:tc>
        <w:tc>
          <w:tcPr>
            <w:tcW w:w="408" w:type="dxa"/>
            <w:tcMar>
              <w:left w:w="58" w:type="dxa"/>
              <w:right w:w="58" w:type="dxa"/>
            </w:tcMar>
          </w:tcPr>
          <w:p w14:paraId="1FAAB1E4" w14:textId="77777777" w:rsidR="00EB017E" w:rsidRPr="005A48E4" w:rsidRDefault="00EB017E" w:rsidP="00680D52">
            <w:pPr>
              <w:pStyle w:val="TableText"/>
              <w:jc w:val="right"/>
              <w:rPr>
                <w:sz w:val="13"/>
                <w:szCs w:val="13"/>
              </w:rPr>
            </w:pPr>
            <w:r w:rsidRPr="005A48E4">
              <w:rPr>
                <w:sz w:val="13"/>
                <w:szCs w:val="13"/>
              </w:rPr>
              <w:t>n</w:t>
            </w:r>
          </w:p>
        </w:tc>
        <w:tc>
          <w:tcPr>
            <w:tcW w:w="656" w:type="dxa"/>
            <w:tcMar>
              <w:left w:w="58" w:type="dxa"/>
              <w:right w:w="58" w:type="dxa"/>
            </w:tcMar>
          </w:tcPr>
          <w:p w14:paraId="72773A70" w14:textId="77777777" w:rsidR="00EB017E" w:rsidRPr="005A48E4" w:rsidRDefault="00EB017E" w:rsidP="00680D52">
            <w:pPr>
              <w:pStyle w:val="TableText"/>
              <w:jc w:val="right"/>
              <w:rPr>
                <w:sz w:val="13"/>
                <w:szCs w:val="13"/>
              </w:rPr>
            </w:pPr>
            <w:r w:rsidRPr="005A48E4">
              <w:rPr>
                <w:sz w:val="13"/>
                <w:szCs w:val="13"/>
              </w:rPr>
              <w:t>Weighted n</w:t>
            </w:r>
          </w:p>
        </w:tc>
        <w:tc>
          <w:tcPr>
            <w:tcW w:w="785" w:type="dxa"/>
            <w:tcMar>
              <w:left w:w="58" w:type="dxa"/>
              <w:right w:w="58" w:type="dxa"/>
            </w:tcMar>
          </w:tcPr>
          <w:p w14:paraId="6309C6E2" w14:textId="77777777" w:rsidR="00EB017E" w:rsidRPr="005A48E4" w:rsidRDefault="00EB017E" w:rsidP="00680D52">
            <w:pPr>
              <w:pStyle w:val="TableText"/>
              <w:jc w:val="right"/>
              <w:rPr>
                <w:sz w:val="13"/>
                <w:szCs w:val="13"/>
              </w:rPr>
            </w:pPr>
            <w:r w:rsidRPr="005A48E4">
              <w:rPr>
                <w:sz w:val="13"/>
                <w:szCs w:val="13"/>
              </w:rPr>
              <w:t>% (95%CI)</w:t>
            </w:r>
          </w:p>
        </w:tc>
      </w:tr>
      <w:tr w:rsidR="00BD41F3" w:rsidRPr="003860A9" w14:paraId="5072CEC7"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1FD74D16" w14:textId="77777777" w:rsidR="00EB017E" w:rsidRPr="005B471D" w:rsidRDefault="00EB017E" w:rsidP="000A2491">
            <w:pPr>
              <w:pStyle w:val="TableText"/>
              <w:rPr>
                <w:b/>
              </w:rPr>
            </w:pPr>
            <w:r w:rsidRPr="005B471D">
              <w:rPr>
                <w:b/>
              </w:rPr>
              <w:t>Probable 30-day disorder</w:t>
            </w:r>
          </w:p>
        </w:tc>
        <w:tc>
          <w:tcPr>
            <w:tcW w:w="373" w:type="dxa"/>
            <w:tcMar>
              <w:left w:w="58" w:type="dxa"/>
              <w:right w:w="58" w:type="dxa"/>
            </w:tcMar>
          </w:tcPr>
          <w:p w14:paraId="21B4FBEB" w14:textId="77777777" w:rsidR="00EB017E" w:rsidRPr="005A48E4" w:rsidRDefault="00EB017E" w:rsidP="00680D52">
            <w:pPr>
              <w:pStyle w:val="TableText"/>
              <w:jc w:val="right"/>
              <w:rPr>
                <w:sz w:val="13"/>
                <w:szCs w:val="13"/>
              </w:rPr>
            </w:pPr>
          </w:p>
        </w:tc>
        <w:tc>
          <w:tcPr>
            <w:tcW w:w="617" w:type="dxa"/>
            <w:tcMar>
              <w:left w:w="58" w:type="dxa"/>
              <w:right w:w="58" w:type="dxa"/>
            </w:tcMar>
          </w:tcPr>
          <w:p w14:paraId="37311F51" w14:textId="77777777" w:rsidR="00EB017E" w:rsidRPr="005A48E4" w:rsidRDefault="00EB017E" w:rsidP="00680D52">
            <w:pPr>
              <w:pStyle w:val="TableText"/>
              <w:jc w:val="right"/>
              <w:rPr>
                <w:sz w:val="13"/>
                <w:szCs w:val="13"/>
              </w:rPr>
            </w:pPr>
          </w:p>
        </w:tc>
        <w:tc>
          <w:tcPr>
            <w:tcW w:w="753" w:type="dxa"/>
            <w:tcMar>
              <w:left w:w="58" w:type="dxa"/>
              <w:right w:w="58" w:type="dxa"/>
            </w:tcMar>
          </w:tcPr>
          <w:p w14:paraId="728B420F" w14:textId="77777777" w:rsidR="00EB017E" w:rsidRPr="005A48E4" w:rsidRDefault="00EB017E" w:rsidP="00680D52">
            <w:pPr>
              <w:pStyle w:val="TableText"/>
              <w:jc w:val="right"/>
              <w:rPr>
                <w:sz w:val="13"/>
                <w:szCs w:val="13"/>
              </w:rPr>
            </w:pPr>
          </w:p>
        </w:tc>
        <w:tc>
          <w:tcPr>
            <w:tcW w:w="408" w:type="dxa"/>
            <w:tcMar>
              <w:left w:w="58" w:type="dxa"/>
              <w:right w:w="58" w:type="dxa"/>
            </w:tcMar>
          </w:tcPr>
          <w:p w14:paraId="63723F45" w14:textId="77777777" w:rsidR="00EB017E" w:rsidRPr="005A48E4" w:rsidRDefault="00EB017E" w:rsidP="00680D52">
            <w:pPr>
              <w:pStyle w:val="TableText"/>
              <w:jc w:val="right"/>
              <w:rPr>
                <w:b/>
                <w:sz w:val="13"/>
                <w:szCs w:val="13"/>
              </w:rPr>
            </w:pPr>
          </w:p>
        </w:tc>
        <w:tc>
          <w:tcPr>
            <w:tcW w:w="639" w:type="dxa"/>
            <w:tcMar>
              <w:left w:w="58" w:type="dxa"/>
              <w:right w:w="58" w:type="dxa"/>
            </w:tcMar>
          </w:tcPr>
          <w:p w14:paraId="30F223CB" w14:textId="77777777" w:rsidR="00EB017E" w:rsidRPr="005A48E4" w:rsidRDefault="00EB017E" w:rsidP="00680D52">
            <w:pPr>
              <w:pStyle w:val="TableText"/>
              <w:jc w:val="right"/>
              <w:rPr>
                <w:b/>
                <w:sz w:val="13"/>
                <w:szCs w:val="13"/>
              </w:rPr>
            </w:pPr>
          </w:p>
        </w:tc>
        <w:tc>
          <w:tcPr>
            <w:tcW w:w="731" w:type="dxa"/>
            <w:tcMar>
              <w:left w:w="58" w:type="dxa"/>
              <w:right w:w="58" w:type="dxa"/>
            </w:tcMar>
          </w:tcPr>
          <w:p w14:paraId="5453E189" w14:textId="77777777" w:rsidR="00EB017E" w:rsidRPr="005A48E4" w:rsidRDefault="00EB017E" w:rsidP="00680D52">
            <w:pPr>
              <w:pStyle w:val="TableText"/>
              <w:jc w:val="right"/>
              <w:rPr>
                <w:b/>
                <w:sz w:val="13"/>
                <w:szCs w:val="13"/>
              </w:rPr>
            </w:pPr>
          </w:p>
        </w:tc>
        <w:tc>
          <w:tcPr>
            <w:tcW w:w="344" w:type="dxa"/>
            <w:tcMar>
              <w:left w:w="58" w:type="dxa"/>
              <w:right w:w="58" w:type="dxa"/>
            </w:tcMar>
          </w:tcPr>
          <w:p w14:paraId="310026DA" w14:textId="77777777" w:rsidR="00EB017E" w:rsidRPr="005A48E4" w:rsidRDefault="00EB017E" w:rsidP="00680D52">
            <w:pPr>
              <w:pStyle w:val="TableText"/>
              <w:jc w:val="right"/>
              <w:rPr>
                <w:b/>
                <w:sz w:val="13"/>
                <w:szCs w:val="13"/>
              </w:rPr>
            </w:pPr>
          </w:p>
        </w:tc>
        <w:tc>
          <w:tcPr>
            <w:tcW w:w="635" w:type="dxa"/>
            <w:tcMar>
              <w:left w:w="58" w:type="dxa"/>
              <w:right w:w="58" w:type="dxa"/>
            </w:tcMar>
          </w:tcPr>
          <w:p w14:paraId="6DDF4A1E" w14:textId="77777777" w:rsidR="00EB017E" w:rsidRPr="005A48E4" w:rsidRDefault="00EB017E" w:rsidP="00680D52">
            <w:pPr>
              <w:pStyle w:val="TableText"/>
              <w:jc w:val="right"/>
              <w:rPr>
                <w:b/>
                <w:sz w:val="13"/>
                <w:szCs w:val="13"/>
              </w:rPr>
            </w:pPr>
          </w:p>
        </w:tc>
        <w:tc>
          <w:tcPr>
            <w:tcW w:w="735" w:type="dxa"/>
            <w:tcMar>
              <w:left w:w="58" w:type="dxa"/>
              <w:right w:w="58" w:type="dxa"/>
            </w:tcMar>
          </w:tcPr>
          <w:p w14:paraId="2A2B4155"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58762B06" w14:textId="77777777" w:rsidR="00EB017E" w:rsidRPr="005A48E4" w:rsidRDefault="00EB017E" w:rsidP="00680D52">
            <w:pPr>
              <w:pStyle w:val="TableText"/>
              <w:jc w:val="right"/>
              <w:rPr>
                <w:b/>
                <w:sz w:val="13"/>
                <w:szCs w:val="13"/>
              </w:rPr>
            </w:pPr>
          </w:p>
        </w:tc>
        <w:tc>
          <w:tcPr>
            <w:tcW w:w="657" w:type="dxa"/>
            <w:tcMar>
              <w:left w:w="58" w:type="dxa"/>
              <w:right w:w="58" w:type="dxa"/>
            </w:tcMar>
          </w:tcPr>
          <w:p w14:paraId="485D7A84" w14:textId="77777777" w:rsidR="00EB017E" w:rsidRPr="005A48E4" w:rsidRDefault="00EB017E" w:rsidP="00680D52">
            <w:pPr>
              <w:pStyle w:val="TableText"/>
              <w:jc w:val="right"/>
              <w:rPr>
                <w:b/>
                <w:sz w:val="13"/>
                <w:szCs w:val="13"/>
              </w:rPr>
            </w:pPr>
          </w:p>
        </w:tc>
        <w:tc>
          <w:tcPr>
            <w:tcW w:w="713" w:type="dxa"/>
            <w:tcMar>
              <w:left w:w="58" w:type="dxa"/>
              <w:right w:w="58" w:type="dxa"/>
            </w:tcMar>
          </w:tcPr>
          <w:p w14:paraId="45320507" w14:textId="77777777" w:rsidR="00EB017E" w:rsidRPr="005A48E4" w:rsidRDefault="00EB017E" w:rsidP="00680D52">
            <w:pPr>
              <w:pStyle w:val="TableText"/>
              <w:jc w:val="right"/>
              <w:rPr>
                <w:sz w:val="13"/>
                <w:szCs w:val="13"/>
              </w:rPr>
            </w:pPr>
          </w:p>
        </w:tc>
        <w:tc>
          <w:tcPr>
            <w:tcW w:w="408" w:type="dxa"/>
            <w:tcMar>
              <w:left w:w="58" w:type="dxa"/>
              <w:right w:w="58" w:type="dxa"/>
            </w:tcMar>
          </w:tcPr>
          <w:p w14:paraId="2AF7A6AD" w14:textId="77777777" w:rsidR="00EB017E" w:rsidRPr="005A48E4" w:rsidRDefault="00EB017E" w:rsidP="00680D52">
            <w:pPr>
              <w:pStyle w:val="TableText"/>
              <w:jc w:val="right"/>
              <w:rPr>
                <w:b/>
                <w:sz w:val="13"/>
                <w:szCs w:val="13"/>
              </w:rPr>
            </w:pPr>
          </w:p>
        </w:tc>
        <w:tc>
          <w:tcPr>
            <w:tcW w:w="679" w:type="dxa"/>
            <w:tcMar>
              <w:left w:w="58" w:type="dxa"/>
              <w:right w:w="58" w:type="dxa"/>
            </w:tcMar>
          </w:tcPr>
          <w:p w14:paraId="79C1F91C" w14:textId="77777777" w:rsidR="00EB017E" w:rsidRPr="005A48E4" w:rsidRDefault="00EB017E" w:rsidP="00680D52">
            <w:pPr>
              <w:pStyle w:val="TableText"/>
              <w:jc w:val="right"/>
              <w:rPr>
                <w:b/>
                <w:sz w:val="13"/>
                <w:szCs w:val="13"/>
              </w:rPr>
            </w:pPr>
          </w:p>
        </w:tc>
        <w:tc>
          <w:tcPr>
            <w:tcW w:w="826" w:type="dxa"/>
            <w:tcMar>
              <w:left w:w="58" w:type="dxa"/>
              <w:right w:w="58" w:type="dxa"/>
            </w:tcMar>
          </w:tcPr>
          <w:p w14:paraId="217EA534"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12948373" w14:textId="77777777" w:rsidR="00EB017E" w:rsidRPr="005A48E4" w:rsidRDefault="00EB017E" w:rsidP="00680D52">
            <w:pPr>
              <w:pStyle w:val="TableText"/>
              <w:jc w:val="right"/>
              <w:rPr>
                <w:b/>
                <w:sz w:val="13"/>
                <w:szCs w:val="13"/>
              </w:rPr>
            </w:pPr>
          </w:p>
        </w:tc>
        <w:tc>
          <w:tcPr>
            <w:tcW w:w="656" w:type="dxa"/>
            <w:tcMar>
              <w:left w:w="58" w:type="dxa"/>
              <w:right w:w="58" w:type="dxa"/>
            </w:tcMar>
          </w:tcPr>
          <w:p w14:paraId="66839829" w14:textId="77777777" w:rsidR="00EB017E" w:rsidRPr="005A48E4" w:rsidRDefault="00EB017E" w:rsidP="00680D52">
            <w:pPr>
              <w:pStyle w:val="TableText"/>
              <w:jc w:val="right"/>
              <w:rPr>
                <w:b/>
                <w:sz w:val="13"/>
                <w:szCs w:val="13"/>
              </w:rPr>
            </w:pPr>
          </w:p>
        </w:tc>
        <w:tc>
          <w:tcPr>
            <w:tcW w:w="785" w:type="dxa"/>
            <w:tcMar>
              <w:left w:w="58" w:type="dxa"/>
              <w:right w:w="58" w:type="dxa"/>
            </w:tcMar>
          </w:tcPr>
          <w:p w14:paraId="61713E60" w14:textId="77777777" w:rsidR="00EB017E" w:rsidRPr="005A48E4" w:rsidRDefault="00EB017E" w:rsidP="00680D52">
            <w:pPr>
              <w:pStyle w:val="TableText"/>
              <w:jc w:val="right"/>
              <w:rPr>
                <w:b/>
                <w:sz w:val="13"/>
                <w:szCs w:val="13"/>
              </w:rPr>
            </w:pPr>
          </w:p>
        </w:tc>
      </w:tr>
      <w:tr w:rsidR="00680D52" w:rsidRPr="003860A9" w14:paraId="787EC646" w14:textId="77777777" w:rsidTr="00680D52">
        <w:trPr>
          <w:cantSplit/>
        </w:trPr>
        <w:tc>
          <w:tcPr>
            <w:tcW w:w="745" w:type="dxa"/>
          </w:tcPr>
          <w:p w14:paraId="5F738354" w14:textId="77777777" w:rsidR="00EB017E" w:rsidRPr="005B471D" w:rsidRDefault="00EB017E" w:rsidP="000A2491">
            <w:pPr>
              <w:pStyle w:val="TableText"/>
              <w:rPr>
                <w:bCs/>
                <w:color w:val="000000" w:themeColor="text1"/>
              </w:rPr>
            </w:pPr>
            <w:r w:rsidRPr="005B471D">
              <w:rPr>
                <w:bCs/>
                <w:color w:val="000000" w:themeColor="text1"/>
              </w:rPr>
              <w:t>Yes</w:t>
            </w:r>
          </w:p>
        </w:tc>
        <w:tc>
          <w:tcPr>
            <w:tcW w:w="373" w:type="dxa"/>
            <w:tcMar>
              <w:left w:w="58" w:type="dxa"/>
              <w:right w:w="58" w:type="dxa"/>
            </w:tcMar>
          </w:tcPr>
          <w:p w14:paraId="6D8221F4" w14:textId="77777777" w:rsidR="00EB017E" w:rsidRPr="005A48E4" w:rsidRDefault="00EB017E" w:rsidP="00680D52">
            <w:pPr>
              <w:pStyle w:val="TableText"/>
              <w:jc w:val="right"/>
              <w:rPr>
                <w:b/>
                <w:sz w:val="13"/>
                <w:szCs w:val="13"/>
              </w:rPr>
            </w:pPr>
            <w:r w:rsidRPr="005A48E4">
              <w:rPr>
                <w:sz w:val="13"/>
                <w:szCs w:val="13"/>
              </w:rPr>
              <w:t>184</w:t>
            </w:r>
          </w:p>
        </w:tc>
        <w:tc>
          <w:tcPr>
            <w:tcW w:w="617" w:type="dxa"/>
            <w:tcMar>
              <w:left w:w="58" w:type="dxa"/>
              <w:right w:w="58" w:type="dxa"/>
            </w:tcMar>
          </w:tcPr>
          <w:p w14:paraId="345D71D2" w14:textId="77777777" w:rsidR="00EB017E" w:rsidRPr="005A48E4" w:rsidRDefault="00EB017E" w:rsidP="00680D52">
            <w:pPr>
              <w:pStyle w:val="TableText"/>
              <w:jc w:val="right"/>
              <w:rPr>
                <w:b/>
                <w:sz w:val="13"/>
                <w:szCs w:val="13"/>
              </w:rPr>
            </w:pPr>
            <w:r w:rsidRPr="005A48E4">
              <w:rPr>
                <w:sz w:val="13"/>
                <w:szCs w:val="13"/>
              </w:rPr>
              <w:t>1149</w:t>
            </w:r>
          </w:p>
        </w:tc>
        <w:tc>
          <w:tcPr>
            <w:tcW w:w="753" w:type="dxa"/>
            <w:tcMar>
              <w:left w:w="58" w:type="dxa"/>
              <w:right w:w="58" w:type="dxa"/>
            </w:tcMar>
          </w:tcPr>
          <w:p w14:paraId="7FE45994" w14:textId="77777777" w:rsidR="00EB017E" w:rsidRPr="005A48E4" w:rsidRDefault="00EB017E" w:rsidP="00680D52">
            <w:pPr>
              <w:pStyle w:val="TableText"/>
              <w:jc w:val="right"/>
              <w:rPr>
                <w:sz w:val="13"/>
                <w:szCs w:val="13"/>
              </w:rPr>
            </w:pPr>
            <w:r w:rsidRPr="005A48E4">
              <w:rPr>
                <w:sz w:val="13"/>
                <w:szCs w:val="13"/>
              </w:rPr>
              <w:t>42.5 (36.7,</w:t>
            </w:r>
            <w:r w:rsidR="005A48E4">
              <w:rPr>
                <w:sz w:val="13"/>
                <w:szCs w:val="13"/>
              </w:rPr>
              <w:t> </w:t>
            </w:r>
            <w:r w:rsidRPr="005A48E4">
              <w:rPr>
                <w:sz w:val="13"/>
                <w:szCs w:val="13"/>
              </w:rPr>
              <w:t>48.6)</w:t>
            </w:r>
          </w:p>
        </w:tc>
        <w:tc>
          <w:tcPr>
            <w:tcW w:w="408" w:type="dxa"/>
            <w:tcMar>
              <w:left w:w="58" w:type="dxa"/>
              <w:right w:w="58" w:type="dxa"/>
            </w:tcMar>
          </w:tcPr>
          <w:p w14:paraId="764D903A" w14:textId="77777777" w:rsidR="00EB017E" w:rsidRPr="005A48E4" w:rsidRDefault="00EB017E" w:rsidP="00680D52">
            <w:pPr>
              <w:pStyle w:val="TableText"/>
              <w:jc w:val="right"/>
              <w:rPr>
                <w:b/>
                <w:sz w:val="13"/>
                <w:szCs w:val="13"/>
              </w:rPr>
            </w:pPr>
            <w:r w:rsidRPr="005A48E4">
              <w:rPr>
                <w:sz w:val="13"/>
                <w:szCs w:val="13"/>
              </w:rPr>
              <w:t>190</w:t>
            </w:r>
          </w:p>
        </w:tc>
        <w:tc>
          <w:tcPr>
            <w:tcW w:w="639" w:type="dxa"/>
            <w:tcMar>
              <w:left w:w="58" w:type="dxa"/>
              <w:right w:w="58" w:type="dxa"/>
            </w:tcMar>
          </w:tcPr>
          <w:p w14:paraId="18A2FEE1" w14:textId="77777777" w:rsidR="00EB017E" w:rsidRPr="005A48E4" w:rsidRDefault="00EB017E" w:rsidP="00680D52">
            <w:pPr>
              <w:pStyle w:val="TableText"/>
              <w:jc w:val="right"/>
              <w:rPr>
                <w:b/>
                <w:sz w:val="13"/>
                <w:szCs w:val="13"/>
              </w:rPr>
            </w:pPr>
            <w:r w:rsidRPr="005A48E4">
              <w:rPr>
                <w:sz w:val="13"/>
                <w:szCs w:val="13"/>
              </w:rPr>
              <w:t>1414</w:t>
            </w:r>
          </w:p>
        </w:tc>
        <w:tc>
          <w:tcPr>
            <w:tcW w:w="731" w:type="dxa"/>
            <w:tcMar>
              <w:left w:w="58" w:type="dxa"/>
              <w:right w:w="58" w:type="dxa"/>
            </w:tcMar>
          </w:tcPr>
          <w:p w14:paraId="4018B051" w14:textId="77777777" w:rsidR="00EB017E" w:rsidRPr="005A48E4" w:rsidRDefault="00EB017E" w:rsidP="00680D52">
            <w:pPr>
              <w:pStyle w:val="TableText"/>
              <w:jc w:val="right"/>
              <w:rPr>
                <w:b/>
                <w:sz w:val="13"/>
                <w:szCs w:val="13"/>
              </w:rPr>
            </w:pPr>
            <w:r w:rsidRPr="005A48E4">
              <w:rPr>
                <w:sz w:val="13"/>
                <w:szCs w:val="13"/>
              </w:rPr>
              <w:t>52.3 (46.1,</w:t>
            </w:r>
            <w:r w:rsidR="005A48E4">
              <w:rPr>
                <w:sz w:val="13"/>
                <w:szCs w:val="13"/>
              </w:rPr>
              <w:t> </w:t>
            </w:r>
            <w:r w:rsidRPr="005A48E4">
              <w:rPr>
                <w:sz w:val="13"/>
                <w:szCs w:val="13"/>
              </w:rPr>
              <w:t>58.4)</w:t>
            </w:r>
          </w:p>
        </w:tc>
        <w:tc>
          <w:tcPr>
            <w:tcW w:w="344" w:type="dxa"/>
            <w:tcMar>
              <w:left w:w="58" w:type="dxa"/>
              <w:right w:w="58" w:type="dxa"/>
            </w:tcMar>
          </w:tcPr>
          <w:p w14:paraId="0E30DE35" w14:textId="77777777" w:rsidR="00EB017E" w:rsidRPr="005A48E4" w:rsidRDefault="00EB017E" w:rsidP="00680D52">
            <w:pPr>
              <w:pStyle w:val="TableText"/>
              <w:jc w:val="right"/>
              <w:rPr>
                <w:b/>
                <w:sz w:val="13"/>
                <w:szCs w:val="13"/>
              </w:rPr>
            </w:pPr>
            <w:r w:rsidRPr="005A48E4">
              <w:rPr>
                <w:sz w:val="13"/>
                <w:szCs w:val="13"/>
              </w:rPr>
              <w:t>10</w:t>
            </w:r>
          </w:p>
        </w:tc>
        <w:tc>
          <w:tcPr>
            <w:tcW w:w="635" w:type="dxa"/>
            <w:tcMar>
              <w:left w:w="58" w:type="dxa"/>
              <w:right w:w="58" w:type="dxa"/>
            </w:tcMar>
          </w:tcPr>
          <w:p w14:paraId="03C95560" w14:textId="77777777" w:rsidR="00EB017E" w:rsidRPr="005A48E4" w:rsidRDefault="00EB017E" w:rsidP="00680D52">
            <w:pPr>
              <w:pStyle w:val="TableText"/>
              <w:jc w:val="right"/>
              <w:rPr>
                <w:b/>
                <w:sz w:val="13"/>
                <w:szCs w:val="13"/>
              </w:rPr>
            </w:pPr>
            <w:r w:rsidRPr="005A48E4">
              <w:rPr>
                <w:sz w:val="13"/>
                <w:szCs w:val="13"/>
              </w:rPr>
              <w:t>99</w:t>
            </w:r>
          </w:p>
        </w:tc>
        <w:tc>
          <w:tcPr>
            <w:tcW w:w="735" w:type="dxa"/>
            <w:tcMar>
              <w:left w:w="58" w:type="dxa"/>
              <w:right w:w="58" w:type="dxa"/>
            </w:tcMar>
          </w:tcPr>
          <w:p w14:paraId="5DDCE73D" w14:textId="77777777" w:rsidR="00EB017E" w:rsidRPr="005A48E4" w:rsidRDefault="00EB017E" w:rsidP="00680D52">
            <w:pPr>
              <w:pStyle w:val="TableText"/>
              <w:jc w:val="right"/>
              <w:rPr>
                <w:b/>
                <w:sz w:val="13"/>
                <w:szCs w:val="13"/>
              </w:rPr>
            </w:pPr>
            <w:r w:rsidRPr="005A48E4">
              <w:rPr>
                <w:sz w:val="13"/>
                <w:szCs w:val="13"/>
              </w:rPr>
              <w:t>3.7</w:t>
            </w:r>
            <w:r w:rsidR="00680D52">
              <w:rPr>
                <w:sz w:val="13"/>
                <w:szCs w:val="13"/>
              </w:rPr>
              <w:br/>
            </w:r>
            <w:r w:rsidRPr="005A48E4">
              <w:rPr>
                <w:sz w:val="13"/>
                <w:szCs w:val="13"/>
              </w:rPr>
              <w:t>(1.7,</w:t>
            </w:r>
            <w:r w:rsidR="005A48E4">
              <w:rPr>
                <w:sz w:val="13"/>
                <w:szCs w:val="13"/>
              </w:rPr>
              <w:t> </w:t>
            </w:r>
            <w:r w:rsidRPr="005A48E4">
              <w:rPr>
                <w:sz w:val="13"/>
                <w:szCs w:val="13"/>
              </w:rPr>
              <w:t>7.6)</w:t>
            </w:r>
          </w:p>
        </w:tc>
        <w:tc>
          <w:tcPr>
            <w:tcW w:w="408" w:type="dxa"/>
            <w:tcMar>
              <w:left w:w="58" w:type="dxa"/>
              <w:right w:w="58" w:type="dxa"/>
            </w:tcMar>
          </w:tcPr>
          <w:p w14:paraId="7EA0052B" w14:textId="77777777" w:rsidR="00EB017E" w:rsidRPr="005A48E4" w:rsidRDefault="00EB017E" w:rsidP="00680D52">
            <w:pPr>
              <w:pStyle w:val="TableText"/>
              <w:jc w:val="right"/>
              <w:rPr>
                <w:b/>
                <w:sz w:val="13"/>
                <w:szCs w:val="13"/>
              </w:rPr>
            </w:pPr>
            <w:r w:rsidRPr="005A48E4">
              <w:rPr>
                <w:sz w:val="13"/>
                <w:szCs w:val="13"/>
              </w:rPr>
              <w:t>130</w:t>
            </w:r>
          </w:p>
        </w:tc>
        <w:tc>
          <w:tcPr>
            <w:tcW w:w="657" w:type="dxa"/>
            <w:tcMar>
              <w:left w:w="58" w:type="dxa"/>
              <w:right w:w="58" w:type="dxa"/>
            </w:tcMar>
          </w:tcPr>
          <w:p w14:paraId="5BF3460B" w14:textId="77777777" w:rsidR="00EB017E" w:rsidRPr="005A48E4" w:rsidRDefault="00EB017E" w:rsidP="00680D52">
            <w:pPr>
              <w:pStyle w:val="TableText"/>
              <w:jc w:val="right"/>
              <w:rPr>
                <w:b/>
                <w:sz w:val="13"/>
                <w:szCs w:val="13"/>
              </w:rPr>
            </w:pPr>
            <w:r w:rsidRPr="005A48E4">
              <w:rPr>
                <w:sz w:val="13"/>
                <w:szCs w:val="13"/>
              </w:rPr>
              <w:t>496</w:t>
            </w:r>
          </w:p>
        </w:tc>
        <w:tc>
          <w:tcPr>
            <w:tcW w:w="713" w:type="dxa"/>
            <w:tcMar>
              <w:left w:w="58" w:type="dxa"/>
              <w:right w:w="58" w:type="dxa"/>
            </w:tcMar>
          </w:tcPr>
          <w:p w14:paraId="1ED304EA" w14:textId="77777777" w:rsidR="00EB017E" w:rsidRPr="005A48E4" w:rsidRDefault="00EB017E" w:rsidP="00680D52">
            <w:pPr>
              <w:pStyle w:val="TableText"/>
              <w:jc w:val="right"/>
              <w:rPr>
                <w:sz w:val="13"/>
                <w:szCs w:val="13"/>
              </w:rPr>
            </w:pPr>
            <w:r w:rsidRPr="005A48E4">
              <w:rPr>
                <w:sz w:val="13"/>
                <w:szCs w:val="13"/>
              </w:rPr>
              <w:t>28.6 (17.1,</w:t>
            </w:r>
            <w:r w:rsidR="005A48E4">
              <w:rPr>
                <w:sz w:val="13"/>
                <w:szCs w:val="13"/>
              </w:rPr>
              <w:t> </w:t>
            </w:r>
            <w:r w:rsidRPr="005A48E4">
              <w:rPr>
                <w:sz w:val="13"/>
                <w:szCs w:val="13"/>
              </w:rPr>
              <w:t>43.9)</w:t>
            </w:r>
          </w:p>
        </w:tc>
        <w:tc>
          <w:tcPr>
            <w:tcW w:w="408" w:type="dxa"/>
            <w:tcMar>
              <w:left w:w="58" w:type="dxa"/>
              <w:right w:w="58" w:type="dxa"/>
            </w:tcMar>
          </w:tcPr>
          <w:p w14:paraId="20705495" w14:textId="77777777" w:rsidR="00EB017E" w:rsidRPr="005A48E4" w:rsidRDefault="00EB017E" w:rsidP="00680D52">
            <w:pPr>
              <w:pStyle w:val="TableText"/>
              <w:jc w:val="right"/>
              <w:rPr>
                <w:b/>
                <w:sz w:val="13"/>
                <w:szCs w:val="13"/>
              </w:rPr>
            </w:pPr>
            <w:r w:rsidRPr="005A48E4">
              <w:rPr>
                <w:sz w:val="13"/>
                <w:szCs w:val="13"/>
              </w:rPr>
              <w:t>137</w:t>
            </w:r>
          </w:p>
        </w:tc>
        <w:tc>
          <w:tcPr>
            <w:tcW w:w="679" w:type="dxa"/>
            <w:tcMar>
              <w:left w:w="58" w:type="dxa"/>
              <w:right w:w="58" w:type="dxa"/>
            </w:tcMar>
          </w:tcPr>
          <w:p w14:paraId="1069AE3A" w14:textId="77777777" w:rsidR="00EB017E" w:rsidRPr="005A48E4" w:rsidRDefault="00EB017E" w:rsidP="00680D52">
            <w:pPr>
              <w:pStyle w:val="TableText"/>
              <w:jc w:val="right"/>
              <w:rPr>
                <w:b/>
                <w:sz w:val="13"/>
                <w:szCs w:val="13"/>
              </w:rPr>
            </w:pPr>
            <w:r w:rsidRPr="005A48E4">
              <w:rPr>
                <w:sz w:val="13"/>
                <w:szCs w:val="13"/>
              </w:rPr>
              <w:t>1191</w:t>
            </w:r>
          </w:p>
        </w:tc>
        <w:tc>
          <w:tcPr>
            <w:tcW w:w="826" w:type="dxa"/>
            <w:tcMar>
              <w:left w:w="58" w:type="dxa"/>
              <w:right w:w="58" w:type="dxa"/>
            </w:tcMar>
          </w:tcPr>
          <w:p w14:paraId="414D8F3B" w14:textId="77777777" w:rsidR="00EB017E" w:rsidRPr="005A48E4" w:rsidRDefault="00EB017E" w:rsidP="00680D52">
            <w:pPr>
              <w:pStyle w:val="TableText"/>
              <w:jc w:val="right"/>
              <w:rPr>
                <w:b/>
                <w:sz w:val="13"/>
                <w:szCs w:val="13"/>
              </w:rPr>
            </w:pPr>
            <w:r w:rsidRPr="005A48E4">
              <w:rPr>
                <w:sz w:val="13"/>
                <w:szCs w:val="13"/>
              </w:rPr>
              <w:t>68.8 (52.5,</w:t>
            </w:r>
            <w:r w:rsidR="005A48E4">
              <w:rPr>
                <w:sz w:val="13"/>
                <w:szCs w:val="13"/>
              </w:rPr>
              <w:t> </w:t>
            </w:r>
            <w:r w:rsidRPr="005A48E4">
              <w:rPr>
                <w:sz w:val="13"/>
                <w:szCs w:val="13"/>
              </w:rPr>
              <w:t>81.4)</w:t>
            </w:r>
          </w:p>
        </w:tc>
        <w:tc>
          <w:tcPr>
            <w:tcW w:w="408" w:type="dxa"/>
            <w:tcMar>
              <w:left w:w="58" w:type="dxa"/>
              <w:right w:w="58" w:type="dxa"/>
            </w:tcMar>
          </w:tcPr>
          <w:p w14:paraId="577CB20F" w14:textId="77777777" w:rsidR="00EB017E" w:rsidRPr="005A48E4" w:rsidRDefault="00EB017E" w:rsidP="00680D52">
            <w:pPr>
              <w:pStyle w:val="TableText"/>
              <w:jc w:val="right"/>
              <w:rPr>
                <w:b/>
                <w:sz w:val="13"/>
                <w:szCs w:val="13"/>
              </w:rPr>
            </w:pPr>
            <w:r w:rsidRPr="005A48E4">
              <w:rPr>
                <w:sz w:val="13"/>
                <w:szCs w:val="13"/>
              </w:rPr>
              <w:t>10</w:t>
            </w:r>
          </w:p>
        </w:tc>
        <w:tc>
          <w:tcPr>
            <w:tcW w:w="656" w:type="dxa"/>
            <w:tcMar>
              <w:left w:w="58" w:type="dxa"/>
              <w:right w:w="58" w:type="dxa"/>
            </w:tcMar>
          </w:tcPr>
          <w:p w14:paraId="65C7CB4E" w14:textId="77777777" w:rsidR="00EB017E" w:rsidRPr="005A48E4" w:rsidRDefault="00EB017E" w:rsidP="00680D52">
            <w:pPr>
              <w:pStyle w:val="TableText"/>
              <w:jc w:val="right"/>
              <w:rPr>
                <w:b/>
                <w:sz w:val="13"/>
                <w:szCs w:val="13"/>
              </w:rPr>
            </w:pPr>
            <w:r w:rsidRPr="005A48E4">
              <w:rPr>
                <w:sz w:val="13"/>
                <w:szCs w:val="13"/>
              </w:rPr>
              <w:t>36</w:t>
            </w:r>
          </w:p>
        </w:tc>
        <w:tc>
          <w:tcPr>
            <w:tcW w:w="785" w:type="dxa"/>
            <w:tcMar>
              <w:left w:w="58" w:type="dxa"/>
              <w:right w:w="58" w:type="dxa"/>
            </w:tcMar>
          </w:tcPr>
          <w:p w14:paraId="3CCF51B8" w14:textId="77777777" w:rsidR="00EB017E" w:rsidRPr="005A48E4" w:rsidRDefault="00EB017E" w:rsidP="00680D52">
            <w:pPr>
              <w:pStyle w:val="TableText"/>
              <w:jc w:val="right"/>
              <w:rPr>
                <w:sz w:val="13"/>
                <w:szCs w:val="13"/>
              </w:rPr>
            </w:pPr>
            <w:r w:rsidRPr="005A48E4">
              <w:rPr>
                <w:sz w:val="13"/>
                <w:szCs w:val="13"/>
              </w:rPr>
              <w:t>2.1</w:t>
            </w:r>
            <w:r w:rsidR="00680D52">
              <w:rPr>
                <w:sz w:val="13"/>
                <w:szCs w:val="13"/>
              </w:rPr>
              <w:br/>
            </w:r>
            <w:r w:rsidRPr="005A48E4">
              <w:rPr>
                <w:sz w:val="13"/>
                <w:szCs w:val="13"/>
              </w:rPr>
              <w:t>(0.9,</w:t>
            </w:r>
            <w:r w:rsidR="005A48E4">
              <w:rPr>
                <w:sz w:val="13"/>
                <w:szCs w:val="13"/>
              </w:rPr>
              <w:t> </w:t>
            </w:r>
            <w:r w:rsidRPr="005A48E4">
              <w:rPr>
                <w:sz w:val="13"/>
                <w:szCs w:val="13"/>
              </w:rPr>
              <w:t>4.5)</w:t>
            </w:r>
          </w:p>
        </w:tc>
      </w:tr>
      <w:tr w:rsidR="00BD41F3" w:rsidRPr="003860A9" w14:paraId="7AB39952"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328961BE" w14:textId="77777777" w:rsidR="00EB017E" w:rsidRPr="005B471D" w:rsidRDefault="00EB017E" w:rsidP="000A2491">
            <w:pPr>
              <w:pStyle w:val="TableText"/>
              <w:rPr>
                <w:bCs/>
                <w:color w:val="000000" w:themeColor="text1"/>
              </w:rPr>
            </w:pPr>
            <w:r w:rsidRPr="005B471D">
              <w:rPr>
                <w:bCs/>
                <w:color w:val="000000" w:themeColor="text1"/>
              </w:rPr>
              <w:t xml:space="preserve">No </w:t>
            </w:r>
          </w:p>
        </w:tc>
        <w:tc>
          <w:tcPr>
            <w:tcW w:w="373" w:type="dxa"/>
            <w:tcMar>
              <w:left w:w="58" w:type="dxa"/>
              <w:right w:w="58" w:type="dxa"/>
            </w:tcMar>
          </w:tcPr>
          <w:p w14:paraId="5B7788AB" w14:textId="77777777" w:rsidR="00EB017E" w:rsidRPr="005A48E4" w:rsidRDefault="00EB017E" w:rsidP="00680D52">
            <w:pPr>
              <w:pStyle w:val="TableText"/>
              <w:jc w:val="right"/>
              <w:rPr>
                <w:b/>
                <w:sz w:val="13"/>
                <w:szCs w:val="13"/>
              </w:rPr>
            </w:pPr>
            <w:r w:rsidRPr="005A48E4">
              <w:rPr>
                <w:sz w:val="13"/>
                <w:szCs w:val="13"/>
              </w:rPr>
              <w:t>75</w:t>
            </w:r>
          </w:p>
        </w:tc>
        <w:tc>
          <w:tcPr>
            <w:tcW w:w="617" w:type="dxa"/>
            <w:tcMar>
              <w:left w:w="58" w:type="dxa"/>
              <w:right w:w="58" w:type="dxa"/>
            </w:tcMar>
          </w:tcPr>
          <w:p w14:paraId="13C2EF60" w14:textId="77777777" w:rsidR="00EB017E" w:rsidRPr="005A48E4" w:rsidRDefault="00EB017E" w:rsidP="00680D52">
            <w:pPr>
              <w:pStyle w:val="TableText"/>
              <w:jc w:val="right"/>
              <w:rPr>
                <w:b/>
                <w:sz w:val="13"/>
                <w:szCs w:val="13"/>
              </w:rPr>
            </w:pPr>
            <w:r w:rsidRPr="005A48E4">
              <w:rPr>
                <w:sz w:val="13"/>
                <w:szCs w:val="13"/>
              </w:rPr>
              <w:t>629</w:t>
            </w:r>
          </w:p>
        </w:tc>
        <w:tc>
          <w:tcPr>
            <w:tcW w:w="753" w:type="dxa"/>
            <w:tcMar>
              <w:left w:w="58" w:type="dxa"/>
              <w:right w:w="58" w:type="dxa"/>
            </w:tcMar>
          </w:tcPr>
          <w:p w14:paraId="3865F4E4" w14:textId="77777777" w:rsidR="00EB017E" w:rsidRPr="005A48E4" w:rsidRDefault="00EB017E" w:rsidP="00680D52">
            <w:pPr>
              <w:pStyle w:val="TableText"/>
              <w:jc w:val="right"/>
              <w:rPr>
                <w:sz w:val="13"/>
                <w:szCs w:val="13"/>
              </w:rPr>
            </w:pPr>
            <w:r w:rsidRPr="005A48E4">
              <w:rPr>
                <w:sz w:val="13"/>
                <w:szCs w:val="13"/>
              </w:rPr>
              <w:t>18.4 (14.1,</w:t>
            </w:r>
            <w:r w:rsidR="005A48E4">
              <w:rPr>
                <w:sz w:val="13"/>
                <w:szCs w:val="13"/>
              </w:rPr>
              <w:t> </w:t>
            </w:r>
            <w:r w:rsidRPr="005A48E4">
              <w:rPr>
                <w:sz w:val="13"/>
                <w:szCs w:val="13"/>
              </w:rPr>
              <w:t>23.7)</w:t>
            </w:r>
          </w:p>
        </w:tc>
        <w:tc>
          <w:tcPr>
            <w:tcW w:w="408" w:type="dxa"/>
            <w:tcMar>
              <w:left w:w="58" w:type="dxa"/>
              <w:right w:w="58" w:type="dxa"/>
            </w:tcMar>
          </w:tcPr>
          <w:p w14:paraId="3A709F74" w14:textId="77777777" w:rsidR="00EB017E" w:rsidRPr="005A48E4" w:rsidRDefault="00EB017E" w:rsidP="00680D52">
            <w:pPr>
              <w:pStyle w:val="TableText"/>
              <w:jc w:val="right"/>
              <w:rPr>
                <w:b/>
                <w:sz w:val="13"/>
                <w:szCs w:val="13"/>
              </w:rPr>
            </w:pPr>
            <w:r w:rsidRPr="005A48E4">
              <w:rPr>
                <w:sz w:val="13"/>
                <w:szCs w:val="13"/>
              </w:rPr>
              <w:t>357</w:t>
            </w:r>
          </w:p>
        </w:tc>
        <w:tc>
          <w:tcPr>
            <w:tcW w:w="639" w:type="dxa"/>
            <w:tcMar>
              <w:left w:w="58" w:type="dxa"/>
              <w:right w:w="58" w:type="dxa"/>
            </w:tcMar>
          </w:tcPr>
          <w:p w14:paraId="0DA1E9B4" w14:textId="77777777" w:rsidR="00EB017E" w:rsidRPr="005A48E4" w:rsidRDefault="00EB017E" w:rsidP="00680D52">
            <w:pPr>
              <w:pStyle w:val="TableText"/>
              <w:jc w:val="right"/>
              <w:rPr>
                <w:b/>
                <w:sz w:val="13"/>
                <w:szCs w:val="13"/>
              </w:rPr>
            </w:pPr>
            <w:r w:rsidRPr="005A48E4">
              <w:rPr>
                <w:sz w:val="13"/>
                <w:szCs w:val="13"/>
              </w:rPr>
              <w:t>2427</w:t>
            </w:r>
          </w:p>
        </w:tc>
        <w:tc>
          <w:tcPr>
            <w:tcW w:w="731" w:type="dxa"/>
            <w:tcMar>
              <w:left w:w="58" w:type="dxa"/>
              <w:right w:w="58" w:type="dxa"/>
            </w:tcMar>
          </w:tcPr>
          <w:p w14:paraId="178F5996" w14:textId="77777777" w:rsidR="00EB017E" w:rsidRPr="005A48E4" w:rsidRDefault="00EB017E" w:rsidP="00680D52">
            <w:pPr>
              <w:pStyle w:val="TableText"/>
              <w:jc w:val="right"/>
              <w:rPr>
                <w:b/>
                <w:sz w:val="13"/>
                <w:szCs w:val="13"/>
              </w:rPr>
            </w:pPr>
            <w:r w:rsidRPr="005A48E4">
              <w:rPr>
                <w:sz w:val="13"/>
                <w:szCs w:val="13"/>
              </w:rPr>
              <w:t>71.1 (65.2,</w:t>
            </w:r>
            <w:r w:rsidR="005A48E4">
              <w:rPr>
                <w:sz w:val="13"/>
                <w:szCs w:val="13"/>
              </w:rPr>
              <w:t> </w:t>
            </w:r>
            <w:r w:rsidRPr="005A48E4">
              <w:rPr>
                <w:sz w:val="13"/>
                <w:szCs w:val="13"/>
              </w:rPr>
              <w:t>76.4)</w:t>
            </w:r>
          </w:p>
        </w:tc>
        <w:tc>
          <w:tcPr>
            <w:tcW w:w="344" w:type="dxa"/>
            <w:tcMar>
              <w:left w:w="58" w:type="dxa"/>
              <w:right w:w="58" w:type="dxa"/>
            </w:tcMar>
          </w:tcPr>
          <w:p w14:paraId="716C95FF" w14:textId="77777777" w:rsidR="00EB017E" w:rsidRPr="005A48E4" w:rsidRDefault="00EB017E" w:rsidP="00680D52">
            <w:pPr>
              <w:pStyle w:val="TableText"/>
              <w:jc w:val="right"/>
              <w:rPr>
                <w:b/>
                <w:sz w:val="13"/>
                <w:szCs w:val="13"/>
              </w:rPr>
            </w:pPr>
            <w:r w:rsidRPr="005A48E4">
              <w:rPr>
                <w:sz w:val="13"/>
                <w:szCs w:val="13"/>
              </w:rPr>
              <w:t>31</w:t>
            </w:r>
          </w:p>
        </w:tc>
        <w:tc>
          <w:tcPr>
            <w:tcW w:w="635" w:type="dxa"/>
            <w:tcMar>
              <w:left w:w="58" w:type="dxa"/>
              <w:right w:w="58" w:type="dxa"/>
            </w:tcMar>
          </w:tcPr>
          <w:p w14:paraId="6DC354EA" w14:textId="77777777" w:rsidR="00EB017E" w:rsidRPr="005A48E4" w:rsidRDefault="00EB017E" w:rsidP="00680D52">
            <w:pPr>
              <w:pStyle w:val="TableText"/>
              <w:jc w:val="right"/>
              <w:rPr>
                <w:b/>
                <w:sz w:val="13"/>
                <w:szCs w:val="13"/>
              </w:rPr>
            </w:pPr>
            <w:r w:rsidRPr="005A48E4">
              <w:rPr>
                <w:sz w:val="13"/>
                <w:szCs w:val="13"/>
              </w:rPr>
              <w:t>300</w:t>
            </w:r>
          </w:p>
        </w:tc>
        <w:tc>
          <w:tcPr>
            <w:tcW w:w="735" w:type="dxa"/>
            <w:tcMar>
              <w:left w:w="58" w:type="dxa"/>
              <w:right w:w="58" w:type="dxa"/>
            </w:tcMar>
          </w:tcPr>
          <w:p w14:paraId="799D89D1" w14:textId="77777777" w:rsidR="00EB017E" w:rsidRPr="005A48E4" w:rsidRDefault="00EB017E" w:rsidP="00680D52">
            <w:pPr>
              <w:pStyle w:val="TableText"/>
              <w:jc w:val="right"/>
              <w:rPr>
                <w:b/>
                <w:sz w:val="13"/>
                <w:szCs w:val="13"/>
              </w:rPr>
            </w:pPr>
            <w:r w:rsidRPr="005A48E4">
              <w:rPr>
                <w:sz w:val="13"/>
                <w:szCs w:val="13"/>
              </w:rPr>
              <w:t>8.8 (5.7,</w:t>
            </w:r>
            <w:r w:rsidR="005A48E4">
              <w:rPr>
                <w:sz w:val="13"/>
                <w:szCs w:val="13"/>
              </w:rPr>
              <w:t> </w:t>
            </w:r>
            <w:r w:rsidRPr="005A48E4">
              <w:rPr>
                <w:sz w:val="13"/>
                <w:szCs w:val="13"/>
              </w:rPr>
              <w:t>13.3)</w:t>
            </w:r>
          </w:p>
        </w:tc>
        <w:tc>
          <w:tcPr>
            <w:tcW w:w="408" w:type="dxa"/>
            <w:tcMar>
              <w:left w:w="58" w:type="dxa"/>
              <w:right w:w="58" w:type="dxa"/>
            </w:tcMar>
          </w:tcPr>
          <w:p w14:paraId="2BBD1E06" w14:textId="77777777" w:rsidR="00EB017E" w:rsidRPr="005A48E4" w:rsidRDefault="00EB017E" w:rsidP="00680D52">
            <w:pPr>
              <w:pStyle w:val="TableText"/>
              <w:jc w:val="right"/>
              <w:rPr>
                <w:b/>
                <w:sz w:val="13"/>
                <w:szCs w:val="13"/>
              </w:rPr>
            </w:pPr>
            <w:r w:rsidRPr="005A48E4">
              <w:rPr>
                <w:sz w:val="13"/>
                <w:szCs w:val="13"/>
              </w:rPr>
              <w:t>168</w:t>
            </w:r>
          </w:p>
        </w:tc>
        <w:tc>
          <w:tcPr>
            <w:tcW w:w="657" w:type="dxa"/>
            <w:tcMar>
              <w:left w:w="58" w:type="dxa"/>
              <w:right w:w="58" w:type="dxa"/>
            </w:tcMar>
          </w:tcPr>
          <w:p w14:paraId="113592D7" w14:textId="77777777" w:rsidR="00EB017E" w:rsidRPr="005A48E4" w:rsidRDefault="00EB017E" w:rsidP="00680D52">
            <w:pPr>
              <w:pStyle w:val="TableText"/>
              <w:jc w:val="right"/>
              <w:rPr>
                <w:b/>
                <w:sz w:val="13"/>
                <w:szCs w:val="13"/>
              </w:rPr>
            </w:pPr>
            <w:r w:rsidRPr="005A48E4">
              <w:rPr>
                <w:sz w:val="13"/>
                <w:szCs w:val="13"/>
              </w:rPr>
              <w:t>1292</w:t>
            </w:r>
          </w:p>
        </w:tc>
        <w:tc>
          <w:tcPr>
            <w:tcW w:w="713" w:type="dxa"/>
            <w:tcMar>
              <w:left w:w="58" w:type="dxa"/>
              <w:right w:w="58" w:type="dxa"/>
            </w:tcMar>
          </w:tcPr>
          <w:p w14:paraId="4F4F0098" w14:textId="77777777" w:rsidR="00EB017E" w:rsidRPr="005A48E4" w:rsidRDefault="00EB017E" w:rsidP="00680D52">
            <w:pPr>
              <w:pStyle w:val="TableText"/>
              <w:jc w:val="right"/>
              <w:rPr>
                <w:sz w:val="13"/>
                <w:szCs w:val="13"/>
              </w:rPr>
            </w:pPr>
            <w:r w:rsidRPr="005A48E4">
              <w:rPr>
                <w:sz w:val="13"/>
                <w:szCs w:val="13"/>
              </w:rPr>
              <w:t>17.7 (9.5,</w:t>
            </w:r>
            <w:r w:rsidR="005A48E4">
              <w:rPr>
                <w:sz w:val="13"/>
                <w:szCs w:val="13"/>
              </w:rPr>
              <w:t> </w:t>
            </w:r>
            <w:r w:rsidRPr="005A48E4">
              <w:rPr>
                <w:sz w:val="13"/>
                <w:szCs w:val="13"/>
              </w:rPr>
              <w:t>30.6)</w:t>
            </w:r>
          </w:p>
        </w:tc>
        <w:tc>
          <w:tcPr>
            <w:tcW w:w="408" w:type="dxa"/>
            <w:tcMar>
              <w:left w:w="58" w:type="dxa"/>
              <w:right w:w="58" w:type="dxa"/>
            </w:tcMar>
          </w:tcPr>
          <w:p w14:paraId="24D6B3CB" w14:textId="77777777" w:rsidR="00EB017E" w:rsidRPr="005A48E4" w:rsidRDefault="00EB017E" w:rsidP="00680D52">
            <w:pPr>
              <w:pStyle w:val="TableText"/>
              <w:jc w:val="right"/>
              <w:rPr>
                <w:b/>
                <w:sz w:val="13"/>
                <w:szCs w:val="13"/>
              </w:rPr>
            </w:pPr>
            <w:r w:rsidRPr="005A48E4">
              <w:rPr>
                <w:sz w:val="13"/>
                <w:szCs w:val="13"/>
              </w:rPr>
              <w:t>868</w:t>
            </w:r>
          </w:p>
        </w:tc>
        <w:tc>
          <w:tcPr>
            <w:tcW w:w="679" w:type="dxa"/>
            <w:tcMar>
              <w:left w:w="58" w:type="dxa"/>
              <w:right w:w="58" w:type="dxa"/>
            </w:tcMar>
          </w:tcPr>
          <w:p w14:paraId="5BBC2DCA" w14:textId="77777777" w:rsidR="00EB017E" w:rsidRPr="005A48E4" w:rsidRDefault="00EB017E" w:rsidP="00680D52">
            <w:pPr>
              <w:pStyle w:val="TableText"/>
              <w:jc w:val="right"/>
              <w:rPr>
                <w:b/>
                <w:sz w:val="13"/>
                <w:szCs w:val="13"/>
              </w:rPr>
            </w:pPr>
            <w:r w:rsidRPr="005A48E4">
              <w:rPr>
                <w:sz w:val="13"/>
                <w:szCs w:val="13"/>
              </w:rPr>
              <w:t>4904</w:t>
            </w:r>
          </w:p>
        </w:tc>
        <w:tc>
          <w:tcPr>
            <w:tcW w:w="826" w:type="dxa"/>
            <w:tcMar>
              <w:left w:w="58" w:type="dxa"/>
              <w:right w:w="58" w:type="dxa"/>
            </w:tcMar>
          </w:tcPr>
          <w:p w14:paraId="5D357D51" w14:textId="77777777" w:rsidR="00EB017E" w:rsidRPr="005A48E4" w:rsidRDefault="00EB017E" w:rsidP="00680D52">
            <w:pPr>
              <w:pStyle w:val="TableText"/>
              <w:jc w:val="right"/>
              <w:rPr>
                <w:b/>
                <w:sz w:val="13"/>
                <w:szCs w:val="13"/>
              </w:rPr>
            </w:pPr>
            <w:r w:rsidRPr="005A48E4">
              <w:rPr>
                <w:sz w:val="13"/>
                <w:szCs w:val="13"/>
              </w:rPr>
              <w:t>67.1 (55.3,</w:t>
            </w:r>
            <w:r w:rsidR="005A48E4">
              <w:rPr>
                <w:sz w:val="13"/>
                <w:szCs w:val="13"/>
              </w:rPr>
              <w:t> </w:t>
            </w:r>
            <w:r w:rsidRPr="005A48E4">
              <w:rPr>
                <w:sz w:val="13"/>
                <w:szCs w:val="13"/>
              </w:rPr>
              <w:t>77.1)</w:t>
            </w:r>
          </w:p>
        </w:tc>
        <w:tc>
          <w:tcPr>
            <w:tcW w:w="408" w:type="dxa"/>
            <w:tcMar>
              <w:left w:w="58" w:type="dxa"/>
              <w:right w:w="58" w:type="dxa"/>
            </w:tcMar>
          </w:tcPr>
          <w:p w14:paraId="68156B95" w14:textId="77777777" w:rsidR="00EB017E" w:rsidRPr="005A48E4" w:rsidRDefault="00EB017E" w:rsidP="00680D52">
            <w:pPr>
              <w:pStyle w:val="TableText"/>
              <w:jc w:val="right"/>
              <w:rPr>
                <w:b/>
                <w:sz w:val="13"/>
                <w:szCs w:val="13"/>
              </w:rPr>
            </w:pPr>
            <w:r w:rsidRPr="005A48E4">
              <w:rPr>
                <w:sz w:val="13"/>
                <w:szCs w:val="13"/>
              </w:rPr>
              <w:t>108</w:t>
            </w:r>
          </w:p>
        </w:tc>
        <w:tc>
          <w:tcPr>
            <w:tcW w:w="656" w:type="dxa"/>
            <w:tcMar>
              <w:left w:w="58" w:type="dxa"/>
              <w:right w:w="58" w:type="dxa"/>
            </w:tcMar>
          </w:tcPr>
          <w:p w14:paraId="18CD2732" w14:textId="77777777" w:rsidR="00EB017E" w:rsidRPr="005A48E4" w:rsidRDefault="00EB017E" w:rsidP="00680D52">
            <w:pPr>
              <w:pStyle w:val="TableText"/>
              <w:jc w:val="right"/>
              <w:rPr>
                <w:b/>
                <w:sz w:val="13"/>
                <w:szCs w:val="13"/>
              </w:rPr>
            </w:pPr>
            <w:r w:rsidRPr="005A48E4">
              <w:rPr>
                <w:sz w:val="13"/>
                <w:szCs w:val="13"/>
              </w:rPr>
              <w:t>1084</w:t>
            </w:r>
          </w:p>
        </w:tc>
        <w:tc>
          <w:tcPr>
            <w:tcW w:w="785" w:type="dxa"/>
            <w:tcMar>
              <w:left w:w="58" w:type="dxa"/>
              <w:right w:w="58" w:type="dxa"/>
            </w:tcMar>
          </w:tcPr>
          <w:p w14:paraId="11656A81" w14:textId="77777777" w:rsidR="00EB017E" w:rsidRPr="005A48E4" w:rsidRDefault="00EB017E" w:rsidP="00680D52">
            <w:pPr>
              <w:pStyle w:val="TableText"/>
              <w:jc w:val="right"/>
              <w:rPr>
                <w:sz w:val="13"/>
                <w:szCs w:val="13"/>
              </w:rPr>
            </w:pPr>
            <w:r w:rsidRPr="005A48E4">
              <w:rPr>
                <w:sz w:val="13"/>
                <w:szCs w:val="13"/>
              </w:rPr>
              <w:t>14.8 (8.1,</w:t>
            </w:r>
            <w:r w:rsidR="005A48E4">
              <w:rPr>
                <w:sz w:val="13"/>
                <w:szCs w:val="13"/>
              </w:rPr>
              <w:t> </w:t>
            </w:r>
            <w:r w:rsidRPr="005A48E4">
              <w:rPr>
                <w:sz w:val="13"/>
                <w:szCs w:val="13"/>
              </w:rPr>
              <w:t>25.7)</w:t>
            </w:r>
          </w:p>
        </w:tc>
      </w:tr>
      <w:tr w:rsidR="00680D52" w:rsidRPr="003860A9" w14:paraId="1A61323C" w14:textId="77777777" w:rsidTr="00680D52">
        <w:trPr>
          <w:cantSplit/>
        </w:trPr>
        <w:tc>
          <w:tcPr>
            <w:tcW w:w="745" w:type="dxa"/>
          </w:tcPr>
          <w:p w14:paraId="570DE369" w14:textId="77777777" w:rsidR="00EB017E" w:rsidRPr="005B471D" w:rsidRDefault="00EB017E" w:rsidP="000A2491">
            <w:pPr>
              <w:pStyle w:val="TableText"/>
              <w:rPr>
                <w:b/>
                <w:bCs/>
                <w:color w:val="000000" w:themeColor="text1"/>
              </w:rPr>
            </w:pPr>
            <w:r w:rsidRPr="005B471D">
              <w:rPr>
                <w:b/>
                <w:bCs/>
                <w:color w:val="000000" w:themeColor="text1"/>
              </w:rPr>
              <w:t>Sex</w:t>
            </w:r>
          </w:p>
        </w:tc>
        <w:tc>
          <w:tcPr>
            <w:tcW w:w="373" w:type="dxa"/>
            <w:tcMar>
              <w:left w:w="58" w:type="dxa"/>
              <w:right w:w="58" w:type="dxa"/>
            </w:tcMar>
          </w:tcPr>
          <w:p w14:paraId="4ADA2077" w14:textId="77777777" w:rsidR="00EB017E" w:rsidRPr="005A48E4" w:rsidRDefault="00EB017E" w:rsidP="00680D52">
            <w:pPr>
              <w:pStyle w:val="TableText"/>
              <w:jc w:val="right"/>
              <w:rPr>
                <w:b/>
                <w:sz w:val="13"/>
                <w:szCs w:val="13"/>
              </w:rPr>
            </w:pPr>
          </w:p>
        </w:tc>
        <w:tc>
          <w:tcPr>
            <w:tcW w:w="617" w:type="dxa"/>
            <w:tcMar>
              <w:left w:w="58" w:type="dxa"/>
              <w:right w:w="58" w:type="dxa"/>
            </w:tcMar>
          </w:tcPr>
          <w:p w14:paraId="2D1C4F98" w14:textId="77777777" w:rsidR="00EB017E" w:rsidRPr="005A48E4" w:rsidRDefault="00EB017E" w:rsidP="00680D52">
            <w:pPr>
              <w:pStyle w:val="TableText"/>
              <w:jc w:val="right"/>
              <w:rPr>
                <w:b/>
                <w:sz w:val="13"/>
                <w:szCs w:val="13"/>
              </w:rPr>
            </w:pPr>
          </w:p>
        </w:tc>
        <w:tc>
          <w:tcPr>
            <w:tcW w:w="753" w:type="dxa"/>
            <w:tcMar>
              <w:left w:w="58" w:type="dxa"/>
              <w:right w:w="58" w:type="dxa"/>
            </w:tcMar>
          </w:tcPr>
          <w:p w14:paraId="3226564F" w14:textId="77777777" w:rsidR="00EB017E" w:rsidRPr="005A48E4" w:rsidRDefault="00EB017E" w:rsidP="00680D52">
            <w:pPr>
              <w:pStyle w:val="TableText"/>
              <w:jc w:val="right"/>
              <w:rPr>
                <w:sz w:val="13"/>
                <w:szCs w:val="13"/>
              </w:rPr>
            </w:pPr>
          </w:p>
        </w:tc>
        <w:tc>
          <w:tcPr>
            <w:tcW w:w="408" w:type="dxa"/>
            <w:tcMar>
              <w:left w:w="58" w:type="dxa"/>
              <w:right w:w="58" w:type="dxa"/>
            </w:tcMar>
          </w:tcPr>
          <w:p w14:paraId="03C9D13F" w14:textId="77777777" w:rsidR="00EB017E" w:rsidRPr="005A48E4" w:rsidRDefault="00EB017E" w:rsidP="00680D52">
            <w:pPr>
              <w:pStyle w:val="TableText"/>
              <w:jc w:val="right"/>
              <w:rPr>
                <w:b/>
                <w:sz w:val="13"/>
                <w:szCs w:val="13"/>
              </w:rPr>
            </w:pPr>
          </w:p>
        </w:tc>
        <w:tc>
          <w:tcPr>
            <w:tcW w:w="639" w:type="dxa"/>
            <w:tcMar>
              <w:left w:w="58" w:type="dxa"/>
              <w:right w:w="58" w:type="dxa"/>
            </w:tcMar>
          </w:tcPr>
          <w:p w14:paraId="706D085E" w14:textId="77777777" w:rsidR="00EB017E" w:rsidRPr="005A48E4" w:rsidRDefault="00EB017E" w:rsidP="00680D52">
            <w:pPr>
              <w:pStyle w:val="TableText"/>
              <w:jc w:val="right"/>
              <w:rPr>
                <w:b/>
                <w:sz w:val="13"/>
                <w:szCs w:val="13"/>
              </w:rPr>
            </w:pPr>
          </w:p>
        </w:tc>
        <w:tc>
          <w:tcPr>
            <w:tcW w:w="731" w:type="dxa"/>
            <w:tcMar>
              <w:left w:w="58" w:type="dxa"/>
              <w:right w:w="58" w:type="dxa"/>
            </w:tcMar>
          </w:tcPr>
          <w:p w14:paraId="21E6FDFA" w14:textId="77777777" w:rsidR="00EB017E" w:rsidRPr="005A48E4" w:rsidRDefault="00EB017E" w:rsidP="00680D52">
            <w:pPr>
              <w:pStyle w:val="TableText"/>
              <w:jc w:val="right"/>
              <w:rPr>
                <w:b/>
                <w:sz w:val="13"/>
                <w:szCs w:val="13"/>
              </w:rPr>
            </w:pPr>
          </w:p>
        </w:tc>
        <w:tc>
          <w:tcPr>
            <w:tcW w:w="344" w:type="dxa"/>
            <w:tcMar>
              <w:left w:w="58" w:type="dxa"/>
              <w:right w:w="58" w:type="dxa"/>
            </w:tcMar>
          </w:tcPr>
          <w:p w14:paraId="35AA352A" w14:textId="77777777" w:rsidR="00EB017E" w:rsidRPr="005A48E4" w:rsidRDefault="00EB017E" w:rsidP="00680D52">
            <w:pPr>
              <w:pStyle w:val="TableText"/>
              <w:jc w:val="right"/>
              <w:rPr>
                <w:b/>
                <w:sz w:val="13"/>
                <w:szCs w:val="13"/>
              </w:rPr>
            </w:pPr>
          </w:p>
        </w:tc>
        <w:tc>
          <w:tcPr>
            <w:tcW w:w="635" w:type="dxa"/>
            <w:tcMar>
              <w:left w:w="58" w:type="dxa"/>
              <w:right w:w="58" w:type="dxa"/>
            </w:tcMar>
          </w:tcPr>
          <w:p w14:paraId="5DC661D3" w14:textId="77777777" w:rsidR="00EB017E" w:rsidRPr="005A48E4" w:rsidRDefault="00EB017E" w:rsidP="00680D52">
            <w:pPr>
              <w:pStyle w:val="TableText"/>
              <w:jc w:val="right"/>
              <w:rPr>
                <w:b/>
                <w:sz w:val="13"/>
                <w:szCs w:val="13"/>
              </w:rPr>
            </w:pPr>
          </w:p>
        </w:tc>
        <w:tc>
          <w:tcPr>
            <w:tcW w:w="735" w:type="dxa"/>
            <w:tcMar>
              <w:left w:w="58" w:type="dxa"/>
              <w:right w:w="58" w:type="dxa"/>
            </w:tcMar>
          </w:tcPr>
          <w:p w14:paraId="1EA3C621"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0BF497BD" w14:textId="77777777" w:rsidR="00EB017E" w:rsidRPr="005A48E4" w:rsidRDefault="00EB017E" w:rsidP="00680D52">
            <w:pPr>
              <w:pStyle w:val="TableText"/>
              <w:jc w:val="right"/>
              <w:rPr>
                <w:b/>
                <w:sz w:val="13"/>
                <w:szCs w:val="13"/>
              </w:rPr>
            </w:pPr>
          </w:p>
        </w:tc>
        <w:tc>
          <w:tcPr>
            <w:tcW w:w="657" w:type="dxa"/>
            <w:tcMar>
              <w:left w:w="58" w:type="dxa"/>
              <w:right w:w="58" w:type="dxa"/>
            </w:tcMar>
          </w:tcPr>
          <w:p w14:paraId="416DE688" w14:textId="77777777" w:rsidR="00EB017E" w:rsidRPr="005A48E4" w:rsidRDefault="00EB017E" w:rsidP="00680D52">
            <w:pPr>
              <w:pStyle w:val="TableText"/>
              <w:jc w:val="right"/>
              <w:rPr>
                <w:b/>
                <w:sz w:val="13"/>
                <w:szCs w:val="13"/>
              </w:rPr>
            </w:pPr>
          </w:p>
        </w:tc>
        <w:tc>
          <w:tcPr>
            <w:tcW w:w="713" w:type="dxa"/>
            <w:tcMar>
              <w:left w:w="58" w:type="dxa"/>
              <w:right w:w="58" w:type="dxa"/>
            </w:tcMar>
          </w:tcPr>
          <w:p w14:paraId="3031C414" w14:textId="77777777" w:rsidR="00EB017E" w:rsidRPr="005A48E4" w:rsidRDefault="00EB017E" w:rsidP="00680D52">
            <w:pPr>
              <w:pStyle w:val="TableText"/>
              <w:jc w:val="right"/>
              <w:rPr>
                <w:sz w:val="13"/>
                <w:szCs w:val="13"/>
              </w:rPr>
            </w:pPr>
          </w:p>
        </w:tc>
        <w:tc>
          <w:tcPr>
            <w:tcW w:w="408" w:type="dxa"/>
            <w:tcMar>
              <w:left w:w="58" w:type="dxa"/>
              <w:right w:w="58" w:type="dxa"/>
            </w:tcMar>
          </w:tcPr>
          <w:p w14:paraId="003BF07C" w14:textId="77777777" w:rsidR="00EB017E" w:rsidRPr="005A48E4" w:rsidRDefault="00EB017E" w:rsidP="00680D52">
            <w:pPr>
              <w:pStyle w:val="TableText"/>
              <w:jc w:val="right"/>
              <w:rPr>
                <w:b/>
                <w:sz w:val="13"/>
                <w:szCs w:val="13"/>
              </w:rPr>
            </w:pPr>
          </w:p>
        </w:tc>
        <w:tc>
          <w:tcPr>
            <w:tcW w:w="679" w:type="dxa"/>
            <w:tcMar>
              <w:left w:w="58" w:type="dxa"/>
              <w:right w:w="58" w:type="dxa"/>
            </w:tcMar>
          </w:tcPr>
          <w:p w14:paraId="168587E3" w14:textId="77777777" w:rsidR="00EB017E" w:rsidRPr="005A48E4" w:rsidRDefault="00EB017E" w:rsidP="00680D52">
            <w:pPr>
              <w:pStyle w:val="TableText"/>
              <w:jc w:val="right"/>
              <w:rPr>
                <w:b/>
                <w:sz w:val="13"/>
                <w:szCs w:val="13"/>
              </w:rPr>
            </w:pPr>
          </w:p>
        </w:tc>
        <w:tc>
          <w:tcPr>
            <w:tcW w:w="826" w:type="dxa"/>
            <w:tcMar>
              <w:left w:w="58" w:type="dxa"/>
              <w:right w:w="58" w:type="dxa"/>
            </w:tcMar>
          </w:tcPr>
          <w:p w14:paraId="1BBAC3D8"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66F7F609" w14:textId="77777777" w:rsidR="00EB017E" w:rsidRPr="005A48E4" w:rsidRDefault="00EB017E" w:rsidP="00680D52">
            <w:pPr>
              <w:pStyle w:val="TableText"/>
              <w:jc w:val="right"/>
              <w:rPr>
                <w:b/>
                <w:sz w:val="13"/>
                <w:szCs w:val="13"/>
              </w:rPr>
            </w:pPr>
          </w:p>
        </w:tc>
        <w:tc>
          <w:tcPr>
            <w:tcW w:w="656" w:type="dxa"/>
            <w:tcMar>
              <w:left w:w="58" w:type="dxa"/>
              <w:right w:w="58" w:type="dxa"/>
            </w:tcMar>
          </w:tcPr>
          <w:p w14:paraId="51A6AF01" w14:textId="77777777" w:rsidR="00EB017E" w:rsidRPr="005A48E4" w:rsidRDefault="00EB017E" w:rsidP="00680D52">
            <w:pPr>
              <w:pStyle w:val="TableText"/>
              <w:jc w:val="right"/>
              <w:rPr>
                <w:b/>
                <w:sz w:val="13"/>
                <w:szCs w:val="13"/>
              </w:rPr>
            </w:pPr>
          </w:p>
        </w:tc>
        <w:tc>
          <w:tcPr>
            <w:tcW w:w="785" w:type="dxa"/>
            <w:tcMar>
              <w:left w:w="58" w:type="dxa"/>
              <w:right w:w="58" w:type="dxa"/>
            </w:tcMar>
          </w:tcPr>
          <w:p w14:paraId="02949D3F" w14:textId="77777777" w:rsidR="00EB017E" w:rsidRPr="005A48E4" w:rsidRDefault="00EB017E" w:rsidP="00680D52">
            <w:pPr>
              <w:pStyle w:val="TableText"/>
              <w:jc w:val="right"/>
              <w:rPr>
                <w:b/>
                <w:sz w:val="13"/>
                <w:szCs w:val="13"/>
              </w:rPr>
            </w:pPr>
          </w:p>
        </w:tc>
      </w:tr>
      <w:tr w:rsidR="00BD41F3" w:rsidRPr="003860A9" w14:paraId="1A2FDA25"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1DD0F20E" w14:textId="77777777" w:rsidR="00EB017E" w:rsidRPr="005B471D" w:rsidRDefault="00EB017E" w:rsidP="000A2491">
            <w:pPr>
              <w:pStyle w:val="TableText"/>
              <w:rPr>
                <w:bCs/>
                <w:color w:val="000000" w:themeColor="text1"/>
              </w:rPr>
            </w:pPr>
            <w:r w:rsidRPr="005B471D">
              <w:rPr>
                <w:bCs/>
                <w:color w:val="000000" w:themeColor="text1"/>
              </w:rPr>
              <w:t>Male</w:t>
            </w:r>
          </w:p>
        </w:tc>
        <w:tc>
          <w:tcPr>
            <w:tcW w:w="373" w:type="dxa"/>
            <w:tcMar>
              <w:left w:w="58" w:type="dxa"/>
              <w:right w:w="58" w:type="dxa"/>
            </w:tcMar>
          </w:tcPr>
          <w:p w14:paraId="73E2CDC9" w14:textId="77777777" w:rsidR="00EB017E" w:rsidRPr="005A48E4" w:rsidRDefault="00EB017E" w:rsidP="00680D52">
            <w:pPr>
              <w:pStyle w:val="TableText"/>
              <w:jc w:val="right"/>
              <w:rPr>
                <w:b/>
                <w:sz w:val="13"/>
                <w:szCs w:val="13"/>
              </w:rPr>
            </w:pPr>
            <w:r w:rsidRPr="005A48E4">
              <w:rPr>
                <w:sz w:val="13"/>
                <w:szCs w:val="13"/>
              </w:rPr>
              <w:t>200</w:t>
            </w:r>
          </w:p>
        </w:tc>
        <w:tc>
          <w:tcPr>
            <w:tcW w:w="617" w:type="dxa"/>
            <w:tcMar>
              <w:left w:w="58" w:type="dxa"/>
              <w:right w:w="58" w:type="dxa"/>
            </w:tcMar>
          </w:tcPr>
          <w:p w14:paraId="5EFD9BE4" w14:textId="77777777" w:rsidR="00EB017E" w:rsidRPr="005A48E4" w:rsidRDefault="00EB017E" w:rsidP="00680D52">
            <w:pPr>
              <w:pStyle w:val="TableText"/>
              <w:jc w:val="right"/>
              <w:rPr>
                <w:b/>
                <w:sz w:val="13"/>
                <w:szCs w:val="13"/>
              </w:rPr>
            </w:pPr>
            <w:r w:rsidRPr="005A48E4">
              <w:rPr>
                <w:sz w:val="13"/>
                <w:szCs w:val="13"/>
              </w:rPr>
              <w:t>1461</w:t>
            </w:r>
          </w:p>
        </w:tc>
        <w:tc>
          <w:tcPr>
            <w:tcW w:w="753" w:type="dxa"/>
            <w:tcMar>
              <w:left w:w="58" w:type="dxa"/>
              <w:right w:w="58" w:type="dxa"/>
            </w:tcMar>
          </w:tcPr>
          <w:p w14:paraId="42526E0B" w14:textId="77777777" w:rsidR="00EB017E" w:rsidRPr="005A48E4" w:rsidRDefault="00EB017E" w:rsidP="00680D52">
            <w:pPr>
              <w:pStyle w:val="TableText"/>
              <w:jc w:val="right"/>
              <w:rPr>
                <w:sz w:val="13"/>
                <w:szCs w:val="13"/>
              </w:rPr>
            </w:pPr>
            <w:r w:rsidRPr="005A48E4">
              <w:rPr>
                <w:sz w:val="13"/>
                <w:szCs w:val="13"/>
              </w:rPr>
              <w:t>29.3 (25.1,</w:t>
            </w:r>
            <w:r w:rsidR="005A48E4">
              <w:rPr>
                <w:sz w:val="13"/>
                <w:szCs w:val="13"/>
              </w:rPr>
              <w:t> </w:t>
            </w:r>
            <w:r w:rsidRPr="005A48E4">
              <w:rPr>
                <w:sz w:val="13"/>
                <w:szCs w:val="13"/>
              </w:rPr>
              <w:t>33.8)</w:t>
            </w:r>
          </w:p>
        </w:tc>
        <w:tc>
          <w:tcPr>
            <w:tcW w:w="408" w:type="dxa"/>
            <w:tcMar>
              <w:left w:w="58" w:type="dxa"/>
              <w:right w:w="58" w:type="dxa"/>
            </w:tcMar>
          </w:tcPr>
          <w:p w14:paraId="6F546B45" w14:textId="77777777" w:rsidR="00EB017E" w:rsidRPr="005A48E4" w:rsidRDefault="00EB017E" w:rsidP="00680D52">
            <w:pPr>
              <w:pStyle w:val="TableText"/>
              <w:jc w:val="right"/>
              <w:rPr>
                <w:b/>
                <w:sz w:val="13"/>
                <w:szCs w:val="13"/>
              </w:rPr>
            </w:pPr>
            <w:r w:rsidRPr="005A48E4">
              <w:rPr>
                <w:sz w:val="13"/>
                <w:szCs w:val="13"/>
              </w:rPr>
              <w:t>424</w:t>
            </w:r>
          </w:p>
        </w:tc>
        <w:tc>
          <w:tcPr>
            <w:tcW w:w="639" w:type="dxa"/>
            <w:tcMar>
              <w:left w:w="58" w:type="dxa"/>
              <w:right w:w="58" w:type="dxa"/>
            </w:tcMar>
          </w:tcPr>
          <w:p w14:paraId="14A416A7" w14:textId="77777777" w:rsidR="00EB017E" w:rsidRPr="005A48E4" w:rsidRDefault="00EB017E" w:rsidP="00680D52">
            <w:pPr>
              <w:pStyle w:val="TableText"/>
              <w:jc w:val="right"/>
              <w:rPr>
                <w:b/>
                <w:sz w:val="13"/>
                <w:szCs w:val="13"/>
              </w:rPr>
            </w:pPr>
            <w:r w:rsidRPr="005A48E4">
              <w:rPr>
                <w:sz w:val="13"/>
                <w:szCs w:val="13"/>
              </w:rPr>
              <w:t>3076</w:t>
            </w:r>
          </w:p>
        </w:tc>
        <w:tc>
          <w:tcPr>
            <w:tcW w:w="731" w:type="dxa"/>
            <w:tcMar>
              <w:left w:w="58" w:type="dxa"/>
              <w:right w:w="58" w:type="dxa"/>
            </w:tcMar>
          </w:tcPr>
          <w:p w14:paraId="7605BD63" w14:textId="77777777" w:rsidR="00EB017E" w:rsidRPr="005A48E4" w:rsidRDefault="00EB017E" w:rsidP="00680D52">
            <w:pPr>
              <w:pStyle w:val="TableText"/>
              <w:jc w:val="right"/>
              <w:rPr>
                <w:b/>
                <w:sz w:val="13"/>
                <w:szCs w:val="13"/>
              </w:rPr>
            </w:pPr>
            <w:r w:rsidRPr="005A48E4">
              <w:rPr>
                <w:sz w:val="13"/>
                <w:szCs w:val="13"/>
              </w:rPr>
              <w:t>61.6 (56.8,</w:t>
            </w:r>
            <w:r w:rsidR="005A48E4">
              <w:rPr>
                <w:sz w:val="13"/>
                <w:szCs w:val="13"/>
              </w:rPr>
              <w:t> </w:t>
            </w:r>
            <w:r w:rsidRPr="005A48E4">
              <w:rPr>
                <w:sz w:val="13"/>
                <w:szCs w:val="13"/>
              </w:rPr>
              <w:t>66.3)</w:t>
            </w:r>
          </w:p>
        </w:tc>
        <w:tc>
          <w:tcPr>
            <w:tcW w:w="344" w:type="dxa"/>
            <w:tcMar>
              <w:left w:w="58" w:type="dxa"/>
              <w:right w:w="58" w:type="dxa"/>
            </w:tcMar>
          </w:tcPr>
          <w:p w14:paraId="553F6C0F" w14:textId="77777777" w:rsidR="00EB017E" w:rsidRPr="005A48E4" w:rsidRDefault="00EB017E" w:rsidP="00680D52">
            <w:pPr>
              <w:pStyle w:val="TableText"/>
              <w:jc w:val="right"/>
              <w:rPr>
                <w:b/>
                <w:sz w:val="13"/>
                <w:szCs w:val="13"/>
              </w:rPr>
            </w:pPr>
            <w:r w:rsidRPr="005A48E4">
              <w:rPr>
                <w:sz w:val="13"/>
                <w:szCs w:val="13"/>
              </w:rPr>
              <w:t>31</w:t>
            </w:r>
          </w:p>
        </w:tc>
        <w:tc>
          <w:tcPr>
            <w:tcW w:w="635" w:type="dxa"/>
            <w:tcMar>
              <w:left w:w="58" w:type="dxa"/>
              <w:right w:w="58" w:type="dxa"/>
            </w:tcMar>
          </w:tcPr>
          <w:p w14:paraId="7D216745" w14:textId="77777777" w:rsidR="00EB017E" w:rsidRPr="005A48E4" w:rsidRDefault="00EB017E" w:rsidP="00680D52">
            <w:pPr>
              <w:pStyle w:val="TableText"/>
              <w:jc w:val="right"/>
              <w:rPr>
                <w:b/>
                <w:sz w:val="13"/>
                <w:szCs w:val="13"/>
              </w:rPr>
            </w:pPr>
            <w:r w:rsidRPr="005A48E4">
              <w:rPr>
                <w:sz w:val="13"/>
                <w:szCs w:val="13"/>
              </w:rPr>
              <w:t>355</w:t>
            </w:r>
          </w:p>
        </w:tc>
        <w:tc>
          <w:tcPr>
            <w:tcW w:w="735" w:type="dxa"/>
            <w:tcMar>
              <w:left w:w="58" w:type="dxa"/>
              <w:right w:w="58" w:type="dxa"/>
            </w:tcMar>
          </w:tcPr>
          <w:p w14:paraId="0583AA85" w14:textId="77777777" w:rsidR="00EB017E" w:rsidRPr="005A48E4" w:rsidRDefault="00EB017E" w:rsidP="00680D52">
            <w:pPr>
              <w:pStyle w:val="TableText"/>
              <w:jc w:val="right"/>
              <w:rPr>
                <w:b/>
                <w:sz w:val="13"/>
                <w:szCs w:val="13"/>
              </w:rPr>
            </w:pPr>
            <w:r w:rsidRPr="005A48E4">
              <w:rPr>
                <w:sz w:val="13"/>
                <w:szCs w:val="13"/>
              </w:rPr>
              <w:t>7.1 (4.7,</w:t>
            </w:r>
            <w:r w:rsidR="005A48E4">
              <w:rPr>
                <w:sz w:val="13"/>
                <w:szCs w:val="13"/>
              </w:rPr>
              <w:t> </w:t>
            </w:r>
            <w:r w:rsidRPr="005A48E4">
              <w:rPr>
                <w:sz w:val="13"/>
                <w:szCs w:val="13"/>
              </w:rPr>
              <w:t>10.6)</w:t>
            </w:r>
          </w:p>
        </w:tc>
        <w:tc>
          <w:tcPr>
            <w:tcW w:w="408" w:type="dxa"/>
            <w:tcMar>
              <w:left w:w="58" w:type="dxa"/>
              <w:right w:w="58" w:type="dxa"/>
            </w:tcMar>
          </w:tcPr>
          <w:p w14:paraId="27316BE3" w14:textId="77777777" w:rsidR="00EB017E" w:rsidRPr="005A48E4" w:rsidRDefault="00EB017E" w:rsidP="00680D52">
            <w:pPr>
              <w:pStyle w:val="TableText"/>
              <w:jc w:val="right"/>
              <w:rPr>
                <w:b/>
                <w:sz w:val="13"/>
                <w:szCs w:val="13"/>
              </w:rPr>
            </w:pPr>
            <w:r w:rsidRPr="005A48E4">
              <w:rPr>
                <w:sz w:val="13"/>
                <w:szCs w:val="13"/>
              </w:rPr>
              <w:t>208</w:t>
            </w:r>
          </w:p>
        </w:tc>
        <w:tc>
          <w:tcPr>
            <w:tcW w:w="657" w:type="dxa"/>
            <w:tcMar>
              <w:left w:w="58" w:type="dxa"/>
              <w:right w:w="58" w:type="dxa"/>
            </w:tcMar>
          </w:tcPr>
          <w:p w14:paraId="2E04A674" w14:textId="77777777" w:rsidR="00EB017E" w:rsidRPr="005A48E4" w:rsidRDefault="00EB017E" w:rsidP="00680D52">
            <w:pPr>
              <w:pStyle w:val="TableText"/>
              <w:jc w:val="right"/>
              <w:rPr>
                <w:b/>
                <w:sz w:val="13"/>
                <w:szCs w:val="13"/>
              </w:rPr>
            </w:pPr>
            <w:r w:rsidRPr="005A48E4">
              <w:rPr>
                <w:sz w:val="13"/>
                <w:szCs w:val="13"/>
              </w:rPr>
              <w:t>1509</w:t>
            </w:r>
          </w:p>
        </w:tc>
        <w:tc>
          <w:tcPr>
            <w:tcW w:w="713" w:type="dxa"/>
            <w:tcMar>
              <w:left w:w="58" w:type="dxa"/>
              <w:right w:w="58" w:type="dxa"/>
            </w:tcMar>
          </w:tcPr>
          <w:p w14:paraId="03727275" w14:textId="77777777" w:rsidR="00EB017E" w:rsidRPr="005A48E4" w:rsidRDefault="00EB017E" w:rsidP="00680D52">
            <w:pPr>
              <w:pStyle w:val="TableText"/>
              <w:jc w:val="right"/>
              <w:rPr>
                <w:sz w:val="13"/>
                <w:szCs w:val="13"/>
              </w:rPr>
            </w:pPr>
            <w:r w:rsidRPr="005A48E4">
              <w:rPr>
                <w:sz w:val="13"/>
                <w:szCs w:val="13"/>
              </w:rPr>
              <w:t>19.8 (11.5,</w:t>
            </w:r>
            <w:r w:rsidR="005A48E4">
              <w:rPr>
                <w:sz w:val="13"/>
                <w:szCs w:val="13"/>
              </w:rPr>
              <w:t> </w:t>
            </w:r>
            <w:r w:rsidRPr="005A48E4">
              <w:rPr>
                <w:sz w:val="13"/>
                <w:szCs w:val="13"/>
              </w:rPr>
              <w:t>31.9)</w:t>
            </w:r>
          </w:p>
        </w:tc>
        <w:tc>
          <w:tcPr>
            <w:tcW w:w="408" w:type="dxa"/>
            <w:tcMar>
              <w:left w:w="58" w:type="dxa"/>
              <w:right w:w="58" w:type="dxa"/>
            </w:tcMar>
          </w:tcPr>
          <w:p w14:paraId="589D9C76" w14:textId="77777777" w:rsidR="00EB017E" w:rsidRPr="005A48E4" w:rsidRDefault="00EB017E" w:rsidP="00680D52">
            <w:pPr>
              <w:pStyle w:val="TableText"/>
              <w:jc w:val="right"/>
              <w:rPr>
                <w:b/>
                <w:sz w:val="13"/>
                <w:szCs w:val="13"/>
              </w:rPr>
            </w:pPr>
            <w:r w:rsidRPr="005A48E4">
              <w:rPr>
                <w:sz w:val="13"/>
                <w:szCs w:val="13"/>
              </w:rPr>
              <w:t>697</w:t>
            </w:r>
          </w:p>
        </w:tc>
        <w:tc>
          <w:tcPr>
            <w:tcW w:w="679" w:type="dxa"/>
            <w:tcMar>
              <w:left w:w="58" w:type="dxa"/>
              <w:right w:w="58" w:type="dxa"/>
            </w:tcMar>
          </w:tcPr>
          <w:p w14:paraId="31885048" w14:textId="77777777" w:rsidR="00EB017E" w:rsidRPr="005A48E4" w:rsidRDefault="00EB017E" w:rsidP="00680D52">
            <w:pPr>
              <w:pStyle w:val="TableText"/>
              <w:jc w:val="right"/>
              <w:rPr>
                <w:b/>
                <w:sz w:val="13"/>
                <w:szCs w:val="13"/>
              </w:rPr>
            </w:pPr>
            <w:r w:rsidRPr="005A48E4">
              <w:rPr>
                <w:sz w:val="13"/>
                <w:szCs w:val="13"/>
              </w:rPr>
              <w:t>5076</w:t>
            </w:r>
          </w:p>
        </w:tc>
        <w:tc>
          <w:tcPr>
            <w:tcW w:w="826" w:type="dxa"/>
            <w:tcMar>
              <w:left w:w="58" w:type="dxa"/>
              <w:right w:w="58" w:type="dxa"/>
            </w:tcMar>
          </w:tcPr>
          <w:p w14:paraId="557CA5D5" w14:textId="77777777" w:rsidR="00EB017E" w:rsidRPr="005A48E4" w:rsidRDefault="00EB017E" w:rsidP="00680D52">
            <w:pPr>
              <w:pStyle w:val="TableText"/>
              <w:jc w:val="right"/>
              <w:rPr>
                <w:b/>
                <w:sz w:val="13"/>
                <w:szCs w:val="13"/>
              </w:rPr>
            </w:pPr>
            <w:r w:rsidRPr="005A48E4">
              <w:rPr>
                <w:sz w:val="13"/>
                <w:szCs w:val="13"/>
              </w:rPr>
              <w:t>66.5 (54.6,</w:t>
            </w:r>
            <w:r w:rsidR="005A48E4">
              <w:rPr>
                <w:sz w:val="13"/>
                <w:szCs w:val="13"/>
              </w:rPr>
              <w:t> </w:t>
            </w:r>
            <w:r w:rsidRPr="005A48E4">
              <w:rPr>
                <w:sz w:val="13"/>
                <w:szCs w:val="13"/>
              </w:rPr>
              <w:t>76.6)</w:t>
            </w:r>
          </w:p>
        </w:tc>
        <w:tc>
          <w:tcPr>
            <w:tcW w:w="408" w:type="dxa"/>
            <w:tcMar>
              <w:left w:w="58" w:type="dxa"/>
              <w:right w:w="58" w:type="dxa"/>
            </w:tcMar>
          </w:tcPr>
          <w:p w14:paraId="29F2C7C1" w14:textId="77777777" w:rsidR="00EB017E" w:rsidRPr="005A48E4" w:rsidRDefault="00EB017E" w:rsidP="00680D52">
            <w:pPr>
              <w:pStyle w:val="TableText"/>
              <w:jc w:val="right"/>
              <w:rPr>
                <w:b/>
                <w:sz w:val="13"/>
                <w:szCs w:val="13"/>
              </w:rPr>
            </w:pPr>
            <w:r w:rsidRPr="005A48E4">
              <w:rPr>
                <w:sz w:val="13"/>
                <w:szCs w:val="13"/>
              </w:rPr>
              <w:t>90</w:t>
            </w:r>
          </w:p>
        </w:tc>
        <w:tc>
          <w:tcPr>
            <w:tcW w:w="656" w:type="dxa"/>
            <w:tcMar>
              <w:left w:w="58" w:type="dxa"/>
              <w:right w:w="58" w:type="dxa"/>
            </w:tcMar>
          </w:tcPr>
          <w:p w14:paraId="61E5F5C0" w14:textId="77777777" w:rsidR="00EB017E" w:rsidRPr="005A48E4" w:rsidRDefault="00EB017E" w:rsidP="00680D52">
            <w:pPr>
              <w:pStyle w:val="TableText"/>
              <w:jc w:val="right"/>
              <w:rPr>
                <w:b/>
                <w:sz w:val="13"/>
                <w:szCs w:val="13"/>
              </w:rPr>
            </w:pPr>
            <w:r w:rsidRPr="005A48E4">
              <w:rPr>
                <w:sz w:val="13"/>
                <w:szCs w:val="13"/>
              </w:rPr>
              <w:t>1020</w:t>
            </w:r>
          </w:p>
        </w:tc>
        <w:tc>
          <w:tcPr>
            <w:tcW w:w="785" w:type="dxa"/>
            <w:tcMar>
              <w:left w:w="58" w:type="dxa"/>
              <w:right w:w="58" w:type="dxa"/>
            </w:tcMar>
          </w:tcPr>
          <w:p w14:paraId="4E11C142" w14:textId="77777777" w:rsidR="00EB017E" w:rsidRPr="005A48E4" w:rsidRDefault="00EB017E" w:rsidP="00680D52">
            <w:pPr>
              <w:pStyle w:val="TableText"/>
              <w:jc w:val="right"/>
              <w:rPr>
                <w:sz w:val="13"/>
                <w:szCs w:val="13"/>
              </w:rPr>
            </w:pPr>
            <w:r w:rsidRPr="005A48E4">
              <w:rPr>
                <w:sz w:val="13"/>
                <w:szCs w:val="13"/>
              </w:rPr>
              <w:t>13.4 (6.9,</w:t>
            </w:r>
            <w:r w:rsidR="005A48E4">
              <w:rPr>
                <w:sz w:val="13"/>
                <w:szCs w:val="13"/>
              </w:rPr>
              <w:t> </w:t>
            </w:r>
            <w:r w:rsidRPr="005A48E4">
              <w:rPr>
                <w:sz w:val="13"/>
                <w:szCs w:val="13"/>
              </w:rPr>
              <w:t>24.3)</w:t>
            </w:r>
          </w:p>
        </w:tc>
      </w:tr>
      <w:tr w:rsidR="00680D52" w:rsidRPr="003860A9" w14:paraId="482EF932" w14:textId="77777777" w:rsidTr="00680D52">
        <w:trPr>
          <w:cantSplit/>
        </w:trPr>
        <w:tc>
          <w:tcPr>
            <w:tcW w:w="745" w:type="dxa"/>
          </w:tcPr>
          <w:p w14:paraId="38D076C3" w14:textId="77777777" w:rsidR="00EB017E" w:rsidRPr="005B471D" w:rsidRDefault="00EB017E" w:rsidP="000A2491">
            <w:pPr>
              <w:pStyle w:val="TableText"/>
              <w:rPr>
                <w:bCs/>
                <w:color w:val="000000" w:themeColor="text1"/>
              </w:rPr>
            </w:pPr>
            <w:r w:rsidRPr="005B471D">
              <w:rPr>
                <w:bCs/>
                <w:color w:val="000000" w:themeColor="text1"/>
              </w:rPr>
              <w:t>Female</w:t>
            </w:r>
          </w:p>
        </w:tc>
        <w:tc>
          <w:tcPr>
            <w:tcW w:w="373" w:type="dxa"/>
            <w:tcMar>
              <w:left w:w="58" w:type="dxa"/>
              <w:right w:w="58" w:type="dxa"/>
            </w:tcMar>
          </w:tcPr>
          <w:p w14:paraId="3068EEF5" w14:textId="77777777" w:rsidR="00EB017E" w:rsidRPr="005A48E4" w:rsidRDefault="00EB017E" w:rsidP="00680D52">
            <w:pPr>
              <w:pStyle w:val="TableText"/>
              <w:jc w:val="right"/>
              <w:rPr>
                <w:b/>
                <w:sz w:val="13"/>
                <w:szCs w:val="13"/>
              </w:rPr>
            </w:pPr>
            <w:r w:rsidRPr="005A48E4">
              <w:rPr>
                <w:sz w:val="13"/>
                <w:szCs w:val="13"/>
              </w:rPr>
              <w:t>59</w:t>
            </w:r>
          </w:p>
        </w:tc>
        <w:tc>
          <w:tcPr>
            <w:tcW w:w="617" w:type="dxa"/>
            <w:tcMar>
              <w:left w:w="58" w:type="dxa"/>
              <w:right w:w="58" w:type="dxa"/>
            </w:tcMar>
          </w:tcPr>
          <w:p w14:paraId="44A3F7DB" w14:textId="77777777" w:rsidR="00EB017E" w:rsidRPr="005A48E4" w:rsidRDefault="00EB017E" w:rsidP="00680D52">
            <w:pPr>
              <w:pStyle w:val="TableText"/>
              <w:jc w:val="right"/>
              <w:rPr>
                <w:b/>
                <w:sz w:val="13"/>
                <w:szCs w:val="13"/>
              </w:rPr>
            </w:pPr>
            <w:r w:rsidRPr="005A48E4">
              <w:rPr>
                <w:sz w:val="13"/>
                <w:szCs w:val="13"/>
              </w:rPr>
              <w:t>317</w:t>
            </w:r>
          </w:p>
        </w:tc>
        <w:tc>
          <w:tcPr>
            <w:tcW w:w="753" w:type="dxa"/>
            <w:tcMar>
              <w:left w:w="58" w:type="dxa"/>
              <w:right w:w="58" w:type="dxa"/>
            </w:tcMar>
          </w:tcPr>
          <w:p w14:paraId="61687801" w14:textId="77777777" w:rsidR="00EB017E" w:rsidRPr="005A48E4" w:rsidRDefault="00EB017E" w:rsidP="00680D52">
            <w:pPr>
              <w:pStyle w:val="TableText"/>
              <w:jc w:val="right"/>
              <w:rPr>
                <w:sz w:val="13"/>
                <w:szCs w:val="13"/>
              </w:rPr>
            </w:pPr>
            <w:r w:rsidRPr="005A48E4">
              <w:rPr>
                <w:sz w:val="13"/>
                <w:szCs w:val="13"/>
              </w:rPr>
              <w:t>28.1 (21.9,</w:t>
            </w:r>
            <w:r w:rsidR="005A48E4">
              <w:rPr>
                <w:sz w:val="13"/>
                <w:szCs w:val="13"/>
              </w:rPr>
              <w:t> </w:t>
            </w:r>
            <w:r w:rsidRPr="005A48E4">
              <w:rPr>
                <w:sz w:val="13"/>
                <w:szCs w:val="13"/>
              </w:rPr>
              <w:t>35.4)</w:t>
            </w:r>
          </w:p>
        </w:tc>
        <w:tc>
          <w:tcPr>
            <w:tcW w:w="408" w:type="dxa"/>
            <w:tcMar>
              <w:left w:w="58" w:type="dxa"/>
              <w:right w:w="58" w:type="dxa"/>
            </w:tcMar>
          </w:tcPr>
          <w:p w14:paraId="7FD0AA55" w14:textId="77777777" w:rsidR="00EB017E" w:rsidRPr="005A48E4" w:rsidRDefault="00EB017E" w:rsidP="00680D52">
            <w:pPr>
              <w:pStyle w:val="TableText"/>
              <w:jc w:val="right"/>
              <w:rPr>
                <w:b/>
                <w:sz w:val="13"/>
                <w:szCs w:val="13"/>
              </w:rPr>
            </w:pPr>
            <w:r w:rsidRPr="005A48E4">
              <w:rPr>
                <w:sz w:val="13"/>
                <w:szCs w:val="13"/>
              </w:rPr>
              <w:t>123</w:t>
            </w:r>
          </w:p>
        </w:tc>
        <w:tc>
          <w:tcPr>
            <w:tcW w:w="639" w:type="dxa"/>
            <w:tcMar>
              <w:left w:w="58" w:type="dxa"/>
              <w:right w:w="58" w:type="dxa"/>
            </w:tcMar>
          </w:tcPr>
          <w:p w14:paraId="03237545" w14:textId="77777777" w:rsidR="00EB017E" w:rsidRPr="005A48E4" w:rsidRDefault="00EB017E" w:rsidP="00680D52">
            <w:pPr>
              <w:pStyle w:val="TableText"/>
              <w:jc w:val="right"/>
              <w:rPr>
                <w:b/>
                <w:sz w:val="13"/>
                <w:szCs w:val="13"/>
              </w:rPr>
            </w:pPr>
            <w:r w:rsidRPr="005A48E4">
              <w:rPr>
                <w:sz w:val="13"/>
                <w:szCs w:val="13"/>
              </w:rPr>
              <w:t>765</w:t>
            </w:r>
          </w:p>
        </w:tc>
        <w:tc>
          <w:tcPr>
            <w:tcW w:w="731" w:type="dxa"/>
            <w:tcMar>
              <w:left w:w="58" w:type="dxa"/>
              <w:right w:w="58" w:type="dxa"/>
            </w:tcMar>
          </w:tcPr>
          <w:p w14:paraId="02568B3F" w14:textId="77777777" w:rsidR="00EB017E" w:rsidRPr="005A48E4" w:rsidRDefault="00EB017E" w:rsidP="00680D52">
            <w:pPr>
              <w:pStyle w:val="TableText"/>
              <w:jc w:val="right"/>
              <w:rPr>
                <w:b/>
                <w:sz w:val="13"/>
                <w:szCs w:val="13"/>
              </w:rPr>
            </w:pPr>
            <w:r w:rsidRPr="005A48E4">
              <w:rPr>
                <w:sz w:val="13"/>
                <w:szCs w:val="13"/>
              </w:rPr>
              <w:t>67.9 (60.6,</w:t>
            </w:r>
            <w:r w:rsidR="005A48E4">
              <w:rPr>
                <w:sz w:val="13"/>
                <w:szCs w:val="13"/>
              </w:rPr>
              <w:t> </w:t>
            </w:r>
            <w:r w:rsidRPr="005A48E4">
              <w:rPr>
                <w:sz w:val="13"/>
                <w:szCs w:val="13"/>
              </w:rPr>
              <w:t>74.5)</w:t>
            </w:r>
          </w:p>
        </w:tc>
        <w:tc>
          <w:tcPr>
            <w:tcW w:w="344" w:type="dxa"/>
            <w:tcMar>
              <w:left w:w="58" w:type="dxa"/>
              <w:right w:w="58" w:type="dxa"/>
            </w:tcMar>
          </w:tcPr>
          <w:p w14:paraId="4D28A5B0" w14:textId="77777777" w:rsidR="00EB017E" w:rsidRPr="005A48E4" w:rsidRDefault="00EB017E" w:rsidP="00680D52">
            <w:pPr>
              <w:pStyle w:val="TableText"/>
              <w:jc w:val="right"/>
              <w:rPr>
                <w:b/>
                <w:sz w:val="13"/>
                <w:szCs w:val="13"/>
              </w:rPr>
            </w:pPr>
            <w:r w:rsidRPr="005A48E4">
              <w:rPr>
                <w:sz w:val="13"/>
                <w:szCs w:val="13"/>
              </w:rPr>
              <w:t>10</w:t>
            </w:r>
          </w:p>
        </w:tc>
        <w:tc>
          <w:tcPr>
            <w:tcW w:w="635" w:type="dxa"/>
            <w:tcMar>
              <w:left w:w="58" w:type="dxa"/>
              <w:right w:w="58" w:type="dxa"/>
            </w:tcMar>
          </w:tcPr>
          <w:p w14:paraId="2B692B73" w14:textId="77777777" w:rsidR="00EB017E" w:rsidRPr="005A48E4" w:rsidRDefault="00EB017E" w:rsidP="00680D52">
            <w:pPr>
              <w:pStyle w:val="TableText"/>
              <w:jc w:val="right"/>
              <w:rPr>
                <w:b/>
                <w:sz w:val="13"/>
                <w:szCs w:val="13"/>
              </w:rPr>
            </w:pPr>
            <w:r w:rsidRPr="005A48E4">
              <w:rPr>
                <w:sz w:val="13"/>
                <w:szCs w:val="13"/>
              </w:rPr>
              <w:t>44</w:t>
            </w:r>
          </w:p>
        </w:tc>
        <w:tc>
          <w:tcPr>
            <w:tcW w:w="735" w:type="dxa"/>
            <w:tcMar>
              <w:left w:w="58" w:type="dxa"/>
              <w:right w:w="58" w:type="dxa"/>
            </w:tcMar>
          </w:tcPr>
          <w:p w14:paraId="7CB496CB" w14:textId="77777777" w:rsidR="00EB017E" w:rsidRPr="005A48E4" w:rsidRDefault="00EB017E" w:rsidP="00680D52">
            <w:pPr>
              <w:pStyle w:val="TableText"/>
              <w:jc w:val="right"/>
              <w:rPr>
                <w:b/>
                <w:sz w:val="13"/>
                <w:szCs w:val="13"/>
              </w:rPr>
            </w:pPr>
            <w:r w:rsidRPr="005A48E4">
              <w:rPr>
                <w:sz w:val="13"/>
                <w:szCs w:val="13"/>
              </w:rPr>
              <w:t>3.9</w:t>
            </w:r>
            <w:r w:rsidR="00680D52">
              <w:rPr>
                <w:sz w:val="13"/>
                <w:szCs w:val="13"/>
              </w:rPr>
              <w:br/>
            </w:r>
            <w:r w:rsidRPr="005A48E4">
              <w:rPr>
                <w:sz w:val="13"/>
                <w:szCs w:val="13"/>
              </w:rPr>
              <w:t>(2.2,</w:t>
            </w:r>
            <w:r w:rsidR="005A48E4">
              <w:rPr>
                <w:sz w:val="13"/>
                <w:szCs w:val="13"/>
              </w:rPr>
              <w:t> </w:t>
            </w:r>
            <w:r w:rsidRPr="005A48E4">
              <w:rPr>
                <w:sz w:val="13"/>
                <w:szCs w:val="13"/>
              </w:rPr>
              <w:t>6.9)</w:t>
            </w:r>
          </w:p>
        </w:tc>
        <w:tc>
          <w:tcPr>
            <w:tcW w:w="408" w:type="dxa"/>
            <w:tcMar>
              <w:left w:w="58" w:type="dxa"/>
              <w:right w:w="58" w:type="dxa"/>
            </w:tcMar>
          </w:tcPr>
          <w:p w14:paraId="3709D68B" w14:textId="77777777" w:rsidR="00EB017E" w:rsidRPr="005A48E4" w:rsidRDefault="00EB017E" w:rsidP="00680D52">
            <w:pPr>
              <w:pStyle w:val="TableText"/>
              <w:jc w:val="right"/>
              <w:rPr>
                <w:b/>
                <w:sz w:val="13"/>
                <w:szCs w:val="13"/>
              </w:rPr>
            </w:pPr>
            <w:r w:rsidRPr="005A48E4">
              <w:rPr>
                <w:sz w:val="13"/>
                <w:szCs w:val="13"/>
              </w:rPr>
              <w:t>90</w:t>
            </w:r>
          </w:p>
        </w:tc>
        <w:tc>
          <w:tcPr>
            <w:tcW w:w="657" w:type="dxa"/>
            <w:tcMar>
              <w:left w:w="58" w:type="dxa"/>
              <w:right w:w="58" w:type="dxa"/>
            </w:tcMar>
          </w:tcPr>
          <w:p w14:paraId="0F786273" w14:textId="77777777" w:rsidR="00EB017E" w:rsidRPr="005A48E4" w:rsidRDefault="00EB017E" w:rsidP="00680D52">
            <w:pPr>
              <w:pStyle w:val="TableText"/>
              <w:jc w:val="right"/>
              <w:rPr>
                <w:b/>
                <w:sz w:val="13"/>
                <w:szCs w:val="13"/>
              </w:rPr>
            </w:pPr>
            <w:r w:rsidRPr="005A48E4">
              <w:rPr>
                <w:sz w:val="13"/>
                <w:szCs w:val="13"/>
              </w:rPr>
              <w:t>279</w:t>
            </w:r>
          </w:p>
        </w:tc>
        <w:tc>
          <w:tcPr>
            <w:tcW w:w="713" w:type="dxa"/>
            <w:tcMar>
              <w:left w:w="58" w:type="dxa"/>
              <w:right w:w="58" w:type="dxa"/>
            </w:tcMar>
          </w:tcPr>
          <w:p w14:paraId="186581FD" w14:textId="77777777" w:rsidR="00EB017E" w:rsidRPr="005A48E4" w:rsidRDefault="00EB017E" w:rsidP="00680D52">
            <w:pPr>
              <w:pStyle w:val="TableText"/>
              <w:jc w:val="right"/>
              <w:rPr>
                <w:sz w:val="13"/>
                <w:szCs w:val="13"/>
              </w:rPr>
            </w:pPr>
            <w:r w:rsidRPr="005A48E4">
              <w:rPr>
                <w:sz w:val="13"/>
                <w:szCs w:val="13"/>
              </w:rPr>
              <w:t>19.8 (16.5,</w:t>
            </w:r>
            <w:r w:rsidR="005A48E4">
              <w:rPr>
                <w:sz w:val="13"/>
                <w:szCs w:val="13"/>
              </w:rPr>
              <w:t> </w:t>
            </w:r>
            <w:r w:rsidRPr="005A48E4">
              <w:rPr>
                <w:sz w:val="13"/>
                <w:szCs w:val="13"/>
              </w:rPr>
              <w:t>23.6)</w:t>
            </w:r>
          </w:p>
        </w:tc>
        <w:tc>
          <w:tcPr>
            <w:tcW w:w="408" w:type="dxa"/>
            <w:tcMar>
              <w:left w:w="58" w:type="dxa"/>
              <w:right w:w="58" w:type="dxa"/>
            </w:tcMar>
          </w:tcPr>
          <w:p w14:paraId="093880D5" w14:textId="77777777" w:rsidR="00EB017E" w:rsidRPr="005A48E4" w:rsidRDefault="00EB017E" w:rsidP="00680D52">
            <w:pPr>
              <w:pStyle w:val="TableText"/>
              <w:jc w:val="right"/>
              <w:rPr>
                <w:b/>
                <w:sz w:val="13"/>
                <w:szCs w:val="13"/>
              </w:rPr>
            </w:pPr>
            <w:r w:rsidRPr="005A48E4">
              <w:rPr>
                <w:sz w:val="13"/>
                <w:szCs w:val="13"/>
              </w:rPr>
              <w:t>308</w:t>
            </w:r>
          </w:p>
        </w:tc>
        <w:tc>
          <w:tcPr>
            <w:tcW w:w="679" w:type="dxa"/>
            <w:tcMar>
              <w:left w:w="58" w:type="dxa"/>
              <w:right w:w="58" w:type="dxa"/>
            </w:tcMar>
          </w:tcPr>
          <w:p w14:paraId="57B32E83" w14:textId="77777777" w:rsidR="00EB017E" w:rsidRPr="005A48E4" w:rsidRDefault="00EB017E" w:rsidP="00680D52">
            <w:pPr>
              <w:pStyle w:val="TableText"/>
              <w:jc w:val="right"/>
              <w:rPr>
                <w:b/>
                <w:sz w:val="13"/>
                <w:szCs w:val="13"/>
              </w:rPr>
            </w:pPr>
            <w:r w:rsidRPr="005A48E4">
              <w:rPr>
                <w:sz w:val="13"/>
                <w:szCs w:val="13"/>
              </w:rPr>
              <w:t>1019</w:t>
            </w:r>
          </w:p>
        </w:tc>
        <w:tc>
          <w:tcPr>
            <w:tcW w:w="826" w:type="dxa"/>
            <w:tcMar>
              <w:left w:w="58" w:type="dxa"/>
              <w:right w:w="58" w:type="dxa"/>
            </w:tcMar>
          </w:tcPr>
          <w:p w14:paraId="100C4E34" w14:textId="77777777" w:rsidR="00EB017E" w:rsidRPr="005A48E4" w:rsidRDefault="00EB017E" w:rsidP="00680D52">
            <w:pPr>
              <w:pStyle w:val="TableText"/>
              <w:jc w:val="right"/>
              <w:rPr>
                <w:b/>
                <w:sz w:val="13"/>
                <w:szCs w:val="13"/>
              </w:rPr>
            </w:pPr>
            <w:r w:rsidRPr="005A48E4">
              <w:rPr>
                <w:sz w:val="13"/>
                <w:szCs w:val="13"/>
              </w:rPr>
              <w:t>72.4 (68.1,</w:t>
            </w:r>
            <w:r w:rsidR="005A48E4">
              <w:rPr>
                <w:sz w:val="13"/>
                <w:szCs w:val="13"/>
              </w:rPr>
              <w:t> </w:t>
            </w:r>
            <w:r w:rsidRPr="005A48E4">
              <w:rPr>
                <w:sz w:val="13"/>
                <w:szCs w:val="13"/>
              </w:rPr>
              <w:t>76.4)</w:t>
            </w:r>
          </w:p>
        </w:tc>
        <w:tc>
          <w:tcPr>
            <w:tcW w:w="408" w:type="dxa"/>
            <w:tcMar>
              <w:left w:w="58" w:type="dxa"/>
              <w:right w:w="58" w:type="dxa"/>
            </w:tcMar>
          </w:tcPr>
          <w:p w14:paraId="4320E8F9" w14:textId="77777777" w:rsidR="00EB017E" w:rsidRPr="005A48E4" w:rsidRDefault="00EB017E" w:rsidP="00680D52">
            <w:pPr>
              <w:pStyle w:val="TableText"/>
              <w:jc w:val="right"/>
              <w:rPr>
                <w:b/>
                <w:sz w:val="13"/>
                <w:szCs w:val="13"/>
              </w:rPr>
            </w:pPr>
            <w:r w:rsidRPr="005A48E4">
              <w:rPr>
                <w:sz w:val="13"/>
                <w:szCs w:val="13"/>
              </w:rPr>
              <w:t>28</w:t>
            </w:r>
          </w:p>
        </w:tc>
        <w:tc>
          <w:tcPr>
            <w:tcW w:w="656" w:type="dxa"/>
            <w:tcMar>
              <w:left w:w="58" w:type="dxa"/>
              <w:right w:w="58" w:type="dxa"/>
            </w:tcMar>
          </w:tcPr>
          <w:p w14:paraId="60966841" w14:textId="77777777" w:rsidR="00EB017E" w:rsidRPr="005A48E4" w:rsidRDefault="00EB017E" w:rsidP="00680D52">
            <w:pPr>
              <w:pStyle w:val="TableText"/>
              <w:jc w:val="right"/>
              <w:rPr>
                <w:b/>
                <w:sz w:val="13"/>
                <w:szCs w:val="13"/>
              </w:rPr>
            </w:pPr>
            <w:r w:rsidRPr="005A48E4">
              <w:rPr>
                <w:sz w:val="13"/>
                <w:szCs w:val="13"/>
              </w:rPr>
              <w:t>101</w:t>
            </w:r>
          </w:p>
        </w:tc>
        <w:tc>
          <w:tcPr>
            <w:tcW w:w="785" w:type="dxa"/>
            <w:tcMar>
              <w:left w:w="58" w:type="dxa"/>
              <w:right w:w="58" w:type="dxa"/>
            </w:tcMar>
          </w:tcPr>
          <w:p w14:paraId="052A709D" w14:textId="77777777" w:rsidR="00EB017E" w:rsidRPr="005A48E4" w:rsidRDefault="00EB017E" w:rsidP="00680D52">
            <w:pPr>
              <w:pStyle w:val="TableText"/>
              <w:jc w:val="right"/>
              <w:rPr>
                <w:sz w:val="13"/>
                <w:szCs w:val="13"/>
              </w:rPr>
            </w:pPr>
            <w:r w:rsidRPr="005A48E4">
              <w:rPr>
                <w:sz w:val="13"/>
                <w:szCs w:val="13"/>
              </w:rPr>
              <w:t>7.2</w:t>
            </w:r>
            <w:r w:rsidR="00680D52">
              <w:rPr>
                <w:sz w:val="13"/>
                <w:szCs w:val="13"/>
              </w:rPr>
              <w:br/>
            </w:r>
            <w:r w:rsidRPr="005A48E4">
              <w:rPr>
                <w:sz w:val="13"/>
                <w:szCs w:val="13"/>
              </w:rPr>
              <w:t>(5.0,</w:t>
            </w:r>
            <w:r w:rsidR="005A48E4">
              <w:rPr>
                <w:sz w:val="13"/>
                <w:szCs w:val="13"/>
              </w:rPr>
              <w:t> </w:t>
            </w:r>
            <w:r w:rsidRPr="005A48E4">
              <w:rPr>
                <w:sz w:val="13"/>
                <w:szCs w:val="13"/>
              </w:rPr>
              <w:t>10.2)</w:t>
            </w:r>
          </w:p>
        </w:tc>
      </w:tr>
      <w:tr w:rsidR="00BD41F3" w:rsidRPr="003860A9" w14:paraId="4251E552"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4D1ADBEA" w14:textId="77777777" w:rsidR="00EB017E" w:rsidRPr="005B471D" w:rsidRDefault="00EB017E" w:rsidP="000A2491">
            <w:pPr>
              <w:pStyle w:val="TableText"/>
              <w:rPr>
                <w:b/>
                <w:bCs/>
                <w:color w:val="000000" w:themeColor="text1"/>
              </w:rPr>
            </w:pPr>
            <w:r w:rsidRPr="005B471D">
              <w:rPr>
                <w:b/>
                <w:bCs/>
                <w:color w:val="000000" w:themeColor="text1"/>
              </w:rPr>
              <w:t>Age group</w:t>
            </w:r>
          </w:p>
        </w:tc>
        <w:tc>
          <w:tcPr>
            <w:tcW w:w="373" w:type="dxa"/>
            <w:tcMar>
              <w:left w:w="58" w:type="dxa"/>
              <w:right w:w="58" w:type="dxa"/>
            </w:tcMar>
          </w:tcPr>
          <w:p w14:paraId="1A73774D" w14:textId="77777777" w:rsidR="00EB017E" w:rsidRPr="005A48E4" w:rsidRDefault="00EB017E" w:rsidP="00680D52">
            <w:pPr>
              <w:pStyle w:val="TableText"/>
              <w:jc w:val="right"/>
              <w:rPr>
                <w:b/>
                <w:sz w:val="13"/>
                <w:szCs w:val="13"/>
              </w:rPr>
            </w:pPr>
          </w:p>
        </w:tc>
        <w:tc>
          <w:tcPr>
            <w:tcW w:w="617" w:type="dxa"/>
            <w:tcMar>
              <w:left w:w="58" w:type="dxa"/>
              <w:right w:w="58" w:type="dxa"/>
            </w:tcMar>
          </w:tcPr>
          <w:p w14:paraId="5AB48FE6" w14:textId="77777777" w:rsidR="00EB017E" w:rsidRPr="005A48E4" w:rsidRDefault="00EB017E" w:rsidP="00680D52">
            <w:pPr>
              <w:pStyle w:val="TableText"/>
              <w:jc w:val="right"/>
              <w:rPr>
                <w:b/>
                <w:sz w:val="13"/>
                <w:szCs w:val="13"/>
              </w:rPr>
            </w:pPr>
          </w:p>
        </w:tc>
        <w:tc>
          <w:tcPr>
            <w:tcW w:w="753" w:type="dxa"/>
            <w:tcMar>
              <w:left w:w="58" w:type="dxa"/>
              <w:right w:w="58" w:type="dxa"/>
            </w:tcMar>
          </w:tcPr>
          <w:p w14:paraId="5C015CF8" w14:textId="77777777" w:rsidR="00EB017E" w:rsidRPr="005A48E4" w:rsidRDefault="00EB017E" w:rsidP="00680D52">
            <w:pPr>
              <w:pStyle w:val="TableText"/>
              <w:jc w:val="right"/>
              <w:rPr>
                <w:sz w:val="13"/>
                <w:szCs w:val="13"/>
              </w:rPr>
            </w:pPr>
          </w:p>
        </w:tc>
        <w:tc>
          <w:tcPr>
            <w:tcW w:w="408" w:type="dxa"/>
            <w:tcMar>
              <w:left w:w="58" w:type="dxa"/>
              <w:right w:w="58" w:type="dxa"/>
            </w:tcMar>
          </w:tcPr>
          <w:p w14:paraId="3B587DF2" w14:textId="77777777" w:rsidR="00EB017E" w:rsidRPr="005A48E4" w:rsidRDefault="00EB017E" w:rsidP="00680D52">
            <w:pPr>
              <w:pStyle w:val="TableText"/>
              <w:jc w:val="right"/>
              <w:rPr>
                <w:b/>
                <w:sz w:val="13"/>
                <w:szCs w:val="13"/>
              </w:rPr>
            </w:pPr>
          </w:p>
        </w:tc>
        <w:tc>
          <w:tcPr>
            <w:tcW w:w="639" w:type="dxa"/>
            <w:tcMar>
              <w:left w:w="58" w:type="dxa"/>
              <w:right w:w="58" w:type="dxa"/>
            </w:tcMar>
          </w:tcPr>
          <w:p w14:paraId="4CE47D50" w14:textId="77777777" w:rsidR="00EB017E" w:rsidRPr="005A48E4" w:rsidRDefault="00EB017E" w:rsidP="00680D52">
            <w:pPr>
              <w:pStyle w:val="TableText"/>
              <w:jc w:val="right"/>
              <w:rPr>
                <w:b/>
                <w:sz w:val="13"/>
                <w:szCs w:val="13"/>
              </w:rPr>
            </w:pPr>
          </w:p>
        </w:tc>
        <w:tc>
          <w:tcPr>
            <w:tcW w:w="731" w:type="dxa"/>
            <w:tcMar>
              <w:left w:w="58" w:type="dxa"/>
              <w:right w:w="58" w:type="dxa"/>
            </w:tcMar>
          </w:tcPr>
          <w:p w14:paraId="74A83C14" w14:textId="77777777" w:rsidR="00EB017E" w:rsidRPr="005A48E4" w:rsidRDefault="00EB017E" w:rsidP="00680D52">
            <w:pPr>
              <w:pStyle w:val="TableText"/>
              <w:jc w:val="right"/>
              <w:rPr>
                <w:b/>
                <w:sz w:val="13"/>
                <w:szCs w:val="13"/>
              </w:rPr>
            </w:pPr>
          </w:p>
        </w:tc>
        <w:tc>
          <w:tcPr>
            <w:tcW w:w="344" w:type="dxa"/>
            <w:tcMar>
              <w:left w:w="58" w:type="dxa"/>
              <w:right w:w="58" w:type="dxa"/>
            </w:tcMar>
          </w:tcPr>
          <w:p w14:paraId="7515B92F" w14:textId="77777777" w:rsidR="00EB017E" w:rsidRPr="005A48E4" w:rsidRDefault="00EB017E" w:rsidP="00680D52">
            <w:pPr>
              <w:pStyle w:val="TableText"/>
              <w:jc w:val="right"/>
              <w:rPr>
                <w:b/>
                <w:sz w:val="13"/>
                <w:szCs w:val="13"/>
              </w:rPr>
            </w:pPr>
          </w:p>
        </w:tc>
        <w:tc>
          <w:tcPr>
            <w:tcW w:w="635" w:type="dxa"/>
            <w:tcMar>
              <w:left w:w="58" w:type="dxa"/>
              <w:right w:w="58" w:type="dxa"/>
            </w:tcMar>
          </w:tcPr>
          <w:p w14:paraId="5D6E2BE5" w14:textId="77777777" w:rsidR="00EB017E" w:rsidRPr="005A48E4" w:rsidRDefault="00EB017E" w:rsidP="00680D52">
            <w:pPr>
              <w:pStyle w:val="TableText"/>
              <w:jc w:val="right"/>
              <w:rPr>
                <w:b/>
                <w:sz w:val="13"/>
                <w:szCs w:val="13"/>
              </w:rPr>
            </w:pPr>
          </w:p>
        </w:tc>
        <w:tc>
          <w:tcPr>
            <w:tcW w:w="735" w:type="dxa"/>
            <w:tcMar>
              <w:left w:w="58" w:type="dxa"/>
              <w:right w:w="58" w:type="dxa"/>
            </w:tcMar>
          </w:tcPr>
          <w:p w14:paraId="6696D8B7"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4404CD3B" w14:textId="77777777" w:rsidR="00EB017E" w:rsidRPr="005A48E4" w:rsidRDefault="00EB017E" w:rsidP="00680D52">
            <w:pPr>
              <w:pStyle w:val="TableText"/>
              <w:jc w:val="right"/>
              <w:rPr>
                <w:b/>
                <w:sz w:val="13"/>
                <w:szCs w:val="13"/>
              </w:rPr>
            </w:pPr>
          </w:p>
        </w:tc>
        <w:tc>
          <w:tcPr>
            <w:tcW w:w="657" w:type="dxa"/>
            <w:tcMar>
              <w:left w:w="58" w:type="dxa"/>
              <w:right w:w="58" w:type="dxa"/>
            </w:tcMar>
          </w:tcPr>
          <w:p w14:paraId="074227BB" w14:textId="77777777" w:rsidR="00EB017E" w:rsidRPr="005A48E4" w:rsidRDefault="00EB017E" w:rsidP="00680D52">
            <w:pPr>
              <w:pStyle w:val="TableText"/>
              <w:jc w:val="right"/>
              <w:rPr>
                <w:b/>
                <w:sz w:val="13"/>
                <w:szCs w:val="13"/>
              </w:rPr>
            </w:pPr>
          </w:p>
        </w:tc>
        <w:tc>
          <w:tcPr>
            <w:tcW w:w="713" w:type="dxa"/>
            <w:tcMar>
              <w:left w:w="58" w:type="dxa"/>
              <w:right w:w="58" w:type="dxa"/>
            </w:tcMar>
          </w:tcPr>
          <w:p w14:paraId="0FFAD580" w14:textId="77777777" w:rsidR="00EB017E" w:rsidRPr="005A48E4" w:rsidRDefault="00EB017E" w:rsidP="00680D52">
            <w:pPr>
              <w:pStyle w:val="TableText"/>
              <w:jc w:val="right"/>
              <w:rPr>
                <w:sz w:val="13"/>
                <w:szCs w:val="13"/>
              </w:rPr>
            </w:pPr>
          </w:p>
        </w:tc>
        <w:tc>
          <w:tcPr>
            <w:tcW w:w="408" w:type="dxa"/>
            <w:tcMar>
              <w:left w:w="58" w:type="dxa"/>
              <w:right w:w="58" w:type="dxa"/>
            </w:tcMar>
          </w:tcPr>
          <w:p w14:paraId="24DD5B8E" w14:textId="77777777" w:rsidR="00EB017E" w:rsidRPr="005A48E4" w:rsidRDefault="00EB017E" w:rsidP="00680D52">
            <w:pPr>
              <w:pStyle w:val="TableText"/>
              <w:jc w:val="right"/>
              <w:rPr>
                <w:b/>
                <w:sz w:val="13"/>
                <w:szCs w:val="13"/>
              </w:rPr>
            </w:pPr>
          </w:p>
        </w:tc>
        <w:tc>
          <w:tcPr>
            <w:tcW w:w="679" w:type="dxa"/>
            <w:tcMar>
              <w:left w:w="58" w:type="dxa"/>
              <w:right w:w="58" w:type="dxa"/>
            </w:tcMar>
          </w:tcPr>
          <w:p w14:paraId="5B0E1812" w14:textId="77777777" w:rsidR="00EB017E" w:rsidRPr="005A48E4" w:rsidRDefault="00EB017E" w:rsidP="00680D52">
            <w:pPr>
              <w:pStyle w:val="TableText"/>
              <w:jc w:val="right"/>
              <w:rPr>
                <w:b/>
                <w:sz w:val="13"/>
                <w:szCs w:val="13"/>
              </w:rPr>
            </w:pPr>
          </w:p>
        </w:tc>
        <w:tc>
          <w:tcPr>
            <w:tcW w:w="826" w:type="dxa"/>
            <w:tcMar>
              <w:left w:w="58" w:type="dxa"/>
              <w:right w:w="58" w:type="dxa"/>
            </w:tcMar>
          </w:tcPr>
          <w:p w14:paraId="46BE614D"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10A79CFE" w14:textId="77777777" w:rsidR="00EB017E" w:rsidRPr="005A48E4" w:rsidRDefault="00EB017E" w:rsidP="00680D52">
            <w:pPr>
              <w:pStyle w:val="TableText"/>
              <w:jc w:val="right"/>
              <w:rPr>
                <w:b/>
                <w:sz w:val="13"/>
                <w:szCs w:val="13"/>
              </w:rPr>
            </w:pPr>
          </w:p>
        </w:tc>
        <w:tc>
          <w:tcPr>
            <w:tcW w:w="656" w:type="dxa"/>
            <w:tcMar>
              <w:left w:w="58" w:type="dxa"/>
              <w:right w:w="58" w:type="dxa"/>
            </w:tcMar>
          </w:tcPr>
          <w:p w14:paraId="093E83D5" w14:textId="77777777" w:rsidR="00EB017E" w:rsidRPr="005A48E4" w:rsidRDefault="00EB017E" w:rsidP="00680D52">
            <w:pPr>
              <w:pStyle w:val="TableText"/>
              <w:jc w:val="right"/>
              <w:rPr>
                <w:b/>
                <w:sz w:val="13"/>
                <w:szCs w:val="13"/>
              </w:rPr>
            </w:pPr>
          </w:p>
        </w:tc>
        <w:tc>
          <w:tcPr>
            <w:tcW w:w="785" w:type="dxa"/>
            <w:tcMar>
              <w:left w:w="58" w:type="dxa"/>
              <w:right w:w="58" w:type="dxa"/>
            </w:tcMar>
          </w:tcPr>
          <w:p w14:paraId="3E5447C3" w14:textId="77777777" w:rsidR="00EB017E" w:rsidRPr="005A48E4" w:rsidRDefault="00EB017E" w:rsidP="00680D52">
            <w:pPr>
              <w:pStyle w:val="TableText"/>
              <w:jc w:val="right"/>
              <w:rPr>
                <w:b/>
                <w:sz w:val="13"/>
                <w:szCs w:val="13"/>
              </w:rPr>
            </w:pPr>
          </w:p>
        </w:tc>
      </w:tr>
      <w:tr w:rsidR="00680D52" w:rsidRPr="003860A9" w14:paraId="11D1ED3D" w14:textId="77777777" w:rsidTr="00680D52">
        <w:trPr>
          <w:cantSplit/>
        </w:trPr>
        <w:tc>
          <w:tcPr>
            <w:tcW w:w="745" w:type="dxa"/>
          </w:tcPr>
          <w:p w14:paraId="5AD760B1" w14:textId="77777777" w:rsidR="00EB017E" w:rsidRPr="005B471D" w:rsidRDefault="00EB017E" w:rsidP="000A2491">
            <w:pPr>
              <w:pStyle w:val="TableText"/>
              <w:rPr>
                <w:bCs/>
                <w:color w:val="000000" w:themeColor="text1"/>
              </w:rPr>
            </w:pPr>
            <w:r w:rsidRPr="005B471D">
              <w:rPr>
                <w:bCs/>
                <w:color w:val="000000" w:themeColor="text1"/>
              </w:rPr>
              <w:t>18</w:t>
            </w:r>
            <w:r>
              <w:rPr>
                <w:bCs/>
                <w:color w:val="000000" w:themeColor="text1"/>
              </w:rPr>
              <w:t>–</w:t>
            </w:r>
            <w:r w:rsidRPr="005B471D">
              <w:rPr>
                <w:bCs/>
                <w:color w:val="000000" w:themeColor="text1"/>
              </w:rPr>
              <w:t>27</w:t>
            </w:r>
          </w:p>
        </w:tc>
        <w:tc>
          <w:tcPr>
            <w:tcW w:w="373" w:type="dxa"/>
            <w:tcMar>
              <w:left w:w="58" w:type="dxa"/>
              <w:right w:w="58" w:type="dxa"/>
            </w:tcMar>
          </w:tcPr>
          <w:p w14:paraId="13A54157" w14:textId="77777777" w:rsidR="00EB017E" w:rsidRPr="005A48E4" w:rsidRDefault="00EB017E" w:rsidP="00680D52">
            <w:pPr>
              <w:pStyle w:val="TableText"/>
              <w:jc w:val="right"/>
              <w:rPr>
                <w:b/>
                <w:sz w:val="13"/>
                <w:szCs w:val="13"/>
              </w:rPr>
            </w:pPr>
            <w:r w:rsidRPr="005A48E4">
              <w:rPr>
                <w:sz w:val="13"/>
                <w:szCs w:val="13"/>
              </w:rPr>
              <w:t>24</w:t>
            </w:r>
          </w:p>
        </w:tc>
        <w:tc>
          <w:tcPr>
            <w:tcW w:w="617" w:type="dxa"/>
            <w:tcMar>
              <w:left w:w="58" w:type="dxa"/>
              <w:right w:w="58" w:type="dxa"/>
            </w:tcMar>
          </w:tcPr>
          <w:p w14:paraId="45C874AE" w14:textId="77777777" w:rsidR="00EB017E" w:rsidRPr="005A48E4" w:rsidRDefault="00EB017E" w:rsidP="00680D52">
            <w:pPr>
              <w:pStyle w:val="TableText"/>
              <w:jc w:val="right"/>
              <w:rPr>
                <w:b/>
                <w:sz w:val="13"/>
                <w:szCs w:val="13"/>
              </w:rPr>
            </w:pPr>
            <w:r w:rsidRPr="005A48E4">
              <w:rPr>
                <w:sz w:val="13"/>
                <w:szCs w:val="13"/>
              </w:rPr>
              <w:t>292</w:t>
            </w:r>
          </w:p>
        </w:tc>
        <w:tc>
          <w:tcPr>
            <w:tcW w:w="753" w:type="dxa"/>
            <w:tcMar>
              <w:left w:w="58" w:type="dxa"/>
              <w:right w:w="58" w:type="dxa"/>
            </w:tcMar>
          </w:tcPr>
          <w:p w14:paraId="36311B64" w14:textId="77777777" w:rsidR="00EB017E" w:rsidRPr="005A48E4" w:rsidRDefault="00EB017E" w:rsidP="00680D52">
            <w:pPr>
              <w:pStyle w:val="TableText"/>
              <w:jc w:val="right"/>
              <w:rPr>
                <w:sz w:val="13"/>
                <w:szCs w:val="13"/>
              </w:rPr>
            </w:pPr>
            <w:r w:rsidRPr="005A48E4">
              <w:rPr>
                <w:sz w:val="13"/>
                <w:szCs w:val="13"/>
              </w:rPr>
              <w:t>23.8 (15.5,</w:t>
            </w:r>
            <w:r w:rsidR="005A48E4">
              <w:rPr>
                <w:sz w:val="13"/>
                <w:szCs w:val="13"/>
              </w:rPr>
              <w:t> </w:t>
            </w:r>
            <w:r w:rsidRPr="005A48E4">
              <w:rPr>
                <w:sz w:val="13"/>
                <w:szCs w:val="13"/>
              </w:rPr>
              <w:t>34.6)</w:t>
            </w:r>
          </w:p>
        </w:tc>
        <w:tc>
          <w:tcPr>
            <w:tcW w:w="408" w:type="dxa"/>
            <w:tcMar>
              <w:left w:w="58" w:type="dxa"/>
              <w:right w:w="58" w:type="dxa"/>
            </w:tcMar>
          </w:tcPr>
          <w:p w14:paraId="14F49F8D" w14:textId="77777777" w:rsidR="00EB017E" w:rsidRPr="005A48E4" w:rsidRDefault="00EB017E" w:rsidP="00680D52">
            <w:pPr>
              <w:pStyle w:val="TableText"/>
              <w:jc w:val="right"/>
              <w:rPr>
                <w:b/>
                <w:sz w:val="13"/>
                <w:szCs w:val="13"/>
              </w:rPr>
            </w:pPr>
            <w:r w:rsidRPr="005A48E4">
              <w:rPr>
                <w:sz w:val="13"/>
                <w:szCs w:val="13"/>
              </w:rPr>
              <w:t>64</w:t>
            </w:r>
          </w:p>
        </w:tc>
        <w:tc>
          <w:tcPr>
            <w:tcW w:w="639" w:type="dxa"/>
            <w:tcMar>
              <w:left w:w="58" w:type="dxa"/>
              <w:right w:w="58" w:type="dxa"/>
            </w:tcMar>
          </w:tcPr>
          <w:p w14:paraId="07999DFF" w14:textId="77777777" w:rsidR="00EB017E" w:rsidRPr="005A48E4" w:rsidRDefault="00EB017E" w:rsidP="00680D52">
            <w:pPr>
              <w:pStyle w:val="TableText"/>
              <w:jc w:val="right"/>
              <w:rPr>
                <w:b/>
                <w:sz w:val="13"/>
                <w:szCs w:val="13"/>
              </w:rPr>
            </w:pPr>
            <w:r w:rsidRPr="005A48E4">
              <w:rPr>
                <w:sz w:val="13"/>
                <w:szCs w:val="13"/>
              </w:rPr>
              <w:t>744</w:t>
            </w:r>
          </w:p>
        </w:tc>
        <w:tc>
          <w:tcPr>
            <w:tcW w:w="731" w:type="dxa"/>
            <w:tcMar>
              <w:left w:w="58" w:type="dxa"/>
              <w:right w:w="58" w:type="dxa"/>
            </w:tcMar>
          </w:tcPr>
          <w:p w14:paraId="2B4EF4D6" w14:textId="77777777" w:rsidR="00EB017E" w:rsidRPr="005A48E4" w:rsidRDefault="00EB017E" w:rsidP="00680D52">
            <w:pPr>
              <w:pStyle w:val="TableText"/>
              <w:jc w:val="right"/>
              <w:rPr>
                <w:b/>
                <w:sz w:val="13"/>
                <w:szCs w:val="13"/>
              </w:rPr>
            </w:pPr>
            <w:r w:rsidRPr="005A48E4">
              <w:rPr>
                <w:sz w:val="13"/>
                <w:szCs w:val="13"/>
              </w:rPr>
              <w:t>60.4 (48.8,</w:t>
            </w:r>
            <w:r w:rsidR="005A48E4">
              <w:rPr>
                <w:sz w:val="13"/>
                <w:szCs w:val="13"/>
              </w:rPr>
              <w:t> </w:t>
            </w:r>
            <w:r w:rsidRPr="005A48E4">
              <w:rPr>
                <w:sz w:val="13"/>
                <w:szCs w:val="13"/>
              </w:rPr>
              <w:t>71.0)</w:t>
            </w:r>
          </w:p>
        </w:tc>
        <w:tc>
          <w:tcPr>
            <w:tcW w:w="344" w:type="dxa"/>
            <w:tcMar>
              <w:left w:w="58" w:type="dxa"/>
              <w:right w:w="58" w:type="dxa"/>
            </w:tcMar>
          </w:tcPr>
          <w:p w14:paraId="0F138E3C" w14:textId="77777777" w:rsidR="00EB017E" w:rsidRPr="005A48E4" w:rsidRDefault="00EB017E" w:rsidP="00680D52">
            <w:pPr>
              <w:pStyle w:val="TableText"/>
              <w:jc w:val="right"/>
              <w:rPr>
                <w:b/>
                <w:sz w:val="13"/>
                <w:szCs w:val="13"/>
              </w:rPr>
            </w:pPr>
            <w:r w:rsidRPr="005A48E4">
              <w:rPr>
                <w:sz w:val="13"/>
                <w:szCs w:val="13"/>
              </w:rPr>
              <w:t>8</w:t>
            </w:r>
          </w:p>
        </w:tc>
        <w:tc>
          <w:tcPr>
            <w:tcW w:w="635" w:type="dxa"/>
            <w:tcMar>
              <w:left w:w="58" w:type="dxa"/>
              <w:right w:w="58" w:type="dxa"/>
            </w:tcMar>
          </w:tcPr>
          <w:p w14:paraId="7C445B20" w14:textId="77777777" w:rsidR="00EB017E" w:rsidRPr="005A48E4" w:rsidRDefault="00EB017E" w:rsidP="00680D52">
            <w:pPr>
              <w:pStyle w:val="TableText"/>
              <w:jc w:val="right"/>
              <w:rPr>
                <w:b/>
                <w:sz w:val="13"/>
                <w:szCs w:val="13"/>
              </w:rPr>
            </w:pPr>
            <w:r w:rsidRPr="005A48E4">
              <w:rPr>
                <w:sz w:val="13"/>
                <w:szCs w:val="13"/>
              </w:rPr>
              <w:t>171</w:t>
            </w:r>
          </w:p>
        </w:tc>
        <w:tc>
          <w:tcPr>
            <w:tcW w:w="735" w:type="dxa"/>
            <w:tcMar>
              <w:left w:w="58" w:type="dxa"/>
              <w:right w:w="58" w:type="dxa"/>
            </w:tcMar>
          </w:tcPr>
          <w:p w14:paraId="6568D7D4" w14:textId="77777777" w:rsidR="00EB017E" w:rsidRPr="005A48E4" w:rsidRDefault="00EB017E" w:rsidP="00680D52">
            <w:pPr>
              <w:pStyle w:val="TableText"/>
              <w:jc w:val="right"/>
              <w:rPr>
                <w:b/>
                <w:sz w:val="13"/>
                <w:szCs w:val="13"/>
              </w:rPr>
            </w:pPr>
            <w:r w:rsidRPr="005A48E4">
              <w:rPr>
                <w:sz w:val="13"/>
                <w:szCs w:val="13"/>
              </w:rPr>
              <w:t>13.9 (7.2,</w:t>
            </w:r>
            <w:r w:rsidR="005A48E4">
              <w:rPr>
                <w:sz w:val="13"/>
                <w:szCs w:val="13"/>
              </w:rPr>
              <w:t> </w:t>
            </w:r>
            <w:r w:rsidRPr="005A48E4">
              <w:rPr>
                <w:sz w:val="13"/>
                <w:szCs w:val="13"/>
              </w:rPr>
              <w:t>25.2)</w:t>
            </w:r>
          </w:p>
        </w:tc>
        <w:tc>
          <w:tcPr>
            <w:tcW w:w="408" w:type="dxa"/>
            <w:tcMar>
              <w:left w:w="58" w:type="dxa"/>
              <w:right w:w="58" w:type="dxa"/>
            </w:tcMar>
          </w:tcPr>
          <w:p w14:paraId="022CCDF1" w14:textId="77777777" w:rsidR="00EB017E" w:rsidRPr="005A48E4" w:rsidRDefault="00EB017E" w:rsidP="00680D52">
            <w:pPr>
              <w:pStyle w:val="TableText"/>
              <w:jc w:val="right"/>
              <w:rPr>
                <w:b/>
                <w:sz w:val="13"/>
                <w:szCs w:val="13"/>
              </w:rPr>
            </w:pPr>
            <w:r w:rsidRPr="005A48E4">
              <w:rPr>
                <w:sz w:val="13"/>
                <w:szCs w:val="13"/>
              </w:rPr>
              <w:t>27</w:t>
            </w:r>
          </w:p>
        </w:tc>
        <w:tc>
          <w:tcPr>
            <w:tcW w:w="657" w:type="dxa"/>
            <w:tcMar>
              <w:left w:w="58" w:type="dxa"/>
              <w:right w:w="58" w:type="dxa"/>
            </w:tcMar>
          </w:tcPr>
          <w:p w14:paraId="0BE53593" w14:textId="77777777" w:rsidR="00EB017E" w:rsidRPr="005A48E4" w:rsidRDefault="00EB017E" w:rsidP="00680D52">
            <w:pPr>
              <w:pStyle w:val="TableText"/>
              <w:jc w:val="right"/>
              <w:rPr>
                <w:b/>
                <w:sz w:val="13"/>
                <w:szCs w:val="13"/>
              </w:rPr>
            </w:pPr>
            <w:r w:rsidRPr="005A48E4">
              <w:rPr>
                <w:sz w:val="13"/>
                <w:szCs w:val="13"/>
              </w:rPr>
              <w:t>771</w:t>
            </w:r>
          </w:p>
        </w:tc>
        <w:tc>
          <w:tcPr>
            <w:tcW w:w="713" w:type="dxa"/>
            <w:tcMar>
              <w:left w:w="58" w:type="dxa"/>
              <w:right w:w="58" w:type="dxa"/>
            </w:tcMar>
          </w:tcPr>
          <w:p w14:paraId="73450385" w14:textId="77777777" w:rsidR="00EB017E" w:rsidRPr="005A48E4" w:rsidRDefault="00EB017E" w:rsidP="00680D52">
            <w:pPr>
              <w:pStyle w:val="TableText"/>
              <w:jc w:val="right"/>
              <w:rPr>
                <w:sz w:val="13"/>
                <w:szCs w:val="13"/>
              </w:rPr>
            </w:pPr>
            <w:r w:rsidRPr="005A48E4">
              <w:rPr>
                <w:sz w:val="13"/>
                <w:szCs w:val="13"/>
              </w:rPr>
              <w:t>38.5 (14.0,</w:t>
            </w:r>
            <w:r w:rsidR="005A48E4">
              <w:rPr>
                <w:sz w:val="13"/>
                <w:szCs w:val="13"/>
              </w:rPr>
              <w:t> </w:t>
            </w:r>
            <w:r w:rsidRPr="005A48E4">
              <w:rPr>
                <w:sz w:val="13"/>
                <w:szCs w:val="13"/>
              </w:rPr>
              <w:t>70.7)</w:t>
            </w:r>
          </w:p>
        </w:tc>
        <w:tc>
          <w:tcPr>
            <w:tcW w:w="408" w:type="dxa"/>
            <w:tcMar>
              <w:left w:w="58" w:type="dxa"/>
              <w:right w:w="58" w:type="dxa"/>
            </w:tcMar>
          </w:tcPr>
          <w:p w14:paraId="39A50237" w14:textId="77777777" w:rsidR="00EB017E" w:rsidRPr="005A48E4" w:rsidRDefault="00EB017E" w:rsidP="00680D52">
            <w:pPr>
              <w:pStyle w:val="TableText"/>
              <w:jc w:val="right"/>
              <w:rPr>
                <w:b/>
                <w:sz w:val="13"/>
                <w:szCs w:val="13"/>
              </w:rPr>
            </w:pPr>
            <w:r w:rsidRPr="005A48E4">
              <w:rPr>
                <w:sz w:val="13"/>
                <w:szCs w:val="13"/>
              </w:rPr>
              <w:t>74</w:t>
            </w:r>
          </w:p>
        </w:tc>
        <w:tc>
          <w:tcPr>
            <w:tcW w:w="679" w:type="dxa"/>
            <w:tcMar>
              <w:left w:w="58" w:type="dxa"/>
              <w:right w:w="58" w:type="dxa"/>
            </w:tcMar>
          </w:tcPr>
          <w:p w14:paraId="0A52BABF" w14:textId="77777777" w:rsidR="00EB017E" w:rsidRPr="005A48E4" w:rsidRDefault="00EB017E" w:rsidP="00680D52">
            <w:pPr>
              <w:pStyle w:val="TableText"/>
              <w:jc w:val="right"/>
              <w:rPr>
                <w:b/>
                <w:sz w:val="13"/>
                <w:szCs w:val="13"/>
              </w:rPr>
            </w:pPr>
            <w:r w:rsidRPr="005A48E4">
              <w:rPr>
                <w:sz w:val="13"/>
                <w:szCs w:val="13"/>
              </w:rPr>
              <w:t>823</w:t>
            </w:r>
          </w:p>
        </w:tc>
        <w:tc>
          <w:tcPr>
            <w:tcW w:w="826" w:type="dxa"/>
            <w:tcMar>
              <w:left w:w="58" w:type="dxa"/>
              <w:right w:w="58" w:type="dxa"/>
            </w:tcMar>
          </w:tcPr>
          <w:p w14:paraId="22D2DECC" w14:textId="77777777" w:rsidR="00EB017E" w:rsidRPr="005A48E4" w:rsidRDefault="00EB017E" w:rsidP="00680D52">
            <w:pPr>
              <w:pStyle w:val="TableText"/>
              <w:jc w:val="right"/>
              <w:rPr>
                <w:b/>
                <w:sz w:val="13"/>
                <w:szCs w:val="13"/>
              </w:rPr>
            </w:pPr>
            <w:r w:rsidRPr="005A48E4">
              <w:rPr>
                <w:sz w:val="13"/>
                <w:szCs w:val="13"/>
              </w:rPr>
              <w:t>41.1 (18.9,</w:t>
            </w:r>
            <w:r w:rsidR="005A48E4">
              <w:rPr>
                <w:sz w:val="13"/>
                <w:szCs w:val="13"/>
              </w:rPr>
              <w:t> </w:t>
            </w:r>
            <w:r w:rsidRPr="005A48E4">
              <w:rPr>
                <w:sz w:val="13"/>
                <w:szCs w:val="13"/>
              </w:rPr>
              <w:t>67.6)</w:t>
            </w:r>
          </w:p>
        </w:tc>
        <w:tc>
          <w:tcPr>
            <w:tcW w:w="408" w:type="dxa"/>
            <w:tcMar>
              <w:left w:w="58" w:type="dxa"/>
              <w:right w:w="58" w:type="dxa"/>
            </w:tcMar>
          </w:tcPr>
          <w:p w14:paraId="0EB9EE70" w14:textId="77777777" w:rsidR="00EB017E" w:rsidRPr="005A48E4" w:rsidRDefault="00EB017E" w:rsidP="00680D52">
            <w:pPr>
              <w:pStyle w:val="TableText"/>
              <w:jc w:val="right"/>
              <w:rPr>
                <w:b/>
                <w:sz w:val="13"/>
                <w:szCs w:val="13"/>
              </w:rPr>
            </w:pPr>
            <w:r w:rsidRPr="005A48E4">
              <w:rPr>
                <w:sz w:val="13"/>
                <w:szCs w:val="13"/>
              </w:rPr>
              <w:t>16</w:t>
            </w:r>
          </w:p>
        </w:tc>
        <w:tc>
          <w:tcPr>
            <w:tcW w:w="656" w:type="dxa"/>
            <w:tcMar>
              <w:left w:w="58" w:type="dxa"/>
              <w:right w:w="58" w:type="dxa"/>
            </w:tcMar>
          </w:tcPr>
          <w:p w14:paraId="0DFCE641" w14:textId="77777777" w:rsidR="00EB017E" w:rsidRPr="005A48E4" w:rsidRDefault="00EB017E" w:rsidP="00680D52">
            <w:pPr>
              <w:pStyle w:val="TableText"/>
              <w:jc w:val="right"/>
              <w:rPr>
                <w:b/>
                <w:sz w:val="13"/>
                <w:szCs w:val="13"/>
              </w:rPr>
            </w:pPr>
            <w:r w:rsidRPr="005A48E4">
              <w:rPr>
                <w:sz w:val="13"/>
                <w:szCs w:val="13"/>
              </w:rPr>
              <w:t>408</w:t>
            </w:r>
          </w:p>
        </w:tc>
        <w:tc>
          <w:tcPr>
            <w:tcW w:w="785" w:type="dxa"/>
            <w:tcMar>
              <w:left w:w="58" w:type="dxa"/>
              <w:right w:w="58" w:type="dxa"/>
            </w:tcMar>
          </w:tcPr>
          <w:p w14:paraId="3A19FB7E" w14:textId="77777777" w:rsidR="00EB017E" w:rsidRPr="005A48E4" w:rsidRDefault="00EB017E" w:rsidP="00680D52">
            <w:pPr>
              <w:pStyle w:val="TableText"/>
              <w:jc w:val="right"/>
              <w:rPr>
                <w:sz w:val="13"/>
                <w:szCs w:val="13"/>
              </w:rPr>
            </w:pPr>
            <w:r w:rsidRPr="005A48E4">
              <w:rPr>
                <w:sz w:val="13"/>
                <w:szCs w:val="13"/>
              </w:rPr>
              <w:t>20.4 (4.4,</w:t>
            </w:r>
            <w:r w:rsidR="005A48E4">
              <w:rPr>
                <w:sz w:val="13"/>
                <w:szCs w:val="13"/>
              </w:rPr>
              <w:t> </w:t>
            </w:r>
            <w:r w:rsidRPr="005A48E4">
              <w:rPr>
                <w:sz w:val="13"/>
                <w:szCs w:val="13"/>
              </w:rPr>
              <w:t>58.7)</w:t>
            </w:r>
          </w:p>
        </w:tc>
      </w:tr>
      <w:tr w:rsidR="00BD41F3" w:rsidRPr="003860A9" w14:paraId="52C63EB5"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3D86F62E" w14:textId="77777777" w:rsidR="00EB017E" w:rsidRPr="005B471D" w:rsidRDefault="00EB017E" w:rsidP="000A2491">
            <w:pPr>
              <w:pStyle w:val="TableText"/>
              <w:rPr>
                <w:bCs/>
                <w:color w:val="000000" w:themeColor="text1"/>
              </w:rPr>
            </w:pPr>
            <w:r w:rsidRPr="005B471D">
              <w:rPr>
                <w:bCs/>
                <w:color w:val="000000" w:themeColor="text1"/>
              </w:rPr>
              <w:t>28</w:t>
            </w:r>
            <w:r>
              <w:rPr>
                <w:bCs/>
                <w:color w:val="000000" w:themeColor="text1"/>
              </w:rPr>
              <w:t>–</w:t>
            </w:r>
            <w:r w:rsidRPr="005B471D">
              <w:rPr>
                <w:bCs/>
                <w:color w:val="000000" w:themeColor="text1"/>
              </w:rPr>
              <w:t>37</w:t>
            </w:r>
          </w:p>
        </w:tc>
        <w:tc>
          <w:tcPr>
            <w:tcW w:w="373" w:type="dxa"/>
            <w:tcMar>
              <w:left w:w="58" w:type="dxa"/>
              <w:right w:w="58" w:type="dxa"/>
            </w:tcMar>
          </w:tcPr>
          <w:p w14:paraId="7D9F2550" w14:textId="77777777" w:rsidR="00EB017E" w:rsidRPr="005A48E4" w:rsidRDefault="00EB017E" w:rsidP="00680D52">
            <w:pPr>
              <w:pStyle w:val="TableText"/>
              <w:jc w:val="right"/>
              <w:rPr>
                <w:b/>
                <w:sz w:val="13"/>
                <w:szCs w:val="13"/>
              </w:rPr>
            </w:pPr>
            <w:r w:rsidRPr="005A48E4">
              <w:rPr>
                <w:sz w:val="13"/>
                <w:szCs w:val="13"/>
              </w:rPr>
              <w:t>89</w:t>
            </w:r>
          </w:p>
        </w:tc>
        <w:tc>
          <w:tcPr>
            <w:tcW w:w="617" w:type="dxa"/>
            <w:tcMar>
              <w:left w:w="58" w:type="dxa"/>
              <w:right w:w="58" w:type="dxa"/>
            </w:tcMar>
          </w:tcPr>
          <w:p w14:paraId="5D676FC3" w14:textId="77777777" w:rsidR="00EB017E" w:rsidRPr="005A48E4" w:rsidRDefault="00EB017E" w:rsidP="00680D52">
            <w:pPr>
              <w:pStyle w:val="TableText"/>
              <w:jc w:val="right"/>
              <w:rPr>
                <w:b/>
                <w:sz w:val="13"/>
                <w:szCs w:val="13"/>
              </w:rPr>
            </w:pPr>
            <w:r w:rsidRPr="005A48E4">
              <w:rPr>
                <w:sz w:val="13"/>
                <w:szCs w:val="13"/>
              </w:rPr>
              <w:t>762</w:t>
            </w:r>
          </w:p>
        </w:tc>
        <w:tc>
          <w:tcPr>
            <w:tcW w:w="753" w:type="dxa"/>
            <w:tcMar>
              <w:left w:w="58" w:type="dxa"/>
              <w:right w:w="58" w:type="dxa"/>
            </w:tcMar>
          </w:tcPr>
          <w:p w14:paraId="643775DD" w14:textId="77777777" w:rsidR="00EB017E" w:rsidRPr="005A48E4" w:rsidRDefault="00EB017E" w:rsidP="00680D52">
            <w:pPr>
              <w:pStyle w:val="TableText"/>
              <w:jc w:val="right"/>
              <w:rPr>
                <w:sz w:val="13"/>
                <w:szCs w:val="13"/>
              </w:rPr>
            </w:pPr>
            <w:r w:rsidRPr="005A48E4">
              <w:rPr>
                <w:sz w:val="13"/>
                <w:szCs w:val="13"/>
              </w:rPr>
              <w:t>31.5 (25.2,</w:t>
            </w:r>
            <w:r w:rsidR="005A48E4">
              <w:rPr>
                <w:sz w:val="13"/>
                <w:szCs w:val="13"/>
              </w:rPr>
              <w:t> </w:t>
            </w:r>
            <w:r w:rsidRPr="005A48E4">
              <w:rPr>
                <w:sz w:val="13"/>
                <w:szCs w:val="13"/>
              </w:rPr>
              <w:t>38.7)</w:t>
            </w:r>
          </w:p>
        </w:tc>
        <w:tc>
          <w:tcPr>
            <w:tcW w:w="408" w:type="dxa"/>
            <w:tcMar>
              <w:left w:w="58" w:type="dxa"/>
              <w:right w:w="58" w:type="dxa"/>
            </w:tcMar>
          </w:tcPr>
          <w:p w14:paraId="3EB179F3" w14:textId="77777777" w:rsidR="00EB017E" w:rsidRPr="005A48E4" w:rsidRDefault="00EB017E" w:rsidP="00680D52">
            <w:pPr>
              <w:pStyle w:val="TableText"/>
              <w:jc w:val="right"/>
              <w:rPr>
                <w:b/>
                <w:sz w:val="13"/>
                <w:szCs w:val="13"/>
              </w:rPr>
            </w:pPr>
            <w:r w:rsidRPr="005A48E4">
              <w:rPr>
                <w:sz w:val="13"/>
                <w:szCs w:val="13"/>
              </w:rPr>
              <w:t>169</w:t>
            </w:r>
          </w:p>
        </w:tc>
        <w:tc>
          <w:tcPr>
            <w:tcW w:w="639" w:type="dxa"/>
            <w:tcMar>
              <w:left w:w="58" w:type="dxa"/>
              <w:right w:w="58" w:type="dxa"/>
            </w:tcMar>
          </w:tcPr>
          <w:p w14:paraId="39A030E0" w14:textId="77777777" w:rsidR="00EB017E" w:rsidRPr="005A48E4" w:rsidRDefault="00EB017E" w:rsidP="00680D52">
            <w:pPr>
              <w:pStyle w:val="TableText"/>
              <w:jc w:val="right"/>
              <w:rPr>
                <w:b/>
                <w:sz w:val="13"/>
                <w:szCs w:val="13"/>
              </w:rPr>
            </w:pPr>
            <w:r w:rsidRPr="005A48E4">
              <w:rPr>
                <w:sz w:val="13"/>
                <w:szCs w:val="13"/>
              </w:rPr>
              <w:t>1485</w:t>
            </w:r>
          </w:p>
        </w:tc>
        <w:tc>
          <w:tcPr>
            <w:tcW w:w="731" w:type="dxa"/>
            <w:tcMar>
              <w:left w:w="58" w:type="dxa"/>
              <w:right w:w="58" w:type="dxa"/>
            </w:tcMar>
          </w:tcPr>
          <w:p w14:paraId="517FD3CC" w14:textId="77777777" w:rsidR="00EB017E" w:rsidRPr="005A48E4" w:rsidRDefault="00EB017E" w:rsidP="00680D52">
            <w:pPr>
              <w:pStyle w:val="TableText"/>
              <w:jc w:val="right"/>
              <w:rPr>
                <w:b/>
                <w:sz w:val="13"/>
                <w:szCs w:val="13"/>
              </w:rPr>
            </w:pPr>
            <w:r w:rsidRPr="005A48E4">
              <w:rPr>
                <w:sz w:val="13"/>
                <w:szCs w:val="13"/>
              </w:rPr>
              <w:t>61.5 (54.1,</w:t>
            </w:r>
            <w:r w:rsidR="005A48E4">
              <w:rPr>
                <w:sz w:val="13"/>
                <w:szCs w:val="13"/>
              </w:rPr>
              <w:t> </w:t>
            </w:r>
            <w:r w:rsidRPr="005A48E4">
              <w:rPr>
                <w:sz w:val="13"/>
                <w:szCs w:val="13"/>
              </w:rPr>
              <w:t>68.3)</w:t>
            </w:r>
          </w:p>
        </w:tc>
        <w:tc>
          <w:tcPr>
            <w:tcW w:w="344" w:type="dxa"/>
            <w:tcMar>
              <w:left w:w="58" w:type="dxa"/>
              <w:right w:w="58" w:type="dxa"/>
            </w:tcMar>
          </w:tcPr>
          <w:p w14:paraId="2FED0B75" w14:textId="77777777" w:rsidR="00EB017E" w:rsidRPr="005A48E4" w:rsidRDefault="00EB017E" w:rsidP="00680D52">
            <w:pPr>
              <w:pStyle w:val="TableText"/>
              <w:jc w:val="right"/>
              <w:rPr>
                <w:b/>
                <w:sz w:val="13"/>
                <w:szCs w:val="13"/>
              </w:rPr>
            </w:pPr>
            <w:r w:rsidRPr="005A48E4">
              <w:rPr>
                <w:sz w:val="13"/>
                <w:szCs w:val="13"/>
              </w:rPr>
              <w:t>18</w:t>
            </w:r>
          </w:p>
        </w:tc>
        <w:tc>
          <w:tcPr>
            <w:tcW w:w="635" w:type="dxa"/>
            <w:tcMar>
              <w:left w:w="58" w:type="dxa"/>
              <w:right w:w="58" w:type="dxa"/>
            </w:tcMar>
          </w:tcPr>
          <w:p w14:paraId="33DD52E2" w14:textId="77777777" w:rsidR="00EB017E" w:rsidRPr="005A48E4" w:rsidRDefault="00EB017E" w:rsidP="00680D52">
            <w:pPr>
              <w:pStyle w:val="TableText"/>
              <w:jc w:val="right"/>
              <w:rPr>
                <w:b/>
                <w:sz w:val="13"/>
                <w:szCs w:val="13"/>
              </w:rPr>
            </w:pPr>
            <w:r w:rsidRPr="005A48E4">
              <w:rPr>
                <w:sz w:val="13"/>
                <w:szCs w:val="13"/>
              </w:rPr>
              <w:t>146</w:t>
            </w:r>
          </w:p>
        </w:tc>
        <w:tc>
          <w:tcPr>
            <w:tcW w:w="735" w:type="dxa"/>
            <w:tcMar>
              <w:left w:w="58" w:type="dxa"/>
              <w:right w:w="58" w:type="dxa"/>
            </w:tcMar>
          </w:tcPr>
          <w:p w14:paraId="4CC1779A" w14:textId="77777777" w:rsidR="00EB017E" w:rsidRPr="005A48E4" w:rsidRDefault="00EB017E" w:rsidP="00680D52">
            <w:pPr>
              <w:pStyle w:val="TableText"/>
              <w:jc w:val="right"/>
              <w:rPr>
                <w:b/>
                <w:sz w:val="13"/>
                <w:szCs w:val="13"/>
              </w:rPr>
            </w:pPr>
            <w:r w:rsidRPr="005A48E4">
              <w:rPr>
                <w:sz w:val="13"/>
                <w:szCs w:val="13"/>
              </w:rPr>
              <w:t>6.0 (3.4,</w:t>
            </w:r>
            <w:r w:rsidR="005A48E4">
              <w:rPr>
                <w:sz w:val="13"/>
                <w:szCs w:val="13"/>
              </w:rPr>
              <w:t> </w:t>
            </w:r>
            <w:r w:rsidRPr="005A48E4">
              <w:rPr>
                <w:sz w:val="13"/>
                <w:szCs w:val="13"/>
              </w:rPr>
              <w:t>10.5)</w:t>
            </w:r>
          </w:p>
        </w:tc>
        <w:tc>
          <w:tcPr>
            <w:tcW w:w="408" w:type="dxa"/>
            <w:tcMar>
              <w:left w:w="58" w:type="dxa"/>
              <w:right w:w="58" w:type="dxa"/>
            </w:tcMar>
          </w:tcPr>
          <w:p w14:paraId="35161E12" w14:textId="77777777" w:rsidR="00EB017E" w:rsidRPr="005A48E4" w:rsidRDefault="00EB017E" w:rsidP="00680D52">
            <w:pPr>
              <w:pStyle w:val="TableText"/>
              <w:jc w:val="right"/>
              <w:rPr>
                <w:b/>
                <w:sz w:val="13"/>
                <w:szCs w:val="13"/>
              </w:rPr>
            </w:pPr>
            <w:r w:rsidRPr="005A48E4">
              <w:rPr>
                <w:sz w:val="13"/>
                <w:szCs w:val="13"/>
              </w:rPr>
              <w:t>87</w:t>
            </w:r>
          </w:p>
        </w:tc>
        <w:tc>
          <w:tcPr>
            <w:tcW w:w="657" w:type="dxa"/>
            <w:tcMar>
              <w:left w:w="58" w:type="dxa"/>
              <w:right w:w="58" w:type="dxa"/>
            </w:tcMar>
          </w:tcPr>
          <w:p w14:paraId="2C8C6B30" w14:textId="77777777" w:rsidR="00EB017E" w:rsidRPr="005A48E4" w:rsidRDefault="00EB017E" w:rsidP="00680D52">
            <w:pPr>
              <w:pStyle w:val="TableText"/>
              <w:jc w:val="right"/>
              <w:rPr>
                <w:b/>
                <w:sz w:val="13"/>
                <w:szCs w:val="13"/>
              </w:rPr>
            </w:pPr>
            <w:r w:rsidRPr="005A48E4">
              <w:rPr>
                <w:sz w:val="13"/>
                <w:szCs w:val="13"/>
              </w:rPr>
              <w:t>378</w:t>
            </w:r>
          </w:p>
        </w:tc>
        <w:tc>
          <w:tcPr>
            <w:tcW w:w="713" w:type="dxa"/>
            <w:tcMar>
              <w:left w:w="58" w:type="dxa"/>
              <w:right w:w="58" w:type="dxa"/>
            </w:tcMar>
          </w:tcPr>
          <w:p w14:paraId="21F8D154" w14:textId="77777777" w:rsidR="00EB017E" w:rsidRPr="005A48E4" w:rsidRDefault="00EB017E" w:rsidP="00680D52">
            <w:pPr>
              <w:pStyle w:val="TableText"/>
              <w:jc w:val="right"/>
              <w:rPr>
                <w:sz w:val="13"/>
                <w:szCs w:val="13"/>
              </w:rPr>
            </w:pPr>
            <w:r w:rsidRPr="005A48E4">
              <w:rPr>
                <w:sz w:val="13"/>
                <w:szCs w:val="13"/>
              </w:rPr>
              <w:t>9.8 (6.8,</w:t>
            </w:r>
            <w:r w:rsidR="005A48E4">
              <w:rPr>
                <w:sz w:val="13"/>
                <w:szCs w:val="13"/>
              </w:rPr>
              <w:t> </w:t>
            </w:r>
            <w:r w:rsidRPr="005A48E4">
              <w:rPr>
                <w:sz w:val="13"/>
                <w:szCs w:val="13"/>
              </w:rPr>
              <w:t>14.0)</w:t>
            </w:r>
          </w:p>
        </w:tc>
        <w:tc>
          <w:tcPr>
            <w:tcW w:w="408" w:type="dxa"/>
            <w:tcMar>
              <w:left w:w="58" w:type="dxa"/>
              <w:right w:w="58" w:type="dxa"/>
            </w:tcMar>
          </w:tcPr>
          <w:p w14:paraId="61834287" w14:textId="77777777" w:rsidR="00EB017E" w:rsidRPr="005A48E4" w:rsidRDefault="00EB017E" w:rsidP="00680D52">
            <w:pPr>
              <w:pStyle w:val="TableText"/>
              <w:jc w:val="right"/>
              <w:rPr>
                <w:b/>
                <w:sz w:val="13"/>
                <w:szCs w:val="13"/>
              </w:rPr>
            </w:pPr>
            <w:r w:rsidRPr="005A48E4">
              <w:rPr>
                <w:sz w:val="13"/>
                <w:szCs w:val="13"/>
              </w:rPr>
              <w:t>367</w:t>
            </w:r>
          </w:p>
        </w:tc>
        <w:tc>
          <w:tcPr>
            <w:tcW w:w="679" w:type="dxa"/>
            <w:tcMar>
              <w:left w:w="58" w:type="dxa"/>
              <w:right w:w="58" w:type="dxa"/>
            </w:tcMar>
          </w:tcPr>
          <w:p w14:paraId="039C2C08" w14:textId="77777777" w:rsidR="00EB017E" w:rsidRPr="005A48E4" w:rsidRDefault="00EB017E" w:rsidP="00680D52">
            <w:pPr>
              <w:pStyle w:val="TableText"/>
              <w:jc w:val="right"/>
              <w:rPr>
                <w:b/>
                <w:sz w:val="13"/>
                <w:szCs w:val="13"/>
              </w:rPr>
            </w:pPr>
            <w:r w:rsidRPr="005A48E4">
              <w:rPr>
                <w:sz w:val="13"/>
                <w:szCs w:val="13"/>
              </w:rPr>
              <w:t>3052</w:t>
            </w:r>
          </w:p>
        </w:tc>
        <w:tc>
          <w:tcPr>
            <w:tcW w:w="826" w:type="dxa"/>
            <w:tcMar>
              <w:left w:w="58" w:type="dxa"/>
              <w:right w:w="58" w:type="dxa"/>
            </w:tcMar>
          </w:tcPr>
          <w:p w14:paraId="1951F378" w14:textId="77777777" w:rsidR="00EB017E" w:rsidRPr="005A48E4" w:rsidRDefault="00EB017E" w:rsidP="00680D52">
            <w:pPr>
              <w:pStyle w:val="TableText"/>
              <w:jc w:val="right"/>
              <w:rPr>
                <w:b/>
                <w:sz w:val="13"/>
                <w:szCs w:val="13"/>
              </w:rPr>
            </w:pPr>
            <w:r w:rsidRPr="005A48E4">
              <w:rPr>
                <w:sz w:val="13"/>
                <w:szCs w:val="13"/>
              </w:rPr>
              <w:t>79.4 (70.3,</w:t>
            </w:r>
            <w:r w:rsidR="005A48E4">
              <w:rPr>
                <w:sz w:val="13"/>
                <w:szCs w:val="13"/>
              </w:rPr>
              <w:t> </w:t>
            </w:r>
            <w:r w:rsidRPr="005A48E4">
              <w:rPr>
                <w:sz w:val="13"/>
                <w:szCs w:val="13"/>
              </w:rPr>
              <w:t>86.2)</w:t>
            </w:r>
          </w:p>
        </w:tc>
        <w:tc>
          <w:tcPr>
            <w:tcW w:w="408" w:type="dxa"/>
            <w:tcMar>
              <w:left w:w="58" w:type="dxa"/>
              <w:right w:w="58" w:type="dxa"/>
            </w:tcMar>
          </w:tcPr>
          <w:p w14:paraId="77F5FDC9" w14:textId="77777777" w:rsidR="00EB017E" w:rsidRPr="005A48E4" w:rsidRDefault="00EB017E" w:rsidP="00680D52">
            <w:pPr>
              <w:pStyle w:val="TableText"/>
              <w:jc w:val="right"/>
              <w:rPr>
                <w:b/>
                <w:sz w:val="13"/>
                <w:szCs w:val="13"/>
              </w:rPr>
            </w:pPr>
            <w:r w:rsidRPr="005A48E4">
              <w:rPr>
                <w:sz w:val="13"/>
                <w:szCs w:val="13"/>
              </w:rPr>
              <w:t>49</w:t>
            </w:r>
          </w:p>
        </w:tc>
        <w:tc>
          <w:tcPr>
            <w:tcW w:w="656" w:type="dxa"/>
            <w:tcMar>
              <w:left w:w="58" w:type="dxa"/>
              <w:right w:w="58" w:type="dxa"/>
            </w:tcMar>
          </w:tcPr>
          <w:p w14:paraId="3315F4E4" w14:textId="77777777" w:rsidR="00EB017E" w:rsidRPr="005A48E4" w:rsidRDefault="00EB017E" w:rsidP="00680D52">
            <w:pPr>
              <w:pStyle w:val="TableText"/>
              <w:jc w:val="right"/>
              <w:rPr>
                <w:b/>
                <w:sz w:val="13"/>
                <w:szCs w:val="13"/>
              </w:rPr>
            </w:pPr>
            <w:r w:rsidRPr="005A48E4">
              <w:rPr>
                <w:sz w:val="13"/>
                <w:szCs w:val="13"/>
              </w:rPr>
              <w:t>391</w:t>
            </w:r>
          </w:p>
        </w:tc>
        <w:tc>
          <w:tcPr>
            <w:tcW w:w="785" w:type="dxa"/>
            <w:tcMar>
              <w:left w:w="58" w:type="dxa"/>
              <w:right w:w="58" w:type="dxa"/>
            </w:tcMar>
          </w:tcPr>
          <w:p w14:paraId="6C60A5D1" w14:textId="77777777" w:rsidR="00EB017E" w:rsidRPr="005A48E4" w:rsidRDefault="00EB017E" w:rsidP="00680D52">
            <w:pPr>
              <w:pStyle w:val="TableText"/>
              <w:jc w:val="right"/>
              <w:rPr>
                <w:sz w:val="13"/>
                <w:szCs w:val="13"/>
              </w:rPr>
            </w:pPr>
            <w:r w:rsidRPr="005A48E4">
              <w:rPr>
                <w:sz w:val="13"/>
                <w:szCs w:val="13"/>
              </w:rPr>
              <w:t>10.2 (5.4,</w:t>
            </w:r>
            <w:r w:rsidR="005A48E4">
              <w:rPr>
                <w:sz w:val="13"/>
                <w:szCs w:val="13"/>
              </w:rPr>
              <w:t> </w:t>
            </w:r>
            <w:r w:rsidRPr="005A48E4">
              <w:rPr>
                <w:sz w:val="13"/>
                <w:szCs w:val="13"/>
              </w:rPr>
              <w:t>18.4)</w:t>
            </w:r>
          </w:p>
        </w:tc>
      </w:tr>
      <w:tr w:rsidR="00680D52" w:rsidRPr="003860A9" w14:paraId="4170572C" w14:textId="77777777" w:rsidTr="00680D52">
        <w:trPr>
          <w:cantSplit/>
        </w:trPr>
        <w:tc>
          <w:tcPr>
            <w:tcW w:w="745" w:type="dxa"/>
          </w:tcPr>
          <w:p w14:paraId="1A60824B" w14:textId="77777777" w:rsidR="00EB017E" w:rsidRPr="005B471D" w:rsidRDefault="00EB017E" w:rsidP="000A2491">
            <w:pPr>
              <w:pStyle w:val="TableText"/>
              <w:rPr>
                <w:bCs/>
                <w:color w:val="000000" w:themeColor="text1"/>
              </w:rPr>
            </w:pPr>
            <w:r w:rsidRPr="005B471D">
              <w:rPr>
                <w:bCs/>
                <w:color w:val="000000" w:themeColor="text1"/>
              </w:rPr>
              <w:t>38</w:t>
            </w:r>
            <w:r>
              <w:rPr>
                <w:bCs/>
                <w:color w:val="000000" w:themeColor="text1"/>
              </w:rPr>
              <w:t>–</w:t>
            </w:r>
            <w:r w:rsidRPr="005B471D">
              <w:rPr>
                <w:bCs/>
                <w:color w:val="000000" w:themeColor="text1"/>
              </w:rPr>
              <w:t>47</w:t>
            </w:r>
          </w:p>
        </w:tc>
        <w:tc>
          <w:tcPr>
            <w:tcW w:w="373" w:type="dxa"/>
            <w:tcMar>
              <w:left w:w="58" w:type="dxa"/>
              <w:right w:w="58" w:type="dxa"/>
            </w:tcMar>
          </w:tcPr>
          <w:p w14:paraId="0373373D" w14:textId="77777777" w:rsidR="00EB017E" w:rsidRPr="005A48E4" w:rsidRDefault="00EB017E" w:rsidP="00680D52">
            <w:pPr>
              <w:pStyle w:val="TableText"/>
              <w:jc w:val="right"/>
              <w:rPr>
                <w:b/>
                <w:sz w:val="13"/>
                <w:szCs w:val="13"/>
              </w:rPr>
            </w:pPr>
            <w:r w:rsidRPr="005A48E4">
              <w:rPr>
                <w:sz w:val="13"/>
                <w:szCs w:val="13"/>
              </w:rPr>
              <w:t>78</w:t>
            </w:r>
          </w:p>
        </w:tc>
        <w:tc>
          <w:tcPr>
            <w:tcW w:w="617" w:type="dxa"/>
            <w:tcMar>
              <w:left w:w="58" w:type="dxa"/>
              <w:right w:w="58" w:type="dxa"/>
            </w:tcMar>
          </w:tcPr>
          <w:p w14:paraId="761AD747" w14:textId="77777777" w:rsidR="00EB017E" w:rsidRPr="005A48E4" w:rsidRDefault="00EB017E" w:rsidP="00680D52">
            <w:pPr>
              <w:pStyle w:val="TableText"/>
              <w:jc w:val="right"/>
              <w:rPr>
                <w:b/>
                <w:sz w:val="13"/>
                <w:szCs w:val="13"/>
              </w:rPr>
            </w:pPr>
            <w:r w:rsidRPr="005A48E4">
              <w:rPr>
                <w:sz w:val="13"/>
                <w:szCs w:val="13"/>
              </w:rPr>
              <w:t>441</w:t>
            </w:r>
          </w:p>
        </w:tc>
        <w:tc>
          <w:tcPr>
            <w:tcW w:w="753" w:type="dxa"/>
            <w:tcMar>
              <w:left w:w="58" w:type="dxa"/>
              <w:right w:w="58" w:type="dxa"/>
            </w:tcMar>
          </w:tcPr>
          <w:p w14:paraId="7EC1C0DD" w14:textId="77777777" w:rsidR="00EB017E" w:rsidRPr="005A48E4" w:rsidRDefault="00EB017E" w:rsidP="00680D52">
            <w:pPr>
              <w:pStyle w:val="TableText"/>
              <w:jc w:val="right"/>
              <w:rPr>
                <w:sz w:val="13"/>
                <w:szCs w:val="13"/>
              </w:rPr>
            </w:pPr>
            <w:r w:rsidRPr="005A48E4">
              <w:rPr>
                <w:sz w:val="13"/>
                <w:szCs w:val="13"/>
              </w:rPr>
              <w:t>30.4 (24.2,</w:t>
            </w:r>
            <w:r w:rsidR="005A48E4">
              <w:rPr>
                <w:sz w:val="13"/>
                <w:szCs w:val="13"/>
              </w:rPr>
              <w:t> </w:t>
            </w:r>
            <w:r w:rsidRPr="005A48E4">
              <w:rPr>
                <w:sz w:val="13"/>
                <w:szCs w:val="13"/>
              </w:rPr>
              <w:t>37.4)</w:t>
            </w:r>
          </w:p>
        </w:tc>
        <w:tc>
          <w:tcPr>
            <w:tcW w:w="408" w:type="dxa"/>
            <w:tcMar>
              <w:left w:w="58" w:type="dxa"/>
              <w:right w:w="58" w:type="dxa"/>
            </w:tcMar>
          </w:tcPr>
          <w:p w14:paraId="6A10EB13" w14:textId="77777777" w:rsidR="00EB017E" w:rsidRPr="005A48E4" w:rsidRDefault="00EB017E" w:rsidP="00680D52">
            <w:pPr>
              <w:pStyle w:val="TableText"/>
              <w:jc w:val="right"/>
              <w:rPr>
                <w:b/>
                <w:sz w:val="13"/>
                <w:szCs w:val="13"/>
              </w:rPr>
            </w:pPr>
            <w:r w:rsidRPr="005A48E4">
              <w:rPr>
                <w:sz w:val="13"/>
                <w:szCs w:val="13"/>
              </w:rPr>
              <w:t>176</w:t>
            </w:r>
          </w:p>
        </w:tc>
        <w:tc>
          <w:tcPr>
            <w:tcW w:w="639" w:type="dxa"/>
            <w:tcMar>
              <w:left w:w="58" w:type="dxa"/>
              <w:right w:w="58" w:type="dxa"/>
            </w:tcMar>
          </w:tcPr>
          <w:p w14:paraId="26171D6F" w14:textId="77777777" w:rsidR="00EB017E" w:rsidRPr="005A48E4" w:rsidRDefault="00EB017E" w:rsidP="00680D52">
            <w:pPr>
              <w:pStyle w:val="TableText"/>
              <w:jc w:val="right"/>
              <w:rPr>
                <w:b/>
                <w:sz w:val="13"/>
                <w:szCs w:val="13"/>
              </w:rPr>
            </w:pPr>
            <w:r w:rsidRPr="005A48E4">
              <w:rPr>
                <w:sz w:val="13"/>
                <w:szCs w:val="13"/>
              </w:rPr>
              <w:t>943</w:t>
            </w:r>
          </w:p>
        </w:tc>
        <w:tc>
          <w:tcPr>
            <w:tcW w:w="731" w:type="dxa"/>
            <w:tcMar>
              <w:left w:w="58" w:type="dxa"/>
              <w:right w:w="58" w:type="dxa"/>
            </w:tcMar>
          </w:tcPr>
          <w:p w14:paraId="5FD0E385" w14:textId="77777777" w:rsidR="00EB017E" w:rsidRPr="005A48E4" w:rsidRDefault="00EB017E" w:rsidP="00680D52">
            <w:pPr>
              <w:pStyle w:val="TableText"/>
              <w:jc w:val="right"/>
              <w:rPr>
                <w:b/>
                <w:sz w:val="13"/>
                <w:szCs w:val="13"/>
              </w:rPr>
            </w:pPr>
            <w:r w:rsidRPr="005A48E4">
              <w:rPr>
                <w:sz w:val="13"/>
                <w:szCs w:val="13"/>
              </w:rPr>
              <w:t>65.1 (57.8,</w:t>
            </w:r>
            <w:r w:rsidR="005A48E4">
              <w:rPr>
                <w:sz w:val="13"/>
                <w:szCs w:val="13"/>
              </w:rPr>
              <w:t> </w:t>
            </w:r>
            <w:r w:rsidRPr="005A48E4">
              <w:rPr>
                <w:sz w:val="13"/>
                <w:szCs w:val="13"/>
              </w:rPr>
              <w:t>71.7)</w:t>
            </w:r>
          </w:p>
        </w:tc>
        <w:tc>
          <w:tcPr>
            <w:tcW w:w="344" w:type="dxa"/>
            <w:tcMar>
              <w:left w:w="58" w:type="dxa"/>
              <w:right w:w="58" w:type="dxa"/>
            </w:tcMar>
          </w:tcPr>
          <w:p w14:paraId="6BB547FF" w14:textId="77777777" w:rsidR="00EB017E" w:rsidRPr="005A48E4" w:rsidRDefault="00EB017E" w:rsidP="00680D52">
            <w:pPr>
              <w:pStyle w:val="TableText"/>
              <w:jc w:val="right"/>
              <w:rPr>
                <w:b/>
                <w:sz w:val="13"/>
                <w:szCs w:val="13"/>
              </w:rPr>
            </w:pPr>
            <w:r w:rsidRPr="005A48E4">
              <w:rPr>
                <w:sz w:val="13"/>
                <w:szCs w:val="13"/>
              </w:rPr>
              <w:t>7</w:t>
            </w:r>
          </w:p>
        </w:tc>
        <w:tc>
          <w:tcPr>
            <w:tcW w:w="635" w:type="dxa"/>
            <w:tcMar>
              <w:left w:w="58" w:type="dxa"/>
              <w:right w:w="58" w:type="dxa"/>
            </w:tcMar>
          </w:tcPr>
          <w:p w14:paraId="2497E3F2" w14:textId="77777777" w:rsidR="00EB017E" w:rsidRPr="005A48E4" w:rsidRDefault="00EB017E" w:rsidP="00680D52">
            <w:pPr>
              <w:pStyle w:val="TableText"/>
              <w:jc w:val="right"/>
              <w:rPr>
                <w:b/>
                <w:sz w:val="13"/>
                <w:szCs w:val="13"/>
              </w:rPr>
            </w:pPr>
            <w:r w:rsidRPr="005A48E4">
              <w:rPr>
                <w:sz w:val="13"/>
                <w:szCs w:val="13"/>
              </w:rPr>
              <w:t>37</w:t>
            </w:r>
          </w:p>
        </w:tc>
        <w:tc>
          <w:tcPr>
            <w:tcW w:w="735" w:type="dxa"/>
            <w:tcMar>
              <w:left w:w="58" w:type="dxa"/>
              <w:right w:w="58" w:type="dxa"/>
            </w:tcMar>
          </w:tcPr>
          <w:p w14:paraId="72107A60" w14:textId="77777777" w:rsidR="00EB017E" w:rsidRPr="005A48E4" w:rsidRDefault="00EB017E" w:rsidP="00680D52">
            <w:pPr>
              <w:pStyle w:val="TableText"/>
              <w:jc w:val="right"/>
              <w:rPr>
                <w:b/>
                <w:sz w:val="13"/>
                <w:szCs w:val="13"/>
              </w:rPr>
            </w:pPr>
            <w:r w:rsidRPr="005A48E4">
              <w:rPr>
                <w:sz w:val="13"/>
                <w:szCs w:val="13"/>
              </w:rPr>
              <w:t>2.6</w:t>
            </w:r>
            <w:r w:rsidR="00680D52">
              <w:rPr>
                <w:sz w:val="13"/>
                <w:szCs w:val="13"/>
              </w:rPr>
              <w:br/>
            </w:r>
            <w:r w:rsidRPr="005A48E4">
              <w:rPr>
                <w:sz w:val="13"/>
                <w:szCs w:val="13"/>
              </w:rPr>
              <w:t>(1.1,</w:t>
            </w:r>
            <w:r w:rsidR="005A48E4">
              <w:rPr>
                <w:sz w:val="13"/>
                <w:szCs w:val="13"/>
              </w:rPr>
              <w:t> </w:t>
            </w:r>
            <w:r w:rsidRPr="005A48E4">
              <w:rPr>
                <w:sz w:val="13"/>
                <w:szCs w:val="13"/>
              </w:rPr>
              <w:t>5.9)</w:t>
            </w:r>
          </w:p>
        </w:tc>
        <w:tc>
          <w:tcPr>
            <w:tcW w:w="408" w:type="dxa"/>
            <w:tcMar>
              <w:left w:w="58" w:type="dxa"/>
              <w:right w:w="58" w:type="dxa"/>
            </w:tcMar>
          </w:tcPr>
          <w:p w14:paraId="7D33AF4E" w14:textId="77777777" w:rsidR="00EB017E" w:rsidRPr="005A48E4" w:rsidRDefault="00EB017E" w:rsidP="00680D52">
            <w:pPr>
              <w:pStyle w:val="TableText"/>
              <w:jc w:val="right"/>
              <w:rPr>
                <w:b/>
                <w:sz w:val="13"/>
                <w:szCs w:val="13"/>
              </w:rPr>
            </w:pPr>
            <w:r w:rsidRPr="005A48E4">
              <w:rPr>
                <w:sz w:val="13"/>
                <w:szCs w:val="13"/>
              </w:rPr>
              <w:t>113</w:t>
            </w:r>
          </w:p>
        </w:tc>
        <w:tc>
          <w:tcPr>
            <w:tcW w:w="657" w:type="dxa"/>
            <w:tcMar>
              <w:left w:w="58" w:type="dxa"/>
              <w:right w:w="58" w:type="dxa"/>
            </w:tcMar>
          </w:tcPr>
          <w:p w14:paraId="42D93C0C" w14:textId="77777777" w:rsidR="00EB017E" w:rsidRPr="005A48E4" w:rsidRDefault="00EB017E" w:rsidP="00680D52">
            <w:pPr>
              <w:pStyle w:val="TableText"/>
              <w:jc w:val="right"/>
              <w:rPr>
                <w:b/>
                <w:sz w:val="13"/>
                <w:szCs w:val="13"/>
              </w:rPr>
            </w:pPr>
            <w:r w:rsidRPr="005A48E4">
              <w:rPr>
                <w:sz w:val="13"/>
                <w:szCs w:val="13"/>
              </w:rPr>
              <w:t>387</w:t>
            </w:r>
          </w:p>
        </w:tc>
        <w:tc>
          <w:tcPr>
            <w:tcW w:w="713" w:type="dxa"/>
            <w:tcMar>
              <w:left w:w="58" w:type="dxa"/>
              <w:right w:w="58" w:type="dxa"/>
            </w:tcMar>
          </w:tcPr>
          <w:p w14:paraId="22E163D0" w14:textId="77777777" w:rsidR="00EB017E" w:rsidRPr="005A48E4" w:rsidRDefault="00EB017E" w:rsidP="00680D52">
            <w:pPr>
              <w:pStyle w:val="TableText"/>
              <w:jc w:val="right"/>
              <w:rPr>
                <w:sz w:val="13"/>
                <w:szCs w:val="13"/>
              </w:rPr>
            </w:pPr>
            <w:r w:rsidRPr="005A48E4">
              <w:rPr>
                <w:sz w:val="13"/>
                <w:szCs w:val="13"/>
              </w:rPr>
              <w:t>20.0 (16.3,</w:t>
            </w:r>
            <w:r w:rsidR="005A48E4">
              <w:rPr>
                <w:sz w:val="13"/>
                <w:szCs w:val="13"/>
              </w:rPr>
              <w:t> </w:t>
            </w:r>
            <w:r w:rsidRPr="005A48E4">
              <w:rPr>
                <w:sz w:val="13"/>
                <w:szCs w:val="13"/>
              </w:rPr>
              <w:t>24.4)</w:t>
            </w:r>
          </w:p>
        </w:tc>
        <w:tc>
          <w:tcPr>
            <w:tcW w:w="408" w:type="dxa"/>
            <w:tcMar>
              <w:left w:w="58" w:type="dxa"/>
              <w:right w:w="58" w:type="dxa"/>
            </w:tcMar>
          </w:tcPr>
          <w:p w14:paraId="3BBEF908" w14:textId="77777777" w:rsidR="00EB017E" w:rsidRPr="005A48E4" w:rsidRDefault="00EB017E" w:rsidP="00680D52">
            <w:pPr>
              <w:pStyle w:val="TableText"/>
              <w:jc w:val="right"/>
              <w:rPr>
                <w:b/>
                <w:sz w:val="13"/>
                <w:szCs w:val="13"/>
              </w:rPr>
            </w:pPr>
            <w:r w:rsidRPr="005A48E4">
              <w:rPr>
                <w:sz w:val="13"/>
                <w:szCs w:val="13"/>
              </w:rPr>
              <w:t>348</w:t>
            </w:r>
          </w:p>
        </w:tc>
        <w:tc>
          <w:tcPr>
            <w:tcW w:w="679" w:type="dxa"/>
            <w:tcMar>
              <w:left w:w="58" w:type="dxa"/>
              <w:right w:w="58" w:type="dxa"/>
            </w:tcMar>
          </w:tcPr>
          <w:p w14:paraId="286472E9" w14:textId="77777777" w:rsidR="00EB017E" w:rsidRPr="005A48E4" w:rsidRDefault="00EB017E" w:rsidP="00680D52">
            <w:pPr>
              <w:pStyle w:val="TableText"/>
              <w:jc w:val="right"/>
              <w:rPr>
                <w:b/>
                <w:sz w:val="13"/>
                <w:szCs w:val="13"/>
              </w:rPr>
            </w:pPr>
            <w:r w:rsidRPr="005A48E4">
              <w:rPr>
                <w:sz w:val="13"/>
                <w:szCs w:val="13"/>
              </w:rPr>
              <w:t>1307</w:t>
            </w:r>
          </w:p>
        </w:tc>
        <w:tc>
          <w:tcPr>
            <w:tcW w:w="826" w:type="dxa"/>
            <w:tcMar>
              <w:left w:w="58" w:type="dxa"/>
              <w:right w:w="58" w:type="dxa"/>
            </w:tcMar>
          </w:tcPr>
          <w:p w14:paraId="309927AB" w14:textId="77777777" w:rsidR="00EB017E" w:rsidRPr="005A48E4" w:rsidRDefault="00EB017E" w:rsidP="00680D52">
            <w:pPr>
              <w:pStyle w:val="TableText"/>
              <w:jc w:val="right"/>
              <w:rPr>
                <w:b/>
                <w:sz w:val="13"/>
                <w:szCs w:val="13"/>
              </w:rPr>
            </w:pPr>
            <w:r w:rsidRPr="005A48E4">
              <w:rPr>
                <w:sz w:val="13"/>
                <w:szCs w:val="13"/>
              </w:rPr>
              <w:t>67.7 (60.1,</w:t>
            </w:r>
            <w:r w:rsidR="005A48E4">
              <w:rPr>
                <w:sz w:val="13"/>
                <w:szCs w:val="13"/>
              </w:rPr>
              <w:t> </w:t>
            </w:r>
            <w:r w:rsidRPr="005A48E4">
              <w:rPr>
                <w:sz w:val="13"/>
                <w:szCs w:val="13"/>
              </w:rPr>
              <w:t>74.4)</w:t>
            </w:r>
          </w:p>
        </w:tc>
        <w:tc>
          <w:tcPr>
            <w:tcW w:w="408" w:type="dxa"/>
            <w:tcMar>
              <w:left w:w="58" w:type="dxa"/>
              <w:right w:w="58" w:type="dxa"/>
            </w:tcMar>
          </w:tcPr>
          <w:p w14:paraId="7E93887C" w14:textId="77777777" w:rsidR="00EB017E" w:rsidRPr="005A48E4" w:rsidRDefault="00EB017E" w:rsidP="00680D52">
            <w:pPr>
              <w:pStyle w:val="TableText"/>
              <w:jc w:val="right"/>
              <w:rPr>
                <w:b/>
                <w:sz w:val="13"/>
                <w:szCs w:val="13"/>
              </w:rPr>
            </w:pPr>
            <w:r w:rsidRPr="005A48E4">
              <w:rPr>
                <w:sz w:val="13"/>
                <w:szCs w:val="13"/>
              </w:rPr>
              <w:t>34</w:t>
            </w:r>
          </w:p>
        </w:tc>
        <w:tc>
          <w:tcPr>
            <w:tcW w:w="656" w:type="dxa"/>
            <w:tcMar>
              <w:left w:w="58" w:type="dxa"/>
              <w:right w:w="58" w:type="dxa"/>
            </w:tcMar>
          </w:tcPr>
          <w:p w14:paraId="7CE7F42E" w14:textId="77777777" w:rsidR="00EB017E" w:rsidRPr="005A48E4" w:rsidRDefault="00EB017E" w:rsidP="00680D52">
            <w:pPr>
              <w:pStyle w:val="TableText"/>
              <w:jc w:val="right"/>
              <w:rPr>
                <w:b/>
                <w:sz w:val="13"/>
                <w:szCs w:val="13"/>
              </w:rPr>
            </w:pPr>
            <w:r w:rsidRPr="005A48E4">
              <w:rPr>
                <w:sz w:val="13"/>
                <w:szCs w:val="13"/>
              </w:rPr>
              <w:t>229</w:t>
            </w:r>
          </w:p>
        </w:tc>
        <w:tc>
          <w:tcPr>
            <w:tcW w:w="785" w:type="dxa"/>
            <w:tcMar>
              <w:left w:w="58" w:type="dxa"/>
              <w:right w:w="58" w:type="dxa"/>
            </w:tcMar>
          </w:tcPr>
          <w:p w14:paraId="698F81B8" w14:textId="77777777" w:rsidR="00EB017E" w:rsidRPr="005A48E4" w:rsidRDefault="00EB017E" w:rsidP="00680D52">
            <w:pPr>
              <w:pStyle w:val="TableText"/>
              <w:jc w:val="right"/>
              <w:rPr>
                <w:sz w:val="13"/>
                <w:szCs w:val="13"/>
              </w:rPr>
            </w:pPr>
            <w:r w:rsidRPr="005A48E4">
              <w:rPr>
                <w:sz w:val="13"/>
                <w:szCs w:val="13"/>
              </w:rPr>
              <w:t>11.9 (6.0,</w:t>
            </w:r>
            <w:r w:rsidR="005A48E4">
              <w:rPr>
                <w:sz w:val="13"/>
                <w:szCs w:val="13"/>
              </w:rPr>
              <w:t> </w:t>
            </w:r>
            <w:r w:rsidRPr="005A48E4">
              <w:rPr>
                <w:sz w:val="13"/>
                <w:szCs w:val="13"/>
              </w:rPr>
              <w:t>22.3)</w:t>
            </w:r>
          </w:p>
        </w:tc>
      </w:tr>
      <w:tr w:rsidR="00BD41F3" w:rsidRPr="003860A9" w14:paraId="7EC5BDA1"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0DCCF8F9" w14:textId="77777777" w:rsidR="00EB017E" w:rsidRPr="005B471D" w:rsidRDefault="00EB017E" w:rsidP="000A2491">
            <w:pPr>
              <w:pStyle w:val="TableText"/>
              <w:rPr>
                <w:bCs/>
                <w:color w:val="000000" w:themeColor="text1"/>
              </w:rPr>
            </w:pPr>
            <w:r w:rsidRPr="005B471D">
              <w:rPr>
                <w:bCs/>
                <w:color w:val="000000" w:themeColor="text1"/>
              </w:rPr>
              <w:t>48</w:t>
            </w:r>
            <w:r>
              <w:rPr>
                <w:bCs/>
                <w:color w:val="000000" w:themeColor="text1"/>
              </w:rPr>
              <w:t>–</w:t>
            </w:r>
            <w:r w:rsidRPr="005B471D">
              <w:rPr>
                <w:bCs/>
                <w:color w:val="000000" w:themeColor="text1"/>
              </w:rPr>
              <w:t>57</w:t>
            </w:r>
          </w:p>
        </w:tc>
        <w:tc>
          <w:tcPr>
            <w:tcW w:w="373" w:type="dxa"/>
            <w:tcMar>
              <w:left w:w="58" w:type="dxa"/>
              <w:right w:w="58" w:type="dxa"/>
            </w:tcMar>
          </w:tcPr>
          <w:p w14:paraId="0B780E99" w14:textId="77777777" w:rsidR="00EB017E" w:rsidRPr="005A48E4" w:rsidRDefault="00EB017E" w:rsidP="00680D52">
            <w:pPr>
              <w:pStyle w:val="TableText"/>
              <w:jc w:val="right"/>
              <w:rPr>
                <w:b/>
                <w:sz w:val="13"/>
                <w:szCs w:val="13"/>
              </w:rPr>
            </w:pPr>
            <w:r w:rsidRPr="005A48E4">
              <w:rPr>
                <w:sz w:val="13"/>
                <w:szCs w:val="13"/>
              </w:rPr>
              <w:t>41</w:t>
            </w:r>
          </w:p>
        </w:tc>
        <w:tc>
          <w:tcPr>
            <w:tcW w:w="617" w:type="dxa"/>
            <w:tcMar>
              <w:left w:w="58" w:type="dxa"/>
              <w:right w:w="58" w:type="dxa"/>
            </w:tcMar>
          </w:tcPr>
          <w:p w14:paraId="17D4C885" w14:textId="77777777" w:rsidR="00EB017E" w:rsidRPr="005A48E4" w:rsidRDefault="00EB017E" w:rsidP="00680D52">
            <w:pPr>
              <w:pStyle w:val="TableText"/>
              <w:jc w:val="right"/>
              <w:rPr>
                <w:b/>
                <w:sz w:val="13"/>
                <w:szCs w:val="13"/>
              </w:rPr>
            </w:pPr>
            <w:r w:rsidRPr="005A48E4">
              <w:rPr>
                <w:sz w:val="13"/>
                <w:szCs w:val="13"/>
              </w:rPr>
              <w:t>166</w:t>
            </w:r>
          </w:p>
        </w:tc>
        <w:tc>
          <w:tcPr>
            <w:tcW w:w="753" w:type="dxa"/>
            <w:tcMar>
              <w:left w:w="58" w:type="dxa"/>
              <w:right w:w="58" w:type="dxa"/>
            </w:tcMar>
          </w:tcPr>
          <w:p w14:paraId="591D4DFD" w14:textId="77777777" w:rsidR="00EB017E" w:rsidRPr="005A48E4" w:rsidRDefault="00EB017E" w:rsidP="00680D52">
            <w:pPr>
              <w:pStyle w:val="TableText"/>
              <w:jc w:val="right"/>
              <w:rPr>
                <w:sz w:val="13"/>
                <w:szCs w:val="13"/>
              </w:rPr>
            </w:pPr>
            <w:r w:rsidRPr="005A48E4">
              <w:rPr>
                <w:sz w:val="13"/>
                <w:szCs w:val="13"/>
              </w:rPr>
              <w:t>26.3 (19.9,</w:t>
            </w:r>
            <w:r w:rsidR="005A48E4">
              <w:rPr>
                <w:sz w:val="13"/>
                <w:szCs w:val="13"/>
              </w:rPr>
              <w:t> </w:t>
            </w:r>
            <w:r w:rsidRPr="005A48E4">
              <w:rPr>
                <w:sz w:val="13"/>
                <w:szCs w:val="13"/>
              </w:rPr>
              <w:t>33.8)</w:t>
            </w:r>
          </w:p>
        </w:tc>
        <w:tc>
          <w:tcPr>
            <w:tcW w:w="408" w:type="dxa"/>
            <w:tcMar>
              <w:left w:w="58" w:type="dxa"/>
              <w:right w:w="58" w:type="dxa"/>
            </w:tcMar>
          </w:tcPr>
          <w:p w14:paraId="5445BB2D" w14:textId="77777777" w:rsidR="00EB017E" w:rsidRPr="005A48E4" w:rsidRDefault="00EB017E" w:rsidP="00680D52">
            <w:pPr>
              <w:pStyle w:val="TableText"/>
              <w:jc w:val="right"/>
              <w:rPr>
                <w:b/>
                <w:sz w:val="13"/>
                <w:szCs w:val="13"/>
              </w:rPr>
            </w:pPr>
            <w:r w:rsidRPr="005A48E4">
              <w:rPr>
                <w:sz w:val="13"/>
                <w:szCs w:val="13"/>
              </w:rPr>
              <w:t>90</w:t>
            </w:r>
          </w:p>
        </w:tc>
        <w:tc>
          <w:tcPr>
            <w:tcW w:w="639" w:type="dxa"/>
            <w:tcMar>
              <w:left w:w="58" w:type="dxa"/>
              <w:right w:w="58" w:type="dxa"/>
            </w:tcMar>
          </w:tcPr>
          <w:p w14:paraId="122A8624" w14:textId="77777777" w:rsidR="00EB017E" w:rsidRPr="005A48E4" w:rsidRDefault="00EB017E" w:rsidP="00680D52">
            <w:pPr>
              <w:pStyle w:val="TableText"/>
              <w:jc w:val="right"/>
              <w:rPr>
                <w:b/>
                <w:sz w:val="13"/>
                <w:szCs w:val="13"/>
              </w:rPr>
            </w:pPr>
            <w:r w:rsidRPr="005A48E4">
              <w:rPr>
                <w:sz w:val="13"/>
                <w:szCs w:val="13"/>
              </w:rPr>
              <w:t>432</w:t>
            </w:r>
          </w:p>
        </w:tc>
        <w:tc>
          <w:tcPr>
            <w:tcW w:w="731" w:type="dxa"/>
            <w:tcMar>
              <w:left w:w="58" w:type="dxa"/>
              <w:right w:w="58" w:type="dxa"/>
            </w:tcMar>
          </w:tcPr>
          <w:p w14:paraId="0468CFED" w14:textId="77777777" w:rsidR="00EB017E" w:rsidRPr="005A48E4" w:rsidRDefault="00EB017E" w:rsidP="00680D52">
            <w:pPr>
              <w:pStyle w:val="TableText"/>
              <w:jc w:val="right"/>
              <w:rPr>
                <w:b/>
                <w:sz w:val="13"/>
                <w:szCs w:val="13"/>
              </w:rPr>
            </w:pPr>
            <w:r w:rsidRPr="005A48E4">
              <w:rPr>
                <w:sz w:val="13"/>
                <w:szCs w:val="13"/>
              </w:rPr>
              <w:t>68.4 (60.1,</w:t>
            </w:r>
            <w:r w:rsidR="005A48E4">
              <w:rPr>
                <w:sz w:val="13"/>
                <w:szCs w:val="13"/>
              </w:rPr>
              <w:t> </w:t>
            </w:r>
            <w:r w:rsidRPr="005A48E4">
              <w:rPr>
                <w:sz w:val="13"/>
                <w:szCs w:val="13"/>
              </w:rPr>
              <w:t>75.7)</w:t>
            </w:r>
          </w:p>
        </w:tc>
        <w:tc>
          <w:tcPr>
            <w:tcW w:w="344" w:type="dxa"/>
            <w:tcMar>
              <w:left w:w="58" w:type="dxa"/>
              <w:right w:w="58" w:type="dxa"/>
            </w:tcMar>
          </w:tcPr>
          <w:p w14:paraId="43FD5718" w14:textId="77777777" w:rsidR="00EB017E" w:rsidRPr="005A48E4" w:rsidRDefault="00EB017E" w:rsidP="00680D52">
            <w:pPr>
              <w:pStyle w:val="TableText"/>
              <w:jc w:val="right"/>
              <w:rPr>
                <w:b/>
                <w:sz w:val="13"/>
                <w:szCs w:val="13"/>
              </w:rPr>
            </w:pPr>
            <w:r w:rsidRPr="005A48E4">
              <w:rPr>
                <w:sz w:val="13"/>
                <w:szCs w:val="13"/>
              </w:rPr>
              <w:t>5</w:t>
            </w:r>
          </w:p>
        </w:tc>
        <w:tc>
          <w:tcPr>
            <w:tcW w:w="635" w:type="dxa"/>
            <w:tcMar>
              <w:left w:w="58" w:type="dxa"/>
              <w:right w:w="58" w:type="dxa"/>
            </w:tcMar>
          </w:tcPr>
          <w:p w14:paraId="6902FCB2" w14:textId="77777777" w:rsidR="00EB017E" w:rsidRPr="005A48E4" w:rsidRDefault="00EB017E" w:rsidP="00680D52">
            <w:pPr>
              <w:pStyle w:val="TableText"/>
              <w:jc w:val="right"/>
              <w:rPr>
                <w:b/>
                <w:sz w:val="13"/>
                <w:szCs w:val="13"/>
              </w:rPr>
            </w:pPr>
            <w:r w:rsidRPr="005A48E4">
              <w:rPr>
                <w:sz w:val="13"/>
                <w:szCs w:val="13"/>
              </w:rPr>
              <w:t>20</w:t>
            </w:r>
          </w:p>
        </w:tc>
        <w:tc>
          <w:tcPr>
            <w:tcW w:w="735" w:type="dxa"/>
            <w:tcMar>
              <w:left w:w="58" w:type="dxa"/>
              <w:right w:w="58" w:type="dxa"/>
            </w:tcMar>
          </w:tcPr>
          <w:p w14:paraId="32A535B8" w14:textId="77777777" w:rsidR="00EB017E" w:rsidRPr="005A48E4" w:rsidRDefault="00EB017E" w:rsidP="00680D52">
            <w:pPr>
              <w:pStyle w:val="TableText"/>
              <w:jc w:val="right"/>
              <w:rPr>
                <w:b/>
                <w:sz w:val="13"/>
                <w:szCs w:val="13"/>
              </w:rPr>
            </w:pPr>
            <w:r w:rsidRPr="005A48E4">
              <w:rPr>
                <w:sz w:val="13"/>
                <w:szCs w:val="13"/>
              </w:rPr>
              <w:t>3.2</w:t>
            </w:r>
            <w:r w:rsidR="00680D52">
              <w:rPr>
                <w:sz w:val="13"/>
                <w:szCs w:val="13"/>
              </w:rPr>
              <w:br/>
            </w:r>
            <w:r w:rsidRPr="005A48E4">
              <w:rPr>
                <w:sz w:val="13"/>
                <w:szCs w:val="13"/>
              </w:rPr>
              <w:t>(1.5,</w:t>
            </w:r>
            <w:r w:rsidR="005A48E4">
              <w:rPr>
                <w:sz w:val="13"/>
                <w:szCs w:val="13"/>
              </w:rPr>
              <w:t> </w:t>
            </w:r>
            <w:r w:rsidRPr="005A48E4">
              <w:rPr>
                <w:sz w:val="13"/>
                <w:szCs w:val="13"/>
              </w:rPr>
              <w:t>6.7)</w:t>
            </w:r>
          </w:p>
        </w:tc>
        <w:tc>
          <w:tcPr>
            <w:tcW w:w="408" w:type="dxa"/>
            <w:tcMar>
              <w:left w:w="58" w:type="dxa"/>
              <w:right w:w="58" w:type="dxa"/>
            </w:tcMar>
          </w:tcPr>
          <w:p w14:paraId="070AB3C1" w14:textId="77777777" w:rsidR="00EB017E" w:rsidRPr="005A48E4" w:rsidRDefault="00EB017E" w:rsidP="00680D52">
            <w:pPr>
              <w:pStyle w:val="TableText"/>
              <w:jc w:val="right"/>
              <w:rPr>
                <w:b/>
                <w:sz w:val="13"/>
                <w:szCs w:val="13"/>
              </w:rPr>
            </w:pPr>
            <w:r w:rsidRPr="005A48E4">
              <w:rPr>
                <w:sz w:val="13"/>
                <w:szCs w:val="13"/>
              </w:rPr>
              <w:t>61</w:t>
            </w:r>
          </w:p>
        </w:tc>
        <w:tc>
          <w:tcPr>
            <w:tcW w:w="657" w:type="dxa"/>
            <w:tcMar>
              <w:left w:w="58" w:type="dxa"/>
              <w:right w:w="58" w:type="dxa"/>
            </w:tcMar>
          </w:tcPr>
          <w:p w14:paraId="409EB9C5" w14:textId="77777777" w:rsidR="00EB017E" w:rsidRPr="005A48E4" w:rsidRDefault="00EB017E" w:rsidP="00680D52">
            <w:pPr>
              <w:pStyle w:val="TableText"/>
              <w:jc w:val="right"/>
              <w:rPr>
                <w:b/>
                <w:sz w:val="13"/>
                <w:szCs w:val="13"/>
              </w:rPr>
            </w:pPr>
            <w:r w:rsidRPr="005A48E4">
              <w:rPr>
                <w:sz w:val="13"/>
                <w:szCs w:val="13"/>
              </w:rPr>
              <w:t>207</w:t>
            </w:r>
          </w:p>
        </w:tc>
        <w:tc>
          <w:tcPr>
            <w:tcW w:w="713" w:type="dxa"/>
            <w:tcMar>
              <w:left w:w="58" w:type="dxa"/>
              <w:right w:w="58" w:type="dxa"/>
            </w:tcMar>
          </w:tcPr>
          <w:p w14:paraId="24499F6C" w14:textId="77777777" w:rsidR="00EB017E" w:rsidRPr="005A48E4" w:rsidRDefault="00EB017E" w:rsidP="00680D52">
            <w:pPr>
              <w:pStyle w:val="TableText"/>
              <w:jc w:val="right"/>
              <w:rPr>
                <w:sz w:val="13"/>
                <w:szCs w:val="13"/>
              </w:rPr>
            </w:pPr>
            <w:r w:rsidRPr="005A48E4">
              <w:rPr>
                <w:sz w:val="13"/>
                <w:szCs w:val="13"/>
              </w:rPr>
              <w:t>21.6 (16.6,</w:t>
            </w:r>
            <w:r w:rsidR="005A48E4">
              <w:rPr>
                <w:sz w:val="13"/>
                <w:szCs w:val="13"/>
              </w:rPr>
              <w:t> </w:t>
            </w:r>
            <w:r w:rsidRPr="005A48E4">
              <w:rPr>
                <w:sz w:val="13"/>
                <w:szCs w:val="13"/>
              </w:rPr>
              <w:t>27.5)</w:t>
            </w:r>
          </w:p>
        </w:tc>
        <w:tc>
          <w:tcPr>
            <w:tcW w:w="408" w:type="dxa"/>
            <w:tcMar>
              <w:left w:w="58" w:type="dxa"/>
              <w:right w:w="58" w:type="dxa"/>
            </w:tcMar>
          </w:tcPr>
          <w:p w14:paraId="3775B871" w14:textId="77777777" w:rsidR="00EB017E" w:rsidRPr="005A48E4" w:rsidRDefault="00EB017E" w:rsidP="00680D52">
            <w:pPr>
              <w:pStyle w:val="TableText"/>
              <w:jc w:val="right"/>
              <w:rPr>
                <w:b/>
                <w:sz w:val="13"/>
                <w:szCs w:val="13"/>
              </w:rPr>
            </w:pPr>
            <w:r w:rsidRPr="005A48E4">
              <w:rPr>
                <w:sz w:val="13"/>
                <w:szCs w:val="13"/>
              </w:rPr>
              <w:t>182</w:t>
            </w:r>
          </w:p>
        </w:tc>
        <w:tc>
          <w:tcPr>
            <w:tcW w:w="679" w:type="dxa"/>
            <w:tcMar>
              <w:left w:w="58" w:type="dxa"/>
              <w:right w:w="58" w:type="dxa"/>
            </w:tcMar>
          </w:tcPr>
          <w:p w14:paraId="3A31A875" w14:textId="77777777" w:rsidR="00EB017E" w:rsidRPr="005A48E4" w:rsidRDefault="00EB017E" w:rsidP="00680D52">
            <w:pPr>
              <w:pStyle w:val="TableText"/>
              <w:jc w:val="right"/>
              <w:rPr>
                <w:b/>
                <w:sz w:val="13"/>
                <w:szCs w:val="13"/>
              </w:rPr>
            </w:pPr>
            <w:r w:rsidRPr="005A48E4">
              <w:rPr>
                <w:sz w:val="13"/>
                <w:szCs w:val="13"/>
              </w:rPr>
              <w:t>676</w:t>
            </w:r>
          </w:p>
        </w:tc>
        <w:tc>
          <w:tcPr>
            <w:tcW w:w="826" w:type="dxa"/>
            <w:tcMar>
              <w:left w:w="58" w:type="dxa"/>
              <w:right w:w="58" w:type="dxa"/>
            </w:tcMar>
          </w:tcPr>
          <w:p w14:paraId="1E186F71" w14:textId="77777777" w:rsidR="00EB017E" w:rsidRPr="005A48E4" w:rsidRDefault="00EB017E" w:rsidP="00680D52">
            <w:pPr>
              <w:pStyle w:val="TableText"/>
              <w:jc w:val="right"/>
              <w:rPr>
                <w:b/>
                <w:sz w:val="13"/>
                <w:szCs w:val="13"/>
              </w:rPr>
            </w:pPr>
            <w:r w:rsidRPr="005A48E4">
              <w:rPr>
                <w:sz w:val="13"/>
                <w:szCs w:val="13"/>
              </w:rPr>
              <w:t>70.3 (63.8,</w:t>
            </w:r>
            <w:r w:rsidR="005A48E4">
              <w:rPr>
                <w:sz w:val="13"/>
                <w:szCs w:val="13"/>
              </w:rPr>
              <w:t> </w:t>
            </w:r>
            <w:r w:rsidRPr="005A48E4">
              <w:rPr>
                <w:sz w:val="13"/>
                <w:szCs w:val="13"/>
              </w:rPr>
              <w:t>76.1)</w:t>
            </w:r>
          </w:p>
        </w:tc>
        <w:tc>
          <w:tcPr>
            <w:tcW w:w="408" w:type="dxa"/>
            <w:tcMar>
              <w:left w:w="58" w:type="dxa"/>
              <w:right w:w="58" w:type="dxa"/>
            </w:tcMar>
          </w:tcPr>
          <w:p w14:paraId="2A77FAD9" w14:textId="77777777" w:rsidR="00EB017E" w:rsidRPr="005A48E4" w:rsidRDefault="00EB017E" w:rsidP="00680D52">
            <w:pPr>
              <w:pStyle w:val="TableText"/>
              <w:jc w:val="right"/>
              <w:rPr>
                <w:b/>
                <w:sz w:val="13"/>
                <w:szCs w:val="13"/>
              </w:rPr>
            </w:pPr>
            <w:r w:rsidRPr="005A48E4">
              <w:rPr>
                <w:sz w:val="13"/>
                <w:szCs w:val="13"/>
              </w:rPr>
              <w:t>18</w:t>
            </w:r>
          </w:p>
        </w:tc>
        <w:tc>
          <w:tcPr>
            <w:tcW w:w="656" w:type="dxa"/>
            <w:tcMar>
              <w:left w:w="58" w:type="dxa"/>
              <w:right w:w="58" w:type="dxa"/>
            </w:tcMar>
          </w:tcPr>
          <w:p w14:paraId="57DF2488" w14:textId="77777777" w:rsidR="00EB017E" w:rsidRPr="005A48E4" w:rsidRDefault="00EB017E" w:rsidP="00680D52">
            <w:pPr>
              <w:pStyle w:val="TableText"/>
              <w:jc w:val="right"/>
              <w:rPr>
                <w:b/>
                <w:sz w:val="13"/>
                <w:szCs w:val="13"/>
              </w:rPr>
            </w:pPr>
            <w:r w:rsidRPr="005A48E4">
              <w:rPr>
                <w:sz w:val="13"/>
                <w:szCs w:val="13"/>
              </w:rPr>
              <w:t>72</w:t>
            </w:r>
          </w:p>
        </w:tc>
        <w:tc>
          <w:tcPr>
            <w:tcW w:w="785" w:type="dxa"/>
            <w:tcMar>
              <w:left w:w="58" w:type="dxa"/>
              <w:right w:w="58" w:type="dxa"/>
            </w:tcMar>
          </w:tcPr>
          <w:p w14:paraId="26895D1C" w14:textId="77777777" w:rsidR="00EB017E" w:rsidRPr="005A48E4" w:rsidRDefault="00EB017E" w:rsidP="00680D52">
            <w:pPr>
              <w:pStyle w:val="TableText"/>
              <w:jc w:val="right"/>
              <w:rPr>
                <w:sz w:val="13"/>
                <w:szCs w:val="13"/>
              </w:rPr>
            </w:pPr>
            <w:r w:rsidRPr="005A48E4">
              <w:rPr>
                <w:sz w:val="13"/>
                <w:szCs w:val="13"/>
              </w:rPr>
              <w:t>7.5</w:t>
            </w:r>
            <w:r w:rsidR="00680D52">
              <w:rPr>
                <w:sz w:val="13"/>
                <w:szCs w:val="13"/>
              </w:rPr>
              <w:br/>
            </w:r>
            <w:r w:rsidRPr="005A48E4">
              <w:rPr>
                <w:sz w:val="13"/>
                <w:szCs w:val="13"/>
              </w:rPr>
              <w:t>(4.5,</w:t>
            </w:r>
            <w:r w:rsidR="005A48E4">
              <w:rPr>
                <w:sz w:val="13"/>
                <w:szCs w:val="13"/>
              </w:rPr>
              <w:t> </w:t>
            </w:r>
            <w:r w:rsidRPr="005A48E4">
              <w:rPr>
                <w:sz w:val="13"/>
                <w:szCs w:val="13"/>
              </w:rPr>
              <w:t>12.1)</w:t>
            </w:r>
          </w:p>
        </w:tc>
      </w:tr>
      <w:tr w:rsidR="00680D52" w:rsidRPr="003860A9" w14:paraId="7FE0F919" w14:textId="77777777" w:rsidTr="00680D52">
        <w:trPr>
          <w:cantSplit/>
        </w:trPr>
        <w:tc>
          <w:tcPr>
            <w:tcW w:w="745" w:type="dxa"/>
          </w:tcPr>
          <w:p w14:paraId="0308CE1E" w14:textId="77777777" w:rsidR="00EB017E" w:rsidRPr="005B471D" w:rsidRDefault="00EB017E" w:rsidP="000A2491">
            <w:pPr>
              <w:pStyle w:val="TableText"/>
              <w:rPr>
                <w:bCs/>
                <w:color w:val="000000" w:themeColor="text1"/>
              </w:rPr>
            </w:pPr>
            <w:r w:rsidRPr="005B471D">
              <w:rPr>
                <w:bCs/>
                <w:color w:val="000000" w:themeColor="text1"/>
              </w:rPr>
              <w:t>58+</w:t>
            </w:r>
          </w:p>
        </w:tc>
        <w:tc>
          <w:tcPr>
            <w:tcW w:w="373" w:type="dxa"/>
            <w:tcMar>
              <w:left w:w="58" w:type="dxa"/>
              <w:right w:w="58" w:type="dxa"/>
            </w:tcMar>
          </w:tcPr>
          <w:p w14:paraId="03D7F57F" w14:textId="77777777" w:rsidR="00EB017E" w:rsidRPr="005A48E4" w:rsidRDefault="00EB017E" w:rsidP="00680D52">
            <w:pPr>
              <w:pStyle w:val="TableText"/>
              <w:jc w:val="right"/>
              <w:rPr>
                <w:b/>
                <w:sz w:val="13"/>
                <w:szCs w:val="13"/>
              </w:rPr>
            </w:pPr>
            <w:r w:rsidRPr="005A48E4">
              <w:rPr>
                <w:sz w:val="13"/>
                <w:szCs w:val="13"/>
              </w:rPr>
              <w:t>24</w:t>
            </w:r>
          </w:p>
        </w:tc>
        <w:tc>
          <w:tcPr>
            <w:tcW w:w="617" w:type="dxa"/>
            <w:tcMar>
              <w:left w:w="58" w:type="dxa"/>
              <w:right w:w="58" w:type="dxa"/>
            </w:tcMar>
          </w:tcPr>
          <w:p w14:paraId="0EF1BD25" w14:textId="77777777" w:rsidR="00EB017E" w:rsidRPr="005A48E4" w:rsidRDefault="00EB017E" w:rsidP="00680D52">
            <w:pPr>
              <w:pStyle w:val="TableText"/>
              <w:jc w:val="right"/>
              <w:rPr>
                <w:b/>
                <w:sz w:val="13"/>
                <w:szCs w:val="13"/>
              </w:rPr>
            </w:pPr>
            <w:r w:rsidRPr="005A48E4">
              <w:rPr>
                <w:sz w:val="13"/>
                <w:szCs w:val="13"/>
              </w:rPr>
              <w:t>97</w:t>
            </w:r>
          </w:p>
        </w:tc>
        <w:tc>
          <w:tcPr>
            <w:tcW w:w="753" w:type="dxa"/>
            <w:tcMar>
              <w:left w:w="58" w:type="dxa"/>
              <w:right w:w="58" w:type="dxa"/>
            </w:tcMar>
          </w:tcPr>
          <w:p w14:paraId="6AF1DACB" w14:textId="77777777" w:rsidR="00EB017E" w:rsidRPr="005A48E4" w:rsidRDefault="00EB017E" w:rsidP="00680D52">
            <w:pPr>
              <w:pStyle w:val="TableText"/>
              <w:jc w:val="right"/>
              <w:rPr>
                <w:sz w:val="13"/>
                <w:szCs w:val="13"/>
              </w:rPr>
            </w:pPr>
            <w:r w:rsidRPr="005A48E4">
              <w:rPr>
                <w:sz w:val="13"/>
                <w:szCs w:val="13"/>
              </w:rPr>
              <w:t>32.9 (23.2,</w:t>
            </w:r>
            <w:r w:rsidR="005A48E4">
              <w:rPr>
                <w:sz w:val="13"/>
                <w:szCs w:val="13"/>
              </w:rPr>
              <w:t> </w:t>
            </w:r>
            <w:r w:rsidRPr="005A48E4">
              <w:rPr>
                <w:sz w:val="13"/>
                <w:szCs w:val="13"/>
              </w:rPr>
              <w:t>44.4)</w:t>
            </w:r>
          </w:p>
        </w:tc>
        <w:tc>
          <w:tcPr>
            <w:tcW w:w="408" w:type="dxa"/>
            <w:tcMar>
              <w:left w:w="58" w:type="dxa"/>
              <w:right w:w="58" w:type="dxa"/>
            </w:tcMar>
          </w:tcPr>
          <w:p w14:paraId="5B638EB3" w14:textId="77777777" w:rsidR="00EB017E" w:rsidRPr="005A48E4" w:rsidRDefault="00EB017E" w:rsidP="00680D52">
            <w:pPr>
              <w:pStyle w:val="TableText"/>
              <w:jc w:val="right"/>
              <w:rPr>
                <w:b/>
                <w:sz w:val="13"/>
                <w:szCs w:val="13"/>
              </w:rPr>
            </w:pPr>
            <w:r w:rsidRPr="005A48E4">
              <w:rPr>
                <w:sz w:val="13"/>
                <w:szCs w:val="13"/>
              </w:rPr>
              <w:t>42</w:t>
            </w:r>
          </w:p>
        </w:tc>
        <w:tc>
          <w:tcPr>
            <w:tcW w:w="639" w:type="dxa"/>
            <w:tcMar>
              <w:left w:w="58" w:type="dxa"/>
              <w:right w:w="58" w:type="dxa"/>
            </w:tcMar>
          </w:tcPr>
          <w:p w14:paraId="15664F4F" w14:textId="77777777" w:rsidR="00EB017E" w:rsidRPr="005A48E4" w:rsidRDefault="00EB017E" w:rsidP="00680D52">
            <w:pPr>
              <w:pStyle w:val="TableText"/>
              <w:jc w:val="right"/>
              <w:rPr>
                <w:b/>
                <w:sz w:val="13"/>
                <w:szCs w:val="13"/>
              </w:rPr>
            </w:pPr>
            <w:r w:rsidRPr="005A48E4">
              <w:rPr>
                <w:sz w:val="13"/>
                <w:szCs w:val="13"/>
              </w:rPr>
              <w:t>181</w:t>
            </w:r>
          </w:p>
        </w:tc>
        <w:tc>
          <w:tcPr>
            <w:tcW w:w="731" w:type="dxa"/>
            <w:tcMar>
              <w:left w:w="58" w:type="dxa"/>
              <w:right w:w="58" w:type="dxa"/>
            </w:tcMar>
          </w:tcPr>
          <w:p w14:paraId="10FD3ADB" w14:textId="77777777" w:rsidR="00EB017E" w:rsidRPr="005A48E4" w:rsidRDefault="00EB017E" w:rsidP="00680D52">
            <w:pPr>
              <w:pStyle w:val="TableText"/>
              <w:jc w:val="right"/>
              <w:rPr>
                <w:b/>
                <w:sz w:val="13"/>
                <w:szCs w:val="13"/>
              </w:rPr>
            </w:pPr>
            <w:r w:rsidRPr="005A48E4">
              <w:rPr>
                <w:sz w:val="13"/>
                <w:szCs w:val="13"/>
              </w:rPr>
              <w:t>61.6 (49.8,</w:t>
            </w:r>
            <w:r w:rsidR="005A48E4">
              <w:rPr>
                <w:sz w:val="13"/>
                <w:szCs w:val="13"/>
              </w:rPr>
              <w:t> </w:t>
            </w:r>
            <w:r w:rsidRPr="005A48E4">
              <w:rPr>
                <w:sz w:val="13"/>
                <w:szCs w:val="13"/>
              </w:rPr>
              <w:t>72.2)</w:t>
            </w:r>
          </w:p>
        </w:tc>
        <w:tc>
          <w:tcPr>
            <w:tcW w:w="344" w:type="dxa"/>
            <w:tcMar>
              <w:left w:w="58" w:type="dxa"/>
              <w:right w:w="58" w:type="dxa"/>
            </w:tcMar>
          </w:tcPr>
          <w:p w14:paraId="5DC79D07" w14:textId="77777777" w:rsidR="00EB017E" w:rsidRPr="005A48E4" w:rsidRDefault="00EB017E" w:rsidP="00680D52">
            <w:pPr>
              <w:pStyle w:val="TableText"/>
              <w:jc w:val="right"/>
              <w:rPr>
                <w:b/>
                <w:sz w:val="13"/>
                <w:szCs w:val="13"/>
              </w:rPr>
            </w:pPr>
            <w:r w:rsidRPr="005A48E4">
              <w:rPr>
                <w:sz w:val="13"/>
                <w:szCs w:val="13"/>
              </w:rPr>
              <w:t>#</w:t>
            </w:r>
          </w:p>
        </w:tc>
        <w:tc>
          <w:tcPr>
            <w:tcW w:w="635" w:type="dxa"/>
            <w:tcMar>
              <w:left w:w="58" w:type="dxa"/>
              <w:right w:w="58" w:type="dxa"/>
            </w:tcMar>
          </w:tcPr>
          <w:p w14:paraId="4DDFFB98" w14:textId="77777777" w:rsidR="00EB017E" w:rsidRPr="005A48E4" w:rsidRDefault="00EB017E" w:rsidP="00680D52">
            <w:pPr>
              <w:pStyle w:val="TableText"/>
              <w:jc w:val="right"/>
              <w:rPr>
                <w:b/>
                <w:sz w:val="13"/>
                <w:szCs w:val="13"/>
              </w:rPr>
            </w:pPr>
            <w:r w:rsidRPr="005A48E4">
              <w:rPr>
                <w:sz w:val="13"/>
                <w:szCs w:val="13"/>
              </w:rPr>
              <w:t>–</w:t>
            </w:r>
          </w:p>
        </w:tc>
        <w:tc>
          <w:tcPr>
            <w:tcW w:w="735" w:type="dxa"/>
            <w:tcMar>
              <w:left w:w="58" w:type="dxa"/>
              <w:right w:w="58" w:type="dxa"/>
            </w:tcMar>
          </w:tcPr>
          <w:p w14:paraId="24C3DF32" w14:textId="77777777" w:rsidR="00EB017E" w:rsidRPr="005A48E4" w:rsidRDefault="00EB017E" w:rsidP="00680D52">
            <w:pPr>
              <w:pStyle w:val="TableText"/>
              <w:jc w:val="right"/>
              <w:rPr>
                <w:b/>
                <w:sz w:val="13"/>
                <w:szCs w:val="13"/>
              </w:rPr>
            </w:pPr>
            <w:r w:rsidRPr="005A48E4">
              <w:rPr>
                <w:sz w:val="13"/>
                <w:szCs w:val="13"/>
              </w:rPr>
              <w:t>–</w:t>
            </w:r>
          </w:p>
        </w:tc>
        <w:tc>
          <w:tcPr>
            <w:tcW w:w="408" w:type="dxa"/>
            <w:tcMar>
              <w:left w:w="58" w:type="dxa"/>
              <w:right w:w="58" w:type="dxa"/>
            </w:tcMar>
          </w:tcPr>
          <w:p w14:paraId="09564700" w14:textId="77777777" w:rsidR="00EB017E" w:rsidRPr="005A48E4" w:rsidRDefault="00EB017E" w:rsidP="00680D52">
            <w:pPr>
              <w:pStyle w:val="TableText"/>
              <w:jc w:val="right"/>
              <w:rPr>
                <w:b/>
                <w:sz w:val="13"/>
                <w:szCs w:val="13"/>
              </w:rPr>
            </w:pPr>
            <w:r w:rsidRPr="005A48E4">
              <w:rPr>
                <w:sz w:val="13"/>
                <w:szCs w:val="13"/>
              </w:rPr>
              <w:t>6</w:t>
            </w:r>
          </w:p>
        </w:tc>
        <w:tc>
          <w:tcPr>
            <w:tcW w:w="657" w:type="dxa"/>
            <w:tcMar>
              <w:left w:w="58" w:type="dxa"/>
              <w:right w:w="58" w:type="dxa"/>
            </w:tcMar>
          </w:tcPr>
          <w:p w14:paraId="4DEE8991" w14:textId="77777777" w:rsidR="00EB017E" w:rsidRPr="005A48E4" w:rsidRDefault="00EB017E" w:rsidP="00680D52">
            <w:pPr>
              <w:pStyle w:val="TableText"/>
              <w:jc w:val="right"/>
              <w:rPr>
                <w:b/>
                <w:sz w:val="13"/>
                <w:szCs w:val="13"/>
              </w:rPr>
            </w:pPr>
            <w:r w:rsidRPr="005A48E4">
              <w:rPr>
                <w:sz w:val="13"/>
                <w:szCs w:val="13"/>
              </w:rPr>
              <w:t>21</w:t>
            </w:r>
          </w:p>
        </w:tc>
        <w:tc>
          <w:tcPr>
            <w:tcW w:w="713" w:type="dxa"/>
            <w:tcMar>
              <w:left w:w="58" w:type="dxa"/>
              <w:right w:w="58" w:type="dxa"/>
            </w:tcMar>
          </w:tcPr>
          <w:p w14:paraId="53204CDA" w14:textId="77777777" w:rsidR="00EB017E" w:rsidRPr="005A48E4" w:rsidRDefault="00EB017E" w:rsidP="00680D52">
            <w:pPr>
              <w:pStyle w:val="TableText"/>
              <w:jc w:val="right"/>
              <w:rPr>
                <w:sz w:val="13"/>
                <w:szCs w:val="13"/>
              </w:rPr>
            </w:pPr>
            <w:r w:rsidRPr="005A48E4">
              <w:rPr>
                <w:sz w:val="13"/>
                <w:szCs w:val="13"/>
              </w:rPr>
              <w:t>25.5 (10.7,</w:t>
            </w:r>
            <w:r w:rsidR="005A48E4">
              <w:rPr>
                <w:sz w:val="13"/>
                <w:szCs w:val="13"/>
              </w:rPr>
              <w:t> </w:t>
            </w:r>
            <w:r w:rsidRPr="005A48E4">
              <w:rPr>
                <w:sz w:val="13"/>
                <w:szCs w:val="13"/>
              </w:rPr>
              <w:t>49.4)</w:t>
            </w:r>
          </w:p>
        </w:tc>
        <w:tc>
          <w:tcPr>
            <w:tcW w:w="408" w:type="dxa"/>
            <w:tcMar>
              <w:left w:w="58" w:type="dxa"/>
              <w:right w:w="58" w:type="dxa"/>
            </w:tcMar>
          </w:tcPr>
          <w:p w14:paraId="1931247C" w14:textId="77777777" w:rsidR="00EB017E" w:rsidRPr="005A48E4" w:rsidRDefault="00EB017E" w:rsidP="00680D52">
            <w:pPr>
              <w:pStyle w:val="TableText"/>
              <w:jc w:val="right"/>
              <w:rPr>
                <w:b/>
                <w:sz w:val="13"/>
                <w:szCs w:val="13"/>
              </w:rPr>
            </w:pPr>
            <w:r w:rsidRPr="005A48E4">
              <w:rPr>
                <w:sz w:val="13"/>
                <w:szCs w:val="13"/>
              </w:rPr>
              <w:t>16</w:t>
            </w:r>
          </w:p>
        </w:tc>
        <w:tc>
          <w:tcPr>
            <w:tcW w:w="679" w:type="dxa"/>
            <w:tcMar>
              <w:left w:w="58" w:type="dxa"/>
              <w:right w:w="58" w:type="dxa"/>
            </w:tcMar>
          </w:tcPr>
          <w:p w14:paraId="0D5161FF" w14:textId="77777777" w:rsidR="00EB017E" w:rsidRPr="005A48E4" w:rsidRDefault="00EB017E" w:rsidP="00680D52">
            <w:pPr>
              <w:pStyle w:val="TableText"/>
              <w:jc w:val="right"/>
              <w:rPr>
                <w:b/>
                <w:sz w:val="13"/>
                <w:szCs w:val="13"/>
              </w:rPr>
            </w:pPr>
            <w:r w:rsidRPr="005A48E4">
              <w:rPr>
                <w:sz w:val="13"/>
                <w:szCs w:val="13"/>
              </w:rPr>
              <w:t>62</w:t>
            </w:r>
          </w:p>
        </w:tc>
        <w:tc>
          <w:tcPr>
            <w:tcW w:w="826" w:type="dxa"/>
            <w:tcMar>
              <w:left w:w="58" w:type="dxa"/>
              <w:right w:w="58" w:type="dxa"/>
            </w:tcMar>
          </w:tcPr>
          <w:p w14:paraId="062928EA" w14:textId="77777777" w:rsidR="00EB017E" w:rsidRPr="005A48E4" w:rsidRDefault="00EB017E" w:rsidP="00680D52">
            <w:pPr>
              <w:pStyle w:val="TableText"/>
              <w:jc w:val="right"/>
              <w:rPr>
                <w:b/>
                <w:sz w:val="13"/>
                <w:szCs w:val="13"/>
              </w:rPr>
            </w:pPr>
            <w:r w:rsidRPr="005A48E4">
              <w:rPr>
                <w:sz w:val="13"/>
                <w:szCs w:val="13"/>
              </w:rPr>
              <w:t>74.5 (50.6,</w:t>
            </w:r>
            <w:r w:rsidR="005A48E4">
              <w:rPr>
                <w:sz w:val="13"/>
                <w:szCs w:val="13"/>
              </w:rPr>
              <w:t> </w:t>
            </w:r>
            <w:r w:rsidRPr="005A48E4">
              <w:rPr>
                <w:sz w:val="13"/>
                <w:szCs w:val="13"/>
              </w:rPr>
              <w:t>89.3)</w:t>
            </w:r>
          </w:p>
        </w:tc>
        <w:tc>
          <w:tcPr>
            <w:tcW w:w="408" w:type="dxa"/>
            <w:tcMar>
              <w:left w:w="58" w:type="dxa"/>
              <w:right w:w="58" w:type="dxa"/>
            </w:tcMar>
          </w:tcPr>
          <w:p w14:paraId="7413521A" w14:textId="77777777" w:rsidR="00EB017E" w:rsidRPr="005A48E4" w:rsidRDefault="00EB017E" w:rsidP="00680D52">
            <w:pPr>
              <w:pStyle w:val="TableText"/>
              <w:jc w:val="right"/>
              <w:rPr>
                <w:b/>
                <w:sz w:val="13"/>
                <w:szCs w:val="13"/>
              </w:rPr>
            </w:pPr>
            <w:r w:rsidRPr="005A48E4">
              <w:rPr>
                <w:sz w:val="13"/>
                <w:szCs w:val="13"/>
              </w:rPr>
              <w:t>49</w:t>
            </w:r>
          </w:p>
        </w:tc>
        <w:tc>
          <w:tcPr>
            <w:tcW w:w="656" w:type="dxa"/>
            <w:tcMar>
              <w:left w:w="58" w:type="dxa"/>
              <w:right w:w="58" w:type="dxa"/>
            </w:tcMar>
          </w:tcPr>
          <w:p w14:paraId="24419905" w14:textId="77777777" w:rsidR="00EB017E" w:rsidRPr="005A48E4" w:rsidRDefault="00EB017E" w:rsidP="00680D52">
            <w:pPr>
              <w:pStyle w:val="TableText"/>
              <w:jc w:val="right"/>
              <w:rPr>
                <w:b/>
                <w:sz w:val="13"/>
                <w:szCs w:val="13"/>
              </w:rPr>
            </w:pPr>
            <w:r w:rsidRPr="005A48E4">
              <w:rPr>
                <w:sz w:val="13"/>
                <w:szCs w:val="13"/>
              </w:rPr>
              <w:t>391</w:t>
            </w:r>
          </w:p>
        </w:tc>
        <w:tc>
          <w:tcPr>
            <w:tcW w:w="785" w:type="dxa"/>
            <w:tcMar>
              <w:left w:w="58" w:type="dxa"/>
              <w:right w:w="58" w:type="dxa"/>
            </w:tcMar>
          </w:tcPr>
          <w:p w14:paraId="03982C1D" w14:textId="77777777" w:rsidR="00EB017E" w:rsidRPr="005A48E4" w:rsidRDefault="00EB017E" w:rsidP="00680D52">
            <w:pPr>
              <w:pStyle w:val="TableText"/>
              <w:jc w:val="right"/>
              <w:rPr>
                <w:sz w:val="13"/>
                <w:szCs w:val="13"/>
              </w:rPr>
            </w:pPr>
            <w:r w:rsidRPr="005A48E4">
              <w:rPr>
                <w:sz w:val="13"/>
                <w:szCs w:val="13"/>
              </w:rPr>
              <w:t>10.2 (5.4,</w:t>
            </w:r>
            <w:r w:rsidR="005A48E4">
              <w:rPr>
                <w:sz w:val="13"/>
                <w:szCs w:val="13"/>
              </w:rPr>
              <w:t> </w:t>
            </w:r>
            <w:r w:rsidRPr="005A48E4">
              <w:rPr>
                <w:sz w:val="13"/>
                <w:szCs w:val="13"/>
              </w:rPr>
              <w:t>18.4)</w:t>
            </w:r>
          </w:p>
        </w:tc>
      </w:tr>
      <w:tr w:rsidR="00BD41F3" w:rsidRPr="003860A9" w14:paraId="54323023"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74C1267F" w14:textId="77777777" w:rsidR="00EB017E" w:rsidRPr="005B471D" w:rsidRDefault="00EB017E" w:rsidP="000A2491">
            <w:pPr>
              <w:pStyle w:val="TableText"/>
              <w:rPr>
                <w:b/>
                <w:bCs/>
                <w:color w:val="000000" w:themeColor="text1"/>
              </w:rPr>
            </w:pPr>
            <w:r w:rsidRPr="005B471D">
              <w:rPr>
                <w:b/>
                <w:bCs/>
                <w:color w:val="000000" w:themeColor="text1"/>
              </w:rPr>
              <w:t>Sex and Age group</w:t>
            </w:r>
          </w:p>
        </w:tc>
        <w:tc>
          <w:tcPr>
            <w:tcW w:w="373" w:type="dxa"/>
            <w:tcMar>
              <w:left w:w="58" w:type="dxa"/>
              <w:right w:w="58" w:type="dxa"/>
            </w:tcMar>
          </w:tcPr>
          <w:p w14:paraId="30EEBE10" w14:textId="77777777" w:rsidR="00EB017E" w:rsidRPr="005A48E4" w:rsidRDefault="00EB017E" w:rsidP="00680D52">
            <w:pPr>
              <w:pStyle w:val="TableText"/>
              <w:jc w:val="right"/>
              <w:rPr>
                <w:bCs/>
                <w:i/>
                <w:color w:val="000000" w:themeColor="text1"/>
                <w:sz w:val="13"/>
                <w:szCs w:val="13"/>
              </w:rPr>
            </w:pPr>
          </w:p>
        </w:tc>
        <w:tc>
          <w:tcPr>
            <w:tcW w:w="617" w:type="dxa"/>
            <w:tcMar>
              <w:left w:w="58" w:type="dxa"/>
              <w:right w:w="58" w:type="dxa"/>
            </w:tcMar>
          </w:tcPr>
          <w:p w14:paraId="51FE4341" w14:textId="77777777" w:rsidR="00EB017E" w:rsidRPr="005A48E4" w:rsidRDefault="00EB017E" w:rsidP="00680D52">
            <w:pPr>
              <w:pStyle w:val="TableText"/>
              <w:jc w:val="right"/>
              <w:rPr>
                <w:bCs/>
                <w:i/>
                <w:color w:val="000000" w:themeColor="text1"/>
                <w:sz w:val="13"/>
                <w:szCs w:val="13"/>
              </w:rPr>
            </w:pPr>
          </w:p>
        </w:tc>
        <w:tc>
          <w:tcPr>
            <w:tcW w:w="753" w:type="dxa"/>
            <w:tcMar>
              <w:left w:w="58" w:type="dxa"/>
              <w:right w:w="58" w:type="dxa"/>
            </w:tcMar>
          </w:tcPr>
          <w:p w14:paraId="2266ED7B" w14:textId="77777777" w:rsidR="00EB017E" w:rsidRPr="005A48E4" w:rsidRDefault="00EB017E" w:rsidP="00680D52">
            <w:pPr>
              <w:pStyle w:val="TableText"/>
              <w:jc w:val="right"/>
              <w:rPr>
                <w:sz w:val="13"/>
                <w:szCs w:val="13"/>
              </w:rPr>
            </w:pPr>
          </w:p>
        </w:tc>
        <w:tc>
          <w:tcPr>
            <w:tcW w:w="408" w:type="dxa"/>
            <w:tcMar>
              <w:left w:w="58" w:type="dxa"/>
              <w:right w:w="58" w:type="dxa"/>
            </w:tcMar>
          </w:tcPr>
          <w:p w14:paraId="61B14B7E" w14:textId="77777777" w:rsidR="00EB017E" w:rsidRPr="005A48E4" w:rsidRDefault="00EB017E" w:rsidP="00680D52">
            <w:pPr>
              <w:pStyle w:val="TableText"/>
              <w:jc w:val="right"/>
              <w:rPr>
                <w:b/>
                <w:sz w:val="13"/>
                <w:szCs w:val="13"/>
              </w:rPr>
            </w:pPr>
          </w:p>
        </w:tc>
        <w:tc>
          <w:tcPr>
            <w:tcW w:w="639" w:type="dxa"/>
            <w:tcMar>
              <w:left w:w="58" w:type="dxa"/>
              <w:right w:w="58" w:type="dxa"/>
            </w:tcMar>
          </w:tcPr>
          <w:p w14:paraId="69AA095F" w14:textId="77777777" w:rsidR="00EB017E" w:rsidRPr="005A48E4" w:rsidRDefault="00EB017E" w:rsidP="00680D52">
            <w:pPr>
              <w:pStyle w:val="TableText"/>
              <w:jc w:val="right"/>
              <w:rPr>
                <w:b/>
                <w:sz w:val="13"/>
                <w:szCs w:val="13"/>
              </w:rPr>
            </w:pPr>
          </w:p>
        </w:tc>
        <w:tc>
          <w:tcPr>
            <w:tcW w:w="731" w:type="dxa"/>
            <w:tcMar>
              <w:left w:w="58" w:type="dxa"/>
              <w:right w:w="58" w:type="dxa"/>
            </w:tcMar>
          </w:tcPr>
          <w:p w14:paraId="3B36713B" w14:textId="77777777" w:rsidR="00EB017E" w:rsidRPr="005A48E4" w:rsidRDefault="00EB017E" w:rsidP="00680D52">
            <w:pPr>
              <w:pStyle w:val="TableText"/>
              <w:jc w:val="right"/>
              <w:rPr>
                <w:b/>
                <w:sz w:val="13"/>
                <w:szCs w:val="13"/>
              </w:rPr>
            </w:pPr>
          </w:p>
        </w:tc>
        <w:tc>
          <w:tcPr>
            <w:tcW w:w="344" w:type="dxa"/>
            <w:tcMar>
              <w:left w:w="58" w:type="dxa"/>
              <w:right w:w="58" w:type="dxa"/>
            </w:tcMar>
          </w:tcPr>
          <w:p w14:paraId="32A2B79B" w14:textId="77777777" w:rsidR="00EB017E" w:rsidRPr="005A48E4" w:rsidRDefault="00EB017E" w:rsidP="00680D52">
            <w:pPr>
              <w:pStyle w:val="TableText"/>
              <w:jc w:val="right"/>
              <w:rPr>
                <w:b/>
                <w:sz w:val="13"/>
                <w:szCs w:val="13"/>
              </w:rPr>
            </w:pPr>
          </w:p>
        </w:tc>
        <w:tc>
          <w:tcPr>
            <w:tcW w:w="635" w:type="dxa"/>
            <w:tcMar>
              <w:left w:w="58" w:type="dxa"/>
              <w:right w:w="58" w:type="dxa"/>
            </w:tcMar>
          </w:tcPr>
          <w:p w14:paraId="276A809D" w14:textId="77777777" w:rsidR="00EB017E" w:rsidRPr="005A48E4" w:rsidRDefault="00EB017E" w:rsidP="00680D52">
            <w:pPr>
              <w:pStyle w:val="TableText"/>
              <w:jc w:val="right"/>
              <w:rPr>
                <w:b/>
                <w:sz w:val="13"/>
                <w:szCs w:val="13"/>
              </w:rPr>
            </w:pPr>
          </w:p>
        </w:tc>
        <w:tc>
          <w:tcPr>
            <w:tcW w:w="735" w:type="dxa"/>
            <w:tcMar>
              <w:left w:w="58" w:type="dxa"/>
              <w:right w:w="58" w:type="dxa"/>
            </w:tcMar>
          </w:tcPr>
          <w:p w14:paraId="3BD4CF91"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6E2BC0EB" w14:textId="77777777" w:rsidR="00EB017E" w:rsidRPr="005A48E4" w:rsidRDefault="00EB017E" w:rsidP="00680D52">
            <w:pPr>
              <w:pStyle w:val="TableText"/>
              <w:jc w:val="right"/>
              <w:rPr>
                <w:b/>
                <w:sz w:val="13"/>
                <w:szCs w:val="13"/>
              </w:rPr>
            </w:pPr>
          </w:p>
        </w:tc>
        <w:tc>
          <w:tcPr>
            <w:tcW w:w="657" w:type="dxa"/>
            <w:tcMar>
              <w:left w:w="58" w:type="dxa"/>
              <w:right w:w="58" w:type="dxa"/>
            </w:tcMar>
          </w:tcPr>
          <w:p w14:paraId="1F94F002" w14:textId="77777777" w:rsidR="00EB017E" w:rsidRPr="005A48E4" w:rsidRDefault="00EB017E" w:rsidP="00680D52">
            <w:pPr>
              <w:pStyle w:val="TableText"/>
              <w:jc w:val="right"/>
              <w:rPr>
                <w:b/>
                <w:sz w:val="13"/>
                <w:szCs w:val="13"/>
              </w:rPr>
            </w:pPr>
          </w:p>
        </w:tc>
        <w:tc>
          <w:tcPr>
            <w:tcW w:w="713" w:type="dxa"/>
            <w:tcMar>
              <w:left w:w="58" w:type="dxa"/>
              <w:right w:w="58" w:type="dxa"/>
            </w:tcMar>
          </w:tcPr>
          <w:p w14:paraId="2FC8414A" w14:textId="77777777" w:rsidR="00EB017E" w:rsidRPr="005A48E4" w:rsidRDefault="00EB017E" w:rsidP="00680D52">
            <w:pPr>
              <w:pStyle w:val="TableText"/>
              <w:jc w:val="right"/>
              <w:rPr>
                <w:sz w:val="13"/>
                <w:szCs w:val="13"/>
              </w:rPr>
            </w:pPr>
          </w:p>
        </w:tc>
        <w:tc>
          <w:tcPr>
            <w:tcW w:w="408" w:type="dxa"/>
            <w:tcMar>
              <w:left w:w="58" w:type="dxa"/>
              <w:right w:w="58" w:type="dxa"/>
            </w:tcMar>
          </w:tcPr>
          <w:p w14:paraId="307D6F14" w14:textId="77777777" w:rsidR="00EB017E" w:rsidRPr="005A48E4" w:rsidRDefault="00EB017E" w:rsidP="00680D52">
            <w:pPr>
              <w:pStyle w:val="TableText"/>
              <w:jc w:val="right"/>
              <w:rPr>
                <w:b/>
                <w:sz w:val="13"/>
                <w:szCs w:val="13"/>
              </w:rPr>
            </w:pPr>
          </w:p>
        </w:tc>
        <w:tc>
          <w:tcPr>
            <w:tcW w:w="679" w:type="dxa"/>
            <w:tcMar>
              <w:left w:w="58" w:type="dxa"/>
              <w:right w:w="58" w:type="dxa"/>
            </w:tcMar>
          </w:tcPr>
          <w:p w14:paraId="571B18C6" w14:textId="77777777" w:rsidR="00EB017E" w:rsidRPr="005A48E4" w:rsidRDefault="00EB017E" w:rsidP="00680D52">
            <w:pPr>
              <w:pStyle w:val="TableText"/>
              <w:jc w:val="right"/>
              <w:rPr>
                <w:b/>
                <w:sz w:val="13"/>
                <w:szCs w:val="13"/>
              </w:rPr>
            </w:pPr>
          </w:p>
        </w:tc>
        <w:tc>
          <w:tcPr>
            <w:tcW w:w="826" w:type="dxa"/>
            <w:tcMar>
              <w:left w:w="58" w:type="dxa"/>
              <w:right w:w="58" w:type="dxa"/>
            </w:tcMar>
          </w:tcPr>
          <w:p w14:paraId="45923AD9" w14:textId="77777777" w:rsidR="00EB017E" w:rsidRPr="005A48E4" w:rsidRDefault="00EB017E" w:rsidP="00680D52">
            <w:pPr>
              <w:pStyle w:val="TableText"/>
              <w:jc w:val="right"/>
              <w:rPr>
                <w:b/>
                <w:sz w:val="13"/>
                <w:szCs w:val="13"/>
              </w:rPr>
            </w:pPr>
          </w:p>
        </w:tc>
        <w:tc>
          <w:tcPr>
            <w:tcW w:w="408" w:type="dxa"/>
            <w:tcMar>
              <w:left w:w="58" w:type="dxa"/>
              <w:right w:w="58" w:type="dxa"/>
            </w:tcMar>
          </w:tcPr>
          <w:p w14:paraId="15E86549" w14:textId="77777777" w:rsidR="00EB017E" w:rsidRPr="005A48E4" w:rsidRDefault="00EB017E" w:rsidP="00680D52">
            <w:pPr>
              <w:pStyle w:val="TableText"/>
              <w:jc w:val="right"/>
              <w:rPr>
                <w:b/>
                <w:sz w:val="13"/>
                <w:szCs w:val="13"/>
              </w:rPr>
            </w:pPr>
          </w:p>
        </w:tc>
        <w:tc>
          <w:tcPr>
            <w:tcW w:w="656" w:type="dxa"/>
            <w:tcMar>
              <w:left w:w="58" w:type="dxa"/>
              <w:right w:w="58" w:type="dxa"/>
            </w:tcMar>
          </w:tcPr>
          <w:p w14:paraId="0F825BD1" w14:textId="77777777" w:rsidR="00EB017E" w:rsidRPr="005A48E4" w:rsidRDefault="00EB017E" w:rsidP="00680D52">
            <w:pPr>
              <w:pStyle w:val="TableText"/>
              <w:jc w:val="right"/>
              <w:rPr>
                <w:b/>
                <w:sz w:val="13"/>
                <w:szCs w:val="13"/>
              </w:rPr>
            </w:pPr>
          </w:p>
        </w:tc>
        <w:tc>
          <w:tcPr>
            <w:tcW w:w="785" w:type="dxa"/>
            <w:tcMar>
              <w:left w:w="58" w:type="dxa"/>
              <w:right w:w="58" w:type="dxa"/>
            </w:tcMar>
          </w:tcPr>
          <w:p w14:paraId="1709208B" w14:textId="77777777" w:rsidR="00EB017E" w:rsidRPr="005A48E4" w:rsidRDefault="00EB017E" w:rsidP="00680D52">
            <w:pPr>
              <w:pStyle w:val="TableText"/>
              <w:jc w:val="right"/>
              <w:rPr>
                <w:b/>
                <w:sz w:val="13"/>
                <w:szCs w:val="13"/>
              </w:rPr>
            </w:pPr>
          </w:p>
        </w:tc>
      </w:tr>
      <w:tr w:rsidR="00680D52" w:rsidRPr="003860A9" w14:paraId="6CEEFA35" w14:textId="77777777" w:rsidTr="00680D52">
        <w:trPr>
          <w:cantSplit/>
        </w:trPr>
        <w:tc>
          <w:tcPr>
            <w:tcW w:w="745" w:type="dxa"/>
          </w:tcPr>
          <w:p w14:paraId="246D9F09" w14:textId="77777777" w:rsidR="00EB017E" w:rsidRPr="005B471D" w:rsidRDefault="00EB017E" w:rsidP="000A2491">
            <w:pPr>
              <w:pStyle w:val="TableText"/>
              <w:rPr>
                <w:bCs/>
                <w:color w:val="000000" w:themeColor="text1"/>
              </w:rPr>
            </w:pPr>
            <w:r w:rsidRPr="005B471D">
              <w:rPr>
                <w:bCs/>
                <w:color w:val="000000" w:themeColor="text1"/>
              </w:rPr>
              <w:t>Male 18</w:t>
            </w:r>
            <w:r>
              <w:rPr>
                <w:bCs/>
                <w:color w:val="000000" w:themeColor="text1"/>
              </w:rPr>
              <w:t>–</w:t>
            </w:r>
            <w:r w:rsidRPr="005B471D">
              <w:rPr>
                <w:bCs/>
                <w:color w:val="000000" w:themeColor="text1"/>
              </w:rPr>
              <w:t>37</w:t>
            </w:r>
          </w:p>
        </w:tc>
        <w:tc>
          <w:tcPr>
            <w:tcW w:w="373" w:type="dxa"/>
            <w:tcMar>
              <w:left w:w="58" w:type="dxa"/>
              <w:right w:w="58" w:type="dxa"/>
            </w:tcMar>
          </w:tcPr>
          <w:p w14:paraId="1C7ADA76" w14:textId="77777777" w:rsidR="00EB017E" w:rsidRPr="005A48E4" w:rsidRDefault="00EB017E" w:rsidP="00680D52">
            <w:pPr>
              <w:pStyle w:val="TableText"/>
              <w:jc w:val="right"/>
              <w:rPr>
                <w:sz w:val="13"/>
                <w:szCs w:val="13"/>
              </w:rPr>
            </w:pPr>
            <w:r w:rsidRPr="005A48E4">
              <w:rPr>
                <w:sz w:val="13"/>
                <w:szCs w:val="13"/>
              </w:rPr>
              <w:t>73</w:t>
            </w:r>
          </w:p>
        </w:tc>
        <w:tc>
          <w:tcPr>
            <w:tcW w:w="617" w:type="dxa"/>
            <w:tcMar>
              <w:left w:w="58" w:type="dxa"/>
              <w:right w:w="58" w:type="dxa"/>
            </w:tcMar>
          </w:tcPr>
          <w:p w14:paraId="301BB191" w14:textId="77777777" w:rsidR="00EB017E" w:rsidRPr="005A48E4" w:rsidRDefault="00EB017E" w:rsidP="00680D52">
            <w:pPr>
              <w:pStyle w:val="TableText"/>
              <w:jc w:val="right"/>
              <w:rPr>
                <w:sz w:val="13"/>
                <w:szCs w:val="13"/>
              </w:rPr>
            </w:pPr>
            <w:r w:rsidRPr="005A48E4">
              <w:rPr>
                <w:sz w:val="13"/>
                <w:szCs w:val="13"/>
              </w:rPr>
              <w:t>811</w:t>
            </w:r>
          </w:p>
        </w:tc>
        <w:tc>
          <w:tcPr>
            <w:tcW w:w="753" w:type="dxa"/>
            <w:tcMar>
              <w:left w:w="58" w:type="dxa"/>
              <w:right w:w="58" w:type="dxa"/>
            </w:tcMar>
          </w:tcPr>
          <w:p w14:paraId="3177D334" w14:textId="77777777" w:rsidR="00EB017E" w:rsidRPr="005A48E4" w:rsidRDefault="00EB017E" w:rsidP="00680D52">
            <w:pPr>
              <w:pStyle w:val="TableText"/>
              <w:jc w:val="right"/>
              <w:rPr>
                <w:sz w:val="13"/>
                <w:szCs w:val="13"/>
              </w:rPr>
            </w:pPr>
            <w:r w:rsidRPr="005A48E4">
              <w:rPr>
                <w:sz w:val="13"/>
                <w:szCs w:val="13"/>
              </w:rPr>
              <w:t>28.2 (22.1,</w:t>
            </w:r>
            <w:r w:rsidR="005A48E4">
              <w:rPr>
                <w:sz w:val="13"/>
                <w:szCs w:val="13"/>
              </w:rPr>
              <w:t> </w:t>
            </w:r>
            <w:r w:rsidRPr="005A48E4">
              <w:rPr>
                <w:sz w:val="13"/>
                <w:szCs w:val="13"/>
              </w:rPr>
              <w:t>35.3)</w:t>
            </w:r>
          </w:p>
        </w:tc>
        <w:tc>
          <w:tcPr>
            <w:tcW w:w="408" w:type="dxa"/>
            <w:tcMar>
              <w:left w:w="58" w:type="dxa"/>
              <w:right w:w="58" w:type="dxa"/>
            </w:tcMar>
          </w:tcPr>
          <w:p w14:paraId="5CEE4F53" w14:textId="77777777" w:rsidR="00EB017E" w:rsidRPr="005A48E4" w:rsidRDefault="00EB017E" w:rsidP="00680D52">
            <w:pPr>
              <w:pStyle w:val="TableText"/>
              <w:jc w:val="right"/>
              <w:rPr>
                <w:sz w:val="13"/>
                <w:szCs w:val="13"/>
              </w:rPr>
            </w:pPr>
            <w:r w:rsidRPr="005A48E4">
              <w:rPr>
                <w:sz w:val="13"/>
                <w:szCs w:val="13"/>
              </w:rPr>
              <w:t>163</w:t>
            </w:r>
          </w:p>
        </w:tc>
        <w:tc>
          <w:tcPr>
            <w:tcW w:w="639" w:type="dxa"/>
            <w:tcMar>
              <w:left w:w="58" w:type="dxa"/>
              <w:right w:w="58" w:type="dxa"/>
            </w:tcMar>
          </w:tcPr>
          <w:p w14:paraId="3D661066" w14:textId="77777777" w:rsidR="00EB017E" w:rsidRPr="005A48E4" w:rsidRDefault="00EB017E" w:rsidP="00680D52">
            <w:pPr>
              <w:pStyle w:val="TableText"/>
              <w:jc w:val="right"/>
              <w:rPr>
                <w:sz w:val="13"/>
                <w:szCs w:val="13"/>
              </w:rPr>
            </w:pPr>
            <w:r w:rsidRPr="005A48E4">
              <w:rPr>
                <w:sz w:val="13"/>
                <w:szCs w:val="13"/>
              </w:rPr>
              <w:t>1729</w:t>
            </w:r>
          </w:p>
        </w:tc>
        <w:tc>
          <w:tcPr>
            <w:tcW w:w="731" w:type="dxa"/>
            <w:tcMar>
              <w:left w:w="58" w:type="dxa"/>
              <w:right w:w="58" w:type="dxa"/>
            </w:tcMar>
          </w:tcPr>
          <w:p w14:paraId="0F8FEC74" w14:textId="77777777" w:rsidR="00EB017E" w:rsidRPr="005A48E4" w:rsidRDefault="00EB017E" w:rsidP="00680D52">
            <w:pPr>
              <w:pStyle w:val="TableText"/>
              <w:jc w:val="right"/>
              <w:rPr>
                <w:sz w:val="13"/>
                <w:szCs w:val="13"/>
              </w:rPr>
            </w:pPr>
            <w:r w:rsidRPr="005A48E4">
              <w:rPr>
                <w:sz w:val="13"/>
                <w:szCs w:val="13"/>
              </w:rPr>
              <w:t>60.1 (52.7,</w:t>
            </w:r>
            <w:r w:rsidR="005A48E4">
              <w:rPr>
                <w:sz w:val="13"/>
                <w:szCs w:val="13"/>
              </w:rPr>
              <w:t> </w:t>
            </w:r>
            <w:r w:rsidRPr="005A48E4">
              <w:rPr>
                <w:sz w:val="13"/>
                <w:szCs w:val="13"/>
              </w:rPr>
              <w:t>67.1)</w:t>
            </w:r>
          </w:p>
        </w:tc>
        <w:tc>
          <w:tcPr>
            <w:tcW w:w="344" w:type="dxa"/>
            <w:tcMar>
              <w:left w:w="58" w:type="dxa"/>
              <w:right w:w="58" w:type="dxa"/>
            </w:tcMar>
          </w:tcPr>
          <w:p w14:paraId="1F6ED7FD" w14:textId="77777777" w:rsidR="00EB017E" w:rsidRPr="005A48E4" w:rsidRDefault="00EB017E" w:rsidP="00680D52">
            <w:pPr>
              <w:pStyle w:val="TableText"/>
              <w:jc w:val="right"/>
              <w:rPr>
                <w:sz w:val="13"/>
                <w:szCs w:val="13"/>
              </w:rPr>
            </w:pPr>
            <w:r w:rsidRPr="005A48E4">
              <w:rPr>
                <w:sz w:val="13"/>
                <w:szCs w:val="13"/>
              </w:rPr>
              <w:t>20</w:t>
            </w:r>
          </w:p>
        </w:tc>
        <w:tc>
          <w:tcPr>
            <w:tcW w:w="635" w:type="dxa"/>
            <w:tcMar>
              <w:left w:w="58" w:type="dxa"/>
              <w:right w:w="58" w:type="dxa"/>
            </w:tcMar>
          </w:tcPr>
          <w:p w14:paraId="7A60C113" w14:textId="77777777" w:rsidR="00EB017E" w:rsidRPr="005A48E4" w:rsidRDefault="00EB017E" w:rsidP="00680D52">
            <w:pPr>
              <w:pStyle w:val="TableText"/>
              <w:jc w:val="right"/>
              <w:rPr>
                <w:sz w:val="13"/>
                <w:szCs w:val="13"/>
              </w:rPr>
            </w:pPr>
            <w:r w:rsidRPr="005A48E4">
              <w:rPr>
                <w:sz w:val="13"/>
                <w:szCs w:val="13"/>
              </w:rPr>
              <w:t>288</w:t>
            </w:r>
          </w:p>
        </w:tc>
        <w:tc>
          <w:tcPr>
            <w:tcW w:w="735" w:type="dxa"/>
            <w:tcMar>
              <w:left w:w="58" w:type="dxa"/>
              <w:right w:w="58" w:type="dxa"/>
            </w:tcMar>
          </w:tcPr>
          <w:p w14:paraId="6CDBF0A2" w14:textId="77777777" w:rsidR="00EB017E" w:rsidRPr="005A48E4" w:rsidRDefault="00EB017E" w:rsidP="00680D52">
            <w:pPr>
              <w:pStyle w:val="TableText"/>
              <w:jc w:val="right"/>
              <w:rPr>
                <w:sz w:val="13"/>
                <w:szCs w:val="13"/>
              </w:rPr>
            </w:pPr>
            <w:r w:rsidRPr="005A48E4">
              <w:rPr>
                <w:sz w:val="13"/>
                <w:szCs w:val="13"/>
              </w:rPr>
              <w:t>10.0 (6.2,</w:t>
            </w:r>
            <w:r w:rsidR="005A48E4">
              <w:rPr>
                <w:sz w:val="13"/>
                <w:szCs w:val="13"/>
              </w:rPr>
              <w:t> </w:t>
            </w:r>
            <w:r w:rsidRPr="005A48E4">
              <w:rPr>
                <w:sz w:val="13"/>
                <w:szCs w:val="13"/>
              </w:rPr>
              <w:t>15.8)</w:t>
            </w:r>
          </w:p>
        </w:tc>
        <w:tc>
          <w:tcPr>
            <w:tcW w:w="408" w:type="dxa"/>
            <w:tcMar>
              <w:left w:w="58" w:type="dxa"/>
              <w:right w:w="58" w:type="dxa"/>
            </w:tcMar>
          </w:tcPr>
          <w:p w14:paraId="4CAB6512" w14:textId="77777777" w:rsidR="00EB017E" w:rsidRPr="005A48E4" w:rsidRDefault="00EB017E" w:rsidP="00680D52">
            <w:pPr>
              <w:pStyle w:val="TableText"/>
              <w:jc w:val="right"/>
              <w:rPr>
                <w:sz w:val="13"/>
                <w:szCs w:val="13"/>
              </w:rPr>
            </w:pPr>
            <w:r w:rsidRPr="005A48E4">
              <w:rPr>
                <w:sz w:val="13"/>
                <w:szCs w:val="13"/>
              </w:rPr>
              <w:t>63</w:t>
            </w:r>
          </w:p>
        </w:tc>
        <w:tc>
          <w:tcPr>
            <w:tcW w:w="657" w:type="dxa"/>
            <w:tcMar>
              <w:left w:w="58" w:type="dxa"/>
              <w:right w:w="58" w:type="dxa"/>
            </w:tcMar>
          </w:tcPr>
          <w:p w14:paraId="665144DE" w14:textId="77777777" w:rsidR="00EB017E" w:rsidRPr="005A48E4" w:rsidRDefault="00EB017E" w:rsidP="00680D52">
            <w:pPr>
              <w:pStyle w:val="TableText"/>
              <w:jc w:val="right"/>
              <w:rPr>
                <w:sz w:val="13"/>
                <w:szCs w:val="13"/>
              </w:rPr>
            </w:pPr>
            <w:r w:rsidRPr="005A48E4">
              <w:rPr>
                <w:sz w:val="13"/>
                <w:szCs w:val="13"/>
              </w:rPr>
              <w:t>980</w:t>
            </w:r>
          </w:p>
        </w:tc>
        <w:tc>
          <w:tcPr>
            <w:tcW w:w="713" w:type="dxa"/>
            <w:tcMar>
              <w:left w:w="58" w:type="dxa"/>
              <w:right w:w="58" w:type="dxa"/>
            </w:tcMar>
          </w:tcPr>
          <w:p w14:paraId="56CBF6FA" w14:textId="77777777" w:rsidR="00EB017E" w:rsidRPr="005A48E4" w:rsidRDefault="00EB017E" w:rsidP="00680D52">
            <w:pPr>
              <w:pStyle w:val="TableText"/>
              <w:jc w:val="right"/>
              <w:rPr>
                <w:sz w:val="13"/>
                <w:szCs w:val="13"/>
              </w:rPr>
            </w:pPr>
            <w:r w:rsidRPr="005A48E4">
              <w:rPr>
                <w:sz w:val="13"/>
                <w:szCs w:val="13"/>
              </w:rPr>
              <w:t>19.7 (8.4,</w:t>
            </w:r>
            <w:r w:rsidR="005A48E4">
              <w:rPr>
                <w:sz w:val="13"/>
                <w:szCs w:val="13"/>
              </w:rPr>
              <w:t> </w:t>
            </w:r>
            <w:r w:rsidRPr="005A48E4">
              <w:rPr>
                <w:sz w:val="13"/>
                <w:szCs w:val="13"/>
              </w:rPr>
              <w:t>39.6)</w:t>
            </w:r>
          </w:p>
        </w:tc>
        <w:tc>
          <w:tcPr>
            <w:tcW w:w="408" w:type="dxa"/>
            <w:tcMar>
              <w:left w:w="58" w:type="dxa"/>
              <w:right w:w="58" w:type="dxa"/>
            </w:tcMar>
          </w:tcPr>
          <w:p w14:paraId="69CEB819" w14:textId="77777777" w:rsidR="00EB017E" w:rsidRPr="005A48E4" w:rsidRDefault="00EB017E" w:rsidP="00680D52">
            <w:pPr>
              <w:pStyle w:val="TableText"/>
              <w:jc w:val="right"/>
              <w:rPr>
                <w:sz w:val="13"/>
                <w:szCs w:val="13"/>
              </w:rPr>
            </w:pPr>
            <w:r w:rsidRPr="005A48E4">
              <w:rPr>
                <w:sz w:val="13"/>
                <w:szCs w:val="13"/>
              </w:rPr>
              <w:t>257</w:t>
            </w:r>
          </w:p>
        </w:tc>
        <w:tc>
          <w:tcPr>
            <w:tcW w:w="679" w:type="dxa"/>
            <w:tcMar>
              <w:left w:w="58" w:type="dxa"/>
              <w:right w:w="58" w:type="dxa"/>
            </w:tcMar>
          </w:tcPr>
          <w:p w14:paraId="3A798AC6" w14:textId="77777777" w:rsidR="00EB017E" w:rsidRPr="005A48E4" w:rsidRDefault="00EB017E" w:rsidP="00680D52">
            <w:pPr>
              <w:pStyle w:val="TableText"/>
              <w:jc w:val="right"/>
              <w:rPr>
                <w:sz w:val="13"/>
                <w:szCs w:val="13"/>
              </w:rPr>
            </w:pPr>
            <w:r w:rsidRPr="005A48E4">
              <w:rPr>
                <w:sz w:val="13"/>
                <w:szCs w:val="13"/>
              </w:rPr>
              <w:t>3239</w:t>
            </w:r>
          </w:p>
        </w:tc>
        <w:tc>
          <w:tcPr>
            <w:tcW w:w="826" w:type="dxa"/>
            <w:tcMar>
              <w:left w:w="58" w:type="dxa"/>
              <w:right w:w="58" w:type="dxa"/>
            </w:tcMar>
          </w:tcPr>
          <w:p w14:paraId="63CD92C9" w14:textId="77777777" w:rsidR="00EB017E" w:rsidRPr="005A48E4" w:rsidRDefault="00EB017E" w:rsidP="00680D52">
            <w:pPr>
              <w:pStyle w:val="TableText"/>
              <w:jc w:val="right"/>
              <w:rPr>
                <w:sz w:val="13"/>
                <w:szCs w:val="13"/>
              </w:rPr>
            </w:pPr>
            <w:r w:rsidRPr="005A48E4">
              <w:rPr>
                <w:sz w:val="13"/>
                <w:szCs w:val="13"/>
              </w:rPr>
              <w:t>65.2 (47.2,</w:t>
            </w:r>
            <w:r w:rsidR="005A48E4">
              <w:rPr>
                <w:sz w:val="13"/>
                <w:szCs w:val="13"/>
              </w:rPr>
              <w:t> </w:t>
            </w:r>
            <w:r w:rsidRPr="005A48E4">
              <w:rPr>
                <w:sz w:val="13"/>
                <w:szCs w:val="13"/>
              </w:rPr>
              <w:t>79.7)</w:t>
            </w:r>
          </w:p>
        </w:tc>
        <w:tc>
          <w:tcPr>
            <w:tcW w:w="408" w:type="dxa"/>
            <w:tcMar>
              <w:left w:w="58" w:type="dxa"/>
              <w:right w:w="58" w:type="dxa"/>
            </w:tcMar>
          </w:tcPr>
          <w:p w14:paraId="60852673" w14:textId="77777777" w:rsidR="00EB017E" w:rsidRPr="005A48E4" w:rsidRDefault="00EB017E" w:rsidP="00680D52">
            <w:pPr>
              <w:pStyle w:val="TableText"/>
              <w:jc w:val="right"/>
              <w:rPr>
                <w:sz w:val="13"/>
                <w:szCs w:val="13"/>
              </w:rPr>
            </w:pPr>
            <w:r w:rsidRPr="005A48E4">
              <w:rPr>
                <w:sz w:val="13"/>
                <w:szCs w:val="13"/>
              </w:rPr>
              <w:t>44</w:t>
            </w:r>
          </w:p>
        </w:tc>
        <w:tc>
          <w:tcPr>
            <w:tcW w:w="656" w:type="dxa"/>
            <w:tcMar>
              <w:left w:w="58" w:type="dxa"/>
              <w:right w:w="58" w:type="dxa"/>
            </w:tcMar>
          </w:tcPr>
          <w:p w14:paraId="6F20E629" w14:textId="77777777" w:rsidR="00EB017E" w:rsidRPr="005A48E4" w:rsidRDefault="00EB017E" w:rsidP="00680D52">
            <w:pPr>
              <w:pStyle w:val="TableText"/>
              <w:jc w:val="right"/>
              <w:rPr>
                <w:sz w:val="13"/>
                <w:szCs w:val="13"/>
              </w:rPr>
            </w:pPr>
            <w:r w:rsidRPr="005A48E4">
              <w:rPr>
                <w:sz w:val="13"/>
                <w:szCs w:val="13"/>
              </w:rPr>
              <w:t>726</w:t>
            </w:r>
          </w:p>
        </w:tc>
        <w:tc>
          <w:tcPr>
            <w:tcW w:w="785" w:type="dxa"/>
            <w:tcMar>
              <w:left w:w="58" w:type="dxa"/>
              <w:right w:w="58" w:type="dxa"/>
            </w:tcMar>
          </w:tcPr>
          <w:p w14:paraId="5C2AB1AC" w14:textId="77777777" w:rsidR="00EB017E" w:rsidRPr="005A48E4" w:rsidRDefault="00EB017E" w:rsidP="00680D52">
            <w:pPr>
              <w:pStyle w:val="TableText"/>
              <w:jc w:val="right"/>
              <w:rPr>
                <w:sz w:val="13"/>
                <w:szCs w:val="13"/>
              </w:rPr>
            </w:pPr>
            <w:r w:rsidRPr="005A48E4">
              <w:rPr>
                <w:sz w:val="13"/>
                <w:szCs w:val="13"/>
              </w:rPr>
              <w:t>14.6 (5.9,</w:t>
            </w:r>
            <w:r w:rsidR="005A48E4">
              <w:rPr>
                <w:sz w:val="13"/>
                <w:szCs w:val="13"/>
              </w:rPr>
              <w:t> </w:t>
            </w:r>
            <w:r w:rsidRPr="005A48E4">
              <w:rPr>
                <w:sz w:val="13"/>
                <w:szCs w:val="13"/>
              </w:rPr>
              <w:t>32.0)</w:t>
            </w:r>
          </w:p>
        </w:tc>
      </w:tr>
      <w:tr w:rsidR="00BD41F3" w:rsidRPr="003860A9" w14:paraId="3CEFA446"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2701C495" w14:textId="77777777" w:rsidR="00EB017E" w:rsidRPr="005B471D" w:rsidRDefault="00EB017E" w:rsidP="000A2491">
            <w:pPr>
              <w:pStyle w:val="TableText"/>
              <w:rPr>
                <w:bCs/>
                <w:color w:val="000000" w:themeColor="text1"/>
              </w:rPr>
            </w:pPr>
            <w:r w:rsidRPr="005B471D">
              <w:rPr>
                <w:bCs/>
                <w:color w:val="000000" w:themeColor="text1"/>
              </w:rPr>
              <w:t>Male 38</w:t>
            </w:r>
            <w:r>
              <w:rPr>
                <w:bCs/>
                <w:color w:val="000000" w:themeColor="text1"/>
              </w:rPr>
              <w:t>+</w:t>
            </w:r>
          </w:p>
        </w:tc>
        <w:tc>
          <w:tcPr>
            <w:tcW w:w="373" w:type="dxa"/>
            <w:tcMar>
              <w:left w:w="58" w:type="dxa"/>
              <w:right w:w="58" w:type="dxa"/>
            </w:tcMar>
          </w:tcPr>
          <w:p w14:paraId="09DF4F64" w14:textId="77777777" w:rsidR="00EB017E" w:rsidRPr="005A48E4" w:rsidRDefault="00EB017E" w:rsidP="00680D52">
            <w:pPr>
              <w:pStyle w:val="TableText"/>
              <w:jc w:val="right"/>
              <w:rPr>
                <w:sz w:val="13"/>
                <w:szCs w:val="13"/>
              </w:rPr>
            </w:pPr>
            <w:r w:rsidRPr="005A48E4">
              <w:rPr>
                <w:sz w:val="13"/>
                <w:szCs w:val="13"/>
              </w:rPr>
              <w:t>125</w:t>
            </w:r>
          </w:p>
        </w:tc>
        <w:tc>
          <w:tcPr>
            <w:tcW w:w="617" w:type="dxa"/>
            <w:tcMar>
              <w:left w:w="58" w:type="dxa"/>
              <w:right w:w="58" w:type="dxa"/>
            </w:tcMar>
          </w:tcPr>
          <w:p w14:paraId="56F558D6" w14:textId="77777777" w:rsidR="00EB017E" w:rsidRPr="005A48E4" w:rsidRDefault="00EB017E" w:rsidP="00680D52">
            <w:pPr>
              <w:pStyle w:val="TableText"/>
              <w:jc w:val="right"/>
              <w:rPr>
                <w:sz w:val="13"/>
                <w:szCs w:val="13"/>
              </w:rPr>
            </w:pPr>
            <w:r w:rsidRPr="005A48E4">
              <w:rPr>
                <w:sz w:val="13"/>
                <w:szCs w:val="13"/>
              </w:rPr>
              <w:t>638</w:t>
            </w:r>
          </w:p>
        </w:tc>
        <w:tc>
          <w:tcPr>
            <w:tcW w:w="753" w:type="dxa"/>
            <w:tcMar>
              <w:left w:w="58" w:type="dxa"/>
              <w:right w:w="58" w:type="dxa"/>
            </w:tcMar>
          </w:tcPr>
          <w:p w14:paraId="1D5DFBB6" w14:textId="77777777" w:rsidR="00EB017E" w:rsidRPr="005A48E4" w:rsidRDefault="00EB017E" w:rsidP="00680D52">
            <w:pPr>
              <w:pStyle w:val="TableText"/>
              <w:jc w:val="right"/>
              <w:rPr>
                <w:sz w:val="13"/>
                <w:szCs w:val="13"/>
              </w:rPr>
            </w:pPr>
            <w:r w:rsidRPr="005A48E4">
              <w:rPr>
                <w:sz w:val="13"/>
                <w:szCs w:val="13"/>
              </w:rPr>
              <w:t>31.3 (26.3,</w:t>
            </w:r>
            <w:r w:rsidR="005A48E4">
              <w:rPr>
                <w:sz w:val="13"/>
                <w:szCs w:val="13"/>
              </w:rPr>
              <w:t> </w:t>
            </w:r>
            <w:r w:rsidRPr="005A48E4">
              <w:rPr>
                <w:sz w:val="13"/>
                <w:szCs w:val="13"/>
              </w:rPr>
              <w:t>36.8)</w:t>
            </w:r>
          </w:p>
        </w:tc>
        <w:tc>
          <w:tcPr>
            <w:tcW w:w="408" w:type="dxa"/>
            <w:tcMar>
              <w:left w:w="58" w:type="dxa"/>
              <w:right w:w="58" w:type="dxa"/>
            </w:tcMar>
          </w:tcPr>
          <w:p w14:paraId="398E3329" w14:textId="77777777" w:rsidR="00EB017E" w:rsidRPr="005A48E4" w:rsidRDefault="00EB017E" w:rsidP="00680D52">
            <w:pPr>
              <w:pStyle w:val="TableText"/>
              <w:jc w:val="right"/>
              <w:rPr>
                <w:sz w:val="13"/>
                <w:szCs w:val="13"/>
              </w:rPr>
            </w:pPr>
            <w:r w:rsidRPr="005A48E4">
              <w:rPr>
                <w:sz w:val="13"/>
                <w:szCs w:val="13"/>
              </w:rPr>
              <w:t>257</w:t>
            </w:r>
          </w:p>
        </w:tc>
        <w:tc>
          <w:tcPr>
            <w:tcW w:w="639" w:type="dxa"/>
            <w:tcMar>
              <w:left w:w="58" w:type="dxa"/>
              <w:right w:w="58" w:type="dxa"/>
            </w:tcMar>
          </w:tcPr>
          <w:p w14:paraId="1F4D6EA8" w14:textId="77777777" w:rsidR="00EB017E" w:rsidRPr="005A48E4" w:rsidRDefault="00EB017E" w:rsidP="00680D52">
            <w:pPr>
              <w:pStyle w:val="TableText"/>
              <w:jc w:val="right"/>
              <w:rPr>
                <w:sz w:val="13"/>
                <w:szCs w:val="13"/>
              </w:rPr>
            </w:pPr>
            <w:r w:rsidRPr="005A48E4">
              <w:rPr>
                <w:sz w:val="13"/>
                <w:szCs w:val="13"/>
              </w:rPr>
              <w:t>1300</w:t>
            </w:r>
          </w:p>
        </w:tc>
        <w:tc>
          <w:tcPr>
            <w:tcW w:w="731" w:type="dxa"/>
            <w:tcMar>
              <w:left w:w="58" w:type="dxa"/>
              <w:right w:w="58" w:type="dxa"/>
            </w:tcMar>
          </w:tcPr>
          <w:p w14:paraId="789AF6CC" w14:textId="77777777" w:rsidR="00EB017E" w:rsidRPr="005A48E4" w:rsidRDefault="00EB017E" w:rsidP="00680D52">
            <w:pPr>
              <w:pStyle w:val="TableText"/>
              <w:jc w:val="right"/>
              <w:rPr>
                <w:sz w:val="13"/>
                <w:szCs w:val="13"/>
              </w:rPr>
            </w:pPr>
            <w:r w:rsidRPr="005A48E4">
              <w:rPr>
                <w:sz w:val="13"/>
                <w:szCs w:val="13"/>
              </w:rPr>
              <w:t>63.8 (58.1,</w:t>
            </w:r>
            <w:r w:rsidR="005A48E4">
              <w:rPr>
                <w:sz w:val="13"/>
                <w:szCs w:val="13"/>
              </w:rPr>
              <w:t> </w:t>
            </w:r>
            <w:r w:rsidRPr="005A48E4">
              <w:rPr>
                <w:sz w:val="13"/>
                <w:szCs w:val="13"/>
              </w:rPr>
              <w:t>69.1)</w:t>
            </w:r>
          </w:p>
        </w:tc>
        <w:tc>
          <w:tcPr>
            <w:tcW w:w="344" w:type="dxa"/>
            <w:tcMar>
              <w:left w:w="58" w:type="dxa"/>
              <w:right w:w="58" w:type="dxa"/>
            </w:tcMar>
          </w:tcPr>
          <w:p w14:paraId="6BFAF328" w14:textId="77777777" w:rsidR="00EB017E" w:rsidRPr="005A48E4" w:rsidRDefault="00EB017E" w:rsidP="00680D52">
            <w:pPr>
              <w:pStyle w:val="TableText"/>
              <w:jc w:val="right"/>
              <w:rPr>
                <w:sz w:val="13"/>
                <w:szCs w:val="13"/>
              </w:rPr>
            </w:pPr>
            <w:r w:rsidRPr="005A48E4">
              <w:rPr>
                <w:sz w:val="13"/>
                <w:szCs w:val="13"/>
              </w:rPr>
              <w:t>10</w:t>
            </w:r>
          </w:p>
        </w:tc>
        <w:tc>
          <w:tcPr>
            <w:tcW w:w="635" w:type="dxa"/>
            <w:tcMar>
              <w:left w:w="58" w:type="dxa"/>
              <w:right w:w="58" w:type="dxa"/>
            </w:tcMar>
          </w:tcPr>
          <w:p w14:paraId="154F39E6" w14:textId="77777777" w:rsidR="00EB017E" w:rsidRPr="005A48E4" w:rsidRDefault="00EB017E" w:rsidP="00680D52">
            <w:pPr>
              <w:pStyle w:val="TableText"/>
              <w:jc w:val="right"/>
              <w:rPr>
                <w:sz w:val="13"/>
                <w:szCs w:val="13"/>
              </w:rPr>
            </w:pPr>
            <w:r w:rsidRPr="005A48E4">
              <w:rPr>
                <w:sz w:val="13"/>
                <w:szCs w:val="13"/>
              </w:rPr>
              <w:t>50</w:t>
            </w:r>
          </w:p>
        </w:tc>
        <w:tc>
          <w:tcPr>
            <w:tcW w:w="735" w:type="dxa"/>
            <w:tcMar>
              <w:left w:w="58" w:type="dxa"/>
              <w:right w:w="58" w:type="dxa"/>
            </w:tcMar>
          </w:tcPr>
          <w:p w14:paraId="1B6CE37B" w14:textId="77777777" w:rsidR="00EB017E" w:rsidRPr="005A48E4" w:rsidRDefault="00EB017E" w:rsidP="00680D52">
            <w:pPr>
              <w:pStyle w:val="TableText"/>
              <w:jc w:val="right"/>
              <w:rPr>
                <w:sz w:val="13"/>
                <w:szCs w:val="13"/>
              </w:rPr>
            </w:pPr>
            <w:r w:rsidRPr="005A48E4">
              <w:rPr>
                <w:sz w:val="13"/>
                <w:szCs w:val="13"/>
              </w:rPr>
              <w:t>2.4</w:t>
            </w:r>
            <w:r w:rsidR="00680D52">
              <w:rPr>
                <w:sz w:val="13"/>
                <w:szCs w:val="13"/>
              </w:rPr>
              <w:br/>
            </w:r>
            <w:r w:rsidRPr="005A48E4">
              <w:rPr>
                <w:sz w:val="13"/>
                <w:szCs w:val="13"/>
              </w:rPr>
              <w:t>(1.2,</w:t>
            </w:r>
            <w:r w:rsidR="005A48E4">
              <w:rPr>
                <w:sz w:val="13"/>
                <w:szCs w:val="13"/>
              </w:rPr>
              <w:t> </w:t>
            </w:r>
            <w:r w:rsidRPr="005A48E4">
              <w:rPr>
                <w:sz w:val="13"/>
                <w:szCs w:val="13"/>
              </w:rPr>
              <w:t>4.8)</w:t>
            </w:r>
          </w:p>
        </w:tc>
        <w:tc>
          <w:tcPr>
            <w:tcW w:w="408" w:type="dxa"/>
            <w:tcMar>
              <w:left w:w="58" w:type="dxa"/>
              <w:right w:w="58" w:type="dxa"/>
            </w:tcMar>
          </w:tcPr>
          <w:p w14:paraId="3B5F9EA1" w14:textId="77777777" w:rsidR="00EB017E" w:rsidRPr="005A48E4" w:rsidRDefault="00EB017E" w:rsidP="00680D52">
            <w:pPr>
              <w:pStyle w:val="TableText"/>
              <w:jc w:val="right"/>
              <w:rPr>
                <w:sz w:val="13"/>
                <w:szCs w:val="13"/>
              </w:rPr>
            </w:pPr>
            <w:r w:rsidRPr="005A48E4">
              <w:rPr>
                <w:sz w:val="13"/>
                <w:szCs w:val="13"/>
              </w:rPr>
              <w:t>144</w:t>
            </w:r>
          </w:p>
        </w:tc>
        <w:tc>
          <w:tcPr>
            <w:tcW w:w="657" w:type="dxa"/>
            <w:tcMar>
              <w:left w:w="58" w:type="dxa"/>
              <w:right w:w="58" w:type="dxa"/>
            </w:tcMar>
          </w:tcPr>
          <w:p w14:paraId="5E556220" w14:textId="77777777" w:rsidR="00EB017E" w:rsidRPr="005A48E4" w:rsidRDefault="00EB017E" w:rsidP="00680D52">
            <w:pPr>
              <w:pStyle w:val="TableText"/>
              <w:jc w:val="right"/>
              <w:rPr>
                <w:sz w:val="13"/>
                <w:szCs w:val="13"/>
              </w:rPr>
            </w:pPr>
            <w:r w:rsidRPr="005A48E4">
              <w:rPr>
                <w:sz w:val="13"/>
                <w:szCs w:val="13"/>
              </w:rPr>
              <w:t>516</w:t>
            </w:r>
          </w:p>
        </w:tc>
        <w:tc>
          <w:tcPr>
            <w:tcW w:w="713" w:type="dxa"/>
            <w:tcMar>
              <w:left w:w="58" w:type="dxa"/>
              <w:right w:w="58" w:type="dxa"/>
            </w:tcMar>
          </w:tcPr>
          <w:p w14:paraId="0CA24516" w14:textId="77777777" w:rsidR="00EB017E" w:rsidRPr="005A48E4" w:rsidRDefault="00EB017E" w:rsidP="00680D52">
            <w:pPr>
              <w:pStyle w:val="TableText"/>
              <w:jc w:val="right"/>
              <w:rPr>
                <w:sz w:val="13"/>
                <w:szCs w:val="13"/>
              </w:rPr>
            </w:pPr>
            <w:r w:rsidRPr="005A48E4">
              <w:rPr>
                <w:sz w:val="13"/>
                <w:szCs w:val="13"/>
              </w:rPr>
              <w:t>20.6 (17.2,</w:t>
            </w:r>
            <w:r w:rsidR="005A48E4">
              <w:rPr>
                <w:sz w:val="13"/>
                <w:szCs w:val="13"/>
              </w:rPr>
              <w:t> </w:t>
            </w:r>
            <w:r w:rsidRPr="005A48E4">
              <w:rPr>
                <w:sz w:val="13"/>
                <w:szCs w:val="13"/>
              </w:rPr>
              <w:t>24.6)</w:t>
            </w:r>
          </w:p>
        </w:tc>
        <w:tc>
          <w:tcPr>
            <w:tcW w:w="408" w:type="dxa"/>
            <w:tcMar>
              <w:left w:w="58" w:type="dxa"/>
              <w:right w:w="58" w:type="dxa"/>
            </w:tcMar>
          </w:tcPr>
          <w:p w14:paraId="48412034" w14:textId="77777777" w:rsidR="00EB017E" w:rsidRPr="005A48E4" w:rsidRDefault="00EB017E" w:rsidP="00680D52">
            <w:pPr>
              <w:pStyle w:val="TableText"/>
              <w:jc w:val="right"/>
              <w:rPr>
                <w:sz w:val="13"/>
                <w:szCs w:val="13"/>
              </w:rPr>
            </w:pPr>
            <w:r w:rsidRPr="005A48E4">
              <w:rPr>
                <w:sz w:val="13"/>
                <w:szCs w:val="13"/>
              </w:rPr>
              <w:t>430</w:t>
            </w:r>
          </w:p>
        </w:tc>
        <w:tc>
          <w:tcPr>
            <w:tcW w:w="679" w:type="dxa"/>
            <w:tcMar>
              <w:left w:w="58" w:type="dxa"/>
              <w:right w:w="58" w:type="dxa"/>
            </w:tcMar>
          </w:tcPr>
          <w:p w14:paraId="057D421C" w14:textId="77777777" w:rsidR="00EB017E" w:rsidRPr="005A48E4" w:rsidRDefault="00EB017E" w:rsidP="00680D52">
            <w:pPr>
              <w:pStyle w:val="TableText"/>
              <w:jc w:val="right"/>
              <w:rPr>
                <w:sz w:val="13"/>
                <w:szCs w:val="13"/>
              </w:rPr>
            </w:pPr>
            <w:r w:rsidRPr="005A48E4">
              <w:rPr>
                <w:sz w:val="13"/>
                <w:szCs w:val="13"/>
              </w:rPr>
              <w:t>1705</w:t>
            </w:r>
          </w:p>
        </w:tc>
        <w:tc>
          <w:tcPr>
            <w:tcW w:w="826" w:type="dxa"/>
            <w:tcMar>
              <w:left w:w="58" w:type="dxa"/>
              <w:right w:w="58" w:type="dxa"/>
            </w:tcMar>
          </w:tcPr>
          <w:p w14:paraId="315DF022" w14:textId="77777777" w:rsidR="00EB017E" w:rsidRPr="005A48E4" w:rsidRDefault="00EB017E" w:rsidP="00680D52">
            <w:pPr>
              <w:pStyle w:val="TableText"/>
              <w:jc w:val="right"/>
              <w:rPr>
                <w:sz w:val="13"/>
                <w:szCs w:val="13"/>
              </w:rPr>
            </w:pPr>
            <w:r w:rsidRPr="005A48E4">
              <w:rPr>
                <w:sz w:val="13"/>
                <w:szCs w:val="13"/>
              </w:rPr>
              <w:t>68.1 (61.9,</w:t>
            </w:r>
            <w:r w:rsidR="005A48E4">
              <w:rPr>
                <w:sz w:val="13"/>
                <w:szCs w:val="13"/>
              </w:rPr>
              <w:t> </w:t>
            </w:r>
            <w:r w:rsidRPr="005A48E4">
              <w:rPr>
                <w:sz w:val="13"/>
                <w:szCs w:val="13"/>
              </w:rPr>
              <w:t>73.7)</w:t>
            </w:r>
          </w:p>
        </w:tc>
        <w:tc>
          <w:tcPr>
            <w:tcW w:w="408" w:type="dxa"/>
            <w:tcMar>
              <w:left w:w="58" w:type="dxa"/>
              <w:right w:w="58" w:type="dxa"/>
            </w:tcMar>
          </w:tcPr>
          <w:p w14:paraId="7BD21886" w14:textId="77777777" w:rsidR="00EB017E" w:rsidRPr="005A48E4" w:rsidRDefault="00EB017E" w:rsidP="00680D52">
            <w:pPr>
              <w:pStyle w:val="TableText"/>
              <w:jc w:val="right"/>
              <w:rPr>
                <w:sz w:val="13"/>
                <w:szCs w:val="13"/>
              </w:rPr>
            </w:pPr>
            <w:r w:rsidRPr="005A48E4">
              <w:rPr>
                <w:sz w:val="13"/>
                <w:szCs w:val="13"/>
              </w:rPr>
              <w:t>45</w:t>
            </w:r>
          </w:p>
        </w:tc>
        <w:tc>
          <w:tcPr>
            <w:tcW w:w="656" w:type="dxa"/>
            <w:tcMar>
              <w:left w:w="58" w:type="dxa"/>
              <w:right w:w="58" w:type="dxa"/>
            </w:tcMar>
          </w:tcPr>
          <w:p w14:paraId="4603B428" w14:textId="77777777" w:rsidR="00EB017E" w:rsidRPr="005A48E4" w:rsidRDefault="00EB017E" w:rsidP="00680D52">
            <w:pPr>
              <w:pStyle w:val="TableText"/>
              <w:jc w:val="right"/>
              <w:rPr>
                <w:sz w:val="13"/>
                <w:szCs w:val="13"/>
              </w:rPr>
            </w:pPr>
            <w:r w:rsidRPr="005A48E4">
              <w:rPr>
                <w:sz w:val="13"/>
                <w:szCs w:val="13"/>
              </w:rPr>
              <w:t>274</w:t>
            </w:r>
          </w:p>
        </w:tc>
        <w:tc>
          <w:tcPr>
            <w:tcW w:w="785" w:type="dxa"/>
            <w:tcMar>
              <w:left w:w="58" w:type="dxa"/>
              <w:right w:w="58" w:type="dxa"/>
            </w:tcMar>
          </w:tcPr>
          <w:p w14:paraId="17233687" w14:textId="77777777" w:rsidR="00EB017E" w:rsidRPr="005A48E4" w:rsidRDefault="00EB017E" w:rsidP="00680D52">
            <w:pPr>
              <w:pStyle w:val="TableText"/>
              <w:jc w:val="right"/>
              <w:rPr>
                <w:sz w:val="13"/>
                <w:szCs w:val="13"/>
              </w:rPr>
            </w:pPr>
            <w:r w:rsidRPr="005A48E4">
              <w:rPr>
                <w:sz w:val="13"/>
                <w:szCs w:val="13"/>
              </w:rPr>
              <w:t>10.9 (6.1,</w:t>
            </w:r>
            <w:r w:rsidR="005A48E4">
              <w:rPr>
                <w:sz w:val="13"/>
                <w:szCs w:val="13"/>
              </w:rPr>
              <w:t> </w:t>
            </w:r>
            <w:r w:rsidRPr="005A48E4">
              <w:rPr>
                <w:sz w:val="13"/>
                <w:szCs w:val="13"/>
              </w:rPr>
              <w:t>18.9)</w:t>
            </w:r>
          </w:p>
        </w:tc>
      </w:tr>
      <w:tr w:rsidR="00680D52" w:rsidRPr="003860A9" w14:paraId="4CD6D379" w14:textId="77777777" w:rsidTr="00680D52">
        <w:trPr>
          <w:cantSplit/>
        </w:trPr>
        <w:tc>
          <w:tcPr>
            <w:tcW w:w="745" w:type="dxa"/>
          </w:tcPr>
          <w:p w14:paraId="507DD2FE" w14:textId="77777777" w:rsidR="00EB017E" w:rsidRPr="005B471D" w:rsidRDefault="00EB017E" w:rsidP="000A2491">
            <w:pPr>
              <w:pStyle w:val="TableText"/>
              <w:rPr>
                <w:bCs/>
                <w:color w:val="000000" w:themeColor="text1"/>
              </w:rPr>
            </w:pPr>
            <w:r w:rsidRPr="005B471D">
              <w:rPr>
                <w:bCs/>
                <w:color w:val="000000" w:themeColor="text1"/>
              </w:rPr>
              <w:t>Female 18</w:t>
            </w:r>
            <w:r>
              <w:rPr>
                <w:bCs/>
                <w:color w:val="000000" w:themeColor="text1"/>
              </w:rPr>
              <w:t>–</w:t>
            </w:r>
            <w:r w:rsidRPr="005B471D">
              <w:rPr>
                <w:bCs/>
                <w:color w:val="000000" w:themeColor="text1"/>
              </w:rPr>
              <w:t>37</w:t>
            </w:r>
          </w:p>
        </w:tc>
        <w:tc>
          <w:tcPr>
            <w:tcW w:w="373" w:type="dxa"/>
            <w:tcMar>
              <w:left w:w="58" w:type="dxa"/>
              <w:right w:w="58" w:type="dxa"/>
            </w:tcMar>
          </w:tcPr>
          <w:p w14:paraId="061431A5" w14:textId="77777777" w:rsidR="00EB017E" w:rsidRPr="005A48E4" w:rsidRDefault="00EB017E" w:rsidP="00680D52">
            <w:pPr>
              <w:pStyle w:val="TableText"/>
              <w:jc w:val="right"/>
              <w:rPr>
                <w:sz w:val="13"/>
                <w:szCs w:val="13"/>
              </w:rPr>
            </w:pPr>
            <w:r w:rsidRPr="005A48E4">
              <w:rPr>
                <w:sz w:val="13"/>
                <w:szCs w:val="13"/>
              </w:rPr>
              <w:t>40</w:t>
            </w:r>
          </w:p>
        </w:tc>
        <w:tc>
          <w:tcPr>
            <w:tcW w:w="617" w:type="dxa"/>
            <w:tcMar>
              <w:left w:w="58" w:type="dxa"/>
              <w:right w:w="58" w:type="dxa"/>
            </w:tcMar>
          </w:tcPr>
          <w:p w14:paraId="4FC13279" w14:textId="77777777" w:rsidR="00EB017E" w:rsidRPr="005A48E4" w:rsidRDefault="00EB017E" w:rsidP="00680D52">
            <w:pPr>
              <w:pStyle w:val="TableText"/>
              <w:jc w:val="right"/>
              <w:rPr>
                <w:sz w:val="13"/>
                <w:szCs w:val="13"/>
              </w:rPr>
            </w:pPr>
            <w:r w:rsidRPr="005A48E4">
              <w:rPr>
                <w:sz w:val="13"/>
                <w:szCs w:val="13"/>
              </w:rPr>
              <w:t>243</w:t>
            </w:r>
          </w:p>
        </w:tc>
        <w:tc>
          <w:tcPr>
            <w:tcW w:w="753" w:type="dxa"/>
            <w:tcMar>
              <w:left w:w="58" w:type="dxa"/>
              <w:right w:w="58" w:type="dxa"/>
            </w:tcMar>
          </w:tcPr>
          <w:p w14:paraId="41BA3A40" w14:textId="77777777" w:rsidR="00EB017E" w:rsidRPr="005A48E4" w:rsidRDefault="00EB017E" w:rsidP="00680D52">
            <w:pPr>
              <w:pStyle w:val="TableText"/>
              <w:jc w:val="right"/>
              <w:rPr>
                <w:sz w:val="13"/>
                <w:szCs w:val="13"/>
              </w:rPr>
            </w:pPr>
            <w:r w:rsidRPr="005A48E4">
              <w:rPr>
                <w:sz w:val="13"/>
                <w:szCs w:val="13"/>
              </w:rPr>
              <w:t>31.5 (23.1,</w:t>
            </w:r>
            <w:r w:rsidR="005A48E4">
              <w:rPr>
                <w:sz w:val="13"/>
                <w:szCs w:val="13"/>
              </w:rPr>
              <w:t> </w:t>
            </w:r>
            <w:r w:rsidRPr="005A48E4">
              <w:rPr>
                <w:sz w:val="13"/>
                <w:szCs w:val="13"/>
              </w:rPr>
              <w:t>41.4)</w:t>
            </w:r>
          </w:p>
        </w:tc>
        <w:tc>
          <w:tcPr>
            <w:tcW w:w="408" w:type="dxa"/>
            <w:tcMar>
              <w:left w:w="58" w:type="dxa"/>
              <w:right w:w="58" w:type="dxa"/>
            </w:tcMar>
          </w:tcPr>
          <w:p w14:paraId="2059917A" w14:textId="77777777" w:rsidR="00EB017E" w:rsidRPr="005A48E4" w:rsidRDefault="00EB017E" w:rsidP="00680D52">
            <w:pPr>
              <w:pStyle w:val="TableText"/>
              <w:jc w:val="right"/>
              <w:rPr>
                <w:sz w:val="13"/>
                <w:szCs w:val="13"/>
              </w:rPr>
            </w:pPr>
            <w:r w:rsidRPr="005A48E4">
              <w:rPr>
                <w:sz w:val="13"/>
                <w:szCs w:val="13"/>
              </w:rPr>
              <w:t>70</w:t>
            </w:r>
          </w:p>
        </w:tc>
        <w:tc>
          <w:tcPr>
            <w:tcW w:w="639" w:type="dxa"/>
            <w:tcMar>
              <w:left w:w="58" w:type="dxa"/>
              <w:right w:w="58" w:type="dxa"/>
            </w:tcMar>
          </w:tcPr>
          <w:p w14:paraId="272EC233" w14:textId="77777777" w:rsidR="00EB017E" w:rsidRPr="005A48E4" w:rsidRDefault="00EB017E" w:rsidP="00680D52">
            <w:pPr>
              <w:pStyle w:val="TableText"/>
              <w:jc w:val="right"/>
              <w:rPr>
                <w:sz w:val="13"/>
                <w:szCs w:val="13"/>
              </w:rPr>
            </w:pPr>
            <w:r w:rsidRPr="005A48E4">
              <w:rPr>
                <w:sz w:val="13"/>
                <w:szCs w:val="13"/>
              </w:rPr>
              <w:t>500</w:t>
            </w:r>
          </w:p>
        </w:tc>
        <w:tc>
          <w:tcPr>
            <w:tcW w:w="731" w:type="dxa"/>
            <w:tcMar>
              <w:left w:w="58" w:type="dxa"/>
              <w:right w:w="58" w:type="dxa"/>
            </w:tcMar>
          </w:tcPr>
          <w:p w14:paraId="47DCDFF1" w14:textId="77777777" w:rsidR="00EB017E" w:rsidRPr="005A48E4" w:rsidRDefault="00EB017E" w:rsidP="00680D52">
            <w:pPr>
              <w:pStyle w:val="TableText"/>
              <w:jc w:val="right"/>
              <w:rPr>
                <w:sz w:val="13"/>
                <w:szCs w:val="13"/>
              </w:rPr>
            </w:pPr>
            <w:r w:rsidRPr="005A48E4">
              <w:rPr>
                <w:sz w:val="13"/>
                <w:szCs w:val="13"/>
              </w:rPr>
              <w:t>64.8 (54.9,</w:t>
            </w:r>
            <w:r w:rsidR="005A48E4">
              <w:rPr>
                <w:sz w:val="13"/>
                <w:szCs w:val="13"/>
              </w:rPr>
              <w:t> </w:t>
            </w:r>
            <w:r w:rsidRPr="005A48E4">
              <w:rPr>
                <w:sz w:val="13"/>
                <w:szCs w:val="13"/>
              </w:rPr>
              <w:t>73.5)</w:t>
            </w:r>
          </w:p>
        </w:tc>
        <w:tc>
          <w:tcPr>
            <w:tcW w:w="344" w:type="dxa"/>
            <w:tcMar>
              <w:left w:w="58" w:type="dxa"/>
              <w:right w:w="58" w:type="dxa"/>
            </w:tcMar>
          </w:tcPr>
          <w:p w14:paraId="7F87E9FA" w14:textId="77777777" w:rsidR="00EB017E" w:rsidRPr="005A48E4" w:rsidRDefault="00EB017E" w:rsidP="00680D52">
            <w:pPr>
              <w:pStyle w:val="TableText"/>
              <w:jc w:val="right"/>
              <w:rPr>
                <w:sz w:val="13"/>
                <w:szCs w:val="13"/>
              </w:rPr>
            </w:pPr>
            <w:r w:rsidRPr="005A48E4">
              <w:rPr>
                <w:sz w:val="13"/>
                <w:szCs w:val="13"/>
              </w:rPr>
              <w:t>6</w:t>
            </w:r>
          </w:p>
        </w:tc>
        <w:tc>
          <w:tcPr>
            <w:tcW w:w="635" w:type="dxa"/>
            <w:tcMar>
              <w:left w:w="58" w:type="dxa"/>
              <w:right w:w="58" w:type="dxa"/>
            </w:tcMar>
          </w:tcPr>
          <w:p w14:paraId="1C281C53" w14:textId="77777777" w:rsidR="00EB017E" w:rsidRPr="005A48E4" w:rsidRDefault="00EB017E" w:rsidP="00680D52">
            <w:pPr>
              <w:pStyle w:val="TableText"/>
              <w:jc w:val="right"/>
              <w:rPr>
                <w:sz w:val="13"/>
                <w:szCs w:val="13"/>
              </w:rPr>
            </w:pPr>
            <w:r w:rsidRPr="005A48E4">
              <w:rPr>
                <w:sz w:val="13"/>
                <w:szCs w:val="13"/>
              </w:rPr>
              <w:t>29</w:t>
            </w:r>
          </w:p>
        </w:tc>
        <w:tc>
          <w:tcPr>
            <w:tcW w:w="735" w:type="dxa"/>
            <w:tcMar>
              <w:left w:w="58" w:type="dxa"/>
              <w:right w:w="58" w:type="dxa"/>
            </w:tcMar>
          </w:tcPr>
          <w:p w14:paraId="49D36369" w14:textId="77777777" w:rsidR="00EB017E" w:rsidRPr="005A48E4" w:rsidRDefault="00EB017E" w:rsidP="00680D52">
            <w:pPr>
              <w:pStyle w:val="TableText"/>
              <w:jc w:val="right"/>
              <w:rPr>
                <w:sz w:val="13"/>
                <w:szCs w:val="13"/>
              </w:rPr>
            </w:pPr>
            <w:r w:rsidRPr="005A48E4">
              <w:rPr>
                <w:sz w:val="13"/>
                <w:szCs w:val="13"/>
              </w:rPr>
              <w:t>3.7</w:t>
            </w:r>
            <w:r w:rsidR="00680D52">
              <w:rPr>
                <w:sz w:val="13"/>
                <w:szCs w:val="13"/>
              </w:rPr>
              <w:br/>
            </w:r>
            <w:r w:rsidRPr="005A48E4">
              <w:rPr>
                <w:sz w:val="13"/>
                <w:szCs w:val="13"/>
              </w:rPr>
              <w:t>(1.7,</w:t>
            </w:r>
            <w:r w:rsidR="005A48E4">
              <w:rPr>
                <w:sz w:val="13"/>
                <w:szCs w:val="13"/>
              </w:rPr>
              <w:t> </w:t>
            </w:r>
            <w:r w:rsidRPr="005A48E4">
              <w:rPr>
                <w:sz w:val="13"/>
                <w:szCs w:val="13"/>
              </w:rPr>
              <w:t>7.9)</w:t>
            </w:r>
          </w:p>
        </w:tc>
        <w:tc>
          <w:tcPr>
            <w:tcW w:w="408" w:type="dxa"/>
            <w:tcMar>
              <w:left w:w="58" w:type="dxa"/>
              <w:right w:w="58" w:type="dxa"/>
            </w:tcMar>
          </w:tcPr>
          <w:p w14:paraId="4D998305" w14:textId="77777777" w:rsidR="00EB017E" w:rsidRPr="005A48E4" w:rsidRDefault="00EB017E" w:rsidP="00680D52">
            <w:pPr>
              <w:pStyle w:val="TableText"/>
              <w:jc w:val="right"/>
              <w:rPr>
                <w:sz w:val="13"/>
                <w:szCs w:val="13"/>
              </w:rPr>
            </w:pPr>
            <w:r w:rsidRPr="005A48E4">
              <w:rPr>
                <w:sz w:val="13"/>
                <w:szCs w:val="13"/>
              </w:rPr>
              <w:t>51</w:t>
            </w:r>
          </w:p>
        </w:tc>
        <w:tc>
          <w:tcPr>
            <w:tcW w:w="657" w:type="dxa"/>
            <w:tcMar>
              <w:left w:w="58" w:type="dxa"/>
              <w:right w:w="58" w:type="dxa"/>
            </w:tcMar>
          </w:tcPr>
          <w:p w14:paraId="1544226C" w14:textId="77777777" w:rsidR="00EB017E" w:rsidRPr="005A48E4" w:rsidRDefault="00EB017E" w:rsidP="00680D52">
            <w:pPr>
              <w:pStyle w:val="TableText"/>
              <w:jc w:val="right"/>
              <w:rPr>
                <w:sz w:val="13"/>
                <w:szCs w:val="13"/>
              </w:rPr>
            </w:pPr>
            <w:r w:rsidRPr="005A48E4">
              <w:rPr>
                <w:sz w:val="13"/>
                <w:szCs w:val="13"/>
              </w:rPr>
              <w:t>169</w:t>
            </w:r>
          </w:p>
        </w:tc>
        <w:tc>
          <w:tcPr>
            <w:tcW w:w="713" w:type="dxa"/>
            <w:tcMar>
              <w:left w:w="58" w:type="dxa"/>
              <w:right w:w="58" w:type="dxa"/>
            </w:tcMar>
          </w:tcPr>
          <w:p w14:paraId="71E94746" w14:textId="77777777" w:rsidR="00EB017E" w:rsidRPr="005A48E4" w:rsidRDefault="00EB017E" w:rsidP="00680D52">
            <w:pPr>
              <w:pStyle w:val="TableText"/>
              <w:jc w:val="right"/>
              <w:rPr>
                <w:sz w:val="13"/>
                <w:szCs w:val="13"/>
              </w:rPr>
            </w:pPr>
            <w:r w:rsidRPr="005A48E4">
              <w:rPr>
                <w:sz w:val="13"/>
                <w:szCs w:val="13"/>
              </w:rPr>
              <w:t>19.3 (15.0,</w:t>
            </w:r>
            <w:r w:rsidR="005A48E4">
              <w:rPr>
                <w:sz w:val="13"/>
                <w:szCs w:val="13"/>
              </w:rPr>
              <w:t> </w:t>
            </w:r>
            <w:r w:rsidRPr="005A48E4">
              <w:rPr>
                <w:sz w:val="13"/>
                <w:szCs w:val="13"/>
              </w:rPr>
              <w:t>24.4)</w:t>
            </w:r>
          </w:p>
        </w:tc>
        <w:tc>
          <w:tcPr>
            <w:tcW w:w="408" w:type="dxa"/>
            <w:tcMar>
              <w:left w:w="58" w:type="dxa"/>
              <w:right w:w="58" w:type="dxa"/>
            </w:tcMar>
          </w:tcPr>
          <w:p w14:paraId="1D60318E" w14:textId="77777777" w:rsidR="00EB017E" w:rsidRPr="005A48E4" w:rsidRDefault="00EB017E" w:rsidP="00680D52">
            <w:pPr>
              <w:pStyle w:val="TableText"/>
              <w:jc w:val="right"/>
              <w:rPr>
                <w:sz w:val="13"/>
                <w:szCs w:val="13"/>
              </w:rPr>
            </w:pPr>
            <w:r w:rsidRPr="005A48E4">
              <w:rPr>
                <w:sz w:val="13"/>
                <w:szCs w:val="13"/>
              </w:rPr>
              <w:t>184</w:t>
            </w:r>
          </w:p>
        </w:tc>
        <w:tc>
          <w:tcPr>
            <w:tcW w:w="679" w:type="dxa"/>
            <w:tcMar>
              <w:left w:w="58" w:type="dxa"/>
              <w:right w:w="58" w:type="dxa"/>
            </w:tcMar>
          </w:tcPr>
          <w:p w14:paraId="0E59E86F" w14:textId="77777777" w:rsidR="00EB017E" w:rsidRPr="005A48E4" w:rsidRDefault="00EB017E" w:rsidP="00680D52">
            <w:pPr>
              <w:pStyle w:val="TableText"/>
              <w:jc w:val="right"/>
              <w:rPr>
                <w:sz w:val="13"/>
                <w:szCs w:val="13"/>
              </w:rPr>
            </w:pPr>
            <w:r w:rsidRPr="005A48E4">
              <w:rPr>
                <w:sz w:val="13"/>
                <w:szCs w:val="13"/>
              </w:rPr>
              <w:t>636</w:t>
            </w:r>
          </w:p>
        </w:tc>
        <w:tc>
          <w:tcPr>
            <w:tcW w:w="826" w:type="dxa"/>
            <w:tcMar>
              <w:left w:w="58" w:type="dxa"/>
              <w:right w:w="58" w:type="dxa"/>
            </w:tcMar>
          </w:tcPr>
          <w:p w14:paraId="2A36A79E" w14:textId="77777777" w:rsidR="00EB017E" w:rsidRPr="005A48E4" w:rsidRDefault="00EB017E" w:rsidP="00680D52">
            <w:pPr>
              <w:pStyle w:val="TableText"/>
              <w:jc w:val="right"/>
              <w:rPr>
                <w:sz w:val="13"/>
                <w:szCs w:val="13"/>
              </w:rPr>
            </w:pPr>
            <w:r w:rsidRPr="005A48E4">
              <w:rPr>
                <w:sz w:val="13"/>
                <w:szCs w:val="13"/>
              </w:rPr>
              <w:t>72.2 (66.5,</w:t>
            </w:r>
            <w:r w:rsidR="005A48E4">
              <w:rPr>
                <w:sz w:val="13"/>
                <w:szCs w:val="13"/>
              </w:rPr>
              <w:t> </w:t>
            </w:r>
            <w:r w:rsidRPr="005A48E4">
              <w:rPr>
                <w:sz w:val="13"/>
                <w:szCs w:val="13"/>
              </w:rPr>
              <w:t>77.3)</w:t>
            </w:r>
          </w:p>
        </w:tc>
        <w:tc>
          <w:tcPr>
            <w:tcW w:w="408" w:type="dxa"/>
            <w:tcMar>
              <w:left w:w="58" w:type="dxa"/>
              <w:right w:w="58" w:type="dxa"/>
            </w:tcMar>
          </w:tcPr>
          <w:p w14:paraId="0DC92235" w14:textId="77777777" w:rsidR="00EB017E" w:rsidRPr="005A48E4" w:rsidRDefault="00EB017E" w:rsidP="00680D52">
            <w:pPr>
              <w:pStyle w:val="TableText"/>
              <w:jc w:val="right"/>
              <w:rPr>
                <w:sz w:val="13"/>
                <w:szCs w:val="13"/>
              </w:rPr>
            </w:pPr>
            <w:r w:rsidRPr="005A48E4">
              <w:rPr>
                <w:sz w:val="13"/>
                <w:szCs w:val="13"/>
              </w:rPr>
              <w:t>21</w:t>
            </w:r>
          </w:p>
        </w:tc>
        <w:tc>
          <w:tcPr>
            <w:tcW w:w="656" w:type="dxa"/>
            <w:tcMar>
              <w:left w:w="58" w:type="dxa"/>
              <w:right w:w="58" w:type="dxa"/>
            </w:tcMar>
          </w:tcPr>
          <w:p w14:paraId="7831FB81" w14:textId="77777777" w:rsidR="00EB017E" w:rsidRPr="005A48E4" w:rsidRDefault="00EB017E" w:rsidP="00680D52">
            <w:pPr>
              <w:pStyle w:val="TableText"/>
              <w:jc w:val="right"/>
              <w:rPr>
                <w:sz w:val="13"/>
                <w:szCs w:val="13"/>
              </w:rPr>
            </w:pPr>
            <w:r w:rsidRPr="005A48E4">
              <w:rPr>
                <w:sz w:val="13"/>
                <w:szCs w:val="13"/>
              </w:rPr>
              <w:t>73</w:t>
            </w:r>
          </w:p>
        </w:tc>
        <w:tc>
          <w:tcPr>
            <w:tcW w:w="785" w:type="dxa"/>
            <w:tcMar>
              <w:left w:w="58" w:type="dxa"/>
              <w:right w:w="58" w:type="dxa"/>
            </w:tcMar>
          </w:tcPr>
          <w:p w14:paraId="308A832B" w14:textId="77777777" w:rsidR="00EB017E" w:rsidRPr="005A48E4" w:rsidRDefault="00EB017E" w:rsidP="00680D52">
            <w:pPr>
              <w:pStyle w:val="TableText"/>
              <w:jc w:val="right"/>
              <w:rPr>
                <w:sz w:val="13"/>
                <w:szCs w:val="13"/>
              </w:rPr>
            </w:pPr>
            <w:r w:rsidRPr="005A48E4">
              <w:rPr>
                <w:sz w:val="13"/>
                <w:szCs w:val="13"/>
              </w:rPr>
              <w:t>8.3</w:t>
            </w:r>
            <w:r w:rsidR="00680D52">
              <w:rPr>
                <w:sz w:val="13"/>
                <w:szCs w:val="13"/>
              </w:rPr>
              <w:br/>
            </w:r>
            <w:r w:rsidRPr="005A48E4">
              <w:rPr>
                <w:sz w:val="13"/>
                <w:szCs w:val="13"/>
              </w:rPr>
              <w:t>(5.5,</w:t>
            </w:r>
            <w:r w:rsidR="005A48E4">
              <w:rPr>
                <w:sz w:val="13"/>
                <w:szCs w:val="13"/>
              </w:rPr>
              <w:t> </w:t>
            </w:r>
            <w:r w:rsidRPr="005A48E4">
              <w:rPr>
                <w:sz w:val="13"/>
                <w:szCs w:val="13"/>
              </w:rPr>
              <w:t>12.2)</w:t>
            </w:r>
          </w:p>
        </w:tc>
      </w:tr>
      <w:tr w:rsidR="00BD41F3" w:rsidRPr="003860A9" w14:paraId="0E08F2A1" w14:textId="77777777" w:rsidTr="00680D52">
        <w:trPr>
          <w:cnfStyle w:val="000000100000" w:firstRow="0" w:lastRow="0" w:firstColumn="0" w:lastColumn="0" w:oddVBand="0" w:evenVBand="0" w:oddHBand="1" w:evenHBand="0" w:firstRowFirstColumn="0" w:firstRowLastColumn="0" w:lastRowFirstColumn="0" w:lastRowLastColumn="0"/>
          <w:cantSplit/>
        </w:trPr>
        <w:tc>
          <w:tcPr>
            <w:tcW w:w="745" w:type="dxa"/>
          </w:tcPr>
          <w:p w14:paraId="687BB467" w14:textId="77777777" w:rsidR="00EB017E" w:rsidRPr="005B471D" w:rsidRDefault="00EB017E" w:rsidP="000A2491">
            <w:pPr>
              <w:pStyle w:val="TableText"/>
              <w:rPr>
                <w:bCs/>
                <w:color w:val="000000" w:themeColor="text1"/>
              </w:rPr>
            </w:pPr>
            <w:r w:rsidRPr="005B471D">
              <w:rPr>
                <w:bCs/>
                <w:color w:val="000000" w:themeColor="text1"/>
              </w:rPr>
              <w:t>Female 38</w:t>
            </w:r>
            <w:r>
              <w:rPr>
                <w:bCs/>
                <w:color w:val="000000" w:themeColor="text1"/>
              </w:rPr>
              <w:t>+</w:t>
            </w:r>
          </w:p>
        </w:tc>
        <w:tc>
          <w:tcPr>
            <w:tcW w:w="373" w:type="dxa"/>
            <w:tcMar>
              <w:left w:w="58" w:type="dxa"/>
              <w:right w:w="58" w:type="dxa"/>
            </w:tcMar>
          </w:tcPr>
          <w:p w14:paraId="6CC4BF63" w14:textId="77777777" w:rsidR="00EB017E" w:rsidRPr="005A48E4" w:rsidRDefault="00EB017E" w:rsidP="00680D52">
            <w:pPr>
              <w:pStyle w:val="TableText"/>
              <w:jc w:val="right"/>
              <w:rPr>
                <w:sz w:val="13"/>
                <w:szCs w:val="13"/>
              </w:rPr>
            </w:pPr>
            <w:r w:rsidRPr="005A48E4">
              <w:rPr>
                <w:sz w:val="13"/>
                <w:szCs w:val="13"/>
              </w:rPr>
              <w:t>18</w:t>
            </w:r>
          </w:p>
        </w:tc>
        <w:tc>
          <w:tcPr>
            <w:tcW w:w="617" w:type="dxa"/>
            <w:tcMar>
              <w:left w:w="58" w:type="dxa"/>
              <w:right w:w="58" w:type="dxa"/>
            </w:tcMar>
          </w:tcPr>
          <w:p w14:paraId="52EF2F5A" w14:textId="77777777" w:rsidR="00EB017E" w:rsidRPr="005A48E4" w:rsidRDefault="00EB017E" w:rsidP="00680D52">
            <w:pPr>
              <w:pStyle w:val="TableText"/>
              <w:jc w:val="right"/>
              <w:rPr>
                <w:sz w:val="13"/>
                <w:szCs w:val="13"/>
              </w:rPr>
            </w:pPr>
            <w:r w:rsidRPr="005A48E4">
              <w:rPr>
                <w:sz w:val="13"/>
                <w:szCs w:val="13"/>
              </w:rPr>
              <w:t>66</w:t>
            </w:r>
          </w:p>
        </w:tc>
        <w:tc>
          <w:tcPr>
            <w:tcW w:w="753" w:type="dxa"/>
            <w:tcMar>
              <w:left w:w="58" w:type="dxa"/>
              <w:right w:w="58" w:type="dxa"/>
            </w:tcMar>
          </w:tcPr>
          <w:p w14:paraId="3CF8693C" w14:textId="77777777" w:rsidR="00EB017E" w:rsidRPr="005A48E4" w:rsidRDefault="00EB017E" w:rsidP="00680D52">
            <w:pPr>
              <w:pStyle w:val="TableText"/>
              <w:jc w:val="right"/>
              <w:rPr>
                <w:sz w:val="13"/>
                <w:szCs w:val="13"/>
              </w:rPr>
            </w:pPr>
            <w:r w:rsidRPr="005A48E4">
              <w:rPr>
                <w:sz w:val="13"/>
                <w:szCs w:val="13"/>
              </w:rPr>
              <w:t>19.4 (12.9,</w:t>
            </w:r>
            <w:r w:rsidR="005A48E4">
              <w:rPr>
                <w:sz w:val="13"/>
                <w:szCs w:val="13"/>
              </w:rPr>
              <w:t> </w:t>
            </w:r>
            <w:r w:rsidRPr="005A48E4">
              <w:rPr>
                <w:sz w:val="13"/>
                <w:szCs w:val="13"/>
              </w:rPr>
              <w:t>28.3)</w:t>
            </w:r>
          </w:p>
        </w:tc>
        <w:tc>
          <w:tcPr>
            <w:tcW w:w="408" w:type="dxa"/>
            <w:tcMar>
              <w:left w:w="58" w:type="dxa"/>
              <w:right w:w="58" w:type="dxa"/>
            </w:tcMar>
          </w:tcPr>
          <w:p w14:paraId="20E9FEF6" w14:textId="77777777" w:rsidR="00EB017E" w:rsidRPr="005A48E4" w:rsidRDefault="00EB017E" w:rsidP="00680D52">
            <w:pPr>
              <w:pStyle w:val="TableText"/>
              <w:jc w:val="right"/>
              <w:rPr>
                <w:sz w:val="13"/>
                <w:szCs w:val="13"/>
              </w:rPr>
            </w:pPr>
            <w:r w:rsidRPr="005A48E4">
              <w:rPr>
                <w:sz w:val="13"/>
                <w:szCs w:val="13"/>
              </w:rPr>
              <w:t>51</w:t>
            </w:r>
          </w:p>
        </w:tc>
        <w:tc>
          <w:tcPr>
            <w:tcW w:w="639" w:type="dxa"/>
            <w:tcMar>
              <w:left w:w="58" w:type="dxa"/>
              <w:right w:w="58" w:type="dxa"/>
            </w:tcMar>
          </w:tcPr>
          <w:p w14:paraId="4BE6E6E1" w14:textId="77777777" w:rsidR="00EB017E" w:rsidRPr="005A48E4" w:rsidRDefault="00EB017E" w:rsidP="00680D52">
            <w:pPr>
              <w:pStyle w:val="TableText"/>
              <w:jc w:val="right"/>
              <w:rPr>
                <w:sz w:val="13"/>
                <w:szCs w:val="13"/>
              </w:rPr>
            </w:pPr>
            <w:r w:rsidRPr="005A48E4">
              <w:rPr>
                <w:sz w:val="13"/>
                <w:szCs w:val="13"/>
              </w:rPr>
              <w:t>257</w:t>
            </w:r>
          </w:p>
        </w:tc>
        <w:tc>
          <w:tcPr>
            <w:tcW w:w="731" w:type="dxa"/>
            <w:tcMar>
              <w:left w:w="58" w:type="dxa"/>
              <w:right w:w="58" w:type="dxa"/>
            </w:tcMar>
          </w:tcPr>
          <w:p w14:paraId="74341276" w14:textId="77777777" w:rsidR="00EB017E" w:rsidRPr="005A48E4" w:rsidRDefault="00EB017E" w:rsidP="00680D52">
            <w:pPr>
              <w:pStyle w:val="TableText"/>
              <w:jc w:val="right"/>
              <w:rPr>
                <w:sz w:val="13"/>
                <w:szCs w:val="13"/>
              </w:rPr>
            </w:pPr>
            <w:r w:rsidRPr="005A48E4">
              <w:rPr>
                <w:sz w:val="13"/>
                <w:szCs w:val="13"/>
              </w:rPr>
              <w:t>76.1 (66.5,</w:t>
            </w:r>
            <w:r w:rsidR="005A48E4">
              <w:rPr>
                <w:sz w:val="13"/>
                <w:szCs w:val="13"/>
              </w:rPr>
              <w:t> </w:t>
            </w:r>
            <w:r w:rsidRPr="005A48E4">
              <w:rPr>
                <w:sz w:val="13"/>
                <w:szCs w:val="13"/>
              </w:rPr>
              <w:t>83.6)</w:t>
            </w:r>
          </w:p>
        </w:tc>
        <w:tc>
          <w:tcPr>
            <w:tcW w:w="344" w:type="dxa"/>
            <w:tcMar>
              <w:left w:w="58" w:type="dxa"/>
              <w:right w:w="58" w:type="dxa"/>
            </w:tcMar>
          </w:tcPr>
          <w:p w14:paraId="0CB53913" w14:textId="77777777" w:rsidR="00EB017E" w:rsidRPr="005A48E4" w:rsidRDefault="00EB017E" w:rsidP="00680D52">
            <w:pPr>
              <w:pStyle w:val="TableText"/>
              <w:jc w:val="right"/>
              <w:rPr>
                <w:sz w:val="13"/>
                <w:szCs w:val="13"/>
              </w:rPr>
            </w:pPr>
            <w:r w:rsidRPr="005A48E4">
              <w:rPr>
                <w:sz w:val="13"/>
                <w:szCs w:val="13"/>
              </w:rPr>
              <w:t>#</w:t>
            </w:r>
          </w:p>
        </w:tc>
        <w:tc>
          <w:tcPr>
            <w:tcW w:w="635" w:type="dxa"/>
            <w:tcMar>
              <w:left w:w="58" w:type="dxa"/>
              <w:right w:w="58" w:type="dxa"/>
            </w:tcMar>
          </w:tcPr>
          <w:p w14:paraId="1F5B394A" w14:textId="77777777" w:rsidR="00EB017E" w:rsidRPr="005A48E4" w:rsidRDefault="00EB017E" w:rsidP="00680D52">
            <w:pPr>
              <w:pStyle w:val="TableText"/>
              <w:jc w:val="right"/>
              <w:rPr>
                <w:sz w:val="13"/>
                <w:szCs w:val="13"/>
              </w:rPr>
            </w:pPr>
            <w:r w:rsidRPr="005A48E4">
              <w:rPr>
                <w:sz w:val="13"/>
                <w:szCs w:val="13"/>
              </w:rPr>
              <w:t>–</w:t>
            </w:r>
          </w:p>
        </w:tc>
        <w:tc>
          <w:tcPr>
            <w:tcW w:w="735" w:type="dxa"/>
            <w:tcMar>
              <w:left w:w="58" w:type="dxa"/>
              <w:right w:w="58" w:type="dxa"/>
            </w:tcMar>
          </w:tcPr>
          <w:p w14:paraId="09B185E2" w14:textId="77777777" w:rsidR="00EB017E" w:rsidRPr="005A48E4" w:rsidRDefault="00EB017E" w:rsidP="00680D52">
            <w:pPr>
              <w:pStyle w:val="TableText"/>
              <w:jc w:val="right"/>
              <w:rPr>
                <w:sz w:val="13"/>
                <w:szCs w:val="13"/>
              </w:rPr>
            </w:pPr>
            <w:r w:rsidRPr="005A48E4">
              <w:rPr>
                <w:sz w:val="13"/>
                <w:szCs w:val="13"/>
              </w:rPr>
              <w:t>–</w:t>
            </w:r>
          </w:p>
        </w:tc>
        <w:tc>
          <w:tcPr>
            <w:tcW w:w="408" w:type="dxa"/>
            <w:tcMar>
              <w:left w:w="58" w:type="dxa"/>
              <w:right w:w="58" w:type="dxa"/>
            </w:tcMar>
          </w:tcPr>
          <w:p w14:paraId="7A69D2D7" w14:textId="77777777" w:rsidR="00EB017E" w:rsidRPr="005A48E4" w:rsidRDefault="00EB017E" w:rsidP="00680D52">
            <w:pPr>
              <w:pStyle w:val="TableText"/>
              <w:jc w:val="right"/>
              <w:rPr>
                <w:sz w:val="13"/>
                <w:szCs w:val="13"/>
              </w:rPr>
            </w:pPr>
            <w:r w:rsidRPr="005A48E4">
              <w:rPr>
                <w:sz w:val="13"/>
                <w:szCs w:val="13"/>
              </w:rPr>
              <w:t>36</w:t>
            </w:r>
          </w:p>
        </w:tc>
        <w:tc>
          <w:tcPr>
            <w:tcW w:w="657" w:type="dxa"/>
            <w:tcMar>
              <w:left w:w="58" w:type="dxa"/>
              <w:right w:w="58" w:type="dxa"/>
            </w:tcMar>
          </w:tcPr>
          <w:p w14:paraId="48CA7498" w14:textId="77777777" w:rsidR="00EB017E" w:rsidRPr="005A48E4" w:rsidRDefault="00EB017E" w:rsidP="00680D52">
            <w:pPr>
              <w:pStyle w:val="TableText"/>
              <w:jc w:val="right"/>
              <w:rPr>
                <w:sz w:val="13"/>
                <w:szCs w:val="13"/>
              </w:rPr>
            </w:pPr>
            <w:r w:rsidRPr="005A48E4">
              <w:rPr>
                <w:sz w:val="13"/>
                <w:szCs w:val="13"/>
              </w:rPr>
              <w:t>99</w:t>
            </w:r>
          </w:p>
        </w:tc>
        <w:tc>
          <w:tcPr>
            <w:tcW w:w="713" w:type="dxa"/>
            <w:tcMar>
              <w:left w:w="58" w:type="dxa"/>
              <w:right w:w="58" w:type="dxa"/>
            </w:tcMar>
          </w:tcPr>
          <w:p w14:paraId="19E7DA0A" w14:textId="77777777" w:rsidR="00EB017E" w:rsidRPr="005A48E4" w:rsidRDefault="00EB017E" w:rsidP="00680D52">
            <w:pPr>
              <w:pStyle w:val="TableText"/>
              <w:jc w:val="right"/>
              <w:rPr>
                <w:sz w:val="13"/>
                <w:szCs w:val="13"/>
              </w:rPr>
            </w:pPr>
            <w:r w:rsidRPr="005A48E4">
              <w:rPr>
                <w:sz w:val="13"/>
                <w:szCs w:val="13"/>
              </w:rPr>
              <w:t>20.9 (16.2,</w:t>
            </w:r>
            <w:r w:rsidR="005A48E4">
              <w:rPr>
                <w:sz w:val="13"/>
                <w:szCs w:val="13"/>
              </w:rPr>
              <w:t> </w:t>
            </w:r>
            <w:r w:rsidRPr="005A48E4">
              <w:rPr>
                <w:sz w:val="13"/>
                <w:szCs w:val="13"/>
              </w:rPr>
              <w:t>26.6)</w:t>
            </w:r>
          </w:p>
        </w:tc>
        <w:tc>
          <w:tcPr>
            <w:tcW w:w="408" w:type="dxa"/>
            <w:tcMar>
              <w:left w:w="58" w:type="dxa"/>
              <w:right w:w="58" w:type="dxa"/>
            </w:tcMar>
          </w:tcPr>
          <w:p w14:paraId="6EA47DE8" w14:textId="77777777" w:rsidR="00EB017E" w:rsidRPr="005A48E4" w:rsidRDefault="00EB017E" w:rsidP="00680D52">
            <w:pPr>
              <w:pStyle w:val="TableText"/>
              <w:jc w:val="right"/>
              <w:rPr>
                <w:sz w:val="13"/>
                <w:szCs w:val="13"/>
              </w:rPr>
            </w:pPr>
            <w:r w:rsidRPr="005A48E4">
              <w:rPr>
                <w:sz w:val="13"/>
                <w:szCs w:val="13"/>
              </w:rPr>
              <w:t>116</w:t>
            </w:r>
          </w:p>
        </w:tc>
        <w:tc>
          <w:tcPr>
            <w:tcW w:w="679" w:type="dxa"/>
            <w:tcMar>
              <w:left w:w="58" w:type="dxa"/>
              <w:right w:w="58" w:type="dxa"/>
            </w:tcMar>
          </w:tcPr>
          <w:p w14:paraId="377F2A0A" w14:textId="77777777" w:rsidR="00EB017E" w:rsidRPr="005A48E4" w:rsidRDefault="00EB017E" w:rsidP="00680D52">
            <w:pPr>
              <w:pStyle w:val="TableText"/>
              <w:jc w:val="right"/>
              <w:rPr>
                <w:sz w:val="13"/>
                <w:szCs w:val="13"/>
              </w:rPr>
            </w:pPr>
            <w:r w:rsidRPr="005A48E4">
              <w:rPr>
                <w:sz w:val="13"/>
                <w:szCs w:val="13"/>
              </w:rPr>
              <w:t>340</w:t>
            </w:r>
          </w:p>
        </w:tc>
        <w:tc>
          <w:tcPr>
            <w:tcW w:w="826" w:type="dxa"/>
            <w:tcMar>
              <w:left w:w="58" w:type="dxa"/>
              <w:right w:w="58" w:type="dxa"/>
            </w:tcMar>
          </w:tcPr>
          <w:p w14:paraId="247C85BF" w14:textId="77777777" w:rsidR="00EB017E" w:rsidRPr="005A48E4" w:rsidRDefault="00EB017E" w:rsidP="00680D52">
            <w:pPr>
              <w:pStyle w:val="TableText"/>
              <w:jc w:val="right"/>
              <w:rPr>
                <w:sz w:val="13"/>
                <w:szCs w:val="13"/>
              </w:rPr>
            </w:pPr>
            <w:r w:rsidRPr="005A48E4">
              <w:rPr>
                <w:sz w:val="13"/>
                <w:szCs w:val="13"/>
              </w:rPr>
              <w:t>71.9 (65.1,</w:t>
            </w:r>
            <w:r w:rsidR="005A48E4">
              <w:rPr>
                <w:sz w:val="13"/>
                <w:szCs w:val="13"/>
              </w:rPr>
              <w:t> </w:t>
            </w:r>
            <w:r w:rsidRPr="005A48E4">
              <w:rPr>
                <w:sz w:val="13"/>
                <w:szCs w:val="13"/>
              </w:rPr>
              <w:t>77.8)</w:t>
            </w:r>
          </w:p>
        </w:tc>
        <w:tc>
          <w:tcPr>
            <w:tcW w:w="408" w:type="dxa"/>
            <w:tcMar>
              <w:left w:w="58" w:type="dxa"/>
              <w:right w:w="58" w:type="dxa"/>
            </w:tcMar>
          </w:tcPr>
          <w:p w14:paraId="5823A822" w14:textId="77777777" w:rsidR="00EB017E" w:rsidRPr="005A48E4" w:rsidRDefault="00EB017E" w:rsidP="00680D52">
            <w:pPr>
              <w:pStyle w:val="TableText"/>
              <w:jc w:val="right"/>
              <w:rPr>
                <w:sz w:val="13"/>
                <w:szCs w:val="13"/>
              </w:rPr>
            </w:pPr>
            <w:r w:rsidRPr="005A48E4">
              <w:rPr>
                <w:sz w:val="13"/>
                <w:szCs w:val="13"/>
              </w:rPr>
              <w:t>7</w:t>
            </w:r>
          </w:p>
        </w:tc>
        <w:tc>
          <w:tcPr>
            <w:tcW w:w="656" w:type="dxa"/>
            <w:tcMar>
              <w:left w:w="58" w:type="dxa"/>
              <w:right w:w="58" w:type="dxa"/>
            </w:tcMar>
          </w:tcPr>
          <w:p w14:paraId="6AF5FF95" w14:textId="77777777" w:rsidR="00EB017E" w:rsidRPr="005A48E4" w:rsidRDefault="00EB017E" w:rsidP="00680D52">
            <w:pPr>
              <w:pStyle w:val="TableText"/>
              <w:jc w:val="right"/>
              <w:rPr>
                <w:sz w:val="13"/>
                <w:szCs w:val="13"/>
              </w:rPr>
            </w:pPr>
            <w:r w:rsidRPr="005A48E4">
              <w:rPr>
                <w:sz w:val="13"/>
                <w:szCs w:val="13"/>
              </w:rPr>
              <w:t>28</w:t>
            </w:r>
          </w:p>
        </w:tc>
        <w:tc>
          <w:tcPr>
            <w:tcW w:w="785" w:type="dxa"/>
            <w:tcMar>
              <w:left w:w="58" w:type="dxa"/>
              <w:right w:w="58" w:type="dxa"/>
            </w:tcMar>
          </w:tcPr>
          <w:p w14:paraId="7A5AF228" w14:textId="77777777" w:rsidR="00EB017E" w:rsidRPr="005A48E4" w:rsidRDefault="00EB017E" w:rsidP="00680D52">
            <w:pPr>
              <w:pStyle w:val="TableText"/>
              <w:jc w:val="right"/>
              <w:rPr>
                <w:sz w:val="13"/>
                <w:szCs w:val="13"/>
              </w:rPr>
            </w:pPr>
            <w:r w:rsidRPr="005A48E4">
              <w:rPr>
                <w:sz w:val="13"/>
                <w:szCs w:val="13"/>
              </w:rPr>
              <w:t>5.9</w:t>
            </w:r>
            <w:r w:rsidR="00680D52">
              <w:rPr>
                <w:sz w:val="13"/>
                <w:szCs w:val="13"/>
              </w:rPr>
              <w:br/>
            </w:r>
            <w:r w:rsidRPr="005A48E4">
              <w:rPr>
                <w:sz w:val="13"/>
                <w:szCs w:val="13"/>
              </w:rPr>
              <w:t>(2.7,</w:t>
            </w:r>
            <w:r w:rsidR="005A48E4">
              <w:rPr>
                <w:sz w:val="13"/>
                <w:szCs w:val="13"/>
              </w:rPr>
              <w:t> </w:t>
            </w:r>
            <w:r w:rsidRPr="005A48E4">
              <w:rPr>
                <w:sz w:val="13"/>
                <w:szCs w:val="13"/>
              </w:rPr>
              <w:t>12.4)</w:t>
            </w:r>
          </w:p>
        </w:tc>
      </w:tr>
    </w:tbl>
    <w:p w14:paraId="0850B4FA" w14:textId="77777777" w:rsidR="00EB017E" w:rsidRPr="006A3EA0" w:rsidRDefault="00EB017E" w:rsidP="00EB017E">
      <w:pPr>
        <w:pStyle w:val="TableNotes"/>
      </w:pPr>
      <w:r>
        <w:t>Notes</w:t>
      </w:r>
    </w:p>
    <w:p w14:paraId="1B3B8DED" w14:textId="77777777" w:rsidR="00EB017E" w:rsidRPr="005B471D" w:rsidRDefault="00EB017E" w:rsidP="00EB017E">
      <w:pPr>
        <w:pStyle w:val="TableNotes"/>
      </w:pPr>
      <w:r w:rsidRPr="005B471D">
        <w:t xml:space="preserve">Denominator: Among those that said ‘Yes’ to </w:t>
      </w:r>
      <w:r>
        <w:t>using the internet for mental health issues.</w:t>
      </w:r>
    </w:p>
    <w:p w14:paraId="56C06BED" w14:textId="77777777" w:rsidR="00EB017E" w:rsidRPr="005B471D" w:rsidRDefault="00EB017E" w:rsidP="00EB017E">
      <w:pPr>
        <w:pStyle w:val="TableNotes"/>
      </w:pPr>
      <w:r w:rsidRPr="005B471D">
        <w:t>Based on weighted counts, 97 (1.6%) Transitioned ADF and 39 (0.4%) 2015 Regular ADF had a mi</w:t>
      </w:r>
      <w:r>
        <w:t xml:space="preserve">ssing value for this question. </w:t>
      </w:r>
      <w:r w:rsidRPr="005B471D">
        <w:t>However, distributions are calculated by including those with a missing value to allow for correct weighted totals</w:t>
      </w:r>
      <w:r>
        <w:t xml:space="preserve">. </w:t>
      </w:r>
    </w:p>
    <w:p w14:paraId="2EF95118" w14:textId="77777777" w:rsidR="00EB017E" w:rsidRDefault="00EB017E" w:rsidP="00EB017E">
      <w:pPr>
        <w:pStyle w:val="TableNotes"/>
      </w:pPr>
      <w:r w:rsidRPr="005B471D">
        <w:t>Probable 30-day disorder = PCL ≥ 53 or K10 ≥ 25; No probable 30-day dis</w:t>
      </w:r>
      <w:r>
        <w:t xml:space="preserve">order = PCL &lt; 53 and K10 &lt; 25. </w:t>
      </w:r>
    </w:p>
    <w:p w14:paraId="2DA8D212" w14:textId="77777777" w:rsidR="00EB017E" w:rsidRDefault="00EB017E" w:rsidP="00EB017E">
      <w:pPr>
        <w:pStyle w:val="TableNotes"/>
        <w:rPr>
          <w:rFonts w:cs="Arial"/>
        </w:rPr>
      </w:pPr>
      <w:r>
        <w:t>95%CI = 95% confidence interval.</w:t>
      </w:r>
      <w:r w:rsidRPr="00A63064">
        <w:rPr>
          <w:rFonts w:cs="Arial"/>
        </w:rPr>
        <w:t xml:space="preserve"> </w:t>
      </w:r>
    </w:p>
    <w:p w14:paraId="408FD9E6" w14:textId="77777777" w:rsidR="00EB017E" w:rsidRDefault="00EB017E" w:rsidP="00EB017E">
      <w:pPr>
        <w:pStyle w:val="TableNotes"/>
      </w:pPr>
      <w:r>
        <w:t># = Cell size too small to be reported.</w:t>
      </w:r>
    </w:p>
    <w:p w14:paraId="69A732D4" w14:textId="77777777" w:rsidR="00B76B5B" w:rsidRDefault="00B76B5B" w:rsidP="00B76B5B"/>
    <w:p w14:paraId="4E55ECE5" w14:textId="77777777" w:rsidR="00B76B5B" w:rsidRDefault="00B76B5B" w:rsidP="00B76B5B">
      <w:pPr>
        <w:sectPr w:rsidR="00B76B5B" w:rsidSect="00980AE4">
          <w:footerReference w:type="even" r:id="rId83"/>
          <w:footerReference w:type="default" r:id="rId84"/>
          <w:pgSz w:w="14170" w:h="9979" w:orient="landscape" w:code="243"/>
          <w:pgMar w:top="1872" w:right="1440" w:bottom="1152" w:left="1440" w:header="576" w:footer="576" w:gutter="0"/>
          <w:cols w:space="708"/>
          <w:docGrid w:linePitch="360"/>
        </w:sectPr>
      </w:pPr>
    </w:p>
    <w:p w14:paraId="516DED06" w14:textId="77777777" w:rsidR="00EB017E" w:rsidRPr="005B471D" w:rsidRDefault="00EB017E" w:rsidP="00EB017E">
      <w:pPr>
        <w:pStyle w:val="Heading2"/>
        <w:numPr>
          <w:ilvl w:val="1"/>
          <w:numId w:val="1"/>
        </w:numPr>
        <w:ind w:left="720" w:hanging="720"/>
      </w:pPr>
      <w:bookmarkStart w:id="801" w:name="_Toc509917455"/>
      <w:bookmarkStart w:id="802" w:name="_Toc515374515"/>
      <w:bookmarkStart w:id="803" w:name="_Toc518566415"/>
      <w:bookmarkStart w:id="804" w:name="_Toc528932699"/>
      <w:bookmarkStart w:id="805" w:name="_Toc531859236"/>
      <w:r w:rsidRPr="005B471D">
        <w:t xml:space="preserve">Timing of accessing information about </w:t>
      </w:r>
      <w:r>
        <w:t>m</w:t>
      </w:r>
      <w:r w:rsidRPr="005B471D">
        <w:t xml:space="preserve">ental </w:t>
      </w:r>
      <w:r>
        <w:t>h</w:t>
      </w:r>
      <w:r w:rsidRPr="005B471D">
        <w:t xml:space="preserve">ealth on the </w:t>
      </w:r>
      <w:r>
        <w:t>internet</w:t>
      </w:r>
      <w:bookmarkEnd w:id="801"/>
      <w:bookmarkEnd w:id="802"/>
      <w:bookmarkEnd w:id="803"/>
      <w:bookmarkEnd w:id="804"/>
      <w:bookmarkEnd w:id="805"/>
      <w:r w:rsidRPr="005B471D">
        <w:t xml:space="preserve"> </w:t>
      </w:r>
    </w:p>
    <w:p w14:paraId="012AE53C" w14:textId="77777777" w:rsidR="00EB017E" w:rsidRPr="005B471D" w:rsidRDefault="00EB017E" w:rsidP="00EB017E">
      <w:pPr>
        <w:pStyle w:val="Heading3"/>
        <w:numPr>
          <w:ilvl w:val="2"/>
          <w:numId w:val="1"/>
        </w:numPr>
      </w:pPr>
      <w:bookmarkStart w:id="806" w:name="_Toc509917456"/>
      <w:bookmarkStart w:id="807" w:name="_Toc515374516"/>
      <w:bookmarkStart w:id="808" w:name="_Toc518566416"/>
      <w:bookmarkStart w:id="809" w:name="_Toc528932700"/>
      <w:bookmarkStart w:id="810" w:name="_Toc531859237"/>
      <w:r>
        <w:t xml:space="preserve">Timing of access for </w:t>
      </w:r>
      <w:r w:rsidRPr="005B471D">
        <w:t>Transitioned ADF and 2015 Regular ADF</w:t>
      </w:r>
      <w:bookmarkEnd w:id="806"/>
      <w:bookmarkEnd w:id="807"/>
      <w:bookmarkEnd w:id="808"/>
      <w:r>
        <w:t xml:space="preserve"> overall</w:t>
      </w:r>
      <w:bookmarkEnd w:id="809"/>
      <w:bookmarkEnd w:id="810"/>
    </w:p>
    <w:p w14:paraId="65A8F168" w14:textId="77777777" w:rsidR="00EB017E" w:rsidRDefault="00EB017E" w:rsidP="00EB017E">
      <w:pPr>
        <w:rPr>
          <w:rFonts w:cs="Calibri"/>
        </w:rPr>
      </w:pPr>
      <w:r>
        <w:t xml:space="preserve">Of the Transitioned ADF and 2015 Regular ADF who </w:t>
      </w:r>
      <w:r w:rsidRPr="00A872E0">
        <w:t xml:space="preserve">reported using </w:t>
      </w:r>
      <w:r>
        <w:t>the internet</w:t>
      </w:r>
      <w:r w:rsidRPr="00A872E0">
        <w:t xml:space="preserve"> to </w:t>
      </w:r>
      <w:r>
        <w:t xml:space="preserve">seek help or information for or </w:t>
      </w:r>
      <w:r w:rsidRPr="00A872E0">
        <w:t xml:space="preserve">manage mental health </w:t>
      </w:r>
      <w:r>
        <w:t xml:space="preserve">issues </w:t>
      </w:r>
      <w:r w:rsidRPr="00A872E0">
        <w:t>more broadly</w:t>
      </w:r>
      <w:r>
        <w:t xml:space="preserve">, most </w:t>
      </w:r>
      <w:r w:rsidRPr="00A44A0B">
        <w:rPr>
          <w:rFonts w:cs="Calibri"/>
        </w:rPr>
        <w:t>report</w:t>
      </w:r>
      <w:r>
        <w:rPr>
          <w:rFonts w:cs="Calibri"/>
        </w:rPr>
        <w:t>ed</w:t>
      </w:r>
      <w:r w:rsidRPr="00A44A0B">
        <w:rPr>
          <w:rFonts w:cs="Calibri"/>
        </w:rPr>
        <w:t xml:space="preserve"> </w:t>
      </w:r>
      <w:r>
        <w:rPr>
          <w:rFonts w:cs="Calibri"/>
        </w:rPr>
        <w:t>accessing</w:t>
      </w:r>
      <w:r w:rsidRPr="00A44A0B">
        <w:rPr>
          <w:rFonts w:cs="Calibri"/>
        </w:rPr>
        <w:t xml:space="preserve"> the </w:t>
      </w:r>
      <w:r>
        <w:rPr>
          <w:rFonts w:cs="Calibri"/>
        </w:rPr>
        <w:t>internet</w:t>
      </w:r>
      <w:r w:rsidRPr="00A44A0B">
        <w:rPr>
          <w:rFonts w:cs="Calibri"/>
        </w:rPr>
        <w:t xml:space="preserve"> for </w:t>
      </w:r>
      <w:r>
        <w:rPr>
          <w:rFonts w:cs="Calibri"/>
        </w:rPr>
        <w:t xml:space="preserve">their own </w:t>
      </w:r>
      <w:r w:rsidRPr="00A44A0B">
        <w:rPr>
          <w:rFonts w:cs="Calibri"/>
        </w:rPr>
        <w:t xml:space="preserve">mental health </w:t>
      </w:r>
      <w:r>
        <w:rPr>
          <w:rFonts w:cs="Calibri"/>
        </w:rPr>
        <w:t>between</w:t>
      </w:r>
      <w:r w:rsidRPr="00A44A0B">
        <w:rPr>
          <w:rFonts w:cs="Calibri"/>
        </w:rPr>
        <w:t xml:space="preserve"> 8</w:t>
      </w:r>
      <w:r>
        <w:rPr>
          <w:rFonts w:cs="Calibri"/>
        </w:rPr>
        <w:t xml:space="preserve"> pm</w:t>
      </w:r>
      <w:r w:rsidRPr="00A44A0B">
        <w:rPr>
          <w:rFonts w:cs="Calibri"/>
        </w:rPr>
        <w:t xml:space="preserve"> and 12 midnight </w:t>
      </w:r>
      <w:r w:rsidRPr="00FF1925">
        <w:rPr>
          <w:rFonts w:cs="Calibri"/>
        </w:rPr>
        <w:t>(40.6%</w:t>
      </w:r>
      <w:r>
        <w:rPr>
          <w:rFonts w:cs="Calibri"/>
        </w:rPr>
        <w:t xml:space="preserve"> and </w:t>
      </w:r>
      <w:r w:rsidRPr="00FF1925">
        <w:rPr>
          <w:rFonts w:cs="Calibri"/>
        </w:rPr>
        <w:t>42.8%)</w:t>
      </w:r>
      <w:r>
        <w:rPr>
          <w:rFonts w:cs="Calibri"/>
        </w:rPr>
        <w:t xml:space="preserve"> (</w:t>
      </w:r>
      <w:r>
        <w:t xml:space="preserve">Table </w:t>
      </w:r>
      <w:r>
        <w:rPr>
          <w:noProof/>
        </w:rPr>
        <w:t>7.3</w:t>
      </w:r>
      <w:r w:rsidRPr="0010531B">
        <w:rPr>
          <w:rFonts w:cs="Calibri"/>
        </w:rPr>
        <w:t xml:space="preserve"> and</w:t>
      </w:r>
      <w:r>
        <w:rPr>
          <w:rFonts w:cs="Calibri"/>
        </w:rPr>
        <w:t xml:space="preserve"> </w:t>
      </w:r>
      <w:r w:rsidRPr="00E65C01">
        <w:t xml:space="preserve">Figure </w:t>
      </w:r>
      <w:r>
        <w:rPr>
          <w:noProof/>
        </w:rPr>
        <w:t>7</w:t>
      </w:r>
      <w:r>
        <w:t>.</w:t>
      </w:r>
      <w:r>
        <w:rPr>
          <w:noProof/>
        </w:rPr>
        <w:t>2</w:t>
      </w:r>
      <w:r>
        <w:rPr>
          <w:rFonts w:cs="Calibri"/>
        </w:rPr>
        <w:t>)</w:t>
      </w:r>
      <w:r w:rsidRPr="00FF1925">
        <w:rPr>
          <w:rFonts w:cs="Calibri"/>
        </w:rPr>
        <w:t>.</w:t>
      </w:r>
      <w:r>
        <w:rPr>
          <w:rFonts w:cs="Calibri"/>
        </w:rPr>
        <w:t xml:space="preserve"> </w:t>
      </w:r>
      <w:r w:rsidRPr="00FF1925">
        <w:rPr>
          <w:rFonts w:cs="Calibri"/>
        </w:rPr>
        <w:t xml:space="preserve">When these groups were dichotomised for further analysis, </w:t>
      </w:r>
      <w:r>
        <w:rPr>
          <w:rFonts w:cs="Calibri"/>
        </w:rPr>
        <w:t>among the Transitioned ADF similar proportions reported accessing</w:t>
      </w:r>
      <w:r w:rsidRPr="00A44A0B">
        <w:rPr>
          <w:rFonts w:cs="Calibri"/>
        </w:rPr>
        <w:t xml:space="preserve"> the </w:t>
      </w:r>
      <w:r>
        <w:rPr>
          <w:rFonts w:cs="Calibri"/>
        </w:rPr>
        <w:t>internet</w:t>
      </w:r>
      <w:r w:rsidRPr="00A44A0B">
        <w:rPr>
          <w:rFonts w:cs="Calibri"/>
        </w:rPr>
        <w:t xml:space="preserve"> for </w:t>
      </w:r>
      <w:r>
        <w:rPr>
          <w:rFonts w:cs="Calibri"/>
        </w:rPr>
        <w:t xml:space="preserve">their own </w:t>
      </w:r>
      <w:r w:rsidRPr="00A44A0B">
        <w:rPr>
          <w:rFonts w:cs="Calibri"/>
        </w:rPr>
        <w:t>mental health</w:t>
      </w:r>
      <w:r>
        <w:rPr>
          <w:rFonts w:cs="Calibri"/>
        </w:rPr>
        <w:t xml:space="preserve"> between 9 am and 8 pm (46.4%) and between 8 pm and 9 am (47.7%). Among the 2015 Regular ADF, the opposite pattern emerged, where slightly more reported accessing</w:t>
      </w:r>
      <w:r w:rsidRPr="00A44A0B">
        <w:rPr>
          <w:rFonts w:cs="Calibri"/>
        </w:rPr>
        <w:t xml:space="preserve"> the </w:t>
      </w:r>
      <w:r>
        <w:rPr>
          <w:rFonts w:cs="Calibri"/>
        </w:rPr>
        <w:t>internet</w:t>
      </w:r>
      <w:r w:rsidRPr="00A44A0B">
        <w:rPr>
          <w:rFonts w:cs="Calibri"/>
        </w:rPr>
        <w:t xml:space="preserve"> for </w:t>
      </w:r>
      <w:r>
        <w:rPr>
          <w:rFonts w:cs="Calibri"/>
        </w:rPr>
        <w:t xml:space="preserve">their own </w:t>
      </w:r>
      <w:r w:rsidRPr="00A44A0B">
        <w:rPr>
          <w:rFonts w:cs="Calibri"/>
        </w:rPr>
        <w:t>mental health</w:t>
      </w:r>
      <w:r>
        <w:rPr>
          <w:rFonts w:cs="Calibri"/>
        </w:rPr>
        <w:t xml:space="preserve"> between 9 am and 8 pm (52.5%) than between 8 pm and 9 am (44.4%); however these differences were not statistically significant.</w:t>
      </w:r>
    </w:p>
    <w:p w14:paraId="1D420EFB" w14:textId="77777777" w:rsidR="00EB017E" w:rsidRPr="003038B1" w:rsidRDefault="00EB017E" w:rsidP="00EB017E">
      <w:pPr>
        <w:pStyle w:val="TableName"/>
      </w:pPr>
      <w:bookmarkStart w:id="811" w:name="_Ref509916613"/>
      <w:bookmarkStart w:id="812" w:name="_Toc501633233"/>
      <w:bookmarkStart w:id="813" w:name="_Toc509922893"/>
      <w:bookmarkStart w:id="814" w:name="_Toc515374668"/>
      <w:bookmarkStart w:id="815" w:name="_Toc528932343"/>
      <w:bookmarkStart w:id="816" w:name="_Toc531858022"/>
      <w:r>
        <w:t xml:space="preserve">Table </w:t>
      </w:r>
      <w:r>
        <w:rPr>
          <w:noProof/>
        </w:rPr>
        <w:t>7</w:t>
      </w:r>
      <w:r>
        <w:t>.</w:t>
      </w:r>
      <w:r>
        <w:rPr>
          <w:noProof/>
        </w:rPr>
        <w:t>3</w:t>
      </w:r>
      <w:bookmarkEnd w:id="811"/>
      <w:r>
        <w:tab/>
      </w:r>
      <w:r w:rsidRPr="0010531B">
        <w:t>Timing</w:t>
      </w:r>
      <w:r>
        <w:t xml:space="preserve"> of internet use</w:t>
      </w:r>
      <w:r w:rsidRPr="00BC49AE">
        <w:t xml:space="preserve"> to seek help or access information about </w:t>
      </w:r>
      <w:r>
        <w:t xml:space="preserve">one’s own </w:t>
      </w:r>
      <w:r w:rsidRPr="00BC49AE">
        <w:t>mental health</w:t>
      </w:r>
      <w:r>
        <w:t xml:space="preserve"> </w:t>
      </w:r>
      <w:bookmarkEnd w:id="812"/>
      <w:bookmarkEnd w:id="813"/>
      <w:bookmarkEnd w:id="814"/>
      <w:r>
        <w:t xml:space="preserve">among Transitioned ADF and 2015 Regular ADF </w:t>
      </w:r>
      <w:r w:rsidRPr="00A872E0">
        <w:rPr>
          <w:rFonts w:cs="Arial"/>
          <w:szCs w:val="22"/>
        </w:rPr>
        <w:t xml:space="preserve">who </w:t>
      </w:r>
      <w:r>
        <w:rPr>
          <w:rFonts w:cs="Arial"/>
          <w:szCs w:val="22"/>
        </w:rPr>
        <w:t>used 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815"/>
      <w:bookmarkEnd w:id="816"/>
      <w:r>
        <w:rPr>
          <w:rFonts w:cs="Arial"/>
          <w:szCs w:val="22"/>
        </w:rPr>
        <w:t xml:space="preserve"> </w:t>
      </w:r>
    </w:p>
    <w:tbl>
      <w:tblPr>
        <w:tblW w:w="5000" w:type="pct"/>
        <w:tblLayout w:type="fixed"/>
        <w:tblCellMar>
          <w:left w:w="115" w:type="dxa"/>
          <w:right w:w="115" w:type="dxa"/>
        </w:tblCellMar>
        <w:tblLook w:val="0000" w:firstRow="0" w:lastRow="0" w:firstColumn="0" w:lastColumn="0" w:noHBand="0" w:noVBand="0"/>
        <w:tblDescription w:val="Table 7.3 Timing of internet use to seek help or access information about one’s own mental health among Transitioned ADF and 2015 Regular ADF who used the internet to seek help or information for or manage mental health issues "/>
      </w:tblPr>
      <w:tblGrid>
        <w:gridCol w:w="2531"/>
        <w:gridCol w:w="530"/>
        <w:gridCol w:w="705"/>
        <w:gridCol w:w="1044"/>
        <w:gridCol w:w="540"/>
        <w:gridCol w:w="705"/>
        <w:gridCol w:w="1034"/>
      </w:tblGrid>
      <w:tr w:rsidR="00EB017E" w:rsidRPr="00BC49AE" w14:paraId="2BC191EF" w14:textId="77777777" w:rsidTr="00680D52">
        <w:trPr>
          <w:cantSplit/>
        </w:trPr>
        <w:tc>
          <w:tcPr>
            <w:tcW w:w="2600" w:type="dxa"/>
            <w:tcBorders>
              <w:top w:val="single" w:sz="4" w:space="0" w:color="auto"/>
              <w:left w:val="single" w:sz="4" w:space="0" w:color="auto"/>
              <w:right w:val="single" w:sz="4" w:space="0" w:color="auto"/>
            </w:tcBorders>
            <w:shd w:val="clear" w:color="auto" w:fill="auto"/>
            <w:tcMar>
              <w:left w:w="80" w:type="dxa"/>
              <w:right w:w="80" w:type="dxa"/>
            </w:tcMar>
          </w:tcPr>
          <w:p w14:paraId="0A457D37" w14:textId="77777777" w:rsidR="00EB017E" w:rsidRPr="00494067" w:rsidRDefault="00EB017E" w:rsidP="000A2491">
            <w:pPr>
              <w:pStyle w:val="TableText"/>
              <w:rPr>
                <w:b/>
              </w:rPr>
            </w:pPr>
          </w:p>
        </w:tc>
        <w:tc>
          <w:tcPr>
            <w:tcW w:w="2329"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26E16C24" w14:textId="77777777" w:rsidR="00EB017E" w:rsidRPr="00494067" w:rsidRDefault="00EB017E" w:rsidP="00680D52">
            <w:pPr>
              <w:pStyle w:val="TableText"/>
              <w:jc w:val="center"/>
              <w:rPr>
                <w:b/>
              </w:rPr>
            </w:pPr>
            <w:r w:rsidRPr="00494067">
              <w:rPr>
                <w:b/>
              </w:rPr>
              <w:t>Transitioned ADF</w:t>
            </w:r>
            <w:r w:rsidR="00680D52">
              <w:rPr>
                <w:b/>
              </w:rPr>
              <w:br/>
            </w:r>
            <w:r w:rsidRPr="00494067">
              <w:rPr>
                <w:b/>
              </w:rPr>
              <w:t>n=6116</w:t>
            </w:r>
          </w:p>
        </w:tc>
        <w:tc>
          <w:tcPr>
            <w:tcW w:w="2330"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30FE6DA8" w14:textId="77777777" w:rsidR="00EB017E" w:rsidRPr="00494067" w:rsidRDefault="00EB017E" w:rsidP="00680D52">
            <w:pPr>
              <w:pStyle w:val="TableText"/>
              <w:jc w:val="center"/>
              <w:rPr>
                <w:b/>
              </w:rPr>
            </w:pPr>
            <w:r w:rsidRPr="00494067">
              <w:rPr>
                <w:b/>
              </w:rPr>
              <w:t>2015 Regular ADF</w:t>
            </w:r>
            <w:r w:rsidR="00680D52">
              <w:rPr>
                <w:b/>
              </w:rPr>
              <w:br/>
            </w:r>
            <w:r w:rsidRPr="00494067">
              <w:rPr>
                <w:b/>
              </w:rPr>
              <w:t>n=9042</w:t>
            </w:r>
          </w:p>
        </w:tc>
      </w:tr>
      <w:tr w:rsidR="00EB017E" w:rsidRPr="00BC49AE" w14:paraId="33BC8146" w14:textId="77777777" w:rsidTr="005C60DC">
        <w:trPr>
          <w:cantSplit/>
        </w:trPr>
        <w:tc>
          <w:tcPr>
            <w:tcW w:w="2600" w:type="dxa"/>
            <w:tcBorders>
              <w:left w:val="single" w:sz="4" w:space="0" w:color="auto"/>
              <w:bottom w:val="single" w:sz="4" w:space="0" w:color="auto"/>
              <w:right w:val="single" w:sz="4" w:space="0" w:color="auto"/>
            </w:tcBorders>
            <w:shd w:val="clear" w:color="auto" w:fill="FFFFFF"/>
            <w:tcMar>
              <w:left w:w="80" w:type="dxa"/>
              <w:right w:w="80" w:type="dxa"/>
            </w:tcMar>
            <w:vAlign w:val="bottom"/>
          </w:tcPr>
          <w:p w14:paraId="3C0857BD" w14:textId="77777777" w:rsidR="00EB017E" w:rsidRPr="00494067" w:rsidRDefault="00EB017E" w:rsidP="005C60DC">
            <w:pPr>
              <w:pStyle w:val="TableText"/>
              <w:rPr>
                <w:b/>
              </w:rPr>
            </w:pPr>
            <w:r w:rsidRPr="00494067">
              <w:rPr>
                <w:b/>
              </w:rPr>
              <w:t>Timing</w:t>
            </w:r>
          </w:p>
        </w:tc>
        <w:tc>
          <w:tcPr>
            <w:tcW w:w="540"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271AC64D" w14:textId="77777777" w:rsidR="00EB017E" w:rsidRPr="00494067" w:rsidRDefault="00EB017E" w:rsidP="005C60DC">
            <w:pPr>
              <w:pStyle w:val="TableText"/>
              <w:jc w:val="right"/>
              <w:rPr>
                <w:b/>
              </w:rPr>
            </w:pPr>
            <w:r w:rsidRPr="00494067">
              <w:rPr>
                <w:b/>
              </w:rPr>
              <w:t>n</w:t>
            </w:r>
          </w:p>
        </w:tc>
        <w:tc>
          <w:tcPr>
            <w:tcW w:w="720"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49364D3E" w14:textId="77777777" w:rsidR="00EB017E" w:rsidRPr="00494067" w:rsidRDefault="00EB017E" w:rsidP="005C60DC">
            <w:pPr>
              <w:pStyle w:val="TableText"/>
              <w:jc w:val="right"/>
              <w:rPr>
                <w:b/>
              </w:rPr>
            </w:pPr>
            <w:r w:rsidRPr="00494067">
              <w:rPr>
                <w:b/>
              </w:rPr>
              <w:t>Weighted n</w:t>
            </w:r>
          </w:p>
        </w:tc>
        <w:tc>
          <w:tcPr>
            <w:tcW w:w="106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433E1220" w14:textId="77777777" w:rsidR="00EB017E" w:rsidRPr="00494067" w:rsidRDefault="00EB017E" w:rsidP="005C60DC">
            <w:pPr>
              <w:pStyle w:val="TableText"/>
              <w:jc w:val="right"/>
              <w:rPr>
                <w:b/>
              </w:rPr>
            </w:pPr>
            <w:r w:rsidRPr="00494067">
              <w:rPr>
                <w:b/>
              </w:rPr>
              <w:t>% (95%CI)</w:t>
            </w:r>
          </w:p>
        </w:tc>
        <w:tc>
          <w:tcPr>
            <w:tcW w:w="551"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3F4A1DDB" w14:textId="77777777" w:rsidR="00EB017E" w:rsidRPr="00494067" w:rsidRDefault="00EB017E" w:rsidP="005C60DC">
            <w:pPr>
              <w:pStyle w:val="TableText"/>
              <w:jc w:val="right"/>
              <w:rPr>
                <w:b/>
              </w:rPr>
            </w:pPr>
            <w:r w:rsidRPr="00494067">
              <w:rPr>
                <w:b/>
              </w:rPr>
              <w:t>n</w:t>
            </w:r>
          </w:p>
        </w:tc>
        <w:tc>
          <w:tcPr>
            <w:tcW w:w="720"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1968384C" w14:textId="77777777" w:rsidR="00EB017E" w:rsidRPr="00494067" w:rsidRDefault="00EB017E" w:rsidP="005C60DC">
            <w:pPr>
              <w:pStyle w:val="TableText"/>
              <w:jc w:val="right"/>
              <w:rPr>
                <w:b/>
              </w:rPr>
            </w:pPr>
            <w:r w:rsidRPr="00494067">
              <w:rPr>
                <w:b/>
              </w:rPr>
              <w:t>Weighted n</w:t>
            </w:r>
          </w:p>
        </w:tc>
        <w:tc>
          <w:tcPr>
            <w:tcW w:w="105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4E447800" w14:textId="77777777" w:rsidR="00EB017E" w:rsidRPr="00494067" w:rsidRDefault="00EB017E" w:rsidP="005C60DC">
            <w:pPr>
              <w:pStyle w:val="TableText"/>
              <w:jc w:val="right"/>
              <w:rPr>
                <w:b/>
              </w:rPr>
            </w:pPr>
            <w:r w:rsidRPr="00494067">
              <w:rPr>
                <w:b/>
              </w:rPr>
              <w:t>% (95%CI)</w:t>
            </w:r>
          </w:p>
        </w:tc>
      </w:tr>
      <w:tr w:rsidR="00EB017E" w:rsidRPr="00BC49AE" w14:paraId="3C5D5DBB" w14:textId="77777777" w:rsidTr="00680D52">
        <w:trPr>
          <w:cantSplit/>
        </w:trPr>
        <w:tc>
          <w:tcPr>
            <w:tcW w:w="2600"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61B83C22" w14:textId="77777777" w:rsidR="00EB017E" w:rsidRPr="000116C4" w:rsidRDefault="00EB017E" w:rsidP="000A2491">
            <w:pPr>
              <w:pStyle w:val="TableText"/>
            </w:pPr>
            <w:r w:rsidRPr="000116C4">
              <w:t>Between 6</w:t>
            </w:r>
            <w:r>
              <w:t xml:space="preserve"> am</w:t>
            </w:r>
            <w:r w:rsidRPr="000116C4">
              <w:t xml:space="preserve"> and 9</w:t>
            </w:r>
            <w:r>
              <w:t xml:space="preserve"> am</w:t>
            </w:r>
            <w:r w:rsidRPr="000116C4">
              <w:t xml:space="preserve"> (before work hours)</w:t>
            </w:r>
          </w:p>
        </w:tc>
        <w:tc>
          <w:tcPr>
            <w:tcW w:w="540" w:type="dxa"/>
            <w:tcBorders>
              <w:left w:val="single" w:sz="4" w:space="0" w:color="auto"/>
              <w:right w:val="single" w:sz="4" w:space="0" w:color="auto"/>
            </w:tcBorders>
            <w:shd w:val="clear" w:color="auto" w:fill="D4E4FF" w:themeFill="text2" w:themeFillTint="1A"/>
            <w:tcMar>
              <w:left w:w="80" w:type="dxa"/>
              <w:right w:w="80" w:type="dxa"/>
            </w:tcMar>
          </w:tcPr>
          <w:p w14:paraId="73E7DF28" w14:textId="77777777" w:rsidR="00EB017E" w:rsidRPr="000116C4" w:rsidRDefault="00EB017E" w:rsidP="000A2491">
            <w:pPr>
              <w:pStyle w:val="TableText"/>
              <w:jc w:val="right"/>
            </w:pPr>
            <w:r w:rsidRPr="000116C4">
              <w:t>30</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2168F692" w14:textId="77777777" w:rsidR="00EB017E" w:rsidRPr="000116C4" w:rsidRDefault="00EB017E" w:rsidP="000A2491">
            <w:pPr>
              <w:pStyle w:val="TableText"/>
              <w:jc w:val="right"/>
            </w:pPr>
            <w:r w:rsidRPr="000116C4">
              <w:t>192</w:t>
            </w:r>
          </w:p>
        </w:tc>
        <w:tc>
          <w:tcPr>
            <w:tcW w:w="1069" w:type="dxa"/>
            <w:tcBorders>
              <w:left w:val="single" w:sz="4" w:space="0" w:color="auto"/>
              <w:right w:val="single" w:sz="4" w:space="0" w:color="auto"/>
            </w:tcBorders>
            <w:shd w:val="clear" w:color="auto" w:fill="D4E4FF" w:themeFill="text2" w:themeFillTint="1A"/>
            <w:tcMar>
              <w:left w:w="80" w:type="dxa"/>
              <w:right w:w="80" w:type="dxa"/>
            </w:tcMar>
          </w:tcPr>
          <w:p w14:paraId="52C80E63" w14:textId="77777777" w:rsidR="00EB017E" w:rsidRPr="000116C4" w:rsidRDefault="00EB017E" w:rsidP="000A2491">
            <w:pPr>
              <w:pStyle w:val="TableText"/>
              <w:jc w:val="right"/>
            </w:pPr>
            <w:r w:rsidRPr="000116C4">
              <w:t>3.1 (2.0</w:t>
            </w:r>
            <w:r>
              <w:t xml:space="preserve">, </w:t>
            </w:r>
            <w:r w:rsidRPr="000116C4">
              <w:t>4.8)</w:t>
            </w:r>
          </w:p>
        </w:tc>
        <w:tc>
          <w:tcPr>
            <w:tcW w:w="551" w:type="dxa"/>
            <w:tcBorders>
              <w:left w:val="single" w:sz="4" w:space="0" w:color="auto"/>
              <w:right w:val="single" w:sz="4" w:space="0" w:color="auto"/>
            </w:tcBorders>
            <w:shd w:val="clear" w:color="auto" w:fill="D4E4FF" w:themeFill="text2" w:themeFillTint="1A"/>
            <w:tcMar>
              <w:left w:w="80" w:type="dxa"/>
              <w:right w:w="80" w:type="dxa"/>
            </w:tcMar>
          </w:tcPr>
          <w:p w14:paraId="5FDCD384" w14:textId="77777777" w:rsidR="00EB017E" w:rsidRPr="000116C4" w:rsidRDefault="00EB017E" w:rsidP="000A2491">
            <w:pPr>
              <w:pStyle w:val="TableText"/>
              <w:jc w:val="right"/>
            </w:pPr>
            <w:r w:rsidRPr="000116C4">
              <w:t>23</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35AB49D8" w14:textId="77777777" w:rsidR="00EB017E" w:rsidRPr="000116C4" w:rsidRDefault="00EB017E" w:rsidP="000A2491">
            <w:pPr>
              <w:pStyle w:val="TableText"/>
              <w:jc w:val="right"/>
            </w:pPr>
            <w:r w:rsidRPr="000116C4">
              <w:t>93</w:t>
            </w:r>
          </w:p>
        </w:tc>
        <w:tc>
          <w:tcPr>
            <w:tcW w:w="1059" w:type="dxa"/>
            <w:tcBorders>
              <w:left w:val="single" w:sz="4" w:space="0" w:color="auto"/>
              <w:right w:val="single" w:sz="4" w:space="0" w:color="auto"/>
            </w:tcBorders>
            <w:shd w:val="clear" w:color="auto" w:fill="D4E4FF" w:themeFill="text2" w:themeFillTint="1A"/>
            <w:tcMar>
              <w:left w:w="80" w:type="dxa"/>
              <w:right w:w="80" w:type="dxa"/>
            </w:tcMar>
          </w:tcPr>
          <w:p w14:paraId="073CA39C" w14:textId="77777777" w:rsidR="00EB017E" w:rsidRPr="000116C4" w:rsidRDefault="00EB017E" w:rsidP="000A2491">
            <w:pPr>
              <w:pStyle w:val="TableText"/>
              <w:jc w:val="right"/>
            </w:pPr>
            <w:r w:rsidRPr="000116C4">
              <w:t>1.0 (0.6</w:t>
            </w:r>
            <w:r>
              <w:t xml:space="preserve">, </w:t>
            </w:r>
            <w:r w:rsidRPr="000116C4">
              <w:t>1.7)</w:t>
            </w:r>
          </w:p>
        </w:tc>
      </w:tr>
      <w:tr w:rsidR="00EB017E" w:rsidRPr="00BC49AE" w14:paraId="7053B52E" w14:textId="77777777" w:rsidTr="00680D52">
        <w:trPr>
          <w:cantSplit/>
        </w:trPr>
        <w:tc>
          <w:tcPr>
            <w:tcW w:w="2600" w:type="dxa"/>
            <w:tcBorders>
              <w:left w:val="single" w:sz="4" w:space="0" w:color="auto"/>
              <w:right w:val="single" w:sz="4" w:space="0" w:color="auto"/>
            </w:tcBorders>
            <w:shd w:val="clear" w:color="auto" w:fill="auto"/>
            <w:tcMar>
              <w:left w:w="80" w:type="dxa"/>
              <w:right w:w="80" w:type="dxa"/>
            </w:tcMar>
          </w:tcPr>
          <w:p w14:paraId="64E1A267" w14:textId="77777777" w:rsidR="00EB017E" w:rsidRPr="000116C4" w:rsidRDefault="00EB017E" w:rsidP="000A2491">
            <w:pPr>
              <w:pStyle w:val="TableText"/>
            </w:pPr>
            <w:r w:rsidRPr="000116C4">
              <w:t>Between 9</w:t>
            </w:r>
            <w:r>
              <w:t xml:space="preserve"> am</w:t>
            </w:r>
            <w:r w:rsidRPr="000116C4">
              <w:t xml:space="preserve"> and 5</w:t>
            </w:r>
            <w:r>
              <w:t xml:space="preserve"> pm</w:t>
            </w:r>
            <w:r w:rsidRPr="000116C4">
              <w:t xml:space="preserve"> (during work hours)</w:t>
            </w:r>
          </w:p>
        </w:tc>
        <w:tc>
          <w:tcPr>
            <w:tcW w:w="540" w:type="dxa"/>
            <w:tcBorders>
              <w:left w:val="single" w:sz="4" w:space="0" w:color="auto"/>
              <w:right w:val="single" w:sz="4" w:space="0" w:color="auto"/>
            </w:tcBorders>
            <w:shd w:val="clear" w:color="auto" w:fill="auto"/>
            <w:tcMar>
              <w:left w:w="80" w:type="dxa"/>
              <w:right w:w="80" w:type="dxa"/>
            </w:tcMar>
          </w:tcPr>
          <w:p w14:paraId="3F203098" w14:textId="77777777" w:rsidR="00EB017E" w:rsidRPr="000116C4" w:rsidRDefault="00EB017E" w:rsidP="000A2491">
            <w:pPr>
              <w:pStyle w:val="TableText"/>
              <w:jc w:val="right"/>
            </w:pPr>
            <w:r w:rsidRPr="000116C4">
              <w:t>203</w:t>
            </w:r>
          </w:p>
        </w:tc>
        <w:tc>
          <w:tcPr>
            <w:tcW w:w="720" w:type="dxa"/>
            <w:tcBorders>
              <w:left w:val="single" w:sz="4" w:space="0" w:color="auto"/>
              <w:right w:val="single" w:sz="4" w:space="0" w:color="auto"/>
            </w:tcBorders>
            <w:shd w:val="clear" w:color="auto" w:fill="auto"/>
            <w:tcMar>
              <w:left w:w="80" w:type="dxa"/>
              <w:right w:w="80" w:type="dxa"/>
            </w:tcMar>
          </w:tcPr>
          <w:p w14:paraId="50F515A1" w14:textId="77777777" w:rsidR="00EB017E" w:rsidRPr="000116C4" w:rsidRDefault="00EB017E" w:rsidP="000A2491">
            <w:pPr>
              <w:pStyle w:val="TableText"/>
              <w:jc w:val="right"/>
            </w:pPr>
            <w:r w:rsidRPr="000116C4">
              <w:t>1336</w:t>
            </w:r>
          </w:p>
        </w:tc>
        <w:tc>
          <w:tcPr>
            <w:tcW w:w="1069" w:type="dxa"/>
            <w:tcBorders>
              <w:left w:val="single" w:sz="4" w:space="0" w:color="auto"/>
              <w:right w:val="single" w:sz="4" w:space="0" w:color="auto"/>
            </w:tcBorders>
            <w:shd w:val="clear" w:color="auto" w:fill="auto"/>
            <w:tcMar>
              <w:left w:w="80" w:type="dxa"/>
              <w:right w:w="80" w:type="dxa"/>
            </w:tcMar>
          </w:tcPr>
          <w:p w14:paraId="654B963B" w14:textId="77777777" w:rsidR="00EB017E" w:rsidRPr="000116C4" w:rsidRDefault="00EB017E" w:rsidP="000A2491">
            <w:pPr>
              <w:pStyle w:val="TableText"/>
              <w:jc w:val="right"/>
            </w:pPr>
            <w:r w:rsidRPr="000116C4">
              <w:t>21.8 (18.7</w:t>
            </w:r>
            <w:r>
              <w:t xml:space="preserve">, </w:t>
            </w:r>
            <w:r w:rsidRPr="000116C4">
              <w:t>25.4)</w:t>
            </w:r>
          </w:p>
        </w:tc>
        <w:tc>
          <w:tcPr>
            <w:tcW w:w="551" w:type="dxa"/>
            <w:tcBorders>
              <w:left w:val="single" w:sz="4" w:space="0" w:color="auto"/>
              <w:right w:val="single" w:sz="4" w:space="0" w:color="auto"/>
            </w:tcBorders>
            <w:shd w:val="clear" w:color="auto" w:fill="auto"/>
            <w:tcMar>
              <w:left w:w="80" w:type="dxa"/>
              <w:right w:w="80" w:type="dxa"/>
            </w:tcMar>
          </w:tcPr>
          <w:p w14:paraId="1FCF3FFC" w14:textId="77777777" w:rsidR="00EB017E" w:rsidRPr="000116C4" w:rsidRDefault="00EB017E" w:rsidP="000A2491">
            <w:pPr>
              <w:pStyle w:val="TableText"/>
              <w:jc w:val="right"/>
            </w:pPr>
            <w:r w:rsidRPr="000116C4">
              <w:t>205</w:t>
            </w:r>
          </w:p>
        </w:tc>
        <w:tc>
          <w:tcPr>
            <w:tcW w:w="720" w:type="dxa"/>
            <w:tcBorders>
              <w:left w:val="single" w:sz="4" w:space="0" w:color="auto"/>
              <w:right w:val="single" w:sz="4" w:space="0" w:color="auto"/>
            </w:tcBorders>
            <w:shd w:val="clear" w:color="auto" w:fill="auto"/>
            <w:tcMar>
              <w:left w:w="80" w:type="dxa"/>
              <w:right w:w="80" w:type="dxa"/>
            </w:tcMar>
          </w:tcPr>
          <w:p w14:paraId="6CD66542" w14:textId="77777777" w:rsidR="00EB017E" w:rsidRPr="000116C4" w:rsidRDefault="00EB017E" w:rsidP="000A2491">
            <w:pPr>
              <w:pStyle w:val="TableText"/>
              <w:jc w:val="right"/>
            </w:pPr>
            <w:r w:rsidRPr="000116C4">
              <w:t>1053</w:t>
            </w:r>
          </w:p>
        </w:tc>
        <w:tc>
          <w:tcPr>
            <w:tcW w:w="1059" w:type="dxa"/>
            <w:tcBorders>
              <w:left w:val="single" w:sz="4" w:space="0" w:color="auto"/>
              <w:right w:val="single" w:sz="4" w:space="0" w:color="auto"/>
            </w:tcBorders>
            <w:shd w:val="clear" w:color="auto" w:fill="auto"/>
            <w:tcMar>
              <w:left w:w="80" w:type="dxa"/>
              <w:right w:w="80" w:type="dxa"/>
            </w:tcMar>
          </w:tcPr>
          <w:p w14:paraId="77F79673" w14:textId="77777777" w:rsidR="00EB017E" w:rsidRPr="000116C4" w:rsidRDefault="00EB017E" w:rsidP="000A2491">
            <w:pPr>
              <w:pStyle w:val="TableText"/>
              <w:jc w:val="right"/>
            </w:pPr>
            <w:r w:rsidRPr="000116C4">
              <w:t>11.6 (7.7</w:t>
            </w:r>
            <w:r>
              <w:t xml:space="preserve">, </w:t>
            </w:r>
            <w:r w:rsidRPr="000116C4">
              <w:t>17.3)</w:t>
            </w:r>
          </w:p>
        </w:tc>
      </w:tr>
      <w:tr w:rsidR="00EB017E" w:rsidRPr="00BC49AE" w14:paraId="01110BE9" w14:textId="77777777" w:rsidTr="00680D52">
        <w:trPr>
          <w:cantSplit/>
        </w:trPr>
        <w:tc>
          <w:tcPr>
            <w:tcW w:w="2600" w:type="dxa"/>
            <w:tcBorders>
              <w:left w:val="single" w:sz="4" w:space="0" w:color="auto"/>
              <w:right w:val="single" w:sz="4" w:space="0" w:color="auto"/>
            </w:tcBorders>
            <w:shd w:val="clear" w:color="auto" w:fill="D4E4FF" w:themeFill="text2" w:themeFillTint="1A"/>
            <w:tcMar>
              <w:left w:w="80" w:type="dxa"/>
              <w:right w:w="80" w:type="dxa"/>
            </w:tcMar>
          </w:tcPr>
          <w:p w14:paraId="565AAC35" w14:textId="77777777" w:rsidR="00EB017E" w:rsidRPr="000116C4" w:rsidRDefault="00EB017E" w:rsidP="000A2491">
            <w:pPr>
              <w:pStyle w:val="TableText"/>
            </w:pPr>
            <w:r w:rsidRPr="000116C4">
              <w:t>Between 5</w:t>
            </w:r>
            <w:r>
              <w:t xml:space="preserve"> pm</w:t>
            </w:r>
            <w:r w:rsidRPr="000116C4">
              <w:t xml:space="preserve"> and 8</w:t>
            </w:r>
            <w:r>
              <w:t xml:space="preserve"> pm</w:t>
            </w:r>
            <w:r w:rsidRPr="000116C4">
              <w:t xml:space="preserve"> (straight after work)</w:t>
            </w:r>
          </w:p>
        </w:tc>
        <w:tc>
          <w:tcPr>
            <w:tcW w:w="540" w:type="dxa"/>
            <w:tcBorders>
              <w:left w:val="single" w:sz="4" w:space="0" w:color="auto"/>
              <w:right w:val="single" w:sz="4" w:space="0" w:color="auto"/>
            </w:tcBorders>
            <w:shd w:val="clear" w:color="auto" w:fill="D4E4FF" w:themeFill="text2" w:themeFillTint="1A"/>
            <w:tcMar>
              <w:left w:w="80" w:type="dxa"/>
              <w:right w:w="80" w:type="dxa"/>
            </w:tcMar>
          </w:tcPr>
          <w:p w14:paraId="6F8D48E3" w14:textId="77777777" w:rsidR="00EB017E" w:rsidRPr="000116C4" w:rsidRDefault="00EB017E" w:rsidP="000A2491">
            <w:pPr>
              <w:pStyle w:val="TableText"/>
              <w:jc w:val="right"/>
            </w:pPr>
            <w:r w:rsidRPr="000116C4">
              <w:t>200</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1A32324A" w14:textId="77777777" w:rsidR="00EB017E" w:rsidRPr="000116C4" w:rsidRDefault="00EB017E" w:rsidP="000A2491">
            <w:pPr>
              <w:pStyle w:val="TableText"/>
              <w:jc w:val="right"/>
            </w:pPr>
            <w:r w:rsidRPr="000116C4">
              <w:t>1504</w:t>
            </w:r>
          </w:p>
        </w:tc>
        <w:tc>
          <w:tcPr>
            <w:tcW w:w="1069" w:type="dxa"/>
            <w:tcBorders>
              <w:left w:val="single" w:sz="4" w:space="0" w:color="auto"/>
              <w:right w:val="single" w:sz="4" w:space="0" w:color="auto"/>
            </w:tcBorders>
            <w:shd w:val="clear" w:color="auto" w:fill="D4E4FF" w:themeFill="text2" w:themeFillTint="1A"/>
            <w:tcMar>
              <w:left w:w="80" w:type="dxa"/>
              <w:right w:w="80" w:type="dxa"/>
            </w:tcMar>
          </w:tcPr>
          <w:p w14:paraId="12C0043F" w14:textId="77777777" w:rsidR="00EB017E" w:rsidRPr="000116C4" w:rsidRDefault="00EB017E" w:rsidP="000A2491">
            <w:pPr>
              <w:pStyle w:val="TableText"/>
              <w:jc w:val="right"/>
            </w:pPr>
            <w:r w:rsidRPr="000116C4">
              <w:t>24.6 (21.1</w:t>
            </w:r>
            <w:r>
              <w:t xml:space="preserve">, </w:t>
            </w:r>
            <w:r w:rsidRPr="000116C4">
              <w:t>28.5)</w:t>
            </w:r>
          </w:p>
        </w:tc>
        <w:tc>
          <w:tcPr>
            <w:tcW w:w="551" w:type="dxa"/>
            <w:tcBorders>
              <w:left w:val="single" w:sz="4" w:space="0" w:color="auto"/>
              <w:right w:val="single" w:sz="4" w:space="0" w:color="auto"/>
            </w:tcBorders>
            <w:shd w:val="clear" w:color="auto" w:fill="D4E4FF" w:themeFill="text2" w:themeFillTint="1A"/>
            <w:tcMar>
              <w:left w:w="80" w:type="dxa"/>
              <w:right w:w="80" w:type="dxa"/>
            </w:tcMar>
          </w:tcPr>
          <w:p w14:paraId="6B6FA3AD" w14:textId="77777777" w:rsidR="00EB017E" w:rsidRPr="000116C4" w:rsidRDefault="00EB017E" w:rsidP="000A2491">
            <w:pPr>
              <w:pStyle w:val="TableText"/>
              <w:jc w:val="right"/>
            </w:pPr>
            <w:r w:rsidRPr="000116C4">
              <w:t>496</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34E705EE" w14:textId="77777777" w:rsidR="00EB017E" w:rsidRPr="000116C4" w:rsidRDefault="00EB017E" w:rsidP="000A2491">
            <w:pPr>
              <w:pStyle w:val="TableText"/>
              <w:jc w:val="right"/>
            </w:pPr>
            <w:r w:rsidRPr="000116C4">
              <w:t>3692</w:t>
            </w:r>
          </w:p>
        </w:tc>
        <w:tc>
          <w:tcPr>
            <w:tcW w:w="1059" w:type="dxa"/>
            <w:tcBorders>
              <w:left w:val="single" w:sz="4" w:space="0" w:color="auto"/>
              <w:right w:val="single" w:sz="4" w:space="0" w:color="auto"/>
            </w:tcBorders>
            <w:shd w:val="clear" w:color="auto" w:fill="D4E4FF" w:themeFill="text2" w:themeFillTint="1A"/>
            <w:tcMar>
              <w:left w:w="80" w:type="dxa"/>
              <w:right w:w="80" w:type="dxa"/>
            </w:tcMar>
          </w:tcPr>
          <w:p w14:paraId="1DDB4C76" w14:textId="77777777" w:rsidR="00EB017E" w:rsidRPr="000116C4" w:rsidRDefault="00EB017E" w:rsidP="000A2491">
            <w:pPr>
              <w:pStyle w:val="TableText"/>
              <w:jc w:val="right"/>
            </w:pPr>
            <w:r w:rsidRPr="000116C4">
              <w:t>40.8 (31.4</w:t>
            </w:r>
            <w:r>
              <w:t xml:space="preserve">, </w:t>
            </w:r>
            <w:r w:rsidRPr="000116C4">
              <w:t>51.0)</w:t>
            </w:r>
          </w:p>
        </w:tc>
      </w:tr>
      <w:tr w:rsidR="00EB017E" w:rsidRPr="00BC49AE" w14:paraId="0081DCA7" w14:textId="77777777" w:rsidTr="00680D52">
        <w:trPr>
          <w:cantSplit/>
        </w:trPr>
        <w:tc>
          <w:tcPr>
            <w:tcW w:w="2600" w:type="dxa"/>
            <w:tcBorders>
              <w:left w:val="single" w:sz="4" w:space="0" w:color="auto"/>
              <w:right w:val="single" w:sz="4" w:space="0" w:color="auto"/>
            </w:tcBorders>
            <w:shd w:val="clear" w:color="auto" w:fill="auto"/>
            <w:tcMar>
              <w:left w:w="80" w:type="dxa"/>
              <w:right w:w="80" w:type="dxa"/>
            </w:tcMar>
          </w:tcPr>
          <w:p w14:paraId="0602903D" w14:textId="77777777" w:rsidR="00EB017E" w:rsidRPr="000116C4" w:rsidRDefault="00EB017E" w:rsidP="000A2491">
            <w:pPr>
              <w:pStyle w:val="TableText"/>
            </w:pPr>
            <w:r w:rsidRPr="000116C4">
              <w:t>Between 8</w:t>
            </w:r>
            <w:r>
              <w:t xml:space="preserve"> pm</w:t>
            </w:r>
            <w:r w:rsidRPr="000116C4">
              <w:t xml:space="preserve"> and 12 midnight (late at night)</w:t>
            </w:r>
          </w:p>
        </w:tc>
        <w:tc>
          <w:tcPr>
            <w:tcW w:w="540" w:type="dxa"/>
            <w:tcBorders>
              <w:left w:val="single" w:sz="4" w:space="0" w:color="auto"/>
              <w:right w:val="single" w:sz="4" w:space="0" w:color="auto"/>
            </w:tcBorders>
            <w:shd w:val="clear" w:color="auto" w:fill="auto"/>
            <w:tcMar>
              <w:left w:w="80" w:type="dxa"/>
              <w:right w:w="80" w:type="dxa"/>
            </w:tcMar>
          </w:tcPr>
          <w:p w14:paraId="2B64162E" w14:textId="77777777" w:rsidR="00EB017E" w:rsidRPr="000116C4" w:rsidRDefault="00EB017E" w:rsidP="000A2491">
            <w:pPr>
              <w:pStyle w:val="TableText"/>
              <w:jc w:val="right"/>
            </w:pPr>
            <w:r w:rsidRPr="000116C4">
              <w:t>346</w:t>
            </w:r>
          </w:p>
        </w:tc>
        <w:tc>
          <w:tcPr>
            <w:tcW w:w="720" w:type="dxa"/>
            <w:tcBorders>
              <w:left w:val="single" w:sz="4" w:space="0" w:color="auto"/>
              <w:right w:val="single" w:sz="4" w:space="0" w:color="auto"/>
            </w:tcBorders>
            <w:shd w:val="clear" w:color="auto" w:fill="auto"/>
            <w:tcMar>
              <w:left w:w="80" w:type="dxa"/>
              <w:right w:w="80" w:type="dxa"/>
            </w:tcMar>
          </w:tcPr>
          <w:p w14:paraId="39B3B384" w14:textId="77777777" w:rsidR="00EB017E" w:rsidRPr="000116C4" w:rsidRDefault="00EB017E" w:rsidP="000A2491">
            <w:pPr>
              <w:pStyle w:val="TableText"/>
              <w:jc w:val="right"/>
            </w:pPr>
            <w:r w:rsidRPr="000116C4">
              <w:t>2484</w:t>
            </w:r>
          </w:p>
        </w:tc>
        <w:tc>
          <w:tcPr>
            <w:tcW w:w="1069" w:type="dxa"/>
            <w:tcBorders>
              <w:left w:val="single" w:sz="4" w:space="0" w:color="auto"/>
              <w:right w:val="single" w:sz="4" w:space="0" w:color="auto"/>
            </w:tcBorders>
            <w:shd w:val="clear" w:color="auto" w:fill="auto"/>
            <w:tcMar>
              <w:left w:w="80" w:type="dxa"/>
              <w:right w:w="80" w:type="dxa"/>
            </w:tcMar>
          </w:tcPr>
          <w:p w14:paraId="3DFAB079" w14:textId="77777777" w:rsidR="00EB017E" w:rsidRPr="000116C4" w:rsidRDefault="00EB017E" w:rsidP="000A2491">
            <w:pPr>
              <w:pStyle w:val="TableText"/>
              <w:jc w:val="right"/>
            </w:pPr>
            <w:r w:rsidRPr="000116C4">
              <w:t>40.6 (36.5</w:t>
            </w:r>
            <w:r>
              <w:t xml:space="preserve">, </w:t>
            </w:r>
            <w:r w:rsidRPr="000116C4">
              <w:t>44.9)</w:t>
            </w:r>
          </w:p>
        </w:tc>
        <w:tc>
          <w:tcPr>
            <w:tcW w:w="551" w:type="dxa"/>
            <w:tcBorders>
              <w:left w:val="single" w:sz="4" w:space="0" w:color="auto"/>
              <w:right w:val="single" w:sz="4" w:space="0" w:color="auto"/>
            </w:tcBorders>
            <w:shd w:val="clear" w:color="auto" w:fill="auto"/>
            <w:tcMar>
              <w:left w:w="80" w:type="dxa"/>
              <w:right w:w="80" w:type="dxa"/>
            </w:tcMar>
          </w:tcPr>
          <w:p w14:paraId="5550E820" w14:textId="77777777" w:rsidR="00EB017E" w:rsidRPr="000116C4" w:rsidRDefault="00EB017E" w:rsidP="000A2491">
            <w:pPr>
              <w:pStyle w:val="TableText"/>
              <w:jc w:val="right"/>
            </w:pPr>
            <w:r w:rsidRPr="000116C4">
              <w:t>635</w:t>
            </w:r>
          </w:p>
        </w:tc>
        <w:tc>
          <w:tcPr>
            <w:tcW w:w="720" w:type="dxa"/>
            <w:tcBorders>
              <w:left w:val="single" w:sz="4" w:space="0" w:color="auto"/>
              <w:right w:val="single" w:sz="4" w:space="0" w:color="auto"/>
            </w:tcBorders>
            <w:shd w:val="clear" w:color="auto" w:fill="auto"/>
            <w:tcMar>
              <w:left w:w="80" w:type="dxa"/>
              <w:right w:w="80" w:type="dxa"/>
            </w:tcMar>
          </w:tcPr>
          <w:p w14:paraId="1BE5E91F" w14:textId="77777777" w:rsidR="00EB017E" w:rsidRPr="000116C4" w:rsidRDefault="00EB017E" w:rsidP="000A2491">
            <w:pPr>
              <w:pStyle w:val="TableText"/>
              <w:jc w:val="right"/>
            </w:pPr>
            <w:r w:rsidRPr="000116C4">
              <w:t>3868</w:t>
            </w:r>
          </w:p>
        </w:tc>
        <w:tc>
          <w:tcPr>
            <w:tcW w:w="1059" w:type="dxa"/>
            <w:tcBorders>
              <w:left w:val="single" w:sz="4" w:space="0" w:color="auto"/>
              <w:right w:val="single" w:sz="4" w:space="0" w:color="auto"/>
            </w:tcBorders>
            <w:shd w:val="clear" w:color="auto" w:fill="auto"/>
            <w:tcMar>
              <w:left w:w="80" w:type="dxa"/>
              <w:right w:w="80" w:type="dxa"/>
            </w:tcMar>
          </w:tcPr>
          <w:p w14:paraId="5E2D0767" w14:textId="77777777" w:rsidR="00EB017E" w:rsidRPr="000116C4" w:rsidRDefault="00EB017E" w:rsidP="000A2491">
            <w:pPr>
              <w:pStyle w:val="TableText"/>
              <w:jc w:val="right"/>
            </w:pPr>
            <w:r w:rsidRPr="000116C4">
              <w:t>42.8 (33.8</w:t>
            </w:r>
            <w:r>
              <w:t xml:space="preserve">, </w:t>
            </w:r>
            <w:r w:rsidRPr="000116C4">
              <w:t>52.2)</w:t>
            </w:r>
          </w:p>
        </w:tc>
      </w:tr>
      <w:tr w:rsidR="00EB017E" w:rsidRPr="00BC49AE" w14:paraId="29011380" w14:textId="77777777" w:rsidTr="00680D52">
        <w:trPr>
          <w:cantSplit/>
        </w:trPr>
        <w:tc>
          <w:tcPr>
            <w:tcW w:w="2600"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10FAAB2B" w14:textId="77777777" w:rsidR="00EB017E" w:rsidRPr="000116C4" w:rsidRDefault="00EB017E" w:rsidP="000A2491">
            <w:pPr>
              <w:pStyle w:val="TableText"/>
            </w:pPr>
            <w:r w:rsidRPr="000116C4">
              <w:t>Between 12 midnight and 6</w:t>
            </w:r>
            <w:r>
              <w:t xml:space="preserve"> am</w:t>
            </w:r>
            <w:r w:rsidRPr="000116C4">
              <w:t xml:space="preserve"> (early hours of the morning)</w:t>
            </w:r>
          </w:p>
        </w:tc>
        <w:tc>
          <w:tcPr>
            <w:tcW w:w="540"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7B854272" w14:textId="77777777" w:rsidR="00EB017E" w:rsidRPr="000116C4" w:rsidRDefault="00EB017E" w:rsidP="000A2491">
            <w:pPr>
              <w:pStyle w:val="TableText"/>
              <w:jc w:val="right"/>
            </w:pPr>
            <w:r w:rsidRPr="000116C4">
              <w:t>35</w:t>
            </w:r>
          </w:p>
        </w:tc>
        <w:tc>
          <w:tcPr>
            <w:tcW w:w="720"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4253131A" w14:textId="77777777" w:rsidR="00EB017E" w:rsidRPr="000116C4" w:rsidRDefault="00EB017E" w:rsidP="000A2491">
            <w:pPr>
              <w:pStyle w:val="TableText"/>
              <w:jc w:val="right"/>
            </w:pPr>
            <w:r w:rsidRPr="000116C4">
              <w:t>240</w:t>
            </w:r>
          </w:p>
        </w:tc>
        <w:tc>
          <w:tcPr>
            <w:tcW w:w="1069"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08109C19" w14:textId="77777777" w:rsidR="00EB017E" w:rsidRPr="000116C4" w:rsidRDefault="00EB017E" w:rsidP="000A2491">
            <w:pPr>
              <w:pStyle w:val="TableText"/>
              <w:jc w:val="right"/>
            </w:pPr>
            <w:r w:rsidRPr="000116C4">
              <w:t>3.9 (2.5</w:t>
            </w:r>
            <w:r>
              <w:t xml:space="preserve">, </w:t>
            </w:r>
            <w:r w:rsidRPr="000116C4">
              <w:t>6.0)</w:t>
            </w:r>
          </w:p>
        </w:tc>
        <w:tc>
          <w:tcPr>
            <w:tcW w:w="551"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004121C9" w14:textId="77777777" w:rsidR="00EB017E" w:rsidRPr="000116C4" w:rsidRDefault="00EB017E" w:rsidP="000A2491">
            <w:pPr>
              <w:pStyle w:val="TableText"/>
              <w:jc w:val="right"/>
            </w:pPr>
            <w:r w:rsidRPr="000116C4">
              <w:t>16</w:t>
            </w:r>
          </w:p>
        </w:tc>
        <w:tc>
          <w:tcPr>
            <w:tcW w:w="720"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5DB9C00F" w14:textId="77777777" w:rsidR="00EB017E" w:rsidRPr="000116C4" w:rsidRDefault="00EB017E" w:rsidP="000A2491">
            <w:pPr>
              <w:pStyle w:val="TableText"/>
              <w:jc w:val="right"/>
            </w:pPr>
            <w:r w:rsidRPr="000116C4">
              <w:t>51</w:t>
            </w:r>
          </w:p>
        </w:tc>
        <w:tc>
          <w:tcPr>
            <w:tcW w:w="1059"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3A09E774" w14:textId="77777777" w:rsidR="00EB017E" w:rsidRPr="000116C4" w:rsidRDefault="00EB017E" w:rsidP="000A2491">
            <w:pPr>
              <w:pStyle w:val="TableText"/>
              <w:jc w:val="right"/>
            </w:pPr>
            <w:r w:rsidRPr="000116C4">
              <w:t>0.6 (0.3</w:t>
            </w:r>
            <w:r>
              <w:t xml:space="preserve">, </w:t>
            </w:r>
            <w:r w:rsidRPr="000116C4">
              <w:t>1.0)</w:t>
            </w:r>
          </w:p>
        </w:tc>
      </w:tr>
      <w:tr w:rsidR="00EB017E" w:rsidRPr="00BC49AE" w14:paraId="6491ACD8" w14:textId="77777777" w:rsidTr="00680D52">
        <w:trPr>
          <w:cantSplit/>
        </w:trPr>
        <w:tc>
          <w:tcPr>
            <w:tcW w:w="2600" w:type="dxa"/>
            <w:tcBorders>
              <w:top w:val="single" w:sz="4" w:space="0" w:color="auto"/>
              <w:left w:val="single" w:sz="4" w:space="0" w:color="auto"/>
              <w:right w:val="single" w:sz="4" w:space="0" w:color="auto"/>
            </w:tcBorders>
            <w:shd w:val="clear" w:color="auto" w:fill="auto"/>
            <w:tcMar>
              <w:left w:w="80" w:type="dxa"/>
              <w:right w:w="80" w:type="dxa"/>
            </w:tcMar>
          </w:tcPr>
          <w:p w14:paraId="2955DE7B" w14:textId="77777777" w:rsidR="00EB017E" w:rsidRPr="00B17770" w:rsidRDefault="00EB017E" w:rsidP="000A2491">
            <w:pPr>
              <w:pStyle w:val="TableText"/>
              <w:rPr>
                <w:b/>
              </w:rPr>
            </w:pPr>
            <w:r>
              <w:rPr>
                <w:b/>
              </w:rPr>
              <w:t>Dichotomised grouping</w:t>
            </w:r>
          </w:p>
        </w:tc>
        <w:tc>
          <w:tcPr>
            <w:tcW w:w="540" w:type="dxa"/>
            <w:tcBorders>
              <w:top w:val="single" w:sz="4" w:space="0" w:color="auto"/>
              <w:left w:val="single" w:sz="4" w:space="0" w:color="auto"/>
              <w:right w:val="single" w:sz="4" w:space="0" w:color="auto"/>
            </w:tcBorders>
            <w:shd w:val="clear" w:color="auto" w:fill="auto"/>
            <w:tcMar>
              <w:left w:w="80" w:type="dxa"/>
              <w:right w:w="80" w:type="dxa"/>
            </w:tcMar>
          </w:tcPr>
          <w:p w14:paraId="5E44EB60" w14:textId="77777777" w:rsidR="00EB017E" w:rsidRPr="000116C4" w:rsidRDefault="00EB017E" w:rsidP="000A2491">
            <w:pPr>
              <w:pStyle w:val="TableText"/>
              <w:jc w:val="right"/>
            </w:pPr>
          </w:p>
        </w:tc>
        <w:tc>
          <w:tcPr>
            <w:tcW w:w="720" w:type="dxa"/>
            <w:tcBorders>
              <w:top w:val="single" w:sz="4" w:space="0" w:color="auto"/>
              <w:left w:val="single" w:sz="4" w:space="0" w:color="auto"/>
              <w:right w:val="single" w:sz="4" w:space="0" w:color="auto"/>
            </w:tcBorders>
            <w:shd w:val="clear" w:color="auto" w:fill="auto"/>
            <w:tcMar>
              <w:left w:w="80" w:type="dxa"/>
              <w:right w:w="80" w:type="dxa"/>
            </w:tcMar>
          </w:tcPr>
          <w:p w14:paraId="1506A1C9" w14:textId="77777777" w:rsidR="00EB017E" w:rsidRPr="000116C4" w:rsidRDefault="00EB017E" w:rsidP="000A2491">
            <w:pPr>
              <w:pStyle w:val="TableText"/>
              <w:jc w:val="right"/>
            </w:pPr>
          </w:p>
        </w:tc>
        <w:tc>
          <w:tcPr>
            <w:tcW w:w="1069" w:type="dxa"/>
            <w:tcBorders>
              <w:top w:val="single" w:sz="4" w:space="0" w:color="auto"/>
              <w:left w:val="single" w:sz="4" w:space="0" w:color="auto"/>
              <w:right w:val="single" w:sz="4" w:space="0" w:color="auto"/>
            </w:tcBorders>
            <w:shd w:val="clear" w:color="auto" w:fill="auto"/>
            <w:tcMar>
              <w:left w:w="80" w:type="dxa"/>
              <w:right w:w="80" w:type="dxa"/>
            </w:tcMar>
          </w:tcPr>
          <w:p w14:paraId="3A7962AD" w14:textId="77777777" w:rsidR="00EB017E" w:rsidRPr="000116C4" w:rsidRDefault="00EB017E" w:rsidP="000A2491">
            <w:pPr>
              <w:pStyle w:val="TableText"/>
              <w:jc w:val="right"/>
            </w:pPr>
          </w:p>
        </w:tc>
        <w:tc>
          <w:tcPr>
            <w:tcW w:w="551" w:type="dxa"/>
            <w:tcBorders>
              <w:top w:val="single" w:sz="4" w:space="0" w:color="auto"/>
              <w:left w:val="single" w:sz="4" w:space="0" w:color="auto"/>
              <w:right w:val="single" w:sz="4" w:space="0" w:color="auto"/>
            </w:tcBorders>
            <w:shd w:val="clear" w:color="auto" w:fill="auto"/>
            <w:tcMar>
              <w:left w:w="80" w:type="dxa"/>
              <w:right w:w="80" w:type="dxa"/>
            </w:tcMar>
          </w:tcPr>
          <w:p w14:paraId="5DCB6BB3" w14:textId="77777777" w:rsidR="00EB017E" w:rsidRPr="000116C4" w:rsidRDefault="00EB017E" w:rsidP="000A2491">
            <w:pPr>
              <w:pStyle w:val="TableText"/>
              <w:jc w:val="right"/>
            </w:pPr>
          </w:p>
        </w:tc>
        <w:tc>
          <w:tcPr>
            <w:tcW w:w="720" w:type="dxa"/>
            <w:tcBorders>
              <w:top w:val="single" w:sz="4" w:space="0" w:color="auto"/>
              <w:left w:val="single" w:sz="4" w:space="0" w:color="auto"/>
              <w:right w:val="single" w:sz="4" w:space="0" w:color="auto"/>
            </w:tcBorders>
            <w:shd w:val="clear" w:color="auto" w:fill="auto"/>
            <w:tcMar>
              <w:left w:w="80" w:type="dxa"/>
              <w:right w:w="80" w:type="dxa"/>
            </w:tcMar>
          </w:tcPr>
          <w:p w14:paraId="5FEF9E99" w14:textId="77777777" w:rsidR="00EB017E" w:rsidRPr="000116C4" w:rsidRDefault="00EB017E" w:rsidP="000A2491">
            <w:pPr>
              <w:pStyle w:val="TableText"/>
              <w:jc w:val="right"/>
            </w:pPr>
          </w:p>
        </w:tc>
        <w:tc>
          <w:tcPr>
            <w:tcW w:w="1059" w:type="dxa"/>
            <w:tcBorders>
              <w:top w:val="single" w:sz="4" w:space="0" w:color="auto"/>
              <w:left w:val="single" w:sz="4" w:space="0" w:color="auto"/>
              <w:right w:val="single" w:sz="4" w:space="0" w:color="auto"/>
            </w:tcBorders>
            <w:shd w:val="clear" w:color="auto" w:fill="auto"/>
            <w:tcMar>
              <w:left w:w="80" w:type="dxa"/>
              <w:right w:w="80" w:type="dxa"/>
            </w:tcMar>
          </w:tcPr>
          <w:p w14:paraId="06A434FE" w14:textId="77777777" w:rsidR="00EB017E" w:rsidRPr="000116C4" w:rsidRDefault="00EB017E" w:rsidP="000A2491">
            <w:pPr>
              <w:pStyle w:val="TableText"/>
              <w:jc w:val="right"/>
            </w:pPr>
          </w:p>
        </w:tc>
      </w:tr>
      <w:tr w:rsidR="00EB017E" w:rsidRPr="00BC49AE" w14:paraId="7A2C0213" w14:textId="77777777" w:rsidTr="00680D52">
        <w:trPr>
          <w:cantSplit/>
        </w:trPr>
        <w:tc>
          <w:tcPr>
            <w:tcW w:w="2600" w:type="dxa"/>
            <w:tcBorders>
              <w:left w:val="single" w:sz="4" w:space="0" w:color="auto"/>
              <w:right w:val="single" w:sz="4" w:space="0" w:color="auto"/>
            </w:tcBorders>
            <w:shd w:val="clear" w:color="auto" w:fill="D4E4FF" w:themeFill="text2" w:themeFillTint="1A"/>
            <w:tcMar>
              <w:left w:w="80" w:type="dxa"/>
              <w:right w:w="80" w:type="dxa"/>
            </w:tcMar>
          </w:tcPr>
          <w:p w14:paraId="43A0B9A1" w14:textId="77777777" w:rsidR="00EB017E" w:rsidRPr="000116C4" w:rsidRDefault="00EB017E" w:rsidP="000A2491">
            <w:pPr>
              <w:pStyle w:val="TableText"/>
            </w:pPr>
            <w:r w:rsidRPr="000116C4">
              <w:t>Between 9</w:t>
            </w:r>
            <w:r>
              <w:t xml:space="preserve"> am</w:t>
            </w:r>
            <w:r w:rsidRPr="000116C4">
              <w:t xml:space="preserve"> and 8</w:t>
            </w:r>
            <w:r>
              <w:t xml:space="preserve"> pm</w:t>
            </w:r>
          </w:p>
        </w:tc>
        <w:tc>
          <w:tcPr>
            <w:tcW w:w="540" w:type="dxa"/>
            <w:tcBorders>
              <w:left w:val="single" w:sz="4" w:space="0" w:color="auto"/>
              <w:right w:val="single" w:sz="4" w:space="0" w:color="auto"/>
            </w:tcBorders>
            <w:shd w:val="clear" w:color="auto" w:fill="D4E4FF" w:themeFill="text2" w:themeFillTint="1A"/>
            <w:tcMar>
              <w:left w:w="80" w:type="dxa"/>
              <w:right w:w="80" w:type="dxa"/>
            </w:tcMar>
          </w:tcPr>
          <w:p w14:paraId="07FE2331" w14:textId="77777777" w:rsidR="00EB017E" w:rsidRPr="000116C4" w:rsidRDefault="00EB017E" w:rsidP="000A2491">
            <w:pPr>
              <w:pStyle w:val="TableText"/>
              <w:jc w:val="right"/>
            </w:pPr>
            <w:r w:rsidRPr="000116C4">
              <w:t>403</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3B98D024" w14:textId="77777777" w:rsidR="00EB017E" w:rsidRPr="000116C4" w:rsidRDefault="00EB017E" w:rsidP="000A2491">
            <w:pPr>
              <w:pStyle w:val="TableText"/>
              <w:jc w:val="right"/>
            </w:pPr>
            <w:r w:rsidRPr="000116C4">
              <w:t>2840</w:t>
            </w:r>
          </w:p>
        </w:tc>
        <w:tc>
          <w:tcPr>
            <w:tcW w:w="1069" w:type="dxa"/>
            <w:tcBorders>
              <w:left w:val="single" w:sz="4" w:space="0" w:color="auto"/>
              <w:right w:val="single" w:sz="4" w:space="0" w:color="auto"/>
            </w:tcBorders>
            <w:shd w:val="clear" w:color="auto" w:fill="D4E4FF" w:themeFill="text2" w:themeFillTint="1A"/>
            <w:tcMar>
              <w:left w:w="80" w:type="dxa"/>
              <w:right w:w="80" w:type="dxa"/>
            </w:tcMar>
          </w:tcPr>
          <w:p w14:paraId="7075B789" w14:textId="77777777" w:rsidR="00EB017E" w:rsidRPr="000116C4" w:rsidRDefault="00EB017E" w:rsidP="000A2491">
            <w:pPr>
              <w:pStyle w:val="TableText"/>
              <w:jc w:val="right"/>
            </w:pPr>
            <w:r w:rsidRPr="000116C4">
              <w:t>46.4 (42.2</w:t>
            </w:r>
            <w:r>
              <w:t xml:space="preserve">, </w:t>
            </w:r>
            <w:r w:rsidRPr="000116C4">
              <w:t>50.7)</w:t>
            </w:r>
          </w:p>
        </w:tc>
        <w:tc>
          <w:tcPr>
            <w:tcW w:w="551" w:type="dxa"/>
            <w:tcBorders>
              <w:left w:val="single" w:sz="4" w:space="0" w:color="auto"/>
              <w:right w:val="single" w:sz="4" w:space="0" w:color="auto"/>
            </w:tcBorders>
            <w:shd w:val="clear" w:color="auto" w:fill="D4E4FF" w:themeFill="text2" w:themeFillTint="1A"/>
            <w:tcMar>
              <w:left w:w="80" w:type="dxa"/>
              <w:right w:w="80" w:type="dxa"/>
            </w:tcMar>
          </w:tcPr>
          <w:p w14:paraId="6F0F0764" w14:textId="77777777" w:rsidR="00EB017E" w:rsidRPr="000116C4" w:rsidRDefault="00EB017E" w:rsidP="000A2491">
            <w:pPr>
              <w:pStyle w:val="TableText"/>
              <w:jc w:val="right"/>
            </w:pPr>
            <w:r w:rsidRPr="000116C4">
              <w:t>701</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2E9B74A6" w14:textId="77777777" w:rsidR="00EB017E" w:rsidRPr="000116C4" w:rsidRDefault="00EB017E" w:rsidP="000A2491">
            <w:pPr>
              <w:pStyle w:val="TableText"/>
              <w:jc w:val="right"/>
            </w:pPr>
            <w:r w:rsidRPr="000116C4">
              <w:t>4744</w:t>
            </w:r>
          </w:p>
        </w:tc>
        <w:tc>
          <w:tcPr>
            <w:tcW w:w="1059" w:type="dxa"/>
            <w:tcBorders>
              <w:left w:val="single" w:sz="4" w:space="0" w:color="auto"/>
              <w:right w:val="single" w:sz="4" w:space="0" w:color="auto"/>
            </w:tcBorders>
            <w:shd w:val="clear" w:color="auto" w:fill="D4E4FF" w:themeFill="text2" w:themeFillTint="1A"/>
            <w:tcMar>
              <w:left w:w="80" w:type="dxa"/>
              <w:right w:w="80" w:type="dxa"/>
            </w:tcMar>
          </w:tcPr>
          <w:p w14:paraId="1CD6DEBF" w14:textId="77777777" w:rsidR="00EB017E" w:rsidRPr="000116C4" w:rsidRDefault="00EB017E" w:rsidP="000A2491">
            <w:pPr>
              <w:pStyle w:val="TableText"/>
              <w:jc w:val="right"/>
            </w:pPr>
            <w:r w:rsidRPr="000116C4">
              <w:t>52.5 (43.0</w:t>
            </w:r>
            <w:r>
              <w:t xml:space="preserve">, </w:t>
            </w:r>
            <w:r w:rsidRPr="000116C4">
              <w:t>61.7)</w:t>
            </w:r>
          </w:p>
        </w:tc>
      </w:tr>
      <w:tr w:rsidR="00EB017E" w:rsidRPr="00BC49AE" w14:paraId="31C5BC7C" w14:textId="77777777" w:rsidTr="00680D52">
        <w:trPr>
          <w:cantSplit/>
        </w:trPr>
        <w:tc>
          <w:tcPr>
            <w:tcW w:w="2600" w:type="dxa"/>
            <w:tcBorders>
              <w:left w:val="single" w:sz="4" w:space="0" w:color="auto"/>
              <w:bottom w:val="single" w:sz="4" w:space="0" w:color="auto"/>
              <w:right w:val="single" w:sz="4" w:space="0" w:color="auto"/>
            </w:tcBorders>
            <w:shd w:val="clear" w:color="auto" w:fill="auto"/>
            <w:tcMar>
              <w:left w:w="80" w:type="dxa"/>
              <w:right w:w="80" w:type="dxa"/>
            </w:tcMar>
          </w:tcPr>
          <w:p w14:paraId="0558980E" w14:textId="77777777" w:rsidR="00EB017E" w:rsidRPr="000116C4" w:rsidRDefault="00EB017E" w:rsidP="000A2491">
            <w:pPr>
              <w:pStyle w:val="TableText"/>
            </w:pPr>
            <w:r w:rsidRPr="000116C4">
              <w:t>Between 8</w:t>
            </w:r>
            <w:r>
              <w:t xml:space="preserve"> pm</w:t>
            </w:r>
            <w:r w:rsidRPr="000116C4">
              <w:t xml:space="preserve"> and 9</w:t>
            </w:r>
            <w:r>
              <w:t xml:space="preserve"> am</w:t>
            </w:r>
          </w:p>
        </w:tc>
        <w:tc>
          <w:tcPr>
            <w:tcW w:w="540" w:type="dxa"/>
            <w:tcBorders>
              <w:left w:val="single" w:sz="4" w:space="0" w:color="auto"/>
              <w:bottom w:val="single" w:sz="4" w:space="0" w:color="auto"/>
              <w:right w:val="single" w:sz="4" w:space="0" w:color="auto"/>
            </w:tcBorders>
            <w:shd w:val="clear" w:color="auto" w:fill="auto"/>
            <w:tcMar>
              <w:left w:w="80" w:type="dxa"/>
              <w:right w:w="80" w:type="dxa"/>
            </w:tcMar>
          </w:tcPr>
          <w:p w14:paraId="32CDFC05" w14:textId="77777777" w:rsidR="00EB017E" w:rsidRPr="000116C4" w:rsidRDefault="00EB017E" w:rsidP="000A2491">
            <w:pPr>
              <w:pStyle w:val="TableText"/>
              <w:jc w:val="right"/>
            </w:pPr>
            <w:r w:rsidRPr="000116C4">
              <w:t>411</w:t>
            </w:r>
          </w:p>
        </w:tc>
        <w:tc>
          <w:tcPr>
            <w:tcW w:w="720" w:type="dxa"/>
            <w:tcBorders>
              <w:left w:val="single" w:sz="4" w:space="0" w:color="auto"/>
              <w:bottom w:val="single" w:sz="4" w:space="0" w:color="auto"/>
              <w:right w:val="single" w:sz="4" w:space="0" w:color="auto"/>
            </w:tcBorders>
            <w:shd w:val="clear" w:color="auto" w:fill="auto"/>
            <w:tcMar>
              <w:left w:w="80" w:type="dxa"/>
              <w:right w:w="80" w:type="dxa"/>
            </w:tcMar>
          </w:tcPr>
          <w:p w14:paraId="234A28BB" w14:textId="77777777" w:rsidR="00EB017E" w:rsidRPr="000116C4" w:rsidRDefault="00EB017E" w:rsidP="000A2491">
            <w:pPr>
              <w:pStyle w:val="TableText"/>
              <w:jc w:val="right"/>
            </w:pPr>
            <w:r w:rsidRPr="000116C4">
              <w:t>2916</w:t>
            </w:r>
          </w:p>
        </w:tc>
        <w:tc>
          <w:tcPr>
            <w:tcW w:w="1069" w:type="dxa"/>
            <w:tcBorders>
              <w:left w:val="single" w:sz="4" w:space="0" w:color="auto"/>
              <w:bottom w:val="single" w:sz="4" w:space="0" w:color="auto"/>
              <w:right w:val="single" w:sz="4" w:space="0" w:color="auto"/>
            </w:tcBorders>
            <w:shd w:val="clear" w:color="auto" w:fill="auto"/>
            <w:tcMar>
              <w:left w:w="80" w:type="dxa"/>
              <w:right w:w="80" w:type="dxa"/>
            </w:tcMar>
          </w:tcPr>
          <w:p w14:paraId="6F094A66" w14:textId="77777777" w:rsidR="00EB017E" w:rsidRPr="000116C4" w:rsidRDefault="00EB017E" w:rsidP="000A2491">
            <w:pPr>
              <w:pStyle w:val="TableText"/>
              <w:jc w:val="right"/>
            </w:pPr>
            <w:r w:rsidRPr="000116C4">
              <w:t>47.7 (43.4</w:t>
            </w:r>
            <w:r>
              <w:t xml:space="preserve">, </w:t>
            </w:r>
            <w:r w:rsidRPr="000116C4">
              <w:t>51.9)</w:t>
            </w:r>
          </w:p>
        </w:tc>
        <w:tc>
          <w:tcPr>
            <w:tcW w:w="551" w:type="dxa"/>
            <w:tcBorders>
              <w:left w:val="single" w:sz="4" w:space="0" w:color="auto"/>
              <w:bottom w:val="single" w:sz="4" w:space="0" w:color="auto"/>
              <w:right w:val="single" w:sz="4" w:space="0" w:color="auto"/>
            </w:tcBorders>
            <w:shd w:val="clear" w:color="auto" w:fill="auto"/>
            <w:tcMar>
              <w:left w:w="80" w:type="dxa"/>
              <w:right w:w="80" w:type="dxa"/>
            </w:tcMar>
          </w:tcPr>
          <w:p w14:paraId="52781B4C" w14:textId="77777777" w:rsidR="00EB017E" w:rsidRPr="000116C4" w:rsidRDefault="00EB017E" w:rsidP="000A2491">
            <w:pPr>
              <w:pStyle w:val="TableText"/>
              <w:jc w:val="right"/>
            </w:pPr>
            <w:r w:rsidRPr="000116C4">
              <w:t>674</w:t>
            </w:r>
          </w:p>
        </w:tc>
        <w:tc>
          <w:tcPr>
            <w:tcW w:w="720" w:type="dxa"/>
            <w:tcBorders>
              <w:left w:val="single" w:sz="4" w:space="0" w:color="auto"/>
              <w:bottom w:val="single" w:sz="4" w:space="0" w:color="auto"/>
              <w:right w:val="single" w:sz="4" w:space="0" w:color="auto"/>
            </w:tcBorders>
            <w:shd w:val="clear" w:color="auto" w:fill="auto"/>
            <w:tcMar>
              <w:left w:w="80" w:type="dxa"/>
              <w:right w:w="80" w:type="dxa"/>
            </w:tcMar>
          </w:tcPr>
          <w:p w14:paraId="64BC1058" w14:textId="77777777" w:rsidR="00EB017E" w:rsidRPr="000116C4" w:rsidRDefault="00EB017E" w:rsidP="000A2491">
            <w:pPr>
              <w:pStyle w:val="TableText"/>
              <w:jc w:val="right"/>
            </w:pPr>
            <w:r w:rsidRPr="000116C4">
              <w:t>4012</w:t>
            </w:r>
          </w:p>
        </w:tc>
        <w:tc>
          <w:tcPr>
            <w:tcW w:w="1059" w:type="dxa"/>
            <w:tcBorders>
              <w:left w:val="single" w:sz="4" w:space="0" w:color="auto"/>
              <w:bottom w:val="single" w:sz="4" w:space="0" w:color="auto"/>
              <w:right w:val="single" w:sz="4" w:space="0" w:color="auto"/>
            </w:tcBorders>
            <w:shd w:val="clear" w:color="auto" w:fill="auto"/>
            <w:tcMar>
              <w:left w:w="80" w:type="dxa"/>
              <w:right w:w="80" w:type="dxa"/>
            </w:tcMar>
          </w:tcPr>
          <w:p w14:paraId="1DCBE2BA" w14:textId="77777777" w:rsidR="00EB017E" w:rsidRPr="000116C4" w:rsidRDefault="00EB017E" w:rsidP="000A2491">
            <w:pPr>
              <w:pStyle w:val="TableText"/>
              <w:jc w:val="right"/>
            </w:pPr>
            <w:r w:rsidRPr="000116C4">
              <w:t>44.4 (35.3</w:t>
            </w:r>
            <w:r>
              <w:t xml:space="preserve">, </w:t>
            </w:r>
            <w:r w:rsidRPr="000116C4">
              <w:t>53.8)</w:t>
            </w:r>
          </w:p>
        </w:tc>
      </w:tr>
    </w:tbl>
    <w:p w14:paraId="09DC9C65" w14:textId="77777777" w:rsidR="00EB017E" w:rsidRPr="006A3EA0" w:rsidRDefault="00EB017E" w:rsidP="00EB017E">
      <w:pPr>
        <w:pStyle w:val="TableNotes"/>
      </w:pPr>
      <w:r>
        <w:t>Notes</w:t>
      </w:r>
    </w:p>
    <w:p w14:paraId="6F687CC5" w14:textId="77777777" w:rsidR="00EB017E" w:rsidRPr="000116C4" w:rsidRDefault="00EB017E" w:rsidP="00EB017E">
      <w:pPr>
        <w:pStyle w:val="TableNotes"/>
      </w:pPr>
      <w:r w:rsidRPr="000116C4">
        <w:t xml:space="preserve">Denominator: Those who used </w:t>
      </w:r>
      <w:r>
        <w:t>internet</w:t>
      </w:r>
      <w:r w:rsidRPr="000116C4">
        <w:t xml:space="preserve"> to manage mental health</w:t>
      </w:r>
      <w:r>
        <w:t>.</w:t>
      </w:r>
      <w:r w:rsidRPr="000116C4">
        <w:t xml:space="preserve"> </w:t>
      </w:r>
    </w:p>
    <w:p w14:paraId="1687869B" w14:textId="77777777" w:rsidR="00EB017E" w:rsidRPr="000116C4" w:rsidRDefault="00EB017E" w:rsidP="00EB017E">
      <w:pPr>
        <w:pStyle w:val="TableNotes"/>
      </w:pPr>
      <w:r w:rsidRPr="000116C4">
        <w:t>Based on weighted counts, 360 (5.9%) Transitioned ADF and 266 (3.2%) 2015 Regular ADF had a missing value for this question.</w:t>
      </w:r>
      <w:r>
        <w:t xml:space="preserve"> </w:t>
      </w:r>
      <w:r w:rsidRPr="000116C4">
        <w:t>However, distributions are calculated by including those with a missing value to allow for correct weighted totals</w:t>
      </w:r>
      <w:r>
        <w:t>.</w:t>
      </w:r>
    </w:p>
    <w:p w14:paraId="6843B7A8" w14:textId="77777777" w:rsidR="00EB017E" w:rsidRPr="000116C4" w:rsidRDefault="00EB017E" w:rsidP="00EB017E">
      <w:pPr>
        <w:pStyle w:val="TableNotes"/>
      </w:pPr>
      <w:r>
        <w:t>95%CI = 95% confidence interval.</w:t>
      </w:r>
      <w:r w:rsidRPr="000116C4">
        <w:t xml:space="preserve"> </w:t>
      </w:r>
    </w:p>
    <w:p w14:paraId="08E98F96" w14:textId="77777777" w:rsidR="00EB017E" w:rsidRDefault="00EB017E" w:rsidP="00EB017E">
      <w:pPr>
        <w:pStyle w:val="TableNotes"/>
      </w:pPr>
      <w:r w:rsidRPr="000116C4">
        <w:t>For a full description of odds ratios, interpretation and strength of association</w:t>
      </w:r>
      <w:r>
        <w:t>,</w:t>
      </w:r>
      <w:r w:rsidRPr="000116C4">
        <w:t xml:space="preserve"> please r</w:t>
      </w:r>
      <w:r w:rsidRPr="00496F0A">
        <w:t xml:space="preserve">efer to Table B.1 in </w:t>
      </w:r>
      <w:r w:rsidR="00374073">
        <w:t>Annex </w:t>
      </w:r>
      <w:r>
        <w:t>B, Odds ratio table.</w:t>
      </w:r>
    </w:p>
    <w:p w14:paraId="03362205" w14:textId="395B03FC" w:rsidR="00EB017E" w:rsidRDefault="00EB017E" w:rsidP="00EB017E">
      <w:pPr>
        <w:pStyle w:val="FigureName"/>
      </w:pPr>
      <w:bookmarkStart w:id="817" w:name="_Ref509915585"/>
      <w:bookmarkStart w:id="818" w:name="_Toc507594495"/>
      <w:bookmarkStart w:id="819" w:name="_Toc509922958"/>
      <w:bookmarkStart w:id="820" w:name="_Toc515374732"/>
      <w:bookmarkStart w:id="821" w:name="_Toc528932416"/>
      <w:bookmarkStart w:id="822" w:name="_Toc531858096"/>
      <w:r w:rsidRPr="00E65C01">
        <w:t xml:space="preserve">Figure </w:t>
      </w:r>
      <w:r>
        <w:rPr>
          <w:noProof/>
        </w:rPr>
        <w:t>7</w:t>
      </w:r>
      <w:r>
        <w:t>.</w:t>
      </w:r>
      <w:r>
        <w:rPr>
          <w:noProof/>
        </w:rPr>
        <w:t>2</w:t>
      </w:r>
      <w:bookmarkEnd w:id="817"/>
      <w:r>
        <w:tab/>
      </w:r>
      <w:r w:rsidRPr="00E65C01">
        <w:t>Timing</w:t>
      </w:r>
      <w:r w:rsidRPr="00E646D2">
        <w:t xml:space="preserve"> of </w:t>
      </w:r>
      <w:r>
        <w:t>internet</w:t>
      </w:r>
      <w:r w:rsidRPr="00E646D2">
        <w:t xml:space="preserve"> use to seek help or access information about mental health </w:t>
      </w:r>
      <w:r>
        <w:t>among Transitioned ADF and 2015 Regular ADF</w:t>
      </w:r>
      <w:bookmarkEnd w:id="818"/>
      <w:bookmarkEnd w:id="819"/>
      <w:bookmarkEnd w:id="820"/>
      <w:r>
        <w:t xml:space="preserv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821"/>
      <w:bookmarkEnd w:id="822"/>
    </w:p>
    <w:p w14:paraId="4EC3D9F4" w14:textId="77777777" w:rsidR="00EB017E" w:rsidRDefault="005C60DC" w:rsidP="005C60DC">
      <w:pPr>
        <w:spacing w:after="360"/>
      </w:pPr>
      <w:r w:rsidRPr="001A4FD0">
        <w:rPr>
          <w:noProof/>
          <w:lang w:eastAsia="en-AU"/>
        </w:rPr>
        <w:drawing>
          <wp:inline distT="0" distB="0" distL="0" distR="0" wp14:anchorId="4F3F67B2" wp14:editId="51143EF9">
            <wp:extent cx="4572000" cy="2377251"/>
            <wp:effectExtent l="0" t="0" r="0" b="4445"/>
            <wp:docPr id="474" name="Picture 474" descr="Figure 7.2 Timing of internet use to seek help or access information about mental health among Transitioned ADF and 2015 Regular ADF who reported using the internet to seek help or information for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althSciences\SPHCP\CTSS\DATA REPOSITORY\TWRP\REPORT 5\FIGURE_4_1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572000" cy="2377251"/>
                    </a:xfrm>
                    <a:prstGeom prst="rect">
                      <a:avLst/>
                    </a:prstGeom>
                    <a:noFill/>
                    <a:ln>
                      <a:noFill/>
                    </a:ln>
                  </pic:spPr>
                </pic:pic>
              </a:graphicData>
            </a:graphic>
          </wp:inline>
        </w:drawing>
      </w:r>
    </w:p>
    <w:p w14:paraId="4A8D5210" w14:textId="77777777" w:rsidR="00EB017E" w:rsidRPr="00B17770" w:rsidRDefault="00EB017E" w:rsidP="00EB017E">
      <w:pPr>
        <w:pStyle w:val="Heading3"/>
        <w:numPr>
          <w:ilvl w:val="2"/>
          <w:numId w:val="1"/>
        </w:numPr>
      </w:pPr>
      <w:bookmarkStart w:id="823" w:name="_Toc509917457"/>
      <w:bookmarkStart w:id="824" w:name="_Toc515374517"/>
      <w:bookmarkStart w:id="825" w:name="_Toc518566417"/>
      <w:bookmarkStart w:id="826" w:name="_Toc528932701"/>
      <w:bookmarkStart w:id="827" w:name="_Toc531859238"/>
      <w:r w:rsidRPr="00B17770">
        <w:t>Probable 30-day disorder and demographic characteristics</w:t>
      </w:r>
      <w:bookmarkEnd w:id="823"/>
      <w:bookmarkEnd w:id="824"/>
      <w:bookmarkEnd w:id="825"/>
      <w:bookmarkEnd w:id="826"/>
      <w:bookmarkEnd w:id="827"/>
    </w:p>
    <w:p w14:paraId="2A921A4A" w14:textId="77777777" w:rsidR="00EB017E" w:rsidRDefault="00EB017E" w:rsidP="00EB017E">
      <w:r w:rsidRPr="0010531B">
        <w:t xml:space="preserve">Table </w:t>
      </w:r>
      <w:r>
        <w:rPr>
          <w:noProof/>
        </w:rPr>
        <w:t>7.4</w:t>
      </w:r>
      <w:r>
        <w:t xml:space="preserve"> </w:t>
      </w:r>
      <w:r w:rsidRPr="009F6C1C">
        <w:t xml:space="preserve">presents self-reported timing of </w:t>
      </w:r>
      <w:r>
        <w:t>internet</w:t>
      </w:r>
      <w:r w:rsidRPr="009F6C1C">
        <w:t xml:space="preserve"> use for accessing mental health information </w:t>
      </w:r>
      <w:r>
        <w:t>among Transitioned ADF and 2015 Regular ADF</w:t>
      </w:r>
      <w:r w:rsidRPr="009F6C1C">
        <w:t xml:space="preserve"> according to probable 30</w:t>
      </w:r>
      <w:r w:rsidR="005C60DC">
        <w:noBreakHyphen/>
      </w:r>
      <w:r w:rsidRPr="009F6C1C">
        <w:t>day disorder and demographic characteristics.</w:t>
      </w:r>
      <w:r>
        <w:t xml:space="preserve"> </w:t>
      </w:r>
    </w:p>
    <w:p w14:paraId="420740A1" w14:textId="77777777" w:rsidR="00EB017E" w:rsidRPr="009F6C1C" w:rsidRDefault="00EB017E" w:rsidP="00EB017E">
      <w:r w:rsidRPr="009F6C1C">
        <w:t>Among the Transitioned ADF</w:t>
      </w:r>
      <w:r>
        <w:t xml:space="preserv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rsidRPr="00975B8F">
        <w:rPr>
          <w:szCs w:val="22"/>
        </w:rPr>
        <w:t xml:space="preserve">, </w:t>
      </w:r>
      <w:r w:rsidRPr="009F6C1C">
        <w:t xml:space="preserve">there were no differences </w:t>
      </w:r>
      <w:r>
        <w:t>in the proportions of those with a probable disorder using the internet between 9 am and 8</w:t>
      </w:r>
      <w:r w:rsidR="005C60DC">
        <w:t> </w:t>
      </w:r>
      <w:r>
        <w:t>pm</w:t>
      </w:r>
      <w:r w:rsidRPr="009F6C1C">
        <w:t xml:space="preserve"> </w:t>
      </w:r>
      <w:r>
        <w:t xml:space="preserve">(44.7%) and between 8 pm and 9 am (50.0%). Among Transitioned ADF without a probable disorder, the same pattern was apparent, with relatively equal numbers using the internet between 9 am and 8 pm (47.8%) and using it between 8 pm and 9 am (45.8%). </w:t>
      </w:r>
      <w:r w:rsidRPr="009F6C1C">
        <w:t xml:space="preserve">Among the 2015 Regular ADF, those with a probable disorder were more likely to report using the </w:t>
      </w:r>
      <w:r>
        <w:t>internet</w:t>
      </w:r>
      <w:r w:rsidRPr="009F6C1C">
        <w:t xml:space="preserve"> for </w:t>
      </w:r>
      <w:r>
        <w:t>their mental health</w:t>
      </w:r>
      <w:r w:rsidRPr="009F6C1C">
        <w:t xml:space="preserve"> between 9</w:t>
      </w:r>
      <w:r>
        <w:t> am</w:t>
      </w:r>
      <w:r w:rsidRPr="009F6C1C">
        <w:t xml:space="preserve"> and 8</w:t>
      </w:r>
      <w:r>
        <w:t xml:space="preserve"> pm than between 8 pm and 9 am (66.6% vs 31.9%)</w:t>
      </w:r>
      <w:r w:rsidRPr="009F6C1C">
        <w:t>.</w:t>
      </w:r>
    </w:p>
    <w:p w14:paraId="2B473FB9" w14:textId="77777777" w:rsidR="00EB017E" w:rsidRPr="009F6C1C" w:rsidRDefault="00EB017E" w:rsidP="00EB017E">
      <w:r w:rsidRPr="009F6C1C">
        <w:t xml:space="preserve">There were no differences in the timing of </w:t>
      </w:r>
      <w:r>
        <w:t>internet</w:t>
      </w:r>
      <w:r w:rsidRPr="009F6C1C">
        <w:t xml:space="preserve"> use for males and females in either the Transitioned ADF or 2015 Regular ADF</w:t>
      </w:r>
      <w:r>
        <w:t>.</w:t>
      </w:r>
    </w:p>
    <w:p w14:paraId="676470E0" w14:textId="5518B0F2" w:rsidR="00EB017E" w:rsidRDefault="00EB017E" w:rsidP="00EB017E">
      <w:r w:rsidRPr="009F6C1C">
        <w:t xml:space="preserve">When the timing of </w:t>
      </w:r>
      <w:r>
        <w:t>internet</w:t>
      </w:r>
      <w:r w:rsidRPr="009F6C1C">
        <w:t xml:space="preserve"> use was examined according to age bands, </w:t>
      </w:r>
      <w:r w:rsidR="00D8510E">
        <w:t xml:space="preserve">it was seen that </w:t>
      </w:r>
      <w:r>
        <w:t>a higher proportion of Transitioned ADF in the 58+ age band reported using the internet</w:t>
      </w:r>
      <w:r w:rsidRPr="009F6C1C">
        <w:t xml:space="preserve"> </w:t>
      </w:r>
      <w:r>
        <w:t xml:space="preserve">for their mental health </w:t>
      </w:r>
      <w:r w:rsidRPr="009F6C1C">
        <w:t>between 9</w:t>
      </w:r>
      <w:r>
        <w:t xml:space="preserve"> am</w:t>
      </w:r>
      <w:r w:rsidRPr="009F6C1C">
        <w:t xml:space="preserve"> and 8</w:t>
      </w:r>
      <w:r>
        <w:t xml:space="preserve"> pm than between 8 pm and 9 am</w:t>
      </w:r>
      <w:r w:rsidRPr="009F6C1C">
        <w:t xml:space="preserve"> </w:t>
      </w:r>
      <w:r>
        <w:t>(</w:t>
      </w:r>
      <w:r w:rsidRPr="00112859">
        <w:t>67.1</w:t>
      </w:r>
      <w:r>
        <w:t>% vs</w:t>
      </w:r>
      <w:r w:rsidRPr="00112859">
        <w:t xml:space="preserve"> 28.5</w:t>
      </w:r>
      <w:r>
        <w:t>%). Transitioned ADF members aged 58+ were more likely to use the internet for their own mental health between 9 am and 8 pm compared to the Transitioned ADF in the younger age groups.</w:t>
      </w:r>
    </w:p>
    <w:p w14:paraId="134B24F5" w14:textId="77777777" w:rsidR="00EB017E" w:rsidRDefault="00EB017E" w:rsidP="00B76B5B">
      <w:pPr>
        <w:sectPr w:rsidR="00EB017E" w:rsidSect="00463E44">
          <w:footerReference w:type="even" r:id="rId86"/>
          <w:footerReference w:type="default" r:id="rId87"/>
          <w:pgSz w:w="9979" w:h="14170" w:code="243"/>
          <w:pgMar w:top="1440" w:right="1152" w:bottom="1440" w:left="1728" w:header="576" w:footer="576" w:gutter="0"/>
          <w:cols w:space="708"/>
          <w:docGrid w:linePitch="360"/>
        </w:sectPr>
      </w:pPr>
    </w:p>
    <w:p w14:paraId="44D58DD7" w14:textId="77777777" w:rsidR="005A7120" w:rsidRDefault="005A7120" w:rsidP="005A7120">
      <w:pPr>
        <w:pStyle w:val="TableName"/>
      </w:pPr>
      <w:bookmarkStart w:id="828" w:name="_Toc531858023"/>
      <w:bookmarkStart w:id="829" w:name="_Ref509916728"/>
      <w:bookmarkStart w:id="830" w:name="_Toc501633234"/>
      <w:bookmarkStart w:id="831" w:name="_Toc509922894"/>
      <w:bookmarkStart w:id="832" w:name="_Toc515374669"/>
      <w:bookmarkStart w:id="833" w:name="_Toc528932344"/>
      <w:r w:rsidRPr="0010531B">
        <w:t xml:space="preserve">Table </w:t>
      </w:r>
      <w:r>
        <w:rPr>
          <w:noProof/>
        </w:rPr>
        <w:t>7</w:t>
      </w:r>
      <w:r>
        <w:t>.</w:t>
      </w:r>
      <w:r>
        <w:rPr>
          <w:noProof/>
        </w:rPr>
        <w:t>4</w:t>
      </w:r>
      <w:r>
        <w:tab/>
      </w:r>
      <w:r w:rsidRPr="0010531B">
        <w:t xml:space="preserve">Timing of </w:t>
      </w:r>
      <w:r>
        <w:t>internet</w:t>
      </w:r>
      <w:r w:rsidRPr="0010531B">
        <w:t xml:space="preserve"> use to seek help or access information about mental health </w:t>
      </w:r>
      <w:r>
        <w:t xml:space="preserve">among Transitioned ADF and 2015 Regular ADF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rsidRPr="0010531B">
        <w:t>, by probable disorder and demographic characteristics</w:t>
      </w:r>
      <w:bookmarkEnd w:id="828"/>
    </w:p>
    <w:bookmarkEnd w:id="829"/>
    <w:bookmarkEnd w:id="830"/>
    <w:bookmarkEnd w:id="831"/>
    <w:bookmarkEnd w:id="832"/>
    <w:bookmarkEnd w:id="833"/>
    <w:tbl>
      <w:tblPr>
        <w:tblStyle w:val="TWRPTable"/>
        <w:tblW w:w="5000" w:type="pct"/>
        <w:tblLayout w:type="fixed"/>
        <w:tblCellMar>
          <w:left w:w="115" w:type="dxa"/>
          <w:right w:w="115" w:type="dxa"/>
        </w:tblCellMar>
        <w:tblLook w:val="0000" w:firstRow="0" w:lastRow="0" w:firstColumn="0" w:lastColumn="0" w:noHBand="0" w:noVBand="0"/>
        <w:tblDescription w:val="Table 7.4 Timing of internet use to seek help or access information about mental health among Transitioned ADF and 2015 Regular ADF who reported using the internet to seek help or information for or manage mental health issues, by probable disorder and demographic characteristics"/>
      </w:tblPr>
      <w:tblGrid>
        <w:gridCol w:w="1664"/>
        <w:gridCol w:w="426"/>
        <w:gridCol w:w="872"/>
        <w:gridCol w:w="1106"/>
        <w:gridCol w:w="426"/>
        <w:gridCol w:w="872"/>
        <w:gridCol w:w="1106"/>
        <w:gridCol w:w="426"/>
        <w:gridCol w:w="872"/>
        <w:gridCol w:w="1106"/>
        <w:gridCol w:w="426"/>
        <w:gridCol w:w="872"/>
        <w:gridCol w:w="1106"/>
      </w:tblGrid>
      <w:tr w:rsidR="005A7120" w:rsidRPr="00BC49AE" w14:paraId="1C3084C3" w14:textId="77777777" w:rsidTr="005C60DC">
        <w:trPr>
          <w:cantSplit/>
          <w:tblHeader/>
        </w:trPr>
        <w:tc>
          <w:tcPr>
            <w:tcW w:w="1595" w:type="dxa"/>
            <w:tcBorders>
              <w:top w:val="single" w:sz="4" w:space="0" w:color="000000"/>
              <w:bottom w:val="nil"/>
            </w:tcBorders>
          </w:tcPr>
          <w:p w14:paraId="4FAF4BD8" w14:textId="77777777" w:rsidR="005A7120" w:rsidRPr="00BC49AE" w:rsidRDefault="005A7120" w:rsidP="000A2491">
            <w:pPr>
              <w:pStyle w:val="TableText"/>
            </w:pPr>
          </w:p>
        </w:tc>
        <w:tc>
          <w:tcPr>
            <w:tcW w:w="4604" w:type="dxa"/>
            <w:gridSpan w:val="6"/>
            <w:tcBorders>
              <w:top w:val="single" w:sz="4" w:space="0" w:color="000000"/>
              <w:bottom w:val="single" w:sz="4" w:space="0" w:color="000000"/>
            </w:tcBorders>
          </w:tcPr>
          <w:p w14:paraId="12FD7609" w14:textId="77777777" w:rsidR="005A7120" w:rsidRPr="00B17770" w:rsidRDefault="005A7120" w:rsidP="005C60DC">
            <w:pPr>
              <w:pStyle w:val="TableText"/>
              <w:jc w:val="center"/>
              <w:rPr>
                <w:b/>
              </w:rPr>
            </w:pPr>
            <w:r>
              <w:rPr>
                <w:b/>
              </w:rPr>
              <w:t>Transitioned ADF</w:t>
            </w:r>
            <w:r w:rsidR="005C60DC">
              <w:rPr>
                <w:b/>
              </w:rPr>
              <w:br/>
            </w:r>
            <w:r w:rsidRPr="00B17770">
              <w:rPr>
                <w:b/>
              </w:rPr>
              <w:t>n=6116</w:t>
            </w:r>
          </w:p>
        </w:tc>
        <w:tc>
          <w:tcPr>
            <w:tcW w:w="4604" w:type="dxa"/>
            <w:gridSpan w:val="6"/>
            <w:tcBorders>
              <w:top w:val="single" w:sz="4" w:space="0" w:color="000000"/>
              <w:bottom w:val="single" w:sz="4" w:space="0" w:color="000000"/>
            </w:tcBorders>
          </w:tcPr>
          <w:p w14:paraId="20A60592" w14:textId="77777777" w:rsidR="005A7120" w:rsidRPr="00B17770" w:rsidRDefault="005A7120" w:rsidP="005C60DC">
            <w:pPr>
              <w:pStyle w:val="TableText"/>
              <w:jc w:val="center"/>
              <w:rPr>
                <w:b/>
              </w:rPr>
            </w:pPr>
            <w:r w:rsidRPr="00B17770">
              <w:rPr>
                <w:b/>
              </w:rPr>
              <w:t>2015 Regular ADF</w:t>
            </w:r>
            <w:r w:rsidR="005C60DC">
              <w:rPr>
                <w:b/>
              </w:rPr>
              <w:br/>
            </w:r>
            <w:r w:rsidRPr="00B17770">
              <w:rPr>
                <w:b/>
              </w:rPr>
              <w:t>n=9042</w:t>
            </w:r>
          </w:p>
        </w:tc>
      </w:tr>
      <w:tr w:rsidR="005A7120" w:rsidRPr="00BC49AE" w14:paraId="2969328C" w14:textId="77777777" w:rsidTr="005C60DC">
        <w:trPr>
          <w:cantSplit/>
          <w:tblHeader/>
        </w:trPr>
        <w:tc>
          <w:tcPr>
            <w:tcW w:w="1595" w:type="dxa"/>
            <w:tcBorders>
              <w:top w:val="nil"/>
              <w:bottom w:val="nil"/>
            </w:tcBorders>
          </w:tcPr>
          <w:p w14:paraId="0C61F4B3" w14:textId="77777777" w:rsidR="005A7120" w:rsidRPr="00BC49AE" w:rsidRDefault="005A7120" w:rsidP="000A2491">
            <w:pPr>
              <w:pStyle w:val="TableText"/>
            </w:pPr>
          </w:p>
        </w:tc>
        <w:tc>
          <w:tcPr>
            <w:tcW w:w="2302" w:type="dxa"/>
            <w:gridSpan w:val="3"/>
            <w:tcBorders>
              <w:top w:val="single" w:sz="4" w:space="0" w:color="000000"/>
              <w:bottom w:val="single" w:sz="4" w:space="0" w:color="000000"/>
            </w:tcBorders>
          </w:tcPr>
          <w:p w14:paraId="24F531EC" w14:textId="77777777" w:rsidR="005A7120" w:rsidRPr="00B17770" w:rsidRDefault="005A7120" w:rsidP="005C60DC">
            <w:pPr>
              <w:pStyle w:val="TableText"/>
              <w:jc w:val="center"/>
              <w:rPr>
                <w:b/>
              </w:rPr>
            </w:pPr>
            <w:r w:rsidRPr="00B17770">
              <w:rPr>
                <w:b/>
              </w:rPr>
              <w:t>Between 9</w:t>
            </w:r>
            <w:r w:rsidR="005C60DC">
              <w:rPr>
                <w:b/>
              </w:rPr>
              <w:t xml:space="preserve"> </w:t>
            </w:r>
            <w:r w:rsidRPr="00B17770">
              <w:rPr>
                <w:b/>
              </w:rPr>
              <w:t>am and 8</w:t>
            </w:r>
            <w:r>
              <w:rPr>
                <w:b/>
              </w:rPr>
              <w:t xml:space="preserve"> pm</w:t>
            </w:r>
            <w:r w:rsidR="005C60DC">
              <w:rPr>
                <w:b/>
              </w:rPr>
              <w:br/>
            </w:r>
            <w:r w:rsidRPr="00B17770">
              <w:rPr>
                <w:b/>
              </w:rPr>
              <w:t>n=2840</w:t>
            </w:r>
          </w:p>
        </w:tc>
        <w:tc>
          <w:tcPr>
            <w:tcW w:w="2302" w:type="dxa"/>
            <w:gridSpan w:val="3"/>
            <w:tcBorders>
              <w:top w:val="single" w:sz="4" w:space="0" w:color="000000"/>
              <w:bottom w:val="single" w:sz="4" w:space="0" w:color="000000"/>
            </w:tcBorders>
          </w:tcPr>
          <w:p w14:paraId="6D88FBBB" w14:textId="77777777" w:rsidR="005A7120" w:rsidRPr="00B17770" w:rsidRDefault="005A7120" w:rsidP="005C60DC">
            <w:pPr>
              <w:pStyle w:val="TableText"/>
              <w:jc w:val="center"/>
              <w:rPr>
                <w:b/>
              </w:rPr>
            </w:pPr>
            <w:r w:rsidRPr="00B17770">
              <w:rPr>
                <w:b/>
              </w:rPr>
              <w:t>Between 8</w:t>
            </w:r>
            <w:r>
              <w:rPr>
                <w:b/>
              </w:rPr>
              <w:t xml:space="preserve"> pm</w:t>
            </w:r>
            <w:r w:rsidRPr="00B17770">
              <w:rPr>
                <w:b/>
              </w:rPr>
              <w:t xml:space="preserve"> and 9</w:t>
            </w:r>
            <w:r>
              <w:rPr>
                <w:b/>
              </w:rPr>
              <w:t xml:space="preserve"> am</w:t>
            </w:r>
            <w:r w:rsidR="005C60DC">
              <w:rPr>
                <w:b/>
              </w:rPr>
              <w:br/>
            </w:r>
            <w:r>
              <w:rPr>
                <w:b/>
              </w:rPr>
              <w:t>n=</w:t>
            </w:r>
            <w:r w:rsidRPr="00B17770">
              <w:rPr>
                <w:b/>
              </w:rPr>
              <w:t>2916</w:t>
            </w:r>
          </w:p>
        </w:tc>
        <w:tc>
          <w:tcPr>
            <w:tcW w:w="2302" w:type="dxa"/>
            <w:gridSpan w:val="3"/>
            <w:tcBorders>
              <w:top w:val="single" w:sz="4" w:space="0" w:color="000000"/>
              <w:bottom w:val="single" w:sz="4" w:space="0" w:color="000000"/>
            </w:tcBorders>
          </w:tcPr>
          <w:p w14:paraId="3B2E1C56" w14:textId="77777777" w:rsidR="005A7120" w:rsidRPr="00B17770" w:rsidRDefault="005A7120" w:rsidP="005C60DC">
            <w:pPr>
              <w:pStyle w:val="TableText"/>
              <w:jc w:val="center"/>
              <w:rPr>
                <w:b/>
              </w:rPr>
            </w:pPr>
            <w:r w:rsidRPr="00B17770">
              <w:rPr>
                <w:b/>
              </w:rPr>
              <w:t>Between 9</w:t>
            </w:r>
            <w:r>
              <w:rPr>
                <w:b/>
              </w:rPr>
              <w:t xml:space="preserve"> am</w:t>
            </w:r>
            <w:r w:rsidRPr="00B17770">
              <w:rPr>
                <w:b/>
              </w:rPr>
              <w:t xml:space="preserve"> and 8</w:t>
            </w:r>
            <w:r>
              <w:rPr>
                <w:b/>
              </w:rPr>
              <w:t xml:space="preserve"> pm</w:t>
            </w:r>
            <w:r w:rsidR="005C60DC">
              <w:rPr>
                <w:b/>
              </w:rPr>
              <w:br/>
            </w:r>
            <w:r>
              <w:rPr>
                <w:b/>
              </w:rPr>
              <w:t>n</w:t>
            </w:r>
            <w:r w:rsidRPr="00B17770">
              <w:rPr>
                <w:b/>
              </w:rPr>
              <w:t>=4744</w:t>
            </w:r>
          </w:p>
        </w:tc>
        <w:tc>
          <w:tcPr>
            <w:tcW w:w="2302" w:type="dxa"/>
            <w:gridSpan w:val="3"/>
            <w:tcBorders>
              <w:top w:val="single" w:sz="4" w:space="0" w:color="000000"/>
              <w:bottom w:val="single" w:sz="4" w:space="0" w:color="000000"/>
            </w:tcBorders>
          </w:tcPr>
          <w:p w14:paraId="7301DC31" w14:textId="77777777" w:rsidR="005A7120" w:rsidRPr="00B17770" w:rsidRDefault="005A7120" w:rsidP="005C60DC">
            <w:pPr>
              <w:pStyle w:val="TableText"/>
              <w:jc w:val="center"/>
              <w:rPr>
                <w:b/>
              </w:rPr>
            </w:pPr>
            <w:r w:rsidRPr="00B17770">
              <w:rPr>
                <w:b/>
              </w:rPr>
              <w:t>Between 8</w:t>
            </w:r>
            <w:r>
              <w:rPr>
                <w:b/>
              </w:rPr>
              <w:t xml:space="preserve"> pm</w:t>
            </w:r>
            <w:r w:rsidRPr="00B17770">
              <w:rPr>
                <w:b/>
              </w:rPr>
              <w:t xml:space="preserve"> and 9</w:t>
            </w:r>
            <w:r>
              <w:rPr>
                <w:b/>
              </w:rPr>
              <w:t xml:space="preserve"> am</w:t>
            </w:r>
            <w:r w:rsidR="005C60DC">
              <w:rPr>
                <w:b/>
              </w:rPr>
              <w:br/>
            </w:r>
            <w:r>
              <w:rPr>
                <w:b/>
              </w:rPr>
              <w:t>n=</w:t>
            </w:r>
            <w:r w:rsidRPr="00B17770">
              <w:rPr>
                <w:b/>
              </w:rPr>
              <w:t>4012</w:t>
            </w:r>
          </w:p>
        </w:tc>
      </w:tr>
      <w:tr w:rsidR="005C60DC" w:rsidRPr="00BC49AE" w14:paraId="01EEECAB" w14:textId="77777777" w:rsidTr="005C60DC">
        <w:trPr>
          <w:cantSplit/>
          <w:tblHeader/>
        </w:trPr>
        <w:tc>
          <w:tcPr>
            <w:tcW w:w="1595" w:type="dxa"/>
            <w:tcBorders>
              <w:top w:val="nil"/>
              <w:bottom w:val="single" w:sz="4" w:space="0" w:color="000000"/>
            </w:tcBorders>
          </w:tcPr>
          <w:p w14:paraId="43C4EA51" w14:textId="77777777" w:rsidR="005A7120" w:rsidRPr="00BC49AE" w:rsidRDefault="005A7120" w:rsidP="000A2491">
            <w:pPr>
              <w:pStyle w:val="TableText"/>
            </w:pPr>
            <w:r w:rsidRPr="002E0D19">
              <w:rPr>
                <w:b/>
              </w:rPr>
              <w:t>Type</w:t>
            </w:r>
          </w:p>
        </w:tc>
        <w:tc>
          <w:tcPr>
            <w:tcW w:w="408" w:type="dxa"/>
            <w:tcBorders>
              <w:top w:val="single" w:sz="4" w:space="0" w:color="000000"/>
              <w:bottom w:val="single" w:sz="4" w:space="0" w:color="000000"/>
            </w:tcBorders>
          </w:tcPr>
          <w:p w14:paraId="745E0DDF" w14:textId="77777777" w:rsidR="005A7120" w:rsidRPr="00B17770" w:rsidRDefault="005A7120" w:rsidP="000A2491">
            <w:pPr>
              <w:pStyle w:val="TableText"/>
              <w:jc w:val="right"/>
              <w:rPr>
                <w:b/>
              </w:rPr>
            </w:pPr>
            <w:r w:rsidRPr="00B17770">
              <w:rPr>
                <w:b/>
              </w:rPr>
              <w:t>n</w:t>
            </w:r>
          </w:p>
        </w:tc>
        <w:tc>
          <w:tcPr>
            <w:tcW w:w="835" w:type="dxa"/>
            <w:tcBorders>
              <w:top w:val="single" w:sz="4" w:space="0" w:color="000000"/>
              <w:bottom w:val="single" w:sz="4" w:space="0" w:color="000000"/>
            </w:tcBorders>
          </w:tcPr>
          <w:p w14:paraId="57472C28" w14:textId="77777777" w:rsidR="005A7120" w:rsidRPr="00B17770" w:rsidRDefault="005A7120" w:rsidP="000A2491">
            <w:pPr>
              <w:pStyle w:val="TableText"/>
              <w:jc w:val="right"/>
              <w:rPr>
                <w:b/>
              </w:rPr>
            </w:pPr>
            <w:r w:rsidRPr="00B17770">
              <w:rPr>
                <w:b/>
              </w:rPr>
              <w:t>Weighted n</w:t>
            </w:r>
          </w:p>
        </w:tc>
        <w:tc>
          <w:tcPr>
            <w:tcW w:w="1059" w:type="dxa"/>
            <w:tcBorders>
              <w:top w:val="single" w:sz="4" w:space="0" w:color="000000"/>
              <w:bottom w:val="single" w:sz="4" w:space="0" w:color="000000"/>
            </w:tcBorders>
          </w:tcPr>
          <w:p w14:paraId="6075D604" w14:textId="77777777" w:rsidR="005A7120" w:rsidRPr="00B17770" w:rsidRDefault="005A7120" w:rsidP="000A2491">
            <w:pPr>
              <w:pStyle w:val="TableText"/>
              <w:jc w:val="right"/>
              <w:rPr>
                <w:b/>
              </w:rPr>
            </w:pPr>
            <w:r w:rsidRPr="00B17770">
              <w:rPr>
                <w:b/>
              </w:rPr>
              <w:t>% (95%CI)</w:t>
            </w:r>
          </w:p>
        </w:tc>
        <w:tc>
          <w:tcPr>
            <w:tcW w:w="408" w:type="dxa"/>
            <w:tcBorders>
              <w:top w:val="single" w:sz="4" w:space="0" w:color="000000"/>
              <w:bottom w:val="single" w:sz="4" w:space="0" w:color="000000"/>
            </w:tcBorders>
          </w:tcPr>
          <w:p w14:paraId="23A04F57" w14:textId="77777777" w:rsidR="005A7120" w:rsidRPr="00B17770" w:rsidRDefault="005A7120" w:rsidP="000A2491">
            <w:pPr>
              <w:pStyle w:val="TableText"/>
              <w:jc w:val="right"/>
              <w:rPr>
                <w:b/>
              </w:rPr>
            </w:pPr>
            <w:r w:rsidRPr="00B17770">
              <w:rPr>
                <w:b/>
              </w:rPr>
              <w:t>n</w:t>
            </w:r>
          </w:p>
        </w:tc>
        <w:tc>
          <w:tcPr>
            <w:tcW w:w="835" w:type="dxa"/>
            <w:tcBorders>
              <w:top w:val="single" w:sz="4" w:space="0" w:color="000000"/>
              <w:bottom w:val="single" w:sz="4" w:space="0" w:color="000000"/>
            </w:tcBorders>
          </w:tcPr>
          <w:p w14:paraId="5810880F" w14:textId="77777777" w:rsidR="005A7120" w:rsidRPr="00B17770" w:rsidRDefault="005A7120" w:rsidP="000A2491">
            <w:pPr>
              <w:pStyle w:val="TableText"/>
              <w:jc w:val="right"/>
              <w:rPr>
                <w:b/>
              </w:rPr>
            </w:pPr>
            <w:r w:rsidRPr="00B17770">
              <w:rPr>
                <w:b/>
              </w:rPr>
              <w:t>Weighted n</w:t>
            </w:r>
          </w:p>
        </w:tc>
        <w:tc>
          <w:tcPr>
            <w:tcW w:w="1059" w:type="dxa"/>
            <w:tcBorders>
              <w:top w:val="single" w:sz="4" w:space="0" w:color="000000"/>
              <w:bottom w:val="single" w:sz="4" w:space="0" w:color="000000"/>
            </w:tcBorders>
          </w:tcPr>
          <w:p w14:paraId="0D407DEB" w14:textId="77777777" w:rsidR="005A7120" w:rsidRPr="00B17770" w:rsidRDefault="005A7120" w:rsidP="000A2491">
            <w:pPr>
              <w:pStyle w:val="TableText"/>
              <w:jc w:val="right"/>
              <w:rPr>
                <w:b/>
              </w:rPr>
            </w:pPr>
            <w:r w:rsidRPr="00B17770">
              <w:rPr>
                <w:b/>
              </w:rPr>
              <w:t>% (95%CI)</w:t>
            </w:r>
          </w:p>
        </w:tc>
        <w:tc>
          <w:tcPr>
            <w:tcW w:w="408" w:type="dxa"/>
            <w:tcBorders>
              <w:top w:val="single" w:sz="4" w:space="0" w:color="000000"/>
              <w:bottom w:val="single" w:sz="4" w:space="0" w:color="000000"/>
            </w:tcBorders>
          </w:tcPr>
          <w:p w14:paraId="7E2B6B5F" w14:textId="77777777" w:rsidR="005A7120" w:rsidRPr="00B17770" w:rsidRDefault="005A7120" w:rsidP="000A2491">
            <w:pPr>
              <w:pStyle w:val="TableText"/>
              <w:jc w:val="right"/>
              <w:rPr>
                <w:b/>
              </w:rPr>
            </w:pPr>
            <w:r w:rsidRPr="00B17770">
              <w:rPr>
                <w:b/>
              </w:rPr>
              <w:t>n</w:t>
            </w:r>
          </w:p>
        </w:tc>
        <w:tc>
          <w:tcPr>
            <w:tcW w:w="835" w:type="dxa"/>
            <w:tcBorders>
              <w:top w:val="single" w:sz="4" w:space="0" w:color="000000"/>
              <w:bottom w:val="single" w:sz="4" w:space="0" w:color="000000"/>
            </w:tcBorders>
          </w:tcPr>
          <w:p w14:paraId="62C314E5" w14:textId="77777777" w:rsidR="005A7120" w:rsidRPr="00B17770" w:rsidRDefault="005A7120" w:rsidP="000A2491">
            <w:pPr>
              <w:pStyle w:val="TableText"/>
              <w:jc w:val="right"/>
              <w:rPr>
                <w:b/>
              </w:rPr>
            </w:pPr>
            <w:r w:rsidRPr="00B17770">
              <w:rPr>
                <w:b/>
              </w:rPr>
              <w:t>Weighted n</w:t>
            </w:r>
          </w:p>
        </w:tc>
        <w:tc>
          <w:tcPr>
            <w:tcW w:w="1059" w:type="dxa"/>
            <w:tcBorders>
              <w:top w:val="single" w:sz="4" w:space="0" w:color="000000"/>
              <w:bottom w:val="single" w:sz="4" w:space="0" w:color="000000"/>
            </w:tcBorders>
          </w:tcPr>
          <w:p w14:paraId="710578EB" w14:textId="77777777" w:rsidR="005A7120" w:rsidRPr="00B17770" w:rsidRDefault="005A7120" w:rsidP="000A2491">
            <w:pPr>
              <w:pStyle w:val="TableText"/>
              <w:jc w:val="right"/>
              <w:rPr>
                <w:b/>
              </w:rPr>
            </w:pPr>
            <w:r w:rsidRPr="00B17770">
              <w:rPr>
                <w:b/>
              </w:rPr>
              <w:t>% (95%CI)</w:t>
            </w:r>
          </w:p>
        </w:tc>
        <w:tc>
          <w:tcPr>
            <w:tcW w:w="408" w:type="dxa"/>
            <w:tcBorders>
              <w:top w:val="single" w:sz="4" w:space="0" w:color="000000"/>
              <w:bottom w:val="single" w:sz="4" w:space="0" w:color="000000"/>
            </w:tcBorders>
          </w:tcPr>
          <w:p w14:paraId="79FCC681" w14:textId="77777777" w:rsidR="005A7120" w:rsidRPr="00B17770" w:rsidRDefault="005A7120" w:rsidP="000A2491">
            <w:pPr>
              <w:pStyle w:val="TableText"/>
              <w:jc w:val="right"/>
              <w:rPr>
                <w:b/>
              </w:rPr>
            </w:pPr>
            <w:r w:rsidRPr="00B17770">
              <w:rPr>
                <w:b/>
              </w:rPr>
              <w:t>n</w:t>
            </w:r>
          </w:p>
        </w:tc>
        <w:tc>
          <w:tcPr>
            <w:tcW w:w="835" w:type="dxa"/>
            <w:tcBorders>
              <w:top w:val="single" w:sz="4" w:space="0" w:color="000000"/>
              <w:bottom w:val="single" w:sz="4" w:space="0" w:color="000000"/>
            </w:tcBorders>
          </w:tcPr>
          <w:p w14:paraId="71583BDF" w14:textId="77777777" w:rsidR="005A7120" w:rsidRPr="00B17770" w:rsidRDefault="005A7120" w:rsidP="000A2491">
            <w:pPr>
              <w:pStyle w:val="TableText"/>
              <w:jc w:val="right"/>
              <w:rPr>
                <w:b/>
              </w:rPr>
            </w:pPr>
            <w:r w:rsidRPr="00B17770">
              <w:rPr>
                <w:b/>
              </w:rPr>
              <w:t>Weighted n</w:t>
            </w:r>
          </w:p>
        </w:tc>
        <w:tc>
          <w:tcPr>
            <w:tcW w:w="1059" w:type="dxa"/>
            <w:tcBorders>
              <w:top w:val="single" w:sz="4" w:space="0" w:color="000000"/>
              <w:bottom w:val="single" w:sz="4" w:space="0" w:color="000000"/>
            </w:tcBorders>
          </w:tcPr>
          <w:p w14:paraId="60FDC156" w14:textId="77777777" w:rsidR="005A7120" w:rsidRPr="00B17770" w:rsidRDefault="005A7120" w:rsidP="000A2491">
            <w:pPr>
              <w:pStyle w:val="TableText"/>
              <w:jc w:val="right"/>
              <w:rPr>
                <w:b/>
              </w:rPr>
            </w:pPr>
            <w:r w:rsidRPr="00B17770">
              <w:rPr>
                <w:b/>
              </w:rPr>
              <w:t>% (95%CI)</w:t>
            </w:r>
          </w:p>
        </w:tc>
      </w:tr>
      <w:tr w:rsidR="005A7120" w:rsidRPr="00BC49AE" w14:paraId="0F091620"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Borders>
              <w:top w:val="single" w:sz="4" w:space="0" w:color="000000"/>
            </w:tcBorders>
          </w:tcPr>
          <w:p w14:paraId="45FA093A" w14:textId="77777777" w:rsidR="005A7120" w:rsidRPr="00B17770" w:rsidRDefault="005A7120" w:rsidP="000A2491">
            <w:pPr>
              <w:pStyle w:val="TableText"/>
              <w:rPr>
                <w:b/>
              </w:rPr>
            </w:pPr>
            <w:r w:rsidRPr="00B17770">
              <w:rPr>
                <w:b/>
                <w:bCs/>
                <w:color w:val="000000" w:themeColor="text1"/>
              </w:rPr>
              <w:t>Probable 30-day disorder</w:t>
            </w:r>
          </w:p>
        </w:tc>
        <w:tc>
          <w:tcPr>
            <w:tcW w:w="408" w:type="dxa"/>
            <w:tcBorders>
              <w:top w:val="single" w:sz="4" w:space="0" w:color="000000"/>
            </w:tcBorders>
          </w:tcPr>
          <w:p w14:paraId="2440DD40" w14:textId="77777777" w:rsidR="005A7120" w:rsidRPr="00B17770" w:rsidRDefault="005A7120" w:rsidP="000A2491">
            <w:pPr>
              <w:pStyle w:val="TableText"/>
              <w:rPr>
                <w:b/>
              </w:rPr>
            </w:pPr>
          </w:p>
        </w:tc>
        <w:tc>
          <w:tcPr>
            <w:tcW w:w="835" w:type="dxa"/>
            <w:tcBorders>
              <w:top w:val="single" w:sz="4" w:space="0" w:color="000000"/>
            </w:tcBorders>
          </w:tcPr>
          <w:p w14:paraId="6774AF4C" w14:textId="77777777" w:rsidR="005A7120" w:rsidRPr="00B17770" w:rsidRDefault="005A7120" w:rsidP="000A2491">
            <w:pPr>
              <w:pStyle w:val="TableText"/>
              <w:rPr>
                <w:b/>
              </w:rPr>
            </w:pPr>
          </w:p>
        </w:tc>
        <w:tc>
          <w:tcPr>
            <w:tcW w:w="1059" w:type="dxa"/>
            <w:tcBorders>
              <w:top w:val="single" w:sz="4" w:space="0" w:color="000000"/>
            </w:tcBorders>
          </w:tcPr>
          <w:p w14:paraId="0275E8A8" w14:textId="77777777" w:rsidR="005A7120" w:rsidRPr="00BC49AE" w:rsidRDefault="005A7120" w:rsidP="000A2491">
            <w:pPr>
              <w:pStyle w:val="TableText"/>
              <w:jc w:val="right"/>
            </w:pPr>
          </w:p>
        </w:tc>
        <w:tc>
          <w:tcPr>
            <w:tcW w:w="408" w:type="dxa"/>
            <w:tcBorders>
              <w:top w:val="single" w:sz="4" w:space="0" w:color="000000"/>
            </w:tcBorders>
          </w:tcPr>
          <w:p w14:paraId="006B13AE" w14:textId="77777777" w:rsidR="005A7120" w:rsidRPr="00BC49AE" w:rsidRDefault="005A7120" w:rsidP="000A2491">
            <w:pPr>
              <w:pStyle w:val="TableText"/>
              <w:jc w:val="right"/>
            </w:pPr>
          </w:p>
        </w:tc>
        <w:tc>
          <w:tcPr>
            <w:tcW w:w="835" w:type="dxa"/>
            <w:tcBorders>
              <w:top w:val="single" w:sz="4" w:space="0" w:color="000000"/>
            </w:tcBorders>
          </w:tcPr>
          <w:p w14:paraId="26DEB8DB" w14:textId="77777777" w:rsidR="005A7120" w:rsidRPr="00BC49AE" w:rsidRDefault="005A7120" w:rsidP="000A2491">
            <w:pPr>
              <w:pStyle w:val="TableText"/>
              <w:jc w:val="right"/>
            </w:pPr>
          </w:p>
        </w:tc>
        <w:tc>
          <w:tcPr>
            <w:tcW w:w="1059" w:type="dxa"/>
            <w:tcBorders>
              <w:top w:val="single" w:sz="4" w:space="0" w:color="000000"/>
            </w:tcBorders>
          </w:tcPr>
          <w:p w14:paraId="49666E56" w14:textId="77777777" w:rsidR="005A7120" w:rsidRPr="00BC49AE" w:rsidRDefault="005A7120" w:rsidP="000A2491">
            <w:pPr>
              <w:pStyle w:val="TableText"/>
              <w:jc w:val="right"/>
            </w:pPr>
          </w:p>
        </w:tc>
        <w:tc>
          <w:tcPr>
            <w:tcW w:w="408" w:type="dxa"/>
            <w:tcBorders>
              <w:top w:val="single" w:sz="4" w:space="0" w:color="000000"/>
            </w:tcBorders>
          </w:tcPr>
          <w:p w14:paraId="79A3BC8E" w14:textId="77777777" w:rsidR="005A7120" w:rsidRPr="00BC49AE" w:rsidRDefault="005A7120" w:rsidP="000A2491">
            <w:pPr>
              <w:pStyle w:val="TableText"/>
              <w:jc w:val="right"/>
            </w:pPr>
          </w:p>
        </w:tc>
        <w:tc>
          <w:tcPr>
            <w:tcW w:w="835" w:type="dxa"/>
            <w:tcBorders>
              <w:top w:val="single" w:sz="4" w:space="0" w:color="000000"/>
            </w:tcBorders>
          </w:tcPr>
          <w:p w14:paraId="19859DE8" w14:textId="77777777" w:rsidR="005A7120" w:rsidRPr="00BC49AE" w:rsidRDefault="005A7120" w:rsidP="000A2491">
            <w:pPr>
              <w:pStyle w:val="TableText"/>
              <w:jc w:val="right"/>
            </w:pPr>
          </w:p>
        </w:tc>
        <w:tc>
          <w:tcPr>
            <w:tcW w:w="1059" w:type="dxa"/>
            <w:tcBorders>
              <w:top w:val="single" w:sz="4" w:space="0" w:color="000000"/>
            </w:tcBorders>
          </w:tcPr>
          <w:p w14:paraId="36078CBF" w14:textId="77777777" w:rsidR="005A7120" w:rsidRPr="00BC49AE" w:rsidRDefault="005A7120" w:rsidP="000A2491">
            <w:pPr>
              <w:pStyle w:val="TableText"/>
              <w:jc w:val="right"/>
            </w:pPr>
          </w:p>
        </w:tc>
        <w:tc>
          <w:tcPr>
            <w:tcW w:w="408" w:type="dxa"/>
            <w:tcBorders>
              <w:top w:val="single" w:sz="4" w:space="0" w:color="000000"/>
            </w:tcBorders>
          </w:tcPr>
          <w:p w14:paraId="5AAF4F74" w14:textId="77777777" w:rsidR="005A7120" w:rsidRPr="00BC49AE" w:rsidRDefault="005A7120" w:rsidP="000A2491">
            <w:pPr>
              <w:pStyle w:val="TableText"/>
              <w:jc w:val="right"/>
            </w:pPr>
          </w:p>
        </w:tc>
        <w:tc>
          <w:tcPr>
            <w:tcW w:w="835" w:type="dxa"/>
            <w:tcBorders>
              <w:top w:val="single" w:sz="4" w:space="0" w:color="000000"/>
            </w:tcBorders>
          </w:tcPr>
          <w:p w14:paraId="12880DB4" w14:textId="77777777" w:rsidR="005A7120" w:rsidRPr="00BC49AE" w:rsidRDefault="005A7120" w:rsidP="000A2491">
            <w:pPr>
              <w:pStyle w:val="TableText"/>
              <w:jc w:val="right"/>
            </w:pPr>
          </w:p>
        </w:tc>
        <w:tc>
          <w:tcPr>
            <w:tcW w:w="1059" w:type="dxa"/>
            <w:tcBorders>
              <w:top w:val="single" w:sz="4" w:space="0" w:color="000000"/>
            </w:tcBorders>
          </w:tcPr>
          <w:p w14:paraId="08826FD6" w14:textId="77777777" w:rsidR="005A7120" w:rsidRPr="00BC49AE" w:rsidRDefault="005A7120" w:rsidP="000A2491">
            <w:pPr>
              <w:pStyle w:val="TableText"/>
              <w:jc w:val="right"/>
            </w:pPr>
          </w:p>
        </w:tc>
      </w:tr>
      <w:tr w:rsidR="005C60DC" w:rsidRPr="00BC49AE" w14:paraId="5C0705C9" w14:textId="77777777" w:rsidTr="005C60DC">
        <w:trPr>
          <w:cantSplit/>
        </w:trPr>
        <w:tc>
          <w:tcPr>
            <w:tcW w:w="1595" w:type="dxa"/>
          </w:tcPr>
          <w:p w14:paraId="6AA271A2" w14:textId="77777777" w:rsidR="005A7120" w:rsidRPr="00B17770" w:rsidRDefault="005A7120" w:rsidP="000A2491">
            <w:pPr>
              <w:pStyle w:val="TableText"/>
              <w:rPr>
                <w:bCs/>
                <w:color w:val="000000" w:themeColor="text1"/>
              </w:rPr>
            </w:pPr>
            <w:r w:rsidRPr="00B17770">
              <w:rPr>
                <w:bCs/>
                <w:color w:val="000000" w:themeColor="text1"/>
              </w:rPr>
              <w:t>Yes</w:t>
            </w:r>
          </w:p>
        </w:tc>
        <w:tc>
          <w:tcPr>
            <w:tcW w:w="408" w:type="dxa"/>
          </w:tcPr>
          <w:p w14:paraId="74EE53E7" w14:textId="77777777" w:rsidR="005A7120" w:rsidRPr="0055343F" w:rsidRDefault="005A7120" w:rsidP="000A2491">
            <w:pPr>
              <w:pStyle w:val="TableText"/>
              <w:jc w:val="right"/>
              <w:rPr>
                <w:rFonts w:ascii="Arial" w:hAnsi="Arial" w:cs="Arial"/>
              </w:rPr>
            </w:pPr>
            <w:r w:rsidRPr="0055343F">
              <w:t>176</w:t>
            </w:r>
          </w:p>
        </w:tc>
        <w:tc>
          <w:tcPr>
            <w:tcW w:w="835" w:type="dxa"/>
          </w:tcPr>
          <w:p w14:paraId="7615AF03" w14:textId="77777777" w:rsidR="005A7120" w:rsidRPr="0055343F" w:rsidRDefault="005A7120" w:rsidP="000A2491">
            <w:pPr>
              <w:pStyle w:val="TableText"/>
              <w:jc w:val="right"/>
              <w:rPr>
                <w:rFonts w:ascii="Arial" w:hAnsi="Arial" w:cs="Arial"/>
              </w:rPr>
            </w:pPr>
            <w:r w:rsidRPr="0055343F">
              <w:t>1208</w:t>
            </w:r>
          </w:p>
        </w:tc>
        <w:tc>
          <w:tcPr>
            <w:tcW w:w="1059" w:type="dxa"/>
          </w:tcPr>
          <w:p w14:paraId="38E80E16" w14:textId="77777777" w:rsidR="005A7120" w:rsidRPr="0055343F" w:rsidRDefault="005A7120" w:rsidP="000A2491">
            <w:pPr>
              <w:pStyle w:val="TableText"/>
              <w:jc w:val="right"/>
              <w:rPr>
                <w:rFonts w:ascii="Arial" w:hAnsi="Arial" w:cs="Arial"/>
              </w:rPr>
            </w:pPr>
            <w:r w:rsidRPr="0055343F">
              <w:t>44.7 (38.6</w:t>
            </w:r>
            <w:r>
              <w:t xml:space="preserve">, </w:t>
            </w:r>
            <w:r w:rsidRPr="0055343F">
              <w:t>50.9)</w:t>
            </w:r>
          </w:p>
        </w:tc>
        <w:tc>
          <w:tcPr>
            <w:tcW w:w="408" w:type="dxa"/>
          </w:tcPr>
          <w:p w14:paraId="39712F8B" w14:textId="77777777" w:rsidR="005A7120" w:rsidRPr="0055343F" w:rsidRDefault="005A7120" w:rsidP="000A2491">
            <w:pPr>
              <w:pStyle w:val="TableText"/>
              <w:jc w:val="right"/>
              <w:rPr>
                <w:rFonts w:ascii="Arial" w:hAnsi="Arial" w:cs="Arial"/>
              </w:rPr>
            </w:pPr>
            <w:r w:rsidRPr="0055343F">
              <w:t>196</w:t>
            </w:r>
          </w:p>
        </w:tc>
        <w:tc>
          <w:tcPr>
            <w:tcW w:w="835" w:type="dxa"/>
          </w:tcPr>
          <w:p w14:paraId="4639C143" w14:textId="77777777" w:rsidR="005A7120" w:rsidRPr="0055343F" w:rsidRDefault="005A7120" w:rsidP="000A2491">
            <w:pPr>
              <w:pStyle w:val="TableText"/>
              <w:jc w:val="right"/>
              <w:rPr>
                <w:rFonts w:ascii="Arial" w:hAnsi="Arial" w:cs="Arial"/>
              </w:rPr>
            </w:pPr>
            <w:r w:rsidRPr="0055343F">
              <w:t>1353</w:t>
            </w:r>
          </w:p>
        </w:tc>
        <w:tc>
          <w:tcPr>
            <w:tcW w:w="1059" w:type="dxa"/>
          </w:tcPr>
          <w:p w14:paraId="30B7F20B" w14:textId="77777777" w:rsidR="005A7120" w:rsidRPr="0055343F" w:rsidRDefault="005A7120" w:rsidP="000A2491">
            <w:pPr>
              <w:pStyle w:val="TableText"/>
              <w:jc w:val="right"/>
              <w:rPr>
                <w:rFonts w:ascii="Arial" w:hAnsi="Arial" w:cs="Arial"/>
              </w:rPr>
            </w:pPr>
            <w:r w:rsidRPr="0055343F">
              <w:t>50.0 (43.9</w:t>
            </w:r>
            <w:r>
              <w:t xml:space="preserve">, </w:t>
            </w:r>
            <w:r w:rsidRPr="0055343F">
              <w:t>56.2)</w:t>
            </w:r>
          </w:p>
        </w:tc>
        <w:tc>
          <w:tcPr>
            <w:tcW w:w="408" w:type="dxa"/>
          </w:tcPr>
          <w:p w14:paraId="1BCD6D82" w14:textId="77777777" w:rsidR="005A7120" w:rsidRPr="0055343F" w:rsidRDefault="005A7120" w:rsidP="000A2491">
            <w:pPr>
              <w:pStyle w:val="TableText"/>
              <w:jc w:val="right"/>
              <w:rPr>
                <w:rFonts w:ascii="Arial" w:hAnsi="Arial" w:cs="Arial"/>
              </w:rPr>
            </w:pPr>
            <w:r w:rsidRPr="0055343F">
              <w:t>132</w:t>
            </w:r>
          </w:p>
        </w:tc>
        <w:tc>
          <w:tcPr>
            <w:tcW w:w="835" w:type="dxa"/>
          </w:tcPr>
          <w:p w14:paraId="32EEE214" w14:textId="77777777" w:rsidR="005A7120" w:rsidRPr="0055343F" w:rsidRDefault="005A7120" w:rsidP="000A2491">
            <w:pPr>
              <w:pStyle w:val="TableText"/>
              <w:jc w:val="right"/>
              <w:rPr>
                <w:rFonts w:ascii="Arial" w:hAnsi="Arial" w:cs="Arial"/>
              </w:rPr>
            </w:pPr>
            <w:r w:rsidRPr="0055343F">
              <w:t>1153</w:t>
            </w:r>
          </w:p>
        </w:tc>
        <w:tc>
          <w:tcPr>
            <w:tcW w:w="1059" w:type="dxa"/>
          </w:tcPr>
          <w:p w14:paraId="1163E88B" w14:textId="77777777" w:rsidR="005A7120" w:rsidRPr="0055343F" w:rsidRDefault="005A7120" w:rsidP="000A2491">
            <w:pPr>
              <w:pStyle w:val="TableText"/>
              <w:jc w:val="right"/>
              <w:rPr>
                <w:rFonts w:ascii="Arial" w:hAnsi="Arial" w:cs="Arial"/>
              </w:rPr>
            </w:pPr>
            <w:r w:rsidRPr="0055343F">
              <w:t>66.6 (49.5</w:t>
            </w:r>
            <w:r>
              <w:t xml:space="preserve">, </w:t>
            </w:r>
            <w:r w:rsidRPr="0055343F">
              <w:t>80.2)</w:t>
            </w:r>
          </w:p>
        </w:tc>
        <w:tc>
          <w:tcPr>
            <w:tcW w:w="408" w:type="dxa"/>
          </w:tcPr>
          <w:p w14:paraId="40DCD6B7" w14:textId="77777777" w:rsidR="005A7120" w:rsidRPr="0055343F" w:rsidRDefault="005A7120" w:rsidP="000A2491">
            <w:pPr>
              <w:pStyle w:val="TableText"/>
              <w:jc w:val="right"/>
              <w:rPr>
                <w:rFonts w:ascii="Arial" w:hAnsi="Arial" w:cs="Arial"/>
              </w:rPr>
            </w:pPr>
            <w:r w:rsidRPr="0055343F">
              <w:t>140</w:t>
            </w:r>
          </w:p>
        </w:tc>
        <w:tc>
          <w:tcPr>
            <w:tcW w:w="835" w:type="dxa"/>
          </w:tcPr>
          <w:p w14:paraId="7326097D" w14:textId="77777777" w:rsidR="005A7120" w:rsidRPr="0055343F" w:rsidRDefault="005A7120" w:rsidP="000A2491">
            <w:pPr>
              <w:pStyle w:val="TableText"/>
              <w:jc w:val="right"/>
              <w:rPr>
                <w:rFonts w:ascii="Arial" w:hAnsi="Arial" w:cs="Arial"/>
              </w:rPr>
            </w:pPr>
            <w:r w:rsidRPr="0055343F">
              <w:t>552</w:t>
            </w:r>
          </w:p>
        </w:tc>
        <w:tc>
          <w:tcPr>
            <w:tcW w:w="1059" w:type="dxa"/>
          </w:tcPr>
          <w:p w14:paraId="1546E68A" w14:textId="77777777" w:rsidR="005A7120" w:rsidRPr="0055343F" w:rsidRDefault="005A7120" w:rsidP="000A2491">
            <w:pPr>
              <w:pStyle w:val="TableText"/>
              <w:jc w:val="right"/>
              <w:rPr>
                <w:rFonts w:ascii="Arial" w:hAnsi="Arial" w:cs="Arial"/>
              </w:rPr>
            </w:pPr>
            <w:r w:rsidRPr="0055343F">
              <w:t>31.9 (18.9</w:t>
            </w:r>
            <w:r>
              <w:t xml:space="preserve">, </w:t>
            </w:r>
            <w:r w:rsidRPr="0055343F">
              <w:t>48.4)</w:t>
            </w:r>
          </w:p>
        </w:tc>
      </w:tr>
      <w:tr w:rsidR="005A7120" w:rsidRPr="00BC49AE" w14:paraId="3DAC663F"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1475DF11" w14:textId="77777777" w:rsidR="005A7120" w:rsidRPr="00B17770" w:rsidRDefault="005A7120" w:rsidP="000A2491">
            <w:pPr>
              <w:pStyle w:val="TableText"/>
              <w:rPr>
                <w:bCs/>
                <w:color w:val="000000" w:themeColor="text1"/>
              </w:rPr>
            </w:pPr>
            <w:r w:rsidRPr="00B17770">
              <w:rPr>
                <w:bCs/>
                <w:color w:val="000000" w:themeColor="text1"/>
              </w:rPr>
              <w:t>No</w:t>
            </w:r>
          </w:p>
        </w:tc>
        <w:tc>
          <w:tcPr>
            <w:tcW w:w="408" w:type="dxa"/>
          </w:tcPr>
          <w:p w14:paraId="08FB4A00" w14:textId="77777777" w:rsidR="005A7120" w:rsidRPr="0055343F" w:rsidRDefault="005A7120" w:rsidP="000A2491">
            <w:pPr>
              <w:pStyle w:val="TableText"/>
              <w:jc w:val="right"/>
            </w:pPr>
            <w:r w:rsidRPr="0055343F">
              <w:t>227</w:t>
            </w:r>
          </w:p>
        </w:tc>
        <w:tc>
          <w:tcPr>
            <w:tcW w:w="835" w:type="dxa"/>
          </w:tcPr>
          <w:p w14:paraId="2B5285AB" w14:textId="77777777" w:rsidR="005A7120" w:rsidRPr="0055343F" w:rsidRDefault="005A7120" w:rsidP="000A2491">
            <w:pPr>
              <w:pStyle w:val="TableText"/>
              <w:jc w:val="right"/>
            </w:pPr>
            <w:r w:rsidRPr="0055343F">
              <w:t>1632</w:t>
            </w:r>
          </w:p>
        </w:tc>
        <w:tc>
          <w:tcPr>
            <w:tcW w:w="1059" w:type="dxa"/>
          </w:tcPr>
          <w:p w14:paraId="17DEB648" w14:textId="77777777" w:rsidR="005A7120" w:rsidRPr="0055343F" w:rsidRDefault="005A7120" w:rsidP="000A2491">
            <w:pPr>
              <w:pStyle w:val="TableText"/>
              <w:jc w:val="right"/>
            </w:pPr>
            <w:r w:rsidRPr="0055343F">
              <w:t>47.8 (42.1</w:t>
            </w:r>
            <w:r>
              <w:t xml:space="preserve">, </w:t>
            </w:r>
            <w:r w:rsidRPr="0055343F">
              <w:t>53.7)</w:t>
            </w:r>
          </w:p>
        </w:tc>
        <w:tc>
          <w:tcPr>
            <w:tcW w:w="408" w:type="dxa"/>
          </w:tcPr>
          <w:p w14:paraId="5603B4BB" w14:textId="77777777" w:rsidR="005A7120" w:rsidRPr="0055343F" w:rsidRDefault="005A7120" w:rsidP="000A2491">
            <w:pPr>
              <w:pStyle w:val="TableText"/>
              <w:jc w:val="right"/>
            </w:pPr>
            <w:r w:rsidRPr="0055343F">
              <w:t>215</w:t>
            </w:r>
          </w:p>
        </w:tc>
        <w:tc>
          <w:tcPr>
            <w:tcW w:w="835" w:type="dxa"/>
          </w:tcPr>
          <w:p w14:paraId="67395C32" w14:textId="77777777" w:rsidR="005A7120" w:rsidRPr="0055343F" w:rsidRDefault="005A7120" w:rsidP="000A2491">
            <w:pPr>
              <w:pStyle w:val="TableText"/>
              <w:jc w:val="right"/>
            </w:pPr>
            <w:r w:rsidRPr="0055343F">
              <w:t>1563</w:t>
            </w:r>
          </w:p>
        </w:tc>
        <w:tc>
          <w:tcPr>
            <w:tcW w:w="1059" w:type="dxa"/>
          </w:tcPr>
          <w:p w14:paraId="1E92EA72" w14:textId="77777777" w:rsidR="005A7120" w:rsidRPr="0055343F" w:rsidRDefault="005A7120" w:rsidP="000A2491">
            <w:pPr>
              <w:pStyle w:val="TableText"/>
              <w:jc w:val="right"/>
            </w:pPr>
            <w:r w:rsidRPr="0055343F">
              <w:t>45.8 (40.1</w:t>
            </w:r>
            <w:r>
              <w:t xml:space="preserve">, </w:t>
            </w:r>
            <w:r w:rsidRPr="0055343F">
              <w:t>51.7)</w:t>
            </w:r>
          </w:p>
        </w:tc>
        <w:tc>
          <w:tcPr>
            <w:tcW w:w="408" w:type="dxa"/>
          </w:tcPr>
          <w:p w14:paraId="0538C9B2" w14:textId="77777777" w:rsidR="005A7120" w:rsidRPr="0055343F" w:rsidRDefault="005A7120" w:rsidP="000A2491">
            <w:pPr>
              <w:pStyle w:val="TableText"/>
              <w:jc w:val="right"/>
            </w:pPr>
            <w:r w:rsidRPr="0055343F">
              <w:t>569</w:t>
            </w:r>
          </w:p>
        </w:tc>
        <w:tc>
          <w:tcPr>
            <w:tcW w:w="835" w:type="dxa"/>
          </w:tcPr>
          <w:p w14:paraId="6E9E6091" w14:textId="77777777" w:rsidR="005A7120" w:rsidRPr="0055343F" w:rsidRDefault="005A7120" w:rsidP="000A2491">
            <w:pPr>
              <w:pStyle w:val="TableText"/>
              <w:jc w:val="right"/>
            </w:pPr>
            <w:r w:rsidRPr="0055343F">
              <w:t>3591</w:t>
            </w:r>
          </w:p>
        </w:tc>
        <w:tc>
          <w:tcPr>
            <w:tcW w:w="1059" w:type="dxa"/>
          </w:tcPr>
          <w:p w14:paraId="4CEB8FA3" w14:textId="77777777" w:rsidR="005A7120" w:rsidRPr="0055343F" w:rsidRDefault="005A7120" w:rsidP="000A2491">
            <w:pPr>
              <w:pStyle w:val="TableText"/>
              <w:jc w:val="right"/>
            </w:pPr>
            <w:r w:rsidRPr="0055343F">
              <w:t>49.1 (38.8</w:t>
            </w:r>
            <w:r>
              <w:t xml:space="preserve">, </w:t>
            </w:r>
            <w:r w:rsidRPr="0055343F">
              <w:t>59.6)</w:t>
            </w:r>
          </w:p>
        </w:tc>
        <w:tc>
          <w:tcPr>
            <w:tcW w:w="408" w:type="dxa"/>
          </w:tcPr>
          <w:p w14:paraId="03F24EE3" w14:textId="77777777" w:rsidR="005A7120" w:rsidRPr="0055343F" w:rsidRDefault="005A7120" w:rsidP="000A2491">
            <w:pPr>
              <w:pStyle w:val="TableText"/>
              <w:jc w:val="right"/>
            </w:pPr>
            <w:r w:rsidRPr="0055343F">
              <w:t>534</w:t>
            </w:r>
          </w:p>
        </w:tc>
        <w:tc>
          <w:tcPr>
            <w:tcW w:w="835" w:type="dxa"/>
          </w:tcPr>
          <w:p w14:paraId="01C918CF" w14:textId="77777777" w:rsidR="005A7120" w:rsidRPr="0055343F" w:rsidRDefault="005A7120" w:rsidP="000A2491">
            <w:pPr>
              <w:pStyle w:val="TableText"/>
              <w:jc w:val="right"/>
            </w:pPr>
            <w:r w:rsidRPr="0055343F">
              <w:t>3460</w:t>
            </w:r>
          </w:p>
        </w:tc>
        <w:tc>
          <w:tcPr>
            <w:tcW w:w="1059" w:type="dxa"/>
          </w:tcPr>
          <w:p w14:paraId="1AC97579" w14:textId="77777777" w:rsidR="005A7120" w:rsidRPr="0055343F" w:rsidRDefault="005A7120" w:rsidP="000A2491">
            <w:pPr>
              <w:pStyle w:val="TableText"/>
              <w:jc w:val="right"/>
            </w:pPr>
            <w:r w:rsidRPr="0055343F">
              <w:t>47.3 (37.1</w:t>
            </w:r>
            <w:r>
              <w:t xml:space="preserve">, </w:t>
            </w:r>
            <w:r w:rsidRPr="0055343F">
              <w:t>57.8)</w:t>
            </w:r>
          </w:p>
        </w:tc>
      </w:tr>
      <w:tr w:rsidR="005C60DC" w:rsidRPr="00BC49AE" w14:paraId="7BD54A43" w14:textId="77777777" w:rsidTr="005C60DC">
        <w:trPr>
          <w:cantSplit/>
        </w:trPr>
        <w:tc>
          <w:tcPr>
            <w:tcW w:w="1595" w:type="dxa"/>
          </w:tcPr>
          <w:p w14:paraId="19DB4DB7" w14:textId="77777777" w:rsidR="005A7120" w:rsidRPr="00B17770" w:rsidRDefault="005A7120" w:rsidP="000A2491">
            <w:pPr>
              <w:pStyle w:val="TableText"/>
              <w:rPr>
                <w:b/>
                <w:bCs/>
                <w:color w:val="000000" w:themeColor="text1"/>
              </w:rPr>
            </w:pPr>
            <w:r w:rsidRPr="00B17770">
              <w:rPr>
                <w:b/>
                <w:bCs/>
                <w:color w:val="000000" w:themeColor="text1"/>
              </w:rPr>
              <w:t>Sex</w:t>
            </w:r>
          </w:p>
        </w:tc>
        <w:tc>
          <w:tcPr>
            <w:tcW w:w="408" w:type="dxa"/>
          </w:tcPr>
          <w:p w14:paraId="0D411C42" w14:textId="77777777" w:rsidR="005A7120" w:rsidRPr="0055343F" w:rsidRDefault="005A7120" w:rsidP="000A2491">
            <w:pPr>
              <w:pStyle w:val="TableText"/>
              <w:jc w:val="right"/>
              <w:rPr>
                <w:rFonts w:ascii="Arial" w:hAnsi="Arial" w:cs="Arial"/>
              </w:rPr>
            </w:pPr>
          </w:p>
        </w:tc>
        <w:tc>
          <w:tcPr>
            <w:tcW w:w="835" w:type="dxa"/>
          </w:tcPr>
          <w:p w14:paraId="15E5BAFD" w14:textId="77777777" w:rsidR="005A7120" w:rsidRPr="0055343F" w:rsidRDefault="005A7120" w:rsidP="000A2491">
            <w:pPr>
              <w:pStyle w:val="TableText"/>
              <w:jc w:val="right"/>
              <w:rPr>
                <w:rFonts w:ascii="Arial" w:hAnsi="Arial" w:cs="Arial"/>
              </w:rPr>
            </w:pPr>
          </w:p>
        </w:tc>
        <w:tc>
          <w:tcPr>
            <w:tcW w:w="1059" w:type="dxa"/>
          </w:tcPr>
          <w:p w14:paraId="2943396E" w14:textId="77777777" w:rsidR="005A7120" w:rsidRPr="0055343F" w:rsidRDefault="005A7120" w:rsidP="000A2491">
            <w:pPr>
              <w:pStyle w:val="TableText"/>
              <w:jc w:val="right"/>
              <w:rPr>
                <w:rFonts w:ascii="Arial" w:hAnsi="Arial" w:cs="Arial"/>
              </w:rPr>
            </w:pPr>
          </w:p>
        </w:tc>
        <w:tc>
          <w:tcPr>
            <w:tcW w:w="408" w:type="dxa"/>
          </w:tcPr>
          <w:p w14:paraId="12FEE94F" w14:textId="77777777" w:rsidR="005A7120" w:rsidRPr="0055343F" w:rsidRDefault="005A7120" w:rsidP="000A2491">
            <w:pPr>
              <w:pStyle w:val="TableText"/>
              <w:jc w:val="right"/>
              <w:rPr>
                <w:rFonts w:ascii="Arial" w:hAnsi="Arial" w:cs="Arial"/>
              </w:rPr>
            </w:pPr>
          </w:p>
        </w:tc>
        <w:tc>
          <w:tcPr>
            <w:tcW w:w="835" w:type="dxa"/>
          </w:tcPr>
          <w:p w14:paraId="584945F4" w14:textId="77777777" w:rsidR="005A7120" w:rsidRPr="0055343F" w:rsidRDefault="005A7120" w:rsidP="000A2491">
            <w:pPr>
              <w:pStyle w:val="TableText"/>
              <w:jc w:val="right"/>
              <w:rPr>
                <w:rFonts w:ascii="Arial" w:hAnsi="Arial" w:cs="Arial"/>
              </w:rPr>
            </w:pPr>
          </w:p>
        </w:tc>
        <w:tc>
          <w:tcPr>
            <w:tcW w:w="1059" w:type="dxa"/>
          </w:tcPr>
          <w:p w14:paraId="0E0D7BB5" w14:textId="77777777" w:rsidR="005A7120" w:rsidRPr="0055343F" w:rsidRDefault="005A7120" w:rsidP="000A2491">
            <w:pPr>
              <w:pStyle w:val="TableText"/>
              <w:jc w:val="right"/>
              <w:rPr>
                <w:rFonts w:ascii="Arial" w:hAnsi="Arial" w:cs="Arial"/>
              </w:rPr>
            </w:pPr>
          </w:p>
        </w:tc>
        <w:tc>
          <w:tcPr>
            <w:tcW w:w="408" w:type="dxa"/>
          </w:tcPr>
          <w:p w14:paraId="364F8EF8" w14:textId="77777777" w:rsidR="005A7120" w:rsidRPr="0055343F" w:rsidRDefault="005A7120" w:rsidP="000A2491">
            <w:pPr>
              <w:pStyle w:val="TableText"/>
              <w:jc w:val="right"/>
              <w:rPr>
                <w:rFonts w:ascii="Arial" w:hAnsi="Arial" w:cs="Arial"/>
              </w:rPr>
            </w:pPr>
          </w:p>
        </w:tc>
        <w:tc>
          <w:tcPr>
            <w:tcW w:w="835" w:type="dxa"/>
          </w:tcPr>
          <w:p w14:paraId="252C8D1F" w14:textId="77777777" w:rsidR="005A7120" w:rsidRPr="0055343F" w:rsidRDefault="005A7120" w:rsidP="000A2491">
            <w:pPr>
              <w:pStyle w:val="TableText"/>
              <w:jc w:val="right"/>
              <w:rPr>
                <w:rFonts w:ascii="Arial" w:hAnsi="Arial" w:cs="Arial"/>
              </w:rPr>
            </w:pPr>
          </w:p>
        </w:tc>
        <w:tc>
          <w:tcPr>
            <w:tcW w:w="1059" w:type="dxa"/>
          </w:tcPr>
          <w:p w14:paraId="392EAD9D" w14:textId="77777777" w:rsidR="005A7120" w:rsidRPr="0055343F" w:rsidRDefault="005A7120" w:rsidP="000A2491">
            <w:pPr>
              <w:pStyle w:val="TableText"/>
              <w:jc w:val="right"/>
              <w:rPr>
                <w:rFonts w:ascii="Arial" w:hAnsi="Arial" w:cs="Arial"/>
              </w:rPr>
            </w:pPr>
          </w:p>
        </w:tc>
        <w:tc>
          <w:tcPr>
            <w:tcW w:w="408" w:type="dxa"/>
          </w:tcPr>
          <w:p w14:paraId="4EC72139" w14:textId="77777777" w:rsidR="005A7120" w:rsidRPr="0055343F" w:rsidRDefault="005A7120" w:rsidP="000A2491">
            <w:pPr>
              <w:pStyle w:val="TableText"/>
              <w:jc w:val="right"/>
              <w:rPr>
                <w:rFonts w:ascii="Arial" w:hAnsi="Arial" w:cs="Arial"/>
              </w:rPr>
            </w:pPr>
          </w:p>
        </w:tc>
        <w:tc>
          <w:tcPr>
            <w:tcW w:w="835" w:type="dxa"/>
          </w:tcPr>
          <w:p w14:paraId="48526298" w14:textId="77777777" w:rsidR="005A7120" w:rsidRPr="0055343F" w:rsidRDefault="005A7120" w:rsidP="000A2491">
            <w:pPr>
              <w:pStyle w:val="TableText"/>
              <w:jc w:val="right"/>
              <w:rPr>
                <w:rFonts w:ascii="Arial" w:hAnsi="Arial" w:cs="Arial"/>
              </w:rPr>
            </w:pPr>
          </w:p>
        </w:tc>
        <w:tc>
          <w:tcPr>
            <w:tcW w:w="1059" w:type="dxa"/>
          </w:tcPr>
          <w:p w14:paraId="1B9D47B9" w14:textId="77777777" w:rsidR="005A7120" w:rsidRPr="0055343F" w:rsidRDefault="005A7120" w:rsidP="000A2491">
            <w:pPr>
              <w:pStyle w:val="TableText"/>
              <w:jc w:val="right"/>
              <w:rPr>
                <w:rFonts w:ascii="Arial" w:hAnsi="Arial" w:cs="Arial"/>
              </w:rPr>
            </w:pPr>
          </w:p>
        </w:tc>
      </w:tr>
      <w:tr w:rsidR="005A7120" w:rsidRPr="00BC49AE" w14:paraId="60297BB8"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408EE62C" w14:textId="77777777" w:rsidR="005A7120" w:rsidRPr="00B17770" w:rsidRDefault="005A7120" w:rsidP="000A2491">
            <w:pPr>
              <w:pStyle w:val="TableText"/>
              <w:rPr>
                <w:bCs/>
                <w:color w:val="000000" w:themeColor="text1"/>
              </w:rPr>
            </w:pPr>
            <w:r w:rsidRPr="00B17770">
              <w:rPr>
                <w:bCs/>
                <w:color w:val="000000" w:themeColor="text1"/>
              </w:rPr>
              <w:t>Male</w:t>
            </w:r>
          </w:p>
        </w:tc>
        <w:tc>
          <w:tcPr>
            <w:tcW w:w="408" w:type="dxa"/>
          </w:tcPr>
          <w:p w14:paraId="45210D4F" w14:textId="77777777" w:rsidR="005A7120" w:rsidRPr="0055343F" w:rsidRDefault="005A7120" w:rsidP="000A2491">
            <w:pPr>
              <w:pStyle w:val="TableText"/>
              <w:jc w:val="right"/>
              <w:rPr>
                <w:rFonts w:ascii="Arial" w:hAnsi="Arial" w:cs="Arial"/>
              </w:rPr>
            </w:pPr>
            <w:r w:rsidRPr="0055343F">
              <w:t>305</w:t>
            </w:r>
          </w:p>
        </w:tc>
        <w:tc>
          <w:tcPr>
            <w:tcW w:w="835" w:type="dxa"/>
          </w:tcPr>
          <w:p w14:paraId="20087C0C" w14:textId="77777777" w:rsidR="005A7120" w:rsidRPr="0055343F" w:rsidRDefault="005A7120" w:rsidP="000A2491">
            <w:pPr>
              <w:pStyle w:val="TableText"/>
              <w:jc w:val="right"/>
              <w:rPr>
                <w:rFonts w:ascii="Arial" w:hAnsi="Arial" w:cs="Arial"/>
              </w:rPr>
            </w:pPr>
            <w:r w:rsidRPr="0055343F">
              <w:t>2220</w:t>
            </w:r>
          </w:p>
        </w:tc>
        <w:tc>
          <w:tcPr>
            <w:tcW w:w="1059" w:type="dxa"/>
          </w:tcPr>
          <w:p w14:paraId="008BA4DE" w14:textId="77777777" w:rsidR="005A7120" w:rsidRPr="0055343F" w:rsidRDefault="005A7120" w:rsidP="000A2491">
            <w:pPr>
              <w:pStyle w:val="TableText"/>
              <w:jc w:val="right"/>
              <w:rPr>
                <w:rFonts w:ascii="Arial" w:hAnsi="Arial" w:cs="Arial"/>
              </w:rPr>
            </w:pPr>
            <w:r w:rsidRPr="0055343F">
              <w:t>44.5 (39.7</w:t>
            </w:r>
            <w:r>
              <w:t xml:space="preserve">, </w:t>
            </w:r>
            <w:r w:rsidRPr="0055343F">
              <w:t>49.4)</w:t>
            </w:r>
          </w:p>
        </w:tc>
        <w:tc>
          <w:tcPr>
            <w:tcW w:w="408" w:type="dxa"/>
          </w:tcPr>
          <w:p w14:paraId="08407739" w14:textId="77777777" w:rsidR="005A7120" w:rsidRPr="0055343F" w:rsidRDefault="005A7120" w:rsidP="000A2491">
            <w:pPr>
              <w:pStyle w:val="TableText"/>
              <w:jc w:val="right"/>
              <w:rPr>
                <w:rFonts w:ascii="Arial" w:hAnsi="Arial" w:cs="Arial"/>
              </w:rPr>
            </w:pPr>
            <w:r w:rsidRPr="0055343F">
              <w:t>327</w:t>
            </w:r>
          </w:p>
        </w:tc>
        <w:tc>
          <w:tcPr>
            <w:tcW w:w="835" w:type="dxa"/>
          </w:tcPr>
          <w:p w14:paraId="2C2A7D62" w14:textId="77777777" w:rsidR="005A7120" w:rsidRPr="0055343F" w:rsidRDefault="005A7120" w:rsidP="000A2491">
            <w:pPr>
              <w:pStyle w:val="TableText"/>
              <w:jc w:val="right"/>
              <w:rPr>
                <w:rFonts w:ascii="Arial" w:hAnsi="Arial" w:cs="Arial"/>
              </w:rPr>
            </w:pPr>
            <w:r w:rsidRPr="0055343F">
              <w:t>2470</w:t>
            </w:r>
          </w:p>
        </w:tc>
        <w:tc>
          <w:tcPr>
            <w:tcW w:w="1059" w:type="dxa"/>
          </w:tcPr>
          <w:p w14:paraId="7518D601" w14:textId="77777777" w:rsidR="005A7120" w:rsidRPr="0055343F" w:rsidRDefault="005A7120" w:rsidP="000A2491">
            <w:pPr>
              <w:pStyle w:val="TableText"/>
              <w:jc w:val="right"/>
              <w:rPr>
                <w:rFonts w:ascii="Arial" w:hAnsi="Arial" w:cs="Arial"/>
              </w:rPr>
            </w:pPr>
            <w:r w:rsidRPr="0055343F">
              <w:t>49.5 (44.6</w:t>
            </w:r>
            <w:r>
              <w:t xml:space="preserve">, </w:t>
            </w:r>
            <w:r w:rsidRPr="0055343F">
              <w:t>54.4)</w:t>
            </w:r>
          </w:p>
        </w:tc>
        <w:tc>
          <w:tcPr>
            <w:tcW w:w="408" w:type="dxa"/>
          </w:tcPr>
          <w:p w14:paraId="54D6CBCD" w14:textId="77777777" w:rsidR="005A7120" w:rsidRPr="0055343F" w:rsidRDefault="005A7120" w:rsidP="000A2491">
            <w:pPr>
              <w:pStyle w:val="TableText"/>
              <w:jc w:val="right"/>
              <w:rPr>
                <w:rFonts w:ascii="Arial" w:hAnsi="Arial" w:cs="Arial"/>
              </w:rPr>
            </w:pPr>
            <w:r w:rsidRPr="0055343F">
              <w:t>487</w:t>
            </w:r>
          </w:p>
        </w:tc>
        <w:tc>
          <w:tcPr>
            <w:tcW w:w="835" w:type="dxa"/>
          </w:tcPr>
          <w:p w14:paraId="4F555B34" w14:textId="77777777" w:rsidR="005A7120" w:rsidRPr="0055343F" w:rsidRDefault="005A7120" w:rsidP="000A2491">
            <w:pPr>
              <w:pStyle w:val="TableText"/>
              <w:jc w:val="right"/>
              <w:rPr>
                <w:rFonts w:ascii="Arial" w:hAnsi="Arial" w:cs="Arial"/>
              </w:rPr>
            </w:pPr>
            <w:r w:rsidRPr="0055343F">
              <w:t>4029</w:t>
            </w:r>
          </w:p>
        </w:tc>
        <w:tc>
          <w:tcPr>
            <w:tcW w:w="1059" w:type="dxa"/>
          </w:tcPr>
          <w:p w14:paraId="1898AAAB" w14:textId="77777777" w:rsidR="005A7120" w:rsidRPr="0055343F" w:rsidRDefault="005A7120" w:rsidP="000A2491">
            <w:pPr>
              <w:pStyle w:val="TableText"/>
              <w:jc w:val="right"/>
              <w:rPr>
                <w:rFonts w:ascii="Arial" w:hAnsi="Arial" w:cs="Arial"/>
              </w:rPr>
            </w:pPr>
            <w:r w:rsidRPr="0055343F">
              <w:t>52.8 (41.7</w:t>
            </w:r>
            <w:r>
              <w:t xml:space="preserve">, </w:t>
            </w:r>
            <w:r w:rsidRPr="0055343F">
              <w:t>63.6)</w:t>
            </w:r>
          </w:p>
        </w:tc>
        <w:tc>
          <w:tcPr>
            <w:tcW w:w="408" w:type="dxa"/>
          </w:tcPr>
          <w:p w14:paraId="33D80E41" w14:textId="77777777" w:rsidR="005A7120" w:rsidRPr="0055343F" w:rsidRDefault="005A7120" w:rsidP="000A2491">
            <w:pPr>
              <w:pStyle w:val="TableText"/>
              <w:jc w:val="right"/>
              <w:rPr>
                <w:rFonts w:ascii="Arial" w:hAnsi="Arial" w:cs="Arial"/>
              </w:rPr>
            </w:pPr>
            <w:r w:rsidRPr="0055343F">
              <w:t>472</w:t>
            </w:r>
          </w:p>
        </w:tc>
        <w:tc>
          <w:tcPr>
            <w:tcW w:w="835" w:type="dxa"/>
          </w:tcPr>
          <w:p w14:paraId="02A7ACEF" w14:textId="77777777" w:rsidR="005A7120" w:rsidRPr="0055343F" w:rsidRDefault="005A7120" w:rsidP="000A2491">
            <w:pPr>
              <w:pStyle w:val="TableText"/>
              <w:jc w:val="right"/>
              <w:rPr>
                <w:rFonts w:ascii="Arial" w:hAnsi="Arial" w:cs="Arial"/>
              </w:rPr>
            </w:pPr>
            <w:r w:rsidRPr="0055343F">
              <w:t>3362</w:t>
            </w:r>
          </w:p>
        </w:tc>
        <w:tc>
          <w:tcPr>
            <w:tcW w:w="1059" w:type="dxa"/>
          </w:tcPr>
          <w:p w14:paraId="75A1EDB7" w14:textId="77777777" w:rsidR="005A7120" w:rsidRPr="0055343F" w:rsidRDefault="005A7120" w:rsidP="000A2491">
            <w:pPr>
              <w:pStyle w:val="TableText"/>
              <w:jc w:val="right"/>
              <w:rPr>
                <w:rFonts w:ascii="Arial" w:hAnsi="Arial" w:cs="Arial"/>
              </w:rPr>
            </w:pPr>
            <w:r w:rsidRPr="0055343F">
              <w:t>44.0 (33.5</w:t>
            </w:r>
            <w:r>
              <w:t xml:space="preserve">, </w:t>
            </w:r>
            <w:r w:rsidRPr="0055343F">
              <w:t>55.2)</w:t>
            </w:r>
          </w:p>
        </w:tc>
      </w:tr>
      <w:tr w:rsidR="005C60DC" w:rsidRPr="00BC49AE" w14:paraId="6E444F7D" w14:textId="77777777" w:rsidTr="005C60DC">
        <w:trPr>
          <w:cantSplit/>
        </w:trPr>
        <w:tc>
          <w:tcPr>
            <w:tcW w:w="1595" w:type="dxa"/>
          </w:tcPr>
          <w:p w14:paraId="327C2487" w14:textId="77777777" w:rsidR="005A7120" w:rsidRPr="00B17770" w:rsidRDefault="005A7120" w:rsidP="000A2491">
            <w:pPr>
              <w:pStyle w:val="TableText"/>
              <w:rPr>
                <w:bCs/>
                <w:color w:val="000000" w:themeColor="text1"/>
              </w:rPr>
            </w:pPr>
            <w:r w:rsidRPr="00B17770">
              <w:rPr>
                <w:bCs/>
                <w:color w:val="000000" w:themeColor="text1"/>
              </w:rPr>
              <w:t>Female</w:t>
            </w:r>
          </w:p>
        </w:tc>
        <w:tc>
          <w:tcPr>
            <w:tcW w:w="408" w:type="dxa"/>
          </w:tcPr>
          <w:p w14:paraId="5F920AFC" w14:textId="77777777" w:rsidR="005A7120" w:rsidRPr="0055343F" w:rsidRDefault="005A7120" w:rsidP="000A2491">
            <w:pPr>
              <w:pStyle w:val="TableText"/>
              <w:jc w:val="right"/>
              <w:rPr>
                <w:rFonts w:ascii="Arial" w:hAnsi="Arial" w:cs="Arial"/>
              </w:rPr>
            </w:pPr>
            <w:r w:rsidRPr="0055343F">
              <w:t>98</w:t>
            </w:r>
          </w:p>
        </w:tc>
        <w:tc>
          <w:tcPr>
            <w:tcW w:w="835" w:type="dxa"/>
          </w:tcPr>
          <w:p w14:paraId="00BC4B61" w14:textId="77777777" w:rsidR="005A7120" w:rsidRPr="0055343F" w:rsidRDefault="005A7120" w:rsidP="000A2491">
            <w:pPr>
              <w:pStyle w:val="TableText"/>
              <w:jc w:val="right"/>
              <w:rPr>
                <w:rFonts w:ascii="Arial" w:hAnsi="Arial" w:cs="Arial"/>
              </w:rPr>
            </w:pPr>
            <w:r w:rsidRPr="0055343F">
              <w:t>620</w:t>
            </w:r>
          </w:p>
        </w:tc>
        <w:tc>
          <w:tcPr>
            <w:tcW w:w="1059" w:type="dxa"/>
          </w:tcPr>
          <w:p w14:paraId="52A475F2" w14:textId="77777777" w:rsidR="005A7120" w:rsidRPr="0055343F" w:rsidRDefault="005A7120" w:rsidP="000A2491">
            <w:pPr>
              <w:pStyle w:val="TableText"/>
              <w:jc w:val="right"/>
              <w:rPr>
                <w:rFonts w:ascii="Arial" w:hAnsi="Arial" w:cs="Arial"/>
              </w:rPr>
            </w:pPr>
            <w:r w:rsidRPr="0055343F">
              <w:t>55.1 (47.1</w:t>
            </w:r>
            <w:r>
              <w:t xml:space="preserve">, </w:t>
            </w:r>
            <w:r w:rsidRPr="0055343F">
              <w:t>62.8)</w:t>
            </w:r>
          </w:p>
        </w:tc>
        <w:tc>
          <w:tcPr>
            <w:tcW w:w="408" w:type="dxa"/>
          </w:tcPr>
          <w:p w14:paraId="0A4D971D" w14:textId="77777777" w:rsidR="005A7120" w:rsidRPr="0055343F" w:rsidRDefault="005A7120" w:rsidP="000A2491">
            <w:pPr>
              <w:pStyle w:val="TableText"/>
              <w:jc w:val="right"/>
              <w:rPr>
                <w:rFonts w:ascii="Arial" w:hAnsi="Arial" w:cs="Arial"/>
              </w:rPr>
            </w:pPr>
            <w:r w:rsidRPr="0055343F">
              <w:t>84</w:t>
            </w:r>
          </w:p>
        </w:tc>
        <w:tc>
          <w:tcPr>
            <w:tcW w:w="835" w:type="dxa"/>
          </w:tcPr>
          <w:p w14:paraId="5DAAFC70" w14:textId="77777777" w:rsidR="005A7120" w:rsidRPr="0055343F" w:rsidRDefault="005A7120" w:rsidP="000A2491">
            <w:pPr>
              <w:pStyle w:val="TableText"/>
              <w:jc w:val="right"/>
              <w:rPr>
                <w:rFonts w:ascii="Arial" w:hAnsi="Arial" w:cs="Arial"/>
              </w:rPr>
            </w:pPr>
            <w:r w:rsidRPr="0055343F">
              <w:t>446</w:t>
            </w:r>
          </w:p>
        </w:tc>
        <w:tc>
          <w:tcPr>
            <w:tcW w:w="1059" w:type="dxa"/>
          </w:tcPr>
          <w:p w14:paraId="03A34AC7" w14:textId="77777777" w:rsidR="005A7120" w:rsidRPr="0055343F" w:rsidRDefault="005A7120" w:rsidP="000A2491">
            <w:pPr>
              <w:pStyle w:val="TableText"/>
              <w:jc w:val="right"/>
              <w:rPr>
                <w:rFonts w:ascii="Arial" w:hAnsi="Arial" w:cs="Arial"/>
              </w:rPr>
            </w:pPr>
            <w:r w:rsidRPr="0055343F">
              <w:t>39.6 (32.2</w:t>
            </w:r>
            <w:r>
              <w:t xml:space="preserve">, </w:t>
            </w:r>
            <w:r w:rsidRPr="0055343F">
              <w:t>47.5)</w:t>
            </w:r>
          </w:p>
        </w:tc>
        <w:tc>
          <w:tcPr>
            <w:tcW w:w="408" w:type="dxa"/>
          </w:tcPr>
          <w:p w14:paraId="2A7871F6" w14:textId="77777777" w:rsidR="005A7120" w:rsidRPr="0055343F" w:rsidRDefault="005A7120" w:rsidP="000A2491">
            <w:pPr>
              <w:pStyle w:val="TableText"/>
              <w:jc w:val="right"/>
              <w:rPr>
                <w:rFonts w:ascii="Arial" w:hAnsi="Arial" w:cs="Arial"/>
              </w:rPr>
            </w:pPr>
            <w:r w:rsidRPr="0055343F">
              <w:t>214</w:t>
            </w:r>
          </w:p>
        </w:tc>
        <w:tc>
          <w:tcPr>
            <w:tcW w:w="835" w:type="dxa"/>
          </w:tcPr>
          <w:p w14:paraId="69B8B0A6" w14:textId="77777777" w:rsidR="005A7120" w:rsidRPr="0055343F" w:rsidRDefault="005A7120" w:rsidP="000A2491">
            <w:pPr>
              <w:pStyle w:val="TableText"/>
              <w:jc w:val="right"/>
              <w:rPr>
                <w:rFonts w:ascii="Arial" w:hAnsi="Arial" w:cs="Arial"/>
              </w:rPr>
            </w:pPr>
            <w:r w:rsidRPr="0055343F">
              <w:t>715</w:t>
            </w:r>
          </w:p>
        </w:tc>
        <w:tc>
          <w:tcPr>
            <w:tcW w:w="1059" w:type="dxa"/>
          </w:tcPr>
          <w:p w14:paraId="6D5DB8AD" w14:textId="77777777" w:rsidR="005A7120" w:rsidRPr="0055343F" w:rsidRDefault="005A7120" w:rsidP="000A2491">
            <w:pPr>
              <w:pStyle w:val="TableText"/>
              <w:jc w:val="right"/>
              <w:rPr>
                <w:rFonts w:ascii="Arial" w:hAnsi="Arial" w:cs="Arial"/>
              </w:rPr>
            </w:pPr>
            <w:r w:rsidRPr="0055343F">
              <w:t>50.8 (46.1</w:t>
            </w:r>
            <w:r>
              <w:t xml:space="preserve">, </w:t>
            </w:r>
            <w:r w:rsidRPr="0055343F">
              <w:t>55.5)</w:t>
            </w:r>
          </w:p>
        </w:tc>
        <w:tc>
          <w:tcPr>
            <w:tcW w:w="408" w:type="dxa"/>
          </w:tcPr>
          <w:p w14:paraId="3F82C606" w14:textId="77777777" w:rsidR="005A7120" w:rsidRPr="0055343F" w:rsidRDefault="005A7120" w:rsidP="000A2491">
            <w:pPr>
              <w:pStyle w:val="TableText"/>
              <w:jc w:val="right"/>
              <w:rPr>
                <w:rFonts w:ascii="Arial" w:hAnsi="Arial" w:cs="Arial"/>
              </w:rPr>
            </w:pPr>
            <w:r w:rsidRPr="0055343F">
              <w:t>202</w:t>
            </w:r>
          </w:p>
        </w:tc>
        <w:tc>
          <w:tcPr>
            <w:tcW w:w="835" w:type="dxa"/>
          </w:tcPr>
          <w:p w14:paraId="16F3B3B7" w14:textId="77777777" w:rsidR="005A7120" w:rsidRPr="0055343F" w:rsidRDefault="005A7120" w:rsidP="000A2491">
            <w:pPr>
              <w:pStyle w:val="TableText"/>
              <w:jc w:val="right"/>
              <w:rPr>
                <w:rFonts w:ascii="Arial" w:hAnsi="Arial" w:cs="Arial"/>
              </w:rPr>
            </w:pPr>
            <w:r w:rsidRPr="0055343F">
              <w:t>650</w:t>
            </w:r>
          </w:p>
        </w:tc>
        <w:tc>
          <w:tcPr>
            <w:tcW w:w="1059" w:type="dxa"/>
          </w:tcPr>
          <w:p w14:paraId="1E423DA9" w14:textId="77777777" w:rsidR="005A7120" w:rsidRPr="0055343F" w:rsidRDefault="005A7120" w:rsidP="000A2491">
            <w:pPr>
              <w:pStyle w:val="TableText"/>
              <w:jc w:val="right"/>
              <w:rPr>
                <w:rFonts w:ascii="Arial" w:hAnsi="Arial" w:cs="Arial"/>
              </w:rPr>
            </w:pPr>
            <w:r w:rsidRPr="0055343F">
              <w:t>46.2 (41.5</w:t>
            </w:r>
            <w:r>
              <w:t xml:space="preserve">, </w:t>
            </w:r>
            <w:r w:rsidRPr="0055343F">
              <w:t>50.9)</w:t>
            </w:r>
          </w:p>
        </w:tc>
      </w:tr>
      <w:tr w:rsidR="005A7120" w:rsidRPr="00BC49AE" w14:paraId="5B366FED"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4DAA591C" w14:textId="77777777" w:rsidR="005A7120" w:rsidRPr="00B17770" w:rsidRDefault="005A7120" w:rsidP="000A2491">
            <w:pPr>
              <w:pStyle w:val="TableText"/>
              <w:rPr>
                <w:b/>
                <w:bCs/>
                <w:color w:val="000000" w:themeColor="text1"/>
              </w:rPr>
            </w:pPr>
            <w:r w:rsidRPr="00B17770">
              <w:rPr>
                <w:b/>
                <w:bCs/>
                <w:color w:val="000000" w:themeColor="text1"/>
              </w:rPr>
              <w:t>Age group</w:t>
            </w:r>
          </w:p>
        </w:tc>
        <w:tc>
          <w:tcPr>
            <w:tcW w:w="408" w:type="dxa"/>
          </w:tcPr>
          <w:p w14:paraId="1B2953D3" w14:textId="77777777" w:rsidR="005A7120" w:rsidRPr="0055343F" w:rsidRDefault="005A7120" w:rsidP="000A2491">
            <w:pPr>
              <w:pStyle w:val="TableText"/>
              <w:jc w:val="right"/>
              <w:rPr>
                <w:rFonts w:ascii="Arial" w:hAnsi="Arial" w:cs="Arial"/>
              </w:rPr>
            </w:pPr>
          </w:p>
        </w:tc>
        <w:tc>
          <w:tcPr>
            <w:tcW w:w="835" w:type="dxa"/>
          </w:tcPr>
          <w:p w14:paraId="1B819887" w14:textId="77777777" w:rsidR="005A7120" w:rsidRPr="0055343F" w:rsidRDefault="005A7120" w:rsidP="000A2491">
            <w:pPr>
              <w:pStyle w:val="TableText"/>
              <w:jc w:val="right"/>
              <w:rPr>
                <w:rFonts w:ascii="Arial" w:hAnsi="Arial" w:cs="Arial"/>
              </w:rPr>
            </w:pPr>
          </w:p>
        </w:tc>
        <w:tc>
          <w:tcPr>
            <w:tcW w:w="1059" w:type="dxa"/>
          </w:tcPr>
          <w:p w14:paraId="55C52279" w14:textId="77777777" w:rsidR="005A7120" w:rsidRPr="0055343F" w:rsidRDefault="005A7120" w:rsidP="000A2491">
            <w:pPr>
              <w:pStyle w:val="TableText"/>
              <w:jc w:val="right"/>
              <w:rPr>
                <w:rFonts w:ascii="Arial" w:hAnsi="Arial" w:cs="Arial"/>
              </w:rPr>
            </w:pPr>
          </w:p>
        </w:tc>
        <w:tc>
          <w:tcPr>
            <w:tcW w:w="408" w:type="dxa"/>
          </w:tcPr>
          <w:p w14:paraId="06C854FA" w14:textId="77777777" w:rsidR="005A7120" w:rsidRPr="0055343F" w:rsidRDefault="005A7120" w:rsidP="000A2491">
            <w:pPr>
              <w:pStyle w:val="TableText"/>
              <w:jc w:val="right"/>
              <w:rPr>
                <w:rFonts w:ascii="Arial" w:hAnsi="Arial" w:cs="Arial"/>
              </w:rPr>
            </w:pPr>
          </w:p>
        </w:tc>
        <w:tc>
          <w:tcPr>
            <w:tcW w:w="835" w:type="dxa"/>
          </w:tcPr>
          <w:p w14:paraId="4E70A634" w14:textId="77777777" w:rsidR="005A7120" w:rsidRPr="0055343F" w:rsidRDefault="005A7120" w:rsidP="000A2491">
            <w:pPr>
              <w:pStyle w:val="TableText"/>
              <w:jc w:val="right"/>
              <w:rPr>
                <w:rFonts w:ascii="Arial" w:hAnsi="Arial" w:cs="Arial"/>
              </w:rPr>
            </w:pPr>
          </w:p>
        </w:tc>
        <w:tc>
          <w:tcPr>
            <w:tcW w:w="1059" w:type="dxa"/>
          </w:tcPr>
          <w:p w14:paraId="52A4F93F" w14:textId="77777777" w:rsidR="005A7120" w:rsidRPr="0055343F" w:rsidRDefault="005A7120" w:rsidP="000A2491">
            <w:pPr>
              <w:pStyle w:val="TableText"/>
              <w:jc w:val="right"/>
              <w:rPr>
                <w:rFonts w:ascii="Arial" w:hAnsi="Arial" w:cs="Arial"/>
              </w:rPr>
            </w:pPr>
          </w:p>
        </w:tc>
        <w:tc>
          <w:tcPr>
            <w:tcW w:w="408" w:type="dxa"/>
          </w:tcPr>
          <w:p w14:paraId="1DFAD65B" w14:textId="77777777" w:rsidR="005A7120" w:rsidRPr="0055343F" w:rsidRDefault="005A7120" w:rsidP="000A2491">
            <w:pPr>
              <w:pStyle w:val="TableText"/>
              <w:jc w:val="right"/>
              <w:rPr>
                <w:rFonts w:ascii="Arial" w:hAnsi="Arial" w:cs="Arial"/>
              </w:rPr>
            </w:pPr>
          </w:p>
        </w:tc>
        <w:tc>
          <w:tcPr>
            <w:tcW w:w="835" w:type="dxa"/>
          </w:tcPr>
          <w:p w14:paraId="3AFE2D30" w14:textId="77777777" w:rsidR="005A7120" w:rsidRPr="0055343F" w:rsidRDefault="005A7120" w:rsidP="000A2491">
            <w:pPr>
              <w:pStyle w:val="TableText"/>
              <w:jc w:val="right"/>
              <w:rPr>
                <w:rFonts w:ascii="Arial" w:hAnsi="Arial" w:cs="Arial"/>
              </w:rPr>
            </w:pPr>
          </w:p>
        </w:tc>
        <w:tc>
          <w:tcPr>
            <w:tcW w:w="1059" w:type="dxa"/>
          </w:tcPr>
          <w:p w14:paraId="441852E5" w14:textId="77777777" w:rsidR="005A7120" w:rsidRPr="0055343F" w:rsidRDefault="005A7120" w:rsidP="000A2491">
            <w:pPr>
              <w:pStyle w:val="TableText"/>
              <w:jc w:val="right"/>
              <w:rPr>
                <w:rFonts w:ascii="Arial" w:hAnsi="Arial" w:cs="Arial"/>
              </w:rPr>
            </w:pPr>
          </w:p>
        </w:tc>
        <w:tc>
          <w:tcPr>
            <w:tcW w:w="408" w:type="dxa"/>
          </w:tcPr>
          <w:p w14:paraId="7430E777" w14:textId="77777777" w:rsidR="005A7120" w:rsidRPr="0055343F" w:rsidRDefault="005A7120" w:rsidP="000A2491">
            <w:pPr>
              <w:pStyle w:val="TableText"/>
              <w:jc w:val="right"/>
              <w:rPr>
                <w:rFonts w:ascii="Arial" w:hAnsi="Arial" w:cs="Arial"/>
              </w:rPr>
            </w:pPr>
          </w:p>
        </w:tc>
        <w:tc>
          <w:tcPr>
            <w:tcW w:w="835" w:type="dxa"/>
          </w:tcPr>
          <w:p w14:paraId="132CBCFD" w14:textId="77777777" w:rsidR="005A7120" w:rsidRPr="0055343F" w:rsidRDefault="005A7120" w:rsidP="000A2491">
            <w:pPr>
              <w:pStyle w:val="TableText"/>
              <w:jc w:val="right"/>
              <w:rPr>
                <w:rFonts w:ascii="Arial" w:hAnsi="Arial" w:cs="Arial"/>
              </w:rPr>
            </w:pPr>
          </w:p>
        </w:tc>
        <w:tc>
          <w:tcPr>
            <w:tcW w:w="1059" w:type="dxa"/>
          </w:tcPr>
          <w:p w14:paraId="365AFA05" w14:textId="77777777" w:rsidR="005A7120" w:rsidRPr="0055343F" w:rsidRDefault="005A7120" w:rsidP="000A2491">
            <w:pPr>
              <w:pStyle w:val="TableText"/>
              <w:jc w:val="right"/>
              <w:rPr>
                <w:rFonts w:ascii="Arial" w:hAnsi="Arial" w:cs="Arial"/>
              </w:rPr>
            </w:pPr>
          </w:p>
        </w:tc>
      </w:tr>
      <w:tr w:rsidR="005C60DC" w:rsidRPr="00BC49AE" w14:paraId="18DE4CCC" w14:textId="77777777" w:rsidTr="005C60DC">
        <w:trPr>
          <w:cantSplit/>
        </w:trPr>
        <w:tc>
          <w:tcPr>
            <w:tcW w:w="1595" w:type="dxa"/>
          </w:tcPr>
          <w:p w14:paraId="5270B655" w14:textId="77777777" w:rsidR="005A7120" w:rsidRPr="00B17770" w:rsidRDefault="005A7120" w:rsidP="000A2491">
            <w:pPr>
              <w:pStyle w:val="TableText"/>
              <w:rPr>
                <w:bCs/>
                <w:color w:val="000000" w:themeColor="text1"/>
              </w:rPr>
            </w:pPr>
            <w:r w:rsidRPr="00B17770">
              <w:rPr>
                <w:bCs/>
                <w:color w:val="000000" w:themeColor="text1"/>
              </w:rPr>
              <w:t>18</w:t>
            </w:r>
            <w:r>
              <w:rPr>
                <w:bCs/>
                <w:color w:val="000000" w:themeColor="text1"/>
              </w:rPr>
              <w:t>–</w:t>
            </w:r>
            <w:r w:rsidRPr="00B17770">
              <w:rPr>
                <w:bCs/>
                <w:color w:val="000000" w:themeColor="text1"/>
              </w:rPr>
              <w:t>27</w:t>
            </w:r>
          </w:p>
        </w:tc>
        <w:tc>
          <w:tcPr>
            <w:tcW w:w="408" w:type="dxa"/>
          </w:tcPr>
          <w:p w14:paraId="490FAF8C" w14:textId="77777777" w:rsidR="005A7120" w:rsidRPr="0055343F" w:rsidRDefault="005A7120" w:rsidP="000A2491">
            <w:pPr>
              <w:pStyle w:val="TableText"/>
              <w:jc w:val="right"/>
              <w:rPr>
                <w:rFonts w:ascii="Arial" w:hAnsi="Arial" w:cs="Arial"/>
              </w:rPr>
            </w:pPr>
            <w:r w:rsidRPr="0055343F">
              <w:t>46</w:t>
            </w:r>
          </w:p>
        </w:tc>
        <w:tc>
          <w:tcPr>
            <w:tcW w:w="835" w:type="dxa"/>
          </w:tcPr>
          <w:p w14:paraId="79CE7170" w14:textId="77777777" w:rsidR="005A7120" w:rsidRPr="0055343F" w:rsidRDefault="005A7120" w:rsidP="000A2491">
            <w:pPr>
              <w:pStyle w:val="TableText"/>
              <w:jc w:val="right"/>
              <w:rPr>
                <w:rFonts w:ascii="Arial" w:hAnsi="Arial" w:cs="Arial"/>
              </w:rPr>
            </w:pPr>
            <w:r w:rsidRPr="0055343F">
              <w:t>590</w:t>
            </w:r>
          </w:p>
        </w:tc>
        <w:tc>
          <w:tcPr>
            <w:tcW w:w="1059" w:type="dxa"/>
          </w:tcPr>
          <w:p w14:paraId="7FE2BEE2" w14:textId="77777777" w:rsidR="005A7120" w:rsidRPr="0055343F" w:rsidRDefault="005A7120" w:rsidP="000A2491">
            <w:pPr>
              <w:pStyle w:val="TableText"/>
              <w:jc w:val="right"/>
              <w:rPr>
                <w:rFonts w:ascii="Arial" w:hAnsi="Arial" w:cs="Arial"/>
              </w:rPr>
            </w:pPr>
            <w:r w:rsidRPr="0055343F">
              <w:t>47.9 (36.9</w:t>
            </w:r>
            <w:r>
              <w:t xml:space="preserve">, </w:t>
            </w:r>
            <w:r w:rsidRPr="0055343F">
              <w:t>59.2)</w:t>
            </w:r>
          </w:p>
        </w:tc>
        <w:tc>
          <w:tcPr>
            <w:tcW w:w="408" w:type="dxa"/>
          </w:tcPr>
          <w:p w14:paraId="38C1E534" w14:textId="77777777" w:rsidR="005A7120" w:rsidRPr="0055343F" w:rsidRDefault="005A7120" w:rsidP="000A2491">
            <w:pPr>
              <w:pStyle w:val="TableText"/>
              <w:jc w:val="right"/>
              <w:rPr>
                <w:rFonts w:ascii="Arial" w:hAnsi="Arial" w:cs="Arial"/>
              </w:rPr>
            </w:pPr>
            <w:r w:rsidRPr="0055343F">
              <w:t>47</w:t>
            </w:r>
          </w:p>
        </w:tc>
        <w:tc>
          <w:tcPr>
            <w:tcW w:w="835" w:type="dxa"/>
          </w:tcPr>
          <w:p w14:paraId="0182D489" w14:textId="77777777" w:rsidR="005A7120" w:rsidRPr="0055343F" w:rsidRDefault="005A7120" w:rsidP="000A2491">
            <w:pPr>
              <w:pStyle w:val="TableText"/>
              <w:jc w:val="right"/>
              <w:rPr>
                <w:rFonts w:ascii="Arial" w:hAnsi="Arial" w:cs="Arial"/>
              </w:rPr>
            </w:pPr>
            <w:r w:rsidRPr="0055343F">
              <w:t>574</w:t>
            </w:r>
          </w:p>
        </w:tc>
        <w:tc>
          <w:tcPr>
            <w:tcW w:w="1059" w:type="dxa"/>
          </w:tcPr>
          <w:p w14:paraId="13203AAD" w14:textId="77777777" w:rsidR="005A7120" w:rsidRPr="0055343F" w:rsidRDefault="005A7120" w:rsidP="000A2491">
            <w:pPr>
              <w:pStyle w:val="TableText"/>
              <w:jc w:val="right"/>
              <w:rPr>
                <w:rFonts w:ascii="Arial" w:hAnsi="Arial" w:cs="Arial"/>
              </w:rPr>
            </w:pPr>
            <w:r w:rsidRPr="0055343F">
              <w:t>46.6 (35.7</w:t>
            </w:r>
            <w:r>
              <w:t xml:space="preserve">, </w:t>
            </w:r>
            <w:r w:rsidRPr="0055343F">
              <w:t>57.9)</w:t>
            </w:r>
          </w:p>
        </w:tc>
        <w:tc>
          <w:tcPr>
            <w:tcW w:w="408" w:type="dxa"/>
          </w:tcPr>
          <w:p w14:paraId="5677CD73" w14:textId="77777777" w:rsidR="005A7120" w:rsidRPr="0055343F" w:rsidRDefault="005A7120" w:rsidP="000A2491">
            <w:pPr>
              <w:pStyle w:val="TableText"/>
              <w:jc w:val="right"/>
              <w:rPr>
                <w:rFonts w:ascii="Arial" w:hAnsi="Arial" w:cs="Arial"/>
              </w:rPr>
            </w:pPr>
            <w:r w:rsidRPr="0055343F">
              <w:t>61</w:t>
            </w:r>
          </w:p>
        </w:tc>
        <w:tc>
          <w:tcPr>
            <w:tcW w:w="835" w:type="dxa"/>
          </w:tcPr>
          <w:p w14:paraId="4D118882" w14:textId="77777777" w:rsidR="005A7120" w:rsidRPr="0055343F" w:rsidRDefault="005A7120" w:rsidP="000A2491">
            <w:pPr>
              <w:pStyle w:val="TableText"/>
              <w:jc w:val="right"/>
              <w:rPr>
                <w:rFonts w:ascii="Arial" w:hAnsi="Arial" w:cs="Arial"/>
              </w:rPr>
            </w:pPr>
            <w:r w:rsidRPr="0055343F">
              <w:t>1113</w:t>
            </w:r>
          </w:p>
        </w:tc>
        <w:tc>
          <w:tcPr>
            <w:tcW w:w="1059" w:type="dxa"/>
          </w:tcPr>
          <w:p w14:paraId="34AECF93" w14:textId="77777777" w:rsidR="005A7120" w:rsidRPr="0055343F" w:rsidRDefault="005A7120" w:rsidP="000A2491">
            <w:pPr>
              <w:pStyle w:val="TableText"/>
              <w:jc w:val="right"/>
              <w:rPr>
                <w:rFonts w:ascii="Arial" w:hAnsi="Arial" w:cs="Arial"/>
              </w:rPr>
            </w:pPr>
            <w:r w:rsidRPr="0055343F">
              <w:t>55.6 (26.9</w:t>
            </w:r>
            <w:r>
              <w:t xml:space="preserve">, </w:t>
            </w:r>
            <w:r w:rsidRPr="0055343F">
              <w:t>80.9)</w:t>
            </w:r>
          </w:p>
        </w:tc>
        <w:tc>
          <w:tcPr>
            <w:tcW w:w="408" w:type="dxa"/>
          </w:tcPr>
          <w:p w14:paraId="315E06E8" w14:textId="77777777" w:rsidR="005A7120" w:rsidRPr="0055343F" w:rsidRDefault="005A7120" w:rsidP="000A2491">
            <w:pPr>
              <w:pStyle w:val="TableText"/>
              <w:jc w:val="right"/>
              <w:rPr>
                <w:rFonts w:ascii="Arial" w:hAnsi="Arial" w:cs="Arial"/>
              </w:rPr>
            </w:pPr>
            <w:r w:rsidRPr="0055343F">
              <w:t>50</w:t>
            </w:r>
          </w:p>
        </w:tc>
        <w:tc>
          <w:tcPr>
            <w:tcW w:w="835" w:type="dxa"/>
          </w:tcPr>
          <w:p w14:paraId="7F3BB736" w14:textId="77777777" w:rsidR="005A7120" w:rsidRPr="0055343F" w:rsidRDefault="005A7120" w:rsidP="000A2491">
            <w:pPr>
              <w:pStyle w:val="TableText"/>
              <w:jc w:val="right"/>
              <w:rPr>
                <w:rFonts w:ascii="Arial" w:hAnsi="Arial" w:cs="Arial"/>
              </w:rPr>
            </w:pPr>
            <w:r w:rsidRPr="0055343F">
              <w:t>849</w:t>
            </w:r>
          </w:p>
        </w:tc>
        <w:tc>
          <w:tcPr>
            <w:tcW w:w="1059" w:type="dxa"/>
          </w:tcPr>
          <w:p w14:paraId="30F09704" w14:textId="77777777" w:rsidR="005A7120" w:rsidRPr="0055343F" w:rsidRDefault="005A7120" w:rsidP="000A2491">
            <w:pPr>
              <w:pStyle w:val="TableText"/>
              <w:jc w:val="right"/>
              <w:rPr>
                <w:rFonts w:ascii="Arial" w:hAnsi="Arial" w:cs="Arial"/>
              </w:rPr>
            </w:pPr>
            <w:r w:rsidRPr="0055343F">
              <w:t>42.4 (17.7</w:t>
            </w:r>
            <w:r>
              <w:t xml:space="preserve">, </w:t>
            </w:r>
            <w:r w:rsidRPr="0055343F">
              <w:t>71.6)</w:t>
            </w:r>
          </w:p>
        </w:tc>
      </w:tr>
      <w:tr w:rsidR="005A7120" w:rsidRPr="00BC49AE" w14:paraId="7B1983EE"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2334E782" w14:textId="77777777" w:rsidR="005A7120" w:rsidRPr="00B17770" w:rsidRDefault="005A7120" w:rsidP="000A2491">
            <w:pPr>
              <w:pStyle w:val="TableText"/>
              <w:rPr>
                <w:bCs/>
                <w:color w:val="000000" w:themeColor="text1"/>
              </w:rPr>
            </w:pPr>
            <w:r w:rsidRPr="00B17770">
              <w:rPr>
                <w:bCs/>
                <w:color w:val="000000" w:themeColor="text1"/>
              </w:rPr>
              <w:t>28</w:t>
            </w:r>
            <w:r>
              <w:rPr>
                <w:bCs/>
                <w:color w:val="000000" w:themeColor="text1"/>
              </w:rPr>
              <w:t>–</w:t>
            </w:r>
            <w:r w:rsidRPr="00B17770">
              <w:rPr>
                <w:bCs/>
                <w:color w:val="000000" w:themeColor="text1"/>
              </w:rPr>
              <w:t>37</w:t>
            </w:r>
          </w:p>
        </w:tc>
        <w:tc>
          <w:tcPr>
            <w:tcW w:w="408" w:type="dxa"/>
          </w:tcPr>
          <w:p w14:paraId="3FA21EF3" w14:textId="77777777" w:rsidR="005A7120" w:rsidRPr="0055343F" w:rsidRDefault="005A7120" w:rsidP="000A2491">
            <w:pPr>
              <w:pStyle w:val="TableText"/>
              <w:jc w:val="right"/>
              <w:rPr>
                <w:rFonts w:ascii="Arial" w:hAnsi="Arial" w:cs="Arial"/>
              </w:rPr>
            </w:pPr>
            <w:r w:rsidRPr="0055343F">
              <w:t>124</w:t>
            </w:r>
          </w:p>
        </w:tc>
        <w:tc>
          <w:tcPr>
            <w:tcW w:w="835" w:type="dxa"/>
          </w:tcPr>
          <w:p w14:paraId="498A1702" w14:textId="77777777" w:rsidR="005A7120" w:rsidRPr="0055343F" w:rsidRDefault="005A7120" w:rsidP="000A2491">
            <w:pPr>
              <w:pStyle w:val="TableText"/>
              <w:jc w:val="right"/>
              <w:rPr>
                <w:rFonts w:ascii="Arial" w:hAnsi="Arial" w:cs="Arial"/>
              </w:rPr>
            </w:pPr>
            <w:r w:rsidRPr="0055343F">
              <w:t>1069</w:t>
            </w:r>
          </w:p>
        </w:tc>
        <w:tc>
          <w:tcPr>
            <w:tcW w:w="1059" w:type="dxa"/>
          </w:tcPr>
          <w:p w14:paraId="51A1938C" w14:textId="77777777" w:rsidR="005A7120" w:rsidRPr="0055343F" w:rsidRDefault="005A7120" w:rsidP="000A2491">
            <w:pPr>
              <w:pStyle w:val="TableText"/>
              <w:jc w:val="right"/>
              <w:rPr>
                <w:rFonts w:ascii="Arial" w:hAnsi="Arial" w:cs="Arial"/>
              </w:rPr>
            </w:pPr>
            <w:r w:rsidRPr="0055343F">
              <w:t>44.2 (37.1</w:t>
            </w:r>
            <w:r>
              <w:t xml:space="preserve">, </w:t>
            </w:r>
            <w:r w:rsidRPr="0055343F">
              <w:t>51.6)</w:t>
            </w:r>
          </w:p>
        </w:tc>
        <w:tc>
          <w:tcPr>
            <w:tcW w:w="408" w:type="dxa"/>
          </w:tcPr>
          <w:p w14:paraId="3EA64A4F" w14:textId="77777777" w:rsidR="005A7120" w:rsidRPr="0055343F" w:rsidRDefault="005A7120" w:rsidP="000A2491">
            <w:pPr>
              <w:pStyle w:val="TableText"/>
              <w:jc w:val="right"/>
              <w:rPr>
                <w:rFonts w:ascii="Arial" w:hAnsi="Arial" w:cs="Arial"/>
              </w:rPr>
            </w:pPr>
            <w:r w:rsidRPr="0055343F">
              <w:t>139</w:t>
            </w:r>
          </w:p>
        </w:tc>
        <w:tc>
          <w:tcPr>
            <w:tcW w:w="835" w:type="dxa"/>
          </w:tcPr>
          <w:p w14:paraId="0C7D9A7C" w14:textId="77777777" w:rsidR="005A7120" w:rsidRPr="0055343F" w:rsidRDefault="005A7120" w:rsidP="000A2491">
            <w:pPr>
              <w:pStyle w:val="TableText"/>
              <w:jc w:val="right"/>
              <w:rPr>
                <w:rFonts w:ascii="Arial" w:hAnsi="Arial" w:cs="Arial"/>
              </w:rPr>
            </w:pPr>
            <w:r w:rsidRPr="0055343F">
              <w:t>1207</w:t>
            </w:r>
          </w:p>
        </w:tc>
        <w:tc>
          <w:tcPr>
            <w:tcW w:w="1059" w:type="dxa"/>
          </w:tcPr>
          <w:p w14:paraId="499C3C19" w14:textId="77777777" w:rsidR="005A7120" w:rsidRPr="0055343F" w:rsidRDefault="005A7120" w:rsidP="000A2491">
            <w:pPr>
              <w:pStyle w:val="TableText"/>
              <w:jc w:val="right"/>
              <w:rPr>
                <w:rFonts w:ascii="Arial" w:hAnsi="Arial" w:cs="Arial"/>
              </w:rPr>
            </w:pPr>
            <w:r w:rsidRPr="0055343F">
              <w:t>50.0 (42.6</w:t>
            </w:r>
            <w:r>
              <w:t xml:space="preserve">, </w:t>
            </w:r>
            <w:r w:rsidRPr="0055343F">
              <w:t>57.3)</w:t>
            </w:r>
          </w:p>
        </w:tc>
        <w:tc>
          <w:tcPr>
            <w:tcW w:w="408" w:type="dxa"/>
          </w:tcPr>
          <w:p w14:paraId="09BA55A4" w14:textId="77777777" w:rsidR="005A7120" w:rsidRPr="0055343F" w:rsidRDefault="005A7120" w:rsidP="000A2491">
            <w:pPr>
              <w:pStyle w:val="TableText"/>
              <w:jc w:val="right"/>
              <w:rPr>
                <w:rFonts w:ascii="Arial" w:hAnsi="Arial" w:cs="Arial"/>
              </w:rPr>
            </w:pPr>
            <w:r w:rsidRPr="0055343F">
              <w:t>246</w:t>
            </w:r>
          </w:p>
        </w:tc>
        <w:tc>
          <w:tcPr>
            <w:tcW w:w="835" w:type="dxa"/>
          </w:tcPr>
          <w:p w14:paraId="4C741DCA" w14:textId="77777777" w:rsidR="005A7120" w:rsidRPr="0055343F" w:rsidRDefault="005A7120" w:rsidP="000A2491">
            <w:pPr>
              <w:pStyle w:val="TableText"/>
              <w:jc w:val="right"/>
              <w:rPr>
                <w:rFonts w:ascii="Arial" w:hAnsi="Arial" w:cs="Arial"/>
              </w:rPr>
            </w:pPr>
            <w:r w:rsidRPr="0055343F">
              <w:t>2095</w:t>
            </w:r>
          </w:p>
        </w:tc>
        <w:tc>
          <w:tcPr>
            <w:tcW w:w="1059" w:type="dxa"/>
          </w:tcPr>
          <w:p w14:paraId="1DA7A47A" w14:textId="77777777" w:rsidR="005A7120" w:rsidRPr="0055343F" w:rsidRDefault="005A7120" w:rsidP="000A2491">
            <w:pPr>
              <w:pStyle w:val="TableText"/>
              <w:jc w:val="right"/>
              <w:rPr>
                <w:rFonts w:ascii="Arial" w:hAnsi="Arial" w:cs="Arial"/>
              </w:rPr>
            </w:pPr>
            <w:r w:rsidRPr="0055343F">
              <w:t>54.5 (39.5</w:t>
            </w:r>
            <w:r>
              <w:t xml:space="preserve">, </w:t>
            </w:r>
            <w:r w:rsidRPr="0055343F">
              <w:t>68.7)</w:t>
            </w:r>
          </w:p>
        </w:tc>
        <w:tc>
          <w:tcPr>
            <w:tcW w:w="408" w:type="dxa"/>
          </w:tcPr>
          <w:p w14:paraId="435DAAD8" w14:textId="77777777" w:rsidR="005A7120" w:rsidRPr="0055343F" w:rsidRDefault="005A7120" w:rsidP="000A2491">
            <w:pPr>
              <w:pStyle w:val="TableText"/>
              <w:jc w:val="right"/>
              <w:rPr>
                <w:rFonts w:ascii="Arial" w:hAnsi="Arial" w:cs="Arial"/>
              </w:rPr>
            </w:pPr>
            <w:r w:rsidRPr="0055343F">
              <w:t>238</w:t>
            </w:r>
          </w:p>
        </w:tc>
        <w:tc>
          <w:tcPr>
            <w:tcW w:w="835" w:type="dxa"/>
          </w:tcPr>
          <w:p w14:paraId="7B700817" w14:textId="77777777" w:rsidR="005A7120" w:rsidRPr="0055343F" w:rsidRDefault="005A7120" w:rsidP="000A2491">
            <w:pPr>
              <w:pStyle w:val="TableText"/>
              <w:jc w:val="right"/>
              <w:rPr>
                <w:rFonts w:ascii="Arial" w:hAnsi="Arial" w:cs="Arial"/>
              </w:rPr>
            </w:pPr>
            <w:r w:rsidRPr="0055343F">
              <w:t>1639</w:t>
            </w:r>
          </w:p>
        </w:tc>
        <w:tc>
          <w:tcPr>
            <w:tcW w:w="1059" w:type="dxa"/>
          </w:tcPr>
          <w:p w14:paraId="13F36294" w14:textId="77777777" w:rsidR="005A7120" w:rsidRPr="0055343F" w:rsidRDefault="005A7120" w:rsidP="000A2491">
            <w:pPr>
              <w:pStyle w:val="TableText"/>
              <w:jc w:val="right"/>
              <w:rPr>
                <w:rFonts w:ascii="Arial" w:hAnsi="Arial" w:cs="Arial"/>
              </w:rPr>
            </w:pPr>
            <w:r w:rsidRPr="0055343F">
              <w:t>42.6 (28.8</w:t>
            </w:r>
            <w:r>
              <w:t xml:space="preserve">, </w:t>
            </w:r>
            <w:r w:rsidRPr="0055343F">
              <w:t>57.7)</w:t>
            </w:r>
          </w:p>
        </w:tc>
      </w:tr>
      <w:tr w:rsidR="005C60DC" w:rsidRPr="00BC49AE" w14:paraId="5CEA83D9" w14:textId="77777777" w:rsidTr="005C60DC">
        <w:trPr>
          <w:cantSplit/>
        </w:trPr>
        <w:tc>
          <w:tcPr>
            <w:tcW w:w="1595" w:type="dxa"/>
          </w:tcPr>
          <w:p w14:paraId="1CE73C32" w14:textId="77777777" w:rsidR="005A7120" w:rsidRPr="00B17770" w:rsidRDefault="005A7120" w:rsidP="000A2491">
            <w:pPr>
              <w:pStyle w:val="TableText"/>
              <w:rPr>
                <w:bCs/>
                <w:color w:val="000000" w:themeColor="text1"/>
              </w:rPr>
            </w:pPr>
            <w:r w:rsidRPr="00B17770">
              <w:rPr>
                <w:bCs/>
                <w:color w:val="000000" w:themeColor="text1"/>
              </w:rPr>
              <w:t>38</w:t>
            </w:r>
            <w:r>
              <w:rPr>
                <w:bCs/>
                <w:color w:val="000000" w:themeColor="text1"/>
              </w:rPr>
              <w:t>–</w:t>
            </w:r>
            <w:r w:rsidRPr="00B17770">
              <w:rPr>
                <w:bCs/>
                <w:color w:val="000000" w:themeColor="text1"/>
              </w:rPr>
              <w:t>47</w:t>
            </w:r>
          </w:p>
        </w:tc>
        <w:tc>
          <w:tcPr>
            <w:tcW w:w="408" w:type="dxa"/>
          </w:tcPr>
          <w:p w14:paraId="6DFD1205" w14:textId="77777777" w:rsidR="005A7120" w:rsidRPr="0055343F" w:rsidRDefault="005A7120" w:rsidP="000A2491">
            <w:pPr>
              <w:pStyle w:val="TableText"/>
              <w:jc w:val="right"/>
              <w:rPr>
                <w:rFonts w:ascii="Arial" w:hAnsi="Arial" w:cs="Arial"/>
              </w:rPr>
            </w:pPr>
            <w:r w:rsidRPr="0055343F">
              <w:t>120</w:t>
            </w:r>
          </w:p>
        </w:tc>
        <w:tc>
          <w:tcPr>
            <w:tcW w:w="835" w:type="dxa"/>
          </w:tcPr>
          <w:p w14:paraId="20A92B13" w14:textId="77777777" w:rsidR="005A7120" w:rsidRPr="0055343F" w:rsidRDefault="005A7120" w:rsidP="000A2491">
            <w:pPr>
              <w:pStyle w:val="TableText"/>
              <w:jc w:val="right"/>
              <w:rPr>
                <w:rFonts w:ascii="Arial" w:hAnsi="Arial" w:cs="Arial"/>
              </w:rPr>
            </w:pPr>
            <w:r w:rsidRPr="0055343F">
              <w:t>689</w:t>
            </w:r>
          </w:p>
        </w:tc>
        <w:tc>
          <w:tcPr>
            <w:tcW w:w="1059" w:type="dxa"/>
          </w:tcPr>
          <w:p w14:paraId="14E6490D" w14:textId="77777777" w:rsidR="005A7120" w:rsidRPr="0055343F" w:rsidRDefault="005A7120" w:rsidP="000A2491">
            <w:pPr>
              <w:pStyle w:val="TableText"/>
              <w:jc w:val="right"/>
              <w:rPr>
                <w:rFonts w:ascii="Arial" w:hAnsi="Arial" w:cs="Arial"/>
              </w:rPr>
            </w:pPr>
            <w:r w:rsidRPr="0055343F">
              <w:t>47.5 (40.5</w:t>
            </w:r>
            <w:r>
              <w:t xml:space="preserve">, </w:t>
            </w:r>
            <w:r w:rsidRPr="0055343F">
              <w:t>54.6)</w:t>
            </w:r>
          </w:p>
        </w:tc>
        <w:tc>
          <w:tcPr>
            <w:tcW w:w="408" w:type="dxa"/>
          </w:tcPr>
          <w:p w14:paraId="618D46B2" w14:textId="77777777" w:rsidR="005A7120" w:rsidRPr="0055343F" w:rsidRDefault="005A7120" w:rsidP="000A2491">
            <w:pPr>
              <w:pStyle w:val="TableText"/>
              <w:jc w:val="right"/>
              <w:rPr>
                <w:rFonts w:ascii="Arial" w:hAnsi="Arial" w:cs="Arial"/>
              </w:rPr>
            </w:pPr>
            <w:r w:rsidRPr="0055343F">
              <w:t>135</w:t>
            </w:r>
          </w:p>
        </w:tc>
        <w:tc>
          <w:tcPr>
            <w:tcW w:w="835" w:type="dxa"/>
          </w:tcPr>
          <w:p w14:paraId="03DE05BE" w14:textId="77777777" w:rsidR="005A7120" w:rsidRPr="0055343F" w:rsidRDefault="005A7120" w:rsidP="000A2491">
            <w:pPr>
              <w:pStyle w:val="TableText"/>
              <w:jc w:val="right"/>
              <w:rPr>
                <w:rFonts w:ascii="Arial" w:hAnsi="Arial" w:cs="Arial"/>
              </w:rPr>
            </w:pPr>
            <w:r w:rsidRPr="0055343F">
              <w:t>701</w:t>
            </w:r>
          </w:p>
        </w:tc>
        <w:tc>
          <w:tcPr>
            <w:tcW w:w="1059" w:type="dxa"/>
          </w:tcPr>
          <w:p w14:paraId="778EECC9" w14:textId="77777777" w:rsidR="005A7120" w:rsidRPr="0055343F" w:rsidRDefault="005A7120" w:rsidP="000A2491">
            <w:pPr>
              <w:pStyle w:val="TableText"/>
              <w:jc w:val="right"/>
              <w:rPr>
                <w:rFonts w:ascii="Arial" w:hAnsi="Arial" w:cs="Arial"/>
              </w:rPr>
            </w:pPr>
            <w:r w:rsidRPr="0055343F">
              <w:t>48.3 (41.3</w:t>
            </w:r>
            <w:r>
              <w:t xml:space="preserve">, </w:t>
            </w:r>
            <w:r w:rsidRPr="0055343F">
              <w:t>55.4)</w:t>
            </w:r>
          </w:p>
        </w:tc>
        <w:tc>
          <w:tcPr>
            <w:tcW w:w="408" w:type="dxa"/>
          </w:tcPr>
          <w:p w14:paraId="411EE603" w14:textId="77777777" w:rsidR="005A7120" w:rsidRPr="0055343F" w:rsidRDefault="005A7120" w:rsidP="000A2491">
            <w:pPr>
              <w:pStyle w:val="TableText"/>
              <w:jc w:val="right"/>
              <w:rPr>
                <w:rFonts w:ascii="Arial" w:hAnsi="Arial" w:cs="Arial"/>
              </w:rPr>
            </w:pPr>
            <w:r w:rsidRPr="0055343F">
              <w:t>221</w:t>
            </w:r>
          </w:p>
        </w:tc>
        <w:tc>
          <w:tcPr>
            <w:tcW w:w="835" w:type="dxa"/>
          </w:tcPr>
          <w:p w14:paraId="596AD8D4" w14:textId="77777777" w:rsidR="005A7120" w:rsidRPr="0055343F" w:rsidRDefault="005A7120" w:rsidP="000A2491">
            <w:pPr>
              <w:pStyle w:val="TableText"/>
              <w:jc w:val="right"/>
              <w:rPr>
                <w:rFonts w:ascii="Arial" w:hAnsi="Arial" w:cs="Arial"/>
              </w:rPr>
            </w:pPr>
            <w:r w:rsidRPr="0055343F">
              <w:t>887</w:t>
            </w:r>
          </w:p>
        </w:tc>
        <w:tc>
          <w:tcPr>
            <w:tcW w:w="1059" w:type="dxa"/>
          </w:tcPr>
          <w:p w14:paraId="730D31C0" w14:textId="77777777" w:rsidR="005A7120" w:rsidRPr="0055343F" w:rsidRDefault="005A7120" w:rsidP="000A2491">
            <w:pPr>
              <w:pStyle w:val="TableText"/>
              <w:jc w:val="right"/>
              <w:rPr>
                <w:rFonts w:ascii="Arial" w:hAnsi="Arial" w:cs="Arial"/>
              </w:rPr>
            </w:pPr>
            <w:r w:rsidRPr="0055343F">
              <w:t>45.9 (39.3</w:t>
            </w:r>
            <w:r>
              <w:t xml:space="preserve">, </w:t>
            </w:r>
            <w:r w:rsidRPr="0055343F">
              <w:t>52.7)</w:t>
            </w:r>
          </w:p>
        </w:tc>
        <w:tc>
          <w:tcPr>
            <w:tcW w:w="408" w:type="dxa"/>
          </w:tcPr>
          <w:p w14:paraId="5C3A92CD" w14:textId="77777777" w:rsidR="005A7120" w:rsidRPr="0055343F" w:rsidRDefault="005A7120" w:rsidP="000A2491">
            <w:pPr>
              <w:pStyle w:val="TableText"/>
              <w:jc w:val="right"/>
              <w:rPr>
                <w:rFonts w:ascii="Arial" w:hAnsi="Arial" w:cs="Arial"/>
              </w:rPr>
            </w:pPr>
            <w:r w:rsidRPr="0055343F">
              <w:t>265</w:t>
            </w:r>
          </w:p>
        </w:tc>
        <w:tc>
          <w:tcPr>
            <w:tcW w:w="835" w:type="dxa"/>
          </w:tcPr>
          <w:p w14:paraId="4E1EACA5" w14:textId="77777777" w:rsidR="005A7120" w:rsidRPr="0055343F" w:rsidRDefault="005A7120" w:rsidP="000A2491">
            <w:pPr>
              <w:pStyle w:val="TableText"/>
              <w:jc w:val="right"/>
              <w:rPr>
                <w:rFonts w:ascii="Arial" w:hAnsi="Arial" w:cs="Arial"/>
              </w:rPr>
            </w:pPr>
            <w:r w:rsidRPr="0055343F">
              <w:t>979</w:t>
            </w:r>
          </w:p>
        </w:tc>
        <w:tc>
          <w:tcPr>
            <w:tcW w:w="1059" w:type="dxa"/>
          </w:tcPr>
          <w:p w14:paraId="09D21E8C" w14:textId="77777777" w:rsidR="005A7120" w:rsidRPr="0055343F" w:rsidRDefault="005A7120" w:rsidP="000A2491">
            <w:pPr>
              <w:pStyle w:val="TableText"/>
              <w:jc w:val="right"/>
              <w:rPr>
                <w:rFonts w:ascii="Arial" w:hAnsi="Arial" w:cs="Arial"/>
              </w:rPr>
            </w:pPr>
            <w:r w:rsidRPr="0055343F">
              <w:t>50.7 (44.2</w:t>
            </w:r>
            <w:r>
              <w:t xml:space="preserve">, </w:t>
            </w:r>
            <w:r w:rsidRPr="0055343F">
              <w:t>57.2)</w:t>
            </w:r>
          </w:p>
        </w:tc>
      </w:tr>
      <w:tr w:rsidR="005A7120" w:rsidRPr="00BC49AE" w14:paraId="24397CF0"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2BD1155E" w14:textId="77777777" w:rsidR="005A7120" w:rsidRPr="00B17770" w:rsidRDefault="005A7120" w:rsidP="000A2491">
            <w:pPr>
              <w:pStyle w:val="TableText"/>
              <w:rPr>
                <w:bCs/>
                <w:color w:val="000000" w:themeColor="text1"/>
              </w:rPr>
            </w:pPr>
            <w:r w:rsidRPr="00B17770">
              <w:rPr>
                <w:bCs/>
                <w:color w:val="000000" w:themeColor="text1"/>
              </w:rPr>
              <w:t>48</w:t>
            </w:r>
            <w:r>
              <w:rPr>
                <w:bCs/>
                <w:color w:val="000000" w:themeColor="text1"/>
              </w:rPr>
              <w:t>–</w:t>
            </w:r>
            <w:r w:rsidRPr="00B17770">
              <w:rPr>
                <w:bCs/>
                <w:color w:val="000000" w:themeColor="text1"/>
              </w:rPr>
              <w:t>57</w:t>
            </w:r>
          </w:p>
        </w:tc>
        <w:tc>
          <w:tcPr>
            <w:tcW w:w="408" w:type="dxa"/>
          </w:tcPr>
          <w:p w14:paraId="0F2D8274" w14:textId="77777777" w:rsidR="005A7120" w:rsidRPr="0055343F" w:rsidRDefault="005A7120" w:rsidP="000A2491">
            <w:pPr>
              <w:pStyle w:val="TableText"/>
              <w:jc w:val="right"/>
              <w:rPr>
                <w:rFonts w:ascii="Arial" w:hAnsi="Arial" w:cs="Arial"/>
              </w:rPr>
            </w:pPr>
            <w:r w:rsidRPr="0055343F">
              <w:t>63</w:t>
            </w:r>
          </w:p>
        </w:tc>
        <w:tc>
          <w:tcPr>
            <w:tcW w:w="835" w:type="dxa"/>
          </w:tcPr>
          <w:p w14:paraId="5FF264AB" w14:textId="77777777" w:rsidR="005A7120" w:rsidRPr="0055343F" w:rsidRDefault="005A7120" w:rsidP="000A2491">
            <w:pPr>
              <w:pStyle w:val="TableText"/>
              <w:jc w:val="right"/>
              <w:rPr>
                <w:rFonts w:ascii="Arial" w:hAnsi="Arial" w:cs="Arial"/>
              </w:rPr>
            </w:pPr>
            <w:r w:rsidRPr="0055343F">
              <w:t>257</w:t>
            </w:r>
          </w:p>
        </w:tc>
        <w:tc>
          <w:tcPr>
            <w:tcW w:w="1059" w:type="dxa"/>
          </w:tcPr>
          <w:p w14:paraId="710CEDBA" w14:textId="77777777" w:rsidR="005A7120" w:rsidRPr="0055343F" w:rsidRDefault="005A7120" w:rsidP="000A2491">
            <w:pPr>
              <w:pStyle w:val="TableText"/>
              <w:jc w:val="right"/>
              <w:rPr>
                <w:rFonts w:ascii="Arial" w:hAnsi="Arial" w:cs="Arial"/>
              </w:rPr>
            </w:pPr>
            <w:r w:rsidRPr="0055343F">
              <w:t>40.6 (32.5</w:t>
            </w:r>
            <w:r>
              <w:t xml:space="preserve">, </w:t>
            </w:r>
            <w:r w:rsidRPr="0055343F">
              <w:t>49.3)</w:t>
            </w:r>
          </w:p>
        </w:tc>
        <w:tc>
          <w:tcPr>
            <w:tcW w:w="408" w:type="dxa"/>
          </w:tcPr>
          <w:p w14:paraId="1808F135" w14:textId="77777777" w:rsidR="005A7120" w:rsidRPr="0055343F" w:rsidRDefault="005A7120" w:rsidP="000A2491">
            <w:pPr>
              <w:pStyle w:val="TableText"/>
              <w:jc w:val="right"/>
              <w:rPr>
                <w:rFonts w:ascii="Arial" w:hAnsi="Arial" w:cs="Arial"/>
              </w:rPr>
            </w:pPr>
            <w:r w:rsidRPr="0055343F">
              <w:t>66</w:t>
            </w:r>
          </w:p>
        </w:tc>
        <w:tc>
          <w:tcPr>
            <w:tcW w:w="835" w:type="dxa"/>
          </w:tcPr>
          <w:p w14:paraId="2A1A42D1" w14:textId="77777777" w:rsidR="005A7120" w:rsidRPr="0055343F" w:rsidRDefault="005A7120" w:rsidP="000A2491">
            <w:pPr>
              <w:pStyle w:val="TableText"/>
              <w:jc w:val="right"/>
              <w:rPr>
                <w:rFonts w:ascii="Arial" w:hAnsi="Arial" w:cs="Arial"/>
              </w:rPr>
            </w:pPr>
            <w:r w:rsidRPr="0055343F">
              <w:t>322</w:t>
            </w:r>
          </w:p>
        </w:tc>
        <w:tc>
          <w:tcPr>
            <w:tcW w:w="1059" w:type="dxa"/>
          </w:tcPr>
          <w:p w14:paraId="4C82071E" w14:textId="77777777" w:rsidR="005A7120" w:rsidRPr="0055343F" w:rsidRDefault="005A7120" w:rsidP="000A2491">
            <w:pPr>
              <w:pStyle w:val="TableText"/>
              <w:jc w:val="right"/>
              <w:rPr>
                <w:rFonts w:ascii="Arial" w:hAnsi="Arial" w:cs="Arial"/>
              </w:rPr>
            </w:pPr>
            <w:r w:rsidRPr="0055343F">
              <w:t>51.0 (41.9</w:t>
            </w:r>
            <w:r>
              <w:t xml:space="preserve">, </w:t>
            </w:r>
            <w:r w:rsidRPr="0055343F">
              <w:t>60.0)</w:t>
            </w:r>
          </w:p>
        </w:tc>
        <w:tc>
          <w:tcPr>
            <w:tcW w:w="408" w:type="dxa"/>
          </w:tcPr>
          <w:p w14:paraId="3357F6C5" w14:textId="77777777" w:rsidR="005A7120" w:rsidRPr="0055343F" w:rsidRDefault="005A7120" w:rsidP="000A2491">
            <w:pPr>
              <w:pStyle w:val="TableText"/>
              <w:jc w:val="right"/>
              <w:rPr>
                <w:rFonts w:ascii="Arial" w:hAnsi="Arial" w:cs="Arial"/>
              </w:rPr>
            </w:pPr>
            <w:r w:rsidRPr="0055343F">
              <w:t>150</w:t>
            </w:r>
          </w:p>
        </w:tc>
        <w:tc>
          <w:tcPr>
            <w:tcW w:w="835" w:type="dxa"/>
          </w:tcPr>
          <w:p w14:paraId="50A2BA7C" w14:textId="77777777" w:rsidR="005A7120" w:rsidRPr="0055343F" w:rsidRDefault="005A7120" w:rsidP="000A2491">
            <w:pPr>
              <w:pStyle w:val="TableText"/>
              <w:jc w:val="right"/>
              <w:rPr>
                <w:rFonts w:ascii="Arial" w:hAnsi="Arial" w:cs="Arial"/>
              </w:rPr>
            </w:pPr>
            <w:r w:rsidRPr="0055343F">
              <w:t>524</w:t>
            </w:r>
          </w:p>
        </w:tc>
        <w:tc>
          <w:tcPr>
            <w:tcW w:w="1059" w:type="dxa"/>
          </w:tcPr>
          <w:p w14:paraId="0DD8F580" w14:textId="77777777" w:rsidR="005A7120" w:rsidRPr="0055343F" w:rsidRDefault="005A7120" w:rsidP="000A2491">
            <w:pPr>
              <w:pStyle w:val="TableText"/>
              <w:jc w:val="right"/>
              <w:rPr>
                <w:rFonts w:ascii="Arial" w:hAnsi="Arial" w:cs="Arial"/>
              </w:rPr>
            </w:pPr>
            <w:r w:rsidRPr="0055343F">
              <w:t>54.5 (47.5</w:t>
            </w:r>
            <w:r>
              <w:t xml:space="preserve">, </w:t>
            </w:r>
            <w:r w:rsidRPr="0055343F">
              <w:t>61.4)</w:t>
            </w:r>
          </w:p>
        </w:tc>
        <w:tc>
          <w:tcPr>
            <w:tcW w:w="408" w:type="dxa"/>
          </w:tcPr>
          <w:p w14:paraId="574EE9CB" w14:textId="77777777" w:rsidR="005A7120" w:rsidRPr="0055343F" w:rsidRDefault="005A7120" w:rsidP="000A2491">
            <w:pPr>
              <w:pStyle w:val="TableText"/>
              <w:jc w:val="right"/>
              <w:rPr>
                <w:rFonts w:ascii="Arial" w:hAnsi="Arial" w:cs="Arial"/>
              </w:rPr>
            </w:pPr>
            <w:r w:rsidRPr="0055343F">
              <w:t>101</w:t>
            </w:r>
          </w:p>
        </w:tc>
        <w:tc>
          <w:tcPr>
            <w:tcW w:w="835" w:type="dxa"/>
          </w:tcPr>
          <w:p w14:paraId="096BF6BA" w14:textId="77777777" w:rsidR="005A7120" w:rsidRPr="0055343F" w:rsidRDefault="005A7120" w:rsidP="000A2491">
            <w:pPr>
              <w:pStyle w:val="TableText"/>
              <w:jc w:val="right"/>
              <w:rPr>
                <w:rFonts w:ascii="Arial" w:hAnsi="Arial" w:cs="Arial"/>
              </w:rPr>
            </w:pPr>
            <w:r w:rsidRPr="0055343F">
              <w:t>390</w:t>
            </w:r>
          </w:p>
        </w:tc>
        <w:tc>
          <w:tcPr>
            <w:tcW w:w="1059" w:type="dxa"/>
          </w:tcPr>
          <w:p w14:paraId="0DE4F937" w14:textId="77777777" w:rsidR="005A7120" w:rsidRPr="0055343F" w:rsidRDefault="005A7120" w:rsidP="000A2491">
            <w:pPr>
              <w:pStyle w:val="TableText"/>
              <w:jc w:val="right"/>
              <w:rPr>
                <w:rFonts w:ascii="Arial" w:hAnsi="Arial" w:cs="Arial"/>
              </w:rPr>
            </w:pPr>
            <w:r w:rsidRPr="0055343F">
              <w:t>40.6 (33.9</w:t>
            </w:r>
            <w:r>
              <w:t xml:space="preserve">, </w:t>
            </w:r>
            <w:r w:rsidRPr="0055343F">
              <w:t>47.7)</w:t>
            </w:r>
          </w:p>
        </w:tc>
      </w:tr>
      <w:tr w:rsidR="005C60DC" w:rsidRPr="00BC49AE" w14:paraId="72BAE309" w14:textId="77777777" w:rsidTr="005C60DC">
        <w:trPr>
          <w:cantSplit/>
        </w:trPr>
        <w:tc>
          <w:tcPr>
            <w:tcW w:w="1595" w:type="dxa"/>
          </w:tcPr>
          <w:p w14:paraId="4C7AC161" w14:textId="77777777" w:rsidR="005A7120" w:rsidRPr="00B17770" w:rsidRDefault="005A7120" w:rsidP="000A2491">
            <w:pPr>
              <w:pStyle w:val="TableText"/>
              <w:rPr>
                <w:bCs/>
                <w:color w:val="000000" w:themeColor="text1"/>
              </w:rPr>
            </w:pPr>
            <w:r w:rsidRPr="00B17770">
              <w:rPr>
                <w:bCs/>
                <w:color w:val="000000" w:themeColor="text1"/>
              </w:rPr>
              <w:t>58+</w:t>
            </w:r>
          </w:p>
        </w:tc>
        <w:tc>
          <w:tcPr>
            <w:tcW w:w="408" w:type="dxa"/>
          </w:tcPr>
          <w:p w14:paraId="1C5976F0" w14:textId="77777777" w:rsidR="005A7120" w:rsidRPr="0055343F" w:rsidRDefault="005A7120" w:rsidP="000A2491">
            <w:pPr>
              <w:pStyle w:val="TableText"/>
              <w:jc w:val="right"/>
              <w:rPr>
                <w:rFonts w:ascii="Arial" w:hAnsi="Arial" w:cs="Arial"/>
              </w:rPr>
            </w:pPr>
            <w:r w:rsidRPr="0055343F">
              <w:t>45</w:t>
            </w:r>
          </w:p>
        </w:tc>
        <w:tc>
          <w:tcPr>
            <w:tcW w:w="835" w:type="dxa"/>
          </w:tcPr>
          <w:p w14:paraId="2F34A0B7" w14:textId="77777777" w:rsidR="005A7120" w:rsidRPr="0055343F" w:rsidRDefault="005A7120" w:rsidP="000A2491">
            <w:pPr>
              <w:pStyle w:val="TableText"/>
              <w:jc w:val="right"/>
              <w:rPr>
                <w:rFonts w:ascii="Arial" w:hAnsi="Arial" w:cs="Arial"/>
              </w:rPr>
            </w:pPr>
            <w:r w:rsidRPr="0055343F">
              <w:t>197</w:t>
            </w:r>
          </w:p>
        </w:tc>
        <w:tc>
          <w:tcPr>
            <w:tcW w:w="1059" w:type="dxa"/>
          </w:tcPr>
          <w:p w14:paraId="110669EB" w14:textId="77777777" w:rsidR="005A7120" w:rsidRPr="0055343F" w:rsidRDefault="005A7120" w:rsidP="000A2491">
            <w:pPr>
              <w:pStyle w:val="TableText"/>
              <w:jc w:val="right"/>
              <w:rPr>
                <w:rFonts w:ascii="Arial" w:hAnsi="Arial" w:cs="Arial"/>
              </w:rPr>
            </w:pPr>
            <w:r w:rsidRPr="0055343F">
              <w:t>67.1 (55.8</w:t>
            </w:r>
            <w:r>
              <w:t xml:space="preserve">, </w:t>
            </w:r>
            <w:r w:rsidRPr="0055343F">
              <w:t>76.6)</w:t>
            </w:r>
          </w:p>
        </w:tc>
        <w:tc>
          <w:tcPr>
            <w:tcW w:w="408" w:type="dxa"/>
          </w:tcPr>
          <w:p w14:paraId="3E1A2341" w14:textId="77777777" w:rsidR="005A7120" w:rsidRPr="0055343F" w:rsidRDefault="005A7120" w:rsidP="000A2491">
            <w:pPr>
              <w:pStyle w:val="TableText"/>
              <w:jc w:val="right"/>
              <w:rPr>
                <w:rFonts w:ascii="Arial" w:hAnsi="Arial" w:cs="Arial"/>
              </w:rPr>
            </w:pPr>
            <w:r w:rsidRPr="0055343F">
              <w:t>22</w:t>
            </w:r>
          </w:p>
        </w:tc>
        <w:tc>
          <w:tcPr>
            <w:tcW w:w="835" w:type="dxa"/>
          </w:tcPr>
          <w:p w14:paraId="0BC74803" w14:textId="77777777" w:rsidR="005A7120" w:rsidRPr="0055343F" w:rsidRDefault="005A7120" w:rsidP="000A2491">
            <w:pPr>
              <w:pStyle w:val="TableText"/>
              <w:jc w:val="right"/>
              <w:rPr>
                <w:rFonts w:ascii="Arial" w:hAnsi="Arial" w:cs="Arial"/>
              </w:rPr>
            </w:pPr>
            <w:r w:rsidRPr="0055343F">
              <w:t>84</w:t>
            </w:r>
          </w:p>
        </w:tc>
        <w:tc>
          <w:tcPr>
            <w:tcW w:w="1059" w:type="dxa"/>
          </w:tcPr>
          <w:p w14:paraId="772254EE" w14:textId="77777777" w:rsidR="005A7120" w:rsidRPr="0055343F" w:rsidRDefault="005A7120" w:rsidP="000A2491">
            <w:pPr>
              <w:pStyle w:val="TableText"/>
              <w:jc w:val="right"/>
              <w:rPr>
                <w:rFonts w:ascii="Arial" w:hAnsi="Arial" w:cs="Arial"/>
              </w:rPr>
            </w:pPr>
            <w:r w:rsidRPr="0055343F">
              <w:t>28.5 (19.7</w:t>
            </w:r>
            <w:r>
              <w:t xml:space="preserve">, </w:t>
            </w:r>
            <w:r w:rsidRPr="0055343F">
              <w:t>39.2)</w:t>
            </w:r>
          </w:p>
        </w:tc>
        <w:tc>
          <w:tcPr>
            <w:tcW w:w="408" w:type="dxa"/>
          </w:tcPr>
          <w:p w14:paraId="7B21375A" w14:textId="77777777" w:rsidR="005A7120" w:rsidRPr="0055343F" w:rsidRDefault="005A7120" w:rsidP="000A2491">
            <w:pPr>
              <w:pStyle w:val="TableText"/>
              <w:jc w:val="right"/>
              <w:rPr>
                <w:rFonts w:ascii="Arial" w:hAnsi="Arial" w:cs="Arial"/>
              </w:rPr>
            </w:pPr>
            <w:r w:rsidRPr="0055343F">
              <w:t>15</w:t>
            </w:r>
          </w:p>
        </w:tc>
        <w:tc>
          <w:tcPr>
            <w:tcW w:w="835" w:type="dxa"/>
          </w:tcPr>
          <w:p w14:paraId="44557281" w14:textId="77777777" w:rsidR="005A7120" w:rsidRPr="0055343F" w:rsidRDefault="005A7120" w:rsidP="000A2491">
            <w:pPr>
              <w:pStyle w:val="TableText"/>
              <w:jc w:val="right"/>
              <w:rPr>
                <w:rFonts w:ascii="Arial" w:hAnsi="Arial" w:cs="Arial"/>
              </w:rPr>
            </w:pPr>
            <w:r w:rsidRPr="0055343F">
              <w:t>54</w:t>
            </w:r>
          </w:p>
        </w:tc>
        <w:tc>
          <w:tcPr>
            <w:tcW w:w="1059" w:type="dxa"/>
          </w:tcPr>
          <w:p w14:paraId="1D168D9E" w14:textId="77777777" w:rsidR="005A7120" w:rsidRPr="0055343F" w:rsidRDefault="005A7120" w:rsidP="000A2491">
            <w:pPr>
              <w:pStyle w:val="TableText"/>
              <w:jc w:val="right"/>
              <w:rPr>
                <w:rFonts w:ascii="Arial" w:hAnsi="Arial" w:cs="Arial"/>
              </w:rPr>
            </w:pPr>
            <w:r w:rsidRPr="0055343F">
              <w:t>64.9 (38.3</w:t>
            </w:r>
            <w:r>
              <w:t xml:space="preserve">, </w:t>
            </w:r>
            <w:r w:rsidRPr="0055343F">
              <w:t>84.6)</w:t>
            </w:r>
          </w:p>
        </w:tc>
        <w:tc>
          <w:tcPr>
            <w:tcW w:w="408" w:type="dxa"/>
          </w:tcPr>
          <w:p w14:paraId="05439635" w14:textId="77777777" w:rsidR="005A7120" w:rsidRPr="0055343F" w:rsidRDefault="005A7120" w:rsidP="000A2491">
            <w:pPr>
              <w:pStyle w:val="TableText"/>
              <w:jc w:val="right"/>
              <w:rPr>
                <w:rFonts w:ascii="Arial" w:hAnsi="Arial" w:cs="Arial"/>
              </w:rPr>
            </w:pPr>
            <w:r w:rsidRPr="0055343F">
              <w:t>7</w:t>
            </w:r>
          </w:p>
        </w:tc>
        <w:tc>
          <w:tcPr>
            <w:tcW w:w="835" w:type="dxa"/>
          </w:tcPr>
          <w:p w14:paraId="0CE61E63" w14:textId="77777777" w:rsidR="005A7120" w:rsidRPr="0055343F" w:rsidRDefault="005A7120" w:rsidP="000A2491">
            <w:pPr>
              <w:pStyle w:val="TableText"/>
              <w:jc w:val="right"/>
              <w:rPr>
                <w:rFonts w:ascii="Arial" w:hAnsi="Arial" w:cs="Arial"/>
              </w:rPr>
            </w:pPr>
            <w:r w:rsidRPr="0055343F">
              <w:t>29</w:t>
            </w:r>
          </w:p>
        </w:tc>
        <w:tc>
          <w:tcPr>
            <w:tcW w:w="1059" w:type="dxa"/>
          </w:tcPr>
          <w:p w14:paraId="7328791B" w14:textId="77777777" w:rsidR="005A7120" w:rsidRPr="0055343F" w:rsidRDefault="005A7120" w:rsidP="000A2491">
            <w:pPr>
              <w:pStyle w:val="TableText"/>
              <w:jc w:val="right"/>
              <w:rPr>
                <w:rFonts w:ascii="Arial" w:hAnsi="Arial" w:cs="Arial"/>
              </w:rPr>
            </w:pPr>
            <w:r w:rsidRPr="0055343F">
              <w:t>35.1 (15.4</w:t>
            </w:r>
            <w:r>
              <w:t xml:space="preserve">, </w:t>
            </w:r>
            <w:r w:rsidRPr="0055343F">
              <w:t>61.7)</w:t>
            </w:r>
          </w:p>
        </w:tc>
      </w:tr>
      <w:tr w:rsidR="005A7120" w:rsidRPr="00BC49AE" w14:paraId="25255ADF"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06A4D592" w14:textId="77777777" w:rsidR="005A7120" w:rsidRPr="00B17770" w:rsidRDefault="005A7120" w:rsidP="000A2491">
            <w:pPr>
              <w:pStyle w:val="TableText"/>
              <w:rPr>
                <w:b/>
                <w:bCs/>
                <w:color w:val="000000" w:themeColor="text1"/>
              </w:rPr>
            </w:pPr>
            <w:r w:rsidRPr="00B17770">
              <w:rPr>
                <w:b/>
                <w:bCs/>
                <w:color w:val="000000" w:themeColor="text1"/>
              </w:rPr>
              <w:t>Sex and Age group</w:t>
            </w:r>
          </w:p>
        </w:tc>
        <w:tc>
          <w:tcPr>
            <w:tcW w:w="408" w:type="dxa"/>
          </w:tcPr>
          <w:p w14:paraId="7CA1FAE8" w14:textId="77777777" w:rsidR="005A7120" w:rsidRPr="0055343F" w:rsidRDefault="005A7120" w:rsidP="000A2491">
            <w:pPr>
              <w:pStyle w:val="TableText"/>
              <w:jc w:val="right"/>
              <w:rPr>
                <w:rFonts w:ascii="Arial" w:hAnsi="Arial" w:cs="Arial"/>
              </w:rPr>
            </w:pPr>
          </w:p>
        </w:tc>
        <w:tc>
          <w:tcPr>
            <w:tcW w:w="835" w:type="dxa"/>
          </w:tcPr>
          <w:p w14:paraId="6D239150" w14:textId="77777777" w:rsidR="005A7120" w:rsidRPr="0055343F" w:rsidRDefault="005A7120" w:rsidP="000A2491">
            <w:pPr>
              <w:pStyle w:val="TableText"/>
              <w:jc w:val="right"/>
              <w:rPr>
                <w:rFonts w:ascii="Arial" w:hAnsi="Arial" w:cs="Arial"/>
              </w:rPr>
            </w:pPr>
          </w:p>
        </w:tc>
        <w:tc>
          <w:tcPr>
            <w:tcW w:w="1059" w:type="dxa"/>
          </w:tcPr>
          <w:p w14:paraId="088A8DCC" w14:textId="77777777" w:rsidR="005A7120" w:rsidRPr="0055343F" w:rsidRDefault="005A7120" w:rsidP="000A2491">
            <w:pPr>
              <w:pStyle w:val="TableText"/>
              <w:jc w:val="right"/>
              <w:rPr>
                <w:rFonts w:ascii="Arial" w:hAnsi="Arial" w:cs="Arial"/>
              </w:rPr>
            </w:pPr>
          </w:p>
        </w:tc>
        <w:tc>
          <w:tcPr>
            <w:tcW w:w="408" w:type="dxa"/>
          </w:tcPr>
          <w:p w14:paraId="466E7598" w14:textId="77777777" w:rsidR="005A7120" w:rsidRPr="0055343F" w:rsidRDefault="005A7120" w:rsidP="000A2491">
            <w:pPr>
              <w:pStyle w:val="TableText"/>
              <w:jc w:val="right"/>
              <w:rPr>
                <w:rFonts w:ascii="Arial" w:hAnsi="Arial" w:cs="Arial"/>
              </w:rPr>
            </w:pPr>
          </w:p>
        </w:tc>
        <w:tc>
          <w:tcPr>
            <w:tcW w:w="835" w:type="dxa"/>
          </w:tcPr>
          <w:p w14:paraId="16A221B0" w14:textId="77777777" w:rsidR="005A7120" w:rsidRPr="0055343F" w:rsidRDefault="005A7120" w:rsidP="000A2491">
            <w:pPr>
              <w:pStyle w:val="TableText"/>
              <w:jc w:val="right"/>
              <w:rPr>
                <w:rFonts w:ascii="Arial" w:hAnsi="Arial" w:cs="Arial"/>
              </w:rPr>
            </w:pPr>
          </w:p>
        </w:tc>
        <w:tc>
          <w:tcPr>
            <w:tcW w:w="1059" w:type="dxa"/>
          </w:tcPr>
          <w:p w14:paraId="64F30BC4" w14:textId="77777777" w:rsidR="005A7120" w:rsidRPr="0055343F" w:rsidRDefault="005A7120" w:rsidP="000A2491">
            <w:pPr>
              <w:pStyle w:val="TableText"/>
              <w:jc w:val="right"/>
              <w:rPr>
                <w:rFonts w:ascii="Arial" w:hAnsi="Arial" w:cs="Arial"/>
              </w:rPr>
            </w:pPr>
          </w:p>
        </w:tc>
        <w:tc>
          <w:tcPr>
            <w:tcW w:w="408" w:type="dxa"/>
          </w:tcPr>
          <w:p w14:paraId="5B174C32" w14:textId="77777777" w:rsidR="005A7120" w:rsidRPr="0055343F" w:rsidRDefault="005A7120" w:rsidP="000A2491">
            <w:pPr>
              <w:pStyle w:val="TableText"/>
              <w:jc w:val="right"/>
              <w:rPr>
                <w:rFonts w:ascii="Arial" w:hAnsi="Arial" w:cs="Arial"/>
              </w:rPr>
            </w:pPr>
          </w:p>
        </w:tc>
        <w:tc>
          <w:tcPr>
            <w:tcW w:w="835" w:type="dxa"/>
          </w:tcPr>
          <w:p w14:paraId="27D30CE2" w14:textId="77777777" w:rsidR="005A7120" w:rsidRPr="0055343F" w:rsidRDefault="005A7120" w:rsidP="000A2491">
            <w:pPr>
              <w:pStyle w:val="TableText"/>
              <w:jc w:val="right"/>
              <w:rPr>
                <w:rFonts w:ascii="Arial" w:hAnsi="Arial" w:cs="Arial"/>
              </w:rPr>
            </w:pPr>
          </w:p>
        </w:tc>
        <w:tc>
          <w:tcPr>
            <w:tcW w:w="1059" w:type="dxa"/>
          </w:tcPr>
          <w:p w14:paraId="66A1F119" w14:textId="77777777" w:rsidR="005A7120" w:rsidRPr="0055343F" w:rsidRDefault="005A7120" w:rsidP="000A2491">
            <w:pPr>
              <w:pStyle w:val="TableText"/>
              <w:jc w:val="right"/>
              <w:rPr>
                <w:rFonts w:ascii="Arial" w:hAnsi="Arial" w:cs="Arial"/>
              </w:rPr>
            </w:pPr>
          </w:p>
        </w:tc>
        <w:tc>
          <w:tcPr>
            <w:tcW w:w="408" w:type="dxa"/>
          </w:tcPr>
          <w:p w14:paraId="6DAB325B" w14:textId="77777777" w:rsidR="005A7120" w:rsidRPr="0055343F" w:rsidRDefault="005A7120" w:rsidP="000A2491">
            <w:pPr>
              <w:pStyle w:val="TableText"/>
              <w:jc w:val="right"/>
              <w:rPr>
                <w:rFonts w:ascii="Arial" w:hAnsi="Arial" w:cs="Arial"/>
              </w:rPr>
            </w:pPr>
          </w:p>
        </w:tc>
        <w:tc>
          <w:tcPr>
            <w:tcW w:w="835" w:type="dxa"/>
          </w:tcPr>
          <w:p w14:paraId="5BB7CAF0" w14:textId="77777777" w:rsidR="005A7120" w:rsidRPr="0055343F" w:rsidRDefault="005A7120" w:rsidP="000A2491">
            <w:pPr>
              <w:pStyle w:val="TableText"/>
              <w:jc w:val="right"/>
              <w:rPr>
                <w:rFonts w:ascii="Arial" w:hAnsi="Arial" w:cs="Arial"/>
              </w:rPr>
            </w:pPr>
          </w:p>
        </w:tc>
        <w:tc>
          <w:tcPr>
            <w:tcW w:w="1059" w:type="dxa"/>
          </w:tcPr>
          <w:p w14:paraId="34F13906" w14:textId="77777777" w:rsidR="005A7120" w:rsidRPr="0055343F" w:rsidRDefault="005A7120" w:rsidP="000A2491">
            <w:pPr>
              <w:pStyle w:val="TableText"/>
              <w:jc w:val="right"/>
              <w:rPr>
                <w:rFonts w:ascii="Arial" w:hAnsi="Arial" w:cs="Arial"/>
              </w:rPr>
            </w:pPr>
          </w:p>
        </w:tc>
      </w:tr>
      <w:tr w:rsidR="005C60DC" w:rsidRPr="00BC49AE" w14:paraId="1DA72C95" w14:textId="77777777" w:rsidTr="005C60DC">
        <w:trPr>
          <w:cantSplit/>
        </w:trPr>
        <w:tc>
          <w:tcPr>
            <w:tcW w:w="1595" w:type="dxa"/>
          </w:tcPr>
          <w:p w14:paraId="251BDFA0" w14:textId="77777777" w:rsidR="005A7120" w:rsidRPr="00B17770" w:rsidRDefault="005A7120" w:rsidP="000A2491">
            <w:pPr>
              <w:pStyle w:val="TableText"/>
              <w:rPr>
                <w:bCs/>
                <w:color w:val="000000" w:themeColor="text1"/>
              </w:rPr>
            </w:pPr>
            <w:r w:rsidRPr="00B17770">
              <w:rPr>
                <w:bCs/>
                <w:color w:val="000000" w:themeColor="text1"/>
              </w:rPr>
              <w:t>Male 18</w:t>
            </w:r>
            <w:r>
              <w:rPr>
                <w:bCs/>
                <w:color w:val="000000" w:themeColor="text1"/>
              </w:rPr>
              <w:t>–</w:t>
            </w:r>
            <w:r w:rsidRPr="00B17770">
              <w:rPr>
                <w:bCs/>
                <w:color w:val="000000" w:themeColor="text1"/>
              </w:rPr>
              <w:t>37</w:t>
            </w:r>
          </w:p>
        </w:tc>
        <w:tc>
          <w:tcPr>
            <w:tcW w:w="408" w:type="dxa"/>
          </w:tcPr>
          <w:p w14:paraId="395EC2F5" w14:textId="77777777" w:rsidR="005A7120" w:rsidRPr="0055343F" w:rsidRDefault="005A7120" w:rsidP="000A2491">
            <w:pPr>
              <w:pStyle w:val="TableText"/>
              <w:jc w:val="right"/>
              <w:rPr>
                <w:rFonts w:ascii="Arial" w:hAnsi="Arial" w:cs="Arial"/>
              </w:rPr>
            </w:pPr>
            <w:r w:rsidRPr="0055343F">
              <w:t>110</w:t>
            </w:r>
          </w:p>
        </w:tc>
        <w:tc>
          <w:tcPr>
            <w:tcW w:w="835" w:type="dxa"/>
          </w:tcPr>
          <w:p w14:paraId="036A15F0" w14:textId="77777777" w:rsidR="005A7120" w:rsidRPr="0055343F" w:rsidRDefault="005A7120" w:rsidP="000A2491">
            <w:pPr>
              <w:pStyle w:val="TableText"/>
              <w:jc w:val="right"/>
              <w:rPr>
                <w:rFonts w:ascii="Arial" w:hAnsi="Arial" w:cs="Arial"/>
              </w:rPr>
            </w:pPr>
            <w:r w:rsidRPr="0055343F">
              <w:t>1228</w:t>
            </w:r>
          </w:p>
        </w:tc>
        <w:tc>
          <w:tcPr>
            <w:tcW w:w="1059" w:type="dxa"/>
          </w:tcPr>
          <w:p w14:paraId="17D83F01" w14:textId="77777777" w:rsidR="005A7120" w:rsidRPr="0055343F" w:rsidRDefault="005A7120" w:rsidP="000A2491">
            <w:pPr>
              <w:pStyle w:val="TableText"/>
              <w:jc w:val="right"/>
              <w:rPr>
                <w:rFonts w:ascii="Arial" w:hAnsi="Arial" w:cs="Arial"/>
              </w:rPr>
            </w:pPr>
            <w:r w:rsidRPr="0055343F">
              <w:t>42.7 (35.6</w:t>
            </w:r>
            <w:r>
              <w:t xml:space="preserve">, </w:t>
            </w:r>
            <w:r w:rsidRPr="0055343F">
              <w:t>50.1)</w:t>
            </w:r>
          </w:p>
        </w:tc>
        <w:tc>
          <w:tcPr>
            <w:tcW w:w="408" w:type="dxa"/>
          </w:tcPr>
          <w:p w14:paraId="5DF5C049" w14:textId="77777777" w:rsidR="005A7120" w:rsidRPr="0055343F" w:rsidRDefault="005A7120" w:rsidP="000A2491">
            <w:pPr>
              <w:pStyle w:val="TableText"/>
              <w:jc w:val="right"/>
              <w:rPr>
                <w:rFonts w:ascii="Arial" w:hAnsi="Arial" w:cs="Arial"/>
              </w:rPr>
            </w:pPr>
            <w:r w:rsidRPr="0055343F">
              <w:t>134</w:t>
            </w:r>
          </w:p>
        </w:tc>
        <w:tc>
          <w:tcPr>
            <w:tcW w:w="835" w:type="dxa"/>
          </w:tcPr>
          <w:p w14:paraId="37DE8FD4" w14:textId="77777777" w:rsidR="005A7120" w:rsidRPr="0055343F" w:rsidRDefault="005A7120" w:rsidP="000A2491">
            <w:pPr>
              <w:pStyle w:val="TableText"/>
              <w:jc w:val="right"/>
              <w:rPr>
                <w:rFonts w:ascii="Arial" w:hAnsi="Arial" w:cs="Arial"/>
              </w:rPr>
            </w:pPr>
            <w:r w:rsidRPr="0055343F">
              <w:t>1466</w:t>
            </w:r>
          </w:p>
        </w:tc>
        <w:tc>
          <w:tcPr>
            <w:tcW w:w="1059" w:type="dxa"/>
          </w:tcPr>
          <w:p w14:paraId="704093A6" w14:textId="77777777" w:rsidR="005A7120" w:rsidRPr="0055343F" w:rsidRDefault="005A7120" w:rsidP="000A2491">
            <w:pPr>
              <w:pStyle w:val="TableText"/>
              <w:jc w:val="right"/>
              <w:rPr>
                <w:rFonts w:ascii="Arial" w:hAnsi="Arial" w:cs="Arial"/>
              </w:rPr>
            </w:pPr>
            <w:r w:rsidRPr="0055343F">
              <w:t>51.0 (43.6</w:t>
            </w:r>
            <w:r>
              <w:t xml:space="preserve">, </w:t>
            </w:r>
            <w:r w:rsidRPr="0055343F">
              <w:t>58.3)</w:t>
            </w:r>
          </w:p>
        </w:tc>
        <w:tc>
          <w:tcPr>
            <w:tcW w:w="408" w:type="dxa"/>
          </w:tcPr>
          <w:p w14:paraId="786D4D20" w14:textId="77777777" w:rsidR="005A7120" w:rsidRPr="0055343F" w:rsidRDefault="005A7120" w:rsidP="000A2491">
            <w:pPr>
              <w:pStyle w:val="TableText"/>
              <w:jc w:val="right"/>
              <w:rPr>
                <w:rFonts w:ascii="Arial" w:hAnsi="Arial" w:cs="Arial"/>
              </w:rPr>
            </w:pPr>
            <w:r w:rsidRPr="0055343F">
              <w:t>173</w:t>
            </w:r>
          </w:p>
        </w:tc>
        <w:tc>
          <w:tcPr>
            <w:tcW w:w="835" w:type="dxa"/>
          </w:tcPr>
          <w:p w14:paraId="1434AE5A" w14:textId="77777777" w:rsidR="005A7120" w:rsidRPr="0055343F" w:rsidRDefault="005A7120" w:rsidP="000A2491">
            <w:pPr>
              <w:pStyle w:val="TableText"/>
              <w:jc w:val="right"/>
              <w:rPr>
                <w:rFonts w:ascii="Arial" w:hAnsi="Arial" w:cs="Arial"/>
              </w:rPr>
            </w:pPr>
            <w:r w:rsidRPr="0055343F">
              <w:t>2742</w:t>
            </w:r>
          </w:p>
        </w:tc>
        <w:tc>
          <w:tcPr>
            <w:tcW w:w="1059" w:type="dxa"/>
          </w:tcPr>
          <w:p w14:paraId="4411718F" w14:textId="77777777" w:rsidR="005A7120" w:rsidRPr="0055343F" w:rsidRDefault="005A7120" w:rsidP="000A2491">
            <w:pPr>
              <w:pStyle w:val="TableText"/>
              <w:jc w:val="right"/>
              <w:rPr>
                <w:rFonts w:ascii="Arial" w:hAnsi="Arial" w:cs="Arial"/>
              </w:rPr>
            </w:pPr>
            <w:r w:rsidRPr="0055343F">
              <w:t>55.2 (38.5</w:t>
            </w:r>
            <w:r>
              <w:t xml:space="preserve">, </w:t>
            </w:r>
            <w:r w:rsidRPr="0055343F">
              <w:t>70.8)</w:t>
            </w:r>
          </w:p>
        </w:tc>
        <w:tc>
          <w:tcPr>
            <w:tcW w:w="408" w:type="dxa"/>
          </w:tcPr>
          <w:p w14:paraId="6C3E63FF" w14:textId="77777777" w:rsidR="005A7120" w:rsidRPr="0055343F" w:rsidRDefault="005A7120" w:rsidP="000A2491">
            <w:pPr>
              <w:pStyle w:val="TableText"/>
              <w:jc w:val="right"/>
              <w:rPr>
                <w:rFonts w:ascii="Arial" w:hAnsi="Arial" w:cs="Arial"/>
              </w:rPr>
            </w:pPr>
            <w:r w:rsidRPr="0055343F">
              <w:t>176</w:t>
            </w:r>
          </w:p>
        </w:tc>
        <w:tc>
          <w:tcPr>
            <w:tcW w:w="835" w:type="dxa"/>
          </w:tcPr>
          <w:p w14:paraId="308F20CE" w14:textId="77777777" w:rsidR="005A7120" w:rsidRPr="0055343F" w:rsidRDefault="005A7120" w:rsidP="000A2491">
            <w:pPr>
              <w:pStyle w:val="TableText"/>
              <w:jc w:val="right"/>
              <w:rPr>
                <w:rFonts w:ascii="Arial" w:hAnsi="Arial" w:cs="Arial"/>
              </w:rPr>
            </w:pPr>
            <w:r w:rsidRPr="0055343F">
              <w:t>2110</w:t>
            </w:r>
          </w:p>
        </w:tc>
        <w:tc>
          <w:tcPr>
            <w:tcW w:w="1059" w:type="dxa"/>
          </w:tcPr>
          <w:p w14:paraId="7DEA395A" w14:textId="77777777" w:rsidR="005A7120" w:rsidRPr="0055343F" w:rsidRDefault="005A7120" w:rsidP="000A2491">
            <w:pPr>
              <w:pStyle w:val="TableText"/>
              <w:jc w:val="right"/>
              <w:rPr>
                <w:rFonts w:ascii="Arial" w:hAnsi="Arial" w:cs="Arial"/>
              </w:rPr>
            </w:pPr>
            <w:r w:rsidRPr="0055343F">
              <w:t>42.5 (27.2</w:t>
            </w:r>
            <w:r>
              <w:t xml:space="preserve">, </w:t>
            </w:r>
            <w:r w:rsidRPr="0055343F">
              <w:t>59.4)</w:t>
            </w:r>
          </w:p>
        </w:tc>
      </w:tr>
      <w:tr w:rsidR="005A7120" w:rsidRPr="00BC49AE" w14:paraId="69526C5F"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3165FF69" w14:textId="77777777" w:rsidR="005A7120" w:rsidRPr="00B17770" w:rsidRDefault="005A7120" w:rsidP="000A2491">
            <w:pPr>
              <w:pStyle w:val="TableText"/>
              <w:rPr>
                <w:bCs/>
                <w:color w:val="000000" w:themeColor="text1"/>
              </w:rPr>
            </w:pPr>
            <w:r w:rsidRPr="00B17770">
              <w:rPr>
                <w:bCs/>
                <w:color w:val="000000" w:themeColor="text1"/>
              </w:rPr>
              <w:t>Male 38</w:t>
            </w:r>
            <w:r>
              <w:rPr>
                <w:bCs/>
                <w:color w:val="000000" w:themeColor="text1"/>
              </w:rPr>
              <w:t>+</w:t>
            </w:r>
          </w:p>
        </w:tc>
        <w:tc>
          <w:tcPr>
            <w:tcW w:w="408" w:type="dxa"/>
          </w:tcPr>
          <w:p w14:paraId="31042A39" w14:textId="77777777" w:rsidR="005A7120" w:rsidRPr="0055343F" w:rsidRDefault="005A7120" w:rsidP="000A2491">
            <w:pPr>
              <w:pStyle w:val="TableText"/>
              <w:jc w:val="right"/>
              <w:rPr>
                <w:rFonts w:ascii="Arial" w:hAnsi="Arial" w:cs="Arial"/>
              </w:rPr>
            </w:pPr>
            <w:r w:rsidRPr="0055343F">
              <w:t>192</w:t>
            </w:r>
          </w:p>
        </w:tc>
        <w:tc>
          <w:tcPr>
            <w:tcW w:w="835" w:type="dxa"/>
          </w:tcPr>
          <w:p w14:paraId="07D4A6B3" w14:textId="77777777" w:rsidR="005A7120" w:rsidRPr="0055343F" w:rsidRDefault="005A7120" w:rsidP="000A2491">
            <w:pPr>
              <w:pStyle w:val="TableText"/>
              <w:jc w:val="right"/>
              <w:rPr>
                <w:rFonts w:ascii="Arial" w:hAnsi="Arial" w:cs="Arial"/>
              </w:rPr>
            </w:pPr>
            <w:r w:rsidRPr="0055343F">
              <w:t>962</w:t>
            </w:r>
          </w:p>
        </w:tc>
        <w:tc>
          <w:tcPr>
            <w:tcW w:w="1059" w:type="dxa"/>
          </w:tcPr>
          <w:p w14:paraId="040BDA47" w14:textId="77777777" w:rsidR="005A7120" w:rsidRPr="0055343F" w:rsidRDefault="005A7120" w:rsidP="000A2491">
            <w:pPr>
              <w:pStyle w:val="TableText"/>
              <w:jc w:val="right"/>
              <w:rPr>
                <w:rFonts w:ascii="Arial" w:hAnsi="Arial" w:cs="Arial"/>
              </w:rPr>
            </w:pPr>
            <w:r w:rsidRPr="0055343F">
              <w:t>47.2 (41.5</w:t>
            </w:r>
            <w:r>
              <w:t xml:space="preserve">, </w:t>
            </w:r>
            <w:r w:rsidRPr="0055343F">
              <w:t>52.9)</w:t>
            </w:r>
          </w:p>
        </w:tc>
        <w:tc>
          <w:tcPr>
            <w:tcW w:w="408" w:type="dxa"/>
          </w:tcPr>
          <w:p w14:paraId="55C18093" w14:textId="77777777" w:rsidR="005A7120" w:rsidRPr="0055343F" w:rsidRDefault="005A7120" w:rsidP="000A2491">
            <w:pPr>
              <w:pStyle w:val="TableText"/>
              <w:jc w:val="right"/>
              <w:rPr>
                <w:rFonts w:ascii="Arial" w:hAnsi="Arial" w:cs="Arial"/>
              </w:rPr>
            </w:pPr>
            <w:r w:rsidRPr="0055343F">
              <w:t>191</w:t>
            </w:r>
          </w:p>
        </w:tc>
        <w:tc>
          <w:tcPr>
            <w:tcW w:w="835" w:type="dxa"/>
          </w:tcPr>
          <w:p w14:paraId="7B6E7CBD" w14:textId="77777777" w:rsidR="005A7120" w:rsidRPr="0055343F" w:rsidRDefault="005A7120" w:rsidP="000A2491">
            <w:pPr>
              <w:pStyle w:val="TableText"/>
              <w:jc w:val="right"/>
              <w:rPr>
                <w:rFonts w:ascii="Arial" w:hAnsi="Arial" w:cs="Arial"/>
              </w:rPr>
            </w:pPr>
            <w:r w:rsidRPr="0055343F">
              <w:t>975</w:t>
            </w:r>
          </w:p>
        </w:tc>
        <w:tc>
          <w:tcPr>
            <w:tcW w:w="1059" w:type="dxa"/>
          </w:tcPr>
          <w:p w14:paraId="58B449BB" w14:textId="77777777" w:rsidR="005A7120" w:rsidRPr="0055343F" w:rsidRDefault="005A7120" w:rsidP="000A2491">
            <w:pPr>
              <w:pStyle w:val="TableText"/>
              <w:jc w:val="right"/>
              <w:rPr>
                <w:rFonts w:ascii="Arial" w:hAnsi="Arial" w:cs="Arial"/>
              </w:rPr>
            </w:pPr>
            <w:r w:rsidRPr="0055343F">
              <w:t>47.8 (42.2</w:t>
            </w:r>
            <w:r>
              <w:t xml:space="preserve">, </w:t>
            </w:r>
            <w:r w:rsidRPr="0055343F">
              <w:t>53.6)</w:t>
            </w:r>
          </w:p>
        </w:tc>
        <w:tc>
          <w:tcPr>
            <w:tcW w:w="408" w:type="dxa"/>
          </w:tcPr>
          <w:p w14:paraId="177D7A81" w14:textId="77777777" w:rsidR="005A7120" w:rsidRPr="0055343F" w:rsidRDefault="005A7120" w:rsidP="000A2491">
            <w:pPr>
              <w:pStyle w:val="TableText"/>
              <w:jc w:val="right"/>
              <w:rPr>
                <w:rFonts w:ascii="Arial" w:hAnsi="Arial" w:cs="Arial"/>
              </w:rPr>
            </w:pPr>
            <w:r w:rsidRPr="0055343F">
              <w:t>312</w:t>
            </w:r>
          </w:p>
        </w:tc>
        <w:tc>
          <w:tcPr>
            <w:tcW w:w="835" w:type="dxa"/>
          </w:tcPr>
          <w:p w14:paraId="43D16C19" w14:textId="77777777" w:rsidR="005A7120" w:rsidRPr="0055343F" w:rsidRDefault="005A7120" w:rsidP="000A2491">
            <w:pPr>
              <w:pStyle w:val="TableText"/>
              <w:jc w:val="right"/>
              <w:rPr>
                <w:rFonts w:ascii="Arial" w:hAnsi="Arial" w:cs="Arial"/>
              </w:rPr>
            </w:pPr>
            <w:r w:rsidRPr="0055343F">
              <w:t>1253</w:t>
            </w:r>
          </w:p>
        </w:tc>
        <w:tc>
          <w:tcPr>
            <w:tcW w:w="1059" w:type="dxa"/>
          </w:tcPr>
          <w:p w14:paraId="542CCEA0" w14:textId="77777777" w:rsidR="005A7120" w:rsidRPr="0055343F" w:rsidRDefault="005A7120" w:rsidP="000A2491">
            <w:pPr>
              <w:pStyle w:val="TableText"/>
              <w:jc w:val="right"/>
              <w:rPr>
                <w:rFonts w:ascii="Arial" w:hAnsi="Arial" w:cs="Arial"/>
              </w:rPr>
            </w:pPr>
            <w:r w:rsidRPr="0055343F">
              <w:t>50.1 (44.5</w:t>
            </w:r>
            <w:r>
              <w:t xml:space="preserve">, </w:t>
            </w:r>
            <w:r w:rsidRPr="0055343F">
              <w:t>55.6)</w:t>
            </w:r>
          </w:p>
        </w:tc>
        <w:tc>
          <w:tcPr>
            <w:tcW w:w="408" w:type="dxa"/>
          </w:tcPr>
          <w:p w14:paraId="55FFBE45" w14:textId="77777777" w:rsidR="005A7120" w:rsidRPr="0055343F" w:rsidRDefault="005A7120" w:rsidP="000A2491">
            <w:pPr>
              <w:pStyle w:val="TableText"/>
              <w:jc w:val="right"/>
              <w:rPr>
                <w:rFonts w:ascii="Arial" w:hAnsi="Arial" w:cs="Arial"/>
              </w:rPr>
            </w:pPr>
            <w:r w:rsidRPr="0055343F">
              <w:t>287</w:t>
            </w:r>
          </w:p>
        </w:tc>
        <w:tc>
          <w:tcPr>
            <w:tcW w:w="835" w:type="dxa"/>
          </w:tcPr>
          <w:p w14:paraId="4F33375B" w14:textId="77777777" w:rsidR="005A7120" w:rsidRPr="0055343F" w:rsidRDefault="005A7120" w:rsidP="000A2491">
            <w:pPr>
              <w:pStyle w:val="TableText"/>
              <w:jc w:val="right"/>
              <w:rPr>
                <w:rFonts w:ascii="Arial" w:hAnsi="Arial" w:cs="Arial"/>
              </w:rPr>
            </w:pPr>
            <w:r w:rsidRPr="0055343F">
              <w:t>1141</w:t>
            </w:r>
          </w:p>
        </w:tc>
        <w:tc>
          <w:tcPr>
            <w:tcW w:w="1059" w:type="dxa"/>
          </w:tcPr>
          <w:p w14:paraId="7ADF732D" w14:textId="77777777" w:rsidR="005A7120" w:rsidRPr="0055343F" w:rsidRDefault="005A7120" w:rsidP="000A2491">
            <w:pPr>
              <w:pStyle w:val="TableText"/>
              <w:jc w:val="right"/>
              <w:rPr>
                <w:rFonts w:ascii="Arial" w:hAnsi="Arial" w:cs="Arial"/>
              </w:rPr>
            </w:pPr>
            <w:r w:rsidRPr="0055343F">
              <w:t>45.6 (40.2</w:t>
            </w:r>
            <w:r>
              <w:t xml:space="preserve">, </w:t>
            </w:r>
            <w:r w:rsidRPr="0055343F">
              <w:t>51.0)</w:t>
            </w:r>
          </w:p>
        </w:tc>
      </w:tr>
      <w:tr w:rsidR="005C60DC" w:rsidRPr="00BC49AE" w14:paraId="170D271B" w14:textId="77777777" w:rsidTr="005C60DC">
        <w:trPr>
          <w:cantSplit/>
        </w:trPr>
        <w:tc>
          <w:tcPr>
            <w:tcW w:w="1595" w:type="dxa"/>
          </w:tcPr>
          <w:p w14:paraId="1A146F6D" w14:textId="77777777" w:rsidR="005A7120" w:rsidRPr="00B17770" w:rsidRDefault="005A7120" w:rsidP="000A2491">
            <w:pPr>
              <w:pStyle w:val="TableText"/>
              <w:rPr>
                <w:bCs/>
                <w:color w:val="000000" w:themeColor="text1"/>
              </w:rPr>
            </w:pPr>
            <w:r w:rsidRPr="00B17770">
              <w:rPr>
                <w:bCs/>
                <w:color w:val="000000" w:themeColor="text1"/>
              </w:rPr>
              <w:t>Female 18</w:t>
            </w:r>
            <w:r>
              <w:rPr>
                <w:bCs/>
                <w:color w:val="000000" w:themeColor="text1"/>
              </w:rPr>
              <w:t>–</w:t>
            </w:r>
            <w:r w:rsidRPr="00B17770">
              <w:rPr>
                <w:bCs/>
                <w:color w:val="000000" w:themeColor="text1"/>
              </w:rPr>
              <w:t>37</w:t>
            </w:r>
          </w:p>
        </w:tc>
        <w:tc>
          <w:tcPr>
            <w:tcW w:w="408" w:type="dxa"/>
          </w:tcPr>
          <w:p w14:paraId="1D036631" w14:textId="77777777" w:rsidR="005A7120" w:rsidRPr="0055343F" w:rsidRDefault="005A7120" w:rsidP="000A2491">
            <w:pPr>
              <w:pStyle w:val="TableText"/>
              <w:jc w:val="right"/>
              <w:rPr>
                <w:rFonts w:ascii="Arial" w:hAnsi="Arial" w:cs="Arial"/>
              </w:rPr>
            </w:pPr>
            <w:r w:rsidRPr="0055343F">
              <w:t>60</w:t>
            </w:r>
          </w:p>
        </w:tc>
        <w:tc>
          <w:tcPr>
            <w:tcW w:w="835" w:type="dxa"/>
          </w:tcPr>
          <w:p w14:paraId="2674251E" w14:textId="77777777" w:rsidR="005A7120" w:rsidRPr="0055343F" w:rsidRDefault="005A7120" w:rsidP="000A2491">
            <w:pPr>
              <w:pStyle w:val="TableText"/>
              <w:jc w:val="right"/>
              <w:rPr>
                <w:rFonts w:ascii="Arial" w:hAnsi="Arial" w:cs="Arial"/>
              </w:rPr>
            </w:pPr>
            <w:r w:rsidRPr="0055343F">
              <w:t>431</w:t>
            </w:r>
          </w:p>
        </w:tc>
        <w:tc>
          <w:tcPr>
            <w:tcW w:w="1059" w:type="dxa"/>
          </w:tcPr>
          <w:p w14:paraId="50C0B608" w14:textId="77777777" w:rsidR="005A7120" w:rsidRPr="0055343F" w:rsidRDefault="005A7120" w:rsidP="000A2491">
            <w:pPr>
              <w:pStyle w:val="TableText"/>
              <w:jc w:val="right"/>
              <w:rPr>
                <w:rFonts w:ascii="Arial" w:hAnsi="Arial" w:cs="Arial"/>
              </w:rPr>
            </w:pPr>
            <w:r w:rsidRPr="0055343F">
              <w:t>55.8 (45.5</w:t>
            </w:r>
            <w:r>
              <w:t xml:space="preserve">, </w:t>
            </w:r>
            <w:r w:rsidRPr="0055343F">
              <w:t>65.7)</w:t>
            </w:r>
          </w:p>
        </w:tc>
        <w:tc>
          <w:tcPr>
            <w:tcW w:w="408" w:type="dxa"/>
          </w:tcPr>
          <w:p w14:paraId="0C142B59" w14:textId="77777777" w:rsidR="005A7120" w:rsidRPr="0055343F" w:rsidRDefault="005A7120" w:rsidP="000A2491">
            <w:pPr>
              <w:pStyle w:val="TableText"/>
              <w:jc w:val="right"/>
              <w:rPr>
                <w:rFonts w:ascii="Arial" w:hAnsi="Arial" w:cs="Arial"/>
              </w:rPr>
            </w:pPr>
            <w:r w:rsidRPr="0055343F">
              <w:t>52</w:t>
            </w:r>
          </w:p>
        </w:tc>
        <w:tc>
          <w:tcPr>
            <w:tcW w:w="835" w:type="dxa"/>
          </w:tcPr>
          <w:p w14:paraId="7CCFB205" w14:textId="77777777" w:rsidR="005A7120" w:rsidRPr="0055343F" w:rsidRDefault="005A7120" w:rsidP="000A2491">
            <w:pPr>
              <w:pStyle w:val="TableText"/>
              <w:jc w:val="right"/>
              <w:rPr>
                <w:rFonts w:ascii="Arial" w:hAnsi="Arial" w:cs="Arial"/>
              </w:rPr>
            </w:pPr>
            <w:r w:rsidRPr="0055343F">
              <w:t>314</w:t>
            </w:r>
          </w:p>
        </w:tc>
        <w:tc>
          <w:tcPr>
            <w:tcW w:w="1059" w:type="dxa"/>
          </w:tcPr>
          <w:p w14:paraId="46ED6EF7" w14:textId="77777777" w:rsidR="005A7120" w:rsidRPr="0055343F" w:rsidRDefault="005A7120" w:rsidP="000A2491">
            <w:pPr>
              <w:pStyle w:val="TableText"/>
              <w:jc w:val="right"/>
              <w:rPr>
                <w:rFonts w:ascii="Arial" w:hAnsi="Arial" w:cs="Arial"/>
              </w:rPr>
            </w:pPr>
            <w:r w:rsidRPr="0055343F">
              <w:t>40.7 (31.2</w:t>
            </w:r>
            <w:r>
              <w:t xml:space="preserve">, </w:t>
            </w:r>
            <w:r w:rsidRPr="0055343F">
              <w:t>51.0)</w:t>
            </w:r>
          </w:p>
        </w:tc>
        <w:tc>
          <w:tcPr>
            <w:tcW w:w="408" w:type="dxa"/>
          </w:tcPr>
          <w:p w14:paraId="1DC6CB08" w14:textId="77777777" w:rsidR="005A7120" w:rsidRPr="0055343F" w:rsidRDefault="005A7120" w:rsidP="000A2491">
            <w:pPr>
              <w:pStyle w:val="TableText"/>
              <w:jc w:val="right"/>
              <w:rPr>
                <w:rFonts w:ascii="Arial" w:hAnsi="Arial" w:cs="Arial"/>
              </w:rPr>
            </w:pPr>
            <w:r w:rsidRPr="0055343F">
              <w:t>134</w:t>
            </w:r>
          </w:p>
        </w:tc>
        <w:tc>
          <w:tcPr>
            <w:tcW w:w="835" w:type="dxa"/>
          </w:tcPr>
          <w:p w14:paraId="6E67A874" w14:textId="77777777" w:rsidR="005A7120" w:rsidRPr="0055343F" w:rsidRDefault="005A7120" w:rsidP="000A2491">
            <w:pPr>
              <w:pStyle w:val="TableText"/>
              <w:jc w:val="right"/>
              <w:rPr>
                <w:rFonts w:ascii="Arial" w:hAnsi="Arial" w:cs="Arial"/>
              </w:rPr>
            </w:pPr>
            <w:r w:rsidRPr="0055343F">
              <w:t>466</w:t>
            </w:r>
          </w:p>
        </w:tc>
        <w:tc>
          <w:tcPr>
            <w:tcW w:w="1059" w:type="dxa"/>
          </w:tcPr>
          <w:p w14:paraId="19B64CF9" w14:textId="77777777" w:rsidR="005A7120" w:rsidRPr="0055343F" w:rsidRDefault="005A7120" w:rsidP="000A2491">
            <w:pPr>
              <w:pStyle w:val="TableText"/>
              <w:jc w:val="right"/>
              <w:rPr>
                <w:rFonts w:ascii="Arial" w:hAnsi="Arial" w:cs="Arial"/>
              </w:rPr>
            </w:pPr>
            <w:r w:rsidRPr="0055343F">
              <w:t>52.9 (46.7</w:t>
            </w:r>
            <w:r>
              <w:t xml:space="preserve">, </w:t>
            </w:r>
            <w:r w:rsidRPr="0055343F">
              <w:t>59.0)</w:t>
            </w:r>
          </w:p>
        </w:tc>
        <w:tc>
          <w:tcPr>
            <w:tcW w:w="408" w:type="dxa"/>
          </w:tcPr>
          <w:p w14:paraId="01B3B66A" w14:textId="77777777" w:rsidR="005A7120" w:rsidRPr="0055343F" w:rsidRDefault="005A7120" w:rsidP="000A2491">
            <w:pPr>
              <w:pStyle w:val="TableText"/>
              <w:jc w:val="right"/>
              <w:rPr>
                <w:rFonts w:ascii="Arial" w:hAnsi="Arial" w:cs="Arial"/>
              </w:rPr>
            </w:pPr>
            <w:r w:rsidRPr="0055343F">
              <w:t>112</w:t>
            </w:r>
          </w:p>
        </w:tc>
        <w:tc>
          <w:tcPr>
            <w:tcW w:w="835" w:type="dxa"/>
          </w:tcPr>
          <w:p w14:paraId="6669BEB2" w14:textId="77777777" w:rsidR="005A7120" w:rsidRPr="0055343F" w:rsidRDefault="005A7120" w:rsidP="000A2491">
            <w:pPr>
              <w:pStyle w:val="TableText"/>
              <w:jc w:val="right"/>
              <w:rPr>
                <w:rFonts w:ascii="Arial" w:hAnsi="Arial" w:cs="Arial"/>
              </w:rPr>
            </w:pPr>
            <w:r w:rsidRPr="0055343F">
              <w:t>379</w:t>
            </w:r>
          </w:p>
        </w:tc>
        <w:tc>
          <w:tcPr>
            <w:tcW w:w="1059" w:type="dxa"/>
          </w:tcPr>
          <w:p w14:paraId="01C5A9BB" w14:textId="77777777" w:rsidR="005A7120" w:rsidRPr="0055343F" w:rsidRDefault="005A7120" w:rsidP="000A2491">
            <w:pPr>
              <w:pStyle w:val="TableText"/>
              <w:jc w:val="right"/>
              <w:rPr>
                <w:rFonts w:ascii="Arial" w:hAnsi="Arial" w:cs="Arial"/>
              </w:rPr>
            </w:pPr>
            <w:r w:rsidRPr="0055343F">
              <w:t>43.0 (37.0</w:t>
            </w:r>
            <w:r>
              <w:t xml:space="preserve">, </w:t>
            </w:r>
            <w:r w:rsidRPr="0055343F">
              <w:t>49.3)</w:t>
            </w:r>
          </w:p>
        </w:tc>
      </w:tr>
      <w:tr w:rsidR="005A7120" w:rsidRPr="00BC49AE" w14:paraId="20741BF5"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595" w:type="dxa"/>
          </w:tcPr>
          <w:p w14:paraId="6EA1E4D0" w14:textId="77777777" w:rsidR="005A7120" w:rsidRPr="00B17770" w:rsidRDefault="005A7120" w:rsidP="000A2491">
            <w:pPr>
              <w:pStyle w:val="TableText"/>
              <w:rPr>
                <w:bCs/>
                <w:color w:val="000000" w:themeColor="text1"/>
              </w:rPr>
            </w:pPr>
            <w:r w:rsidRPr="00B17770">
              <w:rPr>
                <w:bCs/>
                <w:color w:val="000000" w:themeColor="text1"/>
              </w:rPr>
              <w:t>Female 38</w:t>
            </w:r>
            <w:r>
              <w:rPr>
                <w:bCs/>
                <w:color w:val="000000" w:themeColor="text1"/>
              </w:rPr>
              <w:t>+</w:t>
            </w:r>
          </w:p>
        </w:tc>
        <w:tc>
          <w:tcPr>
            <w:tcW w:w="408" w:type="dxa"/>
          </w:tcPr>
          <w:p w14:paraId="53D404A2" w14:textId="77777777" w:rsidR="005A7120" w:rsidRPr="0055343F" w:rsidRDefault="005A7120" w:rsidP="000A2491">
            <w:pPr>
              <w:pStyle w:val="TableText"/>
              <w:jc w:val="right"/>
              <w:rPr>
                <w:rFonts w:ascii="Arial" w:hAnsi="Arial" w:cs="Arial"/>
              </w:rPr>
            </w:pPr>
            <w:r w:rsidRPr="0055343F">
              <w:t>36</w:t>
            </w:r>
          </w:p>
        </w:tc>
        <w:tc>
          <w:tcPr>
            <w:tcW w:w="835" w:type="dxa"/>
          </w:tcPr>
          <w:p w14:paraId="07C2AB79" w14:textId="77777777" w:rsidR="005A7120" w:rsidRPr="0055343F" w:rsidRDefault="005A7120" w:rsidP="000A2491">
            <w:pPr>
              <w:pStyle w:val="TableText"/>
              <w:jc w:val="right"/>
              <w:rPr>
                <w:rFonts w:ascii="Arial" w:hAnsi="Arial" w:cs="Arial"/>
              </w:rPr>
            </w:pPr>
            <w:r w:rsidRPr="0055343F">
              <w:t>181</w:t>
            </w:r>
          </w:p>
        </w:tc>
        <w:tc>
          <w:tcPr>
            <w:tcW w:w="1059" w:type="dxa"/>
          </w:tcPr>
          <w:p w14:paraId="5238F4A8" w14:textId="77777777" w:rsidR="005A7120" w:rsidRPr="0055343F" w:rsidRDefault="005A7120" w:rsidP="000A2491">
            <w:pPr>
              <w:pStyle w:val="TableText"/>
              <w:jc w:val="right"/>
              <w:rPr>
                <w:rFonts w:ascii="Arial" w:hAnsi="Arial" w:cs="Arial"/>
              </w:rPr>
            </w:pPr>
            <w:r w:rsidRPr="0055343F">
              <w:t>53.6 (41.6</w:t>
            </w:r>
            <w:r>
              <w:t xml:space="preserve">, </w:t>
            </w:r>
            <w:r w:rsidRPr="0055343F">
              <w:t>65.2)</w:t>
            </w:r>
          </w:p>
        </w:tc>
        <w:tc>
          <w:tcPr>
            <w:tcW w:w="408" w:type="dxa"/>
          </w:tcPr>
          <w:p w14:paraId="6E0EB79B" w14:textId="77777777" w:rsidR="005A7120" w:rsidRPr="0055343F" w:rsidRDefault="005A7120" w:rsidP="000A2491">
            <w:pPr>
              <w:pStyle w:val="TableText"/>
              <w:jc w:val="right"/>
              <w:rPr>
                <w:rFonts w:ascii="Arial" w:hAnsi="Arial" w:cs="Arial"/>
              </w:rPr>
            </w:pPr>
            <w:r w:rsidRPr="0055343F">
              <w:t>32</w:t>
            </w:r>
          </w:p>
        </w:tc>
        <w:tc>
          <w:tcPr>
            <w:tcW w:w="835" w:type="dxa"/>
          </w:tcPr>
          <w:p w14:paraId="45A6A8B3" w14:textId="77777777" w:rsidR="005A7120" w:rsidRPr="0055343F" w:rsidRDefault="005A7120" w:rsidP="000A2491">
            <w:pPr>
              <w:pStyle w:val="TableText"/>
              <w:jc w:val="right"/>
              <w:rPr>
                <w:rFonts w:ascii="Arial" w:hAnsi="Arial" w:cs="Arial"/>
              </w:rPr>
            </w:pPr>
            <w:r w:rsidRPr="0055343F">
              <w:t>132</w:t>
            </w:r>
          </w:p>
        </w:tc>
        <w:tc>
          <w:tcPr>
            <w:tcW w:w="1059" w:type="dxa"/>
          </w:tcPr>
          <w:p w14:paraId="25A2AA61" w14:textId="77777777" w:rsidR="005A7120" w:rsidRPr="0055343F" w:rsidRDefault="005A7120" w:rsidP="000A2491">
            <w:pPr>
              <w:pStyle w:val="TableText"/>
              <w:jc w:val="right"/>
              <w:rPr>
                <w:rFonts w:ascii="Arial" w:hAnsi="Arial" w:cs="Arial"/>
              </w:rPr>
            </w:pPr>
            <w:r w:rsidRPr="0055343F">
              <w:t>39.0 (28.4</w:t>
            </w:r>
            <w:r>
              <w:t xml:space="preserve">, </w:t>
            </w:r>
            <w:r w:rsidRPr="0055343F">
              <w:t>50.8)</w:t>
            </w:r>
          </w:p>
        </w:tc>
        <w:tc>
          <w:tcPr>
            <w:tcW w:w="408" w:type="dxa"/>
          </w:tcPr>
          <w:p w14:paraId="6C6F0C6C" w14:textId="77777777" w:rsidR="005A7120" w:rsidRPr="0055343F" w:rsidRDefault="005A7120" w:rsidP="000A2491">
            <w:pPr>
              <w:pStyle w:val="TableText"/>
              <w:jc w:val="right"/>
              <w:rPr>
                <w:rFonts w:ascii="Arial" w:hAnsi="Arial" w:cs="Arial"/>
              </w:rPr>
            </w:pPr>
            <w:r w:rsidRPr="0055343F">
              <w:t>74</w:t>
            </w:r>
          </w:p>
        </w:tc>
        <w:tc>
          <w:tcPr>
            <w:tcW w:w="835" w:type="dxa"/>
          </w:tcPr>
          <w:p w14:paraId="7B3C8C7B" w14:textId="77777777" w:rsidR="005A7120" w:rsidRPr="0055343F" w:rsidRDefault="005A7120" w:rsidP="000A2491">
            <w:pPr>
              <w:pStyle w:val="TableText"/>
              <w:jc w:val="right"/>
              <w:rPr>
                <w:rFonts w:ascii="Arial" w:hAnsi="Arial" w:cs="Arial"/>
              </w:rPr>
            </w:pPr>
            <w:r w:rsidRPr="0055343F">
              <w:t>212</w:t>
            </w:r>
          </w:p>
        </w:tc>
        <w:tc>
          <w:tcPr>
            <w:tcW w:w="1059" w:type="dxa"/>
          </w:tcPr>
          <w:p w14:paraId="5CE6579F" w14:textId="77777777" w:rsidR="005A7120" w:rsidRPr="0055343F" w:rsidRDefault="005A7120" w:rsidP="000A2491">
            <w:pPr>
              <w:pStyle w:val="TableText"/>
              <w:jc w:val="right"/>
              <w:rPr>
                <w:rFonts w:ascii="Arial" w:hAnsi="Arial" w:cs="Arial"/>
              </w:rPr>
            </w:pPr>
            <w:r w:rsidRPr="0055343F">
              <w:t>44.8 (38.0</w:t>
            </w:r>
            <w:r>
              <w:t xml:space="preserve">, </w:t>
            </w:r>
            <w:r w:rsidRPr="0055343F">
              <w:t>51.9)</w:t>
            </w:r>
          </w:p>
        </w:tc>
        <w:tc>
          <w:tcPr>
            <w:tcW w:w="408" w:type="dxa"/>
          </w:tcPr>
          <w:p w14:paraId="0BBC623B" w14:textId="77777777" w:rsidR="005A7120" w:rsidRPr="0055343F" w:rsidRDefault="005A7120" w:rsidP="000A2491">
            <w:pPr>
              <w:pStyle w:val="TableText"/>
              <w:jc w:val="right"/>
              <w:rPr>
                <w:rFonts w:ascii="Arial" w:hAnsi="Arial" w:cs="Arial"/>
              </w:rPr>
            </w:pPr>
            <w:r w:rsidRPr="0055343F">
              <w:t>86</w:t>
            </w:r>
          </w:p>
        </w:tc>
        <w:tc>
          <w:tcPr>
            <w:tcW w:w="835" w:type="dxa"/>
          </w:tcPr>
          <w:p w14:paraId="55112163" w14:textId="77777777" w:rsidR="005A7120" w:rsidRPr="0055343F" w:rsidRDefault="005A7120" w:rsidP="000A2491">
            <w:pPr>
              <w:pStyle w:val="TableText"/>
              <w:jc w:val="right"/>
              <w:rPr>
                <w:rFonts w:ascii="Arial" w:hAnsi="Arial" w:cs="Arial"/>
              </w:rPr>
            </w:pPr>
            <w:r w:rsidRPr="0055343F">
              <w:t>258</w:t>
            </w:r>
          </w:p>
        </w:tc>
        <w:tc>
          <w:tcPr>
            <w:tcW w:w="1059" w:type="dxa"/>
          </w:tcPr>
          <w:p w14:paraId="0D3AB666" w14:textId="77777777" w:rsidR="005A7120" w:rsidRPr="0055343F" w:rsidRDefault="005A7120" w:rsidP="000A2491">
            <w:pPr>
              <w:pStyle w:val="TableText"/>
              <w:jc w:val="right"/>
              <w:rPr>
                <w:rFonts w:ascii="Arial" w:hAnsi="Arial" w:cs="Arial"/>
              </w:rPr>
            </w:pPr>
            <w:r w:rsidRPr="0055343F">
              <w:t>54.6 (47.6</w:t>
            </w:r>
            <w:r>
              <w:t xml:space="preserve">, </w:t>
            </w:r>
            <w:r w:rsidRPr="0055343F">
              <w:t>61.4)</w:t>
            </w:r>
          </w:p>
        </w:tc>
      </w:tr>
    </w:tbl>
    <w:p w14:paraId="216142A0" w14:textId="77777777" w:rsidR="005A7120" w:rsidRDefault="005A7120" w:rsidP="005A7120">
      <w:pPr>
        <w:pStyle w:val="TableNotes"/>
      </w:pPr>
      <w:r>
        <w:t>Notes</w:t>
      </w:r>
    </w:p>
    <w:p w14:paraId="2B45A594" w14:textId="77777777" w:rsidR="005A7120" w:rsidRPr="00CB6A7D" w:rsidRDefault="005A7120" w:rsidP="005A7120">
      <w:pPr>
        <w:pStyle w:val="TableNotes"/>
      </w:pPr>
      <w:r>
        <w:t>Those that said ‘Yes’ to using the internet for mental health issues</w:t>
      </w:r>
      <w:r w:rsidRPr="00D17DAE">
        <w:t>.</w:t>
      </w:r>
      <w:r>
        <w:t xml:space="preserve"> </w:t>
      </w:r>
    </w:p>
    <w:p w14:paraId="29EDF41C" w14:textId="77777777" w:rsidR="005A7120" w:rsidRPr="00055035" w:rsidRDefault="005A7120" w:rsidP="005A7120">
      <w:pPr>
        <w:pStyle w:val="TableNotes"/>
      </w:pPr>
      <w:r w:rsidRPr="00055035">
        <w:t>Based on weighted counts, 360 (5.9%) Transitioned ADF and 266 (3.2%) 2015 Regular ADF had a missing value for this question, therefore row percentages may not add up to 100.</w:t>
      </w:r>
      <w:r>
        <w:t xml:space="preserve"> </w:t>
      </w:r>
      <w:r w:rsidRPr="00055035">
        <w:t xml:space="preserve">However, distributions are calculated by including those with a missing value to allow for correct weighted totals. </w:t>
      </w:r>
    </w:p>
    <w:p w14:paraId="28BAABBE" w14:textId="77777777" w:rsidR="005A7120" w:rsidRDefault="005A7120" w:rsidP="005A7120">
      <w:pPr>
        <w:pStyle w:val="TableNotes"/>
        <w:rPr>
          <w:bCs/>
          <w:color w:val="000000" w:themeColor="text1"/>
        </w:rPr>
      </w:pPr>
      <w:r w:rsidRPr="00055035">
        <w:t>Probable 30-day disorder = PCL ≥ 53 or K10 ≥ 25; No probable 30-day disorder = PCL &lt; 53 and K10 &lt; 25.</w:t>
      </w:r>
      <w:r>
        <w:rPr>
          <w:bCs/>
          <w:color w:val="000000" w:themeColor="text1"/>
        </w:rPr>
        <w:t xml:space="preserve"> </w:t>
      </w:r>
    </w:p>
    <w:p w14:paraId="1C5B5C23" w14:textId="77777777" w:rsidR="005A7120" w:rsidRDefault="005A7120" w:rsidP="005A7120">
      <w:pPr>
        <w:sectPr w:rsidR="005A7120" w:rsidSect="00980AE4">
          <w:footerReference w:type="even" r:id="rId88"/>
          <w:footerReference w:type="default" r:id="rId89"/>
          <w:pgSz w:w="14170" w:h="9979" w:orient="landscape" w:code="243"/>
          <w:pgMar w:top="1872" w:right="1440" w:bottom="1152" w:left="1440" w:header="576" w:footer="576" w:gutter="0"/>
          <w:cols w:space="708"/>
          <w:docGrid w:linePitch="360"/>
        </w:sectPr>
      </w:pPr>
    </w:p>
    <w:p w14:paraId="77EA6275" w14:textId="77777777" w:rsidR="00B926FE" w:rsidRPr="00055035" w:rsidRDefault="00B926FE" w:rsidP="00B926FE">
      <w:pPr>
        <w:pStyle w:val="Heading2"/>
        <w:numPr>
          <w:ilvl w:val="1"/>
          <w:numId w:val="1"/>
        </w:numPr>
        <w:ind w:left="720" w:hanging="720"/>
      </w:pPr>
      <w:bookmarkStart w:id="834" w:name="_Toc507595208"/>
      <w:bookmarkStart w:id="835" w:name="_Toc509917458"/>
      <w:bookmarkStart w:id="836" w:name="_Toc515374518"/>
      <w:bookmarkStart w:id="837" w:name="_Toc518566418"/>
      <w:bookmarkStart w:id="838" w:name="_Toc528932702"/>
      <w:bookmarkStart w:id="839" w:name="_Toc531859239"/>
      <w:r w:rsidRPr="00055035">
        <w:t xml:space="preserve">Talking with peers, family members or friends about one’s own mental health on the </w:t>
      </w:r>
      <w:r>
        <w:t>internet</w:t>
      </w:r>
      <w:bookmarkEnd w:id="834"/>
      <w:bookmarkEnd w:id="835"/>
      <w:bookmarkEnd w:id="836"/>
      <w:bookmarkEnd w:id="837"/>
      <w:bookmarkEnd w:id="838"/>
      <w:bookmarkEnd w:id="839"/>
      <w:r w:rsidRPr="00055035">
        <w:t xml:space="preserve"> </w:t>
      </w:r>
    </w:p>
    <w:p w14:paraId="75D02819" w14:textId="77777777" w:rsidR="00B926FE" w:rsidRPr="00055035" w:rsidRDefault="00B926FE" w:rsidP="00B926FE">
      <w:pPr>
        <w:pStyle w:val="Heading3"/>
        <w:numPr>
          <w:ilvl w:val="2"/>
          <w:numId w:val="1"/>
        </w:numPr>
      </w:pPr>
      <w:bookmarkStart w:id="840" w:name="_Toc509917459"/>
      <w:bookmarkStart w:id="841" w:name="_Toc515374519"/>
      <w:bookmarkStart w:id="842" w:name="_Toc518566419"/>
      <w:bookmarkStart w:id="843" w:name="_Toc528932703"/>
      <w:bookmarkStart w:id="844" w:name="_Toc531859240"/>
      <w:r>
        <w:t>Talking online for this purpose among</w:t>
      </w:r>
      <w:r w:rsidRPr="00055035">
        <w:t xml:space="preserve"> Transitioned ADF and 2015 Regular ADF</w:t>
      </w:r>
      <w:bookmarkEnd w:id="840"/>
      <w:bookmarkEnd w:id="841"/>
      <w:bookmarkEnd w:id="842"/>
      <w:r>
        <w:t xml:space="preserve"> overall</w:t>
      </w:r>
      <w:bookmarkEnd w:id="843"/>
      <w:bookmarkEnd w:id="844"/>
    </w:p>
    <w:p w14:paraId="4D9F4230" w14:textId="77777777" w:rsidR="00B926FE" w:rsidRDefault="00B926FE" w:rsidP="00B926FE">
      <w:pPr>
        <w:rPr>
          <w:rFonts w:cs="Calibri"/>
        </w:rPr>
      </w:pPr>
      <w:r>
        <w:t xml:space="preserve">Of the Transitioned ADF and 2015 Regular ADF 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 xml:space="preserve">issues </w:t>
      </w:r>
      <w:r w:rsidRPr="00A872E0">
        <w:rPr>
          <w:rFonts w:cs="Arial"/>
        </w:rPr>
        <w:t>more broadly</w:t>
      </w:r>
      <w:r>
        <w:rPr>
          <w:rFonts w:cs="Arial"/>
        </w:rPr>
        <w:t>,</w:t>
      </w:r>
      <w:r>
        <w:t xml:space="preserve"> approximately one third </w:t>
      </w:r>
      <w:r>
        <w:rPr>
          <w:rFonts w:cs="Calibri"/>
        </w:rPr>
        <w:t>reported talking</w:t>
      </w:r>
      <w:r w:rsidRPr="00E23022">
        <w:rPr>
          <w:rFonts w:cs="Calibri"/>
        </w:rPr>
        <w:t xml:space="preserve"> online to a peer</w:t>
      </w:r>
      <w:r>
        <w:rPr>
          <w:rFonts w:cs="Calibri"/>
        </w:rPr>
        <w:t>, family member or friend</w:t>
      </w:r>
      <w:r w:rsidRPr="00E23022">
        <w:rPr>
          <w:rFonts w:cs="Calibri"/>
        </w:rPr>
        <w:t xml:space="preserve"> about </w:t>
      </w:r>
      <w:r>
        <w:rPr>
          <w:rFonts w:cs="Calibri"/>
        </w:rPr>
        <w:t xml:space="preserve">their own </w:t>
      </w:r>
      <w:r w:rsidRPr="00E23022">
        <w:rPr>
          <w:rFonts w:cs="Calibri"/>
        </w:rPr>
        <w:t>mental health</w:t>
      </w:r>
      <w:r>
        <w:rPr>
          <w:rFonts w:cs="Calibri"/>
        </w:rPr>
        <w:t xml:space="preserve"> </w:t>
      </w:r>
      <w:r>
        <w:t xml:space="preserve">(33.4% and 30.6% respectively) </w:t>
      </w:r>
      <w:r>
        <w:rPr>
          <w:rFonts w:cs="Calibri"/>
        </w:rPr>
        <w:t>(</w:t>
      </w:r>
      <w:r w:rsidRPr="0033333B">
        <w:rPr>
          <w:rFonts w:cs="Calibri"/>
        </w:rPr>
        <w:t xml:space="preserve">Table </w:t>
      </w:r>
      <w:r w:rsidRPr="00CD7977">
        <w:rPr>
          <w:rFonts w:cs="Calibri"/>
        </w:rPr>
        <w:t>7</w:t>
      </w:r>
      <w:r w:rsidRPr="0033333B">
        <w:rPr>
          <w:rFonts w:cs="Calibri"/>
        </w:rPr>
        <w:t>.</w:t>
      </w:r>
      <w:r w:rsidRPr="00CD7977">
        <w:rPr>
          <w:rFonts w:cs="Calibri"/>
        </w:rPr>
        <w:t>5</w:t>
      </w:r>
      <w:r w:rsidRPr="0010531B">
        <w:rPr>
          <w:rFonts w:cs="Calibri"/>
        </w:rPr>
        <w:t xml:space="preserve"> and </w:t>
      </w:r>
      <w:r w:rsidRPr="0033333B">
        <w:rPr>
          <w:rFonts w:cs="Calibri"/>
        </w:rPr>
        <w:t xml:space="preserve">Table </w:t>
      </w:r>
      <w:r w:rsidRPr="00CD7977">
        <w:rPr>
          <w:rFonts w:cs="Calibri"/>
        </w:rPr>
        <w:t>7</w:t>
      </w:r>
      <w:r w:rsidRPr="0033333B">
        <w:rPr>
          <w:rFonts w:cs="Calibri"/>
        </w:rPr>
        <w:t>.</w:t>
      </w:r>
      <w:r w:rsidRPr="00CD7977">
        <w:rPr>
          <w:rFonts w:cs="Calibri"/>
        </w:rPr>
        <w:t>3</w:t>
      </w:r>
      <w:r>
        <w:rPr>
          <w:rFonts w:cs="Calibri"/>
        </w:rPr>
        <w:t>). Among these, the majority of the Transitioned ADF and 2015 Regular ADF reported it to be helpful</w:t>
      </w:r>
      <w:r w:rsidRPr="00960BAE">
        <w:t xml:space="preserve"> </w:t>
      </w:r>
      <w:r w:rsidRPr="00960BAE">
        <w:rPr>
          <w:rFonts w:cs="Calibri"/>
        </w:rPr>
        <w:t>(63.3% and 75.2% respectively</w:t>
      </w:r>
      <w:r>
        <w:rPr>
          <w:rFonts w:cs="Calibri"/>
        </w:rPr>
        <w:t xml:space="preserve">). </w:t>
      </w:r>
    </w:p>
    <w:p w14:paraId="71BB160F" w14:textId="77777777" w:rsidR="008F66DD" w:rsidRPr="00896F48" w:rsidRDefault="008F66DD" w:rsidP="008F66DD">
      <w:pPr>
        <w:pStyle w:val="Heading3"/>
        <w:numPr>
          <w:ilvl w:val="2"/>
          <w:numId w:val="1"/>
        </w:numPr>
      </w:pPr>
      <w:bookmarkStart w:id="845" w:name="_Toc509917460"/>
      <w:bookmarkStart w:id="846" w:name="_Toc515374520"/>
      <w:bookmarkStart w:id="847" w:name="_Toc518566420"/>
      <w:bookmarkStart w:id="848" w:name="_Toc528932704"/>
      <w:bookmarkStart w:id="849" w:name="_Toc531859241"/>
      <w:bookmarkStart w:id="850" w:name="_Ref509916808"/>
      <w:bookmarkStart w:id="851" w:name="_Toc501633235"/>
      <w:bookmarkStart w:id="852" w:name="_Toc509922895"/>
      <w:bookmarkStart w:id="853" w:name="_Toc515374670"/>
      <w:bookmarkStart w:id="854" w:name="_Toc528932345"/>
      <w:r w:rsidRPr="00896F48">
        <w:t>Probable 30-day disorder and demographic characteristics</w:t>
      </w:r>
      <w:bookmarkEnd w:id="845"/>
      <w:bookmarkEnd w:id="846"/>
      <w:bookmarkEnd w:id="847"/>
      <w:bookmarkEnd w:id="848"/>
      <w:bookmarkEnd w:id="849"/>
    </w:p>
    <w:p w14:paraId="314A297F" w14:textId="77777777" w:rsidR="008F66DD" w:rsidRDefault="008F66DD" w:rsidP="008F66DD">
      <w:r>
        <w:t xml:space="preserve">Table </w:t>
      </w:r>
      <w:r>
        <w:rPr>
          <w:noProof/>
        </w:rPr>
        <w:t>7.6</w:t>
      </w:r>
      <w:r>
        <w:t xml:space="preserve"> </w:t>
      </w:r>
      <w:r w:rsidRPr="00CA24BA">
        <w:t xml:space="preserve">presents the estimated proportion of Transitioned ADF and 2015 Regular ADF who reported talking about their </w:t>
      </w:r>
      <w:r>
        <w:t xml:space="preserve">own </w:t>
      </w:r>
      <w:r w:rsidRPr="00CA24BA">
        <w:t xml:space="preserve">mental health on the </w:t>
      </w:r>
      <w:r>
        <w:t>internet</w:t>
      </w:r>
      <w:r w:rsidRPr="00CA24BA">
        <w:t xml:space="preserve"> with</w:t>
      </w:r>
      <w:r>
        <w:t xml:space="preserve"> a peer, family member or friend</w:t>
      </w:r>
      <w:r w:rsidRPr="00CA24BA">
        <w:t>, according to probable disorder an</w:t>
      </w:r>
      <w:r>
        <w:t xml:space="preserve">d demographic characteristics. </w:t>
      </w:r>
    </w:p>
    <w:p w14:paraId="0526C448" w14:textId="77777777" w:rsidR="008F66DD" w:rsidRDefault="008F66DD" w:rsidP="008F66DD">
      <w:r>
        <w:t xml:space="preserve">Among both the Transitioned ADF and 2015 Regular ADF 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issues</w:t>
      </w:r>
      <w:r>
        <w:t xml:space="preserve">, approximately one third of those with a probable disorder (37.2% and 37.0% respectively) and without one (30.4% and 29.1% respectively) reported talking </w:t>
      </w:r>
      <w:r w:rsidRPr="00CA24BA">
        <w:t xml:space="preserve">about their mental health on the </w:t>
      </w:r>
      <w:r>
        <w:t>internet</w:t>
      </w:r>
      <w:r w:rsidRPr="00CA24BA">
        <w:t xml:space="preserve"> </w:t>
      </w:r>
      <w:r>
        <w:t>with a peer, family member or friend.</w:t>
      </w:r>
    </w:p>
    <w:p w14:paraId="3B44BB26" w14:textId="77777777" w:rsidR="008F66DD" w:rsidRDefault="008F66DD" w:rsidP="008F66DD">
      <w:r w:rsidRPr="00CA24BA">
        <w:t xml:space="preserve">When the </w:t>
      </w:r>
      <w:r>
        <w:t>distribution</w:t>
      </w:r>
      <w:r w:rsidRPr="00CA24BA">
        <w:t xml:space="preserve"> across </w:t>
      </w:r>
      <w:r>
        <w:t xml:space="preserve">sex and </w:t>
      </w:r>
      <w:r w:rsidRPr="00CA24BA">
        <w:t xml:space="preserve">age bands was examined, among the Transitioned ADF there was a pattern where greater proportions of younger </w:t>
      </w:r>
      <w:r>
        <w:t>respondents</w:t>
      </w:r>
      <w:r w:rsidRPr="00CA24BA">
        <w:t xml:space="preserve"> reported speaking on the </w:t>
      </w:r>
      <w:r>
        <w:t>internet</w:t>
      </w:r>
      <w:r w:rsidRPr="00CA24BA">
        <w:t xml:space="preserve"> about their mental health to peer</w:t>
      </w:r>
      <w:r>
        <w:t>s, family members or friends</w:t>
      </w:r>
      <w:r w:rsidRPr="00CA24BA">
        <w:t xml:space="preserve">, with nearly </w:t>
      </w:r>
      <w:r>
        <w:t>half</w:t>
      </w:r>
      <w:r w:rsidRPr="00CA24BA">
        <w:t xml:space="preserve"> of those aged 18</w:t>
      </w:r>
      <w:r>
        <w:t>–</w:t>
      </w:r>
      <w:r w:rsidRPr="00CA24BA">
        <w:t xml:space="preserve">27 </w:t>
      </w:r>
      <w:r>
        <w:t>endorsing</w:t>
      </w:r>
      <w:r w:rsidRPr="00CA24BA">
        <w:t xml:space="preserve"> this</w:t>
      </w:r>
      <w:r>
        <w:t xml:space="preserve"> (47.8%)</w:t>
      </w:r>
      <w:r w:rsidRPr="00CA24BA">
        <w:t>, in contrast to onl</w:t>
      </w:r>
      <w:r>
        <w:t xml:space="preserve">y 14.2% of those aged 58+. </w:t>
      </w:r>
      <w:r w:rsidRPr="00CA24BA">
        <w:t xml:space="preserve">A similar pattern was observed among the 2015 Regular ADF, with just under half of those aged 18 to 27 reporting using the </w:t>
      </w:r>
      <w:r>
        <w:t>internet</w:t>
      </w:r>
      <w:r w:rsidRPr="00CA24BA">
        <w:t xml:space="preserve"> to</w:t>
      </w:r>
      <w:r>
        <w:t xml:space="preserve"> talk about mental health with </w:t>
      </w:r>
      <w:r w:rsidRPr="00CA24BA">
        <w:t>peers</w:t>
      </w:r>
      <w:r>
        <w:t>, family members or friends (45.9%)</w:t>
      </w:r>
      <w:r w:rsidRPr="00CA24BA">
        <w:t xml:space="preserve"> compared </w:t>
      </w:r>
      <w:r>
        <w:t xml:space="preserve">to smaller proportions of the other age groups. There were no differences in the proportion of males and females from the Transitioned ADF and 2015 Regular ADF who </w:t>
      </w:r>
      <w:r w:rsidRPr="00CA24BA">
        <w:t xml:space="preserve">reported speaking on the </w:t>
      </w:r>
      <w:r>
        <w:t>internet</w:t>
      </w:r>
      <w:r w:rsidRPr="00CA24BA">
        <w:t xml:space="preserve"> about their mental health to peer</w:t>
      </w:r>
      <w:r>
        <w:t>s, family members or friends.</w:t>
      </w:r>
    </w:p>
    <w:p w14:paraId="56CC7519" w14:textId="77777777" w:rsidR="008F66DD" w:rsidRDefault="008F66DD" w:rsidP="008F66DD">
      <w:r>
        <w:t xml:space="preserve">Among the 2015 Regular ADF who </w:t>
      </w:r>
      <w:r w:rsidRPr="00A872E0">
        <w:rPr>
          <w:rFonts w:cs="Arial"/>
        </w:rPr>
        <w:t xml:space="preserve">reported using </w:t>
      </w:r>
      <w:r>
        <w:rPr>
          <w:rFonts w:cs="Arial"/>
        </w:rPr>
        <w:t>the internet</w:t>
      </w:r>
      <w:r w:rsidRPr="00A872E0">
        <w:rPr>
          <w:rFonts w:cs="Arial"/>
        </w:rPr>
        <w:t xml:space="preserve"> to </w:t>
      </w:r>
      <w:r>
        <w:rPr>
          <w:rFonts w:cs="Arial"/>
        </w:rPr>
        <w:t xml:space="preserve">seek help or information for or </w:t>
      </w:r>
      <w:r w:rsidRPr="00A872E0">
        <w:rPr>
          <w:rFonts w:cs="Arial"/>
        </w:rPr>
        <w:t xml:space="preserve">manage mental health </w:t>
      </w:r>
      <w:r>
        <w:rPr>
          <w:rFonts w:cs="Arial"/>
        </w:rPr>
        <w:t>issues</w:t>
      </w:r>
      <w:r>
        <w:t>, females aged 18–37 were more likely to report</w:t>
      </w:r>
      <w:r w:rsidRPr="00CA24BA">
        <w:t xml:space="preserve"> talking about their mental health on the </w:t>
      </w:r>
      <w:r>
        <w:t>internet</w:t>
      </w:r>
      <w:r w:rsidRPr="00CA24BA">
        <w:t xml:space="preserve"> with</w:t>
      </w:r>
      <w:r>
        <w:t xml:space="preserve"> a peer, family member or friend than females aged 38+ (37.7% and 20.7% respectively)</w:t>
      </w:r>
      <w:r w:rsidRPr="00CA24BA">
        <w:t xml:space="preserve">. </w:t>
      </w:r>
    </w:p>
    <w:p w14:paraId="7CB5272E" w14:textId="77777777" w:rsidR="00B926FE" w:rsidRPr="00BC49AE" w:rsidRDefault="00B926FE" w:rsidP="00B926FE">
      <w:pPr>
        <w:pStyle w:val="TableName"/>
      </w:pPr>
      <w:bookmarkStart w:id="855" w:name="_Toc531858024"/>
      <w:r>
        <w:t xml:space="preserve">Table </w:t>
      </w:r>
      <w:r>
        <w:rPr>
          <w:noProof/>
        </w:rPr>
        <w:t>7</w:t>
      </w:r>
      <w:r>
        <w:t>.</w:t>
      </w:r>
      <w:r>
        <w:rPr>
          <w:noProof/>
        </w:rPr>
        <w:t>5</w:t>
      </w:r>
      <w:bookmarkEnd w:id="850"/>
      <w:r>
        <w:tab/>
        <w:t>Talking about</w:t>
      </w:r>
      <w:r w:rsidRPr="00BC49AE">
        <w:t xml:space="preserve"> </w:t>
      </w:r>
      <w:r>
        <w:t xml:space="preserve">one’s own </w:t>
      </w:r>
      <w:r w:rsidRPr="00BC49AE">
        <w:t xml:space="preserve">mental health </w:t>
      </w:r>
      <w:r>
        <w:t>on the internet</w:t>
      </w:r>
      <w:r w:rsidRPr="00BC49AE">
        <w:t xml:space="preserve"> with </w:t>
      </w:r>
      <w:r w:rsidRPr="00BC49AE">
        <w:rPr>
          <w:rFonts w:cs="Calibri"/>
        </w:rPr>
        <w:t>peers, family member</w:t>
      </w:r>
      <w:r>
        <w:rPr>
          <w:rFonts w:cs="Calibri"/>
        </w:rPr>
        <w:t>s</w:t>
      </w:r>
      <w:r w:rsidRPr="00BC49AE">
        <w:rPr>
          <w:rFonts w:cs="Calibri"/>
        </w:rPr>
        <w:t xml:space="preserve"> or friends</w:t>
      </w:r>
      <w:r>
        <w:rPr>
          <w:rFonts w:cs="Calibri"/>
        </w:rPr>
        <w:t xml:space="preserve"> among Transitioned ADF and 2015 Regular ADF</w:t>
      </w:r>
      <w:bookmarkEnd w:id="851"/>
      <w:bookmarkEnd w:id="852"/>
      <w:bookmarkEnd w:id="853"/>
      <w:r>
        <w:t xml:space="preserve"> </w:t>
      </w:r>
      <w:r>
        <w:rPr>
          <w:szCs w:val="22"/>
        </w:rPr>
        <w:t xml:space="preserve">who </w:t>
      </w:r>
      <w:r w:rsidRPr="00A872E0">
        <w:rPr>
          <w:szCs w:val="22"/>
        </w:rPr>
        <w:t xml:space="preserve">reported using </w:t>
      </w:r>
      <w:r>
        <w:rPr>
          <w:szCs w:val="22"/>
        </w:rPr>
        <w:t>the internet</w:t>
      </w:r>
      <w:r w:rsidRPr="00A872E0">
        <w:rPr>
          <w:szCs w:val="22"/>
        </w:rPr>
        <w:t xml:space="preserve"> to </w:t>
      </w:r>
      <w:r>
        <w:rPr>
          <w:szCs w:val="22"/>
        </w:rPr>
        <w:t xml:space="preserve">seek help or information for or </w:t>
      </w:r>
      <w:r w:rsidRPr="00A872E0">
        <w:rPr>
          <w:szCs w:val="22"/>
        </w:rPr>
        <w:t xml:space="preserve">manage mental health </w:t>
      </w:r>
      <w:r>
        <w:rPr>
          <w:szCs w:val="22"/>
        </w:rPr>
        <w:t>issues</w:t>
      </w:r>
      <w:bookmarkEnd w:id="854"/>
      <w:bookmarkEnd w:id="855"/>
    </w:p>
    <w:tbl>
      <w:tblPr>
        <w:tblW w:w="5000" w:type="pct"/>
        <w:tblLayout w:type="fixed"/>
        <w:tblCellMar>
          <w:left w:w="0" w:type="dxa"/>
          <w:right w:w="0" w:type="dxa"/>
        </w:tblCellMar>
        <w:tblLook w:val="0000" w:firstRow="0" w:lastRow="0" w:firstColumn="0" w:lastColumn="0" w:noHBand="0" w:noVBand="0"/>
        <w:tblDescription w:val="Table 7.5 Talking about one’s own mental health on the internet with peers, family members or friends among Transitioned ADF and 2015 Regular ADF who reported using the internet to seek help or information for or manage mental health issues"/>
      </w:tblPr>
      <w:tblGrid>
        <w:gridCol w:w="2749"/>
        <w:gridCol w:w="353"/>
        <w:gridCol w:w="780"/>
        <w:gridCol w:w="1005"/>
        <w:gridCol w:w="417"/>
        <w:gridCol w:w="780"/>
        <w:gridCol w:w="1005"/>
      </w:tblGrid>
      <w:tr w:rsidR="00B926FE" w:rsidRPr="00BC49AE" w14:paraId="2497BE93" w14:textId="77777777" w:rsidTr="005C60DC">
        <w:trPr>
          <w:cantSplit/>
        </w:trPr>
        <w:tc>
          <w:tcPr>
            <w:tcW w:w="2745" w:type="dxa"/>
            <w:tcBorders>
              <w:top w:val="single" w:sz="4" w:space="0" w:color="auto"/>
              <w:left w:val="single" w:sz="4" w:space="0" w:color="auto"/>
              <w:right w:val="single" w:sz="4" w:space="0" w:color="auto"/>
            </w:tcBorders>
            <w:shd w:val="clear" w:color="auto" w:fill="auto"/>
            <w:tcMar>
              <w:left w:w="80" w:type="dxa"/>
              <w:right w:w="80" w:type="dxa"/>
            </w:tcMar>
          </w:tcPr>
          <w:p w14:paraId="4CAD0D84" w14:textId="77777777" w:rsidR="00B926FE" w:rsidRPr="00055035" w:rsidRDefault="00B926FE" w:rsidP="000A2491">
            <w:pPr>
              <w:pStyle w:val="TableText"/>
              <w:rPr>
                <w:b/>
              </w:rPr>
            </w:pPr>
          </w:p>
        </w:tc>
        <w:tc>
          <w:tcPr>
            <w:tcW w:w="2134"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25EC59E5" w14:textId="77777777" w:rsidR="00B926FE" w:rsidRPr="00055035" w:rsidRDefault="00B926FE" w:rsidP="005C60DC">
            <w:pPr>
              <w:pStyle w:val="TableText"/>
              <w:jc w:val="center"/>
              <w:rPr>
                <w:b/>
              </w:rPr>
            </w:pPr>
            <w:r w:rsidRPr="00055035">
              <w:rPr>
                <w:b/>
              </w:rPr>
              <w:t>Transitioned ADF</w:t>
            </w:r>
            <w:r w:rsidR="005C60DC">
              <w:rPr>
                <w:b/>
              </w:rPr>
              <w:br/>
            </w:r>
            <w:r w:rsidRPr="00055035">
              <w:rPr>
                <w:b/>
              </w:rPr>
              <w:t>n=6116</w:t>
            </w:r>
          </w:p>
        </w:tc>
        <w:tc>
          <w:tcPr>
            <w:tcW w:w="2198"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774170F7" w14:textId="77777777" w:rsidR="00B926FE" w:rsidRPr="00055035" w:rsidRDefault="00B926FE" w:rsidP="005C60DC">
            <w:pPr>
              <w:pStyle w:val="TableText"/>
              <w:jc w:val="center"/>
              <w:rPr>
                <w:b/>
              </w:rPr>
            </w:pPr>
            <w:r w:rsidRPr="00055035">
              <w:rPr>
                <w:b/>
              </w:rPr>
              <w:t>2015 Regular ADF</w:t>
            </w:r>
            <w:r w:rsidR="005C60DC">
              <w:rPr>
                <w:b/>
              </w:rPr>
              <w:br/>
            </w:r>
            <w:r w:rsidRPr="00055035">
              <w:rPr>
                <w:b/>
              </w:rPr>
              <w:t>n=9042</w:t>
            </w:r>
          </w:p>
        </w:tc>
      </w:tr>
      <w:tr w:rsidR="00B926FE" w:rsidRPr="00BC49AE" w14:paraId="3EF2BA06" w14:textId="77777777" w:rsidTr="005C60DC">
        <w:trPr>
          <w:cantSplit/>
        </w:trPr>
        <w:tc>
          <w:tcPr>
            <w:tcW w:w="2745" w:type="dxa"/>
            <w:tcBorders>
              <w:left w:val="single" w:sz="4" w:space="0" w:color="auto"/>
              <w:bottom w:val="single" w:sz="4" w:space="0" w:color="auto"/>
              <w:right w:val="single" w:sz="4" w:space="0" w:color="auto"/>
            </w:tcBorders>
            <w:shd w:val="clear" w:color="auto" w:fill="FFFFFF"/>
            <w:tcMar>
              <w:left w:w="80" w:type="dxa"/>
              <w:right w:w="80" w:type="dxa"/>
            </w:tcMar>
          </w:tcPr>
          <w:p w14:paraId="6C76D734" w14:textId="77777777" w:rsidR="00B926FE" w:rsidRPr="00055035" w:rsidRDefault="00B926FE" w:rsidP="000A2491">
            <w:pPr>
              <w:pStyle w:val="TableText"/>
              <w:rPr>
                <w:b/>
              </w:rPr>
            </w:pPr>
            <w:r w:rsidRPr="00055035">
              <w:rPr>
                <w:b/>
              </w:rPr>
              <w:t xml:space="preserve">Talk with </w:t>
            </w:r>
            <w:r>
              <w:rPr>
                <w:b/>
              </w:rPr>
              <w:t>p</w:t>
            </w:r>
            <w:r w:rsidRPr="00055035">
              <w:rPr>
                <w:b/>
              </w:rPr>
              <w:t>eers</w:t>
            </w:r>
          </w:p>
        </w:tc>
        <w:tc>
          <w:tcPr>
            <w:tcW w:w="352"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262AE2DF" w14:textId="77777777" w:rsidR="00B926FE" w:rsidRPr="00055035" w:rsidRDefault="00B926FE" w:rsidP="000A2491">
            <w:pPr>
              <w:pStyle w:val="TableText"/>
              <w:jc w:val="right"/>
              <w:rPr>
                <w:b/>
              </w:rPr>
            </w:pPr>
            <w:r w:rsidRPr="00055035">
              <w:rPr>
                <w:b/>
              </w:rPr>
              <w:t>n</w:t>
            </w:r>
          </w:p>
        </w:tc>
        <w:tc>
          <w:tcPr>
            <w:tcW w:w="77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564E5DF3" w14:textId="77777777" w:rsidR="00B926FE" w:rsidRPr="00055035" w:rsidRDefault="00B926FE" w:rsidP="000A2491">
            <w:pPr>
              <w:pStyle w:val="TableText"/>
              <w:jc w:val="right"/>
              <w:rPr>
                <w:b/>
              </w:rPr>
            </w:pPr>
            <w:r w:rsidRPr="00055035">
              <w:rPr>
                <w:b/>
              </w:rPr>
              <w:t>Weighted n</w:t>
            </w:r>
          </w:p>
        </w:tc>
        <w:tc>
          <w:tcPr>
            <w:tcW w:w="1003"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1777246C" w14:textId="77777777" w:rsidR="00B926FE" w:rsidRPr="00055035" w:rsidRDefault="00B926FE" w:rsidP="000A2491">
            <w:pPr>
              <w:pStyle w:val="TableText"/>
              <w:jc w:val="right"/>
              <w:rPr>
                <w:b/>
              </w:rPr>
            </w:pPr>
            <w:r w:rsidRPr="00055035">
              <w:rPr>
                <w:b/>
              </w:rPr>
              <w:t>% (95%CI)</w:t>
            </w:r>
          </w:p>
        </w:tc>
        <w:tc>
          <w:tcPr>
            <w:tcW w:w="416"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50BD0159" w14:textId="77777777" w:rsidR="00B926FE" w:rsidRPr="00055035" w:rsidRDefault="00B926FE" w:rsidP="000A2491">
            <w:pPr>
              <w:pStyle w:val="TableText"/>
              <w:jc w:val="right"/>
              <w:rPr>
                <w:b/>
              </w:rPr>
            </w:pPr>
            <w:r w:rsidRPr="00055035">
              <w:rPr>
                <w:b/>
              </w:rPr>
              <w:t>n</w:t>
            </w:r>
          </w:p>
        </w:tc>
        <w:tc>
          <w:tcPr>
            <w:tcW w:w="77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7DE9A36C" w14:textId="77777777" w:rsidR="00B926FE" w:rsidRPr="00055035" w:rsidRDefault="00B926FE" w:rsidP="000A2491">
            <w:pPr>
              <w:pStyle w:val="TableText"/>
              <w:jc w:val="right"/>
              <w:rPr>
                <w:b/>
              </w:rPr>
            </w:pPr>
            <w:r w:rsidRPr="00055035">
              <w:rPr>
                <w:b/>
              </w:rPr>
              <w:t>Weighted n</w:t>
            </w:r>
          </w:p>
        </w:tc>
        <w:tc>
          <w:tcPr>
            <w:tcW w:w="1003"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072F5C40" w14:textId="77777777" w:rsidR="00B926FE" w:rsidRPr="00055035" w:rsidRDefault="00B926FE" w:rsidP="000A2491">
            <w:pPr>
              <w:pStyle w:val="TableText"/>
              <w:jc w:val="right"/>
              <w:rPr>
                <w:b/>
              </w:rPr>
            </w:pPr>
            <w:r w:rsidRPr="00055035">
              <w:rPr>
                <w:b/>
              </w:rPr>
              <w:t>% (95%CI)</w:t>
            </w:r>
          </w:p>
        </w:tc>
      </w:tr>
      <w:tr w:rsidR="00B926FE" w:rsidRPr="00BC49AE" w14:paraId="6FE53FDA" w14:textId="77777777" w:rsidTr="005C60DC">
        <w:trPr>
          <w:cantSplit/>
        </w:trPr>
        <w:tc>
          <w:tcPr>
            <w:tcW w:w="2745" w:type="dxa"/>
            <w:tcBorders>
              <w:left w:val="single" w:sz="4" w:space="0" w:color="auto"/>
              <w:right w:val="single" w:sz="4" w:space="0" w:color="auto"/>
            </w:tcBorders>
            <w:shd w:val="clear" w:color="auto" w:fill="D4E4FF" w:themeFill="text2" w:themeFillTint="1A"/>
            <w:tcMar>
              <w:left w:w="80" w:type="dxa"/>
              <w:right w:w="80" w:type="dxa"/>
            </w:tcMar>
            <w:vAlign w:val="center"/>
          </w:tcPr>
          <w:p w14:paraId="00D7498E" w14:textId="77777777" w:rsidR="00B926FE" w:rsidRPr="00BC49AE" w:rsidRDefault="00B926FE" w:rsidP="000A2491">
            <w:pPr>
              <w:pStyle w:val="TableText"/>
            </w:pPr>
            <w:r w:rsidRPr="00BC49AE">
              <w:t xml:space="preserve">No, did not talk on the </w:t>
            </w:r>
            <w:r>
              <w:t>internet</w:t>
            </w:r>
            <w:r w:rsidRPr="00BC49AE">
              <w:t xml:space="preserve"> with peers or family</w:t>
            </w:r>
            <w:r>
              <w:t>.</w:t>
            </w:r>
          </w:p>
        </w:tc>
        <w:tc>
          <w:tcPr>
            <w:tcW w:w="352" w:type="dxa"/>
            <w:tcBorders>
              <w:left w:val="single" w:sz="4" w:space="0" w:color="auto"/>
              <w:right w:val="single" w:sz="4" w:space="0" w:color="auto"/>
            </w:tcBorders>
            <w:shd w:val="clear" w:color="auto" w:fill="D4E4FF" w:themeFill="text2" w:themeFillTint="1A"/>
            <w:tcMar>
              <w:left w:w="80" w:type="dxa"/>
              <w:right w:w="80" w:type="dxa"/>
            </w:tcMar>
          </w:tcPr>
          <w:p w14:paraId="5E2D8A1A" w14:textId="77777777" w:rsidR="00B926FE" w:rsidRPr="00BC49AE" w:rsidRDefault="00B926FE" w:rsidP="000A2491">
            <w:pPr>
              <w:pStyle w:val="TableText"/>
              <w:jc w:val="right"/>
              <w:rPr>
                <w:color w:val="000000" w:themeColor="text1"/>
              </w:rPr>
            </w:pPr>
            <w:r w:rsidRPr="00BC49AE">
              <w:t>577</w:t>
            </w:r>
          </w:p>
        </w:tc>
        <w:tc>
          <w:tcPr>
            <w:tcW w:w="779" w:type="dxa"/>
            <w:tcBorders>
              <w:left w:val="single" w:sz="4" w:space="0" w:color="auto"/>
              <w:right w:val="single" w:sz="4" w:space="0" w:color="auto"/>
            </w:tcBorders>
            <w:shd w:val="clear" w:color="auto" w:fill="D4E4FF" w:themeFill="text2" w:themeFillTint="1A"/>
            <w:tcMar>
              <w:left w:w="80" w:type="dxa"/>
              <w:right w:w="80" w:type="dxa"/>
            </w:tcMar>
          </w:tcPr>
          <w:p w14:paraId="1417E629" w14:textId="77777777" w:rsidR="00B926FE" w:rsidRPr="00BC49AE" w:rsidRDefault="00B926FE" w:rsidP="000A2491">
            <w:pPr>
              <w:pStyle w:val="TableText"/>
              <w:jc w:val="right"/>
              <w:rPr>
                <w:color w:val="000000" w:themeColor="text1"/>
              </w:rPr>
            </w:pPr>
            <w:r w:rsidRPr="00BC49AE">
              <w:t>4000</w:t>
            </w:r>
          </w:p>
        </w:tc>
        <w:tc>
          <w:tcPr>
            <w:tcW w:w="1003" w:type="dxa"/>
            <w:tcBorders>
              <w:left w:val="single" w:sz="4" w:space="0" w:color="auto"/>
              <w:right w:val="single" w:sz="4" w:space="0" w:color="auto"/>
            </w:tcBorders>
            <w:shd w:val="clear" w:color="auto" w:fill="D4E4FF" w:themeFill="text2" w:themeFillTint="1A"/>
            <w:tcMar>
              <w:left w:w="80" w:type="dxa"/>
              <w:right w:w="80" w:type="dxa"/>
            </w:tcMar>
          </w:tcPr>
          <w:p w14:paraId="73E5623F" w14:textId="77777777" w:rsidR="00B926FE" w:rsidRPr="00BC49AE" w:rsidRDefault="00B926FE" w:rsidP="000A2491">
            <w:pPr>
              <w:pStyle w:val="TableText"/>
              <w:jc w:val="right"/>
              <w:rPr>
                <w:color w:val="000000" w:themeColor="text1"/>
              </w:rPr>
            </w:pPr>
            <w:r w:rsidRPr="00BC49AE">
              <w:t>65.4 (61.2</w:t>
            </w:r>
            <w:r>
              <w:t xml:space="preserve">, </w:t>
            </w:r>
            <w:r w:rsidRPr="00BC49AE">
              <w:t>69.4)</w:t>
            </w:r>
          </w:p>
        </w:tc>
        <w:tc>
          <w:tcPr>
            <w:tcW w:w="416" w:type="dxa"/>
            <w:tcBorders>
              <w:left w:val="single" w:sz="4" w:space="0" w:color="auto"/>
              <w:right w:val="single" w:sz="4" w:space="0" w:color="auto"/>
            </w:tcBorders>
            <w:shd w:val="clear" w:color="auto" w:fill="D4E4FF" w:themeFill="text2" w:themeFillTint="1A"/>
            <w:tcMar>
              <w:left w:w="80" w:type="dxa"/>
              <w:right w:w="80" w:type="dxa"/>
            </w:tcMar>
          </w:tcPr>
          <w:p w14:paraId="41F7034C" w14:textId="77777777" w:rsidR="00B926FE" w:rsidRPr="00BC49AE" w:rsidRDefault="00B926FE" w:rsidP="000A2491">
            <w:pPr>
              <w:pStyle w:val="TableText"/>
              <w:jc w:val="right"/>
              <w:rPr>
                <w:color w:val="000000" w:themeColor="text1"/>
              </w:rPr>
            </w:pPr>
            <w:r w:rsidRPr="00BC49AE">
              <w:t>1023</w:t>
            </w:r>
          </w:p>
        </w:tc>
        <w:tc>
          <w:tcPr>
            <w:tcW w:w="779" w:type="dxa"/>
            <w:tcBorders>
              <w:left w:val="single" w:sz="4" w:space="0" w:color="auto"/>
              <w:right w:val="single" w:sz="4" w:space="0" w:color="auto"/>
            </w:tcBorders>
            <w:shd w:val="clear" w:color="auto" w:fill="D4E4FF" w:themeFill="text2" w:themeFillTint="1A"/>
            <w:tcMar>
              <w:left w:w="80" w:type="dxa"/>
              <w:right w:w="80" w:type="dxa"/>
            </w:tcMar>
          </w:tcPr>
          <w:p w14:paraId="3C46508D" w14:textId="77777777" w:rsidR="00B926FE" w:rsidRPr="00BC49AE" w:rsidRDefault="00B926FE" w:rsidP="000A2491">
            <w:pPr>
              <w:pStyle w:val="TableText"/>
              <w:jc w:val="right"/>
              <w:rPr>
                <w:color w:val="000000" w:themeColor="text1"/>
              </w:rPr>
            </w:pPr>
            <w:r w:rsidRPr="00BC49AE">
              <w:t>6202</w:t>
            </w:r>
          </w:p>
        </w:tc>
        <w:tc>
          <w:tcPr>
            <w:tcW w:w="1003" w:type="dxa"/>
            <w:tcBorders>
              <w:left w:val="single" w:sz="4" w:space="0" w:color="auto"/>
              <w:right w:val="single" w:sz="4" w:space="0" w:color="auto"/>
            </w:tcBorders>
            <w:shd w:val="clear" w:color="auto" w:fill="D4E4FF" w:themeFill="text2" w:themeFillTint="1A"/>
            <w:tcMar>
              <w:left w:w="80" w:type="dxa"/>
              <w:right w:w="80" w:type="dxa"/>
            </w:tcMar>
          </w:tcPr>
          <w:p w14:paraId="708D182C" w14:textId="77777777" w:rsidR="00B926FE" w:rsidRPr="00BC49AE" w:rsidRDefault="00B926FE" w:rsidP="000A2491">
            <w:pPr>
              <w:pStyle w:val="TableText"/>
              <w:jc w:val="right"/>
              <w:rPr>
                <w:color w:val="000000" w:themeColor="text1"/>
              </w:rPr>
            </w:pPr>
            <w:r w:rsidRPr="00BC49AE">
              <w:t>68.6 (58.8</w:t>
            </w:r>
            <w:r>
              <w:t xml:space="preserve">, </w:t>
            </w:r>
            <w:r w:rsidRPr="00BC49AE">
              <w:t>77.0)</w:t>
            </w:r>
          </w:p>
        </w:tc>
      </w:tr>
      <w:tr w:rsidR="00B926FE" w:rsidRPr="00BC49AE" w14:paraId="00A64FA3" w14:textId="77777777" w:rsidTr="005C60DC">
        <w:trPr>
          <w:cantSplit/>
        </w:trPr>
        <w:tc>
          <w:tcPr>
            <w:tcW w:w="2745" w:type="dxa"/>
            <w:tcBorders>
              <w:left w:val="single" w:sz="4" w:space="0" w:color="auto"/>
              <w:bottom w:val="single" w:sz="4" w:space="0" w:color="auto"/>
              <w:right w:val="single" w:sz="4" w:space="0" w:color="auto"/>
            </w:tcBorders>
            <w:shd w:val="clear" w:color="auto" w:fill="auto"/>
            <w:tcMar>
              <w:left w:w="80" w:type="dxa"/>
              <w:right w:w="80" w:type="dxa"/>
            </w:tcMar>
            <w:vAlign w:val="center"/>
          </w:tcPr>
          <w:p w14:paraId="48CF6F61" w14:textId="77777777" w:rsidR="00B926FE" w:rsidRPr="00BC49AE" w:rsidRDefault="00B926FE" w:rsidP="000A2491">
            <w:pPr>
              <w:pStyle w:val="TableText"/>
            </w:pPr>
            <w:r w:rsidRPr="00BC49AE">
              <w:t xml:space="preserve">Yes, did talk on the </w:t>
            </w:r>
            <w:r>
              <w:t>internet</w:t>
            </w:r>
            <w:r w:rsidRPr="00BC49AE">
              <w:t xml:space="preserve"> with peers or family</w:t>
            </w:r>
            <w:r>
              <w:t>.</w:t>
            </w:r>
          </w:p>
        </w:tc>
        <w:tc>
          <w:tcPr>
            <w:tcW w:w="352" w:type="dxa"/>
            <w:tcBorders>
              <w:left w:val="single" w:sz="4" w:space="0" w:color="auto"/>
              <w:bottom w:val="single" w:sz="4" w:space="0" w:color="auto"/>
              <w:right w:val="single" w:sz="4" w:space="0" w:color="auto"/>
            </w:tcBorders>
            <w:shd w:val="clear" w:color="auto" w:fill="auto"/>
            <w:tcMar>
              <w:left w:w="80" w:type="dxa"/>
              <w:right w:w="80" w:type="dxa"/>
            </w:tcMar>
          </w:tcPr>
          <w:p w14:paraId="58F0A657" w14:textId="77777777" w:rsidR="00B926FE" w:rsidRPr="00BC49AE" w:rsidRDefault="00B926FE" w:rsidP="000A2491">
            <w:pPr>
              <w:pStyle w:val="TableText"/>
              <w:jc w:val="right"/>
              <w:rPr>
                <w:color w:val="000000" w:themeColor="text1"/>
              </w:rPr>
            </w:pPr>
            <w:r w:rsidRPr="00BC49AE">
              <w:t>269</w:t>
            </w:r>
          </w:p>
        </w:tc>
        <w:tc>
          <w:tcPr>
            <w:tcW w:w="779" w:type="dxa"/>
            <w:tcBorders>
              <w:left w:val="single" w:sz="4" w:space="0" w:color="auto"/>
              <w:bottom w:val="single" w:sz="4" w:space="0" w:color="auto"/>
              <w:right w:val="single" w:sz="4" w:space="0" w:color="auto"/>
            </w:tcBorders>
            <w:shd w:val="clear" w:color="auto" w:fill="auto"/>
            <w:tcMar>
              <w:left w:w="80" w:type="dxa"/>
              <w:right w:w="80" w:type="dxa"/>
            </w:tcMar>
          </w:tcPr>
          <w:p w14:paraId="232A4A19" w14:textId="77777777" w:rsidR="00B926FE" w:rsidRPr="00BC49AE" w:rsidRDefault="00B926FE" w:rsidP="000A2491">
            <w:pPr>
              <w:pStyle w:val="TableText"/>
              <w:jc w:val="right"/>
              <w:rPr>
                <w:color w:val="000000" w:themeColor="text1"/>
              </w:rPr>
            </w:pPr>
            <w:r w:rsidRPr="00BC49AE">
              <w:t>2041</w:t>
            </w:r>
          </w:p>
        </w:tc>
        <w:tc>
          <w:tcPr>
            <w:tcW w:w="1003" w:type="dxa"/>
            <w:tcBorders>
              <w:left w:val="single" w:sz="4" w:space="0" w:color="auto"/>
              <w:bottom w:val="single" w:sz="4" w:space="0" w:color="auto"/>
              <w:right w:val="single" w:sz="4" w:space="0" w:color="auto"/>
            </w:tcBorders>
            <w:shd w:val="clear" w:color="auto" w:fill="auto"/>
            <w:tcMar>
              <w:left w:w="80" w:type="dxa"/>
              <w:right w:w="80" w:type="dxa"/>
            </w:tcMar>
          </w:tcPr>
          <w:p w14:paraId="2869698A" w14:textId="77777777" w:rsidR="00B926FE" w:rsidRPr="00BC49AE" w:rsidRDefault="00B926FE" w:rsidP="000A2491">
            <w:pPr>
              <w:pStyle w:val="TableText"/>
              <w:jc w:val="right"/>
              <w:rPr>
                <w:color w:val="000000" w:themeColor="text1"/>
              </w:rPr>
            </w:pPr>
            <w:r w:rsidRPr="00BC49AE">
              <w:t>33.4 (29.4</w:t>
            </w:r>
            <w:r>
              <w:t xml:space="preserve">, </w:t>
            </w:r>
            <w:r w:rsidRPr="00BC49AE">
              <w:t>37.6)</w:t>
            </w:r>
          </w:p>
        </w:tc>
        <w:tc>
          <w:tcPr>
            <w:tcW w:w="416" w:type="dxa"/>
            <w:tcBorders>
              <w:left w:val="single" w:sz="4" w:space="0" w:color="auto"/>
              <w:bottom w:val="single" w:sz="4" w:space="0" w:color="auto"/>
              <w:right w:val="single" w:sz="4" w:space="0" w:color="auto"/>
            </w:tcBorders>
            <w:shd w:val="clear" w:color="auto" w:fill="auto"/>
            <w:tcMar>
              <w:left w:w="80" w:type="dxa"/>
              <w:right w:w="80" w:type="dxa"/>
            </w:tcMar>
          </w:tcPr>
          <w:p w14:paraId="6F029F68" w14:textId="77777777" w:rsidR="00B926FE" w:rsidRPr="00BC49AE" w:rsidRDefault="00B926FE" w:rsidP="000A2491">
            <w:pPr>
              <w:pStyle w:val="TableText"/>
              <w:jc w:val="right"/>
              <w:rPr>
                <w:color w:val="000000" w:themeColor="text1"/>
              </w:rPr>
            </w:pPr>
            <w:r w:rsidRPr="00BC49AE">
              <w:t>395</w:t>
            </w:r>
          </w:p>
        </w:tc>
        <w:tc>
          <w:tcPr>
            <w:tcW w:w="779" w:type="dxa"/>
            <w:tcBorders>
              <w:left w:val="single" w:sz="4" w:space="0" w:color="auto"/>
              <w:bottom w:val="single" w:sz="4" w:space="0" w:color="auto"/>
              <w:right w:val="single" w:sz="4" w:space="0" w:color="auto"/>
            </w:tcBorders>
            <w:shd w:val="clear" w:color="auto" w:fill="auto"/>
            <w:tcMar>
              <w:left w:w="80" w:type="dxa"/>
              <w:right w:w="80" w:type="dxa"/>
            </w:tcMar>
          </w:tcPr>
          <w:p w14:paraId="52AA5589" w14:textId="77777777" w:rsidR="00B926FE" w:rsidRPr="00BC49AE" w:rsidRDefault="00B926FE" w:rsidP="000A2491">
            <w:pPr>
              <w:pStyle w:val="TableText"/>
              <w:jc w:val="right"/>
              <w:rPr>
                <w:color w:val="000000" w:themeColor="text1"/>
              </w:rPr>
            </w:pPr>
            <w:r w:rsidRPr="00BC49AE">
              <w:t>2768</w:t>
            </w:r>
          </w:p>
        </w:tc>
        <w:tc>
          <w:tcPr>
            <w:tcW w:w="1003" w:type="dxa"/>
            <w:tcBorders>
              <w:left w:val="single" w:sz="4" w:space="0" w:color="auto"/>
              <w:bottom w:val="single" w:sz="4" w:space="0" w:color="auto"/>
              <w:right w:val="single" w:sz="4" w:space="0" w:color="auto"/>
            </w:tcBorders>
            <w:shd w:val="clear" w:color="auto" w:fill="auto"/>
            <w:tcMar>
              <w:left w:w="80" w:type="dxa"/>
              <w:right w:w="80" w:type="dxa"/>
            </w:tcMar>
          </w:tcPr>
          <w:p w14:paraId="6BA0533E" w14:textId="77777777" w:rsidR="00B926FE" w:rsidRPr="00BC49AE" w:rsidRDefault="00B926FE" w:rsidP="000A2491">
            <w:pPr>
              <w:pStyle w:val="TableText"/>
              <w:jc w:val="right"/>
              <w:rPr>
                <w:color w:val="000000" w:themeColor="text1"/>
              </w:rPr>
            </w:pPr>
            <w:r w:rsidRPr="00BC49AE">
              <w:t>30.6 (22.2</w:t>
            </w:r>
            <w:r>
              <w:t xml:space="preserve">, </w:t>
            </w:r>
            <w:r w:rsidRPr="00BC49AE">
              <w:t>40.5)</w:t>
            </w:r>
          </w:p>
        </w:tc>
      </w:tr>
      <w:tr w:rsidR="00B926FE" w:rsidRPr="00BC49AE" w14:paraId="75DC5649" w14:textId="77777777" w:rsidTr="005C60DC">
        <w:trPr>
          <w:cantSplit/>
        </w:trPr>
        <w:tc>
          <w:tcPr>
            <w:tcW w:w="2745"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vAlign w:val="center"/>
          </w:tcPr>
          <w:p w14:paraId="0749D917" w14:textId="77777777" w:rsidR="00B926FE" w:rsidRPr="00BC49AE" w:rsidRDefault="00B926FE" w:rsidP="000A2491">
            <w:pPr>
              <w:pStyle w:val="TableText"/>
            </w:pPr>
            <w:r w:rsidRPr="00BC49AE">
              <w:t>Harmful</w:t>
            </w:r>
          </w:p>
        </w:tc>
        <w:tc>
          <w:tcPr>
            <w:tcW w:w="352"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3719F5AA" w14:textId="77777777" w:rsidR="00B926FE" w:rsidRPr="00BC49AE" w:rsidRDefault="00B926FE" w:rsidP="000A2491">
            <w:pPr>
              <w:pStyle w:val="TableText"/>
              <w:jc w:val="right"/>
              <w:rPr>
                <w:color w:val="000000" w:themeColor="text1"/>
              </w:rPr>
            </w:pPr>
            <w:r w:rsidRPr="00BC49AE">
              <w:t>5</w:t>
            </w:r>
          </w:p>
        </w:tc>
        <w:tc>
          <w:tcPr>
            <w:tcW w:w="779"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79F24379" w14:textId="77777777" w:rsidR="00B926FE" w:rsidRPr="00BC49AE" w:rsidRDefault="00B926FE" w:rsidP="000A2491">
            <w:pPr>
              <w:pStyle w:val="TableText"/>
              <w:jc w:val="right"/>
              <w:rPr>
                <w:color w:val="000000" w:themeColor="text1"/>
              </w:rPr>
            </w:pPr>
            <w:r w:rsidRPr="00BC49AE">
              <w:t>30</w:t>
            </w:r>
          </w:p>
        </w:tc>
        <w:tc>
          <w:tcPr>
            <w:tcW w:w="1003"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5E1370D7" w14:textId="77777777" w:rsidR="00B926FE" w:rsidRPr="00BC49AE" w:rsidRDefault="00B926FE" w:rsidP="000A2491">
            <w:pPr>
              <w:pStyle w:val="TableText"/>
              <w:jc w:val="right"/>
              <w:rPr>
                <w:color w:val="000000" w:themeColor="text1"/>
              </w:rPr>
            </w:pPr>
            <w:r w:rsidRPr="00BC49AE">
              <w:t>1.5 (0.5</w:t>
            </w:r>
            <w:r>
              <w:t xml:space="preserve">, </w:t>
            </w:r>
            <w:r w:rsidRPr="00BC49AE">
              <w:t>4.0)</w:t>
            </w:r>
          </w:p>
        </w:tc>
        <w:tc>
          <w:tcPr>
            <w:tcW w:w="416"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2ADCD9EC" w14:textId="77777777" w:rsidR="00B926FE" w:rsidRPr="00A72B8A" w:rsidRDefault="00B926FE" w:rsidP="000A2491">
            <w:pPr>
              <w:pStyle w:val="TableText"/>
              <w:jc w:val="right"/>
              <w:rPr>
                <w:color w:val="000000" w:themeColor="text1"/>
                <w:szCs w:val="14"/>
              </w:rPr>
            </w:pPr>
            <w:r w:rsidRPr="00E603D7">
              <w:t>#</w:t>
            </w:r>
          </w:p>
        </w:tc>
        <w:tc>
          <w:tcPr>
            <w:tcW w:w="779"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75A10933" w14:textId="77777777" w:rsidR="00B926FE" w:rsidRPr="00A72B8A" w:rsidRDefault="00B926FE" w:rsidP="000A2491">
            <w:pPr>
              <w:pStyle w:val="TableText"/>
              <w:jc w:val="right"/>
              <w:rPr>
                <w:color w:val="000000" w:themeColor="text1"/>
                <w:szCs w:val="14"/>
              </w:rPr>
            </w:pPr>
            <w:r>
              <w:t>–</w:t>
            </w:r>
          </w:p>
        </w:tc>
        <w:tc>
          <w:tcPr>
            <w:tcW w:w="1003"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3DEADAE5" w14:textId="77777777" w:rsidR="00B926FE" w:rsidRPr="00A72B8A" w:rsidRDefault="00B926FE" w:rsidP="000A2491">
            <w:pPr>
              <w:pStyle w:val="TableText"/>
              <w:jc w:val="right"/>
              <w:rPr>
                <w:color w:val="000000" w:themeColor="text1"/>
                <w:szCs w:val="14"/>
              </w:rPr>
            </w:pPr>
            <w:r>
              <w:t>–</w:t>
            </w:r>
          </w:p>
        </w:tc>
      </w:tr>
      <w:tr w:rsidR="00B926FE" w:rsidRPr="00BC49AE" w14:paraId="3B3F3CA7" w14:textId="77777777" w:rsidTr="005C60DC">
        <w:trPr>
          <w:cantSplit/>
        </w:trPr>
        <w:tc>
          <w:tcPr>
            <w:tcW w:w="2745" w:type="dxa"/>
            <w:tcBorders>
              <w:left w:val="single" w:sz="4" w:space="0" w:color="auto"/>
              <w:right w:val="single" w:sz="4" w:space="0" w:color="auto"/>
            </w:tcBorders>
            <w:shd w:val="clear" w:color="auto" w:fill="auto"/>
            <w:tcMar>
              <w:left w:w="80" w:type="dxa"/>
              <w:right w:w="80" w:type="dxa"/>
            </w:tcMar>
            <w:vAlign w:val="center"/>
          </w:tcPr>
          <w:p w14:paraId="20E71938" w14:textId="77777777" w:rsidR="00B926FE" w:rsidRPr="00BC49AE" w:rsidRDefault="00B926FE" w:rsidP="000A2491">
            <w:pPr>
              <w:pStyle w:val="TableText"/>
            </w:pPr>
            <w:r w:rsidRPr="00BC49AE">
              <w:t>Helpful</w:t>
            </w:r>
          </w:p>
        </w:tc>
        <w:tc>
          <w:tcPr>
            <w:tcW w:w="352" w:type="dxa"/>
            <w:tcBorders>
              <w:left w:val="single" w:sz="4" w:space="0" w:color="auto"/>
              <w:right w:val="single" w:sz="4" w:space="0" w:color="auto"/>
            </w:tcBorders>
            <w:shd w:val="clear" w:color="auto" w:fill="auto"/>
            <w:tcMar>
              <w:left w:w="80" w:type="dxa"/>
              <w:right w:w="80" w:type="dxa"/>
            </w:tcMar>
          </w:tcPr>
          <w:p w14:paraId="5CBF45FE" w14:textId="77777777" w:rsidR="00B926FE" w:rsidRPr="00BC49AE" w:rsidRDefault="00B926FE" w:rsidP="000A2491">
            <w:pPr>
              <w:pStyle w:val="TableText"/>
              <w:jc w:val="right"/>
              <w:rPr>
                <w:color w:val="000000" w:themeColor="text1"/>
              </w:rPr>
            </w:pPr>
            <w:r w:rsidRPr="00BC49AE">
              <w:t>173</w:t>
            </w:r>
          </w:p>
        </w:tc>
        <w:tc>
          <w:tcPr>
            <w:tcW w:w="779" w:type="dxa"/>
            <w:tcBorders>
              <w:left w:val="single" w:sz="4" w:space="0" w:color="auto"/>
              <w:right w:val="single" w:sz="4" w:space="0" w:color="auto"/>
            </w:tcBorders>
            <w:shd w:val="clear" w:color="auto" w:fill="auto"/>
            <w:tcMar>
              <w:left w:w="80" w:type="dxa"/>
              <w:right w:w="80" w:type="dxa"/>
            </w:tcMar>
          </w:tcPr>
          <w:p w14:paraId="30ED1A82" w14:textId="77777777" w:rsidR="00B926FE" w:rsidRPr="00BC49AE" w:rsidRDefault="00B926FE" w:rsidP="000A2491">
            <w:pPr>
              <w:pStyle w:val="TableText"/>
              <w:jc w:val="right"/>
              <w:rPr>
                <w:color w:val="000000" w:themeColor="text1"/>
              </w:rPr>
            </w:pPr>
            <w:r w:rsidRPr="00BC49AE">
              <w:t>1292</w:t>
            </w:r>
          </w:p>
        </w:tc>
        <w:tc>
          <w:tcPr>
            <w:tcW w:w="1003" w:type="dxa"/>
            <w:tcBorders>
              <w:left w:val="single" w:sz="4" w:space="0" w:color="auto"/>
              <w:right w:val="single" w:sz="4" w:space="0" w:color="auto"/>
            </w:tcBorders>
            <w:shd w:val="clear" w:color="auto" w:fill="auto"/>
            <w:tcMar>
              <w:left w:w="80" w:type="dxa"/>
              <w:right w:w="80" w:type="dxa"/>
            </w:tcMar>
          </w:tcPr>
          <w:p w14:paraId="131EC306" w14:textId="77777777" w:rsidR="00B926FE" w:rsidRPr="00BC49AE" w:rsidRDefault="00B926FE" w:rsidP="000A2491">
            <w:pPr>
              <w:pStyle w:val="TableText"/>
              <w:jc w:val="right"/>
              <w:rPr>
                <w:color w:val="000000" w:themeColor="text1"/>
              </w:rPr>
            </w:pPr>
            <w:r w:rsidRPr="00BC49AE">
              <w:t>63.3 (55.7</w:t>
            </w:r>
            <w:r>
              <w:t xml:space="preserve">, </w:t>
            </w:r>
            <w:r w:rsidRPr="00BC49AE">
              <w:t>70.3)</w:t>
            </w:r>
          </w:p>
        </w:tc>
        <w:tc>
          <w:tcPr>
            <w:tcW w:w="416" w:type="dxa"/>
            <w:tcBorders>
              <w:left w:val="single" w:sz="4" w:space="0" w:color="auto"/>
              <w:right w:val="single" w:sz="4" w:space="0" w:color="auto"/>
            </w:tcBorders>
            <w:shd w:val="clear" w:color="auto" w:fill="auto"/>
            <w:tcMar>
              <w:left w:w="80" w:type="dxa"/>
              <w:right w:w="80" w:type="dxa"/>
            </w:tcMar>
          </w:tcPr>
          <w:p w14:paraId="1E2C6FD5" w14:textId="77777777" w:rsidR="00B926FE" w:rsidRPr="00BC49AE" w:rsidRDefault="00B926FE" w:rsidP="000A2491">
            <w:pPr>
              <w:pStyle w:val="TableText"/>
              <w:jc w:val="right"/>
              <w:rPr>
                <w:color w:val="000000" w:themeColor="text1"/>
              </w:rPr>
            </w:pPr>
            <w:r w:rsidRPr="00BC49AE">
              <w:t>298</w:t>
            </w:r>
          </w:p>
        </w:tc>
        <w:tc>
          <w:tcPr>
            <w:tcW w:w="779" w:type="dxa"/>
            <w:tcBorders>
              <w:left w:val="single" w:sz="4" w:space="0" w:color="auto"/>
              <w:right w:val="single" w:sz="4" w:space="0" w:color="auto"/>
            </w:tcBorders>
            <w:shd w:val="clear" w:color="auto" w:fill="auto"/>
            <w:tcMar>
              <w:left w:w="80" w:type="dxa"/>
              <w:right w:w="80" w:type="dxa"/>
            </w:tcMar>
          </w:tcPr>
          <w:p w14:paraId="29CB1021" w14:textId="77777777" w:rsidR="00B926FE" w:rsidRPr="00BC49AE" w:rsidRDefault="00B926FE" w:rsidP="000A2491">
            <w:pPr>
              <w:pStyle w:val="TableText"/>
              <w:jc w:val="right"/>
              <w:rPr>
                <w:color w:val="000000" w:themeColor="text1"/>
              </w:rPr>
            </w:pPr>
            <w:r w:rsidRPr="00BC49AE">
              <w:t>2081</w:t>
            </w:r>
          </w:p>
        </w:tc>
        <w:tc>
          <w:tcPr>
            <w:tcW w:w="1003" w:type="dxa"/>
            <w:tcBorders>
              <w:left w:val="single" w:sz="4" w:space="0" w:color="auto"/>
              <w:right w:val="single" w:sz="4" w:space="0" w:color="auto"/>
            </w:tcBorders>
            <w:shd w:val="clear" w:color="auto" w:fill="auto"/>
            <w:tcMar>
              <w:left w:w="80" w:type="dxa"/>
              <w:right w:w="80" w:type="dxa"/>
            </w:tcMar>
          </w:tcPr>
          <w:p w14:paraId="6E367BFB" w14:textId="77777777" w:rsidR="00B926FE" w:rsidRPr="00BC49AE" w:rsidRDefault="00B926FE" w:rsidP="000A2491">
            <w:pPr>
              <w:pStyle w:val="TableText"/>
              <w:jc w:val="right"/>
              <w:rPr>
                <w:color w:val="000000" w:themeColor="text1"/>
              </w:rPr>
            </w:pPr>
            <w:r w:rsidRPr="00BC49AE">
              <w:t>75.2 (57.3</w:t>
            </w:r>
            <w:r>
              <w:t xml:space="preserve">, </w:t>
            </w:r>
            <w:r w:rsidRPr="00BC49AE">
              <w:t>87.3)</w:t>
            </w:r>
          </w:p>
        </w:tc>
      </w:tr>
      <w:tr w:rsidR="00B926FE" w:rsidRPr="00BC49AE" w14:paraId="73938210" w14:textId="77777777" w:rsidTr="005C60DC">
        <w:trPr>
          <w:cantSplit/>
        </w:trPr>
        <w:tc>
          <w:tcPr>
            <w:tcW w:w="2745"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vAlign w:val="center"/>
          </w:tcPr>
          <w:p w14:paraId="04069EE0" w14:textId="77777777" w:rsidR="00B926FE" w:rsidRPr="00BC49AE" w:rsidRDefault="00B926FE" w:rsidP="000A2491">
            <w:pPr>
              <w:pStyle w:val="TableText"/>
            </w:pPr>
            <w:r w:rsidRPr="00BC49AE">
              <w:t>Neither</w:t>
            </w:r>
          </w:p>
        </w:tc>
        <w:tc>
          <w:tcPr>
            <w:tcW w:w="352"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0D09A070" w14:textId="77777777" w:rsidR="00B926FE" w:rsidRPr="00BC49AE" w:rsidRDefault="00B926FE" w:rsidP="000A2491">
            <w:pPr>
              <w:pStyle w:val="TableText"/>
              <w:jc w:val="right"/>
              <w:rPr>
                <w:color w:val="000000" w:themeColor="text1"/>
              </w:rPr>
            </w:pPr>
            <w:r w:rsidRPr="00BC49AE">
              <w:t>90</w:t>
            </w:r>
          </w:p>
        </w:tc>
        <w:tc>
          <w:tcPr>
            <w:tcW w:w="779"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455CB0D8" w14:textId="77777777" w:rsidR="00B926FE" w:rsidRPr="00BC49AE" w:rsidRDefault="00B926FE" w:rsidP="000A2491">
            <w:pPr>
              <w:pStyle w:val="TableText"/>
              <w:jc w:val="right"/>
              <w:rPr>
                <w:color w:val="000000" w:themeColor="text1"/>
              </w:rPr>
            </w:pPr>
            <w:r w:rsidRPr="00BC49AE">
              <w:t>695</w:t>
            </w:r>
          </w:p>
        </w:tc>
        <w:tc>
          <w:tcPr>
            <w:tcW w:w="1003"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0FF9253D" w14:textId="77777777" w:rsidR="00B926FE" w:rsidRPr="00BC49AE" w:rsidRDefault="00B926FE" w:rsidP="000A2491">
            <w:pPr>
              <w:pStyle w:val="TableText"/>
              <w:jc w:val="right"/>
              <w:rPr>
                <w:color w:val="000000" w:themeColor="text1"/>
              </w:rPr>
            </w:pPr>
            <w:r w:rsidRPr="00BC49AE">
              <w:t>34.1 (27.3</w:t>
            </w:r>
            <w:r>
              <w:t xml:space="preserve">, </w:t>
            </w:r>
            <w:r w:rsidRPr="00BC49AE">
              <w:t>41.6)</w:t>
            </w:r>
          </w:p>
        </w:tc>
        <w:tc>
          <w:tcPr>
            <w:tcW w:w="416"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641655AC" w14:textId="77777777" w:rsidR="00B926FE" w:rsidRPr="00BC49AE" w:rsidRDefault="00B926FE" w:rsidP="000A2491">
            <w:pPr>
              <w:pStyle w:val="TableText"/>
              <w:jc w:val="right"/>
              <w:rPr>
                <w:color w:val="000000" w:themeColor="text1"/>
              </w:rPr>
            </w:pPr>
            <w:r w:rsidRPr="00BC49AE">
              <w:t>92</w:t>
            </w:r>
          </w:p>
        </w:tc>
        <w:tc>
          <w:tcPr>
            <w:tcW w:w="779"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47E19062" w14:textId="77777777" w:rsidR="00B926FE" w:rsidRPr="00BC49AE" w:rsidRDefault="00B926FE" w:rsidP="000A2491">
            <w:pPr>
              <w:pStyle w:val="TableText"/>
              <w:jc w:val="right"/>
              <w:rPr>
                <w:color w:val="000000" w:themeColor="text1"/>
              </w:rPr>
            </w:pPr>
            <w:r w:rsidRPr="00BC49AE">
              <w:t>672</w:t>
            </w:r>
          </w:p>
        </w:tc>
        <w:tc>
          <w:tcPr>
            <w:tcW w:w="1003"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336CE4D5" w14:textId="77777777" w:rsidR="00B926FE" w:rsidRPr="00BC49AE" w:rsidRDefault="00B926FE" w:rsidP="000A2491">
            <w:pPr>
              <w:pStyle w:val="TableText"/>
              <w:jc w:val="right"/>
              <w:rPr>
                <w:color w:val="000000" w:themeColor="text1"/>
              </w:rPr>
            </w:pPr>
            <w:r w:rsidRPr="00BC49AE">
              <w:t>24.3 (12.3</w:t>
            </w:r>
            <w:r>
              <w:t xml:space="preserve">, </w:t>
            </w:r>
            <w:r w:rsidRPr="00BC49AE">
              <w:t>42.3)</w:t>
            </w:r>
          </w:p>
        </w:tc>
      </w:tr>
    </w:tbl>
    <w:p w14:paraId="7CF192F9" w14:textId="77777777" w:rsidR="00B926FE" w:rsidRPr="006A3EA0" w:rsidRDefault="00B926FE" w:rsidP="00B926FE">
      <w:pPr>
        <w:pStyle w:val="TableNotes"/>
      </w:pPr>
      <w:bookmarkStart w:id="856" w:name="_Toc507594496"/>
      <w:bookmarkStart w:id="857" w:name="_Toc509922959"/>
      <w:r w:rsidRPr="006A3EA0">
        <w:t>Notes</w:t>
      </w:r>
    </w:p>
    <w:p w14:paraId="5AA061B4" w14:textId="77777777" w:rsidR="00B926FE" w:rsidRPr="00055035" w:rsidRDefault="00B926FE" w:rsidP="00B926FE">
      <w:pPr>
        <w:pStyle w:val="TableNotes"/>
      </w:pPr>
      <w:r w:rsidRPr="00055035">
        <w:t xml:space="preserve">Denominator: Those who used </w:t>
      </w:r>
      <w:r>
        <w:t>internet</w:t>
      </w:r>
      <w:r w:rsidRPr="00055035">
        <w:t xml:space="preserve"> to manage mental health</w:t>
      </w:r>
      <w:r>
        <w:t>.</w:t>
      </w:r>
      <w:r w:rsidRPr="00055035">
        <w:t xml:space="preserve"> </w:t>
      </w:r>
    </w:p>
    <w:p w14:paraId="55D10AFC" w14:textId="77777777" w:rsidR="00B926FE" w:rsidRPr="00055035" w:rsidRDefault="00B926FE" w:rsidP="00B926FE">
      <w:pPr>
        <w:pStyle w:val="TableNotes"/>
      </w:pPr>
      <w:r w:rsidRPr="00055035">
        <w:t>Based on weighted counts, 75 (1.2%) Transitioned ADF and 73 (0.8%) 2015 Regular ADF had a missing value for this question.</w:t>
      </w:r>
      <w:r>
        <w:t xml:space="preserve"> </w:t>
      </w:r>
      <w:r w:rsidRPr="00055035">
        <w:t>However, distributions are calculated by including those with a missing value to allow for correct weighted totals</w:t>
      </w:r>
      <w:r>
        <w:t>.</w:t>
      </w:r>
    </w:p>
    <w:p w14:paraId="4F9F4228" w14:textId="77777777" w:rsidR="00B926FE" w:rsidRPr="00055035" w:rsidRDefault="00B926FE" w:rsidP="00B926FE">
      <w:pPr>
        <w:pStyle w:val="TableNotes"/>
      </w:pPr>
      <w:r>
        <w:t>95%CI = 95% confidence interval.</w:t>
      </w:r>
    </w:p>
    <w:p w14:paraId="2BB9E5DA" w14:textId="77777777" w:rsidR="00B926FE" w:rsidRDefault="00B926FE" w:rsidP="00B926FE">
      <w:pPr>
        <w:pStyle w:val="TableNotes"/>
      </w:pPr>
      <w:r w:rsidRPr="00055035">
        <w:t>For a full description of odds ratios, interpretation and strength of association</w:t>
      </w:r>
      <w:r>
        <w:t>,</w:t>
      </w:r>
      <w:r w:rsidRPr="00055035">
        <w:t xml:space="preserve"> please refer to Table B.1 </w:t>
      </w:r>
      <w:r w:rsidRPr="00BB1B84">
        <w:t xml:space="preserve">in </w:t>
      </w:r>
      <w:r w:rsidR="00374073">
        <w:t>Annex </w:t>
      </w:r>
      <w:r>
        <w:t>B, Odds ratio table.</w:t>
      </w:r>
    </w:p>
    <w:p w14:paraId="15B3B690" w14:textId="77777777" w:rsidR="00B926FE" w:rsidRDefault="00B926FE" w:rsidP="00B926FE">
      <w:pPr>
        <w:pStyle w:val="TableNotes"/>
        <w:rPr>
          <w:rFonts w:cs="Calibri"/>
          <w:bCs/>
          <w:color w:val="000000" w:themeColor="text1"/>
          <w:szCs w:val="14"/>
        </w:rPr>
      </w:pPr>
      <w:r>
        <w:rPr>
          <w:rFonts w:cs="Calibri"/>
          <w:bCs/>
          <w:color w:val="000000" w:themeColor="text1"/>
          <w:szCs w:val="14"/>
        </w:rPr>
        <w:t># = Cell size too small to be reported.</w:t>
      </w:r>
    </w:p>
    <w:p w14:paraId="2A6F680A" w14:textId="73B49F7A" w:rsidR="00B926FE" w:rsidRDefault="00B926FE" w:rsidP="00B926FE">
      <w:pPr>
        <w:pStyle w:val="FigureName"/>
      </w:pPr>
      <w:bookmarkStart w:id="858" w:name="_Toc515374733"/>
      <w:bookmarkStart w:id="859" w:name="_Toc528932417"/>
      <w:bookmarkStart w:id="860" w:name="_Toc531858097"/>
      <w:r w:rsidRPr="0010531B">
        <w:t xml:space="preserve">Figure </w:t>
      </w:r>
      <w:r>
        <w:rPr>
          <w:noProof/>
        </w:rPr>
        <w:t>7</w:t>
      </w:r>
      <w:r>
        <w:t>.</w:t>
      </w:r>
      <w:r>
        <w:rPr>
          <w:noProof/>
        </w:rPr>
        <w:t>3</w:t>
      </w:r>
      <w:r>
        <w:tab/>
      </w:r>
      <w:r w:rsidRPr="007E789E">
        <w:t xml:space="preserve">Talking about </w:t>
      </w:r>
      <w:r>
        <w:t xml:space="preserve">one’s own </w:t>
      </w:r>
      <w:r w:rsidRPr="007E789E">
        <w:t xml:space="preserve">mental health on the </w:t>
      </w:r>
      <w:r>
        <w:t>internet</w:t>
      </w:r>
      <w:r w:rsidRPr="007E789E">
        <w:t xml:space="preserve"> with peers, family members or friends </w:t>
      </w:r>
      <w:r>
        <w:t>among Transitioned ADF and 2015 Regular ADF</w:t>
      </w:r>
      <w:bookmarkEnd w:id="858"/>
      <w:r>
        <w:t xml:space="preserv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859"/>
      <w:bookmarkEnd w:id="860"/>
    </w:p>
    <w:bookmarkEnd w:id="856"/>
    <w:bookmarkEnd w:id="857"/>
    <w:p w14:paraId="0EF7042E" w14:textId="77777777" w:rsidR="00B926FE" w:rsidRDefault="005C60DC" w:rsidP="005C60DC">
      <w:pPr>
        <w:spacing w:after="360"/>
      </w:pPr>
      <w:r w:rsidRPr="00073958">
        <w:rPr>
          <w:noProof/>
          <w:lang w:eastAsia="en-AU"/>
        </w:rPr>
        <w:drawing>
          <wp:inline distT="0" distB="0" distL="0" distR="0" wp14:anchorId="366C5C76" wp14:editId="697BDAD5">
            <wp:extent cx="4572000" cy="2319100"/>
            <wp:effectExtent l="0" t="0" r="0" b="5080"/>
            <wp:docPr id="39" name="Picture 39" descr="Figure 7.3 Talking about one’s own mental health on the internet with peers, family members or friends among Transitioned ADF and 2015 Regular ADF who reported using the internet to seek help or information for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althSciences\SPHCP\CTSS\DATA REPOSITORY\TWRP\REPORT 5\FIGURE_4_13.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72000" cy="2319100"/>
                    </a:xfrm>
                    <a:prstGeom prst="rect">
                      <a:avLst/>
                    </a:prstGeom>
                    <a:noFill/>
                    <a:ln>
                      <a:noFill/>
                    </a:ln>
                  </pic:spPr>
                </pic:pic>
              </a:graphicData>
            </a:graphic>
          </wp:inline>
        </w:drawing>
      </w:r>
    </w:p>
    <w:p w14:paraId="35680332" w14:textId="77777777" w:rsidR="00B76B5B" w:rsidRDefault="00B76B5B" w:rsidP="00B76B5B"/>
    <w:p w14:paraId="724F6EA0" w14:textId="77777777" w:rsidR="005A7120" w:rsidRDefault="005A7120" w:rsidP="00B76B5B">
      <w:pPr>
        <w:sectPr w:rsidR="005A7120" w:rsidSect="00463E44">
          <w:footerReference w:type="even" r:id="rId91"/>
          <w:footerReference w:type="default" r:id="rId92"/>
          <w:pgSz w:w="9979" w:h="14170" w:code="243"/>
          <w:pgMar w:top="1440" w:right="1152" w:bottom="1440" w:left="1728" w:header="576" w:footer="576" w:gutter="0"/>
          <w:cols w:space="708"/>
          <w:docGrid w:linePitch="360"/>
        </w:sectPr>
      </w:pPr>
    </w:p>
    <w:p w14:paraId="6C53EBAE" w14:textId="77777777" w:rsidR="00B926FE" w:rsidRDefault="00B926FE" w:rsidP="00B926FE">
      <w:pPr>
        <w:pStyle w:val="TableName"/>
      </w:pPr>
      <w:bookmarkStart w:id="861" w:name="_Toc531858025"/>
      <w:bookmarkStart w:id="862" w:name="_Ref509916874"/>
      <w:bookmarkStart w:id="863" w:name="_Toc501633236"/>
      <w:bookmarkStart w:id="864" w:name="_Toc509922896"/>
      <w:bookmarkStart w:id="865" w:name="_Toc515374671"/>
      <w:bookmarkStart w:id="866" w:name="_Toc528932346"/>
      <w:r>
        <w:t xml:space="preserve">Table </w:t>
      </w:r>
      <w:r>
        <w:rPr>
          <w:noProof/>
        </w:rPr>
        <w:t>7</w:t>
      </w:r>
      <w:r>
        <w:t>.</w:t>
      </w:r>
      <w:r>
        <w:rPr>
          <w:noProof/>
        </w:rPr>
        <w:t>6</w:t>
      </w:r>
      <w:r>
        <w:tab/>
      </w:r>
      <w:r w:rsidRPr="0010531B">
        <w:t>T</w:t>
      </w:r>
      <w:r w:rsidRPr="007E789E">
        <w:t xml:space="preserve">alking about </w:t>
      </w:r>
      <w:r>
        <w:t xml:space="preserve">one’s own </w:t>
      </w:r>
      <w:r w:rsidRPr="007E789E">
        <w:t xml:space="preserve">mental health on the </w:t>
      </w:r>
      <w:r>
        <w:t>internet</w:t>
      </w:r>
      <w:r w:rsidRPr="007E789E">
        <w:t xml:space="preserve"> with peers, family members or friends </w:t>
      </w:r>
      <w:r>
        <w:t xml:space="preserve">among Transitioned ADF and 2015 Regular ADF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rsidRPr="007E789E">
        <w:t xml:space="preserve"> by</w:t>
      </w:r>
      <w:r w:rsidRPr="003F7A38">
        <w:t xml:space="preserve"> probable disorder</w:t>
      </w:r>
      <w:r>
        <w:t xml:space="preserve"> and demographic characteristics</w:t>
      </w:r>
      <w:bookmarkEnd w:id="861"/>
    </w:p>
    <w:bookmarkEnd w:id="862"/>
    <w:bookmarkEnd w:id="863"/>
    <w:bookmarkEnd w:id="864"/>
    <w:bookmarkEnd w:id="865"/>
    <w:bookmarkEnd w:id="866"/>
    <w:tbl>
      <w:tblPr>
        <w:tblStyle w:val="TWRPTable"/>
        <w:tblW w:w="5000" w:type="pct"/>
        <w:tblLayout w:type="fixed"/>
        <w:tblCellMar>
          <w:left w:w="115" w:type="dxa"/>
          <w:right w:w="115" w:type="dxa"/>
        </w:tblCellMar>
        <w:tblLook w:val="0000" w:firstRow="0" w:lastRow="0" w:firstColumn="0" w:lastColumn="0" w:noHBand="0" w:noVBand="0"/>
        <w:tblDescription w:val="Table 7.6 Talking about one’s own mental health on the internet with peers, family members or friends among Transitioned ADF and 2015 Regular ADF who reported using the internet to seek help or information for or manage mental health issues by probable disorder and demographic characteristics"/>
      </w:tblPr>
      <w:tblGrid>
        <w:gridCol w:w="1271"/>
        <w:gridCol w:w="485"/>
        <w:gridCol w:w="954"/>
        <w:gridCol w:w="1114"/>
        <w:gridCol w:w="468"/>
        <w:gridCol w:w="917"/>
        <w:gridCol w:w="1066"/>
        <w:gridCol w:w="486"/>
        <w:gridCol w:w="954"/>
        <w:gridCol w:w="1114"/>
        <w:gridCol w:w="468"/>
        <w:gridCol w:w="917"/>
        <w:gridCol w:w="1066"/>
      </w:tblGrid>
      <w:tr w:rsidR="00B926FE" w:rsidRPr="003F7A38" w14:paraId="41ABE07E" w14:textId="77777777" w:rsidTr="005C60DC">
        <w:trPr>
          <w:cantSplit/>
          <w:tblHeader/>
        </w:trPr>
        <w:tc>
          <w:tcPr>
            <w:tcW w:w="1299" w:type="dxa"/>
            <w:tcBorders>
              <w:top w:val="single" w:sz="4" w:space="0" w:color="000000"/>
              <w:bottom w:val="nil"/>
            </w:tcBorders>
          </w:tcPr>
          <w:p w14:paraId="6A856047" w14:textId="77777777" w:rsidR="00B926FE" w:rsidRPr="00EF3D9B" w:rsidRDefault="00B926FE" w:rsidP="000A2491">
            <w:pPr>
              <w:pStyle w:val="TableText"/>
              <w:rPr>
                <w:b/>
              </w:rPr>
            </w:pPr>
          </w:p>
        </w:tc>
        <w:tc>
          <w:tcPr>
            <w:tcW w:w="5103" w:type="dxa"/>
            <w:gridSpan w:val="6"/>
            <w:tcBorders>
              <w:top w:val="single" w:sz="4" w:space="0" w:color="000000"/>
              <w:bottom w:val="single" w:sz="4" w:space="0" w:color="000000"/>
            </w:tcBorders>
          </w:tcPr>
          <w:p w14:paraId="19CB7D8E" w14:textId="77777777" w:rsidR="00B926FE" w:rsidRPr="00EF3D9B" w:rsidRDefault="00B926FE" w:rsidP="005C60DC">
            <w:pPr>
              <w:pStyle w:val="TableText"/>
              <w:jc w:val="center"/>
              <w:rPr>
                <w:b/>
              </w:rPr>
            </w:pPr>
            <w:r w:rsidRPr="00EF3D9B">
              <w:rPr>
                <w:b/>
                <w:bCs/>
              </w:rPr>
              <w:t>Transitioned ADF</w:t>
            </w:r>
            <w:r w:rsidR="005C60DC">
              <w:rPr>
                <w:b/>
                <w:bCs/>
              </w:rPr>
              <w:br/>
            </w:r>
            <w:r w:rsidRPr="00EF3D9B">
              <w:rPr>
                <w:b/>
                <w:bCs/>
              </w:rPr>
              <w:t>n=6116</w:t>
            </w:r>
          </w:p>
        </w:tc>
        <w:tc>
          <w:tcPr>
            <w:tcW w:w="5104" w:type="dxa"/>
            <w:gridSpan w:val="6"/>
            <w:tcBorders>
              <w:top w:val="single" w:sz="4" w:space="0" w:color="000000"/>
              <w:bottom w:val="single" w:sz="4" w:space="0" w:color="000000"/>
            </w:tcBorders>
          </w:tcPr>
          <w:p w14:paraId="2E9C6A6F" w14:textId="77777777" w:rsidR="00B926FE" w:rsidRPr="00EF3D9B" w:rsidRDefault="00B926FE" w:rsidP="005C60DC">
            <w:pPr>
              <w:pStyle w:val="TableText"/>
              <w:jc w:val="center"/>
              <w:rPr>
                <w:b/>
              </w:rPr>
            </w:pPr>
            <w:r w:rsidRPr="00EF3D9B">
              <w:rPr>
                <w:b/>
                <w:bCs/>
              </w:rPr>
              <w:t>2015 Regular ADF</w:t>
            </w:r>
            <w:r w:rsidR="005C60DC">
              <w:rPr>
                <w:b/>
                <w:bCs/>
              </w:rPr>
              <w:br/>
            </w:r>
            <w:r w:rsidRPr="00EF3D9B">
              <w:rPr>
                <w:b/>
                <w:bCs/>
              </w:rPr>
              <w:t>n=9042</w:t>
            </w:r>
          </w:p>
        </w:tc>
      </w:tr>
      <w:tr w:rsidR="00B926FE" w:rsidRPr="003F7A38" w14:paraId="77260D75" w14:textId="77777777" w:rsidTr="005C60DC">
        <w:trPr>
          <w:cantSplit/>
          <w:tblHeader/>
        </w:trPr>
        <w:tc>
          <w:tcPr>
            <w:tcW w:w="1299" w:type="dxa"/>
            <w:tcBorders>
              <w:top w:val="nil"/>
              <w:bottom w:val="nil"/>
            </w:tcBorders>
          </w:tcPr>
          <w:p w14:paraId="79D01624" w14:textId="77777777" w:rsidR="00B926FE" w:rsidRPr="00EF3D9B" w:rsidRDefault="00B926FE" w:rsidP="000A2491">
            <w:pPr>
              <w:pStyle w:val="TableText"/>
              <w:rPr>
                <w:b/>
              </w:rPr>
            </w:pPr>
          </w:p>
        </w:tc>
        <w:tc>
          <w:tcPr>
            <w:tcW w:w="2604" w:type="dxa"/>
            <w:gridSpan w:val="3"/>
            <w:tcBorders>
              <w:top w:val="single" w:sz="4" w:space="0" w:color="000000"/>
              <w:bottom w:val="single" w:sz="4" w:space="0" w:color="000000"/>
            </w:tcBorders>
          </w:tcPr>
          <w:p w14:paraId="3EEE5126" w14:textId="77777777" w:rsidR="00B926FE" w:rsidRPr="00EF3D9B" w:rsidRDefault="00B926FE" w:rsidP="005C60DC">
            <w:pPr>
              <w:pStyle w:val="TableText"/>
              <w:jc w:val="center"/>
              <w:rPr>
                <w:b/>
              </w:rPr>
            </w:pPr>
            <w:r w:rsidRPr="00EF3D9B">
              <w:rPr>
                <w:b/>
              </w:rPr>
              <w:t>No, did not talk on t</w:t>
            </w:r>
            <w:r>
              <w:rPr>
                <w:b/>
              </w:rPr>
              <w:t>he internet with peers or family.</w:t>
            </w:r>
            <w:r w:rsidR="005C60DC">
              <w:rPr>
                <w:b/>
              </w:rPr>
              <w:br/>
            </w:r>
            <w:r w:rsidRPr="00EF3D9B">
              <w:rPr>
                <w:b/>
              </w:rPr>
              <w:t>n=4000</w:t>
            </w:r>
          </w:p>
        </w:tc>
        <w:tc>
          <w:tcPr>
            <w:tcW w:w="2499" w:type="dxa"/>
            <w:gridSpan w:val="3"/>
            <w:tcBorders>
              <w:top w:val="single" w:sz="4" w:space="0" w:color="000000"/>
              <w:bottom w:val="single" w:sz="4" w:space="0" w:color="000000"/>
            </w:tcBorders>
          </w:tcPr>
          <w:p w14:paraId="57ABF233" w14:textId="77777777" w:rsidR="00B926FE" w:rsidRPr="00EF3D9B" w:rsidRDefault="00B926FE" w:rsidP="005C60DC">
            <w:pPr>
              <w:pStyle w:val="TableText"/>
              <w:jc w:val="center"/>
              <w:rPr>
                <w:b/>
              </w:rPr>
            </w:pPr>
            <w:r w:rsidRPr="00EF3D9B">
              <w:rPr>
                <w:b/>
              </w:rPr>
              <w:t xml:space="preserve">Yes, did talk on the </w:t>
            </w:r>
            <w:r>
              <w:rPr>
                <w:b/>
              </w:rPr>
              <w:t>internet</w:t>
            </w:r>
            <w:r w:rsidRPr="00EF3D9B">
              <w:rPr>
                <w:b/>
              </w:rPr>
              <w:t xml:space="preserve"> with peers or family</w:t>
            </w:r>
            <w:r>
              <w:rPr>
                <w:b/>
              </w:rPr>
              <w:t>.</w:t>
            </w:r>
            <w:r w:rsidR="005C60DC">
              <w:rPr>
                <w:b/>
              </w:rPr>
              <w:br/>
            </w:r>
            <w:r>
              <w:rPr>
                <w:b/>
              </w:rPr>
              <w:t>n=</w:t>
            </w:r>
            <w:r w:rsidRPr="00EF3D9B">
              <w:rPr>
                <w:b/>
              </w:rPr>
              <w:t>2041</w:t>
            </w:r>
          </w:p>
        </w:tc>
        <w:tc>
          <w:tcPr>
            <w:tcW w:w="2605" w:type="dxa"/>
            <w:gridSpan w:val="3"/>
            <w:tcBorders>
              <w:top w:val="single" w:sz="4" w:space="0" w:color="000000"/>
              <w:bottom w:val="single" w:sz="4" w:space="0" w:color="000000"/>
            </w:tcBorders>
          </w:tcPr>
          <w:p w14:paraId="7A776EBB" w14:textId="77777777" w:rsidR="00B926FE" w:rsidRPr="00EF3D9B" w:rsidRDefault="00B926FE" w:rsidP="005C60DC">
            <w:pPr>
              <w:pStyle w:val="TableText"/>
              <w:jc w:val="center"/>
              <w:rPr>
                <w:b/>
              </w:rPr>
            </w:pPr>
            <w:r w:rsidRPr="00EF3D9B">
              <w:rPr>
                <w:b/>
              </w:rPr>
              <w:t xml:space="preserve">No, did not talk on the </w:t>
            </w:r>
            <w:r>
              <w:rPr>
                <w:b/>
              </w:rPr>
              <w:t>internet</w:t>
            </w:r>
            <w:r w:rsidRPr="00EF3D9B">
              <w:rPr>
                <w:b/>
              </w:rPr>
              <w:t xml:space="preserve"> with peers or family</w:t>
            </w:r>
            <w:r>
              <w:rPr>
                <w:b/>
              </w:rPr>
              <w:t>.</w:t>
            </w:r>
            <w:r w:rsidR="005C60DC">
              <w:rPr>
                <w:b/>
              </w:rPr>
              <w:br/>
            </w:r>
            <w:r>
              <w:rPr>
                <w:b/>
              </w:rPr>
              <w:t>n=</w:t>
            </w:r>
            <w:r w:rsidRPr="00EF3D9B">
              <w:rPr>
                <w:b/>
              </w:rPr>
              <w:t>6202</w:t>
            </w:r>
          </w:p>
        </w:tc>
        <w:tc>
          <w:tcPr>
            <w:tcW w:w="2499" w:type="dxa"/>
            <w:gridSpan w:val="3"/>
            <w:tcBorders>
              <w:top w:val="single" w:sz="4" w:space="0" w:color="000000"/>
              <w:bottom w:val="single" w:sz="4" w:space="0" w:color="000000"/>
            </w:tcBorders>
          </w:tcPr>
          <w:p w14:paraId="52E004D4" w14:textId="77777777" w:rsidR="00B926FE" w:rsidRPr="00EF3D9B" w:rsidRDefault="00B926FE" w:rsidP="005C60DC">
            <w:pPr>
              <w:pStyle w:val="TableText"/>
              <w:jc w:val="center"/>
              <w:rPr>
                <w:b/>
              </w:rPr>
            </w:pPr>
            <w:r w:rsidRPr="00EF3D9B">
              <w:rPr>
                <w:b/>
              </w:rPr>
              <w:t xml:space="preserve">Yes, did talk on the </w:t>
            </w:r>
            <w:r>
              <w:rPr>
                <w:b/>
              </w:rPr>
              <w:t>internet</w:t>
            </w:r>
            <w:r w:rsidRPr="00EF3D9B">
              <w:rPr>
                <w:b/>
              </w:rPr>
              <w:t xml:space="preserve"> with peers or family</w:t>
            </w:r>
            <w:r>
              <w:rPr>
                <w:b/>
              </w:rPr>
              <w:t>.</w:t>
            </w:r>
            <w:r w:rsidR="005C60DC">
              <w:rPr>
                <w:b/>
              </w:rPr>
              <w:br/>
            </w:r>
            <w:r>
              <w:rPr>
                <w:b/>
              </w:rPr>
              <w:t>n=</w:t>
            </w:r>
            <w:r w:rsidRPr="00EF3D9B">
              <w:rPr>
                <w:b/>
              </w:rPr>
              <w:t>2768</w:t>
            </w:r>
          </w:p>
        </w:tc>
      </w:tr>
      <w:tr w:rsidR="005C60DC" w:rsidRPr="003F7A38" w14:paraId="6EE1F623" w14:textId="77777777" w:rsidTr="005C60DC">
        <w:trPr>
          <w:cantSplit/>
          <w:tblHeader/>
        </w:trPr>
        <w:tc>
          <w:tcPr>
            <w:tcW w:w="1299" w:type="dxa"/>
            <w:tcBorders>
              <w:top w:val="nil"/>
              <w:bottom w:val="single" w:sz="4" w:space="0" w:color="000000"/>
            </w:tcBorders>
          </w:tcPr>
          <w:p w14:paraId="09DF368C" w14:textId="77777777" w:rsidR="00B926FE" w:rsidRPr="00EF3D9B" w:rsidRDefault="00B926FE" w:rsidP="000A2491">
            <w:pPr>
              <w:pStyle w:val="TableText"/>
              <w:rPr>
                <w:b/>
              </w:rPr>
            </w:pPr>
            <w:r w:rsidRPr="002E0D19">
              <w:rPr>
                <w:b/>
              </w:rPr>
              <w:t>Type</w:t>
            </w:r>
          </w:p>
        </w:tc>
        <w:tc>
          <w:tcPr>
            <w:tcW w:w="492" w:type="dxa"/>
            <w:tcBorders>
              <w:top w:val="single" w:sz="4" w:space="0" w:color="000000"/>
              <w:bottom w:val="single" w:sz="4" w:space="0" w:color="000000"/>
            </w:tcBorders>
          </w:tcPr>
          <w:p w14:paraId="533C41D8" w14:textId="77777777" w:rsidR="00B926FE" w:rsidRPr="00EF3D9B" w:rsidRDefault="00B926FE" w:rsidP="000A2491">
            <w:pPr>
              <w:pStyle w:val="TableText"/>
              <w:jc w:val="right"/>
              <w:rPr>
                <w:b/>
              </w:rPr>
            </w:pPr>
            <w:r w:rsidRPr="00EF3D9B">
              <w:rPr>
                <w:b/>
              </w:rPr>
              <w:t>n</w:t>
            </w:r>
          </w:p>
        </w:tc>
        <w:tc>
          <w:tcPr>
            <w:tcW w:w="974" w:type="dxa"/>
            <w:tcBorders>
              <w:top w:val="single" w:sz="4" w:space="0" w:color="000000"/>
              <w:bottom w:val="single" w:sz="4" w:space="0" w:color="000000"/>
            </w:tcBorders>
          </w:tcPr>
          <w:p w14:paraId="49B6E305" w14:textId="77777777" w:rsidR="00B926FE" w:rsidRPr="00EF3D9B" w:rsidRDefault="00B926FE" w:rsidP="000A2491">
            <w:pPr>
              <w:pStyle w:val="TableText"/>
              <w:jc w:val="right"/>
              <w:rPr>
                <w:b/>
              </w:rPr>
            </w:pPr>
            <w:r w:rsidRPr="00EF3D9B">
              <w:rPr>
                <w:b/>
              </w:rPr>
              <w:t>Weighted n</w:t>
            </w:r>
          </w:p>
        </w:tc>
        <w:tc>
          <w:tcPr>
            <w:tcW w:w="1138" w:type="dxa"/>
            <w:tcBorders>
              <w:top w:val="single" w:sz="4" w:space="0" w:color="000000"/>
              <w:bottom w:val="single" w:sz="4" w:space="0" w:color="000000"/>
            </w:tcBorders>
          </w:tcPr>
          <w:p w14:paraId="083011B5" w14:textId="77777777" w:rsidR="00B926FE" w:rsidRPr="00EF3D9B" w:rsidRDefault="00B926FE" w:rsidP="000A2491">
            <w:pPr>
              <w:pStyle w:val="TableText"/>
              <w:jc w:val="right"/>
              <w:rPr>
                <w:b/>
              </w:rPr>
            </w:pPr>
            <w:r w:rsidRPr="00EF3D9B">
              <w:rPr>
                <w:b/>
              </w:rPr>
              <w:t>% (95%CI)</w:t>
            </w:r>
          </w:p>
        </w:tc>
        <w:tc>
          <w:tcPr>
            <w:tcW w:w="474" w:type="dxa"/>
            <w:tcBorders>
              <w:top w:val="single" w:sz="4" w:space="0" w:color="000000"/>
              <w:bottom w:val="single" w:sz="4" w:space="0" w:color="000000"/>
            </w:tcBorders>
          </w:tcPr>
          <w:p w14:paraId="37240CE5" w14:textId="77777777" w:rsidR="00B926FE" w:rsidRPr="00EF3D9B" w:rsidRDefault="00B926FE" w:rsidP="000A2491">
            <w:pPr>
              <w:pStyle w:val="TableText"/>
              <w:jc w:val="right"/>
              <w:rPr>
                <w:b/>
              </w:rPr>
            </w:pPr>
            <w:r w:rsidRPr="00EF3D9B">
              <w:rPr>
                <w:b/>
              </w:rPr>
              <w:t>n</w:t>
            </w:r>
          </w:p>
        </w:tc>
        <w:tc>
          <w:tcPr>
            <w:tcW w:w="936" w:type="dxa"/>
            <w:tcBorders>
              <w:top w:val="single" w:sz="4" w:space="0" w:color="000000"/>
              <w:bottom w:val="single" w:sz="4" w:space="0" w:color="000000"/>
            </w:tcBorders>
          </w:tcPr>
          <w:p w14:paraId="7D0F733F" w14:textId="77777777" w:rsidR="00B926FE" w:rsidRPr="00EF3D9B" w:rsidRDefault="00B926FE" w:rsidP="000A2491">
            <w:pPr>
              <w:pStyle w:val="TableText"/>
              <w:jc w:val="right"/>
              <w:rPr>
                <w:b/>
              </w:rPr>
            </w:pPr>
            <w:r w:rsidRPr="00EF3D9B">
              <w:rPr>
                <w:b/>
              </w:rPr>
              <w:t>Weighted n</w:t>
            </w:r>
          </w:p>
        </w:tc>
        <w:tc>
          <w:tcPr>
            <w:tcW w:w="1089" w:type="dxa"/>
            <w:tcBorders>
              <w:top w:val="single" w:sz="4" w:space="0" w:color="000000"/>
              <w:bottom w:val="single" w:sz="4" w:space="0" w:color="000000"/>
            </w:tcBorders>
          </w:tcPr>
          <w:p w14:paraId="54C531B8" w14:textId="77777777" w:rsidR="00B926FE" w:rsidRPr="00EF3D9B" w:rsidRDefault="00B926FE" w:rsidP="000A2491">
            <w:pPr>
              <w:pStyle w:val="TableText"/>
              <w:jc w:val="right"/>
              <w:rPr>
                <w:b/>
              </w:rPr>
            </w:pPr>
            <w:r w:rsidRPr="00EF3D9B">
              <w:rPr>
                <w:b/>
              </w:rPr>
              <w:t>% (95%CI)</w:t>
            </w:r>
          </w:p>
        </w:tc>
        <w:tc>
          <w:tcPr>
            <w:tcW w:w="493" w:type="dxa"/>
            <w:tcBorders>
              <w:top w:val="single" w:sz="4" w:space="0" w:color="000000"/>
              <w:bottom w:val="single" w:sz="4" w:space="0" w:color="000000"/>
            </w:tcBorders>
          </w:tcPr>
          <w:p w14:paraId="2C11472C" w14:textId="77777777" w:rsidR="00B926FE" w:rsidRPr="00EF3D9B" w:rsidRDefault="00B926FE" w:rsidP="000A2491">
            <w:pPr>
              <w:pStyle w:val="TableText"/>
              <w:jc w:val="right"/>
              <w:rPr>
                <w:b/>
              </w:rPr>
            </w:pPr>
            <w:r w:rsidRPr="00EF3D9B">
              <w:rPr>
                <w:b/>
              </w:rPr>
              <w:t>n</w:t>
            </w:r>
          </w:p>
        </w:tc>
        <w:tc>
          <w:tcPr>
            <w:tcW w:w="974" w:type="dxa"/>
            <w:tcBorders>
              <w:top w:val="single" w:sz="4" w:space="0" w:color="000000"/>
              <w:bottom w:val="single" w:sz="4" w:space="0" w:color="000000"/>
            </w:tcBorders>
          </w:tcPr>
          <w:p w14:paraId="2DE428F8" w14:textId="77777777" w:rsidR="00B926FE" w:rsidRPr="00EF3D9B" w:rsidRDefault="00B926FE" w:rsidP="000A2491">
            <w:pPr>
              <w:pStyle w:val="TableText"/>
              <w:jc w:val="right"/>
              <w:rPr>
                <w:b/>
              </w:rPr>
            </w:pPr>
            <w:r w:rsidRPr="00EF3D9B">
              <w:rPr>
                <w:b/>
              </w:rPr>
              <w:t>Weighted n</w:t>
            </w:r>
          </w:p>
        </w:tc>
        <w:tc>
          <w:tcPr>
            <w:tcW w:w="1138" w:type="dxa"/>
            <w:tcBorders>
              <w:top w:val="single" w:sz="4" w:space="0" w:color="000000"/>
              <w:bottom w:val="single" w:sz="4" w:space="0" w:color="000000"/>
            </w:tcBorders>
          </w:tcPr>
          <w:p w14:paraId="25047E99" w14:textId="77777777" w:rsidR="00B926FE" w:rsidRPr="00EF3D9B" w:rsidRDefault="00B926FE" w:rsidP="000A2491">
            <w:pPr>
              <w:pStyle w:val="TableText"/>
              <w:jc w:val="right"/>
              <w:rPr>
                <w:b/>
              </w:rPr>
            </w:pPr>
            <w:r w:rsidRPr="00EF3D9B">
              <w:rPr>
                <w:b/>
              </w:rPr>
              <w:t>% (95%CI)</w:t>
            </w:r>
          </w:p>
        </w:tc>
        <w:tc>
          <w:tcPr>
            <w:tcW w:w="474" w:type="dxa"/>
            <w:tcBorders>
              <w:top w:val="single" w:sz="4" w:space="0" w:color="000000"/>
              <w:bottom w:val="single" w:sz="4" w:space="0" w:color="000000"/>
            </w:tcBorders>
          </w:tcPr>
          <w:p w14:paraId="38797884" w14:textId="77777777" w:rsidR="00B926FE" w:rsidRPr="00EF3D9B" w:rsidRDefault="00B926FE" w:rsidP="000A2491">
            <w:pPr>
              <w:pStyle w:val="TableText"/>
              <w:jc w:val="right"/>
              <w:rPr>
                <w:b/>
              </w:rPr>
            </w:pPr>
            <w:r w:rsidRPr="00EF3D9B">
              <w:rPr>
                <w:b/>
              </w:rPr>
              <w:t>n</w:t>
            </w:r>
          </w:p>
        </w:tc>
        <w:tc>
          <w:tcPr>
            <w:tcW w:w="936" w:type="dxa"/>
            <w:tcBorders>
              <w:top w:val="single" w:sz="4" w:space="0" w:color="000000"/>
              <w:bottom w:val="single" w:sz="4" w:space="0" w:color="000000"/>
            </w:tcBorders>
          </w:tcPr>
          <w:p w14:paraId="27113DFD" w14:textId="77777777" w:rsidR="00B926FE" w:rsidRPr="00EF3D9B" w:rsidRDefault="00B926FE" w:rsidP="000A2491">
            <w:pPr>
              <w:pStyle w:val="TableText"/>
              <w:jc w:val="right"/>
              <w:rPr>
                <w:b/>
              </w:rPr>
            </w:pPr>
            <w:r w:rsidRPr="00EF3D9B">
              <w:rPr>
                <w:b/>
              </w:rPr>
              <w:t>Weighted n</w:t>
            </w:r>
          </w:p>
        </w:tc>
        <w:tc>
          <w:tcPr>
            <w:tcW w:w="1089" w:type="dxa"/>
            <w:tcBorders>
              <w:top w:val="single" w:sz="4" w:space="0" w:color="000000"/>
              <w:bottom w:val="single" w:sz="4" w:space="0" w:color="000000"/>
            </w:tcBorders>
          </w:tcPr>
          <w:p w14:paraId="5B83EB2D" w14:textId="77777777" w:rsidR="00B926FE" w:rsidRPr="00EF3D9B" w:rsidRDefault="00B926FE" w:rsidP="000A2491">
            <w:pPr>
              <w:pStyle w:val="TableText"/>
              <w:jc w:val="right"/>
              <w:rPr>
                <w:b/>
              </w:rPr>
            </w:pPr>
            <w:r w:rsidRPr="00EF3D9B">
              <w:rPr>
                <w:b/>
              </w:rPr>
              <w:t>% (95%CI)</w:t>
            </w:r>
          </w:p>
        </w:tc>
      </w:tr>
      <w:tr w:rsidR="00B926FE" w:rsidRPr="003F7A38" w14:paraId="09433EF4"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Borders>
              <w:top w:val="single" w:sz="4" w:space="0" w:color="000000"/>
            </w:tcBorders>
          </w:tcPr>
          <w:p w14:paraId="6DAC7FEB" w14:textId="77777777" w:rsidR="00B926FE" w:rsidRPr="00EF3D9B" w:rsidRDefault="00B926FE" w:rsidP="000A2491">
            <w:pPr>
              <w:pStyle w:val="TableText"/>
              <w:rPr>
                <w:b/>
              </w:rPr>
            </w:pPr>
            <w:r w:rsidRPr="00EF3D9B">
              <w:rPr>
                <w:b/>
                <w:bCs/>
                <w:color w:val="000000" w:themeColor="text1"/>
              </w:rPr>
              <w:t>Probable 30-day disorder</w:t>
            </w:r>
          </w:p>
        </w:tc>
        <w:tc>
          <w:tcPr>
            <w:tcW w:w="492" w:type="dxa"/>
            <w:tcBorders>
              <w:top w:val="single" w:sz="4" w:space="0" w:color="000000"/>
            </w:tcBorders>
          </w:tcPr>
          <w:p w14:paraId="0DB44718" w14:textId="77777777" w:rsidR="00B926FE" w:rsidRPr="003F7A38" w:rsidRDefault="00B926FE" w:rsidP="000A2491">
            <w:pPr>
              <w:pStyle w:val="TableText"/>
              <w:jc w:val="right"/>
            </w:pPr>
          </w:p>
        </w:tc>
        <w:tc>
          <w:tcPr>
            <w:tcW w:w="974" w:type="dxa"/>
            <w:tcBorders>
              <w:top w:val="single" w:sz="4" w:space="0" w:color="000000"/>
            </w:tcBorders>
          </w:tcPr>
          <w:p w14:paraId="58182CC6" w14:textId="77777777" w:rsidR="00B926FE" w:rsidRPr="003F7A38" w:rsidRDefault="00B926FE" w:rsidP="000A2491">
            <w:pPr>
              <w:pStyle w:val="TableText"/>
              <w:jc w:val="right"/>
            </w:pPr>
          </w:p>
        </w:tc>
        <w:tc>
          <w:tcPr>
            <w:tcW w:w="1138" w:type="dxa"/>
            <w:tcBorders>
              <w:top w:val="single" w:sz="4" w:space="0" w:color="000000"/>
            </w:tcBorders>
          </w:tcPr>
          <w:p w14:paraId="327A8597" w14:textId="77777777" w:rsidR="00B926FE" w:rsidRPr="003F7A38" w:rsidRDefault="00B926FE" w:rsidP="000A2491">
            <w:pPr>
              <w:pStyle w:val="TableText"/>
              <w:jc w:val="right"/>
            </w:pPr>
          </w:p>
        </w:tc>
        <w:tc>
          <w:tcPr>
            <w:tcW w:w="474" w:type="dxa"/>
            <w:tcBorders>
              <w:top w:val="single" w:sz="4" w:space="0" w:color="000000"/>
            </w:tcBorders>
          </w:tcPr>
          <w:p w14:paraId="2163CDA5" w14:textId="77777777" w:rsidR="00B926FE" w:rsidRPr="003F7A38" w:rsidRDefault="00B926FE" w:rsidP="000A2491">
            <w:pPr>
              <w:pStyle w:val="TableText"/>
              <w:jc w:val="right"/>
            </w:pPr>
          </w:p>
        </w:tc>
        <w:tc>
          <w:tcPr>
            <w:tcW w:w="936" w:type="dxa"/>
            <w:tcBorders>
              <w:top w:val="single" w:sz="4" w:space="0" w:color="000000"/>
            </w:tcBorders>
          </w:tcPr>
          <w:p w14:paraId="0CD4F9FA" w14:textId="77777777" w:rsidR="00B926FE" w:rsidRPr="003F7A38" w:rsidRDefault="00B926FE" w:rsidP="000A2491">
            <w:pPr>
              <w:pStyle w:val="TableText"/>
              <w:jc w:val="right"/>
            </w:pPr>
          </w:p>
        </w:tc>
        <w:tc>
          <w:tcPr>
            <w:tcW w:w="1089" w:type="dxa"/>
            <w:tcBorders>
              <w:top w:val="single" w:sz="4" w:space="0" w:color="000000"/>
            </w:tcBorders>
          </w:tcPr>
          <w:p w14:paraId="6186A6CA" w14:textId="77777777" w:rsidR="00B926FE" w:rsidRPr="003F7A38" w:rsidRDefault="00B926FE" w:rsidP="000A2491">
            <w:pPr>
              <w:pStyle w:val="TableText"/>
              <w:jc w:val="right"/>
            </w:pPr>
          </w:p>
        </w:tc>
        <w:tc>
          <w:tcPr>
            <w:tcW w:w="493" w:type="dxa"/>
            <w:tcBorders>
              <w:top w:val="single" w:sz="4" w:space="0" w:color="000000"/>
            </w:tcBorders>
          </w:tcPr>
          <w:p w14:paraId="05B96B5A" w14:textId="77777777" w:rsidR="00B926FE" w:rsidRPr="003F7A38" w:rsidRDefault="00B926FE" w:rsidP="000A2491">
            <w:pPr>
              <w:pStyle w:val="TableText"/>
              <w:jc w:val="right"/>
            </w:pPr>
          </w:p>
        </w:tc>
        <w:tc>
          <w:tcPr>
            <w:tcW w:w="974" w:type="dxa"/>
            <w:tcBorders>
              <w:top w:val="single" w:sz="4" w:space="0" w:color="000000"/>
            </w:tcBorders>
          </w:tcPr>
          <w:p w14:paraId="3558189D" w14:textId="77777777" w:rsidR="00B926FE" w:rsidRPr="003F7A38" w:rsidRDefault="00B926FE" w:rsidP="000A2491">
            <w:pPr>
              <w:pStyle w:val="TableText"/>
              <w:jc w:val="right"/>
            </w:pPr>
          </w:p>
        </w:tc>
        <w:tc>
          <w:tcPr>
            <w:tcW w:w="1138" w:type="dxa"/>
            <w:tcBorders>
              <w:top w:val="single" w:sz="4" w:space="0" w:color="000000"/>
            </w:tcBorders>
          </w:tcPr>
          <w:p w14:paraId="0FB50C5D" w14:textId="77777777" w:rsidR="00B926FE" w:rsidRPr="003F7A38" w:rsidRDefault="00B926FE" w:rsidP="000A2491">
            <w:pPr>
              <w:pStyle w:val="TableText"/>
              <w:jc w:val="right"/>
            </w:pPr>
          </w:p>
        </w:tc>
        <w:tc>
          <w:tcPr>
            <w:tcW w:w="474" w:type="dxa"/>
            <w:tcBorders>
              <w:top w:val="single" w:sz="4" w:space="0" w:color="000000"/>
            </w:tcBorders>
          </w:tcPr>
          <w:p w14:paraId="2FA810A5" w14:textId="77777777" w:rsidR="00B926FE" w:rsidRPr="003F7A38" w:rsidRDefault="00B926FE" w:rsidP="000A2491">
            <w:pPr>
              <w:pStyle w:val="TableText"/>
              <w:jc w:val="right"/>
            </w:pPr>
          </w:p>
        </w:tc>
        <w:tc>
          <w:tcPr>
            <w:tcW w:w="936" w:type="dxa"/>
            <w:tcBorders>
              <w:top w:val="single" w:sz="4" w:space="0" w:color="000000"/>
            </w:tcBorders>
          </w:tcPr>
          <w:p w14:paraId="5D936102" w14:textId="77777777" w:rsidR="00B926FE" w:rsidRPr="003F7A38" w:rsidRDefault="00B926FE" w:rsidP="000A2491">
            <w:pPr>
              <w:pStyle w:val="TableText"/>
              <w:jc w:val="right"/>
            </w:pPr>
          </w:p>
        </w:tc>
        <w:tc>
          <w:tcPr>
            <w:tcW w:w="1089" w:type="dxa"/>
            <w:tcBorders>
              <w:top w:val="single" w:sz="4" w:space="0" w:color="000000"/>
            </w:tcBorders>
          </w:tcPr>
          <w:p w14:paraId="79FD661C" w14:textId="77777777" w:rsidR="00B926FE" w:rsidRPr="003F7A38" w:rsidRDefault="00B926FE" w:rsidP="000A2491">
            <w:pPr>
              <w:pStyle w:val="TableText"/>
              <w:jc w:val="right"/>
            </w:pPr>
          </w:p>
        </w:tc>
      </w:tr>
      <w:tr w:rsidR="005C60DC" w:rsidRPr="003F7A38" w14:paraId="56BBF54C" w14:textId="77777777" w:rsidTr="005C60DC">
        <w:trPr>
          <w:cantSplit/>
        </w:trPr>
        <w:tc>
          <w:tcPr>
            <w:tcW w:w="1299" w:type="dxa"/>
          </w:tcPr>
          <w:p w14:paraId="73D2D700" w14:textId="77777777" w:rsidR="00B926FE" w:rsidRPr="00EF3D9B" w:rsidRDefault="00B926FE" w:rsidP="000A2491">
            <w:pPr>
              <w:pStyle w:val="TableText"/>
              <w:rPr>
                <w:bCs/>
                <w:color w:val="000000" w:themeColor="text1"/>
              </w:rPr>
            </w:pPr>
            <w:r w:rsidRPr="00EF3D9B">
              <w:rPr>
                <w:bCs/>
                <w:color w:val="000000" w:themeColor="text1"/>
              </w:rPr>
              <w:t>Yes</w:t>
            </w:r>
          </w:p>
        </w:tc>
        <w:tc>
          <w:tcPr>
            <w:tcW w:w="492" w:type="dxa"/>
          </w:tcPr>
          <w:p w14:paraId="7A8F1C53" w14:textId="77777777" w:rsidR="00B926FE" w:rsidRPr="00FA276E" w:rsidRDefault="00B926FE" w:rsidP="000A2491">
            <w:pPr>
              <w:pStyle w:val="TableText"/>
              <w:jc w:val="right"/>
            </w:pPr>
            <w:r w:rsidRPr="00FA276E">
              <w:t>244</w:t>
            </w:r>
          </w:p>
        </w:tc>
        <w:tc>
          <w:tcPr>
            <w:tcW w:w="974" w:type="dxa"/>
          </w:tcPr>
          <w:p w14:paraId="5F3E89C5" w14:textId="77777777" w:rsidR="00B926FE" w:rsidRPr="00FA276E" w:rsidRDefault="00B926FE" w:rsidP="000A2491">
            <w:pPr>
              <w:pStyle w:val="TableText"/>
              <w:jc w:val="right"/>
            </w:pPr>
            <w:r w:rsidRPr="00FA276E">
              <w:t>1672</w:t>
            </w:r>
          </w:p>
        </w:tc>
        <w:tc>
          <w:tcPr>
            <w:tcW w:w="1138" w:type="dxa"/>
          </w:tcPr>
          <w:p w14:paraId="7D3840E0" w14:textId="77777777" w:rsidR="00B926FE" w:rsidRPr="00FA276E" w:rsidRDefault="00B926FE" w:rsidP="000A2491">
            <w:pPr>
              <w:pStyle w:val="TableText"/>
              <w:jc w:val="right"/>
            </w:pPr>
            <w:r w:rsidRPr="00FA276E">
              <w:t>61.9 (55.7</w:t>
            </w:r>
            <w:r>
              <w:t xml:space="preserve">, </w:t>
            </w:r>
            <w:r w:rsidRPr="00FA276E">
              <w:t>67.7)</w:t>
            </w:r>
          </w:p>
        </w:tc>
        <w:tc>
          <w:tcPr>
            <w:tcW w:w="474" w:type="dxa"/>
          </w:tcPr>
          <w:p w14:paraId="721DCA4E" w14:textId="77777777" w:rsidR="00B926FE" w:rsidRPr="00FA276E" w:rsidRDefault="00B926FE" w:rsidP="000A2491">
            <w:pPr>
              <w:pStyle w:val="TableText"/>
              <w:jc w:val="right"/>
            </w:pPr>
            <w:r w:rsidRPr="00FA276E">
              <w:t>141</w:t>
            </w:r>
          </w:p>
        </w:tc>
        <w:tc>
          <w:tcPr>
            <w:tcW w:w="936" w:type="dxa"/>
          </w:tcPr>
          <w:p w14:paraId="7BE71921" w14:textId="77777777" w:rsidR="00B926FE" w:rsidRPr="00FA276E" w:rsidRDefault="00B926FE" w:rsidP="000A2491">
            <w:pPr>
              <w:pStyle w:val="TableText"/>
              <w:jc w:val="right"/>
            </w:pPr>
            <w:r w:rsidRPr="00FA276E">
              <w:t>1005</w:t>
            </w:r>
          </w:p>
        </w:tc>
        <w:tc>
          <w:tcPr>
            <w:tcW w:w="1089" w:type="dxa"/>
          </w:tcPr>
          <w:p w14:paraId="6BBBFE7F" w14:textId="77777777" w:rsidR="00B926FE" w:rsidRPr="00FA276E" w:rsidRDefault="00B926FE" w:rsidP="000A2491">
            <w:pPr>
              <w:pStyle w:val="TableText"/>
              <w:jc w:val="right"/>
            </w:pPr>
            <w:r w:rsidRPr="00FA276E">
              <w:t>37.2 (31.4</w:t>
            </w:r>
            <w:r>
              <w:t xml:space="preserve">, </w:t>
            </w:r>
            <w:r w:rsidRPr="00FA276E">
              <w:t>43.4)</w:t>
            </w:r>
          </w:p>
        </w:tc>
        <w:tc>
          <w:tcPr>
            <w:tcW w:w="493" w:type="dxa"/>
          </w:tcPr>
          <w:p w14:paraId="261F438D" w14:textId="77777777" w:rsidR="00B926FE" w:rsidRPr="00FA276E" w:rsidRDefault="00B926FE" w:rsidP="000A2491">
            <w:pPr>
              <w:pStyle w:val="TableText"/>
              <w:jc w:val="right"/>
            </w:pPr>
            <w:r w:rsidRPr="00FA276E">
              <w:t>179</w:t>
            </w:r>
          </w:p>
        </w:tc>
        <w:tc>
          <w:tcPr>
            <w:tcW w:w="974" w:type="dxa"/>
          </w:tcPr>
          <w:p w14:paraId="186F43FA" w14:textId="77777777" w:rsidR="00B926FE" w:rsidRPr="00FA276E" w:rsidRDefault="00B926FE" w:rsidP="000A2491">
            <w:pPr>
              <w:pStyle w:val="TableText"/>
              <w:jc w:val="right"/>
            </w:pPr>
            <w:r w:rsidRPr="00FA276E">
              <w:t>1073</w:t>
            </w:r>
          </w:p>
        </w:tc>
        <w:tc>
          <w:tcPr>
            <w:tcW w:w="1138" w:type="dxa"/>
          </w:tcPr>
          <w:p w14:paraId="7F8F99CB" w14:textId="77777777" w:rsidR="00B926FE" w:rsidRPr="00FA276E" w:rsidRDefault="00B926FE" w:rsidP="000A2491">
            <w:pPr>
              <w:pStyle w:val="TableText"/>
              <w:jc w:val="right"/>
            </w:pPr>
            <w:r w:rsidRPr="00FA276E">
              <w:t>61.9 (39.4</w:t>
            </w:r>
            <w:r>
              <w:t xml:space="preserve">, </w:t>
            </w:r>
            <w:r w:rsidRPr="00FA276E">
              <w:t>80.3)</w:t>
            </w:r>
          </w:p>
        </w:tc>
        <w:tc>
          <w:tcPr>
            <w:tcW w:w="474" w:type="dxa"/>
          </w:tcPr>
          <w:p w14:paraId="430C07FE" w14:textId="77777777" w:rsidR="00B926FE" w:rsidRPr="00FA276E" w:rsidRDefault="00B926FE" w:rsidP="000A2491">
            <w:pPr>
              <w:pStyle w:val="TableText"/>
              <w:jc w:val="right"/>
            </w:pPr>
            <w:r w:rsidRPr="00FA276E">
              <w:t>97</w:t>
            </w:r>
          </w:p>
        </w:tc>
        <w:tc>
          <w:tcPr>
            <w:tcW w:w="936" w:type="dxa"/>
          </w:tcPr>
          <w:p w14:paraId="3F9B6FDE" w14:textId="77777777" w:rsidR="00B926FE" w:rsidRPr="00FA276E" w:rsidRDefault="00B926FE" w:rsidP="000A2491">
            <w:pPr>
              <w:pStyle w:val="TableText"/>
              <w:jc w:val="right"/>
            </w:pPr>
            <w:r w:rsidRPr="00FA276E">
              <w:t>641</w:t>
            </w:r>
          </w:p>
        </w:tc>
        <w:tc>
          <w:tcPr>
            <w:tcW w:w="1089" w:type="dxa"/>
          </w:tcPr>
          <w:p w14:paraId="491F7442" w14:textId="77777777" w:rsidR="00B926FE" w:rsidRPr="00FA276E" w:rsidRDefault="00B926FE" w:rsidP="000A2491">
            <w:pPr>
              <w:pStyle w:val="TableText"/>
              <w:jc w:val="right"/>
            </w:pPr>
            <w:r w:rsidRPr="00FA276E">
              <w:t>37.0 (18.9</w:t>
            </w:r>
            <w:r>
              <w:t xml:space="preserve">, </w:t>
            </w:r>
            <w:r w:rsidRPr="00FA276E">
              <w:t>59.8)</w:t>
            </w:r>
          </w:p>
        </w:tc>
      </w:tr>
      <w:tr w:rsidR="00B926FE" w:rsidRPr="003F7A38" w14:paraId="67F814C4"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03BE3EFA" w14:textId="77777777" w:rsidR="00B926FE" w:rsidRPr="00EF3D9B" w:rsidRDefault="00B926FE" w:rsidP="000A2491">
            <w:pPr>
              <w:pStyle w:val="TableText"/>
              <w:rPr>
                <w:bCs/>
                <w:color w:val="000000" w:themeColor="text1"/>
              </w:rPr>
            </w:pPr>
            <w:r w:rsidRPr="00EF3D9B">
              <w:rPr>
                <w:bCs/>
                <w:color w:val="000000" w:themeColor="text1"/>
              </w:rPr>
              <w:t>No</w:t>
            </w:r>
          </w:p>
        </w:tc>
        <w:tc>
          <w:tcPr>
            <w:tcW w:w="492" w:type="dxa"/>
          </w:tcPr>
          <w:p w14:paraId="3482B28C" w14:textId="77777777" w:rsidR="00B926FE" w:rsidRPr="00FA276E" w:rsidRDefault="00B926FE" w:rsidP="000A2491">
            <w:pPr>
              <w:pStyle w:val="TableText"/>
              <w:jc w:val="right"/>
            </w:pPr>
            <w:r w:rsidRPr="00FA276E">
              <w:t>333</w:t>
            </w:r>
          </w:p>
        </w:tc>
        <w:tc>
          <w:tcPr>
            <w:tcW w:w="974" w:type="dxa"/>
          </w:tcPr>
          <w:p w14:paraId="15086168" w14:textId="77777777" w:rsidR="00B926FE" w:rsidRPr="00FA276E" w:rsidRDefault="00B926FE" w:rsidP="000A2491">
            <w:pPr>
              <w:pStyle w:val="TableText"/>
              <w:jc w:val="right"/>
            </w:pPr>
            <w:r w:rsidRPr="00FA276E">
              <w:t>2328</w:t>
            </w:r>
          </w:p>
        </w:tc>
        <w:tc>
          <w:tcPr>
            <w:tcW w:w="1138" w:type="dxa"/>
          </w:tcPr>
          <w:p w14:paraId="7D8D7D43" w14:textId="77777777" w:rsidR="00B926FE" w:rsidRPr="00FA276E" w:rsidRDefault="00B926FE" w:rsidP="000A2491">
            <w:pPr>
              <w:pStyle w:val="TableText"/>
              <w:jc w:val="right"/>
            </w:pPr>
            <w:r w:rsidRPr="00FA276E">
              <w:t>68.2 (62.4</w:t>
            </w:r>
            <w:r>
              <w:t xml:space="preserve">, </w:t>
            </w:r>
            <w:r w:rsidRPr="00FA276E">
              <w:t>73.5)</w:t>
            </w:r>
          </w:p>
        </w:tc>
        <w:tc>
          <w:tcPr>
            <w:tcW w:w="474" w:type="dxa"/>
          </w:tcPr>
          <w:p w14:paraId="380B732B" w14:textId="77777777" w:rsidR="00B926FE" w:rsidRPr="00FA276E" w:rsidRDefault="00B926FE" w:rsidP="000A2491">
            <w:pPr>
              <w:pStyle w:val="TableText"/>
              <w:jc w:val="right"/>
            </w:pPr>
            <w:r w:rsidRPr="00FA276E">
              <w:t>128</w:t>
            </w:r>
          </w:p>
        </w:tc>
        <w:tc>
          <w:tcPr>
            <w:tcW w:w="936" w:type="dxa"/>
          </w:tcPr>
          <w:p w14:paraId="2A4E0DF7" w14:textId="77777777" w:rsidR="00B926FE" w:rsidRPr="00FA276E" w:rsidRDefault="00B926FE" w:rsidP="000A2491">
            <w:pPr>
              <w:pStyle w:val="TableText"/>
              <w:jc w:val="right"/>
            </w:pPr>
            <w:r w:rsidRPr="00FA276E">
              <w:t>1037</w:t>
            </w:r>
          </w:p>
        </w:tc>
        <w:tc>
          <w:tcPr>
            <w:tcW w:w="1089" w:type="dxa"/>
          </w:tcPr>
          <w:p w14:paraId="0F7A924D" w14:textId="77777777" w:rsidR="00B926FE" w:rsidRPr="00FA276E" w:rsidRDefault="00B926FE" w:rsidP="000A2491">
            <w:pPr>
              <w:pStyle w:val="TableText"/>
              <w:jc w:val="right"/>
            </w:pPr>
            <w:r w:rsidRPr="00FA276E">
              <w:t>30.4 (25.1</w:t>
            </w:r>
            <w:r>
              <w:t xml:space="preserve">, </w:t>
            </w:r>
            <w:r w:rsidRPr="00FA276E">
              <w:t>36.2)</w:t>
            </w:r>
          </w:p>
        </w:tc>
        <w:tc>
          <w:tcPr>
            <w:tcW w:w="493" w:type="dxa"/>
          </w:tcPr>
          <w:p w14:paraId="6C4B5815" w14:textId="77777777" w:rsidR="00B926FE" w:rsidRPr="00FA276E" w:rsidRDefault="00B926FE" w:rsidP="000A2491">
            <w:pPr>
              <w:pStyle w:val="TableText"/>
              <w:jc w:val="right"/>
            </w:pPr>
            <w:r w:rsidRPr="00FA276E">
              <w:t>844</w:t>
            </w:r>
          </w:p>
        </w:tc>
        <w:tc>
          <w:tcPr>
            <w:tcW w:w="974" w:type="dxa"/>
          </w:tcPr>
          <w:p w14:paraId="217EFBBE" w14:textId="77777777" w:rsidR="00B926FE" w:rsidRPr="00FA276E" w:rsidRDefault="00B926FE" w:rsidP="000A2491">
            <w:pPr>
              <w:pStyle w:val="TableText"/>
              <w:jc w:val="right"/>
            </w:pPr>
            <w:r w:rsidRPr="00FA276E">
              <w:t>5129</w:t>
            </w:r>
          </w:p>
        </w:tc>
        <w:tc>
          <w:tcPr>
            <w:tcW w:w="1138" w:type="dxa"/>
          </w:tcPr>
          <w:p w14:paraId="1F8C60E5" w14:textId="77777777" w:rsidR="00B926FE" w:rsidRPr="00FA276E" w:rsidRDefault="00B926FE" w:rsidP="000A2491">
            <w:pPr>
              <w:pStyle w:val="TableText"/>
              <w:jc w:val="right"/>
            </w:pPr>
            <w:r w:rsidRPr="00FA276E">
              <w:t>70.2 (59.0</w:t>
            </w:r>
            <w:r>
              <w:t xml:space="preserve">, </w:t>
            </w:r>
            <w:r w:rsidRPr="00FA276E">
              <w:t>79.4)</w:t>
            </w:r>
          </w:p>
        </w:tc>
        <w:tc>
          <w:tcPr>
            <w:tcW w:w="474" w:type="dxa"/>
          </w:tcPr>
          <w:p w14:paraId="676E05DC" w14:textId="77777777" w:rsidR="00B926FE" w:rsidRPr="00FA276E" w:rsidRDefault="00B926FE" w:rsidP="000A2491">
            <w:pPr>
              <w:pStyle w:val="TableText"/>
              <w:jc w:val="right"/>
            </w:pPr>
            <w:r w:rsidRPr="00FA276E">
              <w:t>298</w:t>
            </w:r>
          </w:p>
        </w:tc>
        <w:tc>
          <w:tcPr>
            <w:tcW w:w="936" w:type="dxa"/>
          </w:tcPr>
          <w:p w14:paraId="02E3AC81" w14:textId="77777777" w:rsidR="00B926FE" w:rsidRPr="00FA276E" w:rsidRDefault="00B926FE" w:rsidP="000A2491">
            <w:pPr>
              <w:pStyle w:val="TableText"/>
              <w:jc w:val="right"/>
            </w:pPr>
            <w:r w:rsidRPr="00FA276E">
              <w:t>2126</w:t>
            </w:r>
          </w:p>
        </w:tc>
        <w:tc>
          <w:tcPr>
            <w:tcW w:w="1089" w:type="dxa"/>
          </w:tcPr>
          <w:p w14:paraId="735D93B2" w14:textId="77777777" w:rsidR="00B926FE" w:rsidRPr="00FA276E" w:rsidRDefault="00B926FE" w:rsidP="000A2491">
            <w:pPr>
              <w:pStyle w:val="TableText"/>
              <w:jc w:val="right"/>
            </w:pPr>
            <w:r w:rsidRPr="00FA276E">
              <w:t>29.1 (19.9</w:t>
            </w:r>
            <w:r>
              <w:t xml:space="preserve">, </w:t>
            </w:r>
            <w:r w:rsidRPr="00FA276E">
              <w:t>40.4)</w:t>
            </w:r>
          </w:p>
        </w:tc>
      </w:tr>
      <w:tr w:rsidR="005C60DC" w:rsidRPr="003F7A38" w14:paraId="0FA6DFBE" w14:textId="77777777" w:rsidTr="005C60DC">
        <w:trPr>
          <w:cantSplit/>
        </w:trPr>
        <w:tc>
          <w:tcPr>
            <w:tcW w:w="1299" w:type="dxa"/>
          </w:tcPr>
          <w:p w14:paraId="334192C6" w14:textId="77777777" w:rsidR="00B926FE" w:rsidRPr="00EF3D9B" w:rsidRDefault="00B926FE" w:rsidP="000A2491">
            <w:pPr>
              <w:pStyle w:val="TableText"/>
              <w:rPr>
                <w:b/>
                <w:bCs/>
                <w:color w:val="000000" w:themeColor="text1"/>
              </w:rPr>
            </w:pPr>
            <w:r w:rsidRPr="00EF3D9B">
              <w:rPr>
                <w:b/>
                <w:bCs/>
                <w:color w:val="000000" w:themeColor="text1"/>
              </w:rPr>
              <w:t>Sex</w:t>
            </w:r>
          </w:p>
        </w:tc>
        <w:tc>
          <w:tcPr>
            <w:tcW w:w="492" w:type="dxa"/>
          </w:tcPr>
          <w:p w14:paraId="75A87B29" w14:textId="77777777" w:rsidR="00B926FE" w:rsidRPr="00FA276E" w:rsidRDefault="00B926FE" w:rsidP="000A2491">
            <w:pPr>
              <w:pStyle w:val="TableText"/>
              <w:jc w:val="right"/>
            </w:pPr>
          </w:p>
        </w:tc>
        <w:tc>
          <w:tcPr>
            <w:tcW w:w="974" w:type="dxa"/>
          </w:tcPr>
          <w:p w14:paraId="5B89CDCD" w14:textId="77777777" w:rsidR="00B926FE" w:rsidRPr="00FA276E" w:rsidRDefault="00B926FE" w:rsidP="000A2491">
            <w:pPr>
              <w:pStyle w:val="TableText"/>
              <w:jc w:val="right"/>
            </w:pPr>
          </w:p>
        </w:tc>
        <w:tc>
          <w:tcPr>
            <w:tcW w:w="1138" w:type="dxa"/>
          </w:tcPr>
          <w:p w14:paraId="50A91FB1" w14:textId="77777777" w:rsidR="00B926FE" w:rsidRPr="00FA276E" w:rsidRDefault="00B926FE" w:rsidP="000A2491">
            <w:pPr>
              <w:pStyle w:val="TableText"/>
              <w:jc w:val="right"/>
            </w:pPr>
          </w:p>
        </w:tc>
        <w:tc>
          <w:tcPr>
            <w:tcW w:w="474" w:type="dxa"/>
          </w:tcPr>
          <w:p w14:paraId="0331AA90" w14:textId="77777777" w:rsidR="00B926FE" w:rsidRPr="00FA276E" w:rsidRDefault="00B926FE" w:rsidP="000A2491">
            <w:pPr>
              <w:pStyle w:val="TableText"/>
              <w:jc w:val="right"/>
            </w:pPr>
          </w:p>
        </w:tc>
        <w:tc>
          <w:tcPr>
            <w:tcW w:w="936" w:type="dxa"/>
          </w:tcPr>
          <w:p w14:paraId="236900F3" w14:textId="77777777" w:rsidR="00B926FE" w:rsidRPr="00FA276E" w:rsidRDefault="00B926FE" w:rsidP="000A2491">
            <w:pPr>
              <w:pStyle w:val="TableText"/>
              <w:jc w:val="right"/>
            </w:pPr>
          </w:p>
        </w:tc>
        <w:tc>
          <w:tcPr>
            <w:tcW w:w="1089" w:type="dxa"/>
          </w:tcPr>
          <w:p w14:paraId="0E562B52" w14:textId="77777777" w:rsidR="00B926FE" w:rsidRPr="00FA276E" w:rsidRDefault="00B926FE" w:rsidP="000A2491">
            <w:pPr>
              <w:pStyle w:val="TableText"/>
              <w:jc w:val="right"/>
            </w:pPr>
          </w:p>
        </w:tc>
        <w:tc>
          <w:tcPr>
            <w:tcW w:w="493" w:type="dxa"/>
          </w:tcPr>
          <w:p w14:paraId="1AC8A662" w14:textId="77777777" w:rsidR="00B926FE" w:rsidRPr="00FA276E" w:rsidRDefault="00B926FE" w:rsidP="000A2491">
            <w:pPr>
              <w:pStyle w:val="TableText"/>
              <w:jc w:val="right"/>
            </w:pPr>
          </w:p>
        </w:tc>
        <w:tc>
          <w:tcPr>
            <w:tcW w:w="974" w:type="dxa"/>
          </w:tcPr>
          <w:p w14:paraId="1EA3BCEB" w14:textId="77777777" w:rsidR="00B926FE" w:rsidRPr="00FA276E" w:rsidRDefault="00B926FE" w:rsidP="000A2491">
            <w:pPr>
              <w:pStyle w:val="TableText"/>
              <w:jc w:val="right"/>
            </w:pPr>
          </w:p>
        </w:tc>
        <w:tc>
          <w:tcPr>
            <w:tcW w:w="1138" w:type="dxa"/>
          </w:tcPr>
          <w:p w14:paraId="0A934982" w14:textId="77777777" w:rsidR="00B926FE" w:rsidRPr="00FA276E" w:rsidRDefault="00B926FE" w:rsidP="000A2491">
            <w:pPr>
              <w:pStyle w:val="TableText"/>
              <w:jc w:val="right"/>
            </w:pPr>
          </w:p>
        </w:tc>
        <w:tc>
          <w:tcPr>
            <w:tcW w:w="474" w:type="dxa"/>
          </w:tcPr>
          <w:p w14:paraId="4F77B44D" w14:textId="77777777" w:rsidR="00B926FE" w:rsidRPr="00FA276E" w:rsidRDefault="00B926FE" w:rsidP="000A2491">
            <w:pPr>
              <w:pStyle w:val="TableText"/>
              <w:jc w:val="right"/>
            </w:pPr>
          </w:p>
        </w:tc>
        <w:tc>
          <w:tcPr>
            <w:tcW w:w="936" w:type="dxa"/>
          </w:tcPr>
          <w:p w14:paraId="3E4CD107" w14:textId="77777777" w:rsidR="00B926FE" w:rsidRPr="00FA276E" w:rsidRDefault="00B926FE" w:rsidP="000A2491">
            <w:pPr>
              <w:pStyle w:val="TableText"/>
              <w:jc w:val="right"/>
            </w:pPr>
          </w:p>
        </w:tc>
        <w:tc>
          <w:tcPr>
            <w:tcW w:w="1089" w:type="dxa"/>
          </w:tcPr>
          <w:p w14:paraId="23FBD854" w14:textId="77777777" w:rsidR="00B926FE" w:rsidRPr="00FA276E" w:rsidRDefault="00B926FE" w:rsidP="000A2491">
            <w:pPr>
              <w:pStyle w:val="TableText"/>
              <w:jc w:val="right"/>
            </w:pPr>
          </w:p>
        </w:tc>
      </w:tr>
      <w:tr w:rsidR="00B926FE" w:rsidRPr="003F7A38" w14:paraId="460A6D15"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0FE22B9B" w14:textId="77777777" w:rsidR="00B926FE" w:rsidRPr="00EF3D9B" w:rsidRDefault="00B926FE" w:rsidP="000A2491">
            <w:pPr>
              <w:pStyle w:val="TableText"/>
              <w:rPr>
                <w:bCs/>
                <w:color w:val="000000" w:themeColor="text1"/>
              </w:rPr>
            </w:pPr>
            <w:r w:rsidRPr="00EF3D9B">
              <w:rPr>
                <w:bCs/>
                <w:color w:val="000000" w:themeColor="text1"/>
              </w:rPr>
              <w:t>Male</w:t>
            </w:r>
          </w:p>
        </w:tc>
        <w:tc>
          <w:tcPr>
            <w:tcW w:w="492" w:type="dxa"/>
          </w:tcPr>
          <w:p w14:paraId="72AF99E5" w14:textId="77777777" w:rsidR="00B926FE" w:rsidRPr="00FA276E" w:rsidRDefault="00B926FE" w:rsidP="000A2491">
            <w:pPr>
              <w:pStyle w:val="TableText"/>
              <w:jc w:val="right"/>
            </w:pPr>
            <w:r w:rsidRPr="00FA276E">
              <w:t>449</w:t>
            </w:r>
          </w:p>
        </w:tc>
        <w:tc>
          <w:tcPr>
            <w:tcW w:w="974" w:type="dxa"/>
          </w:tcPr>
          <w:p w14:paraId="55AFD60F" w14:textId="77777777" w:rsidR="00B926FE" w:rsidRPr="00FA276E" w:rsidRDefault="00B926FE" w:rsidP="000A2491">
            <w:pPr>
              <w:pStyle w:val="TableText"/>
              <w:jc w:val="right"/>
            </w:pPr>
            <w:r w:rsidRPr="00FA276E">
              <w:t>3272</w:t>
            </w:r>
          </w:p>
        </w:tc>
        <w:tc>
          <w:tcPr>
            <w:tcW w:w="1138" w:type="dxa"/>
          </w:tcPr>
          <w:p w14:paraId="55B3DEA1" w14:textId="77777777" w:rsidR="00B926FE" w:rsidRPr="00FA276E" w:rsidRDefault="00B926FE" w:rsidP="000A2491">
            <w:pPr>
              <w:pStyle w:val="TableText"/>
              <w:jc w:val="right"/>
            </w:pPr>
            <w:r w:rsidRPr="00FA276E">
              <w:t>65.6 (60.7</w:t>
            </w:r>
            <w:r>
              <w:t xml:space="preserve">, </w:t>
            </w:r>
            <w:r w:rsidRPr="00FA276E">
              <w:t>70.1)</w:t>
            </w:r>
          </w:p>
        </w:tc>
        <w:tc>
          <w:tcPr>
            <w:tcW w:w="474" w:type="dxa"/>
          </w:tcPr>
          <w:p w14:paraId="7070B6E1" w14:textId="77777777" w:rsidR="00B926FE" w:rsidRPr="00FA276E" w:rsidRDefault="00B926FE" w:rsidP="000A2491">
            <w:pPr>
              <w:pStyle w:val="TableText"/>
              <w:jc w:val="right"/>
            </w:pPr>
            <w:r w:rsidRPr="00FA276E">
              <w:t>206</w:t>
            </w:r>
          </w:p>
        </w:tc>
        <w:tc>
          <w:tcPr>
            <w:tcW w:w="936" w:type="dxa"/>
          </w:tcPr>
          <w:p w14:paraId="2F24C143" w14:textId="77777777" w:rsidR="00B926FE" w:rsidRPr="00FA276E" w:rsidRDefault="00B926FE" w:rsidP="000A2491">
            <w:pPr>
              <w:pStyle w:val="TableText"/>
              <w:jc w:val="right"/>
            </w:pPr>
            <w:r w:rsidRPr="00FA276E">
              <w:t>1652</w:t>
            </w:r>
          </w:p>
        </w:tc>
        <w:tc>
          <w:tcPr>
            <w:tcW w:w="1089" w:type="dxa"/>
          </w:tcPr>
          <w:p w14:paraId="3016F3FE" w14:textId="77777777" w:rsidR="00B926FE" w:rsidRPr="00FA276E" w:rsidRDefault="00B926FE" w:rsidP="000A2491">
            <w:pPr>
              <w:pStyle w:val="TableText"/>
              <w:jc w:val="right"/>
            </w:pPr>
            <w:r w:rsidRPr="00FA276E">
              <w:t>33.1 (28.6</w:t>
            </w:r>
            <w:r>
              <w:t xml:space="preserve">, </w:t>
            </w:r>
            <w:r w:rsidRPr="00FA276E">
              <w:t>37.9)</w:t>
            </w:r>
          </w:p>
        </w:tc>
        <w:tc>
          <w:tcPr>
            <w:tcW w:w="493" w:type="dxa"/>
          </w:tcPr>
          <w:p w14:paraId="7B9B2A24" w14:textId="77777777" w:rsidR="00B926FE" w:rsidRPr="00FA276E" w:rsidRDefault="00B926FE" w:rsidP="000A2491">
            <w:pPr>
              <w:pStyle w:val="TableText"/>
              <w:jc w:val="right"/>
            </w:pPr>
            <w:r w:rsidRPr="00FA276E">
              <w:t>734</w:t>
            </w:r>
          </w:p>
        </w:tc>
        <w:tc>
          <w:tcPr>
            <w:tcW w:w="974" w:type="dxa"/>
          </w:tcPr>
          <w:p w14:paraId="0AACA33D" w14:textId="77777777" w:rsidR="00B926FE" w:rsidRPr="00FA276E" w:rsidRDefault="00B926FE" w:rsidP="000A2491">
            <w:pPr>
              <w:pStyle w:val="TableText"/>
              <w:jc w:val="right"/>
            </w:pPr>
            <w:r w:rsidRPr="00FA276E">
              <w:t>5245</w:t>
            </w:r>
          </w:p>
        </w:tc>
        <w:tc>
          <w:tcPr>
            <w:tcW w:w="1138" w:type="dxa"/>
          </w:tcPr>
          <w:p w14:paraId="1BFF0DE4" w14:textId="77777777" w:rsidR="00B926FE" w:rsidRPr="00FA276E" w:rsidRDefault="00B926FE" w:rsidP="000A2491">
            <w:pPr>
              <w:pStyle w:val="TableText"/>
              <w:jc w:val="right"/>
            </w:pPr>
            <w:r w:rsidRPr="00FA276E">
              <w:t>68.7 (57.0</w:t>
            </w:r>
            <w:r>
              <w:t xml:space="preserve">, </w:t>
            </w:r>
            <w:r w:rsidRPr="00FA276E">
              <w:t>78.4)</w:t>
            </w:r>
          </w:p>
        </w:tc>
        <w:tc>
          <w:tcPr>
            <w:tcW w:w="474" w:type="dxa"/>
          </w:tcPr>
          <w:p w14:paraId="22C4962F" w14:textId="77777777" w:rsidR="00B926FE" w:rsidRPr="00FA276E" w:rsidRDefault="00B926FE" w:rsidP="000A2491">
            <w:pPr>
              <w:pStyle w:val="TableText"/>
              <w:jc w:val="right"/>
            </w:pPr>
            <w:r w:rsidRPr="00FA276E">
              <w:t>259</w:t>
            </w:r>
          </w:p>
        </w:tc>
        <w:tc>
          <w:tcPr>
            <w:tcW w:w="936" w:type="dxa"/>
          </w:tcPr>
          <w:p w14:paraId="6AC23EF2" w14:textId="77777777" w:rsidR="00B926FE" w:rsidRPr="00FA276E" w:rsidRDefault="00B926FE" w:rsidP="000A2491">
            <w:pPr>
              <w:pStyle w:val="TableText"/>
              <w:jc w:val="right"/>
            </w:pPr>
            <w:r w:rsidRPr="00FA276E">
              <w:t>2328</w:t>
            </w:r>
          </w:p>
        </w:tc>
        <w:tc>
          <w:tcPr>
            <w:tcW w:w="1089" w:type="dxa"/>
          </w:tcPr>
          <w:p w14:paraId="38F5BAC2" w14:textId="77777777" w:rsidR="00B926FE" w:rsidRPr="00FA276E" w:rsidRDefault="00B926FE" w:rsidP="000A2491">
            <w:pPr>
              <w:pStyle w:val="TableText"/>
              <w:jc w:val="right"/>
            </w:pPr>
            <w:r w:rsidRPr="00FA276E">
              <w:t>30.5 (20.8</w:t>
            </w:r>
            <w:r>
              <w:t xml:space="preserve">, </w:t>
            </w:r>
            <w:r w:rsidRPr="00FA276E">
              <w:t>42.3)</w:t>
            </w:r>
          </w:p>
        </w:tc>
      </w:tr>
      <w:tr w:rsidR="005C60DC" w:rsidRPr="003F7A38" w14:paraId="3C335A75" w14:textId="77777777" w:rsidTr="005C60DC">
        <w:trPr>
          <w:cantSplit/>
        </w:trPr>
        <w:tc>
          <w:tcPr>
            <w:tcW w:w="1299" w:type="dxa"/>
          </w:tcPr>
          <w:p w14:paraId="190798D8" w14:textId="77777777" w:rsidR="00B926FE" w:rsidRPr="00EF3D9B" w:rsidRDefault="00B926FE" w:rsidP="000A2491">
            <w:pPr>
              <w:pStyle w:val="TableText"/>
              <w:rPr>
                <w:bCs/>
                <w:color w:val="000000" w:themeColor="text1"/>
              </w:rPr>
            </w:pPr>
            <w:r w:rsidRPr="00EF3D9B">
              <w:rPr>
                <w:bCs/>
                <w:color w:val="000000" w:themeColor="text1"/>
              </w:rPr>
              <w:t>Female</w:t>
            </w:r>
          </w:p>
        </w:tc>
        <w:tc>
          <w:tcPr>
            <w:tcW w:w="492" w:type="dxa"/>
          </w:tcPr>
          <w:p w14:paraId="537F649E" w14:textId="77777777" w:rsidR="00B926FE" w:rsidRPr="00FA276E" w:rsidRDefault="00B926FE" w:rsidP="000A2491">
            <w:pPr>
              <w:pStyle w:val="TableText"/>
              <w:jc w:val="right"/>
            </w:pPr>
            <w:r w:rsidRPr="00FA276E">
              <w:t>128</w:t>
            </w:r>
          </w:p>
        </w:tc>
        <w:tc>
          <w:tcPr>
            <w:tcW w:w="974" w:type="dxa"/>
          </w:tcPr>
          <w:p w14:paraId="5943EC8B" w14:textId="77777777" w:rsidR="00B926FE" w:rsidRPr="00FA276E" w:rsidRDefault="00B926FE" w:rsidP="000A2491">
            <w:pPr>
              <w:pStyle w:val="TableText"/>
              <w:jc w:val="right"/>
            </w:pPr>
            <w:r w:rsidRPr="00FA276E">
              <w:t>728</w:t>
            </w:r>
          </w:p>
        </w:tc>
        <w:tc>
          <w:tcPr>
            <w:tcW w:w="1138" w:type="dxa"/>
          </w:tcPr>
          <w:p w14:paraId="1DD686F6" w14:textId="77777777" w:rsidR="00B926FE" w:rsidRPr="00FA276E" w:rsidRDefault="00B926FE" w:rsidP="000A2491">
            <w:pPr>
              <w:pStyle w:val="TableText"/>
              <w:jc w:val="right"/>
            </w:pPr>
            <w:r w:rsidRPr="00FA276E">
              <w:t>64.7 (56.4</w:t>
            </w:r>
            <w:r>
              <w:t xml:space="preserve">, </w:t>
            </w:r>
            <w:r w:rsidRPr="00FA276E">
              <w:t>72.1)</w:t>
            </w:r>
          </w:p>
        </w:tc>
        <w:tc>
          <w:tcPr>
            <w:tcW w:w="474" w:type="dxa"/>
          </w:tcPr>
          <w:p w14:paraId="4A044583" w14:textId="77777777" w:rsidR="00B926FE" w:rsidRPr="00FA276E" w:rsidRDefault="00B926FE" w:rsidP="000A2491">
            <w:pPr>
              <w:pStyle w:val="TableText"/>
              <w:jc w:val="right"/>
            </w:pPr>
            <w:r w:rsidRPr="00FA276E">
              <w:t>63</w:t>
            </w:r>
          </w:p>
        </w:tc>
        <w:tc>
          <w:tcPr>
            <w:tcW w:w="936" w:type="dxa"/>
          </w:tcPr>
          <w:p w14:paraId="20EB8AA2" w14:textId="77777777" w:rsidR="00B926FE" w:rsidRPr="00FA276E" w:rsidRDefault="00B926FE" w:rsidP="000A2491">
            <w:pPr>
              <w:pStyle w:val="TableText"/>
              <w:jc w:val="right"/>
            </w:pPr>
            <w:r w:rsidRPr="00FA276E">
              <w:t>389</w:t>
            </w:r>
          </w:p>
        </w:tc>
        <w:tc>
          <w:tcPr>
            <w:tcW w:w="1089" w:type="dxa"/>
          </w:tcPr>
          <w:p w14:paraId="07322CBE" w14:textId="77777777" w:rsidR="00B926FE" w:rsidRPr="00FA276E" w:rsidRDefault="00B926FE" w:rsidP="000A2491">
            <w:pPr>
              <w:pStyle w:val="TableText"/>
              <w:jc w:val="right"/>
            </w:pPr>
            <w:r w:rsidRPr="00FA276E">
              <w:t>34.6 (27.1</w:t>
            </w:r>
            <w:r>
              <w:t xml:space="preserve">, </w:t>
            </w:r>
            <w:r w:rsidRPr="00FA276E">
              <w:t>42.8)</w:t>
            </w:r>
          </w:p>
        </w:tc>
        <w:tc>
          <w:tcPr>
            <w:tcW w:w="493" w:type="dxa"/>
          </w:tcPr>
          <w:p w14:paraId="2AEB17DE" w14:textId="77777777" w:rsidR="00B926FE" w:rsidRPr="00FA276E" w:rsidRDefault="00B926FE" w:rsidP="000A2491">
            <w:pPr>
              <w:pStyle w:val="TableText"/>
              <w:jc w:val="right"/>
            </w:pPr>
            <w:r w:rsidRPr="00FA276E">
              <w:t>289</w:t>
            </w:r>
          </w:p>
        </w:tc>
        <w:tc>
          <w:tcPr>
            <w:tcW w:w="974" w:type="dxa"/>
          </w:tcPr>
          <w:p w14:paraId="17FF64E3" w14:textId="77777777" w:rsidR="00B926FE" w:rsidRPr="00FA276E" w:rsidRDefault="00B926FE" w:rsidP="000A2491">
            <w:pPr>
              <w:pStyle w:val="TableText"/>
              <w:jc w:val="right"/>
            </w:pPr>
            <w:r w:rsidRPr="00FA276E">
              <w:t>957</w:t>
            </w:r>
          </w:p>
        </w:tc>
        <w:tc>
          <w:tcPr>
            <w:tcW w:w="1138" w:type="dxa"/>
          </w:tcPr>
          <w:p w14:paraId="3BCE05A6" w14:textId="77777777" w:rsidR="00B926FE" w:rsidRPr="00FA276E" w:rsidRDefault="00B926FE" w:rsidP="000A2491">
            <w:pPr>
              <w:pStyle w:val="TableText"/>
              <w:jc w:val="right"/>
            </w:pPr>
            <w:r w:rsidRPr="00FA276E">
              <w:t>68.0 (63.7</w:t>
            </w:r>
            <w:r>
              <w:t xml:space="preserve">, </w:t>
            </w:r>
            <w:r w:rsidRPr="00FA276E">
              <w:t>72.0)</w:t>
            </w:r>
          </w:p>
        </w:tc>
        <w:tc>
          <w:tcPr>
            <w:tcW w:w="474" w:type="dxa"/>
          </w:tcPr>
          <w:p w14:paraId="69BB7915" w14:textId="77777777" w:rsidR="00B926FE" w:rsidRPr="00FA276E" w:rsidRDefault="00B926FE" w:rsidP="000A2491">
            <w:pPr>
              <w:pStyle w:val="TableText"/>
              <w:jc w:val="right"/>
            </w:pPr>
            <w:r w:rsidRPr="00FA276E">
              <w:t>136</w:t>
            </w:r>
          </w:p>
        </w:tc>
        <w:tc>
          <w:tcPr>
            <w:tcW w:w="936" w:type="dxa"/>
          </w:tcPr>
          <w:p w14:paraId="58211B48" w14:textId="77777777" w:rsidR="00B926FE" w:rsidRPr="00FA276E" w:rsidRDefault="00B926FE" w:rsidP="000A2491">
            <w:pPr>
              <w:pStyle w:val="TableText"/>
              <w:jc w:val="right"/>
            </w:pPr>
            <w:r w:rsidRPr="00FA276E">
              <w:t>439</w:t>
            </w:r>
          </w:p>
        </w:tc>
        <w:tc>
          <w:tcPr>
            <w:tcW w:w="1089" w:type="dxa"/>
          </w:tcPr>
          <w:p w14:paraId="09206E47" w14:textId="77777777" w:rsidR="00B926FE" w:rsidRPr="00FA276E" w:rsidRDefault="00B926FE" w:rsidP="000A2491">
            <w:pPr>
              <w:pStyle w:val="TableText"/>
              <w:jc w:val="right"/>
            </w:pPr>
            <w:r w:rsidRPr="00FA276E">
              <w:t>31.2 (27.2</w:t>
            </w:r>
            <w:r>
              <w:t xml:space="preserve">, </w:t>
            </w:r>
            <w:r w:rsidRPr="00FA276E">
              <w:t>35.5)</w:t>
            </w:r>
          </w:p>
        </w:tc>
      </w:tr>
      <w:tr w:rsidR="00B926FE" w:rsidRPr="009E3015" w14:paraId="54EB98EF"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19220AFB" w14:textId="77777777" w:rsidR="00B926FE" w:rsidRPr="00EF3D9B" w:rsidRDefault="00B926FE" w:rsidP="000A2491">
            <w:pPr>
              <w:pStyle w:val="TableText"/>
              <w:rPr>
                <w:b/>
                <w:bCs/>
                <w:color w:val="000000" w:themeColor="text1"/>
              </w:rPr>
            </w:pPr>
            <w:r w:rsidRPr="00EF3D9B">
              <w:rPr>
                <w:b/>
                <w:bCs/>
                <w:color w:val="000000" w:themeColor="text1"/>
              </w:rPr>
              <w:t>Age (yrs)</w:t>
            </w:r>
          </w:p>
        </w:tc>
        <w:tc>
          <w:tcPr>
            <w:tcW w:w="492" w:type="dxa"/>
          </w:tcPr>
          <w:p w14:paraId="4A0BF5CE" w14:textId="77777777" w:rsidR="00B926FE" w:rsidRPr="009E3015" w:rsidRDefault="00B926FE" w:rsidP="000A2491">
            <w:pPr>
              <w:pStyle w:val="TableText"/>
              <w:jc w:val="right"/>
            </w:pPr>
          </w:p>
        </w:tc>
        <w:tc>
          <w:tcPr>
            <w:tcW w:w="974" w:type="dxa"/>
          </w:tcPr>
          <w:p w14:paraId="47E1C9A2" w14:textId="77777777" w:rsidR="00B926FE" w:rsidRPr="009E3015" w:rsidRDefault="00B926FE" w:rsidP="000A2491">
            <w:pPr>
              <w:pStyle w:val="TableText"/>
              <w:jc w:val="right"/>
            </w:pPr>
          </w:p>
        </w:tc>
        <w:tc>
          <w:tcPr>
            <w:tcW w:w="1138" w:type="dxa"/>
          </w:tcPr>
          <w:p w14:paraId="3C0137F9" w14:textId="77777777" w:rsidR="00B926FE" w:rsidRPr="009E3015" w:rsidRDefault="00B926FE" w:rsidP="000A2491">
            <w:pPr>
              <w:pStyle w:val="TableText"/>
              <w:jc w:val="right"/>
            </w:pPr>
          </w:p>
        </w:tc>
        <w:tc>
          <w:tcPr>
            <w:tcW w:w="474" w:type="dxa"/>
          </w:tcPr>
          <w:p w14:paraId="15CD296C" w14:textId="77777777" w:rsidR="00B926FE" w:rsidRPr="009E3015" w:rsidRDefault="00B926FE" w:rsidP="000A2491">
            <w:pPr>
              <w:pStyle w:val="TableText"/>
              <w:jc w:val="right"/>
            </w:pPr>
          </w:p>
        </w:tc>
        <w:tc>
          <w:tcPr>
            <w:tcW w:w="936" w:type="dxa"/>
          </w:tcPr>
          <w:p w14:paraId="7ABABF2A" w14:textId="77777777" w:rsidR="00B926FE" w:rsidRPr="009E3015" w:rsidRDefault="00B926FE" w:rsidP="000A2491">
            <w:pPr>
              <w:pStyle w:val="TableText"/>
              <w:jc w:val="right"/>
            </w:pPr>
          </w:p>
        </w:tc>
        <w:tc>
          <w:tcPr>
            <w:tcW w:w="1089" w:type="dxa"/>
          </w:tcPr>
          <w:p w14:paraId="6944B188" w14:textId="77777777" w:rsidR="00B926FE" w:rsidRPr="009E3015" w:rsidRDefault="00B926FE" w:rsidP="000A2491">
            <w:pPr>
              <w:pStyle w:val="TableText"/>
              <w:jc w:val="right"/>
            </w:pPr>
          </w:p>
        </w:tc>
        <w:tc>
          <w:tcPr>
            <w:tcW w:w="493" w:type="dxa"/>
          </w:tcPr>
          <w:p w14:paraId="0B5B913D" w14:textId="77777777" w:rsidR="00B926FE" w:rsidRPr="009E3015" w:rsidRDefault="00B926FE" w:rsidP="000A2491">
            <w:pPr>
              <w:pStyle w:val="TableText"/>
              <w:jc w:val="right"/>
            </w:pPr>
          </w:p>
        </w:tc>
        <w:tc>
          <w:tcPr>
            <w:tcW w:w="974" w:type="dxa"/>
          </w:tcPr>
          <w:p w14:paraId="52DF9B0A" w14:textId="77777777" w:rsidR="00B926FE" w:rsidRPr="009E3015" w:rsidRDefault="00B926FE" w:rsidP="000A2491">
            <w:pPr>
              <w:pStyle w:val="TableText"/>
              <w:jc w:val="right"/>
            </w:pPr>
          </w:p>
        </w:tc>
        <w:tc>
          <w:tcPr>
            <w:tcW w:w="1138" w:type="dxa"/>
          </w:tcPr>
          <w:p w14:paraId="674BAC37" w14:textId="77777777" w:rsidR="00B926FE" w:rsidRPr="009E3015" w:rsidRDefault="00B926FE" w:rsidP="000A2491">
            <w:pPr>
              <w:pStyle w:val="TableText"/>
              <w:jc w:val="right"/>
            </w:pPr>
          </w:p>
        </w:tc>
        <w:tc>
          <w:tcPr>
            <w:tcW w:w="474" w:type="dxa"/>
          </w:tcPr>
          <w:p w14:paraId="5D1AB529" w14:textId="77777777" w:rsidR="00B926FE" w:rsidRPr="009E3015" w:rsidRDefault="00B926FE" w:rsidP="000A2491">
            <w:pPr>
              <w:pStyle w:val="TableText"/>
              <w:jc w:val="right"/>
            </w:pPr>
          </w:p>
        </w:tc>
        <w:tc>
          <w:tcPr>
            <w:tcW w:w="936" w:type="dxa"/>
          </w:tcPr>
          <w:p w14:paraId="64A4D769" w14:textId="77777777" w:rsidR="00B926FE" w:rsidRPr="009E3015" w:rsidRDefault="00B926FE" w:rsidP="000A2491">
            <w:pPr>
              <w:pStyle w:val="TableText"/>
              <w:jc w:val="right"/>
            </w:pPr>
          </w:p>
        </w:tc>
        <w:tc>
          <w:tcPr>
            <w:tcW w:w="1089" w:type="dxa"/>
          </w:tcPr>
          <w:p w14:paraId="22E8B81B" w14:textId="77777777" w:rsidR="00B926FE" w:rsidRPr="009E3015" w:rsidRDefault="00B926FE" w:rsidP="000A2491">
            <w:pPr>
              <w:pStyle w:val="TableText"/>
              <w:jc w:val="right"/>
            </w:pPr>
          </w:p>
        </w:tc>
      </w:tr>
      <w:tr w:rsidR="005C60DC" w:rsidRPr="009E3015" w14:paraId="7157BF4B" w14:textId="77777777" w:rsidTr="005C60DC">
        <w:trPr>
          <w:cantSplit/>
        </w:trPr>
        <w:tc>
          <w:tcPr>
            <w:tcW w:w="1299" w:type="dxa"/>
          </w:tcPr>
          <w:p w14:paraId="6D56DA58" w14:textId="77777777" w:rsidR="00B926FE" w:rsidRPr="00EF3D9B" w:rsidRDefault="00B926FE" w:rsidP="000A2491">
            <w:pPr>
              <w:pStyle w:val="TableText"/>
              <w:rPr>
                <w:bCs/>
                <w:color w:val="000000" w:themeColor="text1"/>
              </w:rPr>
            </w:pPr>
            <w:r w:rsidRPr="00EF3D9B">
              <w:rPr>
                <w:bCs/>
                <w:color w:val="000000" w:themeColor="text1"/>
              </w:rPr>
              <w:t>18</w:t>
            </w:r>
            <w:r>
              <w:rPr>
                <w:bCs/>
                <w:color w:val="000000" w:themeColor="text1"/>
              </w:rPr>
              <w:t>–</w:t>
            </w:r>
            <w:r w:rsidRPr="00EF3D9B">
              <w:rPr>
                <w:bCs/>
                <w:color w:val="000000" w:themeColor="text1"/>
              </w:rPr>
              <w:t>27</w:t>
            </w:r>
          </w:p>
        </w:tc>
        <w:tc>
          <w:tcPr>
            <w:tcW w:w="492" w:type="dxa"/>
          </w:tcPr>
          <w:p w14:paraId="380353C9" w14:textId="77777777" w:rsidR="00B926FE" w:rsidRPr="009E3015" w:rsidRDefault="00B926FE" w:rsidP="000A2491">
            <w:pPr>
              <w:pStyle w:val="TableText"/>
              <w:jc w:val="right"/>
            </w:pPr>
            <w:r w:rsidRPr="009E3015">
              <w:t>53</w:t>
            </w:r>
          </w:p>
        </w:tc>
        <w:tc>
          <w:tcPr>
            <w:tcW w:w="974" w:type="dxa"/>
          </w:tcPr>
          <w:p w14:paraId="72B21C8F" w14:textId="77777777" w:rsidR="00B926FE" w:rsidRPr="009E3015" w:rsidRDefault="00B926FE" w:rsidP="000A2491">
            <w:pPr>
              <w:pStyle w:val="TableText"/>
              <w:jc w:val="right"/>
            </w:pPr>
            <w:r w:rsidRPr="009E3015">
              <w:t>643</w:t>
            </w:r>
          </w:p>
        </w:tc>
        <w:tc>
          <w:tcPr>
            <w:tcW w:w="1138" w:type="dxa"/>
          </w:tcPr>
          <w:p w14:paraId="35FE9249" w14:textId="77777777" w:rsidR="00B926FE" w:rsidRPr="009E3015" w:rsidRDefault="00B926FE" w:rsidP="000A2491">
            <w:pPr>
              <w:pStyle w:val="TableText"/>
              <w:jc w:val="right"/>
            </w:pPr>
            <w:r w:rsidRPr="009E3015">
              <w:t>52.2 (41.0</w:t>
            </w:r>
            <w:r>
              <w:t xml:space="preserve">, </w:t>
            </w:r>
            <w:r w:rsidRPr="009E3015">
              <w:t>63.3)</w:t>
            </w:r>
          </w:p>
        </w:tc>
        <w:tc>
          <w:tcPr>
            <w:tcW w:w="474" w:type="dxa"/>
          </w:tcPr>
          <w:p w14:paraId="023EC993" w14:textId="77777777" w:rsidR="00B926FE" w:rsidRPr="009E3015" w:rsidRDefault="00B926FE" w:rsidP="000A2491">
            <w:pPr>
              <w:pStyle w:val="TableText"/>
              <w:jc w:val="right"/>
            </w:pPr>
            <w:r w:rsidRPr="009E3015">
              <w:t>44</w:t>
            </w:r>
          </w:p>
        </w:tc>
        <w:tc>
          <w:tcPr>
            <w:tcW w:w="936" w:type="dxa"/>
          </w:tcPr>
          <w:p w14:paraId="3DC7B1B8" w14:textId="77777777" w:rsidR="00B926FE" w:rsidRPr="009E3015" w:rsidRDefault="00B926FE" w:rsidP="000A2491">
            <w:pPr>
              <w:pStyle w:val="TableText"/>
              <w:jc w:val="right"/>
            </w:pPr>
            <w:r w:rsidRPr="009E3015">
              <w:t>588</w:t>
            </w:r>
          </w:p>
        </w:tc>
        <w:tc>
          <w:tcPr>
            <w:tcW w:w="1089" w:type="dxa"/>
          </w:tcPr>
          <w:p w14:paraId="30F9A4DB" w14:textId="77777777" w:rsidR="00B926FE" w:rsidRPr="009E3015" w:rsidRDefault="00B926FE" w:rsidP="000A2491">
            <w:pPr>
              <w:pStyle w:val="TableText"/>
              <w:jc w:val="right"/>
            </w:pPr>
            <w:r w:rsidRPr="009E3015">
              <w:t>47.8 (36.7</w:t>
            </w:r>
            <w:r>
              <w:t xml:space="preserve">, </w:t>
            </w:r>
            <w:r w:rsidRPr="009E3015">
              <w:t>59.0)</w:t>
            </w:r>
          </w:p>
        </w:tc>
        <w:tc>
          <w:tcPr>
            <w:tcW w:w="493" w:type="dxa"/>
          </w:tcPr>
          <w:p w14:paraId="74363B33" w14:textId="77777777" w:rsidR="00B926FE" w:rsidRPr="009E3015" w:rsidRDefault="00B926FE" w:rsidP="000A2491">
            <w:pPr>
              <w:pStyle w:val="TableText"/>
              <w:jc w:val="right"/>
            </w:pPr>
            <w:r w:rsidRPr="009E3015">
              <w:t>73</w:t>
            </w:r>
          </w:p>
        </w:tc>
        <w:tc>
          <w:tcPr>
            <w:tcW w:w="974" w:type="dxa"/>
          </w:tcPr>
          <w:p w14:paraId="5F8A04F8" w14:textId="77777777" w:rsidR="00B926FE" w:rsidRPr="009E3015" w:rsidRDefault="00B926FE" w:rsidP="000A2491">
            <w:pPr>
              <w:pStyle w:val="TableText"/>
              <w:jc w:val="right"/>
            </w:pPr>
            <w:r w:rsidRPr="009E3015">
              <w:t>1084</w:t>
            </w:r>
          </w:p>
        </w:tc>
        <w:tc>
          <w:tcPr>
            <w:tcW w:w="1138" w:type="dxa"/>
          </w:tcPr>
          <w:p w14:paraId="4CED783B" w14:textId="77777777" w:rsidR="00B926FE" w:rsidRPr="009E3015" w:rsidRDefault="00B926FE" w:rsidP="000A2491">
            <w:pPr>
              <w:pStyle w:val="TableText"/>
              <w:jc w:val="right"/>
            </w:pPr>
            <w:r w:rsidRPr="009E3015">
              <w:t>54.1 (25.7</w:t>
            </w:r>
            <w:r>
              <w:t xml:space="preserve">, </w:t>
            </w:r>
            <w:r w:rsidRPr="009E3015">
              <w:t>80.1)</w:t>
            </w:r>
          </w:p>
        </w:tc>
        <w:tc>
          <w:tcPr>
            <w:tcW w:w="474" w:type="dxa"/>
          </w:tcPr>
          <w:p w14:paraId="4D2A5CFA" w14:textId="77777777" w:rsidR="00B926FE" w:rsidRPr="009E3015" w:rsidRDefault="00B926FE" w:rsidP="000A2491">
            <w:pPr>
              <w:pStyle w:val="TableText"/>
              <w:jc w:val="right"/>
            </w:pPr>
            <w:r w:rsidRPr="009E3015">
              <w:t>44</w:t>
            </w:r>
          </w:p>
        </w:tc>
        <w:tc>
          <w:tcPr>
            <w:tcW w:w="936" w:type="dxa"/>
          </w:tcPr>
          <w:p w14:paraId="6D3DD216" w14:textId="77777777" w:rsidR="00B926FE" w:rsidRPr="009E3015" w:rsidRDefault="00B926FE" w:rsidP="000A2491">
            <w:pPr>
              <w:pStyle w:val="TableText"/>
              <w:jc w:val="right"/>
            </w:pPr>
            <w:r w:rsidRPr="009E3015">
              <w:t>919</w:t>
            </w:r>
          </w:p>
        </w:tc>
        <w:tc>
          <w:tcPr>
            <w:tcW w:w="1089" w:type="dxa"/>
          </w:tcPr>
          <w:p w14:paraId="77B18C13" w14:textId="77777777" w:rsidR="00B926FE" w:rsidRPr="009E3015" w:rsidRDefault="00B926FE" w:rsidP="000A2491">
            <w:pPr>
              <w:pStyle w:val="TableText"/>
              <w:jc w:val="right"/>
            </w:pPr>
            <w:r w:rsidRPr="009E3015">
              <w:t>45.9 (19.9</w:t>
            </w:r>
            <w:r>
              <w:t xml:space="preserve">, </w:t>
            </w:r>
            <w:r w:rsidRPr="009E3015">
              <w:t>74.3)</w:t>
            </w:r>
          </w:p>
        </w:tc>
      </w:tr>
      <w:tr w:rsidR="00B926FE" w:rsidRPr="009E3015" w14:paraId="4D261729"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4E528CF7" w14:textId="77777777" w:rsidR="00B926FE" w:rsidRPr="00EF3D9B" w:rsidRDefault="00B926FE" w:rsidP="000A2491">
            <w:pPr>
              <w:pStyle w:val="TableText"/>
              <w:rPr>
                <w:bCs/>
                <w:color w:val="000000" w:themeColor="text1"/>
              </w:rPr>
            </w:pPr>
            <w:r w:rsidRPr="00EF3D9B">
              <w:rPr>
                <w:bCs/>
                <w:color w:val="000000" w:themeColor="text1"/>
              </w:rPr>
              <w:t>28</w:t>
            </w:r>
            <w:r>
              <w:rPr>
                <w:bCs/>
                <w:color w:val="000000" w:themeColor="text1"/>
              </w:rPr>
              <w:t>–</w:t>
            </w:r>
            <w:r w:rsidRPr="00EF3D9B">
              <w:rPr>
                <w:bCs/>
                <w:color w:val="000000" w:themeColor="text1"/>
              </w:rPr>
              <w:t>37</w:t>
            </w:r>
          </w:p>
        </w:tc>
        <w:tc>
          <w:tcPr>
            <w:tcW w:w="492" w:type="dxa"/>
          </w:tcPr>
          <w:p w14:paraId="4FF6CF26" w14:textId="77777777" w:rsidR="00B926FE" w:rsidRPr="009E3015" w:rsidRDefault="00B926FE" w:rsidP="000A2491">
            <w:pPr>
              <w:pStyle w:val="TableText"/>
              <w:jc w:val="right"/>
            </w:pPr>
            <w:r w:rsidRPr="009E3015">
              <w:t>187</w:t>
            </w:r>
          </w:p>
        </w:tc>
        <w:tc>
          <w:tcPr>
            <w:tcW w:w="974" w:type="dxa"/>
          </w:tcPr>
          <w:p w14:paraId="4A75C277" w14:textId="77777777" w:rsidR="00B926FE" w:rsidRPr="009E3015" w:rsidRDefault="00B926FE" w:rsidP="000A2491">
            <w:pPr>
              <w:pStyle w:val="TableText"/>
              <w:jc w:val="right"/>
            </w:pPr>
            <w:r w:rsidRPr="009E3015">
              <w:t>1653</w:t>
            </w:r>
          </w:p>
        </w:tc>
        <w:tc>
          <w:tcPr>
            <w:tcW w:w="1138" w:type="dxa"/>
          </w:tcPr>
          <w:p w14:paraId="22B22B05" w14:textId="77777777" w:rsidR="00B926FE" w:rsidRPr="009E3015" w:rsidRDefault="00B926FE" w:rsidP="000A2491">
            <w:pPr>
              <w:pStyle w:val="TableText"/>
              <w:jc w:val="right"/>
            </w:pPr>
            <w:r w:rsidRPr="009E3015">
              <w:t>68.5 (61.3</w:t>
            </w:r>
            <w:r>
              <w:t xml:space="preserve">, </w:t>
            </w:r>
            <w:r w:rsidRPr="009E3015">
              <w:t>74.9)</w:t>
            </w:r>
          </w:p>
        </w:tc>
        <w:tc>
          <w:tcPr>
            <w:tcW w:w="474" w:type="dxa"/>
          </w:tcPr>
          <w:p w14:paraId="282925DA" w14:textId="77777777" w:rsidR="00B926FE" w:rsidRPr="009E3015" w:rsidRDefault="00B926FE" w:rsidP="000A2491">
            <w:pPr>
              <w:pStyle w:val="TableText"/>
              <w:jc w:val="right"/>
            </w:pPr>
            <w:r w:rsidRPr="009E3015">
              <w:t>90</w:t>
            </w:r>
          </w:p>
        </w:tc>
        <w:tc>
          <w:tcPr>
            <w:tcW w:w="936" w:type="dxa"/>
          </w:tcPr>
          <w:p w14:paraId="4D9DD72A" w14:textId="77777777" w:rsidR="00B926FE" w:rsidRPr="009E3015" w:rsidRDefault="00B926FE" w:rsidP="000A2491">
            <w:pPr>
              <w:pStyle w:val="TableText"/>
              <w:jc w:val="right"/>
            </w:pPr>
            <w:r w:rsidRPr="009E3015">
              <w:t>744</w:t>
            </w:r>
          </w:p>
        </w:tc>
        <w:tc>
          <w:tcPr>
            <w:tcW w:w="1089" w:type="dxa"/>
          </w:tcPr>
          <w:p w14:paraId="3B543E39" w14:textId="77777777" w:rsidR="00B926FE" w:rsidRPr="009E3015" w:rsidRDefault="00B926FE" w:rsidP="000A2491">
            <w:pPr>
              <w:pStyle w:val="TableText"/>
              <w:jc w:val="right"/>
            </w:pPr>
            <w:r w:rsidRPr="009E3015">
              <w:t>30.8 (24.4</w:t>
            </w:r>
            <w:r>
              <w:t xml:space="preserve">, </w:t>
            </w:r>
            <w:r w:rsidRPr="009E3015">
              <w:t>37.9)</w:t>
            </w:r>
          </w:p>
        </w:tc>
        <w:tc>
          <w:tcPr>
            <w:tcW w:w="493" w:type="dxa"/>
          </w:tcPr>
          <w:p w14:paraId="29E3F3FD" w14:textId="77777777" w:rsidR="00B926FE" w:rsidRPr="009E3015" w:rsidRDefault="00B926FE" w:rsidP="000A2491">
            <w:pPr>
              <w:pStyle w:val="TableText"/>
              <w:jc w:val="right"/>
            </w:pPr>
            <w:r w:rsidRPr="009E3015">
              <w:t>353</w:t>
            </w:r>
          </w:p>
        </w:tc>
        <w:tc>
          <w:tcPr>
            <w:tcW w:w="974" w:type="dxa"/>
          </w:tcPr>
          <w:p w14:paraId="2913FE3D" w14:textId="77777777" w:rsidR="00B926FE" w:rsidRPr="009E3015" w:rsidRDefault="00B926FE" w:rsidP="000A2491">
            <w:pPr>
              <w:pStyle w:val="TableText"/>
              <w:jc w:val="right"/>
            </w:pPr>
            <w:r w:rsidRPr="009E3015">
              <w:t>2749</w:t>
            </w:r>
          </w:p>
        </w:tc>
        <w:tc>
          <w:tcPr>
            <w:tcW w:w="1138" w:type="dxa"/>
          </w:tcPr>
          <w:p w14:paraId="7F0D2F04" w14:textId="77777777" w:rsidR="00B926FE" w:rsidRPr="009E3015" w:rsidRDefault="00B926FE" w:rsidP="000A2491">
            <w:pPr>
              <w:pStyle w:val="TableText"/>
              <w:jc w:val="right"/>
            </w:pPr>
            <w:r w:rsidRPr="009E3015">
              <w:t>71.5 (55.7</w:t>
            </w:r>
            <w:r>
              <w:t xml:space="preserve">, </w:t>
            </w:r>
            <w:r w:rsidRPr="009E3015">
              <w:t>83.4)</w:t>
            </w:r>
          </w:p>
        </w:tc>
        <w:tc>
          <w:tcPr>
            <w:tcW w:w="474" w:type="dxa"/>
          </w:tcPr>
          <w:p w14:paraId="37D1A9E2" w14:textId="77777777" w:rsidR="00B926FE" w:rsidRPr="009E3015" w:rsidRDefault="00B926FE" w:rsidP="000A2491">
            <w:pPr>
              <w:pStyle w:val="TableText"/>
              <w:jc w:val="right"/>
            </w:pPr>
            <w:r w:rsidRPr="009E3015">
              <w:t>150</w:t>
            </w:r>
          </w:p>
        </w:tc>
        <w:tc>
          <w:tcPr>
            <w:tcW w:w="936" w:type="dxa"/>
          </w:tcPr>
          <w:p w14:paraId="016F1FA4" w14:textId="77777777" w:rsidR="00B926FE" w:rsidRPr="009E3015" w:rsidRDefault="00B926FE" w:rsidP="000A2491">
            <w:pPr>
              <w:pStyle w:val="TableText"/>
              <w:jc w:val="right"/>
            </w:pPr>
            <w:r w:rsidRPr="009E3015">
              <w:t>1067</w:t>
            </w:r>
          </w:p>
        </w:tc>
        <w:tc>
          <w:tcPr>
            <w:tcW w:w="1089" w:type="dxa"/>
          </w:tcPr>
          <w:p w14:paraId="1F1D9692" w14:textId="77777777" w:rsidR="00B926FE" w:rsidRPr="009E3015" w:rsidRDefault="00B926FE" w:rsidP="000A2491">
            <w:pPr>
              <w:pStyle w:val="TableText"/>
              <w:jc w:val="right"/>
            </w:pPr>
            <w:r w:rsidRPr="009E3015">
              <w:t>27.8 (16.0</w:t>
            </w:r>
            <w:r>
              <w:t xml:space="preserve">, </w:t>
            </w:r>
            <w:r w:rsidRPr="009E3015">
              <w:t>43.7)</w:t>
            </w:r>
          </w:p>
        </w:tc>
      </w:tr>
      <w:tr w:rsidR="005C60DC" w:rsidRPr="009E3015" w14:paraId="0A1C5C2A" w14:textId="77777777" w:rsidTr="005C60DC">
        <w:trPr>
          <w:cantSplit/>
        </w:trPr>
        <w:tc>
          <w:tcPr>
            <w:tcW w:w="1299" w:type="dxa"/>
          </w:tcPr>
          <w:p w14:paraId="4953671C" w14:textId="77777777" w:rsidR="00B926FE" w:rsidRPr="00EF3D9B" w:rsidRDefault="00B926FE" w:rsidP="000A2491">
            <w:pPr>
              <w:pStyle w:val="TableText"/>
              <w:rPr>
                <w:bCs/>
                <w:color w:val="000000" w:themeColor="text1"/>
              </w:rPr>
            </w:pPr>
            <w:r w:rsidRPr="00EF3D9B">
              <w:rPr>
                <w:bCs/>
                <w:color w:val="000000" w:themeColor="text1"/>
              </w:rPr>
              <w:t>38</w:t>
            </w:r>
            <w:r>
              <w:rPr>
                <w:bCs/>
                <w:color w:val="000000" w:themeColor="text1"/>
              </w:rPr>
              <w:t>–</w:t>
            </w:r>
            <w:r w:rsidRPr="00EF3D9B">
              <w:rPr>
                <w:bCs/>
                <w:color w:val="000000" w:themeColor="text1"/>
              </w:rPr>
              <w:t>47</w:t>
            </w:r>
          </w:p>
        </w:tc>
        <w:tc>
          <w:tcPr>
            <w:tcW w:w="492" w:type="dxa"/>
          </w:tcPr>
          <w:p w14:paraId="1FA76BD9" w14:textId="77777777" w:rsidR="00B926FE" w:rsidRPr="009E3015" w:rsidRDefault="00B926FE" w:rsidP="000A2491">
            <w:pPr>
              <w:pStyle w:val="TableText"/>
              <w:jc w:val="right"/>
            </w:pPr>
            <w:r w:rsidRPr="009E3015">
              <w:t>175</w:t>
            </w:r>
          </w:p>
        </w:tc>
        <w:tc>
          <w:tcPr>
            <w:tcW w:w="974" w:type="dxa"/>
          </w:tcPr>
          <w:p w14:paraId="74E13307" w14:textId="77777777" w:rsidR="00B926FE" w:rsidRPr="009E3015" w:rsidRDefault="00B926FE" w:rsidP="000A2491">
            <w:pPr>
              <w:pStyle w:val="TableText"/>
              <w:jc w:val="right"/>
            </w:pPr>
            <w:r w:rsidRPr="009E3015">
              <w:t>926</w:t>
            </w:r>
          </w:p>
        </w:tc>
        <w:tc>
          <w:tcPr>
            <w:tcW w:w="1138" w:type="dxa"/>
          </w:tcPr>
          <w:p w14:paraId="7E6F9384" w14:textId="77777777" w:rsidR="00B926FE" w:rsidRPr="009E3015" w:rsidRDefault="00B926FE" w:rsidP="000A2491">
            <w:pPr>
              <w:pStyle w:val="TableText"/>
              <w:jc w:val="right"/>
            </w:pPr>
            <w:r w:rsidRPr="009E3015">
              <w:t>63.9 (56.6</w:t>
            </w:r>
            <w:r>
              <w:t xml:space="preserve">, </w:t>
            </w:r>
            <w:r w:rsidRPr="009E3015">
              <w:t>70.6)</w:t>
            </w:r>
          </w:p>
        </w:tc>
        <w:tc>
          <w:tcPr>
            <w:tcW w:w="474" w:type="dxa"/>
          </w:tcPr>
          <w:p w14:paraId="197B3873" w14:textId="77777777" w:rsidR="00B926FE" w:rsidRPr="009E3015" w:rsidRDefault="00B926FE" w:rsidP="000A2491">
            <w:pPr>
              <w:pStyle w:val="TableText"/>
              <w:jc w:val="right"/>
            </w:pPr>
            <w:r w:rsidRPr="009E3015">
              <w:t>85</w:t>
            </w:r>
          </w:p>
        </w:tc>
        <w:tc>
          <w:tcPr>
            <w:tcW w:w="936" w:type="dxa"/>
          </w:tcPr>
          <w:p w14:paraId="2731533E" w14:textId="77777777" w:rsidR="00B926FE" w:rsidRPr="009E3015" w:rsidRDefault="00B926FE" w:rsidP="000A2491">
            <w:pPr>
              <w:pStyle w:val="TableText"/>
              <w:jc w:val="right"/>
            </w:pPr>
            <w:r w:rsidRPr="009E3015">
              <w:t>492</w:t>
            </w:r>
          </w:p>
        </w:tc>
        <w:tc>
          <w:tcPr>
            <w:tcW w:w="1089" w:type="dxa"/>
          </w:tcPr>
          <w:p w14:paraId="2A534598" w14:textId="77777777" w:rsidR="00B926FE" w:rsidRPr="009E3015" w:rsidRDefault="00B926FE" w:rsidP="000A2491">
            <w:pPr>
              <w:pStyle w:val="TableText"/>
              <w:jc w:val="right"/>
            </w:pPr>
            <w:r w:rsidRPr="009E3015">
              <w:t>33.9 (27.5</w:t>
            </w:r>
            <w:r>
              <w:t xml:space="preserve">, </w:t>
            </w:r>
            <w:r w:rsidRPr="009E3015">
              <w:t>41.0)</w:t>
            </w:r>
          </w:p>
        </w:tc>
        <w:tc>
          <w:tcPr>
            <w:tcW w:w="493" w:type="dxa"/>
          </w:tcPr>
          <w:p w14:paraId="57A1AA6A" w14:textId="77777777" w:rsidR="00B926FE" w:rsidRPr="009E3015" w:rsidRDefault="00B926FE" w:rsidP="000A2491">
            <w:pPr>
              <w:pStyle w:val="TableText"/>
              <w:jc w:val="right"/>
            </w:pPr>
            <w:r w:rsidRPr="009E3015">
              <w:t>360</w:t>
            </w:r>
          </w:p>
        </w:tc>
        <w:tc>
          <w:tcPr>
            <w:tcW w:w="974" w:type="dxa"/>
          </w:tcPr>
          <w:p w14:paraId="7013884F" w14:textId="77777777" w:rsidR="00B926FE" w:rsidRPr="009E3015" w:rsidRDefault="00B926FE" w:rsidP="000A2491">
            <w:pPr>
              <w:pStyle w:val="TableText"/>
              <w:jc w:val="right"/>
            </w:pPr>
            <w:r w:rsidRPr="009E3015">
              <w:t>1409</w:t>
            </w:r>
          </w:p>
        </w:tc>
        <w:tc>
          <w:tcPr>
            <w:tcW w:w="1138" w:type="dxa"/>
          </w:tcPr>
          <w:p w14:paraId="38613CCE" w14:textId="77777777" w:rsidR="00B926FE" w:rsidRPr="009E3015" w:rsidRDefault="00B926FE" w:rsidP="000A2491">
            <w:pPr>
              <w:pStyle w:val="TableText"/>
              <w:jc w:val="right"/>
            </w:pPr>
            <w:r w:rsidRPr="009E3015">
              <w:t>73.0 (67.6</w:t>
            </w:r>
            <w:r>
              <w:t xml:space="preserve">, </w:t>
            </w:r>
            <w:r w:rsidRPr="009E3015">
              <w:t>77.7)</w:t>
            </w:r>
          </w:p>
        </w:tc>
        <w:tc>
          <w:tcPr>
            <w:tcW w:w="474" w:type="dxa"/>
          </w:tcPr>
          <w:p w14:paraId="0566794A" w14:textId="77777777" w:rsidR="00B926FE" w:rsidRPr="009E3015" w:rsidRDefault="00B926FE" w:rsidP="000A2491">
            <w:pPr>
              <w:pStyle w:val="TableText"/>
              <w:jc w:val="right"/>
            </w:pPr>
            <w:r w:rsidRPr="009E3015">
              <w:t>133</w:t>
            </w:r>
          </w:p>
        </w:tc>
        <w:tc>
          <w:tcPr>
            <w:tcW w:w="936" w:type="dxa"/>
          </w:tcPr>
          <w:p w14:paraId="4747C62D" w14:textId="77777777" w:rsidR="00B926FE" w:rsidRPr="009E3015" w:rsidRDefault="00B926FE" w:rsidP="000A2491">
            <w:pPr>
              <w:pStyle w:val="TableText"/>
              <w:jc w:val="right"/>
            </w:pPr>
            <w:r w:rsidRPr="009E3015">
              <w:t>503</w:t>
            </w:r>
          </w:p>
        </w:tc>
        <w:tc>
          <w:tcPr>
            <w:tcW w:w="1089" w:type="dxa"/>
          </w:tcPr>
          <w:p w14:paraId="278A9254" w14:textId="77777777" w:rsidR="00B926FE" w:rsidRPr="009E3015" w:rsidRDefault="00B926FE" w:rsidP="000A2491">
            <w:pPr>
              <w:pStyle w:val="TableText"/>
              <w:jc w:val="right"/>
            </w:pPr>
            <w:r w:rsidRPr="009E3015">
              <w:t>26.1 (21.4</w:t>
            </w:r>
            <w:r>
              <w:t xml:space="preserve">, </w:t>
            </w:r>
            <w:r w:rsidRPr="009E3015">
              <w:t>31.3)</w:t>
            </w:r>
          </w:p>
        </w:tc>
      </w:tr>
      <w:tr w:rsidR="00B926FE" w:rsidRPr="009E3015" w14:paraId="567E730D"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7D085AD8" w14:textId="77777777" w:rsidR="00B926FE" w:rsidRPr="00EF3D9B" w:rsidRDefault="00B926FE" w:rsidP="000A2491">
            <w:pPr>
              <w:pStyle w:val="TableText"/>
              <w:rPr>
                <w:bCs/>
                <w:color w:val="000000" w:themeColor="text1"/>
              </w:rPr>
            </w:pPr>
            <w:r w:rsidRPr="00EF3D9B">
              <w:rPr>
                <w:bCs/>
                <w:color w:val="000000" w:themeColor="text1"/>
              </w:rPr>
              <w:t>48</w:t>
            </w:r>
            <w:r>
              <w:rPr>
                <w:bCs/>
                <w:color w:val="000000" w:themeColor="text1"/>
              </w:rPr>
              <w:t>–</w:t>
            </w:r>
            <w:r w:rsidRPr="00EF3D9B">
              <w:rPr>
                <w:bCs/>
                <w:color w:val="000000" w:themeColor="text1"/>
              </w:rPr>
              <w:t>57</w:t>
            </w:r>
          </w:p>
        </w:tc>
        <w:tc>
          <w:tcPr>
            <w:tcW w:w="492" w:type="dxa"/>
          </w:tcPr>
          <w:p w14:paraId="44921B63" w14:textId="77777777" w:rsidR="00B926FE" w:rsidRPr="009E3015" w:rsidRDefault="00B926FE" w:rsidP="000A2491">
            <w:pPr>
              <w:pStyle w:val="TableText"/>
              <w:jc w:val="right"/>
            </w:pPr>
            <w:r w:rsidRPr="009E3015">
              <w:t>98</w:t>
            </w:r>
          </w:p>
        </w:tc>
        <w:tc>
          <w:tcPr>
            <w:tcW w:w="974" w:type="dxa"/>
          </w:tcPr>
          <w:p w14:paraId="343175D0" w14:textId="77777777" w:rsidR="00B926FE" w:rsidRPr="009E3015" w:rsidRDefault="00B926FE" w:rsidP="000A2491">
            <w:pPr>
              <w:pStyle w:val="TableText"/>
              <w:jc w:val="right"/>
            </w:pPr>
            <w:r w:rsidRPr="009E3015">
              <w:t>466</w:t>
            </w:r>
          </w:p>
        </w:tc>
        <w:tc>
          <w:tcPr>
            <w:tcW w:w="1138" w:type="dxa"/>
          </w:tcPr>
          <w:p w14:paraId="68818606" w14:textId="77777777" w:rsidR="00B926FE" w:rsidRPr="009E3015" w:rsidRDefault="00B926FE" w:rsidP="000A2491">
            <w:pPr>
              <w:pStyle w:val="TableText"/>
              <w:jc w:val="right"/>
            </w:pPr>
            <w:r w:rsidRPr="009E3015">
              <w:t>73.8 (65.8</w:t>
            </w:r>
            <w:r>
              <w:t xml:space="preserve">, </w:t>
            </w:r>
            <w:r w:rsidRPr="009E3015">
              <w:t>80.4)</w:t>
            </w:r>
          </w:p>
        </w:tc>
        <w:tc>
          <w:tcPr>
            <w:tcW w:w="474" w:type="dxa"/>
          </w:tcPr>
          <w:p w14:paraId="4BFF8FBC" w14:textId="77777777" w:rsidR="00B926FE" w:rsidRPr="009E3015" w:rsidRDefault="00B926FE" w:rsidP="000A2491">
            <w:pPr>
              <w:pStyle w:val="TableText"/>
              <w:jc w:val="right"/>
            </w:pPr>
            <w:r w:rsidRPr="009E3015">
              <w:t>38</w:t>
            </w:r>
          </w:p>
        </w:tc>
        <w:tc>
          <w:tcPr>
            <w:tcW w:w="936" w:type="dxa"/>
          </w:tcPr>
          <w:p w14:paraId="263A0D4B" w14:textId="77777777" w:rsidR="00B926FE" w:rsidRPr="009E3015" w:rsidRDefault="00B926FE" w:rsidP="000A2491">
            <w:pPr>
              <w:pStyle w:val="TableText"/>
              <w:jc w:val="right"/>
            </w:pPr>
            <w:r w:rsidRPr="009E3015">
              <w:t>162</w:t>
            </w:r>
          </w:p>
        </w:tc>
        <w:tc>
          <w:tcPr>
            <w:tcW w:w="1089" w:type="dxa"/>
          </w:tcPr>
          <w:p w14:paraId="1C1CC29A" w14:textId="77777777" w:rsidR="00B926FE" w:rsidRPr="009E3015" w:rsidRDefault="00B926FE" w:rsidP="000A2491">
            <w:pPr>
              <w:pStyle w:val="TableText"/>
              <w:jc w:val="right"/>
            </w:pPr>
            <w:r w:rsidRPr="009E3015">
              <w:t>25.6 (19.0</w:t>
            </w:r>
            <w:r>
              <w:t xml:space="preserve">, </w:t>
            </w:r>
            <w:r w:rsidRPr="009E3015">
              <w:t>33.5)</w:t>
            </w:r>
          </w:p>
        </w:tc>
        <w:tc>
          <w:tcPr>
            <w:tcW w:w="493" w:type="dxa"/>
          </w:tcPr>
          <w:p w14:paraId="166244F2" w14:textId="77777777" w:rsidR="00B926FE" w:rsidRPr="009E3015" w:rsidRDefault="00B926FE" w:rsidP="000A2491">
            <w:pPr>
              <w:pStyle w:val="TableText"/>
              <w:jc w:val="right"/>
            </w:pPr>
            <w:r w:rsidRPr="009E3015">
              <w:t>204</w:t>
            </w:r>
          </w:p>
        </w:tc>
        <w:tc>
          <w:tcPr>
            <w:tcW w:w="974" w:type="dxa"/>
          </w:tcPr>
          <w:p w14:paraId="52FBB7D4" w14:textId="77777777" w:rsidR="00B926FE" w:rsidRPr="009E3015" w:rsidRDefault="00B926FE" w:rsidP="000A2491">
            <w:pPr>
              <w:pStyle w:val="TableText"/>
              <w:jc w:val="right"/>
            </w:pPr>
            <w:r w:rsidRPr="009E3015">
              <w:t>759</w:t>
            </w:r>
          </w:p>
        </w:tc>
        <w:tc>
          <w:tcPr>
            <w:tcW w:w="1138" w:type="dxa"/>
          </w:tcPr>
          <w:p w14:paraId="1DC81789" w14:textId="77777777" w:rsidR="00B926FE" w:rsidRPr="009E3015" w:rsidRDefault="00B926FE" w:rsidP="000A2491">
            <w:pPr>
              <w:pStyle w:val="TableText"/>
              <w:jc w:val="right"/>
            </w:pPr>
            <w:r w:rsidRPr="009E3015">
              <w:t>78.9 (72.9</w:t>
            </w:r>
            <w:r>
              <w:t xml:space="preserve">, </w:t>
            </w:r>
            <w:r w:rsidRPr="009E3015">
              <w:t>83.9)</w:t>
            </w:r>
          </w:p>
        </w:tc>
        <w:tc>
          <w:tcPr>
            <w:tcW w:w="474" w:type="dxa"/>
          </w:tcPr>
          <w:p w14:paraId="203B9C3E" w14:textId="77777777" w:rsidR="00B926FE" w:rsidRPr="009E3015" w:rsidRDefault="00B926FE" w:rsidP="000A2491">
            <w:pPr>
              <w:pStyle w:val="TableText"/>
              <w:jc w:val="right"/>
            </w:pPr>
            <w:r w:rsidRPr="009E3015">
              <w:t>57</w:t>
            </w:r>
          </w:p>
        </w:tc>
        <w:tc>
          <w:tcPr>
            <w:tcW w:w="936" w:type="dxa"/>
          </w:tcPr>
          <w:p w14:paraId="29E5B637" w14:textId="77777777" w:rsidR="00B926FE" w:rsidRPr="009E3015" w:rsidRDefault="00B926FE" w:rsidP="000A2491">
            <w:pPr>
              <w:pStyle w:val="TableText"/>
              <w:jc w:val="right"/>
            </w:pPr>
            <w:r w:rsidRPr="009E3015">
              <w:t>197</w:t>
            </w:r>
          </w:p>
        </w:tc>
        <w:tc>
          <w:tcPr>
            <w:tcW w:w="1089" w:type="dxa"/>
          </w:tcPr>
          <w:p w14:paraId="6C8C1E97" w14:textId="77777777" w:rsidR="00B926FE" w:rsidRPr="009E3015" w:rsidRDefault="00B926FE" w:rsidP="000A2491">
            <w:pPr>
              <w:pStyle w:val="TableText"/>
              <w:jc w:val="right"/>
            </w:pPr>
            <w:r w:rsidRPr="009E3015">
              <w:t>20.5 (15.6</w:t>
            </w:r>
            <w:r>
              <w:t xml:space="preserve">, </w:t>
            </w:r>
            <w:r w:rsidRPr="009E3015">
              <w:t>26.5)</w:t>
            </w:r>
          </w:p>
        </w:tc>
      </w:tr>
      <w:tr w:rsidR="005C60DC" w:rsidRPr="009E3015" w14:paraId="6BDC14AB" w14:textId="77777777" w:rsidTr="005C60DC">
        <w:trPr>
          <w:cantSplit/>
        </w:trPr>
        <w:tc>
          <w:tcPr>
            <w:tcW w:w="1299" w:type="dxa"/>
          </w:tcPr>
          <w:p w14:paraId="4C109EA7" w14:textId="77777777" w:rsidR="00B926FE" w:rsidRPr="00EF3D9B" w:rsidRDefault="00B926FE" w:rsidP="000A2491">
            <w:pPr>
              <w:pStyle w:val="TableText"/>
              <w:rPr>
                <w:bCs/>
                <w:color w:val="000000" w:themeColor="text1"/>
              </w:rPr>
            </w:pPr>
            <w:r w:rsidRPr="00EF3D9B">
              <w:rPr>
                <w:bCs/>
                <w:color w:val="000000" w:themeColor="text1"/>
              </w:rPr>
              <w:t>58+</w:t>
            </w:r>
          </w:p>
        </w:tc>
        <w:tc>
          <w:tcPr>
            <w:tcW w:w="492" w:type="dxa"/>
          </w:tcPr>
          <w:p w14:paraId="34A339D8" w14:textId="77777777" w:rsidR="00B926FE" w:rsidRPr="009E3015" w:rsidRDefault="00B926FE" w:rsidP="000A2491">
            <w:pPr>
              <w:pStyle w:val="TableText"/>
              <w:jc w:val="right"/>
            </w:pPr>
            <w:r w:rsidRPr="009E3015">
              <w:t>57</w:t>
            </w:r>
          </w:p>
        </w:tc>
        <w:tc>
          <w:tcPr>
            <w:tcW w:w="974" w:type="dxa"/>
          </w:tcPr>
          <w:p w14:paraId="74EEF0C0" w14:textId="77777777" w:rsidR="00B926FE" w:rsidRPr="009E3015" w:rsidRDefault="00B926FE" w:rsidP="000A2491">
            <w:pPr>
              <w:pStyle w:val="TableText"/>
              <w:jc w:val="right"/>
            </w:pPr>
            <w:r w:rsidRPr="009E3015">
              <w:t>243</w:t>
            </w:r>
          </w:p>
        </w:tc>
        <w:tc>
          <w:tcPr>
            <w:tcW w:w="1138" w:type="dxa"/>
          </w:tcPr>
          <w:p w14:paraId="0D96FB6D" w14:textId="77777777" w:rsidR="00B926FE" w:rsidRPr="009E3015" w:rsidRDefault="00B926FE" w:rsidP="000A2491">
            <w:pPr>
              <w:pStyle w:val="TableText"/>
              <w:jc w:val="right"/>
            </w:pPr>
            <w:r w:rsidRPr="009E3015">
              <w:t>82.8 (73.5</w:t>
            </w:r>
            <w:r>
              <w:t xml:space="preserve">, </w:t>
            </w:r>
            <w:r w:rsidRPr="009E3015">
              <w:t>89.4)</w:t>
            </w:r>
          </w:p>
        </w:tc>
        <w:tc>
          <w:tcPr>
            <w:tcW w:w="474" w:type="dxa"/>
          </w:tcPr>
          <w:p w14:paraId="743839DE" w14:textId="77777777" w:rsidR="00B926FE" w:rsidRPr="009E3015" w:rsidRDefault="00B926FE" w:rsidP="000A2491">
            <w:pPr>
              <w:pStyle w:val="TableText"/>
              <w:jc w:val="right"/>
            </w:pPr>
            <w:r w:rsidRPr="009E3015">
              <w:t>11</w:t>
            </w:r>
          </w:p>
        </w:tc>
        <w:tc>
          <w:tcPr>
            <w:tcW w:w="936" w:type="dxa"/>
          </w:tcPr>
          <w:p w14:paraId="2C10FF79" w14:textId="77777777" w:rsidR="00B926FE" w:rsidRPr="009E3015" w:rsidRDefault="00B926FE" w:rsidP="000A2491">
            <w:pPr>
              <w:pStyle w:val="TableText"/>
              <w:jc w:val="right"/>
            </w:pPr>
            <w:r w:rsidRPr="009E3015">
              <w:t>42</w:t>
            </w:r>
          </w:p>
        </w:tc>
        <w:tc>
          <w:tcPr>
            <w:tcW w:w="1089" w:type="dxa"/>
          </w:tcPr>
          <w:p w14:paraId="23258852" w14:textId="77777777" w:rsidR="00B926FE" w:rsidRPr="009E3015" w:rsidRDefault="00B926FE" w:rsidP="000A2491">
            <w:pPr>
              <w:pStyle w:val="TableText"/>
              <w:jc w:val="right"/>
            </w:pPr>
            <w:r w:rsidRPr="009E3015">
              <w:t>14.2 (8.5</w:t>
            </w:r>
            <w:r>
              <w:t xml:space="preserve">, </w:t>
            </w:r>
            <w:r w:rsidRPr="009E3015">
              <w:t>23.0)</w:t>
            </w:r>
          </w:p>
        </w:tc>
        <w:tc>
          <w:tcPr>
            <w:tcW w:w="493" w:type="dxa"/>
          </w:tcPr>
          <w:p w14:paraId="71EB7094" w14:textId="77777777" w:rsidR="00B926FE" w:rsidRPr="009E3015" w:rsidRDefault="00B926FE" w:rsidP="000A2491">
            <w:pPr>
              <w:pStyle w:val="TableText"/>
              <w:jc w:val="right"/>
            </w:pPr>
            <w:r w:rsidRPr="009E3015">
              <w:t>19</w:t>
            </w:r>
          </w:p>
        </w:tc>
        <w:tc>
          <w:tcPr>
            <w:tcW w:w="974" w:type="dxa"/>
          </w:tcPr>
          <w:p w14:paraId="704ABFD8" w14:textId="77777777" w:rsidR="00B926FE" w:rsidRPr="009E3015" w:rsidRDefault="00B926FE" w:rsidP="000A2491">
            <w:pPr>
              <w:pStyle w:val="TableText"/>
              <w:jc w:val="right"/>
            </w:pPr>
            <w:r w:rsidRPr="009E3015">
              <w:t>70</w:t>
            </w:r>
          </w:p>
        </w:tc>
        <w:tc>
          <w:tcPr>
            <w:tcW w:w="1138" w:type="dxa"/>
          </w:tcPr>
          <w:p w14:paraId="7EAEB8D3" w14:textId="77777777" w:rsidR="00B926FE" w:rsidRPr="009E3015" w:rsidRDefault="00B926FE" w:rsidP="000A2491">
            <w:pPr>
              <w:pStyle w:val="TableText"/>
              <w:jc w:val="right"/>
            </w:pPr>
            <w:r w:rsidRPr="009E3015">
              <w:t>83.8 (56.8</w:t>
            </w:r>
            <w:r>
              <w:t xml:space="preserve">, </w:t>
            </w:r>
            <w:r w:rsidRPr="009E3015">
              <w:t>95.3)</w:t>
            </w:r>
          </w:p>
        </w:tc>
        <w:tc>
          <w:tcPr>
            <w:tcW w:w="474" w:type="dxa"/>
          </w:tcPr>
          <w:p w14:paraId="0FF5847F" w14:textId="77777777" w:rsidR="00B926FE" w:rsidRPr="009E3015" w:rsidRDefault="00B926FE" w:rsidP="000A2491">
            <w:pPr>
              <w:pStyle w:val="TableText"/>
              <w:jc w:val="right"/>
            </w:pPr>
            <w:r w:rsidRPr="00E603D7">
              <w:t>#</w:t>
            </w:r>
          </w:p>
        </w:tc>
        <w:tc>
          <w:tcPr>
            <w:tcW w:w="936" w:type="dxa"/>
          </w:tcPr>
          <w:p w14:paraId="58E8A9C4" w14:textId="77777777" w:rsidR="00B926FE" w:rsidRPr="009E3015" w:rsidRDefault="00B926FE" w:rsidP="000A2491">
            <w:pPr>
              <w:pStyle w:val="TableText"/>
              <w:jc w:val="right"/>
            </w:pPr>
            <w:r>
              <w:t>–</w:t>
            </w:r>
          </w:p>
        </w:tc>
        <w:tc>
          <w:tcPr>
            <w:tcW w:w="1089" w:type="dxa"/>
          </w:tcPr>
          <w:p w14:paraId="70C5B5CB" w14:textId="77777777" w:rsidR="00B926FE" w:rsidRPr="009E3015" w:rsidRDefault="00B926FE" w:rsidP="000A2491">
            <w:pPr>
              <w:pStyle w:val="TableText"/>
              <w:jc w:val="right"/>
            </w:pPr>
            <w:r>
              <w:t>–</w:t>
            </w:r>
          </w:p>
        </w:tc>
      </w:tr>
      <w:tr w:rsidR="00B926FE" w:rsidRPr="009E3015" w14:paraId="43F73D0B"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7511E1EC" w14:textId="77777777" w:rsidR="00B926FE" w:rsidRPr="00EF3D9B" w:rsidRDefault="00B926FE" w:rsidP="000A2491">
            <w:pPr>
              <w:pStyle w:val="TableText"/>
              <w:rPr>
                <w:b/>
                <w:bCs/>
                <w:color w:val="000000" w:themeColor="text1"/>
              </w:rPr>
            </w:pPr>
            <w:r w:rsidRPr="00EF3D9B">
              <w:rPr>
                <w:b/>
                <w:bCs/>
                <w:color w:val="000000" w:themeColor="text1"/>
              </w:rPr>
              <w:t>Sex and Age (yrs)</w:t>
            </w:r>
          </w:p>
        </w:tc>
        <w:tc>
          <w:tcPr>
            <w:tcW w:w="492" w:type="dxa"/>
          </w:tcPr>
          <w:p w14:paraId="4A151A0A" w14:textId="77777777" w:rsidR="00B926FE" w:rsidRPr="009E3015" w:rsidRDefault="00B926FE" w:rsidP="000A2491">
            <w:pPr>
              <w:pStyle w:val="TableText"/>
              <w:jc w:val="right"/>
            </w:pPr>
          </w:p>
        </w:tc>
        <w:tc>
          <w:tcPr>
            <w:tcW w:w="974" w:type="dxa"/>
          </w:tcPr>
          <w:p w14:paraId="2694BC7D" w14:textId="77777777" w:rsidR="00B926FE" w:rsidRPr="009E3015" w:rsidRDefault="00B926FE" w:rsidP="000A2491">
            <w:pPr>
              <w:pStyle w:val="TableText"/>
              <w:jc w:val="right"/>
            </w:pPr>
          </w:p>
        </w:tc>
        <w:tc>
          <w:tcPr>
            <w:tcW w:w="1138" w:type="dxa"/>
          </w:tcPr>
          <w:p w14:paraId="330FCC7F" w14:textId="77777777" w:rsidR="00B926FE" w:rsidRPr="009E3015" w:rsidRDefault="00B926FE" w:rsidP="000A2491">
            <w:pPr>
              <w:pStyle w:val="TableText"/>
              <w:jc w:val="right"/>
            </w:pPr>
          </w:p>
        </w:tc>
        <w:tc>
          <w:tcPr>
            <w:tcW w:w="474" w:type="dxa"/>
          </w:tcPr>
          <w:p w14:paraId="0024E9C0" w14:textId="77777777" w:rsidR="00B926FE" w:rsidRPr="009E3015" w:rsidRDefault="00B926FE" w:rsidP="000A2491">
            <w:pPr>
              <w:pStyle w:val="TableText"/>
              <w:jc w:val="right"/>
            </w:pPr>
          </w:p>
        </w:tc>
        <w:tc>
          <w:tcPr>
            <w:tcW w:w="936" w:type="dxa"/>
          </w:tcPr>
          <w:p w14:paraId="2328146A" w14:textId="77777777" w:rsidR="00B926FE" w:rsidRPr="009E3015" w:rsidRDefault="00B926FE" w:rsidP="000A2491">
            <w:pPr>
              <w:pStyle w:val="TableText"/>
              <w:jc w:val="right"/>
            </w:pPr>
          </w:p>
        </w:tc>
        <w:tc>
          <w:tcPr>
            <w:tcW w:w="1089" w:type="dxa"/>
          </w:tcPr>
          <w:p w14:paraId="53A3D9AF" w14:textId="77777777" w:rsidR="00B926FE" w:rsidRPr="009E3015" w:rsidRDefault="00B926FE" w:rsidP="000A2491">
            <w:pPr>
              <w:pStyle w:val="TableText"/>
              <w:jc w:val="right"/>
            </w:pPr>
          </w:p>
        </w:tc>
        <w:tc>
          <w:tcPr>
            <w:tcW w:w="493" w:type="dxa"/>
          </w:tcPr>
          <w:p w14:paraId="4FE2F91F" w14:textId="77777777" w:rsidR="00B926FE" w:rsidRPr="009E3015" w:rsidRDefault="00B926FE" w:rsidP="000A2491">
            <w:pPr>
              <w:pStyle w:val="TableText"/>
              <w:jc w:val="right"/>
            </w:pPr>
          </w:p>
        </w:tc>
        <w:tc>
          <w:tcPr>
            <w:tcW w:w="974" w:type="dxa"/>
          </w:tcPr>
          <w:p w14:paraId="517BFF57" w14:textId="77777777" w:rsidR="00B926FE" w:rsidRPr="009E3015" w:rsidRDefault="00B926FE" w:rsidP="000A2491">
            <w:pPr>
              <w:pStyle w:val="TableText"/>
              <w:jc w:val="right"/>
            </w:pPr>
          </w:p>
        </w:tc>
        <w:tc>
          <w:tcPr>
            <w:tcW w:w="1138" w:type="dxa"/>
          </w:tcPr>
          <w:p w14:paraId="1CFF87B9" w14:textId="77777777" w:rsidR="00B926FE" w:rsidRPr="009E3015" w:rsidRDefault="00B926FE" w:rsidP="000A2491">
            <w:pPr>
              <w:pStyle w:val="TableText"/>
              <w:jc w:val="right"/>
            </w:pPr>
          </w:p>
        </w:tc>
        <w:tc>
          <w:tcPr>
            <w:tcW w:w="474" w:type="dxa"/>
          </w:tcPr>
          <w:p w14:paraId="120672E4" w14:textId="77777777" w:rsidR="00B926FE" w:rsidRPr="009E3015" w:rsidRDefault="00B926FE" w:rsidP="000A2491">
            <w:pPr>
              <w:pStyle w:val="TableText"/>
              <w:jc w:val="right"/>
            </w:pPr>
          </w:p>
        </w:tc>
        <w:tc>
          <w:tcPr>
            <w:tcW w:w="936" w:type="dxa"/>
          </w:tcPr>
          <w:p w14:paraId="1C724E87" w14:textId="77777777" w:rsidR="00B926FE" w:rsidRPr="009E3015" w:rsidRDefault="00B926FE" w:rsidP="000A2491">
            <w:pPr>
              <w:pStyle w:val="TableText"/>
              <w:jc w:val="right"/>
            </w:pPr>
          </w:p>
        </w:tc>
        <w:tc>
          <w:tcPr>
            <w:tcW w:w="1089" w:type="dxa"/>
          </w:tcPr>
          <w:p w14:paraId="683B3F46" w14:textId="77777777" w:rsidR="00B926FE" w:rsidRPr="009E3015" w:rsidRDefault="00B926FE" w:rsidP="000A2491">
            <w:pPr>
              <w:pStyle w:val="TableText"/>
              <w:jc w:val="right"/>
            </w:pPr>
          </w:p>
        </w:tc>
      </w:tr>
      <w:tr w:rsidR="005C60DC" w:rsidRPr="009E3015" w14:paraId="5CB7919F" w14:textId="77777777" w:rsidTr="005C60DC">
        <w:trPr>
          <w:cantSplit/>
        </w:trPr>
        <w:tc>
          <w:tcPr>
            <w:tcW w:w="1299" w:type="dxa"/>
          </w:tcPr>
          <w:p w14:paraId="7EED95F3" w14:textId="77777777" w:rsidR="00B926FE" w:rsidRPr="00EF3D9B" w:rsidRDefault="00B926FE" w:rsidP="000A2491">
            <w:pPr>
              <w:pStyle w:val="TableText"/>
              <w:rPr>
                <w:bCs/>
                <w:color w:val="000000" w:themeColor="text1"/>
              </w:rPr>
            </w:pPr>
            <w:r w:rsidRPr="00EF3D9B">
              <w:rPr>
                <w:bCs/>
                <w:color w:val="000000" w:themeColor="text1"/>
              </w:rPr>
              <w:t>Male 18</w:t>
            </w:r>
            <w:r>
              <w:rPr>
                <w:bCs/>
                <w:color w:val="000000" w:themeColor="text1"/>
              </w:rPr>
              <w:t>–</w:t>
            </w:r>
            <w:r w:rsidRPr="00EF3D9B">
              <w:rPr>
                <w:bCs/>
                <w:color w:val="000000" w:themeColor="text1"/>
              </w:rPr>
              <w:t>37</w:t>
            </w:r>
          </w:p>
        </w:tc>
        <w:tc>
          <w:tcPr>
            <w:tcW w:w="492" w:type="dxa"/>
          </w:tcPr>
          <w:p w14:paraId="7B9E8C00" w14:textId="77777777" w:rsidR="00B926FE" w:rsidRPr="009E3015" w:rsidRDefault="00B926FE" w:rsidP="000A2491">
            <w:pPr>
              <w:pStyle w:val="TableText"/>
              <w:jc w:val="right"/>
            </w:pPr>
            <w:r w:rsidRPr="009E3015">
              <w:t>165</w:t>
            </w:r>
          </w:p>
        </w:tc>
        <w:tc>
          <w:tcPr>
            <w:tcW w:w="974" w:type="dxa"/>
          </w:tcPr>
          <w:p w14:paraId="0C6DDE9A" w14:textId="77777777" w:rsidR="00B926FE" w:rsidRPr="009E3015" w:rsidRDefault="00B926FE" w:rsidP="000A2491">
            <w:pPr>
              <w:pStyle w:val="TableText"/>
              <w:jc w:val="right"/>
            </w:pPr>
            <w:r w:rsidRPr="009E3015">
              <w:t>1813</w:t>
            </w:r>
          </w:p>
        </w:tc>
        <w:tc>
          <w:tcPr>
            <w:tcW w:w="1138" w:type="dxa"/>
          </w:tcPr>
          <w:p w14:paraId="6E01847F" w14:textId="77777777" w:rsidR="00B926FE" w:rsidRPr="009E3015" w:rsidRDefault="00B926FE" w:rsidP="000A2491">
            <w:pPr>
              <w:pStyle w:val="TableText"/>
              <w:jc w:val="right"/>
            </w:pPr>
            <w:r w:rsidRPr="009E3015">
              <w:t>63.0 (55.7</w:t>
            </w:r>
            <w:r>
              <w:t xml:space="preserve">, </w:t>
            </w:r>
            <w:r w:rsidRPr="009E3015">
              <w:t>69.9)</w:t>
            </w:r>
          </w:p>
        </w:tc>
        <w:tc>
          <w:tcPr>
            <w:tcW w:w="474" w:type="dxa"/>
          </w:tcPr>
          <w:p w14:paraId="4B44F213" w14:textId="77777777" w:rsidR="00B926FE" w:rsidRPr="009E3015" w:rsidRDefault="00B926FE" w:rsidP="000A2491">
            <w:pPr>
              <w:pStyle w:val="TableText"/>
              <w:jc w:val="right"/>
            </w:pPr>
            <w:r w:rsidRPr="009E3015">
              <w:t>93</w:t>
            </w:r>
          </w:p>
        </w:tc>
        <w:tc>
          <w:tcPr>
            <w:tcW w:w="936" w:type="dxa"/>
          </w:tcPr>
          <w:p w14:paraId="2F079925" w14:textId="77777777" w:rsidR="00B926FE" w:rsidRPr="009E3015" w:rsidRDefault="00B926FE" w:rsidP="000A2491">
            <w:pPr>
              <w:pStyle w:val="TableText"/>
              <w:jc w:val="right"/>
            </w:pPr>
            <w:r w:rsidRPr="009E3015">
              <w:t>1044</w:t>
            </w:r>
          </w:p>
        </w:tc>
        <w:tc>
          <w:tcPr>
            <w:tcW w:w="1089" w:type="dxa"/>
          </w:tcPr>
          <w:p w14:paraId="518AFCE7" w14:textId="77777777" w:rsidR="00B926FE" w:rsidRPr="009E3015" w:rsidRDefault="00B926FE" w:rsidP="000A2491">
            <w:pPr>
              <w:pStyle w:val="TableText"/>
              <w:jc w:val="right"/>
            </w:pPr>
            <w:r w:rsidRPr="009E3015">
              <w:t>36.3 (29.5</w:t>
            </w:r>
            <w:r>
              <w:t xml:space="preserve">, </w:t>
            </w:r>
            <w:r w:rsidRPr="009E3015">
              <w:t>43.7)</w:t>
            </w:r>
          </w:p>
        </w:tc>
        <w:tc>
          <w:tcPr>
            <w:tcW w:w="493" w:type="dxa"/>
          </w:tcPr>
          <w:p w14:paraId="5C15094D" w14:textId="77777777" w:rsidR="00B926FE" w:rsidRPr="009E3015" w:rsidRDefault="00B926FE" w:rsidP="000A2491">
            <w:pPr>
              <w:pStyle w:val="TableText"/>
              <w:jc w:val="right"/>
            </w:pPr>
            <w:r w:rsidRPr="009E3015">
              <w:t>269</w:t>
            </w:r>
          </w:p>
        </w:tc>
        <w:tc>
          <w:tcPr>
            <w:tcW w:w="974" w:type="dxa"/>
          </w:tcPr>
          <w:p w14:paraId="2E12B194" w14:textId="77777777" w:rsidR="00B926FE" w:rsidRPr="009E3015" w:rsidRDefault="00B926FE" w:rsidP="000A2491">
            <w:pPr>
              <w:pStyle w:val="TableText"/>
              <w:jc w:val="right"/>
            </w:pPr>
            <w:r w:rsidRPr="009E3015">
              <w:t>3291</w:t>
            </w:r>
          </w:p>
        </w:tc>
        <w:tc>
          <w:tcPr>
            <w:tcW w:w="1138" w:type="dxa"/>
          </w:tcPr>
          <w:p w14:paraId="1E33561B" w14:textId="77777777" w:rsidR="00B926FE" w:rsidRPr="009E3015" w:rsidRDefault="00B926FE" w:rsidP="000A2491">
            <w:pPr>
              <w:pStyle w:val="TableText"/>
              <w:jc w:val="right"/>
            </w:pPr>
            <w:r w:rsidRPr="009E3015">
              <w:t>66.3 (48.5</w:t>
            </w:r>
            <w:r>
              <w:t xml:space="preserve">, </w:t>
            </w:r>
            <w:r w:rsidRPr="009E3015">
              <w:t>80.4)</w:t>
            </w:r>
          </w:p>
        </w:tc>
        <w:tc>
          <w:tcPr>
            <w:tcW w:w="474" w:type="dxa"/>
          </w:tcPr>
          <w:p w14:paraId="327B0D65" w14:textId="77777777" w:rsidR="00B926FE" w:rsidRPr="009E3015" w:rsidRDefault="00B926FE" w:rsidP="000A2491">
            <w:pPr>
              <w:pStyle w:val="TableText"/>
              <w:jc w:val="right"/>
            </w:pPr>
            <w:r w:rsidRPr="009E3015">
              <w:t>96</w:t>
            </w:r>
          </w:p>
        </w:tc>
        <w:tc>
          <w:tcPr>
            <w:tcW w:w="936" w:type="dxa"/>
          </w:tcPr>
          <w:p w14:paraId="35BDAF63" w14:textId="77777777" w:rsidR="00B926FE" w:rsidRPr="009E3015" w:rsidRDefault="00B926FE" w:rsidP="000A2491">
            <w:pPr>
              <w:pStyle w:val="TableText"/>
              <w:jc w:val="right"/>
            </w:pPr>
            <w:r w:rsidRPr="009E3015">
              <w:t>1654</w:t>
            </w:r>
          </w:p>
        </w:tc>
        <w:tc>
          <w:tcPr>
            <w:tcW w:w="1089" w:type="dxa"/>
          </w:tcPr>
          <w:p w14:paraId="48FE3EAF" w14:textId="77777777" w:rsidR="00B926FE" w:rsidRPr="009E3015" w:rsidRDefault="00B926FE" w:rsidP="000A2491">
            <w:pPr>
              <w:pStyle w:val="TableText"/>
              <w:jc w:val="right"/>
            </w:pPr>
            <w:r w:rsidRPr="009E3015">
              <w:t>33.3 (19.2</w:t>
            </w:r>
            <w:r>
              <w:t xml:space="preserve">, </w:t>
            </w:r>
            <w:r w:rsidRPr="009E3015">
              <w:t>51.2)</w:t>
            </w:r>
          </w:p>
        </w:tc>
      </w:tr>
      <w:tr w:rsidR="00B926FE" w:rsidRPr="009E3015" w14:paraId="526021DC"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095A56A2" w14:textId="77777777" w:rsidR="00B926FE" w:rsidRPr="00EF3D9B" w:rsidRDefault="00B926FE" w:rsidP="000A2491">
            <w:pPr>
              <w:pStyle w:val="TableText"/>
              <w:rPr>
                <w:bCs/>
                <w:color w:val="000000" w:themeColor="text1"/>
              </w:rPr>
            </w:pPr>
            <w:r w:rsidRPr="00EF3D9B">
              <w:rPr>
                <w:bCs/>
                <w:color w:val="000000" w:themeColor="text1"/>
              </w:rPr>
              <w:t>Male 38+</w:t>
            </w:r>
          </w:p>
        </w:tc>
        <w:tc>
          <w:tcPr>
            <w:tcW w:w="492" w:type="dxa"/>
          </w:tcPr>
          <w:p w14:paraId="69BA3E78" w14:textId="77777777" w:rsidR="00B926FE" w:rsidRPr="009E3015" w:rsidRDefault="00B926FE" w:rsidP="000A2491">
            <w:pPr>
              <w:pStyle w:val="TableText"/>
              <w:jc w:val="right"/>
            </w:pPr>
            <w:r w:rsidRPr="009E3015">
              <w:t>279</w:t>
            </w:r>
          </w:p>
        </w:tc>
        <w:tc>
          <w:tcPr>
            <w:tcW w:w="974" w:type="dxa"/>
          </w:tcPr>
          <w:p w14:paraId="28FB7596" w14:textId="77777777" w:rsidR="00B926FE" w:rsidRPr="009E3015" w:rsidRDefault="00B926FE" w:rsidP="000A2491">
            <w:pPr>
              <w:pStyle w:val="TableText"/>
              <w:jc w:val="right"/>
            </w:pPr>
            <w:r w:rsidRPr="009E3015">
              <w:t>1401</w:t>
            </w:r>
          </w:p>
        </w:tc>
        <w:tc>
          <w:tcPr>
            <w:tcW w:w="1138" w:type="dxa"/>
          </w:tcPr>
          <w:p w14:paraId="51DAB5DC" w14:textId="77777777" w:rsidR="00B926FE" w:rsidRPr="009E3015" w:rsidRDefault="00B926FE" w:rsidP="000A2491">
            <w:pPr>
              <w:pStyle w:val="TableText"/>
              <w:jc w:val="right"/>
            </w:pPr>
            <w:r w:rsidRPr="009E3015">
              <w:t>68.7 (63.1</w:t>
            </w:r>
            <w:r>
              <w:t xml:space="preserve">, </w:t>
            </w:r>
            <w:r w:rsidRPr="009E3015">
              <w:t>73.8)</w:t>
            </w:r>
          </w:p>
        </w:tc>
        <w:tc>
          <w:tcPr>
            <w:tcW w:w="474" w:type="dxa"/>
          </w:tcPr>
          <w:p w14:paraId="4E7FA5DE" w14:textId="77777777" w:rsidR="00B926FE" w:rsidRPr="009E3015" w:rsidRDefault="00B926FE" w:rsidP="000A2491">
            <w:pPr>
              <w:pStyle w:val="TableText"/>
              <w:jc w:val="right"/>
            </w:pPr>
            <w:r w:rsidRPr="009E3015">
              <w:t>112</w:t>
            </w:r>
          </w:p>
        </w:tc>
        <w:tc>
          <w:tcPr>
            <w:tcW w:w="936" w:type="dxa"/>
          </w:tcPr>
          <w:p w14:paraId="120B1389" w14:textId="77777777" w:rsidR="00B926FE" w:rsidRPr="009E3015" w:rsidRDefault="00B926FE" w:rsidP="000A2491">
            <w:pPr>
              <w:pStyle w:val="TableText"/>
              <w:jc w:val="right"/>
            </w:pPr>
            <w:r w:rsidRPr="009E3015">
              <w:t>594</w:t>
            </w:r>
          </w:p>
        </w:tc>
        <w:tc>
          <w:tcPr>
            <w:tcW w:w="1089" w:type="dxa"/>
          </w:tcPr>
          <w:p w14:paraId="4DF93919" w14:textId="77777777" w:rsidR="00B926FE" w:rsidRPr="009E3015" w:rsidRDefault="00B926FE" w:rsidP="000A2491">
            <w:pPr>
              <w:pStyle w:val="TableText"/>
              <w:jc w:val="right"/>
            </w:pPr>
            <w:r w:rsidRPr="009E3015">
              <w:t>29.1 (24.2</w:t>
            </w:r>
            <w:r>
              <w:t xml:space="preserve">, </w:t>
            </w:r>
            <w:r w:rsidRPr="009E3015">
              <w:t>34.6)</w:t>
            </w:r>
          </w:p>
        </w:tc>
        <w:tc>
          <w:tcPr>
            <w:tcW w:w="493" w:type="dxa"/>
          </w:tcPr>
          <w:p w14:paraId="6D10551D" w14:textId="77777777" w:rsidR="00B926FE" w:rsidRPr="009E3015" w:rsidRDefault="00B926FE" w:rsidP="000A2491">
            <w:pPr>
              <w:pStyle w:val="TableText"/>
              <w:jc w:val="right"/>
            </w:pPr>
            <w:r w:rsidRPr="009E3015">
              <w:t>459</w:t>
            </w:r>
          </w:p>
        </w:tc>
        <w:tc>
          <w:tcPr>
            <w:tcW w:w="974" w:type="dxa"/>
          </w:tcPr>
          <w:p w14:paraId="269E1BFE" w14:textId="77777777" w:rsidR="00B926FE" w:rsidRPr="009E3015" w:rsidRDefault="00B926FE" w:rsidP="000A2491">
            <w:pPr>
              <w:pStyle w:val="TableText"/>
              <w:jc w:val="right"/>
            </w:pPr>
            <w:r w:rsidRPr="009E3015">
              <w:t>1867</w:t>
            </w:r>
          </w:p>
        </w:tc>
        <w:tc>
          <w:tcPr>
            <w:tcW w:w="1138" w:type="dxa"/>
          </w:tcPr>
          <w:p w14:paraId="1AA4ACD4" w14:textId="77777777" w:rsidR="00B926FE" w:rsidRPr="009E3015" w:rsidRDefault="00B926FE" w:rsidP="000A2491">
            <w:pPr>
              <w:pStyle w:val="TableText"/>
              <w:jc w:val="right"/>
            </w:pPr>
            <w:r w:rsidRPr="009E3015">
              <w:t>74.6 (70.0</w:t>
            </w:r>
            <w:r>
              <w:t xml:space="preserve">, </w:t>
            </w:r>
            <w:r w:rsidRPr="009E3015">
              <w:t>78.7)</w:t>
            </w:r>
          </w:p>
        </w:tc>
        <w:tc>
          <w:tcPr>
            <w:tcW w:w="474" w:type="dxa"/>
          </w:tcPr>
          <w:p w14:paraId="3A86F46B" w14:textId="77777777" w:rsidR="00B926FE" w:rsidRPr="009E3015" w:rsidRDefault="00B926FE" w:rsidP="000A2491">
            <w:pPr>
              <w:pStyle w:val="TableText"/>
              <w:jc w:val="right"/>
            </w:pPr>
            <w:r w:rsidRPr="009E3015">
              <w:t>158</w:t>
            </w:r>
          </w:p>
        </w:tc>
        <w:tc>
          <w:tcPr>
            <w:tcW w:w="936" w:type="dxa"/>
          </w:tcPr>
          <w:p w14:paraId="665B7793" w14:textId="77777777" w:rsidR="00B926FE" w:rsidRPr="009E3015" w:rsidRDefault="00B926FE" w:rsidP="000A2491">
            <w:pPr>
              <w:pStyle w:val="TableText"/>
              <w:jc w:val="right"/>
            </w:pPr>
            <w:r w:rsidRPr="009E3015">
              <w:t>616</w:t>
            </w:r>
          </w:p>
        </w:tc>
        <w:tc>
          <w:tcPr>
            <w:tcW w:w="1089" w:type="dxa"/>
          </w:tcPr>
          <w:p w14:paraId="5E071FE9" w14:textId="77777777" w:rsidR="00B926FE" w:rsidRPr="009E3015" w:rsidRDefault="00B926FE" w:rsidP="000A2491">
            <w:pPr>
              <w:pStyle w:val="TableText"/>
              <w:jc w:val="right"/>
            </w:pPr>
            <w:r w:rsidRPr="009E3015">
              <w:t>24.6 (20.6</w:t>
            </w:r>
            <w:r>
              <w:t xml:space="preserve">, </w:t>
            </w:r>
            <w:r w:rsidRPr="009E3015">
              <w:t>29.1)</w:t>
            </w:r>
          </w:p>
        </w:tc>
      </w:tr>
      <w:tr w:rsidR="005C60DC" w:rsidRPr="009E3015" w14:paraId="6CEA98CD" w14:textId="77777777" w:rsidTr="005C60DC">
        <w:trPr>
          <w:cantSplit/>
        </w:trPr>
        <w:tc>
          <w:tcPr>
            <w:tcW w:w="1299" w:type="dxa"/>
          </w:tcPr>
          <w:p w14:paraId="4CFFC432" w14:textId="77777777" w:rsidR="00B926FE" w:rsidRPr="00EF3D9B" w:rsidRDefault="00B926FE" w:rsidP="000A2491">
            <w:pPr>
              <w:pStyle w:val="TableText"/>
              <w:rPr>
                <w:bCs/>
                <w:color w:val="000000" w:themeColor="text1"/>
              </w:rPr>
            </w:pPr>
            <w:r w:rsidRPr="00EF3D9B">
              <w:rPr>
                <w:bCs/>
                <w:color w:val="000000" w:themeColor="text1"/>
              </w:rPr>
              <w:t>Female 18</w:t>
            </w:r>
            <w:r>
              <w:rPr>
                <w:bCs/>
                <w:color w:val="000000" w:themeColor="text1"/>
              </w:rPr>
              <w:t>–</w:t>
            </w:r>
            <w:r w:rsidRPr="00EF3D9B">
              <w:rPr>
                <w:bCs/>
                <w:color w:val="000000" w:themeColor="text1"/>
              </w:rPr>
              <w:t>37</w:t>
            </w:r>
          </w:p>
        </w:tc>
        <w:tc>
          <w:tcPr>
            <w:tcW w:w="492" w:type="dxa"/>
          </w:tcPr>
          <w:p w14:paraId="0B1692C0" w14:textId="77777777" w:rsidR="00B926FE" w:rsidRPr="009E3015" w:rsidRDefault="00B926FE" w:rsidP="000A2491">
            <w:pPr>
              <w:pStyle w:val="TableText"/>
              <w:jc w:val="right"/>
            </w:pPr>
            <w:r w:rsidRPr="009E3015">
              <w:t>75</w:t>
            </w:r>
          </w:p>
        </w:tc>
        <w:tc>
          <w:tcPr>
            <w:tcW w:w="974" w:type="dxa"/>
          </w:tcPr>
          <w:p w14:paraId="7C088864" w14:textId="77777777" w:rsidR="00B926FE" w:rsidRPr="009E3015" w:rsidRDefault="00B926FE" w:rsidP="000A2491">
            <w:pPr>
              <w:pStyle w:val="TableText"/>
              <w:jc w:val="right"/>
            </w:pPr>
            <w:r w:rsidRPr="009E3015">
              <w:t>484</w:t>
            </w:r>
          </w:p>
        </w:tc>
        <w:tc>
          <w:tcPr>
            <w:tcW w:w="1138" w:type="dxa"/>
          </w:tcPr>
          <w:p w14:paraId="6E6570D1" w14:textId="77777777" w:rsidR="00B926FE" w:rsidRPr="009E3015" w:rsidRDefault="00B926FE" w:rsidP="000A2491">
            <w:pPr>
              <w:pStyle w:val="TableText"/>
              <w:jc w:val="right"/>
            </w:pPr>
            <w:r w:rsidRPr="009E3015">
              <w:t>62.8 (52.0</w:t>
            </w:r>
            <w:r>
              <w:t xml:space="preserve">, </w:t>
            </w:r>
            <w:r w:rsidRPr="009E3015">
              <w:t>72.4)</w:t>
            </w:r>
          </w:p>
        </w:tc>
        <w:tc>
          <w:tcPr>
            <w:tcW w:w="474" w:type="dxa"/>
          </w:tcPr>
          <w:p w14:paraId="44A5F1F2" w14:textId="77777777" w:rsidR="00B926FE" w:rsidRPr="009E3015" w:rsidRDefault="00B926FE" w:rsidP="000A2491">
            <w:pPr>
              <w:pStyle w:val="TableText"/>
              <w:jc w:val="right"/>
            </w:pPr>
            <w:r w:rsidRPr="009E3015">
              <w:t>41</w:t>
            </w:r>
          </w:p>
        </w:tc>
        <w:tc>
          <w:tcPr>
            <w:tcW w:w="936" w:type="dxa"/>
          </w:tcPr>
          <w:p w14:paraId="2D3F99AC" w14:textId="77777777" w:rsidR="00B926FE" w:rsidRPr="009E3015" w:rsidRDefault="00B926FE" w:rsidP="000A2491">
            <w:pPr>
              <w:pStyle w:val="TableText"/>
              <w:jc w:val="right"/>
            </w:pPr>
            <w:r w:rsidRPr="009E3015">
              <w:t>287</w:t>
            </w:r>
          </w:p>
        </w:tc>
        <w:tc>
          <w:tcPr>
            <w:tcW w:w="1089" w:type="dxa"/>
          </w:tcPr>
          <w:p w14:paraId="7BF71D45" w14:textId="77777777" w:rsidR="00B926FE" w:rsidRPr="009E3015" w:rsidRDefault="00B926FE" w:rsidP="000A2491">
            <w:pPr>
              <w:pStyle w:val="TableText"/>
              <w:jc w:val="right"/>
            </w:pPr>
            <w:r w:rsidRPr="009E3015">
              <w:t>37.2 (27.6</w:t>
            </w:r>
            <w:r>
              <w:t xml:space="preserve">, </w:t>
            </w:r>
            <w:r w:rsidRPr="009E3015">
              <w:t>48.0)</w:t>
            </w:r>
          </w:p>
        </w:tc>
        <w:tc>
          <w:tcPr>
            <w:tcW w:w="493" w:type="dxa"/>
          </w:tcPr>
          <w:p w14:paraId="522ACC56" w14:textId="77777777" w:rsidR="00B926FE" w:rsidRPr="009E3015" w:rsidRDefault="00B926FE" w:rsidP="000A2491">
            <w:pPr>
              <w:pStyle w:val="TableText"/>
              <w:jc w:val="right"/>
            </w:pPr>
            <w:r w:rsidRPr="009E3015">
              <w:t>157</w:t>
            </w:r>
          </w:p>
        </w:tc>
        <w:tc>
          <w:tcPr>
            <w:tcW w:w="974" w:type="dxa"/>
          </w:tcPr>
          <w:p w14:paraId="4EEDEB37" w14:textId="77777777" w:rsidR="00B926FE" w:rsidRPr="009E3015" w:rsidRDefault="00B926FE" w:rsidP="000A2491">
            <w:pPr>
              <w:pStyle w:val="TableText"/>
              <w:jc w:val="right"/>
            </w:pPr>
            <w:r w:rsidRPr="009E3015">
              <w:t>542</w:t>
            </w:r>
          </w:p>
        </w:tc>
        <w:tc>
          <w:tcPr>
            <w:tcW w:w="1138" w:type="dxa"/>
          </w:tcPr>
          <w:p w14:paraId="18656D02" w14:textId="77777777" w:rsidR="00B926FE" w:rsidRPr="009E3015" w:rsidRDefault="00B926FE" w:rsidP="000A2491">
            <w:pPr>
              <w:pStyle w:val="TableText"/>
              <w:jc w:val="right"/>
            </w:pPr>
            <w:r w:rsidRPr="009E3015">
              <w:t>61.6 (55.7</w:t>
            </w:r>
            <w:r>
              <w:t xml:space="preserve">, </w:t>
            </w:r>
            <w:r w:rsidRPr="009E3015">
              <w:t>67.2)</w:t>
            </w:r>
          </w:p>
        </w:tc>
        <w:tc>
          <w:tcPr>
            <w:tcW w:w="474" w:type="dxa"/>
          </w:tcPr>
          <w:p w14:paraId="061398E8" w14:textId="77777777" w:rsidR="00B926FE" w:rsidRPr="009E3015" w:rsidRDefault="00B926FE" w:rsidP="000A2491">
            <w:pPr>
              <w:pStyle w:val="TableText"/>
              <w:jc w:val="right"/>
            </w:pPr>
            <w:r w:rsidRPr="009E3015">
              <w:t>98</w:t>
            </w:r>
          </w:p>
        </w:tc>
        <w:tc>
          <w:tcPr>
            <w:tcW w:w="936" w:type="dxa"/>
          </w:tcPr>
          <w:p w14:paraId="38DDB215" w14:textId="77777777" w:rsidR="00B926FE" w:rsidRPr="009E3015" w:rsidRDefault="00B926FE" w:rsidP="000A2491">
            <w:pPr>
              <w:pStyle w:val="TableText"/>
              <w:jc w:val="right"/>
            </w:pPr>
            <w:r w:rsidRPr="009E3015">
              <w:t>332</w:t>
            </w:r>
          </w:p>
        </w:tc>
        <w:tc>
          <w:tcPr>
            <w:tcW w:w="1089" w:type="dxa"/>
          </w:tcPr>
          <w:p w14:paraId="2C059324" w14:textId="77777777" w:rsidR="00B926FE" w:rsidRPr="009E3015" w:rsidRDefault="00B926FE" w:rsidP="000A2491">
            <w:pPr>
              <w:pStyle w:val="TableText"/>
              <w:jc w:val="right"/>
            </w:pPr>
            <w:r w:rsidRPr="009E3015">
              <w:t>37.7 (32.1</w:t>
            </w:r>
            <w:r>
              <w:t xml:space="preserve">, </w:t>
            </w:r>
            <w:r w:rsidRPr="009E3015">
              <w:t>43.6)</w:t>
            </w:r>
          </w:p>
        </w:tc>
      </w:tr>
      <w:tr w:rsidR="00B926FE" w:rsidRPr="009E3015" w14:paraId="28524971"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299" w:type="dxa"/>
          </w:tcPr>
          <w:p w14:paraId="7EF4F0AC" w14:textId="77777777" w:rsidR="00B926FE" w:rsidRPr="00EF3D9B" w:rsidRDefault="00B926FE" w:rsidP="000A2491">
            <w:pPr>
              <w:pStyle w:val="TableText"/>
              <w:rPr>
                <w:bCs/>
                <w:color w:val="000000" w:themeColor="text1"/>
              </w:rPr>
            </w:pPr>
            <w:r w:rsidRPr="00EF3D9B">
              <w:rPr>
                <w:bCs/>
                <w:color w:val="000000" w:themeColor="text1"/>
              </w:rPr>
              <w:t>Female 38+</w:t>
            </w:r>
          </w:p>
        </w:tc>
        <w:tc>
          <w:tcPr>
            <w:tcW w:w="492" w:type="dxa"/>
          </w:tcPr>
          <w:p w14:paraId="15C1EE99" w14:textId="77777777" w:rsidR="00B926FE" w:rsidRPr="009E3015" w:rsidRDefault="00B926FE" w:rsidP="000A2491">
            <w:pPr>
              <w:pStyle w:val="TableText"/>
              <w:jc w:val="right"/>
            </w:pPr>
            <w:r w:rsidRPr="009E3015">
              <w:t>51</w:t>
            </w:r>
          </w:p>
        </w:tc>
        <w:tc>
          <w:tcPr>
            <w:tcW w:w="974" w:type="dxa"/>
          </w:tcPr>
          <w:p w14:paraId="4BEB1DA7" w14:textId="77777777" w:rsidR="00B926FE" w:rsidRPr="009E3015" w:rsidRDefault="00B926FE" w:rsidP="000A2491">
            <w:pPr>
              <w:pStyle w:val="TableText"/>
              <w:jc w:val="right"/>
            </w:pPr>
            <w:r w:rsidRPr="009E3015">
              <w:t>235</w:t>
            </w:r>
          </w:p>
        </w:tc>
        <w:tc>
          <w:tcPr>
            <w:tcW w:w="1138" w:type="dxa"/>
          </w:tcPr>
          <w:p w14:paraId="15DD60BE" w14:textId="77777777" w:rsidR="00B926FE" w:rsidRPr="009E3015" w:rsidRDefault="00B926FE" w:rsidP="000A2491">
            <w:pPr>
              <w:pStyle w:val="TableText"/>
              <w:jc w:val="right"/>
            </w:pPr>
            <w:r w:rsidRPr="009E3015">
              <w:t>69.8 (56.7</w:t>
            </w:r>
            <w:r>
              <w:t xml:space="preserve">, </w:t>
            </w:r>
            <w:r w:rsidRPr="009E3015">
              <w:t>80.3)</w:t>
            </w:r>
          </w:p>
        </w:tc>
        <w:tc>
          <w:tcPr>
            <w:tcW w:w="474" w:type="dxa"/>
          </w:tcPr>
          <w:p w14:paraId="68D52107" w14:textId="77777777" w:rsidR="00B926FE" w:rsidRPr="009E3015" w:rsidRDefault="00B926FE" w:rsidP="000A2491">
            <w:pPr>
              <w:pStyle w:val="TableText"/>
              <w:jc w:val="right"/>
            </w:pPr>
            <w:r w:rsidRPr="009E3015">
              <w:t>22</w:t>
            </w:r>
          </w:p>
        </w:tc>
        <w:tc>
          <w:tcPr>
            <w:tcW w:w="936" w:type="dxa"/>
          </w:tcPr>
          <w:p w14:paraId="5360F8BC" w14:textId="77777777" w:rsidR="00B926FE" w:rsidRPr="009E3015" w:rsidRDefault="00B926FE" w:rsidP="000A2491">
            <w:pPr>
              <w:pStyle w:val="TableText"/>
              <w:jc w:val="right"/>
            </w:pPr>
            <w:r w:rsidRPr="009E3015">
              <w:t>102</w:t>
            </w:r>
          </w:p>
        </w:tc>
        <w:tc>
          <w:tcPr>
            <w:tcW w:w="1089" w:type="dxa"/>
          </w:tcPr>
          <w:p w14:paraId="4A33336A" w14:textId="77777777" w:rsidR="00B926FE" w:rsidRPr="009E3015" w:rsidRDefault="00B926FE" w:rsidP="000A2491">
            <w:pPr>
              <w:pStyle w:val="TableText"/>
              <w:jc w:val="right"/>
            </w:pPr>
            <w:r w:rsidRPr="009E3015">
              <w:t>30.2 (19.7</w:t>
            </w:r>
            <w:r>
              <w:t xml:space="preserve">, </w:t>
            </w:r>
            <w:r w:rsidRPr="009E3015">
              <w:t>43.3)</w:t>
            </w:r>
          </w:p>
        </w:tc>
        <w:tc>
          <w:tcPr>
            <w:tcW w:w="493" w:type="dxa"/>
          </w:tcPr>
          <w:p w14:paraId="294851A9" w14:textId="77777777" w:rsidR="00B926FE" w:rsidRPr="009E3015" w:rsidRDefault="00B926FE" w:rsidP="000A2491">
            <w:pPr>
              <w:pStyle w:val="TableText"/>
              <w:jc w:val="right"/>
            </w:pPr>
            <w:r w:rsidRPr="009E3015">
              <w:t>124</w:t>
            </w:r>
          </w:p>
        </w:tc>
        <w:tc>
          <w:tcPr>
            <w:tcW w:w="974" w:type="dxa"/>
          </w:tcPr>
          <w:p w14:paraId="5671864D" w14:textId="77777777" w:rsidR="00B926FE" w:rsidRPr="009E3015" w:rsidRDefault="00B926FE" w:rsidP="000A2491">
            <w:pPr>
              <w:pStyle w:val="TableText"/>
              <w:jc w:val="right"/>
            </w:pPr>
            <w:r w:rsidRPr="009E3015">
              <w:t>371</w:t>
            </w:r>
          </w:p>
        </w:tc>
        <w:tc>
          <w:tcPr>
            <w:tcW w:w="1138" w:type="dxa"/>
          </w:tcPr>
          <w:p w14:paraId="5C3A23DE" w14:textId="77777777" w:rsidR="00B926FE" w:rsidRPr="009E3015" w:rsidRDefault="00B926FE" w:rsidP="000A2491">
            <w:pPr>
              <w:pStyle w:val="TableText"/>
              <w:jc w:val="right"/>
            </w:pPr>
            <w:r w:rsidRPr="009E3015">
              <w:t>78.4 (72.7</w:t>
            </w:r>
            <w:r>
              <w:t xml:space="preserve">, </w:t>
            </w:r>
            <w:r w:rsidRPr="009E3015">
              <w:t>83.2)</w:t>
            </w:r>
          </w:p>
        </w:tc>
        <w:tc>
          <w:tcPr>
            <w:tcW w:w="474" w:type="dxa"/>
          </w:tcPr>
          <w:p w14:paraId="3D7EEB11" w14:textId="77777777" w:rsidR="00B926FE" w:rsidRPr="009E3015" w:rsidRDefault="00B926FE" w:rsidP="000A2491">
            <w:pPr>
              <w:pStyle w:val="TableText"/>
              <w:jc w:val="right"/>
            </w:pPr>
            <w:r w:rsidRPr="009E3015">
              <w:t>35</w:t>
            </w:r>
          </w:p>
        </w:tc>
        <w:tc>
          <w:tcPr>
            <w:tcW w:w="936" w:type="dxa"/>
          </w:tcPr>
          <w:p w14:paraId="490CC8D6" w14:textId="77777777" w:rsidR="00B926FE" w:rsidRPr="009E3015" w:rsidRDefault="00B926FE" w:rsidP="000A2491">
            <w:pPr>
              <w:pStyle w:val="TableText"/>
              <w:jc w:val="right"/>
            </w:pPr>
            <w:r w:rsidRPr="009E3015">
              <w:t>98</w:t>
            </w:r>
          </w:p>
        </w:tc>
        <w:tc>
          <w:tcPr>
            <w:tcW w:w="1089" w:type="dxa"/>
          </w:tcPr>
          <w:p w14:paraId="0A819588" w14:textId="77777777" w:rsidR="00B926FE" w:rsidRPr="009E3015" w:rsidRDefault="00B926FE" w:rsidP="000A2491">
            <w:pPr>
              <w:pStyle w:val="TableText"/>
              <w:jc w:val="right"/>
            </w:pPr>
            <w:r w:rsidRPr="009E3015">
              <w:t>20.7 (16.0</w:t>
            </w:r>
            <w:r>
              <w:t xml:space="preserve">, </w:t>
            </w:r>
            <w:r w:rsidRPr="009E3015">
              <w:t>26.3)</w:t>
            </w:r>
          </w:p>
        </w:tc>
      </w:tr>
    </w:tbl>
    <w:p w14:paraId="77D82F04" w14:textId="77777777" w:rsidR="00B926FE" w:rsidRPr="006A3EA0" w:rsidRDefault="00B926FE" w:rsidP="00B926FE">
      <w:pPr>
        <w:pStyle w:val="TableNotes"/>
      </w:pPr>
      <w:r>
        <w:t>Notes</w:t>
      </w:r>
    </w:p>
    <w:p w14:paraId="3B90AAC8" w14:textId="77777777" w:rsidR="00B926FE" w:rsidRDefault="00B926FE" w:rsidP="00B926FE">
      <w:pPr>
        <w:pStyle w:val="TableNotes"/>
      </w:pPr>
      <w:r>
        <w:t>Denominator: Those that said ‘Yes’ to using the internet for mental health issues</w:t>
      </w:r>
      <w:r w:rsidRPr="00D17DAE">
        <w:t>.</w:t>
      </w:r>
      <w:r>
        <w:t xml:space="preserve"> </w:t>
      </w:r>
      <w:r w:rsidRPr="00EF3D9B">
        <w:t>Based on weighted counts, 75 (1.2%) Transitioned ADF and 73 (0.8%) 2015 Regular ADF had a missing value for this question.</w:t>
      </w:r>
      <w:r>
        <w:t xml:space="preserve"> </w:t>
      </w:r>
      <w:r w:rsidRPr="00EF3D9B">
        <w:t xml:space="preserve">However, distributions are calculated by including those with a missing value to allow for correct weighted totals. </w:t>
      </w:r>
      <w:r>
        <w:t>95%CI = 95% confidence interval.</w:t>
      </w:r>
      <w:r w:rsidR="008F66DD">
        <w:t xml:space="preserve"> </w:t>
      </w:r>
      <w:r>
        <w:t># = Cell size too small to be reported.</w:t>
      </w:r>
    </w:p>
    <w:p w14:paraId="37F49E16" w14:textId="77777777" w:rsidR="00B76B5B" w:rsidRDefault="00B76B5B" w:rsidP="00B76B5B">
      <w:pPr>
        <w:sectPr w:rsidR="00B76B5B" w:rsidSect="00980AE4">
          <w:footerReference w:type="even" r:id="rId93"/>
          <w:footerReference w:type="default" r:id="rId94"/>
          <w:pgSz w:w="14170" w:h="9979" w:orient="landscape" w:code="243"/>
          <w:pgMar w:top="1872" w:right="1440" w:bottom="1152" w:left="1440" w:header="576" w:footer="576" w:gutter="0"/>
          <w:cols w:space="708"/>
          <w:docGrid w:linePitch="360"/>
        </w:sectPr>
      </w:pPr>
    </w:p>
    <w:p w14:paraId="3E618D41" w14:textId="77777777" w:rsidR="00B926FE" w:rsidRPr="00EF3D9B" w:rsidRDefault="00B926FE" w:rsidP="00B926FE">
      <w:pPr>
        <w:pStyle w:val="Heading2"/>
        <w:numPr>
          <w:ilvl w:val="1"/>
          <w:numId w:val="1"/>
        </w:numPr>
        <w:ind w:left="720" w:hanging="720"/>
      </w:pPr>
      <w:bookmarkStart w:id="867" w:name="_Toc507595209"/>
      <w:bookmarkStart w:id="868" w:name="_Toc509917461"/>
      <w:bookmarkStart w:id="869" w:name="_Toc515374521"/>
      <w:bookmarkStart w:id="870" w:name="_Toc518566421"/>
      <w:bookmarkStart w:id="871" w:name="_Toc528932705"/>
      <w:bookmarkStart w:id="872" w:name="_Toc531859242"/>
      <w:r w:rsidRPr="00EF3D9B">
        <w:t xml:space="preserve">Talking with other people (e.g. online forums, chatrooms, blogs, MSN or Gmail messenger) about one’s own mental health on the </w:t>
      </w:r>
      <w:r>
        <w:t>internet</w:t>
      </w:r>
      <w:bookmarkEnd w:id="867"/>
      <w:bookmarkEnd w:id="868"/>
      <w:bookmarkEnd w:id="869"/>
      <w:bookmarkEnd w:id="870"/>
      <w:bookmarkEnd w:id="871"/>
      <w:bookmarkEnd w:id="872"/>
      <w:r w:rsidRPr="00EF3D9B">
        <w:t xml:space="preserve"> </w:t>
      </w:r>
    </w:p>
    <w:p w14:paraId="3F74D998" w14:textId="77777777" w:rsidR="00B926FE" w:rsidRPr="00EF3D9B" w:rsidRDefault="00B926FE" w:rsidP="00B926FE">
      <w:pPr>
        <w:pStyle w:val="Heading3"/>
        <w:numPr>
          <w:ilvl w:val="2"/>
          <w:numId w:val="1"/>
        </w:numPr>
      </w:pPr>
      <w:bookmarkStart w:id="873" w:name="_Toc509917462"/>
      <w:bookmarkStart w:id="874" w:name="_Toc515374522"/>
      <w:bookmarkStart w:id="875" w:name="_Toc518566422"/>
      <w:bookmarkStart w:id="876" w:name="_Toc528932706"/>
      <w:bookmarkStart w:id="877" w:name="_Toc531859243"/>
      <w:r>
        <w:t>Online talking with other people among</w:t>
      </w:r>
      <w:r w:rsidRPr="00EF3D9B">
        <w:t xml:space="preserve"> Transitioned ADF and 2015 Regular ADF</w:t>
      </w:r>
      <w:bookmarkEnd w:id="873"/>
      <w:bookmarkEnd w:id="874"/>
      <w:bookmarkEnd w:id="875"/>
      <w:r w:rsidRPr="00EF3D9B">
        <w:t xml:space="preserve"> </w:t>
      </w:r>
      <w:r>
        <w:t>overall</w:t>
      </w:r>
      <w:bookmarkEnd w:id="876"/>
      <w:bookmarkEnd w:id="877"/>
    </w:p>
    <w:p w14:paraId="00CC740A" w14:textId="77777777" w:rsidR="00B926FE" w:rsidRDefault="00B926FE" w:rsidP="00B926FE">
      <w:r>
        <w:t xml:space="preserve">Only a small proportion of the Transitioned ADF and 2015 Regular ADF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 xml:space="preserve">issues </w:t>
      </w:r>
      <w:r w:rsidRPr="00A872E0">
        <w:rPr>
          <w:rFonts w:cs="Arial"/>
          <w:szCs w:val="22"/>
        </w:rPr>
        <w:t>more broadly</w:t>
      </w:r>
      <w:r>
        <w:t xml:space="preserve"> reported talking</w:t>
      </w:r>
      <w:r w:rsidRPr="00FF1925">
        <w:t xml:space="preserve"> online to other people </w:t>
      </w:r>
      <w:r w:rsidRPr="003038B1">
        <w:t xml:space="preserve">(e.g. online forums, chatrooms, blogs, MSN or Gmail messenger) </w:t>
      </w:r>
      <w:r w:rsidRPr="00FF1925">
        <w:t>about</w:t>
      </w:r>
      <w:r>
        <w:t xml:space="preserve"> their</w:t>
      </w:r>
      <w:r w:rsidRPr="00FF1925">
        <w:t xml:space="preserve"> </w:t>
      </w:r>
      <w:r>
        <w:t xml:space="preserve">own </w:t>
      </w:r>
      <w:r w:rsidRPr="00FF1925">
        <w:t>mental health</w:t>
      </w:r>
      <w:r>
        <w:t xml:space="preserve"> </w:t>
      </w:r>
      <w:r w:rsidRPr="004F447E">
        <w:t>(12.4% and 7.8%)</w:t>
      </w:r>
      <w:r>
        <w:t xml:space="preserve"> (</w:t>
      </w:r>
      <w:r w:rsidRPr="003F7A38">
        <w:t xml:space="preserve">Table </w:t>
      </w:r>
      <w:r>
        <w:t>7.7</w:t>
      </w:r>
      <w:r w:rsidRPr="00645E4D">
        <w:t xml:space="preserve"> and</w:t>
      </w:r>
      <w:r>
        <w:t xml:space="preserve"> </w:t>
      </w:r>
      <w:r w:rsidRPr="00645E4D">
        <w:t xml:space="preserve">Figure </w:t>
      </w:r>
      <w:r>
        <w:rPr>
          <w:noProof/>
        </w:rPr>
        <w:t>7</w:t>
      </w:r>
      <w:r>
        <w:t>.</w:t>
      </w:r>
      <w:r>
        <w:rPr>
          <w:noProof/>
        </w:rPr>
        <w:t>4</w:t>
      </w:r>
      <w:r>
        <w:t xml:space="preserve">), with significantly more Transitioned ADF reporting this </w:t>
      </w:r>
      <w:r w:rsidRPr="004F447E">
        <w:t>(OR 1.9, 95% CI 1.0,</w:t>
      </w:r>
      <w:r>
        <w:t xml:space="preserve"> </w:t>
      </w:r>
      <w:r w:rsidRPr="004F447E">
        <w:t>3.4)</w:t>
      </w:r>
      <w:r>
        <w:t>. Among those who reported talking online to other people about their mental health, the majority found it helpful, although this was lower among the Transitioned ADF compared to the 2015 Regular ADF (</w:t>
      </w:r>
      <w:r w:rsidRPr="006909B7">
        <w:t>60.9% vs 87.8%)</w:t>
      </w:r>
      <w:r>
        <w:t xml:space="preserve">. </w:t>
      </w:r>
    </w:p>
    <w:p w14:paraId="3E8C529D" w14:textId="77777777" w:rsidR="008F66DD" w:rsidRPr="002E0D19" w:rsidRDefault="008F66DD" w:rsidP="008F66DD">
      <w:pPr>
        <w:pStyle w:val="Heading3"/>
        <w:numPr>
          <w:ilvl w:val="2"/>
          <w:numId w:val="1"/>
        </w:numPr>
      </w:pPr>
      <w:bookmarkStart w:id="878" w:name="_Toc515374523"/>
      <w:bookmarkStart w:id="879" w:name="_Toc518566423"/>
      <w:bookmarkStart w:id="880" w:name="_Toc528932707"/>
      <w:bookmarkStart w:id="881" w:name="_Toc531859244"/>
      <w:bookmarkStart w:id="882" w:name="_Ref509916894"/>
      <w:bookmarkStart w:id="883" w:name="_Toc501633237"/>
      <w:bookmarkStart w:id="884" w:name="_Toc509922897"/>
      <w:bookmarkStart w:id="885" w:name="_Toc515374672"/>
      <w:bookmarkStart w:id="886" w:name="_Toc528932347"/>
      <w:r w:rsidRPr="002E0D19">
        <w:t>Probable 30-day disorder and demographic characteristics</w:t>
      </w:r>
      <w:bookmarkEnd w:id="878"/>
      <w:bookmarkEnd w:id="879"/>
      <w:bookmarkEnd w:id="880"/>
      <w:bookmarkEnd w:id="881"/>
    </w:p>
    <w:p w14:paraId="284A269B" w14:textId="77777777" w:rsidR="008F66DD" w:rsidRPr="005130BF" w:rsidRDefault="008F66DD" w:rsidP="008F66DD">
      <w:r>
        <w:t xml:space="preserve">Table </w:t>
      </w:r>
      <w:r>
        <w:rPr>
          <w:noProof/>
        </w:rPr>
        <w:t>7.8</w:t>
      </w:r>
      <w:r>
        <w:t xml:space="preserve"> </w:t>
      </w:r>
      <w:r w:rsidRPr="005130BF">
        <w:t xml:space="preserve">presents the estimated proportion of Transitioned ADF and 2015 Regular ADF respondents who reported talking about their </w:t>
      </w:r>
      <w:r>
        <w:t xml:space="preserve">own </w:t>
      </w:r>
      <w:r w:rsidRPr="005130BF">
        <w:t xml:space="preserve">mental health on the </w:t>
      </w:r>
      <w:r>
        <w:t>internet</w:t>
      </w:r>
      <w:r w:rsidRPr="005130BF">
        <w:t xml:space="preserve"> with others</w:t>
      </w:r>
      <w:r>
        <w:t xml:space="preserve"> </w:t>
      </w:r>
      <w:r w:rsidRPr="00FF1925">
        <w:t>(</w:t>
      </w:r>
      <w:r w:rsidRPr="00D508C3">
        <w:t>e.g. online forums, chatrooms, blogs, MSN or Gmail messenger)</w:t>
      </w:r>
      <w:r w:rsidRPr="005130BF">
        <w:t>, according to whether or not they had a probable disorder and demographic characteristics.</w:t>
      </w:r>
    </w:p>
    <w:p w14:paraId="3FB7D7E2" w14:textId="77777777" w:rsidR="008F66DD" w:rsidRPr="005130BF" w:rsidRDefault="008F66DD" w:rsidP="008F66DD">
      <w:r>
        <w:rPr>
          <w:szCs w:val="22"/>
        </w:rPr>
        <w:t xml:space="preserve">Among those 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t xml:space="preserve">, Transitioned ADF with a probable disorder (17.4%) were more likely to report </w:t>
      </w:r>
      <w:r w:rsidRPr="005130BF">
        <w:t xml:space="preserve">talking to others on the </w:t>
      </w:r>
      <w:r>
        <w:t>internet</w:t>
      </w:r>
      <w:r w:rsidRPr="005130BF">
        <w:t xml:space="preserve"> about their </w:t>
      </w:r>
      <w:r>
        <w:t xml:space="preserve">own </w:t>
      </w:r>
      <w:r w:rsidRPr="005130BF">
        <w:t>mental health</w:t>
      </w:r>
      <w:r>
        <w:t xml:space="preserve"> compared to the 2015 Regular ADF with a probable disorder (6.2%). Among the Transitioned ADF, a greater proportion of those with a probable disorder than those without reported talking to others on the internet about their mental health (17.4% vs 8.4%). In contrast, among the 2015 Regular ADF there was little difference in the proportion of those with and without a probable disorder who reported </w:t>
      </w:r>
      <w:r w:rsidRPr="005130BF">
        <w:t xml:space="preserve">talking to others </w:t>
      </w:r>
      <w:r w:rsidRPr="00D508C3">
        <w:t>(e.g. online forums, chatrooms, blogs, MSN or Gmail messenger)</w:t>
      </w:r>
      <w:r>
        <w:t xml:space="preserve"> </w:t>
      </w:r>
      <w:r w:rsidRPr="005130BF">
        <w:t xml:space="preserve">on the </w:t>
      </w:r>
      <w:r>
        <w:t>internet</w:t>
      </w:r>
      <w:r w:rsidRPr="005130BF">
        <w:t xml:space="preserve"> about their </w:t>
      </w:r>
      <w:r>
        <w:t xml:space="preserve">own </w:t>
      </w:r>
      <w:r w:rsidRPr="005130BF">
        <w:t>mental health</w:t>
      </w:r>
      <w:r>
        <w:t xml:space="preserve"> (6.2% vs 8.1%).</w:t>
      </w:r>
    </w:p>
    <w:p w14:paraId="0AE1CF33" w14:textId="77777777" w:rsidR="008F66DD" w:rsidRPr="005130BF" w:rsidRDefault="008F66DD" w:rsidP="008F66DD">
      <w:r w:rsidRPr="005130BF">
        <w:t>Among both the Transitio</w:t>
      </w:r>
      <w:r>
        <w:t>ned ADF and 2015 Regular ADF, m</w:t>
      </w:r>
      <w:r w:rsidRPr="005130BF">
        <w:t xml:space="preserve">ales and females </w:t>
      </w:r>
      <w:r>
        <w:t>were</w:t>
      </w:r>
      <w:r w:rsidRPr="005130BF">
        <w:t xml:space="preserve"> equally likely to report talking on the </w:t>
      </w:r>
      <w:r>
        <w:t>internet</w:t>
      </w:r>
      <w:r w:rsidRPr="005130BF">
        <w:t xml:space="preserve"> with others about their mental health</w:t>
      </w:r>
      <w:r>
        <w:t xml:space="preserve"> (Transitioned ADF males 11.6% vs females 15.8%; 2015; Regular ADF males 7.8% vs females 7.5%)</w:t>
      </w:r>
      <w:r w:rsidRPr="005130BF">
        <w:t>.</w:t>
      </w:r>
    </w:p>
    <w:p w14:paraId="13D67FB1" w14:textId="77777777" w:rsidR="008F66DD" w:rsidRPr="005130BF" w:rsidRDefault="008F66DD" w:rsidP="008F66DD">
      <w:r w:rsidRPr="005130BF">
        <w:t xml:space="preserve">When examined according to age bands, again there were very few age differences, and the patterns were similar for the </w:t>
      </w:r>
      <w:r>
        <w:t>Transitioned</w:t>
      </w:r>
      <w:r w:rsidRPr="005130BF">
        <w:t xml:space="preserve"> and 2015 Regular ADF</w:t>
      </w:r>
      <w:r>
        <w:t>, with the majority of those who reported talking to others about their mental health in the youngest age band of 18–27 (Transitioned ADF: 16.5%, 2015 Regular ADF: 12.2%)</w:t>
      </w:r>
      <w:r w:rsidRPr="005130BF">
        <w:t>.</w:t>
      </w:r>
      <w:r>
        <w:t xml:space="preserve"> There were also no differences when the age and sex categories were combined. </w:t>
      </w:r>
    </w:p>
    <w:p w14:paraId="26ED6A91" w14:textId="77777777" w:rsidR="00B926FE" w:rsidRPr="003F7A38" w:rsidRDefault="00B926FE" w:rsidP="00B926FE">
      <w:pPr>
        <w:pStyle w:val="TableName"/>
      </w:pPr>
      <w:bookmarkStart w:id="887" w:name="_Toc531858026"/>
      <w:r w:rsidRPr="003F7A38">
        <w:t xml:space="preserve">Table </w:t>
      </w:r>
      <w:r>
        <w:rPr>
          <w:noProof/>
        </w:rPr>
        <w:t>7</w:t>
      </w:r>
      <w:r>
        <w:t>.</w:t>
      </w:r>
      <w:r>
        <w:rPr>
          <w:noProof/>
        </w:rPr>
        <w:t>7</w:t>
      </w:r>
      <w:bookmarkEnd w:id="882"/>
      <w:r>
        <w:tab/>
        <w:t xml:space="preserve">Talking about one’s own </w:t>
      </w:r>
      <w:r w:rsidRPr="003F7A38">
        <w:t xml:space="preserve">mental health on the </w:t>
      </w:r>
      <w:r>
        <w:t>internet</w:t>
      </w:r>
      <w:r w:rsidRPr="003F7A38">
        <w:t xml:space="preserve"> with other people (e.g. online forums, chatrooms, blogs, MSN or Gmail messenger) </w:t>
      </w:r>
      <w:r>
        <w:t>among Transitioned ADF and 2015 Regular ADF</w:t>
      </w:r>
      <w:bookmarkEnd w:id="883"/>
      <w:bookmarkEnd w:id="884"/>
      <w:bookmarkEnd w:id="885"/>
      <w:r>
        <w:t xml:space="preserv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886"/>
      <w:bookmarkEnd w:id="887"/>
    </w:p>
    <w:tbl>
      <w:tblPr>
        <w:tblW w:w="5000" w:type="pct"/>
        <w:tblLayout w:type="fixed"/>
        <w:tblCellMar>
          <w:left w:w="115" w:type="dxa"/>
          <w:right w:w="115" w:type="dxa"/>
        </w:tblCellMar>
        <w:tblLook w:val="0000" w:firstRow="0" w:lastRow="0" w:firstColumn="0" w:lastColumn="0" w:noHBand="0" w:noVBand="0"/>
        <w:tblDescription w:val="Table 7.7 Talking about one’s own mental health on the internet with other people (e.g. online forums, chatrooms, blogs, MSN or Gmail messenger) among Transitioned ADF and 2015 Regular ADF who reported using the internet to seek help or information for or manage mental health issues"/>
      </w:tblPr>
      <w:tblGrid>
        <w:gridCol w:w="2679"/>
        <w:gridCol w:w="358"/>
        <w:gridCol w:w="793"/>
        <w:gridCol w:w="1021"/>
        <w:gridCol w:w="424"/>
        <w:gridCol w:w="793"/>
        <w:gridCol w:w="1021"/>
      </w:tblGrid>
      <w:tr w:rsidR="00B926FE" w:rsidRPr="003F7A38" w14:paraId="506EC9EE" w14:textId="77777777" w:rsidTr="005C60DC">
        <w:trPr>
          <w:cantSplit/>
        </w:trPr>
        <w:tc>
          <w:tcPr>
            <w:tcW w:w="2631" w:type="dxa"/>
            <w:tcBorders>
              <w:top w:val="single" w:sz="4" w:space="0" w:color="auto"/>
              <w:left w:val="single" w:sz="4" w:space="0" w:color="auto"/>
              <w:right w:val="single" w:sz="4" w:space="0" w:color="auto"/>
            </w:tcBorders>
            <w:shd w:val="clear" w:color="auto" w:fill="auto"/>
            <w:tcMar>
              <w:left w:w="80" w:type="dxa"/>
              <w:right w:w="80" w:type="dxa"/>
            </w:tcMar>
          </w:tcPr>
          <w:p w14:paraId="7D1DF82A" w14:textId="77777777" w:rsidR="00B926FE" w:rsidRPr="00015791" w:rsidRDefault="00B926FE" w:rsidP="000A2491">
            <w:pPr>
              <w:pStyle w:val="TableText"/>
              <w:rPr>
                <w:b/>
              </w:rPr>
            </w:pPr>
          </w:p>
        </w:tc>
        <w:tc>
          <w:tcPr>
            <w:tcW w:w="2134"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01C66C02" w14:textId="77777777" w:rsidR="00B926FE" w:rsidRPr="00015791" w:rsidRDefault="00B926FE" w:rsidP="005C60DC">
            <w:pPr>
              <w:pStyle w:val="TableText"/>
              <w:jc w:val="center"/>
              <w:rPr>
                <w:b/>
              </w:rPr>
            </w:pPr>
            <w:r w:rsidRPr="00015791">
              <w:rPr>
                <w:b/>
              </w:rPr>
              <w:t>Transitioned ADF</w:t>
            </w:r>
            <w:r w:rsidR="005C60DC">
              <w:rPr>
                <w:b/>
              </w:rPr>
              <w:br/>
            </w:r>
            <w:r w:rsidRPr="00015791">
              <w:rPr>
                <w:b/>
              </w:rPr>
              <w:t>n=6116</w:t>
            </w:r>
          </w:p>
        </w:tc>
        <w:tc>
          <w:tcPr>
            <w:tcW w:w="2198"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342A28DF" w14:textId="77777777" w:rsidR="00B926FE" w:rsidRPr="00015791" w:rsidRDefault="00B926FE" w:rsidP="005C60DC">
            <w:pPr>
              <w:pStyle w:val="TableText"/>
              <w:jc w:val="center"/>
              <w:rPr>
                <w:b/>
              </w:rPr>
            </w:pPr>
            <w:r w:rsidRPr="00015791">
              <w:rPr>
                <w:b/>
              </w:rPr>
              <w:t>2015 Regular ADF</w:t>
            </w:r>
            <w:r w:rsidR="005C60DC">
              <w:rPr>
                <w:b/>
              </w:rPr>
              <w:br/>
            </w:r>
            <w:r w:rsidRPr="00015791">
              <w:rPr>
                <w:b/>
              </w:rPr>
              <w:t>n=9042</w:t>
            </w:r>
          </w:p>
        </w:tc>
      </w:tr>
      <w:tr w:rsidR="00B926FE" w:rsidRPr="003F7A38" w14:paraId="6C00E6CD" w14:textId="77777777" w:rsidTr="005C60DC">
        <w:trPr>
          <w:cantSplit/>
        </w:trPr>
        <w:tc>
          <w:tcPr>
            <w:tcW w:w="2631" w:type="dxa"/>
            <w:tcBorders>
              <w:left w:val="single" w:sz="4" w:space="0" w:color="auto"/>
              <w:bottom w:val="single" w:sz="4" w:space="0" w:color="auto"/>
              <w:right w:val="single" w:sz="4" w:space="0" w:color="auto"/>
            </w:tcBorders>
            <w:shd w:val="clear" w:color="auto" w:fill="FFFFFF"/>
            <w:tcMar>
              <w:left w:w="80" w:type="dxa"/>
              <w:right w:w="80" w:type="dxa"/>
            </w:tcMar>
          </w:tcPr>
          <w:p w14:paraId="454594EA" w14:textId="77777777" w:rsidR="00B926FE" w:rsidRPr="00015791" w:rsidRDefault="00B926FE" w:rsidP="000A2491">
            <w:pPr>
              <w:pStyle w:val="TableText"/>
              <w:rPr>
                <w:b/>
              </w:rPr>
            </w:pPr>
            <w:r>
              <w:rPr>
                <w:b/>
              </w:rPr>
              <w:t>Talk with other people</w:t>
            </w:r>
          </w:p>
        </w:tc>
        <w:tc>
          <w:tcPr>
            <w:tcW w:w="352"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196EAC9A" w14:textId="77777777" w:rsidR="00B926FE" w:rsidRPr="00015791" w:rsidRDefault="00B926FE" w:rsidP="000A2491">
            <w:pPr>
              <w:pStyle w:val="TableText"/>
              <w:jc w:val="right"/>
              <w:rPr>
                <w:b/>
              </w:rPr>
            </w:pPr>
            <w:r w:rsidRPr="00015791">
              <w:rPr>
                <w:b/>
              </w:rPr>
              <w:t>n</w:t>
            </w:r>
          </w:p>
        </w:tc>
        <w:tc>
          <w:tcPr>
            <w:tcW w:w="77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45E05062" w14:textId="77777777" w:rsidR="00B926FE" w:rsidRPr="00015791" w:rsidRDefault="00B926FE" w:rsidP="000A2491">
            <w:pPr>
              <w:pStyle w:val="TableText"/>
              <w:jc w:val="right"/>
              <w:rPr>
                <w:b/>
              </w:rPr>
            </w:pPr>
            <w:r w:rsidRPr="00015791">
              <w:rPr>
                <w:b/>
              </w:rPr>
              <w:t>Weighted n</w:t>
            </w:r>
          </w:p>
        </w:tc>
        <w:tc>
          <w:tcPr>
            <w:tcW w:w="1003"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4978A188" w14:textId="77777777" w:rsidR="00B926FE" w:rsidRPr="00015791" w:rsidRDefault="00B926FE" w:rsidP="000A2491">
            <w:pPr>
              <w:pStyle w:val="TableText"/>
              <w:jc w:val="right"/>
              <w:rPr>
                <w:b/>
              </w:rPr>
            </w:pPr>
            <w:r w:rsidRPr="00015791">
              <w:rPr>
                <w:b/>
              </w:rPr>
              <w:t>% (95%CI)</w:t>
            </w:r>
          </w:p>
        </w:tc>
        <w:tc>
          <w:tcPr>
            <w:tcW w:w="416"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33D9C7C2" w14:textId="77777777" w:rsidR="00B926FE" w:rsidRPr="00015791" w:rsidRDefault="00B926FE" w:rsidP="000A2491">
            <w:pPr>
              <w:pStyle w:val="TableText"/>
              <w:jc w:val="right"/>
              <w:rPr>
                <w:b/>
              </w:rPr>
            </w:pPr>
            <w:r w:rsidRPr="00015791">
              <w:rPr>
                <w:b/>
              </w:rPr>
              <w:t>n</w:t>
            </w:r>
          </w:p>
        </w:tc>
        <w:tc>
          <w:tcPr>
            <w:tcW w:w="77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44D11FCA" w14:textId="77777777" w:rsidR="00B926FE" w:rsidRPr="00015791" w:rsidRDefault="00B926FE" w:rsidP="000A2491">
            <w:pPr>
              <w:pStyle w:val="TableText"/>
              <w:jc w:val="right"/>
              <w:rPr>
                <w:b/>
              </w:rPr>
            </w:pPr>
            <w:r w:rsidRPr="00015791">
              <w:rPr>
                <w:b/>
              </w:rPr>
              <w:t>Weighted n</w:t>
            </w:r>
          </w:p>
        </w:tc>
        <w:tc>
          <w:tcPr>
            <w:tcW w:w="1003"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25BD58B5" w14:textId="77777777" w:rsidR="00B926FE" w:rsidRPr="00015791" w:rsidRDefault="00B926FE" w:rsidP="000A2491">
            <w:pPr>
              <w:pStyle w:val="TableText"/>
              <w:jc w:val="right"/>
              <w:rPr>
                <w:b/>
              </w:rPr>
            </w:pPr>
            <w:r w:rsidRPr="00015791">
              <w:rPr>
                <w:b/>
              </w:rPr>
              <w:t>% (95%CI)</w:t>
            </w:r>
          </w:p>
        </w:tc>
      </w:tr>
      <w:tr w:rsidR="00B926FE" w:rsidRPr="003F7A38" w14:paraId="16A1756D" w14:textId="77777777" w:rsidTr="005C60DC">
        <w:trPr>
          <w:cantSplit/>
        </w:trPr>
        <w:tc>
          <w:tcPr>
            <w:tcW w:w="2631" w:type="dxa"/>
            <w:tcBorders>
              <w:left w:val="single" w:sz="4" w:space="0" w:color="auto"/>
              <w:right w:val="single" w:sz="4" w:space="0" w:color="auto"/>
            </w:tcBorders>
            <w:shd w:val="clear" w:color="auto" w:fill="D4E4FF" w:themeFill="text2" w:themeFillTint="1A"/>
            <w:tcMar>
              <w:left w:w="80" w:type="dxa"/>
              <w:right w:w="80" w:type="dxa"/>
            </w:tcMar>
          </w:tcPr>
          <w:p w14:paraId="79A33883" w14:textId="77777777" w:rsidR="00B926FE" w:rsidRPr="003F7A38" w:rsidRDefault="00B926FE" w:rsidP="000A2491">
            <w:pPr>
              <w:pStyle w:val="TableText"/>
            </w:pPr>
            <w:r w:rsidRPr="003F7A38">
              <w:t xml:space="preserve">No, did not talk on the </w:t>
            </w:r>
            <w:r>
              <w:t>internet</w:t>
            </w:r>
            <w:r w:rsidRPr="003F7A38">
              <w:t xml:space="preserve"> with other people</w:t>
            </w:r>
            <w:r>
              <w:t>.</w:t>
            </w:r>
          </w:p>
        </w:tc>
        <w:tc>
          <w:tcPr>
            <w:tcW w:w="352" w:type="dxa"/>
            <w:tcBorders>
              <w:left w:val="single" w:sz="4" w:space="0" w:color="auto"/>
              <w:right w:val="single" w:sz="4" w:space="0" w:color="auto"/>
            </w:tcBorders>
            <w:shd w:val="clear" w:color="auto" w:fill="D4E4FF" w:themeFill="text2" w:themeFillTint="1A"/>
            <w:tcMar>
              <w:left w:w="80" w:type="dxa"/>
              <w:right w:w="80" w:type="dxa"/>
            </w:tcMar>
          </w:tcPr>
          <w:p w14:paraId="05BBE51E" w14:textId="77777777" w:rsidR="00B926FE" w:rsidRPr="003F7A38" w:rsidRDefault="00B926FE" w:rsidP="000A2491">
            <w:pPr>
              <w:pStyle w:val="TableText"/>
              <w:jc w:val="right"/>
              <w:rPr>
                <w:color w:val="000000" w:themeColor="text1"/>
              </w:rPr>
            </w:pPr>
            <w:r w:rsidRPr="003F7A38">
              <w:t>729</w:t>
            </w:r>
          </w:p>
        </w:tc>
        <w:tc>
          <w:tcPr>
            <w:tcW w:w="779" w:type="dxa"/>
            <w:tcBorders>
              <w:left w:val="single" w:sz="4" w:space="0" w:color="auto"/>
              <w:right w:val="single" w:sz="4" w:space="0" w:color="auto"/>
            </w:tcBorders>
            <w:shd w:val="clear" w:color="auto" w:fill="D4E4FF" w:themeFill="text2" w:themeFillTint="1A"/>
            <w:tcMar>
              <w:left w:w="80" w:type="dxa"/>
              <w:right w:w="80" w:type="dxa"/>
            </w:tcMar>
          </w:tcPr>
          <w:p w14:paraId="14515631" w14:textId="77777777" w:rsidR="00B926FE" w:rsidRPr="003F7A38" w:rsidRDefault="00B926FE" w:rsidP="000A2491">
            <w:pPr>
              <w:pStyle w:val="TableText"/>
              <w:jc w:val="right"/>
              <w:rPr>
                <w:color w:val="000000" w:themeColor="text1"/>
              </w:rPr>
            </w:pPr>
            <w:r w:rsidRPr="003F7A38">
              <w:t>5194</w:t>
            </w:r>
          </w:p>
        </w:tc>
        <w:tc>
          <w:tcPr>
            <w:tcW w:w="1003" w:type="dxa"/>
            <w:tcBorders>
              <w:left w:val="single" w:sz="4" w:space="0" w:color="auto"/>
              <w:right w:val="single" w:sz="4" w:space="0" w:color="auto"/>
            </w:tcBorders>
            <w:shd w:val="clear" w:color="auto" w:fill="D4E4FF" w:themeFill="text2" w:themeFillTint="1A"/>
            <w:tcMar>
              <w:left w:w="80" w:type="dxa"/>
              <w:right w:w="80" w:type="dxa"/>
            </w:tcMar>
          </w:tcPr>
          <w:p w14:paraId="0F644250" w14:textId="77777777" w:rsidR="00B926FE" w:rsidRPr="003F7A38" w:rsidRDefault="00B926FE" w:rsidP="000A2491">
            <w:pPr>
              <w:pStyle w:val="TableText"/>
              <w:jc w:val="right"/>
              <w:rPr>
                <w:color w:val="000000" w:themeColor="text1"/>
              </w:rPr>
            </w:pPr>
            <w:r w:rsidRPr="003F7A38">
              <w:t>84.9 (81.7</w:t>
            </w:r>
            <w:r>
              <w:t xml:space="preserve">, </w:t>
            </w:r>
            <w:r w:rsidRPr="003F7A38">
              <w:t>87.7)</w:t>
            </w:r>
          </w:p>
        </w:tc>
        <w:tc>
          <w:tcPr>
            <w:tcW w:w="416" w:type="dxa"/>
            <w:tcBorders>
              <w:left w:val="single" w:sz="4" w:space="0" w:color="auto"/>
              <w:right w:val="single" w:sz="4" w:space="0" w:color="auto"/>
            </w:tcBorders>
            <w:shd w:val="clear" w:color="auto" w:fill="D4E4FF" w:themeFill="text2" w:themeFillTint="1A"/>
            <w:tcMar>
              <w:left w:w="80" w:type="dxa"/>
              <w:right w:w="80" w:type="dxa"/>
            </w:tcMar>
          </w:tcPr>
          <w:p w14:paraId="1450A67F" w14:textId="77777777" w:rsidR="00B926FE" w:rsidRPr="003F7A38" w:rsidRDefault="00B926FE" w:rsidP="000A2491">
            <w:pPr>
              <w:pStyle w:val="TableText"/>
              <w:jc w:val="right"/>
              <w:rPr>
                <w:color w:val="000000" w:themeColor="text1"/>
              </w:rPr>
            </w:pPr>
            <w:r w:rsidRPr="003F7A38">
              <w:t>1295</w:t>
            </w:r>
          </w:p>
        </w:tc>
        <w:tc>
          <w:tcPr>
            <w:tcW w:w="779" w:type="dxa"/>
            <w:tcBorders>
              <w:left w:val="single" w:sz="4" w:space="0" w:color="auto"/>
              <w:right w:val="single" w:sz="4" w:space="0" w:color="auto"/>
            </w:tcBorders>
            <w:shd w:val="clear" w:color="auto" w:fill="D4E4FF" w:themeFill="text2" w:themeFillTint="1A"/>
            <w:tcMar>
              <w:left w:w="80" w:type="dxa"/>
              <w:right w:w="80" w:type="dxa"/>
            </w:tcMar>
          </w:tcPr>
          <w:p w14:paraId="751008C9" w14:textId="77777777" w:rsidR="00B926FE" w:rsidRPr="003F7A38" w:rsidRDefault="00B926FE" w:rsidP="000A2491">
            <w:pPr>
              <w:pStyle w:val="TableText"/>
              <w:jc w:val="right"/>
              <w:rPr>
                <w:color w:val="000000" w:themeColor="text1"/>
              </w:rPr>
            </w:pPr>
            <w:r w:rsidRPr="003F7A38">
              <w:t>8213</w:t>
            </w:r>
          </w:p>
        </w:tc>
        <w:tc>
          <w:tcPr>
            <w:tcW w:w="1003" w:type="dxa"/>
            <w:tcBorders>
              <w:left w:val="single" w:sz="4" w:space="0" w:color="auto"/>
              <w:right w:val="single" w:sz="4" w:space="0" w:color="auto"/>
            </w:tcBorders>
            <w:shd w:val="clear" w:color="auto" w:fill="D4E4FF" w:themeFill="text2" w:themeFillTint="1A"/>
            <w:tcMar>
              <w:left w:w="80" w:type="dxa"/>
              <w:right w:w="80" w:type="dxa"/>
            </w:tcMar>
          </w:tcPr>
          <w:p w14:paraId="032DFF22" w14:textId="77777777" w:rsidR="00B926FE" w:rsidRPr="003F7A38" w:rsidRDefault="00B926FE" w:rsidP="000A2491">
            <w:pPr>
              <w:pStyle w:val="TableText"/>
              <w:jc w:val="right"/>
              <w:rPr>
                <w:color w:val="000000" w:themeColor="text1"/>
              </w:rPr>
            </w:pPr>
            <w:r w:rsidRPr="003F7A38">
              <w:t>90.8 (85.0</w:t>
            </w:r>
            <w:r>
              <w:t xml:space="preserve">, </w:t>
            </w:r>
            <w:r w:rsidRPr="003F7A38">
              <w:t>94.5)</w:t>
            </w:r>
          </w:p>
        </w:tc>
      </w:tr>
      <w:tr w:rsidR="00B926FE" w:rsidRPr="003F7A38" w14:paraId="0C99C562" w14:textId="77777777" w:rsidTr="005C60DC">
        <w:trPr>
          <w:cantSplit/>
        </w:trPr>
        <w:tc>
          <w:tcPr>
            <w:tcW w:w="2631" w:type="dxa"/>
            <w:tcBorders>
              <w:left w:val="single" w:sz="4" w:space="0" w:color="auto"/>
              <w:right w:val="single" w:sz="4" w:space="0" w:color="auto"/>
            </w:tcBorders>
            <w:shd w:val="clear" w:color="auto" w:fill="auto"/>
            <w:tcMar>
              <w:left w:w="80" w:type="dxa"/>
              <w:right w:w="80" w:type="dxa"/>
            </w:tcMar>
          </w:tcPr>
          <w:p w14:paraId="4B22814F" w14:textId="77777777" w:rsidR="00B926FE" w:rsidRPr="003F7A38" w:rsidRDefault="00B926FE" w:rsidP="000A2491">
            <w:pPr>
              <w:pStyle w:val="TableText"/>
            </w:pPr>
            <w:r w:rsidRPr="003F7A38">
              <w:t xml:space="preserve">Yes, did talk on the </w:t>
            </w:r>
            <w:r>
              <w:t>internet</w:t>
            </w:r>
            <w:r w:rsidRPr="003F7A38">
              <w:t xml:space="preserve"> with other people</w:t>
            </w:r>
            <w:r>
              <w:t>.</w:t>
            </w:r>
          </w:p>
        </w:tc>
        <w:tc>
          <w:tcPr>
            <w:tcW w:w="352" w:type="dxa"/>
            <w:tcBorders>
              <w:left w:val="single" w:sz="4" w:space="0" w:color="auto"/>
              <w:bottom w:val="single" w:sz="4" w:space="0" w:color="auto"/>
              <w:right w:val="single" w:sz="4" w:space="0" w:color="auto"/>
            </w:tcBorders>
            <w:shd w:val="clear" w:color="auto" w:fill="auto"/>
            <w:tcMar>
              <w:left w:w="80" w:type="dxa"/>
              <w:right w:w="80" w:type="dxa"/>
            </w:tcMar>
          </w:tcPr>
          <w:p w14:paraId="05C792B6" w14:textId="77777777" w:rsidR="00B926FE" w:rsidRPr="003F7A38" w:rsidRDefault="00B926FE" w:rsidP="000A2491">
            <w:pPr>
              <w:pStyle w:val="TableText"/>
              <w:jc w:val="right"/>
              <w:rPr>
                <w:color w:val="000000" w:themeColor="text1"/>
              </w:rPr>
            </w:pPr>
            <w:r w:rsidRPr="003F7A38">
              <w:t>110</w:t>
            </w:r>
          </w:p>
        </w:tc>
        <w:tc>
          <w:tcPr>
            <w:tcW w:w="779" w:type="dxa"/>
            <w:tcBorders>
              <w:left w:val="single" w:sz="4" w:space="0" w:color="auto"/>
              <w:bottom w:val="single" w:sz="4" w:space="0" w:color="auto"/>
              <w:right w:val="single" w:sz="4" w:space="0" w:color="auto"/>
            </w:tcBorders>
            <w:shd w:val="clear" w:color="auto" w:fill="auto"/>
            <w:tcMar>
              <w:left w:w="80" w:type="dxa"/>
              <w:right w:w="80" w:type="dxa"/>
            </w:tcMar>
          </w:tcPr>
          <w:p w14:paraId="54540FE1" w14:textId="77777777" w:rsidR="00B926FE" w:rsidRPr="003F7A38" w:rsidRDefault="00B926FE" w:rsidP="000A2491">
            <w:pPr>
              <w:pStyle w:val="TableText"/>
              <w:jc w:val="right"/>
              <w:rPr>
                <w:color w:val="000000" w:themeColor="text1"/>
              </w:rPr>
            </w:pPr>
            <w:r w:rsidRPr="003F7A38">
              <w:t>758</w:t>
            </w:r>
          </w:p>
        </w:tc>
        <w:tc>
          <w:tcPr>
            <w:tcW w:w="1003" w:type="dxa"/>
            <w:tcBorders>
              <w:left w:val="single" w:sz="4" w:space="0" w:color="auto"/>
              <w:bottom w:val="single" w:sz="4" w:space="0" w:color="auto"/>
              <w:right w:val="single" w:sz="4" w:space="0" w:color="auto"/>
            </w:tcBorders>
            <w:shd w:val="clear" w:color="auto" w:fill="auto"/>
            <w:tcMar>
              <w:left w:w="80" w:type="dxa"/>
              <w:right w:w="80" w:type="dxa"/>
            </w:tcMar>
          </w:tcPr>
          <w:p w14:paraId="37F21AAF" w14:textId="77777777" w:rsidR="00B926FE" w:rsidRPr="003F7A38" w:rsidRDefault="00B926FE" w:rsidP="000A2491">
            <w:pPr>
              <w:pStyle w:val="TableText"/>
              <w:jc w:val="right"/>
              <w:rPr>
                <w:color w:val="000000" w:themeColor="text1"/>
              </w:rPr>
            </w:pPr>
            <w:r w:rsidRPr="003F7A38">
              <w:t>12.4 (10.0</w:t>
            </w:r>
            <w:r>
              <w:t xml:space="preserve">, </w:t>
            </w:r>
            <w:r w:rsidRPr="003F7A38">
              <w:t>15.3)</w:t>
            </w:r>
          </w:p>
        </w:tc>
        <w:tc>
          <w:tcPr>
            <w:tcW w:w="416" w:type="dxa"/>
            <w:tcBorders>
              <w:left w:val="single" w:sz="4" w:space="0" w:color="auto"/>
              <w:bottom w:val="single" w:sz="4" w:space="0" w:color="auto"/>
              <w:right w:val="single" w:sz="4" w:space="0" w:color="auto"/>
            </w:tcBorders>
            <w:shd w:val="clear" w:color="auto" w:fill="auto"/>
            <w:tcMar>
              <w:left w:w="80" w:type="dxa"/>
              <w:right w:w="80" w:type="dxa"/>
            </w:tcMar>
          </w:tcPr>
          <w:p w14:paraId="5DF66D49" w14:textId="77777777" w:rsidR="00B926FE" w:rsidRPr="003F7A38" w:rsidRDefault="00B926FE" w:rsidP="000A2491">
            <w:pPr>
              <w:pStyle w:val="TableText"/>
              <w:jc w:val="right"/>
              <w:rPr>
                <w:color w:val="000000" w:themeColor="text1"/>
              </w:rPr>
            </w:pPr>
            <w:r w:rsidRPr="003F7A38">
              <w:t>114</w:t>
            </w:r>
          </w:p>
        </w:tc>
        <w:tc>
          <w:tcPr>
            <w:tcW w:w="779" w:type="dxa"/>
            <w:tcBorders>
              <w:left w:val="single" w:sz="4" w:space="0" w:color="auto"/>
              <w:bottom w:val="single" w:sz="4" w:space="0" w:color="auto"/>
              <w:right w:val="single" w:sz="4" w:space="0" w:color="auto"/>
            </w:tcBorders>
            <w:shd w:val="clear" w:color="auto" w:fill="auto"/>
            <w:tcMar>
              <w:left w:w="80" w:type="dxa"/>
              <w:right w:w="80" w:type="dxa"/>
            </w:tcMar>
          </w:tcPr>
          <w:p w14:paraId="51CB6ED2" w14:textId="77777777" w:rsidR="00B926FE" w:rsidRPr="003F7A38" w:rsidRDefault="00B926FE" w:rsidP="000A2491">
            <w:pPr>
              <w:pStyle w:val="TableText"/>
              <w:jc w:val="right"/>
              <w:rPr>
                <w:color w:val="000000" w:themeColor="text1"/>
              </w:rPr>
            </w:pPr>
            <w:r w:rsidRPr="003F7A38">
              <w:t>704</w:t>
            </w:r>
          </w:p>
        </w:tc>
        <w:tc>
          <w:tcPr>
            <w:tcW w:w="1003" w:type="dxa"/>
            <w:tcBorders>
              <w:left w:val="single" w:sz="4" w:space="0" w:color="auto"/>
              <w:bottom w:val="single" w:sz="4" w:space="0" w:color="auto"/>
              <w:right w:val="single" w:sz="4" w:space="0" w:color="auto"/>
            </w:tcBorders>
            <w:shd w:val="clear" w:color="auto" w:fill="auto"/>
            <w:tcMar>
              <w:left w:w="80" w:type="dxa"/>
              <w:right w:w="80" w:type="dxa"/>
            </w:tcMar>
          </w:tcPr>
          <w:p w14:paraId="04675E50" w14:textId="77777777" w:rsidR="00B926FE" w:rsidRPr="003F7A38" w:rsidRDefault="00B926FE" w:rsidP="000A2491">
            <w:pPr>
              <w:pStyle w:val="TableText"/>
              <w:jc w:val="right"/>
              <w:rPr>
                <w:color w:val="000000" w:themeColor="text1"/>
              </w:rPr>
            </w:pPr>
            <w:r w:rsidRPr="003F7A38">
              <w:t>7.8 (4.3</w:t>
            </w:r>
            <w:r>
              <w:t xml:space="preserve">, </w:t>
            </w:r>
            <w:r w:rsidRPr="003F7A38">
              <w:t>13.8)</w:t>
            </w:r>
          </w:p>
        </w:tc>
      </w:tr>
      <w:tr w:rsidR="00B926FE" w:rsidRPr="003F7A38" w14:paraId="1B91D7F2" w14:textId="77777777" w:rsidTr="005C60DC">
        <w:trPr>
          <w:cantSplit/>
        </w:trPr>
        <w:tc>
          <w:tcPr>
            <w:tcW w:w="2631"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vAlign w:val="center"/>
          </w:tcPr>
          <w:p w14:paraId="0235FB6D" w14:textId="77777777" w:rsidR="00B926FE" w:rsidRPr="003F7A38" w:rsidRDefault="00B926FE" w:rsidP="000A2491">
            <w:pPr>
              <w:pStyle w:val="TableText"/>
              <w:rPr>
                <w:rFonts w:cs="Arial"/>
              </w:rPr>
            </w:pPr>
            <w:r w:rsidRPr="00BC49AE">
              <w:t>Harmful</w:t>
            </w:r>
          </w:p>
        </w:tc>
        <w:tc>
          <w:tcPr>
            <w:tcW w:w="352"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6BFB2843" w14:textId="77777777" w:rsidR="00B926FE" w:rsidRPr="003F7A38" w:rsidRDefault="00B926FE" w:rsidP="000A2491">
            <w:pPr>
              <w:pStyle w:val="TableText"/>
              <w:jc w:val="right"/>
              <w:rPr>
                <w:color w:val="000000" w:themeColor="text1"/>
              </w:rPr>
            </w:pPr>
            <w:r w:rsidRPr="003F7A38">
              <w:t>8</w:t>
            </w:r>
          </w:p>
        </w:tc>
        <w:tc>
          <w:tcPr>
            <w:tcW w:w="779"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1D447DDE" w14:textId="77777777" w:rsidR="00B926FE" w:rsidRPr="003F7A38" w:rsidRDefault="00B926FE" w:rsidP="000A2491">
            <w:pPr>
              <w:pStyle w:val="TableText"/>
              <w:jc w:val="right"/>
              <w:rPr>
                <w:color w:val="000000" w:themeColor="text1"/>
              </w:rPr>
            </w:pPr>
            <w:r w:rsidRPr="003F7A38">
              <w:t>45</w:t>
            </w:r>
          </w:p>
        </w:tc>
        <w:tc>
          <w:tcPr>
            <w:tcW w:w="1003"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679D6ADD" w14:textId="77777777" w:rsidR="00B926FE" w:rsidRPr="003F7A38" w:rsidRDefault="00B926FE" w:rsidP="000A2491">
            <w:pPr>
              <w:pStyle w:val="TableText"/>
              <w:jc w:val="right"/>
              <w:rPr>
                <w:color w:val="000000" w:themeColor="text1"/>
              </w:rPr>
            </w:pPr>
            <w:r w:rsidRPr="003F7A38">
              <w:t>5.9 (2.7</w:t>
            </w:r>
            <w:r>
              <w:t xml:space="preserve">, </w:t>
            </w:r>
            <w:r w:rsidRPr="003F7A38">
              <w:t>12.3)</w:t>
            </w:r>
          </w:p>
        </w:tc>
        <w:tc>
          <w:tcPr>
            <w:tcW w:w="416"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1D19897D" w14:textId="77777777" w:rsidR="00B926FE" w:rsidRPr="007966D4" w:rsidRDefault="00B926FE" w:rsidP="000A2491">
            <w:pPr>
              <w:pStyle w:val="TableText"/>
              <w:jc w:val="right"/>
              <w:rPr>
                <w:color w:val="000000" w:themeColor="text1"/>
                <w:szCs w:val="14"/>
              </w:rPr>
            </w:pPr>
            <w:r w:rsidRPr="00E603D7">
              <w:t>#</w:t>
            </w:r>
          </w:p>
        </w:tc>
        <w:tc>
          <w:tcPr>
            <w:tcW w:w="779"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77BC34C8" w14:textId="77777777" w:rsidR="00B926FE" w:rsidRPr="007966D4" w:rsidRDefault="00B926FE" w:rsidP="000A2491">
            <w:pPr>
              <w:pStyle w:val="TableText"/>
              <w:jc w:val="right"/>
              <w:rPr>
                <w:color w:val="000000" w:themeColor="text1"/>
                <w:szCs w:val="14"/>
              </w:rPr>
            </w:pPr>
            <w:r>
              <w:t>–</w:t>
            </w:r>
          </w:p>
        </w:tc>
        <w:tc>
          <w:tcPr>
            <w:tcW w:w="1003"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0A41DB97" w14:textId="77777777" w:rsidR="00B926FE" w:rsidRPr="007966D4" w:rsidRDefault="00B926FE" w:rsidP="000A2491">
            <w:pPr>
              <w:pStyle w:val="TableText"/>
              <w:jc w:val="right"/>
              <w:rPr>
                <w:color w:val="000000" w:themeColor="text1"/>
                <w:szCs w:val="14"/>
              </w:rPr>
            </w:pPr>
            <w:r>
              <w:t>–</w:t>
            </w:r>
          </w:p>
        </w:tc>
      </w:tr>
      <w:tr w:rsidR="00B926FE" w:rsidRPr="003F7A38" w14:paraId="158BD765" w14:textId="77777777" w:rsidTr="005C60DC">
        <w:trPr>
          <w:cantSplit/>
        </w:trPr>
        <w:tc>
          <w:tcPr>
            <w:tcW w:w="2631" w:type="dxa"/>
            <w:tcBorders>
              <w:left w:val="single" w:sz="4" w:space="0" w:color="auto"/>
              <w:right w:val="single" w:sz="4" w:space="0" w:color="auto"/>
            </w:tcBorders>
            <w:shd w:val="clear" w:color="auto" w:fill="auto"/>
            <w:tcMar>
              <w:left w:w="80" w:type="dxa"/>
              <w:right w:w="80" w:type="dxa"/>
            </w:tcMar>
            <w:vAlign w:val="center"/>
          </w:tcPr>
          <w:p w14:paraId="45161935" w14:textId="77777777" w:rsidR="00B926FE" w:rsidRPr="003F7A38" w:rsidRDefault="00B926FE" w:rsidP="000A2491">
            <w:pPr>
              <w:pStyle w:val="TableText"/>
              <w:rPr>
                <w:rFonts w:cs="Arial"/>
              </w:rPr>
            </w:pPr>
            <w:r w:rsidRPr="00BC49AE">
              <w:t>Helpful</w:t>
            </w:r>
          </w:p>
        </w:tc>
        <w:tc>
          <w:tcPr>
            <w:tcW w:w="352" w:type="dxa"/>
            <w:tcBorders>
              <w:left w:val="single" w:sz="4" w:space="0" w:color="auto"/>
              <w:right w:val="single" w:sz="4" w:space="0" w:color="auto"/>
            </w:tcBorders>
            <w:shd w:val="clear" w:color="auto" w:fill="auto"/>
            <w:tcMar>
              <w:left w:w="80" w:type="dxa"/>
              <w:right w:w="80" w:type="dxa"/>
            </w:tcMar>
          </w:tcPr>
          <w:p w14:paraId="7BD1EC3A" w14:textId="77777777" w:rsidR="00B926FE" w:rsidRPr="003F7A38" w:rsidRDefault="00B926FE" w:rsidP="000A2491">
            <w:pPr>
              <w:pStyle w:val="TableText"/>
              <w:jc w:val="right"/>
              <w:rPr>
                <w:color w:val="000000" w:themeColor="text1"/>
              </w:rPr>
            </w:pPr>
            <w:r w:rsidRPr="003F7A38">
              <w:t>67</w:t>
            </w:r>
          </w:p>
        </w:tc>
        <w:tc>
          <w:tcPr>
            <w:tcW w:w="779" w:type="dxa"/>
            <w:tcBorders>
              <w:left w:val="single" w:sz="4" w:space="0" w:color="auto"/>
              <w:right w:val="single" w:sz="4" w:space="0" w:color="auto"/>
            </w:tcBorders>
            <w:shd w:val="clear" w:color="auto" w:fill="auto"/>
            <w:tcMar>
              <w:left w:w="80" w:type="dxa"/>
              <w:right w:w="80" w:type="dxa"/>
            </w:tcMar>
          </w:tcPr>
          <w:p w14:paraId="3F607571" w14:textId="77777777" w:rsidR="00B926FE" w:rsidRPr="003F7A38" w:rsidRDefault="00B926FE" w:rsidP="000A2491">
            <w:pPr>
              <w:pStyle w:val="TableText"/>
              <w:jc w:val="right"/>
              <w:rPr>
                <w:color w:val="000000" w:themeColor="text1"/>
              </w:rPr>
            </w:pPr>
            <w:r w:rsidRPr="003F7A38">
              <w:t>462</w:t>
            </w:r>
          </w:p>
        </w:tc>
        <w:tc>
          <w:tcPr>
            <w:tcW w:w="1003" w:type="dxa"/>
            <w:tcBorders>
              <w:left w:val="single" w:sz="4" w:space="0" w:color="auto"/>
              <w:right w:val="single" w:sz="4" w:space="0" w:color="auto"/>
            </w:tcBorders>
            <w:shd w:val="clear" w:color="auto" w:fill="auto"/>
            <w:tcMar>
              <w:left w:w="80" w:type="dxa"/>
              <w:right w:w="80" w:type="dxa"/>
            </w:tcMar>
          </w:tcPr>
          <w:p w14:paraId="72863A01" w14:textId="77777777" w:rsidR="00B926FE" w:rsidRPr="003F7A38" w:rsidRDefault="00B926FE" w:rsidP="000A2491">
            <w:pPr>
              <w:pStyle w:val="TableText"/>
              <w:jc w:val="right"/>
              <w:rPr>
                <w:color w:val="000000" w:themeColor="text1"/>
              </w:rPr>
            </w:pPr>
            <w:r w:rsidRPr="003F7A38">
              <w:t>60.9 (49.6</w:t>
            </w:r>
            <w:r>
              <w:t xml:space="preserve">, </w:t>
            </w:r>
            <w:r w:rsidRPr="003F7A38">
              <w:t>71.1)</w:t>
            </w:r>
          </w:p>
        </w:tc>
        <w:tc>
          <w:tcPr>
            <w:tcW w:w="416" w:type="dxa"/>
            <w:tcBorders>
              <w:left w:val="single" w:sz="4" w:space="0" w:color="auto"/>
              <w:right w:val="single" w:sz="4" w:space="0" w:color="auto"/>
            </w:tcBorders>
            <w:shd w:val="clear" w:color="auto" w:fill="auto"/>
            <w:tcMar>
              <w:left w:w="80" w:type="dxa"/>
              <w:right w:w="80" w:type="dxa"/>
            </w:tcMar>
          </w:tcPr>
          <w:p w14:paraId="226C1CEB" w14:textId="77777777" w:rsidR="00B926FE" w:rsidRPr="003F7A38" w:rsidRDefault="00B926FE" w:rsidP="000A2491">
            <w:pPr>
              <w:pStyle w:val="TableText"/>
              <w:jc w:val="right"/>
              <w:rPr>
                <w:color w:val="000000" w:themeColor="text1"/>
              </w:rPr>
            </w:pPr>
            <w:r w:rsidRPr="003F7A38">
              <w:t>88</w:t>
            </w:r>
          </w:p>
        </w:tc>
        <w:tc>
          <w:tcPr>
            <w:tcW w:w="779" w:type="dxa"/>
            <w:tcBorders>
              <w:left w:val="single" w:sz="4" w:space="0" w:color="auto"/>
              <w:right w:val="single" w:sz="4" w:space="0" w:color="auto"/>
            </w:tcBorders>
            <w:shd w:val="clear" w:color="auto" w:fill="auto"/>
            <w:tcMar>
              <w:left w:w="80" w:type="dxa"/>
              <w:right w:w="80" w:type="dxa"/>
            </w:tcMar>
          </w:tcPr>
          <w:p w14:paraId="289E3438" w14:textId="77777777" w:rsidR="00B926FE" w:rsidRPr="003F7A38" w:rsidRDefault="00B926FE" w:rsidP="000A2491">
            <w:pPr>
              <w:pStyle w:val="TableText"/>
              <w:jc w:val="right"/>
              <w:rPr>
                <w:color w:val="000000" w:themeColor="text1"/>
              </w:rPr>
            </w:pPr>
            <w:r w:rsidRPr="003F7A38">
              <w:t>618</w:t>
            </w:r>
          </w:p>
        </w:tc>
        <w:tc>
          <w:tcPr>
            <w:tcW w:w="1003" w:type="dxa"/>
            <w:tcBorders>
              <w:left w:val="single" w:sz="4" w:space="0" w:color="auto"/>
              <w:right w:val="single" w:sz="4" w:space="0" w:color="auto"/>
            </w:tcBorders>
            <w:shd w:val="clear" w:color="auto" w:fill="auto"/>
            <w:tcMar>
              <w:left w:w="80" w:type="dxa"/>
              <w:right w:w="80" w:type="dxa"/>
            </w:tcMar>
          </w:tcPr>
          <w:p w14:paraId="584621CF" w14:textId="77777777" w:rsidR="00B926FE" w:rsidRPr="003F7A38" w:rsidRDefault="00B926FE" w:rsidP="000A2491">
            <w:pPr>
              <w:pStyle w:val="TableText"/>
              <w:jc w:val="right"/>
              <w:rPr>
                <w:color w:val="000000" w:themeColor="text1"/>
              </w:rPr>
            </w:pPr>
            <w:r w:rsidRPr="003F7A38">
              <w:t>87.8 (77.0</w:t>
            </w:r>
            <w:r>
              <w:t xml:space="preserve">, </w:t>
            </w:r>
            <w:r w:rsidRPr="003F7A38">
              <w:t>93.9)</w:t>
            </w:r>
          </w:p>
        </w:tc>
      </w:tr>
      <w:tr w:rsidR="00B926FE" w:rsidRPr="003F7A38" w14:paraId="4BA2EF3F" w14:textId="77777777" w:rsidTr="005C60DC">
        <w:trPr>
          <w:cantSplit/>
        </w:trPr>
        <w:tc>
          <w:tcPr>
            <w:tcW w:w="2631"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30D30553" w14:textId="77777777" w:rsidR="00B926FE" w:rsidRPr="003F7A38" w:rsidRDefault="00B926FE" w:rsidP="000A2491">
            <w:pPr>
              <w:pStyle w:val="TableText"/>
              <w:rPr>
                <w:rFonts w:cs="Arial"/>
              </w:rPr>
            </w:pPr>
            <w:r w:rsidRPr="003F7A38">
              <w:rPr>
                <w:rFonts w:cs="Arial"/>
              </w:rPr>
              <w:t>Neither</w:t>
            </w:r>
          </w:p>
        </w:tc>
        <w:tc>
          <w:tcPr>
            <w:tcW w:w="352"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2A800D82" w14:textId="77777777" w:rsidR="00B926FE" w:rsidRPr="003F7A38" w:rsidRDefault="00B926FE" w:rsidP="000A2491">
            <w:pPr>
              <w:pStyle w:val="TableText"/>
              <w:jc w:val="right"/>
              <w:rPr>
                <w:color w:val="000000" w:themeColor="text1"/>
              </w:rPr>
            </w:pPr>
            <w:r w:rsidRPr="003F7A38">
              <w:t>35</w:t>
            </w:r>
          </w:p>
        </w:tc>
        <w:tc>
          <w:tcPr>
            <w:tcW w:w="779"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0D92EB3A" w14:textId="77777777" w:rsidR="00B926FE" w:rsidRPr="003F7A38" w:rsidRDefault="00B926FE" w:rsidP="000A2491">
            <w:pPr>
              <w:pStyle w:val="TableText"/>
              <w:jc w:val="right"/>
              <w:rPr>
                <w:color w:val="000000" w:themeColor="text1"/>
              </w:rPr>
            </w:pPr>
            <w:r w:rsidRPr="003F7A38">
              <w:t>252</w:t>
            </w:r>
          </w:p>
        </w:tc>
        <w:tc>
          <w:tcPr>
            <w:tcW w:w="1003"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5856CFFC" w14:textId="77777777" w:rsidR="00B926FE" w:rsidRPr="003F7A38" w:rsidRDefault="00B926FE" w:rsidP="000A2491">
            <w:pPr>
              <w:pStyle w:val="TableText"/>
              <w:jc w:val="right"/>
              <w:rPr>
                <w:color w:val="000000" w:themeColor="text1"/>
              </w:rPr>
            </w:pPr>
            <w:r w:rsidRPr="003F7A38">
              <w:t>33.2 (23.6</w:t>
            </w:r>
            <w:r>
              <w:t xml:space="preserve">, </w:t>
            </w:r>
            <w:r w:rsidRPr="003F7A38">
              <w:t>44.4)</w:t>
            </w:r>
          </w:p>
        </w:tc>
        <w:tc>
          <w:tcPr>
            <w:tcW w:w="416"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1575CE11" w14:textId="77777777" w:rsidR="00B926FE" w:rsidRPr="003F7A38" w:rsidRDefault="00B926FE" w:rsidP="000A2491">
            <w:pPr>
              <w:pStyle w:val="TableText"/>
              <w:jc w:val="right"/>
              <w:rPr>
                <w:color w:val="000000" w:themeColor="text1"/>
              </w:rPr>
            </w:pPr>
            <w:r w:rsidRPr="003F7A38">
              <w:t>23</w:t>
            </w:r>
          </w:p>
        </w:tc>
        <w:tc>
          <w:tcPr>
            <w:tcW w:w="779"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636F1BA5" w14:textId="77777777" w:rsidR="00B926FE" w:rsidRPr="003F7A38" w:rsidRDefault="00B926FE" w:rsidP="000A2491">
            <w:pPr>
              <w:pStyle w:val="TableText"/>
              <w:jc w:val="right"/>
              <w:rPr>
                <w:color w:val="000000" w:themeColor="text1"/>
              </w:rPr>
            </w:pPr>
            <w:r w:rsidRPr="003F7A38">
              <w:t>77</w:t>
            </w:r>
          </w:p>
        </w:tc>
        <w:tc>
          <w:tcPr>
            <w:tcW w:w="1003" w:type="dxa"/>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38846EFF" w14:textId="77777777" w:rsidR="00B926FE" w:rsidRPr="003F7A38" w:rsidRDefault="00B926FE" w:rsidP="000A2491">
            <w:pPr>
              <w:pStyle w:val="TableText"/>
              <w:jc w:val="right"/>
              <w:rPr>
                <w:color w:val="000000" w:themeColor="text1"/>
              </w:rPr>
            </w:pPr>
            <w:r w:rsidRPr="003F7A38">
              <w:t>10.9 (5.4</w:t>
            </w:r>
            <w:r>
              <w:t xml:space="preserve">, </w:t>
            </w:r>
            <w:r w:rsidRPr="003F7A38">
              <w:t>20.9)</w:t>
            </w:r>
          </w:p>
        </w:tc>
      </w:tr>
    </w:tbl>
    <w:p w14:paraId="44C13015" w14:textId="77777777" w:rsidR="00B926FE" w:rsidRPr="006A3EA0" w:rsidRDefault="00B926FE" w:rsidP="00B926FE">
      <w:pPr>
        <w:pStyle w:val="TableNotes"/>
      </w:pPr>
      <w:r>
        <w:t>Notes</w:t>
      </w:r>
    </w:p>
    <w:p w14:paraId="425E7A8F" w14:textId="77777777" w:rsidR="00B926FE" w:rsidRPr="00015791" w:rsidRDefault="00B926FE" w:rsidP="00B926FE">
      <w:pPr>
        <w:pStyle w:val="TableNotes"/>
      </w:pPr>
      <w:r w:rsidRPr="00015791">
        <w:t xml:space="preserve">Denominator: Those who used </w:t>
      </w:r>
      <w:r>
        <w:t>internet</w:t>
      </w:r>
      <w:r w:rsidRPr="00015791">
        <w:t xml:space="preserve"> to manage mental health</w:t>
      </w:r>
      <w:r>
        <w:t>.</w:t>
      </w:r>
      <w:r w:rsidRPr="00015791">
        <w:t xml:space="preserve"> </w:t>
      </w:r>
    </w:p>
    <w:p w14:paraId="3D908D20" w14:textId="77777777" w:rsidR="00B926FE" w:rsidRPr="00015791" w:rsidRDefault="00B926FE" w:rsidP="00B926FE">
      <w:pPr>
        <w:pStyle w:val="TableNotes"/>
      </w:pPr>
      <w:r w:rsidRPr="00015791">
        <w:t>Based o</w:t>
      </w:r>
      <w:r>
        <w:t xml:space="preserve">n weighted counts, 163 (2.7%) </w:t>
      </w:r>
      <w:r w:rsidRPr="00015791">
        <w:t>Transitioned ADF and 126 (1.4%) 2015 Regular ADF had a missing value for this question.</w:t>
      </w:r>
      <w:r>
        <w:t xml:space="preserve"> </w:t>
      </w:r>
      <w:r w:rsidRPr="00015791">
        <w:t>However, distributions are calculated by including those with a missing value to allow for correct weighted totals</w:t>
      </w:r>
      <w:r>
        <w:t>.</w:t>
      </w:r>
    </w:p>
    <w:p w14:paraId="6D82E1E9" w14:textId="77777777" w:rsidR="00B926FE" w:rsidRPr="00015791" w:rsidRDefault="00B926FE" w:rsidP="00B926FE">
      <w:pPr>
        <w:pStyle w:val="TableNotes"/>
      </w:pPr>
      <w:r>
        <w:t>95%CI = 95% confidence interval.</w:t>
      </w:r>
      <w:r w:rsidRPr="00015791">
        <w:t xml:space="preserve"> </w:t>
      </w:r>
    </w:p>
    <w:p w14:paraId="512186F4" w14:textId="77777777" w:rsidR="00B926FE" w:rsidRDefault="00B926FE" w:rsidP="00B926FE">
      <w:pPr>
        <w:pStyle w:val="TableNotes"/>
      </w:pPr>
      <w:r w:rsidRPr="00015791">
        <w:t>For a full description of odds ratios, interpretation and strength of association</w:t>
      </w:r>
      <w:r>
        <w:t>,</w:t>
      </w:r>
      <w:r w:rsidRPr="00015791">
        <w:t xml:space="preserve"> please refer to Table B.1</w:t>
      </w:r>
      <w:r>
        <w:t xml:space="preserve"> </w:t>
      </w:r>
      <w:r w:rsidRPr="00BB1B84">
        <w:t xml:space="preserve">in </w:t>
      </w:r>
      <w:r w:rsidR="00374073">
        <w:t>Annex </w:t>
      </w:r>
      <w:r>
        <w:t>B, Odds ratio table.</w:t>
      </w:r>
    </w:p>
    <w:p w14:paraId="0E431A48" w14:textId="77777777" w:rsidR="00B926FE" w:rsidRDefault="00B926FE" w:rsidP="00B926FE">
      <w:pPr>
        <w:pStyle w:val="TableNotes"/>
        <w:rPr>
          <w:rFonts w:cs="Calibri"/>
          <w:bCs/>
          <w:color w:val="000000" w:themeColor="text1"/>
          <w:szCs w:val="14"/>
        </w:rPr>
      </w:pPr>
      <w:r>
        <w:rPr>
          <w:rFonts w:cs="Calibri"/>
          <w:bCs/>
          <w:color w:val="000000" w:themeColor="text1"/>
          <w:szCs w:val="14"/>
        </w:rPr>
        <w:t># = Cell size too small to be reported.</w:t>
      </w:r>
    </w:p>
    <w:p w14:paraId="3F53F541" w14:textId="73570FB7" w:rsidR="00B926FE" w:rsidRPr="003F7A38" w:rsidRDefault="00B926FE" w:rsidP="00B926FE">
      <w:pPr>
        <w:pStyle w:val="FigureName"/>
      </w:pPr>
      <w:bookmarkStart w:id="888" w:name="_Ref509917167"/>
      <w:bookmarkStart w:id="889" w:name="_Toc507594497"/>
      <w:bookmarkStart w:id="890" w:name="_Toc509922960"/>
      <w:bookmarkStart w:id="891" w:name="_Toc515374734"/>
      <w:bookmarkStart w:id="892" w:name="_Toc528932418"/>
      <w:bookmarkStart w:id="893" w:name="_Toc531858098"/>
      <w:r w:rsidRPr="00645E4D">
        <w:t xml:space="preserve">Figure </w:t>
      </w:r>
      <w:r>
        <w:rPr>
          <w:noProof/>
        </w:rPr>
        <w:t>7</w:t>
      </w:r>
      <w:r>
        <w:t>.</w:t>
      </w:r>
      <w:r>
        <w:rPr>
          <w:noProof/>
        </w:rPr>
        <w:t>4</w:t>
      </w:r>
      <w:bookmarkEnd w:id="888"/>
      <w:r>
        <w:tab/>
      </w:r>
      <w:r w:rsidRPr="00645E4D">
        <w:t>Talking</w:t>
      </w:r>
      <w:r w:rsidRPr="00951F29">
        <w:t xml:space="preserve"> about </w:t>
      </w:r>
      <w:r>
        <w:t xml:space="preserve">one’s own </w:t>
      </w:r>
      <w:r w:rsidRPr="00951F29">
        <w:t xml:space="preserve">mental health on the </w:t>
      </w:r>
      <w:r>
        <w:t>internet</w:t>
      </w:r>
      <w:r w:rsidRPr="00951F29">
        <w:t xml:space="preserve"> with other people (e.g. online forums, chatrooms, blogs, MSN or Gmail messenger) </w:t>
      </w:r>
      <w:r>
        <w:t>among Transitioned ADF and 2015 Regular ADF</w:t>
      </w:r>
      <w:bookmarkEnd w:id="889"/>
      <w:bookmarkEnd w:id="890"/>
      <w:bookmarkEnd w:id="891"/>
      <w:r>
        <w:t xml:space="preserv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892"/>
      <w:bookmarkEnd w:id="893"/>
    </w:p>
    <w:p w14:paraId="12F481D4" w14:textId="77777777" w:rsidR="00B926FE" w:rsidRDefault="005C60DC" w:rsidP="005C60DC">
      <w:pPr>
        <w:spacing w:after="360"/>
      </w:pPr>
      <w:bookmarkStart w:id="894" w:name="_Toc509917463"/>
      <w:r w:rsidRPr="00A30615">
        <w:rPr>
          <w:noProof/>
          <w:lang w:eastAsia="en-AU"/>
        </w:rPr>
        <w:drawing>
          <wp:inline distT="0" distB="0" distL="0" distR="0" wp14:anchorId="58FD1D21" wp14:editId="1EA34C90">
            <wp:extent cx="4572000" cy="2307293"/>
            <wp:effectExtent l="0" t="0" r="0" b="0"/>
            <wp:docPr id="42" name="Picture 42" descr="Figure 7.4 Talking about one’s own mental health on the internet with other people (e.g. online forums, chatrooms, blogs, MSN or Gmail messenger) among Transitioned ADF and 2015 Regular ADF who reported using the internet to seek help or information for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althSciences\SPHCP\CTSS\DATA REPOSITORY\TWRP\REPORT 5\FIGURE_4_14.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572000" cy="2307293"/>
                    </a:xfrm>
                    <a:prstGeom prst="rect">
                      <a:avLst/>
                    </a:prstGeom>
                    <a:noFill/>
                    <a:ln>
                      <a:noFill/>
                    </a:ln>
                  </pic:spPr>
                </pic:pic>
              </a:graphicData>
            </a:graphic>
          </wp:inline>
        </w:drawing>
      </w:r>
    </w:p>
    <w:bookmarkEnd w:id="894"/>
    <w:p w14:paraId="492552DE" w14:textId="77777777" w:rsidR="005A7120" w:rsidRDefault="005A7120" w:rsidP="005A7120"/>
    <w:p w14:paraId="37E8F8F9" w14:textId="77777777" w:rsidR="005A7120" w:rsidRDefault="005A7120" w:rsidP="005A7120">
      <w:pPr>
        <w:sectPr w:rsidR="005A7120" w:rsidSect="00463E44">
          <w:footerReference w:type="even" r:id="rId96"/>
          <w:footerReference w:type="default" r:id="rId97"/>
          <w:pgSz w:w="9979" w:h="14170" w:code="243"/>
          <w:pgMar w:top="1440" w:right="1152" w:bottom="1440" w:left="1728" w:header="576" w:footer="576" w:gutter="0"/>
          <w:cols w:space="708"/>
          <w:docGrid w:linePitch="360"/>
        </w:sectPr>
      </w:pPr>
    </w:p>
    <w:p w14:paraId="7FA438A0" w14:textId="77777777" w:rsidR="00B926FE" w:rsidRDefault="00B926FE" w:rsidP="00B926FE">
      <w:pPr>
        <w:pStyle w:val="TableName"/>
      </w:pPr>
      <w:bookmarkStart w:id="895" w:name="_Toc531858027"/>
      <w:bookmarkStart w:id="896" w:name="_Ref509917210"/>
      <w:bookmarkStart w:id="897" w:name="_Toc501633238"/>
      <w:bookmarkStart w:id="898" w:name="_Toc509922898"/>
      <w:bookmarkStart w:id="899" w:name="_Toc515374673"/>
      <w:bookmarkStart w:id="900" w:name="_Toc528932348"/>
      <w:r>
        <w:t xml:space="preserve">Table </w:t>
      </w:r>
      <w:r>
        <w:rPr>
          <w:noProof/>
        </w:rPr>
        <w:t>7</w:t>
      </w:r>
      <w:r>
        <w:t>.</w:t>
      </w:r>
      <w:r>
        <w:rPr>
          <w:noProof/>
        </w:rPr>
        <w:t>8</w:t>
      </w:r>
      <w:r>
        <w:tab/>
      </w:r>
      <w:r w:rsidRPr="00951F29">
        <w:t xml:space="preserve">Talking about </w:t>
      </w:r>
      <w:r>
        <w:t xml:space="preserve">one’s own </w:t>
      </w:r>
      <w:r w:rsidRPr="00951F29">
        <w:t xml:space="preserve">mental health on the </w:t>
      </w:r>
      <w:r>
        <w:t>internet</w:t>
      </w:r>
      <w:r w:rsidRPr="00951F29">
        <w:t xml:space="preserve"> with other people (e.g. online forums, chatrooms, blogs, MSN or Gmail messenger) </w:t>
      </w:r>
      <w:r>
        <w:t>among Transitioned ADF and 2015 Regular ADF</w:t>
      </w:r>
      <w:r>
        <w:rPr>
          <w:szCs w:val="22"/>
        </w:rPr>
        <w:t xml:space="preserve"> 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t xml:space="preserve"> by probable </w:t>
      </w:r>
      <w:r w:rsidRPr="00D06A87">
        <w:t>disorder and demographic</w:t>
      </w:r>
      <w:r>
        <w:t xml:space="preserve"> characteristics</w:t>
      </w:r>
      <w:bookmarkEnd w:id="895"/>
    </w:p>
    <w:bookmarkEnd w:id="896"/>
    <w:bookmarkEnd w:id="897"/>
    <w:bookmarkEnd w:id="898"/>
    <w:bookmarkEnd w:id="899"/>
    <w:bookmarkEnd w:id="900"/>
    <w:tbl>
      <w:tblPr>
        <w:tblStyle w:val="TWRPTable"/>
        <w:tblW w:w="5000" w:type="pct"/>
        <w:tblLayout w:type="fixed"/>
        <w:tblCellMar>
          <w:left w:w="115" w:type="dxa"/>
          <w:right w:w="115" w:type="dxa"/>
        </w:tblCellMar>
        <w:tblLook w:val="0000" w:firstRow="0" w:lastRow="0" w:firstColumn="0" w:lastColumn="0" w:noHBand="0" w:noVBand="0"/>
        <w:tblDescription w:val="Table 7.8 Talking about one’s own mental health on the internet with other people (e.g. online forums, chatrooms, blogs, MSN or Gmail messenger) among Transitioned ADF and 2015 Regular ADF who reported using the internet to seek help or information for or manage mental health issues, by probable disorder and demographic characteristics"/>
      </w:tblPr>
      <w:tblGrid>
        <w:gridCol w:w="1333"/>
        <w:gridCol w:w="479"/>
        <w:gridCol w:w="946"/>
        <w:gridCol w:w="1123"/>
        <w:gridCol w:w="396"/>
        <w:gridCol w:w="925"/>
        <w:gridCol w:w="1097"/>
        <w:gridCol w:w="541"/>
        <w:gridCol w:w="926"/>
        <w:gridCol w:w="1097"/>
        <w:gridCol w:w="405"/>
        <w:gridCol w:w="946"/>
        <w:gridCol w:w="1066"/>
      </w:tblGrid>
      <w:tr w:rsidR="00B926FE" w:rsidRPr="003F7A38" w14:paraId="12D4E60A" w14:textId="77777777" w:rsidTr="005C60DC">
        <w:trPr>
          <w:cantSplit/>
          <w:tblHeader/>
        </w:trPr>
        <w:tc>
          <w:tcPr>
            <w:tcW w:w="1363" w:type="dxa"/>
            <w:tcBorders>
              <w:top w:val="single" w:sz="4" w:space="0" w:color="000000"/>
              <w:bottom w:val="nil"/>
            </w:tcBorders>
          </w:tcPr>
          <w:p w14:paraId="5A1D5FF7" w14:textId="77777777" w:rsidR="00B926FE" w:rsidRPr="003F7A38" w:rsidRDefault="00B926FE" w:rsidP="000A2491">
            <w:pPr>
              <w:pStyle w:val="TableText"/>
            </w:pPr>
          </w:p>
        </w:tc>
        <w:tc>
          <w:tcPr>
            <w:tcW w:w="5064" w:type="dxa"/>
            <w:gridSpan w:val="6"/>
            <w:tcBorders>
              <w:top w:val="single" w:sz="4" w:space="0" w:color="000000"/>
              <w:bottom w:val="single" w:sz="4" w:space="0" w:color="000000"/>
            </w:tcBorders>
          </w:tcPr>
          <w:p w14:paraId="33F75ABA" w14:textId="77777777" w:rsidR="00B926FE" w:rsidRPr="002E0D19" w:rsidRDefault="00B926FE" w:rsidP="005C60DC">
            <w:pPr>
              <w:pStyle w:val="TableText"/>
              <w:jc w:val="center"/>
              <w:rPr>
                <w:b/>
              </w:rPr>
            </w:pPr>
            <w:r w:rsidRPr="002E0D19">
              <w:rPr>
                <w:b/>
                <w:bCs/>
              </w:rPr>
              <w:t>Transitioned ADF</w:t>
            </w:r>
            <w:r w:rsidR="005C60DC">
              <w:rPr>
                <w:b/>
                <w:bCs/>
              </w:rPr>
              <w:br/>
            </w:r>
            <w:r w:rsidRPr="002E0D19">
              <w:rPr>
                <w:b/>
                <w:bCs/>
              </w:rPr>
              <w:t>n=6116</w:t>
            </w:r>
          </w:p>
        </w:tc>
        <w:tc>
          <w:tcPr>
            <w:tcW w:w="5079" w:type="dxa"/>
            <w:gridSpan w:val="6"/>
            <w:tcBorders>
              <w:top w:val="single" w:sz="4" w:space="0" w:color="000000"/>
              <w:bottom w:val="single" w:sz="4" w:space="0" w:color="000000"/>
            </w:tcBorders>
          </w:tcPr>
          <w:p w14:paraId="33605CCD" w14:textId="77777777" w:rsidR="00B926FE" w:rsidRPr="002E0D19" w:rsidRDefault="00B926FE" w:rsidP="005C60DC">
            <w:pPr>
              <w:pStyle w:val="TableText"/>
              <w:jc w:val="center"/>
              <w:rPr>
                <w:b/>
              </w:rPr>
            </w:pPr>
            <w:r w:rsidRPr="002E0D19">
              <w:rPr>
                <w:b/>
                <w:bCs/>
              </w:rPr>
              <w:t>2015 Regular ADF</w:t>
            </w:r>
            <w:r w:rsidR="005C60DC">
              <w:rPr>
                <w:b/>
                <w:bCs/>
              </w:rPr>
              <w:br/>
            </w:r>
            <w:r w:rsidRPr="002E0D19">
              <w:rPr>
                <w:b/>
                <w:bCs/>
              </w:rPr>
              <w:t>n=9042</w:t>
            </w:r>
          </w:p>
        </w:tc>
      </w:tr>
      <w:tr w:rsidR="00B926FE" w:rsidRPr="003F7A38" w14:paraId="2A8DAC04" w14:textId="77777777" w:rsidTr="005C60DC">
        <w:trPr>
          <w:cantSplit/>
          <w:tblHeader/>
        </w:trPr>
        <w:tc>
          <w:tcPr>
            <w:tcW w:w="1363" w:type="dxa"/>
            <w:tcBorders>
              <w:top w:val="nil"/>
              <w:bottom w:val="nil"/>
            </w:tcBorders>
          </w:tcPr>
          <w:p w14:paraId="0C89BEA4" w14:textId="77777777" w:rsidR="00B926FE" w:rsidRPr="003F7A38" w:rsidRDefault="00B926FE" w:rsidP="000A2491">
            <w:pPr>
              <w:pStyle w:val="TableText"/>
            </w:pPr>
          </w:p>
        </w:tc>
        <w:tc>
          <w:tcPr>
            <w:tcW w:w="2599" w:type="dxa"/>
            <w:gridSpan w:val="3"/>
            <w:tcBorders>
              <w:top w:val="single" w:sz="4" w:space="0" w:color="000000"/>
              <w:bottom w:val="single" w:sz="4" w:space="0" w:color="000000"/>
            </w:tcBorders>
          </w:tcPr>
          <w:p w14:paraId="1B63451D" w14:textId="77777777" w:rsidR="00B926FE" w:rsidRPr="002E0D19" w:rsidRDefault="00B926FE" w:rsidP="005C60DC">
            <w:pPr>
              <w:pStyle w:val="TableText"/>
              <w:jc w:val="center"/>
              <w:rPr>
                <w:b/>
              </w:rPr>
            </w:pPr>
            <w:r w:rsidRPr="002E0D19">
              <w:rPr>
                <w:b/>
              </w:rPr>
              <w:t xml:space="preserve">No, did not talk on the </w:t>
            </w:r>
            <w:r>
              <w:rPr>
                <w:b/>
              </w:rPr>
              <w:t>internet</w:t>
            </w:r>
            <w:r w:rsidRPr="002E0D19">
              <w:rPr>
                <w:b/>
              </w:rPr>
              <w:t xml:space="preserve"> with other</w:t>
            </w:r>
            <w:r w:rsidR="005C60DC">
              <w:rPr>
                <w:b/>
              </w:rPr>
              <w:t> </w:t>
            </w:r>
            <w:r w:rsidRPr="002E0D19">
              <w:rPr>
                <w:b/>
              </w:rPr>
              <w:t>people</w:t>
            </w:r>
            <w:r>
              <w:rPr>
                <w:b/>
              </w:rPr>
              <w:t>.</w:t>
            </w:r>
            <w:r w:rsidR="005C60DC">
              <w:rPr>
                <w:b/>
              </w:rPr>
              <w:br/>
            </w:r>
            <w:r>
              <w:rPr>
                <w:b/>
              </w:rPr>
              <w:t>n=</w:t>
            </w:r>
            <w:r w:rsidRPr="002E0D19">
              <w:rPr>
                <w:b/>
              </w:rPr>
              <w:t>5194</w:t>
            </w:r>
          </w:p>
        </w:tc>
        <w:tc>
          <w:tcPr>
            <w:tcW w:w="2465" w:type="dxa"/>
            <w:gridSpan w:val="3"/>
            <w:tcBorders>
              <w:top w:val="single" w:sz="4" w:space="0" w:color="000000"/>
              <w:bottom w:val="single" w:sz="4" w:space="0" w:color="000000"/>
            </w:tcBorders>
          </w:tcPr>
          <w:p w14:paraId="4A5F3177" w14:textId="77777777" w:rsidR="00B926FE" w:rsidRPr="002E0D19" w:rsidRDefault="00B926FE" w:rsidP="005C60DC">
            <w:pPr>
              <w:pStyle w:val="TableText"/>
              <w:jc w:val="center"/>
              <w:rPr>
                <w:b/>
              </w:rPr>
            </w:pPr>
            <w:r w:rsidRPr="002E0D19">
              <w:rPr>
                <w:b/>
              </w:rPr>
              <w:t xml:space="preserve">Yes, did talk on the </w:t>
            </w:r>
            <w:r>
              <w:rPr>
                <w:b/>
              </w:rPr>
              <w:t>internet</w:t>
            </w:r>
            <w:r w:rsidRPr="002E0D19">
              <w:rPr>
                <w:b/>
              </w:rPr>
              <w:t xml:space="preserve"> with other</w:t>
            </w:r>
            <w:r w:rsidR="005C60DC">
              <w:rPr>
                <w:b/>
              </w:rPr>
              <w:t> </w:t>
            </w:r>
            <w:r w:rsidRPr="002E0D19">
              <w:rPr>
                <w:b/>
              </w:rPr>
              <w:t>people</w:t>
            </w:r>
            <w:r>
              <w:rPr>
                <w:b/>
              </w:rPr>
              <w:t>.</w:t>
            </w:r>
            <w:r w:rsidR="005C60DC">
              <w:rPr>
                <w:b/>
              </w:rPr>
              <w:br/>
            </w:r>
            <w:r>
              <w:rPr>
                <w:b/>
              </w:rPr>
              <w:t>n=</w:t>
            </w:r>
            <w:r w:rsidRPr="002E0D19">
              <w:rPr>
                <w:b/>
              </w:rPr>
              <w:t>758</w:t>
            </w:r>
          </w:p>
        </w:tc>
        <w:tc>
          <w:tcPr>
            <w:tcW w:w="2615" w:type="dxa"/>
            <w:gridSpan w:val="3"/>
            <w:tcBorders>
              <w:top w:val="single" w:sz="4" w:space="0" w:color="000000"/>
              <w:bottom w:val="single" w:sz="4" w:space="0" w:color="000000"/>
            </w:tcBorders>
          </w:tcPr>
          <w:p w14:paraId="40F98A75" w14:textId="77777777" w:rsidR="00B926FE" w:rsidRPr="002E0D19" w:rsidRDefault="00B926FE" w:rsidP="005C60DC">
            <w:pPr>
              <w:pStyle w:val="TableText"/>
              <w:jc w:val="center"/>
              <w:rPr>
                <w:b/>
              </w:rPr>
            </w:pPr>
            <w:r w:rsidRPr="002E0D19">
              <w:rPr>
                <w:b/>
              </w:rPr>
              <w:t xml:space="preserve">No, did not talk on the </w:t>
            </w:r>
            <w:r>
              <w:rPr>
                <w:b/>
              </w:rPr>
              <w:t>internet</w:t>
            </w:r>
            <w:r w:rsidRPr="002E0D19">
              <w:rPr>
                <w:b/>
              </w:rPr>
              <w:t xml:space="preserve"> with other</w:t>
            </w:r>
            <w:r w:rsidR="005C60DC">
              <w:rPr>
                <w:b/>
              </w:rPr>
              <w:t> </w:t>
            </w:r>
            <w:r w:rsidRPr="002E0D19">
              <w:rPr>
                <w:b/>
              </w:rPr>
              <w:t>people</w:t>
            </w:r>
            <w:r>
              <w:rPr>
                <w:b/>
              </w:rPr>
              <w:t>.</w:t>
            </w:r>
            <w:r w:rsidR="005C60DC">
              <w:rPr>
                <w:b/>
              </w:rPr>
              <w:br/>
            </w:r>
            <w:r>
              <w:rPr>
                <w:b/>
              </w:rPr>
              <w:t>n=</w:t>
            </w:r>
            <w:r w:rsidRPr="002E0D19">
              <w:rPr>
                <w:b/>
              </w:rPr>
              <w:t>8213</w:t>
            </w:r>
          </w:p>
        </w:tc>
        <w:tc>
          <w:tcPr>
            <w:tcW w:w="2464" w:type="dxa"/>
            <w:gridSpan w:val="3"/>
            <w:tcBorders>
              <w:top w:val="single" w:sz="4" w:space="0" w:color="000000"/>
              <w:bottom w:val="single" w:sz="4" w:space="0" w:color="000000"/>
            </w:tcBorders>
          </w:tcPr>
          <w:p w14:paraId="40417761" w14:textId="77777777" w:rsidR="00B926FE" w:rsidRPr="002E0D19" w:rsidRDefault="00B926FE" w:rsidP="005C60DC">
            <w:pPr>
              <w:pStyle w:val="TableText"/>
              <w:jc w:val="center"/>
              <w:rPr>
                <w:b/>
              </w:rPr>
            </w:pPr>
            <w:r w:rsidRPr="002E0D19">
              <w:rPr>
                <w:b/>
              </w:rPr>
              <w:t xml:space="preserve">Yes, did talk on the </w:t>
            </w:r>
            <w:r>
              <w:rPr>
                <w:b/>
              </w:rPr>
              <w:t>internet</w:t>
            </w:r>
            <w:r w:rsidRPr="002E0D19">
              <w:rPr>
                <w:b/>
              </w:rPr>
              <w:t xml:space="preserve"> with other</w:t>
            </w:r>
            <w:r w:rsidR="005C60DC">
              <w:rPr>
                <w:b/>
              </w:rPr>
              <w:t> </w:t>
            </w:r>
            <w:r w:rsidRPr="002E0D19">
              <w:rPr>
                <w:b/>
              </w:rPr>
              <w:t>people</w:t>
            </w:r>
            <w:r>
              <w:rPr>
                <w:b/>
              </w:rPr>
              <w:t>.</w:t>
            </w:r>
            <w:r w:rsidR="005C60DC">
              <w:rPr>
                <w:b/>
              </w:rPr>
              <w:br/>
            </w:r>
            <w:r>
              <w:rPr>
                <w:b/>
              </w:rPr>
              <w:t>n=</w:t>
            </w:r>
            <w:r w:rsidRPr="002E0D19">
              <w:rPr>
                <w:b/>
              </w:rPr>
              <w:t>704</w:t>
            </w:r>
          </w:p>
        </w:tc>
      </w:tr>
      <w:tr w:rsidR="005C60DC" w:rsidRPr="003F7A38" w14:paraId="24231E45" w14:textId="77777777" w:rsidTr="005C60DC">
        <w:trPr>
          <w:cantSplit/>
          <w:tblHeader/>
        </w:trPr>
        <w:tc>
          <w:tcPr>
            <w:tcW w:w="1363" w:type="dxa"/>
            <w:tcBorders>
              <w:top w:val="nil"/>
              <w:bottom w:val="single" w:sz="4" w:space="0" w:color="000000"/>
            </w:tcBorders>
          </w:tcPr>
          <w:p w14:paraId="180CDEE3" w14:textId="77777777" w:rsidR="00B926FE" w:rsidRPr="002E0D19" w:rsidRDefault="00B926FE" w:rsidP="000A2491">
            <w:pPr>
              <w:pStyle w:val="TableText"/>
              <w:rPr>
                <w:b/>
              </w:rPr>
            </w:pPr>
            <w:r w:rsidRPr="002E0D19">
              <w:rPr>
                <w:b/>
              </w:rPr>
              <w:t>Type</w:t>
            </w:r>
          </w:p>
        </w:tc>
        <w:tc>
          <w:tcPr>
            <w:tcW w:w="485" w:type="dxa"/>
            <w:tcBorders>
              <w:top w:val="single" w:sz="4" w:space="0" w:color="000000"/>
              <w:bottom w:val="single" w:sz="4" w:space="0" w:color="000000"/>
            </w:tcBorders>
          </w:tcPr>
          <w:p w14:paraId="40CF5E3E" w14:textId="77777777" w:rsidR="00B926FE" w:rsidRPr="002E0D19" w:rsidRDefault="00B926FE" w:rsidP="000A2491">
            <w:pPr>
              <w:pStyle w:val="TableText"/>
              <w:jc w:val="right"/>
              <w:rPr>
                <w:b/>
              </w:rPr>
            </w:pPr>
            <w:r w:rsidRPr="002E0D19">
              <w:rPr>
                <w:b/>
              </w:rPr>
              <w:t>n</w:t>
            </w:r>
          </w:p>
        </w:tc>
        <w:tc>
          <w:tcPr>
            <w:tcW w:w="966" w:type="dxa"/>
            <w:tcBorders>
              <w:top w:val="single" w:sz="4" w:space="0" w:color="000000"/>
              <w:bottom w:val="single" w:sz="4" w:space="0" w:color="000000"/>
            </w:tcBorders>
          </w:tcPr>
          <w:p w14:paraId="6E5F37B4" w14:textId="77777777" w:rsidR="00B926FE" w:rsidRPr="002E0D19" w:rsidRDefault="00B926FE" w:rsidP="000A2491">
            <w:pPr>
              <w:pStyle w:val="TableText"/>
              <w:jc w:val="right"/>
              <w:rPr>
                <w:b/>
              </w:rPr>
            </w:pPr>
            <w:r w:rsidRPr="002E0D19">
              <w:rPr>
                <w:b/>
              </w:rPr>
              <w:t>Weighted n</w:t>
            </w:r>
          </w:p>
        </w:tc>
        <w:tc>
          <w:tcPr>
            <w:tcW w:w="1148" w:type="dxa"/>
            <w:tcBorders>
              <w:top w:val="single" w:sz="4" w:space="0" w:color="000000"/>
              <w:bottom w:val="single" w:sz="4" w:space="0" w:color="000000"/>
            </w:tcBorders>
          </w:tcPr>
          <w:p w14:paraId="55E8E3A8" w14:textId="77777777" w:rsidR="00B926FE" w:rsidRPr="002E0D19" w:rsidRDefault="00B926FE" w:rsidP="000A2491">
            <w:pPr>
              <w:pStyle w:val="TableText"/>
              <w:jc w:val="right"/>
              <w:rPr>
                <w:b/>
              </w:rPr>
            </w:pPr>
            <w:r w:rsidRPr="002E0D19">
              <w:rPr>
                <w:b/>
              </w:rPr>
              <w:t>% (95%CI)</w:t>
            </w:r>
          </w:p>
        </w:tc>
        <w:tc>
          <w:tcPr>
            <w:tcW w:w="400" w:type="dxa"/>
            <w:tcBorders>
              <w:top w:val="single" w:sz="4" w:space="0" w:color="000000"/>
              <w:bottom w:val="single" w:sz="4" w:space="0" w:color="000000"/>
            </w:tcBorders>
          </w:tcPr>
          <w:p w14:paraId="62729A31" w14:textId="77777777" w:rsidR="00B926FE" w:rsidRPr="002E0D19" w:rsidRDefault="00B926FE" w:rsidP="000A2491">
            <w:pPr>
              <w:pStyle w:val="TableText"/>
              <w:jc w:val="right"/>
              <w:rPr>
                <w:b/>
              </w:rPr>
            </w:pPr>
            <w:r w:rsidRPr="002E0D19">
              <w:rPr>
                <w:b/>
              </w:rPr>
              <w:t>n</w:t>
            </w:r>
          </w:p>
        </w:tc>
        <w:tc>
          <w:tcPr>
            <w:tcW w:w="944" w:type="dxa"/>
            <w:tcBorders>
              <w:top w:val="single" w:sz="4" w:space="0" w:color="000000"/>
              <w:bottom w:val="single" w:sz="4" w:space="0" w:color="000000"/>
            </w:tcBorders>
          </w:tcPr>
          <w:p w14:paraId="619234CC" w14:textId="77777777" w:rsidR="00B926FE" w:rsidRPr="002E0D19" w:rsidRDefault="00B926FE" w:rsidP="000A2491">
            <w:pPr>
              <w:pStyle w:val="TableText"/>
              <w:jc w:val="right"/>
              <w:rPr>
                <w:b/>
              </w:rPr>
            </w:pPr>
            <w:r w:rsidRPr="002E0D19">
              <w:rPr>
                <w:b/>
              </w:rPr>
              <w:t>Weighted n</w:t>
            </w:r>
          </w:p>
        </w:tc>
        <w:tc>
          <w:tcPr>
            <w:tcW w:w="1121" w:type="dxa"/>
            <w:tcBorders>
              <w:top w:val="single" w:sz="4" w:space="0" w:color="000000"/>
              <w:bottom w:val="single" w:sz="4" w:space="0" w:color="000000"/>
            </w:tcBorders>
          </w:tcPr>
          <w:p w14:paraId="41005EA2" w14:textId="77777777" w:rsidR="00B926FE" w:rsidRPr="002E0D19" w:rsidRDefault="00B926FE" w:rsidP="000A2491">
            <w:pPr>
              <w:pStyle w:val="TableText"/>
              <w:jc w:val="right"/>
              <w:rPr>
                <w:b/>
              </w:rPr>
            </w:pPr>
            <w:r w:rsidRPr="002E0D19">
              <w:rPr>
                <w:b/>
              </w:rPr>
              <w:t>% (95%CI)</w:t>
            </w:r>
          </w:p>
        </w:tc>
        <w:tc>
          <w:tcPr>
            <w:tcW w:w="549" w:type="dxa"/>
            <w:tcBorders>
              <w:top w:val="single" w:sz="4" w:space="0" w:color="000000"/>
              <w:bottom w:val="single" w:sz="4" w:space="0" w:color="000000"/>
            </w:tcBorders>
          </w:tcPr>
          <w:p w14:paraId="463B559A" w14:textId="77777777" w:rsidR="00B926FE" w:rsidRPr="002E0D19" w:rsidRDefault="00B926FE" w:rsidP="000A2491">
            <w:pPr>
              <w:pStyle w:val="TableText"/>
              <w:jc w:val="right"/>
              <w:rPr>
                <w:b/>
              </w:rPr>
            </w:pPr>
            <w:r w:rsidRPr="002E0D19">
              <w:rPr>
                <w:b/>
              </w:rPr>
              <w:t>n</w:t>
            </w:r>
          </w:p>
        </w:tc>
        <w:tc>
          <w:tcPr>
            <w:tcW w:w="945" w:type="dxa"/>
            <w:tcBorders>
              <w:top w:val="single" w:sz="4" w:space="0" w:color="000000"/>
              <w:bottom w:val="single" w:sz="4" w:space="0" w:color="000000"/>
            </w:tcBorders>
          </w:tcPr>
          <w:p w14:paraId="6D4FCC3C" w14:textId="77777777" w:rsidR="00B926FE" w:rsidRPr="002E0D19" w:rsidRDefault="00B926FE" w:rsidP="000A2491">
            <w:pPr>
              <w:pStyle w:val="TableText"/>
              <w:jc w:val="right"/>
              <w:rPr>
                <w:b/>
              </w:rPr>
            </w:pPr>
            <w:r w:rsidRPr="002E0D19">
              <w:rPr>
                <w:b/>
              </w:rPr>
              <w:t>Weighted n</w:t>
            </w:r>
          </w:p>
        </w:tc>
        <w:tc>
          <w:tcPr>
            <w:tcW w:w="1121" w:type="dxa"/>
            <w:tcBorders>
              <w:top w:val="single" w:sz="4" w:space="0" w:color="000000"/>
              <w:bottom w:val="single" w:sz="4" w:space="0" w:color="000000"/>
            </w:tcBorders>
          </w:tcPr>
          <w:p w14:paraId="295B0B17" w14:textId="77777777" w:rsidR="00B926FE" w:rsidRPr="002E0D19" w:rsidRDefault="00B926FE" w:rsidP="000A2491">
            <w:pPr>
              <w:pStyle w:val="TableText"/>
              <w:jc w:val="right"/>
              <w:rPr>
                <w:b/>
              </w:rPr>
            </w:pPr>
            <w:r w:rsidRPr="002E0D19">
              <w:rPr>
                <w:b/>
              </w:rPr>
              <w:t>% (95%CI)</w:t>
            </w:r>
          </w:p>
        </w:tc>
        <w:tc>
          <w:tcPr>
            <w:tcW w:w="409" w:type="dxa"/>
            <w:tcBorders>
              <w:top w:val="single" w:sz="4" w:space="0" w:color="000000"/>
              <w:bottom w:val="single" w:sz="4" w:space="0" w:color="000000"/>
            </w:tcBorders>
          </w:tcPr>
          <w:p w14:paraId="24C53D69" w14:textId="77777777" w:rsidR="00B926FE" w:rsidRPr="002E0D19" w:rsidRDefault="00B926FE" w:rsidP="000A2491">
            <w:pPr>
              <w:pStyle w:val="TableText"/>
              <w:jc w:val="right"/>
              <w:rPr>
                <w:b/>
              </w:rPr>
            </w:pPr>
            <w:r w:rsidRPr="002E0D19">
              <w:rPr>
                <w:b/>
              </w:rPr>
              <w:t>n</w:t>
            </w:r>
          </w:p>
        </w:tc>
        <w:tc>
          <w:tcPr>
            <w:tcW w:w="966" w:type="dxa"/>
            <w:tcBorders>
              <w:top w:val="single" w:sz="4" w:space="0" w:color="000000"/>
              <w:bottom w:val="single" w:sz="4" w:space="0" w:color="000000"/>
            </w:tcBorders>
          </w:tcPr>
          <w:p w14:paraId="3DD1A6A2" w14:textId="77777777" w:rsidR="00B926FE" w:rsidRPr="002E0D19" w:rsidRDefault="00B926FE" w:rsidP="000A2491">
            <w:pPr>
              <w:pStyle w:val="TableText"/>
              <w:jc w:val="right"/>
              <w:rPr>
                <w:b/>
              </w:rPr>
            </w:pPr>
            <w:r w:rsidRPr="002E0D19">
              <w:rPr>
                <w:b/>
              </w:rPr>
              <w:t>Weighted n</w:t>
            </w:r>
          </w:p>
        </w:tc>
        <w:tc>
          <w:tcPr>
            <w:tcW w:w="1089" w:type="dxa"/>
            <w:tcBorders>
              <w:top w:val="single" w:sz="4" w:space="0" w:color="000000"/>
              <w:bottom w:val="single" w:sz="4" w:space="0" w:color="000000"/>
            </w:tcBorders>
          </w:tcPr>
          <w:p w14:paraId="2EF26540" w14:textId="77777777" w:rsidR="00B926FE" w:rsidRPr="002E0D19" w:rsidRDefault="00B926FE" w:rsidP="000A2491">
            <w:pPr>
              <w:pStyle w:val="TableText"/>
              <w:jc w:val="right"/>
              <w:rPr>
                <w:b/>
              </w:rPr>
            </w:pPr>
            <w:r w:rsidRPr="002E0D19">
              <w:rPr>
                <w:b/>
              </w:rPr>
              <w:t>% (95%CI)</w:t>
            </w:r>
          </w:p>
        </w:tc>
      </w:tr>
      <w:tr w:rsidR="00B926FE" w:rsidRPr="003F7A38" w14:paraId="0435FE69"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Borders>
              <w:top w:val="single" w:sz="4" w:space="0" w:color="000000"/>
            </w:tcBorders>
          </w:tcPr>
          <w:p w14:paraId="724D049F" w14:textId="77777777" w:rsidR="00B926FE" w:rsidRPr="002E0D19" w:rsidRDefault="00B926FE" w:rsidP="000A2491">
            <w:pPr>
              <w:pStyle w:val="TableText"/>
              <w:rPr>
                <w:b/>
              </w:rPr>
            </w:pPr>
            <w:r w:rsidRPr="002E0D19">
              <w:rPr>
                <w:b/>
                <w:bCs/>
                <w:color w:val="000000" w:themeColor="text1"/>
              </w:rPr>
              <w:t>Probable 30-day disorder</w:t>
            </w:r>
          </w:p>
        </w:tc>
        <w:tc>
          <w:tcPr>
            <w:tcW w:w="485" w:type="dxa"/>
            <w:tcBorders>
              <w:top w:val="single" w:sz="4" w:space="0" w:color="000000"/>
            </w:tcBorders>
          </w:tcPr>
          <w:p w14:paraId="0FB73383" w14:textId="77777777" w:rsidR="00B926FE" w:rsidRPr="003F7A38" w:rsidRDefault="00B926FE" w:rsidP="000A2491">
            <w:pPr>
              <w:pStyle w:val="TableText"/>
              <w:jc w:val="right"/>
            </w:pPr>
          </w:p>
        </w:tc>
        <w:tc>
          <w:tcPr>
            <w:tcW w:w="966" w:type="dxa"/>
            <w:tcBorders>
              <w:top w:val="single" w:sz="4" w:space="0" w:color="000000"/>
            </w:tcBorders>
          </w:tcPr>
          <w:p w14:paraId="023FE3DD" w14:textId="77777777" w:rsidR="00B926FE" w:rsidRPr="003F7A38" w:rsidRDefault="00B926FE" w:rsidP="000A2491">
            <w:pPr>
              <w:pStyle w:val="TableText"/>
              <w:jc w:val="right"/>
            </w:pPr>
          </w:p>
        </w:tc>
        <w:tc>
          <w:tcPr>
            <w:tcW w:w="1148" w:type="dxa"/>
            <w:tcBorders>
              <w:top w:val="single" w:sz="4" w:space="0" w:color="000000"/>
            </w:tcBorders>
          </w:tcPr>
          <w:p w14:paraId="68153C65" w14:textId="77777777" w:rsidR="00B926FE" w:rsidRPr="003F7A38" w:rsidRDefault="00B926FE" w:rsidP="000A2491">
            <w:pPr>
              <w:pStyle w:val="TableText"/>
              <w:jc w:val="right"/>
            </w:pPr>
          </w:p>
        </w:tc>
        <w:tc>
          <w:tcPr>
            <w:tcW w:w="400" w:type="dxa"/>
            <w:tcBorders>
              <w:top w:val="single" w:sz="4" w:space="0" w:color="000000"/>
            </w:tcBorders>
          </w:tcPr>
          <w:p w14:paraId="11BAE7DB" w14:textId="77777777" w:rsidR="00B926FE" w:rsidRPr="003F7A38" w:rsidRDefault="00B926FE" w:rsidP="000A2491">
            <w:pPr>
              <w:pStyle w:val="TableText"/>
              <w:jc w:val="right"/>
            </w:pPr>
          </w:p>
        </w:tc>
        <w:tc>
          <w:tcPr>
            <w:tcW w:w="944" w:type="dxa"/>
            <w:tcBorders>
              <w:top w:val="single" w:sz="4" w:space="0" w:color="000000"/>
            </w:tcBorders>
          </w:tcPr>
          <w:p w14:paraId="4A5D7C06" w14:textId="77777777" w:rsidR="00B926FE" w:rsidRPr="003F7A38" w:rsidRDefault="00B926FE" w:rsidP="000A2491">
            <w:pPr>
              <w:pStyle w:val="TableText"/>
              <w:jc w:val="right"/>
            </w:pPr>
          </w:p>
        </w:tc>
        <w:tc>
          <w:tcPr>
            <w:tcW w:w="1121" w:type="dxa"/>
            <w:tcBorders>
              <w:top w:val="single" w:sz="4" w:space="0" w:color="000000"/>
            </w:tcBorders>
          </w:tcPr>
          <w:p w14:paraId="7F6BC63F" w14:textId="77777777" w:rsidR="00B926FE" w:rsidRPr="003F7A38" w:rsidRDefault="00B926FE" w:rsidP="000A2491">
            <w:pPr>
              <w:pStyle w:val="TableText"/>
              <w:jc w:val="right"/>
            </w:pPr>
          </w:p>
        </w:tc>
        <w:tc>
          <w:tcPr>
            <w:tcW w:w="549" w:type="dxa"/>
            <w:tcBorders>
              <w:top w:val="single" w:sz="4" w:space="0" w:color="000000"/>
            </w:tcBorders>
          </w:tcPr>
          <w:p w14:paraId="64A15772" w14:textId="77777777" w:rsidR="00B926FE" w:rsidRPr="003F7A38" w:rsidRDefault="00B926FE" w:rsidP="000A2491">
            <w:pPr>
              <w:pStyle w:val="TableText"/>
              <w:jc w:val="right"/>
            </w:pPr>
          </w:p>
        </w:tc>
        <w:tc>
          <w:tcPr>
            <w:tcW w:w="945" w:type="dxa"/>
            <w:tcBorders>
              <w:top w:val="single" w:sz="4" w:space="0" w:color="000000"/>
            </w:tcBorders>
          </w:tcPr>
          <w:p w14:paraId="1CA4944C" w14:textId="77777777" w:rsidR="00B926FE" w:rsidRPr="003F7A38" w:rsidRDefault="00B926FE" w:rsidP="000A2491">
            <w:pPr>
              <w:pStyle w:val="TableText"/>
              <w:jc w:val="right"/>
            </w:pPr>
          </w:p>
        </w:tc>
        <w:tc>
          <w:tcPr>
            <w:tcW w:w="1121" w:type="dxa"/>
            <w:tcBorders>
              <w:top w:val="single" w:sz="4" w:space="0" w:color="000000"/>
            </w:tcBorders>
          </w:tcPr>
          <w:p w14:paraId="70D9DFF4" w14:textId="77777777" w:rsidR="00B926FE" w:rsidRPr="003F7A38" w:rsidRDefault="00B926FE" w:rsidP="000A2491">
            <w:pPr>
              <w:pStyle w:val="TableText"/>
              <w:jc w:val="right"/>
            </w:pPr>
          </w:p>
        </w:tc>
        <w:tc>
          <w:tcPr>
            <w:tcW w:w="409" w:type="dxa"/>
            <w:tcBorders>
              <w:top w:val="single" w:sz="4" w:space="0" w:color="000000"/>
            </w:tcBorders>
          </w:tcPr>
          <w:p w14:paraId="71718441" w14:textId="77777777" w:rsidR="00B926FE" w:rsidRPr="003F7A38" w:rsidRDefault="00B926FE" w:rsidP="000A2491">
            <w:pPr>
              <w:pStyle w:val="TableText"/>
              <w:jc w:val="right"/>
            </w:pPr>
          </w:p>
        </w:tc>
        <w:tc>
          <w:tcPr>
            <w:tcW w:w="966" w:type="dxa"/>
            <w:tcBorders>
              <w:top w:val="single" w:sz="4" w:space="0" w:color="000000"/>
            </w:tcBorders>
          </w:tcPr>
          <w:p w14:paraId="2AEBB21E" w14:textId="77777777" w:rsidR="00B926FE" w:rsidRPr="003F7A38" w:rsidRDefault="00B926FE" w:rsidP="000A2491">
            <w:pPr>
              <w:pStyle w:val="TableText"/>
              <w:jc w:val="right"/>
            </w:pPr>
          </w:p>
        </w:tc>
        <w:tc>
          <w:tcPr>
            <w:tcW w:w="1089" w:type="dxa"/>
            <w:tcBorders>
              <w:top w:val="single" w:sz="4" w:space="0" w:color="000000"/>
            </w:tcBorders>
          </w:tcPr>
          <w:p w14:paraId="2F1CF028" w14:textId="77777777" w:rsidR="00B926FE" w:rsidRPr="003F7A38" w:rsidRDefault="00B926FE" w:rsidP="000A2491">
            <w:pPr>
              <w:pStyle w:val="TableText"/>
              <w:jc w:val="right"/>
            </w:pPr>
          </w:p>
        </w:tc>
      </w:tr>
      <w:tr w:rsidR="005C60DC" w:rsidRPr="003F7A38" w14:paraId="0B8B925B" w14:textId="77777777" w:rsidTr="005C60DC">
        <w:trPr>
          <w:cantSplit/>
        </w:trPr>
        <w:tc>
          <w:tcPr>
            <w:tcW w:w="1363" w:type="dxa"/>
          </w:tcPr>
          <w:p w14:paraId="266DA763" w14:textId="77777777" w:rsidR="00B926FE" w:rsidRPr="002E0D19" w:rsidRDefault="00B926FE" w:rsidP="000A2491">
            <w:pPr>
              <w:pStyle w:val="TableText"/>
              <w:rPr>
                <w:bCs/>
                <w:color w:val="000000" w:themeColor="text1"/>
              </w:rPr>
            </w:pPr>
            <w:r w:rsidRPr="002E0D19">
              <w:rPr>
                <w:bCs/>
                <w:color w:val="000000" w:themeColor="text1"/>
              </w:rPr>
              <w:t>Yes</w:t>
            </w:r>
          </w:p>
        </w:tc>
        <w:tc>
          <w:tcPr>
            <w:tcW w:w="485" w:type="dxa"/>
          </w:tcPr>
          <w:p w14:paraId="57BB3F01" w14:textId="77777777" w:rsidR="00B926FE" w:rsidRPr="0075075A" w:rsidRDefault="00B926FE" w:rsidP="000A2491">
            <w:pPr>
              <w:pStyle w:val="TableText"/>
              <w:jc w:val="right"/>
            </w:pPr>
            <w:r w:rsidRPr="0075075A">
              <w:t>308</w:t>
            </w:r>
          </w:p>
        </w:tc>
        <w:tc>
          <w:tcPr>
            <w:tcW w:w="966" w:type="dxa"/>
          </w:tcPr>
          <w:p w14:paraId="456CF27D" w14:textId="77777777" w:rsidR="00B926FE" w:rsidRPr="0075075A" w:rsidRDefault="00B926FE" w:rsidP="000A2491">
            <w:pPr>
              <w:pStyle w:val="TableText"/>
              <w:jc w:val="right"/>
            </w:pPr>
            <w:r w:rsidRPr="0075075A">
              <w:t>2155</w:t>
            </w:r>
          </w:p>
        </w:tc>
        <w:tc>
          <w:tcPr>
            <w:tcW w:w="1148" w:type="dxa"/>
          </w:tcPr>
          <w:p w14:paraId="7F9F792D" w14:textId="77777777" w:rsidR="00B926FE" w:rsidRPr="0075075A" w:rsidRDefault="00B926FE" w:rsidP="000A2491">
            <w:pPr>
              <w:pStyle w:val="TableText"/>
              <w:jc w:val="right"/>
            </w:pPr>
            <w:r w:rsidRPr="0075075A">
              <w:t>79.8 (74.4</w:t>
            </w:r>
            <w:r>
              <w:t xml:space="preserve">, </w:t>
            </w:r>
            <w:r w:rsidRPr="0075075A">
              <w:t>84.2)</w:t>
            </w:r>
          </w:p>
        </w:tc>
        <w:tc>
          <w:tcPr>
            <w:tcW w:w="400" w:type="dxa"/>
          </w:tcPr>
          <w:p w14:paraId="23F8B666" w14:textId="77777777" w:rsidR="00B926FE" w:rsidRPr="0075075A" w:rsidRDefault="00B926FE" w:rsidP="000A2491">
            <w:pPr>
              <w:pStyle w:val="TableText"/>
              <w:jc w:val="right"/>
            </w:pPr>
            <w:r w:rsidRPr="0075075A">
              <w:t>74</w:t>
            </w:r>
          </w:p>
        </w:tc>
        <w:tc>
          <w:tcPr>
            <w:tcW w:w="944" w:type="dxa"/>
          </w:tcPr>
          <w:p w14:paraId="177A350F" w14:textId="77777777" w:rsidR="00B926FE" w:rsidRPr="0075075A" w:rsidRDefault="00B926FE" w:rsidP="000A2491">
            <w:pPr>
              <w:pStyle w:val="TableText"/>
              <w:jc w:val="right"/>
            </w:pPr>
            <w:r w:rsidRPr="0075075A">
              <w:t>470</w:t>
            </w:r>
          </w:p>
        </w:tc>
        <w:tc>
          <w:tcPr>
            <w:tcW w:w="1121" w:type="dxa"/>
          </w:tcPr>
          <w:p w14:paraId="4652374C" w14:textId="77777777" w:rsidR="00B926FE" w:rsidRPr="0075075A" w:rsidRDefault="00B926FE" w:rsidP="000A2491">
            <w:pPr>
              <w:pStyle w:val="TableText"/>
              <w:jc w:val="right"/>
            </w:pPr>
            <w:r w:rsidRPr="0075075A">
              <w:t>17.4 (13.4</w:t>
            </w:r>
            <w:r>
              <w:t xml:space="preserve">, </w:t>
            </w:r>
            <w:r w:rsidRPr="0075075A">
              <w:t>22.3)</w:t>
            </w:r>
          </w:p>
        </w:tc>
        <w:tc>
          <w:tcPr>
            <w:tcW w:w="549" w:type="dxa"/>
          </w:tcPr>
          <w:p w14:paraId="5B2036F3" w14:textId="77777777" w:rsidR="00B926FE" w:rsidRPr="0075075A" w:rsidRDefault="00B926FE" w:rsidP="000A2491">
            <w:pPr>
              <w:pStyle w:val="TableText"/>
              <w:jc w:val="right"/>
            </w:pPr>
            <w:r w:rsidRPr="0075075A">
              <w:t>244</w:t>
            </w:r>
          </w:p>
        </w:tc>
        <w:tc>
          <w:tcPr>
            <w:tcW w:w="945" w:type="dxa"/>
          </w:tcPr>
          <w:p w14:paraId="7DE8E808" w14:textId="77777777" w:rsidR="00B926FE" w:rsidRPr="0075075A" w:rsidRDefault="00B926FE" w:rsidP="000A2491">
            <w:pPr>
              <w:pStyle w:val="TableText"/>
              <w:jc w:val="right"/>
            </w:pPr>
            <w:r w:rsidRPr="0075075A">
              <w:t>1608</w:t>
            </w:r>
          </w:p>
        </w:tc>
        <w:tc>
          <w:tcPr>
            <w:tcW w:w="1121" w:type="dxa"/>
          </w:tcPr>
          <w:p w14:paraId="6B1A805A" w14:textId="77777777" w:rsidR="00B926FE" w:rsidRPr="0075075A" w:rsidRDefault="00B926FE" w:rsidP="000A2491">
            <w:pPr>
              <w:pStyle w:val="TableText"/>
              <w:jc w:val="right"/>
            </w:pPr>
            <w:r w:rsidRPr="0075075A">
              <w:t>92.8 (87.6</w:t>
            </w:r>
            <w:r>
              <w:t xml:space="preserve">, </w:t>
            </w:r>
            <w:r w:rsidRPr="0075075A">
              <w:t>96.0)</w:t>
            </w:r>
          </w:p>
        </w:tc>
        <w:tc>
          <w:tcPr>
            <w:tcW w:w="409" w:type="dxa"/>
          </w:tcPr>
          <w:p w14:paraId="72BAE9DD" w14:textId="77777777" w:rsidR="00B926FE" w:rsidRPr="0075075A" w:rsidRDefault="00B926FE" w:rsidP="000A2491">
            <w:pPr>
              <w:pStyle w:val="TableText"/>
              <w:jc w:val="right"/>
            </w:pPr>
            <w:r w:rsidRPr="0075075A">
              <w:t>30</w:t>
            </w:r>
          </w:p>
        </w:tc>
        <w:tc>
          <w:tcPr>
            <w:tcW w:w="966" w:type="dxa"/>
          </w:tcPr>
          <w:p w14:paraId="07AAB627" w14:textId="77777777" w:rsidR="00B926FE" w:rsidRPr="0075075A" w:rsidRDefault="00B926FE" w:rsidP="000A2491">
            <w:pPr>
              <w:pStyle w:val="TableText"/>
              <w:jc w:val="right"/>
            </w:pPr>
            <w:r w:rsidRPr="0075075A">
              <w:t>108</w:t>
            </w:r>
          </w:p>
        </w:tc>
        <w:tc>
          <w:tcPr>
            <w:tcW w:w="1089" w:type="dxa"/>
          </w:tcPr>
          <w:p w14:paraId="3B1ABB2D" w14:textId="77777777" w:rsidR="00B926FE" w:rsidRPr="0075075A" w:rsidRDefault="00B926FE" w:rsidP="000A2491">
            <w:pPr>
              <w:pStyle w:val="TableText"/>
              <w:jc w:val="right"/>
            </w:pPr>
            <w:r w:rsidRPr="0075075A">
              <w:t>6.2 (3.4</w:t>
            </w:r>
            <w:r>
              <w:t xml:space="preserve">, </w:t>
            </w:r>
            <w:r w:rsidRPr="0075075A">
              <w:t>11.1)</w:t>
            </w:r>
          </w:p>
        </w:tc>
      </w:tr>
      <w:tr w:rsidR="00B926FE" w:rsidRPr="003F7A38" w14:paraId="2BA2E0CC"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047A5AD8" w14:textId="77777777" w:rsidR="00B926FE" w:rsidRPr="002E0D19" w:rsidRDefault="00B926FE" w:rsidP="000A2491">
            <w:pPr>
              <w:pStyle w:val="TableText"/>
              <w:rPr>
                <w:bCs/>
                <w:color w:val="000000" w:themeColor="text1"/>
              </w:rPr>
            </w:pPr>
            <w:r w:rsidRPr="002E0D19">
              <w:rPr>
                <w:bCs/>
                <w:color w:val="000000" w:themeColor="text1"/>
              </w:rPr>
              <w:t xml:space="preserve">No </w:t>
            </w:r>
          </w:p>
        </w:tc>
        <w:tc>
          <w:tcPr>
            <w:tcW w:w="485" w:type="dxa"/>
          </w:tcPr>
          <w:p w14:paraId="64FBC345" w14:textId="77777777" w:rsidR="00B926FE" w:rsidRPr="0075075A" w:rsidRDefault="00B926FE" w:rsidP="000A2491">
            <w:pPr>
              <w:pStyle w:val="TableText"/>
              <w:jc w:val="right"/>
            </w:pPr>
            <w:r w:rsidRPr="0075075A">
              <w:t>421</w:t>
            </w:r>
          </w:p>
        </w:tc>
        <w:tc>
          <w:tcPr>
            <w:tcW w:w="966" w:type="dxa"/>
          </w:tcPr>
          <w:p w14:paraId="297F0DC0" w14:textId="77777777" w:rsidR="00B926FE" w:rsidRPr="0075075A" w:rsidRDefault="00B926FE" w:rsidP="000A2491">
            <w:pPr>
              <w:pStyle w:val="TableText"/>
              <w:jc w:val="right"/>
            </w:pPr>
            <w:r w:rsidRPr="0075075A">
              <w:t>3039</w:t>
            </w:r>
          </w:p>
        </w:tc>
        <w:tc>
          <w:tcPr>
            <w:tcW w:w="1148" w:type="dxa"/>
          </w:tcPr>
          <w:p w14:paraId="0A3F56DF" w14:textId="77777777" w:rsidR="00B926FE" w:rsidRPr="0075075A" w:rsidRDefault="00B926FE" w:rsidP="000A2491">
            <w:pPr>
              <w:pStyle w:val="TableText"/>
              <w:jc w:val="right"/>
            </w:pPr>
            <w:r w:rsidRPr="0075075A">
              <w:t>89.0 (84.8</w:t>
            </w:r>
            <w:r>
              <w:t xml:space="preserve">, </w:t>
            </w:r>
            <w:r w:rsidRPr="0075075A">
              <w:t>92.2)</w:t>
            </w:r>
          </w:p>
        </w:tc>
        <w:tc>
          <w:tcPr>
            <w:tcW w:w="400" w:type="dxa"/>
          </w:tcPr>
          <w:p w14:paraId="3AF44D81" w14:textId="77777777" w:rsidR="00B926FE" w:rsidRPr="0075075A" w:rsidRDefault="00B926FE" w:rsidP="000A2491">
            <w:pPr>
              <w:pStyle w:val="TableText"/>
              <w:jc w:val="right"/>
            </w:pPr>
            <w:r w:rsidRPr="0075075A">
              <w:t>36</w:t>
            </w:r>
          </w:p>
        </w:tc>
        <w:tc>
          <w:tcPr>
            <w:tcW w:w="944" w:type="dxa"/>
          </w:tcPr>
          <w:p w14:paraId="494E12F2" w14:textId="77777777" w:rsidR="00B926FE" w:rsidRPr="0075075A" w:rsidRDefault="00B926FE" w:rsidP="000A2491">
            <w:pPr>
              <w:pStyle w:val="TableText"/>
              <w:jc w:val="right"/>
            </w:pPr>
            <w:r w:rsidRPr="0075075A">
              <w:t>288</w:t>
            </w:r>
          </w:p>
        </w:tc>
        <w:tc>
          <w:tcPr>
            <w:tcW w:w="1121" w:type="dxa"/>
          </w:tcPr>
          <w:p w14:paraId="5339B9E3" w14:textId="77777777" w:rsidR="00B926FE" w:rsidRPr="0075075A" w:rsidRDefault="00B926FE" w:rsidP="000A2491">
            <w:pPr>
              <w:pStyle w:val="TableText"/>
              <w:jc w:val="right"/>
            </w:pPr>
            <w:r w:rsidRPr="0075075A">
              <w:t>8.4 (5.7</w:t>
            </w:r>
            <w:r>
              <w:t xml:space="preserve">, </w:t>
            </w:r>
            <w:r w:rsidRPr="0075075A">
              <w:t>12.2)</w:t>
            </w:r>
          </w:p>
        </w:tc>
        <w:tc>
          <w:tcPr>
            <w:tcW w:w="549" w:type="dxa"/>
          </w:tcPr>
          <w:p w14:paraId="689D097C" w14:textId="77777777" w:rsidR="00B926FE" w:rsidRPr="0075075A" w:rsidRDefault="00B926FE" w:rsidP="000A2491">
            <w:pPr>
              <w:pStyle w:val="TableText"/>
              <w:jc w:val="right"/>
            </w:pPr>
            <w:r w:rsidRPr="0075075A">
              <w:t>1051</w:t>
            </w:r>
          </w:p>
        </w:tc>
        <w:tc>
          <w:tcPr>
            <w:tcW w:w="945" w:type="dxa"/>
          </w:tcPr>
          <w:p w14:paraId="6B81D9F2" w14:textId="77777777" w:rsidR="00B926FE" w:rsidRPr="0075075A" w:rsidRDefault="00B926FE" w:rsidP="000A2491">
            <w:pPr>
              <w:pStyle w:val="TableText"/>
              <w:jc w:val="right"/>
            </w:pPr>
            <w:r w:rsidRPr="0075075A">
              <w:t>6605</w:t>
            </w:r>
          </w:p>
        </w:tc>
        <w:tc>
          <w:tcPr>
            <w:tcW w:w="1121" w:type="dxa"/>
          </w:tcPr>
          <w:p w14:paraId="6F931B70" w14:textId="77777777" w:rsidR="00B926FE" w:rsidRPr="0075075A" w:rsidRDefault="00B926FE" w:rsidP="000A2491">
            <w:pPr>
              <w:pStyle w:val="TableText"/>
              <w:jc w:val="right"/>
            </w:pPr>
            <w:r w:rsidRPr="0075075A">
              <w:t>90.3 (83.0</w:t>
            </w:r>
            <w:r>
              <w:t xml:space="preserve">, </w:t>
            </w:r>
            <w:r w:rsidRPr="0075075A">
              <w:t>94.7)</w:t>
            </w:r>
          </w:p>
        </w:tc>
        <w:tc>
          <w:tcPr>
            <w:tcW w:w="409" w:type="dxa"/>
          </w:tcPr>
          <w:p w14:paraId="799081B5" w14:textId="77777777" w:rsidR="00B926FE" w:rsidRPr="0075075A" w:rsidRDefault="00B926FE" w:rsidP="000A2491">
            <w:pPr>
              <w:pStyle w:val="TableText"/>
              <w:jc w:val="right"/>
            </w:pPr>
            <w:r w:rsidRPr="0075075A">
              <w:t>84</w:t>
            </w:r>
          </w:p>
        </w:tc>
        <w:tc>
          <w:tcPr>
            <w:tcW w:w="966" w:type="dxa"/>
          </w:tcPr>
          <w:p w14:paraId="37CCFDDB" w14:textId="77777777" w:rsidR="00B926FE" w:rsidRPr="0075075A" w:rsidRDefault="00B926FE" w:rsidP="000A2491">
            <w:pPr>
              <w:pStyle w:val="TableText"/>
              <w:jc w:val="right"/>
            </w:pPr>
            <w:r w:rsidRPr="0075075A">
              <w:t>595</w:t>
            </w:r>
          </w:p>
        </w:tc>
        <w:tc>
          <w:tcPr>
            <w:tcW w:w="1089" w:type="dxa"/>
          </w:tcPr>
          <w:p w14:paraId="4E339333" w14:textId="77777777" w:rsidR="00B926FE" w:rsidRPr="0075075A" w:rsidRDefault="00B926FE" w:rsidP="000A2491">
            <w:pPr>
              <w:pStyle w:val="TableText"/>
              <w:jc w:val="right"/>
            </w:pPr>
            <w:r w:rsidRPr="0075075A">
              <w:t>8.1 (4.0</w:t>
            </w:r>
            <w:r>
              <w:t xml:space="preserve">, </w:t>
            </w:r>
            <w:r w:rsidRPr="0075075A">
              <w:t>15.8)</w:t>
            </w:r>
          </w:p>
        </w:tc>
      </w:tr>
      <w:tr w:rsidR="005C60DC" w:rsidRPr="003F7A38" w14:paraId="1AA62A40" w14:textId="77777777" w:rsidTr="005C60DC">
        <w:trPr>
          <w:cantSplit/>
        </w:trPr>
        <w:tc>
          <w:tcPr>
            <w:tcW w:w="1363" w:type="dxa"/>
          </w:tcPr>
          <w:p w14:paraId="2296C0B6" w14:textId="77777777" w:rsidR="00B926FE" w:rsidRPr="002E0D19" w:rsidRDefault="00B926FE" w:rsidP="000A2491">
            <w:pPr>
              <w:pStyle w:val="TableText"/>
              <w:rPr>
                <w:b/>
                <w:bCs/>
                <w:color w:val="000000" w:themeColor="text1"/>
              </w:rPr>
            </w:pPr>
            <w:r w:rsidRPr="002E0D19">
              <w:rPr>
                <w:b/>
                <w:bCs/>
                <w:color w:val="000000" w:themeColor="text1"/>
              </w:rPr>
              <w:t>Sex</w:t>
            </w:r>
          </w:p>
        </w:tc>
        <w:tc>
          <w:tcPr>
            <w:tcW w:w="485" w:type="dxa"/>
          </w:tcPr>
          <w:p w14:paraId="0C6BCE5A" w14:textId="77777777" w:rsidR="00B926FE" w:rsidRPr="0075075A" w:rsidRDefault="00B926FE" w:rsidP="000A2491">
            <w:pPr>
              <w:pStyle w:val="TableText"/>
              <w:jc w:val="right"/>
            </w:pPr>
          </w:p>
        </w:tc>
        <w:tc>
          <w:tcPr>
            <w:tcW w:w="966" w:type="dxa"/>
          </w:tcPr>
          <w:p w14:paraId="1ED80A12" w14:textId="77777777" w:rsidR="00B926FE" w:rsidRPr="0075075A" w:rsidRDefault="00B926FE" w:rsidP="000A2491">
            <w:pPr>
              <w:pStyle w:val="TableText"/>
              <w:jc w:val="right"/>
            </w:pPr>
          </w:p>
        </w:tc>
        <w:tc>
          <w:tcPr>
            <w:tcW w:w="1148" w:type="dxa"/>
          </w:tcPr>
          <w:p w14:paraId="610710EE" w14:textId="77777777" w:rsidR="00B926FE" w:rsidRPr="0075075A" w:rsidRDefault="00B926FE" w:rsidP="000A2491">
            <w:pPr>
              <w:pStyle w:val="TableText"/>
              <w:jc w:val="right"/>
            </w:pPr>
          </w:p>
        </w:tc>
        <w:tc>
          <w:tcPr>
            <w:tcW w:w="400" w:type="dxa"/>
          </w:tcPr>
          <w:p w14:paraId="672163BC" w14:textId="77777777" w:rsidR="00B926FE" w:rsidRPr="0075075A" w:rsidRDefault="00B926FE" w:rsidP="000A2491">
            <w:pPr>
              <w:pStyle w:val="TableText"/>
              <w:jc w:val="right"/>
            </w:pPr>
          </w:p>
        </w:tc>
        <w:tc>
          <w:tcPr>
            <w:tcW w:w="944" w:type="dxa"/>
          </w:tcPr>
          <w:p w14:paraId="06FC0502" w14:textId="77777777" w:rsidR="00B926FE" w:rsidRPr="0075075A" w:rsidRDefault="00B926FE" w:rsidP="000A2491">
            <w:pPr>
              <w:pStyle w:val="TableText"/>
              <w:jc w:val="right"/>
            </w:pPr>
          </w:p>
        </w:tc>
        <w:tc>
          <w:tcPr>
            <w:tcW w:w="1121" w:type="dxa"/>
          </w:tcPr>
          <w:p w14:paraId="0D58CBD0" w14:textId="77777777" w:rsidR="00B926FE" w:rsidRPr="0075075A" w:rsidRDefault="00B926FE" w:rsidP="000A2491">
            <w:pPr>
              <w:pStyle w:val="TableText"/>
              <w:jc w:val="right"/>
            </w:pPr>
          </w:p>
        </w:tc>
        <w:tc>
          <w:tcPr>
            <w:tcW w:w="549" w:type="dxa"/>
          </w:tcPr>
          <w:p w14:paraId="228F92E0" w14:textId="77777777" w:rsidR="00B926FE" w:rsidRPr="0075075A" w:rsidRDefault="00B926FE" w:rsidP="000A2491">
            <w:pPr>
              <w:pStyle w:val="TableText"/>
              <w:jc w:val="right"/>
            </w:pPr>
          </w:p>
        </w:tc>
        <w:tc>
          <w:tcPr>
            <w:tcW w:w="945" w:type="dxa"/>
          </w:tcPr>
          <w:p w14:paraId="79026A92" w14:textId="77777777" w:rsidR="00B926FE" w:rsidRPr="0075075A" w:rsidRDefault="00B926FE" w:rsidP="000A2491">
            <w:pPr>
              <w:pStyle w:val="TableText"/>
              <w:jc w:val="right"/>
            </w:pPr>
          </w:p>
        </w:tc>
        <w:tc>
          <w:tcPr>
            <w:tcW w:w="1121" w:type="dxa"/>
          </w:tcPr>
          <w:p w14:paraId="6CBF6304" w14:textId="77777777" w:rsidR="00B926FE" w:rsidRPr="0075075A" w:rsidRDefault="00B926FE" w:rsidP="000A2491">
            <w:pPr>
              <w:pStyle w:val="TableText"/>
              <w:jc w:val="right"/>
            </w:pPr>
          </w:p>
        </w:tc>
        <w:tc>
          <w:tcPr>
            <w:tcW w:w="409" w:type="dxa"/>
          </w:tcPr>
          <w:p w14:paraId="05467396" w14:textId="77777777" w:rsidR="00B926FE" w:rsidRPr="0075075A" w:rsidRDefault="00B926FE" w:rsidP="000A2491">
            <w:pPr>
              <w:pStyle w:val="TableText"/>
              <w:jc w:val="right"/>
            </w:pPr>
          </w:p>
        </w:tc>
        <w:tc>
          <w:tcPr>
            <w:tcW w:w="966" w:type="dxa"/>
          </w:tcPr>
          <w:p w14:paraId="7ACD00F4" w14:textId="77777777" w:rsidR="00B926FE" w:rsidRPr="0075075A" w:rsidRDefault="00B926FE" w:rsidP="000A2491">
            <w:pPr>
              <w:pStyle w:val="TableText"/>
              <w:jc w:val="right"/>
            </w:pPr>
          </w:p>
        </w:tc>
        <w:tc>
          <w:tcPr>
            <w:tcW w:w="1089" w:type="dxa"/>
          </w:tcPr>
          <w:p w14:paraId="25AA8B13" w14:textId="77777777" w:rsidR="00B926FE" w:rsidRPr="0075075A" w:rsidRDefault="00B926FE" w:rsidP="000A2491">
            <w:pPr>
              <w:pStyle w:val="TableText"/>
              <w:jc w:val="right"/>
            </w:pPr>
          </w:p>
        </w:tc>
      </w:tr>
      <w:tr w:rsidR="00B926FE" w:rsidRPr="003F7A38" w14:paraId="5E083612"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73AFA4A0" w14:textId="77777777" w:rsidR="00B926FE" w:rsidRPr="002E0D19" w:rsidRDefault="00B926FE" w:rsidP="000A2491">
            <w:pPr>
              <w:pStyle w:val="TableText"/>
              <w:rPr>
                <w:bCs/>
                <w:color w:val="000000" w:themeColor="text1"/>
              </w:rPr>
            </w:pPr>
            <w:r w:rsidRPr="002E0D19">
              <w:rPr>
                <w:bCs/>
                <w:color w:val="000000" w:themeColor="text1"/>
              </w:rPr>
              <w:t>Male</w:t>
            </w:r>
          </w:p>
        </w:tc>
        <w:tc>
          <w:tcPr>
            <w:tcW w:w="485" w:type="dxa"/>
          </w:tcPr>
          <w:p w14:paraId="344B83FD" w14:textId="77777777" w:rsidR="00B926FE" w:rsidRPr="0075075A" w:rsidRDefault="00B926FE" w:rsidP="000A2491">
            <w:pPr>
              <w:pStyle w:val="TableText"/>
              <w:jc w:val="right"/>
            </w:pPr>
            <w:r w:rsidRPr="0075075A">
              <w:t>564</w:t>
            </w:r>
          </w:p>
        </w:tc>
        <w:tc>
          <w:tcPr>
            <w:tcW w:w="966" w:type="dxa"/>
          </w:tcPr>
          <w:p w14:paraId="5013501C" w14:textId="77777777" w:rsidR="00B926FE" w:rsidRPr="0075075A" w:rsidRDefault="00B926FE" w:rsidP="000A2491">
            <w:pPr>
              <w:pStyle w:val="TableText"/>
              <w:jc w:val="right"/>
            </w:pPr>
            <w:r w:rsidRPr="0075075A">
              <w:t>4255</w:t>
            </w:r>
          </w:p>
        </w:tc>
        <w:tc>
          <w:tcPr>
            <w:tcW w:w="1148" w:type="dxa"/>
          </w:tcPr>
          <w:p w14:paraId="0FF51BCA" w14:textId="77777777" w:rsidR="00B926FE" w:rsidRPr="0075075A" w:rsidRDefault="00B926FE" w:rsidP="000A2491">
            <w:pPr>
              <w:pStyle w:val="TableText"/>
              <w:jc w:val="right"/>
            </w:pPr>
            <w:r w:rsidRPr="0075075A">
              <w:t>85.3 (81.6</w:t>
            </w:r>
            <w:r>
              <w:t xml:space="preserve">, </w:t>
            </w:r>
            <w:r w:rsidRPr="0075075A">
              <w:t>88.4)</w:t>
            </w:r>
          </w:p>
        </w:tc>
        <w:tc>
          <w:tcPr>
            <w:tcW w:w="400" w:type="dxa"/>
          </w:tcPr>
          <w:p w14:paraId="4937D126" w14:textId="77777777" w:rsidR="00B926FE" w:rsidRPr="0075075A" w:rsidRDefault="00B926FE" w:rsidP="000A2491">
            <w:pPr>
              <w:pStyle w:val="TableText"/>
              <w:jc w:val="right"/>
            </w:pPr>
            <w:r w:rsidRPr="0075075A">
              <w:t>84</w:t>
            </w:r>
          </w:p>
        </w:tc>
        <w:tc>
          <w:tcPr>
            <w:tcW w:w="944" w:type="dxa"/>
          </w:tcPr>
          <w:p w14:paraId="7D5F848E" w14:textId="77777777" w:rsidR="00B926FE" w:rsidRPr="0075075A" w:rsidRDefault="00B926FE" w:rsidP="000A2491">
            <w:pPr>
              <w:pStyle w:val="TableText"/>
              <w:jc w:val="right"/>
            </w:pPr>
            <w:r w:rsidRPr="0075075A">
              <w:t>580</w:t>
            </w:r>
          </w:p>
        </w:tc>
        <w:tc>
          <w:tcPr>
            <w:tcW w:w="1121" w:type="dxa"/>
          </w:tcPr>
          <w:p w14:paraId="546D2F0D" w14:textId="77777777" w:rsidR="00B926FE" w:rsidRPr="0075075A" w:rsidRDefault="00B926FE" w:rsidP="000A2491">
            <w:pPr>
              <w:pStyle w:val="TableText"/>
              <w:jc w:val="right"/>
            </w:pPr>
            <w:r w:rsidRPr="0075075A">
              <w:t>11.6 (9.0</w:t>
            </w:r>
            <w:r>
              <w:t xml:space="preserve">, </w:t>
            </w:r>
            <w:r w:rsidRPr="0075075A">
              <w:t>14.9)</w:t>
            </w:r>
          </w:p>
        </w:tc>
        <w:tc>
          <w:tcPr>
            <w:tcW w:w="549" w:type="dxa"/>
          </w:tcPr>
          <w:p w14:paraId="7BB2DC1D" w14:textId="77777777" w:rsidR="00B926FE" w:rsidRPr="0075075A" w:rsidRDefault="00B926FE" w:rsidP="000A2491">
            <w:pPr>
              <w:pStyle w:val="TableText"/>
              <w:jc w:val="right"/>
            </w:pPr>
            <w:r w:rsidRPr="0075075A">
              <w:t>902</w:t>
            </w:r>
          </w:p>
        </w:tc>
        <w:tc>
          <w:tcPr>
            <w:tcW w:w="945" w:type="dxa"/>
          </w:tcPr>
          <w:p w14:paraId="17B32EF0" w14:textId="77777777" w:rsidR="00B926FE" w:rsidRPr="0075075A" w:rsidRDefault="00B926FE" w:rsidP="000A2491">
            <w:pPr>
              <w:pStyle w:val="TableText"/>
              <w:jc w:val="right"/>
            </w:pPr>
            <w:r w:rsidRPr="0075075A">
              <w:t>6939</w:t>
            </w:r>
          </w:p>
        </w:tc>
        <w:tc>
          <w:tcPr>
            <w:tcW w:w="1121" w:type="dxa"/>
          </w:tcPr>
          <w:p w14:paraId="501C5DF7" w14:textId="77777777" w:rsidR="00B926FE" w:rsidRPr="0075075A" w:rsidRDefault="00B926FE" w:rsidP="000A2491">
            <w:pPr>
              <w:pStyle w:val="TableText"/>
              <w:jc w:val="right"/>
            </w:pPr>
            <w:r w:rsidRPr="0075075A">
              <w:t>90.9 (83.7</w:t>
            </w:r>
            <w:r>
              <w:t xml:space="preserve">, </w:t>
            </w:r>
            <w:r w:rsidRPr="0075075A">
              <w:t>95.1)</w:t>
            </w:r>
          </w:p>
        </w:tc>
        <w:tc>
          <w:tcPr>
            <w:tcW w:w="409" w:type="dxa"/>
          </w:tcPr>
          <w:p w14:paraId="6B4DB015" w14:textId="77777777" w:rsidR="00B926FE" w:rsidRPr="0075075A" w:rsidRDefault="00B926FE" w:rsidP="000A2491">
            <w:pPr>
              <w:pStyle w:val="TableText"/>
              <w:jc w:val="right"/>
            </w:pPr>
            <w:r w:rsidRPr="0075075A">
              <w:t>85</w:t>
            </w:r>
          </w:p>
        </w:tc>
        <w:tc>
          <w:tcPr>
            <w:tcW w:w="966" w:type="dxa"/>
          </w:tcPr>
          <w:p w14:paraId="1E69104A" w14:textId="77777777" w:rsidR="00B926FE" w:rsidRPr="0075075A" w:rsidRDefault="00B926FE" w:rsidP="000A2491">
            <w:pPr>
              <w:pStyle w:val="TableText"/>
              <w:jc w:val="right"/>
            </w:pPr>
            <w:r w:rsidRPr="0075075A">
              <w:t>598</w:t>
            </w:r>
          </w:p>
        </w:tc>
        <w:tc>
          <w:tcPr>
            <w:tcW w:w="1089" w:type="dxa"/>
          </w:tcPr>
          <w:p w14:paraId="3FA2A7B2" w14:textId="77777777" w:rsidR="00B926FE" w:rsidRPr="0075075A" w:rsidRDefault="00B926FE" w:rsidP="000A2491">
            <w:pPr>
              <w:pStyle w:val="TableText"/>
              <w:jc w:val="right"/>
            </w:pPr>
            <w:r w:rsidRPr="0075075A">
              <w:t>7.8 (3.9</w:t>
            </w:r>
            <w:r>
              <w:t xml:space="preserve">, </w:t>
            </w:r>
            <w:r w:rsidRPr="0075075A">
              <w:t>15.2)</w:t>
            </w:r>
          </w:p>
        </w:tc>
      </w:tr>
      <w:tr w:rsidR="005C60DC" w:rsidRPr="003F7A38" w14:paraId="652BA6D4" w14:textId="77777777" w:rsidTr="005C60DC">
        <w:trPr>
          <w:cantSplit/>
        </w:trPr>
        <w:tc>
          <w:tcPr>
            <w:tcW w:w="1363" w:type="dxa"/>
          </w:tcPr>
          <w:p w14:paraId="7C0F4BA5" w14:textId="77777777" w:rsidR="00B926FE" w:rsidRPr="002E0D19" w:rsidRDefault="00B926FE" w:rsidP="000A2491">
            <w:pPr>
              <w:pStyle w:val="TableText"/>
              <w:rPr>
                <w:bCs/>
                <w:color w:val="000000" w:themeColor="text1"/>
              </w:rPr>
            </w:pPr>
            <w:r w:rsidRPr="002E0D19">
              <w:rPr>
                <w:bCs/>
                <w:color w:val="000000" w:themeColor="text1"/>
              </w:rPr>
              <w:t>Female</w:t>
            </w:r>
          </w:p>
        </w:tc>
        <w:tc>
          <w:tcPr>
            <w:tcW w:w="485" w:type="dxa"/>
          </w:tcPr>
          <w:p w14:paraId="71D5E37D" w14:textId="77777777" w:rsidR="00B926FE" w:rsidRPr="0075075A" w:rsidRDefault="00B926FE" w:rsidP="000A2491">
            <w:pPr>
              <w:pStyle w:val="TableText"/>
              <w:jc w:val="right"/>
            </w:pPr>
            <w:r w:rsidRPr="0075075A">
              <w:t>165</w:t>
            </w:r>
          </w:p>
        </w:tc>
        <w:tc>
          <w:tcPr>
            <w:tcW w:w="966" w:type="dxa"/>
          </w:tcPr>
          <w:p w14:paraId="358517A4" w14:textId="77777777" w:rsidR="00B926FE" w:rsidRPr="0075075A" w:rsidRDefault="00B926FE" w:rsidP="000A2491">
            <w:pPr>
              <w:pStyle w:val="TableText"/>
              <w:jc w:val="right"/>
            </w:pPr>
            <w:r w:rsidRPr="0075075A">
              <w:t>939</w:t>
            </w:r>
          </w:p>
        </w:tc>
        <w:tc>
          <w:tcPr>
            <w:tcW w:w="1148" w:type="dxa"/>
          </w:tcPr>
          <w:p w14:paraId="4DE8B157" w14:textId="77777777" w:rsidR="00B926FE" w:rsidRPr="0075075A" w:rsidRDefault="00B926FE" w:rsidP="000A2491">
            <w:pPr>
              <w:pStyle w:val="TableText"/>
              <w:jc w:val="right"/>
            </w:pPr>
            <w:r w:rsidRPr="0075075A">
              <w:t>83.4 (76.1</w:t>
            </w:r>
            <w:r>
              <w:t xml:space="preserve">, </w:t>
            </w:r>
            <w:r w:rsidRPr="0075075A">
              <w:t>88.8)</w:t>
            </w:r>
          </w:p>
        </w:tc>
        <w:tc>
          <w:tcPr>
            <w:tcW w:w="400" w:type="dxa"/>
          </w:tcPr>
          <w:p w14:paraId="72E82A5F" w14:textId="77777777" w:rsidR="00B926FE" w:rsidRPr="0075075A" w:rsidRDefault="00B926FE" w:rsidP="000A2491">
            <w:pPr>
              <w:pStyle w:val="TableText"/>
              <w:jc w:val="right"/>
            </w:pPr>
            <w:r w:rsidRPr="0075075A">
              <w:t>26</w:t>
            </w:r>
          </w:p>
        </w:tc>
        <w:tc>
          <w:tcPr>
            <w:tcW w:w="944" w:type="dxa"/>
          </w:tcPr>
          <w:p w14:paraId="4FAE8190" w14:textId="77777777" w:rsidR="00B926FE" w:rsidRPr="0075075A" w:rsidRDefault="00B926FE" w:rsidP="000A2491">
            <w:pPr>
              <w:pStyle w:val="TableText"/>
              <w:jc w:val="right"/>
            </w:pPr>
            <w:r w:rsidRPr="0075075A">
              <w:t>178</w:t>
            </w:r>
          </w:p>
        </w:tc>
        <w:tc>
          <w:tcPr>
            <w:tcW w:w="1121" w:type="dxa"/>
          </w:tcPr>
          <w:p w14:paraId="74AD3F4F" w14:textId="77777777" w:rsidR="00B926FE" w:rsidRPr="0075075A" w:rsidRDefault="00B926FE" w:rsidP="000A2491">
            <w:pPr>
              <w:pStyle w:val="TableText"/>
              <w:jc w:val="right"/>
            </w:pPr>
            <w:r w:rsidRPr="0075075A">
              <w:t>15.8 (10.5</w:t>
            </w:r>
            <w:r>
              <w:t xml:space="preserve">, </w:t>
            </w:r>
            <w:r w:rsidRPr="0075075A">
              <w:t>23.2)</w:t>
            </w:r>
          </w:p>
        </w:tc>
        <w:tc>
          <w:tcPr>
            <w:tcW w:w="549" w:type="dxa"/>
          </w:tcPr>
          <w:p w14:paraId="3562BD46" w14:textId="77777777" w:rsidR="00B926FE" w:rsidRPr="0075075A" w:rsidRDefault="00B926FE" w:rsidP="000A2491">
            <w:pPr>
              <w:pStyle w:val="TableText"/>
              <w:jc w:val="right"/>
            </w:pPr>
            <w:r w:rsidRPr="0075075A">
              <w:t>393</w:t>
            </w:r>
          </w:p>
        </w:tc>
        <w:tc>
          <w:tcPr>
            <w:tcW w:w="945" w:type="dxa"/>
          </w:tcPr>
          <w:p w14:paraId="2803FEC6" w14:textId="77777777" w:rsidR="00B926FE" w:rsidRPr="0075075A" w:rsidRDefault="00B926FE" w:rsidP="000A2491">
            <w:pPr>
              <w:pStyle w:val="TableText"/>
              <w:jc w:val="right"/>
            </w:pPr>
            <w:r w:rsidRPr="0075075A">
              <w:t>1274</w:t>
            </w:r>
          </w:p>
        </w:tc>
        <w:tc>
          <w:tcPr>
            <w:tcW w:w="1121" w:type="dxa"/>
          </w:tcPr>
          <w:p w14:paraId="3C51AB53" w14:textId="77777777" w:rsidR="00B926FE" w:rsidRPr="0075075A" w:rsidRDefault="00B926FE" w:rsidP="000A2491">
            <w:pPr>
              <w:pStyle w:val="TableText"/>
              <w:jc w:val="right"/>
            </w:pPr>
            <w:r w:rsidRPr="0075075A">
              <w:t>90.5 (87.0</w:t>
            </w:r>
            <w:r>
              <w:t xml:space="preserve">, </w:t>
            </w:r>
            <w:r w:rsidRPr="0075075A">
              <w:t>93.2)</w:t>
            </w:r>
          </w:p>
        </w:tc>
        <w:tc>
          <w:tcPr>
            <w:tcW w:w="409" w:type="dxa"/>
          </w:tcPr>
          <w:p w14:paraId="24266E3D" w14:textId="77777777" w:rsidR="00B926FE" w:rsidRPr="0075075A" w:rsidRDefault="00B926FE" w:rsidP="000A2491">
            <w:pPr>
              <w:pStyle w:val="TableText"/>
              <w:jc w:val="right"/>
            </w:pPr>
            <w:r w:rsidRPr="0075075A">
              <w:t>29</w:t>
            </w:r>
          </w:p>
        </w:tc>
        <w:tc>
          <w:tcPr>
            <w:tcW w:w="966" w:type="dxa"/>
          </w:tcPr>
          <w:p w14:paraId="715FE0E4" w14:textId="77777777" w:rsidR="00B926FE" w:rsidRPr="0075075A" w:rsidRDefault="00B926FE" w:rsidP="000A2491">
            <w:pPr>
              <w:pStyle w:val="TableText"/>
              <w:jc w:val="right"/>
            </w:pPr>
            <w:r w:rsidRPr="0075075A">
              <w:t>105</w:t>
            </w:r>
          </w:p>
        </w:tc>
        <w:tc>
          <w:tcPr>
            <w:tcW w:w="1089" w:type="dxa"/>
          </w:tcPr>
          <w:p w14:paraId="064376A7" w14:textId="77777777" w:rsidR="00B926FE" w:rsidRPr="0075075A" w:rsidRDefault="00B926FE" w:rsidP="000A2491">
            <w:pPr>
              <w:pStyle w:val="TableText"/>
              <w:jc w:val="right"/>
            </w:pPr>
            <w:r w:rsidRPr="0075075A">
              <w:t>7.5 (5.2</w:t>
            </w:r>
            <w:r>
              <w:t xml:space="preserve">, </w:t>
            </w:r>
            <w:r w:rsidRPr="0075075A">
              <w:t>10.7)</w:t>
            </w:r>
          </w:p>
        </w:tc>
      </w:tr>
      <w:tr w:rsidR="00B926FE" w:rsidRPr="003F7A38" w14:paraId="2FF10959"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56ABFBC4" w14:textId="77777777" w:rsidR="00B926FE" w:rsidRPr="002E0D19" w:rsidRDefault="00B926FE" w:rsidP="000A2491">
            <w:pPr>
              <w:pStyle w:val="TableText"/>
              <w:rPr>
                <w:b/>
                <w:bCs/>
                <w:color w:val="000000" w:themeColor="text1"/>
              </w:rPr>
            </w:pPr>
            <w:r w:rsidRPr="002E0D19">
              <w:rPr>
                <w:b/>
                <w:bCs/>
                <w:color w:val="000000" w:themeColor="text1"/>
              </w:rPr>
              <w:t>Age (yrs)</w:t>
            </w:r>
          </w:p>
        </w:tc>
        <w:tc>
          <w:tcPr>
            <w:tcW w:w="485" w:type="dxa"/>
          </w:tcPr>
          <w:p w14:paraId="1EE6657F" w14:textId="77777777" w:rsidR="00B926FE" w:rsidRPr="0075075A" w:rsidRDefault="00B926FE" w:rsidP="000A2491">
            <w:pPr>
              <w:pStyle w:val="TableText"/>
              <w:jc w:val="right"/>
            </w:pPr>
          </w:p>
        </w:tc>
        <w:tc>
          <w:tcPr>
            <w:tcW w:w="966" w:type="dxa"/>
          </w:tcPr>
          <w:p w14:paraId="07D08412" w14:textId="77777777" w:rsidR="00B926FE" w:rsidRPr="0075075A" w:rsidRDefault="00B926FE" w:rsidP="000A2491">
            <w:pPr>
              <w:pStyle w:val="TableText"/>
              <w:jc w:val="right"/>
            </w:pPr>
          </w:p>
        </w:tc>
        <w:tc>
          <w:tcPr>
            <w:tcW w:w="1148" w:type="dxa"/>
          </w:tcPr>
          <w:p w14:paraId="65674C3A" w14:textId="77777777" w:rsidR="00B926FE" w:rsidRPr="0075075A" w:rsidRDefault="00B926FE" w:rsidP="000A2491">
            <w:pPr>
              <w:pStyle w:val="TableText"/>
              <w:jc w:val="right"/>
            </w:pPr>
          </w:p>
        </w:tc>
        <w:tc>
          <w:tcPr>
            <w:tcW w:w="400" w:type="dxa"/>
          </w:tcPr>
          <w:p w14:paraId="46E434EC" w14:textId="77777777" w:rsidR="00B926FE" w:rsidRPr="0075075A" w:rsidRDefault="00B926FE" w:rsidP="000A2491">
            <w:pPr>
              <w:pStyle w:val="TableText"/>
              <w:jc w:val="right"/>
            </w:pPr>
          </w:p>
        </w:tc>
        <w:tc>
          <w:tcPr>
            <w:tcW w:w="944" w:type="dxa"/>
          </w:tcPr>
          <w:p w14:paraId="3BCF1222" w14:textId="77777777" w:rsidR="00B926FE" w:rsidRPr="0075075A" w:rsidRDefault="00B926FE" w:rsidP="000A2491">
            <w:pPr>
              <w:pStyle w:val="TableText"/>
              <w:jc w:val="right"/>
            </w:pPr>
          </w:p>
        </w:tc>
        <w:tc>
          <w:tcPr>
            <w:tcW w:w="1121" w:type="dxa"/>
          </w:tcPr>
          <w:p w14:paraId="11F7785F" w14:textId="77777777" w:rsidR="00B926FE" w:rsidRPr="0075075A" w:rsidRDefault="00B926FE" w:rsidP="000A2491">
            <w:pPr>
              <w:pStyle w:val="TableText"/>
              <w:jc w:val="right"/>
            </w:pPr>
          </w:p>
        </w:tc>
        <w:tc>
          <w:tcPr>
            <w:tcW w:w="549" w:type="dxa"/>
          </w:tcPr>
          <w:p w14:paraId="5DD19C11" w14:textId="77777777" w:rsidR="00B926FE" w:rsidRPr="0075075A" w:rsidRDefault="00B926FE" w:rsidP="000A2491">
            <w:pPr>
              <w:pStyle w:val="TableText"/>
              <w:jc w:val="right"/>
            </w:pPr>
          </w:p>
        </w:tc>
        <w:tc>
          <w:tcPr>
            <w:tcW w:w="945" w:type="dxa"/>
          </w:tcPr>
          <w:p w14:paraId="4D5D23EC" w14:textId="77777777" w:rsidR="00B926FE" w:rsidRPr="0075075A" w:rsidRDefault="00B926FE" w:rsidP="000A2491">
            <w:pPr>
              <w:pStyle w:val="TableText"/>
              <w:jc w:val="right"/>
            </w:pPr>
          </w:p>
        </w:tc>
        <w:tc>
          <w:tcPr>
            <w:tcW w:w="1121" w:type="dxa"/>
          </w:tcPr>
          <w:p w14:paraId="0937F638" w14:textId="77777777" w:rsidR="00B926FE" w:rsidRPr="0075075A" w:rsidRDefault="00B926FE" w:rsidP="000A2491">
            <w:pPr>
              <w:pStyle w:val="TableText"/>
              <w:jc w:val="right"/>
            </w:pPr>
          </w:p>
        </w:tc>
        <w:tc>
          <w:tcPr>
            <w:tcW w:w="409" w:type="dxa"/>
          </w:tcPr>
          <w:p w14:paraId="42ED81E2" w14:textId="77777777" w:rsidR="00B926FE" w:rsidRPr="0075075A" w:rsidRDefault="00B926FE" w:rsidP="000A2491">
            <w:pPr>
              <w:pStyle w:val="TableText"/>
              <w:jc w:val="right"/>
            </w:pPr>
          </w:p>
        </w:tc>
        <w:tc>
          <w:tcPr>
            <w:tcW w:w="966" w:type="dxa"/>
          </w:tcPr>
          <w:p w14:paraId="2C9C9624" w14:textId="77777777" w:rsidR="00B926FE" w:rsidRPr="0075075A" w:rsidRDefault="00B926FE" w:rsidP="000A2491">
            <w:pPr>
              <w:pStyle w:val="TableText"/>
              <w:jc w:val="right"/>
            </w:pPr>
          </w:p>
        </w:tc>
        <w:tc>
          <w:tcPr>
            <w:tcW w:w="1089" w:type="dxa"/>
          </w:tcPr>
          <w:p w14:paraId="0E38B128" w14:textId="77777777" w:rsidR="00B926FE" w:rsidRPr="0075075A" w:rsidRDefault="00B926FE" w:rsidP="000A2491">
            <w:pPr>
              <w:pStyle w:val="TableText"/>
              <w:jc w:val="right"/>
            </w:pPr>
          </w:p>
        </w:tc>
      </w:tr>
      <w:tr w:rsidR="005C60DC" w:rsidRPr="003F7A38" w14:paraId="7C71CF2A" w14:textId="77777777" w:rsidTr="005C60DC">
        <w:trPr>
          <w:cantSplit/>
        </w:trPr>
        <w:tc>
          <w:tcPr>
            <w:tcW w:w="1363" w:type="dxa"/>
          </w:tcPr>
          <w:p w14:paraId="4D006F8D" w14:textId="77777777" w:rsidR="00B926FE" w:rsidRPr="002E0D19" w:rsidRDefault="00B926FE" w:rsidP="000A2491">
            <w:pPr>
              <w:pStyle w:val="TableText"/>
              <w:rPr>
                <w:bCs/>
                <w:color w:val="000000" w:themeColor="text1"/>
              </w:rPr>
            </w:pPr>
            <w:r w:rsidRPr="002E0D19">
              <w:rPr>
                <w:bCs/>
                <w:color w:val="000000" w:themeColor="text1"/>
              </w:rPr>
              <w:t>18</w:t>
            </w:r>
            <w:r>
              <w:rPr>
                <w:bCs/>
                <w:color w:val="000000" w:themeColor="text1"/>
              </w:rPr>
              <w:t>–</w:t>
            </w:r>
            <w:r w:rsidRPr="002E0D19">
              <w:rPr>
                <w:bCs/>
                <w:color w:val="000000" w:themeColor="text1"/>
              </w:rPr>
              <w:t>27</w:t>
            </w:r>
          </w:p>
        </w:tc>
        <w:tc>
          <w:tcPr>
            <w:tcW w:w="485" w:type="dxa"/>
          </w:tcPr>
          <w:p w14:paraId="24C4545C" w14:textId="77777777" w:rsidR="00B926FE" w:rsidRPr="0075075A" w:rsidRDefault="00B926FE" w:rsidP="000A2491">
            <w:pPr>
              <w:pStyle w:val="TableText"/>
              <w:jc w:val="right"/>
            </w:pPr>
            <w:r w:rsidRPr="0075075A">
              <w:t>76</w:t>
            </w:r>
          </w:p>
        </w:tc>
        <w:tc>
          <w:tcPr>
            <w:tcW w:w="966" w:type="dxa"/>
          </w:tcPr>
          <w:p w14:paraId="1AE502A0" w14:textId="77777777" w:rsidR="00B926FE" w:rsidRPr="0075075A" w:rsidRDefault="00B926FE" w:rsidP="000A2491">
            <w:pPr>
              <w:pStyle w:val="TableText"/>
              <w:jc w:val="right"/>
            </w:pPr>
            <w:r w:rsidRPr="0075075A">
              <w:t>1004</w:t>
            </w:r>
          </w:p>
        </w:tc>
        <w:tc>
          <w:tcPr>
            <w:tcW w:w="1148" w:type="dxa"/>
          </w:tcPr>
          <w:p w14:paraId="5EA26640" w14:textId="77777777" w:rsidR="00B926FE" w:rsidRPr="0075075A" w:rsidRDefault="00B926FE" w:rsidP="000A2491">
            <w:pPr>
              <w:pStyle w:val="TableText"/>
              <w:jc w:val="right"/>
            </w:pPr>
            <w:r w:rsidRPr="0075075A">
              <w:t>81.6 (71.7</w:t>
            </w:r>
            <w:r>
              <w:t xml:space="preserve">, </w:t>
            </w:r>
            <w:r w:rsidRPr="0075075A">
              <w:t>88.5)</w:t>
            </w:r>
          </w:p>
        </w:tc>
        <w:tc>
          <w:tcPr>
            <w:tcW w:w="400" w:type="dxa"/>
          </w:tcPr>
          <w:p w14:paraId="173992F3" w14:textId="77777777" w:rsidR="00B926FE" w:rsidRPr="0075075A" w:rsidRDefault="00B926FE" w:rsidP="000A2491">
            <w:pPr>
              <w:pStyle w:val="TableText"/>
              <w:jc w:val="right"/>
            </w:pPr>
            <w:r w:rsidRPr="0075075A">
              <w:t>20</w:t>
            </w:r>
          </w:p>
        </w:tc>
        <w:tc>
          <w:tcPr>
            <w:tcW w:w="944" w:type="dxa"/>
          </w:tcPr>
          <w:p w14:paraId="16C724C2" w14:textId="77777777" w:rsidR="00B926FE" w:rsidRPr="0075075A" w:rsidRDefault="00B926FE" w:rsidP="000A2491">
            <w:pPr>
              <w:pStyle w:val="TableText"/>
              <w:jc w:val="right"/>
            </w:pPr>
            <w:r w:rsidRPr="0075075A">
              <w:t>203</w:t>
            </w:r>
          </w:p>
        </w:tc>
        <w:tc>
          <w:tcPr>
            <w:tcW w:w="1121" w:type="dxa"/>
          </w:tcPr>
          <w:p w14:paraId="70D9EDF5" w14:textId="77777777" w:rsidR="00B926FE" w:rsidRPr="0075075A" w:rsidRDefault="00B926FE" w:rsidP="000A2491">
            <w:pPr>
              <w:pStyle w:val="TableText"/>
              <w:jc w:val="right"/>
            </w:pPr>
            <w:r w:rsidRPr="0075075A">
              <w:t>16.5 (10.1</w:t>
            </w:r>
            <w:r>
              <w:t xml:space="preserve">, </w:t>
            </w:r>
            <w:r w:rsidRPr="0075075A">
              <w:t>25.7)</w:t>
            </w:r>
          </w:p>
        </w:tc>
        <w:tc>
          <w:tcPr>
            <w:tcW w:w="549" w:type="dxa"/>
          </w:tcPr>
          <w:p w14:paraId="738AB4C8" w14:textId="77777777" w:rsidR="00B926FE" w:rsidRPr="0075075A" w:rsidRDefault="00B926FE" w:rsidP="000A2491">
            <w:pPr>
              <w:pStyle w:val="TableText"/>
              <w:jc w:val="right"/>
            </w:pPr>
            <w:r w:rsidRPr="0075075A">
              <w:t>103</w:t>
            </w:r>
          </w:p>
        </w:tc>
        <w:tc>
          <w:tcPr>
            <w:tcW w:w="945" w:type="dxa"/>
          </w:tcPr>
          <w:p w14:paraId="2B464256" w14:textId="77777777" w:rsidR="00B926FE" w:rsidRPr="0075075A" w:rsidRDefault="00B926FE" w:rsidP="000A2491">
            <w:pPr>
              <w:pStyle w:val="TableText"/>
              <w:jc w:val="right"/>
            </w:pPr>
            <w:r w:rsidRPr="0075075A">
              <w:t>1735</w:t>
            </w:r>
          </w:p>
        </w:tc>
        <w:tc>
          <w:tcPr>
            <w:tcW w:w="1121" w:type="dxa"/>
          </w:tcPr>
          <w:p w14:paraId="416BA373" w14:textId="77777777" w:rsidR="00B926FE" w:rsidRPr="0075075A" w:rsidRDefault="00B926FE" w:rsidP="000A2491">
            <w:pPr>
              <w:pStyle w:val="TableText"/>
              <w:jc w:val="right"/>
            </w:pPr>
            <w:r w:rsidRPr="0075075A">
              <w:t>86.7 (57.6</w:t>
            </w:r>
            <w:r>
              <w:t xml:space="preserve">, </w:t>
            </w:r>
            <w:r w:rsidRPr="0075075A">
              <w:t>96.9)</w:t>
            </w:r>
          </w:p>
        </w:tc>
        <w:tc>
          <w:tcPr>
            <w:tcW w:w="409" w:type="dxa"/>
          </w:tcPr>
          <w:p w14:paraId="596A542F" w14:textId="77777777" w:rsidR="00B926FE" w:rsidRPr="0075075A" w:rsidRDefault="00B926FE" w:rsidP="000A2491">
            <w:pPr>
              <w:pStyle w:val="TableText"/>
              <w:jc w:val="right"/>
            </w:pPr>
            <w:r w:rsidRPr="0075075A">
              <w:t>12</w:t>
            </w:r>
          </w:p>
        </w:tc>
        <w:tc>
          <w:tcPr>
            <w:tcW w:w="966" w:type="dxa"/>
          </w:tcPr>
          <w:p w14:paraId="5F2C6E02" w14:textId="77777777" w:rsidR="00B926FE" w:rsidRPr="0075075A" w:rsidRDefault="00B926FE" w:rsidP="000A2491">
            <w:pPr>
              <w:pStyle w:val="TableText"/>
              <w:jc w:val="right"/>
            </w:pPr>
            <w:r w:rsidRPr="0075075A">
              <w:t>244</w:t>
            </w:r>
          </w:p>
        </w:tc>
        <w:tc>
          <w:tcPr>
            <w:tcW w:w="1089" w:type="dxa"/>
          </w:tcPr>
          <w:p w14:paraId="468521E3" w14:textId="77777777" w:rsidR="00B926FE" w:rsidRPr="0075075A" w:rsidRDefault="00B926FE" w:rsidP="000A2491">
            <w:pPr>
              <w:pStyle w:val="TableText"/>
              <w:jc w:val="right"/>
            </w:pPr>
            <w:r w:rsidRPr="0075075A">
              <w:t>12.2 (2.5</w:t>
            </w:r>
            <w:r>
              <w:t xml:space="preserve">, </w:t>
            </w:r>
            <w:r w:rsidRPr="0075075A">
              <w:t>42.7)</w:t>
            </w:r>
          </w:p>
        </w:tc>
      </w:tr>
      <w:tr w:rsidR="00B926FE" w:rsidRPr="003F7A38" w14:paraId="483FD9BC"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352565F6" w14:textId="77777777" w:rsidR="00B926FE" w:rsidRPr="002E0D19" w:rsidRDefault="00B926FE" w:rsidP="000A2491">
            <w:pPr>
              <w:pStyle w:val="TableText"/>
              <w:rPr>
                <w:bCs/>
                <w:color w:val="000000" w:themeColor="text1"/>
              </w:rPr>
            </w:pPr>
            <w:r w:rsidRPr="002E0D19">
              <w:rPr>
                <w:bCs/>
                <w:color w:val="000000" w:themeColor="text1"/>
              </w:rPr>
              <w:t>28</w:t>
            </w:r>
            <w:r>
              <w:rPr>
                <w:bCs/>
                <w:color w:val="000000" w:themeColor="text1"/>
              </w:rPr>
              <w:t>–</w:t>
            </w:r>
            <w:r w:rsidRPr="002E0D19">
              <w:rPr>
                <w:bCs/>
                <w:color w:val="000000" w:themeColor="text1"/>
              </w:rPr>
              <w:t>37</w:t>
            </w:r>
          </w:p>
        </w:tc>
        <w:tc>
          <w:tcPr>
            <w:tcW w:w="485" w:type="dxa"/>
          </w:tcPr>
          <w:p w14:paraId="76C550D3" w14:textId="77777777" w:rsidR="00B926FE" w:rsidRPr="0075075A" w:rsidRDefault="00B926FE" w:rsidP="000A2491">
            <w:pPr>
              <w:pStyle w:val="TableText"/>
              <w:jc w:val="right"/>
            </w:pPr>
            <w:r w:rsidRPr="0075075A">
              <w:t>241</w:t>
            </w:r>
          </w:p>
        </w:tc>
        <w:tc>
          <w:tcPr>
            <w:tcW w:w="966" w:type="dxa"/>
          </w:tcPr>
          <w:p w14:paraId="0ABAB347" w14:textId="77777777" w:rsidR="00B926FE" w:rsidRPr="0075075A" w:rsidRDefault="00B926FE" w:rsidP="000A2491">
            <w:pPr>
              <w:pStyle w:val="TableText"/>
              <w:jc w:val="right"/>
            </w:pPr>
            <w:r w:rsidRPr="0075075A">
              <w:t>2065</w:t>
            </w:r>
          </w:p>
        </w:tc>
        <w:tc>
          <w:tcPr>
            <w:tcW w:w="1148" w:type="dxa"/>
          </w:tcPr>
          <w:p w14:paraId="377C71C0" w14:textId="77777777" w:rsidR="00B926FE" w:rsidRPr="0075075A" w:rsidRDefault="00B926FE" w:rsidP="000A2491">
            <w:pPr>
              <w:pStyle w:val="TableText"/>
              <w:jc w:val="right"/>
            </w:pPr>
            <w:r w:rsidRPr="0075075A">
              <w:t>85.5 (79.5</w:t>
            </w:r>
            <w:r>
              <w:t xml:space="preserve">, </w:t>
            </w:r>
            <w:r w:rsidRPr="0075075A">
              <w:t>90.0)</w:t>
            </w:r>
          </w:p>
        </w:tc>
        <w:tc>
          <w:tcPr>
            <w:tcW w:w="400" w:type="dxa"/>
          </w:tcPr>
          <w:p w14:paraId="3C24AD1D" w14:textId="77777777" w:rsidR="00B926FE" w:rsidRPr="0075075A" w:rsidRDefault="00B926FE" w:rsidP="000A2491">
            <w:pPr>
              <w:pStyle w:val="TableText"/>
              <w:jc w:val="right"/>
            </w:pPr>
            <w:r w:rsidRPr="0075075A">
              <w:t>33</w:t>
            </w:r>
          </w:p>
        </w:tc>
        <w:tc>
          <w:tcPr>
            <w:tcW w:w="944" w:type="dxa"/>
          </w:tcPr>
          <w:p w14:paraId="66120D9F" w14:textId="77777777" w:rsidR="00B926FE" w:rsidRPr="0075075A" w:rsidRDefault="00B926FE" w:rsidP="000A2491">
            <w:pPr>
              <w:pStyle w:val="TableText"/>
              <w:jc w:val="right"/>
            </w:pPr>
            <w:r w:rsidRPr="0075075A">
              <w:t>280</w:t>
            </w:r>
          </w:p>
        </w:tc>
        <w:tc>
          <w:tcPr>
            <w:tcW w:w="1121" w:type="dxa"/>
          </w:tcPr>
          <w:p w14:paraId="5DA16FAA" w14:textId="77777777" w:rsidR="00B926FE" w:rsidRPr="0075075A" w:rsidRDefault="00B926FE" w:rsidP="000A2491">
            <w:pPr>
              <w:pStyle w:val="TableText"/>
              <w:jc w:val="right"/>
            </w:pPr>
            <w:r w:rsidRPr="0075075A">
              <w:t>11.6 (7.8</w:t>
            </w:r>
            <w:r>
              <w:t xml:space="preserve">, </w:t>
            </w:r>
            <w:r w:rsidRPr="0075075A">
              <w:t>17.0)</w:t>
            </w:r>
          </w:p>
        </w:tc>
        <w:tc>
          <w:tcPr>
            <w:tcW w:w="549" w:type="dxa"/>
          </w:tcPr>
          <w:p w14:paraId="1545C3F9" w14:textId="77777777" w:rsidR="00B926FE" w:rsidRPr="0075075A" w:rsidRDefault="00B926FE" w:rsidP="000A2491">
            <w:pPr>
              <w:pStyle w:val="TableText"/>
              <w:jc w:val="right"/>
            </w:pPr>
            <w:r w:rsidRPr="0075075A">
              <w:t>459</w:t>
            </w:r>
          </w:p>
        </w:tc>
        <w:tc>
          <w:tcPr>
            <w:tcW w:w="945" w:type="dxa"/>
          </w:tcPr>
          <w:p w14:paraId="307BDA8F" w14:textId="77777777" w:rsidR="00B926FE" w:rsidRPr="0075075A" w:rsidRDefault="00B926FE" w:rsidP="000A2491">
            <w:pPr>
              <w:pStyle w:val="TableText"/>
              <w:jc w:val="right"/>
            </w:pPr>
            <w:r w:rsidRPr="0075075A">
              <w:t>3583</w:t>
            </w:r>
          </w:p>
        </w:tc>
        <w:tc>
          <w:tcPr>
            <w:tcW w:w="1121" w:type="dxa"/>
          </w:tcPr>
          <w:p w14:paraId="1A7C7525" w14:textId="77777777" w:rsidR="00B926FE" w:rsidRPr="0075075A" w:rsidRDefault="00B926FE" w:rsidP="000A2491">
            <w:pPr>
              <w:pStyle w:val="TableText"/>
              <w:jc w:val="right"/>
            </w:pPr>
            <w:r w:rsidRPr="0075075A">
              <w:t>93.2 (86.9</w:t>
            </w:r>
            <w:r>
              <w:t xml:space="preserve">, </w:t>
            </w:r>
            <w:r w:rsidRPr="0075075A">
              <w:t>96.6)</w:t>
            </w:r>
          </w:p>
        </w:tc>
        <w:tc>
          <w:tcPr>
            <w:tcW w:w="409" w:type="dxa"/>
          </w:tcPr>
          <w:p w14:paraId="33A6D413" w14:textId="77777777" w:rsidR="00B926FE" w:rsidRPr="0075075A" w:rsidRDefault="00B926FE" w:rsidP="000A2491">
            <w:pPr>
              <w:pStyle w:val="TableText"/>
              <w:jc w:val="right"/>
            </w:pPr>
            <w:r w:rsidRPr="0075075A">
              <w:t>40</w:t>
            </w:r>
          </w:p>
        </w:tc>
        <w:tc>
          <w:tcPr>
            <w:tcW w:w="966" w:type="dxa"/>
          </w:tcPr>
          <w:p w14:paraId="2222A942" w14:textId="77777777" w:rsidR="00B926FE" w:rsidRPr="0075075A" w:rsidRDefault="00B926FE" w:rsidP="000A2491">
            <w:pPr>
              <w:pStyle w:val="TableText"/>
              <w:jc w:val="right"/>
            </w:pPr>
            <w:r w:rsidRPr="0075075A">
              <w:t>225</w:t>
            </w:r>
          </w:p>
        </w:tc>
        <w:tc>
          <w:tcPr>
            <w:tcW w:w="1089" w:type="dxa"/>
          </w:tcPr>
          <w:p w14:paraId="26C3FFFA" w14:textId="77777777" w:rsidR="00B926FE" w:rsidRPr="0075075A" w:rsidRDefault="00B926FE" w:rsidP="000A2491">
            <w:pPr>
              <w:pStyle w:val="TableText"/>
              <w:jc w:val="right"/>
            </w:pPr>
            <w:r w:rsidRPr="0075075A">
              <w:t>5.9 (2.7</w:t>
            </w:r>
            <w:r>
              <w:t xml:space="preserve">, </w:t>
            </w:r>
            <w:r w:rsidRPr="0075075A">
              <w:t>12.3)</w:t>
            </w:r>
          </w:p>
        </w:tc>
      </w:tr>
      <w:tr w:rsidR="005C60DC" w:rsidRPr="003F7A38" w14:paraId="18826946" w14:textId="77777777" w:rsidTr="005C60DC">
        <w:trPr>
          <w:cantSplit/>
        </w:trPr>
        <w:tc>
          <w:tcPr>
            <w:tcW w:w="1363" w:type="dxa"/>
          </w:tcPr>
          <w:p w14:paraId="5490D8D0" w14:textId="77777777" w:rsidR="00B926FE" w:rsidRPr="002E0D19" w:rsidRDefault="00B926FE" w:rsidP="000A2491">
            <w:pPr>
              <w:pStyle w:val="TableText"/>
              <w:rPr>
                <w:bCs/>
                <w:color w:val="000000" w:themeColor="text1"/>
              </w:rPr>
            </w:pPr>
            <w:r w:rsidRPr="002E0D19">
              <w:rPr>
                <w:bCs/>
                <w:color w:val="000000" w:themeColor="text1"/>
              </w:rPr>
              <w:t>38</w:t>
            </w:r>
            <w:r>
              <w:rPr>
                <w:bCs/>
                <w:color w:val="000000" w:themeColor="text1"/>
              </w:rPr>
              <w:t>–</w:t>
            </w:r>
            <w:r w:rsidRPr="002E0D19">
              <w:rPr>
                <w:bCs/>
                <w:color w:val="000000" w:themeColor="text1"/>
              </w:rPr>
              <w:t>47</w:t>
            </w:r>
          </w:p>
        </w:tc>
        <w:tc>
          <w:tcPr>
            <w:tcW w:w="485" w:type="dxa"/>
          </w:tcPr>
          <w:p w14:paraId="53DA8365" w14:textId="77777777" w:rsidR="00B926FE" w:rsidRPr="0075075A" w:rsidRDefault="00B926FE" w:rsidP="000A2491">
            <w:pPr>
              <w:pStyle w:val="TableText"/>
              <w:jc w:val="right"/>
            </w:pPr>
            <w:r w:rsidRPr="0075075A">
              <w:t>222</w:t>
            </w:r>
          </w:p>
        </w:tc>
        <w:tc>
          <w:tcPr>
            <w:tcW w:w="966" w:type="dxa"/>
          </w:tcPr>
          <w:p w14:paraId="00EF9FBF" w14:textId="77777777" w:rsidR="00B926FE" w:rsidRPr="0075075A" w:rsidRDefault="00B926FE" w:rsidP="000A2491">
            <w:pPr>
              <w:pStyle w:val="TableText"/>
              <w:jc w:val="right"/>
            </w:pPr>
            <w:r w:rsidRPr="0075075A">
              <w:t>1212</w:t>
            </w:r>
          </w:p>
        </w:tc>
        <w:tc>
          <w:tcPr>
            <w:tcW w:w="1148" w:type="dxa"/>
          </w:tcPr>
          <w:p w14:paraId="03D02501" w14:textId="77777777" w:rsidR="00B926FE" w:rsidRPr="0075075A" w:rsidRDefault="00B926FE" w:rsidP="000A2491">
            <w:pPr>
              <w:pStyle w:val="TableText"/>
              <w:jc w:val="right"/>
            </w:pPr>
            <w:r w:rsidRPr="0075075A">
              <w:t>83.6 (77.5</w:t>
            </w:r>
            <w:r>
              <w:t xml:space="preserve">, </w:t>
            </w:r>
            <w:r w:rsidRPr="0075075A">
              <w:t>88.3)</w:t>
            </w:r>
          </w:p>
        </w:tc>
        <w:tc>
          <w:tcPr>
            <w:tcW w:w="400" w:type="dxa"/>
          </w:tcPr>
          <w:p w14:paraId="632836D5" w14:textId="77777777" w:rsidR="00B926FE" w:rsidRPr="0075075A" w:rsidRDefault="00B926FE" w:rsidP="000A2491">
            <w:pPr>
              <w:pStyle w:val="TableText"/>
              <w:jc w:val="right"/>
            </w:pPr>
            <w:r w:rsidRPr="0075075A">
              <w:t>38</w:t>
            </w:r>
          </w:p>
        </w:tc>
        <w:tc>
          <w:tcPr>
            <w:tcW w:w="944" w:type="dxa"/>
          </w:tcPr>
          <w:p w14:paraId="18CC79CF" w14:textId="77777777" w:rsidR="00B926FE" w:rsidRPr="0075075A" w:rsidRDefault="00B926FE" w:rsidP="000A2491">
            <w:pPr>
              <w:pStyle w:val="TableText"/>
              <w:jc w:val="right"/>
            </w:pPr>
            <w:r w:rsidRPr="0075075A">
              <w:t>203</w:t>
            </w:r>
          </w:p>
        </w:tc>
        <w:tc>
          <w:tcPr>
            <w:tcW w:w="1121" w:type="dxa"/>
          </w:tcPr>
          <w:p w14:paraId="7769A80D" w14:textId="77777777" w:rsidR="00B926FE" w:rsidRPr="0075075A" w:rsidRDefault="00B926FE" w:rsidP="000A2491">
            <w:pPr>
              <w:pStyle w:val="TableText"/>
              <w:jc w:val="right"/>
            </w:pPr>
            <w:r w:rsidRPr="0075075A">
              <w:t>14.0 (10.0</w:t>
            </w:r>
            <w:r>
              <w:t xml:space="preserve">, </w:t>
            </w:r>
            <w:r w:rsidRPr="0075075A">
              <w:t>19.3)</w:t>
            </w:r>
          </w:p>
        </w:tc>
        <w:tc>
          <w:tcPr>
            <w:tcW w:w="549" w:type="dxa"/>
          </w:tcPr>
          <w:p w14:paraId="2B610138" w14:textId="77777777" w:rsidR="00B926FE" w:rsidRPr="0075075A" w:rsidRDefault="00B926FE" w:rsidP="000A2491">
            <w:pPr>
              <w:pStyle w:val="TableText"/>
              <w:jc w:val="right"/>
            </w:pPr>
            <w:r w:rsidRPr="0075075A">
              <w:t>453</w:t>
            </w:r>
          </w:p>
        </w:tc>
        <w:tc>
          <w:tcPr>
            <w:tcW w:w="945" w:type="dxa"/>
          </w:tcPr>
          <w:p w14:paraId="43789CFB" w14:textId="77777777" w:rsidR="00B926FE" w:rsidRPr="0075075A" w:rsidRDefault="00B926FE" w:rsidP="000A2491">
            <w:pPr>
              <w:pStyle w:val="TableText"/>
              <w:jc w:val="right"/>
            </w:pPr>
            <w:r w:rsidRPr="0075075A">
              <w:t>1751</w:t>
            </w:r>
          </w:p>
        </w:tc>
        <w:tc>
          <w:tcPr>
            <w:tcW w:w="1121" w:type="dxa"/>
          </w:tcPr>
          <w:p w14:paraId="052B28A5" w14:textId="77777777" w:rsidR="00B926FE" w:rsidRPr="0075075A" w:rsidRDefault="00B926FE" w:rsidP="000A2491">
            <w:pPr>
              <w:pStyle w:val="TableText"/>
              <w:jc w:val="right"/>
            </w:pPr>
            <w:r w:rsidRPr="0075075A">
              <w:t>90.6 (86.5</w:t>
            </w:r>
            <w:r>
              <w:t xml:space="preserve">, </w:t>
            </w:r>
            <w:r w:rsidRPr="0075075A">
              <w:t>93.6)</w:t>
            </w:r>
          </w:p>
        </w:tc>
        <w:tc>
          <w:tcPr>
            <w:tcW w:w="409" w:type="dxa"/>
          </w:tcPr>
          <w:p w14:paraId="63C30526" w14:textId="77777777" w:rsidR="00B926FE" w:rsidRPr="0075075A" w:rsidRDefault="00B926FE" w:rsidP="000A2491">
            <w:pPr>
              <w:pStyle w:val="TableText"/>
              <w:jc w:val="right"/>
            </w:pPr>
            <w:r w:rsidRPr="0075075A">
              <w:t>40</w:t>
            </w:r>
          </w:p>
        </w:tc>
        <w:tc>
          <w:tcPr>
            <w:tcW w:w="966" w:type="dxa"/>
          </w:tcPr>
          <w:p w14:paraId="4BA98062" w14:textId="77777777" w:rsidR="00B926FE" w:rsidRPr="0075075A" w:rsidRDefault="00B926FE" w:rsidP="000A2491">
            <w:pPr>
              <w:pStyle w:val="TableText"/>
              <w:jc w:val="right"/>
            </w:pPr>
            <w:r w:rsidRPr="0075075A">
              <w:t>156</w:t>
            </w:r>
          </w:p>
        </w:tc>
        <w:tc>
          <w:tcPr>
            <w:tcW w:w="1089" w:type="dxa"/>
          </w:tcPr>
          <w:p w14:paraId="40AF19ED" w14:textId="77777777" w:rsidR="00B926FE" w:rsidRPr="0075075A" w:rsidRDefault="00B926FE" w:rsidP="000A2491">
            <w:pPr>
              <w:pStyle w:val="TableText"/>
              <w:jc w:val="right"/>
            </w:pPr>
            <w:r w:rsidRPr="0075075A">
              <w:t>8.1 (5.4</w:t>
            </w:r>
            <w:r>
              <w:t xml:space="preserve">, </w:t>
            </w:r>
            <w:r w:rsidRPr="0075075A">
              <w:t>12.0)</w:t>
            </w:r>
          </w:p>
        </w:tc>
      </w:tr>
      <w:tr w:rsidR="00B926FE" w:rsidRPr="003F7A38" w14:paraId="3C412D96"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5E0D638A" w14:textId="77777777" w:rsidR="00B926FE" w:rsidRPr="002E0D19" w:rsidRDefault="00B926FE" w:rsidP="000A2491">
            <w:pPr>
              <w:pStyle w:val="TableText"/>
              <w:rPr>
                <w:bCs/>
                <w:color w:val="000000" w:themeColor="text1"/>
              </w:rPr>
            </w:pPr>
            <w:r w:rsidRPr="002E0D19">
              <w:rPr>
                <w:bCs/>
                <w:color w:val="000000" w:themeColor="text1"/>
              </w:rPr>
              <w:t>48</w:t>
            </w:r>
            <w:r>
              <w:rPr>
                <w:bCs/>
                <w:color w:val="000000" w:themeColor="text1"/>
              </w:rPr>
              <w:t>–</w:t>
            </w:r>
            <w:r w:rsidRPr="002E0D19">
              <w:rPr>
                <w:bCs/>
                <w:color w:val="000000" w:themeColor="text1"/>
              </w:rPr>
              <w:t>57</w:t>
            </w:r>
          </w:p>
        </w:tc>
        <w:tc>
          <w:tcPr>
            <w:tcW w:w="485" w:type="dxa"/>
          </w:tcPr>
          <w:p w14:paraId="42B09F6A" w14:textId="77777777" w:rsidR="00B926FE" w:rsidRPr="0075075A" w:rsidRDefault="00B926FE" w:rsidP="000A2491">
            <w:pPr>
              <w:pStyle w:val="TableText"/>
              <w:jc w:val="right"/>
            </w:pPr>
            <w:r w:rsidRPr="0075075A">
              <w:t>120</w:t>
            </w:r>
          </w:p>
        </w:tc>
        <w:tc>
          <w:tcPr>
            <w:tcW w:w="966" w:type="dxa"/>
          </w:tcPr>
          <w:p w14:paraId="0CE09022" w14:textId="77777777" w:rsidR="00B926FE" w:rsidRPr="0075075A" w:rsidRDefault="00B926FE" w:rsidP="000A2491">
            <w:pPr>
              <w:pStyle w:val="TableText"/>
              <w:jc w:val="right"/>
            </w:pPr>
            <w:r w:rsidRPr="0075075A">
              <w:t>568</w:t>
            </w:r>
          </w:p>
        </w:tc>
        <w:tc>
          <w:tcPr>
            <w:tcW w:w="1148" w:type="dxa"/>
          </w:tcPr>
          <w:p w14:paraId="1E062E0A" w14:textId="77777777" w:rsidR="00B926FE" w:rsidRPr="0075075A" w:rsidRDefault="00B926FE" w:rsidP="000A2491">
            <w:pPr>
              <w:pStyle w:val="TableText"/>
              <w:jc w:val="right"/>
            </w:pPr>
            <w:r w:rsidRPr="0075075A">
              <w:t>89.9 (85.0</w:t>
            </w:r>
            <w:r>
              <w:t xml:space="preserve">, </w:t>
            </w:r>
            <w:r w:rsidRPr="0075075A">
              <w:t>93.4)</w:t>
            </w:r>
          </w:p>
        </w:tc>
        <w:tc>
          <w:tcPr>
            <w:tcW w:w="400" w:type="dxa"/>
          </w:tcPr>
          <w:p w14:paraId="6E20E642" w14:textId="77777777" w:rsidR="00B926FE" w:rsidRPr="0075075A" w:rsidRDefault="00B926FE" w:rsidP="000A2491">
            <w:pPr>
              <w:pStyle w:val="TableText"/>
              <w:jc w:val="right"/>
            </w:pPr>
            <w:r w:rsidRPr="0075075A">
              <w:t>14</w:t>
            </w:r>
          </w:p>
        </w:tc>
        <w:tc>
          <w:tcPr>
            <w:tcW w:w="944" w:type="dxa"/>
          </w:tcPr>
          <w:p w14:paraId="7F2E6DC1" w14:textId="77777777" w:rsidR="00B926FE" w:rsidRPr="0075075A" w:rsidRDefault="00B926FE" w:rsidP="000A2491">
            <w:pPr>
              <w:pStyle w:val="TableText"/>
              <w:jc w:val="right"/>
            </w:pPr>
            <w:r w:rsidRPr="0075075A">
              <w:t>52</w:t>
            </w:r>
          </w:p>
        </w:tc>
        <w:tc>
          <w:tcPr>
            <w:tcW w:w="1121" w:type="dxa"/>
          </w:tcPr>
          <w:p w14:paraId="33358804" w14:textId="77777777" w:rsidR="00B926FE" w:rsidRPr="0075075A" w:rsidRDefault="00B926FE" w:rsidP="000A2491">
            <w:pPr>
              <w:pStyle w:val="TableText"/>
              <w:jc w:val="right"/>
            </w:pPr>
            <w:r w:rsidRPr="0075075A">
              <w:t>8.2 (5.2</w:t>
            </w:r>
            <w:r>
              <w:t xml:space="preserve">, </w:t>
            </w:r>
            <w:r w:rsidRPr="0075075A">
              <w:t>12.7)</w:t>
            </w:r>
          </w:p>
        </w:tc>
        <w:tc>
          <w:tcPr>
            <w:tcW w:w="549" w:type="dxa"/>
          </w:tcPr>
          <w:p w14:paraId="27AFC185" w14:textId="77777777" w:rsidR="00B926FE" w:rsidRPr="0075075A" w:rsidRDefault="00B926FE" w:rsidP="000A2491">
            <w:pPr>
              <w:pStyle w:val="TableText"/>
              <w:jc w:val="right"/>
            </w:pPr>
            <w:r w:rsidRPr="0075075A">
              <w:t>241</w:t>
            </w:r>
          </w:p>
        </w:tc>
        <w:tc>
          <w:tcPr>
            <w:tcW w:w="945" w:type="dxa"/>
          </w:tcPr>
          <w:p w14:paraId="1C9FCA69" w14:textId="77777777" w:rsidR="00B926FE" w:rsidRPr="0075075A" w:rsidRDefault="00B926FE" w:rsidP="000A2491">
            <w:pPr>
              <w:pStyle w:val="TableText"/>
              <w:jc w:val="right"/>
            </w:pPr>
            <w:r w:rsidRPr="0075075A">
              <w:t>895</w:t>
            </w:r>
          </w:p>
        </w:tc>
        <w:tc>
          <w:tcPr>
            <w:tcW w:w="1121" w:type="dxa"/>
          </w:tcPr>
          <w:p w14:paraId="3924CF60" w14:textId="77777777" w:rsidR="00B926FE" w:rsidRPr="0075075A" w:rsidRDefault="00B926FE" w:rsidP="000A2491">
            <w:pPr>
              <w:pStyle w:val="TableText"/>
              <w:jc w:val="right"/>
            </w:pPr>
            <w:r w:rsidRPr="0075075A">
              <w:t>93.1 (89.2</w:t>
            </w:r>
            <w:r>
              <w:t xml:space="preserve">, </w:t>
            </w:r>
            <w:r w:rsidRPr="0075075A">
              <w:t>95.6)</w:t>
            </w:r>
          </w:p>
        </w:tc>
        <w:tc>
          <w:tcPr>
            <w:tcW w:w="409" w:type="dxa"/>
          </w:tcPr>
          <w:p w14:paraId="54345650" w14:textId="77777777" w:rsidR="00B926FE" w:rsidRPr="0075075A" w:rsidRDefault="00B926FE" w:rsidP="000A2491">
            <w:pPr>
              <w:pStyle w:val="TableText"/>
              <w:jc w:val="right"/>
            </w:pPr>
            <w:r w:rsidRPr="0075075A">
              <w:t>19</w:t>
            </w:r>
          </w:p>
        </w:tc>
        <w:tc>
          <w:tcPr>
            <w:tcW w:w="966" w:type="dxa"/>
          </w:tcPr>
          <w:p w14:paraId="76E01CFE" w14:textId="77777777" w:rsidR="00B926FE" w:rsidRPr="0075075A" w:rsidRDefault="00B926FE" w:rsidP="000A2491">
            <w:pPr>
              <w:pStyle w:val="TableText"/>
              <w:jc w:val="right"/>
            </w:pPr>
            <w:r w:rsidRPr="0075075A">
              <w:t>59</w:t>
            </w:r>
          </w:p>
        </w:tc>
        <w:tc>
          <w:tcPr>
            <w:tcW w:w="1089" w:type="dxa"/>
          </w:tcPr>
          <w:p w14:paraId="0EC525A0" w14:textId="77777777" w:rsidR="00B926FE" w:rsidRPr="0075075A" w:rsidRDefault="00B926FE" w:rsidP="000A2491">
            <w:pPr>
              <w:pStyle w:val="TableText"/>
              <w:jc w:val="right"/>
            </w:pPr>
            <w:r w:rsidRPr="0075075A">
              <w:t>6.1 (3.7</w:t>
            </w:r>
            <w:r>
              <w:t xml:space="preserve">, </w:t>
            </w:r>
            <w:r w:rsidRPr="0075075A">
              <w:t>10.0)</w:t>
            </w:r>
          </w:p>
        </w:tc>
      </w:tr>
      <w:tr w:rsidR="005C60DC" w:rsidRPr="003F7A38" w14:paraId="23E634BB" w14:textId="77777777" w:rsidTr="005C60DC">
        <w:trPr>
          <w:cantSplit/>
        </w:trPr>
        <w:tc>
          <w:tcPr>
            <w:tcW w:w="1363" w:type="dxa"/>
          </w:tcPr>
          <w:p w14:paraId="2B7EB1C1" w14:textId="77777777" w:rsidR="00B926FE" w:rsidRPr="002E0D19" w:rsidRDefault="00B926FE" w:rsidP="000A2491">
            <w:pPr>
              <w:pStyle w:val="TableText"/>
              <w:rPr>
                <w:bCs/>
                <w:color w:val="000000" w:themeColor="text1"/>
              </w:rPr>
            </w:pPr>
            <w:r w:rsidRPr="002E0D19">
              <w:rPr>
                <w:bCs/>
                <w:color w:val="000000" w:themeColor="text1"/>
              </w:rPr>
              <w:t>58+</w:t>
            </w:r>
          </w:p>
        </w:tc>
        <w:tc>
          <w:tcPr>
            <w:tcW w:w="485" w:type="dxa"/>
          </w:tcPr>
          <w:p w14:paraId="3675FFEC" w14:textId="77777777" w:rsidR="00B926FE" w:rsidRPr="0075075A" w:rsidRDefault="00B926FE" w:rsidP="000A2491">
            <w:pPr>
              <w:pStyle w:val="TableText"/>
              <w:jc w:val="right"/>
            </w:pPr>
            <w:r w:rsidRPr="0075075A">
              <w:t>62</w:t>
            </w:r>
          </w:p>
        </w:tc>
        <w:tc>
          <w:tcPr>
            <w:tcW w:w="966" w:type="dxa"/>
          </w:tcPr>
          <w:p w14:paraId="67E7CD29" w14:textId="77777777" w:rsidR="00B926FE" w:rsidRPr="0075075A" w:rsidRDefault="00B926FE" w:rsidP="000A2491">
            <w:pPr>
              <w:pStyle w:val="TableText"/>
              <w:jc w:val="right"/>
            </w:pPr>
            <w:r w:rsidRPr="0075075A">
              <w:t>264</w:t>
            </w:r>
          </w:p>
        </w:tc>
        <w:tc>
          <w:tcPr>
            <w:tcW w:w="1148" w:type="dxa"/>
          </w:tcPr>
          <w:p w14:paraId="42B68239" w14:textId="77777777" w:rsidR="00B926FE" w:rsidRPr="0075075A" w:rsidRDefault="00B926FE" w:rsidP="000A2491">
            <w:pPr>
              <w:pStyle w:val="TableText"/>
              <w:jc w:val="right"/>
            </w:pPr>
            <w:r w:rsidRPr="0075075A">
              <w:t>89.8 (82.0</w:t>
            </w:r>
            <w:r>
              <w:t xml:space="preserve">, </w:t>
            </w:r>
            <w:r w:rsidRPr="0075075A">
              <w:t>94.4)</w:t>
            </w:r>
          </w:p>
        </w:tc>
        <w:tc>
          <w:tcPr>
            <w:tcW w:w="400" w:type="dxa"/>
          </w:tcPr>
          <w:p w14:paraId="6EAEA6DC" w14:textId="77777777" w:rsidR="00B926FE" w:rsidRPr="0075075A" w:rsidRDefault="00B926FE" w:rsidP="000A2491">
            <w:pPr>
              <w:pStyle w:val="TableText"/>
              <w:jc w:val="right"/>
            </w:pPr>
            <w:r w:rsidRPr="0075075A">
              <w:t>5</w:t>
            </w:r>
          </w:p>
        </w:tc>
        <w:tc>
          <w:tcPr>
            <w:tcW w:w="944" w:type="dxa"/>
          </w:tcPr>
          <w:p w14:paraId="3D44442D" w14:textId="77777777" w:rsidR="00B926FE" w:rsidRPr="0075075A" w:rsidRDefault="00B926FE" w:rsidP="000A2491">
            <w:pPr>
              <w:pStyle w:val="TableText"/>
              <w:jc w:val="right"/>
            </w:pPr>
            <w:r w:rsidRPr="0075075A">
              <w:t>20</w:t>
            </w:r>
          </w:p>
        </w:tc>
        <w:tc>
          <w:tcPr>
            <w:tcW w:w="1121" w:type="dxa"/>
          </w:tcPr>
          <w:p w14:paraId="7EF84EBB" w14:textId="77777777" w:rsidR="00B926FE" w:rsidRPr="0075075A" w:rsidRDefault="00B926FE" w:rsidP="000A2491">
            <w:pPr>
              <w:pStyle w:val="TableText"/>
              <w:jc w:val="right"/>
            </w:pPr>
            <w:r w:rsidRPr="0075075A">
              <w:t>6.7 (3.1</w:t>
            </w:r>
            <w:r>
              <w:t xml:space="preserve">, </w:t>
            </w:r>
            <w:r w:rsidRPr="0075075A">
              <w:t>13.8)</w:t>
            </w:r>
          </w:p>
        </w:tc>
        <w:tc>
          <w:tcPr>
            <w:tcW w:w="549" w:type="dxa"/>
          </w:tcPr>
          <w:p w14:paraId="16F15AB7" w14:textId="77777777" w:rsidR="00B926FE" w:rsidRPr="0075075A" w:rsidRDefault="00B926FE" w:rsidP="000A2491">
            <w:pPr>
              <w:pStyle w:val="TableText"/>
              <w:jc w:val="right"/>
            </w:pPr>
            <w:r w:rsidRPr="0075075A">
              <w:t>18</w:t>
            </w:r>
          </w:p>
        </w:tc>
        <w:tc>
          <w:tcPr>
            <w:tcW w:w="945" w:type="dxa"/>
          </w:tcPr>
          <w:p w14:paraId="4431DED8" w14:textId="77777777" w:rsidR="00B926FE" w:rsidRPr="0075075A" w:rsidRDefault="00B926FE" w:rsidP="000A2491">
            <w:pPr>
              <w:pStyle w:val="TableText"/>
              <w:jc w:val="right"/>
            </w:pPr>
            <w:r w:rsidRPr="0075075A">
              <w:t>64</w:t>
            </w:r>
          </w:p>
        </w:tc>
        <w:tc>
          <w:tcPr>
            <w:tcW w:w="1121" w:type="dxa"/>
          </w:tcPr>
          <w:p w14:paraId="483EDF6E" w14:textId="77777777" w:rsidR="00B926FE" w:rsidRPr="0075075A" w:rsidRDefault="00B926FE" w:rsidP="000A2491">
            <w:pPr>
              <w:pStyle w:val="TableText"/>
              <w:jc w:val="right"/>
            </w:pPr>
            <w:r w:rsidRPr="0075075A">
              <w:t>77.1 (47.8</w:t>
            </w:r>
            <w:r>
              <w:t xml:space="preserve">, </w:t>
            </w:r>
            <w:r w:rsidRPr="0075075A">
              <w:t>92.5)</w:t>
            </w:r>
          </w:p>
        </w:tc>
        <w:tc>
          <w:tcPr>
            <w:tcW w:w="409" w:type="dxa"/>
          </w:tcPr>
          <w:p w14:paraId="2F0E6C6F" w14:textId="77777777" w:rsidR="00B926FE" w:rsidRPr="0075075A" w:rsidRDefault="00B926FE" w:rsidP="000A2491">
            <w:pPr>
              <w:pStyle w:val="TableText"/>
              <w:jc w:val="right"/>
            </w:pPr>
            <w:r w:rsidRPr="00E603D7">
              <w:t>#</w:t>
            </w:r>
          </w:p>
        </w:tc>
        <w:tc>
          <w:tcPr>
            <w:tcW w:w="966" w:type="dxa"/>
          </w:tcPr>
          <w:p w14:paraId="5762A043" w14:textId="77777777" w:rsidR="00B926FE" w:rsidRPr="0075075A" w:rsidRDefault="00B926FE" w:rsidP="000A2491">
            <w:pPr>
              <w:pStyle w:val="TableText"/>
              <w:jc w:val="right"/>
            </w:pPr>
            <w:r>
              <w:t>–</w:t>
            </w:r>
          </w:p>
        </w:tc>
        <w:tc>
          <w:tcPr>
            <w:tcW w:w="1089" w:type="dxa"/>
          </w:tcPr>
          <w:p w14:paraId="7DAAFE2E" w14:textId="77777777" w:rsidR="00B926FE" w:rsidRPr="0075075A" w:rsidRDefault="00B926FE" w:rsidP="000A2491">
            <w:pPr>
              <w:pStyle w:val="TableText"/>
              <w:jc w:val="right"/>
            </w:pPr>
            <w:r>
              <w:t>–</w:t>
            </w:r>
          </w:p>
        </w:tc>
      </w:tr>
      <w:tr w:rsidR="00B926FE" w:rsidRPr="003F7A38" w14:paraId="1343B872"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5181B3E3" w14:textId="77777777" w:rsidR="00B926FE" w:rsidRPr="002E0D19" w:rsidRDefault="00B926FE" w:rsidP="000A2491">
            <w:pPr>
              <w:pStyle w:val="TableText"/>
              <w:rPr>
                <w:b/>
                <w:bCs/>
                <w:color w:val="000000" w:themeColor="text1"/>
              </w:rPr>
            </w:pPr>
            <w:r w:rsidRPr="002E0D19">
              <w:rPr>
                <w:b/>
                <w:bCs/>
                <w:color w:val="000000" w:themeColor="text1"/>
              </w:rPr>
              <w:t>Sex and Age (yrs)</w:t>
            </w:r>
          </w:p>
        </w:tc>
        <w:tc>
          <w:tcPr>
            <w:tcW w:w="485" w:type="dxa"/>
          </w:tcPr>
          <w:p w14:paraId="77DEF004" w14:textId="77777777" w:rsidR="00B926FE" w:rsidRPr="0075075A" w:rsidRDefault="00B926FE" w:rsidP="000A2491">
            <w:pPr>
              <w:pStyle w:val="TableText"/>
              <w:jc w:val="right"/>
            </w:pPr>
          </w:p>
        </w:tc>
        <w:tc>
          <w:tcPr>
            <w:tcW w:w="966" w:type="dxa"/>
          </w:tcPr>
          <w:p w14:paraId="3EAAC084" w14:textId="77777777" w:rsidR="00B926FE" w:rsidRPr="0075075A" w:rsidRDefault="00B926FE" w:rsidP="000A2491">
            <w:pPr>
              <w:pStyle w:val="TableText"/>
              <w:jc w:val="right"/>
            </w:pPr>
          </w:p>
        </w:tc>
        <w:tc>
          <w:tcPr>
            <w:tcW w:w="1148" w:type="dxa"/>
          </w:tcPr>
          <w:p w14:paraId="37A8538E" w14:textId="77777777" w:rsidR="00B926FE" w:rsidRPr="0075075A" w:rsidRDefault="00B926FE" w:rsidP="000A2491">
            <w:pPr>
              <w:pStyle w:val="TableText"/>
              <w:jc w:val="right"/>
            </w:pPr>
          </w:p>
        </w:tc>
        <w:tc>
          <w:tcPr>
            <w:tcW w:w="400" w:type="dxa"/>
          </w:tcPr>
          <w:p w14:paraId="4F9A52FD" w14:textId="77777777" w:rsidR="00B926FE" w:rsidRPr="0075075A" w:rsidRDefault="00B926FE" w:rsidP="000A2491">
            <w:pPr>
              <w:pStyle w:val="TableText"/>
              <w:jc w:val="right"/>
            </w:pPr>
          </w:p>
        </w:tc>
        <w:tc>
          <w:tcPr>
            <w:tcW w:w="944" w:type="dxa"/>
          </w:tcPr>
          <w:p w14:paraId="6E6E9D08" w14:textId="77777777" w:rsidR="00B926FE" w:rsidRPr="0075075A" w:rsidRDefault="00B926FE" w:rsidP="000A2491">
            <w:pPr>
              <w:pStyle w:val="TableText"/>
              <w:jc w:val="right"/>
            </w:pPr>
          </w:p>
        </w:tc>
        <w:tc>
          <w:tcPr>
            <w:tcW w:w="1121" w:type="dxa"/>
          </w:tcPr>
          <w:p w14:paraId="248B360B" w14:textId="77777777" w:rsidR="00B926FE" w:rsidRPr="0075075A" w:rsidRDefault="00B926FE" w:rsidP="000A2491">
            <w:pPr>
              <w:pStyle w:val="TableText"/>
              <w:jc w:val="right"/>
            </w:pPr>
          </w:p>
        </w:tc>
        <w:tc>
          <w:tcPr>
            <w:tcW w:w="549" w:type="dxa"/>
          </w:tcPr>
          <w:p w14:paraId="0BA4FA79" w14:textId="77777777" w:rsidR="00B926FE" w:rsidRPr="0075075A" w:rsidRDefault="00B926FE" w:rsidP="000A2491">
            <w:pPr>
              <w:pStyle w:val="TableText"/>
              <w:jc w:val="right"/>
            </w:pPr>
          </w:p>
        </w:tc>
        <w:tc>
          <w:tcPr>
            <w:tcW w:w="945" w:type="dxa"/>
          </w:tcPr>
          <w:p w14:paraId="5329A974" w14:textId="77777777" w:rsidR="00B926FE" w:rsidRPr="0075075A" w:rsidRDefault="00B926FE" w:rsidP="000A2491">
            <w:pPr>
              <w:pStyle w:val="TableText"/>
              <w:jc w:val="right"/>
            </w:pPr>
          </w:p>
        </w:tc>
        <w:tc>
          <w:tcPr>
            <w:tcW w:w="1121" w:type="dxa"/>
          </w:tcPr>
          <w:p w14:paraId="0056BB82" w14:textId="77777777" w:rsidR="00B926FE" w:rsidRPr="0075075A" w:rsidRDefault="00B926FE" w:rsidP="000A2491">
            <w:pPr>
              <w:pStyle w:val="TableText"/>
              <w:jc w:val="right"/>
            </w:pPr>
          </w:p>
        </w:tc>
        <w:tc>
          <w:tcPr>
            <w:tcW w:w="409" w:type="dxa"/>
          </w:tcPr>
          <w:p w14:paraId="1A642114" w14:textId="77777777" w:rsidR="00B926FE" w:rsidRPr="0075075A" w:rsidRDefault="00B926FE" w:rsidP="000A2491">
            <w:pPr>
              <w:pStyle w:val="TableText"/>
              <w:jc w:val="right"/>
            </w:pPr>
          </w:p>
        </w:tc>
        <w:tc>
          <w:tcPr>
            <w:tcW w:w="966" w:type="dxa"/>
          </w:tcPr>
          <w:p w14:paraId="0E55AE3F" w14:textId="77777777" w:rsidR="00B926FE" w:rsidRPr="0075075A" w:rsidRDefault="00B926FE" w:rsidP="000A2491">
            <w:pPr>
              <w:pStyle w:val="TableText"/>
              <w:jc w:val="right"/>
            </w:pPr>
          </w:p>
        </w:tc>
        <w:tc>
          <w:tcPr>
            <w:tcW w:w="1089" w:type="dxa"/>
          </w:tcPr>
          <w:p w14:paraId="080A6EA7" w14:textId="77777777" w:rsidR="00B926FE" w:rsidRPr="0075075A" w:rsidRDefault="00B926FE" w:rsidP="000A2491">
            <w:pPr>
              <w:pStyle w:val="TableText"/>
              <w:jc w:val="right"/>
            </w:pPr>
          </w:p>
        </w:tc>
      </w:tr>
      <w:tr w:rsidR="005C60DC" w:rsidRPr="003F7A38" w14:paraId="66E16E93" w14:textId="77777777" w:rsidTr="005C60DC">
        <w:trPr>
          <w:cantSplit/>
        </w:trPr>
        <w:tc>
          <w:tcPr>
            <w:tcW w:w="1363" w:type="dxa"/>
          </w:tcPr>
          <w:p w14:paraId="2807A6CB" w14:textId="77777777" w:rsidR="00B926FE" w:rsidRPr="002E0D19" w:rsidRDefault="00B926FE" w:rsidP="000A2491">
            <w:pPr>
              <w:pStyle w:val="TableText"/>
              <w:rPr>
                <w:bCs/>
                <w:color w:val="000000" w:themeColor="text1"/>
              </w:rPr>
            </w:pPr>
            <w:r w:rsidRPr="002E0D19">
              <w:rPr>
                <w:bCs/>
                <w:color w:val="000000" w:themeColor="text1"/>
              </w:rPr>
              <w:t>Male 18</w:t>
            </w:r>
            <w:r>
              <w:rPr>
                <w:bCs/>
                <w:color w:val="000000" w:themeColor="text1"/>
              </w:rPr>
              <w:t>–</w:t>
            </w:r>
            <w:r w:rsidRPr="002E0D19">
              <w:rPr>
                <w:bCs/>
                <w:color w:val="000000" w:themeColor="text1"/>
              </w:rPr>
              <w:t>37</w:t>
            </w:r>
          </w:p>
        </w:tc>
        <w:tc>
          <w:tcPr>
            <w:tcW w:w="485" w:type="dxa"/>
          </w:tcPr>
          <w:p w14:paraId="48967A51" w14:textId="77777777" w:rsidR="00B926FE" w:rsidRPr="0075075A" w:rsidRDefault="00B926FE" w:rsidP="000A2491">
            <w:pPr>
              <w:pStyle w:val="TableText"/>
              <w:jc w:val="right"/>
            </w:pPr>
            <w:r w:rsidRPr="0075075A">
              <w:t>219</w:t>
            </w:r>
          </w:p>
        </w:tc>
        <w:tc>
          <w:tcPr>
            <w:tcW w:w="966" w:type="dxa"/>
          </w:tcPr>
          <w:p w14:paraId="4FDF46CC" w14:textId="77777777" w:rsidR="00B926FE" w:rsidRPr="0075075A" w:rsidRDefault="00B926FE" w:rsidP="000A2491">
            <w:pPr>
              <w:pStyle w:val="TableText"/>
              <w:jc w:val="right"/>
            </w:pPr>
            <w:r w:rsidRPr="0075075A">
              <w:t>2426</w:t>
            </w:r>
          </w:p>
        </w:tc>
        <w:tc>
          <w:tcPr>
            <w:tcW w:w="1148" w:type="dxa"/>
          </w:tcPr>
          <w:p w14:paraId="43ABE3FD" w14:textId="77777777" w:rsidR="00B926FE" w:rsidRPr="0075075A" w:rsidRDefault="00B926FE" w:rsidP="000A2491">
            <w:pPr>
              <w:pStyle w:val="TableText"/>
              <w:jc w:val="right"/>
            </w:pPr>
            <w:r w:rsidRPr="0075075A">
              <w:t>84.4 (78.4</w:t>
            </w:r>
            <w:r>
              <w:t xml:space="preserve">, </w:t>
            </w:r>
            <w:r w:rsidRPr="0075075A">
              <w:t>88.9)</w:t>
            </w:r>
          </w:p>
        </w:tc>
        <w:tc>
          <w:tcPr>
            <w:tcW w:w="400" w:type="dxa"/>
          </w:tcPr>
          <w:p w14:paraId="34563F9F" w14:textId="77777777" w:rsidR="00B926FE" w:rsidRPr="0075075A" w:rsidRDefault="00B926FE" w:rsidP="000A2491">
            <w:pPr>
              <w:pStyle w:val="TableText"/>
              <w:jc w:val="right"/>
            </w:pPr>
            <w:r w:rsidRPr="0075075A">
              <w:t>35</w:t>
            </w:r>
          </w:p>
        </w:tc>
        <w:tc>
          <w:tcPr>
            <w:tcW w:w="944" w:type="dxa"/>
          </w:tcPr>
          <w:p w14:paraId="6BD38103" w14:textId="77777777" w:rsidR="00B926FE" w:rsidRPr="0075075A" w:rsidRDefault="00B926FE" w:rsidP="000A2491">
            <w:pPr>
              <w:pStyle w:val="TableText"/>
              <w:jc w:val="right"/>
            </w:pPr>
            <w:r w:rsidRPr="0075075A">
              <w:t>355</w:t>
            </w:r>
          </w:p>
        </w:tc>
        <w:tc>
          <w:tcPr>
            <w:tcW w:w="1121" w:type="dxa"/>
          </w:tcPr>
          <w:p w14:paraId="2C095085" w14:textId="77777777" w:rsidR="00B926FE" w:rsidRPr="0075075A" w:rsidRDefault="00B926FE" w:rsidP="000A2491">
            <w:pPr>
              <w:pStyle w:val="TableText"/>
              <w:jc w:val="right"/>
            </w:pPr>
            <w:r w:rsidRPr="0075075A">
              <w:t>12.4 (8.5</w:t>
            </w:r>
            <w:r>
              <w:t xml:space="preserve">, </w:t>
            </w:r>
            <w:r w:rsidRPr="0075075A">
              <w:t>17.7)</w:t>
            </w:r>
          </w:p>
        </w:tc>
        <w:tc>
          <w:tcPr>
            <w:tcW w:w="549" w:type="dxa"/>
          </w:tcPr>
          <w:p w14:paraId="7C62BEAD" w14:textId="77777777" w:rsidR="00B926FE" w:rsidRPr="0075075A" w:rsidRDefault="00B926FE" w:rsidP="000A2491">
            <w:pPr>
              <w:pStyle w:val="TableText"/>
              <w:jc w:val="right"/>
            </w:pPr>
            <w:r w:rsidRPr="0075075A">
              <w:t>330</w:t>
            </w:r>
          </w:p>
        </w:tc>
        <w:tc>
          <w:tcPr>
            <w:tcW w:w="945" w:type="dxa"/>
          </w:tcPr>
          <w:p w14:paraId="7339F42C" w14:textId="77777777" w:rsidR="00B926FE" w:rsidRPr="0075075A" w:rsidRDefault="00B926FE" w:rsidP="000A2491">
            <w:pPr>
              <w:pStyle w:val="TableText"/>
              <w:jc w:val="right"/>
            </w:pPr>
            <w:r w:rsidRPr="0075075A">
              <w:t>4529</w:t>
            </w:r>
          </w:p>
        </w:tc>
        <w:tc>
          <w:tcPr>
            <w:tcW w:w="1121" w:type="dxa"/>
          </w:tcPr>
          <w:p w14:paraId="1159299C" w14:textId="77777777" w:rsidR="00B926FE" w:rsidRPr="0075075A" w:rsidRDefault="00B926FE" w:rsidP="000A2491">
            <w:pPr>
              <w:pStyle w:val="TableText"/>
              <w:jc w:val="right"/>
            </w:pPr>
            <w:r w:rsidRPr="0075075A">
              <w:t>91.2 (78.7</w:t>
            </w:r>
            <w:r>
              <w:t xml:space="preserve">, </w:t>
            </w:r>
            <w:r w:rsidRPr="0075075A">
              <w:t>96.7)</w:t>
            </w:r>
          </w:p>
        </w:tc>
        <w:tc>
          <w:tcPr>
            <w:tcW w:w="409" w:type="dxa"/>
          </w:tcPr>
          <w:p w14:paraId="249DEF42" w14:textId="77777777" w:rsidR="00B926FE" w:rsidRPr="0075075A" w:rsidRDefault="00B926FE" w:rsidP="000A2491">
            <w:pPr>
              <w:pStyle w:val="TableText"/>
              <w:jc w:val="right"/>
            </w:pPr>
            <w:r w:rsidRPr="0075075A">
              <w:t>31</w:t>
            </w:r>
          </w:p>
        </w:tc>
        <w:tc>
          <w:tcPr>
            <w:tcW w:w="966" w:type="dxa"/>
          </w:tcPr>
          <w:p w14:paraId="59F0898C" w14:textId="77777777" w:rsidR="00B926FE" w:rsidRPr="0075075A" w:rsidRDefault="00B926FE" w:rsidP="000A2491">
            <w:pPr>
              <w:pStyle w:val="TableText"/>
              <w:jc w:val="right"/>
            </w:pPr>
            <w:r w:rsidRPr="0075075A">
              <w:t>397</w:t>
            </w:r>
          </w:p>
        </w:tc>
        <w:tc>
          <w:tcPr>
            <w:tcW w:w="1089" w:type="dxa"/>
          </w:tcPr>
          <w:p w14:paraId="7BD9A024" w14:textId="77777777" w:rsidR="00B926FE" w:rsidRPr="0075075A" w:rsidRDefault="00B926FE" w:rsidP="000A2491">
            <w:pPr>
              <w:pStyle w:val="TableText"/>
              <w:jc w:val="right"/>
            </w:pPr>
            <w:r w:rsidRPr="0075075A">
              <w:t>8.0 (2.8</w:t>
            </w:r>
            <w:r>
              <w:t xml:space="preserve">, </w:t>
            </w:r>
            <w:r w:rsidRPr="0075075A">
              <w:t>20.9)</w:t>
            </w:r>
          </w:p>
        </w:tc>
      </w:tr>
      <w:tr w:rsidR="00B926FE" w:rsidRPr="003F7A38" w14:paraId="0D6B42F9"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715BF403" w14:textId="77777777" w:rsidR="00B926FE" w:rsidRPr="002E0D19" w:rsidRDefault="00B926FE" w:rsidP="000A2491">
            <w:pPr>
              <w:pStyle w:val="TableText"/>
              <w:rPr>
                <w:bCs/>
                <w:color w:val="000000" w:themeColor="text1"/>
              </w:rPr>
            </w:pPr>
            <w:r w:rsidRPr="002E0D19">
              <w:rPr>
                <w:bCs/>
                <w:color w:val="000000" w:themeColor="text1"/>
              </w:rPr>
              <w:t>Male 38+</w:t>
            </w:r>
          </w:p>
        </w:tc>
        <w:tc>
          <w:tcPr>
            <w:tcW w:w="485" w:type="dxa"/>
          </w:tcPr>
          <w:p w14:paraId="6FAD0588" w14:textId="77777777" w:rsidR="00B926FE" w:rsidRPr="0075075A" w:rsidRDefault="00B926FE" w:rsidP="000A2491">
            <w:pPr>
              <w:pStyle w:val="TableText"/>
              <w:jc w:val="right"/>
            </w:pPr>
            <w:r w:rsidRPr="0075075A">
              <w:t>339</w:t>
            </w:r>
          </w:p>
        </w:tc>
        <w:tc>
          <w:tcPr>
            <w:tcW w:w="966" w:type="dxa"/>
          </w:tcPr>
          <w:p w14:paraId="5BBA28B7" w14:textId="77777777" w:rsidR="00B926FE" w:rsidRPr="0075075A" w:rsidRDefault="00B926FE" w:rsidP="000A2491">
            <w:pPr>
              <w:pStyle w:val="TableText"/>
              <w:jc w:val="right"/>
            </w:pPr>
            <w:r w:rsidRPr="0075075A">
              <w:t>1757</w:t>
            </w:r>
          </w:p>
        </w:tc>
        <w:tc>
          <w:tcPr>
            <w:tcW w:w="1148" w:type="dxa"/>
          </w:tcPr>
          <w:p w14:paraId="0FB8ED7E" w14:textId="77777777" w:rsidR="00B926FE" w:rsidRPr="0075075A" w:rsidRDefault="00B926FE" w:rsidP="000A2491">
            <w:pPr>
              <w:pStyle w:val="TableText"/>
              <w:jc w:val="right"/>
            </w:pPr>
            <w:r w:rsidRPr="0075075A">
              <w:t>86.2 (81.9</w:t>
            </w:r>
            <w:r>
              <w:t xml:space="preserve">, </w:t>
            </w:r>
            <w:r w:rsidRPr="0075075A">
              <w:t>89.6)</w:t>
            </w:r>
          </w:p>
        </w:tc>
        <w:tc>
          <w:tcPr>
            <w:tcW w:w="400" w:type="dxa"/>
          </w:tcPr>
          <w:p w14:paraId="447BBBA9" w14:textId="77777777" w:rsidR="00B926FE" w:rsidRPr="0075075A" w:rsidRDefault="00B926FE" w:rsidP="000A2491">
            <w:pPr>
              <w:pStyle w:val="TableText"/>
              <w:jc w:val="right"/>
            </w:pPr>
            <w:r w:rsidRPr="0075075A">
              <w:t>49</w:t>
            </w:r>
          </w:p>
        </w:tc>
        <w:tc>
          <w:tcPr>
            <w:tcW w:w="944" w:type="dxa"/>
          </w:tcPr>
          <w:p w14:paraId="59DB27C5" w14:textId="77777777" w:rsidR="00B926FE" w:rsidRPr="0075075A" w:rsidRDefault="00B926FE" w:rsidP="000A2491">
            <w:pPr>
              <w:pStyle w:val="TableText"/>
              <w:jc w:val="right"/>
            </w:pPr>
            <w:r w:rsidRPr="0075075A">
              <w:t>224</w:t>
            </w:r>
          </w:p>
        </w:tc>
        <w:tc>
          <w:tcPr>
            <w:tcW w:w="1121" w:type="dxa"/>
          </w:tcPr>
          <w:p w14:paraId="4791A78D" w14:textId="77777777" w:rsidR="00B926FE" w:rsidRPr="0075075A" w:rsidRDefault="00B926FE" w:rsidP="000A2491">
            <w:pPr>
              <w:pStyle w:val="TableText"/>
              <w:jc w:val="right"/>
            </w:pPr>
            <w:r w:rsidRPr="0075075A">
              <w:t>11.0 (8.3</w:t>
            </w:r>
            <w:r>
              <w:t xml:space="preserve">, </w:t>
            </w:r>
            <w:r w:rsidRPr="0075075A">
              <w:t>14.5)</w:t>
            </w:r>
          </w:p>
        </w:tc>
        <w:tc>
          <w:tcPr>
            <w:tcW w:w="549" w:type="dxa"/>
          </w:tcPr>
          <w:p w14:paraId="39D5B725" w14:textId="77777777" w:rsidR="00B926FE" w:rsidRPr="0075075A" w:rsidRDefault="00B926FE" w:rsidP="000A2491">
            <w:pPr>
              <w:pStyle w:val="TableText"/>
              <w:jc w:val="right"/>
            </w:pPr>
            <w:r w:rsidRPr="0075075A">
              <w:t>561</w:t>
            </w:r>
          </w:p>
        </w:tc>
        <w:tc>
          <w:tcPr>
            <w:tcW w:w="945" w:type="dxa"/>
          </w:tcPr>
          <w:p w14:paraId="56DFE7FF" w14:textId="77777777" w:rsidR="00B926FE" w:rsidRPr="0075075A" w:rsidRDefault="00B926FE" w:rsidP="000A2491">
            <w:pPr>
              <w:pStyle w:val="TableText"/>
              <w:jc w:val="right"/>
            </w:pPr>
            <w:r w:rsidRPr="0075075A">
              <w:t>2265</w:t>
            </w:r>
          </w:p>
        </w:tc>
        <w:tc>
          <w:tcPr>
            <w:tcW w:w="1121" w:type="dxa"/>
          </w:tcPr>
          <w:p w14:paraId="66D40E81" w14:textId="77777777" w:rsidR="00B926FE" w:rsidRPr="0075075A" w:rsidRDefault="00B926FE" w:rsidP="000A2491">
            <w:pPr>
              <w:pStyle w:val="TableText"/>
              <w:jc w:val="right"/>
            </w:pPr>
            <w:r w:rsidRPr="0075075A">
              <w:t>90.5 (87.0</w:t>
            </w:r>
            <w:r>
              <w:t xml:space="preserve">, </w:t>
            </w:r>
            <w:r w:rsidRPr="0075075A">
              <w:t>93.1)</w:t>
            </w:r>
          </w:p>
        </w:tc>
        <w:tc>
          <w:tcPr>
            <w:tcW w:w="409" w:type="dxa"/>
          </w:tcPr>
          <w:p w14:paraId="703D6824" w14:textId="77777777" w:rsidR="00B926FE" w:rsidRPr="0075075A" w:rsidRDefault="00B926FE" w:rsidP="000A2491">
            <w:pPr>
              <w:pStyle w:val="TableText"/>
              <w:jc w:val="right"/>
            </w:pPr>
            <w:r w:rsidRPr="0075075A">
              <w:t>54</w:t>
            </w:r>
          </w:p>
        </w:tc>
        <w:tc>
          <w:tcPr>
            <w:tcW w:w="966" w:type="dxa"/>
          </w:tcPr>
          <w:p w14:paraId="7ED121E3" w14:textId="77777777" w:rsidR="00B926FE" w:rsidRPr="0075075A" w:rsidRDefault="00B926FE" w:rsidP="000A2491">
            <w:pPr>
              <w:pStyle w:val="TableText"/>
              <w:jc w:val="right"/>
            </w:pPr>
            <w:r w:rsidRPr="0075075A">
              <w:t>201</w:t>
            </w:r>
          </w:p>
        </w:tc>
        <w:tc>
          <w:tcPr>
            <w:tcW w:w="1089" w:type="dxa"/>
          </w:tcPr>
          <w:p w14:paraId="380E0890" w14:textId="77777777" w:rsidR="00B926FE" w:rsidRPr="0075075A" w:rsidRDefault="00B926FE" w:rsidP="000A2491">
            <w:pPr>
              <w:pStyle w:val="TableText"/>
              <w:jc w:val="right"/>
            </w:pPr>
            <w:r w:rsidRPr="0075075A">
              <w:t>8.0 (5.7</w:t>
            </w:r>
            <w:r>
              <w:t xml:space="preserve">, </w:t>
            </w:r>
            <w:r w:rsidRPr="0075075A">
              <w:t>11.2)</w:t>
            </w:r>
          </w:p>
        </w:tc>
      </w:tr>
      <w:tr w:rsidR="005C60DC" w:rsidRPr="003F7A38" w14:paraId="3E52FCD5" w14:textId="77777777" w:rsidTr="005C60DC">
        <w:trPr>
          <w:cantSplit/>
        </w:trPr>
        <w:tc>
          <w:tcPr>
            <w:tcW w:w="1363" w:type="dxa"/>
          </w:tcPr>
          <w:p w14:paraId="66F508F2" w14:textId="77777777" w:rsidR="00B926FE" w:rsidRPr="002E0D19" w:rsidRDefault="00B926FE" w:rsidP="000A2491">
            <w:pPr>
              <w:pStyle w:val="TableText"/>
              <w:rPr>
                <w:bCs/>
                <w:color w:val="000000" w:themeColor="text1"/>
              </w:rPr>
            </w:pPr>
            <w:r w:rsidRPr="002E0D19">
              <w:rPr>
                <w:bCs/>
                <w:color w:val="000000" w:themeColor="text1"/>
              </w:rPr>
              <w:t>Female 18</w:t>
            </w:r>
            <w:r>
              <w:rPr>
                <w:bCs/>
                <w:color w:val="000000" w:themeColor="text1"/>
              </w:rPr>
              <w:t>–</w:t>
            </w:r>
            <w:r w:rsidRPr="002E0D19">
              <w:rPr>
                <w:bCs/>
                <w:color w:val="000000" w:themeColor="text1"/>
              </w:rPr>
              <w:t>37</w:t>
            </w:r>
          </w:p>
        </w:tc>
        <w:tc>
          <w:tcPr>
            <w:tcW w:w="485" w:type="dxa"/>
          </w:tcPr>
          <w:p w14:paraId="6165187C" w14:textId="77777777" w:rsidR="00B926FE" w:rsidRPr="0075075A" w:rsidRDefault="00B926FE" w:rsidP="000A2491">
            <w:pPr>
              <w:pStyle w:val="TableText"/>
              <w:jc w:val="right"/>
            </w:pPr>
            <w:r w:rsidRPr="0075075A">
              <w:t>98</w:t>
            </w:r>
          </w:p>
        </w:tc>
        <w:tc>
          <w:tcPr>
            <w:tcW w:w="966" w:type="dxa"/>
          </w:tcPr>
          <w:p w14:paraId="7E692E73" w14:textId="77777777" w:rsidR="00B926FE" w:rsidRPr="0075075A" w:rsidRDefault="00B926FE" w:rsidP="000A2491">
            <w:pPr>
              <w:pStyle w:val="TableText"/>
              <w:jc w:val="right"/>
            </w:pPr>
            <w:r w:rsidRPr="0075075A">
              <w:t>643</w:t>
            </w:r>
          </w:p>
        </w:tc>
        <w:tc>
          <w:tcPr>
            <w:tcW w:w="1148" w:type="dxa"/>
          </w:tcPr>
          <w:p w14:paraId="2427F714" w14:textId="77777777" w:rsidR="00B926FE" w:rsidRPr="0075075A" w:rsidRDefault="00B926FE" w:rsidP="000A2491">
            <w:pPr>
              <w:pStyle w:val="TableText"/>
              <w:jc w:val="right"/>
            </w:pPr>
            <w:r w:rsidRPr="0075075A">
              <w:t>83.4 (73.9</w:t>
            </w:r>
            <w:r>
              <w:t xml:space="preserve">, </w:t>
            </w:r>
            <w:r w:rsidRPr="0075075A">
              <w:t>89.9)</w:t>
            </w:r>
          </w:p>
        </w:tc>
        <w:tc>
          <w:tcPr>
            <w:tcW w:w="400" w:type="dxa"/>
          </w:tcPr>
          <w:p w14:paraId="2C3E7323" w14:textId="77777777" w:rsidR="00B926FE" w:rsidRPr="0075075A" w:rsidRDefault="00B926FE" w:rsidP="000A2491">
            <w:pPr>
              <w:pStyle w:val="TableText"/>
              <w:jc w:val="right"/>
            </w:pPr>
            <w:r w:rsidRPr="0075075A">
              <w:t>18</w:t>
            </w:r>
          </w:p>
        </w:tc>
        <w:tc>
          <w:tcPr>
            <w:tcW w:w="944" w:type="dxa"/>
          </w:tcPr>
          <w:p w14:paraId="72D3DA62" w14:textId="77777777" w:rsidR="00B926FE" w:rsidRPr="0075075A" w:rsidRDefault="00B926FE" w:rsidP="000A2491">
            <w:pPr>
              <w:pStyle w:val="TableText"/>
              <w:jc w:val="right"/>
            </w:pPr>
            <w:r w:rsidRPr="0075075A">
              <w:t>128</w:t>
            </w:r>
          </w:p>
        </w:tc>
        <w:tc>
          <w:tcPr>
            <w:tcW w:w="1121" w:type="dxa"/>
          </w:tcPr>
          <w:p w14:paraId="446DC52E" w14:textId="77777777" w:rsidR="00B926FE" w:rsidRPr="0075075A" w:rsidRDefault="00B926FE" w:rsidP="000A2491">
            <w:pPr>
              <w:pStyle w:val="TableText"/>
              <w:jc w:val="right"/>
            </w:pPr>
            <w:r w:rsidRPr="0075075A">
              <w:t>16.6 (10.1</w:t>
            </w:r>
            <w:r>
              <w:t xml:space="preserve">, </w:t>
            </w:r>
            <w:r w:rsidRPr="0075075A">
              <w:t>26.1)</w:t>
            </w:r>
          </w:p>
        </w:tc>
        <w:tc>
          <w:tcPr>
            <w:tcW w:w="549" w:type="dxa"/>
          </w:tcPr>
          <w:p w14:paraId="42325EFC" w14:textId="77777777" w:rsidR="00B926FE" w:rsidRPr="0075075A" w:rsidRDefault="00B926FE" w:rsidP="000A2491">
            <w:pPr>
              <w:pStyle w:val="TableText"/>
              <w:jc w:val="right"/>
            </w:pPr>
            <w:r w:rsidRPr="0075075A">
              <w:t>232</w:t>
            </w:r>
          </w:p>
        </w:tc>
        <w:tc>
          <w:tcPr>
            <w:tcW w:w="945" w:type="dxa"/>
          </w:tcPr>
          <w:p w14:paraId="2172CB41" w14:textId="77777777" w:rsidR="00B926FE" w:rsidRPr="0075075A" w:rsidRDefault="00B926FE" w:rsidP="000A2491">
            <w:pPr>
              <w:pStyle w:val="TableText"/>
              <w:jc w:val="right"/>
            </w:pPr>
            <w:r w:rsidRPr="0075075A">
              <w:t>789</w:t>
            </w:r>
          </w:p>
        </w:tc>
        <w:tc>
          <w:tcPr>
            <w:tcW w:w="1121" w:type="dxa"/>
          </w:tcPr>
          <w:p w14:paraId="4BEC510F" w14:textId="77777777" w:rsidR="00B926FE" w:rsidRPr="0075075A" w:rsidRDefault="00B926FE" w:rsidP="000A2491">
            <w:pPr>
              <w:pStyle w:val="TableText"/>
              <w:jc w:val="right"/>
            </w:pPr>
            <w:r w:rsidRPr="0075075A">
              <w:t>89.7 (85.4</w:t>
            </w:r>
            <w:r>
              <w:t xml:space="preserve">, </w:t>
            </w:r>
            <w:r w:rsidRPr="0075075A">
              <w:t>92.8)</w:t>
            </w:r>
          </w:p>
        </w:tc>
        <w:tc>
          <w:tcPr>
            <w:tcW w:w="409" w:type="dxa"/>
          </w:tcPr>
          <w:p w14:paraId="43EE7B20" w14:textId="77777777" w:rsidR="00B926FE" w:rsidRPr="0075075A" w:rsidRDefault="00B926FE" w:rsidP="000A2491">
            <w:pPr>
              <w:pStyle w:val="TableText"/>
              <w:jc w:val="right"/>
            </w:pPr>
            <w:r w:rsidRPr="0075075A">
              <w:t>21</w:t>
            </w:r>
          </w:p>
        </w:tc>
        <w:tc>
          <w:tcPr>
            <w:tcW w:w="966" w:type="dxa"/>
          </w:tcPr>
          <w:p w14:paraId="2EF649D3" w14:textId="77777777" w:rsidR="00B926FE" w:rsidRPr="0075075A" w:rsidRDefault="00B926FE" w:rsidP="000A2491">
            <w:pPr>
              <w:pStyle w:val="TableText"/>
              <w:jc w:val="right"/>
            </w:pPr>
            <w:r w:rsidRPr="0075075A">
              <w:t>72</w:t>
            </w:r>
          </w:p>
        </w:tc>
        <w:tc>
          <w:tcPr>
            <w:tcW w:w="1089" w:type="dxa"/>
          </w:tcPr>
          <w:p w14:paraId="397AFD44" w14:textId="77777777" w:rsidR="00B926FE" w:rsidRPr="0075075A" w:rsidRDefault="00B926FE" w:rsidP="000A2491">
            <w:pPr>
              <w:pStyle w:val="TableText"/>
              <w:jc w:val="right"/>
            </w:pPr>
            <w:r w:rsidRPr="0075075A">
              <w:t>8.1 (5.6</w:t>
            </w:r>
            <w:r>
              <w:t xml:space="preserve">, </w:t>
            </w:r>
            <w:r w:rsidRPr="0075075A">
              <w:t>11.6)</w:t>
            </w:r>
          </w:p>
        </w:tc>
      </w:tr>
      <w:tr w:rsidR="00B926FE" w:rsidRPr="003F7A38" w14:paraId="67B8A9FE"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363" w:type="dxa"/>
          </w:tcPr>
          <w:p w14:paraId="10BA5D22" w14:textId="77777777" w:rsidR="00B926FE" w:rsidRPr="002E0D19" w:rsidRDefault="00B926FE" w:rsidP="000A2491">
            <w:pPr>
              <w:pStyle w:val="TableText"/>
              <w:rPr>
                <w:bCs/>
                <w:color w:val="000000" w:themeColor="text1"/>
              </w:rPr>
            </w:pPr>
            <w:r w:rsidRPr="002E0D19">
              <w:rPr>
                <w:bCs/>
                <w:color w:val="000000" w:themeColor="text1"/>
              </w:rPr>
              <w:t>Female 38+</w:t>
            </w:r>
          </w:p>
        </w:tc>
        <w:tc>
          <w:tcPr>
            <w:tcW w:w="485" w:type="dxa"/>
          </w:tcPr>
          <w:p w14:paraId="5893AE74" w14:textId="77777777" w:rsidR="00B926FE" w:rsidRPr="0075075A" w:rsidRDefault="00B926FE" w:rsidP="000A2491">
            <w:pPr>
              <w:pStyle w:val="TableText"/>
              <w:jc w:val="right"/>
            </w:pPr>
            <w:r w:rsidRPr="0075075A">
              <w:t>65</w:t>
            </w:r>
          </w:p>
        </w:tc>
        <w:tc>
          <w:tcPr>
            <w:tcW w:w="966" w:type="dxa"/>
          </w:tcPr>
          <w:p w14:paraId="34986E76" w14:textId="77777777" w:rsidR="00B926FE" w:rsidRPr="0075075A" w:rsidRDefault="00B926FE" w:rsidP="000A2491">
            <w:pPr>
              <w:pStyle w:val="TableText"/>
              <w:jc w:val="right"/>
            </w:pPr>
            <w:r w:rsidRPr="0075075A">
              <w:t>287</w:t>
            </w:r>
          </w:p>
        </w:tc>
        <w:tc>
          <w:tcPr>
            <w:tcW w:w="1148" w:type="dxa"/>
          </w:tcPr>
          <w:p w14:paraId="56D261EF" w14:textId="77777777" w:rsidR="00B926FE" w:rsidRPr="0075075A" w:rsidRDefault="00B926FE" w:rsidP="000A2491">
            <w:pPr>
              <w:pStyle w:val="TableText"/>
              <w:jc w:val="right"/>
            </w:pPr>
            <w:r w:rsidRPr="0075075A">
              <w:t>85.1 (71.6</w:t>
            </w:r>
            <w:r>
              <w:t xml:space="preserve">, </w:t>
            </w:r>
            <w:r w:rsidRPr="0075075A">
              <w:t>92.8)</w:t>
            </w:r>
          </w:p>
        </w:tc>
        <w:tc>
          <w:tcPr>
            <w:tcW w:w="400" w:type="dxa"/>
          </w:tcPr>
          <w:p w14:paraId="6003E916" w14:textId="77777777" w:rsidR="00B926FE" w:rsidRPr="0075075A" w:rsidRDefault="00B926FE" w:rsidP="000A2491">
            <w:pPr>
              <w:pStyle w:val="TableText"/>
              <w:jc w:val="right"/>
            </w:pPr>
            <w:r w:rsidRPr="0075075A">
              <w:t>8</w:t>
            </w:r>
          </w:p>
        </w:tc>
        <w:tc>
          <w:tcPr>
            <w:tcW w:w="944" w:type="dxa"/>
          </w:tcPr>
          <w:p w14:paraId="1111D3FA" w14:textId="77777777" w:rsidR="00B926FE" w:rsidRPr="0075075A" w:rsidRDefault="00B926FE" w:rsidP="000A2491">
            <w:pPr>
              <w:pStyle w:val="TableText"/>
              <w:jc w:val="right"/>
            </w:pPr>
            <w:r w:rsidRPr="0075075A">
              <w:t>50</w:t>
            </w:r>
          </w:p>
        </w:tc>
        <w:tc>
          <w:tcPr>
            <w:tcW w:w="1121" w:type="dxa"/>
          </w:tcPr>
          <w:p w14:paraId="73FDCF45" w14:textId="77777777" w:rsidR="00B926FE" w:rsidRPr="0075075A" w:rsidRDefault="00B926FE" w:rsidP="000A2491">
            <w:pPr>
              <w:pStyle w:val="TableText"/>
              <w:jc w:val="right"/>
            </w:pPr>
            <w:r w:rsidRPr="0075075A">
              <w:t>14.9 (7.2</w:t>
            </w:r>
            <w:r>
              <w:t xml:space="preserve">, </w:t>
            </w:r>
            <w:r w:rsidRPr="0075075A">
              <w:t>28.4)</w:t>
            </w:r>
          </w:p>
        </w:tc>
        <w:tc>
          <w:tcPr>
            <w:tcW w:w="549" w:type="dxa"/>
          </w:tcPr>
          <w:p w14:paraId="6B0585C5" w14:textId="77777777" w:rsidR="00B926FE" w:rsidRPr="0075075A" w:rsidRDefault="00B926FE" w:rsidP="000A2491">
            <w:pPr>
              <w:pStyle w:val="TableText"/>
              <w:jc w:val="right"/>
            </w:pPr>
            <w:r w:rsidRPr="0075075A">
              <w:t>151</w:t>
            </w:r>
          </w:p>
        </w:tc>
        <w:tc>
          <w:tcPr>
            <w:tcW w:w="945" w:type="dxa"/>
          </w:tcPr>
          <w:p w14:paraId="4DE9D292" w14:textId="77777777" w:rsidR="00B926FE" w:rsidRPr="0075075A" w:rsidRDefault="00B926FE" w:rsidP="000A2491">
            <w:pPr>
              <w:pStyle w:val="TableText"/>
              <w:jc w:val="right"/>
            </w:pPr>
            <w:r w:rsidRPr="0075075A">
              <w:t>445</w:t>
            </w:r>
          </w:p>
        </w:tc>
        <w:tc>
          <w:tcPr>
            <w:tcW w:w="1121" w:type="dxa"/>
          </w:tcPr>
          <w:p w14:paraId="1E401C8F" w14:textId="77777777" w:rsidR="00B926FE" w:rsidRPr="0075075A" w:rsidRDefault="00B926FE" w:rsidP="000A2491">
            <w:pPr>
              <w:pStyle w:val="TableText"/>
              <w:jc w:val="right"/>
            </w:pPr>
            <w:r w:rsidRPr="0075075A">
              <w:t>94.1 (90.4</w:t>
            </w:r>
            <w:r>
              <w:t xml:space="preserve">, </w:t>
            </w:r>
            <w:r w:rsidRPr="0075075A">
              <w:t>96.5)</w:t>
            </w:r>
          </w:p>
        </w:tc>
        <w:tc>
          <w:tcPr>
            <w:tcW w:w="409" w:type="dxa"/>
          </w:tcPr>
          <w:p w14:paraId="1C94548C" w14:textId="77777777" w:rsidR="00B926FE" w:rsidRPr="0075075A" w:rsidRDefault="00B926FE" w:rsidP="000A2491">
            <w:pPr>
              <w:pStyle w:val="TableText"/>
              <w:jc w:val="right"/>
            </w:pPr>
            <w:r w:rsidRPr="0075075A">
              <w:t>7</w:t>
            </w:r>
          </w:p>
        </w:tc>
        <w:tc>
          <w:tcPr>
            <w:tcW w:w="966" w:type="dxa"/>
          </w:tcPr>
          <w:p w14:paraId="017C33FD" w14:textId="77777777" w:rsidR="00B926FE" w:rsidRPr="0075075A" w:rsidRDefault="00B926FE" w:rsidP="000A2491">
            <w:pPr>
              <w:pStyle w:val="TableText"/>
              <w:jc w:val="right"/>
            </w:pPr>
            <w:r w:rsidRPr="0075075A">
              <w:t>20</w:t>
            </w:r>
          </w:p>
        </w:tc>
        <w:tc>
          <w:tcPr>
            <w:tcW w:w="1089" w:type="dxa"/>
          </w:tcPr>
          <w:p w14:paraId="14E31C12" w14:textId="77777777" w:rsidR="00B926FE" w:rsidRPr="0075075A" w:rsidRDefault="00B926FE" w:rsidP="000A2491">
            <w:pPr>
              <w:pStyle w:val="TableText"/>
              <w:jc w:val="right"/>
            </w:pPr>
            <w:r w:rsidRPr="0075075A">
              <w:t>4.2 (2.2</w:t>
            </w:r>
            <w:r>
              <w:t xml:space="preserve">, </w:t>
            </w:r>
            <w:r w:rsidRPr="0075075A">
              <w:t>7.6)</w:t>
            </w:r>
          </w:p>
        </w:tc>
      </w:tr>
    </w:tbl>
    <w:p w14:paraId="325E573E" w14:textId="77777777" w:rsidR="00B926FE" w:rsidRDefault="00B926FE" w:rsidP="00B926FE">
      <w:pPr>
        <w:pStyle w:val="TableNotes"/>
        <w:rPr>
          <w:rFonts w:cs="Calibri"/>
          <w:bCs/>
          <w:color w:val="000000" w:themeColor="text1"/>
          <w:szCs w:val="14"/>
        </w:rPr>
      </w:pPr>
      <w:r>
        <w:t>Notes</w:t>
      </w:r>
      <w:r w:rsidR="008F66DD">
        <w:t xml:space="preserve">: </w:t>
      </w:r>
      <w:r w:rsidRPr="002E0D19">
        <w:t xml:space="preserve">Denominator: </w:t>
      </w:r>
      <w:r>
        <w:t>T</w:t>
      </w:r>
      <w:r w:rsidRPr="002E0D19">
        <w:t xml:space="preserve">hose that said ‘Yes’ to </w:t>
      </w:r>
      <w:r>
        <w:t>using the internet for mental health issues.</w:t>
      </w:r>
      <w:r w:rsidR="008F66DD">
        <w:t xml:space="preserve"> </w:t>
      </w:r>
      <w:r w:rsidRPr="002E0D19">
        <w:t>Based on weighted counts, 163 (2.7%) Transitioned ADF and 126 (1.4%) 2015 Regular ADF had a mi</w:t>
      </w:r>
      <w:r>
        <w:t xml:space="preserve">ssing value for this question. </w:t>
      </w:r>
      <w:r w:rsidRPr="002E0D19">
        <w:t xml:space="preserve">However, distributions are calculated by including those with a missing value to allow for </w:t>
      </w:r>
      <w:r>
        <w:t>correct weighted totals.</w:t>
      </w:r>
      <w:r w:rsidR="008F66DD">
        <w:t xml:space="preserve"> </w:t>
      </w:r>
      <w:r>
        <w:t>95%CI = 95% confidence interval.</w:t>
      </w:r>
      <w:r w:rsidR="008F66DD">
        <w:t xml:space="preserve"> </w:t>
      </w:r>
      <w:r w:rsidRPr="002E0D19">
        <w:t>Note: Probable 30-day disorder = PCL ≥ 53 or K10 ≥ 25; No probable 30-day disorder = PCL &lt; 53 and K10 &lt; 25.</w:t>
      </w:r>
      <w:r w:rsidR="008F66DD">
        <w:t xml:space="preserve"> </w:t>
      </w:r>
      <w:r>
        <w:rPr>
          <w:rFonts w:cs="Calibri"/>
          <w:bCs/>
          <w:color w:val="000000" w:themeColor="text1"/>
          <w:szCs w:val="14"/>
        </w:rPr>
        <w:t># = Cell size too small to be reported.</w:t>
      </w:r>
    </w:p>
    <w:p w14:paraId="6845BF23" w14:textId="77777777" w:rsidR="005A7120" w:rsidRDefault="005A7120" w:rsidP="005A7120">
      <w:pPr>
        <w:sectPr w:rsidR="005A7120" w:rsidSect="00980AE4">
          <w:footerReference w:type="even" r:id="rId98"/>
          <w:footerReference w:type="default" r:id="rId99"/>
          <w:pgSz w:w="14170" w:h="9979" w:orient="landscape" w:code="243"/>
          <w:pgMar w:top="1872" w:right="1440" w:bottom="1152" w:left="1440" w:header="576" w:footer="576" w:gutter="0"/>
          <w:cols w:space="708"/>
          <w:docGrid w:linePitch="360"/>
        </w:sectPr>
      </w:pPr>
    </w:p>
    <w:p w14:paraId="56C284D8" w14:textId="77777777" w:rsidR="00B926FE" w:rsidRPr="00D17DAE" w:rsidRDefault="00B926FE" w:rsidP="00B926FE">
      <w:pPr>
        <w:pStyle w:val="Heading2"/>
        <w:numPr>
          <w:ilvl w:val="1"/>
          <w:numId w:val="1"/>
        </w:numPr>
        <w:ind w:left="720" w:hanging="720"/>
      </w:pPr>
      <w:bookmarkStart w:id="901" w:name="_Toc507595210"/>
      <w:bookmarkStart w:id="902" w:name="_Toc509917464"/>
      <w:bookmarkStart w:id="903" w:name="_Toc515374524"/>
      <w:bookmarkStart w:id="904" w:name="_Toc518566424"/>
      <w:bookmarkStart w:id="905" w:name="_Toc528932708"/>
      <w:bookmarkStart w:id="906" w:name="_Toc531859245"/>
      <w:r w:rsidRPr="00D17DAE">
        <w:t xml:space="preserve">Talking with a psychologist or other mental health professional about one’s own mental health on the </w:t>
      </w:r>
      <w:r>
        <w:t>internet</w:t>
      </w:r>
      <w:bookmarkEnd w:id="901"/>
      <w:bookmarkEnd w:id="902"/>
      <w:bookmarkEnd w:id="903"/>
      <w:bookmarkEnd w:id="904"/>
      <w:bookmarkEnd w:id="905"/>
      <w:bookmarkEnd w:id="906"/>
      <w:r w:rsidRPr="00D17DAE">
        <w:t xml:space="preserve"> </w:t>
      </w:r>
    </w:p>
    <w:p w14:paraId="7F6F3838" w14:textId="77777777" w:rsidR="00B926FE" w:rsidRPr="00D17DAE" w:rsidRDefault="00B926FE" w:rsidP="00B926FE">
      <w:pPr>
        <w:pStyle w:val="Heading3"/>
        <w:numPr>
          <w:ilvl w:val="2"/>
          <w:numId w:val="1"/>
        </w:numPr>
      </w:pPr>
      <w:bookmarkStart w:id="907" w:name="_Toc509917465"/>
      <w:bookmarkStart w:id="908" w:name="_Toc515374525"/>
      <w:bookmarkStart w:id="909" w:name="_Toc518566425"/>
      <w:bookmarkStart w:id="910" w:name="_Toc528932709"/>
      <w:bookmarkStart w:id="911" w:name="_Toc531859246"/>
      <w:r>
        <w:t xml:space="preserve">Talking online with a mental health professional by </w:t>
      </w:r>
      <w:r w:rsidRPr="00D17DAE">
        <w:t>Transitioned ADF and 2015 Regular ADF</w:t>
      </w:r>
      <w:bookmarkEnd w:id="907"/>
      <w:bookmarkEnd w:id="908"/>
      <w:bookmarkEnd w:id="909"/>
      <w:r>
        <w:t xml:space="preserve"> overall</w:t>
      </w:r>
      <w:bookmarkEnd w:id="910"/>
      <w:bookmarkEnd w:id="911"/>
    </w:p>
    <w:p w14:paraId="68CCAFCE" w14:textId="77777777" w:rsidR="00B926FE" w:rsidRPr="00A6426C" w:rsidRDefault="00B926FE" w:rsidP="00B926FE">
      <w:pPr>
        <w:rPr>
          <w:rFonts w:cs="Calibri"/>
        </w:rPr>
      </w:pPr>
      <w:r w:rsidRPr="003038B1">
        <w:t xml:space="preserve">Of the Transitioned ADF and 2015 Regular ADF who reported using the </w:t>
      </w:r>
      <w:r>
        <w:t>internet</w:t>
      </w:r>
      <w:r w:rsidRPr="003038B1">
        <w:t xml:space="preserve"> to </w:t>
      </w:r>
      <w:r w:rsidRPr="001042FE">
        <w:t>seek help</w:t>
      </w:r>
      <w:r>
        <w:t xml:space="preserve"> or </w:t>
      </w:r>
      <w:r w:rsidRPr="003038B1">
        <w:t>information for or manage mental health issues, 7.9% and 9.5% respectively reported</w:t>
      </w:r>
      <w:r w:rsidRPr="00A6426C">
        <w:rPr>
          <w:rFonts w:cs="Calibri"/>
        </w:rPr>
        <w:t xml:space="preserve"> talking online to a psychologist or other mental health professional about their mental health (</w:t>
      </w:r>
      <w:r w:rsidRPr="0033333B">
        <w:rPr>
          <w:rFonts w:cs="Calibri"/>
        </w:rPr>
        <w:t xml:space="preserve">Table </w:t>
      </w:r>
      <w:r w:rsidRPr="00CD7977">
        <w:rPr>
          <w:rFonts w:cs="Calibri"/>
        </w:rPr>
        <w:t>7</w:t>
      </w:r>
      <w:r w:rsidRPr="0033333B">
        <w:rPr>
          <w:rFonts w:cs="Calibri"/>
        </w:rPr>
        <w:t>.</w:t>
      </w:r>
      <w:r w:rsidRPr="00CD7977">
        <w:rPr>
          <w:rFonts w:cs="Calibri"/>
        </w:rPr>
        <w:t>9</w:t>
      </w:r>
      <w:r w:rsidRPr="00A6426C">
        <w:rPr>
          <w:rFonts w:cs="Calibri"/>
        </w:rPr>
        <w:t xml:space="preserve"> </w:t>
      </w:r>
      <w:r w:rsidRPr="00A6426C">
        <w:t>and</w:t>
      </w:r>
      <w:r>
        <w:t xml:space="preserve"> </w:t>
      </w:r>
      <w:r w:rsidRPr="00645E4D">
        <w:t xml:space="preserve">Figure </w:t>
      </w:r>
      <w:r>
        <w:rPr>
          <w:noProof/>
        </w:rPr>
        <w:t>7</w:t>
      </w:r>
      <w:r>
        <w:t>.</w:t>
      </w:r>
      <w:r>
        <w:rPr>
          <w:noProof/>
        </w:rPr>
        <w:t>5</w:t>
      </w:r>
      <w:r w:rsidRPr="00A6426C">
        <w:t>)</w:t>
      </w:r>
      <w:r w:rsidRPr="00A6426C">
        <w:rPr>
          <w:rFonts w:cs="Calibri"/>
        </w:rPr>
        <w:t xml:space="preserve">. Among these, the majority of both the Transitioned </w:t>
      </w:r>
      <w:r>
        <w:rPr>
          <w:rFonts w:cs="Calibri"/>
        </w:rPr>
        <w:t xml:space="preserve">ADF </w:t>
      </w:r>
      <w:r w:rsidRPr="00A6426C">
        <w:rPr>
          <w:rFonts w:cs="Calibri"/>
        </w:rPr>
        <w:t>and 2015 Regular ADF reported finding this helpful (65.3% and 59.7%).</w:t>
      </w:r>
    </w:p>
    <w:p w14:paraId="0F816E98" w14:textId="77777777" w:rsidR="00B926FE" w:rsidRPr="00BF2792" w:rsidRDefault="00B926FE" w:rsidP="00B926FE">
      <w:pPr>
        <w:pStyle w:val="TableName"/>
      </w:pPr>
      <w:bookmarkStart w:id="912" w:name="_Ref509916211"/>
      <w:bookmarkStart w:id="913" w:name="_Toc501633239"/>
      <w:bookmarkStart w:id="914" w:name="_Toc509922899"/>
      <w:bookmarkStart w:id="915" w:name="_Toc515374674"/>
      <w:bookmarkStart w:id="916" w:name="_Toc528932349"/>
      <w:bookmarkStart w:id="917" w:name="_Toc531858028"/>
      <w:r>
        <w:t xml:space="preserve">Table </w:t>
      </w:r>
      <w:r>
        <w:rPr>
          <w:noProof/>
        </w:rPr>
        <w:t>7</w:t>
      </w:r>
      <w:r>
        <w:t>.</w:t>
      </w:r>
      <w:r>
        <w:rPr>
          <w:noProof/>
        </w:rPr>
        <w:t>9</w:t>
      </w:r>
      <w:bookmarkEnd w:id="912"/>
      <w:r>
        <w:tab/>
      </w:r>
      <w:r w:rsidRPr="00E65C01">
        <w:t>T</w:t>
      </w:r>
      <w:r>
        <w:t>alking about one’s own mental health on the internet</w:t>
      </w:r>
      <w:r w:rsidRPr="003835C7">
        <w:t xml:space="preserve"> with a psychologist or other mental health professional </w:t>
      </w:r>
      <w:r>
        <w:t>among Transitioned ADF and 2015 Regular ADF</w:t>
      </w:r>
      <w:bookmarkEnd w:id="913"/>
      <w:bookmarkEnd w:id="914"/>
      <w:bookmarkEnd w:id="915"/>
      <w:r>
        <w:rPr>
          <w:szCs w:val="22"/>
        </w:rPr>
        <w:t xml:space="preserve"> 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916"/>
      <w:bookmarkEnd w:id="917"/>
    </w:p>
    <w:tbl>
      <w:tblPr>
        <w:tblW w:w="5000" w:type="pct"/>
        <w:tblLayout w:type="fixed"/>
        <w:tblCellMar>
          <w:left w:w="0" w:type="dxa"/>
          <w:right w:w="0" w:type="dxa"/>
        </w:tblCellMar>
        <w:tblLook w:val="0000" w:firstRow="0" w:lastRow="0" w:firstColumn="0" w:lastColumn="0" w:noHBand="0" w:noVBand="0"/>
        <w:tblDescription w:val="Table 7.9 Talking about one’s own mental health on the internet with a psychologist or other mental health professional among Transitioned ADF and 2015 Regular ADF who reported using the internet to seek help or information for or manage mental health issues"/>
      </w:tblPr>
      <w:tblGrid>
        <w:gridCol w:w="2783"/>
        <w:gridCol w:w="445"/>
        <w:gridCol w:w="780"/>
        <w:gridCol w:w="1002"/>
        <w:gridCol w:w="445"/>
        <w:gridCol w:w="780"/>
        <w:gridCol w:w="854"/>
      </w:tblGrid>
      <w:tr w:rsidR="00B926FE" w:rsidRPr="00285A26" w14:paraId="63409BC2" w14:textId="77777777" w:rsidTr="005C60DC">
        <w:trPr>
          <w:cantSplit/>
        </w:trPr>
        <w:tc>
          <w:tcPr>
            <w:tcW w:w="1963" w:type="pct"/>
            <w:tcBorders>
              <w:top w:val="single" w:sz="4" w:space="0" w:color="auto"/>
              <w:left w:val="single" w:sz="4" w:space="0" w:color="auto"/>
              <w:right w:val="single" w:sz="4" w:space="0" w:color="auto"/>
            </w:tcBorders>
            <w:shd w:val="clear" w:color="auto" w:fill="auto"/>
            <w:tcMar>
              <w:left w:w="80" w:type="dxa"/>
              <w:right w:w="80" w:type="dxa"/>
            </w:tcMar>
          </w:tcPr>
          <w:p w14:paraId="737C8140" w14:textId="77777777" w:rsidR="00B926FE" w:rsidRPr="00D17DAE" w:rsidRDefault="00B926FE" w:rsidP="000A2491">
            <w:pPr>
              <w:pStyle w:val="TableText"/>
              <w:jc w:val="center"/>
              <w:rPr>
                <w:b/>
              </w:rPr>
            </w:pPr>
          </w:p>
        </w:tc>
        <w:tc>
          <w:tcPr>
            <w:tcW w:w="1571" w:type="pct"/>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0A7771C2" w14:textId="77777777" w:rsidR="00B926FE" w:rsidRPr="00D17DAE" w:rsidRDefault="00B926FE" w:rsidP="005C60DC">
            <w:pPr>
              <w:pStyle w:val="TableText"/>
              <w:jc w:val="center"/>
              <w:rPr>
                <w:b/>
              </w:rPr>
            </w:pPr>
            <w:r w:rsidRPr="00D17DAE">
              <w:rPr>
                <w:rFonts w:cs="Calibri"/>
                <w:b/>
              </w:rPr>
              <w:t>Transitioned ADF</w:t>
            </w:r>
            <w:r w:rsidR="005C60DC">
              <w:rPr>
                <w:rFonts w:cs="Calibri"/>
                <w:b/>
              </w:rPr>
              <w:br/>
            </w:r>
            <w:r w:rsidRPr="00D17DAE">
              <w:rPr>
                <w:rFonts w:cs="Calibri"/>
                <w:b/>
              </w:rPr>
              <w:t>n=6116</w:t>
            </w:r>
          </w:p>
        </w:tc>
        <w:tc>
          <w:tcPr>
            <w:tcW w:w="1466" w:type="pct"/>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2353DC8C" w14:textId="77777777" w:rsidR="00B926FE" w:rsidRPr="00D17DAE" w:rsidRDefault="00B926FE" w:rsidP="005C60DC">
            <w:pPr>
              <w:pStyle w:val="TableText"/>
              <w:jc w:val="center"/>
              <w:rPr>
                <w:b/>
              </w:rPr>
            </w:pPr>
            <w:r w:rsidRPr="00D17DAE">
              <w:rPr>
                <w:rFonts w:cs="Calibri"/>
                <w:b/>
              </w:rPr>
              <w:t>2015 Regular ADF</w:t>
            </w:r>
            <w:r w:rsidR="005C60DC">
              <w:rPr>
                <w:rFonts w:cs="Calibri"/>
                <w:b/>
              </w:rPr>
              <w:br/>
            </w:r>
            <w:r w:rsidRPr="00D17DAE">
              <w:rPr>
                <w:rFonts w:cs="Calibri"/>
                <w:b/>
              </w:rPr>
              <w:t>n=9042</w:t>
            </w:r>
          </w:p>
        </w:tc>
      </w:tr>
      <w:tr w:rsidR="00B926FE" w:rsidRPr="00285A26" w14:paraId="43504A0A" w14:textId="77777777" w:rsidTr="005C60DC">
        <w:trPr>
          <w:cantSplit/>
        </w:trPr>
        <w:tc>
          <w:tcPr>
            <w:tcW w:w="1963" w:type="pct"/>
            <w:tcBorders>
              <w:left w:val="single" w:sz="4" w:space="0" w:color="auto"/>
              <w:bottom w:val="single" w:sz="4" w:space="0" w:color="auto"/>
              <w:right w:val="single" w:sz="4" w:space="0" w:color="auto"/>
            </w:tcBorders>
            <w:shd w:val="clear" w:color="auto" w:fill="FFFFFF"/>
            <w:tcMar>
              <w:left w:w="80" w:type="dxa"/>
              <w:right w:w="80" w:type="dxa"/>
            </w:tcMar>
          </w:tcPr>
          <w:p w14:paraId="40A44475" w14:textId="653128FA" w:rsidR="00B926FE" w:rsidRPr="00D17DAE" w:rsidRDefault="00B926FE" w:rsidP="000A2491">
            <w:pPr>
              <w:pStyle w:val="TableText"/>
              <w:rPr>
                <w:rFonts w:cs="Arial"/>
                <w:b/>
              </w:rPr>
            </w:pPr>
            <w:r>
              <w:rPr>
                <w:rFonts w:cs="Arial"/>
                <w:b/>
              </w:rPr>
              <w:t xml:space="preserve">Talk with </w:t>
            </w:r>
            <w:r w:rsidR="00F1605E">
              <w:rPr>
                <w:rFonts w:cs="Arial"/>
                <w:b/>
              </w:rPr>
              <w:t>p</w:t>
            </w:r>
            <w:r>
              <w:rPr>
                <w:rFonts w:cs="Arial"/>
                <w:b/>
              </w:rPr>
              <w:t>sychologist</w:t>
            </w:r>
          </w:p>
        </w:tc>
        <w:tc>
          <w:tcPr>
            <w:tcW w:w="314" w:type="pct"/>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78E31451" w14:textId="77777777" w:rsidR="00B926FE" w:rsidRPr="00D17DAE" w:rsidRDefault="00B926FE" w:rsidP="000A2491">
            <w:pPr>
              <w:pStyle w:val="TableText"/>
              <w:jc w:val="right"/>
              <w:rPr>
                <w:rFonts w:cs="Arial"/>
                <w:b/>
              </w:rPr>
            </w:pPr>
            <w:r w:rsidRPr="00D17DAE">
              <w:rPr>
                <w:rFonts w:cs="Arial"/>
                <w:b/>
              </w:rPr>
              <w:t>n</w:t>
            </w:r>
          </w:p>
        </w:tc>
        <w:tc>
          <w:tcPr>
            <w:tcW w:w="550" w:type="pct"/>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3A8F6322" w14:textId="77777777" w:rsidR="00B926FE" w:rsidRPr="00D17DAE" w:rsidRDefault="00B926FE" w:rsidP="000A2491">
            <w:pPr>
              <w:pStyle w:val="TableText"/>
              <w:jc w:val="right"/>
              <w:rPr>
                <w:rFonts w:cs="Arial"/>
                <w:b/>
              </w:rPr>
            </w:pPr>
            <w:r w:rsidRPr="00D17DAE">
              <w:rPr>
                <w:rFonts w:cs="Arial"/>
                <w:b/>
              </w:rPr>
              <w:t>Weighted n</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29DAE4FF" w14:textId="77777777" w:rsidR="00B926FE" w:rsidRPr="00D17DAE" w:rsidRDefault="00B926FE" w:rsidP="000A2491">
            <w:pPr>
              <w:pStyle w:val="TableText"/>
              <w:jc w:val="right"/>
              <w:rPr>
                <w:rFonts w:cs="Arial"/>
                <w:b/>
              </w:rPr>
            </w:pPr>
            <w:r w:rsidRPr="00D17DAE">
              <w:rPr>
                <w:rFonts w:cs="Arial"/>
                <w:b/>
              </w:rPr>
              <w:t>% (95%CI)</w:t>
            </w:r>
          </w:p>
        </w:tc>
        <w:tc>
          <w:tcPr>
            <w:tcW w:w="314" w:type="pct"/>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4D8FD5B7" w14:textId="77777777" w:rsidR="00B926FE" w:rsidRPr="00D17DAE" w:rsidRDefault="00B926FE" w:rsidP="000A2491">
            <w:pPr>
              <w:pStyle w:val="TableText"/>
              <w:jc w:val="right"/>
              <w:rPr>
                <w:rFonts w:cs="Arial"/>
                <w:b/>
              </w:rPr>
            </w:pPr>
            <w:r w:rsidRPr="00D17DAE">
              <w:rPr>
                <w:rFonts w:cs="Arial"/>
                <w:b/>
              </w:rPr>
              <w:t>n</w:t>
            </w:r>
          </w:p>
        </w:tc>
        <w:tc>
          <w:tcPr>
            <w:tcW w:w="550" w:type="pct"/>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2206A779" w14:textId="77777777" w:rsidR="00B926FE" w:rsidRPr="00D17DAE" w:rsidRDefault="00B926FE" w:rsidP="000A2491">
            <w:pPr>
              <w:pStyle w:val="TableText"/>
              <w:jc w:val="right"/>
              <w:rPr>
                <w:rFonts w:cs="Arial"/>
                <w:b/>
              </w:rPr>
            </w:pPr>
            <w:r w:rsidRPr="00D17DAE">
              <w:rPr>
                <w:rFonts w:cs="Arial"/>
                <w:b/>
              </w:rPr>
              <w:t>Weighted n</w:t>
            </w:r>
          </w:p>
        </w:tc>
        <w:tc>
          <w:tcPr>
            <w:tcW w:w="602" w:type="pct"/>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tcPr>
          <w:p w14:paraId="74538633" w14:textId="77777777" w:rsidR="00B926FE" w:rsidRPr="00D17DAE" w:rsidRDefault="00B926FE" w:rsidP="000A2491">
            <w:pPr>
              <w:pStyle w:val="TableText"/>
              <w:jc w:val="right"/>
              <w:rPr>
                <w:rFonts w:cs="Arial"/>
                <w:b/>
              </w:rPr>
            </w:pPr>
            <w:r w:rsidRPr="00D17DAE">
              <w:rPr>
                <w:rFonts w:cs="Arial"/>
                <w:b/>
              </w:rPr>
              <w:t>% (95%CI)</w:t>
            </w:r>
          </w:p>
        </w:tc>
      </w:tr>
      <w:tr w:rsidR="00B926FE" w:rsidRPr="00285A26" w14:paraId="4323A638" w14:textId="77777777" w:rsidTr="005C60DC">
        <w:trPr>
          <w:cantSplit/>
        </w:trPr>
        <w:tc>
          <w:tcPr>
            <w:tcW w:w="1963"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7A3530AE" w14:textId="77777777" w:rsidR="00B926FE" w:rsidRPr="00285A26" w:rsidRDefault="00B926FE" w:rsidP="000A2491">
            <w:pPr>
              <w:pStyle w:val="TableText"/>
              <w:rPr>
                <w:rFonts w:cs="Arial"/>
              </w:rPr>
            </w:pPr>
            <w:r w:rsidRPr="00285A26">
              <w:rPr>
                <w:rFonts w:cs="Arial"/>
              </w:rPr>
              <w:t xml:space="preserve">No, did not talk on the </w:t>
            </w:r>
            <w:r>
              <w:rPr>
                <w:rFonts w:cs="Arial"/>
              </w:rPr>
              <w:t>internet</w:t>
            </w:r>
            <w:r w:rsidRPr="00285A26">
              <w:rPr>
                <w:rFonts w:asciiTheme="minorHAnsi" w:hAnsiTheme="minorHAnsi"/>
                <w:lang w:eastAsia="en-AU"/>
              </w:rPr>
              <w:t xml:space="preserve"> </w:t>
            </w:r>
            <w:r w:rsidRPr="00285A26">
              <w:rPr>
                <w:rFonts w:cs="Arial"/>
              </w:rPr>
              <w:t>with a mental health professional</w:t>
            </w:r>
            <w:r>
              <w:rPr>
                <w:rFonts w:cs="Arial"/>
              </w:rPr>
              <w:t>.</w:t>
            </w:r>
          </w:p>
        </w:tc>
        <w:tc>
          <w:tcPr>
            <w:tcW w:w="314" w:type="pct"/>
            <w:tcBorders>
              <w:left w:val="single" w:sz="4" w:space="0" w:color="auto"/>
              <w:right w:val="single" w:sz="4" w:space="0" w:color="auto"/>
            </w:tcBorders>
            <w:shd w:val="clear" w:color="auto" w:fill="D4E4FF" w:themeFill="text2" w:themeFillTint="1A"/>
            <w:tcMar>
              <w:left w:w="80" w:type="dxa"/>
              <w:right w:w="80" w:type="dxa"/>
            </w:tcMar>
          </w:tcPr>
          <w:p w14:paraId="65997540" w14:textId="77777777" w:rsidR="00B926FE" w:rsidRPr="00285A26" w:rsidRDefault="00B926FE" w:rsidP="000A2491">
            <w:pPr>
              <w:pStyle w:val="TableText"/>
              <w:jc w:val="right"/>
              <w:rPr>
                <w:rFonts w:cs="Calibri"/>
                <w:color w:val="000000" w:themeColor="text1"/>
              </w:rPr>
            </w:pPr>
            <w:r w:rsidRPr="00285A26">
              <w:rPr>
                <w:rFonts w:cs="Calibri"/>
              </w:rPr>
              <w:t>785</w:t>
            </w:r>
          </w:p>
        </w:tc>
        <w:tc>
          <w:tcPr>
            <w:tcW w:w="550" w:type="pct"/>
            <w:tcBorders>
              <w:left w:val="single" w:sz="4" w:space="0" w:color="auto"/>
              <w:right w:val="single" w:sz="4" w:space="0" w:color="auto"/>
            </w:tcBorders>
            <w:shd w:val="clear" w:color="auto" w:fill="D4E4FF" w:themeFill="text2" w:themeFillTint="1A"/>
            <w:tcMar>
              <w:left w:w="80" w:type="dxa"/>
              <w:right w:w="80" w:type="dxa"/>
            </w:tcMar>
          </w:tcPr>
          <w:p w14:paraId="4B3403C6" w14:textId="77777777" w:rsidR="00B926FE" w:rsidRPr="00285A26" w:rsidRDefault="00B926FE" w:rsidP="000A2491">
            <w:pPr>
              <w:pStyle w:val="TableText"/>
              <w:jc w:val="right"/>
              <w:rPr>
                <w:rFonts w:cs="Calibri"/>
                <w:color w:val="000000" w:themeColor="text1"/>
              </w:rPr>
            </w:pPr>
            <w:r w:rsidRPr="00285A26">
              <w:rPr>
                <w:rFonts w:cs="Calibri"/>
              </w:rPr>
              <w:t>5561</w:t>
            </w:r>
          </w:p>
        </w:tc>
        <w:tc>
          <w:tcPr>
            <w:tcW w:w="707" w:type="pct"/>
            <w:tcBorders>
              <w:left w:val="single" w:sz="4" w:space="0" w:color="auto"/>
              <w:right w:val="single" w:sz="4" w:space="0" w:color="auto"/>
            </w:tcBorders>
            <w:shd w:val="clear" w:color="auto" w:fill="D4E4FF" w:themeFill="text2" w:themeFillTint="1A"/>
            <w:tcMar>
              <w:left w:w="80" w:type="dxa"/>
              <w:right w:w="80" w:type="dxa"/>
            </w:tcMar>
          </w:tcPr>
          <w:p w14:paraId="25818F82" w14:textId="77777777" w:rsidR="00B926FE" w:rsidRPr="00285A26" w:rsidRDefault="00B926FE" w:rsidP="000A2491">
            <w:pPr>
              <w:pStyle w:val="TableText"/>
              <w:jc w:val="right"/>
              <w:rPr>
                <w:rFonts w:cs="Calibri"/>
                <w:color w:val="000000" w:themeColor="text1"/>
              </w:rPr>
            </w:pPr>
            <w:r w:rsidRPr="00285A26">
              <w:rPr>
                <w:rFonts w:cs="Calibri"/>
              </w:rPr>
              <w:t>90.9 (88.0</w:t>
            </w:r>
            <w:r>
              <w:rPr>
                <w:rFonts w:cs="Calibri"/>
              </w:rPr>
              <w:t xml:space="preserve">, </w:t>
            </w:r>
            <w:r w:rsidRPr="00285A26">
              <w:rPr>
                <w:rFonts w:cs="Calibri"/>
              </w:rPr>
              <w:t>93.2)</w:t>
            </w:r>
          </w:p>
        </w:tc>
        <w:tc>
          <w:tcPr>
            <w:tcW w:w="314" w:type="pct"/>
            <w:tcBorders>
              <w:left w:val="single" w:sz="4" w:space="0" w:color="auto"/>
              <w:right w:val="single" w:sz="4" w:space="0" w:color="auto"/>
            </w:tcBorders>
            <w:shd w:val="clear" w:color="auto" w:fill="D4E4FF" w:themeFill="text2" w:themeFillTint="1A"/>
            <w:tcMar>
              <w:left w:w="80" w:type="dxa"/>
              <w:right w:w="80" w:type="dxa"/>
            </w:tcMar>
          </w:tcPr>
          <w:p w14:paraId="766B3A20" w14:textId="77777777" w:rsidR="00B926FE" w:rsidRPr="00285A26" w:rsidRDefault="00B926FE" w:rsidP="000A2491">
            <w:pPr>
              <w:pStyle w:val="TableText"/>
              <w:jc w:val="right"/>
              <w:rPr>
                <w:rFonts w:cs="Calibri"/>
                <w:color w:val="000000" w:themeColor="text1"/>
              </w:rPr>
            </w:pPr>
            <w:r w:rsidRPr="00285A26">
              <w:rPr>
                <w:rFonts w:cs="Calibri"/>
              </w:rPr>
              <w:t>1331</w:t>
            </w:r>
          </w:p>
        </w:tc>
        <w:tc>
          <w:tcPr>
            <w:tcW w:w="550" w:type="pct"/>
            <w:tcBorders>
              <w:left w:val="single" w:sz="4" w:space="0" w:color="auto"/>
              <w:right w:val="single" w:sz="4" w:space="0" w:color="auto"/>
            </w:tcBorders>
            <w:shd w:val="clear" w:color="auto" w:fill="D4E4FF" w:themeFill="text2" w:themeFillTint="1A"/>
            <w:tcMar>
              <w:left w:w="80" w:type="dxa"/>
              <w:right w:w="80" w:type="dxa"/>
            </w:tcMar>
          </w:tcPr>
          <w:p w14:paraId="0AA1DDE8" w14:textId="77777777" w:rsidR="00B926FE" w:rsidRPr="00285A26" w:rsidRDefault="00B926FE" w:rsidP="000A2491">
            <w:pPr>
              <w:pStyle w:val="TableText"/>
              <w:jc w:val="right"/>
              <w:rPr>
                <w:rFonts w:cs="Calibri"/>
                <w:color w:val="000000" w:themeColor="text1"/>
              </w:rPr>
            </w:pPr>
            <w:r w:rsidRPr="00285A26">
              <w:rPr>
                <w:rFonts w:cs="Calibri"/>
              </w:rPr>
              <w:t>8093</w:t>
            </w:r>
          </w:p>
        </w:tc>
        <w:tc>
          <w:tcPr>
            <w:tcW w:w="602" w:type="pct"/>
            <w:tcBorders>
              <w:left w:val="single" w:sz="4" w:space="0" w:color="auto"/>
              <w:right w:val="single" w:sz="4" w:space="0" w:color="auto"/>
            </w:tcBorders>
            <w:shd w:val="clear" w:color="auto" w:fill="D4E4FF" w:themeFill="text2" w:themeFillTint="1A"/>
            <w:tcMar>
              <w:left w:w="80" w:type="dxa"/>
              <w:right w:w="80" w:type="dxa"/>
            </w:tcMar>
          </w:tcPr>
          <w:p w14:paraId="7ECABF8E" w14:textId="77777777" w:rsidR="00B926FE" w:rsidRPr="00285A26" w:rsidRDefault="00B926FE" w:rsidP="000A2491">
            <w:pPr>
              <w:pStyle w:val="TableText"/>
              <w:jc w:val="right"/>
              <w:rPr>
                <w:rFonts w:cs="Calibri"/>
                <w:color w:val="000000" w:themeColor="text1"/>
              </w:rPr>
            </w:pPr>
            <w:r w:rsidRPr="00285A26">
              <w:rPr>
                <w:rFonts w:cs="Calibri"/>
              </w:rPr>
              <w:t>89.5 (81.7</w:t>
            </w:r>
            <w:r>
              <w:rPr>
                <w:rFonts w:cs="Calibri"/>
              </w:rPr>
              <w:t xml:space="preserve">, </w:t>
            </w:r>
            <w:r w:rsidRPr="00285A26">
              <w:rPr>
                <w:rFonts w:cs="Calibri"/>
              </w:rPr>
              <w:t>94.2)</w:t>
            </w:r>
          </w:p>
        </w:tc>
      </w:tr>
      <w:tr w:rsidR="00B926FE" w:rsidRPr="00285A26" w14:paraId="646B0D02" w14:textId="77777777" w:rsidTr="005C60DC">
        <w:trPr>
          <w:cantSplit/>
        </w:trPr>
        <w:tc>
          <w:tcPr>
            <w:tcW w:w="1963" w:type="pct"/>
            <w:tcBorders>
              <w:left w:val="single" w:sz="4" w:space="0" w:color="auto"/>
              <w:bottom w:val="single" w:sz="4" w:space="0" w:color="auto"/>
              <w:right w:val="single" w:sz="4" w:space="0" w:color="auto"/>
            </w:tcBorders>
            <w:shd w:val="clear" w:color="auto" w:fill="auto"/>
            <w:tcMar>
              <w:left w:w="80" w:type="dxa"/>
              <w:right w:w="80" w:type="dxa"/>
            </w:tcMar>
          </w:tcPr>
          <w:p w14:paraId="49AC8118" w14:textId="77777777" w:rsidR="00B926FE" w:rsidRPr="00285A26" w:rsidRDefault="00B926FE" w:rsidP="000A2491">
            <w:pPr>
              <w:pStyle w:val="TableText"/>
              <w:rPr>
                <w:rFonts w:cs="Arial"/>
              </w:rPr>
            </w:pPr>
            <w:r w:rsidRPr="00285A26">
              <w:rPr>
                <w:rFonts w:cs="Arial"/>
              </w:rPr>
              <w:t xml:space="preserve">Yes, did talk on the </w:t>
            </w:r>
            <w:r>
              <w:rPr>
                <w:rFonts w:cs="Arial"/>
              </w:rPr>
              <w:t>internet</w:t>
            </w:r>
            <w:r w:rsidRPr="00285A26">
              <w:rPr>
                <w:rFonts w:cs="Arial"/>
              </w:rPr>
              <w:t xml:space="preserve"> with a mental health professional</w:t>
            </w:r>
            <w:r>
              <w:rPr>
                <w:rFonts w:cs="Arial"/>
              </w:rPr>
              <w:t>.</w:t>
            </w:r>
          </w:p>
        </w:tc>
        <w:tc>
          <w:tcPr>
            <w:tcW w:w="314" w:type="pct"/>
            <w:tcBorders>
              <w:left w:val="single" w:sz="4" w:space="0" w:color="auto"/>
              <w:bottom w:val="single" w:sz="4" w:space="0" w:color="auto"/>
              <w:right w:val="single" w:sz="4" w:space="0" w:color="auto"/>
            </w:tcBorders>
            <w:shd w:val="clear" w:color="auto" w:fill="auto"/>
            <w:tcMar>
              <w:left w:w="80" w:type="dxa"/>
              <w:right w:w="80" w:type="dxa"/>
            </w:tcMar>
          </w:tcPr>
          <w:p w14:paraId="79E14BE2" w14:textId="77777777" w:rsidR="00B926FE" w:rsidRPr="00285A26" w:rsidRDefault="00B926FE" w:rsidP="000A2491">
            <w:pPr>
              <w:pStyle w:val="TableText"/>
              <w:jc w:val="right"/>
              <w:rPr>
                <w:rFonts w:cs="Calibri"/>
                <w:color w:val="000000" w:themeColor="text1"/>
              </w:rPr>
            </w:pPr>
            <w:r w:rsidRPr="00285A26">
              <w:rPr>
                <w:rFonts w:cs="Calibri"/>
              </w:rPr>
              <w:t>62</w:t>
            </w:r>
          </w:p>
        </w:tc>
        <w:tc>
          <w:tcPr>
            <w:tcW w:w="550" w:type="pct"/>
            <w:tcBorders>
              <w:left w:val="single" w:sz="4" w:space="0" w:color="auto"/>
              <w:bottom w:val="single" w:sz="4" w:space="0" w:color="auto"/>
              <w:right w:val="single" w:sz="4" w:space="0" w:color="auto"/>
            </w:tcBorders>
            <w:shd w:val="clear" w:color="auto" w:fill="auto"/>
            <w:tcMar>
              <w:left w:w="80" w:type="dxa"/>
              <w:right w:w="80" w:type="dxa"/>
            </w:tcMar>
          </w:tcPr>
          <w:p w14:paraId="532918F5" w14:textId="77777777" w:rsidR="00B926FE" w:rsidRPr="00285A26" w:rsidRDefault="00B926FE" w:rsidP="000A2491">
            <w:pPr>
              <w:pStyle w:val="TableText"/>
              <w:jc w:val="right"/>
              <w:rPr>
                <w:rFonts w:cs="Calibri"/>
                <w:color w:val="000000" w:themeColor="text1"/>
              </w:rPr>
            </w:pPr>
            <w:r w:rsidRPr="00285A26">
              <w:rPr>
                <w:rFonts w:cs="Calibri"/>
              </w:rPr>
              <w:t>481</w:t>
            </w:r>
          </w:p>
        </w:tc>
        <w:tc>
          <w:tcPr>
            <w:tcW w:w="707" w:type="pct"/>
            <w:tcBorders>
              <w:left w:val="single" w:sz="4" w:space="0" w:color="auto"/>
              <w:bottom w:val="single" w:sz="4" w:space="0" w:color="auto"/>
              <w:right w:val="single" w:sz="4" w:space="0" w:color="auto"/>
            </w:tcBorders>
            <w:shd w:val="clear" w:color="auto" w:fill="auto"/>
            <w:tcMar>
              <w:left w:w="80" w:type="dxa"/>
              <w:right w:w="80" w:type="dxa"/>
            </w:tcMar>
          </w:tcPr>
          <w:p w14:paraId="6AAF5295" w14:textId="77777777" w:rsidR="00B926FE" w:rsidRPr="00285A26" w:rsidRDefault="00B926FE" w:rsidP="000A2491">
            <w:pPr>
              <w:pStyle w:val="TableText"/>
              <w:jc w:val="right"/>
              <w:rPr>
                <w:rFonts w:cs="Calibri"/>
                <w:color w:val="000000" w:themeColor="text1"/>
              </w:rPr>
            </w:pPr>
            <w:r w:rsidRPr="00285A26">
              <w:rPr>
                <w:rFonts w:cs="Calibri"/>
              </w:rPr>
              <w:t>7.9 (5.8</w:t>
            </w:r>
            <w:r>
              <w:rPr>
                <w:rFonts w:cs="Calibri"/>
              </w:rPr>
              <w:t xml:space="preserve">, </w:t>
            </w:r>
            <w:r w:rsidRPr="00285A26">
              <w:rPr>
                <w:rFonts w:cs="Calibri"/>
              </w:rPr>
              <w:t>10.6)</w:t>
            </w:r>
          </w:p>
        </w:tc>
        <w:tc>
          <w:tcPr>
            <w:tcW w:w="314" w:type="pct"/>
            <w:tcBorders>
              <w:left w:val="single" w:sz="4" w:space="0" w:color="auto"/>
              <w:bottom w:val="single" w:sz="4" w:space="0" w:color="auto"/>
              <w:right w:val="single" w:sz="4" w:space="0" w:color="auto"/>
            </w:tcBorders>
            <w:shd w:val="clear" w:color="auto" w:fill="auto"/>
            <w:tcMar>
              <w:left w:w="80" w:type="dxa"/>
              <w:right w:w="80" w:type="dxa"/>
            </w:tcMar>
          </w:tcPr>
          <w:p w14:paraId="63000754" w14:textId="77777777" w:rsidR="00B926FE" w:rsidRPr="00285A26" w:rsidRDefault="00B926FE" w:rsidP="000A2491">
            <w:pPr>
              <w:pStyle w:val="TableText"/>
              <w:jc w:val="right"/>
              <w:rPr>
                <w:rFonts w:cs="Calibri"/>
                <w:color w:val="000000" w:themeColor="text1"/>
              </w:rPr>
            </w:pPr>
            <w:r w:rsidRPr="00285A26">
              <w:rPr>
                <w:rFonts w:cs="Calibri"/>
              </w:rPr>
              <w:t>85</w:t>
            </w:r>
          </w:p>
        </w:tc>
        <w:tc>
          <w:tcPr>
            <w:tcW w:w="550" w:type="pct"/>
            <w:tcBorders>
              <w:left w:val="single" w:sz="4" w:space="0" w:color="auto"/>
              <w:bottom w:val="single" w:sz="4" w:space="0" w:color="auto"/>
              <w:right w:val="single" w:sz="4" w:space="0" w:color="auto"/>
            </w:tcBorders>
            <w:shd w:val="clear" w:color="auto" w:fill="auto"/>
            <w:tcMar>
              <w:left w:w="80" w:type="dxa"/>
              <w:right w:w="80" w:type="dxa"/>
            </w:tcMar>
          </w:tcPr>
          <w:p w14:paraId="1325FC42" w14:textId="77777777" w:rsidR="00B926FE" w:rsidRPr="00285A26" w:rsidRDefault="00B926FE" w:rsidP="000A2491">
            <w:pPr>
              <w:pStyle w:val="TableText"/>
              <w:jc w:val="right"/>
              <w:rPr>
                <w:rFonts w:cs="Calibri"/>
                <w:color w:val="000000" w:themeColor="text1"/>
              </w:rPr>
            </w:pPr>
            <w:r w:rsidRPr="00285A26">
              <w:rPr>
                <w:rFonts w:cs="Calibri"/>
              </w:rPr>
              <w:t>860</w:t>
            </w:r>
          </w:p>
        </w:tc>
        <w:tc>
          <w:tcPr>
            <w:tcW w:w="602" w:type="pct"/>
            <w:tcBorders>
              <w:left w:val="single" w:sz="4" w:space="0" w:color="auto"/>
              <w:bottom w:val="single" w:sz="4" w:space="0" w:color="auto"/>
              <w:right w:val="single" w:sz="4" w:space="0" w:color="auto"/>
            </w:tcBorders>
            <w:shd w:val="clear" w:color="auto" w:fill="auto"/>
            <w:tcMar>
              <w:left w:w="80" w:type="dxa"/>
              <w:right w:w="80" w:type="dxa"/>
            </w:tcMar>
          </w:tcPr>
          <w:p w14:paraId="334B222E" w14:textId="77777777" w:rsidR="00B926FE" w:rsidRPr="00285A26" w:rsidRDefault="00B926FE" w:rsidP="000A2491">
            <w:pPr>
              <w:pStyle w:val="TableText"/>
              <w:jc w:val="right"/>
              <w:rPr>
                <w:rFonts w:cs="Calibri"/>
                <w:color w:val="000000" w:themeColor="text1"/>
              </w:rPr>
            </w:pPr>
            <w:r w:rsidRPr="00285A26">
              <w:rPr>
                <w:rFonts w:cs="Calibri"/>
              </w:rPr>
              <w:t>9.5 (4.9</w:t>
            </w:r>
            <w:r>
              <w:rPr>
                <w:rFonts w:cs="Calibri"/>
              </w:rPr>
              <w:t xml:space="preserve">, </w:t>
            </w:r>
            <w:r w:rsidRPr="00285A26">
              <w:rPr>
                <w:rFonts w:cs="Calibri"/>
              </w:rPr>
              <w:t>17.6)</w:t>
            </w:r>
          </w:p>
        </w:tc>
      </w:tr>
      <w:tr w:rsidR="00B926FE" w:rsidRPr="00285A26" w14:paraId="35460A83" w14:textId="77777777" w:rsidTr="005C60DC">
        <w:trPr>
          <w:cantSplit/>
        </w:trPr>
        <w:tc>
          <w:tcPr>
            <w:tcW w:w="1963"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79DEFECF" w14:textId="77777777" w:rsidR="00B926FE" w:rsidRPr="00285A26" w:rsidRDefault="00B926FE" w:rsidP="000A2491">
            <w:pPr>
              <w:pStyle w:val="TableText"/>
              <w:rPr>
                <w:rFonts w:cs="Arial"/>
              </w:rPr>
            </w:pPr>
            <w:r>
              <w:rPr>
                <w:rFonts w:cs="Arial"/>
              </w:rPr>
              <w:t>Harmful</w:t>
            </w:r>
          </w:p>
        </w:tc>
        <w:tc>
          <w:tcPr>
            <w:tcW w:w="314"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7AE2396A" w14:textId="77777777" w:rsidR="00B926FE" w:rsidRPr="007966D4" w:rsidRDefault="00B926FE" w:rsidP="000A2491">
            <w:pPr>
              <w:pStyle w:val="TableText"/>
              <w:jc w:val="right"/>
              <w:rPr>
                <w:rFonts w:cs="Calibri"/>
                <w:color w:val="000000" w:themeColor="text1"/>
                <w:szCs w:val="14"/>
              </w:rPr>
            </w:pPr>
            <w:r w:rsidRPr="00E603D7">
              <w:t>#</w:t>
            </w:r>
          </w:p>
        </w:tc>
        <w:tc>
          <w:tcPr>
            <w:tcW w:w="550"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53C19F34" w14:textId="77777777" w:rsidR="00B926FE" w:rsidRPr="007966D4" w:rsidRDefault="00B926FE" w:rsidP="000A2491">
            <w:pPr>
              <w:pStyle w:val="TableText"/>
              <w:jc w:val="right"/>
              <w:rPr>
                <w:rFonts w:cs="Calibri"/>
                <w:color w:val="000000" w:themeColor="text1"/>
                <w:szCs w:val="14"/>
              </w:rPr>
            </w:pPr>
            <w:r>
              <w:t>–</w:t>
            </w:r>
          </w:p>
        </w:tc>
        <w:tc>
          <w:tcPr>
            <w:tcW w:w="707"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460565EE" w14:textId="77777777" w:rsidR="00B926FE" w:rsidRPr="007966D4" w:rsidRDefault="00B926FE" w:rsidP="000A2491">
            <w:pPr>
              <w:pStyle w:val="TableText"/>
              <w:jc w:val="right"/>
              <w:rPr>
                <w:rFonts w:cs="Calibri"/>
                <w:color w:val="000000" w:themeColor="text1"/>
                <w:szCs w:val="14"/>
              </w:rPr>
            </w:pPr>
            <w:r>
              <w:t>–</w:t>
            </w:r>
          </w:p>
        </w:tc>
        <w:tc>
          <w:tcPr>
            <w:tcW w:w="314"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582445B5" w14:textId="77777777" w:rsidR="00B926FE" w:rsidRPr="001F2E4C" w:rsidRDefault="00B926FE" w:rsidP="000A2491">
            <w:pPr>
              <w:pStyle w:val="TableText"/>
              <w:jc w:val="right"/>
              <w:rPr>
                <w:rFonts w:cs="Calibri"/>
                <w:color w:val="000000" w:themeColor="text1"/>
              </w:rPr>
            </w:pPr>
            <w:r w:rsidRPr="00E603D7">
              <w:t>#</w:t>
            </w:r>
          </w:p>
        </w:tc>
        <w:tc>
          <w:tcPr>
            <w:tcW w:w="550"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02932054" w14:textId="77777777" w:rsidR="00B926FE" w:rsidRPr="001F2E4C" w:rsidRDefault="00B926FE" w:rsidP="000A2491">
            <w:pPr>
              <w:pStyle w:val="TableText"/>
              <w:jc w:val="right"/>
              <w:rPr>
                <w:rFonts w:cs="Calibri"/>
                <w:color w:val="000000" w:themeColor="text1"/>
              </w:rPr>
            </w:pPr>
            <w:r>
              <w:t>–</w:t>
            </w:r>
          </w:p>
        </w:tc>
        <w:tc>
          <w:tcPr>
            <w:tcW w:w="602" w:type="pct"/>
            <w:tcBorders>
              <w:top w:val="single" w:sz="4" w:space="0" w:color="auto"/>
              <w:left w:val="single" w:sz="4" w:space="0" w:color="auto"/>
              <w:right w:val="single" w:sz="4" w:space="0" w:color="auto"/>
            </w:tcBorders>
            <w:shd w:val="clear" w:color="auto" w:fill="D4E4FF" w:themeFill="text2" w:themeFillTint="1A"/>
            <w:tcMar>
              <w:left w:w="80" w:type="dxa"/>
              <w:right w:w="80" w:type="dxa"/>
            </w:tcMar>
          </w:tcPr>
          <w:p w14:paraId="614BD562" w14:textId="77777777" w:rsidR="00B926FE" w:rsidRPr="001F2E4C" w:rsidRDefault="00B926FE" w:rsidP="000A2491">
            <w:pPr>
              <w:pStyle w:val="TableText"/>
              <w:jc w:val="right"/>
              <w:rPr>
                <w:rFonts w:cs="Calibri"/>
                <w:color w:val="000000" w:themeColor="text1"/>
              </w:rPr>
            </w:pPr>
            <w:r>
              <w:t>–</w:t>
            </w:r>
          </w:p>
        </w:tc>
      </w:tr>
      <w:tr w:rsidR="00B926FE" w:rsidRPr="00285A26" w14:paraId="5C381E5A" w14:textId="77777777" w:rsidTr="005C60DC">
        <w:trPr>
          <w:cantSplit/>
        </w:trPr>
        <w:tc>
          <w:tcPr>
            <w:tcW w:w="1963" w:type="pct"/>
            <w:tcBorders>
              <w:left w:val="single" w:sz="4" w:space="0" w:color="auto"/>
              <w:right w:val="single" w:sz="4" w:space="0" w:color="auto"/>
            </w:tcBorders>
            <w:shd w:val="clear" w:color="auto" w:fill="auto"/>
            <w:tcMar>
              <w:left w:w="80" w:type="dxa"/>
              <w:right w:w="80" w:type="dxa"/>
            </w:tcMar>
          </w:tcPr>
          <w:p w14:paraId="5B0E225F" w14:textId="77777777" w:rsidR="00B926FE" w:rsidRPr="00285A26" w:rsidRDefault="00B926FE" w:rsidP="000A2491">
            <w:pPr>
              <w:pStyle w:val="TableText"/>
              <w:rPr>
                <w:rFonts w:cs="Arial"/>
              </w:rPr>
            </w:pPr>
            <w:r>
              <w:rPr>
                <w:rFonts w:cs="Arial"/>
              </w:rPr>
              <w:t>H</w:t>
            </w:r>
            <w:r w:rsidRPr="00285A26">
              <w:rPr>
                <w:rFonts w:cs="Arial"/>
              </w:rPr>
              <w:t>elpful</w:t>
            </w:r>
          </w:p>
        </w:tc>
        <w:tc>
          <w:tcPr>
            <w:tcW w:w="314" w:type="pct"/>
            <w:tcBorders>
              <w:left w:val="single" w:sz="4" w:space="0" w:color="auto"/>
              <w:right w:val="single" w:sz="4" w:space="0" w:color="auto"/>
            </w:tcBorders>
            <w:shd w:val="clear" w:color="auto" w:fill="auto"/>
            <w:tcMar>
              <w:left w:w="80" w:type="dxa"/>
              <w:right w:w="80" w:type="dxa"/>
            </w:tcMar>
          </w:tcPr>
          <w:p w14:paraId="48498E19" w14:textId="77777777" w:rsidR="00B926FE" w:rsidRPr="00285A26" w:rsidRDefault="00B926FE" w:rsidP="000A2491">
            <w:pPr>
              <w:pStyle w:val="TableText"/>
              <w:jc w:val="right"/>
              <w:rPr>
                <w:rFonts w:cs="Calibri"/>
                <w:color w:val="000000" w:themeColor="text1"/>
              </w:rPr>
            </w:pPr>
            <w:r w:rsidRPr="00285A26">
              <w:rPr>
                <w:rFonts w:cs="Calibri"/>
              </w:rPr>
              <w:t>40</w:t>
            </w:r>
          </w:p>
        </w:tc>
        <w:tc>
          <w:tcPr>
            <w:tcW w:w="550" w:type="pct"/>
            <w:tcBorders>
              <w:left w:val="single" w:sz="4" w:space="0" w:color="auto"/>
              <w:right w:val="single" w:sz="4" w:space="0" w:color="auto"/>
            </w:tcBorders>
            <w:shd w:val="clear" w:color="auto" w:fill="auto"/>
            <w:tcMar>
              <w:left w:w="80" w:type="dxa"/>
              <w:right w:w="80" w:type="dxa"/>
            </w:tcMar>
          </w:tcPr>
          <w:p w14:paraId="48DD2B06" w14:textId="77777777" w:rsidR="00B926FE" w:rsidRPr="00285A26" w:rsidRDefault="00B926FE" w:rsidP="000A2491">
            <w:pPr>
              <w:pStyle w:val="TableText"/>
              <w:jc w:val="right"/>
              <w:rPr>
                <w:rFonts w:cs="Calibri"/>
                <w:color w:val="000000" w:themeColor="text1"/>
              </w:rPr>
            </w:pPr>
            <w:r w:rsidRPr="00285A26">
              <w:rPr>
                <w:rFonts w:cs="Calibri"/>
              </w:rPr>
              <w:t>314</w:t>
            </w:r>
          </w:p>
        </w:tc>
        <w:tc>
          <w:tcPr>
            <w:tcW w:w="707" w:type="pct"/>
            <w:tcBorders>
              <w:left w:val="single" w:sz="4" w:space="0" w:color="auto"/>
              <w:right w:val="single" w:sz="4" w:space="0" w:color="auto"/>
            </w:tcBorders>
            <w:shd w:val="clear" w:color="auto" w:fill="auto"/>
            <w:tcMar>
              <w:left w:w="80" w:type="dxa"/>
              <w:right w:w="80" w:type="dxa"/>
            </w:tcMar>
          </w:tcPr>
          <w:p w14:paraId="67C86C21" w14:textId="77777777" w:rsidR="00B926FE" w:rsidRPr="00285A26" w:rsidRDefault="00B926FE" w:rsidP="000A2491">
            <w:pPr>
              <w:pStyle w:val="TableText"/>
              <w:jc w:val="right"/>
              <w:rPr>
                <w:rFonts w:cs="Calibri"/>
                <w:color w:val="000000" w:themeColor="text1"/>
              </w:rPr>
            </w:pPr>
            <w:r w:rsidRPr="00285A26">
              <w:rPr>
                <w:rFonts w:cs="Calibri"/>
              </w:rPr>
              <w:t>65.3 (49.5</w:t>
            </w:r>
            <w:r>
              <w:rPr>
                <w:rFonts w:cs="Calibri"/>
              </w:rPr>
              <w:t xml:space="preserve">, </w:t>
            </w:r>
            <w:r w:rsidRPr="00285A26">
              <w:rPr>
                <w:rFonts w:cs="Calibri"/>
              </w:rPr>
              <w:t>78.3)</w:t>
            </w:r>
          </w:p>
        </w:tc>
        <w:tc>
          <w:tcPr>
            <w:tcW w:w="314" w:type="pct"/>
            <w:tcBorders>
              <w:left w:val="single" w:sz="4" w:space="0" w:color="auto"/>
              <w:right w:val="single" w:sz="4" w:space="0" w:color="auto"/>
            </w:tcBorders>
            <w:shd w:val="clear" w:color="auto" w:fill="auto"/>
            <w:tcMar>
              <w:left w:w="80" w:type="dxa"/>
              <w:right w:w="80" w:type="dxa"/>
            </w:tcMar>
          </w:tcPr>
          <w:p w14:paraId="0EE91DDC" w14:textId="77777777" w:rsidR="00B926FE" w:rsidRPr="00285A26" w:rsidRDefault="00B926FE" w:rsidP="000A2491">
            <w:pPr>
              <w:pStyle w:val="TableText"/>
              <w:jc w:val="right"/>
              <w:rPr>
                <w:rFonts w:cs="Calibri"/>
                <w:color w:val="000000" w:themeColor="text1"/>
              </w:rPr>
            </w:pPr>
            <w:r w:rsidRPr="00285A26">
              <w:rPr>
                <w:rFonts w:cs="Calibri"/>
              </w:rPr>
              <w:t>65</w:t>
            </w:r>
          </w:p>
        </w:tc>
        <w:tc>
          <w:tcPr>
            <w:tcW w:w="550" w:type="pct"/>
            <w:tcBorders>
              <w:left w:val="single" w:sz="4" w:space="0" w:color="auto"/>
              <w:right w:val="single" w:sz="4" w:space="0" w:color="auto"/>
            </w:tcBorders>
            <w:shd w:val="clear" w:color="auto" w:fill="auto"/>
            <w:tcMar>
              <w:left w:w="80" w:type="dxa"/>
              <w:right w:w="80" w:type="dxa"/>
            </w:tcMar>
          </w:tcPr>
          <w:p w14:paraId="202B3BAB" w14:textId="77777777" w:rsidR="00B926FE" w:rsidRPr="00285A26" w:rsidRDefault="00B926FE" w:rsidP="000A2491">
            <w:pPr>
              <w:pStyle w:val="TableText"/>
              <w:jc w:val="right"/>
              <w:rPr>
                <w:rFonts w:cs="Calibri"/>
                <w:color w:val="000000" w:themeColor="text1"/>
              </w:rPr>
            </w:pPr>
            <w:r w:rsidRPr="00285A26">
              <w:rPr>
                <w:rFonts w:cs="Calibri"/>
              </w:rPr>
              <w:t>513</w:t>
            </w:r>
          </w:p>
        </w:tc>
        <w:tc>
          <w:tcPr>
            <w:tcW w:w="602" w:type="pct"/>
            <w:tcBorders>
              <w:left w:val="single" w:sz="4" w:space="0" w:color="auto"/>
              <w:right w:val="single" w:sz="4" w:space="0" w:color="auto"/>
            </w:tcBorders>
            <w:shd w:val="clear" w:color="auto" w:fill="auto"/>
            <w:tcMar>
              <w:left w:w="80" w:type="dxa"/>
              <w:right w:w="80" w:type="dxa"/>
            </w:tcMar>
          </w:tcPr>
          <w:p w14:paraId="359CD22F" w14:textId="77777777" w:rsidR="00B926FE" w:rsidRPr="00285A26" w:rsidRDefault="00B926FE" w:rsidP="000A2491">
            <w:pPr>
              <w:pStyle w:val="TableText"/>
              <w:jc w:val="right"/>
              <w:rPr>
                <w:rFonts w:cs="Calibri"/>
                <w:color w:val="000000" w:themeColor="text1"/>
              </w:rPr>
            </w:pPr>
            <w:r w:rsidRPr="00285A26">
              <w:rPr>
                <w:rFonts w:cs="Calibri"/>
              </w:rPr>
              <w:t>59.7 (25.4</w:t>
            </w:r>
            <w:r>
              <w:rPr>
                <w:rFonts w:cs="Calibri"/>
              </w:rPr>
              <w:t xml:space="preserve">, </w:t>
            </w:r>
            <w:r w:rsidRPr="00285A26">
              <w:rPr>
                <w:rFonts w:cs="Calibri"/>
              </w:rPr>
              <w:t>86.6)</w:t>
            </w:r>
          </w:p>
        </w:tc>
      </w:tr>
      <w:tr w:rsidR="00B926FE" w:rsidRPr="00285A26" w14:paraId="721D5444" w14:textId="77777777" w:rsidTr="005C60DC">
        <w:trPr>
          <w:cantSplit/>
        </w:trPr>
        <w:tc>
          <w:tcPr>
            <w:tcW w:w="1963" w:type="pct"/>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6FF15542" w14:textId="77777777" w:rsidR="00B926FE" w:rsidRPr="00285A26" w:rsidRDefault="00B926FE" w:rsidP="000A2491">
            <w:pPr>
              <w:pStyle w:val="TableText"/>
              <w:rPr>
                <w:rFonts w:cs="Arial"/>
              </w:rPr>
            </w:pPr>
            <w:r w:rsidRPr="00285A26">
              <w:rPr>
                <w:rFonts w:cs="Arial"/>
              </w:rPr>
              <w:t>Neither</w:t>
            </w:r>
          </w:p>
        </w:tc>
        <w:tc>
          <w:tcPr>
            <w:tcW w:w="314" w:type="pct"/>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1860BAC4" w14:textId="77777777" w:rsidR="00B926FE" w:rsidRPr="00285A26" w:rsidRDefault="00B926FE" w:rsidP="000A2491">
            <w:pPr>
              <w:pStyle w:val="TableText"/>
              <w:jc w:val="right"/>
              <w:rPr>
                <w:rFonts w:cs="Calibri"/>
                <w:color w:val="000000" w:themeColor="text1"/>
              </w:rPr>
            </w:pPr>
            <w:r w:rsidRPr="00285A26">
              <w:rPr>
                <w:rFonts w:cs="Calibri"/>
              </w:rPr>
              <w:t>18</w:t>
            </w:r>
          </w:p>
        </w:tc>
        <w:tc>
          <w:tcPr>
            <w:tcW w:w="550" w:type="pct"/>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51E9B95C" w14:textId="77777777" w:rsidR="00B926FE" w:rsidRPr="00285A26" w:rsidRDefault="00B926FE" w:rsidP="000A2491">
            <w:pPr>
              <w:pStyle w:val="TableText"/>
              <w:jc w:val="right"/>
              <w:rPr>
                <w:rFonts w:cs="Calibri"/>
                <w:color w:val="000000" w:themeColor="text1"/>
              </w:rPr>
            </w:pPr>
            <w:r w:rsidRPr="00285A26">
              <w:rPr>
                <w:rFonts w:cs="Calibri"/>
              </w:rPr>
              <w:t>132</w:t>
            </w:r>
          </w:p>
        </w:tc>
        <w:tc>
          <w:tcPr>
            <w:tcW w:w="707" w:type="pct"/>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0E78D531" w14:textId="77777777" w:rsidR="00B926FE" w:rsidRPr="00285A26" w:rsidRDefault="00B926FE" w:rsidP="000A2491">
            <w:pPr>
              <w:pStyle w:val="TableText"/>
              <w:jc w:val="right"/>
              <w:rPr>
                <w:rFonts w:cs="Calibri"/>
                <w:color w:val="000000" w:themeColor="text1"/>
              </w:rPr>
            </w:pPr>
            <w:r w:rsidRPr="00285A26">
              <w:rPr>
                <w:rFonts w:cs="Calibri"/>
              </w:rPr>
              <w:t>27.4 (16.0</w:t>
            </w:r>
            <w:r>
              <w:rPr>
                <w:rFonts w:cs="Calibri"/>
              </w:rPr>
              <w:t xml:space="preserve">, </w:t>
            </w:r>
            <w:r w:rsidRPr="00285A26">
              <w:rPr>
                <w:rFonts w:cs="Calibri"/>
              </w:rPr>
              <w:t>42.9)</w:t>
            </w:r>
          </w:p>
        </w:tc>
        <w:tc>
          <w:tcPr>
            <w:tcW w:w="314" w:type="pct"/>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4C977950" w14:textId="77777777" w:rsidR="00B926FE" w:rsidRPr="00285A26" w:rsidRDefault="00B926FE" w:rsidP="000A2491">
            <w:pPr>
              <w:pStyle w:val="TableText"/>
              <w:jc w:val="right"/>
              <w:rPr>
                <w:rFonts w:cs="Calibri"/>
                <w:color w:val="000000" w:themeColor="text1"/>
              </w:rPr>
            </w:pPr>
            <w:r w:rsidRPr="00285A26">
              <w:rPr>
                <w:rFonts w:cs="Calibri"/>
              </w:rPr>
              <w:t>20</w:t>
            </w:r>
          </w:p>
        </w:tc>
        <w:tc>
          <w:tcPr>
            <w:tcW w:w="550" w:type="pct"/>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6A15DAF6" w14:textId="77777777" w:rsidR="00B926FE" w:rsidRPr="00285A26" w:rsidRDefault="00B926FE" w:rsidP="000A2491">
            <w:pPr>
              <w:pStyle w:val="TableText"/>
              <w:jc w:val="right"/>
              <w:rPr>
                <w:rFonts w:cs="Calibri"/>
                <w:color w:val="000000" w:themeColor="text1"/>
              </w:rPr>
            </w:pPr>
            <w:r w:rsidRPr="00285A26">
              <w:rPr>
                <w:rFonts w:cs="Calibri"/>
              </w:rPr>
              <w:t>347</w:t>
            </w:r>
          </w:p>
        </w:tc>
        <w:tc>
          <w:tcPr>
            <w:tcW w:w="602" w:type="pct"/>
            <w:tcBorders>
              <w:left w:val="single" w:sz="4" w:space="0" w:color="auto"/>
              <w:bottom w:val="single" w:sz="4" w:space="0" w:color="auto"/>
              <w:right w:val="single" w:sz="4" w:space="0" w:color="auto"/>
            </w:tcBorders>
            <w:shd w:val="clear" w:color="auto" w:fill="D4E4FF" w:themeFill="text2" w:themeFillTint="1A"/>
            <w:tcMar>
              <w:left w:w="80" w:type="dxa"/>
              <w:right w:w="80" w:type="dxa"/>
            </w:tcMar>
          </w:tcPr>
          <w:p w14:paraId="637DF498" w14:textId="77777777" w:rsidR="00B926FE" w:rsidRPr="00285A26" w:rsidRDefault="00B926FE" w:rsidP="000A2491">
            <w:pPr>
              <w:pStyle w:val="TableText"/>
              <w:jc w:val="right"/>
              <w:rPr>
                <w:rFonts w:cs="Calibri"/>
                <w:color w:val="000000" w:themeColor="text1"/>
              </w:rPr>
            </w:pPr>
            <w:r w:rsidRPr="00285A26">
              <w:rPr>
                <w:rFonts w:cs="Calibri"/>
              </w:rPr>
              <w:t>40.3 (13.4</w:t>
            </w:r>
            <w:r>
              <w:rPr>
                <w:rFonts w:cs="Calibri"/>
              </w:rPr>
              <w:t xml:space="preserve">, </w:t>
            </w:r>
            <w:r w:rsidRPr="00285A26">
              <w:rPr>
                <w:rFonts w:cs="Calibri"/>
              </w:rPr>
              <w:t>74.6)</w:t>
            </w:r>
          </w:p>
        </w:tc>
      </w:tr>
    </w:tbl>
    <w:p w14:paraId="6A36A7DE" w14:textId="77777777" w:rsidR="00B926FE" w:rsidRPr="00BC1A70" w:rsidRDefault="00B926FE" w:rsidP="00B926FE">
      <w:pPr>
        <w:pStyle w:val="TableNotes"/>
      </w:pPr>
      <w:r w:rsidRPr="00BC1A70">
        <w:t>Notes</w:t>
      </w:r>
    </w:p>
    <w:p w14:paraId="4DD2D088" w14:textId="77777777" w:rsidR="00B926FE" w:rsidRPr="00D17DAE" w:rsidRDefault="00B926FE" w:rsidP="00B926FE">
      <w:pPr>
        <w:pStyle w:val="TableNotes"/>
      </w:pPr>
      <w:r>
        <w:t xml:space="preserve">Denominator: </w:t>
      </w:r>
      <w:r w:rsidRPr="00D17DAE">
        <w:t xml:space="preserve">Those who used </w:t>
      </w:r>
      <w:r>
        <w:t>internet</w:t>
      </w:r>
      <w:r w:rsidRPr="00D17DAE">
        <w:t xml:space="preserve"> to man</w:t>
      </w:r>
      <w:r>
        <w:t>age mental health.</w:t>
      </w:r>
    </w:p>
    <w:p w14:paraId="2B96C5ED" w14:textId="77777777" w:rsidR="00B926FE" w:rsidRPr="00D17DAE" w:rsidRDefault="00B926FE" w:rsidP="00B926FE">
      <w:pPr>
        <w:pStyle w:val="TableNotes"/>
      </w:pPr>
      <w:r w:rsidRPr="00D17DAE">
        <w:t>Based on weighted counts, 73 (1.2%) Transitioned ADF and 90 (1.0%) 2015 Regular ADF had a missing value for this question. However, distributions are calculated by including those with a missing value to allow for correct weighted totals</w:t>
      </w:r>
      <w:r>
        <w:t>.</w:t>
      </w:r>
      <w:r w:rsidRPr="00D17DAE">
        <w:t xml:space="preserve"> </w:t>
      </w:r>
    </w:p>
    <w:p w14:paraId="5233EABD" w14:textId="77777777" w:rsidR="00B926FE" w:rsidRPr="00D17DAE" w:rsidRDefault="00B926FE" w:rsidP="00B926FE">
      <w:pPr>
        <w:pStyle w:val="TableNotes"/>
      </w:pPr>
      <w:r>
        <w:t>95%CI = 95% confidence interval.</w:t>
      </w:r>
      <w:r w:rsidRPr="00D17DAE">
        <w:t xml:space="preserve"> </w:t>
      </w:r>
    </w:p>
    <w:p w14:paraId="2CC1461A" w14:textId="77777777" w:rsidR="00B926FE" w:rsidRDefault="00B926FE" w:rsidP="00B926FE">
      <w:pPr>
        <w:pStyle w:val="TableNotes"/>
      </w:pPr>
      <w:r w:rsidRPr="00D17DAE">
        <w:t>Note: For a full description of odds ratios, interpretation and strength of association</w:t>
      </w:r>
      <w:r>
        <w:t>,</w:t>
      </w:r>
      <w:r w:rsidRPr="00D17DAE">
        <w:t xml:space="preserve"> plea</w:t>
      </w:r>
      <w:r w:rsidRPr="00BB1B84">
        <w:t xml:space="preserve">se refer to Table B.1 in </w:t>
      </w:r>
      <w:r w:rsidR="00374073">
        <w:t>Annex </w:t>
      </w:r>
      <w:r>
        <w:t>B, Odds ratio table.</w:t>
      </w:r>
    </w:p>
    <w:p w14:paraId="0DAB2D70" w14:textId="77777777" w:rsidR="00B926FE" w:rsidRDefault="00B926FE" w:rsidP="00B926FE">
      <w:pPr>
        <w:pStyle w:val="TableNotes"/>
        <w:rPr>
          <w:rFonts w:cs="Calibri"/>
          <w:bCs/>
          <w:color w:val="000000" w:themeColor="text1"/>
          <w:szCs w:val="14"/>
        </w:rPr>
      </w:pPr>
      <w:r>
        <w:rPr>
          <w:rFonts w:cs="Calibri"/>
          <w:bCs/>
          <w:color w:val="000000" w:themeColor="text1"/>
          <w:szCs w:val="14"/>
        </w:rPr>
        <w:t># = Cell size too small to be reported.</w:t>
      </w:r>
    </w:p>
    <w:p w14:paraId="7AFADAEE" w14:textId="6E02DE2F" w:rsidR="00B926FE" w:rsidRDefault="00B926FE" w:rsidP="00B926FE">
      <w:pPr>
        <w:pStyle w:val="FigureName"/>
      </w:pPr>
      <w:bookmarkStart w:id="918" w:name="_Ref509917230"/>
      <w:bookmarkStart w:id="919" w:name="_Toc507594498"/>
      <w:bookmarkStart w:id="920" w:name="_Toc509922961"/>
      <w:bookmarkStart w:id="921" w:name="_Toc515374735"/>
      <w:bookmarkStart w:id="922" w:name="_Toc528932419"/>
      <w:bookmarkStart w:id="923" w:name="_Toc531858099"/>
      <w:r w:rsidRPr="00645E4D">
        <w:t xml:space="preserve">Figure </w:t>
      </w:r>
      <w:r>
        <w:rPr>
          <w:noProof/>
        </w:rPr>
        <w:t>7</w:t>
      </w:r>
      <w:r>
        <w:t>.</w:t>
      </w:r>
      <w:r>
        <w:rPr>
          <w:noProof/>
        </w:rPr>
        <w:t>5</w:t>
      </w:r>
      <w:bookmarkEnd w:id="918"/>
      <w:r>
        <w:tab/>
      </w:r>
      <w:r w:rsidRPr="00645E4D">
        <w:t>Talking</w:t>
      </w:r>
      <w:r w:rsidRPr="00951F29">
        <w:t xml:space="preserve"> about </w:t>
      </w:r>
      <w:r>
        <w:t xml:space="preserve">one’s own </w:t>
      </w:r>
      <w:r w:rsidRPr="00951F29">
        <w:t xml:space="preserve">mental health on the </w:t>
      </w:r>
      <w:r>
        <w:t>internet</w:t>
      </w:r>
      <w:r w:rsidRPr="00951F29">
        <w:t xml:space="preserve"> with a psychologist or other mental health professional </w:t>
      </w:r>
      <w:bookmarkEnd w:id="919"/>
      <w:bookmarkEnd w:id="920"/>
      <w:bookmarkEnd w:id="921"/>
      <w:r>
        <w:t xml:space="preserve">among Transitioned ADF and 2015 Regular ADF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bookmarkEnd w:id="922"/>
      <w:bookmarkEnd w:id="923"/>
    </w:p>
    <w:p w14:paraId="04ADD3FA" w14:textId="77777777" w:rsidR="00B926FE" w:rsidRDefault="005C60DC" w:rsidP="005C60DC">
      <w:pPr>
        <w:spacing w:after="360"/>
      </w:pPr>
      <w:r w:rsidRPr="00A30615">
        <w:rPr>
          <w:noProof/>
          <w:lang w:eastAsia="en-AU"/>
        </w:rPr>
        <w:drawing>
          <wp:inline distT="0" distB="0" distL="0" distR="0" wp14:anchorId="74BC1CC1" wp14:editId="64581BC7">
            <wp:extent cx="4572000" cy="2349932"/>
            <wp:effectExtent l="0" t="0" r="0" b="0"/>
            <wp:docPr id="53" name="Picture 53" descr="Figure 7.5 Talking about one’s own mental health on the internet with a psychologist or other mental health professional among Transitioned ADF and 2015 Regular ADF who reported using the internet to seek help or information for or manage mental health 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althSciences\SPHCP\CTSS\DATA REPOSITORY\TWRP\REPORT 5\FIGURE_4_15.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72000" cy="2349932"/>
                    </a:xfrm>
                    <a:prstGeom prst="rect">
                      <a:avLst/>
                    </a:prstGeom>
                    <a:noFill/>
                    <a:ln>
                      <a:noFill/>
                    </a:ln>
                  </pic:spPr>
                </pic:pic>
              </a:graphicData>
            </a:graphic>
          </wp:inline>
        </w:drawing>
      </w:r>
    </w:p>
    <w:p w14:paraId="1BA9C682" w14:textId="77777777" w:rsidR="00B926FE" w:rsidRPr="00D17DAE" w:rsidRDefault="00B926FE" w:rsidP="00B926FE">
      <w:pPr>
        <w:pStyle w:val="Heading3"/>
        <w:numPr>
          <w:ilvl w:val="2"/>
          <w:numId w:val="1"/>
        </w:numPr>
      </w:pPr>
      <w:bookmarkStart w:id="924" w:name="_Toc509917466"/>
      <w:bookmarkStart w:id="925" w:name="_Toc515374526"/>
      <w:bookmarkStart w:id="926" w:name="_Toc518566426"/>
      <w:bookmarkStart w:id="927" w:name="_Toc528932710"/>
      <w:bookmarkStart w:id="928" w:name="_Toc531859247"/>
      <w:r w:rsidRPr="00D17DAE">
        <w:t>Probable 30-day disorder and demographic characteristics</w:t>
      </w:r>
      <w:bookmarkEnd w:id="924"/>
      <w:bookmarkEnd w:id="925"/>
      <w:bookmarkEnd w:id="926"/>
      <w:bookmarkEnd w:id="927"/>
      <w:bookmarkEnd w:id="928"/>
    </w:p>
    <w:p w14:paraId="5B3134E7" w14:textId="77777777" w:rsidR="00B926FE" w:rsidRPr="00373323" w:rsidRDefault="00B926FE" w:rsidP="00B926FE">
      <w:r>
        <w:t xml:space="preserve">Table </w:t>
      </w:r>
      <w:r>
        <w:rPr>
          <w:noProof/>
        </w:rPr>
        <w:t>7.10</w:t>
      </w:r>
      <w:r>
        <w:t xml:space="preserve"> </w:t>
      </w:r>
      <w:r w:rsidRPr="00373323">
        <w:t xml:space="preserve">presents the estimated proportion of Transitioned ADF and 2015 Regular ADF who reported using the </w:t>
      </w:r>
      <w:r>
        <w:t>internet</w:t>
      </w:r>
      <w:r w:rsidRPr="00373323">
        <w:t xml:space="preserve"> to talk with a </w:t>
      </w:r>
      <w:r>
        <w:t xml:space="preserve">psychologist or other </w:t>
      </w:r>
      <w:r w:rsidRPr="00373323">
        <w:t>health professional about their mental health, according to whether or not they had a probable d</w:t>
      </w:r>
      <w:r>
        <w:t>isorder and demographic chara</w:t>
      </w:r>
      <w:r w:rsidRPr="00373323">
        <w:t>cteristics.</w:t>
      </w:r>
    </w:p>
    <w:p w14:paraId="09C76D4B" w14:textId="77777777" w:rsidR="00B926FE" w:rsidRDefault="00B926FE" w:rsidP="00B926FE">
      <w:r>
        <w:t xml:space="preserve">Among those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t xml:space="preserve"> and who also had a probable disorder, an estimated 7.2% of Transitioned ADF and 3.7% of 2015 Regular ADF reported </w:t>
      </w:r>
      <w:r w:rsidRPr="00373323">
        <w:t xml:space="preserve">using the </w:t>
      </w:r>
      <w:r>
        <w:t>internet</w:t>
      </w:r>
      <w:r w:rsidRPr="00373323">
        <w:t xml:space="preserve"> to talk to a health professional about </w:t>
      </w:r>
      <w:r>
        <w:t xml:space="preserve">their own </w:t>
      </w:r>
      <w:r w:rsidRPr="00373323">
        <w:t>mental health</w:t>
      </w:r>
      <w:r>
        <w:t xml:space="preserve">. </w:t>
      </w:r>
    </w:p>
    <w:p w14:paraId="42B894E3" w14:textId="77777777" w:rsidR="00B926FE" w:rsidRDefault="00B926FE" w:rsidP="00B926FE">
      <w:r>
        <w:t xml:space="preserve">Among the Transitioned ADF and the 2015 Regular ADF, similar proportions of males (7.9% and 10.1% respectively) and females (7.7% and 6.5% respectively) reported using the internet </w:t>
      </w:r>
      <w:r w:rsidRPr="000A2E1E">
        <w:t xml:space="preserve">to talk to a health professional about their </w:t>
      </w:r>
      <w:r>
        <w:t xml:space="preserve">own </w:t>
      </w:r>
      <w:r w:rsidRPr="000A2E1E">
        <w:t>mental health</w:t>
      </w:r>
      <w:r>
        <w:t>.</w:t>
      </w:r>
    </w:p>
    <w:p w14:paraId="3E349C9C" w14:textId="77777777" w:rsidR="00B926FE" w:rsidRDefault="00B926FE" w:rsidP="00B926FE">
      <w:r>
        <w:t>As with findings about talking on the internet to peers, family and friends, and others, again, for the Transitioned ADF the greatest proportion reporting talking on the internet with a psychologist or other mental health professional was in the 18–27 age band (9.8%), though the distribution across age was very similar for all bands. In contrast, within the 2015 Regular ADF, the greatest proportion was among those aged 28–37 (17.1%). There were no differences when the age and sex categories were combined.</w:t>
      </w:r>
    </w:p>
    <w:p w14:paraId="0368E5D7" w14:textId="77777777" w:rsidR="00B926FE" w:rsidRDefault="00B926FE" w:rsidP="00B926FE">
      <w:pPr>
        <w:sectPr w:rsidR="00B926FE" w:rsidSect="00463E44">
          <w:footerReference w:type="even" r:id="rId101"/>
          <w:footerReference w:type="default" r:id="rId102"/>
          <w:pgSz w:w="9979" w:h="14170" w:code="243"/>
          <w:pgMar w:top="1440" w:right="1152" w:bottom="1440" w:left="1728" w:header="576" w:footer="576" w:gutter="0"/>
          <w:cols w:space="708"/>
          <w:docGrid w:linePitch="360"/>
        </w:sectPr>
      </w:pPr>
    </w:p>
    <w:p w14:paraId="6A46226C" w14:textId="77777777" w:rsidR="00B926FE" w:rsidRDefault="00B926FE" w:rsidP="00B926FE">
      <w:pPr>
        <w:pStyle w:val="TableName"/>
      </w:pPr>
      <w:bookmarkStart w:id="929" w:name="_Toc531858029"/>
      <w:bookmarkStart w:id="930" w:name="_Ref509916155"/>
      <w:bookmarkStart w:id="931" w:name="_Toc501633240"/>
      <w:bookmarkStart w:id="932" w:name="_Toc509922900"/>
      <w:bookmarkStart w:id="933" w:name="_Toc515374675"/>
      <w:bookmarkStart w:id="934" w:name="_Toc528932350"/>
      <w:r>
        <w:t xml:space="preserve">Table </w:t>
      </w:r>
      <w:r>
        <w:rPr>
          <w:noProof/>
        </w:rPr>
        <w:t>7</w:t>
      </w:r>
      <w:r>
        <w:t>.</w:t>
      </w:r>
      <w:r>
        <w:rPr>
          <w:noProof/>
        </w:rPr>
        <w:t>10</w:t>
      </w:r>
      <w:r>
        <w:tab/>
      </w:r>
      <w:r w:rsidRPr="007D06C1">
        <w:t>Tal</w:t>
      </w:r>
      <w:r w:rsidRPr="00951F29">
        <w:t xml:space="preserve">king about </w:t>
      </w:r>
      <w:r>
        <w:t xml:space="preserve">one’s own </w:t>
      </w:r>
      <w:r w:rsidRPr="00951F29">
        <w:t xml:space="preserve">mental health on the </w:t>
      </w:r>
      <w:r>
        <w:t>internet</w:t>
      </w:r>
      <w:r w:rsidRPr="00951F29">
        <w:t xml:space="preserve"> with a psychologist or other mental health professional </w:t>
      </w:r>
      <w:r>
        <w:t xml:space="preserve">among Transitioned ADF and 2015 Regular ADF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 xml:space="preserve">issues, </w:t>
      </w:r>
      <w:r w:rsidRPr="00E377E9">
        <w:t>by probable disorder and demographic</w:t>
      </w:r>
      <w:r>
        <w:t xml:space="preserve"> characteristics</w:t>
      </w:r>
      <w:bookmarkEnd w:id="929"/>
    </w:p>
    <w:bookmarkEnd w:id="930"/>
    <w:bookmarkEnd w:id="931"/>
    <w:bookmarkEnd w:id="932"/>
    <w:bookmarkEnd w:id="933"/>
    <w:bookmarkEnd w:id="934"/>
    <w:tbl>
      <w:tblPr>
        <w:tblStyle w:val="TWRPTable"/>
        <w:tblW w:w="5000" w:type="pct"/>
        <w:tblLayout w:type="fixed"/>
        <w:tblCellMar>
          <w:left w:w="115" w:type="dxa"/>
          <w:right w:w="115" w:type="dxa"/>
        </w:tblCellMar>
        <w:tblLook w:val="0000" w:firstRow="0" w:lastRow="0" w:firstColumn="0" w:lastColumn="0" w:noHBand="0" w:noVBand="0"/>
        <w:tblDescription w:val="Table 7.10 Talking about one’s own mental health on the internet with a psychologist or other mental health professional among Transitioned ADF and 2015 Regular ADF who reported using the internet to seek help or information for or manage mental health issues, by probable disorder and demographic characteristics"/>
      </w:tblPr>
      <w:tblGrid>
        <w:gridCol w:w="1074"/>
        <w:gridCol w:w="514"/>
        <w:gridCol w:w="988"/>
        <w:gridCol w:w="1092"/>
        <w:gridCol w:w="445"/>
        <w:gridCol w:w="1014"/>
        <w:gridCol w:w="1032"/>
        <w:gridCol w:w="584"/>
        <w:gridCol w:w="973"/>
        <w:gridCol w:w="1072"/>
        <w:gridCol w:w="438"/>
        <w:gridCol w:w="997"/>
        <w:gridCol w:w="1057"/>
      </w:tblGrid>
      <w:tr w:rsidR="00B926FE" w:rsidRPr="00285A26" w14:paraId="7333361F" w14:textId="77777777" w:rsidTr="005C60DC">
        <w:trPr>
          <w:cantSplit/>
          <w:tblHeader/>
        </w:trPr>
        <w:tc>
          <w:tcPr>
            <w:tcW w:w="1098" w:type="dxa"/>
            <w:tcBorders>
              <w:top w:val="single" w:sz="4" w:space="0" w:color="000000"/>
              <w:bottom w:val="nil"/>
            </w:tcBorders>
          </w:tcPr>
          <w:p w14:paraId="1FA387B7" w14:textId="77777777" w:rsidR="00B926FE" w:rsidRPr="00D17DAE" w:rsidRDefault="00B926FE" w:rsidP="006279A8">
            <w:pPr>
              <w:pStyle w:val="TableText"/>
              <w:spacing w:before="36" w:after="36"/>
              <w:rPr>
                <w:b/>
              </w:rPr>
            </w:pPr>
          </w:p>
        </w:tc>
        <w:tc>
          <w:tcPr>
            <w:tcW w:w="5186" w:type="dxa"/>
            <w:gridSpan w:val="6"/>
            <w:tcBorders>
              <w:top w:val="single" w:sz="4" w:space="0" w:color="000000"/>
              <w:bottom w:val="single" w:sz="4" w:space="0" w:color="000000"/>
            </w:tcBorders>
          </w:tcPr>
          <w:p w14:paraId="5F9A4255" w14:textId="77777777" w:rsidR="00B926FE" w:rsidRPr="00D17DAE" w:rsidRDefault="00B926FE" w:rsidP="006279A8">
            <w:pPr>
              <w:pStyle w:val="TableText"/>
              <w:spacing w:before="36" w:after="36"/>
              <w:jc w:val="center"/>
              <w:rPr>
                <w:b/>
              </w:rPr>
            </w:pPr>
            <w:r w:rsidRPr="00D17DAE">
              <w:rPr>
                <w:b/>
                <w:bCs/>
              </w:rPr>
              <w:t>Transitioned ADF</w:t>
            </w:r>
            <w:r w:rsidR="005C60DC">
              <w:rPr>
                <w:b/>
                <w:bCs/>
              </w:rPr>
              <w:br/>
            </w:r>
            <w:r w:rsidRPr="00D17DAE">
              <w:rPr>
                <w:b/>
                <w:bCs/>
              </w:rPr>
              <w:t>n=6116</w:t>
            </w:r>
          </w:p>
        </w:tc>
        <w:tc>
          <w:tcPr>
            <w:tcW w:w="5222" w:type="dxa"/>
            <w:gridSpan w:val="6"/>
            <w:tcBorders>
              <w:top w:val="single" w:sz="4" w:space="0" w:color="000000"/>
              <w:bottom w:val="single" w:sz="4" w:space="0" w:color="000000"/>
            </w:tcBorders>
          </w:tcPr>
          <w:p w14:paraId="3BEFA254" w14:textId="77777777" w:rsidR="00B926FE" w:rsidRPr="00D17DAE" w:rsidRDefault="00B926FE" w:rsidP="006279A8">
            <w:pPr>
              <w:pStyle w:val="TableText"/>
              <w:spacing w:before="36" w:after="36"/>
              <w:jc w:val="center"/>
              <w:rPr>
                <w:b/>
              </w:rPr>
            </w:pPr>
            <w:r w:rsidRPr="00D17DAE">
              <w:rPr>
                <w:b/>
                <w:bCs/>
              </w:rPr>
              <w:t>2015 Regular ADF</w:t>
            </w:r>
            <w:r w:rsidR="005C60DC">
              <w:rPr>
                <w:b/>
                <w:bCs/>
              </w:rPr>
              <w:br/>
            </w:r>
            <w:r w:rsidRPr="00D17DAE">
              <w:rPr>
                <w:b/>
                <w:bCs/>
              </w:rPr>
              <w:t>n=9042</w:t>
            </w:r>
          </w:p>
        </w:tc>
      </w:tr>
      <w:tr w:rsidR="00B926FE" w:rsidRPr="00285A26" w14:paraId="6DA3916D" w14:textId="77777777" w:rsidTr="005C60DC">
        <w:trPr>
          <w:cantSplit/>
          <w:tblHeader/>
        </w:trPr>
        <w:tc>
          <w:tcPr>
            <w:tcW w:w="1098" w:type="dxa"/>
            <w:tcBorders>
              <w:top w:val="nil"/>
              <w:bottom w:val="nil"/>
            </w:tcBorders>
          </w:tcPr>
          <w:p w14:paraId="0EB039A7" w14:textId="77777777" w:rsidR="00B926FE" w:rsidRPr="00D17DAE" w:rsidRDefault="00B926FE" w:rsidP="006279A8">
            <w:pPr>
              <w:pStyle w:val="TableText"/>
              <w:spacing w:before="36" w:after="36"/>
              <w:rPr>
                <w:b/>
              </w:rPr>
            </w:pPr>
          </w:p>
        </w:tc>
        <w:tc>
          <w:tcPr>
            <w:tcW w:w="2646" w:type="dxa"/>
            <w:gridSpan w:val="3"/>
            <w:tcBorders>
              <w:top w:val="single" w:sz="4" w:space="0" w:color="000000"/>
              <w:bottom w:val="single" w:sz="4" w:space="0" w:color="000000"/>
            </w:tcBorders>
          </w:tcPr>
          <w:p w14:paraId="19A06ED9" w14:textId="77777777" w:rsidR="00B926FE" w:rsidRPr="00D17DAE" w:rsidRDefault="00B926FE" w:rsidP="006279A8">
            <w:pPr>
              <w:pStyle w:val="TableText"/>
              <w:spacing w:before="36" w:after="36"/>
              <w:jc w:val="center"/>
              <w:rPr>
                <w:b/>
              </w:rPr>
            </w:pPr>
            <w:r w:rsidRPr="00D17DAE">
              <w:rPr>
                <w:b/>
              </w:rPr>
              <w:t xml:space="preserve">No, did not talk on the </w:t>
            </w:r>
            <w:r>
              <w:rPr>
                <w:b/>
              </w:rPr>
              <w:t>internet</w:t>
            </w:r>
            <w:r w:rsidRPr="00D17DAE">
              <w:rPr>
                <w:b/>
              </w:rPr>
              <w:t xml:space="preserve"> with a mental health professional</w:t>
            </w:r>
            <w:r>
              <w:rPr>
                <w:b/>
              </w:rPr>
              <w:t>.</w:t>
            </w:r>
            <w:r w:rsidRPr="00D17DAE">
              <w:rPr>
                <w:b/>
              </w:rPr>
              <w:br/>
            </w:r>
            <w:r>
              <w:rPr>
                <w:b/>
              </w:rPr>
              <w:t>n=</w:t>
            </w:r>
            <w:r w:rsidRPr="00D17DAE">
              <w:rPr>
                <w:b/>
              </w:rPr>
              <w:t>5561</w:t>
            </w:r>
          </w:p>
        </w:tc>
        <w:tc>
          <w:tcPr>
            <w:tcW w:w="2540" w:type="dxa"/>
            <w:gridSpan w:val="3"/>
            <w:tcBorders>
              <w:top w:val="single" w:sz="4" w:space="0" w:color="000000"/>
              <w:bottom w:val="single" w:sz="4" w:space="0" w:color="000000"/>
            </w:tcBorders>
          </w:tcPr>
          <w:p w14:paraId="3AC930A2" w14:textId="77777777" w:rsidR="00B926FE" w:rsidRPr="00D17DAE" w:rsidRDefault="00B926FE" w:rsidP="006279A8">
            <w:pPr>
              <w:pStyle w:val="TableText"/>
              <w:spacing w:before="36" w:after="36"/>
              <w:jc w:val="center"/>
              <w:rPr>
                <w:b/>
              </w:rPr>
            </w:pPr>
            <w:r w:rsidRPr="00D17DAE">
              <w:rPr>
                <w:b/>
              </w:rPr>
              <w:t xml:space="preserve">Yes, did talk on the </w:t>
            </w:r>
            <w:r>
              <w:rPr>
                <w:b/>
              </w:rPr>
              <w:t>internet</w:t>
            </w:r>
            <w:r w:rsidRPr="00D17DAE">
              <w:rPr>
                <w:b/>
              </w:rPr>
              <w:t xml:space="preserve"> with a </w:t>
            </w:r>
            <w:r>
              <w:rPr>
                <w:b/>
              </w:rPr>
              <w:t xml:space="preserve">mental health professional. </w:t>
            </w:r>
            <w:r>
              <w:rPr>
                <w:b/>
              </w:rPr>
              <w:br/>
              <w:t>n=</w:t>
            </w:r>
            <w:r w:rsidRPr="00D17DAE">
              <w:rPr>
                <w:b/>
              </w:rPr>
              <w:t>481</w:t>
            </w:r>
          </w:p>
        </w:tc>
        <w:tc>
          <w:tcPr>
            <w:tcW w:w="2681" w:type="dxa"/>
            <w:gridSpan w:val="3"/>
            <w:tcBorders>
              <w:top w:val="single" w:sz="4" w:space="0" w:color="000000"/>
              <w:bottom w:val="single" w:sz="4" w:space="0" w:color="000000"/>
            </w:tcBorders>
          </w:tcPr>
          <w:p w14:paraId="535B7A5C" w14:textId="77777777" w:rsidR="00B926FE" w:rsidRPr="00D17DAE" w:rsidRDefault="00B926FE" w:rsidP="006279A8">
            <w:pPr>
              <w:pStyle w:val="TableText"/>
              <w:spacing w:before="36" w:after="36"/>
              <w:jc w:val="center"/>
              <w:rPr>
                <w:b/>
              </w:rPr>
            </w:pPr>
            <w:r w:rsidRPr="00D17DAE">
              <w:rPr>
                <w:b/>
              </w:rPr>
              <w:t xml:space="preserve">No, did not talk on the </w:t>
            </w:r>
            <w:r>
              <w:rPr>
                <w:b/>
              </w:rPr>
              <w:t>internet</w:t>
            </w:r>
            <w:r w:rsidRPr="00D17DAE">
              <w:rPr>
                <w:b/>
              </w:rPr>
              <w:t xml:space="preserve"> with a </w:t>
            </w:r>
            <w:r>
              <w:rPr>
                <w:b/>
              </w:rPr>
              <w:t xml:space="preserve">mental health professional. </w:t>
            </w:r>
            <w:r>
              <w:rPr>
                <w:b/>
              </w:rPr>
              <w:br/>
              <w:t>n=</w:t>
            </w:r>
            <w:r w:rsidRPr="00D17DAE">
              <w:rPr>
                <w:b/>
              </w:rPr>
              <w:t>8093</w:t>
            </w:r>
          </w:p>
        </w:tc>
        <w:tc>
          <w:tcPr>
            <w:tcW w:w="2541" w:type="dxa"/>
            <w:gridSpan w:val="3"/>
            <w:tcBorders>
              <w:top w:val="single" w:sz="4" w:space="0" w:color="000000"/>
              <w:bottom w:val="single" w:sz="4" w:space="0" w:color="000000"/>
            </w:tcBorders>
          </w:tcPr>
          <w:p w14:paraId="77720E82" w14:textId="77777777" w:rsidR="00B926FE" w:rsidRPr="00D17DAE" w:rsidRDefault="00B926FE" w:rsidP="006279A8">
            <w:pPr>
              <w:pStyle w:val="TableText"/>
              <w:spacing w:before="36" w:after="36"/>
              <w:jc w:val="center"/>
              <w:rPr>
                <w:b/>
              </w:rPr>
            </w:pPr>
            <w:r w:rsidRPr="00D17DAE">
              <w:rPr>
                <w:b/>
              </w:rPr>
              <w:t xml:space="preserve">Yes, did talk on the </w:t>
            </w:r>
            <w:r>
              <w:rPr>
                <w:b/>
              </w:rPr>
              <w:t>internet</w:t>
            </w:r>
            <w:r w:rsidRPr="00D17DAE">
              <w:rPr>
                <w:b/>
              </w:rPr>
              <w:t xml:space="preserve"> with a </w:t>
            </w:r>
            <w:r>
              <w:rPr>
                <w:b/>
              </w:rPr>
              <w:t xml:space="preserve">mental health professional. </w:t>
            </w:r>
            <w:r>
              <w:rPr>
                <w:b/>
              </w:rPr>
              <w:br/>
              <w:t>n=</w:t>
            </w:r>
            <w:r w:rsidRPr="00D17DAE">
              <w:rPr>
                <w:b/>
              </w:rPr>
              <w:t>860</w:t>
            </w:r>
          </w:p>
        </w:tc>
      </w:tr>
      <w:tr w:rsidR="005C60DC" w:rsidRPr="00285A26" w14:paraId="0A519FE2" w14:textId="77777777" w:rsidTr="005C60DC">
        <w:trPr>
          <w:cantSplit/>
          <w:tblHeader/>
        </w:trPr>
        <w:tc>
          <w:tcPr>
            <w:tcW w:w="1098" w:type="dxa"/>
            <w:tcBorders>
              <w:top w:val="nil"/>
              <w:bottom w:val="single" w:sz="4" w:space="0" w:color="000000"/>
            </w:tcBorders>
          </w:tcPr>
          <w:p w14:paraId="370EFAB5" w14:textId="77777777" w:rsidR="00B926FE" w:rsidRPr="00D17DAE" w:rsidRDefault="00B926FE" w:rsidP="006279A8">
            <w:pPr>
              <w:pStyle w:val="TableText"/>
              <w:spacing w:before="36" w:after="36"/>
              <w:rPr>
                <w:b/>
              </w:rPr>
            </w:pPr>
            <w:r w:rsidRPr="00D17DAE">
              <w:rPr>
                <w:b/>
              </w:rPr>
              <w:t>Type</w:t>
            </w:r>
          </w:p>
        </w:tc>
        <w:tc>
          <w:tcPr>
            <w:tcW w:w="521" w:type="dxa"/>
            <w:tcBorders>
              <w:top w:val="single" w:sz="4" w:space="0" w:color="000000"/>
              <w:bottom w:val="single" w:sz="4" w:space="0" w:color="000000"/>
            </w:tcBorders>
          </w:tcPr>
          <w:p w14:paraId="54B4D230" w14:textId="77777777" w:rsidR="00B926FE" w:rsidRPr="00D17DAE" w:rsidRDefault="00B926FE" w:rsidP="006279A8">
            <w:pPr>
              <w:pStyle w:val="TableText"/>
              <w:spacing w:before="36" w:after="36"/>
              <w:jc w:val="right"/>
              <w:rPr>
                <w:b/>
              </w:rPr>
            </w:pPr>
            <w:r w:rsidRPr="00D17DAE">
              <w:rPr>
                <w:b/>
              </w:rPr>
              <w:t>n</w:t>
            </w:r>
          </w:p>
        </w:tc>
        <w:tc>
          <w:tcPr>
            <w:tcW w:w="1009" w:type="dxa"/>
            <w:tcBorders>
              <w:top w:val="single" w:sz="4" w:space="0" w:color="000000"/>
              <w:bottom w:val="single" w:sz="4" w:space="0" w:color="000000"/>
            </w:tcBorders>
          </w:tcPr>
          <w:p w14:paraId="37F04C83" w14:textId="77777777" w:rsidR="00B926FE" w:rsidRPr="00D17DAE" w:rsidRDefault="00B926FE" w:rsidP="006279A8">
            <w:pPr>
              <w:pStyle w:val="TableText"/>
              <w:spacing w:before="36" w:after="36"/>
              <w:jc w:val="right"/>
              <w:rPr>
                <w:b/>
              </w:rPr>
            </w:pPr>
            <w:r w:rsidRPr="00D17DAE">
              <w:rPr>
                <w:b/>
              </w:rPr>
              <w:t>Weighted n</w:t>
            </w:r>
          </w:p>
        </w:tc>
        <w:tc>
          <w:tcPr>
            <w:tcW w:w="1116" w:type="dxa"/>
            <w:tcBorders>
              <w:top w:val="single" w:sz="4" w:space="0" w:color="000000"/>
              <w:bottom w:val="single" w:sz="4" w:space="0" w:color="000000"/>
            </w:tcBorders>
          </w:tcPr>
          <w:p w14:paraId="18B40599" w14:textId="77777777" w:rsidR="00B926FE" w:rsidRPr="00D17DAE" w:rsidRDefault="00B926FE" w:rsidP="006279A8">
            <w:pPr>
              <w:pStyle w:val="TableText"/>
              <w:spacing w:before="36" w:after="36"/>
              <w:jc w:val="right"/>
              <w:rPr>
                <w:b/>
              </w:rPr>
            </w:pPr>
            <w:r w:rsidRPr="00D17DAE">
              <w:rPr>
                <w:b/>
              </w:rPr>
              <w:t>% (95%CI)</w:t>
            </w:r>
          </w:p>
        </w:tc>
        <w:tc>
          <w:tcPr>
            <w:tcW w:w="450" w:type="dxa"/>
            <w:tcBorders>
              <w:top w:val="single" w:sz="4" w:space="0" w:color="000000"/>
              <w:bottom w:val="single" w:sz="4" w:space="0" w:color="000000"/>
            </w:tcBorders>
          </w:tcPr>
          <w:p w14:paraId="4D478769" w14:textId="77777777" w:rsidR="00B926FE" w:rsidRPr="00D17DAE" w:rsidRDefault="00B926FE" w:rsidP="006279A8">
            <w:pPr>
              <w:pStyle w:val="TableText"/>
              <w:spacing w:before="36" w:after="36"/>
              <w:jc w:val="right"/>
              <w:rPr>
                <w:b/>
              </w:rPr>
            </w:pPr>
            <w:r w:rsidRPr="00D17DAE">
              <w:rPr>
                <w:b/>
              </w:rPr>
              <w:t>n</w:t>
            </w:r>
          </w:p>
        </w:tc>
        <w:tc>
          <w:tcPr>
            <w:tcW w:w="1036" w:type="dxa"/>
            <w:tcBorders>
              <w:top w:val="single" w:sz="4" w:space="0" w:color="000000"/>
              <w:bottom w:val="single" w:sz="4" w:space="0" w:color="000000"/>
            </w:tcBorders>
          </w:tcPr>
          <w:p w14:paraId="4C22B643" w14:textId="77777777" w:rsidR="00B926FE" w:rsidRPr="00D17DAE" w:rsidRDefault="00B926FE" w:rsidP="006279A8">
            <w:pPr>
              <w:pStyle w:val="TableText"/>
              <w:spacing w:before="36" w:after="36"/>
              <w:jc w:val="right"/>
              <w:rPr>
                <w:b/>
              </w:rPr>
            </w:pPr>
            <w:r w:rsidRPr="00D17DAE">
              <w:rPr>
                <w:b/>
              </w:rPr>
              <w:t>Weighted n</w:t>
            </w:r>
          </w:p>
        </w:tc>
        <w:tc>
          <w:tcPr>
            <w:tcW w:w="1054" w:type="dxa"/>
            <w:tcBorders>
              <w:top w:val="single" w:sz="4" w:space="0" w:color="000000"/>
              <w:bottom w:val="single" w:sz="4" w:space="0" w:color="000000"/>
            </w:tcBorders>
          </w:tcPr>
          <w:p w14:paraId="6AB7107D" w14:textId="77777777" w:rsidR="00B926FE" w:rsidRPr="00D17DAE" w:rsidRDefault="00B926FE" w:rsidP="006279A8">
            <w:pPr>
              <w:pStyle w:val="TableText"/>
              <w:spacing w:before="36" w:after="36"/>
              <w:jc w:val="right"/>
              <w:rPr>
                <w:b/>
              </w:rPr>
            </w:pPr>
            <w:r w:rsidRPr="00D17DAE">
              <w:rPr>
                <w:b/>
              </w:rPr>
              <w:t>% (95%CI)</w:t>
            </w:r>
          </w:p>
        </w:tc>
        <w:tc>
          <w:tcPr>
            <w:tcW w:w="593" w:type="dxa"/>
            <w:tcBorders>
              <w:top w:val="single" w:sz="4" w:space="0" w:color="000000"/>
              <w:bottom w:val="single" w:sz="4" w:space="0" w:color="000000"/>
            </w:tcBorders>
          </w:tcPr>
          <w:p w14:paraId="0C0077AF" w14:textId="77777777" w:rsidR="00B926FE" w:rsidRPr="00D17DAE" w:rsidRDefault="00B926FE" w:rsidP="006279A8">
            <w:pPr>
              <w:pStyle w:val="TableText"/>
              <w:spacing w:before="36" w:after="36"/>
              <w:jc w:val="right"/>
              <w:rPr>
                <w:b/>
              </w:rPr>
            </w:pPr>
            <w:r w:rsidRPr="00D17DAE">
              <w:rPr>
                <w:b/>
              </w:rPr>
              <w:t>n</w:t>
            </w:r>
          </w:p>
        </w:tc>
        <w:tc>
          <w:tcPr>
            <w:tcW w:w="993" w:type="dxa"/>
            <w:tcBorders>
              <w:top w:val="single" w:sz="4" w:space="0" w:color="000000"/>
              <w:bottom w:val="single" w:sz="4" w:space="0" w:color="000000"/>
            </w:tcBorders>
          </w:tcPr>
          <w:p w14:paraId="08FC3A1D" w14:textId="77777777" w:rsidR="00B926FE" w:rsidRPr="00D17DAE" w:rsidRDefault="00B926FE" w:rsidP="006279A8">
            <w:pPr>
              <w:pStyle w:val="TableText"/>
              <w:spacing w:before="36" w:after="36"/>
              <w:jc w:val="right"/>
              <w:rPr>
                <w:b/>
              </w:rPr>
            </w:pPr>
            <w:r w:rsidRPr="00D17DAE">
              <w:rPr>
                <w:b/>
              </w:rPr>
              <w:t>Weighted n</w:t>
            </w:r>
          </w:p>
        </w:tc>
        <w:tc>
          <w:tcPr>
            <w:tcW w:w="1095" w:type="dxa"/>
            <w:tcBorders>
              <w:top w:val="single" w:sz="4" w:space="0" w:color="000000"/>
              <w:bottom w:val="single" w:sz="4" w:space="0" w:color="000000"/>
            </w:tcBorders>
          </w:tcPr>
          <w:p w14:paraId="4F4E0D3A" w14:textId="77777777" w:rsidR="00B926FE" w:rsidRPr="00D17DAE" w:rsidRDefault="00B926FE" w:rsidP="006279A8">
            <w:pPr>
              <w:pStyle w:val="TableText"/>
              <w:spacing w:before="36" w:after="36"/>
              <w:jc w:val="right"/>
              <w:rPr>
                <w:b/>
              </w:rPr>
            </w:pPr>
            <w:r w:rsidRPr="00D17DAE">
              <w:rPr>
                <w:b/>
              </w:rPr>
              <w:t>% (95%CI)</w:t>
            </w:r>
          </w:p>
        </w:tc>
        <w:tc>
          <w:tcPr>
            <w:tcW w:w="443" w:type="dxa"/>
            <w:tcBorders>
              <w:top w:val="single" w:sz="4" w:space="0" w:color="000000"/>
              <w:bottom w:val="single" w:sz="4" w:space="0" w:color="000000"/>
            </w:tcBorders>
          </w:tcPr>
          <w:p w14:paraId="005E47BC" w14:textId="77777777" w:rsidR="00B926FE" w:rsidRPr="00D17DAE" w:rsidRDefault="00B926FE" w:rsidP="006279A8">
            <w:pPr>
              <w:pStyle w:val="TableText"/>
              <w:spacing w:before="36" w:after="36"/>
              <w:jc w:val="right"/>
              <w:rPr>
                <w:b/>
              </w:rPr>
            </w:pPr>
            <w:r w:rsidRPr="00D17DAE">
              <w:rPr>
                <w:b/>
              </w:rPr>
              <w:t>n</w:t>
            </w:r>
          </w:p>
        </w:tc>
        <w:tc>
          <w:tcPr>
            <w:tcW w:w="1018" w:type="dxa"/>
            <w:tcBorders>
              <w:top w:val="single" w:sz="4" w:space="0" w:color="000000"/>
              <w:bottom w:val="single" w:sz="4" w:space="0" w:color="000000"/>
            </w:tcBorders>
          </w:tcPr>
          <w:p w14:paraId="3BF2ACB9" w14:textId="77777777" w:rsidR="00B926FE" w:rsidRPr="00D17DAE" w:rsidRDefault="00B926FE" w:rsidP="006279A8">
            <w:pPr>
              <w:pStyle w:val="TableText"/>
              <w:spacing w:before="36" w:after="36"/>
              <w:jc w:val="right"/>
              <w:rPr>
                <w:b/>
              </w:rPr>
            </w:pPr>
            <w:r w:rsidRPr="00D17DAE">
              <w:rPr>
                <w:b/>
              </w:rPr>
              <w:t>Weighted n</w:t>
            </w:r>
          </w:p>
        </w:tc>
        <w:tc>
          <w:tcPr>
            <w:tcW w:w="1080" w:type="dxa"/>
            <w:tcBorders>
              <w:top w:val="single" w:sz="4" w:space="0" w:color="000000"/>
              <w:bottom w:val="single" w:sz="4" w:space="0" w:color="000000"/>
            </w:tcBorders>
          </w:tcPr>
          <w:p w14:paraId="67D8FC3D" w14:textId="77777777" w:rsidR="00B926FE" w:rsidRPr="00D17DAE" w:rsidRDefault="00B926FE" w:rsidP="006279A8">
            <w:pPr>
              <w:pStyle w:val="TableText"/>
              <w:spacing w:before="36" w:after="36"/>
              <w:jc w:val="right"/>
              <w:rPr>
                <w:b/>
              </w:rPr>
            </w:pPr>
            <w:r w:rsidRPr="00D17DAE">
              <w:rPr>
                <w:b/>
              </w:rPr>
              <w:t>% (95%CI)</w:t>
            </w:r>
          </w:p>
        </w:tc>
      </w:tr>
      <w:tr w:rsidR="00B926FE" w:rsidRPr="00285A26" w14:paraId="439C9623"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Borders>
              <w:top w:val="single" w:sz="4" w:space="0" w:color="000000"/>
            </w:tcBorders>
          </w:tcPr>
          <w:p w14:paraId="786F4DE8" w14:textId="77777777" w:rsidR="00B926FE" w:rsidRPr="00D17DAE" w:rsidRDefault="00B926FE" w:rsidP="006279A8">
            <w:pPr>
              <w:pStyle w:val="TableText"/>
              <w:spacing w:before="36" w:after="36"/>
              <w:rPr>
                <w:b/>
              </w:rPr>
            </w:pPr>
            <w:r w:rsidRPr="00D17DAE">
              <w:rPr>
                <w:b/>
                <w:bCs/>
                <w:color w:val="000000" w:themeColor="text1"/>
              </w:rPr>
              <w:t>Probable 30-day disorder</w:t>
            </w:r>
          </w:p>
        </w:tc>
        <w:tc>
          <w:tcPr>
            <w:tcW w:w="521" w:type="dxa"/>
            <w:tcBorders>
              <w:top w:val="single" w:sz="4" w:space="0" w:color="000000"/>
            </w:tcBorders>
          </w:tcPr>
          <w:p w14:paraId="610CAEF2" w14:textId="77777777" w:rsidR="00B926FE" w:rsidRPr="00285A26" w:rsidRDefault="00B926FE" w:rsidP="006279A8">
            <w:pPr>
              <w:pStyle w:val="TableText"/>
              <w:spacing w:before="36" w:after="36"/>
              <w:jc w:val="right"/>
            </w:pPr>
          </w:p>
        </w:tc>
        <w:tc>
          <w:tcPr>
            <w:tcW w:w="1009" w:type="dxa"/>
            <w:tcBorders>
              <w:top w:val="single" w:sz="4" w:space="0" w:color="000000"/>
            </w:tcBorders>
          </w:tcPr>
          <w:p w14:paraId="3EA068E2" w14:textId="77777777" w:rsidR="00B926FE" w:rsidRPr="00285A26" w:rsidRDefault="00B926FE" w:rsidP="006279A8">
            <w:pPr>
              <w:pStyle w:val="TableText"/>
              <w:spacing w:before="36" w:after="36"/>
              <w:jc w:val="right"/>
            </w:pPr>
          </w:p>
        </w:tc>
        <w:tc>
          <w:tcPr>
            <w:tcW w:w="1116" w:type="dxa"/>
            <w:tcBorders>
              <w:top w:val="single" w:sz="4" w:space="0" w:color="000000"/>
            </w:tcBorders>
          </w:tcPr>
          <w:p w14:paraId="2AE48051" w14:textId="77777777" w:rsidR="00B926FE" w:rsidRPr="00285A26" w:rsidRDefault="00B926FE" w:rsidP="006279A8">
            <w:pPr>
              <w:pStyle w:val="TableText"/>
              <w:spacing w:before="36" w:after="36"/>
              <w:jc w:val="right"/>
            </w:pPr>
          </w:p>
        </w:tc>
        <w:tc>
          <w:tcPr>
            <w:tcW w:w="450" w:type="dxa"/>
            <w:tcBorders>
              <w:top w:val="single" w:sz="4" w:space="0" w:color="000000"/>
            </w:tcBorders>
          </w:tcPr>
          <w:p w14:paraId="1B1B7194" w14:textId="77777777" w:rsidR="00B926FE" w:rsidRPr="00285A26" w:rsidRDefault="00B926FE" w:rsidP="006279A8">
            <w:pPr>
              <w:pStyle w:val="TableText"/>
              <w:spacing w:before="36" w:after="36"/>
              <w:jc w:val="right"/>
            </w:pPr>
          </w:p>
        </w:tc>
        <w:tc>
          <w:tcPr>
            <w:tcW w:w="1036" w:type="dxa"/>
            <w:tcBorders>
              <w:top w:val="single" w:sz="4" w:space="0" w:color="000000"/>
            </w:tcBorders>
          </w:tcPr>
          <w:p w14:paraId="06E0FF8E" w14:textId="77777777" w:rsidR="00B926FE" w:rsidRPr="00285A26" w:rsidRDefault="00B926FE" w:rsidP="006279A8">
            <w:pPr>
              <w:pStyle w:val="TableText"/>
              <w:spacing w:before="36" w:after="36"/>
              <w:jc w:val="right"/>
            </w:pPr>
          </w:p>
        </w:tc>
        <w:tc>
          <w:tcPr>
            <w:tcW w:w="1054" w:type="dxa"/>
            <w:tcBorders>
              <w:top w:val="single" w:sz="4" w:space="0" w:color="000000"/>
            </w:tcBorders>
          </w:tcPr>
          <w:p w14:paraId="00B89453" w14:textId="77777777" w:rsidR="00B926FE" w:rsidRPr="00285A26" w:rsidRDefault="00B926FE" w:rsidP="006279A8">
            <w:pPr>
              <w:pStyle w:val="TableText"/>
              <w:spacing w:before="36" w:after="36"/>
              <w:jc w:val="right"/>
            </w:pPr>
          </w:p>
        </w:tc>
        <w:tc>
          <w:tcPr>
            <w:tcW w:w="593" w:type="dxa"/>
            <w:tcBorders>
              <w:top w:val="single" w:sz="4" w:space="0" w:color="000000"/>
            </w:tcBorders>
          </w:tcPr>
          <w:p w14:paraId="441EEE4C" w14:textId="77777777" w:rsidR="00B926FE" w:rsidRPr="00285A26" w:rsidRDefault="00B926FE" w:rsidP="006279A8">
            <w:pPr>
              <w:pStyle w:val="TableText"/>
              <w:spacing w:before="36" w:after="36"/>
              <w:jc w:val="right"/>
            </w:pPr>
          </w:p>
        </w:tc>
        <w:tc>
          <w:tcPr>
            <w:tcW w:w="993" w:type="dxa"/>
            <w:tcBorders>
              <w:top w:val="single" w:sz="4" w:space="0" w:color="000000"/>
            </w:tcBorders>
          </w:tcPr>
          <w:p w14:paraId="71A8B1A6" w14:textId="77777777" w:rsidR="00B926FE" w:rsidRPr="00285A26" w:rsidRDefault="00B926FE" w:rsidP="006279A8">
            <w:pPr>
              <w:pStyle w:val="TableText"/>
              <w:spacing w:before="36" w:after="36"/>
              <w:jc w:val="right"/>
            </w:pPr>
          </w:p>
        </w:tc>
        <w:tc>
          <w:tcPr>
            <w:tcW w:w="1095" w:type="dxa"/>
            <w:tcBorders>
              <w:top w:val="single" w:sz="4" w:space="0" w:color="000000"/>
            </w:tcBorders>
          </w:tcPr>
          <w:p w14:paraId="6FB42304" w14:textId="77777777" w:rsidR="00B926FE" w:rsidRPr="00285A26" w:rsidRDefault="00B926FE" w:rsidP="006279A8">
            <w:pPr>
              <w:pStyle w:val="TableText"/>
              <w:spacing w:before="36" w:after="36"/>
              <w:jc w:val="right"/>
            </w:pPr>
          </w:p>
        </w:tc>
        <w:tc>
          <w:tcPr>
            <w:tcW w:w="443" w:type="dxa"/>
            <w:tcBorders>
              <w:top w:val="single" w:sz="4" w:space="0" w:color="000000"/>
            </w:tcBorders>
          </w:tcPr>
          <w:p w14:paraId="6CB03814" w14:textId="77777777" w:rsidR="00B926FE" w:rsidRPr="00285A26" w:rsidRDefault="00B926FE" w:rsidP="006279A8">
            <w:pPr>
              <w:pStyle w:val="TableText"/>
              <w:spacing w:before="36" w:after="36"/>
              <w:jc w:val="right"/>
            </w:pPr>
          </w:p>
        </w:tc>
        <w:tc>
          <w:tcPr>
            <w:tcW w:w="1018" w:type="dxa"/>
            <w:tcBorders>
              <w:top w:val="single" w:sz="4" w:space="0" w:color="000000"/>
            </w:tcBorders>
          </w:tcPr>
          <w:p w14:paraId="3F643933" w14:textId="77777777" w:rsidR="00B926FE" w:rsidRPr="00285A26" w:rsidRDefault="00B926FE" w:rsidP="006279A8">
            <w:pPr>
              <w:pStyle w:val="TableText"/>
              <w:spacing w:before="36" w:after="36"/>
              <w:jc w:val="right"/>
            </w:pPr>
          </w:p>
        </w:tc>
        <w:tc>
          <w:tcPr>
            <w:tcW w:w="1080" w:type="dxa"/>
            <w:tcBorders>
              <w:top w:val="single" w:sz="4" w:space="0" w:color="000000"/>
            </w:tcBorders>
          </w:tcPr>
          <w:p w14:paraId="02F31C98" w14:textId="77777777" w:rsidR="00B926FE" w:rsidRPr="00285A26" w:rsidRDefault="00B926FE" w:rsidP="006279A8">
            <w:pPr>
              <w:pStyle w:val="TableText"/>
              <w:spacing w:before="36" w:after="36"/>
              <w:jc w:val="right"/>
            </w:pPr>
          </w:p>
        </w:tc>
      </w:tr>
      <w:tr w:rsidR="005C60DC" w:rsidRPr="00285A26" w14:paraId="3D3BC420" w14:textId="77777777" w:rsidTr="005C60DC">
        <w:trPr>
          <w:cantSplit/>
        </w:trPr>
        <w:tc>
          <w:tcPr>
            <w:tcW w:w="1098" w:type="dxa"/>
          </w:tcPr>
          <w:p w14:paraId="693888EB" w14:textId="77777777" w:rsidR="00B926FE" w:rsidRPr="00D17DAE" w:rsidRDefault="00B926FE" w:rsidP="006279A8">
            <w:pPr>
              <w:pStyle w:val="TableText"/>
              <w:spacing w:before="36" w:after="36"/>
              <w:rPr>
                <w:bCs/>
                <w:color w:val="000000" w:themeColor="text1"/>
              </w:rPr>
            </w:pPr>
            <w:r w:rsidRPr="00D17DAE">
              <w:rPr>
                <w:bCs/>
                <w:color w:val="000000" w:themeColor="text1"/>
              </w:rPr>
              <w:t>Yes</w:t>
            </w:r>
          </w:p>
        </w:tc>
        <w:tc>
          <w:tcPr>
            <w:tcW w:w="521" w:type="dxa"/>
          </w:tcPr>
          <w:p w14:paraId="38E985CC" w14:textId="77777777" w:rsidR="00B926FE" w:rsidRPr="00861126" w:rsidRDefault="00B926FE" w:rsidP="006279A8">
            <w:pPr>
              <w:pStyle w:val="TableText"/>
              <w:spacing w:before="36" w:after="36"/>
              <w:jc w:val="right"/>
            </w:pPr>
            <w:r w:rsidRPr="00861126">
              <w:t>350</w:t>
            </w:r>
          </w:p>
        </w:tc>
        <w:tc>
          <w:tcPr>
            <w:tcW w:w="1009" w:type="dxa"/>
          </w:tcPr>
          <w:p w14:paraId="71BEC88F" w14:textId="77777777" w:rsidR="00B926FE" w:rsidRPr="00861126" w:rsidRDefault="00B926FE" w:rsidP="006279A8">
            <w:pPr>
              <w:pStyle w:val="TableText"/>
              <w:spacing w:before="36" w:after="36"/>
              <w:jc w:val="right"/>
            </w:pPr>
            <w:r w:rsidRPr="00861126">
              <w:t>2479</w:t>
            </w:r>
          </w:p>
        </w:tc>
        <w:tc>
          <w:tcPr>
            <w:tcW w:w="1116" w:type="dxa"/>
          </w:tcPr>
          <w:p w14:paraId="3F2113E7" w14:textId="77777777" w:rsidR="00B926FE" w:rsidRPr="00861126" w:rsidRDefault="00B926FE" w:rsidP="006279A8">
            <w:pPr>
              <w:pStyle w:val="TableText"/>
              <w:spacing w:before="36" w:after="36"/>
              <w:jc w:val="right"/>
            </w:pPr>
            <w:r w:rsidRPr="00861126">
              <w:t>91.7 (88.3</w:t>
            </w:r>
            <w:r>
              <w:t xml:space="preserve">, </w:t>
            </w:r>
            <w:r w:rsidRPr="00861126">
              <w:t>94.2)</w:t>
            </w:r>
          </w:p>
        </w:tc>
        <w:tc>
          <w:tcPr>
            <w:tcW w:w="450" w:type="dxa"/>
          </w:tcPr>
          <w:p w14:paraId="73056BCB" w14:textId="77777777" w:rsidR="00B926FE" w:rsidRPr="00861126" w:rsidRDefault="00B926FE" w:rsidP="006279A8">
            <w:pPr>
              <w:pStyle w:val="TableText"/>
              <w:spacing w:before="36" w:after="36"/>
              <w:jc w:val="right"/>
            </w:pPr>
            <w:r w:rsidRPr="00861126">
              <w:t>35</w:t>
            </w:r>
          </w:p>
        </w:tc>
        <w:tc>
          <w:tcPr>
            <w:tcW w:w="1036" w:type="dxa"/>
          </w:tcPr>
          <w:p w14:paraId="320533A6" w14:textId="77777777" w:rsidR="00B926FE" w:rsidRPr="00861126" w:rsidRDefault="00B926FE" w:rsidP="006279A8">
            <w:pPr>
              <w:pStyle w:val="TableText"/>
              <w:spacing w:before="36" w:after="36"/>
              <w:jc w:val="right"/>
            </w:pPr>
            <w:r w:rsidRPr="00861126">
              <w:t>195</w:t>
            </w:r>
          </w:p>
        </w:tc>
        <w:tc>
          <w:tcPr>
            <w:tcW w:w="1054" w:type="dxa"/>
          </w:tcPr>
          <w:p w14:paraId="0C9B262C" w14:textId="77777777" w:rsidR="00B926FE" w:rsidRPr="00861126" w:rsidRDefault="00B926FE" w:rsidP="006279A8">
            <w:pPr>
              <w:pStyle w:val="TableText"/>
              <w:spacing w:before="36" w:after="36"/>
              <w:jc w:val="right"/>
            </w:pPr>
            <w:r w:rsidRPr="00861126">
              <w:t>7.2 (5.0</w:t>
            </w:r>
            <w:r>
              <w:t xml:space="preserve">, </w:t>
            </w:r>
            <w:r w:rsidRPr="00861126">
              <w:t>10.3)</w:t>
            </w:r>
          </w:p>
        </w:tc>
        <w:tc>
          <w:tcPr>
            <w:tcW w:w="593" w:type="dxa"/>
          </w:tcPr>
          <w:p w14:paraId="371428AC" w14:textId="77777777" w:rsidR="00B926FE" w:rsidRPr="00861126" w:rsidRDefault="00B926FE" w:rsidP="006279A8">
            <w:pPr>
              <w:pStyle w:val="TableText"/>
              <w:spacing w:before="36" w:after="36"/>
              <w:jc w:val="right"/>
            </w:pPr>
            <w:r w:rsidRPr="00861126">
              <w:t>262</w:t>
            </w:r>
          </w:p>
        </w:tc>
        <w:tc>
          <w:tcPr>
            <w:tcW w:w="993" w:type="dxa"/>
          </w:tcPr>
          <w:p w14:paraId="1B691B4A" w14:textId="77777777" w:rsidR="00B926FE" w:rsidRPr="00861126" w:rsidRDefault="00B926FE" w:rsidP="006279A8">
            <w:pPr>
              <w:pStyle w:val="TableText"/>
              <w:spacing w:before="36" w:after="36"/>
              <w:jc w:val="right"/>
            </w:pPr>
            <w:r w:rsidRPr="00861126">
              <w:t>1660</w:t>
            </w:r>
          </w:p>
        </w:tc>
        <w:tc>
          <w:tcPr>
            <w:tcW w:w="1095" w:type="dxa"/>
          </w:tcPr>
          <w:p w14:paraId="2A48A054" w14:textId="77777777" w:rsidR="00B926FE" w:rsidRPr="00861126" w:rsidRDefault="00B926FE" w:rsidP="006279A8">
            <w:pPr>
              <w:pStyle w:val="TableText"/>
              <w:spacing w:before="36" w:after="36"/>
              <w:jc w:val="right"/>
            </w:pPr>
            <w:r w:rsidRPr="00861126">
              <w:t>95.8 (91.9</w:t>
            </w:r>
            <w:r>
              <w:t xml:space="preserve">, </w:t>
            </w:r>
            <w:r w:rsidRPr="00861126">
              <w:t>97.9)</w:t>
            </w:r>
          </w:p>
        </w:tc>
        <w:tc>
          <w:tcPr>
            <w:tcW w:w="443" w:type="dxa"/>
          </w:tcPr>
          <w:p w14:paraId="3F3B8411" w14:textId="77777777" w:rsidR="00B926FE" w:rsidRPr="00861126" w:rsidRDefault="00B926FE" w:rsidP="006279A8">
            <w:pPr>
              <w:pStyle w:val="TableText"/>
              <w:spacing w:before="36" w:after="36"/>
              <w:jc w:val="right"/>
            </w:pPr>
            <w:r w:rsidRPr="00861126">
              <w:t>16</w:t>
            </w:r>
          </w:p>
        </w:tc>
        <w:tc>
          <w:tcPr>
            <w:tcW w:w="1018" w:type="dxa"/>
          </w:tcPr>
          <w:p w14:paraId="694659F0" w14:textId="77777777" w:rsidR="00B926FE" w:rsidRPr="00861126" w:rsidRDefault="00B926FE" w:rsidP="006279A8">
            <w:pPr>
              <w:pStyle w:val="TableText"/>
              <w:spacing w:before="36" w:after="36"/>
              <w:jc w:val="right"/>
            </w:pPr>
            <w:r w:rsidRPr="00861126">
              <w:t>63</w:t>
            </w:r>
          </w:p>
        </w:tc>
        <w:tc>
          <w:tcPr>
            <w:tcW w:w="1080" w:type="dxa"/>
          </w:tcPr>
          <w:p w14:paraId="4AF53D41" w14:textId="77777777" w:rsidR="00B926FE" w:rsidRPr="00861126" w:rsidRDefault="00B926FE" w:rsidP="006279A8">
            <w:pPr>
              <w:pStyle w:val="TableText"/>
              <w:spacing w:before="36" w:after="36"/>
              <w:jc w:val="right"/>
            </w:pPr>
            <w:r w:rsidRPr="00861126">
              <w:t>3.7 (1.8</w:t>
            </w:r>
            <w:r>
              <w:t xml:space="preserve">, </w:t>
            </w:r>
            <w:r w:rsidRPr="00861126">
              <w:t>7.4)</w:t>
            </w:r>
          </w:p>
        </w:tc>
      </w:tr>
      <w:tr w:rsidR="00B926FE" w:rsidRPr="00285A26" w14:paraId="74AB6180"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Pr>
          <w:p w14:paraId="38DFCD7A" w14:textId="77777777" w:rsidR="00B926FE" w:rsidRPr="00D17DAE" w:rsidRDefault="00B926FE" w:rsidP="006279A8">
            <w:pPr>
              <w:pStyle w:val="TableText"/>
              <w:spacing w:before="36" w:after="36"/>
              <w:rPr>
                <w:bCs/>
                <w:color w:val="000000" w:themeColor="text1"/>
              </w:rPr>
            </w:pPr>
            <w:r w:rsidRPr="00D17DAE">
              <w:rPr>
                <w:bCs/>
                <w:color w:val="000000" w:themeColor="text1"/>
              </w:rPr>
              <w:t xml:space="preserve">No </w:t>
            </w:r>
          </w:p>
        </w:tc>
        <w:tc>
          <w:tcPr>
            <w:tcW w:w="521" w:type="dxa"/>
          </w:tcPr>
          <w:p w14:paraId="7CDA9097" w14:textId="77777777" w:rsidR="00B926FE" w:rsidRPr="00861126" w:rsidRDefault="00B926FE" w:rsidP="006279A8">
            <w:pPr>
              <w:pStyle w:val="TableText"/>
              <w:spacing w:before="36" w:after="36"/>
              <w:jc w:val="right"/>
            </w:pPr>
            <w:r w:rsidRPr="00861126">
              <w:t>435</w:t>
            </w:r>
          </w:p>
        </w:tc>
        <w:tc>
          <w:tcPr>
            <w:tcW w:w="1009" w:type="dxa"/>
          </w:tcPr>
          <w:p w14:paraId="67E9F7CD" w14:textId="77777777" w:rsidR="00B926FE" w:rsidRPr="00861126" w:rsidRDefault="00B926FE" w:rsidP="006279A8">
            <w:pPr>
              <w:pStyle w:val="TableText"/>
              <w:spacing w:before="36" w:after="36"/>
              <w:jc w:val="right"/>
            </w:pPr>
            <w:r w:rsidRPr="00861126">
              <w:t>3082</w:t>
            </w:r>
          </w:p>
        </w:tc>
        <w:tc>
          <w:tcPr>
            <w:tcW w:w="1116" w:type="dxa"/>
          </w:tcPr>
          <w:p w14:paraId="15D4528F" w14:textId="77777777" w:rsidR="00B926FE" w:rsidRPr="00861126" w:rsidRDefault="00B926FE" w:rsidP="006279A8">
            <w:pPr>
              <w:pStyle w:val="TableText"/>
              <w:spacing w:before="36" w:after="36"/>
              <w:jc w:val="right"/>
            </w:pPr>
            <w:r w:rsidRPr="00861126">
              <w:t>90.3 (85.6</w:t>
            </w:r>
            <w:r>
              <w:t xml:space="preserve">, </w:t>
            </w:r>
            <w:r w:rsidRPr="00861126">
              <w:t>93.6)</w:t>
            </w:r>
          </w:p>
        </w:tc>
        <w:tc>
          <w:tcPr>
            <w:tcW w:w="450" w:type="dxa"/>
          </w:tcPr>
          <w:p w14:paraId="0D6FFEAF" w14:textId="77777777" w:rsidR="00B926FE" w:rsidRPr="00861126" w:rsidRDefault="00B926FE" w:rsidP="006279A8">
            <w:pPr>
              <w:pStyle w:val="TableText"/>
              <w:spacing w:before="36" w:after="36"/>
              <w:jc w:val="right"/>
            </w:pPr>
            <w:r w:rsidRPr="00861126">
              <w:t>27</w:t>
            </w:r>
          </w:p>
        </w:tc>
        <w:tc>
          <w:tcPr>
            <w:tcW w:w="1036" w:type="dxa"/>
          </w:tcPr>
          <w:p w14:paraId="1C8A4509" w14:textId="77777777" w:rsidR="00B926FE" w:rsidRPr="00861126" w:rsidRDefault="00B926FE" w:rsidP="006279A8">
            <w:pPr>
              <w:pStyle w:val="TableText"/>
              <w:spacing w:before="36" w:after="36"/>
              <w:jc w:val="right"/>
            </w:pPr>
            <w:r w:rsidRPr="00861126">
              <w:t>287</w:t>
            </w:r>
          </w:p>
        </w:tc>
        <w:tc>
          <w:tcPr>
            <w:tcW w:w="1054" w:type="dxa"/>
          </w:tcPr>
          <w:p w14:paraId="7F872C5A" w14:textId="77777777" w:rsidR="00B926FE" w:rsidRPr="00861126" w:rsidRDefault="00B926FE" w:rsidP="006279A8">
            <w:pPr>
              <w:pStyle w:val="TableText"/>
              <w:spacing w:before="36" w:after="36"/>
              <w:jc w:val="right"/>
            </w:pPr>
            <w:r w:rsidRPr="00861126">
              <w:t>8.4 (5.4</w:t>
            </w:r>
            <w:r>
              <w:t xml:space="preserve">, </w:t>
            </w:r>
            <w:r w:rsidRPr="00861126">
              <w:t>12.9)</w:t>
            </w:r>
          </w:p>
        </w:tc>
        <w:tc>
          <w:tcPr>
            <w:tcW w:w="593" w:type="dxa"/>
          </w:tcPr>
          <w:p w14:paraId="7FBD80D6" w14:textId="77777777" w:rsidR="00B926FE" w:rsidRPr="00861126" w:rsidRDefault="00B926FE" w:rsidP="006279A8">
            <w:pPr>
              <w:pStyle w:val="TableText"/>
              <w:spacing w:before="36" w:after="36"/>
              <w:jc w:val="right"/>
            </w:pPr>
            <w:r w:rsidRPr="00861126">
              <w:t>1069</w:t>
            </w:r>
          </w:p>
        </w:tc>
        <w:tc>
          <w:tcPr>
            <w:tcW w:w="993" w:type="dxa"/>
          </w:tcPr>
          <w:p w14:paraId="24049398" w14:textId="77777777" w:rsidR="00B926FE" w:rsidRPr="00861126" w:rsidRDefault="00B926FE" w:rsidP="006279A8">
            <w:pPr>
              <w:pStyle w:val="TableText"/>
              <w:spacing w:before="36" w:after="36"/>
              <w:jc w:val="right"/>
            </w:pPr>
            <w:r w:rsidRPr="00861126">
              <w:t>6433</w:t>
            </w:r>
          </w:p>
        </w:tc>
        <w:tc>
          <w:tcPr>
            <w:tcW w:w="1095" w:type="dxa"/>
          </w:tcPr>
          <w:p w14:paraId="5E9EFFD0" w14:textId="77777777" w:rsidR="00B926FE" w:rsidRPr="00861126" w:rsidRDefault="00B926FE" w:rsidP="006279A8">
            <w:pPr>
              <w:pStyle w:val="TableText"/>
              <w:spacing w:before="36" w:after="36"/>
              <w:jc w:val="right"/>
            </w:pPr>
            <w:r w:rsidRPr="00861126">
              <w:t>88.0 (78.4</w:t>
            </w:r>
            <w:r>
              <w:t xml:space="preserve">, </w:t>
            </w:r>
            <w:r w:rsidRPr="00861126">
              <w:t>93.7)</w:t>
            </w:r>
          </w:p>
        </w:tc>
        <w:tc>
          <w:tcPr>
            <w:tcW w:w="443" w:type="dxa"/>
          </w:tcPr>
          <w:p w14:paraId="14C8C75A" w14:textId="77777777" w:rsidR="00B926FE" w:rsidRPr="00861126" w:rsidRDefault="00B926FE" w:rsidP="006279A8">
            <w:pPr>
              <w:pStyle w:val="TableText"/>
              <w:spacing w:before="36" w:after="36"/>
              <w:jc w:val="right"/>
            </w:pPr>
            <w:r w:rsidRPr="00861126">
              <w:t>69</w:t>
            </w:r>
          </w:p>
        </w:tc>
        <w:tc>
          <w:tcPr>
            <w:tcW w:w="1018" w:type="dxa"/>
          </w:tcPr>
          <w:p w14:paraId="759473AD" w14:textId="77777777" w:rsidR="00B926FE" w:rsidRPr="00861126" w:rsidRDefault="00B926FE" w:rsidP="006279A8">
            <w:pPr>
              <w:pStyle w:val="TableText"/>
              <w:spacing w:before="36" w:after="36"/>
              <w:jc w:val="right"/>
            </w:pPr>
            <w:r w:rsidRPr="00861126">
              <w:t>797</w:t>
            </w:r>
          </w:p>
        </w:tc>
        <w:tc>
          <w:tcPr>
            <w:tcW w:w="1080" w:type="dxa"/>
          </w:tcPr>
          <w:p w14:paraId="5B26A596" w14:textId="77777777" w:rsidR="00B926FE" w:rsidRPr="00861126" w:rsidRDefault="00B926FE" w:rsidP="006279A8">
            <w:pPr>
              <w:pStyle w:val="TableText"/>
              <w:spacing w:before="36" w:after="36"/>
              <w:jc w:val="right"/>
            </w:pPr>
            <w:r w:rsidRPr="00861126">
              <w:t>10.9 (5.4</w:t>
            </w:r>
            <w:r>
              <w:t xml:space="preserve">, </w:t>
            </w:r>
            <w:r w:rsidRPr="00861126">
              <w:t>20.8)</w:t>
            </w:r>
          </w:p>
        </w:tc>
      </w:tr>
      <w:tr w:rsidR="005C60DC" w:rsidRPr="00285A26" w14:paraId="5B7E9CFD" w14:textId="77777777" w:rsidTr="005C60DC">
        <w:trPr>
          <w:cantSplit/>
        </w:trPr>
        <w:tc>
          <w:tcPr>
            <w:tcW w:w="1098" w:type="dxa"/>
          </w:tcPr>
          <w:p w14:paraId="6DC86EEC" w14:textId="77777777" w:rsidR="00B926FE" w:rsidRPr="00D17DAE" w:rsidRDefault="00B926FE" w:rsidP="006279A8">
            <w:pPr>
              <w:pStyle w:val="TableText"/>
              <w:spacing w:before="36" w:after="36"/>
              <w:rPr>
                <w:b/>
                <w:bCs/>
                <w:color w:val="000000" w:themeColor="text1"/>
              </w:rPr>
            </w:pPr>
            <w:r w:rsidRPr="00D17DAE">
              <w:rPr>
                <w:b/>
                <w:bCs/>
                <w:color w:val="000000" w:themeColor="text1"/>
              </w:rPr>
              <w:t>Sex</w:t>
            </w:r>
          </w:p>
        </w:tc>
        <w:tc>
          <w:tcPr>
            <w:tcW w:w="521" w:type="dxa"/>
          </w:tcPr>
          <w:p w14:paraId="3D5444A7" w14:textId="77777777" w:rsidR="00B926FE" w:rsidRPr="00861126" w:rsidRDefault="00B926FE" w:rsidP="006279A8">
            <w:pPr>
              <w:pStyle w:val="TableText"/>
              <w:spacing w:before="36" w:after="36"/>
              <w:jc w:val="right"/>
            </w:pPr>
          </w:p>
        </w:tc>
        <w:tc>
          <w:tcPr>
            <w:tcW w:w="1009" w:type="dxa"/>
          </w:tcPr>
          <w:p w14:paraId="64DA8A51" w14:textId="77777777" w:rsidR="00B926FE" w:rsidRPr="00861126" w:rsidRDefault="00B926FE" w:rsidP="006279A8">
            <w:pPr>
              <w:pStyle w:val="TableText"/>
              <w:spacing w:before="36" w:after="36"/>
              <w:jc w:val="right"/>
            </w:pPr>
          </w:p>
        </w:tc>
        <w:tc>
          <w:tcPr>
            <w:tcW w:w="1116" w:type="dxa"/>
          </w:tcPr>
          <w:p w14:paraId="2EF9227D" w14:textId="77777777" w:rsidR="00B926FE" w:rsidRPr="00861126" w:rsidRDefault="00B926FE" w:rsidP="006279A8">
            <w:pPr>
              <w:pStyle w:val="TableText"/>
              <w:spacing w:before="36" w:after="36"/>
              <w:jc w:val="right"/>
            </w:pPr>
          </w:p>
        </w:tc>
        <w:tc>
          <w:tcPr>
            <w:tcW w:w="450" w:type="dxa"/>
          </w:tcPr>
          <w:p w14:paraId="26ACDFD1" w14:textId="77777777" w:rsidR="00B926FE" w:rsidRPr="00861126" w:rsidRDefault="00B926FE" w:rsidP="006279A8">
            <w:pPr>
              <w:pStyle w:val="TableText"/>
              <w:spacing w:before="36" w:after="36"/>
              <w:jc w:val="right"/>
            </w:pPr>
          </w:p>
        </w:tc>
        <w:tc>
          <w:tcPr>
            <w:tcW w:w="1036" w:type="dxa"/>
          </w:tcPr>
          <w:p w14:paraId="51131690" w14:textId="77777777" w:rsidR="00B926FE" w:rsidRPr="00861126" w:rsidRDefault="00B926FE" w:rsidP="006279A8">
            <w:pPr>
              <w:pStyle w:val="TableText"/>
              <w:spacing w:before="36" w:after="36"/>
              <w:jc w:val="right"/>
            </w:pPr>
          </w:p>
        </w:tc>
        <w:tc>
          <w:tcPr>
            <w:tcW w:w="1054" w:type="dxa"/>
          </w:tcPr>
          <w:p w14:paraId="645570A5" w14:textId="77777777" w:rsidR="00B926FE" w:rsidRPr="00861126" w:rsidRDefault="00B926FE" w:rsidP="006279A8">
            <w:pPr>
              <w:pStyle w:val="TableText"/>
              <w:spacing w:before="36" w:after="36"/>
              <w:jc w:val="right"/>
            </w:pPr>
          </w:p>
        </w:tc>
        <w:tc>
          <w:tcPr>
            <w:tcW w:w="593" w:type="dxa"/>
          </w:tcPr>
          <w:p w14:paraId="3CCF5E15" w14:textId="77777777" w:rsidR="00B926FE" w:rsidRPr="00861126" w:rsidRDefault="00B926FE" w:rsidP="006279A8">
            <w:pPr>
              <w:pStyle w:val="TableText"/>
              <w:spacing w:before="36" w:after="36"/>
              <w:jc w:val="right"/>
            </w:pPr>
          </w:p>
        </w:tc>
        <w:tc>
          <w:tcPr>
            <w:tcW w:w="993" w:type="dxa"/>
          </w:tcPr>
          <w:p w14:paraId="7A5913EE" w14:textId="77777777" w:rsidR="00B926FE" w:rsidRPr="00861126" w:rsidRDefault="00B926FE" w:rsidP="006279A8">
            <w:pPr>
              <w:pStyle w:val="TableText"/>
              <w:spacing w:before="36" w:after="36"/>
              <w:jc w:val="right"/>
            </w:pPr>
          </w:p>
        </w:tc>
        <w:tc>
          <w:tcPr>
            <w:tcW w:w="1095" w:type="dxa"/>
          </w:tcPr>
          <w:p w14:paraId="465E9C87" w14:textId="77777777" w:rsidR="00B926FE" w:rsidRPr="00861126" w:rsidRDefault="00B926FE" w:rsidP="006279A8">
            <w:pPr>
              <w:pStyle w:val="TableText"/>
              <w:spacing w:before="36" w:after="36"/>
              <w:jc w:val="right"/>
            </w:pPr>
          </w:p>
        </w:tc>
        <w:tc>
          <w:tcPr>
            <w:tcW w:w="443" w:type="dxa"/>
          </w:tcPr>
          <w:p w14:paraId="36A7C5AE" w14:textId="77777777" w:rsidR="00B926FE" w:rsidRPr="00861126" w:rsidRDefault="00B926FE" w:rsidP="006279A8">
            <w:pPr>
              <w:pStyle w:val="TableText"/>
              <w:spacing w:before="36" w:after="36"/>
              <w:jc w:val="right"/>
            </w:pPr>
          </w:p>
        </w:tc>
        <w:tc>
          <w:tcPr>
            <w:tcW w:w="1018" w:type="dxa"/>
          </w:tcPr>
          <w:p w14:paraId="5D57677F" w14:textId="77777777" w:rsidR="00B926FE" w:rsidRPr="00861126" w:rsidRDefault="00B926FE" w:rsidP="006279A8">
            <w:pPr>
              <w:pStyle w:val="TableText"/>
              <w:spacing w:before="36" w:after="36"/>
              <w:jc w:val="right"/>
            </w:pPr>
          </w:p>
        </w:tc>
        <w:tc>
          <w:tcPr>
            <w:tcW w:w="1080" w:type="dxa"/>
          </w:tcPr>
          <w:p w14:paraId="7D2A5151" w14:textId="77777777" w:rsidR="00B926FE" w:rsidRPr="00861126" w:rsidRDefault="00B926FE" w:rsidP="006279A8">
            <w:pPr>
              <w:pStyle w:val="TableText"/>
              <w:spacing w:before="36" w:after="36"/>
              <w:jc w:val="right"/>
            </w:pPr>
          </w:p>
        </w:tc>
      </w:tr>
      <w:tr w:rsidR="00B926FE" w:rsidRPr="00285A26" w14:paraId="5F27ED27"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Pr>
          <w:p w14:paraId="23598CD3" w14:textId="77777777" w:rsidR="00B926FE" w:rsidRPr="00D17DAE" w:rsidRDefault="00B926FE" w:rsidP="006279A8">
            <w:pPr>
              <w:pStyle w:val="TableText"/>
              <w:spacing w:before="36" w:after="36"/>
              <w:rPr>
                <w:bCs/>
                <w:color w:val="000000" w:themeColor="text1"/>
              </w:rPr>
            </w:pPr>
            <w:r w:rsidRPr="00D17DAE">
              <w:rPr>
                <w:bCs/>
                <w:color w:val="000000" w:themeColor="text1"/>
              </w:rPr>
              <w:t>Male</w:t>
            </w:r>
          </w:p>
        </w:tc>
        <w:tc>
          <w:tcPr>
            <w:tcW w:w="521" w:type="dxa"/>
          </w:tcPr>
          <w:p w14:paraId="3D7C383E" w14:textId="77777777" w:rsidR="00B926FE" w:rsidRPr="00861126" w:rsidRDefault="00B926FE" w:rsidP="006279A8">
            <w:pPr>
              <w:pStyle w:val="TableText"/>
              <w:spacing w:before="36" w:after="36"/>
              <w:jc w:val="right"/>
            </w:pPr>
            <w:r w:rsidRPr="00861126">
              <w:t>607</w:t>
            </w:r>
          </w:p>
        </w:tc>
        <w:tc>
          <w:tcPr>
            <w:tcW w:w="1009" w:type="dxa"/>
          </w:tcPr>
          <w:p w14:paraId="61868833" w14:textId="77777777" w:rsidR="00B926FE" w:rsidRPr="00861126" w:rsidRDefault="00B926FE" w:rsidP="006279A8">
            <w:pPr>
              <w:pStyle w:val="TableText"/>
              <w:spacing w:before="36" w:after="36"/>
              <w:jc w:val="right"/>
            </w:pPr>
            <w:r w:rsidRPr="00861126">
              <w:t>4535</w:t>
            </w:r>
          </w:p>
        </w:tc>
        <w:tc>
          <w:tcPr>
            <w:tcW w:w="1116" w:type="dxa"/>
          </w:tcPr>
          <w:p w14:paraId="0123F907" w14:textId="77777777" w:rsidR="00B926FE" w:rsidRPr="00861126" w:rsidRDefault="00B926FE" w:rsidP="006279A8">
            <w:pPr>
              <w:pStyle w:val="TableText"/>
              <w:spacing w:before="36" w:after="36"/>
              <w:jc w:val="right"/>
            </w:pPr>
            <w:r w:rsidRPr="00861126">
              <w:t>90.9 (87.5</w:t>
            </w:r>
            <w:r>
              <w:t xml:space="preserve">, </w:t>
            </w:r>
            <w:r w:rsidRPr="00861126">
              <w:t>93.4)</w:t>
            </w:r>
          </w:p>
        </w:tc>
        <w:tc>
          <w:tcPr>
            <w:tcW w:w="450" w:type="dxa"/>
          </w:tcPr>
          <w:p w14:paraId="5C15359E" w14:textId="77777777" w:rsidR="00B926FE" w:rsidRPr="00861126" w:rsidRDefault="00B926FE" w:rsidP="006279A8">
            <w:pPr>
              <w:pStyle w:val="TableText"/>
              <w:spacing w:before="36" w:after="36"/>
              <w:jc w:val="right"/>
            </w:pPr>
            <w:r w:rsidRPr="00861126">
              <w:t>50</w:t>
            </w:r>
          </w:p>
        </w:tc>
        <w:tc>
          <w:tcPr>
            <w:tcW w:w="1036" w:type="dxa"/>
          </w:tcPr>
          <w:p w14:paraId="34B6D175" w14:textId="77777777" w:rsidR="00B926FE" w:rsidRPr="00861126" w:rsidRDefault="00B926FE" w:rsidP="006279A8">
            <w:pPr>
              <w:pStyle w:val="TableText"/>
              <w:spacing w:before="36" w:after="36"/>
              <w:jc w:val="right"/>
            </w:pPr>
            <w:r w:rsidRPr="00861126">
              <w:t>395</w:t>
            </w:r>
          </w:p>
        </w:tc>
        <w:tc>
          <w:tcPr>
            <w:tcW w:w="1054" w:type="dxa"/>
          </w:tcPr>
          <w:p w14:paraId="648E3963" w14:textId="77777777" w:rsidR="00B926FE" w:rsidRPr="00861126" w:rsidRDefault="00B926FE" w:rsidP="006279A8">
            <w:pPr>
              <w:pStyle w:val="TableText"/>
              <w:spacing w:before="36" w:after="36"/>
              <w:jc w:val="right"/>
            </w:pPr>
            <w:r w:rsidRPr="00861126">
              <w:t>7.9 (5.6</w:t>
            </w:r>
            <w:r>
              <w:t xml:space="preserve">, </w:t>
            </w:r>
            <w:r w:rsidRPr="00861126">
              <w:t>11.1)</w:t>
            </w:r>
          </w:p>
        </w:tc>
        <w:tc>
          <w:tcPr>
            <w:tcW w:w="593" w:type="dxa"/>
          </w:tcPr>
          <w:p w14:paraId="3F3C7A89" w14:textId="77777777" w:rsidR="00B926FE" w:rsidRPr="00861126" w:rsidRDefault="00B926FE" w:rsidP="006279A8">
            <w:pPr>
              <w:pStyle w:val="TableText"/>
              <w:spacing w:before="36" w:after="36"/>
              <w:jc w:val="right"/>
            </w:pPr>
            <w:r w:rsidRPr="00861126">
              <w:t>938</w:t>
            </w:r>
          </w:p>
        </w:tc>
        <w:tc>
          <w:tcPr>
            <w:tcW w:w="993" w:type="dxa"/>
          </w:tcPr>
          <w:p w14:paraId="0E359F02" w14:textId="77777777" w:rsidR="00B926FE" w:rsidRPr="00861126" w:rsidRDefault="00B926FE" w:rsidP="006279A8">
            <w:pPr>
              <w:pStyle w:val="TableText"/>
              <w:spacing w:before="36" w:after="36"/>
              <w:jc w:val="right"/>
            </w:pPr>
            <w:r w:rsidRPr="00861126">
              <w:t>6789</w:t>
            </w:r>
          </w:p>
        </w:tc>
        <w:tc>
          <w:tcPr>
            <w:tcW w:w="1095" w:type="dxa"/>
          </w:tcPr>
          <w:p w14:paraId="3A21BCE9" w14:textId="77777777" w:rsidR="00B926FE" w:rsidRPr="00861126" w:rsidRDefault="00B926FE" w:rsidP="006279A8">
            <w:pPr>
              <w:pStyle w:val="TableText"/>
              <w:spacing w:before="36" w:after="36"/>
              <w:jc w:val="right"/>
            </w:pPr>
            <w:r w:rsidRPr="00861126">
              <w:t>88.9 (79.4</w:t>
            </w:r>
            <w:r>
              <w:t xml:space="preserve">, </w:t>
            </w:r>
            <w:r w:rsidRPr="00861126">
              <w:t>94.3)</w:t>
            </w:r>
          </w:p>
        </w:tc>
        <w:tc>
          <w:tcPr>
            <w:tcW w:w="443" w:type="dxa"/>
          </w:tcPr>
          <w:p w14:paraId="3B58FE6D" w14:textId="77777777" w:rsidR="00B926FE" w:rsidRPr="00861126" w:rsidRDefault="00B926FE" w:rsidP="006279A8">
            <w:pPr>
              <w:pStyle w:val="TableText"/>
              <w:spacing w:before="36" w:after="36"/>
              <w:jc w:val="right"/>
            </w:pPr>
            <w:r w:rsidRPr="00861126">
              <w:t>54</w:t>
            </w:r>
          </w:p>
        </w:tc>
        <w:tc>
          <w:tcPr>
            <w:tcW w:w="1018" w:type="dxa"/>
          </w:tcPr>
          <w:p w14:paraId="602575E2" w14:textId="77777777" w:rsidR="00B926FE" w:rsidRPr="00861126" w:rsidRDefault="00B926FE" w:rsidP="006279A8">
            <w:pPr>
              <w:pStyle w:val="TableText"/>
              <w:spacing w:before="36" w:after="36"/>
              <w:jc w:val="right"/>
            </w:pPr>
            <w:r w:rsidRPr="00861126">
              <w:t>769</w:t>
            </w:r>
          </w:p>
        </w:tc>
        <w:tc>
          <w:tcPr>
            <w:tcW w:w="1080" w:type="dxa"/>
          </w:tcPr>
          <w:p w14:paraId="18285A96" w14:textId="77777777" w:rsidR="00B926FE" w:rsidRPr="00861126" w:rsidRDefault="00B926FE" w:rsidP="006279A8">
            <w:pPr>
              <w:pStyle w:val="TableText"/>
              <w:spacing w:before="36" w:after="36"/>
              <w:jc w:val="right"/>
            </w:pPr>
            <w:r w:rsidRPr="00861126">
              <w:t>10.1 (4.8</w:t>
            </w:r>
            <w:r>
              <w:t xml:space="preserve">, </w:t>
            </w:r>
            <w:r w:rsidRPr="00861126">
              <w:t>19.8)</w:t>
            </w:r>
          </w:p>
        </w:tc>
      </w:tr>
      <w:tr w:rsidR="005C60DC" w:rsidRPr="00285A26" w14:paraId="0C6B514B" w14:textId="77777777" w:rsidTr="005C60DC">
        <w:trPr>
          <w:cantSplit/>
        </w:trPr>
        <w:tc>
          <w:tcPr>
            <w:tcW w:w="1098" w:type="dxa"/>
            <w:tcBorders>
              <w:bottom w:val="single" w:sz="4" w:space="0" w:color="000000"/>
            </w:tcBorders>
          </w:tcPr>
          <w:p w14:paraId="19C1E802" w14:textId="77777777" w:rsidR="00B926FE" w:rsidRPr="00D17DAE" w:rsidRDefault="00B926FE" w:rsidP="006279A8">
            <w:pPr>
              <w:pStyle w:val="TableText"/>
              <w:spacing w:before="36" w:after="36"/>
              <w:rPr>
                <w:bCs/>
                <w:color w:val="000000" w:themeColor="text1"/>
              </w:rPr>
            </w:pPr>
            <w:r w:rsidRPr="00D17DAE">
              <w:rPr>
                <w:bCs/>
                <w:color w:val="000000" w:themeColor="text1"/>
              </w:rPr>
              <w:t>Female</w:t>
            </w:r>
          </w:p>
        </w:tc>
        <w:tc>
          <w:tcPr>
            <w:tcW w:w="521" w:type="dxa"/>
            <w:tcBorders>
              <w:bottom w:val="single" w:sz="4" w:space="0" w:color="000000"/>
            </w:tcBorders>
          </w:tcPr>
          <w:p w14:paraId="3EEE4B5A" w14:textId="77777777" w:rsidR="00B926FE" w:rsidRPr="00861126" w:rsidRDefault="00B926FE" w:rsidP="006279A8">
            <w:pPr>
              <w:pStyle w:val="TableText"/>
              <w:spacing w:before="36" w:after="36"/>
              <w:jc w:val="right"/>
            </w:pPr>
            <w:r w:rsidRPr="00861126">
              <w:t>178</w:t>
            </w:r>
          </w:p>
        </w:tc>
        <w:tc>
          <w:tcPr>
            <w:tcW w:w="1009" w:type="dxa"/>
            <w:tcBorders>
              <w:bottom w:val="single" w:sz="4" w:space="0" w:color="000000"/>
            </w:tcBorders>
          </w:tcPr>
          <w:p w14:paraId="56CD7F21" w14:textId="77777777" w:rsidR="00B926FE" w:rsidRPr="00861126" w:rsidRDefault="00B926FE" w:rsidP="006279A8">
            <w:pPr>
              <w:pStyle w:val="TableText"/>
              <w:spacing w:before="36" w:after="36"/>
              <w:jc w:val="right"/>
            </w:pPr>
            <w:r w:rsidRPr="00861126">
              <w:t>1026</w:t>
            </w:r>
          </w:p>
        </w:tc>
        <w:tc>
          <w:tcPr>
            <w:tcW w:w="1116" w:type="dxa"/>
            <w:tcBorders>
              <w:bottom w:val="single" w:sz="4" w:space="0" w:color="000000"/>
            </w:tcBorders>
          </w:tcPr>
          <w:p w14:paraId="2493011D" w14:textId="77777777" w:rsidR="00B926FE" w:rsidRPr="00861126" w:rsidRDefault="00B926FE" w:rsidP="006279A8">
            <w:pPr>
              <w:pStyle w:val="TableText"/>
              <w:spacing w:before="36" w:after="36"/>
              <w:jc w:val="right"/>
            </w:pPr>
            <w:r w:rsidRPr="00861126">
              <w:t>91.1 (85.1</w:t>
            </w:r>
            <w:r>
              <w:t xml:space="preserve">, </w:t>
            </w:r>
            <w:r w:rsidRPr="00861126">
              <w:t>94.9)</w:t>
            </w:r>
          </w:p>
        </w:tc>
        <w:tc>
          <w:tcPr>
            <w:tcW w:w="450" w:type="dxa"/>
            <w:tcBorders>
              <w:bottom w:val="single" w:sz="4" w:space="0" w:color="000000"/>
            </w:tcBorders>
          </w:tcPr>
          <w:p w14:paraId="369E6D22" w14:textId="77777777" w:rsidR="00B926FE" w:rsidRPr="00861126" w:rsidRDefault="00B926FE" w:rsidP="006279A8">
            <w:pPr>
              <w:pStyle w:val="TableText"/>
              <w:spacing w:before="36" w:after="36"/>
              <w:jc w:val="right"/>
            </w:pPr>
            <w:r w:rsidRPr="00861126">
              <w:t>12</w:t>
            </w:r>
          </w:p>
        </w:tc>
        <w:tc>
          <w:tcPr>
            <w:tcW w:w="1036" w:type="dxa"/>
            <w:tcBorders>
              <w:bottom w:val="single" w:sz="4" w:space="0" w:color="000000"/>
            </w:tcBorders>
          </w:tcPr>
          <w:p w14:paraId="76CD82A5" w14:textId="77777777" w:rsidR="00B926FE" w:rsidRPr="00861126" w:rsidRDefault="00B926FE" w:rsidP="006279A8">
            <w:pPr>
              <w:pStyle w:val="TableText"/>
              <w:spacing w:before="36" w:after="36"/>
              <w:jc w:val="right"/>
            </w:pPr>
            <w:r w:rsidRPr="00861126">
              <w:t>87</w:t>
            </w:r>
          </w:p>
        </w:tc>
        <w:tc>
          <w:tcPr>
            <w:tcW w:w="1054" w:type="dxa"/>
            <w:tcBorders>
              <w:bottom w:val="single" w:sz="4" w:space="0" w:color="000000"/>
            </w:tcBorders>
          </w:tcPr>
          <w:p w14:paraId="4519F737" w14:textId="77777777" w:rsidR="00B926FE" w:rsidRPr="00861126" w:rsidRDefault="00B926FE" w:rsidP="006279A8">
            <w:pPr>
              <w:pStyle w:val="TableText"/>
              <w:spacing w:before="36" w:after="36"/>
              <w:jc w:val="right"/>
            </w:pPr>
            <w:r w:rsidRPr="00861126">
              <w:t>7.7 (4.2</w:t>
            </w:r>
            <w:r>
              <w:t xml:space="preserve">, </w:t>
            </w:r>
            <w:r w:rsidRPr="00861126">
              <w:t>13.7)</w:t>
            </w:r>
          </w:p>
        </w:tc>
        <w:tc>
          <w:tcPr>
            <w:tcW w:w="593" w:type="dxa"/>
            <w:tcBorders>
              <w:bottom w:val="single" w:sz="4" w:space="0" w:color="000000"/>
            </w:tcBorders>
          </w:tcPr>
          <w:p w14:paraId="102DDBD0" w14:textId="77777777" w:rsidR="00B926FE" w:rsidRPr="00861126" w:rsidRDefault="00B926FE" w:rsidP="006279A8">
            <w:pPr>
              <w:pStyle w:val="TableText"/>
              <w:spacing w:before="36" w:after="36"/>
              <w:jc w:val="right"/>
            </w:pPr>
            <w:r w:rsidRPr="00861126">
              <w:t>393</w:t>
            </w:r>
          </w:p>
        </w:tc>
        <w:tc>
          <w:tcPr>
            <w:tcW w:w="993" w:type="dxa"/>
            <w:tcBorders>
              <w:bottom w:val="single" w:sz="4" w:space="0" w:color="000000"/>
            </w:tcBorders>
          </w:tcPr>
          <w:p w14:paraId="4A568471" w14:textId="77777777" w:rsidR="00B926FE" w:rsidRPr="00861126" w:rsidRDefault="00B926FE" w:rsidP="006279A8">
            <w:pPr>
              <w:pStyle w:val="TableText"/>
              <w:spacing w:before="36" w:after="36"/>
              <w:jc w:val="right"/>
            </w:pPr>
            <w:r w:rsidRPr="00861126">
              <w:t>1304</w:t>
            </w:r>
          </w:p>
        </w:tc>
        <w:tc>
          <w:tcPr>
            <w:tcW w:w="1095" w:type="dxa"/>
            <w:tcBorders>
              <w:bottom w:val="single" w:sz="4" w:space="0" w:color="000000"/>
            </w:tcBorders>
          </w:tcPr>
          <w:p w14:paraId="7423C0A2" w14:textId="77777777" w:rsidR="00B926FE" w:rsidRPr="00861126" w:rsidRDefault="00B926FE" w:rsidP="006279A8">
            <w:pPr>
              <w:pStyle w:val="TableText"/>
              <w:spacing w:before="36" w:after="36"/>
              <w:jc w:val="right"/>
            </w:pPr>
            <w:r w:rsidRPr="00861126">
              <w:t>92.7 (90.5</w:t>
            </w:r>
            <w:r>
              <w:t xml:space="preserve">, </w:t>
            </w:r>
            <w:r w:rsidRPr="00861126">
              <w:t>94.4)</w:t>
            </w:r>
          </w:p>
        </w:tc>
        <w:tc>
          <w:tcPr>
            <w:tcW w:w="443" w:type="dxa"/>
            <w:tcBorders>
              <w:bottom w:val="single" w:sz="4" w:space="0" w:color="000000"/>
            </w:tcBorders>
          </w:tcPr>
          <w:p w14:paraId="1AA20209" w14:textId="77777777" w:rsidR="00B926FE" w:rsidRPr="00861126" w:rsidRDefault="00B926FE" w:rsidP="006279A8">
            <w:pPr>
              <w:pStyle w:val="TableText"/>
              <w:spacing w:before="36" w:after="36"/>
              <w:jc w:val="right"/>
            </w:pPr>
            <w:r w:rsidRPr="00861126">
              <w:t>31</w:t>
            </w:r>
          </w:p>
        </w:tc>
        <w:tc>
          <w:tcPr>
            <w:tcW w:w="1018" w:type="dxa"/>
            <w:tcBorders>
              <w:bottom w:val="single" w:sz="4" w:space="0" w:color="000000"/>
            </w:tcBorders>
          </w:tcPr>
          <w:p w14:paraId="5434DE6C" w14:textId="77777777" w:rsidR="00B926FE" w:rsidRPr="00861126" w:rsidRDefault="00B926FE" w:rsidP="006279A8">
            <w:pPr>
              <w:pStyle w:val="TableText"/>
              <w:spacing w:before="36" w:after="36"/>
              <w:jc w:val="right"/>
            </w:pPr>
            <w:r w:rsidRPr="00861126">
              <w:t>91</w:t>
            </w:r>
          </w:p>
        </w:tc>
        <w:tc>
          <w:tcPr>
            <w:tcW w:w="1080" w:type="dxa"/>
            <w:tcBorders>
              <w:bottom w:val="single" w:sz="4" w:space="0" w:color="000000"/>
            </w:tcBorders>
          </w:tcPr>
          <w:p w14:paraId="0B45B632" w14:textId="77777777" w:rsidR="00B926FE" w:rsidRPr="00861126" w:rsidRDefault="00B926FE" w:rsidP="006279A8">
            <w:pPr>
              <w:pStyle w:val="TableText"/>
              <w:spacing w:before="36" w:after="36"/>
              <w:jc w:val="right"/>
            </w:pPr>
            <w:r w:rsidRPr="00861126">
              <w:t>6.5 (4.8</w:t>
            </w:r>
            <w:r>
              <w:t xml:space="preserve">, </w:t>
            </w:r>
            <w:r w:rsidRPr="00861126">
              <w:t>8.6)</w:t>
            </w:r>
          </w:p>
        </w:tc>
      </w:tr>
      <w:tr w:rsidR="00B926FE" w:rsidRPr="00285A26" w14:paraId="17897DA3"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Borders>
              <w:top w:val="single" w:sz="4" w:space="0" w:color="000000"/>
              <w:bottom w:val="nil"/>
            </w:tcBorders>
          </w:tcPr>
          <w:p w14:paraId="0C1A5569" w14:textId="77777777" w:rsidR="00B926FE" w:rsidRPr="00D17DAE" w:rsidRDefault="00B926FE" w:rsidP="006279A8">
            <w:pPr>
              <w:pStyle w:val="TableText"/>
              <w:spacing w:before="36" w:after="36"/>
              <w:rPr>
                <w:b/>
                <w:bCs/>
                <w:color w:val="000000" w:themeColor="text1"/>
              </w:rPr>
            </w:pPr>
            <w:r w:rsidRPr="00D17DAE">
              <w:rPr>
                <w:b/>
                <w:bCs/>
                <w:color w:val="000000" w:themeColor="text1"/>
              </w:rPr>
              <w:t>Age (yrs)</w:t>
            </w:r>
          </w:p>
        </w:tc>
        <w:tc>
          <w:tcPr>
            <w:tcW w:w="521" w:type="dxa"/>
            <w:tcBorders>
              <w:top w:val="single" w:sz="4" w:space="0" w:color="000000"/>
              <w:bottom w:val="nil"/>
            </w:tcBorders>
          </w:tcPr>
          <w:p w14:paraId="694B423B" w14:textId="77777777" w:rsidR="00B926FE" w:rsidRPr="00861126" w:rsidRDefault="00B926FE" w:rsidP="006279A8">
            <w:pPr>
              <w:pStyle w:val="TableText"/>
              <w:spacing w:before="36" w:after="36"/>
              <w:jc w:val="right"/>
            </w:pPr>
          </w:p>
        </w:tc>
        <w:tc>
          <w:tcPr>
            <w:tcW w:w="1009" w:type="dxa"/>
            <w:tcBorders>
              <w:top w:val="single" w:sz="4" w:space="0" w:color="000000"/>
              <w:bottom w:val="nil"/>
            </w:tcBorders>
          </w:tcPr>
          <w:p w14:paraId="0738CE45" w14:textId="77777777" w:rsidR="00B926FE" w:rsidRPr="00861126" w:rsidRDefault="00B926FE" w:rsidP="006279A8">
            <w:pPr>
              <w:pStyle w:val="TableText"/>
              <w:spacing w:before="36" w:after="36"/>
              <w:jc w:val="right"/>
            </w:pPr>
          </w:p>
        </w:tc>
        <w:tc>
          <w:tcPr>
            <w:tcW w:w="1116" w:type="dxa"/>
            <w:tcBorders>
              <w:top w:val="single" w:sz="4" w:space="0" w:color="000000"/>
              <w:bottom w:val="nil"/>
            </w:tcBorders>
          </w:tcPr>
          <w:p w14:paraId="294DD1B5" w14:textId="77777777" w:rsidR="00B926FE" w:rsidRPr="00861126" w:rsidRDefault="00B926FE" w:rsidP="006279A8">
            <w:pPr>
              <w:pStyle w:val="TableText"/>
              <w:spacing w:before="36" w:after="36"/>
              <w:jc w:val="right"/>
            </w:pPr>
          </w:p>
        </w:tc>
        <w:tc>
          <w:tcPr>
            <w:tcW w:w="450" w:type="dxa"/>
            <w:tcBorders>
              <w:top w:val="single" w:sz="4" w:space="0" w:color="000000"/>
              <w:bottom w:val="nil"/>
            </w:tcBorders>
          </w:tcPr>
          <w:p w14:paraId="2972DFC7" w14:textId="77777777" w:rsidR="00B926FE" w:rsidRPr="00861126" w:rsidRDefault="00B926FE" w:rsidP="006279A8">
            <w:pPr>
              <w:pStyle w:val="TableText"/>
              <w:spacing w:before="36" w:after="36"/>
              <w:jc w:val="right"/>
            </w:pPr>
          </w:p>
        </w:tc>
        <w:tc>
          <w:tcPr>
            <w:tcW w:w="1036" w:type="dxa"/>
            <w:tcBorders>
              <w:top w:val="single" w:sz="4" w:space="0" w:color="000000"/>
              <w:bottom w:val="nil"/>
            </w:tcBorders>
          </w:tcPr>
          <w:p w14:paraId="36FF92A9" w14:textId="77777777" w:rsidR="00B926FE" w:rsidRPr="00861126" w:rsidRDefault="00B926FE" w:rsidP="006279A8">
            <w:pPr>
              <w:pStyle w:val="TableText"/>
              <w:spacing w:before="36" w:after="36"/>
              <w:jc w:val="right"/>
            </w:pPr>
          </w:p>
        </w:tc>
        <w:tc>
          <w:tcPr>
            <w:tcW w:w="1054" w:type="dxa"/>
            <w:tcBorders>
              <w:top w:val="single" w:sz="4" w:space="0" w:color="000000"/>
              <w:bottom w:val="nil"/>
            </w:tcBorders>
          </w:tcPr>
          <w:p w14:paraId="05AA2E2C" w14:textId="77777777" w:rsidR="00B926FE" w:rsidRPr="00861126" w:rsidRDefault="00B926FE" w:rsidP="006279A8">
            <w:pPr>
              <w:pStyle w:val="TableText"/>
              <w:spacing w:before="36" w:after="36"/>
              <w:jc w:val="right"/>
            </w:pPr>
          </w:p>
        </w:tc>
        <w:tc>
          <w:tcPr>
            <w:tcW w:w="593" w:type="dxa"/>
            <w:tcBorders>
              <w:top w:val="single" w:sz="4" w:space="0" w:color="000000"/>
              <w:bottom w:val="nil"/>
            </w:tcBorders>
          </w:tcPr>
          <w:p w14:paraId="6CB9FA1D" w14:textId="77777777" w:rsidR="00B926FE" w:rsidRPr="00861126" w:rsidRDefault="00B926FE" w:rsidP="006279A8">
            <w:pPr>
              <w:pStyle w:val="TableText"/>
              <w:spacing w:before="36" w:after="36"/>
              <w:jc w:val="right"/>
            </w:pPr>
          </w:p>
        </w:tc>
        <w:tc>
          <w:tcPr>
            <w:tcW w:w="993" w:type="dxa"/>
            <w:tcBorders>
              <w:top w:val="single" w:sz="4" w:space="0" w:color="000000"/>
              <w:bottom w:val="nil"/>
            </w:tcBorders>
          </w:tcPr>
          <w:p w14:paraId="35BD2A37" w14:textId="77777777" w:rsidR="00B926FE" w:rsidRPr="00861126" w:rsidRDefault="00B926FE" w:rsidP="006279A8">
            <w:pPr>
              <w:pStyle w:val="TableText"/>
              <w:spacing w:before="36" w:after="36"/>
              <w:jc w:val="right"/>
            </w:pPr>
          </w:p>
        </w:tc>
        <w:tc>
          <w:tcPr>
            <w:tcW w:w="1095" w:type="dxa"/>
            <w:tcBorders>
              <w:top w:val="single" w:sz="4" w:space="0" w:color="000000"/>
              <w:bottom w:val="nil"/>
            </w:tcBorders>
          </w:tcPr>
          <w:p w14:paraId="3509473D" w14:textId="77777777" w:rsidR="00B926FE" w:rsidRPr="00861126" w:rsidRDefault="00B926FE" w:rsidP="006279A8">
            <w:pPr>
              <w:pStyle w:val="TableText"/>
              <w:spacing w:before="36" w:after="36"/>
              <w:jc w:val="right"/>
            </w:pPr>
          </w:p>
        </w:tc>
        <w:tc>
          <w:tcPr>
            <w:tcW w:w="443" w:type="dxa"/>
            <w:tcBorders>
              <w:top w:val="single" w:sz="4" w:space="0" w:color="000000"/>
              <w:bottom w:val="nil"/>
            </w:tcBorders>
          </w:tcPr>
          <w:p w14:paraId="3FFEBF09" w14:textId="77777777" w:rsidR="00B926FE" w:rsidRPr="00861126" w:rsidRDefault="00B926FE" w:rsidP="006279A8">
            <w:pPr>
              <w:pStyle w:val="TableText"/>
              <w:spacing w:before="36" w:after="36"/>
              <w:jc w:val="right"/>
            </w:pPr>
          </w:p>
        </w:tc>
        <w:tc>
          <w:tcPr>
            <w:tcW w:w="1018" w:type="dxa"/>
            <w:tcBorders>
              <w:top w:val="single" w:sz="4" w:space="0" w:color="000000"/>
              <w:bottom w:val="nil"/>
            </w:tcBorders>
          </w:tcPr>
          <w:p w14:paraId="2AF387E0" w14:textId="77777777" w:rsidR="00B926FE" w:rsidRPr="00861126" w:rsidRDefault="00B926FE" w:rsidP="006279A8">
            <w:pPr>
              <w:pStyle w:val="TableText"/>
              <w:spacing w:before="36" w:after="36"/>
              <w:jc w:val="right"/>
            </w:pPr>
          </w:p>
        </w:tc>
        <w:tc>
          <w:tcPr>
            <w:tcW w:w="1080" w:type="dxa"/>
            <w:tcBorders>
              <w:top w:val="single" w:sz="4" w:space="0" w:color="000000"/>
              <w:bottom w:val="nil"/>
            </w:tcBorders>
          </w:tcPr>
          <w:p w14:paraId="5BB05A6A" w14:textId="77777777" w:rsidR="00B926FE" w:rsidRPr="00861126" w:rsidRDefault="00B926FE" w:rsidP="006279A8">
            <w:pPr>
              <w:pStyle w:val="TableText"/>
              <w:spacing w:before="36" w:after="36"/>
              <w:jc w:val="right"/>
            </w:pPr>
          </w:p>
        </w:tc>
      </w:tr>
      <w:tr w:rsidR="005C60DC" w:rsidRPr="00285A26" w14:paraId="4D8E25A6" w14:textId="77777777" w:rsidTr="005C60DC">
        <w:trPr>
          <w:cantSplit/>
        </w:trPr>
        <w:tc>
          <w:tcPr>
            <w:tcW w:w="1098" w:type="dxa"/>
            <w:tcBorders>
              <w:top w:val="nil"/>
            </w:tcBorders>
          </w:tcPr>
          <w:p w14:paraId="10A583A0" w14:textId="77777777" w:rsidR="00B926FE" w:rsidRPr="00D17DAE" w:rsidRDefault="00B926FE" w:rsidP="006279A8">
            <w:pPr>
              <w:pStyle w:val="TableText"/>
              <w:spacing w:before="36" w:after="36"/>
              <w:rPr>
                <w:bCs/>
                <w:color w:val="000000" w:themeColor="text1"/>
              </w:rPr>
            </w:pPr>
            <w:r w:rsidRPr="00D17DAE">
              <w:rPr>
                <w:bCs/>
                <w:color w:val="000000" w:themeColor="text1"/>
              </w:rPr>
              <w:t>18</w:t>
            </w:r>
            <w:r>
              <w:rPr>
                <w:bCs/>
                <w:color w:val="000000" w:themeColor="text1"/>
              </w:rPr>
              <w:t>–</w:t>
            </w:r>
            <w:r w:rsidRPr="00D17DAE">
              <w:rPr>
                <w:bCs/>
                <w:color w:val="000000" w:themeColor="text1"/>
              </w:rPr>
              <w:t>27</w:t>
            </w:r>
          </w:p>
        </w:tc>
        <w:tc>
          <w:tcPr>
            <w:tcW w:w="521" w:type="dxa"/>
            <w:tcBorders>
              <w:top w:val="nil"/>
            </w:tcBorders>
          </w:tcPr>
          <w:p w14:paraId="38B74773" w14:textId="77777777" w:rsidR="00B926FE" w:rsidRPr="00861126" w:rsidRDefault="00B926FE" w:rsidP="006279A8">
            <w:pPr>
              <w:pStyle w:val="TableText"/>
              <w:spacing w:before="36" w:after="36"/>
              <w:jc w:val="right"/>
            </w:pPr>
            <w:r w:rsidRPr="00861126">
              <w:t>89</w:t>
            </w:r>
          </w:p>
        </w:tc>
        <w:tc>
          <w:tcPr>
            <w:tcW w:w="1009" w:type="dxa"/>
            <w:tcBorders>
              <w:top w:val="nil"/>
            </w:tcBorders>
          </w:tcPr>
          <w:p w14:paraId="6A3CD4B3" w14:textId="77777777" w:rsidR="00B926FE" w:rsidRPr="00861126" w:rsidRDefault="00B926FE" w:rsidP="006279A8">
            <w:pPr>
              <w:pStyle w:val="TableText"/>
              <w:spacing w:before="36" w:after="36"/>
              <w:jc w:val="right"/>
            </w:pPr>
            <w:r w:rsidRPr="00861126">
              <w:t>1110</w:t>
            </w:r>
          </w:p>
        </w:tc>
        <w:tc>
          <w:tcPr>
            <w:tcW w:w="1116" w:type="dxa"/>
            <w:tcBorders>
              <w:top w:val="nil"/>
            </w:tcBorders>
          </w:tcPr>
          <w:p w14:paraId="3AB8D3A2" w14:textId="77777777" w:rsidR="00B926FE" w:rsidRPr="00861126" w:rsidRDefault="00B926FE" w:rsidP="006279A8">
            <w:pPr>
              <w:pStyle w:val="TableText"/>
              <w:spacing w:before="36" w:after="36"/>
              <w:jc w:val="right"/>
            </w:pPr>
            <w:r w:rsidRPr="00861126">
              <w:t>90.2 (80.7</w:t>
            </w:r>
            <w:r>
              <w:t xml:space="preserve">, </w:t>
            </w:r>
            <w:r w:rsidRPr="00861126">
              <w:t>95.3)</w:t>
            </w:r>
          </w:p>
        </w:tc>
        <w:tc>
          <w:tcPr>
            <w:tcW w:w="450" w:type="dxa"/>
            <w:tcBorders>
              <w:top w:val="nil"/>
            </w:tcBorders>
          </w:tcPr>
          <w:p w14:paraId="5F9BCA50" w14:textId="77777777" w:rsidR="00B926FE" w:rsidRPr="00861126" w:rsidRDefault="00B926FE" w:rsidP="006279A8">
            <w:pPr>
              <w:pStyle w:val="TableText"/>
              <w:spacing w:before="36" w:after="36"/>
              <w:jc w:val="right"/>
            </w:pPr>
            <w:r w:rsidRPr="00861126">
              <w:t>8</w:t>
            </w:r>
          </w:p>
        </w:tc>
        <w:tc>
          <w:tcPr>
            <w:tcW w:w="1036" w:type="dxa"/>
            <w:tcBorders>
              <w:top w:val="nil"/>
            </w:tcBorders>
          </w:tcPr>
          <w:p w14:paraId="76AD3E71" w14:textId="77777777" w:rsidR="00B926FE" w:rsidRPr="00861126" w:rsidRDefault="00B926FE" w:rsidP="006279A8">
            <w:pPr>
              <w:pStyle w:val="TableText"/>
              <w:spacing w:before="36" w:after="36"/>
              <w:jc w:val="right"/>
            </w:pPr>
            <w:r w:rsidRPr="00861126">
              <w:t>121</w:t>
            </w:r>
          </w:p>
        </w:tc>
        <w:tc>
          <w:tcPr>
            <w:tcW w:w="1054" w:type="dxa"/>
            <w:tcBorders>
              <w:top w:val="nil"/>
            </w:tcBorders>
          </w:tcPr>
          <w:p w14:paraId="6F417E04" w14:textId="77777777" w:rsidR="00B926FE" w:rsidRPr="00861126" w:rsidRDefault="00B926FE" w:rsidP="006279A8">
            <w:pPr>
              <w:pStyle w:val="TableText"/>
              <w:spacing w:before="36" w:after="36"/>
              <w:jc w:val="right"/>
            </w:pPr>
            <w:r w:rsidRPr="00861126">
              <w:t>9.8 (4.7</w:t>
            </w:r>
            <w:r>
              <w:t xml:space="preserve">, </w:t>
            </w:r>
            <w:r w:rsidRPr="00861126">
              <w:t>19.3)</w:t>
            </w:r>
          </w:p>
        </w:tc>
        <w:tc>
          <w:tcPr>
            <w:tcW w:w="593" w:type="dxa"/>
            <w:tcBorders>
              <w:top w:val="nil"/>
            </w:tcBorders>
          </w:tcPr>
          <w:p w14:paraId="3E8C6128" w14:textId="77777777" w:rsidR="00B926FE" w:rsidRPr="00861126" w:rsidRDefault="00B926FE" w:rsidP="006279A8">
            <w:pPr>
              <w:pStyle w:val="TableText"/>
              <w:spacing w:before="36" w:after="36"/>
              <w:jc w:val="right"/>
            </w:pPr>
            <w:r w:rsidRPr="00861126">
              <w:t>113</w:t>
            </w:r>
          </w:p>
        </w:tc>
        <w:tc>
          <w:tcPr>
            <w:tcW w:w="993" w:type="dxa"/>
            <w:tcBorders>
              <w:top w:val="nil"/>
            </w:tcBorders>
          </w:tcPr>
          <w:p w14:paraId="2A77FF31" w14:textId="77777777" w:rsidR="00B926FE" w:rsidRPr="00861126" w:rsidRDefault="00B926FE" w:rsidP="006279A8">
            <w:pPr>
              <w:pStyle w:val="TableText"/>
              <w:spacing w:before="36" w:after="36"/>
              <w:jc w:val="right"/>
            </w:pPr>
            <w:r w:rsidRPr="00861126">
              <w:t>1979</w:t>
            </w:r>
          </w:p>
        </w:tc>
        <w:tc>
          <w:tcPr>
            <w:tcW w:w="1095" w:type="dxa"/>
            <w:tcBorders>
              <w:top w:val="nil"/>
            </w:tcBorders>
          </w:tcPr>
          <w:p w14:paraId="5885D576" w14:textId="77777777" w:rsidR="00B926FE" w:rsidRPr="00861126" w:rsidRDefault="00B926FE" w:rsidP="006279A8">
            <w:pPr>
              <w:pStyle w:val="TableText"/>
              <w:spacing w:before="36" w:after="36"/>
              <w:jc w:val="right"/>
            </w:pPr>
            <w:r w:rsidRPr="00861126">
              <w:t>98.8 (95.9</w:t>
            </w:r>
            <w:r>
              <w:t xml:space="preserve">, </w:t>
            </w:r>
            <w:r w:rsidRPr="00861126">
              <w:t>99.7)</w:t>
            </w:r>
          </w:p>
        </w:tc>
        <w:tc>
          <w:tcPr>
            <w:tcW w:w="443" w:type="dxa"/>
            <w:tcBorders>
              <w:top w:val="nil"/>
            </w:tcBorders>
          </w:tcPr>
          <w:p w14:paraId="215B07D4" w14:textId="77777777" w:rsidR="00B926FE" w:rsidRPr="00861126" w:rsidRDefault="00B926FE" w:rsidP="006279A8">
            <w:pPr>
              <w:pStyle w:val="TableText"/>
              <w:spacing w:before="36" w:after="36"/>
              <w:jc w:val="right"/>
            </w:pPr>
            <w:r w:rsidRPr="00E603D7">
              <w:t>#</w:t>
            </w:r>
          </w:p>
        </w:tc>
        <w:tc>
          <w:tcPr>
            <w:tcW w:w="1018" w:type="dxa"/>
            <w:tcBorders>
              <w:top w:val="nil"/>
            </w:tcBorders>
          </w:tcPr>
          <w:p w14:paraId="3C482270" w14:textId="77777777" w:rsidR="00B926FE" w:rsidRPr="00861126" w:rsidRDefault="00B926FE" w:rsidP="006279A8">
            <w:pPr>
              <w:pStyle w:val="TableText"/>
              <w:spacing w:before="36" w:after="36"/>
              <w:jc w:val="right"/>
            </w:pPr>
            <w:r>
              <w:t>–</w:t>
            </w:r>
          </w:p>
        </w:tc>
        <w:tc>
          <w:tcPr>
            <w:tcW w:w="1080" w:type="dxa"/>
            <w:tcBorders>
              <w:top w:val="nil"/>
            </w:tcBorders>
          </w:tcPr>
          <w:p w14:paraId="365DF509" w14:textId="77777777" w:rsidR="00B926FE" w:rsidRPr="00861126" w:rsidRDefault="00B926FE" w:rsidP="006279A8">
            <w:pPr>
              <w:pStyle w:val="TableText"/>
              <w:spacing w:before="36" w:after="36"/>
              <w:jc w:val="right"/>
            </w:pPr>
            <w:r>
              <w:t>–</w:t>
            </w:r>
          </w:p>
        </w:tc>
      </w:tr>
      <w:tr w:rsidR="00B926FE" w:rsidRPr="00285A26" w14:paraId="726D83AD"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Pr>
          <w:p w14:paraId="614720CD" w14:textId="77777777" w:rsidR="00B926FE" w:rsidRPr="00D17DAE" w:rsidRDefault="00B926FE" w:rsidP="006279A8">
            <w:pPr>
              <w:pStyle w:val="TableText"/>
              <w:spacing w:before="36" w:after="36"/>
              <w:rPr>
                <w:bCs/>
                <w:color w:val="000000" w:themeColor="text1"/>
              </w:rPr>
            </w:pPr>
            <w:r w:rsidRPr="00D17DAE">
              <w:rPr>
                <w:bCs/>
                <w:color w:val="000000" w:themeColor="text1"/>
              </w:rPr>
              <w:t>28</w:t>
            </w:r>
            <w:r>
              <w:rPr>
                <w:bCs/>
                <w:color w:val="000000" w:themeColor="text1"/>
              </w:rPr>
              <w:t>–</w:t>
            </w:r>
            <w:r w:rsidRPr="00D17DAE">
              <w:rPr>
                <w:bCs/>
                <w:color w:val="000000" w:themeColor="text1"/>
              </w:rPr>
              <w:t>37</w:t>
            </w:r>
          </w:p>
        </w:tc>
        <w:tc>
          <w:tcPr>
            <w:tcW w:w="521" w:type="dxa"/>
          </w:tcPr>
          <w:p w14:paraId="00C24DF7" w14:textId="77777777" w:rsidR="00B926FE" w:rsidRPr="00861126" w:rsidRDefault="00B926FE" w:rsidP="006279A8">
            <w:pPr>
              <w:pStyle w:val="TableText"/>
              <w:spacing w:before="36" w:after="36"/>
              <w:jc w:val="right"/>
            </w:pPr>
            <w:r w:rsidRPr="00861126">
              <w:t>258</w:t>
            </w:r>
          </w:p>
        </w:tc>
        <w:tc>
          <w:tcPr>
            <w:tcW w:w="1009" w:type="dxa"/>
          </w:tcPr>
          <w:p w14:paraId="3935A904" w14:textId="77777777" w:rsidR="00B926FE" w:rsidRPr="00861126" w:rsidRDefault="00B926FE" w:rsidP="006279A8">
            <w:pPr>
              <w:pStyle w:val="TableText"/>
              <w:spacing w:before="36" w:after="36"/>
              <w:jc w:val="right"/>
            </w:pPr>
            <w:r w:rsidRPr="00861126">
              <w:t>2219</w:t>
            </w:r>
          </w:p>
        </w:tc>
        <w:tc>
          <w:tcPr>
            <w:tcW w:w="1116" w:type="dxa"/>
          </w:tcPr>
          <w:p w14:paraId="5AA1BF57" w14:textId="77777777" w:rsidR="00B926FE" w:rsidRPr="00861126" w:rsidRDefault="00B926FE" w:rsidP="006279A8">
            <w:pPr>
              <w:pStyle w:val="TableText"/>
              <w:spacing w:before="36" w:after="36"/>
              <w:jc w:val="right"/>
            </w:pPr>
            <w:r w:rsidRPr="00861126">
              <w:t>91.9 (86.6</w:t>
            </w:r>
            <w:r>
              <w:t xml:space="preserve">, </w:t>
            </w:r>
            <w:r w:rsidRPr="00861126">
              <w:t>95.2)</w:t>
            </w:r>
          </w:p>
        </w:tc>
        <w:tc>
          <w:tcPr>
            <w:tcW w:w="450" w:type="dxa"/>
          </w:tcPr>
          <w:p w14:paraId="0A365D73" w14:textId="77777777" w:rsidR="00B926FE" w:rsidRPr="00861126" w:rsidRDefault="00B926FE" w:rsidP="006279A8">
            <w:pPr>
              <w:pStyle w:val="TableText"/>
              <w:spacing w:before="36" w:after="36"/>
              <w:jc w:val="right"/>
            </w:pPr>
            <w:r w:rsidRPr="00861126">
              <w:t>19</w:t>
            </w:r>
          </w:p>
        </w:tc>
        <w:tc>
          <w:tcPr>
            <w:tcW w:w="1036" w:type="dxa"/>
          </w:tcPr>
          <w:p w14:paraId="62ABCD62" w14:textId="77777777" w:rsidR="00B926FE" w:rsidRPr="00861126" w:rsidRDefault="00B926FE" w:rsidP="006279A8">
            <w:pPr>
              <w:pStyle w:val="TableText"/>
              <w:spacing w:before="36" w:after="36"/>
              <w:jc w:val="right"/>
            </w:pPr>
            <w:r w:rsidRPr="00861126">
              <w:t>178</w:t>
            </w:r>
          </w:p>
        </w:tc>
        <w:tc>
          <w:tcPr>
            <w:tcW w:w="1054" w:type="dxa"/>
          </w:tcPr>
          <w:p w14:paraId="73F302D0" w14:textId="77777777" w:rsidR="00B926FE" w:rsidRPr="00861126" w:rsidRDefault="00B926FE" w:rsidP="006279A8">
            <w:pPr>
              <w:pStyle w:val="TableText"/>
              <w:spacing w:before="36" w:after="36"/>
              <w:jc w:val="right"/>
            </w:pPr>
            <w:r w:rsidRPr="00861126">
              <w:t>7.4 (4.2</w:t>
            </w:r>
            <w:r>
              <w:t xml:space="preserve">, </w:t>
            </w:r>
            <w:r w:rsidRPr="00861126">
              <w:t>12.6)</w:t>
            </w:r>
          </w:p>
        </w:tc>
        <w:tc>
          <w:tcPr>
            <w:tcW w:w="593" w:type="dxa"/>
          </w:tcPr>
          <w:p w14:paraId="4CBFDA13" w14:textId="77777777" w:rsidR="00B926FE" w:rsidRPr="00861126" w:rsidRDefault="00B926FE" w:rsidP="006279A8">
            <w:pPr>
              <w:pStyle w:val="TableText"/>
              <w:spacing w:before="36" w:after="36"/>
              <w:jc w:val="right"/>
            </w:pPr>
            <w:r w:rsidRPr="00861126">
              <w:t>464</w:t>
            </w:r>
          </w:p>
        </w:tc>
        <w:tc>
          <w:tcPr>
            <w:tcW w:w="993" w:type="dxa"/>
          </w:tcPr>
          <w:p w14:paraId="771DF61F" w14:textId="77777777" w:rsidR="00B926FE" w:rsidRPr="00861126" w:rsidRDefault="00B926FE" w:rsidP="006279A8">
            <w:pPr>
              <w:pStyle w:val="TableText"/>
              <w:spacing w:before="36" w:after="36"/>
              <w:jc w:val="right"/>
            </w:pPr>
            <w:r w:rsidRPr="00861126">
              <w:t>3139</w:t>
            </w:r>
          </w:p>
        </w:tc>
        <w:tc>
          <w:tcPr>
            <w:tcW w:w="1095" w:type="dxa"/>
          </w:tcPr>
          <w:p w14:paraId="537800B1" w14:textId="77777777" w:rsidR="00B926FE" w:rsidRPr="00861126" w:rsidRDefault="00B926FE" w:rsidP="006279A8">
            <w:pPr>
              <w:pStyle w:val="TableText"/>
              <w:spacing w:before="36" w:after="36"/>
              <w:jc w:val="right"/>
            </w:pPr>
            <w:r w:rsidRPr="00861126">
              <w:t>81.6 (64.6</w:t>
            </w:r>
            <w:r>
              <w:t xml:space="preserve">, </w:t>
            </w:r>
            <w:r w:rsidRPr="00861126">
              <w:t>91.6)</w:t>
            </w:r>
          </w:p>
        </w:tc>
        <w:tc>
          <w:tcPr>
            <w:tcW w:w="443" w:type="dxa"/>
          </w:tcPr>
          <w:p w14:paraId="3DBF62D6" w14:textId="77777777" w:rsidR="00B926FE" w:rsidRPr="00861126" w:rsidRDefault="00B926FE" w:rsidP="006279A8">
            <w:pPr>
              <w:pStyle w:val="TableText"/>
              <w:spacing w:before="36" w:after="36"/>
              <w:jc w:val="right"/>
            </w:pPr>
            <w:r w:rsidRPr="00861126">
              <w:t>35</w:t>
            </w:r>
          </w:p>
        </w:tc>
        <w:tc>
          <w:tcPr>
            <w:tcW w:w="1018" w:type="dxa"/>
          </w:tcPr>
          <w:p w14:paraId="723F9217" w14:textId="77777777" w:rsidR="00B926FE" w:rsidRPr="00861126" w:rsidRDefault="00B926FE" w:rsidP="006279A8">
            <w:pPr>
              <w:pStyle w:val="TableText"/>
              <w:spacing w:before="36" w:after="36"/>
              <w:jc w:val="right"/>
            </w:pPr>
            <w:r w:rsidRPr="00861126">
              <w:t>659</w:t>
            </w:r>
          </w:p>
        </w:tc>
        <w:tc>
          <w:tcPr>
            <w:tcW w:w="1080" w:type="dxa"/>
          </w:tcPr>
          <w:p w14:paraId="0BD48135" w14:textId="77777777" w:rsidR="00B926FE" w:rsidRPr="00861126" w:rsidRDefault="00B926FE" w:rsidP="006279A8">
            <w:pPr>
              <w:pStyle w:val="TableText"/>
              <w:spacing w:before="36" w:after="36"/>
              <w:jc w:val="right"/>
            </w:pPr>
            <w:r w:rsidRPr="00861126">
              <w:t>17.1 (7.5</w:t>
            </w:r>
            <w:r>
              <w:t xml:space="preserve">, </w:t>
            </w:r>
            <w:r w:rsidRPr="00861126">
              <w:t>34.7)</w:t>
            </w:r>
          </w:p>
        </w:tc>
      </w:tr>
      <w:tr w:rsidR="005C60DC" w:rsidRPr="00285A26" w14:paraId="12B4694B" w14:textId="77777777" w:rsidTr="005C60DC">
        <w:trPr>
          <w:cantSplit/>
        </w:trPr>
        <w:tc>
          <w:tcPr>
            <w:tcW w:w="1098" w:type="dxa"/>
          </w:tcPr>
          <w:p w14:paraId="6E61713E" w14:textId="77777777" w:rsidR="00B926FE" w:rsidRPr="00D17DAE" w:rsidRDefault="00B926FE" w:rsidP="006279A8">
            <w:pPr>
              <w:pStyle w:val="TableText"/>
              <w:spacing w:before="36" w:after="36"/>
              <w:rPr>
                <w:bCs/>
                <w:color w:val="000000" w:themeColor="text1"/>
              </w:rPr>
            </w:pPr>
            <w:r w:rsidRPr="00D17DAE">
              <w:rPr>
                <w:bCs/>
                <w:color w:val="000000" w:themeColor="text1"/>
              </w:rPr>
              <w:t>38</w:t>
            </w:r>
            <w:r>
              <w:rPr>
                <w:bCs/>
                <w:color w:val="000000" w:themeColor="text1"/>
              </w:rPr>
              <w:t>–</w:t>
            </w:r>
            <w:r w:rsidRPr="00D17DAE">
              <w:rPr>
                <w:bCs/>
                <w:color w:val="000000" w:themeColor="text1"/>
              </w:rPr>
              <w:t>47</w:t>
            </w:r>
          </w:p>
        </w:tc>
        <w:tc>
          <w:tcPr>
            <w:tcW w:w="521" w:type="dxa"/>
          </w:tcPr>
          <w:p w14:paraId="2B4238DB" w14:textId="77777777" w:rsidR="00B926FE" w:rsidRPr="00861126" w:rsidRDefault="00B926FE" w:rsidP="006279A8">
            <w:pPr>
              <w:pStyle w:val="TableText"/>
              <w:spacing w:before="36" w:after="36"/>
              <w:jc w:val="right"/>
            </w:pPr>
            <w:r w:rsidRPr="00861126">
              <w:t>242</w:t>
            </w:r>
          </w:p>
        </w:tc>
        <w:tc>
          <w:tcPr>
            <w:tcW w:w="1009" w:type="dxa"/>
          </w:tcPr>
          <w:p w14:paraId="268C019A" w14:textId="77777777" w:rsidR="00B926FE" w:rsidRPr="00861126" w:rsidRDefault="00B926FE" w:rsidP="006279A8">
            <w:pPr>
              <w:pStyle w:val="TableText"/>
              <w:spacing w:before="36" w:after="36"/>
              <w:jc w:val="right"/>
            </w:pPr>
            <w:r w:rsidRPr="00861126">
              <w:t>1311</w:t>
            </w:r>
          </w:p>
        </w:tc>
        <w:tc>
          <w:tcPr>
            <w:tcW w:w="1116" w:type="dxa"/>
          </w:tcPr>
          <w:p w14:paraId="642634D4" w14:textId="77777777" w:rsidR="00B926FE" w:rsidRPr="00861126" w:rsidRDefault="00B926FE" w:rsidP="006279A8">
            <w:pPr>
              <w:pStyle w:val="TableText"/>
              <w:spacing w:before="36" w:after="36"/>
              <w:jc w:val="right"/>
            </w:pPr>
            <w:r w:rsidRPr="00861126">
              <w:t>90.4 (84.5</w:t>
            </w:r>
            <w:r>
              <w:t xml:space="preserve">, </w:t>
            </w:r>
            <w:r w:rsidRPr="00861126">
              <w:t>94.2)</w:t>
            </w:r>
          </w:p>
        </w:tc>
        <w:tc>
          <w:tcPr>
            <w:tcW w:w="450" w:type="dxa"/>
          </w:tcPr>
          <w:p w14:paraId="28C59896" w14:textId="77777777" w:rsidR="00B926FE" w:rsidRPr="00861126" w:rsidRDefault="00B926FE" w:rsidP="006279A8">
            <w:pPr>
              <w:pStyle w:val="TableText"/>
              <w:spacing w:before="36" w:after="36"/>
              <w:jc w:val="right"/>
            </w:pPr>
            <w:r w:rsidRPr="00861126">
              <w:t>16</w:t>
            </w:r>
          </w:p>
        </w:tc>
        <w:tc>
          <w:tcPr>
            <w:tcW w:w="1036" w:type="dxa"/>
          </w:tcPr>
          <w:p w14:paraId="3F7B77BA" w14:textId="77777777" w:rsidR="00B926FE" w:rsidRPr="00861126" w:rsidRDefault="00B926FE" w:rsidP="006279A8">
            <w:pPr>
              <w:pStyle w:val="TableText"/>
              <w:spacing w:before="36" w:after="36"/>
              <w:jc w:val="right"/>
            </w:pPr>
            <w:r w:rsidRPr="00861126">
              <w:t>96</w:t>
            </w:r>
          </w:p>
        </w:tc>
        <w:tc>
          <w:tcPr>
            <w:tcW w:w="1054" w:type="dxa"/>
          </w:tcPr>
          <w:p w14:paraId="7EACEE1D" w14:textId="77777777" w:rsidR="00B926FE" w:rsidRPr="00861126" w:rsidRDefault="00B926FE" w:rsidP="006279A8">
            <w:pPr>
              <w:pStyle w:val="TableText"/>
              <w:spacing w:before="36" w:after="36"/>
              <w:jc w:val="right"/>
            </w:pPr>
            <w:r w:rsidRPr="00861126">
              <w:t>6.6 (3.8</w:t>
            </w:r>
            <w:r>
              <w:t xml:space="preserve">, </w:t>
            </w:r>
            <w:r w:rsidRPr="00861126">
              <w:t>11.3)</w:t>
            </w:r>
          </w:p>
        </w:tc>
        <w:tc>
          <w:tcPr>
            <w:tcW w:w="593" w:type="dxa"/>
          </w:tcPr>
          <w:p w14:paraId="4B37BCAE" w14:textId="77777777" w:rsidR="00B926FE" w:rsidRPr="00861126" w:rsidRDefault="00B926FE" w:rsidP="006279A8">
            <w:pPr>
              <w:pStyle w:val="TableText"/>
              <w:spacing w:before="36" w:after="36"/>
              <w:jc w:val="right"/>
            </w:pPr>
            <w:r w:rsidRPr="00861126">
              <w:t>464</w:t>
            </w:r>
          </w:p>
        </w:tc>
        <w:tc>
          <w:tcPr>
            <w:tcW w:w="993" w:type="dxa"/>
          </w:tcPr>
          <w:p w14:paraId="344E39A7" w14:textId="77777777" w:rsidR="00B926FE" w:rsidRPr="00861126" w:rsidRDefault="00B926FE" w:rsidP="006279A8">
            <w:pPr>
              <w:pStyle w:val="TableText"/>
              <w:spacing w:before="36" w:after="36"/>
              <w:jc w:val="right"/>
            </w:pPr>
            <w:r w:rsidRPr="00861126">
              <w:t>1794</w:t>
            </w:r>
          </w:p>
        </w:tc>
        <w:tc>
          <w:tcPr>
            <w:tcW w:w="1095" w:type="dxa"/>
          </w:tcPr>
          <w:p w14:paraId="3806785C" w14:textId="77777777" w:rsidR="00B926FE" w:rsidRPr="00861126" w:rsidRDefault="00B926FE" w:rsidP="006279A8">
            <w:pPr>
              <w:pStyle w:val="TableText"/>
              <w:spacing w:before="36" w:after="36"/>
              <w:jc w:val="right"/>
            </w:pPr>
            <w:r w:rsidRPr="00861126">
              <w:t>92.9 (89.1</w:t>
            </w:r>
            <w:r>
              <w:t xml:space="preserve">, </w:t>
            </w:r>
            <w:r w:rsidRPr="00861126">
              <w:t>95.4)</w:t>
            </w:r>
          </w:p>
        </w:tc>
        <w:tc>
          <w:tcPr>
            <w:tcW w:w="443" w:type="dxa"/>
          </w:tcPr>
          <w:p w14:paraId="6B444034" w14:textId="77777777" w:rsidR="00B926FE" w:rsidRPr="00861126" w:rsidRDefault="00B926FE" w:rsidP="006279A8">
            <w:pPr>
              <w:pStyle w:val="TableText"/>
              <w:spacing w:before="36" w:after="36"/>
              <w:jc w:val="right"/>
            </w:pPr>
            <w:r w:rsidRPr="00861126">
              <w:t>31</w:t>
            </w:r>
          </w:p>
        </w:tc>
        <w:tc>
          <w:tcPr>
            <w:tcW w:w="1018" w:type="dxa"/>
          </w:tcPr>
          <w:p w14:paraId="3460027A" w14:textId="77777777" w:rsidR="00B926FE" w:rsidRPr="00861126" w:rsidRDefault="00B926FE" w:rsidP="006279A8">
            <w:pPr>
              <w:pStyle w:val="TableText"/>
              <w:spacing w:before="36" w:after="36"/>
              <w:jc w:val="right"/>
            </w:pPr>
            <w:r w:rsidRPr="00861126">
              <w:t>131</w:t>
            </w:r>
          </w:p>
        </w:tc>
        <w:tc>
          <w:tcPr>
            <w:tcW w:w="1080" w:type="dxa"/>
          </w:tcPr>
          <w:p w14:paraId="624BD843" w14:textId="77777777" w:rsidR="00B926FE" w:rsidRPr="00861126" w:rsidRDefault="00B926FE" w:rsidP="006279A8">
            <w:pPr>
              <w:pStyle w:val="TableText"/>
              <w:spacing w:before="36" w:after="36"/>
              <w:jc w:val="right"/>
            </w:pPr>
            <w:r w:rsidRPr="00861126">
              <w:t>6.8 (4.3</w:t>
            </w:r>
            <w:r>
              <w:t xml:space="preserve">, </w:t>
            </w:r>
            <w:r w:rsidRPr="00861126">
              <w:t>10.5)</w:t>
            </w:r>
          </w:p>
        </w:tc>
      </w:tr>
      <w:tr w:rsidR="00B926FE" w:rsidRPr="00285A26" w14:paraId="783E3D7F"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Pr>
          <w:p w14:paraId="2E382BC1" w14:textId="77777777" w:rsidR="00B926FE" w:rsidRPr="00D17DAE" w:rsidRDefault="00B926FE" w:rsidP="006279A8">
            <w:pPr>
              <w:pStyle w:val="TableText"/>
              <w:spacing w:before="36" w:after="36"/>
              <w:rPr>
                <w:bCs/>
                <w:color w:val="000000" w:themeColor="text1"/>
              </w:rPr>
            </w:pPr>
            <w:r w:rsidRPr="00D17DAE">
              <w:rPr>
                <w:bCs/>
                <w:color w:val="000000" w:themeColor="text1"/>
              </w:rPr>
              <w:t>48</w:t>
            </w:r>
            <w:r>
              <w:rPr>
                <w:bCs/>
                <w:color w:val="000000" w:themeColor="text1"/>
              </w:rPr>
              <w:t>–</w:t>
            </w:r>
            <w:r w:rsidRPr="00D17DAE">
              <w:rPr>
                <w:bCs/>
                <w:color w:val="000000" w:themeColor="text1"/>
              </w:rPr>
              <w:t>57</w:t>
            </w:r>
          </w:p>
        </w:tc>
        <w:tc>
          <w:tcPr>
            <w:tcW w:w="521" w:type="dxa"/>
          </w:tcPr>
          <w:p w14:paraId="3BF345DC" w14:textId="77777777" w:rsidR="00B926FE" w:rsidRPr="00861126" w:rsidRDefault="00B926FE" w:rsidP="006279A8">
            <w:pPr>
              <w:pStyle w:val="TableText"/>
              <w:spacing w:before="36" w:after="36"/>
              <w:jc w:val="right"/>
            </w:pPr>
            <w:r w:rsidRPr="00861126">
              <w:t>126</w:t>
            </w:r>
          </w:p>
        </w:tc>
        <w:tc>
          <w:tcPr>
            <w:tcW w:w="1009" w:type="dxa"/>
          </w:tcPr>
          <w:p w14:paraId="7ECBCBFB" w14:textId="77777777" w:rsidR="00B926FE" w:rsidRPr="00861126" w:rsidRDefault="00B926FE" w:rsidP="006279A8">
            <w:pPr>
              <w:pStyle w:val="TableText"/>
              <w:spacing w:before="36" w:after="36"/>
              <w:jc w:val="right"/>
            </w:pPr>
            <w:r w:rsidRPr="00861126">
              <w:t>591</w:t>
            </w:r>
          </w:p>
        </w:tc>
        <w:tc>
          <w:tcPr>
            <w:tcW w:w="1116" w:type="dxa"/>
          </w:tcPr>
          <w:p w14:paraId="6B5D4BD3" w14:textId="77777777" w:rsidR="00B926FE" w:rsidRPr="00861126" w:rsidRDefault="00B926FE" w:rsidP="006279A8">
            <w:pPr>
              <w:pStyle w:val="TableText"/>
              <w:spacing w:before="36" w:after="36"/>
              <w:jc w:val="right"/>
            </w:pPr>
            <w:r w:rsidRPr="00861126">
              <w:t>93.5 (89.2</w:t>
            </w:r>
            <w:r>
              <w:t xml:space="preserve">, </w:t>
            </w:r>
            <w:r w:rsidRPr="00861126">
              <w:t>96.1)</w:t>
            </w:r>
          </w:p>
        </w:tc>
        <w:tc>
          <w:tcPr>
            <w:tcW w:w="450" w:type="dxa"/>
          </w:tcPr>
          <w:p w14:paraId="7532D05D" w14:textId="77777777" w:rsidR="00B926FE" w:rsidRPr="00861126" w:rsidRDefault="00B926FE" w:rsidP="006279A8">
            <w:pPr>
              <w:pStyle w:val="TableText"/>
              <w:spacing w:before="36" w:after="36"/>
              <w:jc w:val="right"/>
            </w:pPr>
            <w:r w:rsidRPr="00861126">
              <w:t>11</w:t>
            </w:r>
          </w:p>
        </w:tc>
        <w:tc>
          <w:tcPr>
            <w:tcW w:w="1036" w:type="dxa"/>
          </w:tcPr>
          <w:p w14:paraId="39708396" w14:textId="77777777" w:rsidR="00B926FE" w:rsidRPr="00861126" w:rsidRDefault="00B926FE" w:rsidP="006279A8">
            <w:pPr>
              <w:pStyle w:val="TableText"/>
              <w:spacing w:before="36" w:after="36"/>
              <w:jc w:val="right"/>
            </w:pPr>
            <w:r w:rsidRPr="00861126">
              <w:t>41</w:t>
            </w:r>
          </w:p>
        </w:tc>
        <w:tc>
          <w:tcPr>
            <w:tcW w:w="1054" w:type="dxa"/>
          </w:tcPr>
          <w:p w14:paraId="2C74D873" w14:textId="77777777" w:rsidR="00B926FE" w:rsidRPr="00861126" w:rsidRDefault="00B926FE" w:rsidP="006279A8">
            <w:pPr>
              <w:pStyle w:val="TableText"/>
              <w:spacing w:before="36" w:after="36"/>
              <w:jc w:val="right"/>
            </w:pPr>
            <w:r w:rsidRPr="00861126">
              <w:t>6.5 (3.9</w:t>
            </w:r>
            <w:r>
              <w:t xml:space="preserve">, </w:t>
            </w:r>
            <w:r w:rsidRPr="00861126">
              <w:t>10.8)</w:t>
            </w:r>
          </w:p>
        </w:tc>
        <w:tc>
          <w:tcPr>
            <w:tcW w:w="593" w:type="dxa"/>
          </w:tcPr>
          <w:p w14:paraId="19A08E25" w14:textId="77777777" w:rsidR="00B926FE" w:rsidRPr="00861126" w:rsidRDefault="00B926FE" w:rsidP="006279A8">
            <w:pPr>
              <w:pStyle w:val="TableText"/>
              <w:spacing w:before="36" w:after="36"/>
              <w:jc w:val="right"/>
            </w:pPr>
            <w:r w:rsidRPr="00861126">
              <w:t>248</w:t>
            </w:r>
          </w:p>
        </w:tc>
        <w:tc>
          <w:tcPr>
            <w:tcW w:w="993" w:type="dxa"/>
          </w:tcPr>
          <w:p w14:paraId="3F79D72A" w14:textId="77777777" w:rsidR="00B926FE" w:rsidRPr="00861126" w:rsidRDefault="00B926FE" w:rsidP="006279A8">
            <w:pPr>
              <w:pStyle w:val="TableText"/>
              <w:spacing w:before="36" w:after="36"/>
              <w:jc w:val="right"/>
            </w:pPr>
            <w:r w:rsidRPr="00861126">
              <w:t>910</w:t>
            </w:r>
          </w:p>
        </w:tc>
        <w:tc>
          <w:tcPr>
            <w:tcW w:w="1095" w:type="dxa"/>
          </w:tcPr>
          <w:p w14:paraId="4040492A" w14:textId="77777777" w:rsidR="00B926FE" w:rsidRPr="00861126" w:rsidRDefault="00B926FE" w:rsidP="006279A8">
            <w:pPr>
              <w:pStyle w:val="TableText"/>
              <w:spacing w:before="36" w:after="36"/>
              <w:jc w:val="right"/>
            </w:pPr>
            <w:r w:rsidRPr="00861126">
              <w:t>94.6 (91.1</w:t>
            </w:r>
            <w:r>
              <w:t xml:space="preserve">, </w:t>
            </w:r>
            <w:r w:rsidRPr="00861126">
              <w:t>96.8)</w:t>
            </w:r>
          </w:p>
        </w:tc>
        <w:tc>
          <w:tcPr>
            <w:tcW w:w="443" w:type="dxa"/>
          </w:tcPr>
          <w:p w14:paraId="7D43A11A" w14:textId="77777777" w:rsidR="00B926FE" w:rsidRPr="00861126" w:rsidRDefault="00B926FE" w:rsidP="006279A8">
            <w:pPr>
              <w:pStyle w:val="TableText"/>
              <w:spacing w:before="36" w:after="36"/>
              <w:jc w:val="right"/>
            </w:pPr>
            <w:r w:rsidRPr="00861126">
              <w:t>14</w:t>
            </w:r>
          </w:p>
        </w:tc>
        <w:tc>
          <w:tcPr>
            <w:tcW w:w="1018" w:type="dxa"/>
          </w:tcPr>
          <w:p w14:paraId="26886246" w14:textId="77777777" w:rsidR="00B926FE" w:rsidRPr="00861126" w:rsidRDefault="00B926FE" w:rsidP="006279A8">
            <w:pPr>
              <w:pStyle w:val="TableText"/>
              <w:spacing w:before="36" w:after="36"/>
              <w:jc w:val="right"/>
            </w:pPr>
            <w:r w:rsidRPr="00861126">
              <w:t>49</w:t>
            </w:r>
          </w:p>
        </w:tc>
        <w:tc>
          <w:tcPr>
            <w:tcW w:w="1080" w:type="dxa"/>
          </w:tcPr>
          <w:p w14:paraId="592EECC6" w14:textId="77777777" w:rsidR="00B926FE" w:rsidRPr="00861126" w:rsidRDefault="00B926FE" w:rsidP="006279A8">
            <w:pPr>
              <w:pStyle w:val="TableText"/>
              <w:spacing w:before="36" w:after="36"/>
              <w:jc w:val="right"/>
            </w:pPr>
            <w:r w:rsidRPr="00861126">
              <w:t>5.1 (3.0</w:t>
            </w:r>
            <w:r>
              <w:t xml:space="preserve">, </w:t>
            </w:r>
            <w:r w:rsidRPr="00861126">
              <w:t>8.6)</w:t>
            </w:r>
          </w:p>
        </w:tc>
      </w:tr>
      <w:tr w:rsidR="005C60DC" w:rsidRPr="00285A26" w14:paraId="42E97459" w14:textId="77777777" w:rsidTr="005C60DC">
        <w:trPr>
          <w:cantSplit/>
        </w:trPr>
        <w:tc>
          <w:tcPr>
            <w:tcW w:w="1098" w:type="dxa"/>
            <w:tcBorders>
              <w:bottom w:val="single" w:sz="4" w:space="0" w:color="000000"/>
            </w:tcBorders>
          </w:tcPr>
          <w:p w14:paraId="06CA1B9D" w14:textId="77777777" w:rsidR="00B926FE" w:rsidRPr="00D17DAE" w:rsidRDefault="00B926FE" w:rsidP="006279A8">
            <w:pPr>
              <w:pStyle w:val="TableText"/>
              <w:spacing w:before="36" w:after="36"/>
              <w:rPr>
                <w:bCs/>
                <w:color w:val="000000" w:themeColor="text1"/>
              </w:rPr>
            </w:pPr>
            <w:r w:rsidRPr="00D17DAE">
              <w:rPr>
                <w:bCs/>
                <w:color w:val="000000" w:themeColor="text1"/>
              </w:rPr>
              <w:t>58+</w:t>
            </w:r>
          </w:p>
        </w:tc>
        <w:tc>
          <w:tcPr>
            <w:tcW w:w="521" w:type="dxa"/>
            <w:tcBorders>
              <w:bottom w:val="single" w:sz="4" w:space="0" w:color="000000"/>
            </w:tcBorders>
          </w:tcPr>
          <w:p w14:paraId="12920DDC" w14:textId="77777777" w:rsidR="00B926FE" w:rsidRPr="00861126" w:rsidRDefault="00B926FE" w:rsidP="006279A8">
            <w:pPr>
              <w:pStyle w:val="TableText"/>
              <w:spacing w:before="36" w:after="36"/>
              <w:jc w:val="right"/>
            </w:pPr>
            <w:r w:rsidRPr="00861126">
              <w:t>64</w:t>
            </w:r>
          </w:p>
        </w:tc>
        <w:tc>
          <w:tcPr>
            <w:tcW w:w="1009" w:type="dxa"/>
            <w:tcBorders>
              <w:bottom w:val="single" w:sz="4" w:space="0" w:color="000000"/>
            </w:tcBorders>
          </w:tcPr>
          <w:p w14:paraId="082A70C4" w14:textId="77777777" w:rsidR="00B926FE" w:rsidRPr="00861126" w:rsidRDefault="00B926FE" w:rsidP="006279A8">
            <w:pPr>
              <w:pStyle w:val="TableText"/>
              <w:spacing w:before="36" w:after="36"/>
              <w:jc w:val="right"/>
            </w:pPr>
            <w:r w:rsidRPr="00861126">
              <w:t>271</w:t>
            </w:r>
          </w:p>
        </w:tc>
        <w:tc>
          <w:tcPr>
            <w:tcW w:w="1116" w:type="dxa"/>
            <w:tcBorders>
              <w:bottom w:val="single" w:sz="4" w:space="0" w:color="000000"/>
            </w:tcBorders>
          </w:tcPr>
          <w:p w14:paraId="5F34B963" w14:textId="77777777" w:rsidR="00B926FE" w:rsidRPr="00861126" w:rsidRDefault="00B926FE" w:rsidP="006279A8">
            <w:pPr>
              <w:pStyle w:val="TableText"/>
              <w:spacing w:before="36" w:after="36"/>
              <w:jc w:val="right"/>
            </w:pPr>
            <w:r w:rsidRPr="00861126">
              <w:t>92.3 (85.2</w:t>
            </w:r>
            <w:r>
              <w:t xml:space="preserve">, </w:t>
            </w:r>
            <w:r w:rsidRPr="00861126">
              <w:t>96.2)</w:t>
            </w:r>
          </w:p>
        </w:tc>
        <w:tc>
          <w:tcPr>
            <w:tcW w:w="450" w:type="dxa"/>
            <w:tcBorders>
              <w:bottom w:val="single" w:sz="4" w:space="0" w:color="000000"/>
            </w:tcBorders>
          </w:tcPr>
          <w:p w14:paraId="04B8EEEC" w14:textId="77777777" w:rsidR="00B926FE" w:rsidRPr="00861126" w:rsidRDefault="00B926FE" w:rsidP="006279A8">
            <w:pPr>
              <w:pStyle w:val="TableText"/>
              <w:spacing w:before="36" w:after="36"/>
              <w:jc w:val="right"/>
            </w:pPr>
            <w:r w:rsidRPr="00861126">
              <w:t>6</w:t>
            </w:r>
          </w:p>
        </w:tc>
        <w:tc>
          <w:tcPr>
            <w:tcW w:w="1036" w:type="dxa"/>
            <w:tcBorders>
              <w:bottom w:val="single" w:sz="4" w:space="0" w:color="000000"/>
            </w:tcBorders>
          </w:tcPr>
          <w:p w14:paraId="45B2930C" w14:textId="77777777" w:rsidR="00B926FE" w:rsidRPr="00861126" w:rsidRDefault="00B926FE" w:rsidP="006279A8">
            <w:pPr>
              <w:pStyle w:val="TableText"/>
              <w:spacing w:before="36" w:after="36"/>
              <w:jc w:val="right"/>
            </w:pPr>
            <w:r w:rsidRPr="00861126">
              <w:t>23</w:t>
            </w:r>
          </w:p>
        </w:tc>
        <w:tc>
          <w:tcPr>
            <w:tcW w:w="1054" w:type="dxa"/>
            <w:tcBorders>
              <w:bottom w:val="single" w:sz="4" w:space="0" w:color="000000"/>
            </w:tcBorders>
          </w:tcPr>
          <w:p w14:paraId="6EC01FDA" w14:textId="77777777" w:rsidR="00B926FE" w:rsidRPr="00861126" w:rsidRDefault="00B926FE" w:rsidP="006279A8">
            <w:pPr>
              <w:pStyle w:val="TableText"/>
              <w:spacing w:before="36" w:after="36"/>
              <w:jc w:val="right"/>
            </w:pPr>
            <w:r w:rsidRPr="00861126">
              <w:t>7.7 (3.8</w:t>
            </w:r>
            <w:r>
              <w:t xml:space="preserve">, </w:t>
            </w:r>
            <w:r w:rsidRPr="00861126">
              <w:t>14.8)</w:t>
            </w:r>
          </w:p>
        </w:tc>
        <w:tc>
          <w:tcPr>
            <w:tcW w:w="593" w:type="dxa"/>
            <w:tcBorders>
              <w:bottom w:val="single" w:sz="4" w:space="0" w:color="000000"/>
            </w:tcBorders>
          </w:tcPr>
          <w:p w14:paraId="5B92EEFF" w14:textId="77777777" w:rsidR="00B926FE" w:rsidRPr="00861126" w:rsidRDefault="00B926FE" w:rsidP="006279A8">
            <w:pPr>
              <w:pStyle w:val="TableText"/>
              <w:spacing w:before="36" w:after="36"/>
              <w:jc w:val="right"/>
            </w:pPr>
            <w:r w:rsidRPr="00861126">
              <w:t>20</w:t>
            </w:r>
          </w:p>
        </w:tc>
        <w:tc>
          <w:tcPr>
            <w:tcW w:w="993" w:type="dxa"/>
            <w:tcBorders>
              <w:bottom w:val="single" w:sz="4" w:space="0" w:color="000000"/>
            </w:tcBorders>
          </w:tcPr>
          <w:p w14:paraId="2EE78FC5" w14:textId="77777777" w:rsidR="00B926FE" w:rsidRPr="00861126" w:rsidRDefault="00B926FE" w:rsidP="006279A8">
            <w:pPr>
              <w:pStyle w:val="TableText"/>
              <w:spacing w:before="36" w:after="36"/>
              <w:jc w:val="right"/>
            </w:pPr>
            <w:r w:rsidRPr="00861126">
              <w:t>72</w:t>
            </w:r>
          </w:p>
        </w:tc>
        <w:tc>
          <w:tcPr>
            <w:tcW w:w="1095" w:type="dxa"/>
            <w:tcBorders>
              <w:bottom w:val="single" w:sz="4" w:space="0" w:color="000000"/>
            </w:tcBorders>
          </w:tcPr>
          <w:p w14:paraId="048337F6" w14:textId="77777777" w:rsidR="00B926FE" w:rsidRPr="00861126" w:rsidRDefault="00B926FE" w:rsidP="006279A8">
            <w:pPr>
              <w:pStyle w:val="TableText"/>
              <w:spacing w:before="36" w:after="36"/>
              <w:jc w:val="right"/>
            </w:pPr>
            <w:r w:rsidRPr="00861126">
              <w:t>86.6 (57.1</w:t>
            </w:r>
            <w:r>
              <w:t xml:space="preserve">, </w:t>
            </w:r>
            <w:r w:rsidRPr="00861126">
              <w:t>96.9)</w:t>
            </w:r>
          </w:p>
        </w:tc>
        <w:tc>
          <w:tcPr>
            <w:tcW w:w="443" w:type="dxa"/>
            <w:tcBorders>
              <w:bottom w:val="single" w:sz="4" w:space="0" w:color="000000"/>
            </w:tcBorders>
          </w:tcPr>
          <w:p w14:paraId="39067F1B" w14:textId="77777777" w:rsidR="00B926FE" w:rsidRPr="00861126" w:rsidRDefault="00B926FE" w:rsidP="006279A8">
            <w:pPr>
              <w:pStyle w:val="TableText"/>
              <w:spacing w:before="36" w:after="36"/>
              <w:jc w:val="right"/>
            </w:pPr>
            <w:r w:rsidRPr="00E603D7">
              <w:t>#</w:t>
            </w:r>
          </w:p>
        </w:tc>
        <w:tc>
          <w:tcPr>
            <w:tcW w:w="1018" w:type="dxa"/>
            <w:tcBorders>
              <w:bottom w:val="single" w:sz="4" w:space="0" w:color="000000"/>
            </w:tcBorders>
          </w:tcPr>
          <w:p w14:paraId="49470520" w14:textId="77777777" w:rsidR="00B926FE" w:rsidRPr="00861126" w:rsidRDefault="00B926FE" w:rsidP="006279A8">
            <w:pPr>
              <w:pStyle w:val="TableText"/>
              <w:spacing w:before="36" w:after="36"/>
              <w:jc w:val="right"/>
            </w:pPr>
            <w:r>
              <w:t>–</w:t>
            </w:r>
          </w:p>
        </w:tc>
        <w:tc>
          <w:tcPr>
            <w:tcW w:w="1080" w:type="dxa"/>
            <w:tcBorders>
              <w:bottom w:val="single" w:sz="4" w:space="0" w:color="000000"/>
            </w:tcBorders>
          </w:tcPr>
          <w:p w14:paraId="449C800E" w14:textId="77777777" w:rsidR="00B926FE" w:rsidRPr="00861126" w:rsidRDefault="00B926FE" w:rsidP="006279A8">
            <w:pPr>
              <w:pStyle w:val="TableText"/>
              <w:spacing w:before="36" w:after="36"/>
              <w:jc w:val="right"/>
            </w:pPr>
            <w:r>
              <w:t>–</w:t>
            </w:r>
          </w:p>
        </w:tc>
      </w:tr>
      <w:tr w:rsidR="00B926FE" w:rsidRPr="00285A26" w14:paraId="1E59AF14"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Borders>
              <w:top w:val="single" w:sz="4" w:space="0" w:color="000000"/>
              <w:bottom w:val="nil"/>
            </w:tcBorders>
          </w:tcPr>
          <w:p w14:paraId="11215D51" w14:textId="77777777" w:rsidR="00B926FE" w:rsidRPr="00D17DAE" w:rsidRDefault="00B926FE" w:rsidP="006279A8">
            <w:pPr>
              <w:pStyle w:val="TableText"/>
              <w:spacing w:before="36" w:after="36"/>
              <w:rPr>
                <w:b/>
                <w:bCs/>
                <w:color w:val="000000" w:themeColor="text1"/>
              </w:rPr>
            </w:pPr>
            <w:r w:rsidRPr="00D17DAE">
              <w:rPr>
                <w:b/>
                <w:bCs/>
                <w:color w:val="000000" w:themeColor="text1"/>
              </w:rPr>
              <w:t>Sex and Age (yrs)</w:t>
            </w:r>
          </w:p>
        </w:tc>
        <w:tc>
          <w:tcPr>
            <w:tcW w:w="521" w:type="dxa"/>
            <w:tcBorders>
              <w:top w:val="single" w:sz="4" w:space="0" w:color="000000"/>
              <w:bottom w:val="nil"/>
            </w:tcBorders>
          </w:tcPr>
          <w:p w14:paraId="48059DE1" w14:textId="77777777" w:rsidR="00B926FE" w:rsidRPr="00861126" w:rsidRDefault="00B926FE" w:rsidP="006279A8">
            <w:pPr>
              <w:pStyle w:val="TableText"/>
              <w:spacing w:before="36" w:after="36"/>
              <w:jc w:val="right"/>
            </w:pPr>
          </w:p>
        </w:tc>
        <w:tc>
          <w:tcPr>
            <w:tcW w:w="1009" w:type="dxa"/>
            <w:tcBorders>
              <w:top w:val="single" w:sz="4" w:space="0" w:color="000000"/>
              <w:bottom w:val="nil"/>
            </w:tcBorders>
          </w:tcPr>
          <w:p w14:paraId="1A869616" w14:textId="77777777" w:rsidR="00B926FE" w:rsidRPr="00861126" w:rsidRDefault="00B926FE" w:rsidP="006279A8">
            <w:pPr>
              <w:pStyle w:val="TableText"/>
              <w:spacing w:before="36" w:after="36"/>
              <w:jc w:val="right"/>
            </w:pPr>
          </w:p>
        </w:tc>
        <w:tc>
          <w:tcPr>
            <w:tcW w:w="1116" w:type="dxa"/>
            <w:tcBorders>
              <w:top w:val="single" w:sz="4" w:space="0" w:color="000000"/>
              <w:bottom w:val="nil"/>
            </w:tcBorders>
          </w:tcPr>
          <w:p w14:paraId="38387933" w14:textId="77777777" w:rsidR="00B926FE" w:rsidRPr="00861126" w:rsidRDefault="00B926FE" w:rsidP="006279A8">
            <w:pPr>
              <w:pStyle w:val="TableText"/>
              <w:spacing w:before="36" w:after="36"/>
              <w:jc w:val="right"/>
            </w:pPr>
          </w:p>
        </w:tc>
        <w:tc>
          <w:tcPr>
            <w:tcW w:w="450" w:type="dxa"/>
            <w:tcBorders>
              <w:top w:val="single" w:sz="4" w:space="0" w:color="000000"/>
              <w:bottom w:val="nil"/>
            </w:tcBorders>
          </w:tcPr>
          <w:p w14:paraId="698E5DA3" w14:textId="77777777" w:rsidR="00B926FE" w:rsidRPr="00861126" w:rsidRDefault="00B926FE" w:rsidP="006279A8">
            <w:pPr>
              <w:pStyle w:val="TableText"/>
              <w:spacing w:before="36" w:after="36"/>
              <w:jc w:val="right"/>
            </w:pPr>
          </w:p>
        </w:tc>
        <w:tc>
          <w:tcPr>
            <w:tcW w:w="1036" w:type="dxa"/>
            <w:tcBorders>
              <w:top w:val="single" w:sz="4" w:space="0" w:color="000000"/>
              <w:bottom w:val="nil"/>
            </w:tcBorders>
          </w:tcPr>
          <w:p w14:paraId="15AB1454" w14:textId="77777777" w:rsidR="00B926FE" w:rsidRPr="00861126" w:rsidRDefault="00B926FE" w:rsidP="006279A8">
            <w:pPr>
              <w:pStyle w:val="TableText"/>
              <w:spacing w:before="36" w:after="36"/>
              <w:jc w:val="right"/>
            </w:pPr>
          </w:p>
        </w:tc>
        <w:tc>
          <w:tcPr>
            <w:tcW w:w="1054" w:type="dxa"/>
            <w:tcBorders>
              <w:top w:val="single" w:sz="4" w:space="0" w:color="000000"/>
              <w:bottom w:val="nil"/>
            </w:tcBorders>
          </w:tcPr>
          <w:p w14:paraId="5F379362" w14:textId="77777777" w:rsidR="00B926FE" w:rsidRPr="00861126" w:rsidRDefault="00B926FE" w:rsidP="006279A8">
            <w:pPr>
              <w:pStyle w:val="TableText"/>
              <w:spacing w:before="36" w:after="36"/>
              <w:jc w:val="right"/>
            </w:pPr>
          </w:p>
        </w:tc>
        <w:tc>
          <w:tcPr>
            <w:tcW w:w="593" w:type="dxa"/>
            <w:tcBorders>
              <w:top w:val="single" w:sz="4" w:space="0" w:color="000000"/>
              <w:bottom w:val="nil"/>
            </w:tcBorders>
          </w:tcPr>
          <w:p w14:paraId="721E11A2" w14:textId="77777777" w:rsidR="00B926FE" w:rsidRPr="00861126" w:rsidRDefault="00B926FE" w:rsidP="006279A8">
            <w:pPr>
              <w:pStyle w:val="TableText"/>
              <w:spacing w:before="36" w:after="36"/>
              <w:jc w:val="right"/>
            </w:pPr>
          </w:p>
        </w:tc>
        <w:tc>
          <w:tcPr>
            <w:tcW w:w="993" w:type="dxa"/>
            <w:tcBorders>
              <w:top w:val="single" w:sz="4" w:space="0" w:color="000000"/>
              <w:bottom w:val="nil"/>
            </w:tcBorders>
          </w:tcPr>
          <w:p w14:paraId="0697576F" w14:textId="77777777" w:rsidR="00B926FE" w:rsidRPr="00861126" w:rsidRDefault="00B926FE" w:rsidP="006279A8">
            <w:pPr>
              <w:pStyle w:val="TableText"/>
              <w:spacing w:before="36" w:after="36"/>
              <w:jc w:val="right"/>
            </w:pPr>
          </w:p>
        </w:tc>
        <w:tc>
          <w:tcPr>
            <w:tcW w:w="1095" w:type="dxa"/>
            <w:tcBorders>
              <w:top w:val="single" w:sz="4" w:space="0" w:color="000000"/>
              <w:bottom w:val="nil"/>
            </w:tcBorders>
          </w:tcPr>
          <w:p w14:paraId="7702003B" w14:textId="77777777" w:rsidR="00B926FE" w:rsidRPr="00861126" w:rsidRDefault="00B926FE" w:rsidP="006279A8">
            <w:pPr>
              <w:pStyle w:val="TableText"/>
              <w:spacing w:before="36" w:after="36"/>
              <w:jc w:val="right"/>
            </w:pPr>
          </w:p>
        </w:tc>
        <w:tc>
          <w:tcPr>
            <w:tcW w:w="443" w:type="dxa"/>
            <w:tcBorders>
              <w:top w:val="single" w:sz="4" w:space="0" w:color="000000"/>
              <w:bottom w:val="nil"/>
            </w:tcBorders>
          </w:tcPr>
          <w:p w14:paraId="22CFDF81" w14:textId="77777777" w:rsidR="00B926FE" w:rsidRPr="00861126" w:rsidRDefault="00B926FE" w:rsidP="006279A8">
            <w:pPr>
              <w:pStyle w:val="TableText"/>
              <w:spacing w:before="36" w:after="36"/>
              <w:jc w:val="right"/>
            </w:pPr>
          </w:p>
        </w:tc>
        <w:tc>
          <w:tcPr>
            <w:tcW w:w="1018" w:type="dxa"/>
            <w:tcBorders>
              <w:top w:val="single" w:sz="4" w:space="0" w:color="000000"/>
              <w:bottom w:val="nil"/>
            </w:tcBorders>
          </w:tcPr>
          <w:p w14:paraId="1BBE2C4F" w14:textId="77777777" w:rsidR="00B926FE" w:rsidRPr="00861126" w:rsidRDefault="00B926FE" w:rsidP="006279A8">
            <w:pPr>
              <w:pStyle w:val="TableText"/>
              <w:spacing w:before="36" w:after="36"/>
              <w:jc w:val="right"/>
            </w:pPr>
          </w:p>
        </w:tc>
        <w:tc>
          <w:tcPr>
            <w:tcW w:w="1080" w:type="dxa"/>
            <w:tcBorders>
              <w:top w:val="single" w:sz="4" w:space="0" w:color="000000"/>
              <w:bottom w:val="nil"/>
            </w:tcBorders>
          </w:tcPr>
          <w:p w14:paraId="69B6A15F" w14:textId="77777777" w:rsidR="00B926FE" w:rsidRPr="00861126" w:rsidRDefault="00B926FE" w:rsidP="006279A8">
            <w:pPr>
              <w:pStyle w:val="TableText"/>
              <w:spacing w:before="36" w:after="36"/>
              <w:jc w:val="right"/>
            </w:pPr>
          </w:p>
        </w:tc>
      </w:tr>
      <w:tr w:rsidR="005C60DC" w:rsidRPr="00285A26" w14:paraId="2E8BF675" w14:textId="77777777" w:rsidTr="005C60DC">
        <w:trPr>
          <w:cantSplit/>
        </w:trPr>
        <w:tc>
          <w:tcPr>
            <w:tcW w:w="1098" w:type="dxa"/>
            <w:tcBorders>
              <w:top w:val="nil"/>
            </w:tcBorders>
          </w:tcPr>
          <w:p w14:paraId="719E4584" w14:textId="77777777" w:rsidR="00B926FE" w:rsidRPr="00D17DAE" w:rsidRDefault="00B926FE" w:rsidP="006279A8">
            <w:pPr>
              <w:pStyle w:val="TableText"/>
              <w:spacing w:before="36" w:after="36"/>
              <w:rPr>
                <w:bCs/>
                <w:color w:val="000000" w:themeColor="text1"/>
              </w:rPr>
            </w:pPr>
            <w:r w:rsidRPr="00D17DAE">
              <w:rPr>
                <w:bCs/>
                <w:color w:val="000000" w:themeColor="text1"/>
              </w:rPr>
              <w:t>Male 18</w:t>
            </w:r>
            <w:r>
              <w:rPr>
                <w:bCs/>
                <w:color w:val="000000" w:themeColor="text1"/>
              </w:rPr>
              <w:t>–</w:t>
            </w:r>
            <w:r w:rsidRPr="00D17DAE">
              <w:rPr>
                <w:bCs/>
                <w:color w:val="000000" w:themeColor="text1"/>
              </w:rPr>
              <w:t>37</w:t>
            </w:r>
          </w:p>
        </w:tc>
        <w:tc>
          <w:tcPr>
            <w:tcW w:w="521" w:type="dxa"/>
            <w:tcBorders>
              <w:top w:val="nil"/>
            </w:tcBorders>
          </w:tcPr>
          <w:p w14:paraId="5FDDBC15" w14:textId="77777777" w:rsidR="00B926FE" w:rsidRPr="00861126" w:rsidRDefault="00B926FE" w:rsidP="006279A8">
            <w:pPr>
              <w:pStyle w:val="TableText"/>
              <w:spacing w:before="36" w:after="36"/>
              <w:jc w:val="right"/>
            </w:pPr>
            <w:r w:rsidRPr="00861126">
              <w:t>238</w:t>
            </w:r>
          </w:p>
        </w:tc>
        <w:tc>
          <w:tcPr>
            <w:tcW w:w="1009" w:type="dxa"/>
            <w:tcBorders>
              <w:top w:val="nil"/>
            </w:tcBorders>
          </w:tcPr>
          <w:p w14:paraId="58855775" w14:textId="77777777" w:rsidR="00B926FE" w:rsidRPr="00861126" w:rsidRDefault="00B926FE" w:rsidP="006279A8">
            <w:pPr>
              <w:pStyle w:val="TableText"/>
              <w:spacing w:before="36" w:after="36"/>
              <w:jc w:val="right"/>
            </w:pPr>
            <w:r w:rsidRPr="00861126">
              <w:t>2615</w:t>
            </w:r>
          </w:p>
        </w:tc>
        <w:tc>
          <w:tcPr>
            <w:tcW w:w="1116" w:type="dxa"/>
            <w:tcBorders>
              <w:top w:val="nil"/>
            </w:tcBorders>
          </w:tcPr>
          <w:p w14:paraId="0E78F794" w14:textId="77777777" w:rsidR="00B926FE" w:rsidRPr="00861126" w:rsidRDefault="00B926FE" w:rsidP="006279A8">
            <w:pPr>
              <w:pStyle w:val="TableText"/>
              <w:spacing w:before="36" w:after="36"/>
              <w:jc w:val="right"/>
            </w:pPr>
            <w:r w:rsidRPr="00861126">
              <w:t>90.9 (85.5</w:t>
            </w:r>
            <w:r>
              <w:t xml:space="preserve">, </w:t>
            </w:r>
            <w:r w:rsidRPr="00861126">
              <w:t>94.5)</w:t>
            </w:r>
          </w:p>
        </w:tc>
        <w:tc>
          <w:tcPr>
            <w:tcW w:w="450" w:type="dxa"/>
            <w:tcBorders>
              <w:top w:val="nil"/>
            </w:tcBorders>
          </w:tcPr>
          <w:p w14:paraId="51BE9499" w14:textId="77777777" w:rsidR="00B926FE" w:rsidRPr="00861126" w:rsidRDefault="00B926FE" w:rsidP="006279A8">
            <w:pPr>
              <w:pStyle w:val="TableText"/>
              <w:spacing w:before="36" w:after="36"/>
              <w:jc w:val="right"/>
            </w:pPr>
            <w:r w:rsidRPr="00861126">
              <w:t>20</w:t>
            </w:r>
          </w:p>
        </w:tc>
        <w:tc>
          <w:tcPr>
            <w:tcW w:w="1036" w:type="dxa"/>
            <w:tcBorders>
              <w:top w:val="nil"/>
            </w:tcBorders>
          </w:tcPr>
          <w:p w14:paraId="17579564" w14:textId="77777777" w:rsidR="00B926FE" w:rsidRPr="00861126" w:rsidRDefault="00B926FE" w:rsidP="006279A8">
            <w:pPr>
              <w:pStyle w:val="TableText"/>
              <w:spacing w:before="36" w:after="36"/>
              <w:jc w:val="right"/>
            </w:pPr>
            <w:r w:rsidRPr="00861126">
              <w:t>242</w:t>
            </w:r>
          </w:p>
        </w:tc>
        <w:tc>
          <w:tcPr>
            <w:tcW w:w="1054" w:type="dxa"/>
            <w:tcBorders>
              <w:top w:val="nil"/>
            </w:tcBorders>
          </w:tcPr>
          <w:p w14:paraId="160ACEB5" w14:textId="77777777" w:rsidR="00B926FE" w:rsidRPr="00861126" w:rsidRDefault="00B926FE" w:rsidP="006279A8">
            <w:pPr>
              <w:pStyle w:val="TableText"/>
              <w:spacing w:before="36" w:after="36"/>
              <w:jc w:val="right"/>
            </w:pPr>
            <w:r w:rsidRPr="00861126">
              <w:t>8.4 (5.0</w:t>
            </w:r>
            <w:r>
              <w:t xml:space="preserve">, </w:t>
            </w:r>
            <w:r w:rsidRPr="00861126">
              <w:t>13.8)</w:t>
            </w:r>
          </w:p>
        </w:tc>
        <w:tc>
          <w:tcPr>
            <w:tcW w:w="593" w:type="dxa"/>
            <w:tcBorders>
              <w:top w:val="nil"/>
            </w:tcBorders>
          </w:tcPr>
          <w:p w14:paraId="37A8C421" w14:textId="77777777" w:rsidR="00B926FE" w:rsidRPr="00861126" w:rsidRDefault="00B926FE" w:rsidP="006279A8">
            <w:pPr>
              <w:pStyle w:val="TableText"/>
              <w:spacing w:before="36" w:after="36"/>
              <w:jc w:val="right"/>
            </w:pPr>
            <w:r w:rsidRPr="00861126">
              <w:t>345</w:t>
            </w:r>
          </w:p>
        </w:tc>
        <w:tc>
          <w:tcPr>
            <w:tcW w:w="993" w:type="dxa"/>
            <w:tcBorders>
              <w:top w:val="nil"/>
            </w:tcBorders>
          </w:tcPr>
          <w:p w14:paraId="6078FFAD" w14:textId="77777777" w:rsidR="00B926FE" w:rsidRPr="00861126" w:rsidRDefault="00B926FE" w:rsidP="006279A8">
            <w:pPr>
              <w:pStyle w:val="TableText"/>
              <w:spacing w:before="36" w:after="36"/>
              <w:jc w:val="right"/>
            </w:pPr>
            <w:r w:rsidRPr="00861126">
              <w:t>4311</w:t>
            </w:r>
          </w:p>
        </w:tc>
        <w:tc>
          <w:tcPr>
            <w:tcW w:w="1095" w:type="dxa"/>
            <w:tcBorders>
              <w:top w:val="nil"/>
            </w:tcBorders>
          </w:tcPr>
          <w:p w14:paraId="1CF579F3" w14:textId="77777777" w:rsidR="00B926FE" w:rsidRPr="00861126" w:rsidRDefault="00B926FE" w:rsidP="006279A8">
            <w:pPr>
              <w:pStyle w:val="TableText"/>
              <w:spacing w:before="36" w:after="36"/>
              <w:jc w:val="right"/>
            </w:pPr>
            <w:r w:rsidRPr="00861126">
              <w:t>86.8 (71.6</w:t>
            </w:r>
            <w:r>
              <w:t xml:space="preserve">, </w:t>
            </w:r>
            <w:r w:rsidRPr="00861126">
              <w:t>94.5)</w:t>
            </w:r>
          </w:p>
        </w:tc>
        <w:tc>
          <w:tcPr>
            <w:tcW w:w="443" w:type="dxa"/>
            <w:tcBorders>
              <w:top w:val="nil"/>
            </w:tcBorders>
          </w:tcPr>
          <w:p w14:paraId="10541A8D" w14:textId="77777777" w:rsidR="00B926FE" w:rsidRPr="00861126" w:rsidRDefault="00B926FE" w:rsidP="006279A8">
            <w:pPr>
              <w:pStyle w:val="TableText"/>
              <w:spacing w:before="36" w:after="36"/>
              <w:jc w:val="right"/>
            </w:pPr>
            <w:r w:rsidRPr="00861126">
              <w:t>17</w:t>
            </w:r>
          </w:p>
        </w:tc>
        <w:tc>
          <w:tcPr>
            <w:tcW w:w="1018" w:type="dxa"/>
            <w:tcBorders>
              <w:top w:val="nil"/>
            </w:tcBorders>
          </w:tcPr>
          <w:p w14:paraId="058B3A57" w14:textId="77777777" w:rsidR="00B926FE" w:rsidRPr="00861126" w:rsidRDefault="00B926FE" w:rsidP="006279A8">
            <w:pPr>
              <w:pStyle w:val="TableText"/>
              <w:spacing w:before="36" w:after="36"/>
              <w:jc w:val="right"/>
            </w:pPr>
            <w:r w:rsidRPr="00861126">
              <w:t>605</w:t>
            </w:r>
          </w:p>
        </w:tc>
        <w:tc>
          <w:tcPr>
            <w:tcW w:w="1080" w:type="dxa"/>
            <w:tcBorders>
              <w:top w:val="nil"/>
            </w:tcBorders>
          </w:tcPr>
          <w:p w14:paraId="4949C80A" w14:textId="77777777" w:rsidR="00B926FE" w:rsidRPr="00861126" w:rsidRDefault="00B926FE" w:rsidP="006279A8">
            <w:pPr>
              <w:pStyle w:val="TableText"/>
              <w:spacing w:before="36" w:after="36"/>
              <w:jc w:val="right"/>
            </w:pPr>
            <w:r w:rsidRPr="00861126">
              <w:t>12.2 (4.7</w:t>
            </w:r>
            <w:r>
              <w:t xml:space="preserve">, </w:t>
            </w:r>
            <w:r w:rsidRPr="00861126">
              <w:t>27.9)</w:t>
            </w:r>
          </w:p>
        </w:tc>
      </w:tr>
      <w:tr w:rsidR="00B926FE" w:rsidRPr="00285A26" w14:paraId="5F146973"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Pr>
          <w:p w14:paraId="4A7AC3A4" w14:textId="77777777" w:rsidR="00B926FE" w:rsidRPr="00D17DAE" w:rsidRDefault="00B926FE" w:rsidP="006279A8">
            <w:pPr>
              <w:pStyle w:val="TableText"/>
              <w:spacing w:before="36" w:after="36"/>
              <w:rPr>
                <w:bCs/>
                <w:color w:val="000000" w:themeColor="text1"/>
              </w:rPr>
            </w:pPr>
            <w:r w:rsidRPr="00D17DAE">
              <w:rPr>
                <w:bCs/>
                <w:color w:val="000000" w:themeColor="text1"/>
              </w:rPr>
              <w:t>Male 38+</w:t>
            </w:r>
          </w:p>
        </w:tc>
        <w:tc>
          <w:tcPr>
            <w:tcW w:w="521" w:type="dxa"/>
          </w:tcPr>
          <w:p w14:paraId="62B03BF3" w14:textId="77777777" w:rsidR="00B926FE" w:rsidRPr="00861126" w:rsidRDefault="00B926FE" w:rsidP="006279A8">
            <w:pPr>
              <w:pStyle w:val="TableText"/>
              <w:spacing w:before="36" w:after="36"/>
              <w:jc w:val="right"/>
            </w:pPr>
            <w:r w:rsidRPr="00861126">
              <w:t>365</w:t>
            </w:r>
          </w:p>
        </w:tc>
        <w:tc>
          <w:tcPr>
            <w:tcW w:w="1009" w:type="dxa"/>
          </w:tcPr>
          <w:p w14:paraId="1DF8BD29" w14:textId="77777777" w:rsidR="00B926FE" w:rsidRPr="00861126" w:rsidRDefault="00B926FE" w:rsidP="006279A8">
            <w:pPr>
              <w:pStyle w:val="TableText"/>
              <w:spacing w:before="36" w:after="36"/>
              <w:jc w:val="right"/>
            </w:pPr>
            <w:r w:rsidRPr="00861126">
              <w:t>1870</w:t>
            </w:r>
          </w:p>
        </w:tc>
        <w:tc>
          <w:tcPr>
            <w:tcW w:w="1116" w:type="dxa"/>
          </w:tcPr>
          <w:p w14:paraId="6A7D863D" w14:textId="77777777" w:rsidR="00B926FE" w:rsidRPr="00861126" w:rsidRDefault="00B926FE" w:rsidP="006279A8">
            <w:pPr>
              <w:pStyle w:val="TableText"/>
              <w:spacing w:before="36" w:after="36"/>
              <w:jc w:val="right"/>
            </w:pPr>
            <w:r w:rsidRPr="00861126">
              <w:t>91.7 (87.8</w:t>
            </w:r>
            <w:r>
              <w:t xml:space="preserve">, </w:t>
            </w:r>
            <w:r w:rsidRPr="00861126">
              <w:t>94.5)</w:t>
            </w:r>
          </w:p>
        </w:tc>
        <w:tc>
          <w:tcPr>
            <w:tcW w:w="450" w:type="dxa"/>
          </w:tcPr>
          <w:p w14:paraId="6C93C2C6" w14:textId="77777777" w:rsidR="00B926FE" w:rsidRPr="00861126" w:rsidRDefault="00B926FE" w:rsidP="006279A8">
            <w:pPr>
              <w:pStyle w:val="TableText"/>
              <w:spacing w:before="36" w:after="36"/>
              <w:jc w:val="right"/>
            </w:pPr>
            <w:r w:rsidRPr="00861126">
              <w:t>28</w:t>
            </w:r>
          </w:p>
        </w:tc>
        <w:tc>
          <w:tcPr>
            <w:tcW w:w="1036" w:type="dxa"/>
          </w:tcPr>
          <w:p w14:paraId="7BA4265A" w14:textId="77777777" w:rsidR="00B926FE" w:rsidRPr="00861126" w:rsidRDefault="00B926FE" w:rsidP="006279A8">
            <w:pPr>
              <w:pStyle w:val="TableText"/>
              <w:spacing w:before="36" w:after="36"/>
              <w:jc w:val="right"/>
            </w:pPr>
            <w:r w:rsidRPr="00861126">
              <w:t>130</w:t>
            </w:r>
          </w:p>
        </w:tc>
        <w:tc>
          <w:tcPr>
            <w:tcW w:w="1054" w:type="dxa"/>
          </w:tcPr>
          <w:p w14:paraId="636057C9" w14:textId="77777777" w:rsidR="00B926FE" w:rsidRPr="00861126" w:rsidRDefault="00B926FE" w:rsidP="006279A8">
            <w:pPr>
              <w:pStyle w:val="TableText"/>
              <w:spacing w:before="36" w:after="36"/>
              <w:jc w:val="right"/>
            </w:pPr>
            <w:r w:rsidRPr="00861126">
              <w:t>6.4 (4.3</w:t>
            </w:r>
            <w:r>
              <w:t xml:space="preserve">, </w:t>
            </w:r>
            <w:r w:rsidRPr="00861126">
              <w:t>9.3)</w:t>
            </w:r>
          </w:p>
        </w:tc>
        <w:tc>
          <w:tcPr>
            <w:tcW w:w="593" w:type="dxa"/>
          </w:tcPr>
          <w:p w14:paraId="02149510" w14:textId="77777777" w:rsidR="00B926FE" w:rsidRPr="00861126" w:rsidRDefault="00B926FE" w:rsidP="006279A8">
            <w:pPr>
              <w:pStyle w:val="TableText"/>
              <w:spacing w:before="36" w:after="36"/>
              <w:jc w:val="right"/>
            </w:pPr>
            <w:r w:rsidRPr="00861126">
              <w:t>582</w:t>
            </w:r>
          </w:p>
        </w:tc>
        <w:tc>
          <w:tcPr>
            <w:tcW w:w="993" w:type="dxa"/>
          </w:tcPr>
          <w:p w14:paraId="6AA72E86" w14:textId="77777777" w:rsidR="00B926FE" w:rsidRPr="00861126" w:rsidRDefault="00B926FE" w:rsidP="006279A8">
            <w:pPr>
              <w:pStyle w:val="TableText"/>
              <w:spacing w:before="36" w:after="36"/>
              <w:jc w:val="right"/>
            </w:pPr>
            <w:r w:rsidRPr="00861126">
              <w:t>2332</w:t>
            </w:r>
          </w:p>
        </w:tc>
        <w:tc>
          <w:tcPr>
            <w:tcW w:w="1095" w:type="dxa"/>
          </w:tcPr>
          <w:p w14:paraId="2AB0AEDD" w14:textId="77777777" w:rsidR="00B926FE" w:rsidRPr="00861126" w:rsidRDefault="00B926FE" w:rsidP="006279A8">
            <w:pPr>
              <w:pStyle w:val="TableText"/>
              <w:spacing w:before="36" w:after="36"/>
              <w:jc w:val="right"/>
            </w:pPr>
            <w:r w:rsidRPr="00861126">
              <w:t>93.2 (90.0</w:t>
            </w:r>
            <w:r>
              <w:t xml:space="preserve">, </w:t>
            </w:r>
            <w:r w:rsidRPr="00861126">
              <w:t>95.3)</w:t>
            </w:r>
          </w:p>
        </w:tc>
        <w:tc>
          <w:tcPr>
            <w:tcW w:w="443" w:type="dxa"/>
          </w:tcPr>
          <w:p w14:paraId="57311925" w14:textId="77777777" w:rsidR="00B926FE" w:rsidRPr="00861126" w:rsidRDefault="00B926FE" w:rsidP="006279A8">
            <w:pPr>
              <w:pStyle w:val="TableText"/>
              <w:spacing w:before="36" w:after="36"/>
              <w:jc w:val="right"/>
            </w:pPr>
            <w:r w:rsidRPr="00861126">
              <w:t>37</w:t>
            </w:r>
          </w:p>
        </w:tc>
        <w:tc>
          <w:tcPr>
            <w:tcW w:w="1018" w:type="dxa"/>
          </w:tcPr>
          <w:p w14:paraId="119E7783" w14:textId="77777777" w:rsidR="00B926FE" w:rsidRPr="00861126" w:rsidRDefault="00B926FE" w:rsidP="006279A8">
            <w:pPr>
              <w:pStyle w:val="TableText"/>
              <w:spacing w:before="36" w:after="36"/>
              <w:jc w:val="right"/>
            </w:pPr>
            <w:r w:rsidRPr="00861126">
              <w:t>164</w:t>
            </w:r>
          </w:p>
        </w:tc>
        <w:tc>
          <w:tcPr>
            <w:tcW w:w="1080" w:type="dxa"/>
          </w:tcPr>
          <w:p w14:paraId="075B929E" w14:textId="77777777" w:rsidR="00B926FE" w:rsidRPr="00861126" w:rsidRDefault="00B926FE" w:rsidP="006279A8">
            <w:pPr>
              <w:pStyle w:val="TableText"/>
              <w:spacing w:before="36" w:after="36"/>
              <w:jc w:val="right"/>
            </w:pPr>
            <w:r w:rsidRPr="00861126">
              <w:t>6.6 (4.4</w:t>
            </w:r>
            <w:r>
              <w:t xml:space="preserve">, </w:t>
            </w:r>
            <w:r w:rsidRPr="00861126">
              <w:t>9.7)</w:t>
            </w:r>
          </w:p>
        </w:tc>
      </w:tr>
      <w:tr w:rsidR="005C60DC" w:rsidRPr="00285A26" w14:paraId="09E817BE" w14:textId="77777777" w:rsidTr="005C60DC">
        <w:trPr>
          <w:cantSplit/>
        </w:trPr>
        <w:tc>
          <w:tcPr>
            <w:tcW w:w="1098" w:type="dxa"/>
          </w:tcPr>
          <w:p w14:paraId="2D1E4781" w14:textId="77777777" w:rsidR="00B926FE" w:rsidRPr="00D17DAE" w:rsidRDefault="00B926FE" w:rsidP="006279A8">
            <w:pPr>
              <w:pStyle w:val="TableText"/>
              <w:spacing w:before="36" w:after="36"/>
              <w:rPr>
                <w:bCs/>
                <w:color w:val="000000" w:themeColor="text1"/>
              </w:rPr>
            </w:pPr>
            <w:r w:rsidRPr="00D17DAE">
              <w:rPr>
                <w:bCs/>
                <w:color w:val="000000" w:themeColor="text1"/>
              </w:rPr>
              <w:t>Female 18</w:t>
            </w:r>
            <w:r>
              <w:rPr>
                <w:bCs/>
                <w:color w:val="000000" w:themeColor="text1"/>
              </w:rPr>
              <w:t>–</w:t>
            </w:r>
            <w:r w:rsidRPr="00D17DAE">
              <w:rPr>
                <w:bCs/>
                <w:color w:val="000000" w:themeColor="text1"/>
              </w:rPr>
              <w:t>37</w:t>
            </w:r>
          </w:p>
        </w:tc>
        <w:tc>
          <w:tcPr>
            <w:tcW w:w="521" w:type="dxa"/>
          </w:tcPr>
          <w:p w14:paraId="7DA9FAD3" w14:textId="77777777" w:rsidR="00B926FE" w:rsidRPr="00861126" w:rsidRDefault="00B926FE" w:rsidP="006279A8">
            <w:pPr>
              <w:pStyle w:val="TableText"/>
              <w:spacing w:before="36" w:after="36"/>
              <w:jc w:val="right"/>
            </w:pPr>
            <w:r w:rsidRPr="00861126">
              <w:t>109</w:t>
            </w:r>
          </w:p>
        </w:tc>
        <w:tc>
          <w:tcPr>
            <w:tcW w:w="1009" w:type="dxa"/>
          </w:tcPr>
          <w:p w14:paraId="7D085E1F" w14:textId="77777777" w:rsidR="00B926FE" w:rsidRPr="00861126" w:rsidRDefault="00B926FE" w:rsidP="006279A8">
            <w:pPr>
              <w:pStyle w:val="TableText"/>
              <w:spacing w:before="36" w:after="36"/>
              <w:jc w:val="right"/>
            </w:pPr>
            <w:r w:rsidRPr="00861126">
              <w:t>714</w:t>
            </w:r>
          </w:p>
        </w:tc>
        <w:tc>
          <w:tcPr>
            <w:tcW w:w="1116" w:type="dxa"/>
          </w:tcPr>
          <w:p w14:paraId="450FB3A3" w14:textId="77777777" w:rsidR="00B926FE" w:rsidRPr="00861126" w:rsidRDefault="00B926FE" w:rsidP="006279A8">
            <w:pPr>
              <w:pStyle w:val="TableText"/>
              <w:spacing w:before="36" w:after="36"/>
              <w:jc w:val="right"/>
            </w:pPr>
            <w:r w:rsidRPr="00861126">
              <w:t>92.6 (85.0</w:t>
            </w:r>
            <w:r>
              <w:t xml:space="preserve">, </w:t>
            </w:r>
            <w:r w:rsidRPr="00861126">
              <w:t>96.6)</w:t>
            </w:r>
          </w:p>
        </w:tc>
        <w:tc>
          <w:tcPr>
            <w:tcW w:w="450" w:type="dxa"/>
          </w:tcPr>
          <w:p w14:paraId="066B4F1B" w14:textId="77777777" w:rsidR="00B926FE" w:rsidRPr="00861126" w:rsidRDefault="00B926FE" w:rsidP="006279A8">
            <w:pPr>
              <w:pStyle w:val="TableText"/>
              <w:spacing w:before="36" w:after="36"/>
              <w:jc w:val="right"/>
            </w:pPr>
            <w:r w:rsidRPr="00861126">
              <w:t>7</w:t>
            </w:r>
          </w:p>
        </w:tc>
        <w:tc>
          <w:tcPr>
            <w:tcW w:w="1036" w:type="dxa"/>
          </w:tcPr>
          <w:p w14:paraId="5DC67EF2" w14:textId="77777777" w:rsidR="00B926FE" w:rsidRPr="00861126" w:rsidRDefault="00B926FE" w:rsidP="006279A8">
            <w:pPr>
              <w:pStyle w:val="TableText"/>
              <w:spacing w:before="36" w:after="36"/>
              <w:jc w:val="right"/>
            </w:pPr>
            <w:r w:rsidRPr="00861126">
              <w:t>57</w:t>
            </w:r>
          </w:p>
        </w:tc>
        <w:tc>
          <w:tcPr>
            <w:tcW w:w="1054" w:type="dxa"/>
          </w:tcPr>
          <w:p w14:paraId="2300F656" w14:textId="77777777" w:rsidR="00B926FE" w:rsidRPr="00861126" w:rsidRDefault="00B926FE" w:rsidP="006279A8">
            <w:pPr>
              <w:pStyle w:val="TableText"/>
              <w:spacing w:before="36" w:after="36"/>
              <w:jc w:val="right"/>
            </w:pPr>
            <w:r w:rsidRPr="00861126">
              <w:t>7.4 (3.4</w:t>
            </w:r>
            <w:r>
              <w:t xml:space="preserve">, </w:t>
            </w:r>
            <w:r w:rsidRPr="00861126">
              <w:t>15.0)</w:t>
            </w:r>
          </w:p>
        </w:tc>
        <w:tc>
          <w:tcPr>
            <w:tcW w:w="593" w:type="dxa"/>
          </w:tcPr>
          <w:p w14:paraId="76F714B6" w14:textId="77777777" w:rsidR="00B926FE" w:rsidRPr="00861126" w:rsidRDefault="00B926FE" w:rsidP="006279A8">
            <w:pPr>
              <w:pStyle w:val="TableText"/>
              <w:spacing w:before="36" w:after="36"/>
              <w:jc w:val="right"/>
            </w:pPr>
            <w:r w:rsidRPr="00861126">
              <w:t>232</w:t>
            </w:r>
          </w:p>
        </w:tc>
        <w:tc>
          <w:tcPr>
            <w:tcW w:w="993" w:type="dxa"/>
          </w:tcPr>
          <w:p w14:paraId="7FE2714A" w14:textId="77777777" w:rsidR="00B926FE" w:rsidRPr="00861126" w:rsidRDefault="00B926FE" w:rsidP="006279A8">
            <w:pPr>
              <w:pStyle w:val="TableText"/>
              <w:spacing w:before="36" w:after="36"/>
              <w:jc w:val="right"/>
            </w:pPr>
            <w:r w:rsidRPr="00861126">
              <w:t>807</w:t>
            </w:r>
          </w:p>
        </w:tc>
        <w:tc>
          <w:tcPr>
            <w:tcW w:w="1095" w:type="dxa"/>
          </w:tcPr>
          <w:p w14:paraId="2D2128BB" w14:textId="77777777" w:rsidR="00B926FE" w:rsidRPr="00861126" w:rsidRDefault="00B926FE" w:rsidP="006279A8">
            <w:pPr>
              <w:pStyle w:val="TableText"/>
              <w:spacing w:before="36" w:after="36"/>
              <w:jc w:val="right"/>
            </w:pPr>
            <w:r w:rsidRPr="00861126">
              <w:t>91.7 (88.5</w:t>
            </w:r>
            <w:r>
              <w:t xml:space="preserve">, </w:t>
            </w:r>
            <w:r w:rsidRPr="00861126">
              <w:t>94.0)</w:t>
            </w:r>
          </w:p>
        </w:tc>
        <w:tc>
          <w:tcPr>
            <w:tcW w:w="443" w:type="dxa"/>
          </w:tcPr>
          <w:p w14:paraId="6C2469B8" w14:textId="77777777" w:rsidR="00B926FE" w:rsidRPr="00861126" w:rsidRDefault="00B926FE" w:rsidP="006279A8">
            <w:pPr>
              <w:pStyle w:val="TableText"/>
              <w:spacing w:before="36" w:after="36"/>
              <w:jc w:val="right"/>
            </w:pPr>
            <w:r w:rsidRPr="00861126">
              <w:t>21</w:t>
            </w:r>
          </w:p>
        </w:tc>
        <w:tc>
          <w:tcPr>
            <w:tcW w:w="1018" w:type="dxa"/>
          </w:tcPr>
          <w:p w14:paraId="4BF8A53D" w14:textId="77777777" w:rsidR="00B926FE" w:rsidRPr="00861126" w:rsidRDefault="00B926FE" w:rsidP="006279A8">
            <w:pPr>
              <w:pStyle w:val="TableText"/>
              <w:spacing w:before="36" w:after="36"/>
              <w:jc w:val="right"/>
            </w:pPr>
            <w:r w:rsidRPr="00861126">
              <w:t>64</w:t>
            </w:r>
          </w:p>
        </w:tc>
        <w:tc>
          <w:tcPr>
            <w:tcW w:w="1080" w:type="dxa"/>
          </w:tcPr>
          <w:p w14:paraId="1CE7F67F" w14:textId="77777777" w:rsidR="00B926FE" w:rsidRPr="00861126" w:rsidRDefault="00B926FE" w:rsidP="006279A8">
            <w:pPr>
              <w:pStyle w:val="TableText"/>
              <w:spacing w:before="36" w:after="36"/>
              <w:jc w:val="right"/>
            </w:pPr>
            <w:r w:rsidRPr="00861126">
              <w:t>7.3 (5.1</w:t>
            </w:r>
            <w:r>
              <w:t xml:space="preserve">, </w:t>
            </w:r>
            <w:r w:rsidRPr="00861126">
              <w:t>10.3)</w:t>
            </w:r>
          </w:p>
        </w:tc>
      </w:tr>
      <w:tr w:rsidR="00B926FE" w:rsidRPr="00285A26" w14:paraId="629319D2" w14:textId="77777777" w:rsidTr="005C60DC">
        <w:trPr>
          <w:cnfStyle w:val="000000100000" w:firstRow="0" w:lastRow="0" w:firstColumn="0" w:lastColumn="0" w:oddVBand="0" w:evenVBand="0" w:oddHBand="1" w:evenHBand="0" w:firstRowFirstColumn="0" w:firstRowLastColumn="0" w:lastRowFirstColumn="0" w:lastRowLastColumn="0"/>
          <w:cantSplit/>
        </w:trPr>
        <w:tc>
          <w:tcPr>
            <w:tcW w:w="1098" w:type="dxa"/>
          </w:tcPr>
          <w:p w14:paraId="27E390F1" w14:textId="77777777" w:rsidR="00B926FE" w:rsidRPr="00D17DAE" w:rsidRDefault="00B926FE" w:rsidP="006279A8">
            <w:pPr>
              <w:pStyle w:val="TableText"/>
              <w:spacing w:before="36" w:after="36"/>
              <w:rPr>
                <w:bCs/>
                <w:color w:val="000000" w:themeColor="text1"/>
              </w:rPr>
            </w:pPr>
            <w:r w:rsidRPr="00D17DAE">
              <w:rPr>
                <w:bCs/>
                <w:color w:val="000000" w:themeColor="text1"/>
              </w:rPr>
              <w:t>Female 38+</w:t>
            </w:r>
          </w:p>
        </w:tc>
        <w:tc>
          <w:tcPr>
            <w:tcW w:w="521" w:type="dxa"/>
          </w:tcPr>
          <w:p w14:paraId="603C3AE0" w14:textId="77777777" w:rsidR="00B926FE" w:rsidRPr="00861126" w:rsidRDefault="00B926FE" w:rsidP="006279A8">
            <w:pPr>
              <w:pStyle w:val="TableText"/>
              <w:spacing w:before="36" w:after="36"/>
              <w:jc w:val="right"/>
            </w:pPr>
            <w:r w:rsidRPr="00861126">
              <w:t>67</w:t>
            </w:r>
          </w:p>
        </w:tc>
        <w:tc>
          <w:tcPr>
            <w:tcW w:w="1009" w:type="dxa"/>
          </w:tcPr>
          <w:p w14:paraId="01AB8E9A" w14:textId="77777777" w:rsidR="00B926FE" w:rsidRPr="00861126" w:rsidRDefault="00B926FE" w:rsidP="006279A8">
            <w:pPr>
              <w:pStyle w:val="TableText"/>
              <w:spacing w:before="36" w:after="36"/>
              <w:jc w:val="right"/>
            </w:pPr>
            <w:r w:rsidRPr="00861126">
              <w:t>303</w:t>
            </w:r>
          </w:p>
        </w:tc>
        <w:tc>
          <w:tcPr>
            <w:tcW w:w="1116" w:type="dxa"/>
          </w:tcPr>
          <w:p w14:paraId="2D8A5AA6" w14:textId="77777777" w:rsidR="00B926FE" w:rsidRPr="00861126" w:rsidRDefault="00B926FE" w:rsidP="006279A8">
            <w:pPr>
              <w:pStyle w:val="TableText"/>
              <w:spacing w:before="36" w:after="36"/>
              <w:jc w:val="right"/>
            </w:pPr>
            <w:r w:rsidRPr="00861126">
              <w:t>89.8 (76.6</w:t>
            </w:r>
            <w:r>
              <w:t xml:space="preserve">, </w:t>
            </w:r>
            <w:r w:rsidRPr="00861126">
              <w:t>95.9)</w:t>
            </w:r>
          </w:p>
        </w:tc>
        <w:tc>
          <w:tcPr>
            <w:tcW w:w="450" w:type="dxa"/>
          </w:tcPr>
          <w:p w14:paraId="2FC46EB2" w14:textId="77777777" w:rsidR="00B926FE" w:rsidRPr="00861126" w:rsidRDefault="00B926FE" w:rsidP="006279A8">
            <w:pPr>
              <w:pStyle w:val="TableText"/>
              <w:spacing w:before="36" w:after="36"/>
              <w:jc w:val="right"/>
            </w:pPr>
            <w:r w:rsidRPr="00861126">
              <w:t>5</w:t>
            </w:r>
          </w:p>
        </w:tc>
        <w:tc>
          <w:tcPr>
            <w:tcW w:w="1036" w:type="dxa"/>
          </w:tcPr>
          <w:p w14:paraId="1DD76BB9" w14:textId="77777777" w:rsidR="00B926FE" w:rsidRPr="00861126" w:rsidRDefault="00B926FE" w:rsidP="006279A8">
            <w:pPr>
              <w:pStyle w:val="TableText"/>
              <w:spacing w:before="36" w:after="36"/>
              <w:jc w:val="right"/>
            </w:pPr>
            <w:r w:rsidRPr="00861126">
              <w:t>30</w:t>
            </w:r>
          </w:p>
        </w:tc>
        <w:tc>
          <w:tcPr>
            <w:tcW w:w="1054" w:type="dxa"/>
          </w:tcPr>
          <w:p w14:paraId="6C4C4F80" w14:textId="77777777" w:rsidR="00B926FE" w:rsidRPr="00861126" w:rsidRDefault="00B926FE" w:rsidP="006279A8">
            <w:pPr>
              <w:pStyle w:val="TableText"/>
              <w:spacing w:before="36" w:after="36"/>
              <w:jc w:val="right"/>
            </w:pPr>
            <w:r w:rsidRPr="00861126">
              <w:t>8.8 (3.1</w:t>
            </w:r>
            <w:r>
              <w:t xml:space="preserve">, </w:t>
            </w:r>
            <w:r w:rsidRPr="00861126">
              <w:t>22.5)</w:t>
            </w:r>
          </w:p>
        </w:tc>
        <w:tc>
          <w:tcPr>
            <w:tcW w:w="593" w:type="dxa"/>
          </w:tcPr>
          <w:p w14:paraId="4692E3A6" w14:textId="77777777" w:rsidR="00B926FE" w:rsidRPr="00861126" w:rsidRDefault="00B926FE" w:rsidP="006279A8">
            <w:pPr>
              <w:pStyle w:val="TableText"/>
              <w:spacing w:before="36" w:after="36"/>
              <w:jc w:val="right"/>
            </w:pPr>
            <w:r w:rsidRPr="00861126">
              <w:t>150</w:t>
            </w:r>
          </w:p>
        </w:tc>
        <w:tc>
          <w:tcPr>
            <w:tcW w:w="993" w:type="dxa"/>
          </w:tcPr>
          <w:p w14:paraId="0C3444C7" w14:textId="77777777" w:rsidR="00B926FE" w:rsidRPr="00861126" w:rsidRDefault="00B926FE" w:rsidP="006279A8">
            <w:pPr>
              <w:pStyle w:val="TableText"/>
              <w:spacing w:before="36" w:after="36"/>
              <w:jc w:val="right"/>
            </w:pPr>
            <w:r w:rsidRPr="00861126">
              <w:t>443</w:t>
            </w:r>
          </w:p>
        </w:tc>
        <w:tc>
          <w:tcPr>
            <w:tcW w:w="1095" w:type="dxa"/>
          </w:tcPr>
          <w:p w14:paraId="4C3F483B" w14:textId="77777777" w:rsidR="00B926FE" w:rsidRPr="00861126" w:rsidRDefault="00B926FE" w:rsidP="006279A8">
            <w:pPr>
              <w:pStyle w:val="TableText"/>
              <w:spacing w:before="36" w:after="36"/>
              <w:jc w:val="right"/>
            </w:pPr>
            <w:r w:rsidRPr="00861126">
              <w:t>93.8 (90.2</w:t>
            </w:r>
            <w:r>
              <w:t xml:space="preserve">, </w:t>
            </w:r>
            <w:r w:rsidRPr="00861126">
              <w:t>96.1)</w:t>
            </w:r>
          </w:p>
        </w:tc>
        <w:tc>
          <w:tcPr>
            <w:tcW w:w="443" w:type="dxa"/>
          </w:tcPr>
          <w:p w14:paraId="32C2D348" w14:textId="77777777" w:rsidR="00B926FE" w:rsidRPr="00861126" w:rsidRDefault="00B926FE" w:rsidP="006279A8">
            <w:pPr>
              <w:pStyle w:val="TableText"/>
              <w:spacing w:before="36" w:after="36"/>
              <w:jc w:val="right"/>
            </w:pPr>
            <w:r w:rsidRPr="00861126">
              <w:t>10</w:t>
            </w:r>
          </w:p>
        </w:tc>
        <w:tc>
          <w:tcPr>
            <w:tcW w:w="1018" w:type="dxa"/>
          </w:tcPr>
          <w:p w14:paraId="77302E72" w14:textId="77777777" w:rsidR="00B926FE" w:rsidRPr="00861126" w:rsidRDefault="00B926FE" w:rsidP="006279A8">
            <w:pPr>
              <w:pStyle w:val="TableText"/>
              <w:spacing w:before="36" w:after="36"/>
              <w:jc w:val="right"/>
            </w:pPr>
            <w:r w:rsidRPr="00861126">
              <w:t>27</w:t>
            </w:r>
          </w:p>
        </w:tc>
        <w:tc>
          <w:tcPr>
            <w:tcW w:w="1080" w:type="dxa"/>
          </w:tcPr>
          <w:p w14:paraId="0E72BB96" w14:textId="77777777" w:rsidR="00B926FE" w:rsidRPr="00861126" w:rsidRDefault="00B926FE" w:rsidP="006279A8">
            <w:pPr>
              <w:pStyle w:val="TableText"/>
              <w:spacing w:before="36" w:after="36"/>
              <w:jc w:val="right"/>
            </w:pPr>
            <w:r w:rsidRPr="00861126">
              <w:t>5.7 (3.5</w:t>
            </w:r>
            <w:r>
              <w:t xml:space="preserve">, </w:t>
            </w:r>
            <w:r w:rsidRPr="00861126">
              <w:t>9.3)</w:t>
            </w:r>
          </w:p>
        </w:tc>
      </w:tr>
    </w:tbl>
    <w:p w14:paraId="40526D33" w14:textId="77777777" w:rsidR="00B926FE" w:rsidRDefault="00B926FE" w:rsidP="00B926FE">
      <w:pPr>
        <w:pStyle w:val="TableNotes"/>
        <w:rPr>
          <w:rFonts w:cs="Calibri"/>
          <w:bCs/>
          <w:color w:val="000000" w:themeColor="text1"/>
          <w:szCs w:val="14"/>
        </w:rPr>
      </w:pPr>
      <w:r w:rsidRPr="001D100F">
        <w:t>Notes</w:t>
      </w:r>
      <w:r w:rsidR="006279A8">
        <w:t xml:space="preserve">: </w:t>
      </w:r>
      <w:r>
        <w:t>Denominator: Those that said ‘Yes’ to using the internet for mental health issues</w:t>
      </w:r>
      <w:r w:rsidRPr="00D17DAE">
        <w:t>.</w:t>
      </w:r>
      <w:r>
        <w:t xml:space="preserve"> </w:t>
      </w:r>
      <w:r w:rsidRPr="00D17DAE">
        <w:t>Based on weighted counts, 73 (1.2%) Transitioned ADF and 90 (1.0%) 2015 Regular ADF had a missing value for this question. However, distributions are calculated by including those with a missing value to allow for correct weighted totals</w:t>
      </w:r>
      <w:r>
        <w:t>.</w:t>
      </w:r>
      <w:r w:rsidR="006279A8">
        <w:t xml:space="preserve"> </w:t>
      </w:r>
      <w:r w:rsidRPr="00D17DAE">
        <w:t>Probable 30-day disorder = PCL ≥ 53 or K10 ≥ 25; No probable 30-day disorder = PCL &lt; 53 and K10 &lt; 25.</w:t>
      </w:r>
      <w:r w:rsidR="006279A8">
        <w:t xml:space="preserve"> </w:t>
      </w:r>
      <w:r>
        <w:t>95%CI = 95% confidence interval.</w:t>
      </w:r>
      <w:r w:rsidRPr="00D17DAE">
        <w:t xml:space="preserve"> </w:t>
      </w:r>
      <w:r w:rsidR="006279A8">
        <w:t xml:space="preserve"> </w:t>
      </w:r>
      <w:r>
        <w:rPr>
          <w:rFonts w:cs="Calibri"/>
          <w:bCs/>
          <w:color w:val="000000" w:themeColor="text1"/>
          <w:szCs w:val="14"/>
        </w:rPr>
        <w:t># = Cell size too small to be reported.</w:t>
      </w:r>
    </w:p>
    <w:p w14:paraId="35340430" w14:textId="77777777" w:rsidR="00B926FE" w:rsidRDefault="00B926FE" w:rsidP="00B926FE">
      <w:pPr>
        <w:sectPr w:rsidR="00B926FE" w:rsidSect="00980AE4">
          <w:footerReference w:type="even" r:id="rId103"/>
          <w:footerReference w:type="default" r:id="rId104"/>
          <w:pgSz w:w="14170" w:h="9979" w:orient="landscape" w:code="243"/>
          <w:pgMar w:top="1872" w:right="1440" w:bottom="1152" w:left="1440" w:header="576" w:footer="576" w:gutter="0"/>
          <w:cols w:space="708"/>
          <w:docGrid w:linePitch="360"/>
        </w:sectPr>
      </w:pPr>
    </w:p>
    <w:p w14:paraId="279163EE" w14:textId="77777777" w:rsidR="000B2197" w:rsidRPr="00D17DAE" w:rsidRDefault="000B2197" w:rsidP="000B2197">
      <w:pPr>
        <w:pStyle w:val="Heading1"/>
      </w:pPr>
      <w:bookmarkStart w:id="935" w:name="_Toc509917467"/>
      <w:bookmarkStart w:id="936" w:name="_Toc515374527"/>
      <w:bookmarkStart w:id="937" w:name="_Toc518566427"/>
      <w:bookmarkStart w:id="938" w:name="_Toc528932711"/>
      <w:bookmarkStart w:id="939" w:name="_Toc531859248"/>
      <w:r w:rsidRPr="00D17DAE">
        <w:t>Barriers to talking online about one’s own mental health in Transitioned ADF and Regular 2015 ADF</w:t>
      </w:r>
      <w:bookmarkEnd w:id="935"/>
      <w:bookmarkEnd w:id="936"/>
      <w:bookmarkEnd w:id="937"/>
      <w:bookmarkEnd w:id="938"/>
      <w:bookmarkEnd w:id="939"/>
    </w:p>
    <w:p w14:paraId="0FB367AC" w14:textId="77777777" w:rsidR="000B2197" w:rsidRPr="00F7597D" w:rsidRDefault="000B2197" w:rsidP="000B2197">
      <w:bookmarkStart w:id="940" w:name="_Toc515373336"/>
      <w:r w:rsidRPr="00F7597D">
        <w:t xml:space="preserve">Note: All findings reported in this section are a </w:t>
      </w:r>
      <w:r>
        <w:t xml:space="preserve">proportion of the Transitioned </w:t>
      </w:r>
      <w:r w:rsidRPr="00F7597D">
        <w:t xml:space="preserve">and 2015 Regular ADF </w:t>
      </w:r>
      <w:r>
        <w:rPr>
          <w:szCs w:val="22"/>
        </w:rPr>
        <w:t xml:space="preserve">who </w:t>
      </w:r>
      <w:r w:rsidRPr="00A872E0">
        <w:rPr>
          <w:szCs w:val="22"/>
        </w:rPr>
        <w:t xml:space="preserve">reported using </w:t>
      </w:r>
      <w:r>
        <w:rPr>
          <w:szCs w:val="22"/>
        </w:rPr>
        <w:t>the internet</w:t>
      </w:r>
      <w:r w:rsidRPr="00A872E0">
        <w:rPr>
          <w:szCs w:val="22"/>
        </w:rPr>
        <w:t xml:space="preserve"> to </w:t>
      </w:r>
      <w:r>
        <w:rPr>
          <w:szCs w:val="22"/>
        </w:rPr>
        <w:t xml:space="preserve">seek help or information for or </w:t>
      </w:r>
      <w:r w:rsidRPr="00A872E0">
        <w:rPr>
          <w:szCs w:val="22"/>
        </w:rPr>
        <w:t xml:space="preserve">manage mental health </w:t>
      </w:r>
      <w:r>
        <w:rPr>
          <w:szCs w:val="22"/>
        </w:rPr>
        <w:t>issues</w:t>
      </w:r>
      <w:r>
        <w:rPr>
          <w:rFonts w:cs="Calibri"/>
        </w:rPr>
        <w:t xml:space="preserve"> </w:t>
      </w:r>
      <w:r>
        <w:t xml:space="preserve">but </w:t>
      </w:r>
      <w:r w:rsidRPr="00F7597D">
        <w:rPr>
          <w:i/>
        </w:rPr>
        <w:t>did not</w:t>
      </w:r>
      <w:r w:rsidRPr="00F7597D">
        <w:t xml:space="preserve"> </w:t>
      </w:r>
      <w:r>
        <w:t xml:space="preserve">report </w:t>
      </w:r>
      <w:r w:rsidRPr="00F7597D">
        <w:t>talk</w:t>
      </w:r>
      <w:r>
        <w:t>ing</w:t>
      </w:r>
      <w:r w:rsidRPr="00F7597D">
        <w:t xml:space="preserve"> to either a peer, </w:t>
      </w:r>
      <w:r>
        <w:t xml:space="preserve">a </w:t>
      </w:r>
      <w:r w:rsidRPr="00F7597D">
        <w:t>family member or friend</w:t>
      </w:r>
      <w:r>
        <w:t xml:space="preserve">, </w:t>
      </w:r>
      <w:r w:rsidRPr="00F7597D">
        <w:t>other people (i.e</w:t>
      </w:r>
      <w:r>
        <w:t>.</w:t>
      </w:r>
      <w:r w:rsidRPr="00F7597D">
        <w:t xml:space="preserve"> online forums, chatrooms, blogs, MSN or </w:t>
      </w:r>
      <w:r>
        <w:t>G</w:t>
      </w:r>
      <w:r w:rsidRPr="00F7597D">
        <w:t xml:space="preserve">mail messenger) or a psychologist or other health professional about their </w:t>
      </w:r>
      <w:r>
        <w:t xml:space="preserve">own </w:t>
      </w:r>
      <w:r w:rsidRPr="00F7597D">
        <w:t>mental health.</w:t>
      </w:r>
      <w:bookmarkEnd w:id="940"/>
    </w:p>
    <w:p w14:paraId="709CEC86" w14:textId="77777777" w:rsidR="000B2197" w:rsidRPr="00874BAA" w:rsidRDefault="000B2197" w:rsidP="000B2197">
      <w:pPr>
        <w:pStyle w:val="ShadedBoxSubheading"/>
        <w:rPr>
          <w:rFonts w:eastAsiaTheme="majorEastAsia" w:cstheme="majorBidi"/>
        </w:rPr>
      </w:pPr>
      <w:r w:rsidRPr="00874BAA">
        <w:t>Barriers to talking online about one’s own mental health</w:t>
      </w:r>
    </w:p>
    <w:p w14:paraId="4F2AD5FA" w14:textId="77777777" w:rsidR="000B2197" w:rsidRPr="00097C41" w:rsidRDefault="000B2197" w:rsidP="00133458">
      <w:pPr>
        <w:pStyle w:val="ShadedBullet"/>
      </w:pPr>
      <w:r>
        <w:t xml:space="preserve">Among the Transitioned ADF and </w:t>
      </w:r>
      <w:r w:rsidRPr="00097C41">
        <w:t>2015 Regular ADF who reported using the internet to seek help</w:t>
      </w:r>
      <w:r>
        <w:t xml:space="preserve"> or</w:t>
      </w:r>
      <w:r w:rsidRPr="00097C41">
        <w:t xml:space="preserve"> information or manage mental health issues, but reported they did NOT talk to someone online about their own mental health, the main barriers </w:t>
      </w:r>
      <w:r>
        <w:t xml:space="preserve">they reported </w:t>
      </w:r>
      <w:r w:rsidRPr="00097C41">
        <w:t>were a preference for face</w:t>
      </w:r>
      <w:r>
        <w:t>-</w:t>
      </w:r>
      <w:r w:rsidRPr="00097C41">
        <w:t>to</w:t>
      </w:r>
      <w:r>
        <w:t>-</w:t>
      </w:r>
      <w:r w:rsidRPr="00097C41">
        <w:t xml:space="preserve">face contact (59.0% and 70.2% respectively), concerns about lack of privacy and confidentiality (50.4% and 63.3% respectively) and concerns about lack of website security (41.2% and 45.7%). </w:t>
      </w:r>
      <w:r>
        <w:t>Concerns about the v</w:t>
      </w:r>
      <w:r w:rsidRPr="00097C41">
        <w:t xml:space="preserve">alidity </w:t>
      </w:r>
      <w:r>
        <w:t>of</w:t>
      </w:r>
      <w:r w:rsidRPr="00097C41">
        <w:t xml:space="preserve"> information online w</w:t>
      </w:r>
      <w:r>
        <w:t>ere</w:t>
      </w:r>
      <w:r w:rsidRPr="00097C41">
        <w:t xml:space="preserve"> also a </w:t>
      </w:r>
      <w:r>
        <w:t>factor</w:t>
      </w:r>
      <w:r w:rsidRPr="00097C41">
        <w:t xml:space="preserve"> (36.5% and 35.8%).</w:t>
      </w:r>
    </w:p>
    <w:p w14:paraId="395FB70E" w14:textId="77777777" w:rsidR="000B2197" w:rsidRPr="00097C41" w:rsidRDefault="000B2197" w:rsidP="00133458">
      <w:pPr>
        <w:pStyle w:val="ShadedBullet"/>
      </w:pPr>
      <w:r w:rsidRPr="00097C41">
        <w:t>Transitioned ADF were significantly less likely than 2015 Regular ADF to report concerns about a lack of privacy/confidentiality as a barrier to talking about the</w:t>
      </w:r>
      <w:r>
        <w:t>ir mental health issues online</w:t>
      </w:r>
      <w:r w:rsidRPr="00097C41">
        <w:t xml:space="preserve">. </w:t>
      </w:r>
    </w:p>
    <w:p w14:paraId="27FE68C2" w14:textId="77777777" w:rsidR="000B2197" w:rsidRPr="00513700" w:rsidRDefault="000B2197" w:rsidP="00133458">
      <w:pPr>
        <w:pStyle w:val="ShadedBullet"/>
        <w:rPr>
          <w:rFonts w:eastAsia="MS Mincho"/>
        </w:rPr>
      </w:pPr>
      <w:r w:rsidRPr="00097C41">
        <w:t>Transitioned ADF were significantly more likely than 2015 Regular ADF to report unaffordable technology as a barrier preventing them from talking about the</w:t>
      </w:r>
      <w:r>
        <w:t>ir mental health issues online</w:t>
      </w:r>
      <w:r w:rsidRPr="00097C41">
        <w:t xml:space="preserve">. </w:t>
      </w:r>
    </w:p>
    <w:p w14:paraId="10C7E071" w14:textId="77777777" w:rsidR="00513700" w:rsidRDefault="00513700" w:rsidP="004E24A7">
      <w:pPr>
        <w:pStyle w:val="ShadedBoxText"/>
      </w:pPr>
      <w:r w:rsidRPr="00D4741B">
        <w:rPr>
          <w:b/>
        </w:rPr>
        <w:t>Glossary:</w:t>
      </w:r>
      <w:r w:rsidRPr="00D4741B">
        <w:t xml:space="preserve"> refer to the </w:t>
      </w:r>
      <w:r w:rsidRPr="00104D02">
        <w:t>Glossary</w:t>
      </w:r>
      <w:r w:rsidRPr="00D4741B">
        <w:t xml:space="preserve"> of terms for definitions of key terms.</w:t>
      </w:r>
    </w:p>
    <w:p w14:paraId="660597B1" w14:textId="77777777" w:rsidR="000B2197" w:rsidRPr="00D17DAE" w:rsidRDefault="000B2197" w:rsidP="000B2197">
      <w:pPr>
        <w:pStyle w:val="Heading2"/>
        <w:numPr>
          <w:ilvl w:val="1"/>
          <w:numId w:val="1"/>
        </w:numPr>
        <w:ind w:left="720" w:hanging="720"/>
      </w:pPr>
      <w:bookmarkStart w:id="941" w:name="_Toc507595221"/>
      <w:bookmarkStart w:id="942" w:name="_Toc509917468"/>
      <w:bookmarkStart w:id="943" w:name="_Toc515374528"/>
      <w:bookmarkStart w:id="944" w:name="_Toc518566428"/>
      <w:bookmarkStart w:id="945" w:name="_Toc528932712"/>
      <w:bookmarkStart w:id="946" w:name="_Toc531859249"/>
      <w:r w:rsidRPr="00D17DAE">
        <w:t>Barriers to talking online about one’s own mental health</w:t>
      </w:r>
      <w:bookmarkEnd w:id="941"/>
      <w:bookmarkEnd w:id="942"/>
      <w:bookmarkEnd w:id="943"/>
      <w:bookmarkEnd w:id="944"/>
      <w:bookmarkEnd w:id="945"/>
      <w:bookmarkEnd w:id="946"/>
    </w:p>
    <w:p w14:paraId="7F994A7F" w14:textId="77777777" w:rsidR="000B2197" w:rsidRDefault="000B2197" w:rsidP="000B2197">
      <w:r>
        <w:t xml:space="preserve">Table </w:t>
      </w:r>
      <w:r>
        <w:rPr>
          <w:noProof/>
        </w:rPr>
        <w:t>8.1</w:t>
      </w:r>
      <w:r w:rsidRPr="007E66F4">
        <w:t xml:space="preserve"> and </w:t>
      </w:r>
      <w:r w:rsidRPr="007F38BC">
        <w:t xml:space="preserve">Figure </w:t>
      </w:r>
      <w:r>
        <w:rPr>
          <w:noProof/>
        </w:rPr>
        <w:t>8.1</w:t>
      </w:r>
      <w:r w:rsidRPr="007E66F4">
        <w:t xml:space="preserve"> examine</w:t>
      </w:r>
      <w:r w:rsidRPr="0065396B">
        <w:t xml:space="preserve"> </w:t>
      </w:r>
      <w:r>
        <w:t>b</w:t>
      </w:r>
      <w:r w:rsidRPr="00ED77D0">
        <w:t>arriers to talking about mental health online</w:t>
      </w:r>
      <w:r>
        <w:t xml:space="preserve"> that may be experienced by the </w:t>
      </w:r>
      <w:r w:rsidRPr="0091563B">
        <w:t xml:space="preserve">Transitioned ADF </w:t>
      </w:r>
      <w:r>
        <w:t xml:space="preserve">and the </w:t>
      </w:r>
      <w:r w:rsidRPr="0091563B">
        <w:t>2015 Regular ADF</w:t>
      </w:r>
      <w:r>
        <w:t xml:space="preserve">. Respondents </w:t>
      </w:r>
      <w:r>
        <w:rPr>
          <w:bCs/>
          <w:color w:val="000000" w:themeColor="text1"/>
          <w:szCs w:val="22"/>
        </w:rPr>
        <w:t xml:space="preserve">who </w:t>
      </w:r>
      <w:r w:rsidRPr="00684B0A">
        <w:rPr>
          <w:bCs/>
          <w:i/>
          <w:color w:val="000000" w:themeColor="text1"/>
          <w:szCs w:val="22"/>
        </w:rPr>
        <w:t>did not</w:t>
      </w:r>
      <w:r w:rsidRPr="0053254C">
        <w:rPr>
          <w:bCs/>
          <w:color w:val="000000" w:themeColor="text1"/>
          <w:szCs w:val="22"/>
        </w:rPr>
        <w:t xml:space="preserve"> talk about </w:t>
      </w:r>
      <w:r>
        <w:rPr>
          <w:bCs/>
          <w:color w:val="000000" w:themeColor="text1"/>
          <w:szCs w:val="22"/>
        </w:rPr>
        <w:t xml:space="preserve">their </w:t>
      </w:r>
      <w:r w:rsidRPr="0053254C">
        <w:rPr>
          <w:bCs/>
          <w:color w:val="000000" w:themeColor="text1"/>
          <w:szCs w:val="22"/>
        </w:rPr>
        <w:t>mental health online</w:t>
      </w:r>
      <w:r>
        <w:t xml:space="preserve"> were asked ‘</w:t>
      </w:r>
      <w:r w:rsidRPr="00D24EC1">
        <w:t>Which of the following barriers might prevent you from talking about your mental health issues online?’</w:t>
      </w:r>
      <w:r>
        <w:t xml:space="preserve"> </w:t>
      </w:r>
    </w:p>
    <w:p w14:paraId="36CBEB3D" w14:textId="77777777" w:rsidR="000B2197" w:rsidRPr="006179B2" w:rsidRDefault="000B2197" w:rsidP="000B2197">
      <w:r>
        <w:t>The most common barrier preventing both the Transitioned ADF and 2015 Regular ADF from talking about their mental health issues online was their p</w:t>
      </w:r>
      <w:r w:rsidRPr="006179B2">
        <w:t>ref</w:t>
      </w:r>
      <w:r>
        <w:t>erence for face-to-face contact</w:t>
      </w:r>
      <w:r w:rsidRPr="006179B2">
        <w:t xml:space="preserve"> </w:t>
      </w:r>
      <w:r>
        <w:t>(</w:t>
      </w:r>
      <w:r w:rsidRPr="006179B2">
        <w:t xml:space="preserve">59.0% </w:t>
      </w:r>
      <w:r>
        <w:t xml:space="preserve">and </w:t>
      </w:r>
      <w:r w:rsidRPr="006179B2">
        <w:t xml:space="preserve">70.2% </w:t>
      </w:r>
      <w:r>
        <w:t>respectively). The least common barrier reported was the lack of access to technology,</w:t>
      </w:r>
      <w:r w:rsidRPr="006179B2">
        <w:t xml:space="preserve"> with </w:t>
      </w:r>
      <w:r>
        <w:t>1.6</w:t>
      </w:r>
      <w:r w:rsidRPr="006179B2">
        <w:t xml:space="preserve">% of </w:t>
      </w:r>
      <w:r w:rsidRPr="0091563B">
        <w:t>Transitioned ADF</w:t>
      </w:r>
      <w:r>
        <w:t xml:space="preserve"> and 0.5</w:t>
      </w:r>
      <w:r w:rsidRPr="006179B2">
        <w:t xml:space="preserve">% of </w:t>
      </w:r>
      <w:r w:rsidRPr="0091563B">
        <w:t>2015 Regular ADF</w:t>
      </w:r>
      <w:r>
        <w:t xml:space="preserve"> endorsing this item.</w:t>
      </w:r>
    </w:p>
    <w:p w14:paraId="480C5BCD" w14:textId="77777777" w:rsidR="000B2197" w:rsidRPr="00F37DC5" w:rsidRDefault="000B2197" w:rsidP="000B2197">
      <w:pPr>
        <w:rPr>
          <w:rFonts w:eastAsia="Times New Roman"/>
          <w:lang w:eastAsia="en-AU"/>
        </w:rPr>
      </w:pPr>
      <w:r w:rsidRPr="00682F9A">
        <w:rPr>
          <w:rFonts w:eastAsia="Times New Roman"/>
          <w:lang w:eastAsia="en-AU"/>
        </w:rPr>
        <w:t>When logistic regression</w:t>
      </w:r>
      <w:r>
        <w:rPr>
          <w:rFonts w:eastAsia="Times New Roman"/>
          <w:lang w:eastAsia="en-AU"/>
        </w:rPr>
        <w:t>s</w:t>
      </w:r>
      <w:r w:rsidRPr="00682F9A">
        <w:rPr>
          <w:rFonts w:eastAsia="Times New Roman"/>
          <w:lang w:eastAsia="en-AU"/>
        </w:rPr>
        <w:t xml:space="preserve"> </w:t>
      </w:r>
      <w:r>
        <w:rPr>
          <w:rFonts w:eastAsia="Times New Roman"/>
          <w:lang w:eastAsia="en-AU"/>
        </w:rPr>
        <w:t>were</w:t>
      </w:r>
      <w:r w:rsidRPr="00682F9A">
        <w:rPr>
          <w:rFonts w:eastAsia="Times New Roman"/>
          <w:lang w:eastAsia="en-AU"/>
        </w:rPr>
        <w:t xml:space="preserve"> performed</w:t>
      </w:r>
      <w:r>
        <w:rPr>
          <w:rFonts w:eastAsia="Times New Roman"/>
          <w:lang w:eastAsia="en-AU"/>
        </w:rPr>
        <w:t>,</w:t>
      </w:r>
      <w:r w:rsidRPr="00682F9A">
        <w:rPr>
          <w:rFonts w:eastAsia="Times New Roman"/>
          <w:lang w:eastAsia="en-AU"/>
        </w:rPr>
        <w:t xml:space="preserve"> Transitioned ADF </w:t>
      </w:r>
      <w:r>
        <w:rPr>
          <w:rFonts w:eastAsia="Times New Roman"/>
          <w:lang w:eastAsia="en-AU"/>
        </w:rPr>
        <w:t>were</w:t>
      </w:r>
      <w:r w:rsidRPr="00682F9A">
        <w:rPr>
          <w:rFonts w:eastAsia="Times New Roman"/>
          <w:lang w:eastAsia="en-AU"/>
        </w:rPr>
        <w:t xml:space="preserve"> </w:t>
      </w:r>
      <w:r>
        <w:rPr>
          <w:rFonts w:eastAsia="Times New Roman"/>
          <w:lang w:eastAsia="en-AU"/>
        </w:rPr>
        <w:t xml:space="preserve">significantly </w:t>
      </w:r>
      <w:r w:rsidRPr="00682F9A">
        <w:rPr>
          <w:rFonts w:eastAsia="Times New Roman"/>
          <w:lang w:eastAsia="en-AU"/>
        </w:rPr>
        <w:t xml:space="preserve">less likely </w:t>
      </w:r>
      <w:r>
        <w:rPr>
          <w:rFonts w:eastAsia="Times New Roman"/>
          <w:lang w:eastAsia="en-AU"/>
        </w:rPr>
        <w:t xml:space="preserve">than 2015 Regular ADF </w:t>
      </w:r>
      <w:r w:rsidRPr="00682F9A">
        <w:rPr>
          <w:rFonts w:eastAsia="Times New Roman"/>
          <w:lang w:eastAsia="en-AU"/>
        </w:rPr>
        <w:t xml:space="preserve">to </w:t>
      </w:r>
      <w:r>
        <w:rPr>
          <w:rFonts w:eastAsia="Times New Roman"/>
          <w:lang w:eastAsia="en-AU"/>
        </w:rPr>
        <w:t>report</w:t>
      </w:r>
      <w:r w:rsidRPr="00682F9A">
        <w:rPr>
          <w:rFonts w:eastAsia="Times New Roman"/>
          <w:lang w:eastAsia="en-AU"/>
        </w:rPr>
        <w:t xml:space="preserve"> </w:t>
      </w:r>
      <w:r>
        <w:rPr>
          <w:rFonts w:eastAsia="Times New Roman"/>
          <w:lang w:eastAsia="en-AU"/>
        </w:rPr>
        <w:t>c</w:t>
      </w:r>
      <w:r w:rsidRPr="00682F9A">
        <w:rPr>
          <w:rFonts w:eastAsia="Times New Roman"/>
          <w:lang w:eastAsia="en-AU"/>
        </w:rPr>
        <w:t xml:space="preserve">oncerns about a </w:t>
      </w:r>
      <w:r>
        <w:rPr>
          <w:rFonts w:eastAsia="Times New Roman"/>
          <w:lang w:eastAsia="en-AU"/>
        </w:rPr>
        <w:t>lack of privacy/confidentiality as a barrier to talking about their mental health issues online</w:t>
      </w:r>
      <w:r w:rsidRPr="00682F9A">
        <w:rPr>
          <w:rFonts w:eastAsia="Times New Roman"/>
          <w:lang w:eastAsia="en-AU"/>
        </w:rPr>
        <w:t xml:space="preserve"> (</w:t>
      </w:r>
      <w:r>
        <w:rPr>
          <w:rFonts w:eastAsia="Times New Roman"/>
          <w:lang w:eastAsia="en-AU"/>
        </w:rPr>
        <w:t xml:space="preserve">50.4% vs 63.3%, </w:t>
      </w:r>
      <w:r w:rsidRPr="00682F9A">
        <w:rPr>
          <w:rFonts w:eastAsia="Times New Roman"/>
          <w:lang w:eastAsia="en-AU"/>
        </w:rPr>
        <w:t>OR 0.5, 95% CI 0.3,</w:t>
      </w:r>
      <w:r>
        <w:rPr>
          <w:rFonts w:eastAsia="Times New Roman"/>
          <w:lang w:eastAsia="en-AU"/>
        </w:rPr>
        <w:t xml:space="preserve"> </w:t>
      </w:r>
      <w:r w:rsidRPr="00682F9A">
        <w:rPr>
          <w:rFonts w:eastAsia="Times New Roman"/>
          <w:lang w:eastAsia="en-AU"/>
        </w:rPr>
        <w:t>0.9)</w:t>
      </w:r>
      <w:r>
        <w:rPr>
          <w:rFonts w:eastAsia="Times New Roman"/>
          <w:lang w:eastAsia="en-AU"/>
        </w:rPr>
        <w:t xml:space="preserve">. In contrast, </w:t>
      </w:r>
      <w:r w:rsidRPr="00682F9A">
        <w:rPr>
          <w:rFonts w:eastAsia="Times New Roman"/>
          <w:lang w:eastAsia="en-AU"/>
        </w:rPr>
        <w:t xml:space="preserve">Transitioned ADF </w:t>
      </w:r>
      <w:r>
        <w:rPr>
          <w:rFonts w:eastAsia="Times New Roman"/>
          <w:lang w:eastAsia="en-AU"/>
        </w:rPr>
        <w:t>were</w:t>
      </w:r>
      <w:r w:rsidRPr="00682F9A">
        <w:rPr>
          <w:rFonts w:eastAsia="Times New Roman"/>
          <w:lang w:eastAsia="en-AU"/>
        </w:rPr>
        <w:t xml:space="preserve"> more likely </w:t>
      </w:r>
      <w:r>
        <w:rPr>
          <w:rFonts w:eastAsia="Times New Roman"/>
          <w:lang w:eastAsia="en-AU"/>
        </w:rPr>
        <w:t xml:space="preserve">than 2015 Regular ADF </w:t>
      </w:r>
      <w:r w:rsidRPr="00682F9A">
        <w:rPr>
          <w:rFonts w:eastAsia="Times New Roman"/>
          <w:lang w:eastAsia="en-AU"/>
        </w:rPr>
        <w:t xml:space="preserve">to </w:t>
      </w:r>
      <w:r>
        <w:rPr>
          <w:rFonts w:eastAsia="Times New Roman"/>
          <w:lang w:eastAsia="en-AU"/>
        </w:rPr>
        <w:t>report</w:t>
      </w:r>
      <w:r w:rsidRPr="00682F9A">
        <w:rPr>
          <w:rFonts w:eastAsia="Times New Roman"/>
          <w:lang w:eastAsia="en-AU"/>
        </w:rPr>
        <w:t xml:space="preserve"> </w:t>
      </w:r>
      <w:r>
        <w:rPr>
          <w:rFonts w:eastAsia="Times New Roman"/>
          <w:lang w:eastAsia="en-AU"/>
        </w:rPr>
        <w:t xml:space="preserve">unaffordable technology as a barrier preventing them from talking about their mental health issues online </w:t>
      </w:r>
      <w:r w:rsidRPr="00682F9A">
        <w:rPr>
          <w:rFonts w:eastAsia="Times New Roman"/>
          <w:lang w:eastAsia="en-AU"/>
        </w:rPr>
        <w:t>(</w:t>
      </w:r>
      <w:r>
        <w:rPr>
          <w:rFonts w:eastAsia="Times New Roman"/>
          <w:lang w:eastAsia="en-AU"/>
        </w:rPr>
        <w:t xml:space="preserve">1.9% vs 0.4%, </w:t>
      </w:r>
      <w:r w:rsidRPr="00682F9A">
        <w:rPr>
          <w:rFonts w:eastAsia="Times New Roman"/>
          <w:lang w:eastAsia="en-AU"/>
        </w:rPr>
        <w:t>OR 3.7, 95% CI 1.3,</w:t>
      </w:r>
      <w:r>
        <w:rPr>
          <w:rFonts w:eastAsia="Times New Roman"/>
          <w:lang w:eastAsia="en-AU"/>
        </w:rPr>
        <w:t xml:space="preserve"> </w:t>
      </w:r>
      <w:r w:rsidRPr="00682F9A">
        <w:rPr>
          <w:rFonts w:eastAsia="Times New Roman"/>
          <w:lang w:eastAsia="en-AU"/>
        </w:rPr>
        <w:t>10.3)</w:t>
      </w:r>
      <w:r>
        <w:rPr>
          <w:rFonts w:eastAsia="Times New Roman"/>
          <w:lang w:eastAsia="en-AU"/>
        </w:rPr>
        <w:t>. Caution should be applied to the interpretation of this result, however, because of the small number of participants reporting this as a barrier.</w:t>
      </w:r>
      <w:r w:rsidRPr="00682F9A">
        <w:rPr>
          <w:rFonts w:eastAsia="Times New Roman"/>
          <w:lang w:eastAsia="en-AU"/>
        </w:rPr>
        <w:t xml:space="preserve"> </w:t>
      </w:r>
      <w:r w:rsidRPr="00117024">
        <w:rPr>
          <w:rFonts w:eastAsia="Times New Roman"/>
          <w:lang w:eastAsia="en-AU"/>
        </w:rPr>
        <w:t xml:space="preserve">(See </w:t>
      </w:r>
      <w:r>
        <w:rPr>
          <w:rFonts w:eastAsia="Times New Roman"/>
          <w:lang w:eastAsia="en-AU"/>
        </w:rPr>
        <w:t>A</w:t>
      </w:r>
      <w:r w:rsidR="00374073">
        <w:rPr>
          <w:rFonts w:eastAsia="Times New Roman"/>
          <w:lang w:eastAsia="en-AU"/>
        </w:rPr>
        <w:t>nnex </w:t>
      </w:r>
      <w:r>
        <w:rPr>
          <w:rFonts w:eastAsia="Times New Roman"/>
          <w:lang w:eastAsia="en-AU"/>
        </w:rPr>
        <w:t>B</w:t>
      </w:r>
      <w:r w:rsidRPr="00117024">
        <w:rPr>
          <w:rFonts w:eastAsia="Times New Roman"/>
          <w:lang w:eastAsia="en-AU"/>
        </w:rPr>
        <w:t xml:space="preserve"> for detailed description of the strength of the association and individual </w:t>
      </w:r>
      <w:r>
        <w:rPr>
          <w:rFonts w:eastAsia="Times New Roman"/>
          <w:lang w:eastAsia="en-AU"/>
        </w:rPr>
        <w:t>o</w:t>
      </w:r>
      <w:r w:rsidRPr="00117024">
        <w:rPr>
          <w:rFonts w:eastAsia="Times New Roman"/>
          <w:lang w:eastAsia="en-AU"/>
        </w:rPr>
        <w:t>dds ratios).</w:t>
      </w:r>
    </w:p>
    <w:p w14:paraId="1D2A9CBE" w14:textId="77777777" w:rsidR="000B2197" w:rsidRDefault="000B2197" w:rsidP="000B2197">
      <w:pPr>
        <w:pStyle w:val="TableName"/>
      </w:pPr>
      <w:bookmarkStart w:id="947" w:name="_Ref517422600"/>
      <w:bookmarkStart w:id="948" w:name="_Toc501633250"/>
      <w:bookmarkStart w:id="949" w:name="_Toc509922901"/>
      <w:bookmarkStart w:id="950" w:name="_Toc515374676"/>
      <w:bookmarkStart w:id="951" w:name="_Toc528932351"/>
      <w:bookmarkStart w:id="952" w:name="_Toc531858030"/>
      <w:r>
        <w:t xml:space="preserve">Table </w:t>
      </w:r>
      <w:r>
        <w:rPr>
          <w:noProof/>
        </w:rPr>
        <w:t>8</w:t>
      </w:r>
      <w:r>
        <w:t>.</w:t>
      </w:r>
      <w:r>
        <w:rPr>
          <w:noProof/>
        </w:rPr>
        <w:t>1</w:t>
      </w:r>
      <w:bookmarkEnd w:id="947"/>
      <w:r>
        <w:tab/>
        <w:t>Barriers</w:t>
      </w:r>
      <w:r w:rsidRPr="00656C11">
        <w:t xml:space="preserve"> </w:t>
      </w:r>
      <w:r>
        <w:t>preventing</w:t>
      </w:r>
      <w:r w:rsidRPr="00656C11">
        <w:t xml:space="preserve"> </w:t>
      </w:r>
      <w:r w:rsidRPr="001728F4">
        <w:t xml:space="preserve">Transitioned ADF </w:t>
      </w:r>
      <w:r>
        <w:t xml:space="preserve">and the </w:t>
      </w:r>
      <w:r w:rsidRPr="001728F4">
        <w:t xml:space="preserve">2015 </w:t>
      </w:r>
      <w:r>
        <w:t xml:space="preserve">Regular </w:t>
      </w:r>
      <w:r w:rsidRPr="001728F4">
        <w:t>ADF</w:t>
      </w:r>
      <w:r w:rsidRPr="00656C11">
        <w:t xml:space="preserve"> </w:t>
      </w:r>
      <w:r>
        <w:t xml:space="preserve">from </w:t>
      </w:r>
      <w:r w:rsidRPr="00656C11">
        <w:t xml:space="preserve">talking about </w:t>
      </w:r>
      <w:r>
        <w:t xml:space="preserve">their </w:t>
      </w:r>
      <w:r w:rsidRPr="00656C11">
        <w:t xml:space="preserve">mental health issues </w:t>
      </w:r>
      <w:bookmarkEnd w:id="948"/>
      <w:bookmarkEnd w:id="949"/>
      <w:r>
        <w:t>online</w:t>
      </w:r>
      <w:bookmarkEnd w:id="950"/>
      <w:r>
        <w:t xml:space="preserve"> among those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rPr>
          <w:rFonts w:cs="Calibri"/>
        </w:rPr>
        <w:t xml:space="preserve"> but reported</w:t>
      </w:r>
      <w:r>
        <w:t xml:space="preserve"> they </w:t>
      </w:r>
      <w:r w:rsidRPr="00E36586">
        <w:t>did NOT talk to someone online</w:t>
      </w:r>
      <w:r>
        <w:t xml:space="preserve"> about their own mental health</w:t>
      </w:r>
      <w:bookmarkEnd w:id="951"/>
      <w:bookmarkEnd w:id="952"/>
    </w:p>
    <w:tbl>
      <w:tblPr>
        <w:tblW w:w="5000" w:type="pct"/>
        <w:tblLayout w:type="fixed"/>
        <w:tblCellMar>
          <w:left w:w="115" w:type="dxa"/>
          <w:right w:w="115" w:type="dxa"/>
        </w:tblCellMar>
        <w:tblLook w:val="0000" w:firstRow="0" w:lastRow="0" w:firstColumn="0" w:lastColumn="0" w:noHBand="0" w:noVBand="0"/>
        <w:tblDescription w:val="Table 8.1 Barriers preventing Transitioned ADF and the 2015 Regular ADF from talking about their mental health issues online among those who reported using the internet to seek help or information for or manage mental health issues but reported they did NOT talk to someone online about their own mental health"/>
      </w:tblPr>
      <w:tblGrid>
        <w:gridCol w:w="2531"/>
        <w:gridCol w:w="530"/>
        <w:gridCol w:w="705"/>
        <w:gridCol w:w="1044"/>
        <w:gridCol w:w="540"/>
        <w:gridCol w:w="705"/>
        <w:gridCol w:w="1034"/>
      </w:tblGrid>
      <w:tr w:rsidR="000B2197" w:rsidRPr="00663550" w14:paraId="54B5DF80" w14:textId="77777777" w:rsidTr="00361CBA">
        <w:trPr>
          <w:cantSplit/>
        </w:trPr>
        <w:tc>
          <w:tcPr>
            <w:tcW w:w="2600" w:type="dxa"/>
            <w:tcBorders>
              <w:top w:val="single" w:sz="4" w:space="0" w:color="auto"/>
              <w:left w:val="single" w:sz="4" w:space="0" w:color="auto"/>
              <w:right w:val="single" w:sz="4" w:space="0" w:color="auto"/>
            </w:tcBorders>
            <w:shd w:val="clear" w:color="auto" w:fill="auto"/>
            <w:tcMar>
              <w:left w:w="80" w:type="dxa"/>
              <w:right w:w="80" w:type="dxa"/>
            </w:tcMar>
          </w:tcPr>
          <w:p w14:paraId="06CBF3A1" w14:textId="77777777" w:rsidR="000B2197" w:rsidRPr="007E66F4" w:rsidRDefault="000B2197" w:rsidP="000B2197">
            <w:pPr>
              <w:pStyle w:val="TableText"/>
              <w:rPr>
                <w:b/>
              </w:rPr>
            </w:pPr>
          </w:p>
        </w:tc>
        <w:tc>
          <w:tcPr>
            <w:tcW w:w="2329"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594E095B" w14:textId="77777777" w:rsidR="000B2197" w:rsidRPr="007E66F4" w:rsidRDefault="000B2197" w:rsidP="000B2197">
            <w:pPr>
              <w:pStyle w:val="TableText"/>
              <w:jc w:val="center"/>
              <w:rPr>
                <w:b/>
              </w:rPr>
            </w:pPr>
            <w:r w:rsidRPr="007E66F4">
              <w:rPr>
                <w:b/>
              </w:rPr>
              <w:t>Transitioned ADF</w:t>
            </w:r>
            <w:r>
              <w:rPr>
                <w:b/>
              </w:rPr>
              <w:br/>
            </w:r>
            <w:r w:rsidRPr="007E66F4">
              <w:rPr>
                <w:b/>
              </w:rPr>
              <w:t>n=3452</w:t>
            </w:r>
          </w:p>
        </w:tc>
        <w:tc>
          <w:tcPr>
            <w:tcW w:w="2330" w:type="dxa"/>
            <w:gridSpan w:val="3"/>
            <w:tcBorders>
              <w:top w:val="single" w:sz="4" w:space="0" w:color="auto"/>
              <w:left w:val="single" w:sz="4" w:space="0" w:color="auto"/>
              <w:bottom w:val="single" w:sz="4" w:space="0" w:color="auto"/>
              <w:right w:val="single" w:sz="4" w:space="0" w:color="auto"/>
            </w:tcBorders>
            <w:shd w:val="clear" w:color="auto" w:fill="auto"/>
            <w:tcMar>
              <w:left w:w="80" w:type="dxa"/>
              <w:right w:w="80" w:type="dxa"/>
            </w:tcMar>
          </w:tcPr>
          <w:p w14:paraId="21C9C5CC" w14:textId="77777777" w:rsidR="000B2197" w:rsidRPr="007E66F4" w:rsidRDefault="000B2197" w:rsidP="000B2197">
            <w:pPr>
              <w:pStyle w:val="TableText"/>
              <w:jc w:val="center"/>
              <w:rPr>
                <w:b/>
              </w:rPr>
            </w:pPr>
            <w:r w:rsidRPr="007E66F4">
              <w:rPr>
                <w:b/>
              </w:rPr>
              <w:t>2015 Regular ADF</w:t>
            </w:r>
            <w:r>
              <w:rPr>
                <w:b/>
              </w:rPr>
              <w:br/>
            </w:r>
            <w:r w:rsidRPr="007E66F4">
              <w:rPr>
                <w:b/>
              </w:rPr>
              <w:t>n=5470</w:t>
            </w:r>
          </w:p>
        </w:tc>
      </w:tr>
      <w:tr w:rsidR="000B2197" w:rsidRPr="00AF016D" w14:paraId="3F687AD9" w14:textId="77777777" w:rsidTr="00361CBA">
        <w:trPr>
          <w:cantSplit/>
        </w:trPr>
        <w:tc>
          <w:tcPr>
            <w:tcW w:w="2600" w:type="dxa"/>
            <w:tcBorders>
              <w:left w:val="single" w:sz="4" w:space="0" w:color="auto"/>
              <w:bottom w:val="single" w:sz="4" w:space="0" w:color="auto"/>
              <w:right w:val="single" w:sz="4" w:space="0" w:color="auto"/>
            </w:tcBorders>
            <w:shd w:val="clear" w:color="auto" w:fill="FFFFFF"/>
            <w:tcMar>
              <w:left w:w="80" w:type="dxa"/>
              <w:right w:w="80" w:type="dxa"/>
            </w:tcMar>
          </w:tcPr>
          <w:p w14:paraId="604C1AC6" w14:textId="77777777" w:rsidR="000B2197" w:rsidRPr="007E66F4" w:rsidRDefault="000B2197" w:rsidP="000B2197">
            <w:pPr>
              <w:pStyle w:val="TableText"/>
              <w:rPr>
                <w:b/>
              </w:rPr>
            </w:pPr>
            <w:r w:rsidRPr="007E66F4">
              <w:rPr>
                <w:b/>
              </w:rPr>
              <w:t>Barriers to talking about mental health issues online</w:t>
            </w:r>
          </w:p>
        </w:tc>
        <w:tc>
          <w:tcPr>
            <w:tcW w:w="540"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62ABFFA2" w14:textId="77777777" w:rsidR="000B2197" w:rsidRPr="007E66F4" w:rsidRDefault="000B2197" w:rsidP="00361CBA">
            <w:pPr>
              <w:pStyle w:val="TableText"/>
              <w:jc w:val="right"/>
              <w:rPr>
                <w:b/>
              </w:rPr>
            </w:pPr>
            <w:r w:rsidRPr="007E66F4">
              <w:rPr>
                <w:b/>
              </w:rPr>
              <w:t>n</w:t>
            </w:r>
          </w:p>
        </w:tc>
        <w:tc>
          <w:tcPr>
            <w:tcW w:w="720"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7B7AE4A8" w14:textId="77777777" w:rsidR="000B2197" w:rsidRPr="007E66F4" w:rsidRDefault="000B2197" w:rsidP="00361CBA">
            <w:pPr>
              <w:pStyle w:val="TableText"/>
              <w:jc w:val="right"/>
              <w:rPr>
                <w:b/>
              </w:rPr>
            </w:pPr>
            <w:r w:rsidRPr="007E66F4">
              <w:rPr>
                <w:b/>
              </w:rPr>
              <w:t>Weighted n</w:t>
            </w:r>
          </w:p>
        </w:tc>
        <w:tc>
          <w:tcPr>
            <w:tcW w:w="106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34A2F612" w14:textId="77777777" w:rsidR="000B2197" w:rsidRPr="007E66F4" w:rsidRDefault="000B2197" w:rsidP="00361CBA">
            <w:pPr>
              <w:pStyle w:val="TableText"/>
              <w:jc w:val="right"/>
              <w:rPr>
                <w:b/>
              </w:rPr>
            </w:pPr>
            <w:r w:rsidRPr="007E66F4">
              <w:rPr>
                <w:b/>
              </w:rPr>
              <w:t>% (95%CI)</w:t>
            </w:r>
          </w:p>
        </w:tc>
        <w:tc>
          <w:tcPr>
            <w:tcW w:w="551"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6AC6DFE3" w14:textId="77777777" w:rsidR="000B2197" w:rsidRPr="007E66F4" w:rsidRDefault="000B2197" w:rsidP="00361CBA">
            <w:pPr>
              <w:pStyle w:val="TableText"/>
              <w:jc w:val="right"/>
              <w:rPr>
                <w:b/>
              </w:rPr>
            </w:pPr>
            <w:r w:rsidRPr="007E66F4">
              <w:rPr>
                <w:b/>
              </w:rPr>
              <w:t>n</w:t>
            </w:r>
          </w:p>
        </w:tc>
        <w:tc>
          <w:tcPr>
            <w:tcW w:w="720"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6A87EF03" w14:textId="77777777" w:rsidR="000B2197" w:rsidRPr="007E66F4" w:rsidRDefault="000B2197" w:rsidP="00361CBA">
            <w:pPr>
              <w:pStyle w:val="TableText"/>
              <w:jc w:val="right"/>
              <w:rPr>
                <w:b/>
              </w:rPr>
            </w:pPr>
            <w:r w:rsidRPr="007E66F4">
              <w:rPr>
                <w:b/>
              </w:rPr>
              <w:t>Weighted n</w:t>
            </w:r>
          </w:p>
        </w:tc>
        <w:tc>
          <w:tcPr>
            <w:tcW w:w="1059" w:type="dxa"/>
            <w:tcBorders>
              <w:top w:val="single" w:sz="4" w:space="0" w:color="auto"/>
              <w:left w:val="single" w:sz="4" w:space="0" w:color="auto"/>
              <w:bottom w:val="single" w:sz="4" w:space="0" w:color="auto"/>
              <w:right w:val="single" w:sz="4" w:space="0" w:color="auto"/>
            </w:tcBorders>
            <w:shd w:val="clear" w:color="auto" w:fill="FFFFFF"/>
            <w:tcMar>
              <w:left w:w="80" w:type="dxa"/>
              <w:right w:w="80" w:type="dxa"/>
            </w:tcMar>
            <w:vAlign w:val="bottom"/>
          </w:tcPr>
          <w:p w14:paraId="7BE9477D" w14:textId="77777777" w:rsidR="000B2197" w:rsidRPr="007E66F4" w:rsidRDefault="000B2197" w:rsidP="00361CBA">
            <w:pPr>
              <w:pStyle w:val="TableText"/>
              <w:jc w:val="right"/>
              <w:rPr>
                <w:b/>
              </w:rPr>
            </w:pPr>
            <w:r w:rsidRPr="007E66F4">
              <w:rPr>
                <w:b/>
              </w:rPr>
              <w:t>% (95%CI)</w:t>
            </w:r>
          </w:p>
        </w:tc>
      </w:tr>
      <w:tr w:rsidR="000B2197" w:rsidRPr="00AF016D" w14:paraId="751750D2" w14:textId="77777777" w:rsidTr="00361CBA">
        <w:trPr>
          <w:cantSplit/>
        </w:trPr>
        <w:tc>
          <w:tcPr>
            <w:tcW w:w="2600" w:type="dxa"/>
            <w:tcBorders>
              <w:top w:val="single" w:sz="4" w:space="0" w:color="auto"/>
              <w:left w:val="single" w:sz="4" w:space="0" w:color="auto"/>
              <w:right w:val="single" w:sz="4" w:space="0" w:color="auto"/>
            </w:tcBorders>
            <w:shd w:val="clear" w:color="auto" w:fill="D4E4FF" w:themeFill="text2" w:themeFillTint="1A"/>
            <w:tcMar>
              <w:left w:w="80" w:type="dxa"/>
              <w:right w:w="80" w:type="dxa"/>
            </w:tcMar>
            <w:vAlign w:val="center"/>
          </w:tcPr>
          <w:p w14:paraId="263DBB2A" w14:textId="77777777" w:rsidR="000B2197" w:rsidRPr="00494E02" w:rsidRDefault="000B2197" w:rsidP="000B2197">
            <w:pPr>
              <w:pStyle w:val="TableText"/>
            </w:pPr>
            <w:r w:rsidRPr="00494E02">
              <w:t>Lack of access to technology</w:t>
            </w:r>
          </w:p>
        </w:tc>
        <w:tc>
          <w:tcPr>
            <w:tcW w:w="540" w:type="dxa"/>
            <w:tcBorders>
              <w:left w:val="single" w:sz="4" w:space="0" w:color="auto"/>
              <w:right w:val="single" w:sz="4" w:space="0" w:color="auto"/>
            </w:tcBorders>
            <w:shd w:val="clear" w:color="auto" w:fill="D4E4FF" w:themeFill="text2" w:themeFillTint="1A"/>
            <w:tcMar>
              <w:left w:w="80" w:type="dxa"/>
              <w:right w:w="80" w:type="dxa"/>
            </w:tcMar>
          </w:tcPr>
          <w:p w14:paraId="2941F60D" w14:textId="77777777" w:rsidR="000B2197" w:rsidRPr="00790304" w:rsidRDefault="000B2197" w:rsidP="000B2197">
            <w:pPr>
              <w:pStyle w:val="TableText"/>
              <w:jc w:val="right"/>
              <w:rPr>
                <w:rFonts w:cs="Calibri"/>
                <w:color w:val="000000" w:themeColor="text1"/>
              </w:rPr>
            </w:pPr>
            <w:r w:rsidRPr="00790304">
              <w:rPr>
                <w:rFonts w:cs="Calibri"/>
              </w:rPr>
              <w:t>6</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6289289D" w14:textId="77777777" w:rsidR="000B2197" w:rsidRPr="00790304" w:rsidRDefault="000B2197" w:rsidP="000B2197">
            <w:pPr>
              <w:pStyle w:val="TableText"/>
              <w:jc w:val="right"/>
              <w:rPr>
                <w:rFonts w:cs="Calibri"/>
                <w:color w:val="000000" w:themeColor="text1"/>
              </w:rPr>
            </w:pPr>
            <w:r w:rsidRPr="00790304">
              <w:rPr>
                <w:rFonts w:cs="Calibri"/>
              </w:rPr>
              <w:t>54</w:t>
            </w:r>
          </w:p>
        </w:tc>
        <w:tc>
          <w:tcPr>
            <w:tcW w:w="1069" w:type="dxa"/>
            <w:tcBorders>
              <w:left w:val="single" w:sz="4" w:space="0" w:color="auto"/>
              <w:right w:val="single" w:sz="4" w:space="0" w:color="auto"/>
            </w:tcBorders>
            <w:shd w:val="clear" w:color="auto" w:fill="D4E4FF" w:themeFill="text2" w:themeFillTint="1A"/>
            <w:tcMar>
              <w:left w:w="80" w:type="dxa"/>
              <w:right w:w="80" w:type="dxa"/>
            </w:tcMar>
          </w:tcPr>
          <w:p w14:paraId="42E7EB59" w14:textId="77777777" w:rsidR="000B2197" w:rsidRPr="00790304" w:rsidRDefault="000B2197" w:rsidP="000B2197">
            <w:pPr>
              <w:pStyle w:val="TableText"/>
              <w:jc w:val="right"/>
              <w:rPr>
                <w:rFonts w:cs="Calibri"/>
                <w:color w:val="000000" w:themeColor="text1"/>
              </w:rPr>
            </w:pPr>
            <w:r w:rsidRPr="00790304">
              <w:rPr>
                <w:rFonts w:cs="Calibri"/>
              </w:rPr>
              <w:t>1.6 (0.6</w:t>
            </w:r>
            <w:r>
              <w:rPr>
                <w:rFonts w:cs="Calibri"/>
              </w:rPr>
              <w:t xml:space="preserve">, </w:t>
            </w:r>
            <w:r w:rsidRPr="00790304">
              <w:rPr>
                <w:rFonts w:cs="Calibri"/>
              </w:rPr>
              <w:t>4.2)</w:t>
            </w:r>
          </w:p>
        </w:tc>
        <w:tc>
          <w:tcPr>
            <w:tcW w:w="551" w:type="dxa"/>
            <w:tcBorders>
              <w:left w:val="single" w:sz="4" w:space="0" w:color="auto"/>
              <w:right w:val="single" w:sz="4" w:space="0" w:color="auto"/>
            </w:tcBorders>
            <w:shd w:val="clear" w:color="auto" w:fill="D4E4FF" w:themeFill="text2" w:themeFillTint="1A"/>
            <w:tcMar>
              <w:left w:w="80" w:type="dxa"/>
              <w:right w:w="80" w:type="dxa"/>
            </w:tcMar>
          </w:tcPr>
          <w:p w14:paraId="563C86C7" w14:textId="77777777" w:rsidR="000B2197" w:rsidRPr="00790304" w:rsidRDefault="000B2197" w:rsidP="000B2197">
            <w:pPr>
              <w:pStyle w:val="TableText"/>
              <w:jc w:val="right"/>
              <w:rPr>
                <w:rFonts w:cs="Calibri"/>
                <w:color w:val="000000" w:themeColor="text1"/>
              </w:rPr>
            </w:pPr>
            <w:r w:rsidRPr="00790304">
              <w:rPr>
                <w:rFonts w:cs="Calibri"/>
              </w:rPr>
              <w:t>7</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6B0B6B23" w14:textId="77777777" w:rsidR="000B2197" w:rsidRPr="00790304" w:rsidRDefault="000B2197" w:rsidP="000B2197">
            <w:pPr>
              <w:pStyle w:val="TableText"/>
              <w:jc w:val="right"/>
              <w:rPr>
                <w:rFonts w:cs="Calibri"/>
                <w:color w:val="000000" w:themeColor="text1"/>
              </w:rPr>
            </w:pPr>
            <w:r w:rsidRPr="00790304">
              <w:rPr>
                <w:rFonts w:cs="Calibri"/>
              </w:rPr>
              <w:t>25</w:t>
            </w:r>
          </w:p>
        </w:tc>
        <w:tc>
          <w:tcPr>
            <w:tcW w:w="1059" w:type="dxa"/>
            <w:tcBorders>
              <w:left w:val="single" w:sz="4" w:space="0" w:color="auto"/>
              <w:right w:val="single" w:sz="4" w:space="0" w:color="auto"/>
            </w:tcBorders>
            <w:shd w:val="clear" w:color="auto" w:fill="D4E4FF" w:themeFill="text2" w:themeFillTint="1A"/>
            <w:tcMar>
              <w:left w:w="80" w:type="dxa"/>
              <w:right w:w="80" w:type="dxa"/>
            </w:tcMar>
          </w:tcPr>
          <w:p w14:paraId="301A1EAB" w14:textId="77777777" w:rsidR="000B2197" w:rsidRPr="00790304" w:rsidRDefault="000B2197" w:rsidP="000B2197">
            <w:pPr>
              <w:pStyle w:val="TableText"/>
              <w:jc w:val="right"/>
              <w:rPr>
                <w:rFonts w:cs="Calibri"/>
                <w:color w:val="000000" w:themeColor="text1"/>
              </w:rPr>
            </w:pPr>
            <w:r w:rsidRPr="00790304">
              <w:rPr>
                <w:rFonts w:cs="Calibri"/>
              </w:rPr>
              <w:t>0.5 (0.2</w:t>
            </w:r>
            <w:r>
              <w:rPr>
                <w:rFonts w:cs="Calibri"/>
              </w:rPr>
              <w:t xml:space="preserve">, </w:t>
            </w:r>
            <w:r w:rsidRPr="00790304">
              <w:rPr>
                <w:rFonts w:cs="Calibri"/>
              </w:rPr>
              <w:t>1.0)</w:t>
            </w:r>
          </w:p>
        </w:tc>
      </w:tr>
      <w:tr w:rsidR="000B2197" w:rsidRPr="00AF016D" w14:paraId="37F13AD8" w14:textId="77777777" w:rsidTr="00361CBA">
        <w:trPr>
          <w:cantSplit/>
        </w:trPr>
        <w:tc>
          <w:tcPr>
            <w:tcW w:w="2600" w:type="dxa"/>
            <w:tcBorders>
              <w:left w:val="single" w:sz="4" w:space="0" w:color="auto"/>
              <w:right w:val="single" w:sz="4" w:space="0" w:color="auto"/>
            </w:tcBorders>
            <w:shd w:val="clear" w:color="auto" w:fill="auto"/>
            <w:tcMar>
              <w:left w:w="80" w:type="dxa"/>
              <w:right w:w="80" w:type="dxa"/>
            </w:tcMar>
            <w:vAlign w:val="center"/>
          </w:tcPr>
          <w:p w14:paraId="1A848C2A" w14:textId="77777777" w:rsidR="000B2197" w:rsidRPr="00494E02" w:rsidRDefault="000B2197" w:rsidP="000B2197">
            <w:pPr>
              <w:pStyle w:val="TableText"/>
            </w:pPr>
            <w:r w:rsidRPr="00494E02">
              <w:t>Lack of awareness about available online services</w:t>
            </w:r>
          </w:p>
        </w:tc>
        <w:tc>
          <w:tcPr>
            <w:tcW w:w="540" w:type="dxa"/>
            <w:tcBorders>
              <w:left w:val="single" w:sz="4" w:space="0" w:color="auto"/>
              <w:right w:val="single" w:sz="4" w:space="0" w:color="auto"/>
            </w:tcBorders>
            <w:shd w:val="clear" w:color="auto" w:fill="auto"/>
            <w:tcMar>
              <w:left w:w="80" w:type="dxa"/>
              <w:right w:w="80" w:type="dxa"/>
            </w:tcMar>
          </w:tcPr>
          <w:p w14:paraId="6A01F51B" w14:textId="77777777" w:rsidR="000B2197" w:rsidRPr="00790304" w:rsidRDefault="000B2197" w:rsidP="000B2197">
            <w:pPr>
              <w:pStyle w:val="TableText"/>
              <w:jc w:val="right"/>
              <w:rPr>
                <w:rFonts w:cs="Calibri"/>
                <w:color w:val="000000" w:themeColor="text1"/>
              </w:rPr>
            </w:pPr>
            <w:r w:rsidRPr="00790304">
              <w:rPr>
                <w:rFonts w:cs="Calibri"/>
              </w:rPr>
              <w:t>65</w:t>
            </w:r>
          </w:p>
        </w:tc>
        <w:tc>
          <w:tcPr>
            <w:tcW w:w="720" w:type="dxa"/>
            <w:tcBorders>
              <w:left w:val="single" w:sz="4" w:space="0" w:color="auto"/>
              <w:right w:val="single" w:sz="4" w:space="0" w:color="auto"/>
            </w:tcBorders>
            <w:shd w:val="clear" w:color="auto" w:fill="auto"/>
            <w:tcMar>
              <w:left w:w="80" w:type="dxa"/>
              <w:right w:w="80" w:type="dxa"/>
            </w:tcMar>
          </w:tcPr>
          <w:p w14:paraId="68250272" w14:textId="77777777" w:rsidR="000B2197" w:rsidRPr="00790304" w:rsidRDefault="000B2197" w:rsidP="000B2197">
            <w:pPr>
              <w:pStyle w:val="TableText"/>
              <w:jc w:val="right"/>
              <w:rPr>
                <w:rFonts w:cs="Calibri"/>
                <w:color w:val="000000" w:themeColor="text1"/>
              </w:rPr>
            </w:pPr>
            <w:r w:rsidRPr="00790304">
              <w:rPr>
                <w:rFonts w:cs="Calibri"/>
              </w:rPr>
              <w:t>438</w:t>
            </w:r>
          </w:p>
        </w:tc>
        <w:tc>
          <w:tcPr>
            <w:tcW w:w="1069" w:type="dxa"/>
            <w:tcBorders>
              <w:left w:val="single" w:sz="4" w:space="0" w:color="auto"/>
              <w:right w:val="single" w:sz="4" w:space="0" w:color="auto"/>
            </w:tcBorders>
            <w:shd w:val="clear" w:color="auto" w:fill="auto"/>
            <w:tcMar>
              <w:left w:w="80" w:type="dxa"/>
              <w:right w:w="80" w:type="dxa"/>
            </w:tcMar>
          </w:tcPr>
          <w:p w14:paraId="6EDBAFFE" w14:textId="77777777" w:rsidR="000B2197" w:rsidRPr="00790304" w:rsidRDefault="000B2197" w:rsidP="000B2197">
            <w:pPr>
              <w:pStyle w:val="TableText"/>
              <w:jc w:val="right"/>
              <w:rPr>
                <w:rFonts w:cs="Calibri"/>
                <w:color w:val="000000" w:themeColor="text1"/>
              </w:rPr>
            </w:pPr>
            <w:r w:rsidRPr="00790304">
              <w:rPr>
                <w:rFonts w:cs="Calibri"/>
              </w:rPr>
              <w:t>12.7 (9.4</w:t>
            </w:r>
            <w:r>
              <w:rPr>
                <w:rFonts w:cs="Calibri"/>
              </w:rPr>
              <w:t xml:space="preserve">, </w:t>
            </w:r>
            <w:r w:rsidRPr="00790304">
              <w:rPr>
                <w:rFonts w:cs="Calibri"/>
              </w:rPr>
              <w:t>17.0)</w:t>
            </w:r>
          </w:p>
        </w:tc>
        <w:tc>
          <w:tcPr>
            <w:tcW w:w="551" w:type="dxa"/>
            <w:tcBorders>
              <w:left w:val="single" w:sz="4" w:space="0" w:color="auto"/>
              <w:right w:val="single" w:sz="4" w:space="0" w:color="auto"/>
            </w:tcBorders>
            <w:shd w:val="clear" w:color="auto" w:fill="auto"/>
            <w:tcMar>
              <w:left w:w="80" w:type="dxa"/>
              <w:right w:w="80" w:type="dxa"/>
            </w:tcMar>
          </w:tcPr>
          <w:p w14:paraId="7CFBA8A4" w14:textId="77777777" w:rsidR="000B2197" w:rsidRPr="00790304" w:rsidRDefault="000B2197" w:rsidP="000B2197">
            <w:pPr>
              <w:pStyle w:val="TableText"/>
              <w:jc w:val="right"/>
              <w:rPr>
                <w:rFonts w:cs="Calibri"/>
                <w:color w:val="000000" w:themeColor="text1"/>
              </w:rPr>
            </w:pPr>
            <w:r w:rsidRPr="00790304">
              <w:rPr>
                <w:rFonts w:cs="Calibri"/>
              </w:rPr>
              <w:t>102</w:t>
            </w:r>
          </w:p>
        </w:tc>
        <w:tc>
          <w:tcPr>
            <w:tcW w:w="720" w:type="dxa"/>
            <w:tcBorders>
              <w:left w:val="single" w:sz="4" w:space="0" w:color="auto"/>
              <w:right w:val="single" w:sz="4" w:space="0" w:color="auto"/>
            </w:tcBorders>
            <w:shd w:val="clear" w:color="auto" w:fill="auto"/>
            <w:tcMar>
              <w:left w:w="80" w:type="dxa"/>
              <w:right w:w="80" w:type="dxa"/>
            </w:tcMar>
          </w:tcPr>
          <w:p w14:paraId="5D81A811" w14:textId="77777777" w:rsidR="000B2197" w:rsidRPr="00790304" w:rsidRDefault="000B2197" w:rsidP="000B2197">
            <w:pPr>
              <w:pStyle w:val="TableText"/>
              <w:jc w:val="right"/>
              <w:rPr>
                <w:rFonts w:cs="Calibri"/>
                <w:color w:val="000000" w:themeColor="text1"/>
              </w:rPr>
            </w:pPr>
            <w:r w:rsidRPr="00790304">
              <w:rPr>
                <w:rFonts w:cs="Calibri"/>
              </w:rPr>
              <w:t>710</w:t>
            </w:r>
          </w:p>
        </w:tc>
        <w:tc>
          <w:tcPr>
            <w:tcW w:w="1059" w:type="dxa"/>
            <w:tcBorders>
              <w:left w:val="single" w:sz="4" w:space="0" w:color="auto"/>
              <w:right w:val="single" w:sz="4" w:space="0" w:color="auto"/>
            </w:tcBorders>
            <w:shd w:val="clear" w:color="auto" w:fill="auto"/>
            <w:tcMar>
              <w:left w:w="80" w:type="dxa"/>
              <w:right w:w="80" w:type="dxa"/>
            </w:tcMar>
          </w:tcPr>
          <w:p w14:paraId="52198431" w14:textId="77777777" w:rsidR="000B2197" w:rsidRPr="00790304" w:rsidRDefault="000B2197" w:rsidP="000B2197">
            <w:pPr>
              <w:pStyle w:val="TableText"/>
              <w:jc w:val="right"/>
              <w:rPr>
                <w:rFonts w:cs="Calibri"/>
                <w:color w:val="000000" w:themeColor="text1"/>
              </w:rPr>
            </w:pPr>
            <w:r w:rsidRPr="00790304">
              <w:rPr>
                <w:rFonts w:cs="Calibri"/>
              </w:rPr>
              <w:t>13.0 (5.5</w:t>
            </w:r>
            <w:r>
              <w:rPr>
                <w:rFonts w:cs="Calibri"/>
              </w:rPr>
              <w:t xml:space="preserve">, </w:t>
            </w:r>
            <w:r w:rsidRPr="00790304">
              <w:rPr>
                <w:rFonts w:cs="Calibri"/>
              </w:rPr>
              <w:t>27.7)</w:t>
            </w:r>
          </w:p>
        </w:tc>
      </w:tr>
      <w:tr w:rsidR="000B2197" w:rsidRPr="00AF016D" w14:paraId="7BCCC7B8" w14:textId="77777777" w:rsidTr="00361CBA">
        <w:trPr>
          <w:cantSplit/>
        </w:trPr>
        <w:tc>
          <w:tcPr>
            <w:tcW w:w="2600" w:type="dxa"/>
            <w:tcBorders>
              <w:left w:val="single" w:sz="4" w:space="0" w:color="auto"/>
              <w:right w:val="single" w:sz="4" w:space="0" w:color="auto"/>
            </w:tcBorders>
            <w:shd w:val="clear" w:color="auto" w:fill="D4E4FF" w:themeFill="text2" w:themeFillTint="1A"/>
            <w:tcMar>
              <w:left w:w="80" w:type="dxa"/>
              <w:right w:w="80" w:type="dxa"/>
            </w:tcMar>
            <w:vAlign w:val="center"/>
          </w:tcPr>
          <w:p w14:paraId="3C6B51A7" w14:textId="77777777" w:rsidR="000B2197" w:rsidRPr="00494E02" w:rsidRDefault="000B2197" w:rsidP="000B2197">
            <w:pPr>
              <w:pStyle w:val="TableText"/>
            </w:pPr>
            <w:r w:rsidRPr="00494E02">
              <w:t>Unaffordable technology</w:t>
            </w:r>
          </w:p>
        </w:tc>
        <w:tc>
          <w:tcPr>
            <w:tcW w:w="540" w:type="dxa"/>
            <w:tcBorders>
              <w:left w:val="single" w:sz="4" w:space="0" w:color="auto"/>
              <w:right w:val="single" w:sz="4" w:space="0" w:color="auto"/>
            </w:tcBorders>
            <w:shd w:val="clear" w:color="auto" w:fill="D4E4FF" w:themeFill="text2" w:themeFillTint="1A"/>
            <w:tcMar>
              <w:left w:w="80" w:type="dxa"/>
              <w:right w:w="80" w:type="dxa"/>
            </w:tcMar>
          </w:tcPr>
          <w:p w14:paraId="7C283DB2" w14:textId="77777777" w:rsidR="000B2197" w:rsidRPr="00790304" w:rsidRDefault="000B2197" w:rsidP="000B2197">
            <w:pPr>
              <w:pStyle w:val="TableText"/>
              <w:jc w:val="right"/>
              <w:rPr>
                <w:rFonts w:cs="Calibri"/>
                <w:color w:val="000000" w:themeColor="text1"/>
              </w:rPr>
            </w:pPr>
            <w:r w:rsidRPr="00790304">
              <w:rPr>
                <w:rFonts w:cs="Calibri"/>
              </w:rPr>
              <w:t>6</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2ED3C130" w14:textId="77777777" w:rsidR="000B2197" w:rsidRPr="00790304" w:rsidRDefault="000B2197" w:rsidP="000B2197">
            <w:pPr>
              <w:pStyle w:val="TableText"/>
              <w:jc w:val="right"/>
              <w:rPr>
                <w:rFonts w:cs="Calibri"/>
                <w:color w:val="000000" w:themeColor="text1"/>
              </w:rPr>
            </w:pPr>
            <w:r w:rsidRPr="00790304">
              <w:rPr>
                <w:rFonts w:cs="Calibri"/>
              </w:rPr>
              <w:t>65</w:t>
            </w:r>
          </w:p>
        </w:tc>
        <w:tc>
          <w:tcPr>
            <w:tcW w:w="1069" w:type="dxa"/>
            <w:tcBorders>
              <w:left w:val="single" w:sz="4" w:space="0" w:color="auto"/>
              <w:right w:val="single" w:sz="4" w:space="0" w:color="auto"/>
            </w:tcBorders>
            <w:shd w:val="clear" w:color="auto" w:fill="D4E4FF" w:themeFill="text2" w:themeFillTint="1A"/>
            <w:tcMar>
              <w:left w:w="80" w:type="dxa"/>
              <w:right w:w="80" w:type="dxa"/>
            </w:tcMar>
          </w:tcPr>
          <w:p w14:paraId="0CA71B18" w14:textId="77777777" w:rsidR="000B2197" w:rsidRPr="00790304" w:rsidRDefault="000B2197" w:rsidP="000B2197">
            <w:pPr>
              <w:pStyle w:val="TableText"/>
              <w:jc w:val="right"/>
              <w:rPr>
                <w:rFonts w:cs="Calibri"/>
                <w:color w:val="000000" w:themeColor="text1"/>
              </w:rPr>
            </w:pPr>
            <w:r w:rsidRPr="00790304">
              <w:rPr>
                <w:rFonts w:cs="Calibri"/>
              </w:rPr>
              <w:t>1.9 (0.7</w:t>
            </w:r>
            <w:r>
              <w:rPr>
                <w:rFonts w:cs="Calibri"/>
              </w:rPr>
              <w:t xml:space="preserve">, </w:t>
            </w:r>
            <w:r w:rsidRPr="00790304">
              <w:rPr>
                <w:rFonts w:cs="Calibri"/>
              </w:rPr>
              <w:t>5.2)</w:t>
            </w:r>
          </w:p>
        </w:tc>
        <w:tc>
          <w:tcPr>
            <w:tcW w:w="551" w:type="dxa"/>
            <w:tcBorders>
              <w:left w:val="single" w:sz="4" w:space="0" w:color="000000"/>
              <w:right w:val="single" w:sz="4" w:space="0" w:color="auto"/>
            </w:tcBorders>
            <w:shd w:val="clear" w:color="auto" w:fill="D4E4FF" w:themeFill="text2" w:themeFillTint="1A"/>
            <w:tcMar>
              <w:left w:w="80" w:type="dxa"/>
              <w:right w:w="80" w:type="dxa"/>
            </w:tcMar>
          </w:tcPr>
          <w:p w14:paraId="01C7143B" w14:textId="77777777" w:rsidR="000B2197" w:rsidRPr="00790304" w:rsidRDefault="000B2197" w:rsidP="000B2197">
            <w:pPr>
              <w:pStyle w:val="TableText"/>
              <w:jc w:val="right"/>
              <w:rPr>
                <w:rFonts w:cs="Calibri"/>
                <w:color w:val="000000" w:themeColor="text1"/>
              </w:rPr>
            </w:pPr>
            <w:r w:rsidRPr="00790304">
              <w:rPr>
                <w:rFonts w:cs="Calibri"/>
              </w:rPr>
              <w:t>8</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4D5FCADD" w14:textId="77777777" w:rsidR="000B2197" w:rsidRPr="00790304" w:rsidRDefault="000B2197" w:rsidP="000B2197">
            <w:pPr>
              <w:pStyle w:val="TableText"/>
              <w:jc w:val="right"/>
              <w:rPr>
                <w:rFonts w:cs="Calibri"/>
                <w:color w:val="000000" w:themeColor="text1"/>
              </w:rPr>
            </w:pPr>
            <w:r w:rsidRPr="00790304">
              <w:rPr>
                <w:rFonts w:cs="Calibri"/>
              </w:rPr>
              <w:t>22</w:t>
            </w:r>
          </w:p>
        </w:tc>
        <w:tc>
          <w:tcPr>
            <w:tcW w:w="1059" w:type="dxa"/>
            <w:tcBorders>
              <w:left w:val="single" w:sz="4" w:space="0" w:color="auto"/>
              <w:right w:val="single" w:sz="4" w:space="0" w:color="auto"/>
            </w:tcBorders>
            <w:shd w:val="clear" w:color="auto" w:fill="D4E4FF" w:themeFill="text2" w:themeFillTint="1A"/>
            <w:tcMar>
              <w:left w:w="80" w:type="dxa"/>
              <w:right w:w="80" w:type="dxa"/>
            </w:tcMar>
          </w:tcPr>
          <w:p w14:paraId="6EF6594D" w14:textId="77777777" w:rsidR="000B2197" w:rsidRPr="00790304" w:rsidRDefault="000B2197" w:rsidP="000B2197">
            <w:pPr>
              <w:pStyle w:val="TableText"/>
              <w:jc w:val="right"/>
              <w:rPr>
                <w:rFonts w:cs="Calibri"/>
                <w:color w:val="000000" w:themeColor="text1"/>
              </w:rPr>
            </w:pPr>
            <w:r w:rsidRPr="00790304">
              <w:rPr>
                <w:rFonts w:cs="Calibri"/>
              </w:rPr>
              <w:t>0.4 (0.2</w:t>
            </w:r>
            <w:r>
              <w:rPr>
                <w:rFonts w:cs="Calibri"/>
              </w:rPr>
              <w:t xml:space="preserve">, </w:t>
            </w:r>
            <w:r w:rsidRPr="00790304">
              <w:rPr>
                <w:rFonts w:cs="Calibri"/>
              </w:rPr>
              <w:t>0.7)</w:t>
            </w:r>
          </w:p>
        </w:tc>
      </w:tr>
      <w:tr w:rsidR="000B2197" w:rsidRPr="00AF016D" w14:paraId="3FDB7DEA" w14:textId="77777777" w:rsidTr="00361CBA">
        <w:trPr>
          <w:cantSplit/>
        </w:trPr>
        <w:tc>
          <w:tcPr>
            <w:tcW w:w="2600" w:type="dxa"/>
            <w:tcBorders>
              <w:left w:val="single" w:sz="4" w:space="0" w:color="auto"/>
              <w:right w:val="single" w:sz="4" w:space="0" w:color="auto"/>
            </w:tcBorders>
            <w:shd w:val="clear" w:color="auto" w:fill="auto"/>
            <w:tcMar>
              <w:left w:w="80" w:type="dxa"/>
              <w:right w:w="80" w:type="dxa"/>
            </w:tcMar>
            <w:vAlign w:val="center"/>
          </w:tcPr>
          <w:p w14:paraId="7A16DBA5" w14:textId="77777777" w:rsidR="000B2197" w:rsidRPr="00494E02" w:rsidRDefault="000B2197" w:rsidP="000B2197">
            <w:pPr>
              <w:pStyle w:val="TableText"/>
            </w:pPr>
            <w:r w:rsidRPr="00494E02">
              <w:t>Concerns about validity of information available online</w:t>
            </w:r>
          </w:p>
        </w:tc>
        <w:tc>
          <w:tcPr>
            <w:tcW w:w="540" w:type="dxa"/>
            <w:tcBorders>
              <w:left w:val="single" w:sz="4" w:space="0" w:color="auto"/>
              <w:right w:val="single" w:sz="4" w:space="0" w:color="auto"/>
            </w:tcBorders>
            <w:shd w:val="clear" w:color="auto" w:fill="auto"/>
            <w:tcMar>
              <w:left w:w="80" w:type="dxa"/>
              <w:right w:w="80" w:type="dxa"/>
            </w:tcMar>
          </w:tcPr>
          <w:p w14:paraId="59F5483E" w14:textId="77777777" w:rsidR="000B2197" w:rsidRPr="00790304" w:rsidRDefault="000B2197" w:rsidP="000B2197">
            <w:pPr>
              <w:pStyle w:val="TableText"/>
              <w:jc w:val="right"/>
              <w:rPr>
                <w:rFonts w:cs="Calibri"/>
                <w:color w:val="000000" w:themeColor="text1"/>
              </w:rPr>
            </w:pPr>
            <w:r w:rsidRPr="00790304">
              <w:rPr>
                <w:rFonts w:cs="Calibri"/>
              </w:rPr>
              <w:t>180</w:t>
            </w:r>
          </w:p>
        </w:tc>
        <w:tc>
          <w:tcPr>
            <w:tcW w:w="720" w:type="dxa"/>
            <w:tcBorders>
              <w:left w:val="single" w:sz="4" w:space="0" w:color="auto"/>
              <w:right w:val="single" w:sz="4" w:space="0" w:color="auto"/>
            </w:tcBorders>
            <w:shd w:val="clear" w:color="auto" w:fill="auto"/>
            <w:tcMar>
              <w:left w:w="80" w:type="dxa"/>
              <w:right w:w="80" w:type="dxa"/>
            </w:tcMar>
          </w:tcPr>
          <w:p w14:paraId="31E163BE" w14:textId="77777777" w:rsidR="000B2197" w:rsidRPr="00790304" w:rsidRDefault="000B2197" w:rsidP="000B2197">
            <w:pPr>
              <w:pStyle w:val="TableText"/>
              <w:jc w:val="right"/>
              <w:rPr>
                <w:rFonts w:cs="Calibri"/>
                <w:color w:val="000000" w:themeColor="text1"/>
              </w:rPr>
            </w:pPr>
            <w:r w:rsidRPr="00790304">
              <w:rPr>
                <w:rFonts w:cs="Calibri"/>
              </w:rPr>
              <w:t>1260</w:t>
            </w:r>
          </w:p>
        </w:tc>
        <w:tc>
          <w:tcPr>
            <w:tcW w:w="1069" w:type="dxa"/>
            <w:tcBorders>
              <w:left w:val="single" w:sz="4" w:space="0" w:color="auto"/>
              <w:right w:val="single" w:sz="4" w:space="0" w:color="auto"/>
            </w:tcBorders>
            <w:shd w:val="clear" w:color="auto" w:fill="auto"/>
            <w:tcMar>
              <w:left w:w="80" w:type="dxa"/>
              <w:right w:w="80" w:type="dxa"/>
            </w:tcMar>
          </w:tcPr>
          <w:p w14:paraId="2EBC351C" w14:textId="77777777" w:rsidR="000B2197" w:rsidRPr="00790304" w:rsidRDefault="000B2197" w:rsidP="000B2197">
            <w:pPr>
              <w:pStyle w:val="TableText"/>
              <w:jc w:val="right"/>
              <w:rPr>
                <w:rFonts w:cs="Calibri"/>
                <w:color w:val="000000" w:themeColor="text1"/>
              </w:rPr>
            </w:pPr>
            <w:r w:rsidRPr="00790304">
              <w:rPr>
                <w:rFonts w:cs="Calibri"/>
              </w:rPr>
              <w:t>36.5 (31.3</w:t>
            </w:r>
            <w:r>
              <w:rPr>
                <w:rFonts w:cs="Calibri"/>
              </w:rPr>
              <w:t xml:space="preserve">, </w:t>
            </w:r>
            <w:r w:rsidRPr="00790304">
              <w:rPr>
                <w:rFonts w:cs="Calibri"/>
              </w:rPr>
              <w:t>42.0)</w:t>
            </w:r>
          </w:p>
        </w:tc>
        <w:tc>
          <w:tcPr>
            <w:tcW w:w="551" w:type="dxa"/>
            <w:tcBorders>
              <w:left w:val="single" w:sz="4" w:space="0" w:color="auto"/>
              <w:right w:val="single" w:sz="4" w:space="0" w:color="auto"/>
            </w:tcBorders>
            <w:shd w:val="clear" w:color="auto" w:fill="auto"/>
            <w:tcMar>
              <w:left w:w="80" w:type="dxa"/>
              <w:right w:w="80" w:type="dxa"/>
            </w:tcMar>
          </w:tcPr>
          <w:p w14:paraId="054E38C9" w14:textId="77777777" w:rsidR="000B2197" w:rsidRPr="00790304" w:rsidRDefault="000B2197" w:rsidP="000B2197">
            <w:pPr>
              <w:pStyle w:val="TableText"/>
              <w:jc w:val="right"/>
              <w:rPr>
                <w:rFonts w:cs="Calibri"/>
                <w:color w:val="000000" w:themeColor="text1"/>
              </w:rPr>
            </w:pPr>
            <w:r w:rsidRPr="00790304">
              <w:rPr>
                <w:rFonts w:cs="Calibri"/>
              </w:rPr>
              <w:t>309</w:t>
            </w:r>
          </w:p>
        </w:tc>
        <w:tc>
          <w:tcPr>
            <w:tcW w:w="720" w:type="dxa"/>
            <w:tcBorders>
              <w:left w:val="single" w:sz="4" w:space="0" w:color="auto"/>
              <w:right w:val="single" w:sz="4" w:space="0" w:color="auto"/>
            </w:tcBorders>
            <w:shd w:val="clear" w:color="auto" w:fill="auto"/>
            <w:tcMar>
              <w:left w:w="80" w:type="dxa"/>
              <w:right w:w="80" w:type="dxa"/>
            </w:tcMar>
          </w:tcPr>
          <w:p w14:paraId="24E520AF" w14:textId="77777777" w:rsidR="000B2197" w:rsidRPr="00790304" w:rsidRDefault="000B2197" w:rsidP="000B2197">
            <w:pPr>
              <w:pStyle w:val="TableText"/>
              <w:jc w:val="right"/>
              <w:rPr>
                <w:rFonts w:cs="Calibri"/>
                <w:color w:val="000000" w:themeColor="text1"/>
              </w:rPr>
            </w:pPr>
            <w:r w:rsidRPr="00790304">
              <w:rPr>
                <w:rFonts w:cs="Calibri"/>
              </w:rPr>
              <w:t>1960</w:t>
            </w:r>
          </w:p>
        </w:tc>
        <w:tc>
          <w:tcPr>
            <w:tcW w:w="1059" w:type="dxa"/>
            <w:tcBorders>
              <w:left w:val="single" w:sz="4" w:space="0" w:color="auto"/>
              <w:right w:val="single" w:sz="4" w:space="0" w:color="auto"/>
            </w:tcBorders>
            <w:shd w:val="clear" w:color="auto" w:fill="auto"/>
            <w:tcMar>
              <w:left w:w="80" w:type="dxa"/>
              <w:right w:w="80" w:type="dxa"/>
            </w:tcMar>
          </w:tcPr>
          <w:p w14:paraId="05238CC1" w14:textId="77777777" w:rsidR="000B2197" w:rsidRPr="00790304" w:rsidRDefault="000B2197" w:rsidP="000B2197">
            <w:pPr>
              <w:pStyle w:val="TableText"/>
              <w:jc w:val="right"/>
              <w:rPr>
                <w:rFonts w:cs="Calibri"/>
                <w:color w:val="000000" w:themeColor="text1"/>
              </w:rPr>
            </w:pPr>
            <w:r w:rsidRPr="00790304">
              <w:rPr>
                <w:rFonts w:cs="Calibri"/>
              </w:rPr>
              <w:t>35.8 (24.7</w:t>
            </w:r>
            <w:r>
              <w:rPr>
                <w:rFonts w:cs="Calibri"/>
              </w:rPr>
              <w:t xml:space="preserve">, </w:t>
            </w:r>
            <w:r w:rsidRPr="00790304">
              <w:rPr>
                <w:rFonts w:cs="Calibri"/>
              </w:rPr>
              <w:t>48.8)</w:t>
            </w:r>
          </w:p>
        </w:tc>
      </w:tr>
      <w:tr w:rsidR="000B2197" w:rsidRPr="00AF016D" w14:paraId="7B19BA1E" w14:textId="77777777" w:rsidTr="00361CBA">
        <w:trPr>
          <w:cantSplit/>
        </w:trPr>
        <w:tc>
          <w:tcPr>
            <w:tcW w:w="2600" w:type="dxa"/>
            <w:tcBorders>
              <w:left w:val="single" w:sz="4" w:space="0" w:color="auto"/>
              <w:right w:val="single" w:sz="4" w:space="0" w:color="auto"/>
            </w:tcBorders>
            <w:shd w:val="clear" w:color="auto" w:fill="D4E4FF" w:themeFill="text2" w:themeFillTint="1A"/>
            <w:tcMar>
              <w:left w:w="80" w:type="dxa"/>
              <w:right w:w="80" w:type="dxa"/>
            </w:tcMar>
            <w:vAlign w:val="center"/>
          </w:tcPr>
          <w:p w14:paraId="627A3D84" w14:textId="77777777" w:rsidR="000B2197" w:rsidRPr="00494E02" w:rsidRDefault="000B2197" w:rsidP="000B2197">
            <w:pPr>
              <w:pStyle w:val="TableText"/>
            </w:pPr>
            <w:r w:rsidRPr="00494E02">
              <w:t>Lack of technological/computing skills</w:t>
            </w:r>
          </w:p>
        </w:tc>
        <w:tc>
          <w:tcPr>
            <w:tcW w:w="540" w:type="dxa"/>
            <w:tcBorders>
              <w:left w:val="single" w:sz="4" w:space="0" w:color="auto"/>
              <w:right w:val="single" w:sz="4" w:space="0" w:color="auto"/>
            </w:tcBorders>
            <w:shd w:val="clear" w:color="auto" w:fill="D4E4FF" w:themeFill="text2" w:themeFillTint="1A"/>
            <w:tcMar>
              <w:left w:w="80" w:type="dxa"/>
              <w:right w:w="80" w:type="dxa"/>
            </w:tcMar>
          </w:tcPr>
          <w:p w14:paraId="0696E40C" w14:textId="77777777" w:rsidR="000B2197" w:rsidRPr="00790304" w:rsidRDefault="000B2197" w:rsidP="000B2197">
            <w:pPr>
              <w:pStyle w:val="TableText"/>
              <w:jc w:val="right"/>
              <w:rPr>
                <w:rFonts w:cs="Calibri"/>
                <w:color w:val="000000" w:themeColor="text1"/>
              </w:rPr>
            </w:pPr>
            <w:r w:rsidRPr="00790304">
              <w:rPr>
                <w:rFonts w:cs="Calibri"/>
              </w:rPr>
              <w:t>11</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65B753D5" w14:textId="77777777" w:rsidR="000B2197" w:rsidRPr="00790304" w:rsidRDefault="000B2197" w:rsidP="000B2197">
            <w:pPr>
              <w:pStyle w:val="TableText"/>
              <w:jc w:val="right"/>
              <w:rPr>
                <w:rFonts w:cs="Calibri"/>
                <w:color w:val="000000" w:themeColor="text1"/>
              </w:rPr>
            </w:pPr>
            <w:r w:rsidRPr="00790304">
              <w:rPr>
                <w:rFonts w:cs="Calibri"/>
              </w:rPr>
              <w:t>88</w:t>
            </w:r>
          </w:p>
        </w:tc>
        <w:tc>
          <w:tcPr>
            <w:tcW w:w="1069" w:type="dxa"/>
            <w:tcBorders>
              <w:left w:val="single" w:sz="4" w:space="0" w:color="auto"/>
              <w:right w:val="single" w:sz="4" w:space="0" w:color="auto"/>
            </w:tcBorders>
            <w:shd w:val="clear" w:color="auto" w:fill="D4E4FF" w:themeFill="text2" w:themeFillTint="1A"/>
            <w:tcMar>
              <w:left w:w="80" w:type="dxa"/>
              <w:right w:w="80" w:type="dxa"/>
            </w:tcMar>
          </w:tcPr>
          <w:p w14:paraId="45180A6A" w14:textId="77777777" w:rsidR="000B2197" w:rsidRPr="00790304" w:rsidRDefault="000B2197" w:rsidP="000B2197">
            <w:pPr>
              <w:pStyle w:val="TableText"/>
              <w:jc w:val="right"/>
              <w:rPr>
                <w:rFonts w:cs="Calibri"/>
                <w:color w:val="000000" w:themeColor="text1"/>
              </w:rPr>
            </w:pPr>
            <w:r w:rsidRPr="00790304">
              <w:rPr>
                <w:rFonts w:cs="Calibri"/>
              </w:rPr>
              <w:t>2.5 (1.4</w:t>
            </w:r>
            <w:r>
              <w:rPr>
                <w:rFonts w:cs="Calibri"/>
              </w:rPr>
              <w:t xml:space="preserve">, </w:t>
            </w:r>
            <w:r w:rsidRPr="00790304">
              <w:rPr>
                <w:rFonts w:cs="Calibri"/>
              </w:rPr>
              <w:t>4.7)</w:t>
            </w:r>
          </w:p>
        </w:tc>
        <w:tc>
          <w:tcPr>
            <w:tcW w:w="551" w:type="dxa"/>
            <w:tcBorders>
              <w:left w:val="single" w:sz="4" w:space="0" w:color="auto"/>
              <w:right w:val="single" w:sz="4" w:space="0" w:color="auto"/>
            </w:tcBorders>
            <w:shd w:val="clear" w:color="auto" w:fill="D4E4FF" w:themeFill="text2" w:themeFillTint="1A"/>
            <w:tcMar>
              <w:left w:w="80" w:type="dxa"/>
              <w:right w:w="80" w:type="dxa"/>
            </w:tcMar>
          </w:tcPr>
          <w:p w14:paraId="46545DE6" w14:textId="77777777" w:rsidR="000B2197" w:rsidRPr="00790304" w:rsidRDefault="000B2197" w:rsidP="000B2197">
            <w:pPr>
              <w:pStyle w:val="TableText"/>
              <w:jc w:val="right"/>
              <w:rPr>
                <w:rFonts w:cs="Calibri"/>
                <w:color w:val="000000" w:themeColor="text1"/>
              </w:rPr>
            </w:pPr>
            <w:r w:rsidRPr="00790304">
              <w:rPr>
                <w:rFonts w:cs="Calibri"/>
              </w:rPr>
              <w:t>14</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2DA30EC8" w14:textId="77777777" w:rsidR="000B2197" w:rsidRPr="00790304" w:rsidRDefault="000B2197" w:rsidP="000B2197">
            <w:pPr>
              <w:pStyle w:val="TableText"/>
              <w:jc w:val="right"/>
              <w:rPr>
                <w:rFonts w:cs="Calibri"/>
                <w:color w:val="000000" w:themeColor="text1"/>
              </w:rPr>
            </w:pPr>
            <w:r w:rsidRPr="00790304">
              <w:rPr>
                <w:rFonts w:cs="Calibri"/>
              </w:rPr>
              <w:t>54</w:t>
            </w:r>
          </w:p>
        </w:tc>
        <w:tc>
          <w:tcPr>
            <w:tcW w:w="1059" w:type="dxa"/>
            <w:tcBorders>
              <w:left w:val="single" w:sz="4" w:space="0" w:color="auto"/>
              <w:right w:val="single" w:sz="4" w:space="0" w:color="auto"/>
            </w:tcBorders>
            <w:shd w:val="clear" w:color="auto" w:fill="D4E4FF" w:themeFill="text2" w:themeFillTint="1A"/>
            <w:tcMar>
              <w:left w:w="80" w:type="dxa"/>
              <w:right w:w="80" w:type="dxa"/>
            </w:tcMar>
          </w:tcPr>
          <w:p w14:paraId="637ADA68" w14:textId="77777777" w:rsidR="000B2197" w:rsidRPr="00790304" w:rsidRDefault="000B2197" w:rsidP="000B2197">
            <w:pPr>
              <w:pStyle w:val="TableText"/>
              <w:jc w:val="right"/>
              <w:rPr>
                <w:rFonts w:cs="Calibri"/>
                <w:color w:val="000000" w:themeColor="text1"/>
              </w:rPr>
            </w:pPr>
            <w:r w:rsidRPr="00790304">
              <w:rPr>
                <w:rFonts w:cs="Calibri"/>
              </w:rPr>
              <w:t>1.0 (0.5</w:t>
            </w:r>
            <w:r>
              <w:rPr>
                <w:rFonts w:cs="Calibri"/>
              </w:rPr>
              <w:t xml:space="preserve">, </w:t>
            </w:r>
            <w:r w:rsidRPr="00790304">
              <w:rPr>
                <w:rFonts w:cs="Calibri"/>
              </w:rPr>
              <w:t>1.9)</w:t>
            </w:r>
          </w:p>
        </w:tc>
      </w:tr>
      <w:tr w:rsidR="000B2197" w:rsidRPr="00AF016D" w14:paraId="048CD978" w14:textId="77777777" w:rsidTr="00361CBA">
        <w:trPr>
          <w:cantSplit/>
        </w:trPr>
        <w:tc>
          <w:tcPr>
            <w:tcW w:w="2600" w:type="dxa"/>
            <w:tcBorders>
              <w:left w:val="single" w:sz="4" w:space="0" w:color="auto"/>
              <w:right w:val="single" w:sz="4" w:space="0" w:color="auto"/>
            </w:tcBorders>
            <w:shd w:val="clear" w:color="auto" w:fill="auto"/>
            <w:tcMar>
              <w:left w:w="80" w:type="dxa"/>
              <w:right w:w="80" w:type="dxa"/>
            </w:tcMar>
            <w:vAlign w:val="center"/>
          </w:tcPr>
          <w:p w14:paraId="25061825" w14:textId="77777777" w:rsidR="000B2197" w:rsidRPr="00494E02" w:rsidRDefault="000B2197" w:rsidP="000B2197">
            <w:pPr>
              <w:pStyle w:val="TableText"/>
            </w:pPr>
            <w:r w:rsidRPr="00494E02">
              <w:t>Preference for face-to-face contact</w:t>
            </w:r>
          </w:p>
        </w:tc>
        <w:tc>
          <w:tcPr>
            <w:tcW w:w="540" w:type="dxa"/>
            <w:tcBorders>
              <w:left w:val="single" w:sz="4" w:space="0" w:color="auto"/>
              <w:right w:val="single" w:sz="4" w:space="0" w:color="auto"/>
            </w:tcBorders>
            <w:shd w:val="clear" w:color="auto" w:fill="auto"/>
            <w:tcMar>
              <w:left w:w="80" w:type="dxa"/>
              <w:right w:w="80" w:type="dxa"/>
            </w:tcMar>
          </w:tcPr>
          <w:p w14:paraId="75D91808" w14:textId="77777777" w:rsidR="000B2197" w:rsidRPr="00790304" w:rsidRDefault="000B2197" w:rsidP="000B2197">
            <w:pPr>
              <w:pStyle w:val="TableText"/>
              <w:jc w:val="right"/>
              <w:rPr>
                <w:rFonts w:cs="Calibri"/>
                <w:color w:val="000000" w:themeColor="text1"/>
              </w:rPr>
            </w:pPr>
            <w:r w:rsidRPr="00790304">
              <w:rPr>
                <w:rFonts w:cs="Calibri"/>
              </w:rPr>
              <w:t>313</w:t>
            </w:r>
          </w:p>
        </w:tc>
        <w:tc>
          <w:tcPr>
            <w:tcW w:w="720" w:type="dxa"/>
            <w:tcBorders>
              <w:left w:val="single" w:sz="4" w:space="0" w:color="auto"/>
              <w:right w:val="single" w:sz="4" w:space="0" w:color="auto"/>
            </w:tcBorders>
            <w:shd w:val="clear" w:color="auto" w:fill="auto"/>
            <w:tcMar>
              <w:left w:w="80" w:type="dxa"/>
              <w:right w:w="80" w:type="dxa"/>
            </w:tcMar>
          </w:tcPr>
          <w:p w14:paraId="247BEDE2" w14:textId="77777777" w:rsidR="000B2197" w:rsidRPr="00790304" w:rsidRDefault="000B2197" w:rsidP="000B2197">
            <w:pPr>
              <w:pStyle w:val="TableText"/>
              <w:jc w:val="right"/>
              <w:rPr>
                <w:rFonts w:cs="Calibri"/>
                <w:color w:val="000000" w:themeColor="text1"/>
              </w:rPr>
            </w:pPr>
            <w:r w:rsidRPr="00790304">
              <w:rPr>
                <w:rFonts w:cs="Calibri"/>
              </w:rPr>
              <w:t>2036</w:t>
            </w:r>
          </w:p>
        </w:tc>
        <w:tc>
          <w:tcPr>
            <w:tcW w:w="1069" w:type="dxa"/>
            <w:tcBorders>
              <w:left w:val="single" w:sz="4" w:space="0" w:color="auto"/>
              <w:right w:val="single" w:sz="4" w:space="0" w:color="auto"/>
            </w:tcBorders>
            <w:shd w:val="clear" w:color="auto" w:fill="auto"/>
            <w:tcMar>
              <w:left w:w="80" w:type="dxa"/>
              <w:right w:w="80" w:type="dxa"/>
            </w:tcMar>
          </w:tcPr>
          <w:p w14:paraId="4161BE0F" w14:textId="77777777" w:rsidR="000B2197" w:rsidRPr="00790304" w:rsidRDefault="000B2197" w:rsidP="000B2197">
            <w:pPr>
              <w:pStyle w:val="TableText"/>
              <w:jc w:val="right"/>
              <w:rPr>
                <w:rFonts w:cs="Calibri"/>
                <w:color w:val="000000" w:themeColor="text1"/>
              </w:rPr>
            </w:pPr>
            <w:r w:rsidRPr="00790304">
              <w:rPr>
                <w:rFonts w:cs="Calibri"/>
              </w:rPr>
              <w:t>59.0 (53.3</w:t>
            </w:r>
            <w:r>
              <w:rPr>
                <w:rFonts w:cs="Calibri"/>
              </w:rPr>
              <w:t xml:space="preserve">, </w:t>
            </w:r>
            <w:r w:rsidRPr="00790304">
              <w:rPr>
                <w:rFonts w:cs="Calibri"/>
              </w:rPr>
              <w:t>64.4)</w:t>
            </w:r>
          </w:p>
        </w:tc>
        <w:tc>
          <w:tcPr>
            <w:tcW w:w="551" w:type="dxa"/>
            <w:tcBorders>
              <w:left w:val="single" w:sz="4" w:space="0" w:color="auto"/>
              <w:right w:val="single" w:sz="4" w:space="0" w:color="auto"/>
            </w:tcBorders>
            <w:shd w:val="clear" w:color="auto" w:fill="auto"/>
            <w:tcMar>
              <w:left w:w="80" w:type="dxa"/>
              <w:right w:w="80" w:type="dxa"/>
            </w:tcMar>
          </w:tcPr>
          <w:p w14:paraId="5DC51FD0" w14:textId="77777777" w:rsidR="000B2197" w:rsidRPr="00790304" w:rsidRDefault="000B2197" w:rsidP="000B2197">
            <w:pPr>
              <w:pStyle w:val="TableText"/>
              <w:jc w:val="right"/>
              <w:rPr>
                <w:rFonts w:cs="Calibri"/>
                <w:color w:val="000000" w:themeColor="text1"/>
              </w:rPr>
            </w:pPr>
            <w:r w:rsidRPr="00790304">
              <w:rPr>
                <w:rFonts w:cs="Calibri"/>
              </w:rPr>
              <w:t>619</w:t>
            </w:r>
          </w:p>
        </w:tc>
        <w:tc>
          <w:tcPr>
            <w:tcW w:w="720" w:type="dxa"/>
            <w:tcBorders>
              <w:left w:val="single" w:sz="4" w:space="0" w:color="auto"/>
              <w:right w:val="single" w:sz="4" w:space="0" w:color="auto"/>
            </w:tcBorders>
            <w:shd w:val="clear" w:color="auto" w:fill="auto"/>
            <w:tcMar>
              <w:left w:w="80" w:type="dxa"/>
              <w:right w:w="80" w:type="dxa"/>
            </w:tcMar>
          </w:tcPr>
          <w:p w14:paraId="6E624AA6" w14:textId="77777777" w:rsidR="000B2197" w:rsidRPr="00790304" w:rsidRDefault="000B2197" w:rsidP="000B2197">
            <w:pPr>
              <w:pStyle w:val="TableText"/>
              <w:jc w:val="right"/>
              <w:rPr>
                <w:rFonts w:cs="Calibri"/>
                <w:color w:val="000000" w:themeColor="text1"/>
              </w:rPr>
            </w:pPr>
            <w:r w:rsidRPr="00790304">
              <w:rPr>
                <w:rFonts w:cs="Calibri"/>
              </w:rPr>
              <w:t>3842</w:t>
            </w:r>
          </w:p>
        </w:tc>
        <w:tc>
          <w:tcPr>
            <w:tcW w:w="1059" w:type="dxa"/>
            <w:tcBorders>
              <w:left w:val="single" w:sz="4" w:space="0" w:color="auto"/>
              <w:right w:val="single" w:sz="4" w:space="0" w:color="auto"/>
            </w:tcBorders>
            <w:shd w:val="clear" w:color="auto" w:fill="auto"/>
            <w:tcMar>
              <w:left w:w="80" w:type="dxa"/>
              <w:right w:w="80" w:type="dxa"/>
            </w:tcMar>
          </w:tcPr>
          <w:p w14:paraId="4BD6A536" w14:textId="77777777" w:rsidR="000B2197" w:rsidRPr="00790304" w:rsidRDefault="000B2197" w:rsidP="000B2197">
            <w:pPr>
              <w:pStyle w:val="TableText"/>
              <w:jc w:val="right"/>
              <w:rPr>
                <w:rFonts w:cs="Calibri"/>
                <w:color w:val="000000" w:themeColor="text1"/>
              </w:rPr>
            </w:pPr>
            <w:r w:rsidRPr="00790304">
              <w:rPr>
                <w:rFonts w:cs="Calibri"/>
              </w:rPr>
              <w:t>70.2 (60.8</w:t>
            </w:r>
            <w:r>
              <w:rPr>
                <w:rFonts w:cs="Calibri"/>
              </w:rPr>
              <w:t xml:space="preserve">, </w:t>
            </w:r>
            <w:r w:rsidRPr="00790304">
              <w:rPr>
                <w:rFonts w:cs="Calibri"/>
              </w:rPr>
              <w:t>78.2)</w:t>
            </w:r>
          </w:p>
        </w:tc>
      </w:tr>
      <w:tr w:rsidR="000B2197" w:rsidRPr="00AF016D" w14:paraId="0066040D" w14:textId="77777777" w:rsidTr="00361CBA">
        <w:trPr>
          <w:cantSplit/>
        </w:trPr>
        <w:tc>
          <w:tcPr>
            <w:tcW w:w="2600" w:type="dxa"/>
            <w:tcBorders>
              <w:left w:val="single" w:sz="4" w:space="0" w:color="auto"/>
              <w:right w:val="single" w:sz="4" w:space="0" w:color="auto"/>
            </w:tcBorders>
            <w:shd w:val="clear" w:color="auto" w:fill="D4E4FF" w:themeFill="text2" w:themeFillTint="1A"/>
            <w:tcMar>
              <w:left w:w="80" w:type="dxa"/>
              <w:right w:w="80" w:type="dxa"/>
            </w:tcMar>
            <w:vAlign w:val="center"/>
          </w:tcPr>
          <w:p w14:paraId="2A7F83B2" w14:textId="77777777" w:rsidR="000B2197" w:rsidRPr="00494E02" w:rsidRDefault="000B2197" w:rsidP="000B2197">
            <w:pPr>
              <w:pStyle w:val="TableText"/>
            </w:pPr>
            <w:r w:rsidRPr="00494E02">
              <w:t>Concerns about a lack of privacy/confidentiality</w:t>
            </w:r>
          </w:p>
        </w:tc>
        <w:tc>
          <w:tcPr>
            <w:tcW w:w="540" w:type="dxa"/>
            <w:tcBorders>
              <w:left w:val="single" w:sz="4" w:space="0" w:color="auto"/>
              <w:right w:val="single" w:sz="4" w:space="0" w:color="auto"/>
            </w:tcBorders>
            <w:shd w:val="clear" w:color="auto" w:fill="D4E4FF" w:themeFill="text2" w:themeFillTint="1A"/>
            <w:tcMar>
              <w:left w:w="80" w:type="dxa"/>
              <w:right w:w="80" w:type="dxa"/>
            </w:tcMar>
          </w:tcPr>
          <w:p w14:paraId="78EC18DB" w14:textId="77777777" w:rsidR="000B2197" w:rsidRPr="00790304" w:rsidRDefault="000B2197" w:rsidP="000B2197">
            <w:pPr>
              <w:pStyle w:val="TableText"/>
              <w:jc w:val="right"/>
              <w:rPr>
                <w:rFonts w:cs="Calibri"/>
                <w:color w:val="000000" w:themeColor="text1"/>
              </w:rPr>
            </w:pPr>
            <w:r w:rsidRPr="00790304">
              <w:rPr>
                <w:rFonts w:cs="Calibri"/>
              </w:rPr>
              <w:t>278</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1482778E" w14:textId="77777777" w:rsidR="000B2197" w:rsidRPr="00790304" w:rsidRDefault="000B2197" w:rsidP="000B2197">
            <w:pPr>
              <w:pStyle w:val="TableText"/>
              <w:jc w:val="right"/>
              <w:rPr>
                <w:rFonts w:cs="Calibri"/>
                <w:color w:val="000000" w:themeColor="text1"/>
              </w:rPr>
            </w:pPr>
            <w:r w:rsidRPr="00790304">
              <w:rPr>
                <w:rFonts w:cs="Calibri"/>
              </w:rPr>
              <w:t>1740</w:t>
            </w:r>
          </w:p>
        </w:tc>
        <w:tc>
          <w:tcPr>
            <w:tcW w:w="1069" w:type="dxa"/>
            <w:tcBorders>
              <w:left w:val="single" w:sz="4" w:space="0" w:color="auto"/>
              <w:right w:val="single" w:sz="4" w:space="0" w:color="auto"/>
            </w:tcBorders>
            <w:shd w:val="clear" w:color="auto" w:fill="D4E4FF" w:themeFill="text2" w:themeFillTint="1A"/>
            <w:tcMar>
              <w:left w:w="80" w:type="dxa"/>
              <w:right w:w="80" w:type="dxa"/>
            </w:tcMar>
          </w:tcPr>
          <w:p w14:paraId="6C314EEF" w14:textId="77777777" w:rsidR="000B2197" w:rsidRPr="00790304" w:rsidRDefault="000B2197" w:rsidP="000B2197">
            <w:pPr>
              <w:pStyle w:val="TableText"/>
              <w:jc w:val="right"/>
              <w:rPr>
                <w:rFonts w:cs="Calibri"/>
                <w:color w:val="000000" w:themeColor="text1"/>
              </w:rPr>
            </w:pPr>
            <w:r w:rsidRPr="00790304">
              <w:rPr>
                <w:rFonts w:cs="Calibri"/>
              </w:rPr>
              <w:t>50.4 (44.8</w:t>
            </w:r>
            <w:r>
              <w:rPr>
                <w:rFonts w:cs="Calibri"/>
              </w:rPr>
              <w:t xml:space="preserve">, </w:t>
            </w:r>
            <w:r w:rsidRPr="00790304">
              <w:rPr>
                <w:rFonts w:cs="Calibri"/>
              </w:rPr>
              <w:t>56.0)</w:t>
            </w:r>
          </w:p>
        </w:tc>
        <w:tc>
          <w:tcPr>
            <w:tcW w:w="551" w:type="dxa"/>
            <w:tcBorders>
              <w:left w:val="single" w:sz="4" w:space="0" w:color="auto"/>
              <w:right w:val="single" w:sz="4" w:space="0" w:color="auto"/>
            </w:tcBorders>
            <w:shd w:val="clear" w:color="auto" w:fill="D4E4FF" w:themeFill="text2" w:themeFillTint="1A"/>
            <w:tcMar>
              <w:left w:w="80" w:type="dxa"/>
              <w:right w:w="80" w:type="dxa"/>
            </w:tcMar>
          </w:tcPr>
          <w:p w14:paraId="3AAE2A8C" w14:textId="77777777" w:rsidR="000B2197" w:rsidRPr="00790304" w:rsidRDefault="000B2197" w:rsidP="000B2197">
            <w:pPr>
              <w:pStyle w:val="TableText"/>
              <w:jc w:val="right"/>
              <w:rPr>
                <w:rFonts w:cs="Calibri"/>
                <w:color w:val="000000" w:themeColor="text1"/>
              </w:rPr>
            </w:pPr>
            <w:r w:rsidRPr="00790304">
              <w:rPr>
                <w:rFonts w:cs="Calibri"/>
              </w:rPr>
              <w:t>510</w:t>
            </w:r>
          </w:p>
        </w:tc>
        <w:tc>
          <w:tcPr>
            <w:tcW w:w="720" w:type="dxa"/>
            <w:tcBorders>
              <w:left w:val="single" w:sz="4" w:space="0" w:color="auto"/>
              <w:right w:val="single" w:sz="4" w:space="0" w:color="auto"/>
            </w:tcBorders>
            <w:shd w:val="clear" w:color="auto" w:fill="D4E4FF" w:themeFill="text2" w:themeFillTint="1A"/>
            <w:tcMar>
              <w:left w:w="80" w:type="dxa"/>
              <w:right w:w="80" w:type="dxa"/>
            </w:tcMar>
          </w:tcPr>
          <w:p w14:paraId="46A32349" w14:textId="77777777" w:rsidR="000B2197" w:rsidRPr="00790304" w:rsidRDefault="000B2197" w:rsidP="000B2197">
            <w:pPr>
              <w:pStyle w:val="TableText"/>
              <w:jc w:val="right"/>
              <w:rPr>
                <w:rFonts w:cs="Calibri"/>
                <w:color w:val="000000" w:themeColor="text1"/>
              </w:rPr>
            </w:pPr>
            <w:r w:rsidRPr="00790304">
              <w:rPr>
                <w:rFonts w:cs="Calibri"/>
              </w:rPr>
              <w:t>3461</w:t>
            </w:r>
          </w:p>
        </w:tc>
        <w:tc>
          <w:tcPr>
            <w:tcW w:w="1059" w:type="dxa"/>
            <w:tcBorders>
              <w:left w:val="single" w:sz="4" w:space="0" w:color="auto"/>
              <w:right w:val="single" w:sz="4" w:space="0" w:color="auto"/>
            </w:tcBorders>
            <w:shd w:val="clear" w:color="auto" w:fill="D4E4FF" w:themeFill="text2" w:themeFillTint="1A"/>
            <w:tcMar>
              <w:left w:w="80" w:type="dxa"/>
              <w:right w:w="80" w:type="dxa"/>
            </w:tcMar>
          </w:tcPr>
          <w:p w14:paraId="7B8D8CF8" w14:textId="77777777" w:rsidR="000B2197" w:rsidRPr="00790304" w:rsidRDefault="000B2197" w:rsidP="000B2197">
            <w:pPr>
              <w:pStyle w:val="TableText"/>
              <w:jc w:val="right"/>
              <w:rPr>
                <w:rFonts w:cs="Calibri"/>
                <w:color w:val="000000" w:themeColor="text1"/>
              </w:rPr>
            </w:pPr>
            <w:r w:rsidRPr="00790304">
              <w:rPr>
                <w:rFonts w:cs="Calibri"/>
              </w:rPr>
              <w:t>63.3 (53.5</w:t>
            </w:r>
            <w:r>
              <w:rPr>
                <w:rFonts w:cs="Calibri"/>
              </w:rPr>
              <w:t xml:space="preserve">, </w:t>
            </w:r>
            <w:r w:rsidRPr="00790304">
              <w:rPr>
                <w:rFonts w:cs="Calibri"/>
              </w:rPr>
              <w:t>72.1)</w:t>
            </w:r>
          </w:p>
        </w:tc>
      </w:tr>
      <w:tr w:rsidR="000B2197" w:rsidRPr="00AF016D" w14:paraId="64CFC73E" w14:textId="77777777" w:rsidTr="00361CBA">
        <w:trPr>
          <w:cantSplit/>
        </w:trPr>
        <w:tc>
          <w:tcPr>
            <w:tcW w:w="2600" w:type="dxa"/>
            <w:tcBorders>
              <w:left w:val="single" w:sz="4" w:space="0" w:color="auto"/>
              <w:bottom w:val="single" w:sz="4" w:space="0" w:color="auto"/>
              <w:right w:val="single" w:sz="4" w:space="0" w:color="auto"/>
            </w:tcBorders>
            <w:shd w:val="clear" w:color="auto" w:fill="auto"/>
            <w:tcMar>
              <w:left w:w="80" w:type="dxa"/>
              <w:right w:w="80" w:type="dxa"/>
            </w:tcMar>
            <w:vAlign w:val="center"/>
          </w:tcPr>
          <w:p w14:paraId="64B6273C" w14:textId="77777777" w:rsidR="000B2197" w:rsidRPr="00494E02" w:rsidRDefault="000B2197" w:rsidP="000B2197">
            <w:pPr>
              <w:pStyle w:val="TableText"/>
            </w:pPr>
            <w:r w:rsidRPr="00494E02">
              <w:t>Concerns about a lack of website security</w:t>
            </w:r>
          </w:p>
        </w:tc>
        <w:tc>
          <w:tcPr>
            <w:tcW w:w="540" w:type="dxa"/>
            <w:tcBorders>
              <w:left w:val="single" w:sz="4" w:space="0" w:color="auto"/>
              <w:bottom w:val="single" w:sz="4" w:space="0" w:color="auto"/>
              <w:right w:val="single" w:sz="4" w:space="0" w:color="auto"/>
            </w:tcBorders>
            <w:shd w:val="clear" w:color="auto" w:fill="auto"/>
            <w:tcMar>
              <w:left w:w="80" w:type="dxa"/>
              <w:right w:w="80" w:type="dxa"/>
            </w:tcMar>
          </w:tcPr>
          <w:p w14:paraId="3B0C11B3" w14:textId="77777777" w:rsidR="000B2197" w:rsidRPr="00790304" w:rsidRDefault="000B2197" w:rsidP="000B2197">
            <w:pPr>
              <w:pStyle w:val="TableText"/>
              <w:jc w:val="right"/>
              <w:rPr>
                <w:rFonts w:cs="Calibri"/>
                <w:color w:val="000000" w:themeColor="text1"/>
              </w:rPr>
            </w:pPr>
            <w:r w:rsidRPr="00790304">
              <w:rPr>
                <w:rFonts w:cs="Calibri"/>
              </w:rPr>
              <w:t>218</w:t>
            </w:r>
          </w:p>
        </w:tc>
        <w:tc>
          <w:tcPr>
            <w:tcW w:w="720" w:type="dxa"/>
            <w:tcBorders>
              <w:left w:val="single" w:sz="4" w:space="0" w:color="auto"/>
              <w:bottom w:val="single" w:sz="4" w:space="0" w:color="auto"/>
              <w:right w:val="single" w:sz="4" w:space="0" w:color="auto"/>
            </w:tcBorders>
            <w:shd w:val="clear" w:color="auto" w:fill="auto"/>
            <w:tcMar>
              <w:left w:w="80" w:type="dxa"/>
              <w:right w:w="80" w:type="dxa"/>
            </w:tcMar>
          </w:tcPr>
          <w:p w14:paraId="590FCD47" w14:textId="77777777" w:rsidR="000B2197" w:rsidRPr="00790304" w:rsidRDefault="000B2197" w:rsidP="000B2197">
            <w:pPr>
              <w:pStyle w:val="TableText"/>
              <w:jc w:val="right"/>
              <w:rPr>
                <w:rFonts w:cs="Calibri"/>
                <w:color w:val="000000" w:themeColor="text1"/>
              </w:rPr>
            </w:pPr>
            <w:r w:rsidRPr="00790304">
              <w:rPr>
                <w:rFonts w:cs="Calibri"/>
              </w:rPr>
              <w:t>1422</w:t>
            </w:r>
          </w:p>
        </w:tc>
        <w:tc>
          <w:tcPr>
            <w:tcW w:w="1069" w:type="dxa"/>
            <w:tcBorders>
              <w:left w:val="single" w:sz="4" w:space="0" w:color="auto"/>
              <w:bottom w:val="single" w:sz="4" w:space="0" w:color="auto"/>
              <w:right w:val="single" w:sz="4" w:space="0" w:color="auto"/>
            </w:tcBorders>
            <w:shd w:val="clear" w:color="auto" w:fill="auto"/>
            <w:tcMar>
              <w:left w:w="80" w:type="dxa"/>
              <w:right w:w="80" w:type="dxa"/>
            </w:tcMar>
          </w:tcPr>
          <w:p w14:paraId="4E43010C" w14:textId="77777777" w:rsidR="000B2197" w:rsidRPr="00790304" w:rsidRDefault="000B2197" w:rsidP="000B2197">
            <w:pPr>
              <w:pStyle w:val="TableText"/>
              <w:jc w:val="right"/>
              <w:rPr>
                <w:rFonts w:cs="Calibri"/>
                <w:color w:val="000000" w:themeColor="text1"/>
              </w:rPr>
            </w:pPr>
            <w:r w:rsidRPr="00790304">
              <w:rPr>
                <w:rFonts w:cs="Calibri"/>
              </w:rPr>
              <w:t>41.2 (35.8</w:t>
            </w:r>
            <w:r>
              <w:rPr>
                <w:rFonts w:cs="Calibri"/>
              </w:rPr>
              <w:t xml:space="preserve">, </w:t>
            </w:r>
            <w:r w:rsidRPr="00790304">
              <w:rPr>
                <w:rFonts w:cs="Calibri"/>
              </w:rPr>
              <w:t>46.8)</w:t>
            </w:r>
          </w:p>
        </w:tc>
        <w:tc>
          <w:tcPr>
            <w:tcW w:w="551" w:type="dxa"/>
            <w:tcBorders>
              <w:left w:val="single" w:sz="4" w:space="0" w:color="auto"/>
              <w:bottom w:val="single" w:sz="4" w:space="0" w:color="auto"/>
              <w:right w:val="single" w:sz="4" w:space="0" w:color="auto"/>
            </w:tcBorders>
            <w:shd w:val="clear" w:color="auto" w:fill="auto"/>
            <w:tcMar>
              <w:left w:w="80" w:type="dxa"/>
              <w:right w:w="80" w:type="dxa"/>
            </w:tcMar>
          </w:tcPr>
          <w:p w14:paraId="7B8C048B" w14:textId="77777777" w:rsidR="000B2197" w:rsidRPr="00790304" w:rsidRDefault="000B2197" w:rsidP="000B2197">
            <w:pPr>
              <w:pStyle w:val="TableText"/>
              <w:jc w:val="right"/>
              <w:rPr>
                <w:rFonts w:cs="Calibri"/>
                <w:color w:val="000000" w:themeColor="text1"/>
              </w:rPr>
            </w:pPr>
            <w:r w:rsidRPr="00790304">
              <w:rPr>
                <w:rFonts w:cs="Calibri"/>
              </w:rPr>
              <w:t>411</w:t>
            </w:r>
          </w:p>
        </w:tc>
        <w:tc>
          <w:tcPr>
            <w:tcW w:w="720" w:type="dxa"/>
            <w:tcBorders>
              <w:left w:val="single" w:sz="4" w:space="0" w:color="auto"/>
              <w:bottom w:val="single" w:sz="4" w:space="0" w:color="auto"/>
              <w:right w:val="single" w:sz="4" w:space="0" w:color="auto"/>
            </w:tcBorders>
            <w:shd w:val="clear" w:color="auto" w:fill="auto"/>
            <w:tcMar>
              <w:left w:w="80" w:type="dxa"/>
              <w:right w:w="80" w:type="dxa"/>
            </w:tcMar>
          </w:tcPr>
          <w:p w14:paraId="45974ADF" w14:textId="77777777" w:rsidR="000B2197" w:rsidRPr="00790304" w:rsidRDefault="000B2197" w:rsidP="000B2197">
            <w:pPr>
              <w:pStyle w:val="TableText"/>
              <w:jc w:val="right"/>
              <w:rPr>
                <w:rFonts w:cs="Calibri"/>
                <w:color w:val="000000" w:themeColor="text1"/>
              </w:rPr>
            </w:pPr>
            <w:r w:rsidRPr="00790304">
              <w:rPr>
                <w:rFonts w:cs="Calibri"/>
              </w:rPr>
              <w:t>2500</w:t>
            </w:r>
          </w:p>
        </w:tc>
        <w:tc>
          <w:tcPr>
            <w:tcW w:w="1059" w:type="dxa"/>
            <w:tcBorders>
              <w:left w:val="single" w:sz="4" w:space="0" w:color="auto"/>
              <w:bottom w:val="single" w:sz="4" w:space="0" w:color="auto"/>
              <w:right w:val="single" w:sz="4" w:space="0" w:color="auto"/>
            </w:tcBorders>
            <w:shd w:val="clear" w:color="auto" w:fill="auto"/>
            <w:tcMar>
              <w:left w:w="80" w:type="dxa"/>
              <w:right w:w="80" w:type="dxa"/>
            </w:tcMar>
          </w:tcPr>
          <w:p w14:paraId="582028F3" w14:textId="77777777" w:rsidR="000B2197" w:rsidRPr="00790304" w:rsidRDefault="000B2197" w:rsidP="000B2197">
            <w:pPr>
              <w:pStyle w:val="TableText"/>
              <w:jc w:val="right"/>
              <w:rPr>
                <w:rFonts w:cs="Calibri"/>
                <w:color w:val="000000" w:themeColor="text1"/>
              </w:rPr>
            </w:pPr>
            <w:r w:rsidRPr="00790304">
              <w:rPr>
                <w:rFonts w:cs="Calibri"/>
              </w:rPr>
              <w:t>45.7 (34.2</w:t>
            </w:r>
            <w:r>
              <w:rPr>
                <w:rFonts w:cs="Calibri"/>
              </w:rPr>
              <w:t xml:space="preserve">, </w:t>
            </w:r>
            <w:r w:rsidRPr="00790304">
              <w:rPr>
                <w:rFonts w:cs="Calibri"/>
              </w:rPr>
              <w:t>57.7)</w:t>
            </w:r>
          </w:p>
        </w:tc>
      </w:tr>
    </w:tbl>
    <w:p w14:paraId="121B94FB" w14:textId="77777777" w:rsidR="000B2197" w:rsidRPr="006A3EA0" w:rsidRDefault="000B2197" w:rsidP="000B2197">
      <w:pPr>
        <w:pStyle w:val="TableNotes"/>
      </w:pPr>
      <w:r>
        <w:t>Notes</w:t>
      </w:r>
    </w:p>
    <w:p w14:paraId="472F1389" w14:textId="77777777" w:rsidR="000B2197" w:rsidRDefault="000B2197" w:rsidP="000B2197">
      <w:pPr>
        <w:pStyle w:val="TableNotes"/>
      </w:pPr>
      <w:r w:rsidRPr="007E66F4">
        <w:t xml:space="preserve">Denominator: Those who do not </w:t>
      </w:r>
      <w:r>
        <w:t>talk about mental health online.</w:t>
      </w:r>
    </w:p>
    <w:p w14:paraId="740D4B01" w14:textId="77777777" w:rsidR="000B2197" w:rsidRPr="007E66F4" w:rsidRDefault="000B2197" w:rsidP="000B2197">
      <w:pPr>
        <w:pStyle w:val="TableNotes"/>
      </w:pPr>
      <w:r>
        <w:t>Participants could endorse multiple responses for this question, hence percentages do not add up to 100%. As responses that were not endorsed were assumed to be left blank intentionally, there are no missing values for this question.</w:t>
      </w:r>
    </w:p>
    <w:p w14:paraId="3D035635" w14:textId="77777777" w:rsidR="000B2197" w:rsidRPr="007E66F4" w:rsidRDefault="000B2197" w:rsidP="000B2197">
      <w:pPr>
        <w:pStyle w:val="TableNotes"/>
      </w:pPr>
      <w:r>
        <w:t>95%CI = 95% confidence interval.</w:t>
      </w:r>
      <w:r w:rsidRPr="007E66F4">
        <w:t xml:space="preserve"> </w:t>
      </w:r>
    </w:p>
    <w:p w14:paraId="440EF802" w14:textId="77777777" w:rsidR="000B2197" w:rsidRDefault="000B2197" w:rsidP="000B2197">
      <w:pPr>
        <w:pStyle w:val="TableNotes"/>
      </w:pPr>
      <w:r w:rsidRPr="007E66F4">
        <w:t>For a full description of odds ratios, interpretation and strength of association</w:t>
      </w:r>
      <w:r>
        <w:t>,</w:t>
      </w:r>
      <w:r w:rsidRPr="007E66F4">
        <w:t xml:space="preserve"> please refer to Table B.1 </w:t>
      </w:r>
      <w:r w:rsidRPr="00BB1B84">
        <w:t xml:space="preserve">in </w:t>
      </w:r>
      <w:r>
        <w:t>A</w:t>
      </w:r>
      <w:r w:rsidR="00374073">
        <w:t>nnex </w:t>
      </w:r>
      <w:r>
        <w:t>B, Odds ratio table.</w:t>
      </w:r>
    </w:p>
    <w:p w14:paraId="0D4D4CE1" w14:textId="7F1290E7" w:rsidR="000B2197" w:rsidRDefault="000B2197" w:rsidP="000B2197">
      <w:pPr>
        <w:pStyle w:val="FigureName"/>
      </w:pPr>
      <w:bookmarkStart w:id="953" w:name="_Ref509920169"/>
      <w:bookmarkStart w:id="954" w:name="_Toc507594505"/>
      <w:bookmarkStart w:id="955" w:name="_Toc509922962"/>
      <w:bookmarkStart w:id="956" w:name="_Toc515374736"/>
      <w:bookmarkStart w:id="957" w:name="_Toc528932420"/>
      <w:bookmarkStart w:id="958" w:name="_Toc531858100"/>
      <w:r w:rsidRPr="007F38BC">
        <w:t xml:space="preserve">Figure </w:t>
      </w:r>
      <w:r>
        <w:rPr>
          <w:noProof/>
        </w:rPr>
        <w:t>8</w:t>
      </w:r>
      <w:r>
        <w:t>.</w:t>
      </w:r>
      <w:r>
        <w:rPr>
          <w:noProof/>
        </w:rPr>
        <w:t>1</w:t>
      </w:r>
      <w:bookmarkEnd w:id="953"/>
      <w:r>
        <w:tab/>
        <w:t>Barriers</w:t>
      </w:r>
      <w:r w:rsidRPr="00656C11">
        <w:t xml:space="preserve"> </w:t>
      </w:r>
      <w:r>
        <w:t>preventing</w:t>
      </w:r>
      <w:r w:rsidRPr="00656C11">
        <w:t xml:space="preserve"> </w:t>
      </w:r>
      <w:r w:rsidRPr="001728F4">
        <w:t xml:space="preserve">Transitioned ADF </w:t>
      </w:r>
      <w:r>
        <w:t xml:space="preserve">and the </w:t>
      </w:r>
      <w:r w:rsidRPr="001728F4">
        <w:t xml:space="preserve">2015 </w:t>
      </w:r>
      <w:r>
        <w:t xml:space="preserve">Regular </w:t>
      </w:r>
      <w:r w:rsidRPr="001728F4">
        <w:t>ADF</w:t>
      </w:r>
      <w:r w:rsidRPr="00656C11">
        <w:t xml:space="preserve"> </w:t>
      </w:r>
      <w:r>
        <w:t xml:space="preserve">from </w:t>
      </w:r>
      <w:r w:rsidRPr="00656C11">
        <w:t xml:space="preserve">talking about </w:t>
      </w:r>
      <w:r>
        <w:t xml:space="preserve">their </w:t>
      </w:r>
      <w:r w:rsidRPr="00656C11">
        <w:t xml:space="preserve">mental health issues </w:t>
      </w:r>
      <w:r>
        <w:t>online</w:t>
      </w:r>
      <w:bookmarkEnd w:id="954"/>
      <w:bookmarkEnd w:id="955"/>
      <w:bookmarkEnd w:id="956"/>
      <w:r>
        <w:t xml:space="preserve"> among those </w:t>
      </w:r>
      <w:r>
        <w:rPr>
          <w:szCs w:val="22"/>
        </w:rPr>
        <w:t xml:space="preserve">who </w:t>
      </w:r>
      <w:r w:rsidRPr="00A872E0">
        <w:rPr>
          <w:rFonts w:cs="Arial"/>
          <w:szCs w:val="22"/>
        </w:rPr>
        <w:t xml:space="preserve">reported using </w:t>
      </w:r>
      <w:r>
        <w:rPr>
          <w:rFonts w:cs="Arial"/>
          <w:szCs w:val="22"/>
        </w:rPr>
        <w:t>the internet</w:t>
      </w:r>
      <w:r w:rsidRPr="00A872E0">
        <w:rPr>
          <w:rFonts w:cs="Arial"/>
          <w:szCs w:val="22"/>
        </w:rPr>
        <w:t xml:space="preserve"> to </w:t>
      </w:r>
      <w:r>
        <w:rPr>
          <w:rFonts w:cs="Arial"/>
          <w:szCs w:val="22"/>
        </w:rPr>
        <w:t xml:space="preserve">seek help or information for or </w:t>
      </w:r>
      <w:r w:rsidRPr="00A872E0">
        <w:rPr>
          <w:rFonts w:cs="Arial"/>
          <w:szCs w:val="22"/>
        </w:rPr>
        <w:t xml:space="preserve">manage mental health </w:t>
      </w:r>
      <w:r>
        <w:rPr>
          <w:rFonts w:cs="Arial"/>
          <w:szCs w:val="22"/>
        </w:rPr>
        <w:t>issues</w:t>
      </w:r>
      <w:r>
        <w:rPr>
          <w:rFonts w:cs="Calibri"/>
        </w:rPr>
        <w:t xml:space="preserve"> but reported</w:t>
      </w:r>
      <w:r>
        <w:t xml:space="preserve"> they </w:t>
      </w:r>
      <w:r w:rsidRPr="00E36586">
        <w:t>did NOT talk to someone online</w:t>
      </w:r>
      <w:r>
        <w:t xml:space="preserve"> about their own mental health</w:t>
      </w:r>
      <w:bookmarkEnd w:id="957"/>
      <w:bookmarkEnd w:id="958"/>
    </w:p>
    <w:p w14:paraId="698B19A5" w14:textId="77777777" w:rsidR="000B2197" w:rsidRDefault="00361CBA" w:rsidP="000B2197">
      <w:r w:rsidRPr="001A4FD0">
        <w:rPr>
          <w:noProof/>
          <w:lang w:eastAsia="en-AU"/>
        </w:rPr>
        <w:drawing>
          <wp:inline distT="0" distB="0" distL="0" distR="0" wp14:anchorId="1D0A8C1D" wp14:editId="6C3831C0">
            <wp:extent cx="4572000" cy="4664986"/>
            <wp:effectExtent l="0" t="0" r="0" b="2540"/>
            <wp:docPr id="54" name="Picture 54" descr="Figure 8.1 Barriers preventing Transitioned ADF and the 2015 Regular ADF from talking about their mental health issues online among those who reported using the internet to seek help or information for or manage mental health issues but reported they did NOT talk to someone online about their ow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HealthSciences\SPHCP\CTSS\DATA REPOSITORY\TWRP\REPORT 5\FIGURE_4_19.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0" cy="4664986"/>
                    </a:xfrm>
                    <a:prstGeom prst="rect">
                      <a:avLst/>
                    </a:prstGeom>
                    <a:noFill/>
                    <a:ln>
                      <a:noFill/>
                    </a:ln>
                  </pic:spPr>
                </pic:pic>
              </a:graphicData>
            </a:graphic>
          </wp:inline>
        </w:drawing>
      </w:r>
    </w:p>
    <w:p w14:paraId="1863BAD7" w14:textId="77777777" w:rsidR="00B926FE" w:rsidRDefault="00B926FE" w:rsidP="00B926FE"/>
    <w:p w14:paraId="45039329" w14:textId="77777777" w:rsidR="0077038F" w:rsidRDefault="0077038F" w:rsidP="00B926FE">
      <w:pPr>
        <w:sectPr w:rsidR="0077038F" w:rsidSect="0077038F">
          <w:footerReference w:type="even" r:id="rId106"/>
          <w:footerReference w:type="default" r:id="rId107"/>
          <w:type w:val="oddPage"/>
          <w:pgSz w:w="9979" w:h="14170" w:code="243"/>
          <w:pgMar w:top="1440" w:right="1152" w:bottom="1440" w:left="1728" w:header="576" w:footer="576" w:gutter="0"/>
          <w:cols w:space="708"/>
          <w:docGrid w:linePitch="360"/>
        </w:sectPr>
      </w:pPr>
    </w:p>
    <w:p w14:paraId="3531698E" w14:textId="77777777" w:rsidR="00266BEE" w:rsidRDefault="00266BEE" w:rsidP="00266BEE">
      <w:pPr>
        <w:pStyle w:val="Heading1"/>
        <w:numPr>
          <w:ilvl w:val="0"/>
          <w:numId w:val="1"/>
        </w:numPr>
      </w:pPr>
      <w:bookmarkStart w:id="959" w:name="_Toc509917469"/>
      <w:bookmarkStart w:id="960" w:name="_Toc515374529"/>
      <w:bookmarkStart w:id="961" w:name="_Toc518566429"/>
      <w:bookmarkStart w:id="962" w:name="_Toc528932713"/>
      <w:bookmarkStart w:id="963" w:name="_Toc531859250"/>
      <w:r w:rsidRPr="007E66F4">
        <w:t xml:space="preserve">Mental </w:t>
      </w:r>
      <w:r>
        <w:t>h</w:t>
      </w:r>
      <w:r w:rsidRPr="007E66F4">
        <w:t xml:space="preserve">ealth </w:t>
      </w:r>
      <w:r>
        <w:t>s</w:t>
      </w:r>
      <w:r w:rsidRPr="007E66F4">
        <w:t xml:space="preserve">tatus and the </w:t>
      </w:r>
      <w:r>
        <w:t>u</w:t>
      </w:r>
      <w:r w:rsidRPr="007E66F4">
        <w:t xml:space="preserve">se of DVA, Defence and other </w:t>
      </w:r>
      <w:r>
        <w:t>civilian mental</w:t>
      </w:r>
      <w:r w:rsidRPr="007E66F4">
        <w:t xml:space="preserve"> health websites by Transitioned </w:t>
      </w:r>
      <w:r>
        <w:t xml:space="preserve">ADF </w:t>
      </w:r>
      <w:r w:rsidRPr="007E66F4">
        <w:t>and Regular 2015 ADF</w:t>
      </w:r>
      <w:bookmarkEnd w:id="959"/>
      <w:bookmarkEnd w:id="960"/>
      <w:bookmarkEnd w:id="961"/>
      <w:bookmarkEnd w:id="962"/>
      <w:bookmarkEnd w:id="963"/>
    </w:p>
    <w:p w14:paraId="43AB4860" w14:textId="77777777" w:rsidR="00266BEE" w:rsidRPr="00874BAA" w:rsidRDefault="00266BEE" w:rsidP="00266BEE">
      <w:pPr>
        <w:pStyle w:val="ShadedBoxSubheading"/>
      </w:pPr>
      <w:r w:rsidRPr="00874BAA">
        <w:t>Use of the internet to seek help or information for or manage mental health i</w:t>
      </w:r>
      <w:r>
        <w:t>ssues</w:t>
      </w:r>
    </w:p>
    <w:p w14:paraId="1D0451E9" w14:textId="2BB2042D" w:rsidR="00266BEE" w:rsidRPr="00874BAA" w:rsidRDefault="00266BEE" w:rsidP="00133458">
      <w:pPr>
        <w:pStyle w:val="ShadedBullet"/>
      </w:pPr>
      <w:r w:rsidRPr="00874BAA">
        <w:t>Overall</w:t>
      </w:r>
      <w:r w:rsidR="009B64A7">
        <w:t>,</w:t>
      </w:r>
      <w:r w:rsidRPr="00874BAA">
        <w:t xml:space="preserve"> about 40% of the Transitioned ADF and 20</w:t>
      </w:r>
      <w:r>
        <w:t>–</w:t>
      </w:r>
      <w:r w:rsidRPr="00874BAA">
        <w:t>40% of the 2015 Regular ADF with a 30</w:t>
      </w:r>
      <w:r w:rsidR="00667E6B">
        <w:noBreakHyphen/>
      </w:r>
      <w:r w:rsidRPr="00874BAA">
        <w:t>day probable disorder use</w:t>
      </w:r>
      <w:r>
        <w:t>d</w:t>
      </w:r>
      <w:r w:rsidRPr="00874BAA">
        <w:t xml:space="preserve"> the internet for mental health across the different mental disorders, including suicidal thoughts and plans, PTSD, anxiety/depression and alcohol use. </w:t>
      </w:r>
    </w:p>
    <w:p w14:paraId="49C7129D" w14:textId="67570EA8" w:rsidR="00266BEE" w:rsidRPr="00874BAA" w:rsidRDefault="00266BEE" w:rsidP="00133458">
      <w:pPr>
        <w:pStyle w:val="ShadedBullet"/>
      </w:pPr>
      <w:r w:rsidRPr="00874BAA">
        <w:t xml:space="preserve">Of those with </w:t>
      </w:r>
      <w:r w:rsidR="007155C2">
        <w:t>subsyndromal</w:t>
      </w:r>
      <w:r w:rsidRPr="00874BAA">
        <w:t xml:space="preserve"> disorder, approximately 30% of the Transitioned ADF and </w:t>
      </w:r>
      <w:r w:rsidR="00667E6B">
        <w:br/>
      </w:r>
      <w:r w:rsidRPr="00874BAA">
        <w:t>16</w:t>
      </w:r>
      <w:r>
        <w:t>–</w:t>
      </w:r>
      <w:r w:rsidRPr="00874BAA">
        <w:t>30% of the 2015 Regular ADF use</w:t>
      </w:r>
      <w:r>
        <w:t>d</w:t>
      </w:r>
      <w:r w:rsidRPr="00874BAA">
        <w:t xml:space="preserve"> the internet for mental health. </w:t>
      </w:r>
    </w:p>
    <w:p w14:paraId="7521E900" w14:textId="77777777" w:rsidR="00266BEE" w:rsidRPr="00874BAA" w:rsidRDefault="00266BEE" w:rsidP="00133458">
      <w:pPr>
        <w:pStyle w:val="ShadedBullet"/>
      </w:pPr>
      <w:r w:rsidRPr="00874BAA">
        <w:t>Internet use to seek help</w:t>
      </w:r>
      <w:r>
        <w:t xml:space="preserve"> or</w:t>
      </w:r>
      <w:r w:rsidRPr="00874BAA">
        <w:t xml:space="preserve"> information or manage mental health issues was generally higher </w:t>
      </w:r>
      <w:r>
        <w:t>among</w:t>
      </w:r>
      <w:r w:rsidRPr="00874BAA">
        <w:t xml:space="preserve"> those with more mental health symptoms.</w:t>
      </w:r>
    </w:p>
    <w:p w14:paraId="30F48848" w14:textId="7C1034F3" w:rsidR="00266BEE" w:rsidRPr="00874BAA" w:rsidRDefault="00266BEE" w:rsidP="00133458">
      <w:pPr>
        <w:pStyle w:val="ShadedBullet"/>
      </w:pPr>
      <w:r w:rsidRPr="00874BAA">
        <w:t>There was no association between self-reported stigma and perceived barriers to care and use of the internet to seek help</w:t>
      </w:r>
      <w:r>
        <w:t xml:space="preserve"> or</w:t>
      </w:r>
      <w:r w:rsidRPr="00874BAA">
        <w:t xml:space="preserve"> information or to manage mental health issues among Transitioned and 2015 Regular ADF members with probable PTSD, alcohol disorder or 12</w:t>
      </w:r>
      <w:r w:rsidR="00667E6B">
        <w:noBreakHyphen/>
      </w:r>
      <w:r w:rsidRPr="00874BAA">
        <w:t xml:space="preserve">month suicidal ideation and behaviour. </w:t>
      </w:r>
    </w:p>
    <w:p w14:paraId="301CFF8F" w14:textId="77777777" w:rsidR="00266BEE" w:rsidRPr="00E44AA7" w:rsidRDefault="00266BEE" w:rsidP="00133458">
      <w:pPr>
        <w:pStyle w:val="ShadedBullet"/>
      </w:pPr>
      <w:r w:rsidRPr="00E44AA7">
        <w:t>Among those with probable anxiety/depression or depressive episodes</w:t>
      </w:r>
      <w:r>
        <w:t>,</w:t>
      </w:r>
      <w:r w:rsidRPr="00E44AA7">
        <w:t xml:space="preserve"> Transitioned ADF reporting at least one mental health stigma or at least one perceived barrier were more likely to use the internet to seek help</w:t>
      </w:r>
      <w:r>
        <w:t xml:space="preserve"> or</w:t>
      </w:r>
      <w:r w:rsidRPr="00E44AA7">
        <w:t xml:space="preserve"> information or manage mental health issues than those with no stigma or barriers.</w:t>
      </w:r>
    </w:p>
    <w:p w14:paraId="6384DCC6" w14:textId="77777777" w:rsidR="00266BEE" w:rsidRPr="00E44AA7" w:rsidRDefault="00266BEE" w:rsidP="00133458">
      <w:pPr>
        <w:pStyle w:val="ShadedBullet"/>
      </w:pPr>
      <w:r w:rsidRPr="00E44AA7">
        <w:t>Among those with probable anxiety/depression or probable generalised anxiety disorder and no barriers, Transitioned ADF members (30.5%) were more likely to use the internet for mental health issues than the 2015 Regular ADF (8.6%).</w:t>
      </w:r>
    </w:p>
    <w:p w14:paraId="7B16913C" w14:textId="77777777" w:rsidR="00266BEE" w:rsidRPr="00874BAA" w:rsidRDefault="00266BEE" w:rsidP="00266BEE">
      <w:pPr>
        <w:pStyle w:val="ShadedBoxSubheading"/>
      </w:pPr>
      <w:r w:rsidRPr="00874BAA">
        <w:t xml:space="preserve">Use of a Defence </w:t>
      </w:r>
      <w:r>
        <w:t>w</w:t>
      </w:r>
      <w:r w:rsidRPr="00874BAA">
        <w:t>ebsite</w:t>
      </w:r>
    </w:p>
    <w:p w14:paraId="2BCEADEC" w14:textId="77777777" w:rsidR="00266BEE" w:rsidRPr="00874BAA" w:rsidRDefault="00266BEE" w:rsidP="00133458">
      <w:pPr>
        <w:pStyle w:val="ShadedBullet"/>
      </w:pPr>
      <w:r w:rsidRPr="00874BAA">
        <w:t>Approximately 10</w:t>
      </w:r>
      <w:r>
        <w:t>–</w:t>
      </w:r>
      <w:r w:rsidRPr="00874BAA">
        <w:t>1</w:t>
      </w:r>
      <w:r>
        <w:t>4</w:t>
      </w:r>
      <w:r w:rsidRPr="00874BAA">
        <w:t>% of Transitioned ADF with a probable disorder and 17</w:t>
      </w:r>
      <w:r>
        <w:t>–</w:t>
      </w:r>
      <w:r w:rsidRPr="00874BAA">
        <w:t>34% of the 2015 Regular ADF with a probable disorder reported using the ADF website.</w:t>
      </w:r>
    </w:p>
    <w:p w14:paraId="32F30BC7" w14:textId="77777777" w:rsidR="00266BEE" w:rsidRPr="00874BAA" w:rsidRDefault="00266BEE" w:rsidP="00133458">
      <w:pPr>
        <w:pStyle w:val="ShadedBullet"/>
      </w:pPr>
      <w:r w:rsidRPr="00874BAA">
        <w:t xml:space="preserve">For example, 30% of the 2015 Regular ADF who had made a suicide plan in the </w:t>
      </w:r>
      <w:r>
        <w:t>last 12 months</w:t>
      </w:r>
      <w:r w:rsidRPr="00874BAA">
        <w:t xml:space="preserve">, or who had a probable 30-day PTSD or alcohol disorder, reported using the ADF website. </w:t>
      </w:r>
    </w:p>
    <w:p w14:paraId="3117B15A" w14:textId="77777777" w:rsidR="00266BEE" w:rsidRPr="00874BAA" w:rsidRDefault="00266BEE" w:rsidP="00133458">
      <w:pPr>
        <w:pStyle w:val="ShadedBullet"/>
      </w:pPr>
      <w:r w:rsidRPr="00874BAA">
        <w:t>There was a trend for the 2015 Regular ADF with no disorder to be more likely to use the ADF website to inform/assess their mental health than the Transitioned ADF with no disorder.</w:t>
      </w:r>
    </w:p>
    <w:p w14:paraId="74FB9E49" w14:textId="77777777" w:rsidR="00266BEE" w:rsidRPr="00874BAA" w:rsidRDefault="00266BEE" w:rsidP="00133458">
      <w:pPr>
        <w:pStyle w:val="ShadedBullet"/>
      </w:pPr>
      <w:r w:rsidRPr="00874BAA">
        <w:t xml:space="preserve">There was no association between self-reported stigma or perceived barriers to care and use of the ADF website to assess/inform mental health among Transitioned and 2015 Regular ADF members with probable PTSD, anxiety/depression, depressive episodes, generalised anxiety disorder or 12-month suicidal ideation and behaviour. </w:t>
      </w:r>
    </w:p>
    <w:p w14:paraId="73F4597E" w14:textId="77777777" w:rsidR="00266BEE" w:rsidRPr="00874BAA" w:rsidRDefault="00266BEE" w:rsidP="00133458">
      <w:pPr>
        <w:pStyle w:val="ShadedBullet"/>
      </w:pPr>
      <w:r w:rsidRPr="00874BAA">
        <w:t>Among the 2015 Regular ADF with a probable alcohol disorder</w:t>
      </w:r>
      <w:r>
        <w:t>,</w:t>
      </w:r>
      <w:r w:rsidRPr="00874BAA">
        <w:t xml:space="preserve"> however, those without mental health stigmas or perceived barriers to care were substantially more likely to use the ADF website than those with stigmas or perceived barriers.</w:t>
      </w:r>
    </w:p>
    <w:p w14:paraId="001A2419" w14:textId="5E1D67EB" w:rsidR="00266BEE" w:rsidRPr="00874BAA" w:rsidRDefault="00266BEE" w:rsidP="00266BEE">
      <w:pPr>
        <w:pStyle w:val="ShadedBoxSubheading"/>
      </w:pPr>
      <w:r w:rsidRPr="00874BAA">
        <w:t xml:space="preserve">Use of a DVA or At Ease </w:t>
      </w:r>
      <w:r w:rsidR="00667E6B">
        <w:t>w</w:t>
      </w:r>
      <w:r w:rsidRPr="00874BAA">
        <w:t>ebsite</w:t>
      </w:r>
    </w:p>
    <w:p w14:paraId="05E78729" w14:textId="77777777" w:rsidR="00266BEE" w:rsidRPr="00874BAA" w:rsidRDefault="00266BEE" w:rsidP="00133458">
      <w:pPr>
        <w:pStyle w:val="ShadedBullet"/>
      </w:pPr>
      <w:r w:rsidRPr="00874BAA">
        <w:t xml:space="preserve">Overall, </w:t>
      </w:r>
      <w:r>
        <w:t xml:space="preserve">the </w:t>
      </w:r>
      <w:r w:rsidRPr="00874BAA">
        <w:t xml:space="preserve">use of the DVA or At Ease websites across the different mental disorder and symptom categories among the Transitioned ADF and the 2015 Regular ADF was relatively high and comparable to use of the internet for mental health overall. </w:t>
      </w:r>
    </w:p>
    <w:p w14:paraId="1E38EC97" w14:textId="155C6550" w:rsidR="00266BEE" w:rsidRPr="00874BAA" w:rsidRDefault="00266BEE" w:rsidP="00133458">
      <w:pPr>
        <w:pStyle w:val="ShadedBullet"/>
      </w:pPr>
      <w:r w:rsidRPr="00874BAA">
        <w:t>Approximately 30</w:t>
      </w:r>
      <w:r>
        <w:t>–</w:t>
      </w:r>
      <w:r w:rsidRPr="00874BAA">
        <w:t xml:space="preserve">40% of the Transitioned ADF with </w:t>
      </w:r>
      <w:r w:rsidR="00667E6B">
        <w:t xml:space="preserve">a </w:t>
      </w:r>
      <w:r w:rsidRPr="00874BAA">
        <w:t>probable disorder or suicidality and 16</w:t>
      </w:r>
      <w:r>
        <w:t>–</w:t>
      </w:r>
      <w:r w:rsidRPr="00874BAA">
        <w:t xml:space="preserve">42% of the 2015 Regular ADF reported using the DVA or At Ease </w:t>
      </w:r>
      <w:r w:rsidR="00667E6B">
        <w:t>w</w:t>
      </w:r>
      <w:r w:rsidRPr="00874BAA">
        <w:t>ebsite to inform/assess mental health.</w:t>
      </w:r>
      <w:r>
        <w:t xml:space="preserve"> </w:t>
      </w:r>
    </w:p>
    <w:p w14:paraId="08D923A7" w14:textId="751C13E1" w:rsidR="00266BEE" w:rsidRPr="00874BAA" w:rsidRDefault="00266BEE" w:rsidP="00133458">
      <w:pPr>
        <w:pStyle w:val="ShadedBullet"/>
      </w:pPr>
      <w:r w:rsidRPr="00874BAA">
        <w:t>Transitioned ADF members with probable PTSD (43.3%)</w:t>
      </w:r>
      <w:r>
        <w:t xml:space="preserve"> or</w:t>
      </w:r>
      <w:r w:rsidRPr="00874BAA">
        <w:t xml:space="preserve"> probable depressive episodes (40.3%) or who had made a suicid</w:t>
      </w:r>
      <w:r>
        <w:t>e</w:t>
      </w:r>
      <w:r w:rsidRPr="00874BAA">
        <w:t xml:space="preserve"> plan in the </w:t>
      </w:r>
      <w:r>
        <w:t>last 12 months</w:t>
      </w:r>
      <w:r w:rsidRPr="00874BAA">
        <w:t xml:space="preserve"> (42</w:t>
      </w:r>
      <w:r>
        <w:t>.0</w:t>
      </w:r>
      <w:r w:rsidRPr="00874BAA">
        <w:t xml:space="preserve">%) were most likely to use the DVA or At Ease </w:t>
      </w:r>
      <w:r w:rsidR="00667E6B">
        <w:t>w</w:t>
      </w:r>
      <w:r w:rsidRPr="00874BAA">
        <w:t>ebsite to inform/assess mental health.</w:t>
      </w:r>
    </w:p>
    <w:p w14:paraId="0D397335" w14:textId="41F59170" w:rsidR="00266BEE" w:rsidRPr="00874BAA" w:rsidRDefault="00266BEE" w:rsidP="00133458">
      <w:pPr>
        <w:pStyle w:val="ShadedBullet"/>
      </w:pPr>
      <w:r w:rsidRPr="00874BAA">
        <w:t>2015 Regular ADF members with probable PTSD (38.5%)</w:t>
      </w:r>
      <w:r>
        <w:t xml:space="preserve"> or</w:t>
      </w:r>
      <w:r w:rsidRPr="00874BAA">
        <w:t xml:space="preserve"> probable alcohol disorder (41.6%) or who had made a suicid</w:t>
      </w:r>
      <w:r>
        <w:t>e</w:t>
      </w:r>
      <w:r w:rsidRPr="00874BAA">
        <w:t xml:space="preserve"> plan in the </w:t>
      </w:r>
      <w:r>
        <w:t>last 12 months</w:t>
      </w:r>
      <w:r w:rsidRPr="00874BAA">
        <w:t xml:space="preserve"> (32.4%) were most likely to use the DVA or At Ease </w:t>
      </w:r>
      <w:r w:rsidR="00667E6B">
        <w:t>w</w:t>
      </w:r>
      <w:r w:rsidRPr="00874BAA">
        <w:t>ebsite to inform/assess mental health.</w:t>
      </w:r>
    </w:p>
    <w:p w14:paraId="7005768E" w14:textId="1DDB7617" w:rsidR="00266BEE" w:rsidRPr="00874BAA" w:rsidRDefault="00266BEE" w:rsidP="00133458">
      <w:pPr>
        <w:pStyle w:val="ShadedBullet"/>
      </w:pPr>
      <w:r w:rsidRPr="00874BAA">
        <w:t>In both the Transitioned ADF and 2015 Regular ADF</w:t>
      </w:r>
      <w:r>
        <w:t>,</w:t>
      </w:r>
      <w:r w:rsidRPr="00874BAA">
        <w:t xml:space="preserve"> there was little difference between the proportion of those with or without stigma and barriers who used the DVA or At Ease </w:t>
      </w:r>
      <w:r w:rsidR="00667E6B">
        <w:t>w</w:t>
      </w:r>
      <w:r w:rsidRPr="00874BAA">
        <w:t xml:space="preserve">ebsite, except for suicidality, whereby Transitioned ADF </w:t>
      </w:r>
      <w:r>
        <w:t>who reported</w:t>
      </w:r>
      <w:r w:rsidRPr="00874BAA">
        <w:t xml:space="preserve"> at least one mental health stig</w:t>
      </w:r>
      <w:r>
        <w:t>ma (31.5%) or perceived barrier</w:t>
      </w:r>
      <w:r w:rsidRPr="00874BAA">
        <w:t xml:space="preserve"> to care (30.8%) were more likely to use the DVA or At Ease website to inform/assess mental health than 2015 Regular ADF </w:t>
      </w:r>
      <w:r>
        <w:t>who reported</w:t>
      </w:r>
      <w:r w:rsidRPr="00874BAA">
        <w:t xml:space="preserve"> at least one mental health stigma (16.9%) or barrier (17.0%).</w:t>
      </w:r>
    </w:p>
    <w:p w14:paraId="1CA213EC" w14:textId="77777777" w:rsidR="00266BEE" w:rsidRPr="00874BAA" w:rsidRDefault="00266BEE" w:rsidP="00266BEE">
      <w:pPr>
        <w:pStyle w:val="ShadedBoxSubheading"/>
      </w:pPr>
      <w:r w:rsidRPr="00874BAA">
        <w:t xml:space="preserve">Use of </w:t>
      </w:r>
      <w:r>
        <w:t>civilian mental</w:t>
      </w:r>
      <w:r w:rsidRPr="00874BAA">
        <w:t xml:space="preserve"> </w:t>
      </w:r>
      <w:r>
        <w:t>h</w:t>
      </w:r>
      <w:r w:rsidRPr="00874BAA">
        <w:t xml:space="preserve">ealth </w:t>
      </w:r>
      <w:r>
        <w:t>w</w:t>
      </w:r>
      <w:r w:rsidRPr="00874BAA">
        <w:t>ebsites</w:t>
      </w:r>
    </w:p>
    <w:p w14:paraId="10E2F704" w14:textId="77777777" w:rsidR="00266BEE" w:rsidRPr="00874BAA" w:rsidRDefault="00266BEE" w:rsidP="00133458">
      <w:pPr>
        <w:pStyle w:val="ShadedBullet"/>
      </w:pPr>
      <w:bookmarkStart w:id="964" w:name="_Toc518566430"/>
      <w:r w:rsidRPr="00874BAA">
        <w:t>An estimated 25</w:t>
      </w:r>
      <w:r>
        <w:t>–</w:t>
      </w:r>
      <w:r w:rsidRPr="00874BAA">
        <w:t>30% of the Transitioned ADF and 18</w:t>
      </w:r>
      <w:r>
        <w:t>–</w:t>
      </w:r>
      <w:r w:rsidRPr="00874BAA">
        <w:t xml:space="preserve">33% of the 2015 Regular ADF with a probable disorder used a </w:t>
      </w:r>
      <w:r>
        <w:t>civilian mental</w:t>
      </w:r>
      <w:r w:rsidRPr="00874BAA">
        <w:t xml:space="preserve"> website to inform/assess their mental health.</w:t>
      </w:r>
      <w:bookmarkEnd w:id="964"/>
      <w:r w:rsidRPr="00874BAA">
        <w:t xml:space="preserve"> </w:t>
      </w:r>
    </w:p>
    <w:p w14:paraId="6E2B035B" w14:textId="77777777" w:rsidR="00266BEE" w:rsidRPr="00E3181B" w:rsidRDefault="00266BEE" w:rsidP="00133458">
      <w:pPr>
        <w:pStyle w:val="ShadedBullet"/>
      </w:pPr>
      <w:bookmarkStart w:id="965" w:name="_Toc518566431"/>
      <w:r w:rsidRPr="00E3181B">
        <w:t xml:space="preserve">Less than 12% of the Transitioned ADF and 2015 Regular ADF used a </w:t>
      </w:r>
      <w:r>
        <w:t>civilian mental</w:t>
      </w:r>
      <w:r w:rsidRPr="00E3181B">
        <w:t xml:space="preserve"> </w:t>
      </w:r>
      <w:r>
        <w:t xml:space="preserve">health </w:t>
      </w:r>
      <w:r w:rsidRPr="00E3181B">
        <w:t>website if they did not have a disorder.</w:t>
      </w:r>
      <w:bookmarkEnd w:id="965"/>
    </w:p>
    <w:p w14:paraId="032CAF07" w14:textId="77777777" w:rsidR="00266BEE" w:rsidRPr="00874BAA" w:rsidRDefault="00266BEE" w:rsidP="00133458">
      <w:pPr>
        <w:pStyle w:val="ShadedBullet"/>
      </w:pPr>
      <w:r w:rsidRPr="00874BAA">
        <w:t>Transitioned ADF members who had made a suicid</w:t>
      </w:r>
      <w:r>
        <w:t>e</w:t>
      </w:r>
      <w:r w:rsidRPr="00874BAA">
        <w:t xml:space="preserve"> plan in the </w:t>
      </w:r>
      <w:r>
        <w:t xml:space="preserve">last 12 months (34.7%) or who had </w:t>
      </w:r>
      <w:r w:rsidRPr="00874BAA">
        <w:t xml:space="preserve">probable PTSD (29.6%) were most likely to use other </w:t>
      </w:r>
      <w:r>
        <w:t>civilian mental health websites</w:t>
      </w:r>
      <w:r w:rsidRPr="00874BAA">
        <w:t xml:space="preserve"> to inform/assess mental health.</w:t>
      </w:r>
    </w:p>
    <w:p w14:paraId="6443417C" w14:textId="77777777" w:rsidR="00266BEE" w:rsidRPr="00874BAA" w:rsidRDefault="00266BEE" w:rsidP="00133458">
      <w:pPr>
        <w:pStyle w:val="ShadedBullet"/>
      </w:pPr>
      <w:r w:rsidRPr="00874BAA">
        <w:t xml:space="preserve">2015 Regular ADF members with probable depressive episodes (32.8%) or probable alcohol disorder (32.0%) were most likely to use other </w:t>
      </w:r>
      <w:r>
        <w:t>civilian mental health websites</w:t>
      </w:r>
      <w:r w:rsidRPr="00874BAA">
        <w:t xml:space="preserve"> to inform/assess mental health.</w:t>
      </w:r>
    </w:p>
    <w:p w14:paraId="033416C2" w14:textId="77777777" w:rsidR="00266BEE" w:rsidRPr="00874BAA" w:rsidRDefault="00266BEE" w:rsidP="00133458">
      <w:pPr>
        <w:pStyle w:val="ShadedBullet"/>
      </w:pPr>
      <w:bookmarkStart w:id="966" w:name="_Toc518566432"/>
      <w:r w:rsidRPr="00874BAA">
        <w:t xml:space="preserve">Overall, there was no association between self-reported stigma and perceived barriers to care and the use of other </w:t>
      </w:r>
      <w:r>
        <w:t>civilian mental health websites</w:t>
      </w:r>
      <w:r w:rsidRPr="00874BAA">
        <w:t xml:space="preserve"> to inform/assess mental health among Transitioned and 2015 Regular ADF members with probable PTSD, 12-month suicidal ideation and behaviour or generalised anxiety disorder.</w:t>
      </w:r>
      <w:bookmarkEnd w:id="966"/>
      <w:r w:rsidRPr="00874BAA">
        <w:t xml:space="preserve"> </w:t>
      </w:r>
    </w:p>
    <w:p w14:paraId="0059B964" w14:textId="77777777" w:rsidR="00266BEE" w:rsidRPr="00E3181B" w:rsidRDefault="00266BEE" w:rsidP="00133458">
      <w:pPr>
        <w:pStyle w:val="ShadedBullet"/>
      </w:pPr>
      <w:bookmarkStart w:id="967" w:name="_Toc518566433"/>
      <w:r w:rsidRPr="00E3181B">
        <w:t>Among those with a probable alcohol disorder</w:t>
      </w:r>
      <w:r>
        <w:t>,</w:t>
      </w:r>
      <w:r w:rsidRPr="00E3181B">
        <w:t xml:space="preserve"> however, a larger proportion of the 2015 Regular ADF with no stigmas used other </w:t>
      </w:r>
      <w:r>
        <w:t>civilian mental</w:t>
      </w:r>
      <w:r w:rsidRPr="00E3181B">
        <w:t xml:space="preserve"> health websites to inform/assess mental health compared to 2015 Regular ADF with at least one stigma and Transitioned ADF with no stigma.</w:t>
      </w:r>
      <w:bookmarkEnd w:id="967"/>
    </w:p>
    <w:p w14:paraId="0D29EB8E" w14:textId="77777777" w:rsidR="00266BEE" w:rsidRPr="00E3181B" w:rsidRDefault="00266BEE" w:rsidP="00133458">
      <w:pPr>
        <w:pStyle w:val="ShadedBullet"/>
      </w:pPr>
      <w:bookmarkStart w:id="968" w:name="_Toc518566434"/>
      <w:r w:rsidRPr="00E3181B">
        <w:t xml:space="preserve">Among those with probable anxiety/depression or depressive episodes, Transitioned ADF with at least one perceived barrier were more likely to use other </w:t>
      </w:r>
      <w:r>
        <w:t>civilian mental</w:t>
      </w:r>
      <w:r w:rsidRPr="00E3181B">
        <w:t xml:space="preserve"> health websites to inform/assess their mental health compared to those with no perceived barriers to care.</w:t>
      </w:r>
      <w:bookmarkEnd w:id="968"/>
      <w:r w:rsidRPr="00E3181B">
        <w:t xml:space="preserve"> </w:t>
      </w:r>
      <w:bookmarkStart w:id="969" w:name="_Toc518566435"/>
    </w:p>
    <w:p w14:paraId="1C3E4FDE" w14:textId="77777777" w:rsidR="00266BEE" w:rsidRDefault="00266BEE" w:rsidP="00133458">
      <w:pPr>
        <w:pStyle w:val="ShadedBullet"/>
      </w:pPr>
      <w:r w:rsidRPr="00E3181B">
        <w:t xml:space="preserve">In contrast, those with a probable alcohol disorder and no barriers were more likely to use a </w:t>
      </w:r>
      <w:r>
        <w:t>civilian mental</w:t>
      </w:r>
      <w:r w:rsidRPr="00E3181B">
        <w:t xml:space="preserve"> health website to inform/assess their mental health than those with at least one barrier</w:t>
      </w:r>
      <w:bookmarkEnd w:id="969"/>
      <w:r w:rsidRPr="00E3181B">
        <w:t>.</w:t>
      </w:r>
    </w:p>
    <w:p w14:paraId="74B89F0E" w14:textId="77777777" w:rsidR="00513700" w:rsidRDefault="00513700" w:rsidP="004E24A7">
      <w:pPr>
        <w:pStyle w:val="ShadedBoxText"/>
      </w:pPr>
      <w:r w:rsidRPr="00D4741B">
        <w:rPr>
          <w:b/>
        </w:rPr>
        <w:t>Glossary:</w:t>
      </w:r>
      <w:r w:rsidRPr="00D4741B">
        <w:t xml:space="preserve"> refer to the </w:t>
      </w:r>
      <w:r w:rsidRPr="00104D02">
        <w:t>Glossary</w:t>
      </w:r>
      <w:r w:rsidRPr="00D4741B">
        <w:t xml:space="preserve"> of terms for definitions of key terms.</w:t>
      </w:r>
    </w:p>
    <w:p w14:paraId="1D8AC476" w14:textId="77777777" w:rsidR="00266BEE" w:rsidRPr="007E66F4" w:rsidRDefault="00266BEE" w:rsidP="00266BEE">
      <w:pPr>
        <w:pStyle w:val="Heading2"/>
        <w:numPr>
          <w:ilvl w:val="1"/>
          <w:numId w:val="1"/>
        </w:numPr>
        <w:ind w:left="720" w:hanging="720"/>
      </w:pPr>
      <w:bookmarkStart w:id="970" w:name="_Toc509917470"/>
      <w:bookmarkStart w:id="971" w:name="_Toc515374538"/>
      <w:bookmarkStart w:id="972" w:name="_Toc518566436"/>
      <w:bookmarkStart w:id="973" w:name="_Toc528932714"/>
      <w:bookmarkStart w:id="974" w:name="_Toc531859251"/>
      <w:r w:rsidRPr="007E66F4">
        <w:t>Introduction</w:t>
      </w:r>
      <w:bookmarkEnd w:id="970"/>
      <w:bookmarkEnd w:id="971"/>
      <w:bookmarkEnd w:id="972"/>
      <w:bookmarkEnd w:id="973"/>
      <w:bookmarkEnd w:id="974"/>
    </w:p>
    <w:p w14:paraId="6F9FAC8E" w14:textId="77777777" w:rsidR="00266BEE" w:rsidRDefault="00266BEE" w:rsidP="00266BEE">
      <w:r>
        <w:t>This chapter explores the use of the internet to inform or assess mental health among Transitioned and 2015 Regular ADF members according to the presence or absence of probable mental disorder. The key questions examined were:</w:t>
      </w:r>
    </w:p>
    <w:p w14:paraId="5BABC94B" w14:textId="77777777" w:rsidR="00266BEE" w:rsidRDefault="00266BEE" w:rsidP="00266BEE">
      <w:pPr>
        <w:pStyle w:val="Bullet"/>
        <w:numPr>
          <w:ilvl w:val="0"/>
          <w:numId w:val="3"/>
        </w:numPr>
        <w:ind w:left="360"/>
      </w:pPr>
      <w:r>
        <w:t>‘Do you use the internet to seek help or information for, or manage, mental health issues?’</w:t>
      </w:r>
    </w:p>
    <w:p w14:paraId="685634A9" w14:textId="77777777" w:rsidR="00266BEE" w:rsidRPr="008F50E6" w:rsidRDefault="00266BEE" w:rsidP="00266BEE">
      <w:pPr>
        <w:pStyle w:val="Bullet"/>
        <w:numPr>
          <w:ilvl w:val="0"/>
          <w:numId w:val="3"/>
        </w:numPr>
        <w:ind w:left="360"/>
        <w:rPr>
          <w:lang w:eastAsia="en-AU"/>
        </w:rPr>
      </w:pPr>
      <w:r>
        <w:t>‘</w:t>
      </w:r>
      <w:r w:rsidRPr="008F50E6">
        <w:rPr>
          <w:lang w:eastAsia="en-AU"/>
        </w:rPr>
        <w:t>In the past 12 months have you used the ADF website to inform or assess your mental health?</w:t>
      </w:r>
      <w:r>
        <w:rPr>
          <w:lang w:eastAsia="en-AU"/>
        </w:rPr>
        <w:t>’ (In the survey ‘mental health’ was defined as including but not restricted to such things a stress, anxiety, depression or problems with alcohol or drugs.)</w:t>
      </w:r>
    </w:p>
    <w:p w14:paraId="4E2F1F3F" w14:textId="77777777" w:rsidR="00266BEE" w:rsidRDefault="00266BEE" w:rsidP="00266BEE">
      <w:pPr>
        <w:pStyle w:val="Bullet"/>
        <w:numPr>
          <w:ilvl w:val="0"/>
          <w:numId w:val="3"/>
        </w:numPr>
        <w:ind w:left="360"/>
        <w:rPr>
          <w:lang w:eastAsia="en-AU"/>
        </w:rPr>
      </w:pPr>
      <w:r>
        <w:t>‘</w:t>
      </w:r>
      <w:r w:rsidRPr="008F50E6">
        <w:rPr>
          <w:lang w:eastAsia="en-AU"/>
        </w:rPr>
        <w:t>In the past 12 months have you used the DVA or At Ease website to inform or assess your mental health?</w:t>
      </w:r>
      <w:r>
        <w:rPr>
          <w:lang w:eastAsia="en-AU"/>
        </w:rPr>
        <w:t>’</w:t>
      </w:r>
    </w:p>
    <w:p w14:paraId="00CE844A" w14:textId="77777777" w:rsidR="00266BEE" w:rsidRDefault="00266BEE" w:rsidP="00266BEE">
      <w:pPr>
        <w:pStyle w:val="Bullet"/>
        <w:numPr>
          <w:ilvl w:val="0"/>
          <w:numId w:val="3"/>
        </w:numPr>
        <w:ind w:left="360"/>
        <w:rPr>
          <w:lang w:eastAsia="en-AU"/>
        </w:rPr>
      </w:pPr>
      <w:r>
        <w:t>‘</w:t>
      </w:r>
      <w:r w:rsidRPr="0061739E">
        <w:rPr>
          <w:lang w:eastAsia="en-AU"/>
        </w:rPr>
        <w:t xml:space="preserve">In the past 12 months have you used </w:t>
      </w:r>
      <w:r>
        <w:rPr>
          <w:lang w:eastAsia="en-AU"/>
        </w:rPr>
        <w:t xml:space="preserve">other websites (either Black Dog institute website, HeadSpace website, Beyond Blue website, Mindhealthconnect website, Lifeline website, Kids Helpline Website, Mens Helpline website, other health website) </w:t>
      </w:r>
      <w:r w:rsidRPr="0061739E">
        <w:rPr>
          <w:lang w:eastAsia="en-AU"/>
        </w:rPr>
        <w:t>to inform or assess your mental health?</w:t>
      </w:r>
      <w:r>
        <w:rPr>
          <w:lang w:eastAsia="en-AU"/>
        </w:rPr>
        <w:t>’</w:t>
      </w:r>
    </w:p>
    <w:p w14:paraId="0DB5BA8A" w14:textId="77777777" w:rsidR="00266BEE" w:rsidRPr="0061739E" w:rsidRDefault="00266BEE" w:rsidP="00266BEE">
      <w:pPr>
        <w:pStyle w:val="Bullet"/>
        <w:numPr>
          <w:ilvl w:val="0"/>
          <w:numId w:val="3"/>
        </w:numPr>
        <w:ind w:left="360"/>
        <w:rPr>
          <w:lang w:eastAsia="en-AU"/>
        </w:rPr>
      </w:pPr>
      <w:r w:rsidRPr="00146249">
        <w:rPr>
          <w:lang w:eastAsia="en-AU"/>
        </w:rPr>
        <w:t xml:space="preserve">‘In the last 12 months did you use VVCS </w:t>
      </w:r>
      <w:r>
        <w:rPr>
          <w:lang w:eastAsia="en-AU"/>
        </w:rPr>
        <w:t>V</w:t>
      </w:r>
      <w:r w:rsidRPr="00146249">
        <w:rPr>
          <w:lang w:eastAsia="en-AU"/>
        </w:rPr>
        <w:t>etline to inform/assess your mental health?</w:t>
      </w:r>
    </w:p>
    <w:p w14:paraId="0FC207B2" w14:textId="77777777" w:rsidR="00266BEE" w:rsidRPr="008F50E6" w:rsidRDefault="00266BEE" w:rsidP="00266BEE">
      <w:pPr>
        <w:rPr>
          <w:lang w:eastAsia="en-AU"/>
        </w:rPr>
      </w:pPr>
      <w:r>
        <w:rPr>
          <w:lang w:eastAsia="en-AU"/>
        </w:rPr>
        <w:t xml:space="preserve">The purpose of this chapter is to examine whether use of the internet (in particular DVA, Defence and other websites providing mental health information) differs according to the type (PTSD, anxiety/affective disorder, alcohol disorder, depressive episodes, suicidality and generalised anxiety disorder) and severity (no disorder, </w:t>
      </w:r>
      <w:r w:rsidR="007155C2">
        <w:rPr>
          <w:lang w:eastAsia="en-AU"/>
        </w:rPr>
        <w:t>subsyndromal</w:t>
      </w:r>
      <w:r>
        <w:rPr>
          <w:lang w:eastAsia="en-AU"/>
        </w:rPr>
        <w:t xml:space="preserve"> disorder and probable disorder) of mental health symptoms reported by Transitioned ADF and 2015 Regular ADF members. </w:t>
      </w:r>
    </w:p>
    <w:p w14:paraId="21ADE230" w14:textId="77777777" w:rsidR="00266BEE" w:rsidRDefault="00266BEE" w:rsidP="00266BEE">
      <w:pPr>
        <w:rPr>
          <w:rFonts w:cs="Calibri"/>
        </w:rPr>
      </w:pPr>
      <w:r>
        <w:rPr>
          <w:rFonts w:cs="Calibri"/>
        </w:rPr>
        <w:t>Each section begins with a detailed breakdown of the use of the internet/websites/VVCS Vetline among Transitioned ADF and 2015 Regular ADF members with</w:t>
      </w:r>
      <w:r w:rsidRPr="004F539F">
        <w:rPr>
          <w:rFonts w:cs="Calibri"/>
        </w:rPr>
        <w:t xml:space="preserve"> </w:t>
      </w:r>
      <w:r>
        <w:rPr>
          <w:rFonts w:cs="Calibri"/>
        </w:rPr>
        <w:t xml:space="preserve">a </w:t>
      </w:r>
      <w:r w:rsidRPr="004F539F">
        <w:rPr>
          <w:rFonts w:cs="Calibri"/>
        </w:rPr>
        <w:t xml:space="preserve">probable mental disorder, </w:t>
      </w:r>
      <w:r>
        <w:rPr>
          <w:rFonts w:cs="Calibri"/>
        </w:rPr>
        <w:t xml:space="preserve">a </w:t>
      </w:r>
      <w:r w:rsidR="007155C2">
        <w:rPr>
          <w:rFonts w:cs="Calibri"/>
        </w:rPr>
        <w:t>subsyndromal</w:t>
      </w:r>
      <w:r>
        <w:rPr>
          <w:rFonts w:cs="Calibri"/>
        </w:rPr>
        <w:t xml:space="preserve"> mental disorder</w:t>
      </w:r>
      <w:r w:rsidRPr="004F539F">
        <w:rPr>
          <w:rFonts w:cs="Calibri"/>
        </w:rPr>
        <w:t xml:space="preserve"> and no disorder</w:t>
      </w:r>
      <w:r>
        <w:rPr>
          <w:rFonts w:cs="Calibri"/>
        </w:rPr>
        <w:t xml:space="preserve">. </w:t>
      </w:r>
      <w:r w:rsidRPr="004F539F">
        <w:rPr>
          <w:rFonts w:cs="Calibri"/>
        </w:rPr>
        <w:t xml:space="preserve">This is followed by a focused examination </w:t>
      </w:r>
      <w:r>
        <w:rPr>
          <w:rFonts w:cs="Calibri"/>
        </w:rPr>
        <w:t>of the use of the internet/website/VVCS Vetline among those with a probable disorder who report mental health stigma</w:t>
      </w:r>
      <w:r w:rsidRPr="004F539F">
        <w:rPr>
          <w:rFonts w:cs="Calibri"/>
        </w:rPr>
        <w:t>s and barriers to care.</w:t>
      </w:r>
    </w:p>
    <w:p w14:paraId="26CB1535" w14:textId="77777777" w:rsidR="00266BEE" w:rsidRDefault="00266BEE" w:rsidP="00266BEE">
      <w:pPr>
        <w:rPr>
          <w:rFonts w:cs="Calibri"/>
        </w:rPr>
      </w:pPr>
      <w:r>
        <w:rPr>
          <w:rFonts w:cs="Calibri"/>
        </w:rPr>
        <w:t xml:space="preserve">Probable 30-day disorder, </w:t>
      </w:r>
      <w:r w:rsidR="007155C2">
        <w:rPr>
          <w:rFonts w:cs="Calibri"/>
        </w:rPr>
        <w:t>subsyndromal</w:t>
      </w:r>
      <w:r>
        <w:rPr>
          <w:rFonts w:cs="Calibri"/>
        </w:rPr>
        <w:t xml:space="preserve"> disorder and no disorder categories on the self-report measures of PTSD, psychological distress, alcohol use and depression were calculated using cut-offs on the PCL, K10, AUDIT and PHQ, which were</w:t>
      </w:r>
      <w:r w:rsidRPr="00531AB3">
        <w:rPr>
          <w:rFonts w:cs="Calibri"/>
        </w:rPr>
        <w:t xml:space="preserve"> developed as part of the 2010 ADF MHPWS (McFarlane et </w:t>
      </w:r>
      <w:r>
        <w:rPr>
          <w:rFonts w:cs="Calibri"/>
        </w:rPr>
        <w:t xml:space="preserve">al., 2011). </w:t>
      </w:r>
      <w:r w:rsidRPr="00531AB3">
        <w:rPr>
          <w:rFonts w:cs="Calibri"/>
        </w:rPr>
        <w:t>The epidemiological cut-off give</w:t>
      </w:r>
      <w:r>
        <w:rPr>
          <w:rFonts w:cs="Calibri"/>
        </w:rPr>
        <w:t>s</w:t>
      </w:r>
      <w:r w:rsidRPr="00531AB3">
        <w:rPr>
          <w:rFonts w:cs="Calibri"/>
        </w:rPr>
        <w:t xml:space="preserve"> the </w:t>
      </w:r>
      <w:r>
        <w:rPr>
          <w:rFonts w:cs="Calibri"/>
        </w:rPr>
        <w:t>‘</w:t>
      </w:r>
      <w:r w:rsidRPr="00531AB3">
        <w:rPr>
          <w:rFonts w:cs="Calibri"/>
        </w:rPr>
        <w:t>closest estimate of the true prevalence of 30-day ICD-10 disorder as measured by the CIDI</w:t>
      </w:r>
      <w:r>
        <w:rPr>
          <w:rFonts w:cs="Calibri"/>
        </w:rPr>
        <w:t>’</w:t>
      </w:r>
      <w:r w:rsidRPr="0077001F">
        <w:rPr>
          <w:rFonts w:cs="Calibri"/>
        </w:rPr>
        <w:t xml:space="preserve"> </w:t>
      </w:r>
      <w:r>
        <w:rPr>
          <w:rFonts w:cs="Calibri"/>
        </w:rPr>
        <w:t>(</w:t>
      </w:r>
      <w:r>
        <w:rPr>
          <w:rFonts w:cs="Calibri"/>
          <w:noProof/>
        </w:rPr>
        <w:t>McFarlane et al., 2011</w:t>
      </w:r>
      <w:r>
        <w:rPr>
          <w:rFonts w:cs="Calibri"/>
        </w:rPr>
        <w:t xml:space="preserve">, </w:t>
      </w:r>
      <w:r w:rsidRPr="00971E79">
        <w:rPr>
          <w:rFonts w:cs="Calibri"/>
        </w:rPr>
        <w:t>p</w:t>
      </w:r>
      <w:r>
        <w:rPr>
          <w:rFonts w:cs="Calibri"/>
        </w:rPr>
        <w:t xml:space="preserve">. </w:t>
      </w:r>
      <w:r w:rsidRPr="00971E79">
        <w:rPr>
          <w:rFonts w:cs="Calibri"/>
        </w:rPr>
        <w:t>103). The screening cut</w:t>
      </w:r>
      <w:r w:rsidRPr="00531AB3">
        <w:rPr>
          <w:rFonts w:cs="Calibri"/>
        </w:rPr>
        <w:t xml:space="preserve">-offs reflect a broader spectrum of moderate to severe symptoms rather than diagnosable disorder, allowing for potential early intervention. These screening cut-offs maximise potential identification of true cases but include a larger proportion of ‘false positives’ than the epidemiological cut-offs. </w:t>
      </w:r>
    </w:p>
    <w:p w14:paraId="57F95234" w14:textId="77777777" w:rsidR="00266BEE" w:rsidRDefault="00266BEE" w:rsidP="00266BEE">
      <w:pPr>
        <w:rPr>
          <w:rFonts w:cs="Calibri"/>
        </w:rPr>
      </w:pPr>
      <w:r w:rsidRPr="00531AB3">
        <w:rPr>
          <w:rFonts w:cs="Calibri"/>
        </w:rPr>
        <w:t>Where scores on the relevant measures fall above the optimal screening cut off, but below the optimal epidemiological cut off, this is referred to</w:t>
      </w:r>
      <w:r>
        <w:rPr>
          <w:rFonts w:cs="Calibri"/>
        </w:rPr>
        <w:t xml:space="preserve"> as</w:t>
      </w:r>
      <w:r w:rsidRPr="00531AB3">
        <w:rPr>
          <w:rFonts w:cs="Calibri"/>
        </w:rPr>
        <w:t xml:space="preserve"> ‘</w:t>
      </w:r>
      <w:r w:rsidR="007155C2">
        <w:rPr>
          <w:rFonts w:cs="Calibri"/>
        </w:rPr>
        <w:t>subsyndromal</w:t>
      </w:r>
      <w:r>
        <w:rPr>
          <w:rFonts w:cs="Calibri"/>
        </w:rPr>
        <w:t xml:space="preserve">’. </w:t>
      </w:r>
      <w:r w:rsidRPr="00531AB3">
        <w:rPr>
          <w:rFonts w:cs="Calibri"/>
        </w:rPr>
        <w:t>Where scores on the relevant measures are above both the optimal screening and epidemiological cut offs, this is referred to as ‘probable disorder’.</w:t>
      </w:r>
      <w:r>
        <w:rPr>
          <w:rFonts w:cs="Calibri"/>
        </w:rPr>
        <w:t xml:space="preserve"> The cut-offs used in this chapter to denote no disorder, </w:t>
      </w:r>
      <w:r w:rsidR="007155C2">
        <w:rPr>
          <w:rFonts w:cs="Calibri"/>
        </w:rPr>
        <w:t>subsyndromal</w:t>
      </w:r>
      <w:r>
        <w:rPr>
          <w:rFonts w:cs="Calibri"/>
        </w:rPr>
        <w:t xml:space="preserve"> disorder and probable disorder are presented in </w:t>
      </w:r>
      <w:r>
        <w:t xml:space="preserve">Table </w:t>
      </w:r>
      <w:r>
        <w:rPr>
          <w:noProof/>
        </w:rPr>
        <w:t>9</w:t>
      </w:r>
      <w:r>
        <w:t>.</w:t>
      </w:r>
      <w:r>
        <w:rPr>
          <w:noProof/>
        </w:rPr>
        <w:t>1</w:t>
      </w:r>
      <w:r>
        <w:rPr>
          <w:rFonts w:cs="Calibri"/>
        </w:rPr>
        <w:t xml:space="preserve"> below.</w:t>
      </w:r>
    </w:p>
    <w:p w14:paraId="12D38313" w14:textId="77777777" w:rsidR="00266BEE" w:rsidRPr="007E66F4" w:rsidRDefault="00266BEE" w:rsidP="00266BEE">
      <w:pPr>
        <w:pStyle w:val="TableName"/>
        <w:rPr>
          <w:rFonts w:cstheme="minorBidi"/>
        </w:rPr>
      </w:pPr>
      <w:bookmarkStart w:id="975" w:name="_Ref517422977"/>
      <w:bookmarkStart w:id="976" w:name="_Toc528932352"/>
      <w:bookmarkStart w:id="977" w:name="_Toc531858031"/>
      <w:r>
        <w:t xml:space="preserve">Table </w:t>
      </w:r>
      <w:r>
        <w:rPr>
          <w:noProof/>
        </w:rPr>
        <w:t>9</w:t>
      </w:r>
      <w:r>
        <w:t>.</w:t>
      </w:r>
      <w:r>
        <w:rPr>
          <w:noProof/>
        </w:rPr>
        <w:t>1</w:t>
      </w:r>
      <w:bookmarkEnd w:id="975"/>
      <w:r>
        <w:tab/>
      </w:r>
      <w:r w:rsidRPr="001D6EF5">
        <w:t xml:space="preserve">Screening and </w:t>
      </w:r>
      <w:r w:rsidRPr="008F50E6">
        <w:t>epidemiolog</w:t>
      </w:r>
      <w:r>
        <w:t>ical</w:t>
      </w:r>
      <w:r w:rsidRPr="008F50E6">
        <w:t xml:space="preserve"> cut</w:t>
      </w:r>
      <w:r>
        <w:t>-</w:t>
      </w:r>
      <w:r w:rsidRPr="008F50E6">
        <w:t xml:space="preserve">offs used to denote no disorder, </w:t>
      </w:r>
      <w:r w:rsidR="007155C2">
        <w:t>subsyndromal</w:t>
      </w:r>
      <w:r w:rsidRPr="008F50E6">
        <w:t xml:space="preserve"> disorder and probable disorder on the self-report mental health measures</w:t>
      </w:r>
      <w:bookmarkEnd w:id="976"/>
      <w:bookmarkEnd w:id="977"/>
    </w:p>
    <w:tbl>
      <w:tblPr>
        <w:tblW w:w="5000" w:type="pct"/>
        <w:tblBorders>
          <w:top w:val="single" w:sz="4" w:space="0" w:color="auto"/>
          <w:bottom w:val="single" w:sz="4" w:space="0" w:color="auto"/>
        </w:tblBorders>
        <w:tblLayout w:type="fixed"/>
        <w:tblCellMar>
          <w:left w:w="115" w:type="dxa"/>
          <w:right w:w="115" w:type="dxa"/>
        </w:tblCellMar>
        <w:tblLook w:val="04A0" w:firstRow="1" w:lastRow="0" w:firstColumn="1" w:lastColumn="0" w:noHBand="0" w:noVBand="1"/>
        <w:tblDescription w:val="Table 9.1 Screening and epidemiological cut-offs used to denote no disorder, subsyndromal disorder and probable disorder on the self-report mental health measures"/>
      </w:tblPr>
      <w:tblGrid>
        <w:gridCol w:w="2721"/>
        <w:gridCol w:w="1092"/>
        <w:gridCol w:w="1092"/>
        <w:gridCol w:w="1092"/>
        <w:gridCol w:w="1092"/>
      </w:tblGrid>
      <w:tr w:rsidR="00266BEE" w:rsidRPr="007E66F4" w14:paraId="60D987AD" w14:textId="77777777" w:rsidTr="00266BEE">
        <w:trPr>
          <w:cantSplit/>
          <w:tblHeader/>
        </w:trPr>
        <w:tc>
          <w:tcPr>
            <w:tcW w:w="1920" w:type="pct"/>
            <w:tcBorders>
              <w:top w:val="single" w:sz="4" w:space="0" w:color="auto"/>
              <w:left w:val="single" w:sz="4" w:space="0" w:color="auto"/>
              <w:bottom w:val="single" w:sz="4" w:space="0" w:color="auto"/>
              <w:right w:val="single" w:sz="4" w:space="0" w:color="auto"/>
            </w:tcBorders>
            <w:vAlign w:val="bottom"/>
          </w:tcPr>
          <w:p w14:paraId="57583A88" w14:textId="77777777" w:rsidR="00266BEE" w:rsidRPr="007E66F4" w:rsidRDefault="00266BEE" w:rsidP="00266BEE">
            <w:pPr>
              <w:pStyle w:val="TableText"/>
              <w:rPr>
                <w:b/>
              </w:rPr>
            </w:pPr>
            <w:r w:rsidRPr="007E66F4">
              <w:rPr>
                <w:b/>
              </w:rPr>
              <w:t xml:space="preserve">Mental </w:t>
            </w:r>
            <w:r>
              <w:rPr>
                <w:b/>
              </w:rPr>
              <w:t>d</w:t>
            </w:r>
            <w:r w:rsidRPr="007E66F4">
              <w:rPr>
                <w:b/>
              </w:rPr>
              <w:t>isorder</w:t>
            </w:r>
          </w:p>
        </w:tc>
        <w:tc>
          <w:tcPr>
            <w:tcW w:w="770" w:type="pct"/>
            <w:tcBorders>
              <w:top w:val="single" w:sz="4" w:space="0" w:color="auto"/>
              <w:left w:val="single" w:sz="4" w:space="0" w:color="auto"/>
              <w:bottom w:val="single" w:sz="4" w:space="0" w:color="auto"/>
              <w:right w:val="single" w:sz="4" w:space="0" w:color="auto"/>
            </w:tcBorders>
            <w:vAlign w:val="bottom"/>
          </w:tcPr>
          <w:p w14:paraId="6ECA49F2" w14:textId="77777777" w:rsidR="00266BEE" w:rsidRPr="007E66F4" w:rsidRDefault="00266BEE" w:rsidP="00266BEE">
            <w:pPr>
              <w:pStyle w:val="TableText"/>
              <w:jc w:val="right"/>
              <w:rPr>
                <w:b/>
              </w:rPr>
            </w:pPr>
            <w:r w:rsidRPr="007E66F4">
              <w:rPr>
                <w:b/>
              </w:rPr>
              <w:t>Measure</w:t>
            </w:r>
          </w:p>
        </w:tc>
        <w:tc>
          <w:tcPr>
            <w:tcW w:w="770" w:type="pct"/>
            <w:tcBorders>
              <w:top w:val="single" w:sz="4" w:space="0" w:color="auto"/>
              <w:left w:val="single" w:sz="4" w:space="0" w:color="auto"/>
              <w:bottom w:val="single" w:sz="4" w:space="0" w:color="auto"/>
              <w:right w:val="single" w:sz="4" w:space="0" w:color="auto"/>
            </w:tcBorders>
            <w:vAlign w:val="bottom"/>
          </w:tcPr>
          <w:p w14:paraId="6183C13F" w14:textId="77777777" w:rsidR="00266BEE" w:rsidRPr="007E66F4" w:rsidRDefault="00266BEE" w:rsidP="00266BEE">
            <w:pPr>
              <w:pStyle w:val="TableText"/>
              <w:jc w:val="right"/>
              <w:rPr>
                <w:b/>
              </w:rPr>
            </w:pPr>
            <w:r w:rsidRPr="007E66F4">
              <w:rPr>
                <w:b/>
              </w:rPr>
              <w:t xml:space="preserve">No </w:t>
            </w:r>
            <w:r>
              <w:rPr>
                <w:b/>
              </w:rPr>
              <w:t>d</w:t>
            </w:r>
            <w:r w:rsidRPr="007E66F4">
              <w:rPr>
                <w:b/>
              </w:rPr>
              <w:t>isorder</w:t>
            </w:r>
          </w:p>
        </w:tc>
        <w:tc>
          <w:tcPr>
            <w:tcW w:w="770" w:type="pct"/>
            <w:tcBorders>
              <w:top w:val="single" w:sz="4" w:space="0" w:color="auto"/>
              <w:left w:val="single" w:sz="4" w:space="0" w:color="auto"/>
              <w:bottom w:val="single" w:sz="4" w:space="0" w:color="auto"/>
              <w:right w:val="single" w:sz="4" w:space="0" w:color="auto"/>
            </w:tcBorders>
            <w:vAlign w:val="bottom"/>
          </w:tcPr>
          <w:p w14:paraId="1699834D" w14:textId="77777777" w:rsidR="00266BEE" w:rsidRPr="007E66F4" w:rsidRDefault="007155C2" w:rsidP="00266BEE">
            <w:pPr>
              <w:pStyle w:val="TableText"/>
              <w:jc w:val="right"/>
              <w:rPr>
                <w:b/>
              </w:rPr>
            </w:pPr>
            <w:r>
              <w:rPr>
                <w:b/>
              </w:rPr>
              <w:t>Subsyndromal</w:t>
            </w:r>
            <w:r w:rsidR="00266BEE" w:rsidRPr="007E66F4">
              <w:rPr>
                <w:b/>
              </w:rPr>
              <w:t xml:space="preserve"> </w:t>
            </w:r>
            <w:r w:rsidR="00266BEE">
              <w:rPr>
                <w:b/>
              </w:rPr>
              <w:t>d</w:t>
            </w:r>
            <w:r w:rsidR="00266BEE" w:rsidRPr="007E66F4">
              <w:rPr>
                <w:b/>
              </w:rPr>
              <w:t>isorder</w:t>
            </w:r>
          </w:p>
        </w:tc>
        <w:tc>
          <w:tcPr>
            <w:tcW w:w="770" w:type="pct"/>
            <w:tcBorders>
              <w:top w:val="single" w:sz="4" w:space="0" w:color="auto"/>
              <w:left w:val="single" w:sz="4" w:space="0" w:color="auto"/>
              <w:bottom w:val="single" w:sz="4" w:space="0" w:color="auto"/>
              <w:right w:val="single" w:sz="4" w:space="0" w:color="auto"/>
            </w:tcBorders>
            <w:vAlign w:val="bottom"/>
          </w:tcPr>
          <w:p w14:paraId="1A4EECA7" w14:textId="77777777" w:rsidR="00266BEE" w:rsidRPr="007E66F4" w:rsidRDefault="00266BEE" w:rsidP="00266BEE">
            <w:pPr>
              <w:pStyle w:val="TableText"/>
              <w:jc w:val="right"/>
              <w:rPr>
                <w:b/>
              </w:rPr>
            </w:pPr>
            <w:r w:rsidRPr="007E66F4">
              <w:rPr>
                <w:b/>
              </w:rPr>
              <w:t xml:space="preserve">Probable </w:t>
            </w:r>
            <w:r>
              <w:rPr>
                <w:b/>
              </w:rPr>
              <w:t>d</w:t>
            </w:r>
            <w:r w:rsidRPr="007E66F4">
              <w:rPr>
                <w:b/>
              </w:rPr>
              <w:t>isorder</w:t>
            </w:r>
          </w:p>
        </w:tc>
      </w:tr>
      <w:tr w:rsidR="00266BEE" w14:paraId="2F3E4601" w14:textId="77777777" w:rsidTr="00266BEE">
        <w:trPr>
          <w:cantSplit/>
        </w:trPr>
        <w:tc>
          <w:tcPr>
            <w:tcW w:w="1920" w:type="pct"/>
            <w:tcBorders>
              <w:top w:val="single" w:sz="4" w:space="0" w:color="auto"/>
              <w:left w:val="single" w:sz="4" w:space="0" w:color="auto"/>
              <w:right w:val="single" w:sz="4" w:space="0" w:color="auto"/>
            </w:tcBorders>
            <w:shd w:val="clear" w:color="auto" w:fill="D4E4FF" w:themeFill="text2" w:themeFillTint="1A"/>
          </w:tcPr>
          <w:p w14:paraId="1436DCDB" w14:textId="77777777" w:rsidR="00266BEE" w:rsidRDefault="00266BEE" w:rsidP="00E82294">
            <w:pPr>
              <w:pStyle w:val="TableText"/>
            </w:pPr>
            <w:r>
              <w:t>PTSD</w:t>
            </w:r>
          </w:p>
        </w:tc>
        <w:tc>
          <w:tcPr>
            <w:tcW w:w="770" w:type="pct"/>
            <w:tcBorders>
              <w:top w:val="single" w:sz="4" w:space="0" w:color="auto"/>
              <w:left w:val="single" w:sz="4" w:space="0" w:color="auto"/>
              <w:right w:val="single" w:sz="4" w:space="0" w:color="auto"/>
            </w:tcBorders>
            <w:shd w:val="clear" w:color="auto" w:fill="D4E4FF" w:themeFill="text2" w:themeFillTint="1A"/>
          </w:tcPr>
          <w:p w14:paraId="17C36B58" w14:textId="77777777" w:rsidR="00266BEE" w:rsidRDefault="00266BEE" w:rsidP="00E82294">
            <w:pPr>
              <w:pStyle w:val="TableText"/>
              <w:jc w:val="right"/>
            </w:pPr>
            <w:r>
              <w:t>PCL</w:t>
            </w:r>
          </w:p>
        </w:tc>
        <w:tc>
          <w:tcPr>
            <w:tcW w:w="770" w:type="pct"/>
            <w:tcBorders>
              <w:top w:val="single" w:sz="4" w:space="0" w:color="auto"/>
              <w:left w:val="single" w:sz="4" w:space="0" w:color="auto"/>
              <w:right w:val="single" w:sz="4" w:space="0" w:color="auto"/>
            </w:tcBorders>
            <w:shd w:val="clear" w:color="auto" w:fill="D4E4FF" w:themeFill="text2" w:themeFillTint="1A"/>
          </w:tcPr>
          <w:p w14:paraId="3EF9C1C5" w14:textId="77777777" w:rsidR="00266BEE" w:rsidRDefault="00266BEE" w:rsidP="00E82294">
            <w:pPr>
              <w:pStyle w:val="TableText"/>
              <w:jc w:val="right"/>
            </w:pPr>
            <w:r>
              <w:t>&lt;29</w:t>
            </w:r>
          </w:p>
        </w:tc>
        <w:tc>
          <w:tcPr>
            <w:tcW w:w="770" w:type="pct"/>
            <w:tcBorders>
              <w:top w:val="single" w:sz="4" w:space="0" w:color="auto"/>
              <w:left w:val="single" w:sz="4" w:space="0" w:color="auto"/>
              <w:right w:val="single" w:sz="4" w:space="0" w:color="auto"/>
            </w:tcBorders>
            <w:shd w:val="clear" w:color="auto" w:fill="D4E4FF" w:themeFill="text2" w:themeFillTint="1A"/>
          </w:tcPr>
          <w:p w14:paraId="0E8B8241" w14:textId="77777777" w:rsidR="00266BEE" w:rsidRDefault="00266BEE" w:rsidP="00E82294">
            <w:pPr>
              <w:pStyle w:val="TableText"/>
              <w:jc w:val="right"/>
            </w:pPr>
            <w:r>
              <w:t>29 – 52</w:t>
            </w:r>
          </w:p>
        </w:tc>
        <w:tc>
          <w:tcPr>
            <w:tcW w:w="770" w:type="pct"/>
            <w:tcBorders>
              <w:top w:val="single" w:sz="4" w:space="0" w:color="auto"/>
              <w:left w:val="single" w:sz="4" w:space="0" w:color="auto"/>
              <w:right w:val="single" w:sz="4" w:space="0" w:color="auto"/>
            </w:tcBorders>
            <w:shd w:val="clear" w:color="auto" w:fill="D4E4FF" w:themeFill="text2" w:themeFillTint="1A"/>
          </w:tcPr>
          <w:p w14:paraId="1910A95E" w14:textId="77777777" w:rsidR="00266BEE" w:rsidRDefault="00266BEE" w:rsidP="00E82294">
            <w:pPr>
              <w:pStyle w:val="TableText"/>
              <w:jc w:val="right"/>
            </w:pPr>
            <w:r>
              <w:t>53+</w:t>
            </w:r>
          </w:p>
        </w:tc>
      </w:tr>
      <w:tr w:rsidR="00266BEE" w14:paraId="47A2C292" w14:textId="77777777" w:rsidTr="00266BEE">
        <w:trPr>
          <w:cantSplit/>
        </w:trPr>
        <w:tc>
          <w:tcPr>
            <w:tcW w:w="1920" w:type="pct"/>
            <w:tcBorders>
              <w:left w:val="single" w:sz="4" w:space="0" w:color="auto"/>
              <w:right w:val="single" w:sz="4" w:space="0" w:color="auto"/>
            </w:tcBorders>
          </w:tcPr>
          <w:p w14:paraId="03105974" w14:textId="77777777" w:rsidR="00266BEE" w:rsidRDefault="00266BEE" w:rsidP="00E82294">
            <w:pPr>
              <w:pStyle w:val="TableText"/>
            </w:pPr>
            <w:r>
              <w:t xml:space="preserve">Anxiety/affective disorder (psychological distress) </w:t>
            </w:r>
          </w:p>
        </w:tc>
        <w:tc>
          <w:tcPr>
            <w:tcW w:w="770" w:type="pct"/>
            <w:tcBorders>
              <w:left w:val="single" w:sz="4" w:space="0" w:color="auto"/>
              <w:right w:val="single" w:sz="4" w:space="0" w:color="auto"/>
            </w:tcBorders>
          </w:tcPr>
          <w:p w14:paraId="25445663" w14:textId="77777777" w:rsidR="00266BEE" w:rsidRDefault="00266BEE" w:rsidP="00E82294">
            <w:pPr>
              <w:pStyle w:val="TableText"/>
              <w:jc w:val="right"/>
            </w:pPr>
            <w:r>
              <w:t>K10</w:t>
            </w:r>
          </w:p>
        </w:tc>
        <w:tc>
          <w:tcPr>
            <w:tcW w:w="770" w:type="pct"/>
            <w:tcBorders>
              <w:left w:val="single" w:sz="4" w:space="0" w:color="auto"/>
              <w:right w:val="single" w:sz="4" w:space="0" w:color="auto"/>
            </w:tcBorders>
          </w:tcPr>
          <w:p w14:paraId="49B2E3FE" w14:textId="77777777" w:rsidR="00266BEE" w:rsidRDefault="00266BEE" w:rsidP="00E82294">
            <w:pPr>
              <w:pStyle w:val="TableText"/>
              <w:jc w:val="right"/>
            </w:pPr>
            <w:r>
              <w:t>&lt;17</w:t>
            </w:r>
          </w:p>
        </w:tc>
        <w:tc>
          <w:tcPr>
            <w:tcW w:w="770" w:type="pct"/>
            <w:tcBorders>
              <w:left w:val="single" w:sz="4" w:space="0" w:color="auto"/>
              <w:right w:val="single" w:sz="4" w:space="0" w:color="auto"/>
            </w:tcBorders>
          </w:tcPr>
          <w:p w14:paraId="6EE15173" w14:textId="77777777" w:rsidR="00266BEE" w:rsidRDefault="00266BEE" w:rsidP="00E82294">
            <w:pPr>
              <w:pStyle w:val="TableText"/>
              <w:jc w:val="right"/>
            </w:pPr>
            <w:r>
              <w:t>17 – 24</w:t>
            </w:r>
          </w:p>
        </w:tc>
        <w:tc>
          <w:tcPr>
            <w:tcW w:w="770" w:type="pct"/>
            <w:tcBorders>
              <w:left w:val="single" w:sz="4" w:space="0" w:color="auto"/>
              <w:right w:val="single" w:sz="4" w:space="0" w:color="auto"/>
            </w:tcBorders>
          </w:tcPr>
          <w:p w14:paraId="54FEA23C" w14:textId="77777777" w:rsidR="00266BEE" w:rsidRDefault="00266BEE" w:rsidP="00E82294">
            <w:pPr>
              <w:pStyle w:val="TableText"/>
              <w:jc w:val="right"/>
            </w:pPr>
            <w:r>
              <w:t>25+</w:t>
            </w:r>
          </w:p>
        </w:tc>
      </w:tr>
      <w:tr w:rsidR="00266BEE" w14:paraId="310B7412" w14:textId="77777777" w:rsidTr="00266BEE">
        <w:trPr>
          <w:cantSplit/>
        </w:trPr>
        <w:tc>
          <w:tcPr>
            <w:tcW w:w="1920" w:type="pct"/>
            <w:tcBorders>
              <w:left w:val="single" w:sz="4" w:space="0" w:color="auto"/>
              <w:right w:val="single" w:sz="4" w:space="0" w:color="auto"/>
            </w:tcBorders>
            <w:shd w:val="clear" w:color="auto" w:fill="D4E4FF" w:themeFill="text2" w:themeFillTint="1A"/>
          </w:tcPr>
          <w:p w14:paraId="4A0F2EA9" w14:textId="77777777" w:rsidR="00266BEE" w:rsidRDefault="00266BEE" w:rsidP="00E82294">
            <w:pPr>
              <w:pStyle w:val="TableText"/>
            </w:pPr>
            <w:r>
              <w:t>Alcohol disorder</w:t>
            </w:r>
          </w:p>
        </w:tc>
        <w:tc>
          <w:tcPr>
            <w:tcW w:w="770" w:type="pct"/>
            <w:tcBorders>
              <w:left w:val="single" w:sz="4" w:space="0" w:color="auto"/>
              <w:right w:val="single" w:sz="4" w:space="0" w:color="auto"/>
            </w:tcBorders>
            <w:shd w:val="clear" w:color="auto" w:fill="D4E4FF" w:themeFill="text2" w:themeFillTint="1A"/>
          </w:tcPr>
          <w:p w14:paraId="437DD825" w14:textId="77777777" w:rsidR="00266BEE" w:rsidRDefault="00266BEE" w:rsidP="00E82294">
            <w:pPr>
              <w:pStyle w:val="TableText"/>
              <w:jc w:val="right"/>
            </w:pPr>
            <w:r>
              <w:t>AUDIT</w:t>
            </w:r>
          </w:p>
        </w:tc>
        <w:tc>
          <w:tcPr>
            <w:tcW w:w="770" w:type="pct"/>
            <w:tcBorders>
              <w:left w:val="single" w:sz="4" w:space="0" w:color="auto"/>
              <w:right w:val="single" w:sz="4" w:space="0" w:color="auto"/>
            </w:tcBorders>
            <w:shd w:val="clear" w:color="auto" w:fill="D4E4FF" w:themeFill="text2" w:themeFillTint="1A"/>
          </w:tcPr>
          <w:p w14:paraId="4DD9D99C" w14:textId="77777777" w:rsidR="00266BEE" w:rsidRDefault="00266BEE" w:rsidP="00E82294">
            <w:pPr>
              <w:pStyle w:val="TableText"/>
              <w:jc w:val="right"/>
            </w:pPr>
            <w:r>
              <w:t>&lt;8</w:t>
            </w:r>
          </w:p>
        </w:tc>
        <w:tc>
          <w:tcPr>
            <w:tcW w:w="770" w:type="pct"/>
            <w:tcBorders>
              <w:left w:val="single" w:sz="4" w:space="0" w:color="auto"/>
              <w:right w:val="single" w:sz="4" w:space="0" w:color="auto"/>
            </w:tcBorders>
            <w:shd w:val="clear" w:color="auto" w:fill="D4E4FF" w:themeFill="text2" w:themeFillTint="1A"/>
          </w:tcPr>
          <w:p w14:paraId="397E0B2A" w14:textId="77777777" w:rsidR="00266BEE" w:rsidRDefault="00266BEE" w:rsidP="00E82294">
            <w:pPr>
              <w:pStyle w:val="TableText"/>
              <w:jc w:val="right"/>
            </w:pPr>
            <w:r>
              <w:t>8 – 19</w:t>
            </w:r>
          </w:p>
        </w:tc>
        <w:tc>
          <w:tcPr>
            <w:tcW w:w="770" w:type="pct"/>
            <w:tcBorders>
              <w:left w:val="single" w:sz="4" w:space="0" w:color="auto"/>
              <w:right w:val="single" w:sz="4" w:space="0" w:color="auto"/>
            </w:tcBorders>
            <w:shd w:val="clear" w:color="auto" w:fill="D4E4FF" w:themeFill="text2" w:themeFillTint="1A"/>
          </w:tcPr>
          <w:p w14:paraId="337F2DC4" w14:textId="77777777" w:rsidR="00266BEE" w:rsidRDefault="00266BEE" w:rsidP="00E82294">
            <w:pPr>
              <w:pStyle w:val="TableText"/>
              <w:jc w:val="right"/>
            </w:pPr>
            <w:r>
              <w:t>20+</w:t>
            </w:r>
          </w:p>
        </w:tc>
      </w:tr>
      <w:tr w:rsidR="00266BEE" w14:paraId="2FE7FD8A" w14:textId="77777777" w:rsidTr="00266BEE">
        <w:trPr>
          <w:cantSplit/>
        </w:trPr>
        <w:tc>
          <w:tcPr>
            <w:tcW w:w="1920" w:type="pct"/>
            <w:tcBorders>
              <w:left w:val="single" w:sz="4" w:space="0" w:color="auto"/>
              <w:right w:val="single" w:sz="4" w:space="0" w:color="auto"/>
            </w:tcBorders>
          </w:tcPr>
          <w:p w14:paraId="1F70B567" w14:textId="77777777" w:rsidR="00266BEE" w:rsidRDefault="00266BEE" w:rsidP="00E82294">
            <w:pPr>
              <w:pStyle w:val="TableText"/>
            </w:pPr>
            <w:r>
              <w:t>Depressive episodes</w:t>
            </w:r>
          </w:p>
        </w:tc>
        <w:tc>
          <w:tcPr>
            <w:tcW w:w="770" w:type="pct"/>
            <w:tcBorders>
              <w:left w:val="single" w:sz="4" w:space="0" w:color="auto"/>
              <w:right w:val="single" w:sz="4" w:space="0" w:color="auto"/>
            </w:tcBorders>
          </w:tcPr>
          <w:p w14:paraId="41EBE23F" w14:textId="77777777" w:rsidR="00266BEE" w:rsidRDefault="00266BEE" w:rsidP="00E82294">
            <w:pPr>
              <w:pStyle w:val="TableText"/>
              <w:jc w:val="right"/>
            </w:pPr>
            <w:r>
              <w:t>PHQ</w:t>
            </w:r>
          </w:p>
        </w:tc>
        <w:tc>
          <w:tcPr>
            <w:tcW w:w="770" w:type="pct"/>
            <w:tcBorders>
              <w:left w:val="single" w:sz="4" w:space="0" w:color="auto"/>
              <w:right w:val="single" w:sz="4" w:space="0" w:color="auto"/>
            </w:tcBorders>
          </w:tcPr>
          <w:p w14:paraId="11535CB6" w14:textId="77777777" w:rsidR="00266BEE" w:rsidRDefault="00266BEE" w:rsidP="00E82294">
            <w:pPr>
              <w:pStyle w:val="TableText"/>
              <w:jc w:val="right"/>
            </w:pPr>
            <w:r>
              <w:t>&lt;6</w:t>
            </w:r>
          </w:p>
        </w:tc>
        <w:tc>
          <w:tcPr>
            <w:tcW w:w="770" w:type="pct"/>
            <w:tcBorders>
              <w:left w:val="single" w:sz="4" w:space="0" w:color="auto"/>
              <w:right w:val="single" w:sz="4" w:space="0" w:color="auto"/>
            </w:tcBorders>
          </w:tcPr>
          <w:p w14:paraId="46187314" w14:textId="77777777" w:rsidR="00266BEE" w:rsidRDefault="00266BEE" w:rsidP="00E82294">
            <w:pPr>
              <w:pStyle w:val="TableText"/>
              <w:jc w:val="right"/>
            </w:pPr>
            <w:r>
              <w:t>6 – 17</w:t>
            </w:r>
          </w:p>
        </w:tc>
        <w:tc>
          <w:tcPr>
            <w:tcW w:w="770" w:type="pct"/>
            <w:tcBorders>
              <w:left w:val="single" w:sz="4" w:space="0" w:color="auto"/>
              <w:right w:val="single" w:sz="4" w:space="0" w:color="auto"/>
            </w:tcBorders>
          </w:tcPr>
          <w:p w14:paraId="3303B29D" w14:textId="77777777" w:rsidR="00266BEE" w:rsidRDefault="00266BEE" w:rsidP="00E82294">
            <w:pPr>
              <w:pStyle w:val="TableText"/>
              <w:jc w:val="right"/>
            </w:pPr>
            <w:r>
              <w:t>18+</w:t>
            </w:r>
          </w:p>
        </w:tc>
      </w:tr>
      <w:tr w:rsidR="00266BEE" w14:paraId="7790CCD4" w14:textId="77777777" w:rsidTr="00266BEE">
        <w:trPr>
          <w:cantSplit/>
        </w:trPr>
        <w:tc>
          <w:tcPr>
            <w:tcW w:w="1920" w:type="pct"/>
            <w:tcBorders>
              <w:left w:val="single" w:sz="4" w:space="0" w:color="auto"/>
              <w:bottom w:val="single" w:sz="4" w:space="0" w:color="auto"/>
              <w:right w:val="single" w:sz="4" w:space="0" w:color="auto"/>
            </w:tcBorders>
            <w:shd w:val="clear" w:color="auto" w:fill="D4E4FF" w:themeFill="text2" w:themeFillTint="1A"/>
          </w:tcPr>
          <w:p w14:paraId="71F65C10" w14:textId="77777777" w:rsidR="00266BEE" w:rsidRDefault="00266BEE" w:rsidP="00E82294">
            <w:pPr>
              <w:pStyle w:val="TableText"/>
            </w:pPr>
            <w:r>
              <w:t>Generalised anxiety disorder</w:t>
            </w:r>
          </w:p>
        </w:tc>
        <w:tc>
          <w:tcPr>
            <w:tcW w:w="770" w:type="pct"/>
            <w:tcBorders>
              <w:left w:val="single" w:sz="4" w:space="0" w:color="auto"/>
              <w:bottom w:val="single" w:sz="4" w:space="0" w:color="auto"/>
              <w:right w:val="single" w:sz="4" w:space="0" w:color="auto"/>
            </w:tcBorders>
            <w:shd w:val="clear" w:color="auto" w:fill="D4E4FF" w:themeFill="text2" w:themeFillTint="1A"/>
          </w:tcPr>
          <w:p w14:paraId="1336D637" w14:textId="77777777" w:rsidR="00266BEE" w:rsidRDefault="00266BEE" w:rsidP="00E82294">
            <w:pPr>
              <w:pStyle w:val="TableText"/>
              <w:jc w:val="right"/>
            </w:pPr>
            <w:r>
              <w:t>GAD-7</w:t>
            </w:r>
          </w:p>
        </w:tc>
        <w:tc>
          <w:tcPr>
            <w:tcW w:w="770" w:type="pct"/>
            <w:tcBorders>
              <w:left w:val="single" w:sz="4" w:space="0" w:color="auto"/>
              <w:bottom w:val="single" w:sz="4" w:space="0" w:color="auto"/>
              <w:right w:val="single" w:sz="4" w:space="0" w:color="auto"/>
            </w:tcBorders>
            <w:shd w:val="clear" w:color="auto" w:fill="D4E4FF" w:themeFill="text2" w:themeFillTint="1A"/>
          </w:tcPr>
          <w:p w14:paraId="39C4ADF5" w14:textId="77777777" w:rsidR="00266BEE" w:rsidRDefault="00266BEE" w:rsidP="00E82294">
            <w:pPr>
              <w:pStyle w:val="TableText"/>
              <w:jc w:val="right"/>
            </w:pPr>
            <w:r>
              <w:t>N/A</w:t>
            </w:r>
          </w:p>
        </w:tc>
        <w:tc>
          <w:tcPr>
            <w:tcW w:w="770" w:type="pct"/>
            <w:tcBorders>
              <w:left w:val="single" w:sz="4" w:space="0" w:color="auto"/>
              <w:bottom w:val="single" w:sz="4" w:space="0" w:color="auto"/>
              <w:right w:val="single" w:sz="4" w:space="0" w:color="auto"/>
            </w:tcBorders>
            <w:shd w:val="clear" w:color="auto" w:fill="D4E4FF" w:themeFill="text2" w:themeFillTint="1A"/>
          </w:tcPr>
          <w:p w14:paraId="49526FC3" w14:textId="77777777" w:rsidR="00266BEE" w:rsidRDefault="00266BEE" w:rsidP="00E82294">
            <w:pPr>
              <w:pStyle w:val="TableText"/>
              <w:jc w:val="right"/>
            </w:pPr>
            <w:r>
              <w:t>N/A</w:t>
            </w:r>
          </w:p>
        </w:tc>
        <w:tc>
          <w:tcPr>
            <w:tcW w:w="770" w:type="pct"/>
            <w:tcBorders>
              <w:left w:val="single" w:sz="4" w:space="0" w:color="auto"/>
              <w:bottom w:val="single" w:sz="4" w:space="0" w:color="auto"/>
              <w:right w:val="single" w:sz="4" w:space="0" w:color="auto"/>
            </w:tcBorders>
            <w:shd w:val="clear" w:color="auto" w:fill="D4E4FF" w:themeFill="text2" w:themeFillTint="1A"/>
          </w:tcPr>
          <w:p w14:paraId="7A966AEC" w14:textId="77777777" w:rsidR="00266BEE" w:rsidRDefault="00266BEE" w:rsidP="00E82294">
            <w:pPr>
              <w:pStyle w:val="TableText"/>
              <w:jc w:val="right"/>
            </w:pPr>
            <w:r>
              <w:t>10+</w:t>
            </w:r>
          </w:p>
        </w:tc>
      </w:tr>
    </w:tbl>
    <w:p w14:paraId="090ECCD7" w14:textId="77777777" w:rsidR="00266BEE" w:rsidRDefault="00266BEE" w:rsidP="00266BEE">
      <w:pPr>
        <w:pStyle w:val="TableNotes"/>
      </w:pPr>
    </w:p>
    <w:p w14:paraId="17D51645" w14:textId="77777777" w:rsidR="00266BEE" w:rsidRDefault="00266BEE" w:rsidP="00266BEE">
      <w:r>
        <w:t>For 12-month suicidality, outcomes according to ‘suicidal ideation’, ‘suicide plan’, suicide attempts and ‘any suicidality’ (having either suicidal ideation OR a suicide plan OR a suicide attempt) are presented.</w:t>
      </w:r>
    </w:p>
    <w:p w14:paraId="64C41773" w14:textId="77777777" w:rsidR="00266BEE" w:rsidRPr="001D6EF5" w:rsidRDefault="00266BEE" w:rsidP="00266BEE">
      <w:r>
        <w:t>Responses on stigma</w:t>
      </w:r>
      <w:r w:rsidRPr="00360A62">
        <w:t xml:space="preserve"> </w:t>
      </w:r>
      <w:r>
        <w:t xml:space="preserve">and barriers to care </w:t>
      </w:r>
      <w:r w:rsidRPr="00360A62">
        <w:t xml:space="preserve">items </w:t>
      </w:r>
      <w:r>
        <w:t xml:space="preserve">were </w:t>
      </w:r>
      <w:r w:rsidRPr="00360A62">
        <w:t>scored on</w:t>
      </w:r>
      <w:r>
        <w:t xml:space="preserve"> a 5-point Likert scale. Response options</w:t>
      </w:r>
      <w:r w:rsidRPr="00360A62">
        <w:t xml:space="preserve"> were dichotomised to reflect ‘agree’ v</w:t>
      </w:r>
      <w:r>
        <w:t>ersu</w:t>
      </w:r>
      <w:r w:rsidRPr="00360A62">
        <w:t xml:space="preserve">s </w:t>
      </w:r>
      <w:r>
        <w:t>‘</w:t>
      </w:r>
      <w:r w:rsidRPr="00360A62">
        <w:t>uncertain/disagree</w:t>
      </w:r>
      <w:r>
        <w:t>’</w:t>
      </w:r>
      <w:r w:rsidRPr="00360A62">
        <w:t>, and then summed to create a stigma count variable</w:t>
      </w:r>
      <w:r>
        <w:t xml:space="preserve"> and a total barrier count variable</w:t>
      </w:r>
      <w:r w:rsidRPr="00360A62">
        <w:t>.</w:t>
      </w:r>
      <w:r>
        <w:t xml:space="preserve"> In this chapter, the total stigma count variables were further dichotomised in order to identify those with no stigmas and those with one or more stigmas, and the total barrier count variable was further dichotomised in order to identify those with no barriers and those with one or more barriers.</w:t>
      </w:r>
    </w:p>
    <w:p w14:paraId="51C4946E" w14:textId="77777777" w:rsidR="00266BEE" w:rsidRPr="007E66F4" w:rsidRDefault="00266BEE" w:rsidP="00266BEE">
      <w:pPr>
        <w:pStyle w:val="Heading2"/>
        <w:numPr>
          <w:ilvl w:val="1"/>
          <w:numId w:val="1"/>
        </w:numPr>
        <w:ind w:left="720" w:hanging="720"/>
      </w:pPr>
      <w:bookmarkStart w:id="978" w:name="_Toc515374539"/>
      <w:bookmarkStart w:id="979" w:name="_Toc518566437"/>
      <w:bookmarkStart w:id="980" w:name="_Toc528932715"/>
      <w:bookmarkStart w:id="981" w:name="_Toc531859252"/>
      <w:r w:rsidRPr="007E66F4">
        <w:t xml:space="preserve">Use of the </w:t>
      </w:r>
      <w:r>
        <w:t>internet</w:t>
      </w:r>
      <w:r w:rsidRPr="007E66F4">
        <w:t xml:space="preserve"> to seek help, information or to manage mental health issues in Transitioned </w:t>
      </w:r>
      <w:r>
        <w:t xml:space="preserve">ADF </w:t>
      </w:r>
      <w:r w:rsidRPr="007E66F4">
        <w:t xml:space="preserve">and </w:t>
      </w:r>
      <w:r>
        <w:t xml:space="preserve">2015 </w:t>
      </w:r>
      <w:r w:rsidRPr="007E66F4">
        <w:t>Regular ADF</w:t>
      </w:r>
      <w:bookmarkEnd w:id="978"/>
      <w:bookmarkEnd w:id="979"/>
      <w:bookmarkEnd w:id="980"/>
      <w:bookmarkEnd w:id="981"/>
      <w:r w:rsidRPr="007E66F4">
        <w:t xml:space="preserve"> </w:t>
      </w:r>
    </w:p>
    <w:p w14:paraId="7D7F3140" w14:textId="77777777" w:rsidR="00266BEE" w:rsidRPr="007E66F4" w:rsidRDefault="00266BEE" w:rsidP="00266BEE">
      <w:pPr>
        <w:pStyle w:val="Heading3"/>
        <w:numPr>
          <w:ilvl w:val="2"/>
          <w:numId w:val="1"/>
        </w:numPr>
      </w:pPr>
      <w:bookmarkStart w:id="982" w:name="_Toc515374540"/>
      <w:bookmarkStart w:id="983" w:name="_Toc518566438"/>
      <w:bookmarkStart w:id="984" w:name="_Toc528932716"/>
      <w:bookmarkStart w:id="985" w:name="_Toc531859253"/>
      <w:r w:rsidRPr="007E66F4">
        <w:t xml:space="preserve">Probable, </w:t>
      </w:r>
      <w:r w:rsidR="007155C2">
        <w:t>subsyndromal</w:t>
      </w:r>
      <w:r w:rsidRPr="007E66F4">
        <w:t xml:space="preserve"> and no disorder</w:t>
      </w:r>
      <w:bookmarkEnd w:id="982"/>
      <w:bookmarkEnd w:id="983"/>
      <w:bookmarkEnd w:id="984"/>
      <w:bookmarkEnd w:id="985"/>
    </w:p>
    <w:p w14:paraId="139156AB" w14:textId="77777777" w:rsidR="00266BEE" w:rsidRDefault="00266BEE" w:rsidP="00266BEE">
      <w:r>
        <w:t xml:space="preserve">This section examines the estimated proportion of the Transitioned and 2015 Regular ADF with a probable disorder, a </w:t>
      </w:r>
      <w:r w:rsidR="007155C2">
        <w:t>subsyndromal</w:t>
      </w:r>
      <w:r>
        <w:t xml:space="preserve"> disorder and no disorder who reported using the internet to seek help or information for, or to manage, mental health issues more broadly, not necessarily for their own mental health (Table 9.2).</w:t>
      </w:r>
    </w:p>
    <w:p w14:paraId="49B69FAF" w14:textId="34E42331" w:rsidR="00266BEE" w:rsidRPr="007E66F4" w:rsidRDefault="00266BEE" w:rsidP="00266BEE">
      <w:pPr>
        <w:rPr>
          <w:rFonts w:asciiTheme="minorHAnsi" w:hAnsiTheme="minorHAnsi"/>
          <w:szCs w:val="22"/>
        </w:rPr>
      </w:pPr>
      <w:r>
        <w:rPr>
          <w:rFonts w:asciiTheme="minorHAnsi" w:hAnsiTheme="minorHAnsi"/>
          <w:szCs w:val="22"/>
        </w:rPr>
        <w:t>Overall</w:t>
      </w:r>
      <w:r w:rsidR="00E3264E">
        <w:rPr>
          <w:rFonts w:asciiTheme="minorHAnsi" w:hAnsiTheme="minorHAnsi"/>
          <w:szCs w:val="22"/>
        </w:rPr>
        <w:t>,</w:t>
      </w:r>
      <w:r>
        <w:rPr>
          <w:rFonts w:asciiTheme="minorHAnsi" w:hAnsiTheme="minorHAnsi"/>
          <w:szCs w:val="22"/>
        </w:rPr>
        <w:t xml:space="preserve"> approximately 40% of the Transitioned ADF and 20–40% of the 2015 Regular ADF with a probable disorder </w:t>
      </w:r>
      <w:r w:rsidRPr="00B007BE">
        <w:rPr>
          <w:rFonts w:asciiTheme="minorHAnsi" w:hAnsiTheme="minorHAnsi"/>
          <w:szCs w:val="22"/>
        </w:rPr>
        <w:t>use</w:t>
      </w:r>
      <w:r>
        <w:rPr>
          <w:rFonts w:asciiTheme="minorHAnsi" w:hAnsiTheme="minorHAnsi"/>
          <w:szCs w:val="22"/>
        </w:rPr>
        <w:t>d</w:t>
      </w:r>
      <w:r w:rsidRPr="00B007BE">
        <w:rPr>
          <w:rFonts w:asciiTheme="minorHAnsi" w:hAnsiTheme="minorHAnsi"/>
          <w:szCs w:val="22"/>
        </w:rPr>
        <w:t xml:space="preserve"> the </w:t>
      </w:r>
      <w:r>
        <w:rPr>
          <w:rFonts w:asciiTheme="minorHAnsi" w:hAnsiTheme="minorHAnsi"/>
          <w:szCs w:val="22"/>
        </w:rPr>
        <w:t>internet</w:t>
      </w:r>
      <w:r w:rsidRPr="00B007BE">
        <w:rPr>
          <w:rFonts w:asciiTheme="minorHAnsi" w:hAnsiTheme="minorHAnsi"/>
          <w:szCs w:val="22"/>
        </w:rPr>
        <w:t xml:space="preserve"> for mental health across the different mental disorder</w:t>
      </w:r>
      <w:r>
        <w:rPr>
          <w:rFonts w:asciiTheme="minorHAnsi" w:hAnsiTheme="minorHAnsi"/>
          <w:szCs w:val="22"/>
        </w:rPr>
        <w:t xml:space="preserve">s, including suicidal thoughts and plans, PTSD, psychological distress, depressive disorder, generalised anxiety disorder and alcohol use. For </w:t>
      </w:r>
      <w:r w:rsidR="007155C2">
        <w:rPr>
          <w:rFonts w:asciiTheme="minorHAnsi" w:hAnsiTheme="minorHAnsi"/>
          <w:szCs w:val="22"/>
        </w:rPr>
        <w:t>subsyndromal</w:t>
      </w:r>
      <w:r>
        <w:rPr>
          <w:rFonts w:asciiTheme="minorHAnsi" w:hAnsiTheme="minorHAnsi"/>
          <w:szCs w:val="22"/>
        </w:rPr>
        <w:t xml:space="preserve"> symptoms, approximately 30% of the Transitioned ADF and 16–30% of </w:t>
      </w:r>
      <w:r w:rsidRPr="00B007BE">
        <w:rPr>
          <w:rFonts w:asciiTheme="minorHAnsi" w:hAnsiTheme="minorHAnsi"/>
          <w:szCs w:val="22"/>
        </w:rPr>
        <w:t xml:space="preserve">the 2015 Regular ADF </w:t>
      </w:r>
      <w:r>
        <w:rPr>
          <w:rFonts w:asciiTheme="minorHAnsi" w:hAnsiTheme="minorHAnsi"/>
          <w:szCs w:val="22"/>
        </w:rPr>
        <w:t xml:space="preserve">used the internet </w:t>
      </w:r>
      <w:r>
        <w:t>to seek help or information for or manage mental health issues</w:t>
      </w:r>
      <w:r>
        <w:rPr>
          <w:rFonts w:asciiTheme="minorHAnsi" w:hAnsiTheme="minorHAnsi"/>
          <w:szCs w:val="22"/>
        </w:rPr>
        <w:t xml:space="preserve">. The following sections examine the association between each mental disorder type and </w:t>
      </w:r>
      <w:r>
        <w:t>use of the internet to seek help or information for or manage mental health issues.</w:t>
      </w:r>
    </w:p>
    <w:p w14:paraId="7E18D3F0" w14:textId="77777777" w:rsidR="0077038F" w:rsidRDefault="0077038F" w:rsidP="00B926FE">
      <w:pPr>
        <w:sectPr w:rsidR="0077038F" w:rsidSect="0077038F">
          <w:type w:val="oddPage"/>
          <w:pgSz w:w="9979" w:h="14170" w:code="243"/>
          <w:pgMar w:top="1440" w:right="1152" w:bottom="1440" w:left="1728" w:header="576" w:footer="576" w:gutter="0"/>
          <w:cols w:space="708"/>
          <w:docGrid w:linePitch="360"/>
        </w:sectPr>
      </w:pPr>
    </w:p>
    <w:p w14:paraId="19879673" w14:textId="77777777" w:rsidR="00266BEE" w:rsidRDefault="00266BEE" w:rsidP="00266BEE">
      <w:pPr>
        <w:pStyle w:val="TableName"/>
      </w:pPr>
      <w:bookmarkStart w:id="986" w:name="_Toc531858032"/>
      <w:bookmarkStart w:id="987" w:name="_Ref509920543"/>
      <w:bookmarkStart w:id="988" w:name="_Toc509922902"/>
      <w:bookmarkStart w:id="989" w:name="_Toc515374677"/>
      <w:bookmarkStart w:id="990" w:name="_Toc528932353"/>
      <w:r w:rsidRPr="00866BCA">
        <w:t xml:space="preserve">Table </w:t>
      </w:r>
      <w:r>
        <w:rPr>
          <w:noProof/>
        </w:rPr>
        <w:t>9</w:t>
      </w:r>
      <w:r>
        <w:t>.</w:t>
      </w:r>
      <w:r>
        <w:rPr>
          <w:noProof/>
        </w:rPr>
        <w:t>2</w:t>
      </w:r>
      <w:r w:rsidRPr="00866BCA">
        <w:tab/>
        <w:t>Estimated proportion of Transitioned ADF and 2015 Regular ADF meeting criteria for key mental health outcomes who reported using the internet to seek help or information for, or to manage mental health issues</w:t>
      </w:r>
      <w:bookmarkEnd w:id="986"/>
    </w:p>
    <w:bookmarkEnd w:id="987"/>
    <w:bookmarkEnd w:id="988"/>
    <w:bookmarkEnd w:id="989"/>
    <w:bookmarkEnd w:id="990"/>
    <w:tbl>
      <w:tblPr>
        <w:tblStyle w:val="TWRPTable"/>
        <w:tblW w:w="5000" w:type="pct"/>
        <w:tblLayout w:type="fixed"/>
        <w:tblCellMar>
          <w:left w:w="115" w:type="dxa"/>
          <w:right w:w="115" w:type="dxa"/>
        </w:tblCellMar>
        <w:tblLook w:val="0000" w:firstRow="0" w:lastRow="0" w:firstColumn="0" w:lastColumn="0" w:noHBand="0" w:noVBand="0"/>
        <w:tblDescription w:val="Table 9.2 Estimated proportion of Transitioned ADF and 2015 Regular ADF meeting criteria for key mental health outcomes who reported using the internet to seek help or information for, or to manage mental health issues"/>
      </w:tblPr>
      <w:tblGrid>
        <w:gridCol w:w="2478"/>
        <w:gridCol w:w="530"/>
        <w:gridCol w:w="734"/>
        <w:gridCol w:w="951"/>
        <w:gridCol w:w="522"/>
        <w:gridCol w:w="794"/>
        <w:gridCol w:w="837"/>
        <w:gridCol w:w="488"/>
        <w:gridCol w:w="794"/>
        <w:gridCol w:w="935"/>
        <w:gridCol w:w="566"/>
        <w:gridCol w:w="794"/>
        <w:gridCol w:w="857"/>
      </w:tblGrid>
      <w:tr w:rsidR="00266BEE" w:rsidRPr="001F3926" w14:paraId="2BFA090B" w14:textId="77777777" w:rsidTr="00E82294">
        <w:trPr>
          <w:cantSplit/>
          <w:tblHeader/>
        </w:trPr>
        <w:tc>
          <w:tcPr>
            <w:tcW w:w="2546" w:type="dxa"/>
            <w:tcBorders>
              <w:top w:val="single" w:sz="4" w:space="0" w:color="000000"/>
              <w:bottom w:val="nil"/>
            </w:tcBorders>
          </w:tcPr>
          <w:p w14:paraId="01A381CA" w14:textId="77777777" w:rsidR="00266BEE" w:rsidRPr="001F3926" w:rsidRDefault="00266BEE" w:rsidP="00E82294">
            <w:pPr>
              <w:pStyle w:val="TableText"/>
            </w:pPr>
          </w:p>
        </w:tc>
        <w:tc>
          <w:tcPr>
            <w:tcW w:w="4454" w:type="dxa"/>
            <w:gridSpan w:val="6"/>
            <w:tcBorders>
              <w:top w:val="single" w:sz="4" w:space="0" w:color="000000"/>
              <w:bottom w:val="single" w:sz="4" w:space="0" w:color="000000"/>
            </w:tcBorders>
          </w:tcPr>
          <w:p w14:paraId="78B6C4D9" w14:textId="77777777" w:rsidR="00266BEE" w:rsidRPr="001F3926" w:rsidRDefault="00266BEE" w:rsidP="00E82294">
            <w:pPr>
              <w:pStyle w:val="TableText"/>
              <w:jc w:val="center"/>
              <w:rPr>
                <w:b/>
              </w:rPr>
            </w:pPr>
            <w:r w:rsidRPr="001F3926">
              <w:rPr>
                <w:b/>
                <w:bCs/>
              </w:rPr>
              <w:t>Transitioned ADF</w:t>
            </w:r>
            <w:r w:rsidR="00E82294" w:rsidRPr="001F3926">
              <w:rPr>
                <w:b/>
                <w:bCs/>
              </w:rPr>
              <w:br/>
            </w:r>
            <w:r w:rsidRPr="001F3926">
              <w:rPr>
                <w:b/>
                <w:bCs/>
              </w:rPr>
              <w:t>n=24,935</w:t>
            </w:r>
          </w:p>
        </w:tc>
        <w:tc>
          <w:tcPr>
            <w:tcW w:w="4520" w:type="dxa"/>
            <w:gridSpan w:val="6"/>
            <w:tcBorders>
              <w:top w:val="single" w:sz="4" w:space="0" w:color="000000"/>
              <w:bottom w:val="single" w:sz="4" w:space="0" w:color="000000"/>
            </w:tcBorders>
          </w:tcPr>
          <w:p w14:paraId="16AAA7F4" w14:textId="77777777" w:rsidR="00266BEE" w:rsidRPr="001F3926" w:rsidRDefault="00266BEE" w:rsidP="00E82294">
            <w:pPr>
              <w:pStyle w:val="TableText"/>
              <w:jc w:val="center"/>
              <w:rPr>
                <w:b/>
              </w:rPr>
            </w:pPr>
            <w:r w:rsidRPr="001F3926">
              <w:rPr>
                <w:b/>
                <w:bCs/>
              </w:rPr>
              <w:t>2015 Regular ADF</w:t>
            </w:r>
            <w:r w:rsidR="00E82294" w:rsidRPr="001F3926">
              <w:rPr>
                <w:b/>
                <w:bCs/>
              </w:rPr>
              <w:br/>
            </w:r>
            <w:r w:rsidRPr="001F3926">
              <w:rPr>
                <w:b/>
                <w:bCs/>
              </w:rPr>
              <w:t>n=52,500</w:t>
            </w:r>
          </w:p>
        </w:tc>
      </w:tr>
      <w:tr w:rsidR="00266BEE" w:rsidRPr="001F3926" w14:paraId="62B24B66" w14:textId="77777777" w:rsidTr="00E82294">
        <w:trPr>
          <w:cantSplit/>
          <w:tblHeader/>
        </w:trPr>
        <w:tc>
          <w:tcPr>
            <w:tcW w:w="2546" w:type="dxa"/>
            <w:tcBorders>
              <w:top w:val="nil"/>
              <w:bottom w:val="nil"/>
            </w:tcBorders>
          </w:tcPr>
          <w:p w14:paraId="3239B6D3" w14:textId="77777777" w:rsidR="00266BEE" w:rsidRPr="001F3926" w:rsidRDefault="00266BEE" w:rsidP="00E82294">
            <w:pPr>
              <w:pStyle w:val="TableText"/>
            </w:pPr>
          </w:p>
        </w:tc>
        <w:tc>
          <w:tcPr>
            <w:tcW w:w="2259" w:type="dxa"/>
            <w:gridSpan w:val="3"/>
            <w:tcBorders>
              <w:top w:val="single" w:sz="4" w:space="0" w:color="000000"/>
              <w:bottom w:val="single" w:sz="4" w:space="0" w:color="000000"/>
            </w:tcBorders>
          </w:tcPr>
          <w:p w14:paraId="6B278F98" w14:textId="77777777" w:rsidR="00266BEE" w:rsidRPr="001F3926" w:rsidRDefault="00266BEE" w:rsidP="00E82294">
            <w:pPr>
              <w:pStyle w:val="TableText"/>
              <w:jc w:val="center"/>
              <w:rPr>
                <w:b/>
              </w:rPr>
            </w:pPr>
            <w:r w:rsidRPr="001F3926">
              <w:rPr>
                <w:b/>
              </w:rPr>
              <w:t>No internet use</w:t>
            </w:r>
            <w:r w:rsidR="00E82294" w:rsidRPr="001F3926">
              <w:rPr>
                <w:b/>
              </w:rPr>
              <w:br/>
            </w:r>
            <w:r w:rsidRPr="001F3926">
              <w:rPr>
                <w:b/>
              </w:rPr>
              <w:t>n=18,667</w:t>
            </w:r>
          </w:p>
        </w:tc>
        <w:tc>
          <w:tcPr>
            <w:tcW w:w="2195" w:type="dxa"/>
            <w:gridSpan w:val="3"/>
            <w:tcBorders>
              <w:top w:val="single" w:sz="4" w:space="0" w:color="000000"/>
              <w:bottom w:val="single" w:sz="4" w:space="0" w:color="000000"/>
            </w:tcBorders>
          </w:tcPr>
          <w:p w14:paraId="67BCBD57" w14:textId="77777777" w:rsidR="00266BEE" w:rsidRPr="001F3926" w:rsidRDefault="00266BEE" w:rsidP="00E82294">
            <w:pPr>
              <w:pStyle w:val="TableText"/>
              <w:jc w:val="center"/>
              <w:rPr>
                <w:b/>
              </w:rPr>
            </w:pPr>
            <w:r w:rsidRPr="001F3926">
              <w:rPr>
                <w:b/>
              </w:rPr>
              <w:t>Internet use</w:t>
            </w:r>
            <w:r w:rsidR="00E82294" w:rsidRPr="001F3926">
              <w:rPr>
                <w:b/>
              </w:rPr>
              <w:br/>
            </w:r>
            <w:r w:rsidRPr="001F3926">
              <w:rPr>
                <w:b/>
              </w:rPr>
              <w:t>n=6116</w:t>
            </w:r>
          </w:p>
        </w:tc>
        <w:tc>
          <w:tcPr>
            <w:tcW w:w="2260" w:type="dxa"/>
            <w:gridSpan w:val="3"/>
            <w:tcBorders>
              <w:top w:val="single" w:sz="4" w:space="0" w:color="000000"/>
              <w:bottom w:val="single" w:sz="4" w:space="0" w:color="000000"/>
            </w:tcBorders>
          </w:tcPr>
          <w:p w14:paraId="4EB8AE03" w14:textId="77777777" w:rsidR="00266BEE" w:rsidRPr="001F3926" w:rsidRDefault="00266BEE" w:rsidP="00E82294">
            <w:pPr>
              <w:pStyle w:val="TableText"/>
              <w:jc w:val="center"/>
              <w:rPr>
                <w:b/>
              </w:rPr>
            </w:pPr>
            <w:r w:rsidRPr="001F3926">
              <w:rPr>
                <w:b/>
              </w:rPr>
              <w:t>No internet use</w:t>
            </w:r>
            <w:r w:rsidR="00E82294" w:rsidRPr="001F3926">
              <w:rPr>
                <w:b/>
              </w:rPr>
              <w:br/>
            </w:r>
            <w:r w:rsidRPr="001F3926">
              <w:rPr>
                <w:b/>
              </w:rPr>
              <w:t>n=42,914</w:t>
            </w:r>
          </w:p>
        </w:tc>
        <w:tc>
          <w:tcPr>
            <w:tcW w:w="2260" w:type="dxa"/>
            <w:gridSpan w:val="3"/>
            <w:tcBorders>
              <w:top w:val="single" w:sz="4" w:space="0" w:color="000000"/>
              <w:bottom w:val="single" w:sz="4" w:space="0" w:color="000000"/>
            </w:tcBorders>
          </w:tcPr>
          <w:p w14:paraId="1DF88926" w14:textId="77777777" w:rsidR="00266BEE" w:rsidRPr="001F3926" w:rsidRDefault="00266BEE" w:rsidP="00E82294">
            <w:pPr>
              <w:pStyle w:val="TableText"/>
              <w:jc w:val="center"/>
              <w:rPr>
                <w:b/>
              </w:rPr>
            </w:pPr>
            <w:r w:rsidRPr="001F3926">
              <w:rPr>
                <w:b/>
              </w:rPr>
              <w:t>Internet use</w:t>
            </w:r>
            <w:r w:rsidR="00E82294" w:rsidRPr="001F3926">
              <w:rPr>
                <w:b/>
              </w:rPr>
              <w:br/>
            </w:r>
            <w:r w:rsidRPr="001F3926">
              <w:rPr>
                <w:b/>
              </w:rPr>
              <w:t>n=9042</w:t>
            </w:r>
          </w:p>
        </w:tc>
      </w:tr>
      <w:tr w:rsidR="00E82294" w:rsidRPr="001F3926" w14:paraId="7E59EAB7" w14:textId="77777777" w:rsidTr="00EF7D7F">
        <w:trPr>
          <w:cantSplit/>
          <w:tblHeader/>
        </w:trPr>
        <w:tc>
          <w:tcPr>
            <w:tcW w:w="2546" w:type="dxa"/>
            <w:tcBorders>
              <w:top w:val="nil"/>
              <w:bottom w:val="single" w:sz="4" w:space="0" w:color="000000"/>
            </w:tcBorders>
          </w:tcPr>
          <w:p w14:paraId="6D0364AA" w14:textId="77777777" w:rsidR="00266BEE" w:rsidRPr="001F3926" w:rsidRDefault="00266BEE" w:rsidP="00E82294">
            <w:pPr>
              <w:pStyle w:val="TableText"/>
            </w:pPr>
          </w:p>
        </w:tc>
        <w:tc>
          <w:tcPr>
            <w:tcW w:w="539" w:type="dxa"/>
            <w:tcBorders>
              <w:top w:val="single" w:sz="4" w:space="0" w:color="000000"/>
              <w:bottom w:val="single" w:sz="4" w:space="0" w:color="000000"/>
            </w:tcBorders>
            <w:vAlign w:val="bottom"/>
          </w:tcPr>
          <w:p w14:paraId="3639BB14" w14:textId="77777777" w:rsidR="00266BEE" w:rsidRPr="001F3926" w:rsidRDefault="00266BEE" w:rsidP="00EF7D7F">
            <w:pPr>
              <w:pStyle w:val="TableText"/>
              <w:jc w:val="right"/>
              <w:rPr>
                <w:b/>
              </w:rPr>
            </w:pPr>
            <w:r w:rsidRPr="001F3926">
              <w:rPr>
                <w:b/>
              </w:rPr>
              <w:t>n</w:t>
            </w:r>
          </w:p>
        </w:tc>
        <w:tc>
          <w:tcPr>
            <w:tcW w:w="748" w:type="dxa"/>
            <w:tcBorders>
              <w:top w:val="single" w:sz="4" w:space="0" w:color="000000"/>
              <w:bottom w:val="single" w:sz="4" w:space="0" w:color="000000"/>
            </w:tcBorders>
            <w:vAlign w:val="bottom"/>
          </w:tcPr>
          <w:p w14:paraId="5FCAC8B4" w14:textId="77777777" w:rsidR="00266BEE" w:rsidRPr="001F3926" w:rsidRDefault="00266BEE" w:rsidP="00EF7D7F">
            <w:pPr>
              <w:pStyle w:val="TableText"/>
              <w:jc w:val="right"/>
              <w:rPr>
                <w:b/>
              </w:rPr>
            </w:pPr>
            <w:r w:rsidRPr="001F3926">
              <w:rPr>
                <w:b/>
              </w:rPr>
              <w:t>Weighted n</w:t>
            </w:r>
          </w:p>
        </w:tc>
        <w:tc>
          <w:tcPr>
            <w:tcW w:w="972" w:type="dxa"/>
            <w:tcBorders>
              <w:top w:val="single" w:sz="4" w:space="0" w:color="000000"/>
              <w:bottom w:val="single" w:sz="4" w:space="0" w:color="000000"/>
            </w:tcBorders>
            <w:vAlign w:val="bottom"/>
          </w:tcPr>
          <w:p w14:paraId="01828473" w14:textId="77777777" w:rsidR="00266BEE" w:rsidRPr="001F3926" w:rsidRDefault="00266BEE" w:rsidP="00EF7D7F">
            <w:pPr>
              <w:pStyle w:val="TableText"/>
              <w:jc w:val="right"/>
              <w:rPr>
                <w:b/>
              </w:rPr>
            </w:pPr>
            <w:r w:rsidRPr="001F3926">
              <w:rPr>
                <w:b/>
              </w:rPr>
              <w:t>% (95%CI)</w:t>
            </w:r>
          </w:p>
        </w:tc>
        <w:tc>
          <w:tcPr>
            <w:tcW w:w="530" w:type="dxa"/>
            <w:tcBorders>
              <w:top w:val="single" w:sz="4" w:space="0" w:color="000000"/>
              <w:bottom w:val="single" w:sz="4" w:space="0" w:color="000000"/>
            </w:tcBorders>
            <w:vAlign w:val="bottom"/>
          </w:tcPr>
          <w:p w14:paraId="071FE834" w14:textId="77777777" w:rsidR="00266BEE" w:rsidRPr="001F3926" w:rsidRDefault="00266BEE" w:rsidP="00EF7D7F">
            <w:pPr>
              <w:pStyle w:val="TableText"/>
              <w:jc w:val="right"/>
              <w:rPr>
                <w:b/>
              </w:rPr>
            </w:pPr>
            <w:r w:rsidRPr="001F3926">
              <w:rPr>
                <w:b/>
              </w:rPr>
              <w:t>n</w:t>
            </w:r>
          </w:p>
        </w:tc>
        <w:tc>
          <w:tcPr>
            <w:tcW w:w="810" w:type="dxa"/>
            <w:tcBorders>
              <w:top w:val="single" w:sz="4" w:space="0" w:color="000000"/>
              <w:bottom w:val="single" w:sz="4" w:space="0" w:color="000000"/>
            </w:tcBorders>
            <w:vAlign w:val="bottom"/>
          </w:tcPr>
          <w:p w14:paraId="6E1BBDC0" w14:textId="77777777" w:rsidR="00266BEE" w:rsidRPr="001F3926" w:rsidRDefault="00266BEE" w:rsidP="00EF7D7F">
            <w:pPr>
              <w:pStyle w:val="TableText"/>
              <w:jc w:val="right"/>
              <w:rPr>
                <w:b/>
              </w:rPr>
            </w:pPr>
            <w:r w:rsidRPr="001F3926">
              <w:rPr>
                <w:b/>
              </w:rPr>
              <w:t>Weighted n</w:t>
            </w:r>
          </w:p>
        </w:tc>
        <w:tc>
          <w:tcPr>
            <w:tcW w:w="855" w:type="dxa"/>
            <w:tcBorders>
              <w:top w:val="single" w:sz="4" w:space="0" w:color="000000"/>
              <w:bottom w:val="single" w:sz="4" w:space="0" w:color="000000"/>
            </w:tcBorders>
            <w:vAlign w:val="bottom"/>
          </w:tcPr>
          <w:p w14:paraId="394B5032" w14:textId="77777777" w:rsidR="00266BEE" w:rsidRPr="001F3926" w:rsidRDefault="00266BEE" w:rsidP="00EF7D7F">
            <w:pPr>
              <w:pStyle w:val="TableText"/>
              <w:jc w:val="right"/>
              <w:rPr>
                <w:b/>
              </w:rPr>
            </w:pPr>
            <w:r w:rsidRPr="001F3926">
              <w:rPr>
                <w:b/>
              </w:rPr>
              <w:t>% (95%CI)</w:t>
            </w:r>
          </w:p>
        </w:tc>
        <w:tc>
          <w:tcPr>
            <w:tcW w:w="495" w:type="dxa"/>
            <w:tcBorders>
              <w:top w:val="single" w:sz="4" w:space="0" w:color="000000"/>
              <w:bottom w:val="single" w:sz="4" w:space="0" w:color="000000"/>
            </w:tcBorders>
            <w:vAlign w:val="bottom"/>
          </w:tcPr>
          <w:p w14:paraId="19505D84" w14:textId="77777777" w:rsidR="00266BEE" w:rsidRPr="001F3926" w:rsidRDefault="00266BEE" w:rsidP="00EF7D7F">
            <w:pPr>
              <w:pStyle w:val="TableText"/>
              <w:jc w:val="right"/>
              <w:rPr>
                <w:b/>
              </w:rPr>
            </w:pPr>
            <w:r w:rsidRPr="001F3926">
              <w:rPr>
                <w:b/>
              </w:rPr>
              <w:t>n</w:t>
            </w:r>
          </w:p>
        </w:tc>
        <w:tc>
          <w:tcPr>
            <w:tcW w:w="810" w:type="dxa"/>
            <w:tcBorders>
              <w:top w:val="single" w:sz="4" w:space="0" w:color="000000"/>
              <w:bottom w:val="single" w:sz="4" w:space="0" w:color="000000"/>
            </w:tcBorders>
            <w:vAlign w:val="bottom"/>
          </w:tcPr>
          <w:p w14:paraId="3B205224" w14:textId="77777777" w:rsidR="00266BEE" w:rsidRPr="001F3926" w:rsidRDefault="00266BEE" w:rsidP="00EF7D7F">
            <w:pPr>
              <w:pStyle w:val="TableText"/>
              <w:jc w:val="right"/>
              <w:rPr>
                <w:b/>
              </w:rPr>
            </w:pPr>
            <w:r w:rsidRPr="001F3926">
              <w:rPr>
                <w:b/>
              </w:rPr>
              <w:t>Weighted n</w:t>
            </w:r>
          </w:p>
        </w:tc>
        <w:tc>
          <w:tcPr>
            <w:tcW w:w="955" w:type="dxa"/>
            <w:tcBorders>
              <w:top w:val="single" w:sz="4" w:space="0" w:color="000000"/>
              <w:bottom w:val="single" w:sz="4" w:space="0" w:color="000000"/>
            </w:tcBorders>
            <w:vAlign w:val="bottom"/>
          </w:tcPr>
          <w:p w14:paraId="61FC09F7" w14:textId="77777777" w:rsidR="00266BEE" w:rsidRPr="001F3926" w:rsidRDefault="00266BEE" w:rsidP="00EF7D7F">
            <w:pPr>
              <w:pStyle w:val="TableText"/>
              <w:jc w:val="right"/>
              <w:rPr>
                <w:b/>
              </w:rPr>
            </w:pPr>
            <w:r w:rsidRPr="001F3926">
              <w:rPr>
                <w:b/>
              </w:rPr>
              <w:t>% (95%CI)</w:t>
            </w:r>
          </w:p>
        </w:tc>
        <w:tc>
          <w:tcPr>
            <w:tcW w:w="575" w:type="dxa"/>
            <w:tcBorders>
              <w:top w:val="single" w:sz="4" w:space="0" w:color="000000"/>
              <w:bottom w:val="single" w:sz="4" w:space="0" w:color="000000"/>
            </w:tcBorders>
            <w:vAlign w:val="bottom"/>
          </w:tcPr>
          <w:p w14:paraId="1D172F3C" w14:textId="77777777" w:rsidR="00266BEE" w:rsidRPr="001F3926" w:rsidRDefault="00266BEE" w:rsidP="00EF7D7F">
            <w:pPr>
              <w:pStyle w:val="TableText"/>
              <w:jc w:val="right"/>
              <w:rPr>
                <w:b/>
              </w:rPr>
            </w:pPr>
            <w:r w:rsidRPr="001F3926">
              <w:rPr>
                <w:b/>
              </w:rPr>
              <w:t>n</w:t>
            </w:r>
          </w:p>
        </w:tc>
        <w:tc>
          <w:tcPr>
            <w:tcW w:w="810" w:type="dxa"/>
            <w:tcBorders>
              <w:top w:val="single" w:sz="4" w:space="0" w:color="000000"/>
              <w:bottom w:val="single" w:sz="4" w:space="0" w:color="000000"/>
            </w:tcBorders>
            <w:vAlign w:val="bottom"/>
          </w:tcPr>
          <w:p w14:paraId="1D7BD6DB" w14:textId="77777777" w:rsidR="00266BEE" w:rsidRPr="001F3926" w:rsidRDefault="00266BEE" w:rsidP="00EF7D7F">
            <w:pPr>
              <w:pStyle w:val="TableText"/>
              <w:jc w:val="right"/>
              <w:rPr>
                <w:b/>
              </w:rPr>
            </w:pPr>
            <w:r w:rsidRPr="001F3926">
              <w:rPr>
                <w:b/>
              </w:rPr>
              <w:t>Weighted n</w:t>
            </w:r>
          </w:p>
        </w:tc>
        <w:tc>
          <w:tcPr>
            <w:tcW w:w="875" w:type="dxa"/>
            <w:tcBorders>
              <w:top w:val="single" w:sz="4" w:space="0" w:color="000000"/>
              <w:bottom w:val="single" w:sz="4" w:space="0" w:color="000000"/>
            </w:tcBorders>
            <w:vAlign w:val="bottom"/>
          </w:tcPr>
          <w:p w14:paraId="32EE6308" w14:textId="77777777" w:rsidR="00266BEE" w:rsidRPr="001F3926" w:rsidRDefault="00266BEE" w:rsidP="00EF7D7F">
            <w:pPr>
              <w:pStyle w:val="TableText"/>
              <w:jc w:val="right"/>
              <w:rPr>
                <w:b/>
              </w:rPr>
            </w:pPr>
            <w:r w:rsidRPr="001F3926">
              <w:rPr>
                <w:b/>
              </w:rPr>
              <w:t>% (95%CI)</w:t>
            </w:r>
          </w:p>
        </w:tc>
      </w:tr>
      <w:tr w:rsidR="00E82294" w:rsidRPr="001F3926" w14:paraId="30947158"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Borders>
              <w:top w:val="single" w:sz="4" w:space="0" w:color="000000"/>
            </w:tcBorders>
          </w:tcPr>
          <w:p w14:paraId="5A8E7341" w14:textId="77777777" w:rsidR="00266BEE" w:rsidRPr="001F3926" w:rsidRDefault="00266BEE" w:rsidP="00E82294">
            <w:pPr>
              <w:pStyle w:val="TableText"/>
              <w:rPr>
                <w:b/>
              </w:rPr>
            </w:pPr>
            <w:r w:rsidRPr="001F3926">
              <w:rPr>
                <w:b/>
              </w:rPr>
              <w:t>Posttraumatic stress syndrome disorder (PCL-C)</w:t>
            </w:r>
          </w:p>
        </w:tc>
        <w:tc>
          <w:tcPr>
            <w:tcW w:w="539" w:type="dxa"/>
            <w:tcBorders>
              <w:top w:val="single" w:sz="4" w:space="0" w:color="000000"/>
            </w:tcBorders>
          </w:tcPr>
          <w:p w14:paraId="25E8595C" w14:textId="77777777" w:rsidR="00266BEE" w:rsidRPr="001F3926" w:rsidRDefault="00266BEE" w:rsidP="00E82294">
            <w:pPr>
              <w:pStyle w:val="TableText"/>
              <w:jc w:val="right"/>
            </w:pPr>
          </w:p>
        </w:tc>
        <w:tc>
          <w:tcPr>
            <w:tcW w:w="748" w:type="dxa"/>
            <w:tcBorders>
              <w:top w:val="single" w:sz="4" w:space="0" w:color="000000"/>
            </w:tcBorders>
          </w:tcPr>
          <w:p w14:paraId="5DB8E29B" w14:textId="77777777" w:rsidR="00266BEE" w:rsidRPr="001F3926" w:rsidRDefault="00266BEE" w:rsidP="00E82294">
            <w:pPr>
              <w:pStyle w:val="TableText"/>
              <w:jc w:val="right"/>
            </w:pPr>
          </w:p>
        </w:tc>
        <w:tc>
          <w:tcPr>
            <w:tcW w:w="972" w:type="dxa"/>
            <w:tcBorders>
              <w:top w:val="single" w:sz="4" w:space="0" w:color="000000"/>
            </w:tcBorders>
          </w:tcPr>
          <w:p w14:paraId="18DA3964" w14:textId="77777777" w:rsidR="00266BEE" w:rsidRPr="001F3926" w:rsidRDefault="00266BEE" w:rsidP="00E82294">
            <w:pPr>
              <w:pStyle w:val="TableText"/>
              <w:jc w:val="right"/>
            </w:pPr>
          </w:p>
        </w:tc>
        <w:tc>
          <w:tcPr>
            <w:tcW w:w="530" w:type="dxa"/>
            <w:tcBorders>
              <w:top w:val="single" w:sz="4" w:space="0" w:color="000000"/>
            </w:tcBorders>
          </w:tcPr>
          <w:p w14:paraId="06D86615" w14:textId="77777777" w:rsidR="00266BEE" w:rsidRPr="001F3926" w:rsidRDefault="00266BEE" w:rsidP="00E82294">
            <w:pPr>
              <w:pStyle w:val="TableText"/>
              <w:jc w:val="right"/>
            </w:pPr>
          </w:p>
        </w:tc>
        <w:tc>
          <w:tcPr>
            <w:tcW w:w="810" w:type="dxa"/>
            <w:tcBorders>
              <w:top w:val="single" w:sz="4" w:space="0" w:color="000000"/>
            </w:tcBorders>
          </w:tcPr>
          <w:p w14:paraId="36D0E24F" w14:textId="77777777" w:rsidR="00266BEE" w:rsidRPr="001F3926" w:rsidRDefault="00266BEE" w:rsidP="00E82294">
            <w:pPr>
              <w:pStyle w:val="TableText"/>
              <w:jc w:val="right"/>
            </w:pPr>
          </w:p>
        </w:tc>
        <w:tc>
          <w:tcPr>
            <w:tcW w:w="855" w:type="dxa"/>
            <w:tcBorders>
              <w:top w:val="single" w:sz="4" w:space="0" w:color="000000"/>
            </w:tcBorders>
          </w:tcPr>
          <w:p w14:paraId="0686D0C3" w14:textId="77777777" w:rsidR="00266BEE" w:rsidRPr="001F3926" w:rsidRDefault="00266BEE" w:rsidP="00E82294">
            <w:pPr>
              <w:pStyle w:val="TableText"/>
              <w:jc w:val="right"/>
            </w:pPr>
          </w:p>
        </w:tc>
        <w:tc>
          <w:tcPr>
            <w:tcW w:w="495" w:type="dxa"/>
            <w:tcBorders>
              <w:top w:val="single" w:sz="4" w:space="0" w:color="000000"/>
            </w:tcBorders>
          </w:tcPr>
          <w:p w14:paraId="7D037711" w14:textId="77777777" w:rsidR="00266BEE" w:rsidRPr="001F3926" w:rsidRDefault="00266BEE" w:rsidP="00E82294">
            <w:pPr>
              <w:pStyle w:val="TableText"/>
              <w:jc w:val="right"/>
            </w:pPr>
          </w:p>
        </w:tc>
        <w:tc>
          <w:tcPr>
            <w:tcW w:w="810" w:type="dxa"/>
            <w:tcBorders>
              <w:top w:val="single" w:sz="4" w:space="0" w:color="000000"/>
            </w:tcBorders>
          </w:tcPr>
          <w:p w14:paraId="08FBCA27" w14:textId="77777777" w:rsidR="00266BEE" w:rsidRPr="001F3926" w:rsidRDefault="00266BEE" w:rsidP="00E82294">
            <w:pPr>
              <w:pStyle w:val="TableText"/>
              <w:jc w:val="right"/>
            </w:pPr>
          </w:p>
        </w:tc>
        <w:tc>
          <w:tcPr>
            <w:tcW w:w="955" w:type="dxa"/>
            <w:tcBorders>
              <w:top w:val="single" w:sz="4" w:space="0" w:color="000000"/>
            </w:tcBorders>
          </w:tcPr>
          <w:p w14:paraId="3E870120" w14:textId="77777777" w:rsidR="00266BEE" w:rsidRPr="001F3926" w:rsidRDefault="00266BEE" w:rsidP="00E82294">
            <w:pPr>
              <w:pStyle w:val="TableText"/>
              <w:jc w:val="right"/>
            </w:pPr>
          </w:p>
        </w:tc>
        <w:tc>
          <w:tcPr>
            <w:tcW w:w="575" w:type="dxa"/>
            <w:tcBorders>
              <w:top w:val="single" w:sz="4" w:space="0" w:color="000000"/>
            </w:tcBorders>
          </w:tcPr>
          <w:p w14:paraId="5C4302FD" w14:textId="77777777" w:rsidR="00266BEE" w:rsidRPr="001F3926" w:rsidRDefault="00266BEE" w:rsidP="00E82294">
            <w:pPr>
              <w:pStyle w:val="TableText"/>
              <w:jc w:val="right"/>
            </w:pPr>
          </w:p>
        </w:tc>
        <w:tc>
          <w:tcPr>
            <w:tcW w:w="810" w:type="dxa"/>
            <w:tcBorders>
              <w:top w:val="single" w:sz="4" w:space="0" w:color="000000"/>
            </w:tcBorders>
          </w:tcPr>
          <w:p w14:paraId="11D68000" w14:textId="77777777" w:rsidR="00266BEE" w:rsidRPr="001F3926" w:rsidRDefault="00266BEE" w:rsidP="00E82294">
            <w:pPr>
              <w:pStyle w:val="TableText"/>
              <w:jc w:val="right"/>
            </w:pPr>
          </w:p>
        </w:tc>
        <w:tc>
          <w:tcPr>
            <w:tcW w:w="875" w:type="dxa"/>
            <w:tcBorders>
              <w:top w:val="single" w:sz="4" w:space="0" w:color="000000"/>
            </w:tcBorders>
          </w:tcPr>
          <w:p w14:paraId="6CF93C8A" w14:textId="77777777" w:rsidR="00266BEE" w:rsidRPr="001F3926" w:rsidRDefault="00266BEE" w:rsidP="00E82294">
            <w:pPr>
              <w:pStyle w:val="TableText"/>
              <w:jc w:val="right"/>
            </w:pPr>
          </w:p>
        </w:tc>
      </w:tr>
      <w:tr w:rsidR="00E82294" w:rsidRPr="001F3926" w14:paraId="053FB632" w14:textId="77777777" w:rsidTr="00E82294">
        <w:trPr>
          <w:cantSplit/>
        </w:trPr>
        <w:tc>
          <w:tcPr>
            <w:tcW w:w="2546" w:type="dxa"/>
          </w:tcPr>
          <w:p w14:paraId="49CD1682" w14:textId="77777777" w:rsidR="00266BEE" w:rsidRPr="001F3926" w:rsidRDefault="00266BEE" w:rsidP="00E82294">
            <w:pPr>
              <w:pStyle w:val="TableText"/>
              <w:rPr>
                <w:bCs/>
                <w:color w:val="000000" w:themeColor="text1"/>
              </w:rPr>
            </w:pPr>
            <w:r w:rsidRPr="001F3926">
              <w:t xml:space="preserve">Probable disorder </w:t>
            </w:r>
          </w:p>
        </w:tc>
        <w:tc>
          <w:tcPr>
            <w:tcW w:w="539" w:type="dxa"/>
          </w:tcPr>
          <w:p w14:paraId="5BE55563" w14:textId="77777777" w:rsidR="00266BEE" w:rsidRPr="001F3926" w:rsidRDefault="00266BEE" w:rsidP="00E82294">
            <w:pPr>
              <w:pStyle w:val="TableText"/>
              <w:jc w:val="right"/>
            </w:pPr>
            <w:r w:rsidRPr="001F3926">
              <w:rPr>
                <w:rFonts w:cs="Arial"/>
              </w:rPr>
              <w:t>259</w:t>
            </w:r>
          </w:p>
        </w:tc>
        <w:tc>
          <w:tcPr>
            <w:tcW w:w="748" w:type="dxa"/>
          </w:tcPr>
          <w:p w14:paraId="0809A0D8" w14:textId="77777777" w:rsidR="00266BEE" w:rsidRPr="001F3926" w:rsidRDefault="00266BEE" w:rsidP="00E82294">
            <w:pPr>
              <w:pStyle w:val="TableText"/>
              <w:jc w:val="right"/>
            </w:pPr>
            <w:r w:rsidRPr="001F3926">
              <w:rPr>
                <w:rFonts w:cs="Arial"/>
              </w:rPr>
              <w:t>1908</w:t>
            </w:r>
          </w:p>
        </w:tc>
        <w:tc>
          <w:tcPr>
            <w:tcW w:w="972" w:type="dxa"/>
          </w:tcPr>
          <w:p w14:paraId="746C24D4" w14:textId="77777777" w:rsidR="00266BEE" w:rsidRPr="001F3926" w:rsidRDefault="00266BEE" w:rsidP="00E82294">
            <w:pPr>
              <w:pStyle w:val="TableText"/>
              <w:jc w:val="right"/>
            </w:pPr>
            <w:r w:rsidRPr="001F3926">
              <w:rPr>
                <w:rFonts w:cs="Arial"/>
              </w:rPr>
              <w:t>58.1 (52.7</w:t>
            </w:r>
            <w:r w:rsidR="00E82294" w:rsidRPr="001F3926">
              <w:rPr>
                <w:rFonts w:cs="Arial"/>
              </w:rPr>
              <w:t>, </w:t>
            </w:r>
            <w:r w:rsidRPr="001F3926">
              <w:rPr>
                <w:rFonts w:cs="Arial"/>
              </w:rPr>
              <w:t>63.4)</w:t>
            </w:r>
          </w:p>
        </w:tc>
        <w:tc>
          <w:tcPr>
            <w:tcW w:w="530" w:type="dxa"/>
          </w:tcPr>
          <w:p w14:paraId="73CDD937" w14:textId="77777777" w:rsidR="00266BEE" w:rsidRPr="001F3926" w:rsidRDefault="00266BEE" w:rsidP="00E82294">
            <w:pPr>
              <w:pStyle w:val="TableText"/>
              <w:jc w:val="right"/>
            </w:pPr>
            <w:r w:rsidRPr="001F3926">
              <w:rPr>
                <w:rFonts w:cs="Arial"/>
              </w:rPr>
              <w:t>220</w:t>
            </w:r>
          </w:p>
        </w:tc>
        <w:tc>
          <w:tcPr>
            <w:tcW w:w="810" w:type="dxa"/>
          </w:tcPr>
          <w:p w14:paraId="3B130B17" w14:textId="77777777" w:rsidR="00266BEE" w:rsidRPr="001F3926" w:rsidRDefault="00266BEE" w:rsidP="00E82294">
            <w:pPr>
              <w:pStyle w:val="TableText"/>
              <w:jc w:val="right"/>
            </w:pPr>
            <w:r w:rsidRPr="001F3926">
              <w:rPr>
                <w:rFonts w:cs="Arial"/>
              </w:rPr>
              <w:t>1361</w:t>
            </w:r>
          </w:p>
        </w:tc>
        <w:tc>
          <w:tcPr>
            <w:tcW w:w="855" w:type="dxa"/>
          </w:tcPr>
          <w:p w14:paraId="649D51C9" w14:textId="77777777" w:rsidR="00266BEE" w:rsidRPr="001F3926" w:rsidRDefault="00266BEE" w:rsidP="00E82294">
            <w:pPr>
              <w:pStyle w:val="TableText"/>
              <w:jc w:val="right"/>
              <w:rPr>
                <w:rFonts w:eastAsia="Times New Roman" w:cs="Arial"/>
              </w:rPr>
            </w:pPr>
            <w:r w:rsidRPr="001F3926">
              <w:rPr>
                <w:rFonts w:cs="Arial"/>
              </w:rPr>
              <w:t>41.4 (36.2</w:t>
            </w:r>
            <w:r w:rsidR="00E82294" w:rsidRPr="001F3926">
              <w:rPr>
                <w:rFonts w:cs="Arial"/>
              </w:rPr>
              <w:t>, </w:t>
            </w:r>
            <w:r w:rsidRPr="001F3926">
              <w:rPr>
                <w:rFonts w:cs="Arial"/>
              </w:rPr>
              <w:t>46.9)</w:t>
            </w:r>
          </w:p>
        </w:tc>
        <w:tc>
          <w:tcPr>
            <w:tcW w:w="495" w:type="dxa"/>
          </w:tcPr>
          <w:p w14:paraId="02578376" w14:textId="77777777" w:rsidR="00266BEE" w:rsidRPr="001F3926" w:rsidRDefault="00266BEE" w:rsidP="00E82294">
            <w:pPr>
              <w:pStyle w:val="TableText"/>
              <w:jc w:val="right"/>
            </w:pPr>
            <w:r w:rsidRPr="001F3926">
              <w:rPr>
                <w:rFonts w:cs="Arial"/>
              </w:rPr>
              <w:t>114</w:t>
            </w:r>
          </w:p>
        </w:tc>
        <w:tc>
          <w:tcPr>
            <w:tcW w:w="810" w:type="dxa"/>
          </w:tcPr>
          <w:p w14:paraId="725AE782" w14:textId="77777777" w:rsidR="00266BEE" w:rsidRPr="001F3926" w:rsidRDefault="00266BEE" w:rsidP="00E82294">
            <w:pPr>
              <w:pStyle w:val="TableText"/>
              <w:jc w:val="right"/>
            </w:pPr>
            <w:r w:rsidRPr="001F3926">
              <w:rPr>
                <w:rFonts w:cs="Arial"/>
              </w:rPr>
              <w:t>856</w:t>
            </w:r>
          </w:p>
        </w:tc>
        <w:tc>
          <w:tcPr>
            <w:tcW w:w="955" w:type="dxa"/>
          </w:tcPr>
          <w:p w14:paraId="2470556D" w14:textId="77777777" w:rsidR="00266BEE" w:rsidRPr="001F3926" w:rsidRDefault="00266BEE" w:rsidP="00E82294">
            <w:pPr>
              <w:pStyle w:val="TableText"/>
              <w:jc w:val="right"/>
              <w:rPr>
                <w:rFonts w:eastAsia="Times New Roman" w:cs="Arial"/>
              </w:rPr>
            </w:pPr>
            <w:r w:rsidRPr="001F3926">
              <w:rPr>
                <w:rFonts w:cs="Arial"/>
              </w:rPr>
              <w:t>57.4 (36.8</w:t>
            </w:r>
            <w:r w:rsidR="00E82294" w:rsidRPr="001F3926">
              <w:rPr>
                <w:rFonts w:cs="Arial"/>
              </w:rPr>
              <w:t>, </w:t>
            </w:r>
            <w:r w:rsidRPr="001F3926">
              <w:rPr>
                <w:rFonts w:cs="Arial"/>
              </w:rPr>
              <w:t>75.7)</w:t>
            </w:r>
          </w:p>
        </w:tc>
        <w:tc>
          <w:tcPr>
            <w:tcW w:w="575" w:type="dxa"/>
          </w:tcPr>
          <w:p w14:paraId="0489F012" w14:textId="77777777" w:rsidR="00266BEE" w:rsidRPr="001F3926" w:rsidRDefault="00266BEE" w:rsidP="00E82294">
            <w:pPr>
              <w:pStyle w:val="TableText"/>
              <w:jc w:val="right"/>
            </w:pPr>
            <w:r w:rsidRPr="001F3926">
              <w:rPr>
                <w:rFonts w:cs="Arial"/>
              </w:rPr>
              <w:t>107</w:t>
            </w:r>
          </w:p>
        </w:tc>
        <w:tc>
          <w:tcPr>
            <w:tcW w:w="810" w:type="dxa"/>
          </w:tcPr>
          <w:p w14:paraId="3ACBA23B" w14:textId="77777777" w:rsidR="00266BEE" w:rsidRPr="001F3926" w:rsidRDefault="00266BEE" w:rsidP="00E82294">
            <w:pPr>
              <w:pStyle w:val="TableText"/>
              <w:jc w:val="right"/>
            </w:pPr>
            <w:r w:rsidRPr="001F3926">
              <w:rPr>
                <w:rFonts w:cs="Arial"/>
              </w:rPr>
              <w:t>633</w:t>
            </w:r>
          </w:p>
        </w:tc>
        <w:tc>
          <w:tcPr>
            <w:tcW w:w="875" w:type="dxa"/>
          </w:tcPr>
          <w:p w14:paraId="311B740C" w14:textId="77777777" w:rsidR="00266BEE" w:rsidRPr="001F3926" w:rsidRDefault="00266BEE" w:rsidP="00E82294">
            <w:pPr>
              <w:pStyle w:val="TableText"/>
              <w:jc w:val="right"/>
            </w:pPr>
            <w:r w:rsidRPr="001F3926">
              <w:rPr>
                <w:rFonts w:cs="Arial"/>
              </w:rPr>
              <w:t>42.4 (24.1</w:t>
            </w:r>
            <w:r w:rsidR="00E82294" w:rsidRPr="001F3926">
              <w:rPr>
                <w:rFonts w:cs="Arial"/>
              </w:rPr>
              <w:t>, </w:t>
            </w:r>
            <w:r w:rsidRPr="001F3926">
              <w:rPr>
                <w:rFonts w:cs="Arial"/>
              </w:rPr>
              <w:t>63.0)</w:t>
            </w:r>
          </w:p>
        </w:tc>
      </w:tr>
      <w:tr w:rsidR="00E82294" w:rsidRPr="001F3926" w14:paraId="7BD612D3"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Pr>
          <w:p w14:paraId="783D5ABA" w14:textId="77777777" w:rsidR="00266BEE" w:rsidRPr="001F3926" w:rsidRDefault="007155C2" w:rsidP="00E82294">
            <w:pPr>
              <w:pStyle w:val="TableText"/>
              <w:rPr>
                <w:bCs/>
                <w:color w:val="000000" w:themeColor="text1"/>
              </w:rPr>
            </w:pPr>
            <w:r>
              <w:t>Subsyndromal</w:t>
            </w:r>
            <w:r w:rsidR="00266BEE" w:rsidRPr="001F3926">
              <w:t xml:space="preserve"> disorder </w:t>
            </w:r>
          </w:p>
        </w:tc>
        <w:tc>
          <w:tcPr>
            <w:tcW w:w="539" w:type="dxa"/>
          </w:tcPr>
          <w:p w14:paraId="64CE851C" w14:textId="77777777" w:rsidR="00266BEE" w:rsidRPr="001F3926" w:rsidRDefault="00266BEE" w:rsidP="00E82294">
            <w:pPr>
              <w:pStyle w:val="TableText"/>
              <w:jc w:val="right"/>
            </w:pPr>
            <w:r w:rsidRPr="001F3926">
              <w:rPr>
                <w:rFonts w:cs="Arial"/>
              </w:rPr>
              <w:t>618</w:t>
            </w:r>
          </w:p>
        </w:tc>
        <w:tc>
          <w:tcPr>
            <w:tcW w:w="748" w:type="dxa"/>
          </w:tcPr>
          <w:p w14:paraId="61D5609B" w14:textId="77777777" w:rsidR="00266BEE" w:rsidRPr="001F3926" w:rsidRDefault="00266BEE" w:rsidP="00E82294">
            <w:pPr>
              <w:pStyle w:val="TableText"/>
              <w:jc w:val="right"/>
            </w:pPr>
            <w:r w:rsidRPr="001F3926">
              <w:rPr>
                <w:rFonts w:cs="Arial"/>
              </w:rPr>
              <w:t>4558</w:t>
            </w:r>
          </w:p>
        </w:tc>
        <w:tc>
          <w:tcPr>
            <w:tcW w:w="972" w:type="dxa"/>
          </w:tcPr>
          <w:p w14:paraId="51E8078E" w14:textId="77777777" w:rsidR="00266BEE" w:rsidRPr="001F3926" w:rsidRDefault="00266BEE" w:rsidP="00E82294">
            <w:pPr>
              <w:pStyle w:val="TableText"/>
              <w:jc w:val="right"/>
            </w:pPr>
            <w:r w:rsidRPr="001F3926">
              <w:rPr>
                <w:rFonts w:cs="Arial"/>
              </w:rPr>
              <w:t>65.9 (61.9</w:t>
            </w:r>
            <w:r w:rsidR="00E82294" w:rsidRPr="001F3926">
              <w:rPr>
                <w:rFonts w:cs="Arial"/>
              </w:rPr>
              <w:t>, </w:t>
            </w:r>
            <w:r w:rsidRPr="001F3926">
              <w:rPr>
                <w:rFonts w:cs="Arial"/>
              </w:rPr>
              <w:t>69.6)</w:t>
            </w:r>
          </w:p>
        </w:tc>
        <w:tc>
          <w:tcPr>
            <w:tcW w:w="530" w:type="dxa"/>
          </w:tcPr>
          <w:p w14:paraId="4D76A5FB" w14:textId="77777777" w:rsidR="00266BEE" w:rsidRPr="001F3926" w:rsidRDefault="00266BEE" w:rsidP="00E82294">
            <w:pPr>
              <w:pStyle w:val="TableText"/>
              <w:jc w:val="right"/>
            </w:pPr>
            <w:r w:rsidRPr="001F3926">
              <w:rPr>
                <w:rFonts w:cs="Arial"/>
              </w:rPr>
              <w:t>317</w:t>
            </w:r>
          </w:p>
        </w:tc>
        <w:tc>
          <w:tcPr>
            <w:tcW w:w="810" w:type="dxa"/>
          </w:tcPr>
          <w:p w14:paraId="5BCA6E64" w14:textId="77777777" w:rsidR="00266BEE" w:rsidRPr="001F3926" w:rsidRDefault="00266BEE" w:rsidP="00E82294">
            <w:pPr>
              <w:pStyle w:val="TableText"/>
              <w:jc w:val="right"/>
            </w:pPr>
            <w:r w:rsidRPr="001F3926">
              <w:rPr>
                <w:rFonts w:cs="Arial"/>
              </w:rPr>
              <w:t>2344</w:t>
            </w:r>
          </w:p>
        </w:tc>
        <w:tc>
          <w:tcPr>
            <w:tcW w:w="855" w:type="dxa"/>
          </w:tcPr>
          <w:p w14:paraId="7FF9D4DB" w14:textId="77777777" w:rsidR="00266BEE" w:rsidRPr="001F3926" w:rsidRDefault="00266BEE" w:rsidP="00E82294">
            <w:pPr>
              <w:pStyle w:val="TableText"/>
              <w:jc w:val="right"/>
            </w:pPr>
            <w:r w:rsidRPr="001F3926">
              <w:rPr>
                <w:rFonts w:cs="Arial"/>
              </w:rPr>
              <w:t>33.9 (30.2</w:t>
            </w:r>
            <w:r w:rsidR="00E82294" w:rsidRPr="001F3926">
              <w:rPr>
                <w:rFonts w:cs="Arial"/>
              </w:rPr>
              <w:t>, </w:t>
            </w:r>
            <w:r w:rsidRPr="001F3926">
              <w:rPr>
                <w:rFonts w:cs="Arial"/>
              </w:rPr>
              <w:t>37.8)</w:t>
            </w:r>
          </w:p>
        </w:tc>
        <w:tc>
          <w:tcPr>
            <w:tcW w:w="495" w:type="dxa"/>
          </w:tcPr>
          <w:p w14:paraId="2E67D04B" w14:textId="77777777" w:rsidR="00266BEE" w:rsidRPr="001F3926" w:rsidRDefault="00266BEE" w:rsidP="00E82294">
            <w:pPr>
              <w:pStyle w:val="TableText"/>
              <w:jc w:val="right"/>
            </w:pPr>
            <w:r w:rsidRPr="001F3926">
              <w:rPr>
                <w:rFonts w:cs="Arial"/>
              </w:rPr>
              <w:t>847</w:t>
            </w:r>
          </w:p>
        </w:tc>
        <w:tc>
          <w:tcPr>
            <w:tcW w:w="810" w:type="dxa"/>
          </w:tcPr>
          <w:p w14:paraId="5FAE951A" w14:textId="77777777" w:rsidR="00266BEE" w:rsidRPr="001F3926" w:rsidRDefault="00266BEE" w:rsidP="00E82294">
            <w:pPr>
              <w:pStyle w:val="TableText"/>
              <w:jc w:val="right"/>
            </w:pPr>
            <w:r w:rsidRPr="001F3926">
              <w:rPr>
                <w:rFonts w:cs="Arial"/>
              </w:rPr>
              <w:t>6802</w:t>
            </w:r>
          </w:p>
        </w:tc>
        <w:tc>
          <w:tcPr>
            <w:tcW w:w="955" w:type="dxa"/>
          </w:tcPr>
          <w:p w14:paraId="479AE7B4" w14:textId="77777777" w:rsidR="00266BEE" w:rsidRPr="001F3926" w:rsidRDefault="00266BEE" w:rsidP="00E82294">
            <w:pPr>
              <w:pStyle w:val="TableText"/>
              <w:jc w:val="right"/>
              <w:rPr>
                <w:rFonts w:eastAsia="Times New Roman" w:cs="Arial"/>
              </w:rPr>
            </w:pPr>
            <w:r w:rsidRPr="001F3926">
              <w:rPr>
                <w:rFonts w:cs="Arial"/>
              </w:rPr>
              <w:t>69.7 (58.4</w:t>
            </w:r>
            <w:r w:rsidR="00E82294" w:rsidRPr="001F3926">
              <w:rPr>
                <w:rFonts w:cs="Arial"/>
              </w:rPr>
              <w:t>, </w:t>
            </w:r>
            <w:r w:rsidRPr="001F3926">
              <w:rPr>
                <w:rFonts w:cs="Arial"/>
              </w:rPr>
              <w:t>79.1)</w:t>
            </w:r>
          </w:p>
        </w:tc>
        <w:tc>
          <w:tcPr>
            <w:tcW w:w="575" w:type="dxa"/>
          </w:tcPr>
          <w:p w14:paraId="1CB7B564" w14:textId="77777777" w:rsidR="00266BEE" w:rsidRPr="001F3926" w:rsidRDefault="00266BEE" w:rsidP="00E82294">
            <w:pPr>
              <w:pStyle w:val="TableText"/>
              <w:jc w:val="right"/>
            </w:pPr>
            <w:r w:rsidRPr="001F3926">
              <w:rPr>
                <w:rFonts w:cs="Arial"/>
              </w:rPr>
              <w:t>376</w:t>
            </w:r>
          </w:p>
        </w:tc>
        <w:tc>
          <w:tcPr>
            <w:tcW w:w="810" w:type="dxa"/>
          </w:tcPr>
          <w:p w14:paraId="4EB67E5E" w14:textId="77777777" w:rsidR="00266BEE" w:rsidRPr="001F3926" w:rsidRDefault="00266BEE" w:rsidP="00E82294">
            <w:pPr>
              <w:pStyle w:val="TableText"/>
              <w:jc w:val="right"/>
            </w:pPr>
            <w:r w:rsidRPr="001F3926">
              <w:rPr>
                <w:rFonts w:cs="Arial"/>
              </w:rPr>
              <w:t>2895</w:t>
            </w:r>
          </w:p>
        </w:tc>
        <w:tc>
          <w:tcPr>
            <w:tcW w:w="875" w:type="dxa"/>
          </w:tcPr>
          <w:p w14:paraId="4A1AA919" w14:textId="77777777" w:rsidR="00266BEE" w:rsidRPr="001F3926" w:rsidRDefault="00266BEE" w:rsidP="00E82294">
            <w:pPr>
              <w:pStyle w:val="TableText"/>
              <w:jc w:val="right"/>
            </w:pPr>
            <w:r w:rsidRPr="001F3926">
              <w:rPr>
                <w:rFonts w:cs="Arial"/>
              </w:rPr>
              <w:t>29.7 (20.4</w:t>
            </w:r>
            <w:r w:rsidR="00E82294" w:rsidRPr="001F3926">
              <w:rPr>
                <w:rFonts w:cs="Arial"/>
              </w:rPr>
              <w:t>, </w:t>
            </w:r>
            <w:r w:rsidRPr="001F3926">
              <w:rPr>
                <w:rFonts w:cs="Arial"/>
              </w:rPr>
              <w:t>41.0)</w:t>
            </w:r>
          </w:p>
        </w:tc>
      </w:tr>
      <w:tr w:rsidR="00E82294" w:rsidRPr="001F3926" w14:paraId="355C272A" w14:textId="77777777" w:rsidTr="00E82294">
        <w:trPr>
          <w:cantSplit/>
        </w:trPr>
        <w:tc>
          <w:tcPr>
            <w:tcW w:w="2546" w:type="dxa"/>
            <w:tcBorders>
              <w:bottom w:val="single" w:sz="4" w:space="0" w:color="000000"/>
            </w:tcBorders>
          </w:tcPr>
          <w:p w14:paraId="5E9D1453" w14:textId="77777777" w:rsidR="00266BEE" w:rsidRPr="001F3926" w:rsidRDefault="00266BEE" w:rsidP="00E82294">
            <w:pPr>
              <w:pStyle w:val="TableText"/>
            </w:pPr>
            <w:r w:rsidRPr="001F3926">
              <w:t>No disorder</w:t>
            </w:r>
          </w:p>
        </w:tc>
        <w:tc>
          <w:tcPr>
            <w:tcW w:w="539" w:type="dxa"/>
            <w:tcBorders>
              <w:bottom w:val="single" w:sz="4" w:space="0" w:color="000000"/>
            </w:tcBorders>
          </w:tcPr>
          <w:p w14:paraId="4B218EBE" w14:textId="77777777" w:rsidR="00266BEE" w:rsidRPr="001F3926" w:rsidRDefault="00266BEE" w:rsidP="00E82294">
            <w:pPr>
              <w:pStyle w:val="TableText"/>
              <w:jc w:val="right"/>
            </w:pPr>
            <w:r w:rsidRPr="001F3926">
              <w:rPr>
                <w:rFonts w:cs="Arial"/>
              </w:rPr>
              <w:t>1753</w:t>
            </w:r>
          </w:p>
        </w:tc>
        <w:tc>
          <w:tcPr>
            <w:tcW w:w="748" w:type="dxa"/>
            <w:tcBorders>
              <w:bottom w:val="single" w:sz="4" w:space="0" w:color="000000"/>
            </w:tcBorders>
          </w:tcPr>
          <w:p w14:paraId="616DD9A6" w14:textId="77777777" w:rsidR="00266BEE" w:rsidRPr="001F3926" w:rsidRDefault="00266BEE" w:rsidP="00E82294">
            <w:pPr>
              <w:pStyle w:val="TableText"/>
              <w:jc w:val="right"/>
            </w:pPr>
            <w:r w:rsidRPr="001F3926">
              <w:rPr>
                <w:rFonts w:cs="Arial"/>
              </w:rPr>
              <w:t>11,907</w:t>
            </w:r>
          </w:p>
        </w:tc>
        <w:tc>
          <w:tcPr>
            <w:tcW w:w="972" w:type="dxa"/>
            <w:tcBorders>
              <w:bottom w:val="single" w:sz="4" w:space="0" w:color="000000"/>
            </w:tcBorders>
          </w:tcPr>
          <w:p w14:paraId="4E43B236" w14:textId="77777777" w:rsidR="00266BEE" w:rsidRPr="001F3926" w:rsidRDefault="00266BEE" w:rsidP="00E82294">
            <w:pPr>
              <w:pStyle w:val="TableText"/>
              <w:jc w:val="right"/>
            </w:pPr>
            <w:r w:rsidRPr="001F3926">
              <w:rPr>
                <w:rFonts w:cs="Arial"/>
              </w:rPr>
              <w:t>82.8 (80.5</w:t>
            </w:r>
            <w:r w:rsidR="00E82294" w:rsidRPr="001F3926">
              <w:rPr>
                <w:rFonts w:cs="Arial"/>
              </w:rPr>
              <w:t>, </w:t>
            </w:r>
            <w:r w:rsidRPr="001F3926">
              <w:rPr>
                <w:rFonts w:cs="Arial"/>
              </w:rPr>
              <w:t>84.9)</w:t>
            </w:r>
          </w:p>
        </w:tc>
        <w:tc>
          <w:tcPr>
            <w:tcW w:w="530" w:type="dxa"/>
            <w:tcBorders>
              <w:bottom w:val="single" w:sz="4" w:space="0" w:color="000000"/>
            </w:tcBorders>
          </w:tcPr>
          <w:p w14:paraId="16189397" w14:textId="77777777" w:rsidR="00266BEE" w:rsidRPr="001F3926" w:rsidRDefault="00266BEE" w:rsidP="00E82294">
            <w:pPr>
              <w:pStyle w:val="TableText"/>
              <w:jc w:val="right"/>
            </w:pPr>
            <w:r w:rsidRPr="001F3926">
              <w:rPr>
                <w:rFonts w:cs="Arial"/>
              </w:rPr>
              <w:t>311</w:t>
            </w:r>
          </w:p>
        </w:tc>
        <w:tc>
          <w:tcPr>
            <w:tcW w:w="810" w:type="dxa"/>
            <w:tcBorders>
              <w:bottom w:val="single" w:sz="4" w:space="0" w:color="000000"/>
            </w:tcBorders>
          </w:tcPr>
          <w:p w14:paraId="47E2D6C1" w14:textId="77777777" w:rsidR="00266BEE" w:rsidRPr="001F3926" w:rsidRDefault="00266BEE" w:rsidP="00E82294">
            <w:pPr>
              <w:pStyle w:val="TableText"/>
              <w:jc w:val="right"/>
            </w:pPr>
            <w:r w:rsidRPr="001F3926">
              <w:rPr>
                <w:rFonts w:cs="Arial"/>
              </w:rPr>
              <w:t>2362</w:t>
            </w:r>
          </w:p>
        </w:tc>
        <w:tc>
          <w:tcPr>
            <w:tcW w:w="855" w:type="dxa"/>
            <w:tcBorders>
              <w:bottom w:val="single" w:sz="4" w:space="0" w:color="000000"/>
            </w:tcBorders>
          </w:tcPr>
          <w:p w14:paraId="64558E37" w14:textId="77777777" w:rsidR="00266BEE" w:rsidRPr="001F3926" w:rsidRDefault="00266BEE" w:rsidP="00E82294">
            <w:pPr>
              <w:pStyle w:val="TableText"/>
              <w:jc w:val="right"/>
            </w:pPr>
            <w:r w:rsidRPr="001F3926">
              <w:rPr>
                <w:rFonts w:cs="Arial"/>
              </w:rPr>
              <w:t>16.4 (14.4</w:t>
            </w:r>
            <w:r w:rsidR="00E82294" w:rsidRPr="001F3926">
              <w:rPr>
                <w:rFonts w:cs="Arial"/>
              </w:rPr>
              <w:t>, </w:t>
            </w:r>
            <w:r w:rsidRPr="001F3926">
              <w:rPr>
                <w:rFonts w:cs="Arial"/>
              </w:rPr>
              <w:t>18.7)</w:t>
            </w:r>
          </w:p>
        </w:tc>
        <w:tc>
          <w:tcPr>
            <w:tcW w:w="495" w:type="dxa"/>
            <w:tcBorders>
              <w:bottom w:val="single" w:sz="4" w:space="0" w:color="000000"/>
            </w:tcBorders>
          </w:tcPr>
          <w:p w14:paraId="413DC798" w14:textId="77777777" w:rsidR="00266BEE" w:rsidRPr="001F3926" w:rsidRDefault="00266BEE" w:rsidP="00E82294">
            <w:pPr>
              <w:pStyle w:val="TableText"/>
              <w:jc w:val="right"/>
            </w:pPr>
            <w:r w:rsidRPr="001F3926">
              <w:rPr>
                <w:rFonts w:cs="Arial"/>
              </w:rPr>
              <w:t>4869</w:t>
            </w:r>
          </w:p>
        </w:tc>
        <w:tc>
          <w:tcPr>
            <w:tcW w:w="810" w:type="dxa"/>
            <w:tcBorders>
              <w:bottom w:val="single" w:sz="4" w:space="0" w:color="000000"/>
            </w:tcBorders>
          </w:tcPr>
          <w:p w14:paraId="7A1EF678" w14:textId="77777777" w:rsidR="00266BEE" w:rsidRPr="001F3926" w:rsidRDefault="00266BEE" w:rsidP="00E82294">
            <w:pPr>
              <w:pStyle w:val="TableText"/>
              <w:jc w:val="right"/>
            </w:pPr>
            <w:r w:rsidRPr="001F3926">
              <w:rPr>
                <w:rFonts w:cs="Arial"/>
              </w:rPr>
              <w:t>35,013</w:t>
            </w:r>
          </w:p>
        </w:tc>
        <w:tc>
          <w:tcPr>
            <w:tcW w:w="955" w:type="dxa"/>
            <w:tcBorders>
              <w:bottom w:val="single" w:sz="4" w:space="0" w:color="000000"/>
            </w:tcBorders>
          </w:tcPr>
          <w:p w14:paraId="10E25B26" w14:textId="77777777" w:rsidR="00266BEE" w:rsidRPr="001F3926" w:rsidRDefault="00266BEE" w:rsidP="00E82294">
            <w:pPr>
              <w:pStyle w:val="TableText"/>
              <w:jc w:val="right"/>
              <w:rPr>
                <w:rFonts w:eastAsia="Times New Roman" w:cs="Arial"/>
              </w:rPr>
            </w:pPr>
            <w:r w:rsidRPr="001F3926">
              <w:rPr>
                <w:rFonts w:cs="Arial"/>
              </w:rPr>
              <w:t>86.0 (83.2</w:t>
            </w:r>
            <w:r w:rsidR="00E82294" w:rsidRPr="001F3926">
              <w:rPr>
                <w:rFonts w:cs="Arial"/>
              </w:rPr>
              <w:t>, </w:t>
            </w:r>
            <w:r w:rsidRPr="001F3926">
              <w:rPr>
                <w:rFonts w:cs="Arial"/>
              </w:rPr>
              <w:t>88.5)</w:t>
            </w:r>
          </w:p>
        </w:tc>
        <w:tc>
          <w:tcPr>
            <w:tcW w:w="575" w:type="dxa"/>
            <w:tcBorders>
              <w:bottom w:val="single" w:sz="4" w:space="0" w:color="000000"/>
            </w:tcBorders>
          </w:tcPr>
          <w:p w14:paraId="56CF7687" w14:textId="77777777" w:rsidR="00266BEE" w:rsidRPr="001F3926" w:rsidRDefault="00266BEE" w:rsidP="00E82294">
            <w:pPr>
              <w:pStyle w:val="TableText"/>
              <w:jc w:val="right"/>
            </w:pPr>
            <w:r w:rsidRPr="001F3926">
              <w:rPr>
                <w:rFonts w:cs="Arial"/>
              </w:rPr>
              <w:t>931</w:t>
            </w:r>
          </w:p>
        </w:tc>
        <w:tc>
          <w:tcPr>
            <w:tcW w:w="810" w:type="dxa"/>
            <w:tcBorders>
              <w:bottom w:val="single" w:sz="4" w:space="0" w:color="000000"/>
            </w:tcBorders>
          </w:tcPr>
          <w:p w14:paraId="7002FBF2" w14:textId="77777777" w:rsidR="00266BEE" w:rsidRPr="001F3926" w:rsidRDefault="00266BEE" w:rsidP="00E82294">
            <w:pPr>
              <w:pStyle w:val="TableText"/>
              <w:jc w:val="right"/>
            </w:pPr>
            <w:r w:rsidRPr="001F3926">
              <w:rPr>
                <w:rFonts w:cs="Arial"/>
              </w:rPr>
              <w:t>5411</w:t>
            </w:r>
          </w:p>
        </w:tc>
        <w:tc>
          <w:tcPr>
            <w:tcW w:w="875" w:type="dxa"/>
            <w:tcBorders>
              <w:bottom w:val="single" w:sz="4" w:space="0" w:color="000000"/>
            </w:tcBorders>
          </w:tcPr>
          <w:p w14:paraId="3D886A20" w14:textId="77777777" w:rsidR="00266BEE" w:rsidRPr="001F3926" w:rsidRDefault="00266BEE" w:rsidP="00E82294">
            <w:pPr>
              <w:pStyle w:val="TableText"/>
              <w:jc w:val="right"/>
            </w:pPr>
            <w:r w:rsidRPr="001F3926">
              <w:rPr>
                <w:rFonts w:cs="Arial"/>
              </w:rPr>
              <w:t>13.3 (10.9</w:t>
            </w:r>
            <w:r w:rsidR="00E82294" w:rsidRPr="001F3926">
              <w:rPr>
                <w:rFonts w:cs="Arial"/>
              </w:rPr>
              <w:t>, </w:t>
            </w:r>
            <w:r w:rsidRPr="001F3926">
              <w:rPr>
                <w:rFonts w:cs="Arial"/>
              </w:rPr>
              <w:t>16.1)</w:t>
            </w:r>
          </w:p>
        </w:tc>
      </w:tr>
      <w:tr w:rsidR="00E82294" w:rsidRPr="001F3926" w14:paraId="4E471236"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Borders>
              <w:top w:val="single" w:sz="4" w:space="0" w:color="000000"/>
              <w:bottom w:val="nil"/>
            </w:tcBorders>
          </w:tcPr>
          <w:p w14:paraId="2B57526C" w14:textId="77777777" w:rsidR="00266BEE" w:rsidRPr="001F3926" w:rsidRDefault="00266BEE" w:rsidP="00E82294">
            <w:pPr>
              <w:pStyle w:val="TableText"/>
              <w:rPr>
                <w:b/>
                <w:bCs/>
                <w:color w:val="000000" w:themeColor="text1"/>
              </w:rPr>
            </w:pPr>
            <w:r w:rsidRPr="001F3926">
              <w:rPr>
                <w:b/>
              </w:rPr>
              <w:t>Probable anxiety/depression (K10)</w:t>
            </w:r>
          </w:p>
        </w:tc>
        <w:tc>
          <w:tcPr>
            <w:tcW w:w="539" w:type="dxa"/>
            <w:tcBorders>
              <w:top w:val="single" w:sz="4" w:space="0" w:color="000000"/>
              <w:bottom w:val="nil"/>
            </w:tcBorders>
          </w:tcPr>
          <w:p w14:paraId="5001BCBE" w14:textId="77777777" w:rsidR="00266BEE" w:rsidRPr="001F3926" w:rsidRDefault="00266BEE" w:rsidP="00E82294">
            <w:pPr>
              <w:pStyle w:val="TableText"/>
              <w:jc w:val="right"/>
            </w:pPr>
          </w:p>
        </w:tc>
        <w:tc>
          <w:tcPr>
            <w:tcW w:w="748" w:type="dxa"/>
            <w:tcBorders>
              <w:top w:val="single" w:sz="4" w:space="0" w:color="000000"/>
              <w:bottom w:val="nil"/>
            </w:tcBorders>
          </w:tcPr>
          <w:p w14:paraId="6DB2B81C" w14:textId="77777777" w:rsidR="00266BEE" w:rsidRPr="001F3926" w:rsidRDefault="00266BEE" w:rsidP="00E82294">
            <w:pPr>
              <w:pStyle w:val="TableText"/>
              <w:jc w:val="right"/>
            </w:pPr>
          </w:p>
        </w:tc>
        <w:tc>
          <w:tcPr>
            <w:tcW w:w="972" w:type="dxa"/>
            <w:tcBorders>
              <w:top w:val="single" w:sz="4" w:space="0" w:color="000000"/>
              <w:bottom w:val="nil"/>
            </w:tcBorders>
          </w:tcPr>
          <w:p w14:paraId="7C4E0A5F" w14:textId="77777777" w:rsidR="00266BEE" w:rsidRPr="001F3926" w:rsidRDefault="00266BEE" w:rsidP="00E82294">
            <w:pPr>
              <w:pStyle w:val="TableText"/>
              <w:jc w:val="right"/>
            </w:pPr>
          </w:p>
        </w:tc>
        <w:tc>
          <w:tcPr>
            <w:tcW w:w="530" w:type="dxa"/>
            <w:tcBorders>
              <w:top w:val="single" w:sz="4" w:space="0" w:color="000000"/>
              <w:bottom w:val="nil"/>
            </w:tcBorders>
          </w:tcPr>
          <w:p w14:paraId="58F0D69F" w14:textId="77777777" w:rsidR="00266BEE" w:rsidRPr="001F3926" w:rsidRDefault="00266BEE" w:rsidP="00E82294">
            <w:pPr>
              <w:pStyle w:val="TableText"/>
              <w:jc w:val="right"/>
            </w:pPr>
          </w:p>
        </w:tc>
        <w:tc>
          <w:tcPr>
            <w:tcW w:w="810" w:type="dxa"/>
            <w:tcBorders>
              <w:top w:val="single" w:sz="4" w:space="0" w:color="000000"/>
              <w:bottom w:val="nil"/>
            </w:tcBorders>
          </w:tcPr>
          <w:p w14:paraId="2A667232" w14:textId="77777777" w:rsidR="00266BEE" w:rsidRPr="001F3926" w:rsidRDefault="00266BEE" w:rsidP="00E82294">
            <w:pPr>
              <w:pStyle w:val="TableText"/>
              <w:jc w:val="right"/>
            </w:pPr>
          </w:p>
        </w:tc>
        <w:tc>
          <w:tcPr>
            <w:tcW w:w="855" w:type="dxa"/>
            <w:tcBorders>
              <w:top w:val="single" w:sz="4" w:space="0" w:color="000000"/>
              <w:bottom w:val="nil"/>
            </w:tcBorders>
          </w:tcPr>
          <w:p w14:paraId="3737B93D" w14:textId="77777777" w:rsidR="00266BEE" w:rsidRPr="001F3926" w:rsidRDefault="00266BEE" w:rsidP="00E82294">
            <w:pPr>
              <w:pStyle w:val="TableText"/>
              <w:jc w:val="right"/>
            </w:pPr>
          </w:p>
        </w:tc>
        <w:tc>
          <w:tcPr>
            <w:tcW w:w="495" w:type="dxa"/>
            <w:tcBorders>
              <w:top w:val="single" w:sz="4" w:space="0" w:color="000000"/>
              <w:bottom w:val="nil"/>
            </w:tcBorders>
          </w:tcPr>
          <w:p w14:paraId="6FCA212A" w14:textId="77777777" w:rsidR="00266BEE" w:rsidRPr="001F3926" w:rsidRDefault="00266BEE" w:rsidP="00E82294">
            <w:pPr>
              <w:pStyle w:val="TableText"/>
              <w:jc w:val="right"/>
            </w:pPr>
          </w:p>
        </w:tc>
        <w:tc>
          <w:tcPr>
            <w:tcW w:w="810" w:type="dxa"/>
            <w:tcBorders>
              <w:top w:val="single" w:sz="4" w:space="0" w:color="000000"/>
              <w:bottom w:val="nil"/>
            </w:tcBorders>
          </w:tcPr>
          <w:p w14:paraId="38673774" w14:textId="77777777" w:rsidR="00266BEE" w:rsidRPr="001F3926" w:rsidRDefault="00266BEE" w:rsidP="00E82294">
            <w:pPr>
              <w:pStyle w:val="TableText"/>
              <w:jc w:val="right"/>
            </w:pPr>
          </w:p>
        </w:tc>
        <w:tc>
          <w:tcPr>
            <w:tcW w:w="955" w:type="dxa"/>
            <w:tcBorders>
              <w:top w:val="single" w:sz="4" w:space="0" w:color="000000"/>
              <w:bottom w:val="nil"/>
            </w:tcBorders>
          </w:tcPr>
          <w:p w14:paraId="6AC725E5" w14:textId="77777777" w:rsidR="00266BEE" w:rsidRPr="001F3926" w:rsidRDefault="00266BEE" w:rsidP="00E82294">
            <w:pPr>
              <w:pStyle w:val="TableText"/>
              <w:jc w:val="right"/>
            </w:pPr>
          </w:p>
        </w:tc>
        <w:tc>
          <w:tcPr>
            <w:tcW w:w="575" w:type="dxa"/>
            <w:tcBorders>
              <w:top w:val="single" w:sz="4" w:space="0" w:color="000000"/>
              <w:bottom w:val="nil"/>
            </w:tcBorders>
          </w:tcPr>
          <w:p w14:paraId="7505AA57" w14:textId="77777777" w:rsidR="00266BEE" w:rsidRPr="001F3926" w:rsidRDefault="00266BEE" w:rsidP="00E82294">
            <w:pPr>
              <w:pStyle w:val="TableText"/>
              <w:jc w:val="right"/>
            </w:pPr>
          </w:p>
        </w:tc>
        <w:tc>
          <w:tcPr>
            <w:tcW w:w="810" w:type="dxa"/>
            <w:tcBorders>
              <w:top w:val="single" w:sz="4" w:space="0" w:color="000000"/>
              <w:bottom w:val="nil"/>
            </w:tcBorders>
          </w:tcPr>
          <w:p w14:paraId="7564B806" w14:textId="77777777" w:rsidR="00266BEE" w:rsidRPr="001F3926" w:rsidRDefault="00266BEE" w:rsidP="00E82294">
            <w:pPr>
              <w:pStyle w:val="TableText"/>
              <w:jc w:val="right"/>
            </w:pPr>
          </w:p>
        </w:tc>
        <w:tc>
          <w:tcPr>
            <w:tcW w:w="875" w:type="dxa"/>
            <w:tcBorders>
              <w:top w:val="single" w:sz="4" w:space="0" w:color="000000"/>
              <w:bottom w:val="nil"/>
            </w:tcBorders>
          </w:tcPr>
          <w:p w14:paraId="33F4B817" w14:textId="77777777" w:rsidR="00266BEE" w:rsidRPr="001F3926" w:rsidRDefault="00266BEE" w:rsidP="00E82294">
            <w:pPr>
              <w:pStyle w:val="TableText"/>
              <w:jc w:val="right"/>
            </w:pPr>
          </w:p>
        </w:tc>
      </w:tr>
      <w:tr w:rsidR="00E82294" w:rsidRPr="001F3926" w14:paraId="73210EDB" w14:textId="77777777" w:rsidTr="00E82294">
        <w:trPr>
          <w:cantSplit/>
        </w:trPr>
        <w:tc>
          <w:tcPr>
            <w:tcW w:w="2546" w:type="dxa"/>
            <w:tcBorders>
              <w:top w:val="nil"/>
            </w:tcBorders>
          </w:tcPr>
          <w:p w14:paraId="179282E0" w14:textId="77777777" w:rsidR="00266BEE" w:rsidRPr="001F3926" w:rsidRDefault="00266BEE" w:rsidP="00E82294">
            <w:pPr>
              <w:pStyle w:val="TableText"/>
              <w:rPr>
                <w:bCs/>
                <w:color w:val="000000" w:themeColor="text1"/>
              </w:rPr>
            </w:pPr>
            <w:r w:rsidRPr="001F3926">
              <w:t xml:space="preserve">Probable disorder </w:t>
            </w:r>
          </w:p>
        </w:tc>
        <w:tc>
          <w:tcPr>
            <w:tcW w:w="539" w:type="dxa"/>
            <w:tcBorders>
              <w:top w:val="nil"/>
            </w:tcBorders>
          </w:tcPr>
          <w:p w14:paraId="6AB39C5F" w14:textId="77777777" w:rsidR="00266BEE" w:rsidRPr="001F3926" w:rsidRDefault="00266BEE" w:rsidP="00E82294">
            <w:pPr>
              <w:pStyle w:val="TableText"/>
              <w:jc w:val="right"/>
            </w:pPr>
            <w:r w:rsidRPr="001F3926">
              <w:rPr>
                <w:rFonts w:cs="Arial"/>
              </w:rPr>
              <w:t>547</w:t>
            </w:r>
          </w:p>
        </w:tc>
        <w:tc>
          <w:tcPr>
            <w:tcW w:w="748" w:type="dxa"/>
            <w:tcBorders>
              <w:top w:val="nil"/>
            </w:tcBorders>
          </w:tcPr>
          <w:p w14:paraId="0782CFEB" w14:textId="77777777" w:rsidR="00266BEE" w:rsidRPr="001F3926" w:rsidRDefault="00266BEE" w:rsidP="00E82294">
            <w:pPr>
              <w:pStyle w:val="TableText"/>
              <w:jc w:val="right"/>
            </w:pPr>
            <w:r w:rsidRPr="001F3926">
              <w:rPr>
                <w:rFonts w:cs="Arial"/>
              </w:rPr>
              <w:t>4174</w:t>
            </w:r>
          </w:p>
        </w:tc>
        <w:tc>
          <w:tcPr>
            <w:tcW w:w="972" w:type="dxa"/>
            <w:tcBorders>
              <w:top w:val="nil"/>
            </w:tcBorders>
          </w:tcPr>
          <w:p w14:paraId="406F10F6" w14:textId="77777777" w:rsidR="00266BEE" w:rsidRPr="001F3926" w:rsidRDefault="00266BEE" w:rsidP="00E82294">
            <w:pPr>
              <w:pStyle w:val="TableText"/>
              <w:jc w:val="right"/>
            </w:pPr>
            <w:r w:rsidRPr="001F3926">
              <w:rPr>
                <w:rFonts w:cs="Arial"/>
              </w:rPr>
              <w:t>61.4 (57.4</w:t>
            </w:r>
            <w:r w:rsidR="00E82294" w:rsidRPr="001F3926">
              <w:rPr>
                <w:rFonts w:cs="Arial"/>
              </w:rPr>
              <w:t>, </w:t>
            </w:r>
            <w:r w:rsidRPr="001F3926">
              <w:rPr>
                <w:rFonts w:cs="Arial"/>
              </w:rPr>
              <w:t>65.2)</w:t>
            </w:r>
          </w:p>
        </w:tc>
        <w:tc>
          <w:tcPr>
            <w:tcW w:w="530" w:type="dxa"/>
            <w:tcBorders>
              <w:top w:val="nil"/>
            </w:tcBorders>
          </w:tcPr>
          <w:p w14:paraId="7FEA75BF" w14:textId="77777777" w:rsidR="00266BEE" w:rsidRPr="001F3926" w:rsidRDefault="00266BEE" w:rsidP="00E82294">
            <w:pPr>
              <w:pStyle w:val="TableText"/>
              <w:jc w:val="right"/>
            </w:pPr>
            <w:r w:rsidRPr="001F3926">
              <w:rPr>
                <w:rFonts w:cs="Arial"/>
              </w:rPr>
              <w:t>366</w:t>
            </w:r>
          </w:p>
        </w:tc>
        <w:tc>
          <w:tcPr>
            <w:tcW w:w="810" w:type="dxa"/>
            <w:tcBorders>
              <w:top w:val="nil"/>
            </w:tcBorders>
          </w:tcPr>
          <w:p w14:paraId="60B40C0F" w14:textId="77777777" w:rsidR="00266BEE" w:rsidRPr="001F3926" w:rsidRDefault="00266BEE" w:rsidP="00E82294">
            <w:pPr>
              <w:pStyle w:val="TableText"/>
              <w:jc w:val="right"/>
            </w:pPr>
            <w:r w:rsidRPr="001F3926">
              <w:rPr>
                <w:rFonts w:cs="Arial"/>
              </w:rPr>
              <w:t>2594</w:t>
            </w:r>
          </w:p>
        </w:tc>
        <w:tc>
          <w:tcPr>
            <w:tcW w:w="855" w:type="dxa"/>
            <w:tcBorders>
              <w:top w:val="nil"/>
            </w:tcBorders>
          </w:tcPr>
          <w:p w14:paraId="763F7609" w14:textId="77777777" w:rsidR="00266BEE" w:rsidRPr="001F3926" w:rsidRDefault="00266BEE" w:rsidP="00E82294">
            <w:pPr>
              <w:pStyle w:val="TableText"/>
              <w:jc w:val="right"/>
            </w:pPr>
            <w:r w:rsidRPr="001F3926">
              <w:rPr>
                <w:rFonts w:cs="Arial"/>
              </w:rPr>
              <w:t>38.1 (34.3</w:t>
            </w:r>
            <w:r w:rsidR="00E82294" w:rsidRPr="001F3926">
              <w:rPr>
                <w:rFonts w:cs="Arial"/>
              </w:rPr>
              <w:t>, </w:t>
            </w:r>
            <w:r w:rsidRPr="001F3926">
              <w:rPr>
                <w:rFonts w:cs="Arial"/>
              </w:rPr>
              <w:t>42.1)</w:t>
            </w:r>
          </w:p>
        </w:tc>
        <w:tc>
          <w:tcPr>
            <w:tcW w:w="495" w:type="dxa"/>
            <w:tcBorders>
              <w:top w:val="nil"/>
            </w:tcBorders>
          </w:tcPr>
          <w:p w14:paraId="7BA02842" w14:textId="77777777" w:rsidR="00266BEE" w:rsidRPr="001F3926" w:rsidRDefault="00266BEE" w:rsidP="00E82294">
            <w:pPr>
              <w:pStyle w:val="TableText"/>
              <w:jc w:val="right"/>
            </w:pPr>
            <w:r w:rsidRPr="001F3926">
              <w:rPr>
                <w:rFonts w:cs="Arial"/>
              </w:rPr>
              <w:t>610</w:t>
            </w:r>
          </w:p>
        </w:tc>
        <w:tc>
          <w:tcPr>
            <w:tcW w:w="810" w:type="dxa"/>
            <w:tcBorders>
              <w:top w:val="nil"/>
            </w:tcBorders>
          </w:tcPr>
          <w:p w14:paraId="4A3568E2" w14:textId="77777777" w:rsidR="00266BEE" w:rsidRPr="001F3926" w:rsidRDefault="00266BEE" w:rsidP="00E82294">
            <w:pPr>
              <w:pStyle w:val="TableText"/>
              <w:jc w:val="right"/>
            </w:pPr>
            <w:r w:rsidRPr="001F3926">
              <w:rPr>
                <w:rFonts w:cs="Arial"/>
              </w:rPr>
              <w:t>6016</w:t>
            </w:r>
          </w:p>
        </w:tc>
        <w:tc>
          <w:tcPr>
            <w:tcW w:w="955" w:type="dxa"/>
            <w:tcBorders>
              <w:top w:val="nil"/>
            </w:tcBorders>
          </w:tcPr>
          <w:p w14:paraId="7E057825" w14:textId="77777777" w:rsidR="00266BEE" w:rsidRPr="001F3926" w:rsidRDefault="00266BEE" w:rsidP="00E82294">
            <w:pPr>
              <w:pStyle w:val="TableText"/>
              <w:jc w:val="right"/>
            </w:pPr>
            <w:r w:rsidRPr="001F3926">
              <w:rPr>
                <w:rFonts w:cs="Arial"/>
              </w:rPr>
              <w:t>78.2 (67.3</w:t>
            </w:r>
            <w:r w:rsidR="00E82294" w:rsidRPr="001F3926">
              <w:rPr>
                <w:rFonts w:cs="Arial"/>
              </w:rPr>
              <w:t>, </w:t>
            </w:r>
            <w:r w:rsidRPr="001F3926">
              <w:rPr>
                <w:rFonts w:cs="Arial"/>
              </w:rPr>
              <w:t>86.3)</w:t>
            </w:r>
          </w:p>
        </w:tc>
        <w:tc>
          <w:tcPr>
            <w:tcW w:w="575" w:type="dxa"/>
            <w:tcBorders>
              <w:top w:val="nil"/>
            </w:tcBorders>
          </w:tcPr>
          <w:p w14:paraId="32DF1FAC" w14:textId="77777777" w:rsidR="00266BEE" w:rsidRPr="001F3926" w:rsidRDefault="00266BEE" w:rsidP="00E82294">
            <w:pPr>
              <w:pStyle w:val="TableText"/>
              <w:jc w:val="right"/>
            </w:pPr>
            <w:r w:rsidRPr="001F3926">
              <w:rPr>
                <w:rFonts w:cs="Arial"/>
              </w:rPr>
              <w:t>265</w:t>
            </w:r>
          </w:p>
        </w:tc>
        <w:tc>
          <w:tcPr>
            <w:tcW w:w="810" w:type="dxa"/>
            <w:tcBorders>
              <w:top w:val="nil"/>
            </w:tcBorders>
          </w:tcPr>
          <w:p w14:paraId="34CEE99E" w14:textId="77777777" w:rsidR="00266BEE" w:rsidRPr="001F3926" w:rsidRDefault="00266BEE" w:rsidP="00E82294">
            <w:pPr>
              <w:pStyle w:val="TableText"/>
              <w:jc w:val="right"/>
            </w:pPr>
            <w:r w:rsidRPr="001F3926">
              <w:rPr>
                <w:rFonts w:cs="Arial"/>
              </w:rPr>
              <w:t>1648</w:t>
            </w:r>
          </w:p>
        </w:tc>
        <w:tc>
          <w:tcPr>
            <w:tcW w:w="875" w:type="dxa"/>
            <w:tcBorders>
              <w:top w:val="nil"/>
            </w:tcBorders>
          </w:tcPr>
          <w:p w14:paraId="00E52DF7" w14:textId="77777777" w:rsidR="00266BEE" w:rsidRPr="001F3926" w:rsidRDefault="00266BEE" w:rsidP="00E82294">
            <w:pPr>
              <w:pStyle w:val="TableText"/>
              <w:jc w:val="right"/>
            </w:pPr>
            <w:r w:rsidRPr="001F3926">
              <w:rPr>
                <w:rFonts w:cs="Arial"/>
              </w:rPr>
              <w:t>21.4 (13.4</w:t>
            </w:r>
            <w:r w:rsidR="00E82294" w:rsidRPr="001F3926">
              <w:rPr>
                <w:rFonts w:cs="Arial"/>
              </w:rPr>
              <w:t>, </w:t>
            </w:r>
            <w:r w:rsidRPr="001F3926">
              <w:rPr>
                <w:rFonts w:cs="Arial"/>
              </w:rPr>
              <w:t>32.4)</w:t>
            </w:r>
          </w:p>
        </w:tc>
      </w:tr>
      <w:tr w:rsidR="00E82294" w:rsidRPr="001F3926" w14:paraId="70037DAE"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Pr>
          <w:p w14:paraId="5643D541" w14:textId="77777777" w:rsidR="00266BEE" w:rsidRPr="001F3926" w:rsidRDefault="007155C2" w:rsidP="00E82294">
            <w:pPr>
              <w:pStyle w:val="TableText"/>
              <w:rPr>
                <w:bCs/>
                <w:color w:val="000000" w:themeColor="text1"/>
              </w:rPr>
            </w:pPr>
            <w:r>
              <w:t>Subsyndromal</w:t>
            </w:r>
            <w:r w:rsidR="00266BEE" w:rsidRPr="001F3926">
              <w:t xml:space="preserve"> disorder </w:t>
            </w:r>
          </w:p>
        </w:tc>
        <w:tc>
          <w:tcPr>
            <w:tcW w:w="539" w:type="dxa"/>
          </w:tcPr>
          <w:p w14:paraId="03590100" w14:textId="77777777" w:rsidR="00266BEE" w:rsidRPr="001F3926" w:rsidRDefault="00266BEE" w:rsidP="00E82294">
            <w:pPr>
              <w:pStyle w:val="TableText"/>
              <w:jc w:val="right"/>
            </w:pPr>
            <w:r w:rsidRPr="001F3926">
              <w:rPr>
                <w:rFonts w:cs="Arial"/>
              </w:rPr>
              <w:t>502</w:t>
            </w:r>
          </w:p>
        </w:tc>
        <w:tc>
          <w:tcPr>
            <w:tcW w:w="748" w:type="dxa"/>
          </w:tcPr>
          <w:p w14:paraId="0887FD13" w14:textId="77777777" w:rsidR="00266BEE" w:rsidRPr="001F3926" w:rsidRDefault="00266BEE" w:rsidP="00E82294">
            <w:pPr>
              <w:pStyle w:val="TableText"/>
              <w:jc w:val="right"/>
            </w:pPr>
            <w:r w:rsidRPr="001F3926">
              <w:rPr>
                <w:rFonts w:cs="Arial"/>
              </w:rPr>
              <w:t>3536</w:t>
            </w:r>
          </w:p>
        </w:tc>
        <w:tc>
          <w:tcPr>
            <w:tcW w:w="972" w:type="dxa"/>
          </w:tcPr>
          <w:p w14:paraId="64046B7C" w14:textId="77777777" w:rsidR="00266BEE" w:rsidRPr="001F3926" w:rsidRDefault="00266BEE" w:rsidP="00E82294">
            <w:pPr>
              <w:pStyle w:val="TableText"/>
              <w:jc w:val="right"/>
            </w:pPr>
            <w:r w:rsidRPr="001F3926">
              <w:rPr>
                <w:rFonts w:cs="Arial"/>
              </w:rPr>
              <w:t>70.6 (66.2</w:t>
            </w:r>
            <w:r w:rsidR="00E82294" w:rsidRPr="001F3926">
              <w:rPr>
                <w:rFonts w:cs="Arial"/>
              </w:rPr>
              <w:t>, </w:t>
            </w:r>
            <w:r w:rsidRPr="001F3926">
              <w:rPr>
                <w:rFonts w:cs="Arial"/>
              </w:rPr>
              <w:t>74.7)</w:t>
            </w:r>
          </w:p>
        </w:tc>
        <w:tc>
          <w:tcPr>
            <w:tcW w:w="530" w:type="dxa"/>
          </w:tcPr>
          <w:p w14:paraId="189C6CFC" w14:textId="77777777" w:rsidR="00266BEE" w:rsidRPr="001F3926" w:rsidRDefault="00266BEE" w:rsidP="00E82294">
            <w:pPr>
              <w:pStyle w:val="TableText"/>
              <w:jc w:val="right"/>
            </w:pPr>
            <w:r w:rsidRPr="001F3926">
              <w:rPr>
                <w:rFonts w:cs="Arial"/>
              </w:rPr>
              <w:t>222</w:t>
            </w:r>
          </w:p>
        </w:tc>
        <w:tc>
          <w:tcPr>
            <w:tcW w:w="810" w:type="dxa"/>
          </w:tcPr>
          <w:p w14:paraId="440DB977" w14:textId="77777777" w:rsidR="00266BEE" w:rsidRPr="001F3926" w:rsidRDefault="00266BEE" w:rsidP="00E82294">
            <w:pPr>
              <w:pStyle w:val="TableText"/>
              <w:jc w:val="right"/>
            </w:pPr>
            <w:r w:rsidRPr="001F3926">
              <w:rPr>
                <w:rFonts w:cs="Arial"/>
              </w:rPr>
              <w:t>1471</w:t>
            </w:r>
          </w:p>
        </w:tc>
        <w:tc>
          <w:tcPr>
            <w:tcW w:w="855" w:type="dxa"/>
          </w:tcPr>
          <w:p w14:paraId="5D90F3BA" w14:textId="77777777" w:rsidR="00266BEE" w:rsidRPr="001F3926" w:rsidRDefault="00266BEE" w:rsidP="00E82294">
            <w:pPr>
              <w:pStyle w:val="TableText"/>
              <w:jc w:val="right"/>
            </w:pPr>
            <w:r w:rsidRPr="001F3926">
              <w:rPr>
                <w:rFonts w:cs="Arial"/>
              </w:rPr>
              <w:t>29.4 (25.3</w:t>
            </w:r>
            <w:r w:rsidR="00E82294" w:rsidRPr="001F3926">
              <w:rPr>
                <w:rFonts w:cs="Arial"/>
              </w:rPr>
              <w:t>, </w:t>
            </w:r>
            <w:r w:rsidRPr="001F3926">
              <w:rPr>
                <w:rFonts w:cs="Arial"/>
              </w:rPr>
              <w:t>33.8)</w:t>
            </w:r>
          </w:p>
        </w:tc>
        <w:tc>
          <w:tcPr>
            <w:tcW w:w="495" w:type="dxa"/>
          </w:tcPr>
          <w:p w14:paraId="1CE31D2F" w14:textId="77777777" w:rsidR="00266BEE" w:rsidRPr="001F3926" w:rsidRDefault="00266BEE" w:rsidP="00E82294">
            <w:pPr>
              <w:pStyle w:val="TableText"/>
              <w:jc w:val="right"/>
            </w:pPr>
            <w:r w:rsidRPr="001F3926">
              <w:rPr>
                <w:rFonts w:cs="Arial"/>
              </w:rPr>
              <w:t>869</w:t>
            </w:r>
          </w:p>
        </w:tc>
        <w:tc>
          <w:tcPr>
            <w:tcW w:w="810" w:type="dxa"/>
          </w:tcPr>
          <w:p w14:paraId="4FE35C28" w14:textId="77777777" w:rsidR="00266BEE" w:rsidRPr="001F3926" w:rsidRDefault="00266BEE" w:rsidP="00E82294">
            <w:pPr>
              <w:pStyle w:val="TableText"/>
              <w:jc w:val="right"/>
            </w:pPr>
            <w:r w:rsidRPr="001F3926">
              <w:rPr>
                <w:rFonts w:cs="Arial"/>
              </w:rPr>
              <w:t>6623</w:t>
            </w:r>
          </w:p>
        </w:tc>
        <w:tc>
          <w:tcPr>
            <w:tcW w:w="955" w:type="dxa"/>
          </w:tcPr>
          <w:p w14:paraId="60533A54" w14:textId="77777777" w:rsidR="00266BEE" w:rsidRPr="001F3926" w:rsidRDefault="00266BEE" w:rsidP="00E82294">
            <w:pPr>
              <w:pStyle w:val="TableText"/>
              <w:jc w:val="right"/>
            </w:pPr>
            <w:r w:rsidRPr="001F3926">
              <w:rPr>
                <w:rFonts w:cs="Arial"/>
              </w:rPr>
              <w:t>70.0 (59.2</w:t>
            </w:r>
            <w:r w:rsidR="00E82294" w:rsidRPr="001F3926">
              <w:rPr>
                <w:rFonts w:cs="Arial"/>
              </w:rPr>
              <w:t>, </w:t>
            </w:r>
            <w:r w:rsidRPr="001F3926">
              <w:rPr>
                <w:rFonts w:cs="Arial"/>
              </w:rPr>
              <w:t>78.9)</w:t>
            </w:r>
          </w:p>
        </w:tc>
        <w:tc>
          <w:tcPr>
            <w:tcW w:w="575" w:type="dxa"/>
          </w:tcPr>
          <w:p w14:paraId="73F19383" w14:textId="77777777" w:rsidR="00266BEE" w:rsidRPr="001F3926" w:rsidRDefault="00266BEE" w:rsidP="00E82294">
            <w:pPr>
              <w:pStyle w:val="TableText"/>
              <w:jc w:val="right"/>
            </w:pPr>
            <w:r w:rsidRPr="001F3926">
              <w:rPr>
                <w:rFonts w:cs="Arial"/>
              </w:rPr>
              <w:t>373</w:t>
            </w:r>
          </w:p>
        </w:tc>
        <w:tc>
          <w:tcPr>
            <w:tcW w:w="810" w:type="dxa"/>
          </w:tcPr>
          <w:p w14:paraId="15B4F11E" w14:textId="77777777" w:rsidR="00266BEE" w:rsidRPr="001F3926" w:rsidRDefault="00266BEE" w:rsidP="00E82294">
            <w:pPr>
              <w:pStyle w:val="TableText"/>
              <w:jc w:val="right"/>
            </w:pPr>
            <w:r w:rsidRPr="001F3926">
              <w:rPr>
                <w:rFonts w:cs="Arial"/>
              </w:rPr>
              <w:t>2822</w:t>
            </w:r>
          </w:p>
        </w:tc>
        <w:tc>
          <w:tcPr>
            <w:tcW w:w="875" w:type="dxa"/>
          </w:tcPr>
          <w:p w14:paraId="5992CE5C" w14:textId="77777777" w:rsidR="00266BEE" w:rsidRPr="001F3926" w:rsidRDefault="00266BEE" w:rsidP="00E82294">
            <w:pPr>
              <w:pStyle w:val="TableText"/>
              <w:jc w:val="right"/>
            </w:pPr>
            <w:r w:rsidRPr="001F3926">
              <w:rPr>
                <w:rFonts w:cs="Arial"/>
              </w:rPr>
              <w:t>29.8 (20.9</w:t>
            </w:r>
            <w:r w:rsidR="00E82294" w:rsidRPr="001F3926">
              <w:rPr>
                <w:rFonts w:cs="Arial"/>
              </w:rPr>
              <w:t>, </w:t>
            </w:r>
            <w:r w:rsidRPr="001F3926">
              <w:rPr>
                <w:rFonts w:cs="Arial"/>
              </w:rPr>
              <w:t>40.6)</w:t>
            </w:r>
          </w:p>
        </w:tc>
      </w:tr>
      <w:tr w:rsidR="00E82294" w:rsidRPr="001F3926" w14:paraId="6006590F" w14:textId="77777777" w:rsidTr="00E82294">
        <w:trPr>
          <w:cantSplit/>
        </w:trPr>
        <w:tc>
          <w:tcPr>
            <w:tcW w:w="2546" w:type="dxa"/>
            <w:tcBorders>
              <w:bottom w:val="single" w:sz="4" w:space="0" w:color="000000"/>
            </w:tcBorders>
          </w:tcPr>
          <w:p w14:paraId="50F96961" w14:textId="77777777" w:rsidR="00266BEE" w:rsidRPr="001F3926" w:rsidRDefault="00266BEE" w:rsidP="00E82294">
            <w:pPr>
              <w:pStyle w:val="TableText"/>
            </w:pPr>
            <w:r w:rsidRPr="001F3926">
              <w:t>No disorder</w:t>
            </w:r>
          </w:p>
        </w:tc>
        <w:tc>
          <w:tcPr>
            <w:tcW w:w="539" w:type="dxa"/>
            <w:tcBorders>
              <w:bottom w:val="single" w:sz="4" w:space="0" w:color="000000"/>
            </w:tcBorders>
          </w:tcPr>
          <w:p w14:paraId="0B4CA11B" w14:textId="77777777" w:rsidR="00266BEE" w:rsidRPr="001F3926" w:rsidRDefault="00266BEE" w:rsidP="00E82294">
            <w:pPr>
              <w:pStyle w:val="TableText"/>
              <w:jc w:val="right"/>
            </w:pPr>
            <w:r w:rsidRPr="001F3926">
              <w:rPr>
                <w:rFonts w:cs="Arial"/>
              </w:rPr>
              <w:t>1605</w:t>
            </w:r>
          </w:p>
        </w:tc>
        <w:tc>
          <w:tcPr>
            <w:tcW w:w="748" w:type="dxa"/>
            <w:tcBorders>
              <w:bottom w:val="single" w:sz="4" w:space="0" w:color="000000"/>
            </w:tcBorders>
          </w:tcPr>
          <w:p w14:paraId="15CD4DBF" w14:textId="77777777" w:rsidR="00266BEE" w:rsidRPr="001F3926" w:rsidRDefault="00266BEE" w:rsidP="00E82294">
            <w:pPr>
              <w:pStyle w:val="TableText"/>
              <w:jc w:val="right"/>
            </w:pPr>
            <w:r w:rsidRPr="001F3926">
              <w:rPr>
                <w:rFonts w:cs="Arial"/>
              </w:rPr>
              <w:t>10,844</w:t>
            </w:r>
          </w:p>
        </w:tc>
        <w:tc>
          <w:tcPr>
            <w:tcW w:w="972" w:type="dxa"/>
            <w:tcBorders>
              <w:bottom w:val="single" w:sz="4" w:space="0" w:color="000000"/>
            </w:tcBorders>
          </w:tcPr>
          <w:p w14:paraId="002C5010" w14:textId="77777777" w:rsidR="00266BEE" w:rsidRPr="001F3926" w:rsidRDefault="00266BEE" w:rsidP="00E82294">
            <w:pPr>
              <w:pStyle w:val="TableText"/>
              <w:jc w:val="right"/>
            </w:pPr>
            <w:r w:rsidRPr="001F3926">
              <w:rPr>
                <w:rFonts w:cs="Arial"/>
              </w:rPr>
              <w:t>83.6 (81.3</w:t>
            </w:r>
            <w:r w:rsidR="00E82294" w:rsidRPr="001F3926">
              <w:rPr>
                <w:rFonts w:cs="Arial"/>
              </w:rPr>
              <w:t>, </w:t>
            </w:r>
            <w:r w:rsidRPr="001F3926">
              <w:rPr>
                <w:rFonts w:cs="Arial"/>
              </w:rPr>
              <w:t>85.7)</w:t>
            </w:r>
          </w:p>
        </w:tc>
        <w:tc>
          <w:tcPr>
            <w:tcW w:w="530" w:type="dxa"/>
            <w:tcBorders>
              <w:bottom w:val="single" w:sz="4" w:space="0" w:color="000000"/>
            </w:tcBorders>
          </w:tcPr>
          <w:p w14:paraId="3F0827B7" w14:textId="77777777" w:rsidR="00266BEE" w:rsidRPr="001F3926" w:rsidRDefault="00266BEE" w:rsidP="00E82294">
            <w:pPr>
              <w:pStyle w:val="TableText"/>
              <w:jc w:val="right"/>
            </w:pPr>
            <w:r w:rsidRPr="001F3926">
              <w:rPr>
                <w:rFonts w:cs="Arial"/>
              </w:rPr>
              <w:t>262</w:t>
            </w:r>
          </w:p>
        </w:tc>
        <w:tc>
          <w:tcPr>
            <w:tcW w:w="810" w:type="dxa"/>
            <w:tcBorders>
              <w:bottom w:val="single" w:sz="4" w:space="0" w:color="000000"/>
            </w:tcBorders>
          </w:tcPr>
          <w:p w14:paraId="36E87046" w14:textId="77777777" w:rsidR="00266BEE" w:rsidRPr="001F3926" w:rsidRDefault="00266BEE" w:rsidP="00E82294">
            <w:pPr>
              <w:pStyle w:val="TableText"/>
              <w:jc w:val="right"/>
            </w:pPr>
            <w:r w:rsidRPr="001F3926">
              <w:rPr>
                <w:rFonts w:cs="Arial"/>
              </w:rPr>
              <w:t>2007</w:t>
            </w:r>
          </w:p>
        </w:tc>
        <w:tc>
          <w:tcPr>
            <w:tcW w:w="855" w:type="dxa"/>
            <w:tcBorders>
              <w:bottom w:val="single" w:sz="4" w:space="0" w:color="000000"/>
            </w:tcBorders>
          </w:tcPr>
          <w:p w14:paraId="0E27F8A9" w14:textId="77777777" w:rsidR="00266BEE" w:rsidRPr="001F3926" w:rsidRDefault="00266BEE" w:rsidP="00E82294">
            <w:pPr>
              <w:pStyle w:val="TableText"/>
              <w:jc w:val="right"/>
            </w:pPr>
            <w:r w:rsidRPr="001F3926">
              <w:rPr>
                <w:rFonts w:cs="Arial"/>
              </w:rPr>
              <w:t>15.5 (13.4</w:t>
            </w:r>
            <w:r w:rsidR="00E82294" w:rsidRPr="001F3926">
              <w:rPr>
                <w:rFonts w:cs="Arial"/>
              </w:rPr>
              <w:t>, </w:t>
            </w:r>
            <w:r w:rsidRPr="001F3926">
              <w:rPr>
                <w:rFonts w:cs="Arial"/>
              </w:rPr>
              <w:t>17.8)</w:t>
            </w:r>
          </w:p>
        </w:tc>
        <w:tc>
          <w:tcPr>
            <w:tcW w:w="495" w:type="dxa"/>
            <w:tcBorders>
              <w:bottom w:val="single" w:sz="4" w:space="0" w:color="000000"/>
            </w:tcBorders>
          </w:tcPr>
          <w:p w14:paraId="2E7B2CF5" w14:textId="77777777" w:rsidR="00266BEE" w:rsidRPr="001F3926" w:rsidRDefault="00266BEE" w:rsidP="00E82294">
            <w:pPr>
              <w:pStyle w:val="TableText"/>
              <w:jc w:val="right"/>
            </w:pPr>
            <w:r w:rsidRPr="001F3926">
              <w:rPr>
                <w:rFonts w:cs="Arial"/>
              </w:rPr>
              <w:t>4369</w:t>
            </w:r>
          </w:p>
        </w:tc>
        <w:tc>
          <w:tcPr>
            <w:tcW w:w="810" w:type="dxa"/>
            <w:tcBorders>
              <w:bottom w:val="single" w:sz="4" w:space="0" w:color="000000"/>
            </w:tcBorders>
          </w:tcPr>
          <w:p w14:paraId="46788A5F" w14:textId="77777777" w:rsidR="00266BEE" w:rsidRPr="001F3926" w:rsidRDefault="00266BEE" w:rsidP="00E82294">
            <w:pPr>
              <w:pStyle w:val="TableText"/>
              <w:jc w:val="right"/>
            </w:pPr>
            <w:r w:rsidRPr="001F3926">
              <w:rPr>
                <w:rFonts w:cs="Arial"/>
              </w:rPr>
              <w:t>29,756</w:t>
            </w:r>
          </w:p>
        </w:tc>
        <w:tc>
          <w:tcPr>
            <w:tcW w:w="955" w:type="dxa"/>
            <w:tcBorders>
              <w:bottom w:val="single" w:sz="4" w:space="0" w:color="000000"/>
            </w:tcBorders>
          </w:tcPr>
          <w:p w14:paraId="19613069" w14:textId="77777777" w:rsidR="00266BEE" w:rsidRPr="001F3926" w:rsidRDefault="00266BEE" w:rsidP="00E82294">
            <w:pPr>
              <w:pStyle w:val="TableText"/>
              <w:jc w:val="right"/>
            </w:pPr>
            <w:r w:rsidRPr="001F3926">
              <w:rPr>
                <w:rFonts w:cs="Arial"/>
              </w:rPr>
              <w:t>86.4 (83.3</w:t>
            </w:r>
            <w:r w:rsidR="00E82294" w:rsidRPr="001F3926">
              <w:rPr>
                <w:rFonts w:cs="Arial"/>
              </w:rPr>
              <w:t>, </w:t>
            </w:r>
            <w:r w:rsidRPr="001F3926">
              <w:rPr>
                <w:rFonts w:cs="Arial"/>
              </w:rPr>
              <w:t>89.0)</w:t>
            </w:r>
          </w:p>
        </w:tc>
        <w:tc>
          <w:tcPr>
            <w:tcW w:w="575" w:type="dxa"/>
            <w:tcBorders>
              <w:bottom w:val="single" w:sz="4" w:space="0" w:color="000000"/>
            </w:tcBorders>
          </w:tcPr>
          <w:p w14:paraId="408AF413" w14:textId="77777777" w:rsidR="00266BEE" w:rsidRPr="001F3926" w:rsidRDefault="00266BEE" w:rsidP="00E82294">
            <w:pPr>
              <w:pStyle w:val="TableText"/>
              <w:jc w:val="right"/>
            </w:pPr>
            <w:r w:rsidRPr="001F3926">
              <w:rPr>
                <w:rFonts w:cs="Arial"/>
              </w:rPr>
              <w:t>785</w:t>
            </w:r>
          </w:p>
        </w:tc>
        <w:tc>
          <w:tcPr>
            <w:tcW w:w="810" w:type="dxa"/>
            <w:tcBorders>
              <w:bottom w:val="single" w:sz="4" w:space="0" w:color="000000"/>
            </w:tcBorders>
          </w:tcPr>
          <w:p w14:paraId="2DC26521" w14:textId="77777777" w:rsidR="00266BEE" w:rsidRPr="001F3926" w:rsidRDefault="00266BEE" w:rsidP="00E82294">
            <w:pPr>
              <w:pStyle w:val="TableText"/>
              <w:jc w:val="right"/>
            </w:pPr>
            <w:r w:rsidRPr="001F3926">
              <w:rPr>
                <w:rFonts w:cs="Arial"/>
              </w:rPr>
              <w:t>4529</w:t>
            </w:r>
          </w:p>
        </w:tc>
        <w:tc>
          <w:tcPr>
            <w:tcW w:w="875" w:type="dxa"/>
            <w:tcBorders>
              <w:bottom w:val="single" w:sz="4" w:space="0" w:color="000000"/>
            </w:tcBorders>
          </w:tcPr>
          <w:p w14:paraId="15AE6FDE" w14:textId="77777777" w:rsidR="00266BEE" w:rsidRPr="001F3926" w:rsidRDefault="00266BEE" w:rsidP="00E82294">
            <w:pPr>
              <w:pStyle w:val="TableText"/>
              <w:jc w:val="right"/>
            </w:pPr>
            <w:r w:rsidRPr="001F3926">
              <w:rPr>
                <w:rFonts w:cs="Arial"/>
              </w:rPr>
              <w:t>13.1 (10.6</w:t>
            </w:r>
            <w:r w:rsidR="00E82294" w:rsidRPr="001F3926">
              <w:rPr>
                <w:rFonts w:cs="Arial"/>
              </w:rPr>
              <w:t>, </w:t>
            </w:r>
            <w:r w:rsidRPr="001F3926">
              <w:rPr>
                <w:rFonts w:cs="Arial"/>
              </w:rPr>
              <w:t>16.2)</w:t>
            </w:r>
          </w:p>
        </w:tc>
      </w:tr>
      <w:tr w:rsidR="00E82294" w:rsidRPr="001F3926" w14:paraId="3A241DBC"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Borders>
              <w:top w:val="single" w:sz="4" w:space="0" w:color="000000"/>
              <w:bottom w:val="nil"/>
            </w:tcBorders>
          </w:tcPr>
          <w:p w14:paraId="6E93843D" w14:textId="77777777" w:rsidR="00266BEE" w:rsidRPr="001F3926" w:rsidRDefault="00266BEE" w:rsidP="00E82294">
            <w:pPr>
              <w:pStyle w:val="TableText"/>
              <w:rPr>
                <w:b/>
                <w:bCs/>
                <w:color w:val="000000" w:themeColor="text1"/>
              </w:rPr>
            </w:pPr>
            <w:r w:rsidRPr="001F3926">
              <w:rPr>
                <w:b/>
              </w:rPr>
              <w:t>Probable alcohol use disorder (AUDIT)</w:t>
            </w:r>
          </w:p>
        </w:tc>
        <w:tc>
          <w:tcPr>
            <w:tcW w:w="539" w:type="dxa"/>
            <w:tcBorders>
              <w:top w:val="single" w:sz="4" w:space="0" w:color="000000"/>
              <w:bottom w:val="nil"/>
            </w:tcBorders>
          </w:tcPr>
          <w:p w14:paraId="2C4518AA" w14:textId="77777777" w:rsidR="00266BEE" w:rsidRPr="001F3926" w:rsidRDefault="00266BEE" w:rsidP="00E82294">
            <w:pPr>
              <w:pStyle w:val="TableText"/>
              <w:jc w:val="right"/>
            </w:pPr>
          </w:p>
        </w:tc>
        <w:tc>
          <w:tcPr>
            <w:tcW w:w="748" w:type="dxa"/>
            <w:tcBorders>
              <w:top w:val="single" w:sz="4" w:space="0" w:color="000000"/>
              <w:bottom w:val="nil"/>
            </w:tcBorders>
          </w:tcPr>
          <w:p w14:paraId="71CFF903" w14:textId="77777777" w:rsidR="00266BEE" w:rsidRPr="001F3926" w:rsidRDefault="00266BEE" w:rsidP="00E82294">
            <w:pPr>
              <w:pStyle w:val="TableText"/>
              <w:jc w:val="right"/>
            </w:pPr>
          </w:p>
        </w:tc>
        <w:tc>
          <w:tcPr>
            <w:tcW w:w="972" w:type="dxa"/>
            <w:tcBorders>
              <w:top w:val="single" w:sz="4" w:space="0" w:color="000000"/>
              <w:bottom w:val="nil"/>
            </w:tcBorders>
          </w:tcPr>
          <w:p w14:paraId="5290DE53" w14:textId="77777777" w:rsidR="00266BEE" w:rsidRPr="001F3926" w:rsidRDefault="00266BEE" w:rsidP="00E82294">
            <w:pPr>
              <w:pStyle w:val="TableText"/>
              <w:jc w:val="right"/>
            </w:pPr>
          </w:p>
        </w:tc>
        <w:tc>
          <w:tcPr>
            <w:tcW w:w="530" w:type="dxa"/>
            <w:tcBorders>
              <w:top w:val="single" w:sz="4" w:space="0" w:color="000000"/>
              <w:bottom w:val="nil"/>
            </w:tcBorders>
          </w:tcPr>
          <w:p w14:paraId="1AAE0845" w14:textId="77777777" w:rsidR="00266BEE" w:rsidRPr="001F3926" w:rsidRDefault="00266BEE" w:rsidP="00E82294">
            <w:pPr>
              <w:pStyle w:val="TableText"/>
              <w:jc w:val="right"/>
            </w:pPr>
          </w:p>
        </w:tc>
        <w:tc>
          <w:tcPr>
            <w:tcW w:w="810" w:type="dxa"/>
            <w:tcBorders>
              <w:top w:val="single" w:sz="4" w:space="0" w:color="000000"/>
              <w:bottom w:val="nil"/>
            </w:tcBorders>
          </w:tcPr>
          <w:p w14:paraId="21800B0C" w14:textId="77777777" w:rsidR="00266BEE" w:rsidRPr="001F3926" w:rsidRDefault="00266BEE" w:rsidP="00E82294">
            <w:pPr>
              <w:pStyle w:val="TableText"/>
              <w:jc w:val="right"/>
            </w:pPr>
          </w:p>
        </w:tc>
        <w:tc>
          <w:tcPr>
            <w:tcW w:w="855" w:type="dxa"/>
            <w:tcBorders>
              <w:top w:val="single" w:sz="4" w:space="0" w:color="000000"/>
              <w:bottom w:val="nil"/>
            </w:tcBorders>
          </w:tcPr>
          <w:p w14:paraId="483485E1" w14:textId="77777777" w:rsidR="00266BEE" w:rsidRPr="001F3926" w:rsidRDefault="00266BEE" w:rsidP="00E82294">
            <w:pPr>
              <w:pStyle w:val="TableText"/>
              <w:jc w:val="right"/>
            </w:pPr>
          </w:p>
        </w:tc>
        <w:tc>
          <w:tcPr>
            <w:tcW w:w="495" w:type="dxa"/>
            <w:tcBorders>
              <w:top w:val="single" w:sz="4" w:space="0" w:color="000000"/>
              <w:bottom w:val="nil"/>
            </w:tcBorders>
          </w:tcPr>
          <w:p w14:paraId="2200DD42" w14:textId="77777777" w:rsidR="00266BEE" w:rsidRPr="001F3926" w:rsidRDefault="00266BEE" w:rsidP="00E82294">
            <w:pPr>
              <w:pStyle w:val="TableText"/>
              <w:jc w:val="right"/>
            </w:pPr>
          </w:p>
        </w:tc>
        <w:tc>
          <w:tcPr>
            <w:tcW w:w="810" w:type="dxa"/>
            <w:tcBorders>
              <w:top w:val="single" w:sz="4" w:space="0" w:color="000000"/>
              <w:bottom w:val="nil"/>
            </w:tcBorders>
          </w:tcPr>
          <w:p w14:paraId="1635029F" w14:textId="77777777" w:rsidR="00266BEE" w:rsidRPr="001F3926" w:rsidRDefault="00266BEE" w:rsidP="00E82294">
            <w:pPr>
              <w:pStyle w:val="TableText"/>
              <w:jc w:val="right"/>
            </w:pPr>
          </w:p>
        </w:tc>
        <w:tc>
          <w:tcPr>
            <w:tcW w:w="955" w:type="dxa"/>
            <w:tcBorders>
              <w:top w:val="single" w:sz="4" w:space="0" w:color="000000"/>
              <w:bottom w:val="nil"/>
            </w:tcBorders>
          </w:tcPr>
          <w:p w14:paraId="0AB258D8" w14:textId="77777777" w:rsidR="00266BEE" w:rsidRPr="001F3926" w:rsidRDefault="00266BEE" w:rsidP="00E82294">
            <w:pPr>
              <w:pStyle w:val="TableText"/>
              <w:jc w:val="right"/>
            </w:pPr>
          </w:p>
        </w:tc>
        <w:tc>
          <w:tcPr>
            <w:tcW w:w="575" w:type="dxa"/>
            <w:tcBorders>
              <w:top w:val="single" w:sz="4" w:space="0" w:color="000000"/>
              <w:bottom w:val="nil"/>
            </w:tcBorders>
          </w:tcPr>
          <w:p w14:paraId="77070A17" w14:textId="77777777" w:rsidR="00266BEE" w:rsidRPr="001F3926" w:rsidRDefault="00266BEE" w:rsidP="00E82294">
            <w:pPr>
              <w:pStyle w:val="TableText"/>
              <w:jc w:val="right"/>
            </w:pPr>
          </w:p>
        </w:tc>
        <w:tc>
          <w:tcPr>
            <w:tcW w:w="810" w:type="dxa"/>
            <w:tcBorders>
              <w:top w:val="single" w:sz="4" w:space="0" w:color="000000"/>
              <w:bottom w:val="nil"/>
            </w:tcBorders>
          </w:tcPr>
          <w:p w14:paraId="641B1A53" w14:textId="77777777" w:rsidR="00266BEE" w:rsidRPr="001F3926" w:rsidRDefault="00266BEE" w:rsidP="00E82294">
            <w:pPr>
              <w:pStyle w:val="TableText"/>
              <w:jc w:val="right"/>
            </w:pPr>
          </w:p>
        </w:tc>
        <w:tc>
          <w:tcPr>
            <w:tcW w:w="875" w:type="dxa"/>
            <w:tcBorders>
              <w:top w:val="single" w:sz="4" w:space="0" w:color="000000"/>
              <w:bottom w:val="nil"/>
            </w:tcBorders>
          </w:tcPr>
          <w:p w14:paraId="7ECDD9A9" w14:textId="77777777" w:rsidR="00266BEE" w:rsidRPr="001F3926" w:rsidRDefault="00266BEE" w:rsidP="00E82294">
            <w:pPr>
              <w:pStyle w:val="TableText"/>
              <w:jc w:val="right"/>
            </w:pPr>
          </w:p>
        </w:tc>
      </w:tr>
      <w:tr w:rsidR="00E82294" w:rsidRPr="001F3926" w14:paraId="0C7D16F6" w14:textId="77777777" w:rsidTr="00E82294">
        <w:trPr>
          <w:cantSplit/>
        </w:trPr>
        <w:tc>
          <w:tcPr>
            <w:tcW w:w="2546" w:type="dxa"/>
            <w:tcBorders>
              <w:top w:val="nil"/>
            </w:tcBorders>
          </w:tcPr>
          <w:p w14:paraId="16957A29" w14:textId="77777777" w:rsidR="00266BEE" w:rsidRPr="001F3926" w:rsidRDefault="00266BEE" w:rsidP="00E82294">
            <w:pPr>
              <w:pStyle w:val="TableText"/>
              <w:rPr>
                <w:bCs/>
                <w:color w:val="000000" w:themeColor="text1"/>
              </w:rPr>
            </w:pPr>
            <w:r w:rsidRPr="001F3926">
              <w:t xml:space="preserve">Probable disorder </w:t>
            </w:r>
          </w:p>
        </w:tc>
        <w:tc>
          <w:tcPr>
            <w:tcW w:w="539" w:type="dxa"/>
            <w:tcBorders>
              <w:top w:val="nil"/>
            </w:tcBorders>
          </w:tcPr>
          <w:p w14:paraId="7F7C2798" w14:textId="77777777" w:rsidR="00266BEE" w:rsidRPr="001F3926" w:rsidRDefault="00266BEE" w:rsidP="00E82294">
            <w:pPr>
              <w:pStyle w:val="TableText"/>
              <w:jc w:val="right"/>
            </w:pPr>
            <w:r w:rsidRPr="001F3926">
              <w:rPr>
                <w:rFonts w:cs="Arial"/>
              </w:rPr>
              <w:t>134</w:t>
            </w:r>
          </w:p>
        </w:tc>
        <w:tc>
          <w:tcPr>
            <w:tcW w:w="748" w:type="dxa"/>
            <w:tcBorders>
              <w:top w:val="nil"/>
            </w:tcBorders>
          </w:tcPr>
          <w:p w14:paraId="5907F4F8" w14:textId="77777777" w:rsidR="00266BEE" w:rsidRPr="001F3926" w:rsidRDefault="00266BEE" w:rsidP="00E82294">
            <w:pPr>
              <w:pStyle w:val="TableText"/>
              <w:jc w:val="right"/>
            </w:pPr>
            <w:r w:rsidRPr="001F3926">
              <w:rPr>
                <w:rFonts w:cs="Arial"/>
              </w:rPr>
              <w:t>962</w:t>
            </w:r>
          </w:p>
        </w:tc>
        <w:tc>
          <w:tcPr>
            <w:tcW w:w="972" w:type="dxa"/>
            <w:tcBorders>
              <w:top w:val="nil"/>
            </w:tcBorders>
          </w:tcPr>
          <w:p w14:paraId="214DA696" w14:textId="77777777" w:rsidR="00266BEE" w:rsidRPr="001F3926" w:rsidRDefault="00266BEE" w:rsidP="00E82294">
            <w:pPr>
              <w:pStyle w:val="TableText"/>
              <w:jc w:val="right"/>
            </w:pPr>
            <w:r w:rsidRPr="001F3926">
              <w:rPr>
                <w:rFonts w:cs="Arial"/>
              </w:rPr>
              <w:t>59.6 (51.2</w:t>
            </w:r>
            <w:r w:rsidR="00E82294" w:rsidRPr="001F3926">
              <w:rPr>
                <w:rFonts w:cs="Arial"/>
              </w:rPr>
              <w:t>, </w:t>
            </w:r>
            <w:r w:rsidRPr="001F3926">
              <w:rPr>
                <w:rFonts w:cs="Arial"/>
              </w:rPr>
              <w:t>67.4)</w:t>
            </w:r>
          </w:p>
        </w:tc>
        <w:tc>
          <w:tcPr>
            <w:tcW w:w="530" w:type="dxa"/>
            <w:tcBorders>
              <w:top w:val="nil"/>
            </w:tcBorders>
          </w:tcPr>
          <w:p w14:paraId="3AFC8FD3" w14:textId="77777777" w:rsidR="00266BEE" w:rsidRPr="001F3926" w:rsidRDefault="00266BEE" w:rsidP="00E82294">
            <w:pPr>
              <w:pStyle w:val="TableText"/>
              <w:jc w:val="right"/>
            </w:pPr>
            <w:r w:rsidRPr="001F3926">
              <w:rPr>
                <w:rFonts w:cs="Arial"/>
              </w:rPr>
              <w:t>89</w:t>
            </w:r>
          </w:p>
        </w:tc>
        <w:tc>
          <w:tcPr>
            <w:tcW w:w="810" w:type="dxa"/>
            <w:tcBorders>
              <w:top w:val="nil"/>
            </w:tcBorders>
          </w:tcPr>
          <w:p w14:paraId="06266880" w14:textId="77777777" w:rsidR="00266BEE" w:rsidRPr="001F3926" w:rsidRDefault="00266BEE" w:rsidP="00E82294">
            <w:pPr>
              <w:pStyle w:val="TableText"/>
              <w:jc w:val="right"/>
            </w:pPr>
            <w:r w:rsidRPr="001F3926">
              <w:rPr>
                <w:rFonts w:cs="Arial"/>
              </w:rPr>
              <w:t>653</w:t>
            </w:r>
          </w:p>
        </w:tc>
        <w:tc>
          <w:tcPr>
            <w:tcW w:w="855" w:type="dxa"/>
            <w:tcBorders>
              <w:top w:val="nil"/>
            </w:tcBorders>
          </w:tcPr>
          <w:p w14:paraId="0A83979F" w14:textId="77777777" w:rsidR="00266BEE" w:rsidRPr="001F3926" w:rsidRDefault="00266BEE" w:rsidP="00E82294">
            <w:pPr>
              <w:pStyle w:val="TableText"/>
              <w:jc w:val="right"/>
            </w:pPr>
            <w:r w:rsidRPr="001F3926">
              <w:rPr>
                <w:rFonts w:cs="Arial"/>
              </w:rPr>
              <w:t>40.4 (32.6</w:t>
            </w:r>
            <w:r w:rsidR="00E82294" w:rsidRPr="001F3926">
              <w:rPr>
                <w:rFonts w:cs="Arial"/>
              </w:rPr>
              <w:t>, </w:t>
            </w:r>
            <w:r w:rsidRPr="001F3926">
              <w:rPr>
                <w:rFonts w:cs="Arial"/>
              </w:rPr>
              <w:t>48.8)</w:t>
            </w:r>
          </w:p>
        </w:tc>
        <w:tc>
          <w:tcPr>
            <w:tcW w:w="495" w:type="dxa"/>
            <w:tcBorders>
              <w:top w:val="nil"/>
            </w:tcBorders>
          </w:tcPr>
          <w:p w14:paraId="755C6D2D" w14:textId="77777777" w:rsidR="00266BEE" w:rsidRPr="001F3926" w:rsidRDefault="00266BEE" w:rsidP="00E82294">
            <w:pPr>
              <w:pStyle w:val="TableText"/>
              <w:jc w:val="right"/>
            </w:pPr>
            <w:r w:rsidRPr="001F3926">
              <w:rPr>
                <w:rFonts w:cs="Arial"/>
              </w:rPr>
              <w:t>52</w:t>
            </w:r>
          </w:p>
        </w:tc>
        <w:tc>
          <w:tcPr>
            <w:tcW w:w="810" w:type="dxa"/>
            <w:tcBorders>
              <w:top w:val="nil"/>
            </w:tcBorders>
          </w:tcPr>
          <w:p w14:paraId="75D53CF3" w14:textId="77777777" w:rsidR="00266BEE" w:rsidRPr="001F3926" w:rsidRDefault="00266BEE" w:rsidP="00E82294">
            <w:pPr>
              <w:pStyle w:val="TableText"/>
              <w:jc w:val="right"/>
            </w:pPr>
            <w:r w:rsidRPr="001F3926">
              <w:rPr>
                <w:rFonts w:cs="Arial"/>
              </w:rPr>
              <w:t>391</w:t>
            </w:r>
          </w:p>
        </w:tc>
        <w:tc>
          <w:tcPr>
            <w:tcW w:w="955" w:type="dxa"/>
            <w:tcBorders>
              <w:top w:val="nil"/>
            </w:tcBorders>
          </w:tcPr>
          <w:p w14:paraId="10901BCF" w14:textId="77777777" w:rsidR="00266BEE" w:rsidRPr="001F3926" w:rsidRDefault="00266BEE" w:rsidP="00E82294">
            <w:pPr>
              <w:pStyle w:val="TableText"/>
              <w:jc w:val="right"/>
            </w:pPr>
            <w:r w:rsidRPr="001F3926">
              <w:rPr>
                <w:rFonts w:cs="Arial"/>
              </w:rPr>
              <w:t>78.7 (55.6</w:t>
            </w:r>
            <w:r w:rsidR="00E82294" w:rsidRPr="001F3926">
              <w:rPr>
                <w:rFonts w:cs="Arial"/>
              </w:rPr>
              <w:t>, </w:t>
            </w:r>
            <w:r w:rsidRPr="001F3926">
              <w:rPr>
                <w:rFonts w:cs="Arial"/>
              </w:rPr>
              <w:t>91.6)</w:t>
            </w:r>
          </w:p>
        </w:tc>
        <w:tc>
          <w:tcPr>
            <w:tcW w:w="575" w:type="dxa"/>
            <w:tcBorders>
              <w:top w:val="nil"/>
            </w:tcBorders>
          </w:tcPr>
          <w:p w14:paraId="03878C79" w14:textId="77777777" w:rsidR="00266BEE" w:rsidRPr="001F3926" w:rsidRDefault="00266BEE" w:rsidP="00E82294">
            <w:pPr>
              <w:pStyle w:val="TableText"/>
              <w:jc w:val="right"/>
            </w:pPr>
            <w:r w:rsidRPr="001F3926">
              <w:rPr>
                <w:rFonts w:cs="Arial"/>
              </w:rPr>
              <w:t>25</w:t>
            </w:r>
          </w:p>
        </w:tc>
        <w:tc>
          <w:tcPr>
            <w:tcW w:w="810" w:type="dxa"/>
            <w:tcBorders>
              <w:top w:val="nil"/>
            </w:tcBorders>
          </w:tcPr>
          <w:p w14:paraId="0224C13F" w14:textId="77777777" w:rsidR="00266BEE" w:rsidRPr="001F3926" w:rsidRDefault="00266BEE" w:rsidP="00E82294">
            <w:pPr>
              <w:pStyle w:val="TableText"/>
              <w:jc w:val="right"/>
            </w:pPr>
            <w:r w:rsidRPr="001F3926">
              <w:rPr>
                <w:rFonts w:cs="Arial"/>
              </w:rPr>
              <w:t>103</w:t>
            </w:r>
          </w:p>
        </w:tc>
        <w:tc>
          <w:tcPr>
            <w:tcW w:w="875" w:type="dxa"/>
            <w:tcBorders>
              <w:top w:val="nil"/>
            </w:tcBorders>
          </w:tcPr>
          <w:p w14:paraId="571645B5" w14:textId="77777777" w:rsidR="00266BEE" w:rsidRPr="001F3926" w:rsidRDefault="00266BEE" w:rsidP="00E82294">
            <w:pPr>
              <w:pStyle w:val="TableText"/>
              <w:jc w:val="right"/>
            </w:pPr>
            <w:r w:rsidRPr="001F3926">
              <w:rPr>
                <w:rFonts w:cs="Arial"/>
              </w:rPr>
              <w:t>20.6 (8.1</w:t>
            </w:r>
            <w:r w:rsidR="00E82294" w:rsidRPr="001F3926">
              <w:rPr>
                <w:rFonts w:cs="Arial"/>
              </w:rPr>
              <w:t>, </w:t>
            </w:r>
            <w:r w:rsidRPr="001F3926">
              <w:rPr>
                <w:rFonts w:cs="Arial"/>
              </w:rPr>
              <w:t>43.3)</w:t>
            </w:r>
          </w:p>
        </w:tc>
      </w:tr>
      <w:tr w:rsidR="00E82294" w:rsidRPr="001F3926" w14:paraId="56A844EE"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Pr>
          <w:p w14:paraId="35E69C8E" w14:textId="77777777" w:rsidR="00266BEE" w:rsidRPr="001F3926" w:rsidRDefault="007155C2" w:rsidP="00E82294">
            <w:pPr>
              <w:pStyle w:val="TableText"/>
            </w:pPr>
            <w:r>
              <w:t>Subsyndromal</w:t>
            </w:r>
            <w:r w:rsidR="00266BEE" w:rsidRPr="001F3926">
              <w:t xml:space="preserve"> disorder </w:t>
            </w:r>
          </w:p>
        </w:tc>
        <w:tc>
          <w:tcPr>
            <w:tcW w:w="539" w:type="dxa"/>
          </w:tcPr>
          <w:p w14:paraId="6B10CE79" w14:textId="77777777" w:rsidR="00266BEE" w:rsidRPr="001F3926" w:rsidRDefault="00266BEE" w:rsidP="00E82294">
            <w:pPr>
              <w:pStyle w:val="TableText"/>
              <w:jc w:val="right"/>
            </w:pPr>
            <w:r w:rsidRPr="001F3926">
              <w:rPr>
                <w:rFonts w:cs="Arial"/>
              </w:rPr>
              <w:t>657</w:t>
            </w:r>
          </w:p>
        </w:tc>
        <w:tc>
          <w:tcPr>
            <w:tcW w:w="748" w:type="dxa"/>
          </w:tcPr>
          <w:p w14:paraId="7ECDDE75" w14:textId="77777777" w:rsidR="00266BEE" w:rsidRPr="001F3926" w:rsidRDefault="00266BEE" w:rsidP="00E82294">
            <w:pPr>
              <w:pStyle w:val="TableText"/>
              <w:jc w:val="right"/>
            </w:pPr>
            <w:r w:rsidRPr="001F3926">
              <w:rPr>
                <w:rFonts w:cs="Arial"/>
              </w:rPr>
              <w:t>4985</w:t>
            </w:r>
          </w:p>
        </w:tc>
        <w:tc>
          <w:tcPr>
            <w:tcW w:w="972" w:type="dxa"/>
          </w:tcPr>
          <w:p w14:paraId="3ADC1AED" w14:textId="77777777" w:rsidR="00266BEE" w:rsidRPr="001F3926" w:rsidRDefault="00266BEE" w:rsidP="00E82294">
            <w:pPr>
              <w:pStyle w:val="TableText"/>
              <w:jc w:val="right"/>
            </w:pPr>
            <w:r w:rsidRPr="001F3926">
              <w:rPr>
                <w:rFonts w:cs="Arial"/>
              </w:rPr>
              <w:t>73.1 (69.2</w:t>
            </w:r>
            <w:r w:rsidR="00E82294" w:rsidRPr="001F3926">
              <w:rPr>
                <w:rFonts w:cs="Arial"/>
              </w:rPr>
              <w:t>, </w:t>
            </w:r>
            <w:r w:rsidRPr="001F3926">
              <w:rPr>
                <w:rFonts w:cs="Arial"/>
              </w:rPr>
              <w:t>76.6)</w:t>
            </w:r>
          </w:p>
        </w:tc>
        <w:tc>
          <w:tcPr>
            <w:tcW w:w="530" w:type="dxa"/>
          </w:tcPr>
          <w:p w14:paraId="2901C9A5" w14:textId="77777777" w:rsidR="00266BEE" w:rsidRPr="001F3926" w:rsidRDefault="00266BEE" w:rsidP="00E82294">
            <w:pPr>
              <w:pStyle w:val="TableText"/>
              <w:jc w:val="right"/>
            </w:pPr>
            <w:r w:rsidRPr="001F3926">
              <w:rPr>
                <w:rFonts w:cs="Arial"/>
              </w:rPr>
              <w:t>246</w:t>
            </w:r>
          </w:p>
        </w:tc>
        <w:tc>
          <w:tcPr>
            <w:tcW w:w="810" w:type="dxa"/>
          </w:tcPr>
          <w:p w14:paraId="44A186B9" w14:textId="77777777" w:rsidR="00266BEE" w:rsidRPr="001F3926" w:rsidRDefault="00266BEE" w:rsidP="00E82294">
            <w:pPr>
              <w:pStyle w:val="TableText"/>
              <w:jc w:val="right"/>
            </w:pPr>
            <w:r w:rsidRPr="001F3926">
              <w:rPr>
                <w:rFonts w:cs="Arial"/>
              </w:rPr>
              <w:t>1781</w:t>
            </w:r>
          </w:p>
        </w:tc>
        <w:tc>
          <w:tcPr>
            <w:tcW w:w="855" w:type="dxa"/>
          </w:tcPr>
          <w:p w14:paraId="03BA4180" w14:textId="77777777" w:rsidR="00266BEE" w:rsidRPr="001F3926" w:rsidRDefault="00266BEE" w:rsidP="00E82294">
            <w:pPr>
              <w:pStyle w:val="TableText"/>
              <w:jc w:val="right"/>
            </w:pPr>
            <w:r w:rsidRPr="001F3926">
              <w:rPr>
                <w:rFonts w:cs="Arial"/>
              </w:rPr>
              <w:t>26.1 (22.6</w:t>
            </w:r>
            <w:r w:rsidR="00E82294" w:rsidRPr="001F3926">
              <w:rPr>
                <w:rFonts w:cs="Arial"/>
              </w:rPr>
              <w:t>, </w:t>
            </w:r>
            <w:r w:rsidRPr="001F3926">
              <w:rPr>
                <w:rFonts w:cs="Arial"/>
              </w:rPr>
              <w:t>29.9)</w:t>
            </w:r>
          </w:p>
        </w:tc>
        <w:tc>
          <w:tcPr>
            <w:tcW w:w="495" w:type="dxa"/>
          </w:tcPr>
          <w:p w14:paraId="1B6F7A42" w14:textId="77777777" w:rsidR="00266BEE" w:rsidRPr="001F3926" w:rsidRDefault="00266BEE" w:rsidP="00E82294">
            <w:pPr>
              <w:pStyle w:val="TableText"/>
              <w:jc w:val="right"/>
            </w:pPr>
            <w:r w:rsidRPr="001F3926">
              <w:rPr>
                <w:rFonts w:cs="Arial"/>
              </w:rPr>
              <w:t>1010</w:t>
            </w:r>
          </w:p>
        </w:tc>
        <w:tc>
          <w:tcPr>
            <w:tcW w:w="810" w:type="dxa"/>
          </w:tcPr>
          <w:p w14:paraId="1EB1F6A4" w14:textId="77777777" w:rsidR="00266BEE" w:rsidRPr="001F3926" w:rsidRDefault="00266BEE" w:rsidP="00E82294">
            <w:pPr>
              <w:pStyle w:val="TableText"/>
              <w:jc w:val="right"/>
            </w:pPr>
            <w:r w:rsidRPr="001F3926">
              <w:rPr>
                <w:rFonts w:cs="Arial"/>
              </w:rPr>
              <w:t>8683</w:t>
            </w:r>
          </w:p>
        </w:tc>
        <w:tc>
          <w:tcPr>
            <w:tcW w:w="955" w:type="dxa"/>
          </w:tcPr>
          <w:p w14:paraId="2C4FC20D" w14:textId="77777777" w:rsidR="00266BEE" w:rsidRPr="001F3926" w:rsidRDefault="00266BEE" w:rsidP="00E82294">
            <w:pPr>
              <w:pStyle w:val="TableText"/>
              <w:jc w:val="right"/>
            </w:pPr>
            <w:r w:rsidRPr="001F3926">
              <w:rPr>
                <w:rFonts w:cs="Arial"/>
              </w:rPr>
              <w:t>82.9 (76.3</w:t>
            </w:r>
            <w:r w:rsidR="00E82294" w:rsidRPr="001F3926">
              <w:rPr>
                <w:rFonts w:cs="Arial"/>
              </w:rPr>
              <w:t>, </w:t>
            </w:r>
            <w:r w:rsidRPr="001F3926">
              <w:rPr>
                <w:rFonts w:cs="Arial"/>
              </w:rPr>
              <w:t>87.9)</w:t>
            </w:r>
          </w:p>
        </w:tc>
        <w:tc>
          <w:tcPr>
            <w:tcW w:w="575" w:type="dxa"/>
          </w:tcPr>
          <w:p w14:paraId="0AD449B6" w14:textId="77777777" w:rsidR="00266BEE" w:rsidRPr="001F3926" w:rsidRDefault="00266BEE" w:rsidP="00E82294">
            <w:pPr>
              <w:pStyle w:val="TableText"/>
              <w:jc w:val="right"/>
            </w:pPr>
            <w:r w:rsidRPr="001F3926">
              <w:rPr>
                <w:rFonts w:cs="Arial"/>
              </w:rPr>
              <w:t>318</w:t>
            </w:r>
          </w:p>
        </w:tc>
        <w:tc>
          <w:tcPr>
            <w:tcW w:w="810" w:type="dxa"/>
          </w:tcPr>
          <w:p w14:paraId="0D1C8E8E" w14:textId="77777777" w:rsidR="00266BEE" w:rsidRPr="001F3926" w:rsidRDefault="00266BEE" w:rsidP="00E82294">
            <w:pPr>
              <w:pStyle w:val="TableText"/>
              <w:jc w:val="right"/>
            </w:pPr>
            <w:r w:rsidRPr="001F3926">
              <w:rPr>
                <w:rFonts w:cs="Arial"/>
              </w:rPr>
              <w:t>1766</w:t>
            </w:r>
          </w:p>
        </w:tc>
        <w:tc>
          <w:tcPr>
            <w:tcW w:w="875" w:type="dxa"/>
          </w:tcPr>
          <w:p w14:paraId="1B95A359" w14:textId="77777777" w:rsidR="00266BEE" w:rsidRPr="001F3926" w:rsidRDefault="00266BEE" w:rsidP="00E82294">
            <w:pPr>
              <w:pStyle w:val="TableText"/>
              <w:jc w:val="right"/>
            </w:pPr>
            <w:r w:rsidRPr="001F3926">
              <w:rPr>
                <w:rFonts w:cs="Arial"/>
              </w:rPr>
              <w:t>16.9 (11.8</w:t>
            </w:r>
            <w:r w:rsidR="00E82294" w:rsidRPr="001F3926">
              <w:rPr>
                <w:rFonts w:cs="Arial"/>
              </w:rPr>
              <w:t>, </w:t>
            </w:r>
            <w:r w:rsidRPr="001F3926">
              <w:rPr>
                <w:rFonts w:cs="Arial"/>
              </w:rPr>
              <w:t>23.4)</w:t>
            </w:r>
          </w:p>
        </w:tc>
      </w:tr>
      <w:tr w:rsidR="00E82294" w:rsidRPr="001F3926" w14:paraId="33EAEFF5" w14:textId="77777777" w:rsidTr="00E82294">
        <w:trPr>
          <w:cantSplit/>
        </w:trPr>
        <w:tc>
          <w:tcPr>
            <w:tcW w:w="2546" w:type="dxa"/>
            <w:tcBorders>
              <w:bottom w:val="single" w:sz="4" w:space="0" w:color="000000"/>
            </w:tcBorders>
          </w:tcPr>
          <w:p w14:paraId="10692FC3" w14:textId="77777777" w:rsidR="00266BEE" w:rsidRPr="001F3926" w:rsidRDefault="00266BEE" w:rsidP="00E82294">
            <w:pPr>
              <w:pStyle w:val="TableText"/>
              <w:keepNext w:val="0"/>
            </w:pPr>
            <w:r w:rsidRPr="001F3926">
              <w:t>No disorder</w:t>
            </w:r>
          </w:p>
        </w:tc>
        <w:tc>
          <w:tcPr>
            <w:tcW w:w="539" w:type="dxa"/>
            <w:tcBorders>
              <w:bottom w:val="single" w:sz="4" w:space="0" w:color="000000"/>
            </w:tcBorders>
          </w:tcPr>
          <w:p w14:paraId="2E5A0264" w14:textId="77777777" w:rsidR="00266BEE" w:rsidRPr="001F3926" w:rsidRDefault="00266BEE" w:rsidP="00E82294">
            <w:pPr>
              <w:pStyle w:val="TableText"/>
              <w:keepNext w:val="0"/>
              <w:jc w:val="right"/>
            </w:pPr>
            <w:r w:rsidRPr="001F3926">
              <w:rPr>
                <w:rFonts w:cs="Arial"/>
              </w:rPr>
              <w:t>1849</w:t>
            </w:r>
          </w:p>
        </w:tc>
        <w:tc>
          <w:tcPr>
            <w:tcW w:w="748" w:type="dxa"/>
            <w:tcBorders>
              <w:bottom w:val="single" w:sz="4" w:space="0" w:color="000000"/>
            </w:tcBorders>
          </w:tcPr>
          <w:p w14:paraId="4E1A72CB" w14:textId="77777777" w:rsidR="00266BEE" w:rsidRPr="001F3926" w:rsidRDefault="00266BEE" w:rsidP="00E82294">
            <w:pPr>
              <w:pStyle w:val="TableText"/>
              <w:keepNext w:val="0"/>
              <w:jc w:val="right"/>
            </w:pPr>
            <w:r w:rsidRPr="001F3926">
              <w:rPr>
                <w:rFonts w:cs="Arial"/>
              </w:rPr>
              <w:t>12,508</w:t>
            </w:r>
          </w:p>
        </w:tc>
        <w:tc>
          <w:tcPr>
            <w:tcW w:w="972" w:type="dxa"/>
            <w:tcBorders>
              <w:bottom w:val="single" w:sz="4" w:space="0" w:color="000000"/>
            </w:tcBorders>
          </w:tcPr>
          <w:p w14:paraId="67B2C5FD" w14:textId="77777777" w:rsidR="00266BEE" w:rsidRPr="001F3926" w:rsidRDefault="00266BEE" w:rsidP="00E82294">
            <w:pPr>
              <w:pStyle w:val="TableText"/>
              <w:keepNext w:val="0"/>
              <w:jc w:val="right"/>
            </w:pPr>
            <w:r w:rsidRPr="001F3926">
              <w:rPr>
                <w:rFonts w:cs="Arial"/>
              </w:rPr>
              <w:t>77.1 (74.8</w:t>
            </w:r>
            <w:r w:rsidR="00E82294" w:rsidRPr="001F3926">
              <w:rPr>
                <w:rFonts w:cs="Arial"/>
              </w:rPr>
              <w:t>, </w:t>
            </w:r>
            <w:r w:rsidRPr="001F3926">
              <w:rPr>
                <w:rFonts w:cs="Arial"/>
              </w:rPr>
              <w:t>79.2)</w:t>
            </w:r>
          </w:p>
        </w:tc>
        <w:tc>
          <w:tcPr>
            <w:tcW w:w="530" w:type="dxa"/>
            <w:tcBorders>
              <w:bottom w:val="single" w:sz="4" w:space="0" w:color="000000"/>
            </w:tcBorders>
          </w:tcPr>
          <w:p w14:paraId="5062587F" w14:textId="77777777" w:rsidR="00266BEE" w:rsidRPr="001F3926" w:rsidRDefault="00266BEE" w:rsidP="00E82294">
            <w:pPr>
              <w:pStyle w:val="TableText"/>
              <w:keepNext w:val="0"/>
              <w:jc w:val="right"/>
            </w:pPr>
            <w:r w:rsidRPr="001F3926">
              <w:rPr>
                <w:rFonts w:cs="Arial"/>
              </w:rPr>
              <w:t>515</w:t>
            </w:r>
          </w:p>
        </w:tc>
        <w:tc>
          <w:tcPr>
            <w:tcW w:w="810" w:type="dxa"/>
            <w:tcBorders>
              <w:bottom w:val="single" w:sz="4" w:space="0" w:color="000000"/>
            </w:tcBorders>
          </w:tcPr>
          <w:p w14:paraId="67E9D4F4" w14:textId="77777777" w:rsidR="00266BEE" w:rsidRPr="001F3926" w:rsidRDefault="00266BEE" w:rsidP="00E82294">
            <w:pPr>
              <w:pStyle w:val="TableText"/>
              <w:keepNext w:val="0"/>
              <w:jc w:val="right"/>
            </w:pPr>
            <w:r w:rsidRPr="001F3926">
              <w:rPr>
                <w:rFonts w:cs="Arial"/>
              </w:rPr>
              <w:t>3633</w:t>
            </w:r>
          </w:p>
        </w:tc>
        <w:tc>
          <w:tcPr>
            <w:tcW w:w="855" w:type="dxa"/>
            <w:tcBorders>
              <w:bottom w:val="single" w:sz="4" w:space="0" w:color="000000"/>
            </w:tcBorders>
          </w:tcPr>
          <w:p w14:paraId="109B8629" w14:textId="77777777" w:rsidR="00266BEE" w:rsidRPr="001F3926" w:rsidRDefault="00266BEE" w:rsidP="00E82294">
            <w:pPr>
              <w:pStyle w:val="TableText"/>
              <w:keepNext w:val="0"/>
              <w:jc w:val="right"/>
            </w:pPr>
            <w:r w:rsidRPr="001F3926">
              <w:rPr>
                <w:rFonts w:cs="Arial"/>
              </w:rPr>
              <w:t>22.4 (20.3</w:t>
            </w:r>
            <w:r w:rsidR="00E82294" w:rsidRPr="001F3926">
              <w:rPr>
                <w:rFonts w:cs="Arial"/>
              </w:rPr>
              <w:t>, </w:t>
            </w:r>
            <w:r w:rsidRPr="001F3926">
              <w:rPr>
                <w:rFonts w:cs="Arial"/>
              </w:rPr>
              <w:t>24.6)</w:t>
            </w:r>
          </w:p>
        </w:tc>
        <w:tc>
          <w:tcPr>
            <w:tcW w:w="495" w:type="dxa"/>
            <w:tcBorders>
              <w:bottom w:val="single" w:sz="4" w:space="0" w:color="000000"/>
            </w:tcBorders>
          </w:tcPr>
          <w:p w14:paraId="39768D7D" w14:textId="77777777" w:rsidR="00266BEE" w:rsidRPr="001F3926" w:rsidRDefault="00266BEE" w:rsidP="00E82294">
            <w:pPr>
              <w:pStyle w:val="TableText"/>
              <w:keepNext w:val="0"/>
              <w:jc w:val="right"/>
            </w:pPr>
            <w:r w:rsidRPr="001F3926">
              <w:rPr>
                <w:rFonts w:cs="Arial"/>
              </w:rPr>
              <w:t>4776</w:t>
            </w:r>
          </w:p>
        </w:tc>
        <w:tc>
          <w:tcPr>
            <w:tcW w:w="810" w:type="dxa"/>
            <w:tcBorders>
              <w:bottom w:val="single" w:sz="4" w:space="0" w:color="000000"/>
            </w:tcBorders>
          </w:tcPr>
          <w:p w14:paraId="141ECFE7" w14:textId="77777777" w:rsidR="00266BEE" w:rsidRPr="001F3926" w:rsidRDefault="00266BEE" w:rsidP="00E82294">
            <w:pPr>
              <w:pStyle w:val="TableText"/>
              <w:keepNext w:val="0"/>
              <w:jc w:val="right"/>
            </w:pPr>
            <w:r w:rsidRPr="001F3926">
              <w:rPr>
                <w:rFonts w:cs="Arial"/>
              </w:rPr>
              <w:t>33,632</w:t>
            </w:r>
          </w:p>
        </w:tc>
        <w:tc>
          <w:tcPr>
            <w:tcW w:w="955" w:type="dxa"/>
            <w:tcBorders>
              <w:bottom w:val="single" w:sz="4" w:space="0" w:color="000000"/>
            </w:tcBorders>
          </w:tcPr>
          <w:p w14:paraId="7D1A7C13" w14:textId="77777777" w:rsidR="00266BEE" w:rsidRPr="001F3926" w:rsidRDefault="00266BEE" w:rsidP="00E82294">
            <w:pPr>
              <w:pStyle w:val="TableText"/>
              <w:keepNext w:val="0"/>
              <w:jc w:val="right"/>
            </w:pPr>
            <w:r w:rsidRPr="001F3926">
              <w:rPr>
                <w:rFonts w:cs="Arial"/>
              </w:rPr>
              <w:t>81.5 (77.6</w:t>
            </w:r>
            <w:r w:rsidR="00E82294" w:rsidRPr="001F3926">
              <w:rPr>
                <w:rFonts w:cs="Arial"/>
              </w:rPr>
              <w:t>, </w:t>
            </w:r>
            <w:r w:rsidRPr="001F3926">
              <w:rPr>
                <w:rFonts w:cs="Arial"/>
              </w:rPr>
              <w:t>84.9)</w:t>
            </w:r>
          </w:p>
        </w:tc>
        <w:tc>
          <w:tcPr>
            <w:tcW w:w="575" w:type="dxa"/>
            <w:tcBorders>
              <w:bottom w:val="single" w:sz="4" w:space="0" w:color="000000"/>
            </w:tcBorders>
          </w:tcPr>
          <w:p w14:paraId="7C16D6B7" w14:textId="77777777" w:rsidR="00266BEE" w:rsidRPr="001F3926" w:rsidRDefault="00266BEE" w:rsidP="00E82294">
            <w:pPr>
              <w:pStyle w:val="TableText"/>
              <w:keepNext w:val="0"/>
              <w:jc w:val="right"/>
            </w:pPr>
            <w:r w:rsidRPr="001F3926">
              <w:rPr>
                <w:rFonts w:cs="Arial"/>
              </w:rPr>
              <w:t>1082</w:t>
            </w:r>
          </w:p>
        </w:tc>
        <w:tc>
          <w:tcPr>
            <w:tcW w:w="810" w:type="dxa"/>
            <w:tcBorders>
              <w:bottom w:val="single" w:sz="4" w:space="0" w:color="000000"/>
            </w:tcBorders>
          </w:tcPr>
          <w:p w14:paraId="13382764" w14:textId="77777777" w:rsidR="00266BEE" w:rsidRPr="001F3926" w:rsidRDefault="00266BEE" w:rsidP="00E82294">
            <w:pPr>
              <w:pStyle w:val="TableText"/>
              <w:keepNext w:val="0"/>
              <w:jc w:val="right"/>
            </w:pPr>
            <w:r w:rsidRPr="001F3926">
              <w:rPr>
                <w:rFonts w:cs="Arial"/>
              </w:rPr>
              <w:t>7148</w:t>
            </w:r>
          </w:p>
        </w:tc>
        <w:tc>
          <w:tcPr>
            <w:tcW w:w="875" w:type="dxa"/>
            <w:tcBorders>
              <w:bottom w:val="single" w:sz="4" w:space="0" w:color="000000"/>
            </w:tcBorders>
          </w:tcPr>
          <w:p w14:paraId="6C4BD302" w14:textId="77777777" w:rsidR="00266BEE" w:rsidRPr="001F3926" w:rsidRDefault="00266BEE" w:rsidP="00E82294">
            <w:pPr>
              <w:pStyle w:val="TableText"/>
              <w:keepNext w:val="0"/>
              <w:jc w:val="right"/>
            </w:pPr>
            <w:r w:rsidRPr="001F3926">
              <w:rPr>
                <w:rFonts w:cs="Arial"/>
              </w:rPr>
              <w:t>17.3 (14.0</w:t>
            </w:r>
            <w:r w:rsidR="00E82294" w:rsidRPr="001F3926">
              <w:rPr>
                <w:rFonts w:cs="Arial"/>
              </w:rPr>
              <w:t>, </w:t>
            </w:r>
            <w:r w:rsidRPr="001F3926">
              <w:rPr>
                <w:rFonts w:cs="Arial"/>
              </w:rPr>
              <w:t>21.2)</w:t>
            </w:r>
          </w:p>
        </w:tc>
      </w:tr>
      <w:tr w:rsidR="00E82294" w:rsidRPr="001F3926" w14:paraId="2FAA6BDA"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Borders>
              <w:top w:val="single" w:sz="4" w:space="0" w:color="000000"/>
              <w:bottom w:val="nil"/>
            </w:tcBorders>
          </w:tcPr>
          <w:p w14:paraId="57046A23" w14:textId="77777777" w:rsidR="00266BEE" w:rsidRPr="001F3926" w:rsidRDefault="00266BEE" w:rsidP="00E82294">
            <w:pPr>
              <w:pStyle w:val="TableText"/>
              <w:rPr>
                <w:b/>
                <w:bCs/>
                <w:color w:val="000000" w:themeColor="text1"/>
              </w:rPr>
            </w:pPr>
            <w:r w:rsidRPr="001F3926">
              <w:rPr>
                <w:b/>
              </w:rPr>
              <w:t>Probable depressive episode (PHQ-9)</w:t>
            </w:r>
          </w:p>
        </w:tc>
        <w:tc>
          <w:tcPr>
            <w:tcW w:w="539" w:type="dxa"/>
            <w:tcBorders>
              <w:top w:val="single" w:sz="4" w:space="0" w:color="000000"/>
              <w:bottom w:val="nil"/>
            </w:tcBorders>
          </w:tcPr>
          <w:p w14:paraId="5F689C47" w14:textId="77777777" w:rsidR="00266BEE" w:rsidRPr="001F3926" w:rsidRDefault="00266BEE" w:rsidP="00E82294">
            <w:pPr>
              <w:pStyle w:val="TableText"/>
              <w:jc w:val="right"/>
            </w:pPr>
          </w:p>
        </w:tc>
        <w:tc>
          <w:tcPr>
            <w:tcW w:w="748" w:type="dxa"/>
            <w:tcBorders>
              <w:top w:val="single" w:sz="4" w:space="0" w:color="000000"/>
              <w:bottom w:val="nil"/>
            </w:tcBorders>
          </w:tcPr>
          <w:p w14:paraId="4B402848" w14:textId="77777777" w:rsidR="00266BEE" w:rsidRPr="001F3926" w:rsidRDefault="00266BEE" w:rsidP="00E82294">
            <w:pPr>
              <w:pStyle w:val="TableText"/>
              <w:jc w:val="right"/>
            </w:pPr>
          </w:p>
        </w:tc>
        <w:tc>
          <w:tcPr>
            <w:tcW w:w="972" w:type="dxa"/>
            <w:tcBorders>
              <w:top w:val="single" w:sz="4" w:space="0" w:color="000000"/>
              <w:bottom w:val="nil"/>
            </w:tcBorders>
          </w:tcPr>
          <w:p w14:paraId="77563FD9" w14:textId="77777777" w:rsidR="00266BEE" w:rsidRPr="001F3926" w:rsidRDefault="00266BEE" w:rsidP="00E82294">
            <w:pPr>
              <w:pStyle w:val="TableText"/>
              <w:jc w:val="right"/>
            </w:pPr>
          </w:p>
        </w:tc>
        <w:tc>
          <w:tcPr>
            <w:tcW w:w="530" w:type="dxa"/>
            <w:tcBorders>
              <w:top w:val="single" w:sz="4" w:space="0" w:color="000000"/>
              <w:bottom w:val="nil"/>
            </w:tcBorders>
          </w:tcPr>
          <w:p w14:paraId="42DC650A" w14:textId="77777777" w:rsidR="00266BEE" w:rsidRPr="001F3926" w:rsidRDefault="00266BEE" w:rsidP="00E82294">
            <w:pPr>
              <w:pStyle w:val="TableText"/>
              <w:jc w:val="right"/>
            </w:pPr>
          </w:p>
        </w:tc>
        <w:tc>
          <w:tcPr>
            <w:tcW w:w="810" w:type="dxa"/>
            <w:tcBorders>
              <w:top w:val="single" w:sz="4" w:space="0" w:color="000000"/>
              <w:bottom w:val="nil"/>
            </w:tcBorders>
          </w:tcPr>
          <w:p w14:paraId="1C1CF831" w14:textId="77777777" w:rsidR="00266BEE" w:rsidRPr="001F3926" w:rsidRDefault="00266BEE" w:rsidP="00E82294">
            <w:pPr>
              <w:pStyle w:val="TableText"/>
              <w:jc w:val="right"/>
            </w:pPr>
          </w:p>
        </w:tc>
        <w:tc>
          <w:tcPr>
            <w:tcW w:w="855" w:type="dxa"/>
            <w:tcBorders>
              <w:top w:val="single" w:sz="4" w:space="0" w:color="000000"/>
              <w:bottom w:val="nil"/>
            </w:tcBorders>
          </w:tcPr>
          <w:p w14:paraId="1E6A3530" w14:textId="77777777" w:rsidR="00266BEE" w:rsidRPr="001F3926" w:rsidRDefault="00266BEE" w:rsidP="00E82294">
            <w:pPr>
              <w:pStyle w:val="TableText"/>
              <w:jc w:val="right"/>
            </w:pPr>
          </w:p>
        </w:tc>
        <w:tc>
          <w:tcPr>
            <w:tcW w:w="495" w:type="dxa"/>
            <w:tcBorders>
              <w:top w:val="single" w:sz="4" w:space="0" w:color="000000"/>
              <w:bottom w:val="nil"/>
            </w:tcBorders>
          </w:tcPr>
          <w:p w14:paraId="6B872D8E" w14:textId="77777777" w:rsidR="00266BEE" w:rsidRPr="001F3926" w:rsidRDefault="00266BEE" w:rsidP="00E82294">
            <w:pPr>
              <w:pStyle w:val="TableText"/>
              <w:jc w:val="right"/>
            </w:pPr>
          </w:p>
        </w:tc>
        <w:tc>
          <w:tcPr>
            <w:tcW w:w="810" w:type="dxa"/>
            <w:tcBorders>
              <w:top w:val="single" w:sz="4" w:space="0" w:color="000000"/>
              <w:bottom w:val="nil"/>
            </w:tcBorders>
          </w:tcPr>
          <w:p w14:paraId="3BEB867D" w14:textId="77777777" w:rsidR="00266BEE" w:rsidRPr="001F3926" w:rsidRDefault="00266BEE" w:rsidP="00E82294">
            <w:pPr>
              <w:pStyle w:val="TableText"/>
              <w:jc w:val="right"/>
            </w:pPr>
          </w:p>
        </w:tc>
        <w:tc>
          <w:tcPr>
            <w:tcW w:w="955" w:type="dxa"/>
            <w:tcBorders>
              <w:top w:val="single" w:sz="4" w:space="0" w:color="000000"/>
              <w:bottom w:val="nil"/>
            </w:tcBorders>
          </w:tcPr>
          <w:p w14:paraId="55934472" w14:textId="77777777" w:rsidR="00266BEE" w:rsidRPr="001F3926" w:rsidRDefault="00266BEE" w:rsidP="00E82294">
            <w:pPr>
              <w:pStyle w:val="TableText"/>
              <w:jc w:val="right"/>
            </w:pPr>
          </w:p>
        </w:tc>
        <w:tc>
          <w:tcPr>
            <w:tcW w:w="575" w:type="dxa"/>
            <w:tcBorders>
              <w:top w:val="single" w:sz="4" w:space="0" w:color="000000"/>
              <w:bottom w:val="nil"/>
            </w:tcBorders>
          </w:tcPr>
          <w:p w14:paraId="0DB5BDDB" w14:textId="77777777" w:rsidR="00266BEE" w:rsidRPr="001F3926" w:rsidRDefault="00266BEE" w:rsidP="00E82294">
            <w:pPr>
              <w:pStyle w:val="TableText"/>
              <w:jc w:val="right"/>
            </w:pPr>
          </w:p>
        </w:tc>
        <w:tc>
          <w:tcPr>
            <w:tcW w:w="810" w:type="dxa"/>
            <w:tcBorders>
              <w:top w:val="single" w:sz="4" w:space="0" w:color="000000"/>
              <w:bottom w:val="nil"/>
            </w:tcBorders>
          </w:tcPr>
          <w:p w14:paraId="10413861" w14:textId="77777777" w:rsidR="00266BEE" w:rsidRPr="001F3926" w:rsidRDefault="00266BEE" w:rsidP="00E82294">
            <w:pPr>
              <w:pStyle w:val="TableText"/>
              <w:jc w:val="right"/>
            </w:pPr>
          </w:p>
        </w:tc>
        <w:tc>
          <w:tcPr>
            <w:tcW w:w="875" w:type="dxa"/>
            <w:tcBorders>
              <w:top w:val="single" w:sz="4" w:space="0" w:color="000000"/>
              <w:bottom w:val="nil"/>
            </w:tcBorders>
          </w:tcPr>
          <w:p w14:paraId="311C8F18" w14:textId="77777777" w:rsidR="00266BEE" w:rsidRPr="001F3926" w:rsidRDefault="00266BEE" w:rsidP="00E82294">
            <w:pPr>
              <w:pStyle w:val="TableText"/>
              <w:jc w:val="right"/>
            </w:pPr>
          </w:p>
        </w:tc>
      </w:tr>
      <w:tr w:rsidR="00E82294" w:rsidRPr="001F3926" w14:paraId="2BA9477A" w14:textId="77777777" w:rsidTr="00E82294">
        <w:trPr>
          <w:cantSplit/>
        </w:trPr>
        <w:tc>
          <w:tcPr>
            <w:tcW w:w="2546" w:type="dxa"/>
            <w:tcBorders>
              <w:top w:val="nil"/>
            </w:tcBorders>
          </w:tcPr>
          <w:p w14:paraId="37F865C2" w14:textId="77777777" w:rsidR="00266BEE" w:rsidRPr="001F3926" w:rsidRDefault="00266BEE" w:rsidP="00E82294">
            <w:pPr>
              <w:pStyle w:val="TableText"/>
            </w:pPr>
            <w:r w:rsidRPr="001F3926">
              <w:t xml:space="preserve">Probable disorder </w:t>
            </w:r>
          </w:p>
        </w:tc>
        <w:tc>
          <w:tcPr>
            <w:tcW w:w="539" w:type="dxa"/>
            <w:tcBorders>
              <w:top w:val="nil"/>
            </w:tcBorders>
          </w:tcPr>
          <w:p w14:paraId="4F649BF7" w14:textId="77777777" w:rsidR="00266BEE" w:rsidRPr="001F3926" w:rsidRDefault="00266BEE" w:rsidP="00E82294">
            <w:pPr>
              <w:pStyle w:val="TableText"/>
              <w:jc w:val="right"/>
            </w:pPr>
            <w:r w:rsidRPr="001F3926">
              <w:rPr>
                <w:rFonts w:cs="Arial"/>
              </w:rPr>
              <w:t>258</w:t>
            </w:r>
          </w:p>
        </w:tc>
        <w:tc>
          <w:tcPr>
            <w:tcW w:w="748" w:type="dxa"/>
            <w:tcBorders>
              <w:top w:val="nil"/>
            </w:tcBorders>
          </w:tcPr>
          <w:p w14:paraId="61C0406C" w14:textId="77777777" w:rsidR="00266BEE" w:rsidRPr="001F3926" w:rsidRDefault="00266BEE" w:rsidP="00E82294">
            <w:pPr>
              <w:pStyle w:val="TableText"/>
              <w:jc w:val="right"/>
            </w:pPr>
            <w:r w:rsidRPr="001F3926">
              <w:rPr>
                <w:rFonts w:cs="Arial"/>
              </w:rPr>
              <w:t>1989</w:t>
            </w:r>
          </w:p>
        </w:tc>
        <w:tc>
          <w:tcPr>
            <w:tcW w:w="972" w:type="dxa"/>
            <w:tcBorders>
              <w:top w:val="nil"/>
            </w:tcBorders>
          </w:tcPr>
          <w:p w14:paraId="27746C71" w14:textId="77777777" w:rsidR="00266BEE" w:rsidRPr="001F3926" w:rsidRDefault="00266BEE" w:rsidP="00E82294">
            <w:pPr>
              <w:pStyle w:val="TableText"/>
              <w:jc w:val="right"/>
            </w:pPr>
            <w:r w:rsidRPr="001F3926">
              <w:rPr>
                <w:rFonts w:cs="Arial"/>
              </w:rPr>
              <w:t>58.7 (53.2</w:t>
            </w:r>
            <w:r w:rsidR="00E82294" w:rsidRPr="001F3926">
              <w:rPr>
                <w:rFonts w:cs="Arial"/>
              </w:rPr>
              <w:t>, </w:t>
            </w:r>
            <w:r w:rsidRPr="001F3926">
              <w:rPr>
                <w:rFonts w:cs="Arial"/>
              </w:rPr>
              <w:t>64.1)</w:t>
            </w:r>
          </w:p>
        </w:tc>
        <w:tc>
          <w:tcPr>
            <w:tcW w:w="530" w:type="dxa"/>
            <w:tcBorders>
              <w:top w:val="nil"/>
            </w:tcBorders>
          </w:tcPr>
          <w:p w14:paraId="3870F288" w14:textId="77777777" w:rsidR="00266BEE" w:rsidRPr="001F3926" w:rsidRDefault="00266BEE" w:rsidP="00E82294">
            <w:pPr>
              <w:pStyle w:val="TableText"/>
              <w:jc w:val="right"/>
            </w:pPr>
            <w:r w:rsidRPr="001F3926">
              <w:rPr>
                <w:rFonts w:cs="Arial"/>
              </w:rPr>
              <w:t>201</w:t>
            </w:r>
          </w:p>
        </w:tc>
        <w:tc>
          <w:tcPr>
            <w:tcW w:w="810" w:type="dxa"/>
            <w:tcBorders>
              <w:top w:val="nil"/>
            </w:tcBorders>
          </w:tcPr>
          <w:p w14:paraId="6015302F" w14:textId="77777777" w:rsidR="00266BEE" w:rsidRPr="001F3926" w:rsidRDefault="00266BEE" w:rsidP="00E82294">
            <w:pPr>
              <w:pStyle w:val="TableText"/>
              <w:jc w:val="right"/>
            </w:pPr>
            <w:r w:rsidRPr="001F3926">
              <w:rPr>
                <w:rFonts w:cs="Arial"/>
              </w:rPr>
              <w:t>1380</w:t>
            </w:r>
          </w:p>
        </w:tc>
        <w:tc>
          <w:tcPr>
            <w:tcW w:w="855" w:type="dxa"/>
            <w:tcBorders>
              <w:top w:val="nil"/>
            </w:tcBorders>
          </w:tcPr>
          <w:p w14:paraId="27E660AE" w14:textId="77777777" w:rsidR="00266BEE" w:rsidRPr="001F3926" w:rsidRDefault="00266BEE" w:rsidP="00E82294">
            <w:pPr>
              <w:pStyle w:val="TableText"/>
              <w:jc w:val="right"/>
            </w:pPr>
            <w:r w:rsidRPr="001F3926">
              <w:rPr>
                <w:rFonts w:cs="Arial"/>
              </w:rPr>
              <w:t>40.7 (35.4</w:t>
            </w:r>
            <w:r w:rsidR="00E82294" w:rsidRPr="001F3926">
              <w:rPr>
                <w:rFonts w:cs="Arial"/>
              </w:rPr>
              <w:t>, </w:t>
            </w:r>
            <w:r w:rsidRPr="001F3926">
              <w:rPr>
                <w:rFonts w:cs="Arial"/>
              </w:rPr>
              <w:t>46.3)</w:t>
            </w:r>
          </w:p>
        </w:tc>
        <w:tc>
          <w:tcPr>
            <w:tcW w:w="495" w:type="dxa"/>
            <w:tcBorders>
              <w:top w:val="nil"/>
            </w:tcBorders>
          </w:tcPr>
          <w:p w14:paraId="4C17B260" w14:textId="77777777" w:rsidR="00266BEE" w:rsidRPr="001F3926" w:rsidRDefault="00266BEE" w:rsidP="00E82294">
            <w:pPr>
              <w:pStyle w:val="TableText"/>
              <w:jc w:val="right"/>
            </w:pPr>
            <w:r w:rsidRPr="001F3926">
              <w:rPr>
                <w:rFonts w:cs="Arial"/>
              </w:rPr>
              <w:t>140</w:t>
            </w:r>
          </w:p>
        </w:tc>
        <w:tc>
          <w:tcPr>
            <w:tcW w:w="810" w:type="dxa"/>
            <w:tcBorders>
              <w:top w:val="nil"/>
            </w:tcBorders>
          </w:tcPr>
          <w:p w14:paraId="4422EB6F" w14:textId="77777777" w:rsidR="00266BEE" w:rsidRPr="001F3926" w:rsidRDefault="00266BEE" w:rsidP="00E82294">
            <w:pPr>
              <w:pStyle w:val="TableText"/>
              <w:jc w:val="right"/>
            </w:pPr>
            <w:r w:rsidRPr="001F3926">
              <w:rPr>
                <w:rFonts w:cs="Arial"/>
              </w:rPr>
              <w:t>1215</w:t>
            </w:r>
          </w:p>
        </w:tc>
        <w:tc>
          <w:tcPr>
            <w:tcW w:w="955" w:type="dxa"/>
            <w:tcBorders>
              <w:top w:val="nil"/>
            </w:tcBorders>
          </w:tcPr>
          <w:p w14:paraId="0AAEE402" w14:textId="77777777" w:rsidR="00266BEE" w:rsidRPr="001F3926" w:rsidRDefault="00266BEE" w:rsidP="00E82294">
            <w:pPr>
              <w:pStyle w:val="TableText"/>
              <w:jc w:val="right"/>
            </w:pPr>
            <w:r w:rsidRPr="001F3926">
              <w:rPr>
                <w:rFonts w:cs="Arial"/>
              </w:rPr>
              <w:t>64.0 (36.7</w:t>
            </w:r>
            <w:r w:rsidR="00E82294" w:rsidRPr="001F3926">
              <w:rPr>
                <w:rFonts w:cs="Arial"/>
              </w:rPr>
              <w:t>, </w:t>
            </w:r>
            <w:r w:rsidRPr="001F3926">
              <w:rPr>
                <w:rFonts w:cs="Arial"/>
              </w:rPr>
              <w:t>84.6)</w:t>
            </w:r>
          </w:p>
        </w:tc>
        <w:tc>
          <w:tcPr>
            <w:tcW w:w="575" w:type="dxa"/>
            <w:tcBorders>
              <w:top w:val="nil"/>
            </w:tcBorders>
          </w:tcPr>
          <w:p w14:paraId="726DDCAB" w14:textId="77777777" w:rsidR="00266BEE" w:rsidRPr="001F3926" w:rsidRDefault="00266BEE" w:rsidP="00E82294">
            <w:pPr>
              <w:pStyle w:val="TableText"/>
              <w:jc w:val="right"/>
            </w:pPr>
            <w:r w:rsidRPr="001F3926">
              <w:rPr>
                <w:rFonts w:cs="Arial"/>
              </w:rPr>
              <w:t>92</w:t>
            </w:r>
          </w:p>
        </w:tc>
        <w:tc>
          <w:tcPr>
            <w:tcW w:w="810" w:type="dxa"/>
            <w:tcBorders>
              <w:top w:val="nil"/>
            </w:tcBorders>
          </w:tcPr>
          <w:p w14:paraId="7BB771F2" w14:textId="77777777" w:rsidR="00266BEE" w:rsidRPr="001F3926" w:rsidRDefault="00266BEE" w:rsidP="00E82294">
            <w:pPr>
              <w:pStyle w:val="TableText"/>
              <w:jc w:val="right"/>
            </w:pPr>
            <w:r w:rsidRPr="001F3926">
              <w:rPr>
                <w:rFonts w:cs="Arial"/>
              </w:rPr>
              <w:t>679</w:t>
            </w:r>
          </w:p>
        </w:tc>
        <w:tc>
          <w:tcPr>
            <w:tcW w:w="875" w:type="dxa"/>
            <w:tcBorders>
              <w:top w:val="nil"/>
            </w:tcBorders>
          </w:tcPr>
          <w:p w14:paraId="479B4B6C" w14:textId="77777777" w:rsidR="00266BEE" w:rsidRPr="001F3926" w:rsidRDefault="00266BEE" w:rsidP="00E82294">
            <w:pPr>
              <w:pStyle w:val="TableText"/>
              <w:jc w:val="right"/>
            </w:pPr>
            <w:r w:rsidRPr="001F3926">
              <w:rPr>
                <w:rFonts w:cs="Arial"/>
              </w:rPr>
              <w:t>35.8 (15.3</w:t>
            </w:r>
            <w:r w:rsidR="00E82294" w:rsidRPr="001F3926">
              <w:rPr>
                <w:rFonts w:cs="Arial"/>
              </w:rPr>
              <w:t>, </w:t>
            </w:r>
            <w:r w:rsidRPr="001F3926">
              <w:rPr>
                <w:rFonts w:cs="Arial"/>
              </w:rPr>
              <w:t>63.2)</w:t>
            </w:r>
          </w:p>
        </w:tc>
      </w:tr>
      <w:tr w:rsidR="00E82294" w:rsidRPr="001F3926" w14:paraId="70605179"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Pr>
          <w:p w14:paraId="1827D39D" w14:textId="77777777" w:rsidR="00266BEE" w:rsidRPr="001F3926" w:rsidRDefault="007155C2" w:rsidP="00E82294">
            <w:pPr>
              <w:pStyle w:val="TableText"/>
            </w:pPr>
            <w:r>
              <w:t>Subsyndromal</w:t>
            </w:r>
            <w:r w:rsidR="00266BEE" w:rsidRPr="001F3926">
              <w:t xml:space="preserve"> disorder </w:t>
            </w:r>
          </w:p>
        </w:tc>
        <w:tc>
          <w:tcPr>
            <w:tcW w:w="539" w:type="dxa"/>
          </w:tcPr>
          <w:p w14:paraId="4AEDDBAB" w14:textId="77777777" w:rsidR="00266BEE" w:rsidRPr="001F3926" w:rsidRDefault="00266BEE" w:rsidP="00E82294">
            <w:pPr>
              <w:pStyle w:val="TableText"/>
              <w:jc w:val="right"/>
            </w:pPr>
            <w:r w:rsidRPr="001F3926">
              <w:rPr>
                <w:rFonts w:cs="Arial"/>
              </w:rPr>
              <w:t>837</w:t>
            </w:r>
          </w:p>
        </w:tc>
        <w:tc>
          <w:tcPr>
            <w:tcW w:w="748" w:type="dxa"/>
          </w:tcPr>
          <w:p w14:paraId="2210FA5A" w14:textId="77777777" w:rsidR="00266BEE" w:rsidRPr="001F3926" w:rsidRDefault="00266BEE" w:rsidP="00E82294">
            <w:pPr>
              <w:pStyle w:val="TableText"/>
              <w:jc w:val="right"/>
            </w:pPr>
            <w:r w:rsidRPr="001F3926">
              <w:rPr>
                <w:rFonts w:cs="Arial"/>
              </w:rPr>
              <w:t>5997</w:t>
            </w:r>
          </w:p>
        </w:tc>
        <w:tc>
          <w:tcPr>
            <w:tcW w:w="972" w:type="dxa"/>
          </w:tcPr>
          <w:p w14:paraId="00611043" w14:textId="77777777" w:rsidR="00266BEE" w:rsidRPr="001F3926" w:rsidRDefault="00266BEE" w:rsidP="00E82294">
            <w:pPr>
              <w:pStyle w:val="TableText"/>
              <w:jc w:val="right"/>
            </w:pPr>
            <w:r w:rsidRPr="001F3926">
              <w:rPr>
                <w:rFonts w:cs="Arial"/>
              </w:rPr>
              <w:t>68.6 (65.2</w:t>
            </w:r>
            <w:r w:rsidR="00E82294" w:rsidRPr="001F3926">
              <w:rPr>
                <w:rFonts w:cs="Arial"/>
              </w:rPr>
              <w:t>, </w:t>
            </w:r>
            <w:r w:rsidRPr="001F3926">
              <w:rPr>
                <w:rFonts w:cs="Arial"/>
              </w:rPr>
              <w:t>71.9)</w:t>
            </w:r>
          </w:p>
        </w:tc>
        <w:tc>
          <w:tcPr>
            <w:tcW w:w="530" w:type="dxa"/>
          </w:tcPr>
          <w:p w14:paraId="26B98B58" w14:textId="77777777" w:rsidR="00266BEE" w:rsidRPr="001F3926" w:rsidRDefault="00266BEE" w:rsidP="00E82294">
            <w:pPr>
              <w:pStyle w:val="TableText"/>
              <w:jc w:val="right"/>
            </w:pPr>
            <w:r w:rsidRPr="001F3926">
              <w:rPr>
                <w:rFonts w:cs="Arial"/>
              </w:rPr>
              <w:t>378</w:t>
            </w:r>
          </w:p>
        </w:tc>
        <w:tc>
          <w:tcPr>
            <w:tcW w:w="810" w:type="dxa"/>
          </w:tcPr>
          <w:p w14:paraId="372380DE" w14:textId="77777777" w:rsidR="00266BEE" w:rsidRPr="001F3926" w:rsidRDefault="00266BEE" w:rsidP="00E82294">
            <w:pPr>
              <w:pStyle w:val="TableText"/>
              <w:jc w:val="right"/>
            </w:pPr>
            <w:r w:rsidRPr="001F3926">
              <w:rPr>
                <w:rFonts w:cs="Arial"/>
              </w:rPr>
              <w:t>2730</w:t>
            </w:r>
          </w:p>
        </w:tc>
        <w:tc>
          <w:tcPr>
            <w:tcW w:w="855" w:type="dxa"/>
          </w:tcPr>
          <w:p w14:paraId="68139AF7" w14:textId="77777777" w:rsidR="00266BEE" w:rsidRPr="001F3926" w:rsidRDefault="00266BEE" w:rsidP="00E82294">
            <w:pPr>
              <w:pStyle w:val="TableText"/>
              <w:jc w:val="right"/>
            </w:pPr>
            <w:r w:rsidRPr="001F3926">
              <w:rPr>
                <w:rFonts w:cs="Arial"/>
              </w:rPr>
              <w:t>31.2 (28.0</w:t>
            </w:r>
            <w:r w:rsidR="00E82294" w:rsidRPr="001F3926">
              <w:rPr>
                <w:rFonts w:cs="Arial"/>
              </w:rPr>
              <w:t>, </w:t>
            </w:r>
            <w:r w:rsidRPr="001F3926">
              <w:rPr>
                <w:rFonts w:cs="Arial"/>
              </w:rPr>
              <w:t>34.7)</w:t>
            </w:r>
          </w:p>
        </w:tc>
        <w:tc>
          <w:tcPr>
            <w:tcW w:w="495" w:type="dxa"/>
          </w:tcPr>
          <w:p w14:paraId="532CD929" w14:textId="77777777" w:rsidR="00266BEE" w:rsidRPr="001F3926" w:rsidRDefault="00266BEE" w:rsidP="00E82294">
            <w:pPr>
              <w:pStyle w:val="TableText"/>
              <w:jc w:val="right"/>
            </w:pPr>
            <w:r w:rsidRPr="001F3926">
              <w:rPr>
                <w:rFonts w:cs="Arial"/>
              </w:rPr>
              <w:t>1521</w:t>
            </w:r>
          </w:p>
        </w:tc>
        <w:tc>
          <w:tcPr>
            <w:tcW w:w="810" w:type="dxa"/>
          </w:tcPr>
          <w:p w14:paraId="7A93D527" w14:textId="77777777" w:rsidR="00266BEE" w:rsidRPr="001F3926" w:rsidRDefault="00266BEE" w:rsidP="00E82294">
            <w:pPr>
              <w:pStyle w:val="TableText"/>
              <w:jc w:val="right"/>
            </w:pPr>
            <w:r w:rsidRPr="001F3926">
              <w:rPr>
                <w:rFonts w:cs="Arial"/>
              </w:rPr>
              <w:t>12565</w:t>
            </w:r>
          </w:p>
        </w:tc>
        <w:tc>
          <w:tcPr>
            <w:tcW w:w="955" w:type="dxa"/>
          </w:tcPr>
          <w:p w14:paraId="14654284" w14:textId="77777777" w:rsidR="00266BEE" w:rsidRPr="001F3926" w:rsidRDefault="00266BEE" w:rsidP="00E82294">
            <w:pPr>
              <w:pStyle w:val="TableText"/>
              <w:jc w:val="right"/>
            </w:pPr>
            <w:r w:rsidRPr="001F3926">
              <w:rPr>
                <w:rFonts w:cs="Arial"/>
              </w:rPr>
              <w:t>74.2 (66.4</w:t>
            </w:r>
            <w:r w:rsidR="00E82294" w:rsidRPr="001F3926">
              <w:rPr>
                <w:rFonts w:cs="Arial"/>
              </w:rPr>
              <w:t>, </w:t>
            </w:r>
            <w:r w:rsidRPr="001F3926">
              <w:rPr>
                <w:rFonts w:cs="Arial"/>
              </w:rPr>
              <w:t>80.7)</w:t>
            </w:r>
          </w:p>
        </w:tc>
        <w:tc>
          <w:tcPr>
            <w:tcW w:w="575" w:type="dxa"/>
          </w:tcPr>
          <w:p w14:paraId="0BB5737C" w14:textId="77777777" w:rsidR="00266BEE" w:rsidRPr="001F3926" w:rsidRDefault="00266BEE" w:rsidP="00E82294">
            <w:pPr>
              <w:pStyle w:val="TableText"/>
              <w:jc w:val="right"/>
            </w:pPr>
            <w:r w:rsidRPr="001F3926">
              <w:rPr>
                <w:rFonts w:cs="Arial"/>
              </w:rPr>
              <w:t>597</w:t>
            </w:r>
          </w:p>
        </w:tc>
        <w:tc>
          <w:tcPr>
            <w:tcW w:w="810" w:type="dxa"/>
          </w:tcPr>
          <w:p w14:paraId="4B1C11FF" w14:textId="77777777" w:rsidR="00266BEE" w:rsidRPr="001F3926" w:rsidRDefault="00266BEE" w:rsidP="00E82294">
            <w:pPr>
              <w:pStyle w:val="TableText"/>
              <w:jc w:val="right"/>
            </w:pPr>
            <w:r w:rsidRPr="001F3926">
              <w:rPr>
                <w:rFonts w:cs="Arial"/>
              </w:rPr>
              <w:t>4310</w:t>
            </w:r>
          </w:p>
        </w:tc>
        <w:tc>
          <w:tcPr>
            <w:tcW w:w="875" w:type="dxa"/>
          </w:tcPr>
          <w:p w14:paraId="0EEB3516" w14:textId="77777777" w:rsidR="00266BEE" w:rsidRPr="001F3926" w:rsidRDefault="00266BEE" w:rsidP="00E82294">
            <w:pPr>
              <w:pStyle w:val="TableText"/>
              <w:jc w:val="right"/>
            </w:pPr>
            <w:r w:rsidRPr="001F3926">
              <w:rPr>
                <w:rFonts w:cs="Arial"/>
              </w:rPr>
              <w:t>25.4 (19.0</w:t>
            </w:r>
            <w:r w:rsidR="00E82294" w:rsidRPr="001F3926">
              <w:rPr>
                <w:rFonts w:cs="Arial"/>
              </w:rPr>
              <w:t>, </w:t>
            </w:r>
            <w:r w:rsidRPr="001F3926">
              <w:rPr>
                <w:rFonts w:cs="Arial"/>
              </w:rPr>
              <w:t>33.2)</w:t>
            </w:r>
          </w:p>
        </w:tc>
      </w:tr>
      <w:tr w:rsidR="00E82294" w:rsidRPr="001F3926" w14:paraId="663011DA" w14:textId="77777777" w:rsidTr="00E82294">
        <w:trPr>
          <w:cantSplit/>
        </w:trPr>
        <w:tc>
          <w:tcPr>
            <w:tcW w:w="2546" w:type="dxa"/>
            <w:tcBorders>
              <w:bottom w:val="single" w:sz="4" w:space="0" w:color="000000"/>
            </w:tcBorders>
          </w:tcPr>
          <w:p w14:paraId="3A228FE9" w14:textId="77777777" w:rsidR="00266BEE" w:rsidRPr="001F3926" w:rsidRDefault="00266BEE" w:rsidP="00E82294">
            <w:pPr>
              <w:pStyle w:val="TableText"/>
            </w:pPr>
            <w:r w:rsidRPr="001F3926">
              <w:t>No disorder</w:t>
            </w:r>
          </w:p>
        </w:tc>
        <w:tc>
          <w:tcPr>
            <w:tcW w:w="539" w:type="dxa"/>
            <w:tcBorders>
              <w:bottom w:val="single" w:sz="4" w:space="0" w:color="000000"/>
            </w:tcBorders>
          </w:tcPr>
          <w:p w14:paraId="5AF7A859" w14:textId="77777777" w:rsidR="00266BEE" w:rsidRPr="001F3926" w:rsidRDefault="00266BEE" w:rsidP="00E82294">
            <w:pPr>
              <w:pStyle w:val="TableText"/>
              <w:jc w:val="right"/>
            </w:pPr>
            <w:r w:rsidRPr="001F3926">
              <w:rPr>
                <w:rFonts w:cs="Arial"/>
              </w:rPr>
              <w:t>1557</w:t>
            </w:r>
          </w:p>
        </w:tc>
        <w:tc>
          <w:tcPr>
            <w:tcW w:w="748" w:type="dxa"/>
            <w:tcBorders>
              <w:bottom w:val="single" w:sz="4" w:space="0" w:color="000000"/>
            </w:tcBorders>
          </w:tcPr>
          <w:p w14:paraId="6A023BD7" w14:textId="77777777" w:rsidR="00266BEE" w:rsidRPr="001F3926" w:rsidRDefault="00266BEE" w:rsidP="00E82294">
            <w:pPr>
              <w:pStyle w:val="TableText"/>
              <w:jc w:val="right"/>
            </w:pPr>
            <w:r w:rsidRPr="001F3926">
              <w:rPr>
                <w:rFonts w:cs="Arial"/>
              </w:rPr>
              <w:t>10,595</w:t>
            </w:r>
          </w:p>
        </w:tc>
        <w:tc>
          <w:tcPr>
            <w:tcW w:w="972" w:type="dxa"/>
            <w:tcBorders>
              <w:bottom w:val="single" w:sz="4" w:space="0" w:color="000000"/>
            </w:tcBorders>
          </w:tcPr>
          <w:p w14:paraId="72BE9B51" w14:textId="77777777" w:rsidR="00266BEE" w:rsidRPr="001F3926" w:rsidRDefault="00266BEE" w:rsidP="00E82294">
            <w:pPr>
              <w:pStyle w:val="TableText"/>
              <w:jc w:val="right"/>
            </w:pPr>
            <w:r w:rsidRPr="001F3926">
              <w:rPr>
                <w:rFonts w:cs="Arial"/>
              </w:rPr>
              <w:t>83.6 (81.2</w:t>
            </w:r>
            <w:r w:rsidR="00E82294" w:rsidRPr="001F3926">
              <w:rPr>
                <w:rFonts w:cs="Arial"/>
              </w:rPr>
              <w:t>, </w:t>
            </w:r>
            <w:r w:rsidRPr="001F3926">
              <w:rPr>
                <w:rFonts w:cs="Arial"/>
              </w:rPr>
              <w:t>85.7)</w:t>
            </w:r>
          </w:p>
        </w:tc>
        <w:tc>
          <w:tcPr>
            <w:tcW w:w="530" w:type="dxa"/>
            <w:tcBorders>
              <w:bottom w:val="single" w:sz="4" w:space="0" w:color="000000"/>
            </w:tcBorders>
          </w:tcPr>
          <w:p w14:paraId="15596811" w14:textId="77777777" w:rsidR="00266BEE" w:rsidRPr="001F3926" w:rsidRDefault="00266BEE" w:rsidP="00E82294">
            <w:pPr>
              <w:pStyle w:val="TableText"/>
              <w:jc w:val="right"/>
            </w:pPr>
            <w:r w:rsidRPr="001F3926">
              <w:rPr>
                <w:rFonts w:cs="Arial"/>
              </w:rPr>
              <w:t>272</w:t>
            </w:r>
          </w:p>
        </w:tc>
        <w:tc>
          <w:tcPr>
            <w:tcW w:w="810" w:type="dxa"/>
            <w:tcBorders>
              <w:bottom w:val="single" w:sz="4" w:space="0" w:color="000000"/>
            </w:tcBorders>
          </w:tcPr>
          <w:p w14:paraId="21FA0E8C" w14:textId="77777777" w:rsidR="00266BEE" w:rsidRPr="001F3926" w:rsidRDefault="00266BEE" w:rsidP="00E82294">
            <w:pPr>
              <w:pStyle w:val="TableText"/>
              <w:jc w:val="right"/>
            </w:pPr>
            <w:r w:rsidRPr="001F3926">
              <w:rPr>
                <w:rFonts w:cs="Arial"/>
              </w:rPr>
              <w:t>1967</w:t>
            </w:r>
          </w:p>
        </w:tc>
        <w:tc>
          <w:tcPr>
            <w:tcW w:w="855" w:type="dxa"/>
            <w:tcBorders>
              <w:bottom w:val="single" w:sz="4" w:space="0" w:color="000000"/>
            </w:tcBorders>
          </w:tcPr>
          <w:p w14:paraId="110CD772" w14:textId="77777777" w:rsidR="00266BEE" w:rsidRPr="001F3926" w:rsidRDefault="00266BEE" w:rsidP="00E82294">
            <w:pPr>
              <w:pStyle w:val="TableText"/>
              <w:jc w:val="right"/>
            </w:pPr>
            <w:r w:rsidRPr="001F3926">
              <w:rPr>
                <w:rFonts w:cs="Arial"/>
              </w:rPr>
              <w:t>15.5 (13.5</w:t>
            </w:r>
            <w:r w:rsidR="00E82294" w:rsidRPr="001F3926">
              <w:rPr>
                <w:rFonts w:cs="Arial"/>
              </w:rPr>
              <w:t>, </w:t>
            </w:r>
            <w:r w:rsidRPr="001F3926">
              <w:rPr>
                <w:rFonts w:cs="Arial"/>
              </w:rPr>
              <w:t>17.8)</w:t>
            </w:r>
          </w:p>
        </w:tc>
        <w:tc>
          <w:tcPr>
            <w:tcW w:w="495" w:type="dxa"/>
            <w:tcBorders>
              <w:bottom w:val="single" w:sz="4" w:space="0" w:color="000000"/>
            </w:tcBorders>
          </w:tcPr>
          <w:p w14:paraId="34B1E7F0" w14:textId="77777777" w:rsidR="00266BEE" w:rsidRPr="001F3926" w:rsidRDefault="00266BEE" w:rsidP="00E82294">
            <w:pPr>
              <w:pStyle w:val="TableText"/>
              <w:jc w:val="right"/>
            </w:pPr>
            <w:r w:rsidRPr="001F3926">
              <w:rPr>
                <w:rFonts w:cs="Arial"/>
              </w:rPr>
              <w:t>4189</w:t>
            </w:r>
          </w:p>
        </w:tc>
        <w:tc>
          <w:tcPr>
            <w:tcW w:w="810" w:type="dxa"/>
            <w:tcBorders>
              <w:bottom w:val="single" w:sz="4" w:space="0" w:color="000000"/>
            </w:tcBorders>
          </w:tcPr>
          <w:p w14:paraId="281BAC85" w14:textId="77777777" w:rsidR="00266BEE" w:rsidRPr="001F3926" w:rsidRDefault="00266BEE" w:rsidP="00E82294">
            <w:pPr>
              <w:pStyle w:val="TableText"/>
              <w:jc w:val="right"/>
            </w:pPr>
            <w:r w:rsidRPr="001F3926">
              <w:rPr>
                <w:rFonts w:cs="Arial"/>
              </w:rPr>
              <w:t>29,017</w:t>
            </w:r>
          </w:p>
        </w:tc>
        <w:tc>
          <w:tcPr>
            <w:tcW w:w="955" w:type="dxa"/>
            <w:tcBorders>
              <w:bottom w:val="single" w:sz="4" w:space="0" w:color="000000"/>
            </w:tcBorders>
          </w:tcPr>
          <w:p w14:paraId="48B624FC" w14:textId="77777777" w:rsidR="00266BEE" w:rsidRPr="001F3926" w:rsidRDefault="00266BEE" w:rsidP="00E82294">
            <w:pPr>
              <w:pStyle w:val="TableText"/>
              <w:jc w:val="right"/>
            </w:pPr>
            <w:r w:rsidRPr="001F3926">
              <w:rPr>
                <w:rFonts w:cs="Arial"/>
              </w:rPr>
              <w:t>86.9 (84.2</w:t>
            </w:r>
            <w:r w:rsidR="00E82294" w:rsidRPr="001F3926">
              <w:rPr>
                <w:rFonts w:cs="Arial"/>
              </w:rPr>
              <w:t>, </w:t>
            </w:r>
            <w:r w:rsidRPr="001F3926">
              <w:rPr>
                <w:rFonts w:cs="Arial"/>
              </w:rPr>
              <w:t>89.3)</w:t>
            </w:r>
          </w:p>
        </w:tc>
        <w:tc>
          <w:tcPr>
            <w:tcW w:w="575" w:type="dxa"/>
            <w:tcBorders>
              <w:bottom w:val="single" w:sz="4" w:space="0" w:color="000000"/>
            </w:tcBorders>
          </w:tcPr>
          <w:p w14:paraId="0EB5BA02" w14:textId="77777777" w:rsidR="00266BEE" w:rsidRPr="001F3926" w:rsidRDefault="00266BEE" w:rsidP="00E82294">
            <w:pPr>
              <w:pStyle w:val="TableText"/>
              <w:jc w:val="right"/>
            </w:pPr>
            <w:r w:rsidRPr="001F3926">
              <w:rPr>
                <w:rFonts w:cs="Arial"/>
              </w:rPr>
              <w:t>735</w:t>
            </w:r>
          </w:p>
        </w:tc>
        <w:tc>
          <w:tcPr>
            <w:tcW w:w="810" w:type="dxa"/>
            <w:tcBorders>
              <w:bottom w:val="single" w:sz="4" w:space="0" w:color="000000"/>
            </w:tcBorders>
          </w:tcPr>
          <w:p w14:paraId="6CAD85C3" w14:textId="77777777" w:rsidR="00266BEE" w:rsidRPr="001F3926" w:rsidRDefault="00266BEE" w:rsidP="00E82294">
            <w:pPr>
              <w:pStyle w:val="TableText"/>
              <w:jc w:val="right"/>
            </w:pPr>
            <w:r w:rsidRPr="001F3926">
              <w:rPr>
                <w:rFonts w:cs="Arial"/>
              </w:rPr>
              <w:t>4028</w:t>
            </w:r>
          </w:p>
        </w:tc>
        <w:tc>
          <w:tcPr>
            <w:tcW w:w="875" w:type="dxa"/>
            <w:tcBorders>
              <w:bottom w:val="single" w:sz="4" w:space="0" w:color="000000"/>
            </w:tcBorders>
          </w:tcPr>
          <w:p w14:paraId="57F17C08" w14:textId="77777777" w:rsidR="00266BEE" w:rsidRPr="001F3926" w:rsidRDefault="00266BEE" w:rsidP="00E82294">
            <w:pPr>
              <w:pStyle w:val="TableText"/>
              <w:jc w:val="right"/>
            </w:pPr>
            <w:r w:rsidRPr="001F3926">
              <w:rPr>
                <w:rFonts w:cs="Arial"/>
              </w:rPr>
              <w:t>12.1 (9.9</w:t>
            </w:r>
            <w:r w:rsidR="00E82294" w:rsidRPr="001F3926">
              <w:rPr>
                <w:rFonts w:cs="Arial"/>
              </w:rPr>
              <w:t>, </w:t>
            </w:r>
            <w:r w:rsidRPr="001F3926">
              <w:rPr>
                <w:rFonts w:cs="Arial"/>
              </w:rPr>
              <w:t>14.6)</w:t>
            </w:r>
          </w:p>
        </w:tc>
      </w:tr>
      <w:tr w:rsidR="00E82294" w:rsidRPr="001F3926" w14:paraId="32A0CD6C"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Borders>
              <w:top w:val="single" w:sz="4" w:space="0" w:color="000000"/>
              <w:bottom w:val="nil"/>
            </w:tcBorders>
          </w:tcPr>
          <w:p w14:paraId="5D29B4F5" w14:textId="77777777" w:rsidR="00266BEE" w:rsidRPr="001F3926" w:rsidRDefault="00266BEE" w:rsidP="00E82294">
            <w:pPr>
              <w:pStyle w:val="TableText"/>
              <w:rPr>
                <w:b/>
              </w:rPr>
            </w:pPr>
            <w:r w:rsidRPr="001F3926">
              <w:rPr>
                <w:b/>
              </w:rPr>
              <w:t>12-month suicidal ideation and behaviour</w:t>
            </w:r>
          </w:p>
        </w:tc>
        <w:tc>
          <w:tcPr>
            <w:tcW w:w="539" w:type="dxa"/>
            <w:tcBorders>
              <w:top w:val="single" w:sz="4" w:space="0" w:color="000000"/>
              <w:bottom w:val="nil"/>
            </w:tcBorders>
          </w:tcPr>
          <w:p w14:paraId="240FEFE6" w14:textId="77777777" w:rsidR="00266BEE" w:rsidRPr="001F3926" w:rsidRDefault="00266BEE" w:rsidP="00E82294">
            <w:pPr>
              <w:pStyle w:val="TableText"/>
              <w:jc w:val="right"/>
            </w:pPr>
          </w:p>
        </w:tc>
        <w:tc>
          <w:tcPr>
            <w:tcW w:w="748" w:type="dxa"/>
            <w:tcBorders>
              <w:top w:val="single" w:sz="4" w:space="0" w:color="000000"/>
              <w:bottom w:val="nil"/>
            </w:tcBorders>
          </w:tcPr>
          <w:p w14:paraId="12731CAE" w14:textId="77777777" w:rsidR="00266BEE" w:rsidRPr="001F3926" w:rsidRDefault="00266BEE" w:rsidP="00E82294">
            <w:pPr>
              <w:pStyle w:val="TableText"/>
              <w:jc w:val="right"/>
            </w:pPr>
          </w:p>
        </w:tc>
        <w:tc>
          <w:tcPr>
            <w:tcW w:w="972" w:type="dxa"/>
            <w:tcBorders>
              <w:top w:val="single" w:sz="4" w:space="0" w:color="000000"/>
              <w:bottom w:val="nil"/>
            </w:tcBorders>
          </w:tcPr>
          <w:p w14:paraId="651FF5AF" w14:textId="77777777" w:rsidR="00266BEE" w:rsidRPr="001F3926" w:rsidRDefault="00266BEE" w:rsidP="00E82294">
            <w:pPr>
              <w:pStyle w:val="TableText"/>
              <w:jc w:val="right"/>
            </w:pPr>
          </w:p>
        </w:tc>
        <w:tc>
          <w:tcPr>
            <w:tcW w:w="530" w:type="dxa"/>
            <w:tcBorders>
              <w:top w:val="single" w:sz="4" w:space="0" w:color="000000"/>
              <w:bottom w:val="nil"/>
            </w:tcBorders>
          </w:tcPr>
          <w:p w14:paraId="16211670" w14:textId="77777777" w:rsidR="00266BEE" w:rsidRPr="001F3926" w:rsidRDefault="00266BEE" w:rsidP="00E82294">
            <w:pPr>
              <w:pStyle w:val="TableText"/>
              <w:jc w:val="right"/>
            </w:pPr>
          </w:p>
        </w:tc>
        <w:tc>
          <w:tcPr>
            <w:tcW w:w="810" w:type="dxa"/>
            <w:tcBorders>
              <w:top w:val="single" w:sz="4" w:space="0" w:color="000000"/>
              <w:bottom w:val="nil"/>
            </w:tcBorders>
          </w:tcPr>
          <w:p w14:paraId="0E6694B1" w14:textId="77777777" w:rsidR="00266BEE" w:rsidRPr="001F3926" w:rsidRDefault="00266BEE" w:rsidP="00E82294">
            <w:pPr>
              <w:pStyle w:val="TableText"/>
              <w:jc w:val="right"/>
            </w:pPr>
          </w:p>
        </w:tc>
        <w:tc>
          <w:tcPr>
            <w:tcW w:w="855" w:type="dxa"/>
            <w:tcBorders>
              <w:top w:val="single" w:sz="4" w:space="0" w:color="000000"/>
              <w:bottom w:val="nil"/>
            </w:tcBorders>
          </w:tcPr>
          <w:p w14:paraId="10630127" w14:textId="77777777" w:rsidR="00266BEE" w:rsidRPr="001F3926" w:rsidRDefault="00266BEE" w:rsidP="00E82294">
            <w:pPr>
              <w:pStyle w:val="TableText"/>
              <w:jc w:val="right"/>
            </w:pPr>
          </w:p>
        </w:tc>
        <w:tc>
          <w:tcPr>
            <w:tcW w:w="495" w:type="dxa"/>
            <w:tcBorders>
              <w:top w:val="single" w:sz="4" w:space="0" w:color="000000"/>
              <w:bottom w:val="nil"/>
            </w:tcBorders>
          </w:tcPr>
          <w:p w14:paraId="412FE725" w14:textId="77777777" w:rsidR="00266BEE" w:rsidRPr="001F3926" w:rsidRDefault="00266BEE" w:rsidP="00E82294">
            <w:pPr>
              <w:pStyle w:val="TableText"/>
              <w:jc w:val="right"/>
            </w:pPr>
          </w:p>
        </w:tc>
        <w:tc>
          <w:tcPr>
            <w:tcW w:w="810" w:type="dxa"/>
            <w:tcBorders>
              <w:top w:val="single" w:sz="4" w:space="0" w:color="000000"/>
              <w:bottom w:val="nil"/>
            </w:tcBorders>
          </w:tcPr>
          <w:p w14:paraId="65C35633" w14:textId="77777777" w:rsidR="00266BEE" w:rsidRPr="001F3926" w:rsidRDefault="00266BEE" w:rsidP="00E82294">
            <w:pPr>
              <w:pStyle w:val="TableText"/>
              <w:jc w:val="right"/>
            </w:pPr>
          </w:p>
        </w:tc>
        <w:tc>
          <w:tcPr>
            <w:tcW w:w="955" w:type="dxa"/>
            <w:tcBorders>
              <w:top w:val="single" w:sz="4" w:space="0" w:color="000000"/>
              <w:bottom w:val="nil"/>
            </w:tcBorders>
          </w:tcPr>
          <w:p w14:paraId="11CEC19D" w14:textId="77777777" w:rsidR="00266BEE" w:rsidRPr="001F3926" w:rsidRDefault="00266BEE" w:rsidP="00E82294">
            <w:pPr>
              <w:pStyle w:val="TableText"/>
              <w:jc w:val="right"/>
            </w:pPr>
          </w:p>
        </w:tc>
        <w:tc>
          <w:tcPr>
            <w:tcW w:w="575" w:type="dxa"/>
            <w:tcBorders>
              <w:top w:val="single" w:sz="4" w:space="0" w:color="000000"/>
              <w:bottom w:val="nil"/>
            </w:tcBorders>
          </w:tcPr>
          <w:p w14:paraId="43E66AC4" w14:textId="77777777" w:rsidR="00266BEE" w:rsidRPr="001F3926" w:rsidRDefault="00266BEE" w:rsidP="00E82294">
            <w:pPr>
              <w:pStyle w:val="TableText"/>
              <w:jc w:val="right"/>
            </w:pPr>
          </w:p>
        </w:tc>
        <w:tc>
          <w:tcPr>
            <w:tcW w:w="810" w:type="dxa"/>
            <w:tcBorders>
              <w:top w:val="single" w:sz="4" w:space="0" w:color="000000"/>
              <w:bottom w:val="nil"/>
            </w:tcBorders>
          </w:tcPr>
          <w:p w14:paraId="799ACD06" w14:textId="77777777" w:rsidR="00266BEE" w:rsidRPr="001F3926" w:rsidRDefault="00266BEE" w:rsidP="00E82294">
            <w:pPr>
              <w:pStyle w:val="TableText"/>
              <w:jc w:val="right"/>
            </w:pPr>
          </w:p>
        </w:tc>
        <w:tc>
          <w:tcPr>
            <w:tcW w:w="875" w:type="dxa"/>
            <w:tcBorders>
              <w:top w:val="single" w:sz="4" w:space="0" w:color="000000"/>
              <w:bottom w:val="nil"/>
            </w:tcBorders>
          </w:tcPr>
          <w:p w14:paraId="42B847A1" w14:textId="77777777" w:rsidR="00266BEE" w:rsidRPr="001F3926" w:rsidRDefault="00266BEE" w:rsidP="00E82294">
            <w:pPr>
              <w:pStyle w:val="TableText"/>
              <w:jc w:val="right"/>
            </w:pPr>
          </w:p>
        </w:tc>
      </w:tr>
      <w:tr w:rsidR="00E82294" w:rsidRPr="001F3926" w14:paraId="4A8CD7DC" w14:textId="77777777" w:rsidTr="00E82294">
        <w:trPr>
          <w:cantSplit/>
        </w:trPr>
        <w:tc>
          <w:tcPr>
            <w:tcW w:w="2546" w:type="dxa"/>
            <w:tcBorders>
              <w:top w:val="nil"/>
            </w:tcBorders>
          </w:tcPr>
          <w:p w14:paraId="5DF56B38" w14:textId="77777777" w:rsidR="00266BEE" w:rsidRPr="001F3926" w:rsidRDefault="00266BEE" w:rsidP="00E82294">
            <w:pPr>
              <w:pStyle w:val="TableText"/>
            </w:pPr>
            <w:r w:rsidRPr="001F3926">
              <w:t>Any suicidality (suicidal ideation or plan)</w:t>
            </w:r>
          </w:p>
        </w:tc>
        <w:tc>
          <w:tcPr>
            <w:tcW w:w="539" w:type="dxa"/>
            <w:tcBorders>
              <w:top w:val="nil"/>
            </w:tcBorders>
          </w:tcPr>
          <w:p w14:paraId="2B1F2C05" w14:textId="77777777" w:rsidR="00266BEE" w:rsidRPr="001F3926" w:rsidRDefault="00266BEE" w:rsidP="00E82294">
            <w:pPr>
              <w:pStyle w:val="TableText"/>
              <w:jc w:val="right"/>
            </w:pPr>
            <w:r w:rsidRPr="001F3926">
              <w:rPr>
                <w:rFonts w:cs="Arial"/>
              </w:rPr>
              <w:t>619</w:t>
            </w:r>
          </w:p>
        </w:tc>
        <w:tc>
          <w:tcPr>
            <w:tcW w:w="748" w:type="dxa"/>
            <w:tcBorders>
              <w:top w:val="nil"/>
            </w:tcBorders>
          </w:tcPr>
          <w:p w14:paraId="65E88C23" w14:textId="77777777" w:rsidR="00266BEE" w:rsidRPr="001F3926" w:rsidRDefault="00266BEE" w:rsidP="00E82294">
            <w:pPr>
              <w:pStyle w:val="TableText"/>
              <w:jc w:val="right"/>
            </w:pPr>
            <w:r w:rsidRPr="001F3926">
              <w:rPr>
                <w:rFonts w:cs="Arial"/>
              </w:rPr>
              <w:t>4521</w:t>
            </w:r>
          </w:p>
        </w:tc>
        <w:tc>
          <w:tcPr>
            <w:tcW w:w="972" w:type="dxa"/>
            <w:tcBorders>
              <w:top w:val="nil"/>
            </w:tcBorders>
          </w:tcPr>
          <w:p w14:paraId="25551021" w14:textId="77777777" w:rsidR="00266BEE" w:rsidRPr="001F3926" w:rsidRDefault="00266BEE" w:rsidP="00E82294">
            <w:pPr>
              <w:pStyle w:val="TableText"/>
              <w:jc w:val="right"/>
              <w:rPr>
                <w:rFonts w:cs="Arial"/>
              </w:rPr>
            </w:pPr>
            <w:r w:rsidRPr="001F3926">
              <w:rPr>
                <w:rFonts w:cs="Arial"/>
              </w:rPr>
              <w:t>59.4 (55.6</w:t>
            </w:r>
            <w:r w:rsidR="00E82294" w:rsidRPr="001F3926">
              <w:rPr>
                <w:rFonts w:cs="Arial"/>
              </w:rPr>
              <w:t>, </w:t>
            </w:r>
            <w:r w:rsidRPr="001F3926">
              <w:rPr>
                <w:rFonts w:cs="Arial"/>
              </w:rPr>
              <w:t>63.0)</w:t>
            </w:r>
          </w:p>
        </w:tc>
        <w:tc>
          <w:tcPr>
            <w:tcW w:w="530" w:type="dxa"/>
            <w:tcBorders>
              <w:top w:val="nil"/>
            </w:tcBorders>
          </w:tcPr>
          <w:p w14:paraId="4B588DAA" w14:textId="77777777" w:rsidR="00266BEE" w:rsidRPr="001F3926" w:rsidRDefault="00266BEE" w:rsidP="00E82294">
            <w:pPr>
              <w:pStyle w:val="TableText"/>
              <w:jc w:val="right"/>
            </w:pPr>
            <w:r w:rsidRPr="001F3926">
              <w:rPr>
                <w:rFonts w:cs="Arial"/>
              </w:rPr>
              <w:t>433</w:t>
            </w:r>
          </w:p>
        </w:tc>
        <w:tc>
          <w:tcPr>
            <w:tcW w:w="810" w:type="dxa"/>
            <w:tcBorders>
              <w:top w:val="nil"/>
            </w:tcBorders>
          </w:tcPr>
          <w:p w14:paraId="1F3F9E22" w14:textId="77777777" w:rsidR="00266BEE" w:rsidRPr="001F3926" w:rsidRDefault="00266BEE" w:rsidP="00E82294">
            <w:pPr>
              <w:pStyle w:val="TableText"/>
              <w:jc w:val="right"/>
            </w:pPr>
            <w:r w:rsidRPr="001F3926">
              <w:rPr>
                <w:rFonts w:cs="Arial"/>
              </w:rPr>
              <w:t>3068</w:t>
            </w:r>
          </w:p>
        </w:tc>
        <w:tc>
          <w:tcPr>
            <w:tcW w:w="855" w:type="dxa"/>
            <w:tcBorders>
              <w:top w:val="nil"/>
            </w:tcBorders>
          </w:tcPr>
          <w:p w14:paraId="66A23CFD" w14:textId="77777777" w:rsidR="00266BEE" w:rsidRPr="001F3926" w:rsidRDefault="00266BEE" w:rsidP="00E82294">
            <w:pPr>
              <w:pStyle w:val="TableText"/>
              <w:jc w:val="right"/>
              <w:rPr>
                <w:rFonts w:cs="Arial"/>
              </w:rPr>
            </w:pPr>
            <w:r w:rsidRPr="001F3926">
              <w:rPr>
                <w:rFonts w:cs="Arial"/>
              </w:rPr>
              <w:t>40.3 (36.7</w:t>
            </w:r>
            <w:r w:rsidR="00E82294" w:rsidRPr="001F3926">
              <w:rPr>
                <w:rFonts w:cs="Arial"/>
              </w:rPr>
              <w:t>, </w:t>
            </w:r>
            <w:r w:rsidRPr="001F3926">
              <w:rPr>
                <w:rFonts w:cs="Arial"/>
              </w:rPr>
              <w:t>44.0)</w:t>
            </w:r>
          </w:p>
        </w:tc>
        <w:tc>
          <w:tcPr>
            <w:tcW w:w="495" w:type="dxa"/>
            <w:tcBorders>
              <w:top w:val="nil"/>
            </w:tcBorders>
          </w:tcPr>
          <w:p w14:paraId="790AB06A" w14:textId="77777777" w:rsidR="00266BEE" w:rsidRPr="001F3926" w:rsidRDefault="00266BEE" w:rsidP="00E82294">
            <w:pPr>
              <w:pStyle w:val="TableText"/>
              <w:jc w:val="right"/>
            </w:pPr>
            <w:r w:rsidRPr="001F3926">
              <w:rPr>
                <w:rFonts w:cs="Arial"/>
              </w:rPr>
              <w:t>571</w:t>
            </w:r>
          </w:p>
        </w:tc>
        <w:tc>
          <w:tcPr>
            <w:tcW w:w="810" w:type="dxa"/>
            <w:tcBorders>
              <w:top w:val="nil"/>
            </w:tcBorders>
          </w:tcPr>
          <w:p w14:paraId="2A1ED20A" w14:textId="77777777" w:rsidR="00266BEE" w:rsidRPr="001F3926" w:rsidRDefault="00266BEE" w:rsidP="00E82294">
            <w:pPr>
              <w:pStyle w:val="TableText"/>
              <w:jc w:val="right"/>
            </w:pPr>
            <w:r w:rsidRPr="001F3926">
              <w:rPr>
                <w:rFonts w:cs="Arial"/>
              </w:rPr>
              <w:t>4877</w:t>
            </w:r>
          </w:p>
        </w:tc>
        <w:tc>
          <w:tcPr>
            <w:tcW w:w="955" w:type="dxa"/>
            <w:tcBorders>
              <w:top w:val="nil"/>
            </w:tcBorders>
          </w:tcPr>
          <w:p w14:paraId="7B6C8319" w14:textId="77777777" w:rsidR="00266BEE" w:rsidRPr="001F3926" w:rsidRDefault="00266BEE" w:rsidP="00E82294">
            <w:pPr>
              <w:pStyle w:val="TableText"/>
              <w:jc w:val="right"/>
              <w:rPr>
                <w:rFonts w:cs="Arial"/>
              </w:rPr>
            </w:pPr>
            <w:r w:rsidRPr="001F3926">
              <w:rPr>
                <w:rFonts w:cs="Arial"/>
              </w:rPr>
              <w:t>69.9 (57.9</w:t>
            </w:r>
            <w:r w:rsidR="00E82294" w:rsidRPr="001F3926">
              <w:rPr>
                <w:rFonts w:cs="Arial"/>
              </w:rPr>
              <w:t>, </w:t>
            </w:r>
            <w:r w:rsidRPr="001F3926">
              <w:rPr>
                <w:rFonts w:cs="Arial"/>
              </w:rPr>
              <w:t>79.6)</w:t>
            </w:r>
          </w:p>
        </w:tc>
        <w:tc>
          <w:tcPr>
            <w:tcW w:w="575" w:type="dxa"/>
            <w:tcBorders>
              <w:top w:val="nil"/>
            </w:tcBorders>
          </w:tcPr>
          <w:p w14:paraId="0CEE6280" w14:textId="77777777" w:rsidR="00266BEE" w:rsidRPr="001F3926" w:rsidRDefault="00266BEE" w:rsidP="00E82294">
            <w:pPr>
              <w:pStyle w:val="TableText"/>
              <w:jc w:val="right"/>
            </w:pPr>
            <w:r w:rsidRPr="001F3926">
              <w:rPr>
                <w:rFonts w:cs="Arial"/>
              </w:rPr>
              <w:t>347</w:t>
            </w:r>
          </w:p>
        </w:tc>
        <w:tc>
          <w:tcPr>
            <w:tcW w:w="810" w:type="dxa"/>
            <w:tcBorders>
              <w:top w:val="nil"/>
            </w:tcBorders>
          </w:tcPr>
          <w:p w14:paraId="30458B43" w14:textId="77777777" w:rsidR="00266BEE" w:rsidRPr="001F3926" w:rsidRDefault="00266BEE" w:rsidP="00E82294">
            <w:pPr>
              <w:pStyle w:val="TableText"/>
              <w:jc w:val="right"/>
            </w:pPr>
            <w:r w:rsidRPr="001F3926">
              <w:rPr>
                <w:rFonts w:cs="Arial"/>
              </w:rPr>
              <w:t>2090</w:t>
            </w:r>
          </w:p>
        </w:tc>
        <w:tc>
          <w:tcPr>
            <w:tcW w:w="875" w:type="dxa"/>
            <w:tcBorders>
              <w:top w:val="nil"/>
            </w:tcBorders>
          </w:tcPr>
          <w:p w14:paraId="76FC5D1B" w14:textId="77777777" w:rsidR="00266BEE" w:rsidRPr="001F3926" w:rsidRDefault="00266BEE" w:rsidP="00E82294">
            <w:pPr>
              <w:pStyle w:val="TableText"/>
              <w:jc w:val="right"/>
              <w:rPr>
                <w:rFonts w:cs="Arial"/>
              </w:rPr>
            </w:pPr>
            <w:r w:rsidRPr="001F3926">
              <w:rPr>
                <w:rFonts w:cs="Arial"/>
              </w:rPr>
              <w:t>29.9 (20.2</w:t>
            </w:r>
            <w:r w:rsidR="00E82294" w:rsidRPr="001F3926">
              <w:rPr>
                <w:rFonts w:cs="Arial"/>
              </w:rPr>
              <w:t>, </w:t>
            </w:r>
            <w:r w:rsidRPr="001F3926">
              <w:rPr>
                <w:rFonts w:cs="Arial"/>
              </w:rPr>
              <w:t>41.9)</w:t>
            </w:r>
          </w:p>
        </w:tc>
      </w:tr>
      <w:tr w:rsidR="00E82294" w:rsidRPr="001F3926" w14:paraId="25D25C02"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Pr>
          <w:p w14:paraId="1841E0ED" w14:textId="77777777" w:rsidR="00266BEE" w:rsidRPr="001F3926" w:rsidRDefault="00266BEE" w:rsidP="00E82294">
            <w:pPr>
              <w:pStyle w:val="TableText"/>
            </w:pPr>
            <w:r w:rsidRPr="001F3926">
              <w:t xml:space="preserve">Suicidal ideation </w:t>
            </w:r>
          </w:p>
        </w:tc>
        <w:tc>
          <w:tcPr>
            <w:tcW w:w="539" w:type="dxa"/>
          </w:tcPr>
          <w:p w14:paraId="325E9AF2" w14:textId="77777777" w:rsidR="00266BEE" w:rsidRPr="001F3926" w:rsidRDefault="00266BEE" w:rsidP="00E82294">
            <w:pPr>
              <w:pStyle w:val="TableText"/>
              <w:jc w:val="right"/>
            </w:pPr>
            <w:r w:rsidRPr="001F3926">
              <w:rPr>
                <w:rFonts w:cs="Arial"/>
              </w:rPr>
              <w:t>462</w:t>
            </w:r>
          </w:p>
        </w:tc>
        <w:tc>
          <w:tcPr>
            <w:tcW w:w="748" w:type="dxa"/>
          </w:tcPr>
          <w:p w14:paraId="726B0E40" w14:textId="77777777" w:rsidR="00266BEE" w:rsidRPr="001F3926" w:rsidRDefault="00266BEE" w:rsidP="00E82294">
            <w:pPr>
              <w:pStyle w:val="TableText"/>
              <w:jc w:val="right"/>
            </w:pPr>
            <w:r w:rsidRPr="001F3926">
              <w:rPr>
                <w:rFonts w:cs="Arial"/>
              </w:rPr>
              <w:t>3338</w:t>
            </w:r>
          </w:p>
        </w:tc>
        <w:tc>
          <w:tcPr>
            <w:tcW w:w="972" w:type="dxa"/>
          </w:tcPr>
          <w:p w14:paraId="100EB360" w14:textId="77777777" w:rsidR="00266BEE" w:rsidRPr="001F3926" w:rsidRDefault="00266BEE" w:rsidP="00E82294">
            <w:pPr>
              <w:pStyle w:val="TableText"/>
              <w:jc w:val="right"/>
            </w:pPr>
            <w:r w:rsidRPr="001F3926">
              <w:rPr>
                <w:rFonts w:cs="Arial"/>
              </w:rPr>
              <w:t>59.9 (55.5</w:t>
            </w:r>
            <w:r w:rsidR="00E82294" w:rsidRPr="001F3926">
              <w:rPr>
                <w:rFonts w:cs="Arial"/>
              </w:rPr>
              <w:t>, </w:t>
            </w:r>
            <w:r w:rsidRPr="001F3926">
              <w:rPr>
                <w:rFonts w:cs="Arial"/>
              </w:rPr>
              <w:t>64.2)</w:t>
            </w:r>
          </w:p>
        </w:tc>
        <w:tc>
          <w:tcPr>
            <w:tcW w:w="530" w:type="dxa"/>
          </w:tcPr>
          <w:p w14:paraId="1F0422BF" w14:textId="77777777" w:rsidR="00266BEE" w:rsidRPr="001F3926" w:rsidRDefault="00266BEE" w:rsidP="00E82294">
            <w:pPr>
              <w:pStyle w:val="TableText"/>
              <w:jc w:val="right"/>
            </w:pPr>
            <w:r w:rsidRPr="001F3926">
              <w:rPr>
                <w:rFonts w:cs="Arial"/>
              </w:rPr>
              <w:t>299</w:t>
            </w:r>
          </w:p>
        </w:tc>
        <w:tc>
          <w:tcPr>
            <w:tcW w:w="810" w:type="dxa"/>
          </w:tcPr>
          <w:p w14:paraId="7CB5CE0D" w14:textId="77777777" w:rsidR="00266BEE" w:rsidRPr="001F3926" w:rsidRDefault="00266BEE" w:rsidP="00E82294">
            <w:pPr>
              <w:pStyle w:val="TableText"/>
              <w:jc w:val="right"/>
            </w:pPr>
            <w:r w:rsidRPr="001F3926">
              <w:rPr>
                <w:rFonts w:cs="Arial"/>
              </w:rPr>
              <w:t>2225</w:t>
            </w:r>
          </w:p>
        </w:tc>
        <w:tc>
          <w:tcPr>
            <w:tcW w:w="855" w:type="dxa"/>
          </w:tcPr>
          <w:p w14:paraId="65AED2AA" w14:textId="77777777" w:rsidR="00266BEE" w:rsidRPr="001F3926" w:rsidRDefault="00266BEE" w:rsidP="00E82294">
            <w:pPr>
              <w:pStyle w:val="TableText"/>
              <w:jc w:val="right"/>
            </w:pPr>
            <w:r w:rsidRPr="001F3926">
              <w:rPr>
                <w:rFonts w:cs="Arial"/>
              </w:rPr>
              <w:t>39.9 (35.6</w:t>
            </w:r>
            <w:r w:rsidR="00E82294" w:rsidRPr="001F3926">
              <w:rPr>
                <w:rFonts w:cs="Arial"/>
              </w:rPr>
              <w:t>, </w:t>
            </w:r>
            <w:r w:rsidRPr="001F3926">
              <w:rPr>
                <w:rFonts w:cs="Arial"/>
              </w:rPr>
              <w:t>44.4)</w:t>
            </w:r>
          </w:p>
        </w:tc>
        <w:tc>
          <w:tcPr>
            <w:tcW w:w="495" w:type="dxa"/>
          </w:tcPr>
          <w:p w14:paraId="7ED4AD07" w14:textId="77777777" w:rsidR="00266BEE" w:rsidRPr="001F3926" w:rsidRDefault="00266BEE" w:rsidP="00E82294">
            <w:pPr>
              <w:pStyle w:val="TableText"/>
              <w:jc w:val="right"/>
            </w:pPr>
            <w:r w:rsidRPr="001F3926">
              <w:rPr>
                <w:rFonts w:cs="Arial"/>
              </w:rPr>
              <w:t>501</w:t>
            </w:r>
          </w:p>
        </w:tc>
        <w:tc>
          <w:tcPr>
            <w:tcW w:w="810" w:type="dxa"/>
          </w:tcPr>
          <w:p w14:paraId="3FFEED9D" w14:textId="77777777" w:rsidR="00266BEE" w:rsidRPr="001F3926" w:rsidRDefault="00266BEE" w:rsidP="00E82294">
            <w:pPr>
              <w:pStyle w:val="TableText"/>
              <w:jc w:val="right"/>
            </w:pPr>
            <w:r w:rsidRPr="001F3926">
              <w:rPr>
                <w:rFonts w:cs="Arial"/>
              </w:rPr>
              <w:t>4231</w:t>
            </w:r>
          </w:p>
        </w:tc>
        <w:tc>
          <w:tcPr>
            <w:tcW w:w="955" w:type="dxa"/>
          </w:tcPr>
          <w:p w14:paraId="31EE747B" w14:textId="77777777" w:rsidR="00266BEE" w:rsidRPr="001F3926" w:rsidRDefault="00266BEE" w:rsidP="00E82294">
            <w:pPr>
              <w:pStyle w:val="TableText"/>
              <w:jc w:val="right"/>
            </w:pPr>
            <w:r w:rsidRPr="001F3926">
              <w:rPr>
                <w:rFonts w:cs="Arial"/>
              </w:rPr>
              <w:t>71.9 (58.8</w:t>
            </w:r>
            <w:r w:rsidR="00E82294" w:rsidRPr="001F3926">
              <w:rPr>
                <w:rFonts w:cs="Arial"/>
              </w:rPr>
              <w:t>, </w:t>
            </w:r>
            <w:r w:rsidRPr="001F3926">
              <w:rPr>
                <w:rFonts w:cs="Arial"/>
              </w:rPr>
              <w:t>82.1)</w:t>
            </w:r>
          </w:p>
        </w:tc>
        <w:tc>
          <w:tcPr>
            <w:tcW w:w="575" w:type="dxa"/>
          </w:tcPr>
          <w:p w14:paraId="23F7615C" w14:textId="77777777" w:rsidR="00266BEE" w:rsidRPr="001F3926" w:rsidRDefault="00266BEE" w:rsidP="00E82294">
            <w:pPr>
              <w:pStyle w:val="TableText"/>
              <w:jc w:val="right"/>
            </w:pPr>
            <w:r w:rsidRPr="001F3926">
              <w:rPr>
                <w:rFonts w:cs="Arial"/>
              </w:rPr>
              <w:t>278</w:t>
            </w:r>
          </w:p>
        </w:tc>
        <w:tc>
          <w:tcPr>
            <w:tcW w:w="810" w:type="dxa"/>
          </w:tcPr>
          <w:p w14:paraId="645ED59F" w14:textId="77777777" w:rsidR="00266BEE" w:rsidRPr="001F3926" w:rsidRDefault="00266BEE" w:rsidP="00E82294">
            <w:pPr>
              <w:pStyle w:val="TableText"/>
              <w:jc w:val="right"/>
            </w:pPr>
            <w:r w:rsidRPr="001F3926">
              <w:rPr>
                <w:rFonts w:cs="Arial"/>
              </w:rPr>
              <w:t>1644</w:t>
            </w:r>
          </w:p>
        </w:tc>
        <w:tc>
          <w:tcPr>
            <w:tcW w:w="875" w:type="dxa"/>
          </w:tcPr>
          <w:p w14:paraId="25360E61" w14:textId="77777777" w:rsidR="00266BEE" w:rsidRPr="001F3926" w:rsidRDefault="00266BEE" w:rsidP="00E82294">
            <w:pPr>
              <w:pStyle w:val="TableText"/>
              <w:jc w:val="right"/>
            </w:pPr>
            <w:r w:rsidRPr="001F3926">
              <w:rPr>
                <w:rFonts w:cs="Arial"/>
              </w:rPr>
              <w:t>27.9 (17.8</w:t>
            </w:r>
            <w:r w:rsidR="00E82294" w:rsidRPr="001F3926">
              <w:rPr>
                <w:rFonts w:cs="Arial"/>
              </w:rPr>
              <w:t>, </w:t>
            </w:r>
            <w:r w:rsidRPr="001F3926">
              <w:rPr>
                <w:rFonts w:cs="Arial"/>
              </w:rPr>
              <w:t>41.0)</w:t>
            </w:r>
          </w:p>
        </w:tc>
      </w:tr>
      <w:tr w:rsidR="00E82294" w:rsidRPr="001F3926" w14:paraId="02E8C036" w14:textId="77777777" w:rsidTr="00E82294">
        <w:trPr>
          <w:cantSplit/>
        </w:trPr>
        <w:tc>
          <w:tcPr>
            <w:tcW w:w="2546" w:type="dxa"/>
          </w:tcPr>
          <w:p w14:paraId="1220781E" w14:textId="77777777" w:rsidR="00266BEE" w:rsidRPr="001F3926" w:rsidRDefault="00266BEE" w:rsidP="00E82294">
            <w:pPr>
              <w:pStyle w:val="TableText"/>
            </w:pPr>
            <w:r w:rsidRPr="001F3926">
              <w:t>Suicide plan</w:t>
            </w:r>
          </w:p>
        </w:tc>
        <w:tc>
          <w:tcPr>
            <w:tcW w:w="539" w:type="dxa"/>
          </w:tcPr>
          <w:p w14:paraId="02ACE401" w14:textId="77777777" w:rsidR="00266BEE" w:rsidRPr="001F3926" w:rsidRDefault="00266BEE" w:rsidP="00E82294">
            <w:pPr>
              <w:pStyle w:val="TableText"/>
              <w:jc w:val="right"/>
            </w:pPr>
            <w:r w:rsidRPr="001F3926">
              <w:rPr>
                <w:rFonts w:cs="Arial"/>
              </w:rPr>
              <w:t>157</w:t>
            </w:r>
          </w:p>
        </w:tc>
        <w:tc>
          <w:tcPr>
            <w:tcW w:w="748" w:type="dxa"/>
          </w:tcPr>
          <w:p w14:paraId="3DB3AA51" w14:textId="77777777" w:rsidR="00266BEE" w:rsidRPr="001F3926" w:rsidRDefault="00266BEE" w:rsidP="00E82294">
            <w:pPr>
              <w:pStyle w:val="TableText"/>
              <w:jc w:val="right"/>
            </w:pPr>
            <w:r w:rsidRPr="001F3926">
              <w:rPr>
                <w:rFonts w:cs="Arial"/>
              </w:rPr>
              <w:t>1183</w:t>
            </w:r>
          </w:p>
        </w:tc>
        <w:tc>
          <w:tcPr>
            <w:tcW w:w="972" w:type="dxa"/>
          </w:tcPr>
          <w:p w14:paraId="3099C8DC" w14:textId="77777777" w:rsidR="00266BEE" w:rsidRPr="001F3926" w:rsidRDefault="00266BEE" w:rsidP="00E82294">
            <w:pPr>
              <w:pStyle w:val="TableText"/>
              <w:jc w:val="right"/>
            </w:pPr>
            <w:r w:rsidRPr="001F3926">
              <w:rPr>
                <w:rFonts w:cs="Arial"/>
              </w:rPr>
              <w:t>57.9 (51.0</w:t>
            </w:r>
            <w:r w:rsidR="00E82294" w:rsidRPr="001F3926">
              <w:rPr>
                <w:rFonts w:cs="Arial"/>
              </w:rPr>
              <w:t>, </w:t>
            </w:r>
            <w:r w:rsidRPr="001F3926">
              <w:rPr>
                <w:rFonts w:cs="Arial"/>
              </w:rPr>
              <w:t>64.5)</w:t>
            </w:r>
          </w:p>
        </w:tc>
        <w:tc>
          <w:tcPr>
            <w:tcW w:w="530" w:type="dxa"/>
          </w:tcPr>
          <w:p w14:paraId="16BB6BD4" w14:textId="77777777" w:rsidR="00266BEE" w:rsidRPr="001F3926" w:rsidRDefault="00266BEE" w:rsidP="00E82294">
            <w:pPr>
              <w:pStyle w:val="TableText"/>
              <w:jc w:val="right"/>
            </w:pPr>
            <w:r w:rsidRPr="001F3926">
              <w:rPr>
                <w:rFonts w:cs="Arial"/>
              </w:rPr>
              <w:t>134</w:t>
            </w:r>
          </w:p>
        </w:tc>
        <w:tc>
          <w:tcPr>
            <w:tcW w:w="810" w:type="dxa"/>
          </w:tcPr>
          <w:p w14:paraId="2F245791" w14:textId="77777777" w:rsidR="00266BEE" w:rsidRPr="001F3926" w:rsidRDefault="00266BEE" w:rsidP="00E82294">
            <w:pPr>
              <w:pStyle w:val="TableText"/>
              <w:jc w:val="right"/>
            </w:pPr>
            <w:r w:rsidRPr="001F3926">
              <w:rPr>
                <w:rFonts w:cs="Arial"/>
              </w:rPr>
              <w:t>842</w:t>
            </w:r>
          </w:p>
        </w:tc>
        <w:tc>
          <w:tcPr>
            <w:tcW w:w="855" w:type="dxa"/>
          </w:tcPr>
          <w:p w14:paraId="20402E51" w14:textId="77777777" w:rsidR="00266BEE" w:rsidRPr="001F3926" w:rsidRDefault="00266BEE" w:rsidP="00E82294">
            <w:pPr>
              <w:pStyle w:val="TableText"/>
              <w:jc w:val="right"/>
            </w:pPr>
            <w:r w:rsidRPr="001F3926">
              <w:rPr>
                <w:rFonts w:cs="Arial"/>
              </w:rPr>
              <w:t>41.2 (34.7</w:t>
            </w:r>
            <w:r w:rsidR="00E82294" w:rsidRPr="001F3926">
              <w:rPr>
                <w:rFonts w:cs="Arial"/>
              </w:rPr>
              <w:t>, </w:t>
            </w:r>
            <w:r w:rsidRPr="001F3926">
              <w:rPr>
                <w:rFonts w:cs="Arial"/>
              </w:rPr>
              <w:t>48.1)</w:t>
            </w:r>
          </w:p>
        </w:tc>
        <w:tc>
          <w:tcPr>
            <w:tcW w:w="495" w:type="dxa"/>
          </w:tcPr>
          <w:p w14:paraId="593DAEB1" w14:textId="77777777" w:rsidR="00266BEE" w:rsidRPr="001F3926" w:rsidRDefault="00266BEE" w:rsidP="00E82294">
            <w:pPr>
              <w:pStyle w:val="TableText"/>
              <w:jc w:val="right"/>
            </w:pPr>
            <w:r w:rsidRPr="001F3926">
              <w:rPr>
                <w:rFonts w:cs="Arial"/>
              </w:rPr>
              <w:t>70</w:t>
            </w:r>
          </w:p>
        </w:tc>
        <w:tc>
          <w:tcPr>
            <w:tcW w:w="810" w:type="dxa"/>
          </w:tcPr>
          <w:p w14:paraId="2E63B144" w14:textId="77777777" w:rsidR="00266BEE" w:rsidRPr="001F3926" w:rsidRDefault="00266BEE" w:rsidP="00E82294">
            <w:pPr>
              <w:pStyle w:val="TableText"/>
              <w:jc w:val="right"/>
            </w:pPr>
            <w:r w:rsidRPr="001F3926">
              <w:rPr>
                <w:rFonts w:cs="Arial"/>
              </w:rPr>
              <w:t>646</w:t>
            </w:r>
          </w:p>
        </w:tc>
        <w:tc>
          <w:tcPr>
            <w:tcW w:w="955" w:type="dxa"/>
          </w:tcPr>
          <w:p w14:paraId="419445EF" w14:textId="77777777" w:rsidR="00266BEE" w:rsidRPr="001F3926" w:rsidRDefault="00266BEE" w:rsidP="00E82294">
            <w:pPr>
              <w:pStyle w:val="TableText"/>
              <w:jc w:val="right"/>
            </w:pPr>
            <w:r w:rsidRPr="001F3926">
              <w:rPr>
                <w:rFonts w:cs="Arial"/>
              </w:rPr>
              <w:t>59.0 (27.9</w:t>
            </w:r>
            <w:r w:rsidR="00E82294" w:rsidRPr="001F3926">
              <w:rPr>
                <w:rFonts w:cs="Arial"/>
              </w:rPr>
              <w:t>, </w:t>
            </w:r>
            <w:r w:rsidRPr="001F3926">
              <w:rPr>
                <w:rFonts w:cs="Arial"/>
              </w:rPr>
              <w:t>84.2)</w:t>
            </w:r>
          </w:p>
        </w:tc>
        <w:tc>
          <w:tcPr>
            <w:tcW w:w="575" w:type="dxa"/>
          </w:tcPr>
          <w:p w14:paraId="704BBF8F" w14:textId="77777777" w:rsidR="00266BEE" w:rsidRPr="001F3926" w:rsidRDefault="00266BEE" w:rsidP="00E82294">
            <w:pPr>
              <w:pStyle w:val="TableText"/>
              <w:jc w:val="right"/>
            </w:pPr>
            <w:r w:rsidRPr="001F3926">
              <w:rPr>
                <w:rFonts w:cs="Arial"/>
              </w:rPr>
              <w:t>69</w:t>
            </w:r>
          </w:p>
        </w:tc>
        <w:tc>
          <w:tcPr>
            <w:tcW w:w="810" w:type="dxa"/>
          </w:tcPr>
          <w:p w14:paraId="2500B3B5" w14:textId="77777777" w:rsidR="00266BEE" w:rsidRPr="001F3926" w:rsidRDefault="00266BEE" w:rsidP="00E82294">
            <w:pPr>
              <w:pStyle w:val="TableText"/>
              <w:jc w:val="right"/>
            </w:pPr>
            <w:r w:rsidRPr="001F3926">
              <w:rPr>
                <w:rFonts w:cs="Arial"/>
              </w:rPr>
              <w:t>446</w:t>
            </w:r>
          </w:p>
        </w:tc>
        <w:tc>
          <w:tcPr>
            <w:tcW w:w="875" w:type="dxa"/>
          </w:tcPr>
          <w:p w14:paraId="26FAE9D1" w14:textId="77777777" w:rsidR="00266BEE" w:rsidRPr="001F3926" w:rsidRDefault="00266BEE" w:rsidP="00E82294">
            <w:pPr>
              <w:pStyle w:val="TableText"/>
              <w:jc w:val="right"/>
            </w:pPr>
            <w:r w:rsidRPr="001F3926">
              <w:rPr>
                <w:rFonts w:cs="Arial"/>
              </w:rPr>
              <w:t>40.7 (15.6</w:t>
            </w:r>
            <w:r w:rsidR="00E82294" w:rsidRPr="001F3926">
              <w:rPr>
                <w:rFonts w:cs="Arial"/>
              </w:rPr>
              <w:t>, </w:t>
            </w:r>
            <w:r w:rsidRPr="001F3926">
              <w:rPr>
                <w:rFonts w:cs="Arial"/>
              </w:rPr>
              <w:t>71.8)</w:t>
            </w:r>
          </w:p>
        </w:tc>
      </w:tr>
      <w:tr w:rsidR="00E82294" w:rsidRPr="001F3926" w14:paraId="2C8733F5"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Borders>
              <w:bottom w:val="single" w:sz="4" w:space="0" w:color="000000"/>
            </w:tcBorders>
          </w:tcPr>
          <w:p w14:paraId="36227D75" w14:textId="77777777" w:rsidR="00266BEE" w:rsidRPr="001F3926" w:rsidRDefault="00266BEE" w:rsidP="00E82294">
            <w:pPr>
              <w:pStyle w:val="TableText"/>
            </w:pPr>
            <w:r w:rsidRPr="001F3926">
              <w:t>Suicide attempts</w:t>
            </w:r>
          </w:p>
        </w:tc>
        <w:tc>
          <w:tcPr>
            <w:tcW w:w="539" w:type="dxa"/>
            <w:tcBorders>
              <w:bottom w:val="single" w:sz="4" w:space="0" w:color="000000"/>
            </w:tcBorders>
          </w:tcPr>
          <w:p w14:paraId="6433C0EE" w14:textId="77777777" w:rsidR="00266BEE" w:rsidRPr="001F3926" w:rsidRDefault="00266BEE" w:rsidP="00E82294">
            <w:pPr>
              <w:pStyle w:val="TableText"/>
              <w:jc w:val="right"/>
              <w:rPr>
                <w:rFonts w:cs="Arial"/>
              </w:rPr>
            </w:pPr>
            <w:r w:rsidRPr="001F3926">
              <w:rPr>
                <w:rFonts w:cs="Arial"/>
              </w:rPr>
              <w:t>35</w:t>
            </w:r>
          </w:p>
        </w:tc>
        <w:tc>
          <w:tcPr>
            <w:tcW w:w="748" w:type="dxa"/>
            <w:tcBorders>
              <w:bottom w:val="single" w:sz="4" w:space="0" w:color="000000"/>
            </w:tcBorders>
          </w:tcPr>
          <w:p w14:paraId="307D499F" w14:textId="77777777" w:rsidR="00266BEE" w:rsidRPr="001F3926" w:rsidRDefault="00266BEE" w:rsidP="00E82294">
            <w:pPr>
              <w:pStyle w:val="TableText"/>
              <w:jc w:val="right"/>
              <w:rPr>
                <w:rFonts w:cs="Arial"/>
              </w:rPr>
            </w:pPr>
            <w:r w:rsidRPr="001F3926">
              <w:rPr>
                <w:rFonts w:cs="Arial"/>
              </w:rPr>
              <w:t>268</w:t>
            </w:r>
          </w:p>
        </w:tc>
        <w:tc>
          <w:tcPr>
            <w:tcW w:w="972" w:type="dxa"/>
            <w:tcBorders>
              <w:bottom w:val="single" w:sz="4" w:space="0" w:color="000000"/>
            </w:tcBorders>
          </w:tcPr>
          <w:p w14:paraId="517E2676" w14:textId="77777777" w:rsidR="00266BEE" w:rsidRPr="001F3926" w:rsidRDefault="00266BEE" w:rsidP="00E82294">
            <w:pPr>
              <w:pStyle w:val="TableText"/>
              <w:jc w:val="right"/>
              <w:rPr>
                <w:rFonts w:cs="Arial"/>
              </w:rPr>
            </w:pPr>
            <w:r w:rsidRPr="001F3926">
              <w:rPr>
                <w:rFonts w:cs="Arial"/>
              </w:rPr>
              <w:t>51.5 (37.6</w:t>
            </w:r>
            <w:r w:rsidR="00E82294" w:rsidRPr="001F3926">
              <w:rPr>
                <w:rFonts w:cs="Arial"/>
              </w:rPr>
              <w:t>, </w:t>
            </w:r>
            <w:r w:rsidRPr="001F3926">
              <w:rPr>
                <w:rFonts w:cs="Arial"/>
              </w:rPr>
              <w:t>65.1)</w:t>
            </w:r>
          </w:p>
        </w:tc>
        <w:tc>
          <w:tcPr>
            <w:tcW w:w="530" w:type="dxa"/>
            <w:tcBorders>
              <w:bottom w:val="single" w:sz="4" w:space="0" w:color="000000"/>
            </w:tcBorders>
          </w:tcPr>
          <w:p w14:paraId="6F966491" w14:textId="77777777" w:rsidR="00266BEE" w:rsidRPr="001F3926" w:rsidRDefault="00266BEE" w:rsidP="00E82294">
            <w:pPr>
              <w:pStyle w:val="TableText"/>
              <w:jc w:val="right"/>
              <w:rPr>
                <w:rFonts w:cs="Arial"/>
              </w:rPr>
            </w:pPr>
            <w:r w:rsidRPr="001F3926">
              <w:rPr>
                <w:rFonts w:cs="Arial"/>
              </w:rPr>
              <w:t>34</w:t>
            </w:r>
          </w:p>
        </w:tc>
        <w:tc>
          <w:tcPr>
            <w:tcW w:w="810" w:type="dxa"/>
            <w:tcBorders>
              <w:bottom w:val="single" w:sz="4" w:space="0" w:color="000000"/>
            </w:tcBorders>
          </w:tcPr>
          <w:p w14:paraId="779CF77F" w14:textId="77777777" w:rsidR="00266BEE" w:rsidRPr="001F3926" w:rsidRDefault="00266BEE" w:rsidP="00E82294">
            <w:pPr>
              <w:pStyle w:val="TableText"/>
              <w:jc w:val="right"/>
              <w:rPr>
                <w:rFonts w:cs="Arial"/>
              </w:rPr>
            </w:pPr>
            <w:r w:rsidRPr="001F3926">
              <w:rPr>
                <w:rFonts w:cs="Arial"/>
              </w:rPr>
              <w:t>252</w:t>
            </w:r>
          </w:p>
        </w:tc>
        <w:tc>
          <w:tcPr>
            <w:tcW w:w="855" w:type="dxa"/>
            <w:tcBorders>
              <w:bottom w:val="single" w:sz="4" w:space="0" w:color="000000"/>
            </w:tcBorders>
          </w:tcPr>
          <w:p w14:paraId="5BCFC7D5" w14:textId="77777777" w:rsidR="00266BEE" w:rsidRPr="001F3926" w:rsidRDefault="00266BEE" w:rsidP="00E82294">
            <w:pPr>
              <w:pStyle w:val="TableText"/>
              <w:jc w:val="right"/>
              <w:rPr>
                <w:rFonts w:cs="Arial"/>
              </w:rPr>
            </w:pPr>
            <w:r w:rsidRPr="001F3926">
              <w:rPr>
                <w:rFonts w:cs="Arial"/>
              </w:rPr>
              <w:t>48.5 (34.9</w:t>
            </w:r>
            <w:r w:rsidR="00E82294" w:rsidRPr="001F3926">
              <w:rPr>
                <w:rFonts w:cs="Arial"/>
              </w:rPr>
              <w:t>, </w:t>
            </w:r>
            <w:r w:rsidRPr="001F3926">
              <w:rPr>
                <w:rFonts w:cs="Arial"/>
              </w:rPr>
              <w:t>62.4)</w:t>
            </w:r>
          </w:p>
        </w:tc>
        <w:tc>
          <w:tcPr>
            <w:tcW w:w="495" w:type="dxa"/>
            <w:tcBorders>
              <w:bottom w:val="single" w:sz="4" w:space="0" w:color="000000"/>
            </w:tcBorders>
          </w:tcPr>
          <w:p w14:paraId="4D322A98" w14:textId="77777777" w:rsidR="00266BEE" w:rsidRPr="001F3926" w:rsidRDefault="00266BEE" w:rsidP="00E82294">
            <w:pPr>
              <w:pStyle w:val="TableText"/>
              <w:jc w:val="right"/>
              <w:rPr>
                <w:rFonts w:cs="Arial"/>
              </w:rPr>
            </w:pPr>
            <w:r w:rsidRPr="001F3926">
              <w:rPr>
                <w:rFonts w:cs="Arial"/>
              </w:rPr>
              <w:t>18</w:t>
            </w:r>
          </w:p>
        </w:tc>
        <w:tc>
          <w:tcPr>
            <w:tcW w:w="810" w:type="dxa"/>
            <w:tcBorders>
              <w:bottom w:val="single" w:sz="4" w:space="0" w:color="000000"/>
            </w:tcBorders>
          </w:tcPr>
          <w:p w14:paraId="1898D87F" w14:textId="77777777" w:rsidR="00266BEE" w:rsidRPr="001F3926" w:rsidRDefault="00266BEE" w:rsidP="00E82294">
            <w:pPr>
              <w:pStyle w:val="TableText"/>
              <w:jc w:val="right"/>
              <w:rPr>
                <w:rFonts w:cs="Arial"/>
              </w:rPr>
            </w:pPr>
            <w:r w:rsidRPr="001F3926">
              <w:rPr>
                <w:rFonts w:cs="Arial"/>
              </w:rPr>
              <w:t>97</w:t>
            </w:r>
          </w:p>
        </w:tc>
        <w:tc>
          <w:tcPr>
            <w:tcW w:w="955" w:type="dxa"/>
            <w:tcBorders>
              <w:bottom w:val="single" w:sz="4" w:space="0" w:color="000000"/>
            </w:tcBorders>
          </w:tcPr>
          <w:p w14:paraId="3AB63A5B" w14:textId="77777777" w:rsidR="00266BEE" w:rsidRPr="001F3926" w:rsidRDefault="00266BEE" w:rsidP="00E82294">
            <w:pPr>
              <w:pStyle w:val="TableText"/>
              <w:jc w:val="right"/>
              <w:rPr>
                <w:rFonts w:cs="Arial"/>
              </w:rPr>
            </w:pPr>
            <w:r w:rsidRPr="001F3926">
              <w:rPr>
                <w:rFonts w:cs="Arial"/>
              </w:rPr>
              <w:t>26.9 (7.3</w:t>
            </w:r>
            <w:r w:rsidR="00E82294" w:rsidRPr="001F3926">
              <w:rPr>
                <w:rFonts w:cs="Arial"/>
              </w:rPr>
              <w:t>, </w:t>
            </w:r>
            <w:r w:rsidRPr="001F3926">
              <w:rPr>
                <w:rFonts w:cs="Arial"/>
              </w:rPr>
              <w:t>63.4)</w:t>
            </w:r>
          </w:p>
        </w:tc>
        <w:tc>
          <w:tcPr>
            <w:tcW w:w="575" w:type="dxa"/>
            <w:tcBorders>
              <w:bottom w:val="single" w:sz="4" w:space="0" w:color="000000"/>
            </w:tcBorders>
          </w:tcPr>
          <w:p w14:paraId="7BE99410" w14:textId="77777777" w:rsidR="00266BEE" w:rsidRPr="001F3926" w:rsidRDefault="00266BEE" w:rsidP="00E82294">
            <w:pPr>
              <w:pStyle w:val="TableText"/>
              <w:jc w:val="right"/>
              <w:rPr>
                <w:rFonts w:cs="Arial"/>
              </w:rPr>
            </w:pPr>
            <w:r w:rsidRPr="001F3926">
              <w:rPr>
                <w:rFonts w:cs="Arial"/>
              </w:rPr>
              <w:t>17</w:t>
            </w:r>
          </w:p>
        </w:tc>
        <w:tc>
          <w:tcPr>
            <w:tcW w:w="810" w:type="dxa"/>
            <w:tcBorders>
              <w:bottom w:val="single" w:sz="4" w:space="0" w:color="000000"/>
            </w:tcBorders>
          </w:tcPr>
          <w:p w14:paraId="4AE2364D" w14:textId="77777777" w:rsidR="00266BEE" w:rsidRPr="001F3926" w:rsidRDefault="00266BEE" w:rsidP="00E82294">
            <w:pPr>
              <w:pStyle w:val="TableText"/>
              <w:jc w:val="right"/>
              <w:rPr>
                <w:rFonts w:cs="Arial"/>
              </w:rPr>
            </w:pPr>
            <w:r w:rsidRPr="001F3926">
              <w:rPr>
                <w:rFonts w:cs="Arial"/>
              </w:rPr>
              <w:t>260</w:t>
            </w:r>
          </w:p>
        </w:tc>
        <w:tc>
          <w:tcPr>
            <w:tcW w:w="875" w:type="dxa"/>
            <w:tcBorders>
              <w:bottom w:val="single" w:sz="4" w:space="0" w:color="000000"/>
            </w:tcBorders>
          </w:tcPr>
          <w:p w14:paraId="634A17FD" w14:textId="77777777" w:rsidR="00266BEE" w:rsidRPr="001F3926" w:rsidRDefault="00266BEE" w:rsidP="00E82294">
            <w:pPr>
              <w:pStyle w:val="TableText"/>
              <w:jc w:val="right"/>
              <w:rPr>
                <w:rFonts w:cs="Arial"/>
              </w:rPr>
            </w:pPr>
            <w:r w:rsidRPr="001F3926">
              <w:rPr>
                <w:rFonts w:cs="Arial"/>
              </w:rPr>
              <w:t>72.2 (35.4</w:t>
            </w:r>
            <w:r w:rsidR="00E82294" w:rsidRPr="001F3926">
              <w:rPr>
                <w:rFonts w:cs="Arial"/>
              </w:rPr>
              <w:t>, </w:t>
            </w:r>
            <w:r w:rsidRPr="001F3926">
              <w:rPr>
                <w:rFonts w:cs="Arial"/>
              </w:rPr>
              <w:t>92.5)</w:t>
            </w:r>
          </w:p>
        </w:tc>
      </w:tr>
      <w:tr w:rsidR="00E82294" w:rsidRPr="001F3926" w14:paraId="246FDBF1" w14:textId="77777777" w:rsidTr="00E82294">
        <w:trPr>
          <w:cantSplit/>
        </w:trPr>
        <w:tc>
          <w:tcPr>
            <w:tcW w:w="2546" w:type="dxa"/>
            <w:tcBorders>
              <w:top w:val="single" w:sz="4" w:space="0" w:color="000000"/>
              <w:bottom w:val="nil"/>
            </w:tcBorders>
          </w:tcPr>
          <w:p w14:paraId="59E0F8D2" w14:textId="77777777" w:rsidR="00266BEE" w:rsidRPr="001F3926" w:rsidRDefault="00266BEE" w:rsidP="00E82294">
            <w:pPr>
              <w:pStyle w:val="TableText"/>
              <w:rPr>
                <w:b/>
              </w:rPr>
            </w:pPr>
            <w:r w:rsidRPr="001F3926">
              <w:rPr>
                <w:b/>
              </w:rPr>
              <w:t>Probable generalised anxiety disorder</w:t>
            </w:r>
          </w:p>
        </w:tc>
        <w:tc>
          <w:tcPr>
            <w:tcW w:w="539" w:type="dxa"/>
            <w:tcBorders>
              <w:top w:val="single" w:sz="4" w:space="0" w:color="000000"/>
              <w:bottom w:val="nil"/>
            </w:tcBorders>
          </w:tcPr>
          <w:p w14:paraId="26B680AF" w14:textId="77777777" w:rsidR="00266BEE" w:rsidRPr="001F3926" w:rsidRDefault="00266BEE" w:rsidP="00E82294">
            <w:pPr>
              <w:pStyle w:val="TableText"/>
              <w:jc w:val="right"/>
            </w:pPr>
          </w:p>
        </w:tc>
        <w:tc>
          <w:tcPr>
            <w:tcW w:w="748" w:type="dxa"/>
            <w:tcBorders>
              <w:top w:val="single" w:sz="4" w:space="0" w:color="000000"/>
              <w:bottom w:val="nil"/>
            </w:tcBorders>
          </w:tcPr>
          <w:p w14:paraId="42737EBC" w14:textId="77777777" w:rsidR="00266BEE" w:rsidRPr="001F3926" w:rsidRDefault="00266BEE" w:rsidP="00E82294">
            <w:pPr>
              <w:pStyle w:val="TableText"/>
              <w:jc w:val="right"/>
            </w:pPr>
          </w:p>
        </w:tc>
        <w:tc>
          <w:tcPr>
            <w:tcW w:w="972" w:type="dxa"/>
            <w:tcBorders>
              <w:top w:val="single" w:sz="4" w:space="0" w:color="000000"/>
              <w:bottom w:val="nil"/>
            </w:tcBorders>
          </w:tcPr>
          <w:p w14:paraId="63D1BEDF" w14:textId="77777777" w:rsidR="00266BEE" w:rsidRPr="001F3926" w:rsidRDefault="00266BEE" w:rsidP="00E82294">
            <w:pPr>
              <w:pStyle w:val="TableText"/>
              <w:jc w:val="right"/>
            </w:pPr>
          </w:p>
        </w:tc>
        <w:tc>
          <w:tcPr>
            <w:tcW w:w="530" w:type="dxa"/>
            <w:tcBorders>
              <w:top w:val="single" w:sz="4" w:space="0" w:color="000000"/>
              <w:bottom w:val="nil"/>
            </w:tcBorders>
          </w:tcPr>
          <w:p w14:paraId="00946348" w14:textId="77777777" w:rsidR="00266BEE" w:rsidRPr="001F3926" w:rsidRDefault="00266BEE" w:rsidP="00E82294">
            <w:pPr>
              <w:pStyle w:val="TableText"/>
              <w:jc w:val="right"/>
            </w:pPr>
          </w:p>
        </w:tc>
        <w:tc>
          <w:tcPr>
            <w:tcW w:w="810" w:type="dxa"/>
            <w:tcBorders>
              <w:top w:val="single" w:sz="4" w:space="0" w:color="000000"/>
              <w:bottom w:val="nil"/>
            </w:tcBorders>
          </w:tcPr>
          <w:p w14:paraId="57B174B5" w14:textId="77777777" w:rsidR="00266BEE" w:rsidRPr="001F3926" w:rsidRDefault="00266BEE" w:rsidP="00E82294">
            <w:pPr>
              <w:pStyle w:val="TableText"/>
              <w:jc w:val="right"/>
            </w:pPr>
          </w:p>
        </w:tc>
        <w:tc>
          <w:tcPr>
            <w:tcW w:w="855" w:type="dxa"/>
            <w:tcBorders>
              <w:top w:val="single" w:sz="4" w:space="0" w:color="000000"/>
              <w:bottom w:val="nil"/>
            </w:tcBorders>
          </w:tcPr>
          <w:p w14:paraId="4DD71C65" w14:textId="77777777" w:rsidR="00266BEE" w:rsidRPr="001F3926" w:rsidRDefault="00266BEE" w:rsidP="00E82294">
            <w:pPr>
              <w:pStyle w:val="TableText"/>
              <w:jc w:val="right"/>
            </w:pPr>
          </w:p>
        </w:tc>
        <w:tc>
          <w:tcPr>
            <w:tcW w:w="495" w:type="dxa"/>
            <w:tcBorders>
              <w:top w:val="single" w:sz="4" w:space="0" w:color="000000"/>
              <w:bottom w:val="nil"/>
            </w:tcBorders>
          </w:tcPr>
          <w:p w14:paraId="50692F6C" w14:textId="77777777" w:rsidR="00266BEE" w:rsidRPr="001F3926" w:rsidRDefault="00266BEE" w:rsidP="00E82294">
            <w:pPr>
              <w:pStyle w:val="TableText"/>
              <w:jc w:val="right"/>
            </w:pPr>
          </w:p>
        </w:tc>
        <w:tc>
          <w:tcPr>
            <w:tcW w:w="810" w:type="dxa"/>
            <w:tcBorders>
              <w:top w:val="single" w:sz="4" w:space="0" w:color="000000"/>
              <w:bottom w:val="nil"/>
            </w:tcBorders>
          </w:tcPr>
          <w:p w14:paraId="6E4D2F2D" w14:textId="77777777" w:rsidR="00266BEE" w:rsidRPr="001F3926" w:rsidRDefault="00266BEE" w:rsidP="00E82294">
            <w:pPr>
              <w:pStyle w:val="TableText"/>
              <w:jc w:val="right"/>
            </w:pPr>
          </w:p>
        </w:tc>
        <w:tc>
          <w:tcPr>
            <w:tcW w:w="955" w:type="dxa"/>
            <w:tcBorders>
              <w:top w:val="single" w:sz="4" w:space="0" w:color="000000"/>
              <w:bottom w:val="nil"/>
            </w:tcBorders>
          </w:tcPr>
          <w:p w14:paraId="2217D599" w14:textId="77777777" w:rsidR="00266BEE" w:rsidRPr="001F3926" w:rsidRDefault="00266BEE" w:rsidP="00E82294">
            <w:pPr>
              <w:pStyle w:val="TableText"/>
              <w:jc w:val="right"/>
            </w:pPr>
          </w:p>
        </w:tc>
        <w:tc>
          <w:tcPr>
            <w:tcW w:w="575" w:type="dxa"/>
            <w:tcBorders>
              <w:top w:val="single" w:sz="4" w:space="0" w:color="000000"/>
              <w:bottom w:val="nil"/>
            </w:tcBorders>
          </w:tcPr>
          <w:p w14:paraId="076A18FD" w14:textId="77777777" w:rsidR="00266BEE" w:rsidRPr="001F3926" w:rsidRDefault="00266BEE" w:rsidP="00E82294">
            <w:pPr>
              <w:pStyle w:val="TableText"/>
              <w:jc w:val="right"/>
            </w:pPr>
          </w:p>
        </w:tc>
        <w:tc>
          <w:tcPr>
            <w:tcW w:w="810" w:type="dxa"/>
            <w:tcBorders>
              <w:top w:val="single" w:sz="4" w:space="0" w:color="000000"/>
              <w:bottom w:val="nil"/>
            </w:tcBorders>
          </w:tcPr>
          <w:p w14:paraId="0C4D638D" w14:textId="77777777" w:rsidR="00266BEE" w:rsidRPr="001F3926" w:rsidRDefault="00266BEE" w:rsidP="00E82294">
            <w:pPr>
              <w:pStyle w:val="TableText"/>
              <w:jc w:val="right"/>
            </w:pPr>
          </w:p>
        </w:tc>
        <w:tc>
          <w:tcPr>
            <w:tcW w:w="875" w:type="dxa"/>
            <w:tcBorders>
              <w:top w:val="single" w:sz="4" w:space="0" w:color="000000"/>
              <w:bottom w:val="nil"/>
            </w:tcBorders>
          </w:tcPr>
          <w:p w14:paraId="0FF0D033" w14:textId="77777777" w:rsidR="00266BEE" w:rsidRPr="001F3926" w:rsidRDefault="00266BEE" w:rsidP="00E82294">
            <w:pPr>
              <w:pStyle w:val="TableText"/>
              <w:jc w:val="right"/>
            </w:pPr>
          </w:p>
        </w:tc>
      </w:tr>
      <w:tr w:rsidR="00E82294" w:rsidRPr="001F3926" w14:paraId="149AE662"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546" w:type="dxa"/>
            <w:tcBorders>
              <w:top w:val="nil"/>
            </w:tcBorders>
          </w:tcPr>
          <w:p w14:paraId="725574DB" w14:textId="77777777" w:rsidR="00266BEE" w:rsidRPr="001F3926" w:rsidRDefault="00266BEE" w:rsidP="00E82294">
            <w:pPr>
              <w:pStyle w:val="TableText"/>
            </w:pPr>
            <w:r w:rsidRPr="001F3926">
              <w:t xml:space="preserve">Above screening cut-off </w:t>
            </w:r>
          </w:p>
        </w:tc>
        <w:tc>
          <w:tcPr>
            <w:tcW w:w="539" w:type="dxa"/>
            <w:tcBorders>
              <w:top w:val="nil"/>
            </w:tcBorders>
          </w:tcPr>
          <w:p w14:paraId="5370DA43" w14:textId="77777777" w:rsidR="00266BEE" w:rsidRPr="001F3926" w:rsidRDefault="00266BEE" w:rsidP="00E82294">
            <w:pPr>
              <w:pStyle w:val="TableText"/>
              <w:jc w:val="right"/>
            </w:pPr>
            <w:r w:rsidRPr="001F3926">
              <w:rPr>
                <w:rFonts w:cs="Arial"/>
              </w:rPr>
              <w:t>429</w:t>
            </w:r>
          </w:p>
        </w:tc>
        <w:tc>
          <w:tcPr>
            <w:tcW w:w="748" w:type="dxa"/>
            <w:tcBorders>
              <w:top w:val="nil"/>
            </w:tcBorders>
          </w:tcPr>
          <w:p w14:paraId="2B721AFA" w14:textId="77777777" w:rsidR="00266BEE" w:rsidRPr="001F3926" w:rsidRDefault="00266BEE" w:rsidP="00E82294">
            <w:pPr>
              <w:pStyle w:val="TableText"/>
              <w:jc w:val="right"/>
            </w:pPr>
            <w:r w:rsidRPr="001F3926">
              <w:rPr>
                <w:rFonts w:cs="Arial"/>
              </w:rPr>
              <w:t>3338</w:t>
            </w:r>
          </w:p>
        </w:tc>
        <w:tc>
          <w:tcPr>
            <w:tcW w:w="972" w:type="dxa"/>
            <w:tcBorders>
              <w:top w:val="nil"/>
            </w:tcBorders>
          </w:tcPr>
          <w:p w14:paraId="5381AC1B" w14:textId="77777777" w:rsidR="00266BEE" w:rsidRPr="001F3926" w:rsidRDefault="00266BEE" w:rsidP="00E82294">
            <w:pPr>
              <w:pStyle w:val="TableText"/>
              <w:jc w:val="right"/>
            </w:pPr>
            <w:r w:rsidRPr="001F3926">
              <w:rPr>
                <w:rFonts w:cs="Arial"/>
              </w:rPr>
              <w:t>59.4 (55.0</w:t>
            </w:r>
            <w:r w:rsidR="00E82294" w:rsidRPr="001F3926">
              <w:rPr>
                <w:rFonts w:cs="Arial"/>
              </w:rPr>
              <w:t>, </w:t>
            </w:r>
            <w:r w:rsidRPr="001F3926">
              <w:rPr>
                <w:rFonts w:cs="Arial"/>
              </w:rPr>
              <w:t>63.7)</w:t>
            </w:r>
          </w:p>
        </w:tc>
        <w:tc>
          <w:tcPr>
            <w:tcW w:w="530" w:type="dxa"/>
            <w:tcBorders>
              <w:top w:val="nil"/>
            </w:tcBorders>
          </w:tcPr>
          <w:p w14:paraId="30B465FF" w14:textId="77777777" w:rsidR="00266BEE" w:rsidRPr="001F3926" w:rsidRDefault="00266BEE" w:rsidP="00E82294">
            <w:pPr>
              <w:pStyle w:val="TableText"/>
              <w:jc w:val="right"/>
            </w:pPr>
            <w:r w:rsidRPr="001F3926">
              <w:rPr>
                <w:rFonts w:cs="Arial"/>
              </w:rPr>
              <w:t>329</w:t>
            </w:r>
          </w:p>
        </w:tc>
        <w:tc>
          <w:tcPr>
            <w:tcW w:w="810" w:type="dxa"/>
            <w:tcBorders>
              <w:top w:val="nil"/>
            </w:tcBorders>
          </w:tcPr>
          <w:p w14:paraId="13B9A77B" w14:textId="77777777" w:rsidR="00266BEE" w:rsidRPr="001F3926" w:rsidRDefault="00266BEE" w:rsidP="00E82294">
            <w:pPr>
              <w:pStyle w:val="TableText"/>
              <w:jc w:val="right"/>
            </w:pPr>
            <w:r w:rsidRPr="001F3926">
              <w:rPr>
                <w:rFonts w:cs="Arial"/>
              </w:rPr>
              <w:t>2258</w:t>
            </w:r>
          </w:p>
        </w:tc>
        <w:tc>
          <w:tcPr>
            <w:tcW w:w="855" w:type="dxa"/>
            <w:tcBorders>
              <w:top w:val="nil"/>
            </w:tcBorders>
          </w:tcPr>
          <w:p w14:paraId="545AC3DE" w14:textId="77777777" w:rsidR="00266BEE" w:rsidRPr="001F3926" w:rsidRDefault="00266BEE" w:rsidP="00E82294">
            <w:pPr>
              <w:pStyle w:val="TableText"/>
              <w:jc w:val="right"/>
            </w:pPr>
            <w:r w:rsidRPr="001F3926">
              <w:rPr>
                <w:rFonts w:cs="Arial"/>
              </w:rPr>
              <w:t>40.2 (36.0</w:t>
            </w:r>
            <w:r w:rsidR="00E82294" w:rsidRPr="001F3926">
              <w:rPr>
                <w:rFonts w:cs="Arial"/>
              </w:rPr>
              <w:t>, </w:t>
            </w:r>
            <w:r w:rsidRPr="001F3926">
              <w:rPr>
                <w:rFonts w:cs="Arial"/>
              </w:rPr>
              <w:t>44.6)</w:t>
            </w:r>
          </w:p>
        </w:tc>
        <w:tc>
          <w:tcPr>
            <w:tcW w:w="495" w:type="dxa"/>
            <w:tcBorders>
              <w:top w:val="nil"/>
            </w:tcBorders>
          </w:tcPr>
          <w:p w14:paraId="3918FF9B" w14:textId="77777777" w:rsidR="00266BEE" w:rsidRPr="001F3926" w:rsidRDefault="00266BEE" w:rsidP="00E82294">
            <w:pPr>
              <w:pStyle w:val="TableText"/>
              <w:jc w:val="right"/>
            </w:pPr>
            <w:r w:rsidRPr="001F3926">
              <w:rPr>
                <w:rFonts w:cs="Arial"/>
              </w:rPr>
              <w:t>1193</w:t>
            </w:r>
          </w:p>
        </w:tc>
        <w:tc>
          <w:tcPr>
            <w:tcW w:w="810" w:type="dxa"/>
            <w:tcBorders>
              <w:top w:val="nil"/>
            </w:tcBorders>
          </w:tcPr>
          <w:p w14:paraId="0F129CA0" w14:textId="77777777" w:rsidR="00266BEE" w:rsidRPr="001F3926" w:rsidRDefault="00266BEE" w:rsidP="00E82294">
            <w:pPr>
              <w:pStyle w:val="TableText"/>
              <w:jc w:val="right"/>
            </w:pPr>
            <w:r w:rsidRPr="001F3926">
              <w:rPr>
                <w:rFonts w:cs="Arial"/>
              </w:rPr>
              <w:t>7076</w:t>
            </w:r>
          </w:p>
        </w:tc>
        <w:tc>
          <w:tcPr>
            <w:tcW w:w="955" w:type="dxa"/>
            <w:tcBorders>
              <w:top w:val="nil"/>
            </w:tcBorders>
          </w:tcPr>
          <w:p w14:paraId="580F6C42" w14:textId="77777777" w:rsidR="00266BEE" w:rsidRPr="001F3926" w:rsidRDefault="00266BEE" w:rsidP="00E82294">
            <w:pPr>
              <w:pStyle w:val="TableText"/>
              <w:jc w:val="right"/>
            </w:pPr>
            <w:r w:rsidRPr="001F3926">
              <w:rPr>
                <w:rFonts w:cs="Arial"/>
              </w:rPr>
              <w:t>59.9 (44.0</w:t>
            </w:r>
            <w:r w:rsidR="00E82294" w:rsidRPr="001F3926">
              <w:rPr>
                <w:rFonts w:cs="Arial"/>
              </w:rPr>
              <w:t>, </w:t>
            </w:r>
            <w:r w:rsidRPr="001F3926">
              <w:rPr>
                <w:rFonts w:cs="Arial"/>
              </w:rPr>
              <w:t>73.9)</w:t>
            </w:r>
          </w:p>
        </w:tc>
        <w:tc>
          <w:tcPr>
            <w:tcW w:w="575" w:type="dxa"/>
            <w:tcBorders>
              <w:top w:val="nil"/>
            </w:tcBorders>
          </w:tcPr>
          <w:p w14:paraId="62B8FA6A" w14:textId="77777777" w:rsidR="00266BEE" w:rsidRPr="001F3926" w:rsidRDefault="00266BEE" w:rsidP="00E82294">
            <w:pPr>
              <w:pStyle w:val="TableText"/>
              <w:jc w:val="right"/>
            </w:pPr>
            <w:r w:rsidRPr="001F3926">
              <w:rPr>
                <w:rFonts w:cs="Arial"/>
              </w:rPr>
              <w:t>229</w:t>
            </w:r>
          </w:p>
        </w:tc>
        <w:tc>
          <w:tcPr>
            <w:tcW w:w="810" w:type="dxa"/>
            <w:tcBorders>
              <w:top w:val="nil"/>
            </w:tcBorders>
          </w:tcPr>
          <w:p w14:paraId="6D6B9790" w14:textId="77777777" w:rsidR="00266BEE" w:rsidRPr="001F3926" w:rsidRDefault="00266BEE" w:rsidP="00E82294">
            <w:pPr>
              <w:pStyle w:val="TableText"/>
              <w:jc w:val="right"/>
            </w:pPr>
            <w:r w:rsidRPr="001F3926">
              <w:rPr>
                <w:rFonts w:cs="Arial"/>
              </w:rPr>
              <w:t>1931</w:t>
            </w:r>
          </w:p>
        </w:tc>
        <w:tc>
          <w:tcPr>
            <w:tcW w:w="875" w:type="dxa"/>
            <w:tcBorders>
              <w:top w:val="nil"/>
            </w:tcBorders>
          </w:tcPr>
          <w:p w14:paraId="53A24E19" w14:textId="77777777" w:rsidR="00266BEE" w:rsidRPr="001F3926" w:rsidRDefault="00266BEE" w:rsidP="00E82294">
            <w:pPr>
              <w:pStyle w:val="TableText"/>
              <w:jc w:val="right"/>
            </w:pPr>
            <w:r w:rsidRPr="001F3926">
              <w:rPr>
                <w:rFonts w:cs="Arial"/>
              </w:rPr>
              <w:t>39.5 (25.5</w:t>
            </w:r>
            <w:r w:rsidR="00E82294" w:rsidRPr="001F3926">
              <w:rPr>
                <w:rFonts w:cs="Arial"/>
              </w:rPr>
              <w:t>, </w:t>
            </w:r>
            <w:r w:rsidRPr="001F3926">
              <w:rPr>
                <w:rFonts w:cs="Arial"/>
              </w:rPr>
              <w:t>55.4)</w:t>
            </w:r>
          </w:p>
        </w:tc>
      </w:tr>
      <w:tr w:rsidR="00E82294" w:rsidRPr="00611E53" w14:paraId="156E921C" w14:textId="77777777" w:rsidTr="00E82294">
        <w:trPr>
          <w:cantSplit/>
        </w:trPr>
        <w:tc>
          <w:tcPr>
            <w:tcW w:w="2546" w:type="dxa"/>
          </w:tcPr>
          <w:p w14:paraId="1584F427" w14:textId="77777777" w:rsidR="00266BEE" w:rsidRPr="001F3926" w:rsidRDefault="00266BEE" w:rsidP="00E82294">
            <w:pPr>
              <w:pStyle w:val="TableText"/>
            </w:pPr>
            <w:r w:rsidRPr="001F3926">
              <w:t xml:space="preserve">Below screening cut-off </w:t>
            </w:r>
          </w:p>
        </w:tc>
        <w:tc>
          <w:tcPr>
            <w:tcW w:w="539" w:type="dxa"/>
          </w:tcPr>
          <w:p w14:paraId="289738A3" w14:textId="77777777" w:rsidR="00266BEE" w:rsidRPr="001F3926" w:rsidRDefault="00266BEE" w:rsidP="00E82294">
            <w:pPr>
              <w:pStyle w:val="TableText"/>
              <w:jc w:val="right"/>
            </w:pPr>
            <w:r w:rsidRPr="001F3926">
              <w:rPr>
                <w:rFonts w:cs="Arial"/>
              </w:rPr>
              <w:t>2217</w:t>
            </w:r>
          </w:p>
        </w:tc>
        <w:tc>
          <w:tcPr>
            <w:tcW w:w="748" w:type="dxa"/>
          </w:tcPr>
          <w:p w14:paraId="4C648F18" w14:textId="77777777" w:rsidR="00266BEE" w:rsidRPr="001F3926" w:rsidRDefault="00266BEE" w:rsidP="00E82294">
            <w:pPr>
              <w:pStyle w:val="TableText"/>
              <w:jc w:val="right"/>
            </w:pPr>
            <w:r w:rsidRPr="001F3926">
              <w:rPr>
                <w:rFonts w:cs="Arial"/>
              </w:rPr>
              <w:t>15,161</w:t>
            </w:r>
          </w:p>
        </w:tc>
        <w:tc>
          <w:tcPr>
            <w:tcW w:w="972" w:type="dxa"/>
          </w:tcPr>
          <w:p w14:paraId="48D2694E" w14:textId="77777777" w:rsidR="00266BEE" w:rsidRPr="001F3926" w:rsidRDefault="00266BEE" w:rsidP="00E82294">
            <w:pPr>
              <w:pStyle w:val="TableText"/>
              <w:jc w:val="right"/>
            </w:pPr>
            <w:r w:rsidRPr="001F3926">
              <w:rPr>
                <w:rFonts w:cs="Arial"/>
              </w:rPr>
              <w:t>79.4 (77.3</w:t>
            </w:r>
            <w:r w:rsidR="00E82294" w:rsidRPr="001F3926">
              <w:rPr>
                <w:rFonts w:cs="Arial"/>
              </w:rPr>
              <w:t>, </w:t>
            </w:r>
            <w:r w:rsidRPr="001F3926">
              <w:rPr>
                <w:rFonts w:cs="Arial"/>
              </w:rPr>
              <w:t>81.3)</w:t>
            </w:r>
          </w:p>
        </w:tc>
        <w:tc>
          <w:tcPr>
            <w:tcW w:w="530" w:type="dxa"/>
          </w:tcPr>
          <w:p w14:paraId="4B1EAA28" w14:textId="77777777" w:rsidR="00266BEE" w:rsidRPr="001F3926" w:rsidRDefault="00266BEE" w:rsidP="00E82294">
            <w:pPr>
              <w:pStyle w:val="TableText"/>
              <w:jc w:val="right"/>
            </w:pPr>
            <w:r w:rsidRPr="001F3926">
              <w:rPr>
                <w:rFonts w:cs="Arial"/>
              </w:rPr>
              <w:t>521</w:t>
            </w:r>
          </w:p>
        </w:tc>
        <w:tc>
          <w:tcPr>
            <w:tcW w:w="810" w:type="dxa"/>
          </w:tcPr>
          <w:p w14:paraId="72728BAE" w14:textId="77777777" w:rsidR="00266BEE" w:rsidRPr="001F3926" w:rsidRDefault="00266BEE" w:rsidP="00E82294">
            <w:pPr>
              <w:pStyle w:val="TableText"/>
              <w:jc w:val="right"/>
            </w:pPr>
            <w:r w:rsidRPr="001F3926">
              <w:rPr>
                <w:rFonts w:cs="Arial"/>
              </w:rPr>
              <w:t>3815</w:t>
            </w:r>
          </w:p>
        </w:tc>
        <w:tc>
          <w:tcPr>
            <w:tcW w:w="855" w:type="dxa"/>
          </w:tcPr>
          <w:p w14:paraId="2F659988" w14:textId="77777777" w:rsidR="00266BEE" w:rsidRPr="001F3926" w:rsidRDefault="00266BEE" w:rsidP="00E82294">
            <w:pPr>
              <w:pStyle w:val="TableText"/>
              <w:jc w:val="right"/>
            </w:pPr>
            <w:r w:rsidRPr="001F3926">
              <w:rPr>
                <w:rFonts w:cs="Arial"/>
              </w:rPr>
              <w:t>20.0 (18.1</w:t>
            </w:r>
            <w:r w:rsidR="00E82294" w:rsidRPr="001F3926">
              <w:rPr>
                <w:rFonts w:cs="Arial"/>
              </w:rPr>
              <w:t>, </w:t>
            </w:r>
            <w:r w:rsidRPr="001F3926">
              <w:rPr>
                <w:rFonts w:cs="Arial"/>
              </w:rPr>
              <w:t>22.0)</w:t>
            </w:r>
          </w:p>
        </w:tc>
        <w:tc>
          <w:tcPr>
            <w:tcW w:w="495" w:type="dxa"/>
          </w:tcPr>
          <w:p w14:paraId="67BFD20B" w14:textId="77777777" w:rsidR="00266BEE" w:rsidRPr="001F3926" w:rsidRDefault="00266BEE" w:rsidP="00E82294">
            <w:pPr>
              <w:pStyle w:val="TableText"/>
              <w:jc w:val="right"/>
            </w:pPr>
            <w:r w:rsidRPr="001F3926">
              <w:rPr>
                <w:rFonts w:cs="Arial"/>
              </w:rPr>
              <w:t>5484</w:t>
            </w:r>
          </w:p>
        </w:tc>
        <w:tc>
          <w:tcPr>
            <w:tcW w:w="810" w:type="dxa"/>
          </w:tcPr>
          <w:p w14:paraId="44E9CF74" w14:textId="77777777" w:rsidR="00266BEE" w:rsidRPr="001F3926" w:rsidRDefault="00266BEE" w:rsidP="00E82294">
            <w:pPr>
              <w:pStyle w:val="TableText"/>
              <w:jc w:val="right"/>
            </w:pPr>
            <w:r w:rsidRPr="001F3926">
              <w:rPr>
                <w:rFonts w:cs="Arial"/>
              </w:rPr>
              <w:t>39,860</w:t>
            </w:r>
          </w:p>
        </w:tc>
        <w:tc>
          <w:tcPr>
            <w:tcW w:w="955" w:type="dxa"/>
          </w:tcPr>
          <w:p w14:paraId="58C87EB7" w14:textId="77777777" w:rsidR="00266BEE" w:rsidRPr="001F3926" w:rsidRDefault="00266BEE" w:rsidP="00E82294">
            <w:pPr>
              <w:pStyle w:val="TableText"/>
              <w:jc w:val="right"/>
            </w:pPr>
            <w:r w:rsidRPr="001F3926">
              <w:rPr>
                <w:rFonts w:cs="Arial"/>
              </w:rPr>
              <w:t>84.3 (81.3</w:t>
            </w:r>
            <w:r w:rsidR="00E82294" w:rsidRPr="001F3926">
              <w:rPr>
                <w:rFonts w:cs="Arial"/>
              </w:rPr>
              <w:t>, </w:t>
            </w:r>
            <w:r w:rsidRPr="001F3926">
              <w:rPr>
                <w:rFonts w:cs="Arial"/>
              </w:rPr>
              <w:t>86.9)</w:t>
            </w:r>
          </w:p>
        </w:tc>
        <w:tc>
          <w:tcPr>
            <w:tcW w:w="575" w:type="dxa"/>
          </w:tcPr>
          <w:p w14:paraId="1EB209B3" w14:textId="77777777" w:rsidR="00266BEE" w:rsidRPr="001F3926" w:rsidRDefault="00266BEE" w:rsidP="00E82294">
            <w:pPr>
              <w:pStyle w:val="TableText"/>
              <w:jc w:val="right"/>
            </w:pPr>
            <w:r w:rsidRPr="001F3926">
              <w:rPr>
                <w:rFonts w:cs="Arial"/>
              </w:rPr>
              <w:t>1193</w:t>
            </w:r>
          </w:p>
        </w:tc>
        <w:tc>
          <w:tcPr>
            <w:tcW w:w="810" w:type="dxa"/>
          </w:tcPr>
          <w:p w14:paraId="2F2ADBFD" w14:textId="77777777" w:rsidR="00266BEE" w:rsidRPr="001F3926" w:rsidRDefault="00266BEE" w:rsidP="00E82294">
            <w:pPr>
              <w:pStyle w:val="TableText"/>
              <w:jc w:val="right"/>
            </w:pPr>
            <w:r w:rsidRPr="001F3926">
              <w:rPr>
                <w:rFonts w:cs="Arial"/>
              </w:rPr>
              <w:t>7076</w:t>
            </w:r>
          </w:p>
        </w:tc>
        <w:tc>
          <w:tcPr>
            <w:tcW w:w="875" w:type="dxa"/>
          </w:tcPr>
          <w:p w14:paraId="1A464916" w14:textId="77777777" w:rsidR="00266BEE" w:rsidRPr="001F3926" w:rsidRDefault="00266BEE" w:rsidP="00E82294">
            <w:pPr>
              <w:pStyle w:val="TableText"/>
              <w:jc w:val="right"/>
            </w:pPr>
            <w:r w:rsidRPr="001F3926">
              <w:rPr>
                <w:rFonts w:cs="Arial"/>
              </w:rPr>
              <w:t>15.0 (12.4</w:t>
            </w:r>
            <w:r w:rsidR="00E82294" w:rsidRPr="001F3926">
              <w:rPr>
                <w:rFonts w:cs="Arial"/>
              </w:rPr>
              <w:t>, </w:t>
            </w:r>
            <w:r w:rsidRPr="001F3926">
              <w:rPr>
                <w:rFonts w:cs="Arial"/>
              </w:rPr>
              <w:t>17.9)</w:t>
            </w:r>
          </w:p>
        </w:tc>
      </w:tr>
    </w:tbl>
    <w:p w14:paraId="4DE7E9BA" w14:textId="77777777" w:rsidR="00266BEE" w:rsidRPr="006A3EA0" w:rsidRDefault="00266BEE" w:rsidP="00266BEE">
      <w:pPr>
        <w:pStyle w:val="TableNotes"/>
      </w:pPr>
      <w:r>
        <w:t>Notes</w:t>
      </w:r>
    </w:p>
    <w:p w14:paraId="54FE6F31" w14:textId="77777777" w:rsidR="00266BEE" w:rsidRPr="007E66F4" w:rsidRDefault="00266BEE" w:rsidP="00266BEE">
      <w:pPr>
        <w:pStyle w:val="TableNotes"/>
      </w:pPr>
      <w:r>
        <w:t>Denominator: Entire cohort.</w:t>
      </w:r>
    </w:p>
    <w:p w14:paraId="3FFC96D9" w14:textId="77777777" w:rsidR="00266BEE" w:rsidRDefault="00266BEE" w:rsidP="00266BEE">
      <w:pPr>
        <w:pStyle w:val="TableNotes"/>
      </w:pPr>
      <w:r w:rsidRPr="00C85B62">
        <w:t>Proportions may not add up to 100% due to rounding and missing values. However, distributions are calculated by including those with a missing value to allow for correct weighted totals.</w:t>
      </w:r>
      <w:r w:rsidRPr="00C72931">
        <w:t xml:space="preserve"> </w:t>
      </w:r>
    </w:p>
    <w:p w14:paraId="5833D9D3" w14:textId="77777777" w:rsidR="00266BEE" w:rsidRDefault="00266BEE" w:rsidP="00266BEE">
      <w:pPr>
        <w:pStyle w:val="TableNotes"/>
      </w:pPr>
      <w:r>
        <w:t>95%CI = 95% confidence interval.</w:t>
      </w:r>
    </w:p>
    <w:p w14:paraId="58384912" w14:textId="77777777" w:rsidR="00B926FE" w:rsidRDefault="00B926FE" w:rsidP="00B926FE"/>
    <w:p w14:paraId="02581414" w14:textId="77777777" w:rsidR="00B926FE" w:rsidRDefault="00B926FE" w:rsidP="00B926FE">
      <w:pPr>
        <w:sectPr w:rsidR="00B926FE" w:rsidSect="00980AE4">
          <w:footerReference w:type="even" r:id="rId108"/>
          <w:footerReference w:type="default" r:id="rId109"/>
          <w:pgSz w:w="14170" w:h="9979" w:orient="landscape" w:code="243"/>
          <w:pgMar w:top="1872" w:right="1440" w:bottom="1152" w:left="1440" w:header="576" w:footer="576" w:gutter="0"/>
          <w:cols w:space="708"/>
          <w:docGrid w:linePitch="360"/>
        </w:sectPr>
      </w:pPr>
    </w:p>
    <w:p w14:paraId="08070342" w14:textId="77777777" w:rsidR="00266BEE" w:rsidRPr="007E66F4" w:rsidRDefault="00266BEE" w:rsidP="00266BEE">
      <w:pPr>
        <w:pStyle w:val="Heading4"/>
      </w:pPr>
      <w:r w:rsidRPr="007E66F4">
        <w:t>PTSD</w:t>
      </w:r>
    </w:p>
    <w:p w14:paraId="1014B31A" w14:textId="77777777" w:rsidR="00266BEE" w:rsidRDefault="00266BEE" w:rsidP="00266BEE">
      <w:r>
        <w:t>A</w:t>
      </w:r>
      <w:r w:rsidRPr="00B007BE">
        <w:t>mong the Transitioned ADF with probable PTSD</w:t>
      </w:r>
      <w:r>
        <w:t>,</w:t>
      </w:r>
      <w:r w:rsidRPr="00B007BE">
        <w:t xml:space="preserve"> 41.4% report</w:t>
      </w:r>
      <w:r>
        <w:t>ed</w:t>
      </w:r>
      <w:r w:rsidRPr="00B007BE">
        <w:t xml:space="preserve"> using the </w:t>
      </w:r>
      <w:r>
        <w:t>internet</w:t>
      </w:r>
      <w:r w:rsidRPr="00B007BE">
        <w:t xml:space="preserve"> </w:t>
      </w:r>
      <w:r>
        <w:t>to seek help or information for or to manage mental health issues</w:t>
      </w:r>
      <w:r w:rsidRPr="00B007BE">
        <w:t xml:space="preserve">, followed by 33.9% </w:t>
      </w:r>
      <w:r>
        <w:t>for</w:t>
      </w:r>
      <w:r w:rsidRPr="00B007BE">
        <w:t xml:space="preserve"> those with </w:t>
      </w:r>
      <w:r w:rsidR="007155C2">
        <w:rPr>
          <w:rFonts w:asciiTheme="minorHAnsi" w:hAnsiTheme="minorHAnsi"/>
          <w:szCs w:val="22"/>
        </w:rPr>
        <w:t>subsyndromal</w:t>
      </w:r>
      <w:r>
        <w:rPr>
          <w:rFonts w:asciiTheme="minorHAnsi" w:hAnsiTheme="minorHAnsi"/>
          <w:szCs w:val="22"/>
        </w:rPr>
        <w:t xml:space="preserve"> </w:t>
      </w:r>
      <w:r w:rsidRPr="00B007BE">
        <w:t>PTSD</w:t>
      </w:r>
      <w:r>
        <w:t xml:space="preserve"> and 16.4% for those without PTSD. For the</w:t>
      </w:r>
      <w:r w:rsidRPr="00B007BE">
        <w:t xml:space="preserve"> 2015 Regular ADF, 42.4% of those with probable PTSD, 29.7% of those with </w:t>
      </w:r>
      <w:r w:rsidR="007155C2">
        <w:rPr>
          <w:rFonts w:asciiTheme="minorHAnsi" w:hAnsiTheme="minorHAnsi"/>
          <w:szCs w:val="22"/>
        </w:rPr>
        <w:t>subsyndromal</w:t>
      </w:r>
      <w:r w:rsidRPr="00B007BE">
        <w:t xml:space="preserve"> PTSD and 13.3% of those with no PTSD </w:t>
      </w:r>
      <w:r>
        <w:t xml:space="preserve">reported </w:t>
      </w:r>
      <w:r w:rsidRPr="00B007BE">
        <w:t xml:space="preserve">using the </w:t>
      </w:r>
      <w:r>
        <w:t>internet</w:t>
      </w:r>
      <w:r w:rsidRPr="00B007BE">
        <w:t xml:space="preserve"> </w:t>
      </w:r>
      <w:r>
        <w:t xml:space="preserve">to seek help or information for or to manage mental health issues. Both Transitioned and 2015 Regular ADF members with no disorder (16.4% and 13.3% respectively) were less likely to report using the internet to seek help or information for, or manage, mental health issues than those with either </w:t>
      </w:r>
      <w:r w:rsidR="007155C2">
        <w:t>subsyndromal</w:t>
      </w:r>
      <w:r>
        <w:t xml:space="preserve"> (33.9% and 29.7% respectively) or probable PTSD (41.4% and 42.4% respectively).</w:t>
      </w:r>
    </w:p>
    <w:p w14:paraId="0527B8CB" w14:textId="77777777" w:rsidR="00266BEE" w:rsidRPr="007E66F4" w:rsidRDefault="00266BEE" w:rsidP="00266BEE">
      <w:pPr>
        <w:pStyle w:val="Heading4"/>
      </w:pPr>
      <w:r w:rsidRPr="007E66F4">
        <w:t>Anxiety/depression (K10)</w:t>
      </w:r>
    </w:p>
    <w:p w14:paraId="5FE8EB7E" w14:textId="77777777" w:rsidR="00266BEE" w:rsidRDefault="00266BEE" w:rsidP="00266BEE">
      <w:r>
        <w:t>A</w:t>
      </w:r>
      <w:r w:rsidRPr="00B007BE">
        <w:t>mong the Transitioned ADF</w:t>
      </w:r>
      <w:r>
        <w:t xml:space="preserve">, those with </w:t>
      </w:r>
      <w:r w:rsidRPr="00B007BE">
        <w:t xml:space="preserve">probable </w:t>
      </w:r>
      <w:r>
        <w:t>anxiety/depression (38.1%) were more likely to report using the</w:t>
      </w:r>
      <w:r w:rsidRPr="008220B1">
        <w:t xml:space="preserve"> </w:t>
      </w:r>
      <w:r>
        <w:t>internet</w:t>
      </w:r>
      <w:r w:rsidRPr="008220B1">
        <w:t xml:space="preserve"> </w:t>
      </w:r>
      <w:r>
        <w:t>to seek help or information for or to manage mental health issues</w:t>
      </w:r>
      <w:r w:rsidRPr="00B007BE">
        <w:t xml:space="preserve"> </w:t>
      </w:r>
      <w:r>
        <w:t xml:space="preserve">compared to those with </w:t>
      </w:r>
      <w:r w:rsidR="007155C2">
        <w:t>subsyndromal</w:t>
      </w:r>
      <w:r>
        <w:t xml:space="preserve"> anxiety/depression (29.4%) and those with no disorder (15.5%). In contrast, among the 2015</w:t>
      </w:r>
      <w:r w:rsidRPr="00B007BE">
        <w:t xml:space="preserve"> Regular ADF </w:t>
      </w:r>
      <w:r>
        <w:t>a different pattern emerged, whereby a</w:t>
      </w:r>
      <w:r w:rsidRPr="00B007BE">
        <w:t xml:space="preserve"> larger proportion of those with </w:t>
      </w:r>
      <w:r w:rsidR="007155C2">
        <w:rPr>
          <w:rFonts w:asciiTheme="minorHAnsi" w:hAnsiTheme="minorHAnsi"/>
          <w:szCs w:val="22"/>
        </w:rPr>
        <w:t>subsyndromal</w:t>
      </w:r>
      <w:r w:rsidRPr="00B007BE">
        <w:t xml:space="preserve"> </w:t>
      </w:r>
      <w:r>
        <w:t>anxiety/depression</w:t>
      </w:r>
      <w:r w:rsidRPr="00B007BE">
        <w:t xml:space="preserve"> reported using the </w:t>
      </w:r>
      <w:r>
        <w:t>internet</w:t>
      </w:r>
      <w:r w:rsidRPr="00B007BE">
        <w:t xml:space="preserve"> for mental health (29.8%) compared to those with </w:t>
      </w:r>
      <w:r>
        <w:t xml:space="preserve">probable disorder (21.4%) or </w:t>
      </w:r>
      <w:r w:rsidRPr="00B007BE">
        <w:t xml:space="preserve">no </w:t>
      </w:r>
      <w:r>
        <w:t xml:space="preserve">disorder </w:t>
      </w:r>
      <w:r w:rsidRPr="00B007BE">
        <w:t>(13.1%).</w:t>
      </w:r>
    </w:p>
    <w:p w14:paraId="059F3B9F" w14:textId="77777777" w:rsidR="00266BEE" w:rsidRPr="007E66F4" w:rsidRDefault="00266BEE" w:rsidP="00266BEE">
      <w:pPr>
        <w:pStyle w:val="Heading4"/>
      </w:pPr>
      <w:r w:rsidRPr="007E66F4">
        <w:t>Alcohol consumption and disorder</w:t>
      </w:r>
    </w:p>
    <w:p w14:paraId="48BF01B4" w14:textId="77777777" w:rsidR="00266BEE" w:rsidRDefault="00266BEE" w:rsidP="00266BEE">
      <w:r>
        <w:t>A</w:t>
      </w:r>
      <w:r w:rsidRPr="00B007BE">
        <w:t xml:space="preserve">mong the Transitioned ADF, </w:t>
      </w:r>
      <w:r>
        <w:t xml:space="preserve">those with </w:t>
      </w:r>
      <w:r w:rsidRPr="00B007BE">
        <w:t xml:space="preserve">probable </w:t>
      </w:r>
      <w:r>
        <w:t>alcohol disorder (40.4%) were more likely to report using the</w:t>
      </w:r>
      <w:r w:rsidRPr="008220B1">
        <w:t xml:space="preserve"> </w:t>
      </w:r>
      <w:r>
        <w:t>internet</w:t>
      </w:r>
      <w:r w:rsidRPr="008220B1">
        <w:t xml:space="preserve"> </w:t>
      </w:r>
      <w:r>
        <w:t>to seek help or information for or to manage mental health issues</w:t>
      </w:r>
      <w:r w:rsidRPr="00B007BE">
        <w:t xml:space="preserve"> </w:t>
      </w:r>
      <w:r>
        <w:t xml:space="preserve">compared with those with </w:t>
      </w:r>
      <w:r w:rsidR="007155C2">
        <w:t>subsyndromal</w:t>
      </w:r>
      <w:r>
        <w:t xml:space="preserve"> alcohol disorder (26.1%) and those with no disorder (22.4%). </w:t>
      </w:r>
      <w:r w:rsidRPr="00B007BE">
        <w:t xml:space="preserve">For the 2015 </w:t>
      </w:r>
      <w:r>
        <w:t>R</w:t>
      </w:r>
      <w:r w:rsidRPr="00B007BE">
        <w:t xml:space="preserve">egular ADF, there was </w:t>
      </w:r>
      <w:r>
        <w:t xml:space="preserve">no </w:t>
      </w:r>
      <w:r w:rsidRPr="00B007BE">
        <w:t xml:space="preserve">difference in the proportions of those with probable (20.6%), </w:t>
      </w:r>
      <w:r w:rsidR="007155C2">
        <w:rPr>
          <w:rFonts w:asciiTheme="minorHAnsi" w:hAnsiTheme="minorHAnsi"/>
          <w:szCs w:val="22"/>
        </w:rPr>
        <w:t>subsyndromal</w:t>
      </w:r>
      <w:r w:rsidRPr="00B007BE">
        <w:t xml:space="preserve"> (16.9%) or no alcohol use disorder (17.3%) who reported using the </w:t>
      </w:r>
      <w:r>
        <w:t>internet</w:t>
      </w:r>
      <w:r w:rsidRPr="00B007BE">
        <w:t xml:space="preserve"> </w:t>
      </w:r>
      <w:r>
        <w:t>to seek help or information for or to manage mental health issues.</w:t>
      </w:r>
    </w:p>
    <w:p w14:paraId="62B1200B" w14:textId="77777777" w:rsidR="00266BEE" w:rsidRPr="007E66F4" w:rsidRDefault="00266BEE" w:rsidP="00266BEE">
      <w:pPr>
        <w:pStyle w:val="Heading4"/>
      </w:pPr>
      <w:r w:rsidRPr="007E66F4">
        <w:t>Depressive episodes</w:t>
      </w:r>
    </w:p>
    <w:p w14:paraId="4027350A" w14:textId="2A5D89A8" w:rsidR="00266BEE" w:rsidRDefault="00266BEE" w:rsidP="00266BEE">
      <w:r>
        <w:t>Among</w:t>
      </w:r>
      <w:r w:rsidRPr="00B007BE">
        <w:t xml:space="preserve"> the Transitioned ADF, </w:t>
      </w:r>
      <w:r>
        <w:t xml:space="preserve">those with </w:t>
      </w:r>
      <w:r w:rsidRPr="00B007BE">
        <w:t xml:space="preserve">probable </w:t>
      </w:r>
      <w:r>
        <w:t>depressive disorder (40.7%) were more likely to report using the</w:t>
      </w:r>
      <w:r w:rsidRPr="008220B1">
        <w:t xml:space="preserve"> </w:t>
      </w:r>
      <w:r>
        <w:t>internet</w:t>
      </w:r>
      <w:r w:rsidRPr="008220B1">
        <w:t xml:space="preserve"> </w:t>
      </w:r>
      <w:r>
        <w:t>to seek help or information for or to manage mental health issues</w:t>
      </w:r>
      <w:r w:rsidRPr="00B007BE">
        <w:t xml:space="preserve"> </w:t>
      </w:r>
      <w:r>
        <w:t xml:space="preserve">compared to those with </w:t>
      </w:r>
      <w:r w:rsidR="007155C2">
        <w:t>subsyndromal</w:t>
      </w:r>
      <w:r>
        <w:t xml:space="preserve"> disorder (31.2%) and those with no disorder (15.5%). </w:t>
      </w:r>
      <w:r w:rsidRPr="00B007BE">
        <w:t xml:space="preserve">Similarly, for the 2015 Regular ADF, </w:t>
      </w:r>
      <w:r>
        <w:t>35.8%</w:t>
      </w:r>
      <w:r w:rsidRPr="00B007BE">
        <w:t xml:space="preserve"> with probable 30</w:t>
      </w:r>
      <w:r w:rsidR="00E3264E">
        <w:noBreakHyphen/>
      </w:r>
      <w:r w:rsidRPr="00B007BE">
        <w:t>day depressive episodes</w:t>
      </w:r>
      <w:r>
        <w:t xml:space="preserve">, </w:t>
      </w:r>
      <w:r w:rsidRPr="00B007BE">
        <w:t>25.4</w:t>
      </w:r>
      <w:r>
        <w:t>%</w:t>
      </w:r>
      <w:r w:rsidRPr="00B007BE">
        <w:t xml:space="preserve"> with </w:t>
      </w:r>
      <w:r w:rsidR="007155C2">
        <w:rPr>
          <w:rFonts w:asciiTheme="minorHAnsi" w:hAnsiTheme="minorHAnsi"/>
          <w:szCs w:val="22"/>
        </w:rPr>
        <w:t>subsyndromal</w:t>
      </w:r>
      <w:r w:rsidRPr="00B007BE">
        <w:t xml:space="preserve"> symptoms </w:t>
      </w:r>
      <w:r>
        <w:t xml:space="preserve">and 12.1% without a </w:t>
      </w:r>
      <w:r w:rsidRPr="00B007BE">
        <w:t xml:space="preserve">depressive disorder reported using the </w:t>
      </w:r>
      <w:r>
        <w:t>internet</w:t>
      </w:r>
      <w:r w:rsidRPr="00B007BE">
        <w:t xml:space="preserve"> for mental health</w:t>
      </w:r>
      <w:r>
        <w:t xml:space="preserve">, with those with </w:t>
      </w:r>
      <w:r w:rsidR="007155C2">
        <w:t>subsyndromal</w:t>
      </w:r>
      <w:r>
        <w:t xml:space="preserve"> disorder more likely to use the internet to seek help or information for or to manage mental health issues than those with no disorder.</w:t>
      </w:r>
    </w:p>
    <w:p w14:paraId="3B2AA1D1" w14:textId="77777777" w:rsidR="00266BEE" w:rsidRPr="007E66F4" w:rsidRDefault="00266BEE" w:rsidP="00266BEE">
      <w:pPr>
        <w:pStyle w:val="Heading4"/>
      </w:pPr>
      <w:r w:rsidRPr="007E66F4">
        <w:t>Suicidality</w:t>
      </w:r>
    </w:p>
    <w:p w14:paraId="6D8E98F4" w14:textId="77777777" w:rsidR="00266BEE" w:rsidRDefault="00266BEE" w:rsidP="00266BEE">
      <w:r>
        <w:t>For both the Transitioned ADF and 2015 Regular ADF there were no differences in the proportion of individuals who used the internet to seek help or information or manage mental health issues based on self-reported 12-month suicidal ideation or behaviour. Approximately 40% of both the Transitioned ADF (41.2%) and 2015 Regular ADF (40.7%) members who had reported making a suicide plan in the last 12 months used the internet to manage mental health issues compared to 39.9% of Transitioned ADF and 27.9% of 2015 Regular ADF members who reported 12-month suicidal ideation. Almost 50% of the Transitioned ADF and 72.2% of the 2015 Regular ADF reported using the internet to seek help or information or manage mental health issues.</w:t>
      </w:r>
    </w:p>
    <w:p w14:paraId="128EB42A" w14:textId="77777777" w:rsidR="00266BEE" w:rsidRPr="00466534" w:rsidRDefault="00266BEE" w:rsidP="00266BEE">
      <w:pPr>
        <w:pStyle w:val="Heading4"/>
      </w:pPr>
      <w:r w:rsidRPr="007E66F4">
        <w:t>Generalised anxiety disorder</w:t>
      </w:r>
    </w:p>
    <w:p w14:paraId="07A27BEA" w14:textId="77777777" w:rsidR="00266BEE" w:rsidRDefault="00266BEE" w:rsidP="00266BEE">
      <w:r>
        <w:t>A</w:t>
      </w:r>
      <w:r w:rsidRPr="00B007BE">
        <w:t xml:space="preserve">mong both the Transitioned ADF and 2015 Regular ADF, a larger proportion of those screening above the cut-off </w:t>
      </w:r>
      <w:r>
        <w:t xml:space="preserve">for generalised anxiety </w:t>
      </w:r>
      <w:r w:rsidRPr="00B007BE">
        <w:t xml:space="preserve">reported using the </w:t>
      </w:r>
      <w:r>
        <w:t>internet</w:t>
      </w:r>
      <w:r w:rsidRPr="00B007BE">
        <w:t xml:space="preserve"> </w:t>
      </w:r>
      <w:r>
        <w:t>to seek help or information or manage mental health issues</w:t>
      </w:r>
      <w:r w:rsidRPr="00B007BE" w:rsidDel="00422D15">
        <w:t xml:space="preserve"> </w:t>
      </w:r>
      <w:r w:rsidRPr="00B007BE">
        <w:t>compared to below the cut-off (Transitioned ADF: 40.2% vs 20.0%; 2015 Regular ADF: 39.5% vs 15.0%).</w:t>
      </w:r>
    </w:p>
    <w:p w14:paraId="7F786C83" w14:textId="77777777" w:rsidR="00266BEE" w:rsidRPr="008A51EB" w:rsidRDefault="00266BEE" w:rsidP="00266BEE">
      <w:pPr>
        <w:pStyle w:val="Heading3"/>
        <w:numPr>
          <w:ilvl w:val="2"/>
          <w:numId w:val="1"/>
        </w:numPr>
      </w:pPr>
      <w:bookmarkStart w:id="991" w:name="_Toc518566439"/>
      <w:bookmarkStart w:id="992" w:name="_Toc528932717"/>
      <w:bookmarkStart w:id="993" w:name="_Toc531859254"/>
      <w:r w:rsidRPr="008A51EB">
        <w:t xml:space="preserve">Probable disorder according to the presence or absence of </w:t>
      </w:r>
      <w:r>
        <w:t xml:space="preserve">self-reported mental health </w:t>
      </w:r>
      <w:r w:rsidRPr="008A51EB">
        <w:t>stigmas</w:t>
      </w:r>
      <w:bookmarkEnd w:id="991"/>
      <w:bookmarkEnd w:id="992"/>
      <w:bookmarkEnd w:id="993"/>
      <w:r w:rsidRPr="008A51EB">
        <w:t xml:space="preserve"> </w:t>
      </w:r>
    </w:p>
    <w:p w14:paraId="49E7D9BF" w14:textId="77777777" w:rsidR="00266BEE" w:rsidRPr="00466534" w:rsidRDefault="00266BEE" w:rsidP="00266BEE">
      <w:r>
        <w:t xml:space="preserve">Table </w:t>
      </w:r>
      <w:r>
        <w:rPr>
          <w:noProof/>
        </w:rPr>
        <w:t>9</w:t>
      </w:r>
      <w:r>
        <w:t>.</w:t>
      </w:r>
      <w:r>
        <w:rPr>
          <w:noProof/>
        </w:rPr>
        <w:t>3</w:t>
      </w:r>
      <w:r>
        <w:t xml:space="preserve"> </w:t>
      </w:r>
      <w:r w:rsidRPr="00D111DE">
        <w:t xml:space="preserve">below presents the estimated proportion of Transitioned ADF and 2015 Regular ADF meeting </w:t>
      </w:r>
      <w:r>
        <w:t xml:space="preserve">the </w:t>
      </w:r>
      <w:r w:rsidRPr="00D111DE">
        <w:t>criteria for a probable 30</w:t>
      </w:r>
      <w:r>
        <w:t>-</w:t>
      </w:r>
      <w:r w:rsidRPr="00D111DE">
        <w:t xml:space="preserve">day disorder on key mental health outcomes who reported using the </w:t>
      </w:r>
      <w:r>
        <w:t>internet</w:t>
      </w:r>
      <w:r w:rsidRPr="00D111DE">
        <w:t xml:space="preserve"> </w:t>
      </w:r>
      <w:r>
        <w:t>to seek help or information or to manage mental health issues</w:t>
      </w:r>
      <w:r w:rsidRPr="00B007BE" w:rsidDel="00422D15">
        <w:t xml:space="preserve"> </w:t>
      </w:r>
      <w:r w:rsidRPr="00D111DE">
        <w:t xml:space="preserve">according to the presence or absence of </w:t>
      </w:r>
      <w:r>
        <w:t xml:space="preserve">mental health </w:t>
      </w:r>
      <w:r w:rsidRPr="00D111DE">
        <w:t>stigmas.</w:t>
      </w:r>
    </w:p>
    <w:p w14:paraId="5E994D7A" w14:textId="77777777" w:rsidR="00266BEE" w:rsidRPr="00D111DE" w:rsidRDefault="00266BEE" w:rsidP="00266BEE">
      <w:r>
        <w:t xml:space="preserve">Overall, there was no association between self-reported stigma and use of the internet to seek help or information or to manage mental health issues among Transitioned ADF and 2015 Regular ADF members with probable PTSD, alcohol disorder or generalised anxiety disorder or 12-month suicidal ideation and behaviour. </w:t>
      </w:r>
    </w:p>
    <w:p w14:paraId="3A3E1A09" w14:textId="77777777" w:rsidR="00266BEE" w:rsidRDefault="00266BEE" w:rsidP="00266BEE">
      <w:r>
        <w:t>Among those</w:t>
      </w:r>
      <w:r w:rsidRPr="00D111DE">
        <w:t xml:space="preserve"> with probable </w:t>
      </w:r>
      <w:r>
        <w:t>anxiety/depression on the K10 or a probable depressive episode according to the PHQ-9, however, Transitioned ADF who reported at least one mental health stigma (41.7% and 44.9%) were more likely to use the</w:t>
      </w:r>
      <w:r w:rsidRPr="008220B1">
        <w:t xml:space="preserve"> </w:t>
      </w:r>
      <w:r>
        <w:t>internet</w:t>
      </w:r>
      <w:r w:rsidRPr="008220B1">
        <w:t xml:space="preserve"> </w:t>
      </w:r>
      <w:r>
        <w:t>to seek help or information for or to manage mental health issues than those with no stigma (27.0% and 25.4% respectively).</w:t>
      </w:r>
    </w:p>
    <w:p w14:paraId="7B79A781" w14:textId="77777777" w:rsidR="00B926FE" w:rsidRDefault="00B926FE" w:rsidP="00B926FE"/>
    <w:p w14:paraId="051BF0B6" w14:textId="77777777" w:rsidR="00266BEE" w:rsidRDefault="00266BEE" w:rsidP="00B926FE">
      <w:pPr>
        <w:sectPr w:rsidR="00266BEE" w:rsidSect="00463E44">
          <w:footerReference w:type="even" r:id="rId110"/>
          <w:footerReference w:type="default" r:id="rId111"/>
          <w:pgSz w:w="9979" w:h="14170" w:code="243"/>
          <w:pgMar w:top="1440" w:right="1152" w:bottom="1440" w:left="1728" w:header="576" w:footer="576" w:gutter="0"/>
          <w:cols w:space="708"/>
          <w:docGrid w:linePitch="360"/>
        </w:sectPr>
      </w:pPr>
    </w:p>
    <w:p w14:paraId="1BEE1883" w14:textId="77777777" w:rsidR="00266BEE" w:rsidRDefault="00266BEE" w:rsidP="00266BEE">
      <w:pPr>
        <w:pStyle w:val="TableName"/>
      </w:pPr>
      <w:bookmarkStart w:id="994" w:name="_Toc531858033"/>
      <w:bookmarkStart w:id="995" w:name="_Ref510098390"/>
      <w:bookmarkStart w:id="996" w:name="_Ref517423758"/>
      <w:bookmarkStart w:id="997" w:name="_Toc515374678"/>
      <w:bookmarkStart w:id="998" w:name="_Toc528932354"/>
      <w:r>
        <w:t xml:space="preserve">Table </w:t>
      </w:r>
      <w:r>
        <w:rPr>
          <w:noProof/>
        </w:rPr>
        <w:t>9</w:t>
      </w:r>
      <w:r>
        <w:t>.</w:t>
      </w:r>
      <w:r>
        <w:rPr>
          <w:noProof/>
        </w:rPr>
        <w:t>3</w:t>
      </w:r>
      <w:r>
        <w:tab/>
        <w:t xml:space="preserve">Estimated proportion of Transitioned ADF and 2015 Regular ADF </w:t>
      </w:r>
      <w:r w:rsidRPr="000F78B9">
        <w:t xml:space="preserve">with a probable disorder who </w:t>
      </w:r>
      <w:r>
        <w:t>did</w:t>
      </w:r>
      <w:r w:rsidRPr="000F78B9">
        <w:t xml:space="preserve"> and </w:t>
      </w:r>
      <w:r>
        <w:t>did</w:t>
      </w:r>
      <w:r w:rsidRPr="000F78B9">
        <w:t xml:space="preserve"> not use the </w:t>
      </w:r>
      <w:r>
        <w:t>internet</w:t>
      </w:r>
      <w:r w:rsidRPr="000F78B9">
        <w:t xml:space="preserve"> </w:t>
      </w:r>
      <w:r>
        <w:t>for mental health broken down by</w:t>
      </w:r>
      <w:r w:rsidRPr="000F78B9">
        <w:t xml:space="preserve"> those with no </w:t>
      </w:r>
      <w:r>
        <w:t xml:space="preserve">mental health </w:t>
      </w:r>
      <w:r w:rsidRPr="000F78B9">
        <w:t>stigma and those with at least one stigma</w:t>
      </w:r>
      <w:bookmarkEnd w:id="994"/>
    </w:p>
    <w:bookmarkEnd w:id="995"/>
    <w:bookmarkEnd w:id="996"/>
    <w:bookmarkEnd w:id="997"/>
    <w:bookmarkEnd w:id="998"/>
    <w:tbl>
      <w:tblPr>
        <w:tblStyle w:val="TWRPTable"/>
        <w:tblW w:w="5000" w:type="pct"/>
        <w:tblLayout w:type="fixed"/>
        <w:tblLook w:val="0000" w:firstRow="0" w:lastRow="0" w:firstColumn="0" w:lastColumn="0" w:noHBand="0" w:noVBand="0"/>
        <w:tblDescription w:val="Table 9.3 Estimated proportion of Transitioned ADF and 2015 Regular ADF with a probable disorder who did and did not use the internet for mental health broken down by those with no mental health stigma and those with at least one stigma"/>
      </w:tblPr>
      <w:tblGrid>
        <w:gridCol w:w="2715"/>
        <w:gridCol w:w="467"/>
        <w:gridCol w:w="794"/>
        <w:gridCol w:w="855"/>
        <w:gridCol w:w="472"/>
        <w:gridCol w:w="795"/>
        <w:gridCol w:w="828"/>
        <w:gridCol w:w="499"/>
        <w:gridCol w:w="795"/>
        <w:gridCol w:w="800"/>
        <w:gridCol w:w="526"/>
        <w:gridCol w:w="795"/>
        <w:gridCol w:w="939"/>
      </w:tblGrid>
      <w:tr w:rsidR="00266BEE" w:rsidRPr="000F78B9" w14:paraId="18409BAA" w14:textId="77777777" w:rsidTr="00EF7D7F">
        <w:trPr>
          <w:cantSplit/>
          <w:tblHeader/>
        </w:trPr>
        <w:tc>
          <w:tcPr>
            <w:tcW w:w="2784" w:type="dxa"/>
            <w:tcBorders>
              <w:top w:val="single" w:sz="4" w:space="0" w:color="000000"/>
              <w:bottom w:val="nil"/>
            </w:tcBorders>
          </w:tcPr>
          <w:p w14:paraId="182F1B61" w14:textId="77777777" w:rsidR="00266BEE" w:rsidRPr="000F78B9" w:rsidRDefault="00266BEE" w:rsidP="00E82294">
            <w:pPr>
              <w:pStyle w:val="TableText"/>
            </w:pPr>
          </w:p>
        </w:tc>
        <w:tc>
          <w:tcPr>
            <w:tcW w:w="4288" w:type="dxa"/>
            <w:gridSpan w:val="6"/>
            <w:tcBorders>
              <w:top w:val="single" w:sz="4" w:space="0" w:color="000000"/>
              <w:bottom w:val="single" w:sz="4" w:space="0" w:color="000000"/>
            </w:tcBorders>
          </w:tcPr>
          <w:p w14:paraId="623A1E25" w14:textId="77777777" w:rsidR="00266BEE" w:rsidRPr="00924E53" w:rsidRDefault="00266BEE" w:rsidP="00E82294">
            <w:pPr>
              <w:pStyle w:val="TableText"/>
              <w:jc w:val="center"/>
              <w:rPr>
                <w:b/>
                <w:bCs/>
              </w:rPr>
            </w:pPr>
            <w:r w:rsidRPr="00924E53">
              <w:rPr>
                <w:b/>
                <w:bCs/>
              </w:rPr>
              <w:t>Transitioned ADF</w:t>
            </w:r>
          </w:p>
        </w:tc>
        <w:tc>
          <w:tcPr>
            <w:tcW w:w="4434" w:type="dxa"/>
            <w:gridSpan w:val="6"/>
            <w:tcBorders>
              <w:top w:val="single" w:sz="4" w:space="0" w:color="000000"/>
              <w:bottom w:val="single" w:sz="4" w:space="0" w:color="000000"/>
            </w:tcBorders>
          </w:tcPr>
          <w:p w14:paraId="6AA35D56" w14:textId="77777777" w:rsidR="00266BEE" w:rsidRPr="00924E53" w:rsidRDefault="00266BEE" w:rsidP="00E82294">
            <w:pPr>
              <w:pStyle w:val="TableText"/>
              <w:jc w:val="center"/>
              <w:rPr>
                <w:b/>
                <w:bCs/>
              </w:rPr>
            </w:pPr>
            <w:r w:rsidRPr="00924E53">
              <w:rPr>
                <w:b/>
                <w:bCs/>
              </w:rPr>
              <w:t>2015 Regular ADF</w:t>
            </w:r>
          </w:p>
        </w:tc>
      </w:tr>
      <w:tr w:rsidR="00266BEE" w:rsidRPr="000F78B9" w14:paraId="6BAA3A35" w14:textId="77777777" w:rsidTr="00EF7D7F">
        <w:trPr>
          <w:cantSplit/>
          <w:tblHeader/>
        </w:trPr>
        <w:tc>
          <w:tcPr>
            <w:tcW w:w="2784" w:type="dxa"/>
            <w:tcBorders>
              <w:top w:val="nil"/>
              <w:bottom w:val="nil"/>
            </w:tcBorders>
          </w:tcPr>
          <w:p w14:paraId="01A0800F" w14:textId="77777777" w:rsidR="00266BEE" w:rsidRPr="000F78B9" w:rsidRDefault="00266BEE" w:rsidP="00E82294">
            <w:pPr>
              <w:pStyle w:val="TableText"/>
            </w:pPr>
          </w:p>
        </w:tc>
        <w:tc>
          <w:tcPr>
            <w:tcW w:w="2156" w:type="dxa"/>
            <w:gridSpan w:val="3"/>
            <w:tcBorders>
              <w:top w:val="single" w:sz="4" w:space="0" w:color="000000"/>
              <w:bottom w:val="single" w:sz="4" w:space="0" w:color="000000"/>
            </w:tcBorders>
          </w:tcPr>
          <w:p w14:paraId="055D74E1" w14:textId="77777777" w:rsidR="00266BEE" w:rsidRPr="00C72931" w:rsidRDefault="00266BEE" w:rsidP="00E82294">
            <w:pPr>
              <w:pStyle w:val="TableText"/>
              <w:jc w:val="center"/>
              <w:rPr>
                <w:b/>
              </w:rPr>
            </w:pPr>
            <w:r w:rsidRPr="00C72931">
              <w:rPr>
                <w:b/>
              </w:rPr>
              <w:t xml:space="preserve">No </w:t>
            </w:r>
            <w:r>
              <w:rPr>
                <w:b/>
              </w:rPr>
              <w:t>s</w:t>
            </w:r>
            <w:r w:rsidRPr="00C72931">
              <w:rPr>
                <w:b/>
              </w:rPr>
              <w:t>tigma</w:t>
            </w:r>
          </w:p>
        </w:tc>
        <w:tc>
          <w:tcPr>
            <w:tcW w:w="2132" w:type="dxa"/>
            <w:gridSpan w:val="3"/>
            <w:tcBorders>
              <w:top w:val="single" w:sz="4" w:space="0" w:color="000000"/>
              <w:bottom w:val="single" w:sz="4" w:space="0" w:color="000000"/>
            </w:tcBorders>
          </w:tcPr>
          <w:p w14:paraId="6D597C68" w14:textId="77777777" w:rsidR="00266BEE" w:rsidRPr="00C72931" w:rsidRDefault="00266BEE" w:rsidP="00E82294">
            <w:pPr>
              <w:pStyle w:val="TableText"/>
              <w:jc w:val="center"/>
              <w:rPr>
                <w:b/>
              </w:rPr>
            </w:pPr>
            <w:r w:rsidRPr="00C72931">
              <w:rPr>
                <w:b/>
              </w:rPr>
              <w:t xml:space="preserve">At least one </w:t>
            </w:r>
            <w:r>
              <w:rPr>
                <w:b/>
              </w:rPr>
              <w:t>s</w:t>
            </w:r>
            <w:r w:rsidRPr="00C72931">
              <w:rPr>
                <w:b/>
              </w:rPr>
              <w:t>tigma</w:t>
            </w:r>
          </w:p>
        </w:tc>
        <w:tc>
          <w:tcPr>
            <w:tcW w:w="2132" w:type="dxa"/>
            <w:gridSpan w:val="3"/>
            <w:tcBorders>
              <w:top w:val="single" w:sz="4" w:space="0" w:color="000000"/>
              <w:bottom w:val="single" w:sz="4" w:space="0" w:color="000000"/>
            </w:tcBorders>
          </w:tcPr>
          <w:p w14:paraId="1D068E9D" w14:textId="77777777" w:rsidR="00266BEE" w:rsidRPr="00C72931" w:rsidRDefault="00266BEE" w:rsidP="00E82294">
            <w:pPr>
              <w:pStyle w:val="TableText"/>
              <w:jc w:val="center"/>
              <w:rPr>
                <w:b/>
              </w:rPr>
            </w:pPr>
            <w:r w:rsidRPr="00C72931">
              <w:rPr>
                <w:b/>
              </w:rPr>
              <w:t xml:space="preserve">No </w:t>
            </w:r>
            <w:r>
              <w:rPr>
                <w:b/>
              </w:rPr>
              <w:t>s</w:t>
            </w:r>
            <w:r w:rsidRPr="00C72931">
              <w:rPr>
                <w:b/>
              </w:rPr>
              <w:t>tigm</w:t>
            </w:r>
            <w:r>
              <w:rPr>
                <w:b/>
              </w:rPr>
              <w:t>a</w:t>
            </w:r>
          </w:p>
        </w:tc>
        <w:tc>
          <w:tcPr>
            <w:tcW w:w="2302" w:type="dxa"/>
            <w:gridSpan w:val="3"/>
            <w:tcBorders>
              <w:top w:val="single" w:sz="4" w:space="0" w:color="000000"/>
              <w:bottom w:val="single" w:sz="4" w:space="0" w:color="000000"/>
            </w:tcBorders>
          </w:tcPr>
          <w:p w14:paraId="1F99D5C2" w14:textId="77777777" w:rsidR="00266BEE" w:rsidRPr="00C72931" w:rsidRDefault="00266BEE" w:rsidP="00E82294">
            <w:pPr>
              <w:pStyle w:val="TableText"/>
              <w:jc w:val="center"/>
              <w:rPr>
                <w:b/>
              </w:rPr>
            </w:pPr>
            <w:r w:rsidRPr="00C72931">
              <w:rPr>
                <w:b/>
              </w:rPr>
              <w:t>At least one stigma</w:t>
            </w:r>
          </w:p>
        </w:tc>
      </w:tr>
      <w:tr w:rsidR="00E82294" w:rsidRPr="000F78B9" w14:paraId="43DED9FE" w14:textId="77777777" w:rsidTr="00EF7D7F">
        <w:trPr>
          <w:cantSplit/>
          <w:tblHeader/>
        </w:trPr>
        <w:tc>
          <w:tcPr>
            <w:tcW w:w="2784" w:type="dxa"/>
            <w:tcBorders>
              <w:top w:val="nil"/>
              <w:bottom w:val="single" w:sz="4" w:space="0" w:color="000000"/>
            </w:tcBorders>
          </w:tcPr>
          <w:p w14:paraId="7C87EF13" w14:textId="77777777" w:rsidR="00266BEE" w:rsidRPr="000F78B9" w:rsidRDefault="00266BEE" w:rsidP="00E82294">
            <w:pPr>
              <w:pStyle w:val="TableText"/>
            </w:pPr>
          </w:p>
        </w:tc>
        <w:tc>
          <w:tcPr>
            <w:tcW w:w="474" w:type="dxa"/>
            <w:tcBorders>
              <w:top w:val="single" w:sz="4" w:space="0" w:color="000000"/>
              <w:bottom w:val="single" w:sz="4" w:space="0" w:color="000000"/>
            </w:tcBorders>
            <w:vAlign w:val="bottom"/>
          </w:tcPr>
          <w:p w14:paraId="05EB946E" w14:textId="77777777" w:rsidR="00266BEE" w:rsidRPr="00C72931" w:rsidRDefault="00266BEE" w:rsidP="00EF7D7F">
            <w:pPr>
              <w:pStyle w:val="TableText"/>
              <w:jc w:val="right"/>
              <w:rPr>
                <w:b/>
              </w:rPr>
            </w:pPr>
            <w:r w:rsidRPr="00C72931">
              <w:rPr>
                <w:b/>
              </w:rPr>
              <w:t>n</w:t>
            </w:r>
          </w:p>
        </w:tc>
        <w:tc>
          <w:tcPr>
            <w:tcW w:w="810" w:type="dxa"/>
            <w:tcBorders>
              <w:top w:val="single" w:sz="4" w:space="0" w:color="000000"/>
              <w:bottom w:val="single" w:sz="4" w:space="0" w:color="000000"/>
            </w:tcBorders>
            <w:vAlign w:val="bottom"/>
          </w:tcPr>
          <w:p w14:paraId="39AA026C" w14:textId="77777777" w:rsidR="00266BEE" w:rsidRPr="00C72931" w:rsidRDefault="00266BEE" w:rsidP="00EF7D7F">
            <w:pPr>
              <w:pStyle w:val="TableText"/>
              <w:jc w:val="right"/>
              <w:rPr>
                <w:b/>
              </w:rPr>
            </w:pPr>
            <w:r w:rsidRPr="00C72931">
              <w:rPr>
                <w:b/>
              </w:rPr>
              <w:t>Weighted n</w:t>
            </w:r>
          </w:p>
        </w:tc>
        <w:tc>
          <w:tcPr>
            <w:tcW w:w="872" w:type="dxa"/>
            <w:tcBorders>
              <w:top w:val="single" w:sz="4" w:space="0" w:color="000000"/>
              <w:bottom w:val="single" w:sz="4" w:space="0" w:color="000000"/>
            </w:tcBorders>
            <w:vAlign w:val="bottom"/>
          </w:tcPr>
          <w:p w14:paraId="4A2BC77E" w14:textId="77777777" w:rsidR="00266BEE" w:rsidRPr="00C72931" w:rsidRDefault="00266BEE" w:rsidP="00EF7D7F">
            <w:pPr>
              <w:pStyle w:val="TableText"/>
              <w:jc w:val="right"/>
              <w:rPr>
                <w:b/>
              </w:rPr>
            </w:pPr>
            <w:r w:rsidRPr="00C72931">
              <w:rPr>
                <w:b/>
              </w:rPr>
              <w:t>% (95%CI)</w:t>
            </w:r>
          </w:p>
        </w:tc>
        <w:tc>
          <w:tcPr>
            <w:tcW w:w="478" w:type="dxa"/>
            <w:tcBorders>
              <w:top w:val="single" w:sz="4" w:space="0" w:color="000000"/>
              <w:bottom w:val="single" w:sz="4" w:space="0" w:color="000000"/>
            </w:tcBorders>
            <w:vAlign w:val="bottom"/>
          </w:tcPr>
          <w:p w14:paraId="0C9119F3" w14:textId="77777777" w:rsidR="00266BEE" w:rsidRPr="00C72931" w:rsidRDefault="00266BEE" w:rsidP="00EF7D7F">
            <w:pPr>
              <w:pStyle w:val="TableText"/>
              <w:jc w:val="right"/>
              <w:rPr>
                <w:b/>
              </w:rPr>
            </w:pPr>
            <w:r w:rsidRPr="00C72931">
              <w:rPr>
                <w:b/>
              </w:rPr>
              <w:t>n</w:t>
            </w:r>
          </w:p>
        </w:tc>
        <w:tc>
          <w:tcPr>
            <w:tcW w:w="810" w:type="dxa"/>
            <w:tcBorders>
              <w:top w:val="single" w:sz="4" w:space="0" w:color="000000"/>
              <w:bottom w:val="single" w:sz="4" w:space="0" w:color="000000"/>
            </w:tcBorders>
            <w:vAlign w:val="bottom"/>
          </w:tcPr>
          <w:p w14:paraId="359D2558" w14:textId="77777777" w:rsidR="00266BEE" w:rsidRPr="00C72931" w:rsidRDefault="00266BEE" w:rsidP="00EF7D7F">
            <w:pPr>
              <w:pStyle w:val="TableText"/>
              <w:jc w:val="right"/>
              <w:rPr>
                <w:b/>
              </w:rPr>
            </w:pPr>
            <w:r w:rsidRPr="00C72931">
              <w:rPr>
                <w:b/>
              </w:rPr>
              <w:t>Weighted n</w:t>
            </w:r>
          </w:p>
        </w:tc>
        <w:tc>
          <w:tcPr>
            <w:tcW w:w="844" w:type="dxa"/>
            <w:tcBorders>
              <w:top w:val="single" w:sz="4" w:space="0" w:color="000000"/>
              <w:bottom w:val="single" w:sz="4" w:space="0" w:color="000000"/>
            </w:tcBorders>
            <w:vAlign w:val="bottom"/>
          </w:tcPr>
          <w:p w14:paraId="68AE5EEF" w14:textId="77777777" w:rsidR="00266BEE" w:rsidRPr="00C72931" w:rsidRDefault="00266BEE" w:rsidP="00EF7D7F">
            <w:pPr>
              <w:pStyle w:val="TableText"/>
              <w:jc w:val="right"/>
              <w:rPr>
                <w:b/>
              </w:rPr>
            </w:pPr>
            <w:r w:rsidRPr="00C72931">
              <w:rPr>
                <w:b/>
              </w:rPr>
              <w:t>% (95%CI)</w:t>
            </w:r>
          </w:p>
        </w:tc>
        <w:tc>
          <w:tcPr>
            <w:tcW w:w="506" w:type="dxa"/>
            <w:tcBorders>
              <w:top w:val="single" w:sz="4" w:space="0" w:color="000000"/>
              <w:bottom w:val="single" w:sz="4" w:space="0" w:color="000000"/>
            </w:tcBorders>
            <w:vAlign w:val="bottom"/>
          </w:tcPr>
          <w:p w14:paraId="047CD8FC" w14:textId="77777777" w:rsidR="00266BEE" w:rsidRPr="00C72931" w:rsidRDefault="00266BEE" w:rsidP="00EF7D7F">
            <w:pPr>
              <w:pStyle w:val="TableText"/>
              <w:jc w:val="right"/>
              <w:rPr>
                <w:b/>
              </w:rPr>
            </w:pPr>
            <w:r w:rsidRPr="00C72931">
              <w:rPr>
                <w:b/>
              </w:rPr>
              <w:t>n</w:t>
            </w:r>
          </w:p>
        </w:tc>
        <w:tc>
          <w:tcPr>
            <w:tcW w:w="810" w:type="dxa"/>
            <w:tcBorders>
              <w:top w:val="single" w:sz="4" w:space="0" w:color="000000"/>
              <w:bottom w:val="single" w:sz="4" w:space="0" w:color="000000"/>
            </w:tcBorders>
            <w:vAlign w:val="bottom"/>
          </w:tcPr>
          <w:p w14:paraId="449CED13" w14:textId="77777777" w:rsidR="00266BEE" w:rsidRPr="00C72931" w:rsidRDefault="00266BEE" w:rsidP="00EF7D7F">
            <w:pPr>
              <w:pStyle w:val="TableText"/>
              <w:jc w:val="right"/>
              <w:rPr>
                <w:b/>
              </w:rPr>
            </w:pPr>
            <w:r w:rsidRPr="00C72931">
              <w:rPr>
                <w:b/>
              </w:rPr>
              <w:t>Weighted n</w:t>
            </w:r>
          </w:p>
        </w:tc>
        <w:tc>
          <w:tcPr>
            <w:tcW w:w="816" w:type="dxa"/>
            <w:tcBorders>
              <w:top w:val="single" w:sz="4" w:space="0" w:color="000000"/>
              <w:bottom w:val="single" w:sz="4" w:space="0" w:color="000000"/>
            </w:tcBorders>
            <w:vAlign w:val="bottom"/>
          </w:tcPr>
          <w:p w14:paraId="533FCE37" w14:textId="77777777" w:rsidR="00266BEE" w:rsidRPr="00C72931" w:rsidRDefault="00266BEE" w:rsidP="00EF7D7F">
            <w:pPr>
              <w:pStyle w:val="TableText"/>
              <w:jc w:val="right"/>
              <w:rPr>
                <w:b/>
              </w:rPr>
            </w:pPr>
            <w:r w:rsidRPr="00C72931">
              <w:rPr>
                <w:b/>
              </w:rPr>
              <w:t>% (95%CI)</w:t>
            </w:r>
          </w:p>
        </w:tc>
        <w:tc>
          <w:tcPr>
            <w:tcW w:w="534" w:type="dxa"/>
            <w:tcBorders>
              <w:top w:val="single" w:sz="4" w:space="0" w:color="000000"/>
              <w:bottom w:val="single" w:sz="4" w:space="0" w:color="000000"/>
            </w:tcBorders>
            <w:vAlign w:val="bottom"/>
          </w:tcPr>
          <w:p w14:paraId="51D6E56D" w14:textId="77777777" w:rsidR="00266BEE" w:rsidRPr="00C72931" w:rsidRDefault="00266BEE" w:rsidP="00EF7D7F">
            <w:pPr>
              <w:pStyle w:val="TableText"/>
              <w:jc w:val="right"/>
              <w:rPr>
                <w:b/>
              </w:rPr>
            </w:pPr>
            <w:r w:rsidRPr="00C72931">
              <w:rPr>
                <w:b/>
              </w:rPr>
              <w:t>n</w:t>
            </w:r>
          </w:p>
        </w:tc>
        <w:tc>
          <w:tcPr>
            <w:tcW w:w="810" w:type="dxa"/>
            <w:tcBorders>
              <w:top w:val="single" w:sz="4" w:space="0" w:color="000000"/>
              <w:bottom w:val="single" w:sz="4" w:space="0" w:color="000000"/>
            </w:tcBorders>
            <w:vAlign w:val="bottom"/>
          </w:tcPr>
          <w:p w14:paraId="3C2C7172" w14:textId="77777777" w:rsidR="00266BEE" w:rsidRPr="00C72931" w:rsidRDefault="00266BEE" w:rsidP="00EF7D7F">
            <w:pPr>
              <w:pStyle w:val="TableText"/>
              <w:jc w:val="right"/>
              <w:rPr>
                <w:b/>
              </w:rPr>
            </w:pPr>
            <w:r w:rsidRPr="00C72931">
              <w:rPr>
                <w:b/>
              </w:rPr>
              <w:t>Weighted n</w:t>
            </w:r>
          </w:p>
        </w:tc>
        <w:tc>
          <w:tcPr>
            <w:tcW w:w="958" w:type="dxa"/>
            <w:tcBorders>
              <w:top w:val="single" w:sz="4" w:space="0" w:color="000000"/>
              <w:bottom w:val="single" w:sz="4" w:space="0" w:color="000000"/>
            </w:tcBorders>
            <w:vAlign w:val="bottom"/>
          </w:tcPr>
          <w:p w14:paraId="1008FD01" w14:textId="77777777" w:rsidR="00266BEE" w:rsidRPr="00C72931" w:rsidRDefault="00266BEE" w:rsidP="00EF7D7F">
            <w:pPr>
              <w:pStyle w:val="TableText"/>
              <w:jc w:val="right"/>
              <w:rPr>
                <w:b/>
              </w:rPr>
            </w:pPr>
            <w:r w:rsidRPr="00C72931">
              <w:rPr>
                <w:b/>
              </w:rPr>
              <w:t>% (95%CI)</w:t>
            </w:r>
          </w:p>
        </w:tc>
      </w:tr>
      <w:tr w:rsidR="00266BEE" w:rsidRPr="000F78B9" w14:paraId="68A1AEF7"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Borders>
              <w:top w:val="single" w:sz="4" w:space="0" w:color="000000"/>
            </w:tcBorders>
          </w:tcPr>
          <w:p w14:paraId="575DBBD1" w14:textId="77777777" w:rsidR="00266BEE" w:rsidRPr="00C72931" w:rsidRDefault="00266BEE" w:rsidP="00E82294">
            <w:pPr>
              <w:pStyle w:val="TableText"/>
              <w:rPr>
                <w:b/>
              </w:rPr>
            </w:pPr>
            <w:r w:rsidRPr="00C72931">
              <w:rPr>
                <w:b/>
              </w:rPr>
              <w:t xml:space="preserve">Posttraumatic stress </w:t>
            </w:r>
            <w:r>
              <w:rPr>
                <w:b/>
              </w:rPr>
              <w:t>s</w:t>
            </w:r>
            <w:r w:rsidRPr="00C72931">
              <w:rPr>
                <w:b/>
              </w:rPr>
              <w:t>yndrome disorder (PCL</w:t>
            </w:r>
            <w:r w:rsidR="00E82294">
              <w:rPr>
                <w:b/>
              </w:rPr>
              <w:noBreakHyphen/>
            </w:r>
            <w:r w:rsidRPr="00C72931">
              <w:rPr>
                <w:b/>
              </w:rPr>
              <w:t>C)</w:t>
            </w:r>
          </w:p>
        </w:tc>
        <w:tc>
          <w:tcPr>
            <w:tcW w:w="2156" w:type="dxa"/>
            <w:gridSpan w:val="3"/>
            <w:tcBorders>
              <w:top w:val="single" w:sz="4" w:space="0" w:color="000000"/>
            </w:tcBorders>
          </w:tcPr>
          <w:p w14:paraId="41FB12E6" w14:textId="77777777" w:rsidR="00266BEE" w:rsidRPr="000F78B9" w:rsidRDefault="00266BEE" w:rsidP="00E82294">
            <w:pPr>
              <w:pStyle w:val="TableText"/>
              <w:jc w:val="center"/>
            </w:pPr>
            <w:r>
              <w:t>n</w:t>
            </w:r>
            <w:r w:rsidRPr="000F78B9">
              <w:t>=</w:t>
            </w:r>
            <w:r>
              <w:t>63</w:t>
            </w:r>
            <w:r w:rsidRPr="000F78B9">
              <w:t xml:space="preserve"> (Weighted</w:t>
            </w:r>
            <w:r>
              <w:t xml:space="preserve"> n</w:t>
            </w:r>
            <w:r w:rsidRPr="000F78B9">
              <w:t>=</w:t>
            </w:r>
            <w:r>
              <w:t>426</w:t>
            </w:r>
            <w:r w:rsidRPr="000F78B9">
              <w:t>)</w:t>
            </w:r>
          </w:p>
        </w:tc>
        <w:tc>
          <w:tcPr>
            <w:tcW w:w="2132" w:type="dxa"/>
            <w:gridSpan w:val="3"/>
            <w:tcBorders>
              <w:top w:val="single" w:sz="4" w:space="0" w:color="000000"/>
            </w:tcBorders>
          </w:tcPr>
          <w:p w14:paraId="5810D074" w14:textId="77777777" w:rsidR="00266BEE" w:rsidRPr="000F78B9" w:rsidRDefault="00266BEE" w:rsidP="00E82294">
            <w:pPr>
              <w:pStyle w:val="TableText"/>
              <w:jc w:val="center"/>
            </w:pPr>
            <w:r>
              <w:t>n=</w:t>
            </w:r>
            <w:r w:rsidRPr="000F78B9">
              <w:t xml:space="preserve">413 (Weighted </w:t>
            </w:r>
            <w:r>
              <w:t>n</w:t>
            </w:r>
            <w:r w:rsidRPr="000F78B9">
              <w:t>=2800)</w:t>
            </w:r>
          </w:p>
        </w:tc>
        <w:tc>
          <w:tcPr>
            <w:tcW w:w="2132" w:type="dxa"/>
            <w:gridSpan w:val="3"/>
            <w:tcBorders>
              <w:top w:val="single" w:sz="4" w:space="0" w:color="000000"/>
            </w:tcBorders>
          </w:tcPr>
          <w:p w14:paraId="1819D63F" w14:textId="77777777" w:rsidR="00266BEE" w:rsidRPr="000F78B9" w:rsidRDefault="00266BEE" w:rsidP="00E82294">
            <w:pPr>
              <w:pStyle w:val="TableText"/>
              <w:jc w:val="center"/>
            </w:pPr>
            <w:r>
              <w:t>n</w:t>
            </w:r>
            <w:r w:rsidRPr="000F78B9">
              <w:t>=</w:t>
            </w:r>
            <w:r>
              <w:t>25</w:t>
            </w:r>
            <w:r w:rsidRPr="000F78B9">
              <w:t xml:space="preserve"> (Weighted</w:t>
            </w:r>
            <w:r>
              <w:t xml:space="preserve"> n</w:t>
            </w:r>
            <w:r w:rsidRPr="000F78B9">
              <w:t>=</w:t>
            </w:r>
            <w:r>
              <w:t>124</w:t>
            </w:r>
            <w:r w:rsidRPr="000F78B9">
              <w:t>)</w:t>
            </w:r>
          </w:p>
        </w:tc>
        <w:tc>
          <w:tcPr>
            <w:tcW w:w="2302" w:type="dxa"/>
            <w:gridSpan w:val="3"/>
            <w:tcBorders>
              <w:top w:val="single" w:sz="4" w:space="0" w:color="000000"/>
            </w:tcBorders>
          </w:tcPr>
          <w:p w14:paraId="323CFC24" w14:textId="77777777" w:rsidR="00266BEE" w:rsidRPr="000F78B9" w:rsidRDefault="00266BEE" w:rsidP="00E82294">
            <w:pPr>
              <w:pStyle w:val="TableText"/>
              <w:jc w:val="center"/>
            </w:pPr>
            <w:r>
              <w:t>n</w:t>
            </w:r>
            <w:r w:rsidRPr="000F78B9">
              <w:t>=</w:t>
            </w:r>
            <w:r>
              <w:t xml:space="preserve">197 </w:t>
            </w:r>
            <w:r w:rsidRPr="000F78B9">
              <w:t xml:space="preserve">(Weighted </w:t>
            </w:r>
            <w:r>
              <w:t>n</w:t>
            </w:r>
            <w:r w:rsidRPr="000F78B9">
              <w:t>=</w:t>
            </w:r>
            <w:r>
              <w:t>1368</w:t>
            </w:r>
            <w:r w:rsidRPr="000F78B9">
              <w:t>)</w:t>
            </w:r>
          </w:p>
        </w:tc>
      </w:tr>
      <w:tr w:rsidR="00E82294" w:rsidRPr="00C72931" w14:paraId="0E210709" w14:textId="77777777" w:rsidTr="00EF7D7F">
        <w:trPr>
          <w:cantSplit/>
        </w:trPr>
        <w:tc>
          <w:tcPr>
            <w:tcW w:w="2784" w:type="dxa"/>
          </w:tcPr>
          <w:p w14:paraId="1DC23B49"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 xml:space="preserve">ealth </w:t>
            </w:r>
          </w:p>
        </w:tc>
        <w:tc>
          <w:tcPr>
            <w:tcW w:w="474" w:type="dxa"/>
          </w:tcPr>
          <w:p w14:paraId="3F69152B" w14:textId="77777777" w:rsidR="00266BEE" w:rsidRPr="00C72931" w:rsidRDefault="00266BEE" w:rsidP="00E82294">
            <w:pPr>
              <w:pStyle w:val="TableText"/>
              <w:jc w:val="right"/>
            </w:pPr>
            <w:r w:rsidRPr="00C72931">
              <w:t>21</w:t>
            </w:r>
          </w:p>
        </w:tc>
        <w:tc>
          <w:tcPr>
            <w:tcW w:w="810" w:type="dxa"/>
          </w:tcPr>
          <w:p w14:paraId="3D5DEE8F" w14:textId="77777777" w:rsidR="00266BEE" w:rsidRPr="00C72931" w:rsidRDefault="00266BEE" w:rsidP="00E82294">
            <w:pPr>
              <w:pStyle w:val="TableText"/>
              <w:jc w:val="right"/>
            </w:pPr>
            <w:r w:rsidRPr="00C72931">
              <w:t>121</w:t>
            </w:r>
          </w:p>
        </w:tc>
        <w:tc>
          <w:tcPr>
            <w:tcW w:w="872" w:type="dxa"/>
          </w:tcPr>
          <w:p w14:paraId="5795B8EB" w14:textId="77777777" w:rsidR="00266BEE" w:rsidRPr="00C72931" w:rsidRDefault="00266BEE" w:rsidP="00E82294">
            <w:pPr>
              <w:pStyle w:val="TableText"/>
              <w:jc w:val="right"/>
            </w:pPr>
            <w:r w:rsidRPr="00C72931">
              <w:t>28.5 (17.3</w:t>
            </w:r>
            <w:r w:rsidR="00E82294">
              <w:t>, </w:t>
            </w:r>
            <w:r w:rsidRPr="00C72931">
              <w:t>43.0)</w:t>
            </w:r>
          </w:p>
        </w:tc>
        <w:tc>
          <w:tcPr>
            <w:tcW w:w="478" w:type="dxa"/>
          </w:tcPr>
          <w:p w14:paraId="25E3E876" w14:textId="77777777" w:rsidR="00266BEE" w:rsidRPr="00C72931" w:rsidRDefault="00266BEE" w:rsidP="00E82294">
            <w:pPr>
              <w:pStyle w:val="TableText"/>
              <w:jc w:val="right"/>
            </w:pPr>
            <w:r w:rsidRPr="00C72931">
              <w:t>199</w:t>
            </w:r>
          </w:p>
        </w:tc>
        <w:tc>
          <w:tcPr>
            <w:tcW w:w="810" w:type="dxa"/>
          </w:tcPr>
          <w:p w14:paraId="3359CF95" w14:textId="77777777" w:rsidR="00266BEE" w:rsidRPr="00C72931" w:rsidRDefault="00266BEE" w:rsidP="00E82294">
            <w:pPr>
              <w:pStyle w:val="TableText"/>
              <w:jc w:val="right"/>
            </w:pPr>
            <w:r w:rsidRPr="00C72931">
              <w:t>1239</w:t>
            </w:r>
          </w:p>
        </w:tc>
        <w:tc>
          <w:tcPr>
            <w:tcW w:w="844" w:type="dxa"/>
          </w:tcPr>
          <w:p w14:paraId="177D635E" w14:textId="77777777" w:rsidR="00266BEE" w:rsidRPr="00C72931" w:rsidRDefault="00266BEE" w:rsidP="00E82294">
            <w:pPr>
              <w:pStyle w:val="TableText"/>
              <w:jc w:val="right"/>
            </w:pPr>
            <w:r w:rsidRPr="00C72931">
              <w:t>44.3 (38.5</w:t>
            </w:r>
            <w:r w:rsidR="00E82294">
              <w:t>, </w:t>
            </w:r>
            <w:r w:rsidRPr="00C72931">
              <w:t>50.2)</w:t>
            </w:r>
          </w:p>
        </w:tc>
        <w:tc>
          <w:tcPr>
            <w:tcW w:w="506" w:type="dxa"/>
          </w:tcPr>
          <w:p w14:paraId="4059D7A1" w14:textId="77777777" w:rsidR="00266BEE" w:rsidRPr="00C72931" w:rsidRDefault="00266BEE" w:rsidP="00E82294">
            <w:pPr>
              <w:pStyle w:val="TableText"/>
              <w:jc w:val="right"/>
            </w:pPr>
            <w:r w:rsidRPr="00C72931">
              <w:t>12</w:t>
            </w:r>
          </w:p>
        </w:tc>
        <w:tc>
          <w:tcPr>
            <w:tcW w:w="810" w:type="dxa"/>
          </w:tcPr>
          <w:p w14:paraId="51B20418" w14:textId="77777777" w:rsidR="00266BEE" w:rsidRPr="00C72931" w:rsidRDefault="00266BEE" w:rsidP="00E82294">
            <w:pPr>
              <w:pStyle w:val="TableText"/>
              <w:jc w:val="right"/>
            </w:pPr>
            <w:r w:rsidRPr="00C72931">
              <w:t>45</w:t>
            </w:r>
          </w:p>
        </w:tc>
        <w:tc>
          <w:tcPr>
            <w:tcW w:w="816" w:type="dxa"/>
          </w:tcPr>
          <w:p w14:paraId="3553E6EF" w14:textId="77777777" w:rsidR="00266BEE" w:rsidRPr="00C72931" w:rsidRDefault="00266BEE" w:rsidP="00E82294">
            <w:pPr>
              <w:pStyle w:val="TableText"/>
              <w:jc w:val="right"/>
            </w:pPr>
            <w:r w:rsidRPr="00C72931">
              <w:t>35.9 (15.5</w:t>
            </w:r>
            <w:r w:rsidR="00E82294">
              <w:t>, </w:t>
            </w:r>
            <w:r w:rsidRPr="00C72931">
              <w:t>63.0)</w:t>
            </w:r>
          </w:p>
        </w:tc>
        <w:tc>
          <w:tcPr>
            <w:tcW w:w="534" w:type="dxa"/>
          </w:tcPr>
          <w:p w14:paraId="6ECF2CF9" w14:textId="77777777" w:rsidR="00266BEE" w:rsidRPr="00C72931" w:rsidRDefault="00266BEE" w:rsidP="00E82294">
            <w:pPr>
              <w:pStyle w:val="TableText"/>
              <w:jc w:val="right"/>
            </w:pPr>
            <w:r w:rsidRPr="00C72931">
              <w:t>95</w:t>
            </w:r>
          </w:p>
        </w:tc>
        <w:tc>
          <w:tcPr>
            <w:tcW w:w="810" w:type="dxa"/>
          </w:tcPr>
          <w:p w14:paraId="1CFD379B" w14:textId="77777777" w:rsidR="00266BEE" w:rsidRPr="00C72931" w:rsidRDefault="00266BEE" w:rsidP="00E82294">
            <w:pPr>
              <w:pStyle w:val="TableText"/>
              <w:jc w:val="right"/>
            </w:pPr>
            <w:r w:rsidRPr="00C72931">
              <w:t>588</w:t>
            </w:r>
          </w:p>
        </w:tc>
        <w:tc>
          <w:tcPr>
            <w:tcW w:w="958" w:type="dxa"/>
          </w:tcPr>
          <w:p w14:paraId="394B058F" w14:textId="77777777" w:rsidR="00266BEE" w:rsidRPr="00C72931" w:rsidRDefault="00266BEE" w:rsidP="00E82294">
            <w:pPr>
              <w:pStyle w:val="TableText"/>
              <w:jc w:val="right"/>
            </w:pPr>
            <w:r w:rsidRPr="00C72931">
              <w:t>43.0 (23.4</w:t>
            </w:r>
            <w:r w:rsidR="00E82294">
              <w:t>, </w:t>
            </w:r>
            <w:r w:rsidRPr="00C72931">
              <w:t>65.1)</w:t>
            </w:r>
          </w:p>
        </w:tc>
      </w:tr>
      <w:tr w:rsidR="00E82294" w:rsidRPr="00C72931" w14:paraId="0C013B20"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Borders>
              <w:bottom w:val="single" w:sz="4" w:space="0" w:color="000000"/>
            </w:tcBorders>
          </w:tcPr>
          <w:p w14:paraId="24178DB5"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74" w:type="dxa"/>
            <w:tcBorders>
              <w:bottom w:val="single" w:sz="4" w:space="0" w:color="000000"/>
            </w:tcBorders>
          </w:tcPr>
          <w:p w14:paraId="36A41D64" w14:textId="77777777" w:rsidR="00266BEE" w:rsidRPr="00C72931" w:rsidRDefault="00266BEE" w:rsidP="00E82294">
            <w:pPr>
              <w:pStyle w:val="TableText"/>
              <w:jc w:val="right"/>
            </w:pPr>
            <w:r w:rsidRPr="00C72931">
              <w:t>42</w:t>
            </w:r>
          </w:p>
        </w:tc>
        <w:tc>
          <w:tcPr>
            <w:tcW w:w="810" w:type="dxa"/>
            <w:tcBorders>
              <w:bottom w:val="single" w:sz="4" w:space="0" w:color="000000"/>
            </w:tcBorders>
          </w:tcPr>
          <w:p w14:paraId="5108477D" w14:textId="77777777" w:rsidR="00266BEE" w:rsidRPr="00C72931" w:rsidRDefault="00266BEE" w:rsidP="00E82294">
            <w:pPr>
              <w:pStyle w:val="TableText"/>
              <w:jc w:val="right"/>
            </w:pPr>
            <w:r w:rsidRPr="00C72931">
              <w:t>304</w:t>
            </w:r>
          </w:p>
        </w:tc>
        <w:tc>
          <w:tcPr>
            <w:tcW w:w="872" w:type="dxa"/>
            <w:tcBorders>
              <w:bottom w:val="single" w:sz="4" w:space="0" w:color="000000"/>
            </w:tcBorders>
          </w:tcPr>
          <w:p w14:paraId="45AB6F29" w14:textId="77777777" w:rsidR="00266BEE" w:rsidRPr="00C72931" w:rsidRDefault="00266BEE" w:rsidP="00E82294">
            <w:pPr>
              <w:pStyle w:val="TableText"/>
              <w:jc w:val="right"/>
            </w:pPr>
            <w:r w:rsidRPr="00C72931">
              <w:t>71.5 (57.0</w:t>
            </w:r>
            <w:r w:rsidR="00E82294">
              <w:t>, </w:t>
            </w:r>
            <w:r w:rsidRPr="00C72931">
              <w:t>82.7)</w:t>
            </w:r>
          </w:p>
        </w:tc>
        <w:tc>
          <w:tcPr>
            <w:tcW w:w="478" w:type="dxa"/>
            <w:tcBorders>
              <w:bottom w:val="single" w:sz="4" w:space="0" w:color="000000"/>
            </w:tcBorders>
          </w:tcPr>
          <w:p w14:paraId="5CD44F2F" w14:textId="77777777" w:rsidR="00266BEE" w:rsidRPr="00C72931" w:rsidRDefault="00266BEE" w:rsidP="00E82294">
            <w:pPr>
              <w:pStyle w:val="TableText"/>
              <w:jc w:val="right"/>
            </w:pPr>
            <w:r w:rsidRPr="00C72931">
              <w:t>213</w:t>
            </w:r>
          </w:p>
        </w:tc>
        <w:tc>
          <w:tcPr>
            <w:tcW w:w="810" w:type="dxa"/>
            <w:tcBorders>
              <w:bottom w:val="single" w:sz="4" w:space="0" w:color="000000"/>
            </w:tcBorders>
          </w:tcPr>
          <w:p w14:paraId="57EEAF5D" w14:textId="77777777" w:rsidR="00266BEE" w:rsidRPr="00C72931" w:rsidRDefault="00266BEE" w:rsidP="00E82294">
            <w:pPr>
              <w:pStyle w:val="TableText"/>
              <w:jc w:val="right"/>
            </w:pPr>
            <w:r w:rsidRPr="00C72931">
              <w:t>1546</w:t>
            </w:r>
          </w:p>
        </w:tc>
        <w:tc>
          <w:tcPr>
            <w:tcW w:w="844" w:type="dxa"/>
            <w:tcBorders>
              <w:bottom w:val="single" w:sz="4" w:space="0" w:color="000000"/>
            </w:tcBorders>
          </w:tcPr>
          <w:p w14:paraId="7ACA7533" w14:textId="77777777" w:rsidR="00266BEE" w:rsidRPr="00C72931" w:rsidRDefault="00266BEE" w:rsidP="00E82294">
            <w:pPr>
              <w:pStyle w:val="TableText"/>
              <w:jc w:val="right"/>
            </w:pPr>
            <w:r w:rsidRPr="00C72931">
              <w:t>55.2 (49.3</w:t>
            </w:r>
            <w:r w:rsidR="00E82294">
              <w:t>, </w:t>
            </w:r>
            <w:r w:rsidRPr="00C72931">
              <w:t>61.0)</w:t>
            </w:r>
          </w:p>
        </w:tc>
        <w:tc>
          <w:tcPr>
            <w:tcW w:w="506" w:type="dxa"/>
            <w:tcBorders>
              <w:bottom w:val="single" w:sz="4" w:space="0" w:color="000000"/>
            </w:tcBorders>
          </w:tcPr>
          <w:p w14:paraId="43FF0D61" w14:textId="77777777" w:rsidR="00266BEE" w:rsidRPr="00C72931" w:rsidRDefault="00266BEE" w:rsidP="00E82294">
            <w:pPr>
              <w:pStyle w:val="TableText"/>
              <w:jc w:val="right"/>
            </w:pPr>
            <w:r w:rsidRPr="00C72931">
              <w:t>12</w:t>
            </w:r>
          </w:p>
        </w:tc>
        <w:tc>
          <w:tcPr>
            <w:tcW w:w="810" w:type="dxa"/>
            <w:tcBorders>
              <w:bottom w:val="single" w:sz="4" w:space="0" w:color="000000"/>
            </w:tcBorders>
          </w:tcPr>
          <w:p w14:paraId="2AB112CA" w14:textId="77777777" w:rsidR="00266BEE" w:rsidRPr="00C72931" w:rsidRDefault="00266BEE" w:rsidP="00E82294">
            <w:pPr>
              <w:pStyle w:val="TableText"/>
              <w:jc w:val="right"/>
            </w:pPr>
            <w:r w:rsidRPr="00C72931">
              <w:t>76</w:t>
            </w:r>
          </w:p>
        </w:tc>
        <w:tc>
          <w:tcPr>
            <w:tcW w:w="816" w:type="dxa"/>
            <w:tcBorders>
              <w:bottom w:val="single" w:sz="4" w:space="0" w:color="000000"/>
            </w:tcBorders>
          </w:tcPr>
          <w:p w14:paraId="662A8CF9" w14:textId="77777777" w:rsidR="00266BEE" w:rsidRPr="00C72931" w:rsidRDefault="00266BEE" w:rsidP="00E82294">
            <w:pPr>
              <w:pStyle w:val="TableText"/>
              <w:jc w:val="right"/>
            </w:pPr>
            <w:r w:rsidRPr="00C72931">
              <w:t>61.3 (34.0</w:t>
            </w:r>
            <w:r w:rsidR="00E82294">
              <w:t>, </w:t>
            </w:r>
            <w:r w:rsidRPr="00C72931">
              <w:t>83.0)</w:t>
            </w:r>
          </w:p>
        </w:tc>
        <w:tc>
          <w:tcPr>
            <w:tcW w:w="534" w:type="dxa"/>
            <w:tcBorders>
              <w:bottom w:val="single" w:sz="4" w:space="0" w:color="000000"/>
            </w:tcBorders>
          </w:tcPr>
          <w:p w14:paraId="096F1223" w14:textId="77777777" w:rsidR="00266BEE" w:rsidRPr="00C72931" w:rsidRDefault="00266BEE" w:rsidP="00E82294">
            <w:pPr>
              <w:pStyle w:val="TableText"/>
              <w:jc w:val="right"/>
            </w:pPr>
            <w:r w:rsidRPr="00C72931">
              <w:t>102</w:t>
            </w:r>
          </w:p>
        </w:tc>
        <w:tc>
          <w:tcPr>
            <w:tcW w:w="810" w:type="dxa"/>
            <w:tcBorders>
              <w:bottom w:val="single" w:sz="4" w:space="0" w:color="000000"/>
            </w:tcBorders>
          </w:tcPr>
          <w:p w14:paraId="05178EDA" w14:textId="77777777" w:rsidR="00266BEE" w:rsidRPr="00C72931" w:rsidRDefault="00266BEE" w:rsidP="00E82294">
            <w:pPr>
              <w:pStyle w:val="TableText"/>
              <w:jc w:val="right"/>
            </w:pPr>
            <w:r w:rsidRPr="00C72931">
              <w:t>780</w:t>
            </w:r>
          </w:p>
        </w:tc>
        <w:tc>
          <w:tcPr>
            <w:tcW w:w="958" w:type="dxa"/>
            <w:tcBorders>
              <w:bottom w:val="single" w:sz="4" w:space="0" w:color="000000"/>
            </w:tcBorders>
          </w:tcPr>
          <w:p w14:paraId="73CFF545" w14:textId="77777777" w:rsidR="00266BEE" w:rsidRPr="00C72931" w:rsidRDefault="00266BEE" w:rsidP="00E82294">
            <w:pPr>
              <w:pStyle w:val="TableText"/>
              <w:jc w:val="right"/>
            </w:pPr>
            <w:r w:rsidRPr="00C72931">
              <w:t>57.0 (34.9</w:t>
            </w:r>
            <w:r w:rsidR="00E82294">
              <w:t>, </w:t>
            </w:r>
            <w:r w:rsidRPr="00C72931">
              <w:t>76.6)</w:t>
            </w:r>
          </w:p>
        </w:tc>
      </w:tr>
      <w:tr w:rsidR="00266BEE" w:rsidRPr="000F78B9" w14:paraId="51CA40B6" w14:textId="77777777" w:rsidTr="00EF7D7F">
        <w:trPr>
          <w:cantSplit/>
        </w:trPr>
        <w:tc>
          <w:tcPr>
            <w:tcW w:w="2784" w:type="dxa"/>
            <w:tcBorders>
              <w:top w:val="single" w:sz="4" w:space="0" w:color="000000"/>
              <w:bottom w:val="nil"/>
            </w:tcBorders>
          </w:tcPr>
          <w:p w14:paraId="2645F333" w14:textId="77777777" w:rsidR="00266BEE" w:rsidRPr="00C72931" w:rsidRDefault="00266BEE" w:rsidP="00E82294">
            <w:pPr>
              <w:pStyle w:val="TableText"/>
              <w:rPr>
                <w:b/>
                <w:bCs/>
                <w:color w:val="000000" w:themeColor="text1"/>
              </w:rPr>
            </w:pPr>
            <w:r w:rsidRPr="001277D4">
              <w:rPr>
                <w:b/>
              </w:rPr>
              <w:t>Probable anxiety/depression (K10)</w:t>
            </w:r>
          </w:p>
        </w:tc>
        <w:tc>
          <w:tcPr>
            <w:tcW w:w="2156" w:type="dxa"/>
            <w:gridSpan w:val="3"/>
            <w:tcBorders>
              <w:top w:val="single" w:sz="4" w:space="0" w:color="000000"/>
              <w:bottom w:val="nil"/>
            </w:tcBorders>
          </w:tcPr>
          <w:p w14:paraId="648FA452" w14:textId="77777777" w:rsidR="00266BEE" w:rsidRPr="000F78B9" w:rsidRDefault="00266BEE" w:rsidP="00E82294">
            <w:pPr>
              <w:pStyle w:val="TableText"/>
              <w:jc w:val="center"/>
            </w:pPr>
            <w:r>
              <w:t>n</w:t>
            </w:r>
            <w:r w:rsidRPr="000F78B9">
              <w:t>=</w:t>
            </w:r>
            <w:r>
              <w:t>193</w:t>
            </w:r>
            <w:r w:rsidRPr="000F78B9">
              <w:t xml:space="preserve"> (Weighted</w:t>
            </w:r>
            <w:r>
              <w:t xml:space="preserve"> n</w:t>
            </w:r>
            <w:r w:rsidRPr="000F78B9">
              <w:t>=</w:t>
            </w:r>
            <w:r>
              <w:t>1332</w:t>
            </w:r>
            <w:r w:rsidRPr="000F78B9">
              <w:t>)</w:t>
            </w:r>
          </w:p>
        </w:tc>
        <w:tc>
          <w:tcPr>
            <w:tcW w:w="2132" w:type="dxa"/>
            <w:gridSpan w:val="3"/>
            <w:tcBorders>
              <w:top w:val="single" w:sz="4" w:space="0" w:color="000000"/>
              <w:bottom w:val="nil"/>
            </w:tcBorders>
          </w:tcPr>
          <w:p w14:paraId="759FD1DA" w14:textId="77777777" w:rsidR="00266BEE" w:rsidRPr="000F78B9" w:rsidRDefault="00266BEE" w:rsidP="00E82294">
            <w:pPr>
              <w:pStyle w:val="TableText"/>
              <w:jc w:val="center"/>
            </w:pPr>
            <w:r>
              <w:t>n=716</w:t>
            </w:r>
            <w:r w:rsidRPr="000F78B9">
              <w:t xml:space="preserve"> (Weighted </w:t>
            </w:r>
            <w:r>
              <w:t>n</w:t>
            </w:r>
            <w:r w:rsidRPr="000F78B9">
              <w:t>=</w:t>
            </w:r>
            <w:r>
              <w:t>5345</w:t>
            </w:r>
            <w:r w:rsidRPr="000F78B9">
              <w:t>)</w:t>
            </w:r>
          </w:p>
        </w:tc>
        <w:tc>
          <w:tcPr>
            <w:tcW w:w="2132" w:type="dxa"/>
            <w:gridSpan w:val="3"/>
            <w:tcBorders>
              <w:top w:val="single" w:sz="4" w:space="0" w:color="000000"/>
              <w:bottom w:val="nil"/>
            </w:tcBorders>
          </w:tcPr>
          <w:p w14:paraId="0F427FE6" w14:textId="77777777" w:rsidR="00266BEE" w:rsidRPr="000F78B9" w:rsidRDefault="00266BEE" w:rsidP="00E82294">
            <w:pPr>
              <w:pStyle w:val="TableText"/>
              <w:jc w:val="center"/>
            </w:pPr>
            <w:r>
              <w:t>n</w:t>
            </w:r>
            <w:r w:rsidRPr="000F78B9">
              <w:t>=</w:t>
            </w:r>
            <w:r>
              <w:t>230</w:t>
            </w:r>
            <w:r w:rsidRPr="000F78B9">
              <w:t xml:space="preserve"> (Weighted</w:t>
            </w:r>
            <w:r>
              <w:t xml:space="preserve"> n</w:t>
            </w:r>
            <w:r w:rsidRPr="000F78B9">
              <w:t>=</w:t>
            </w:r>
            <w:r>
              <w:t>2503</w:t>
            </w:r>
            <w:r w:rsidRPr="000F78B9">
              <w:t>)</w:t>
            </w:r>
          </w:p>
        </w:tc>
        <w:tc>
          <w:tcPr>
            <w:tcW w:w="2302" w:type="dxa"/>
            <w:gridSpan w:val="3"/>
            <w:tcBorders>
              <w:top w:val="single" w:sz="4" w:space="0" w:color="000000"/>
              <w:bottom w:val="nil"/>
            </w:tcBorders>
          </w:tcPr>
          <w:p w14:paraId="05315D05" w14:textId="77777777" w:rsidR="00266BEE" w:rsidRPr="000F78B9" w:rsidRDefault="00266BEE" w:rsidP="00E82294">
            <w:pPr>
              <w:pStyle w:val="TableText"/>
              <w:jc w:val="center"/>
            </w:pPr>
            <w:r>
              <w:t>n</w:t>
            </w:r>
            <w:r w:rsidRPr="000F78B9">
              <w:t>=</w:t>
            </w:r>
            <w:r>
              <w:t xml:space="preserve">647 </w:t>
            </w:r>
            <w:r w:rsidRPr="000F78B9">
              <w:t xml:space="preserve">(Weighted </w:t>
            </w:r>
            <w:r>
              <w:t>n</w:t>
            </w:r>
            <w:r w:rsidRPr="000F78B9">
              <w:t>=</w:t>
            </w:r>
            <w:r>
              <w:t>5145</w:t>
            </w:r>
            <w:r w:rsidRPr="000F78B9">
              <w:t>)</w:t>
            </w:r>
          </w:p>
        </w:tc>
      </w:tr>
      <w:tr w:rsidR="00E82294" w:rsidRPr="00C72931" w14:paraId="67C89A52"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Borders>
              <w:top w:val="nil"/>
            </w:tcBorders>
          </w:tcPr>
          <w:p w14:paraId="57217349"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74" w:type="dxa"/>
            <w:tcBorders>
              <w:top w:val="nil"/>
            </w:tcBorders>
          </w:tcPr>
          <w:p w14:paraId="3950AA4F" w14:textId="77777777" w:rsidR="00266BEE" w:rsidRPr="00C72931" w:rsidRDefault="00266BEE" w:rsidP="00E82294">
            <w:pPr>
              <w:pStyle w:val="TableText"/>
              <w:jc w:val="right"/>
            </w:pPr>
            <w:r w:rsidRPr="00C72931">
              <w:t>51</w:t>
            </w:r>
          </w:p>
        </w:tc>
        <w:tc>
          <w:tcPr>
            <w:tcW w:w="810" w:type="dxa"/>
            <w:tcBorders>
              <w:top w:val="nil"/>
            </w:tcBorders>
          </w:tcPr>
          <w:p w14:paraId="66A27D07" w14:textId="77777777" w:rsidR="00266BEE" w:rsidRPr="00C72931" w:rsidRDefault="00266BEE" w:rsidP="00E82294">
            <w:pPr>
              <w:pStyle w:val="TableText"/>
              <w:jc w:val="right"/>
            </w:pPr>
            <w:r w:rsidRPr="00C72931">
              <w:t>360</w:t>
            </w:r>
          </w:p>
        </w:tc>
        <w:tc>
          <w:tcPr>
            <w:tcW w:w="872" w:type="dxa"/>
            <w:tcBorders>
              <w:top w:val="nil"/>
            </w:tcBorders>
          </w:tcPr>
          <w:p w14:paraId="02A357B4" w14:textId="77777777" w:rsidR="00266BEE" w:rsidRPr="00C72931" w:rsidRDefault="00266BEE" w:rsidP="00E82294">
            <w:pPr>
              <w:pStyle w:val="TableText"/>
              <w:jc w:val="right"/>
            </w:pPr>
            <w:r w:rsidRPr="00C72931">
              <w:t>27.0 (20.0</w:t>
            </w:r>
            <w:r w:rsidR="00E82294">
              <w:t>, </w:t>
            </w:r>
            <w:r w:rsidRPr="00C72931">
              <w:t>35.4)</w:t>
            </w:r>
          </w:p>
        </w:tc>
        <w:tc>
          <w:tcPr>
            <w:tcW w:w="478" w:type="dxa"/>
            <w:tcBorders>
              <w:top w:val="nil"/>
            </w:tcBorders>
          </w:tcPr>
          <w:p w14:paraId="4F6845EB" w14:textId="77777777" w:rsidR="00266BEE" w:rsidRPr="00C72931" w:rsidRDefault="00266BEE" w:rsidP="00E82294">
            <w:pPr>
              <w:pStyle w:val="TableText"/>
              <w:jc w:val="right"/>
            </w:pPr>
            <w:r w:rsidRPr="00C72931">
              <w:t>314</w:t>
            </w:r>
          </w:p>
        </w:tc>
        <w:tc>
          <w:tcPr>
            <w:tcW w:w="810" w:type="dxa"/>
            <w:tcBorders>
              <w:top w:val="nil"/>
            </w:tcBorders>
          </w:tcPr>
          <w:p w14:paraId="6E4F24AF" w14:textId="77777777" w:rsidR="00266BEE" w:rsidRPr="00C72931" w:rsidRDefault="00266BEE" w:rsidP="00E82294">
            <w:pPr>
              <w:pStyle w:val="TableText"/>
              <w:jc w:val="right"/>
            </w:pPr>
            <w:r w:rsidRPr="00C72931">
              <w:t>2230</w:t>
            </w:r>
          </w:p>
        </w:tc>
        <w:tc>
          <w:tcPr>
            <w:tcW w:w="844" w:type="dxa"/>
            <w:tcBorders>
              <w:top w:val="nil"/>
            </w:tcBorders>
          </w:tcPr>
          <w:p w14:paraId="6D3F3606" w14:textId="77777777" w:rsidR="00266BEE" w:rsidRPr="00C72931" w:rsidRDefault="00266BEE" w:rsidP="00E82294">
            <w:pPr>
              <w:pStyle w:val="TableText"/>
              <w:jc w:val="right"/>
            </w:pPr>
            <w:r w:rsidRPr="00C72931">
              <w:t>41.7 (37.3</w:t>
            </w:r>
            <w:r w:rsidR="00E82294">
              <w:t>, </w:t>
            </w:r>
            <w:r w:rsidRPr="00C72931">
              <w:t>46.3)</w:t>
            </w:r>
          </w:p>
        </w:tc>
        <w:tc>
          <w:tcPr>
            <w:tcW w:w="506" w:type="dxa"/>
            <w:tcBorders>
              <w:top w:val="nil"/>
            </w:tcBorders>
          </w:tcPr>
          <w:p w14:paraId="2D08661D" w14:textId="77777777" w:rsidR="00266BEE" w:rsidRPr="00C72931" w:rsidRDefault="00266BEE" w:rsidP="00E82294">
            <w:pPr>
              <w:pStyle w:val="TableText"/>
              <w:jc w:val="right"/>
            </w:pPr>
            <w:r w:rsidRPr="00C72931">
              <w:t>29</w:t>
            </w:r>
          </w:p>
        </w:tc>
        <w:tc>
          <w:tcPr>
            <w:tcW w:w="810" w:type="dxa"/>
            <w:tcBorders>
              <w:top w:val="nil"/>
            </w:tcBorders>
          </w:tcPr>
          <w:p w14:paraId="36422999" w14:textId="77777777" w:rsidR="00266BEE" w:rsidRPr="00C72931" w:rsidRDefault="00266BEE" w:rsidP="00E82294">
            <w:pPr>
              <w:pStyle w:val="TableText"/>
              <w:jc w:val="right"/>
            </w:pPr>
            <w:r w:rsidRPr="00C72931">
              <w:t>225</w:t>
            </w:r>
          </w:p>
        </w:tc>
        <w:tc>
          <w:tcPr>
            <w:tcW w:w="816" w:type="dxa"/>
            <w:tcBorders>
              <w:top w:val="nil"/>
            </w:tcBorders>
          </w:tcPr>
          <w:p w14:paraId="23429BDD" w14:textId="77777777" w:rsidR="00266BEE" w:rsidRPr="00C72931" w:rsidRDefault="00266BEE" w:rsidP="00E82294">
            <w:pPr>
              <w:pStyle w:val="TableText"/>
              <w:jc w:val="right"/>
            </w:pPr>
            <w:r w:rsidRPr="00C72931">
              <w:t>9.0 (2.9</w:t>
            </w:r>
            <w:r w:rsidR="00E82294">
              <w:t>, </w:t>
            </w:r>
            <w:r w:rsidRPr="00C72931">
              <w:t>24.6)</w:t>
            </w:r>
          </w:p>
        </w:tc>
        <w:tc>
          <w:tcPr>
            <w:tcW w:w="534" w:type="dxa"/>
            <w:tcBorders>
              <w:top w:val="nil"/>
            </w:tcBorders>
          </w:tcPr>
          <w:p w14:paraId="4D62397D" w14:textId="77777777" w:rsidR="00266BEE" w:rsidRPr="00C72931" w:rsidRDefault="00266BEE" w:rsidP="00E82294">
            <w:pPr>
              <w:pStyle w:val="TableText"/>
              <w:jc w:val="right"/>
            </w:pPr>
            <w:r w:rsidRPr="00C72931">
              <w:t>236</w:t>
            </w:r>
          </w:p>
        </w:tc>
        <w:tc>
          <w:tcPr>
            <w:tcW w:w="810" w:type="dxa"/>
            <w:tcBorders>
              <w:top w:val="nil"/>
            </w:tcBorders>
          </w:tcPr>
          <w:p w14:paraId="4C443FD5" w14:textId="77777777" w:rsidR="00266BEE" w:rsidRPr="00C72931" w:rsidRDefault="00266BEE" w:rsidP="00E82294">
            <w:pPr>
              <w:pStyle w:val="TableText"/>
              <w:jc w:val="right"/>
            </w:pPr>
            <w:r w:rsidRPr="00C72931">
              <w:t>1423</w:t>
            </w:r>
          </w:p>
        </w:tc>
        <w:tc>
          <w:tcPr>
            <w:tcW w:w="958" w:type="dxa"/>
            <w:tcBorders>
              <w:top w:val="nil"/>
            </w:tcBorders>
          </w:tcPr>
          <w:p w14:paraId="7151BCE5" w14:textId="77777777" w:rsidR="00266BEE" w:rsidRPr="00C72931" w:rsidRDefault="00266BEE" w:rsidP="00E82294">
            <w:pPr>
              <w:pStyle w:val="TableText"/>
              <w:jc w:val="right"/>
            </w:pPr>
            <w:r w:rsidRPr="00C72931">
              <w:t>27.7 (16.7</w:t>
            </w:r>
            <w:r w:rsidR="00E82294">
              <w:t>, </w:t>
            </w:r>
            <w:r w:rsidRPr="00C72931">
              <w:t>42.1)</w:t>
            </w:r>
          </w:p>
        </w:tc>
      </w:tr>
      <w:tr w:rsidR="00E82294" w:rsidRPr="00C72931" w14:paraId="658178F0" w14:textId="77777777" w:rsidTr="00EF7D7F">
        <w:trPr>
          <w:cantSplit/>
        </w:trPr>
        <w:tc>
          <w:tcPr>
            <w:tcW w:w="2784" w:type="dxa"/>
            <w:tcBorders>
              <w:bottom w:val="single" w:sz="4" w:space="0" w:color="000000"/>
            </w:tcBorders>
          </w:tcPr>
          <w:p w14:paraId="15D522D2"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74" w:type="dxa"/>
            <w:tcBorders>
              <w:bottom w:val="single" w:sz="4" w:space="0" w:color="000000"/>
            </w:tcBorders>
          </w:tcPr>
          <w:p w14:paraId="2CA57C66" w14:textId="77777777" w:rsidR="00266BEE" w:rsidRPr="00C72931" w:rsidRDefault="00266BEE" w:rsidP="00E82294">
            <w:pPr>
              <w:pStyle w:val="TableText"/>
              <w:jc w:val="right"/>
            </w:pPr>
            <w:r w:rsidRPr="00C72931">
              <w:t>141</w:t>
            </w:r>
          </w:p>
        </w:tc>
        <w:tc>
          <w:tcPr>
            <w:tcW w:w="810" w:type="dxa"/>
            <w:tcBorders>
              <w:bottom w:val="single" w:sz="4" w:space="0" w:color="000000"/>
            </w:tcBorders>
          </w:tcPr>
          <w:p w14:paraId="63A2320A" w14:textId="77777777" w:rsidR="00266BEE" w:rsidRPr="00C72931" w:rsidRDefault="00266BEE" w:rsidP="00E82294">
            <w:pPr>
              <w:pStyle w:val="TableText"/>
              <w:jc w:val="right"/>
            </w:pPr>
            <w:r w:rsidRPr="00C72931">
              <w:t>969</w:t>
            </w:r>
          </w:p>
        </w:tc>
        <w:tc>
          <w:tcPr>
            <w:tcW w:w="872" w:type="dxa"/>
            <w:tcBorders>
              <w:bottom w:val="single" w:sz="4" w:space="0" w:color="000000"/>
            </w:tcBorders>
          </w:tcPr>
          <w:p w14:paraId="6066936E" w14:textId="77777777" w:rsidR="00266BEE" w:rsidRPr="00C72931" w:rsidRDefault="00266BEE" w:rsidP="00E82294">
            <w:pPr>
              <w:pStyle w:val="TableText"/>
              <w:jc w:val="right"/>
            </w:pPr>
            <w:r w:rsidRPr="00C72931">
              <w:t>72.7 (64.3</w:t>
            </w:r>
            <w:r w:rsidR="00E82294">
              <w:t>, </w:t>
            </w:r>
            <w:r w:rsidRPr="00C72931">
              <w:t>79.7)</w:t>
            </w:r>
          </w:p>
        </w:tc>
        <w:tc>
          <w:tcPr>
            <w:tcW w:w="478" w:type="dxa"/>
            <w:tcBorders>
              <w:bottom w:val="single" w:sz="4" w:space="0" w:color="000000"/>
            </w:tcBorders>
          </w:tcPr>
          <w:p w14:paraId="5A32CF15" w14:textId="77777777" w:rsidR="00266BEE" w:rsidRPr="00C72931" w:rsidRDefault="00266BEE" w:rsidP="00E82294">
            <w:pPr>
              <w:pStyle w:val="TableText"/>
              <w:jc w:val="right"/>
            </w:pPr>
            <w:r w:rsidRPr="00C72931">
              <w:t>398</w:t>
            </w:r>
          </w:p>
        </w:tc>
        <w:tc>
          <w:tcPr>
            <w:tcW w:w="810" w:type="dxa"/>
            <w:tcBorders>
              <w:bottom w:val="single" w:sz="4" w:space="0" w:color="000000"/>
            </w:tcBorders>
          </w:tcPr>
          <w:p w14:paraId="6A3F3696" w14:textId="77777777" w:rsidR="00266BEE" w:rsidRPr="00C72931" w:rsidRDefault="00266BEE" w:rsidP="00E82294">
            <w:pPr>
              <w:pStyle w:val="TableText"/>
              <w:jc w:val="right"/>
            </w:pPr>
            <w:r w:rsidRPr="00C72931">
              <w:t>3091</w:t>
            </w:r>
          </w:p>
        </w:tc>
        <w:tc>
          <w:tcPr>
            <w:tcW w:w="844" w:type="dxa"/>
            <w:tcBorders>
              <w:bottom w:val="single" w:sz="4" w:space="0" w:color="000000"/>
            </w:tcBorders>
          </w:tcPr>
          <w:p w14:paraId="161E1028" w14:textId="77777777" w:rsidR="00266BEE" w:rsidRPr="00C72931" w:rsidRDefault="00266BEE" w:rsidP="00E82294">
            <w:pPr>
              <w:pStyle w:val="TableText"/>
              <w:jc w:val="right"/>
            </w:pPr>
            <w:r w:rsidRPr="00C72931">
              <w:t>57.8 (53.3</w:t>
            </w:r>
            <w:r w:rsidR="00E82294">
              <w:t>, </w:t>
            </w:r>
            <w:r w:rsidRPr="00C72931">
              <w:t>62.3)</w:t>
            </w:r>
          </w:p>
        </w:tc>
        <w:tc>
          <w:tcPr>
            <w:tcW w:w="506" w:type="dxa"/>
            <w:tcBorders>
              <w:bottom w:val="single" w:sz="4" w:space="0" w:color="000000"/>
            </w:tcBorders>
          </w:tcPr>
          <w:p w14:paraId="1A5E8515" w14:textId="77777777" w:rsidR="00266BEE" w:rsidRPr="00C72931" w:rsidRDefault="00266BEE" w:rsidP="00E82294">
            <w:pPr>
              <w:pStyle w:val="TableText"/>
              <w:jc w:val="right"/>
            </w:pPr>
            <w:r w:rsidRPr="00C72931">
              <w:t>197</w:t>
            </w:r>
          </w:p>
        </w:tc>
        <w:tc>
          <w:tcPr>
            <w:tcW w:w="810" w:type="dxa"/>
            <w:tcBorders>
              <w:bottom w:val="single" w:sz="4" w:space="0" w:color="000000"/>
            </w:tcBorders>
          </w:tcPr>
          <w:p w14:paraId="37243319" w14:textId="77777777" w:rsidR="00266BEE" w:rsidRPr="00C72931" w:rsidRDefault="00266BEE" w:rsidP="00E82294">
            <w:pPr>
              <w:pStyle w:val="TableText"/>
              <w:jc w:val="right"/>
            </w:pPr>
            <w:r w:rsidRPr="00C72931">
              <w:t>2266</w:t>
            </w:r>
          </w:p>
        </w:tc>
        <w:tc>
          <w:tcPr>
            <w:tcW w:w="816" w:type="dxa"/>
            <w:tcBorders>
              <w:bottom w:val="single" w:sz="4" w:space="0" w:color="000000"/>
            </w:tcBorders>
          </w:tcPr>
          <w:p w14:paraId="02C90FF7" w14:textId="77777777" w:rsidR="00266BEE" w:rsidRPr="00C72931" w:rsidRDefault="00266BEE" w:rsidP="00E82294">
            <w:pPr>
              <w:pStyle w:val="TableText"/>
              <w:jc w:val="right"/>
            </w:pPr>
            <w:r w:rsidRPr="00C72931">
              <w:t>90.5 (75.2</w:t>
            </w:r>
            <w:r w:rsidR="00E82294">
              <w:t>, </w:t>
            </w:r>
            <w:r w:rsidRPr="00C72931">
              <w:t>96.8)</w:t>
            </w:r>
          </w:p>
        </w:tc>
        <w:tc>
          <w:tcPr>
            <w:tcW w:w="534" w:type="dxa"/>
            <w:tcBorders>
              <w:bottom w:val="single" w:sz="4" w:space="0" w:color="000000"/>
            </w:tcBorders>
          </w:tcPr>
          <w:p w14:paraId="76762DF3" w14:textId="77777777" w:rsidR="00266BEE" w:rsidRPr="00C72931" w:rsidRDefault="00266BEE" w:rsidP="00E82294">
            <w:pPr>
              <w:pStyle w:val="TableText"/>
              <w:jc w:val="right"/>
            </w:pPr>
            <w:r w:rsidRPr="00C72931">
              <w:t>409</w:t>
            </w:r>
          </w:p>
        </w:tc>
        <w:tc>
          <w:tcPr>
            <w:tcW w:w="810" w:type="dxa"/>
            <w:tcBorders>
              <w:bottom w:val="single" w:sz="4" w:space="0" w:color="000000"/>
            </w:tcBorders>
          </w:tcPr>
          <w:p w14:paraId="2ECDBE77" w14:textId="77777777" w:rsidR="00266BEE" w:rsidRPr="00C72931" w:rsidRDefault="00266BEE" w:rsidP="00E82294">
            <w:pPr>
              <w:pStyle w:val="TableText"/>
              <w:jc w:val="right"/>
            </w:pPr>
            <w:r w:rsidRPr="00C72931">
              <w:t>3707</w:t>
            </w:r>
          </w:p>
        </w:tc>
        <w:tc>
          <w:tcPr>
            <w:tcW w:w="958" w:type="dxa"/>
            <w:tcBorders>
              <w:bottom w:val="single" w:sz="4" w:space="0" w:color="000000"/>
            </w:tcBorders>
          </w:tcPr>
          <w:p w14:paraId="2610971A" w14:textId="77777777" w:rsidR="00266BEE" w:rsidRPr="00C72931" w:rsidRDefault="00266BEE" w:rsidP="00E82294">
            <w:pPr>
              <w:pStyle w:val="TableText"/>
              <w:jc w:val="right"/>
            </w:pPr>
            <w:r w:rsidRPr="00C72931">
              <w:t>72.0 (57.6</w:t>
            </w:r>
            <w:r w:rsidR="00E82294">
              <w:t>, </w:t>
            </w:r>
            <w:r w:rsidRPr="00C72931">
              <w:t>83.0)</w:t>
            </w:r>
          </w:p>
        </w:tc>
      </w:tr>
      <w:tr w:rsidR="00266BEE" w:rsidRPr="000F78B9" w14:paraId="43B72462"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Borders>
              <w:top w:val="single" w:sz="4" w:space="0" w:color="000000"/>
              <w:bottom w:val="nil"/>
            </w:tcBorders>
          </w:tcPr>
          <w:p w14:paraId="33098DBE" w14:textId="77777777" w:rsidR="00266BEE" w:rsidRPr="00C72931" w:rsidRDefault="00266BEE" w:rsidP="00E82294">
            <w:pPr>
              <w:pStyle w:val="TableText"/>
              <w:rPr>
                <w:b/>
                <w:bCs/>
                <w:color w:val="000000" w:themeColor="text1"/>
              </w:rPr>
            </w:pPr>
            <w:r w:rsidRPr="00C72931">
              <w:rPr>
                <w:b/>
              </w:rPr>
              <w:t xml:space="preserve">Probable alcohol </w:t>
            </w:r>
            <w:r>
              <w:rPr>
                <w:b/>
              </w:rPr>
              <w:t>u</w:t>
            </w:r>
            <w:r w:rsidRPr="00C72931">
              <w:rPr>
                <w:b/>
              </w:rPr>
              <w:t>se disorder (AUDIT)</w:t>
            </w:r>
          </w:p>
        </w:tc>
        <w:tc>
          <w:tcPr>
            <w:tcW w:w="2156" w:type="dxa"/>
            <w:gridSpan w:val="3"/>
            <w:tcBorders>
              <w:top w:val="single" w:sz="4" w:space="0" w:color="000000"/>
              <w:bottom w:val="nil"/>
            </w:tcBorders>
          </w:tcPr>
          <w:p w14:paraId="108F83D9" w14:textId="77777777" w:rsidR="00266BEE" w:rsidRPr="000F78B9" w:rsidRDefault="00266BEE" w:rsidP="00E82294">
            <w:pPr>
              <w:pStyle w:val="TableText"/>
              <w:jc w:val="center"/>
            </w:pPr>
            <w:r>
              <w:t>n</w:t>
            </w:r>
            <w:r w:rsidRPr="000F78B9">
              <w:t>=</w:t>
            </w:r>
            <w:r>
              <w:t>32</w:t>
            </w:r>
            <w:r w:rsidRPr="000F78B9">
              <w:t xml:space="preserve"> (Weighted</w:t>
            </w:r>
            <w:r>
              <w:t xml:space="preserve"> n</w:t>
            </w:r>
            <w:r w:rsidRPr="000F78B9">
              <w:t>=</w:t>
            </w:r>
            <w:r>
              <w:t>208</w:t>
            </w:r>
            <w:r w:rsidRPr="000F78B9">
              <w:t>)</w:t>
            </w:r>
          </w:p>
        </w:tc>
        <w:tc>
          <w:tcPr>
            <w:tcW w:w="2132" w:type="dxa"/>
            <w:gridSpan w:val="3"/>
            <w:tcBorders>
              <w:top w:val="single" w:sz="4" w:space="0" w:color="000000"/>
              <w:bottom w:val="nil"/>
            </w:tcBorders>
          </w:tcPr>
          <w:p w14:paraId="6CC1DCCB" w14:textId="77777777" w:rsidR="00266BEE" w:rsidRPr="000F78B9" w:rsidRDefault="00266BEE" w:rsidP="00E82294">
            <w:pPr>
              <w:pStyle w:val="TableText"/>
              <w:jc w:val="center"/>
            </w:pPr>
            <w:r>
              <w:t>n=190</w:t>
            </w:r>
            <w:r w:rsidRPr="000F78B9">
              <w:t xml:space="preserve"> (Weighted </w:t>
            </w:r>
            <w:r>
              <w:t>n</w:t>
            </w:r>
            <w:r w:rsidRPr="000F78B9">
              <w:t>=</w:t>
            </w:r>
            <w:r>
              <w:t>1384</w:t>
            </w:r>
            <w:r w:rsidRPr="000F78B9">
              <w:t>)</w:t>
            </w:r>
          </w:p>
        </w:tc>
        <w:tc>
          <w:tcPr>
            <w:tcW w:w="2132" w:type="dxa"/>
            <w:gridSpan w:val="3"/>
            <w:tcBorders>
              <w:top w:val="single" w:sz="4" w:space="0" w:color="000000"/>
              <w:bottom w:val="nil"/>
            </w:tcBorders>
          </w:tcPr>
          <w:p w14:paraId="64404417" w14:textId="77777777" w:rsidR="00266BEE" w:rsidRPr="000F78B9" w:rsidRDefault="00266BEE" w:rsidP="00E82294">
            <w:pPr>
              <w:pStyle w:val="TableText"/>
              <w:jc w:val="center"/>
            </w:pPr>
            <w:r>
              <w:t>n</w:t>
            </w:r>
            <w:r w:rsidRPr="000F78B9">
              <w:t>=</w:t>
            </w:r>
            <w:r>
              <w:t>14</w:t>
            </w:r>
            <w:r w:rsidRPr="000F78B9">
              <w:t xml:space="preserve"> (Weighted</w:t>
            </w:r>
            <w:r>
              <w:t xml:space="preserve"> n</w:t>
            </w:r>
            <w:r w:rsidRPr="000F78B9">
              <w:t>=</w:t>
            </w:r>
            <w:r>
              <w:t>245</w:t>
            </w:r>
            <w:r w:rsidRPr="000F78B9">
              <w:t>)</w:t>
            </w:r>
          </w:p>
        </w:tc>
        <w:tc>
          <w:tcPr>
            <w:tcW w:w="2302" w:type="dxa"/>
            <w:gridSpan w:val="3"/>
            <w:tcBorders>
              <w:top w:val="single" w:sz="4" w:space="0" w:color="000000"/>
              <w:bottom w:val="nil"/>
            </w:tcBorders>
          </w:tcPr>
          <w:p w14:paraId="10811960" w14:textId="77777777" w:rsidR="00266BEE" w:rsidRPr="000F78B9" w:rsidRDefault="00266BEE" w:rsidP="00E82294">
            <w:pPr>
              <w:pStyle w:val="TableText"/>
              <w:jc w:val="center"/>
            </w:pPr>
            <w:r>
              <w:t>n</w:t>
            </w:r>
            <w:r w:rsidRPr="000F78B9">
              <w:t>=</w:t>
            </w:r>
            <w:r>
              <w:t xml:space="preserve">64 </w:t>
            </w:r>
            <w:r w:rsidRPr="000F78B9">
              <w:t xml:space="preserve">(Weighted </w:t>
            </w:r>
            <w:r>
              <w:t>n</w:t>
            </w:r>
            <w:r w:rsidRPr="000F78B9">
              <w:t>=</w:t>
            </w:r>
            <w:r>
              <w:t>252</w:t>
            </w:r>
            <w:r w:rsidRPr="000F78B9">
              <w:t>)</w:t>
            </w:r>
          </w:p>
        </w:tc>
      </w:tr>
      <w:tr w:rsidR="00E82294" w:rsidRPr="00C72931" w14:paraId="73E483FC" w14:textId="77777777" w:rsidTr="00EF7D7F">
        <w:trPr>
          <w:cantSplit/>
        </w:trPr>
        <w:tc>
          <w:tcPr>
            <w:tcW w:w="2784" w:type="dxa"/>
            <w:tcBorders>
              <w:top w:val="nil"/>
            </w:tcBorders>
          </w:tcPr>
          <w:p w14:paraId="63FB9965"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74" w:type="dxa"/>
            <w:tcBorders>
              <w:top w:val="nil"/>
            </w:tcBorders>
          </w:tcPr>
          <w:p w14:paraId="463890B5" w14:textId="77777777" w:rsidR="00266BEE" w:rsidRPr="00C72931" w:rsidRDefault="00266BEE" w:rsidP="00E82294">
            <w:pPr>
              <w:pStyle w:val="TableText"/>
              <w:jc w:val="right"/>
            </w:pPr>
            <w:r w:rsidRPr="00C72931">
              <w:t>10</w:t>
            </w:r>
          </w:p>
        </w:tc>
        <w:tc>
          <w:tcPr>
            <w:tcW w:w="810" w:type="dxa"/>
            <w:tcBorders>
              <w:top w:val="nil"/>
            </w:tcBorders>
          </w:tcPr>
          <w:p w14:paraId="03144181" w14:textId="77777777" w:rsidR="00266BEE" w:rsidRPr="00C72931" w:rsidRDefault="00266BEE" w:rsidP="00E82294">
            <w:pPr>
              <w:pStyle w:val="TableText"/>
              <w:jc w:val="right"/>
            </w:pPr>
            <w:r w:rsidRPr="00C72931">
              <w:t>76</w:t>
            </w:r>
          </w:p>
        </w:tc>
        <w:tc>
          <w:tcPr>
            <w:tcW w:w="872" w:type="dxa"/>
            <w:tcBorders>
              <w:top w:val="nil"/>
            </w:tcBorders>
          </w:tcPr>
          <w:p w14:paraId="3B21ABDC" w14:textId="77777777" w:rsidR="00266BEE" w:rsidRPr="00C72931" w:rsidRDefault="00266BEE" w:rsidP="00E82294">
            <w:pPr>
              <w:pStyle w:val="TableText"/>
              <w:jc w:val="right"/>
            </w:pPr>
            <w:r w:rsidRPr="00C72931">
              <w:t>36.6 (18.2</w:t>
            </w:r>
            <w:r w:rsidR="00E82294">
              <w:t>, </w:t>
            </w:r>
            <w:r w:rsidRPr="00C72931">
              <w:t>59.8)</w:t>
            </w:r>
          </w:p>
        </w:tc>
        <w:tc>
          <w:tcPr>
            <w:tcW w:w="478" w:type="dxa"/>
            <w:tcBorders>
              <w:top w:val="nil"/>
            </w:tcBorders>
          </w:tcPr>
          <w:p w14:paraId="15CAE108" w14:textId="77777777" w:rsidR="00266BEE" w:rsidRPr="00C72931" w:rsidRDefault="00266BEE" w:rsidP="00E82294">
            <w:pPr>
              <w:pStyle w:val="TableText"/>
              <w:jc w:val="right"/>
            </w:pPr>
            <w:r w:rsidRPr="00C72931">
              <w:t>79</w:t>
            </w:r>
          </w:p>
        </w:tc>
        <w:tc>
          <w:tcPr>
            <w:tcW w:w="810" w:type="dxa"/>
            <w:tcBorders>
              <w:top w:val="nil"/>
            </w:tcBorders>
          </w:tcPr>
          <w:p w14:paraId="2327ACAD" w14:textId="77777777" w:rsidR="00266BEE" w:rsidRPr="00C72931" w:rsidRDefault="00266BEE" w:rsidP="00E82294">
            <w:pPr>
              <w:pStyle w:val="TableText"/>
              <w:jc w:val="right"/>
            </w:pPr>
            <w:r w:rsidRPr="00C72931">
              <w:t>577</w:t>
            </w:r>
          </w:p>
        </w:tc>
        <w:tc>
          <w:tcPr>
            <w:tcW w:w="844" w:type="dxa"/>
            <w:tcBorders>
              <w:top w:val="nil"/>
            </w:tcBorders>
          </w:tcPr>
          <w:p w14:paraId="4418283D" w14:textId="77777777" w:rsidR="00266BEE" w:rsidRPr="00C72931" w:rsidRDefault="00266BEE" w:rsidP="00E82294">
            <w:pPr>
              <w:pStyle w:val="TableText"/>
              <w:jc w:val="right"/>
            </w:pPr>
            <w:r w:rsidRPr="00C72931">
              <w:t>41.7 (33.2</w:t>
            </w:r>
            <w:r w:rsidR="00E82294">
              <w:t>, </w:t>
            </w:r>
            <w:r w:rsidRPr="00C72931">
              <w:t>50.8)</w:t>
            </w:r>
          </w:p>
        </w:tc>
        <w:tc>
          <w:tcPr>
            <w:tcW w:w="506" w:type="dxa"/>
            <w:tcBorders>
              <w:top w:val="nil"/>
            </w:tcBorders>
          </w:tcPr>
          <w:p w14:paraId="6DCC7942" w14:textId="77777777" w:rsidR="00266BEE" w:rsidRPr="00C72931" w:rsidRDefault="00266BEE" w:rsidP="00E82294">
            <w:pPr>
              <w:pStyle w:val="TableText"/>
              <w:jc w:val="right"/>
            </w:pPr>
            <w:r w:rsidRPr="00E603D7">
              <w:t>#</w:t>
            </w:r>
          </w:p>
        </w:tc>
        <w:tc>
          <w:tcPr>
            <w:tcW w:w="810" w:type="dxa"/>
            <w:tcBorders>
              <w:top w:val="nil"/>
            </w:tcBorders>
          </w:tcPr>
          <w:p w14:paraId="5854D5A8" w14:textId="77777777" w:rsidR="00266BEE" w:rsidRPr="00C72931" w:rsidRDefault="00266BEE" w:rsidP="00E82294">
            <w:pPr>
              <w:pStyle w:val="TableText"/>
              <w:jc w:val="right"/>
            </w:pPr>
            <w:r>
              <w:t>–</w:t>
            </w:r>
          </w:p>
        </w:tc>
        <w:tc>
          <w:tcPr>
            <w:tcW w:w="816" w:type="dxa"/>
            <w:tcBorders>
              <w:top w:val="nil"/>
            </w:tcBorders>
          </w:tcPr>
          <w:p w14:paraId="49957176" w14:textId="77777777" w:rsidR="00266BEE" w:rsidRPr="00C72931" w:rsidRDefault="00266BEE" w:rsidP="00E82294">
            <w:pPr>
              <w:pStyle w:val="TableText"/>
              <w:jc w:val="right"/>
            </w:pPr>
            <w:r>
              <w:t>–</w:t>
            </w:r>
          </w:p>
        </w:tc>
        <w:tc>
          <w:tcPr>
            <w:tcW w:w="534" w:type="dxa"/>
            <w:tcBorders>
              <w:top w:val="nil"/>
            </w:tcBorders>
          </w:tcPr>
          <w:p w14:paraId="052E9722" w14:textId="77777777" w:rsidR="00266BEE" w:rsidRPr="00C72931" w:rsidRDefault="00266BEE" w:rsidP="00E82294">
            <w:pPr>
              <w:pStyle w:val="TableText"/>
              <w:jc w:val="right"/>
            </w:pPr>
            <w:r w:rsidRPr="00C72931">
              <w:t>22</w:t>
            </w:r>
          </w:p>
        </w:tc>
        <w:tc>
          <w:tcPr>
            <w:tcW w:w="810" w:type="dxa"/>
            <w:tcBorders>
              <w:top w:val="nil"/>
            </w:tcBorders>
          </w:tcPr>
          <w:p w14:paraId="6768AFF7" w14:textId="77777777" w:rsidR="00266BEE" w:rsidRPr="00C72931" w:rsidRDefault="00266BEE" w:rsidP="00E82294">
            <w:pPr>
              <w:pStyle w:val="TableText"/>
              <w:jc w:val="right"/>
            </w:pPr>
            <w:r w:rsidRPr="00C72931">
              <w:t>84</w:t>
            </w:r>
          </w:p>
        </w:tc>
        <w:tc>
          <w:tcPr>
            <w:tcW w:w="958" w:type="dxa"/>
            <w:tcBorders>
              <w:top w:val="nil"/>
            </w:tcBorders>
          </w:tcPr>
          <w:p w14:paraId="363394E9" w14:textId="77777777" w:rsidR="00266BEE" w:rsidRPr="00C72931" w:rsidRDefault="00266BEE" w:rsidP="00E82294">
            <w:pPr>
              <w:pStyle w:val="TableText"/>
              <w:jc w:val="right"/>
            </w:pPr>
            <w:r w:rsidRPr="00C72931">
              <w:t>33.4 (21.6</w:t>
            </w:r>
            <w:r w:rsidR="00E82294">
              <w:t>, </w:t>
            </w:r>
            <w:r w:rsidRPr="00C72931">
              <w:t>47.8)</w:t>
            </w:r>
          </w:p>
        </w:tc>
      </w:tr>
      <w:tr w:rsidR="00E82294" w:rsidRPr="00C72931" w14:paraId="647961B9"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Borders>
              <w:bottom w:val="single" w:sz="4" w:space="0" w:color="000000"/>
            </w:tcBorders>
          </w:tcPr>
          <w:p w14:paraId="20A8567B"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74" w:type="dxa"/>
            <w:tcBorders>
              <w:bottom w:val="single" w:sz="4" w:space="0" w:color="000000"/>
            </w:tcBorders>
          </w:tcPr>
          <w:p w14:paraId="750A70F1" w14:textId="77777777" w:rsidR="00266BEE" w:rsidRPr="00C72931" w:rsidRDefault="00266BEE" w:rsidP="00E82294">
            <w:pPr>
              <w:pStyle w:val="TableText"/>
              <w:jc w:val="right"/>
            </w:pPr>
            <w:r w:rsidRPr="00C72931">
              <w:t>22</w:t>
            </w:r>
          </w:p>
        </w:tc>
        <w:tc>
          <w:tcPr>
            <w:tcW w:w="810" w:type="dxa"/>
            <w:tcBorders>
              <w:bottom w:val="single" w:sz="4" w:space="0" w:color="000000"/>
            </w:tcBorders>
          </w:tcPr>
          <w:p w14:paraId="2C9BB999" w14:textId="77777777" w:rsidR="00266BEE" w:rsidRPr="00C72931" w:rsidRDefault="00266BEE" w:rsidP="00E82294">
            <w:pPr>
              <w:pStyle w:val="TableText"/>
              <w:jc w:val="right"/>
            </w:pPr>
            <w:r w:rsidRPr="00C72931">
              <w:t>132</w:t>
            </w:r>
          </w:p>
        </w:tc>
        <w:tc>
          <w:tcPr>
            <w:tcW w:w="872" w:type="dxa"/>
            <w:tcBorders>
              <w:bottom w:val="single" w:sz="4" w:space="0" w:color="000000"/>
            </w:tcBorders>
          </w:tcPr>
          <w:p w14:paraId="6D2BF9B9" w14:textId="77777777" w:rsidR="00266BEE" w:rsidRPr="00C72931" w:rsidRDefault="00266BEE" w:rsidP="00E82294">
            <w:pPr>
              <w:pStyle w:val="TableText"/>
              <w:jc w:val="right"/>
            </w:pPr>
            <w:r w:rsidRPr="00C72931">
              <w:t>63.4 (40.2</w:t>
            </w:r>
            <w:r w:rsidR="00E82294">
              <w:t>, </w:t>
            </w:r>
            <w:r w:rsidRPr="00C72931">
              <w:t>81.8)</w:t>
            </w:r>
          </w:p>
        </w:tc>
        <w:tc>
          <w:tcPr>
            <w:tcW w:w="478" w:type="dxa"/>
            <w:tcBorders>
              <w:bottom w:val="single" w:sz="4" w:space="0" w:color="000000"/>
            </w:tcBorders>
          </w:tcPr>
          <w:p w14:paraId="4B181190" w14:textId="77777777" w:rsidR="00266BEE" w:rsidRPr="00C72931" w:rsidRDefault="00266BEE" w:rsidP="00E82294">
            <w:pPr>
              <w:pStyle w:val="TableText"/>
              <w:jc w:val="right"/>
            </w:pPr>
            <w:r w:rsidRPr="00C72931">
              <w:t>111</w:t>
            </w:r>
          </w:p>
        </w:tc>
        <w:tc>
          <w:tcPr>
            <w:tcW w:w="810" w:type="dxa"/>
            <w:tcBorders>
              <w:bottom w:val="single" w:sz="4" w:space="0" w:color="000000"/>
            </w:tcBorders>
          </w:tcPr>
          <w:p w14:paraId="756695C1" w14:textId="77777777" w:rsidR="00266BEE" w:rsidRPr="00C72931" w:rsidRDefault="00266BEE" w:rsidP="00E82294">
            <w:pPr>
              <w:pStyle w:val="TableText"/>
              <w:jc w:val="right"/>
            </w:pPr>
            <w:r w:rsidRPr="00C72931">
              <w:t>807</w:t>
            </w:r>
          </w:p>
        </w:tc>
        <w:tc>
          <w:tcPr>
            <w:tcW w:w="844" w:type="dxa"/>
            <w:tcBorders>
              <w:bottom w:val="single" w:sz="4" w:space="0" w:color="000000"/>
            </w:tcBorders>
          </w:tcPr>
          <w:p w14:paraId="7B8C0226" w14:textId="77777777" w:rsidR="00266BEE" w:rsidRPr="00C72931" w:rsidRDefault="00266BEE" w:rsidP="00E82294">
            <w:pPr>
              <w:pStyle w:val="TableText"/>
              <w:jc w:val="right"/>
            </w:pPr>
            <w:r w:rsidRPr="00C72931">
              <w:t>58.3 (49.2</w:t>
            </w:r>
            <w:r w:rsidR="00E82294">
              <w:t>, </w:t>
            </w:r>
            <w:r w:rsidRPr="00C72931">
              <w:t>66.8)</w:t>
            </w:r>
          </w:p>
        </w:tc>
        <w:tc>
          <w:tcPr>
            <w:tcW w:w="506" w:type="dxa"/>
            <w:tcBorders>
              <w:bottom w:val="single" w:sz="4" w:space="0" w:color="000000"/>
            </w:tcBorders>
          </w:tcPr>
          <w:p w14:paraId="453B6184" w14:textId="77777777" w:rsidR="00266BEE" w:rsidRPr="00C72931" w:rsidRDefault="00266BEE" w:rsidP="00E82294">
            <w:pPr>
              <w:pStyle w:val="TableText"/>
              <w:jc w:val="right"/>
            </w:pPr>
            <w:r w:rsidRPr="00C72931">
              <w:t>10</w:t>
            </w:r>
          </w:p>
        </w:tc>
        <w:tc>
          <w:tcPr>
            <w:tcW w:w="810" w:type="dxa"/>
            <w:tcBorders>
              <w:bottom w:val="single" w:sz="4" w:space="0" w:color="000000"/>
            </w:tcBorders>
          </w:tcPr>
          <w:p w14:paraId="1218EC95" w14:textId="77777777" w:rsidR="00266BEE" w:rsidRPr="00C72931" w:rsidRDefault="00266BEE" w:rsidP="00E82294">
            <w:pPr>
              <w:pStyle w:val="TableText"/>
              <w:jc w:val="right"/>
            </w:pPr>
            <w:r w:rsidRPr="00C72931">
              <w:t>223</w:t>
            </w:r>
          </w:p>
        </w:tc>
        <w:tc>
          <w:tcPr>
            <w:tcW w:w="816" w:type="dxa"/>
            <w:tcBorders>
              <w:bottom w:val="single" w:sz="4" w:space="0" w:color="000000"/>
            </w:tcBorders>
          </w:tcPr>
          <w:p w14:paraId="6138CB9F" w14:textId="77777777" w:rsidR="00266BEE" w:rsidRPr="00C72931" w:rsidRDefault="00266BEE" w:rsidP="00E82294">
            <w:pPr>
              <w:pStyle w:val="TableText"/>
              <w:jc w:val="right"/>
            </w:pPr>
            <w:r w:rsidRPr="00C72931">
              <w:t>91.1 (56.0</w:t>
            </w:r>
            <w:r w:rsidR="00E82294">
              <w:t>, </w:t>
            </w:r>
            <w:r w:rsidRPr="00C72931">
              <w:t>98.8)</w:t>
            </w:r>
          </w:p>
        </w:tc>
        <w:tc>
          <w:tcPr>
            <w:tcW w:w="534" w:type="dxa"/>
            <w:tcBorders>
              <w:bottom w:val="single" w:sz="4" w:space="0" w:color="000000"/>
            </w:tcBorders>
          </w:tcPr>
          <w:p w14:paraId="5AE87524" w14:textId="77777777" w:rsidR="00266BEE" w:rsidRPr="00C72931" w:rsidRDefault="00266BEE" w:rsidP="00E82294">
            <w:pPr>
              <w:pStyle w:val="TableText"/>
              <w:jc w:val="right"/>
            </w:pPr>
            <w:r w:rsidRPr="00C72931">
              <w:t>42</w:t>
            </w:r>
          </w:p>
        </w:tc>
        <w:tc>
          <w:tcPr>
            <w:tcW w:w="810" w:type="dxa"/>
            <w:tcBorders>
              <w:bottom w:val="single" w:sz="4" w:space="0" w:color="000000"/>
            </w:tcBorders>
          </w:tcPr>
          <w:p w14:paraId="22E2D2E0" w14:textId="77777777" w:rsidR="00266BEE" w:rsidRPr="00C72931" w:rsidRDefault="00266BEE" w:rsidP="00E82294">
            <w:pPr>
              <w:pStyle w:val="TableText"/>
              <w:jc w:val="right"/>
            </w:pPr>
            <w:r w:rsidRPr="00C72931">
              <w:t>168</w:t>
            </w:r>
          </w:p>
        </w:tc>
        <w:tc>
          <w:tcPr>
            <w:tcW w:w="958" w:type="dxa"/>
            <w:tcBorders>
              <w:bottom w:val="single" w:sz="4" w:space="0" w:color="000000"/>
            </w:tcBorders>
          </w:tcPr>
          <w:p w14:paraId="72C0AB52" w14:textId="77777777" w:rsidR="00266BEE" w:rsidRPr="00C72931" w:rsidRDefault="00266BEE" w:rsidP="00E82294">
            <w:pPr>
              <w:pStyle w:val="TableText"/>
              <w:jc w:val="right"/>
            </w:pPr>
            <w:r w:rsidRPr="00C72931">
              <w:t>66.6 (52.2</w:t>
            </w:r>
            <w:r w:rsidR="00E82294">
              <w:t>, </w:t>
            </w:r>
            <w:r w:rsidRPr="00C72931">
              <w:t>78.4)</w:t>
            </w:r>
          </w:p>
        </w:tc>
      </w:tr>
      <w:tr w:rsidR="00266BEE" w:rsidRPr="000F78B9" w14:paraId="02E25FF6" w14:textId="77777777" w:rsidTr="00EF7D7F">
        <w:trPr>
          <w:cantSplit/>
        </w:trPr>
        <w:tc>
          <w:tcPr>
            <w:tcW w:w="2784" w:type="dxa"/>
            <w:tcBorders>
              <w:top w:val="single" w:sz="4" w:space="0" w:color="000000"/>
              <w:bottom w:val="nil"/>
            </w:tcBorders>
          </w:tcPr>
          <w:p w14:paraId="1FA6D6A4" w14:textId="77777777" w:rsidR="00266BEE" w:rsidRPr="00C72931" w:rsidRDefault="00266BEE" w:rsidP="00E82294">
            <w:pPr>
              <w:pStyle w:val="TableText"/>
              <w:rPr>
                <w:b/>
                <w:bCs/>
                <w:color w:val="000000" w:themeColor="text1"/>
              </w:rPr>
            </w:pPr>
            <w:r w:rsidRPr="00C72931">
              <w:rPr>
                <w:b/>
              </w:rPr>
              <w:t>Probable depressive episode (PHQ-9)</w:t>
            </w:r>
          </w:p>
        </w:tc>
        <w:tc>
          <w:tcPr>
            <w:tcW w:w="2156" w:type="dxa"/>
            <w:gridSpan w:val="3"/>
            <w:tcBorders>
              <w:top w:val="single" w:sz="4" w:space="0" w:color="000000"/>
              <w:bottom w:val="nil"/>
            </w:tcBorders>
          </w:tcPr>
          <w:p w14:paraId="5E8522A6" w14:textId="77777777" w:rsidR="00266BEE" w:rsidRPr="000F78B9" w:rsidRDefault="00266BEE" w:rsidP="00E82294">
            <w:pPr>
              <w:pStyle w:val="TableText"/>
              <w:jc w:val="center"/>
            </w:pPr>
            <w:r>
              <w:t>n</w:t>
            </w:r>
            <w:r w:rsidRPr="000F78B9">
              <w:t>=</w:t>
            </w:r>
            <w:r>
              <w:t>74</w:t>
            </w:r>
            <w:r w:rsidRPr="000F78B9">
              <w:t xml:space="preserve"> (Weighted</w:t>
            </w:r>
            <w:r>
              <w:t xml:space="preserve"> n</w:t>
            </w:r>
            <w:r w:rsidRPr="000F78B9">
              <w:t>=</w:t>
            </w:r>
            <w:r>
              <w:t>553</w:t>
            </w:r>
            <w:r w:rsidRPr="000F78B9">
              <w:t>)</w:t>
            </w:r>
          </w:p>
        </w:tc>
        <w:tc>
          <w:tcPr>
            <w:tcW w:w="2132" w:type="dxa"/>
            <w:gridSpan w:val="3"/>
            <w:tcBorders>
              <w:top w:val="single" w:sz="4" w:space="0" w:color="000000"/>
              <w:bottom w:val="nil"/>
            </w:tcBorders>
          </w:tcPr>
          <w:p w14:paraId="348F28AD" w14:textId="77777777" w:rsidR="00266BEE" w:rsidRPr="000F78B9" w:rsidRDefault="00266BEE" w:rsidP="00E82294">
            <w:pPr>
              <w:pStyle w:val="TableText"/>
              <w:jc w:val="center"/>
            </w:pPr>
            <w:r>
              <w:t>n=382</w:t>
            </w:r>
            <w:r w:rsidRPr="000F78B9">
              <w:t xml:space="preserve"> (Weighted </w:t>
            </w:r>
            <w:r>
              <w:t>n</w:t>
            </w:r>
            <w:r w:rsidRPr="000F78B9">
              <w:t>=</w:t>
            </w:r>
            <w:r>
              <w:t>2774</w:t>
            </w:r>
            <w:r w:rsidRPr="000F78B9">
              <w:t>)</w:t>
            </w:r>
          </w:p>
        </w:tc>
        <w:tc>
          <w:tcPr>
            <w:tcW w:w="2132" w:type="dxa"/>
            <w:gridSpan w:val="3"/>
            <w:tcBorders>
              <w:top w:val="single" w:sz="4" w:space="0" w:color="000000"/>
              <w:bottom w:val="nil"/>
            </w:tcBorders>
          </w:tcPr>
          <w:p w14:paraId="73183DAD" w14:textId="77777777" w:rsidR="00266BEE" w:rsidRPr="000F78B9" w:rsidRDefault="00266BEE" w:rsidP="00E82294">
            <w:pPr>
              <w:pStyle w:val="TableText"/>
              <w:jc w:val="center"/>
            </w:pPr>
            <w:r>
              <w:t>n</w:t>
            </w:r>
            <w:r w:rsidRPr="000F78B9">
              <w:t>=</w:t>
            </w:r>
            <w:r>
              <w:t>25</w:t>
            </w:r>
            <w:r w:rsidRPr="000F78B9">
              <w:t xml:space="preserve"> (Weighted</w:t>
            </w:r>
            <w:r>
              <w:t xml:space="preserve"> n</w:t>
            </w:r>
            <w:r w:rsidRPr="000F78B9">
              <w:t>=</w:t>
            </w:r>
            <w:r>
              <w:t>128</w:t>
            </w:r>
            <w:r w:rsidRPr="000F78B9">
              <w:t>)</w:t>
            </w:r>
          </w:p>
        </w:tc>
        <w:tc>
          <w:tcPr>
            <w:tcW w:w="2302" w:type="dxa"/>
            <w:gridSpan w:val="3"/>
            <w:tcBorders>
              <w:top w:val="single" w:sz="4" w:space="0" w:color="000000"/>
              <w:bottom w:val="nil"/>
            </w:tcBorders>
          </w:tcPr>
          <w:p w14:paraId="040304F8" w14:textId="77777777" w:rsidR="00266BEE" w:rsidRPr="000F78B9" w:rsidRDefault="00266BEE" w:rsidP="00E82294">
            <w:pPr>
              <w:pStyle w:val="TableText"/>
              <w:jc w:val="center"/>
            </w:pPr>
            <w:r>
              <w:t>n</w:t>
            </w:r>
            <w:r w:rsidRPr="000F78B9">
              <w:t>=</w:t>
            </w:r>
            <w:r>
              <w:t xml:space="preserve">208 </w:t>
            </w:r>
            <w:r w:rsidRPr="000F78B9">
              <w:t xml:space="preserve">(Weighted </w:t>
            </w:r>
            <w:r>
              <w:t>n</w:t>
            </w:r>
            <w:r w:rsidRPr="000F78B9">
              <w:t>=</w:t>
            </w:r>
            <w:r>
              <w:t>1770</w:t>
            </w:r>
            <w:r w:rsidRPr="000F78B9">
              <w:t>)</w:t>
            </w:r>
          </w:p>
        </w:tc>
      </w:tr>
      <w:tr w:rsidR="00E82294" w:rsidRPr="00C72931" w14:paraId="7F38079B"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Borders>
              <w:top w:val="nil"/>
            </w:tcBorders>
          </w:tcPr>
          <w:p w14:paraId="418806E1"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74" w:type="dxa"/>
            <w:tcBorders>
              <w:top w:val="nil"/>
            </w:tcBorders>
          </w:tcPr>
          <w:p w14:paraId="1A7CCD85" w14:textId="77777777" w:rsidR="00266BEE" w:rsidRPr="00C72931" w:rsidRDefault="00266BEE" w:rsidP="00E82294">
            <w:pPr>
              <w:pStyle w:val="TableText"/>
              <w:jc w:val="right"/>
            </w:pPr>
            <w:r w:rsidRPr="00C72931">
              <w:t>21</w:t>
            </w:r>
          </w:p>
        </w:tc>
        <w:tc>
          <w:tcPr>
            <w:tcW w:w="810" w:type="dxa"/>
            <w:tcBorders>
              <w:top w:val="nil"/>
            </w:tcBorders>
          </w:tcPr>
          <w:p w14:paraId="40E52163" w14:textId="77777777" w:rsidR="00266BEE" w:rsidRPr="00C72931" w:rsidRDefault="00266BEE" w:rsidP="00E82294">
            <w:pPr>
              <w:pStyle w:val="TableText"/>
              <w:jc w:val="right"/>
            </w:pPr>
            <w:r w:rsidRPr="00C72931">
              <w:t>136</w:t>
            </w:r>
          </w:p>
        </w:tc>
        <w:tc>
          <w:tcPr>
            <w:tcW w:w="872" w:type="dxa"/>
            <w:tcBorders>
              <w:top w:val="nil"/>
            </w:tcBorders>
          </w:tcPr>
          <w:p w14:paraId="313EA40A" w14:textId="77777777" w:rsidR="00266BEE" w:rsidRPr="00C72931" w:rsidRDefault="00266BEE" w:rsidP="00E82294">
            <w:pPr>
              <w:pStyle w:val="TableText"/>
              <w:jc w:val="right"/>
            </w:pPr>
            <w:r w:rsidRPr="00C72931">
              <w:t>25.4 (15.6</w:t>
            </w:r>
            <w:r w:rsidR="00E82294">
              <w:t>, </w:t>
            </w:r>
            <w:r w:rsidRPr="00C72931">
              <w:t>38.6)</w:t>
            </w:r>
          </w:p>
        </w:tc>
        <w:tc>
          <w:tcPr>
            <w:tcW w:w="478" w:type="dxa"/>
            <w:tcBorders>
              <w:top w:val="nil"/>
            </w:tcBorders>
          </w:tcPr>
          <w:p w14:paraId="4B27DBA3" w14:textId="77777777" w:rsidR="00266BEE" w:rsidRPr="00C72931" w:rsidRDefault="00266BEE" w:rsidP="00E82294">
            <w:pPr>
              <w:pStyle w:val="TableText"/>
              <w:jc w:val="right"/>
            </w:pPr>
            <w:r w:rsidRPr="00C72931">
              <w:t>180</w:t>
            </w:r>
          </w:p>
        </w:tc>
        <w:tc>
          <w:tcPr>
            <w:tcW w:w="810" w:type="dxa"/>
            <w:tcBorders>
              <w:top w:val="nil"/>
            </w:tcBorders>
          </w:tcPr>
          <w:p w14:paraId="5321EB68" w14:textId="77777777" w:rsidR="00266BEE" w:rsidRPr="00C72931" w:rsidRDefault="00266BEE" w:rsidP="00E82294">
            <w:pPr>
              <w:pStyle w:val="TableText"/>
              <w:jc w:val="right"/>
            </w:pPr>
            <w:r w:rsidRPr="00C72931">
              <w:t>1244</w:t>
            </w:r>
          </w:p>
        </w:tc>
        <w:tc>
          <w:tcPr>
            <w:tcW w:w="844" w:type="dxa"/>
            <w:tcBorders>
              <w:top w:val="nil"/>
            </w:tcBorders>
          </w:tcPr>
          <w:p w14:paraId="5750E3E6" w14:textId="77777777" w:rsidR="00266BEE" w:rsidRPr="00C72931" w:rsidRDefault="00266BEE" w:rsidP="00E82294">
            <w:pPr>
              <w:pStyle w:val="TableText"/>
              <w:jc w:val="right"/>
            </w:pPr>
            <w:r w:rsidRPr="00C72931">
              <w:t>44.9 (38.9</w:t>
            </w:r>
            <w:r w:rsidR="00E82294">
              <w:t>, </w:t>
            </w:r>
            <w:r w:rsidRPr="00C72931">
              <w:t>51.0)</w:t>
            </w:r>
          </w:p>
        </w:tc>
        <w:tc>
          <w:tcPr>
            <w:tcW w:w="506" w:type="dxa"/>
            <w:tcBorders>
              <w:top w:val="nil"/>
            </w:tcBorders>
          </w:tcPr>
          <w:p w14:paraId="5543D6B4" w14:textId="77777777" w:rsidR="00266BEE" w:rsidRPr="00C72931" w:rsidRDefault="00266BEE" w:rsidP="00E82294">
            <w:pPr>
              <w:pStyle w:val="TableText"/>
              <w:jc w:val="right"/>
            </w:pPr>
            <w:r w:rsidRPr="00C72931">
              <w:t>7</w:t>
            </w:r>
          </w:p>
        </w:tc>
        <w:tc>
          <w:tcPr>
            <w:tcW w:w="810" w:type="dxa"/>
            <w:tcBorders>
              <w:top w:val="nil"/>
            </w:tcBorders>
          </w:tcPr>
          <w:p w14:paraId="2690A3AA" w14:textId="77777777" w:rsidR="00266BEE" w:rsidRPr="00C72931" w:rsidRDefault="00266BEE" w:rsidP="00E82294">
            <w:pPr>
              <w:pStyle w:val="TableText"/>
              <w:jc w:val="right"/>
            </w:pPr>
            <w:r w:rsidRPr="00C72931">
              <w:t>21</w:t>
            </w:r>
          </w:p>
        </w:tc>
        <w:tc>
          <w:tcPr>
            <w:tcW w:w="816" w:type="dxa"/>
            <w:tcBorders>
              <w:top w:val="nil"/>
            </w:tcBorders>
          </w:tcPr>
          <w:p w14:paraId="15E3764B" w14:textId="77777777" w:rsidR="00266BEE" w:rsidRPr="00C72931" w:rsidRDefault="00266BEE" w:rsidP="00E82294">
            <w:pPr>
              <w:pStyle w:val="TableText"/>
              <w:jc w:val="right"/>
            </w:pPr>
            <w:r w:rsidRPr="00C72931">
              <w:t>16.6 (7.7</w:t>
            </w:r>
            <w:r w:rsidR="00E82294">
              <w:t>, </w:t>
            </w:r>
            <w:r w:rsidRPr="00C72931">
              <w:t>32.0)</w:t>
            </w:r>
          </w:p>
        </w:tc>
        <w:tc>
          <w:tcPr>
            <w:tcW w:w="534" w:type="dxa"/>
            <w:tcBorders>
              <w:top w:val="nil"/>
            </w:tcBorders>
          </w:tcPr>
          <w:p w14:paraId="523DE44D" w14:textId="77777777" w:rsidR="00266BEE" w:rsidRPr="00C72931" w:rsidRDefault="00266BEE" w:rsidP="00E82294">
            <w:pPr>
              <w:pStyle w:val="TableText"/>
              <w:jc w:val="right"/>
            </w:pPr>
            <w:r w:rsidRPr="00C72931">
              <w:t>85</w:t>
            </w:r>
          </w:p>
        </w:tc>
        <w:tc>
          <w:tcPr>
            <w:tcW w:w="810" w:type="dxa"/>
            <w:tcBorders>
              <w:top w:val="nil"/>
            </w:tcBorders>
          </w:tcPr>
          <w:p w14:paraId="2B6C3BA2" w14:textId="77777777" w:rsidR="00266BEE" w:rsidRPr="00C72931" w:rsidRDefault="00266BEE" w:rsidP="00E82294">
            <w:pPr>
              <w:pStyle w:val="TableText"/>
              <w:jc w:val="right"/>
            </w:pPr>
            <w:r w:rsidRPr="00C72931">
              <w:t>658</w:t>
            </w:r>
          </w:p>
        </w:tc>
        <w:tc>
          <w:tcPr>
            <w:tcW w:w="958" w:type="dxa"/>
            <w:tcBorders>
              <w:top w:val="nil"/>
            </w:tcBorders>
          </w:tcPr>
          <w:p w14:paraId="723891A3" w14:textId="77777777" w:rsidR="00266BEE" w:rsidRPr="00C72931" w:rsidRDefault="00266BEE" w:rsidP="00E82294">
            <w:pPr>
              <w:pStyle w:val="TableText"/>
              <w:jc w:val="right"/>
            </w:pPr>
            <w:r w:rsidRPr="00C72931">
              <w:t>37.2 (15.3</w:t>
            </w:r>
            <w:r w:rsidR="00E82294">
              <w:t>, </w:t>
            </w:r>
            <w:r w:rsidRPr="00C72931">
              <w:t>65.9)</w:t>
            </w:r>
          </w:p>
        </w:tc>
      </w:tr>
      <w:tr w:rsidR="00E82294" w:rsidRPr="00C72931" w14:paraId="091C32D3" w14:textId="77777777" w:rsidTr="00EF7D7F">
        <w:trPr>
          <w:cantSplit/>
        </w:trPr>
        <w:tc>
          <w:tcPr>
            <w:tcW w:w="2784" w:type="dxa"/>
            <w:tcBorders>
              <w:bottom w:val="single" w:sz="4" w:space="0" w:color="000000"/>
            </w:tcBorders>
          </w:tcPr>
          <w:p w14:paraId="2388CD01"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74" w:type="dxa"/>
            <w:tcBorders>
              <w:bottom w:val="single" w:sz="4" w:space="0" w:color="000000"/>
            </w:tcBorders>
          </w:tcPr>
          <w:p w14:paraId="522D7767" w14:textId="77777777" w:rsidR="00266BEE" w:rsidRPr="00C72931" w:rsidRDefault="00266BEE" w:rsidP="00E82294">
            <w:pPr>
              <w:pStyle w:val="TableText"/>
              <w:jc w:val="right"/>
            </w:pPr>
            <w:r w:rsidRPr="00C72931">
              <w:t>53</w:t>
            </w:r>
          </w:p>
        </w:tc>
        <w:tc>
          <w:tcPr>
            <w:tcW w:w="810" w:type="dxa"/>
            <w:tcBorders>
              <w:bottom w:val="single" w:sz="4" w:space="0" w:color="000000"/>
            </w:tcBorders>
          </w:tcPr>
          <w:p w14:paraId="354A94AB" w14:textId="77777777" w:rsidR="00266BEE" w:rsidRPr="00C72931" w:rsidRDefault="00266BEE" w:rsidP="00E82294">
            <w:pPr>
              <w:pStyle w:val="TableText"/>
              <w:jc w:val="right"/>
            </w:pPr>
            <w:r w:rsidRPr="00C72931">
              <w:t>397</w:t>
            </w:r>
          </w:p>
        </w:tc>
        <w:tc>
          <w:tcPr>
            <w:tcW w:w="872" w:type="dxa"/>
            <w:tcBorders>
              <w:bottom w:val="single" w:sz="4" w:space="0" w:color="000000"/>
            </w:tcBorders>
          </w:tcPr>
          <w:p w14:paraId="09362D54" w14:textId="77777777" w:rsidR="00266BEE" w:rsidRPr="00C72931" w:rsidRDefault="00266BEE" w:rsidP="00E82294">
            <w:pPr>
              <w:pStyle w:val="TableText"/>
              <w:jc w:val="right"/>
            </w:pPr>
            <w:r w:rsidRPr="00C72931">
              <w:t>74.6 (61.4</w:t>
            </w:r>
            <w:r w:rsidR="00E82294">
              <w:t>, </w:t>
            </w:r>
            <w:r w:rsidRPr="00C72931">
              <w:t>84.4)</w:t>
            </w:r>
          </w:p>
        </w:tc>
        <w:tc>
          <w:tcPr>
            <w:tcW w:w="478" w:type="dxa"/>
            <w:tcBorders>
              <w:bottom w:val="single" w:sz="4" w:space="0" w:color="000000"/>
            </w:tcBorders>
          </w:tcPr>
          <w:p w14:paraId="7E75B4BF" w14:textId="77777777" w:rsidR="00266BEE" w:rsidRPr="00C72931" w:rsidRDefault="00266BEE" w:rsidP="00E82294">
            <w:pPr>
              <w:pStyle w:val="TableText"/>
              <w:jc w:val="right"/>
            </w:pPr>
            <w:r w:rsidRPr="00C72931">
              <w:t>200</w:t>
            </w:r>
          </w:p>
        </w:tc>
        <w:tc>
          <w:tcPr>
            <w:tcW w:w="810" w:type="dxa"/>
            <w:tcBorders>
              <w:bottom w:val="single" w:sz="4" w:space="0" w:color="000000"/>
            </w:tcBorders>
          </w:tcPr>
          <w:p w14:paraId="04A3FD4D" w14:textId="77777777" w:rsidR="00266BEE" w:rsidRPr="00C72931" w:rsidRDefault="00266BEE" w:rsidP="00E82294">
            <w:pPr>
              <w:pStyle w:val="TableText"/>
              <w:jc w:val="right"/>
            </w:pPr>
            <w:r w:rsidRPr="00C72931">
              <w:t>1512</w:t>
            </w:r>
          </w:p>
        </w:tc>
        <w:tc>
          <w:tcPr>
            <w:tcW w:w="844" w:type="dxa"/>
            <w:tcBorders>
              <w:bottom w:val="single" w:sz="4" w:space="0" w:color="000000"/>
            </w:tcBorders>
          </w:tcPr>
          <w:p w14:paraId="22391478" w14:textId="77777777" w:rsidR="00266BEE" w:rsidRPr="00C72931" w:rsidRDefault="00266BEE" w:rsidP="00E82294">
            <w:pPr>
              <w:pStyle w:val="TableText"/>
              <w:jc w:val="right"/>
            </w:pPr>
            <w:r w:rsidRPr="00C72931">
              <w:t>54.5 (48.3</w:t>
            </w:r>
            <w:r w:rsidR="00E82294">
              <w:t>, </w:t>
            </w:r>
            <w:r w:rsidRPr="00C72931">
              <w:t>60.5)</w:t>
            </w:r>
          </w:p>
        </w:tc>
        <w:tc>
          <w:tcPr>
            <w:tcW w:w="506" w:type="dxa"/>
            <w:tcBorders>
              <w:bottom w:val="single" w:sz="4" w:space="0" w:color="000000"/>
            </w:tcBorders>
          </w:tcPr>
          <w:p w14:paraId="02D2FA7E" w14:textId="77777777" w:rsidR="00266BEE" w:rsidRPr="00C72931" w:rsidRDefault="00266BEE" w:rsidP="00E82294">
            <w:pPr>
              <w:pStyle w:val="TableText"/>
              <w:jc w:val="right"/>
            </w:pPr>
            <w:r w:rsidRPr="00C72931">
              <w:t>17</w:t>
            </w:r>
          </w:p>
        </w:tc>
        <w:tc>
          <w:tcPr>
            <w:tcW w:w="810" w:type="dxa"/>
            <w:tcBorders>
              <w:bottom w:val="single" w:sz="4" w:space="0" w:color="000000"/>
            </w:tcBorders>
          </w:tcPr>
          <w:p w14:paraId="72E05E68" w14:textId="77777777" w:rsidR="00266BEE" w:rsidRPr="00C72931" w:rsidRDefault="00266BEE" w:rsidP="00E82294">
            <w:pPr>
              <w:pStyle w:val="TableText"/>
              <w:jc w:val="right"/>
            </w:pPr>
            <w:r w:rsidRPr="00C72931">
              <w:t>103</w:t>
            </w:r>
          </w:p>
        </w:tc>
        <w:tc>
          <w:tcPr>
            <w:tcW w:w="816" w:type="dxa"/>
            <w:tcBorders>
              <w:bottom w:val="single" w:sz="4" w:space="0" w:color="000000"/>
            </w:tcBorders>
          </w:tcPr>
          <w:p w14:paraId="2492A330" w14:textId="77777777" w:rsidR="00266BEE" w:rsidRPr="00C72931" w:rsidRDefault="00266BEE" w:rsidP="00E82294">
            <w:pPr>
              <w:pStyle w:val="TableText"/>
              <w:jc w:val="right"/>
            </w:pPr>
            <w:r w:rsidRPr="00C72931">
              <w:t>80.7 (64.2</w:t>
            </w:r>
            <w:r w:rsidR="00E82294">
              <w:t>, </w:t>
            </w:r>
            <w:r w:rsidRPr="00C72931">
              <w:t>90.7)</w:t>
            </w:r>
          </w:p>
        </w:tc>
        <w:tc>
          <w:tcPr>
            <w:tcW w:w="534" w:type="dxa"/>
            <w:tcBorders>
              <w:bottom w:val="single" w:sz="4" w:space="0" w:color="000000"/>
            </w:tcBorders>
          </w:tcPr>
          <w:p w14:paraId="288B261B" w14:textId="77777777" w:rsidR="00266BEE" w:rsidRPr="00C72931" w:rsidRDefault="00266BEE" w:rsidP="00E82294">
            <w:pPr>
              <w:pStyle w:val="TableText"/>
              <w:jc w:val="right"/>
            </w:pPr>
            <w:r w:rsidRPr="00C72931">
              <w:t>123</w:t>
            </w:r>
          </w:p>
        </w:tc>
        <w:tc>
          <w:tcPr>
            <w:tcW w:w="810" w:type="dxa"/>
            <w:tcBorders>
              <w:bottom w:val="single" w:sz="4" w:space="0" w:color="000000"/>
            </w:tcBorders>
          </w:tcPr>
          <w:p w14:paraId="7D41A017" w14:textId="77777777" w:rsidR="00266BEE" w:rsidRPr="00C72931" w:rsidRDefault="00266BEE" w:rsidP="00E82294">
            <w:pPr>
              <w:pStyle w:val="TableText"/>
              <w:jc w:val="right"/>
            </w:pPr>
            <w:r w:rsidRPr="00C72931">
              <w:t>1112</w:t>
            </w:r>
          </w:p>
        </w:tc>
        <w:tc>
          <w:tcPr>
            <w:tcW w:w="958" w:type="dxa"/>
            <w:tcBorders>
              <w:bottom w:val="single" w:sz="4" w:space="0" w:color="000000"/>
            </w:tcBorders>
          </w:tcPr>
          <w:p w14:paraId="59A77ABB" w14:textId="77777777" w:rsidR="00266BEE" w:rsidRPr="00C72931" w:rsidRDefault="00266BEE" w:rsidP="00E82294">
            <w:pPr>
              <w:pStyle w:val="TableText"/>
              <w:jc w:val="right"/>
            </w:pPr>
            <w:r w:rsidRPr="00C72931">
              <w:t>62.8 (34.1</w:t>
            </w:r>
            <w:r w:rsidR="00E82294">
              <w:t>, </w:t>
            </w:r>
            <w:r w:rsidRPr="00C72931">
              <w:t>84.7)</w:t>
            </w:r>
          </w:p>
        </w:tc>
      </w:tr>
      <w:tr w:rsidR="00266BEE" w:rsidRPr="000F78B9" w14:paraId="570546BE"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Borders>
              <w:top w:val="single" w:sz="4" w:space="0" w:color="000000"/>
              <w:bottom w:val="nil"/>
            </w:tcBorders>
          </w:tcPr>
          <w:p w14:paraId="19D688CB" w14:textId="77777777" w:rsidR="00266BEE" w:rsidRPr="00C72931" w:rsidRDefault="00266BEE" w:rsidP="00E82294">
            <w:pPr>
              <w:pStyle w:val="TableText"/>
              <w:rPr>
                <w:b/>
              </w:rPr>
            </w:pPr>
            <w:r w:rsidRPr="00C72931">
              <w:rPr>
                <w:b/>
              </w:rPr>
              <w:t>Any 12-month suicidal ideation and behaviour</w:t>
            </w:r>
          </w:p>
        </w:tc>
        <w:tc>
          <w:tcPr>
            <w:tcW w:w="2156" w:type="dxa"/>
            <w:gridSpan w:val="3"/>
            <w:tcBorders>
              <w:top w:val="single" w:sz="4" w:space="0" w:color="000000"/>
              <w:bottom w:val="nil"/>
            </w:tcBorders>
          </w:tcPr>
          <w:p w14:paraId="564A99CE" w14:textId="77777777" w:rsidR="00266BEE" w:rsidRPr="000F78B9" w:rsidRDefault="00266BEE" w:rsidP="00E82294">
            <w:pPr>
              <w:pStyle w:val="TableText"/>
              <w:jc w:val="center"/>
            </w:pPr>
            <w:r>
              <w:t>n</w:t>
            </w:r>
            <w:r w:rsidRPr="000F78B9">
              <w:t>=</w:t>
            </w:r>
            <w:r>
              <w:t>201</w:t>
            </w:r>
            <w:r w:rsidRPr="000F78B9">
              <w:t xml:space="preserve"> (Weighted</w:t>
            </w:r>
            <w:r>
              <w:t xml:space="preserve"> n</w:t>
            </w:r>
            <w:r w:rsidRPr="000F78B9">
              <w:t>=</w:t>
            </w:r>
            <w:r>
              <w:t>1334</w:t>
            </w:r>
            <w:r w:rsidRPr="000F78B9">
              <w:t>)</w:t>
            </w:r>
          </w:p>
        </w:tc>
        <w:tc>
          <w:tcPr>
            <w:tcW w:w="2132" w:type="dxa"/>
            <w:gridSpan w:val="3"/>
            <w:tcBorders>
              <w:top w:val="single" w:sz="4" w:space="0" w:color="000000"/>
              <w:bottom w:val="nil"/>
            </w:tcBorders>
          </w:tcPr>
          <w:p w14:paraId="06FB474F" w14:textId="77777777" w:rsidR="00266BEE" w:rsidRPr="000F78B9" w:rsidRDefault="00266BEE" w:rsidP="00E82294">
            <w:pPr>
              <w:pStyle w:val="TableText"/>
              <w:jc w:val="center"/>
            </w:pPr>
            <w:r>
              <w:t>n=850</w:t>
            </w:r>
            <w:r w:rsidRPr="000F78B9">
              <w:t xml:space="preserve"> (Weighted </w:t>
            </w:r>
            <w:r>
              <w:t>n</w:t>
            </w:r>
            <w:r w:rsidRPr="000F78B9">
              <w:t>=</w:t>
            </w:r>
            <w:r>
              <w:t>6198</w:t>
            </w:r>
            <w:r w:rsidRPr="000F78B9">
              <w:t>)</w:t>
            </w:r>
          </w:p>
        </w:tc>
        <w:tc>
          <w:tcPr>
            <w:tcW w:w="2132" w:type="dxa"/>
            <w:gridSpan w:val="3"/>
            <w:tcBorders>
              <w:top w:val="single" w:sz="4" w:space="0" w:color="000000"/>
              <w:bottom w:val="nil"/>
            </w:tcBorders>
          </w:tcPr>
          <w:p w14:paraId="70EB6282" w14:textId="77777777" w:rsidR="00266BEE" w:rsidRPr="000F78B9" w:rsidRDefault="00266BEE" w:rsidP="00E82294">
            <w:pPr>
              <w:pStyle w:val="TableText"/>
              <w:jc w:val="center"/>
            </w:pPr>
            <w:r>
              <w:t>n</w:t>
            </w:r>
            <w:r w:rsidRPr="000F78B9">
              <w:t>=</w:t>
            </w:r>
            <w:r>
              <w:t>151</w:t>
            </w:r>
            <w:r w:rsidRPr="000F78B9">
              <w:t xml:space="preserve"> (Weighted</w:t>
            </w:r>
            <w:r>
              <w:t xml:space="preserve"> n</w:t>
            </w:r>
            <w:r w:rsidRPr="000F78B9">
              <w:t>=</w:t>
            </w:r>
            <w:r>
              <w:t>779</w:t>
            </w:r>
            <w:r w:rsidRPr="000F78B9">
              <w:t>)</w:t>
            </w:r>
          </w:p>
        </w:tc>
        <w:tc>
          <w:tcPr>
            <w:tcW w:w="2302" w:type="dxa"/>
            <w:gridSpan w:val="3"/>
            <w:tcBorders>
              <w:top w:val="single" w:sz="4" w:space="0" w:color="000000"/>
              <w:bottom w:val="nil"/>
            </w:tcBorders>
          </w:tcPr>
          <w:p w14:paraId="112F1A01" w14:textId="77777777" w:rsidR="00266BEE" w:rsidRPr="000F78B9" w:rsidRDefault="00266BEE" w:rsidP="00E82294">
            <w:pPr>
              <w:pStyle w:val="TableText"/>
              <w:jc w:val="center"/>
            </w:pPr>
            <w:r>
              <w:t>n</w:t>
            </w:r>
            <w:r w:rsidRPr="000F78B9">
              <w:t>=</w:t>
            </w:r>
            <w:r>
              <w:t xml:space="preserve">769 </w:t>
            </w:r>
            <w:r w:rsidRPr="000F78B9">
              <w:t xml:space="preserve">(Weighted </w:t>
            </w:r>
            <w:r>
              <w:t>n</w:t>
            </w:r>
            <w:r w:rsidRPr="000F78B9">
              <w:t>=</w:t>
            </w:r>
            <w:r>
              <w:t>6184</w:t>
            </w:r>
            <w:r w:rsidRPr="000F78B9">
              <w:t>)</w:t>
            </w:r>
          </w:p>
        </w:tc>
      </w:tr>
      <w:tr w:rsidR="00E82294" w:rsidRPr="00C72931" w14:paraId="46998EA6" w14:textId="77777777" w:rsidTr="00EF7D7F">
        <w:trPr>
          <w:cantSplit/>
        </w:trPr>
        <w:tc>
          <w:tcPr>
            <w:tcW w:w="2784" w:type="dxa"/>
            <w:tcBorders>
              <w:top w:val="nil"/>
            </w:tcBorders>
          </w:tcPr>
          <w:p w14:paraId="0077D193"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74" w:type="dxa"/>
            <w:tcBorders>
              <w:top w:val="nil"/>
            </w:tcBorders>
          </w:tcPr>
          <w:p w14:paraId="0FAFB31F" w14:textId="77777777" w:rsidR="00266BEE" w:rsidRPr="00C72931" w:rsidRDefault="00266BEE" w:rsidP="00E82294">
            <w:pPr>
              <w:pStyle w:val="TableText"/>
              <w:jc w:val="right"/>
            </w:pPr>
            <w:r w:rsidRPr="00C72931">
              <w:t>70</w:t>
            </w:r>
          </w:p>
        </w:tc>
        <w:tc>
          <w:tcPr>
            <w:tcW w:w="810" w:type="dxa"/>
            <w:tcBorders>
              <w:top w:val="nil"/>
            </w:tcBorders>
          </w:tcPr>
          <w:p w14:paraId="62776103" w14:textId="77777777" w:rsidR="00266BEE" w:rsidRPr="00C72931" w:rsidRDefault="00266BEE" w:rsidP="00E82294">
            <w:pPr>
              <w:pStyle w:val="TableText"/>
              <w:jc w:val="right"/>
            </w:pPr>
            <w:r w:rsidRPr="00C72931">
              <w:t>475</w:t>
            </w:r>
          </w:p>
        </w:tc>
        <w:tc>
          <w:tcPr>
            <w:tcW w:w="872" w:type="dxa"/>
            <w:tcBorders>
              <w:top w:val="nil"/>
            </w:tcBorders>
          </w:tcPr>
          <w:p w14:paraId="18D190A3" w14:textId="77777777" w:rsidR="00266BEE" w:rsidRPr="00C72931" w:rsidRDefault="00266BEE" w:rsidP="00E82294">
            <w:pPr>
              <w:pStyle w:val="TableText"/>
              <w:jc w:val="right"/>
            </w:pPr>
            <w:r w:rsidRPr="00C72931">
              <w:t>35.6 (28.1</w:t>
            </w:r>
            <w:r w:rsidR="00E82294">
              <w:t>, </w:t>
            </w:r>
            <w:r w:rsidRPr="00C72931">
              <w:t>43.9)</w:t>
            </w:r>
          </w:p>
        </w:tc>
        <w:tc>
          <w:tcPr>
            <w:tcW w:w="478" w:type="dxa"/>
            <w:tcBorders>
              <w:top w:val="nil"/>
            </w:tcBorders>
          </w:tcPr>
          <w:p w14:paraId="3AA68599" w14:textId="77777777" w:rsidR="00266BEE" w:rsidRPr="00C72931" w:rsidRDefault="00266BEE" w:rsidP="00E82294">
            <w:pPr>
              <w:pStyle w:val="TableText"/>
              <w:jc w:val="right"/>
            </w:pPr>
            <w:r w:rsidRPr="00C72931">
              <w:t>362</w:t>
            </w:r>
          </w:p>
        </w:tc>
        <w:tc>
          <w:tcPr>
            <w:tcW w:w="810" w:type="dxa"/>
            <w:tcBorders>
              <w:top w:val="nil"/>
            </w:tcBorders>
          </w:tcPr>
          <w:p w14:paraId="216003E5" w14:textId="77777777" w:rsidR="00266BEE" w:rsidRPr="00C72931" w:rsidRDefault="00266BEE" w:rsidP="00E82294">
            <w:pPr>
              <w:pStyle w:val="TableText"/>
              <w:jc w:val="right"/>
            </w:pPr>
            <w:r w:rsidRPr="00C72931">
              <w:t>2587</w:t>
            </w:r>
          </w:p>
        </w:tc>
        <w:tc>
          <w:tcPr>
            <w:tcW w:w="844" w:type="dxa"/>
            <w:tcBorders>
              <w:top w:val="nil"/>
            </w:tcBorders>
          </w:tcPr>
          <w:p w14:paraId="7B821C57" w14:textId="77777777" w:rsidR="00266BEE" w:rsidRPr="00C72931" w:rsidRDefault="00266BEE" w:rsidP="00E82294">
            <w:pPr>
              <w:pStyle w:val="TableText"/>
              <w:jc w:val="right"/>
            </w:pPr>
            <w:r w:rsidRPr="00C72931">
              <w:t>41.7 (37.6</w:t>
            </w:r>
            <w:r w:rsidR="00E82294">
              <w:t>, </w:t>
            </w:r>
            <w:r w:rsidRPr="00C72931">
              <w:t>46.0)</w:t>
            </w:r>
          </w:p>
        </w:tc>
        <w:tc>
          <w:tcPr>
            <w:tcW w:w="506" w:type="dxa"/>
            <w:tcBorders>
              <w:top w:val="nil"/>
            </w:tcBorders>
          </w:tcPr>
          <w:p w14:paraId="49861FA1" w14:textId="77777777" w:rsidR="00266BEE" w:rsidRPr="00C72931" w:rsidRDefault="00266BEE" w:rsidP="00E82294">
            <w:pPr>
              <w:pStyle w:val="TableText"/>
              <w:jc w:val="right"/>
            </w:pPr>
            <w:r w:rsidRPr="00C72931">
              <w:t>51</w:t>
            </w:r>
          </w:p>
        </w:tc>
        <w:tc>
          <w:tcPr>
            <w:tcW w:w="810" w:type="dxa"/>
            <w:tcBorders>
              <w:top w:val="nil"/>
            </w:tcBorders>
          </w:tcPr>
          <w:p w14:paraId="39783E3A" w14:textId="77777777" w:rsidR="00266BEE" w:rsidRPr="00C72931" w:rsidRDefault="00266BEE" w:rsidP="00E82294">
            <w:pPr>
              <w:pStyle w:val="TableText"/>
              <w:jc w:val="right"/>
            </w:pPr>
            <w:r w:rsidRPr="00C72931">
              <w:t>281</w:t>
            </w:r>
          </w:p>
        </w:tc>
        <w:tc>
          <w:tcPr>
            <w:tcW w:w="816" w:type="dxa"/>
            <w:tcBorders>
              <w:top w:val="nil"/>
            </w:tcBorders>
          </w:tcPr>
          <w:p w14:paraId="54F80FA2" w14:textId="77777777" w:rsidR="00266BEE" w:rsidRPr="00C72931" w:rsidRDefault="00266BEE" w:rsidP="00E82294">
            <w:pPr>
              <w:pStyle w:val="TableText"/>
              <w:jc w:val="right"/>
            </w:pPr>
            <w:r w:rsidRPr="00C72931">
              <w:t>36.0 (18.4</w:t>
            </w:r>
            <w:r w:rsidR="00E82294">
              <w:t>, </w:t>
            </w:r>
            <w:r w:rsidRPr="00C72931">
              <w:t>58.4)</w:t>
            </w:r>
          </w:p>
        </w:tc>
        <w:tc>
          <w:tcPr>
            <w:tcW w:w="534" w:type="dxa"/>
            <w:tcBorders>
              <w:top w:val="nil"/>
            </w:tcBorders>
          </w:tcPr>
          <w:p w14:paraId="4B7CAE84" w14:textId="77777777" w:rsidR="00266BEE" w:rsidRPr="00C72931" w:rsidRDefault="00266BEE" w:rsidP="00E82294">
            <w:pPr>
              <w:pStyle w:val="TableText"/>
              <w:jc w:val="right"/>
            </w:pPr>
            <w:r w:rsidRPr="00C72931">
              <w:t>296</w:t>
            </w:r>
          </w:p>
        </w:tc>
        <w:tc>
          <w:tcPr>
            <w:tcW w:w="810" w:type="dxa"/>
            <w:tcBorders>
              <w:top w:val="nil"/>
            </w:tcBorders>
          </w:tcPr>
          <w:p w14:paraId="093FD0AD" w14:textId="77777777" w:rsidR="00266BEE" w:rsidRPr="00C72931" w:rsidRDefault="00266BEE" w:rsidP="00E82294">
            <w:pPr>
              <w:pStyle w:val="TableText"/>
              <w:jc w:val="right"/>
            </w:pPr>
            <w:r w:rsidRPr="00C72931">
              <w:t>1810</w:t>
            </w:r>
          </w:p>
        </w:tc>
        <w:tc>
          <w:tcPr>
            <w:tcW w:w="958" w:type="dxa"/>
            <w:tcBorders>
              <w:top w:val="nil"/>
            </w:tcBorders>
          </w:tcPr>
          <w:p w14:paraId="703544B4" w14:textId="77777777" w:rsidR="00266BEE" w:rsidRPr="00C72931" w:rsidRDefault="00266BEE" w:rsidP="00E82294">
            <w:pPr>
              <w:pStyle w:val="TableText"/>
              <w:jc w:val="right"/>
            </w:pPr>
            <w:r w:rsidRPr="00C72931">
              <w:t>29.3 (18.8</w:t>
            </w:r>
            <w:r w:rsidR="00E82294">
              <w:t>, </w:t>
            </w:r>
            <w:r w:rsidRPr="00C72931">
              <w:t>42.5)</w:t>
            </w:r>
          </w:p>
        </w:tc>
      </w:tr>
      <w:tr w:rsidR="00E82294" w:rsidRPr="00C72931" w14:paraId="52D77016"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Pr>
          <w:p w14:paraId="0C024775"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74" w:type="dxa"/>
          </w:tcPr>
          <w:p w14:paraId="4E7BFC1D" w14:textId="77777777" w:rsidR="00266BEE" w:rsidRPr="00C72931" w:rsidRDefault="00266BEE" w:rsidP="00E82294">
            <w:pPr>
              <w:pStyle w:val="TableText"/>
              <w:jc w:val="right"/>
            </w:pPr>
            <w:r w:rsidRPr="00C72931">
              <w:t>130</w:t>
            </w:r>
          </w:p>
        </w:tc>
        <w:tc>
          <w:tcPr>
            <w:tcW w:w="810" w:type="dxa"/>
          </w:tcPr>
          <w:p w14:paraId="0583CF9D" w14:textId="77777777" w:rsidR="00266BEE" w:rsidRPr="00C72931" w:rsidRDefault="00266BEE" w:rsidP="00E82294">
            <w:pPr>
              <w:pStyle w:val="TableText"/>
              <w:jc w:val="right"/>
            </w:pPr>
            <w:r w:rsidRPr="00C72931">
              <w:t>855</w:t>
            </w:r>
          </w:p>
        </w:tc>
        <w:tc>
          <w:tcPr>
            <w:tcW w:w="872" w:type="dxa"/>
          </w:tcPr>
          <w:p w14:paraId="2CC05CCE" w14:textId="77777777" w:rsidR="00266BEE" w:rsidRPr="00C72931" w:rsidRDefault="00266BEE" w:rsidP="00E82294">
            <w:pPr>
              <w:pStyle w:val="TableText"/>
              <w:jc w:val="right"/>
            </w:pPr>
            <w:r w:rsidRPr="00C72931">
              <w:t>64.1 (55.8</w:t>
            </w:r>
            <w:r w:rsidR="00E82294">
              <w:t>, </w:t>
            </w:r>
            <w:r w:rsidRPr="00C72931">
              <w:t>71.6)</w:t>
            </w:r>
          </w:p>
        </w:tc>
        <w:tc>
          <w:tcPr>
            <w:tcW w:w="478" w:type="dxa"/>
          </w:tcPr>
          <w:p w14:paraId="6AB50919" w14:textId="77777777" w:rsidR="00266BEE" w:rsidRPr="00C72931" w:rsidRDefault="00266BEE" w:rsidP="00E82294">
            <w:pPr>
              <w:pStyle w:val="TableText"/>
              <w:jc w:val="right"/>
            </w:pPr>
            <w:r w:rsidRPr="00C72931">
              <w:t>485</w:t>
            </w:r>
          </w:p>
        </w:tc>
        <w:tc>
          <w:tcPr>
            <w:tcW w:w="810" w:type="dxa"/>
          </w:tcPr>
          <w:p w14:paraId="3E2B021D" w14:textId="77777777" w:rsidR="00266BEE" w:rsidRPr="00C72931" w:rsidRDefault="00266BEE" w:rsidP="00E82294">
            <w:pPr>
              <w:pStyle w:val="TableText"/>
              <w:jc w:val="right"/>
            </w:pPr>
            <w:r w:rsidRPr="00C72931">
              <w:t>3590</w:t>
            </w:r>
          </w:p>
        </w:tc>
        <w:tc>
          <w:tcPr>
            <w:tcW w:w="844" w:type="dxa"/>
          </w:tcPr>
          <w:p w14:paraId="12FCD9F2" w14:textId="77777777" w:rsidR="00266BEE" w:rsidRPr="00C72931" w:rsidRDefault="00266BEE" w:rsidP="00E82294">
            <w:pPr>
              <w:pStyle w:val="TableText"/>
              <w:jc w:val="right"/>
            </w:pPr>
            <w:r w:rsidRPr="00C72931">
              <w:t>57.9 (53.7</w:t>
            </w:r>
            <w:r w:rsidR="00E82294">
              <w:t>, </w:t>
            </w:r>
            <w:r w:rsidRPr="00C72931">
              <w:t>62.0)</w:t>
            </w:r>
          </w:p>
        </w:tc>
        <w:tc>
          <w:tcPr>
            <w:tcW w:w="506" w:type="dxa"/>
          </w:tcPr>
          <w:p w14:paraId="0941D05D" w14:textId="77777777" w:rsidR="00266BEE" w:rsidRPr="00C72931" w:rsidRDefault="00266BEE" w:rsidP="00E82294">
            <w:pPr>
              <w:pStyle w:val="TableText"/>
              <w:jc w:val="right"/>
            </w:pPr>
            <w:r w:rsidRPr="00C72931">
              <w:t>98</w:t>
            </w:r>
          </w:p>
        </w:tc>
        <w:tc>
          <w:tcPr>
            <w:tcW w:w="810" w:type="dxa"/>
          </w:tcPr>
          <w:p w14:paraId="3CE34325" w14:textId="77777777" w:rsidR="00266BEE" w:rsidRPr="00C72931" w:rsidRDefault="00266BEE" w:rsidP="00E82294">
            <w:pPr>
              <w:pStyle w:val="TableText"/>
              <w:jc w:val="right"/>
            </w:pPr>
            <w:r w:rsidRPr="00C72931">
              <w:t>492</w:t>
            </w:r>
          </w:p>
        </w:tc>
        <w:tc>
          <w:tcPr>
            <w:tcW w:w="816" w:type="dxa"/>
          </w:tcPr>
          <w:p w14:paraId="7593C797" w14:textId="77777777" w:rsidR="00266BEE" w:rsidRPr="00C72931" w:rsidRDefault="00266BEE" w:rsidP="00E82294">
            <w:pPr>
              <w:pStyle w:val="TableText"/>
              <w:jc w:val="right"/>
            </w:pPr>
            <w:r w:rsidRPr="00C72931">
              <w:t>63.2 (41.2</w:t>
            </w:r>
            <w:r w:rsidR="00E82294">
              <w:t>, </w:t>
            </w:r>
            <w:r w:rsidRPr="00C72931">
              <w:t>80.8)</w:t>
            </w:r>
          </w:p>
        </w:tc>
        <w:tc>
          <w:tcPr>
            <w:tcW w:w="534" w:type="dxa"/>
          </w:tcPr>
          <w:p w14:paraId="415CF44D" w14:textId="77777777" w:rsidR="00266BEE" w:rsidRPr="00C72931" w:rsidRDefault="00266BEE" w:rsidP="00E82294">
            <w:pPr>
              <w:pStyle w:val="TableText"/>
              <w:jc w:val="right"/>
            </w:pPr>
            <w:r w:rsidRPr="00C72931">
              <w:t>470</w:t>
            </w:r>
          </w:p>
        </w:tc>
        <w:tc>
          <w:tcPr>
            <w:tcW w:w="810" w:type="dxa"/>
          </w:tcPr>
          <w:p w14:paraId="2614FEF9" w14:textId="77777777" w:rsidR="00266BEE" w:rsidRPr="00C72931" w:rsidRDefault="00266BEE" w:rsidP="00E82294">
            <w:pPr>
              <w:pStyle w:val="TableText"/>
              <w:jc w:val="right"/>
            </w:pPr>
            <w:r w:rsidRPr="00C72931">
              <w:t>4366</w:t>
            </w:r>
          </w:p>
        </w:tc>
        <w:tc>
          <w:tcPr>
            <w:tcW w:w="958" w:type="dxa"/>
          </w:tcPr>
          <w:p w14:paraId="0E865780" w14:textId="77777777" w:rsidR="00266BEE" w:rsidRPr="00C72931" w:rsidRDefault="00266BEE" w:rsidP="00E82294">
            <w:pPr>
              <w:pStyle w:val="TableText"/>
              <w:jc w:val="right"/>
            </w:pPr>
            <w:r w:rsidRPr="00C72931">
              <w:t>70.6 (57.4</w:t>
            </w:r>
            <w:r w:rsidR="00E82294">
              <w:t>, </w:t>
            </w:r>
            <w:r w:rsidRPr="00C72931">
              <w:t>81.1)</w:t>
            </w:r>
          </w:p>
        </w:tc>
      </w:tr>
      <w:tr w:rsidR="00266BEE" w:rsidRPr="000F78B9" w14:paraId="4E120E4E" w14:textId="77777777" w:rsidTr="00EF7D7F">
        <w:trPr>
          <w:cantSplit/>
        </w:trPr>
        <w:tc>
          <w:tcPr>
            <w:tcW w:w="2784" w:type="dxa"/>
          </w:tcPr>
          <w:p w14:paraId="2DF3EABD" w14:textId="77777777" w:rsidR="00266BEE" w:rsidRPr="00C72931" w:rsidRDefault="00266BEE" w:rsidP="00E82294">
            <w:pPr>
              <w:pStyle w:val="TableText"/>
              <w:rPr>
                <w:b/>
              </w:rPr>
            </w:pPr>
            <w:r w:rsidRPr="00C72931">
              <w:rPr>
                <w:b/>
              </w:rPr>
              <w:t xml:space="preserve">Probable </w:t>
            </w:r>
            <w:r>
              <w:rPr>
                <w:b/>
              </w:rPr>
              <w:t>g</w:t>
            </w:r>
            <w:r w:rsidRPr="00C72931">
              <w:rPr>
                <w:b/>
              </w:rPr>
              <w:t>eneralised anxiety disorder</w:t>
            </w:r>
          </w:p>
        </w:tc>
        <w:tc>
          <w:tcPr>
            <w:tcW w:w="2156" w:type="dxa"/>
            <w:gridSpan w:val="3"/>
          </w:tcPr>
          <w:p w14:paraId="018119F9" w14:textId="77777777" w:rsidR="00266BEE" w:rsidRPr="000F78B9" w:rsidRDefault="00266BEE" w:rsidP="00E82294">
            <w:pPr>
              <w:pStyle w:val="TableText"/>
              <w:jc w:val="center"/>
            </w:pPr>
            <w:r>
              <w:t>n</w:t>
            </w:r>
            <w:r w:rsidRPr="000F78B9">
              <w:t>=</w:t>
            </w:r>
            <w:r>
              <w:t>129</w:t>
            </w:r>
            <w:r w:rsidRPr="000F78B9">
              <w:t xml:space="preserve"> (Weighted</w:t>
            </w:r>
            <w:r>
              <w:t xml:space="preserve"> n</w:t>
            </w:r>
            <w:r w:rsidRPr="000F78B9">
              <w:t>=</w:t>
            </w:r>
            <w:r>
              <w:t>912</w:t>
            </w:r>
            <w:r w:rsidRPr="000F78B9">
              <w:t>)</w:t>
            </w:r>
          </w:p>
        </w:tc>
        <w:tc>
          <w:tcPr>
            <w:tcW w:w="2132" w:type="dxa"/>
            <w:gridSpan w:val="3"/>
          </w:tcPr>
          <w:p w14:paraId="50CE199B" w14:textId="77777777" w:rsidR="00266BEE" w:rsidRPr="000F78B9" w:rsidRDefault="00266BEE" w:rsidP="00E82294">
            <w:pPr>
              <w:pStyle w:val="TableText"/>
              <w:jc w:val="center"/>
            </w:pPr>
            <w:r>
              <w:t>n=625</w:t>
            </w:r>
            <w:r w:rsidRPr="000F78B9">
              <w:t xml:space="preserve"> (Weighted </w:t>
            </w:r>
            <w:r>
              <w:t>n</w:t>
            </w:r>
            <w:r w:rsidRPr="000F78B9">
              <w:t>=</w:t>
            </w:r>
            <w:r>
              <w:t>4616</w:t>
            </w:r>
            <w:r w:rsidRPr="000F78B9">
              <w:t>)</w:t>
            </w:r>
          </w:p>
        </w:tc>
        <w:tc>
          <w:tcPr>
            <w:tcW w:w="2132" w:type="dxa"/>
            <w:gridSpan w:val="3"/>
          </w:tcPr>
          <w:p w14:paraId="0DB93956" w14:textId="77777777" w:rsidR="00266BEE" w:rsidRPr="000F78B9" w:rsidRDefault="00266BEE" w:rsidP="00E82294">
            <w:pPr>
              <w:pStyle w:val="TableText"/>
              <w:jc w:val="center"/>
            </w:pPr>
            <w:r>
              <w:t>n</w:t>
            </w:r>
            <w:r w:rsidRPr="000F78B9">
              <w:t>=</w:t>
            </w:r>
            <w:r>
              <w:t>71</w:t>
            </w:r>
            <w:r w:rsidRPr="000F78B9">
              <w:t xml:space="preserve"> (Weighted</w:t>
            </w:r>
            <w:r>
              <w:t xml:space="preserve"> n</w:t>
            </w:r>
            <w:r w:rsidRPr="000F78B9">
              <w:t>=</w:t>
            </w:r>
            <w:r>
              <w:t>591</w:t>
            </w:r>
            <w:r w:rsidRPr="000F78B9">
              <w:t>)</w:t>
            </w:r>
          </w:p>
        </w:tc>
        <w:tc>
          <w:tcPr>
            <w:tcW w:w="2302" w:type="dxa"/>
            <w:gridSpan w:val="3"/>
          </w:tcPr>
          <w:p w14:paraId="15D95802" w14:textId="77777777" w:rsidR="00266BEE" w:rsidRPr="000F78B9" w:rsidRDefault="00266BEE" w:rsidP="00E82294">
            <w:pPr>
              <w:pStyle w:val="TableText"/>
              <w:jc w:val="center"/>
            </w:pPr>
            <w:r>
              <w:t>n</w:t>
            </w:r>
            <w:r w:rsidRPr="000F78B9">
              <w:t>=</w:t>
            </w:r>
            <w:r>
              <w:t xml:space="preserve">524 </w:t>
            </w:r>
            <w:r w:rsidRPr="000F78B9">
              <w:t xml:space="preserve">(Weighted </w:t>
            </w:r>
            <w:r>
              <w:t>n</w:t>
            </w:r>
            <w:r w:rsidRPr="000F78B9">
              <w:t>=</w:t>
            </w:r>
            <w:r>
              <w:t>4297</w:t>
            </w:r>
            <w:r w:rsidRPr="000F78B9">
              <w:t>)</w:t>
            </w:r>
          </w:p>
        </w:tc>
      </w:tr>
      <w:tr w:rsidR="00E82294" w:rsidRPr="00C72931" w14:paraId="71A917A7" w14:textId="77777777" w:rsidTr="00EF7D7F">
        <w:trPr>
          <w:cnfStyle w:val="000000100000" w:firstRow="0" w:lastRow="0" w:firstColumn="0" w:lastColumn="0" w:oddVBand="0" w:evenVBand="0" w:oddHBand="1" w:evenHBand="0" w:firstRowFirstColumn="0" w:firstRowLastColumn="0" w:lastRowFirstColumn="0" w:lastRowLastColumn="0"/>
          <w:cantSplit/>
        </w:trPr>
        <w:tc>
          <w:tcPr>
            <w:tcW w:w="2784" w:type="dxa"/>
          </w:tcPr>
          <w:p w14:paraId="25BBAE6A"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74" w:type="dxa"/>
          </w:tcPr>
          <w:p w14:paraId="2C1ED773" w14:textId="77777777" w:rsidR="00266BEE" w:rsidRPr="00C72931" w:rsidRDefault="00266BEE" w:rsidP="00E82294">
            <w:pPr>
              <w:pStyle w:val="TableText"/>
              <w:jc w:val="right"/>
            </w:pPr>
            <w:r w:rsidRPr="00C72931">
              <w:t>41</w:t>
            </w:r>
          </w:p>
        </w:tc>
        <w:tc>
          <w:tcPr>
            <w:tcW w:w="810" w:type="dxa"/>
          </w:tcPr>
          <w:p w14:paraId="363C206F" w14:textId="77777777" w:rsidR="00266BEE" w:rsidRPr="00C72931" w:rsidRDefault="00266BEE" w:rsidP="00E82294">
            <w:pPr>
              <w:pStyle w:val="TableText"/>
              <w:jc w:val="right"/>
            </w:pPr>
            <w:r w:rsidRPr="00C72931">
              <w:t>286</w:t>
            </w:r>
          </w:p>
        </w:tc>
        <w:tc>
          <w:tcPr>
            <w:tcW w:w="872" w:type="dxa"/>
          </w:tcPr>
          <w:p w14:paraId="3BB50B01" w14:textId="77777777" w:rsidR="00266BEE" w:rsidRPr="00C72931" w:rsidRDefault="00266BEE" w:rsidP="00E82294">
            <w:pPr>
              <w:pStyle w:val="TableText"/>
              <w:jc w:val="right"/>
            </w:pPr>
            <w:r w:rsidRPr="00C72931">
              <w:t>31.4 (22.3</w:t>
            </w:r>
            <w:r w:rsidR="00E82294">
              <w:t>, </w:t>
            </w:r>
            <w:r w:rsidRPr="00C72931">
              <w:t>42.2)</w:t>
            </w:r>
          </w:p>
        </w:tc>
        <w:tc>
          <w:tcPr>
            <w:tcW w:w="478" w:type="dxa"/>
          </w:tcPr>
          <w:p w14:paraId="2B74068C" w14:textId="77777777" w:rsidR="00266BEE" w:rsidRPr="00C72931" w:rsidRDefault="00266BEE" w:rsidP="00E82294">
            <w:pPr>
              <w:pStyle w:val="TableText"/>
              <w:jc w:val="right"/>
            </w:pPr>
            <w:r w:rsidRPr="00C72931">
              <w:t>288</w:t>
            </w:r>
          </w:p>
        </w:tc>
        <w:tc>
          <w:tcPr>
            <w:tcW w:w="810" w:type="dxa"/>
          </w:tcPr>
          <w:p w14:paraId="1D2BF2E4" w14:textId="77777777" w:rsidR="00266BEE" w:rsidRPr="00C72931" w:rsidRDefault="00266BEE" w:rsidP="00E82294">
            <w:pPr>
              <w:pStyle w:val="TableText"/>
              <w:jc w:val="right"/>
            </w:pPr>
            <w:r w:rsidRPr="00C72931">
              <w:t>1971</w:t>
            </w:r>
          </w:p>
        </w:tc>
        <w:tc>
          <w:tcPr>
            <w:tcW w:w="844" w:type="dxa"/>
          </w:tcPr>
          <w:p w14:paraId="3A11D9FD" w14:textId="77777777" w:rsidR="00266BEE" w:rsidRPr="00C72931" w:rsidRDefault="00266BEE" w:rsidP="00E82294">
            <w:pPr>
              <w:pStyle w:val="TableText"/>
              <w:jc w:val="right"/>
            </w:pPr>
            <w:r w:rsidRPr="00C72931">
              <w:t>42.7 (38.0</w:t>
            </w:r>
            <w:r w:rsidR="00E82294">
              <w:t>, </w:t>
            </w:r>
            <w:r w:rsidRPr="00C72931">
              <w:t>47.6)</w:t>
            </w:r>
          </w:p>
        </w:tc>
        <w:tc>
          <w:tcPr>
            <w:tcW w:w="506" w:type="dxa"/>
          </w:tcPr>
          <w:p w14:paraId="59E48B7C" w14:textId="77777777" w:rsidR="00266BEE" w:rsidRPr="00C72931" w:rsidRDefault="00266BEE" w:rsidP="00E82294">
            <w:pPr>
              <w:pStyle w:val="TableText"/>
              <w:jc w:val="right"/>
            </w:pPr>
            <w:r w:rsidRPr="00C72931">
              <w:t>27</w:t>
            </w:r>
          </w:p>
        </w:tc>
        <w:tc>
          <w:tcPr>
            <w:tcW w:w="810" w:type="dxa"/>
          </w:tcPr>
          <w:p w14:paraId="2FC80650" w14:textId="77777777" w:rsidR="00266BEE" w:rsidRPr="00C72931" w:rsidRDefault="00266BEE" w:rsidP="00E82294">
            <w:pPr>
              <w:pStyle w:val="TableText"/>
              <w:jc w:val="right"/>
            </w:pPr>
            <w:r w:rsidRPr="00C72931">
              <w:t>96</w:t>
            </w:r>
          </w:p>
        </w:tc>
        <w:tc>
          <w:tcPr>
            <w:tcW w:w="816" w:type="dxa"/>
          </w:tcPr>
          <w:p w14:paraId="27A704FA" w14:textId="77777777" w:rsidR="00266BEE" w:rsidRPr="00C72931" w:rsidRDefault="00266BEE" w:rsidP="00E82294">
            <w:pPr>
              <w:pStyle w:val="TableText"/>
              <w:jc w:val="right"/>
            </w:pPr>
            <w:r w:rsidRPr="00C72931">
              <w:t>16.3 (7.3</w:t>
            </w:r>
            <w:r w:rsidR="00E82294">
              <w:t>, </w:t>
            </w:r>
            <w:r w:rsidRPr="00C72931">
              <w:t>32.5)</w:t>
            </w:r>
          </w:p>
        </w:tc>
        <w:tc>
          <w:tcPr>
            <w:tcW w:w="534" w:type="dxa"/>
          </w:tcPr>
          <w:p w14:paraId="4D76C376" w14:textId="77777777" w:rsidR="00266BEE" w:rsidRPr="00C72931" w:rsidRDefault="00266BEE" w:rsidP="00E82294">
            <w:pPr>
              <w:pStyle w:val="TableText"/>
              <w:jc w:val="right"/>
            </w:pPr>
            <w:r w:rsidRPr="00C72931">
              <w:t>202</w:t>
            </w:r>
          </w:p>
        </w:tc>
        <w:tc>
          <w:tcPr>
            <w:tcW w:w="810" w:type="dxa"/>
          </w:tcPr>
          <w:p w14:paraId="60355B22" w14:textId="77777777" w:rsidR="00266BEE" w:rsidRPr="00C72931" w:rsidRDefault="00266BEE" w:rsidP="00E82294">
            <w:pPr>
              <w:pStyle w:val="TableText"/>
              <w:jc w:val="right"/>
            </w:pPr>
            <w:r w:rsidRPr="00C72931">
              <w:t>1835</w:t>
            </w:r>
          </w:p>
        </w:tc>
        <w:tc>
          <w:tcPr>
            <w:tcW w:w="958" w:type="dxa"/>
          </w:tcPr>
          <w:p w14:paraId="79F61C50" w14:textId="77777777" w:rsidR="00266BEE" w:rsidRPr="00C72931" w:rsidRDefault="00266BEE" w:rsidP="00E82294">
            <w:pPr>
              <w:pStyle w:val="TableText"/>
              <w:jc w:val="right"/>
            </w:pPr>
            <w:r w:rsidRPr="00C72931">
              <w:t>42.7 (27.3</w:t>
            </w:r>
            <w:r w:rsidR="00E82294">
              <w:t>, </w:t>
            </w:r>
            <w:r w:rsidRPr="00C72931">
              <w:t>59.7)</w:t>
            </w:r>
          </w:p>
        </w:tc>
      </w:tr>
      <w:tr w:rsidR="00E82294" w:rsidRPr="00C72931" w14:paraId="31133BCE" w14:textId="77777777" w:rsidTr="00EF7D7F">
        <w:trPr>
          <w:cantSplit/>
        </w:trPr>
        <w:tc>
          <w:tcPr>
            <w:tcW w:w="2784" w:type="dxa"/>
          </w:tcPr>
          <w:p w14:paraId="7EFD65C3"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74" w:type="dxa"/>
          </w:tcPr>
          <w:p w14:paraId="5A35F308" w14:textId="77777777" w:rsidR="00266BEE" w:rsidRPr="00C72931" w:rsidRDefault="00266BEE" w:rsidP="00E82294">
            <w:pPr>
              <w:pStyle w:val="TableText"/>
              <w:jc w:val="right"/>
            </w:pPr>
            <w:r w:rsidRPr="00C72931">
              <w:t>87</w:t>
            </w:r>
          </w:p>
        </w:tc>
        <w:tc>
          <w:tcPr>
            <w:tcW w:w="810" w:type="dxa"/>
          </w:tcPr>
          <w:p w14:paraId="62B96A39" w14:textId="77777777" w:rsidR="00266BEE" w:rsidRPr="00C72931" w:rsidRDefault="00266BEE" w:rsidP="00E82294">
            <w:pPr>
              <w:pStyle w:val="TableText"/>
              <w:jc w:val="right"/>
            </w:pPr>
            <w:r w:rsidRPr="00C72931">
              <w:t>622</w:t>
            </w:r>
          </w:p>
        </w:tc>
        <w:tc>
          <w:tcPr>
            <w:tcW w:w="872" w:type="dxa"/>
          </w:tcPr>
          <w:p w14:paraId="7E2CF142" w14:textId="77777777" w:rsidR="00266BEE" w:rsidRPr="00C72931" w:rsidRDefault="00266BEE" w:rsidP="00E82294">
            <w:pPr>
              <w:pStyle w:val="TableText"/>
              <w:jc w:val="right"/>
            </w:pPr>
            <w:r w:rsidRPr="00C72931">
              <w:t>68.2 (57.4</w:t>
            </w:r>
            <w:r w:rsidR="00E82294">
              <w:t>, </w:t>
            </w:r>
            <w:r w:rsidRPr="00C72931">
              <w:t>77.3)</w:t>
            </w:r>
          </w:p>
        </w:tc>
        <w:tc>
          <w:tcPr>
            <w:tcW w:w="478" w:type="dxa"/>
          </w:tcPr>
          <w:p w14:paraId="1D30680A" w14:textId="77777777" w:rsidR="00266BEE" w:rsidRPr="00C72931" w:rsidRDefault="00266BEE" w:rsidP="00E82294">
            <w:pPr>
              <w:pStyle w:val="TableText"/>
              <w:jc w:val="right"/>
            </w:pPr>
            <w:r w:rsidRPr="00C72931">
              <w:t>335</w:t>
            </w:r>
          </w:p>
        </w:tc>
        <w:tc>
          <w:tcPr>
            <w:tcW w:w="810" w:type="dxa"/>
          </w:tcPr>
          <w:p w14:paraId="6514133C" w14:textId="77777777" w:rsidR="00266BEE" w:rsidRPr="00C72931" w:rsidRDefault="00266BEE" w:rsidP="00E82294">
            <w:pPr>
              <w:pStyle w:val="TableText"/>
              <w:jc w:val="right"/>
            </w:pPr>
            <w:r w:rsidRPr="00C72931">
              <w:t>2626</w:t>
            </w:r>
          </w:p>
        </w:tc>
        <w:tc>
          <w:tcPr>
            <w:tcW w:w="844" w:type="dxa"/>
          </w:tcPr>
          <w:p w14:paraId="4E32C933" w14:textId="77777777" w:rsidR="00266BEE" w:rsidRPr="00C72931" w:rsidRDefault="00266BEE" w:rsidP="00E82294">
            <w:pPr>
              <w:pStyle w:val="TableText"/>
              <w:jc w:val="right"/>
            </w:pPr>
            <w:r w:rsidRPr="00C72931">
              <w:t>56.9 (52.0</w:t>
            </w:r>
            <w:r w:rsidR="00E82294">
              <w:t>, </w:t>
            </w:r>
            <w:r w:rsidRPr="00C72931">
              <w:t>61.6)</w:t>
            </w:r>
          </w:p>
        </w:tc>
        <w:tc>
          <w:tcPr>
            <w:tcW w:w="506" w:type="dxa"/>
          </w:tcPr>
          <w:p w14:paraId="0D5D92A8" w14:textId="77777777" w:rsidR="00266BEE" w:rsidRPr="00C72931" w:rsidRDefault="00266BEE" w:rsidP="00E82294">
            <w:pPr>
              <w:pStyle w:val="TableText"/>
              <w:jc w:val="right"/>
            </w:pPr>
            <w:r w:rsidRPr="00C72931">
              <w:t>42</w:t>
            </w:r>
          </w:p>
        </w:tc>
        <w:tc>
          <w:tcPr>
            <w:tcW w:w="810" w:type="dxa"/>
          </w:tcPr>
          <w:p w14:paraId="59CFE470" w14:textId="77777777" w:rsidR="00266BEE" w:rsidRPr="00C72931" w:rsidRDefault="00266BEE" w:rsidP="00E82294">
            <w:pPr>
              <w:pStyle w:val="TableText"/>
              <w:jc w:val="right"/>
            </w:pPr>
            <w:r w:rsidRPr="00C72931">
              <w:t>488</w:t>
            </w:r>
          </w:p>
        </w:tc>
        <w:tc>
          <w:tcPr>
            <w:tcW w:w="816" w:type="dxa"/>
          </w:tcPr>
          <w:p w14:paraId="177B7960" w14:textId="77777777" w:rsidR="00266BEE" w:rsidRPr="00C72931" w:rsidRDefault="00266BEE" w:rsidP="00E82294">
            <w:pPr>
              <w:pStyle w:val="TableText"/>
              <w:jc w:val="right"/>
            </w:pPr>
            <w:r w:rsidRPr="00C72931">
              <w:t>82.6 (65.7</w:t>
            </w:r>
            <w:r w:rsidR="00E82294">
              <w:t>, </w:t>
            </w:r>
            <w:r w:rsidRPr="00C72931">
              <w:t>92.2)</w:t>
            </w:r>
          </w:p>
        </w:tc>
        <w:tc>
          <w:tcPr>
            <w:tcW w:w="534" w:type="dxa"/>
          </w:tcPr>
          <w:p w14:paraId="76EC25CC" w14:textId="77777777" w:rsidR="00266BEE" w:rsidRPr="00C72931" w:rsidRDefault="00266BEE" w:rsidP="00E82294">
            <w:pPr>
              <w:pStyle w:val="TableText"/>
              <w:jc w:val="right"/>
            </w:pPr>
            <w:r w:rsidRPr="00C72931">
              <w:t>319</w:t>
            </w:r>
          </w:p>
        </w:tc>
        <w:tc>
          <w:tcPr>
            <w:tcW w:w="810" w:type="dxa"/>
          </w:tcPr>
          <w:p w14:paraId="5C72FFB7" w14:textId="77777777" w:rsidR="00266BEE" w:rsidRPr="00C72931" w:rsidRDefault="00266BEE" w:rsidP="00E82294">
            <w:pPr>
              <w:pStyle w:val="TableText"/>
              <w:jc w:val="right"/>
            </w:pPr>
            <w:r w:rsidRPr="00C72931">
              <w:t>2439</w:t>
            </w:r>
          </w:p>
        </w:tc>
        <w:tc>
          <w:tcPr>
            <w:tcW w:w="958" w:type="dxa"/>
          </w:tcPr>
          <w:p w14:paraId="42C8EC04" w14:textId="77777777" w:rsidR="00266BEE" w:rsidRPr="00C72931" w:rsidRDefault="00266BEE" w:rsidP="00E82294">
            <w:pPr>
              <w:pStyle w:val="TableText"/>
              <w:jc w:val="right"/>
            </w:pPr>
            <w:r w:rsidRPr="00C72931">
              <w:t>56.7 (39.9</w:t>
            </w:r>
            <w:r w:rsidR="00E82294">
              <w:t>, </w:t>
            </w:r>
            <w:r w:rsidRPr="00C72931">
              <w:t>72.2)</w:t>
            </w:r>
          </w:p>
        </w:tc>
      </w:tr>
    </w:tbl>
    <w:p w14:paraId="49EA2C52" w14:textId="77777777" w:rsidR="00266BEE" w:rsidRPr="006A3EA0" w:rsidRDefault="00266BEE" w:rsidP="00266BEE">
      <w:pPr>
        <w:pStyle w:val="TableNotes"/>
      </w:pPr>
      <w:r>
        <w:t>Notes</w:t>
      </w:r>
    </w:p>
    <w:p w14:paraId="37B32181" w14:textId="77777777" w:rsidR="00266BEE" w:rsidRPr="00C72931" w:rsidRDefault="00266BEE" w:rsidP="00266BEE">
      <w:pPr>
        <w:pStyle w:val="TableNotes"/>
      </w:pPr>
      <w:r w:rsidRPr="00C72931">
        <w:t xml:space="preserve">Denominator: </w:t>
      </w:r>
      <w:r w:rsidRPr="00F329B2">
        <w:t>Transitioned and 2015 Regular ADF with a probable disorder</w:t>
      </w:r>
      <w:r>
        <w:t>.</w:t>
      </w:r>
    </w:p>
    <w:p w14:paraId="6E1911ED" w14:textId="77777777" w:rsidR="00266BEE" w:rsidRPr="00C72931" w:rsidRDefault="00266BEE" w:rsidP="00266BEE">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52D1968D" w14:textId="77777777" w:rsidR="00266BEE" w:rsidRDefault="00266BEE" w:rsidP="00266BEE">
      <w:pPr>
        <w:pStyle w:val="TableNotes"/>
      </w:pPr>
      <w:r>
        <w:t>95%CI = 95% confidence interval.</w:t>
      </w:r>
    </w:p>
    <w:p w14:paraId="4D8976F7" w14:textId="77777777" w:rsidR="00266BEE" w:rsidRDefault="00266BEE" w:rsidP="00266BEE">
      <w:pPr>
        <w:pStyle w:val="TableNotes"/>
        <w:rPr>
          <w:rFonts w:cs="Calibri"/>
          <w:bCs/>
          <w:color w:val="000000" w:themeColor="text1"/>
          <w:szCs w:val="14"/>
        </w:rPr>
      </w:pPr>
      <w:r>
        <w:rPr>
          <w:rFonts w:cs="Calibri"/>
          <w:bCs/>
          <w:color w:val="000000" w:themeColor="text1"/>
          <w:szCs w:val="14"/>
        </w:rPr>
        <w:t># = Cell size too small to be reported.</w:t>
      </w:r>
    </w:p>
    <w:p w14:paraId="2DA5B01B" w14:textId="77777777" w:rsidR="00B926FE" w:rsidRDefault="00B926FE" w:rsidP="00B926FE"/>
    <w:p w14:paraId="4861D57F" w14:textId="77777777" w:rsidR="00B926FE" w:rsidRDefault="00B926FE" w:rsidP="00B926FE">
      <w:pPr>
        <w:sectPr w:rsidR="00B926FE" w:rsidSect="00980AE4">
          <w:footerReference w:type="even" r:id="rId112"/>
          <w:footerReference w:type="default" r:id="rId113"/>
          <w:pgSz w:w="14170" w:h="9979" w:orient="landscape" w:code="243"/>
          <w:pgMar w:top="1872" w:right="1440" w:bottom="1152" w:left="1440" w:header="576" w:footer="576" w:gutter="0"/>
          <w:cols w:space="708"/>
          <w:docGrid w:linePitch="360"/>
        </w:sectPr>
      </w:pPr>
    </w:p>
    <w:p w14:paraId="6C48533C" w14:textId="77777777" w:rsidR="00266BEE" w:rsidRDefault="00266BEE" w:rsidP="00266BEE">
      <w:pPr>
        <w:pStyle w:val="Heading3"/>
        <w:numPr>
          <w:ilvl w:val="2"/>
          <w:numId w:val="1"/>
        </w:numPr>
      </w:pPr>
      <w:bookmarkStart w:id="999" w:name="_Toc515374542"/>
      <w:bookmarkStart w:id="1000" w:name="_Toc518566440"/>
      <w:bookmarkStart w:id="1001" w:name="_Toc528932718"/>
      <w:bookmarkStart w:id="1002" w:name="_Toc531859255"/>
      <w:r w:rsidRPr="00C72931">
        <w:t xml:space="preserve">Probable disorder according to the presence or absence of </w:t>
      </w:r>
      <w:r>
        <w:t xml:space="preserve">perceived </w:t>
      </w:r>
      <w:r w:rsidRPr="00C72931">
        <w:t>barriers to seeking care for a mental health condition</w:t>
      </w:r>
      <w:bookmarkEnd w:id="999"/>
      <w:bookmarkEnd w:id="1000"/>
      <w:bookmarkEnd w:id="1001"/>
      <w:bookmarkEnd w:id="1002"/>
    </w:p>
    <w:p w14:paraId="2DAE066E" w14:textId="77777777" w:rsidR="00266BEE" w:rsidRPr="00C72931" w:rsidRDefault="00266BEE" w:rsidP="00266BEE">
      <w:r>
        <w:t xml:space="preserve">Table </w:t>
      </w:r>
      <w:r>
        <w:rPr>
          <w:noProof/>
        </w:rPr>
        <w:t>9</w:t>
      </w:r>
      <w:r>
        <w:t>.</w:t>
      </w:r>
      <w:r>
        <w:rPr>
          <w:noProof/>
        </w:rPr>
        <w:t>4</w:t>
      </w:r>
      <w:r>
        <w:t xml:space="preserve"> </w:t>
      </w:r>
      <w:r w:rsidRPr="00D111DE">
        <w:t xml:space="preserve">below presents the estimated proportion of Transitioned ADF and 2015 Regular ADF meeting </w:t>
      </w:r>
      <w:r>
        <w:t xml:space="preserve">the </w:t>
      </w:r>
      <w:r w:rsidRPr="00D111DE">
        <w:t xml:space="preserve">criteria for a probable disorder on key mental health outcomes who reported using the </w:t>
      </w:r>
      <w:r>
        <w:t>internet</w:t>
      </w:r>
      <w:r w:rsidRPr="00D111DE">
        <w:t xml:space="preserve"> </w:t>
      </w:r>
      <w:r>
        <w:t>to seek help or information or to manage mental health issues</w:t>
      </w:r>
      <w:r w:rsidRPr="00B007BE" w:rsidDel="00422D15">
        <w:t xml:space="preserve"> </w:t>
      </w:r>
      <w:r w:rsidRPr="00D111DE">
        <w:t>according to the presence or absence of perceived barriers</w:t>
      </w:r>
      <w:r>
        <w:t xml:space="preserve"> to care</w:t>
      </w:r>
      <w:r w:rsidRPr="00D111DE">
        <w:t>.</w:t>
      </w:r>
    </w:p>
    <w:p w14:paraId="08397784" w14:textId="77777777" w:rsidR="00266BEE" w:rsidRPr="00466534" w:rsidRDefault="00266BEE" w:rsidP="00266BEE">
      <w:r>
        <w:t>Similar to results for stigma, there was no association between perceived barriers to care and use of the internet to seek help or information or to manage mental health issues among Transitioned and 2015 Regular ADF members with probable PTSD, alcohol disorder or 12-month suicidal ideation or behaviour.</w:t>
      </w:r>
    </w:p>
    <w:p w14:paraId="1FAAB65B" w14:textId="77777777" w:rsidR="00266BEE" w:rsidRPr="00C72931" w:rsidRDefault="00266BEE" w:rsidP="00266BEE">
      <w:r w:rsidRPr="00D111DE">
        <w:t xml:space="preserve">Among those with probable </w:t>
      </w:r>
      <w:r>
        <w:t>30-day anxiety/depression on the K10</w:t>
      </w:r>
      <w:r w:rsidRPr="00D111DE">
        <w:t>, Transitioned ADF</w:t>
      </w:r>
      <w:r>
        <w:t xml:space="preserve"> with at least one perceived barrier (41.9%) were marginally more likely to use the internet to seek help or information for, or to manage, mental health issues than those with no perceived barriers to care (30.5%). Among those </w:t>
      </w:r>
      <w:r w:rsidRPr="00D111DE">
        <w:t xml:space="preserve">with probable </w:t>
      </w:r>
      <w:r>
        <w:t>anxiety/depression on the K10 and no barriers, Transitioned ADF members (30.5%) were more likely to use the internet for mental health issues than the 2015 Regular ADF (8.6%).</w:t>
      </w:r>
    </w:p>
    <w:p w14:paraId="73228BC2" w14:textId="77777777" w:rsidR="00266BEE" w:rsidRPr="00D111DE" w:rsidRDefault="00266BEE" w:rsidP="00266BEE">
      <w:r>
        <w:t xml:space="preserve">Similar to the pattern reported for the K10, among those with a probable depressive episode and no barriers, </w:t>
      </w:r>
      <w:r w:rsidRPr="00D111DE">
        <w:t>Transitioned ADF</w:t>
      </w:r>
      <w:r>
        <w:t xml:space="preserve"> (38.5%) were more likely to use the internet for mental health issues than 2015 Regular ADF (12.9%). The same pattern emerged in relation to probable generalised anxiety. with </w:t>
      </w:r>
      <w:r w:rsidRPr="00D111DE">
        <w:t>Transitioned ADF</w:t>
      </w:r>
      <w:r>
        <w:t xml:space="preserve"> with probable generalised anxiety disorder and no perceived barriers to care (37.1%) more likely to use the internet for mental health issues than 2015 Regular ADF with a probable generalised anxiety disorder and no perceived barriers to care (6.8%).</w:t>
      </w:r>
    </w:p>
    <w:p w14:paraId="0F58955B" w14:textId="77777777" w:rsidR="00B926FE" w:rsidRDefault="00B926FE" w:rsidP="00B926FE">
      <w:pPr>
        <w:sectPr w:rsidR="00B926FE" w:rsidSect="00463E44">
          <w:footerReference w:type="even" r:id="rId114"/>
          <w:footerReference w:type="default" r:id="rId115"/>
          <w:pgSz w:w="9979" w:h="14170" w:code="243"/>
          <w:pgMar w:top="1440" w:right="1152" w:bottom="1440" w:left="1728" w:header="576" w:footer="576" w:gutter="0"/>
          <w:cols w:space="708"/>
          <w:docGrid w:linePitch="360"/>
        </w:sectPr>
      </w:pPr>
    </w:p>
    <w:p w14:paraId="54666B8B" w14:textId="77777777" w:rsidR="00266BEE" w:rsidRDefault="00266BEE" w:rsidP="00266BEE">
      <w:pPr>
        <w:pStyle w:val="TableName"/>
      </w:pPr>
      <w:bookmarkStart w:id="1003" w:name="_Toc531858034"/>
      <w:bookmarkStart w:id="1004" w:name="_Ref517424201"/>
      <w:bookmarkStart w:id="1005" w:name="_Toc515374679"/>
      <w:bookmarkStart w:id="1006" w:name="_Toc528932355"/>
      <w:r>
        <w:t xml:space="preserve">Table </w:t>
      </w:r>
      <w:r>
        <w:rPr>
          <w:noProof/>
        </w:rPr>
        <w:t>9</w:t>
      </w:r>
      <w:r>
        <w:t>.</w:t>
      </w:r>
      <w:r>
        <w:rPr>
          <w:noProof/>
        </w:rPr>
        <w:t>4</w:t>
      </w:r>
      <w:r>
        <w:tab/>
        <w:t xml:space="preserve">Estimated proportion of Transitioned ADF and 2015 Regular ADF </w:t>
      </w:r>
      <w:r w:rsidRPr="000F78B9">
        <w:t xml:space="preserve">with a probable disorder who </w:t>
      </w:r>
      <w:r>
        <w:t>did</w:t>
      </w:r>
      <w:r w:rsidRPr="000F78B9">
        <w:t xml:space="preserve"> and </w:t>
      </w:r>
      <w:r>
        <w:t>did</w:t>
      </w:r>
      <w:r w:rsidRPr="000F78B9">
        <w:t xml:space="preserve"> not use the </w:t>
      </w:r>
      <w:r>
        <w:t>internet</w:t>
      </w:r>
      <w:r w:rsidRPr="000F78B9">
        <w:t xml:space="preserve"> </w:t>
      </w:r>
      <w:r>
        <w:rPr>
          <w:rFonts w:asciiTheme="minorHAnsi" w:hAnsiTheme="minorHAnsi"/>
          <w:szCs w:val="22"/>
        </w:rPr>
        <w:t xml:space="preserve">to </w:t>
      </w:r>
      <w:r>
        <w:t>seek help or information or to manage mental health issues</w:t>
      </w:r>
      <w:r w:rsidRPr="000F78B9" w:rsidDel="0027429C">
        <w:t xml:space="preserve"> </w:t>
      </w:r>
      <w:r w:rsidRPr="000F78B9">
        <w:t>broken down b</w:t>
      </w:r>
      <w:r>
        <w:t xml:space="preserve">y </w:t>
      </w:r>
      <w:r w:rsidRPr="000F78B9">
        <w:t>those with no barriers and those with at least one barrier</w:t>
      </w:r>
      <w:bookmarkEnd w:id="1003"/>
    </w:p>
    <w:bookmarkEnd w:id="1004"/>
    <w:bookmarkEnd w:id="1005"/>
    <w:bookmarkEnd w:id="1006"/>
    <w:tbl>
      <w:tblPr>
        <w:tblStyle w:val="TWRPTable"/>
        <w:tblW w:w="5000" w:type="pct"/>
        <w:tblLayout w:type="fixed"/>
        <w:tblCellMar>
          <w:left w:w="115" w:type="dxa"/>
          <w:right w:w="115" w:type="dxa"/>
        </w:tblCellMar>
        <w:tblLook w:val="0000" w:firstRow="0" w:lastRow="0" w:firstColumn="0" w:lastColumn="0" w:noHBand="0" w:noVBand="0"/>
        <w:tblDescription w:val="Table 9.4 Estimated proportion of Transitioned ADF and 2015 Regular ADF with a probable disorder who did and did not use the internet to seek help or information or to manage mental health issues broken down by those with no barriers and those with at least one barrier"/>
      </w:tblPr>
      <w:tblGrid>
        <w:gridCol w:w="2561"/>
        <w:gridCol w:w="449"/>
        <w:gridCol w:w="760"/>
        <w:gridCol w:w="972"/>
        <w:gridCol w:w="403"/>
        <w:gridCol w:w="71"/>
        <w:gridCol w:w="732"/>
        <w:gridCol w:w="62"/>
        <w:gridCol w:w="911"/>
        <w:gridCol w:w="501"/>
        <w:gridCol w:w="794"/>
        <w:gridCol w:w="884"/>
        <w:gridCol w:w="529"/>
        <w:gridCol w:w="794"/>
        <w:gridCol w:w="857"/>
      </w:tblGrid>
      <w:tr w:rsidR="00266BEE" w:rsidRPr="000F78B9" w14:paraId="2B304961" w14:textId="77777777" w:rsidTr="00E82294">
        <w:trPr>
          <w:cantSplit/>
          <w:tblHeader/>
        </w:trPr>
        <w:tc>
          <w:tcPr>
            <w:tcW w:w="2630" w:type="dxa"/>
            <w:tcBorders>
              <w:top w:val="single" w:sz="4" w:space="0" w:color="000000"/>
              <w:bottom w:val="nil"/>
            </w:tcBorders>
          </w:tcPr>
          <w:p w14:paraId="7838A921" w14:textId="77777777" w:rsidR="00266BEE" w:rsidRPr="000F78B9" w:rsidRDefault="00266BEE" w:rsidP="00E82294">
            <w:pPr>
              <w:pStyle w:val="TableText"/>
            </w:pPr>
          </w:p>
        </w:tc>
        <w:tc>
          <w:tcPr>
            <w:tcW w:w="4446" w:type="dxa"/>
            <w:gridSpan w:val="8"/>
            <w:tcBorders>
              <w:top w:val="single" w:sz="4" w:space="0" w:color="000000"/>
              <w:bottom w:val="single" w:sz="4" w:space="0" w:color="000000"/>
            </w:tcBorders>
          </w:tcPr>
          <w:p w14:paraId="30BD5DEF" w14:textId="77777777" w:rsidR="00266BEE" w:rsidRPr="00B4623F" w:rsidRDefault="00266BEE" w:rsidP="00E82294">
            <w:pPr>
              <w:pStyle w:val="TableText"/>
              <w:jc w:val="center"/>
              <w:rPr>
                <w:b/>
                <w:bCs/>
              </w:rPr>
            </w:pPr>
            <w:r w:rsidRPr="00B4623F">
              <w:rPr>
                <w:b/>
                <w:bCs/>
              </w:rPr>
              <w:t>Transitioned ADF</w:t>
            </w:r>
          </w:p>
        </w:tc>
        <w:tc>
          <w:tcPr>
            <w:tcW w:w="4444" w:type="dxa"/>
            <w:gridSpan w:val="6"/>
            <w:tcBorders>
              <w:top w:val="single" w:sz="4" w:space="0" w:color="000000"/>
              <w:bottom w:val="single" w:sz="4" w:space="0" w:color="000000"/>
            </w:tcBorders>
          </w:tcPr>
          <w:p w14:paraId="6BC978E8" w14:textId="77777777" w:rsidR="00266BEE" w:rsidRPr="00B4623F" w:rsidRDefault="00266BEE" w:rsidP="00E82294">
            <w:pPr>
              <w:pStyle w:val="TableText"/>
              <w:jc w:val="center"/>
              <w:rPr>
                <w:b/>
                <w:bCs/>
              </w:rPr>
            </w:pPr>
            <w:r w:rsidRPr="00B4623F">
              <w:rPr>
                <w:b/>
                <w:bCs/>
              </w:rPr>
              <w:t>2015 Regular ADF</w:t>
            </w:r>
          </w:p>
        </w:tc>
      </w:tr>
      <w:tr w:rsidR="00266BEE" w:rsidRPr="000F78B9" w14:paraId="780A095F" w14:textId="77777777" w:rsidTr="00E82294">
        <w:trPr>
          <w:cantSplit/>
          <w:tblHeader/>
        </w:trPr>
        <w:tc>
          <w:tcPr>
            <w:tcW w:w="2630" w:type="dxa"/>
            <w:tcBorders>
              <w:top w:val="nil"/>
              <w:bottom w:val="nil"/>
            </w:tcBorders>
          </w:tcPr>
          <w:p w14:paraId="767BD3B2" w14:textId="77777777" w:rsidR="00266BEE" w:rsidRPr="000F78B9" w:rsidRDefault="00266BEE" w:rsidP="00E82294">
            <w:pPr>
              <w:pStyle w:val="TableText"/>
            </w:pPr>
          </w:p>
        </w:tc>
        <w:tc>
          <w:tcPr>
            <w:tcW w:w="2224" w:type="dxa"/>
            <w:gridSpan w:val="3"/>
            <w:tcBorders>
              <w:top w:val="single" w:sz="4" w:space="0" w:color="000000"/>
              <w:bottom w:val="single" w:sz="4" w:space="0" w:color="000000"/>
            </w:tcBorders>
          </w:tcPr>
          <w:p w14:paraId="07753C1E" w14:textId="77777777" w:rsidR="00266BEE" w:rsidRPr="00C72931" w:rsidRDefault="00266BEE" w:rsidP="00E82294">
            <w:pPr>
              <w:pStyle w:val="TableText"/>
              <w:jc w:val="center"/>
              <w:rPr>
                <w:b/>
              </w:rPr>
            </w:pPr>
            <w:r w:rsidRPr="00C72931">
              <w:rPr>
                <w:b/>
              </w:rPr>
              <w:t xml:space="preserve">No </w:t>
            </w:r>
            <w:r>
              <w:rPr>
                <w:b/>
              </w:rPr>
              <w:t>b</w:t>
            </w:r>
            <w:r w:rsidRPr="00C72931">
              <w:rPr>
                <w:b/>
              </w:rPr>
              <w:t>arriers</w:t>
            </w:r>
          </w:p>
        </w:tc>
        <w:tc>
          <w:tcPr>
            <w:tcW w:w="2222" w:type="dxa"/>
            <w:gridSpan w:val="5"/>
            <w:tcBorders>
              <w:top w:val="single" w:sz="4" w:space="0" w:color="000000"/>
              <w:bottom w:val="single" w:sz="4" w:space="0" w:color="000000"/>
            </w:tcBorders>
          </w:tcPr>
          <w:p w14:paraId="37900678" w14:textId="77777777" w:rsidR="00266BEE" w:rsidRPr="00C72931" w:rsidRDefault="00266BEE" w:rsidP="00E82294">
            <w:pPr>
              <w:pStyle w:val="TableText"/>
              <w:jc w:val="center"/>
              <w:rPr>
                <w:b/>
              </w:rPr>
            </w:pPr>
            <w:r>
              <w:rPr>
                <w:b/>
              </w:rPr>
              <w:t>At least one b</w:t>
            </w:r>
            <w:r w:rsidRPr="00C72931">
              <w:rPr>
                <w:b/>
              </w:rPr>
              <w:t>arrier</w:t>
            </w:r>
          </w:p>
        </w:tc>
        <w:tc>
          <w:tcPr>
            <w:tcW w:w="2222" w:type="dxa"/>
            <w:gridSpan w:val="3"/>
            <w:tcBorders>
              <w:top w:val="single" w:sz="4" w:space="0" w:color="000000"/>
              <w:bottom w:val="single" w:sz="4" w:space="0" w:color="000000"/>
            </w:tcBorders>
          </w:tcPr>
          <w:p w14:paraId="2B54EC95" w14:textId="77777777" w:rsidR="00266BEE" w:rsidRPr="00C72931" w:rsidRDefault="00266BEE" w:rsidP="00E82294">
            <w:pPr>
              <w:pStyle w:val="TableText"/>
              <w:jc w:val="center"/>
              <w:rPr>
                <w:b/>
              </w:rPr>
            </w:pPr>
            <w:r w:rsidRPr="00C72931">
              <w:rPr>
                <w:b/>
              </w:rPr>
              <w:t xml:space="preserve">No </w:t>
            </w:r>
            <w:r>
              <w:rPr>
                <w:b/>
              </w:rPr>
              <w:t>b</w:t>
            </w:r>
            <w:r w:rsidRPr="00C72931">
              <w:rPr>
                <w:b/>
              </w:rPr>
              <w:t>arriers</w:t>
            </w:r>
          </w:p>
        </w:tc>
        <w:tc>
          <w:tcPr>
            <w:tcW w:w="2222" w:type="dxa"/>
            <w:gridSpan w:val="3"/>
            <w:tcBorders>
              <w:top w:val="single" w:sz="4" w:space="0" w:color="000000"/>
              <w:bottom w:val="single" w:sz="4" w:space="0" w:color="000000"/>
            </w:tcBorders>
          </w:tcPr>
          <w:p w14:paraId="7404D270" w14:textId="77777777" w:rsidR="00266BEE" w:rsidRPr="00C72931" w:rsidRDefault="00266BEE" w:rsidP="00E82294">
            <w:pPr>
              <w:pStyle w:val="TableText"/>
              <w:jc w:val="center"/>
              <w:rPr>
                <w:b/>
              </w:rPr>
            </w:pPr>
            <w:r w:rsidRPr="00C72931">
              <w:rPr>
                <w:b/>
              </w:rPr>
              <w:t>At least one barrier</w:t>
            </w:r>
          </w:p>
        </w:tc>
      </w:tr>
      <w:tr w:rsidR="00E82294" w:rsidRPr="000F78B9" w14:paraId="21C0CBE3" w14:textId="77777777" w:rsidTr="00EF7D7F">
        <w:trPr>
          <w:cantSplit/>
          <w:tblHeader/>
        </w:trPr>
        <w:tc>
          <w:tcPr>
            <w:tcW w:w="2630" w:type="dxa"/>
            <w:tcBorders>
              <w:top w:val="nil"/>
              <w:bottom w:val="single" w:sz="4" w:space="0" w:color="000000"/>
            </w:tcBorders>
          </w:tcPr>
          <w:p w14:paraId="341676ED" w14:textId="77777777" w:rsidR="00266BEE" w:rsidRPr="000F78B9" w:rsidRDefault="00266BEE" w:rsidP="00E82294">
            <w:pPr>
              <w:pStyle w:val="TableText"/>
            </w:pPr>
          </w:p>
        </w:tc>
        <w:tc>
          <w:tcPr>
            <w:tcW w:w="455" w:type="dxa"/>
            <w:tcBorders>
              <w:top w:val="single" w:sz="4" w:space="0" w:color="000000"/>
              <w:bottom w:val="single" w:sz="4" w:space="0" w:color="000000"/>
            </w:tcBorders>
            <w:vAlign w:val="bottom"/>
          </w:tcPr>
          <w:p w14:paraId="5CDD2DD9" w14:textId="77777777" w:rsidR="00266BEE" w:rsidRPr="00C72931" w:rsidRDefault="00266BEE" w:rsidP="00EF7D7F">
            <w:pPr>
              <w:pStyle w:val="TableText"/>
              <w:jc w:val="right"/>
              <w:rPr>
                <w:b/>
              </w:rPr>
            </w:pPr>
            <w:r w:rsidRPr="00C72931">
              <w:rPr>
                <w:b/>
              </w:rPr>
              <w:t>n</w:t>
            </w:r>
          </w:p>
        </w:tc>
        <w:tc>
          <w:tcPr>
            <w:tcW w:w="775" w:type="dxa"/>
            <w:tcBorders>
              <w:top w:val="single" w:sz="4" w:space="0" w:color="000000"/>
              <w:bottom w:val="single" w:sz="4" w:space="0" w:color="000000"/>
            </w:tcBorders>
            <w:vAlign w:val="bottom"/>
          </w:tcPr>
          <w:p w14:paraId="2C34D02D" w14:textId="77777777" w:rsidR="00266BEE" w:rsidRPr="00C72931" w:rsidRDefault="00266BEE" w:rsidP="00EF7D7F">
            <w:pPr>
              <w:pStyle w:val="TableText"/>
              <w:jc w:val="right"/>
              <w:rPr>
                <w:b/>
              </w:rPr>
            </w:pPr>
            <w:r w:rsidRPr="00C72931">
              <w:rPr>
                <w:b/>
              </w:rPr>
              <w:t>Weighted n</w:t>
            </w:r>
          </w:p>
        </w:tc>
        <w:tc>
          <w:tcPr>
            <w:tcW w:w="994" w:type="dxa"/>
            <w:tcBorders>
              <w:top w:val="single" w:sz="4" w:space="0" w:color="000000"/>
              <w:bottom w:val="single" w:sz="4" w:space="0" w:color="000000"/>
            </w:tcBorders>
            <w:vAlign w:val="bottom"/>
          </w:tcPr>
          <w:p w14:paraId="012308DF" w14:textId="77777777" w:rsidR="00266BEE" w:rsidRPr="00C72931" w:rsidRDefault="00266BEE" w:rsidP="00EF7D7F">
            <w:pPr>
              <w:pStyle w:val="TableText"/>
              <w:jc w:val="right"/>
              <w:rPr>
                <w:b/>
              </w:rPr>
            </w:pPr>
            <w:r w:rsidRPr="00C72931">
              <w:rPr>
                <w:b/>
              </w:rPr>
              <w:t>% (95%CI)</w:t>
            </w:r>
          </w:p>
        </w:tc>
        <w:tc>
          <w:tcPr>
            <w:tcW w:w="481" w:type="dxa"/>
            <w:gridSpan w:val="2"/>
            <w:tcBorders>
              <w:top w:val="single" w:sz="4" w:space="0" w:color="000000"/>
              <w:bottom w:val="single" w:sz="4" w:space="0" w:color="000000"/>
            </w:tcBorders>
            <w:vAlign w:val="bottom"/>
          </w:tcPr>
          <w:p w14:paraId="3818012B" w14:textId="77777777" w:rsidR="00266BEE" w:rsidRPr="00C72931" w:rsidRDefault="00266BEE" w:rsidP="00EF7D7F">
            <w:pPr>
              <w:pStyle w:val="TableText"/>
              <w:jc w:val="right"/>
              <w:rPr>
                <w:b/>
              </w:rPr>
            </w:pPr>
            <w:r w:rsidRPr="00C72931">
              <w:rPr>
                <w:b/>
              </w:rPr>
              <w:t>n</w:t>
            </w:r>
          </w:p>
        </w:tc>
        <w:tc>
          <w:tcPr>
            <w:tcW w:w="810" w:type="dxa"/>
            <w:gridSpan w:val="2"/>
            <w:tcBorders>
              <w:top w:val="single" w:sz="4" w:space="0" w:color="000000"/>
              <w:bottom w:val="single" w:sz="4" w:space="0" w:color="000000"/>
            </w:tcBorders>
            <w:vAlign w:val="bottom"/>
          </w:tcPr>
          <w:p w14:paraId="0BF1A445" w14:textId="77777777" w:rsidR="00266BEE" w:rsidRPr="00C72931" w:rsidRDefault="00266BEE" w:rsidP="00EF7D7F">
            <w:pPr>
              <w:pStyle w:val="TableText"/>
              <w:jc w:val="right"/>
              <w:rPr>
                <w:b/>
              </w:rPr>
            </w:pPr>
            <w:r w:rsidRPr="00C72931">
              <w:rPr>
                <w:b/>
              </w:rPr>
              <w:t>Weighted n</w:t>
            </w:r>
          </w:p>
        </w:tc>
        <w:tc>
          <w:tcPr>
            <w:tcW w:w="931" w:type="dxa"/>
            <w:tcBorders>
              <w:top w:val="single" w:sz="4" w:space="0" w:color="000000"/>
              <w:bottom w:val="single" w:sz="4" w:space="0" w:color="000000"/>
            </w:tcBorders>
            <w:vAlign w:val="bottom"/>
          </w:tcPr>
          <w:p w14:paraId="50379B3F" w14:textId="77777777" w:rsidR="00266BEE" w:rsidRPr="00C72931" w:rsidRDefault="00266BEE" w:rsidP="00EF7D7F">
            <w:pPr>
              <w:pStyle w:val="TableText"/>
              <w:jc w:val="right"/>
              <w:rPr>
                <w:b/>
              </w:rPr>
            </w:pPr>
            <w:r w:rsidRPr="00C72931">
              <w:rPr>
                <w:b/>
              </w:rPr>
              <w:t>% (95%CI)</w:t>
            </w:r>
          </w:p>
        </w:tc>
        <w:tc>
          <w:tcPr>
            <w:tcW w:w="509" w:type="dxa"/>
            <w:tcBorders>
              <w:top w:val="single" w:sz="4" w:space="0" w:color="000000"/>
              <w:bottom w:val="single" w:sz="4" w:space="0" w:color="000000"/>
            </w:tcBorders>
            <w:vAlign w:val="bottom"/>
          </w:tcPr>
          <w:p w14:paraId="004B91DD" w14:textId="77777777" w:rsidR="00266BEE" w:rsidRPr="00C72931" w:rsidRDefault="00266BEE" w:rsidP="00EF7D7F">
            <w:pPr>
              <w:pStyle w:val="TableText"/>
              <w:jc w:val="right"/>
              <w:rPr>
                <w:b/>
              </w:rPr>
            </w:pPr>
            <w:r w:rsidRPr="00C72931">
              <w:rPr>
                <w:b/>
              </w:rPr>
              <w:t>n</w:t>
            </w:r>
          </w:p>
        </w:tc>
        <w:tc>
          <w:tcPr>
            <w:tcW w:w="810" w:type="dxa"/>
            <w:tcBorders>
              <w:top w:val="single" w:sz="4" w:space="0" w:color="000000"/>
              <w:bottom w:val="single" w:sz="4" w:space="0" w:color="000000"/>
            </w:tcBorders>
            <w:vAlign w:val="bottom"/>
          </w:tcPr>
          <w:p w14:paraId="6E2773D2" w14:textId="77777777" w:rsidR="00266BEE" w:rsidRPr="00C72931" w:rsidRDefault="00266BEE" w:rsidP="00EF7D7F">
            <w:pPr>
              <w:pStyle w:val="TableText"/>
              <w:jc w:val="right"/>
              <w:rPr>
                <w:b/>
              </w:rPr>
            </w:pPr>
            <w:r w:rsidRPr="00C72931">
              <w:rPr>
                <w:b/>
              </w:rPr>
              <w:t>Weighted n</w:t>
            </w:r>
          </w:p>
        </w:tc>
        <w:tc>
          <w:tcPr>
            <w:tcW w:w="903" w:type="dxa"/>
            <w:tcBorders>
              <w:top w:val="single" w:sz="4" w:space="0" w:color="000000"/>
              <w:bottom w:val="single" w:sz="4" w:space="0" w:color="000000"/>
            </w:tcBorders>
            <w:vAlign w:val="bottom"/>
          </w:tcPr>
          <w:p w14:paraId="7A932364" w14:textId="77777777" w:rsidR="00266BEE" w:rsidRPr="00C72931" w:rsidRDefault="00266BEE" w:rsidP="00EF7D7F">
            <w:pPr>
              <w:pStyle w:val="TableText"/>
              <w:jc w:val="right"/>
              <w:rPr>
                <w:b/>
              </w:rPr>
            </w:pPr>
            <w:r w:rsidRPr="00C72931">
              <w:rPr>
                <w:b/>
              </w:rPr>
              <w:t>% (95%CI)</w:t>
            </w:r>
          </w:p>
        </w:tc>
        <w:tc>
          <w:tcPr>
            <w:tcW w:w="537" w:type="dxa"/>
            <w:tcBorders>
              <w:top w:val="single" w:sz="4" w:space="0" w:color="000000"/>
              <w:bottom w:val="single" w:sz="4" w:space="0" w:color="000000"/>
            </w:tcBorders>
            <w:vAlign w:val="bottom"/>
          </w:tcPr>
          <w:p w14:paraId="79C1B553" w14:textId="77777777" w:rsidR="00266BEE" w:rsidRPr="00C72931" w:rsidRDefault="00266BEE" w:rsidP="00EF7D7F">
            <w:pPr>
              <w:pStyle w:val="TableText"/>
              <w:jc w:val="right"/>
              <w:rPr>
                <w:b/>
              </w:rPr>
            </w:pPr>
            <w:r w:rsidRPr="00C72931">
              <w:rPr>
                <w:b/>
              </w:rPr>
              <w:t>n</w:t>
            </w:r>
          </w:p>
        </w:tc>
        <w:tc>
          <w:tcPr>
            <w:tcW w:w="810" w:type="dxa"/>
            <w:tcBorders>
              <w:top w:val="single" w:sz="4" w:space="0" w:color="000000"/>
              <w:bottom w:val="single" w:sz="4" w:space="0" w:color="000000"/>
            </w:tcBorders>
            <w:vAlign w:val="bottom"/>
          </w:tcPr>
          <w:p w14:paraId="1756370D" w14:textId="77777777" w:rsidR="00266BEE" w:rsidRPr="00C72931" w:rsidRDefault="00266BEE" w:rsidP="00EF7D7F">
            <w:pPr>
              <w:pStyle w:val="TableText"/>
              <w:jc w:val="right"/>
              <w:rPr>
                <w:b/>
              </w:rPr>
            </w:pPr>
            <w:r w:rsidRPr="00C72931">
              <w:rPr>
                <w:b/>
              </w:rPr>
              <w:t>Weighted n</w:t>
            </w:r>
          </w:p>
        </w:tc>
        <w:tc>
          <w:tcPr>
            <w:tcW w:w="875" w:type="dxa"/>
            <w:tcBorders>
              <w:top w:val="single" w:sz="4" w:space="0" w:color="000000"/>
              <w:bottom w:val="single" w:sz="4" w:space="0" w:color="000000"/>
            </w:tcBorders>
            <w:vAlign w:val="bottom"/>
          </w:tcPr>
          <w:p w14:paraId="618AB7FA" w14:textId="77777777" w:rsidR="00266BEE" w:rsidRPr="00C72931" w:rsidRDefault="00266BEE" w:rsidP="00EF7D7F">
            <w:pPr>
              <w:pStyle w:val="TableText"/>
              <w:jc w:val="right"/>
              <w:rPr>
                <w:b/>
              </w:rPr>
            </w:pPr>
            <w:r w:rsidRPr="00C72931">
              <w:rPr>
                <w:b/>
              </w:rPr>
              <w:t>% (95%CI)</w:t>
            </w:r>
          </w:p>
        </w:tc>
      </w:tr>
      <w:tr w:rsidR="00266BEE" w:rsidRPr="000F78B9" w14:paraId="09313C08"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tcBorders>
          </w:tcPr>
          <w:p w14:paraId="7C5A83AD" w14:textId="77777777" w:rsidR="00266BEE" w:rsidRPr="00C72931" w:rsidRDefault="00266BEE" w:rsidP="00E82294">
            <w:pPr>
              <w:pStyle w:val="TableText"/>
              <w:rPr>
                <w:b/>
              </w:rPr>
            </w:pPr>
            <w:r w:rsidRPr="00C72931">
              <w:rPr>
                <w:b/>
              </w:rPr>
              <w:t xml:space="preserve">Posttraumatic stress </w:t>
            </w:r>
            <w:r>
              <w:rPr>
                <w:b/>
              </w:rPr>
              <w:t>s</w:t>
            </w:r>
            <w:r w:rsidRPr="00C72931">
              <w:rPr>
                <w:b/>
              </w:rPr>
              <w:t>yndrome disorder (PCL-C)</w:t>
            </w:r>
          </w:p>
        </w:tc>
        <w:tc>
          <w:tcPr>
            <w:tcW w:w="2224" w:type="dxa"/>
            <w:gridSpan w:val="3"/>
            <w:tcBorders>
              <w:top w:val="single" w:sz="4" w:space="0" w:color="000000"/>
            </w:tcBorders>
          </w:tcPr>
          <w:p w14:paraId="377A773D" w14:textId="77777777" w:rsidR="00266BEE" w:rsidRPr="000F78B9" w:rsidRDefault="00266BEE" w:rsidP="00E82294">
            <w:pPr>
              <w:pStyle w:val="TableText"/>
              <w:jc w:val="center"/>
            </w:pPr>
            <w:r>
              <w:t>n</w:t>
            </w:r>
            <w:r w:rsidRPr="000F78B9">
              <w:t>=</w:t>
            </w:r>
            <w:r>
              <w:t>126</w:t>
            </w:r>
            <w:r w:rsidRPr="000F78B9">
              <w:t xml:space="preserve"> (Weighted</w:t>
            </w:r>
            <w:r>
              <w:t xml:space="preserve"> n</w:t>
            </w:r>
            <w:r w:rsidRPr="000F78B9">
              <w:t>=</w:t>
            </w:r>
            <w:r>
              <w:t>781</w:t>
            </w:r>
            <w:r w:rsidRPr="000F78B9">
              <w:t>)</w:t>
            </w:r>
          </w:p>
        </w:tc>
        <w:tc>
          <w:tcPr>
            <w:tcW w:w="2222" w:type="dxa"/>
            <w:gridSpan w:val="5"/>
            <w:tcBorders>
              <w:top w:val="single" w:sz="4" w:space="0" w:color="000000"/>
            </w:tcBorders>
          </w:tcPr>
          <w:p w14:paraId="703D2E82" w14:textId="77777777" w:rsidR="00266BEE" w:rsidRPr="000F78B9" w:rsidRDefault="00266BEE" w:rsidP="00E82294">
            <w:pPr>
              <w:pStyle w:val="TableText"/>
              <w:jc w:val="center"/>
            </w:pPr>
            <w:r>
              <w:t>n=350</w:t>
            </w:r>
            <w:r w:rsidRPr="000F78B9">
              <w:t xml:space="preserve"> (Weighted </w:t>
            </w:r>
            <w:r>
              <w:t>n</w:t>
            </w:r>
            <w:r w:rsidRPr="000F78B9">
              <w:t>=2</w:t>
            </w:r>
            <w:r>
              <w:t>445</w:t>
            </w:r>
            <w:r w:rsidRPr="000F78B9">
              <w:t>)</w:t>
            </w:r>
          </w:p>
        </w:tc>
        <w:tc>
          <w:tcPr>
            <w:tcW w:w="2222" w:type="dxa"/>
            <w:gridSpan w:val="3"/>
            <w:tcBorders>
              <w:top w:val="single" w:sz="4" w:space="0" w:color="000000"/>
            </w:tcBorders>
          </w:tcPr>
          <w:p w14:paraId="762E18C6" w14:textId="77777777" w:rsidR="00266BEE" w:rsidRPr="000F78B9" w:rsidRDefault="00266BEE" w:rsidP="00E82294">
            <w:pPr>
              <w:pStyle w:val="TableText"/>
              <w:jc w:val="center"/>
            </w:pPr>
            <w:r>
              <w:t>n</w:t>
            </w:r>
            <w:r w:rsidRPr="000F78B9">
              <w:t>=</w:t>
            </w:r>
            <w:r>
              <w:t>25</w:t>
            </w:r>
            <w:r w:rsidRPr="000F78B9">
              <w:t xml:space="preserve"> (Weighted</w:t>
            </w:r>
            <w:r>
              <w:t xml:space="preserve"> n</w:t>
            </w:r>
            <w:r w:rsidRPr="000F78B9">
              <w:t>=</w:t>
            </w:r>
            <w:r>
              <w:t>124</w:t>
            </w:r>
            <w:r w:rsidRPr="000F78B9">
              <w:t>)</w:t>
            </w:r>
          </w:p>
        </w:tc>
        <w:tc>
          <w:tcPr>
            <w:tcW w:w="2222" w:type="dxa"/>
            <w:gridSpan w:val="3"/>
            <w:tcBorders>
              <w:top w:val="single" w:sz="4" w:space="0" w:color="000000"/>
            </w:tcBorders>
          </w:tcPr>
          <w:p w14:paraId="61796554" w14:textId="77777777" w:rsidR="00266BEE" w:rsidRPr="000F78B9" w:rsidRDefault="00266BEE" w:rsidP="00E82294">
            <w:pPr>
              <w:pStyle w:val="TableText"/>
              <w:jc w:val="center"/>
            </w:pPr>
            <w:r>
              <w:t>n</w:t>
            </w:r>
            <w:r w:rsidRPr="000F78B9">
              <w:t>=</w:t>
            </w:r>
            <w:r>
              <w:t xml:space="preserve">197 </w:t>
            </w:r>
            <w:r w:rsidRPr="000F78B9">
              <w:t xml:space="preserve">(Weighted </w:t>
            </w:r>
            <w:r>
              <w:t>n</w:t>
            </w:r>
            <w:r w:rsidRPr="000F78B9">
              <w:t>=</w:t>
            </w:r>
            <w:r>
              <w:t>1368</w:t>
            </w:r>
            <w:r w:rsidRPr="000F78B9">
              <w:t>)</w:t>
            </w:r>
          </w:p>
        </w:tc>
      </w:tr>
      <w:tr w:rsidR="00E82294" w:rsidRPr="000F78B9" w14:paraId="4F4B8BCB" w14:textId="77777777" w:rsidTr="0062434A">
        <w:trPr>
          <w:cantSplit/>
        </w:trPr>
        <w:tc>
          <w:tcPr>
            <w:tcW w:w="2630" w:type="dxa"/>
          </w:tcPr>
          <w:p w14:paraId="40D8C3B1" w14:textId="77777777" w:rsidR="00266BEE" w:rsidRPr="00C72931" w:rsidRDefault="00266BEE" w:rsidP="00E82294">
            <w:pPr>
              <w:pStyle w:val="TableText"/>
              <w:rPr>
                <w:bCs/>
                <w:color w:val="000000" w:themeColor="text1"/>
              </w:rPr>
            </w:pPr>
            <w:r w:rsidRPr="00C72931">
              <w:t xml:space="preserve">Used </w:t>
            </w:r>
            <w:r>
              <w:t>internet</w:t>
            </w:r>
            <w:r w:rsidRPr="00C72931">
              <w:t xml:space="preserve"> for </w:t>
            </w:r>
            <w:r>
              <w:t>m</w:t>
            </w:r>
            <w:r w:rsidRPr="00C72931">
              <w:t xml:space="preserve">ental </w:t>
            </w:r>
            <w:r>
              <w:t>h</w:t>
            </w:r>
            <w:r w:rsidRPr="00C72931">
              <w:t xml:space="preserve">ealth </w:t>
            </w:r>
          </w:p>
        </w:tc>
        <w:tc>
          <w:tcPr>
            <w:tcW w:w="455" w:type="dxa"/>
          </w:tcPr>
          <w:p w14:paraId="56D82D66" w14:textId="77777777" w:rsidR="00266BEE" w:rsidRPr="00C72931" w:rsidRDefault="00266BEE" w:rsidP="00E82294">
            <w:pPr>
              <w:pStyle w:val="TableText"/>
              <w:jc w:val="right"/>
            </w:pPr>
            <w:r w:rsidRPr="00C72931">
              <w:t>56</w:t>
            </w:r>
          </w:p>
        </w:tc>
        <w:tc>
          <w:tcPr>
            <w:tcW w:w="775" w:type="dxa"/>
          </w:tcPr>
          <w:p w14:paraId="3E528290" w14:textId="77777777" w:rsidR="00266BEE" w:rsidRPr="00C72931" w:rsidRDefault="00266BEE" w:rsidP="00E82294">
            <w:pPr>
              <w:pStyle w:val="TableText"/>
              <w:jc w:val="right"/>
            </w:pPr>
            <w:r w:rsidRPr="00C72931">
              <w:t>324</w:t>
            </w:r>
          </w:p>
        </w:tc>
        <w:tc>
          <w:tcPr>
            <w:tcW w:w="994" w:type="dxa"/>
          </w:tcPr>
          <w:p w14:paraId="7E67A65A" w14:textId="77777777" w:rsidR="00266BEE" w:rsidRPr="00C72931" w:rsidRDefault="00266BEE" w:rsidP="00E82294">
            <w:pPr>
              <w:pStyle w:val="TableText"/>
              <w:jc w:val="right"/>
            </w:pPr>
            <w:r w:rsidRPr="00C72931">
              <w:t>41.5 (32.0</w:t>
            </w:r>
            <w:r w:rsidR="00E82294">
              <w:t>, </w:t>
            </w:r>
            <w:r w:rsidRPr="00C72931">
              <w:t>51.6)</w:t>
            </w:r>
          </w:p>
        </w:tc>
        <w:tc>
          <w:tcPr>
            <w:tcW w:w="481" w:type="dxa"/>
            <w:gridSpan w:val="2"/>
          </w:tcPr>
          <w:p w14:paraId="6965B4F1" w14:textId="77777777" w:rsidR="00266BEE" w:rsidRPr="00C72931" w:rsidRDefault="00266BEE" w:rsidP="00E82294">
            <w:pPr>
              <w:pStyle w:val="TableText"/>
              <w:jc w:val="right"/>
            </w:pPr>
            <w:r w:rsidRPr="00C72931">
              <w:t>164</w:t>
            </w:r>
          </w:p>
        </w:tc>
        <w:tc>
          <w:tcPr>
            <w:tcW w:w="810" w:type="dxa"/>
            <w:gridSpan w:val="2"/>
          </w:tcPr>
          <w:p w14:paraId="7DDB7144" w14:textId="77777777" w:rsidR="00266BEE" w:rsidRPr="00C72931" w:rsidRDefault="00266BEE" w:rsidP="00E82294">
            <w:pPr>
              <w:pStyle w:val="TableText"/>
              <w:jc w:val="right"/>
            </w:pPr>
            <w:r w:rsidRPr="00C72931">
              <w:t>1037</w:t>
            </w:r>
          </w:p>
        </w:tc>
        <w:tc>
          <w:tcPr>
            <w:tcW w:w="931" w:type="dxa"/>
          </w:tcPr>
          <w:p w14:paraId="6695373C" w14:textId="77777777" w:rsidR="00266BEE" w:rsidRPr="00C72931" w:rsidRDefault="00266BEE" w:rsidP="00E82294">
            <w:pPr>
              <w:pStyle w:val="TableText"/>
              <w:jc w:val="right"/>
            </w:pPr>
            <w:r w:rsidRPr="00C72931">
              <w:t>42.4 (36.1</w:t>
            </w:r>
            <w:r w:rsidR="00E82294">
              <w:t>, </w:t>
            </w:r>
            <w:r w:rsidRPr="00C72931">
              <w:t>48.9)</w:t>
            </w:r>
          </w:p>
        </w:tc>
        <w:tc>
          <w:tcPr>
            <w:tcW w:w="509" w:type="dxa"/>
          </w:tcPr>
          <w:p w14:paraId="0574EA9E" w14:textId="77777777" w:rsidR="00266BEE" w:rsidRPr="00C72931" w:rsidRDefault="00266BEE" w:rsidP="00E82294">
            <w:pPr>
              <w:pStyle w:val="TableText"/>
              <w:jc w:val="right"/>
            </w:pPr>
            <w:r w:rsidRPr="00C72931">
              <w:t>11</w:t>
            </w:r>
          </w:p>
        </w:tc>
        <w:tc>
          <w:tcPr>
            <w:tcW w:w="810" w:type="dxa"/>
          </w:tcPr>
          <w:p w14:paraId="71595F80" w14:textId="77777777" w:rsidR="00266BEE" w:rsidRPr="00C72931" w:rsidRDefault="00266BEE" w:rsidP="00E82294">
            <w:pPr>
              <w:pStyle w:val="TableText"/>
              <w:jc w:val="right"/>
            </w:pPr>
            <w:r w:rsidRPr="00C72931">
              <w:t>34</w:t>
            </w:r>
          </w:p>
        </w:tc>
        <w:tc>
          <w:tcPr>
            <w:tcW w:w="903" w:type="dxa"/>
          </w:tcPr>
          <w:p w14:paraId="0CB1A2DF" w14:textId="77777777" w:rsidR="00266BEE" w:rsidRPr="00C72931" w:rsidRDefault="00266BEE" w:rsidP="00E82294">
            <w:pPr>
              <w:pStyle w:val="TableText"/>
              <w:jc w:val="right"/>
            </w:pPr>
            <w:r w:rsidRPr="00C72931">
              <w:t>27.5 (12.5</w:t>
            </w:r>
            <w:r w:rsidR="00E82294">
              <w:t>, </w:t>
            </w:r>
            <w:r w:rsidRPr="00C72931">
              <w:t>50.3)</w:t>
            </w:r>
          </w:p>
        </w:tc>
        <w:tc>
          <w:tcPr>
            <w:tcW w:w="537" w:type="dxa"/>
          </w:tcPr>
          <w:p w14:paraId="15C1F1BF" w14:textId="77777777" w:rsidR="00266BEE" w:rsidRPr="00C72931" w:rsidRDefault="00266BEE" w:rsidP="00E82294">
            <w:pPr>
              <w:pStyle w:val="TableText"/>
              <w:jc w:val="right"/>
            </w:pPr>
            <w:r w:rsidRPr="00C72931">
              <w:t>96</w:t>
            </w:r>
          </w:p>
        </w:tc>
        <w:tc>
          <w:tcPr>
            <w:tcW w:w="810" w:type="dxa"/>
          </w:tcPr>
          <w:p w14:paraId="4C63F0B9" w14:textId="77777777" w:rsidR="00266BEE" w:rsidRPr="00C72931" w:rsidRDefault="00266BEE" w:rsidP="00E82294">
            <w:pPr>
              <w:pStyle w:val="TableText"/>
              <w:jc w:val="right"/>
            </w:pPr>
            <w:r w:rsidRPr="00C72931">
              <w:t>598</w:t>
            </w:r>
          </w:p>
        </w:tc>
        <w:tc>
          <w:tcPr>
            <w:tcW w:w="875" w:type="dxa"/>
          </w:tcPr>
          <w:p w14:paraId="3116B5DC" w14:textId="77777777" w:rsidR="00266BEE" w:rsidRPr="00C72931" w:rsidRDefault="00266BEE" w:rsidP="00E82294">
            <w:pPr>
              <w:pStyle w:val="TableText"/>
              <w:jc w:val="right"/>
            </w:pPr>
            <w:r w:rsidRPr="00C72931">
              <w:t>43.8 (24.0</w:t>
            </w:r>
            <w:r w:rsidR="00E82294">
              <w:t>, </w:t>
            </w:r>
            <w:r w:rsidRPr="00C72931">
              <w:t>65.8)</w:t>
            </w:r>
          </w:p>
        </w:tc>
      </w:tr>
      <w:tr w:rsidR="00E82294" w:rsidRPr="000F78B9" w14:paraId="1136F9F0"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203EC08B" w14:textId="77777777" w:rsidR="00266BEE" w:rsidRPr="00C72931" w:rsidRDefault="00266BEE" w:rsidP="00E82294">
            <w:pPr>
              <w:pStyle w:val="TableText"/>
              <w:rPr>
                <w:bCs/>
                <w:color w:val="000000" w:themeColor="text1"/>
              </w:rPr>
            </w:pPr>
            <w:r w:rsidRPr="00C72931">
              <w:t xml:space="preserve">Did not use </w:t>
            </w:r>
            <w:r>
              <w:t>internet</w:t>
            </w:r>
            <w:r w:rsidRPr="00C72931">
              <w:t xml:space="preserve"> for mental health</w:t>
            </w:r>
            <w:r>
              <w:t xml:space="preserve"> </w:t>
            </w:r>
          </w:p>
        </w:tc>
        <w:tc>
          <w:tcPr>
            <w:tcW w:w="455" w:type="dxa"/>
            <w:tcBorders>
              <w:bottom w:val="single" w:sz="4" w:space="0" w:color="000000"/>
            </w:tcBorders>
          </w:tcPr>
          <w:p w14:paraId="226D4726" w14:textId="77777777" w:rsidR="00266BEE" w:rsidRPr="00C72931" w:rsidRDefault="00266BEE" w:rsidP="00E82294">
            <w:pPr>
              <w:pStyle w:val="TableText"/>
              <w:jc w:val="right"/>
            </w:pPr>
            <w:r w:rsidRPr="00C72931">
              <w:t>70</w:t>
            </w:r>
          </w:p>
        </w:tc>
        <w:tc>
          <w:tcPr>
            <w:tcW w:w="775" w:type="dxa"/>
            <w:tcBorders>
              <w:bottom w:val="single" w:sz="4" w:space="0" w:color="000000"/>
            </w:tcBorders>
          </w:tcPr>
          <w:p w14:paraId="554F4E8D" w14:textId="77777777" w:rsidR="00266BEE" w:rsidRPr="00C72931" w:rsidRDefault="00266BEE" w:rsidP="00E82294">
            <w:pPr>
              <w:pStyle w:val="TableText"/>
              <w:jc w:val="right"/>
            </w:pPr>
            <w:r w:rsidRPr="00C72931">
              <w:t>457</w:t>
            </w:r>
          </w:p>
        </w:tc>
        <w:tc>
          <w:tcPr>
            <w:tcW w:w="994" w:type="dxa"/>
            <w:tcBorders>
              <w:bottom w:val="single" w:sz="4" w:space="0" w:color="000000"/>
            </w:tcBorders>
          </w:tcPr>
          <w:p w14:paraId="5E855794" w14:textId="77777777" w:rsidR="00266BEE" w:rsidRPr="00C72931" w:rsidRDefault="00266BEE" w:rsidP="00E82294">
            <w:pPr>
              <w:pStyle w:val="TableText"/>
              <w:jc w:val="right"/>
            </w:pPr>
            <w:r w:rsidRPr="00C72931">
              <w:t>58.5 (48.4</w:t>
            </w:r>
            <w:r w:rsidR="00E82294">
              <w:t>, </w:t>
            </w:r>
            <w:r w:rsidRPr="00C72931">
              <w:t>68.0)</w:t>
            </w:r>
          </w:p>
        </w:tc>
        <w:tc>
          <w:tcPr>
            <w:tcW w:w="481" w:type="dxa"/>
            <w:gridSpan w:val="2"/>
            <w:tcBorders>
              <w:bottom w:val="single" w:sz="4" w:space="0" w:color="000000"/>
            </w:tcBorders>
          </w:tcPr>
          <w:p w14:paraId="3C7DB93C" w14:textId="77777777" w:rsidR="00266BEE" w:rsidRPr="00C72931" w:rsidRDefault="00266BEE" w:rsidP="00E82294">
            <w:pPr>
              <w:pStyle w:val="TableText"/>
              <w:jc w:val="right"/>
            </w:pPr>
            <w:r w:rsidRPr="00C72931">
              <w:t>185</w:t>
            </w:r>
          </w:p>
        </w:tc>
        <w:tc>
          <w:tcPr>
            <w:tcW w:w="810" w:type="dxa"/>
            <w:gridSpan w:val="2"/>
            <w:tcBorders>
              <w:bottom w:val="single" w:sz="4" w:space="0" w:color="000000"/>
            </w:tcBorders>
          </w:tcPr>
          <w:p w14:paraId="3E37FEED" w14:textId="77777777" w:rsidR="00266BEE" w:rsidRPr="00C72931" w:rsidRDefault="00266BEE" w:rsidP="00E82294">
            <w:pPr>
              <w:pStyle w:val="TableText"/>
              <w:jc w:val="right"/>
            </w:pPr>
            <w:r w:rsidRPr="00C72931">
              <w:t>1394</w:t>
            </w:r>
          </w:p>
        </w:tc>
        <w:tc>
          <w:tcPr>
            <w:tcW w:w="931" w:type="dxa"/>
            <w:tcBorders>
              <w:bottom w:val="single" w:sz="4" w:space="0" w:color="000000"/>
            </w:tcBorders>
          </w:tcPr>
          <w:p w14:paraId="053B928F" w14:textId="77777777" w:rsidR="00266BEE" w:rsidRPr="00C72931" w:rsidRDefault="00266BEE" w:rsidP="00E82294">
            <w:pPr>
              <w:pStyle w:val="TableText"/>
              <w:jc w:val="right"/>
            </w:pPr>
            <w:r w:rsidRPr="00C72931">
              <w:t>57.0 (50.5</w:t>
            </w:r>
            <w:r w:rsidR="00E82294">
              <w:t>, </w:t>
            </w:r>
            <w:r w:rsidRPr="00C72931">
              <w:t>63.3)</w:t>
            </w:r>
          </w:p>
        </w:tc>
        <w:tc>
          <w:tcPr>
            <w:tcW w:w="509" w:type="dxa"/>
            <w:tcBorders>
              <w:bottom w:val="single" w:sz="4" w:space="0" w:color="000000"/>
            </w:tcBorders>
          </w:tcPr>
          <w:p w14:paraId="59721DDD" w14:textId="77777777" w:rsidR="00266BEE" w:rsidRPr="00C72931" w:rsidRDefault="00266BEE" w:rsidP="00E82294">
            <w:pPr>
              <w:pStyle w:val="TableText"/>
              <w:jc w:val="right"/>
            </w:pPr>
            <w:r w:rsidRPr="00C72931">
              <w:t>13</w:t>
            </w:r>
          </w:p>
        </w:tc>
        <w:tc>
          <w:tcPr>
            <w:tcW w:w="810" w:type="dxa"/>
            <w:tcBorders>
              <w:bottom w:val="single" w:sz="4" w:space="0" w:color="000000"/>
            </w:tcBorders>
          </w:tcPr>
          <w:p w14:paraId="09F07DAE" w14:textId="77777777" w:rsidR="00266BEE" w:rsidRPr="00C72931" w:rsidRDefault="00266BEE" w:rsidP="00E82294">
            <w:pPr>
              <w:pStyle w:val="TableText"/>
              <w:jc w:val="right"/>
            </w:pPr>
            <w:r w:rsidRPr="00C72931">
              <w:t>87</w:t>
            </w:r>
          </w:p>
        </w:tc>
        <w:tc>
          <w:tcPr>
            <w:tcW w:w="903" w:type="dxa"/>
            <w:tcBorders>
              <w:bottom w:val="single" w:sz="4" w:space="0" w:color="000000"/>
            </w:tcBorders>
          </w:tcPr>
          <w:p w14:paraId="6A12403E" w14:textId="77777777" w:rsidR="00266BEE" w:rsidRPr="00C72931" w:rsidRDefault="00266BEE" w:rsidP="00E82294">
            <w:pPr>
              <w:pStyle w:val="TableText"/>
              <w:jc w:val="right"/>
            </w:pPr>
            <w:r w:rsidRPr="00C72931">
              <w:t>69.7 (46.0</w:t>
            </w:r>
            <w:r w:rsidR="00E82294">
              <w:t>, </w:t>
            </w:r>
            <w:r w:rsidRPr="00C72931">
              <w:t>86.1)</w:t>
            </w:r>
          </w:p>
        </w:tc>
        <w:tc>
          <w:tcPr>
            <w:tcW w:w="537" w:type="dxa"/>
            <w:tcBorders>
              <w:bottom w:val="single" w:sz="4" w:space="0" w:color="000000"/>
            </w:tcBorders>
          </w:tcPr>
          <w:p w14:paraId="59378807" w14:textId="77777777" w:rsidR="00266BEE" w:rsidRPr="00C72931" w:rsidRDefault="00266BEE" w:rsidP="00E82294">
            <w:pPr>
              <w:pStyle w:val="TableText"/>
              <w:jc w:val="right"/>
            </w:pPr>
            <w:r w:rsidRPr="00C72931">
              <w:t>101</w:t>
            </w:r>
          </w:p>
        </w:tc>
        <w:tc>
          <w:tcPr>
            <w:tcW w:w="810" w:type="dxa"/>
            <w:tcBorders>
              <w:bottom w:val="single" w:sz="4" w:space="0" w:color="000000"/>
            </w:tcBorders>
          </w:tcPr>
          <w:p w14:paraId="426A57E6" w14:textId="77777777" w:rsidR="00266BEE" w:rsidRPr="00C72931" w:rsidRDefault="00266BEE" w:rsidP="00E82294">
            <w:pPr>
              <w:pStyle w:val="TableText"/>
              <w:jc w:val="right"/>
            </w:pPr>
            <w:r w:rsidRPr="00C72931">
              <w:t>769</w:t>
            </w:r>
          </w:p>
        </w:tc>
        <w:tc>
          <w:tcPr>
            <w:tcW w:w="875" w:type="dxa"/>
            <w:tcBorders>
              <w:bottom w:val="single" w:sz="4" w:space="0" w:color="000000"/>
            </w:tcBorders>
          </w:tcPr>
          <w:p w14:paraId="04BAE6DA" w14:textId="77777777" w:rsidR="00266BEE" w:rsidRPr="00C72931" w:rsidRDefault="00266BEE" w:rsidP="00E82294">
            <w:pPr>
              <w:pStyle w:val="TableText"/>
              <w:jc w:val="right"/>
            </w:pPr>
            <w:r w:rsidRPr="00C72931">
              <w:t>56.2 (34.2</w:t>
            </w:r>
            <w:r w:rsidR="00E82294">
              <w:t>, </w:t>
            </w:r>
            <w:r w:rsidRPr="00C72931">
              <w:t>76.0)</w:t>
            </w:r>
          </w:p>
        </w:tc>
      </w:tr>
      <w:tr w:rsidR="00266BEE" w:rsidRPr="000F78B9" w14:paraId="1930C062" w14:textId="77777777" w:rsidTr="00E82294">
        <w:trPr>
          <w:cantSplit/>
        </w:trPr>
        <w:tc>
          <w:tcPr>
            <w:tcW w:w="2630" w:type="dxa"/>
            <w:tcBorders>
              <w:top w:val="single" w:sz="4" w:space="0" w:color="000000"/>
              <w:bottom w:val="nil"/>
            </w:tcBorders>
          </w:tcPr>
          <w:p w14:paraId="051F1D45" w14:textId="77777777" w:rsidR="00266BEE" w:rsidRPr="00C72931" w:rsidRDefault="00266BEE" w:rsidP="00E82294">
            <w:pPr>
              <w:pStyle w:val="TableText"/>
              <w:rPr>
                <w:b/>
                <w:bCs/>
                <w:color w:val="000000" w:themeColor="text1"/>
              </w:rPr>
            </w:pPr>
            <w:r w:rsidRPr="001277D4">
              <w:rPr>
                <w:b/>
              </w:rPr>
              <w:t>Probable anxiety/depression (K10)</w:t>
            </w:r>
          </w:p>
        </w:tc>
        <w:tc>
          <w:tcPr>
            <w:tcW w:w="2224" w:type="dxa"/>
            <w:gridSpan w:val="3"/>
            <w:tcBorders>
              <w:top w:val="single" w:sz="4" w:space="0" w:color="000000"/>
              <w:bottom w:val="nil"/>
            </w:tcBorders>
          </w:tcPr>
          <w:p w14:paraId="15B29292" w14:textId="77777777" w:rsidR="00266BEE" w:rsidRPr="000F78B9" w:rsidRDefault="00266BEE" w:rsidP="00E82294">
            <w:pPr>
              <w:pStyle w:val="TableText"/>
              <w:jc w:val="center"/>
            </w:pPr>
            <w:r>
              <w:t>n</w:t>
            </w:r>
            <w:r w:rsidRPr="000F78B9">
              <w:t>=</w:t>
            </w:r>
            <w:r>
              <w:t>279</w:t>
            </w:r>
            <w:r w:rsidRPr="000F78B9">
              <w:t xml:space="preserve"> (Weighted</w:t>
            </w:r>
            <w:r>
              <w:t xml:space="preserve"> n</w:t>
            </w:r>
            <w:r w:rsidRPr="000F78B9">
              <w:t>=</w:t>
            </w:r>
            <w:r>
              <w:t>1831</w:t>
            </w:r>
            <w:r w:rsidRPr="000F78B9">
              <w:t>)</w:t>
            </w:r>
          </w:p>
        </w:tc>
        <w:tc>
          <w:tcPr>
            <w:tcW w:w="2222" w:type="dxa"/>
            <w:gridSpan w:val="5"/>
            <w:tcBorders>
              <w:top w:val="single" w:sz="4" w:space="0" w:color="000000"/>
              <w:bottom w:val="nil"/>
            </w:tcBorders>
          </w:tcPr>
          <w:p w14:paraId="7EADAED8" w14:textId="77777777" w:rsidR="00266BEE" w:rsidRPr="000F78B9" w:rsidRDefault="00266BEE" w:rsidP="00E82294">
            <w:pPr>
              <w:pStyle w:val="TableText"/>
              <w:jc w:val="center"/>
            </w:pPr>
            <w:r>
              <w:t>n</w:t>
            </w:r>
            <w:r w:rsidRPr="000F78B9">
              <w:t>=</w:t>
            </w:r>
            <w:r>
              <w:t xml:space="preserve">630 </w:t>
            </w:r>
            <w:r w:rsidRPr="000F78B9">
              <w:t xml:space="preserve">(Weighted </w:t>
            </w:r>
            <w:r>
              <w:t>n</w:t>
            </w:r>
            <w:r w:rsidRPr="000F78B9">
              <w:t>=</w:t>
            </w:r>
            <w:r>
              <w:t>4847</w:t>
            </w:r>
            <w:r w:rsidRPr="000F78B9">
              <w:t>)</w:t>
            </w:r>
          </w:p>
        </w:tc>
        <w:tc>
          <w:tcPr>
            <w:tcW w:w="2222" w:type="dxa"/>
            <w:gridSpan w:val="3"/>
            <w:tcBorders>
              <w:top w:val="single" w:sz="4" w:space="0" w:color="000000"/>
              <w:bottom w:val="nil"/>
            </w:tcBorders>
          </w:tcPr>
          <w:p w14:paraId="6819A36E" w14:textId="77777777" w:rsidR="00266BEE" w:rsidRPr="000F78B9" w:rsidRDefault="00266BEE" w:rsidP="00E82294">
            <w:pPr>
              <w:pStyle w:val="TableText"/>
              <w:jc w:val="center"/>
            </w:pPr>
            <w:r>
              <w:t>n</w:t>
            </w:r>
            <w:r w:rsidRPr="000F78B9">
              <w:t>=</w:t>
            </w:r>
            <w:r>
              <w:t>213</w:t>
            </w:r>
            <w:r w:rsidRPr="000F78B9">
              <w:t xml:space="preserve"> (Weighted</w:t>
            </w:r>
            <w:r>
              <w:t xml:space="preserve"> n</w:t>
            </w:r>
            <w:r w:rsidRPr="000F78B9">
              <w:t>=</w:t>
            </w:r>
            <w:r>
              <w:t>2743</w:t>
            </w:r>
            <w:r w:rsidRPr="000F78B9">
              <w:t>)</w:t>
            </w:r>
          </w:p>
        </w:tc>
        <w:tc>
          <w:tcPr>
            <w:tcW w:w="2222" w:type="dxa"/>
            <w:gridSpan w:val="3"/>
            <w:tcBorders>
              <w:top w:val="single" w:sz="4" w:space="0" w:color="000000"/>
              <w:bottom w:val="nil"/>
            </w:tcBorders>
          </w:tcPr>
          <w:p w14:paraId="3A9FA2AE" w14:textId="77777777" w:rsidR="00266BEE" w:rsidRPr="000F78B9" w:rsidRDefault="00266BEE" w:rsidP="00E82294">
            <w:pPr>
              <w:pStyle w:val="TableText"/>
              <w:jc w:val="center"/>
            </w:pPr>
            <w:r>
              <w:t>n</w:t>
            </w:r>
            <w:r w:rsidRPr="000F78B9">
              <w:t>=</w:t>
            </w:r>
            <w:r>
              <w:t xml:space="preserve">664 </w:t>
            </w:r>
            <w:r w:rsidRPr="000F78B9">
              <w:t xml:space="preserve">(Weighted </w:t>
            </w:r>
            <w:r>
              <w:t>n</w:t>
            </w:r>
            <w:r w:rsidRPr="000F78B9">
              <w:t>=</w:t>
            </w:r>
            <w:r>
              <w:t>4905</w:t>
            </w:r>
            <w:r w:rsidRPr="000F78B9">
              <w:t>)</w:t>
            </w:r>
          </w:p>
        </w:tc>
      </w:tr>
      <w:tr w:rsidR="00E82294" w:rsidRPr="000F78B9" w14:paraId="15B7F702"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7E513AE7" w14:textId="77777777" w:rsidR="00266BEE" w:rsidRPr="00C72931" w:rsidRDefault="00266BEE" w:rsidP="00E82294">
            <w:pPr>
              <w:pStyle w:val="TableText"/>
              <w:rPr>
                <w:bCs/>
                <w:color w:val="000000" w:themeColor="text1"/>
              </w:rPr>
            </w:pPr>
            <w:r w:rsidRPr="00C72931">
              <w:t xml:space="preserve">Used </w:t>
            </w:r>
            <w:r>
              <w:t>internet</w:t>
            </w:r>
            <w:r w:rsidRPr="00C72931">
              <w:t xml:space="preserve"> for </w:t>
            </w:r>
            <w:r>
              <w:t>m</w:t>
            </w:r>
            <w:r w:rsidRPr="00C72931">
              <w:t xml:space="preserve">ental </w:t>
            </w:r>
            <w:r>
              <w:t>h</w:t>
            </w:r>
            <w:r w:rsidRPr="00C72931">
              <w:t>ealth</w:t>
            </w:r>
          </w:p>
        </w:tc>
        <w:tc>
          <w:tcPr>
            <w:tcW w:w="455" w:type="dxa"/>
            <w:tcBorders>
              <w:top w:val="nil"/>
            </w:tcBorders>
          </w:tcPr>
          <w:p w14:paraId="0D4D9ED1" w14:textId="77777777" w:rsidR="00266BEE" w:rsidRPr="00C72931" w:rsidRDefault="00266BEE" w:rsidP="00E82294">
            <w:pPr>
              <w:pStyle w:val="TableText"/>
              <w:jc w:val="right"/>
            </w:pPr>
            <w:r w:rsidRPr="00C72931">
              <w:t>91</w:t>
            </w:r>
          </w:p>
        </w:tc>
        <w:tc>
          <w:tcPr>
            <w:tcW w:w="775" w:type="dxa"/>
            <w:tcBorders>
              <w:top w:val="nil"/>
            </w:tcBorders>
          </w:tcPr>
          <w:p w14:paraId="75D264CE" w14:textId="77777777" w:rsidR="00266BEE" w:rsidRPr="00C72931" w:rsidRDefault="00266BEE" w:rsidP="00E82294">
            <w:pPr>
              <w:pStyle w:val="TableText"/>
              <w:jc w:val="right"/>
            </w:pPr>
            <w:r w:rsidRPr="00C72931">
              <w:t>558</w:t>
            </w:r>
          </w:p>
        </w:tc>
        <w:tc>
          <w:tcPr>
            <w:tcW w:w="994" w:type="dxa"/>
            <w:tcBorders>
              <w:top w:val="nil"/>
            </w:tcBorders>
          </w:tcPr>
          <w:p w14:paraId="23722B79" w14:textId="77777777" w:rsidR="00266BEE" w:rsidRPr="00C72931" w:rsidRDefault="00266BEE" w:rsidP="00E82294">
            <w:pPr>
              <w:pStyle w:val="TableText"/>
              <w:jc w:val="right"/>
            </w:pPr>
            <w:r w:rsidRPr="00C72931">
              <w:t>30.5 (24.6</w:t>
            </w:r>
            <w:r w:rsidR="00E82294">
              <w:t>, </w:t>
            </w:r>
            <w:r w:rsidRPr="00C72931">
              <w:t>37.1)</w:t>
            </w:r>
          </w:p>
        </w:tc>
        <w:tc>
          <w:tcPr>
            <w:tcW w:w="481" w:type="dxa"/>
            <w:gridSpan w:val="2"/>
            <w:tcBorders>
              <w:top w:val="nil"/>
            </w:tcBorders>
          </w:tcPr>
          <w:p w14:paraId="6DFA8584" w14:textId="77777777" w:rsidR="00266BEE" w:rsidRPr="00C72931" w:rsidRDefault="00266BEE" w:rsidP="00E82294">
            <w:pPr>
              <w:pStyle w:val="TableText"/>
              <w:jc w:val="right"/>
            </w:pPr>
            <w:r w:rsidRPr="00C72931">
              <w:t>274</w:t>
            </w:r>
          </w:p>
        </w:tc>
        <w:tc>
          <w:tcPr>
            <w:tcW w:w="810" w:type="dxa"/>
            <w:gridSpan w:val="2"/>
            <w:tcBorders>
              <w:top w:val="nil"/>
            </w:tcBorders>
          </w:tcPr>
          <w:p w14:paraId="3EE0FA83" w14:textId="77777777" w:rsidR="00266BEE" w:rsidRPr="00C72931" w:rsidRDefault="00266BEE" w:rsidP="00E82294">
            <w:pPr>
              <w:pStyle w:val="TableText"/>
              <w:jc w:val="right"/>
            </w:pPr>
            <w:r w:rsidRPr="00C72931">
              <w:t>2032</w:t>
            </w:r>
          </w:p>
        </w:tc>
        <w:tc>
          <w:tcPr>
            <w:tcW w:w="931" w:type="dxa"/>
            <w:tcBorders>
              <w:top w:val="nil"/>
            </w:tcBorders>
          </w:tcPr>
          <w:p w14:paraId="57F73A3F" w14:textId="77777777" w:rsidR="00266BEE" w:rsidRPr="00C72931" w:rsidRDefault="00266BEE" w:rsidP="00E82294">
            <w:pPr>
              <w:pStyle w:val="TableText"/>
              <w:jc w:val="right"/>
            </w:pPr>
            <w:r w:rsidRPr="00C72931">
              <w:t>41.9 (37.2</w:t>
            </w:r>
            <w:r w:rsidR="00E82294">
              <w:t>, </w:t>
            </w:r>
            <w:r w:rsidRPr="00C72931">
              <w:t>46.8)</w:t>
            </w:r>
          </w:p>
        </w:tc>
        <w:tc>
          <w:tcPr>
            <w:tcW w:w="509" w:type="dxa"/>
            <w:tcBorders>
              <w:top w:val="nil"/>
            </w:tcBorders>
          </w:tcPr>
          <w:p w14:paraId="428267BE" w14:textId="77777777" w:rsidR="00266BEE" w:rsidRPr="00C72931" w:rsidRDefault="00266BEE" w:rsidP="00E82294">
            <w:pPr>
              <w:pStyle w:val="TableText"/>
              <w:jc w:val="right"/>
            </w:pPr>
            <w:r w:rsidRPr="00C72931">
              <w:t>33</w:t>
            </w:r>
          </w:p>
        </w:tc>
        <w:tc>
          <w:tcPr>
            <w:tcW w:w="810" w:type="dxa"/>
            <w:tcBorders>
              <w:top w:val="nil"/>
            </w:tcBorders>
          </w:tcPr>
          <w:p w14:paraId="1FD2AA3C" w14:textId="77777777" w:rsidR="00266BEE" w:rsidRPr="00C72931" w:rsidRDefault="00266BEE" w:rsidP="00E82294">
            <w:pPr>
              <w:pStyle w:val="TableText"/>
              <w:jc w:val="right"/>
            </w:pPr>
            <w:r w:rsidRPr="00C72931">
              <w:t>235</w:t>
            </w:r>
          </w:p>
        </w:tc>
        <w:tc>
          <w:tcPr>
            <w:tcW w:w="903" w:type="dxa"/>
            <w:tcBorders>
              <w:top w:val="nil"/>
            </w:tcBorders>
          </w:tcPr>
          <w:p w14:paraId="6FD97AD6" w14:textId="77777777" w:rsidR="00266BEE" w:rsidRPr="00C72931" w:rsidRDefault="00266BEE" w:rsidP="00E82294">
            <w:pPr>
              <w:pStyle w:val="TableText"/>
              <w:jc w:val="right"/>
            </w:pPr>
            <w:r w:rsidRPr="00C72931">
              <w:t>8.6 (2.8</w:t>
            </w:r>
            <w:r w:rsidR="00E82294">
              <w:t>, </w:t>
            </w:r>
            <w:r w:rsidRPr="00C72931">
              <w:t>23.0)</w:t>
            </w:r>
          </w:p>
        </w:tc>
        <w:tc>
          <w:tcPr>
            <w:tcW w:w="537" w:type="dxa"/>
            <w:tcBorders>
              <w:top w:val="nil"/>
            </w:tcBorders>
          </w:tcPr>
          <w:p w14:paraId="054A690B" w14:textId="77777777" w:rsidR="00266BEE" w:rsidRPr="00C72931" w:rsidRDefault="00266BEE" w:rsidP="00E82294">
            <w:pPr>
              <w:pStyle w:val="TableText"/>
              <w:jc w:val="right"/>
            </w:pPr>
            <w:r w:rsidRPr="00C72931">
              <w:t>232</w:t>
            </w:r>
          </w:p>
        </w:tc>
        <w:tc>
          <w:tcPr>
            <w:tcW w:w="810" w:type="dxa"/>
            <w:tcBorders>
              <w:top w:val="nil"/>
            </w:tcBorders>
          </w:tcPr>
          <w:p w14:paraId="12AC83DF" w14:textId="77777777" w:rsidR="00266BEE" w:rsidRPr="00C72931" w:rsidRDefault="00266BEE" w:rsidP="00E82294">
            <w:pPr>
              <w:pStyle w:val="TableText"/>
              <w:jc w:val="right"/>
            </w:pPr>
            <w:r w:rsidRPr="00C72931">
              <w:t>1413</w:t>
            </w:r>
          </w:p>
        </w:tc>
        <w:tc>
          <w:tcPr>
            <w:tcW w:w="875" w:type="dxa"/>
            <w:tcBorders>
              <w:top w:val="nil"/>
            </w:tcBorders>
          </w:tcPr>
          <w:p w14:paraId="7F4BB050" w14:textId="77777777" w:rsidR="00266BEE" w:rsidRPr="00C72931" w:rsidRDefault="00266BEE" w:rsidP="00E82294">
            <w:pPr>
              <w:pStyle w:val="TableText"/>
              <w:jc w:val="right"/>
            </w:pPr>
            <w:r w:rsidRPr="00C72931">
              <w:t>28.8 (17.7</w:t>
            </w:r>
            <w:r w:rsidR="00E82294">
              <w:t>, </w:t>
            </w:r>
            <w:r w:rsidRPr="00C72931">
              <w:t>43.3)</w:t>
            </w:r>
          </w:p>
        </w:tc>
      </w:tr>
      <w:tr w:rsidR="00E82294" w:rsidRPr="000F78B9" w14:paraId="527C6C30" w14:textId="77777777" w:rsidTr="0062434A">
        <w:trPr>
          <w:cantSplit/>
        </w:trPr>
        <w:tc>
          <w:tcPr>
            <w:tcW w:w="2630" w:type="dxa"/>
            <w:tcBorders>
              <w:bottom w:val="single" w:sz="4" w:space="0" w:color="000000"/>
            </w:tcBorders>
          </w:tcPr>
          <w:p w14:paraId="4D8BCAA3" w14:textId="77777777" w:rsidR="00266BEE" w:rsidRPr="00C72931" w:rsidRDefault="00266BEE" w:rsidP="00E82294">
            <w:pPr>
              <w:pStyle w:val="TableText"/>
              <w:rPr>
                <w:bCs/>
                <w:color w:val="000000" w:themeColor="text1"/>
              </w:rPr>
            </w:pPr>
            <w:r w:rsidRPr="00C72931">
              <w:t xml:space="preserve">Did not use </w:t>
            </w:r>
            <w:r>
              <w:t>internet</w:t>
            </w:r>
            <w:r w:rsidRPr="00C72931">
              <w:t xml:space="preserve"> for mental health</w:t>
            </w:r>
            <w:r>
              <w:t xml:space="preserve"> </w:t>
            </w:r>
          </w:p>
        </w:tc>
        <w:tc>
          <w:tcPr>
            <w:tcW w:w="455" w:type="dxa"/>
            <w:tcBorders>
              <w:bottom w:val="single" w:sz="4" w:space="0" w:color="000000"/>
            </w:tcBorders>
          </w:tcPr>
          <w:p w14:paraId="06E9B0ED" w14:textId="77777777" w:rsidR="00266BEE" w:rsidRPr="00C72931" w:rsidRDefault="00266BEE" w:rsidP="00E82294">
            <w:pPr>
              <w:pStyle w:val="TableText"/>
              <w:jc w:val="right"/>
            </w:pPr>
            <w:r w:rsidRPr="00C72931">
              <w:t>186</w:t>
            </w:r>
          </w:p>
        </w:tc>
        <w:tc>
          <w:tcPr>
            <w:tcW w:w="775" w:type="dxa"/>
            <w:tcBorders>
              <w:bottom w:val="single" w:sz="4" w:space="0" w:color="000000"/>
            </w:tcBorders>
          </w:tcPr>
          <w:p w14:paraId="4E35222E" w14:textId="77777777" w:rsidR="00266BEE" w:rsidRPr="00C72931" w:rsidRDefault="00266BEE" w:rsidP="00E82294">
            <w:pPr>
              <w:pStyle w:val="TableText"/>
              <w:jc w:val="right"/>
            </w:pPr>
            <w:r w:rsidRPr="00C72931">
              <w:t>1266</w:t>
            </w:r>
          </w:p>
        </w:tc>
        <w:tc>
          <w:tcPr>
            <w:tcW w:w="994" w:type="dxa"/>
            <w:tcBorders>
              <w:bottom w:val="single" w:sz="4" w:space="0" w:color="000000"/>
            </w:tcBorders>
          </w:tcPr>
          <w:p w14:paraId="676D0D62" w14:textId="77777777" w:rsidR="00266BEE" w:rsidRPr="00C72931" w:rsidRDefault="00266BEE" w:rsidP="00E82294">
            <w:pPr>
              <w:pStyle w:val="TableText"/>
              <w:jc w:val="right"/>
            </w:pPr>
            <w:r w:rsidRPr="00C72931">
              <w:t>69.1 (62.5</w:t>
            </w:r>
            <w:r w:rsidR="00E82294">
              <w:t>, </w:t>
            </w:r>
            <w:r w:rsidRPr="00C72931">
              <w:t>75.1)</w:t>
            </w:r>
          </w:p>
        </w:tc>
        <w:tc>
          <w:tcPr>
            <w:tcW w:w="481" w:type="dxa"/>
            <w:gridSpan w:val="2"/>
            <w:tcBorders>
              <w:bottom w:val="single" w:sz="4" w:space="0" w:color="000000"/>
            </w:tcBorders>
          </w:tcPr>
          <w:p w14:paraId="5DA75E2A" w14:textId="77777777" w:rsidR="00266BEE" w:rsidRPr="00C72931" w:rsidRDefault="00266BEE" w:rsidP="00E82294">
            <w:pPr>
              <w:pStyle w:val="TableText"/>
              <w:jc w:val="right"/>
            </w:pPr>
            <w:r w:rsidRPr="00C72931">
              <w:t>353</w:t>
            </w:r>
          </w:p>
        </w:tc>
        <w:tc>
          <w:tcPr>
            <w:tcW w:w="810" w:type="dxa"/>
            <w:gridSpan w:val="2"/>
            <w:tcBorders>
              <w:bottom w:val="single" w:sz="4" w:space="0" w:color="000000"/>
            </w:tcBorders>
          </w:tcPr>
          <w:p w14:paraId="78D44ADE" w14:textId="77777777" w:rsidR="00266BEE" w:rsidRPr="00C72931" w:rsidRDefault="00266BEE" w:rsidP="00E82294">
            <w:pPr>
              <w:pStyle w:val="TableText"/>
              <w:jc w:val="right"/>
            </w:pPr>
            <w:r w:rsidRPr="00C72931">
              <w:t>2794</w:t>
            </w:r>
          </w:p>
        </w:tc>
        <w:tc>
          <w:tcPr>
            <w:tcW w:w="931" w:type="dxa"/>
            <w:tcBorders>
              <w:bottom w:val="single" w:sz="4" w:space="0" w:color="000000"/>
            </w:tcBorders>
          </w:tcPr>
          <w:p w14:paraId="03493025" w14:textId="77777777" w:rsidR="00266BEE" w:rsidRPr="00C72931" w:rsidRDefault="00266BEE" w:rsidP="00E82294">
            <w:pPr>
              <w:pStyle w:val="TableText"/>
              <w:jc w:val="right"/>
            </w:pPr>
            <w:r w:rsidRPr="00C72931">
              <w:t>57.6 (52.8</w:t>
            </w:r>
            <w:r w:rsidR="00E82294">
              <w:t>, </w:t>
            </w:r>
            <w:r w:rsidRPr="00C72931">
              <w:t>62.4)</w:t>
            </w:r>
          </w:p>
        </w:tc>
        <w:tc>
          <w:tcPr>
            <w:tcW w:w="509" w:type="dxa"/>
            <w:tcBorders>
              <w:bottom w:val="single" w:sz="4" w:space="0" w:color="000000"/>
            </w:tcBorders>
          </w:tcPr>
          <w:p w14:paraId="29C8BAE8" w14:textId="77777777" w:rsidR="00266BEE" w:rsidRPr="00C72931" w:rsidRDefault="00266BEE" w:rsidP="00E82294">
            <w:pPr>
              <w:pStyle w:val="TableText"/>
              <w:jc w:val="right"/>
            </w:pPr>
            <w:r w:rsidRPr="00C72931">
              <w:t>175</w:t>
            </w:r>
          </w:p>
        </w:tc>
        <w:tc>
          <w:tcPr>
            <w:tcW w:w="810" w:type="dxa"/>
            <w:tcBorders>
              <w:bottom w:val="single" w:sz="4" w:space="0" w:color="000000"/>
            </w:tcBorders>
          </w:tcPr>
          <w:p w14:paraId="14B72A5B" w14:textId="77777777" w:rsidR="00266BEE" w:rsidRPr="00C72931" w:rsidRDefault="00266BEE" w:rsidP="00E82294">
            <w:pPr>
              <w:pStyle w:val="TableText"/>
              <w:jc w:val="right"/>
            </w:pPr>
            <w:r w:rsidRPr="00C72931">
              <w:t>2483</w:t>
            </w:r>
          </w:p>
        </w:tc>
        <w:tc>
          <w:tcPr>
            <w:tcW w:w="903" w:type="dxa"/>
            <w:tcBorders>
              <w:bottom w:val="single" w:sz="4" w:space="0" w:color="000000"/>
            </w:tcBorders>
          </w:tcPr>
          <w:p w14:paraId="51E0A7E5" w14:textId="77777777" w:rsidR="00266BEE" w:rsidRPr="00C72931" w:rsidRDefault="00266BEE" w:rsidP="00E82294">
            <w:pPr>
              <w:pStyle w:val="TableText"/>
              <w:jc w:val="right"/>
            </w:pPr>
            <w:r w:rsidRPr="00C72931">
              <w:t>90.5 (76.5</w:t>
            </w:r>
            <w:r w:rsidR="00E82294">
              <w:t>, </w:t>
            </w:r>
            <w:r w:rsidRPr="00C72931">
              <w:t>96.6)</w:t>
            </w:r>
          </w:p>
        </w:tc>
        <w:tc>
          <w:tcPr>
            <w:tcW w:w="537" w:type="dxa"/>
            <w:tcBorders>
              <w:bottom w:val="single" w:sz="4" w:space="0" w:color="000000"/>
            </w:tcBorders>
          </w:tcPr>
          <w:p w14:paraId="3295D6EE" w14:textId="77777777" w:rsidR="00266BEE" w:rsidRPr="00C72931" w:rsidRDefault="00266BEE" w:rsidP="00E82294">
            <w:pPr>
              <w:pStyle w:val="TableText"/>
              <w:jc w:val="right"/>
            </w:pPr>
            <w:r w:rsidRPr="00C72931">
              <w:t>431</w:t>
            </w:r>
          </w:p>
        </w:tc>
        <w:tc>
          <w:tcPr>
            <w:tcW w:w="810" w:type="dxa"/>
            <w:tcBorders>
              <w:bottom w:val="single" w:sz="4" w:space="0" w:color="000000"/>
            </w:tcBorders>
          </w:tcPr>
          <w:p w14:paraId="39634107" w14:textId="77777777" w:rsidR="00266BEE" w:rsidRPr="00C72931" w:rsidRDefault="00266BEE" w:rsidP="00E82294">
            <w:pPr>
              <w:pStyle w:val="TableText"/>
              <w:jc w:val="right"/>
            </w:pPr>
            <w:r w:rsidRPr="00C72931">
              <w:t>3489</w:t>
            </w:r>
          </w:p>
        </w:tc>
        <w:tc>
          <w:tcPr>
            <w:tcW w:w="875" w:type="dxa"/>
            <w:tcBorders>
              <w:bottom w:val="single" w:sz="4" w:space="0" w:color="000000"/>
            </w:tcBorders>
          </w:tcPr>
          <w:p w14:paraId="2FC277D8" w14:textId="77777777" w:rsidR="00266BEE" w:rsidRPr="00C72931" w:rsidRDefault="00266BEE" w:rsidP="00E82294">
            <w:pPr>
              <w:pStyle w:val="TableText"/>
              <w:jc w:val="right"/>
            </w:pPr>
            <w:r w:rsidRPr="00C72931">
              <w:t>71.1 (56.7</w:t>
            </w:r>
            <w:r w:rsidR="00E82294">
              <w:t>, </w:t>
            </w:r>
            <w:r w:rsidRPr="00C72931">
              <w:t>82.3)</w:t>
            </w:r>
          </w:p>
        </w:tc>
      </w:tr>
      <w:tr w:rsidR="00266BEE" w:rsidRPr="000F78B9" w14:paraId="07022C4A"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bottom w:val="nil"/>
            </w:tcBorders>
          </w:tcPr>
          <w:p w14:paraId="0A4F5BA9" w14:textId="77777777" w:rsidR="00266BEE" w:rsidRPr="00C72931" w:rsidRDefault="00266BEE" w:rsidP="00E82294">
            <w:pPr>
              <w:pStyle w:val="TableText"/>
              <w:rPr>
                <w:b/>
                <w:bCs/>
                <w:color w:val="000000" w:themeColor="text1"/>
              </w:rPr>
            </w:pPr>
            <w:r w:rsidRPr="00C72931">
              <w:rPr>
                <w:b/>
              </w:rPr>
              <w:t xml:space="preserve">Probable alcohol </w:t>
            </w:r>
            <w:r>
              <w:rPr>
                <w:b/>
              </w:rPr>
              <w:t>u</w:t>
            </w:r>
            <w:r w:rsidRPr="00C72931">
              <w:rPr>
                <w:b/>
              </w:rPr>
              <w:t>se disorder (AUDIT)</w:t>
            </w:r>
          </w:p>
        </w:tc>
        <w:tc>
          <w:tcPr>
            <w:tcW w:w="2224" w:type="dxa"/>
            <w:gridSpan w:val="3"/>
            <w:tcBorders>
              <w:top w:val="single" w:sz="4" w:space="0" w:color="000000"/>
              <w:bottom w:val="nil"/>
            </w:tcBorders>
          </w:tcPr>
          <w:p w14:paraId="217C1D4A" w14:textId="77777777" w:rsidR="00266BEE" w:rsidRPr="000F78B9" w:rsidRDefault="00266BEE" w:rsidP="00E82294">
            <w:pPr>
              <w:pStyle w:val="TableText"/>
              <w:jc w:val="center"/>
            </w:pPr>
            <w:r>
              <w:t>n</w:t>
            </w:r>
            <w:r w:rsidRPr="000F78B9">
              <w:t>=</w:t>
            </w:r>
            <w:r>
              <w:t>65</w:t>
            </w:r>
            <w:r w:rsidRPr="000F78B9">
              <w:t xml:space="preserve"> (Weighted</w:t>
            </w:r>
            <w:r>
              <w:t xml:space="preserve"> n</w:t>
            </w:r>
            <w:r w:rsidRPr="000F78B9">
              <w:t>=</w:t>
            </w:r>
            <w:r>
              <w:t>436</w:t>
            </w:r>
            <w:r w:rsidRPr="000F78B9">
              <w:t>)</w:t>
            </w:r>
          </w:p>
        </w:tc>
        <w:tc>
          <w:tcPr>
            <w:tcW w:w="2222" w:type="dxa"/>
            <w:gridSpan w:val="5"/>
            <w:tcBorders>
              <w:top w:val="single" w:sz="4" w:space="0" w:color="000000"/>
              <w:bottom w:val="nil"/>
            </w:tcBorders>
          </w:tcPr>
          <w:p w14:paraId="317C70E2" w14:textId="77777777" w:rsidR="00266BEE" w:rsidRPr="000F78B9" w:rsidRDefault="00266BEE" w:rsidP="00E82294">
            <w:pPr>
              <w:pStyle w:val="TableText"/>
              <w:jc w:val="center"/>
            </w:pPr>
            <w:r>
              <w:t>n=157</w:t>
            </w:r>
            <w:r w:rsidRPr="000F78B9">
              <w:t xml:space="preserve"> (Weighted </w:t>
            </w:r>
            <w:r>
              <w:t>n</w:t>
            </w:r>
            <w:r w:rsidRPr="000F78B9">
              <w:t>=</w:t>
            </w:r>
            <w:r>
              <w:t>1156</w:t>
            </w:r>
            <w:r w:rsidRPr="000F78B9">
              <w:t>)</w:t>
            </w:r>
          </w:p>
        </w:tc>
        <w:tc>
          <w:tcPr>
            <w:tcW w:w="2222" w:type="dxa"/>
            <w:gridSpan w:val="3"/>
            <w:tcBorders>
              <w:top w:val="single" w:sz="4" w:space="0" w:color="000000"/>
              <w:bottom w:val="nil"/>
            </w:tcBorders>
          </w:tcPr>
          <w:p w14:paraId="0E034F25" w14:textId="77777777" w:rsidR="00266BEE" w:rsidRPr="000F78B9" w:rsidRDefault="00266BEE" w:rsidP="00E82294">
            <w:pPr>
              <w:pStyle w:val="TableText"/>
              <w:jc w:val="center"/>
            </w:pPr>
            <w:r>
              <w:t>n</w:t>
            </w:r>
            <w:r w:rsidRPr="000F78B9">
              <w:t>=</w:t>
            </w:r>
            <w:r>
              <w:t>15</w:t>
            </w:r>
            <w:r w:rsidRPr="000F78B9">
              <w:t xml:space="preserve"> (Weighted</w:t>
            </w:r>
            <w:r>
              <w:t xml:space="preserve"> n</w:t>
            </w:r>
            <w:r w:rsidRPr="000F78B9">
              <w:t>=</w:t>
            </w:r>
            <w:r>
              <w:t>253</w:t>
            </w:r>
            <w:r w:rsidRPr="000F78B9">
              <w:t>)</w:t>
            </w:r>
          </w:p>
        </w:tc>
        <w:tc>
          <w:tcPr>
            <w:tcW w:w="2222" w:type="dxa"/>
            <w:gridSpan w:val="3"/>
            <w:tcBorders>
              <w:top w:val="single" w:sz="4" w:space="0" w:color="000000"/>
              <w:bottom w:val="nil"/>
            </w:tcBorders>
          </w:tcPr>
          <w:p w14:paraId="2FFFE508" w14:textId="77777777" w:rsidR="00266BEE" w:rsidRPr="000F78B9" w:rsidRDefault="00266BEE" w:rsidP="00E82294">
            <w:pPr>
              <w:pStyle w:val="TableText"/>
              <w:jc w:val="center"/>
            </w:pPr>
            <w:r>
              <w:t>n</w:t>
            </w:r>
            <w:r w:rsidRPr="000F78B9">
              <w:t>=</w:t>
            </w:r>
            <w:r>
              <w:t xml:space="preserve">63 </w:t>
            </w:r>
            <w:r w:rsidRPr="000F78B9">
              <w:t xml:space="preserve">(Weighted </w:t>
            </w:r>
            <w:r>
              <w:t>n</w:t>
            </w:r>
            <w:r w:rsidRPr="000F78B9">
              <w:t>=</w:t>
            </w:r>
            <w:r>
              <w:t>244</w:t>
            </w:r>
            <w:r w:rsidRPr="000F78B9">
              <w:t>)</w:t>
            </w:r>
          </w:p>
        </w:tc>
      </w:tr>
      <w:tr w:rsidR="00E82294" w:rsidRPr="000F78B9" w14:paraId="29E09746" w14:textId="77777777" w:rsidTr="0062434A">
        <w:trPr>
          <w:cantSplit/>
        </w:trPr>
        <w:tc>
          <w:tcPr>
            <w:tcW w:w="2630" w:type="dxa"/>
            <w:tcBorders>
              <w:top w:val="nil"/>
            </w:tcBorders>
          </w:tcPr>
          <w:p w14:paraId="7969D830" w14:textId="77777777" w:rsidR="00266BEE" w:rsidRPr="00C72931" w:rsidRDefault="00266BEE" w:rsidP="00E82294">
            <w:pPr>
              <w:pStyle w:val="TableText"/>
              <w:rPr>
                <w:bCs/>
                <w:color w:val="000000" w:themeColor="text1"/>
              </w:rPr>
            </w:pPr>
            <w:r w:rsidRPr="00C72931">
              <w:t xml:space="preserve">Used </w:t>
            </w:r>
            <w:r>
              <w:t>internet</w:t>
            </w:r>
            <w:r w:rsidRPr="00C72931">
              <w:t xml:space="preserve"> for </w:t>
            </w:r>
            <w:r>
              <w:t>m</w:t>
            </w:r>
            <w:r w:rsidRPr="00C72931">
              <w:t xml:space="preserve">ental </w:t>
            </w:r>
            <w:r>
              <w:t>h</w:t>
            </w:r>
            <w:r w:rsidRPr="00C72931">
              <w:t>ealth</w:t>
            </w:r>
          </w:p>
        </w:tc>
        <w:tc>
          <w:tcPr>
            <w:tcW w:w="455" w:type="dxa"/>
            <w:tcBorders>
              <w:top w:val="nil"/>
            </w:tcBorders>
          </w:tcPr>
          <w:p w14:paraId="6C97AA50" w14:textId="77777777" w:rsidR="00266BEE" w:rsidRPr="00C72931" w:rsidRDefault="00266BEE" w:rsidP="00E82294">
            <w:pPr>
              <w:pStyle w:val="TableText"/>
              <w:jc w:val="right"/>
            </w:pPr>
            <w:r w:rsidRPr="00C72931">
              <w:t>22</w:t>
            </w:r>
          </w:p>
        </w:tc>
        <w:tc>
          <w:tcPr>
            <w:tcW w:w="775" w:type="dxa"/>
            <w:tcBorders>
              <w:top w:val="nil"/>
            </w:tcBorders>
          </w:tcPr>
          <w:p w14:paraId="116DA917" w14:textId="77777777" w:rsidR="00266BEE" w:rsidRPr="00C72931" w:rsidRDefault="00266BEE" w:rsidP="00E82294">
            <w:pPr>
              <w:pStyle w:val="TableText"/>
              <w:jc w:val="right"/>
            </w:pPr>
            <w:r w:rsidRPr="00C72931">
              <w:t>145</w:t>
            </w:r>
          </w:p>
        </w:tc>
        <w:tc>
          <w:tcPr>
            <w:tcW w:w="994" w:type="dxa"/>
            <w:tcBorders>
              <w:top w:val="nil"/>
            </w:tcBorders>
          </w:tcPr>
          <w:p w14:paraId="36FC8BBB" w14:textId="77777777" w:rsidR="00266BEE" w:rsidRPr="00C72931" w:rsidRDefault="00266BEE" w:rsidP="00E82294">
            <w:pPr>
              <w:pStyle w:val="TableText"/>
              <w:jc w:val="right"/>
            </w:pPr>
            <w:r w:rsidRPr="00C72931">
              <w:t>33.2 (21.0</w:t>
            </w:r>
            <w:r w:rsidR="00E82294">
              <w:t>, </w:t>
            </w:r>
            <w:r w:rsidRPr="00C72931">
              <w:t>48.2)</w:t>
            </w:r>
          </w:p>
        </w:tc>
        <w:tc>
          <w:tcPr>
            <w:tcW w:w="481" w:type="dxa"/>
            <w:gridSpan w:val="2"/>
            <w:tcBorders>
              <w:top w:val="nil"/>
            </w:tcBorders>
          </w:tcPr>
          <w:p w14:paraId="11895D81" w14:textId="77777777" w:rsidR="00266BEE" w:rsidRPr="00C72931" w:rsidRDefault="00266BEE" w:rsidP="00E82294">
            <w:pPr>
              <w:pStyle w:val="TableText"/>
              <w:jc w:val="right"/>
            </w:pPr>
            <w:r w:rsidRPr="00C72931">
              <w:t>67</w:t>
            </w:r>
          </w:p>
        </w:tc>
        <w:tc>
          <w:tcPr>
            <w:tcW w:w="810" w:type="dxa"/>
            <w:gridSpan w:val="2"/>
            <w:tcBorders>
              <w:top w:val="nil"/>
            </w:tcBorders>
          </w:tcPr>
          <w:p w14:paraId="5DD4C5CC" w14:textId="77777777" w:rsidR="00266BEE" w:rsidRPr="00C72931" w:rsidRDefault="00266BEE" w:rsidP="00E82294">
            <w:pPr>
              <w:pStyle w:val="TableText"/>
              <w:jc w:val="right"/>
            </w:pPr>
            <w:r w:rsidRPr="00C72931">
              <w:t>509</w:t>
            </w:r>
          </w:p>
        </w:tc>
        <w:tc>
          <w:tcPr>
            <w:tcW w:w="931" w:type="dxa"/>
            <w:tcBorders>
              <w:top w:val="nil"/>
            </w:tcBorders>
          </w:tcPr>
          <w:p w14:paraId="46B51C32" w14:textId="77777777" w:rsidR="00266BEE" w:rsidRPr="00C72931" w:rsidRDefault="00266BEE" w:rsidP="00E82294">
            <w:pPr>
              <w:pStyle w:val="TableText"/>
              <w:jc w:val="right"/>
            </w:pPr>
            <w:r w:rsidRPr="00C72931">
              <w:t>44.0 (34.4</w:t>
            </w:r>
            <w:r w:rsidR="00E82294">
              <w:t>, </w:t>
            </w:r>
            <w:r w:rsidRPr="00C72931">
              <w:t>54.0)</w:t>
            </w:r>
          </w:p>
        </w:tc>
        <w:tc>
          <w:tcPr>
            <w:tcW w:w="509" w:type="dxa"/>
            <w:tcBorders>
              <w:top w:val="nil"/>
            </w:tcBorders>
          </w:tcPr>
          <w:p w14:paraId="2D077206" w14:textId="77777777" w:rsidR="00266BEE" w:rsidRPr="00C72931" w:rsidRDefault="00266BEE" w:rsidP="00E82294">
            <w:pPr>
              <w:pStyle w:val="TableText"/>
              <w:jc w:val="right"/>
            </w:pPr>
            <w:r w:rsidRPr="00E603D7">
              <w:t>#</w:t>
            </w:r>
          </w:p>
        </w:tc>
        <w:tc>
          <w:tcPr>
            <w:tcW w:w="810" w:type="dxa"/>
            <w:tcBorders>
              <w:top w:val="nil"/>
            </w:tcBorders>
          </w:tcPr>
          <w:p w14:paraId="11AE0B14" w14:textId="77777777" w:rsidR="00266BEE" w:rsidRPr="00C72931" w:rsidRDefault="00266BEE" w:rsidP="00E82294">
            <w:pPr>
              <w:pStyle w:val="TableText"/>
              <w:jc w:val="right"/>
            </w:pPr>
            <w:r>
              <w:t>–</w:t>
            </w:r>
          </w:p>
        </w:tc>
        <w:tc>
          <w:tcPr>
            <w:tcW w:w="903" w:type="dxa"/>
            <w:tcBorders>
              <w:top w:val="nil"/>
            </w:tcBorders>
          </w:tcPr>
          <w:p w14:paraId="5CEBA8E6" w14:textId="77777777" w:rsidR="00266BEE" w:rsidRPr="00C72931" w:rsidRDefault="00266BEE" w:rsidP="00E82294">
            <w:pPr>
              <w:pStyle w:val="TableText"/>
              <w:jc w:val="right"/>
            </w:pPr>
            <w:r>
              <w:t>–</w:t>
            </w:r>
          </w:p>
        </w:tc>
        <w:tc>
          <w:tcPr>
            <w:tcW w:w="537" w:type="dxa"/>
            <w:tcBorders>
              <w:top w:val="nil"/>
            </w:tcBorders>
          </w:tcPr>
          <w:p w14:paraId="57BB66F4" w14:textId="77777777" w:rsidR="00266BEE" w:rsidRPr="00C72931" w:rsidRDefault="00266BEE" w:rsidP="00E82294">
            <w:pPr>
              <w:pStyle w:val="TableText"/>
              <w:jc w:val="right"/>
            </w:pPr>
            <w:r w:rsidRPr="00C72931">
              <w:t>21</w:t>
            </w:r>
          </w:p>
        </w:tc>
        <w:tc>
          <w:tcPr>
            <w:tcW w:w="810" w:type="dxa"/>
            <w:tcBorders>
              <w:top w:val="nil"/>
            </w:tcBorders>
          </w:tcPr>
          <w:p w14:paraId="4B6991F4" w14:textId="77777777" w:rsidR="00266BEE" w:rsidRPr="00C72931" w:rsidRDefault="00266BEE" w:rsidP="00E82294">
            <w:pPr>
              <w:pStyle w:val="TableText"/>
              <w:jc w:val="right"/>
            </w:pPr>
            <w:r w:rsidRPr="00C72931">
              <w:t>82</w:t>
            </w:r>
          </w:p>
        </w:tc>
        <w:tc>
          <w:tcPr>
            <w:tcW w:w="875" w:type="dxa"/>
            <w:tcBorders>
              <w:top w:val="nil"/>
            </w:tcBorders>
          </w:tcPr>
          <w:p w14:paraId="2C112C63" w14:textId="77777777" w:rsidR="00266BEE" w:rsidRPr="00C72931" w:rsidRDefault="00266BEE" w:rsidP="00E82294">
            <w:pPr>
              <w:pStyle w:val="TableText"/>
              <w:jc w:val="right"/>
            </w:pPr>
            <w:r w:rsidRPr="00C72931">
              <w:t>33.4 (21.4</w:t>
            </w:r>
            <w:r w:rsidR="00E82294">
              <w:t>, </w:t>
            </w:r>
            <w:r w:rsidRPr="00C72931">
              <w:t>48.1)</w:t>
            </w:r>
          </w:p>
        </w:tc>
      </w:tr>
      <w:tr w:rsidR="00E82294" w:rsidRPr="000F78B9" w14:paraId="1250FDA2"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281832F2"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55" w:type="dxa"/>
            <w:tcBorders>
              <w:bottom w:val="single" w:sz="4" w:space="0" w:color="000000"/>
            </w:tcBorders>
          </w:tcPr>
          <w:p w14:paraId="43673193" w14:textId="77777777" w:rsidR="00266BEE" w:rsidRPr="00C72931" w:rsidRDefault="00266BEE" w:rsidP="00E82294">
            <w:pPr>
              <w:pStyle w:val="TableText"/>
              <w:jc w:val="right"/>
            </w:pPr>
            <w:r w:rsidRPr="00C72931">
              <w:t>43</w:t>
            </w:r>
          </w:p>
        </w:tc>
        <w:tc>
          <w:tcPr>
            <w:tcW w:w="775" w:type="dxa"/>
            <w:tcBorders>
              <w:bottom w:val="single" w:sz="4" w:space="0" w:color="000000"/>
            </w:tcBorders>
          </w:tcPr>
          <w:p w14:paraId="68E5AF10" w14:textId="77777777" w:rsidR="00266BEE" w:rsidRPr="00C72931" w:rsidRDefault="00266BEE" w:rsidP="00E82294">
            <w:pPr>
              <w:pStyle w:val="TableText"/>
              <w:jc w:val="right"/>
            </w:pPr>
            <w:r w:rsidRPr="00C72931">
              <w:t>291</w:t>
            </w:r>
          </w:p>
        </w:tc>
        <w:tc>
          <w:tcPr>
            <w:tcW w:w="994" w:type="dxa"/>
            <w:tcBorders>
              <w:bottom w:val="single" w:sz="4" w:space="0" w:color="000000"/>
            </w:tcBorders>
          </w:tcPr>
          <w:p w14:paraId="4E79F0C6" w14:textId="77777777" w:rsidR="00266BEE" w:rsidRPr="00C72931" w:rsidRDefault="00266BEE" w:rsidP="00E82294">
            <w:pPr>
              <w:pStyle w:val="TableText"/>
              <w:jc w:val="right"/>
            </w:pPr>
            <w:r w:rsidRPr="00C72931">
              <w:t>66.8 (51.8</w:t>
            </w:r>
            <w:r w:rsidR="00E82294">
              <w:t>, </w:t>
            </w:r>
            <w:r w:rsidRPr="00C72931">
              <w:t>79.0)</w:t>
            </w:r>
          </w:p>
        </w:tc>
        <w:tc>
          <w:tcPr>
            <w:tcW w:w="481" w:type="dxa"/>
            <w:gridSpan w:val="2"/>
            <w:tcBorders>
              <w:bottom w:val="single" w:sz="4" w:space="0" w:color="000000"/>
            </w:tcBorders>
          </w:tcPr>
          <w:p w14:paraId="3716AE5A" w14:textId="77777777" w:rsidR="00266BEE" w:rsidRPr="00C72931" w:rsidRDefault="00266BEE" w:rsidP="00E82294">
            <w:pPr>
              <w:pStyle w:val="TableText"/>
              <w:jc w:val="right"/>
            </w:pPr>
            <w:r w:rsidRPr="00C72931">
              <w:t>90</w:t>
            </w:r>
          </w:p>
        </w:tc>
        <w:tc>
          <w:tcPr>
            <w:tcW w:w="810" w:type="dxa"/>
            <w:gridSpan w:val="2"/>
            <w:tcBorders>
              <w:bottom w:val="single" w:sz="4" w:space="0" w:color="000000"/>
            </w:tcBorders>
          </w:tcPr>
          <w:p w14:paraId="7C2B850A" w14:textId="77777777" w:rsidR="00266BEE" w:rsidRPr="00C72931" w:rsidRDefault="00266BEE" w:rsidP="00E82294">
            <w:pPr>
              <w:pStyle w:val="TableText"/>
              <w:jc w:val="right"/>
            </w:pPr>
            <w:r w:rsidRPr="00C72931">
              <w:t>647</w:t>
            </w:r>
          </w:p>
        </w:tc>
        <w:tc>
          <w:tcPr>
            <w:tcW w:w="931" w:type="dxa"/>
            <w:tcBorders>
              <w:bottom w:val="single" w:sz="4" w:space="0" w:color="000000"/>
            </w:tcBorders>
          </w:tcPr>
          <w:p w14:paraId="2C9BC260" w14:textId="77777777" w:rsidR="00266BEE" w:rsidRPr="00C72931" w:rsidRDefault="00266BEE" w:rsidP="00E82294">
            <w:pPr>
              <w:pStyle w:val="TableText"/>
              <w:jc w:val="right"/>
            </w:pPr>
            <w:r w:rsidRPr="00C72931">
              <w:t>56.0 (46.0</w:t>
            </w:r>
            <w:r w:rsidR="00E82294">
              <w:t>, </w:t>
            </w:r>
            <w:r w:rsidRPr="00C72931">
              <w:t>65.6)</w:t>
            </w:r>
          </w:p>
        </w:tc>
        <w:tc>
          <w:tcPr>
            <w:tcW w:w="509" w:type="dxa"/>
            <w:tcBorders>
              <w:bottom w:val="single" w:sz="4" w:space="0" w:color="000000"/>
            </w:tcBorders>
          </w:tcPr>
          <w:p w14:paraId="6E7CAC85" w14:textId="77777777" w:rsidR="00266BEE" w:rsidRPr="00C72931" w:rsidRDefault="00266BEE" w:rsidP="00E82294">
            <w:pPr>
              <w:pStyle w:val="TableText"/>
              <w:jc w:val="right"/>
            </w:pPr>
            <w:r w:rsidRPr="00C72931">
              <w:t>10</w:t>
            </w:r>
          </w:p>
        </w:tc>
        <w:tc>
          <w:tcPr>
            <w:tcW w:w="810" w:type="dxa"/>
            <w:tcBorders>
              <w:bottom w:val="single" w:sz="4" w:space="0" w:color="000000"/>
            </w:tcBorders>
          </w:tcPr>
          <w:p w14:paraId="3FF36DBE" w14:textId="77777777" w:rsidR="00266BEE" w:rsidRPr="00C72931" w:rsidRDefault="00266BEE" w:rsidP="00E82294">
            <w:pPr>
              <w:pStyle w:val="TableText"/>
              <w:jc w:val="right"/>
            </w:pPr>
            <w:r w:rsidRPr="00C72931">
              <w:t>228</w:t>
            </w:r>
          </w:p>
        </w:tc>
        <w:tc>
          <w:tcPr>
            <w:tcW w:w="903" w:type="dxa"/>
            <w:tcBorders>
              <w:bottom w:val="single" w:sz="4" w:space="0" w:color="000000"/>
            </w:tcBorders>
          </w:tcPr>
          <w:p w14:paraId="78C5DC93" w14:textId="77777777" w:rsidR="00266BEE" w:rsidRPr="00C72931" w:rsidRDefault="00266BEE" w:rsidP="00E82294">
            <w:pPr>
              <w:pStyle w:val="TableText"/>
              <w:jc w:val="right"/>
            </w:pPr>
            <w:r w:rsidRPr="00C72931">
              <w:t>90.3 (56.3</w:t>
            </w:r>
            <w:r w:rsidR="00E82294">
              <w:t>, </w:t>
            </w:r>
            <w:r w:rsidRPr="00C72931">
              <w:t>98.5)</w:t>
            </w:r>
          </w:p>
        </w:tc>
        <w:tc>
          <w:tcPr>
            <w:tcW w:w="537" w:type="dxa"/>
            <w:tcBorders>
              <w:bottom w:val="single" w:sz="4" w:space="0" w:color="000000"/>
            </w:tcBorders>
          </w:tcPr>
          <w:p w14:paraId="59ABE957" w14:textId="77777777" w:rsidR="00266BEE" w:rsidRPr="00C72931" w:rsidRDefault="00266BEE" w:rsidP="00E82294">
            <w:pPr>
              <w:pStyle w:val="TableText"/>
              <w:jc w:val="right"/>
            </w:pPr>
            <w:r w:rsidRPr="00C72931">
              <w:t>42</w:t>
            </w:r>
          </w:p>
        </w:tc>
        <w:tc>
          <w:tcPr>
            <w:tcW w:w="810" w:type="dxa"/>
            <w:tcBorders>
              <w:bottom w:val="single" w:sz="4" w:space="0" w:color="000000"/>
            </w:tcBorders>
          </w:tcPr>
          <w:p w14:paraId="332384D9" w14:textId="77777777" w:rsidR="00266BEE" w:rsidRPr="00C72931" w:rsidRDefault="00266BEE" w:rsidP="00E82294">
            <w:pPr>
              <w:pStyle w:val="TableText"/>
              <w:jc w:val="right"/>
            </w:pPr>
            <w:r w:rsidRPr="00C72931">
              <w:t>163</w:t>
            </w:r>
          </w:p>
        </w:tc>
        <w:tc>
          <w:tcPr>
            <w:tcW w:w="875" w:type="dxa"/>
            <w:tcBorders>
              <w:bottom w:val="single" w:sz="4" w:space="0" w:color="000000"/>
            </w:tcBorders>
          </w:tcPr>
          <w:p w14:paraId="74AC554A" w14:textId="77777777" w:rsidR="00266BEE" w:rsidRPr="00C72931" w:rsidRDefault="00266BEE" w:rsidP="00E82294">
            <w:pPr>
              <w:pStyle w:val="TableText"/>
              <w:jc w:val="right"/>
            </w:pPr>
            <w:r w:rsidRPr="00C72931">
              <w:t>66.6 (51.9</w:t>
            </w:r>
            <w:r w:rsidR="00E82294">
              <w:t>, </w:t>
            </w:r>
            <w:r w:rsidRPr="00C72931">
              <w:t>78.6)</w:t>
            </w:r>
          </w:p>
        </w:tc>
      </w:tr>
      <w:tr w:rsidR="00266BEE" w:rsidRPr="000F78B9" w14:paraId="0720F0BC" w14:textId="77777777" w:rsidTr="00E82294">
        <w:trPr>
          <w:cantSplit/>
        </w:trPr>
        <w:tc>
          <w:tcPr>
            <w:tcW w:w="2630" w:type="dxa"/>
            <w:tcBorders>
              <w:top w:val="single" w:sz="4" w:space="0" w:color="000000"/>
              <w:bottom w:val="nil"/>
            </w:tcBorders>
          </w:tcPr>
          <w:p w14:paraId="481EEC2B" w14:textId="77777777" w:rsidR="00266BEE" w:rsidRPr="00C72931" w:rsidRDefault="00266BEE" w:rsidP="00E82294">
            <w:pPr>
              <w:pStyle w:val="TableText"/>
              <w:rPr>
                <w:b/>
                <w:bCs/>
                <w:color w:val="000000" w:themeColor="text1"/>
              </w:rPr>
            </w:pPr>
            <w:r w:rsidRPr="00C72931">
              <w:rPr>
                <w:b/>
              </w:rPr>
              <w:t>Probable depressive episode (PHQ-9)</w:t>
            </w:r>
          </w:p>
        </w:tc>
        <w:tc>
          <w:tcPr>
            <w:tcW w:w="2224" w:type="dxa"/>
            <w:gridSpan w:val="3"/>
            <w:tcBorders>
              <w:top w:val="single" w:sz="4" w:space="0" w:color="000000"/>
              <w:bottom w:val="nil"/>
            </w:tcBorders>
          </w:tcPr>
          <w:p w14:paraId="65570FED" w14:textId="77777777" w:rsidR="00266BEE" w:rsidRPr="000F78B9" w:rsidRDefault="00266BEE" w:rsidP="00E82294">
            <w:pPr>
              <w:pStyle w:val="TableText"/>
              <w:jc w:val="center"/>
            </w:pPr>
            <w:r>
              <w:t>n</w:t>
            </w:r>
            <w:r w:rsidRPr="000F78B9">
              <w:t>=</w:t>
            </w:r>
            <w:r>
              <w:t>129</w:t>
            </w:r>
            <w:r w:rsidRPr="000F78B9">
              <w:t xml:space="preserve"> (Weighted</w:t>
            </w:r>
            <w:r>
              <w:t xml:space="preserve"> n</w:t>
            </w:r>
            <w:r w:rsidRPr="000F78B9">
              <w:t>=</w:t>
            </w:r>
            <w:r>
              <w:t>892</w:t>
            </w:r>
            <w:r w:rsidRPr="000F78B9">
              <w:t>)</w:t>
            </w:r>
          </w:p>
        </w:tc>
        <w:tc>
          <w:tcPr>
            <w:tcW w:w="2222" w:type="dxa"/>
            <w:gridSpan w:val="5"/>
            <w:tcBorders>
              <w:top w:val="single" w:sz="4" w:space="0" w:color="000000"/>
              <w:bottom w:val="nil"/>
            </w:tcBorders>
          </w:tcPr>
          <w:p w14:paraId="580ADCED" w14:textId="77777777" w:rsidR="00266BEE" w:rsidRPr="000F78B9" w:rsidRDefault="00266BEE" w:rsidP="00E82294">
            <w:pPr>
              <w:pStyle w:val="TableText"/>
              <w:jc w:val="center"/>
            </w:pPr>
            <w:r>
              <w:t>n=327</w:t>
            </w:r>
            <w:r w:rsidRPr="000F78B9">
              <w:t xml:space="preserve"> (Weighted </w:t>
            </w:r>
            <w:r>
              <w:t>n</w:t>
            </w:r>
            <w:r w:rsidRPr="000F78B9">
              <w:t>=</w:t>
            </w:r>
            <w:r>
              <w:t>2415</w:t>
            </w:r>
            <w:r w:rsidRPr="000F78B9">
              <w:t>)</w:t>
            </w:r>
          </w:p>
        </w:tc>
        <w:tc>
          <w:tcPr>
            <w:tcW w:w="2222" w:type="dxa"/>
            <w:gridSpan w:val="3"/>
            <w:tcBorders>
              <w:top w:val="single" w:sz="4" w:space="0" w:color="000000"/>
              <w:bottom w:val="nil"/>
            </w:tcBorders>
          </w:tcPr>
          <w:p w14:paraId="33CA442B" w14:textId="77777777" w:rsidR="00266BEE" w:rsidRPr="000F78B9" w:rsidRDefault="00266BEE" w:rsidP="00E82294">
            <w:pPr>
              <w:pStyle w:val="TableText"/>
              <w:jc w:val="center"/>
            </w:pPr>
            <w:r>
              <w:t>n</w:t>
            </w:r>
            <w:r w:rsidRPr="000F78B9">
              <w:t>=</w:t>
            </w:r>
            <w:r>
              <w:t>20</w:t>
            </w:r>
            <w:r w:rsidRPr="000F78B9">
              <w:t xml:space="preserve"> (Weighted</w:t>
            </w:r>
            <w:r>
              <w:t xml:space="preserve"> n</w:t>
            </w:r>
            <w:r w:rsidRPr="000F78B9">
              <w:t>=</w:t>
            </w:r>
            <w:r>
              <w:t>110</w:t>
            </w:r>
            <w:r w:rsidRPr="000F78B9">
              <w:t>)</w:t>
            </w:r>
          </w:p>
        </w:tc>
        <w:tc>
          <w:tcPr>
            <w:tcW w:w="2222" w:type="dxa"/>
            <w:gridSpan w:val="3"/>
            <w:tcBorders>
              <w:top w:val="single" w:sz="4" w:space="0" w:color="000000"/>
              <w:bottom w:val="nil"/>
            </w:tcBorders>
          </w:tcPr>
          <w:p w14:paraId="71A5F7D1" w14:textId="77777777" w:rsidR="00266BEE" w:rsidRPr="000F78B9" w:rsidRDefault="00266BEE" w:rsidP="00E82294">
            <w:pPr>
              <w:pStyle w:val="TableText"/>
              <w:jc w:val="center"/>
            </w:pPr>
            <w:r>
              <w:t>n</w:t>
            </w:r>
            <w:r w:rsidRPr="000F78B9">
              <w:t>=</w:t>
            </w:r>
            <w:r>
              <w:t xml:space="preserve">213 </w:t>
            </w:r>
            <w:r w:rsidRPr="000F78B9">
              <w:t xml:space="preserve">(Weighted </w:t>
            </w:r>
            <w:r>
              <w:t>n</w:t>
            </w:r>
            <w:r w:rsidRPr="000F78B9">
              <w:t>=</w:t>
            </w:r>
            <w:r>
              <w:t>1788</w:t>
            </w:r>
            <w:r w:rsidRPr="000F78B9">
              <w:t>)</w:t>
            </w:r>
          </w:p>
        </w:tc>
      </w:tr>
      <w:tr w:rsidR="00E82294" w:rsidRPr="000F78B9" w14:paraId="61CC29A7"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15C00DAD"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55" w:type="dxa"/>
            <w:tcBorders>
              <w:top w:val="nil"/>
            </w:tcBorders>
          </w:tcPr>
          <w:p w14:paraId="03D9743A" w14:textId="77777777" w:rsidR="00266BEE" w:rsidRPr="00C72931" w:rsidRDefault="00266BEE" w:rsidP="00E82294">
            <w:pPr>
              <w:pStyle w:val="TableText"/>
              <w:jc w:val="right"/>
            </w:pPr>
            <w:r w:rsidRPr="00C72931">
              <w:t>52</w:t>
            </w:r>
          </w:p>
        </w:tc>
        <w:tc>
          <w:tcPr>
            <w:tcW w:w="775" w:type="dxa"/>
            <w:tcBorders>
              <w:top w:val="nil"/>
            </w:tcBorders>
          </w:tcPr>
          <w:p w14:paraId="484C8865" w14:textId="77777777" w:rsidR="00266BEE" w:rsidRPr="00C72931" w:rsidRDefault="00266BEE" w:rsidP="00E82294">
            <w:pPr>
              <w:pStyle w:val="TableText"/>
              <w:jc w:val="right"/>
            </w:pPr>
            <w:r w:rsidRPr="00C72931">
              <w:t>343</w:t>
            </w:r>
          </w:p>
        </w:tc>
        <w:tc>
          <w:tcPr>
            <w:tcW w:w="994" w:type="dxa"/>
            <w:tcBorders>
              <w:top w:val="nil"/>
            </w:tcBorders>
          </w:tcPr>
          <w:p w14:paraId="3B1974CA" w14:textId="77777777" w:rsidR="00266BEE" w:rsidRPr="00C72931" w:rsidRDefault="00266BEE" w:rsidP="00E82294">
            <w:pPr>
              <w:pStyle w:val="TableText"/>
              <w:jc w:val="right"/>
            </w:pPr>
            <w:r w:rsidRPr="00C72931">
              <w:t>38.5 (29.3</w:t>
            </w:r>
            <w:r w:rsidR="00E82294">
              <w:t>, </w:t>
            </w:r>
            <w:r w:rsidRPr="00C72931">
              <w:t>48.6)</w:t>
            </w:r>
          </w:p>
        </w:tc>
        <w:tc>
          <w:tcPr>
            <w:tcW w:w="481" w:type="dxa"/>
            <w:gridSpan w:val="2"/>
            <w:tcBorders>
              <w:top w:val="nil"/>
            </w:tcBorders>
          </w:tcPr>
          <w:p w14:paraId="5AA24B03" w14:textId="77777777" w:rsidR="00266BEE" w:rsidRPr="00C72931" w:rsidRDefault="00266BEE" w:rsidP="00E82294">
            <w:pPr>
              <w:pStyle w:val="TableText"/>
              <w:jc w:val="right"/>
            </w:pPr>
            <w:r w:rsidRPr="00C72931">
              <w:t>149</w:t>
            </w:r>
          </w:p>
        </w:tc>
        <w:tc>
          <w:tcPr>
            <w:tcW w:w="810" w:type="dxa"/>
            <w:gridSpan w:val="2"/>
            <w:tcBorders>
              <w:top w:val="nil"/>
            </w:tcBorders>
          </w:tcPr>
          <w:p w14:paraId="1F24A5EE" w14:textId="77777777" w:rsidR="00266BEE" w:rsidRPr="00C72931" w:rsidRDefault="00266BEE" w:rsidP="00E82294">
            <w:pPr>
              <w:pStyle w:val="TableText"/>
              <w:jc w:val="right"/>
            </w:pPr>
            <w:r w:rsidRPr="00C72931">
              <w:t>1037</w:t>
            </w:r>
          </w:p>
        </w:tc>
        <w:tc>
          <w:tcPr>
            <w:tcW w:w="931" w:type="dxa"/>
            <w:tcBorders>
              <w:top w:val="nil"/>
            </w:tcBorders>
          </w:tcPr>
          <w:p w14:paraId="5BFE6E41" w14:textId="77777777" w:rsidR="00266BEE" w:rsidRPr="00C72931" w:rsidRDefault="00266BEE" w:rsidP="00E82294">
            <w:pPr>
              <w:pStyle w:val="TableText"/>
              <w:jc w:val="right"/>
            </w:pPr>
            <w:r w:rsidRPr="00C72931">
              <w:t>42.9 (36.5</w:t>
            </w:r>
            <w:r w:rsidR="00E82294">
              <w:t>, </w:t>
            </w:r>
            <w:r w:rsidRPr="00C72931">
              <w:t>49.6)</w:t>
            </w:r>
          </w:p>
        </w:tc>
        <w:tc>
          <w:tcPr>
            <w:tcW w:w="509" w:type="dxa"/>
            <w:tcBorders>
              <w:top w:val="nil"/>
            </w:tcBorders>
          </w:tcPr>
          <w:p w14:paraId="4AD8A8CD" w14:textId="77777777" w:rsidR="00266BEE" w:rsidRPr="00C72931" w:rsidRDefault="00266BEE" w:rsidP="00E82294">
            <w:pPr>
              <w:pStyle w:val="TableText"/>
              <w:jc w:val="right"/>
            </w:pPr>
            <w:r w:rsidRPr="00C72931">
              <w:t>5</w:t>
            </w:r>
          </w:p>
        </w:tc>
        <w:tc>
          <w:tcPr>
            <w:tcW w:w="810" w:type="dxa"/>
            <w:tcBorders>
              <w:top w:val="nil"/>
            </w:tcBorders>
          </w:tcPr>
          <w:p w14:paraId="74D09D9B" w14:textId="77777777" w:rsidR="00266BEE" w:rsidRPr="00C72931" w:rsidRDefault="00266BEE" w:rsidP="00E82294">
            <w:pPr>
              <w:pStyle w:val="TableText"/>
              <w:jc w:val="right"/>
            </w:pPr>
            <w:r w:rsidRPr="00C72931">
              <w:t>14</w:t>
            </w:r>
          </w:p>
        </w:tc>
        <w:tc>
          <w:tcPr>
            <w:tcW w:w="903" w:type="dxa"/>
            <w:tcBorders>
              <w:top w:val="nil"/>
            </w:tcBorders>
          </w:tcPr>
          <w:p w14:paraId="023B3B0C" w14:textId="77777777" w:rsidR="00266BEE" w:rsidRPr="00C72931" w:rsidRDefault="00266BEE" w:rsidP="00E82294">
            <w:pPr>
              <w:pStyle w:val="TableText"/>
              <w:jc w:val="right"/>
            </w:pPr>
            <w:r w:rsidRPr="00C72931">
              <w:t>12.9 (5.3</w:t>
            </w:r>
            <w:r w:rsidR="00E82294">
              <w:t>, </w:t>
            </w:r>
            <w:r w:rsidRPr="00C72931">
              <w:t>28.2)</w:t>
            </w:r>
          </w:p>
        </w:tc>
        <w:tc>
          <w:tcPr>
            <w:tcW w:w="537" w:type="dxa"/>
            <w:tcBorders>
              <w:top w:val="nil"/>
            </w:tcBorders>
          </w:tcPr>
          <w:p w14:paraId="3554F907" w14:textId="77777777" w:rsidR="00266BEE" w:rsidRPr="00C72931" w:rsidRDefault="00266BEE" w:rsidP="00E82294">
            <w:pPr>
              <w:pStyle w:val="TableText"/>
              <w:jc w:val="right"/>
            </w:pPr>
            <w:r w:rsidRPr="00C72931">
              <w:t>87</w:t>
            </w:r>
          </w:p>
        </w:tc>
        <w:tc>
          <w:tcPr>
            <w:tcW w:w="810" w:type="dxa"/>
            <w:tcBorders>
              <w:top w:val="nil"/>
            </w:tcBorders>
          </w:tcPr>
          <w:p w14:paraId="17E247D5" w14:textId="77777777" w:rsidR="00266BEE" w:rsidRPr="00C72931" w:rsidRDefault="00266BEE" w:rsidP="00E82294">
            <w:pPr>
              <w:pStyle w:val="TableText"/>
              <w:jc w:val="right"/>
            </w:pPr>
            <w:r w:rsidRPr="00C72931">
              <w:t>665</w:t>
            </w:r>
          </w:p>
        </w:tc>
        <w:tc>
          <w:tcPr>
            <w:tcW w:w="875" w:type="dxa"/>
            <w:tcBorders>
              <w:top w:val="nil"/>
            </w:tcBorders>
          </w:tcPr>
          <w:p w14:paraId="5EEA6907" w14:textId="77777777" w:rsidR="00266BEE" w:rsidRPr="00C72931" w:rsidRDefault="00266BEE" w:rsidP="00E82294">
            <w:pPr>
              <w:pStyle w:val="TableText"/>
              <w:jc w:val="right"/>
            </w:pPr>
            <w:r w:rsidRPr="00C72931">
              <w:t>37.2 (15.5</w:t>
            </w:r>
            <w:r w:rsidR="00E82294">
              <w:t>, </w:t>
            </w:r>
            <w:r w:rsidRPr="00C72931">
              <w:t>65.6)</w:t>
            </w:r>
          </w:p>
        </w:tc>
      </w:tr>
      <w:tr w:rsidR="00E82294" w:rsidRPr="000F78B9" w14:paraId="4E0D16F6" w14:textId="77777777" w:rsidTr="0062434A">
        <w:trPr>
          <w:cantSplit/>
        </w:trPr>
        <w:tc>
          <w:tcPr>
            <w:tcW w:w="2630" w:type="dxa"/>
            <w:tcBorders>
              <w:bottom w:val="single" w:sz="4" w:space="0" w:color="000000"/>
            </w:tcBorders>
          </w:tcPr>
          <w:p w14:paraId="7066CC06" w14:textId="77777777" w:rsidR="00266BEE" w:rsidRPr="00C72931" w:rsidRDefault="00266BEE" w:rsidP="00E82294">
            <w:pPr>
              <w:pStyle w:val="TableText"/>
              <w:keepNext w:val="0"/>
            </w:pPr>
            <w:r w:rsidRPr="00C72931">
              <w:t xml:space="preserve">Did not use </w:t>
            </w:r>
            <w:r>
              <w:t>internet</w:t>
            </w:r>
            <w:r w:rsidRPr="00C72931">
              <w:t xml:space="preserve"> for mental health</w:t>
            </w:r>
            <w:r>
              <w:t xml:space="preserve"> </w:t>
            </w:r>
          </w:p>
        </w:tc>
        <w:tc>
          <w:tcPr>
            <w:tcW w:w="455" w:type="dxa"/>
            <w:tcBorders>
              <w:bottom w:val="single" w:sz="4" w:space="0" w:color="000000"/>
            </w:tcBorders>
          </w:tcPr>
          <w:p w14:paraId="32ADF2A6" w14:textId="77777777" w:rsidR="00266BEE" w:rsidRPr="00C72931" w:rsidRDefault="00266BEE" w:rsidP="00E82294">
            <w:pPr>
              <w:pStyle w:val="TableText"/>
              <w:keepNext w:val="0"/>
              <w:jc w:val="right"/>
            </w:pPr>
            <w:r w:rsidRPr="00C72931">
              <w:t>77</w:t>
            </w:r>
          </w:p>
        </w:tc>
        <w:tc>
          <w:tcPr>
            <w:tcW w:w="775" w:type="dxa"/>
            <w:tcBorders>
              <w:bottom w:val="single" w:sz="4" w:space="0" w:color="000000"/>
            </w:tcBorders>
          </w:tcPr>
          <w:p w14:paraId="56429681" w14:textId="77777777" w:rsidR="00266BEE" w:rsidRPr="00C72931" w:rsidRDefault="00266BEE" w:rsidP="00E82294">
            <w:pPr>
              <w:pStyle w:val="TableText"/>
              <w:keepNext w:val="0"/>
              <w:jc w:val="right"/>
            </w:pPr>
            <w:r w:rsidRPr="00C72931">
              <w:t>549</w:t>
            </w:r>
          </w:p>
        </w:tc>
        <w:tc>
          <w:tcPr>
            <w:tcW w:w="994" w:type="dxa"/>
            <w:tcBorders>
              <w:bottom w:val="single" w:sz="4" w:space="0" w:color="000000"/>
            </w:tcBorders>
          </w:tcPr>
          <w:p w14:paraId="5394C8A6" w14:textId="77777777" w:rsidR="00266BEE" w:rsidRPr="00C72931" w:rsidRDefault="00266BEE" w:rsidP="00E82294">
            <w:pPr>
              <w:pStyle w:val="TableText"/>
              <w:keepNext w:val="0"/>
              <w:jc w:val="right"/>
            </w:pPr>
            <w:r w:rsidRPr="00C72931">
              <w:t>61.5 (51.4</w:t>
            </w:r>
            <w:r w:rsidR="00E82294">
              <w:t>, </w:t>
            </w:r>
            <w:r w:rsidRPr="00C72931">
              <w:t>70.7)</w:t>
            </w:r>
          </w:p>
        </w:tc>
        <w:tc>
          <w:tcPr>
            <w:tcW w:w="481" w:type="dxa"/>
            <w:gridSpan w:val="2"/>
            <w:tcBorders>
              <w:bottom w:val="single" w:sz="4" w:space="0" w:color="000000"/>
            </w:tcBorders>
          </w:tcPr>
          <w:p w14:paraId="0DE276D4" w14:textId="77777777" w:rsidR="00266BEE" w:rsidRPr="00C72931" w:rsidRDefault="00266BEE" w:rsidP="00E82294">
            <w:pPr>
              <w:pStyle w:val="TableText"/>
              <w:keepNext w:val="0"/>
              <w:jc w:val="right"/>
            </w:pPr>
            <w:r w:rsidRPr="00C72931">
              <w:t>176</w:t>
            </w:r>
          </w:p>
        </w:tc>
        <w:tc>
          <w:tcPr>
            <w:tcW w:w="810" w:type="dxa"/>
            <w:gridSpan w:val="2"/>
            <w:tcBorders>
              <w:bottom w:val="single" w:sz="4" w:space="0" w:color="000000"/>
            </w:tcBorders>
          </w:tcPr>
          <w:p w14:paraId="43F5536B" w14:textId="77777777" w:rsidR="00266BEE" w:rsidRPr="00C72931" w:rsidRDefault="00266BEE" w:rsidP="00E82294">
            <w:pPr>
              <w:pStyle w:val="TableText"/>
              <w:keepNext w:val="0"/>
              <w:jc w:val="right"/>
            </w:pPr>
            <w:r w:rsidRPr="00C72931">
              <w:t>1360</w:t>
            </w:r>
          </w:p>
        </w:tc>
        <w:tc>
          <w:tcPr>
            <w:tcW w:w="931" w:type="dxa"/>
            <w:tcBorders>
              <w:bottom w:val="single" w:sz="4" w:space="0" w:color="000000"/>
            </w:tcBorders>
          </w:tcPr>
          <w:p w14:paraId="358E16C0" w14:textId="77777777" w:rsidR="00266BEE" w:rsidRPr="00C72931" w:rsidRDefault="00266BEE" w:rsidP="00E82294">
            <w:pPr>
              <w:pStyle w:val="TableText"/>
              <w:keepNext w:val="0"/>
              <w:jc w:val="right"/>
            </w:pPr>
            <w:r w:rsidRPr="00C72931">
              <w:t>56.3 (49.6</w:t>
            </w:r>
            <w:r w:rsidR="00E82294">
              <w:t>, </w:t>
            </w:r>
            <w:r w:rsidRPr="00C72931">
              <w:t>62.8)</w:t>
            </w:r>
          </w:p>
        </w:tc>
        <w:tc>
          <w:tcPr>
            <w:tcW w:w="509" w:type="dxa"/>
            <w:tcBorders>
              <w:bottom w:val="single" w:sz="4" w:space="0" w:color="000000"/>
            </w:tcBorders>
          </w:tcPr>
          <w:p w14:paraId="270B864A" w14:textId="77777777" w:rsidR="00266BEE" w:rsidRPr="00C72931" w:rsidRDefault="00266BEE" w:rsidP="00E82294">
            <w:pPr>
              <w:pStyle w:val="TableText"/>
              <w:keepNext w:val="0"/>
              <w:jc w:val="right"/>
            </w:pPr>
            <w:r w:rsidRPr="00C72931">
              <w:t>14</w:t>
            </w:r>
          </w:p>
        </w:tc>
        <w:tc>
          <w:tcPr>
            <w:tcW w:w="810" w:type="dxa"/>
            <w:tcBorders>
              <w:bottom w:val="single" w:sz="4" w:space="0" w:color="000000"/>
            </w:tcBorders>
          </w:tcPr>
          <w:p w14:paraId="002B83C0" w14:textId="77777777" w:rsidR="00266BEE" w:rsidRPr="00C72931" w:rsidRDefault="00266BEE" w:rsidP="00E82294">
            <w:pPr>
              <w:pStyle w:val="TableText"/>
              <w:keepNext w:val="0"/>
              <w:jc w:val="right"/>
            </w:pPr>
            <w:r w:rsidRPr="00C72931">
              <w:t>92</w:t>
            </w:r>
          </w:p>
        </w:tc>
        <w:tc>
          <w:tcPr>
            <w:tcW w:w="903" w:type="dxa"/>
            <w:tcBorders>
              <w:bottom w:val="single" w:sz="4" w:space="0" w:color="000000"/>
            </w:tcBorders>
          </w:tcPr>
          <w:p w14:paraId="206A1F70" w14:textId="77777777" w:rsidR="00266BEE" w:rsidRPr="00C72931" w:rsidRDefault="00266BEE" w:rsidP="00E82294">
            <w:pPr>
              <w:pStyle w:val="TableText"/>
              <w:keepNext w:val="0"/>
              <w:jc w:val="right"/>
            </w:pPr>
            <w:r w:rsidRPr="00C72931">
              <w:t>83.9 (66.9</w:t>
            </w:r>
            <w:r w:rsidR="00E82294">
              <w:t>, </w:t>
            </w:r>
            <w:r w:rsidRPr="00C72931">
              <w:t>93.1)</w:t>
            </w:r>
          </w:p>
        </w:tc>
        <w:tc>
          <w:tcPr>
            <w:tcW w:w="537" w:type="dxa"/>
            <w:tcBorders>
              <w:bottom w:val="single" w:sz="4" w:space="0" w:color="000000"/>
            </w:tcBorders>
          </w:tcPr>
          <w:p w14:paraId="2244D87E" w14:textId="77777777" w:rsidR="00266BEE" w:rsidRPr="00C72931" w:rsidRDefault="00266BEE" w:rsidP="00E82294">
            <w:pPr>
              <w:pStyle w:val="TableText"/>
              <w:keepNext w:val="0"/>
              <w:jc w:val="right"/>
            </w:pPr>
            <w:r w:rsidRPr="00C72931">
              <w:t>126</w:t>
            </w:r>
          </w:p>
        </w:tc>
        <w:tc>
          <w:tcPr>
            <w:tcW w:w="810" w:type="dxa"/>
            <w:tcBorders>
              <w:bottom w:val="single" w:sz="4" w:space="0" w:color="000000"/>
            </w:tcBorders>
          </w:tcPr>
          <w:p w14:paraId="4632229B" w14:textId="77777777" w:rsidR="00266BEE" w:rsidRPr="00C72931" w:rsidRDefault="00266BEE" w:rsidP="00E82294">
            <w:pPr>
              <w:pStyle w:val="TableText"/>
              <w:keepNext w:val="0"/>
              <w:jc w:val="right"/>
            </w:pPr>
            <w:r w:rsidRPr="00C72931">
              <w:t>1124</w:t>
            </w:r>
          </w:p>
        </w:tc>
        <w:tc>
          <w:tcPr>
            <w:tcW w:w="875" w:type="dxa"/>
            <w:tcBorders>
              <w:bottom w:val="single" w:sz="4" w:space="0" w:color="000000"/>
            </w:tcBorders>
          </w:tcPr>
          <w:p w14:paraId="0C665D11" w14:textId="77777777" w:rsidR="00266BEE" w:rsidRPr="00C72931" w:rsidRDefault="00266BEE" w:rsidP="00E82294">
            <w:pPr>
              <w:pStyle w:val="TableText"/>
              <w:keepNext w:val="0"/>
              <w:jc w:val="right"/>
            </w:pPr>
            <w:r w:rsidRPr="00C72931">
              <w:t>62.8 (34.4</w:t>
            </w:r>
            <w:r w:rsidR="00E82294">
              <w:t>, </w:t>
            </w:r>
            <w:r w:rsidRPr="00C72931">
              <w:t>84.5)</w:t>
            </w:r>
          </w:p>
        </w:tc>
      </w:tr>
      <w:tr w:rsidR="00266BEE" w:rsidRPr="000F78B9" w14:paraId="4964ADCC" w14:textId="77777777" w:rsidTr="00E82294">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bottom w:val="nil"/>
            </w:tcBorders>
          </w:tcPr>
          <w:p w14:paraId="6736C7A3" w14:textId="77777777" w:rsidR="00266BEE" w:rsidRPr="00C72931" w:rsidRDefault="00266BEE" w:rsidP="00E82294">
            <w:pPr>
              <w:pStyle w:val="TableText"/>
              <w:rPr>
                <w:b/>
              </w:rPr>
            </w:pPr>
            <w:r w:rsidRPr="00C72931">
              <w:rPr>
                <w:b/>
              </w:rPr>
              <w:t>Any 12-month suicidal ideation and behaviour</w:t>
            </w:r>
          </w:p>
        </w:tc>
        <w:tc>
          <w:tcPr>
            <w:tcW w:w="2224" w:type="dxa"/>
            <w:gridSpan w:val="3"/>
            <w:tcBorders>
              <w:top w:val="single" w:sz="4" w:space="0" w:color="000000"/>
              <w:bottom w:val="nil"/>
            </w:tcBorders>
          </w:tcPr>
          <w:p w14:paraId="3B95A41D" w14:textId="77777777" w:rsidR="00266BEE" w:rsidRPr="000F78B9" w:rsidRDefault="00266BEE" w:rsidP="00E82294">
            <w:pPr>
              <w:pStyle w:val="TableText"/>
              <w:jc w:val="center"/>
            </w:pPr>
            <w:r>
              <w:t>n</w:t>
            </w:r>
            <w:r w:rsidRPr="000F78B9">
              <w:t>=</w:t>
            </w:r>
            <w:r>
              <w:t>304</w:t>
            </w:r>
            <w:r w:rsidRPr="000F78B9">
              <w:t xml:space="preserve"> (Weighted</w:t>
            </w:r>
            <w:r>
              <w:t xml:space="preserve"> n</w:t>
            </w:r>
            <w:r w:rsidRPr="000F78B9">
              <w:t>=</w:t>
            </w:r>
            <w:r>
              <w:t>1948</w:t>
            </w:r>
            <w:r w:rsidRPr="000F78B9">
              <w:t>)</w:t>
            </w:r>
          </w:p>
        </w:tc>
        <w:tc>
          <w:tcPr>
            <w:tcW w:w="2222" w:type="dxa"/>
            <w:gridSpan w:val="5"/>
            <w:tcBorders>
              <w:top w:val="single" w:sz="4" w:space="0" w:color="000000"/>
              <w:bottom w:val="nil"/>
            </w:tcBorders>
          </w:tcPr>
          <w:p w14:paraId="76C5B596" w14:textId="77777777" w:rsidR="00266BEE" w:rsidRPr="000F78B9" w:rsidRDefault="00266BEE" w:rsidP="00E82294">
            <w:pPr>
              <w:pStyle w:val="TableText"/>
              <w:jc w:val="center"/>
            </w:pPr>
            <w:r>
              <w:t>n=747</w:t>
            </w:r>
            <w:r w:rsidRPr="000F78B9">
              <w:t xml:space="preserve"> (Weighted </w:t>
            </w:r>
            <w:r>
              <w:t>n</w:t>
            </w:r>
            <w:r w:rsidRPr="000F78B9">
              <w:t>=</w:t>
            </w:r>
            <w:r>
              <w:t>5585</w:t>
            </w:r>
            <w:r w:rsidRPr="000F78B9">
              <w:t>)</w:t>
            </w:r>
          </w:p>
        </w:tc>
        <w:tc>
          <w:tcPr>
            <w:tcW w:w="2222" w:type="dxa"/>
            <w:gridSpan w:val="3"/>
            <w:tcBorders>
              <w:top w:val="single" w:sz="4" w:space="0" w:color="000000"/>
              <w:bottom w:val="nil"/>
            </w:tcBorders>
          </w:tcPr>
          <w:p w14:paraId="19D43F85" w14:textId="77777777" w:rsidR="00266BEE" w:rsidRPr="000F78B9" w:rsidRDefault="00266BEE" w:rsidP="00E82294">
            <w:pPr>
              <w:pStyle w:val="TableText"/>
              <w:jc w:val="center"/>
            </w:pPr>
            <w:r>
              <w:t>n</w:t>
            </w:r>
            <w:r w:rsidRPr="000F78B9">
              <w:t>=</w:t>
            </w:r>
            <w:r>
              <w:t>159</w:t>
            </w:r>
            <w:r w:rsidRPr="000F78B9">
              <w:t xml:space="preserve"> (Weighted</w:t>
            </w:r>
            <w:r>
              <w:t xml:space="preserve"> n</w:t>
            </w:r>
            <w:r w:rsidRPr="000F78B9">
              <w:t>=</w:t>
            </w:r>
            <w:r>
              <w:t>800</w:t>
            </w:r>
            <w:r w:rsidRPr="000F78B9">
              <w:t>)</w:t>
            </w:r>
          </w:p>
        </w:tc>
        <w:tc>
          <w:tcPr>
            <w:tcW w:w="2222" w:type="dxa"/>
            <w:gridSpan w:val="3"/>
            <w:tcBorders>
              <w:top w:val="single" w:sz="4" w:space="0" w:color="000000"/>
              <w:bottom w:val="nil"/>
            </w:tcBorders>
          </w:tcPr>
          <w:p w14:paraId="7E9586E3" w14:textId="77777777" w:rsidR="00266BEE" w:rsidRPr="000F78B9" w:rsidRDefault="00266BEE" w:rsidP="00E82294">
            <w:pPr>
              <w:pStyle w:val="TableText"/>
              <w:jc w:val="center"/>
            </w:pPr>
            <w:r>
              <w:t>n</w:t>
            </w:r>
            <w:r w:rsidRPr="000F78B9">
              <w:t>=</w:t>
            </w:r>
            <w:r>
              <w:t xml:space="preserve">761 </w:t>
            </w:r>
            <w:r w:rsidRPr="000F78B9">
              <w:t xml:space="preserve">(Weighted </w:t>
            </w:r>
            <w:r>
              <w:t>n</w:t>
            </w:r>
            <w:r w:rsidRPr="000F78B9">
              <w:t>=</w:t>
            </w:r>
            <w:r>
              <w:t>6163</w:t>
            </w:r>
            <w:r w:rsidRPr="000F78B9">
              <w:t>)</w:t>
            </w:r>
          </w:p>
        </w:tc>
      </w:tr>
      <w:tr w:rsidR="00E82294" w:rsidRPr="000F78B9" w14:paraId="0D108E6F" w14:textId="77777777" w:rsidTr="0062434A">
        <w:trPr>
          <w:cantSplit/>
        </w:trPr>
        <w:tc>
          <w:tcPr>
            <w:tcW w:w="2630" w:type="dxa"/>
            <w:tcBorders>
              <w:top w:val="nil"/>
            </w:tcBorders>
          </w:tcPr>
          <w:p w14:paraId="366C445A"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55" w:type="dxa"/>
            <w:tcBorders>
              <w:top w:val="nil"/>
            </w:tcBorders>
          </w:tcPr>
          <w:p w14:paraId="7286F0FB" w14:textId="77777777" w:rsidR="00266BEE" w:rsidRPr="00C72931" w:rsidRDefault="00266BEE" w:rsidP="00E82294">
            <w:pPr>
              <w:pStyle w:val="TableText"/>
              <w:jc w:val="right"/>
            </w:pPr>
            <w:r w:rsidRPr="00C72931">
              <w:t>122</w:t>
            </w:r>
          </w:p>
        </w:tc>
        <w:tc>
          <w:tcPr>
            <w:tcW w:w="775" w:type="dxa"/>
            <w:tcBorders>
              <w:top w:val="nil"/>
            </w:tcBorders>
          </w:tcPr>
          <w:p w14:paraId="3DD7C78B" w14:textId="77777777" w:rsidR="00266BEE" w:rsidRPr="00C72931" w:rsidRDefault="00266BEE" w:rsidP="00E82294">
            <w:pPr>
              <w:pStyle w:val="TableText"/>
              <w:jc w:val="right"/>
            </w:pPr>
            <w:r w:rsidRPr="00C72931">
              <w:t>817</w:t>
            </w:r>
          </w:p>
        </w:tc>
        <w:tc>
          <w:tcPr>
            <w:tcW w:w="994" w:type="dxa"/>
            <w:tcBorders>
              <w:top w:val="nil"/>
            </w:tcBorders>
          </w:tcPr>
          <w:p w14:paraId="1A0EEACD" w14:textId="77777777" w:rsidR="00266BEE" w:rsidRPr="00C72931" w:rsidRDefault="00266BEE" w:rsidP="00E82294">
            <w:pPr>
              <w:pStyle w:val="TableText"/>
              <w:jc w:val="right"/>
            </w:pPr>
            <w:r w:rsidRPr="00C72931">
              <w:t>41.9 (35.3</w:t>
            </w:r>
            <w:r w:rsidR="00E82294">
              <w:t>, </w:t>
            </w:r>
            <w:r w:rsidRPr="00C72931">
              <w:t>48.9)</w:t>
            </w:r>
          </w:p>
        </w:tc>
        <w:tc>
          <w:tcPr>
            <w:tcW w:w="408" w:type="dxa"/>
            <w:tcBorders>
              <w:top w:val="nil"/>
            </w:tcBorders>
          </w:tcPr>
          <w:p w14:paraId="49528301" w14:textId="77777777" w:rsidR="00266BEE" w:rsidRPr="00C72931" w:rsidRDefault="00266BEE" w:rsidP="00E82294">
            <w:pPr>
              <w:pStyle w:val="TableText"/>
              <w:jc w:val="right"/>
            </w:pPr>
            <w:r w:rsidRPr="00C72931">
              <w:t>310</w:t>
            </w:r>
          </w:p>
        </w:tc>
        <w:tc>
          <w:tcPr>
            <w:tcW w:w="820" w:type="dxa"/>
            <w:gridSpan w:val="2"/>
            <w:tcBorders>
              <w:top w:val="nil"/>
            </w:tcBorders>
          </w:tcPr>
          <w:p w14:paraId="7D78909B" w14:textId="77777777" w:rsidR="00266BEE" w:rsidRPr="00C72931" w:rsidRDefault="00266BEE" w:rsidP="00E82294">
            <w:pPr>
              <w:pStyle w:val="TableText"/>
              <w:jc w:val="right"/>
            </w:pPr>
            <w:r w:rsidRPr="00C72931">
              <w:t>2246</w:t>
            </w:r>
          </w:p>
        </w:tc>
        <w:tc>
          <w:tcPr>
            <w:tcW w:w="994" w:type="dxa"/>
            <w:gridSpan w:val="2"/>
            <w:tcBorders>
              <w:top w:val="nil"/>
            </w:tcBorders>
          </w:tcPr>
          <w:p w14:paraId="155082F2" w14:textId="77777777" w:rsidR="00266BEE" w:rsidRPr="00C72931" w:rsidRDefault="00266BEE" w:rsidP="00E82294">
            <w:pPr>
              <w:pStyle w:val="TableText"/>
              <w:jc w:val="right"/>
            </w:pPr>
            <w:r w:rsidRPr="00C72931">
              <w:t>40.2 (35.9</w:t>
            </w:r>
            <w:r w:rsidR="00E82294">
              <w:t>, </w:t>
            </w:r>
            <w:r w:rsidRPr="00C72931">
              <w:t>44.7)</w:t>
            </w:r>
          </w:p>
        </w:tc>
        <w:tc>
          <w:tcPr>
            <w:tcW w:w="509" w:type="dxa"/>
            <w:tcBorders>
              <w:top w:val="nil"/>
            </w:tcBorders>
          </w:tcPr>
          <w:p w14:paraId="4CBC4279" w14:textId="77777777" w:rsidR="00266BEE" w:rsidRPr="00C72931" w:rsidRDefault="00266BEE" w:rsidP="00E82294">
            <w:pPr>
              <w:pStyle w:val="TableText"/>
              <w:jc w:val="right"/>
            </w:pPr>
            <w:r w:rsidRPr="00C72931">
              <w:t>50</w:t>
            </w:r>
          </w:p>
        </w:tc>
        <w:tc>
          <w:tcPr>
            <w:tcW w:w="810" w:type="dxa"/>
            <w:tcBorders>
              <w:top w:val="nil"/>
            </w:tcBorders>
          </w:tcPr>
          <w:p w14:paraId="6D4EFD83" w14:textId="77777777" w:rsidR="00266BEE" w:rsidRPr="00C72931" w:rsidRDefault="00266BEE" w:rsidP="00E82294">
            <w:pPr>
              <w:pStyle w:val="TableText"/>
              <w:jc w:val="right"/>
            </w:pPr>
            <w:r w:rsidRPr="00C72931">
              <w:t>281</w:t>
            </w:r>
          </w:p>
        </w:tc>
        <w:tc>
          <w:tcPr>
            <w:tcW w:w="903" w:type="dxa"/>
            <w:tcBorders>
              <w:top w:val="nil"/>
            </w:tcBorders>
          </w:tcPr>
          <w:p w14:paraId="0A607777" w14:textId="77777777" w:rsidR="00266BEE" w:rsidRPr="00C72931" w:rsidRDefault="00266BEE" w:rsidP="00E82294">
            <w:pPr>
              <w:pStyle w:val="TableText"/>
              <w:jc w:val="right"/>
            </w:pPr>
            <w:r w:rsidRPr="00C72931">
              <w:t>35.1 (17.8</w:t>
            </w:r>
            <w:r w:rsidR="00E82294">
              <w:t>, </w:t>
            </w:r>
            <w:r w:rsidRPr="00C72931">
              <w:t>57.4)</w:t>
            </w:r>
          </w:p>
        </w:tc>
        <w:tc>
          <w:tcPr>
            <w:tcW w:w="537" w:type="dxa"/>
            <w:tcBorders>
              <w:top w:val="nil"/>
            </w:tcBorders>
          </w:tcPr>
          <w:p w14:paraId="31D3C0DC" w14:textId="77777777" w:rsidR="00266BEE" w:rsidRPr="00C72931" w:rsidRDefault="00266BEE" w:rsidP="00E82294">
            <w:pPr>
              <w:pStyle w:val="TableText"/>
              <w:jc w:val="right"/>
            </w:pPr>
            <w:r w:rsidRPr="00C72931">
              <w:t>297</w:t>
            </w:r>
          </w:p>
        </w:tc>
        <w:tc>
          <w:tcPr>
            <w:tcW w:w="810" w:type="dxa"/>
            <w:tcBorders>
              <w:top w:val="nil"/>
            </w:tcBorders>
          </w:tcPr>
          <w:p w14:paraId="239A8D58" w14:textId="77777777" w:rsidR="00266BEE" w:rsidRPr="00C72931" w:rsidRDefault="00266BEE" w:rsidP="00E82294">
            <w:pPr>
              <w:pStyle w:val="TableText"/>
              <w:jc w:val="right"/>
            </w:pPr>
            <w:r w:rsidRPr="00C72931">
              <w:t>1809</w:t>
            </w:r>
          </w:p>
        </w:tc>
        <w:tc>
          <w:tcPr>
            <w:tcW w:w="875" w:type="dxa"/>
            <w:tcBorders>
              <w:top w:val="nil"/>
            </w:tcBorders>
          </w:tcPr>
          <w:p w14:paraId="7B2D1F23" w14:textId="77777777" w:rsidR="00266BEE" w:rsidRPr="00C72931" w:rsidRDefault="00266BEE" w:rsidP="00E82294">
            <w:pPr>
              <w:pStyle w:val="TableText"/>
              <w:jc w:val="right"/>
            </w:pPr>
            <w:r w:rsidRPr="00C72931">
              <w:t>29.4 (18.8</w:t>
            </w:r>
            <w:r w:rsidR="00E82294">
              <w:t>, </w:t>
            </w:r>
            <w:r w:rsidRPr="00C72931">
              <w:t>42.7)</w:t>
            </w:r>
          </w:p>
        </w:tc>
      </w:tr>
      <w:tr w:rsidR="00E82294" w:rsidRPr="000F78B9" w14:paraId="73F61EEA"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4F34F098"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55" w:type="dxa"/>
            <w:tcBorders>
              <w:bottom w:val="single" w:sz="4" w:space="0" w:color="000000"/>
            </w:tcBorders>
          </w:tcPr>
          <w:p w14:paraId="3CFEE0DE" w14:textId="77777777" w:rsidR="00266BEE" w:rsidRPr="00C72931" w:rsidRDefault="00266BEE" w:rsidP="00E82294">
            <w:pPr>
              <w:pStyle w:val="TableText"/>
              <w:jc w:val="right"/>
            </w:pPr>
            <w:r w:rsidRPr="00C72931">
              <w:t>181</w:t>
            </w:r>
          </w:p>
        </w:tc>
        <w:tc>
          <w:tcPr>
            <w:tcW w:w="775" w:type="dxa"/>
            <w:tcBorders>
              <w:bottom w:val="single" w:sz="4" w:space="0" w:color="000000"/>
            </w:tcBorders>
          </w:tcPr>
          <w:p w14:paraId="190582D6" w14:textId="77777777" w:rsidR="00266BEE" w:rsidRPr="00C72931" w:rsidRDefault="00266BEE" w:rsidP="00E82294">
            <w:pPr>
              <w:pStyle w:val="TableText"/>
              <w:jc w:val="right"/>
            </w:pPr>
            <w:r w:rsidRPr="00C72931">
              <w:t>1127</w:t>
            </w:r>
          </w:p>
        </w:tc>
        <w:tc>
          <w:tcPr>
            <w:tcW w:w="994" w:type="dxa"/>
            <w:tcBorders>
              <w:bottom w:val="single" w:sz="4" w:space="0" w:color="000000"/>
            </w:tcBorders>
          </w:tcPr>
          <w:p w14:paraId="03790B96" w14:textId="77777777" w:rsidR="00266BEE" w:rsidRPr="00C72931" w:rsidRDefault="00266BEE" w:rsidP="00E82294">
            <w:pPr>
              <w:pStyle w:val="TableText"/>
              <w:jc w:val="right"/>
            </w:pPr>
            <w:r w:rsidRPr="00C72931">
              <w:t>57.9 (50.9</w:t>
            </w:r>
            <w:r w:rsidR="00E82294">
              <w:t>, </w:t>
            </w:r>
            <w:r w:rsidRPr="00C72931">
              <w:t>64.5)</w:t>
            </w:r>
          </w:p>
        </w:tc>
        <w:tc>
          <w:tcPr>
            <w:tcW w:w="408" w:type="dxa"/>
            <w:tcBorders>
              <w:bottom w:val="single" w:sz="4" w:space="0" w:color="000000"/>
            </w:tcBorders>
          </w:tcPr>
          <w:p w14:paraId="55BE23AD" w14:textId="77777777" w:rsidR="00266BEE" w:rsidRPr="00C72931" w:rsidRDefault="00266BEE" w:rsidP="00E82294">
            <w:pPr>
              <w:pStyle w:val="TableText"/>
              <w:jc w:val="right"/>
            </w:pPr>
            <w:r w:rsidRPr="00C72931">
              <w:t>434</w:t>
            </w:r>
          </w:p>
        </w:tc>
        <w:tc>
          <w:tcPr>
            <w:tcW w:w="820" w:type="dxa"/>
            <w:gridSpan w:val="2"/>
            <w:tcBorders>
              <w:bottom w:val="single" w:sz="4" w:space="0" w:color="000000"/>
            </w:tcBorders>
          </w:tcPr>
          <w:p w14:paraId="7A6B87CC" w14:textId="77777777" w:rsidR="00266BEE" w:rsidRPr="00C72931" w:rsidRDefault="00266BEE" w:rsidP="00E82294">
            <w:pPr>
              <w:pStyle w:val="TableText"/>
              <w:jc w:val="right"/>
            </w:pPr>
            <w:r w:rsidRPr="00C72931">
              <w:t>3317</w:t>
            </w:r>
          </w:p>
        </w:tc>
        <w:tc>
          <w:tcPr>
            <w:tcW w:w="994" w:type="dxa"/>
            <w:gridSpan w:val="2"/>
            <w:tcBorders>
              <w:bottom w:val="single" w:sz="4" w:space="0" w:color="000000"/>
            </w:tcBorders>
          </w:tcPr>
          <w:p w14:paraId="0A45A927" w14:textId="77777777" w:rsidR="00266BEE" w:rsidRPr="00C72931" w:rsidRDefault="00266BEE" w:rsidP="00E82294">
            <w:pPr>
              <w:pStyle w:val="TableText"/>
              <w:jc w:val="right"/>
            </w:pPr>
            <w:r w:rsidRPr="00C72931">
              <w:t>59.4 (54.9</w:t>
            </w:r>
            <w:r w:rsidR="00E82294">
              <w:t>, </w:t>
            </w:r>
            <w:r w:rsidRPr="00C72931">
              <w:t>63.7)</w:t>
            </w:r>
          </w:p>
        </w:tc>
        <w:tc>
          <w:tcPr>
            <w:tcW w:w="509" w:type="dxa"/>
            <w:tcBorders>
              <w:bottom w:val="single" w:sz="4" w:space="0" w:color="000000"/>
            </w:tcBorders>
          </w:tcPr>
          <w:p w14:paraId="2D770361" w14:textId="77777777" w:rsidR="00266BEE" w:rsidRPr="00C72931" w:rsidRDefault="00266BEE" w:rsidP="00E82294">
            <w:pPr>
              <w:pStyle w:val="TableText"/>
              <w:jc w:val="right"/>
            </w:pPr>
            <w:r w:rsidRPr="00C72931">
              <w:t>107</w:t>
            </w:r>
          </w:p>
        </w:tc>
        <w:tc>
          <w:tcPr>
            <w:tcW w:w="810" w:type="dxa"/>
            <w:tcBorders>
              <w:bottom w:val="single" w:sz="4" w:space="0" w:color="000000"/>
            </w:tcBorders>
          </w:tcPr>
          <w:p w14:paraId="49C95B48" w14:textId="77777777" w:rsidR="00266BEE" w:rsidRPr="00C72931" w:rsidRDefault="00266BEE" w:rsidP="00E82294">
            <w:pPr>
              <w:pStyle w:val="TableText"/>
              <w:jc w:val="right"/>
            </w:pPr>
            <w:r w:rsidRPr="00C72931">
              <w:t>513</w:t>
            </w:r>
          </w:p>
        </w:tc>
        <w:tc>
          <w:tcPr>
            <w:tcW w:w="903" w:type="dxa"/>
            <w:tcBorders>
              <w:bottom w:val="single" w:sz="4" w:space="0" w:color="000000"/>
            </w:tcBorders>
          </w:tcPr>
          <w:p w14:paraId="4CBFB817" w14:textId="77777777" w:rsidR="00266BEE" w:rsidRPr="00C72931" w:rsidRDefault="00266BEE" w:rsidP="00E82294">
            <w:pPr>
              <w:pStyle w:val="TableText"/>
              <w:jc w:val="right"/>
            </w:pPr>
            <w:r w:rsidRPr="00C72931">
              <w:t>64.1 (42.2</w:t>
            </w:r>
            <w:r w:rsidR="00E82294">
              <w:t>, </w:t>
            </w:r>
            <w:r w:rsidRPr="00C72931">
              <w:t>81.4)</w:t>
            </w:r>
          </w:p>
        </w:tc>
        <w:tc>
          <w:tcPr>
            <w:tcW w:w="537" w:type="dxa"/>
            <w:tcBorders>
              <w:bottom w:val="single" w:sz="4" w:space="0" w:color="000000"/>
            </w:tcBorders>
          </w:tcPr>
          <w:p w14:paraId="72062983" w14:textId="77777777" w:rsidR="00266BEE" w:rsidRPr="00C72931" w:rsidRDefault="00266BEE" w:rsidP="00E82294">
            <w:pPr>
              <w:pStyle w:val="TableText"/>
              <w:jc w:val="right"/>
            </w:pPr>
            <w:r w:rsidRPr="00C72931">
              <w:t>461</w:t>
            </w:r>
          </w:p>
        </w:tc>
        <w:tc>
          <w:tcPr>
            <w:tcW w:w="810" w:type="dxa"/>
            <w:tcBorders>
              <w:bottom w:val="single" w:sz="4" w:space="0" w:color="000000"/>
            </w:tcBorders>
          </w:tcPr>
          <w:p w14:paraId="71737AA7" w14:textId="77777777" w:rsidR="00266BEE" w:rsidRPr="00C72931" w:rsidRDefault="00266BEE" w:rsidP="00E82294">
            <w:pPr>
              <w:pStyle w:val="TableText"/>
              <w:jc w:val="right"/>
            </w:pPr>
            <w:r w:rsidRPr="00C72931">
              <w:t>4345</w:t>
            </w:r>
          </w:p>
        </w:tc>
        <w:tc>
          <w:tcPr>
            <w:tcW w:w="875" w:type="dxa"/>
            <w:tcBorders>
              <w:bottom w:val="single" w:sz="4" w:space="0" w:color="000000"/>
            </w:tcBorders>
          </w:tcPr>
          <w:p w14:paraId="76354071" w14:textId="77777777" w:rsidR="00266BEE" w:rsidRPr="00C72931" w:rsidRDefault="00266BEE" w:rsidP="00E82294">
            <w:pPr>
              <w:pStyle w:val="TableText"/>
              <w:jc w:val="right"/>
            </w:pPr>
            <w:r w:rsidRPr="00C72931">
              <w:t>70.5 (57.2</w:t>
            </w:r>
            <w:r w:rsidR="00E82294">
              <w:t>, </w:t>
            </w:r>
            <w:r w:rsidRPr="00C72931">
              <w:t>81.0)</w:t>
            </w:r>
          </w:p>
        </w:tc>
      </w:tr>
      <w:tr w:rsidR="00266BEE" w:rsidRPr="000F78B9" w14:paraId="5D62EE32" w14:textId="77777777" w:rsidTr="00E82294">
        <w:trPr>
          <w:cantSplit/>
        </w:trPr>
        <w:tc>
          <w:tcPr>
            <w:tcW w:w="2630" w:type="dxa"/>
            <w:tcBorders>
              <w:top w:val="single" w:sz="4" w:space="0" w:color="000000"/>
              <w:bottom w:val="nil"/>
            </w:tcBorders>
          </w:tcPr>
          <w:p w14:paraId="440CFE8E" w14:textId="77777777" w:rsidR="00266BEE" w:rsidRPr="00C72931" w:rsidRDefault="00266BEE" w:rsidP="00E82294">
            <w:pPr>
              <w:pStyle w:val="TableText"/>
              <w:rPr>
                <w:b/>
              </w:rPr>
            </w:pPr>
            <w:r w:rsidRPr="00C72931">
              <w:rPr>
                <w:b/>
              </w:rPr>
              <w:t xml:space="preserve">Probable </w:t>
            </w:r>
            <w:r>
              <w:rPr>
                <w:b/>
              </w:rPr>
              <w:t>g</w:t>
            </w:r>
            <w:r w:rsidRPr="00C72931">
              <w:rPr>
                <w:b/>
              </w:rPr>
              <w:t>eneralised anxiety disorder</w:t>
            </w:r>
          </w:p>
        </w:tc>
        <w:tc>
          <w:tcPr>
            <w:tcW w:w="2224" w:type="dxa"/>
            <w:gridSpan w:val="3"/>
            <w:tcBorders>
              <w:top w:val="single" w:sz="4" w:space="0" w:color="000000"/>
              <w:bottom w:val="nil"/>
            </w:tcBorders>
          </w:tcPr>
          <w:p w14:paraId="418E57B1" w14:textId="77777777" w:rsidR="00266BEE" w:rsidRPr="000F78B9" w:rsidRDefault="00266BEE" w:rsidP="00E82294">
            <w:pPr>
              <w:pStyle w:val="TableText"/>
              <w:jc w:val="center"/>
            </w:pPr>
            <w:r>
              <w:t>n</w:t>
            </w:r>
            <w:r w:rsidRPr="000F78B9">
              <w:t>=</w:t>
            </w:r>
            <w:r>
              <w:t>208</w:t>
            </w:r>
            <w:r w:rsidRPr="000F78B9">
              <w:t xml:space="preserve"> (Weighted</w:t>
            </w:r>
            <w:r>
              <w:t xml:space="preserve"> n</w:t>
            </w:r>
            <w:r w:rsidRPr="000F78B9">
              <w:t>=</w:t>
            </w:r>
            <w:r>
              <w:t>1350</w:t>
            </w:r>
            <w:r w:rsidRPr="000F78B9">
              <w:t>)</w:t>
            </w:r>
          </w:p>
        </w:tc>
        <w:tc>
          <w:tcPr>
            <w:tcW w:w="2222" w:type="dxa"/>
            <w:gridSpan w:val="5"/>
            <w:tcBorders>
              <w:top w:val="single" w:sz="4" w:space="0" w:color="000000"/>
              <w:bottom w:val="nil"/>
            </w:tcBorders>
          </w:tcPr>
          <w:p w14:paraId="0CC6ED6E" w14:textId="77777777" w:rsidR="00266BEE" w:rsidRPr="000F78B9" w:rsidRDefault="00266BEE" w:rsidP="00E82294">
            <w:pPr>
              <w:pStyle w:val="TableText"/>
              <w:jc w:val="center"/>
            </w:pPr>
            <w:r>
              <w:t>n=546</w:t>
            </w:r>
            <w:r w:rsidRPr="000F78B9">
              <w:t xml:space="preserve"> (Weighted </w:t>
            </w:r>
            <w:r>
              <w:t>n</w:t>
            </w:r>
            <w:r w:rsidRPr="000F78B9">
              <w:t>=</w:t>
            </w:r>
            <w:r>
              <w:t>4178</w:t>
            </w:r>
            <w:r w:rsidRPr="000F78B9">
              <w:t>)</w:t>
            </w:r>
          </w:p>
        </w:tc>
        <w:tc>
          <w:tcPr>
            <w:tcW w:w="2222" w:type="dxa"/>
            <w:gridSpan w:val="3"/>
            <w:tcBorders>
              <w:top w:val="single" w:sz="4" w:space="0" w:color="000000"/>
              <w:bottom w:val="nil"/>
            </w:tcBorders>
          </w:tcPr>
          <w:p w14:paraId="468F5D6B" w14:textId="77777777" w:rsidR="00266BEE" w:rsidRPr="000F78B9" w:rsidRDefault="00266BEE" w:rsidP="00E82294">
            <w:pPr>
              <w:pStyle w:val="TableText"/>
              <w:jc w:val="center"/>
            </w:pPr>
            <w:r>
              <w:t>n</w:t>
            </w:r>
            <w:r w:rsidRPr="000F78B9">
              <w:t>=</w:t>
            </w:r>
            <w:r>
              <w:t>70</w:t>
            </w:r>
            <w:r w:rsidRPr="000F78B9">
              <w:t xml:space="preserve"> (Weighted</w:t>
            </w:r>
            <w:r>
              <w:t xml:space="preserve"> n</w:t>
            </w:r>
            <w:r w:rsidRPr="000F78B9">
              <w:t>=</w:t>
            </w:r>
            <w:r>
              <w:t>886</w:t>
            </w:r>
            <w:r w:rsidRPr="000F78B9">
              <w:t>)</w:t>
            </w:r>
          </w:p>
        </w:tc>
        <w:tc>
          <w:tcPr>
            <w:tcW w:w="2222" w:type="dxa"/>
            <w:gridSpan w:val="3"/>
            <w:tcBorders>
              <w:top w:val="single" w:sz="4" w:space="0" w:color="000000"/>
              <w:bottom w:val="nil"/>
            </w:tcBorders>
          </w:tcPr>
          <w:p w14:paraId="04FF9E27" w14:textId="77777777" w:rsidR="00266BEE" w:rsidRPr="000F78B9" w:rsidRDefault="00266BEE" w:rsidP="00E82294">
            <w:pPr>
              <w:pStyle w:val="TableText"/>
              <w:jc w:val="center"/>
            </w:pPr>
            <w:r>
              <w:t>n</w:t>
            </w:r>
            <w:r w:rsidRPr="000F78B9">
              <w:t>=</w:t>
            </w:r>
            <w:r>
              <w:t xml:space="preserve">525 </w:t>
            </w:r>
            <w:r w:rsidRPr="000F78B9">
              <w:t xml:space="preserve">(Weighted </w:t>
            </w:r>
            <w:r>
              <w:t>n</w:t>
            </w:r>
            <w:r w:rsidRPr="000F78B9">
              <w:t>=</w:t>
            </w:r>
            <w:r>
              <w:t>4002</w:t>
            </w:r>
            <w:r w:rsidRPr="000F78B9">
              <w:t>)</w:t>
            </w:r>
          </w:p>
        </w:tc>
      </w:tr>
      <w:tr w:rsidR="00E82294" w:rsidRPr="000F78B9" w14:paraId="0B49C205"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3758DE90" w14:textId="77777777" w:rsidR="00266BEE" w:rsidRPr="00C72931" w:rsidRDefault="00266BEE" w:rsidP="00E82294">
            <w:pPr>
              <w:pStyle w:val="TableText"/>
            </w:pPr>
            <w:r w:rsidRPr="00C72931">
              <w:t xml:space="preserve">Used </w:t>
            </w:r>
            <w:r>
              <w:t>internet</w:t>
            </w:r>
            <w:r w:rsidRPr="00C72931">
              <w:t xml:space="preserve"> for </w:t>
            </w:r>
            <w:r>
              <w:t>m</w:t>
            </w:r>
            <w:r w:rsidRPr="00C72931">
              <w:t xml:space="preserve">ental </w:t>
            </w:r>
            <w:r>
              <w:t>h</w:t>
            </w:r>
            <w:r w:rsidRPr="00C72931">
              <w:t>ealth</w:t>
            </w:r>
          </w:p>
        </w:tc>
        <w:tc>
          <w:tcPr>
            <w:tcW w:w="455" w:type="dxa"/>
            <w:tcBorders>
              <w:top w:val="nil"/>
            </w:tcBorders>
          </w:tcPr>
          <w:p w14:paraId="675F1174" w14:textId="77777777" w:rsidR="00266BEE" w:rsidRPr="00C72931" w:rsidRDefault="00266BEE" w:rsidP="00E82294">
            <w:pPr>
              <w:pStyle w:val="TableText"/>
              <w:jc w:val="right"/>
            </w:pPr>
            <w:r w:rsidRPr="00C72931">
              <w:t>82</w:t>
            </w:r>
          </w:p>
        </w:tc>
        <w:tc>
          <w:tcPr>
            <w:tcW w:w="775" w:type="dxa"/>
            <w:tcBorders>
              <w:top w:val="nil"/>
            </w:tcBorders>
          </w:tcPr>
          <w:p w14:paraId="452D727F" w14:textId="77777777" w:rsidR="00266BEE" w:rsidRPr="00C72931" w:rsidRDefault="00266BEE" w:rsidP="00E82294">
            <w:pPr>
              <w:pStyle w:val="TableText"/>
              <w:jc w:val="right"/>
            </w:pPr>
            <w:r w:rsidRPr="00C72931">
              <w:t>501</w:t>
            </w:r>
          </w:p>
        </w:tc>
        <w:tc>
          <w:tcPr>
            <w:tcW w:w="994" w:type="dxa"/>
            <w:tcBorders>
              <w:top w:val="nil"/>
            </w:tcBorders>
          </w:tcPr>
          <w:p w14:paraId="7B8E466E" w14:textId="77777777" w:rsidR="00266BEE" w:rsidRPr="00C72931" w:rsidRDefault="00266BEE" w:rsidP="00E82294">
            <w:pPr>
              <w:pStyle w:val="TableText"/>
              <w:jc w:val="right"/>
            </w:pPr>
            <w:r w:rsidRPr="00C72931">
              <w:t>37.1 (29.8</w:t>
            </w:r>
            <w:r w:rsidR="00E82294">
              <w:t>, </w:t>
            </w:r>
            <w:r w:rsidRPr="00C72931">
              <w:t>45.1)</w:t>
            </w:r>
          </w:p>
        </w:tc>
        <w:tc>
          <w:tcPr>
            <w:tcW w:w="408" w:type="dxa"/>
            <w:tcBorders>
              <w:top w:val="nil"/>
            </w:tcBorders>
          </w:tcPr>
          <w:p w14:paraId="1C30D111" w14:textId="77777777" w:rsidR="00266BEE" w:rsidRPr="00C72931" w:rsidRDefault="00266BEE" w:rsidP="00E82294">
            <w:pPr>
              <w:pStyle w:val="TableText"/>
              <w:jc w:val="right"/>
            </w:pPr>
            <w:r w:rsidRPr="00C72931">
              <w:t>247</w:t>
            </w:r>
          </w:p>
        </w:tc>
        <w:tc>
          <w:tcPr>
            <w:tcW w:w="820" w:type="dxa"/>
            <w:gridSpan w:val="2"/>
            <w:tcBorders>
              <w:top w:val="nil"/>
            </w:tcBorders>
          </w:tcPr>
          <w:p w14:paraId="17D12A42" w14:textId="77777777" w:rsidR="00266BEE" w:rsidRPr="00C72931" w:rsidRDefault="00266BEE" w:rsidP="00E82294">
            <w:pPr>
              <w:pStyle w:val="TableText"/>
              <w:jc w:val="right"/>
            </w:pPr>
            <w:r w:rsidRPr="00C72931">
              <w:t>1757</w:t>
            </w:r>
          </w:p>
        </w:tc>
        <w:tc>
          <w:tcPr>
            <w:tcW w:w="994" w:type="dxa"/>
            <w:gridSpan w:val="2"/>
            <w:tcBorders>
              <w:top w:val="nil"/>
            </w:tcBorders>
          </w:tcPr>
          <w:p w14:paraId="4E4ED87A" w14:textId="77777777" w:rsidR="00266BEE" w:rsidRPr="00C72931" w:rsidRDefault="00266BEE" w:rsidP="00E82294">
            <w:pPr>
              <w:pStyle w:val="TableText"/>
              <w:jc w:val="right"/>
            </w:pPr>
            <w:r w:rsidRPr="00C72931">
              <w:t>42.0 (37.0</w:t>
            </w:r>
            <w:r w:rsidR="00E82294">
              <w:t>, </w:t>
            </w:r>
            <w:r w:rsidRPr="00C72931">
              <w:t>47.3)</w:t>
            </w:r>
          </w:p>
        </w:tc>
        <w:tc>
          <w:tcPr>
            <w:tcW w:w="509" w:type="dxa"/>
            <w:tcBorders>
              <w:top w:val="nil"/>
            </w:tcBorders>
          </w:tcPr>
          <w:p w14:paraId="41D3AA7E" w14:textId="77777777" w:rsidR="00266BEE" w:rsidRPr="00C72931" w:rsidRDefault="00266BEE" w:rsidP="00E82294">
            <w:pPr>
              <w:pStyle w:val="TableText"/>
              <w:jc w:val="right"/>
            </w:pPr>
            <w:r w:rsidRPr="00C72931">
              <w:t>21</w:t>
            </w:r>
          </w:p>
        </w:tc>
        <w:tc>
          <w:tcPr>
            <w:tcW w:w="810" w:type="dxa"/>
            <w:tcBorders>
              <w:top w:val="nil"/>
            </w:tcBorders>
          </w:tcPr>
          <w:p w14:paraId="70408C5F" w14:textId="77777777" w:rsidR="00266BEE" w:rsidRPr="00C72931" w:rsidRDefault="00266BEE" w:rsidP="00E82294">
            <w:pPr>
              <w:pStyle w:val="TableText"/>
              <w:jc w:val="right"/>
            </w:pPr>
            <w:r w:rsidRPr="00C72931">
              <w:t>61</w:t>
            </w:r>
          </w:p>
        </w:tc>
        <w:tc>
          <w:tcPr>
            <w:tcW w:w="903" w:type="dxa"/>
            <w:tcBorders>
              <w:top w:val="nil"/>
            </w:tcBorders>
          </w:tcPr>
          <w:p w14:paraId="7756083A" w14:textId="77777777" w:rsidR="00266BEE" w:rsidRPr="00C72931" w:rsidRDefault="00266BEE" w:rsidP="00E82294">
            <w:pPr>
              <w:pStyle w:val="TableText"/>
              <w:jc w:val="right"/>
            </w:pPr>
            <w:r w:rsidRPr="00C72931">
              <w:t>6.8 (2.7</w:t>
            </w:r>
            <w:r w:rsidR="00E82294">
              <w:t>, </w:t>
            </w:r>
            <w:r w:rsidRPr="00C72931">
              <w:t>16.3)</w:t>
            </w:r>
          </w:p>
        </w:tc>
        <w:tc>
          <w:tcPr>
            <w:tcW w:w="537" w:type="dxa"/>
            <w:tcBorders>
              <w:top w:val="nil"/>
            </w:tcBorders>
          </w:tcPr>
          <w:p w14:paraId="3A8692AE" w14:textId="77777777" w:rsidR="00266BEE" w:rsidRPr="00C72931" w:rsidRDefault="00266BEE" w:rsidP="00E82294">
            <w:pPr>
              <w:pStyle w:val="TableText"/>
              <w:jc w:val="right"/>
            </w:pPr>
            <w:r w:rsidRPr="00C72931">
              <w:t>208</w:t>
            </w:r>
          </w:p>
        </w:tc>
        <w:tc>
          <w:tcPr>
            <w:tcW w:w="810" w:type="dxa"/>
            <w:tcBorders>
              <w:top w:val="nil"/>
            </w:tcBorders>
          </w:tcPr>
          <w:p w14:paraId="57B5EF8E" w14:textId="77777777" w:rsidR="00266BEE" w:rsidRPr="00C72931" w:rsidRDefault="00266BEE" w:rsidP="00E82294">
            <w:pPr>
              <w:pStyle w:val="TableText"/>
              <w:jc w:val="right"/>
            </w:pPr>
            <w:r w:rsidRPr="00C72931">
              <w:t>1871</w:t>
            </w:r>
          </w:p>
        </w:tc>
        <w:tc>
          <w:tcPr>
            <w:tcW w:w="875" w:type="dxa"/>
            <w:tcBorders>
              <w:top w:val="nil"/>
            </w:tcBorders>
          </w:tcPr>
          <w:p w14:paraId="79B40C53" w14:textId="77777777" w:rsidR="00266BEE" w:rsidRPr="00C72931" w:rsidRDefault="00266BEE" w:rsidP="00E82294">
            <w:pPr>
              <w:pStyle w:val="TableText"/>
              <w:jc w:val="right"/>
            </w:pPr>
            <w:r w:rsidRPr="00C72931">
              <w:t>46.7 (31.7</w:t>
            </w:r>
            <w:r w:rsidR="00E82294">
              <w:t>, </w:t>
            </w:r>
            <w:r w:rsidRPr="00C72931">
              <w:t>62.4)</w:t>
            </w:r>
          </w:p>
        </w:tc>
      </w:tr>
      <w:tr w:rsidR="00E82294" w:rsidRPr="000F78B9" w14:paraId="7CD109F8" w14:textId="77777777" w:rsidTr="0062434A">
        <w:trPr>
          <w:cantSplit/>
        </w:trPr>
        <w:tc>
          <w:tcPr>
            <w:tcW w:w="2630" w:type="dxa"/>
          </w:tcPr>
          <w:p w14:paraId="27A4E2A7" w14:textId="77777777" w:rsidR="00266BEE" w:rsidRPr="00C72931" w:rsidRDefault="00266BEE" w:rsidP="00E82294">
            <w:pPr>
              <w:pStyle w:val="TableText"/>
            </w:pPr>
            <w:r w:rsidRPr="00C72931">
              <w:t xml:space="preserve">Did not use </w:t>
            </w:r>
            <w:r>
              <w:t>internet</w:t>
            </w:r>
            <w:r w:rsidRPr="00C72931">
              <w:t xml:space="preserve"> for mental health</w:t>
            </w:r>
            <w:r>
              <w:t xml:space="preserve"> </w:t>
            </w:r>
          </w:p>
        </w:tc>
        <w:tc>
          <w:tcPr>
            <w:tcW w:w="455" w:type="dxa"/>
          </w:tcPr>
          <w:p w14:paraId="7B97FA47" w14:textId="77777777" w:rsidR="00266BEE" w:rsidRPr="00C72931" w:rsidRDefault="00266BEE" w:rsidP="00E82294">
            <w:pPr>
              <w:pStyle w:val="TableText"/>
              <w:jc w:val="right"/>
            </w:pPr>
            <w:r w:rsidRPr="00C72931">
              <w:t>125</w:t>
            </w:r>
          </w:p>
        </w:tc>
        <w:tc>
          <w:tcPr>
            <w:tcW w:w="775" w:type="dxa"/>
          </w:tcPr>
          <w:p w14:paraId="10697F4A" w14:textId="77777777" w:rsidR="00266BEE" w:rsidRPr="00C72931" w:rsidRDefault="00266BEE" w:rsidP="00E82294">
            <w:pPr>
              <w:pStyle w:val="TableText"/>
              <w:jc w:val="right"/>
            </w:pPr>
            <w:r w:rsidRPr="00C72931">
              <w:t>845</w:t>
            </w:r>
          </w:p>
        </w:tc>
        <w:tc>
          <w:tcPr>
            <w:tcW w:w="994" w:type="dxa"/>
          </w:tcPr>
          <w:p w14:paraId="3A44F959" w14:textId="77777777" w:rsidR="00266BEE" w:rsidRPr="00C72931" w:rsidRDefault="00266BEE" w:rsidP="00E82294">
            <w:pPr>
              <w:pStyle w:val="TableText"/>
              <w:jc w:val="right"/>
            </w:pPr>
            <w:r w:rsidRPr="00C72931">
              <w:t>62.6 (54.6</w:t>
            </w:r>
            <w:r w:rsidR="00E82294">
              <w:t>, </w:t>
            </w:r>
            <w:r w:rsidRPr="00C72931">
              <w:t>69.9)</w:t>
            </w:r>
          </w:p>
        </w:tc>
        <w:tc>
          <w:tcPr>
            <w:tcW w:w="408" w:type="dxa"/>
          </w:tcPr>
          <w:p w14:paraId="031E9F68" w14:textId="77777777" w:rsidR="00266BEE" w:rsidRPr="00C72931" w:rsidRDefault="00266BEE" w:rsidP="00E82294">
            <w:pPr>
              <w:pStyle w:val="TableText"/>
              <w:jc w:val="right"/>
            </w:pPr>
            <w:r w:rsidRPr="00C72931">
              <w:t>297</w:t>
            </w:r>
          </w:p>
        </w:tc>
        <w:tc>
          <w:tcPr>
            <w:tcW w:w="820" w:type="dxa"/>
            <w:gridSpan w:val="2"/>
          </w:tcPr>
          <w:p w14:paraId="48D6049D" w14:textId="77777777" w:rsidR="00266BEE" w:rsidRPr="00C72931" w:rsidRDefault="00266BEE" w:rsidP="00E82294">
            <w:pPr>
              <w:pStyle w:val="TableText"/>
              <w:jc w:val="right"/>
            </w:pPr>
            <w:r w:rsidRPr="00C72931">
              <w:t>2403</w:t>
            </w:r>
          </w:p>
        </w:tc>
        <w:tc>
          <w:tcPr>
            <w:tcW w:w="994" w:type="dxa"/>
            <w:gridSpan w:val="2"/>
          </w:tcPr>
          <w:p w14:paraId="557BDED7" w14:textId="77777777" w:rsidR="00266BEE" w:rsidRPr="00C72931" w:rsidRDefault="00266BEE" w:rsidP="00E82294">
            <w:pPr>
              <w:pStyle w:val="TableText"/>
              <w:jc w:val="right"/>
            </w:pPr>
            <w:r w:rsidRPr="00C72931">
              <w:t>57.5 (52.3</w:t>
            </w:r>
            <w:r w:rsidR="00E82294">
              <w:t>, </w:t>
            </w:r>
            <w:r w:rsidRPr="00C72931">
              <w:t>62.6)</w:t>
            </w:r>
          </w:p>
        </w:tc>
        <w:tc>
          <w:tcPr>
            <w:tcW w:w="509" w:type="dxa"/>
          </w:tcPr>
          <w:p w14:paraId="0C20CCDA" w14:textId="77777777" w:rsidR="00266BEE" w:rsidRPr="00C72931" w:rsidRDefault="00266BEE" w:rsidP="00E82294">
            <w:pPr>
              <w:pStyle w:val="TableText"/>
              <w:jc w:val="right"/>
            </w:pPr>
            <w:r w:rsidRPr="00C72931">
              <w:t>46</w:t>
            </w:r>
          </w:p>
        </w:tc>
        <w:tc>
          <w:tcPr>
            <w:tcW w:w="810" w:type="dxa"/>
          </w:tcPr>
          <w:p w14:paraId="615F8C81" w14:textId="77777777" w:rsidR="00266BEE" w:rsidRPr="00C72931" w:rsidRDefault="00266BEE" w:rsidP="00E82294">
            <w:pPr>
              <w:pStyle w:val="TableText"/>
              <w:jc w:val="right"/>
            </w:pPr>
            <w:r w:rsidRPr="00C72931">
              <w:t>806</w:t>
            </w:r>
          </w:p>
        </w:tc>
        <w:tc>
          <w:tcPr>
            <w:tcW w:w="903" w:type="dxa"/>
          </w:tcPr>
          <w:p w14:paraId="299E0B61" w14:textId="77777777" w:rsidR="00266BEE" w:rsidRPr="00C72931" w:rsidRDefault="00266BEE" w:rsidP="00E82294">
            <w:pPr>
              <w:pStyle w:val="TableText"/>
              <w:jc w:val="right"/>
            </w:pPr>
            <w:r w:rsidRPr="00C72931">
              <w:t>90.9 (78.3</w:t>
            </w:r>
            <w:r w:rsidR="00E82294">
              <w:t>, </w:t>
            </w:r>
            <w:r w:rsidRPr="00C72931">
              <w:t>96.5)</w:t>
            </w:r>
          </w:p>
        </w:tc>
        <w:tc>
          <w:tcPr>
            <w:tcW w:w="537" w:type="dxa"/>
          </w:tcPr>
          <w:p w14:paraId="2F274BE6" w14:textId="77777777" w:rsidR="00266BEE" w:rsidRPr="00C72931" w:rsidRDefault="00266BEE" w:rsidP="00E82294">
            <w:pPr>
              <w:pStyle w:val="TableText"/>
              <w:jc w:val="right"/>
            </w:pPr>
            <w:r w:rsidRPr="00C72931">
              <w:t>315</w:t>
            </w:r>
          </w:p>
        </w:tc>
        <w:tc>
          <w:tcPr>
            <w:tcW w:w="810" w:type="dxa"/>
          </w:tcPr>
          <w:p w14:paraId="11979139" w14:textId="77777777" w:rsidR="00266BEE" w:rsidRPr="00C72931" w:rsidRDefault="00266BEE" w:rsidP="00E82294">
            <w:pPr>
              <w:pStyle w:val="TableText"/>
              <w:jc w:val="right"/>
            </w:pPr>
            <w:r w:rsidRPr="00C72931">
              <w:t>2121</w:t>
            </w:r>
          </w:p>
        </w:tc>
        <w:tc>
          <w:tcPr>
            <w:tcW w:w="875" w:type="dxa"/>
          </w:tcPr>
          <w:p w14:paraId="7EAAE2F0" w14:textId="77777777" w:rsidR="00266BEE" w:rsidRPr="00C72931" w:rsidRDefault="00266BEE" w:rsidP="00E82294">
            <w:pPr>
              <w:pStyle w:val="TableText"/>
              <w:jc w:val="right"/>
            </w:pPr>
            <w:r w:rsidRPr="00C72931">
              <w:t>53.0 (37.4</w:t>
            </w:r>
            <w:r w:rsidR="00E82294">
              <w:t>, </w:t>
            </w:r>
            <w:r w:rsidRPr="00C72931">
              <w:t>68.0)</w:t>
            </w:r>
          </w:p>
        </w:tc>
      </w:tr>
    </w:tbl>
    <w:p w14:paraId="7A7867CD" w14:textId="77777777" w:rsidR="00266BEE" w:rsidRPr="006A3EA0" w:rsidRDefault="00266BEE" w:rsidP="00266BEE">
      <w:pPr>
        <w:pStyle w:val="TableNotes"/>
      </w:pPr>
      <w:r>
        <w:t>Notes</w:t>
      </w:r>
    </w:p>
    <w:p w14:paraId="78331549" w14:textId="77777777" w:rsidR="00266BEE" w:rsidRPr="009344FF" w:rsidRDefault="00266BEE" w:rsidP="00266BEE">
      <w:pPr>
        <w:pStyle w:val="TableNotes"/>
      </w:pPr>
      <w:r w:rsidRPr="009344FF">
        <w:t xml:space="preserve">Denominator: </w:t>
      </w:r>
      <w:r w:rsidRPr="00847D33">
        <w:t>Transitioned and 2015 Regular ADF with a probable disorder</w:t>
      </w:r>
      <w:r>
        <w:t>.</w:t>
      </w:r>
    </w:p>
    <w:p w14:paraId="5AC48E6C" w14:textId="77777777" w:rsidR="00266BEE" w:rsidRPr="00C72931" w:rsidRDefault="00266BEE" w:rsidP="00266BEE">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4198BDA5" w14:textId="77777777" w:rsidR="00266BEE" w:rsidRDefault="00266BEE" w:rsidP="00266BEE">
      <w:pPr>
        <w:pStyle w:val="TableNotes"/>
      </w:pPr>
      <w:r>
        <w:t>95%CI = 95% confidence interval.</w:t>
      </w:r>
    </w:p>
    <w:p w14:paraId="1BB038D0" w14:textId="77777777" w:rsidR="00266BEE" w:rsidRDefault="00266BEE" w:rsidP="00266BEE">
      <w:pPr>
        <w:pStyle w:val="TableNotes"/>
        <w:rPr>
          <w:rFonts w:cs="Calibri"/>
          <w:bCs/>
          <w:color w:val="000000" w:themeColor="text1"/>
          <w:szCs w:val="14"/>
        </w:rPr>
      </w:pPr>
      <w:r>
        <w:rPr>
          <w:rFonts w:cs="Calibri"/>
          <w:bCs/>
          <w:color w:val="000000" w:themeColor="text1"/>
          <w:szCs w:val="14"/>
        </w:rPr>
        <w:t># = Cell size too small to be reported.</w:t>
      </w:r>
    </w:p>
    <w:p w14:paraId="52803D2E" w14:textId="77777777" w:rsidR="00B926FE" w:rsidRDefault="00B926FE" w:rsidP="00B926FE"/>
    <w:p w14:paraId="1CB801B4" w14:textId="77777777" w:rsidR="00B926FE" w:rsidRDefault="00B926FE" w:rsidP="00B926FE">
      <w:pPr>
        <w:sectPr w:rsidR="00B926FE" w:rsidSect="00980AE4">
          <w:footerReference w:type="even" r:id="rId116"/>
          <w:footerReference w:type="default" r:id="rId117"/>
          <w:pgSz w:w="14170" w:h="9979" w:orient="landscape" w:code="243"/>
          <w:pgMar w:top="1872" w:right="1440" w:bottom="1152" w:left="1440" w:header="576" w:footer="576" w:gutter="0"/>
          <w:cols w:space="708"/>
          <w:docGrid w:linePitch="360"/>
        </w:sectPr>
      </w:pPr>
    </w:p>
    <w:p w14:paraId="5A2610C2" w14:textId="77777777" w:rsidR="00266BEE" w:rsidRPr="00C72931" w:rsidRDefault="00266BEE" w:rsidP="00266BEE">
      <w:pPr>
        <w:pStyle w:val="Heading2"/>
        <w:numPr>
          <w:ilvl w:val="1"/>
          <w:numId w:val="1"/>
        </w:numPr>
        <w:ind w:left="720" w:hanging="720"/>
      </w:pPr>
      <w:bookmarkStart w:id="1007" w:name="_Toc509917480"/>
      <w:bookmarkStart w:id="1008" w:name="_Toc515374543"/>
      <w:bookmarkStart w:id="1009" w:name="_Toc518566441"/>
      <w:bookmarkStart w:id="1010" w:name="_Toc528932719"/>
      <w:bookmarkStart w:id="1011" w:name="_Toc531859256"/>
      <w:r w:rsidRPr="00C72931">
        <w:t xml:space="preserve">Use of </w:t>
      </w:r>
      <w:bookmarkEnd w:id="1007"/>
      <w:bookmarkEnd w:id="1008"/>
      <w:r w:rsidRPr="00C72931">
        <w:t>the ADF website</w:t>
      </w:r>
      <w:bookmarkEnd w:id="1009"/>
      <w:bookmarkEnd w:id="1010"/>
      <w:bookmarkEnd w:id="1011"/>
      <w:r w:rsidRPr="00C72931">
        <w:t xml:space="preserve"> </w:t>
      </w:r>
    </w:p>
    <w:p w14:paraId="015DCF6D" w14:textId="77777777" w:rsidR="00266BEE" w:rsidRPr="008F50E6" w:rsidRDefault="00266BEE" w:rsidP="00266BEE">
      <w:pPr>
        <w:rPr>
          <w:lang w:eastAsia="en-AU"/>
        </w:rPr>
      </w:pPr>
      <w:r>
        <w:rPr>
          <w:lang w:eastAsia="en-AU"/>
        </w:rPr>
        <w:t xml:space="preserve">The following section considers the use of the ADF website. Defence has a variety of websites and portals that support the mental health and wellbeing of the current serving ADF, including information and available programs relating to </w:t>
      </w:r>
      <w:r w:rsidRPr="00B007BE">
        <w:rPr>
          <w:lang w:eastAsia="en-AU"/>
        </w:rPr>
        <w:t xml:space="preserve">PTSD, suicide prevention, </w:t>
      </w:r>
      <w:r>
        <w:rPr>
          <w:lang w:eastAsia="en-AU"/>
        </w:rPr>
        <w:t xml:space="preserve">and </w:t>
      </w:r>
      <w:r w:rsidRPr="00B007BE">
        <w:rPr>
          <w:lang w:eastAsia="en-AU"/>
        </w:rPr>
        <w:t>alcohol, tobacco and drug use</w:t>
      </w:r>
      <w:r>
        <w:rPr>
          <w:lang w:eastAsia="en-AU"/>
        </w:rPr>
        <w:t>.</w:t>
      </w:r>
    </w:p>
    <w:p w14:paraId="06EB4020" w14:textId="77777777" w:rsidR="00266BEE" w:rsidRPr="00C72931" w:rsidRDefault="00266BEE" w:rsidP="00266BEE">
      <w:pPr>
        <w:pStyle w:val="Heading3"/>
        <w:numPr>
          <w:ilvl w:val="2"/>
          <w:numId w:val="1"/>
        </w:numPr>
      </w:pPr>
      <w:bookmarkStart w:id="1012" w:name="_Toc515374544"/>
      <w:bookmarkStart w:id="1013" w:name="_Toc518566442"/>
      <w:bookmarkStart w:id="1014" w:name="_Toc528932720"/>
      <w:bookmarkStart w:id="1015" w:name="_Toc531859257"/>
      <w:r w:rsidRPr="00C72931">
        <w:t xml:space="preserve">Probable, </w:t>
      </w:r>
      <w:r w:rsidR="007155C2">
        <w:t>subsyndromal</w:t>
      </w:r>
      <w:r w:rsidRPr="00C72931">
        <w:t xml:space="preserve"> and no disorder</w:t>
      </w:r>
      <w:bookmarkEnd w:id="1012"/>
      <w:bookmarkEnd w:id="1013"/>
      <w:bookmarkEnd w:id="1014"/>
      <w:bookmarkEnd w:id="1015"/>
    </w:p>
    <w:p w14:paraId="0A07AF98" w14:textId="77777777" w:rsidR="00266BEE" w:rsidRPr="00C72931" w:rsidRDefault="00266BEE" w:rsidP="00266BEE">
      <w:r>
        <w:t xml:space="preserve">Approximately 10–14% of Transitioned ADF with a probable disorder and 17–34% of the 2015 Regular ADF with a probable disorder reported using the ADF </w:t>
      </w:r>
      <w:r w:rsidRPr="00C72931">
        <w:t>website (</w:t>
      </w:r>
      <w:r>
        <w:t>Table </w:t>
      </w:r>
      <w:r>
        <w:rPr>
          <w:noProof/>
        </w:rPr>
        <w:t>9.5</w:t>
      </w:r>
      <w:r w:rsidRPr="00C72931">
        <w:t>).</w:t>
      </w:r>
      <w:r>
        <w:t xml:space="preserve"> </w:t>
      </w:r>
    </w:p>
    <w:p w14:paraId="63E82063" w14:textId="77777777" w:rsidR="00266BEE" w:rsidRPr="00C72931" w:rsidRDefault="00266BEE" w:rsidP="00266BEE">
      <w:pPr>
        <w:pStyle w:val="Heading4"/>
      </w:pPr>
      <w:r w:rsidRPr="00C72931">
        <w:t>PTSD</w:t>
      </w:r>
    </w:p>
    <w:p w14:paraId="5B2F6711" w14:textId="77777777" w:rsidR="00266BEE" w:rsidRDefault="00266BEE" w:rsidP="00266BEE">
      <w:r>
        <w:t xml:space="preserve">Among the Transitioned ADF with probable PTSD, </w:t>
      </w:r>
      <w:r w:rsidRPr="00B007BE">
        <w:t xml:space="preserve">14.3% reported </w:t>
      </w:r>
      <w:r>
        <w:t>having used</w:t>
      </w:r>
      <w:r w:rsidRPr="00B007BE">
        <w:t xml:space="preserve"> </w:t>
      </w:r>
      <w:r>
        <w:t>the ADF website</w:t>
      </w:r>
      <w:r w:rsidRPr="00B007BE">
        <w:t xml:space="preserve"> </w:t>
      </w:r>
      <w:r>
        <w:t xml:space="preserve">to inform/assess their mental health </w:t>
      </w:r>
      <w:r w:rsidRPr="00B007BE">
        <w:t>compared to 33.8% of 2015 Regular ADF</w:t>
      </w:r>
      <w:r>
        <w:t xml:space="preserve"> with probable PTSD</w:t>
      </w:r>
      <w:r w:rsidRPr="00B007BE">
        <w:t xml:space="preserve">. Among those with </w:t>
      </w:r>
      <w:r w:rsidR="007155C2">
        <w:rPr>
          <w:rFonts w:asciiTheme="minorHAnsi" w:hAnsiTheme="minorHAnsi"/>
          <w:szCs w:val="22"/>
        </w:rPr>
        <w:t>subsyndromal</w:t>
      </w:r>
      <w:r w:rsidRPr="00B007BE">
        <w:t xml:space="preserve"> PTSD symptoms, 11.5% of the Transitioned ADF and 19.3% of the 2015 </w:t>
      </w:r>
      <w:r>
        <w:t>R</w:t>
      </w:r>
      <w:r w:rsidRPr="00B007BE">
        <w:t xml:space="preserve">egular ADF reported using </w:t>
      </w:r>
      <w:r>
        <w:t>the ADF website. Both Transitioned and 2015 Regular ADF members with a probable disorder (14.3% and 33.8% respectively) were more likely to report using the ADF website to inform/assess their mental health in the last 12 months than those with no disorder (8.5% and 12.6% respectively).</w:t>
      </w:r>
    </w:p>
    <w:p w14:paraId="4491EB51" w14:textId="77777777" w:rsidR="00266BEE" w:rsidRPr="00C72931" w:rsidRDefault="00266BEE" w:rsidP="00266BEE">
      <w:pPr>
        <w:pStyle w:val="Heading4"/>
      </w:pPr>
      <w:r w:rsidRPr="00C72931">
        <w:t>Anxiety/depression</w:t>
      </w:r>
      <w:r>
        <w:t xml:space="preserve"> </w:t>
      </w:r>
      <w:r w:rsidRPr="00C72931">
        <w:t>(K10)</w:t>
      </w:r>
    </w:p>
    <w:p w14:paraId="2CFD4ABC" w14:textId="77777777" w:rsidR="00266BEE" w:rsidRDefault="00266BEE" w:rsidP="00266BEE">
      <w:r>
        <w:t xml:space="preserve">Transitioned ADF with probable anxiety/depression (11.5%) and </w:t>
      </w:r>
      <w:r w:rsidR="007155C2">
        <w:t>subsyndromal</w:t>
      </w:r>
      <w:r>
        <w:t xml:space="preserve"> anxiety/depression (13.8%) were more likely to use the ADF website to inform/assess mental health compared to Transitioned ADF with no </w:t>
      </w:r>
      <w:r w:rsidRPr="00B007BE">
        <w:t xml:space="preserve">probable </w:t>
      </w:r>
      <w:r>
        <w:t xml:space="preserve">anxiety/depression (7.7%). Although there were no differences between the 2015 Regular ADF with probable, </w:t>
      </w:r>
      <w:r w:rsidR="007155C2">
        <w:t>subsyndromal</w:t>
      </w:r>
      <w:r>
        <w:t xml:space="preserve"> and no anxiety/depression, the 2015 Regular ADF with no disorder (12.9%) were more likely to use the ADF website to inform/assess their mental health than the Transitioned ADF with no anxiety/depression (7.7%). </w:t>
      </w:r>
    </w:p>
    <w:p w14:paraId="0C28CCA4" w14:textId="77777777" w:rsidR="00266BEE" w:rsidRPr="00C72931" w:rsidRDefault="00266BEE" w:rsidP="00266BEE">
      <w:pPr>
        <w:pStyle w:val="Heading4"/>
      </w:pPr>
      <w:r w:rsidRPr="00C72931">
        <w:t>Alcohol consumption and disorder</w:t>
      </w:r>
    </w:p>
    <w:p w14:paraId="143F67DA" w14:textId="77777777" w:rsidR="00266BEE" w:rsidRDefault="00266BEE" w:rsidP="00266BEE">
      <w:pPr>
        <w:rPr>
          <w:rFonts w:asciiTheme="minorHAnsi" w:hAnsiTheme="minorHAnsi"/>
          <w:szCs w:val="22"/>
        </w:rPr>
      </w:pPr>
      <w:r>
        <w:t xml:space="preserve">Among the Transitioned and 2015 Regular ADF there was no difference in the proportion of individuals who used the ADF website according to probable alcohol disorder status. </w:t>
      </w:r>
      <w:r>
        <w:rPr>
          <w:rFonts w:asciiTheme="minorHAnsi" w:hAnsiTheme="minorHAnsi"/>
          <w:szCs w:val="22"/>
        </w:rPr>
        <w:t xml:space="preserve">Almost 11% of </w:t>
      </w:r>
      <w:r w:rsidRPr="00B007BE">
        <w:rPr>
          <w:rFonts w:asciiTheme="minorHAnsi" w:hAnsiTheme="minorHAnsi"/>
          <w:szCs w:val="22"/>
        </w:rPr>
        <w:t xml:space="preserve">Transitioned ADF with a probable alcohol disorder </w:t>
      </w:r>
      <w:r>
        <w:rPr>
          <w:rFonts w:asciiTheme="minorHAnsi" w:hAnsiTheme="minorHAnsi"/>
          <w:szCs w:val="22"/>
        </w:rPr>
        <w:t xml:space="preserve">used the ADF website compared to </w:t>
      </w:r>
      <w:r w:rsidRPr="00183000">
        <w:rPr>
          <w:rFonts w:asciiTheme="minorHAnsi" w:hAnsiTheme="minorHAnsi"/>
          <w:szCs w:val="22"/>
        </w:rPr>
        <w:t>33.8% of the 2015 Regular ADF with a probable 30</w:t>
      </w:r>
      <w:r>
        <w:rPr>
          <w:rFonts w:asciiTheme="minorHAnsi" w:hAnsiTheme="minorHAnsi"/>
          <w:szCs w:val="22"/>
        </w:rPr>
        <w:t>-</w:t>
      </w:r>
      <w:r w:rsidRPr="00183000">
        <w:rPr>
          <w:rFonts w:asciiTheme="minorHAnsi" w:hAnsiTheme="minorHAnsi"/>
          <w:szCs w:val="22"/>
        </w:rPr>
        <w:t>day alcohol disorder</w:t>
      </w:r>
      <w:r>
        <w:rPr>
          <w:rFonts w:asciiTheme="minorHAnsi" w:hAnsiTheme="minorHAnsi"/>
          <w:szCs w:val="22"/>
        </w:rPr>
        <w:t>. A marginally higher proportion of the 2015 Regular ADF with no alcohol disorder (14.5%) reported using the ADF website compared to the Transitioned ADF with no alcohol disorder (9.7%).</w:t>
      </w:r>
    </w:p>
    <w:p w14:paraId="5F7FD97B" w14:textId="77777777" w:rsidR="00B926FE" w:rsidRDefault="00B926FE" w:rsidP="00B926FE"/>
    <w:p w14:paraId="46C721DE" w14:textId="77777777" w:rsidR="00266BEE" w:rsidRDefault="00266BEE" w:rsidP="00B926FE">
      <w:pPr>
        <w:sectPr w:rsidR="00266BEE" w:rsidSect="00463E44">
          <w:footerReference w:type="even" r:id="rId118"/>
          <w:footerReference w:type="default" r:id="rId119"/>
          <w:pgSz w:w="9979" w:h="14170" w:code="243"/>
          <w:pgMar w:top="1440" w:right="1152" w:bottom="1440" w:left="1728" w:header="576" w:footer="576" w:gutter="0"/>
          <w:cols w:space="708"/>
          <w:docGrid w:linePitch="360"/>
        </w:sectPr>
      </w:pPr>
    </w:p>
    <w:p w14:paraId="606B27D9" w14:textId="77777777" w:rsidR="007123C7" w:rsidRDefault="007123C7" w:rsidP="007123C7">
      <w:pPr>
        <w:pStyle w:val="TableName"/>
      </w:pPr>
      <w:bookmarkStart w:id="1016" w:name="_Toc531858035"/>
      <w:bookmarkStart w:id="1017" w:name="_Ref509920809"/>
      <w:bookmarkStart w:id="1018" w:name="_Toc509922904"/>
      <w:bookmarkStart w:id="1019" w:name="_Toc515374680"/>
      <w:bookmarkStart w:id="1020" w:name="_Toc528932356"/>
      <w:r>
        <w:t xml:space="preserve">Table </w:t>
      </w:r>
      <w:r>
        <w:rPr>
          <w:noProof/>
        </w:rPr>
        <w:t>9</w:t>
      </w:r>
      <w:r>
        <w:t>.</w:t>
      </w:r>
      <w:r>
        <w:rPr>
          <w:noProof/>
        </w:rPr>
        <w:t>5</w:t>
      </w:r>
      <w:r>
        <w:tab/>
      </w:r>
      <w:r w:rsidRPr="002609A7">
        <w:t xml:space="preserve">Estimated proportion of Transitioned ADF and 2015 Regular ADF meeting criteria for key mental health outcomes </w:t>
      </w:r>
      <w:r>
        <w:t xml:space="preserve">who reported using the ADF website </w:t>
      </w:r>
      <w:r w:rsidRPr="002609A7">
        <w:t>to inform/assess their mental health</w:t>
      </w:r>
      <w:bookmarkEnd w:id="1016"/>
    </w:p>
    <w:bookmarkEnd w:id="1017"/>
    <w:bookmarkEnd w:id="1018"/>
    <w:bookmarkEnd w:id="1019"/>
    <w:bookmarkEnd w:id="1020"/>
    <w:tbl>
      <w:tblPr>
        <w:tblStyle w:val="TWRPTable"/>
        <w:tblW w:w="5000" w:type="pct"/>
        <w:tblLayout w:type="fixed"/>
        <w:tblCellMar>
          <w:left w:w="115" w:type="dxa"/>
          <w:right w:w="115" w:type="dxa"/>
        </w:tblCellMar>
        <w:tblLook w:val="0000" w:firstRow="0" w:lastRow="0" w:firstColumn="0" w:lastColumn="0" w:noHBand="0" w:noVBand="0"/>
        <w:tblDescription w:val="Table 9.5 Estimated proportion of Transitioned ADF and 2015 Regular ADF meeting criteria for key mental health outcomes who reported using the ADF website to inform/assess their mental health"/>
      </w:tblPr>
      <w:tblGrid>
        <w:gridCol w:w="2443"/>
        <w:gridCol w:w="490"/>
        <w:gridCol w:w="794"/>
        <w:gridCol w:w="916"/>
        <w:gridCol w:w="492"/>
        <w:gridCol w:w="794"/>
        <w:gridCol w:w="828"/>
        <w:gridCol w:w="494"/>
        <w:gridCol w:w="792"/>
        <w:gridCol w:w="893"/>
        <w:gridCol w:w="519"/>
        <w:gridCol w:w="792"/>
        <w:gridCol w:w="1033"/>
      </w:tblGrid>
      <w:tr w:rsidR="007123C7" w:rsidRPr="001F3926" w14:paraId="1B9FDAA3" w14:textId="77777777" w:rsidTr="0062434A">
        <w:trPr>
          <w:cantSplit/>
          <w:tblHeader/>
        </w:trPr>
        <w:tc>
          <w:tcPr>
            <w:tcW w:w="1083" w:type="pct"/>
            <w:tcBorders>
              <w:top w:val="single" w:sz="4" w:space="0" w:color="000000"/>
              <w:bottom w:val="nil"/>
            </w:tcBorders>
          </w:tcPr>
          <w:p w14:paraId="09E4A6BF" w14:textId="77777777" w:rsidR="007123C7" w:rsidRPr="001F3926" w:rsidRDefault="007123C7" w:rsidP="00E82294">
            <w:pPr>
              <w:pStyle w:val="TableText"/>
            </w:pPr>
          </w:p>
        </w:tc>
        <w:tc>
          <w:tcPr>
            <w:tcW w:w="1912" w:type="pct"/>
            <w:gridSpan w:val="6"/>
            <w:tcBorders>
              <w:top w:val="single" w:sz="4" w:space="0" w:color="000000"/>
              <w:bottom w:val="single" w:sz="4" w:space="0" w:color="000000"/>
            </w:tcBorders>
          </w:tcPr>
          <w:p w14:paraId="23DDAAFB" w14:textId="77777777" w:rsidR="007123C7" w:rsidRPr="001F3926" w:rsidRDefault="007123C7" w:rsidP="0062434A">
            <w:pPr>
              <w:pStyle w:val="TableText"/>
              <w:jc w:val="center"/>
              <w:rPr>
                <w:b/>
              </w:rPr>
            </w:pPr>
            <w:r w:rsidRPr="001F3926">
              <w:rPr>
                <w:b/>
                <w:bCs/>
              </w:rPr>
              <w:t>Transitioned ADF</w:t>
            </w:r>
            <w:r w:rsidR="0062434A" w:rsidRPr="001F3926">
              <w:rPr>
                <w:b/>
                <w:bCs/>
              </w:rPr>
              <w:br/>
            </w:r>
            <w:r w:rsidRPr="001F3926">
              <w:rPr>
                <w:b/>
                <w:bCs/>
              </w:rPr>
              <w:t>n=24935</w:t>
            </w:r>
          </w:p>
        </w:tc>
        <w:tc>
          <w:tcPr>
            <w:tcW w:w="2005" w:type="pct"/>
            <w:gridSpan w:val="6"/>
            <w:tcBorders>
              <w:top w:val="single" w:sz="4" w:space="0" w:color="000000"/>
              <w:bottom w:val="single" w:sz="4" w:space="0" w:color="000000"/>
            </w:tcBorders>
          </w:tcPr>
          <w:p w14:paraId="09F51E80" w14:textId="77777777" w:rsidR="007123C7" w:rsidRPr="001F3926" w:rsidRDefault="007123C7" w:rsidP="0062434A">
            <w:pPr>
              <w:pStyle w:val="TableText"/>
              <w:jc w:val="center"/>
              <w:rPr>
                <w:b/>
              </w:rPr>
            </w:pPr>
            <w:r w:rsidRPr="001F3926">
              <w:rPr>
                <w:b/>
                <w:bCs/>
              </w:rPr>
              <w:t>2015 Regular ADF</w:t>
            </w:r>
            <w:r w:rsidR="0062434A" w:rsidRPr="001F3926">
              <w:rPr>
                <w:b/>
                <w:bCs/>
              </w:rPr>
              <w:br/>
            </w:r>
            <w:r w:rsidRPr="001F3926">
              <w:rPr>
                <w:b/>
                <w:bCs/>
              </w:rPr>
              <w:t>n=52500</w:t>
            </w:r>
          </w:p>
        </w:tc>
      </w:tr>
      <w:tr w:rsidR="007123C7" w:rsidRPr="001F3926" w14:paraId="04F99620" w14:textId="77777777" w:rsidTr="0062434A">
        <w:trPr>
          <w:cantSplit/>
          <w:tblHeader/>
        </w:trPr>
        <w:tc>
          <w:tcPr>
            <w:tcW w:w="1083" w:type="pct"/>
            <w:tcBorders>
              <w:top w:val="nil"/>
              <w:bottom w:val="nil"/>
            </w:tcBorders>
          </w:tcPr>
          <w:p w14:paraId="5E93534A" w14:textId="77777777" w:rsidR="007123C7" w:rsidRPr="001F3926" w:rsidRDefault="007123C7" w:rsidP="00E82294">
            <w:pPr>
              <w:pStyle w:val="TableText"/>
            </w:pPr>
          </w:p>
        </w:tc>
        <w:tc>
          <w:tcPr>
            <w:tcW w:w="975" w:type="pct"/>
            <w:gridSpan w:val="3"/>
            <w:tcBorders>
              <w:top w:val="single" w:sz="4" w:space="0" w:color="000000"/>
              <w:bottom w:val="single" w:sz="4" w:space="0" w:color="000000"/>
            </w:tcBorders>
          </w:tcPr>
          <w:p w14:paraId="54EF20F0" w14:textId="77777777" w:rsidR="007123C7" w:rsidRPr="001F3926" w:rsidRDefault="007123C7" w:rsidP="00E82294">
            <w:pPr>
              <w:pStyle w:val="TableText"/>
              <w:jc w:val="center"/>
              <w:rPr>
                <w:b/>
                <w:lang w:val="pt-BR"/>
              </w:rPr>
            </w:pPr>
            <w:r w:rsidRPr="001F3926">
              <w:rPr>
                <w:b/>
                <w:lang w:val="pt-BR"/>
              </w:rPr>
              <w:t>No – Use ADF Website</w:t>
            </w:r>
            <w:r w:rsidRPr="001F3926">
              <w:rPr>
                <w:b/>
                <w:lang w:val="pt-BR"/>
              </w:rPr>
              <w:br/>
              <w:t>n=22,427</w:t>
            </w:r>
          </w:p>
        </w:tc>
        <w:tc>
          <w:tcPr>
            <w:tcW w:w="937" w:type="pct"/>
            <w:gridSpan w:val="3"/>
            <w:tcBorders>
              <w:top w:val="single" w:sz="4" w:space="0" w:color="000000"/>
              <w:bottom w:val="single" w:sz="4" w:space="0" w:color="000000"/>
            </w:tcBorders>
          </w:tcPr>
          <w:p w14:paraId="74CF75F8" w14:textId="77777777" w:rsidR="007123C7" w:rsidRPr="001F3926" w:rsidRDefault="007123C7" w:rsidP="0062434A">
            <w:pPr>
              <w:pStyle w:val="TableText"/>
              <w:jc w:val="center"/>
              <w:rPr>
                <w:b/>
              </w:rPr>
            </w:pPr>
            <w:r w:rsidRPr="001F3926">
              <w:rPr>
                <w:b/>
              </w:rPr>
              <w:t>Yes –Use ADF Website</w:t>
            </w:r>
            <w:r w:rsidR="0062434A" w:rsidRPr="001F3926">
              <w:rPr>
                <w:b/>
              </w:rPr>
              <w:br/>
            </w:r>
            <w:r w:rsidRPr="001F3926">
              <w:rPr>
                <w:b/>
              </w:rPr>
              <w:t>n=2505</w:t>
            </w:r>
          </w:p>
        </w:tc>
        <w:tc>
          <w:tcPr>
            <w:tcW w:w="966" w:type="pct"/>
            <w:gridSpan w:val="3"/>
            <w:tcBorders>
              <w:top w:val="single" w:sz="4" w:space="0" w:color="000000"/>
              <w:bottom w:val="single" w:sz="4" w:space="0" w:color="000000"/>
            </w:tcBorders>
          </w:tcPr>
          <w:p w14:paraId="55EDA2AE" w14:textId="77777777" w:rsidR="007123C7" w:rsidRPr="001F3926" w:rsidRDefault="007123C7" w:rsidP="00E82294">
            <w:pPr>
              <w:pStyle w:val="TableText"/>
              <w:jc w:val="center"/>
              <w:rPr>
                <w:b/>
                <w:lang w:val="pt-BR"/>
              </w:rPr>
            </w:pPr>
            <w:r w:rsidRPr="001F3926">
              <w:rPr>
                <w:b/>
                <w:lang w:val="pt-BR"/>
              </w:rPr>
              <w:t>No – Use ADF Website</w:t>
            </w:r>
            <w:r w:rsidRPr="001F3926">
              <w:rPr>
                <w:b/>
                <w:lang w:val="pt-BR"/>
              </w:rPr>
              <w:br/>
              <w:t>n=44,923</w:t>
            </w:r>
          </w:p>
        </w:tc>
        <w:tc>
          <w:tcPr>
            <w:tcW w:w="1039" w:type="pct"/>
            <w:gridSpan w:val="3"/>
            <w:tcBorders>
              <w:top w:val="single" w:sz="4" w:space="0" w:color="000000"/>
              <w:bottom w:val="single" w:sz="4" w:space="0" w:color="000000"/>
            </w:tcBorders>
          </w:tcPr>
          <w:p w14:paraId="1886C328" w14:textId="77777777" w:rsidR="007123C7" w:rsidRPr="001F3926" w:rsidRDefault="007123C7" w:rsidP="00E82294">
            <w:pPr>
              <w:pStyle w:val="TableText"/>
              <w:jc w:val="center"/>
              <w:rPr>
                <w:b/>
              </w:rPr>
            </w:pPr>
            <w:r w:rsidRPr="001F3926">
              <w:rPr>
                <w:b/>
              </w:rPr>
              <w:t>Yes – Use ADF Website</w:t>
            </w:r>
            <w:r w:rsidRPr="001F3926">
              <w:rPr>
                <w:b/>
              </w:rPr>
              <w:br/>
              <w:t>n=7577</w:t>
            </w:r>
          </w:p>
        </w:tc>
      </w:tr>
      <w:tr w:rsidR="0062434A" w:rsidRPr="001F3926" w14:paraId="19F608F6" w14:textId="77777777" w:rsidTr="00EF7D7F">
        <w:trPr>
          <w:cantSplit/>
          <w:tblHeader/>
        </w:trPr>
        <w:tc>
          <w:tcPr>
            <w:tcW w:w="1083" w:type="pct"/>
            <w:tcBorders>
              <w:top w:val="nil"/>
              <w:bottom w:val="single" w:sz="4" w:space="0" w:color="000000"/>
            </w:tcBorders>
          </w:tcPr>
          <w:p w14:paraId="7600ECC3" w14:textId="77777777" w:rsidR="007123C7" w:rsidRPr="001F3926" w:rsidRDefault="007123C7" w:rsidP="00E82294">
            <w:pPr>
              <w:pStyle w:val="TableText"/>
            </w:pPr>
          </w:p>
        </w:tc>
        <w:tc>
          <w:tcPr>
            <w:tcW w:w="217" w:type="pct"/>
            <w:tcBorders>
              <w:top w:val="single" w:sz="4" w:space="0" w:color="000000"/>
              <w:bottom w:val="single" w:sz="4" w:space="0" w:color="000000"/>
            </w:tcBorders>
            <w:vAlign w:val="bottom"/>
          </w:tcPr>
          <w:p w14:paraId="1C87FC50" w14:textId="77777777" w:rsidR="007123C7" w:rsidRPr="001F3926" w:rsidRDefault="007123C7" w:rsidP="00EF7D7F">
            <w:pPr>
              <w:pStyle w:val="TableText"/>
              <w:jc w:val="right"/>
              <w:rPr>
                <w:b/>
              </w:rPr>
            </w:pPr>
            <w:r w:rsidRPr="001F3926">
              <w:rPr>
                <w:b/>
              </w:rPr>
              <w:t>n</w:t>
            </w:r>
          </w:p>
        </w:tc>
        <w:tc>
          <w:tcPr>
            <w:tcW w:w="352" w:type="pct"/>
            <w:tcBorders>
              <w:top w:val="single" w:sz="4" w:space="0" w:color="000000"/>
              <w:bottom w:val="single" w:sz="4" w:space="0" w:color="000000"/>
            </w:tcBorders>
            <w:vAlign w:val="bottom"/>
          </w:tcPr>
          <w:p w14:paraId="27E74C20" w14:textId="77777777" w:rsidR="007123C7" w:rsidRPr="001F3926" w:rsidRDefault="007123C7" w:rsidP="00EF7D7F">
            <w:pPr>
              <w:pStyle w:val="TableText"/>
              <w:jc w:val="right"/>
              <w:rPr>
                <w:b/>
              </w:rPr>
            </w:pPr>
            <w:r w:rsidRPr="001F3926">
              <w:rPr>
                <w:b/>
              </w:rPr>
              <w:t>Weighted n</w:t>
            </w:r>
          </w:p>
        </w:tc>
        <w:tc>
          <w:tcPr>
            <w:tcW w:w="406" w:type="pct"/>
            <w:tcBorders>
              <w:top w:val="single" w:sz="4" w:space="0" w:color="000000"/>
              <w:bottom w:val="single" w:sz="4" w:space="0" w:color="000000"/>
            </w:tcBorders>
            <w:vAlign w:val="bottom"/>
          </w:tcPr>
          <w:p w14:paraId="6F6030E7" w14:textId="77777777" w:rsidR="007123C7" w:rsidRPr="001F3926" w:rsidRDefault="007123C7" w:rsidP="00EF7D7F">
            <w:pPr>
              <w:pStyle w:val="TableText"/>
              <w:jc w:val="right"/>
              <w:rPr>
                <w:b/>
              </w:rPr>
            </w:pPr>
            <w:r w:rsidRPr="001F3926">
              <w:rPr>
                <w:b/>
              </w:rPr>
              <w:t>% (95%CI)</w:t>
            </w:r>
          </w:p>
        </w:tc>
        <w:tc>
          <w:tcPr>
            <w:tcW w:w="218" w:type="pct"/>
            <w:tcBorders>
              <w:top w:val="single" w:sz="4" w:space="0" w:color="000000"/>
              <w:bottom w:val="single" w:sz="4" w:space="0" w:color="000000"/>
            </w:tcBorders>
            <w:vAlign w:val="bottom"/>
          </w:tcPr>
          <w:p w14:paraId="5841007B" w14:textId="77777777" w:rsidR="007123C7" w:rsidRPr="001F3926" w:rsidRDefault="007123C7" w:rsidP="00EF7D7F">
            <w:pPr>
              <w:pStyle w:val="TableText"/>
              <w:jc w:val="right"/>
              <w:rPr>
                <w:b/>
              </w:rPr>
            </w:pPr>
            <w:r w:rsidRPr="001F3926">
              <w:rPr>
                <w:b/>
              </w:rPr>
              <w:t>n</w:t>
            </w:r>
          </w:p>
        </w:tc>
        <w:tc>
          <w:tcPr>
            <w:tcW w:w="352" w:type="pct"/>
            <w:tcBorders>
              <w:top w:val="single" w:sz="4" w:space="0" w:color="000000"/>
              <w:bottom w:val="single" w:sz="4" w:space="0" w:color="000000"/>
            </w:tcBorders>
            <w:vAlign w:val="bottom"/>
          </w:tcPr>
          <w:p w14:paraId="50BC648C" w14:textId="77777777" w:rsidR="007123C7" w:rsidRPr="001F3926" w:rsidRDefault="007123C7" w:rsidP="00EF7D7F">
            <w:pPr>
              <w:pStyle w:val="TableText"/>
              <w:jc w:val="right"/>
              <w:rPr>
                <w:b/>
              </w:rPr>
            </w:pPr>
            <w:r w:rsidRPr="001F3926">
              <w:rPr>
                <w:b/>
              </w:rPr>
              <w:t>Weighted n</w:t>
            </w:r>
          </w:p>
        </w:tc>
        <w:tc>
          <w:tcPr>
            <w:tcW w:w="367" w:type="pct"/>
            <w:tcBorders>
              <w:top w:val="single" w:sz="4" w:space="0" w:color="000000"/>
              <w:bottom w:val="single" w:sz="4" w:space="0" w:color="000000"/>
            </w:tcBorders>
            <w:vAlign w:val="bottom"/>
          </w:tcPr>
          <w:p w14:paraId="666A1DFB" w14:textId="77777777" w:rsidR="007123C7" w:rsidRPr="001F3926" w:rsidRDefault="007123C7" w:rsidP="00EF7D7F">
            <w:pPr>
              <w:pStyle w:val="TableText"/>
              <w:jc w:val="right"/>
              <w:rPr>
                <w:b/>
              </w:rPr>
            </w:pPr>
            <w:r w:rsidRPr="001F3926">
              <w:rPr>
                <w:b/>
              </w:rPr>
              <w:t>% (95%CI)</w:t>
            </w:r>
          </w:p>
        </w:tc>
        <w:tc>
          <w:tcPr>
            <w:tcW w:w="219" w:type="pct"/>
            <w:tcBorders>
              <w:top w:val="single" w:sz="4" w:space="0" w:color="000000"/>
              <w:bottom w:val="single" w:sz="4" w:space="0" w:color="000000"/>
            </w:tcBorders>
            <w:vAlign w:val="bottom"/>
          </w:tcPr>
          <w:p w14:paraId="100D1F32" w14:textId="77777777" w:rsidR="007123C7" w:rsidRPr="001F3926" w:rsidRDefault="007123C7" w:rsidP="00EF7D7F">
            <w:pPr>
              <w:pStyle w:val="TableText"/>
              <w:jc w:val="right"/>
              <w:rPr>
                <w:b/>
              </w:rPr>
            </w:pPr>
            <w:r w:rsidRPr="001F3926">
              <w:rPr>
                <w:b/>
              </w:rPr>
              <w:t>n</w:t>
            </w:r>
          </w:p>
        </w:tc>
        <w:tc>
          <w:tcPr>
            <w:tcW w:w="351" w:type="pct"/>
            <w:tcBorders>
              <w:top w:val="single" w:sz="4" w:space="0" w:color="000000"/>
              <w:bottom w:val="single" w:sz="4" w:space="0" w:color="000000"/>
            </w:tcBorders>
            <w:vAlign w:val="bottom"/>
          </w:tcPr>
          <w:p w14:paraId="6272820D" w14:textId="77777777" w:rsidR="007123C7" w:rsidRPr="001F3926" w:rsidRDefault="007123C7" w:rsidP="00EF7D7F">
            <w:pPr>
              <w:pStyle w:val="TableText"/>
              <w:jc w:val="right"/>
              <w:rPr>
                <w:b/>
              </w:rPr>
            </w:pPr>
            <w:r w:rsidRPr="001F3926">
              <w:rPr>
                <w:b/>
              </w:rPr>
              <w:t>Weighted n</w:t>
            </w:r>
          </w:p>
        </w:tc>
        <w:tc>
          <w:tcPr>
            <w:tcW w:w="396" w:type="pct"/>
            <w:tcBorders>
              <w:top w:val="single" w:sz="4" w:space="0" w:color="000000"/>
              <w:bottom w:val="single" w:sz="4" w:space="0" w:color="000000"/>
            </w:tcBorders>
            <w:vAlign w:val="bottom"/>
          </w:tcPr>
          <w:p w14:paraId="5DF41219" w14:textId="77777777" w:rsidR="007123C7" w:rsidRPr="001F3926" w:rsidRDefault="007123C7" w:rsidP="00EF7D7F">
            <w:pPr>
              <w:pStyle w:val="TableText"/>
              <w:jc w:val="right"/>
              <w:rPr>
                <w:b/>
              </w:rPr>
            </w:pPr>
            <w:r w:rsidRPr="001F3926">
              <w:rPr>
                <w:b/>
              </w:rPr>
              <w:t>% (95%CI)</w:t>
            </w:r>
          </w:p>
        </w:tc>
        <w:tc>
          <w:tcPr>
            <w:tcW w:w="230" w:type="pct"/>
            <w:tcBorders>
              <w:top w:val="single" w:sz="4" w:space="0" w:color="000000"/>
              <w:bottom w:val="single" w:sz="4" w:space="0" w:color="000000"/>
            </w:tcBorders>
            <w:vAlign w:val="bottom"/>
          </w:tcPr>
          <w:p w14:paraId="77674011" w14:textId="77777777" w:rsidR="007123C7" w:rsidRPr="001F3926" w:rsidRDefault="007123C7" w:rsidP="00EF7D7F">
            <w:pPr>
              <w:pStyle w:val="TableText"/>
              <w:jc w:val="right"/>
              <w:rPr>
                <w:b/>
              </w:rPr>
            </w:pPr>
            <w:r w:rsidRPr="001F3926">
              <w:rPr>
                <w:b/>
              </w:rPr>
              <w:t>n</w:t>
            </w:r>
          </w:p>
        </w:tc>
        <w:tc>
          <w:tcPr>
            <w:tcW w:w="351" w:type="pct"/>
            <w:tcBorders>
              <w:top w:val="single" w:sz="4" w:space="0" w:color="000000"/>
              <w:bottom w:val="single" w:sz="4" w:space="0" w:color="000000"/>
            </w:tcBorders>
            <w:vAlign w:val="bottom"/>
          </w:tcPr>
          <w:p w14:paraId="4F11B719" w14:textId="77777777" w:rsidR="007123C7" w:rsidRPr="001F3926" w:rsidRDefault="007123C7" w:rsidP="00EF7D7F">
            <w:pPr>
              <w:pStyle w:val="TableText"/>
              <w:jc w:val="right"/>
              <w:rPr>
                <w:b/>
              </w:rPr>
            </w:pPr>
            <w:r w:rsidRPr="001F3926">
              <w:rPr>
                <w:b/>
              </w:rPr>
              <w:t>Weighted n</w:t>
            </w:r>
          </w:p>
        </w:tc>
        <w:tc>
          <w:tcPr>
            <w:tcW w:w="458" w:type="pct"/>
            <w:tcBorders>
              <w:top w:val="single" w:sz="4" w:space="0" w:color="000000"/>
              <w:bottom w:val="single" w:sz="4" w:space="0" w:color="000000"/>
            </w:tcBorders>
            <w:vAlign w:val="bottom"/>
          </w:tcPr>
          <w:p w14:paraId="75AA1BB6" w14:textId="77777777" w:rsidR="007123C7" w:rsidRPr="001F3926" w:rsidRDefault="007123C7" w:rsidP="00EF7D7F">
            <w:pPr>
              <w:pStyle w:val="TableText"/>
              <w:jc w:val="right"/>
              <w:rPr>
                <w:b/>
              </w:rPr>
            </w:pPr>
            <w:r w:rsidRPr="001F3926">
              <w:rPr>
                <w:b/>
              </w:rPr>
              <w:t>% (95%CI)</w:t>
            </w:r>
          </w:p>
        </w:tc>
      </w:tr>
      <w:tr w:rsidR="0062434A" w:rsidRPr="001F3926" w14:paraId="37E3C9E6"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Borders>
              <w:top w:val="single" w:sz="4" w:space="0" w:color="000000"/>
            </w:tcBorders>
          </w:tcPr>
          <w:p w14:paraId="0EC271F4" w14:textId="77777777" w:rsidR="007123C7" w:rsidRPr="001F3926" w:rsidRDefault="007123C7" w:rsidP="00E82294">
            <w:pPr>
              <w:pStyle w:val="TableText"/>
              <w:rPr>
                <w:b/>
              </w:rPr>
            </w:pPr>
            <w:r w:rsidRPr="001F3926">
              <w:rPr>
                <w:b/>
              </w:rPr>
              <w:t>Posttraumatic stress disorder (PCL-C)</w:t>
            </w:r>
          </w:p>
        </w:tc>
        <w:tc>
          <w:tcPr>
            <w:tcW w:w="217" w:type="pct"/>
            <w:tcBorders>
              <w:top w:val="single" w:sz="4" w:space="0" w:color="000000"/>
            </w:tcBorders>
          </w:tcPr>
          <w:p w14:paraId="549A540A" w14:textId="77777777" w:rsidR="007123C7" w:rsidRPr="001F3926" w:rsidRDefault="007123C7" w:rsidP="00E82294">
            <w:pPr>
              <w:pStyle w:val="TableText"/>
              <w:jc w:val="right"/>
            </w:pPr>
          </w:p>
        </w:tc>
        <w:tc>
          <w:tcPr>
            <w:tcW w:w="352" w:type="pct"/>
            <w:tcBorders>
              <w:top w:val="single" w:sz="4" w:space="0" w:color="000000"/>
            </w:tcBorders>
          </w:tcPr>
          <w:p w14:paraId="3F96D887" w14:textId="77777777" w:rsidR="007123C7" w:rsidRPr="001F3926" w:rsidRDefault="007123C7" w:rsidP="00E82294">
            <w:pPr>
              <w:pStyle w:val="TableText"/>
              <w:jc w:val="right"/>
            </w:pPr>
          </w:p>
        </w:tc>
        <w:tc>
          <w:tcPr>
            <w:tcW w:w="406" w:type="pct"/>
            <w:tcBorders>
              <w:top w:val="single" w:sz="4" w:space="0" w:color="000000"/>
            </w:tcBorders>
          </w:tcPr>
          <w:p w14:paraId="18FD852B" w14:textId="77777777" w:rsidR="007123C7" w:rsidRPr="001F3926" w:rsidRDefault="007123C7" w:rsidP="00E82294">
            <w:pPr>
              <w:pStyle w:val="TableText"/>
              <w:jc w:val="right"/>
            </w:pPr>
          </w:p>
        </w:tc>
        <w:tc>
          <w:tcPr>
            <w:tcW w:w="218" w:type="pct"/>
            <w:tcBorders>
              <w:top w:val="single" w:sz="4" w:space="0" w:color="000000"/>
            </w:tcBorders>
          </w:tcPr>
          <w:p w14:paraId="50EA7918" w14:textId="77777777" w:rsidR="007123C7" w:rsidRPr="001F3926" w:rsidRDefault="007123C7" w:rsidP="00E82294">
            <w:pPr>
              <w:pStyle w:val="TableText"/>
              <w:jc w:val="right"/>
            </w:pPr>
          </w:p>
        </w:tc>
        <w:tc>
          <w:tcPr>
            <w:tcW w:w="352" w:type="pct"/>
            <w:tcBorders>
              <w:top w:val="single" w:sz="4" w:space="0" w:color="000000"/>
            </w:tcBorders>
          </w:tcPr>
          <w:p w14:paraId="4E346995" w14:textId="77777777" w:rsidR="007123C7" w:rsidRPr="001F3926" w:rsidRDefault="007123C7" w:rsidP="00E82294">
            <w:pPr>
              <w:pStyle w:val="TableText"/>
              <w:jc w:val="right"/>
            </w:pPr>
          </w:p>
        </w:tc>
        <w:tc>
          <w:tcPr>
            <w:tcW w:w="367" w:type="pct"/>
            <w:tcBorders>
              <w:top w:val="single" w:sz="4" w:space="0" w:color="000000"/>
            </w:tcBorders>
          </w:tcPr>
          <w:p w14:paraId="4BC34721" w14:textId="77777777" w:rsidR="007123C7" w:rsidRPr="001F3926" w:rsidRDefault="007123C7" w:rsidP="00E82294">
            <w:pPr>
              <w:pStyle w:val="TableText"/>
              <w:jc w:val="right"/>
            </w:pPr>
          </w:p>
        </w:tc>
        <w:tc>
          <w:tcPr>
            <w:tcW w:w="219" w:type="pct"/>
            <w:tcBorders>
              <w:top w:val="single" w:sz="4" w:space="0" w:color="000000"/>
            </w:tcBorders>
          </w:tcPr>
          <w:p w14:paraId="1D8C9A34" w14:textId="77777777" w:rsidR="007123C7" w:rsidRPr="001F3926" w:rsidRDefault="007123C7" w:rsidP="00E82294">
            <w:pPr>
              <w:pStyle w:val="TableText"/>
              <w:jc w:val="right"/>
            </w:pPr>
          </w:p>
        </w:tc>
        <w:tc>
          <w:tcPr>
            <w:tcW w:w="351" w:type="pct"/>
            <w:tcBorders>
              <w:top w:val="single" w:sz="4" w:space="0" w:color="000000"/>
            </w:tcBorders>
          </w:tcPr>
          <w:p w14:paraId="36046EDE" w14:textId="77777777" w:rsidR="007123C7" w:rsidRPr="001F3926" w:rsidRDefault="007123C7" w:rsidP="00E82294">
            <w:pPr>
              <w:pStyle w:val="TableText"/>
              <w:jc w:val="right"/>
            </w:pPr>
          </w:p>
        </w:tc>
        <w:tc>
          <w:tcPr>
            <w:tcW w:w="396" w:type="pct"/>
            <w:tcBorders>
              <w:top w:val="single" w:sz="4" w:space="0" w:color="000000"/>
            </w:tcBorders>
          </w:tcPr>
          <w:p w14:paraId="631E1A68" w14:textId="77777777" w:rsidR="007123C7" w:rsidRPr="001F3926" w:rsidRDefault="007123C7" w:rsidP="00E82294">
            <w:pPr>
              <w:pStyle w:val="TableText"/>
              <w:jc w:val="right"/>
            </w:pPr>
          </w:p>
        </w:tc>
        <w:tc>
          <w:tcPr>
            <w:tcW w:w="230" w:type="pct"/>
            <w:tcBorders>
              <w:top w:val="single" w:sz="4" w:space="0" w:color="000000"/>
            </w:tcBorders>
          </w:tcPr>
          <w:p w14:paraId="14E7E6DE" w14:textId="77777777" w:rsidR="007123C7" w:rsidRPr="001F3926" w:rsidRDefault="007123C7" w:rsidP="00E82294">
            <w:pPr>
              <w:pStyle w:val="TableText"/>
              <w:jc w:val="right"/>
            </w:pPr>
          </w:p>
        </w:tc>
        <w:tc>
          <w:tcPr>
            <w:tcW w:w="351" w:type="pct"/>
            <w:tcBorders>
              <w:top w:val="single" w:sz="4" w:space="0" w:color="000000"/>
            </w:tcBorders>
          </w:tcPr>
          <w:p w14:paraId="1F909962" w14:textId="77777777" w:rsidR="007123C7" w:rsidRPr="001F3926" w:rsidRDefault="007123C7" w:rsidP="00E82294">
            <w:pPr>
              <w:pStyle w:val="TableText"/>
              <w:jc w:val="right"/>
            </w:pPr>
          </w:p>
        </w:tc>
        <w:tc>
          <w:tcPr>
            <w:tcW w:w="458" w:type="pct"/>
            <w:tcBorders>
              <w:top w:val="single" w:sz="4" w:space="0" w:color="000000"/>
            </w:tcBorders>
          </w:tcPr>
          <w:p w14:paraId="09590A10" w14:textId="77777777" w:rsidR="007123C7" w:rsidRPr="001F3926" w:rsidRDefault="007123C7" w:rsidP="00E82294">
            <w:pPr>
              <w:pStyle w:val="TableText"/>
              <w:jc w:val="right"/>
            </w:pPr>
          </w:p>
        </w:tc>
      </w:tr>
      <w:tr w:rsidR="0062434A" w:rsidRPr="001F3926" w14:paraId="40B4BEB0" w14:textId="77777777" w:rsidTr="0062434A">
        <w:trPr>
          <w:cantSplit/>
        </w:trPr>
        <w:tc>
          <w:tcPr>
            <w:tcW w:w="1083" w:type="pct"/>
          </w:tcPr>
          <w:p w14:paraId="38C55E56" w14:textId="77777777" w:rsidR="007123C7" w:rsidRPr="001F3926" w:rsidRDefault="007123C7" w:rsidP="00E82294">
            <w:pPr>
              <w:pStyle w:val="TableText"/>
              <w:rPr>
                <w:bCs/>
                <w:color w:val="000000" w:themeColor="text1"/>
              </w:rPr>
            </w:pPr>
            <w:r w:rsidRPr="001F3926">
              <w:t xml:space="preserve">Probable disorder </w:t>
            </w:r>
          </w:p>
        </w:tc>
        <w:tc>
          <w:tcPr>
            <w:tcW w:w="217" w:type="pct"/>
          </w:tcPr>
          <w:p w14:paraId="06C0E4A9" w14:textId="77777777" w:rsidR="007123C7" w:rsidRPr="001F3926" w:rsidRDefault="007123C7" w:rsidP="00E82294">
            <w:pPr>
              <w:pStyle w:val="TableText"/>
              <w:jc w:val="right"/>
            </w:pPr>
            <w:r w:rsidRPr="001F3926">
              <w:rPr>
                <w:rFonts w:cs="Arial"/>
              </w:rPr>
              <w:t>426</w:t>
            </w:r>
          </w:p>
        </w:tc>
        <w:tc>
          <w:tcPr>
            <w:tcW w:w="352" w:type="pct"/>
          </w:tcPr>
          <w:p w14:paraId="3110CB96" w14:textId="77777777" w:rsidR="007123C7" w:rsidRPr="001F3926" w:rsidRDefault="007123C7" w:rsidP="00E82294">
            <w:pPr>
              <w:pStyle w:val="TableText"/>
              <w:jc w:val="right"/>
            </w:pPr>
            <w:r w:rsidRPr="001F3926">
              <w:rPr>
                <w:rFonts w:cs="Arial"/>
              </w:rPr>
              <w:t>2785</w:t>
            </w:r>
          </w:p>
        </w:tc>
        <w:tc>
          <w:tcPr>
            <w:tcW w:w="406" w:type="pct"/>
          </w:tcPr>
          <w:p w14:paraId="6C5F0910" w14:textId="77777777" w:rsidR="007123C7" w:rsidRPr="001F3926" w:rsidRDefault="007123C7" w:rsidP="00E82294">
            <w:pPr>
              <w:pStyle w:val="TableText"/>
              <w:jc w:val="right"/>
            </w:pPr>
            <w:r w:rsidRPr="001F3926">
              <w:rPr>
                <w:rFonts w:cs="Arial"/>
              </w:rPr>
              <w:t>85.7 (82.0</w:t>
            </w:r>
            <w:r w:rsidR="0062434A" w:rsidRPr="001F3926">
              <w:rPr>
                <w:rFonts w:cs="Arial"/>
              </w:rPr>
              <w:t>, </w:t>
            </w:r>
            <w:r w:rsidRPr="001F3926">
              <w:rPr>
                <w:rFonts w:cs="Arial"/>
              </w:rPr>
              <w:t>88.8)</w:t>
            </w:r>
          </w:p>
        </w:tc>
        <w:tc>
          <w:tcPr>
            <w:tcW w:w="218" w:type="pct"/>
          </w:tcPr>
          <w:p w14:paraId="14EBA745" w14:textId="77777777" w:rsidR="007123C7" w:rsidRPr="001F3926" w:rsidRDefault="007123C7" w:rsidP="00E82294">
            <w:pPr>
              <w:pStyle w:val="TableText"/>
              <w:jc w:val="right"/>
            </w:pPr>
            <w:r w:rsidRPr="001F3926">
              <w:rPr>
                <w:rFonts w:cs="Arial"/>
              </w:rPr>
              <w:t>84</w:t>
            </w:r>
          </w:p>
        </w:tc>
        <w:tc>
          <w:tcPr>
            <w:tcW w:w="352" w:type="pct"/>
          </w:tcPr>
          <w:p w14:paraId="2F7CD0AB" w14:textId="77777777" w:rsidR="007123C7" w:rsidRPr="001F3926" w:rsidRDefault="007123C7" w:rsidP="00E82294">
            <w:pPr>
              <w:pStyle w:val="TableText"/>
              <w:jc w:val="right"/>
            </w:pPr>
            <w:r w:rsidRPr="001F3926">
              <w:rPr>
                <w:rFonts w:cs="Arial"/>
              </w:rPr>
              <w:t>464</w:t>
            </w:r>
          </w:p>
        </w:tc>
        <w:tc>
          <w:tcPr>
            <w:tcW w:w="367" w:type="pct"/>
          </w:tcPr>
          <w:p w14:paraId="625DF85A" w14:textId="77777777" w:rsidR="007123C7" w:rsidRPr="001F3926" w:rsidRDefault="007123C7" w:rsidP="00E82294">
            <w:pPr>
              <w:pStyle w:val="TableText"/>
              <w:jc w:val="right"/>
              <w:rPr>
                <w:rFonts w:eastAsia="Times New Roman" w:cs="Arial"/>
              </w:rPr>
            </w:pPr>
            <w:r w:rsidRPr="001F3926">
              <w:rPr>
                <w:rFonts w:cs="Arial"/>
              </w:rPr>
              <w:t>14.3 (11.2</w:t>
            </w:r>
            <w:r w:rsidR="0062434A" w:rsidRPr="001F3926">
              <w:rPr>
                <w:rFonts w:cs="Arial"/>
              </w:rPr>
              <w:t>, </w:t>
            </w:r>
            <w:r w:rsidRPr="001F3926">
              <w:rPr>
                <w:rFonts w:cs="Arial"/>
              </w:rPr>
              <w:t>18.0)</w:t>
            </w:r>
          </w:p>
        </w:tc>
        <w:tc>
          <w:tcPr>
            <w:tcW w:w="219" w:type="pct"/>
          </w:tcPr>
          <w:p w14:paraId="4A0D726E" w14:textId="77777777" w:rsidR="007123C7" w:rsidRPr="001F3926" w:rsidRDefault="007123C7" w:rsidP="00E82294">
            <w:pPr>
              <w:pStyle w:val="TableText"/>
              <w:jc w:val="right"/>
            </w:pPr>
            <w:r w:rsidRPr="001F3926">
              <w:rPr>
                <w:rFonts w:cs="Arial"/>
              </w:rPr>
              <w:t>153</w:t>
            </w:r>
          </w:p>
        </w:tc>
        <w:tc>
          <w:tcPr>
            <w:tcW w:w="351" w:type="pct"/>
          </w:tcPr>
          <w:p w14:paraId="00EBC8B8" w14:textId="77777777" w:rsidR="007123C7" w:rsidRPr="001F3926" w:rsidRDefault="007123C7" w:rsidP="00E82294">
            <w:pPr>
              <w:pStyle w:val="TableText"/>
              <w:jc w:val="right"/>
            </w:pPr>
            <w:r w:rsidRPr="001F3926">
              <w:rPr>
                <w:rFonts w:cs="Arial"/>
              </w:rPr>
              <w:t>961</w:t>
            </w:r>
          </w:p>
        </w:tc>
        <w:tc>
          <w:tcPr>
            <w:tcW w:w="396" w:type="pct"/>
          </w:tcPr>
          <w:p w14:paraId="707FFDC1" w14:textId="77777777" w:rsidR="007123C7" w:rsidRPr="001F3926" w:rsidRDefault="007123C7" w:rsidP="00E82294">
            <w:pPr>
              <w:pStyle w:val="TableText"/>
              <w:jc w:val="right"/>
              <w:rPr>
                <w:rFonts w:eastAsia="Times New Roman" w:cs="Arial"/>
              </w:rPr>
            </w:pPr>
            <w:r w:rsidRPr="001F3926">
              <w:rPr>
                <w:rFonts w:cs="Arial"/>
              </w:rPr>
              <w:t>66.2 (44.2</w:t>
            </w:r>
            <w:r w:rsidR="0062434A" w:rsidRPr="001F3926">
              <w:rPr>
                <w:rFonts w:cs="Arial"/>
              </w:rPr>
              <w:t>, </w:t>
            </w:r>
            <w:r w:rsidRPr="001F3926">
              <w:rPr>
                <w:rFonts w:cs="Arial"/>
              </w:rPr>
              <w:t>83.0)</w:t>
            </w:r>
          </w:p>
        </w:tc>
        <w:tc>
          <w:tcPr>
            <w:tcW w:w="230" w:type="pct"/>
          </w:tcPr>
          <w:p w14:paraId="7936B6D1" w14:textId="77777777" w:rsidR="007123C7" w:rsidRPr="001F3926" w:rsidRDefault="007123C7" w:rsidP="00E82294">
            <w:pPr>
              <w:pStyle w:val="TableText"/>
              <w:jc w:val="right"/>
            </w:pPr>
            <w:r w:rsidRPr="001F3926">
              <w:rPr>
                <w:rFonts w:cs="Arial"/>
              </w:rPr>
              <w:t>76</w:t>
            </w:r>
          </w:p>
        </w:tc>
        <w:tc>
          <w:tcPr>
            <w:tcW w:w="351" w:type="pct"/>
          </w:tcPr>
          <w:p w14:paraId="43107646" w14:textId="77777777" w:rsidR="007123C7" w:rsidRPr="001F3926" w:rsidRDefault="007123C7" w:rsidP="00E82294">
            <w:pPr>
              <w:pStyle w:val="TableText"/>
              <w:jc w:val="right"/>
            </w:pPr>
            <w:r w:rsidRPr="001F3926">
              <w:rPr>
                <w:rFonts w:cs="Arial"/>
              </w:rPr>
              <w:t>490</w:t>
            </w:r>
          </w:p>
        </w:tc>
        <w:tc>
          <w:tcPr>
            <w:tcW w:w="458" w:type="pct"/>
          </w:tcPr>
          <w:p w14:paraId="69962921" w14:textId="77777777" w:rsidR="007123C7" w:rsidRPr="001F3926" w:rsidRDefault="007123C7" w:rsidP="00E82294">
            <w:pPr>
              <w:pStyle w:val="TableText"/>
              <w:jc w:val="right"/>
            </w:pPr>
            <w:r w:rsidRPr="001F3926">
              <w:rPr>
                <w:rFonts w:cs="Arial"/>
              </w:rPr>
              <w:t>33.8 (17.0</w:t>
            </w:r>
            <w:r w:rsidR="0062434A" w:rsidRPr="001F3926">
              <w:rPr>
                <w:rFonts w:cs="Arial"/>
              </w:rPr>
              <w:t>, </w:t>
            </w:r>
            <w:r w:rsidRPr="001F3926">
              <w:rPr>
                <w:rFonts w:cs="Arial"/>
              </w:rPr>
              <w:t>55.8)</w:t>
            </w:r>
          </w:p>
        </w:tc>
      </w:tr>
      <w:tr w:rsidR="0062434A" w:rsidRPr="001F3926" w14:paraId="026364F4"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Pr>
          <w:p w14:paraId="71044EC2" w14:textId="77777777" w:rsidR="007123C7" w:rsidRPr="001F3926" w:rsidRDefault="007155C2" w:rsidP="00E82294">
            <w:pPr>
              <w:pStyle w:val="TableText"/>
              <w:rPr>
                <w:bCs/>
                <w:color w:val="000000" w:themeColor="text1"/>
              </w:rPr>
            </w:pPr>
            <w:r>
              <w:t>Subsyndromal</w:t>
            </w:r>
            <w:r w:rsidR="007123C7" w:rsidRPr="001F3926">
              <w:t xml:space="preserve"> disorder </w:t>
            </w:r>
          </w:p>
        </w:tc>
        <w:tc>
          <w:tcPr>
            <w:tcW w:w="217" w:type="pct"/>
          </w:tcPr>
          <w:p w14:paraId="4D4E6D19" w14:textId="77777777" w:rsidR="007123C7" w:rsidRPr="001F3926" w:rsidRDefault="007123C7" w:rsidP="00E82294">
            <w:pPr>
              <w:pStyle w:val="TableText"/>
              <w:jc w:val="right"/>
            </w:pPr>
            <w:r w:rsidRPr="001F3926">
              <w:rPr>
                <w:rFonts w:cs="Arial"/>
              </w:rPr>
              <w:t>865</w:t>
            </w:r>
          </w:p>
        </w:tc>
        <w:tc>
          <w:tcPr>
            <w:tcW w:w="352" w:type="pct"/>
          </w:tcPr>
          <w:p w14:paraId="54BC4567" w14:textId="77777777" w:rsidR="007123C7" w:rsidRPr="001F3926" w:rsidRDefault="007123C7" w:rsidP="00E82294">
            <w:pPr>
              <w:pStyle w:val="TableText"/>
              <w:jc w:val="right"/>
            </w:pPr>
            <w:r w:rsidRPr="001F3926">
              <w:rPr>
                <w:rFonts w:cs="Arial"/>
              </w:rPr>
              <w:t>6016</w:t>
            </w:r>
          </w:p>
        </w:tc>
        <w:tc>
          <w:tcPr>
            <w:tcW w:w="406" w:type="pct"/>
          </w:tcPr>
          <w:p w14:paraId="55BF5AC8" w14:textId="77777777" w:rsidR="007123C7" w:rsidRPr="001F3926" w:rsidRDefault="007123C7" w:rsidP="00E82294">
            <w:pPr>
              <w:pStyle w:val="TableText"/>
              <w:jc w:val="right"/>
            </w:pPr>
            <w:r w:rsidRPr="001F3926">
              <w:rPr>
                <w:rFonts w:cs="Arial"/>
              </w:rPr>
              <w:t>88.5 (86.0</w:t>
            </w:r>
            <w:r w:rsidR="0062434A" w:rsidRPr="001F3926">
              <w:rPr>
                <w:rFonts w:cs="Arial"/>
              </w:rPr>
              <w:t>, </w:t>
            </w:r>
            <w:r w:rsidRPr="001F3926">
              <w:rPr>
                <w:rFonts w:cs="Arial"/>
              </w:rPr>
              <w:t>90.7)</w:t>
            </w:r>
          </w:p>
        </w:tc>
        <w:tc>
          <w:tcPr>
            <w:tcW w:w="218" w:type="pct"/>
          </w:tcPr>
          <w:p w14:paraId="290A86BF" w14:textId="77777777" w:rsidR="007123C7" w:rsidRPr="001F3926" w:rsidRDefault="007123C7" w:rsidP="00E82294">
            <w:pPr>
              <w:pStyle w:val="TableText"/>
              <w:jc w:val="right"/>
            </w:pPr>
            <w:r w:rsidRPr="001F3926">
              <w:rPr>
                <w:rFonts w:cs="Arial"/>
              </w:rPr>
              <w:t>130</w:t>
            </w:r>
          </w:p>
        </w:tc>
        <w:tc>
          <w:tcPr>
            <w:tcW w:w="352" w:type="pct"/>
          </w:tcPr>
          <w:p w14:paraId="13E009EF" w14:textId="77777777" w:rsidR="007123C7" w:rsidRPr="001F3926" w:rsidRDefault="007123C7" w:rsidP="00E82294">
            <w:pPr>
              <w:pStyle w:val="TableText"/>
              <w:jc w:val="right"/>
            </w:pPr>
            <w:r w:rsidRPr="001F3926">
              <w:rPr>
                <w:rFonts w:cs="Arial"/>
              </w:rPr>
              <w:t>779</w:t>
            </w:r>
          </w:p>
        </w:tc>
        <w:tc>
          <w:tcPr>
            <w:tcW w:w="367" w:type="pct"/>
          </w:tcPr>
          <w:p w14:paraId="14E9C050" w14:textId="77777777" w:rsidR="007123C7" w:rsidRPr="001F3926" w:rsidRDefault="007123C7" w:rsidP="00E82294">
            <w:pPr>
              <w:pStyle w:val="TableText"/>
              <w:jc w:val="right"/>
            </w:pPr>
            <w:r w:rsidRPr="001F3926">
              <w:rPr>
                <w:rFonts w:cs="Arial"/>
              </w:rPr>
              <w:t>11.5 (9.3</w:t>
            </w:r>
            <w:r w:rsidR="0062434A" w:rsidRPr="001F3926">
              <w:rPr>
                <w:rFonts w:cs="Arial"/>
              </w:rPr>
              <w:t>, </w:t>
            </w:r>
            <w:r w:rsidRPr="001F3926">
              <w:rPr>
                <w:rFonts w:cs="Arial"/>
              </w:rPr>
              <w:t>14.0)</w:t>
            </w:r>
          </w:p>
        </w:tc>
        <w:tc>
          <w:tcPr>
            <w:tcW w:w="219" w:type="pct"/>
          </w:tcPr>
          <w:p w14:paraId="66837029" w14:textId="77777777" w:rsidR="007123C7" w:rsidRPr="001F3926" w:rsidRDefault="007123C7" w:rsidP="00E82294">
            <w:pPr>
              <w:pStyle w:val="TableText"/>
              <w:jc w:val="right"/>
            </w:pPr>
            <w:r w:rsidRPr="001F3926">
              <w:rPr>
                <w:rFonts w:cs="Arial"/>
              </w:rPr>
              <w:t>979</w:t>
            </w:r>
          </w:p>
        </w:tc>
        <w:tc>
          <w:tcPr>
            <w:tcW w:w="351" w:type="pct"/>
          </w:tcPr>
          <w:p w14:paraId="5B72D073" w14:textId="77777777" w:rsidR="007123C7" w:rsidRPr="001F3926" w:rsidRDefault="007123C7" w:rsidP="00E82294">
            <w:pPr>
              <w:pStyle w:val="TableText"/>
              <w:jc w:val="right"/>
            </w:pPr>
            <w:r w:rsidRPr="001F3926">
              <w:rPr>
                <w:rFonts w:cs="Arial"/>
              </w:rPr>
              <w:t>7909</w:t>
            </w:r>
          </w:p>
        </w:tc>
        <w:tc>
          <w:tcPr>
            <w:tcW w:w="396" w:type="pct"/>
          </w:tcPr>
          <w:p w14:paraId="5EB3B9C5" w14:textId="77777777" w:rsidR="007123C7" w:rsidRPr="001F3926" w:rsidRDefault="007123C7" w:rsidP="00E82294">
            <w:pPr>
              <w:pStyle w:val="TableText"/>
              <w:jc w:val="right"/>
              <w:rPr>
                <w:rFonts w:eastAsia="Times New Roman" w:cs="Arial"/>
              </w:rPr>
            </w:pPr>
            <w:r w:rsidRPr="001F3926">
              <w:rPr>
                <w:rFonts w:cs="Arial"/>
              </w:rPr>
              <w:t>80.7 (73.3</w:t>
            </w:r>
            <w:r w:rsidR="0062434A" w:rsidRPr="001F3926">
              <w:rPr>
                <w:rFonts w:cs="Arial"/>
              </w:rPr>
              <w:t>, </w:t>
            </w:r>
            <w:r w:rsidRPr="001F3926">
              <w:rPr>
                <w:rFonts w:cs="Arial"/>
              </w:rPr>
              <w:t>86.5)</w:t>
            </w:r>
          </w:p>
        </w:tc>
        <w:tc>
          <w:tcPr>
            <w:tcW w:w="230" w:type="pct"/>
          </w:tcPr>
          <w:p w14:paraId="2FEAAD48" w14:textId="77777777" w:rsidR="007123C7" w:rsidRPr="001F3926" w:rsidRDefault="007123C7" w:rsidP="00E82294">
            <w:pPr>
              <w:pStyle w:val="TableText"/>
              <w:jc w:val="right"/>
            </w:pPr>
            <w:r w:rsidRPr="001F3926">
              <w:rPr>
                <w:rFonts w:cs="Arial"/>
              </w:rPr>
              <w:t>316</w:t>
            </w:r>
          </w:p>
        </w:tc>
        <w:tc>
          <w:tcPr>
            <w:tcW w:w="351" w:type="pct"/>
          </w:tcPr>
          <w:p w14:paraId="59068084" w14:textId="77777777" w:rsidR="007123C7" w:rsidRPr="001F3926" w:rsidRDefault="007123C7" w:rsidP="00E82294">
            <w:pPr>
              <w:pStyle w:val="TableText"/>
              <w:jc w:val="right"/>
            </w:pPr>
            <w:r w:rsidRPr="001F3926">
              <w:rPr>
                <w:rFonts w:cs="Arial"/>
              </w:rPr>
              <w:t>1886</w:t>
            </w:r>
          </w:p>
        </w:tc>
        <w:tc>
          <w:tcPr>
            <w:tcW w:w="458" w:type="pct"/>
          </w:tcPr>
          <w:p w14:paraId="697D2E3A" w14:textId="77777777" w:rsidR="007123C7" w:rsidRPr="001F3926" w:rsidRDefault="007123C7" w:rsidP="00E82294">
            <w:pPr>
              <w:pStyle w:val="TableText"/>
              <w:jc w:val="right"/>
            </w:pPr>
            <w:r w:rsidRPr="001F3926">
              <w:rPr>
                <w:rFonts w:cs="Arial"/>
              </w:rPr>
              <w:t>19.3 (13.5</w:t>
            </w:r>
            <w:r w:rsidR="0062434A" w:rsidRPr="001F3926">
              <w:rPr>
                <w:rFonts w:cs="Arial"/>
              </w:rPr>
              <w:t>, </w:t>
            </w:r>
            <w:r w:rsidRPr="001F3926">
              <w:rPr>
                <w:rFonts w:cs="Arial"/>
              </w:rPr>
              <w:t>26.7)</w:t>
            </w:r>
          </w:p>
        </w:tc>
      </w:tr>
      <w:tr w:rsidR="0062434A" w:rsidRPr="001F3926" w14:paraId="2DADCEFC" w14:textId="77777777" w:rsidTr="0062434A">
        <w:trPr>
          <w:cantSplit/>
        </w:trPr>
        <w:tc>
          <w:tcPr>
            <w:tcW w:w="1083" w:type="pct"/>
            <w:tcBorders>
              <w:bottom w:val="single" w:sz="4" w:space="0" w:color="000000"/>
            </w:tcBorders>
          </w:tcPr>
          <w:p w14:paraId="3A249E1C" w14:textId="77777777" w:rsidR="007123C7" w:rsidRPr="001F3926" w:rsidRDefault="007123C7" w:rsidP="00E82294">
            <w:pPr>
              <w:pStyle w:val="TableText"/>
            </w:pPr>
            <w:r w:rsidRPr="001F3926">
              <w:t>No disorder</w:t>
            </w:r>
          </w:p>
        </w:tc>
        <w:tc>
          <w:tcPr>
            <w:tcW w:w="217" w:type="pct"/>
            <w:tcBorders>
              <w:bottom w:val="single" w:sz="4" w:space="0" w:color="000000"/>
            </w:tcBorders>
          </w:tcPr>
          <w:p w14:paraId="29D27E3A" w14:textId="77777777" w:rsidR="007123C7" w:rsidRPr="001F3926" w:rsidRDefault="007123C7" w:rsidP="00E82294">
            <w:pPr>
              <w:pStyle w:val="TableText"/>
              <w:jc w:val="right"/>
            </w:pPr>
            <w:r w:rsidRPr="001F3926">
              <w:rPr>
                <w:rFonts w:cs="Arial"/>
              </w:rPr>
              <w:t>2040</w:t>
            </w:r>
          </w:p>
        </w:tc>
        <w:tc>
          <w:tcPr>
            <w:tcW w:w="352" w:type="pct"/>
            <w:tcBorders>
              <w:bottom w:val="single" w:sz="4" w:space="0" w:color="000000"/>
            </w:tcBorders>
          </w:tcPr>
          <w:p w14:paraId="0B4150B0" w14:textId="77777777" w:rsidR="007123C7" w:rsidRPr="001F3926" w:rsidRDefault="007123C7" w:rsidP="00E82294">
            <w:pPr>
              <w:pStyle w:val="TableText"/>
              <w:jc w:val="right"/>
            </w:pPr>
            <w:r w:rsidRPr="001F3926">
              <w:rPr>
                <w:rFonts w:cs="Arial"/>
              </w:rPr>
              <w:t>13,319</w:t>
            </w:r>
          </w:p>
        </w:tc>
        <w:tc>
          <w:tcPr>
            <w:tcW w:w="406" w:type="pct"/>
            <w:tcBorders>
              <w:bottom w:val="single" w:sz="4" w:space="0" w:color="000000"/>
            </w:tcBorders>
          </w:tcPr>
          <w:p w14:paraId="63C12CB4" w14:textId="77777777" w:rsidR="007123C7" w:rsidRPr="001F3926" w:rsidRDefault="007123C7" w:rsidP="00E82294">
            <w:pPr>
              <w:pStyle w:val="TableText"/>
              <w:jc w:val="right"/>
            </w:pPr>
            <w:r w:rsidRPr="001F3926">
              <w:rPr>
                <w:rFonts w:cs="Arial"/>
              </w:rPr>
              <w:t>91.5 (89.9</w:t>
            </w:r>
            <w:r w:rsidR="0062434A" w:rsidRPr="001F3926">
              <w:rPr>
                <w:rFonts w:cs="Arial"/>
              </w:rPr>
              <w:t>, </w:t>
            </w:r>
            <w:r w:rsidRPr="001F3926">
              <w:rPr>
                <w:rFonts w:cs="Arial"/>
              </w:rPr>
              <w:t>92.9)</w:t>
            </w:r>
          </w:p>
        </w:tc>
        <w:tc>
          <w:tcPr>
            <w:tcW w:w="218" w:type="pct"/>
            <w:tcBorders>
              <w:bottom w:val="single" w:sz="4" w:space="0" w:color="000000"/>
            </w:tcBorders>
          </w:tcPr>
          <w:p w14:paraId="04DCDB26" w14:textId="77777777" w:rsidR="007123C7" w:rsidRPr="001F3926" w:rsidRDefault="007123C7" w:rsidP="00E82294">
            <w:pPr>
              <w:pStyle w:val="TableText"/>
              <w:jc w:val="right"/>
            </w:pPr>
            <w:r w:rsidRPr="001F3926">
              <w:rPr>
                <w:rFonts w:cs="Arial"/>
              </w:rPr>
              <w:t>182</w:t>
            </w:r>
          </w:p>
        </w:tc>
        <w:tc>
          <w:tcPr>
            <w:tcW w:w="352" w:type="pct"/>
            <w:tcBorders>
              <w:bottom w:val="single" w:sz="4" w:space="0" w:color="000000"/>
            </w:tcBorders>
          </w:tcPr>
          <w:p w14:paraId="27CFE78B" w14:textId="77777777" w:rsidR="007123C7" w:rsidRPr="001F3926" w:rsidRDefault="007123C7" w:rsidP="00E82294">
            <w:pPr>
              <w:pStyle w:val="TableText"/>
              <w:jc w:val="right"/>
            </w:pPr>
            <w:r w:rsidRPr="001F3926">
              <w:rPr>
                <w:rFonts w:cs="Arial"/>
              </w:rPr>
              <w:t>1234</w:t>
            </w:r>
          </w:p>
        </w:tc>
        <w:tc>
          <w:tcPr>
            <w:tcW w:w="367" w:type="pct"/>
            <w:tcBorders>
              <w:bottom w:val="single" w:sz="4" w:space="0" w:color="000000"/>
            </w:tcBorders>
          </w:tcPr>
          <w:p w14:paraId="6DF295D0" w14:textId="77777777" w:rsidR="007123C7" w:rsidRPr="001F3926" w:rsidRDefault="007123C7" w:rsidP="00E82294">
            <w:pPr>
              <w:pStyle w:val="TableText"/>
              <w:jc w:val="right"/>
            </w:pPr>
            <w:r w:rsidRPr="001F3926">
              <w:rPr>
                <w:rFonts w:cs="Arial"/>
              </w:rPr>
              <w:t>8.5 (7.1</w:t>
            </w:r>
            <w:r w:rsidR="0062434A" w:rsidRPr="001F3926">
              <w:rPr>
                <w:rFonts w:cs="Arial"/>
              </w:rPr>
              <w:t>, </w:t>
            </w:r>
            <w:r w:rsidRPr="001F3926">
              <w:rPr>
                <w:rFonts w:cs="Arial"/>
              </w:rPr>
              <w:t>10.1)</w:t>
            </w:r>
          </w:p>
        </w:tc>
        <w:tc>
          <w:tcPr>
            <w:tcW w:w="219" w:type="pct"/>
            <w:tcBorders>
              <w:bottom w:val="single" w:sz="4" w:space="0" w:color="000000"/>
            </w:tcBorders>
          </w:tcPr>
          <w:p w14:paraId="0E6A2FFF" w14:textId="77777777" w:rsidR="007123C7" w:rsidRPr="001F3926" w:rsidRDefault="007123C7" w:rsidP="00E82294">
            <w:pPr>
              <w:pStyle w:val="TableText"/>
              <w:jc w:val="right"/>
            </w:pPr>
            <w:r w:rsidRPr="001F3926">
              <w:rPr>
                <w:rFonts w:cs="Arial"/>
              </w:rPr>
              <w:t>5233</w:t>
            </w:r>
          </w:p>
        </w:tc>
        <w:tc>
          <w:tcPr>
            <w:tcW w:w="351" w:type="pct"/>
            <w:tcBorders>
              <w:bottom w:val="single" w:sz="4" w:space="0" w:color="000000"/>
            </w:tcBorders>
          </w:tcPr>
          <w:p w14:paraId="1ABFFE9D" w14:textId="77777777" w:rsidR="007123C7" w:rsidRPr="001F3926" w:rsidRDefault="007123C7" w:rsidP="00E82294">
            <w:pPr>
              <w:pStyle w:val="TableText"/>
              <w:jc w:val="right"/>
            </w:pPr>
            <w:r w:rsidRPr="001F3926">
              <w:rPr>
                <w:rFonts w:cs="Arial"/>
              </w:rPr>
              <w:t>35,755</w:t>
            </w:r>
          </w:p>
        </w:tc>
        <w:tc>
          <w:tcPr>
            <w:tcW w:w="396" w:type="pct"/>
            <w:tcBorders>
              <w:bottom w:val="single" w:sz="4" w:space="0" w:color="000000"/>
            </w:tcBorders>
          </w:tcPr>
          <w:p w14:paraId="5297909F" w14:textId="77777777" w:rsidR="007123C7" w:rsidRPr="001F3926" w:rsidRDefault="007123C7" w:rsidP="00E82294">
            <w:pPr>
              <w:pStyle w:val="TableText"/>
              <w:jc w:val="right"/>
              <w:rPr>
                <w:rFonts w:eastAsia="Times New Roman" w:cs="Arial"/>
              </w:rPr>
            </w:pPr>
            <w:r w:rsidRPr="001F3926">
              <w:rPr>
                <w:rFonts w:cs="Arial"/>
              </w:rPr>
              <w:t>87.4 (84.5</w:t>
            </w:r>
            <w:r w:rsidR="0062434A" w:rsidRPr="001F3926">
              <w:rPr>
                <w:rFonts w:cs="Arial"/>
              </w:rPr>
              <w:t>, </w:t>
            </w:r>
            <w:r w:rsidRPr="001F3926">
              <w:rPr>
                <w:rFonts w:cs="Arial"/>
              </w:rPr>
              <w:t>89.9)</w:t>
            </w:r>
          </w:p>
        </w:tc>
        <w:tc>
          <w:tcPr>
            <w:tcW w:w="230" w:type="pct"/>
            <w:tcBorders>
              <w:bottom w:val="single" w:sz="4" w:space="0" w:color="000000"/>
            </w:tcBorders>
          </w:tcPr>
          <w:p w14:paraId="1B93F776" w14:textId="77777777" w:rsidR="007123C7" w:rsidRPr="001F3926" w:rsidRDefault="007123C7" w:rsidP="00E82294">
            <w:pPr>
              <w:pStyle w:val="TableText"/>
              <w:jc w:val="right"/>
            </w:pPr>
            <w:r w:rsidRPr="001F3926">
              <w:rPr>
                <w:rFonts w:cs="Arial"/>
              </w:rPr>
              <w:t>876</w:t>
            </w:r>
          </w:p>
        </w:tc>
        <w:tc>
          <w:tcPr>
            <w:tcW w:w="351" w:type="pct"/>
            <w:tcBorders>
              <w:bottom w:val="single" w:sz="4" w:space="0" w:color="000000"/>
            </w:tcBorders>
          </w:tcPr>
          <w:p w14:paraId="1689193A" w14:textId="77777777" w:rsidR="007123C7" w:rsidRPr="001F3926" w:rsidRDefault="007123C7" w:rsidP="00E82294">
            <w:pPr>
              <w:pStyle w:val="TableText"/>
              <w:jc w:val="right"/>
            </w:pPr>
            <w:r w:rsidRPr="001F3926">
              <w:rPr>
                <w:rFonts w:cs="Arial"/>
              </w:rPr>
              <w:t>5135</w:t>
            </w:r>
          </w:p>
        </w:tc>
        <w:tc>
          <w:tcPr>
            <w:tcW w:w="458" w:type="pct"/>
            <w:tcBorders>
              <w:bottom w:val="single" w:sz="4" w:space="0" w:color="000000"/>
            </w:tcBorders>
          </w:tcPr>
          <w:p w14:paraId="249971C1" w14:textId="77777777" w:rsidR="007123C7" w:rsidRPr="001F3926" w:rsidRDefault="007123C7" w:rsidP="00E82294">
            <w:pPr>
              <w:pStyle w:val="TableText"/>
              <w:jc w:val="right"/>
            </w:pPr>
            <w:r w:rsidRPr="001F3926">
              <w:rPr>
                <w:rFonts w:cs="Arial"/>
              </w:rPr>
              <w:t>12.6 (10.1</w:t>
            </w:r>
            <w:r w:rsidR="0062434A" w:rsidRPr="001F3926">
              <w:rPr>
                <w:rFonts w:cs="Arial"/>
              </w:rPr>
              <w:t>, </w:t>
            </w:r>
            <w:r w:rsidRPr="001F3926">
              <w:rPr>
                <w:rFonts w:cs="Arial"/>
              </w:rPr>
              <w:t>15.5)</w:t>
            </w:r>
          </w:p>
        </w:tc>
      </w:tr>
      <w:tr w:rsidR="0062434A" w:rsidRPr="001F3926" w14:paraId="79F60D7E"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Borders>
              <w:top w:val="single" w:sz="4" w:space="0" w:color="000000"/>
              <w:bottom w:val="nil"/>
            </w:tcBorders>
          </w:tcPr>
          <w:p w14:paraId="7FEA532A" w14:textId="77777777" w:rsidR="007123C7" w:rsidRPr="001F3926" w:rsidRDefault="007123C7" w:rsidP="00E82294">
            <w:pPr>
              <w:pStyle w:val="TableText"/>
              <w:rPr>
                <w:b/>
                <w:bCs/>
                <w:color w:val="000000" w:themeColor="text1"/>
              </w:rPr>
            </w:pPr>
            <w:r w:rsidRPr="001F3926">
              <w:rPr>
                <w:b/>
              </w:rPr>
              <w:t>Probable anxiety/depression (K10)</w:t>
            </w:r>
          </w:p>
        </w:tc>
        <w:tc>
          <w:tcPr>
            <w:tcW w:w="217" w:type="pct"/>
            <w:tcBorders>
              <w:top w:val="single" w:sz="4" w:space="0" w:color="000000"/>
              <w:bottom w:val="nil"/>
            </w:tcBorders>
          </w:tcPr>
          <w:p w14:paraId="5B85663F" w14:textId="77777777" w:rsidR="007123C7" w:rsidRPr="001F3926" w:rsidRDefault="007123C7" w:rsidP="00E82294">
            <w:pPr>
              <w:pStyle w:val="TableText"/>
              <w:jc w:val="right"/>
            </w:pPr>
          </w:p>
        </w:tc>
        <w:tc>
          <w:tcPr>
            <w:tcW w:w="352" w:type="pct"/>
            <w:tcBorders>
              <w:top w:val="single" w:sz="4" w:space="0" w:color="000000"/>
              <w:bottom w:val="nil"/>
            </w:tcBorders>
          </w:tcPr>
          <w:p w14:paraId="27B05F9F" w14:textId="77777777" w:rsidR="007123C7" w:rsidRPr="001F3926" w:rsidRDefault="007123C7" w:rsidP="00E82294">
            <w:pPr>
              <w:pStyle w:val="TableText"/>
              <w:jc w:val="right"/>
            </w:pPr>
          </w:p>
        </w:tc>
        <w:tc>
          <w:tcPr>
            <w:tcW w:w="406" w:type="pct"/>
            <w:tcBorders>
              <w:top w:val="single" w:sz="4" w:space="0" w:color="000000"/>
              <w:bottom w:val="nil"/>
            </w:tcBorders>
          </w:tcPr>
          <w:p w14:paraId="34511D58" w14:textId="77777777" w:rsidR="007123C7" w:rsidRPr="001F3926" w:rsidRDefault="007123C7" w:rsidP="00E82294">
            <w:pPr>
              <w:pStyle w:val="TableText"/>
              <w:jc w:val="right"/>
            </w:pPr>
          </w:p>
        </w:tc>
        <w:tc>
          <w:tcPr>
            <w:tcW w:w="218" w:type="pct"/>
            <w:tcBorders>
              <w:top w:val="single" w:sz="4" w:space="0" w:color="000000"/>
              <w:bottom w:val="nil"/>
            </w:tcBorders>
          </w:tcPr>
          <w:p w14:paraId="26DF96DB" w14:textId="77777777" w:rsidR="007123C7" w:rsidRPr="001F3926" w:rsidRDefault="007123C7" w:rsidP="00E82294">
            <w:pPr>
              <w:pStyle w:val="TableText"/>
              <w:jc w:val="right"/>
            </w:pPr>
          </w:p>
        </w:tc>
        <w:tc>
          <w:tcPr>
            <w:tcW w:w="352" w:type="pct"/>
            <w:tcBorders>
              <w:top w:val="single" w:sz="4" w:space="0" w:color="000000"/>
              <w:bottom w:val="nil"/>
            </w:tcBorders>
          </w:tcPr>
          <w:p w14:paraId="6AAB19E3" w14:textId="77777777" w:rsidR="007123C7" w:rsidRPr="001F3926" w:rsidRDefault="007123C7" w:rsidP="00E82294">
            <w:pPr>
              <w:pStyle w:val="TableText"/>
              <w:jc w:val="right"/>
            </w:pPr>
          </w:p>
        </w:tc>
        <w:tc>
          <w:tcPr>
            <w:tcW w:w="367" w:type="pct"/>
            <w:tcBorders>
              <w:top w:val="single" w:sz="4" w:space="0" w:color="000000"/>
              <w:bottom w:val="nil"/>
            </w:tcBorders>
          </w:tcPr>
          <w:p w14:paraId="410CFA7F" w14:textId="77777777" w:rsidR="007123C7" w:rsidRPr="001F3926" w:rsidRDefault="007123C7" w:rsidP="00E82294">
            <w:pPr>
              <w:pStyle w:val="TableText"/>
              <w:jc w:val="right"/>
            </w:pPr>
          </w:p>
        </w:tc>
        <w:tc>
          <w:tcPr>
            <w:tcW w:w="219" w:type="pct"/>
            <w:tcBorders>
              <w:top w:val="single" w:sz="4" w:space="0" w:color="000000"/>
              <w:bottom w:val="nil"/>
            </w:tcBorders>
          </w:tcPr>
          <w:p w14:paraId="29F2BC98" w14:textId="77777777" w:rsidR="007123C7" w:rsidRPr="001F3926" w:rsidRDefault="007123C7" w:rsidP="00E82294">
            <w:pPr>
              <w:pStyle w:val="TableText"/>
              <w:jc w:val="right"/>
            </w:pPr>
          </w:p>
        </w:tc>
        <w:tc>
          <w:tcPr>
            <w:tcW w:w="351" w:type="pct"/>
            <w:tcBorders>
              <w:top w:val="single" w:sz="4" w:space="0" w:color="000000"/>
              <w:bottom w:val="nil"/>
            </w:tcBorders>
          </w:tcPr>
          <w:p w14:paraId="6039E09E" w14:textId="77777777" w:rsidR="007123C7" w:rsidRPr="001F3926" w:rsidRDefault="007123C7" w:rsidP="00E82294">
            <w:pPr>
              <w:pStyle w:val="TableText"/>
              <w:jc w:val="right"/>
            </w:pPr>
          </w:p>
        </w:tc>
        <w:tc>
          <w:tcPr>
            <w:tcW w:w="396" w:type="pct"/>
            <w:tcBorders>
              <w:top w:val="single" w:sz="4" w:space="0" w:color="000000"/>
              <w:bottom w:val="nil"/>
            </w:tcBorders>
          </w:tcPr>
          <w:p w14:paraId="276AFF97" w14:textId="77777777" w:rsidR="007123C7" w:rsidRPr="001F3926" w:rsidRDefault="007123C7" w:rsidP="00E82294">
            <w:pPr>
              <w:pStyle w:val="TableText"/>
              <w:jc w:val="right"/>
            </w:pPr>
          </w:p>
        </w:tc>
        <w:tc>
          <w:tcPr>
            <w:tcW w:w="230" w:type="pct"/>
            <w:tcBorders>
              <w:top w:val="single" w:sz="4" w:space="0" w:color="000000"/>
              <w:bottom w:val="nil"/>
            </w:tcBorders>
          </w:tcPr>
          <w:p w14:paraId="4EDC16CD" w14:textId="77777777" w:rsidR="007123C7" w:rsidRPr="001F3926" w:rsidRDefault="007123C7" w:rsidP="00E82294">
            <w:pPr>
              <w:pStyle w:val="TableText"/>
              <w:jc w:val="right"/>
            </w:pPr>
          </w:p>
        </w:tc>
        <w:tc>
          <w:tcPr>
            <w:tcW w:w="351" w:type="pct"/>
            <w:tcBorders>
              <w:top w:val="single" w:sz="4" w:space="0" w:color="000000"/>
              <w:bottom w:val="nil"/>
            </w:tcBorders>
          </w:tcPr>
          <w:p w14:paraId="6C63933B" w14:textId="77777777" w:rsidR="007123C7" w:rsidRPr="001F3926" w:rsidRDefault="007123C7" w:rsidP="00E82294">
            <w:pPr>
              <w:pStyle w:val="TableText"/>
              <w:jc w:val="right"/>
            </w:pPr>
          </w:p>
        </w:tc>
        <w:tc>
          <w:tcPr>
            <w:tcW w:w="458" w:type="pct"/>
            <w:tcBorders>
              <w:top w:val="single" w:sz="4" w:space="0" w:color="000000"/>
              <w:bottom w:val="nil"/>
            </w:tcBorders>
          </w:tcPr>
          <w:p w14:paraId="431439B1" w14:textId="77777777" w:rsidR="007123C7" w:rsidRPr="001F3926" w:rsidRDefault="007123C7" w:rsidP="00E82294">
            <w:pPr>
              <w:pStyle w:val="TableText"/>
              <w:jc w:val="right"/>
            </w:pPr>
          </w:p>
        </w:tc>
      </w:tr>
      <w:tr w:rsidR="0062434A" w:rsidRPr="001F3926" w14:paraId="51620632" w14:textId="77777777" w:rsidTr="0062434A">
        <w:trPr>
          <w:cantSplit/>
        </w:trPr>
        <w:tc>
          <w:tcPr>
            <w:tcW w:w="1083" w:type="pct"/>
            <w:tcBorders>
              <w:top w:val="nil"/>
            </w:tcBorders>
          </w:tcPr>
          <w:p w14:paraId="6F70A4F0" w14:textId="77777777" w:rsidR="007123C7" w:rsidRPr="001F3926" w:rsidRDefault="007123C7" w:rsidP="00E82294">
            <w:pPr>
              <w:pStyle w:val="TableText"/>
              <w:rPr>
                <w:bCs/>
                <w:color w:val="000000" w:themeColor="text1"/>
              </w:rPr>
            </w:pPr>
            <w:r w:rsidRPr="001F3926">
              <w:t xml:space="preserve">Probable disorder </w:t>
            </w:r>
          </w:p>
        </w:tc>
        <w:tc>
          <w:tcPr>
            <w:tcW w:w="217" w:type="pct"/>
            <w:tcBorders>
              <w:top w:val="nil"/>
            </w:tcBorders>
          </w:tcPr>
          <w:p w14:paraId="4F74894B" w14:textId="77777777" w:rsidR="007123C7" w:rsidRPr="001F3926" w:rsidRDefault="007123C7" w:rsidP="00E82294">
            <w:pPr>
              <w:pStyle w:val="TableText"/>
              <w:jc w:val="right"/>
            </w:pPr>
            <w:r w:rsidRPr="001F3926">
              <w:rPr>
                <w:rFonts w:cs="Arial"/>
              </w:rPr>
              <w:t>847</w:t>
            </w:r>
          </w:p>
        </w:tc>
        <w:tc>
          <w:tcPr>
            <w:tcW w:w="352" w:type="pct"/>
            <w:tcBorders>
              <w:top w:val="nil"/>
            </w:tcBorders>
          </w:tcPr>
          <w:p w14:paraId="44C3D0B2" w14:textId="77777777" w:rsidR="007123C7" w:rsidRPr="001F3926" w:rsidRDefault="007123C7" w:rsidP="00E82294">
            <w:pPr>
              <w:pStyle w:val="TableText"/>
              <w:jc w:val="right"/>
            </w:pPr>
            <w:r w:rsidRPr="001F3926">
              <w:rPr>
                <w:rFonts w:cs="Arial"/>
              </w:rPr>
              <w:t>5990</w:t>
            </w:r>
          </w:p>
        </w:tc>
        <w:tc>
          <w:tcPr>
            <w:tcW w:w="406" w:type="pct"/>
            <w:tcBorders>
              <w:top w:val="nil"/>
            </w:tcBorders>
          </w:tcPr>
          <w:p w14:paraId="272A1D53" w14:textId="77777777" w:rsidR="007123C7" w:rsidRPr="001F3926" w:rsidRDefault="007123C7" w:rsidP="00E82294">
            <w:pPr>
              <w:pStyle w:val="TableText"/>
              <w:jc w:val="right"/>
            </w:pPr>
            <w:r w:rsidRPr="001F3926">
              <w:rPr>
                <w:rFonts w:cs="Arial"/>
              </w:rPr>
              <w:t>88.5 (86.0</w:t>
            </w:r>
            <w:r w:rsidR="0062434A" w:rsidRPr="001F3926">
              <w:rPr>
                <w:rFonts w:cs="Arial"/>
              </w:rPr>
              <w:t>, </w:t>
            </w:r>
            <w:r w:rsidRPr="001F3926">
              <w:rPr>
                <w:rFonts w:cs="Arial"/>
              </w:rPr>
              <w:t>90.6)</w:t>
            </w:r>
          </w:p>
        </w:tc>
        <w:tc>
          <w:tcPr>
            <w:tcW w:w="218" w:type="pct"/>
            <w:tcBorders>
              <w:top w:val="nil"/>
            </w:tcBorders>
          </w:tcPr>
          <w:p w14:paraId="15B3B8C5" w14:textId="77777777" w:rsidR="007123C7" w:rsidRPr="001F3926" w:rsidRDefault="007123C7" w:rsidP="00E82294">
            <w:pPr>
              <w:pStyle w:val="TableText"/>
              <w:jc w:val="right"/>
            </w:pPr>
            <w:r w:rsidRPr="001F3926">
              <w:rPr>
                <w:rFonts w:cs="Arial"/>
              </w:rPr>
              <w:t>132</w:t>
            </w:r>
          </w:p>
        </w:tc>
        <w:tc>
          <w:tcPr>
            <w:tcW w:w="352" w:type="pct"/>
            <w:tcBorders>
              <w:top w:val="nil"/>
            </w:tcBorders>
          </w:tcPr>
          <w:p w14:paraId="2AC41936" w14:textId="77777777" w:rsidR="007123C7" w:rsidRPr="001F3926" w:rsidRDefault="007123C7" w:rsidP="00E82294">
            <w:pPr>
              <w:pStyle w:val="TableText"/>
              <w:jc w:val="right"/>
            </w:pPr>
            <w:r w:rsidRPr="001F3926">
              <w:rPr>
                <w:rFonts w:cs="Arial"/>
              </w:rPr>
              <w:t>779</w:t>
            </w:r>
          </w:p>
        </w:tc>
        <w:tc>
          <w:tcPr>
            <w:tcW w:w="367" w:type="pct"/>
            <w:tcBorders>
              <w:top w:val="nil"/>
            </w:tcBorders>
          </w:tcPr>
          <w:p w14:paraId="4007F692" w14:textId="77777777" w:rsidR="007123C7" w:rsidRPr="001F3926" w:rsidRDefault="007123C7" w:rsidP="00E82294">
            <w:pPr>
              <w:pStyle w:val="TableText"/>
              <w:jc w:val="right"/>
            </w:pPr>
            <w:r w:rsidRPr="001F3926">
              <w:rPr>
                <w:rFonts w:cs="Arial"/>
              </w:rPr>
              <w:t>11.5 (9.4</w:t>
            </w:r>
            <w:r w:rsidR="0062434A" w:rsidRPr="001F3926">
              <w:rPr>
                <w:rFonts w:cs="Arial"/>
              </w:rPr>
              <w:t>, </w:t>
            </w:r>
            <w:r w:rsidRPr="001F3926">
              <w:rPr>
                <w:rFonts w:cs="Arial"/>
              </w:rPr>
              <w:t>14.0)</w:t>
            </w:r>
          </w:p>
        </w:tc>
        <w:tc>
          <w:tcPr>
            <w:tcW w:w="219" w:type="pct"/>
            <w:tcBorders>
              <w:top w:val="nil"/>
            </w:tcBorders>
          </w:tcPr>
          <w:p w14:paraId="0C8B2399" w14:textId="77777777" w:rsidR="007123C7" w:rsidRPr="001F3926" w:rsidRDefault="007123C7" w:rsidP="00E82294">
            <w:pPr>
              <w:pStyle w:val="TableText"/>
              <w:jc w:val="right"/>
            </w:pPr>
            <w:r w:rsidRPr="001F3926">
              <w:rPr>
                <w:rFonts w:cs="Arial"/>
              </w:rPr>
              <w:t>716</w:t>
            </w:r>
          </w:p>
        </w:tc>
        <w:tc>
          <w:tcPr>
            <w:tcW w:w="351" w:type="pct"/>
            <w:tcBorders>
              <w:top w:val="nil"/>
            </w:tcBorders>
          </w:tcPr>
          <w:p w14:paraId="50E14EEA" w14:textId="77777777" w:rsidR="007123C7" w:rsidRPr="001F3926" w:rsidRDefault="007123C7" w:rsidP="00E82294">
            <w:pPr>
              <w:pStyle w:val="TableText"/>
              <w:jc w:val="right"/>
            </w:pPr>
            <w:r w:rsidRPr="001F3926">
              <w:rPr>
                <w:rFonts w:cs="Arial"/>
              </w:rPr>
              <w:t>5914</w:t>
            </w:r>
          </w:p>
        </w:tc>
        <w:tc>
          <w:tcPr>
            <w:tcW w:w="396" w:type="pct"/>
            <w:tcBorders>
              <w:top w:val="nil"/>
            </w:tcBorders>
          </w:tcPr>
          <w:p w14:paraId="6E9D58E5" w14:textId="77777777" w:rsidR="007123C7" w:rsidRPr="001F3926" w:rsidRDefault="007123C7" w:rsidP="00E82294">
            <w:pPr>
              <w:pStyle w:val="TableText"/>
              <w:jc w:val="right"/>
            </w:pPr>
            <w:r w:rsidRPr="001F3926">
              <w:rPr>
                <w:rFonts w:cs="Arial"/>
              </w:rPr>
              <w:t>80.1 (71.0</w:t>
            </w:r>
            <w:r w:rsidR="0062434A" w:rsidRPr="001F3926">
              <w:rPr>
                <w:rFonts w:cs="Arial"/>
              </w:rPr>
              <w:t>, </w:t>
            </w:r>
            <w:r w:rsidRPr="001F3926">
              <w:rPr>
                <w:rFonts w:cs="Arial"/>
              </w:rPr>
              <w:t>86.8)</w:t>
            </w:r>
          </w:p>
        </w:tc>
        <w:tc>
          <w:tcPr>
            <w:tcW w:w="230" w:type="pct"/>
            <w:tcBorders>
              <w:top w:val="nil"/>
            </w:tcBorders>
          </w:tcPr>
          <w:p w14:paraId="25684CFE" w14:textId="77777777" w:rsidR="007123C7" w:rsidRPr="001F3926" w:rsidRDefault="007123C7" w:rsidP="00E82294">
            <w:pPr>
              <w:pStyle w:val="TableText"/>
              <w:jc w:val="right"/>
            </w:pPr>
            <w:r w:rsidRPr="001F3926">
              <w:rPr>
                <w:rFonts w:cs="Arial"/>
              </w:rPr>
              <w:t>215</w:t>
            </w:r>
          </w:p>
        </w:tc>
        <w:tc>
          <w:tcPr>
            <w:tcW w:w="351" w:type="pct"/>
            <w:tcBorders>
              <w:top w:val="nil"/>
            </w:tcBorders>
          </w:tcPr>
          <w:p w14:paraId="2D5E733B" w14:textId="77777777" w:rsidR="007123C7" w:rsidRPr="001F3926" w:rsidRDefault="007123C7" w:rsidP="00E82294">
            <w:pPr>
              <w:pStyle w:val="TableText"/>
              <w:jc w:val="right"/>
            </w:pPr>
            <w:r w:rsidRPr="001F3926">
              <w:rPr>
                <w:rFonts w:cs="Arial"/>
              </w:rPr>
              <w:t>1473</w:t>
            </w:r>
          </w:p>
        </w:tc>
        <w:tc>
          <w:tcPr>
            <w:tcW w:w="458" w:type="pct"/>
            <w:tcBorders>
              <w:top w:val="nil"/>
            </w:tcBorders>
          </w:tcPr>
          <w:p w14:paraId="1B7778CD" w14:textId="77777777" w:rsidR="007123C7" w:rsidRPr="001F3926" w:rsidRDefault="007123C7" w:rsidP="00E82294">
            <w:pPr>
              <w:pStyle w:val="TableText"/>
              <w:jc w:val="right"/>
            </w:pPr>
            <w:r w:rsidRPr="001F3926">
              <w:rPr>
                <w:rFonts w:cs="Arial"/>
              </w:rPr>
              <w:t>19.9 (13.2</w:t>
            </w:r>
            <w:r w:rsidR="0062434A" w:rsidRPr="001F3926">
              <w:rPr>
                <w:rFonts w:cs="Arial"/>
              </w:rPr>
              <w:t>, </w:t>
            </w:r>
            <w:r w:rsidRPr="001F3926">
              <w:rPr>
                <w:rFonts w:cs="Arial"/>
              </w:rPr>
              <w:t>29.0)</w:t>
            </w:r>
          </w:p>
        </w:tc>
      </w:tr>
      <w:tr w:rsidR="0062434A" w:rsidRPr="001F3926" w14:paraId="190AFFD1"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Pr>
          <w:p w14:paraId="38948F12" w14:textId="77777777" w:rsidR="007123C7" w:rsidRPr="001F3926" w:rsidRDefault="007155C2" w:rsidP="00E82294">
            <w:pPr>
              <w:pStyle w:val="TableText"/>
              <w:rPr>
                <w:bCs/>
                <w:color w:val="000000" w:themeColor="text1"/>
              </w:rPr>
            </w:pPr>
            <w:r>
              <w:t>Subsyndromal</w:t>
            </w:r>
            <w:r w:rsidR="007123C7" w:rsidRPr="001F3926">
              <w:t xml:space="preserve"> disorder </w:t>
            </w:r>
          </w:p>
        </w:tc>
        <w:tc>
          <w:tcPr>
            <w:tcW w:w="217" w:type="pct"/>
          </w:tcPr>
          <w:p w14:paraId="36417663" w14:textId="77777777" w:rsidR="007123C7" w:rsidRPr="001F3926" w:rsidRDefault="007123C7" w:rsidP="00E82294">
            <w:pPr>
              <w:pStyle w:val="TableText"/>
              <w:jc w:val="right"/>
            </w:pPr>
            <w:r w:rsidRPr="001F3926">
              <w:rPr>
                <w:rFonts w:cs="Arial"/>
              </w:rPr>
              <w:t>668</w:t>
            </w:r>
          </w:p>
        </w:tc>
        <w:tc>
          <w:tcPr>
            <w:tcW w:w="352" w:type="pct"/>
          </w:tcPr>
          <w:p w14:paraId="08678D6F" w14:textId="77777777" w:rsidR="007123C7" w:rsidRPr="001F3926" w:rsidRDefault="007123C7" w:rsidP="00E82294">
            <w:pPr>
              <w:pStyle w:val="TableText"/>
              <w:jc w:val="right"/>
            </w:pPr>
            <w:r w:rsidRPr="001F3926">
              <w:rPr>
                <w:rFonts w:cs="Arial"/>
              </w:rPr>
              <w:t>4315</w:t>
            </w:r>
          </w:p>
        </w:tc>
        <w:tc>
          <w:tcPr>
            <w:tcW w:w="406" w:type="pct"/>
          </w:tcPr>
          <w:p w14:paraId="07A98A28" w14:textId="77777777" w:rsidR="007123C7" w:rsidRPr="001F3926" w:rsidRDefault="007123C7" w:rsidP="00E82294">
            <w:pPr>
              <w:pStyle w:val="TableText"/>
              <w:jc w:val="right"/>
            </w:pPr>
            <w:r w:rsidRPr="001F3926">
              <w:rPr>
                <w:rFonts w:cs="Arial"/>
              </w:rPr>
              <w:t>86.2 (82.7</w:t>
            </w:r>
            <w:r w:rsidR="0062434A" w:rsidRPr="001F3926">
              <w:rPr>
                <w:rFonts w:cs="Arial"/>
              </w:rPr>
              <w:t>, </w:t>
            </w:r>
            <w:r w:rsidRPr="001F3926">
              <w:rPr>
                <w:rFonts w:cs="Arial"/>
              </w:rPr>
              <w:t>89.1)</w:t>
            </w:r>
          </w:p>
        </w:tc>
        <w:tc>
          <w:tcPr>
            <w:tcW w:w="218" w:type="pct"/>
          </w:tcPr>
          <w:p w14:paraId="0E25E82B" w14:textId="77777777" w:rsidR="007123C7" w:rsidRPr="001F3926" w:rsidRDefault="007123C7" w:rsidP="00E82294">
            <w:pPr>
              <w:pStyle w:val="TableText"/>
              <w:jc w:val="right"/>
            </w:pPr>
            <w:r w:rsidRPr="001F3926">
              <w:rPr>
                <w:rFonts w:cs="Arial"/>
              </w:rPr>
              <w:t>101</w:t>
            </w:r>
          </w:p>
        </w:tc>
        <w:tc>
          <w:tcPr>
            <w:tcW w:w="352" w:type="pct"/>
          </w:tcPr>
          <w:p w14:paraId="5F485F9C" w14:textId="77777777" w:rsidR="007123C7" w:rsidRPr="001F3926" w:rsidRDefault="007123C7" w:rsidP="00E82294">
            <w:pPr>
              <w:pStyle w:val="TableText"/>
              <w:jc w:val="right"/>
            </w:pPr>
            <w:r w:rsidRPr="001F3926">
              <w:rPr>
                <w:rFonts w:cs="Arial"/>
              </w:rPr>
              <w:t>689</w:t>
            </w:r>
          </w:p>
        </w:tc>
        <w:tc>
          <w:tcPr>
            <w:tcW w:w="367" w:type="pct"/>
          </w:tcPr>
          <w:p w14:paraId="7688C108" w14:textId="77777777" w:rsidR="007123C7" w:rsidRPr="001F3926" w:rsidRDefault="007123C7" w:rsidP="00E82294">
            <w:pPr>
              <w:pStyle w:val="TableText"/>
              <w:jc w:val="right"/>
            </w:pPr>
            <w:r w:rsidRPr="001F3926">
              <w:rPr>
                <w:rFonts w:cs="Arial"/>
              </w:rPr>
              <w:t>13.8 (10.9</w:t>
            </w:r>
            <w:r w:rsidR="0062434A" w:rsidRPr="001F3926">
              <w:rPr>
                <w:rFonts w:cs="Arial"/>
              </w:rPr>
              <w:t>, </w:t>
            </w:r>
            <w:r w:rsidRPr="001F3926">
              <w:rPr>
                <w:rFonts w:cs="Arial"/>
              </w:rPr>
              <w:t>17.3)</w:t>
            </w:r>
          </w:p>
        </w:tc>
        <w:tc>
          <w:tcPr>
            <w:tcW w:w="219" w:type="pct"/>
          </w:tcPr>
          <w:p w14:paraId="7762362E" w14:textId="77777777" w:rsidR="007123C7" w:rsidRPr="001F3926" w:rsidRDefault="007123C7" w:rsidP="00E82294">
            <w:pPr>
              <w:pStyle w:val="TableText"/>
              <w:jc w:val="right"/>
            </w:pPr>
            <w:r w:rsidRPr="001F3926">
              <w:rPr>
                <w:rFonts w:cs="Arial"/>
              </w:rPr>
              <w:t>1028</w:t>
            </w:r>
          </w:p>
        </w:tc>
        <w:tc>
          <w:tcPr>
            <w:tcW w:w="351" w:type="pct"/>
          </w:tcPr>
          <w:p w14:paraId="0DC580AB" w14:textId="77777777" w:rsidR="007123C7" w:rsidRPr="001F3926" w:rsidRDefault="007123C7" w:rsidP="00E82294">
            <w:pPr>
              <w:pStyle w:val="TableText"/>
              <w:jc w:val="right"/>
            </w:pPr>
            <w:r w:rsidRPr="001F3926">
              <w:rPr>
                <w:rFonts w:cs="Arial"/>
              </w:rPr>
              <w:t>7909</w:t>
            </w:r>
          </w:p>
        </w:tc>
        <w:tc>
          <w:tcPr>
            <w:tcW w:w="396" w:type="pct"/>
          </w:tcPr>
          <w:p w14:paraId="6CE5E0A2" w14:textId="77777777" w:rsidR="007123C7" w:rsidRPr="001F3926" w:rsidRDefault="007123C7" w:rsidP="00E82294">
            <w:pPr>
              <w:pStyle w:val="TableText"/>
              <w:jc w:val="right"/>
            </w:pPr>
            <w:r w:rsidRPr="001F3926">
              <w:rPr>
                <w:rFonts w:cs="Arial"/>
              </w:rPr>
              <w:t>83.8 (77.0</w:t>
            </w:r>
            <w:r w:rsidR="0062434A" w:rsidRPr="001F3926">
              <w:rPr>
                <w:rFonts w:cs="Arial"/>
              </w:rPr>
              <w:t>, </w:t>
            </w:r>
            <w:r w:rsidRPr="001F3926">
              <w:rPr>
                <w:rFonts w:cs="Arial"/>
              </w:rPr>
              <w:t>88.9)</w:t>
            </w:r>
          </w:p>
        </w:tc>
        <w:tc>
          <w:tcPr>
            <w:tcW w:w="230" w:type="pct"/>
          </w:tcPr>
          <w:p w14:paraId="49E78FC0" w14:textId="77777777" w:rsidR="007123C7" w:rsidRPr="001F3926" w:rsidRDefault="007123C7" w:rsidP="00E82294">
            <w:pPr>
              <w:pStyle w:val="TableText"/>
              <w:jc w:val="right"/>
            </w:pPr>
            <w:r w:rsidRPr="001F3926">
              <w:rPr>
                <w:rFonts w:cs="Arial"/>
              </w:rPr>
              <w:t>293</w:t>
            </w:r>
          </w:p>
        </w:tc>
        <w:tc>
          <w:tcPr>
            <w:tcW w:w="351" w:type="pct"/>
          </w:tcPr>
          <w:p w14:paraId="53829DFA" w14:textId="77777777" w:rsidR="007123C7" w:rsidRPr="001F3926" w:rsidRDefault="007123C7" w:rsidP="00E82294">
            <w:pPr>
              <w:pStyle w:val="TableText"/>
              <w:jc w:val="right"/>
            </w:pPr>
            <w:r w:rsidRPr="001F3926">
              <w:rPr>
                <w:rFonts w:cs="Arial"/>
              </w:rPr>
              <w:t>1527</w:t>
            </w:r>
          </w:p>
        </w:tc>
        <w:tc>
          <w:tcPr>
            <w:tcW w:w="458" w:type="pct"/>
          </w:tcPr>
          <w:p w14:paraId="54F368DE" w14:textId="77777777" w:rsidR="007123C7" w:rsidRPr="001F3926" w:rsidRDefault="007123C7" w:rsidP="00E82294">
            <w:pPr>
              <w:pStyle w:val="TableText"/>
              <w:jc w:val="right"/>
            </w:pPr>
            <w:r w:rsidRPr="001F3926">
              <w:rPr>
                <w:rFonts w:cs="Arial"/>
              </w:rPr>
              <w:t>16.2 (11.1</w:t>
            </w:r>
            <w:r w:rsidR="0062434A" w:rsidRPr="001F3926">
              <w:rPr>
                <w:rFonts w:cs="Arial"/>
              </w:rPr>
              <w:t>, </w:t>
            </w:r>
            <w:r w:rsidRPr="001F3926">
              <w:rPr>
                <w:rFonts w:cs="Arial"/>
              </w:rPr>
              <w:t>23.0)</w:t>
            </w:r>
          </w:p>
        </w:tc>
      </w:tr>
      <w:tr w:rsidR="0062434A" w:rsidRPr="001F3926" w14:paraId="54256AD2" w14:textId="77777777" w:rsidTr="0062434A">
        <w:trPr>
          <w:cantSplit/>
        </w:trPr>
        <w:tc>
          <w:tcPr>
            <w:tcW w:w="1083" w:type="pct"/>
            <w:tcBorders>
              <w:bottom w:val="single" w:sz="4" w:space="0" w:color="000000"/>
            </w:tcBorders>
          </w:tcPr>
          <w:p w14:paraId="5604AF5E" w14:textId="77777777" w:rsidR="007123C7" w:rsidRPr="001F3926" w:rsidRDefault="007123C7" w:rsidP="00E82294">
            <w:pPr>
              <w:pStyle w:val="TableText"/>
            </w:pPr>
            <w:r w:rsidRPr="001F3926">
              <w:t>No disorder</w:t>
            </w:r>
          </w:p>
        </w:tc>
        <w:tc>
          <w:tcPr>
            <w:tcW w:w="217" w:type="pct"/>
            <w:tcBorders>
              <w:bottom w:val="single" w:sz="4" w:space="0" w:color="000000"/>
            </w:tcBorders>
          </w:tcPr>
          <w:p w14:paraId="0CC89D11" w14:textId="77777777" w:rsidR="007123C7" w:rsidRPr="001F3926" w:rsidRDefault="007123C7" w:rsidP="00E82294">
            <w:pPr>
              <w:pStyle w:val="TableText"/>
              <w:jc w:val="right"/>
            </w:pPr>
            <w:r w:rsidRPr="001F3926">
              <w:rPr>
                <w:rFonts w:cs="Arial"/>
              </w:rPr>
              <w:t>1843</w:t>
            </w:r>
          </w:p>
        </w:tc>
        <w:tc>
          <w:tcPr>
            <w:tcW w:w="352" w:type="pct"/>
            <w:tcBorders>
              <w:bottom w:val="single" w:sz="4" w:space="0" w:color="000000"/>
            </w:tcBorders>
          </w:tcPr>
          <w:p w14:paraId="073E4895" w14:textId="77777777" w:rsidR="007123C7" w:rsidRPr="001F3926" w:rsidRDefault="007123C7" w:rsidP="00E82294">
            <w:pPr>
              <w:pStyle w:val="TableText"/>
              <w:jc w:val="right"/>
            </w:pPr>
            <w:r w:rsidRPr="001F3926">
              <w:rPr>
                <w:rFonts w:cs="Arial"/>
              </w:rPr>
              <w:t>12000</w:t>
            </w:r>
          </w:p>
        </w:tc>
        <w:tc>
          <w:tcPr>
            <w:tcW w:w="406" w:type="pct"/>
            <w:tcBorders>
              <w:bottom w:val="single" w:sz="4" w:space="0" w:color="000000"/>
            </w:tcBorders>
          </w:tcPr>
          <w:p w14:paraId="7B732077" w14:textId="77777777" w:rsidR="007123C7" w:rsidRPr="001F3926" w:rsidRDefault="007123C7" w:rsidP="00E82294">
            <w:pPr>
              <w:pStyle w:val="TableText"/>
              <w:jc w:val="right"/>
            </w:pPr>
            <w:r w:rsidRPr="001F3926">
              <w:rPr>
                <w:rFonts w:cs="Arial"/>
              </w:rPr>
              <w:t>92.3 (90.7</w:t>
            </w:r>
            <w:r w:rsidR="0062434A" w:rsidRPr="001F3926">
              <w:rPr>
                <w:rFonts w:cs="Arial"/>
              </w:rPr>
              <w:t>, </w:t>
            </w:r>
            <w:r w:rsidRPr="001F3926">
              <w:rPr>
                <w:rFonts w:cs="Arial"/>
              </w:rPr>
              <w:t>93.6)</w:t>
            </w:r>
          </w:p>
        </w:tc>
        <w:tc>
          <w:tcPr>
            <w:tcW w:w="218" w:type="pct"/>
            <w:tcBorders>
              <w:bottom w:val="single" w:sz="4" w:space="0" w:color="000000"/>
            </w:tcBorders>
          </w:tcPr>
          <w:p w14:paraId="0AB1791C" w14:textId="77777777" w:rsidR="007123C7" w:rsidRPr="001F3926" w:rsidRDefault="007123C7" w:rsidP="00E82294">
            <w:pPr>
              <w:pStyle w:val="TableText"/>
              <w:jc w:val="right"/>
            </w:pPr>
            <w:r w:rsidRPr="001F3926">
              <w:rPr>
                <w:rFonts w:cs="Arial"/>
              </w:rPr>
              <w:t>164</w:t>
            </w:r>
          </w:p>
        </w:tc>
        <w:tc>
          <w:tcPr>
            <w:tcW w:w="352" w:type="pct"/>
            <w:tcBorders>
              <w:bottom w:val="single" w:sz="4" w:space="0" w:color="000000"/>
            </w:tcBorders>
          </w:tcPr>
          <w:p w14:paraId="557FCEA8" w14:textId="77777777" w:rsidR="007123C7" w:rsidRPr="001F3926" w:rsidRDefault="007123C7" w:rsidP="00E82294">
            <w:pPr>
              <w:pStyle w:val="TableText"/>
              <w:jc w:val="right"/>
            </w:pPr>
            <w:r w:rsidRPr="001F3926">
              <w:rPr>
                <w:rFonts w:cs="Arial"/>
              </w:rPr>
              <w:t>1004</w:t>
            </w:r>
          </w:p>
        </w:tc>
        <w:tc>
          <w:tcPr>
            <w:tcW w:w="367" w:type="pct"/>
            <w:tcBorders>
              <w:bottom w:val="single" w:sz="4" w:space="0" w:color="000000"/>
            </w:tcBorders>
          </w:tcPr>
          <w:p w14:paraId="2327F8AC" w14:textId="77777777" w:rsidR="007123C7" w:rsidRPr="001F3926" w:rsidRDefault="007123C7" w:rsidP="00E82294">
            <w:pPr>
              <w:pStyle w:val="TableText"/>
              <w:jc w:val="right"/>
            </w:pPr>
            <w:r w:rsidRPr="001F3926">
              <w:rPr>
                <w:rFonts w:cs="Arial"/>
              </w:rPr>
              <w:t>7.7 (6.4</w:t>
            </w:r>
            <w:r w:rsidR="0062434A" w:rsidRPr="001F3926">
              <w:rPr>
                <w:rFonts w:cs="Arial"/>
              </w:rPr>
              <w:t>, </w:t>
            </w:r>
            <w:r w:rsidRPr="001F3926">
              <w:rPr>
                <w:rFonts w:cs="Arial"/>
              </w:rPr>
              <w:t>9.3)</w:t>
            </w:r>
          </w:p>
        </w:tc>
        <w:tc>
          <w:tcPr>
            <w:tcW w:w="219" w:type="pct"/>
            <w:tcBorders>
              <w:bottom w:val="single" w:sz="4" w:space="0" w:color="000000"/>
            </w:tcBorders>
          </w:tcPr>
          <w:p w14:paraId="4F7B98B4" w14:textId="77777777" w:rsidR="007123C7" w:rsidRPr="001F3926" w:rsidRDefault="007123C7" w:rsidP="00E82294">
            <w:pPr>
              <w:pStyle w:val="TableText"/>
              <w:jc w:val="right"/>
            </w:pPr>
            <w:r w:rsidRPr="001F3926">
              <w:rPr>
                <w:rFonts w:cs="Arial"/>
              </w:rPr>
              <w:t>4642</w:t>
            </w:r>
          </w:p>
        </w:tc>
        <w:tc>
          <w:tcPr>
            <w:tcW w:w="351" w:type="pct"/>
            <w:tcBorders>
              <w:bottom w:val="single" w:sz="4" w:space="0" w:color="000000"/>
            </w:tcBorders>
          </w:tcPr>
          <w:p w14:paraId="539E1066" w14:textId="77777777" w:rsidR="007123C7" w:rsidRPr="001F3926" w:rsidRDefault="007123C7" w:rsidP="00E82294">
            <w:pPr>
              <w:pStyle w:val="TableText"/>
              <w:jc w:val="right"/>
            </w:pPr>
            <w:r w:rsidRPr="001F3926">
              <w:rPr>
                <w:rFonts w:cs="Arial"/>
              </w:rPr>
              <w:t>30,512</w:t>
            </w:r>
          </w:p>
        </w:tc>
        <w:tc>
          <w:tcPr>
            <w:tcW w:w="396" w:type="pct"/>
            <w:tcBorders>
              <w:bottom w:val="single" w:sz="4" w:space="0" w:color="000000"/>
            </w:tcBorders>
          </w:tcPr>
          <w:p w14:paraId="71E7FF2E" w14:textId="77777777" w:rsidR="007123C7" w:rsidRPr="001F3926" w:rsidRDefault="007123C7" w:rsidP="00E82294">
            <w:pPr>
              <w:pStyle w:val="TableText"/>
              <w:jc w:val="right"/>
            </w:pPr>
            <w:r w:rsidRPr="001F3926">
              <w:rPr>
                <w:rFonts w:cs="Arial"/>
              </w:rPr>
              <w:t>87.1 (83.8</w:t>
            </w:r>
            <w:r w:rsidR="0062434A" w:rsidRPr="001F3926">
              <w:rPr>
                <w:rFonts w:cs="Arial"/>
              </w:rPr>
              <w:t>, </w:t>
            </w:r>
            <w:r w:rsidRPr="001F3926">
              <w:rPr>
                <w:rFonts w:cs="Arial"/>
              </w:rPr>
              <w:t>89.8)</w:t>
            </w:r>
          </w:p>
        </w:tc>
        <w:tc>
          <w:tcPr>
            <w:tcW w:w="230" w:type="pct"/>
            <w:tcBorders>
              <w:bottom w:val="single" w:sz="4" w:space="0" w:color="000000"/>
            </w:tcBorders>
          </w:tcPr>
          <w:p w14:paraId="6C3577A7" w14:textId="77777777" w:rsidR="007123C7" w:rsidRPr="001F3926" w:rsidRDefault="007123C7" w:rsidP="00E82294">
            <w:pPr>
              <w:pStyle w:val="TableText"/>
              <w:jc w:val="right"/>
            </w:pPr>
            <w:r w:rsidRPr="001F3926">
              <w:rPr>
                <w:rFonts w:cs="Arial"/>
              </w:rPr>
              <w:t>768</w:t>
            </w:r>
          </w:p>
        </w:tc>
        <w:tc>
          <w:tcPr>
            <w:tcW w:w="351" w:type="pct"/>
            <w:tcBorders>
              <w:bottom w:val="single" w:sz="4" w:space="0" w:color="000000"/>
            </w:tcBorders>
          </w:tcPr>
          <w:p w14:paraId="5A3C29E4" w14:textId="77777777" w:rsidR="007123C7" w:rsidRPr="001F3926" w:rsidRDefault="007123C7" w:rsidP="00E82294">
            <w:pPr>
              <w:pStyle w:val="TableText"/>
              <w:jc w:val="right"/>
            </w:pPr>
            <w:r w:rsidRPr="001F3926">
              <w:rPr>
                <w:rFonts w:cs="Arial"/>
              </w:rPr>
              <w:t>4526</w:t>
            </w:r>
          </w:p>
        </w:tc>
        <w:tc>
          <w:tcPr>
            <w:tcW w:w="458" w:type="pct"/>
            <w:tcBorders>
              <w:bottom w:val="single" w:sz="4" w:space="0" w:color="000000"/>
            </w:tcBorders>
          </w:tcPr>
          <w:p w14:paraId="51200324" w14:textId="77777777" w:rsidR="007123C7" w:rsidRPr="001F3926" w:rsidRDefault="007123C7" w:rsidP="00E82294">
            <w:pPr>
              <w:pStyle w:val="TableText"/>
              <w:jc w:val="right"/>
            </w:pPr>
            <w:r w:rsidRPr="001F3926">
              <w:rPr>
                <w:rFonts w:cs="Arial"/>
              </w:rPr>
              <w:t>12.9 (10.2</w:t>
            </w:r>
            <w:r w:rsidR="0062434A" w:rsidRPr="001F3926">
              <w:rPr>
                <w:rFonts w:cs="Arial"/>
              </w:rPr>
              <w:t>, </w:t>
            </w:r>
            <w:r w:rsidRPr="001F3926">
              <w:rPr>
                <w:rFonts w:cs="Arial"/>
              </w:rPr>
              <w:t>16.2)</w:t>
            </w:r>
          </w:p>
        </w:tc>
      </w:tr>
      <w:tr w:rsidR="0062434A" w:rsidRPr="001F3926" w14:paraId="01D09E5A"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Borders>
              <w:top w:val="single" w:sz="4" w:space="0" w:color="000000"/>
              <w:bottom w:val="nil"/>
            </w:tcBorders>
          </w:tcPr>
          <w:p w14:paraId="3A7FE5F6" w14:textId="77777777" w:rsidR="007123C7" w:rsidRPr="001F3926" w:rsidRDefault="007123C7" w:rsidP="00E82294">
            <w:pPr>
              <w:pStyle w:val="TableText"/>
              <w:rPr>
                <w:b/>
                <w:bCs/>
                <w:color w:val="000000" w:themeColor="text1"/>
              </w:rPr>
            </w:pPr>
            <w:r w:rsidRPr="001F3926">
              <w:rPr>
                <w:b/>
              </w:rPr>
              <w:t>Probable alcohol use disorder (AUDIT)</w:t>
            </w:r>
          </w:p>
        </w:tc>
        <w:tc>
          <w:tcPr>
            <w:tcW w:w="217" w:type="pct"/>
            <w:tcBorders>
              <w:top w:val="single" w:sz="4" w:space="0" w:color="000000"/>
              <w:bottom w:val="nil"/>
            </w:tcBorders>
          </w:tcPr>
          <w:p w14:paraId="57A5E8E1" w14:textId="77777777" w:rsidR="007123C7" w:rsidRPr="001F3926" w:rsidRDefault="007123C7" w:rsidP="00E82294">
            <w:pPr>
              <w:pStyle w:val="TableText"/>
              <w:jc w:val="right"/>
            </w:pPr>
          </w:p>
        </w:tc>
        <w:tc>
          <w:tcPr>
            <w:tcW w:w="352" w:type="pct"/>
            <w:tcBorders>
              <w:top w:val="single" w:sz="4" w:space="0" w:color="000000"/>
              <w:bottom w:val="nil"/>
            </w:tcBorders>
          </w:tcPr>
          <w:p w14:paraId="12E3E9C4" w14:textId="77777777" w:rsidR="007123C7" w:rsidRPr="001F3926" w:rsidRDefault="007123C7" w:rsidP="00E82294">
            <w:pPr>
              <w:pStyle w:val="TableText"/>
              <w:jc w:val="right"/>
            </w:pPr>
          </w:p>
        </w:tc>
        <w:tc>
          <w:tcPr>
            <w:tcW w:w="406" w:type="pct"/>
            <w:tcBorders>
              <w:top w:val="single" w:sz="4" w:space="0" w:color="000000"/>
              <w:bottom w:val="nil"/>
            </w:tcBorders>
          </w:tcPr>
          <w:p w14:paraId="4C8BB881" w14:textId="77777777" w:rsidR="007123C7" w:rsidRPr="001F3926" w:rsidRDefault="007123C7" w:rsidP="00E82294">
            <w:pPr>
              <w:pStyle w:val="TableText"/>
              <w:jc w:val="right"/>
            </w:pPr>
          </w:p>
        </w:tc>
        <w:tc>
          <w:tcPr>
            <w:tcW w:w="218" w:type="pct"/>
            <w:tcBorders>
              <w:top w:val="single" w:sz="4" w:space="0" w:color="000000"/>
              <w:bottom w:val="nil"/>
            </w:tcBorders>
          </w:tcPr>
          <w:p w14:paraId="2731FE76" w14:textId="77777777" w:rsidR="007123C7" w:rsidRPr="001F3926" w:rsidRDefault="007123C7" w:rsidP="00E82294">
            <w:pPr>
              <w:pStyle w:val="TableText"/>
              <w:jc w:val="right"/>
            </w:pPr>
          </w:p>
        </w:tc>
        <w:tc>
          <w:tcPr>
            <w:tcW w:w="352" w:type="pct"/>
            <w:tcBorders>
              <w:top w:val="single" w:sz="4" w:space="0" w:color="000000"/>
              <w:bottom w:val="nil"/>
            </w:tcBorders>
          </w:tcPr>
          <w:p w14:paraId="43FBC74A" w14:textId="77777777" w:rsidR="007123C7" w:rsidRPr="001F3926" w:rsidRDefault="007123C7" w:rsidP="00E82294">
            <w:pPr>
              <w:pStyle w:val="TableText"/>
              <w:jc w:val="right"/>
            </w:pPr>
          </w:p>
        </w:tc>
        <w:tc>
          <w:tcPr>
            <w:tcW w:w="367" w:type="pct"/>
            <w:tcBorders>
              <w:top w:val="single" w:sz="4" w:space="0" w:color="000000"/>
              <w:bottom w:val="nil"/>
            </w:tcBorders>
          </w:tcPr>
          <w:p w14:paraId="2D19343B" w14:textId="77777777" w:rsidR="007123C7" w:rsidRPr="001F3926" w:rsidRDefault="007123C7" w:rsidP="00E82294">
            <w:pPr>
              <w:pStyle w:val="TableText"/>
              <w:jc w:val="right"/>
            </w:pPr>
          </w:p>
        </w:tc>
        <w:tc>
          <w:tcPr>
            <w:tcW w:w="219" w:type="pct"/>
            <w:tcBorders>
              <w:top w:val="single" w:sz="4" w:space="0" w:color="000000"/>
              <w:bottom w:val="nil"/>
            </w:tcBorders>
          </w:tcPr>
          <w:p w14:paraId="3AF586D0" w14:textId="77777777" w:rsidR="007123C7" w:rsidRPr="001F3926" w:rsidRDefault="007123C7" w:rsidP="00E82294">
            <w:pPr>
              <w:pStyle w:val="TableText"/>
              <w:jc w:val="right"/>
            </w:pPr>
          </w:p>
        </w:tc>
        <w:tc>
          <w:tcPr>
            <w:tcW w:w="351" w:type="pct"/>
            <w:tcBorders>
              <w:top w:val="single" w:sz="4" w:space="0" w:color="000000"/>
              <w:bottom w:val="nil"/>
            </w:tcBorders>
          </w:tcPr>
          <w:p w14:paraId="7841A90F" w14:textId="77777777" w:rsidR="007123C7" w:rsidRPr="001F3926" w:rsidRDefault="007123C7" w:rsidP="00E82294">
            <w:pPr>
              <w:pStyle w:val="TableText"/>
              <w:jc w:val="right"/>
            </w:pPr>
          </w:p>
        </w:tc>
        <w:tc>
          <w:tcPr>
            <w:tcW w:w="396" w:type="pct"/>
            <w:tcBorders>
              <w:top w:val="single" w:sz="4" w:space="0" w:color="000000"/>
              <w:bottom w:val="nil"/>
            </w:tcBorders>
          </w:tcPr>
          <w:p w14:paraId="09FF99F1" w14:textId="77777777" w:rsidR="007123C7" w:rsidRPr="001F3926" w:rsidRDefault="007123C7" w:rsidP="00E82294">
            <w:pPr>
              <w:pStyle w:val="TableText"/>
              <w:jc w:val="right"/>
            </w:pPr>
          </w:p>
        </w:tc>
        <w:tc>
          <w:tcPr>
            <w:tcW w:w="230" w:type="pct"/>
            <w:tcBorders>
              <w:top w:val="single" w:sz="4" w:space="0" w:color="000000"/>
              <w:bottom w:val="nil"/>
            </w:tcBorders>
          </w:tcPr>
          <w:p w14:paraId="2DC15ED6" w14:textId="77777777" w:rsidR="007123C7" w:rsidRPr="001F3926" w:rsidRDefault="007123C7" w:rsidP="00E82294">
            <w:pPr>
              <w:pStyle w:val="TableText"/>
              <w:jc w:val="right"/>
            </w:pPr>
          </w:p>
        </w:tc>
        <w:tc>
          <w:tcPr>
            <w:tcW w:w="351" w:type="pct"/>
            <w:tcBorders>
              <w:top w:val="single" w:sz="4" w:space="0" w:color="000000"/>
              <w:bottom w:val="nil"/>
            </w:tcBorders>
          </w:tcPr>
          <w:p w14:paraId="6E5FF8A1" w14:textId="77777777" w:rsidR="007123C7" w:rsidRPr="001F3926" w:rsidRDefault="007123C7" w:rsidP="00E82294">
            <w:pPr>
              <w:pStyle w:val="TableText"/>
              <w:jc w:val="right"/>
            </w:pPr>
          </w:p>
        </w:tc>
        <w:tc>
          <w:tcPr>
            <w:tcW w:w="458" w:type="pct"/>
            <w:tcBorders>
              <w:top w:val="single" w:sz="4" w:space="0" w:color="000000"/>
              <w:bottom w:val="nil"/>
            </w:tcBorders>
          </w:tcPr>
          <w:p w14:paraId="72D21DDD" w14:textId="77777777" w:rsidR="007123C7" w:rsidRPr="001F3926" w:rsidRDefault="007123C7" w:rsidP="00E82294">
            <w:pPr>
              <w:pStyle w:val="TableText"/>
              <w:jc w:val="right"/>
            </w:pPr>
          </w:p>
        </w:tc>
      </w:tr>
      <w:tr w:rsidR="0062434A" w:rsidRPr="001F3926" w14:paraId="418746EF" w14:textId="77777777" w:rsidTr="0062434A">
        <w:trPr>
          <w:cantSplit/>
        </w:trPr>
        <w:tc>
          <w:tcPr>
            <w:tcW w:w="1083" w:type="pct"/>
            <w:tcBorders>
              <w:top w:val="nil"/>
            </w:tcBorders>
          </w:tcPr>
          <w:p w14:paraId="3B5787EF" w14:textId="77777777" w:rsidR="007123C7" w:rsidRPr="001F3926" w:rsidRDefault="007123C7" w:rsidP="00E82294">
            <w:pPr>
              <w:pStyle w:val="TableText"/>
              <w:rPr>
                <w:bCs/>
                <w:color w:val="000000" w:themeColor="text1"/>
              </w:rPr>
            </w:pPr>
            <w:r w:rsidRPr="001F3926">
              <w:t xml:space="preserve">Probable disorder </w:t>
            </w:r>
          </w:p>
        </w:tc>
        <w:tc>
          <w:tcPr>
            <w:tcW w:w="217" w:type="pct"/>
            <w:tcBorders>
              <w:top w:val="nil"/>
            </w:tcBorders>
          </w:tcPr>
          <w:p w14:paraId="2806C03B" w14:textId="77777777" w:rsidR="007123C7" w:rsidRPr="001F3926" w:rsidRDefault="007123C7" w:rsidP="00E82294">
            <w:pPr>
              <w:pStyle w:val="TableText"/>
              <w:jc w:val="right"/>
            </w:pPr>
            <w:r w:rsidRPr="001F3926">
              <w:rPr>
                <w:rFonts w:cs="Arial"/>
              </w:rPr>
              <w:t>213</w:t>
            </w:r>
          </w:p>
        </w:tc>
        <w:tc>
          <w:tcPr>
            <w:tcW w:w="352" w:type="pct"/>
            <w:tcBorders>
              <w:top w:val="nil"/>
            </w:tcBorders>
          </w:tcPr>
          <w:p w14:paraId="26097133" w14:textId="77777777" w:rsidR="007123C7" w:rsidRPr="001F3926" w:rsidRDefault="007123C7" w:rsidP="00E82294">
            <w:pPr>
              <w:pStyle w:val="TableText"/>
              <w:jc w:val="right"/>
            </w:pPr>
            <w:r w:rsidRPr="001F3926">
              <w:rPr>
                <w:rFonts w:cs="Arial"/>
              </w:rPr>
              <w:t>1461</w:t>
            </w:r>
          </w:p>
        </w:tc>
        <w:tc>
          <w:tcPr>
            <w:tcW w:w="406" w:type="pct"/>
            <w:tcBorders>
              <w:top w:val="nil"/>
            </w:tcBorders>
          </w:tcPr>
          <w:p w14:paraId="53487C3B" w14:textId="77777777" w:rsidR="007123C7" w:rsidRPr="001F3926" w:rsidRDefault="007123C7" w:rsidP="00E82294">
            <w:pPr>
              <w:pStyle w:val="TableText"/>
              <w:jc w:val="right"/>
            </w:pPr>
            <w:r w:rsidRPr="001F3926">
              <w:rPr>
                <w:rFonts w:cs="Arial"/>
              </w:rPr>
              <w:t>89.1 (83.4</w:t>
            </w:r>
            <w:r w:rsidR="0062434A" w:rsidRPr="001F3926">
              <w:rPr>
                <w:rFonts w:cs="Arial"/>
              </w:rPr>
              <w:t>, </w:t>
            </w:r>
            <w:r w:rsidRPr="001F3926">
              <w:rPr>
                <w:rFonts w:cs="Arial"/>
              </w:rPr>
              <w:t>93.0)</w:t>
            </w:r>
          </w:p>
        </w:tc>
        <w:tc>
          <w:tcPr>
            <w:tcW w:w="218" w:type="pct"/>
            <w:tcBorders>
              <w:top w:val="nil"/>
            </w:tcBorders>
          </w:tcPr>
          <w:p w14:paraId="1ED2C0F2" w14:textId="77777777" w:rsidR="007123C7" w:rsidRPr="001F3926" w:rsidRDefault="007123C7" w:rsidP="00E82294">
            <w:pPr>
              <w:pStyle w:val="TableText"/>
              <w:jc w:val="right"/>
            </w:pPr>
            <w:r w:rsidRPr="001F3926">
              <w:rPr>
                <w:rFonts w:cs="Arial"/>
              </w:rPr>
              <w:t>27</w:t>
            </w:r>
          </w:p>
        </w:tc>
        <w:tc>
          <w:tcPr>
            <w:tcW w:w="352" w:type="pct"/>
            <w:tcBorders>
              <w:top w:val="nil"/>
            </w:tcBorders>
          </w:tcPr>
          <w:p w14:paraId="1640D1C4" w14:textId="77777777" w:rsidR="007123C7" w:rsidRPr="001F3926" w:rsidRDefault="007123C7" w:rsidP="00E82294">
            <w:pPr>
              <w:pStyle w:val="TableText"/>
              <w:jc w:val="right"/>
            </w:pPr>
            <w:r w:rsidRPr="001F3926">
              <w:rPr>
                <w:rFonts w:cs="Arial"/>
              </w:rPr>
              <w:t>180</w:t>
            </w:r>
          </w:p>
        </w:tc>
        <w:tc>
          <w:tcPr>
            <w:tcW w:w="367" w:type="pct"/>
            <w:tcBorders>
              <w:top w:val="nil"/>
            </w:tcBorders>
          </w:tcPr>
          <w:p w14:paraId="4FBC1B7A" w14:textId="77777777" w:rsidR="007123C7" w:rsidRPr="001F3926" w:rsidRDefault="007123C7" w:rsidP="00E82294">
            <w:pPr>
              <w:pStyle w:val="TableText"/>
              <w:jc w:val="right"/>
            </w:pPr>
            <w:r w:rsidRPr="001F3926">
              <w:rPr>
                <w:rFonts w:cs="Arial"/>
              </w:rPr>
              <w:t>10.9 (7.0</w:t>
            </w:r>
            <w:r w:rsidR="0062434A" w:rsidRPr="001F3926">
              <w:rPr>
                <w:rFonts w:cs="Arial"/>
              </w:rPr>
              <w:t>, </w:t>
            </w:r>
            <w:r w:rsidRPr="001F3926">
              <w:rPr>
                <w:rFonts w:cs="Arial"/>
              </w:rPr>
              <w:t>16.6)</w:t>
            </w:r>
          </w:p>
        </w:tc>
        <w:tc>
          <w:tcPr>
            <w:tcW w:w="219" w:type="pct"/>
            <w:tcBorders>
              <w:top w:val="nil"/>
            </w:tcBorders>
          </w:tcPr>
          <w:p w14:paraId="7E76F7E6" w14:textId="77777777" w:rsidR="007123C7" w:rsidRPr="001F3926" w:rsidRDefault="007123C7" w:rsidP="00E82294">
            <w:pPr>
              <w:pStyle w:val="TableText"/>
              <w:jc w:val="right"/>
            </w:pPr>
            <w:r w:rsidRPr="001F3926">
              <w:rPr>
                <w:rFonts w:cs="Arial"/>
              </w:rPr>
              <w:t>63</w:t>
            </w:r>
          </w:p>
        </w:tc>
        <w:tc>
          <w:tcPr>
            <w:tcW w:w="351" w:type="pct"/>
            <w:tcBorders>
              <w:top w:val="nil"/>
            </w:tcBorders>
          </w:tcPr>
          <w:p w14:paraId="351137EE" w14:textId="77777777" w:rsidR="007123C7" w:rsidRPr="001F3926" w:rsidRDefault="007123C7" w:rsidP="00E82294">
            <w:pPr>
              <w:pStyle w:val="TableText"/>
              <w:jc w:val="right"/>
            </w:pPr>
            <w:r w:rsidRPr="001F3926">
              <w:rPr>
                <w:rFonts w:cs="Arial"/>
              </w:rPr>
              <w:t>511</w:t>
            </w:r>
          </w:p>
        </w:tc>
        <w:tc>
          <w:tcPr>
            <w:tcW w:w="396" w:type="pct"/>
            <w:tcBorders>
              <w:top w:val="nil"/>
            </w:tcBorders>
          </w:tcPr>
          <w:p w14:paraId="709B6539" w14:textId="77777777" w:rsidR="007123C7" w:rsidRPr="001F3926" w:rsidRDefault="007123C7" w:rsidP="00E82294">
            <w:pPr>
              <w:pStyle w:val="TableText"/>
              <w:jc w:val="right"/>
            </w:pPr>
            <w:r w:rsidRPr="001F3926">
              <w:rPr>
                <w:rFonts w:cs="Arial"/>
              </w:rPr>
              <w:t>66.2 (25.4</w:t>
            </w:r>
            <w:r w:rsidR="0062434A" w:rsidRPr="001F3926">
              <w:rPr>
                <w:rFonts w:cs="Arial"/>
              </w:rPr>
              <w:t>, </w:t>
            </w:r>
            <w:r w:rsidRPr="001F3926">
              <w:rPr>
                <w:rFonts w:cs="Arial"/>
              </w:rPr>
              <w:t>91.8)</w:t>
            </w:r>
          </w:p>
        </w:tc>
        <w:tc>
          <w:tcPr>
            <w:tcW w:w="230" w:type="pct"/>
            <w:tcBorders>
              <w:top w:val="nil"/>
            </w:tcBorders>
          </w:tcPr>
          <w:p w14:paraId="14872BA7" w14:textId="77777777" w:rsidR="007123C7" w:rsidRPr="001F3926" w:rsidRDefault="007123C7" w:rsidP="00E82294">
            <w:pPr>
              <w:pStyle w:val="TableText"/>
              <w:jc w:val="right"/>
            </w:pPr>
            <w:r w:rsidRPr="001F3926">
              <w:rPr>
                <w:rFonts w:cs="Arial"/>
              </w:rPr>
              <w:t>22</w:t>
            </w:r>
          </w:p>
        </w:tc>
        <w:tc>
          <w:tcPr>
            <w:tcW w:w="351" w:type="pct"/>
            <w:tcBorders>
              <w:top w:val="nil"/>
            </w:tcBorders>
          </w:tcPr>
          <w:p w14:paraId="20A26788" w14:textId="77777777" w:rsidR="007123C7" w:rsidRPr="001F3926" w:rsidRDefault="007123C7" w:rsidP="00E82294">
            <w:pPr>
              <w:pStyle w:val="TableText"/>
              <w:jc w:val="right"/>
            </w:pPr>
            <w:r w:rsidRPr="001F3926">
              <w:rPr>
                <w:rFonts w:cs="Arial"/>
              </w:rPr>
              <w:t>261</w:t>
            </w:r>
          </w:p>
        </w:tc>
        <w:tc>
          <w:tcPr>
            <w:tcW w:w="458" w:type="pct"/>
            <w:tcBorders>
              <w:top w:val="nil"/>
            </w:tcBorders>
          </w:tcPr>
          <w:p w14:paraId="116A9949" w14:textId="77777777" w:rsidR="007123C7" w:rsidRPr="001F3926" w:rsidRDefault="007123C7" w:rsidP="00E82294">
            <w:pPr>
              <w:pStyle w:val="TableText"/>
              <w:jc w:val="right"/>
            </w:pPr>
            <w:r w:rsidRPr="001F3926">
              <w:rPr>
                <w:rFonts w:cs="Arial"/>
              </w:rPr>
              <w:t>33.8 (8.2</w:t>
            </w:r>
            <w:r w:rsidR="0062434A" w:rsidRPr="001F3926">
              <w:rPr>
                <w:rFonts w:cs="Arial"/>
              </w:rPr>
              <w:t>, </w:t>
            </w:r>
            <w:r w:rsidRPr="001F3926">
              <w:rPr>
                <w:rFonts w:cs="Arial"/>
              </w:rPr>
              <w:t>74.6)</w:t>
            </w:r>
          </w:p>
        </w:tc>
      </w:tr>
      <w:tr w:rsidR="0062434A" w:rsidRPr="001F3926" w14:paraId="3D53FDFA"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Pr>
          <w:p w14:paraId="7DB90840" w14:textId="77777777" w:rsidR="007123C7" w:rsidRPr="001F3926" w:rsidRDefault="007155C2" w:rsidP="00E82294">
            <w:pPr>
              <w:pStyle w:val="TableText"/>
            </w:pPr>
            <w:r>
              <w:t>Subsyndromal</w:t>
            </w:r>
            <w:r w:rsidR="007123C7" w:rsidRPr="001F3926">
              <w:t xml:space="preserve"> disorder </w:t>
            </w:r>
          </w:p>
        </w:tc>
        <w:tc>
          <w:tcPr>
            <w:tcW w:w="217" w:type="pct"/>
          </w:tcPr>
          <w:p w14:paraId="3E7E7FC1" w14:textId="77777777" w:rsidR="007123C7" w:rsidRPr="001F3926" w:rsidRDefault="007123C7" w:rsidP="00E82294">
            <w:pPr>
              <w:pStyle w:val="TableText"/>
              <w:jc w:val="right"/>
            </w:pPr>
            <w:r w:rsidRPr="001F3926">
              <w:rPr>
                <w:rFonts w:cs="Arial"/>
              </w:rPr>
              <w:t>859</w:t>
            </w:r>
          </w:p>
        </w:tc>
        <w:tc>
          <w:tcPr>
            <w:tcW w:w="352" w:type="pct"/>
          </w:tcPr>
          <w:p w14:paraId="15F7D65F" w14:textId="77777777" w:rsidR="007123C7" w:rsidRPr="001F3926" w:rsidRDefault="007123C7" w:rsidP="00E82294">
            <w:pPr>
              <w:pStyle w:val="TableText"/>
              <w:jc w:val="right"/>
            </w:pPr>
            <w:r w:rsidRPr="001F3926">
              <w:rPr>
                <w:rFonts w:cs="Arial"/>
              </w:rPr>
              <w:t>6031</w:t>
            </w:r>
          </w:p>
        </w:tc>
        <w:tc>
          <w:tcPr>
            <w:tcW w:w="406" w:type="pct"/>
          </w:tcPr>
          <w:p w14:paraId="5FE7CA62" w14:textId="77777777" w:rsidR="007123C7" w:rsidRPr="001F3926" w:rsidRDefault="007123C7" w:rsidP="00E82294">
            <w:pPr>
              <w:pStyle w:val="TableText"/>
              <w:jc w:val="right"/>
            </w:pPr>
            <w:r w:rsidRPr="001F3926">
              <w:rPr>
                <w:rFonts w:cs="Arial"/>
              </w:rPr>
              <w:t>89.7 (87.1</w:t>
            </w:r>
            <w:r w:rsidR="0062434A" w:rsidRPr="001F3926">
              <w:rPr>
                <w:rFonts w:cs="Arial"/>
              </w:rPr>
              <w:t>, </w:t>
            </w:r>
            <w:r w:rsidRPr="001F3926">
              <w:rPr>
                <w:rFonts w:cs="Arial"/>
              </w:rPr>
              <w:t>91.8)</w:t>
            </w:r>
          </w:p>
        </w:tc>
        <w:tc>
          <w:tcPr>
            <w:tcW w:w="218" w:type="pct"/>
          </w:tcPr>
          <w:p w14:paraId="5A4C0391" w14:textId="77777777" w:rsidR="007123C7" w:rsidRPr="001F3926" w:rsidRDefault="007123C7" w:rsidP="00E82294">
            <w:pPr>
              <w:pStyle w:val="TableText"/>
              <w:jc w:val="right"/>
            </w:pPr>
            <w:r w:rsidRPr="001F3926">
              <w:rPr>
                <w:rFonts w:cs="Arial"/>
              </w:rPr>
              <w:t>105</w:t>
            </w:r>
          </w:p>
        </w:tc>
        <w:tc>
          <w:tcPr>
            <w:tcW w:w="352" w:type="pct"/>
          </w:tcPr>
          <w:p w14:paraId="3131B615" w14:textId="77777777" w:rsidR="007123C7" w:rsidRPr="001F3926" w:rsidRDefault="007123C7" w:rsidP="00E82294">
            <w:pPr>
              <w:pStyle w:val="TableText"/>
              <w:jc w:val="right"/>
            </w:pPr>
            <w:r w:rsidRPr="001F3926">
              <w:rPr>
                <w:rFonts w:cs="Arial"/>
              </w:rPr>
              <w:t>692</w:t>
            </w:r>
          </w:p>
        </w:tc>
        <w:tc>
          <w:tcPr>
            <w:tcW w:w="367" w:type="pct"/>
          </w:tcPr>
          <w:p w14:paraId="5B230664" w14:textId="77777777" w:rsidR="007123C7" w:rsidRPr="001F3926" w:rsidRDefault="007123C7" w:rsidP="00E82294">
            <w:pPr>
              <w:pStyle w:val="TableText"/>
              <w:jc w:val="right"/>
            </w:pPr>
            <w:r w:rsidRPr="001F3926">
              <w:rPr>
                <w:rFonts w:cs="Arial"/>
              </w:rPr>
              <w:t>10.3 (8.2</w:t>
            </w:r>
            <w:r w:rsidR="0062434A" w:rsidRPr="001F3926">
              <w:rPr>
                <w:rFonts w:cs="Arial"/>
              </w:rPr>
              <w:t>, </w:t>
            </w:r>
            <w:r w:rsidRPr="001F3926">
              <w:rPr>
                <w:rFonts w:cs="Arial"/>
              </w:rPr>
              <w:t>12.9)</w:t>
            </w:r>
          </w:p>
        </w:tc>
        <w:tc>
          <w:tcPr>
            <w:tcW w:w="219" w:type="pct"/>
          </w:tcPr>
          <w:p w14:paraId="69B8FE19" w14:textId="77777777" w:rsidR="007123C7" w:rsidRPr="001F3926" w:rsidRDefault="007123C7" w:rsidP="00E82294">
            <w:pPr>
              <w:pStyle w:val="TableText"/>
              <w:jc w:val="right"/>
            </w:pPr>
            <w:r w:rsidRPr="001F3926">
              <w:rPr>
                <w:rFonts w:cs="Arial"/>
              </w:rPr>
              <w:t>1160</w:t>
            </w:r>
          </w:p>
        </w:tc>
        <w:tc>
          <w:tcPr>
            <w:tcW w:w="351" w:type="pct"/>
          </w:tcPr>
          <w:p w14:paraId="78F8E1C4" w14:textId="77777777" w:rsidR="007123C7" w:rsidRPr="001F3926" w:rsidRDefault="007123C7" w:rsidP="00E82294">
            <w:pPr>
              <w:pStyle w:val="TableText"/>
              <w:jc w:val="right"/>
            </w:pPr>
            <w:r w:rsidRPr="001F3926">
              <w:rPr>
                <w:rFonts w:cs="Arial"/>
              </w:rPr>
              <w:t>9125</w:t>
            </w:r>
          </w:p>
        </w:tc>
        <w:tc>
          <w:tcPr>
            <w:tcW w:w="396" w:type="pct"/>
          </w:tcPr>
          <w:p w14:paraId="7EFA107D" w14:textId="77777777" w:rsidR="007123C7" w:rsidRPr="001F3926" w:rsidRDefault="007123C7" w:rsidP="00E82294">
            <w:pPr>
              <w:pStyle w:val="TableText"/>
              <w:jc w:val="right"/>
            </w:pPr>
            <w:r w:rsidRPr="001F3926">
              <w:rPr>
                <w:rFonts w:cs="Arial"/>
              </w:rPr>
              <w:t>87.6 (81.2</w:t>
            </w:r>
            <w:r w:rsidR="0062434A" w:rsidRPr="001F3926">
              <w:rPr>
                <w:rFonts w:cs="Arial"/>
              </w:rPr>
              <w:t>, </w:t>
            </w:r>
            <w:r w:rsidRPr="001F3926">
              <w:rPr>
                <w:rFonts w:cs="Arial"/>
              </w:rPr>
              <w:t>92.0)</w:t>
            </w:r>
          </w:p>
        </w:tc>
        <w:tc>
          <w:tcPr>
            <w:tcW w:w="230" w:type="pct"/>
          </w:tcPr>
          <w:p w14:paraId="5A578804" w14:textId="77777777" w:rsidR="007123C7" w:rsidRPr="001F3926" w:rsidRDefault="007123C7" w:rsidP="00E82294">
            <w:pPr>
              <w:pStyle w:val="TableText"/>
              <w:jc w:val="right"/>
            </w:pPr>
            <w:r w:rsidRPr="001F3926">
              <w:rPr>
                <w:rFonts w:cs="Arial"/>
              </w:rPr>
              <w:t>233</w:t>
            </w:r>
          </w:p>
        </w:tc>
        <w:tc>
          <w:tcPr>
            <w:tcW w:w="351" w:type="pct"/>
          </w:tcPr>
          <w:p w14:paraId="6B09DDFD" w14:textId="77777777" w:rsidR="007123C7" w:rsidRPr="001F3926" w:rsidRDefault="007123C7" w:rsidP="00E82294">
            <w:pPr>
              <w:pStyle w:val="TableText"/>
              <w:jc w:val="right"/>
            </w:pPr>
            <w:r w:rsidRPr="001F3926">
              <w:rPr>
                <w:rFonts w:cs="Arial"/>
              </w:rPr>
              <w:t>1295</w:t>
            </w:r>
          </w:p>
        </w:tc>
        <w:tc>
          <w:tcPr>
            <w:tcW w:w="458" w:type="pct"/>
          </w:tcPr>
          <w:p w14:paraId="74961942" w14:textId="77777777" w:rsidR="007123C7" w:rsidRPr="001F3926" w:rsidRDefault="007123C7" w:rsidP="00E82294">
            <w:pPr>
              <w:pStyle w:val="TableText"/>
              <w:jc w:val="right"/>
            </w:pPr>
            <w:r w:rsidRPr="001F3926">
              <w:rPr>
                <w:rFonts w:cs="Arial"/>
              </w:rPr>
              <w:t>12.4 (8.0</w:t>
            </w:r>
            <w:r w:rsidR="0062434A" w:rsidRPr="001F3926">
              <w:rPr>
                <w:rFonts w:cs="Arial"/>
              </w:rPr>
              <w:t>, </w:t>
            </w:r>
            <w:r w:rsidRPr="001F3926">
              <w:rPr>
                <w:rFonts w:cs="Arial"/>
              </w:rPr>
              <w:t>18.8)</w:t>
            </w:r>
          </w:p>
        </w:tc>
      </w:tr>
      <w:tr w:rsidR="0062434A" w:rsidRPr="001F3926" w14:paraId="7BDAB7E6" w14:textId="77777777" w:rsidTr="0062434A">
        <w:trPr>
          <w:cantSplit/>
        </w:trPr>
        <w:tc>
          <w:tcPr>
            <w:tcW w:w="1083" w:type="pct"/>
            <w:tcBorders>
              <w:bottom w:val="single" w:sz="4" w:space="0" w:color="000000"/>
            </w:tcBorders>
          </w:tcPr>
          <w:p w14:paraId="5A43232E" w14:textId="77777777" w:rsidR="007123C7" w:rsidRPr="001F3926" w:rsidRDefault="007123C7" w:rsidP="0062434A">
            <w:pPr>
              <w:pStyle w:val="TableText"/>
              <w:keepNext w:val="0"/>
            </w:pPr>
            <w:r w:rsidRPr="001F3926">
              <w:t>No disorder</w:t>
            </w:r>
          </w:p>
        </w:tc>
        <w:tc>
          <w:tcPr>
            <w:tcW w:w="217" w:type="pct"/>
            <w:tcBorders>
              <w:bottom w:val="single" w:sz="4" w:space="0" w:color="000000"/>
            </w:tcBorders>
          </w:tcPr>
          <w:p w14:paraId="5CA980DD" w14:textId="77777777" w:rsidR="007123C7" w:rsidRPr="001F3926" w:rsidRDefault="007123C7" w:rsidP="0062434A">
            <w:pPr>
              <w:pStyle w:val="TableText"/>
              <w:keepNext w:val="0"/>
              <w:jc w:val="right"/>
            </w:pPr>
            <w:r w:rsidRPr="001F3926">
              <w:rPr>
                <w:rFonts w:cs="Arial"/>
              </w:rPr>
              <w:t>2272</w:t>
            </w:r>
          </w:p>
        </w:tc>
        <w:tc>
          <w:tcPr>
            <w:tcW w:w="352" w:type="pct"/>
            <w:tcBorders>
              <w:bottom w:val="single" w:sz="4" w:space="0" w:color="000000"/>
            </w:tcBorders>
          </w:tcPr>
          <w:p w14:paraId="6DC1805D" w14:textId="77777777" w:rsidR="007123C7" w:rsidRPr="001F3926" w:rsidRDefault="007123C7" w:rsidP="0062434A">
            <w:pPr>
              <w:pStyle w:val="TableText"/>
              <w:keepNext w:val="0"/>
              <w:jc w:val="right"/>
            </w:pPr>
            <w:r w:rsidRPr="001F3926">
              <w:rPr>
                <w:rFonts w:cs="Arial"/>
              </w:rPr>
              <w:t>14,674</w:t>
            </w:r>
          </w:p>
        </w:tc>
        <w:tc>
          <w:tcPr>
            <w:tcW w:w="406" w:type="pct"/>
            <w:tcBorders>
              <w:bottom w:val="single" w:sz="4" w:space="0" w:color="000000"/>
            </w:tcBorders>
          </w:tcPr>
          <w:p w14:paraId="33666712" w14:textId="77777777" w:rsidR="007123C7" w:rsidRPr="001F3926" w:rsidRDefault="007123C7" w:rsidP="0062434A">
            <w:pPr>
              <w:pStyle w:val="TableText"/>
              <w:keepNext w:val="0"/>
              <w:jc w:val="right"/>
            </w:pPr>
            <w:r w:rsidRPr="001F3926">
              <w:rPr>
                <w:rFonts w:cs="Arial"/>
              </w:rPr>
              <w:t>90.3 (88.8</w:t>
            </w:r>
            <w:r w:rsidR="0062434A" w:rsidRPr="001F3926">
              <w:rPr>
                <w:rFonts w:cs="Arial"/>
              </w:rPr>
              <w:t>, </w:t>
            </w:r>
            <w:r w:rsidRPr="001F3926">
              <w:rPr>
                <w:rFonts w:cs="Arial"/>
              </w:rPr>
              <w:t>91.6)</w:t>
            </w:r>
          </w:p>
        </w:tc>
        <w:tc>
          <w:tcPr>
            <w:tcW w:w="218" w:type="pct"/>
            <w:tcBorders>
              <w:bottom w:val="single" w:sz="4" w:space="0" w:color="000000"/>
            </w:tcBorders>
          </w:tcPr>
          <w:p w14:paraId="7A8CFDF8" w14:textId="77777777" w:rsidR="007123C7" w:rsidRPr="001F3926" w:rsidRDefault="007123C7" w:rsidP="0062434A">
            <w:pPr>
              <w:pStyle w:val="TableText"/>
              <w:keepNext w:val="0"/>
              <w:jc w:val="right"/>
            </w:pPr>
            <w:r w:rsidRPr="001F3926">
              <w:rPr>
                <w:rFonts w:cs="Arial"/>
              </w:rPr>
              <w:t>261</w:t>
            </w:r>
          </w:p>
        </w:tc>
        <w:tc>
          <w:tcPr>
            <w:tcW w:w="352" w:type="pct"/>
            <w:tcBorders>
              <w:bottom w:val="single" w:sz="4" w:space="0" w:color="000000"/>
            </w:tcBorders>
          </w:tcPr>
          <w:p w14:paraId="0DF80A88" w14:textId="77777777" w:rsidR="007123C7" w:rsidRPr="001F3926" w:rsidRDefault="007123C7" w:rsidP="0062434A">
            <w:pPr>
              <w:pStyle w:val="TableText"/>
              <w:keepNext w:val="0"/>
              <w:jc w:val="right"/>
            </w:pPr>
            <w:r w:rsidRPr="001F3926">
              <w:rPr>
                <w:rFonts w:cs="Arial"/>
              </w:rPr>
              <w:t>1581</w:t>
            </w:r>
          </w:p>
        </w:tc>
        <w:tc>
          <w:tcPr>
            <w:tcW w:w="367" w:type="pct"/>
            <w:tcBorders>
              <w:bottom w:val="single" w:sz="4" w:space="0" w:color="000000"/>
            </w:tcBorders>
          </w:tcPr>
          <w:p w14:paraId="7FB8CB8F" w14:textId="77777777" w:rsidR="007123C7" w:rsidRPr="001F3926" w:rsidRDefault="007123C7" w:rsidP="0062434A">
            <w:pPr>
              <w:pStyle w:val="TableText"/>
              <w:keepNext w:val="0"/>
              <w:jc w:val="right"/>
            </w:pPr>
            <w:r w:rsidRPr="001F3926">
              <w:rPr>
                <w:rFonts w:cs="Arial"/>
              </w:rPr>
              <w:t>9.7 (8.4</w:t>
            </w:r>
            <w:r w:rsidR="0062434A" w:rsidRPr="001F3926">
              <w:rPr>
                <w:rFonts w:cs="Arial"/>
              </w:rPr>
              <w:t>, </w:t>
            </w:r>
            <w:r w:rsidRPr="001F3926">
              <w:rPr>
                <w:rFonts w:cs="Arial"/>
              </w:rPr>
              <w:t>11.2)</w:t>
            </w:r>
          </w:p>
        </w:tc>
        <w:tc>
          <w:tcPr>
            <w:tcW w:w="219" w:type="pct"/>
            <w:tcBorders>
              <w:bottom w:val="single" w:sz="4" w:space="0" w:color="000000"/>
            </w:tcBorders>
          </w:tcPr>
          <w:p w14:paraId="6F662A14" w14:textId="77777777" w:rsidR="007123C7" w:rsidRPr="001F3926" w:rsidRDefault="007123C7" w:rsidP="0062434A">
            <w:pPr>
              <w:pStyle w:val="TableText"/>
              <w:keepNext w:val="0"/>
              <w:jc w:val="right"/>
            </w:pPr>
            <w:r w:rsidRPr="001F3926">
              <w:rPr>
                <w:rFonts w:cs="Arial"/>
              </w:rPr>
              <w:t>5159</w:t>
            </w:r>
          </w:p>
        </w:tc>
        <w:tc>
          <w:tcPr>
            <w:tcW w:w="351" w:type="pct"/>
            <w:tcBorders>
              <w:bottom w:val="single" w:sz="4" w:space="0" w:color="000000"/>
            </w:tcBorders>
          </w:tcPr>
          <w:p w14:paraId="3D69284B" w14:textId="77777777" w:rsidR="007123C7" w:rsidRPr="001F3926" w:rsidRDefault="007123C7" w:rsidP="0062434A">
            <w:pPr>
              <w:pStyle w:val="TableText"/>
              <w:keepNext w:val="0"/>
              <w:jc w:val="right"/>
            </w:pPr>
            <w:r w:rsidRPr="001F3926">
              <w:rPr>
                <w:rFonts w:cs="Arial"/>
              </w:rPr>
              <w:t>35,133</w:t>
            </w:r>
          </w:p>
        </w:tc>
        <w:tc>
          <w:tcPr>
            <w:tcW w:w="396" w:type="pct"/>
            <w:tcBorders>
              <w:bottom w:val="single" w:sz="4" w:space="0" w:color="000000"/>
            </w:tcBorders>
          </w:tcPr>
          <w:p w14:paraId="063B95CC" w14:textId="77777777" w:rsidR="007123C7" w:rsidRPr="001F3926" w:rsidRDefault="007123C7" w:rsidP="0062434A">
            <w:pPr>
              <w:pStyle w:val="TableText"/>
              <w:keepNext w:val="0"/>
              <w:jc w:val="right"/>
            </w:pPr>
            <w:r w:rsidRPr="001F3926">
              <w:rPr>
                <w:rFonts w:cs="Arial"/>
              </w:rPr>
              <w:t>85.5 (82.4</w:t>
            </w:r>
            <w:r w:rsidR="0062434A" w:rsidRPr="001F3926">
              <w:rPr>
                <w:rFonts w:cs="Arial"/>
              </w:rPr>
              <w:t>, </w:t>
            </w:r>
            <w:r w:rsidRPr="001F3926">
              <w:rPr>
                <w:rFonts w:cs="Arial"/>
              </w:rPr>
              <w:t>88.1)</w:t>
            </w:r>
          </w:p>
        </w:tc>
        <w:tc>
          <w:tcPr>
            <w:tcW w:w="230" w:type="pct"/>
            <w:tcBorders>
              <w:bottom w:val="single" w:sz="4" w:space="0" w:color="000000"/>
            </w:tcBorders>
          </w:tcPr>
          <w:p w14:paraId="36EE70B4" w14:textId="77777777" w:rsidR="007123C7" w:rsidRPr="001F3926" w:rsidRDefault="007123C7" w:rsidP="0062434A">
            <w:pPr>
              <w:pStyle w:val="TableText"/>
              <w:keepNext w:val="0"/>
              <w:jc w:val="right"/>
            </w:pPr>
            <w:r w:rsidRPr="001F3926">
              <w:rPr>
                <w:rFonts w:cs="Arial"/>
              </w:rPr>
              <w:t>1021</w:t>
            </w:r>
          </w:p>
        </w:tc>
        <w:tc>
          <w:tcPr>
            <w:tcW w:w="351" w:type="pct"/>
            <w:tcBorders>
              <w:bottom w:val="single" w:sz="4" w:space="0" w:color="000000"/>
            </w:tcBorders>
          </w:tcPr>
          <w:p w14:paraId="746668B4" w14:textId="77777777" w:rsidR="007123C7" w:rsidRPr="001F3926" w:rsidRDefault="007123C7" w:rsidP="0062434A">
            <w:pPr>
              <w:pStyle w:val="TableText"/>
              <w:keepNext w:val="0"/>
              <w:jc w:val="right"/>
            </w:pPr>
            <w:r w:rsidRPr="001F3926">
              <w:rPr>
                <w:rFonts w:cs="Arial"/>
              </w:rPr>
              <w:t>5972</w:t>
            </w:r>
          </w:p>
        </w:tc>
        <w:tc>
          <w:tcPr>
            <w:tcW w:w="458" w:type="pct"/>
            <w:tcBorders>
              <w:bottom w:val="single" w:sz="4" w:space="0" w:color="000000"/>
            </w:tcBorders>
          </w:tcPr>
          <w:p w14:paraId="17CBADE4" w14:textId="77777777" w:rsidR="007123C7" w:rsidRPr="001F3926" w:rsidRDefault="007123C7" w:rsidP="0062434A">
            <w:pPr>
              <w:pStyle w:val="TableText"/>
              <w:keepNext w:val="0"/>
              <w:jc w:val="right"/>
            </w:pPr>
            <w:r w:rsidRPr="001F3926">
              <w:rPr>
                <w:rFonts w:cs="Arial"/>
              </w:rPr>
              <w:t>14.5 (11.9</w:t>
            </w:r>
            <w:r w:rsidR="0062434A" w:rsidRPr="001F3926">
              <w:rPr>
                <w:rFonts w:cs="Arial"/>
              </w:rPr>
              <w:t>, </w:t>
            </w:r>
            <w:r w:rsidRPr="001F3926">
              <w:rPr>
                <w:rFonts w:cs="Arial"/>
              </w:rPr>
              <w:t>17.6)</w:t>
            </w:r>
          </w:p>
        </w:tc>
      </w:tr>
      <w:tr w:rsidR="0062434A" w:rsidRPr="001F3926" w14:paraId="670B06C9"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Borders>
              <w:top w:val="single" w:sz="4" w:space="0" w:color="000000"/>
              <w:bottom w:val="nil"/>
            </w:tcBorders>
          </w:tcPr>
          <w:p w14:paraId="10CDFBFA" w14:textId="77777777" w:rsidR="007123C7" w:rsidRPr="001F3926" w:rsidRDefault="007123C7" w:rsidP="00E82294">
            <w:pPr>
              <w:pStyle w:val="TableText"/>
              <w:rPr>
                <w:b/>
                <w:bCs/>
                <w:color w:val="000000" w:themeColor="text1"/>
              </w:rPr>
            </w:pPr>
            <w:r w:rsidRPr="001F3926">
              <w:rPr>
                <w:b/>
              </w:rPr>
              <w:t>Probable depressive episode (PHQ-9)</w:t>
            </w:r>
          </w:p>
        </w:tc>
        <w:tc>
          <w:tcPr>
            <w:tcW w:w="217" w:type="pct"/>
            <w:tcBorders>
              <w:top w:val="single" w:sz="4" w:space="0" w:color="000000"/>
              <w:bottom w:val="nil"/>
            </w:tcBorders>
          </w:tcPr>
          <w:p w14:paraId="49485E64" w14:textId="77777777" w:rsidR="007123C7" w:rsidRPr="001F3926" w:rsidRDefault="007123C7" w:rsidP="00E82294">
            <w:pPr>
              <w:pStyle w:val="TableText"/>
              <w:jc w:val="right"/>
            </w:pPr>
          </w:p>
        </w:tc>
        <w:tc>
          <w:tcPr>
            <w:tcW w:w="352" w:type="pct"/>
            <w:tcBorders>
              <w:top w:val="single" w:sz="4" w:space="0" w:color="000000"/>
              <w:bottom w:val="nil"/>
            </w:tcBorders>
          </w:tcPr>
          <w:p w14:paraId="785A017C" w14:textId="77777777" w:rsidR="007123C7" w:rsidRPr="001F3926" w:rsidRDefault="007123C7" w:rsidP="00E82294">
            <w:pPr>
              <w:pStyle w:val="TableText"/>
              <w:jc w:val="right"/>
            </w:pPr>
          </w:p>
        </w:tc>
        <w:tc>
          <w:tcPr>
            <w:tcW w:w="406" w:type="pct"/>
            <w:tcBorders>
              <w:top w:val="single" w:sz="4" w:space="0" w:color="000000"/>
              <w:bottom w:val="nil"/>
            </w:tcBorders>
          </w:tcPr>
          <w:p w14:paraId="2FF7E61D" w14:textId="77777777" w:rsidR="007123C7" w:rsidRPr="001F3926" w:rsidRDefault="007123C7" w:rsidP="00E82294">
            <w:pPr>
              <w:pStyle w:val="TableText"/>
              <w:jc w:val="right"/>
            </w:pPr>
          </w:p>
        </w:tc>
        <w:tc>
          <w:tcPr>
            <w:tcW w:w="218" w:type="pct"/>
            <w:tcBorders>
              <w:top w:val="single" w:sz="4" w:space="0" w:color="000000"/>
              <w:bottom w:val="nil"/>
            </w:tcBorders>
          </w:tcPr>
          <w:p w14:paraId="5443A7F2" w14:textId="77777777" w:rsidR="007123C7" w:rsidRPr="001F3926" w:rsidRDefault="007123C7" w:rsidP="00E82294">
            <w:pPr>
              <w:pStyle w:val="TableText"/>
              <w:jc w:val="right"/>
            </w:pPr>
          </w:p>
        </w:tc>
        <w:tc>
          <w:tcPr>
            <w:tcW w:w="352" w:type="pct"/>
            <w:tcBorders>
              <w:top w:val="single" w:sz="4" w:space="0" w:color="000000"/>
              <w:bottom w:val="nil"/>
            </w:tcBorders>
          </w:tcPr>
          <w:p w14:paraId="428EDEB5" w14:textId="77777777" w:rsidR="007123C7" w:rsidRPr="001F3926" w:rsidRDefault="007123C7" w:rsidP="00E82294">
            <w:pPr>
              <w:pStyle w:val="TableText"/>
              <w:jc w:val="right"/>
            </w:pPr>
          </w:p>
        </w:tc>
        <w:tc>
          <w:tcPr>
            <w:tcW w:w="367" w:type="pct"/>
            <w:tcBorders>
              <w:top w:val="single" w:sz="4" w:space="0" w:color="000000"/>
              <w:bottom w:val="nil"/>
            </w:tcBorders>
          </w:tcPr>
          <w:p w14:paraId="7E029FE4" w14:textId="77777777" w:rsidR="007123C7" w:rsidRPr="001F3926" w:rsidRDefault="007123C7" w:rsidP="00E82294">
            <w:pPr>
              <w:pStyle w:val="TableText"/>
              <w:jc w:val="right"/>
            </w:pPr>
          </w:p>
        </w:tc>
        <w:tc>
          <w:tcPr>
            <w:tcW w:w="219" w:type="pct"/>
            <w:tcBorders>
              <w:top w:val="single" w:sz="4" w:space="0" w:color="000000"/>
              <w:bottom w:val="nil"/>
            </w:tcBorders>
          </w:tcPr>
          <w:p w14:paraId="45BCDB60" w14:textId="77777777" w:rsidR="007123C7" w:rsidRPr="001F3926" w:rsidRDefault="007123C7" w:rsidP="00E82294">
            <w:pPr>
              <w:pStyle w:val="TableText"/>
              <w:jc w:val="right"/>
            </w:pPr>
          </w:p>
        </w:tc>
        <w:tc>
          <w:tcPr>
            <w:tcW w:w="351" w:type="pct"/>
            <w:tcBorders>
              <w:top w:val="single" w:sz="4" w:space="0" w:color="000000"/>
              <w:bottom w:val="nil"/>
            </w:tcBorders>
          </w:tcPr>
          <w:p w14:paraId="7938BAED" w14:textId="77777777" w:rsidR="007123C7" w:rsidRPr="001F3926" w:rsidRDefault="007123C7" w:rsidP="00E82294">
            <w:pPr>
              <w:pStyle w:val="TableText"/>
              <w:jc w:val="right"/>
            </w:pPr>
          </w:p>
        </w:tc>
        <w:tc>
          <w:tcPr>
            <w:tcW w:w="396" w:type="pct"/>
            <w:tcBorders>
              <w:top w:val="single" w:sz="4" w:space="0" w:color="000000"/>
              <w:bottom w:val="nil"/>
            </w:tcBorders>
          </w:tcPr>
          <w:p w14:paraId="10681A20" w14:textId="77777777" w:rsidR="007123C7" w:rsidRPr="001F3926" w:rsidRDefault="007123C7" w:rsidP="00E82294">
            <w:pPr>
              <w:pStyle w:val="TableText"/>
              <w:jc w:val="right"/>
            </w:pPr>
          </w:p>
        </w:tc>
        <w:tc>
          <w:tcPr>
            <w:tcW w:w="230" w:type="pct"/>
            <w:tcBorders>
              <w:top w:val="single" w:sz="4" w:space="0" w:color="000000"/>
              <w:bottom w:val="nil"/>
            </w:tcBorders>
          </w:tcPr>
          <w:p w14:paraId="04BEF334" w14:textId="77777777" w:rsidR="007123C7" w:rsidRPr="001F3926" w:rsidRDefault="007123C7" w:rsidP="00E82294">
            <w:pPr>
              <w:pStyle w:val="TableText"/>
              <w:jc w:val="right"/>
            </w:pPr>
          </w:p>
        </w:tc>
        <w:tc>
          <w:tcPr>
            <w:tcW w:w="351" w:type="pct"/>
            <w:tcBorders>
              <w:top w:val="single" w:sz="4" w:space="0" w:color="000000"/>
              <w:bottom w:val="nil"/>
            </w:tcBorders>
          </w:tcPr>
          <w:p w14:paraId="2C84C07F" w14:textId="77777777" w:rsidR="007123C7" w:rsidRPr="001F3926" w:rsidRDefault="007123C7" w:rsidP="00E82294">
            <w:pPr>
              <w:pStyle w:val="TableText"/>
              <w:jc w:val="right"/>
            </w:pPr>
          </w:p>
        </w:tc>
        <w:tc>
          <w:tcPr>
            <w:tcW w:w="458" w:type="pct"/>
            <w:tcBorders>
              <w:top w:val="single" w:sz="4" w:space="0" w:color="000000"/>
              <w:bottom w:val="nil"/>
            </w:tcBorders>
          </w:tcPr>
          <w:p w14:paraId="7BD9A139" w14:textId="77777777" w:rsidR="007123C7" w:rsidRPr="001F3926" w:rsidRDefault="007123C7" w:rsidP="00E82294">
            <w:pPr>
              <w:pStyle w:val="TableText"/>
              <w:jc w:val="right"/>
            </w:pPr>
          </w:p>
        </w:tc>
      </w:tr>
      <w:tr w:rsidR="0062434A" w:rsidRPr="001F3926" w14:paraId="0647662D" w14:textId="77777777" w:rsidTr="0062434A">
        <w:trPr>
          <w:cantSplit/>
        </w:trPr>
        <w:tc>
          <w:tcPr>
            <w:tcW w:w="1083" w:type="pct"/>
            <w:tcBorders>
              <w:top w:val="nil"/>
            </w:tcBorders>
          </w:tcPr>
          <w:p w14:paraId="2D102942" w14:textId="77777777" w:rsidR="007123C7" w:rsidRPr="001F3926" w:rsidRDefault="007123C7" w:rsidP="00E82294">
            <w:pPr>
              <w:pStyle w:val="TableText"/>
            </w:pPr>
            <w:r w:rsidRPr="001F3926">
              <w:t xml:space="preserve">Probable disorder </w:t>
            </w:r>
          </w:p>
        </w:tc>
        <w:tc>
          <w:tcPr>
            <w:tcW w:w="217" w:type="pct"/>
            <w:tcBorders>
              <w:top w:val="nil"/>
            </w:tcBorders>
          </w:tcPr>
          <w:p w14:paraId="600B9374" w14:textId="77777777" w:rsidR="007123C7" w:rsidRPr="001F3926" w:rsidRDefault="007123C7" w:rsidP="00E82294">
            <w:pPr>
              <w:pStyle w:val="TableText"/>
              <w:jc w:val="right"/>
            </w:pPr>
            <w:r w:rsidRPr="001F3926">
              <w:rPr>
                <w:rFonts w:cs="Arial"/>
              </w:rPr>
              <w:t>417</w:t>
            </w:r>
          </w:p>
        </w:tc>
        <w:tc>
          <w:tcPr>
            <w:tcW w:w="352" w:type="pct"/>
            <w:tcBorders>
              <w:top w:val="nil"/>
            </w:tcBorders>
          </w:tcPr>
          <w:p w14:paraId="3724B81C" w14:textId="77777777" w:rsidR="007123C7" w:rsidRPr="001F3926" w:rsidRDefault="007123C7" w:rsidP="00E82294">
            <w:pPr>
              <w:pStyle w:val="TableText"/>
              <w:jc w:val="right"/>
            </w:pPr>
            <w:r w:rsidRPr="001F3926">
              <w:rPr>
                <w:rFonts w:cs="Arial"/>
              </w:rPr>
              <w:t>2863</w:t>
            </w:r>
          </w:p>
        </w:tc>
        <w:tc>
          <w:tcPr>
            <w:tcW w:w="406" w:type="pct"/>
            <w:tcBorders>
              <w:top w:val="nil"/>
            </w:tcBorders>
          </w:tcPr>
          <w:p w14:paraId="16B7E463" w14:textId="77777777" w:rsidR="007123C7" w:rsidRPr="001F3926" w:rsidRDefault="007123C7" w:rsidP="00E82294">
            <w:pPr>
              <w:pStyle w:val="TableText"/>
              <w:jc w:val="right"/>
            </w:pPr>
            <w:r w:rsidRPr="001F3926">
              <w:rPr>
                <w:rFonts w:cs="Arial"/>
              </w:rPr>
              <w:t>85.8 (81.9</w:t>
            </w:r>
            <w:r w:rsidR="0062434A" w:rsidRPr="001F3926">
              <w:rPr>
                <w:rFonts w:cs="Arial"/>
              </w:rPr>
              <w:t>, </w:t>
            </w:r>
            <w:r w:rsidRPr="001F3926">
              <w:rPr>
                <w:rFonts w:cs="Arial"/>
              </w:rPr>
              <w:t>88.9)</w:t>
            </w:r>
          </w:p>
        </w:tc>
        <w:tc>
          <w:tcPr>
            <w:tcW w:w="218" w:type="pct"/>
            <w:tcBorders>
              <w:top w:val="nil"/>
            </w:tcBorders>
          </w:tcPr>
          <w:p w14:paraId="27C1781E" w14:textId="77777777" w:rsidR="007123C7" w:rsidRPr="001F3926" w:rsidRDefault="007123C7" w:rsidP="00E82294">
            <w:pPr>
              <w:pStyle w:val="TableText"/>
              <w:jc w:val="right"/>
            </w:pPr>
            <w:r w:rsidRPr="001F3926">
              <w:rPr>
                <w:rFonts w:cs="Arial"/>
              </w:rPr>
              <w:t>78</w:t>
            </w:r>
          </w:p>
        </w:tc>
        <w:tc>
          <w:tcPr>
            <w:tcW w:w="352" w:type="pct"/>
            <w:tcBorders>
              <w:top w:val="nil"/>
            </w:tcBorders>
          </w:tcPr>
          <w:p w14:paraId="4429DBAF" w14:textId="77777777" w:rsidR="007123C7" w:rsidRPr="001F3926" w:rsidRDefault="007123C7" w:rsidP="00E82294">
            <w:pPr>
              <w:pStyle w:val="TableText"/>
              <w:jc w:val="right"/>
            </w:pPr>
            <w:r w:rsidRPr="001F3926">
              <w:rPr>
                <w:rFonts w:cs="Arial"/>
              </w:rPr>
              <w:t>475</w:t>
            </w:r>
          </w:p>
        </w:tc>
        <w:tc>
          <w:tcPr>
            <w:tcW w:w="367" w:type="pct"/>
            <w:tcBorders>
              <w:top w:val="nil"/>
            </w:tcBorders>
          </w:tcPr>
          <w:p w14:paraId="14DD98AD" w14:textId="77777777" w:rsidR="007123C7" w:rsidRPr="001F3926" w:rsidRDefault="007123C7" w:rsidP="00E82294">
            <w:pPr>
              <w:pStyle w:val="TableText"/>
              <w:jc w:val="right"/>
            </w:pPr>
            <w:r w:rsidRPr="001F3926">
              <w:rPr>
                <w:rFonts w:cs="Arial"/>
              </w:rPr>
              <w:t>14.2 (11.1</w:t>
            </w:r>
            <w:r w:rsidR="0062434A" w:rsidRPr="001F3926">
              <w:rPr>
                <w:rFonts w:cs="Arial"/>
              </w:rPr>
              <w:t>, </w:t>
            </w:r>
            <w:r w:rsidRPr="001F3926">
              <w:rPr>
                <w:rFonts w:cs="Arial"/>
              </w:rPr>
              <w:t>18.1)</w:t>
            </w:r>
          </w:p>
        </w:tc>
        <w:tc>
          <w:tcPr>
            <w:tcW w:w="219" w:type="pct"/>
            <w:tcBorders>
              <w:top w:val="nil"/>
            </w:tcBorders>
          </w:tcPr>
          <w:p w14:paraId="1436DEFF" w14:textId="77777777" w:rsidR="007123C7" w:rsidRPr="001F3926" w:rsidRDefault="007123C7" w:rsidP="00E82294">
            <w:pPr>
              <w:pStyle w:val="TableText"/>
              <w:jc w:val="right"/>
            </w:pPr>
            <w:r w:rsidRPr="001F3926">
              <w:rPr>
                <w:rFonts w:cs="Arial"/>
              </w:rPr>
              <w:t>184</w:t>
            </w:r>
          </w:p>
        </w:tc>
        <w:tc>
          <w:tcPr>
            <w:tcW w:w="351" w:type="pct"/>
            <w:tcBorders>
              <w:top w:val="nil"/>
            </w:tcBorders>
          </w:tcPr>
          <w:p w14:paraId="18158E51" w14:textId="77777777" w:rsidR="007123C7" w:rsidRPr="001F3926" w:rsidRDefault="007123C7" w:rsidP="00E82294">
            <w:pPr>
              <w:pStyle w:val="TableText"/>
              <w:jc w:val="right"/>
            </w:pPr>
            <w:r w:rsidRPr="001F3926">
              <w:rPr>
                <w:rFonts w:cs="Arial"/>
              </w:rPr>
              <w:t>1432</w:t>
            </w:r>
          </w:p>
        </w:tc>
        <w:tc>
          <w:tcPr>
            <w:tcW w:w="396" w:type="pct"/>
            <w:tcBorders>
              <w:top w:val="nil"/>
            </w:tcBorders>
          </w:tcPr>
          <w:p w14:paraId="0E017D50" w14:textId="77777777" w:rsidR="007123C7" w:rsidRPr="001F3926" w:rsidRDefault="007123C7" w:rsidP="00E82294">
            <w:pPr>
              <w:pStyle w:val="TableText"/>
              <w:jc w:val="right"/>
            </w:pPr>
            <w:r w:rsidRPr="001F3926">
              <w:rPr>
                <w:rFonts w:cs="Arial"/>
              </w:rPr>
              <w:t>79.8 (65.8</w:t>
            </w:r>
            <w:r w:rsidR="0062434A" w:rsidRPr="001F3926">
              <w:rPr>
                <w:rFonts w:cs="Arial"/>
              </w:rPr>
              <w:t>, </w:t>
            </w:r>
            <w:r w:rsidRPr="001F3926">
              <w:rPr>
                <w:rFonts w:cs="Arial"/>
              </w:rPr>
              <w:t>89.1)</w:t>
            </w:r>
          </w:p>
        </w:tc>
        <w:tc>
          <w:tcPr>
            <w:tcW w:w="230" w:type="pct"/>
            <w:tcBorders>
              <w:top w:val="nil"/>
            </w:tcBorders>
          </w:tcPr>
          <w:p w14:paraId="6A312F44" w14:textId="77777777" w:rsidR="007123C7" w:rsidRPr="001F3926" w:rsidRDefault="007123C7" w:rsidP="00E82294">
            <w:pPr>
              <w:pStyle w:val="TableText"/>
              <w:jc w:val="right"/>
            </w:pPr>
            <w:r w:rsidRPr="001F3926">
              <w:rPr>
                <w:rFonts w:cs="Arial"/>
              </w:rPr>
              <w:t>66</w:t>
            </w:r>
          </w:p>
        </w:tc>
        <w:tc>
          <w:tcPr>
            <w:tcW w:w="351" w:type="pct"/>
            <w:tcBorders>
              <w:top w:val="nil"/>
            </w:tcBorders>
          </w:tcPr>
          <w:p w14:paraId="7BEF2F4C" w14:textId="77777777" w:rsidR="007123C7" w:rsidRPr="001F3926" w:rsidRDefault="007123C7" w:rsidP="00E82294">
            <w:pPr>
              <w:pStyle w:val="TableText"/>
              <w:jc w:val="right"/>
            </w:pPr>
            <w:r w:rsidRPr="001F3926">
              <w:rPr>
                <w:rFonts w:cs="Arial"/>
              </w:rPr>
              <w:t>362</w:t>
            </w:r>
          </w:p>
        </w:tc>
        <w:tc>
          <w:tcPr>
            <w:tcW w:w="458" w:type="pct"/>
            <w:tcBorders>
              <w:top w:val="nil"/>
            </w:tcBorders>
          </w:tcPr>
          <w:p w14:paraId="21F67085" w14:textId="77777777" w:rsidR="007123C7" w:rsidRPr="001F3926" w:rsidRDefault="007123C7" w:rsidP="00E82294">
            <w:pPr>
              <w:pStyle w:val="TableText"/>
              <w:jc w:val="right"/>
            </w:pPr>
            <w:r w:rsidRPr="001F3926">
              <w:rPr>
                <w:rFonts w:cs="Arial"/>
              </w:rPr>
              <w:t>20.2 (10.9</w:t>
            </w:r>
            <w:r w:rsidR="0062434A" w:rsidRPr="001F3926">
              <w:rPr>
                <w:rFonts w:cs="Arial"/>
              </w:rPr>
              <w:t>, </w:t>
            </w:r>
            <w:r w:rsidRPr="001F3926">
              <w:rPr>
                <w:rFonts w:cs="Arial"/>
              </w:rPr>
              <w:t>34.2)</w:t>
            </w:r>
          </w:p>
        </w:tc>
      </w:tr>
      <w:tr w:rsidR="0062434A" w:rsidRPr="001F3926" w14:paraId="24BE4EE0"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Pr>
          <w:p w14:paraId="7C27873D" w14:textId="77777777" w:rsidR="007123C7" w:rsidRPr="001F3926" w:rsidRDefault="007155C2" w:rsidP="00E82294">
            <w:pPr>
              <w:pStyle w:val="TableText"/>
            </w:pPr>
            <w:r>
              <w:t>Subsyndromal</w:t>
            </w:r>
            <w:r w:rsidR="007123C7" w:rsidRPr="001F3926">
              <w:t xml:space="preserve"> disorder </w:t>
            </w:r>
          </w:p>
        </w:tc>
        <w:tc>
          <w:tcPr>
            <w:tcW w:w="217" w:type="pct"/>
          </w:tcPr>
          <w:p w14:paraId="137C2686" w14:textId="77777777" w:rsidR="007123C7" w:rsidRPr="001F3926" w:rsidRDefault="007123C7" w:rsidP="00E82294">
            <w:pPr>
              <w:pStyle w:val="TableText"/>
              <w:jc w:val="right"/>
            </w:pPr>
            <w:r w:rsidRPr="001F3926">
              <w:rPr>
                <w:rFonts w:cs="Arial"/>
              </w:rPr>
              <w:t>1146</w:t>
            </w:r>
          </w:p>
        </w:tc>
        <w:tc>
          <w:tcPr>
            <w:tcW w:w="352" w:type="pct"/>
          </w:tcPr>
          <w:p w14:paraId="1CDEA3CB" w14:textId="77777777" w:rsidR="007123C7" w:rsidRPr="001F3926" w:rsidRDefault="007123C7" w:rsidP="00E82294">
            <w:pPr>
              <w:pStyle w:val="TableText"/>
              <w:jc w:val="right"/>
            </w:pPr>
            <w:r w:rsidRPr="001F3926">
              <w:rPr>
                <w:rFonts w:cs="Arial"/>
              </w:rPr>
              <w:t>7785</w:t>
            </w:r>
          </w:p>
        </w:tc>
        <w:tc>
          <w:tcPr>
            <w:tcW w:w="406" w:type="pct"/>
          </w:tcPr>
          <w:p w14:paraId="243E76AB" w14:textId="77777777" w:rsidR="007123C7" w:rsidRPr="001F3926" w:rsidRDefault="007123C7" w:rsidP="00E82294">
            <w:pPr>
              <w:pStyle w:val="TableText"/>
              <w:jc w:val="right"/>
            </w:pPr>
            <w:r w:rsidRPr="001F3926">
              <w:rPr>
                <w:rFonts w:cs="Arial"/>
              </w:rPr>
              <w:t>88.6 (86.3</w:t>
            </w:r>
            <w:r w:rsidR="0062434A" w:rsidRPr="001F3926">
              <w:rPr>
                <w:rFonts w:cs="Arial"/>
              </w:rPr>
              <w:t>, </w:t>
            </w:r>
            <w:r w:rsidRPr="001F3926">
              <w:rPr>
                <w:rFonts w:cs="Arial"/>
              </w:rPr>
              <w:t>90.6)</w:t>
            </w:r>
          </w:p>
        </w:tc>
        <w:tc>
          <w:tcPr>
            <w:tcW w:w="218" w:type="pct"/>
          </w:tcPr>
          <w:p w14:paraId="0B5B4262" w14:textId="77777777" w:rsidR="007123C7" w:rsidRPr="001F3926" w:rsidRDefault="007123C7" w:rsidP="00E82294">
            <w:pPr>
              <w:pStyle w:val="TableText"/>
              <w:jc w:val="right"/>
            </w:pPr>
            <w:r w:rsidRPr="001F3926">
              <w:rPr>
                <w:rFonts w:cs="Arial"/>
              </w:rPr>
              <w:t>160</w:t>
            </w:r>
          </w:p>
        </w:tc>
        <w:tc>
          <w:tcPr>
            <w:tcW w:w="352" w:type="pct"/>
          </w:tcPr>
          <w:p w14:paraId="470E6F49" w14:textId="77777777" w:rsidR="007123C7" w:rsidRPr="001F3926" w:rsidRDefault="007123C7" w:rsidP="00E82294">
            <w:pPr>
              <w:pStyle w:val="TableText"/>
              <w:jc w:val="right"/>
            </w:pPr>
            <w:r w:rsidRPr="001F3926">
              <w:rPr>
                <w:rFonts w:cs="Arial"/>
              </w:rPr>
              <w:t>999</w:t>
            </w:r>
          </w:p>
        </w:tc>
        <w:tc>
          <w:tcPr>
            <w:tcW w:w="367" w:type="pct"/>
          </w:tcPr>
          <w:p w14:paraId="0FD01A84" w14:textId="77777777" w:rsidR="007123C7" w:rsidRPr="001F3926" w:rsidRDefault="007123C7" w:rsidP="00E82294">
            <w:pPr>
              <w:pStyle w:val="TableText"/>
              <w:jc w:val="right"/>
            </w:pPr>
            <w:r w:rsidRPr="001F3926">
              <w:rPr>
                <w:rFonts w:cs="Arial"/>
              </w:rPr>
              <w:t>11.4 (9.4</w:t>
            </w:r>
            <w:r w:rsidR="0062434A" w:rsidRPr="001F3926">
              <w:rPr>
                <w:rFonts w:cs="Arial"/>
              </w:rPr>
              <w:t>, </w:t>
            </w:r>
            <w:r w:rsidRPr="001F3926">
              <w:rPr>
                <w:rFonts w:cs="Arial"/>
              </w:rPr>
              <w:t>13.7)</w:t>
            </w:r>
          </w:p>
        </w:tc>
        <w:tc>
          <w:tcPr>
            <w:tcW w:w="219" w:type="pct"/>
          </w:tcPr>
          <w:p w14:paraId="3D95E902" w14:textId="77777777" w:rsidR="007123C7" w:rsidRPr="001F3926" w:rsidRDefault="007123C7" w:rsidP="00E82294">
            <w:pPr>
              <w:pStyle w:val="TableText"/>
              <w:jc w:val="right"/>
            </w:pPr>
            <w:r w:rsidRPr="001F3926">
              <w:rPr>
                <w:rFonts w:cs="Arial"/>
              </w:rPr>
              <w:t>1759</w:t>
            </w:r>
          </w:p>
        </w:tc>
        <w:tc>
          <w:tcPr>
            <w:tcW w:w="351" w:type="pct"/>
          </w:tcPr>
          <w:p w14:paraId="3B18CE43" w14:textId="77777777" w:rsidR="007123C7" w:rsidRPr="001F3926" w:rsidRDefault="007123C7" w:rsidP="00E82294">
            <w:pPr>
              <w:pStyle w:val="TableText"/>
              <w:jc w:val="right"/>
            </w:pPr>
            <w:r w:rsidRPr="001F3926">
              <w:rPr>
                <w:rFonts w:cs="Arial"/>
              </w:rPr>
              <w:t>14,248</w:t>
            </w:r>
          </w:p>
        </w:tc>
        <w:tc>
          <w:tcPr>
            <w:tcW w:w="396" w:type="pct"/>
          </w:tcPr>
          <w:p w14:paraId="41ADC6B1" w14:textId="77777777" w:rsidR="007123C7" w:rsidRPr="001F3926" w:rsidRDefault="007123C7" w:rsidP="00E82294">
            <w:pPr>
              <w:pStyle w:val="TableText"/>
              <w:jc w:val="right"/>
            </w:pPr>
            <w:r w:rsidRPr="001F3926">
              <w:rPr>
                <w:rFonts w:cs="Arial"/>
              </w:rPr>
              <w:t>84.5 (79.5</w:t>
            </w:r>
            <w:r w:rsidR="0062434A" w:rsidRPr="001F3926">
              <w:rPr>
                <w:rFonts w:cs="Arial"/>
              </w:rPr>
              <w:t>, </w:t>
            </w:r>
            <w:r w:rsidRPr="001F3926">
              <w:rPr>
                <w:rFonts w:cs="Arial"/>
              </w:rPr>
              <w:t>88.4)</w:t>
            </w:r>
          </w:p>
        </w:tc>
        <w:tc>
          <w:tcPr>
            <w:tcW w:w="230" w:type="pct"/>
          </w:tcPr>
          <w:p w14:paraId="42AC52C9" w14:textId="77777777" w:rsidR="007123C7" w:rsidRPr="001F3926" w:rsidRDefault="007123C7" w:rsidP="00E82294">
            <w:pPr>
              <w:pStyle w:val="TableText"/>
              <w:jc w:val="right"/>
            </w:pPr>
            <w:r w:rsidRPr="001F3926">
              <w:rPr>
                <w:rFonts w:cs="Arial"/>
              </w:rPr>
              <w:t>485</w:t>
            </w:r>
          </w:p>
        </w:tc>
        <w:tc>
          <w:tcPr>
            <w:tcW w:w="351" w:type="pct"/>
          </w:tcPr>
          <w:p w14:paraId="67F0C4BB" w14:textId="77777777" w:rsidR="007123C7" w:rsidRPr="001F3926" w:rsidRDefault="007123C7" w:rsidP="00E82294">
            <w:pPr>
              <w:pStyle w:val="TableText"/>
              <w:jc w:val="right"/>
            </w:pPr>
            <w:r w:rsidRPr="001F3926">
              <w:rPr>
                <w:rFonts w:cs="Arial"/>
              </w:rPr>
              <w:t>2623</w:t>
            </w:r>
          </w:p>
        </w:tc>
        <w:tc>
          <w:tcPr>
            <w:tcW w:w="458" w:type="pct"/>
          </w:tcPr>
          <w:p w14:paraId="1AB8205D" w14:textId="77777777" w:rsidR="007123C7" w:rsidRPr="001F3926" w:rsidRDefault="007123C7" w:rsidP="00E82294">
            <w:pPr>
              <w:pStyle w:val="TableText"/>
              <w:jc w:val="right"/>
            </w:pPr>
            <w:r w:rsidRPr="001F3926">
              <w:rPr>
                <w:rFonts w:cs="Arial"/>
              </w:rPr>
              <w:t>15.5 (11.6</w:t>
            </w:r>
            <w:r w:rsidR="0062434A" w:rsidRPr="001F3926">
              <w:rPr>
                <w:rFonts w:cs="Arial"/>
              </w:rPr>
              <w:t>, </w:t>
            </w:r>
            <w:r w:rsidRPr="001F3926">
              <w:rPr>
                <w:rFonts w:cs="Arial"/>
              </w:rPr>
              <w:t>20.5)</w:t>
            </w:r>
          </w:p>
        </w:tc>
      </w:tr>
      <w:tr w:rsidR="0062434A" w:rsidRPr="001F3926" w14:paraId="10F5BE1E" w14:textId="77777777" w:rsidTr="0062434A">
        <w:trPr>
          <w:cantSplit/>
        </w:trPr>
        <w:tc>
          <w:tcPr>
            <w:tcW w:w="1083" w:type="pct"/>
            <w:tcBorders>
              <w:bottom w:val="single" w:sz="4" w:space="0" w:color="000000"/>
            </w:tcBorders>
          </w:tcPr>
          <w:p w14:paraId="33E4BEF8" w14:textId="77777777" w:rsidR="007123C7" w:rsidRPr="001F3926" w:rsidRDefault="007123C7" w:rsidP="00E82294">
            <w:pPr>
              <w:pStyle w:val="TableText"/>
            </w:pPr>
            <w:r w:rsidRPr="001F3926">
              <w:t>No disorder</w:t>
            </w:r>
          </w:p>
        </w:tc>
        <w:tc>
          <w:tcPr>
            <w:tcW w:w="217" w:type="pct"/>
            <w:tcBorders>
              <w:bottom w:val="single" w:sz="4" w:space="0" w:color="000000"/>
            </w:tcBorders>
          </w:tcPr>
          <w:p w14:paraId="697EF088" w14:textId="77777777" w:rsidR="007123C7" w:rsidRPr="001F3926" w:rsidRDefault="007123C7" w:rsidP="00E82294">
            <w:pPr>
              <w:pStyle w:val="TableText"/>
              <w:jc w:val="right"/>
            </w:pPr>
            <w:r w:rsidRPr="001F3926">
              <w:rPr>
                <w:rFonts w:cs="Arial"/>
              </w:rPr>
              <w:t>1794</w:t>
            </w:r>
          </w:p>
        </w:tc>
        <w:tc>
          <w:tcPr>
            <w:tcW w:w="352" w:type="pct"/>
            <w:tcBorders>
              <w:bottom w:val="single" w:sz="4" w:space="0" w:color="000000"/>
            </w:tcBorders>
          </w:tcPr>
          <w:p w14:paraId="45DE7356" w14:textId="77777777" w:rsidR="007123C7" w:rsidRPr="001F3926" w:rsidRDefault="007123C7" w:rsidP="00E82294">
            <w:pPr>
              <w:pStyle w:val="TableText"/>
              <w:jc w:val="right"/>
            </w:pPr>
            <w:r w:rsidRPr="001F3926">
              <w:rPr>
                <w:rFonts w:cs="Arial"/>
              </w:rPr>
              <w:t>11,672</w:t>
            </w:r>
          </w:p>
        </w:tc>
        <w:tc>
          <w:tcPr>
            <w:tcW w:w="406" w:type="pct"/>
            <w:tcBorders>
              <w:bottom w:val="single" w:sz="4" w:space="0" w:color="000000"/>
            </w:tcBorders>
          </w:tcPr>
          <w:p w14:paraId="01FB9398" w14:textId="77777777" w:rsidR="007123C7" w:rsidRPr="001F3926" w:rsidRDefault="007123C7" w:rsidP="00E82294">
            <w:pPr>
              <w:pStyle w:val="TableText"/>
              <w:jc w:val="right"/>
            </w:pPr>
            <w:r w:rsidRPr="001F3926">
              <w:rPr>
                <w:rFonts w:cs="Arial"/>
              </w:rPr>
              <w:t>92.2 (90.6</w:t>
            </w:r>
            <w:r w:rsidR="0062434A" w:rsidRPr="001F3926">
              <w:rPr>
                <w:rFonts w:cs="Arial"/>
              </w:rPr>
              <w:t>, </w:t>
            </w:r>
            <w:r w:rsidRPr="001F3926">
              <w:rPr>
                <w:rFonts w:cs="Arial"/>
              </w:rPr>
              <w:t>93.5)</w:t>
            </w:r>
          </w:p>
        </w:tc>
        <w:tc>
          <w:tcPr>
            <w:tcW w:w="218" w:type="pct"/>
            <w:tcBorders>
              <w:bottom w:val="single" w:sz="4" w:space="0" w:color="000000"/>
            </w:tcBorders>
          </w:tcPr>
          <w:p w14:paraId="2B59F088" w14:textId="77777777" w:rsidR="007123C7" w:rsidRPr="001F3926" w:rsidRDefault="007123C7" w:rsidP="00E82294">
            <w:pPr>
              <w:pStyle w:val="TableText"/>
              <w:jc w:val="right"/>
            </w:pPr>
            <w:r w:rsidRPr="001F3926">
              <w:rPr>
                <w:rFonts w:cs="Arial"/>
              </w:rPr>
              <w:t>159</w:t>
            </w:r>
          </w:p>
        </w:tc>
        <w:tc>
          <w:tcPr>
            <w:tcW w:w="352" w:type="pct"/>
            <w:tcBorders>
              <w:bottom w:val="single" w:sz="4" w:space="0" w:color="000000"/>
            </w:tcBorders>
          </w:tcPr>
          <w:p w14:paraId="346D61BC" w14:textId="77777777" w:rsidR="007123C7" w:rsidRPr="001F3926" w:rsidRDefault="007123C7" w:rsidP="00E82294">
            <w:pPr>
              <w:pStyle w:val="TableText"/>
              <w:jc w:val="right"/>
            </w:pPr>
            <w:r w:rsidRPr="001F3926">
              <w:rPr>
                <w:rFonts w:cs="Arial"/>
              </w:rPr>
              <w:t>994</w:t>
            </w:r>
          </w:p>
        </w:tc>
        <w:tc>
          <w:tcPr>
            <w:tcW w:w="367" w:type="pct"/>
            <w:tcBorders>
              <w:bottom w:val="single" w:sz="4" w:space="0" w:color="000000"/>
            </w:tcBorders>
          </w:tcPr>
          <w:p w14:paraId="634B28FC" w14:textId="77777777" w:rsidR="007123C7" w:rsidRPr="001F3926" w:rsidRDefault="007123C7" w:rsidP="00E82294">
            <w:pPr>
              <w:pStyle w:val="TableText"/>
              <w:jc w:val="right"/>
            </w:pPr>
            <w:r w:rsidRPr="001F3926">
              <w:rPr>
                <w:rFonts w:cs="Arial"/>
              </w:rPr>
              <w:t>7.8 (6.5</w:t>
            </w:r>
            <w:r w:rsidR="0062434A" w:rsidRPr="001F3926">
              <w:rPr>
                <w:rFonts w:cs="Arial"/>
              </w:rPr>
              <w:t>, </w:t>
            </w:r>
            <w:r w:rsidRPr="001F3926">
              <w:rPr>
                <w:rFonts w:cs="Arial"/>
              </w:rPr>
              <w:t>9.4)</w:t>
            </w:r>
          </w:p>
        </w:tc>
        <w:tc>
          <w:tcPr>
            <w:tcW w:w="219" w:type="pct"/>
            <w:tcBorders>
              <w:bottom w:val="single" w:sz="4" w:space="0" w:color="000000"/>
            </w:tcBorders>
          </w:tcPr>
          <w:p w14:paraId="55703485" w14:textId="77777777" w:rsidR="007123C7" w:rsidRPr="001F3926" w:rsidRDefault="007123C7" w:rsidP="00E82294">
            <w:pPr>
              <w:pStyle w:val="TableText"/>
              <w:jc w:val="right"/>
            </w:pPr>
            <w:r w:rsidRPr="001F3926">
              <w:rPr>
                <w:rFonts w:cs="Arial"/>
              </w:rPr>
              <w:t>4448</w:t>
            </w:r>
          </w:p>
        </w:tc>
        <w:tc>
          <w:tcPr>
            <w:tcW w:w="351" w:type="pct"/>
            <w:tcBorders>
              <w:bottom w:val="single" w:sz="4" w:space="0" w:color="000000"/>
            </w:tcBorders>
          </w:tcPr>
          <w:p w14:paraId="4C9BBE83" w14:textId="77777777" w:rsidR="007123C7" w:rsidRPr="001F3926" w:rsidRDefault="007123C7" w:rsidP="00E82294">
            <w:pPr>
              <w:pStyle w:val="TableText"/>
              <w:jc w:val="right"/>
            </w:pPr>
            <w:r w:rsidRPr="001F3926">
              <w:rPr>
                <w:rFonts w:cs="Arial"/>
              </w:rPr>
              <w:t>29,017</w:t>
            </w:r>
          </w:p>
        </w:tc>
        <w:tc>
          <w:tcPr>
            <w:tcW w:w="396" w:type="pct"/>
            <w:tcBorders>
              <w:bottom w:val="single" w:sz="4" w:space="0" w:color="000000"/>
            </w:tcBorders>
          </w:tcPr>
          <w:p w14:paraId="0DE88C86" w14:textId="77777777" w:rsidR="007123C7" w:rsidRPr="001F3926" w:rsidRDefault="007123C7" w:rsidP="00E82294">
            <w:pPr>
              <w:pStyle w:val="TableText"/>
              <w:jc w:val="right"/>
            </w:pPr>
            <w:r w:rsidRPr="001F3926">
              <w:rPr>
                <w:rFonts w:cs="Arial"/>
              </w:rPr>
              <w:t>86.4 (82.8</w:t>
            </w:r>
            <w:r w:rsidR="0062434A" w:rsidRPr="001F3926">
              <w:rPr>
                <w:rFonts w:cs="Arial"/>
              </w:rPr>
              <w:t>, </w:t>
            </w:r>
            <w:r w:rsidRPr="001F3926">
              <w:rPr>
                <w:rFonts w:cs="Arial"/>
              </w:rPr>
              <w:t>89.3)</w:t>
            </w:r>
          </w:p>
        </w:tc>
        <w:tc>
          <w:tcPr>
            <w:tcW w:w="230" w:type="pct"/>
            <w:tcBorders>
              <w:bottom w:val="single" w:sz="4" w:space="0" w:color="000000"/>
            </w:tcBorders>
          </w:tcPr>
          <w:p w14:paraId="2D63977E" w14:textId="77777777" w:rsidR="007123C7" w:rsidRPr="001F3926" w:rsidRDefault="007123C7" w:rsidP="00E82294">
            <w:pPr>
              <w:pStyle w:val="TableText"/>
              <w:jc w:val="right"/>
            </w:pPr>
            <w:r w:rsidRPr="001F3926">
              <w:rPr>
                <w:rFonts w:cs="Arial"/>
              </w:rPr>
              <w:t>726</w:t>
            </w:r>
          </w:p>
        </w:tc>
        <w:tc>
          <w:tcPr>
            <w:tcW w:w="351" w:type="pct"/>
            <w:tcBorders>
              <w:bottom w:val="single" w:sz="4" w:space="0" w:color="000000"/>
            </w:tcBorders>
          </w:tcPr>
          <w:p w14:paraId="60B79A0F" w14:textId="77777777" w:rsidR="007123C7" w:rsidRPr="001F3926" w:rsidRDefault="007123C7" w:rsidP="00E82294">
            <w:pPr>
              <w:pStyle w:val="TableText"/>
              <w:jc w:val="right"/>
            </w:pPr>
            <w:r w:rsidRPr="001F3926">
              <w:rPr>
                <w:rFonts w:cs="Arial"/>
              </w:rPr>
              <w:t>4558</w:t>
            </w:r>
          </w:p>
        </w:tc>
        <w:tc>
          <w:tcPr>
            <w:tcW w:w="458" w:type="pct"/>
            <w:tcBorders>
              <w:bottom w:val="single" w:sz="4" w:space="0" w:color="000000"/>
            </w:tcBorders>
          </w:tcPr>
          <w:p w14:paraId="7E9E10C1" w14:textId="77777777" w:rsidR="007123C7" w:rsidRPr="001F3926" w:rsidRDefault="007123C7" w:rsidP="00E82294">
            <w:pPr>
              <w:pStyle w:val="TableText"/>
              <w:jc w:val="right"/>
            </w:pPr>
            <w:r w:rsidRPr="001F3926">
              <w:rPr>
                <w:rFonts w:cs="Arial"/>
              </w:rPr>
              <w:t>13.6 (10.7</w:t>
            </w:r>
            <w:r w:rsidR="0062434A" w:rsidRPr="001F3926">
              <w:rPr>
                <w:rFonts w:cs="Arial"/>
              </w:rPr>
              <w:t>, </w:t>
            </w:r>
            <w:r w:rsidRPr="001F3926">
              <w:rPr>
                <w:rFonts w:cs="Arial"/>
              </w:rPr>
              <w:t>17.2)</w:t>
            </w:r>
          </w:p>
        </w:tc>
      </w:tr>
      <w:tr w:rsidR="0062434A" w:rsidRPr="001F3926" w14:paraId="4AEF0A4C"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Borders>
              <w:top w:val="single" w:sz="4" w:space="0" w:color="000000"/>
              <w:bottom w:val="nil"/>
            </w:tcBorders>
          </w:tcPr>
          <w:p w14:paraId="3E8B3E12" w14:textId="77777777" w:rsidR="007123C7" w:rsidRPr="001F3926" w:rsidRDefault="007123C7" w:rsidP="00E82294">
            <w:pPr>
              <w:pStyle w:val="TableText"/>
              <w:rPr>
                <w:b/>
              </w:rPr>
            </w:pPr>
            <w:r w:rsidRPr="001F3926">
              <w:rPr>
                <w:b/>
              </w:rPr>
              <w:t>12-month suicidal ideation and behaviour</w:t>
            </w:r>
          </w:p>
        </w:tc>
        <w:tc>
          <w:tcPr>
            <w:tcW w:w="217" w:type="pct"/>
            <w:tcBorders>
              <w:top w:val="single" w:sz="4" w:space="0" w:color="000000"/>
              <w:bottom w:val="nil"/>
            </w:tcBorders>
          </w:tcPr>
          <w:p w14:paraId="7ED902B7" w14:textId="77777777" w:rsidR="007123C7" w:rsidRPr="001F3926" w:rsidRDefault="007123C7" w:rsidP="00E82294">
            <w:pPr>
              <w:pStyle w:val="TableText"/>
              <w:jc w:val="right"/>
            </w:pPr>
          </w:p>
        </w:tc>
        <w:tc>
          <w:tcPr>
            <w:tcW w:w="352" w:type="pct"/>
            <w:tcBorders>
              <w:top w:val="single" w:sz="4" w:space="0" w:color="000000"/>
              <w:bottom w:val="nil"/>
            </w:tcBorders>
          </w:tcPr>
          <w:p w14:paraId="664A1FF0" w14:textId="77777777" w:rsidR="007123C7" w:rsidRPr="001F3926" w:rsidRDefault="007123C7" w:rsidP="00E82294">
            <w:pPr>
              <w:pStyle w:val="TableText"/>
              <w:jc w:val="right"/>
            </w:pPr>
          </w:p>
        </w:tc>
        <w:tc>
          <w:tcPr>
            <w:tcW w:w="406" w:type="pct"/>
            <w:tcBorders>
              <w:top w:val="single" w:sz="4" w:space="0" w:color="000000"/>
              <w:bottom w:val="nil"/>
            </w:tcBorders>
          </w:tcPr>
          <w:p w14:paraId="44B824F6" w14:textId="77777777" w:rsidR="007123C7" w:rsidRPr="001F3926" w:rsidRDefault="007123C7" w:rsidP="00E82294">
            <w:pPr>
              <w:pStyle w:val="TableText"/>
              <w:jc w:val="right"/>
            </w:pPr>
          </w:p>
        </w:tc>
        <w:tc>
          <w:tcPr>
            <w:tcW w:w="218" w:type="pct"/>
            <w:tcBorders>
              <w:top w:val="single" w:sz="4" w:space="0" w:color="000000"/>
              <w:bottom w:val="nil"/>
            </w:tcBorders>
          </w:tcPr>
          <w:p w14:paraId="676EC4FC" w14:textId="77777777" w:rsidR="007123C7" w:rsidRPr="001F3926" w:rsidRDefault="007123C7" w:rsidP="00E82294">
            <w:pPr>
              <w:pStyle w:val="TableText"/>
              <w:jc w:val="right"/>
            </w:pPr>
          </w:p>
        </w:tc>
        <w:tc>
          <w:tcPr>
            <w:tcW w:w="352" w:type="pct"/>
            <w:tcBorders>
              <w:top w:val="single" w:sz="4" w:space="0" w:color="000000"/>
              <w:bottom w:val="nil"/>
            </w:tcBorders>
          </w:tcPr>
          <w:p w14:paraId="1F87ECA9" w14:textId="77777777" w:rsidR="007123C7" w:rsidRPr="001F3926" w:rsidRDefault="007123C7" w:rsidP="00E82294">
            <w:pPr>
              <w:pStyle w:val="TableText"/>
              <w:jc w:val="right"/>
            </w:pPr>
          </w:p>
        </w:tc>
        <w:tc>
          <w:tcPr>
            <w:tcW w:w="367" w:type="pct"/>
            <w:tcBorders>
              <w:top w:val="single" w:sz="4" w:space="0" w:color="000000"/>
              <w:bottom w:val="nil"/>
            </w:tcBorders>
          </w:tcPr>
          <w:p w14:paraId="3C8EE590" w14:textId="77777777" w:rsidR="007123C7" w:rsidRPr="001F3926" w:rsidRDefault="007123C7" w:rsidP="00E82294">
            <w:pPr>
              <w:pStyle w:val="TableText"/>
              <w:jc w:val="right"/>
            </w:pPr>
          </w:p>
        </w:tc>
        <w:tc>
          <w:tcPr>
            <w:tcW w:w="219" w:type="pct"/>
            <w:tcBorders>
              <w:top w:val="single" w:sz="4" w:space="0" w:color="000000"/>
              <w:bottom w:val="nil"/>
            </w:tcBorders>
          </w:tcPr>
          <w:p w14:paraId="51099ACE" w14:textId="77777777" w:rsidR="007123C7" w:rsidRPr="001F3926" w:rsidRDefault="007123C7" w:rsidP="00E82294">
            <w:pPr>
              <w:pStyle w:val="TableText"/>
              <w:jc w:val="right"/>
            </w:pPr>
          </w:p>
        </w:tc>
        <w:tc>
          <w:tcPr>
            <w:tcW w:w="351" w:type="pct"/>
            <w:tcBorders>
              <w:top w:val="single" w:sz="4" w:space="0" w:color="000000"/>
              <w:bottom w:val="nil"/>
            </w:tcBorders>
          </w:tcPr>
          <w:p w14:paraId="7884B456" w14:textId="77777777" w:rsidR="007123C7" w:rsidRPr="001F3926" w:rsidRDefault="007123C7" w:rsidP="00E82294">
            <w:pPr>
              <w:pStyle w:val="TableText"/>
              <w:jc w:val="right"/>
            </w:pPr>
          </w:p>
        </w:tc>
        <w:tc>
          <w:tcPr>
            <w:tcW w:w="396" w:type="pct"/>
            <w:tcBorders>
              <w:top w:val="single" w:sz="4" w:space="0" w:color="000000"/>
              <w:bottom w:val="nil"/>
            </w:tcBorders>
          </w:tcPr>
          <w:p w14:paraId="16074FD7" w14:textId="77777777" w:rsidR="007123C7" w:rsidRPr="001F3926" w:rsidRDefault="007123C7" w:rsidP="00E82294">
            <w:pPr>
              <w:pStyle w:val="TableText"/>
              <w:jc w:val="right"/>
            </w:pPr>
          </w:p>
        </w:tc>
        <w:tc>
          <w:tcPr>
            <w:tcW w:w="230" w:type="pct"/>
            <w:tcBorders>
              <w:top w:val="single" w:sz="4" w:space="0" w:color="000000"/>
              <w:bottom w:val="nil"/>
            </w:tcBorders>
          </w:tcPr>
          <w:p w14:paraId="318EA3AD" w14:textId="77777777" w:rsidR="007123C7" w:rsidRPr="001F3926" w:rsidRDefault="007123C7" w:rsidP="00E82294">
            <w:pPr>
              <w:pStyle w:val="TableText"/>
              <w:jc w:val="right"/>
            </w:pPr>
          </w:p>
        </w:tc>
        <w:tc>
          <w:tcPr>
            <w:tcW w:w="351" w:type="pct"/>
            <w:tcBorders>
              <w:top w:val="single" w:sz="4" w:space="0" w:color="000000"/>
              <w:bottom w:val="nil"/>
            </w:tcBorders>
          </w:tcPr>
          <w:p w14:paraId="482A0302" w14:textId="77777777" w:rsidR="007123C7" w:rsidRPr="001F3926" w:rsidRDefault="007123C7" w:rsidP="00E82294">
            <w:pPr>
              <w:pStyle w:val="TableText"/>
              <w:jc w:val="right"/>
            </w:pPr>
          </w:p>
        </w:tc>
        <w:tc>
          <w:tcPr>
            <w:tcW w:w="458" w:type="pct"/>
            <w:tcBorders>
              <w:top w:val="single" w:sz="4" w:space="0" w:color="000000"/>
              <w:bottom w:val="nil"/>
            </w:tcBorders>
          </w:tcPr>
          <w:p w14:paraId="0EC2316E" w14:textId="77777777" w:rsidR="007123C7" w:rsidRPr="001F3926" w:rsidRDefault="007123C7" w:rsidP="00E82294">
            <w:pPr>
              <w:pStyle w:val="TableText"/>
              <w:jc w:val="right"/>
            </w:pPr>
          </w:p>
        </w:tc>
      </w:tr>
      <w:tr w:rsidR="0062434A" w:rsidRPr="001F3926" w14:paraId="33CAA67A" w14:textId="77777777" w:rsidTr="0062434A">
        <w:trPr>
          <w:cantSplit/>
        </w:trPr>
        <w:tc>
          <w:tcPr>
            <w:tcW w:w="1083" w:type="pct"/>
            <w:tcBorders>
              <w:top w:val="nil"/>
            </w:tcBorders>
          </w:tcPr>
          <w:p w14:paraId="4F6AEE6F" w14:textId="77777777" w:rsidR="007123C7" w:rsidRPr="001F3926" w:rsidRDefault="007123C7" w:rsidP="00E82294">
            <w:pPr>
              <w:pStyle w:val="TableText"/>
            </w:pPr>
            <w:r w:rsidRPr="001F3926">
              <w:t>Any suicidality (suicidal ideation or plan)</w:t>
            </w:r>
          </w:p>
        </w:tc>
        <w:tc>
          <w:tcPr>
            <w:tcW w:w="217" w:type="pct"/>
            <w:tcBorders>
              <w:top w:val="nil"/>
            </w:tcBorders>
          </w:tcPr>
          <w:p w14:paraId="5449F695" w14:textId="77777777" w:rsidR="007123C7" w:rsidRPr="001F3926" w:rsidRDefault="007123C7" w:rsidP="00E82294">
            <w:pPr>
              <w:pStyle w:val="TableText"/>
              <w:jc w:val="right"/>
            </w:pPr>
            <w:r w:rsidRPr="001F3926">
              <w:rPr>
                <w:rFonts w:cs="Arial"/>
              </w:rPr>
              <w:t>966</w:t>
            </w:r>
          </w:p>
        </w:tc>
        <w:tc>
          <w:tcPr>
            <w:tcW w:w="352" w:type="pct"/>
            <w:tcBorders>
              <w:top w:val="nil"/>
            </w:tcBorders>
          </w:tcPr>
          <w:p w14:paraId="34859F4D" w14:textId="77777777" w:rsidR="007123C7" w:rsidRPr="001F3926" w:rsidRDefault="007123C7" w:rsidP="00E82294">
            <w:pPr>
              <w:pStyle w:val="TableText"/>
              <w:jc w:val="right"/>
            </w:pPr>
            <w:r w:rsidRPr="001F3926">
              <w:rPr>
                <w:rFonts w:cs="Arial"/>
              </w:rPr>
              <w:t>6597</w:t>
            </w:r>
          </w:p>
        </w:tc>
        <w:tc>
          <w:tcPr>
            <w:tcW w:w="406" w:type="pct"/>
            <w:tcBorders>
              <w:top w:val="nil"/>
            </w:tcBorders>
          </w:tcPr>
          <w:p w14:paraId="053D1967" w14:textId="77777777" w:rsidR="007123C7" w:rsidRPr="001F3926" w:rsidRDefault="007123C7" w:rsidP="00E82294">
            <w:pPr>
              <w:pStyle w:val="TableText"/>
              <w:jc w:val="right"/>
            </w:pPr>
            <w:r w:rsidRPr="001F3926">
              <w:rPr>
                <w:rFonts w:cs="Arial"/>
              </w:rPr>
              <w:t>87.5 (85.0</w:t>
            </w:r>
            <w:r w:rsidR="0062434A" w:rsidRPr="001F3926">
              <w:rPr>
                <w:rFonts w:cs="Arial"/>
              </w:rPr>
              <w:t>, </w:t>
            </w:r>
            <w:r w:rsidRPr="001F3926">
              <w:rPr>
                <w:rFonts w:cs="Arial"/>
              </w:rPr>
              <w:t>89.6)</w:t>
            </w:r>
          </w:p>
        </w:tc>
        <w:tc>
          <w:tcPr>
            <w:tcW w:w="218" w:type="pct"/>
            <w:tcBorders>
              <w:top w:val="nil"/>
            </w:tcBorders>
          </w:tcPr>
          <w:p w14:paraId="14044263" w14:textId="77777777" w:rsidR="007123C7" w:rsidRPr="001F3926" w:rsidRDefault="007123C7" w:rsidP="00E82294">
            <w:pPr>
              <w:pStyle w:val="TableText"/>
              <w:jc w:val="right"/>
            </w:pPr>
            <w:r w:rsidRPr="001F3926">
              <w:rPr>
                <w:rFonts w:cs="Arial"/>
              </w:rPr>
              <w:t>154</w:t>
            </w:r>
          </w:p>
        </w:tc>
        <w:tc>
          <w:tcPr>
            <w:tcW w:w="352" w:type="pct"/>
            <w:tcBorders>
              <w:top w:val="nil"/>
            </w:tcBorders>
          </w:tcPr>
          <w:p w14:paraId="02738BC3" w14:textId="77777777" w:rsidR="007123C7" w:rsidRPr="001F3926" w:rsidRDefault="007123C7" w:rsidP="00E82294">
            <w:pPr>
              <w:pStyle w:val="TableText"/>
              <w:jc w:val="right"/>
            </w:pPr>
            <w:r w:rsidRPr="001F3926">
              <w:rPr>
                <w:rFonts w:cs="Arial"/>
              </w:rPr>
              <w:t>944</w:t>
            </w:r>
          </w:p>
        </w:tc>
        <w:tc>
          <w:tcPr>
            <w:tcW w:w="367" w:type="pct"/>
            <w:tcBorders>
              <w:top w:val="nil"/>
            </w:tcBorders>
          </w:tcPr>
          <w:p w14:paraId="25C5695F" w14:textId="77777777" w:rsidR="007123C7" w:rsidRPr="001F3926" w:rsidRDefault="007123C7" w:rsidP="00E82294">
            <w:pPr>
              <w:pStyle w:val="TableText"/>
              <w:jc w:val="right"/>
            </w:pPr>
            <w:r w:rsidRPr="001F3926">
              <w:rPr>
                <w:rFonts w:cs="Arial"/>
              </w:rPr>
              <w:t>12.5 (10.4</w:t>
            </w:r>
            <w:r w:rsidR="0062434A" w:rsidRPr="001F3926">
              <w:rPr>
                <w:rFonts w:cs="Arial"/>
              </w:rPr>
              <w:t>, </w:t>
            </w:r>
            <w:r w:rsidRPr="001F3926">
              <w:rPr>
                <w:rFonts w:cs="Arial"/>
              </w:rPr>
              <w:t>15.0)</w:t>
            </w:r>
          </w:p>
        </w:tc>
        <w:tc>
          <w:tcPr>
            <w:tcW w:w="219" w:type="pct"/>
            <w:tcBorders>
              <w:top w:val="nil"/>
            </w:tcBorders>
          </w:tcPr>
          <w:p w14:paraId="21681777" w14:textId="77777777" w:rsidR="007123C7" w:rsidRPr="001F3926" w:rsidRDefault="007123C7" w:rsidP="00E82294">
            <w:pPr>
              <w:pStyle w:val="TableText"/>
              <w:jc w:val="right"/>
            </w:pPr>
            <w:r w:rsidRPr="001F3926">
              <w:rPr>
                <w:rFonts w:cs="Arial"/>
              </w:rPr>
              <w:t>728</w:t>
            </w:r>
          </w:p>
        </w:tc>
        <w:tc>
          <w:tcPr>
            <w:tcW w:w="351" w:type="pct"/>
            <w:tcBorders>
              <w:top w:val="nil"/>
            </w:tcBorders>
          </w:tcPr>
          <w:p w14:paraId="3158F252" w14:textId="77777777" w:rsidR="007123C7" w:rsidRPr="001F3926" w:rsidRDefault="007123C7" w:rsidP="00E82294">
            <w:pPr>
              <w:pStyle w:val="TableText"/>
              <w:jc w:val="right"/>
            </w:pPr>
            <w:r w:rsidRPr="001F3926">
              <w:rPr>
                <w:rFonts w:cs="Arial"/>
              </w:rPr>
              <w:t>6004</w:t>
            </w:r>
          </w:p>
        </w:tc>
        <w:tc>
          <w:tcPr>
            <w:tcW w:w="396" w:type="pct"/>
            <w:tcBorders>
              <w:top w:val="nil"/>
            </w:tcBorders>
          </w:tcPr>
          <w:p w14:paraId="3C54EF35" w14:textId="77777777" w:rsidR="007123C7" w:rsidRPr="001F3926" w:rsidRDefault="007123C7" w:rsidP="00E82294">
            <w:pPr>
              <w:pStyle w:val="TableText"/>
              <w:jc w:val="right"/>
            </w:pPr>
            <w:r w:rsidRPr="001F3926">
              <w:rPr>
                <w:rFonts w:cs="Arial"/>
              </w:rPr>
              <w:t>82.9 (75.9</w:t>
            </w:r>
            <w:r w:rsidR="0062434A" w:rsidRPr="001F3926">
              <w:rPr>
                <w:rFonts w:cs="Arial"/>
              </w:rPr>
              <w:t>, </w:t>
            </w:r>
            <w:r w:rsidRPr="001F3926">
              <w:rPr>
                <w:rFonts w:cs="Arial"/>
              </w:rPr>
              <w:t>88.1)</w:t>
            </w:r>
          </w:p>
        </w:tc>
        <w:tc>
          <w:tcPr>
            <w:tcW w:w="230" w:type="pct"/>
            <w:tcBorders>
              <w:top w:val="nil"/>
            </w:tcBorders>
          </w:tcPr>
          <w:p w14:paraId="21699FAB" w14:textId="77777777" w:rsidR="007123C7" w:rsidRPr="001F3926" w:rsidRDefault="007123C7" w:rsidP="00E82294">
            <w:pPr>
              <w:pStyle w:val="TableText"/>
              <w:jc w:val="right"/>
            </w:pPr>
            <w:r w:rsidRPr="001F3926">
              <w:rPr>
                <w:rFonts w:cs="Arial"/>
              </w:rPr>
              <w:t>246</w:t>
            </w:r>
          </w:p>
        </w:tc>
        <w:tc>
          <w:tcPr>
            <w:tcW w:w="351" w:type="pct"/>
            <w:tcBorders>
              <w:top w:val="nil"/>
            </w:tcBorders>
          </w:tcPr>
          <w:p w14:paraId="6C1F2DAC" w14:textId="77777777" w:rsidR="007123C7" w:rsidRPr="001F3926" w:rsidRDefault="007123C7" w:rsidP="00E82294">
            <w:pPr>
              <w:pStyle w:val="TableText"/>
              <w:jc w:val="right"/>
            </w:pPr>
            <w:r w:rsidRPr="001F3926">
              <w:rPr>
                <w:rFonts w:cs="Arial"/>
              </w:rPr>
              <w:t>1241</w:t>
            </w:r>
          </w:p>
        </w:tc>
        <w:tc>
          <w:tcPr>
            <w:tcW w:w="458" w:type="pct"/>
            <w:tcBorders>
              <w:top w:val="nil"/>
            </w:tcBorders>
          </w:tcPr>
          <w:p w14:paraId="0328156D" w14:textId="77777777" w:rsidR="007123C7" w:rsidRPr="001F3926" w:rsidRDefault="007123C7" w:rsidP="00E82294">
            <w:pPr>
              <w:pStyle w:val="TableText"/>
              <w:jc w:val="right"/>
            </w:pPr>
            <w:r w:rsidRPr="001F3926">
              <w:rPr>
                <w:rFonts w:cs="Arial"/>
              </w:rPr>
              <w:t>17.1 (11.9</w:t>
            </w:r>
            <w:r w:rsidR="0062434A" w:rsidRPr="001F3926">
              <w:rPr>
                <w:rFonts w:cs="Arial"/>
              </w:rPr>
              <w:t>, </w:t>
            </w:r>
            <w:r w:rsidRPr="001F3926">
              <w:rPr>
                <w:rFonts w:cs="Arial"/>
              </w:rPr>
              <w:t>24.1)</w:t>
            </w:r>
          </w:p>
        </w:tc>
      </w:tr>
      <w:tr w:rsidR="0062434A" w:rsidRPr="001F3926" w14:paraId="3BF9BEE6"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Pr>
          <w:p w14:paraId="006172CA" w14:textId="77777777" w:rsidR="007123C7" w:rsidRPr="001F3926" w:rsidRDefault="007123C7" w:rsidP="00E82294">
            <w:pPr>
              <w:pStyle w:val="TableText"/>
            </w:pPr>
            <w:r w:rsidRPr="001F3926">
              <w:t xml:space="preserve">Suicidal ideation </w:t>
            </w:r>
          </w:p>
        </w:tc>
        <w:tc>
          <w:tcPr>
            <w:tcW w:w="217" w:type="pct"/>
          </w:tcPr>
          <w:p w14:paraId="357D590B" w14:textId="77777777" w:rsidR="007123C7" w:rsidRPr="001F3926" w:rsidRDefault="007123C7" w:rsidP="00E82294">
            <w:pPr>
              <w:pStyle w:val="TableText"/>
              <w:jc w:val="right"/>
            </w:pPr>
            <w:r w:rsidRPr="001F3926">
              <w:rPr>
                <w:rFonts w:cs="Arial"/>
              </w:rPr>
              <w:t>698</w:t>
            </w:r>
          </w:p>
        </w:tc>
        <w:tc>
          <w:tcPr>
            <w:tcW w:w="352" w:type="pct"/>
          </w:tcPr>
          <w:p w14:paraId="24CDD48A" w14:textId="77777777" w:rsidR="007123C7" w:rsidRPr="001F3926" w:rsidRDefault="007123C7" w:rsidP="00E82294">
            <w:pPr>
              <w:pStyle w:val="TableText"/>
              <w:jc w:val="right"/>
            </w:pPr>
            <w:r w:rsidRPr="001F3926">
              <w:rPr>
                <w:rFonts w:cs="Arial"/>
              </w:rPr>
              <w:t>4846</w:t>
            </w:r>
          </w:p>
        </w:tc>
        <w:tc>
          <w:tcPr>
            <w:tcW w:w="406" w:type="pct"/>
          </w:tcPr>
          <w:p w14:paraId="075F7652" w14:textId="77777777" w:rsidR="007123C7" w:rsidRPr="001F3926" w:rsidRDefault="007123C7" w:rsidP="00E82294">
            <w:pPr>
              <w:pStyle w:val="TableText"/>
              <w:jc w:val="right"/>
            </w:pPr>
            <w:r w:rsidRPr="001F3926">
              <w:rPr>
                <w:rFonts w:cs="Arial"/>
              </w:rPr>
              <w:t>88.6 (85.9</w:t>
            </w:r>
            <w:r w:rsidR="0062434A" w:rsidRPr="001F3926">
              <w:rPr>
                <w:rFonts w:cs="Arial"/>
              </w:rPr>
              <w:t>, </w:t>
            </w:r>
            <w:r w:rsidRPr="001F3926">
              <w:rPr>
                <w:rFonts w:cs="Arial"/>
              </w:rPr>
              <w:t>90.9)</w:t>
            </w:r>
          </w:p>
        </w:tc>
        <w:tc>
          <w:tcPr>
            <w:tcW w:w="218" w:type="pct"/>
          </w:tcPr>
          <w:p w14:paraId="744AE680" w14:textId="77777777" w:rsidR="007123C7" w:rsidRPr="001F3926" w:rsidRDefault="007123C7" w:rsidP="00E82294">
            <w:pPr>
              <w:pStyle w:val="TableText"/>
              <w:jc w:val="right"/>
            </w:pPr>
            <w:r w:rsidRPr="001F3926">
              <w:rPr>
                <w:rFonts w:cs="Arial"/>
              </w:rPr>
              <w:t>105</w:t>
            </w:r>
          </w:p>
        </w:tc>
        <w:tc>
          <w:tcPr>
            <w:tcW w:w="352" w:type="pct"/>
          </w:tcPr>
          <w:p w14:paraId="7879BDF9" w14:textId="77777777" w:rsidR="007123C7" w:rsidRPr="001F3926" w:rsidRDefault="007123C7" w:rsidP="00E82294">
            <w:pPr>
              <w:pStyle w:val="TableText"/>
              <w:jc w:val="right"/>
            </w:pPr>
            <w:r w:rsidRPr="001F3926">
              <w:rPr>
                <w:rFonts w:cs="Arial"/>
              </w:rPr>
              <w:t>622</w:t>
            </w:r>
          </w:p>
        </w:tc>
        <w:tc>
          <w:tcPr>
            <w:tcW w:w="367" w:type="pct"/>
          </w:tcPr>
          <w:p w14:paraId="7179F4DC" w14:textId="77777777" w:rsidR="007123C7" w:rsidRPr="001F3926" w:rsidRDefault="007123C7" w:rsidP="00E82294">
            <w:pPr>
              <w:pStyle w:val="TableText"/>
              <w:jc w:val="right"/>
            </w:pPr>
            <w:r w:rsidRPr="001F3926">
              <w:rPr>
                <w:rFonts w:cs="Arial"/>
              </w:rPr>
              <w:t>11.4 (9.1</w:t>
            </w:r>
            <w:r w:rsidR="0062434A" w:rsidRPr="001F3926">
              <w:rPr>
                <w:rFonts w:cs="Arial"/>
              </w:rPr>
              <w:t>, </w:t>
            </w:r>
            <w:r w:rsidRPr="001F3926">
              <w:rPr>
                <w:rFonts w:cs="Arial"/>
              </w:rPr>
              <w:t>14.1)</w:t>
            </w:r>
          </w:p>
        </w:tc>
        <w:tc>
          <w:tcPr>
            <w:tcW w:w="219" w:type="pct"/>
          </w:tcPr>
          <w:p w14:paraId="6EB3A26A" w14:textId="77777777" w:rsidR="007123C7" w:rsidRPr="001F3926" w:rsidRDefault="007123C7" w:rsidP="00E82294">
            <w:pPr>
              <w:pStyle w:val="TableText"/>
              <w:jc w:val="right"/>
            </w:pPr>
            <w:r w:rsidRPr="001F3926">
              <w:rPr>
                <w:rFonts w:cs="Arial"/>
              </w:rPr>
              <w:t>617</w:t>
            </w:r>
          </w:p>
        </w:tc>
        <w:tc>
          <w:tcPr>
            <w:tcW w:w="351" w:type="pct"/>
          </w:tcPr>
          <w:p w14:paraId="7C6ABE81" w14:textId="77777777" w:rsidR="007123C7" w:rsidRPr="001F3926" w:rsidRDefault="007123C7" w:rsidP="00E82294">
            <w:pPr>
              <w:pStyle w:val="TableText"/>
              <w:jc w:val="right"/>
            </w:pPr>
            <w:r w:rsidRPr="001F3926">
              <w:rPr>
                <w:rFonts w:cs="Arial"/>
              </w:rPr>
              <w:t>5278</w:t>
            </w:r>
          </w:p>
        </w:tc>
        <w:tc>
          <w:tcPr>
            <w:tcW w:w="396" w:type="pct"/>
          </w:tcPr>
          <w:p w14:paraId="261B60C3" w14:textId="77777777" w:rsidR="007123C7" w:rsidRPr="001F3926" w:rsidRDefault="007123C7" w:rsidP="00E82294">
            <w:pPr>
              <w:pStyle w:val="TableText"/>
              <w:jc w:val="right"/>
            </w:pPr>
            <w:r w:rsidRPr="001F3926">
              <w:rPr>
                <w:rFonts w:cs="Arial"/>
              </w:rPr>
              <w:t>84.8 (79.7</w:t>
            </w:r>
            <w:r w:rsidR="0062434A" w:rsidRPr="001F3926">
              <w:rPr>
                <w:rFonts w:cs="Arial"/>
              </w:rPr>
              <w:t>, </w:t>
            </w:r>
            <w:r w:rsidRPr="001F3926">
              <w:rPr>
                <w:rFonts w:cs="Arial"/>
              </w:rPr>
              <w:t>88.8)</w:t>
            </w:r>
          </w:p>
        </w:tc>
        <w:tc>
          <w:tcPr>
            <w:tcW w:w="230" w:type="pct"/>
          </w:tcPr>
          <w:p w14:paraId="035BE319" w14:textId="77777777" w:rsidR="007123C7" w:rsidRPr="001F3926" w:rsidRDefault="007123C7" w:rsidP="00E82294">
            <w:pPr>
              <w:pStyle w:val="TableText"/>
              <w:jc w:val="right"/>
            </w:pPr>
            <w:r w:rsidRPr="001F3926">
              <w:rPr>
                <w:rFonts w:cs="Arial"/>
              </w:rPr>
              <w:t>210</w:t>
            </w:r>
          </w:p>
        </w:tc>
        <w:tc>
          <w:tcPr>
            <w:tcW w:w="351" w:type="pct"/>
          </w:tcPr>
          <w:p w14:paraId="7723E9C8" w14:textId="77777777" w:rsidR="007123C7" w:rsidRPr="001F3926" w:rsidRDefault="007123C7" w:rsidP="00E82294">
            <w:pPr>
              <w:pStyle w:val="TableText"/>
              <w:jc w:val="right"/>
            </w:pPr>
            <w:r w:rsidRPr="001F3926">
              <w:rPr>
                <w:rFonts w:cs="Arial"/>
              </w:rPr>
              <w:t>943</w:t>
            </w:r>
          </w:p>
        </w:tc>
        <w:tc>
          <w:tcPr>
            <w:tcW w:w="458" w:type="pct"/>
          </w:tcPr>
          <w:p w14:paraId="37CC843C" w14:textId="77777777" w:rsidR="007123C7" w:rsidRPr="001F3926" w:rsidRDefault="007123C7" w:rsidP="00E82294">
            <w:pPr>
              <w:pStyle w:val="TableText"/>
              <w:jc w:val="right"/>
            </w:pPr>
            <w:r w:rsidRPr="001F3926">
              <w:rPr>
                <w:rFonts w:cs="Arial"/>
              </w:rPr>
              <w:t>15.2 (11.2</w:t>
            </w:r>
            <w:r w:rsidR="0062434A" w:rsidRPr="001F3926">
              <w:rPr>
                <w:rFonts w:cs="Arial"/>
              </w:rPr>
              <w:t>, </w:t>
            </w:r>
            <w:r w:rsidRPr="001F3926">
              <w:rPr>
                <w:rFonts w:cs="Arial"/>
              </w:rPr>
              <w:t>20.3)</w:t>
            </w:r>
          </w:p>
        </w:tc>
      </w:tr>
      <w:tr w:rsidR="0062434A" w:rsidRPr="001F3926" w14:paraId="035B3A9B" w14:textId="77777777" w:rsidTr="0062434A">
        <w:trPr>
          <w:cantSplit/>
        </w:trPr>
        <w:tc>
          <w:tcPr>
            <w:tcW w:w="1083" w:type="pct"/>
          </w:tcPr>
          <w:p w14:paraId="771D53DE" w14:textId="77777777" w:rsidR="007123C7" w:rsidRPr="001F3926" w:rsidRDefault="007123C7" w:rsidP="00E82294">
            <w:pPr>
              <w:pStyle w:val="TableText"/>
            </w:pPr>
            <w:r w:rsidRPr="001F3926">
              <w:t>Suicidal plan</w:t>
            </w:r>
          </w:p>
        </w:tc>
        <w:tc>
          <w:tcPr>
            <w:tcW w:w="217" w:type="pct"/>
          </w:tcPr>
          <w:p w14:paraId="3B277571" w14:textId="77777777" w:rsidR="007123C7" w:rsidRPr="001F3926" w:rsidRDefault="007123C7" w:rsidP="00E82294">
            <w:pPr>
              <w:pStyle w:val="TableText"/>
              <w:jc w:val="right"/>
            </w:pPr>
            <w:r w:rsidRPr="001F3926">
              <w:rPr>
                <w:rFonts w:cs="Arial"/>
              </w:rPr>
              <w:t>268</w:t>
            </w:r>
          </w:p>
        </w:tc>
        <w:tc>
          <w:tcPr>
            <w:tcW w:w="352" w:type="pct"/>
          </w:tcPr>
          <w:p w14:paraId="73D14B63" w14:textId="77777777" w:rsidR="007123C7" w:rsidRPr="001F3926" w:rsidRDefault="007123C7" w:rsidP="00E82294">
            <w:pPr>
              <w:pStyle w:val="TableText"/>
              <w:jc w:val="right"/>
            </w:pPr>
            <w:r w:rsidRPr="001F3926">
              <w:rPr>
                <w:rFonts w:cs="Arial"/>
              </w:rPr>
              <w:t>1751</w:t>
            </w:r>
          </w:p>
        </w:tc>
        <w:tc>
          <w:tcPr>
            <w:tcW w:w="406" w:type="pct"/>
          </w:tcPr>
          <w:p w14:paraId="3F45FEEA" w14:textId="77777777" w:rsidR="007123C7" w:rsidRPr="001F3926" w:rsidRDefault="007123C7" w:rsidP="00E82294">
            <w:pPr>
              <w:pStyle w:val="TableText"/>
              <w:jc w:val="right"/>
            </w:pPr>
            <w:r w:rsidRPr="001F3926">
              <w:rPr>
                <w:rFonts w:cs="Arial"/>
              </w:rPr>
              <w:t>84.4 (78.8</w:t>
            </w:r>
            <w:r w:rsidR="0062434A" w:rsidRPr="001F3926">
              <w:rPr>
                <w:rFonts w:cs="Arial"/>
              </w:rPr>
              <w:t>, </w:t>
            </w:r>
            <w:r w:rsidRPr="001F3926">
              <w:rPr>
                <w:rFonts w:cs="Arial"/>
              </w:rPr>
              <w:t>88.8)</w:t>
            </w:r>
          </w:p>
        </w:tc>
        <w:tc>
          <w:tcPr>
            <w:tcW w:w="218" w:type="pct"/>
          </w:tcPr>
          <w:p w14:paraId="7B512AD9" w14:textId="77777777" w:rsidR="007123C7" w:rsidRPr="001F3926" w:rsidRDefault="007123C7" w:rsidP="00E82294">
            <w:pPr>
              <w:pStyle w:val="TableText"/>
              <w:jc w:val="right"/>
            </w:pPr>
            <w:r w:rsidRPr="001F3926">
              <w:rPr>
                <w:rFonts w:cs="Arial"/>
              </w:rPr>
              <w:t>49</w:t>
            </w:r>
          </w:p>
        </w:tc>
        <w:tc>
          <w:tcPr>
            <w:tcW w:w="352" w:type="pct"/>
          </w:tcPr>
          <w:p w14:paraId="73E5D0D9" w14:textId="77777777" w:rsidR="007123C7" w:rsidRPr="001F3926" w:rsidRDefault="007123C7" w:rsidP="00E82294">
            <w:pPr>
              <w:pStyle w:val="TableText"/>
              <w:jc w:val="right"/>
            </w:pPr>
            <w:r w:rsidRPr="001F3926">
              <w:rPr>
                <w:rFonts w:cs="Arial"/>
              </w:rPr>
              <w:t>323</w:t>
            </w:r>
          </w:p>
        </w:tc>
        <w:tc>
          <w:tcPr>
            <w:tcW w:w="367" w:type="pct"/>
          </w:tcPr>
          <w:p w14:paraId="528A0526" w14:textId="77777777" w:rsidR="007123C7" w:rsidRPr="001F3926" w:rsidRDefault="007123C7" w:rsidP="00E82294">
            <w:pPr>
              <w:pStyle w:val="TableText"/>
              <w:jc w:val="right"/>
            </w:pPr>
            <w:r w:rsidRPr="001F3926">
              <w:rPr>
                <w:rFonts w:cs="Arial"/>
              </w:rPr>
              <w:t>15.6 (11.2</w:t>
            </w:r>
            <w:r w:rsidR="0062434A" w:rsidRPr="001F3926">
              <w:rPr>
                <w:rFonts w:cs="Arial"/>
              </w:rPr>
              <w:t>, </w:t>
            </w:r>
            <w:r w:rsidRPr="001F3926">
              <w:rPr>
                <w:rFonts w:cs="Arial"/>
              </w:rPr>
              <w:t>21.2)</w:t>
            </w:r>
          </w:p>
        </w:tc>
        <w:tc>
          <w:tcPr>
            <w:tcW w:w="219" w:type="pct"/>
          </w:tcPr>
          <w:p w14:paraId="13F46770" w14:textId="77777777" w:rsidR="007123C7" w:rsidRPr="001F3926" w:rsidRDefault="007123C7" w:rsidP="00E82294">
            <w:pPr>
              <w:pStyle w:val="TableText"/>
              <w:jc w:val="right"/>
            </w:pPr>
            <w:r w:rsidRPr="001F3926">
              <w:rPr>
                <w:rFonts w:cs="Arial"/>
              </w:rPr>
              <w:t>111</w:t>
            </w:r>
          </w:p>
        </w:tc>
        <w:tc>
          <w:tcPr>
            <w:tcW w:w="351" w:type="pct"/>
          </w:tcPr>
          <w:p w14:paraId="2230E4FE" w14:textId="77777777" w:rsidR="007123C7" w:rsidRPr="001F3926" w:rsidRDefault="007123C7" w:rsidP="00E82294">
            <w:pPr>
              <w:pStyle w:val="TableText"/>
              <w:jc w:val="right"/>
            </w:pPr>
            <w:r w:rsidRPr="001F3926">
              <w:rPr>
                <w:rFonts w:cs="Arial"/>
              </w:rPr>
              <w:t>725</w:t>
            </w:r>
          </w:p>
        </w:tc>
        <w:tc>
          <w:tcPr>
            <w:tcW w:w="396" w:type="pct"/>
          </w:tcPr>
          <w:p w14:paraId="48CDABAE" w14:textId="77777777" w:rsidR="007123C7" w:rsidRPr="001F3926" w:rsidRDefault="007123C7" w:rsidP="00E82294">
            <w:pPr>
              <w:pStyle w:val="TableText"/>
              <w:jc w:val="right"/>
            </w:pPr>
            <w:r w:rsidRPr="001F3926">
              <w:rPr>
                <w:rFonts w:cs="Arial"/>
              </w:rPr>
              <w:t>70.9 (36.7</w:t>
            </w:r>
            <w:r w:rsidR="0062434A" w:rsidRPr="001F3926">
              <w:rPr>
                <w:rFonts w:cs="Arial"/>
              </w:rPr>
              <w:t>, </w:t>
            </w:r>
            <w:r w:rsidRPr="001F3926">
              <w:rPr>
                <w:rFonts w:cs="Arial"/>
              </w:rPr>
              <w:t>91.1)</w:t>
            </w:r>
          </w:p>
        </w:tc>
        <w:tc>
          <w:tcPr>
            <w:tcW w:w="230" w:type="pct"/>
          </w:tcPr>
          <w:p w14:paraId="15401006" w14:textId="77777777" w:rsidR="007123C7" w:rsidRPr="001F3926" w:rsidRDefault="007123C7" w:rsidP="00E82294">
            <w:pPr>
              <w:pStyle w:val="TableText"/>
              <w:jc w:val="right"/>
            </w:pPr>
            <w:r w:rsidRPr="001F3926">
              <w:rPr>
                <w:rFonts w:cs="Arial"/>
              </w:rPr>
              <w:t>36</w:t>
            </w:r>
          </w:p>
        </w:tc>
        <w:tc>
          <w:tcPr>
            <w:tcW w:w="351" w:type="pct"/>
          </w:tcPr>
          <w:p w14:paraId="55B3798A" w14:textId="77777777" w:rsidR="007123C7" w:rsidRPr="001F3926" w:rsidRDefault="007123C7" w:rsidP="00E82294">
            <w:pPr>
              <w:pStyle w:val="TableText"/>
              <w:jc w:val="right"/>
            </w:pPr>
            <w:r w:rsidRPr="001F3926">
              <w:rPr>
                <w:rFonts w:cs="Arial"/>
              </w:rPr>
              <w:t>297</w:t>
            </w:r>
          </w:p>
        </w:tc>
        <w:tc>
          <w:tcPr>
            <w:tcW w:w="458" w:type="pct"/>
          </w:tcPr>
          <w:p w14:paraId="614A8849" w14:textId="77777777" w:rsidR="007123C7" w:rsidRPr="001F3926" w:rsidRDefault="007123C7" w:rsidP="00E82294">
            <w:pPr>
              <w:pStyle w:val="TableText"/>
              <w:jc w:val="right"/>
            </w:pPr>
            <w:r w:rsidRPr="001F3926">
              <w:rPr>
                <w:rFonts w:cs="Arial"/>
              </w:rPr>
              <w:t>29.1 (8.9</w:t>
            </w:r>
            <w:r w:rsidR="0062434A" w:rsidRPr="001F3926">
              <w:rPr>
                <w:rFonts w:cs="Arial"/>
              </w:rPr>
              <w:t>, </w:t>
            </w:r>
            <w:r w:rsidRPr="001F3926">
              <w:rPr>
                <w:rFonts w:cs="Arial"/>
              </w:rPr>
              <w:t>63.3)</w:t>
            </w:r>
          </w:p>
        </w:tc>
      </w:tr>
      <w:tr w:rsidR="0062434A" w:rsidRPr="001F3926" w14:paraId="544E6354"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Borders>
              <w:bottom w:val="single" w:sz="4" w:space="0" w:color="000000"/>
            </w:tcBorders>
          </w:tcPr>
          <w:p w14:paraId="5DE3F6DE" w14:textId="77777777" w:rsidR="007123C7" w:rsidRPr="001F3926" w:rsidRDefault="007123C7" w:rsidP="00E82294">
            <w:pPr>
              <w:pStyle w:val="TableText"/>
            </w:pPr>
            <w:r w:rsidRPr="001F3926">
              <w:t>Suicide attempt</w:t>
            </w:r>
          </w:p>
        </w:tc>
        <w:tc>
          <w:tcPr>
            <w:tcW w:w="217" w:type="pct"/>
            <w:tcBorders>
              <w:bottom w:val="single" w:sz="4" w:space="0" w:color="000000"/>
            </w:tcBorders>
          </w:tcPr>
          <w:p w14:paraId="0D828316" w14:textId="77777777" w:rsidR="007123C7" w:rsidRPr="001F3926" w:rsidRDefault="007123C7" w:rsidP="00E82294">
            <w:pPr>
              <w:pStyle w:val="TableText"/>
              <w:jc w:val="right"/>
            </w:pPr>
            <w:r w:rsidRPr="001F3926">
              <w:t>59</w:t>
            </w:r>
          </w:p>
        </w:tc>
        <w:tc>
          <w:tcPr>
            <w:tcW w:w="352" w:type="pct"/>
            <w:tcBorders>
              <w:bottom w:val="single" w:sz="4" w:space="0" w:color="000000"/>
            </w:tcBorders>
          </w:tcPr>
          <w:p w14:paraId="62EB8DB3" w14:textId="77777777" w:rsidR="007123C7" w:rsidRPr="001F3926" w:rsidRDefault="007123C7" w:rsidP="00E82294">
            <w:pPr>
              <w:pStyle w:val="TableText"/>
              <w:jc w:val="right"/>
            </w:pPr>
            <w:r w:rsidRPr="001F3926">
              <w:t>391</w:t>
            </w:r>
          </w:p>
        </w:tc>
        <w:tc>
          <w:tcPr>
            <w:tcW w:w="406" w:type="pct"/>
            <w:tcBorders>
              <w:bottom w:val="single" w:sz="4" w:space="0" w:color="000000"/>
            </w:tcBorders>
          </w:tcPr>
          <w:p w14:paraId="01A7FA67" w14:textId="77777777" w:rsidR="007123C7" w:rsidRPr="001F3926" w:rsidRDefault="007123C7" w:rsidP="00E82294">
            <w:pPr>
              <w:pStyle w:val="TableText"/>
              <w:jc w:val="right"/>
            </w:pPr>
            <w:r w:rsidRPr="001F3926">
              <w:t>75.3 (60.5</w:t>
            </w:r>
            <w:r w:rsidR="0062434A" w:rsidRPr="001F3926">
              <w:t>, </w:t>
            </w:r>
            <w:r w:rsidRPr="001F3926">
              <w:t>85.9)</w:t>
            </w:r>
          </w:p>
        </w:tc>
        <w:tc>
          <w:tcPr>
            <w:tcW w:w="218" w:type="pct"/>
            <w:tcBorders>
              <w:bottom w:val="single" w:sz="4" w:space="0" w:color="000000"/>
            </w:tcBorders>
          </w:tcPr>
          <w:p w14:paraId="243DE3E3" w14:textId="77777777" w:rsidR="007123C7" w:rsidRPr="001F3926" w:rsidRDefault="007123C7" w:rsidP="00E82294">
            <w:pPr>
              <w:pStyle w:val="TableText"/>
              <w:jc w:val="right"/>
            </w:pPr>
            <w:r w:rsidRPr="001F3926">
              <w:t>13</w:t>
            </w:r>
          </w:p>
        </w:tc>
        <w:tc>
          <w:tcPr>
            <w:tcW w:w="352" w:type="pct"/>
            <w:tcBorders>
              <w:bottom w:val="single" w:sz="4" w:space="0" w:color="000000"/>
            </w:tcBorders>
          </w:tcPr>
          <w:p w14:paraId="755C4438" w14:textId="77777777" w:rsidR="007123C7" w:rsidRPr="001F3926" w:rsidRDefault="007123C7" w:rsidP="00E82294">
            <w:pPr>
              <w:pStyle w:val="TableText"/>
              <w:jc w:val="right"/>
            </w:pPr>
            <w:r w:rsidRPr="001F3926">
              <w:t>128</w:t>
            </w:r>
          </w:p>
        </w:tc>
        <w:tc>
          <w:tcPr>
            <w:tcW w:w="367" w:type="pct"/>
            <w:tcBorders>
              <w:bottom w:val="single" w:sz="4" w:space="0" w:color="000000"/>
            </w:tcBorders>
          </w:tcPr>
          <w:p w14:paraId="6FB20BFE" w14:textId="77777777" w:rsidR="007123C7" w:rsidRPr="001F3926" w:rsidRDefault="007123C7" w:rsidP="00E82294">
            <w:pPr>
              <w:pStyle w:val="TableText"/>
              <w:jc w:val="right"/>
            </w:pPr>
            <w:r w:rsidRPr="001F3926">
              <w:t>24.7 (14.1</w:t>
            </w:r>
            <w:r w:rsidR="0062434A" w:rsidRPr="001F3926">
              <w:t>, </w:t>
            </w:r>
            <w:r w:rsidRPr="001F3926">
              <w:t>39.5)</w:t>
            </w:r>
          </w:p>
        </w:tc>
        <w:tc>
          <w:tcPr>
            <w:tcW w:w="219" w:type="pct"/>
            <w:tcBorders>
              <w:bottom w:val="single" w:sz="4" w:space="0" w:color="000000"/>
            </w:tcBorders>
          </w:tcPr>
          <w:p w14:paraId="1C830A3C" w14:textId="77777777" w:rsidR="007123C7" w:rsidRPr="001F3926" w:rsidRDefault="007123C7" w:rsidP="00E82294">
            <w:pPr>
              <w:pStyle w:val="TableText"/>
              <w:jc w:val="right"/>
            </w:pPr>
            <w:r w:rsidRPr="001F3926">
              <w:t>27</w:t>
            </w:r>
          </w:p>
        </w:tc>
        <w:tc>
          <w:tcPr>
            <w:tcW w:w="351" w:type="pct"/>
            <w:tcBorders>
              <w:bottom w:val="single" w:sz="4" w:space="0" w:color="000000"/>
            </w:tcBorders>
          </w:tcPr>
          <w:p w14:paraId="6A2C561E" w14:textId="77777777" w:rsidR="007123C7" w:rsidRPr="001F3926" w:rsidRDefault="007123C7" w:rsidP="00E82294">
            <w:pPr>
              <w:pStyle w:val="TableText"/>
              <w:jc w:val="right"/>
            </w:pPr>
            <w:r w:rsidRPr="001F3926">
              <w:t>115</w:t>
            </w:r>
          </w:p>
        </w:tc>
        <w:tc>
          <w:tcPr>
            <w:tcW w:w="396" w:type="pct"/>
            <w:tcBorders>
              <w:bottom w:val="single" w:sz="4" w:space="0" w:color="000000"/>
            </w:tcBorders>
          </w:tcPr>
          <w:p w14:paraId="41F0B130" w14:textId="77777777" w:rsidR="007123C7" w:rsidRPr="001F3926" w:rsidRDefault="007123C7" w:rsidP="00E82294">
            <w:pPr>
              <w:pStyle w:val="TableText"/>
              <w:jc w:val="right"/>
            </w:pPr>
            <w:r w:rsidRPr="001F3926">
              <w:t>33.4 (8.8</w:t>
            </w:r>
            <w:r w:rsidR="0062434A" w:rsidRPr="001F3926">
              <w:t>, </w:t>
            </w:r>
            <w:r w:rsidRPr="001F3926">
              <w:t>72.4)</w:t>
            </w:r>
          </w:p>
        </w:tc>
        <w:tc>
          <w:tcPr>
            <w:tcW w:w="230" w:type="pct"/>
            <w:tcBorders>
              <w:bottom w:val="single" w:sz="4" w:space="0" w:color="000000"/>
            </w:tcBorders>
          </w:tcPr>
          <w:p w14:paraId="49CA54AE" w14:textId="77777777" w:rsidR="007123C7" w:rsidRPr="001F3926" w:rsidRDefault="007123C7" w:rsidP="00E82294">
            <w:pPr>
              <w:pStyle w:val="TableText"/>
              <w:jc w:val="right"/>
            </w:pPr>
            <w:r w:rsidRPr="001F3926">
              <w:t>10</w:t>
            </w:r>
          </w:p>
        </w:tc>
        <w:tc>
          <w:tcPr>
            <w:tcW w:w="351" w:type="pct"/>
            <w:tcBorders>
              <w:bottom w:val="single" w:sz="4" w:space="0" w:color="000000"/>
            </w:tcBorders>
          </w:tcPr>
          <w:p w14:paraId="721F73AB" w14:textId="77777777" w:rsidR="007123C7" w:rsidRPr="001F3926" w:rsidRDefault="007123C7" w:rsidP="00E82294">
            <w:pPr>
              <w:pStyle w:val="TableText"/>
              <w:jc w:val="right"/>
            </w:pPr>
            <w:r w:rsidRPr="001F3926">
              <w:t>229</w:t>
            </w:r>
          </w:p>
        </w:tc>
        <w:tc>
          <w:tcPr>
            <w:tcW w:w="458" w:type="pct"/>
            <w:tcBorders>
              <w:bottom w:val="single" w:sz="4" w:space="0" w:color="000000"/>
            </w:tcBorders>
          </w:tcPr>
          <w:p w14:paraId="3BA56CDE" w14:textId="77777777" w:rsidR="007123C7" w:rsidRPr="001F3926" w:rsidRDefault="007123C7" w:rsidP="00E82294">
            <w:pPr>
              <w:pStyle w:val="TableText"/>
              <w:jc w:val="right"/>
            </w:pPr>
            <w:r w:rsidRPr="001F3926">
              <w:t>66.6 (27.6</w:t>
            </w:r>
            <w:r w:rsidR="0062434A" w:rsidRPr="001F3926">
              <w:t>, </w:t>
            </w:r>
            <w:r w:rsidRPr="001F3926">
              <w:t>91.2)</w:t>
            </w:r>
          </w:p>
        </w:tc>
      </w:tr>
      <w:tr w:rsidR="0062434A" w:rsidRPr="001F3926" w14:paraId="440119C0" w14:textId="77777777" w:rsidTr="0062434A">
        <w:trPr>
          <w:cantSplit/>
        </w:trPr>
        <w:tc>
          <w:tcPr>
            <w:tcW w:w="1083" w:type="pct"/>
            <w:tcBorders>
              <w:top w:val="single" w:sz="4" w:space="0" w:color="000000"/>
              <w:bottom w:val="nil"/>
            </w:tcBorders>
          </w:tcPr>
          <w:p w14:paraId="5E456FD2" w14:textId="77777777" w:rsidR="007123C7" w:rsidRPr="001F3926" w:rsidRDefault="007123C7" w:rsidP="00E82294">
            <w:pPr>
              <w:pStyle w:val="TableText"/>
              <w:rPr>
                <w:b/>
              </w:rPr>
            </w:pPr>
            <w:r w:rsidRPr="001F3926">
              <w:rPr>
                <w:b/>
              </w:rPr>
              <w:t>Probable generalised anxiety disorder</w:t>
            </w:r>
          </w:p>
        </w:tc>
        <w:tc>
          <w:tcPr>
            <w:tcW w:w="217" w:type="pct"/>
            <w:tcBorders>
              <w:top w:val="single" w:sz="4" w:space="0" w:color="000000"/>
              <w:bottom w:val="nil"/>
            </w:tcBorders>
          </w:tcPr>
          <w:p w14:paraId="28DFB11E" w14:textId="77777777" w:rsidR="007123C7" w:rsidRPr="001F3926" w:rsidRDefault="007123C7" w:rsidP="00E82294">
            <w:pPr>
              <w:pStyle w:val="TableText"/>
              <w:jc w:val="right"/>
            </w:pPr>
          </w:p>
        </w:tc>
        <w:tc>
          <w:tcPr>
            <w:tcW w:w="352" w:type="pct"/>
            <w:tcBorders>
              <w:top w:val="single" w:sz="4" w:space="0" w:color="000000"/>
              <w:bottom w:val="nil"/>
            </w:tcBorders>
          </w:tcPr>
          <w:p w14:paraId="289A9FF8" w14:textId="77777777" w:rsidR="007123C7" w:rsidRPr="001F3926" w:rsidRDefault="007123C7" w:rsidP="00E82294">
            <w:pPr>
              <w:pStyle w:val="TableText"/>
              <w:jc w:val="right"/>
            </w:pPr>
          </w:p>
        </w:tc>
        <w:tc>
          <w:tcPr>
            <w:tcW w:w="406" w:type="pct"/>
            <w:tcBorders>
              <w:top w:val="single" w:sz="4" w:space="0" w:color="000000"/>
              <w:bottom w:val="nil"/>
            </w:tcBorders>
          </w:tcPr>
          <w:p w14:paraId="4EF7BF4A" w14:textId="77777777" w:rsidR="007123C7" w:rsidRPr="001F3926" w:rsidRDefault="007123C7" w:rsidP="00E82294">
            <w:pPr>
              <w:pStyle w:val="TableText"/>
              <w:jc w:val="right"/>
            </w:pPr>
          </w:p>
        </w:tc>
        <w:tc>
          <w:tcPr>
            <w:tcW w:w="218" w:type="pct"/>
            <w:tcBorders>
              <w:top w:val="single" w:sz="4" w:space="0" w:color="000000"/>
              <w:bottom w:val="nil"/>
            </w:tcBorders>
          </w:tcPr>
          <w:p w14:paraId="11725DB1" w14:textId="77777777" w:rsidR="007123C7" w:rsidRPr="001F3926" w:rsidRDefault="007123C7" w:rsidP="00E82294">
            <w:pPr>
              <w:pStyle w:val="TableText"/>
              <w:jc w:val="right"/>
            </w:pPr>
          </w:p>
        </w:tc>
        <w:tc>
          <w:tcPr>
            <w:tcW w:w="352" w:type="pct"/>
            <w:tcBorders>
              <w:top w:val="single" w:sz="4" w:space="0" w:color="000000"/>
              <w:bottom w:val="nil"/>
            </w:tcBorders>
          </w:tcPr>
          <w:p w14:paraId="6B8100AD" w14:textId="77777777" w:rsidR="007123C7" w:rsidRPr="001F3926" w:rsidRDefault="007123C7" w:rsidP="00E82294">
            <w:pPr>
              <w:pStyle w:val="TableText"/>
              <w:jc w:val="right"/>
            </w:pPr>
          </w:p>
        </w:tc>
        <w:tc>
          <w:tcPr>
            <w:tcW w:w="367" w:type="pct"/>
            <w:tcBorders>
              <w:top w:val="single" w:sz="4" w:space="0" w:color="000000"/>
              <w:bottom w:val="nil"/>
            </w:tcBorders>
          </w:tcPr>
          <w:p w14:paraId="4F03E196" w14:textId="77777777" w:rsidR="007123C7" w:rsidRPr="001F3926" w:rsidRDefault="007123C7" w:rsidP="00E82294">
            <w:pPr>
              <w:pStyle w:val="TableText"/>
              <w:jc w:val="right"/>
            </w:pPr>
          </w:p>
        </w:tc>
        <w:tc>
          <w:tcPr>
            <w:tcW w:w="219" w:type="pct"/>
            <w:tcBorders>
              <w:top w:val="single" w:sz="4" w:space="0" w:color="000000"/>
              <w:bottom w:val="nil"/>
            </w:tcBorders>
          </w:tcPr>
          <w:p w14:paraId="62F21154" w14:textId="77777777" w:rsidR="007123C7" w:rsidRPr="001F3926" w:rsidRDefault="007123C7" w:rsidP="00E82294">
            <w:pPr>
              <w:pStyle w:val="TableText"/>
              <w:jc w:val="right"/>
            </w:pPr>
          </w:p>
        </w:tc>
        <w:tc>
          <w:tcPr>
            <w:tcW w:w="351" w:type="pct"/>
            <w:tcBorders>
              <w:top w:val="single" w:sz="4" w:space="0" w:color="000000"/>
              <w:bottom w:val="nil"/>
            </w:tcBorders>
          </w:tcPr>
          <w:p w14:paraId="7B8FBB8C" w14:textId="77777777" w:rsidR="007123C7" w:rsidRPr="001F3926" w:rsidRDefault="007123C7" w:rsidP="00E82294">
            <w:pPr>
              <w:pStyle w:val="TableText"/>
              <w:jc w:val="right"/>
            </w:pPr>
          </w:p>
        </w:tc>
        <w:tc>
          <w:tcPr>
            <w:tcW w:w="396" w:type="pct"/>
            <w:tcBorders>
              <w:top w:val="single" w:sz="4" w:space="0" w:color="000000"/>
              <w:bottom w:val="nil"/>
            </w:tcBorders>
          </w:tcPr>
          <w:p w14:paraId="541AE99C" w14:textId="77777777" w:rsidR="007123C7" w:rsidRPr="001F3926" w:rsidRDefault="007123C7" w:rsidP="00E82294">
            <w:pPr>
              <w:pStyle w:val="TableText"/>
              <w:jc w:val="right"/>
            </w:pPr>
          </w:p>
        </w:tc>
        <w:tc>
          <w:tcPr>
            <w:tcW w:w="230" w:type="pct"/>
            <w:tcBorders>
              <w:top w:val="single" w:sz="4" w:space="0" w:color="000000"/>
              <w:bottom w:val="nil"/>
            </w:tcBorders>
          </w:tcPr>
          <w:p w14:paraId="2780FA56" w14:textId="77777777" w:rsidR="007123C7" w:rsidRPr="001F3926" w:rsidRDefault="007123C7" w:rsidP="00E82294">
            <w:pPr>
              <w:pStyle w:val="TableText"/>
              <w:jc w:val="right"/>
            </w:pPr>
          </w:p>
        </w:tc>
        <w:tc>
          <w:tcPr>
            <w:tcW w:w="351" w:type="pct"/>
            <w:tcBorders>
              <w:top w:val="single" w:sz="4" w:space="0" w:color="000000"/>
              <w:bottom w:val="nil"/>
            </w:tcBorders>
          </w:tcPr>
          <w:p w14:paraId="1A1087F7" w14:textId="77777777" w:rsidR="007123C7" w:rsidRPr="001F3926" w:rsidRDefault="007123C7" w:rsidP="00E82294">
            <w:pPr>
              <w:pStyle w:val="TableText"/>
              <w:jc w:val="right"/>
            </w:pPr>
          </w:p>
        </w:tc>
        <w:tc>
          <w:tcPr>
            <w:tcW w:w="458" w:type="pct"/>
            <w:tcBorders>
              <w:top w:val="single" w:sz="4" w:space="0" w:color="000000"/>
              <w:bottom w:val="nil"/>
            </w:tcBorders>
          </w:tcPr>
          <w:p w14:paraId="073CD697" w14:textId="77777777" w:rsidR="007123C7" w:rsidRPr="001F3926" w:rsidRDefault="007123C7" w:rsidP="00E82294">
            <w:pPr>
              <w:pStyle w:val="TableText"/>
              <w:jc w:val="right"/>
            </w:pPr>
          </w:p>
        </w:tc>
      </w:tr>
      <w:tr w:rsidR="0062434A" w:rsidRPr="001F3926" w14:paraId="5288ABAA"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1083" w:type="pct"/>
            <w:tcBorders>
              <w:top w:val="nil"/>
            </w:tcBorders>
          </w:tcPr>
          <w:p w14:paraId="7945ABBF" w14:textId="77777777" w:rsidR="007123C7" w:rsidRPr="001F3926" w:rsidRDefault="007123C7" w:rsidP="00E82294">
            <w:pPr>
              <w:pStyle w:val="TableText"/>
            </w:pPr>
            <w:r w:rsidRPr="001F3926">
              <w:t xml:space="preserve">Above screening cut-off </w:t>
            </w:r>
          </w:p>
        </w:tc>
        <w:tc>
          <w:tcPr>
            <w:tcW w:w="217" w:type="pct"/>
            <w:tcBorders>
              <w:top w:val="nil"/>
            </w:tcBorders>
          </w:tcPr>
          <w:p w14:paraId="00DAA5CB" w14:textId="77777777" w:rsidR="007123C7" w:rsidRPr="001F3926" w:rsidRDefault="007123C7" w:rsidP="00E82294">
            <w:pPr>
              <w:pStyle w:val="TableText"/>
              <w:jc w:val="right"/>
            </w:pPr>
            <w:r w:rsidRPr="001F3926">
              <w:rPr>
                <w:rFonts w:cs="Arial"/>
              </w:rPr>
              <w:t>680</w:t>
            </w:r>
          </w:p>
        </w:tc>
        <w:tc>
          <w:tcPr>
            <w:tcW w:w="352" w:type="pct"/>
            <w:tcBorders>
              <w:top w:val="nil"/>
            </w:tcBorders>
          </w:tcPr>
          <w:p w14:paraId="5F170355" w14:textId="77777777" w:rsidR="007123C7" w:rsidRPr="001F3926" w:rsidRDefault="007123C7" w:rsidP="00E82294">
            <w:pPr>
              <w:pStyle w:val="TableText"/>
              <w:jc w:val="right"/>
            </w:pPr>
            <w:r w:rsidRPr="001F3926">
              <w:rPr>
                <w:rFonts w:cs="Arial"/>
              </w:rPr>
              <w:t>4782</w:t>
            </w:r>
          </w:p>
        </w:tc>
        <w:tc>
          <w:tcPr>
            <w:tcW w:w="406" w:type="pct"/>
            <w:tcBorders>
              <w:top w:val="nil"/>
            </w:tcBorders>
          </w:tcPr>
          <w:p w14:paraId="10E7C2A1" w14:textId="77777777" w:rsidR="007123C7" w:rsidRPr="001F3926" w:rsidRDefault="007123C7" w:rsidP="00E82294">
            <w:pPr>
              <w:pStyle w:val="TableText"/>
              <w:jc w:val="right"/>
            </w:pPr>
            <w:r w:rsidRPr="001F3926">
              <w:rPr>
                <w:rFonts w:cs="Arial"/>
              </w:rPr>
              <w:t>85.9 (82.8</w:t>
            </w:r>
            <w:r w:rsidR="0062434A" w:rsidRPr="001F3926">
              <w:rPr>
                <w:rFonts w:cs="Arial"/>
              </w:rPr>
              <w:t>, </w:t>
            </w:r>
            <w:r w:rsidRPr="001F3926">
              <w:rPr>
                <w:rFonts w:cs="Arial"/>
              </w:rPr>
              <w:t>88.4)</w:t>
            </w:r>
          </w:p>
        </w:tc>
        <w:tc>
          <w:tcPr>
            <w:tcW w:w="218" w:type="pct"/>
            <w:tcBorders>
              <w:top w:val="nil"/>
            </w:tcBorders>
          </w:tcPr>
          <w:p w14:paraId="262244E6" w14:textId="77777777" w:rsidR="007123C7" w:rsidRPr="001F3926" w:rsidRDefault="007123C7" w:rsidP="00E82294">
            <w:pPr>
              <w:pStyle w:val="TableText"/>
              <w:jc w:val="right"/>
            </w:pPr>
            <w:r w:rsidRPr="001F3926">
              <w:rPr>
                <w:rFonts w:cs="Arial"/>
              </w:rPr>
              <w:t>132</w:t>
            </w:r>
          </w:p>
        </w:tc>
        <w:tc>
          <w:tcPr>
            <w:tcW w:w="352" w:type="pct"/>
            <w:tcBorders>
              <w:top w:val="nil"/>
            </w:tcBorders>
          </w:tcPr>
          <w:p w14:paraId="0BB9FE0E" w14:textId="77777777" w:rsidR="007123C7" w:rsidRPr="001F3926" w:rsidRDefault="007123C7" w:rsidP="00E82294">
            <w:pPr>
              <w:pStyle w:val="TableText"/>
              <w:jc w:val="right"/>
            </w:pPr>
            <w:r w:rsidRPr="001F3926">
              <w:rPr>
                <w:rFonts w:cs="Arial"/>
              </w:rPr>
              <w:t>788</w:t>
            </w:r>
          </w:p>
        </w:tc>
        <w:tc>
          <w:tcPr>
            <w:tcW w:w="367" w:type="pct"/>
            <w:tcBorders>
              <w:top w:val="nil"/>
            </w:tcBorders>
          </w:tcPr>
          <w:p w14:paraId="79541209" w14:textId="77777777" w:rsidR="007123C7" w:rsidRPr="001F3926" w:rsidRDefault="007123C7" w:rsidP="00E82294">
            <w:pPr>
              <w:pStyle w:val="TableText"/>
              <w:jc w:val="right"/>
            </w:pPr>
            <w:r w:rsidRPr="001F3926">
              <w:rPr>
                <w:rFonts w:cs="Arial"/>
              </w:rPr>
              <w:t>14.1 (11.6</w:t>
            </w:r>
            <w:r w:rsidR="0062434A" w:rsidRPr="001F3926">
              <w:rPr>
                <w:rFonts w:cs="Arial"/>
              </w:rPr>
              <w:t>, </w:t>
            </w:r>
            <w:r w:rsidRPr="001F3926">
              <w:rPr>
                <w:rFonts w:cs="Arial"/>
              </w:rPr>
              <w:t>17.2)</w:t>
            </w:r>
          </w:p>
        </w:tc>
        <w:tc>
          <w:tcPr>
            <w:tcW w:w="219" w:type="pct"/>
            <w:tcBorders>
              <w:top w:val="nil"/>
            </w:tcBorders>
          </w:tcPr>
          <w:p w14:paraId="2944D0E4" w14:textId="77777777" w:rsidR="007123C7" w:rsidRPr="001F3926" w:rsidRDefault="007123C7" w:rsidP="00E82294">
            <w:pPr>
              <w:pStyle w:val="TableText"/>
              <w:jc w:val="right"/>
            </w:pPr>
            <w:r w:rsidRPr="001F3926">
              <w:rPr>
                <w:rFonts w:cs="Arial"/>
              </w:rPr>
              <w:t>465</w:t>
            </w:r>
          </w:p>
        </w:tc>
        <w:tc>
          <w:tcPr>
            <w:tcW w:w="351" w:type="pct"/>
            <w:tcBorders>
              <w:top w:val="nil"/>
            </w:tcBorders>
          </w:tcPr>
          <w:p w14:paraId="500E8AC7" w14:textId="77777777" w:rsidR="007123C7" w:rsidRPr="001F3926" w:rsidRDefault="007123C7" w:rsidP="00E82294">
            <w:pPr>
              <w:pStyle w:val="TableText"/>
              <w:jc w:val="right"/>
            </w:pPr>
            <w:r w:rsidRPr="001F3926">
              <w:rPr>
                <w:rFonts w:cs="Arial"/>
              </w:rPr>
              <w:t>3605</w:t>
            </w:r>
          </w:p>
        </w:tc>
        <w:tc>
          <w:tcPr>
            <w:tcW w:w="396" w:type="pct"/>
            <w:tcBorders>
              <w:top w:val="nil"/>
            </w:tcBorders>
          </w:tcPr>
          <w:p w14:paraId="58EEC6DD" w14:textId="77777777" w:rsidR="007123C7" w:rsidRPr="001F3926" w:rsidRDefault="007123C7" w:rsidP="00E82294">
            <w:pPr>
              <w:pStyle w:val="TableText"/>
              <w:jc w:val="right"/>
            </w:pPr>
            <w:r w:rsidRPr="001F3926">
              <w:rPr>
                <w:rFonts w:cs="Arial"/>
              </w:rPr>
              <w:t>77.5 (65.4</w:t>
            </w:r>
            <w:r w:rsidR="0062434A" w:rsidRPr="001F3926">
              <w:rPr>
                <w:rFonts w:cs="Arial"/>
              </w:rPr>
              <w:t>, </w:t>
            </w:r>
            <w:r w:rsidRPr="001F3926">
              <w:rPr>
                <w:rFonts w:cs="Arial"/>
              </w:rPr>
              <w:t>86.2)</w:t>
            </w:r>
          </w:p>
        </w:tc>
        <w:tc>
          <w:tcPr>
            <w:tcW w:w="230" w:type="pct"/>
            <w:tcBorders>
              <w:top w:val="nil"/>
            </w:tcBorders>
          </w:tcPr>
          <w:p w14:paraId="5B4FEC91" w14:textId="77777777" w:rsidR="007123C7" w:rsidRPr="001F3926" w:rsidRDefault="007123C7" w:rsidP="00E82294">
            <w:pPr>
              <w:pStyle w:val="TableText"/>
              <w:jc w:val="right"/>
            </w:pPr>
            <w:r w:rsidRPr="001F3926">
              <w:rPr>
                <w:rFonts w:cs="Arial"/>
              </w:rPr>
              <w:t>161</w:t>
            </w:r>
          </w:p>
        </w:tc>
        <w:tc>
          <w:tcPr>
            <w:tcW w:w="351" w:type="pct"/>
            <w:tcBorders>
              <w:top w:val="nil"/>
            </w:tcBorders>
          </w:tcPr>
          <w:p w14:paraId="2433602D" w14:textId="77777777" w:rsidR="007123C7" w:rsidRPr="001F3926" w:rsidRDefault="007123C7" w:rsidP="00E82294">
            <w:pPr>
              <w:pStyle w:val="TableText"/>
              <w:jc w:val="right"/>
            </w:pPr>
            <w:r w:rsidRPr="001F3926">
              <w:rPr>
                <w:rFonts w:cs="Arial"/>
              </w:rPr>
              <w:t>1048</w:t>
            </w:r>
          </w:p>
        </w:tc>
        <w:tc>
          <w:tcPr>
            <w:tcW w:w="458" w:type="pct"/>
            <w:tcBorders>
              <w:top w:val="nil"/>
            </w:tcBorders>
          </w:tcPr>
          <w:p w14:paraId="61FD6E98" w14:textId="77777777" w:rsidR="007123C7" w:rsidRPr="001F3926" w:rsidRDefault="007123C7" w:rsidP="00E82294">
            <w:pPr>
              <w:pStyle w:val="TableText"/>
              <w:jc w:val="right"/>
            </w:pPr>
            <w:r w:rsidRPr="001F3926">
              <w:rPr>
                <w:rFonts w:cs="Arial"/>
              </w:rPr>
              <w:t>22.5 (13.8</w:t>
            </w:r>
            <w:r w:rsidR="0062434A" w:rsidRPr="001F3926">
              <w:rPr>
                <w:rFonts w:cs="Arial"/>
              </w:rPr>
              <w:t>, </w:t>
            </w:r>
            <w:r w:rsidRPr="001F3926">
              <w:rPr>
                <w:rFonts w:cs="Arial"/>
              </w:rPr>
              <w:t>34.6)</w:t>
            </w:r>
          </w:p>
        </w:tc>
      </w:tr>
      <w:tr w:rsidR="0062434A" w:rsidRPr="00611E53" w14:paraId="169151D2" w14:textId="77777777" w:rsidTr="0062434A">
        <w:trPr>
          <w:cantSplit/>
        </w:trPr>
        <w:tc>
          <w:tcPr>
            <w:tcW w:w="1083" w:type="pct"/>
          </w:tcPr>
          <w:p w14:paraId="602E688E" w14:textId="77777777" w:rsidR="007123C7" w:rsidRPr="001F3926" w:rsidRDefault="007123C7" w:rsidP="00E82294">
            <w:pPr>
              <w:pStyle w:val="TableText"/>
            </w:pPr>
            <w:r w:rsidRPr="001F3926">
              <w:t xml:space="preserve">Below screening cut-off </w:t>
            </w:r>
          </w:p>
        </w:tc>
        <w:tc>
          <w:tcPr>
            <w:tcW w:w="217" w:type="pct"/>
          </w:tcPr>
          <w:p w14:paraId="6F6DFA95" w14:textId="77777777" w:rsidR="007123C7" w:rsidRPr="001F3926" w:rsidRDefault="007123C7" w:rsidP="00E82294">
            <w:pPr>
              <w:pStyle w:val="TableText"/>
              <w:jc w:val="right"/>
            </w:pPr>
            <w:r w:rsidRPr="001F3926">
              <w:rPr>
                <w:rFonts w:cs="Arial"/>
              </w:rPr>
              <w:t>2668</w:t>
            </w:r>
          </w:p>
        </w:tc>
        <w:tc>
          <w:tcPr>
            <w:tcW w:w="352" w:type="pct"/>
          </w:tcPr>
          <w:p w14:paraId="69330EA7" w14:textId="77777777" w:rsidR="007123C7" w:rsidRPr="001F3926" w:rsidRDefault="007123C7" w:rsidP="00E82294">
            <w:pPr>
              <w:pStyle w:val="TableText"/>
              <w:jc w:val="right"/>
            </w:pPr>
            <w:r w:rsidRPr="001F3926">
              <w:rPr>
                <w:rFonts w:cs="Arial"/>
              </w:rPr>
              <w:t>17,450</w:t>
            </w:r>
          </w:p>
        </w:tc>
        <w:tc>
          <w:tcPr>
            <w:tcW w:w="406" w:type="pct"/>
          </w:tcPr>
          <w:p w14:paraId="66C6057E" w14:textId="77777777" w:rsidR="007123C7" w:rsidRPr="001F3926" w:rsidRDefault="007123C7" w:rsidP="00E82294">
            <w:pPr>
              <w:pStyle w:val="TableText"/>
              <w:jc w:val="right"/>
            </w:pPr>
            <w:r w:rsidRPr="001F3926">
              <w:rPr>
                <w:rFonts w:cs="Arial"/>
              </w:rPr>
              <w:t>91.3 (90.0</w:t>
            </w:r>
            <w:r w:rsidR="0062434A" w:rsidRPr="001F3926">
              <w:rPr>
                <w:rFonts w:cs="Arial"/>
              </w:rPr>
              <w:t>, </w:t>
            </w:r>
            <w:r w:rsidRPr="001F3926">
              <w:rPr>
                <w:rFonts w:cs="Arial"/>
              </w:rPr>
              <w:t>92.5)</w:t>
            </w:r>
          </w:p>
        </w:tc>
        <w:tc>
          <w:tcPr>
            <w:tcW w:w="218" w:type="pct"/>
          </w:tcPr>
          <w:p w14:paraId="55CD9108" w14:textId="77777777" w:rsidR="007123C7" w:rsidRPr="001F3926" w:rsidRDefault="007123C7" w:rsidP="00E82294">
            <w:pPr>
              <w:pStyle w:val="TableText"/>
              <w:jc w:val="right"/>
            </w:pPr>
            <w:r w:rsidRPr="001F3926">
              <w:rPr>
                <w:rFonts w:cs="Arial"/>
              </w:rPr>
              <w:t>264</w:t>
            </w:r>
          </w:p>
        </w:tc>
        <w:tc>
          <w:tcPr>
            <w:tcW w:w="352" w:type="pct"/>
          </w:tcPr>
          <w:p w14:paraId="4A41CD14" w14:textId="77777777" w:rsidR="007123C7" w:rsidRPr="001F3926" w:rsidRDefault="007123C7" w:rsidP="00E82294">
            <w:pPr>
              <w:pStyle w:val="TableText"/>
              <w:jc w:val="right"/>
            </w:pPr>
            <w:r w:rsidRPr="001F3926">
              <w:rPr>
                <w:rFonts w:cs="Arial"/>
              </w:rPr>
              <w:t>1658</w:t>
            </w:r>
          </w:p>
        </w:tc>
        <w:tc>
          <w:tcPr>
            <w:tcW w:w="367" w:type="pct"/>
          </w:tcPr>
          <w:p w14:paraId="596544B1" w14:textId="77777777" w:rsidR="007123C7" w:rsidRPr="001F3926" w:rsidRDefault="007123C7" w:rsidP="00E82294">
            <w:pPr>
              <w:pStyle w:val="TableText"/>
              <w:jc w:val="right"/>
            </w:pPr>
            <w:r w:rsidRPr="001F3926">
              <w:rPr>
                <w:rFonts w:cs="Arial"/>
              </w:rPr>
              <w:t>8.7 (7.5</w:t>
            </w:r>
            <w:r w:rsidR="0062434A" w:rsidRPr="001F3926">
              <w:rPr>
                <w:rFonts w:cs="Arial"/>
              </w:rPr>
              <w:t>, </w:t>
            </w:r>
            <w:r w:rsidRPr="001F3926">
              <w:rPr>
                <w:rFonts w:cs="Arial"/>
              </w:rPr>
              <w:t>10.0)</w:t>
            </w:r>
          </w:p>
        </w:tc>
        <w:tc>
          <w:tcPr>
            <w:tcW w:w="219" w:type="pct"/>
          </w:tcPr>
          <w:p w14:paraId="1D091EA2" w14:textId="77777777" w:rsidR="007123C7" w:rsidRPr="001F3926" w:rsidRDefault="007123C7" w:rsidP="00E82294">
            <w:pPr>
              <w:pStyle w:val="TableText"/>
              <w:jc w:val="right"/>
            </w:pPr>
            <w:r w:rsidRPr="001F3926">
              <w:rPr>
                <w:rFonts w:cs="Arial"/>
              </w:rPr>
              <w:t>5920</w:t>
            </w:r>
          </w:p>
        </w:tc>
        <w:tc>
          <w:tcPr>
            <w:tcW w:w="351" w:type="pct"/>
          </w:tcPr>
          <w:p w14:paraId="01E8E8A6" w14:textId="77777777" w:rsidR="007123C7" w:rsidRPr="001F3926" w:rsidRDefault="007123C7" w:rsidP="00E82294">
            <w:pPr>
              <w:pStyle w:val="TableText"/>
              <w:jc w:val="right"/>
            </w:pPr>
            <w:r w:rsidRPr="001F3926">
              <w:rPr>
                <w:rFonts w:cs="Arial"/>
              </w:rPr>
              <w:t>41076</w:t>
            </w:r>
          </w:p>
        </w:tc>
        <w:tc>
          <w:tcPr>
            <w:tcW w:w="396" w:type="pct"/>
          </w:tcPr>
          <w:p w14:paraId="5F31D9D5" w14:textId="77777777" w:rsidR="007123C7" w:rsidRPr="001F3926" w:rsidRDefault="007123C7" w:rsidP="00E82294">
            <w:pPr>
              <w:pStyle w:val="TableText"/>
              <w:jc w:val="right"/>
            </w:pPr>
            <w:r w:rsidRPr="001F3926">
              <w:rPr>
                <w:rFonts w:cs="Arial"/>
              </w:rPr>
              <w:t>86.4 (83.5</w:t>
            </w:r>
            <w:r w:rsidR="0062434A" w:rsidRPr="001F3926">
              <w:rPr>
                <w:rFonts w:cs="Arial"/>
              </w:rPr>
              <w:t>, </w:t>
            </w:r>
            <w:r w:rsidRPr="001F3926">
              <w:rPr>
                <w:rFonts w:cs="Arial"/>
              </w:rPr>
              <w:t>88.8)</w:t>
            </w:r>
          </w:p>
        </w:tc>
        <w:tc>
          <w:tcPr>
            <w:tcW w:w="230" w:type="pct"/>
          </w:tcPr>
          <w:p w14:paraId="167E9CB2" w14:textId="77777777" w:rsidR="007123C7" w:rsidRPr="001F3926" w:rsidRDefault="007123C7" w:rsidP="00E82294">
            <w:pPr>
              <w:pStyle w:val="TableText"/>
              <w:jc w:val="right"/>
            </w:pPr>
            <w:r w:rsidRPr="001F3926">
              <w:rPr>
                <w:rFonts w:cs="Arial"/>
              </w:rPr>
              <w:t>1115</w:t>
            </w:r>
          </w:p>
        </w:tc>
        <w:tc>
          <w:tcPr>
            <w:tcW w:w="351" w:type="pct"/>
          </w:tcPr>
          <w:p w14:paraId="124E1AC1" w14:textId="77777777" w:rsidR="007123C7" w:rsidRPr="001F3926" w:rsidRDefault="007123C7" w:rsidP="00E82294">
            <w:pPr>
              <w:pStyle w:val="TableText"/>
              <w:jc w:val="right"/>
            </w:pPr>
            <w:r w:rsidRPr="001F3926">
              <w:rPr>
                <w:rFonts w:cs="Arial"/>
              </w:rPr>
              <w:t>6493</w:t>
            </w:r>
          </w:p>
        </w:tc>
        <w:tc>
          <w:tcPr>
            <w:tcW w:w="458" w:type="pct"/>
          </w:tcPr>
          <w:p w14:paraId="59651988" w14:textId="77777777" w:rsidR="007123C7" w:rsidRPr="001F3926" w:rsidRDefault="007123C7" w:rsidP="00E82294">
            <w:pPr>
              <w:pStyle w:val="TableText"/>
              <w:jc w:val="right"/>
            </w:pPr>
            <w:r w:rsidRPr="001F3926">
              <w:rPr>
                <w:rFonts w:cs="Arial"/>
              </w:rPr>
              <w:t>13.6 (11.2</w:t>
            </w:r>
            <w:r w:rsidR="0062434A" w:rsidRPr="001F3926">
              <w:rPr>
                <w:rFonts w:cs="Arial"/>
              </w:rPr>
              <w:t>, </w:t>
            </w:r>
            <w:r w:rsidRPr="001F3926">
              <w:rPr>
                <w:rFonts w:cs="Arial"/>
              </w:rPr>
              <w:t>16.5)</w:t>
            </w:r>
          </w:p>
        </w:tc>
      </w:tr>
    </w:tbl>
    <w:p w14:paraId="5FFCAFD7" w14:textId="77777777" w:rsidR="007123C7" w:rsidRPr="00C72931" w:rsidRDefault="007123C7" w:rsidP="007123C7">
      <w:pPr>
        <w:pStyle w:val="TableNotes"/>
      </w:pPr>
      <w:r>
        <w:t>Denominator: Entire cohort</w:t>
      </w:r>
    </w:p>
    <w:p w14:paraId="7BF2C10A" w14:textId="77777777" w:rsidR="007123C7" w:rsidRPr="00C72931" w:rsidRDefault="007123C7" w:rsidP="007123C7">
      <w:pPr>
        <w:pStyle w:val="TableNotes"/>
      </w:pPr>
      <w:r w:rsidRPr="009344FF">
        <w:t>Note: Proportions may not add up to 100% due to rounding and missing values. However, distributions are calculated by including those with a missing value to allow for correct weighted totals.</w:t>
      </w:r>
      <w:r w:rsidRPr="00C72931">
        <w:t xml:space="preserve"> </w:t>
      </w:r>
    </w:p>
    <w:p w14:paraId="2AE49917" w14:textId="77777777" w:rsidR="007123C7" w:rsidRDefault="007123C7" w:rsidP="007123C7">
      <w:pPr>
        <w:pStyle w:val="TableNotes"/>
      </w:pPr>
      <w:r>
        <w:t>95%CI = 95% confidence interval.</w:t>
      </w:r>
    </w:p>
    <w:p w14:paraId="1ED1D5F5" w14:textId="77777777" w:rsidR="00B926FE" w:rsidRDefault="00B926FE" w:rsidP="00B926FE"/>
    <w:p w14:paraId="7309E03B" w14:textId="77777777" w:rsidR="00B926FE" w:rsidRDefault="00B926FE" w:rsidP="00B926FE">
      <w:pPr>
        <w:sectPr w:rsidR="00B926FE" w:rsidSect="00980AE4">
          <w:footerReference w:type="even" r:id="rId120"/>
          <w:footerReference w:type="default" r:id="rId121"/>
          <w:pgSz w:w="14170" w:h="9979" w:orient="landscape" w:code="243"/>
          <w:pgMar w:top="1872" w:right="1440" w:bottom="1152" w:left="1440" w:header="576" w:footer="576" w:gutter="0"/>
          <w:cols w:space="708"/>
          <w:docGrid w:linePitch="360"/>
        </w:sectPr>
      </w:pPr>
    </w:p>
    <w:p w14:paraId="5CEC3B88" w14:textId="77777777" w:rsidR="007123C7" w:rsidRPr="00EB0F85" w:rsidRDefault="007123C7" w:rsidP="00266BEE">
      <w:pPr>
        <w:pStyle w:val="Heading4"/>
      </w:pPr>
      <w:r w:rsidRPr="00C72931">
        <w:t>Depressive episodes</w:t>
      </w:r>
    </w:p>
    <w:p w14:paraId="6DB4B33C" w14:textId="77777777" w:rsidR="007123C7" w:rsidRDefault="007123C7" w:rsidP="00266BEE">
      <w:r>
        <w:t xml:space="preserve">Transitioned ADF with a probable depressive episode (14.2%) and a </w:t>
      </w:r>
      <w:r w:rsidR="007155C2">
        <w:t>subsyndromal</w:t>
      </w:r>
      <w:r>
        <w:t xml:space="preserve"> depressive episode (11.4%) were more likely to use the ADF website to inform/assess mental health compared to Transitioned ADF with no </w:t>
      </w:r>
      <w:r w:rsidRPr="00B007BE">
        <w:t xml:space="preserve">probable </w:t>
      </w:r>
      <w:r>
        <w:t xml:space="preserve">anxiety/depression (7.8%). Although there were no differences between the 2015 Regular ADF with probable, </w:t>
      </w:r>
      <w:r w:rsidR="007155C2">
        <w:t>subsyndromal</w:t>
      </w:r>
      <w:r>
        <w:t xml:space="preserve"> and no depressive episode, the 2015 Regular ADF with no disorder (13.6%) were more likely to use the ADF website to inform/assess their mental health than the Transitioned ADF with no depressive episode (7.8%). </w:t>
      </w:r>
    </w:p>
    <w:p w14:paraId="484CF50A" w14:textId="77777777" w:rsidR="007123C7" w:rsidRPr="00C72931" w:rsidRDefault="007123C7" w:rsidP="00266BEE">
      <w:pPr>
        <w:pStyle w:val="Heading4"/>
      </w:pPr>
      <w:r w:rsidRPr="00C72931">
        <w:t>Suicidality</w:t>
      </w:r>
    </w:p>
    <w:p w14:paraId="4B615E5E" w14:textId="77777777" w:rsidR="007123C7" w:rsidRDefault="007123C7" w:rsidP="00266BEE">
      <w:pPr>
        <w:rPr>
          <w:rFonts w:asciiTheme="minorHAnsi" w:hAnsiTheme="minorHAnsi"/>
          <w:szCs w:val="22"/>
        </w:rPr>
      </w:pPr>
      <w:r>
        <w:t xml:space="preserve">For both the Transitioned ADF and 2015 Regular ADF there was no difference in the proportion of individuals who used the ADF website to inform/assess mental health based on self-reported 12-month suicidal ideation or behaviour. </w:t>
      </w:r>
      <w:r>
        <w:rPr>
          <w:rFonts w:asciiTheme="minorHAnsi" w:hAnsiTheme="minorHAnsi"/>
          <w:szCs w:val="22"/>
        </w:rPr>
        <w:t>O</w:t>
      </w:r>
      <w:r w:rsidRPr="00B007BE">
        <w:rPr>
          <w:rFonts w:asciiTheme="minorHAnsi" w:hAnsiTheme="minorHAnsi"/>
          <w:szCs w:val="22"/>
        </w:rPr>
        <w:t xml:space="preserve">verall among those with any suicidal </w:t>
      </w:r>
      <w:r>
        <w:rPr>
          <w:rFonts w:asciiTheme="minorHAnsi" w:hAnsiTheme="minorHAnsi"/>
          <w:szCs w:val="22"/>
        </w:rPr>
        <w:t>thoughts</w:t>
      </w:r>
      <w:r w:rsidRPr="00B007BE">
        <w:rPr>
          <w:rFonts w:asciiTheme="minorHAnsi" w:hAnsiTheme="minorHAnsi"/>
          <w:szCs w:val="22"/>
        </w:rPr>
        <w:t xml:space="preserve"> or plan</w:t>
      </w:r>
      <w:r>
        <w:rPr>
          <w:rFonts w:asciiTheme="minorHAnsi" w:hAnsiTheme="minorHAnsi"/>
          <w:szCs w:val="22"/>
        </w:rPr>
        <w:t>s</w:t>
      </w:r>
      <w:r w:rsidRPr="00B007BE">
        <w:rPr>
          <w:rFonts w:asciiTheme="minorHAnsi" w:hAnsiTheme="minorHAnsi"/>
          <w:szCs w:val="22"/>
        </w:rPr>
        <w:t xml:space="preserve"> in the previous 12 months</w:t>
      </w:r>
      <w:r>
        <w:rPr>
          <w:rFonts w:asciiTheme="minorHAnsi" w:hAnsiTheme="minorHAnsi"/>
          <w:szCs w:val="22"/>
        </w:rPr>
        <w:t xml:space="preserve">, 12.5% </w:t>
      </w:r>
      <w:r w:rsidRPr="00B007BE">
        <w:rPr>
          <w:rFonts w:asciiTheme="minorHAnsi" w:hAnsiTheme="minorHAnsi"/>
          <w:szCs w:val="22"/>
        </w:rPr>
        <w:t xml:space="preserve">of Transitioned ADF compared to </w:t>
      </w:r>
      <w:r>
        <w:rPr>
          <w:rFonts w:asciiTheme="minorHAnsi" w:hAnsiTheme="minorHAnsi"/>
          <w:szCs w:val="22"/>
        </w:rPr>
        <w:t xml:space="preserve">17.1% of the </w:t>
      </w:r>
      <w:r w:rsidRPr="00B007BE">
        <w:rPr>
          <w:rFonts w:asciiTheme="minorHAnsi" w:hAnsiTheme="minorHAnsi"/>
          <w:szCs w:val="22"/>
        </w:rPr>
        <w:t xml:space="preserve">2015 Regular ADF reported using </w:t>
      </w:r>
      <w:r>
        <w:rPr>
          <w:rFonts w:asciiTheme="minorHAnsi" w:hAnsiTheme="minorHAnsi"/>
          <w:szCs w:val="22"/>
        </w:rPr>
        <w:t xml:space="preserve">the ADF website to inform/assess their mental health. </w:t>
      </w:r>
      <w:r w:rsidRPr="00B007BE">
        <w:rPr>
          <w:rFonts w:asciiTheme="minorHAnsi" w:hAnsiTheme="minorHAnsi"/>
          <w:szCs w:val="22"/>
        </w:rPr>
        <w:t>Among the Transitioned ADF, 15.6% of those with a suicide plan</w:t>
      </w:r>
      <w:r>
        <w:rPr>
          <w:rFonts w:asciiTheme="minorHAnsi" w:hAnsiTheme="minorHAnsi"/>
          <w:szCs w:val="22"/>
        </w:rPr>
        <w:t xml:space="preserve"> reported using the ADF website</w:t>
      </w:r>
      <w:r w:rsidRPr="00B007BE">
        <w:rPr>
          <w:rFonts w:asciiTheme="minorHAnsi" w:hAnsiTheme="minorHAnsi"/>
          <w:szCs w:val="22"/>
        </w:rPr>
        <w:t xml:space="preserve"> </w:t>
      </w:r>
      <w:r>
        <w:rPr>
          <w:rFonts w:asciiTheme="minorHAnsi" w:hAnsiTheme="minorHAnsi"/>
          <w:szCs w:val="22"/>
        </w:rPr>
        <w:t xml:space="preserve">to inform/assess their mental health </w:t>
      </w:r>
      <w:r w:rsidRPr="00B007BE">
        <w:rPr>
          <w:rFonts w:asciiTheme="minorHAnsi" w:hAnsiTheme="minorHAnsi"/>
          <w:szCs w:val="22"/>
        </w:rPr>
        <w:t xml:space="preserve">compared to </w:t>
      </w:r>
      <w:r>
        <w:rPr>
          <w:rFonts w:asciiTheme="minorHAnsi" w:hAnsiTheme="minorHAnsi"/>
          <w:szCs w:val="22"/>
        </w:rPr>
        <w:t xml:space="preserve">11.4% who reported </w:t>
      </w:r>
      <w:r w:rsidRPr="00B007BE">
        <w:rPr>
          <w:rFonts w:asciiTheme="minorHAnsi" w:hAnsiTheme="minorHAnsi"/>
          <w:szCs w:val="22"/>
        </w:rPr>
        <w:t>thoughts</w:t>
      </w:r>
      <w:r>
        <w:rPr>
          <w:rFonts w:asciiTheme="minorHAnsi" w:hAnsiTheme="minorHAnsi"/>
          <w:szCs w:val="22"/>
        </w:rPr>
        <w:t xml:space="preserve"> of suicide.</w:t>
      </w:r>
      <w:r w:rsidRPr="00B007BE">
        <w:rPr>
          <w:rFonts w:asciiTheme="minorHAnsi" w:hAnsiTheme="minorHAnsi"/>
          <w:szCs w:val="22"/>
        </w:rPr>
        <w:t xml:space="preserve"> </w:t>
      </w:r>
      <w:r>
        <w:rPr>
          <w:rFonts w:asciiTheme="minorHAnsi" w:hAnsiTheme="minorHAnsi"/>
          <w:szCs w:val="22"/>
        </w:rPr>
        <w:t xml:space="preserve">For </w:t>
      </w:r>
      <w:r w:rsidRPr="00B007BE">
        <w:rPr>
          <w:rFonts w:asciiTheme="minorHAnsi" w:hAnsiTheme="minorHAnsi"/>
          <w:szCs w:val="22"/>
        </w:rPr>
        <w:t xml:space="preserve">2015 Regular ADF, </w:t>
      </w:r>
      <w:r>
        <w:rPr>
          <w:rFonts w:asciiTheme="minorHAnsi" w:hAnsiTheme="minorHAnsi"/>
          <w:szCs w:val="22"/>
        </w:rPr>
        <w:t xml:space="preserve">29.1% </w:t>
      </w:r>
      <w:r w:rsidRPr="00B007BE">
        <w:rPr>
          <w:rFonts w:asciiTheme="minorHAnsi" w:hAnsiTheme="minorHAnsi"/>
          <w:szCs w:val="22"/>
        </w:rPr>
        <w:t xml:space="preserve">of those with a suicide plan </w:t>
      </w:r>
      <w:r>
        <w:rPr>
          <w:rFonts w:asciiTheme="minorHAnsi" w:hAnsiTheme="minorHAnsi"/>
          <w:szCs w:val="22"/>
        </w:rPr>
        <w:t xml:space="preserve">and 15.2% of </w:t>
      </w:r>
      <w:r w:rsidRPr="00B007BE">
        <w:rPr>
          <w:rFonts w:asciiTheme="minorHAnsi" w:hAnsiTheme="minorHAnsi"/>
          <w:szCs w:val="22"/>
        </w:rPr>
        <w:t xml:space="preserve">those with suicidal thoughts </w:t>
      </w:r>
      <w:r>
        <w:rPr>
          <w:rFonts w:asciiTheme="minorHAnsi" w:hAnsiTheme="minorHAnsi"/>
          <w:szCs w:val="22"/>
        </w:rPr>
        <w:t>reported using the ADF website.</w:t>
      </w:r>
      <w:r w:rsidRPr="000320AC">
        <w:t xml:space="preserve"> </w:t>
      </w:r>
      <w:r>
        <w:t>Almost 25% of the Transitioned ADF and 66.7% of the 2015 Regular ADF reported using the ADF website to inform/assess their mental health, however these estimates should be interpreted with caution (particularly estimates for the 2015 Regular ADF) due to the very large confidence interval surrounding these estimates.</w:t>
      </w:r>
    </w:p>
    <w:p w14:paraId="716E1EE7" w14:textId="77777777" w:rsidR="007123C7" w:rsidRPr="00C72931" w:rsidRDefault="007123C7" w:rsidP="00266BEE">
      <w:pPr>
        <w:pStyle w:val="Heading4"/>
      </w:pPr>
      <w:r w:rsidRPr="00C72931">
        <w:t>Generalised anxiety disorder</w:t>
      </w:r>
    </w:p>
    <w:p w14:paraId="28A46D32" w14:textId="77777777" w:rsidR="007123C7" w:rsidRPr="00B007BE" w:rsidRDefault="007123C7" w:rsidP="00266BEE">
      <w:r w:rsidRPr="00B007BE">
        <w:t xml:space="preserve">Finally, in the case of probable generalised anxiety disorder, among both the Transitioned ADF and 2015 Regular ADF, a larger proportion of those </w:t>
      </w:r>
      <w:r>
        <w:t>who screened</w:t>
      </w:r>
      <w:r w:rsidRPr="00B007BE">
        <w:t xml:space="preserve"> above the cut-off compared to below the cut-off reported using </w:t>
      </w:r>
      <w:r>
        <w:t xml:space="preserve">the ADF website to inform/assess mental health </w:t>
      </w:r>
      <w:r w:rsidRPr="00B007BE">
        <w:t>(Transitioned ADF: 14.1% vs 8.7%</w:t>
      </w:r>
      <w:r>
        <w:t>;</w:t>
      </w:r>
      <w:r w:rsidRPr="00B007BE">
        <w:t xml:space="preserve"> 2015 Regular ADF: 22.5% vs 13.6%).</w:t>
      </w:r>
      <w:r>
        <w:t xml:space="preserve"> The 2015 Regular ADF with no probable disorder (13.6%) were more likely to use the ADF website compared to Transitioned ADF with no probable generalised anxiety disorder (8.7%). </w:t>
      </w:r>
    </w:p>
    <w:p w14:paraId="46FDD295" w14:textId="77777777" w:rsidR="007123C7" w:rsidRPr="008A51EB" w:rsidRDefault="007123C7" w:rsidP="00266BEE">
      <w:pPr>
        <w:pStyle w:val="Heading3"/>
        <w:numPr>
          <w:ilvl w:val="2"/>
          <w:numId w:val="1"/>
        </w:numPr>
      </w:pPr>
      <w:bookmarkStart w:id="1021" w:name="_Toc518566443"/>
      <w:bookmarkStart w:id="1022" w:name="_Toc528932721"/>
      <w:bookmarkStart w:id="1023" w:name="_Toc531859258"/>
      <w:r w:rsidRPr="008A51EB">
        <w:t xml:space="preserve">Probable disorder according to the presence or absence of </w:t>
      </w:r>
      <w:r>
        <w:t xml:space="preserve">self-reported mental health </w:t>
      </w:r>
      <w:r w:rsidRPr="008A51EB">
        <w:t>stigmas</w:t>
      </w:r>
      <w:bookmarkEnd w:id="1021"/>
      <w:bookmarkEnd w:id="1022"/>
      <w:bookmarkEnd w:id="1023"/>
      <w:r w:rsidRPr="008A51EB">
        <w:t xml:space="preserve"> </w:t>
      </w:r>
    </w:p>
    <w:p w14:paraId="1284798B" w14:textId="6176ABA7" w:rsidR="007123C7" w:rsidRDefault="007123C7" w:rsidP="00266BEE">
      <w:r>
        <w:t xml:space="preserve">Table </w:t>
      </w:r>
      <w:r>
        <w:rPr>
          <w:noProof/>
        </w:rPr>
        <w:t>9</w:t>
      </w:r>
      <w:r>
        <w:t>.</w:t>
      </w:r>
      <w:r>
        <w:rPr>
          <w:noProof/>
        </w:rPr>
        <w:t>6</w:t>
      </w:r>
      <w:r>
        <w:t xml:space="preserve"> </w:t>
      </w:r>
      <w:r w:rsidRPr="00D111DE">
        <w:t>below presents the estimated proportion of Transitioned ADF and 2015 Regular ADF meeting criteria for a probable 30</w:t>
      </w:r>
      <w:r>
        <w:t>-</w:t>
      </w:r>
      <w:r w:rsidRPr="00D111DE">
        <w:t xml:space="preserve">day disorder on key mental health outcomes who reported using </w:t>
      </w:r>
      <w:r>
        <w:t>the ADF website</w:t>
      </w:r>
      <w:r w:rsidRPr="00D111DE">
        <w:t xml:space="preserve"> according to the presence or absence of </w:t>
      </w:r>
      <w:r>
        <w:t>self-reported mental health stigma</w:t>
      </w:r>
      <w:r w:rsidRPr="00D111DE">
        <w:t>s.</w:t>
      </w:r>
    </w:p>
    <w:p w14:paraId="7F37940C" w14:textId="77777777" w:rsidR="00B926FE" w:rsidRDefault="00B926FE" w:rsidP="00B926FE"/>
    <w:p w14:paraId="1237864D" w14:textId="77777777" w:rsidR="007123C7" w:rsidRDefault="007123C7" w:rsidP="00B926FE">
      <w:pPr>
        <w:sectPr w:rsidR="007123C7" w:rsidSect="00463E44">
          <w:footerReference w:type="even" r:id="rId122"/>
          <w:footerReference w:type="default" r:id="rId123"/>
          <w:pgSz w:w="9979" w:h="14170" w:code="243"/>
          <w:pgMar w:top="1440" w:right="1152" w:bottom="1440" w:left="1728" w:header="576" w:footer="576" w:gutter="0"/>
          <w:cols w:space="708"/>
          <w:docGrid w:linePitch="360"/>
        </w:sectPr>
      </w:pPr>
    </w:p>
    <w:p w14:paraId="7727E7D9" w14:textId="77777777" w:rsidR="007123C7" w:rsidRDefault="007123C7" w:rsidP="007123C7">
      <w:pPr>
        <w:pStyle w:val="TableName"/>
      </w:pPr>
      <w:bookmarkStart w:id="1024" w:name="_Toc531858036"/>
      <w:bookmarkStart w:id="1025" w:name="_Ref517426020"/>
      <w:bookmarkStart w:id="1026" w:name="_Toc515374681"/>
      <w:bookmarkStart w:id="1027" w:name="_Toc528932357"/>
      <w:r>
        <w:t xml:space="preserve">Table </w:t>
      </w:r>
      <w:r>
        <w:rPr>
          <w:noProof/>
        </w:rPr>
        <w:t>9</w:t>
      </w:r>
      <w:r>
        <w:t>.</w:t>
      </w:r>
      <w:r>
        <w:rPr>
          <w:noProof/>
        </w:rPr>
        <w:t>6</w:t>
      </w:r>
      <w:r>
        <w:tab/>
        <w:t xml:space="preserve">Estimated proportion of Transitioned ADF and 2015 Regular ADF </w:t>
      </w:r>
      <w:r w:rsidRPr="000F78B9">
        <w:t xml:space="preserve">with a probable disorder who </w:t>
      </w:r>
      <w:r>
        <w:t>did</w:t>
      </w:r>
      <w:r w:rsidRPr="000F78B9">
        <w:t xml:space="preserve"> and </w:t>
      </w:r>
      <w:r>
        <w:t>did</w:t>
      </w:r>
      <w:r w:rsidRPr="000F78B9">
        <w:t xml:space="preserve"> not use </w:t>
      </w:r>
      <w:r>
        <w:t>the ADF website broken down by</w:t>
      </w:r>
      <w:r w:rsidRPr="000F78B9">
        <w:t xml:space="preserve"> those with no stigma and those with at least one stigma</w:t>
      </w:r>
      <w:bookmarkEnd w:id="1024"/>
    </w:p>
    <w:bookmarkEnd w:id="1025"/>
    <w:bookmarkEnd w:id="1026"/>
    <w:bookmarkEnd w:id="1027"/>
    <w:tbl>
      <w:tblPr>
        <w:tblStyle w:val="TWRPTable"/>
        <w:tblW w:w="5000" w:type="pct"/>
        <w:tblLayout w:type="fixed"/>
        <w:tblCellMar>
          <w:left w:w="115" w:type="dxa"/>
          <w:right w:w="115" w:type="dxa"/>
        </w:tblCellMar>
        <w:tblLook w:val="0000" w:firstRow="0" w:lastRow="0" w:firstColumn="0" w:lastColumn="0" w:noHBand="0" w:noVBand="0"/>
        <w:tblDescription w:val="Table 9.6 Estimated proportion of Transitioned ADF and 2015 Regular ADF with a probable disorder who did and did not use the ADF website broken down by those with no stigma and those with at least one stigma"/>
      </w:tblPr>
      <w:tblGrid>
        <w:gridCol w:w="2562"/>
        <w:gridCol w:w="449"/>
        <w:gridCol w:w="760"/>
        <w:gridCol w:w="972"/>
        <w:gridCol w:w="474"/>
        <w:gridCol w:w="733"/>
        <w:gridCol w:w="972"/>
        <w:gridCol w:w="501"/>
        <w:gridCol w:w="794"/>
        <w:gridCol w:w="884"/>
        <w:gridCol w:w="441"/>
        <w:gridCol w:w="766"/>
        <w:gridCol w:w="972"/>
      </w:tblGrid>
      <w:tr w:rsidR="007123C7" w:rsidRPr="0028066B" w14:paraId="05EB3EA8" w14:textId="77777777" w:rsidTr="0062434A">
        <w:trPr>
          <w:cantSplit/>
          <w:tblHeader/>
        </w:trPr>
        <w:tc>
          <w:tcPr>
            <w:tcW w:w="2630" w:type="dxa"/>
            <w:tcBorders>
              <w:top w:val="single" w:sz="4" w:space="0" w:color="000000"/>
              <w:bottom w:val="nil"/>
            </w:tcBorders>
          </w:tcPr>
          <w:p w14:paraId="50F672A8" w14:textId="77777777" w:rsidR="007123C7" w:rsidRPr="0028066B" w:rsidRDefault="007123C7" w:rsidP="00E82294">
            <w:pPr>
              <w:pStyle w:val="TableText"/>
              <w:rPr>
                <w:b/>
              </w:rPr>
            </w:pPr>
          </w:p>
        </w:tc>
        <w:tc>
          <w:tcPr>
            <w:tcW w:w="4446" w:type="dxa"/>
            <w:gridSpan w:val="6"/>
            <w:tcBorders>
              <w:top w:val="single" w:sz="4" w:space="0" w:color="000000"/>
              <w:bottom w:val="single" w:sz="4" w:space="0" w:color="000000"/>
            </w:tcBorders>
          </w:tcPr>
          <w:p w14:paraId="19997691" w14:textId="77777777" w:rsidR="007123C7" w:rsidRPr="00B4623F" w:rsidRDefault="007123C7" w:rsidP="00E82294">
            <w:pPr>
              <w:pStyle w:val="TableText"/>
              <w:jc w:val="center"/>
              <w:rPr>
                <w:b/>
                <w:bCs/>
              </w:rPr>
            </w:pPr>
            <w:r w:rsidRPr="0028066B">
              <w:rPr>
                <w:b/>
                <w:bCs/>
              </w:rPr>
              <w:t>Transitioned ADF</w:t>
            </w:r>
          </w:p>
        </w:tc>
        <w:tc>
          <w:tcPr>
            <w:tcW w:w="4444" w:type="dxa"/>
            <w:gridSpan w:val="6"/>
            <w:tcBorders>
              <w:top w:val="single" w:sz="4" w:space="0" w:color="000000"/>
              <w:bottom w:val="single" w:sz="4" w:space="0" w:color="000000"/>
            </w:tcBorders>
          </w:tcPr>
          <w:p w14:paraId="2F6662DB" w14:textId="77777777" w:rsidR="007123C7" w:rsidRPr="00B4623F" w:rsidRDefault="007123C7" w:rsidP="00E82294">
            <w:pPr>
              <w:pStyle w:val="TableText"/>
              <w:jc w:val="center"/>
              <w:rPr>
                <w:b/>
                <w:bCs/>
              </w:rPr>
            </w:pPr>
            <w:r w:rsidRPr="0028066B">
              <w:rPr>
                <w:b/>
                <w:bCs/>
              </w:rPr>
              <w:t>2015 Regular ADF</w:t>
            </w:r>
          </w:p>
        </w:tc>
      </w:tr>
      <w:tr w:rsidR="007123C7" w:rsidRPr="0028066B" w14:paraId="78E2214D" w14:textId="77777777" w:rsidTr="0062434A">
        <w:trPr>
          <w:cantSplit/>
          <w:tblHeader/>
        </w:trPr>
        <w:tc>
          <w:tcPr>
            <w:tcW w:w="2630" w:type="dxa"/>
            <w:tcBorders>
              <w:top w:val="nil"/>
              <w:bottom w:val="nil"/>
            </w:tcBorders>
          </w:tcPr>
          <w:p w14:paraId="2CCF775E" w14:textId="77777777" w:rsidR="007123C7" w:rsidRPr="0028066B" w:rsidRDefault="007123C7" w:rsidP="00E82294">
            <w:pPr>
              <w:pStyle w:val="TableText"/>
              <w:rPr>
                <w:b/>
              </w:rPr>
            </w:pPr>
          </w:p>
        </w:tc>
        <w:tc>
          <w:tcPr>
            <w:tcW w:w="2224" w:type="dxa"/>
            <w:gridSpan w:val="3"/>
            <w:tcBorders>
              <w:top w:val="single" w:sz="4" w:space="0" w:color="000000"/>
              <w:bottom w:val="single" w:sz="4" w:space="0" w:color="000000"/>
            </w:tcBorders>
          </w:tcPr>
          <w:p w14:paraId="2E231DCD" w14:textId="77777777" w:rsidR="007123C7" w:rsidRPr="0028066B" w:rsidRDefault="007123C7" w:rsidP="00E82294">
            <w:pPr>
              <w:pStyle w:val="TableText"/>
              <w:jc w:val="center"/>
              <w:rPr>
                <w:b/>
              </w:rPr>
            </w:pPr>
            <w:r w:rsidRPr="0028066B">
              <w:rPr>
                <w:b/>
              </w:rPr>
              <w:t xml:space="preserve">No </w:t>
            </w:r>
            <w:r>
              <w:rPr>
                <w:b/>
              </w:rPr>
              <w:t>s</w:t>
            </w:r>
            <w:r w:rsidRPr="0028066B">
              <w:rPr>
                <w:b/>
              </w:rPr>
              <w:t>tigma</w:t>
            </w:r>
          </w:p>
        </w:tc>
        <w:tc>
          <w:tcPr>
            <w:tcW w:w="2222" w:type="dxa"/>
            <w:gridSpan w:val="3"/>
            <w:tcBorders>
              <w:top w:val="single" w:sz="4" w:space="0" w:color="000000"/>
              <w:bottom w:val="single" w:sz="4" w:space="0" w:color="000000"/>
            </w:tcBorders>
          </w:tcPr>
          <w:p w14:paraId="143B1459" w14:textId="77777777" w:rsidR="007123C7" w:rsidRPr="0028066B" w:rsidRDefault="007123C7" w:rsidP="00E82294">
            <w:pPr>
              <w:pStyle w:val="TableText"/>
              <w:jc w:val="center"/>
              <w:rPr>
                <w:b/>
              </w:rPr>
            </w:pPr>
            <w:r w:rsidRPr="0028066B">
              <w:rPr>
                <w:b/>
              </w:rPr>
              <w:t xml:space="preserve">At least one </w:t>
            </w:r>
            <w:r>
              <w:rPr>
                <w:b/>
              </w:rPr>
              <w:t>s</w:t>
            </w:r>
            <w:r w:rsidRPr="0028066B">
              <w:rPr>
                <w:b/>
              </w:rPr>
              <w:t>tigma</w:t>
            </w:r>
          </w:p>
        </w:tc>
        <w:tc>
          <w:tcPr>
            <w:tcW w:w="2222" w:type="dxa"/>
            <w:gridSpan w:val="3"/>
            <w:tcBorders>
              <w:top w:val="single" w:sz="4" w:space="0" w:color="000000"/>
              <w:bottom w:val="single" w:sz="4" w:space="0" w:color="000000"/>
            </w:tcBorders>
          </w:tcPr>
          <w:p w14:paraId="398849C3" w14:textId="77777777" w:rsidR="007123C7" w:rsidRPr="0028066B" w:rsidRDefault="007123C7" w:rsidP="00E82294">
            <w:pPr>
              <w:pStyle w:val="TableText"/>
              <w:jc w:val="center"/>
              <w:rPr>
                <w:b/>
              </w:rPr>
            </w:pPr>
            <w:r w:rsidRPr="0028066B">
              <w:rPr>
                <w:b/>
              </w:rPr>
              <w:t xml:space="preserve">No </w:t>
            </w:r>
            <w:r>
              <w:rPr>
                <w:b/>
              </w:rPr>
              <w:t>s</w:t>
            </w:r>
            <w:r w:rsidRPr="0028066B">
              <w:rPr>
                <w:b/>
              </w:rPr>
              <w:t>tigm</w:t>
            </w:r>
            <w:r>
              <w:rPr>
                <w:b/>
              </w:rPr>
              <w:t>a</w:t>
            </w:r>
          </w:p>
        </w:tc>
        <w:tc>
          <w:tcPr>
            <w:tcW w:w="2222" w:type="dxa"/>
            <w:gridSpan w:val="3"/>
            <w:tcBorders>
              <w:top w:val="single" w:sz="4" w:space="0" w:color="000000"/>
              <w:bottom w:val="single" w:sz="4" w:space="0" w:color="000000"/>
            </w:tcBorders>
          </w:tcPr>
          <w:p w14:paraId="3C8296DB" w14:textId="77777777" w:rsidR="007123C7" w:rsidRPr="0028066B" w:rsidRDefault="007123C7" w:rsidP="00E82294">
            <w:pPr>
              <w:pStyle w:val="TableText"/>
              <w:jc w:val="center"/>
              <w:rPr>
                <w:b/>
              </w:rPr>
            </w:pPr>
            <w:r w:rsidRPr="0028066B">
              <w:rPr>
                <w:b/>
              </w:rPr>
              <w:t>At least one stigma</w:t>
            </w:r>
          </w:p>
        </w:tc>
      </w:tr>
      <w:tr w:rsidR="0062434A" w:rsidRPr="0028066B" w14:paraId="48D32817" w14:textId="77777777" w:rsidTr="00EF7D7F">
        <w:trPr>
          <w:cantSplit/>
          <w:tblHeader/>
        </w:trPr>
        <w:tc>
          <w:tcPr>
            <w:tcW w:w="2630" w:type="dxa"/>
            <w:tcBorders>
              <w:top w:val="nil"/>
              <w:bottom w:val="single" w:sz="4" w:space="0" w:color="000000"/>
            </w:tcBorders>
          </w:tcPr>
          <w:p w14:paraId="16248DB2" w14:textId="77777777" w:rsidR="007123C7" w:rsidRPr="0028066B" w:rsidRDefault="007123C7" w:rsidP="00E82294">
            <w:pPr>
              <w:pStyle w:val="TableText"/>
              <w:rPr>
                <w:b/>
              </w:rPr>
            </w:pPr>
          </w:p>
        </w:tc>
        <w:tc>
          <w:tcPr>
            <w:tcW w:w="455" w:type="dxa"/>
            <w:tcBorders>
              <w:top w:val="single" w:sz="4" w:space="0" w:color="000000"/>
              <w:bottom w:val="single" w:sz="4" w:space="0" w:color="000000"/>
            </w:tcBorders>
            <w:vAlign w:val="bottom"/>
          </w:tcPr>
          <w:p w14:paraId="135CAFEC" w14:textId="77777777" w:rsidR="007123C7" w:rsidRPr="0028066B" w:rsidRDefault="007123C7" w:rsidP="00EF7D7F">
            <w:pPr>
              <w:pStyle w:val="TableText"/>
              <w:jc w:val="right"/>
              <w:rPr>
                <w:b/>
              </w:rPr>
            </w:pPr>
            <w:r w:rsidRPr="0028066B">
              <w:rPr>
                <w:b/>
              </w:rPr>
              <w:t>n</w:t>
            </w:r>
          </w:p>
        </w:tc>
        <w:tc>
          <w:tcPr>
            <w:tcW w:w="775" w:type="dxa"/>
            <w:tcBorders>
              <w:top w:val="single" w:sz="4" w:space="0" w:color="000000"/>
              <w:bottom w:val="single" w:sz="4" w:space="0" w:color="000000"/>
            </w:tcBorders>
            <w:vAlign w:val="bottom"/>
          </w:tcPr>
          <w:p w14:paraId="65D5A46F" w14:textId="77777777" w:rsidR="007123C7" w:rsidRPr="0028066B" w:rsidRDefault="007123C7" w:rsidP="00EF7D7F">
            <w:pPr>
              <w:pStyle w:val="TableText"/>
              <w:jc w:val="right"/>
              <w:rPr>
                <w:b/>
              </w:rPr>
            </w:pPr>
            <w:r w:rsidRPr="0028066B">
              <w:rPr>
                <w:b/>
              </w:rPr>
              <w:t>Weighted n</w:t>
            </w:r>
          </w:p>
        </w:tc>
        <w:tc>
          <w:tcPr>
            <w:tcW w:w="994" w:type="dxa"/>
            <w:tcBorders>
              <w:top w:val="single" w:sz="4" w:space="0" w:color="000000"/>
              <w:bottom w:val="single" w:sz="4" w:space="0" w:color="000000"/>
            </w:tcBorders>
            <w:vAlign w:val="bottom"/>
          </w:tcPr>
          <w:p w14:paraId="50121CE7" w14:textId="77777777" w:rsidR="007123C7" w:rsidRPr="0028066B" w:rsidRDefault="007123C7" w:rsidP="00EF7D7F">
            <w:pPr>
              <w:pStyle w:val="TableText"/>
              <w:jc w:val="right"/>
              <w:rPr>
                <w:b/>
              </w:rPr>
            </w:pPr>
            <w:r w:rsidRPr="0028066B">
              <w:rPr>
                <w:b/>
              </w:rPr>
              <w:t>% (95%CI)</w:t>
            </w:r>
          </w:p>
        </w:tc>
        <w:tc>
          <w:tcPr>
            <w:tcW w:w="481" w:type="dxa"/>
            <w:tcBorders>
              <w:top w:val="single" w:sz="4" w:space="0" w:color="000000"/>
              <w:bottom w:val="single" w:sz="4" w:space="0" w:color="000000"/>
            </w:tcBorders>
            <w:vAlign w:val="bottom"/>
          </w:tcPr>
          <w:p w14:paraId="61EB96F1" w14:textId="77777777" w:rsidR="007123C7" w:rsidRPr="0028066B" w:rsidRDefault="007123C7" w:rsidP="00EF7D7F">
            <w:pPr>
              <w:pStyle w:val="TableText"/>
              <w:jc w:val="right"/>
              <w:rPr>
                <w:b/>
              </w:rPr>
            </w:pPr>
            <w:r w:rsidRPr="0028066B">
              <w:rPr>
                <w:b/>
              </w:rPr>
              <w:t>n</w:t>
            </w:r>
          </w:p>
        </w:tc>
        <w:tc>
          <w:tcPr>
            <w:tcW w:w="747" w:type="dxa"/>
            <w:tcBorders>
              <w:top w:val="single" w:sz="4" w:space="0" w:color="000000"/>
              <w:bottom w:val="single" w:sz="4" w:space="0" w:color="000000"/>
            </w:tcBorders>
            <w:vAlign w:val="bottom"/>
          </w:tcPr>
          <w:p w14:paraId="260A9144" w14:textId="77777777" w:rsidR="007123C7" w:rsidRPr="0028066B" w:rsidRDefault="007123C7" w:rsidP="00EF7D7F">
            <w:pPr>
              <w:pStyle w:val="TableText"/>
              <w:jc w:val="right"/>
              <w:rPr>
                <w:b/>
              </w:rPr>
            </w:pPr>
            <w:r w:rsidRPr="0028066B">
              <w:rPr>
                <w:b/>
              </w:rPr>
              <w:t>Weighted n</w:t>
            </w:r>
          </w:p>
        </w:tc>
        <w:tc>
          <w:tcPr>
            <w:tcW w:w="994" w:type="dxa"/>
            <w:tcBorders>
              <w:top w:val="single" w:sz="4" w:space="0" w:color="000000"/>
              <w:bottom w:val="single" w:sz="4" w:space="0" w:color="000000"/>
            </w:tcBorders>
            <w:vAlign w:val="bottom"/>
          </w:tcPr>
          <w:p w14:paraId="7E739EE3" w14:textId="77777777" w:rsidR="007123C7" w:rsidRPr="0028066B" w:rsidRDefault="007123C7" w:rsidP="00EF7D7F">
            <w:pPr>
              <w:pStyle w:val="TableText"/>
              <w:jc w:val="right"/>
              <w:rPr>
                <w:b/>
              </w:rPr>
            </w:pPr>
            <w:r w:rsidRPr="0028066B">
              <w:rPr>
                <w:b/>
              </w:rPr>
              <w:t>% (95%CI)</w:t>
            </w:r>
          </w:p>
        </w:tc>
        <w:tc>
          <w:tcPr>
            <w:tcW w:w="509" w:type="dxa"/>
            <w:tcBorders>
              <w:top w:val="single" w:sz="4" w:space="0" w:color="000000"/>
              <w:bottom w:val="single" w:sz="4" w:space="0" w:color="000000"/>
            </w:tcBorders>
            <w:vAlign w:val="bottom"/>
          </w:tcPr>
          <w:p w14:paraId="34A36BB8" w14:textId="77777777" w:rsidR="007123C7" w:rsidRPr="0028066B" w:rsidRDefault="007123C7" w:rsidP="00EF7D7F">
            <w:pPr>
              <w:pStyle w:val="TableText"/>
              <w:jc w:val="right"/>
              <w:rPr>
                <w:b/>
              </w:rPr>
            </w:pPr>
            <w:r w:rsidRPr="0028066B">
              <w:rPr>
                <w:b/>
              </w:rPr>
              <w:t>n</w:t>
            </w:r>
          </w:p>
        </w:tc>
        <w:tc>
          <w:tcPr>
            <w:tcW w:w="810" w:type="dxa"/>
            <w:tcBorders>
              <w:top w:val="single" w:sz="4" w:space="0" w:color="000000"/>
              <w:bottom w:val="single" w:sz="4" w:space="0" w:color="000000"/>
            </w:tcBorders>
            <w:vAlign w:val="bottom"/>
          </w:tcPr>
          <w:p w14:paraId="7C68320E" w14:textId="77777777" w:rsidR="007123C7" w:rsidRPr="0028066B" w:rsidRDefault="007123C7" w:rsidP="00EF7D7F">
            <w:pPr>
              <w:pStyle w:val="TableText"/>
              <w:jc w:val="right"/>
              <w:rPr>
                <w:b/>
              </w:rPr>
            </w:pPr>
            <w:r w:rsidRPr="0028066B">
              <w:rPr>
                <w:b/>
              </w:rPr>
              <w:t>Weighted n</w:t>
            </w:r>
          </w:p>
        </w:tc>
        <w:tc>
          <w:tcPr>
            <w:tcW w:w="903" w:type="dxa"/>
            <w:tcBorders>
              <w:top w:val="single" w:sz="4" w:space="0" w:color="000000"/>
              <w:bottom w:val="single" w:sz="4" w:space="0" w:color="000000"/>
            </w:tcBorders>
            <w:vAlign w:val="bottom"/>
          </w:tcPr>
          <w:p w14:paraId="4455367A" w14:textId="77777777" w:rsidR="007123C7" w:rsidRPr="0028066B" w:rsidRDefault="007123C7" w:rsidP="00EF7D7F">
            <w:pPr>
              <w:pStyle w:val="TableText"/>
              <w:jc w:val="right"/>
              <w:rPr>
                <w:b/>
              </w:rPr>
            </w:pPr>
            <w:r w:rsidRPr="0028066B">
              <w:rPr>
                <w:b/>
              </w:rPr>
              <w:t>% (95%CI)</w:t>
            </w:r>
          </w:p>
        </w:tc>
        <w:tc>
          <w:tcPr>
            <w:tcW w:w="447" w:type="dxa"/>
            <w:tcBorders>
              <w:top w:val="single" w:sz="4" w:space="0" w:color="000000"/>
              <w:bottom w:val="single" w:sz="4" w:space="0" w:color="000000"/>
            </w:tcBorders>
            <w:vAlign w:val="bottom"/>
          </w:tcPr>
          <w:p w14:paraId="1417B5AC" w14:textId="77777777" w:rsidR="007123C7" w:rsidRPr="0028066B" w:rsidRDefault="007123C7" w:rsidP="00EF7D7F">
            <w:pPr>
              <w:pStyle w:val="TableText"/>
              <w:jc w:val="right"/>
              <w:rPr>
                <w:b/>
              </w:rPr>
            </w:pPr>
            <w:r w:rsidRPr="0028066B">
              <w:rPr>
                <w:b/>
              </w:rPr>
              <w:t>n</w:t>
            </w:r>
          </w:p>
        </w:tc>
        <w:tc>
          <w:tcPr>
            <w:tcW w:w="781" w:type="dxa"/>
            <w:tcBorders>
              <w:top w:val="single" w:sz="4" w:space="0" w:color="000000"/>
              <w:bottom w:val="single" w:sz="4" w:space="0" w:color="000000"/>
            </w:tcBorders>
            <w:vAlign w:val="bottom"/>
          </w:tcPr>
          <w:p w14:paraId="6CA148AB" w14:textId="77777777" w:rsidR="007123C7" w:rsidRPr="0028066B" w:rsidRDefault="007123C7" w:rsidP="00EF7D7F">
            <w:pPr>
              <w:pStyle w:val="TableText"/>
              <w:jc w:val="right"/>
              <w:rPr>
                <w:b/>
              </w:rPr>
            </w:pPr>
            <w:r w:rsidRPr="0028066B">
              <w:rPr>
                <w:b/>
              </w:rPr>
              <w:t>Weighted n</w:t>
            </w:r>
          </w:p>
        </w:tc>
        <w:tc>
          <w:tcPr>
            <w:tcW w:w="994" w:type="dxa"/>
            <w:tcBorders>
              <w:top w:val="single" w:sz="4" w:space="0" w:color="000000"/>
              <w:bottom w:val="single" w:sz="4" w:space="0" w:color="000000"/>
            </w:tcBorders>
            <w:vAlign w:val="bottom"/>
          </w:tcPr>
          <w:p w14:paraId="026DC960" w14:textId="77777777" w:rsidR="007123C7" w:rsidRPr="0028066B" w:rsidRDefault="007123C7" w:rsidP="00EF7D7F">
            <w:pPr>
              <w:pStyle w:val="TableText"/>
              <w:jc w:val="right"/>
              <w:rPr>
                <w:b/>
              </w:rPr>
            </w:pPr>
            <w:r w:rsidRPr="0028066B">
              <w:rPr>
                <w:b/>
              </w:rPr>
              <w:t>% (95%CI)</w:t>
            </w:r>
          </w:p>
        </w:tc>
      </w:tr>
      <w:tr w:rsidR="007123C7" w:rsidRPr="000F78B9" w14:paraId="6B15B492"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tcBorders>
          </w:tcPr>
          <w:p w14:paraId="67B5C762" w14:textId="77777777" w:rsidR="007123C7" w:rsidRPr="0028066B" w:rsidRDefault="007123C7" w:rsidP="00E82294">
            <w:pPr>
              <w:pStyle w:val="TableText"/>
              <w:rPr>
                <w:b/>
              </w:rPr>
            </w:pPr>
            <w:r w:rsidRPr="0028066B">
              <w:rPr>
                <w:b/>
              </w:rPr>
              <w:t xml:space="preserve">Posttraumatic stress </w:t>
            </w:r>
            <w:r>
              <w:rPr>
                <w:b/>
              </w:rPr>
              <w:t>s</w:t>
            </w:r>
            <w:r w:rsidRPr="0028066B">
              <w:rPr>
                <w:b/>
              </w:rPr>
              <w:t>yndrome disorder (PCL-C)</w:t>
            </w:r>
          </w:p>
        </w:tc>
        <w:tc>
          <w:tcPr>
            <w:tcW w:w="2224" w:type="dxa"/>
            <w:gridSpan w:val="3"/>
            <w:tcBorders>
              <w:top w:val="single" w:sz="4" w:space="0" w:color="000000"/>
            </w:tcBorders>
          </w:tcPr>
          <w:p w14:paraId="43AEE0F4" w14:textId="77777777" w:rsidR="007123C7" w:rsidRPr="006C12DD" w:rsidRDefault="007123C7" w:rsidP="00E82294">
            <w:pPr>
              <w:pStyle w:val="TableText"/>
              <w:jc w:val="center"/>
              <w:rPr>
                <w:highlight w:val="magenta"/>
              </w:rPr>
            </w:pPr>
            <w:r>
              <w:t>n</w:t>
            </w:r>
            <w:r w:rsidRPr="000F78B9">
              <w:t>=</w:t>
            </w:r>
            <w:r>
              <w:t>69</w:t>
            </w:r>
            <w:r w:rsidRPr="000F78B9">
              <w:t xml:space="preserve"> (Weighted</w:t>
            </w:r>
            <w:r>
              <w:t xml:space="preserve"> n</w:t>
            </w:r>
            <w:r w:rsidRPr="000F78B9">
              <w:t>=</w:t>
            </w:r>
            <w:r>
              <w:t>438</w:t>
            </w:r>
            <w:r w:rsidRPr="000F78B9">
              <w:t>)</w:t>
            </w:r>
          </w:p>
        </w:tc>
        <w:tc>
          <w:tcPr>
            <w:tcW w:w="2222" w:type="dxa"/>
            <w:gridSpan w:val="3"/>
            <w:tcBorders>
              <w:top w:val="single" w:sz="4" w:space="0" w:color="000000"/>
            </w:tcBorders>
          </w:tcPr>
          <w:p w14:paraId="26F8CF21" w14:textId="77777777" w:rsidR="007123C7" w:rsidRPr="006C12DD" w:rsidRDefault="007123C7" w:rsidP="00E82294">
            <w:pPr>
              <w:pStyle w:val="TableText"/>
              <w:jc w:val="center"/>
              <w:rPr>
                <w:highlight w:val="magenta"/>
              </w:rPr>
            </w:pPr>
            <w:r>
              <w:t>n=</w:t>
            </w:r>
            <w:r w:rsidRPr="000F78B9">
              <w:t>4</w:t>
            </w:r>
            <w:r>
              <w:t>41</w:t>
            </w:r>
            <w:r w:rsidRPr="000F78B9">
              <w:t xml:space="preserve"> (Weighted </w:t>
            </w:r>
            <w:r>
              <w:t>n</w:t>
            </w:r>
            <w:r w:rsidRPr="000F78B9">
              <w:t>=</w:t>
            </w:r>
            <w:r>
              <w:t>2811</w:t>
            </w:r>
            <w:r w:rsidRPr="000F78B9">
              <w:t>)</w:t>
            </w:r>
          </w:p>
        </w:tc>
        <w:tc>
          <w:tcPr>
            <w:tcW w:w="2222" w:type="dxa"/>
            <w:gridSpan w:val="3"/>
            <w:tcBorders>
              <w:top w:val="single" w:sz="4" w:space="0" w:color="000000"/>
            </w:tcBorders>
          </w:tcPr>
          <w:p w14:paraId="322EDA57" w14:textId="77777777" w:rsidR="007123C7" w:rsidRPr="000F78B9" w:rsidRDefault="007123C7" w:rsidP="00E82294">
            <w:pPr>
              <w:pStyle w:val="TableText"/>
              <w:jc w:val="center"/>
            </w:pPr>
            <w:r>
              <w:t>n</w:t>
            </w:r>
            <w:r w:rsidRPr="000F78B9">
              <w:t>=</w:t>
            </w:r>
            <w:r>
              <w:t>25</w:t>
            </w:r>
            <w:r w:rsidRPr="000F78B9">
              <w:t xml:space="preserve"> (Weighted</w:t>
            </w:r>
            <w:r>
              <w:t xml:space="preserve"> n</w:t>
            </w:r>
            <w:r w:rsidRPr="000F78B9">
              <w:t>=</w:t>
            </w:r>
            <w:r>
              <w:t>114</w:t>
            </w:r>
            <w:r w:rsidRPr="000F78B9">
              <w:t>)</w:t>
            </w:r>
          </w:p>
        </w:tc>
        <w:tc>
          <w:tcPr>
            <w:tcW w:w="2222" w:type="dxa"/>
            <w:gridSpan w:val="3"/>
            <w:tcBorders>
              <w:top w:val="single" w:sz="4" w:space="0" w:color="000000"/>
            </w:tcBorders>
          </w:tcPr>
          <w:p w14:paraId="4A7AFBAB" w14:textId="77777777" w:rsidR="007123C7" w:rsidRPr="000F78B9" w:rsidRDefault="007123C7" w:rsidP="00E82294">
            <w:pPr>
              <w:pStyle w:val="TableText"/>
              <w:jc w:val="center"/>
            </w:pPr>
            <w:r>
              <w:t>n</w:t>
            </w:r>
            <w:r w:rsidRPr="000F78B9">
              <w:t>=</w:t>
            </w:r>
            <w:r>
              <w:t xml:space="preserve">204 </w:t>
            </w:r>
            <w:r w:rsidRPr="000F78B9">
              <w:t xml:space="preserve">(Weighted </w:t>
            </w:r>
            <w:r>
              <w:t>n</w:t>
            </w:r>
            <w:r w:rsidRPr="000F78B9">
              <w:t>=</w:t>
            </w:r>
            <w:r>
              <w:t>1336</w:t>
            </w:r>
            <w:r w:rsidRPr="000F78B9">
              <w:t>)</w:t>
            </w:r>
          </w:p>
        </w:tc>
      </w:tr>
      <w:tr w:rsidR="0062434A" w:rsidRPr="0028066B" w14:paraId="701EADE0" w14:textId="77777777" w:rsidTr="0062434A">
        <w:trPr>
          <w:cantSplit/>
        </w:trPr>
        <w:tc>
          <w:tcPr>
            <w:tcW w:w="2630" w:type="dxa"/>
          </w:tcPr>
          <w:p w14:paraId="3ABD42FF" w14:textId="77777777" w:rsidR="007123C7" w:rsidRPr="0028066B" w:rsidRDefault="007123C7" w:rsidP="00E82294">
            <w:pPr>
              <w:pStyle w:val="TableText"/>
            </w:pPr>
            <w:r w:rsidRPr="0028066B">
              <w:t xml:space="preserve">Used ADF website </w:t>
            </w:r>
          </w:p>
        </w:tc>
        <w:tc>
          <w:tcPr>
            <w:tcW w:w="455" w:type="dxa"/>
          </w:tcPr>
          <w:p w14:paraId="09BFF127" w14:textId="77777777" w:rsidR="007123C7" w:rsidRPr="0028066B" w:rsidRDefault="007123C7" w:rsidP="00E82294">
            <w:pPr>
              <w:pStyle w:val="TableText"/>
              <w:jc w:val="right"/>
            </w:pPr>
            <w:r w:rsidRPr="0028066B">
              <w:t>9</w:t>
            </w:r>
          </w:p>
        </w:tc>
        <w:tc>
          <w:tcPr>
            <w:tcW w:w="775" w:type="dxa"/>
          </w:tcPr>
          <w:p w14:paraId="239327B5" w14:textId="77777777" w:rsidR="007123C7" w:rsidRPr="0028066B" w:rsidRDefault="007123C7" w:rsidP="00E82294">
            <w:pPr>
              <w:pStyle w:val="TableText"/>
              <w:jc w:val="right"/>
            </w:pPr>
            <w:r w:rsidRPr="0028066B">
              <w:t>58</w:t>
            </w:r>
          </w:p>
        </w:tc>
        <w:tc>
          <w:tcPr>
            <w:tcW w:w="994" w:type="dxa"/>
          </w:tcPr>
          <w:p w14:paraId="5F67099E" w14:textId="77777777" w:rsidR="007123C7" w:rsidRPr="0028066B" w:rsidRDefault="007123C7" w:rsidP="00E82294">
            <w:pPr>
              <w:pStyle w:val="TableText"/>
              <w:jc w:val="right"/>
            </w:pPr>
            <w:r w:rsidRPr="0028066B">
              <w:t>13.2 (6.5</w:t>
            </w:r>
            <w:r w:rsidR="0062434A">
              <w:t>, </w:t>
            </w:r>
            <w:r w:rsidRPr="0028066B">
              <w:t>24.9)</w:t>
            </w:r>
          </w:p>
        </w:tc>
        <w:tc>
          <w:tcPr>
            <w:tcW w:w="481" w:type="dxa"/>
          </w:tcPr>
          <w:p w14:paraId="0EE8DB74" w14:textId="77777777" w:rsidR="007123C7" w:rsidRPr="0028066B" w:rsidRDefault="007123C7" w:rsidP="00E82294">
            <w:pPr>
              <w:pStyle w:val="TableText"/>
              <w:jc w:val="right"/>
            </w:pPr>
            <w:r w:rsidRPr="0028066B">
              <w:t>75</w:t>
            </w:r>
          </w:p>
        </w:tc>
        <w:tc>
          <w:tcPr>
            <w:tcW w:w="747" w:type="dxa"/>
          </w:tcPr>
          <w:p w14:paraId="16379795" w14:textId="77777777" w:rsidR="007123C7" w:rsidRPr="0028066B" w:rsidRDefault="007123C7" w:rsidP="00E82294">
            <w:pPr>
              <w:pStyle w:val="TableText"/>
              <w:jc w:val="right"/>
            </w:pPr>
            <w:r w:rsidRPr="0028066B">
              <w:t>407</w:t>
            </w:r>
          </w:p>
        </w:tc>
        <w:tc>
          <w:tcPr>
            <w:tcW w:w="994" w:type="dxa"/>
          </w:tcPr>
          <w:p w14:paraId="6DBEE992" w14:textId="77777777" w:rsidR="007123C7" w:rsidRPr="0028066B" w:rsidRDefault="007123C7" w:rsidP="00E82294">
            <w:pPr>
              <w:pStyle w:val="TableText"/>
              <w:jc w:val="right"/>
            </w:pPr>
            <w:r w:rsidRPr="0028066B">
              <w:t>14.5 (11.2</w:t>
            </w:r>
            <w:r w:rsidR="0062434A">
              <w:t>, </w:t>
            </w:r>
            <w:r w:rsidRPr="0028066B">
              <w:t>18.5)</w:t>
            </w:r>
          </w:p>
        </w:tc>
        <w:tc>
          <w:tcPr>
            <w:tcW w:w="509" w:type="dxa"/>
          </w:tcPr>
          <w:p w14:paraId="501379F4" w14:textId="77777777" w:rsidR="007123C7" w:rsidRPr="0028066B" w:rsidRDefault="007123C7" w:rsidP="00E82294">
            <w:pPr>
              <w:pStyle w:val="TableText"/>
              <w:jc w:val="right"/>
            </w:pPr>
            <w:r w:rsidRPr="0028066B">
              <w:t>8</w:t>
            </w:r>
          </w:p>
        </w:tc>
        <w:tc>
          <w:tcPr>
            <w:tcW w:w="810" w:type="dxa"/>
          </w:tcPr>
          <w:p w14:paraId="163A5F7C" w14:textId="77777777" w:rsidR="007123C7" w:rsidRPr="0028066B" w:rsidRDefault="007123C7" w:rsidP="00E82294">
            <w:pPr>
              <w:pStyle w:val="TableText"/>
              <w:jc w:val="right"/>
            </w:pPr>
            <w:r w:rsidRPr="0028066B">
              <w:t>30</w:t>
            </w:r>
          </w:p>
        </w:tc>
        <w:tc>
          <w:tcPr>
            <w:tcW w:w="903" w:type="dxa"/>
          </w:tcPr>
          <w:p w14:paraId="586DC35B" w14:textId="77777777" w:rsidR="007123C7" w:rsidRPr="0028066B" w:rsidRDefault="007123C7" w:rsidP="00E82294">
            <w:pPr>
              <w:pStyle w:val="TableText"/>
              <w:jc w:val="right"/>
            </w:pPr>
            <w:r w:rsidRPr="0028066B">
              <w:t>25.9 (10.1</w:t>
            </w:r>
            <w:r w:rsidR="0062434A">
              <w:t>, </w:t>
            </w:r>
            <w:r w:rsidRPr="0028066B">
              <w:t>52.3)</w:t>
            </w:r>
          </w:p>
        </w:tc>
        <w:tc>
          <w:tcPr>
            <w:tcW w:w="447" w:type="dxa"/>
          </w:tcPr>
          <w:p w14:paraId="05EC5374" w14:textId="77777777" w:rsidR="007123C7" w:rsidRPr="0028066B" w:rsidRDefault="007123C7" w:rsidP="00E82294">
            <w:pPr>
              <w:pStyle w:val="TableText"/>
              <w:jc w:val="right"/>
            </w:pPr>
            <w:r w:rsidRPr="0028066B">
              <w:t>68</w:t>
            </w:r>
          </w:p>
        </w:tc>
        <w:tc>
          <w:tcPr>
            <w:tcW w:w="781" w:type="dxa"/>
          </w:tcPr>
          <w:p w14:paraId="564A3100" w14:textId="77777777" w:rsidR="007123C7" w:rsidRPr="0028066B" w:rsidRDefault="007123C7" w:rsidP="00E82294">
            <w:pPr>
              <w:pStyle w:val="TableText"/>
              <w:jc w:val="right"/>
            </w:pPr>
            <w:r w:rsidRPr="0028066B">
              <w:t>460</w:t>
            </w:r>
          </w:p>
        </w:tc>
        <w:tc>
          <w:tcPr>
            <w:tcW w:w="994" w:type="dxa"/>
          </w:tcPr>
          <w:p w14:paraId="7746BF1D" w14:textId="77777777" w:rsidR="007123C7" w:rsidRPr="0028066B" w:rsidRDefault="007123C7" w:rsidP="00E82294">
            <w:pPr>
              <w:pStyle w:val="TableText"/>
              <w:jc w:val="right"/>
            </w:pPr>
            <w:r w:rsidRPr="0028066B">
              <w:t>34.4 (16.6</w:t>
            </w:r>
            <w:r w:rsidR="0062434A">
              <w:t>, </w:t>
            </w:r>
            <w:r w:rsidRPr="0028066B">
              <w:t>58.1)</w:t>
            </w:r>
          </w:p>
        </w:tc>
      </w:tr>
      <w:tr w:rsidR="0062434A" w:rsidRPr="0028066B" w14:paraId="0E7AEE95"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64014B68"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20B6B750" w14:textId="77777777" w:rsidR="007123C7" w:rsidRPr="0028066B" w:rsidRDefault="007123C7" w:rsidP="00E82294">
            <w:pPr>
              <w:pStyle w:val="TableText"/>
              <w:jc w:val="right"/>
            </w:pPr>
            <w:r w:rsidRPr="0028066B">
              <w:t>60</w:t>
            </w:r>
          </w:p>
        </w:tc>
        <w:tc>
          <w:tcPr>
            <w:tcW w:w="775" w:type="dxa"/>
            <w:tcBorders>
              <w:bottom w:val="single" w:sz="4" w:space="0" w:color="000000"/>
            </w:tcBorders>
          </w:tcPr>
          <w:p w14:paraId="1CA34C6F" w14:textId="77777777" w:rsidR="007123C7" w:rsidRPr="0028066B" w:rsidRDefault="007123C7" w:rsidP="00E82294">
            <w:pPr>
              <w:pStyle w:val="TableText"/>
              <w:jc w:val="right"/>
            </w:pPr>
            <w:r w:rsidRPr="0028066B">
              <w:t>381</w:t>
            </w:r>
          </w:p>
        </w:tc>
        <w:tc>
          <w:tcPr>
            <w:tcW w:w="994" w:type="dxa"/>
            <w:tcBorders>
              <w:bottom w:val="single" w:sz="4" w:space="0" w:color="000000"/>
            </w:tcBorders>
          </w:tcPr>
          <w:p w14:paraId="3FB80608" w14:textId="77777777" w:rsidR="007123C7" w:rsidRPr="0028066B" w:rsidRDefault="007123C7" w:rsidP="00E82294">
            <w:pPr>
              <w:pStyle w:val="TableText"/>
              <w:jc w:val="right"/>
            </w:pPr>
            <w:r w:rsidRPr="0028066B">
              <w:t>86.8 (75.1</w:t>
            </w:r>
            <w:r w:rsidR="0062434A">
              <w:t>, </w:t>
            </w:r>
            <w:r w:rsidRPr="0028066B">
              <w:t>93.5)</w:t>
            </w:r>
          </w:p>
        </w:tc>
        <w:tc>
          <w:tcPr>
            <w:tcW w:w="481" w:type="dxa"/>
            <w:tcBorders>
              <w:bottom w:val="single" w:sz="4" w:space="0" w:color="000000"/>
            </w:tcBorders>
          </w:tcPr>
          <w:p w14:paraId="11CC343B" w14:textId="77777777" w:rsidR="007123C7" w:rsidRPr="0028066B" w:rsidRDefault="007123C7" w:rsidP="00E82294">
            <w:pPr>
              <w:pStyle w:val="TableText"/>
              <w:jc w:val="right"/>
            </w:pPr>
            <w:r w:rsidRPr="0028066B">
              <w:t>366</w:t>
            </w:r>
          </w:p>
        </w:tc>
        <w:tc>
          <w:tcPr>
            <w:tcW w:w="747" w:type="dxa"/>
            <w:tcBorders>
              <w:bottom w:val="single" w:sz="4" w:space="0" w:color="000000"/>
            </w:tcBorders>
          </w:tcPr>
          <w:p w14:paraId="61FC6E4F" w14:textId="77777777" w:rsidR="007123C7" w:rsidRPr="0028066B" w:rsidRDefault="007123C7" w:rsidP="00E82294">
            <w:pPr>
              <w:pStyle w:val="TableText"/>
              <w:jc w:val="right"/>
            </w:pPr>
            <w:r w:rsidRPr="0028066B">
              <w:t>2404</w:t>
            </w:r>
          </w:p>
        </w:tc>
        <w:tc>
          <w:tcPr>
            <w:tcW w:w="994" w:type="dxa"/>
            <w:tcBorders>
              <w:bottom w:val="single" w:sz="4" w:space="0" w:color="000000"/>
            </w:tcBorders>
          </w:tcPr>
          <w:p w14:paraId="2C20B35A" w14:textId="77777777" w:rsidR="007123C7" w:rsidRPr="0028066B" w:rsidRDefault="007123C7" w:rsidP="00E82294">
            <w:pPr>
              <w:pStyle w:val="TableText"/>
              <w:jc w:val="right"/>
            </w:pPr>
            <w:r w:rsidRPr="0028066B">
              <w:t>85.5 (81.5</w:t>
            </w:r>
            <w:r w:rsidR="0062434A">
              <w:t>, </w:t>
            </w:r>
            <w:r w:rsidRPr="0028066B">
              <w:t>88.8)</w:t>
            </w:r>
          </w:p>
        </w:tc>
        <w:tc>
          <w:tcPr>
            <w:tcW w:w="509" w:type="dxa"/>
            <w:tcBorders>
              <w:bottom w:val="single" w:sz="4" w:space="0" w:color="000000"/>
            </w:tcBorders>
          </w:tcPr>
          <w:p w14:paraId="7D8D57B0" w14:textId="77777777" w:rsidR="007123C7" w:rsidRPr="0028066B" w:rsidRDefault="007123C7" w:rsidP="00E82294">
            <w:pPr>
              <w:pStyle w:val="TableText"/>
              <w:jc w:val="right"/>
            </w:pPr>
            <w:r w:rsidRPr="0028066B">
              <w:t>17</w:t>
            </w:r>
          </w:p>
        </w:tc>
        <w:tc>
          <w:tcPr>
            <w:tcW w:w="810" w:type="dxa"/>
            <w:tcBorders>
              <w:bottom w:val="single" w:sz="4" w:space="0" w:color="000000"/>
            </w:tcBorders>
          </w:tcPr>
          <w:p w14:paraId="3269EC88" w14:textId="77777777" w:rsidR="007123C7" w:rsidRPr="0028066B" w:rsidRDefault="007123C7" w:rsidP="00E82294">
            <w:pPr>
              <w:pStyle w:val="TableText"/>
              <w:jc w:val="right"/>
            </w:pPr>
            <w:r w:rsidRPr="0028066B">
              <w:t>85</w:t>
            </w:r>
          </w:p>
        </w:tc>
        <w:tc>
          <w:tcPr>
            <w:tcW w:w="903" w:type="dxa"/>
            <w:tcBorders>
              <w:bottom w:val="single" w:sz="4" w:space="0" w:color="000000"/>
            </w:tcBorders>
          </w:tcPr>
          <w:p w14:paraId="24A3DEF8" w14:textId="77777777" w:rsidR="007123C7" w:rsidRPr="0028066B" w:rsidRDefault="007123C7" w:rsidP="00E82294">
            <w:pPr>
              <w:pStyle w:val="TableText"/>
              <w:jc w:val="right"/>
            </w:pPr>
            <w:r w:rsidRPr="0028066B">
              <w:t>74.1 (47.7</w:t>
            </w:r>
            <w:r w:rsidR="0062434A">
              <w:t>, </w:t>
            </w:r>
            <w:r w:rsidRPr="0028066B">
              <w:t>89.9)</w:t>
            </w:r>
          </w:p>
        </w:tc>
        <w:tc>
          <w:tcPr>
            <w:tcW w:w="447" w:type="dxa"/>
            <w:tcBorders>
              <w:bottom w:val="single" w:sz="4" w:space="0" w:color="000000"/>
            </w:tcBorders>
          </w:tcPr>
          <w:p w14:paraId="3DADA776" w14:textId="77777777" w:rsidR="007123C7" w:rsidRPr="0028066B" w:rsidRDefault="007123C7" w:rsidP="00E82294">
            <w:pPr>
              <w:pStyle w:val="TableText"/>
              <w:jc w:val="right"/>
            </w:pPr>
            <w:r w:rsidRPr="0028066B">
              <w:t>136</w:t>
            </w:r>
          </w:p>
        </w:tc>
        <w:tc>
          <w:tcPr>
            <w:tcW w:w="781" w:type="dxa"/>
            <w:tcBorders>
              <w:bottom w:val="single" w:sz="4" w:space="0" w:color="000000"/>
            </w:tcBorders>
          </w:tcPr>
          <w:p w14:paraId="49FE2BC3" w14:textId="77777777" w:rsidR="007123C7" w:rsidRPr="0028066B" w:rsidRDefault="007123C7" w:rsidP="00E82294">
            <w:pPr>
              <w:pStyle w:val="TableText"/>
              <w:jc w:val="right"/>
            </w:pPr>
            <w:r w:rsidRPr="0028066B">
              <w:t>876</w:t>
            </w:r>
          </w:p>
        </w:tc>
        <w:tc>
          <w:tcPr>
            <w:tcW w:w="994" w:type="dxa"/>
            <w:tcBorders>
              <w:bottom w:val="single" w:sz="4" w:space="0" w:color="000000"/>
            </w:tcBorders>
          </w:tcPr>
          <w:p w14:paraId="36E1C623" w14:textId="77777777" w:rsidR="007123C7" w:rsidRPr="0028066B" w:rsidRDefault="007123C7" w:rsidP="00E82294">
            <w:pPr>
              <w:pStyle w:val="TableText"/>
              <w:jc w:val="right"/>
            </w:pPr>
            <w:r w:rsidRPr="0028066B">
              <w:t>65.6 (41.9</w:t>
            </w:r>
            <w:r w:rsidR="0062434A">
              <w:t>, </w:t>
            </w:r>
            <w:r w:rsidRPr="0028066B">
              <w:t>83.4)</w:t>
            </w:r>
          </w:p>
        </w:tc>
      </w:tr>
      <w:tr w:rsidR="007123C7" w:rsidRPr="000F78B9" w14:paraId="40FFDAB0" w14:textId="77777777" w:rsidTr="0062434A">
        <w:trPr>
          <w:cantSplit/>
        </w:trPr>
        <w:tc>
          <w:tcPr>
            <w:tcW w:w="2630" w:type="dxa"/>
            <w:tcBorders>
              <w:top w:val="single" w:sz="4" w:space="0" w:color="000000"/>
              <w:bottom w:val="nil"/>
            </w:tcBorders>
          </w:tcPr>
          <w:p w14:paraId="1D1F70A5" w14:textId="77777777" w:rsidR="007123C7" w:rsidRPr="0028066B" w:rsidRDefault="007123C7" w:rsidP="00E82294">
            <w:pPr>
              <w:pStyle w:val="TableText"/>
              <w:rPr>
                <w:b/>
                <w:bCs/>
                <w:color w:val="000000" w:themeColor="text1"/>
              </w:rPr>
            </w:pPr>
            <w:r w:rsidRPr="001277D4">
              <w:rPr>
                <w:b/>
              </w:rPr>
              <w:t>Probable anxiety/depression (K10)</w:t>
            </w:r>
          </w:p>
        </w:tc>
        <w:tc>
          <w:tcPr>
            <w:tcW w:w="2224" w:type="dxa"/>
            <w:gridSpan w:val="3"/>
            <w:tcBorders>
              <w:top w:val="single" w:sz="4" w:space="0" w:color="000000"/>
              <w:bottom w:val="nil"/>
            </w:tcBorders>
          </w:tcPr>
          <w:p w14:paraId="5A312B5A" w14:textId="77777777" w:rsidR="007123C7" w:rsidRPr="000F78B9" w:rsidRDefault="007123C7" w:rsidP="00E82294">
            <w:pPr>
              <w:pStyle w:val="TableText"/>
              <w:jc w:val="center"/>
            </w:pPr>
            <w:r>
              <w:t>n</w:t>
            </w:r>
            <w:r w:rsidRPr="000F78B9">
              <w:t>=</w:t>
            </w:r>
            <w:r>
              <w:t>213</w:t>
            </w:r>
            <w:r w:rsidRPr="000F78B9">
              <w:t xml:space="preserve"> (Weighted</w:t>
            </w:r>
            <w:r>
              <w:t xml:space="preserve"> n</w:t>
            </w:r>
            <w:r w:rsidRPr="000F78B9">
              <w:t>=</w:t>
            </w:r>
            <w:r>
              <w:t>1420</w:t>
            </w:r>
            <w:r w:rsidRPr="000F78B9">
              <w:t>)</w:t>
            </w:r>
          </w:p>
        </w:tc>
        <w:tc>
          <w:tcPr>
            <w:tcW w:w="2222" w:type="dxa"/>
            <w:gridSpan w:val="3"/>
            <w:tcBorders>
              <w:top w:val="single" w:sz="4" w:space="0" w:color="000000"/>
              <w:bottom w:val="nil"/>
            </w:tcBorders>
          </w:tcPr>
          <w:p w14:paraId="2B590B7D" w14:textId="77777777" w:rsidR="007123C7" w:rsidRPr="000F78B9" w:rsidRDefault="007123C7" w:rsidP="00E82294">
            <w:pPr>
              <w:pStyle w:val="TableText"/>
              <w:jc w:val="center"/>
            </w:pPr>
            <w:r>
              <w:t>n=766</w:t>
            </w:r>
            <w:r w:rsidRPr="000F78B9">
              <w:t xml:space="preserve"> (Weighted </w:t>
            </w:r>
            <w:r>
              <w:t>n</w:t>
            </w:r>
            <w:r w:rsidRPr="000F78B9">
              <w:t>=</w:t>
            </w:r>
            <w:r>
              <w:t>5350</w:t>
            </w:r>
            <w:r w:rsidRPr="000F78B9">
              <w:t>)</w:t>
            </w:r>
          </w:p>
        </w:tc>
        <w:tc>
          <w:tcPr>
            <w:tcW w:w="2222" w:type="dxa"/>
            <w:gridSpan w:val="3"/>
            <w:tcBorders>
              <w:top w:val="single" w:sz="4" w:space="0" w:color="000000"/>
              <w:bottom w:val="nil"/>
            </w:tcBorders>
          </w:tcPr>
          <w:p w14:paraId="121A948D" w14:textId="77777777" w:rsidR="007123C7" w:rsidRPr="000F78B9" w:rsidRDefault="007123C7" w:rsidP="00E82294">
            <w:pPr>
              <w:pStyle w:val="TableText"/>
              <w:jc w:val="center"/>
            </w:pPr>
            <w:r>
              <w:t>n</w:t>
            </w:r>
            <w:r w:rsidRPr="000F78B9">
              <w:t>=</w:t>
            </w:r>
            <w:r>
              <w:t>253</w:t>
            </w:r>
            <w:r w:rsidRPr="000F78B9">
              <w:t xml:space="preserve"> (Weighted</w:t>
            </w:r>
            <w:r>
              <w:t xml:space="preserve"> n</w:t>
            </w:r>
            <w:r w:rsidRPr="000F78B9">
              <w:t>=</w:t>
            </w:r>
            <w:r>
              <w:t>2504</w:t>
            </w:r>
            <w:r w:rsidRPr="000F78B9">
              <w:t>)</w:t>
            </w:r>
          </w:p>
        </w:tc>
        <w:tc>
          <w:tcPr>
            <w:tcW w:w="2222" w:type="dxa"/>
            <w:gridSpan w:val="3"/>
            <w:tcBorders>
              <w:top w:val="single" w:sz="4" w:space="0" w:color="000000"/>
              <w:bottom w:val="nil"/>
            </w:tcBorders>
          </w:tcPr>
          <w:p w14:paraId="20C1AC68" w14:textId="77777777" w:rsidR="007123C7" w:rsidRPr="000F78B9" w:rsidRDefault="007123C7" w:rsidP="00E82294">
            <w:pPr>
              <w:pStyle w:val="TableText"/>
              <w:jc w:val="center"/>
            </w:pPr>
            <w:r>
              <w:t>n</w:t>
            </w:r>
            <w:r w:rsidRPr="000F78B9">
              <w:t>=</w:t>
            </w:r>
            <w:r>
              <w:t xml:space="preserve">678 </w:t>
            </w:r>
            <w:r w:rsidRPr="000F78B9">
              <w:t xml:space="preserve">(Weighted </w:t>
            </w:r>
            <w:r>
              <w:t>n</w:t>
            </w:r>
            <w:r w:rsidRPr="000F78B9">
              <w:t>=</w:t>
            </w:r>
            <w:r>
              <w:t>4882</w:t>
            </w:r>
            <w:r w:rsidRPr="000F78B9">
              <w:t>)</w:t>
            </w:r>
          </w:p>
        </w:tc>
      </w:tr>
      <w:tr w:rsidR="0062434A" w:rsidRPr="0028066B" w14:paraId="76535B01"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327561AA" w14:textId="77777777" w:rsidR="007123C7" w:rsidRPr="0028066B" w:rsidRDefault="007123C7" w:rsidP="00E82294">
            <w:pPr>
              <w:pStyle w:val="TableText"/>
            </w:pPr>
            <w:r w:rsidRPr="0028066B">
              <w:t xml:space="preserve">Used ADF website </w:t>
            </w:r>
          </w:p>
        </w:tc>
        <w:tc>
          <w:tcPr>
            <w:tcW w:w="455" w:type="dxa"/>
            <w:tcBorders>
              <w:top w:val="nil"/>
            </w:tcBorders>
          </w:tcPr>
          <w:p w14:paraId="5C30746C" w14:textId="77777777" w:rsidR="007123C7" w:rsidRPr="0028066B" w:rsidRDefault="007123C7" w:rsidP="00E82294">
            <w:pPr>
              <w:pStyle w:val="TableText"/>
              <w:jc w:val="right"/>
            </w:pPr>
            <w:r w:rsidRPr="0028066B">
              <w:t>28</w:t>
            </w:r>
          </w:p>
        </w:tc>
        <w:tc>
          <w:tcPr>
            <w:tcW w:w="775" w:type="dxa"/>
            <w:tcBorders>
              <w:top w:val="nil"/>
            </w:tcBorders>
          </w:tcPr>
          <w:p w14:paraId="49EF3FE1" w14:textId="77777777" w:rsidR="007123C7" w:rsidRPr="0028066B" w:rsidRDefault="007123C7" w:rsidP="00E82294">
            <w:pPr>
              <w:pStyle w:val="TableText"/>
              <w:jc w:val="right"/>
            </w:pPr>
            <w:r w:rsidRPr="0028066B">
              <w:t>194</w:t>
            </w:r>
          </w:p>
        </w:tc>
        <w:tc>
          <w:tcPr>
            <w:tcW w:w="994" w:type="dxa"/>
            <w:tcBorders>
              <w:top w:val="nil"/>
            </w:tcBorders>
          </w:tcPr>
          <w:p w14:paraId="7A72831C" w14:textId="77777777" w:rsidR="007123C7" w:rsidRPr="0028066B" w:rsidRDefault="007123C7" w:rsidP="00E82294">
            <w:pPr>
              <w:pStyle w:val="TableText"/>
              <w:jc w:val="right"/>
            </w:pPr>
            <w:r w:rsidRPr="0028066B">
              <w:t>13.6 (8.9</w:t>
            </w:r>
            <w:r w:rsidR="0062434A">
              <w:t>, </w:t>
            </w:r>
            <w:r w:rsidRPr="0028066B">
              <w:t>20.4)</w:t>
            </w:r>
          </w:p>
        </w:tc>
        <w:tc>
          <w:tcPr>
            <w:tcW w:w="481" w:type="dxa"/>
            <w:tcBorders>
              <w:top w:val="nil"/>
            </w:tcBorders>
          </w:tcPr>
          <w:p w14:paraId="161CCA5A" w14:textId="77777777" w:rsidR="007123C7" w:rsidRPr="0028066B" w:rsidRDefault="007123C7" w:rsidP="00E82294">
            <w:pPr>
              <w:pStyle w:val="TableText"/>
              <w:jc w:val="right"/>
            </w:pPr>
            <w:r w:rsidRPr="0028066B">
              <w:t>104</w:t>
            </w:r>
          </w:p>
        </w:tc>
        <w:tc>
          <w:tcPr>
            <w:tcW w:w="747" w:type="dxa"/>
            <w:tcBorders>
              <w:top w:val="nil"/>
            </w:tcBorders>
          </w:tcPr>
          <w:p w14:paraId="698B97DD" w14:textId="77777777" w:rsidR="007123C7" w:rsidRPr="0028066B" w:rsidRDefault="007123C7" w:rsidP="00E82294">
            <w:pPr>
              <w:pStyle w:val="TableText"/>
              <w:jc w:val="right"/>
            </w:pPr>
            <w:r w:rsidRPr="0028066B">
              <w:t>586</w:t>
            </w:r>
          </w:p>
        </w:tc>
        <w:tc>
          <w:tcPr>
            <w:tcW w:w="994" w:type="dxa"/>
            <w:tcBorders>
              <w:top w:val="nil"/>
            </w:tcBorders>
          </w:tcPr>
          <w:p w14:paraId="2B4DE9D4" w14:textId="77777777" w:rsidR="007123C7" w:rsidRPr="0028066B" w:rsidRDefault="007123C7" w:rsidP="00E82294">
            <w:pPr>
              <w:pStyle w:val="TableText"/>
              <w:jc w:val="right"/>
            </w:pPr>
            <w:r w:rsidRPr="0028066B">
              <w:t>10.9 (8.7</w:t>
            </w:r>
            <w:r w:rsidR="0062434A">
              <w:t>, </w:t>
            </w:r>
            <w:r w:rsidRPr="0028066B">
              <w:t>13.6)</w:t>
            </w:r>
          </w:p>
        </w:tc>
        <w:tc>
          <w:tcPr>
            <w:tcW w:w="509" w:type="dxa"/>
            <w:tcBorders>
              <w:top w:val="nil"/>
            </w:tcBorders>
          </w:tcPr>
          <w:p w14:paraId="67103D1C" w14:textId="77777777" w:rsidR="007123C7" w:rsidRPr="0028066B" w:rsidRDefault="007123C7" w:rsidP="00E82294">
            <w:pPr>
              <w:pStyle w:val="TableText"/>
              <w:jc w:val="right"/>
            </w:pPr>
            <w:r w:rsidRPr="0028066B">
              <w:t>50</w:t>
            </w:r>
          </w:p>
        </w:tc>
        <w:tc>
          <w:tcPr>
            <w:tcW w:w="810" w:type="dxa"/>
            <w:tcBorders>
              <w:top w:val="nil"/>
            </w:tcBorders>
          </w:tcPr>
          <w:p w14:paraId="750545DE" w14:textId="77777777" w:rsidR="007123C7" w:rsidRPr="0028066B" w:rsidRDefault="007123C7" w:rsidP="00E82294">
            <w:pPr>
              <w:pStyle w:val="TableText"/>
              <w:jc w:val="right"/>
            </w:pPr>
            <w:r w:rsidRPr="0028066B">
              <w:t>639</w:t>
            </w:r>
          </w:p>
        </w:tc>
        <w:tc>
          <w:tcPr>
            <w:tcW w:w="903" w:type="dxa"/>
            <w:tcBorders>
              <w:top w:val="nil"/>
            </w:tcBorders>
          </w:tcPr>
          <w:p w14:paraId="665648A9" w14:textId="77777777" w:rsidR="007123C7" w:rsidRPr="0028066B" w:rsidRDefault="007123C7" w:rsidP="00E82294">
            <w:pPr>
              <w:pStyle w:val="TableText"/>
              <w:jc w:val="right"/>
            </w:pPr>
            <w:r w:rsidRPr="0028066B">
              <w:t>25.5 (12.0</w:t>
            </w:r>
            <w:r w:rsidR="0062434A">
              <w:t>, </w:t>
            </w:r>
            <w:r w:rsidRPr="0028066B">
              <w:t>46.2)</w:t>
            </w:r>
          </w:p>
        </w:tc>
        <w:tc>
          <w:tcPr>
            <w:tcW w:w="447" w:type="dxa"/>
            <w:tcBorders>
              <w:top w:val="nil"/>
            </w:tcBorders>
          </w:tcPr>
          <w:p w14:paraId="172E74B5" w14:textId="77777777" w:rsidR="007123C7" w:rsidRPr="0028066B" w:rsidRDefault="007123C7" w:rsidP="00E82294">
            <w:pPr>
              <w:pStyle w:val="TableText"/>
              <w:jc w:val="right"/>
            </w:pPr>
            <w:r w:rsidRPr="0028066B">
              <w:t>165</w:t>
            </w:r>
          </w:p>
        </w:tc>
        <w:tc>
          <w:tcPr>
            <w:tcW w:w="781" w:type="dxa"/>
            <w:tcBorders>
              <w:top w:val="nil"/>
            </w:tcBorders>
          </w:tcPr>
          <w:p w14:paraId="6C3FFA26" w14:textId="77777777" w:rsidR="007123C7" w:rsidRPr="0028066B" w:rsidRDefault="007123C7" w:rsidP="00E82294">
            <w:pPr>
              <w:pStyle w:val="TableText"/>
              <w:jc w:val="right"/>
            </w:pPr>
            <w:r w:rsidRPr="0028066B">
              <w:t>834</w:t>
            </w:r>
          </w:p>
        </w:tc>
        <w:tc>
          <w:tcPr>
            <w:tcW w:w="994" w:type="dxa"/>
            <w:tcBorders>
              <w:top w:val="nil"/>
            </w:tcBorders>
          </w:tcPr>
          <w:p w14:paraId="6D6C7F0F" w14:textId="77777777" w:rsidR="007123C7" w:rsidRPr="0028066B" w:rsidRDefault="007123C7" w:rsidP="00E82294">
            <w:pPr>
              <w:pStyle w:val="TableText"/>
              <w:jc w:val="right"/>
            </w:pPr>
            <w:r w:rsidRPr="0028066B">
              <w:t>17.1 (10.6</w:t>
            </w:r>
            <w:r w:rsidR="0062434A">
              <w:t>, </w:t>
            </w:r>
            <w:r w:rsidRPr="0028066B">
              <w:t>26.4)</w:t>
            </w:r>
          </w:p>
        </w:tc>
      </w:tr>
      <w:tr w:rsidR="0062434A" w:rsidRPr="0028066B" w14:paraId="24B53542" w14:textId="77777777" w:rsidTr="0062434A">
        <w:trPr>
          <w:cantSplit/>
        </w:trPr>
        <w:tc>
          <w:tcPr>
            <w:tcW w:w="2630" w:type="dxa"/>
            <w:tcBorders>
              <w:bottom w:val="single" w:sz="4" w:space="0" w:color="000000"/>
            </w:tcBorders>
          </w:tcPr>
          <w:p w14:paraId="76D73F9A"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3AAFFC18" w14:textId="77777777" w:rsidR="007123C7" w:rsidRPr="0028066B" w:rsidRDefault="007123C7" w:rsidP="00E82294">
            <w:pPr>
              <w:pStyle w:val="TableText"/>
              <w:jc w:val="right"/>
            </w:pPr>
            <w:r w:rsidRPr="0028066B">
              <w:t>185</w:t>
            </w:r>
          </w:p>
        </w:tc>
        <w:tc>
          <w:tcPr>
            <w:tcW w:w="775" w:type="dxa"/>
            <w:tcBorders>
              <w:bottom w:val="single" w:sz="4" w:space="0" w:color="000000"/>
            </w:tcBorders>
          </w:tcPr>
          <w:p w14:paraId="0C66F605" w14:textId="77777777" w:rsidR="007123C7" w:rsidRPr="0028066B" w:rsidRDefault="007123C7" w:rsidP="00E82294">
            <w:pPr>
              <w:pStyle w:val="TableText"/>
              <w:jc w:val="right"/>
            </w:pPr>
            <w:r w:rsidRPr="0028066B">
              <w:t>1227</w:t>
            </w:r>
          </w:p>
        </w:tc>
        <w:tc>
          <w:tcPr>
            <w:tcW w:w="994" w:type="dxa"/>
            <w:tcBorders>
              <w:bottom w:val="single" w:sz="4" w:space="0" w:color="000000"/>
            </w:tcBorders>
          </w:tcPr>
          <w:p w14:paraId="64F8D45D" w14:textId="77777777" w:rsidR="007123C7" w:rsidRPr="0028066B" w:rsidRDefault="007123C7" w:rsidP="00E82294">
            <w:pPr>
              <w:pStyle w:val="TableText"/>
              <w:jc w:val="right"/>
            </w:pPr>
            <w:r w:rsidRPr="0028066B">
              <w:t>86.4 (79.6</w:t>
            </w:r>
            <w:r w:rsidR="0062434A">
              <w:t>, </w:t>
            </w:r>
            <w:r w:rsidRPr="0028066B">
              <w:t>91.1)</w:t>
            </w:r>
          </w:p>
        </w:tc>
        <w:tc>
          <w:tcPr>
            <w:tcW w:w="481" w:type="dxa"/>
            <w:tcBorders>
              <w:bottom w:val="single" w:sz="4" w:space="0" w:color="000000"/>
            </w:tcBorders>
          </w:tcPr>
          <w:p w14:paraId="38F7D69E" w14:textId="77777777" w:rsidR="007123C7" w:rsidRPr="0028066B" w:rsidRDefault="007123C7" w:rsidP="00E82294">
            <w:pPr>
              <w:pStyle w:val="TableText"/>
              <w:jc w:val="right"/>
            </w:pPr>
            <w:r w:rsidRPr="0028066B">
              <w:t>662</w:t>
            </w:r>
          </w:p>
        </w:tc>
        <w:tc>
          <w:tcPr>
            <w:tcW w:w="747" w:type="dxa"/>
            <w:tcBorders>
              <w:bottom w:val="single" w:sz="4" w:space="0" w:color="000000"/>
            </w:tcBorders>
          </w:tcPr>
          <w:p w14:paraId="16F13548" w14:textId="77777777" w:rsidR="007123C7" w:rsidRPr="0028066B" w:rsidRDefault="007123C7" w:rsidP="00E82294">
            <w:pPr>
              <w:pStyle w:val="TableText"/>
              <w:jc w:val="right"/>
            </w:pPr>
            <w:r w:rsidRPr="0028066B">
              <w:t>4764</w:t>
            </w:r>
          </w:p>
        </w:tc>
        <w:tc>
          <w:tcPr>
            <w:tcW w:w="994" w:type="dxa"/>
            <w:tcBorders>
              <w:bottom w:val="single" w:sz="4" w:space="0" w:color="000000"/>
            </w:tcBorders>
          </w:tcPr>
          <w:p w14:paraId="3E95C261" w14:textId="77777777" w:rsidR="007123C7" w:rsidRPr="0028066B" w:rsidRDefault="007123C7" w:rsidP="00E82294">
            <w:pPr>
              <w:pStyle w:val="TableText"/>
              <w:jc w:val="right"/>
            </w:pPr>
            <w:r w:rsidRPr="0028066B">
              <w:t>89.1 (86.4</w:t>
            </w:r>
            <w:r w:rsidR="0062434A">
              <w:t>, </w:t>
            </w:r>
            <w:r w:rsidRPr="0028066B">
              <w:t>91.3)</w:t>
            </w:r>
          </w:p>
        </w:tc>
        <w:tc>
          <w:tcPr>
            <w:tcW w:w="509" w:type="dxa"/>
            <w:tcBorders>
              <w:bottom w:val="single" w:sz="4" w:space="0" w:color="000000"/>
            </w:tcBorders>
          </w:tcPr>
          <w:p w14:paraId="124ED80F" w14:textId="77777777" w:rsidR="007123C7" w:rsidRPr="0028066B" w:rsidRDefault="007123C7" w:rsidP="00E82294">
            <w:pPr>
              <w:pStyle w:val="TableText"/>
              <w:jc w:val="right"/>
            </w:pPr>
            <w:r w:rsidRPr="0028066B">
              <w:t>203</w:t>
            </w:r>
          </w:p>
        </w:tc>
        <w:tc>
          <w:tcPr>
            <w:tcW w:w="810" w:type="dxa"/>
            <w:tcBorders>
              <w:bottom w:val="single" w:sz="4" w:space="0" w:color="000000"/>
            </w:tcBorders>
          </w:tcPr>
          <w:p w14:paraId="75C38299" w14:textId="77777777" w:rsidR="007123C7" w:rsidRPr="0028066B" w:rsidRDefault="007123C7" w:rsidP="00E82294">
            <w:pPr>
              <w:pStyle w:val="TableText"/>
              <w:jc w:val="right"/>
            </w:pPr>
            <w:r w:rsidRPr="0028066B">
              <w:t>1866</w:t>
            </w:r>
          </w:p>
        </w:tc>
        <w:tc>
          <w:tcPr>
            <w:tcW w:w="903" w:type="dxa"/>
            <w:tcBorders>
              <w:bottom w:val="single" w:sz="4" w:space="0" w:color="000000"/>
            </w:tcBorders>
          </w:tcPr>
          <w:p w14:paraId="68762EE7" w14:textId="77777777" w:rsidR="007123C7" w:rsidRPr="0028066B" w:rsidRDefault="007123C7" w:rsidP="00E82294">
            <w:pPr>
              <w:pStyle w:val="TableText"/>
              <w:jc w:val="right"/>
            </w:pPr>
            <w:r w:rsidRPr="0028066B">
              <w:t>74.5 (53.8</w:t>
            </w:r>
            <w:r w:rsidR="0062434A">
              <w:t>, </w:t>
            </w:r>
            <w:r w:rsidRPr="0028066B">
              <w:t>88.0)</w:t>
            </w:r>
          </w:p>
        </w:tc>
        <w:tc>
          <w:tcPr>
            <w:tcW w:w="447" w:type="dxa"/>
            <w:tcBorders>
              <w:bottom w:val="single" w:sz="4" w:space="0" w:color="000000"/>
            </w:tcBorders>
          </w:tcPr>
          <w:p w14:paraId="18F22F8F" w14:textId="77777777" w:rsidR="007123C7" w:rsidRPr="0028066B" w:rsidRDefault="007123C7" w:rsidP="00E82294">
            <w:pPr>
              <w:pStyle w:val="TableText"/>
              <w:jc w:val="right"/>
            </w:pPr>
            <w:r w:rsidRPr="0028066B">
              <w:t>513</w:t>
            </w:r>
          </w:p>
        </w:tc>
        <w:tc>
          <w:tcPr>
            <w:tcW w:w="781" w:type="dxa"/>
            <w:tcBorders>
              <w:bottom w:val="single" w:sz="4" w:space="0" w:color="000000"/>
            </w:tcBorders>
          </w:tcPr>
          <w:p w14:paraId="1E173A0C" w14:textId="77777777" w:rsidR="007123C7" w:rsidRPr="0028066B" w:rsidRDefault="007123C7" w:rsidP="00E82294">
            <w:pPr>
              <w:pStyle w:val="TableText"/>
              <w:jc w:val="right"/>
            </w:pPr>
            <w:r w:rsidRPr="0028066B">
              <w:t>4048</w:t>
            </w:r>
          </w:p>
        </w:tc>
        <w:tc>
          <w:tcPr>
            <w:tcW w:w="994" w:type="dxa"/>
            <w:tcBorders>
              <w:bottom w:val="single" w:sz="4" w:space="0" w:color="000000"/>
            </w:tcBorders>
          </w:tcPr>
          <w:p w14:paraId="7C1AA191" w14:textId="77777777" w:rsidR="007123C7" w:rsidRPr="0028066B" w:rsidRDefault="007123C7" w:rsidP="00E82294">
            <w:pPr>
              <w:pStyle w:val="TableText"/>
              <w:jc w:val="right"/>
            </w:pPr>
            <w:r w:rsidRPr="0028066B">
              <w:t>82.9 (73.6</w:t>
            </w:r>
            <w:r w:rsidR="0062434A">
              <w:t>, </w:t>
            </w:r>
            <w:r w:rsidRPr="0028066B">
              <w:t>89.4)</w:t>
            </w:r>
          </w:p>
        </w:tc>
      </w:tr>
      <w:tr w:rsidR="007123C7" w:rsidRPr="000F78B9" w14:paraId="6D4171B3"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bottom w:val="nil"/>
            </w:tcBorders>
          </w:tcPr>
          <w:p w14:paraId="56C8E8EF" w14:textId="77777777" w:rsidR="007123C7" w:rsidRPr="0028066B" w:rsidRDefault="007123C7" w:rsidP="00E82294">
            <w:pPr>
              <w:pStyle w:val="TableText"/>
              <w:rPr>
                <w:b/>
                <w:bCs/>
                <w:color w:val="000000" w:themeColor="text1"/>
              </w:rPr>
            </w:pPr>
            <w:r>
              <w:rPr>
                <w:b/>
              </w:rPr>
              <w:t>Probable alcohol u</w:t>
            </w:r>
            <w:r w:rsidRPr="0028066B">
              <w:rPr>
                <w:b/>
              </w:rPr>
              <w:t>se disorder (AUDIT)</w:t>
            </w:r>
          </w:p>
        </w:tc>
        <w:tc>
          <w:tcPr>
            <w:tcW w:w="2224" w:type="dxa"/>
            <w:gridSpan w:val="3"/>
            <w:tcBorders>
              <w:top w:val="single" w:sz="4" w:space="0" w:color="000000"/>
              <w:bottom w:val="nil"/>
            </w:tcBorders>
          </w:tcPr>
          <w:p w14:paraId="749D0F5C" w14:textId="77777777" w:rsidR="007123C7" w:rsidRPr="000F78B9" w:rsidRDefault="007123C7" w:rsidP="00E82294">
            <w:pPr>
              <w:pStyle w:val="TableText"/>
              <w:jc w:val="center"/>
            </w:pPr>
            <w:r>
              <w:t>n</w:t>
            </w:r>
            <w:r w:rsidRPr="000F78B9">
              <w:t>=</w:t>
            </w:r>
            <w:r>
              <w:t>35</w:t>
            </w:r>
            <w:r w:rsidRPr="000F78B9">
              <w:t xml:space="preserve"> (Weighted</w:t>
            </w:r>
            <w:r>
              <w:t xml:space="preserve"> n</w:t>
            </w:r>
            <w:r w:rsidRPr="000F78B9">
              <w:t>=</w:t>
            </w:r>
            <w:r>
              <w:t>242</w:t>
            </w:r>
            <w:r w:rsidRPr="000F78B9">
              <w:t>)</w:t>
            </w:r>
          </w:p>
        </w:tc>
        <w:tc>
          <w:tcPr>
            <w:tcW w:w="2222" w:type="dxa"/>
            <w:gridSpan w:val="3"/>
            <w:tcBorders>
              <w:top w:val="single" w:sz="4" w:space="0" w:color="000000"/>
              <w:bottom w:val="nil"/>
            </w:tcBorders>
          </w:tcPr>
          <w:p w14:paraId="486323E6" w14:textId="77777777" w:rsidR="007123C7" w:rsidRPr="000F78B9" w:rsidRDefault="007123C7" w:rsidP="00E82294">
            <w:pPr>
              <w:pStyle w:val="TableText"/>
              <w:jc w:val="center"/>
            </w:pPr>
            <w:r>
              <w:t>n=205</w:t>
            </w:r>
            <w:r w:rsidRPr="000F78B9">
              <w:t xml:space="preserve"> (Weighted </w:t>
            </w:r>
            <w:r>
              <w:t>n</w:t>
            </w:r>
            <w:r w:rsidRPr="000F78B9">
              <w:t>=</w:t>
            </w:r>
            <w:r>
              <w:t>1398</w:t>
            </w:r>
            <w:r w:rsidRPr="000F78B9">
              <w:t>)</w:t>
            </w:r>
          </w:p>
        </w:tc>
        <w:tc>
          <w:tcPr>
            <w:tcW w:w="2222" w:type="dxa"/>
            <w:gridSpan w:val="3"/>
            <w:tcBorders>
              <w:top w:val="single" w:sz="4" w:space="0" w:color="000000"/>
              <w:bottom w:val="nil"/>
            </w:tcBorders>
          </w:tcPr>
          <w:p w14:paraId="1E65028D" w14:textId="77777777" w:rsidR="007123C7" w:rsidRPr="000F78B9" w:rsidRDefault="007123C7" w:rsidP="00E82294">
            <w:pPr>
              <w:pStyle w:val="TableText"/>
              <w:jc w:val="center"/>
            </w:pPr>
            <w:r>
              <w:t>n</w:t>
            </w:r>
            <w:r w:rsidRPr="000F78B9">
              <w:t>=</w:t>
            </w:r>
            <w:r>
              <w:t>14</w:t>
            </w:r>
            <w:r w:rsidRPr="000F78B9">
              <w:t xml:space="preserve"> (Weighted</w:t>
            </w:r>
            <w:r>
              <w:t xml:space="preserve"> n</w:t>
            </w:r>
            <w:r w:rsidRPr="000F78B9">
              <w:t>=</w:t>
            </w:r>
            <w:r>
              <w:t>233</w:t>
            </w:r>
            <w:r w:rsidRPr="000F78B9">
              <w:t>)</w:t>
            </w:r>
          </w:p>
        </w:tc>
        <w:tc>
          <w:tcPr>
            <w:tcW w:w="2222" w:type="dxa"/>
            <w:gridSpan w:val="3"/>
            <w:tcBorders>
              <w:top w:val="single" w:sz="4" w:space="0" w:color="000000"/>
              <w:bottom w:val="nil"/>
            </w:tcBorders>
          </w:tcPr>
          <w:p w14:paraId="241FA674" w14:textId="77777777" w:rsidR="007123C7" w:rsidRPr="000F78B9" w:rsidRDefault="007123C7" w:rsidP="00E82294">
            <w:pPr>
              <w:pStyle w:val="TableText"/>
              <w:jc w:val="center"/>
            </w:pPr>
            <w:r>
              <w:t>n</w:t>
            </w:r>
            <w:r w:rsidRPr="000F78B9">
              <w:t>=</w:t>
            </w:r>
            <w:r>
              <w:t xml:space="preserve">71 </w:t>
            </w:r>
            <w:r w:rsidRPr="000F78B9">
              <w:t xml:space="preserve">(Weighted </w:t>
            </w:r>
            <w:r>
              <w:t>n</w:t>
            </w:r>
            <w:r w:rsidRPr="000F78B9">
              <w:t>=</w:t>
            </w:r>
            <w:r>
              <w:t>540</w:t>
            </w:r>
            <w:r w:rsidRPr="000F78B9">
              <w:t>)</w:t>
            </w:r>
          </w:p>
        </w:tc>
      </w:tr>
      <w:tr w:rsidR="0062434A" w:rsidRPr="0028066B" w14:paraId="528E195F" w14:textId="77777777" w:rsidTr="0062434A">
        <w:trPr>
          <w:cantSplit/>
        </w:trPr>
        <w:tc>
          <w:tcPr>
            <w:tcW w:w="2630" w:type="dxa"/>
            <w:tcBorders>
              <w:top w:val="nil"/>
            </w:tcBorders>
          </w:tcPr>
          <w:p w14:paraId="02B3DDC3" w14:textId="77777777" w:rsidR="007123C7" w:rsidRPr="0028066B" w:rsidRDefault="007123C7" w:rsidP="00E82294">
            <w:pPr>
              <w:pStyle w:val="TableText"/>
            </w:pPr>
            <w:r w:rsidRPr="0028066B">
              <w:t xml:space="preserve">Used ADF website </w:t>
            </w:r>
          </w:p>
        </w:tc>
        <w:tc>
          <w:tcPr>
            <w:tcW w:w="455" w:type="dxa"/>
            <w:tcBorders>
              <w:top w:val="nil"/>
            </w:tcBorders>
          </w:tcPr>
          <w:p w14:paraId="494F2D86" w14:textId="77777777" w:rsidR="007123C7" w:rsidRPr="0028066B" w:rsidRDefault="007123C7" w:rsidP="00E82294">
            <w:pPr>
              <w:pStyle w:val="TableText"/>
              <w:jc w:val="right"/>
            </w:pPr>
            <w:r w:rsidRPr="00E603D7">
              <w:t>#</w:t>
            </w:r>
          </w:p>
        </w:tc>
        <w:tc>
          <w:tcPr>
            <w:tcW w:w="775" w:type="dxa"/>
            <w:tcBorders>
              <w:top w:val="nil"/>
            </w:tcBorders>
          </w:tcPr>
          <w:p w14:paraId="7D92438C" w14:textId="77777777" w:rsidR="007123C7" w:rsidRPr="0028066B" w:rsidRDefault="007123C7" w:rsidP="00E82294">
            <w:pPr>
              <w:pStyle w:val="TableText"/>
              <w:jc w:val="right"/>
            </w:pPr>
            <w:r>
              <w:t>–</w:t>
            </w:r>
          </w:p>
        </w:tc>
        <w:tc>
          <w:tcPr>
            <w:tcW w:w="994" w:type="dxa"/>
            <w:tcBorders>
              <w:top w:val="nil"/>
            </w:tcBorders>
          </w:tcPr>
          <w:p w14:paraId="6F3648D8" w14:textId="77777777" w:rsidR="007123C7" w:rsidRPr="0028066B" w:rsidRDefault="007123C7" w:rsidP="00E82294">
            <w:pPr>
              <w:pStyle w:val="TableText"/>
              <w:jc w:val="right"/>
            </w:pPr>
            <w:r>
              <w:t>–</w:t>
            </w:r>
          </w:p>
        </w:tc>
        <w:tc>
          <w:tcPr>
            <w:tcW w:w="481" w:type="dxa"/>
            <w:tcBorders>
              <w:top w:val="nil"/>
            </w:tcBorders>
          </w:tcPr>
          <w:p w14:paraId="10957165" w14:textId="77777777" w:rsidR="007123C7" w:rsidRPr="0028066B" w:rsidRDefault="007123C7" w:rsidP="00E82294">
            <w:pPr>
              <w:pStyle w:val="TableText"/>
              <w:jc w:val="right"/>
            </w:pPr>
            <w:r w:rsidRPr="0028066B">
              <w:t>23</w:t>
            </w:r>
          </w:p>
        </w:tc>
        <w:tc>
          <w:tcPr>
            <w:tcW w:w="747" w:type="dxa"/>
            <w:tcBorders>
              <w:top w:val="nil"/>
            </w:tcBorders>
          </w:tcPr>
          <w:p w14:paraId="502BEAF6" w14:textId="77777777" w:rsidR="007123C7" w:rsidRPr="0028066B" w:rsidRDefault="007123C7" w:rsidP="00E82294">
            <w:pPr>
              <w:pStyle w:val="TableText"/>
              <w:jc w:val="right"/>
            </w:pPr>
            <w:r w:rsidRPr="0028066B">
              <w:t>155</w:t>
            </w:r>
          </w:p>
        </w:tc>
        <w:tc>
          <w:tcPr>
            <w:tcW w:w="994" w:type="dxa"/>
            <w:tcBorders>
              <w:top w:val="nil"/>
            </w:tcBorders>
          </w:tcPr>
          <w:p w14:paraId="3FE1ACD8" w14:textId="77777777" w:rsidR="007123C7" w:rsidRPr="0028066B" w:rsidRDefault="007123C7" w:rsidP="00E82294">
            <w:pPr>
              <w:pStyle w:val="TableText"/>
              <w:jc w:val="right"/>
            </w:pPr>
            <w:r w:rsidRPr="0028066B">
              <w:t>11.1 (6.9</w:t>
            </w:r>
            <w:r w:rsidR="0062434A">
              <w:t>, </w:t>
            </w:r>
            <w:r w:rsidRPr="0028066B">
              <w:t>17.5)</w:t>
            </w:r>
          </w:p>
        </w:tc>
        <w:tc>
          <w:tcPr>
            <w:tcW w:w="509" w:type="dxa"/>
            <w:tcBorders>
              <w:top w:val="nil"/>
            </w:tcBorders>
          </w:tcPr>
          <w:p w14:paraId="4FB0AD44" w14:textId="77777777" w:rsidR="007123C7" w:rsidRPr="0028066B" w:rsidRDefault="007123C7" w:rsidP="00E82294">
            <w:pPr>
              <w:pStyle w:val="TableText"/>
              <w:jc w:val="right"/>
            </w:pPr>
            <w:r w:rsidRPr="00E603D7">
              <w:t>#</w:t>
            </w:r>
          </w:p>
        </w:tc>
        <w:tc>
          <w:tcPr>
            <w:tcW w:w="810" w:type="dxa"/>
            <w:tcBorders>
              <w:top w:val="nil"/>
            </w:tcBorders>
          </w:tcPr>
          <w:p w14:paraId="47F3D887" w14:textId="77777777" w:rsidR="007123C7" w:rsidRPr="0028066B" w:rsidRDefault="007123C7" w:rsidP="00E82294">
            <w:pPr>
              <w:pStyle w:val="TableText"/>
              <w:jc w:val="right"/>
            </w:pPr>
            <w:r>
              <w:t>–</w:t>
            </w:r>
          </w:p>
        </w:tc>
        <w:tc>
          <w:tcPr>
            <w:tcW w:w="903" w:type="dxa"/>
            <w:tcBorders>
              <w:top w:val="nil"/>
            </w:tcBorders>
          </w:tcPr>
          <w:p w14:paraId="70C6902D" w14:textId="77777777" w:rsidR="007123C7" w:rsidRPr="0028066B" w:rsidRDefault="007123C7" w:rsidP="00E82294">
            <w:pPr>
              <w:pStyle w:val="TableText"/>
              <w:jc w:val="right"/>
            </w:pPr>
            <w:r>
              <w:t>–</w:t>
            </w:r>
          </w:p>
        </w:tc>
        <w:tc>
          <w:tcPr>
            <w:tcW w:w="447" w:type="dxa"/>
            <w:tcBorders>
              <w:top w:val="nil"/>
            </w:tcBorders>
          </w:tcPr>
          <w:p w14:paraId="0C960616" w14:textId="77777777" w:rsidR="007123C7" w:rsidRPr="0028066B" w:rsidRDefault="007123C7" w:rsidP="00E82294">
            <w:pPr>
              <w:pStyle w:val="TableText"/>
              <w:jc w:val="right"/>
            </w:pPr>
            <w:r w:rsidRPr="0028066B">
              <w:t>18</w:t>
            </w:r>
          </w:p>
        </w:tc>
        <w:tc>
          <w:tcPr>
            <w:tcW w:w="781" w:type="dxa"/>
            <w:tcBorders>
              <w:top w:val="nil"/>
            </w:tcBorders>
          </w:tcPr>
          <w:p w14:paraId="727437A8" w14:textId="77777777" w:rsidR="007123C7" w:rsidRPr="0028066B" w:rsidRDefault="007123C7" w:rsidP="00E82294">
            <w:pPr>
              <w:pStyle w:val="TableText"/>
              <w:jc w:val="right"/>
            </w:pPr>
            <w:r w:rsidRPr="0028066B">
              <w:t>65</w:t>
            </w:r>
          </w:p>
        </w:tc>
        <w:tc>
          <w:tcPr>
            <w:tcW w:w="994" w:type="dxa"/>
            <w:tcBorders>
              <w:top w:val="nil"/>
            </w:tcBorders>
          </w:tcPr>
          <w:p w14:paraId="6F8814AD" w14:textId="77777777" w:rsidR="007123C7" w:rsidRPr="0028066B" w:rsidRDefault="007123C7" w:rsidP="00E82294">
            <w:pPr>
              <w:pStyle w:val="TableText"/>
              <w:jc w:val="right"/>
            </w:pPr>
            <w:r w:rsidRPr="0028066B">
              <w:t>12.1 (3.8</w:t>
            </w:r>
            <w:r w:rsidR="0062434A">
              <w:t>, </w:t>
            </w:r>
            <w:r w:rsidRPr="0028066B">
              <w:t>32.6)</w:t>
            </w:r>
          </w:p>
        </w:tc>
      </w:tr>
      <w:tr w:rsidR="0062434A" w:rsidRPr="0028066B" w14:paraId="6076FC0E"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30703A56"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5C7AD380" w14:textId="77777777" w:rsidR="007123C7" w:rsidRPr="0028066B" w:rsidRDefault="007123C7" w:rsidP="00E82294">
            <w:pPr>
              <w:pStyle w:val="TableText"/>
              <w:jc w:val="right"/>
            </w:pPr>
            <w:r w:rsidRPr="0028066B">
              <w:t>31</w:t>
            </w:r>
          </w:p>
        </w:tc>
        <w:tc>
          <w:tcPr>
            <w:tcW w:w="775" w:type="dxa"/>
            <w:tcBorders>
              <w:bottom w:val="single" w:sz="4" w:space="0" w:color="000000"/>
            </w:tcBorders>
          </w:tcPr>
          <w:p w14:paraId="6F10C2AB" w14:textId="77777777" w:rsidR="007123C7" w:rsidRPr="0028066B" w:rsidRDefault="007123C7" w:rsidP="00E82294">
            <w:pPr>
              <w:pStyle w:val="TableText"/>
              <w:jc w:val="right"/>
            </w:pPr>
            <w:r w:rsidRPr="0028066B">
              <w:t>218</w:t>
            </w:r>
          </w:p>
        </w:tc>
        <w:tc>
          <w:tcPr>
            <w:tcW w:w="994" w:type="dxa"/>
            <w:tcBorders>
              <w:bottom w:val="single" w:sz="4" w:space="0" w:color="000000"/>
            </w:tcBorders>
          </w:tcPr>
          <w:p w14:paraId="71090CE9" w14:textId="77777777" w:rsidR="007123C7" w:rsidRPr="0028066B" w:rsidRDefault="007123C7" w:rsidP="00E82294">
            <w:pPr>
              <w:pStyle w:val="TableText"/>
              <w:jc w:val="right"/>
            </w:pPr>
            <w:r w:rsidRPr="0028066B">
              <w:t>90.0 (72.7</w:t>
            </w:r>
            <w:r w:rsidR="0062434A">
              <w:t>, </w:t>
            </w:r>
            <w:r w:rsidRPr="0028066B">
              <w:t>96.8)</w:t>
            </w:r>
          </w:p>
        </w:tc>
        <w:tc>
          <w:tcPr>
            <w:tcW w:w="481" w:type="dxa"/>
            <w:tcBorders>
              <w:bottom w:val="single" w:sz="4" w:space="0" w:color="000000"/>
            </w:tcBorders>
          </w:tcPr>
          <w:p w14:paraId="03412AFA" w14:textId="77777777" w:rsidR="007123C7" w:rsidRPr="0028066B" w:rsidRDefault="007123C7" w:rsidP="00E82294">
            <w:pPr>
              <w:pStyle w:val="TableText"/>
              <w:jc w:val="right"/>
            </w:pPr>
            <w:r w:rsidRPr="0028066B">
              <w:t>182</w:t>
            </w:r>
          </w:p>
        </w:tc>
        <w:tc>
          <w:tcPr>
            <w:tcW w:w="747" w:type="dxa"/>
            <w:tcBorders>
              <w:bottom w:val="single" w:sz="4" w:space="0" w:color="000000"/>
            </w:tcBorders>
          </w:tcPr>
          <w:p w14:paraId="761A74AF" w14:textId="77777777" w:rsidR="007123C7" w:rsidRPr="0028066B" w:rsidRDefault="007123C7" w:rsidP="00E82294">
            <w:pPr>
              <w:pStyle w:val="TableText"/>
              <w:jc w:val="right"/>
            </w:pPr>
            <w:r w:rsidRPr="0028066B">
              <w:t>1243</w:t>
            </w:r>
          </w:p>
        </w:tc>
        <w:tc>
          <w:tcPr>
            <w:tcW w:w="994" w:type="dxa"/>
            <w:tcBorders>
              <w:bottom w:val="single" w:sz="4" w:space="0" w:color="000000"/>
            </w:tcBorders>
          </w:tcPr>
          <w:p w14:paraId="6FFB62CC" w14:textId="77777777" w:rsidR="007123C7" w:rsidRPr="0028066B" w:rsidRDefault="007123C7" w:rsidP="00E82294">
            <w:pPr>
              <w:pStyle w:val="TableText"/>
              <w:jc w:val="right"/>
            </w:pPr>
            <w:r w:rsidRPr="0028066B">
              <w:t>88.9 (82.5</w:t>
            </w:r>
            <w:r w:rsidR="0062434A">
              <w:t>, </w:t>
            </w:r>
            <w:r w:rsidRPr="0028066B">
              <w:t>93.1)</w:t>
            </w:r>
          </w:p>
        </w:tc>
        <w:tc>
          <w:tcPr>
            <w:tcW w:w="509" w:type="dxa"/>
            <w:tcBorders>
              <w:bottom w:val="single" w:sz="4" w:space="0" w:color="000000"/>
            </w:tcBorders>
          </w:tcPr>
          <w:p w14:paraId="1A0A1B61" w14:textId="77777777" w:rsidR="007123C7" w:rsidRPr="0028066B" w:rsidRDefault="007123C7" w:rsidP="00E82294">
            <w:pPr>
              <w:pStyle w:val="TableText"/>
              <w:jc w:val="right"/>
            </w:pPr>
            <w:r w:rsidRPr="0028066B">
              <w:t>10</w:t>
            </w:r>
          </w:p>
        </w:tc>
        <w:tc>
          <w:tcPr>
            <w:tcW w:w="810" w:type="dxa"/>
            <w:tcBorders>
              <w:bottom w:val="single" w:sz="4" w:space="0" w:color="000000"/>
            </w:tcBorders>
          </w:tcPr>
          <w:p w14:paraId="10C9280A" w14:textId="77777777" w:rsidR="007123C7" w:rsidRPr="0028066B" w:rsidRDefault="007123C7" w:rsidP="00E82294">
            <w:pPr>
              <w:pStyle w:val="TableText"/>
              <w:jc w:val="right"/>
            </w:pPr>
            <w:r w:rsidRPr="0028066B">
              <w:t>37</w:t>
            </w:r>
          </w:p>
        </w:tc>
        <w:tc>
          <w:tcPr>
            <w:tcW w:w="903" w:type="dxa"/>
            <w:tcBorders>
              <w:bottom w:val="single" w:sz="4" w:space="0" w:color="000000"/>
            </w:tcBorders>
          </w:tcPr>
          <w:p w14:paraId="1011CC45" w14:textId="77777777" w:rsidR="007123C7" w:rsidRPr="0028066B" w:rsidRDefault="007123C7" w:rsidP="00E82294">
            <w:pPr>
              <w:pStyle w:val="TableText"/>
              <w:jc w:val="right"/>
            </w:pPr>
            <w:r w:rsidRPr="0028066B">
              <w:t>15.8 (2.5</w:t>
            </w:r>
            <w:r w:rsidR="0062434A">
              <w:t>, </w:t>
            </w:r>
            <w:r w:rsidRPr="0028066B">
              <w:t>57.5)</w:t>
            </w:r>
          </w:p>
        </w:tc>
        <w:tc>
          <w:tcPr>
            <w:tcW w:w="447" w:type="dxa"/>
            <w:tcBorders>
              <w:bottom w:val="single" w:sz="4" w:space="0" w:color="000000"/>
            </w:tcBorders>
          </w:tcPr>
          <w:p w14:paraId="15D6353B" w14:textId="77777777" w:rsidR="007123C7" w:rsidRPr="0028066B" w:rsidRDefault="007123C7" w:rsidP="00E82294">
            <w:pPr>
              <w:pStyle w:val="TableText"/>
              <w:jc w:val="right"/>
            </w:pPr>
            <w:r w:rsidRPr="0028066B">
              <w:t>53</w:t>
            </w:r>
          </w:p>
        </w:tc>
        <w:tc>
          <w:tcPr>
            <w:tcW w:w="781" w:type="dxa"/>
            <w:tcBorders>
              <w:bottom w:val="single" w:sz="4" w:space="0" w:color="000000"/>
            </w:tcBorders>
          </w:tcPr>
          <w:p w14:paraId="55C4DAD2" w14:textId="77777777" w:rsidR="007123C7" w:rsidRPr="0028066B" w:rsidRDefault="007123C7" w:rsidP="00E82294">
            <w:pPr>
              <w:pStyle w:val="TableText"/>
              <w:jc w:val="right"/>
            </w:pPr>
            <w:r w:rsidRPr="0028066B">
              <w:t>474</w:t>
            </w:r>
          </w:p>
        </w:tc>
        <w:tc>
          <w:tcPr>
            <w:tcW w:w="994" w:type="dxa"/>
            <w:tcBorders>
              <w:bottom w:val="single" w:sz="4" w:space="0" w:color="000000"/>
            </w:tcBorders>
          </w:tcPr>
          <w:p w14:paraId="7C0B8194" w14:textId="77777777" w:rsidR="007123C7" w:rsidRPr="0028066B" w:rsidRDefault="007123C7" w:rsidP="00E82294">
            <w:pPr>
              <w:pStyle w:val="TableText"/>
              <w:jc w:val="right"/>
            </w:pPr>
            <w:r w:rsidRPr="0028066B">
              <w:t>87.9 (67.4</w:t>
            </w:r>
            <w:r w:rsidR="0062434A">
              <w:t>, </w:t>
            </w:r>
            <w:r w:rsidRPr="0028066B">
              <w:t>96.2)</w:t>
            </w:r>
          </w:p>
        </w:tc>
      </w:tr>
      <w:tr w:rsidR="007123C7" w:rsidRPr="000F78B9" w14:paraId="76133BB9" w14:textId="77777777" w:rsidTr="0062434A">
        <w:trPr>
          <w:cantSplit/>
        </w:trPr>
        <w:tc>
          <w:tcPr>
            <w:tcW w:w="2630" w:type="dxa"/>
            <w:tcBorders>
              <w:top w:val="single" w:sz="4" w:space="0" w:color="000000"/>
              <w:bottom w:val="nil"/>
            </w:tcBorders>
          </w:tcPr>
          <w:p w14:paraId="4FB09780" w14:textId="77777777" w:rsidR="007123C7" w:rsidRPr="0028066B" w:rsidRDefault="007123C7" w:rsidP="00E82294">
            <w:pPr>
              <w:pStyle w:val="TableText"/>
              <w:rPr>
                <w:b/>
                <w:bCs/>
                <w:color w:val="000000" w:themeColor="text1"/>
              </w:rPr>
            </w:pPr>
            <w:r w:rsidRPr="0028066B">
              <w:rPr>
                <w:b/>
              </w:rPr>
              <w:t>Probable depressive episode (PHQ-9)</w:t>
            </w:r>
          </w:p>
        </w:tc>
        <w:tc>
          <w:tcPr>
            <w:tcW w:w="2224" w:type="dxa"/>
            <w:gridSpan w:val="3"/>
            <w:tcBorders>
              <w:top w:val="single" w:sz="4" w:space="0" w:color="000000"/>
              <w:bottom w:val="nil"/>
            </w:tcBorders>
          </w:tcPr>
          <w:p w14:paraId="44B0F15A" w14:textId="77777777" w:rsidR="007123C7" w:rsidRPr="000F78B9" w:rsidRDefault="007123C7" w:rsidP="00E82294">
            <w:pPr>
              <w:pStyle w:val="TableText"/>
              <w:jc w:val="center"/>
            </w:pPr>
            <w:r>
              <w:t>n</w:t>
            </w:r>
            <w:r w:rsidRPr="000F78B9">
              <w:t>=</w:t>
            </w:r>
            <w:r>
              <w:t>81</w:t>
            </w:r>
            <w:r w:rsidRPr="000F78B9">
              <w:t xml:space="preserve"> (Weighted</w:t>
            </w:r>
            <w:r>
              <w:t xml:space="preserve"> n</w:t>
            </w:r>
            <w:r w:rsidRPr="000F78B9">
              <w:t>=</w:t>
            </w:r>
            <w:r>
              <w:t>568</w:t>
            </w:r>
            <w:r w:rsidRPr="000F78B9">
              <w:t>)</w:t>
            </w:r>
          </w:p>
        </w:tc>
        <w:tc>
          <w:tcPr>
            <w:tcW w:w="2222" w:type="dxa"/>
            <w:gridSpan w:val="3"/>
            <w:tcBorders>
              <w:top w:val="single" w:sz="4" w:space="0" w:color="000000"/>
              <w:bottom w:val="nil"/>
            </w:tcBorders>
          </w:tcPr>
          <w:p w14:paraId="5327DA18" w14:textId="77777777" w:rsidR="007123C7" w:rsidRPr="000F78B9" w:rsidRDefault="007123C7" w:rsidP="00E82294">
            <w:pPr>
              <w:pStyle w:val="TableText"/>
              <w:jc w:val="center"/>
            </w:pPr>
            <w:r>
              <w:t>n=414</w:t>
            </w:r>
            <w:r w:rsidRPr="000F78B9">
              <w:t xml:space="preserve"> (Weighted </w:t>
            </w:r>
            <w:r>
              <w:t>n</w:t>
            </w:r>
            <w:r w:rsidRPr="000F78B9">
              <w:t>=</w:t>
            </w:r>
            <w:r>
              <w:t>2769</w:t>
            </w:r>
            <w:r w:rsidRPr="000F78B9">
              <w:t>)</w:t>
            </w:r>
          </w:p>
        </w:tc>
        <w:tc>
          <w:tcPr>
            <w:tcW w:w="2222" w:type="dxa"/>
            <w:gridSpan w:val="3"/>
            <w:tcBorders>
              <w:top w:val="single" w:sz="4" w:space="0" w:color="000000"/>
              <w:bottom w:val="nil"/>
            </w:tcBorders>
          </w:tcPr>
          <w:p w14:paraId="3AE6A0BD" w14:textId="77777777" w:rsidR="007123C7" w:rsidRPr="000F78B9" w:rsidRDefault="007123C7" w:rsidP="00E82294">
            <w:pPr>
              <w:pStyle w:val="TableText"/>
              <w:jc w:val="center"/>
            </w:pPr>
            <w:r>
              <w:t>n</w:t>
            </w:r>
            <w:r w:rsidRPr="000F78B9">
              <w:t>=</w:t>
            </w:r>
            <w:r>
              <w:t>29</w:t>
            </w:r>
            <w:r w:rsidRPr="000F78B9">
              <w:t xml:space="preserve"> (Weighted</w:t>
            </w:r>
            <w:r>
              <w:t xml:space="preserve"> n</w:t>
            </w:r>
            <w:r w:rsidRPr="000F78B9">
              <w:t>=</w:t>
            </w:r>
            <w:r>
              <w:t>135</w:t>
            </w:r>
            <w:r w:rsidRPr="000F78B9">
              <w:t>)</w:t>
            </w:r>
          </w:p>
        </w:tc>
        <w:tc>
          <w:tcPr>
            <w:tcW w:w="2222" w:type="dxa"/>
            <w:gridSpan w:val="3"/>
            <w:tcBorders>
              <w:top w:val="single" w:sz="4" w:space="0" w:color="000000"/>
              <w:bottom w:val="nil"/>
            </w:tcBorders>
          </w:tcPr>
          <w:p w14:paraId="3CB13A38" w14:textId="77777777" w:rsidR="007123C7" w:rsidRPr="000F78B9" w:rsidRDefault="007123C7" w:rsidP="00E82294">
            <w:pPr>
              <w:pStyle w:val="TableText"/>
              <w:jc w:val="center"/>
            </w:pPr>
            <w:r>
              <w:t>n</w:t>
            </w:r>
            <w:r w:rsidRPr="000F78B9">
              <w:t>=</w:t>
            </w:r>
            <w:r>
              <w:t xml:space="preserve">221 </w:t>
            </w:r>
            <w:r w:rsidRPr="000F78B9">
              <w:t xml:space="preserve">(Weighted </w:t>
            </w:r>
            <w:r>
              <w:t>n</w:t>
            </w:r>
            <w:r w:rsidRPr="000F78B9">
              <w:t>=</w:t>
            </w:r>
            <w:r>
              <w:t>1659</w:t>
            </w:r>
            <w:r w:rsidRPr="000F78B9">
              <w:t>)</w:t>
            </w:r>
          </w:p>
        </w:tc>
      </w:tr>
      <w:tr w:rsidR="0062434A" w:rsidRPr="0028066B" w14:paraId="4AC47AE8"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5AE7300D" w14:textId="77777777" w:rsidR="007123C7" w:rsidRPr="0028066B" w:rsidRDefault="007123C7" w:rsidP="00E82294">
            <w:pPr>
              <w:pStyle w:val="TableText"/>
            </w:pPr>
            <w:r w:rsidRPr="0028066B">
              <w:t xml:space="preserve">Used ADF website </w:t>
            </w:r>
          </w:p>
        </w:tc>
        <w:tc>
          <w:tcPr>
            <w:tcW w:w="455" w:type="dxa"/>
            <w:tcBorders>
              <w:top w:val="nil"/>
            </w:tcBorders>
          </w:tcPr>
          <w:p w14:paraId="722B48B3" w14:textId="77777777" w:rsidR="007123C7" w:rsidRPr="0028066B" w:rsidRDefault="007123C7" w:rsidP="00E82294">
            <w:pPr>
              <w:pStyle w:val="TableText"/>
              <w:jc w:val="right"/>
            </w:pPr>
            <w:r w:rsidRPr="0028066B">
              <w:t>12</w:t>
            </w:r>
          </w:p>
        </w:tc>
        <w:tc>
          <w:tcPr>
            <w:tcW w:w="775" w:type="dxa"/>
            <w:tcBorders>
              <w:top w:val="nil"/>
            </w:tcBorders>
          </w:tcPr>
          <w:p w14:paraId="0190DD0A" w14:textId="77777777" w:rsidR="007123C7" w:rsidRPr="0028066B" w:rsidRDefault="007123C7" w:rsidP="00E82294">
            <w:pPr>
              <w:pStyle w:val="TableText"/>
              <w:jc w:val="right"/>
            </w:pPr>
            <w:r w:rsidRPr="0028066B">
              <w:t>103</w:t>
            </w:r>
          </w:p>
        </w:tc>
        <w:tc>
          <w:tcPr>
            <w:tcW w:w="994" w:type="dxa"/>
            <w:tcBorders>
              <w:top w:val="nil"/>
            </w:tcBorders>
          </w:tcPr>
          <w:p w14:paraId="2D7C6C3A" w14:textId="77777777" w:rsidR="007123C7" w:rsidRPr="0028066B" w:rsidRDefault="007123C7" w:rsidP="00E82294">
            <w:pPr>
              <w:pStyle w:val="TableText"/>
              <w:jc w:val="right"/>
            </w:pPr>
            <w:r w:rsidRPr="0028066B">
              <w:t>18.2 (9.8</w:t>
            </w:r>
            <w:r w:rsidR="0062434A">
              <w:t>, </w:t>
            </w:r>
            <w:r w:rsidRPr="0028066B">
              <w:t>31.3)</w:t>
            </w:r>
          </w:p>
        </w:tc>
        <w:tc>
          <w:tcPr>
            <w:tcW w:w="481" w:type="dxa"/>
            <w:tcBorders>
              <w:top w:val="nil"/>
            </w:tcBorders>
          </w:tcPr>
          <w:p w14:paraId="1950AB44" w14:textId="77777777" w:rsidR="007123C7" w:rsidRPr="0028066B" w:rsidRDefault="007123C7" w:rsidP="00E82294">
            <w:pPr>
              <w:pStyle w:val="TableText"/>
              <w:jc w:val="right"/>
            </w:pPr>
            <w:r w:rsidRPr="0028066B">
              <w:t>66</w:t>
            </w:r>
          </w:p>
        </w:tc>
        <w:tc>
          <w:tcPr>
            <w:tcW w:w="747" w:type="dxa"/>
            <w:tcBorders>
              <w:top w:val="nil"/>
            </w:tcBorders>
          </w:tcPr>
          <w:p w14:paraId="46C7058A" w14:textId="77777777" w:rsidR="007123C7" w:rsidRPr="0028066B" w:rsidRDefault="007123C7" w:rsidP="00E82294">
            <w:pPr>
              <w:pStyle w:val="TableText"/>
              <w:jc w:val="right"/>
            </w:pPr>
            <w:r w:rsidRPr="0028066B">
              <w:t>371</w:t>
            </w:r>
          </w:p>
        </w:tc>
        <w:tc>
          <w:tcPr>
            <w:tcW w:w="994" w:type="dxa"/>
            <w:tcBorders>
              <w:top w:val="nil"/>
            </w:tcBorders>
          </w:tcPr>
          <w:p w14:paraId="5C2C594F" w14:textId="77777777" w:rsidR="007123C7" w:rsidRPr="0028066B" w:rsidRDefault="007123C7" w:rsidP="00E82294">
            <w:pPr>
              <w:pStyle w:val="TableText"/>
              <w:jc w:val="right"/>
            </w:pPr>
            <w:r w:rsidRPr="0028066B">
              <w:t>13.4 (10.2</w:t>
            </w:r>
            <w:r w:rsidR="0062434A">
              <w:t>, </w:t>
            </w:r>
            <w:r w:rsidRPr="0028066B">
              <w:t>17.4)</w:t>
            </w:r>
          </w:p>
        </w:tc>
        <w:tc>
          <w:tcPr>
            <w:tcW w:w="509" w:type="dxa"/>
            <w:tcBorders>
              <w:top w:val="nil"/>
            </w:tcBorders>
          </w:tcPr>
          <w:p w14:paraId="2C6B0983" w14:textId="77777777" w:rsidR="007123C7" w:rsidRPr="0028066B" w:rsidRDefault="007123C7" w:rsidP="00E82294">
            <w:pPr>
              <w:pStyle w:val="TableText"/>
              <w:jc w:val="right"/>
            </w:pPr>
            <w:r w:rsidRPr="0028066B">
              <w:t>7</w:t>
            </w:r>
          </w:p>
        </w:tc>
        <w:tc>
          <w:tcPr>
            <w:tcW w:w="810" w:type="dxa"/>
            <w:tcBorders>
              <w:top w:val="nil"/>
            </w:tcBorders>
          </w:tcPr>
          <w:p w14:paraId="2158A9F4" w14:textId="77777777" w:rsidR="007123C7" w:rsidRPr="0028066B" w:rsidRDefault="007123C7" w:rsidP="00E82294">
            <w:pPr>
              <w:pStyle w:val="TableText"/>
              <w:jc w:val="right"/>
            </w:pPr>
            <w:r w:rsidRPr="0028066B">
              <w:t>34</w:t>
            </w:r>
          </w:p>
        </w:tc>
        <w:tc>
          <w:tcPr>
            <w:tcW w:w="903" w:type="dxa"/>
            <w:tcBorders>
              <w:top w:val="nil"/>
            </w:tcBorders>
          </w:tcPr>
          <w:p w14:paraId="617CB46E" w14:textId="77777777" w:rsidR="007123C7" w:rsidRPr="0028066B" w:rsidRDefault="007123C7" w:rsidP="00E82294">
            <w:pPr>
              <w:pStyle w:val="TableText"/>
              <w:jc w:val="right"/>
            </w:pPr>
            <w:r w:rsidRPr="0028066B">
              <w:t>25.3 (10.9</w:t>
            </w:r>
            <w:r w:rsidR="0062434A">
              <w:t>, </w:t>
            </w:r>
            <w:r w:rsidRPr="0028066B">
              <w:t>48.3)</w:t>
            </w:r>
          </w:p>
        </w:tc>
        <w:tc>
          <w:tcPr>
            <w:tcW w:w="447" w:type="dxa"/>
            <w:tcBorders>
              <w:top w:val="nil"/>
            </w:tcBorders>
          </w:tcPr>
          <w:p w14:paraId="0822C20C" w14:textId="77777777" w:rsidR="007123C7" w:rsidRPr="0028066B" w:rsidRDefault="007123C7" w:rsidP="00E82294">
            <w:pPr>
              <w:pStyle w:val="TableText"/>
              <w:jc w:val="right"/>
            </w:pPr>
            <w:r w:rsidRPr="0028066B">
              <w:t>59</w:t>
            </w:r>
          </w:p>
        </w:tc>
        <w:tc>
          <w:tcPr>
            <w:tcW w:w="781" w:type="dxa"/>
            <w:tcBorders>
              <w:top w:val="nil"/>
            </w:tcBorders>
          </w:tcPr>
          <w:p w14:paraId="387AF0EB" w14:textId="77777777" w:rsidR="007123C7" w:rsidRPr="0028066B" w:rsidRDefault="007123C7" w:rsidP="00E82294">
            <w:pPr>
              <w:pStyle w:val="TableText"/>
              <w:jc w:val="right"/>
            </w:pPr>
            <w:r w:rsidRPr="0028066B">
              <w:t>328</w:t>
            </w:r>
          </w:p>
        </w:tc>
        <w:tc>
          <w:tcPr>
            <w:tcW w:w="994" w:type="dxa"/>
            <w:tcBorders>
              <w:top w:val="nil"/>
            </w:tcBorders>
          </w:tcPr>
          <w:p w14:paraId="5F7947CD" w14:textId="77777777" w:rsidR="007123C7" w:rsidRPr="0028066B" w:rsidRDefault="007123C7" w:rsidP="00E82294">
            <w:pPr>
              <w:pStyle w:val="TableText"/>
              <w:jc w:val="right"/>
            </w:pPr>
            <w:r w:rsidRPr="0028066B">
              <w:t>19.8 (10.2</w:t>
            </w:r>
            <w:r w:rsidR="0062434A">
              <w:t>, </w:t>
            </w:r>
            <w:r w:rsidRPr="0028066B">
              <w:t>34.9)</w:t>
            </w:r>
          </w:p>
        </w:tc>
      </w:tr>
      <w:tr w:rsidR="0062434A" w:rsidRPr="0028066B" w14:paraId="333C6CF2" w14:textId="77777777" w:rsidTr="0062434A">
        <w:trPr>
          <w:cantSplit/>
        </w:trPr>
        <w:tc>
          <w:tcPr>
            <w:tcW w:w="2630" w:type="dxa"/>
            <w:tcBorders>
              <w:bottom w:val="single" w:sz="4" w:space="0" w:color="000000"/>
            </w:tcBorders>
          </w:tcPr>
          <w:p w14:paraId="6EAC04A6" w14:textId="77777777" w:rsidR="007123C7" w:rsidRPr="0028066B" w:rsidRDefault="007123C7" w:rsidP="0062434A">
            <w:pPr>
              <w:pStyle w:val="TableText"/>
              <w:keepNext w:val="0"/>
            </w:pPr>
            <w:r w:rsidRPr="0028066B">
              <w:t>Did not use ADF website</w:t>
            </w:r>
          </w:p>
        </w:tc>
        <w:tc>
          <w:tcPr>
            <w:tcW w:w="455" w:type="dxa"/>
            <w:tcBorders>
              <w:bottom w:val="single" w:sz="4" w:space="0" w:color="000000"/>
            </w:tcBorders>
          </w:tcPr>
          <w:p w14:paraId="583B437F" w14:textId="77777777" w:rsidR="007123C7" w:rsidRPr="0028066B" w:rsidRDefault="007123C7" w:rsidP="0062434A">
            <w:pPr>
              <w:pStyle w:val="TableText"/>
              <w:keepNext w:val="0"/>
              <w:jc w:val="right"/>
            </w:pPr>
            <w:r w:rsidRPr="0028066B">
              <w:t>69</w:t>
            </w:r>
          </w:p>
        </w:tc>
        <w:tc>
          <w:tcPr>
            <w:tcW w:w="775" w:type="dxa"/>
            <w:tcBorders>
              <w:bottom w:val="single" w:sz="4" w:space="0" w:color="000000"/>
            </w:tcBorders>
          </w:tcPr>
          <w:p w14:paraId="74994E41" w14:textId="77777777" w:rsidR="007123C7" w:rsidRPr="0028066B" w:rsidRDefault="007123C7" w:rsidP="0062434A">
            <w:pPr>
              <w:pStyle w:val="TableText"/>
              <w:keepNext w:val="0"/>
              <w:jc w:val="right"/>
            </w:pPr>
            <w:r w:rsidRPr="0028066B">
              <w:t>465</w:t>
            </w:r>
          </w:p>
        </w:tc>
        <w:tc>
          <w:tcPr>
            <w:tcW w:w="994" w:type="dxa"/>
            <w:tcBorders>
              <w:bottom w:val="single" w:sz="4" w:space="0" w:color="000000"/>
            </w:tcBorders>
          </w:tcPr>
          <w:p w14:paraId="385BFBC4" w14:textId="77777777" w:rsidR="007123C7" w:rsidRPr="0028066B" w:rsidRDefault="007123C7" w:rsidP="0062434A">
            <w:pPr>
              <w:pStyle w:val="TableText"/>
              <w:keepNext w:val="0"/>
              <w:jc w:val="right"/>
            </w:pPr>
            <w:r w:rsidRPr="0028066B">
              <w:t>81.8 (68.7</w:t>
            </w:r>
            <w:r w:rsidR="0062434A">
              <w:t>, </w:t>
            </w:r>
            <w:r w:rsidRPr="0028066B">
              <w:t>90.2)</w:t>
            </w:r>
          </w:p>
        </w:tc>
        <w:tc>
          <w:tcPr>
            <w:tcW w:w="481" w:type="dxa"/>
            <w:tcBorders>
              <w:bottom w:val="single" w:sz="4" w:space="0" w:color="000000"/>
            </w:tcBorders>
          </w:tcPr>
          <w:p w14:paraId="3BD65443" w14:textId="77777777" w:rsidR="007123C7" w:rsidRPr="0028066B" w:rsidRDefault="007123C7" w:rsidP="0062434A">
            <w:pPr>
              <w:pStyle w:val="TableText"/>
              <w:keepNext w:val="0"/>
              <w:jc w:val="right"/>
            </w:pPr>
            <w:r w:rsidRPr="0028066B">
              <w:t>348</w:t>
            </w:r>
          </w:p>
        </w:tc>
        <w:tc>
          <w:tcPr>
            <w:tcW w:w="747" w:type="dxa"/>
            <w:tcBorders>
              <w:bottom w:val="single" w:sz="4" w:space="0" w:color="000000"/>
            </w:tcBorders>
          </w:tcPr>
          <w:p w14:paraId="286B61D0" w14:textId="77777777" w:rsidR="007123C7" w:rsidRPr="0028066B" w:rsidRDefault="007123C7" w:rsidP="0062434A">
            <w:pPr>
              <w:pStyle w:val="TableText"/>
              <w:keepNext w:val="0"/>
              <w:jc w:val="right"/>
            </w:pPr>
            <w:r w:rsidRPr="0028066B">
              <w:t>2398</w:t>
            </w:r>
          </w:p>
        </w:tc>
        <w:tc>
          <w:tcPr>
            <w:tcW w:w="994" w:type="dxa"/>
            <w:tcBorders>
              <w:bottom w:val="single" w:sz="4" w:space="0" w:color="000000"/>
            </w:tcBorders>
          </w:tcPr>
          <w:p w14:paraId="3A942960" w14:textId="77777777" w:rsidR="007123C7" w:rsidRPr="0028066B" w:rsidRDefault="007123C7" w:rsidP="0062434A">
            <w:pPr>
              <w:pStyle w:val="TableText"/>
              <w:keepNext w:val="0"/>
              <w:jc w:val="right"/>
            </w:pPr>
            <w:r w:rsidRPr="0028066B">
              <w:t>86.6 (82.6</w:t>
            </w:r>
            <w:r w:rsidR="0062434A">
              <w:t>, </w:t>
            </w:r>
            <w:r w:rsidRPr="0028066B">
              <w:t>89.8)</w:t>
            </w:r>
          </w:p>
        </w:tc>
        <w:tc>
          <w:tcPr>
            <w:tcW w:w="509" w:type="dxa"/>
            <w:tcBorders>
              <w:bottom w:val="single" w:sz="4" w:space="0" w:color="000000"/>
            </w:tcBorders>
          </w:tcPr>
          <w:p w14:paraId="61042648" w14:textId="77777777" w:rsidR="007123C7" w:rsidRPr="0028066B" w:rsidRDefault="007123C7" w:rsidP="0062434A">
            <w:pPr>
              <w:pStyle w:val="TableText"/>
              <w:keepNext w:val="0"/>
              <w:jc w:val="right"/>
            </w:pPr>
            <w:r w:rsidRPr="0028066B">
              <w:t>22</w:t>
            </w:r>
          </w:p>
        </w:tc>
        <w:tc>
          <w:tcPr>
            <w:tcW w:w="810" w:type="dxa"/>
            <w:tcBorders>
              <w:bottom w:val="single" w:sz="4" w:space="0" w:color="000000"/>
            </w:tcBorders>
          </w:tcPr>
          <w:p w14:paraId="773D9343" w14:textId="77777777" w:rsidR="007123C7" w:rsidRPr="0028066B" w:rsidRDefault="007123C7" w:rsidP="0062434A">
            <w:pPr>
              <w:pStyle w:val="TableText"/>
              <w:keepNext w:val="0"/>
              <w:jc w:val="right"/>
            </w:pPr>
            <w:r w:rsidRPr="0028066B">
              <w:t>101</w:t>
            </w:r>
          </w:p>
        </w:tc>
        <w:tc>
          <w:tcPr>
            <w:tcW w:w="903" w:type="dxa"/>
            <w:tcBorders>
              <w:bottom w:val="single" w:sz="4" w:space="0" w:color="000000"/>
            </w:tcBorders>
          </w:tcPr>
          <w:p w14:paraId="10475BE4" w14:textId="77777777" w:rsidR="007123C7" w:rsidRPr="0028066B" w:rsidRDefault="007123C7" w:rsidP="0062434A">
            <w:pPr>
              <w:pStyle w:val="TableText"/>
              <w:keepNext w:val="0"/>
              <w:jc w:val="right"/>
            </w:pPr>
            <w:r w:rsidRPr="0028066B">
              <w:t>74.7 (51.7</w:t>
            </w:r>
            <w:r w:rsidR="0062434A">
              <w:t>, </w:t>
            </w:r>
            <w:r w:rsidRPr="0028066B">
              <w:t>89.1)</w:t>
            </w:r>
          </w:p>
        </w:tc>
        <w:tc>
          <w:tcPr>
            <w:tcW w:w="447" w:type="dxa"/>
            <w:tcBorders>
              <w:bottom w:val="single" w:sz="4" w:space="0" w:color="000000"/>
            </w:tcBorders>
          </w:tcPr>
          <w:p w14:paraId="1C9CF8B2" w14:textId="77777777" w:rsidR="007123C7" w:rsidRPr="0028066B" w:rsidRDefault="007123C7" w:rsidP="0062434A">
            <w:pPr>
              <w:pStyle w:val="TableText"/>
              <w:keepNext w:val="0"/>
              <w:jc w:val="right"/>
            </w:pPr>
            <w:r w:rsidRPr="0028066B">
              <w:t>162</w:t>
            </w:r>
          </w:p>
        </w:tc>
        <w:tc>
          <w:tcPr>
            <w:tcW w:w="781" w:type="dxa"/>
            <w:tcBorders>
              <w:bottom w:val="single" w:sz="4" w:space="0" w:color="000000"/>
            </w:tcBorders>
          </w:tcPr>
          <w:p w14:paraId="4CFD875A" w14:textId="77777777" w:rsidR="007123C7" w:rsidRPr="0028066B" w:rsidRDefault="007123C7" w:rsidP="0062434A">
            <w:pPr>
              <w:pStyle w:val="TableText"/>
              <w:keepNext w:val="0"/>
              <w:jc w:val="right"/>
            </w:pPr>
            <w:r w:rsidRPr="0028066B">
              <w:t>1331</w:t>
            </w:r>
          </w:p>
        </w:tc>
        <w:tc>
          <w:tcPr>
            <w:tcW w:w="994" w:type="dxa"/>
            <w:tcBorders>
              <w:bottom w:val="single" w:sz="4" w:space="0" w:color="000000"/>
            </w:tcBorders>
          </w:tcPr>
          <w:p w14:paraId="353E547F" w14:textId="77777777" w:rsidR="007123C7" w:rsidRPr="0028066B" w:rsidRDefault="007123C7" w:rsidP="0062434A">
            <w:pPr>
              <w:pStyle w:val="TableText"/>
              <w:keepNext w:val="0"/>
              <w:jc w:val="right"/>
            </w:pPr>
            <w:r w:rsidRPr="0028066B">
              <w:t>80.2 (65.1</w:t>
            </w:r>
            <w:r w:rsidR="0062434A">
              <w:t>, </w:t>
            </w:r>
            <w:r w:rsidRPr="0028066B">
              <w:t>89.8)</w:t>
            </w:r>
          </w:p>
        </w:tc>
      </w:tr>
      <w:tr w:rsidR="007123C7" w:rsidRPr="000F78B9" w14:paraId="28FFEC07"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bottom w:val="nil"/>
            </w:tcBorders>
          </w:tcPr>
          <w:p w14:paraId="302C4D77" w14:textId="77777777" w:rsidR="007123C7" w:rsidRPr="0028066B" w:rsidRDefault="007123C7" w:rsidP="00E82294">
            <w:pPr>
              <w:pStyle w:val="TableText"/>
              <w:rPr>
                <w:b/>
              </w:rPr>
            </w:pPr>
            <w:r w:rsidRPr="0028066B">
              <w:rPr>
                <w:b/>
              </w:rPr>
              <w:t>Any 12-month suicidal ideation and behaviour</w:t>
            </w:r>
          </w:p>
        </w:tc>
        <w:tc>
          <w:tcPr>
            <w:tcW w:w="2224" w:type="dxa"/>
            <w:gridSpan w:val="3"/>
            <w:tcBorders>
              <w:top w:val="single" w:sz="4" w:space="0" w:color="000000"/>
              <w:bottom w:val="nil"/>
            </w:tcBorders>
          </w:tcPr>
          <w:p w14:paraId="2EA4A7FF" w14:textId="77777777" w:rsidR="007123C7" w:rsidRPr="000F78B9" w:rsidRDefault="007123C7" w:rsidP="00E82294">
            <w:pPr>
              <w:pStyle w:val="TableText"/>
              <w:jc w:val="center"/>
            </w:pPr>
            <w:r>
              <w:t>n</w:t>
            </w:r>
            <w:r w:rsidRPr="000F78B9">
              <w:t>=</w:t>
            </w:r>
            <w:r>
              <w:t>217</w:t>
            </w:r>
            <w:r w:rsidRPr="000F78B9">
              <w:t xml:space="preserve"> (Weighted</w:t>
            </w:r>
            <w:r>
              <w:t xml:space="preserve"> n</w:t>
            </w:r>
            <w:r w:rsidRPr="000F78B9">
              <w:t>=</w:t>
            </w:r>
            <w:r>
              <w:t>1416</w:t>
            </w:r>
            <w:r w:rsidRPr="000F78B9">
              <w:t>)</w:t>
            </w:r>
          </w:p>
        </w:tc>
        <w:tc>
          <w:tcPr>
            <w:tcW w:w="2222" w:type="dxa"/>
            <w:gridSpan w:val="3"/>
            <w:tcBorders>
              <w:top w:val="single" w:sz="4" w:space="0" w:color="000000"/>
              <w:bottom w:val="nil"/>
            </w:tcBorders>
          </w:tcPr>
          <w:p w14:paraId="7DCDAC56" w14:textId="77777777" w:rsidR="007123C7" w:rsidRPr="000F78B9" w:rsidRDefault="007123C7" w:rsidP="00E82294">
            <w:pPr>
              <w:pStyle w:val="TableText"/>
              <w:jc w:val="center"/>
            </w:pPr>
            <w:r>
              <w:t>n=903</w:t>
            </w:r>
            <w:r w:rsidRPr="000F78B9">
              <w:t xml:space="preserve"> (Weighted </w:t>
            </w:r>
            <w:r>
              <w:t>n</w:t>
            </w:r>
            <w:r w:rsidRPr="000F78B9">
              <w:t>=</w:t>
            </w:r>
            <w:r>
              <w:t>6125</w:t>
            </w:r>
            <w:r w:rsidRPr="000F78B9">
              <w:t>)</w:t>
            </w:r>
          </w:p>
        </w:tc>
        <w:tc>
          <w:tcPr>
            <w:tcW w:w="2222" w:type="dxa"/>
            <w:gridSpan w:val="3"/>
            <w:tcBorders>
              <w:top w:val="single" w:sz="4" w:space="0" w:color="000000"/>
              <w:bottom w:val="nil"/>
            </w:tcBorders>
          </w:tcPr>
          <w:p w14:paraId="5659631D" w14:textId="77777777" w:rsidR="007123C7" w:rsidRPr="000F78B9" w:rsidRDefault="007123C7" w:rsidP="00E82294">
            <w:pPr>
              <w:pStyle w:val="TableText"/>
              <w:jc w:val="center"/>
            </w:pPr>
            <w:r>
              <w:t>n</w:t>
            </w:r>
            <w:r w:rsidRPr="000F78B9">
              <w:t>=</w:t>
            </w:r>
            <w:r>
              <w:t>167</w:t>
            </w:r>
            <w:r w:rsidRPr="000F78B9">
              <w:t xml:space="preserve"> (Weighted</w:t>
            </w:r>
            <w:r>
              <w:t xml:space="preserve"> n</w:t>
            </w:r>
            <w:r w:rsidRPr="000F78B9">
              <w:t>=</w:t>
            </w:r>
            <w:r>
              <w:t>1087</w:t>
            </w:r>
            <w:r w:rsidRPr="000F78B9">
              <w:t>)</w:t>
            </w:r>
          </w:p>
        </w:tc>
        <w:tc>
          <w:tcPr>
            <w:tcW w:w="2222" w:type="dxa"/>
            <w:gridSpan w:val="3"/>
            <w:tcBorders>
              <w:top w:val="single" w:sz="4" w:space="0" w:color="000000"/>
              <w:bottom w:val="nil"/>
            </w:tcBorders>
          </w:tcPr>
          <w:p w14:paraId="3E3C43C0" w14:textId="77777777" w:rsidR="007123C7" w:rsidRPr="000F78B9" w:rsidRDefault="007123C7" w:rsidP="00E82294">
            <w:pPr>
              <w:pStyle w:val="TableText"/>
              <w:jc w:val="center"/>
            </w:pPr>
            <w:r>
              <w:t>n</w:t>
            </w:r>
            <w:r w:rsidRPr="000F78B9">
              <w:t>=</w:t>
            </w:r>
            <w:r>
              <w:t xml:space="preserve">807 </w:t>
            </w:r>
            <w:r w:rsidRPr="000F78B9">
              <w:t xml:space="preserve">(Weighted </w:t>
            </w:r>
            <w:r>
              <w:t>n</w:t>
            </w:r>
            <w:r w:rsidRPr="000F78B9">
              <w:t>=</w:t>
            </w:r>
            <w:r>
              <w:t>6157</w:t>
            </w:r>
            <w:r w:rsidRPr="000F78B9">
              <w:t>)</w:t>
            </w:r>
          </w:p>
        </w:tc>
      </w:tr>
      <w:tr w:rsidR="0062434A" w:rsidRPr="0028066B" w14:paraId="1C9F5F3F" w14:textId="77777777" w:rsidTr="0062434A">
        <w:trPr>
          <w:cantSplit/>
        </w:trPr>
        <w:tc>
          <w:tcPr>
            <w:tcW w:w="2630" w:type="dxa"/>
            <w:tcBorders>
              <w:top w:val="nil"/>
            </w:tcBorders>
          </w:tcPr>
          <w:p w14:paraId="7D0E82C2" w14:textId="77777777" w:rsidR="007123C7" w:rsidRPr="0028066B" w:rsidRDefault="007123C7" w:rsidP="00E82294">
            <w:pPr>
              <w:pStyle w:val="TableText"/>
            </w:pPr>
            <w:r w:rsidRPr="0028066B">
              <w:t xml:space="preserve">Used ADF website </w:t>
            </w:r>
          </w:p>
        </w:tc>
        <w:tc>
          <w:tcPr>
            <w:tcW w:w="455" w:type="dxa"/>
            <w:tcBorders>
              <w:top w:val="nil"/>
            </w:tcBorders>
          </w:tcPr>
          <w:p w14:paraId="30BB51DA" w14:textId="77777777" w:rsidR="007123C7" w:rsidRPr="0028066B" w:rsidRDefault="007123C7" w:rsidP="00E82294">
            <w:pPr>
              <w:pStyle w:val="TableText"/>
              <w:jc w:val="right"/>
            </w:pPr>
            <w:r w:rsidRPr="0028066B">
              <w:t>29</w:t>
            </w:r>
          </w:p>
        </w:tc>
        <w:tc>
          <w:tcPr>
            <w:tcW w:w="775" w:type="dxa"/>
            <w:tcBorders>
              <w:top w:val="nil"/>
            </w:tcBorders>
          </w:tcPr>
          <w:p w14:paraId="1D3FD7F6" w14:textId="77777777" w:rsidR="007123C7" w:rsidRPr="0028066B" w:rsidRDefault="007123C7" w:rsidP="00E82294">
            <w:pPr>
              <w:pStyle w:val="TableText"/>
              <w:jc w:val="right"/>
            </w:pPr>
            <w:r w:rsidRPr="0028066B">
              <w:t>188</w:t>
            </w:r>
          </w:p>
        </w:tc>
        <w:tc>
          <w:tcPr>
            <w:tcW w:w="994" w:type="dxa"/>
            <w:tcBorders>
              <w:top w:val="nil"/>
            </w:tcBorders>
          </w:tcPr>
          <w:p w14:paraId="354CC1F3" w14:textId="77777777" w:rsidR="007123C7" w:rsidRPr="0028066B" w:rsidRDefault="007123C7" w:rsidP="00E82294">
            <w:pPr>
              <w:pStyle w:val="TableText"/>
              <w:jc w:val="right"/>
            </w:pPr>
            <w:r w:rsidRPr="0028066B">
              <w:t>13.3 (8.8</w:t>
            </w:r>
            <w:r w:rsidR="0062434A">
              <w:t>, </w:t>
            </w:r>
            <w:r w:rsidRPr="0028066B">
              <w:t>19.5)</w:t>
            </w:r>
          </w:p>
        </w:tc>
        <w:tc>
          <w:tcPr>
            <w:tcW w:w="481" w:type="dxa"/>
            <w:tcBorders>
              <w:top w:val="nil"/>
            </w:tcBorders>
          </w:tcPr>
          <w:p w14:paraId="5CB948FD" w14:textId="77777777" w:rsidR="007123C7" w:rsidRPr="0028066B" w:rsidRDefault="007123C7" w:rsidP="00E82294">
            <w:pPr>
              <w:pStyle w:val="TableText"/>
              <w:jc w:val="right"/>
            </w:pPr>
            <w:r w:rsidRPr="0028066B">
              <w:t>125</w:t>
            </w:r>
          </w:p>
        </w:tc>
        <w:tc>
          <w:tcPr>
            <w:tcW w:w="747" w:type="dxa"/>
            <w:tcBorders>
              <w:top w:val="nil"/>
            </w:tcBorders>
          </w:tcPr>
          <w:p w14:paraId="4B31F736" w14:textId="77777777" w:rsidR="007123C7" w:rsidRPr="0028066B" w:rsidRDefault="007123C7" w:rsidP="00E82294">
            <w:pPr>
              <w:pStyle w:val="TableText"/>
              <w:jc w:val="right"/>
            </w:pPr>
            <w:r w:rsidRPr="0028066B">
              <w:t>757</w:t>
            </w:r>
          </w:p>
        </w:tc>
        <w:tc>
          <w:tcPr>
            <w:tcW w:w="994" w:type="dxa"/>
            <w:tcBorders>
              <w:top w:val="nil"/>
            </w:tcBorders>
          </w:tcPr>
          <w:p w14:paraId="56E5C2A2" w14:textId="77777777" w:rsidR="007123C7" w:rsidRPr="0028066B" w:rsidRDefault="007123C7" w:rsidP="00E82294">
            <w:pPr>
              <w:pStyle w:val="TableText"/>
              <w:jc w:val="right"/>
            </w:pPr>
            <w:r w:rsidRPr="0028066B">
              <w:t>12.4 (10.0</w:t>
            </w:r>
            <w:r w:rsidR="0062434A">
              <w:t>, </w:t>
            </w:r>
            <w:r w:rsidRPr="0028066B">
              <w:t>15.1)</w:t>
            </w:r>
          </w:p>
        </w:tc>
        <w:tc>
          <w:tcPr>
            <w:tcW w:w="509" w:type="dxa"/>
            <w:tcBorders>
              <w:top w:val="nil"/>
            </w:tcBorders>
          </w:tcPr>
          <w:p w14:paraId="4768AFE5" w14:textId="77777777" w:rsidR="007123C7" w:rsidRPr="0028066B" w:rsidRDefault="007123C7" w:rsidP="00E82294">
            <w:pPr>
              <w:pStyle w:val="TableText"/>
              <w:jc w:val="right"/>
            </w:pPr>
            <w:r w:rsidRPr="0028066B">
              <w:t>40</w:t>
            </w:r>
          </w:p>
        </w:tc>
        <w:tc>
          <w:tcPr>
            <w:tcW w:w="810" w:type="dxa"/>
            <w:tcBorders>
              <w:top w:val="nil"/>
            </w:tcBorders>
          </w:tcPr>
          <w:p w14:paraId="1630C560" w14:textId="77777777" w:rsidR="007123C7" w:rsidRPr="0028066B" w:rsidRDefault="007123C7" w:rsidP="00E82294">
            <w:pPr>
              <w:pStyle w:val="TableText"/>
              <w:jc w:val="right"/>
            </w:pPr>
            <w:r w:rsidRPr="0028066B">
              <w:t>139</w:t>
            </w:r>
          </w:p>
        </w:tc>
        <w:tc>
          <w:tcPr>
            <w:tcW w:w="903" w:type="dxa"/>
            <w:tcBorders>
              <w:top w:val="nil"/>
            </w:tcBorders>
          </w:tcPr>
          <w:p w14:paraId="6810BDE7" w14:textId="77777777" w:rsidR="007123C7" w:rsidRPr="0028066B" w:rsidRDefault="007123C7" w:rsidP="00E82294">
            <w:pPr>
              <w:pStyle w:val="TableText"/>
              <w:jc w:val="right"/>
            </w:pPr>
            <w:r w:rsidRPr="0028066B">
              <w:t>12.7 (6.7</w:t>
            </w:r>
            <w:r w:rsidR="0062434A">
              <w:t>, </w:t>
            </w:r>
            <w:r w:rsidRPr="0028066B">
              <w:t>23.0)</w:t>
            </w:r>
          </w:p>
        </w:tc>
        <w:tc>
          <w:tcPr>
            <w:tcW w:w="447" w:type="dxa"/>
            <w:tcBorders>
              <w:top w:val="nil"/>
            </w:tcBorders>
          </w:tcPr>
          <w:p w14:paraId="65523270" w14:textId="77777777" w:rsidR="007123C7" w:rsidRPr="0028066B" w:rsidRDefault="007123C7" w:rsidP="00E82294">
            <w:pPr>
              <w:pStyle w:val="TableText"/>
              <w:jc w:val="right"/>
            </w:pPr>
            <w:r w:rsidRPr="0028066B">
              <w:t>206</w:t>
            </w:r>
          </w:p>
        </w:tc>
        <w:tc>
          <w:tcPr>
            <w:tcW w:w="781" w:type="dxa"/>
            <w:tcBorders>
              <w:top w:val="nil"/>
            </w:tcBorders>
          </w:tcPr>
          <w:p w14:paraId="1D65E5A1" w14:textId="77777777" w:rsidR="007123C7" w:rsidRPr="0028066B" w:rsidRDefault="007123C7" w:rsidP="00E82294">
            <w:pPr>
              <w:pStyle w:val="TableText"/>
              <w:jc w:val="right"/>
            </w:pPr>
            <w:r w:rsidRPr="0028066B">
              <w:t>1102</w:t>
            </w:r>
          </w:p>
        </w:tc>
        <w:tc>
          <w:tcPr>
            <w:tcW w:w="994" w:type="dxa"/>
            <w:tcBorders>
              <w:top w:val="nil"/>
            </w:tcBorders>
          </w:tcPr>
          <w:p w14:paraId="69271D63" w14:textId="77777777" w:rsidR="007123C7" w:rsidRPr="0028066B" w:rsidRDefault="007123C7" w:rsidP="00E82294">
            <w:pPr>
              <w:pStyle w:val="TableText"/>
              <w:jc w:val="right"/>
            </w:pPr>
            <w:r w:rsidRPr="0028066B">
              <w:t>17.9 (11.9</w:t>
            </w:r>
            <w:r w:rsidR="0062434A">
              <w:t>, </w:t>
            </w:r>
            <w:r w:rsidRPr="0028066B">
              <w:t>26.1)</w:t>
            </w:r>
          </w:p>
        </w:tc>
      </w:tr>
      <w:tr w:rsidR="0062434A" w:rsidRPr="0028066B" w14:paraId="258B86D5"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2915A62A"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3E946E87" w14:textId="77777777" w:rsidR="007123C7" w:rsidRPr="0028066B" w:rsidRDefault="007123C7" w:rsidP="00E82294">
            <w:pPr>
              <w:pStyle w:val="TableText"/>
              <w:jc w:val="right"/>
            </w:pPr>
            <w:r w:rsidRPr="0028066B">
              <w:t>188</w:t>
            </w:r>
          </w:p>
        </w:tc>
        <w:tc>
          <w:tcPr>
            <w:tcW w:w="775" w:type="dxa"/>
            <w:tcBorders>
              <w:bottom w:val="single" w:sz="4" w:space="0" w:color="000000"/>
            </w:tcBorders>
          </w:tcPr>
          <w:p w14:paraId="5F60FFA4" w14:textId="77777777" w:rsidR="007123C7" w:rsidRPr="0028066B" w:rsidRDefault="007123C7" w:rsidP="00E82294">
            <w:pPr>
              <w:pStyle w:val="TableText"/>
              <w:jc w:val="right"/>
            </w:pPr>
            <w:r w:rsidRPr="0028066B">
              <w:t>1228</w:t>
            </w:r>
          </w:p>
        </w:tc>
        <w:tc>
          <w:tcPr>
            <w:tcW w:w="994" w:type="dxa"/>
            <w:tcBorders>
              <w:bottom w:val="single" w:sz="4" w:space="0" w:color="000000"/>
            </w:tcBorders>
          </w:tcPr>
          <w:p w14:paraId="273C252D" w14:textId="77777777" w:rsidR="007123C7" w:rsidRPr="0028066B" w:rsidRDefault="007123C7" w:rsidP="00E82294">
            <w:pPr>
              <w:pStyle w:val="TableText"/>
              <w:jc w:val="right"/>
            </w:pPr>
            <w:r w:rsidRPr="0028066B">
              <w:t>86.7 (80.5</w:t>
            </w:r>
            <w:r w:rsidR="0062434A">
              <w:t>, </w:t>
            </w:r>
            <w:r w:rsidRPr="0028066B">
              <w:t>91.2)</w:t>
            </w:r>
          </w:p>
        </w:tc>
        <w:tc>
          <w:tcPr>
            <w:tcW w:w="481" w:type="dxa"/>
            <w:tcBorders>
              <w:bottom w:val="single" w:sz="4" w:space="0" w:color="000000"/>
            </w:tcBorders>
          </w:tcPr>
          <w:p w14:paraId="496AE6B8" w14:textId="77777777" w:rsidR="007123C7" w:rsidRPr="0028066B" w:rsidRDefault="007123C7" w:rsidP="00E82294">
            <w:pPr>
              <w:pStyle w:val="TableText"/>
              <w:jc w:val="right"/>
            </w:pPr>
            <w:r w:rsidRPr="0028066B">
              <w:t>778</w:t>
            </w:r>
          </w:p>
        </w:tc>
        <w:tc>
          <w:tcPr>
            <w:tcW w:w="747" w:type="dxa"/>
            <w:tcBorders>
              <w:bottom w:val="single" w:sz="4" w:space="0" w:color="000000"/>
            </w:tcBorders>
          </w:tcPr>
          <w:p w14:paraId="2522039A" w14:textId="77777777" w:rsidR="007123C7" w:rsidRPr="0028066B" w:rsidRDefault="007123C7" w:rsidP="00E82294">
            <w:pPr>
              <w:pStyle w:val="TableText"/>
              <w:jc w:val="right"/>
            </w:pPr>
            <w:r w:rsidRPr="0028066B">
              <w:t>5368</w:t>
            </w:r>
          </w:p>
        </w:tc>
        <w:tc>
          <w:tcPr>
            <w:tcW w:w="994" w:type="dxa"/>
            <w:tcBorders>
              <w:bottom w:val="single" w:sz="4" w:space="0" w:color="000000"/>
            </w:tcBorders>
          </w:tcPr>
          <w:p w14:paraId="24F0EDDC" w14:textId="77777777" w:rsidR="007123C7" w:rsidRPr="0028066B" w:rsidRDefault="007123C7" w:rsidP="00E82294">
            <w:pPr>
              <w:pStyle w:val="TableText"/>
              <w:jc w:val="right"/>
            </w:pPr>
            <w:r w:rsidRPr="0028066B">
              <w:t>87.6 (84.9</w:t>
            </w:r>
            <w:r w:rsidR="0062434A">
              <w:t>, </w:t>
            </w:r>
            <w:r w:rsidRPr="0028066B">
              <w:t>90.0)</w:t>
            </w:r>
          </w:p>
        </w:tc>
        <w:tc>
          <w:tcPr>
            <w:tcW w:w="509" w:type="dxa"/>
            <w:tcBorders>
              <w:bottom w:val="single" w:sz="4" w:space="0" w:color="000000"/>
            </w:tcBorders>
          </w:tcPr>
          <w:p w14:paraId="49E1CC44" w14:textId="77777777" w:rsidR="007123C7" w:rsidRPr="0028066B" w:rsidRDefault="007123C7" w:rsidP="00E82294">
            <w:pPr>
              <w:pStyle w:val="TableText"/>
              <w:jc w:val="right"/>
            </w:pPr>
            <w:r w:rsidRPr="0028066B">
              <w:t>127</w:t>
            </w:r>
          </w:p>
        </w:tc>
        <w:tc>
          <w:tcPr>
            <w:tcW w:w="810" w:type="dxa"/>
            <w:tcBorders>
              <w:bottom w:val="single" w:sz="4" w:space="0" w:color="000000"/>
            </w:tcBorders>
          </w:tcPr>
          <w:p w14:paraId="76662125" w14:textId="77777777" w:rsidR="007123C7" w:rsidRPr="0028066B" w:rsidRDefault="007123C7" w:rsidP="00E82294">
            <w:pPr>
              <w:pStyle w:val="TableText"/>
              <w:jc w:val="right"/>
            </w:pPr>
            <w:r w:rsidRPr="0028066B">
              <w:t>949</w:t>
            </w:r>
          </w:p>
        </w:tc>
        <w:tc>
          <w:tcPr>
            <w:tcW w:w="903" w:type="dxa"/>
            <w:tcBorders>
              <w:bottom w:val="single" w:sz="4" w:space="0" w:color="000000"/>
            </w:tcBorders>
          </w:tcPr>
          <w:p w14:paraId="47127D7B" w14:textId="77777777" w:rsidR="007123C7" w:rsidRPr="0028066B" w:rsidRDefault="007123C7" w:rsidP="00E82294">
            <w:pPr>
              <w:pStyle w:val="TableText"/>
              <w:jc w:val="right"/>
            </w:pPr>
            <w:r w:rsidRPr="0028066B">
              <w:t>87.3 (77.0</w:t>
            </w:r>
            <w:r w:rsidR="0062434A">
              <w:t>, </w:t>
            </w:r>
            <w:r w:rsidRPr="0028066B">
              <w:t>93.3)</w:t>
            </w:r>
          </w:p>
        </w:tc>
        <w:tc>
          <w:tcPr>
            <w:tcW w:w="447" w:type="dxa"/>
            <w:tcBorders>
              <w:bottom w:val="single" w:sz="4" w:space="0" w:color="000000"/>
            </w:tcBorders>
          </w:tcPr>
          <w:p w14:paraId="2B64A709" w14:textId="77777777" w:rsidR="007123C7" w:rsidRPr="0028066B" w:rsidRDefault="007123C7" w:rsidP="00E82294">
            <w:pPr>
              <w:pStyle w:val="TableText"/>
              <w:jc w:val="right"/>
            </w:pPr>
            <w:r w:rsidRPr="0028066B">
              <w:t>601</w:t>
            </w:r>
          </w:p>
        </w:tc>
        <w:tc>
          <w:tcPr>
            <w:tcW w:w="781" w:type="dxa"/>
            <w:tcBorders>
              <w:bottom w:val="single" w:sz="4" w:space="0" w:color="000000"/>
            </w:tcBorders>
          </w:tcPr>
          <w:p w14:paraId="4F68C575" w14:textId="77777777" w:rsidR="007123C7" w:rsidRPr="0028066B" w:rsidRDefault="007123C7" w:rsidP="00E82294">
            <w:pPr>
              <w:pStyle w:val="TableText"/>
              <w:jc w:val="right"/>
            </w:pPr>
            <w:r w:rsidRPr="0028066B">
              <w:t>5055</w:t>
            </w:r>
          </w:p>
        </w:tc>
        <w:tc>
          <w:tcPr>
            <w:tcW w:w="994" w:type="dxa"/>
            <w:tcBorders>
              <w:bottom w:val="single" w:sz="4" w:space="0" w:color="000000"/>
            </w:tcBorders>
          </w:tcPr>
          <w:p w14:paraId="016BF465" w14:textId="77777777" w:rsidR="007123C7" w:rsidRPr="0028066B" w:rsidRDefault="007123C7" w:rsidP="00E82294">
            <w:pPr>
              <w:pStyle w:val="TableText"/>
              <w:jc w:val="right"/>
            </w:pPr>
            <w:r w:rsidRPr="0028066B">
              <w:t>82.1 (73.9</w:t>
            </w:r>
            <w:r w:rsidR="0062434A">
              <w:t>, </w:t>
            </w:r>
            <w:r w:rsidRPr="0028066B">
              <w:t>88.1)</w:t>
            </w:r>
          </w:p>
        </w:tc>
      </w:tr>
      <w:tr w:rsidR="007123C7" w:rsidRPr="000F78B9" w14:paraId="61D60BCA" w14:textId="77777777" w:rsidTr="0062434A">
        <w:trPr>
          <w:cantSplit/>
        </w:trPr>
        <w:tc>
          <w:tcPr>
            <w:tcW w:w="2630" w:type="dxa"/>
            <w:tcBorders>
              <w:top w:val="single" w:sz="4" w:space="0" w:color="000000"/>
              <w:bottom w:val="nil"/>
            </w:tcBorders>
          </w:tcPr>
          <w:p w14:paraId="74C05F6F" w14:textId="77777777" w:rsidR="007123C7" w:rsidRPr="0028066B" w:rsidRDefault="007123C7" w:rsidP="00E82294">
            <w:pPr>
              <w:pStyle w:val="TableText"/>
              <w:rPr>
                <w:b/>
                <w:i/>
              </w:rPr>
            </w:pPr>
            <w:r>
              <w:rPr>
                <w:b/>
              </w:rPr>
              <w:t>Probable g</w:t>
            </w:r>
            <w:r w:rsidRPr="0028066B">
              <w:rPr>
                <w:b/>
              </w:rPr>
              <w:t>eneralised anxiety disorder</w:t>
            </w:r>
          </w:p>
        </w:tc>
        <w:tc>
          <w:tcPr>
            <w:tcW w:w="2224" w:type="dxa"/>
            <w:gridSpan w:val="3"/>
            <w:tcBorders>
              <w:top w:val="single" w:sz="4" w:space="0" w:color="000000"/>
              <w:bottom w:val="nil"/>
            </w:tcBorders>
          </w:tcPr>
          <w:p w14:paraId="131A2AAA" w14:textId="77777777" w:rsidR="007123C7" w:rsidRPr="000F78B9" w:rsidRDefault="007123C7" w:rsidP="00E82294">
            <w:pPr>
              <w:pStyle w:val="TableText"/>
              <w:jc w:val="center"/>
            </w:pPr>
            <w:r>
              <w:t>n</w:t>
            </w:r>
            <w:r w:rsidRPr="000F78B9">
              <w:t>=</w:t>
            </w:r>
            <w:r>
              <w:t>142</w:t>
            </w:r>
            <w:r w:rsidRPr="000F78B9">
              <w:t xml:space="preserve"> (Weighted</w:t>
            </w:r>
            <w:r>
              <w:t xml:space="preserve"> n</w:t>
            </w:r>
            <w:r w:rsidRPr="000F78B9">
              <w:t>=</w:t>
            </w:r>
            <w:r>
              <w:t>984</w:t>
            </w:r>
            <w:r w:rsidRPr="000F78B9">
              <w:t>)</w:t>
            </w:r>
          </w:p>
        </w:tc>
        <w:tc>
          <w:tcPr>
            <w:tcW w:w="2222" w:type="dxa"/>
            <w:gridSpan w:val="3"/>
            <w:tcBorders>
              <w:top w:val="single" w:sz="4" w:space="0" w:color="000000"/>
              <w:bottom w:val="nil"/>
            </w:tcBorders>
          </w:tcPr>
          <w:p w14:paraId="6DE364E4" w14:textId="77777777" w:rsidR="007123C7" w:rsidRPr="000F78B9" w:rsidRDefault="007123C7" w:rsidP="00E82294">
            <w:pPr>
              <w:pStyle w:val="TableText"/>
              <w:jc w:val="center"/>
            </w:pPr>
            <w:r>
              <w:t>n=670</w:t>
            </w:r>
            <w:r w:rsidRPr="000F78B9">
              <w:t xml:space="preserve"> (Weighted </w:t>
            </w:r>
            <w:r>
              <w:t>n</w:t>
            </w:r>
            <w:r w:rsidRPr="000F78B9">
              <w:t>=</w:t>
            </w:r>
            <w:r>
              <w:t>4586</w:t>
            </w:r>
            <w:r w:rsidRPr="000F78B9">
              <w:t>)</w:t>
            </w:r>
          </w:p>
        </w:tc>
        <w:tc>
          <w:tcPr>
            <w:tcW w:w="2222" w:type="dxa"/>
            <w:gridSpan w:val="3"/>
            <w:tcBorders>
              <w:top w:val="single" w:sz="4" w:space="0" w:color="000000"/>
              <w:bottom w:val="nil"/>
            </w:tcBorders>
          </w:tcPr>
          <w:p w14:paraId="47A27451" w14:textId="77777777" w:rsidR="007123C7" w:rsidRPr="000F78B9" w:rsidRDefault="007123C7" w:rsidP="00E82294">
            <w:pPr>
              <w:pStyle w:val="TableText"/>
              <w:jc w:val="center"/>
            </w:pPr>
            <w:r>
              <w:t>n</w:t>
            </w:r>
            <w:r w:rsidRPr="000F78B9">
              <w:t>=</w:t>
            </w:r>
            <w:r>
              <w:t>77</w:t>
            </w:r>
            <w:r w:rsidRPr="000F78B9">
              <w:t xml:space="preserve"> (Weighted</w:t>
            </w:r>
            <w:r>
              <w:t xml:space="preserve"> n</w:t>
            </w:r>
            <w:r w:rsidRPr="000F78B9">
              <w:t>=</w:t>
            </w:r>
            <w:r>
              <w:t>574</w:t>
            </w:r>
            <w:r w:rsidRPr="000F78B9">
              <w:t>)</w:t>
            </w:r>
          </w:p>
        </w:tc>
        <w:tc>
          <w:tcPr>
            <w:tcW w:w="2222" w:type="dxa"/>
            <w:gridSpan w:val="3"/>
            <w:tcBorders>
              <w:top w:val="single" w:sz="4" w:space="0" w:color="000000"/>
              <w:bottom w:val="nil"/>
            </w:tcBorders>
          </w:tcPr>
          <w:p w14:paraId="3E551A12" w14:textId="77777777" w:rsidR="007123C7" w:rsidRPr="000F78B9" w:rsidRDefault="007123C7" w:rsidP="00E82294">
            <w:pPr>
              <w:pStyle w:val="TableText"/>
              <w:jc w:val="center"/>
            </w:pPr>
            <w:r>
              <w:t>n</w:t>
            </w:r>
            <w:r w:rsidRPr="000F78B9">
              <w:t>=</w:t>
            </w:r>
            <w:r>
              <w:t xml:space="preserve">549 </w:t>
            </w:r>
            <w:r w:rsidRPr="000F78B9">
              <w:t xml:space="preserve">(Weighted </w:t>
            </w:r>
            <w:r>
              <w:t>n</w:t>
            </w:r>
            <w:r w:rsidRPr="000F78B9">
              <w:t>=</w:t>
            </w:r>
            <w:r>
              <w:t>4079</w:t>
            </w:r>
            <w:r w:rsidRPr="000F78B9">
              <w:t>)</w:t>
            </w:r>
          </w:p>
        </w:tc>
      </w:tr>
      <w:tr w:rsidR="0062434A" w:rsidRPr="0028066B" w14:paraId="72735454" w14:textId="77777777" w:rsidTr="0062434A">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6B8F29C2" w14:textId="77777777" w:rsidR="007123C7" w:rsidRPr="0028066B" w:rsidRDefault="007123C7" w:rsidP="00E82294">
            <w:pPr>
              <w:pStyle w:val="TableText"/>
            </w:pPr>
            <w:r w:rsidRPr="0028066B">
              <w:t xml:space="preserve">Used ADF website </w:t>
            </w:r>
          </w:p>
        </w:tc>
        <w:tc>
          <w:tcPr>
            <w:tcW w:w="455" w:type="dxa"/>
            <w:tcBorders>
              <w:top w:val="nil"/>
            </w:tcBorders>
          </w:tcPr>
          <w:p w14:paraId="6E41EE76" w14:textId="77777777" w:rsidR="007123C7" w:rsidRPr="0028066B" w:rsidRDefault="007123C7" w:rsidP="00E82294">
            <w:pPr>
              <w:pStyle w:val="TableText"/>
              <w:jc w:val="right"/>
            </w:pPr>
            <w:r w:rsidRPr="0028066B">
              <w:t>25</w:t>
            </w:r>
          </w:p>
        </w:tc>
        <w:tc>
          <w:tcPr>
            <w:tcW w:w="775" w:type="dxa"/>
            <w:tcBorders>
              <w:top w:val="nil"/>
            </w:tcBorders>
          </w:tcPr>
          <w:p w14:paraId="72660FCA" w14:textId="77777777" w:rsidR="007123C7" w:rsidRPr="0028066B" w:rsidRDefault="007123C7" w:rsidP="00E82294">
            <w:pPr>
              <w:pStyle w:val="TableText"/>
              <w:jc w:val="right"/>
            </w:pPr>
            <w:r w:rsidRPr="0028066B">
              <w:t>161</w:t>
            </w:r>
          </w:p>
        </w:tc>
        <w:tc>
          <w:tcPr>
            <w:tcW w:w="994" w:type="dxa"/>
            <w:tcBorders>
              <w:top w:val="nil"/>
            </w:tcBorders>
          </w:tcPr>
          <w:p w14:paraId="50789A04" w14:textId="77777777" w:rsidR="007123C7" w:rsidRPr="0028066B" w:rsidRDefault="007123C7" w:rsidP="00E82294">
            <w:pPr>
              <w:pStyle w:val="TableText"/>
              <w:jc w:val="right"/>
            </w:pPr>
            <w:r w:rsidRPr="0028066B">
              <w:t>16.3 (10.4</w:t>
            </w:r>
            <w:r w:rsidR="0062434A">
              <w:t>, </w:t>
            </w:r>
            <w:r w:rsidRPr="0028066B">
              <w:t>24.7)</w:t>
            </w:r>
          </w:p>
        </w:tc>
        <w:tc>
          <w:tcPr>
            <w:tcW w:w="481" w:type="dxa"/>
            <w:tcBorders>
              <w:top w:val="nil"/>
            </w:tcBorders>
          </w:tcPr>
          <w:p w14:paraId="3DB95901" w14:textId="77777777" w:rsidR="007123C7" w:rsidRPr="0028066B" w:rsidRDefault="007123C7" w:rsidP="00E82294">
            <w:pPr>
              <w:pStyle w:val="TableText"/>
              <w:jc w:val="right"/>
            </w:pPr>
            <w:r w:rsidRPr="0028066B">
              <w:t>107</w:t>
            </w:r>
          </w:p>
        </w:tc>
        <w:tc>
          <w:tcPr>
            <w:tcW w:w="747" w:type="dxa"/>
            <w:tcBorders>
              <w:top w:val="nil"/>
            </w:tcBorders>
          </w:tcPr>
          <w:p w14:paraId="0A985522" w14:textId="77777777" w:rsidR="007123C7" w:rsidRPr="0028066B" w:rsidRDefault="007123C7" w:rsidP="00E82294">
            <w:pPr>
              <w:pStyle w:val="TableText"/>
              <w:jc w:val="right"/>
            </w:pPr>
            <w:r w:rsidRPr="0028066B">
              <w:t>627</w:t>
            </w:r>
          </w:p>
        </w:tc>
        <w:tc>
          <w:tcPr>
            <w:tcW w:w="994" w:type="dxa"/>
            <w:tcBorders>
              <w:top w:val="nil"/>
            </w:tcBorders>
          </w:tcPr>
          <w:p w14:paraId="11069DB2" w14:textId="77777777" w:rsidR="007123C7" w:rsidRPr="0028066B" w:rsidRDefault="007123C7" w:rsidP="00E82294">
            <w:pPr>
              <w:pStyle w:val="TableText"/>
              <w:jc w:val="right"/>
            </w:pPr>
            <w:r w:rsidRPr="0028066B">
              <w:t>13.7 (10.9</w:t>
            </w:r>
            <w:r w:rsidR="0062434A">
              <w:t>, </w:t>
            </w:r>
            <w:r w:rsidRPr="0028066B">
              <w:t>17.0)</w:t>
            </w:r>
          </w:p>
        </w:tc>
        <w:tc>
          <w:tcPr>
            <w:tcW w:w="509" w:type="dxa"/>
            <w:tcBorders>
              <w:top w:val="nil"/>
            </w:tcBorders>
          </w:tcPr>
          <w:p w14:paraId="45DC6CD0" w14:textId="77777777" w:rsidR="007123C7" w:rsidRPr="0028066B" w:rsidRDefault="007123C7" w:rsidP="00E82294">
            <w:pPr>
              <w:pStyle w:val="TableText"/>
              <w:jc w:val="right"/>
            </w:pPr>
            <w:r w:rsidRPr="0028066B">
              <w:t>15</w:t>
            </w:r>
          </w:p>
        </w:tc>
        <w:tc>
          <w:tcPr>
            <w:tcW w:w="810" w:type="dxa"/>
            <w:tcBorders>
              <w:top w:val="nil"/>
            </w:tcBorders>
          </w:tcPr>
          <w:p w14:paraId="3447356A" w14:textId="77777777" w:rsidR="007123C7" w:rsidRPr="0028066B" w:rsidRDefault="007123C7" w:rsidP="00E82294">
            <w:pPr>
              <w:pStyle w:val="TableText"/>
              <w:jc w:val="right"/>
            </w:pPr>
            <w:r w:rsidRPr="0028066B">
              <w:t>245</w:t>
            </w:r>
          </w:p>
        </w:tc>
        <w:tc>
          <w:tcPr>
            <w:tcW w:w="903" w:type="dxa"/>
            <w:tcBorders>
              <w:top w:val="nil"/>
            </w:tcBorders>
          </w:tcPr>
          <w:p w14:paraId="2AD8F2C9" w14:textId="77777777" w:rsidR="007123C7" w:rsidRPr="0028066B" w:rsidRDefault="007123C7" w:rsidP="00E82294">
            <w:pPr>
              <w:pStyle w:val="TableText"/>
              <w:jc w:val="right"/>
            </w:pPr>
            <w:r w:rsidRPr="0028066B">
              <w:t>42.7 (13.9</w:t>
            </w:r>
            <w:r w:rsidR="0062434A">
              <w:t>, </w:t>
            </w:r>
            <w:r w:rsidRPr="0028066B">
              <w:t>77.4)</w:t>
            </w:r>
          </w:p>
        </w:tc>
        <w:tc>
          <w:tcPr>
            <w:tcW w:w="447" w:type="dxa"/>
            <w:tcBorders>
              <w:top w:val="nil"/>
            </w:tcBorders>
          </w:tcPr>
          <w:p w14:paraId="5FE6C33D" w14:textId="77777777" w:rsidR="007123C7" w:rsidRPr="0028066B" w:rsidRDefault="007123C7" w:rsidP="00E82294">
            <w:pPr>
              <w:pStyle w:val="TableText"/>
              <w:jc w:val="right"/>
            </w:pPr>
            <w:r w:rsidRPr="0028066B">
              <w:t>146</w:t>
            </w:r>
          </w:p>
        </w:tc>
        <w:tc>
          <w:tcPr>
            <w:tcW w:w="781" w:type="dxa"/>
            <w:tcBorders>
              <w:top w:val="nil"/>
            </w:tcBorders>
          </w:tcPr>
          <w:p w14:paraId="32DCDA2C" w14:textId="77777777" w:rsidR="007123C7" w:rsidRPr="0028066B" w:rsidRDefault="007123C7" w:rsidP="00E82294">
            <w:pPr>
              <w:pStyle w:val="TableText"/>
              <w:jc w:val="right"/>
            </w:pPr>
            <w:r w:rsidRPr="0028066B">
              <w:t>803</w:t>
            </w:r>
          </w:p>
        </w:tc>
        <w:tc>
          <w:tcPr>
            <w:tcW w:w="994" w:type="dxa"/>
            <w:tcBorders>
              <w:top w:val="nil"/>
            </w:tcBorders>
          </w:tcPr>
          <w:p w14:paraId="5DAA89BF" w14:textId="77777777" w:rsidR="007123C7" w:rsidRPr="0028066B" w:rsidRDefault="007123C7" w:rsidP="00E82294">
            <w:pPr>
              <w:pStyle w:val="TableText"/>
              <w:jc w:val="right"/>
            </w:pPr>
            <w:r w:rsidRPr="0028066B">
              <w:t>19.7 (11.9</w:t>
            </w:r>
            <w:r w:rsidR="0062434A">
              <w:t>, </w:t>
            </w:r>
            <w:r w:rsidRPr="0028066B">
              <w:t>30.8)</w:t>
            </w:r>
          </w:p>
        </w:tc>
      </w:tr>
      <w:tr w:rsidR="0062434A" w:rsidRPr="0028066B" w14:paraId="398897CB" w14:textId="77777777" w:rsidTr="0062434A">
        <w:trPr>
          <w:cantSplit/>
        </w:trPr>
        <w:tc>
          <w:tcPr>
            <w:tcW w:w="2630" w:type="dxa"/>
          </w:tcPr>
          <w:p w14:paraId="4D770297" w14:textId="77777777" w:rsidR="007123C7" w:rsidRPr="0028066B" w:rsidRDefault="007123C7" w:rsidP="00E82294">
            <w:pPr>
              <w:pStyle w:val="TableText"/>
            </w:pPr>
            <w:r w:rsidRPr="0028066B">
              <w:t>Did not use ADF website</w:t>
            </w:r>
          </w:p>
        </w:tc>
        <w:tc>
          <w:tcPr>
            <w:tcW w:w="455" w:type="dxa"/>
          </w:tcPr>
          <w:p w14:paraId="69AB403B" w14:textId="77777777" w:rsidR="007123C7" w:rsidRPr="0028066B" w:rsidRDefault="007123C7" w:rsidP="00E82294">
            <w:pPr>
              <w:pStyle w:val="TableText"/>
              <w:jc w:val="right"/>
            </w:pPr>
            <w:r w:rsidRPr="0028066B">
              <w:t>117</w:t>
            </w:r>
          </w:p>
        </w:tc>
        <w:tc>
          <w:tcPr>
            <w:tcW w:w="775" w:type="dxa"/>
          </w:tcPr>
          <w:p w14:paraId="69CC0E6B" w14:textId="77777777" w:rsidR="007123C7" w:rsidRPr="0028066B" w:rsidRDefault="007123C7" w:rsidP="00E82294">
            <w:pPr>
              <w:pStyle w:val="TableText"/>
              <w:jc w:val="right"/>
            </w:pPr>
            <w:r w:rsidRPr="0028066B">
              <w:t>824</w:t>
            </w:r>
          </w:p>
        </w:tc>
        <w:tc>
          <w:tcPr>
            <w:tcW w:w="994" w:type="dxa"/>
          </w:tcPr>
          <w:p w14:paraId="545209CB" w14:textId="77777777" w:rsidR="007123C7" w:rsidRPr="0028066B" w:rsidRDefault="007123C7" w:rsidP="00E82294">
            <w:pPr>
              <w:pStyle w:val="TableText"/>
              <w:jc w:val="right"/>
            </w:pPr>
            <w:r w:rsidRPr="0028066B">
              <w:t>83.7 (75.3</w:t>
            </w:r>
            <w:r w:rsidR="0062434A">
              <w:t>, </w:t>
            </w:r>
            <w:r w:rsidRPr="0028066B">
              <w:t>89.6)</w:t>
            </w:r>
          </w:p>
        </w:tc>
        <w:tc>
          <w:tcPr>
            <w:tcW w:w="481" w:type="dxa"/>
          </w:tcPr>
          <w:p w14:paraId="6A4E924D" w14:textId="77777777" w:rsidR="007123C7" w:rsidRPr="0028066B" w:rsidRDefault="007123C7" w:rsidP="00E82294">
            <w:pPr>
              <w:pStyle w:val="TableText"/>
              <w:jc w:val="right"/>
            </w:pPr>
            <w:r w:rsidRPr="0028066B">
              <w:t>563</w:t>
            </w:r>
          </w:p>
        </w:tc>
        <w:tc>
          <w:tcPr>
            <w:tcW w:w="747" w:type="dxa"/>
          </w:tcPr>
          <w:p w14:paraId="634F80D7" w14:textId="77777777" w:rsidR="007123C7" w:rsidRPr="0028066B" w:rsidRDefault="007123C7" w:rsidP="00E82294">
            <w:pPr>
              <w:pStyle w:val="TableText"/>
              <w:jc w:val="right"/>
            </w:pPr>
            <w:r w:rsidRPr="0028066B">
              <w:t>3958</w:t>
            </w:r>
          </w:p>
        </w:tc>
        <w:tc>
          <w:tcPr>
            <w:tcW w:w="994" w:type="dxa"/>
          </w:tcPr>
          <w:p w14:paraId="7C0EB562" w14:textId="77777777" w:rsidR="007123C7" w:rsidRPr="0028066B" w:rsidRDefault="007123C7" w:rsidP="00E82294">
            <w:pPr>
              <w:pStyle w:val="TableText"/>
              <w:jc w:val="right"/>
            </w:pPr>
            <w:r w:rsidRPr="0028066B">
              <w:t>86.3 (83.0</w:t>
            </w:r>
            <w:r w:rsidR="0062434A">
              <w:t>, </w:t>
            </w:r>
            <w:r w:rsidRPr="0028066B">
              <w:t>89.1)</w:t>
            </w:r>
          </w:p>
        </w:tc>
        <w:tc>
          <w:tcPr>
            <w:tcW w:w="509" w:type="dxa"/>
          </w:tcPr>
          <w:p w14:paraId="5B51656A" w14:textId="77777777" w:rsidR="007123C7" w:rsidRPr="0028066B" w:rsidRDefault="007123C7" w:rsidP="00E82294">
            <w:pPr>
              <w:pStyle w:val="TableText"/>
              <w:jc w:val="right"/>
            </w:pPr>
            <w:r w:rsidRPr="0028066B">
              <w:t>62</w:t>
            </w:r>
          </w:p>
        </w:tc>
        <w:tc>
          <w:tcPr>
            <w:tcW w:w="810" w:type="dxa"/>
          </w:tcPr>
          <w:p w14:paraId="5CAC743D" w14:textId="77777777" w:rsidR="007123C7" w:rsidRPr="0028066B" w:rsidRDefault="007123C7" w:rsidP="00E82294">
            <w:pPr>
              <w:pStyle w:val="TableText"/>
              <w:jc w:val="right"/>
            </w:pPr>
            <w:r w:rsidRPr="0028066B">
              <w:t>329</w:t>
            </w:r>
          </w:p>
        </w:tc>
        <w:tc>
          <w:tcPr>
            <w:tcW w:w="903" w:type="dxa"/>
          </w:tcPr>
          <w:p w14:paraId="5EF4351B" w14:textId="77777777" w:rsidR="007123C7" w:rsidRPr="0028066B" w:rsidRDefault="007123C7" w:rsidP="00E82294">
            <w:pPr>
              <w:pStyle w:val="TableText"/>
              <w:jc w:val="right"/>
            </w:pPr>
            <w:r w:rsidRPr="0028066B">
              <w:t>57.3 (22.6</w:t>
            </w:r>
            <w:r w:rsidR="0062434A">
              <w:t>, </w:t>
            </w:r>
            <w:r w:rsidRPr="0028066B">
              <w:t>86.1)</w:t>
            </w:r>
          </w:p>
        </w:tc>
        <w:tc>
          <w:tcPr>
            <w:tcW w:w="447" w:type="dxa"/>
          </w:tcPr>
          <w:p w14:paraId="59A62AB1" w14:textId="77777777" w:rsidR="007123C7" w:rsidRPr="0028066B" w:rsidRDefault="007123C7" w:rsidP="00E82294">
            <w:pPr>
              <w:pStyle w:val="TableText"/>
              <w:jc w:val="right"/>
            </w:pPr>
            <w:r w:rsidRPr="0028066B">
              <w:t>403</w:t>
            </w:r>
          </w:p>
        </w:tc>
        <w:tc>
          <w:tcPr>
            <w:tcW w:w="781" w:type="dxa"/>
          </w:tcPr>
          <w:p w14:paraId="56C0B8FE" w14:textId="77777777" w:rsidR="007123C7" w:rsidRPr="0028066B" w:rsidRDefault="007123C7" w:rsidP="00E82294">
            <w:pPr>
              <w:pStyle w:val="TableText"/>
              <w:jc w:val="right"/>
            </w:pPr>
            <w:r w:rsidRPr="0028066B">
              <w:t>3276</w:t>
            </w:r>
          </w:p>
        </w:tc>
        <w:tc>
          <w:tcPr>
            <w:tcW w:w="994" w:type="dxa"/>
          </w:tcPr>
          <w:p w14:paraId="3A85C94E" w14:textId="77777777" w:rsidR="007123C7" w:rsidRPr="0028066B" w:rsidRDefault="007123C7" w:rsidP="00E82294">
            <w:pPr>
              <w:pStyle w:val="TableText"/>
              <w:jc w:val="right"/>
            </w:pPr>
            <w:r w:rsidRPr="0028066B">
              <w:t>80.3 (69.2</w:t>
            </w:r>
            <w:r w:rsidR="0062434A">
              <w:t>, </w:t>
            </w:r>
            <w:r w:rsidRPr="0028066B">
              <w:t>88.1)</w:t>
            </w:r>
          </w:p>
        </w:tc>
      </w:tr>
    </w:tbl>
    <w:p w14:paraId="48341426" w14:textId="77777777" w:rsidR="007123C7" w:rsidRPr="0028066B" w:rsidRDefault="007123C7" w:rsidP="007123C7">
      <w:pPr>
        <w:pStyle w:val="TableNotes"/>
      </w:pPr>
      <w:r w:rsidRPr="0028066B">
        <w:t>Denominator:</w:t>
      </w:r>
      <w:r>
        <w:t xml:space="preserve"> </w:t>
      </w:r>
      <w:r w:rsidRPr="000F78B9">
        <w:t>Transitioned and 2015 Regular ADF with a probable disorder</w:t>
      </w:r>
    </w:p>
    <w:p w14:paraId="10F5C1A3" w14:textId="77777777" w:rsidR="007123C7" w:rsidRPr="00C72931" w:rsidRDefault="007123C7" w:rsidP="007123C7">
      <w:pPr>
        <w:pStyle w:val="TableNotes"/>
      </w:pPr>
      <w:r w:rsidRPr="009344FF">
        <w:t>Note: Proportions may not add up to 100% due to rounding and missing values. However, distributions are calculated by including those with a missing value to allow for correct weighted totals.</w:t>
      </w:r>
      <w:r w:rsidRPr="00C72931">
        <w:t xml:space="preserve"> </w:t>
      </w:r>
    </w:p>
    <w:p w14:paraId="3F1236CC" w14:textId="77777777" w:rsidR="007123C7" w:rsidRDefault="007123C7" w:rsidP="007123C7">
      <w:pPr>
        <w:pStyle w:val="TableNotes"/>
      </w:pPr>
      <w:r>
        <w:t>95%CI = 95% confidence interval.</w:t>
      </w:r>
    </w:p>
    <w:p w14:paraId="38CD0CDF" w14:textId="77777777" w:rsidR="007123C7" w:rsidRDefault="007123C7" w:rsidP="007123C7">
      <w:pPr>
        <w:pStyle w:val="TableNotes"/>
        <w:rPr>
          <w:rFonts w:cs="Calibri"/>
          <w:bCs/>
          <w:color w:val="000000" w:themeColor="text1"/>
          <w:szCs w:val="14"/>
        </w:rPr>
      </w:pPr>
      <w:r>
        <w:rPr>
          <w:rFonts w:cs="Calibri"/>
          <w:bCs/>
          <w:color w:val="000000" w:themeColor="text1"/>
          <w:szCs w:val="14"/>
        </w:rPr>
        <w:t># = Cell size too small to be reported.</w:t>
      </w:r>
    </w:p>
    <w:p w14:paraId="2D739BE8" w14:textId="77777777" w:rsidR="00B926FE" w:rsidRDefault="00B926FE" w:rsidP="00B926FE"/>
    <w:p w14:paraId="4730E567" w14:textId="77777777" w:rsidR="00B926FE" w:rsidRDefault="00B926FE" w:rsidP="00B926FE">
      <w:pPr>
        <w:sectPr w:rsidR="00B926FE" w:rsidSect="00980AE4">
          <w:footerReference w:type="even" r:id="rId124"/>
          <w:footerReference w:type="default" r:id="rId125"/>
          <w:pgSz w:w="14170" w:h="9979" w:orient="landscape" w:code="243"/>
          <w:pgMar w:top="1872" w:right="1440" w:bottom="1152" w:left="1440" w:header="576" w:footer="576" w:gutter="0"/>
          <w:cols w:space="708"/>
          <w:docGrid w:linePitch="360"/>
        </w:sectPr>
      </w:pPr>
    </w:p>
    <w:p w14:paraId="39DD7D41" w14:textId="77777777" w:rsidR="00103AB1" w:rsidRPr="00D111DE" w:rsidRDefault="00103AB1" w:rsidP="0062434A">
      <w:pPr>
        <w:keepLines/>
      </w:pPr>
      <w:bookmarkStart w:id="1028" w:name="_Toc518566444"/>
      <w:bookmarkStart w:id="1029" w:name="_Toc528932722"/>
      <w:r>
        <w:t xml:space="preserve">Overall, there was no association between self-reported stigma and use of the ADF website to assess/inform mental health among Transitioned ADF and 2015 Regular ADF members with probable PTSD, anxiety/depression, depressive episodes, generalised anxiety disorder or 12-month suicidal ideation and behaviour. </w:t>
      </w:r>
    </w:p>
    <w:p w14:paraId="011B027B" w14:textId="77777777" w:rsidR="007123C7" w:rsidRDefault="007123C7" w:rsidP="007123C7">
      <w:pPr>
        <w:pStyle w:val="Heading3"/>
        <w:numPr>
          <w:ilvl w:val="2"/>
          <w:numId w:val="1"/>
        </w:numPr>
      </w:pPr>
      <w:bookmarkStart w:id="1030" w:name="_Toc531859259"/>
      <w:r w:rsidRPr="00C72931">
        <w:t xml:space="preserve">Probable disorder according to the presence or absence of </w:t>
      </w:r>
      <w:r>
        <w:t xml:space="preserve">perceived </w:t>
      </w:r>
      <w:r w:rsidRPr="00C72931">
        <w:t>barriers to seeking care for a mental health condition</w:t>
      </w:r>
      <w:bookmarkEnd w:id="1028"/>
      <w:bookmarkEnd w:id="1029"/>
      <w:bookmarkEnd w:id="1030"/>
    </w:p>
    <w:p w14:paraId="043AD053" w14:textId="2F3481AA" w:rsidR="007123C7" w:rsidRDefault="007123C7" w:rsidP="007123C7">
      <w:r w:rsidRPr="000374B6">
        <w:t xml:space="preserve">Table </w:t>
      </w:r>
      <w:r>
        <w:rPr>
          <w:noProof/>
        </w:rPr>
        <w:t>9</w:t>
      </w:r>
      <w:r>
        <w:t>.</w:t>
      </w:r>
      <w:r>
        <w:rPr>
          <w:noProof/>
        </w:rPr>
        <w:t>7</w:t>
      </w:r>
      <w:r>
        <w:t xml:space="preserve"> </w:t>
      </w:r>
      <w:r w:rsidRPr="000374B6">
        <w:t xml:space="preserve">below presents the estimated proportion of Transitioned ADF and 2015 Regular ADF meeting criteria for a probable disorder on key mental health outcomes who reported using </w:t>
      </w:r>
      <w:r>
        <w:t>the ADF</w:t>
      </w:r>
      <w:r w:rsidRPr="000374B6">
        <w:t xml:space="preserve"> website, according to the presence or absence of perceived barriers</w:t>
      </w:r>
      <w:r>
        <w:t xml:space="preserve"> to care</w:t>
      </w:r>
      <w:r w:rsidRPr="000374B6">
        <w:t>.</w:t>
      </w:r>
    </w:p>
    <w:p w14:paraId="5F56B700" w14:textId="77777777" w:rsidR="007123C7" w:rsidRPr="00D111DE" w:rsidRDefault="007123C7" w:rsidP="007123C7">
      <w:r>
        <w:t xml:space="preserve">Overall, there was no association between perceived barriers to care and use of the ADF website to assess/inform mental health among Transitioned ADF and 2015 Regular ADF members with probable PTSD, anxiety/depression, depressive episodes, generalised anxiety disorder or 12-month suicidal ideation and behaviour. </w:t>
      </w:r>
    </w:p>
    <w:p w14:paraId="1CB75ED7" w14:textId="297E9B9F" w:rsidR="007123C7" w:rsidRDefault="007123C7" w:rsidP="007123C7">
      <w:r>
        <w:t>Among those</w:t>
      </w:r>
      <w:r w:rsidRPr="00D111DE">
        <w:t xml:space="preserve"> with </w:t>
      </w:r>
      <w:r>
        <w:t xml:space="preserve">a </w:t>
      </w:r>
      <w:r w:rsidRPr="00D111DE">
        <w:t xml:space="preserve">probable </w:t>
      </w:r>
      <w:r>
        <w:t>alcohol disorder</w:t>
      </w:r>
      <w:r w:rsidR="00F94386">
        <w:t>,</w:t>
      </w:r>
      <w:r>
        <w:t xml:space="preserve"> however, </w:t>
      </w:r>
      <w:r w:rsidRPr="000374B6">
        <w:t xml:space="preserve">2015 Regular ADF with no </w:t>
      </w:r>
      <w:r>
        <w:t xml:space="preserve">barriers (87.6%) </w:t>
      </w:r>
      <w:r w:rsidRPr="000374B6">
        <w:t xml:space="preserve">were substantially more likely to use </w:t>
      </w:r>
      <w:r>
        <w:t>the ADF website</w:t>
      </w:r>
      <w:r w:rsidRPr="000374B6">
        <w:t xml:space="preserve"> than </w:t>
      </w:r>
      <w:r>
        <w:t xml:space="preserve">the 2015 Regular ADF </w:t>
      </w:r>
      <w:r w:rsidRPr="000374B6">
        <w:t xml:space="preserve">with at least one </w:t>
      </w:r>
      <w:r>
        <w:t>barrier</w:t>
      </w:r>
      <w:r w:rsidRPr="000374B6">
        <w:t xml:space="preserve"> (</w:t>
      </w:r>
      <w:r>
        <w:t>9.5</w:t>
      </w:r>
      <w:r w:rsidRPr="000374B6">
        <w:t>%)</w:t>
      </w:r>
      <w:r>
        <w:t xml:space="preserve"> and Transitioned ADF reporting no barriers (12.4%)</w:t>
      </w:r>
      <w:r w:rsidRPr="000374B6">
        <w:t>.</w:t>
      </w:r>
      <w:r w:rsidRPr="008C780B">
        <w:t xml:space="preserve"> </w:t>
      </w:r>
      <w:r w:rsidRPr="00EF3789">
        <w:t>Caution should be applied to the interpretation of this result however due to the small sample size.</w:t>
      </w:r>
    </w:p>
    <w:p w14:paraId="41BE1E8B" w14:textId="77777777" w:rsidR="007123C7" w:rsidRDefault="007123C7" w:rsidP="007123C7">
      <w:pPr>
        <w:sectPr w:rsidR="007123C7" w:rsidSect="00463E44">
          <w:footerReference w:type="even" r:id="rId126"/>
          <w:footerReference w:type="default" r:id="rId127"/>
          <w:pgSz w:w="9979" w:h="14170" w:code="243"/>
          <w:pgMar w:top="1440" w:right="1152" w:bottom="1440" w:left="1728" w:header="576" w:footer="576" w:gutter="0"/>
          <w:cols w:space="708"/>
          <w:docGrid w:linePitch="360"/>
        </w:sectPr>
      </w:pPr>
    </w:p>
    <w:p w14:paraId="35A69C6E" w14:textId="77777777" w:rsidR="007123C7" w:rsidRDefault="007123C7" w:rsidP="007123C7">
      <w:pPr>
        <w:pStyle w:val="TableName"/>
      </w:pPr>
      <w:bookmarkStart w:id="1031" w:name="_Toc531858037"/>
      <w:bookmarkStart w:id="1032" w:name="_Ref517426349"/>
      <w:bookmarkStart w:id="1033" w:name="_Toc509922907"/>
      <w:bookmarkStart w:id="1034" w:name="_Toc515374682"/>
      <w:bookmarkStart w:id="1035" w:name="_Toc528932358"/>
      <w:r w:rsidRPr="000374B6">
        <w:t xml:space="preserve">Table </w:t>
      </w:r>
      <w:r>
        <w:rPr>
          <w:noProof/>
        </w:rPr>
        <w:t>9</w:t>
      </w:r>
      <w:r>
        <w:t>.</w:t>
      </w:r>
      <w:r>
        <w:rPr>
          <w:noProof/>
        </w:rPr>
        <w:t>7</w:t>
      </w:r>
      <w:r>
        <w:tab/>
        <w:t xml:space="preserve">Estimated proportion of Transitioned ADF and 2015 Regular ADF </w:t>
      </w:r>
      <w:r w:rsidRPr="000374B6">
        <w:t xml:space="preserve">with a probable disorder who </w:t>
      </w:r>
      <w:r>
        <w:t>did</w:t>
      </w:r>
      <w:r w:rsidRPr="000374B6">
        <w:t xml:space="preserve"> and </w:t>
      </w:r>
      <w:r>
        <w:t>did</w:t>
      </w:r>
      <w:r w:rsidRPr="000374B6">
        <w:t xml:space="preserve"> not use </w:t>
      </w:r>
      <w:r>
        <w:t>the ADF website</w:t>
      </w:r>
      <w:r w:rsidRPr="000374B6">
        <w:t xml:space="preserve"> broken down by those with no barriers and those with at least one </w:t>
      </w:r>
      <w:r>
        <w:t xml:space="preserve">perceived </w:t>
      </w:r>
      <w:r w:rsidRPr="000374B6">
        <w:t xml:space="preserve">barrier </w:t>
      </w:r>
      <w:r>
        <w:t>to care</w:t>
      </w:r>
      <w:bookmarkEnd w:id="1031"/>
    </w:p>
    <w:bookmarkEnd w:id="1032"/>
    <w:bookmarkEnd w:id="1033"/>
    <w:bookmarkEnd w:id="1034"/>
    <w:bookmarkEnd w:id="1035"/>
    <w:tbl>
      <w:tblPr>
        <w:tblStyle w:val="TWRPTable"/>
        <w:tblW w:w="5000" w:type="pct"/>
        <w:tblLayout w:type="fixed"/>
        <w:tblCellMar>
          <w:left w:w="115" w:type="dxa"/>
          <w:right w:w="115" w:type="dxa"/>
        </w:tblCellMar>
        <w:tblLook w:val="0000" w:firstRow="0" w:lastRow="0" w:firstColumn="0" w:lastColumn="0" w:noHBand="0" w:noVBand="0"/>
        <w:tblDescription w:val="Table 9.7 Estimated proportion of Transitioned ADF and 2015 Regular ADF with a probable disorder who did and did not use the ADF website broken down by those with no barriers and those with at least one perceived barrier to care"/>
      </w:tblPr>
      <w:tblGrid>
        <w:gridCol w:w="2562"/>
        <w:gridCol w:w="449"/>
        <w:gridCol w:w="760"/>
        <w:gridCol w:w="972"/>
        <w:gridCol w:w="474"/>
        <w:gridCol w:w="733"/>
        <w:gridCol w:w="972"/>
        <w:gridCol w:w="501"/>
        <w:gridCol w:w="794"/>
        <w:gridCol w:w="884"/>
        <w:gridCol w:w="441"/>
        <w:gridCol w:w="766"/>
        <w:gridCol w:w="972"/>
      </w:tblGrid>
      <w:tr w:rsidR="007123C7" w:rsidRPr="000374B6" w14:paraId="049CDEC4" w14:textId="77777777" w:rsidTr="005C62B1">
        <w:trPr>
          <w:cantSplit/>
          <w:tblHeader/>
        </w:trPr>
        <w:tc>
          <w:tcPr>
            <w:tcW w:w="2630" w:type="dxa"/>
            <w:tcBorders>
              <w:top w:val="single" w:sz="4" w:space="0" w:color="000000"/>
              <w:bottom w:val="nil"/>
            </w:tcBorders>
          </w:tcPr>
          <w:p w14:paraId="53CBEAF2" w14:textId="77777777" w:rsidR="007123C7" w:rsidRPr="0028066B" w:rsidRDefault="007123C7" w:rsidP="00E82294">
            <w:pPr>
              <w:pStyle w:val="TableText"/>
              <w:rPr>
                <w:b/>
              </w:rPr>
            </w:pPr>
          </w:p>
        </w:tc>
        <w:tc>
          <w:tcPr>
            <w:tcW w:w="4446" w:type="dxa"/>
            <w:gridSpan w:val="6"/>
            <w:tcBorders>
              <w:top w:val="single" w:sz="4" w:space="0" w:color="000000"/>
              <w:bottom w:val="single" w:sz="4" w:space="0" w:color="000000"/>
            </w:tcBorders>
          </w:tcPr>
          <w:p w14:paraId="51012E97" w14:textId="77777777" w:rsidR="007123C7" w:rsidRPr="00B4623F" w:rsidRDefault="007123C7" w:rsidP="00E82294">
            <w:pPr>
              <w:pStyle w:val="TableText"/>
              <w:jc w:val="center"/>
              <w:rPr>
                <w:b/>
                <w:bCs/>
              </w:rPr>
            </w:pPr>
            <w:r w:rsidRPr="0028066B">
              <w:rPr>
                <w:b/>
                <w:bCs/>
              </w:rPr>
              <w:t>Transitioned ADF</w:t>
            </w:r>
          </w:p>
        </w:tc>
        <w:tc>
          <w:tcPr>
            <w:tcW w:w="4444" w:type="dxa"/>
            <w:gridSpan w:val="6"/>
            <w:tcBorders>
              <w:top w:val="single" w:sz="4" w:space="0" w:color="000000"/>
              <w:bottom w:val="single" w:sz="4" w:space="0" w:color="000000"/>
            </w:tcBorders>
          </w:tcPr>
          <w:p w14:paraId="3565272E" w14:textId="77777777" w:rsidR="007123C7" w:rsidRPr="00B4623F" w:rsidRDefault="007123C7" w:rsidP="00E82294">
            <w:pPr>
              <w:pStyle w:val="TableText"/>
              <w:jc w:val="center"/>
              <w:rPr>
                <w:b/>
                <w:bCs/>
              </w:rPr>
            </w:pPr>
            <w:r w:rsidRPr="0028066B">
              <w:rPr>
                <w:b/>
                <w:bCs/>
              </w:rPr>
              <w:t>2015 Regular ADF</w:t>
            </w:r>
          </w:p>
        </w:tc>
      </w:tr>
      <w:tr w:rsidR="007123C7" w:rsidRPr="000374B6" w14:paraId="137D50ED" w14:textId="77777777" w:rsidTr="005C62B1">
        <w:trPr>
          <w:cantSplit/>
          <w:tblHeader/>
        </w:trPr>
        <w:tc>
          <w:tcPr>
            <w:tcW w:w="2630" w:type="dxa"/>
            <w:tcBorders>
              <w:top w:val="nil"/>
              <w:bottom w:val="nil"/>
            </w:tcBorders>
          </w:tcPr>
          <w:p w14:paraId="111AAA85" w14:textId="77777777" w:rsidR="007123C7" w:rsidRPr="0028066B" w:rsidRDefault="007123C7" w:rsidP="00E82294">
            <w:pPr>
              <w:pStyle w:val="TableText"/>
              <w:rPr>
                <w:b/>
              </w:rPr>
            </w:pPr>
          </w:p>
        </w:tc>
        <w:tc>
          <w:tcPr>
            <w:tcW w:w="2224" w:type="dxa"/>
            <w:gridSpan w:val="3"/>
            <w:tcBorders>
              <w:top w:val="single" w:sz="4" w:space="0" w:color="000000"/>
              <w:bottom w:val="single" w:sz="4" w:space="0" w:color="000000"/>
            </w:tcBorders>
          </w:tcPr>
          <w:p w14:paraId="470C7553" w14:textId="77777777" w:rsidR="007123C7" w:rsidRPr="0028066B" w:rsidRDefault="007123C7" w:rsidP="00E82294">
            <w:pPr>
              <w:pStyle w:val="TableText"/>
              <w:jc w:val="center"/>
              <w:rPr>
                <w:b/>
              </w:rPr>
            </w:pPr>
            <w:r w:rsidRPr="00C72931">
              <w:rPr>
                <w:b/>
              </w:rPr>
              <w:t xml:space="preserve">No </w:t>
            </w:r>
            <w:r>
              <w:rPr>
                <w:b/>
              </w:rPr>
              <w:t>b</w:t>
            </w:r>
            <w:r w:rsidRPr="00C72931">
              <w:rPr>
                <w:b/>
              </w:rPr>
              <w:t>arriers</w:t>
            </w:r>
          </w:p>
        </w:tc>
        <w:tc>
          <w:tcPr>
            <w:tcW w:w="2222" w:type="dxa"/>
            <w:gridSpan w:val="3"/>
            <w:tcBorders>
              <w:top w:val="single" w:sz="4" w:space="0" w:color="000000"/>
              <w:bottom w:val="single" w:sz="4" w:space="0" w:color="000000"/>
            </w:tcBorders>
          </w:tcPr>
          <w:p w14:paraId="43FDD628" w14:textId="77777777" w:rsidR="007123C7" w:rsidRPr="0028066B" w:rsidRDefault="007123C7" w:rsidP="00E82294">
            <w:pPr>
              <w:pStyle w:val="TableText"/>
              <w:jc w:val="center"/>
              <w:rPr>
                <w:b/>
              </w:rPr>
            </w:pPr>
            <w:r>
              <w:rPr>
                <w:b/>
              </w:rPr>
              <w:t>At least one b</w:t>
            </w:r>
            <w:r w:rsidRPr="00C72931">
              <w:rPr>
                <w:b/>
              </w:rPr>
              <w:t>arrier</w:t>
            </w:r>
          </w:p>
        </w:tc>
        <w:tc>
          <w:tcPr>
            <w:tcW w:w="2222" w:type="dxa"/>
            <w:gridSpan w:val="3"/>
            <w:tcBorders>
              <w:top w:val="single" w:sz="4" w:space="0" w:color="000000"/>
              <w:bottom w:val="single" w:sz="4" w:space="0" w:color="000000"/>
            </w:tcBorders>
          </w:tcPr>
          <w:p w14:paraId="7C0D90AC" w14:textId="77777777" w:rsidR="007123C7" w:rsidRPr="0028066B" w:rsidRDefault="007123C7" w:rsidP="00E82294">
            <w:pPr>
              <w:pStyle w:val="TableText"/>
              <w:jc w:val="center"/>
              <w:rPr>
                <w:b/>
              </w:rPr>
            </w:pPr>
            <w:r w:rsidRPr="00C72931">
              <w:rPr>
                <w:b/>
              </w:rPr>
              <w:t xml:space="preserve">No </w:t>
            </w:r>
            <w:r>
              <w:rPr>
                <w:b/>
              </w:rPr>
              <w:t>b</w:t>
            </w:r>
            <w:r w:rsidRPr="00C72931">
              <w:rPr>
                <w:b/>
              </w:rPr>
              <w:t>arriers</w:t>
            </w:r>
          </w:p>
        </w:tc>
        <w:tc>
          <w:tcPr>
            <w:tcW w:w="2222" w:type="dxa"/>
            <w:gridSpan w:val="3"/>
            <w:tcBorders>
              <w:top w:val="single" w:sz="4" w:space="0" w:color="000000"/>
              <w:bottom w:val="single" w:sz="4" w:space="0" w:color="000000"/>
            </w:tcBorders>
          </w:tcPr>
          <w:p w14:paraId="2F741604" w14:textId="77777777" w:rsidR="007123C7" w:rsidRPr="0028066B" w:rsidRDefault="007123C7" w:rsidP="00E82294">
            <w:pPr>
              <w:pStyle w:val="TableText"/>
              <w:jc w:val="center"/>
              <w:rPr>
                <w:b/>
              </w:rPr>
            </w:pPr>
            <w:r w:rsidRPr="00C72931">
              <w:rPr>
                <w:b/>
              </w:rPr>
              <w:t>At least one barrier</w:t>
            </w:r>
          </w:p>
        </w:tc>
      </w:tr>
      <w:tr w:rsidR="005C62B1" w:rsidRPr="000374B6" w14:paraId="0A046147" w14:textId="77777777" w:rsidTr="00EF7D7F">
        <w:trPr>
          <w:cantSplit/>
          <w:tblHeader/>
        </w:trPr>
        <w:tc>
          <w:tcPr>
            <w:tcW w:w="2630" w:type="dxa"/>
            <w:tcBorders>
              <w:top w:val="nil"/>
              <w:bottom w:val="single" w:sz="4" w:space="0" w:color="000000"/>
            </w:tcBorders>
          </w:tcPr>
          <w:p w14:paraId="499653C9" w14:textId="77777777" w:rsidR="007123C7" w:rsidRPr="0028066B" w:rsidRDefault="007123C7" w:rsidP="00E82294">
            <w:pPr>
              <w:pStyle w:val="TableText"/>
              <w:rPr>
                <w:b/>
              </w:rPr>
            </w:pPr>
          </w:p>
        </w:tc>
        <w:tc>
          <w:tcPr>
            <w:tcW w:w="455" w:type="dxa"/>
            <w:tcBorders>
              <w:top w:val="single" w:sz="4" w:space="0" w:color="000000"/>
              <w:bottom w:val="single" w:sz="4" w:space="0" w:color="000000"/>
            </w:tcBorders>
            <w:vAlign w:val="bottom"/>
          </w:tcPr>
          <w:p w14:paraId="27192EFF" w14:textId="77777777" w:rsidR="007123C7" w:rsidRPr="0028066B" w:rsidRDefault="007123C7" w:rsidP="00EF7D7F">
            <w:pPr>
              <w:pStyle w:val="TableText"/>
              <w:jc w:val="right"/>
              <w:rPr>
                <w:b/>
              </w:rPr>
            </w:pPr>
            <w:r w:rsidRPr="0028066B">
              <w:rPr>
                <w:b/>
              </w:rPr>
              <w:t>n</w:t>
            </w:r>
          </w:p>
        </w:tc>
        <w:tc>
          <w:tcPr>
            <w:tcW w:w="775" w:type="dxa"/>
            <w:tcBorders>
              <w:top w:val="single" w:sz="4" w:space="0" w:color="000000"/>
              <w:bottom w:val="single" w:sz="4" w:space="0" w:color="000000"/>
            </w:tcBorders>
            <w:vAlign w:val="bottom"/>
          </w:tcPr>
          <w:p w14:paraId="0C2CB279" w14:textId="77777777" w:rsidR="007123C7" w:rsidRPr="0028066B" w:rsidRDefault="007123C7" w:rsidP="00EF7D7F">
            <w:pPr>
              <w:pStyle w:val="TableText"/>
              <w:jc w:val="right"/>
              <w:rPr>
                <w:b/>
              </w:rPr>
            </w:pPr>
            <w:r w:rsidRPr="0028066B">
              <w:rPr>
                <w:b/>
              </w:rPr>
              <w:t>Weighted n</w:t>
            </w:r>
          </w:p>
        </w:tc>
        <w:tc>
          <w:tcPr>
            <w:tcW w:w="994" w:type="dxa"/>
            <w:tcBorders>
              <w:top w:val="single" w:sz="4" w:space="0" w:color="000000"/>
              <w:bottom w:val="single" w:sz="4" w:space="0" w:color="000000"/>
            </w:tcBorders>
            <w:vAlign w:val="bottom"/>
          </w:tcPr>
          <w:p w14:paraId="29C78A86" w14:textId="77777777" w:rsidR="007123C7" w:rsidRPr="0028066B" w:rsidRDefault="007123C7" w:rsidP="00EF7D7F">
            <w:pPr>
              <w:pStyle w:val="TableText"/>
              <w:jc w:val="right"/>
              <w:rPr>
                <w:b/>
              </w:rPr>
            </w:pPr>
            <w:r w:rsidRPr="0028066B">
              <w:rPr>
                <w:b/>
              </w:rPr>
              <w:t>% (95%CI)</w:t>
            </w:r>
          </w:p>
        </w:tc>
        <w:tc>
          <w:tcPr>
            <w:tcW w:w="481" w:type="dxa"/>
            <w:tcBorders>
              <w:top w:val="single" w:sz="4" w:space="0" w:color="000000"/>
              <w:bottom w:val="single" w:sz="4" w:space="0" w:color="000000"/>
            </w:tcBorders>
            <w:vAlign w:val="bottom"/>
          </w:tcPr>
          <w:p w14:paraId="671A03DB" w14:textId="77777777" w:rsidR="007123C7" w:rsidRPr="0028066B" w:rsidRDefault="007123C7" w:rsidP="00EF7D7F">
            <w:pPr>
              <w:pStyle w:val="TableText"/>
              <w:jc w:val="right"/>
              <w:rPr>
                <w:b/>
              </w:rPr>
            </w:pPr>
            <w:r w:rsidRPr="0028066B">
              <w:rPr>
                <w:b/>
              </w:rPr>
              <w:t>n</w:t>
            </w:r>
          </w:p>
        </w:tc>
        <w:tc>
          <w:tcPr>
            <w:tcW w:w="747" w:type="dxa"/>
            <w:tcBorders>
              <w:top w:val="single" w:sz="4" w:space="0" w:color="000000"/>
              <w:bottom w:val="single" w:sz="4" w:space="0" w:color="000000"/>
            </w:tcBorders>
            <w:vAlign w:val="bottom"/>
          </w:tcPr>
          <w:p w14:paraId="6C12C5D8" w14:textId="77777777" w:rsidR="007123C7" w:rsidRPr="0028066B" w:rsidRDefault="007123C7" w:rsidP="00EF7D7F">
            <w:pPr>
              <w:pStyle w:val="TableText"/>
              <w:jc w:val="right"/>
              <w:rPr>
                <w:b/>
              </w:rPr>
            </w:pPr>
            <w:r w:rsidRPr="0028066B">
              <w:rPr>
                <w:b/>
              </w:rPr>
              <w:t>Weighted n</w:t>
            </w:r>
          </w:p>
        </w:tc>
        <w:tc>
          <w:tcPr>
            <w:tcW w:w="994" w:type="dxa"/>
            <w:tcBorders>
              <w:top w:val="single" w:sz="4" w:space="0" w:color="000000"/>
              <w:bottom w:val="single" w:sz="4" w:space="0" w:color="000000"/>
            </w:tcBorders>
            <w:vAlign w:val="bottom"/>
          </w:tcPr>
          <w:p w14:paraId="273CCEC8" w14:textId="77777777" w:rsidR="007123C7" w:rsidRPr="0028066B" w:rsidRDefault="007123C7" w:rsidP="00EF7D7F">
            <w:pPr>
              <w:pStyle w:val="TableText"/>
              <w:jc w:val="right"/>
              <w:rPr>
                <w:b/>
              </w:rPr>
            </w:pPr>
            <w:r w:rsidRPr="0028066B">
              <w:rPr>
                <w:b/>
              </w:rPr>
              <w:t>% (95%CI)</w:t>
            </w:r>
          </w:p>
        </w:tc>
        <w:tc>
          <w:tcPr>
            <w:tcW w:w="509" w:type="dxa"/>
            <w:tcBorders>
              <w:top w:val="single" w:sz="4" w:space="0" w:color="000000"/>
              <w:bottom w:val="single" w:sz="4" w:space="0" w:color="000000"/>
            </w:tcBorders>
            <w:vAlign w:val="bottom"/>
          </w:tcPr>
          <w:p w14:paraId="62D583EE" w14:textId="77777777" w:rsidR="007123C7" w:rsidRPr="0028066B" w:rsidRDefault="007123C7" w:rsidP="00EF7D7F">
            <w:pPr>
              <w:pStyle w:val="TableText"/>
              <w:jc w:val="right"/>
              <w:rPr>
                <w:b/>
              </w:rPr>
            </w:pPr>
            <w:r w:rsidRPr="0028066B">
              <w:rPr>
                <w:b/>
              </w:rPr>
              <w:t>n</w:t>
            </w:r>
          </w:p>
        </w:tc>
        <w:tc>
          <w:tcPr>
            <w:tcW w:w="810" w:type="dxa"/>
            <w:tcBorders>
              <w:top w:val="single" w:sz="4" w:space="0" w:color="000000"/>
              <w:bottom w:val="single" w:sz="4" w:space="0" w:color="000000"/>
            </w:tcBorders>
            <w:vAlign w:val="bottom"/>
          </w:tcPr>
          <w:p w14:paraId="343320EC" w14:textId="77777777" w:rsidR="007123C7" w:rsidRPr="0028066B" w:rsidRDefault="007123C7" w:rsidP="00EF7D7F">
            <w:pPr>
              <w:pStyle w:val="TableText"/>
              <w:jc w:val="right"/>
              <w:rPr>
                <w:b/>
              </w:rPr>
            </w:pPr>
            <w:r w:rsidRPr="0028066B">
              <w:rPr>
                <w:b/>
              </w:rPr>
              <w:t>Weighted n</w:t>
            </w:r>
          </w:p>
        </w:tc>
        <w:tc>
          <w:tcPr>
            <w:tcW w:w="903" w:type="dxa"/>
            <w:tcBorders>
              <w:top w:val="single" w:sz="4" w:space="0" w:color="000000"/>
              <w:bottom w:val="single" w:sz="4" w:space="0" w:color="000000"/>
            </w:tcBorders>
            <w:vAlign w:val="bottom"/>
          </w:tcPr>
          <w:p w14:paraId="2882C0F2" w14:textId="77777777" w:rsidR="007123C7" w:rsidRPr="0028066B" w:rsidRDefault="007123C7" w:rsidP="00EF7D7F">
            <w:pPr>
              <w:pStyle w:val="TableText"/>
              <w:jc w:val="right"/>
              <w:rPr>
                <w:b/>
              </w:rPr>
            </w:pPr>
            <w:r w:rsidRPr="0028066B">
              <w:rPr>
                <w:b/>
              </w:rPr>
              <w:t>% (95%CI)</w:t>
            </w:r>
          </w:p>
        </w:tc>
        <w:tc>
          <w:tcPr>
            <w:tcW w:w="447" w:type="dxa"/>
            <w:tcBorders>
              <w:top w:val="single" w:sz="4" w:space="0" w:color="000000"/>
              <w:bottom w:val="single" w:sz="4" w:space="0" w:color="000000"/>
            </w:tcBorders>
            <w:vAlign w:val="bottom"/>
          </w:tcPr>
          <w:p w14:paraId="3B30DB22" w14:textId="77777777" w:rsidR="007123C7" w:rsidRPr="0028066B" w:rsidRDefault="007123C7" w:rsidP="00EF7D7F">
            <w:pPr>
              <w:pStyle w:val="TableText"/>
              <w:jc w:val="right"/>
              <w:rPr>
                <w:b/>
              </w:rPr>
            </w:pPr>
            <w:r w:rsidRPr="0028066B">
              <w:rPr>
                <w:b/>
              </w:rPr>
              <w:t>n</w:t>
            </w:r>
          </w:p>
        </w:tc>
        <w:tc>
          <w:tcPr>
            <w:tcW w:w="781" w:type="dxa"/>
            <w:tcBorders>
              <w:top w:val="single" w:sz="4" w:space="0" w:color="000000"/>
              <w:bottom w:val="single" w:sz="4" w:space="0" w:color="000000"/>
            </w:tcBorders>
            <w:vAlign w:val="bottom"/>
          </w:tcPr>
          <w:p w14:paraId="5C536B4F" w14:textId="77777777" w:rsidR="007123C7" w:rsidRPr="0028066B" w:rsidRDefault="007123C7" w:rsidP="00EF7D7F">
            <w:pPr>
              <w:pStyle w:val="TableText"/>
              <w:jc w:val="right"/>
              <w:rPr>
                <w:b/>
              </w:rPr>
            </w:pPr>
            <w:r w:rsidRPr="0028066B">
              <w:rPr>
                <w:b/>
              </w:rPr>
              <w:t>Weighted n</w:t>
            </w:r>
          </w:p>
        </w:tc>
        <w:tc>
          <w:tcPr>
            <w:tcW w:w="994" w:type="dxa"/>
            <w:tcBorders>
              <w:top w:val="single" w:sz="4" w:space="0" w:color="000000"/>
              <w:bottom w:val="single" w:sz="4" w:space="0" w:color="000000"/>
            </w:tcBorders>
            <w:vAlign w:val="bottom"/>
          </w:tcPr>
          <w:p w14:paraId="0748AC3D" w14:textId="77777777" w:rsidR="007123C7" w:rsidRPr="0028066B" w:rsidRDefault="007123C7" w:rsidP="00EF7D7F">
            <w:pPr>
              <w:pStyle w:val="TableText"/>
              <w:jc w:val="right"/>
              <w:rPr>
                <w:b/>
              </w:rPr>
            </w:pPr>
            <w:r w:rsidRPr="0028066B">
              <w:rPr>
                <w:b/>
              </w:rPr>
              <w:t>% (95%CI)</w:t>
            </w:r>
          </w:p>
        </w:tc>
      </w:tr>
      <w:tr w:rsidR="007123C7" w:rsidRPr="000374B6" w14:paraId="02A33F47" w14:textId="77777777" w:rsidTr="005C62B1">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tcBorders>
          </w:tcPr>
          <w:p w14:paraId="65148E59" w14:textId="77777777" w:rsidR="007123C7" w:rsidRPr="000374B6" w:rsidRDefault="007123C7" w:rsidP="00E82294">
            <w:pPr>
              <w:pStyle w:val="TableText"/>
            </w:pPr>
            <w:r w:rsidRPr="0028066B">
              <w:rPr>
                <w:b/>
              </w:rPr>
              <w:t xml:space="preserve">Posttraumatic stress </w:t>
            </w:r>
            <w:r>
              <w:rPr>
                <w:b/>
              </w:rPr>
              <w:t>s</w:t>
            </w:r>
            <w:r w:rsidRPr="0028066B">
              <w:rPr>
                <w:b/>
              </w:rPr>
              <w:t>yndrome disorder (PCL-C)</w:t>
            </w:r>
          </w:p>
        </w:tc>
        <w:tc>
          <w:tcPr>
            <w:tcW w:w="2224" w:type="dxa"/>
            <w:gridSpan w:val="3"/>
            <w:tcBorders>
              <w:top w:val="single" w:sz="4" w:space="0" w:color="000000"/>
            </w:tcBorders>
          </w:tcPr>
          <w:p w14:paraId="60A5D6F4" w14:textId="77777777" w:rsidR="007123C7" w:rsidRPr="000374B6" w:rsidRDefault="007123C7" w:rsidP="00E82294">
            <w:pPr>
              <w:pStyle w:val="TableText"/>
              <w:jc w:val="center"/>
            </w:pPr>
            <w:r w:rsidRPr="000374B6">
              <w:t>n=135 (Weighted n=788)</w:t>
            </w:r>
          </w:p>
        </w:tc>
        <w:tc>
          <w:tcPr>
            <w:tcW w:w="2222" w:type="dxa"/>
            <w:gridSpan w:val="3"/>
            <w:tcBorders>
              <w:top w:val="single" w:sz="4" w:space="0" w:color="000000"/>
            </w:tcBorders>
          </w:tcPr>
          <w:p w14:paraId="55343AB0" w14:textId="77777777" w:rsidR="007123C7" w:rsidRPr="000374B6" w:rsidRDefault="007123C7" w:rsidP="00E82294">
            <w:pPr>
              <w:pStyle w:val="TableText"/>
              <w:jc w:val="center"/>
            </w:pPr>
            <w:r w:rsidRPr="000374B6">
              <w:t>n=375 (Weighted n=2461)</w:t>
            </w:r>
          </w:p>
        </w:tc>
        <w:tc>
          <w:tcPr>
            <w:tcW w:w="2222" w:type="dxa"/>
            <w:gridSpan w:val="3"/>
            <w:tcBorders>
              <w:top w:val="single" w:sz="4" w:space="0" w:color="000000"/>
            </w:tcBorders>
          </w:tcPr>
          <w:p w14:paraId="4FBC48EE" w14:textId="77777777" w:rsidR="007123C7" w:rsidRPr="000374B6" w:rsidRDefault="007123C7" w:rsidP="00E82294">
            <w:pPr>
              <w:pStyle w:val="TableText"/>
              <w:jc w:val="center"/>
            </w:pPr>
            <w:r w:rsidRPr="000374B6">
              <w:t>n=25 (Weighted n=117)</w:t>
            </w:r>
          </w:p>
        </w:tc>
        <w:tc>
          <w:tcPr>
            <w:tcW w:w="2222" w:type="dxa"/>
            <w:gridSpan w:val="3"/>
            <w:tcBorders>
              <w:top w:val="single" w:sz="4" w:space="0" w:color="000000"/>
            </w:tcBorders>
          </w:tcPr>
          <w:p w14:paraId="0546A7E2" w14:textId="77777777" w:rsidR="007123C7" w:rsidRPr="000374B6" w:rsidRDefault="007123C7" w:rsidP="00E82294">
            <w:pPr>
              <w:pStyle w:val="TableText"/>
              <w:jc w:val="center"/>
            </w:pPr>
            <w:r w:rsidRPr="000374B6">
              <w:t>n=204 (Weighted n=1334)</w:t>
            </w:r>
          </w:p>
        </w:tc>
      </w:tr>
      <w:tr w:rsidR="005C62B1" w:rsidRPr="0028066B" w14:paraId="16091C77" w14:textId="77777777" w:rsidTr="007505B7">
        <w:trPr>
          <w:cantSplit/>
        </w:trPr>
        <w:tc>
          <w:tcPr>
            <w:tcW w:w="2630" w:type="dxa"/>
          </w:tcPr>
          <w:p w14:paraId="4BBF46C8" w14:textId="77777777" w:rsidR="007123C7" w:rsidRPr="0028066B" w:rsidRDefault="007123C7" w:rsidP="00E82294">
            <w:pPr>
              <w:pStyle w:val="TableText"/>
            </w:pPr>
            <w:r w:rsidRPr="0028066B">
              <w:t xml:space="preserve">Used ADF website </w:t>
            </w:r>
          </w:p>
        </w:tc>
        <w:tc>
          <w:tcPr>
            <w:tcW w:w="455" w:type="dxa"/>
          </w:tcPr>
          <w:p w14:paraId="040B4526" w14:textId="77777777" w:rsidR="007123C7" w:rsidRPr="0028066B" w:rsidRDefault="007123C7" w:rsidP="00E82294">
            <w:pPr>
              <w:pStyle w:val="TableText"/>
              <w:jc w:val="right"/>
            </w:pPr>
            <w:r w:rsidRPr="0028066B">
              <w:t>20</w:t>
            </w:r>
          </w:p>
        </w:tc>
        <w:tc>
          <w:tcPr>
            <w:tcW w:w="775" w:type="dxa"/>
          </w:tcPr>
          <w:p w14:paraId="3F6868CB" w14:textId="77777777" w:rsidR="007123C7" w:rsidRPr="0028066B" w:rsidRDefault="007123C7" w:rsidP="00E82294">
            <w:pPr>
              <w:pStyle w:val="TableText"/>
              <w:jc w:val="right"/>
            </w:pPr>
            <w:r w:rsidRPr="0028066B">
              <w:t>122</w:t>
            </w:r>
          </w:p>
        </w:tc>
        <w:tc>
          <w:tcPr>
            <w:tcW w:w="994" w:type="dxa"/>
          </w:tcPr>
          <w:p w14:paraId="2389111C" w14:textId="77777777" w:rsidR="007123C7" w:rsidRPr="0028066B" w:rsidRDefault="007123C7" w:rsidP="00E82294">
            <w:pPr>
              <w:pStyle w:val="TableText"/>
              <w:jc w:val="right"/>
            </w:pPr>
            <w:r w:rsidRPr="0028066B">
              <w:t>15.5 (9.8</w:t>
            </w:r>
            <w:r w:rsidR="007505B7">
              <w:t>, </w:t>
            </w:r>
            <w:r w:rsidRPr="0028066B">
              <w:t>23.8)</w:t>
            </w:r>
          </w:p>
        </w:tc>
        <w:tc>
          <w:tcPr>
            <w:tcW w:w="481" w:type="dxa"/>
          </w:tcPr>
          <w:p w14:paraId="5C621F16" w14:textId="77777777" w:rsidR="007123C7" w:rsidRPr="0028066B" w:rsidRDefault="007123C7" w:rsidP="00E82294">
            <w:pPr>
              <w:pStyle w:val="TableText"/>
              <w:jc w:val="right"/>
            </w:pPr>
            <w:r w:rsidRPr="0028066B">
              <w:t>64</w:t>
            </w:r>
          </w:p>
        </w:tc>
        <w:tc>
          <w:tcPr>
            <w:tcW w:w="747" w:type="dxa"/>
          </w:tcPr>
          <w:p w14:paraId="3B4F6682" w14:textId="77777777" w:rsidR="007123C7" w:rsidRPr="0028066B" w:rsidRDefault="007123C7" w:rsidP="00E82294">
            <w:pPr>
              <w:pStyle w:val="TableText"/>
              <w:jc w:val="right"/>
            </w:pPr>
            <w:r w:rsidRPr="0028066B">
              <w:t>342</w:t>
            </w:r>
          </w:p>
        </w:tc>
        <w:tc>
          <w:tcPr>
            <w:tcW w:w="994" w:type="dxa"/>
          </w:tcPr>
          <w:p w14:paraId="701C690F" w14:textId="77777777" w:rsidR="007123C7" w:rsidRPr="0028066B" w:rsidRDefault="007123C7" w:rsidP="00E82294">
            <w:pPr>
              <w:pStyle w:val="TableText"/>
              <w:jc w:val="right"/>
            </w:pPr>
            <w:r w:rsidRPr="0028066B">
              <w:t>13.9 (10.5</w:t>
            </w:r>
            <w:r w:rsidR="007505B7">
              <w:t>, </w:t>
            </w:r>
            <w:r w:rsidRPr="0028066B">
              <w:t>18.2)</w:t>
            </w:r>
          </w:p>
        </w:tc>
        <w:tc>
          <w:tcPr>
            <w:tcW w:w="509" w:type="dxa"/>
          </w:tcPr>
          <w:p w14:paraId="0CF74A81" w14:textId="77777777" w:rsidR="007123C7" w:rsidRPr="0028066B" w:rsidRDefault="007123C7" w:rsidP="00E82294">
            <w:pPr>
              <w:pStyle w:val="TableText"/>
              <w:jc w:val="right"/>
            </w:pPr>
            <w:r w:rsidRPr="0028066B">
              <w:t>11</w:t>
            </w:r>
          </w:p>
        </w:tc>
        <w:tc>
          <w:tcPr>
            <w:tcW w:w="810" w:type="dxa"/>
          </w:tcPr>
          <w:p w14:paraId="05F1F9A1" w14:textId="77777777" w:rsidR="007123C7" w:rsidRPr="0028066B" w:rsidRDefault="007123C7" w:rsidP="00E82294">
            <w:pPr>
              <w:pStyle w:val="TableText"/>
              <w:jc w:val="right"/>
            </w:pPr>
            <w:r w:rsidRPr="0028066B">
              <w:t>48</w:t>
            </w:r>
          </w:p>
        </w:tc>
        <w:tc>
          <w:tcPr>
            <w:tcW w:w="903" w:type="dxa"/>
          </w:tcPr>
          <w:p w14:paraId="2F0242E5" w14:textId="77777777" w:rsidR="007123C7" w:rsidRPr="0028066B" w:rsidRDefault="007123C7" w:rsidP="00E82294">
            <w:pPr>
              <w:pStyle w:val="TableText"/>
              <w:jc w:val="right"/>
            </w:pPr>
            <w:r w:rsidRPr="0028066B">
              <w:t>40.8 (18.1</w:t>
            </w:r>
            <w:r w:rsidR="007505B7">
              <w:t>, </w:t>
            </w:r>
            <w:r w:rsidRPr="0028066B">
              <w:t>68.3)</w:t>
            </w:r>
          </w:p>
        </w:tc>
        <w:tc>
          <w:tcPr>
            <w:tcW w:w="447" w:type="dxa"/>
          </w:tcPr>
          <w:p w14:paraId="04CD27E2" w14:textId="77777777" w:rsidR="007123C7" w:rsidRPr="0028066B" w:rsidRDefault="007123C7" w:rsidP="00E82294">
            <w:pPr>
              <w:pStyle w:val="TableText"/>
              <w:jc w:val="right"/>
            </w:pPr>
            <w:r w:rsidRPr="0028066B">
              <w:t>65</w:t>
            </w:r>
          </w:p>
        </w:tc>
        <w:tc>
          <w:tcPr>
            <w:tcW w:w="781" w:type="dxa"/>
          </w:tcPr>
          <w:p w14:paraId="4D7FB0AA" w14:textId="77777777" w:rsidR="007123C7" w:rsidRPr="0028066B" w:rsidRDefault="007123C7" w:rsidP="00E82294">
            <w:pPr>
              <w:pStyle w:val="TableText"/>
              <w:jc w:val="right"/>
            </w:pPr>
            <w:r w:rsidRPr="0028066B">
              <w:t>442</w:t>
            </w:r>
          </w:p>
        </w:tc>
        <w:tc>
          <w:tcPr>
            <w:tcW w:w="994" w:type="dxa"/>
          </w:tcPr>
          <w:p w14:paraId="36A94000" w14:textId="77777777" w:rsidR="007123C7" w:rsidRPr="0028066B" w:rsidRDefault="007123C7" w:rsidP="00E82294">
            <w:pPr>
              <w:pStyle w:val="TableText"/>
              <w:jc w:val="right"/>
            </w:pPr>
            <w:r w:rsidRPr="0028066B">
              <w:t>33.1 (15.5</w:t>
            </w:r>
            <w:r w:rsidR="007505B7">
              <w:t>, </w:t>
            </w:r>
            <w:r w:rsidRPr="0028066B">
              <w:t>57.2)</w:t>
            </w:r>
          </w:p>
        </w:tc>
      </w:tr>
      <w:tr w:rsidR="005C62B1" w:rsidRPr="0028066B" w14:paraId="4829DCEC"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7695BA3F"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69170BDA" w14:textId="77777777" w:rsidR="007123C7" w:rsidRPr="0028066B" w:rsidRDefault="007123C7" w:rsidP="00E82294">
            <w:pPr>
              <w:pStyle w:val="TableText"/>
              <w:jc w:val="right"/>
            </w:pPr>
            <w:r w:rsidRPr="0028066B">
              <w:t>115</w:t>
            </w:r>
          </w:p>
        </w:tc>
        <w:tc>
          <w:tcPr>
            <w:tcW w:w="775" w:type="dxa"/>
            <w:tcBorders>
              <w:bottom w:val="single" w:sz="4" w:space="0" w:color="000000"/>
            </w:tcBorders>
          </w:tcPr>
          <w:p w14:paraId="342EABE6" w14:textId="77777777" w:rsidR="007123C7" w:rsidRPr="0028066B" w:rsidRDefault="007123C7" w:rsidP="00E82294">
            <w:pPr>
              <w:pStyle w:val="TableText"/>
              <w:jc w:val="right"/>
            </w:pPr>
            <w:r w:rsidRPr="0028066B">
              <w:t>665</w:t>
            </w:r>
          </w:p>
        </w:tc>
        <w:tc>
          <w:tcPr>
            <w:tcW w:w="994" w:type="dxa"/>
            <w:tcBorders>
              <w:bottom w:val="single" w:sz="4" w:space="0" w:color="000000"/>
            </w:tcBorders>
          </w:tcPr>
          <w:p w14:paraId="7D855A23" w14:textId="77777777" w:rsidR="007123C7" w:rsidRPr="0028066B" w:rsidRDefault="007123C7" w:rsidP="00E82294">
            <w:pPr>
              <w:pStyle w:val="TableText"/>
              <w:jc w:val="right"/>
            </w:pPr>
            <w:r w:rsidRPr="0028066B">
              <w:t>84.5 (76.2</w:t>
            </w:r>
            <w:r w:rsidR="007505B7">
              <w:t>, </w:t>
            </w:r>
            <w:r w:rsidRPr="0028066B">
              <w:t>90.2)</w:t>
            </w:r>
          </w:p>
        </w:tc>
        <w:tc>
          <w:tcPr>
            <w:tcW w:w="481" w:type="dxa"/>
            <w:tcBorders>
              <w:bottom w:val="single" w:sz="4" w:space="0" w:color="000000"/>
            </w:tcBorders>
          </w:tcPr>
          <w:p w14:paraId="7FDFEAC5" w14:textId="77777777" w:rsidR="007123C7" w:rsidRPr="0028066B" w:rsidRDefault="007123C7" w:rsidP="00E82294">
            <w:pPr>
              <w:pStyle w:val="TableText"/>
              <w:jc w:val="right"/>
            </w:pPr>
            <w:r w:rsidRPr="0028066B">
              <w:t>311</w:t>
            </w:r>
          </w:p>
        </w:tc>
        <w:tc>
          <w:tcPr>
            <w:tcW w:w="747" w:type="dxa"/>
            <w:tcBorders>
              <w:bottom w:val="single" w:sz="4" w:space="0" w:color="000000"/>
            </w:tcBorders>
          </w:tcPr>
          <w:p w14:paraId="4C3E83B9" w14:textId="77777777" w:rsidR="007123C7" w:rsidRPr="0028066B" w:rsidRDefault="007123C7" w:rsidP="00E82294">
            <w:pPr>
              <w:pStyle w:val="TableText"/>
              <w:jc w:val="right"/>
            </w:pPr>
            <w:r w:rsidRPr="0028066B">
              <w:t>2119</w:t>
            </w:r>
          </w:p>
        </w:tc>
        <w:tc>
          <w:tcPr>
            <w:tcW w:w="994" w:type="dxa"/>
            <w:tcBorders>
              <w:bottom w:val="single" w:sz="4" w:space="0" w:color="000000"/>
            </w:tcBorders>
          </w:tcPr>
          <w:p w14:paraId="1550294D" w14:textId="77777777" w:rsidR="007123C7" w:rsidRPr="0028066B" w:rsidRDefault="007123C7" w:rsidP="00E82294">
            <w:pPr>
              <w:pStyle w:val="TableText"/>
              <w:jc w:val="right"/>
            </w:pPr>
            <w:r w:rsidRPr="0028066B">
              <w:t>86.1 (81.8</w:t>
            </w:r>
            <w:r w:rsidR="007505B7">
              <w:t>, </w:t>
            </w:r>
            <w:r w:rsidRPr="0028066B">
              <w:t>89.5)</w:t>
            </w:r>
          </w:p>
        </w:tc>
        <w:tc>
          <w:tcPr>
            <w:tcW w:w="509" w:type="dxa"/>
            <w:tcBorders>
              <w:bottom w:val="single" w:sz="4" w:space="0" w:color="000000"/>
            </w:tcBorders>
          </w:tcPr>
          <w:p w14:paraId="3F4D2153" w14:textId="77777777" w:rsidR="007123C7" w:rsidRPr="0028066B" w:rsidRDefault="007123C7" w:rsidP="00E82294">
            <w:pPr>
              <w:pStyle w:val="TableText"/>
              <w:jc w:val="right"/>
            </w:pPr>
            <w:r w:rsidRPr="0028066B">
              <w:t>14</w:t>
            </w:r>
          </w:p>
        </w:tc>
        <w:tc>
          <w:tcPr>
            <w:tcW w:w="810" w:type="dxa"/>
            <w:tcBorders>
              <w:bottom w:val="single" w:sz="4" w:space="0" w:color="000000"/>
            </w:tcBorders>
          </w:tcPr>
          <w:p w14:paraId="0D044964" w14:textId="77777777" w:rsidR="007123C7" w:rsidRPr="0028066B" w:rsidRDefault="007123C7" w:rsidP="00E82294">
            <w:pPr>
              <w:pStyle w:val="TableText"/>
              <w:jc w:val="right"/>
            </w:pPr>
            <w:r w:rsidRPr="0028066B">
              <w:t>69</w:t>
            </w:r>
          </w:p>
        </w:tc>
        <w:tc>
          <w:tcPr>
            <w:tcW w:w="903" w:type="dxa"/>
            <w:tcBorders>
              <w:bottom w:val="single" w:sz="4" w:space="0" w:color="000000"/>
            </w:tcBorders>
          </w:tcPr>
          <w:p w14:paraId="78804BCE" w14:textId="77777777" w:rsidR="007123C7" w:rsidRPr="0028066B" w:rsidRDefault="007123C7" w:rsidP="00E82294">
            <w:pPr>
              <w:pStyle w:val="TableText"/>
              <w:jc w:val="right"/>
            </w:pPr>
            <w:r w:rsidRPr="0028066B">
              <w:t>59.2 (31.7</w:t>
            </w:r>
            <w:r w:rsidR="007505B7">
              <w:t>, </w:t>
            </w:r>
            <w:r w:rsidRPr="0028066B">
              <w:t>81.9)</w:t>
            </w:r>
          </w:p>
        </w:tc>
        <w:tc>
          <w:tcPr>
            <w:tcW w:w="447" w:type="dxa"/>
            <w:tcBorders>
              <w:bottom w:val="single" w:sz="4" w:space="0" w:color="000000"/>
            </w:tcBorders>
          </w:tcPr>
          <w:p w14:paraId="6CE90CCD" w14:textId="77777777" w:rsidR="007123C7" w:rsidRPr="0028066B" w:rsidRDefault="007123C7" w:rsidP="00E82294">
            <w:pPr>
              <w:pStyle w:val="TableText"/>
              <w:jc w:val="right"/>
            </w:pPr>
            <w:r w:rsidRPr="0028066B">
              <w:t>139</w:t>
            </w:r>
          </w:p>
        </w:tc>
        <w:tc>
          <w:tcPr>
            <w:tcW w:w="781" w:type="dxa"/>
            <w:tcBorders>
              <w:bottom w:val="single" w:sz="4" w:space="0" w:color="000000"/>
            </w:tcBorders>
          </w:tcPr>
          <w:p w14:paraId="439D1520" w14:textId="77777777" w:rsidR="007123C7" w:rsidRPr="0028066B" w:rsidRDefault="007123C7" w:rsidP="00E82294">
            <w:pPr>
              <w:pStyle w:val="TableText"/>
              <w:jc w:val="right"/>
            </w:pPr>
            <w:r w:rsidRPr="0028066B">
              <w:t>892</w:t>
            </w:r>
          </w:p>
        </w:tc>
        <w:tc>
          <w:tcPr>
            <w:tcW w:w="994" w:type="dxa"/>
            <w:tcBorders>
              <w:bottom w:val="single" w:sz="4" w:space="0" w:color="000000"/>
            </w:tcBorders>
          </w:tcPr>
          <w:p w14:paraId="7C4041D1" w14:textId="77777777" w:rsidR="007123C7" w:rsidRPr="0028066B" w:rsidRDefault="007123C7" w:rsidP="00E82294">
            <w:pPr>
              <w:pStyle w:val="TableText"/>
              <w:jc w:val="right"/>
            </w:pPr>
            <w:r w:rsidRPr="0028066B">
              <w:t>66.9 (42.8</w:t>
            </w:r>
            <w:r w:rsidR="007505B7">
              <w:t>, </w:t>
            </w:r>
            <w:r w:rsidRPr="0028066B">
              <w:t>84.5)</w:t>
            </w:r>
          </w:p>
        </w:tc>
      </w:tr>
      <w:tr w:rsidR="007123C7" w:rsidRPr="000374B6" w14:paraId="7DA8CCEF" w14:textId="77777777" w:rsidTr="007505B7">
        <w:trPr>
          <w:cantSplit/>
        </w:trPr>
        <w:tc>
          <w:tcPr>
            <w:tcW w:w="2630" w:type="dxa"/>
            <w:tcBorders>
              <w:top w:val="single" w:sz="4" w:space="0" w:color="000000"/>
              <w:bottom w:val="nil"/>
            </w:tcBorders>
          </w:tcPr>
          <w:p w14:paraId="090D1617" w14:textId="77777777" w:rsidR="007123C7" w:rsidRPr="000374B6" w:rsidRDefault="007123C7" w:rsidP="00E82294">
            <w:pPr>
              <w:pStyle w:val="TableText"/>
              <w:rPr>
                <w:bCs/>
                <w:color w:val="000000" w:themeColor="text1"/>
              </w:rPr>
            </w:pPr>
            <w:r w:rsidRPr="001277D4">
              <w:rPr>
                <w:b/>
              </w:rPr>
              <w:t>Probable anxiety/depression (K10)</w:t>
            </w:r>
          </w:p>
        </w:tc>
        <w:tc>
          <w:tcPr>
            <w:tcW w:w="2224" w:type="dxa"/>
            <w:gridSpan w:val="3"/>
            <w:tcBorders>
              <w:top w:val="single" w:sz="4" w:space="0" w:color="000000"/>
              <w:bottom w:val="nil"/>
            </w:tcBorders>
          </w:tcPr>
          <w:p w14:paraId="5615275A" w14:textId="77777777" w:rsidR="007123C7" w:rsidRPr="000374B6" w:rsidRDefault="007123C7" w:rsidP="00E82294">
            <w:pPr>
              <w:pStyle w:val="TableText"/>
              <w:jc w:val="center"/>
            </w:pPr>
            <w:r w:rsidRPr="000374B6">
              <w:t>n=301 (Weighted n=1877)</w:t>
            </w:r>
          </w:p>
        </w:tc>
        <w:tc>
          <w:tcPr>
            <w:tcW w:w="2222" w:type="dxa"/>
            <w:gridSpan w:val="3"/>
            <w:tcBorders>
              <w:top w:val="single" w:sz="4" w:space="0" w:color="000000"/>
              <w:bottom w:val="nil"/>
            </w:tcBorders>
          </w:tcPr>
          <w:p w14:paraId="04938DFA" w14:textId="77777777" w:rsidR="007123C7" w:rsidRPr="000374B6" w:rsidRDefault="007123C7" w:rsidP="00E82294">
            <w:pPr>
              <w:pStyle w:val="TableText"/>
              <w:jc w:val="center"/>
            </w:pPr>
            <w:r w:rsidRPr="000374B6">
              <w:t>n=678 (Weighted n=4893)</w:t>
            </w:r>
          </w:p>
        </w:tc>
        <w:tc>
          <w:tcPr>
            <w:tcW w:w="2222" w:type="dxa"/>
            <w:gridSpan w:val="3"/>
            <w:tcBorders>
              <w:top w:val="single" w:sz="4" w:space="0" w:color="000000"/>
              <w:bottom w:val="nil"/>
            </w:tcBorders>
          </w:tcPr>
          <w:p w14:paraId="2BBA60FA" w14:textId="77777777" w:rsidR="007123C7" w:rsidRPr="000374B6" w:rsidRDefault="007123C7" w:rsidP="00E82294">
            <w:pPr>
              <w:pStyle w:val="TableText"/>
              <w:jc w:val="center"/>
            </w:pPr>
            <w:r w:rsidRPr="000374B6">
              <w:t>n=232 (Weighted n=2683)</w:t>
            </w:r>
          </w:p>
        </w:tc>
        <w:tc>
          <w:tcPr>
            <w:tcW w:w="2222" w:type="dxa"/>
            <w:gridSpan w:val="3"/>
            <w:tcBorders>
              <w:top w:val="single" w:sz="4" w:space="0" w:color="000000"/>
              <w:bottom w:val="nil"/>
            </w:tcBorders>
          </w:tcPr>
          <w:p w14:paraId="2827104B" w14:textId="77777777" w:rsidR="007123C7" w:rsidRPr="000374B6" w:rsidRDefault="007123C7" w:rsidP="00E82294">
            <w:pPr>
              <w:pStyle w:val="TableText"/>
              <w:jc w:val="center"/>
            </w:pPr>
            <w:r w:rsidRPr="000374B6">
              <w:t>n=699 (Weighted n=4703)</w:t>
            </w:r>
          </w:p>
        </w:tc>
      </w:tr>
      <w:tr w:rsidR="005C62B1" w:rsidRPr="0028066B" w14:paraId="588F9DB4"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4FCAD5CC" w14:textId="77777777" w:rsidR="007123C7" w:rsidRPr="0028066B" w:rsidRDefault="007123C7" w:rsidP="00E82294">
            <w:pPr>
              <w:pStyle w:val="TableText"/>
            </w:pPr>
            <w:r w:rsidRPr="0028066B">
              <w:t xml:space="preserve">Used ADF website </w:t>
            </w:r>
          </w:p>
        </w:tc>
        <w:tc>
          <w:tcPr>
            <w:tcW w:w="455" w:type="dxa"/>
            <w:tcBorders>
              <w:top w:val="nil"/>
            </w:tcBorders>
          </w:tcPr>
          <w:p w14:paraId="3378DF62" w14:textId="77777777" w:rsidR="007123C7" w:rsidRPr="0028066B" w:rsidRDefault="007123C7" w:rsidP="00E82294">
            <w:pPr>
              <w:pStyle w:val="TableText"/>
              <w:jc w:val="right"/>
            </w:pPr>
            <w:r w:rsidRPr="0028066B">
              <w:t>37</w:t>
            </w:r>
          </w:p>
        </w:tc>
        <w:tc>
          <w:tcPr>
            <w:tcW w:w="775" w:type="dxa"/>
            <w:tcBorders>
              <w:top w:val="nil"/>
            </w:tcBorders>
          </w:tcPr>
          <w:p w14:paraId="3F1E7823" w14:textId="77777777" w:rsidR="007123C7" w:rsidRPr="0028066B" w:rsidRDefault="007123C7" w:rsidP="00E82294">
            <w:pPr>
              <w:pStyle w:val="TableText"/>
              <w:jc w:val="right"/>
            </w:pPr>
            <w:r w:rsidRPr="0028066B">
              <w:t>233</w:t>
            </w:r>
          </w:p>
        </w:tc>
        <w:tc>
          <w:tcPr>
            <w:tcW w:w="994" w:type="dxa"/>
            <w:tcBorders>
              <w:top w:val="nil"/>
            </w:tcBorders>
          </w:tcPr>
          <w:p w14:paraId="0EF39FC6" w14:textId="77777777" w:rsidR="007123C7" w:rsidRPr="0028066B" w:rsidRDefault="007123C7" w:rsidP="00E82294">
            <w:pPr>
              <w:pStyle w:val="TableText"/>
              <w:jc w:val="right"/>
            </w:pPr>
            <w:r w:rsidRPr="0028066B">
              <w:t>12.4 (8.6</w:t>
            </w:r>
            <w:r w:rsidR="007505B7">
              <w:t>, </w:t>
            </w:r>
            <w:r w:rsidRPr="0028066B">
              <w:t>17.5)</w:t>
            </w:r>
          </w:p>
        </w:tc>
        <w:tc>
          <w:tcPr>
            <w:tcW w:w="481" w:type="dxa"/>
            <w:tcBorders>
              <w:top w:val="nil"/>
            </w:tcBorders>
          </w:tcPr>
          <w:p w14:paraId="3345263A" w14:textId="77777777" w:rsidR="007123C7" w:rsidRPr="0028066B" w:rsidRDefault="007123C7" w:rsidP="00E82294">
            <w:pPr>
              <w:pStyle w:val="TableText"/>
              <w:jc w:val="right"/>
            </w:pPr>
            <w:r w:rsidRPr="0028066B">
              <w:t>95</w:t>
            </w:r>
          </w:p>
        </w:tc>
        <w:tc>
          <w:tcPr>
            <w:tcW w:w="747" w:type="dxa"/>
            <w:tcBorders>
              <w:top w:val="nil"/>
            </w:tcBorders>
          </w:tcPr>
          <w:p w14:paraId="7ED85ADB" w14:textId="77777777" w:rsidR="007123C7" w:rsidRPr="0028066B" w:rsidRDefault="007123C7" w:rsidP="00E82294">
            <w:pPr>
              <w:pStyle w:val="TableText"/>
              <w:jc w:val="right"/>
            </w:pPr>
            <w:r w:rsidRPr="0028066B">
              <w:t>546</w:t>
            </w:r>
          </w:p>
        </w:tc>
        <w:tc>
          <w:tcPr>
            <w:tcW w:w="994" w:type="dxa"/>
            <w:tcBorders>
              <w:top w:val="nil"/>
            </w:tcBorders>
          </w:tcPr>
          <w:p w14:paraId="4D2270F4" w14:textId="77777777" w:rsidR="007123C7" w:rsidRPr="0028066B" w:rsidRDefault="007123C7" w:rsidP="00E82294">
            <w:pPr>
              <w:pStyle w:val="TableText"/>
              <w:jc w:val="right"/>
            </w:pPr>
            <w:r w:rsidRPr="0028066B">
              <w:t>11.2 (8.8</w:t>
            </w:r>
            <w:r w:rsidR="007505B7">
              <w:t>, </w:t>
            </w:r>
            <w:r w:rsidRPr="0028066B">
              <w:t>14.1)</w:t>
            </w:r>
          </w:p>
        </w:tc>
        <w:tc>
          <w:tcPr>
            <w:tcW w:w="509" w:type="dxa"/>
            <w:tcBorders>
              <w:top w:val="nil"/>
            </w:tcBorders>
          </w:tcPr>
          <w:p w14:paraId="3D5421F9" w14:textId="77777777" w:rsidR="007123C7" w:rsidRPr="0028066B" w:rsidRDefault="007123C7" w:rsidP="00E82294">
            <w:pPr>
              <w:pStyle w:val="TableText"/>
              <w:jc w:val="right"/>
            </w:pPr>
            <w:r w:rsidRPr="0028066B">
              <w:t>46</w:t>
            </w:r>
          </w:p>
        </w:tc>
        <w:tc>
          <w:tcPr>
            <w:tcW w:w="810" w:type="dxa"/>
            <w:tcBorders>
              <w:top w:val="nil"/>
            </w:tcBorders>
          </w:tcPr>
          <w:p w14:paraId="5FA8256C" w14:textId="77777777" w:rsidR="007123C7" w:rsidRPr="0028066B" w:rsidRDefault="007123C7" w:rsidP="00E82294">
            <w:pPr>
              <w:pStyle w:val="TableText"/>
              <w:jc w:val="right"/>
            </w:pPr>
            <w:r w:rsidRPr="0028066B">
              <w:t>613</w:t>
            </w:r>
          </w:p>
        </w:tc>
        <w:tc>
          <w:tcPr>
            <w:tcW w:w="903" w:type="dxa"/>
            <w:tcBorders>
              <w:top w:val="nil"/>
            </w:tcBorders>
          </w:tcPr>
          <w:p w14:paraId="50B08383" w14:textId="77777777" w:rsidR="007123C7" w:rsidRPr="0028066B" w:rsidRDefault="007123C7" w:rsidP="00E82294">
            <w:pPr>
              <w:pStyle w:val="TableText"/>
              <w:jc w:val="right"/>
            </w:pPr>
            <w:r w:rsidRPr="0028066B">
              <w:t>22.9 (10.2</w:t>
            </w:r>
            <w:r w:rsidR="007505B7">
              <w:t>, </w:t>
            </w:r>
            <w:r w:rsidRPr="0028066B">
              <w:t>43.6)</w:t>
            </w:r>
          </w:p>
        </w:tc>
        <w:tc>
          <w:tcPr>
            <w:tcW w:w="447" w:type="dxa"/>
            <w:tcBorders>
              <w:top w:val="nil"/>
            </w:tcBorders>
          </w:tcPr>
          <w:p w14:paraId="1EB22C48" w14:textId="77777777" w:rsidR="007123C7" w:rsidRPr="0028066B" w:rsidRDefault="007123C7" w:rsidP="00E82294">
            <w:pPr>
              <w:pStyle w:val="TableText"/>
              <w:jc w:val="right"/>
            </w:pPr>
            <w:r w:rsidRPr="0028066B">
              <w:t>169</w:t>
            </w:r>
          </w:p>
        </w:tc>
        <w:tc>
          <w:tcPr>
            <w:tcW w:w="781" w:type="dxa"/>
            <w:tcBorders>
              <w:top w:val="nil"/>
            </w:tcBorders>
          </w:tcPr>
          <w:p w14:paraId="34598B04" w14:textId="77777777" w:rsidR="007123C7" w:rsidRPr="0028066B" w:rsidRDefault="007123C7" w:rsidP="00E82294">
            <w:pPr>
              <w:pStyle w:val="TableText"/>
              <w:jc w:val="right"/>
            </w:pPr>
            <w:r w:rsidRPr="0028066B">
              <w:t>860</w:t>
            </w:r>
          </w:p>
        </w:tc>
        <w:tc>
          <w:tcPr>
            <w:tcW w:w="994" w:type="dxa"/>
            <w:tcBorders>
              <w:top w:val="nil"/>
            </w:tcBorders>
          </w:tcPr>
          <w:p w14:paraId="6A36EF84" w14:textId="77777777" w:rsidR="007123C7" w:rsidRPr="0028066B" w:rsidRDefault="007123C7" w:rsidP="00E82294">
            <w:pPr>
              <w:pStyle w:val="TableText"/>
              <w:jc w:val="right"/>
            </w:pPr>
            <w:r w:rsidRPr="0028066B">
              <w:t>18.3 (11.6</w:t>
            </w:r>
            <w:r w:rsidR="007505B7">
              <w:t>, </w:t>
            </w:r>
            <w:r w:rsidRPr="0028066B">
              <w:t>27.7)</w:t>
            </w:r>
          </w:p>
        </w:tc>
      </w:tr>
      <w:tr w:rsidR="005C62B1" w:rsidRPr="0028066B" w14:paraId="72128B4B" w14:textId="77777777" w:rsidTr="007505B7">
        <w:trPr>
          <w:cantSplit/>
        </w:trPr>
        <w:tc>
          <w:tcPr>
            <w:tcW w:w="2630" w:type="dxa"/>
            <w:tcBorders>
              <w:bottom w:val="single" w:sz="4" w:space="0" w:color="000000"/>
            </w:tcBorders>
          </w:tcPr>
          <w:p w14:paraId="18A1DACF"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1453F791" w14:textId="77777777" w:rsidR="007123C7" w:rsidRPr="0028066B" w:rsidRDefault="007123C7" w:rsidP="00E82294">
            <w:pPr>
              <w:pStyle w:val="TableText"/>
              <w:jc w:val="right"/>
            </w:pPr>
            <w:r w:rsidRPr="0028066B">
              <w:t>264</w:t>
            </w:r>
          </w:p>
        </w:tc>
        <w:tc>
          <w:tcPr>
            <w:tcW w:w="775" w:type="dxa"/>
            <w:tcBorders>
              <w:bottom w:val="single" w:sz="4" w:space="0" w:color="000000"/>
            </w:tcBorders>
          </w:tcPr>
          <w:p w14:paraId="744D2A46" w14:textId="77777777" w:rsidR="007123C7" w:rsidRPr="0028066B" w:rsidRDefault="007123C7" w:rsidP="00E82294">
            <w:pPr>
              <w:pStyle w:val="TableText"/>
              <w:jc w:val="right"/>
            </w:pPr>
            <w:r w:rsidRPr="0028066B">
              <w:t>1644</w:t>
            </w:r>
          </w:p>
        </w:tc>
        <w:tc>
          <w:tcPr>
            <w:tcW w:w="994" w:type="dxa"/>
            <w:tcBorders>
              <w:bottom w:val="single" w:sz="4" w:space="0" w:color="000000"/>
            </w:tcBorders>
          </w:tcPr>
          <w:p w14:paraId="4F5BACE6" w14:textId="77777777" w:rsidR="007123C7" w:rsidRPr="0028066B" w:rsidRDefault="007123C7" w:rsidP="00E82294">
            <w:pPr>
              <w:pStyle w:val="TableText"/>
              <w:jc w:val="right"/>
            </w:pPr>
            <w:r w:rsidRPr="0028066B">
              <w:t>87.6 (82.5</w:t>
            </w:r>
            <w:r w:rsidR="007505B7">
              <w:t>, </w:t>
            </w:r>
            <w:r w:rsidRPr="0028066B">
              <w:t>91.4)</w:t>
            </w:r>
          </w:p>
        </w:tc>
        <w:tc>
          <w:tcPr>
            <w:tcW w:w="481" w:type="dxa"/>
            <w:tcBorders>
              <w:bottom w:val="single" w:sz="4" w:space="0" w:color="000000"/>
            </w:tcBorders>
          </w:tcPr>
          <w:p w14:paraId="0B04DBEF" w14:textId="77777777" w:rsidR="007123C7" w:rsidRPr="0028066B" w:rsidRDefault="007123C7" w:rsidP="00E82294">
            <w:pPr>
              <w:pStyle w:val="TableText"/>
              <w:jc w:val="right"/>
            </w:pPr>
            <w:r w:rsidRPr="0028066B">
              <w:t>583</w:t>
            </w:r>
          </w:p>
        </w:tc>
        <w:tc>
          <w:tcPr>
            <w:tcW w:w="747" w:type="dxa"/>
            <w:tcBorders>
              <w:bottom w:val="single" w:sz="4" w:space="0" w:color="000000"/>
            </w:tcBorders>
          </w:tcPr>
          <w:p w14:paraId="54761446" w14:textId="77777777" w:rsidR="007123C7" w:rsidRPr="0028066B" w:rsidRDefault="007123C7" w:rsidP="00E82294">
            <w:pPr>
              <w:pStyle w:val="TableText"/>
              <w:jc w:val="right"/>
            </w:pPr>
            <w:r w:rsidRPr="0028066B">
              <w:t>4346</w:t>
            </w:r>
          </w:p>
        </w:tc>
        <w:tc>
          <w:tcPr>
            <w:tcW w:w="994" w:type="dxa"/>
            <w:tcBorders>
              <w:bottom w:val="single" w:sz="4" w:space="0" w:color="000000"/>
            </w:tcBorders>
          </w:tcPr>
          <w:p w14:paraId="50F4A0F6" w14:textId="77777777" w:rsidR="007123C7" w:rsidRPr="0028066B" w:rsidRDefault="007123C7" w:rsidP="00E82294">
            <w:pPr>
              <w:pStyle w:val="TableText"/>
              <w:jc w:val="right"/>
            </w:pPr>
            <w:r w:rsidRPr="0028066B">
              <w:t>88.8 (85.9</w:t>
            </w:r>
            <w:r w:rsidR="007505B7">
              <w:t>, </w:t>
            </w:r>
            <w:r w:rsidRPr="0028066B">
              <w:t>91.2)</w:t>
            </w:r>
          </w:p>
        </w:tc>
        <w:tc>
          <w:tcPr>
            <w:tcW w:w="509" w:type="dxa"/>
            <w:tcBorders>
              <w:bottom w:val="single" w:sz="4" w:space="0" w:color="000000"/>
            </w:tcBorders>
          </w:tcPr>
          <w:p w14:paraId="53CFEDE9" w14:textId="77777777" w:rsidR="007123C7" w:rsidRPr="0028066B" w:rsidRDefault="007123C7" w:rsidP="00E82294">
            <w:pPr>
              <w:pStyle w:val="TableText"/>
              <w:jc w:val="right"/>
            </w:pPr>
            <w:r w:rsidRPr="0028066B">
              <w:t>186</w:t>
            </w:r>
          </w:p>
        </w:tc>
        <w:tc>
          <w:tcPr>
            <w:tcW w:w="810" w:type="dxa"/>
            <w:tcBorders>
              <w:bottom w:val="single" w:sz="4" w:space="0" w:color="000000"/>
            </w:tcBorders>
          </w:tcPr>
          <w:p w14:paraId="6AE6D6BD" w14:textId="77777777" w:rsidR="007123C7" w:rsidRPr="0028066B" w:rsidRDefault="007123C7" w:rsidP="00E82294">
            <w:pPr>
              <w:pStyle w:val="TableText"/>
              <w:jc w:val="right"/>
            </w:pPr>
            <w:r w:rsidRPr="0028066B">
              <w:t>2070</w:t>
            </w:r>
          </w:p>
        </w:tc>
        <w:tc>
          <w:tcPr>
            <w:tcW w:w="903" w:type="dxa"/>
            <w:tcBorders>
              <w:bottom w:val="single" w:sz="4" w:space="0" w:color="000000"/>
            </w:tcBorders>
          </w:tcPr>
          <w:p w14:paraId="34C8FB5C" w14:textId="77777777" w:rsidR="007123C7" w:rsidRPr="0028066B" w:rsidRDefault="007123C7" w:rsidP="00E82294">
            <w:pPr>
              <w:pStyle w:val="TableText"/>
              <w:jc w:val="right"/>
            </w:pPr>
            <w:r w:rsidRPr="0028066B">
              <w:t>77.1 (56.4</w:t>
            </w:r>
            <w:r w:rsidR="007505B7">
              <w:t>, </w:t>
            </w:r>
            <w:r w:rsidRPr="0028066B">
              <w:t>89.8)</w:t>
            </w:r>
          </w:p>
        </w:tc>
        <w:tc>
          <w:tcPr>
            <w:tcW w:w="447" w:type="dxa"/>
            <w:tcBorders>
              <w:bottom w:val="single" w:sz="4" w:space="0" w:color="000000"/>
            </w:tcBorders>
          </w:tcPr>
          <w:p w14:paraId="1D5FC513" w14:textId="77777777" w:rsidR="007123C7" w:rsidRPr="0028066B" w:rsidRDefault="007123C7" w:rsidP="00E82294">
            <w:pPr>
              <w:pStyle w:val="TableText"/>
              <w:jc w:val="right"/>
            </w:pPr>
            <w:r w:rsidRPr="0028066B">
              <w:t>530</w:t>
            </w:r>
          </w:p>
        </w:tc>
        <w:tc>
          <w:tcPr>
            <w:tcW w:w="781" w:type="dxa"/>
            <w:tcBorders>
              <w:bottom w:val="single" w:sz="4" w:space="0" w:color="000000"/>
            </w:tcBorders>
          </w:tcPr>
          <w:p w14:paraId="7E183CC5" w14:textId="77777777" w:rsidR="007123C7" w:rsidRPr="0028066B" w:rsidRDefault="007123C7" w:rsidP="00E82294">
            <w:pPr>
              <w:pStyle w:val="TableText"/>
              <w:jc w:val="right"/>
            </w:pPr>
            <w:r w:rsidRPr="0028066B">
              <w:t>3844</w:t>
            </w:r>
          </w:p>
        </w:tc>
        <w:tc>
          <w:tcPr>
            <w:tcW w:w="994" w:type="dxa"/>
            <w:tcBorders>
              <w:bottom w:val="single" w:sz="4" w:space="0" w:color="000000"/>
            </w:tcBorders>
          </w:tcPr>
          <w:p w14:paraId="02E04DBA" w14:textId="77777777" w:rsidR="007123C7" w:rsidRPr="0028066B" w:rsidRDefault="007123C7" w:rsidP="00E82294">
            <w:pPr>
              <w:pStyle w:val="TableText"/>
              <w:jc w:val="right"/>
            </w:pPr>
            <w:r w:rsidRPr="0028066B">
              <w:t>81.7 (72.3</w:t>
            </w:r>
            <w:r w:rsidR="007505B7">
              <w:t>, </w:t>
            </w:r>
            <w:r w:rsidRPr="0028066B">
              <w:t>88.4)</w:t>
            </w:r>
          </w:p>
        </w:tc>
      </w:tr>
      <w:tr w:rsidR="007123C7" w:rsidRPr="000374B6" w14:paraId="61CE89D2"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bottom w:val="nil"/>
            </w:tcBorders>
          </w:tcPr>
          <w:p w14:paraId="4C76BB54" w14:textId="77777777" w:rsidR="007123C7" w:rsidRPr="000374B6" w:rsidRDefault="007123C7" w:rsidP="00E82294">
            <w:pPr>
              <w:pStyle w:val="TableText"/>
              <w:rPr>
                <w:bCs/>
                <w:color w:val="000000" w:themeColor="text1"/>
              </w:rPr>
            </w:pPr>
            <w:r>
              <w:rPr>
                <w:b/>
              </w:rPr>
              <w:t>Probable alcohol u</w:t>
            </w:r>
            <w:r w:rsidRPr="0028066B">
              <w:rPr>
                <w:b/>
              </w:rPr>
              <w:t>se disorder (AUDIT)</w:t>
            </w:r>
          </w:p>
        </w:tc>
        <w:tc>
          <w:tcPr>
            <w:tcW w:w="2224" w:type="dxa"/>
            <w:gridSpan w:val="3"/>
            <w:tcBorders>
              <w:top w:val="single" w:sz="4" w:space="0" w:color="000000"/>
              <w:bottom w:val="nil"/>
            </w:tcBorders>
          </w:tcPr>
          <w:p w14:paraId="01FD5279" w14:textId="77777777" w:rsidR="007123C7" w:rsidRPr="000374B6" w:rsidRDefault="007123C7" w:rsidP="00E82294">
            <w:pPr>
              <w:pStyle w:val="TableText"/>
              <w:jc w:val="center"/>
            </w:pPr>
            <w:r w:rsidRPr="000374B6">
              <w:t>n=69 (Weighted n=450)</w:t>
            </w:r>
          </w:p>
        </w:tc>
        <w:tc>
          <w:tcPr>
            <w:tcW w:w="2222" w:type="dxa"/>
            <w:gridSpan w:val="3"/>
            <w:tcBorders>
              <w:top w:val="single" w:sz="4" w:space="0" w:color="000000"/>
              <w:bottom w:val="nil"/>
            </w:tcBorders>
          </w:tcPr>
          <w:p w14:paraId="6E518DF9" w14:textId="77777777" w:rsidR="007123C7" w:rsidRPr="000374B6" w:rsidRDefault="007123C7" w:rsidP="00E82294">
            <w:pPr>
              <w:pStyle w:val="TableText"/>
              <w:jc w:val="center"/>
            </w:pPr>
            <w:r w:rsidRPr="000374B6">
              <w:t>n=171 (Weighted n=1191)</w:t>
            </w:r>
          </w:p>
        </w:tc>
        <w:tc>
          <w:tcPr>
            <w:tcW w:w="2222" w:type="dxa"/>
            <w:gridSpan w:val="3"/>
            <w:tcBorders>
              <w:top w:val="single" w:sz="4" w:space="0" w:color="000000"/>
              <w:bottom w:val="nil"/>
            </w:tcBorders>
          </w:tcPr>
          <w:p w14:paraId="49C07522" w14:textId="77777777" w:rsidR="007123C7" w:rsidRPr="000374B6" w:rsidRDefault="007123C7" w:rsidP="00E82294">
            <w:pPr>
              <w:pStyle w:val="TableText"/>
              <w:jc w:val="center"/>
            </w:pPr>
            <w:r w:rsidRPr="000374B6">
              <w:t>n=15 (Weighted n=241)</w:t>
            </w:r>
          </w:p>
        </w:tc>
        <w:tc>
          <w:tcPr>
            <w:tcW w:w="2222" w:type="dxa"/>
            <w:gridSpan w:val="3"/>
            <w:tcBorders>
              <w:top w:val="single" w:sz="4" w:space="0" w:color="000000"/>
              <w:bottom w:val="nil"/>
            </w:tcBorders>
          </w:tcPr>
          <w:p w14:paraId="775A6480" w14:textId="77777777" w:rsidR="007123C7" w:rsidRPr="000374B6" w:rsidRDefault="007123C7" w:rsidP="00E82294">
            <w:pPr>
              <w:pStyle w:val="TableText"/>
              <w:jc w:val="center"/>
            </w:pPr>
            <w:r w:rsidRPr="000374B6">
              <w:t>n=70 (Weighted n=532)</w:t>
            </w:r>
          </w:p>
        </w:tc>
      </w:tr>
      <w:tr w:rsidR="005C62B1" w:rsidRPr="0028066B" w14:paraId="4B360ECE" w14:textId="77777777" w:rsidTr="007505B7">
        <w:trPr>
          <w:cantSplit/>
        </w:trPr>
        <w:tc>
          <w:tcPr>
            <w:tcW w:w="2630" w:type="dxa"/>
            <w:tcBorders>
              <w:top w:val="nil"/>
            </w:tcBorders>
          </w:tcPr>
          <w:p w14:paraId="4B8A18ED" w14:textId="77777777" w:rsidR="007123C7" w:rsidRPr="0028066B" w:rsidRDefault="007123C7" w:rsidP="00E82294">
            <w:pPr>
              <w:pStyle w:val="TableText"/>
            </w:pPr>
            <w:r w:rsidRPr="0028066B">
              <w:t xml:space="preserve">Used ADF website </w:t>
            </w:r>
          </w:p>
        </w:tc>
        <w:tc>
          <w:tcPr>
            <w:tcW w:w="455" w:type="dxa"/>
            <w:tcBorders>
              <w:top w:val="nil"/>
            </w:tcBorders>
          </w:tcPr>
          <w:p w14:paraId="0BEB1B8F" w14:textId="77777777" w:rsidR="007123C7" w:rsidRPr="0028066B" w:rsidRDefault="007123C7" w:rsidP="00E82294">
            <w:pPr>
              <w:pStyle w:val="TableText"/>
              <w:jc w:val="right"/>
            </w:pPr>
            <w:r w:rsidRPr="0028066B">
              <w:t>9</w:t>
            </w:r>
          </w:p>
        </w:tc>
        <w:tc>
          <w:tcPr>
            <w:tcW w:w="775" w:type="dxa"/>
            <w:tcBorders>
              <w:top w:val="nil"/>
            </w:tcBorders>
          </w:tcPr>
          <w:p w14:paraId="558D0029" w14:textId="77777777" w:rsidR="007123C7" w:rsidRPr="0028066B" w:rsidRDefault="007123C7" w:rsidP="00E82294">
            <w:pPr>
              <w:pStyle w:val="TableText"/>
              <w:jc w:val="right"/>
            </w:pPr>
            <w:r w:rsidRPr="0028066B">
              <w:t>56</w:t>
            </w:r>
          </w:p>
        </w:tc>
        <w:tc>
          <w:tcPr>
            <w:tcW w:w="994" w:type="dxa"/>
            <w:tcBorders>
              <w:top w:val="nil"/>
            </w:tcBorders>
          </w:tcPr>
          <w:p w14:paraId="1D4BFC1D" w14:textId="77777777" w:rsidR="007123C7" w:rsidRPr="0028066B" w:rsidRDefault="007123C7" w:rsidP="00E82294">
            <w:pPr>
              <w:pStyle w:val="TableText"/>
              <w:jc w:val="right"/>
            </w:pPr>
            <w:r w:rsidRPr="0028066B">
              <w:t>12.4 (6.0</w:t>
            </w:r>
            <w:r w:rsidR="007505B7">
              <w:t>, </w:t>
            </w:r>
            <w:r w:rsidRPr="0028066B">
              <w:t>23.8)</w:t>
            </w:r>
          </w:p>
        </w:tc>
        <w:tc>
          <w:tcPr>
            <w:tcW w:w="481" w:type="dxa"/>
            <w:tcBorders>
              <w:top w:val="nil"/>
            </w:tcBorders>
          </w:tcPr>
          <w:p w14:paraId="0713A880" w14:textId="77777777" w:rsidR="007123C7" w:rsidRPr="0028066B" w:rsidRDefault="007123C7" w:rsidP="00E82294">
            <w:pPr>
              <w:pStyle w:val="TableText"/>
              <w:jc w:val="right"/>
            </w:pPr>
            <w:r w:rsidRPr="0028066B">
              <w:t>18</w:t>
            </w:r>
          </w:p>
        </w:tc>
        <w:tc>
          <w:tcPr>
            <w:tcW w:w="747" w:type="dxa"/>
            <w:tcBorders>
              <w:top w:val="nil"/>
            </w:tcBorders>
          </w:tcPr>
          <w:p w14:paraId="1833E050" w14:textId="77777777" w:rsidR="007123C7" w:rsidRPr="0028066B" w:rsidRDefault="007123C7" w:rsidP="00E82294">
            <w:pPr>
              <w:pStyle w:val="TableText"/>
              <w:jc w:val="right"/>
            </w:pPr>
            <w:r w:rsidRPr="0028066B">
              <w:t>124</w:t>
            </w:r>
          </w:p>
        </w:tc>
        <w:tc>
          <w:tcPr>
            <w:tcW w:w="994" w:type="dxa"/>
            <w:tcBorders>
              <w:top w:val="nil"/>
            </w:tcBorders>
          </w:tcPr>
          <w:p w14:paraId="19311E2E" w14:textId="77777777" w:rsidR="007123C7" w:rsidRPr="0028066B" w:rsidRDefault="007123C7" w:rsidP="00E82294">
            <w:pPr>
              <w:pStyle w:val="TableText"/>
              <w:jc w:val="right"/>
            </w:pPr>
            <w:r w:rsidRPr="0028066B">
              <w:t>10.4 (6.0</w:t>
            </w:r>
            <w:r w:rsidR="007505B7">
              <w:t>, </w:t>
            </w:r>
            <w:r w:rsidRPr="0028066B">
              <w:t>17.5)</w:t>
            </w:r>
          </w:p>
        </w:tc>
        <w:tc>
          <w:tcPr>
            <w:tcW w:w="509" w:type="dxa"/>
            <w:tcBorders>
              <w:top w:val="nil"/>
            </w:tcBorders>
          </w:tcPr>
          <w:p w14:paraId="0C5F7845" w14:textId="77777777" w:rsidR="007123C7" w:rsidRPr="0028066B" w:rsidRDefault="007123C7" w:rsidP="00E82294">
            <w:pPr>
              <w:pStyle w:val="TableText"/>
              <w:jc w:val="right"/>
            </w:pPr>
            <w:r w:rsidRPr="0028066B">
              <w:t>6</w:t>
            </w:r>
          </w:p>
        </w:tc>
        <w:tc>
          <w:tcPr>
            <w:tcW w:w="810" w:type="dxa"/>
            <w:tcBorders>
              <w:top w:val="nil"/>
            </w:tcBorders>
          </w:tcPr>
          <w:p w14:paraId="4595B353" w14:textId="77777777" w:rsidR="007123C7" w:rsidRPr="0028066B" w:rsidRDefault="007123C7" w:rsidP="00E82294">
            <w:pPr>
              <w:pStyle w:val="TableText"/>
              <w:jc w:val="right"/>
            </w:pPr>
            <w:r w:rsidRPr="0028066B">
              <w:t>211</w:t>
            </w:r>
          </w:p>
        </w:tc>
        <w:tc>
          <w:tcPr>
            <w:tcW w:w="903" w:type="dxa"/>
            <w:tcBorders>
              <w:top w:val="nil"/>
            </w:tcBorders>
          </w:tcPr>
          <w:p w14:paraId="1B0D6334" w14:textId="77777777" w:rsidR="007123C7" w:rsidRPr="0028066B" w:rsidRDefault="007123C7" w:rsidP="00E82294">
            <w:pPr>
              <w:pStyle w:val="TableText"/>
              <w:jc w:val="right"/>
            </w:pPr>
            <w:r w:rsidRPr="0028066B">
              <w:t>87.6 (52.8</w:t>
            </w:r>
            <w:r w:rsidR="007505B7">
              <w:t>, </w:t>
            </w:r>
            <w:r w:rsidRPr="0028066B">
              <w:t>97.8)</w:t>
            </w:r>
          </w:p>
        </w:tc>
        <w:tc>
          <w:tcPr>
            <w:tcW w:w="447" w:type="dxa"/>
            <w:tcBorders>
              <w:top w:val="nil"/>
            </w:tcBorders>
          </w:tcPr>
          <w:p w14:paraId="6BA37284" w14:textId="77777777" w:rsidR="007123C7" w:rsidRPr="0028066B" w:rsidRDefault="007123C7" w:rsidP="00E82294">
            <w:pPr>
              <w:pStyle w:val="TableText"/>
              <w:jc w:val="right"/>
            </w:pPr>
            <w:r w:rsidRPr="0028066B">
              <w:t>16</w:t>
            </w:r>
          </w:p>
        </w:tc>
        <w:tc>
          <w:tcPr>
            <w:tcW w:w="781" w:type="dxa"/>
            <w:tcBorders>
              <w:top w:val="nil"/>
            </w:tcBorders>
          </w:tcPr>
          <w:p w14:paraId="786D2DBB" w14:textId="77777777" w:rsidR="007123C7" w:rsidRPr="0028066B" w:rsidRDefault="007123C7" w:rsidP="00E82294">
            <w:pPr>
              <w:pStyle w:val="TableText"/>
              <w:jc w:val="right"/>
            </w:pPr>
            <w:r w:rsidRPr="0028066B">
              <w:t>51</w:t>
            </w:r>
          </w:p>
        </w:tc>
        <w:tc>
          <w:tcPr>
            <w:tcW w:w="994" w:type="dxa"/>
            <w:tcBorders>
              <w:top w:val="nil"/>
            </w:tcBorders>
          </w:tcPr>
          <w:p w14:paraId="0F8061D6" w14:textId="77777777" w:rsidR="007123C7" w:rsidRPr="0028066B" w:rsidRDefault="007123C7" w:rsidP="00E82294">
            <w:pPr>
              <w:pStyle w:val="TableText"/>
              <w:jc w:val="right"/>
            </w:pPr>
            <w:r w:rsidRPr="0028066B">
              <w:t>9.5 (3.0</w:t>
            </w:r>
            <w:r w:rsidR="007505B7">
              <w:t>, </w:t>
            </w:r>
            <w:r w:rsidRPr="0028066B">
              <w:t>26.6)</w:t>
            </w:r>
          </w:p>
        </w:tc>
      </w:tr>
      <w:tr w:rsidR="005C62B1" w:rsidRPr="0028066B" w14:paraId="2D494132"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73E2DA49"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60DD2079" w14:textId="77777777" w:rsidR="007123C7" w:rsidRPr="0028066B" w:rsidRDefault="007123C7" w:rsidP="00E82294">
            <w:pPr>
              <w:pStyle w:val="TableText"/>
              <w:jc w:val="right"/>
            </w:pPr>
            <w:r w:rsidRPr="0028066B">
              <w:t>60</w:t>
            </w:r>
          </w:p>
        </w:tc>
        <w:tc>
          <w:tcPr>
            <w:tcW w:w="775" w:type="dxa"/>
            <w:tcBorders>
              <w:bottom w:val="single" w:sz="4" w:space="0" w:color="000000"/>
            </w:tcBorders>
          </w:tcPr>
          <w:p w14:paraId="1E33A8D6" w14:textId="77777777" w:rsidR="007123C7" w:rsidRPr="0028066B" w:rsidRDefault="007123C7" w:rsidP="00E82294">
            <w:pPr>
              <w:pStyle w:val="TableText"/>
              <w:jc w:val="right"/>
            </w:pPr>
            <w:r w:rsidRPr="0028066B">
              <w:t>395</w:t>
            </w:r>
          </w:p>
        </w:tc>
        <w:tc>
          <w:tcPr>
            <w:tcW w:w="994" w:type="dxa"/>
            <w:tcBorders>
              <w:bottom w:val="single" w:sz="4" w:space="0" w:color="000000"/>
            </w:tcBorders>
          </w:tcPr>
          <w:p w14:paraId="3EE0DC47" w14:textId="77777777" w:rsidR="007123C7" w:rsidRPr="0028066B" w:rsidRDefault="007123C7" w:rsidP="00E82294">
            <w:pPr>
              <w:pStyle w:val="TableText"/>
              <w:jc w:val="right"/>
            </w:pPr>
            <w:r w:rsidRPr="0028066B">
              <w:t>87.6 (76.2</w:t>
            </w:r>
            <w:r w:rsidR="007505B7">
              <w:t>, </w:t>
            </w:r>
            <w:r w:rsidRPr="0028066B">
              <w:t>94.0)</w:t>
            </w:r>
          </w:p>
        </w:tc>
        <w:tc>
          <w:tcPr>
            <w:tcW w:w="481" w:type="dxa"/>
            <w:tcBorders>
              <w:bottom w:val="single" w:sz="4" w:space="0" w:color="000000"/>
            </w:tcBorders>
          </w:tcPr>
          <w:p w14:paraId="536F7505" w14:textId="77777777" w:rsidR="007123C7" w:rsidRPr="0028066B" w:rsidRDefault="007123C7" w:rsidP="00E82294">
            <w:pPr>
              <w:pStyle w:val="TableText"/>
              <w:jc w:val="right"/>
            </w:pPr>
            <w:r w:rsidRPr="0028066B">
              <w:t>153</w:t>
            </w:r>
          </w:p>
        </w:tc>
        <w:tc>
          <w:tcPr>
            <w:tcW w:w="747" w:type="dxa"/>
            <w:tcBorders>
              <w:bottom w:val="single" w:sz="4" w:space="0" w:color="000000"/>
            </w:tcBorders>
          </w:tcPr>
          <w:p w14:paraId="75E929DD" w14:textId="77777777" w:rsidR="007123C7" w:rsidRPr="0028066B" w:rsidRDefault="007123C7" w:rsidP="00E82294">
            <w:pPr>
              <w:pStyle w:val="TableText"/>
              <w:jc w:val="right"/>
            </w:pPr>
            <w:r w:rsidRPr="0028066B">
              <w:t>1067</w:t>
            </w:r>
          </w:p>
        </w:tc>
        <w:tc>
          <w:tcPr>
            <w:tcW w:w="994" w:type="dxa"/>
            <w:tcBorders>
              <w:bottom w:val="single" w:sz="4" w:space="0" w:color="000000"/>
            </w:tcBorders>
          </w:tcPr>
          <w:p w14:paraId="0CF7F674" w14:textId="77777777" w:rsidR="007123C7" w:rsidRPr="0028066B" w:rsidRDefault="007123C7" w:rsidP="00E82294">
            <w:pPr>
              <w:pStyle w:val="TableText"/>
              <w:jc w:val="right"/>
            </w:pPr>
            <w:r w:rsidRPr="0028066B">
              <w:t>89.6 (82.5</w:t>
            </w:r>
            <w:r w:rsidR="007505B7">
              <w:t>, </w:t>
            </w:r>
            <w:r w:rsidRPr="0028066B">
              <w:t>94.0)</w:t>
            </w:r>
          </w:p>
        </w:tc>
        <w:tc>
          <w:tcPr>
            <w:tcW w:w="509" w:type="dxa"/>
            <w:tcBorders>
              <w:bottom w:val="single" w:sz="4" w:space="0" w:color="000000"/>
            </w:tcBorders>
          </w:tcPr>
          <w:p w14:paraId="1FB67AA9" w14:textId="77777777" w:rsidR="007123C7" w:rsidRPr="0028066B" w:rsidRDefault="007123C7" w:rsidP="00E82294">
            <w:pPr>
              <w:pStyle w:val="TableText"/>
              <w:jc w:val="right"/>
            </w:pPr>
            <w:r w:rsidRPr="0028066B">
              <w:t>9</w:t>
            </w:r>
          </w:p>
        </w:tc>
        <w:tc>
          <w:tcPr>
            <w:tcW w:w="810" w:type="dxa"/>
            <w:tcBorders>
              <w:bottom w:val="single" w:sz="4" w:space="0" w:color="000000"/>
            </w:tcBorders>
          </w:tcPr>
          <w:p w14:paraId="368C79EA" w14:textId="77777777" w:rsidR="007123C7" w:rsidRPr="0028066B" w:rsidRDefault="007123C7" w:rsidP="00E82294">
            <w:pPr>
              <w:pStyle w:val="TableText"/>
              <w:jc w:val="right"/>
            </w:pPr>
            <w:r w:rsidRPr="0028066B">
              <w:t>30</w:t>
            </w:r>
          </w:p>
        </w:tc>
        <w:tc>
          <w:tcPr>
            <w:tcW w:w="903" w:type="dxa"/>
            <w:tcBorders>
              <w:bottom w:val="single" w:sz="4" w:space="0" w:color="000000"/>
            </w:tcBorders>
          </w:tcPr>
          <w:p w14:paraId="462DDBA7" w14:textId="77777777" w:rsidR="007123C7" w:rsidRPr="0028066B" w:rsidRDefault="007123C7" w:rsidP="00E82294">
            <w:pPr>
              <w:pStyle w:val="TableText"/>
              <w:jc w:val="right"/>
            </w:pPr>
            <w:r w:rsidRPr="0028066B">
              <w:t>12.4 (2.2</w:t>
            </w:r>
            <w:r w:rsidR="007505B7">
              <w:t>, </w:t>
            </w:r>
            <w:r w:rsidRPr="0028066B">
              <w:t>47.2)</w:t>
            </w:r>
          </w:p>
        </w:tc>
        <w:tc>
          <w:tcPr>
            <w:tcW w:w="447" w:type="dxa"/>
            <w:tcBorders>
              <w:bottom w:val="single" w:sz="4" w:space="0" w:color="000000"/>
            </w:tcBorders>
          </w:tcPr>
          <w:p w14:paraId="685060BE" w14:textId="77777777" w:rsidR="007123C7" w:rsidRPr="0028066B" w:rsidRDefault="007123C7" w:rsidP="00E82294">
            <w:pPr>
              <w:pStyle w:val="TableText"/>
              <w:jc w:val="right"/>
            </w:pPr>
            <w:r w:rsidRPr="0028066B">
              <w:t>54</w:t>
            </w:r>
          </w:p>
        </w:tc>
        <w:tc>
          <w:tcPr>
            <w:tcW w:w="781" w:type="dxa"/>
            <w:tcBorders>
              <w:bottom w:val="single" w:sz="4" w:space="0" w:color="000000"/>
            </w:tcBorders>
          </w:tcPr>
          <w:p w14:paraId="6E9C5960" w14:textId="77777777" w:rsidR="007123C7" w:rsidRPr="0028066B" w:rsidRDefault="007123C7" w:rsidP="00E82294">
            <w:pPr>
              <w:pStyle w:val="TableText"/>
              <w:jc w:val="right"/>
            </w:pPr>
            <w:r w:rsidRPr="0028066B">
              <w:t>481</w:t>
            </w:r>
          </w:p>
        </w:tc>
        <w:tc>
          <w:tcPr>
            <w:tcW w:w="994" w:type="dxa"/>
            <w:tcBorders>
              <w:bottom w:val="single" w:sz="4" w:space="0" w:color="000000"/>
            </w:tcBorders>
          </w:tcPr>
          <w:p w14:paraId="7F1D977B" w14:textId="77777777" w:rsidR="007123C7" w:rsidRPr="0028066B" w:rsidRDefault="007123C7" w:rsidP="00E82294">
            <w:pPr>
              <w:pStyle w:val="TableText"/>
              <w:jc w:val="right"/>
            </w:pPr>
            <w:r w:rsidRPr="0028066B">
              <w:t>90.5 (73.4</w:t>
            </w:r>
            <w:r w:rsidR="007505B7">
              <w:t>, </w:t>
            </w:r>
            <w:r w:rsidRPr="0028066B">
              <w:t>97.0)</w:t>
            </w:r>
          </w:p>
        </w:tc>
      </w:tr>
      <w:tr w:rsidR="007123C7" w:rsidRPr="000F78B9" w14:paraId="7490408C" w14:textId="77777777" w:rsidTr="007505B7">
        <w:trPr>
          <w:cantSplit/>
        </w:trPr>
        <w:tc>
          <w:tcPr>
            <w:tcW w:w="2630" w:type="dxa"/>
            <w:tcBorders>
              <w:top w:val="single" w:sz="4" w:space="0" w:color="000000"/>
              <w:bottom w:val="nil"/>
            </w:tcBorders>
          </w:tcPr>
          <w:p w14:paraId="6E56EA36" w14:textId="77777777" w:rsidR="007123C7" w:rsidRPr="000F78B9" w:rsidRDefault="007123C7" w:rsidP="00E82294">
            <w:pPr>
              <w:pStyle w:val="TableText"/>
              <w:rPr>
                <w:bCs/>
                <w:color w:val="000000" w:themeColor="text1"/>
              </w:rPr>
            </w:pPr>
            <w:r w:rsidRPr="0028066B">
              <w:rPr>
                <w:b/>
              </w:rPr>
              <w:t>Probable depressive episode (PHQ-9)</w:t>
            </w:r>
          </w:p>
        </w:tc>
        <w:tc>
          <w:tcPr>
            <w:tcW w:w="2224" w:type="dxa"/>
            <w:gridSpan w:val="3"/>
            <w:tcBorders>
              <w:top w:val="single" w:sz="4" w:space="0" w:color="000000"/>
              <w:bottom w:val="nil"/>
            </w:tcBorders>
          </w:tcPr>
          <w:p w14:paraId="17640BA9" w14:textId="77777777" w:rsidR="007123C7" w:rsidRPr="000F78B9" w:rsidRDefault="007123C7" w:rsidP="00E82294">
            <w:pPr>
              <w:pStyle w:val="TableText"/>
              <w:jc w:val="center"/>
            </w:pPr>
            <w:r>
              <w:t>n</w:t>
            </w:r>
            <w:r w:rsidRPr="000F78B9">
              <w:t>=</w:t>
            </w:r>
            <w:r>
              <w:t>141</w:t>
            </w:r>
            <w:r w:rsidRPr="000F78B9">
              <w:t xml:space="preserve"> (Weighted</w:t>
            </w:r>
            <w:r>
              <w:t xml:space="preserve"> n</w:t>
            </w:r>
            <w:r w:rsidRPr="000F78B9">
              <w:t>=</w:t>
            </w:r>
            <w:r>
              <w:t>928</w:t>
            </w:r>
            <w:r w:rsidRPr="000F78B9">
              <w:t>)</w:t>
            </w:r>
          </w:p>
        </w:tc>
        <w:tc>
          <w:tcPr>
            <w:tcW w:w="2222" w:type="dxa"/>
            <w:gridSpan w:val="3"/>
            <w:tcBorders>
              <w:top w:val="single" w:sz="4" w:space="0" w:color="000000"/>
              <w:bottom w:val="nil"/>
            </w:tcBorders>
          </w:tcPr>
          <w:p w14:paraId="7420178D" w14:textId="77777777" w:rsidR="007123C7" w:rsidRPr="000F78B9" w:rsidRDefault="007123C7" w:rsidP="00E82294">
            <w:pPr>
              <w:pStyle w:val="TableText"/>
              <w:jc w:val="center"/>
            </w:pPr>
            <w:r>
              <w:t>n=354</w:t>
            </w:r>
            <w:r w:rsidRPr="000F78B9">
              <w:t xml:space="preserve"> (Weighted </w:t>
            </w:r>
            <w:r>
              <w:t>n</w:t>
            </w:r>
            <w:r w:rsidRPr="000F78B9">
              <w:t>=</w:t>
            </w:r>
            <w:r>
              <w:t>2410</w:t>
            </w:r>
            <w:r w:rsidRPr="000F78B9">
              <w:t>)</w:t>
            </w:r>
          </w:p>
        </w:tc>
        <w:tc>
          <w:tcPr>
            <w:tcW w:w="2222" w:type="dxa"/>
            <w:gridSpan w:val="3"/>
            <w:tcBorders>
              <w:top w:val="single" w:sz="4" w:space="0" w:color="000000"/>
              <w:bottom w:val="nil"/>
            </w:tcBorders>
          </w:tcPr>
          <w:p w14:paraId="0E346F2B" w14:textId="77777777" w:rsidR="007123C7" w:rsidRPr="000F78B9" w:rsidRDefault="007123C7" w:rsidP="00E82294">
            <w:pPr>
              <w:pStyle w:val="TableText"/>
              <w:jc w:val="center"/>
            </w:pPr>
            <w:r>
              <w:t>n</w:t>
            </w:r>
            <w:r w:rsidRPr="000F78B9">
              <w:t>=</w:t>
            </w:r>
            <w:r>
              <w:t>21</w:t>
            </w:r>
            <w:r w:rsidRPr="000F78B9">
              <w:t xml:space="preserve"> (Weighted</w:t>
            </w:r>
            <w:r>
              <w:t xml:space="preserve"> n</w:t>
            </w:r>
            <w:r w:rsidRPr="000F78B9">
              <w:t>=</w:t>
            </w:r>
            <w:r>
              <w:t>105</w:t>
            </w:r>
            <w:r w:rsidRPr="000F78B9">
              <w:t>)</w:t>
            </w:r>
          </w:p>
        </w:tc>
        <w:tc>
          <w:tcPr>
            <w:tcW w:w="2222" w:type="dxa"/>
            <w:gridSpan w:val="3"/>
            <w:tcBorders>
              <w:top w:val="single" w:sz="4" w:space="0" w:color="000000"/>
              <w:bottom w:val="nil"/>
            </w:tcBorders>
          </w:tcPr>
          <w:p w14:paraId="0C996A50" w14:textId="77777777" w:rsidR="007123C7" w:rsidRPr="000F78B9" w:rsidRDefault="007123C7" w:rsidP="00E82294">
            <w:pPr>
              <w:pStyle w:val="TableText"/>
              <w:jc w:val="center"/>
            </w:pPr>
            <w:r>
              <w:t>n</w:t>
            </w:r>
            <w:r w:rsidRPr="000F78B9">
              <w:t>=</w:t>
            </w:r>
            <w:r>
              <w:t xml:space="preserve">229 </w:t>
            </w:r>
            <w:r w:rsidRPr="000F78B9">
              <w:t xml:space="preserve">(Weighted </w:t>
            </w:r>
            <w:r>
              <w:t>n</w:t>
            </w:r>
            <w:r w:rsidRPr="000F78B9">
              <w:t>=</w:t>
            </w:r>
            <w:r>
              <w:t>1689</w:t>
            </w:r>
            <w:r w:rsidRPr="000F78B9">
              <w:t>)</w:t>
            </w:r>
          </w:p>
        </w:tc>
      </w:tr>
      <w:tr w:rsidR="005C62B1" w:rsidRPr="0028066B" w14:paraId="35A66892"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5D09319F" w14:textId="77777777" w:rsidR="007123C7" w:rsidRPr="0028066B" w:rsidRDefault="007123C7" w:rsidP="00E82294">
            <w:pPr>
              <w:pStyle w:val="TableText"/>
            </w:pPr>
            <w:r w:rsidRPr="0028066B">
              <w:t xml:space="preserve">Used ADF website </w:t>
            </w:r>
          </w:p>
        </w:tc>
        <w:tc>
          <w:tcPr>
            <w:tcW w:w="455" w:type="dxa"/>
            <w:tcBorders>
              <w:top w:val="nil"/>
            </w:tcBorders>
          </w:tcPr>
          <w:p w14:paraId="44C176DB" w14:textId="77777777" w:rsidR="007123C7" w:rsidRPr="0028066B" w:rsidRDefault="007123C7" w:rsidP="00E82294">
            <w:pPr>
              <w:pStyle w:val="TableText"/>
              <w:jc w:val="right"/>
            </w:pPr>
            <w:r w:rsidRPr="0028066B">
              <w:t>21</w:t>
            </w:r>
          </w:p>
        </w:tc>
        <w:tc>
          <w:tcPr>
            <w:tcW w:w="775" w:type="dxa"/>
            <w:tcBorders>
              <w:top w:val="nil"/>
            </w:tcBorders>
          </w:tcPr>
          <w:p w14:paraId="4CF97E15" w14:textId="77777777" w:rsidR="007123C7" w:rsidRPr="0028066B" w:rsidRDefault="007123C7" w:rsidP="00E82294">
            <w:pPr>
              <w:pStyle w:val="TableText"/>
              <w:jc w:val="right"/>
            </w:pPr>
            <w:r w:rsidRPr="0028066B">
              <w:t>162</w:t>
            </w:r>
          </w:p>
        </w:tc>
        <w:tc>
          <w:tcPr>
            <w:tcW w:w="994" w:type="dxa"/>
            <w:tcBorders>
              <w:top w:val="nil"/>
            </w:tcBorders>
          </w:tcPr>
          <w:p w14:paraId="1A66D342" w14:textId="77777777" w:rsidR="007123C7" w:rsidRPr="0028066B" w:rsidRDefault="007123C7" w:rsidP="00E82294">
            <w:pPr>
              <w:pStyle w:val="TableText"/>
              <w:jc w:val="right"/>
            </w:pPr>
            <w:r w:rsidRPr="0028066B">
              <w:t>17.5 (11.0</w:t>
            </w:r>
            <w:r w:rsidR="007505B7">
              <w:t>, </w:t>
            </w:r>
            <w:r w:rsidRPr="0028066B">
              <w:t>26.6)</w:t>
            </w:r>
          </w:p>
        </w:tc>
        <w:tc>
          <w:tcPr>
            <w:tcW w:w="481" w:type="dxa"/>
            <w:tcBorders>
              <w:top w:val="nil"/>
            </w:tcBorders>
          </w:tcPr>
          <w:p w14:paraId="75C34677" w14:textId="77777777" w:rsidR="007123C7" w:rsidRPr="0028066B" w:rsidRDefault="007123C7" w:rsidP="00E82294">
            <w:pPr>
              <w:pStyle w:val="TableText"/>
              <w:jc w:val="right"/>
            </w:pPr>
            <w:r w:rsidRPr="0028066B">
              <w:t>57</w:t>
            </w:r>
          </w:p>
        </w:tc>
        <w:tc>
          <w:tcPr>
            <w:tcW w:w="747" w:type="dxa"/>
            <w:tcBorders>
              <w:top w:val="nil"/>
            </w:tcBorders>
          </w:tcPr>
          <w:p w14:paraId="5F734BF9" w14:textId="77777777" w:rsidR="007123C7" w:rsidRPr="0028066B" w:rsidRDefault="007123C7" w:rsidP="00E82294">
            <w:pPr>
              <w:pStyle w:val="TableText"/>
              <w:jc w:val="right"/>
            </w:pPr>
            <w:r w:rsidRPr="0028066B">
              <w:t>312</w:t>
            </w:r>
          </w:p>
        </w:tc>
        <w:tc>
          <w:tcPr>
            <w:tcW w:w="994" w:type="dxa"/>
            <w:tcBorders>
              <w:top w:val="nil"/>
            </w:tcBorders>
          </w:tcPr>
          <w:p w14:paraId="65367C53" w14:textId="77777777" w:rsidR="007123C7" w:rsidRPr="0028066B" w:rsidRDefault="007123C7" w:rsidP="00E82294">
            <w:pPr>
              <w:pStyle w:val="TableText"/>
              <w:jc w:val="right"/>
            </w:pPr>
            <w:r w:rsidRPr="0028066B">
              <w:t>13.0 (9.6</w:t>
            </w:r>
            <w:r w:rsidR="007505B7">
              <w:t>, </w:t>
            </w:r>
            <w:r w:rsidRPr="0028066B">
              <w:t>17.2)</w:t>
            </w:r>
          </w:p>
        </w:tc>
        <w:tc>
          <w:tcPr>
            <w:tcW w:w="509" w:type="dxa"/>
            <w:tcBorders>
              <w:top w:val="nil"/>
            </w:tcBorders>
          </w:tcPr>
          <w:p w14:paraId="764C796E" w14:textId="77777777" w:rsidR="007123C7" w:rsidRPr="0028066B" w:rsidRDefault="007123C7" w:rsidP="00E82294">
            <w:pPr>
              <w:pStyle w:val="TableText"/>
              <w:jc w:val="right"/>
            </w:pPr>
            <w:r w:rsidRPr="0028066B">
              <w:t>8</w:t>
            </w:r>
          </w:p>
        </w:tc>
        <w:tc>
          <w:tcPr>
            <w:tcW w:w="810" w:type="dxa"/>
            <w:tcBorders>
              <w:top w:val="nil"/>
            </w:tcBorders>
          </w:tcPr>
          <w:p w14:paraId="6EDB65C6" w14:textId="77777777" w:rsidR="007123C7" w:rsidRPr="0028066B" w:rsidRDefault="007123C7" w:rsidP="00E82294">
            <w:pPr>
              <w:pStyle w:val="TableText"/>
              <w:jc w:val="right"/>
            </w:pPr>
            <w:r w:rsidRPr="0028066B">
              <w:t>47</w:t>
            </w:r>
          </w:p>
        </w:tc>
        <w:tc>
          <w:tcPr>
            <w:tcW w:w="903" w:type="dxa"/>
            <w:tcBorders>
              <w:top w:val="nil"/>
            </w:tcBorders>
          </w:tcPr>
          <w:p w14:paraId="71DC3DA9" w14:textId="77777777" w:rsidR="007123C7" w:rsidRPr="0028066B" w:rsidRDefault="007123C7" w:rsidP="00E82294">
            <w:pPr>
              <w:pStyle w:val="TableText"/>
              <w:jc w:val="right"/>
            </w:pPr>
            <w:r w:rsidRPr="0028066B">
              <w:t>45.0 (21.4</w:t>
            </w:r>
            <w:r w:rsidR="007505B7">
              <w:t>, </w:t>
            </w:r>
            <w:r w:rsidRPr="0028066B">
              <w:t>71.0)</w:t>
            </w:r>
          </w:p>
        </w:tc>
        <w:tc>
          <w:tcPr>
            <w:tcW w:w="447" w:type="dxa"/>
            <w:tcBorders>
              <w:top w:val="nil"/>
            </w:tcBorders>
          </w:tcPr>
          <w:p w14:paraId="2936696B" w14:textId="77777777" w:rsidR="007123C7" w:rsidRPr="0028066B" w:rsidRDefault="007123C7" w:rsidP="00E82294">
            <w:pPr>
              <w:pStyle w:val="TableText"/>
              <w:jc w:val="right"/>
            </w:pPr>
            <w:r w:rsidRPr="0028066B">
              <w:t>58</w:t>
            </w:r>
          </w:p>
        </w:tc>
        <w:tc>
          <w:tcPr>
            <w:tcW w:w="781" w:type="dxa"/>
            <w:tcBorders>
              <w:top w:val="nil"/>
            </w:tcBorders>
          </w:tcPr>
          <w:p w14:paraId="2776EC70" w14:textId="77777777" w:rsidR="007123C7" w:rsidRPr="0028066B" w:rsidRDefault="007123C7" w:rsidP="00E82294">
            <w:pPr>
              <w:pStyle w:val="TableText"/>
              <w:jc w:val="right"/>
            </w:pPr>
            <w:r w:rsidRPr="0028066B">
              <w:t>315</w:t>
            </w:r>
          </w:p>
        </w:tc>
        <w:tc>
          <w:tcPr>
            <w:tcW w:w="994" w:type="dxa"/>
            <w:tcBorders>
              <w:top w:val="nil"/>
            </w:tcBorders>
          </w:tcPr>
          <w:p w14:paraId="185951DE" w14:textId="77777777" w:rsidR="007123C7" w:rsidRPr="0028066B" w:rsidRDefault="007123C7" w:rsidP="00E82294">
            <w:pPr>
              <w:pStyle w:val="TableText"/>
              <w:jc w:val="right"/>
            </w:pPr>
            <w:r w:rsidRPr="0028066B">
              <w:t>18.6 (9.5</w:t>
            </w:r>
            <w:r w:rsidR="007505B7">
              <w:t>, </w:t>
            </w:r>
            <w:r w:rsidRPr="0028066B">
              <w:t>33.2)</w:t>
            </w:r>
          </w:p>
        </w:tc>
      </w:tr>
      <w:tr w:rsidR="005C62B1" w:rsidRPr="0028066B" w14:paraId="42D95DA2" w14:textId="77777777" w:rsidTr="007505B7">
        <w:trPr>
          <w:cantSplit/>
        </w:trPr>
        <w:tc>
          <w:tcPr>
            <w:tcW w:w="2630" w:type="dxa"/>
            <w:tcBorders>
              <w:bottom w:val="single" w:sz="4" w:space="0" w:color="000000"/>
            </w:tcBorders>
          </w:tcPr>
          <w:p w14:paraId="4C068859" w14:textId="77777777" w:rsidR="007123C7" w:rsidRPr="0028066B" w:rsidRDefault="007123C7" w:rsidP="007505B7">
            <w:pPr>
              <w:pStyle w:val="TableText"/>
              <w:keepNext w:val="0"/>
            </w:pPr>
            <w:r w:rsidRPr="0028066B">
              <w:t>Did not use ADF website</w:t>
            </w:r>
          </w:p>
        </w:tc>
        <w:tc>
          <w:tcPr>
            <w:tcW w:w="455" w:type="dxa"/>
            <w:tcBorders>
              <w:bottom w:val="single" w:sz="4" w:space="0" w:color="000000"/>
            </w:tcBorders>
          </w:tcPr>
          <w:p w14:paraId="31A999F8" w14:textId="77777777" w:rsidR="007123C7" w:rsidRPr="0028066B" w:rsidRDefault="007123C7" w:rsidP="007505B7">
            <w:pPr>
              <w:pStyle w:val="TableText"/>
              <w:keepNext w:val="0"/>
              <w:jc w:val="right"/>
            </w:pPr>
            <w:r w:rsidRPr="0028066B">
              <w:t>120</w:t>
            </w:r>
          </w:p>
        </w:tc>
        <w:tc>
          <w:tcPr>
            <w:tcW w:w="775" w:type="dxa"/>
            <w:tcBorders>
              <w:bottom w:val="single" w:sz="4" w:space="0" w:color="000000"/>
            </w:tcBorders>
          </w:tcPr>
          <w:p w14:paraId="52849E8D" w14:textId="77777777" w:rsidR="007123C7" w:rsidRPr="0028066B" w:rsidRDefault="007123C7" w:rsidP="007505B7">
            <w:pPr>
              <w:pStyle w:val="TableText"/>
              <w:keepNext w:val="0"/>
              <w:jc w:val="right"/>
            </w:pPr>
            <w:r w:rsidRPr="0028066B">
              <w:t>765</w:t>
            </w:r>
          </w:p>
        </w:tc>
        <w:tc>
          <w:tcPr>
            <w:tcW w:w="994" w:type="dxa"/>
            <w:tcBorders>
              <w:bottom w:val="single" w:sz="4" w:space="0" w:color="000000"/>
            </w:tcBorders>
          </w:tcPr>
          <w:p w14:paraId="44C370CC" w14:textId="77777777" w:rsidR="007123C7" w:rsidRPr="0028066B" w:rsidRDefault="007123C7" w:rsidP="007505B7">
            <w:pPr>
              <w:pStyle w:val="TableText"/>
              <w:keepNext w:val="0"/>
              <w:jc w:val="right"/>
            </w:pPr>
            <w:r w:rsidRPr="0028066B">
              <w:t>82.5 (73.4</w:t>
            </w:r>
            <w:r w:rsidR="007505B7">
              <w:t>, </w:t>
            </w:r>
            <w:r w:rsidRPr="0028066B">
              <w:t>89.0)</w:t>
            </w:r>
          </w:p>
        </w:tc>
        <w:tc>
          <w:tcPr>
            <w:tcW w:w="481" w:type="dxa"/>
            <w:tcBorders>
              <w:bottom w:val="single" w:sz="4" w:space="0" w:color="000000"/>
            </w:tcBorders>
          </w:tcPr>
          <w:p w14:paraId="18CB1954" w14:textId="77777777" w:rsidR="007123C7" w:rsidRPr="0028066B" w:rsidRDefault="007123C7" w:rsidP="007505B7">
            <w:pPr>
              <w:pStyle w:val="TableText"/>
              <w:keepNext w:val="0"/>
              <w:jc w:val="right"/>
            </w:pPr>
            <w:r w:rsidRPr="0028066B">
              <w:t>297</w:t>
            </w:r>
          </w:p>
        </w:tc>
        <w:tc>
          <w:tcPr>
            <w:tcW w:w="747" w:type="dxa"/>
            <w:tcBorders>
              <w:bottom w:val="single" w:sz="4" w:space="0" w:color="000000"/>
            </w:tcBorders>
          </w:tcPr>
          <w:p w14:paraId="42976F7A" w14:textId="77777777" w:rsidR="007123C7" w:rsidRPr="0028066B" w:rsidRDefault="007123C7" w:rsidP="007505B7">
            <w:pPr>
              <w:pStyle w:val="TableText"/>
              <w:keepNext w:val="0"/>
              <w:jc w:val="right"/>
            </w:pPr>
            <w:r w:rsidRPr="0028066B">
              <w:t>2098</w:t>
            </w:r>
          </w:p>
        </w:tc>
        <w:tc>
          <w:tcPr>
            <w:tcW w:w="994" w:type="dxa"/>
            <w:tcBorders>
              <w:bottom w:val="single" w:sz="4" w:space="0" w:color="000000"/>
            </w:tcBorders>
          </w:tcPr>
          <w:p w14:paraId="469C6B7E" w14:textId="77777777" w:rsidR="007123C7" w:rsidRPr="0028066B" w:rsidRDefault="007123C7" w:rsidP="007505B7">
            <w:pPr>
              <w:pStyle w:val="TableText"/>
              <w:keepNext w:val="0"/>
              <w:jc w:val="right"/>
            </w:pPr>
            <w:r w:rsidRPr="0028066B">
              <w:t>87.0 (82.8</w:t>
            </w:r>
            <w:r w:rsidR="007505B7">
              <w:t>, </w:t>
            </w:r>
            <w:r w:rsidRPr="0028066B">
              <w:t>90.4)</w:t>
            </w:r>
          </w:p>
        </w:tc>
        <w:tc>
          <w:tcPr>
            <w:tcW w:w="509" w:type="dxa"/>
            <w:tcBorders>
              <w:bottom w:val="single" w:sz="4" w:space="0" w:color="000000"/>
            </w:tcBorders>
          </w:tcPr>
          <w:p w14:paraId="79D4A83F" w14:textId="77777777" w:rsidR="007123C7" w:rsidRPr="0028066B" w:rsidRDefault="007123C7" w:rsidP="007505B7">
            <w:pPr>
              <w:pStyle w:val="TableText"/>
              <w:keepNext w:val="0"/>
              <w:jc w:val="right"/>
            </w:pPr>
            <w:r w:rsidRPr="0028066B">
              <w:t>13</w:t>
            </w:r>
          </w:p>
        </w:tc>
        <w:tc>
          <w:tcPr>
            <w:tcW w:w="810" w:type="dxa"/>
            <w:tcBorders>
              <w:bottom w:val="single" w:sz="4" w:space="0" w:color="000000"/>
            </w:tcBorders>
          </w:tcPr>
          <w:p w14:paraId="6E47732B" w14:textId="77777777" w:rsidR="007123C7" w:rsidRPr="0028066B" w:rsidRDefault="007123C7" w:rsidP="007505B7">
            <w:pPr>
              <w:pStyle w:val="TableText"/>
              <w:keepNext w:val="0"/>
              <w:jc w:val="right"/>
            </w:pPr>
            <w:r w:rsidRPr="0028066B">
              <w:t>58</w:t>
            </w:r>
          </w:p>
        </w:tc>
        <w:tc>
          <w:tcPr>
            <w:tcW w:w="903" w:type="dxa"/>
            <w:tcBorders>
              <w:bottom w:val="single" w:sz="4" w:space="0" w:color="000000"/>
            </w:tcBorders>
          </w:tcPr>
          <w:p w14:paraId="461A233E" w14:textId="77777777" w:rsidR="007123C7" w:rsidRPr="0028066B" w:rsidRDefault="007123C7" w:rsidP="007505B7">
            <w:pPr>
              <w:pStyle w:val="TableText"/>
              <w:keepNext w:val="0"/>
              <w:jc w:val="right"/>
            </w:pPr>
            <w:r w:rsidRPr="0028066B">
              <w:t>55.0 (29.0</w:t>
            </w:r>
            <w:r w:rsidR="007505B7">
              <w:t>, </w:t>
            </w:r>
            <w:r w:rsidRPr="0028066B">
              <w:t>78.6)</w:t>
            </w:r>
          </w:p>
        </w:tc>
        <w:tc>
          <w:tcPr>
            <w:tcW w:w="447" w:type="dxa"/>
            <w:tcBorders>
              <w:bottom w:val="single" w:sz="4" w:space="0" w:color="000000"/>
            </w:tcBorders>
          </w:tcPr>
          <w:p w14:paraId="73C6EDA4" w14:textId="77777777" w:rsidR="007123C7" w:rsidRPr="0028066B" w:rsidRDefault="007123C7" w:rsidP="007505B7">
            <w:pPr>
              <w:pStyle w:val="TableText"/>
              <w:keepNext w:val="0"/>
              <w:jc w:val="right"/>
            </w:pPr>
            <w:r w:rsidRPr="0028066B">
              <w:t>171</w:t>
            </w:r>
          </w:p>
        </w:tc>
        <w:tc>
          <w:tcPr>
            <w:tcW w:w="781" w:type="dxa"/>
            <w:tcBorders>
              <w:bottom w:val="single" w:sz="4" w:space="0" w:color="000000"/>
            </w:tcBorders>
          </w:tcPr>
          <w:p w14:paraId="3197B0E7" w14:textId="77777777" w:rsidR="007123C7" w:rsidRPr="0028066B" w:rsidRDefault="007123C7" w:rsidP="007505B7">
            <w:pPr>
              <w:pStyle w:val="TableText"/>
              <w:keepNext w:val="0"/>
              <w:jc w:val="right"/>
            </w:pPr>
            <w:r w:rsidRPr="0028066B">
              <w:t>1374</w:t>
            </w:r>
          </w:p>
        </w:tc>
        <w:tc>
          <w:tcPr>
            <w:tcW w:w="994" w:type="dxa"/>
            <w:tcBorders>
              <w:bottom w:val="single" w:sz="4" w:space="0" w:color="000000"/>
            </w:tcBorders>
          </w:tcPr>
          <w:p w14:paraId="236A5F5E" w14:textId="77777777" w:rsidR="007123C7" w:rsidRPr="0028066B" w:rsidRDefault="007123C7" w:rsidP="007505B7">
            <w:pPr>
              <w:pStyle w:val="TableText"/>
              <w:keepNext w:val="0"/>
              <w:jc w:val="right"/>
            </w:pPr>
            <w:r w:rsidRPr="0028066B">
              <w:t>81.4 (66.8</w:t>
            </w:r>
            <w:r w:rsidR="007505B7">
              <w:t>, </w:t>
            </w:r>
            <w:r w:rsidRPr="0028066B">
              <w:t>90.5)</w:t>
            </w:r>
          </w:p>
        </w:tc>
      </w:tr>
      <w:tr w:rsidR="007123C7" w:rsidRPr="000F78B9" w14:paraId="33D9A6AD"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single" w:sz="4" w:space="0" w:color="000000"/>
              <w:bottom w:val="nil"/>
            </w:tcBorders>
          </w:tcPr>
          <w:p w14:paraId="27E9EA71" w14:textId="77777777" w:rsidR="007123C7" w:rsidRPr="000F78B9" w:rsidRDefault="007123C7" w:rsidP="00E82294">
            <w:pPr>
              <w:pStyle w:val="TableText"/>
            </w:pPr>
            <w:r w:rsidRPr="0028066B">
              <w:rPr>
                <w:b/>
              </w:rPr>
              <w:t>Any 12-month suicidal ideation and behaviour</w:t>
            </w:r>
          </w:p>
        </w:tc>
        <w:tc>
          <w:tcPr>
            <w:tcW w:w="2224" w:type="dxa"/>
            <w:gridSpan w:val="3"/>
            <w:tcBorders>
              <w:top w:val="single" w:sz="4" w:space="0" w:color="000000"/>
              <w:bottom w:val="nil"/>
            </w:tcBorders>
          </w:tcPr>
          <w:p w14:paraId="53D3BBAE" w14:textId="77777777" w:rsidR="007123C7" w:rsidRPr="000F78B9" w:rsidRDefault="007123C7" w:rsidP="00E82294">
            <w:pPr>
              <w:pStyle w:val="TableText"/>
              <w:jc w:val="center"/>
            </w:pPr>
            <w:r>
              <w:t>n</w:t>
            </w:r>
            <w:r w:rsidRPr="000F78B9">
              <w:t>=</w:t>
            </w:r>
            <w:r>
              <w:t>325</w:t>
            </w:r>
            <w:r w:rsidRPr="000F78B9">
              <w:t xml:space="preserve"> (Weighted</w:t>
            </w:r>
            <w:r>
              <w:t xml:space="preserve"> n</w:t>
            </w:r>
            <w:r w:rsidRPr="000F78B9">
              <w:t>=</w:t>
            </w:r>
            <w:r>
              <w:t>1970</w:t>
            </w:r>
            <w:r w:rsidRPr="000F78B9">
              <w:t>)</w:t>
            </w:r>
          </w:p>
        </w:tc>
        <w:tc>
          <w:tcPr>
            <w:tcW w:w="2222" w:type="dxa"/>
            <w:gridSpan w:val="3"/>
            <w:tcBorders>
              <w:top w:val="single" w:sz="4" w:space="0" w:color="000000"/>
              <w:bottom w:val="nil"/>
            </w:tcBorders>
          </w:tcPr>
          <w:p w14:paraId="7CD3D8C0" w14:textId="77777777" w:rsidR="007123C7" w:rsidRPr="000F78B9" w:rsidRDefault="007123C7" w:rsidP="00E82294">
            <w:pPr>
              <w:pStyle w:val="TableText"/>
              <w:jc w:val="center"/>
            </w:pPr>
            <w:r>
              <w:t>n=795</w:t>
            </w:r>
            <w:r w:rsidRPr="000F78B9">
              <w:t xml:space="preserve"> (Weighted </w:t>
            </w:r>
            <w:r>
              <w:t>n</w:t>
            </w:r>
            <w:r w:rsidRPr="000F78B9">
              <w:t>=</w:t>
            </w:r>
            <w:r>
              <w:t>5571</w:t>
            </w:r>
            <w:r w:rsidRPr="000F78B9">
              <w:t>)</w:t>
            </w:r>
          </w:p>
        </w:tc>
        <w:tc>
          <w:tcPr>
            <w:tcW w:w="2222" w:type="dxa"/>
            <w:gridSpan w:val="3"/>
            <w:tcBorders>
              <w:top w:val="single" w:sz="4" w:space="0" w:color="000000"/>
              <w:bottom w:val="nil"/>
            </w:tcBorders>
          </w:tcPr>
          <w:p w14:paraId="662F3615" w14:textId="77777777" w:rsidR="007123C7" w:rsidRPr="000F78B9" w:rsidRDefault="007123C7" w:rsidP="00E82294">
            <w:pPr>
              <w:pStyle w:val="TableText"/>
              <w:jc w:val="center"/>
            </w:pPr>
            <w:r>
              <w:t>n</w:t>
            </w:r>
            <w:r w:rsidRPr="000F78B9">
              <w:t>=</w:t>
            </w:r>
            <w:r>
              <w:t>169</w:t>
            </w:r>
            <w:r w:rsidRPr="000F78B9">
              <w:t xml:space="preserve"> (Weighted</w:t>
            </w:r>
            <w:r>
              <w:t xml:space="preserve"> n</w:t>
            </w:r>
            <w:r w:rsidRPr="000F78B9">
              <w:t>=</w:t>
            </w:r>
            <w:r>
              <w:t>1083</w:t>
            </w:r>
            <w:r w:rsidRPr="000F78B9">
              <w:t>)</w:t>
            </w:r>
          </w:p>
        </w:tc>
        <w:tc>
          <w:tcPr>
            <w:tcW w:w="2222" w:type="dxa"/>
            <w:gridSpan w:val="3"/>
            <w:tcBorders>
              <w:top w:val="single" w:sz="4" w:space="0" w:color="000000"/>
              <w:bottom w:val="nil"/>
            </w:tcBorders>
          </w:tcPr>
          <w:p w14:paraId="3C3AB90B" w14:textId="77777777" w:rsidR="007123C7" w:rsidRPr="000F78B9" w:rsidRDefault="007123C7" w:rsidP="00E82294">
            <w:pPr>
              <w:pStyle w:val="TableText"/>
              <w:jc w:val="center"/>
            </w:pPr>
            <w:r>
              <w:t>n</w:t>
            </w:r>
            <w:r w:rsidRPr="000F78B9">
              <w:t>=</w:t>
            </w:r>
            <w:r>
              <w:t xml:space="preserve">805 </w:t>
            </w:r>
            <w:r w:rsidRPr="000F78B9">
              <w:t xml:space="preserve">(Weighted </w:t>
            </w:r>
            <w:r>
              <w:t>n</w:t>
            </w:r>
            <w:r w:rsidRPr="000F78B9">
              <w:t>=</w:t>
            </w:r>
            <w:r>
              <w:t>6162</w:t>
            </w:r>
            <w:r w:rsidRPr="000F78B9">
              <w:t>)</w:t>
            </w:r>
          </w:p>
        </w:tc>
      </w:tr>
      <w:tr w:rsidR="005C62B1" w:rsidRPr="0028066B" w14:paraId="6A05B1E1" w14:textId="77777777" w:rsidTr="007505B7">
        <w:trPr>
          <w:cantSplit/>
        </w:trPr>
        <w:tc>
          <w:tcPr>
            <w:tcW w:w="2630" w:type="dxa"/>
            <w:tcBorders>
              <w:top w:val="nil"/>
            </w:tcBorders>
          </w:tcPr>
          <w:p w14:paraId="3FDBFFDB" w14:textId="77777777" w:rsidR="007123C7" w:rsidRPr="0028066B" w:rsidRDefault="007123C7" w:rsidP="00E82294">
            <w:pPr>
              <w:pStyle w:val="TableText"/>
            </w:pPr>
            <w:r w:rsidRPr="0028066B">
              <w:t xml:space="preserve">Used ADF website </w:t>
            </w:r>
          </w:p>
        </w:tc>
        <w:tc>
          <w:tcPr>
            <w:tcW w:w="455" w:type="dxa"/>
            <w:tcBorders>
              <w:top w:val="nil"/>
            </w:tcBorders>
          </w:tcPr>
          <w:p w14:paraId="75F3598F" w14:textId="77777777" w:rsidR="007123C7" w:rsidRPr="0028066B" w:rsidRDefault="007123C7" w:rsidP="00E82294">
            <w:pPr>
              <w:pStyle w:val="TableText"/>
              <w:jc w:val="right"/>
            </w:pPr>
            <w:r w:rsidRPr="0028066B">
              <w:t>40</w:t>
            </w:r>
          </w:p>
        </w:tc>
        <w:tc>
          <w:tcPr>
            <w:tcW w:w="775" w:type="dxa"/>
            <w:tcBorders>
              <w:top w:val="nil"/>
            </w:tcBorders>
          </w:tcPr>
          <w:p w14:paraId="13BFBD76" w14:textId="77777777" w:rsidR="007123C7" w:rsidRPr="0028066B" w:rsidRDefault="007123C7" w:rsidP="00E82294">
            <w:pPr>
              <w:pStyle w:val="TableText"/>
              <w:jc w:val="right"/>
            </w:pPr>
            <w:r w:rsidRPr="0028066B">
              <w:t>247</w:t>
            </w:r>
          </w:p>
        </w:tc>
        <w:tc>
          <w:tcPr>
            <w:tcW w:w="994" w:type="dxa"/>
            <w:tcBorders>
              <w:top w:val="nil"/>
            </w:tcBorders>
          </w:tcPr>
          <w:p w14:paraId="3DD40ABE" w14:textId="77777777" w:rsidR="007123C7" w:rsidRPr="0028066B" w:rsidRDefault="007123C7" w:rsidP="00E82294">
            <w:pPr>
              <w:pStyle w:val="TableText"/>
              <w:jc w:val="right"/>
            </w:pPr>
            <w:r w:rsidRPr="0028066B">
              <w:t>12.5 (8.9</w:t>
            </w:r>
            <w:r w:rsidR="007505B7">
              <w:t>, </w:t>
            </w:r>
            <w:r w:rsidRPr="0028066B">
              <w:t>17.4)</w:t>
            </w:r>
          </w:p>
        </w:tc>
        <w:tc>
          <w:tcPr>
            <w:tcW w:w="481" w:type="dxa"/>
            <w:tcBorders>
              <w:top w:val="nil"/>
            </w:tcBorders>
          </w:tcPr>
          <w:p w14:paraId="0AAD01AE" w14:textId="77777777" w:rsidR="007123C7" w:rsidRPr="0028066B" w:rsidRDefault="007123C7" w:rsidP="00E82294">
            <w:pPr>
              <w:pStyle w:val="TableText"/>
              <w:jc w:val="right"/>
            </w:pPr>
            <w:r w:rsidRPr="0028066B">
              <w:t>114</w:t>
            </w:r>
          </w:p>
        </w:tc>
        <w:tc>
          <w:tcPr>
            <w:tcW w:w="747" w:type="dxa"/>
            <w:tcBorders>
              <w:top w:val="nil"/>
            </w:tcBorders>
          </w:tcPr>
          <w:p w14:paraId="2A261DD8" w14:textId="77777777" w:rsidR="007123C7" w:rsidRPr="0028066B" w:rsidRDefault="007123C7" w:rsidP="00E82294">
            <w:pPr>
              <w:pStyle w:val="TableText"/>
              <w:jc w:val="right"/>
            </w:pPr>
            <w:r w:rsidRPr="0028066B">
              <w:t>697</w:t>
            </w:r>
          </w:p>
        </w:tc>
        <w:tc>
          <w:tcPr>
            <w:tcW w:w="994" w:type="dxa"/>
            <w:tcBorders>
              <w:top w:val="nil"/>
            </w:tcBorders>
          </w:tcPr>
          <w:p w14:paraId="1353B2B3" w14:textId="77777777" w:rsidR="007123C7" w:rsidRPr="0028066B" w:rsidRDefault="007123C7" w:rsidP="00E82294">
            <w:pPr>
              <w:pStyle w:val="TableText"/>
              <w:jc w:val="right"/>
            </w:pPr>
            <w:r w:rsidRPr="0028066B">
              <w:t>12.5 (10.1</w:t>
            </w:r>
            <w:r w:rsidR="007505B7">
              <w:t>, </w:t>
            </w:r>
            <w:r w:rsidRPr="0028066B">
              <w:t>15.5)</w:t>
            </w:r>
          </w:p>
        </w:tc>
        <w:tc>
          <w:tcPr>
            <w:tcW w:w="509" w:type="dxa"/>
            <w:tcBorders>
              <w:top w:val="nil"/>
            </w:tcBorders>
          </w:tcPr>
          <w:p w14:paraId="0CFB3E98" w14:textId="77777777" w:rsidR="007123C7" w:rsidRPr="0028066B" w:rsidRDefault="007123C7" w:rsidP="00E82294">
            <w:pPr>
              <w:pStyle w:val="TableText"/>
              <w:jc w:val="right"/>
            </w:pPr>
            <w:r w:rsidRPr="0028066B">
              <w:t>39</w:t>
            </w:r>
          </w:p>
        </w:tc>
        <w:tc>
          <w:tcPr>
            <w:tcW w:w="810" w:type="dxa"/>
            <w:tcBorders>
              <w:top w:val="nil"/>
            </w:tcBorders>
          </w:tcPr>
          <w:p w14:paraId="1D9CFE39" w14:textId="77777777" w:rsidR="007123C7" w:rsidRPr="0028066B" w:rsidRDefault="007123C7" w:rsidP="00E82294">
            <w:pPr>
              <w:pStyle w:val="TableText"/>
              <w:jc w:val="right"/>
            </w:pPr>
            <w:r w:rsidRPr="0028066B">
              <w:t>115</w:t>
            </w:r>
          </w:p>
        </w:tc>
        <w:tc>
          <w:tcPr>
            <w:tcW w:w="903" w:type="dxa"/>
            <w:tcBorders>
              <w:top w:val="nil"/>
            </w:tcBorders>
          </w:tcPr>
          <w:p w14:paraId="2AD1A29B" w14:textId="77777777" w:rsidR="007123C7" w:rsidRPr="0028066B" w:rsidRDefault="007123C7" w:rsidP="00E82294">
            <w:pPr>
              <w:pStyle w:val="TableText"/>
              <w:jc w:val="right"/>
            </w:pPr>
            <w:r w:rsidRPr="0028066B">
              <w:t>10.6 (5.7</w:t>
            </w:r>
            <w:r w:rsidR="007505B7">
              <w:t>, </w:t>
            </w:r>
            <w:r w:rsidRPr="0028066B">
              <w:t>19.0)</w:t>
            </w:r>
          </w:p>
        </w:tc>
        <w:tc>
          <w:tcPr>
            <w:tcW w:w="447" w:type="dxa"/>
            <w:tcBorders>
              <w:top w:val="nil"/>
            </w:tcBorders>
          </w:tcPr>
          <w:p w14:paraId="4757DC3D" w14:textId="77777777" w:rsidR="007123C7" w:rsidRPr="0028066B" w:rsidRDefault="007123C7" w:rsidP="00E82294">
            <w:pPr>
              <w:pStyle w:val="TableText"/>
              <w:jc w:val="right"/>
            </w:pPr>
            <w:r w:rsidRPr="0028066B">
              <w:t>207</w:t>
            </w:r>
          </w:p>
        </w:tc>
        <w:tc>
          <w:tcPr>
            <w:tcW w:w="781" w:type="dxa"/>
            <w:tcBorders>
              <w:top w:val="nil"/>
            </w:tcBorders>
          </w:tcPr>
          <w:p w14:paraId="10A8F863" w14:textId="77777777" w:rsidR="007123C7" w:rsidRPr="0028066B" w:rsidRDefault="007123C7" w:rsidP="00E82294">
            <w:pPr>
              <w:pStyle w:val="TableText"/>
              <w:jc w:val="right"/>
            </w:pPr>
            <w:r w:rsidRPr="0028066B">
              <w:t>1126</w:t>
            </w:r>
          </w:p>
        </w:tc>
        <w:tc>
          <w:tcPr>
            <w:tcW w:w="994" w:type="dxa"/>
            <w:tcBorders>
              <w:top w:val="nil"/>
            </w:tcBorders>
          </w:tcPr>
          <w:p w14:paraId="3D4DBAD7" w14:textId="77777777" w:rsidR="007123C7" w:rsidRPr="0028066B" w:rsidRDefault="007123C7" w:rsidP="00E82294">
            <w:pPr>
              <w:pStyle w:val="TableText"/>
              <w:jc w:val="right"/>
            </w:pPr>
            <w:r w:rsidRPr="0028066B">
              <w:t>18.3 (12.2</w:t>
            </w:r>
            <w:r w:rsidR="007505B7">
              <w:t>, </w:t>
            </w:r>
            <w:r w:rsidRPr="0028066B">
              <w:t>26.4)</w:t>
            </w:r>
          </w:p>
        </w:tc>
      </w:tr>
      <w:tr w:rsidR="005C62B1" w:rsidRPr="0028066B" w14:paraId="726D387C"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bottom w:val="single" w:sz="4" w:space="0" w:color="000000"/>
            </w:tcBorders>
          </w:tcPr>
          <w:p w14:paraId="7785F487" w14:textId="77777777" w:rsidR="007123C7" w:rsidRPr="0028066B" w:rsidRDefault="007123C7" w:rsidP="00E82294">
            <w:pPr>
              <w:pStyle w:val="TableText"/>
            </w:pPr>
            <w:r w:rsidRPr="0028066B">
              <w:t>Did not use ADF website</w:t>
            </w:r>
          </w:p>
        </w:tc>
        <w:tc>
          <w:tcPr>
            <w:tcW w:w="455" w:type="dxa"/>
            <w:tcBorders>
              <w:bottom w:val="single" w:sz="4" w:space="0" w:color="000000"/>
            </w:tcBorders>
          </w:tcPr>
          <w:p w14:paraId="6902DF8B" w14:textId="77777777" w:rsidR="007123C7" w:rsidRPr="0028066B" w:rsidRDefault="007123C7" w:rsidP="00E82294">
            <w:pPr>
              <w:pStyle w:val="TableText"/>
              <w:jc w:val="right"/>
            </w:pPr>
            <w:r w:rsidRPr="0028066B">
              <w:t>285</w:t>
            </w:r>
          </w:p>
        </w:tc>
        <w:tc>
          <w:tcPr>
            <w:tcW w:w="775" w:type="dxa"/>
            <w:tcBorders>
              <w:bottom w:val="single" w:sz="4" w:space="0" w:color="000000"/>
            </w:tcBorders>
          </w:tcPr>
          <w:p w14:paraId="2E46C51E" w14:textId="77777777" w:rsidR="007123C7" w:rsidRPr="0028066B" w:rsidRDefault="007123C7" w:rsidP="00E82294">
            <w:pPr>
              <w:pStyle w:val="TableText"/>
              <w:jc w:val="right"/>
            </w:pPr>
            <w:r w:rsidRPr="0028066B">
              <w:t>1723</w:t>
            </w:r>
          </w:p>
        </w:tc>
        <w:tc>
          <w:tcPr>
            <w:tcW w:w="994" w:type="dxa"/>
            <w:tcBorders>
              <w:bottom w:val="single" w:sz="4" w:space="0" w:color="000000"/>
            </w:tcBorders>
          </w:tcPr>
          <w:p w14:paraId="6C04DFC5" w14:textId="77777777" w:rsidR="007123C7" w:rsidRPr="0028066B" w:rsidRDefault="007123C7" w:rsidP="00E82294">
            <w:pPr>
              <w:pStyle w:val="TableText"/>
              <w:jc w:val="right"/>
            </w:pPr>
            <w:r w:rsidRPr="0028066B">
              <w:t>87.5 (82.6</w:t>
            </w:r>
            <w:r w:rsidR="007505B7">
              <w:t>, </w:t>
            </w:r>
            <w:r w:rsidRPr="0028066B">
              <w:t>91.1)</w:t>
            </w:r>
          </w:p>
        </w:tc>
        <w:tc>
          <w:tcPr>
            <w:tcW w:w="481" w:type="dxa"/>
            <w:tcBorders>
              <w:bottom w:val="single" w:sz="4" w:space="0" w:color="000000"/>
            </w:tcBorders>
          </w:tcPr>
          <w:p w14:paraId="12097A89" w14:textId="77777777" w:rsidR="007123C7" w:rsidRPr="0028066B" w:rsidRDefault="007123C7" w:rsidP="00E82294">
            <w:pPr>
              <w:pStyle w:val="TableText"/>
              <w:jc w:val="right"/>
            </w:pPr>
            <w:r w:rsidRPr="0028066B">
              <w:t>681</w:t>
            </w:r>
          </w:p>
        </w:tc>
        <w:tc>
          <w:tcPr>
            <w:tcW w:w="747" w:type="dxa"/>
            <w:tcBorders>
              <w:bottom w:val="single" w:sz="4" w:space="0" w:color="000000"/>
            </w:tcBorders>
          </w:tcPr>
          <w:p w14:paraId="10AE97E3" w14:textId="77777777" w:rsidR="007123C7" w:rsidRPr="0028066B" w:rsidRDefault="007123C7" w:rsidP="00E82294">
            <w:pPr>
              <w:pStyle w:val="TableText"/>
              <w:jc w:val="right"/>
            </w:pPr>
            <w:r w:rsidRPr="0028066B">
              <w:t>4874</w:t>
            </w:r>
          </w:p>
        </w:tc>
        <w:tc>
          <w:tcPr>
            <w:tcW w:w="994" w:type="dxa"/>
            <w:tcBorders>
              <w:bottom w:val="single" w:sz="4" w:space="0" w:color="000000"/>
            </w:tcBorders>
          </w:tcPr>
          <w:p w14:paraId="1505A932" w14:textId="77777777" w:rsidR="007123C7" w:rsidRPr="0028066B" w:rsidRDefault="007123C7" w:rsidP="00E82294">
            <w:pPr>
              <w:pStyle w:val="TableText"/>
              <w:jc w:val="right"/>
            </w:pPr>
            <w:r w:rsidRPr="0028066B">
              <w:t>87.5 (84.5</w:t>
            </w:r>
            <w:r w:rsidR="007505B7">
              <w:t>, </w:t>
            </w:r>
            <w:r w:rsidRPr="0028066B">
              <w:t>89.9)</w:t>
            </w:r>
          </w:p>
        </w:tc>
        <w:tc>
          <w:tcPr>
            <w:tcW w:w="509" w:type="dxa"/>
            <w:tcBorders>
              <w:bottom w:val="single" w:sz="4" w:space="0" w:color="000000"/>
            </w:tcBorders>
          </w:tcPr>
          <w:p w14:paraId="1538B2D1" w14:textId="77777777" w:rsidR="007123C7" w:rsidRPr="0028066B" w:rsidRDefault="007123C7" w:rsidP="00E82294">
            <w:pPr>
              <w:pStyle w:val="TableText"/>
              <w:jc w:val="right"/>
            </w:pPr>
            <w:r w:rsidRPr="0028066B">
              <w:t>130</w:t>
            </w:r>
          </w:p>
        </w:tc>
        <w:tc>
          <w:tcPr>
            <w:tcW w:w="810" w:type="dxa"/>
            <w:tcBorders>
              <w:bottom w:val="single" w:sz="4" w:space="0" w:color="000000"/>
            </w:tcBorders>
          </w:tcPr>
          <w:p w14:paraId="3B30B2A0" w14:textId="77777777" w:rsidR="007123C7" w:rsidRPr="0028066B" w:rsidRDefault="007123C7" w:rsidP="00E82294">
            <w:pPr>
              <w:pStyle w:val="TableText"/>
              <w:jc w:val="right"/>
            </w:pPr>
            <w:r w:rsidRPr="0028066B">
              <w:t>968</w:t>
            </w:r>
          </w:p>
        </w:tc>
        <w:tc>
          <w:tcPr>
            <w:tcW w:w="903" w:type="dxa"/>
            <w:tcBorders>
              <w:bottom w:val="single" w:sz="4" w:space="0" w:color="000000"/>
            </w:tcBorders>
          </w:tcPr>
          <w:p w14:paraId="56416E87" w14:textId="77777777" w:rsidR="007123C7" w:rsidRPr="0028066B" w:rsidRDefault="007123C7" w:rsidP="00E82294">
            <w:pPr>
              <w:pStyle w:val="TableText"/>
              <w:jc w:val="right"/>
            </w:pPr>
            <w:r w:rsidRPr="0028066B">
              <w:t>89.4 (81.0</w:t>
            </w:r>
            <w:r w:rsidR="007505B7">
              <w:t>, </w:t>
            </w:r>
            <w:r w:rsidRPr="0028066B">
              <w:t>94.3)</w:t>
            </w:r>
          </w:p>
        </w:tc>
        <w:tc>
          <w:tcPr>
            <w:tcW w:w="447" w:type="dxa"/>
            <w:tcBorders>
              <w:bottom w:val="single" w:sz="4" w:space="0" w:color="000000"/>
            </w:tcBorders>
          </w:tcPr>
          <w:p w14:paraId="273A190C" w14:textId="77777777" w:rsidR="007123C7" w:rsidRPr="0028066B" w:rsidRDefault="007123C7" w:rsidP="00E82294">
            <w:pPr>
              <w:pStyle w:val="TableText"/>
              <w:jc w:val="right"/>
            </w:pPr>
            <w:r w:rsidRPr="0028066B">
              <w:t>598</w:t>
            </w:r>
          </w:p>
        </w:tc>
        <w:tc>
          <w:tcPr>
            <w:tcW w:w="781" w:type="dxa"/>
            <w:tcBorders>
              <w:bottom w:val="single" w:sz="4" w:space="0" w:color="000000"/>
            </w:tcBorders>
          </w:tcPr>
          <w:p w14:paraId="7ADF9954" w14:textId="77777777" w:rsidR="007123C7" w:rsidRPr="0028066B" w:rsidRDefault="007123C7" w:rsidP="00E82294">
            <w:pPr>
              <w:pStyle w:val="TableText"/>
              <w:jc w:val="right"/>
            </w:pPr>
            <w:r w:rsidRPr="0028066B">
              <w:t>5036</w:t>
            </w:r>
          </w:p>
        </w:tc>
        <w:tc>
          <w:tcPr>
            <w:tcW w:w="994" w:type="dxa"/>
            <w:tcBorders>
              <w:bottom w:val="single" w:sz="4" w:space="0" w:color="000000"/>
            </w:tcBorders>
          </w:tcPr>
          <w:p w14:paraId="6F0A1FA7" w14:textId="77777777" w:rsidR="007123C7" w:rsidRPr="0028066B" w:rsidRDefault="007123C7" w:rsidP="00E82294">
            <w:pPr>
              <w:pStyle w:val="TableText"/>
              <w:jc w:val="right"/>
            </w:pPr>
            <w:r w:rsidRPr="0028066B">
              <w:t>81.7 (73.6</w:t>
            </w:r>
            <w:r w:rsidR="007505B7">
              <w:t>, </w:t>
            </w:r>
            <w:r w:rsidRPr="0028066B">
              <w:t>87.8)</w:t>
            </w:r>
          </w:p>
        </w:tc>
      </w:tr>
      <w:tr w:rsidR="007123C7" w:rsidRPr="00D62855" w14:paraId="7D986576" w14:textId="77777777" w:rsidTr="007505B7">
        <w:trPr>
          <w:cantSplit/>
        </w:trPr>
        <w:tc>
          <w:tcPr>
            <w:tcW w:w="2630" w:type="dxa"/>
            <w:tcBorders>
              <w:top w:val="single" w:sz="4" w:space="0" w:color="000000"/>
              <w:bottom w:val="nil"/>
            </w:tcBorders>
          </w:tcPr>
          <w:p w14:paraId="631CDFC3" w14:textId="77777777" w:rsidR="007123C7" w:rsidRPr="00D62855" w:rsidRDefault="007123C7" w:rsidP="00E82294">
            <w:pPr>
              <w:pStyle w:val="TableText"/>
              <w:rPr>
                <w:i/>
              </w:rPr>
            </w:pPr>
            <w:r w:rsidRPr="00D62855">
              <w:rPr>
                <w:b/>
              </w:rPr>
              <w:t>Probable generalised anxiety disorder</w:t>
            </w:r>
          </w:p>
        </w:tc>
        <w:tc>
          <w:tcPr>
            <w:tcW w:w="2224" w:type="dxa"/>
            <w:gridSpan w:val="3"/>
            <w:tcBorders>
              <w:top w:val="single" w:sz="4" w:space="0" w:color="000000"/>
              <w:bottom w:val="nil"/>
            </w:tcBorders>
          </w:tcPr>
          <w:p w14:paraId="65C11946" w14:textId="77777777" w:rsidR="007123C7" w:rsidRPr="00D62855" w:rsidRDefault="007123C7" w:rsidP="00E82294">
            <w:pPr>
              <w:pStyle w:val="TableText"/>
              <w:jc w:val="center"/>
            </w:pPr>
            <w:r w:rsidRPr="00D62855">
              <w:t>n=223 (Weighted n=1387)</w:t>
            </w:r>
          </w:p>
        </w:tc>
        <w:tc>
          <w:tcPr>
            <w:tcW w:w="2222" w:type="dxa"/>
            <w:gridSpan w:val="3"/>
            <w:tcBorders>
              <w:top w:val="single" w:sz="4" w:space="0" w:color="000000"/>
              <w:bottom w:val="nil"/>
            </w:tcBorders>
          </w:tcPr>
          <w:p w14:paraId="3BF37FAD" w14:textId="77777777" w:rsidR="007123C7" w:rsidRPr="00D62855" w:rsidRDefault="007123C7" w:rsidP="00E82294">
            <w:pPr>
              <w:pStyle w:val="TableText"/>
              <w:jc w:val="center"/>
            </w:pPr>
            <w:r w:rsidRPr="00D62855">
              <w:t>n=589 (Weighted n=4182)</w:t>
            </w:r>
          </w:p>
        </w:tc>
        <w:tc>
          <w:tcPr>
            <w:tcW w:w="2222" w:type="dxa"/>
            <w:gridSpan w:val="3"/>
            <w:tcBorders>
              <w:top w:val="single" w:sz="4" w:space="0" w:color="000000"/>
              <w:bottom w:val="nil"/>
            </w:tcBorders>
          </w:tcPr>
          <w:p w14:paraId="0775E33F" w14:textId="77777777" w:rsidR="007123C7" w:rsidRPr="00D62855" w:rsidRDefault="007123C7" w:rsidP="00E82294">
            <w:pPr>
              <w:pStyle w:val="TableText"/>
              <w:jc w:val="center"/>
            </w:pPr>
            <w:r w:rsidRPr="00D62855">
              <w:t>n=74 (Weighted n=831)</w:t>
            </w:r>
          </w:p>
        </w:tc>
        <w:tc>
          <w:tcPr>
            <w:tcW w:w="2222" w:type="dxa"/>
            <w:gridSpan w:val="3"/>
            <w:tcBorders>
              <w:top w:val="single" w:sz="4" w:space="0" w:color="000000"/>
              <w:bottom w:val="nil"/>
            </w:tcBorders>
          </w:tcPr>
          <w:p w14:paraId="509BA1BB" w14:textId="77777777" w:rsidR="007123C7" w:rsidRPr="00D62855" w:rsidRDefault="007123C7" w:rsidP="00E82294">
            <w:pPr>
              <w:pStyle w:val="TableText"/>
              <w:jc w:val="center"/>
            </w:pPr>
            <w:r w:rsidRPr="00D62855">
              <w:t>n=552 (Weighted n=3822)</w:t>
            </w:r>
          </w:p>
        </w:tc>
      </w:tr>
      <w:tr w:rsidR="005C62B1" w:rsidRPr="00D62855" w14:paraId="1E710A7D" w14:textId="77777777" w:rsidTr="007505B7">
        <w:trPr>
          <w:cnfStyle w:val="000000100000" w:firstRow="0" w:lastRow="0" w:firstColumn="0" w:lastColumn="0" w:oddVBand="0" w:evenVBand="0" w:oddHBand="1" w:evenHBand="0" w:firstRowFirstColumn="0" w:firstRowLastColumn="0" w:lastRowFirstColumn="0" w:lastRowLastColumn="0"/>
          <w:cantSplit/>
        </w:trPr>
        <w:tc>
          <w:tcPr>
            <w:tcW w:w="2630" w:type="dxa"/>
            <w:tcBorders>
              <w:top w:val="nil"/>
            </w:tcBorders>
          </w:tcPr>
          <w:p w14:paraId="5A795A99" w14:textId="77777777" w:rsidR="007123C7" w:rsidRPr="00D62855" w:rsidRDefault="007123C7" w:rsidP="00E82294">
            <w:pPr>
              <w:pStyle w:val="TableText"/>
            </w:pPr>
            <w:r w:rsidRPr="00D62855">
              <w:t xml:space="preserve">Used ADF website </w:t>
            </w:r>
          </w:p>
        </w:tc>
        <w:tc>
          <w:tcPr>
            <w:tcW w:w="455" w:type="dxa"/>
            <w:tcBorders>
              <w:top w:val="nil"/>
            </w:tcBorders>
          </w:tcPr>
          <w:p w14:paraId="7C958DCC" w14:textId="77777777" w:rsidR="007123C7" w:rsidRPr="00D62855" w:rsidRDefault="007123C7" w:rsidP="00E82294">
            <w:pPr>
              <w:pStyle w:val="TableText"/>
              <w:jc w:val="right"/>
            </w:pPr>
            <w:r w:rsidRPr="00D62855">
              <w:t>33</w:t>
            </w:r>
          </w:p>
        </w:tc>
        <w:tc>
          <w:tcPr>
            <w:tcW w:w="775" w:type="dxa"/>
            <w:tcBorders>
              <w:top w:val="nil"/>
            </w:tcBorders>
          </w:tcPr>
          <w:p w14:paraId="106DD2BC" w14:textId="77777777" w:rsidR="007123C7" w:rsidRPr="00D62855" w:rsidRDefault="007123C7" w:rsidP="00E82294">
            <w:pPr>
              <w:pStyle w:val="TableText"/>
              <w:jc w:val="right"/>
            </w:pPr>
            <w:r w:rsidRPr="00D62855">
              <w:t>205</w:t>
            </w:r>
          </w:p>
        </w:tc>
        <w:tc>
          <w:tcPr>
            <w:tcW w:w="994" w:type="dxa"/>
            <w:tcBorders>
              <w:top w:val="nil"/>
            </w:tcBorders>
          </w:tcPr>
          <w:p w14:paraId="603A2114" w14:textId="77777777" w:rsidR="007123C7" w:rsidRPr="00D62855" w:rsidRDefault="007123C7" w:rsidP="00E82294">
            <w:pPr>
              <w:pStyle w:val="TableText"/>
              <w:jc w:val="right"/>
            </w:pPr>
            <w:r w:rsidRPr="00D62855">
              <w:t>14.8 (10.1</w:t>
            </w:r>
            <w:r w:rsidR="007505B7">
              <w:t>, </w:t>
            </w:r>
            <w:r w:rsidRPr="00D62855">
              <w:t>21.1)</w:t>
            </w:r>
          </w:p>
        </w:tc>
        <w:tc>
          <w:tcPr>
            <w:tcW w:w="481" w:type="dxa"/>
            <w:tcBorders>
              <w:top w:val="nil"/>
            </w:tcBorders>
          </w:tcPr>
          <w:p w14:paraId="3113F19B" w14:textId="77777777" w:rsidR="007123C7" w:rsidRPr="00D62855" w:rsidRDefault="007123C7" w:rsidP="00E82294">
            <w:pPr>
              <w:pStyle w:val="TableText"/>
              <w:jc w:val="right"/>
            </w:pPr>
            <w:r w:rsidRPr="00D62855">
              <w:t>99</w:t>
            </w:r>
          </w:p>
        </w:tc>
        <w:tc>
          <w:tcPr>
            <w:tcW w:w="747" w:type="dxa"/>
            <w:tcBorders>
              <w:top w:val="nil"/>
            </w:tcBorders>
          </w:tcPr>
          <w:p w14:paraId="65288C04" w14:textId="77777777" w:rsidR="007123C7" w:rsidRPr="00D62855" w:rsidRDefault="007123C7" w:rsidP="00E82294">
            <w:pPr>
              <w:pStyle w:val="TableText"/>
              <w:jc w:val="right"/>
            </w:pPr>
            <w:r w:rsidRPr="00D62855">
              <w:t>583</w:t>
            </w:r>
          </w:p>
        </w:tc>
        <w:tc>
          <w:tcPr>
            <w:tcW w:w="994" w:type="dxa"/>
            <w:tcBorders>
              <w:top w:val="nil"/>
            </w:tcBorders>
          </w:tcPr>
          <w:p w14:paraId="5F9064F2" w14:textId="77777777" w:rsidR="007123C7" w:rsidRPr="00D62855" w:rsidRDefault="007123C7" w:rsidP="00E82294">
            <w:pPr>
              <w:pStyle w:val="TableText"/>
              <w:jc w:val="right"/>
            </w:pPr>
            <w:r w:rsidRPr="00D62855">
              <w:t>13.9 (11.0</w:t>
            </w:r>
            <w:r w:rsidR="007505B7">
              <w:t>, </w:t>
            </w:r>
            <w:r w:rsidRPr="00D62855">
              <w:t>17.5)</w:t>
            </w:r>
          </w:p>
        </w:tc>
        <w:tc>
          <w:tcPr>
            <w:tcW w:w="509" w:type="dxa"/>
            <w:tcBorders>
              <w:top w:val="nil"/>
            </w:tcBorders>
          </w:tcPr>
          <w:p w14:paraId="417D7C8B" w14:textId="77777777" w:rsidR="007123C7" w:rsidRPr="00D62855" w:rsidRDefault="007123C7" w:rsidP="00E82294">
            <w:pPr>
              <w:pStyle w:val="TableText"/>
              <w:jc w:val="right"/>
            </w:pPr>
            <w:r w:rsidRPr="00D62855">
              <w:t>20</w:t>
            </w:r>
          </w:p>
        </w:tc>
        <w:tc>
          <w:tcPr>
            <w:tcW w:w="810" w:type="dxa"/>
            <w:tcBorders>
              <w:top w:val="nil"/>
            </w:tcBorders>
          </w:tcPr>
          <w:p w14:paraId="061FB82B" w14:textId="77777777" w:rsidR="007123C7" w:rsidRPr="00D62855" w:rsidRDefault="007123C7" w:rsidP="00E82294">
            <w:pPr>
              <w:pStyle w:val="TableText"/>
              <w:jc w:val="right"/>
            </w:pPr>
            <w:r w:rsidRPr="00D62855">
              <w:t>271</w:t>
            </w:r>
          </w:p>
        </w:tc>
        <w:tc>
          <w:tcPr>
            <w:tcW w:w="903" w:type="dxa"/>
            <w:tcBorders>
              <w:top w:val="nil"/>
            </w:tcBorders>
          </w:tcPr>
          <w:p w14:paraId="09E8EAAB" w14:textId="77777777" w:rsidR="007123C7" w:rsidRPr="00D62855" w:rsidRDefault="007123C7" w:rsidP="00E82294">
            <w:pPr>
              <w:pStyle w:val="TableText"/>
              <w:jc w:val="right"/>
            </w:pPr>
            <w:r w:rsidRPr="00D62855">
              <w:t>32.7 (8.4</w:t>
            </w:r>
            <w:r w:rsidR="007505B7">
              <w:t>, </w:t>
            </w:r>
            <w:r w:rsidRPr="00D62855">
              <w:t>71.9)</w:t>
            </w:r>
          </w:p>
        </w:tc>
        <w:tc>
          <w:tcPr>
            <w:tcW w:w="447" w:type="dxa"/>
            <w:tcBorders>
              <w:top w:val="nil"/>
            </w:tcBorders>
          </w:tcPr>
          <w:p w14:paraId="477F5991" w14:textId="77777777" w:rsidR="007123C7" w:rsidRPr="00D62855" w:rsidRDefault="007123C7" w:rsidP="00E82294">
            <w:pPr>
              <w:pStyle w:val="TableText"/>
              <w:jc w:val="right"/>
            </w:pPr>
            <w:r w:rsidRPr="00D62855">
              <w:t>141</w:t>
            </w:r>
          </w:p>
        </w:tc>
        <w:tc>
          <w:tcPr>
            <w:tcW w:w="781" w:type="dxa"/>
            <w:tcBorders>
              <w:top w:val="nil"/>
            </w:tcBorders>
          </w:tcPr>
          <w:p w14:paraId="7B9BF965" w14:textId="77777777" w:rsidR="007123C7" w:rsidRPr="00D62855" w:rsidRDefault="007123C7" w:rsidP="00E82294">
            <w:pPr>
              <w:pStyle w:val="TableText"/>
              <w:jc w:val="right"/>
            </w:pPr>
            <w:r w:rsidRPr="00D62855">
              <w:t>777</w:t>
            </w:r>
          </w:p>
        </w:tc>
        <w:tc>
          <w:tcPr>
            <w:tcW w:w="994" w:type="dxa"/>
            <w:tcBorders>
              <w:top w:val="nil"/>
            </w:tcBorders>
          </w:tcPr>
          <w:p w14:paraId="29BBA336" w14:textId="77777777" w:rsidR="007123C7" w:rsidRPr="00D62855" w:rsidRDefault="007123C7" w:rsidP="00E82294">
            <w:pPr>
              <w:pStyle w:val="TableText"/>
              <w:jc w:val="right"/>
            </w:pPr>
            <w:r w:rsidRPr="00D62855">
              <w:t>20.3 (12.2</w:t>
            </w:r>
            <w:r w:rsidR="007505B7">
              <w:t>, </w:t>
            </w:r>
            <w:r w:rsidRPr="00D62855">
              <w:t>31.8)</w:t>
            </w:r>
          </w:p>
        </w:tc>
      </w:tr>
      <w:tr w:rsidR="005C62B1" w:rsidRPr="0028066B" w14:paraId="3FC8C1C1" w14:textId="77777777" w:rsidTr="007505B7">
        <w:trPr>
          <w:cantSplit/>
        </w:trPr>
        <w:tc>
          <w:tcPr>
            <w:tcW w:w="2630" w:type="dxa"/>
          </w:tcPr>
          <w:p w14:paraId="71AC15E7" w14:textId="77777777" w:rsidR="007123C7" w:rsidRPr="00D62855" w:rsidRDefault="007123C7" w:rsidP="00E82294">
            <w:pPr>
              <w:pStyle w:val="TableText"/>
            </w:pPr>
            <w:r w:rsidRPr="00D62855">
              <w:t>Did not use ADF website</w:t>
            </w:r>
          </w:p>
        </w:tc>
        <w:tc>
          <w:tcPr>
            <w:tcW w:w="455" w:type="dxa"/>
          </w:tcPr>
          <w:p w14:paraId="71D13D78" w14:textId="77777777" w:rsidR="007123C7" w:rsidRPr="00D62855" w:rsidRDefault="007123C7" w:rsidP="00E82294">
            <w:pPr>
              <w:pStyle w:val="TableText"/>
              <w:jc w:val="right"/>
            </w:pPr>
            <w:r w:rsidRPr="00D62855">
              <w:t>190</w:t>
            </w:r>
          </w:p>
        </w:tc>
        <w:tc>
          <w:tcPr>
            <w:tcW w:w="775" w:type="dxa"/>
          </w:tcPr>
          <w:p w14:paraId="03301CDC" w14:textId="77777777" w:rsidR="007123C7" w:rsidRPr="00D62855" w:rsidRDefault="007123C7" w:rsidP="00E82294">
            <w:pPr>
              <w:pStyle w:val="TableText"/>
              <w:jc w:val="right"/>
            </w:pPr>
            <w:r w:rsidRPr="00D62855">
              <w:t>1183</w:t>
            </w:r>
          </w:p>
        </w:tc>
        <w:tc>
          <w:tcPr>
            <w:tcW w:w="994" w:type="dxa"/>
          </w:tcPr>
          <w:p w14:paraId="67CFC590" w14:textId="77777777" w:rsidR="007123C7" w:rsidRPr="00D62855" w:rsidRDefault="007123C7" w:rsidP="00E82294">
            <w:pPr>
              <w:pStyle w:val="TableText"/>
              <w:jc w:val="right"/>
            </w:pPr>
            <w:r w:rsidRPr="00D62855">
              <w:t>85.2 (78.9</w:t>
            </w:r>
            <w:r w:rsidR="007505B7">
              <w:t>, </w:t>
            </w:r>
            <w:r w:rsidRPr="00D62855">
              <w:t>89.9)</w:t>
            </w:r>
          </w:p>
        </w:tc>
        <w:tc>
          <w:tcPr>
            <w:tcW w:w="481" w:type="dxa"/>
          </w:tcPr>
          <w:p w14:paraId="28DB1483" w14:textId="77777777" w:rsidR="007123C7" w:rsidRPr="00D62855" w:rsidRDefault="007123C7" w:rsidP="00E82294">
            <w:pPr>
              <w:pStyle w:val="TableText"/>
              <w:jc w:val="right"/>
            </w:pPr>
            <w:r w:rsidRPr="00D62855">
              <w:t>490</w:t>
            </w:r>
          </w:p>
        </w:tc>
        <w:tc>
          <w:tcPr>
            <w:tcW w:w="747" w:type="dxa"/>
          </w:tcPr>
          <w:p w14:paraId="77AE9EFB" w14:textId="77777777" w:rsidR="007123C7" w:rsidRPr="00D62855" w:rsidRDefault="007123C7" w:rsidP="00E82294">
            <w:pPr>
              <w:pStyle w:val="TableText"/>
              <w:jc w:val="right"/>
            </w:pPr>
            <w:r w:rsidRPr="00D62855">
              <w:t>3599</w:t>
            </w:r>
          </w:p>
        </w:tc>
        <w:tc>
          <w:tcPr>
            <w:tcW w:w="994" w:type="dxa"/>
          </w:tcPr>
          <w:p w14:paraId="011608A3" w14:textId="77777777" w:rsidR="007123C7" w:rsidRPr="00D62855" w:rsidRDefault="007123C7" w:rsidP="00E82294">
            <w:pPr>
              <w:pStyle w:val="TableText"/>
              <w:jc w:val="right"/>
            </w:pPr>
            <w:r w:rsidRPr="00D62855">
              <w:t>86.1 (82.5</w:t>
            </w:r>
            <w:r w:rsidR="007505B7">
              <w:t>, </w:t>
            </w:r>
            <w:r w:rsidRPr="00D62855">
              <w:t>89.0)</w:t>
            </w:r>
          </w:p>
        </w:tc>
        <w:tc>
          <w:tcPr>
            <w:tcW w:w="509" w:type="dxa"/>
          </w:tcPr>
          <w:p w14:paraId="4555F5A9" w14:textId="77777777" w:rsidR="007123C7" w:rsidRPr="00D62855" w:rsidRDefault="007123C7" w:rsidP="00E82294">
            <w:pPr>
              <w:pStyle w:val="TableText"/>
              <w:jc w:val="right"/>
            </w:pPr>
            <w:r w:rsidRPr="00D62855">
              <w:t>54</w:t>
            </w:r>
          </w:p>
        </w:tc>
        <w:tc>
          <w:tcPr>
            <w:tcW w:w="810" w:type="dxa"/>
          </w:tcPr>
          <w:p w14:paraId="0DBE20D3" w14:textId="77777777" w:rsidR="007123C7" w:rsidRPr="00D62855" w:rsidRDefault="007123C7" w:rsidP="00E82294">
            <w:pPr>
              <w:pStyle w:val="TableText"/>
              <w:jc w:val="right"/>
            </w:pPr>
            <w:r w:rsidRPr="00D62855">
              <w:t>559</w:t>
            </w:r>
          </w:p>
        </w:tc>
        <w:tc>
          <w:tcPr>
            <w:tcW w:w="903" w:type="dxa"/>
          </w:tcPr>
          <w:p w14:paraId="51FE0815" w14:textId="77777777" w:rsidR="007123C7" w:rsidRPr="00D62855" w:rsidRDefault="007123C7" w:rsidP="00E82294">
            <w:pPr>
              <w:pStyle w:val="TableText"/>
              <w:jc w:val="right"/>
            </w:pPr>
            <w:r w:rsidRPr="00D62855">
              <w:t>67.3 (28.1</w:t>
            </w:r>
            <w:r w:rsidR="007505B7">
              <w:t>, </w:t>
            </w:r>
            <w:r w:rsidRPr="00D62855">
              <w:t>91.6)</w:t>
            </w:r>
          </w:p>
        </w:tc>
        <w:tc>
          <w:tcPr>
            <w:tcW w:w="447" w:type="dxa"/>
          </w:tcPr>
          <w:p w14:paraId="1988E7C5" w14:textId="77777777" w:rsidR="007123C7" w:rsidRPr="00D62855" w:rsidRDefault="007123C7" w:rsidP="00E82294">
            <w:pPr>
              <w:pStyle w:val="TableText"/>
              <w:jc w:val="right"/>
            </w:pPr>
            <w:r w:rsidRPr="00D62855">
              <w:t>411</w:t>
            </w:r>
          </w:p>
        </w:tc>
        <w:tc>
          <w:tcPr>
            <w:tcW w:w="781" w:type="dxa"/>
          </w:tcPr>
          <w:p w14:paraId="343037C0" w14:textId="77777777" w:rsidR="007123C7" w:rsidRPr="00D62855" w:rsidRDefault="007123C7" w:rsidP="00E82294">
            <w:pPr>
              <w:pStyle w:val="TableText"/>
              <w:jc w:val="right"/>
            </w:pPr>
            <w:r w:rsidRPr="00D62855">
              <w:t>3045</w:t>
            </w:r>
          </w:p>
        </w:tc>
        <w:tc>
          <w:tcPr>
            <w:tcW w:w="994" w:type="dxa"/>
          </w:tcPr>
          <w:p w14:paraId="38D789A8" w14:textId="77777777" w:rsidR="007123C7" w:rsidRPr="0028066B" w:rsidRDefault="007123C7" w:rsidP="00E82294">
            <w:pPr>
              <w:pStyle w:val="TableText"/>
              <w:jc w:val="right"/>
            </w:pPr>
            <w:r w:rsidRPr="00D62855">
              <w:t>79.7 (68.2</w:t>
            </w:r>
            <w:r w:rsidR="007505B7">
              <w:t>, </w:t>
            </w:r>
            <w:r w:rsidRPr="00D62855">
              <w:t>87.8)</w:t>
            </w:r>
          </w:p>
        </w:tc>
      </w:tr>
    </w:tbl>
    <w:p w14:paraId="13BDED25" w14:textId="77777777" w:rsidR="007123C7" w:rsidRPr="0028066B" w:rsidRDefault="007123C7" w:rsidP="007123C7">
      <w:pPr>
        <w:pStyle w:val="TableNotes"/>
      </w:pPr>
      <w:r w:rsidRPr="0028066B">
        <w:t xml:space="preserve">Denominator: </w:t>
      </w:r>
      <w:r w:rsidRPr="000F78B9">
        <w:t>Transitioned and 2015 Regular ADF with a probable disorder</w:t>
      </w:r>
    </w:p>
    <w:p w14:paraId="783F6AB9" w14:textId="77777777" w:rsidR="007123C7" w:rsidRPr="00C72931" w:rsidRDefault="007123C7" w:rsidP="007123C7">
      <w:pPr>
        <w:pStyle w:val="TableNotes"/>
      </w:pPr>
      <w:r w:rsidRPr="009344FF">
        <w:t>Note: Proportions may not add up to 100% due to rounding and missing values. However, distributions are calculated by including those with a missing value to allow for correct weighted totals.</w:t>
      </w:r>
      <w:r w:rsidRPr="00C72931">
        <w:t xml:space="preserve"> </w:t>
      </w:r>
    </w:p>
    <w:p w14:paraId="33EE2395" w14:textId="77777777" w:rsidR="007123C7" w:rsidRDefault="007123C7" w:rsidP="007123C7">
      <w:pPr>
        <w:pStyle w:val="TableNotes"/>
      </w:pPr>
      <w:r>
        <w:t>95%CI = 95% confidence interval.</w:t>
      </w:r>
    </w:p>
    <w:p w14:paraId="51D7E604" w14:textId="77777777" w:rsidR="007123C7" w:rsidRDefault="007123C7" w:rsidP="007123C7"/>
    <w:p w14:paraId="62A00DF4" w14:textId="77777777" w:rsidR="007123C7" w:rsidRDefault="007123C7" w:rsidP="007123C7">
      <w:pPr>
        <w:sectPr w:rsidR="007123C7" w:rsidSect="00980AE4">
          <w:footerReference w:type="even" r:id="rId128"/>
          <w:footerReference w:type="default" r:id="rId129"/>
          <w:pgSz w:w="14170" w:h="9979" w:orient="landscape" w:code="243"/>
          <w:pgMar w:top="1872" w:right="1440" w:bottom="1152" w:left="1440" w:header="576" w:footer="576" w:gutter="0"/>
          <w:cols w:space="708"/>
          <w:docGrid w:linePitch="360"/>
        </w:sectPr>
      </w:pPr>
    </w:p>
    <w:p w14:paraId="31443610" w14:textId="77777777" w:rsidR="007123C7" w:rsidRPr="00FE2EB2" w:rsidRDefault="007123C7" w:rsidP="007123C7">
      <w:pPr>
        <w:pStyle w:val="Heading2"/>
        <w:numPr>
          <w:ilvl w:val="1"/>
          <w:numId w:val="1"/>
        </w:numPr>
        <w:ind w:left="720" w:hanging="720"/>
      </w:pPr>
      <w:bookmarkStart w:id="1036" w:name="_Toc509917481"/>
      <w:bookmarkStart w:id="1037" w:name="_Toc515374547"/>
      <w:bookmarkStart w:id="1038" w:name="_Toc518566445"/>
      <w:bookmarkStart w:id="1039" w:name="_Toc528932723"/>
      <w:bookmarkStart w:id="1040" w:name="_Toc531859260"/>
      <w:r w:rsidRPr="00FE2EB2">
        <w:t>Use of DVA or At Ease websites</w:t>
      </w:r>
      <w:bookmarkEnd w:id="1036"/>
      <w:bookmarkEnd w:id="1037"/>
      <w:bookmarkEnd w:id="1038"/>
      <w:bookmarkEnd w:id="1039"/>
      <w:bookmarkEnd w:id="1040"/>
      <w:r w:rsidRPr="00FE2EB2">
        <w:t xml:space="preserve"> </w:t>
      </w:r>
    </w:p>
    <w:p w14:paraId="20DAD749" w14:textId="77777777" w:rsidR="007123C7" w:rsidRDefault="007123C7" w:rsidP="007123C7">
      <w:pPr>
        <w:rPr>
          <w:lang w:eastAsia="en-AU"/>
        </w:rPr>
      </w:pPr>
      <w:r>
        <w:rPr>
          <w:lang w:eastAsia="en-AU"/>
        </w:rPr>
        <w:t xml:space="preserve">The following section considers the use of DVA or At Ease websites to inform/assess mental health. </w:t>
      </w:r>
      <w:r w:rsidRPr="00263B12">
        <w:rPr>
          <w:lang w:eastAsia="en-AU"/>
        </w:rPr>
        <w:t xml:space="preserve">The Health and Wellbeing section of the </w:t>
      </w:r>
      <w:r>
        <w:rPr>
          <w:lang w:eastAsia="en-AU"/>
        </w:rPr>
        <w:t xml:space="preserve">DVA </w:t>
      </w:r>
      <w:r w:rsidRPr="00263B12">
        <w:rPr>
          <w:lang w:eastAsia="en-AU"/>
        </w:rPr>
        <w:t xml:space="preserve">website includes a </w:t>
      </w:r>
      <w:r>
        <w:rPr>
          <w:lang w:eastAsia="en-AU"/>
        </w:rPr>
        <w:t>s</w:t>
      </w:r>
      <w:r w:rsidRPr="00263B12">
        <w:rPr>
          <w:lang w:eastAsia="en-AU"/>
        </w:rPr>
        <w:t xml:space="preserve">ection on </w:t>
      </w:r>
      <w:r>
        <w:rPr>
          <w:lang w:eastAsia="en-AU"/>
        </w:rPr>
        <w:t>m</w:t>
      </w:r>
      <w:r w:rsidRPr="00263B12">
        <w:rPr>
          <w:lang w:eastAsia="en-AU"/>
        </w:rPr>
        <w:t xml:space="preserve">ental health for </w:t>
      </w:r>
      <w:r>
        <w:rPr>
          <w:lang w:eastAsia="en-AU"/>
        </w:rPr>
        <w:t>s</w:t>
      </w:r>
      <w:r w:rsidRPr="00263B12">
        <w:rPr>
          <w:lang w:eastAsia="en-AU"/>
        </w:rPr>
        <w:t>erving and ex-s</w:t>
      </w:r>
      <w:r>
        <w:rPr>
          <w:lang w:eastAsia="en-AU"/>
        </w:rPr>
        <w:t xml:space="preserve">erving personnel and families. </w:t>
      </w:r>
      <w:r w:rsidRPr="00263B12">
        <w:rPr>
          <w:lang w:eastAsia="en-AU"/>
        </w:rPr>
        <w:t xml:space="preserve">This includes information about </w:t>
      </w:r>
      <w:r>
        <w:rPr>
          <w:lang w:eastAsia="en-AU"/>
        </w:rPr>
        <w:t>‘</w:t>
      </w:r>
      <w:r w:rsidRPr="00263B12">
        <w:rPr>
          <w:lang w:eastAsia="en-AU"/>
        </w:rPr>
        <w:t>At Ease</w:t>
      </w:r>
      <w:r>
        <w:rPr>
          <w:lang w:eastAsia="en-AU"/>
        </w:rPr>
        <w:t>’</w:t>
      </w:r>
      <w:r w:rsidRPr="00263B12">
        <w:rPr>
          <w:lang w:eastAsia="en-AU"/>
        </w:rPr>
        <w:t>, DVA’s portal to online mental health information. This provides self-help tools and information to support mental health and wellbeing and is a gateway to websites and free mobile apps about stress, PTSD, alcohol management, resilience and suicide awareness and prevention. The portal also links to a wide range of mental health resources for health professionals and GPs for effective assessment and eviden</w:t>
      </w:r>
      <w:r>
        <w:rPr>
          <w:lang w:eastAsia="en-AU"/>
        </w:rPr>
        <w:t xml:space="preserve">ce-based treatment of veterans. </w:t>
      </w:r>
      <w:r w:rsidRPr="00263B12">
        <w:rPr>
          <w:lang w:eastAsia="en-AU"/>
        </w:rPr>
        <w:t xml:space="preserve">The webpage also includes information about PTSD group programs, and the </w:t>
      </w:r>
      <w:r>
        <w:rPr>
          <w:lang w:eastAsia="en-AU"/>
        </w:rPr>
        <w:t>‘</w:t>
      </w:r>
      <w:r w:rsidRPr="00263B12">
        <w:rPr>
          <w:lang w:eastAsia="en-AU"/>
        </w:rPr>
        <w:t>High Res</w:t>
      </w:r>
      <w:r>
        <w:rPr>
          <w:lang w:eastAsia="en-AU"/>
        </w:rPr>
        <w:t>’</w:t>
      </w:r>
      <w:r w:rsidRPr="00263B12">
        <w:rPr>
          <w:lang w:eastAsia="en-AU"/>
        </w:rPr>
        <w:t xml:space="preserve"> Resilience and </w:t>
      </w:r>
      <w:r>
        <w:rPr>
          <w:lang w:eastAsia="en-AU"/>
        </w:rPr>
        <w:t>‘</w:t>
      </w:r>
      <w:r w:rsidRPr="00263B12">
        <w:rPr>
          <w:lang w:eastAsia="en-AU"/>
        </w:rPr>
        <w:t>Operation L</w:t>
      </w:r>
      <w:r>
        <w:rPr>
          <w:lang w:eastAsia="en-AU"/>
        </w:rPr>
        <w:t>ife’ mobile app</w:t>
      </w:r>
      <w:r w:rsidRPr="00263B12">
        <w:rPr>
          <w:lang w:eastAsia="en-AU"/>
        </w:rPr>
        <w:t xml:space="preserve">, as well as </w:t>
      </w:r>
      <w:r>
        <w:rPr>
          <w:lang w:eastAsia="en-AU"/>
        </w:rPr>
        <w:t>‘</w:t>
      </w:r>
      <w:r w:rsidRPr="00263B12">
        <w:rPr>
          <w:lang w:eastAsia="en-AU"/>
        </w:rPr>
        <w:t>The Right Mix</w:t>
      </w:r>
      <w:r>
        <w:rPr>
          <w:lang w:eastAsia="en-AU"/>
        </w:rPr>
        <w:t>’</w:t>
      </w:r>
      <w:r w:rsidRPr="00263B12">
        <w:rPr>
          <w:lang w:eastAsia="en-AU"/>
        </w:rPr>
        <w:t xml:space="preserve"> website, which concerns alcohol, diet and exercise for veterans.</w:t>
      </w:r>
    </w:p>
    <w:p w14:paraId="0681CC56" w14:textId="77777777" w:rsidR="007123C7" w:rsidRPr="00FE2EB2" w:rsidRDefault="007123C7" w:rsidP="007123C7">
      <w:pPr>
        <w:pStyle w:val="Heading3"/>
        <w:numPr>
          <w:ilvl w:val="2"/>
          <w:numId w:val="1"/>
        </w:numPr>
      </w:pPr>
      <w:bookmarkStart w:id="1041" w:name="_Toc515374548"/>
      <w:bookmarkStart w:id="1042" w:name="_Toc518566446"/>
      <w:bookmarkStart w:id="1043" w:name="_Toc528932724"/>
      <w:bookmarkStart w:id="1044" w:name="_Toc531859261"/>
      <w:r w:rsidRPr="00FE2EB2">
        <w:t xml:space="preserve">Probable, </w:t>
      </w:r>
      <w:r w:rsidR="007155C2">
        <w:t>subsyndromal</w:t>
      </w:r>
      <w:r w:rsidRPr="00FE2EB2">
        <w:t xml:space="preserve"> and no disorder</w:t>
      </w:r>
      <w:bookmarkEnd w:id="1041"/>
      <w:bookmarkEnd w:id="1042"/>
      <w:bookmarkEnd w:id="1043"/>
      <w:bookmarkEnd w:id="1044"/>
    </w:p>
    <w:p w14:paraId="3C88B74A" w14:textId="77777777" w:rsidR="007123C7" w:rsidRPr="00FE2EB2" w:rsidRDefault="007123C7" w:rsidP="007123C7">
      <w:r>
        <w:t>Approximately 30–44% of Transitioned ADF with a probable disorder and 16–42% of the 2015 Regular ADF with a probable disorder, reported using the DVA or At Ease website to inform/assess men</w:t>
      </w:r>
      <w:r w:rsidRPr="00FE2EB2">
        <w:t>tal health (</w:t>
      </w:r>
      <w:r>
        <w:t xml:space="preserve">Table </w:t>
      </w:r>
      <w:r>
        <w:rPr>
          <w:noProof/>
        </w:rPr>
        <w:t>9.8</w:t>
      </w:r>
      <w:r w:rsidRPr="00FE2EB2">
        <w:t>).</w:t>
      </w:r>
      <w:r>
        <w:t xml:space="preserve"> </w:t>
      </w:r>
    </w:p>
    <w:p w14:paraId="63EC66A0" w14:textId="77777777" w:rsidR="007123C7" w:rsidRPr="0058796D" w:rsidRDefault="007123C7" w:rsidP="007123C7">
      <w:pPr>
        <w:pStyle w:val="Heading4"/>
      </w:pPr>
      <w:r w:rsidRPr="00FE2EB2">
        <w:t>PTSD</w:t>
      </w:r>
    </w:p>
    <w:p w14:paraId="7F29F2AB" w14:textId="77777777" w:rsidR="007123C7" w:rsidRDefault="007123C7" w:rsidP="007123C7">
      <w:r>
        <w:t xml:space="preserve">Among both the Transitioned ADF and the 2015 Regular ADF, individuals with probable (43.3% and 38.5% respectively) or </w:t>
      </w:r>
      <w:r w:rsidR="007155C2">
        <w:t>subsyndromal</w:t>
      </w:r>
      <w:r>
        <w:t xml:space="preserve"> PTSD (25.3% and 17.1% respectively) were more likely to report using the DVA or At Ease website than those with no disorder (10.5% and 8.2% respectively).</w:t>
      </w:r>
      <w:r w:rsidRPr="005437DC">
        <w:t xml:space="preserve"> </w:t>
      </w:r>
      <w:r w:rsidRPr="00C810F7">
        <w:t xml:space="preserve">Among those with </w:t>
      </w:r>
      <w:r w:rsidR="007155C2">
        <w:t>subsyndromal</w:t>
      </w:r>
      <w:r w:rsidRPr="00C810F7">
        <w:t xml:space="preserve"> PTSD, Transitioned ADF</w:t>
      </w:r>
      <w:r>
        <w:t xml:space="preserve"> (25.3%)</w:t>
      </w:r>
      <w:r w:rsidRPr="00C810F7">
        <w:t xml:space="preserve"> </w:t>
      </w:r>
      <w:r>
        <w:t xml:space="preserve">were marginally more likely to report </w:t>
      </w:r>
      <w:r w:rsidRPr="00C810F7">
        <w:t xml:space="preserve">using DVA or At Ease websites </w:t>
      </w:r>
      <w:r>
        <w:t xml:space="preserve">compared to the 2015 Regular ADF with </w:t>
      </w:r>
      <w:r w:rsidR="007155C2">
        <w:t>subsyndromal</w:t>
      </w:r>
      <w:r>
        <w:t xml:space="preserve"> PTSD (</w:t>
      </w:r>
      <w:r w:rsidRPr="00C810F7">
        <w:t>17.1%</w:t>
      </w:r>
      <w:r>
        <w:t>).</w:t>
      </w:r>
    </w:p>
    <w:p w14:paraId="074F9591" w14:textId="77777777" w:rsidR="007123C7" w:rsidRPr="00FE2EB2" w:rsidRDefault="007123C7" w:rsidP="007123C7">
      <w:pPr>
        <w:pStyle w:val="Heading4"/>
      </w:pPr>
      <w:r w:rsidRPr="00FE2EB2">
        <w:t>Anxiety/depression (K10)</w:t>
      </w:r>
    </w:p>
    <w:p w14:paraId="13299081" w14:textId="77777777" w:rsidR="007123C7" w:rsidRPr="00C810F7" w:rsidRDefault="007123C7" w:rsidP="007123C7">
      <w:r>
        <w:t>Transitioned ADF with probable anxiety/depression (30.1%) were more likely to use the DVA or At Ease website than 2015 Regular ADF (17.8%) with probable anxiety/depression.</w:t>
      </w:r>
      <w:r w:rsidRPr="0030602B">
        <w:t xml:space="preserve"> </w:t>
      </w:r>
      <w:r>
        <w:t xml:space="preserve">Among both Transitioned ADF and 2015 Regular ADF, those with probable (30.1% and 17.8% respectively) or </w:t>
      </w:r>
      <w:r w:rsidR="007155C2">
        <w:rPr>
          <w:rFonts w:asciiTheme="minorHAnsi" w:hAnsiTheme="minorHAnsi"/>
          <w:szCs w:val="22"/>
        </w:rPr>
        <w:t>subsyndromal</w:t>
      </w:r>
      <w:r>
        <w:t xml:space="preserve"> anxiety/depression (24.0% and 15.2% respectively) were more likely to report using the DVA or At Ease website than those with no disorder (11.1% and 8.2% respectively).</w:t>
      </w:r>
    </w:p>
    <w:p w14:paraId="3C995A83" w14:textId="77777777" w:rsidR="007123C7" w:rsidRPr="00FE2EB2" w:rsidRDefault="007123C7" w:rsidP="007123C7">
      <w:pPr>
        <w:pStyle w:val="Heading4"/>
      </w:pPr>
      <w:r w:rsidRPr="00FE2EB2">
        <w:t>Alcohol consumption and disorder</w:t>
      </w:r>
    </w:p>
    <w:p w14:paraId="62322F86" w14:textId="77777777" w:rsidR="007123C7" w:rsidRDefault="007123C7" w:rsidP="007123C7">
      <w:r>
        <w:t xml:space="preserve">Among the Transitioned ADF, those with a probable alcohol disorder (35.9%) were more likely to use the DVA or At Ease website than those who were </w:t>
      </w:r>
      <w:r w:rsidR="007155C2">
        <w:t>subsyndromal</w:t>
      </w:r>
      <w:r>
        <w:t xml:space="preserve"> (21.5%) or who had no disorder (15.9%). Similarly for 2015 Regular ADF, those with a probable alcohol disorder (41.6%) were more likely to use the DVA or At Ease website than those who were </w:t>
      </w:r>
      <w:r w:rsidR="007155C2">
        <w:t>subsyndromal</w:t>
      </w:r>
      <w:r>
        <w:t xml:space="preserve"> (12.1%) and those with no disorder (9.8%). Transitioned ADF with no disorder (15.9%) or </w:t>
      </w:r>
      <w:r w:rsidR="007155C2">
        <w:t>subsyndromal</w:t>
      </w:r>
      <w:r>
        <w:t xml:space="preserve"> disorder (21.5%) were more likely to use the DVA or At Ease website than 2015 Regular ADF with no disorder (9.8%) or </w:t>
      </w:r>
      <w:r w:rsidR="007155C2">
        <w:t>subsyndromal</w:t>
      </w:r>
      <w:r>
        <w:t xml:space="preserve"> disorder (12.1%).</w:t>
      </w:r>
    </w:p>
    <w:p w14:paraId="3A562303" w14:textId="77777777" w:rsidR="007123C7" w:rsidRPr="00FE2EB2" w:rsidRDefault="007123C7" w:rsidP="007123C7">
      <w:pPr>
        <w:pStyle w:val="Heading4"/>
      </w:pPr>
      <w:r w:rsidRPr="00FE2EB2">
        <w:t>Depressive episodes</w:t>
      </w:r>
    </w:p>
    <w:p w14:paraId="158A032F" w14:textId="77777777" w:rsidR="007123C7" w:rsidRDefault="007123C7" w:rsidP="007123C7">
      <w:r w:rsidRPr="00582FC0">
        <w:t xml:space="preserve">When depressive episodes were examined, Transitioned ADF </w:t>
      </w:r>
      <w:r>
        <w:t xml:space="preserve">with a probable disorder </w:t>
      </w:r>
      <w:r w:rsidRPr="00582FC0">
        <w:t xml:space="preserve">(40.3%) were more likely to report using </w:t>
      </w:r>
      <w:r>
        <w:t xml:space="preserve">the </w:t>
      </w:r>
      <w:r w:rsidRPr="00582FC0">
        <w:t xml:space="preserve">DVA or At Ease websites than 2015 Regular ADF </w:t>
      </w:r>
      <w:r>
        <w:t xml:space="preserve">with a probable disorder </w:t>
      </w:r>
      <w:r w:rsidRPr="00582FC0">
        <w:t>(23.4%)</w:t>
      </w:r>
      <w:r>
        <w:t xml:space="preserve">. For </w:t>
      </w:r>
      <w:r w:rsidRPr="00C810F7">
        <w:t xml:space="preserve">those with </w:t>
      </w:r>
      <w:r w:rsidR="007155C2">
        <w:rPr>
          <w:rFonts w:asciiTheme="minorHAnsi" w:hAnsiTheme="minorHAnsi"/>
          <w:szCs w:val="22"/>
        </w:rPr>
        <w:t>subsyndromal</w:t>
      </w:r>
      <w:r w:rsidRPr="00C810F7">
        <w:t xml:space="preserve"> depressive episodes</w:t>
      </w:r>
      <w:r>
        <w:t>,</w:t>
      </w:r>
      <w:r w:rsidRPr="00C810F7">
        <w:t xml:space="preserve"> </w:t>
      </w:r>
      <w:r>
        <w:t xml:space="preserve">23.0% of </w:t>
      </w:r>
      <w:r w:rsidRPr="00C810F7">
        <w:t>Transitioned ADF</w:t>
      </w:r>
      <w:r>
        <w:t xml:space="preserve"> and 14.7% of </w:t>
      </w:r>
      <w:r w:rsidRPr="00C810F7">
        <w:t>2015 Regular ADF</w:t>
      </w:r>
      <w:r>
        <w:t xml:space="preserve"> reported using the DVA or at Ease website. T</w:t>
      </w:r>
      <w:r w:rsidRPr="00C810F7">
        <w:t>here was little difference between the groups for those with no depressive episodes (Transition</w:t>
      </w:r>
      <w:r>
        <w:t>ed ADF 10.5%; 2015 Regular ADF</w:t>
      </w:r>
      <w:r w:rsidRPr="00C810F7">
        <w:t xml:space="preserve"> 8.1%).</w:t>
      </w:r>
    </w:p>
    <w:p w14:paraId="6AA8D46C" w14:textId="77777777" w:rsidR="007123C7" w:rsidRPr="0058796D" w:rsidRDefault="007123C7" w:rsidP="007123C7">
      <w:pPr>
        <w:pStyle w:val="Heading4"/>
      </w:pPr>
      <w:r w:rsidRPr="00FE2EB2">
        <w:t>Suicidality</w:t>
      </w:r>
    </w:p>
    <w:p w14:paraId="69EA35D5" w14:textId="7CD63C4E" w:rsidR="007123C7" w:rsidRDefault="007123C7" w:rsidP="007123C7">
      <w:r w:rsidRPr="00C810F7">
        <w:t>When suicidal thought</w:t>
      </w:r>
      <w:r>
        <w:t>s</w:t>
      </w:r>
      <w:r w:rsidRPr="00C810F7">
        <w:t xml:space="preserve"> or plan</w:t>
      </w:r>
      <w:r>
        <w:t>s</w:t>
      </w:r>
      <w:r w:rsidRPr="00C810F7">
        <w:t xml:space="preserve"> in the previous 12 months</w:t>
      </w:r>
      <w:r>
        <w:t xml:space="preserve"> w</w:t>
      </w:r>
      <w:r w:rsidR="0020591C">
        <w:t>ere</w:t>
      </w:r>
      <w:r>
        <w:t xml:space="preserve"> considered</w:t>
      </w:r>
      <w:r w:rsidRPr="00C810F7">
        <w:t xml:space="preserve">, </w:t>
      </w:r>
      <w:r>
        <w:t xml:space="preserve">a greater proportion of the </w:t>
      </w:r>
      <w:r w:rsidRPr="00C810F7">
        <w:t>Transitioned ADF</w:t>
      </w:r>
      <w:r>
        <w:t xml:space="preserve"> (31.3%)</w:t>
      </w:r>
      <w:r w:rsidRPr="00C810F7">
        <w:t xml:space="preserve"> compared to </w:t>
      </w:r>
      <w:r>
        <w:t xml:space="preserve">the </w:t>
      </w:r>
      <w:r w:rsidRPr="00C810F7">
        <w:t>2015 Regular ADF</w:t>
      </w:r>
      <w:r>
        <w:t xml:space="preserve"> (16.0%)</w:t>
      </w:r>
      <w:r w:rsidRPr="00C810F7">
        <w:t xml:space="preserve"> reported using </w:t>
      </w:r>
      <w:r>
        <w:t xml:space="preserve">the </w:t>
      </w:r>
      <w:r w:rsidRPr="00C810F7">
        <w:t xml:space="preserve">DVA or </w:t>
      </w:r>
      <w:r>
        <w:t>At</w:t>
      </w:r>
      <w:r w:rsidRPr="00C810F7">
        <w:t xml:space="preserve"> Ease websites. When suicidal thoughts were considered separately</w:t>
      </w:r>
      <w:r>
        <w:t>,</w:t>
      </w:r>
      <w:r w:rsidRPr="00C810F7">
        <w:t xml:space="preserve"> twice as many Transitioned ADF compared to 2015 Regular ADF reported using DVA or At Ease websites (27.2% vs 13.3%). The proportion of both the Transitioned ADF and 2015 Regular ADF who reported using DVA or At Ease websites was highe</w:t>
      </w:r>
      <w:r>
        <w:t>r</w:t>
      </w:r>
      <w:r w:rsidRPr="00C810F7">
        <w:t xml:space="preserve"> among those with a</w:t>
      </w:r>
      <w:r>
        <w:t xml:space="preserve"> suicide plan compared to those with suicidal ideation only (Transitioned ADF 42.0% vs 27.2%; 2015 Regular ADF</w:t>
      </w:r>
      <w:r w:rsidRPr="00C810F7">
        <w:t xml:space="preserve"> 32.4%</w:t>
      </w:r>
      <w:r>
        <w:t xml:space="preserve"> vs 13.3%</w:t>
      </w:r>
      <w:r w:rsidRPr="00C810F7">
        <w:t>)</w:t>
      </w:r>
      <w:r>
        <w:t>.</w:t>
      </w:r>
      <w:r w:rsidRPr="000320AC">
        <w:t xml:space="preserve"> </w:t>
      </w:r>
      <w:r>
        <w:t>Almost 55% of the Transitioned ADF and 66.4% of the 2015 Regular ADF reported using the ADF website to inform/assess their mental health; however these estimates should be interpreted with caution (particularly those for the 2015 Regular ADF) because of the very large confidence interval surrounding these estimates.</w:t>
      </w:r>
    </w:p>
    <w:p w14:paraId="59201D38" w14:textId="77777777" w:rsidR="007123C7" w:rsidRPr="00FE2EB2" w:rsidRDefault="007123C7" w:rsidP="007123C7">
      <w:pPr>
        <w:pStyle w:val="Heading4"/>
      </w:pPr>
      <w:r w:rsidRPr="00FE2EB2">
        <w:t>Generalised anxiety disorder</w:t>
      </w:r>
    </w:p>
    <w:p w14:paraId="400DDC50" w14:textId="77777777" w:rsidR="007123C7" w:rsidRDefault="007123C7" w:rsidP="007123C7">
      <w:r w:rsidRPr="00D62855">
        <w:t>Finally, in the case of probable generali</w:t>
      </w:r>
      <w:r>
        <w:t xml:space="preserve">sed anxiety disorder, 35.9% of </w:t>
      </w:r>
      <w:r w:rsidRPr="00D62855">
        <w:t xml:space="preserve">Transitioned ADF and 24.5% of </w:t>
      </w:r>
      <w:r>
        <w:t>2015 Regular ADF</w:t>
      </w:r>
      <w:r w:rsidRPr="00D62855">
        <w:t xml:space="preserve"> screening above the cut-off reported using </w:t>
      </w:r>
      <w:r>
        <w:t>DVA or A</w:t>
      </w:r>
      <w:r w:rsidRPr="00D62855">
        <w:t xml:space="preserve">t </w:t>
      </w:r>
      <w:r>
        <w:t>E</w:t>
      </w:r>
      <w:r w:rsidRPr="00D62855">
        <w:t>ase website</w:t>
      </w:r>
      <w:r>
        <w:t>s</w:t>
      </w:r>
      <w:r w:rsidRPr="00D62855">
        <w:t>.</w:t>
      </w:r>
      <w:r w:rsidRPr="00BD199B">
        <w:t xml:space="preserve"> </w:t>
      </w:r>
    </w:p>
    <w:p w14:paraId="6EC9C346" w14:textId="77777777" w:rsidR="007123C7" w:rsidRDefault="007123C7" w:rsidP="007123C7">
      <w:pPr>
        <w:sectPr w:rsidR="007123C7" w:rsidSect="00463E44">
          <w:footerReference w:type="even" r:id="rId130"/>
          <w:footerReference w:type="default" r:id="rId131"/>
          <w:pgSz w:w="9979" w:h="14170" w:code="243"/>
          <w:pgMar w:top="1440" w:right="1152" w:bottom="1440" w:left="1728" w:header="576" w:footer="576" w:gutter="0"/>
          <w:cols w:space="708"/>
          <w:docGrid w:linePitch="360"/>
        </w:sectPr>
      </w:pPr>
    </w:p>
    <w:p w14:paraId="4D5548F1" w14:textId="10F0FDEA" w:rsidR="007123C7" w:rsidRDefault="007123C7" w:rsidP="007123C7">
      <w:pPr>
        <w:pStyle w:val="TableName"/>
      </w:pPr>
      <w:bookmarkStart w:id="1045" w:name="_Toc531858038"/>
      <w:bookmarkStart w:id="1046" w:name="_Ref509920959"/>
      <w:bookmarkStart w:id="1047" w:name="_Toc509922908"/>
      <w:bookmarkStart w:id="1048" w:name="_Toc515374683"/>
      <w:bookmarkStart w:id="1049" w:name="_Toc528932359"/>
      <w:r>
        <w:t xml:space="preserve">Table </w:t>
      </w:r>
      <w:r>
        <w:rPr>
          <w:noProof/>
        </w:rPr>
        <w:t>9</w:t>
      </w:r>
      <w:r>
        <w:t>.</w:t>
      </w:r>
      <w:r>
        <w:rPr>
          <w:noProof/>
        </w:rPr>
        <w:t>8</w:t>
      </w:r>
      <w:r>
        <w:tab/>
      </w:r>
      <w:r w:rsidRPr="006267A4">
        <w:t xml:space="preserve">Estimated proportion of Transitioned ADF and 2015 Regular ADF meeting criteria for key mental health outcomes who reported using </w:t>
      </w:r>
      <w:r>
        <w:t xml:space="preserve">the </w:t>
      </w:r>
      <w:r w:rsidRPr="00FA3A0E">
        <w:t xml:space="preserve">DVA or At Ease </w:t>
      </w:r>
      <w:r w:rsidR="0020591C">
        <w:t>w</w:t>
      </w:r>
      <w:r w:rsidRPr="00FA3A0E">
        <w:t>ebsite</w:t>
      </w:r>
      <w:r>
        <w:t xml:space="preserve"> </w:t>
      </w:r>
      <w:r w:rsidRPr="002609A7">
        <w:t>to inform/assess their mental health</w:t>
      </w:r>
      <w:bookmarkEnd w:id="1045"/>
    </w:p>
    <w:bookmarkEnd w:id="1046"/>
    <w:bookmarkEnd w:id="1047"/>
    <w:bookmarkEnd w:id="1048"/>
    <w:bookmarkEnd w:id="1049"/>
    <w:tbl>
      <w:tblPr>
        <w:tblStyle w:val="TWRPTable"/>
        <w:tblW w:w="5000" w:type="pct"/>
        <w:tblLayout w:type="fixed"/>
        <w:tblCellMar>
          <w:left w:w="115" w:type="dxa"/>
          <w:right w:w="115" w:type="dxa"/>
        </w:tblCellMar>
        <w:tblLook w:val="0000" w:firstRow="0" w:lastRow="0" w:firstColumn="0" w:lastColumn="0" w:noHBand="0" w:noVBand="0"/>
        <w:tblDescription w:val="Table 9.8 Estimated proportion of Transitioned ADF and 2015 Regular ADF meeting criteria for key mental health outcomes who reported using the DVA or At Ease website to inform/assess their mental health"/>
      </w:tblPr>
      <w:tblGrid>
        <w:gridCol w:w="2303"/>
        <w:gridCol w:w="531"/>
        <w:gridCol w:w="793"/>
        <w:gridCol w:w="918"/>
        <w:gridCol w:w="582"/>
        <w:gridCol w:w="794"/>
        <w:gridCol w:w="869"/>
        <w:gridCol w:w="632"/>
        <w:gridCol w:w="794"/>
        <w:gridCol w:w="819"/>
        <w:gridCol w:w="594"/>
        <w:gridCol w:w="794"/>
        <w:gridCol w:w="857"/>
      </w:tblGrid>
      <w:tr w:rsidR="007123C7" w:rsidRPr="001F3926" w14:paraId="2694A799" w14:textId="77777777" w:rsidTr="00BC369E">
        <w:trPr>
          <w:cantSplit/>
          <w:tblHeader/>
        </w:trPr>
        <w:tc>
          <w:tcPr>
            <w:tcW w:w="2365" w:type="dxa"/>
            <w:tcBorders>
              <w:top w:val="single" w:sz="4" w:space="0" w:color="000000"/>
              <w:bottom w:val="nil"/>
            </w:tcBorders>
          </w:tcPr>
          <w:p w14:paraId="5BDC30C6" w14:textId="77777777" w:rsidR="007123C7" w:rsidRPr="001F3926" w:rsidRDefault="007123C7" w:rsidP="00E82294">
            <w:pPr>
              <w:pStyle w:val="TableText"/>
            </w:pPr>
          </w:p>
        </w:tc>
        <w:tc>
          <w:tcPr>
            <w:tcW w:w="4577" w:type="dxa"/>
            <w:gridSpan w:val="6"/>
            <w:tcBorders>
              <w:top w:val="single" w:sz="4" w:space="0" w:color="000000"/>
              <w:bottom w:val="single" w:sz="4" w:space="0" w:color="000000"/>
            </w:tcBorders>
          </w:tcPr>
          <w:p w14:paraId="2947F300" w14:textId="77777777" w:rsidR="007123C7" w:rsidRPr="001F3926" w:rsidRDefault="007123C7" w:rsidP="00EF7D7F">
            <w:pPr>
              <w:pStyle w:val="TableText"/>
              <w:jc w:val="center"/>
              <w:rPr>
                <w:b/>
              </w:rPr>
            </w:pPr>
            <w:r w:rsidRPr="001F3926">
              <w:rPr>
                <w:b/>
                <w:bCs/>
              </w:rPr>
              <w:t>Transitioned ADF</w:t>
            </w:r>
            <w:r w:rsidR="00EF7D7F" w:rsidRPr="001F3926">
              <w:rPr>
                <w:b/>
                <w:bCs/>
              </w:rPr>
              <w:br/>
            </w:r>
            <w:r w:rsidRPr="001F3926">
              <w:rPr>
                <w:b/>
                <w:bCs/>
              </w:rPr>
              <w:t>n=24,935</w:t>
            </w:r>
          </w:p>
        </w:tc>
        <w:tc>
          <w:tcPr>
            <w:tcW w:w="4578" w:type="dxa"/>
            <w:gridSpan w:val="6"/>
            <w:tcBorders>
              <w:top w:val="single" w:sz="4" w:space="0" w:color="000000"/>
              <w:bottom w:val="single" w:sz="4" w:space="0" w:color="000000"/>
            </w:tcBorders>
          </w:tcPr>
          <w:p w14:paraId="4841FD06" w14:textId="77777777" w:rsidR="007123C7" w:rsidRPr="001F3926" w:rsidRDefault="007123C7" w:rsidP="00EF7D7F">
            <w:pPr>
              <w:pStyle w:val="TableText"/>
              <w:jc w:val="center"/>
              <w:rPr>
                <w:b/>
              </w:rPr>
            </w:pPr>
            <w:r w:rsidRPr="001F3926">
              <w:rPr>
                <w:b/>
                <w:bCs/>
              </w:rPr>
              <w:t>2015 Regular ADF</w:t>
            </w:r>
            <w:r w:rsidR="00EF7D7F" w:rsidRPr="001F3926">
              <w:rPr>
                <w:b/>
                <w:bCs/>
              </w:rPr>
              <w:br/>
            </w:r>
            <w:r w:rsidRPr="001F3926">
              <w:rPr>
                <w:b/>
                <w:bCs/>
              </w:rPr>
              <w:t>n=52,500</w:t>
            </w:r>
          </w:p>
        </w:tc>
      </w:tr>
      <w:tr w:rsidR="007123C7" w:rsidRPr="001F3926" w14:paraId="21A0C047" w14:textId="77777777" w:rsidTr="00BC369E">
        <w:trPr>
          <w:cantSplit/>
          <w:tblHeader/>
        </w:trPr>
        <w:tc>
          <w:tcPr>
            <w:tcW w:w="2365" w:type="dxa"/>
            <w:tcBorders>
              <w:top w:val="nil"/>
              <w:bottom w:val="nil"/>
            </w:tcBorders>
          </w:tcPr>
          <w:p w14:paraId="2FEE58F2" w14:textId="77777777" w:rsidR="007123C7" w:rsidRPr="001F3926" w:rsidRDefault="007123C7" w:rsidP="00E82294">
            <w:pPr>
              <w:pStyle w:val="TableText"/>
            </w:pPr>
          </w:p>
        </w:tc>
        <w:tc>
          <w:tcPr>
            <w:tcW w:w="2288" w:type="dxa"/>
            <w:gridSpan w:val="3"/>
            <w:tcBorders>
              <w:top w:val="single" w:sz="4" w:space="0" w:color="000000"/>
              <w:bottom w:val="single" w:sz="4" w:space="0" w:color="000000"/>
            </w:tcBorders>
          </w:tcPr>
          <w:p w14:paraId="65D716E0" w14:textId="10D5BA17" w:rsidR="007123C7" w:rsidRPr="001F3926" w:rsidRDefault="007123C7" w:rsidP="00E82294">
            <w:pPr>
              <w:pStyle w:val="TableText"/>
              <w:jc w:val="center"/>
              <w:rPr>
                <w:b/>
              </w:rPr>
            </w:pPr>
            <w:r w:rsidRPr="001F3926">
              <w:rPr>
                <w:b/>
              </w:rPr>
              <w:t xml:space="preserve">No – Use DVA or At Ease </w:t>
            </w:r>
            <w:r w:rsidR="0020591C">
              <w:rPr>
                <w:b/>
              </w:rPr>
              <w:t>w</w:t>
            </w:r>
            <w:r w:rsidRPr="001F3926">
              <w:rPr>
                <w:b/>
              </w:rPr>
              <w:t>ebsite</w:t>
            </w:r>
            <w:r w:rsidRPr="001F3926">
              <w:rPr>
                <w:b/>
              </w:rPr>
              <w:br/>
              <w:t>n=2951</w:t>
            </w:r>
          </w:p>
        </w:tc>
        <w:tc>
          <w:tcPr>
            <w:tcW w:w="2289" w:type="dxa"/>
            <w:gridSpan w:val="3"/>
            <w:tcBorders>
              <w:top w:val="single" w:sz="4" w:space="0" w:color="000000"/>
              <w:bottom w:val="single" w:sz="4" w:space="0" w:color="000000"/>
            </w:tcBorders>
          </w:tcPr>
          <w:p w14:paraId="07957CD9" w14:textId="1C19AA08" w:rsidR="007123C7" w:rsidRPr="001F3926" w:rsidRDefault="007123C7" w:rsidP="00E82294">
            <w:pPr>
              <w:pStyle w:val="TableText"/>
              <w:jc w:val="center"/>
              <w:rPr>
                <w:b/>
              </w:rPr>
            </w:pPr>
            <w:r w:rsidRPr="001F3926">
              <w:rPr>
                <w:b/>
              </w:rPr>
              <w:t xml:space="preserve">Yes – Use DVA or At Ease </w:t>
            </w:r>
            <w:r w:rsidR="0020591C">
              <w:rPr>
                <w:b/>
              </w:rPr>
              <w:t>w</w:t>
            </w:r>
            <w:r w:rsidRPr="001F3926">
              <w:rPr>
                <w:b/>
              </w:rPr>
              <w:t>ebsite</w:t>
            </w:r>
          </w:p>
          <w:p w14:paraId="0CE352C6" w14:textId="77777777" w:rsidR="007123C7" w:rsidRPr="001F3926" w:rsidRDefault="007123C7" w:rsidP="00E82294">
            <w:pPr>
              <w:pStyle w:val="TableText"/>
              <w:jc w:val="center"/>
              <w:rPr>
                <w:b/>
              </w:rPr>
            </w:pPr>
            <w:r w:rsidRPr="001F3926">
              <w:rPr>
                <w:b/>
              </w:rPr>
              <w:t>n=20,213</w:t>
            </w:r>
          </w:p>
        </w:tc>
        <w:tc>
          <w:tcPr>
            <w:tcW w:w="2289" w:type="dxa"/>
            <w:gridSpan w:val="3"/>
            <w:tcBorders>
              <w:top w:val="single" w:sz="4" w:space="0" w:color="000000"/>
              <w:bottom w:val="single" w:sz="4" w:space="0" w:color="000000"/>
            </w:tcBorders>
          </w:tcPr>
          <w:p w14:paraId="07EB236A" w14:textId="57818E72" w:rsidR="007123C7" w:rsidRPr="001F3926" w:rsidRDefault="007123C7" w:rsidP="00E82294">
            <w:pPr>
              <w:pStyle w:val="TableText"/>
              <w:jc w:val="center"/>
              <w:rPr>
                <w:b/>
              </w:rPr>
            </w:pPr>
            <w:r w:rsidRPr="001F3926">
              <w:rPr>
                <w:b/>
              </w:rPr>
              <w:t xml:space="preserve">No – Use DVA or At Ease </w:t>
            </w:r>
            <w:r w:rsidR="0020591C">
              <w:rPr>
                <w:b/>
              </w:rPr>
              <w:t>w</w:t>
            </w:r>
            <w:r w:rsidRPr="001F3926">
              <w:rPr>
                <w:b/>
              </w:rPr>
              <w:t>ebsite</w:t>
            </w:r>
            <w:r w:rsidRPr="001F3926">
              <w:rPr>
                <w:b/>
              </w:rPr>
              <w:br/>
              <w:t>n=46,857</w:t>
            </w:r>
          </w:p>
        </w:tc>
        <w:tc>
          <w:tcPr>
            <w:tcW w:w="2289" w:type="dxa"/>
            <w:gridSpan w:val="3"/>
            <w:tcBorders>
              <w:top w:val="single" w:sz="4" w:space="0" w:color="000000"/>
              <w:bottom w:val="single" w:sz="4" w:space="0" w:color="000000"/>
            </w:tcBorders>
          </w:tcPr>
          <w:p w14:paraId="62BA56CC" w14:textId="34A28D68" w:rsidR="007123C7" w:rsidRPr="001F3926" w:rsidRDefault="007123C7" w:rsidP="00E82294">
            <w:pPr>
              <w:pStyle w:val="TableText"/>
              <w:jc w:val="center"/>
              <w:rPr>
                <w:b/>
              </w:rPr>
            </w:pPr>
            <w:r w:rsidRPr="001F3926">
              <w:rPr>
                <w:b/>
              </w:rPr>
              <w:t xml:space="preserve">Yes – Use DVA or At Ease </w:t>
            </w:r>
            <w:r w:rsidR="0020591C">
              <w:rPr>
                <w:b/>
              </w:rPr>
              <w:t>w</w:t>
            </w:r>
            <w:r w:rsidRPr="001F3926">
              <w:rPr>
                <w:b/>
              </w:rPr>
              <w:t>ebsite</w:t>
            </w:r>
            <w:r w:rsidRPr="001F3926">
              <w:rPr>
                <w:b/>
              </w:rPr>
              <w:br/>
              <w:t>n=5643</w:t>
            </w:r>
          </w:p>
        </w:tc>
      </w:tr>
      <w:tr w:rsidR="00BC369E" w:rsidRPr="001F3926" w14:paraId="35DBAB66" w14:textId="77777777" w:rsidTr="00BF4EFA">
        <w:trPr>
          <w:cantSplit/>
          <w:tblHeader/>
        </w:trPr>
        <w:tc>
          <w:tcPr>
            <w:tcW w:w="2365" w:type="dxa"/>
            <w:tcBorders>
              <w:top w:val="nil"/>
              <w:bottom w:val="single" w:sz="4" w:space="0" w:color="000000"/>
            </w:tcBorders>
          </w:tcPr>
          <w:p w14:paraId="2EFD3A69" w14:textId="77777777" w:rsidR="007123C7" w:rsidRPr="001F3926" w:rsidRDefault="007123C7" w:rsidP="00E82294">
            <w:pPr>
              <w:pStyle w:val="TableText"/>
            </w:pPr>
          </w:p>
        </w:tc>
        <w:tc>
          <w:tcPr>
            <w:tcW w:w="540" w:type="dxa"/>
            <w:tcBorders>
              <w:top w:val="single" w:sz="4" w:space="0" w:color="000000"/>
              <w:bottom w:val="single" w:sz="4" w:space="0" w:color="000000"/>
            </w:tcBorders>
            <w:vAlign w:val="bottom"/>
          </w:tcPr>
          <w:p w14:paraId="43B6A716" w14:textId="77777777" w:rsidR="007123C7" w:rsidRPr="001F3926" w:rsidRDefault="007123C7" w:rsidP="00BF4EFA">
            <w:pPr>
              <w:pStyle w:val="TableText"/>
              <w:jc w:val="right"/>
              <w:rPr>
                <w:b/>
              </w:rPr>
            </w:pPr>
            <w:r w:rsidRPr="001F3926">
              <w:rPr>
                <w:b/>
              </w:rPr>
              <w:t>n</w:t>
            </w:r>
          </w:p>
        </w:tc>
        <w:tc>
          <w:tcPr>
            <w:tcW w:w="810" w:type="dxa"/>
            <w:tcBorders>
              <w:top w:val="single" w:sz="4" w:space="0" w:color="000000"/>
              <w:bottom w:val="single" w:sz="4" w:space="0" w:color="000000"/>
            </w:tcBorders>
            <w:vAlign w:val="bottom"/>
          </w:tcPr>
          <w:p w14:paraId="5134C1C5" w14:textId="77777777" w:rsidR="007123C7" w:rsidRPr="001F3926" w:rsidRDefault="007123C7" w:rsidP="00BF4EFA">
            <w:pPr>
              <w:pStyle w:val="TableText"/>
              <w:jc w:val="right"/>
              <w:rPr>
                <w:b/>
              </w:rPr>
            </w:pPr>
            <w:r w:rsidRPr="001F3926">
              <w:rPr>
                <w:b/>
              </w:rPr>
              <w:t>Weighted n</w:t>
            </w:r>
          </w:p>
        </w:tc>
        <w:tc>
          <w:tcPr>
            <w:tcW w:w="938" w:type="dxa"/>
            <w:tcBorders>
              <w:top w:val="single" w:sz="4" w:space="0" w:color="000000"/>
              <w:bottom w:val="single" w:sz="4" w:space="0" w:color="000000"/>
            </w:tcBorders>
            <w:vAlign w:val="bottom"/>
          </w:tcPr>
          <w:p w14:paraId="6FFA870B" w14:textId="77777777" w:rsidR="007123C7" w:rsidRPr="001F3926" w:rsidRDefault="007123C7" w:rsidP="00BF4EFA">
            <w:pPr>
              <w:pStyle w:val="TableText"/>
              <w:jc w:val="right"/>
              <w:rPr>
                <w:b/>
              </w:rPr>
            </w:pPr>
            <w:r w:rsidRPr="001F3926">
              <w:rPr>
                <w:b/>
              </w:rPr>
              <w:t>% (95%CI)</w:t>
            </w:r>
          </w:p>
        </w:tc>
        <w:tc>
          <w:tcPr>
            <w:tcW w:w="592" w:type="dxa"/>
            <w:tcBorders>
              <w:top w:val="single" w:sz="4" w:space="0" w:color="000000"/>
              <w:bottom w:val="single" w:sz="4" w:space="0" w:color="000000"/>
            </w:tcBorders>
            <w:vAlign w:val="bottom"/>
          </w:tcPr>
          <w:p w14:paraId="791BA116" w14:textId="77777777" w:rsidR="007123C7" w:rsidRPr="001F3926" w:rsidRDefault="007123C7" w:rsidP="00BF4EFA">
            <w:pPr>
              <w:pStyle w:val="TableText"/>
              <w:jc w:val="right"/>
              <w:rPr>
                <w:b/>
              </w:rPr>
            </w:pPr>
            <w:r w:rsidRPr="001F3926">
              <w:rPr>
                <w:b/>
              </w:rPr>
              <w:t>n</w:t>
            </w:r>
          </w:p>
        </w:tc>
        <w:tc>
          <w:tcPr>
            <w:tcW w:w="810" w:type="dxa"/>
            <w:tcBorders>
              <w:top w:val="single" w:sz="4" w:space="0" w:color="000000"/>
              <w:bottom w:val="single" w:sz="4" w:space="0" w:color="000000"/>
            </w:tcBorders>
            <w:vAlign w:val="bottom"/>
          </w:tcPr>
          <w:p w14:paraId="33FFBF01" w14:textId="77777777" w:rsidR="007123C7" w:rsidRPr="001F3926" w:rsidRDefault="007123C7" w:rsidP="00BF4EFA">
            <w:pPr>
              <w:pStyle w:val="TableText"/>
              <w:jc w:val="right"/>
              <w:rPr>
                <w:b/>
              </w:rPr>
            </w:pPr>
            <w:r w:rsidRPr="001F3926">
              <w:rPr>
                <w:b/>
              </w:rPr>
              <w:t>Weighted n</w:t>
            </w:r>
          </w:p>
        </w:tc>
        <w:tc>
          <w:tcPr>
            <w:tcW w:w="887" w:type="dxa"/>
            <w:tcBorders>
              <w:top w:val="single" w:sz="4" w:space="0" w:color="000000"/>
              <w:bottom w:val="single" w:sz="4" w:space="0" w:color="000000"/>
            </w:tcBorders>
            <w:vAlign w:val="bottom"/>
          </w:tcPr>
          <w:p w14:paraId="754F667F" w14:textId="77777777" w:rsidR="007123C7" w:rsidRPr="001F3926" w:rsidRDefault="007123C7" w:rsidP="00BF4EFA">
            <w:pPr>
              <w:pStyle w:val="TableText"/>
              <w:jc w:val="right"/>
              <w:rPr>
                <w:b/>
              </w:rPr>
            </w:pPr>
            <w:r w:rsidRPr="001F3926">
              <w:rPr>
                <w:b/>
              </w:rPr>
              <w:t>% (95%CI)</w:t>
            </w:r>
          </w:p>
        </w:tc>
        <w:tc>
          <w:tcPr>
            <w:tcW w:w="643" w:type="dxa"/>
            <w:tcBorders>
              <w:top w:val="single" w:sz="4" w:space="0" w:color="000000"/>
              <w:bottom w:val="single" w:sz="4" w:space="0" w:color="000000"/>
            </w:tcBorders>
            <w:vAlign w:val="bottom"/>
          </w:tcPr>
          <w:p w14:paraId="021C0DE0" w14:textId="77777777" w:rsidR="007123C7" w:rsidRPr="001F3926" w:rsidRDefault="007123C7" w:rsidP="00BF4EFA">
            <w:pPr>
              <w:pStyle w:val="TableText"/>
              <w:jc w:val="right"/>
              <w:rPr>
                <w:b/>
              </w:rPr>
            </w:pPr>
            <w:r w:rsidRPr="001F3926">
              <w:rPr>
                <w:b/>
              </w:rPr>
              <w:t>n</w:t>
            </w:r>
          </w:p>
        </w:tc>
        <w:tc>
          <w:tcPr>
            <w:tcW w:w="810" w:type="dxa"/>
            <w:tcBorders>
              <w:top w:val="single" w:sz="4" w:space="0" w:color="000000"/>
              <w:bottom w:val="single" w:sz="4" w:space="0" w:color="000000"/>
            </w:tcBorders>
            <w:vAlign w:val="bottom"/>
          </w:tcPr>
          <w:p w14:paraId="094D080B" w14:textId="77777777" w:rsidR="007123C7" w:rsidRPr="001F3926" w:rsidRDefault="007123C7" w:rsidP="00BF4EFA">
            <w:pPr>
              <w:pStyle w:val="TableText"/>
              <w:jc w:val="right"/>
              <w:rPr>
                <w:b/>
              </w:rPr>
            </w:pPr>
            <w:r w:rsidRPr="001F3926">
              <w:rPr>
                <w:b/>
              </w:rPr>
              <w:t>Weighted n</w:t>
            </w:r>
          </w:p>
        </w:tc>
        <w:tc>
          <w:tcPr>
            <w:tcW w:w="836" w:type="dxa"/>
            <w:tcBorders>
              <w:top w:val="single" w:sz="4" w:space="0" w:color="000000"/>
              <w:bottom w:val="single" w:sz="4" w:space="0" w:color="000000"/>
            </w:tcBorders>
            <w:vAlign w:val="bottom"/>
          </w:tcPr>
          <w:p w14:paraId="6B3A5447" w14:textId="77777777" w:rsidR="007123C7" w:rsidRPr="001F3926" w:rsidRDefault="007123C7" w:rsidP="00BF4EFA">
            <w:pPr>
              <w:pStyle w:val="TableText"/>
              <w:jc w:val="right"/>
              <w:rPr>
                <w:b/>
              </w:rPr>
            </w:pPr>
            <w:r w:rsidRPr="001F3926">
              <w:rPr>
                <w:b/>
              </w:rPr>
              <w:t>% (95%CI)</w:t>
            </w:r>
          </w:p>
        </w:tc>
        <w:tc>
          <w:tcPr>
            <w:tcW w:w="604" w:type="dxa"/>
            <w:tcBorders>
              <w:top w:val="single" w:sz="4" w:space="0" w:color="000000"/>
              <w:bottom w:val="single" w:sz="4" w:space="0" w:color="000000"/>
            </w:tcBorders>
            <w:vAlign w:val="bottom"/>
          </w:tcPr>
          <w:p w14:paraId="37C0272A" w14:textId="77777777" w:rsidR="007123C7" w:rsidRPr="001F3926" w:rsidRDefault="007123C7" w:rsidP="00BF4EFA">
            <w:pPr>
              <w:pStyle w:val="TableText"/>
              <w:jc w:val="right"/>
              <w:rPr>
                <w:b/>
              </w:rPr>
            </w:pPr>
            <w:r w:rsidRPr="001F3926">
              <w:rPr>
                <w:b/>
              </w:rPr>
              <w:t>n</w:t>
            </w:r>
          </w:p>
        </w:tc>
        <w:tc>
          <w:tcPr>
            <w:tcW w:w="810" w:type="dxa"/>
            <w:tcBorders>
              <w:top w:val="single" w:sz="4" w:space="0" w:color="000000"/>
              <w:bottom w:val="single" w:sz="4" w:space="0" w:color="000000"/>
            </w:tcBorders>
            <w:vAlign w:val="bottom"/>
          </w:tcPr>
          <w:p w14:paraId="61AB38DE" w14:textId="77777777" w:rsidR="007123C7" w:rsidRPr="001F3926" w:rsidRDefault="007123C7" w:rsidP="00BF4EFA">
            <w:pPr>
              <w:pStyle w:val="TableText"/>
              <w:jc w:val="right"/>
              <w:rPr>
                <w:b/>
              </w:rPr>
            </w:pPr>
            <w:r w:rsidRPr="001F3926">
              <w:rPr>
                <w:b/>
              </w:rPr>
              <w:t>Weighted n</w:t>
            </w:r>
          </w:p>
        </w:tc>
        <w:tc>
          <w:tcPr>
            <w:tcW w:w="875" w:type="dxa"/>
            <w:tcBorders>
              <w:top w:val="single" w:sz="4" w:space="0" w:color="000000"/>
              <w:bottom w:val="single" w:sz="4" w:space="0" w:color="000000"/>
            </w:tcBorders>
            <w:vAlign w:val="bottom"/>
          </w:tcPr>
          <w:p w14:paraId="00B188D9" w14:textId="77777777" w:rsidR="007123C7" w:rsidRPr="001F3926" w:rsidRDefault="007123C7" w:rsidP="00BF4EFA">
            <w:pPr>
              <w:pStyle w:val="TableText"/>
              <w:jc w:val="right"/>
              <w:rPr>
                <w:b/>
              </w:rPr>
            </w:pPr>
            <w:r w:rsidRPr="001F3926">
              <w:rPr>
                <w:b/>
              </w:rPr>
              <w:t>% (95%CI)</w:t>
            </w:r>
          </w:p>
        </w:tc>
      </w:tr>
      <w:tr w:rsidR="00BC369E" w:rsidRPr="001F3926" w14:paraId="3ED8CB62"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tcBorders>
          </w:tcPr>
          <w:p w14:paraId="474B353B" w14:textId="77777777" w:rsidR="007123C7" w:rsidRPr="001F3926" w:rsidRDefault="007123C7" w:rsidP="00E82294">
            <w:pPr>
              <w:pStyle w:val="TableText"/>
              <w:rPr>
                <w:b/>
              </w:rPr>
            </w:pPr>
            <w:r w:rsidRPr="001F3926">
              <w:rPr>
                <w:b/>
              </w:rPr>
              <w:t>Posttraumatic stress disorder (PCL-C)</w:t>
            </w:r>
          </w:p>
        </w:tc>
        <w:tc>
          <w:tcPr>
            <w:tcW w:w="540" w:type="dxa"/>
            <w:tcBorders>
              <w:top w:val="single" w:sz="4" w:space="0" w:color="000000"/>
            </w:tcBorders>
          </w:tcPr>
          <w:p w14:paraId="2B46012F" w14:textId="77777777" w:rsidR="007123C7" w:rsidRPr="001F3926" w:rsidRDefault="007123C7" w:rsidP="00E82294">
            <w:pPr>
              <w:pStyle w:val="TableText"/>
              <w:jc w:val="right"/>
            </w:pPr>
          </w:p>
        </w:tc>
        <w:tc>
          <w:tcPr>
            <w:tcW w:w="810" w:type="dxa"/>
            <w:tcBorders>
              <w:top w:val="single" w:sz="4" w:space="0" w:color="000000"/>
            </w:tcBorders>
          </w:tcPr>
          <w:p w14:paraId="37A83F5E" w14:textId="77777777" w:rsidR="007123C7" w:rsidRPr="001F3926" w:rsidRDefault="007123C7" w:rsidP="00E82294">
            <w:pPr>
              <w:pStyle w:val="TableText"/>
              <w:jc w:val="right"/>
            </w:pPr>
          </w:p>
        </w:tc>
        <w:tc>
          <w:tcPr>
            <w:tcW w:w="938" w:type="dxa"/>
            <w:tcBorders>
              <w:top w:val="single" w:sz="4" w:space="0" w:color="000000"/>
            </w:tcBorders>
          </w:tcPr>
          <w:p w14:paraId="4C93C414" w14:textId="77777777" w:rsidR="007123C7" w:rsidRPr="001F3926" w:rsidRDefault="007123C7" w:rsidP="00E82294">
            <w:pPr>
              <w:pStyle w:val="TableText"/>
              <w:jc w:val="right"/>
            </w:pPr>
          </w:p>
        </w:tc>
        <w:tc>
          <w:tcPr>
            <w:tcW w:w="592" w:type="dxa"/>
            <w:tcBorders>
              <w:top w:val="single" w:sz="4" w:space="0" w:color="000000"/>
            </w:tcBorders>
          </w:tcPr>
          <w:p w14:paraId="5BD5FF51" w14:textId="77777777" w:rsidR="007123C7" w:rsidRPr="001F3926" w:rsidRDefault="007123C7" w:rsidP="00E82294">
            <w:pPr>
              <w:pStyle w:val="TableText"/>
              <w:jc w:val="right"/>
            </w:pPr>
          </w:p>
        </w:tc>
        <w:tc>
          <w:tcPr>
            <w:tcW w:w="810" w:type="dxa"/>
            <w:tcBorders>
              <w:top w:val="single" w:sz="4" w:space="0" w:color="000000"/>
            </w:tcBorders>
          </w:tcPr>
          <w:p w14:paraId="3BB0AE47" w14:textId="77777777" w:rsidR="007123C7" w:rsidRPr="001F3926" w:rsidRDefault="007123C7" w:rsidP="00E82294">
            <w:pPr>
              <w:pStyle w:val="TableText"/>
              <w:jc w:val="right"/>
            </w:pPr>
          </w:p>
        </w:tc>
        <w:tc>
          <w:tcPr>
            <w:tcW w:w="887" w:type="dxa"/>
            <w:tcBorders>
              <w:top w:val="single" w:sz="4" w:space="0" w:color="000000"/>
            </w:tcBorders>
          </w:tcPr>
          <w:p w14:paraId="041AAA32" w14:textId="77777777" w:rsidR="007123C7" w:rsidRPr="001F3926" w:rsidRDefault="007123C7" w:rsidP="00E82294">
            <w:pPr>
              <w:pStyle w:val="TableText"/>
              <w:jc w:val="right"/>
            </w:pPr>
          </w:p>
        </w:tc>
        <w:tc>
          <w:tcPr>
            <w:tcW w:w="643" w:type="dxa"/>
            <w:tcBorders>
              <w:top w:val="single" w:sz="4" w:space="0" w:color="000000"/>
            </w:tcBorders>
          </w:tcPr>
          <w:p w14:paraId="0DFFEFD2" w14:textId="77777777" w:rsidR="007123C7" w:rsidRPr="001F3926" w:rsidRDefault="007123C7" w:rsidP="00E82294">
            <w:pPr>
              <w:pStyle w:val="TableText"/>
              <w:jc w:val="right"/>
            </w:pPr>
          </w:p>
        </w:tc>
        <w:tc>
          <w:tcPr>
            <w:tcW w:w="810" w:type="dxa"/>
            <w:tcBorders>
              <w:top w:val="single" w:sz="4" w:space="0" w:color="000000"/>
            </w:tcBorders>
          </w:tcPr>
          <w:p w14:paraId="2EA012D9" w14:textId="77777777" w:rsidR="007123C7" w:rsidRPr="001F3926" w:rsidRDefault="007123C7" w:rsidP="00E82294">
            <w:pPr>
              <w:pStyle w:val="TableText"/>
              <w:jc w:val="right"/>
            </w:pPr>
          </w:p>
        </w:tc>
        <w:tc>
          <w:tcPr>
            <w:tcW w:w="836" w:type="dxa"/>
            <w:tcBorders>
              <w:top w:val="single" w:sz="4" w:space="0" w:color="000000"/>
            </w:tcBorders>
          </w:tcPr>
          <w:p w14:paraId="4DFFD437" w14:textId="77777777" w:rsidR="007123C7" w:rsidRPr="001F3926" w:rsidRDefault="007123C7" w:rsidP="00E82294">
            <w:pPr>
              <w:pStyle w:val="TableText"/>
              <w:jc w:val="right"/>
            </w:pPr>
          </w:p>
        </w:tc>
        <w:tc>
          <w:tcPr>
            <w:tcW w:w="604" w:type="dxa"/>
            <w:tcBorders>
              <w:top w:val="single" w:sz="4" w:space="0" w:color="000000"/>
            </w:tcBorders>
          </w:tcPr>
          <w:p w14:paraId="6A7D2376" w14:textId="77777777" w:rsidR="007123C7" w:rsidRPr="001F3926" w:rsidRDefault="007123C7" w:rsidP="00E82294">
            <w:pPr>
              <w:pStyle w:val="TableText"/>
              <w:jc w:val="right"/>
            </w:pPr>
          </w:p>
        </w:tc>
        <w:tc>
          <w:tcPr>
            <w:tcW w:w="810" w:type="dxa"/>
            <w:tcBorders>
              <w:top w:val="single" w:sz="4" w:space="0" w:color="000000"/>
            </w:tcBorders>
          </w:tcPr>
          <w:p w14:paraId="5DC64BC5" w14:textId="77777777" w:rsidR="007123C7" w:rsidRPr="001F3926" w:rsidRDefault="007123C7" w:rsidP="00E82294">
            <w:pPr>
              <w:pStyle w:val="TableText"/>
              <w:jc w:val="right"/>
            </w:pPr>
          </w:p>
        </w:tc>
        <w:tc>
          <w:tcPr>
            <w:tcW w:w="875" w:type="dxa"/>
            <w:tcBorders>
              <w:top w:val="single" w:sz="4" w:space="0" w:color="000000"/>
            </w:tcBorders>
          </w:tcPr>
          <w:p w14:paraId="1B559F9B" w14:textId="77777777" w:rsidR="007123C7" w:rsidRPr="001F3926" w:rsidRDefault="007123C7" w:rsidP="00E82294">
            <w:pPr>
              <w:pStyle w:val="TableText"/>
              <w:jc w:val="right"/>
            </w:pPr>
          </w:p>
        </w:tc>
      </w:tr>
      <w:tr w:rsidR="00BC369E" w:rsidRPr="001F3926" w14:paraId="41B8DBF3" w14:textId="77777777" w:rsidTr="00BC369E">
        <w:trPr>
          <w:cantSplit/>
        </w:trPr>
        <w:tc>
          <w:tcPr>
            <w:tcW w:w="2365" w:type="dxa"/>
          </w:tcPr>
          <w:p w14:paraId="1DFF52C8" w14:textId="77777777" w:rsidR="007123C7" w:rsidRPr="001F3926" w:rsidRDefault="007123C7" w:rsidP="00E82294">
            <w:pPr>
              <w:pStyle w:val="TableText"/>
              <w:rPr>
                <w:bCs/>
                <w:color w:val="000000" w:themeColor="text1"/>
              </w:rPr>
            </w:pPr>
            <w:r w:rsidRPr="001F3926">
              <w:t xml:space="preserve">Probable disorder </w:t>
            </w:r>
          </w:p>
        </w:tc>
        <w:tc>
          <w:tcPr>
            <w:tcW w:w="540" w:type="dxa"/>
          </w:tcPr>
          <w:p w14:paraId="671796E0" w14:textId="77777777" w:rsidR="007123C7" w:rsidRPr="001F3926" w:rsidRDefault="007123C7" w:rsidP="00E82294">
            <w:pPr>
              <w:pStyle w:val="TableText"/>
              <w:jc w:val="right"/>
            </w:pPr>
            <w:r w:rsidRPr="001F3926">
              <w:rPr>
                <w:rFonts w:cs="Arial"/>
              </w:rPr>
              <w:t>251</w:t>
            </w:r>
          </w:p>
        </w:tc>
        <w:tc>
          <w:tcPr>
            <w:tcW w:w="810" w:type="dxa"/>
          </w:tcPr>
          <w:p w14:paraId="0F03EF83" w14:textId="77777777" w:rsidR="007123C7" w:rsidRPr="001F3926" w:rsidRDefault="007123C7" w:rsidP="00E82294">
            <w:pPr>
              <w:pStyle w:val="TableText"/>
              <w:jc w:val="right"/>
            </w:pPr>
            <w:r w:rsidRPr="001F3926">
              <w:rPr>
                <w:rFonts w:cs="Arial"/>
              </w:rPr>
              <w:t>1842</w:t>
            </w:r>
          </w:p>
        </w:tc>
        <w:tc>
          <w:tcPr>
            <w:tcW w:w="938" w:type="dxa"/>
          </w:tcPr>
          <w:p w14:paraId="250829CA" w14:textId="77777777" w:rsidR="007123C7" w:rsidRPr="001F3926" w:rsidRDefault="007123C7" w:rsidP="00E82294">
            <w:pPr>
              <w:pStyle w:val="TableText"/>
              <w:jc w:val="right"/>
            </w:pPr>
            <w:r w:rsidRPr="001F3926">
              <w:rPr>
                <w:rFonts w:cs="Arial"/>
              </w:rPr>
              <w:t>56.7 (51.5</w:t>
            </w:r>
            <w:r w:rsidR="00BC369E" w:rsidRPr="001F3926">
              <w:rPr>
                <w:rFonts w:cs="Arial"/>
              </w:rPr>
              <w:t>, </w:t>
            </w:r>
            <w:r w:rsidRPr="001F3926">
              <w:rPr>
                <w:rFonts w:cs="Arial"/>
              </w:rPr>
              <w:t>61.7)</w:t>
            </w:r>
          </w:p>
        </w:tc>
        <w:tc>
          <w:tcPr>
            <w:tcW w:w="592" w:type="dxa"/>
          </w:tcPr>
          <w:p w14:paraId="453802E0" w14:textId="77777777" w:rsidR="007123C7" w:rsidRPr="001F3926" w:rsidRDefault="007123C7" w:rsidP="00E82294">
            <w:pPr>
              <w:pStyle w:val="TableText"/>
              <w:jc w:val="right"/>
            </w:pPr>
            <w:r w:rsidRPr="001F3926">
              <w:rPr>
                <w:rFonts w:cs="Arial"/>
              </w:rPr>
              <w:t>259</w:t>
            </w:r>
          </w:p>
        </w:tc>
        <w:tc>
          <w:tcPr>
            <w:tcW w:w="810" w:type="dxa"/>
          </w:tcPr>
          <w:p w14:paraId="10D312B6" w14:textId="77777777" w:rsidR="007123C7" w:rsidRPr="001F3926" w:rsidRDefault="007123C7" w:rsidP="00E82294">
            <w:pPr>
              <w:pStyle w:val="TableText"/>
              <w:jc w:val="right"/>
            </w:pPr>
            <w:r w:rsidRPr="001F3926">
              <w:rPr>
                <w:rFonts w:cs="Arial"/>
              </w:rPr>
              <w:t>1407</w:t>
            </w:r>
          </w:p>
        </w:tc>
        <w:tc>
          <w:tcPr>
            <w:tcW w:w="887" w:type="dxa"/>
          </w:tcPr>
          <w:p w14:paraId="0C818099" w14:textId="77777777" w:rsidR="007123C7" w:rsidRPr="001F3926" w:rsidRDefault="007123C7" w:rsidP="00E82294">
            <w:pPr>
              <w:pStyle w:val="TableText"/>
              <w:jc w:val="right"/>
              <w:rPr>
                <w:rFonts w:eastAsia="Times New Roman" w:cs="Arial"/>
              </w:rPr>
            </w:pPr>
            <w:r w:rsidRPr="001F3926">
              <w:rPr>
                <w:rFonts w:cs="Arial"/>
              </w:rPr>
              <w:t>43.3 (38.3</w:t>
            </w:r>
            <w:r w:rsidR="00BC369E" w:rsidRPr="001F3926">
              <w:rPr>
                <w:rFonts w:cs="Arial"/>
              </w:rPr>
              <w:t>, </w:t>
            </w:r>
            <w:r w:rsidRPr="001F3926">
              <w:rPr>
                <w:rFonts w:cs="Arial"/>
              </w:rPr>
              <w:t>48.5)</w:t>
            </w:r>
          </w:p>
        </w:tc>
        <w:tc>
          <w:tcPr>
            <w:tcW w:w="643" w:type="dxa"/>
          </w:tcPr>
          <w:p w14:paraId="5F2F3510" w14:textId="77777777" w:rsidR="007123C7" w:rsidRPr="001F3926" w:rsidRDefault="007123C7" w:rsidP="00E82294">
            <w:pPr>
              <w:pStyle w:val="TableText"/>
              <w:jc w:val="right"/>
            </w:pPr>
            <w:r w:rsidRPr="001F3926">
              <w:rPr>
                <w:rFonts w:cs="Arial"/>
              </w:rPr>
              <w:t>131</w:t>
            </w:r>
          </w:p>
        </w:tc>
        <w:tc>
          <w:tcPr>
            <w:tcW w:w="810" w:type="dxa"/>
          </w:tcPr>
          <w:p w14:paraId="31138B98" w14:textId="77777777" w:rsidR="007123C7" w:rsidRPr="001F3926" w:rsidRDefault="007123C7" w:rsidP="00E82294">
            <w:pPr>
              <w:pStyle w:val="TableText"/>
              <w:jc w:val="right"/>
            </w:pPr>
            <w:r w:rsidRPr="001F3926">
              <w:rPr>
                <w:rFonts w:cs="Arial"/>
              </w:rPr>
              <w:t>893</w:t>
            </w:r>
          </w:p>
        </w:tc>
        <w:tc>
          <w:tcPr>
            <w:tcW w:w="836" w:type="dxa"/>
          </w:tcPr>
          <w:p w14:paraId="55DF0575" w14:textId="77777777" w:rsidR="007123C7" w:rsidRPr="001F3926" w:rsidRDefault="007123C7" w:rsidP="00E82294">
            <w:pPr>
              <w:pStyle w:val="TableText"/>
              <w:jc w:val="right"/>
              <w:rPr>
                <w:rFonts w:eastAsia="Times New Roman" w:cs="Arial"/>
              </w:rPr>
            </w:pPr>
            <w:r w:rsidRPr="001F3926">
              <w:rPr>
                <w:rFonts w:cs="Arial"/>
              </w:rPr>
              <w:t>61.5 (40.5</w:t>
            </w:r>
            <w:r w:rsidR="00BC369E" w:rsidRPr="001F3926">
              <w:rPr>
                <w:rFonts w:cs="Arial"/>
              </w:rPr>
              <w:t>, </w:t>
            </w:r>
            <w:r w:rsidRPr="001F3926">
              <w:rPr>
                <w:rFonts w:cs="Arial"/>
              </w:rPr>
              <w:t>79.0)</w:t>
            </w:r>
          </w:p>
        </w:tc>
        <w:tc>
          <w:tcPr>
            <w:tcW w:w="604" w:type="dxa"/>
          </w:tcPr>
          <w:p w14:paraId="67E13F08" w14:textId="77777777" w:rsidR="007123C7" w:rsidRPr="001F3926" w:rsidRDefault="007123C7" w:rsidP="00E82294">
            <w:pPr>
              <w:pStyle w:val="TableText"/>
              <w:jc w:val="right"/>
            </w:pPr>
            <w:r w:rsidRPr="001F3926">
              <w:rPr>
                <w:rFonts w:cs="Arial"/>
              </w:rPr>
              <w:t>98</w:t>
            </w:r>
          </w:p>
        </w:tc>
        <w:tc>
          <w:tcPr>
            <w:tcW w:w="810" w:type="dxa"/>
          </w:tcPr>
          <w:p w14:paraId="473BF477" w14:textId="77777777" w:rsidR="007123C7" w:rsidRPr="001F3926" w:rsidRDefault="007123C7" w:rsidP="00E82294">
            <w:pPr>
              <w:pStyle w:val="TableText"/>
              <w:jc w:val="right"/>
            </w:pPr>
            <w:r w:rsidRPr="001F3926">
              <w:rPr>
                <w:rFonts w:cs="Arial"/>
              </w:rPr>
              <w:t>558</w:t>
            </w:r>
          </w:p>
        </w:tc>
        <w:tc>
          <w:tcPr>
            <w:tcW w:w="875" w:type="dxa"/>
          </w:tcPr>
          <w:p w14:paraId="621E5BE9" w14:textId="77777777" w:rsidR="007123C7" w:rsidRPr="001F3926" w:rsidRDefault="007123C7" w:rsidP="00E82294">
            <w:pPr>
              <w:pStyle w:val="TableText"/>
              <w:jc w:val="right"/>
            </w:pPr>
            <w:r w:rsidRPr="001F3926">
              <w:rPr>
                <w:rFonts w:cs="Arial"/>
              </w:rPr>
              <w:t>38.5 (21.0</w:t>
            </w:r>
            <w:r w:rsidR="00BC369E" w:rsidRPr="001F3926">
              <w:rPr>
                <w:rFonts w:cs="Arial"/>
              </w:rPr>
              <w:t>, </w:t>
            </w:r>
            <w:r w:rsidRPr="001F3926">
              <w:rPr>
                <w:rFonts w:cs="Arial"/>
              </w:rPr>
              <w:t>59.5)</w:t>
            </w:r>
          </w:p>
        </w:tc>
      </w:tr>
      <w:tr w:rsidR="00BC369E" w:rsidRPr="001F3926" w14:paraId="230A9804"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Pr>
          <w:p w14:paraId="6BDADF1A" w14:textId="77777777" w:rsidR="007123C7" w:rsidRPr="001F3926" w:rsidRDefault="007155C2" w:rsidP="00E82294">
            <w:pPr>
              <w:pStyle w:val="TableText"/>
              <w:rPr>
                <w:bCs/>
                <w:color w:val="000000" w:themeColor="text1"/>
              </w:rPr>
            </w:pPr>
            <w:r>
              <w:t>Subsyndromal</w:t>
            </w:r>
            <w:r w:rsidR="007123C7" w:rsidRPr="001F3926">
              <w:t xml:space="preserve"> disorder </w:t>
            </w:r>
          </w:p>
        </w:tc>
        <w:tc>
          <w:tcPr>
            <w:tcW w:w="540" w:type="dxa"/>
          </w:tcPr>
          <w:p w14:paraId="46ADE2E1" w14:textId="77777777" w:rsidR="007123C7" w:rsidRPr="001F3926" w:rsidRDefault="007123C7" w:rsidP="00E82294">
            <w:pPr>
              <w:pStyle w:val="TableText"/>
              <w:jc w:val="right"/>
            </w:pPr>
            <w:r w:rsidRPr="001F3926">
              <w:rPr>
                <w:rFonts w:cs="Arial"/>
              </w:rPr>
              <w:t>704</w:t>
            </w:r>
          </w:p>
        </w:tc>
        <w:tc>
          <w:tcPr>
            <w:tcW w:w="810" w:type="dxa"/>
          </w:tcPr>
          <w:p w14:paraId="17E5A416" w14:textId="77777777" w:rsidR="007123C7" w:rsidRPr="001F3926" w:rsidRDefault="007123C7" w:rsidP="00E82294">
            <w:pPr>
              <w:pStyle w:val="TableText"/>
              <w:jc w:val="right"/>
            </w:pPr>
            <w:r w:rsidRPr="001F3926">
              <w:rPr>
                <w:rFonts w:cs="Arial"/>
              </w:rPr>
              <w:t>5074</w:t>
            </w:r>
          </w:p>
        </w:tc>
        <w:tc>
          <w:tcPr>
            <w:tcW w:w="938" w:type="dxa"/>
          </w:tcPr>
          <w:p w14:paraId="5FD4AB5E" w14:textId="77777777" w:rsidR="007123C7" w:rsidRPr="001F3926" w:rsidRDefault="007123C7" w:rsidP="00E82294">
            <w:pPr>
              <w:pStyle w:val="TableText"/>
              <w:jc w:val="right"/>
            </w:pPr>
            <w:r w:rsidRPr="001F3926">
              <w:rPr>
                <w:rFonts w:cs="Arial"/>
              </w:rPr>
              <w:t>74.7 (71.4</w:t>
            </w:r>
            <w:r w:rsidR="00BC369E" w:rsidRPr="001F3926">
              <w:rPr>
                <w:rFonts w:cs="Arial"/>
              </w:rPr>
              <w:t>, </w:t>
            </w:r>
            <w:r w:rsidRPr="001F3926">
              <w:rPr>
                <w:rFonts w:cs="Arial"/>
              </w:rPr>
              <w:t>77.7)</w:t>
            </w:r>
          </w:p>
        </w:tc>
        <w:tc>
          <w:tcPr>
            <w:tcW w:w="592" w:type="dxa"/>
          </w:tcPr>
          <w:p w14:paraId="7CBF2B02" w14:textId="77777777" w:rsidR="007123C7" w:rsidRPr="001F3926" w:rsidRDefault="007123C7" w:rsidP="00E82294">
            <w:pPr>
              <w:pStyle w:val="TableText"/>
              <w:jc w:val="right"/>
            </w:pPr>
            <w:r w:rsidRPr="001F3926">
              <w:rPr>
                <w:rFonts w:cs="Arial"/>
              </w:rPr>
              <w:t>291</w:t>
            </w:r>
          </w:p>
        </w:tc>
        <w:tc>
          <w:tcPr>
            <w:tcW w:w="810" w:type="dxa"/>
          </w:tcPr>
          <w:p w14:paraId="4CE1E137" w14:textId="77777777" w:rsidR="007123C7" w:rsidRPr="001F3926" w:rsidRDefault="007123C7" w:rsidP="00E82294">
            <w:pPr>
              <w:pStyle w:val="TableText"/>
              <w:jc w:val="right"/>
            </w:pPr>
            <w:r w:rsidRPr="001F3926">
              <w:rPr>
                <w:rFonts w:cs="Arial"/>
              </w:rPr>
              <w:t>1720</w:t>
            </w:r>
          </w:p>
        </w:tc>
        <w:tc>
          <w:tcPr>
            <w:tcW w:w="887" w:type="dxa"/>
          </w:tcPr>
          <w:p w14:paraId="1089CDA1" w14:textId="77777777" w:rsidR="007123C7" w:rsidRPr="001F3926" w:rsidRDefault="007123C7" w:rsidP="00E82294">
            <w:pPr>
              <w:pStyle w:val="TableText"/>
              <w:jc w:val="right"/>
            </w:pPr>
            <w:r w:rsidRPr="001F3926">
              <w:rPr>
                <w:rFonts w:cs="Arial"/>
              </w:rPr>
              <w:t>25.3 (22.3</w:t>
            </w:r>
            <w:r w:rsidR="00BC369E" w:rsidRPr="001F3926">
              <w:rPr>
                <w:rFonts w:cs="Arial"/>
              </w:rPr>
              <w:t>, </w:t>
            </w:r>
            <w:r w:rsidRPr="001F3926">
              <w:rPr>
                <w:rFonts w:cs="Arial"/>
              </w:rPr>
              <w:t>28.6)</w:t>
            </w:r>
          </w:p>
        </w:tc>
        <w:tc>
          <w:tcPr>
            <w:tcW w:w="643" w:type="dxa"/>
          </w:tcPr>
          <w:p w14:paraId="11A25A61" w14:textId="77777777" w:rsidR="007123C7" w:rsidRPr="001F3926" w:rsidRDefault="007123C7" w:rsidP="00E82294">
            <w:pPr>
              <w:pStyle w:val="TableText"/>
              <w:jc w:val="right"/>
            </w:pPr>
            <w:r w:rsidRPr="001F3926">
              <w:rPr>
                <w:rFonts w:cs="Arial"/>
              </w:rPr>
              <w:t>975</w:t>
            </w:r>
          </w:p>
        </w:tc>
        <w:tc>
          <w:tcPr>
            <w:tcW w:w="810" w:type="dxa"/>
          </w:tcPr>
          <w:p w14:paraId="1C71FA41" w14:textId="77777777" w:rsidR="007123C7" w:rsidRPr="001F3926" w:rsidRDefault="007123C7" w:rsidP="00E82294">
            <w:pPr>
              <w:pStyle w:val="TableText"/>
              <w:jc w:val="right"/>
            </w:pPr>
            <w:r w:rsidRPr="001F3926">
              <w:rPr>
                <w:rFonts w:cs="Arial"/>
              </w:rPr>
              <w:t>8121</w:t>
            </w:r>
          </w:p>
        </w:tc>
        <w:tc>
          <w:tcPr>
            <w:tcW w:w="836" w:type="dxa"/>
          </w:tcPr>
          <w:p w14:paraId="5B9A603C" w14:textId="77777777" w:rsidR="007123C7" w:rsidRPr="001F3926" w:rsidRDefault="007123C7" w:rsidP="00E82294">
            <w:pPr>
              <w:pStyle w:val="TableText"/>
              <w:jc w:val="right"/>
              <w:rPr>
                <w:rFonts w:eastAsia="Times New Roman" w:cs="Arial"/>
              </w:rPr>
            </w:pPr>
            <w:r w:rsidRPr="001F3926">
              <w:rPr>
                <w:rFonts w:cs="Arial"/>
              </w:rPr>
              <w:t>82.9 (77.7</w:t>
            </w:r>
            <w:r w:rsidR="00BC369E" w:rsidRPr="001F3926">
              <w:rPr>
                <w:rFonts w:cs="Arial"/>
              </w:rPr>
              <w:t>, </w:t>
            </w:r>
            <w:r w:rsidRPr="001F3926">
              <w:rPr>
                <w:rFonts w:cs="Arial"/>
              </w:rPr>
              <w:t>87.1)</w:t>
            </w:r>
          </w:p>
        </w:tc>
        <w:tc>
          <w:tcPr>
            <w:tcW w:w="604" w:type="dxa"/>
          </w:tcPr>
          <w:p w14:paraId="4C6AC8B8" w14:textId="77777777" w:rsidR="007123C7" w:rsidRPr="001F3926" w:rsidRDefault="007123C7" w:rsidP="00E82294">
            <w:pPr>
              <w:pStyle w:val="TableText"/>
              <w:jc w:val="right"/>
            </w:pPr>
            <w:r w:rsidRPr="001F3926">
              <w:rPr>
                <w:rFonts w:cs="Arial"/>
              </w:rPr>
              <w:t>320</w:t>
            </w:r>
          </w:p>
        </w:tc>
        <w:tc>
          <w:tcPr>
            <w:tcW w:w="810" w:type="dxa"/>
          </w:tcPr>
          <w:p w14:paraId="37A31C67" w14:textId="77777777" w:rsidR="007123C7" w:rsidRPr="001F3926" w:rsidRDefault="007123C7" w:rsidP="00E82294">
            <w:pPr>
              <w:pStyle w:val="TableText"/>
              <w:jc w:val="right"/>
            </w:pPr>
            <w:r w:rsidRPr="001F3926">
              <w:rPr>
                <w:rFonts w:cs="Arial"/>
              </w:rPr>
              <w:t>1674</w:t>
            </w:r>
          </w:p>
        </w:tc>
        <w:tc>
          <w:tcPr>
            <w:tcW w:w="875" w:type="dxa"/>
          </w:tcPr>
          <w:p w14:paraId="078561EE" w14:textId="77777777" w:rsidR="007123C7" w:rsidRPr="001F3926" w:rsidRDefault="007123C7" w:rsidP="00E82294">
            <w:pPr>
              <w:pStyle w:val="TableText"/>
              <w:jc w:val="right"/>
            </w:pPr>
            <w:r w:rsidRPr="001F3926">
              <w:rPr>
                <w:rFonts w:cs="Arial"/>
              </w:rPr>
              <w:t>17.1 (12.9</w:t>
            </w:r>
            <w:r w:rsidR="00BC369E" w:rsidRPr="001F3926">
              <w:rPr>
                <w:rFonts w:cs="Arial"/>
              </w:rPr>
              <w:t>, </w:t>
            </w:r>
            <w:r w:rsidRPr="001F3926">
              <w:rPr>
                <w:rFonts w:cs="Arial"/>
              </w:rPr>
              <w:t>22.3)</w:t>
            </w:r>
          </w:p>
        </w:tc>
      </w:tr>
      <w:tr w:rsidR="00BC369E" w:rsidRPr="001F3926" w14:paraId="19A3621E" w14:textId="77777777" w:rsidTr="00BC369E">
        <w:trPr>
          <w:cantSplit/>
        </w:trPr>
        <w:tc>
          <w:tcPr>
            <w:tcW w:w="2365" w:type="dxa"/>
            <w:tcBorders>
              <w:bottom w:val="single" w:sz="4" w:space="0" w:color="000000"/>
            </w:tcBorders>
          </w:tcPr>
          <w:p w14:paraId="68769FE7" w14:textId="77777777" w:rsidR="007123C7" w:rsidRPr="001F3926" w:rsidRDefault="007123C7" w:rsidP="00E82294">
            <w:pPr>
              <w:pStyle w:val="TableText"/>
            </w:pPr>
            <w:r w:rsidRPr="001F3926">
              <w:t>No disorder</w:t>
            </w:r>
          </w:p>
        </w:tc>
        <w:tc>
          <w:tcPr>
            <w:tcW w:w="540" w:type="dxa"/>
            <w:tcBorders>
              <w:bottom w:val="single" w:sz="4" w:space="0" w:color="000000"/>
            </w:tcBorders>
          </w:tcPr>
          <w:p w14:paraId="29E14194" w14:textId="77777777" w:rsidR="007123C7" w:rsidRPr="001F3926" w:rsidRDefault="007123C7" w:rsidP="00E82294">
            <w:pPr>
              <w:pStyle w:val="TableText"/>
              <w:jc w:val="right"/>
            </w:pPr>
            <w:r w:rsidRPr="001F3926">
              <w:rPr>
                <w:rFonts w:cs="Arial"/>
              </w:rPr>
              <w:t>1956</w:t>
            </w:r>
          </w:p>
        </w:tc>
        <w:tc>
          <w:tcPr>
            <w:tcW w:w="810" w:type="dxa"/>
            <w:tcBorders>
              <w:bottom w:val="single" w:sz="4" w:space="0" w:color="000000"/>
            </w:tcBorders>
          </w:tcPr>
          <w:p w14:paraId="419D8A61" w14:textId="77777777" w:rsidR="007123C7" w:rsidRPr="001F3926" w:rsidRDefault="007123C7" w:rsidP="00E82294">
            <w:pPr>
              <w:pStyle w:val="TableText"/>
              <w:jc w:val="right"/>
            </w:pPr>
            <w:r w:rsidRPr="001F3926">
              <w:rPr>
                <w:rFonts w:cs="Arial"/>
              </w:rPr>
              <w:t>13,021</w:t>
            </w:r>
          </w:p>
        </w:tc>
        <w:tc>
          <w:tcPr>
            <w:tcW w:w="938" w:type="dxa"/>
            <w:tcBorders>
              <w:bottom w:val="single" w:sz="4" w:space="0" w:color="000000"/>
            </w:tcBorders>
          </w:tcPr>
          <w:p w14:paraId="53D28D3E" w14:textId="77777777" w:rsidR="007123C7" w:rsidRPr="001F3926" w:rsidRDefault="007123C7" w:rsidP="00E82294">
            <w:pPr>
              <w:pStyle w:val="TableText"/>
              <w:jc w:val="right"/>
            </w:pPr>
            <w:r w:rsidRPr="001F3926">
              <w:rPr>
                <w:rFonts w:cs="Arial"/>
              </w:rPr>
              <w:t>89.5 (87.9</w:t>
            </w:r>
            <w:r w:rsidR="00BC369E" w:rsidRPr="001F3926">
              <w:rPr>
                <w:rFonts w:cs="Arial"/>
              </w:rPr>
              <w:t>, </w:t>
            </w:r>
            <w:r w:rsidRPr="001F3926">
              <w:rPr>
                <w:rFonts w:cs="Arial"/>
              </w:rPr>
              <w:t>90.9)</w:t>
            </w:r>
          </w:p>
        </w:tc>
        <w:tc>
          <w:tcPr>
            <w:tcW w:w="592" w:type="dxa"/>
            <w:tcBorders>
              <w:bottom w:val="single" w:sz="4" w:space="0" w:color="000000"/>
            </w:tcBorders>
          </w:tcPr>
          <w:p w14:paraId="4F8173D7" w14:textId="77777777" w:rsidR="007123C7" w:rsidRPr="001F3926" w:rsidRDefault="007123C7" w:rsidP="00E82294">
            <w:pPr>
              <w:pStyle w:val="TableText"/>
              <w:jc w:val="right"/>
            </w:pPr>
            <w:r w:rsidRPr="001F3926">
              <w:rPr>
                <w:rFonts w:cs="Arial"/>
              </w:rPr>
              <w:t>266</w:t>
            </w:r>
          </w:p>
        </w:tc>
        <w:tc>
          <w:tcPr>
            <w:tcW w:w="810" w:type="dxa"/>
            <w:tcBorders>
              <w:bottom w:val="single" w:sz="4" w:space="0" w:color="000000"/>
            </w:tcBorders>
          </w:tcPr>
          <w:p w14:paraId="3445E3A9" w14:textId="77777777" w:rsidR="007123C7" w:rsidRPr="001F3926" w:rsidRDefault="007123C7" w:rsidP="00E82294">
            <w:pPr>
              <w:pStyle w:val="TableText"/>
              <w:jc w:val="right"/>
            </w:pPr>
            <w:r w:rsidRPr="001F3926">
              <w:rPr>
                <w:rFonts w:cs="Arial"/>
              </w:rPr>
              <w:t>1532</w:t>
            </w:r>
          </w:p>
        </w:tc>
        <w:tc>
          <w:tcPr>
            <w:tcW w:w="887" w:type="dxa"/>
            <w:tcBorders>
              <w:bottom w:val="single" w:sz="4" w:space="0" w:color="000000"/>
            </w:tcBorders>
          </w:tcPr>
          <w:p w14:paraId="783B9B17" w14:textId="77777777" w:rsidR="007123C7" w:rsidRPr="001F3926" w:rsidRDefault="007123C7" w:rsidP="00E82294">
            <w:pPr>
              <w:pStyle w:val="TableText"/>
              <w:jc w:val="right"/>
            </w:pPr>
            <w:r w:rsidRPr="001F3926">
              <w:rPr>
                <w:rFonts w:cs="Arial"/>
              </w:rPr>
              <w:t>10.5 (9.1</w:t>
            </w:r>
            <w:r w:rsidR="00BC369E" w:rsidRPr="001F3926">
              <w:rPr>
                <w:rFonts w:cs="Arial"/>
              </w:rPr>
              <w:t>, </w:t>
            </w:r>
            <w:r w:rsidRPr="001F3926">
              <w:rPr>
                <w:rFonts w:cs="Arial"/>
              </w:rPr>
              <w:t>12.1)</w:t>
            </w:r>
          </w:p>
        </w:tc>
        <w:tc>
          <w:tcPr>
            <w:tcW w:w="643" w:type="dxa"/>
            <w:tcBorders>
              <w:bottom w:val="single" w:sz="4" w:space="0" w:color="000000"/>
            </w:tcBorders>
          </w:tcPr>
          <w:p w14:paraId="21B9B340" w14:textId="77777777" w:rsidR="007123C7" w:rsidRPr="001F3926" w:rsidRDefault="007123C7" w:rsidP="00E82294">
            <w:pPr>
              <w:pStyle w:val="TableText"/>
              <w:jc w:val="right"/>
            </w:pPr>
            <w:r w:rsidRPr="001F3926">
              <w:rPr>
                <w:rFonts w:cs="Arial"/>
              </w:rPr>
              <w:t>5506</w:t>
            </w:r>
          </w:p>
        </w:tc>
        <w:tc>
          <w:tcPr>
            <w:tcW w:w="810" w:type="dxa"/>
            <w:tcBorders>
              <w:bottom w:val="single" w:sz="4" w:space="0" w:color="000000"/>
            </w:tcBorders>
          </w:tcPr>
          <w:p w14:paraId="6C1E5552" w14:textId="77777777" w:rsidR="007123C7" w:rsidRPr="001F3926" w:rsidRDefault="007123C7" w:rsidP="00E82294">
            <w:pPr>
              <w:pStyle w:val="TableText"/>
              <w:jc w:val="right"/>
            </w:pPr>
            <w:r w:rsidRPr="001F3926">
              <w:rPr>
                <w:rFonts w:cs="Arial"/>
              </w:rPr>
              <w:t>37,532</w:t>
            </w:r>
          </w:p>
        </w:tc>
        <w:tc>
          <w:tcPr>
            <w:tcW w:w="836" w:type="dxa"/>
            <w:tcBorders>
              <w:bottom w:val="single" w:sz="4" w:space="0" w:color="000000"/>
            </w:tcBorders>
          </w:tcPr>
          <w:p w14:paraId="62BC1808" w14:textId="77777777" w:rsidR="007123C7" w:rsidRPr="001F3926" w:rsidRDefault="007123C7" w:rsidP="00E82294">
            <w:pPr>
              <w:pStyle w:val="TableText"/>
              <w:jc w:val="right"/>
              <w:rPr>
                <w:rFonts w:eastAsia="Times New Roman" w:cs="Arial"/>
              </w:rPr>
            </w:pPr>
            <w:r w:rsidRPr="001F3926">
              <w:rPr>
                <w:rFonts w:cs="Arial"/>
              </w:rPr>
              <w:t>91.8 (89.5</w:t>
            </w:r>
            <w:r w:rsidR="00BC369E" w:rsidRPr="001F3926">
              <w:rPr>
                <w:rFonts w:cs="Arial"/>
              </w:rPr>
              <w:t>, </w:t>
            </w:r>
            <w:r w:rsidRPr="001F3926">
              <w:rPr>
                <w:rFonts w:cs="Arial"/>
              </w:rPr>
              <w:t>93.6)</w:t>
            </w:r>
          </w:p>
        </w:tc>
        <w:tc>
          <w:tcPr>
            <w:tcW w:w="604" w:type="dxa"/>
            <w:tcBorders>
              <w:bottom w:val="single" w:sz="4" w:space="0" w:color="000000"/>
            </w:tcBorders>
          </w:tcPr>
          <w:p w14:paraId="64F2E4D0" w14:textId="77777777" w:rsidR="007123C7" w:rsidRPr="001F3926" w:rsidRDefault="007123C7" w:rsidP="00E82294">
            <w:pPr>
              <w:pStyle w:val="TableText"/>
              <w:jc w:val="right"/>
            </w:pPr>
            <w:r w:rsidRPr="001F3926">
              <w:rPr>
                <w:rFonts w:cs="Arial"/>
              </w:rPr>
              <w:t>603</w:t>
            </w:r>
          </w:p>
        </w:tc>
        <w:tc>
          <w:tcPr>
            <w:tcW w:w="810" w:type="dxa"/>
            <w:tcBorders>
              <w:bottom w:val="single" w:sz="4" w:space="0" w:color="000000"/>
            </w:tcBorders>
          </w:tcPr>
          <w:p w14:paraId="5540EDB5" w14:textId="77777777" w:rsidR="007123C7" w:rsidRPr="001F3926" w:rsidRDefault="007123C7" w:rsidP="00E82294">
            <w:pPr>
              <w:pStyle w:val="TableText"/>
              <w:jc w:val="right"/>
            </w:pPr>
            <w:r w:rsidRPr="001F3926">
              <w:rPr>
                <w:rFonts w:cs="Arial"/>
              </w:rPr>
              <w:t>3357</w:t>
            </w:r>
          </w:p>
        </w:tc>
        <w:tc>
          <w:tcPr>
            <w:tcW w:w="875" w:type="dxa"/>
            <w:tcBorders>
              <w:bottom w:val="single" w:sz="4" w:space="0" w:color="000000"/>
            </w:tcBorders>
          </w:tcPr>
          <w:p w14:paraId="36EC130B" w14:textId="77777777" w:rsidR="007123C7" w:rsidRPr="001F3926" w:rsidRDefault="007123C7" w:rsidP="00E82294">
            <w:pPr>
              <w:pStyle w:val="TableText"/>
              <w:jc w:val="right"/>
            </w:pPr>
            <w:r w:rsidRPr="001F3926">
              <w:rPr>
                <w:rFonts w:cs="Arial"/>
              </w:rPr>
              <w:t>8.2 (6.4</w:t>
            </w:r>
            <w:r w:rsidR="00BC369E" w:rsidRPr="001F3926">
              <w:rPr>
                <w:rFonts w:cs="Arial"/>
              </w:rPr>
              <w:t>, </w:t>
            </w:r>
            <w:r w:rsidRPr="001F3926">
              <w:rPr>
                <w:rFonts w:cs="Arial"/>
              </w:rPr>
              <w:t>10.5)</w:t>
            </w:r>
          </w:p>
        </w:tc>
      </w:tr>
      <w:tr w:rsidR="00BC369E" w:rsidRPr="001F3926" w14:paraId="4C7BB072"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bottom w:val="nil"/>
            </w:tcBorders>
          </w:tcPr>
          <w:p w14:paraId="2BF7D990" w14:textId="77777777" w:rsidR="007123C7" w:rsidRPr="001F3926" w:rsidRDefault="007123C7" w:rsidP="00E82294">
            <w:pPr>
              <w:pStyle w:val="TableText"/>
              <w:rPr>
                <w:b/>
                <w:bCs/>
                <w:color w:val="000000" w:themeColor="text1"/>
              </w:rPr>
            </w:pPr>
            <w:r w:rsidRPr="001F3926">
              <w:rPr>
                <w:b/>
              </w:rPr>
              <w:t>Probable anxiety/depression (K10)</w:t>
            </w:r>
          </w:p>
        </w:tc>
        <w:tc>
          <w:tcPr>
            <w:tcW w:w="540" w:type="dxa"/>
            <w:tcBorders>
              <w:top w:val="single" w:sz="4" w:space="0" w:color="000000"/>
              <w:bottom w:val="nil"/>
            </w:tcBorders>
          </w:tcPr>
          <w:p w14:paraId="5E6239C9" w14:textId="77777777" w:rsidR="007123C7" w:rsidRPr="001F3926" w:rsidRDefault="007123C7" w:rsidP="00E82294">
            <w:pPr>
              <w:pStyle w:val="TableText"/>
              <w:jc w:val="right"/>
            </w:pPr>
          </w:p>
        </w:tc>
        <w:tc>
          <w:tcPr>
            <w:tcW w:w="810" w:type="dxa"/>
            <w:tcBorders>
              <w:top w:val="single" w:sz="4" w:space="0" w:color="000000"/>
              <w:bottom w:val="nil"/>
            </w:tcBorders>
          </w:tcPr>
          <w:p w14:paraId="794FB101" w14:textId="77777777" w:rsidR="007123C7" w:rsidRPr="001F3926" w:rsidRDefault="007123C7" w:rsidP="00E82294">
            <w:pPr>
              <w:pStyle w:val="TableText"/>
              <w:jc w:val="right"/>
            </w:pPr>
          </w:p>
        </w:tc>
        <w:tc>
          <w:tcPr>
            <w:tcW w:w="938" w:type="dxa"/>
            <w:tcBorders>
              <w:top w:val="single" w:sz="4" w:space="0" w:color="000000"/>
              <w:bottom w:val="nil"/>
            </w:tcBorders>
          </w:tcPr>
          <w:p w14:paraId="01465D2B" w14:textId="77777777" w:rsidR="007123C7" w:rsidRPr="001F3926" w:rsidRDefault="007123C7" w:rsidP="00E82294">
            <w:pPr>
              <w:pStyle w:val="TableText"/>
              <w:jc w:val="right"/>
            </w:pPr>
          </w:p>
        </w:tc>
        <w:tc>
          <w:tcPr>
            <w:tcW w:w="592" w:type="dxa"/>
            <w:tcBorders>
              <w:top w:val="single" w:sz="4" w:space="0" w:color="000000"/>
              <w:bottom w:val="nil"/>
            </w:tcBorders>
          </w:tcPr>
          <w:p w14:paraId="0370DA05" w14:textId="77777777" w:rsidR="007123C7" w:rsidRPr="001F3926" w:rsidRDefault="007123C7" w:rsidP="00E82294">
            <w:pPr>
              <w:pStyle w:val="TableText"/>
              <w:jc w:val="right"/>
            </w:pPr>
          </w:p>
        </w:tc>
        <w:tc>
          <w:tcPr>
            <w:tcW w:w="810" w:type="dxa"/>
            <w:tcBorders>
              <w:top w:val="single" w:sz="4" w:space="0" w:color="000000"/>
              <w:bottom w:val="nil"/>
            </w:tcBorders>
          </w:tcPr>
          <w:p w14:paraId="1B68A96B" w14:textId="77777777" w:rsidR="007123C7" w:rsidRPr="001F3926" w:rsidRDefault="007123C7" w:rsidP="00E82294">
            <w:pPr>
              <w:pStyle w:val="TableText"/>
              <w:jc w:val="right"/>
            </w:pPr>
          </w:p>
        </w:tc>
        <w:tc>
          <w:tcPr>
            <w:tcW w:w="887" w:type="dxa"/>
            <w:tcBorders>
              <w:top w:val="single" w:sz="4" w:space="0" w:color="000000"/>
              <w:bottom w:val="nil"/>
            </w:tcBorders>
          </w:tcPr>
          <w:p w14:paraId="1938244E" w14:textId="77777777" w:rsidR="007123C7" w:rsidRPr="001F3926" w:rsidRDefault="007123C7" w:rsidP="00E82294">
            <w:pPr>
              <w:pStyle w:val="TableText"/>
              <w:jc w:val="right"/>
            </w:pPr>
          </w:p>
        </w:tc>
        <w:tc>
          <w:tcPr>
            <w:tcW w:w="643" w:type="dxa"/>
            <w:tcBorders>
              <w:top w:val="single" w:sz="4" w:space="0" w:color="000000"/>
              <w:bottom w:val="nil"/>
            </w:tcBorders>
          </w:tcPr>
          <w:p w14:paraId="19D581E4" w14:textId="77777777" w:rsidR="007123C7" w:rsidRPr="001F3926" w:rsidRDefault="007123C7" w:rsidP="00E82294">
            <w:pPr>
              <w:pStyle w:val="TableText"/>
              <w:jc w:val="right"/>
            </w:pPr>
          </w:p>
        </w:tc>
        <w:tc>
          <w:tcPr>
            <w:tcW w:w="810" w:type="dxa"/>
            <w:tcBorders>
              <w:top w:val="single" w:sz="4" w:space="0" w:color="000000"/>
              <w:bottom w:val="nil"/>
            </w:tcBorders>
          </w:tcPr>
          <w:p w14:paraId="2EE4D6D7" w14:textId="77777777" w:rsidR="007123C7" w:rsidRPr="001F3926" w:rsidRDefault="007123C7" w:rsidP="00E82294">
            <w:pPr>
              <w:pStyle w:val="TableText"/>
              <w:jc w:val="right"/>
            </w:pPr>
          </w:p>
        </w:tc>
        <w:tc>
          <w:tcPr>
            <w:tcW w:w="836" w:type="dxa"/>
            <w:tcBorders>
              <w:top w:val="single" w:sz="4" w:space="0" w:color="000000"/>
              <w:bottom w:val="nil"/>
            </w:tcBorders>
          </w:tcPr>
          <w:p w14:paraId="1C12D17C" w14:textId="77777777" w:rsidR="007123C7" w:rsidRPr="001F3926" w:rsidRDefault="007123C7" w:rsidP="00E82294">
            <w:pPr>
              <w:pStyle w:val="TableText"/>
              <w:jc w:val="right"/>
            </w:pPr>
          </w:p>
        </w:tc>
        <w:tc>
          <w:tcPr>
            <w:tcW w:w="604" w:type="dxa"/>
            <w:tcBorders>
              <w:top w:val="single" w:sz="4" w:space="0" w:color="000000"/>
              <w:bottom w:val="nil"/>
            </w:tcBorders>
          </w:tcPr>
          <w:p w14:paraId="18FB35F0" w14:textId="77777777" w:rsidR="007123C7" w:rsidRPr="001F3926" w:rsidRDefault="007123C7" w:rsidP="00E82294">
            <w:pPr>
              <w:pStyle w:val="TableText"/>
              <w:jc w:val="right"/>
            </w:pPr>
          </w:p>
        </w:tc>
        <w:tc>
          <w:tcPr>
            <w:tcW w:w="810" w:type="dxa"/>
            <w:tcBorders>
              <w:top w:val="single" w:sz="4" w:space="0" w:color="000000"/>
              <w:bottom w:val="nil"/>
            </w:tcBorders>
          </w:tcPr>
          <w:p w14:paraId="7850F6A3" w14:textId="77777777" w:rsidR="007123C7" w:rsidRPr="001F3926" w:rsidRDefault="007123C7" w:rsidP="00E82294">
            <w:pPr>
              <w:pStyle w:val="TableText"/>
              <w:jc w:val="right"/>
            </w:pPr>
          </w:p>
        </w:tc>
        <w:tc>
          <w:tcPr>
            <w:tcW w:w="875" w:type="dxa"/>
            <w:tcBorders>
              <w:top w:val="single" w:sz="4" w:space="0" w:color="000000"/>
              <w:bottom w:val="nil"/>
            </w:tcBorders>
          </w:tcPr>
          <w:p w14:paraId="5512C77C" w14:textId="77777777" w:rsidR="007123C7" w:rsidRPr="001F3926" w:rsidRDefault="007123C7" w:rsidP="00E82294">
            <w:pPr>
              <w:pStyle w:val="TableText"/>
              <w:jc w:val="right"/>
            </w:pPr>
          </w:p>
        </w:tc>
      </w:tr>
      <w:tr w:rsidR="00BC369E" w:rsidRPr="001F3926" w14:paraId="48579C84" w14:textId="77777777" w:rsidTr="00BC369E">
        <w:trPr>
          <w:cantSplit/>
        </w:trPr>
        <w:tc>
          <w:tcPr>
            <w:tcW w:w="2365" w:type="dxa"/>
            <w:tcBorders>
              <w:top w:val="nil"/>
            </w:tcBorders>
          </w:tcPr>
          <w:p w14:paraId="402CDB6F" w14:textId="77777777" w:rsidR="007123C7" w:rsidRPr="001F3926" w:rsidRDefault="007123C7" w:rsidP="00E82294">
            <w:pPr>
              <w:pStyle w:val="TableText"/>
              <w:rPr>
                <w:bCs/>
                <w:color w:val="000000" w:themeColor="text1"/>
              </w:rPr>
            </w:pPr>
            <w:r w:rsidRPr="001F3926">
              <w:t xml:space="preserve">Probable disorder </w:t>
            </w:r>
          </w:p>
        </w:tc>
        <w:tc>
          <w:tcPr>
            <w:tcW w:w="540" w:type="dxa"/>
            <w:tcBorders>
              <w:top w:val="nil"/>
            </w:tcBorders>
          </w:tcPr>
          <w:p w14:paraId="13EAF8E2" w14:textId="77777777" w:rsidR="007123C7" w:rsidRPr="001F3926" w:rsidRDefault="007123C7" w:rsidP="00E82294">
            <w:pPr>
              <w:pStyle w:val="TableText"/>
              <w:jc w:val="right"/>
            </w:pPr>
            <w:r w:rsidRPr="001F3926">
              <w:rPr>
                <w:rFonts w:cs="Arial"/>
              </w:rPr>
              <w:t>622</w:t>
            </w:r>
          </w:p>
        </w:tc>
        <w:tc>
          <w:tcPr>
            <w:tcW w:w="810" w:type="dxa"/>
            <w:tcBorders>
              <w:top w:val="nil"/>
            </w:tcBorders>
          </w:tcPr>
          <w:p w14:paraId="385ABB7C" w14:textId="77777777" w:rsidR="007123C7" w:rsidRPr="001F3926" w:rsidRDefault="007123C7" w:rsidP="00E82294">
            <w:pPr>
              <w:pStyle w:val="TableText"/>
              <w:jc w:val="right"/>
            </w:pPr>
            <w:r w:rsidRPr="001F3926">
              <w:rPr>
                <w:rFonts w:cs="Arial"/>
              </w:rPr>
              <w:t>4734</w:t>
            </w:r>
          </w:p>
        </w:tc>
        <w:tc>
          <w:tcPr>
            <w:tcW w:w="938" w:type="dxa"/>
            <w:tcBorders>
              <w:top w:val="nil"/>
            </w:tcBorders>
          </w:tcPr>
          <w:p w14:paraId="0BD76588" w14:textId="77777777" w:rsidR="007123C7" w:rsidRPr="001F3926" w:rsidRDefault="007123C7" w:rsidP="00E82294">
            <w:pPr>
              <w:pStyle w:val="TableText"/>
              <w:jc w:val="right"/>
            </w:pPr>
            <w:r w:rsidRPr="001F3926">
              <w:rPr>
                <w:rFonts w:cs="Arial"/>
              </w:rPr>
              <w:t>69.9 (66.6</w:t>
            </w:r>
            <w:r w:rsidR="00BC369E" w:rsidRPr="001F3926">
              <w:rPr>
                <w:rFonts w:cs="Arial"/>
              </w:rPr>
              <w:t>, </w:t>
            </w:r>
            <w:r w:rsidRPr="001F3926">
              <w:rPr>
                <w:rFonts w:cs="Arial"/>
              </w:rPr>
              <w:t>73.1)</w:t>
            </w:r>
          </w:p>
        </w:tc>
        <w:tc>
          <w:tcPr>
            <w:tcW w:w="592" w:type="dxa"/>
            <w:tcBorders>
              <w:top w:val="nil"/>
            </w:tcBorders>
          </w:tcPr>
          <w:p w14:paraId="615ED1F2" w14:textId="77777777" w:rsidR="007123C7" w:rsidRPr="001F3926" w:rsidRDefault="007123C7" w:rsidP="00E82294">
            <w:pPr>
              <w:pStyle w:val="TableText"/>
              <w:jc w:val="right"/>
            </w:pPr>
            <w:r w:rsidRPr="001F3926">
              <w:rPr>
                <w:rFonts w:cs="Arial"/>
              </w:rPr>
              <w:t>357</w:t>
            </w:r>
          </w:p>
        </w:tc>
        <w:tc>
          <w:tcPr>
            <w:tcW w:w="810" w:type="dxa"/>
            <w:tcBorders>
              <w:top w:val="nil"/>
            </w:tcBorders>
          </w:tcPr>
          <w:p w14:paraId="0DA90BF5" w14:textId="77777777" w:rsidR="007123C7" w:rsidRPr="001F3926" w:rsidRDefault="007123C7" w:rsidP="00E82294">
            <w:pPr>
              <w:pStyle w:val="TableText"/>
              <w:jc w:val="right"/>
            </w:pPr>
            <w:r w:rsidRPr="001F3926">
              <w:rPr>
                <w:rFonts w:cs="Arial"/>
              </w:rPr>
              <w:t>2036</w:t>
            </w:r>
          </w:p>
        </w:tc>
        <w:tc>
          <w:tcPr>
            <w:tcW w:w="887" w:type="dxa"/>
            <w:tcBorders>
              <w:top w:val="nil"/>
            </w:tcBorders>
          </w:tcPr>
          <w:p w14:paraId="293C5DB8" w14:textId="77777777" w:rsidR="007123C7" w:rsidRPr="001F3926" w:rsidRDefault="007123C7" w:rsidP="00E82294">
            <w:pPr>
              <w:pStyle w:val="TableText"/>
              <w:jc w:val="right"/>
            </w:pPr>
            <w:r w:rsidRPr="001F3926">
              <w:rPr>
                <w:rFonts w:cs="Arial"/>
              </w:rPr>
              <w:t>30.1 (26.9</w:t>
            </w:r>
            <w:r w:rsidR="00BC369E" w:rsidRPr="001F3926">
              <w:rPr>
                <w:rFonts w:cs="Arial"/>
              </w:rPr>
              <w:t>, </w:t>
            </w:r>
            <w:r w:rsidRPr="001F3926">
              <w:rPr>
                <w:rFonts w:cs="Arial"/>
              </w:rPr>
              <w:t>33.4)</w:t>
            </w:r>
          </w:p>
        </w:tc>
        <w:tc>
          <w:tcPr>
            <w:tcW w:w="643" w:type="dxa"/>
            <w:tcBorders>
              <w:top w:val="nil"/>
            </w:tcBorders>
          </w:tcPr>
          <w:p w14:paraId="0BE419AA" w14:textId="77777777" w:rsidR="007123C7" w:rsidRPr="001F3926" w:rsidRDefault="007123C7" w:rsidP="00E82294">
            <w:pPr>
              <w:pStyle w:val="TableText"/>
              <w:jc w:val="right"/>
            </w:pPr>
            <w:r w:rsidRPr="001F3926">
              <w:rPr>
                <w:rFonts w:cs="Arial"/>
              </w:rPr>
              <w:t>706</w:t>
            </w:r>
          </w:p>
        </w:tc>
        <w:tc>
          <w:tcPr>
            <w:tcW w:w="810" w:type="dxa"/>
            <w:tcBorders>
              <w:top w:val="nil"/>
            </w:tcBorders>
          </w:tcPr>
          <w:p w14:paraId="48B93C9D" w14:textId="77777777" w:rsidR="007123C7" w:rsidRPr="001F3926" w:rsidRDefault="007123C7" w:rsidP="00E82294">
            <w:pPr>
              <w:pStyle w:val="TableText"/>
              <w:jc w:val="right"/>
            </w:pPr>
            <w:r w:rsidRPr="001F3926">
              <w:rPr>
                <w:rFonts w:cs="Arial"/>
              </w:rPr>
              <w:t>6071</w:t>
            </w:r>
          </w:p>
        </w:tc>
        <w:tc>
          <w:tcPr>
            <w:tcW w:w="836" w:type="dxa"/>
            <w:tcBorders>
              <w:top w:val="nil"/>
            </w:tcBorders>
          </w:tcPr>
          <w:p w14:paraId="0557332C" w14:textId="77777777" w:rsidR="007123C7" w:rsidRPr="001F3926" w:rsidRDefault="007123C7" w:rsidP="00E82294">
            <w:pPr>
              <w:pStyle w:val="TableText"/>
              <w:jc w:val="right"/>
            </w:pPr>
            <w:r w:rsidRPr="001F3926">
              <w:rPr>
                <w:rFonts w:cs="Arial"/>
              </w:rPr>
              <w:t>82.2 (74.2</w:t>
            </w:r>
            <w:r w:rsidR="00BC369E" w:rsidRPr="001F3926">
              <w:rPr>
                <w:rFonts w:cs="Arial"/>
              </w:rPr>
              <w:t>, </w:t>
            </w:r>
            <w:r w:rsidRPr="001F3926">
              <w:rPr>
                <w:rFonts w:cs="Arial"/>
              </w:rPr>
              <w:t>88.1)</w:t>
            </w:r>
          </w:p>
        </w:tc>
        <w:tc>
          <w:tcPr>
            <w:tcW w:w="604" w:type="dxa"/>
            <w:tcBorders>
              <w:top w:val="nil"/>
            </w:tcBorders>
          </w:tcPr>
          <w:p w14:paraId="7D52D42E" w14:textId="77777777" w:rsidR="007123C7" w:rsidRPr="001F3926" w:rsidRDefault="007123C7" w:rsidP="00E82294">
            <w:pPr>
              <w:pStyle w:val="TableText"/>
              <w:jc w:val="right"/>
            </w:pPr>
            <w:r w:rsidRPr="001F3926">
              <w:rPr>
                <w:rFonts w:cs="Arial"/>
              </w:rPr>
              <w:t>225</w:t>
            </w:r>
          </w:p>
        </w:tc>
        <w:tc>
          <w:tcPr>
            <w:tcW w:w="810" w:type="dxa"/>
            <w:tcBorders>
              <w:top w:val="nil"/>
            </w:tcBorders>
          </w:tcPr>
          <w:p w14:paraId="6DA2E790" w14:textId="77777777" w:rsidR="007123C7" w:rsidRPr="001F3926" w:rsidRDefault="007123C7" w:rsidP="00E82294">
            <w:pPr>
              <w:pStyle w:val="TableText"/>
              <w:jc w:val="right"/>
            </w:pPr>
            <w:r w:rsidRPr="001F3926">
              <w:rPr>
                <w:rFonts w:cs="Arial"/>
              </w:rPr>
              <w:t>1315</w:t>
            </w:r>
          </w:p>
        </w:tc>
        <w:tc>
          <w:tcPr>
            <w:tcW w:w="875" w:type="dxa"/>
            <w:tcBorders>
              <w:top w:val="nil"/>
            </w:tcBorders>
          </w:tcPr>
          <w:p w14:paraId="1D9A6D16" w14:textId="77777777" w:rsidR="007123C7" w:rsidRPr="001F3926" w:rsidRDefault="007123C7" w:rsidP="00E82294">
            <w:pPr>
              <w:pStyle w:val="TableText"/>
              <w:jc w:val="right"/>
            </w:pPr>
            <w:r w:rsidRPr="001F3926">
              <w:rPr>
                <w:rFonts w:cs="Arial"/>
              </w:rPr>
              <w:t>17.8 (11.9</w:t>
            </w:r>
            <w:r w:rsidR="00BC369E" w:rsidRPr="001F3926">
              <w:rPr>
                <w:rFonts w:cs="Arial"/>
              </w:rPr>
              <w:t>, </w:t>
            </w:r>
            <w:r w:rsidRPr="001F3926">
              <w:rPr>
                <w:rFonts w:cs="Arial"/>
              </w:rPr>
              <w:t>25.8)</w:t>
            </w:r>
          </w:p>
        </w:tc>
      </w:tr>
      <w:tr w:rsidR="00BC369E" w:rsidRPr="001F3926" w14:paraId="38B26059"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Pr>
          <w:p w14:paraId="641C3E48" w14:textId="77777777" w:rsidR="007123C7" w:rsidRPr="001F3926" w:rsidRDefault="007155C2" w:rsidP="00E82294">
            <w:pPr>
              <w:pStyle w:val="TableText"/>
              <w:rPr>
                <w:bCs/>
                <w:color w:val="000000" w:themeColor="text1"/>
              </w:rPr>
            </w:pPr>
            <w:r>
              <w:t>Subsyndromal</w:t>
            </w:r>
            <w:r w:rsidR="007123C7" w:rsidRPr="001F3926">
              <w:t xml:space="preserve"> disorder </w:t>
            </w:r>
          </w:p>
        </w:tc>
        <w:tc>
          <w:tcPr>
            <w:tcW w:w="540" w:type="dxa"/>
          </w:tcPr>
          <w:p w14:paraId="2A8E3131" w14:textId="77777777" w:rsidR="007123C7" w:rsidRPr="001F3926" w:rsidRDefault="007123C7" w:rsidP="00E82294">
            <w:pPr>
              <w:pStyle w:val="TableText"/>
              <w:jc w:val="right"/>
            </w:pPr>
            <w:r w:rsidRPr="001F3926">
              <w:rPr>
                <w:rFonts w:cs="Arial"/>
              </w:rPr>
              <w:t>561</w:t>
            </w:r>
          </w:p>
        </w:tc>
        <w:tc>
          <w:tcPr>
            <w:tcW w:w="810" w:type="dxa"/>
          </w:tcPr>
          <w:p w14:paraId="2C01E0E5" w14:textId="77777777" w:rsidR="007123C7" w:rsidRPr="001F3926" w:rsidRDefault="007123C7" w:rsidP="00E82294">
            <w:pPr>
              <w:pStyle w:val="TableText"/>
              <w:jc w:val="right"/>
            </w:pPr>
            <w:r w:rsidRPr="001F3926">
              <w:rPr>
                <w:rFonts w:cs="Arial"/>
              </w:rPr>
              <w:t>3802</w:t>
            </w:r>
          </w:p>
        </w:tc>
        <w:tc>
          <w:tcPr>
            <w:tcW w:w="938" w:type="dxa"/>
          </w:tcPr>
          <w:p w14:paraId="5F1D7E97" w14:textId="77777777" w:rsidR="007123C7" w:rsidRPr="001F3926" w:rsidRDefault="007123C7" w:rsidP="00E82294">
            <w:pPr>
              <w:pStyle w:val="TableText"/>
              <w:jc w:val="right"/>
            </w:pPr>
            <w:r w:rsidRPr="001F3926">
              <w:rPr>
                <w:rFonts w:cs="Arial"/>
              </w:rPr>
              <w:t>76.0 (72.1</w:t>
            </w:r>
            <w:r w:rsidR="00BC369E" w:rsidRPr="001F3926">
              <w:rPr>
                <w:rFonts w:cs="Arial"/>
              </w:rPr>
              <w:t>, </w:t>
            </w:r>
            <w:r w:rsidRPr="001F3926">
              <w:rPr>
                <w:rFonts w:cs="Arial"/>
              </w:rPr>
              <w:t>79.4)</w:t>
            </w:r>
          </w:p>
        </w:tc>
        <w:tc>
          <w:tcPr>
            <w:tcW w:w="592" w:type="dxa"/>
          </w:tcPr>
          <w:p w14:paraId="098E590D" w14:textId="77777777" w:rsidR="007123C7" w:rsidRPr="001F3926" w:rsidRDefault="007123C7" w:rsidP="00E82294">
            <w:pPr>
              <w:pStyle w:val="TableText"/>
              <w:jc w:val="right"/>
            </w:pPr>
            <w:r w:rsidRPr="001F3926">
              <w:rPr>
                <w:rFonts w:cs="Arial"/>
              </w:rPr>
              <w:t>208</w:t>
            </w:r>
          </w:p>
        </w:tc>
        <w:tc>
          <w:tcPr>
            <w:tcW w:w="810" w:type="dxa"/>
          </w:tcPr>
          <w:p w14:paraId="34FAF44E" w14:textId="77777777" w:rsidR="007123C7" w:rsidRPr="001F3926" w:rsidRDefault="007123C7" w:rsidP="00E82294">
            <w:pPr>
              <w:pStyle w:val="TableText"/>
              <w:jc w:val="right"/>
            </w:pPr>
            <w:r w:rsidRPr="001F3926">
              <w:rPr>
                <w:rFonts w:cs="Arial"/>
              </w:rPr>
              <w:t>1203</w:t>
            </w:r>
          </w:p>
        </w:tc>
        <w:tc>
          <w:tcPr>
            <w:tcW w:w="887" w:type="dxa"/>
          </w:tcPr>
          <w:p w14:paraId="1A7B311A" w14:textId="77777777" w:rsidR="007123C7" w:rsidRPr="001F3926" w:rsidRDefault="007123C7" w:rsidP="00E82294">
            <w:pPr>
              <w:pStyle w:val="TableText"/>
              <w:jc w:val="right"/>
            </w:pPr>
            <w:r w:rsidRPr="001F3926">
              <w:rPr>
                <w:rFonts w:cs="Arial"/>
              </w:rPr>
              <w:t>24.0 (20.6</w:t>
            </w:r>
            <w:r w:rsidR="00BC369E" w:rsidRPr="001F3926">
              <w:rPr>
                <w:rFonts w:cs="Arial"/>
              </w:rPr>
              <w:t>, </w:t>
            </w:r>
            <w:r w:rsidRPr="001F3926">
              <w:rPr>
                <w:rFonts w:cs="Arial"/>
              </w:rPr>
              <w:t>27.9)</w:t>
            </w:r>
          </w:p>
        </w:tc>
        <w:tc>
          <w:tcPr>
            <w:tcW w:w="643" w:type="dxa"/>
          </w:tcPr>
          <w:p w14:paraId="031760FB" w14:textId="77777777" w:rsidR="007123C7" w:rsidRPr="001F3926" w:rsidRDefault="007123C7" w:rsidP="00E82294">
            <w:pPr>
              <w:pStyle w:val="TableText"/>
              <w:jc w:val="right"/>
            </w:pPr>
            <w:r w:rsidRPr="001F3926">
              <w:rPr>
                <w:rFonts w:cs="Arial"/>
              </w:rPr>
              <w:t>1057</w:t>
            </w:r>
          </w:p>
        </w:tc>
        <w:tc>
          <w:tcPr>
            <w:tcW w:w="810" w:type="dxa"/>
          </w:tcPr>
          <w:p w14:paraId="32F028F1" w14:textId="77777777" w:rsidR="007123C7" w:rsidRPr="001F3926" w:rsidRDefault="007123C7" w:rsidP="00E82294">
            <w:pPr>
              <w:pStyle w:val="TableText"/>
              <w:jc w:val="right"/>
            </w:pPr>
            <w:r w:rsidRPr="001F3926">
              <w:rPr>
                <w:rFonts w:cs="Arial"/>
              </w:rPr>
              <w:t>8005</w:t>
            </w:r>
          </w:p>
        </w:tc>
        <w:tc>
          <w:tcPr>
            <w:tcW w:w="836" w:type="dxa"/>
          </w:tcPr>
          <w:p w14:paraId="425F8264" w14:textId="77777777" w:rsidR="007123C7" w:rsidRPr="001F3926" w:rsidRDefault="007123C7" w:rsidP="00E82294">
            <w:pPr>
              <w:pStyle w:val="TableText"/>
              <w:jc w:val="right"/>
            </w:pPr>
            <w:r w:rsidRPr="001F3926">
              <w:rPr>
                <w:rFonts w:cs="Arial"/>
              </w:rPr>
              <w:t>84.8 (78.0</w:t>
            </w:r>
            <w:r w:rsidR="00BC369E" w:rsidRPr="001F3926">
              <w:rPr>
                <w:rFonts w:cs="Arial"/>
              </w:rPr>
              <w:t>, </w:t>
            </w:r>
            <w:r w:rsidRPr="001F3926">
              <w:rPr>
                <w:rFonts w:cs="Arial"/>
              </w:rPr>
              <w:t>89.8)</w:t>
            </w:r>
          </w:p>
        </w:tc>
        <w:tc>
          <w:tcPr>
            <w:tcW w:w="604" w:type="dxa"/>
          </w:tcPr>
          <w:p w14:paraId="651A02D4" w14:textId="77777777" w:rsidR="007123C7" w:rsidRPr="001F3926" w:rsidRDefault="007123C7" w:rsidP="00E82294">
            <w:pPr>
              <w:pStyle w:val="TableText"/>
              <w:jc w:val="right"/>
            </w:pPr>
            <w:r w:rsidRPr="001F3926">
              <w:rPr>
                <w:rFonts w:cs="Arial"/>
              </w:rPr>
              <w:t>264</w:t>
            </w:r>
          </w:p>
        </w:tc>
        <w:tc>
          <w:tcPr>
            <w:tcW w:w="810" w:type="dxa"/>
          </w:tcPr>
          <w:p w14:paraId="31EB6A50" w14:textId="77777777" w:rsidR="007123C7" w:rsidRPr="001F3926" w:rsidRDefault="007123C7" w:rsidP="00E82294">
            <w:pPr>
              <w:pStyle w:val="TableText"/>
              <w:jc w:val="right"/>
            </w:pPr>
            <w:r w:rsidRPr="001F3926">
              <w:rPr>
                <w:rFonts w:cs="Arial"/>
              </w:rPr>
              <w:t>1431</w:t>
            </w:r>
          </w:p>
        </w:tc>
        <w:tc>
          <w:tcPr>
            <w:tcW w:w="875" w:type="dxa"/>
          </w:tcPr>
          <w:p w14:paraId="2F5A5D19" w14:textId="77777777" w:rsidR="007123C7" w:rsidRPr="001F3926" w:rsidRDefault="007123C7" w:rsidP="00E82294">
            <w:pPr>
              <w:pStyle w:val="TableText"/>
              <w:jc w:val="right"/>
            </w:pPr>
            <w:r w:rsidRPr="001F3926">
              <w:rPr>
                <w:rFonts w:cs="Arial"/>
              </w:rPr>
              <w:t>15.2 (10.2</w:t>
            </w:r>
            <w:r w:rsidR="00BC369E" w:rsidRPr="001F3926">
              <w:rPr>
                <w:rFonts w:cs="Arial"/>
              </w:rPr>
              <w:t>, </w:t>
            </w:r>
            <w:r w:rsidRPr="001F3926">
              <w:rPr>
                <w:rFonts w:cs="Arial"/>
              </w:rPr>
              <w:t>22.0)</w:t>
            </w:r>
          </w:p>
        </w:tc>
      </w:tr>
      <w:tr w:rsidR="00BC369E" w:rsidRPr="001F3926" w14:paraId="2C8313B4" w14:textId="77777777" w:rsidTr="00BC369E">
        <w:trPr>
          <w:cantSplit/>
        </w:trPr>
        <w:tc>
          <w:tcPr>
            <w:tcW w:w="2365" w:type="dxa"/>
            <w:tcBorders>
              <w:bottom w:val="single" w:sz="4" w:space="0" w:color="000000"/>
            </w:tcBorders>
          </w:tcPr>
          <w:p w14:paraId="2E270F20" w14:textId="77777777" w:rsidR="007123C7" w:rsidRPr="001F3926" w:rsidRDefault="007123C7" w:rsidP="00E82294">
            <w:pPr>
              <w:pStyle w:val="TableText"/>
            </w:pPr>
            <w:r w:rsidRPr="001F3926">
              <w:t>No disorder</w:t>
            </w:r>
          </w:p>
        </w:tc>
        <w:tc>
          <w:tcPr>
            <w:tcW w:w="540" w:type="dxa"/>
            <w:tcBorders>
              <w:bottom w:val="single" w:sz="4" w:space="0" w:color="000000"/>
            </w:tcBorders>
          </w:tcPr>
          <w:p w14:paraId="2B7BFB78" w14:textId="77777777" w:rsidR="007123C7" w:rsidRPr="001F3926" w:rsidRDefault="007123C7" w:rsidP="00E82294">
            <w:pPr>
              <w:pStyle w:val="TableText"/>
              <w:jc w:val="right"/>
            </w:pPr>
            <w:r w:rsidRPr="001F3926">
              <w:rPr>
                <w:rFonts w:cs="Arial"/>
              </w:rPr>
              <w:t>1749</w:t>
            </w:r>
          </w:p>
        </w:tc>
        <w:tc>
          <w:tcPr>
            <w:tcW w:w="810" w:type="dxa"/>
            <w:tcBorders>
              <w:bottom w:val="single" w:sz="4" w:space="0" w:color="000000"/>
            </w:tcBorders>
          </w:tcPr>
          <w:p w14:paraId="4E6AF0F3" w14:textId="77777777" w:rsidR="007123C7" w:rsidRPr="001F3926" w:rsidRDefault="007123C7" w:rsidP="00E82294">
            <w:pPr>
              <w:pStyle w:val="TableText"/>
              <w:jc w:val="right"/>
            </w:pPr>
            <w:r w:rsidRPr="001F3926">
              <w:rPr>
                <w:rFonts w:cs="Arial"/>
              </w:rPr>
              <w:t>11,564</w:t>
            </w:r>
          </w:p>
        </w:tc>
        <w:tc>
          <w:tcPr>
            <w:tcW w:w="938" w:type="dxa"/>
            <w:tcBorders>
              <w:bottom w:val="single" w:sz="4" w:space="0" w:color="000000"/>
            </w:tcBorders>
          </w:tcPr>
          <w:p w14:paraId="77AA899E" w14:textId="77777777" w:rsidR="007123C7" w:rsidRPr="001F3926" w:rsidRDefault="007123C7" w:rsidP="00E82294">
            <w:pPr>
              <w:pStyle w:val="TableText"/>
              <w:jc w:val="right"/>
            </w:pPr>
            <w:r w:rsidRPr="001F3926">
              <w:rPr>
                <w:rFonts w:cs="Arial"/>
              </w:rPr>
              <w:t>88.9 (87.2</w:t>
            </w:r>
            <w:r w:rsidR="00BC369E" w:rsidRPr="001F3926">
              <w:rPr>
                <w:rFonts w:cs="Arial"/>
              </w:rPr>
              <w:t>, </w:t>
            </w:r>
            <w:r w:rsidRPr="001F3926">
              <w:rPr>
                <w:rFonts w:cs="Arial"/>
              </w:rPr>
              <w:t>90.4)</w:t>
            </w:r>
          </w:p>
        </w:tc>
        <w:tc>
          <w:tcPr>
            <w:tcW w:w="592" w:type="dxa"/>
            <w:tcBorders>
              <w:bottom w:val="single" w:sz="4" w:space="0" w:color="000000"/>
            </w:tcBorders>
          </w:tcPr>
          <w:p w14:paraId="646E6F74" w14:textId="77777777" w:rsidR="007123C7" w:rsidRPr="001F3926" w:rsidRDefault="007123C7" w:rsidP="00E82294">
            <w:pPr>
              <w:pStyle w:val="TableText"/>
              <w:jc w:val="right"/>
            </w:pPr>
            <w:r w:rsidRPr="001F3926">
              <w:rPr>
                <w:rFonts w:cs="Arial"/>
              </w:rPr>
              <w:t>258</w:t>
            </w:r>
          </w:p>
        </w:tc>
        <w:tc>
          <w:tcPr>
            <w:tcW w:w="810" w:type="dxa"/>
            <w:tcBorders>
              <w:bottom w:val="single" w:sz="4" w:space="0" w:color="000000"/>
            </w:tcBorders>
          </w:tcPr>
          <w:p w14:paraId="7BB6951F" w14:textId="77777777" w:rsidR="007123C7" w:rsidRPr="001F3926" w:rsidRDefault="007123C7" w:rsidP="00E82294">
            <w:pPr>
              <w:pStyle w:val="TableText"/>
              <w:jc w:val="right"/>
            </w:pPr>
            <w:r w:rsidRPr="001F3926">
              <w:rPr>
                <w:rFonts w:cs="Arial"/>
              </w:rPr>
              <w:t>1440</w:t>
            </w:r>
          </w:p>
        </w:tc>
        <w:tc>
          <w:tcPr>
            <w:tcW w:w="887" w:type="dxa"/>
            <w:tcBorders>
              <w:bottom w:val="single" w:sz="4" w:space="0" w:color="000000"/>
            </w:tcBorders>
          </w:tcPr>
          <w:p w14:paraId="2683BA41" w14:textId="77777777" w:rsidR="007123C7" w:rsidRPr="001F3926" w:rsidRDefault="007123C7" w:rsidP="00E82294">
            <w:pPr>
              <w:pStyle w:val="TableText"/>
              <w:jc w:val="right"/>
            </w:pPr>
            <w:r w:rsidRPr="001F3926">
              <w:rPr>
                <w:rFonts w:cs="Arial"/>
              </w:rPr>
              <w:t>11.1 (9.6</w:t>
            </w:r>
            <w:r w:rsidR="00BC369E" w:rsidRPr="001F3926">
              <w:rPr>
                <w:rFonts w:cs="Arial"/>
              </w:rPr>
              <w:t>, </w:t>
            </w:r>
            <w:r w:rsidRPr="001F3926">
              <w:rPr>
                <w:rFonts w:cs="Arial"/>
              </w:rPr>
              <w:t>12.8)</w:t>
            </w:r>
          </w:p>
        </w:tc>
        <w:tc>
          <w:tcPr>
            <w:tcW w:w="643" w:type="dxa"/>
            <w:tcBorders>
              <w:bottom w:val="single" w:sz="4" w:space="0" w:color="000000"/>
            </w:tcBorders>
          </w:tcPr>
          <w:p w14:paraId="268D09FC" w14:textId="77777777" w:rsidR="007123C7" w:rsidRPr="001F3926" w:rsidRDefault="007123C7" w:rsidP="00E82294">
            <w:pPr>
              <w:pStyle w:val="TableText"/>
              <w:jc w:val="right"/>
            </w:pPr>
            <w:r w:rsidRPr="001F3926">
              <w:rPr>
                <w:rFonts w:cs="Arial"/>
              </w:rPr>
              <w:t>4871</w:t>
            </w:r>
          </w:p>
        </w:tc>
        <w:tc>
          <w:tcPr>
            <w:tcW w:w="810" w:type="dxa"/>
            <w:tcBorders>
              <w:bottom w:val="single" w:sz="4" w:space="0" w:color="000000"/>
            </w:tcBorders>
          </w:tcPr>
          <w:p w14:paraId="0BC4CF22" w14:textId="77777777" w:rsidR="007123C7" w:rsidRPr="001F3926" w:rsidRDefault="007123C7" w:rsidP="00E82294">
            <w:pPr>
              <w:pStyle w:val="TableText"/>
              <w:jc w:val="right"/>
            </w:pPr>
            <w:r w:rsidRPr="001F3926">
              <w:rPr>
                <w:rFonts w:cs="Arial"/>
              </w:rPr>
              <w:t>32,178</w:t>
            </w:r>
          </w:p>
        </w:tc>
        <w:tc>
          <w:tcPr>
            <w:tcW w:w="836" w:type="dxa"/>
            <w:tcBorders>
              <w:bottom w:val="single" w:sz="4" w:space="0" w:color="000000"/>
            </w:tcBorders>
          </w:tcPr>
          <w:p w14:paraId="184B02E0" w14:textId="77777777" w:rsidR="007123C7" w:rsidRPr="001F3926" w:rsidRDefault="007123C7" w:rsidP="00E82294">
            <w:pPr>
              <w:pStyle w:val="TableText"/>
              <w:jc w:val="right"/>
            </w:pPr>
            <w:r w:rsidRPr="001F3926">
              <w:rPr>
                <w:rFonts w:cs="Arial"/>
              </w:rPr>
              <w:t>91.8 (89.8</w:t>
            </w:r>
            <w:r w:rsidR="00BC369E" w:rsidRPr="001F3926">
              <w:rPr>
                <w:rFonts w:cs="Arial"/>
              </w:rPr>
              <w:t>, </w:t>
            </w:r>
            <w:r w:rsidRPr="001F3926">
              <w:rPr>
                <w:rFonts w:cs="Arial"/>
              </w:rPr>
              <w:t>93.5)</w:t>
            </w:r>
          </w:p>
        </w:tc>
        <w:tc>
          <w:tcPr>
            <w:tcW w:w="604" w:type="dxa"/>
            <w:tcBorders>
              <w:bottom w:val="single" w:sz="4" w:space="0" w:color="000000"/>
            </w:tcBorders>
          </w:tcPr>
          <w:p w14:paraId="10BA15B5" w14:textId="77777777" w:rsidR="007123C7" w:rsidRPr="001F3926" w:rsidRDefault="007123C7" w:rsidP="00E82294">
            <w:pPr>
              <w:pStyle w:val="TableText"/>
              <w:jc w:val="right"/>
            </w:pPr>
            <w:r w:rsidRPr="001F3926">
              <w:rPr>
                <w:rFonts w:cs="Arial"/>
              </w:rPr>
              <w:t>539</w:t>
            </w:r>
          </w:p>
        </w:tc>
        <w:tc>
          <w:tcPr>
            <w:tcW w:w="810" w:type="dxa"/>
            <w:tcBorders>
              <w:bottom w:val="single" w:sz="4" w:space="0" w:color="000000"/>
            </w:tcBorders>
          </w:tcPr>
          <w:p w14:paraId="4DDF7B6C" w14:textId="77777777" w:rsidR="007123C7" w:rsidRPr="001F3926" w:rsidRDefault="007123C7" w:rsidP="00E82294">
            <w:pPr>
              <w:pStyle w:val="TableText"/>
              <w:jc w:val="right"/>
            </w:pPr>
            <w:r w:rsidRPr="001F3926">
              <w:rPr>
                <w:rFonts w:cs="Arial"/>
              </w:rPr>
              <w:t>2860</w:t>
            </w:r>
          </w:p>
        </w:tc>
        <w:tc>
          <w:tcPr>
            <w:tcW w:w="875" w:type="dxa"/>
            <w:tcBorders>
              <w:bottom w:val="single" w:sz="4" w:space="0" w:color="000000"/>
            </w:tcBorders>
          </w:tcPr>
          <w:p w14:paraId="118EC0B1" w14:textId="77777777" w:rsidR="007123C7" w:rsidRPr="001F3926" w:rsidRDefault="007123C7" w:rsidP="00E82294">
            <w:pPr>
              <w:pStyle w:val="TableText"/>
              <w:jc w:val="right"/>
            </w:pPr>
            <w:r w:rsidRPr="001F3926">
              <w:rPr>
                <w:rFonts w:cs="Arial"/>
              </w:rPr>
              <w:t>8.2 (6.5</w:t>
            </w:r>
            <w:r w:rsidR="00BC369E" w:rsidRPr="001F3926">
              <w:rPr>
                <w:rFonts w:cs="Arial"/>
              </w:rPr>
              <w:t>, </w:t>
            </w:r>
            <w:r w:rsidRPr="001F3926">
              <w:rPr>
                <w:rFonts w:cs="Arial"/>
              </w:rPr>
              <w:t>10.2)</w:t>
            </w:r>
          </w:p>
        </w:tc>
      </w:tr>
      <w:tr w:rsidR="00BC369E" w:rsidRPr="001F3926" w14:paraId="02A0A31E"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bottom w:val="nil"/>
            </w:tcBorders>
          </w:tcPr>
          <w:p w14:paraId="3B97AC38" w14:textId="77777777" w:rsidR="007123C7" w:rsidRPr="001F3926" w:rsidRDefault="007123C7" w:rsidP="00E82294">
            <w:pPr>
              <w:pStyle w:val="TableText"/>
              <w:rPr>
                <w:b/>
                <w:bCs/>
                <w:color w:val="000000" w:themeColor="text1"/>
              </w:rPr>
            </w:pPr>
            <w:r w:rsidRPr="001F3926">
              <w:rPr>
                <w:b/>
              </w:rPr>
              <w:t>Probable alcohol use disorder (AUDIT)</w:t>
            </w:r>
          </w:p>
        </w:tc>
        <w:tc>
          <w:tcPr>
            <w:tcW w:w="540" w:type="dxa"/>
            <w:tcBorders>
              <w:top w:val="single" w:sz="4" w:space="0" w:color="000000"/>
              <w:bottom w:val="nil"/>
            </w:tcBorders>
          </w:tcPr>
          <w:p w14:paraId="44B6B34A" w14:textId="77777777" w:rsidR="007123C7" w:rsidRPr="001F3926" w:rsidRDefault="007123C7" w:rsidP="00E82294">
            <w:pPr>
              <w:pStyle w:val="TableText"/>
              <w:jc w:val="right"/>
            </w:pPr>
          </w:p>
        </w:tc>
        <w:tc>
          <w:tcPr>
            <w:tcW w:w="810" w:type="dxa"/>
            <w:tcBorders>
              <w:top w:val="single" w:sz="4" w:space="0" w:color="000000"/>
              <w:bottom w:val="nil"/>
            </w:tcBorders>
          </w:tcPr>
          <w:p w14:paraId="3008FAA5" w14:textId="77777777" w:rsidR="007123C7" w:rsidRPr="001F3926" w:rsidRDefault="007123C7" w:rsidP="00E82294">
            <w:pPr>
              <w:pStyle w:val="TableText"/>
              <w:jc w:val="right"/>
            </w:pPr>
          </w:p>
        </w:tc>
        <w:tc>
          <w:tcPr>
            <w:tcW w:w="938" w:type="dxa"/>
            <w:tcBorders>
              <w:top w:val="single" w:sz="4" w:space="0" w:color="000000"/>
              <w:bottom w:val="nil"/>
            </w:tcBorders>
          </w:tcPr>
          <w:p w14:paraId="638460D5" w14:textId="77777777" w:rsidR="007123C7" w:rsidRPr="001F3926" w:rsidRDefault="007123C7" w:rsidP="00E82294">
            <w:pPr>
              <w:pStyle w:val="TableText"/>
              <w:jc w:val="right"/>
            </w:pPr>
          </w:p>
        </w:tc>
        <w:tc>
          <w:tcPr>
            <w:tcW w:w="592" w:type="dxa"/>
            <w:tcBorders>
              <w:top w:val="single" w:sz="4" w:space="0" w:color="000000"/>
              <w:bottom w:val="nil"/>
            </w:tcBorders>
          </w:tcPr>
          <w:p w14:paraId="6883C3DD" w14:textId="77777777" w:rsidR="007123C7" w:rsidRPr="001F3926" w:rsidRDefault="007123C7" w:rsidP="00E82294">
            <w:pPr>
              <w:pStyle w:val="TableText"/>
              <w:jc w:val="right"/>
            </w:pPr>
          </w:p>
        </w:tc>
        <w:tc>
          <w:tcPr>
            <w:tcW w:w="810" w:type="dxa"/>
            <w:tcBorders>
              <w:top w:val="single" w:sz="4" w:space="0" w:color="000000"/>
              <w:bottom w:val="nil"/>
            </w:tcBorders>
          </w:tcPr>
          <w:p w14:paraId="21FDD220" w14:textId="77777777" w:rsidR="007123C7" w:rsidRPr="001F3926" w:rsidRDefault="007123C7" w:rsidP="00E82294">
            <w:pPr>
              <w:pStyle w:val="TableText"/>
              <w:jc w:val="right"/>
            </w:pPr>
          </w:p>
        </w:tc>
        <w:tc>
          <w:tcPr>
            <w:tcW w:w="887" w:type="dxa"/>
            <w:tcBorders>
              <w:top w:val="single" w:sz="4" w:space="0" w:color="000000"/>
              <w:bottom w:val="nil"/>
            </w:tcBorders>
          </w:tcPr>
          <w:p w14:paraId="2172CB20" w14:textId="77777777" w:rsidR="007123C7" w:rsidRPr="001F3926" w:rsidRDefault="007123C7" w:rsidP="00E82294">
            <w:pPr>
              <w:pStyle w:val="TableText"/>
              <w:jc w:val="right"/>
            </w:pPr>
          </w:p>
        </w:tc>
        <w:tc>
          <w:tcPr>
            <w:tcW w:w="643" w:type="dxa"/>
            <w:tcBorders>
              <w:top w:val="single" w:sz="4" w:space="0" w:color="000000"/>
              <w:bottom w:val="nil"/>
            </w:tcBorders>
          </w:tcPr>
          <w:p w14:paraId="4BE758A0" w14:textId="77777777" w:rsidR="007123C7" w:rsidRPr="001F3926" w:rsidRDefault="007123C7" w:rsidP="00E82294">
            <w:pPr>
              <w:pStyle w:val="TableText"/>
              <w:jc w:val="right"/>
            </w:pPr>
          </w:p>
        </w:tc>
        <w:tc>
          <w:tcPr>
            <w:tcW w:w="810" w:type="dxa"/>
            <w:tcBorders>
              <w:top w:val="single" w:sz="4" w:space="0" w:color="000000"/>
              <w:bottom w:val="nil"/>
            </w:tcBorders>
          </w:tcPr>
          <w:p w14:paraId="053FCF57" w14:textId="77777777" w:rsidR="007123C7" w:rsidRPr="001F3926" w:rsidRDefault="007123C7" w:rsidP="00E82294">
            <w:pPr>
              <w:pStyle w:val="TableText"/>
              <w:jc w:val="right"/>
            </w:pPr>
          </w:p>
        </w:tc>
        <w:tc>
          <w:tcPr>
            <w:tcW w:w="836" w:type="dxa"/>
            <w:tcBorders>
              <w:top w:val="single" w:sz="4" w:space="0" w:color="000000"/>
              <w:bottom w:val="nil"/>
            </w:tcBorders>
          </w:tcPr>
          <w:p w14:paraId="7C01EE94" w14:textId="77777777" w:rsidR="007123C7" w:rsidRPr="001F3926" w:rsidRDefault="007123C7" w:rsidP="00E82294">
            <w:pPr>
              <w:pStyle w:val="TableText"/>
              <w:jc w:val="right"/>
            </w:pPr>
          </w:p>
        </w:tc>
        <w:tc>
          <w:tcPr>
            <w:tcW w:w="604" w:type="dxa"/>
            <w:tcBorders>
              <w:top w:val="single" w:sz="4" w:space="0" w:color="000000"/>
              <w:bottom w:val="nil"/>
            </w:tcBorders>
          </w:tcPr>
          <w:p w14:paraId="712AA9E2" w14:textId="77777777" w:rsidR="007123C7" w:rsidRPr="001F3926" w:rsidRDefault="007123C7" w:rsidP="00E82294">
            <w:pPr>
              <w:pStyle w:val="TableText"/>
              <w:jc w:val="right"/>
            </w:pPr>
          </w:p>
        </w:tc>
        <w:tc>
          <w:tcPr>
            <w:tcW w:w="810" w:type="dxa"/>
            <w:tcBorders>
              <w:top w:val="single" w:sz="4" w:space="0" w:color="000000"/>
              <w:bottom w:val="nil"/>
            </w:tcBorders>
          </w:tcPr>
          <w:p w14:paraId="0CC448B4" w14:textId="77777777" w:rsidR="007123C7" w:rsidRPr="001F3926" w:rsidRDefault="007123C7" w:rsidP="00E82294">
            <w:pPr>
              <w:pStyle w:val="TableText"/>
              <w:jc w:val="right"/>
            </w:pPr>
          </w:p>
        </w:tc>
        <w:tc>
          <w:tcPr>
            <w:tcW w:w="875" w:type="dxa"/>
            <w:tcBorders>
              <w:top w:val="single" w:sz="4" w:space="0" w:color="000000"/>
              <w:bottom w:val="nil"/>
            </w:tcBorders>
          </w:tcPr>
          <w:p w14:paraId="6125CFC5" w14:textId="77777777" w:rsidR="007123C7" w:rsidRPr="001F3926" w:rsidRDefault="007123C7" w:rsidP="00E82294">
            <w:pPr>
              <w:pStyle w:val="TableText"/>
              <w:jc w:val="right"/>
            </w:pPr>
          </w:p>
        </w:tc>
      </w:tr>
      <w:tr w:rsidR="00BC369E" w:rsidRPr="001F3926" w14:paraId="46CD4531" w14:textId="77777777" w:rsidTr="00BC369E">
        <w:trPr>
          <w:cantSplit/>
        </w:trPr>
        <w:tc>
          <w:tcPr>
            <w:tcW w:w="2365" w:type="dxa"/>
            <w:tcBorders>
              <w:top w:val="nil"/>
            </w:tcBorders>
          </w:tcPr>
          <w:p w14:paraId="679E749D" w14:textId="77777777" w:rsidR="007123C7" w:rsidRPr="001F3926" w:rsidRDefault="007123C7" w:rsidP="00E82294">
            <w:pPr>
              <w:pStyle w:val="TableText"/>
              <w:rPr>
                <w:bCs/>
                <w:color w:val="000000" w:themeColor="text1"/>
              </w:rPr>
            </w:pPr>
            <w:r w:rsidRPr="001F3926">
              <w:t xml:space="preserve">Probable disorder </w:t>
            </w:r>
          </w:p>
        </w:tc>
        <w:tc>
          <w:tcPr>
            <w:tcW w:w="540" w:type="dxa"/>
            <w:tcBorders>
              <w:top w:val="nil"/>
            </w:tcBorders>
          </w:tcPr>
          <w:p w14:paraId="44EC8626" w14:textId="77777777" w:rsidR="007123C7" w:rsidRPr="001F3926" w:rsidRDefault="007123C7" w:rsidP="00E82294">
            <w:pPr>
              <w:pStyle w:val="TableText"/>
              <w:jc w:val="right"/>
            </w:pPr>
            <w:r w:rsidRPr="001F3926">
              <w:rPr>
                <w:rFonts w:cs="Arial"/>
              </w:rPr>
              <w:t>142</w:t>
            </w:r>
          </w:p>
        </w:tc>
        <w:tc>
          <w:tcPr>
            <w:tcW w:w="810" w:type="dxa"/>
            <w:tcBorders>
              <w:top w:val="nil"/>
            </w:tcBorders>
          </w:tcPr>
          <w:p w14:paraId="40E34BDA" w14:textId="77777777" w:rsidR="007123C7" w:rsidRPr="001F3926" w:rsidRDefault="007123C7" w:rsidP="00E82294">
            <w:pPr>
              <w:pStyle w:val="TableText"/>
              <w:jc w:val="right"/>
            </w:pPr>
            <w:r w:rsidRPr="001F3926">
              <w:rPr>
                <w:rFonts w:cs="Arial"/>
              </w:rPr>
              <w:t>1052</w:t>
            </w:r>
          </w:p>
        </w:tc>
        <w:tc>
          <w:tcPr>
            <w:tcW w:w="938" w:type="dxa"/>
            <w:tcBorders>
              <w:top w:val="nil"/>
            </w:tcBorders>
          </w:tcPr>
          <w:p w14:paraId="6AE1C12F" w14:textId="77777777" w:rsidR="007123C7" w:rsidRPr="001F3926" w:rsidRDefault="007123C7" w:rsidP="00E82294">
            <w:pPr>
              <w:pStyle w:val="TableText"/>
              <w:jc w:val="right"/>
            </w:pPr>
            <w:r w:rsidRPr="001F3926">
              <w:rPr>
                <w:rFonts w:cs="Arial"/>
              </w:rPr>
              <w:t>64.1 (56.7</w:t>
            </w:r>
            <w:r w:rsidR="00BC369E" w:rsidRPr="001F3926">
              <w:rPr>
                <w:rFonts w:cs="Arial"/>
              </w:rPr>
              <w:t>, </w:t>
            </w:r>
            <w:r w:rsidRPr="001F3926">
              <w:rPr>
                <w:rFonts w:cs="Arial"/>
              </w:rPr>
              <w:t>71.0)</w:t>
            </w:r>
          </w:p>
        </w:tc>
        <w:tc>
          <w:tcPr>
            <w:tcW w:w="592" w:type="dxa"/>
            <w:tcBorders>
              <w:top w:val="nil"/>
            </w:tcBorders>
          </w:tcPr>
          <w:p w14:paraId="71BD23DA" w14:textId="77777777" w:rsidR="007123C7" w:rsidRPr="001F3926" w:rsidRDefault="007123C7" w:rsidP="00E82294">
            <w:pPr>
              <w:pStyle w:val="TableText"/>
              <w:jc w:val="right"/>
            </w:pPr>
            <w:r w:rsidRPr="001F3926">
              <w:rPr>
                <w:rFonts w:cs="Arial"/>
              </w:rPr>
              <w:t>98</w:t>
            </w:r>
          </w:p>
        </w:tc>
        <w:tc>
          <w:tcPr>
            <w:tcW w:w="810" w:type="dxa"/>
            <w:tcBorders>
              <w:top w:val="nil"/>
            </w:tcBorders>
          </w:tcPr>
          <w:p w14:paraId="00156519" w14:textId="77777777" w:rsidR="007123C7" w:rsidRPr="001F3926" w:rsidRDefault="007123C7" w:rsidP="00E82294">
            <w:pPr>
              <w:pStyle w:val="TableText"/>
              <w:jc w:val="right"/>
            </w:pPr>
            <w:r w:rsidRPr="001F3926">
              <w:rPr>
                <w:rFonts w:cs="Arial"/>
              </w:rPr>
              <w:t>589</w:t>
            </w:r>
          </w:p>
        </w:tc>
        <w:tc>
          <w:tcPr>
            <w:tcW w:w="887" w:type="dxa"/>
            <w:tcBorders>
              <w:top w:val="nil"/>
            </w:tcBorders>
          </w:tcPr>
          <w:p w14:paraId="4FD43025" w14:textId="77777777" w:rsidR="007123C7" w:rsidRPr="001F3926" w:rsidRDefault="007123C7" w:rsidP="00E82294">
            <w:pPr>
              <w:pStyle w:val="TableText"/>
              <w:jc w:val="right"/>
            </w:pPr>
            <w:r w:rsidRPr="001F3926">
              <w:rPr>
                <w:rFonts w:cs="Arial"/>
              </w:rPr>
              <w:t>35.9 (29.0</w:t>
            </w:r>
            <w:r w:rsidR="00BC369E" w:rsidRPr="001F3926">
              <w:rPr>
                <w:rFonts w:cs="Arial"/>
              </w:rPr>
              <w:t>, </w:t>
            </w:r>
            <w:r w:rsidRPr="001F3926">
              <w:rPr>
                <w:rFonts w:cs="Arial"/>
              </w:rPr>
              <w:t>43.3)</w:t>
            </w:r>
          </w:p>
        </w:tc>
        <w:tc>
          <w:tcPr>
            <w:tcW w:w="643" w:type="dxa"/>
            <w:tcBorders>
              <w:top w:val="nil"/>
            </w:tcBorders>
          </w:tcPr>
          <w:p w14:paraId="1A47E0E6" w14:textId="77777777" w:rsidR="007123C7" w:rsidRPr="001F3926" w:rsidRDefault="007123C7" w:rsidP="00E82294">
            <w:pPr>
              <w:pStyle w:val="TableText"/>
              <w:jc w:val="right"/>
            </w:pPr>
            <w:r w:rsidRPr="001F3926">
              <w:rPr>
                <w:rFonts w:cs="Arial"/>
              </w:rPr>
              <w:t>53</w:t>
            </w:r>
          </w:p>
        </w:tc>
        <w:tc>
          <w:tcPr>
            <w:tcW w:w="810" w:type="dxa"/>
            <w:tcBorders>
              <w:top w:val="nil"/>
            </w:tcBorders>
          </w:tcPr>
          <w:p w14:paraId="528B966B" w14:textId="77777777" w:rsidR="007123C7" w:rsidRPr="001F3926" w:rsidRDefault="007123C7" w:rsidP="00E82294">
            <w:pPr>
              <w:pStyle w:val="TableText"/>
              <w:jc w:val="right"/>
            </w:pPr>
            <w:r w:rsidRPr="001F3926">
              <w:rPr>
                <w:rFonts w:cs="Arial"/>
              </w:rPr>
              <w:t>451</w:t>
            </w:r>
          </w:p>
        </w:tc>
        <w:tc>
          <w:tcPr>
            <w:tcW w:w="836" w:type="dxa"/>
            <w:tcBorders>
              <w:top w:val="nil"/>
            </w:tcBorders>
          </w:tcPr>
          <w:p w14:paraId="50166FEB" w14:textId="77777777" w:rsidR="007123C7" w:rsidRPr="001F3926" w:rsidRDefault="007123C7" w:rsidP="00E82294">
            <w:pPr>
              <w:pStyle w:val="TableText"/>
              <w:jc w:val="right"/>
            </w:pPr>
            <w:r w:rsidRPr="001F3926">
              <w:rPr>
                <w:rFonts w:cs="Arial"/>
              </w:rPr>
              <w:t>58.4 (21.3</w:t>
            </w:r>
            <w:r w:rsidR="00BC369E" w:rsidRPr="001F3926">
              <w:rPr>
                <w:rFonts w:cs="Arial"/>
              </w:rPr>
              <w:t>, </w:t>
            </w:r>
            <w:r w:rsidRPr="001F3926">
              <w:rPr>
                <w:rFonts w:cs="Arial"/>
              </w:rPr>
              <w:t>87.9)</w:t>
            </w:r>
          </w:p>
        </w:tc>
        <w:tc>
          <w:tcPr>
            <w:tcW w:w="604" w:type="dxa"/>
            <w:tcBorders>
              <w:top w:val="nil"/>
            </w:tcBorders>
          </w:tcPr>
          <w:p w14:paraId="07D07D8A" w14:textId="77777777" w:rsidR="007123C7" w:rsidRPr="001F3926" w:rsidRDefault="007123C7" w:rsidP="00E82294">
            <w:pPr>
              <w:pStyle w:val="TableText"/>
              <w:jc w:val="right"/>
            </w:pPr>
            <w:r w:rsidRPr="001F3926">
              <w:rPr>
                <w:rFonts w:cs="Arial"/>
              </w:rPr>
              <w:t>32</w:t>
            </w:r>
          </w:p>
        </w:tc>
        <w:tc>
          <w:tcPr>
            <w:tcW w:w="810" w:type="dxa"/>
            <w:tcBorders>
              <w:top w:val="nil"/>
            </w:tcBorders>
          </w:tcPr>
          <w:p w14:paraId="646CD193" w14:textId="77777777" w:rsidR="007123C7" w:rsidRPr="001F3926" w:rsidRDefault="007123C7" w:rsidP="00E82294">
            <w:pPr>
              <w:pStyle w:val="TableText"/>
              <w:jc w:val="right"/>
            </w:pPr>
            <w:r w:rsidRPr="001F3926">
              <w:rPr>
                <w:rFonts w:cs="Arial"/>
              </w:rPr>
              <w:t>321</w:t>
            </w:r>
          </w:p>
        </w:tc>
        <w:tc>
          <w:tcPr>
            <w:tcW w:w="875" w:type="dxa"/>
            <w:tcBorders>
              <w:top w:val="nil"/>
            </w:tcBorders>
          </w:tcPr>
          <w:p w14:paraId="3DB0E851" w14:textId="77777777" w:rsidR="007123C7" w:rsidRPr="001F3926" w:rsidRDefault="007123C7" w:rsidP="00E82294">
            <w:pPr>
              <w:pStyle w:val="TableText"/>
              <w:jc w:val="right"/>
            </w:pPr>
            <w:r w:rsidRPr="001F3926">
              <w:rPr>
                <w:rFonts w:cs="Arial"/>
              </w:rPr>
              <w:t>41.6 (12.1</w:t>
            </w:r>
            <w:r w:rsidR="00BC369E" w:rsidRPr="001F3926">
              <w:rPr>
                <w:rFonts w:cs="Arial"/>
              </w:rPr>
              <w:t>, </w:t>
            </w:r>
            <w:r w:rsidRPr="001F3926">
              <w:rPr>
                <w:rFonts w:cs="Arial"/>
              </w:rPr>
              <w:t>78.7)</w:t>
            </w:r>
          </w:p>
        </w:tc>
      </w:tr>
      <w:tr w:rsidR="00BC369E" w:rsidRPr="001F3926" w14:paraId="195F950A"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Pr>
          <w:p w14:paraId="4BE43381" w14:textId="77777777" w:rsidR="007123C7" w:rsidRPr="001F3926" w:rsidRDefault="007155C2" w:rsidP="00E82294">
            <w:pPr>
              <w:pStyle w:val="TableText"/>
            </w:pPr>
            <w:r>
              <w:t>Subsyndromal</w:t>
            </w:r>
            <w:r w:rsidR="007123C7" w:rsidRPr="001F3926">
              <w:t xml:space="preserve"> disorder </w:t>
            </w:r>
          </w:p>
        </w:tc>
        <w:tc>
          <w:tcPr>
            <w:tcW w:w="540" w:type="dxa"/>
          </w:tcPr>
          <w:p w14:paraId="0C98B961" w14:textId="77777777" w:rsidR="007123C7" w:rsidRPr="001F3926" w:rsidRDefault="007123C7" w:rsidP="00E82294">
            <w:pPr>
              <w:pStyle w:val="TableText"/>
              <w:jc w:val="right"/>
            </w:pPr>
            <w:r w:rsidRPr="001F3926">
              <w:rPr>
                <w:rFonts w:cs="Arial"/>
              </w:rPr>
              <w:t>725</w:t>
            </w:r>
          </w:p>
        </w:tc>
        <w:tc>
          <w:tcPr>
            <w:tcW w:w="810" w:type="dxa"/>
          </w:tcPr>
          <w:p w14:paraId="5A0C65B9" w14:textId="77777777" w:rsidR="007123C7" w:rsidRPr="001F3926" w:rsidRDefault="007123C7" w:rsidP="00E82294">
            <w:pPr>
              <w:pStyle w:val="TableText"/>
              <w:jc w:val="right"/>
            </w:pPr>
            <w:r w:rsidRPr="001F3926">
              <w:rPr>
                <w:rFonts w:cs="Arial"/>
              </w:rPr>
              <w:t>5279</w:t>
            </w:r>
          </w:p>
        </w:tc>
        <w:tc>
          <w:tcPr>
            <w:tcW w:w="938" w:type="dxa"/>
          </w:tcPr>
          <w:p w14:paraId="28A75FD9" w14:textId="77777777" w:rsidR="007123C7" w:rsidRPr="001F3926" w:rsidRDefault="007123C7" w:rsidP="00E82294">
            <w:pPr>
              <w:pStyle w:val="TableText"/>
              <w:jc w:val="right"/>
            </w:pPr>
            <w:r w:rsidRPr="001F3926">
              <w:rPr>
                <w:rFonts w:cs="Arial"/>
              </w:rPr>
              <w:t>78.5 (75.3</w:t>
            </w:r>
            <w:r w:rsidR="00BC369E" w:rsidRPr="001F3926">
              <w:rPr>
                <w:rFonts w:cs="Arial"/>
              </w:rPr>
              <w:t>, </w:t>
            </w:r>
            <w:r w:rsidRPr="001F3926">
              <w:rPr>
                <w:rFonts w:cs="Arial"/>
              </w:rPr>
              <w:t>81.4)</w:t>
            </w:r>
          </w:p>
        </w:tc>
        <w:tc>
          <w:tcPr>
            <w:tcW w:w="592" w:type="dxa"/>
          </w:tcPr>
          <w:p w14:paraId="3814C20D" w14:textId="77777777" w:rsidR="007123C7" w:rsidRPr="001F3926" w:rsidRDefault="007123C7" w:rsidP="00E82294">
            <w:pPr>
              <w:pStyle w:val="TableText"/>
              <w:jc w:val="right"/>
            </w:pPr>
            <w:r w:rsidRPr="001F3926">
              <w:rPr>
                <w:rFonts w:cs="Arial"/>
              </w:rPr>
              <w:t>239</w:t>
            </w:r>
          </w:p>
        </w:tc>
        <w:tc>
          <w:tcPr>
            <w:tcW w:w="810" w:type="dxa"/>
          </w:tcPr>
          <w:p w14:paraId="0F654BBC" w14:textId="77777777" w:rsidR="007123C7" w:rsidRPr="001F3926" w:rsidRDefault="007123C7" w:rsidP="00E82294">
            <w:pPr>
              <w:pStyle w:val="TableText"/>
              <w:jc w:val="right"/>
            </w:pPr>
            <w:r w:rsidRPr="001F3926">
              <w:rPr>
                <w:rFonts w:cs="Arial"/>
              </w:rPr>
              <w:t>1444</w:t>
            </w:r>
          </w:p>
        </w:tc>
        <w:tc>
          <w:tcPr>
            <w:tcW w:w="887" w:type="dxa"/>
          </w:tcPr>
          <w:p w14:paraId="3C172B10" w14:textId="77777777" w:rsidR="007123C7" w:rsidRPr="001F3926" w:rsidRDefault="007123C7" w:rsidP="00E82294">
            <w:pPr>
              <w:pStyle w:val="TableText"/>
              <w:jc w:val="right"/>
            </w:pPr>
            <w:r w:rsidRPr="001F3926">
              <w:rPr>
                <w:rFonts w:cs="Arial"/>
              </w:rPr>
              <w:t>21.5 (18.6</w:t>
            </w:r>
            <w:r w:rsidR="00BC369E" w:rsidRPr="001F3926">
              <w:rPr>
                <w:rFonts w:cs="Arial"/>
              </w:rPr>
              <w:t>, </w:t>
            </w:r>
            <w:r w:rsidRPr="001F3926">
              <w:rPr>
                <w:rFonts w:cs="Arial"/>
              </w:rPr>
              <w:t>24.7)</w:t>
            </w:r>
          </w:p>
        </w:tc>
        <w:tc>
          <w:tcPr>
            <w:tcW w:w="643" w:type="dxa"/>
          </w:tcPr>
          <w:p w14:paraId="5FDBCE64" w14:textId="77777777" w:rsidR="007123C7" w:rsidRPr="001F3926" w:rsidRDefault="007123C7" w:rsidP="00E82294">
            <w:pPr>
              <w:pStyle w:val="TableText"/>
              <w:jc w:val="right"/>
            </w:pPr>
            <w:r w:rsidRPr="001F3926">
              <w:rPr>
                <w:rFonts w:cs="Arial"/>
              </w:rPr>
              <w:t>1161</w:t>
            </w:r>
          </w:p>
        </w:tc>
        <w:tc>
          <w:tcPr>
            <w:tcW w:w="810" w:type="dxa"/>
          </w:tcPr>
          <w:p w14:paraId="0E89BA68" w14:textId="77777777" w:rsidR="007123C7" w:rsidRPr="001F3926" w:rsidRDefault="007123C7" w:rsidP="00E82294">
            <w:pPr>
              <w:pStyle w:val="TableText"/>
              <w:jc w:val="right"/>
            </w:pPr>
            <w:r w:rsidRPr="001F3926">
              <w:rPr>
                <w:rFonts w:cs="Arial"/>
              </w:rPr>
              <w:t>9155</w:t>
            </w:r>
          </w:p>
        </w:tc>
        <w:tc>
          <w:tcPr>
            <w:tcW w:w="836" w:type="dxa"/>
          </w:tcPr>
          <w:p w14:paraId="54C0E6B8" w14:textId="77777777" w:rsidR="007123C7" w:rsidRPr="001F3926" w:rsidRDefault="007123C7" w:rsidP="00E82294">
            <w:pPr>
              <w:pStyle w:val="TableText"/>
              <w:jc w:val="right"/>
            </w:pPr>
            <w:r w:rsidRPr="001F3926">
              <w:rPr>
                <w:rFonts w:cs="Arial"/>
              </w:rPr>
              <w:t>87.9 (83.1</w:t>
            </w:r>
            <w:r w:rsidR="00BC369E" w:rsidRPr="001F3926">
              <w:rPr>
                <w:rFonts w:cs="Arial"/>
              </w:rPr>
              <w:t>, </w:t>
            </w:r>
            <w:r w:rsidRPr="001F3926">
              <w:rPr>
                <w:rFonts w:cs="Arial"/>
              </w:rPr>
              <w:t>91.4)</w:t>
            </w:r>
          </w:p>
        </w:tc>
        <w:tc>
          <w:tcPr>
            <w:tcW w:w="604" w:type="dxa"/>
          </w:tcPr>
          <w:p w14:paraId="076010DE" w14:textId="77777777" w:rsidR="007123C7" w:rsidRPr="001F3926" w:rsidRDefault="007123C7" w:rsidP="00E82294">
            <w:pPr>
              <w:pStyle w:val="TableText"/>
              <w:jc w:val="right"/>
            </w:pPr>
            <w:r w:rsidRPr="001F3926">
              <w:rPr>
                <w:rFonts w:cs="Arial"/>
              </w:rPr>
              <w:t>232</w:t>
            </w:r>
          </w:p>
        </w:tc>
        <w:tc>
          <w:tcPr>
            <w:tcW w:w="810" w:type="dxa"/>
          </w:tcPr>
          <w:p w14:paraId="0B73B6F8" w14:textId="77777777" w:rsidR="007123C7" w:rsidRPr="001F3926" w:rsidRDefault="007123C7" w:rsidP="00E82294">
            <w:pPr>
              <w:pStyle w:val="TableText"/>
              <w:jc w:val="right"/>
            </w:pPr>
            <w:r w:rsidRPr="001F3926">
              <w:rPr>
                <w:rFonts w:cs="Arial"/>
              </w:rPr>
              <w:t>1265</w:t>
            </w:r>
          </w:p>
        </w:tc>
        <w:tc>
          <w:tcPr>
            <w:tcW w:w="875" w:type="dxa"/>
          </w:tcPr>
          <w:p w14:paraId="713F02E9" w14:textId="77777777" w:rsidR="007123C7" w:rsidRPr="001F3926" w:rsidRDefault="007123C7" w:rsidP="00E82294">
            <w:pPr>
              <w:pStyle w:val="TableText"/>
              <w:jc w:val="right"/>
            </w:pPr>
            <w:r w:rsidRPr="001F3926">
              <w:rPr>
                <w:rFonts w:cs="Arial"/>
              </w:rPr>
              <w:t>12.1 (8.6</w:t>
            </w:r>
            <w:r w:rsidR="00BC369E" w:rsidRPr="001F3926">
              <w:rPr>
                <w:rFonts w:cs="Arial"/>
              </w:rPr>
              <w:t>, </w:t>
            </w:r>
            <w:r w:rsidRPr="001F3926">
              <w:rPr>
                <w:rFonts w:cs="Arial"/>
              </w:rPr>
              <w:t>16.9)</w:t>
            </w:r>
          </w:p>
        </w:tc>
      </w:tr>
      <w:tr w:rsidR="00BC369E" w:rsidRPr="001F3926" w14:paraId="44AB7FEF" w14:textId="77777777" w:rsidTr="00BC369E">
        <w:trPr>
          <w:cantSplit/>
        </w:trPr>
        <w:tc>
          <w:tcPr>
            <w:tcW w:w="2365" w:type="dxa"/>
            <w:tcBorders>
              <w:bottom w:val="single" w:sz="4" w:space="0" w:color="000000"/>
            </w:tcBorders>
          </w:tcPr>
          <w:p w14:paraId="02E565CC" w14:textId="77777777" w:rsidR="007123C7" w:rsidRPr="001F3926" w:rsidRDefault="007123C7" w:rsidP="00BC369E">
            <w:pPr>
              <w:pStyle w:val="TableText"/>
              <w:keepNext w:val="0"/>
            </w:pPr>
            <w:r w:rsidRPr="001F3926">
              <w:t>No disorder</w:t>
            </w:r>
          </w:p>
        </w:tc>
        <w:tc>
          <w:tcPr>
            <w:tcW w:w="540" w:type="dxa"/>
            <w:tcBorders>
              <w:bottom w:val="single" w:sz="4" w:space="0" w:color="000000"/>
            </w:tcBorders>
          </w:tcPr>
          <w:p w14:paraId="357EE953" w14:textId="77777777" w:rsidR="007123C7" w:rsidRPr="001F3926" w:rsidRDefault="007123C7" w:rsidP="00BC369E">
            <w:pPr>
              <w:pStyle w:val="TableText"/>
              <w:keepNext w:val="0"/>
              <w:jc w:val="right"/>
            </w:pPr>
            <w:r w:rsidRPr="001F3926">
              <w:rPr>
                <w:rFonts w:cs="Arial"/>
              </w:rPr>
              <w:t>2053</w:t>
            </w:r>
          </w:p>
        </w:tc>
        <w:tc>
          <w:tcPr>
            <w:tcW w:w="810" w:type="dxa"/>
            <w:tcBorders>
              <w:bottom w:val="single" w:sz="4" w:space="0" w:color="000000"/>
            </w:tcBorders>
          </w:tcPr>
          <w:p w14:paraId="60C9E10E" w14:textId="77777777" w:rsidR="007123C7" w:rsidRPr="001F3926" w:rsidRDefault="007123C7" w:rsidP="00BC369E">
            <w:pPr>
              <w:pStyle w:val="TableText"/>
              <w:keepNext w:val="0"/>
              <w:jc w:val="right"/>
            </w:pPr>
            <w:r w:rsidRPr="001F3926">
              <w:rPr>
                <w:rFonts w:cs="Arial"/>
              </w:rPr>
              <w:t>13,665</w:t>
            </w:r>
          </w:p>
        </w:tc>
        <w:tc>
          <w:tcPr>
            <w:tcW w:w="938" w:type="dxa"/>
            <w:tcBorders>
              <w:bottom w:val="single" w:sz="4" w:space="0" w:color="000000"/>
            </w:tcBorders>
          </w:tcPr>
          <w:p w14:paraId="3BCBC701" w14:textId="77777777" w:rsidR="007123C7" w:rsidRPr="001F3926" w:rsidRDefault="007123C7" w:rsidP="00BC369E">
            <w:pPr>
              <w:pStyle w:val="TableText"/>
              <w:keepNext w:val="0"/>
              <w:jc w:val="right"/>
            </w:pPr>
            <w:r w:rsidRPr="001F3926">
              <w:rPr>
                <w:rFonts w:cs="Arial"/>
              </w:rPr>
              <w:t>84.1 (82.4</w:t>
            </w:r>
            <w:r w:rsidR="00BC369E" w:rsidRPr="001F3926">
              <w:rPr>
                <w:rFonts w:cs="Arial"/>
              </w:rPr>
              <w:t>, </w:t>
            </w:r>
            <w:r w:rsidRPr="001F3926">
              <w:rPr>
                <w:rFonts w:cs="Arial"/>
              </w:rPr>
              <w:t>85.6)</w:t>
            </w:r>
          </w:p>
        </w:tc>
        <w:tc>
          <w:tcPr>
            <w:tcW w:w="592" w:type="dxa"/>
            <w:tcBorders>
              <w:bottom w:val="single" w:sz="4" w:space="0" w:color="000000"/>
            </w:tcBorders>
          </w:tcPr>
          <w:p w14:paraId="139E40F1" w14:textId="77777777" w:rsidR="007123C7" w:rsidRPr="001F3926" w:rsidRDefault="007123C7" w:rsidP="00BC369E">
            <w:pPr>
              <w:pStyle w:val="TableText"/>
              <w:keepNext w:val="0"/>
              <w:jc w:val="right"/>
            </w:pPr>
            <w:r w:rsidRPr="001F3926">
              <w:rPr>
                <w:rFonts w:cs="Arial"/>
              </w:rPr>
              <w:t>480</w:t>
            </w:r>
          </w:p>
        </w:tc>
        <w:tc>
          <w:tcPr>
            <w:tcW w:w="810" w:type="dxa"/>
            <w:tcBorders>
              <w:bottom w:val="single" w:sz="4" w:space="0" w:color="000000"/>
            </w:tcBorders>
          </w:tcPr>
          <w:p w14:paraId="392E0D48" w14:textId="77777777" w:rsidR="007123C7" w:rsidRPr="001F3926" w:rsidRDefault="007123C7" w:rsidP="00BC369E">
            <w:pPr>
              <w:pStyle w:val="TableText"/>
              <w:keepNext w:val="0"/>
              <w:jc w:val="right"/>
            </w:pPr>
            <w:r w:rsidRPr="001F3926">
              <w:rPr>
                <w:rFonts w:cs="Arial"/>
              </w:rPr>
              <w:t>2590</w:t>
            </w:r>
          </w:p>
        </w:tc>
        <w:tc>
          <w:tcPr>
            <w:tcW w:w="887" w:type="dxa"/>
            <w:tcBorders>
              <w:bottom w:val="single" w:sz="4" w:space="0" w:color="000000"/>
            </w:tcBorders>
          </w:tcPr>
          <w:p w14:paraId="36C051AF" w14:textId="77777777" w:rsidR="007123C7" w:rsidRPr="001F3926" w:rsidRDefault="007123C7" w:rsidP="00BC369E">
            <w:pPr>
              <w:pStyle w:val="TableText"/>
              <w:keepNext w:val="0"/>
              <w:jc w:val="right"/>
            </w:pPr>
            <w:r w:rsidRPr="001F3926">
              <w:rPr>
                <w:rFonts w:cs="Arial"/>
              </w:rPr>
              <w:t>15.9 (14.4</w:t>
            </w:r>
            <w:r w:rsidR="00BC369E" w:rsidRPr="001F3926">
              <w:rPr>
                <w:rFonts w:cs="Arial"/>
              </w:rPr>
              <w:t>, </w:t>
            </w:r>
            <w:r w:rsidRPr="001F3926">
              <w:rPr>
                <w:rFonts w:cs="Arial"/>
              </w:rPr>
              <w:t>17.6)</w:t>
            </w:r>
          </w:p>
        </w:tc>
        <w:tc>
          <w:tcPr>
            <w:tcW w:w="643" w:type="dxa"/>
            <w:tcBorders>
              <w:bottom w:val="single" w:sz="4" w:space="0" w:color="000000"/>
            </w:tcBorders>
          </w:tcPr>
          <w:p w14:paraId="0B0A67D7" w14:textId="77777777" w:rsidR="007123C7" w:rsidRPr="001F3926" w:rsidRDefault="007123C7" w:rsidP="00BC369E">
            <w:pPr>
              <w:pStyle w:val="TableText"/>
              <w:keepNext w:val="0"/>
              <w:jc w:val="right"/>
            </w:pPr>
            <w:r w:rsidRPr="001F3926">
              <w:rPr>
                <w:rFonts w:cs="Arial"/>
              </w:rPr>
              <w:t>5417</w:t>
            </w:r>
          </w:p>
        </w:tc>
        <w:tc>
          <w:tcPr>
            <w:tcW w:w="810" w:type="dxa"/>
            <w:tcBorders>
              <w:bottom w:val="single" w:sz="4" w:space="0" w:color="000000"/>
            </w:tcBorders>
          </w:tcPr>
          <w:p w14:paraId="293E5E9A" w14:textId="77777777" w:rsidR="007123C7" w:rsidRPr="001F3926" w:rsidRDefault="007123C7" w:rsidP="00BC369E">
            <w:pPr>
              <w:pStyle w:val="TableText"/>
              <w:keepNext w:val="0"/>
              <w:jc w:val="right"/>
            </w:pPr>
            <w:r w:rsidRPr="001F3926">
              <w:rPr>
                <w:rFonts w:cs="Arial"/>
              </w:rPr>
              <w:t>37,087</w:t>
            </w:r>
          </w:p>
        </w:tc>
        <w:tc>
          <w:tcPr>
            <w:tcW w:w="836" w:type="dxa"/>
            <w:tcBorders>
              <w:bottom w:val="single" w:sz="4" w:space="0" w:color="000000"/>
            </w:tcBorders>
          </w:tcPr>
          <w:p w14:paraId="58BFF5F6" w14:textId="77777777" w:rsidR="007123C7" w:rsidRPr="001F3926" w:rsidRDefault="007123C7" w:rsidP="00BC369E">
            <w:pPr>
              <w:pStyle w:val="TableText"/>
              <w:keepNext w:val="0"/>
              <w:jc w:val="right"/>
            </w:pPr>
            <w:r w:rsidRPr="001F3926">
              <w:rPr>
                <w:rFonts w:cs="Arial"/>
              </w:rPr>
              <w:t>90.2 (88.0</w:t>
            </w:r>
            <w:r w:rsidR="00BC369E" w:rsidRPr="001F3926">
              <w:rPr>
                <w:rFonts w:cs="Arial"/>
              </w:rPr>
              <w:t>, </w:t>
            </w:r>
            <w:r w:rsidRPr="001F3926">
              <w:rPr>
                <w:rFonts w:cs="Arial"/>
              </w:rPr>
              <w:t>92.1)</w:t>
            </w:r>
          </w:p>
        </w:tc>
        <w:tc>
          <w:tcPr>
            <w:tcW w:w="604" w:type="dxa"/>
            <w:tcBorders>
              <w:bottom w:val="single" w:sz="4" w:space="0" w:color="000000"/>
            </w:tcBorders>
          </w:tcPr>
          <w:p w14:paraId="574BCB29" w14:textId="77777777" w:rsidR="007123C7" w:rsidRPr="001F3926" w:rsidRDefault="007123C7" w:rsidP="00BC369E">
            <w:pPr>
              <w:pStyle w:val="TableText"/>
              <w:keepNext w:val="0"/>
              <w:jc w:val="right"/>
            </w:pPr>
            <w:r w:rsidRPr="001F3926">
              <w:rPr>
                <w:rFonts w:cs="Arial"/>
              </w:rPr>
              <w:t>763</w:t>
            </w:r>
          </w:p>
        </w:tc>
        <w:tc>
          <w:tcPr>
            <w:tcW w:w="810" w:type="dxa"/>
            <w:tcBorders>
              <w:bottom w:val="single" w:sz="4" w:space="0" w:color="000000"/>
            </w:tcBorders>
          </w:tcPr>
          <w:p w14:paraId="11BDDA36" w14:textId="77777777" w:rsidR="007123C7" w:rsidRPr="001F3926" w:rsidRDefault="007123C7" w:rsidP="00BC369E">
            <w:pPr>
              <w:pStyle w:val="TableText"/>
              <w:keepNext w:val="0"/>
              <w:jc w:val="right"/>
            </w:pPr>
            <w:r w:rsidRPr="001F3926">
              <w:rPr>
                <w:rFonts w:cs="Arial"/>
              </w:rPr>
              <w:t>4019</w:t>
            </w:r>
          </w:p>
        </w:tc>
        <w:tc>
          <w:tcPr>
            <w:tcW w:w="875" w:type="dxa"/>
            <w:tcBorders>
              <w:bottom w:val="single" w:sz="4" w:space="0" w:color="000000"/>
            </w:tcBorders>
          </w:tcPr>
          <w:p w14:paraId="3B68F5D3" w14:textId="77777777" w:rsidR="007123C7" w:rsidRPr="001F3926" w:rsidRDefault="007123C7" w:rsidP="00BC369E">
            <w:pPr>
              <w:pStyle w:val="TableText"/>
              <w:keepNext w:val="0"/>
              <w:jc w:val="right"/>
            </w:pPr>
            <w:r w:rsidRPr="001F3926">
              <w:rPr>
                <w:rFonts w:cs="Arial"/>
              </w:rPr>
              <w:t>9.8 (7.9</w:t>
            </w:r>
            <w:r w:rsidR="00BC369E" w:rsidRPr="001F3926">
              <w:rPr>
                <w:rFonts w:cs="Arial"/>
              </w:rPr>
              <w:t>, </w:t>
            </w:r>
            <w:r w:rsidRPr="001F3926">
              <w:rPr>
                <w:rFonts w:cs="Arial"/>
              </w:rPr>
              <w:t>12.0)</w:t>
            </w:r>
          </w:p>
        </w:tc>
      </w:tr>
      <w:tr w:rsidR="00BC369E" w:rsidRPr="001F3926" w14:paraId="7E1C543C"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bottom w:val="nil"/>
            </w:tcBorders>
          </w:tcPr>
          <w:p w14:paraId="0257DD54" w14:textId="77777777" w:rsidR="007123C7" w:rsidRPr="001F3926" w:rsidRDefault="007123C7" w:rsidP="00E82294">
            <w:pPr>
              <w:pStyle w:val="TableText"/>
              <w:rPr>
                <w:b/>
                <w:bCs/>
                <w:color w:val="000000" w:themeColor="text1"/>
              </w:rPr>
            </w:pPr>
            <w:r w:rsidRPr="001F3926">
              <w:rPr>
                <w:b/>
              </w:rPr>
              <w:t>Probable depressive episode (PHQ-9)</w:t>
            </w:r>
          </w:p>
        </w:tc>
        <w:tc>
          <w:tcPr>
            <w:tcW w:w="540" w:type="dxa"/>
            <w:tcBorders>
              <w:top w:val="single" w:sz="4" w:space="0" w:color="000000"/>
              <w:bottom w:val="nil"/>
            </w:tcBorders>
          </w:tcPr>
          <w:p w14:paraId="7FD28966" w14:textId="77777777" w:rsidR="007123C7" w:rsidRPr="001F3926" w:rsidRDefault="007123C7" w:rsidP="00E82294">
            <w:pPr>
              <w:pStyle w:val="TableText"/>
              <w:jc w:val="right"/>
            </w:pPr>
          </w:p>
        </w:tc>
        <w:tc>
          <w:tcPr>
            <w:tcW w:w="810" w:type="dxa"/>
            <w:tcBorders>
              <w:top w:val="single" w:sz="4" w:space="0" w:color="000000"/>
              <w:bottom w:val="nil"/>
            </w:tcBorders>
          </w:tcPr>
          <w:p w14:paraId="4AEDFC80" w14:textId="77777777" w:rsidR="007123C7" w:rsidRPr="001F3926" w:rsidRDefault="007123C7" w:rsidP="00E82294">
            <w:pPr>
              <w:pStyle w:val="TableText"/>
              <w:jc w:val="right"/>
            </w:pPr>
          </w:p>
        </w:tc>
        <w:tc>
          <w:tcPr>
            <w:tcW w:w="938" w:type="dxa"/>
            <w:tcBorders>
              <w:top w:val="single" w:sz="4" w:space="0" w:color="000000"/>
              <w:bottom w:val="nil"/>
            </w:tcBorders>
          </w:tcPr>
          <w:p w14:paraId="26FCA161" w14:textId="77777777" w:rsidR="007123C7" w:rsidRPr="001F3926" w:rsidRDefault="007123C7" w:rsidP="00E82294">
            <w:pPr>
              <w:pStyle w:val="TableText"/>
              <w:jc w:val="right"/>
            </w:pPr>
          </w:p>
        </w:tc>
        <w:tc>
          <w:tcPr>
            <w:tcW w:w="592" w:type="dxa"/>
            <w:tcBorders>
              <w:top w:val="single" w:sz="4" w:space="0" w:color="000000"/>
              <w:bottom w:val="nil"/>
            </w:tcBorders>
          </w:tcPr>
          <w:p w14:paraId="44C7C8C6" w14:textId="77777777" w:rsidR="007123C7" w:rsidRPr="001F3926" w:rsidRDefault="007123C7" w:rsidP="00E82294">
            <w:pPr>
              <w:pStyle w:val="TableText"/>
              <w:jc w:val="right"/>
            </w:pPr>
          </w:p>
        </w:tc>
        <w:tc>
          <w:tcPr>
            <w:tcW w:w="810" w:type="dxa"/>
            <w:tcBorders>
              <w:top w:val="single" w:sz="4" w:space="0" w:color="000000"/>
              <w:bottom w:val="nil"/>
            </w:tcBorders>
          </w:tcPr>
          <w:p w14:paraId="3F6E3928" w14:textId="77777777" w:rsidR="007123C7" w:rsidRPr="001F3926" w:rsidRDefault="007123C7" w:rsidP="00E82294">
            <w:pPr>
              <w:pStyle w:val="TableText"/>
              <w:jc w:val="right"/>
            </w:pPr>
          </w:p>
        </w:tc>
        <w:tc>
          <w:tcPr>
            <w:tcW w:w="887" w:type="dxa"/>
            <w:tcBorders>
              <w:top w:val="single" w:sz="4" w:space="0" w:color="000000"/>
              <w:bottom w:val="nil"/>
            </w:tcBorders>
          </w:tcPr>
          <w:p w14:paraId="02939C96" w14:textId="77777777" w:rsidR="007123C7" w:rsidRPr="001F3926" w:rsidRDefault="007123C7" w:rsidP="00E82294">
            <w:pPr>
              <w:pStyle w:val="TableText"/>
              <w:jc w:val="right"/>
            </w:pPr>
          </w:p>
        </w:tc>
        <w:tc>
          <w:tcPr>
            <w:tcW w:w="643" w:type="dxa"/>
            <w:tcBorders>
              <w:top w:val="single" w:sz="4" w:space="0" w:color="000000"/>
              <w:bottom w:val="nil"/>
            </w:tcBorders>
          </w:tcPr>
          <w:p w14:paraId="73EACCED" w14:textId="77777777" w:rsidR="007123C7" w:rsidRPr="001F3926" w:rsidRDefault="007123C7" w:rsidP="00E82294">
            <w:pPr>
              <w:pStyle w:val="TableText"/>
              <w:jc w:val="right"/>
            </w:pPr>
          </w:p>
        </w:tc>
        <w:tc>
          <w:tcPr>
            <w:tcW w:w="810" w:type="dxa"/>
            <w:tcBorders>
              <w:top w:val="single" w:sz="4" w:space="0" w:color="000000"/>
              <w:bottom w:val="nil"/>
            </w:tcBorders>
          </w:tcPr>
          <w:p w14:paraId="11C4A746" w14:textId="77777777" w:rsidR="007123C7" w:rsidRPr="001F3926" w:rsidRDefault="007123C7" w:rsidP="00E82294">
            <w:pPr>
              <w:pStyle w:val="TableText"/>
              <w:jc w:val="right"/>
            </w:pPr>
          </w:p>
        </w:tc>
        <w:tc>
          <w:tcPr>
            <w:tcW w:w="836" w:type="dxa"/>
            <w:tcBorders>
              <w:top w:val="single" w:sz="4" w:space="0" w:color="000000"/>
              <w:bottom w:val="nil"/>
            </w:tcBorders>
          </w:tcPr>
          <w:p w14:paraId="4051E6B2" w14:textId="77777777" w:rsidR="007123C7" w:rsidRPr="001F3926" w:rsidRDefault="007123C7" w:rsidP="00E82294">
            <w:pPr>
              <w:pStyle w:val="TableText"/>
              <w:jc w:val="right"/>
            </w:pPr>
          </w:p>
        </w:tc>
        <w:tc>
          <w:tcPr>
            <w:tcW w:w="604" w:type="dxa"/>
            <w:tcBorders>
              <w:top w:val="single" w:sz="4" w:space="0" w:color="000000"/>
              <w:bottom w:val="nil"/>
            </w:tcBorders>
          </w:tcPr>
          <w:p w14:paraId="210C1255" w14:textId="77777777" w:rsidR="007123C7" w:rsidRPr="001F3926" w:rsidRDefault="007123C7" w:rsidP="00E82294">
            <w:pPr>
              <w:pStyle w:val="TableText"/>
              <w:jc w:val="right"/>
            </w:pPr>
          </w:p>
        </w:tc>
        <w:tc>
          <w:tcPr>
            <w:tcW w:w="810" w:type="dxa"/>
            <w:tcBorders>
              <w:top w:val="single" w:sz="4" w:space="0" w:color="000000"/>
              <w:bottom w:val="nil"/>
            </w:tcBorders>
          </w:tcPr>
          <w:p w14:paraId="67280E49" w14:textId="77777777" w:rsidR="007123C7" w:rsidRPr="001F3926" w:rsidRDefault="007123C7" w:rsidP="00E82294">
            <w:pPr>
              <w:pStyle w:val="TableText"/>
              <w:jc w:val="right"/>
            </w:pPr>
          </w:p>
        </w:tc>
        <w:tc>
          <w:tcPr>
            <w:tcW w:w="875" w:type="dxa"/>
            <w:tcBorders>
              <w:top w:val="single" w:sz="4" w:space="0" w:color="000000"/>
              <w:bottom w:val="nil"/>
            </w:tcBorders>
          </w:tcPr>
          <w:p w14:paraId="06B8E455" w14:textId="77777777" w:rsidR="007123C7" w:rsidRPr="001F3926" w:rsidRDefault="007123C7" w:rsidP="00E82294">
            <w:pPr>
              <w:pStyle w:val="TableText"/>
              <w:jc w:val="right"/>
            </w:pPr>
          </w:p>
        </w:tc>
      </w:tr>
      <w:tr w:rsidR="00BC369E" w:rsidRPr="001F3926" w14:paraId="7EF9A730" w14:textId="77777777" w:rsidTr="00BC369E">
        <w:trPr>
          <w:cantSplit/>
        </w:trPr>
        <w:tc>
          <w:tcPr>
            <w:tcW w:w="2365" w:type="dxa"/>
            <w:tcBorders>
              <w:top w:val="nil"/>
            </w:tcBorders>
          </w:tcPr>
          <w:p w14:paraId="1FD88D51" w14:textId="77777777" w:rsidR="007123C7" w:rsidRPr="001F3926" w:rsidRDefault="007123C7" w:rsidP="00E82294">
            <w:pPr>
              <w:pStyle w:val="TableText"/>
            </w:pPr>
            <w:r w:rsidRPr="001F3926">
              <w:t xml:space="preserve">Probable disorder </w:t>
            </w:r>
          </w:p>
        </w:tc>
        <w:tc>
          <w:tcPr>
            <w:tcW w:w="540" w:type="dxa"/>
            <w:tcBorders>
              <w:top w:val="nil"/>
            </w:tcBorders>
          </w:tcPr>
          <w:p w14:paraId="51B2184B" w14:textId="77777777" w:rsidR="007123C7" w:rsidRPr="001F3926" w:rsidRDefault="007123C7" w:rsidP="00E82294">
            <w:pPr>
              <w:pStyle w:val="TableText"/>
              <w:jc w:val="right"/>
            </w:pPr>
            <w:r w:rsidRPr="001F3926">
              <w:rPr>
                <w:rFonts w:cs="Arial"/>
              </w:rPr>
              <w:t>264</w:t>
            </w:r>
          </w:p>
        </w:tc>
        <w:tc>
          <w:tcPr>
            <w:tcW w:w="810" w:type="dxa"/>
            <w:tcBorders>
              <w:top w:val="nil"/>
            </w:tcBorders>
          </w:tcPr>
          <w:p w14:paraId="385AD41B" w14:textId="77777777" w:rsidR="007123C7" w:rsidRPr="001F3926" w:rsidRDefault="007123C7" w:rsidP="00E82294">
            <w:pPr>
              <w:pStyle w:val="TableText"/>
              <w:jc w:val="right"/>
            </w:pPr>
            <w:r w:rsidRPr="001F3926">
              <w:rPr>
                <w:rFonts w:cs="Arial"/>
              </w:rPr>
              <w:t>1993</w:t>
            </w:r>
          </w:p>
        </w:tc>
        <w:tc>
          <w:tcPr>
            <w:tcW w:w="938" w:type="dxa"/>
            <w:tcBorders>
              <w:top w:val="nil"/>
            </w:tcBorders>
          </w:tcPr>
          <w:p w14:paraId="0F87E801" w14:textId="77777777" w:rsidR="007123C7" w:rsidRPr="001F3926" w:rsidRDefault="007123C7" w:rsidP="00E82294">
            <w:pPr>
              <w:pStyle w:val="TableText"/>
              <w:jc w:val="right"/>
            </w:pPr>
            <w:r w:rsidRPr="001F3926">
              <w:rPr>
                <w:rFonts w:cs="Arial"/>
              </w:rPr>
              <w:t>59.7 (54.7</w:t>
            </w:r>
            <w:r w:rsidR="00BC369E" w:rsidRPr="001F3926">
              <w:rPr>
                <w:rFonts w:cs="Arial"/>
              </w:rPr>
              <w:t>, </w:t>
            </w:r>
            <w:r w:rsidRPr="001F3926">
              <w:rPr>
                <w:rFonts w:cs="Arial"/>
              </w:rPr>
              <w:t>64.6)</w:t>
            </w:r>
          </w:p>
        </w:tc>
        <w:tc>
          <w:tcPr>
            <w:tcW w:w="592" w:type="dxa"/>
            <w:tcBorders>
              <w:top w:val="nil"/>
            </w:tcBorders>
          </w:tcPr>
          <w:p w14:paraId="6BDC19D2" w14:textId="77777777" w:rsidR="007123C7" w:rsidRPr="001F3926" w:rsidRDefault="007123C7" w:rsidP="00E82294">
            <w:pPr>
              <w:pStyle w:val="TableText"/>
              <w:jc w:val="right"/>
            </w:pPr>
            <w:r w:rsidRPr="001F3926">
              <w:rPr>
                <w:rFonts w:cs="Arial"/>
              </w:rPr>
              <w:t>231</w:t>
            </w:r>
          </w:p>
        </w:tc>
        <w:tc>
          <w:tcPr>
            <w:tcW w:w="810" w:type="dxa"/>
            <w:tcBorders>
              <w:top w:val="nil"/>
            </w:tcBorders>
          </w:tcPr>
          <w:p w14:paraId="75D7749D" w14:textId="77777777" w:rsidR="007123C7" w:rsidRPr="001F3926" w:rsidRDefault="007123C7" w:rsidP="00E82294">
            <w:pPr>
              <w:pStyle w:val="TableText"/>
              <w:jc w:val="right"/>
            </w:pPr>
            <w:r w:rsidRPr="001F3926">
              <w:rPr>
                <w:rFonts w:cs="Arial"/>
              </w:rPr>
              <w:t>1344</w:t>
            </w:r>
          </w:p>
        </w:tc>
        <w:tc>
          <w:tcPr>
            <w:tcW w:w="887" w:type="dxa"/>
            <w:tcBorders>
              <w:top w:val="nil"/>
            </w:tcBorders>
          </w:tcPr>
          <w:p w14:paraId="65A19774" w14:textId="77777777" w:rsidR="007123C7" w:rsidRPr="001F3926" w:rsidRDefault="007123C7" w:rsidP="00E82294">
            <w:pPr>
              <w:pStyle w:val="TableText"/>
              <w:jc w:val="right"/>
            </w:pPr>
            <w:r w:rsidRPr="001F3926">
              <w:rPr>
                <w:rFonts w:cs="Arial"/>
              </w:rPr>
              <w:t>40.3 (35.4</w:t>
            </w:r>
            <w:r w:rsidR="00BC369E" w:rsidRPr="001F3926">
              <w:rPr>
                <w:rFonts w:cs="Arial"/>
              </w:rPr>
              <w:t>, </w:t>
            </w:r>
            <w:r w:rsidRPr="001F3926">
              <w:rPr>
                <w:rFonts w:cs="Arial"/>
              </w:rPr>
              <w:t>45.3)</w:t>
            </w:r>
          </w:p>
        </w:tc>
        <w:tc>
          <w:tcPr>
            <w:tcW w:w="643" w:type="dxa"/>
            <w:tcBorders>
              <w:top w:val="nil"/>
            </w:tcBorders>
          </w:tcPr>
          <w:p w14:paraId="033C370E" w14:textId="77777777" w:rsidR="007123C7" w:rsidRPr="001F3926" w:rsidRDefault="007123C7" w:rsidP="00E82294">
            <w:pPr>
              <w:pStyle w:val="TableText"/>
              <w:jc w:val="right"/>
            </w:pPr>
            <w:r w:rsidRPr="001F3926">
              <w:rPr>
                <w:rFonts w:cs="Arial"/>
              </w:rPr>
              <w:t>160</w:t>
            </w:r>
          </w:p>
        </w:tc>
        <w:tc>
          <w:tcPr>
            <w:tcW w:w="810" w:type="dxa"/>
            <w:tcBorders>
              <w:top w:val="nil"/>
            </w:tcBorders>
          </w:tcPr>
          <w:p w14:paraId="3818B581" w14:textId="77777777" w:rsidR="007123C7" w:rsidRPr="001F3926" w:rsidRDefault="007123C7" w:rsidP="00E82294">
            <w:pPr>
              <w:pStyle w:val="TableText"/>
              <w:jc w:val="right"/>
            </w:pPr>
            <w:r w:rsidRPr="001F3926">
              <w:rPr>
                <w:rFonts w:cs="Arial"/>
              </w:rPr>
              <w:t>1374</w:t>
            </w:r>
          </w:p>
        </w:tc>
        <w:tc>
          <w:tcPr>
            <w:tcW w:w="836" w:type="dxa"/>
            <w:tcBorders>
              <w:top w:val="nil"/>
            </w:tcBorders>
          </w:tcPr>
          <w:p w14:paraId="26F7F028" w14:textId="77777777" w:rsidR="007123C7" w:rsidRPr="001F3926" w:rsidRDefault="007123C7" w:rsidP="00E82294">
            <w:pPr>
              <w:pStyle w:val="TableText"/>
              <w:jc w:val="right"/>
            </w:pPr>
            <w:r w:rsidRPr="001F3926">
              <w:rPr>
                <w:rFonts w:cs="Arial"/>
              </w:rPr>
              <w:t>76.6 (61.9</w:t>
            </w:r>
            <w:r w:rsidR="00BC369E" w:rsidRPr="001F3926">
              <w:rPr>
                <w:rFonts w:cs="Arial"/>
              </w:rPr>
              <w:t>, </w:t>
            </w:r>
            <w:r w:rsidRPr="001F3926">
              <w:rPr>
                <w:rFonts w:cs="Arial"/>
              </w:rPr>
              <w:t>86.8)</w:t>
            </w:r>
          </w:p>
        </w:tc>
        <w:tc>
          <w:tcPr>
            <w:tcW w:w="604" w:type="dxa"/>
            <w:tcBorders>
              <w:top w:val="nil"/>
            </w:tcBorders>
          </w:tcPr>
          <w:p w14:paraId="10C4F44B" w14:textId="77777777" w:rsidR="007123C7" w:rsidRPr="001F3926" w:rsidRDefault="007123C7" w:rsidP="00E82294">
            <w:pPr>
              <w:pStyle w:val="TableText"/>
              <w:jc w:val="right"/>
            </w:pPr>
            <w:r w:rsidRPr="001F3926">
              <w:rPr>
                <w:rFonts w:cs="Arial"/>
              </w:rPr>
              <w:t>90</w:t>
            </w:r>
          </w:p>
        </w:tc>
        <w:tc>
          <w:tcPr>
            <w:tcW w:w="810" w:type="dxa"/>
            <w:tcBorders>
              <w:top w:val="nil"/>
            </w:tcBorders>
          </w:tcPr>
          <w:p w14:paraId="6EDC98D7" w14:textId="77777777" w:rsidR="007123C7" w:rsidRPr="001F3926" w:rsidRDefault="007123C7" w:rsidP="00E82294">
            <w:pPr>
              <w:pStyle w:val="TableText"/>
              <w:jc w:val="right"/>
            </w:pPr>
            <w:r w:rsidRPr="001F3926">
              <w:rPr>
                <w:rFonts w:cs="Arial"/>
              </w:rPr>
              <w:t>420</w:t>
            </w:r>
          </w:p>
        </w:tc>
        <w:tc>
          <w:tcPr>
            <w:tcW w:w="875" w:type="dxa"/>
            <w:tcBorders>
              <w:top w:val="nil"/>
            </w:tcBorders>
          </w:tcPr>
          <w:p w14:paraId="1FE067C5" w14:textId="77777777" w:rsidR="007123C7" w:rsidRPr="001F3926" w:rsidRDefault="007123C7" w:rsidP="00E82294">
            <w:pPr>
              <w:pStyle w:val="TableText"/>
              <w:jc w:val="right"/>
            </w:pPr>
            <w:r w:rsidRPr="001F3926">
              <w:rPr>
                <w:rFonts w:cs="Arial"/>
              </w:rPr>
              <w:t>23.4 (13.2</w:t>
            </w:r>
            <w:r w:rsidR="00BC369E" w:rsidRPr="001F3926">
              <w:rPr>
                <w:rFonts w:cs="Arial"/>
              </w:rPr>
              <w:t>, </w:t>
            </w:r>
            <w:r w:rsidRPr="001F3926">
              <w:rPr>
                <w:rFonts w:cs="Arial"/>
              </w:rPr>
              <w:t>38.1)</w:t>
            </w:r>
          </w:p>
        </w:tc>
      </w:tr>
      <w:tr w:rsidR="00BC369E" w:rsidRPr="001F3926" w14:paraId="42AAF17A"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Pr>
          <w:p w14:paraId="4A8FC63C" w14:textId="77777777" w:rsidR="007123C7" w:rsidRPr="001F3926" w:rsidRDefault="007155C2" w:rsidP="00E82294">
            <w:pPr>
              <w:pStyle w:val="TableText"/>
            </w:pPr>
            <w:r>
              <w:t>Subsyndromal</w:t>
            </w:r>
            <w:r w:rsidR="007123C7" w:rsidRPr="001F3926">
              <w:t xml:space="preserve"> disorder </w:t>
            </w:r>
          </w:p>
        </w:tc>
        <w:tc>
          <w:tcPr>
            <w:tcW w:w="540" w:type="dxa"/>
          </w:tcPr>
          <w:p w14:paraId="08B4D7EC" w14:textId="77777777" w:rsidR="007123C7" w:rsidRPr="001F3926" w:rsidRDefault="007123C7" w:rsidP="00E82294">
            <w:pPr>
              <w:pStyle w:val="TableText"/>
              <w:jc w:val="right"/>
            </w:pPr>
            <w:r w:rsidRPr="001F3926">
              <w:rPr>
                <w:rFonts w:cs="Arial"/>
              </w:rPr>
              <w:t>953</w:t>
            </w:r>
          </w:p>
        </w:tc>
        <w:tc>
          <w:tcPr>
            <w:tcW w:w="810" w:type="dxa"/>
          </w:tcPr>
          <w:p w14:paraId="1CCC3055" w14:textId="77777777" w:rsidR="007123C7" w:rsidRPr="001F3926" w:rsidRDefault="007123C7" w:rsidP="00E82294">
            <w:pPr>
              <w:pStyle w:val="TableText"/>
              <w:jc w:val="right"/>
            </w:pPr>
            <w:r w:rsidRPr="001F3926">
              <w:rPr>
                <w:rFonts w:cs="Arial"/>
              </w:rPr>
              <w:t>6762</w:t>
            </w:r>
          </w:p>
        </w:tc>
        <w:tc>
          <w:tcPr>
            <w:tcW w:w="938" w:type="dxa"/>
          </w:tcPr>
          <w:p w14:paraId="6066FE2D" w14:textId="77777777" w:rsidR="007123C7" w:rsidRPr="001F3926" w:rsidRDefault="007123C7" w:rsidP="00E82294">
            <w:pPr>
              <w:pStyle w:val="TableText"/>
              <w:jc w:val="right"/>
            </w:pPr>
            <w:r w:rsidRPr="001F3926">
              <w:rPr>
                <w:rFonts w:cs="Arial"/>
              </w:rPr>
              <w:t>77.0 (74.2</w:t>
            </w:r>
            <w:r w:rsidR="00BC369E" w:rsidRPr="001F3926">
              <w:rPr>
                <w:rFonts w:cs="Arial"/>
              </w:rPr>
              <w:t>, </w:t>
            </w:r>
            <w:r w:rsidRPr="001F3926">
              <w:rPr>
                <w:rFonts w:cs="Arial"/>
              </w:rPr>
              <w:t>79.6)</w:t>
            </w:r>
          </w:p>
        </w:tc>
        <w:tc>
          <w:tcPr>
            <w:tcW w:w="592" w:type="dxa"/>
          </w:tcPr>
          <w:p w14:paraId="6A31E142" w14:textId="77777777" w:rsidR="007123C7" w:rsidRPr="001F3926" w:rsidRDefault="007123C7" w:rsidP="00E82294">
            <w:pPr>
              <w:pStyle w:val="TableText"/>
              <w:jc w:val="right"/>
            </w:pPr>
            <w:r w:rsidRPr="001F3926">
              <w:rPr>
                <w:rFonts w:cs="Arial"/>
              </w:rPr>
              <w:t>353</w:t>
            </w:r>
          </w:p>
        </w:tc>
        <w:tc>
          <w:tcPr>
            <w:tcW w:w="810" w:type="dxa"/>
          </w:tcPr>
          <w:p w14:paraId="169B83CF" w14:textId="77777777" w:rsidR="007123C7" w:rsidRPr="001F3926" w:rsidRDefault="007123C7" w:rsidP="00E82294">
            <w:pPr>
              <w:pStyle w:val="TableText"/>
              <w:jc w:val="right"/>
            </w:pPr>
            <w:r w:rsidRPr="001F3926">
              <w:rPr>
                <w:rFonts w:cs="Arial"/>
              </w:rPr>
              <w:t>2022</w:t>
            </w:r>
          </w:p>
        </w:tc>
        <w:tc>
          <w:tcPr>
            <w:tcW w:w="887" w:type="dxa"/>
          </w:tcPr>
          <w:p w14:paraId="671C6614" w14:textId="77777777" w:rsidR="007123C7" w:rsidRPr="001F3926" w:rsidRDefault="007123C7" w:rsidP="00E82294">
            <w:pPr>
              <w:pStyle w:val="TableText"/>
              <w:jc w:val="right"/>
            </w:pPr>
            <w:r w:rsidRPr="001F3926">
              <w:rPr>
                <w:rFonts w:cs="Arial"/>
              </w:rPr>
              <w:t>23.0 (20.4</w:t>
            </w:r>
            <w:r w:rsidR="00BC369E" w:rsidRPr="001F3926">
              <w:rPr>
                <w:rFonts w:cs="Arial"/>
              </w:rPr>
              <w:t>, </w:t>
            </w:r>
            <w:r w:rsidRPr="001F3926">
              <w:rPr>
                <w:rFonts w:cs="Arial"/>
              </w:rPr>
              <w:t>25.8)</w:t>
            </w:r>
          </w:p>
        </w:tc>
        <w:tc>
          <w:tcPr>
            <w:tcW w:w="643" w:type="dxa"/>
          </w:tcPr>
          <w:p w14:paraId="4784EADA" w14:textId="77777777" w:rsidR="007123C7" w:rsidRPr="001F3926" w:rsidRDefault="007123C7" w:rsidP="00E82294">
            <w:pPr>
              <w:pStyle w:val="TableText"/>
              <w:jc w:val="right"/>
            </w:pPr>
            <w:r w:rsidRPr="001F3926">
              <w:rPr>
                <w:rFonts w:cs="Arial"/>
              </w:rPr>
              <w:t>1801</w:t>
            </w:r>
          </w:p>
        </w:tc>
        <w:tc>
          <w:tcPr>
            <w:tcW w:w="810" w:type="dxa"/>
          </w:tcPr>
          <w:p w14:paraId="51328203" w14:textId="77777777" w:rsidR="007123C7" w:rsidRPr="001F3926" w:rsidRDefault="007123C7" w:rsidP="00E82294">
            <w:pPr>
              <w:pStyle w:val="TableText"/>
              <w:jc w:val="right"/>
            </w:pPr>
            <w:r w:rsidRPr="001F3926">
              <w:rPr>
                <w:rFonts w:cs="Arial"/>
              </w:rPr>
              <w:t>14393</w:t>
            </w:r>
          </w:p>
        </w:tc>
        <w:tc>
          <w:tcPr>
            <w:tcW w:w="836" w:type="dxa"/>
          </w:tcPr>
          <w:p w14:paraId="19B29E9C" w14:textId="77777777" w:rsidR="007123C7" w:rsidRPr="001F3926" w:rsidRDefault="007123C7" w:rsidP="00E82294">
            <w:pPr>
              <w:pStyle w:val="TableText"/>
              <w:jc w:val="right"/>
            </w:pPr>
            <w:r w:rsidRPr="001F3926">
              <w:rPr>
                <w:rFonts w:cs="Arial"/>
              </w:rPr>
              <w:t>85.3 (80.3</w:t>
            </w:r>
            <w:r w:rsidR="00BC369E" w:rsidRPr="001F3926">
              <w:rPr>
                <w:rFonts w:cs="Arial"/>
              </w:rPr>
              <w:t>, </w:t>
            </w:r>
            <w:r w:rsidRPr="001F3926">
              <w:rPr>
                <w:rFonts w:cs="Arial"/>
              </w:rPr>
              <w:t>89.2)</w:t>
            </w:r>
          </w:p>
        </w:tc>
        <w:tc>
          <w:tcPr>
            <w:tcW w:w="604" w:type="dxa"/>
          </w:tcPr>
          <w:p w14:paraId="747B8143" w14:textId="77777777" w:rsidR="007123C7" w:rsidRPr="001F3926" w:rsidRDefault="007123C7" w:rsidP="00E82294">
            <w:pPr>
              <w:pStyle w:val="TableText"/>
              <w:jc w:val="right"/>
            </w:pPr>
            <w:r w:rsidRPr="001F3926">
              <w:rPr>
                <w:rFonts w:cs="Arial"/>
              </w:rPr>
              <w:t>443</w:t>
            </w:r>
          </w:p>
        </w:tc>
        <w:tc>
          <w:tcPr>
            <w:tcW w:w="810" w:type="dxa"/>
          </w:tcPr>
          <w:p w14:paraId="411AE931" w14:textId="77777777" w:rsidR="007123C7" w:rsidRPr="001F3926" w:rsidRDefault="007123C7" w:rsidP="00E82294">
            <w:pPr>
              <w:pStyle w:val="TableText"/>
              <w:jc w:val="right"/>
            </w:pPr>
            <w:r w:rsidRPr="001F3926">
              <w:rPr>
                <w:rFonts w:cs="Arial"/>
              </w:rPr>
              <w:t>2479</w:t>
            </w:r>
          </w:p>
        </w:tc>
        <w:tc>
          <w:tcPr>
            <w:tcW w:w="875" w:type="dxa"/>
          </w:tcPr>
          <w:p w14:paraId="4070CE66" w14:textId="77777777" w:rsidR="007123C7" w:rsidRPr="001F3926" w:rsidRDefault="007123C7" w:rsidP="00E82294">
            <w:pPr>
              <w:pStyle w:val="TableText"/>
              <w:jc w:val="right"/>
            </w:pPr>
            <w:r w:rsidRPr="001F3926">
              <w:rPr>
                <w:rFonts w:cs="Arial"/>
              </w:rPr>
              <w:t>14.7 (10.8</w:t>
            </w:r>
            <w:r w:rsidR="00BC369E" w:rsidRPr="001F3926">
              <w:rPr>
                <w:rFonts w:cs="Arial"/>
              </w:rPr>
              <w:t>, </w:t>
            </w:r>
            <w:r w:rsidRPr="001F3926">
              <w:rPr>
                <w:rFonts w:cs="Arial"/>
              </w:rPr>
              <w:t>19.7)</w:t>
            </w:r>
          </w:p>
        </w:tc>
      </w:tr>
      <w:tr w:rsidR="00BC369E" w:rsidRPr="001F3926" w14:paraId="2F2B9AA5" w14:textId="77777777" w:rsidTr="00BC369E">
        <w:trPr>
          <w:cantSplit/>
        </w:trPr>
        <w:tc>
          <w:tcPr>
            <w:tcW w:w="2365" w:type="dxa"/>
            <w:tcBorders>
              <w:bottom w:val="single" w:sz="4" w:space="0" w:color="000000"/>
            </w:tcBorders>
          </w:tcPr>
          <w:p w14:paraId="32FEA7AB" w14:textId="77777777" w:rsidR="007123C7" w:rsidRPr="001F3926" w:rsidRDefault="007123C7" w:rsidP="00E82294">
            <w:pPr>
              <w:pStyle w:val="TableText"/>
            </w:pPr>
            <w:r w:rsidRPr="001F3926">
              <w:t>No disorder</w:t>
            </w:r>
          </w:p>
        </w:tc>
        <w:tc>
          <w:tcPr>
            <w:tcW w:w="540" w:type="dxa"/>
            <w:tcBorders>
              <w:bottom w:val="single" w:sz="4" w:space="0" w:color="000000"/>
            </w:tcBorders>
          </w:tcPr>
          <w:p w14:paraId="6E73167F" w14:textId="77777777" w:rsidR="007123C7" w:rsidRPr="001F3926" w:rsidRDefault="007123C7" w:rsidP="00E82294">
            <w:pPr>
              <w:pStyle w:val="TableText"/>
              <w:jc w:val="right"/>
            </w:pPr>
            <w:r w:rsidRPr="001F3926">
              <w:rPr>
                <w:rFonts w:cs="Arial"/>
              </w:rPr>
              <w:t>1714</w:t>
            </w:r>
          </w:p>
        </w:tc>
        <w:tc>
          <w:tcPr>
            <w:tcW w:w="810" w:type="dxa"/>
            <w:tcBorders>
              <w:bottom w:val="single" w:sz="4" w:space="0" w:color="000000"/>
            </w:tcBorders>
          </w:tcPr>
          <w:p w14:paraId="5032FC00" w14:textId="77777777" w:rsidR="007123C7" w:rsidRPr="001F3926" w:rsidRDefault="007123C7" w:rsidP="00E82294">
            <w:pPr>
              <w:pStyle w:val="TableText"/>
              <w:jc w:val="right"/>
            </w:pPr>
            <w:r w:rsidRPr="001F3926">
              <w:rPr>
                <w:rFonts w:cs="Arial"/>
              </w:rPr>
              <w:t>11,340</w:t>
            </w:r>
          </w:p>
        </w:tc>
        <w:tc>
          <w:tcPr>
            <w:tcW w:w="938" w:type="dxa"/>
            <w:tcBorders>
              <w:bottom w:val="single" w:sz="4" w:space="0" w:color="000000"/>
            </w:tcBorders>
          </w:tcPr>
          <w:p w14:paraId="4EFA5B33" w14:textId="77777777" w:rsidR="007123C7" w:rsidRPr="001F3926" w:rsidRDefault="007123C7" w:rsidP="00E82294">
            <w:pPr>
              <w:pStyle w:val="TableText"/>
              <w:jc w:val="right"/>
            </w:pPr>
            <w:r w:rsidRPr="001F3926">
              <w:rPr>
                <w:rFonts w:cs="Arial"/>
              </w:rPr>
              <w:t>89.5 (87.9</w:t>
            </w:r>
            <w:r w:rsidR="00BC369E" w:rsidRPr="001F3926">
              <w:rPr>
                <w:rFonts w:cs="Arial"/>
              </w:rPr>
              <w:t>, </w:t>
            </w:r>
            <w:r w:rsidRPr="001F3926">
              <w:rPr>
                <w:rFonts w:cs="Arial"/>
              </w:rPr>
              <w:t>91.0)</w:t>
            </w:r>
          </w:p>
        </w:tc>
        <w:tc>
          <w:tcPr>
            <w:tcW w:w="592" w:type="dxa"/>
            <w:tcBorders>
              <w:bottom w:val="single" w:sz="4" w:space="0" w:color="000000"/>
            </w:tcBorders>
          </w:tcPr>
          <w:p w14:paraId="75898D23" w14:textId="77777777" w:rsidR="007123C7" w:rsidRPr="001F3926" w:rsidRDefault="007123C7" w:rsidP="00E82294">
            <w:pPr>
              <w:pStyle w:val="TableText"/>
              <w:jc w:val="right"/>
            </w:pPr>
            <w:r w:rsidRPr="001F3926">
              <w:rPr>
                <w:rFonts w:cs="Arial"/>
              </w:rPr>
              <w:t>239</w:t>
            </w:r>
          </w:p>
        </w:tc>
        <w:tc>
          <w:tcPr>
            <w:tcW w:w="810" w:type="dxa"/>
            <w:tcBorders>
              <w:bottom w:val="single" w:sz="4" w:space="0" w:color="000000"/>
            </w:tcBorders>
          </w:tcPr>
          <w:p w14:paraId="38F88136" w14:textId="77777777" w:rsidR="007123C7" w:rsidRPr="001F3926" w:rsidRDefault="007123C7" w:rsidP="00E82294">
            <w:pPr>
              <w:pStyle w:val="TableText"/>
              <w:jc w:val="right"/>
            </w:pPr>
            <w:r w:rsidRPr="001F3926">
              <w:rPr>
                <w:rFonts w:cs="Arial"/>
              </w:rPr>
              <w:t>1326</w:t>
            </w:r>
          </w:p>
        </w:tc>
        <w:tc>
          <w:tcPr>
            <w:tcW w:w="887" w:type="dxa"/>
            <w:tcBorders>
              <w:bottom w:val="single" w:sz="4" w:space="0" w:color="000000"/>
            </w:tcBorders>
          </w:tcPr>
          <w:p w14:paraId="3081B415" w14:textId="77777777" w:rsidR="007123C7" w:rsidRPr="001F3926" w:rsidRDefault="007123C7" w:rsidP="00E82294">
            <w:pPr>
              <w:pStyle w:val="TableText"/>
              <w:jc w:val="right"/>
            </w:pPr>
            <w:r w:rsidRPr="001F3926">
              <w:rPr>
                <w:rFonts w:cs="Arial"/>
              </w:rPr>
              <w:t>10.5 (9.0</w:t>
            </w:r>
            <w:r w:rsidR="00BC369E" w:rsidRPr="001F3926">
              <w:rPr>
                <w:rFonts w:cs="Arial"/>
              </w:rPr>
              <w:t>, </w:t>
            </w:r>
            <w:r w:rsidRPr="001F3926">
              <w:rPr>
                <w:rFonts w:cs="Arial"/>
              </w:rPr>
              <w:t>12.1)</w:t>
            </w:r>
          </w:p>
        </w:tc>
        <w:tc>
          <w:tcPr>
            <w:tcW w:w="643" w:type="dxa"/>
            <w:tcBorders>
              <w:bottom w:val="single" w:sz="4" w:space="0" w:color="000000"/>
            </w:tcBorders>
          </w:tcPr>
          <w:p w14:paraId="7AE65DB2" w14:textId="77777777" w:rsidR="007123C7" w:rsidRPr="001F3926" w:rsidRDefault="007123C7" w:rsidP="00E82294">
            <w:pPr>
              <w:pStyle w:val="TableText"/>
              <w:jc w:val="right"/>
            </w:pPr>
            <w:r w:rsidRPr="001F3926">
              <w:rPr>
                <w:rFonts w:cs="Arial"/>
              </w:rPr>
              <w:t>4679</w:t>
            </w:r>
          </w:p>
        </w:tc>
        <w:tc>
          <w:tcPr>
            <w:tcW w:w="810" w:type="dxa"/>
            <w:tcBorders>
              <w:bottom w:val="single" w:sz="4" w:space="0" w:color="000000"/>
            </w:tcBorders>
          </w:tcPr>
          <w:p w14:paraId="72A56E39" w14:textId="77777777" w:rsidR="007123C7" w:rsidRPr="001F3926" w:rsidRDefault="007123C7" w:rsidP="00E82294">
            <w:pPr>
              <w:pStyle w:val="TableText"/>
              <w:jc w:val="right"/>
            </w:pPr>
            <w:r w:rsidRPr="001F3926">
              <w:rPr>
                <w:rFonts w:cs="Arial"/>
              </w:rPr>
              <w:t>30,858</w:t>
            </w:r>
          </w:p>
        </w:tc>
        <w:tc>
          <w:tcPr>
            <w:tcW w:w="836" w:type="dxa"/>
            <w:tcBorders>
              <w:bottom w:val="single" w:sz="4" w:space="0" w:color="000000"/>
            </w:tcBorders>
          </w:tcPr>
          <w:p w14:paraId="4F826496" w14:textId="77777777" w:rsidR="007123C7" w:rsidRPr="001F3926" w:rsidRDefault="007123C7" w:rsidP="00E82294">
            <w:pPr>
              <w:pStyle w:val="TableText"/>
              <w:jc w:val="right"/>
            </w:pPr>
            <w:r w:rsidRPr="001F3926">
              <w:rPr>
                <w:rFonts w:cs="Arial"/>
              </w:rPr>
              <w:t>91.9 (89.8</w:t>
            </w:r>
            <w:r w:rsidR="00BC369E" w:rsidRPr="001F3926">
              <w:rPr>
                <w:rFonts w:cs="Arial"/>
              </w:rPr>
              <w:t>, </w:t>
            </w:r>
            <w:r w:rsidRPr="001F3926">
              <w:rPr>
                <w:rFonts w:cs="Arial"/>
              </w:rPr>
              <w:t>93.6)</w:t>
            </w:r>
          </w:p>
        </w:tc>
        <w:tc>
          <w:tcPr>
            <w:tcW w:w="604" w:type="dxa"/>
            <w:tcBorders>
              <w:bottom w:val="single" w:sz="4" w:space="0" w:color="000000"/>
            </w:tcBorders>
          </w:tcPr>
          <w:p w14:paraId="5859AD46" w14:textId="77777777" w:rsidR="007123C7" w:rsidRPr="001F3926" w:rsidRDefault="007123C7" w:rsidP="00E82294">
            <w:pPr>
              <w:pStyle w:val="TableText"/>
              <w:jc w:val="right"/>
            </w:pPr>
            <w:r w:rsidRPr="001F3926">
              <w:rPr>
                <w:rFonts w:cs="Arial"/>
              </w:rPr>
              <w:t>495</w:t>
            </w:r>
          </w:p>
        </w:tc>
        <w:tc>
          <w:tcPr>
            <w:tcW w:w="810" w:type="dxa"/>
            <w:tcBorders>
              <w:bottom w:val="single" w:sz="4" w:space="0" w:color="000000"/>
            </w:tcBorders>
          </w:tcPr>
          <w:p w14:paraId="03594E05" w14:textId="77777777" w:rsidR="007123C7" w:rsidRPr="001F3926" w:rsidRDefault="007123C7" w:rsidP="00E82294">
            <w:pPr>
              <w:pStyle w:val="TableText"/>
              <w:jc w:val="right"/>
            </w:pPr>
            <w:r w:rsidRPr="001F3926">
              <w:rPr>
                <w:rFonts w:cs="Arial"/>
              </w:rPr>
              <w:t>2718</w:t>
            </w:r>
          </w:p>
        </w:tc>
        <w:tc>
          <w:tcPr>
            <w:tcW w:w="875" w:type="dxa"/>
            <w:tcBorders>
              <w:bottom w:val="single" w:sz="4" w:space="0" w:color="000000"/>
            </w:tcBorders>
          </w:tcPr>
          <w:p w14:paraId="1412C566" w14:textId="77777777" w:rsidR="007123C7" w:rsidRPr="001F3926" w:rsidRDefault="007123C7" w:rsidP="00E82294">
            <w:pPr>
              <w:pStyle w:val="TableText"/>
              <w:jc w:val="right"/>
            </w:pPr>
            <w:r w:rsidRPr="001F3926">
              <w:rPr>
                <w:rFonts w:cs="Arial"/>
              </w:rPr>
              <w:t>8.1 (6.4</w:t>
            </w:r>
            <w:r w:rsidR="00BC369E" w:rsidRPr="001F3926">
              <w:rPr>
                <w:rFonts w:cs="Arial"/>
              </w:rPr>
              <w:t>, </w:t>
            </w:r>
            <w:r w:rsidRPr="001F3926">
              <w:rPr>
                <w:rFonts w:cs="Arial"/>
              </w:rPr>
              <w:t>10.2)</w:t>
            </w:r>
          </w:p>
        </w:tc>
      </w:tr>
      <w:tr w:rsidR="00BC369E" w:rsidRPr="001F3926" w14:paraId="1926D220"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bottom w:val="nil"/>
            </w:tcBorders>
          </w:tcPr>
          <w:p w14:paraId="36D87572" w14:textId="77777777" w:rsidR="007123C7" w:rsidRPr="001F3926" w:rsidRDefault="007123C7" w:rsidP="00E82294">
            <w:pPr>
              <w:pStyle w:val="TableText"/>
              <w:rPr>
                <w:b/>
              </w:rPr>
            </w:pPr>
            <w:r w:rsidRPr="001F3926">
              <w:rPr>
                <w:b/>
              </w:rPr>
              <w:t>12-month suicidal ideation and behaviour</w:t>
            </w:r>
          </w:p>
        </w:tc>
        <w:tc>
          <w:tcPr>
            <w:tcW w:w="540" w:type="dxa"/>
            <w:tcBorders>
              <w:top w:val="single" w:sz="4" w:space="0" w:color="000000"/>
              <w:bottom w:val="nil"/>
            </w:tcBorders>
          </w:tcPr>
          <w:p w14:paraId="291E7786" w14:textId="77777777" w:rsidR="007123C7" w:rsidRPr="001F3926" w:rsidRDefault="007123C7" w:rsidP="00E82294">
            <w:pPr>
              <w:pStyle w:val="TableText"/>
              <w:jc w:val="right"/>
            </w:pPr>
          </w:p>
        </w:tc>
        <w:tc>
          <w:tcPr>
            <w:tcW w:w="810" w:type="dxa"/>
            <w:tcBorders>
              <w:top w:val="single" w:sz="4" w:space="0" w:color="000000"/>
              <w:bottom w:val="nil"/>
            </w:tcBorders>
          </w:tcPr>
          <w:p w14:paraId="10DC12BE" w14:textId="77777777" w:rsidR="007123C7" w:rsidRPr="001F3926" w:rsidRDefault="007123C7" w:rsidP="00E82294">
            <w:pPr>
              <w:pStyle w:val="TableText"/>
              <w:jc w:val="right"/>
            </w:pPr>
          </w:p>
        </w:tc>
        <w:tc>
          <w:tcPr>
            <w:tcW w:w="938" w:type="dxa"/>
            <w:tcBorders>
              <w:top w:val="single" w:sz="4" w:space="0" w:color="000000"/>
              <w:bottom w:val="nil"/>
            </w:tcBorders>
          </w:tcPr>
          <w:p w14:paraId="65C7CC4D" w14:textId="77777777" w:rsidR="007123C7" w:rsidRPr="001F3926" w:rsidRDefault="007123C7" w:rsidP="00E82294">
            <w:pPr>
              <w:pStyle w:val="TableText"/>
              <w:jc w:val="right"/>
            </w:pPr>
          </w:p>
        </w:tc>
        <w:tc>
          <w:tcPr>
            <w:tcW w:w="592" w:type="dxa"/>
            <w:tcBorders>
              <w:top w:val="single" w:sz="4" w:space="0" w:color="000000"/>
              <w:bottom w:val="nil"/>
            </w:tcBorders>
          </w:tcPr>
          <w:p w14:paraId="3CF5988A" w14:textId="77777777" w:rsidR="007123C7" w:rsidRPr="001F3926" w:rsidRDefault="007123C7" w:rsidP="00E82294">
            <w:pPr>
              <w:pStyle w:val="TableText"/>
              <w:jc w:val="right"/>
            </w:pPr>
          </w:p>
        </w:tc>
        <w:tc>
          <w:tcPr>
            <w:tcW w:w="810" w:type="dxa"/>
            <w:tcBorders>
              <w:top w:val="single" w:sz="4" w:space="0" w:color="000000"/>
              <w:bottom w:val="nil"/>
            </w:tcBorders>
          </w:tcPr>
          <w:p w14:paraId="34E9B58F" w14:textId="77777777" w:rsidR="007123C7" w:rsidRPr="001F3926" w:rsidRDefault="007123C7" w:rsidP="00E82294">
            <w:pPr>
              <w:pStyle w:val="TableText"/>
              <w:jc w:val="right"/>
            </w:pPr>
          </w:p>
        </w:tc>
        <w:tc>
          <w:tcPr>
            <w:tcW w:w="887" w:type="dxa"/>
            <w:tcBorders>
              <w:top w:val="single" w:sz="4" w:space="0" w:color="000000"/>
              <w:bottom w:val="nil"/>
            </w:tcBorders>
          </w:tcPr>
          <w:p w14:paraId="04E6F71C" w14:textId="77777777" w:rsidR="007123C7" w:rsidRPr="001F3926" w:rsidRDefault="007123C7" w:rsidP="00E82294">
            <w:pPr>
              <w:pStyle w:val="TableText"/>
              <w:jc w:val="right"/>
            </w:pPr>
          </w:p>
        </w:tc>
        <w:tc>
          <w:tcPr>
            <w:tcW w:w="643" w:type="dxa"/>
            <w:tcBorders>
              <w:top w:val="single" w:sz="4" w:space="0" w:color="000000"/>
              <w:bottom w:val="nil"/>
            </w:tcBorders>
          </w:tcPr>
          <w:p w14:paraId="2BA29D94" w14:textId="77777777" w:rsidR="007123C7" w:rsidRPr="001F3926" w:rsidRDefault="007123C7" w:rsidP="00E82294">
            <w:pPr>
              <w:pStyle w:val="TableText"/>
              <w:jc w:val="right"/>
            </w:pPr>
          </w:p>
        </w:tc>
        <w:tc>
          <w:tcPr>
            <w:tcW w:w="810" w:type="dxa"/>
            <w:tcBorders>
              <w:top w:val="single" w:sz="4" w:space="0" w:color="000000"/>
              <w:bottom w:val="nil"/>
            </w:tcBorders>
          </w:tcPr>
          <w:p w14:paraId="1883F748" w14:textId="77777777" w:rsidR="007123C7" w:rsidRPr="001F3926" w:rsidRDefault="007123C7" w:rsidP="00E82294">
            <w:pPr>
              <w:pStyle w:val="TableText"/>
              <w:jc w:val="right"/>
            </w:pPr>
          </w:p>
        </w:tc>
        <w:tc>
          <w:tcPr>
            <w:tcW w:w="836" w:type="dxa"/>
            <w:tcBorders>
              <w:top w:val="single" w:sz="4" w:space="0" w:color="000000"/>
              <w:bottom w:val="nil"/>
            </w:tcBorders>
          </w:tcPr>
          <w:p w14:paraId="19B247B2" w14:textId="77777777" w:rsidR="007123C7" w:rsidRPr="001F3926" w:rsidRDefault="007123C7" w:rsidP="00E82294">
            <w:pPr>
              <w:pStyle w:val="TableText"/>
              <w:jc w:val="right"/>
            </w:pPr>
          </w:p>
        </w:tc>
        <w:tc>
          <w:tcPr>
            <w:tcW w:w="604" w:type="dxa"/>
            <w:tcBorders>
              <w:top w:val="single" w:sz="4" w:space="0" w:color="000000"/>
              <w:bottom w:val="nil"/>
            </w:tcBorders>
          </w:tcPr>
          <w:p w14:paraId="67753687" w14:textId="77777777" w:rsidR="007123C7" w:rsidRPr="001F3926" w:rsidRDefault="007123C7" w:rsidP="00E82294">
            <w:pPr>
              <w:pStyle w:val="TableText"/>
              <w:jc w:val="right"/>
            </w:pPr>
          </w:p>
        </w:tc>
        <w:tc>
          <w:tcPr>
            <w:tcW w:w="810" w:type="dxa"/>
            <w:tcBorders>
              <w:top w:val="single" w:sz="4" w:space="0" w:color="000000"/>
              <w:bottom w:val="nil"/>
            </w:tcBorders>
          </w:tcPr>
          <w:p w14:paraId="16B9C218" w14:textId="77777777" w:rsidR="007123C7" w:rsidRPr="001F3926" w:rsidRDefault="007123C7" w:rsidP="00E82294">
            <w:pPr>
              <w:pStyle w:val="TableText"/>
              <w:jc w:val="right"/>
            </w:pPr>
          </w:p>
        </w:tc>
        <w:tc>
          <w:tcPr>
            <w:tcW w:w="875" w:type="dxa"/>
            <w:tcBorders>
              <w:top w:val="single" w:sz="4" w:space="0" w:color="000000"/>
              <w:bottom w:val="nil"/>
            </w:tcBorders>
          </w:tcPr>
          <w:p w14:paraId="6F57DF85" w14:textId="77777777" w:rsidR="007123C7" w:rsidRPr="001F3926" w:rsidRDefault="007123C7" w:rsidP="00E82294">
            <w:pPr>
              <w:pStyle w:val="TableText"/>
              <w:jc w:val="right"/>
            </w:pPr>
          </w:p>
        </w:tc>
      </w:tr>
      <w:tr w:rsidR="00BC369E" w:rsidRPr="001F3926" w14:paraId="401D38CB" w14:textId="77777777" w:rsidTr="00BC369E">
        <w:trPr>
          <w:cantSplit/>
        </w:trPr>
        <w:tc>
          <w:tcPr>
            <w:tcW w:w="2365" w:type="dxa"/>
            <w:tcBorders>
              <w:top w:val="nil"/>
            </w:tcBorders>
          </w:tcPr>
          <w:p w14:paraId="0157E32E" w14:textId="77777777" w:rsidR="007123C7" w:rsidRPr="001F3926" w:rsidRDefault="007123C7" w:rsidP="00E82294">
            <w:pPr>
              <w:pStyle w:val="TableText"/>
            </w:pPr>
            <w:r w:rsidRPr="001F3926">
              <w:t>Any suicidality (suicidal ideation or plan)</w:t>
            </w:r>
          </w:p>
        </w:tc>
        <w:tc>
          <w:tcPr>
            <w:tcW w:w="540" w:type="dxa"/>
            <w:tcBorders>
              <w:top w:val="nil"/>
            </w:tcBorders>
          </w:tcPr>
          <w:p w14:paraId="23B30F1D" w14:textId="77777777" w:rsidR="007123C7" w:rsidRPr="001F3926" w:rsidRDefault="007123C7" w:rsidP="00E82294">
            <w:pPr>
              <w:pStyle w:val="TableText"/>
              <w:jc w:val="right"/>
            </w:pPr>
            <w:r w:rsidRPr="001F3926">
              <w:rPr>
                <w:rFonts w:cs="Arial"/>
              </w:rPr>
              <w:t>718</w:t>
            </w:r>
          </w:p>
        </w:tc>
        <w:tc>
          <w:tcPr>
            <w:tcW w:w="810" w:type="dxa"/>
            <w:tcBorders>
              <w:top w:val="nil"/>
            </w:tcBorders>
          </w:tcPr>
          <w:p w14:paraId="2757963E" w14:textId="77777777" w:rsidR="007123C7" w:rsidRPr="001F3926" w:rsidRDefault="007123C7" w:rsidP="00E82294">
            <w:pPr>
              <w:pStyle w:val="TableText"/>
              <w:jc w:val="right"/>
            </w:pPr>
            <w:r w:rsidRPr="001F3926">
              <w:rPr>
                <w:rFonts w:cs="Arial"/>
              </w:rPr>
              <w:t>5183</w:t>
            </w:r>
          </w:p>
        </w:tc>
        <w:tc>
          <w:tcPr>
            <w:tcW w:w="938" w:type="dxa"/>
            <w:tcBorders>
              <w:top w:val="nil"/>
            </w:tcBorders>
          </w:tcPr>
          <w:p w14:paraId="662B8B2C" w14:textId="77777777" w:rsidR="007123C7" w:rsidRPr="001F3926" w:rsidRDefault="007123C7" w:rsidP="00E82294">
            <w:pPr>
              <w:pStyle w:val="TableText"/>
              <w:jc w:val="right"/>
            </w:pPr>
            <w:r w:rsidRPr="001F3926">
              <w:rPr>
                <w:rFonts w:cs="Arial"/>
              </w:rPr>
              <w:t>68.7 (65.5</w:t>
            </w:r>
            <w:r w:rsidR="00BC369E" w:rsidRPr="001F3926">
              <w:rPr>
                <w:rFonts w:cs="Arial"/>
              </w:rPr>
              <w:t>, </w:t>
            </w:r>
            <w:r w:rsidRPr="001F3926">
              <w:rPr>
                <w:rFonts w:cs="Arial"/>
              </w:rPr>
              <w:t>71.8)</w:t>
            </w:r>
          </w:p>
        </w:tc>
        <w:tc>
          <w:tcPr>
            <w:tcW w:w="592" w:type="dxa"/>
            <w:tcBorders>
              <w:top w:val="nil"/>
            </w:tcBorders>
          </w:tcPr>
          <w:p w14:paraId="2F86F37C" w14:textId="77777777" w:rsidR="007123C7" w:rsidRPr="001F3926" w:rsidRDefault="007123C7" w:rsidP="00E82294">
            <w:pPr>
              <w:pStyle w:val="TableText"/>
              <w:jc w:val="right"/>
            </w:pPr>
            <w:r w:rsidRPr="001F3926">
              <w:rPr>
                <w:rFonts w:cs="Arial"/>
              </w:rPr>
              <w:t>402</w:t>
            </w:r>
          </w:p>
        </w:tc>
        <w:tc>
          <w:tcPr>
            <w:tcW w:w="810" w:type="dxa"/>
            <w:tcBorders>
              <w:top w:val="nil"/>
            </w:tcBorders>
          </w:tcPr>
          <w:p w14:paraId="6737ABC5" w14:textId="77777777" w:rsidR="007123C7" w:rsidRPr="001F3926" w:rsidRDefault="007123C7" w:rsidP="00E82294">
            <w:pPr>
              <w:pStyle w:val="TableText"/>
              <w:jc w:val="right"/>
            </w:pPr>
            <w:r w:rsidRPr="001F3926">
              <w:rPr>
                <w:rFonts w:cs="Arial"/>
              </w:rPr>
              <w:t>2358</w:t>
            </w:r>
          </w:p>
        </w:tc>
        <w:tc>
          <w:tcPr>
            <w:tcW w:w="887" w:type="dxa"/>
            <w:tcBorders>
              <w:top w:val="nil"/>
            </w:tcBorders>
          </w:tcPr>
          <w:p w14:paraId="5DC58898" w14:textId="77777777" w:rsidR="007123C7" w:rsidRPr="001F3926" w:rsidRDefault="007123C7" w:rsidP="00E82294">
            <w:pPr>
              <w:pStyle w:val="TableText"/>
              <w:jc w:val="right"/>
            </w:pPr>
            <w:r w:rsidRPr="001F3926">
              <w:rPr>
                <w:rFonts w:cs="Arial"/>
              </w:rPr>
              <w:t>31.3 (28.2</w:t>
            </w:r>
            <w:r w:rsidR="00BC369E" w:rsidRPr="001F3926">
              <w:rPr>
                <w:rFonts w:cs="Arial"/>
              </w:rPr>
              <w:t>, </w:t>
            </w:r>
            <w:r w:rsidRPr="001F3926">
              <w:rPr>
                <w:rFonts w:cs="Arial"/>
              </w:rPr>
              <w:t>34.5)</w:t>
            </w:r>
          </w:p>
        </w:tc>
        <w:tc>
          <w:tcPr>
            <w:tcW w:w="643" w:type="dxa"/>
            <w:tcBorders>
              <w:top w:val="nil"/>
            </w:tcBorders>
          </w:tcPr>
          <w:p w14:paraId="7E161BDC" w14:textId="77777777" w:rsidR="007123C7" w:rsidRPr="001F3926" w:rsidRDefault="007123C7" w:rsidP="00E82294">
            <w:pPr>
              <w:pStyle w:val="TableText"/>
              <w:jc w:val="right"/>
            </w:pPr>
            <w:r w:rsidRPr="001F3926">
              <w:rPr>
                <w:rFonts w:cs="Arial"/>
              </w:rPr>
              <w:t>754</w:t>
            </w:r>
          </w:p>
        </w:tc>
        <w:tc>
          <w:tcPr>
            <w:tcW w:w="810" w:type="dxa"/>
            <w:tcBorders>
              <w:top w:val="nil"/>
            </w:tcBorders>
          </w:tcPr>
          <w:p w14:paraId="3137D5A9" w14:textId="77777777" w:rsidR="007123C7" w:rsidRPr="001F3926" w:rsidRDefault="007123C7" w:rsidP="00E82294">
            <w:pPr>
              <w:pStyle w:val="TableText"/>
              <w:jc w:val="right"/>
            </w:pPr>
            <w:r w:rsidRPr="001F3926">
              <w:rPr>
                <w:rFonts w:cs="Arial"/>
              </w:rPr>
              <w:t>6084</w:t>
            </w:r>
          </w:p>
        </w:tc>
        <w:tc>
          <w:tcPr>
            <w:tcW w:w="836" w:type="dxa"/>
            <w:tcBorders>
              <w:top w:val="nil"/>
            </w:tcBorders>
          </w:tcPr>
          <w:p w14:paraId="460C8F48" w14:textId="77777777" w:rsidR="007123C7" w:rsidRPr="001F3926" w:rsidRDefault="007123C7" w:rsidP="00E82294">
            <w:pPr>
              <w:pStyle w:val="TableText"/>
              <w:jc w:val="right"/>
            </w:pPr>
            <w:r w:rsidRPr="001F3926">
              <w:rPr>
                <w:rFonts w:cs="Arial"/>
              </w:rPr>
              <w:t>84.0 (77.1</w:t>
            </w:r>
            <w:r w:rsidR="00BC369E" w:rsidRPr="001F3926">
              <w:rPr>
                <w:rFonts w:cs="Arial"/>
              </w:rPr>
              <w:t>, </w:t>
            </w:r>
            <w:r w:rsidRPr="001F3926">
              <w:rPr>
                <w:rFonts w:cs="Arial"/>
              </w:rPr>
              <w:t>89.1)</w:t>
            </w:r>
          </w:p>
        </w:tc>
        <w:tc>
          <w:tcPr>
            <w:tcW w:w="604" w:type="dxa"/>
            <w:tcBorders>
              <w:top w:val="nil"/>
            </w:tcBorders>
          </w:tcPr>
          <w:p w14:paraId="6AE1A3A8" w14:textId="77777777" w:rsidR="007123C7" w:rsidRPr="001F3926" w:rsidRDefault="007123C7" w:rsidP="00E82294">
            <w:pPr>
              <w:pStyle w:val="TableText"/>
              <w:jc w:val="right"/>
            </w:pPr>
            <w:r w:rsidRPr="001F3926">
              <w:rPr>
                <w:rFonts w:cs="Arial"/>
              </w:rPr>
              <w:t>220</w:t>
            </w:r>
          </w:p>
        </w:tc>
        <w:tc>
          <w:tcPr>
            <w:tcW w:w="810" w:type="dxa"/>
            <w:tcBorders>
              <w:top w:val="nil"/>
            </w:tcBorders>
          </w:tcPr>
          <w:p w14:paraId="6D505073" w14:textId="77777777" w:rsidR="007123C7" w:rsidRPr="001F3926" w:rsidRDefault="007123C7" w:rsidP="00E82294">
            <w:pPr>
              <w:pStyle w:val="TableText"/>
              <w:jc w:val="right"/>
            </w:pPr>
            <w:r w:rsidRPr="001F3926">
              <w:rPr>
                <w:rFonts w:cs="Arial"/>
              </w:rPr>
              <w:t>1161</w:t>
            </w:r>
          </w:p>
        </w:tc>
        <w:tc>
          <w:tcPr>
            <w:tcW w:w="875" w:type="dxa"/>
            <w:tcBorders>
              <w:top w:val="nil"/>
            </w:tcBorders>
          </w:tcPr>
          <w:p w14:paraId="3D2B45B0" w14:textId="77777777" w:rsidR="007123C7" w:rsidRPr="001F3926" w:rsidRDefault="007123C7" w:rsidP="00E82294">
            <w:pPr>
              <w:pStyle w:val="TableText"/>
              <w:jc w:val="right"/>
            </w:pPr>
            <w:r w:rsidRPr="001F3926">
              <w:rPr>
                <w:rFonts w:cs="Arial"/>
              </w:rPr>
              <w:t>16.0 (10.9</w:t>
            </w:r>
            <w:r w:rsidR="00BC369E" w:rsidRPr="001F3926">
              <w:rPr>
                <w:rFonts w:cs="Arial"/>
              </w:rPr>
              <w:t>, </w:t>
            </w:r>
            <w:r w:rsidRPr="001F3926">
              <w:rPr>
                <w:rFonts w:cs="Arial"/>
              </w:rPr>
              <w:t>22.9)</w:t>
            </w:r>
          </w:p>
        </w:tc>
      </w:tr>
      <w:tr w:rsidR="00BC369E" w:rsidRPr="001F3926" w14:paraId="1596FAD7"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Pr>
          <w:p w14:paraId="3C18A501" w14:textId="77777777" w:rsidR="007123C7" w:rsidRPr="001F3926" w:rsidRDefault="007123C7" w:rsidP="00E82294">
            <w:pPr>
              <w:pStyle w:val="TableText"/>
            </w:pPr>
            <w:r w:rsidRPr="001F3926">
              <w:t xml:space="preserve">Suicidal ideation </w:t>
            </w:r>
          </w:p>
        </w:tc>
        <w:tc>
          <w:tcPr>
            <w:tcW w:w="540" w:type="dxa"/>
          </w:tcPr>
          <w:p w14:paraId="187EE85D" w14:textId="77777777" w:rsidR="007123C7" w:rsidRPr="001F3926" w:rsidRDefault="007123C7" w:rsidP="00E82294">
            <w:pPr>
              <w:pStyle w:val="TableText"/>
              <w:jc w:val="right"/>
            </w:pPr>
            <w:r w:rsidRPr="001F3926">
              <w:rPr>
                <w:rFonts w:cs="Arial"/>
              </w:rPr>
              <w:t>547</w:t>
            </w:r>
          </w:p>
        </w:tc>
        <w:tc>
          <w:tcPr>
            <w:tcW w:w="810" w:type="dxa"/>
          </w:tcPr>
          <w:p w14:paraId="57A4F8D2" w14:textId="77777777" w:rsidR="007123C7" w:rsidRPr="001F3926" w:rsidRDefault="007123C7" w:rsidP="00E82294">
            <w:pPr>
              <w:pStyle w:val="TableText"/>
              <w:jc w:val="right"/>
            </w:pPr>
            <w:r w:rsidRPr="001F3926">
              <w:rPr>
                <w:rFonts w:cs="Arial"/>
              </w:rPr>
              <w:t>3981</w:t>
            </w:r>
          </w:p>
        </w:tc>
        <w:tc>
          <w:tcPr>
            <w:tcW w:w="938" w:type="dxa"/>
          </w:tcPr>
          <w:p w14:paraId="6EEA839A" w14:textId="77777777" w:rsidR="007123C7" w:rsidRPr="001F3926" w:rsidRDefault="007123C7" w:rsidP="00E82294">
            <w:pPr>
              <w:pStyle w:val="TableText"/>
              <w:jc w:val="right"/>
            </w:pPr>
            <w:r w:rsidRPr="001F3926">
              <w:rPr>
                <w:rFonts w:cs="Arial"/>
              </w:rPr>
              <w:t>72.8 (69.1</w:t>
            </w:r>
            <w:r w:rsidR="00BC369E" w:rsidRPr="001F3926">
              <w:rPr>
                <w:rFonts w:cs="Arial"/>
              </w:rPr>
              <w:t>, </w:t>
            </w:r>
            <w:r w:rsidRPr="001F3926">
              <w:rPr>
                <w:rFonts w:cs="Arial"/>
              </w:rPr>
              <w:t>76.2)</w:t>
            </w:r>
          </w:p>
        </w:tc>
        <w:tc>
          <w:tcPr>
            <w:tcW w:w="592" w:type="dxa"/>
          </w:tcPr>
          <w:p w14:paraId="35C799B1" w14:textId="77777777" w:rsidR="007123C7" w:rsidRPr="001F3926" w:rsidRDefault="007123C7" w:rsidP="00E82294">
            <w:pPr>
              <w:pStyle w:val="TableText"/>
              <w:jc w:val="right"/>
            </w:pPr>
            <w:r w:rsidRPr="001F3926">
              <w:rPr>
                <w:rFonts w:cs="Arial"/>
              </w:rPr>
              <w:t>256</w:t>
            </w:r>
          </w:p>
        </w:tc>
        <w:tc>
          <w:tcPr>
            <w:tcW w:w="810" w:type="dxa"/>
          </w:tcPr>
          <w:p w14:paraId="455FE0C2" w14:textId="77777777" w:rsidR="007123C7" w:rsidRPr="001F3926" w:rsidRDefault="007123C7" w:rsidP="00E82294">
            <w:pPr>
              <w:pStyle w:val="TableText"/>
              <w:jc w:val="right"/>
            </w:pPr>
            <w:r w:rsidRPr="001F3926">
              <w:rPr>
                <w:rFonts w:cs="Arial"/>
              </w:rPr>
              <w:t>1486</w:t>
            </w:r>
          </w:p>
        </w:tc>
        <w:tc>
          <w:tcPr>
            <w:tcW w:w="887" w:type="dxa"/>
          </w:tcPr>
          <w:p w14:paraId="0A3E5AEE" w14:textId="77777777" w:rsidR="007123C7" w:rsidRPr="001F3926" w:rsidRDefault="007123C7" w:rsidP="00E82294">
            <w:pPr>
              <w:pStyle w:val="TableText"/>
              <w:jc w:val="right"/>
            </w:pPr>
            <w:r w:rsidRPr="001F3926">
              <w:rPr>
                <w:rFonts w:cs="Arial"/>
              </w:rPr>
              <w:t>27.2 (23.8</w:t>
            </w:r>
            <w:r w:rsidR="00BC369E" w:rsidRPr="001F3926">
              <w:rPr>
                <w:rFonts w:cs="Arial"/>
              </w:rPr>
              <w:t>, </w:t>
            </w:r>
            <w:r w:rsidRPr="001F3926">
              <w:rPr>
                <w:rFonts w:cs="Arial"/>
              </w:rPr>
              <w:t>30.9)</w:t>
            </w:r>
          </w:p>
        </w:tc>
        <w:tc>
          <w:tcPr>
            <w:tcW w:w="643" w:type="dxa"/>
          </w:tcPr>
          <w:p w14:paraId="153317E2" w14:textId="77777777" w:rsidR="007123C7" w:rsidRPr="001F3926" w:rsidRDefault="007123C7" w:rsidP="00E82294">
            <w:pPr>
              <w:pStyle w:val="TableText"/>
              <w:jc w:val="right"/>
            </w:pPr>
            <w:r w:rsidRPr="001F3926">
              <w:rPr>
                <w:rFonts w:cs="Arial"/>
              </w:rPr>
              <w:t>654</w:t>
            </w:r>
          </w:p>
        </w:tc>
        <w:tc>
          <w:tcPr>
            <w:tcW w:w="810" w:type="dxa"/>
          </w:tcPr>
          <w:p w14:paraId="6427EE26" w14:textId="77777777" w:rsidR="007123C7" w:rsidRPr="001F3926" w:rsidRDefault="007123C7" w:rsidP="00E82294">
            <w:pPr>
              <w:pStyle w:val="TableText"/>
              <w:jc w:val="right"/>
            </w:pPr>
            <w:r w:rsidRPr="001F3926">
              <w:rPr>
                <w:rFonts w:cs="Arial"/>
              </w:rPr>
              <w:t>5392</w:t>
            </w:r>
          </w:p>
        </w:tc>
        <w:tc>
          <w:tcPr>
            <w:tcW w:w="836" w:type="dxa"/>
          </w:tcPr>
          <w:p w14:paraId="6AE818B8" w14:textId="77777777" w:rsidR="007123C7" w:rsidRPr="001F3926" w:rsidRDefault="007123C7" w:rsidP="00E82294">
            <w:pPr>
              <w:pStyle w:val="TableText"/>
              <w:jc w:val="right"/>
            </w:pPr>
            <w:r w:rsidRPr="001F3926">
              <w:rPr>
                <w:rFonts w:cs="Arial"/>
              </w:rPr>
              <w:t>86.7 (81.8</w:t>
            </w:r>
            <w:r w:rsidR="00BC369E" w:rsidRPr="001F3926">
              <w:rPr>
                <w:rFonts w:cs="Arial"/>
              </w:rPr>
              <w:t>, </w:t>
            </w:r>
            <w:r w:rsidRPr="001F3926">
              <w:rPr>
                <w:rFonts w:cs="Arial"/>
              </w:rPr>
              <w:t>90.4)</w:t>
            </w:r>
          </w:p>
        </w:tc>
        <w:tc>
          <w:tcPr>
            <w:tcW w:w="604" w:type="dxa"/>
          </w:tcPr>
          <w:p w14:paraId="650940C7" w14:textId="77777777" w:rsidR="007123C7" w:rsidRPr="001F3926" w:rsidRDefault="007123C7" w:rsidP="00E82294">
            <w:pPr>
              <w:pStyle w:val="TableText"/>
              <w:jc w:val="right"/>
            </w:pPr>
            <w:r w:rsidRPr="001F3926">
              <w:rPr>
                <w:rFonts w:cs="Arial"/>
              </w:rPr>
              <w:t>173</w:t>
            </w:r>
          </w:p>
        </w:tc>
        <w:tc>
          <w:tcPr>
            <w:tcW w:w="810" w:type="dxa"/>
          </w:tcPr>
          <w:p w14:paraId="2F070EE6" w14:textId="77777777" w:rsidR="007123C7" w:rsidRPr="001F3926" w:rsidRDefault="007123C7" w:rsidP="00E82294">
            <w:pPr>
              <w:pStyle w:val="TableText"/>
              <w:jc w:val="right"/>
            </w:pPr>
            <w:r w:rsidRPr="001F3926">
              <w:rPr>
                <w:rFonts w:cs="Arial"/>
              </w:rPr>
              <w:t>829</w:t>
            </w:r>
          </w:p>
        </w:tc>
        <w:tc>
          <w:tcPr>
            <w:tcW w:w="875" w:type="dxa"/>
          </w:tcPr>
          <w:p w14:paraId="3CD36A04" w14:textId="77777777" w:rsidR="007123C7" w:rsidRPr="001F3926" w:rsidRDefault="007123C7" w:rsidP="00E82294">
            <w:pPr>
              <w:pStyle w:val="TableText"/>
              <w:jc w:val="right"/>
            </w:pPr>
            <w:r w:rsidRPr="001F3926">
              <w:rPr>
                <w:rFonts w:cs="Arial"/>
              </w:rPr>
              <w:t>13.3 (9.6</w:t>
            </w:r>
            <w:r w:rsidR="00BC369E" w:rsidRPr="001F3926">
              <w:rPr>
                <w:rFonts w:cs="Arial"/>
              </w:rPr>
              <w:t>, </w:t>
            </w:r>
            <w:r w:rsidRPr="001F3926">
              <w:rPr>
                <w:rFonts w:cs="Arial"/>
              </w:rPr>
              <w:t>18.2)</w:t>
            </w:r>
          </w:p>
        </w:tc>
      </w:tr>
      <w:tr w:rsidR="00BC369E" w:rsidRPr="001F3926" w14:paraId="55A46052" w14:textId="77777777" w:rsidTr="00BC369E">
        <w:trPr>
          <w:cantSplit/>
        </w:trPr>
        <w:tc>
          <w:tcPr>
            <w:tcW w:w="2365" w:type="dxa"/>
          </w:tcPr>
          <w:p w14:paraId="5C21C659" w14:textId="77777777" w:rsidR="007123C7" w:rsidRPr="001F3926" w:rsidRDefault="007123C7" w:rsidP="00E82294">
            <w:pPr>
              <w:pStyle w:val="TableText"/>
            </w:pPr>
            <w:r w:rsidRPr="001F3926">
              <w:t>Suicidal plan</w:t>
            </w:r>
          </w:p>
        </w:tc>
        <w:tc>
          <w:tcPr>
            <w:tcW w:w="540" w:type="dxa"/>
          </w:tcPr>
          <w:p w14:paraId="16C31FAC" w14:textId="77777777" w:rsidR="007123C7" w:rsidRPr="001F3926" w:rsidRDefault="007123C7" w:rsidP="00E82294">
            <w:pPr>
              <w:pStyle w:val="TableText"/>
              <w:jc w:val="right"/>
            </w:pPr>
            <w:r w:rsidRPr="001F3926">
              <w:rPr>
                <w:rFonts w:cs="Arial"/>
              </w:rPr>
              <w:t>171</w:t>
            </w:r>
          </w:p>
        </w:tc>
        <w:tc>
          <w:tcPr>
            <w:tcW w:w="810" w:type="dxa"/>
          </w:tcPr>
          <w:p w14:paraId="56A2CD12" w14:textId="77777777" w:rsidR="007123C7" w:rsidRPr="001F3926" w:rsidRDefault="007123C7" w:rsidP="00E82294">
            <w:pPr>
              <w:pStyle w:val="TableText"/>
              <w:jc w:val="right"/>
            </w:pPr>
            <w:r w:rsidRPr="001F3926">
              <w:rPr>
                <w:rFonts w:cs="Arial"/>
              </w:rPr>
              <w:t>1202</w:t>
            </w:r>
          </w:p>
        </w:tc>
        <w:tc>
          <w:tcPr>
            <w:tcW w:w="938" w:type="dxa"/>
          </w:tcPr>
          <w:p w14:paraId="3EA1FF3C" w14:textId="77777777" w:rsidR="007123C7" w:rsidRPr="001F3926" w:rsidRDefault="007123C7" w:rsidP="00E82294">
            <w:pPr>
              <w:pStyle w:val="TableText"/>
              <w:jc w:val="right"/>
            </w:pPr>
            <w:r w:rsidRPr="001F3926">
              <w:rPr>
                <w:rFonts w:cs="Arial"/>
              </w:rPr>
              <w:t>58.0 (51.4</w:t>
            </w:r>
            <w:r w:rsidR="00BC369E" w:rsidRPr="001F3926">
              <w:rPr>
                <w:rFonts w:cs="Arial"/>
              </w:rPr>
              <w:t>, </w:t>
            </w:r>
            <w:r w:rsidRPr="001F3926">
              <w:rPr>
                <w:rFonts w:cs="Arial"/>
              </w:rPr>
              <w:t>64.3)</w:t>
            </w:r>
          </w:p>
        </w:tc>
        <w:tc>
          <w:tcPr>
            <w:tcW w:w="592" w:type="dxa"/>
          </w:tcPr>
          <w:p w14:paraId="67C97683" w14:textId="77777777" w:rsidR="007123C7" w:rsidRPr="001F3926" w:rsidRDefault="007123C7" w:rsidP="00E82294">
            <w:pPr>
              <w:pStyle w:val="TableText"/>
              <w:jc w:val="right"/>
            </w:pPr>
            <w:r w:rsidRPr="001F3926">
              <w:rPr>
                <w:rFonts w:cs="Arial"/>
              </w:rPr>
              <w:t>146</w:t>
            </w:r>
          </w:p>
        </w:tc>
        <w:tc>
          <w:tcPr>
            <w:tcW w:w="810" w:type="dxa"/>
          </w:tcPr>
          <w:p w14:paraId="36D47800" w14:textId="77777777" w:rsidR="007123C7" w:rsidRPr="001F3926" w:rsidRDefault="007123C7" w:rsidP="00E82294">
            <w:pPr>
              <w:pStyle w:val="TableText"/>
              <w:jc w:val="right"/>
            </w:pPr>
            <w:r w:rsidRPr="001F3926">
              <w:rPr>
                <w:rFonts w:cs="Arial"/>
              </w:rPr>
              <w:t>872</w:t>
            </w:r>
          </w:p>
        </w:tc>
        <w:tc>
          <w:tcPr>
            <w:tcW w:w="887" w:type="dxa"/>
          </w:tcPr>
          <w:p w14:paraId="100C6DDF" w14:textId="77777777" w:rsidR="007123C7" w:rsidRPr="001F3926" w:rsidRDefault="007123C7" w:rsidP="00E82294">
            <w:pPr>
              <w:pStyle w:val="TableText"/>
              <w:jc w:val="right"/>
            </w:pPr>
            <w:r w:rsidRPr="001F3926">
              <w:rPr>
                <w:rFonts w:cs="Arial"/>
              </w:rPr>
              <w:t>42.0 (35.7</w:t>
            </w:r>
            <w:r w:rsidR="00BC369E" w:rsidRPr="001F3926">
              <w:rPr>
                <w:rFonts w:cs="Arial"/>
              </w:rPr>
              <w:t>, </w:t>
            </w:r>
            <w:r w:rsidRPr="001F3926">
              <w:rPr>
                <w:rFonts w:cs="Arial"/>
              </w:rPr>
              <w:t>48.6)</w:t>
            </w:r>
          </w:p>
        </w:tc>
        <w:tc>
          <w:tcPr>
            <w:tcW w:w="643" w:type="dxa"/>
          </w:tcPr>
          <w:p w14:paraId="47DFBDA2" w14:textId="77777777" w:rsidR="007123C7" w:rsidRPr="001F3926" w:rsidRDefault="007123C7" w:rsidP="00E82294">
            <w:pPr>
              <w:pStyle w:val="TableText"/>
              <w:jc w:val="right"/>
            </w:pPr>
            <w:r w:rsidRPr="001F3926">
              <w:rPr>
                <w:rFonts w:cs="Arial"/>
              </w:rPr>
              <w:t>100</w:t>
            </w:r>
          </w:p>
        </w:tc>
        <w:tc>
          <w:tcPr>
            <w:tcW w:w="810" w:type="dxa"/>
          </w:tcPr>
          <w:p w14:paraId="6D7ABD7A" w14:textId="77777777" w:rsidR="007123C7" w:rsidRPr="001F3926" w:rsidRDefault="007123C7" w:rsidP="00E82294">
            <w:pPr>
              <w:pStyle w:val="TableText"/>
              <w:jc w:val="right"/>
            </w:pPr>
            <w:r w:rsidRPr="001F3926">
              <w:rPr>
                <w:rFonts w:cs="Arial"/>
              </w:rPr>
              <w:t>691</w:t>
            </w:r>
          </w:p>
        </w:tc>
        <w:tc>
          <w:tcPr>
            <w:tcW w:w="836" w:type="dxa"/>
          </w:tcPr>
          <w:p w14:paraId="18C3D20E" w14:textId="77777777" w:rsidR="007123C7" w:rsidRPr="001F3926" w:rsidRDefault="007123C7" w:rsidP="00E82294">
            <w:pPr>
              <w:pStyle w:val="TableText"/>
              <w:jc w:val="right"/>
            </w:pPr>
            <w:r w:rsidRPr="001F3926">
              <w:rPr>
                <w:rFonts w:cs="Arial"/>
              </w:rPr>
              <w:t>67.6 (35.1</w:t>
            </w:r>
            <w:r w:rsidR="00BC369E" w:rsidRPr="001F3926">
              <w:rPr>
                <w:rFonts w:cs="Arial"/>
              </w:rPr>
              <w:t>, </w:t>
            </w:r>
            <w:r w:rsidRPr="001F3926">
              <w:rPr>
                <w:rFonts w:cs="Arial"/>
              </w:rPr>
              <w:t>89.0)</w:t>
            </w:r>
          </w:p>
        </w:tc>
        <w:tc>
          <w:tcPr>
            <w:tcW w:w="604" w:type="dxa"/>
          </w:tcPr>
          <w:p w14:paraId="2B5E29BF" w14:textId="77777777" w:rsidR="007123C7" w:rsidRPr="001F3926" w:rsidRDefault="007123C7" w:rsidP="00E82294">
            <w:pPr>
              <w:pStyle w:val="TableText"/>
              <w:jc w:val="right"/>
            </w:pPr>
            <w:r w:rsidRPr="001F3926">
              <w:rPr>
                <w:rFonts w:cs="Arial"/>
              </w:rPr>
              <w:t>47</w:t>
            </w:r>
          </w:p>
        </w:tc>
        <w:tc>
          <w:tcPr>
            <w:tcW w:w="810" w:type="dxa"/>
          </w:tcPr>
          <w:p w14:paraId="567442E0" w14:textId="77777777" w:rsidR="007123C7" w:rsidRPr="001F3926" w:rsidRDefault="007123C7" w:rsidP="00E82294">
            <w:pPr>
              <w:pStyle w:val="TableText"/>
              <w:jc w:val="right"/>
            </w:pPr>
            <w:r w:rsidRPr="001F3926">
              <w:rPr>
                <w:rFonts w:cs="Arial"/>
              </w:rPr>
              <w:t>331</w:t>
            </w:r>
          </w:p>
        </w:tc>
        <w:tc>
          <w:tcPr>
            <w:tcW w:w="875" w:type="dxa"/>
          </w:tcPr>
          <w:p w14:paraId="453677F2" w14:textId="77777777" w:rsidR="007123C7" w:rsidRPr="001F3926" w:rsidRDefault="007123C7" w:rsidP="00E82294">
            <w:pPr>
              <w:pStyle w:val="TableText"/>
              <w:jc w:val="right"/>
            </w:pPr>
            <w:r w:rsidRPr="001F3926">
              <w:rPr>
                <w:rFonts w:cs="Arial"/>
              </w:rPr>
              <w:t>32.4 (11.0</w:t>
            </w:r>
            <w:r w:rsidR="00BC369E" w:rsidRPr="001F3926">
              <w:rPr>
                <w:rFonts w:cs="Arial"/>
              </w:rPr>
              <w:t>, </w:t>
            </w:r>
            <w:r w:rsidRPr="001F3926">
              <w:rPr>
                <w:rFonts w:cs="Arial"/>
              </w:rPr>
              <w:t>64.9)</w:t>
            </w:r>
          </w:p>
        </w:tc>
      </w:tr>
      <w:tr w:rsidR="00BC369E" w:rsidRPr="001F3926" w14:paraId="25170486"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Borders>
              <w:bottom w:val="single" w:sz="4" w:space="0" w:color="000000"/>
            </w:tcBorders>
          </w:tcPr>
          <w:p w14:paraId="1E1008BA" w14:textId="77777777" w:rsidR="007123C7" w:rsidRPr="001F3926" w:rsidRDefault="007123C7" w:rsidP="00E82294">
            <w:pPr>
              <w:pStyle w:val="TableText"/>
            </w:pPr>
            <w:r w:rsidRPr="001F3926">
              <w:t>Suicide Attempts</w:t>
            </w:r>
          </w:p>
        </w:tc>
        <w:tc>
          <w:tcPr>
            <w:tcW w:w="540" w:type="dxa"/>
            <w:tcBorders>
              <w:bottom w:val="single" w:sz="4" w:space="0" w:color="000000"/>
            </w:tcBorders>
          </w:tcPr>
          <w:p w14:paraId="682B805D" w14:textId="77777777" w:rsidR="007123C7" w:rsidRPr="001F3926" w:rsidRDefault="007123C7" w:rsidP="00E82294">
            <w:pPr>
              <w:pStyle w:val="TableText"/>
              <w:jc w:val="right"/>
              <w:rPr>
                <w:rFonts w:cs="Arial"/>
              </w:rPr>
            </w:pPr>
            <w:r w:rsidRPr="001F3926">
              <w:rPr>
                <w:rFonts w:cs="Arial"/>
              </w:rPr>
              <w:t>36</w:t>
            </w:r>
          </w:p>
        </w:tc>
        <w:tc>
          <w:tcPr>
            <w:tcW w:w="810" w:type="dxa"/>
            <w:tcBorders>
              <w:bottom w:val="single" w:sz="4" w:space="0" w:color="000000"/>
            </w:tcBorders>
          </w:tcPr>
          <w:p w14:paraId="67E863D9" w14:textId="77777777" w:rsidR="007123C7" w:rsidRPr="001F3926" w:rsidRDefault="007123C7" w:rsidP="00E82294">
            <w:pPr>
              <w:pStyle w:val="TableText"/>
              <w:jc w:val="right"/>
              <w:rPr>
                <w:rFonts w:cs="Arial"/>
              </w:rPr>
            </w:pPr>
            <w:r w:rsidRPr="001F3926">
              <w:rPr>
                <w:rFonts w:cs="Arial"/>
              </w:rPr>
              <w:t>236</w:t>
            </w:r>
          </w:p>
        </w:tc>
        <w:tc>
          <w:tcPr>
            <w:tcW w:w="938" w:type="dxa"/>
            <w:tcBorders>
              <w:bottom w:val="single" w:sz="4" w:space="0" w:color="000000"/>
            </w:tcBorders>
          </w:tcPr>
          <w:p w14:paraId="594B6388" w14:textId="77777777" w:rsidR="007123C7" w:rsidRPr="001F3926" w:rsidRDefault="007123C7" w:rsidP="00E82294">
            <w:pPr>
              <w:pStyle w:val="TableText"/>
              <w:jc w:val="right"/>
              <w:rPr>
                <w:rFonts w:cs="Arial"/>
              </w:rPr>
            </w:pPr>
            <w:r w:rsidRPr="001F3926">
              <w:rPr>
                <w:rFonts w:cs="Arial"/>
              </w:rPr>
              <w:t>45.4 (32.4</w:t>
            </w:r>
            <w:r w:rsidR="00BC369E" w:rsidRPr="001F3926">
              <w:rPr>
                <w:rFonts w:cs="Arial"/>
              </w:rPr>
              <w:t>, </w:t>
            </w:r>
            <w:r w:rsidRPr="001F3926">
              <w:rPr>
                <w:rFonts w:cs="Arial"/>
              </w:rPr>
              <w:t>59.1)</w:t>
            </w:r>
          </w:p>
        </w:tc>
        <w:tc>
          <w:tcPr>
            <w:tcW w:w="592" w:type="dxa"/>
            <w:tcBorders>
              <w:bottom w:val="single" w:sz="4" w:space="0" w:color="000000"/>
            </w:tcBorders>
          </w:tcPr>
          <w:p w14:paraId="3C36413B" w14:textId="77777777" w:rsidR="007123C7" w:rsidRPr="001F3926" w:rsidRDefault="007123C7" w:rsidP="00E82294">
            <w:pPr>
              <w:pStyle w:val="TableText"/>
              <w:jc w:val="right"/>
              <w:rPr>
                <w:rFonts w:cs="Arial"/>
              </w:rPr>
            </w:pPr>
            <w:r w:rsidRPr="001F3926">
              <w:rPr>
                <w:rFonts w:cs="Arial"/>
              </w:rPr>
              <w:t>36</w:t>
            </w:r>
          </w:p>
        </w:tc>
        <w:tc>
          <w:tcPr>
            <w:tcW w:w="810" w:type="dxa"/>
            <w:tcBorders>
              <w:bottom w:val="single" w:sz="4" w:space="0" w:color="000000"/>
            </w:tcBorders>
          </w:tcPr>
          <w:p w14:paraId="087152B2" w14:textId="77777777" w:rsidR="007123C7" w:rsidRPr="001F3926" w:rsidRDefault="007123C7" w:rsidP="00E82294">
            <w:pPr>
              <w:pStyle w:val="TableText"/>
              <w:jc w:val="right"/>
              <w:rPr>
                <w:rFonts w:cs="Arial"/>
              </w:rPr>
            </w:pPr>
            <w:r w:rsidRPr="001F3926">
              <w:rPr>
                <w:rFonts w:cs="Arial"/>
              </w:rPr>
              <w:t>284</w:t>
            </w:r>
          </w:p>
        </w:tc>
        <w:tc>
          <w:tcPr>
            <w:tcW w:w="887" w:type="dxa"/>
            <w:tcBorders>
              <w:bottom w:val="single" w:sz="4" w:space="0" w:color="000000"/>
            </w:tcBorders>
          </w:tcPr>
          <w:p w14:paraId="7E7E3D78" w14:textId="77777777" w:rsidR="007123C7" w:rsidRPr="001F3926" w:rsidRDefault="007123C7" w:rsidP="00E82294">
            <w:pPr>
              <w:pStyle w:val="TableText"/>
              <w:jc w:val="right"/>
              <w:rPr>
                <w:rFonts w:cs="Arial"/>
              </w:rPr>
            </w:pPr>
            <w:r w:rsidRPr="001F3926">
              <w:rPr>
                <w:rFonts w:cs="Arial"/>
              </w:rPr>
              <w:t>54.6 (40.9</w:t>
            </w:r>
            <w:r w:rsidR="00BC369E" w:rsidRPr="001F3926">
              <w:rPr>
                <w:rFonts w:cs="Arial"/>
              </w:rPr>
              <w:t>, </w:t>
            </w:r>
            <w:r w:rsidRPr="001F3926">
              <w:rPr>
                <w:rFonts w:cs="Arial"/>
              </w:rPr>
              <w:t>67.6)</w:t>
            </w:r>
          </w:p>
        </w:tc>
        <w:tc>
          <w:tcPr>
            <w:tcW w:w="643" w:type="dxa"/>
            <w:tcBorders>
              <w:bottom w:val="single" w:sz="4" w:space="0" w:color="000000"/>
            </w:tcBorders>
          </w:tcPr>
          <w:p w14:paraId="4C091762" w14:textId="77777777" w:rsidR="007123C7" w:rsidRPr="001F3926" w:rsidRDefault="007123C7" w:rsidP="00E82294">
            <w:pPr>
              <w:pStyle w:val="TableText"/>
              <w:jc w:val="right"/>
              <w:rPr>
                <w:rFonts w:cs="Arial"/>
              </w:rPr>
            </w:pPr>
            <w:r w:rsidRPr="001F3926">
              <w:rPr>
                <w:rFonts w:cs="Arial"/>
              </w:rPr>
              <w:t>23</w:t>
            </w:r>
          </w:p>
        </w:tc>
        <w:tc>
          <w:tcPr>
            <w:tcW w:w="810" w:type="dxa"/>
            <w:tcBorders>
              <w:bottom w:val="single" w:sz="4" w:space="0" w:color="000000"/>
            </w:tcBorders>
          </w:tcPr>
          <w:p w14:paraId="13D2EEEF" w14:textId="77777777" w:rsidR="007123C7" w:rsidRPr="001F3926" w:rsidRDefault="007123C7" w:rsidP="00E82294">
            <w:pPr>
              <w:pStyle w:val="TableText"/>
              <w:jc w:val="right"/>
              <w:rPr>
                <w:rFonts w:cs="Arial"/>
              </w:rPr>
            </w:pPr>
            <w:r w:rsidRPr="001F3926">
              <w:rPr>
                <w:rFonts w:cs="Arial"/>
              </w:rPr>
              <w:t>116</w:t>
            </w:r>
          </w:p>
        </w:tc>
        <w:tc>
          <w:tcPr>
            <w:tcW w:w="836" w:type="dxa"/>
            <w:tcBorders>
              <w:bottom w:val="single" w:sz="4" w:space="0" w:color="000000"/>
            </w:tcBorders>
          </w:tcPr>
          <w:p w14:paraId="1E25029F" w14:textId="77777777" w:rsidR="007123C7" w:rsidRPr="001F3926" w:rsidRDefault="007123C7" w:rsidP="00E82294">
            <w:pPr>
              <w:pStyle w:val="TableText"/>
              <w:jc w:val="right"/>
              <w:rPr>
                <w:rFonts w:cs="Arial"/>
              </w:rPr>
            </w:pPr>
            <w:r w:rsidRPr="001F3926">
              <w:rPr>
                <w:rFonts w:cs="Arial"/>
              </w:rPr>
              <w:t>33.6 (8.8</w:t>
            </w:r>
            <w:r w:rsidR="00BC369E" w:rsidRPr="001F3926">
              <w:rPr>
                <w:rFonts w:cs="Arial"/>
              </w:rPr>
              <w:t>, </w:t>
            </w:r>
            <w:r w:rsidRPr="001F3926">
              <w:rPr>
                <w:rFonts w:cs="Arial"/>
              </w:rPr>
              <w:t>72.8)</w:t>
            </w:r>
          </w:p>
        </w:tc>
        <w:tc>
          <w:tcPr>
            <w:tcW w:w="604" w:type="dxa"/>
            <w:tcBorders>
              <w:bottom w:val="single" w:sz="4" w:space="0" w:color="000000"/>
            </w:tcBorders>
          </w:tcPr>
          <w:p w14:paraId="0CE23F4B" w14:textId="77777777" w:rsidR="007123C7" w:rsidRPr="001F3926" w:rsidRDefault="007123C7" w:rsidP="00E82294">
            <w:pPr>
              <w:pStyle w:val="TableText"/>
              <w:jc w:val="right"/>
              <w:rPr>
                <w:rFonts w:cs="Arial"/>
              </w:rPr>
            </w:pPr>
            <w:r w:rsidRPr="001F3926">
              <w:rPr>
                <w:rFonts w:cs="Arial"/>
              </w:rPr>
              <w:t>14</w:t>
            </w:r>
          </w:p>
        </w:tc>
        <w:tc>
          <w:tcPr>
            <w:tcW w:w="810" w:type="dxa"/>
            <w:tcBorders>
              <w:bottom w:val="single" w:sz="4" w:space="0" w:color="000000"/>
            </w:tcBorders>
          </w:tcPr>
          <w:p w14:paraId="5EA2D631" w14:textId="77777777" w:rsidR="007123C7" w:rsidRPr="001F3926" w:rsidRDefault="007123C7" w:rsidP="00E82294">
            <w:pPr>
              <w:pStyle w:val="TableText"/>
              <w:jc w:val="right"/>
              <w:rPr>
                <w:rFonts w:cs="Arial"/>
              </w:rPr>
            </w:pPr>
            <w:r w:rsidRPr="001F3926">
              <w:rPr>
                <w:rFonts w:cs="Arial"/>
              </w:rPr>
              <w:t>228</w:t>
            </w:r>
          </w:p>
        </w:tc>
        <w:tc>
          <w:tcPr>
            <w:tcW w:w="875" w:type="dxa"/>
            <w:tcBorders>
              <w:bottom w:val="single" w:sz="4" w:space="0" w:color="000000"/>
            </w:tcBorders>
          </w:tcPr>
          <w:p w14:paraId="28000D9D" w14:textId="77777777" w:rsidR="007123C7" w:rsidRPr="001F3926" w:rsidRDefault="007123C7" w:rsidP="00E82294">
            <w:pPr>
              <w:pStyle w:val="TableText"/>
              <w:jc w:val="right"/>
              <w:rPr>
                <w:rFonts w:cs="Arial"/>
              </w:rPr>
            </w:pPr>
            <w:r w:rsidRPr="001F3926">
              <w:rPr>
                <w:rFonts w:cs="Arial"/>
              </w:rPr>
              <w:t>66.4 (27.2</w:t>
            </w:r>
            <w:r w:rsidR="00BC369E" w:rsidRPr="001F3926">
              <w:rPr>
                <w:rFonts w:cs="Arial"/>
              </w:rPr>
              <w:t>, </w:t>
            </w:r>
            <w:r w:rsidRPr="001F3926">
              <w:rPr>
                <w:rFonts w:cs="Arial"/>
              </w:rPr>
              <w:t>91.2)</w:t>
            </w:r>
          </w:p>
        </w:tc>
      </w:tr>
      <w:tr w:rsidR="00BC369E" w:rsidRPr="001F3926" w14:paraId="74C991E9" w14:textId="77777777" w:rsidTr="00BC369E">
        <w:trPr>
          <w:cantSplit/>
        </w:trPr>
        <w:tc>
          <w:tcPr>
            <w:tcW w:w="2365" w:type="dxa"/>
            <w:tcBorders>
              <w:top w:val="single" w:sz="4" w:space="0" w:color="000000"/>
              <w:bottom w:val="nil"/>
            </w:tcBorders>
          </w:tcPr>
          <w:p w14:paraId="7F153CE7" w14:textId="77777777" w:rsidR="007123C7" w:rsidRPr="001F3926" w:rsidRDefault="007123C7" w:rsidP="00E82294">
            <w:pPr>
              <w:pStyle w:val="TableText"/>
              <w:rPr>
                <w:b/>
              </w:rPr>
            </w:pPr>
            <w:r w:rsidRPr="001F3926">
              <w:rPr>
                <w:b/>
              </w:rPr>
              <w:t>Probable generalised anxiety disorder</w:t>
            </w:r>
          </w:p>
        </w:tc>
        <w:tc>
          <w:tcPr>
            <w:tcW w:w="540" w:type="dxa"/>
            <w:tcBorders>
              <w:top w:val="single" w:sz="4" w:space="0" w:color="000000"/>
              <w:bottom w:val="nil"/>
            </w:tcBorders>
          </w:tcPr>
          <w:p w14:paraId="6CCE5AE8" w14:textId="77777777" w:rsidR="007123C7" w:rsidRPr="001F3926" w:rsidRDefault="007123C7" w:rsidP="00E82294">
            <w:pPr>
              <w:pStyle w:val="TableText"/>
              <w:jc w:val="right"/>
            </w:pPr>
          </w:p>
        </w:tc>
        <w:tc>
          <w:tcPr>
            <w:tcW w:w="810" w:type="dxa"/>
            <w:tcBorders>
              <w:top w:val="single" w:sz="4" w:space="0" w:color="000000"/>
              <w:bottom w:val="nil"/>
            </w:tcBorders>
          </w:tcPr>
          <w:p w14:paraId="43827330" w14:textId="77777777" w:rsidR="007123C7" w:rsidRPr="001F3926" w:rsidRDefault="007123C7" w:rsidP="00E82294">
            <w:pPr>
              <w:pStyle w:val="TableText"/>
              <w:jc w:val="right"/>
            </w:pPr>
          </w:p>
        </w:tc>
        <w:tc>
          <w:tcPr>
            <w:tcW w:w="938" w:type="dxa"/>
            <w:tcBorders>
              <w:top w:val="single" w:sz="4" w:space="0" w:color="000000"/>
              <w:bottom w:val="nil"/>
            </w:tcBorders>
          </w:tcPr>
          <w:p w14:paraId="7E89CA7B" w14:textId="77777777" w:rsidR="007123C7" w:rsidRPr="001F3926" w:rsidRDefault="007123C7" w:rsidP="00E82294">
            <w:pPr>
              <w:pStyle w:val="TableText"/>
              <w:jc w:val="right"/>
            </w:pPr>
          </w:p>
        </w:tc>
        <w:tc>
          <w:tcPr>
            <w:tcW w:w="592" w:type="dxa"/>
            <w:tcBorders>
              <w:top w:val="single" w:sz="4" w:space="0" w:color="000000"/>
              <w:bottom w:val="nil"/>
            </w:tcBorders>
          </w:tcPr>
          <w:p w14:paraId="0729CCEB" w14:textId="77777777" w:rsidR="007123C7" w:rsidRPr="001F3926" w:rsidRDefault="007123C7" w:rsidP="00E82294">
            <w:pPr>
              <w:pStyle w:val="TableText"/>
              <w:jc w:val="right"/>
            </w:pPr>
          </w:p>
        </w:tc>
        <w:tc>
          <w:tcPr>
            <w:tcW w:w="810" w:type="dxa"/>
            <w:tcBorders>
              <w:top w:val="single" w:sz="4" w:space="0" w:color="000000"/>
              <w:bottom w:val="nil"/>
            </w:tcBorders>
          </w:tcPr>
          <w:p w14:paraId="69A70D23" w14:textId="77777777" w:rsidR="007123C7" w:rsidRPr="001F3926" w:rsidRDefault="007123C7" w:rsidP="00E82294">
            <w:pPr>
              <w:pStyle w:val="TableText"/>
              <w:jc w:val="right"/>
            </w:pPr>
          </w:p>
        </w:tc>
        <w:tc>
          <w:tcPr>
            <w:tcW w:w="887" w:type="dxa"/>
            <w:tcBorders>
              <w:top w:val="single" w:sz="4" w:space="0" w:color="000000"/>
              <w:bottom w:val="nil"/>
            </w:tcBorders>
          </w:tcPr>
          <w:p w14:paraId="48AFF9A4" w14:textId="77777777" w:rsidR="007123C7" w:rsidRPr="001F3926" w:rsidRDefault="007123C7" w:rsidP="00E82294">
            <w:pPr>
              <w:pStyle w:val="TableText"/>
              <w:jc w:val="right"/>
            </w:pPr>
          </w:p>
        </w:tc>
        <w:tc>
          <w:tcPr>
            <w:tcW w:w="643" w:type="dxa"/>
            <w:tcBorders>
              <w:top w:val="single" w:sz="4" w:space="0" w:color="000000"/>
              <w:bottom w:val="nil"/>
            </w:tcBorders>
          </w:tcPr>
          <w:p w14:paraId="2208E112" w14:textId="77777777" w:rsidR="007123C7" w:rsidRPr="001F3926" w:rsidRDefault="007123C7" w:rsidP="00E82294">
            <w:pPr>
              <w:pStyle w:val="TableText"/>
              <w:jc w:val="right"/>
            </w:pPr>
          </w:p>
        </w:tc>
        <w:tc>
          <w:tcPr>
            <w:tcW w:w="810" w:type="dxa"/>
            <w:tcBorders>
              <w:top w:val="single" w:sz="4" w:space="0" w:color="000000"/>
              <w:bottom w:val="nil"/>
            </w:tcBorders>
          </w:tcPr>
          <w:p w14:paraId="49AF36DF" w14:textId="77777777" w:rsidR="007123C7" w:rsidRPr="001F3926" w:rsidRDefault="007123C7" w:rsidP="00E82294">
            <w:pPr>
              <w:pStyle w:val="TableText"/>
              <w:jc w:val="right"/>
            </w:pPr>
          </w:p>
        </w:tc>
        <w:tc>
          <w:tcPr>
            <w:tcW w:w="836" w:type="dxa"/>
            <w:tcBorders>
              <w:top w:val="single" w:sz="4" w:space="0" w:color="000000"/>
              <w:bottom w:val="nil"/>
            </w:tcBorders>
          </w:tcPr>
          <w:p w14:paraId="61D8DFDA" w14:textId="77777777" w:rsidR="007123C7" w:rsidRPr="001F3926" w:rsidRDefault="007123C7" w:rsidP="00E82294">
            <w:pPr>
              <w:pStyle w:val="TableText"/>
              <w:jc w:val="right"/>
            </w:pPr>
          </w:p>
        </w:tc>
        <w:tc>
          <w:tcPr>
            <w:tcW w:w="604" w:type="dxa"/>
            <w:tcBorders>
              <w:top w:val="single" w:sz="4" w:space="0" w:color="000000"/>
              <w:bottom w:val="nil"/>
            </w:tcBorders>
          </w:tcPr>
          <w:p w14:paraId="58109C0A" w14:textId="77777777" w:rsidR="007123C7" w:rsidRPr="001F3926" w:rsidRDefault="007123C7" w:rsidP="00E82294">
            <w:pPr>
              <w:pStyle w:val="TableText"/>
              <w:jc w:val="right"/>
            </w:pPr>
          </w:p>
        </w:tc>
        <w:tc>
          <w:tcPr>
            <w:tcW w:w="810" w:type="dxa"/>
            <w:tcBorders>
              <w:top w:val="single" w:sz="4" w:space="0" w:color="000000"/>
              <w:bottom w:val="nil"/>
            </w:tcBorders>
          </w:tcPr>
          <w:p w14:paraId="103F106A" w14:textId="77777777" w:rsidR="007123C7" w:rsidRPr="001F3926" w:rsidRDefault="007123C7" w:rsidP="00E82294">
            <w:pPr>
              <w:pStyle w:val="TableText"/>
              <w:jc w:val="right"/>
            </w:pPr>
          </w:p>
        </w:tc>
        <w:tc>
          <w:tcPr>
            <w:tcW w:w="875" w:type="dxa"/>
            <w:tcBorders>
              <w:top w:val="single" w:sz="4" w:space="0" w:color="000000"/>
              <w:bottom w:val="nil"/>
            </w:tcBorders>
          </w:tcPr>
          <w:p w14:paraId="5E6571BF" w14:textId="77777777" w:rsidR="007123C7" w:rsidRPr="001F3926" w:rsidRDefault="007123C7" w:rsidP="00E82294">
            <w:pPr>
              <w:pStyle w:val="TableText"/>
              <w:jc w:val="right"/>
            </w:pPr>
          </w:p>
        </w:tc>
      </w:tr>
      <w:tr w:rsidR="00BC369E" w:rsidRPr="001F3926" w14:paraId="4E5E3C11" w14:textId="77777777" w:rsidTr="00BC369E">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nil"/>
            </w:tcBorders>
          </w:tcPr>
          <w:p w14:paraId="73EF9C91" w14:textId="77777777" w:rsidR="007123C7" w:rsidRPr="001F3926" w:rsidRDefault="007123C7" w:rsidP="00E82294">
            <w:pPr>
              <w:pStyle w:val="TableText"/>
            </w:pPr>
            <w:r w:rsidRPr="001F3926">
              <w:t xml:space="preserve">Above screening cut-off </w:t>
            </w:r>
          </w:p>
        </w:tc>
        <w:tc>
          <w:tcPr>
            <w:tcW w:w="540" w:type="dxa"/>
            <w:tcBorders>
              <w:top w:val="nil"/>
            </w:tcBorders>
          </w:tcPr>
          <w:p w14:paraId="4A564982" w14:textId="77777777" w:rsidR="007123C7" w:rsidRPr="001F3926" w:rsidRDefault="007123C7" w:rsidP="00E82294">
            <w:pPr>
              <w:pStyle w:val="TableText"/>
              <w:jc w:val="right"/>
            </w:pPr>
            <w:r w:rsidRPr="001F3926">
              <w:rPr>
                <w:rFonts w:cs="Arial"/>
              </w:rPr>
              <w:t>462</w:t>
            </w:r>
          </w:p>
        </w:tc>
        <w:tc>
          <w:tcPr>
            <w:tcW w:w="810" w:type="dxa"/>
            <w:tcBorders>
              <w:top w:val="nil"/>
            </w:tcBorders>
          </w:tcPr>
          <w:p w14:paraId="6B4ECA2E" w14:textId="77777777" w:rsidR="007123C7" w:rsidRPr="001F3926" w:rsidRDefault="007123C7" w:rsidP="00E82294">
            <w:pPr>
              <w:pStyle w:val="TableText"/>
              <w:jc w:val="right"/>
            </w:pPr>
            <w:r w:rsidRPr="001F3926">
              <w:rPr>
                <w:rFonts w:cs="Arial"/>
              </w:rPr>
              <w:t>3572</w:t>
            </w:r>
          </w:p>
        </w:tc>
        <w:tc>
          <w:tcPr>
            <w:tcW w:w="938" w:type="dxa"/>
            <w:tcBorders>
              <w:top w:val="nil"/>
            </w:tcBorders>
          </w:tcPr>
          <w:p w14:paraId="48AF2B44" w14:textId="77777777" w:rsidR="007123C7" w:rsidRPr="001F3926" w:rsidRDefault="007123C7" w:rsidP="00E82294">
            <w:pPr>
              <w:pStyle w:val="TableText"/>
              <w:jc w:val="right"/>
            </w:pPr>
            <w:r w:rsidRPr="001F3926">
              <w:rPr>
                <w:rFonts w:cs="Arial"/>
              </w:rPr>
              <w:t>64.1 (60.2</w:t>
            </w:r>
            <w:r w:rsidR="00BC369E" w:rsidRPr="001F3926">
              <w:rPr>
                <w:rFonts w:cs="Arial"/>
              </w:rPr>
              <w:t>, </w:t>
            </w:r>
            <w:r w:rsidRPr="001F3926">
              <w:rPr>
                <w:rFonts w:cs="Arial"/>
              </w:rPr>
              <w:t>67.8)</w:t>
            </w:r>
          </w:p>
        </w:tc>
        <w:tc>
          <w:tcPr>
            <w:tcW w:w="592" w:type="dxa"/>
            <w:tcBorders>
              <w:top w:val="nil"/>
            </w:tcBorders>
          </w:tcPr>
          <w:p w14:paraId="031BA08E" w14:textId="77777777" w:rsidR="007123C7" w:rsidRPr="001F3926" w:rsidRDefault="007123C7" w:rsidP="00E82294">
            <w:pPr>
              <w:pStyle w:val="TableText"/>
              <w:jc w:val="right"/>
            </w:pPr>
            <w:r w:rsidRPr="001F3926">
              <w:rPr>
                <w:rFonts w:cs="Arial"/>
              </w:rPr>
              <w:t>350</w:t>
            </w:r>
          </w:p>
        </w:tc>
        <w:tc>
          <w:tcPr>
            <w:tcW w:w="810" w:type="dxa"/>
            <w:tcBorders>
              <w:top w:val="nil"/>
            </w:tcBorders>
          </w:tcPr>
          <w:p w14:paraId="55EB1AB0" w14:textId="77777777" w:rsidR="007123C7" w:rsidRPr="001F3926" w:rsidRDefault="007123C7" w:rsidP="00E82294">
            <w:pPr>
              <w:pStyle w:val="TableText"/>
              <w:jc w:val="right"/>
            </w:pPr>
            <w:r w:rsidRPr="001F3926">
              <w:rPr>
                <w:rFonts w:cs="Arial"/>
              </w:rPr>
              <w:t>1998</w:t>
            </w:r>
          </w:p>
        </w:tc>
        <w:tc>
          <w:tcPr>
            <w:tcW w:w="887" w:type="dxa"/>
            <w:tcBorders>
              <w:top w:val="nil"/>
            </w:tcBorders>
          </w:tcPr>
          <w:p w14:paraId="376BA722" w14:textId="77777777" w:rsidR="007123C7" w:rsidRPr="001F3926" w:rsidRDefault="007123C7" w:rsidP="00E82294">
            <w:pPr>
              <w:pStyle w:val="TableText"/>
              <w:jc w:val="right"/>
            </w:pPr>
            <w:r w:rsidRPr="001F3926">
              <w:rPr>
                <w:rFonts w:cs="Arial"/>
              </w:rPr>
              <w:t>35.9 (32.2</w:t>
            </w:r>
            <w:r w:rsidR="00BC369E" w:rsidRPr="001F3926">
              <w:rPr>
                <w:rFonts w:cs="Arial"/>
              </w:rPr>
              <w:t>, </w:t>
            </w:r>
            <w:r w:rsidRPr="001F3926">
              <w:rPr>
                <w:rFonts w:cs="Arial"/>
              </w:rPr>
              <w:t>39.8)</w:t>
            </w:r>
          </w:p>
        </w:tc>
        <w:tc>
          <w:tcPr>
            <w:tcW w:w="643" w:type="dxa"/>
            <w:tcBorders>
              <w:top w:val="nil"/>
            </w:tcBorders>
          </w:tcPr>
          <w:p w14:paraId="37F7A1FD" w14:textId="77777777" w:rsidR="007123C7" w:rsidRPr="001F3926" w:rsidRDefault="007123C7" w:rsidP="00E82294">
            <w:pPr>
              <w:pStyle w:val="TableText"/>
              <w:jc w:val="right"/>
            </w:pPr>
            <w:r w:rsidRPr="001F3926">
              <w:rPr>
                <w:rFonts w:cs="Arial"/>
              </w:rPr>
              <w:t>435</w:t>
            </w:r>
          </w:p>
        </w:tc>
        <w:tc>
          <w:tcPr>
            <w:tcW w:w="810" w:type="dxa"/>
            <w:tcBorders>
              <w:top w:val="nil"/>
            </w:tcBorders>
          </w:tcPr>
          <w:p w14:paraId="320E2A32" w14:textId="77777777" w:rsidR="007123C7" w:rsidRPr="001F3926" w:rsidRDefault="007123C7" w:rsidP="00E82294">
            <w:pPr>
              <w:pStyle w:val="TableText"/>
              <w:jc w:val="right"/>
            </w:pPr>
            <w:r w:rsidRPr="001F3926">
              <w:rPr>
                <w:rFonts w:cs="Arial"/>
              </w:rPr>
              <w:t>3513</w:t>
            </w:r>
          </w:p>
        </w:tc>
        <w:tc>
          <w:tcPr>
            <w:tcW w:w="836" w:type="dxa"/>
            <w:tcBorders>
              <w:top w:val="nil"/>
            </w:tcBorders>
          </w:tcPr>
          <w:p w14:paraId="64759E59" w14:textId="77777777" w:rsidR="007123C7" w:rsidRPr="001F3926" w:rsidRDefault="007123C7" w:rsidP="00E82294">
            <w:pPr>
              <w:pStyle w:val="TableText"/>
              <w:jc w:val="right"/>
            </w:pPr>
            <w:r w:rsidRPr="001F3926">
              <w:rPr>
                <w:rFonts w:cs="Arial"/>
              </w:rPr>
              <w:t>75.5 (63.5</w:t>
            </w:r>
            <w:r w:rsidR="00BC369E" w:rsidRPr="001F3926">
              <w:rPr>
                <w:rFonts w:cs="Arial"/>
              </w:rPr>
              <w:t>, </w:t>
            </w:r>
            <w:r w:rsidRPr="001F3926">
              <w:rPr>
                <w:rFonts w:cs="Arial"/>
              </w:rPr>
              <w:t>84.5)</w:t>
            </w:r>
          </w:p>
        </w:tc>
        <w:tc>
          <w:tcPr>
            <w:tcW w:w="604" w:type="dxa"/>
            <w:tcBorders>
              <w:top w:val="nil"/>
            </w:tcBorders>
          </w:tcPr>
          <w:p w14:paraId="0F48A28A" w14:textId="77777777" w:rsidR="007123C7" w:rsidRPr="001F3926" w:rsidRDefault="007123C7" w:rsidP="00E82294">
            <w:pPr>
              <w:pStyle w:val="TableText"/>
              <w:jc w:val="right"/>
            </w:pPr>
            <w:r w:rsidRPr="001F3926">
              <w:rPr>
                <w:rFonts w:cs="Arial"/>
              </w:rPr>
              <w:t>191</w:t>
            </w:r>
          </w:p>
        </w:tc>
        <w:tc>
          <w:tcPr>
            <w:tcW w:w="810" w:type="dxa"/>
            <w:tcBorders>
              <w:top w:val="nil"/>
            </w:tcBorders>
          </w:tcPr>
          <w:p w14:paraId="70903251" w14:textId="77777777" w:rsidR="007123C7" w:rsidRPr="001F3926" w:rsidRDefault="007123C7" w:rsidP="00E82294">
            <w:pPr>
              <w:pStyle w:val="TableText"/>
              <w:jc w:val="right"/>
            </w:pPr>
            <w:r w:rsidRPr="001F3926">
              <w:rPr>
                <w:rFonts w:cs="Arial"/>
              </w:rPr>
              <w:t>1140</w:t>
            </w:r>
          </w:p>
        </w:tc>
        <w:tc>
          <w:tcPr>
            <w:tcW w:w="875" w:type="dxa"/>
            <w:tcBorders>
              <w:top w:val="nil"/>
            </w:tcBorders>
          </w:tcPr>
          <w:p w14:paraId="66E73161" w14:textId="77777777" w:rsidR="007123C7" w:rsidRPr="001F3926" w:rsidRDefault="007123C7" w:rsidP="00E82294">
            <w:pPr>
              <w:pStyle w:val="TableText"/>
              <w:jc w:val="right"/>
            </w:pPr>
            <w:r w:rsidRPr="001F3926">
              <w:rPr>
                <w:rFonts w:cs="Arial"/>
              </w:rPr>
              <w:t>24.5 (15.5</w:t>
            </w:r>
            <w:r w:rsidR="00BC369E" w:rsidRPr="001F3926">
              <w:rPr>
                <w:rFonts w:cs="Arial"/>
              </w:rPr>
              <w:t>, </w:t>
            </w:r>
            <w:r w:rsidRPr="001F3926">
              <w:rPr>
                <w:rFonts w:cs="Arial"/>
              </w:rPr>
              <w:t>36.5)</w:t>
            </w:r>
          </w:p>
        </w:tc>
      </w:tr>
      <w:tr w:rsidR="00BC369E" w:rsidRPr="00611E53" w14:paraId="4D4543BE" w14:textId="77777777" w:rsidTr="00BC369E">
        <w:trPr>
          <w:cantSplit/>
        </w:trPr>
        <w:tc>
          <w:tcPr>
            <w:tcW w:w="2365" w:type="dxa"/>
          </w:tcPr>
          <w:p w14:paraId="10332C40" w14:textId="77777777" w:rsidR="007123C7" w:rsidRPr="001F3926" w:rsidRDefault="007123C7" w:rsidP="00E82294">
            <w:pPr>
              <w:pStyle w:val="TableText"/>
            </w:pPr>
            <w:r w:rsidRPr="001F3926">
              <w:t xml:space="preserve">Below screening cut-off </w:t>
            </w:r>
          </w:p>
        </w:tc>
        <w:tc>
          <w:tcPr>
            <w:tcW w:w="540" w:type="dxa"/>
          </w:tcPr>
          <w:p w14:paraId="16353F16" w14:textId="77777777" w:rsidR="007123C7" w:rsidRPr="001F3926" w:rsidRDefault="007123C7" w:rsidP="00E82294">
            <w:pPr>
              <w:pStyle w:val="TableText"/>
              <w:jc w:val="right"/>
            </w:pPr>
            <w:r w:rsidRPr="001F3926">
              <w:rPr>
                <w:rFonts w:cs="Arial"/>
              </w:rPr>
              <w:t>2460</w:t>
            </w:r>
          </w:p>
        </w:tc>
        <w:tc>
          <w:tcPr>
            <w:tcW w:w="810" w:type="dxa"/>
          </w:tcPr>
          <w:p w14:paraId="13C1EC70" w14:textId="77777777" w:rsidR="007123C7" w:rsidRPr="001F3926" w:rsidRDefault="007123C7" w:rsidP="00E82294">
            <w:pPr>
              <w:pStyle w:val="TableText"/>
              <w:jc w:val="right"/>
            </w:pPr>
            <w:r w:rsidRPr="001F3926">
              <w:rPr>
                <w:rFonts w:cs="Arial"/>
              </w:rPr>
              <w:t>16,435</w:t>
            </w:r>
          </w:p>
        </w:tc>
        <w:tc>
          <w:tcPr>
            <w:tcW w:w="938" w:type="dxa"/>
          </w:tcPr>
          <w:p w14:paraId="11983612" w14:textId="77777777" w:rsidR="007123C7" w:rsidRPr="001F3926" w:rsidRDefault="007123C7" w:rsidP="00E82294">
            <w:pPr>
              <w:pStyle w:val="TableText"/>
              <w:jc w:val="right"/>
            </w:pPr>
            <w:r w:rsidRPr="001F3926">
              <w:rPr>
                <w:rFonts w:cs="Arial"/>
              </w:rPr>
              <w:t>86.0 (84.5</w:t>
            </w:r>
            <w:r w:rsidR="00BC369E" w:rsidRPr="001F3926">
              <w:rPr>
                <w:rFonts w:cs="Arial"/>
              </w:rPr>
              <w:t>, </w:t>
            </w:r>
            <w:r w:rsidRPr="001F3926">
              <w:rPr>
                <w:rFonts w:cs="Arial"/>
              </w:rPr>
              <w:t>87.4)</w:t>
            </w:r>
          </w:p>
        </w:tc>
        <w:tc>
          <w:tcPr>
            <w:tcW w:w="592" w:type="dxa"/>
          </w:tcPr>
          <w:p w14:paraId="175EF88E" w14:textId="77777777" w:rsidR="007123C7" w:rsidRPr="001F3926" w:rsidRDefault="007123C7" w:rsidP="00E82294">
            <w:pPr>
              <w:pStyle w:val="TableText"/>
              <w:jc w:val="right"/>
            </w:pPr>
            <w:r w:rsidRPr="001F3926">
              <w:rPr>
                <w:rFonts w:cs="Arial"/>
              </w:rPr>
              <w:t>462</w:t>
            </w:r>
          </w:p>
        </w:tc>
        <w:tc>
          <w:tcPr>
            <w:tcW w:w="810" w:type="dxa"/>
          </w:tcPr>
          <w:p w14:paraId="317212EA" w14:textId="77777777" w:rsidR="007123C7" w:rsidRPr="001F3926" w:rsidRDefault="007123C7" w:rsidP="00E82294">
            <w:pPr>
              <w:pStyle w:val="TableText"/>
              <w:jc w:val="right"/>
            </w:pPr>
            <w:r w:rsidRPr="001F3926">
              <w:rPr>
                <w:rFonts w:cs="Arial"/>
              </w:rPr>
              <w:t>3572</w:t>
            </w:r>
          </w:p>
        </w:tc>
        <w:tc>
          <w:tcPr>
            <w:tcW w:w="887" w:type="dxa"/>
          </w:tcPr>
          <w:p w14:paraId="004C5EBF" w14:textId="77777777" w:rsidR="007123C7" w:rsidRPr="001F3926" w:rsidRDefault="007123C7" w:rsidP="00E82294">
            <w:pPr>
              <w:pStyle w:val="TableText"/>
              <w:jc w:val="right"/>
            </w:pPr>
            <w:r w:rsidRPr="001F3926">
              <w:rPr>
                <w:rFonts w:cs="Arial"/>
              </w:rPr>
              <w:t>64.1 (60.2</w:t>
            </w:r>
            <w:r w:rsidR="00BC369E" w:rsidRPr="001F3926">
              <w:rPr>
                <w:rFonts w:cs="Arial"/>
              </w:rPr>
              <w:t>, </w:t>
            </w:r>
            <w:r w:rsidRPr="001F3926">
              <w:rPr>
                <w:rFonts w:cs="Arial"/>
              </w:rPr>
              <w:t>67.8)</w:t>
            </w:r>
          </w:p>
        </w:tc>
        <w:tc>
          <w:tcPr>
            <w:tcW w:w="643" w:type="dxa"/>
          </w:tcPr>
          <w:p w14:paraId="0CDB80A9" w14:textId="77777777" w:rsidR="007123C7" w:rsidRPr="001F3926" w:rsidRDefault="007123C7" w:rsidP="00E82294">
            <w:pPr>
              <w:pStyle w:val="TableText"/>
              <w:jc w:val="right"/>
            </w:pPr>
            <w:r w:rsidRPr="001F3926">
              <w:rPr>
                <w:rFonts w:cs="Arial"/>
              </w:rPr>
              <w:t>6199</w:t>
            </w:r>
          </w:p>
        </w:tc>
        <w:tc>
          <w:tcPr>
            <w:tcW w:w="810" w:type="dxa"/>
          </w:tcPr>
          <w:p w14:paraId="5BE37A82" w14:textId="77777777" w:rsidR="007123C7" w:rsidRPr="001F3926" w:rsidRDefault="007123C7" w:rsidP="00E82294">
            <w:pPr>
              <w:pStyle w:val="TableText"/>
              <w:jc w:val="right"/>
            </w:pPr>
            <w:r w:rsidRPr="001F3926">
              <w:rPr>
                <w:rFonts w:cs="Arial"/>
              </w:rPr>
              <w:t>43,095</w:t>
            </w:r>
          </w:p>
        </w:tc>
        <w:tc>
          <w:tcPr>
            <w:tcW w:w="836" w:type="dxa"/>
          </w:tcPr>
          <w:p w14:paraId="40DFAE66" w14:textId="77777777" w:rsidR="007123C7" w:rsidRPr="001F3926" w:rsidRDefault="007123C7" w:rsidP="00E82294">
            <w:pPr>
              <w:pStyle w:val="TableText"/>
              <w:jc w:val="right"/>
            </w:pPr>
            <w:r w:rsidRPr="001F3926">
              <w:rPr>
                <w:rFonts w:cs="Arial"/>
              </w:rPr>
              <w:t>90.6 (88.6</w:t>
            </w:r>
            <w:r w:rsidR="00BC369E" w:rsidRPr="001F3926">
              <w:rPr>
                <w:rFonts w:cs="Arial"/>
              </w:rPr>
              <w:t>, </w:t>
            </w:r>
            <w:r w:rsidRPr="001F3926">
              <w:rPr>
                <w:rFonts w:cs="Arial"/>
              </w:rPr>
              <w:t>92.2)</w:t>
            </w:r>
          </w:p>
        </w:tc>
        <w:tc>
          <w:tcPr>
            <w:tcW w:w="604" w:type="dxa"/>
          </w:tcPr>
          <w:p w14:paraId="60326029" w14:textId="77777777" w:rsidR="007123C7" w:rsidRPr="001F3926" w:rsidRDefault="007123C7" w:rsidP="00E82294">
            <w:pPr>
              <w:pStyle w:val="TableText"/>
              <w:jc w:val="right"/>
            </w:pPr>
            <w:r w:rsidRPr="001F3926">
              <w:rPr>
                <w:rFonts w:cs="Arial"/>
              </w:rPr>
              <w:t>836</w:t>
            </w:r>
          </w:p>
        </w:tc>
        <w:tc>
          <w:tcPr>
            <w:tcW w:w="810" w:type="dxa"/>
          </w:tcPr>
          <w:p w14:paraId="079FEE53" w14:textId="77777777" w:rsidR="007123C7" w:rsidRPr="001F3926" w:rsidRDefault="007123C7" w:rsidP="00E82294">
            <w:pPr>
              <w:pStyle w:val="TableText"/>
              <w:jc w:val="right"/>
            </w:pPr>
            <w:r w:rsidRPr="001F3926">
              <w:rPr>
                <w:rFonts w:cs="Arial"/>
              </w:rPr>
              <w:t>4474</w:t>
            </w:r>
          </w:p>
        </w:tc>
        <w:tc>
          <w:tcPr>
            <w:tcW w:w="875" w:type="dxa"/>
          </w:tcPr>
          <w:p w14:paraId="1D868912" w14:textId="77777777" w:rsidR="007123C7" w:rsidRPr="001F3926" w:rsidRDefault="007123C7" w:rsidP="00E82294">
            <w:pPr>
              <w:pStyle w:val="TableText"/>
              <w:jc w:val="right"/>
            </w:pPr>
            <w:r w:rsidRPr="001F3926">
              <w:rPr>
                <w:rFonts w:cs="Arial"/>
              </w:rPr>
              <w:t>9.4 (7.8</w:t>
            </w:r>
            <w:r w:rsidR="00BC369E" w:rsidRPr="001F3926">
              <w:rPr>
                <w:rFonts w:cs="Arial"/>
              </w:rPr>
              <w:t>, </w:t>
            </w:r>
            <w:r w:rsidRPr="001F3926">
              <w:rPr>
                <w:rFonts w:cs="Arial"/>
              </w:rPr>
              <w:t>11.4)</w:t>
            </w:r>
          </w:p>
        </w:tc>
      </w:tr>
    </w:tbl>
    <w:p w14:paraId="75449F72" w14:textId="77777777" w:rsidR="007123C7" w:rsidRPr="00FE3DB2" w:rsidRDefault="007123C7" w:rsidP="007123C7">
      <w:pPr>
        <w:pStyle w:val="TableNotes"/>
      </w:pPr>
      <w:r>
        <w:t>Notes</w:t>
      </w:r>
    </w:p>
    <w:p w14:paraId="64A5C6EE" w14:textId="77777777" w:rsidR="007123C7" w:rsidRPr="008A51EB" w:rsidRDefault="007123C7" w:rsidP="007123C7">
      <w:pPr>
        <w:pStyle w:val="TableNotes"/>
      </w:pPr>
      <w:r>
        <w:t>Denominator: Entire cohort.</w:t>
      </w:r>
    </w:p>
    <w:p w14:paraId="46CD95AB" w14:textId="77777777" w:rsidR="007123C7" w:rsidRPr="00C72931" w:rsidRDefault="007123C7" w:rsidP="007123C7">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57F3889A" w14:textId="77777777" w:rsidR="007123C7" w:rsidRDefault="007123C7" w:rsidP="007123C7">
      <w:pPr>
        <w:pStyle w:val="TableNotes"/>
      </w:pPr>
      <w:r>
        <w:t>95%CI = 95% confidence interval.</w:t>
      </w:r>
      <w:r w:rsidRPr="008A51EB">
        <w:t xml:space="preserve"> </w:t>
      </w:r>
    </w:p>
    <w:p w14:paraId="34CC60BA" w14:textId="77777777" w:rsidR="007123C7" w:rsidRDefault="007123C7" w:rsidP="007123C7">
      <w:pPr>
        <w:sectPr w:rsidR="007123C7" w:rsidSect="00980AE4">
          <w:footerReference w:type="even" r:id="rId132"/>
          <w:footerReference w:type="default" r:id="rId133"/>
          <w:pgSz w:w="14170" w:h="9979" w:orient="landscape" w:code="243"/>
          <w:pgMar w:top="1872" w:right="1440" w:bottom="1152" w:left="1440" w:header="576" w:footer="576" w:gutter="0"/>
          <w:cols w:space="708"/>
          <w:docGrid w:linePitch="360"/>
        </w:sectPr>
      </w:pPr>
    </w:p>
    <w:p w14:paraId="1FA77ED0" w14:textId="77777777" w:rsidR="007123C7" w:rsidRPr="008A51EB" w:rsidRDefault="007123C7" w:rsidP="007123C7">
      <w:pPr>
        <w:pStyle w:val="Heading3"/>
        <w:numPr>
          <w:ilvl w:val="2"/>
          <w:numId w:val="1"/>
        </w:numPr>
      </w:pPr>
      <w:bookmarkStart w:id="1050" w:name="_Toc518566447"/>
      <w:bookmarkStart w:id="1051" w:name="_Toc528932725"/>
      <w:bookmarkStart w:id="1052" w:name="_Toc531859262"/>
      <w:r w:rsidRPr="008A51EB">
        <w:t xml:space="preserve">Probable disorder according to the presence or absence of </w:t>
      </w:r>
      <w:r>
        <w:t xml:space="preserve">self-reported mental health </w:t>
      </w:r>
      <w:r w:rsidRPr="008A51EB">
        <w:t>stigmas</w:t>
      </w:r>
      <w:bookmarkEnd w:id="1050"/>
      <w:bookmarkEnd w:id="1051"/>
      <w:bookmarkEnd w:id="1052"/>
      <w:r w:rsidRPr="008A51EB">
        <w:t xml:space="preserve"> </w:t>
      </w:r>
    </w:p>
    <w:p w14:paraId="77B8B0B9" w14:textId="77777777" w:rsidR="007123C7" w:rsidRDefault="007123C7" w:rsidP="007123C7">
      <w:r>
        <w:t xml:space="preserve">Table </w:t>
      </w:r>
      <w:r>
        <w:rPr>
          <w:noProof/>
        </w:rPr>
        <w:t>9</w:t>
      </w:r>
      <w:r>
        <w:t>.</w:t>
      </w:r>
      <w:r>
        <w:rPr>
          <w:noProof/>
        </w:rPr>
        <w:t>9</w:t>
      </w:r>
      <w:r>
        <w:t xml:space="preserve"> </w:t>
      </w:r>
      <w:r w:rsidRPr="00D111DE">
        <w:t xml:space="preserve">presents the estimated proportion of Transitioned ADF and 2015 Regular ADF meeting </w:t>
      </w:r>
      <w:r>
        <w:t xml:space="preserve">the </w:t>
      </w:r>
      <w:r w:rsidRPr="00D111DE">
        <w:t>criteria for a probable 30</w:t>
      </w:r>
      <w:r>
        <w:t>-</w:t>
      </w:r>
      <w:r w:rsidRPr="00D111DE">
        <w:t xml:space="preserve">day disorder on key mental health outcomes who reported using DVA or At Ease websites </w:t>
      </w:r>
      <w:r>
        <w:t xml:space="preserve">to inform/assess mental health </w:t>
      </w:r>
      <w:r w:rsidRPr="00D111DE">
        <w:t xml:space="preserve">according to the presence or absence of </w:t>
      </w:r>
      <w:r>
        <w:t>self-reported mental health stigma</w:t>
      </w:r>
      <w:r w:rsidRPr="00D111DE">
        <w:t>s.</w:t>
      </w:r>
    </w:p>
    <w:p w14:paraId="0360AE22" w14:textId="77777777" w:rsidR="007123C7" w:rsidRPr="00D111DE" w:rsidRDefault="007123C7" w:rsidP="007123C7">
      <w:r>
        <w:t xml:space="preserve">Overall, there was no association between self-reported stigma and use of the DVA or At Ease website to inform/assess mental health among Transitioned ADF and 2015 Regular ADF members with probable PTSD, anxiety/depression, alcohol disorder, depressive episodes or generalised anxiety disorder. </w:t>
      </w:r>
    </w:p>
    <w:p w14:paraId="2F050AD2" w14:textId="77777777" w:rsidR="007123C7" w:rsidRDefault="007123C7" w:rsidP="007123C7">
      <w:r>
        <w:t>Among those</w:t>
      </w:r>
      <w:r w:rsidRPr="00D111DE">
        <w:t xml:space="preserve"> </w:t>
      </w:r>
      <w:r>
        <w:t>with 12-month suicidal ideation or behaviour, however, Transitioned ADF who reported at least one mental health stigma (31.5%) were more likely to use the DVA or At Ease website to inform/assess mental health than 2015 Regular ADF who reported at least one mental health stigma (16.9%).</w:t>
      </w:r>
    </w:p>
    <w:p w14:paraId="6F7CE42A" w14:textId="77777777" w:rsidR="007123C7" w:rsidRDefault="007123C7" w:rsidP="007123C7">
      <w:pPr>
        <w:pStyle w:val="Heading3"/>
        <w:numPr>
          <w:ilvl w:val="2"/>
          <w:numId w:val="1"/>
        </w:numPr>
      </w:pPr>
      <w:bookmarkStart w:id="1053" w:name="_Toc518566448"/>
      <w:bookmarkStart w:id="1054" w:name="_Toc528932726"/>
      <w:bookmarkStart w:id="1055" w:name="_Toc531859263"/>
      <w:r w:rsidRPr="00C72931">
        <w:t xml:space="preserve">Probable disorder according to the presence or absence of </w:t>
      </w:r>
      <w:r>
        <w:t xml:space="preserve">perceived </w:t>
      </w:r>
      <w:r w:rsidRPr="00C72931">
        <w:t>barriers to seeking care for a mental health condition</w:t>
      </w:r>
      <w:bookmarkEnd w:id="1053"/>
      <w:bookmarkEnd w:id="1054"/>
      <w:bookmarkEnd w:id="1055"/>
    </w:p>
    <w:p w14:paraId="254A2335" w14:textId="77777777" w:rsidR="007123C7" w:rsidRDefault="007123C7" w:rsidP="007123C7">
      <w:r>
        <w:t xml:space="preserve">Table </w:t>
      </w:r>
      <w:r>
        <w:rPr>
          <w:noProof/>
        </w:rPr>
        <w:t>9</w:t>
      </w:r>
      <w:r>
        <w:t>.</w:t>
      </w:r>
      <w:r>
        <w:rPr>
          <w:noProof/>
        </w:rPr>
        <w:t>10</w:t>
      </w:r>
      <w:r>
        <w:t xml:space="preserve"> </w:t>
      </w:r>
      <w:r w:rsidRPr="00D111DE">
        <w:t xml:space="preserve">below presents the estimated proportion of Transitioned ADF and 2015 Regular ADF </w:t>
      </w:r>
      <w:r>
        <w:t>who met the criteria</w:t>
      </w:r>
      <w:r w:rsidRPr="00D111DE">
        <w:t xml:space="preserve"> for a probable 30</w:t>
      </w:r>
      <w:r>
        <w:t>-</w:t>
      </w:r>
      <w:r w:rsidRPr="00D111DE">
        <w:t>day disorder on key mental health outcom</w:t>
      </w:r>
      <w:r>
        <w:t>es</w:t>
      </w:r>
      <w:r w:rsidRPr="00D111DE">
        <w:t xml:space="preserve"> </w:t>
      </w:r>
      <w:r>
        <w:t>and</w:t>
      </w:r>
      <w:r w:rsidRPr="00D111DE">
        <w:t xml:space="preserve"> reported using DVA or At Ease website</w:t>
      </w:r>
      <w:r>
        <w:t xml:space="preserve">s to inform/assess mental health </w:t>
      </w:r>
      <w:r w:rsidRPr="00D111DE">
        <w:t>according to the presence or absence of perceived barriers</w:t>
      </w:r>
      <w:r>
        <w:t xml:space="preserve"> to care</w:t>
      </w:r>
      <w:r w:rsidRPr="00D111DE">
        <w:t>.</w:t>
      </w:r>
    </w:p>
    <w:p w14:paraId="28357D26" w14:textId="77777777" w:rsidR="007123C7" w:rsidRPr="00D111DE" w:rsidRDefault="007123C7" w:rsidP="007123C7">
      <w:r>
        <w:t xml:space="preserve">Overall, there was no association between perceived barriers to care and the use of the DVA or At Ease website to inform/assess mental health among Transitioned ADF and 2015 Regular ADF members with probable PTSD, anxiety/depression, alcohol disorder, depressive episodes or generalised anxiety disorder. </w:t>
      </w:r>
    </w:p>
    <w:p w14:paraId="270EECEE" w14:textId="77777777" w:rsidR="007123C7" w:rsidRPr="00374073" w:rsidRDefault="007123C7" w:rsidP="007123C7">
      <w:r>
        <w:t>Among those</w:t>
      </w:r>
      <w:r w:rsidRPr="00D111DE">
        <w:t xml:space="preserve"> </w:t>
      </w:r>
      <w:r>
        <w:t>with 12-month suicidal ideation or behaviour, however, Transitioned ADF with self-reported barriers to care (30.8%) and without them (32.6%) were more likely to use the DVA or At Ease website to inform/assess mental health than 2015 Regular ADF with (17.0%) and without (10.6%) self-reported barriers to care.</w:t>
      </w:r>
    </w:p>
    <w:p w14:paraId="02A41CF0" w14:textId="77777777" w:rsidR="007123C7" w:rsidRDefault="007123C7" w:rsidP="007123C7">
      <w:pPr>
        <w:sectPr w:rsidR="007123C7" w:rsidSect="00463E44">
          <w:footerReference w:type="even" r:id="rId134"/>
          <w:footerReference w:type="default" r:id="rId135"/>
          <w:pgSz w:w="9979" w:h="14170" w:code="243"/>
          <w:pgMar w:top="1440" w:right="1152" w:bottom="1440" w:left="1728" w:header="576" w:footer="576" w:gutter="0"/>
          <w:cols w:space="708"/>
          <w:docGrid w:linePitch="360"/>
        </w:sectPr>
      </w:pPr>
    </w:p>
    <w:p w14:paraId="6CF6D8AF" w14:textId="77777777" w:rsidR="007123C7" w:rsidRDefault="007123C7" w:rsidP="007123C7">
      <w:pPr>
        <w:pStyle w:val="TableName"/>
      </w:pPr>
      <w:bookmarkStart w:id="1056" w:name="_Toc531858039"/>
      <w:bookmarkStart w:id="1057" w:name="_Ref517426848"/>
      <w:bookmarkStart w:id="1058" w:name="_Toc509922910"/>
      <w:bookmarkStart w:id="1059" w:name="_Toc515374684"/>
      <w:bookmarkStart w:id="1060" w:name="_Toc528932360"/>
      <w:r>
        <w:t xml:space="preserve">Table </w:t>
      </w:r>
      <w:r>
        <w:rPr>
          <w:noProof/>
        </w:rPr>
        <w:t>9</w:t>
      </w:r>
      <w:r>
        <w:t>.</w:t>
      </w:r>
      <w:r>
        <w:rPr>
          <w:noProof/>
        </w:rPr>
        <w:t>9</w:t>
      </w:r>
      <w:r>
        <w:tab/>
        <w:t xml:space="preserve">Estimated proportion of Transitioned ADF and 2015 Regular ADF </w:t>
      </w:r>
      <w:r w:rsidRPr="000F78B9">
        <w:t xml:space="preserve">with a probable disorder who do and do not </w:t>
      </w:r>
      <w:r>
        <w:t>use DVA or At Ease w</w:t>
      </w:r>
      <w:r w:rsidRPr="00294BD3">
        <w:t xml:space="preserve">ebsites </w:t>
      </w:r>
      <w:r>
        <w:t>to inform/assess their mental health broken down by</w:t>
      </w:r>
      <w:r w:rsidRPr="000F78B9">
        <w:t xml:space="preserve"> those with no stigma and those with at least one stigma</w:t>
      </w:r>
      <w:bookmarkEnd w:id="1056"/>
    </w:p>
    <w:bookmarkEnd w:id="1057"/>
    <w:bookmarkEnd w:id="1058"/>
    <w:bookmarkEnd w:id="1059"/>
    <w:bookmarkEnd w:id="1060"/>
    <w:tbl>
      <w:tblPr>
        <w:tblStyle w:val="TWRPTable"/>
        <w:tblW w:w="5000" w:type="pct"/>
        <w:tblLayout w:type="fixed"/>
        <w:tblCellMar>
          <w:left w:w="115" w:type="dxa"/>
          <w:right w:w="115" w:type="dxa"/>
        </w:tblCellMar>
        <w:tblLook w:val="0000" w:firstRow="0" w:lastRow="0" w:firstColumn="0" w:lastColumn="0" w:noHBand="0" w:noVBand="0"/>
        <w:tblDescription w:val="Table 9.9 Estimated proportion of Transitioned ADF and 2015 Regular ADF with a probable disorder who do and do not use DVA or At Ease websites to inform/assess their mental health broken down by those with no stigma and those with at least one stigma"/>
      </w:tblPr>
      <w:tblGrid>
        <w:gridCol w:w="2391"/>
        <w:gridCol w:w="532"/>
        <w:gridCol w:w="794"/>
        <w:gridCol w:w="969"/>
        <w:gridCol w:w="461"/>
        <w:gridCol w:w="803"/>
        <w:gridCol w:w="972"/>
        <w:gridCol w:w="501"/>
        <w:gridCol w:w="794"/>
        <w:gridCol w:w="884"/>
        <w:gridCol w:w="441"/>
        <w:gridCol w:w="794"/>
        <w:gridCol w:w="944"/>
      </w:tblGrid>
      <w:tr w:rsidR="007123C7" w:rsidRPr="000F78B9" w14:paraId="71DFA8E1" w14:textId="77777777" w:rsidTr="000474A7">
        <w:trPr>
          <w:cantSplit/>
          <w:tblHeader/>
        </w:trPr>
        <w:tc>
          <w:tcPr>
            <w:tcW w:w="2455" w:type="dxa"/>
            <w:tcBorders>
              <w:top w:val="single" w:sz="4" w:space="0" w:color="000000"/>
              <w:bottom w:val="nil"/>
            </w:tcBorders>
          </w:tcPr>
          <w:p w14:paraId="54E3A5F0" w14:textId="77777777" w:rsidR="007123C7" w:rsidRPr="000F78B9" w:rsidRDefault="007123C7" w:rsidP="00E82294">
            <w:pPr>
              <w:pStyle w:val="TableText"/>
            </w:pPr>
          </w:p>
        </w:tc>
        <w:tc>
          <w:tcPr>
            <w:tcW w:w="4621" w:type="dxa"/>
            <w:gridSpan w:val="6"/>
            <w:tcBorders>
              <w:top w:val="single" w:sz="4" w:space="0" w:color="000000"/>
              <w:bottom w:val="single" w:sz="4" w:space="0" w:color="000000"/>
            </w:tcBorders>
          </w:tcPr>
          <w:p w14:paraId="3C61DC67" w14:textId="77777777" w:rsidR="007123C7" w:rsidRPr="00B4623F" w:rsidRDefault="007123C7" w:rsidP="00E82294">
            <w:pPr>
              <w:pStyle w:val="TableText"/>
              <w:jc w:val="center"/>
              <w:rPr>
                <w:b/>
                <w:bCs/>
              </w:rPr>
            </w:pPr>
            <w:r w:rsidRPr="00BB5FFF">
              <w:rPr>
                <w:b/>
                <w:bCs/>
              </w:rPr>
              <w:t>Transitioned ADF</w:t>
            </w:r>
          </w:p>
        </w:tc>
        <w:tc>
          <w:tcPr>
            <w:tcW w:w="4444" w:type="dxa"/>
            <w:gridSpan w:val="6"/>
            <w:tcBorders>
              <w:top w:val="single" w:sz="4" w:space="0" w:color="000000"/>
              <w:bottom w:val="single" w:sz="4" w:space="0" w:color="000000"/>
            </w:tcBorders>
          </w:tcPr>
          <w:p w14:paraId="11512AB2" w14:textId="77777777" w:rsidR="007123C7" w:rsidRPr="00B4623F" w:rsidRDefault="007123C7" w:rsidP="00E82294">
            <w:pPr>
              <w:pStyle w:val="TableText"/>
              <w:jc w:val="center"/>
              <w:rPr>
                <w:b/>
                <w:bCs/>
              </w:rPr>
            </w:pPr>
            <w:r w:rsidRPr="00BB5FFF">
              <w:rPr>
                <w:b/>
                <w:bCs/>
              </w:rPr>
              <w:t>2015 Regular ADF</w:t>
            </w:r>
          </w:p>
        </w:tc>
      </w:tr>
      <w:tr w:rsidR="007123C7" w:rsidRPr="000F78B9" w14:paraId="3066ABAA" w14:textId="77777777" w:rsidTr="000474A7">
        <w:trPr>
          <w:cantSplit/>
          <w:tblHeader/>
        </w:trPr>
        <w:tc>
          <w:tcPr>
            <w:tcW w:w="2455" w:type="dxa"/>
            <w:tcBorders>
              <w:top w:val="nil"/>
              <w:bottom w:val="nil"/>
            </w:tcBorders>
          </w:tcPr>
          <w:p w14:paraId="2C5EC51D" w14:textId="77777777" w:rsidR="007123C7" w:rsidRPr="000F78B9" w:rsidRDefault="007123C7" w:rsidP="00E82294">
            <w:pPr>
              <w:pStyle w:val="TableText"/>
            </w:pPr>
          </w:p>
        </w:tc>
        <w:tc>
          <w:tcPr>
            <w:tcW w:w="2340" w:type="dxa"/>
            <w:gridSpan w:val="3"/>
            <w:tcBorders>
              <w:top w:val="single" w:sz="4" w:space="0" w:color="000000"/>
              <w:bottom w:val="single" w:sz="4" w:space="0" w:color="000000"/>
            </w:tcBorders>
          </w:tcPr>
          <w:p w14:paraId="4ABCA94C" w14:textId="77777777" w:rsidR="007123C7" w:rsidRPr="00BB5FFF" w:rsidRDefault="007123C7" w:rsidP="00E82294">
            <w:pPr>
              <w:pStyle w:val="TableText"/>
              <w:jc w:val="center"/>
              <w:rPr>
                <w:b/>
              </w:rPr>
            </w:pPr>
            <w:r>
              <w:rPr>
                <w:b/>
              </w:rPr>
              <w:t>No stigma</w:t>
            </w:r>
          </w:p>
        </w:tc>
        <w:tc>
          <w:tcPr>
            <w:tcW w:w="2281" w:type="dxa"/>
            <w:gridSpan w:val="3"/>
            <w:tcBorders>
              <w:top w:val="single" w:sz="4" w:space="0" w:color="000000"/>
              <w:bottom w:val="single" w:sz="4" w:space="0" w:color="000000"/>
            </w:tcBorders>
          </w:tcPr>
          <w:p w14:paraId="42B7B88D" w14:textId="77777777" w:rsidR="007123C7" w:rsidRPr="00BB5FFF" w:rsidRDefault="007123C7" w:rsidP="00E82294">
            <w:pPr>
              <w:pStyle w:val="TableText"/>
              <w:jc w:val="center"/>
              <w:rPr>
                <w:b/>
              </w:rPr>
            </w:pPr>
            <w:r w:rsidRPr="00BB5FFF">
              <w:rPr>
                <w:b/>
              </w:rPr>
              <w:t xml:space="preserve">At least one </w:t>
            </w:r>
            <w:r>
              <w:rPr>
                <w:b/>
              </w:rPr>
              <w:t>s</w:t>
            </w:r>
            <w:r w:rsidRPr="00BB5FFF">
              <w:rPr>
                <w:b/>
              </w:rPr>
              <w:t>tigma</w:t>
            </w:r>
          </w:p>
        </w:tc>
        <w:tc>
          <w:tcPr>
            <w:tcW w:w="2222" w:type="dxa"/>
            <w:gridSpan w:val="3"/>
            <w:tcBorders>
              <w:top w:val="single" w:sz="4" w:space="0" w:color="000000"/>
              <w:bottom w:val="single" w:sz="4" w:space="0" w:color="000000"/>
            </w:tcBorders>
          </w:tcPr>
          <w:p w14:paraId="1D2FE14D" w14:textId="77777777" w:rsidR="007123C7" w:rsidRPr="00BB5FFF" w:rsidRDefault="007123C7" w:rsidP="00E82294">
            <w:pPr>
              <w:pStyle w:val="TableText"/>
              <w:jc w:val="center"/>
              <w:rPr>
                <w:b/>
              </w:rPr>
            </w:pPr>
            <w:r>
              <w:rPr>
                <w:b/>
              </w:rPr>
              <w:t>No stigma</w:t>
            </w:r>
          </w:p>
        </w:tc>
        <w:tc>
          <w:tcPr>
            <w:tcW w:w="2222" w:type="dxa"/>
            <w:gridSpan w:val="3"/>
            <w:tcBorders>
              <w:top w:val="single" w:sz="4" w:space="0" w:color="000000"/>
              <w:bottom w:val="single" w:sz="4" w:space="0" w:color="000000"/>
            </w:tcBorders>
          </w:tcPr>
          <w:p w14:paraId="50E305E9" w14:textId="77777777" w:rsidR="007123C7" w:rsidRPr="00BB5FFF" w:rsidRDefault="007123C7" w:rsidP="00E82294">
            <w:pPr>
              <w:pStyle w:val="TableText"/>
              <w:jc w:val="center"/>
              <w:rPr>
                <w:b/>
              </w:rPr>
            </w:pPr>
            <w:r w:rsidRPr="00BB5FFF">
              <w:rPr>
                <w:b/>
              </w:rPr>
              <w:t xml:space="preserve">At least one </w:t>
            </w:r>
            <w:r>
              <w:rPr>
                <w:b/>
              </w:rPr>
              <w:t>s</w:t>
            </w:r>
            <w:r w:rsidRPr="00BB5FFF">
              <w:rPr>
                <w:b/>
              </w:rPr>
              <w:t>tigma</w:t>
            </w:r>
          </w:p>
        </w:tc>
      </w:tr>
      <w:tr w:rsidR="000474A7" w:rsidRPr="000F78B9" w14:paraId="19C7BD3D" w14:textId="77777777" w:rsidTr="00BF4EFA">
        <w:trPr>
          <w:cantSplit/>
          <w:tblHeader/>
        </w:trPr>
        <w:tc>
          <w:tcPr>
            <w:tcW w:w="2455" w:type="dxa"/>
            <w:tcBorders>
              <w:top w:val="nil"/>
              <w:bottom w:val="single" w:sz="4" w:space="0" w:color="000000"/>
            </w:tcBorders>
          </w:tcPr>
          <w:p w14:paraId="6DD46170" w14:textId="77777777" w:rsidR="007123C7" w:rsidRPr="000F78B9" w:rsidRDefault="007123C7" w:rsidP="00E82294">
            <w:pPr>
              <w:pStyle w:val="TableText"/>
            </w:pPr>
          </w:p>
        </w:tc>
        <w:tc>
          <w:tcPr>
            <w:tcW w:w="540" w:type="dxa"/>
            <w:tcBorders>
              <w:top w:val="single" w:sz="4" w:space="0" w:color="000000"/>
              <w:bottom w:val="single" w:sz="4" w:space="0" w:color="000000"/>
            </w:tcBorders>
            <w:vAlign w:val="bottom"/>
          </w:tcPr>
          <w:p w14:paraId="07AAE6E0" w14:textId="77777777" w:rsidR="007123C7" w:rsidRPr="00BB5FFF" w:rsidRDefault="007123C7" w:rsidP="00BF4EFA">
            <w:pPr>
              <w:pStyle w:val="TableText"/>
              <w:jc w:val="right"/>
              <w:rPr>
                <w:b/>
              </w:rPr>
            </w:pPr>
            <w:r w:rsidRPr="00BB5FFF">
              <w:rPr>
                <w:b/>
              </w:rPr>
              <w:t>n</w:t>
            </w:r>
          </w:p>
        </w:tc>
        <w:tc>
          <w:tcPr>
            <w:tcW w:w="810" w:type="dxa"/>
            <w:tcBorders>
              <w:top w:val="single" w:sz="4" w:space="0" w:color="000000"/>
              <w:bottom w:val="single" w:sz="4" w:space="0" w:color="000000"/>
            </w:tcBorders>
            <w:vAlign w:val="bottom"/>
          </w:tcPr>
          <w:p w14:paraId="4267C31E" w14:textId="77777777" w:rsidR="007123C7" w:rsidRPr="00BB5FFF" w:rsidRDefault="007123C7" w:rsidP="00BF4EFA">
            <w:pPr>
              <w:pStyle w:val="TableText"/>
              <w:jc w:val="right"/>
              <w:rPr>
                <w:b/>
              </w:rPr>
            </w:pPr>
            <w:r w:rsidRPr="00BB5FFF">
              <w:rPr>
                <w:b/>
              </w:rPr>
              <w:t>Weighted n</w:t>
            </w:r>
          </w:p>
        </w:tc>
        <w:tc>
          <w:tcPr>
            <w:tcW w:w="990" w:type="dxa"/>
            <w:tcBorders>
              <w:top w:val="single" w:sz="4" w:space="0" w:color="000000"/>
              <w:bottom w:val="single" w:sz="4" w:space="0" w:color="000000"/>
            </w:tcBorders>
            <w:vAlign w:val="bottom"/>
          </w:tcPr>
          <w:p w14:paraId="21B52207" w14:textId="77777777" w:rsidR="007123C7" w:rsidRPr="00BB5FFF" w:rsidRDefault="007123C7" w:rsidP="00BF4EFA">
            <w:pPr>
              <w:pStyle w:val="TableText"/>
              <w:jc w:val="right"/>
              <w:rPr>
                <w:b/>
              </w:rPr>
            </w:pPr>
            <w:r w:rsidRPr="00BB5FFF">
              <w:rPr>
                <w:b/>
              </w:rPr>
              <w:t>% (95%CI)</w:t>
            </w:r>
          </w:p>
        </w:tc>
        <w:tc>
          <w:tcPr>
            <w:tcW w:w="467" w:type="dxa"/>
            <w:tcBorders>
              <w:top w:val="single" w:sz="4" w:space="0" w:color="000000"/>
              <w:bottom w:val="single" w:sz="4" w:space="0" w:color="000000"/>
            </w:tcBorders>
            <w:vAlign w:val="bottom"/>
          </w:tcPr>
          <w:p w14:paraId="3CE72F00" w14:textId="77777777" w:rsidR="007123C7" w:rsidRPr="00BB5FFF" w:rsidRDefault="007123C7" w:rsidP="00BF4EFA">
            <w:pPr>
              <w:pStyle w:val="TableText"/>
              <w:jc w:val="right"/>
              <w:rPr>
                <w:b/>
              </w:rPr>
            </w:pPr>
            <w:r w:rsidRPr="00BB5FFF">
              <w:rPr>
                <w:b/>
              </w:rPr>
              <w:t>n</w:t>
            </w:r>
          </w:p>
        </w:tc>
        <w:tc>
          <w:tcPr>
            <w:tcW w:w="820" w:type="dxa"/>
            <w:tcBorders>
              <w:top w:val="single" w:sz="4" w:space="0" w:color="000000"/>
              <w:bottom w:val="single" w:sz="4" w:space="0" w:color="000000"/>
            </w:tcBorders>
            <w:vAlign w:val="bottom"/>
          </w:tcPr>
          <w:p w14:paraId="0C02DF48" w14:textId="77777777" w:rsidR="007123C7" w:rsidRPr="00BB5FFF" w:rsidRDefault="007123C7" w:rsidP="00BF4EFA">
            <w:pPr>
              <w:pStyle w:val="TableText"/>
              <w:jc w:val="right"/>
              <w:rPr>
                <w:b/>
              </w:rPr>
            </w:pPr>
            <w:r w:rsidRPr="00BB5FFF">
              <w:rPr>
                <w:b/>
              </w:rPr>
              <w:t>Weighted n</w:t>
            </w:r>
          </w:p>
        </w:tc>
        <w:tc>
          <w:tcPr>
            <w:tcW w:w="994" w:type="dxa"/>
            <w:tcBorders>
              <w:top w:val="single" w:sz="4" w:space="0" w:color="000000"/>
              <w:bottom w:val="single" w:sz="4" w:space="0" w:color="000000"/>
            </w:tcBorders>
            <w:vAlign w:val="bottom"/>
          </w:tcPr>
          <w:p w14:paraId="653C7D2F" w14:textId="77777777" w:rsidR="007123C7" w:rsidRPr="00BB5FFF" w:rsidRDefault="007123C7" w:rsidP="00BF4EFA">
            <w:pPr>
              <w:pStyle w:val="TableText"/>
              <w:jc w:val="right"/>
              <w:rPr>
                <w:b/>
              </w:rPr>
            </w:pPr>
            <w:r w:rsidRPr="00BB5FFF">
              <w:rPr>
                <w:b/>
              </w:rPr>
              <w:t>% (95%CI)</w:t>
            </w:r>
          </w:p>
        </w:tc>
        <w:tc>
          <w:tcPr>
            <w:tcW w:w="509" w:type="dxa"/>
            <w:tcBorders>
              <w:top w:val="single" w:sz="4" w:space="0" w:color="000000"/>
              <w:bottom w:val="single" w:sz="4" w:space="0" w:color="000000"/>
            </w:tcBorders>
            <w:vAlign w:val="bottom"/>
          </w:tcPr>
          <w:p w14:paraId="5C9B5E79" w14:textId="77777777" w:rsidR="007123C7" w:rsidRPr="00BB5FFF" w:rsidRDefault="007123C7" w:rsidP="00BF4EFA">
            <w:pPr>
              <w:pStyle w:val="TableText"/>
              <w:jc w:val="right"/>
              <w:rPr>
                <w:b/>
              </w:rPr>
            </w:pPr>
            <w:r w:rsidRPr="00BB5FFF">
              <w:rPr>
                <w:b/>
              </w:rPr>
              <w:t>n</w:t>
            </w:r>
          </w:p>
        </w:tc>
        <w:tc>
          <w:tcPr>
            <w:tcW w:w="810" w:type="dxa"/>
            <w:tcBorders>
              <w:top w:val="single" w:sz="4" w:space="0" w:color="000000"/>
              <w:bottom w:val="single" w:sz="4" w:space="0" w:color="000000"/>
            </w:tcBorders>
            <w:vAlign w:val="bottom"/>
          </w:tcPr>
          <w:p w14:paraId="4F841F19" w14:textId="77777777" w:rsidR="007123C7" w:rsidRPr="00BB5FFF" w:rsidRDefault="007123C7" w:rsidP="00BF4EFA">
            <w:pPr>
              <w:pStyle w:val="TableText"/>
              <w:jc w:val="right"/>
              <w:rPr>
                <w:b/>
              </w:rPr>
            </w:pPr>
            <w:r w:rsidRPr="00BB5FFF">
              <w:rPr>
                <w:b/>
              </w:rPr>
              <w:t>Weighted n</w:t>
            </w:r>
          </w:p>
        </w:tc>
        <w:tc>
          <w:tcPr>
            <w:tcW w:w="903" w:type="dxa"/>
            <w:tcBorders>
              <w:top w:val="single" w:sz="4" w:space="0" w:color="000000"/>
              <w:bottom w:val="single" w:sz="4" w:space="0" w:color="000000"/>
            </w:tcBorders>
            <w:vAlign w:val="bottom"/>
          </w:tcPr>
          <w:p w14:paraId="1AA9E571" w14:textId="77777777" w:rsidR="007123C7" w:rsidRPr="00BB5FFF" w:rsidRDefault="007123C7" w:rsidP="00BF4EFA">
            <w:pPr>
              <w:pStyle w:val="TableText"/>
              <w:jc w:val="right"/>
              <w:rPr>
                <w:b/>
              </w:rPr>
            </w:pPr>
            <w:r w:rsidRPr="00BB5FFF">
              <w:rPr>
                <w:b/>
              </w:rPr>
              <w:t>% (95%CI)</w:t>
            </w:r>
          </w:p>
        </w:tc>
        <w:tc>
          <w:tcPr>
            <w:tcW w:w="447" w:type="dxa"/>
            <w:tcBorders>
              <w:top w:val="single" w:sz="4" w:space="0" w:color="000000"/>
              <w:bottom w:val="single" w:sz="4" w:space="0" w:color="000000"/>
            </w:tcBorders>
            <w:vAlign w:val="bottom"/>
          </w:tcPr>
          <w:p w14:paraId="02D3CDFC" w14:textId="77777777" w:rsidR="007123C7" w:rsidRPr="00BB5FFF" w:rsidRDefault="007123C7" w:rsidP="00BF4EFA">
            <w:pPr>
              <w:pStyle w:val="TableText"/>
              <w:jc w:val="right"/>
              <w:rPr>
                <w:b/>
              </w:rPr>
            </w:pPr>
            <w:r w:rsidRPr="00BB5FFF">
              <w:rPr>
                <w:b/>
              </w:rPr>
              <w:t>n</w:t>
            </w:r>
          </w:p>
        </w:tc>
        <w:tc>
          <w:tcPr>
            <w:tcW w:w="810" w:type="dxa"/>
            <w:tcBorders>
              <w:top w:val="single" w:sz="4" w:space="0" w:color="000000"/>
              <w:bottom w:val="single" w:sz="4" w:space="0" w:color="000000"/>
            </w:tcBorders>
            <w:vAlign w:val="bottom"/>
          </w:tcPr>
          <w:p w14:paraId="1291FD4A" w14:textId="77777777" w:rsidR="007123C7" w:rsidRPr="00BB5FFF" w:rsidRDefault="007123C7" w:rsidP="00BF4EFA">
            <w:pPr>
              <w:pStyle w:val="TableText"/>
              <w:jc w:val="right"/>
              <w:rPr>
                <w:b/>
              </w:rPr>
            </w:pPr>
            <w:r w:rsidRPr="00BB5FFF">
              <w:rPr>
                <w:b/>
              </w:rPr>
              <w:t>Weighted n</w:t>
            </w:r>
          </w:p>
        </w:tc>
        <w:tc>
          <w:tcPr>
            <w:tcW w:w="965" w:type="dxa"/>
            <w:tcBorders>
              <w:top w:val="single" w:sz="4" w:space="0" w:color="000000"/>
              <w:bottom w:val="single" w:sz="4" w:space="0" w:color="000000"/>
            </w:tcBorders>
            <w:vAlign w:val="bottom"/>
          </w:tcPr>
          <w:p w14:paraId="05AEB0F8" w14:textId="77777777" w:rsidR="007123C7" w:rsidRPr="00BB5FFF" w:rsidRDefault="007123C7" w:rsidP="00BF4EFA">
            <w:pPr>
              <w:pStyle w:val="TableText"/>
              <w:jc w:val="right"/>
              <w:rPr>
                <w:b/>
              </w:rPr>
            </w:pPr>
            <w:r w:rsidRPr="00BB5FFF">
              <w:rPr>
                <w:b/>
              </w:rPr>
              <w:t>% (95%CI)</w:t>
            </w:r>
          </w:p>
        </w:tc>
      </w:tr>
      <w:tr w:rsidR="007123C7" w:rsidRPr="000F78B9" w14:paraId="5C8B19D5"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single" w:sz="4" w:space="0" w:color="000000"/>
            </w:tcBorders>
          </w:tcPr>
          <w:p w14:paraId="1EB387E8" w14:textId="77777777" w:rsidR="007123C7" w:rsidRPr="00BB5FFF" w:rsidRDefault="007123C7" w:rsidP="00E82294">
            <w:pPr>
              <w:pStyle w:val="TableText"/>
              <w:rPr>
                <w:b/>
              </w:rPr>
            </w:pPr>
            <w:r>
              <w:rPr>
                <w:b/>
              </w:rPr>
              <w:t>Posttraumatic stress s</w:t>
            </w:r>
            <w:r w:rsidRPr="00BB5FFF">
              <w:rPr>
                <w:b/>
              </w:rPr>
              <w:t>yndrome disorder (PCL-C)</w:t>
            </w:r>
          </w:p>
        </w:tc>
        <w:tc>
          <w:tcPr>
            <w:tcW w:w="2340" w:type="dxa"/>
            <w:gridSpan w:val="3"/>
            <w:tcBorders>
              <w:top w:val="single" w:sz="4" w:space="0" w:color="000000"/>
            </w:tcBorders>
          </w:tcPr>
          <w:p w14:paraId="68719257" w14:textId="77777777" w:rsidR="007123C7" w:rsidRPr="006C12DD" w:rsidRDefault="007123C7" w:rsidP="00E82294">
            <w:pPr>
              <w:pStyle w:val="TableText"/>
              <w:jc w:val="center"/>
              <w:rPr>
                <w:highlight w:val="magenta"/>
              </w:rPr>
            </w:pPr>
            <w:r>
              <w:t>n</w:t>
            </w:r>
            <w:r w:rsidRPr="000F78B9">
              <w:t>=</w:t>
            </w:r>
            <w:r>
              <w:t>69</w:t>
            </w:r>
            <w:r w:rsidRPr="000F78B9">
              <w:t xml:space="preserve"> (Weighted</w:t>
            </w:r>
            <w:r>
              <w:t xml:space="preserve"> n</w:t>
            </w:r>
            <w:r w:rsidRPr="000F78B9">
              <w:t>=</w:t>
            </w:r>
            <w:r>
              <w:t>438</w:t>
            </w:r>
            <w:r w:rsidRPr="000F78B9">
              <w:t>)</w:t>
            </w:r>
          </w:p>
        </w:tc>
        <w:tc>
          <w:tcPr>
            <w:tcW w:w="2281" w:type="dxa"/>
            <w:gridSpan w:val="3"/>
            <w:tcBorders>
              <w:top w:val="single" w:sz="4" w:space="0" w:color="000000"/>
            </w:tcBorders>
          </w:tcPr>
          <w:p w14:paraId="6808033F" w14:textId="77777777" w:rsidR="007123C7" w:rsidRPr="006C12DD" w:rsidRDefault="007123C7" w:rsidP="00E82294">
            <w:pPr>
              <w:pStyle w:val="TableText"/>
              <w:jc w:val="center"/>
              <w:rPr>
                <w:highlight w:val="magenta"/>
              </w:rPr>
            </w:pPr>
            <w:r>
              <w:t>n=441</w:t>
            </w:r>
            <w:r w:rsidRPr="000F78B9">
              <w:t xml:space="preserve"> (Weighted </w:t>
            </w:r>
            <w:r>
              <w:t>n</w:t>
            </w:r>
            <w:r w:rsidRPr="000F78B9">
              <w:t>=</w:t>
            </w:r>
            <w:r>
              <w:t>2811</w:t>
            </w:r>
            <w:r w:rsidRPr="000F78B9">
              <w:t>)</w:t>
            </w:r>
          </w:p>
        </w:tc>
        <w:tc>
          <w:tcPr>
            <w:tcW w:w="2222" w:type="dxa"/>
            <w:gridSpan w:val="3"/>
            <w:tcBorders>
              <w:top w:val="single" w:sz="4" w:space="0" w:color="000000"/>
            </w:tcBorders>
          </w:tcPr>
          <w:p w14:paraId="16717A74" w14:textId="77777777" w:rsidR="007123C7" w:rsidRPr="000F78B9" w:rsidRDefault="007123C7" w:rsidP="00E82294">
            <w:pPr>
              <w:pStyle w:val="TableText"/>
              <w:jc w:val="center"/>
            </w:pPr>
            <w:r>
              <w:t>n</w:t>
            </w:r>
            <w:r w:rsidRPr="000F78B9">
              <w:t>=</w:t>
            </w:r>
            <w:r>
              <w:t>25</w:t>
            </w:r>
            <w:r w:rsidRPr="000F78B9">
              <w:t xml:space="preserve"> (Weighted</w:t>
            </w:r>
            <w:r>
              <w:t xml:space="preserve"> n</w:t>
            </w:r>
            <w:r w:rsidRPr="000F78B9">
              <w:t>=</w:t>
            </w:r>
            <w:r>
              <w:t>114</w:t>
            </w:r>
            <w:r w:rsidRPr="000F78B9">
              <w:t>)</w:t>
            </w:r>
          </w:p>
        </w:tc>
        <w:tc>
          <w:tcPr>
            <w:tcW w:w="2222" w:type="dxa"/>
            <w:gridSpan w:val="3"/>
            <w:tcBorders>
              <w:top w:val="single" w:sz="4" w:space="0" w:color="000000"/>
            </w:tcBorders>
          </w:tcPr>
          <w:p w14:paraId="1A738391" w14:textId="77777777" w:rsidR="007123C7" w:rsidRPr="000F78B9" w:rsidRDefault="007123C7" w:rsidP="00E82294">
            <w:pPr>
              <w:pStyle w:val="TableText"/>
              <w:jc w:val="center"/>
            </w:pPr>
            <w:r>
              <w:t>n</w:t>
            </w:r>
            <w:r w:rsidRPr="000F78B9">
              <w:t>=</w:t>
            </w:r>
            <w:r>
              <w:t xml:space="preserve">204 </w:t>
            </w:r>
            <w:r w:rsidRPr="000F78B9">
              <w:t xml:space="preserve">(Weighted </w:t>
            </w:r>
            <w:r>
              <w:t>n</w:t>
            </w:r>
            <w:r w:rsidRPr="000F78B9">
              <w:t>=</w:t>
            </w:r>
            <w:r>
              <w:t>1336</w:t>
            </w:r>
            <w:r w:rsidRPr="000F78B9">
              <w:t>)</w:t>
            </w:r>
          </w:p>
        </w:tc>
      </w:tr>
      <w:tr w:rsidR="000474A7" w:rsidRPr="00BB5FFF" w14:paraId="75D28FF2" w14:textId="77777777" w:rsidTr="000474A7">
        <w:trPr>
          <w:cantSplit/>
        </w:trPr>
        <w:tc>
          <w:tcPr>
            <w:tcW w:w="2455" w:type="dxa"/>
          </w:tcPr>
          <w:p w14:paraId="5F6AD725" w14:textId="77777777" w:rsidR="007123C7" w:rsidRPr="00BB5FFF" w:rsidRDefault="007123C7" w:rsidP="00E82294">
            <w:pPr>
              <w:pStyle w:val="TableText"/>
            </w:pPr>
            <w:r w:rsidRPr="00BB5FFF">
              <w:t xml:space="preserve">Used DVA or At Ease websites </w:t>
            </w:r>
          </w:p>
        </w:tc>
        <w:tc>
          <w:tcPr>
            <w:tcW w:w="540" w:type="dxa"/>
          </w:tcPr>
          <w:p w14:paraId="20CC8D52" w14:textId="77777777" w:rsidR="007123C7" w:rsidRPr="00BB5FFF" w:rsidRDefault="007123C7" w:rsidP="00E82294">
            <w:pPr>
              <w:pStyle w:val="TableText"/>
              <w:jc w:val="right"/>
            </w:pPr>
            <w:r w:rsidRPr="00BB5FFF">
              <w:t>32</w:t>
            </w:r>
          </w:p>
        </w:tc>
        <w:tc>
          <w:tcPr>
            <w:tcW w:w="810" w:type="dxa"/>
          </w:tcPr>
          <w:p w14:paraId="62564553" w14:textId="77777777" w:rsidR="007123C7" w:rsidRPr="00BB5FFF" w:rsidRDefault="007123C7" w:rsidP="00E82294">
            <w:pPr>
              <w:pStyle w:val="TableText"/>
              <w:jc w:val="right"/>
            </w:pPr>
            <w:r w:rsidRPr="00BB5FFF">
              <w:t>212</w:t>
            </w:r>
          </w:p>
        </w:tc>
        <w:tc>
          <w:tcPr>
            <w:tcW w:w="990" w:type="dxa"/>
          </w:tcPr>
          <w:p w14:paraId="22AE6662" w14:textId="77777777" w:rsidR="007123C7" w:rsidRPr="00BB5FFF" w:rsidRDefault="007123C7" w:rsidP="00E82294">
            <w:pPr>
              <w:pStyle w:val="TableText"/>
              <w:jc w:val="right"/>
            </w:pPr>
            <w:r w:rsidRPr="00BB5FFF">
              <w:t>48.5 (34.7</w:t>
            </w:r>
            <w:r w:rsidR="000474A7">
              <w:t>, </w:t>
            </w:r>
            <w:r w:rsidRPr="00BB5FFF">
              <w:t>62.5)</w:t>
            </w:r>
          </w:p>
        </w:tc>
        <w:tc>
          <w:tcPr>
            <w:tcW w:w="467" w:type="dxa"/>
          </w:tcPr>
          <w:p w14:paraId="179A804A" w14:textId="77777777" w:rsidR="007123C7" w:rsidRPr="00BB5FFF" w:rsidRDefault="007123C7" w:rsidP="00E82294">
            <w:pPr>
              <w:pStyle w:val="TableText"/>
              <w:jc w:val="right"/>
            </w:pPr>
            <w:r w:rsidRPr="00BB5FFF">
              <w:t>227</w:t>
            </w:r>
          </w:p>
        </w:tc>
        <w:tc>
          <w:tcPr>
            <w:tcW w:w="820" w:type="dxa"/>
          </w:tcPr>
          <w:p w14:paraId="1D3863B0" w14:textId="77777777" w:rsidR="007123C7" w:rsidRPr="00BB5FFF" w:rsidRDefault="007123C7" w:rsidP="00E82294">
            <w:pPr>
              <w:pStyle w:val="TableText"/>
              <w:jc w:val="right"/>
            </w:pPr>
            <w:r w:rsidRPr="00BB5FFF">
              <w:t>1195</w:t>
            </w:r>
          </w:p>
        </w:tc>
        <w:tc>
          <w:tcPr>
            <w:tcW w:w="994" w:type="dxa"/>
          </w:tcPr>
          <w:p w14:paraId="17551162" w14:textId="77777777" w:rsidR="007123C7" w:rsidRPr="00BB5FFF" w:rsidRDefault="007123C7" w:rsidP="00E82294">
            <w:pPr>
              <w:pStyle w:val="TableText"/>
              <w:jc w:val="right"/>
            </w:pPr>
            <w:r w:rsidRPr="00BB5FFF">
              <w:t>42.5 (37.2</w:t>
            </w:r>
            <w:r w:rsidR="000474A7">
              <w:t>, </w:t>
            </w:r>
            <w:r w:rsidRPr="00BB5FFF">
              <w:t>48.0)</w:t>
            </w:r>
          </w:p>
        </w:tc>
        <w:tc>
          <w:tcPr>
            <w:tcW w:w="509" w:type="dxa"/>
          </w:tcPr>
          <w:p w14:paraId="3588AA27" w14:textId="77777777" w:rsidR="007123C7" w:rsidRPr="00BB5FFF" w:rsidRDefault="007123C7" w:rsidP="00E82294">
            <w:pPr>
              <w:pStyle w:val="TableText"/>
              <w:jc w:val="right"/>
            </w:pPr>
            <w:r w:rsidRPr="00BB5FFF">
              <w:t>12</w:t>
            </w:r>
          </w:p>
        </w:tc>
        <w:tc>
          <w:tcPr>
            <w:tcW w:w="810" w:type="dxa"/>
          </w:tcPr>
          <w:p w14:paraId="56F473EE" w14:textId="77777777" w:rsidR="007123C7" w:rsidRPr="00BB5FFF" w:rsidRDefault="007123C7" w:rsidP="00E82294">
            <w:pPr>
              <w:pStyle w:val="TableText"/>
              <w:jc w:val="right"/>
            </w:pPr>
            <w:r w:rsidRPr="00BB5FFF">
              <w:t>42</w:t>
            </w:r>
          </w:p>
        </w:tc>
        <w:tc>
          <w:tcPr>
            <w:tcW w:w="903" w:type="dxa"/>
          </w:tcPr>
          <w:p w14:paraId="7B106286" w14:textId="77777777" w:rsidR="007123C7" w:rsidRPr="00BB5FFF" w:rsidRDefault="007123C7" w:rsidP="00E82294">
            <w:pPr>
              <w:pStyle w:val="TableText"/>
              <w:jc w:val="right"/>
            </w:pPr>
            <w:r w:rsidRPr="00BB5FFF">
              <w:t>36.9 (16.4</w:t>
            </w:r>
            <w:r w:rsidR="000474A7">
              <w:t>, </w:t>
            </w:r>
            <w:r w:rsidRPr="00BB5FFF">
              <w:t>63.6)</w:t>
            </w:r>
          </w:p>
        </w:tc>
        <w:tc>
          <w:tcPr>
            <w:tcW w:w="447" w:type="dxa"/>
          </w:tcPr>
          <w:p w14:paraId="3EA0B28E" w14:textId="77777777" w:rsidR="007123C7" w:rsidRPr="00BB5FFF" w:rsidRDefault="007123C7" w:rsidP="00E82294">
            <w:pPr>
              <w:pStyle w:val="TableText"/>
              <w:jc w:val="right"/>
            </w:pPr>
            <w:r w:rsidRPr="00BB5FFF">
              <w:t>86</w:t>
            </w:r>
          </w:p>
        </w:tc>
        <w:tc>
          <w:tcPr>
            <w:tcW w:w="810" w:type="dxa"/>
          </w:tcPr>
          <w:p w14:paraId="35EEBF70" w14:textId="77777777" w:rsidR="007123C7" w:rsidRPr="00BB5FFF" w:rsidRDefault="007123C7" w:rsidP="00E82294">
            <w:pPr>
              <w:pStyle w:val="TableText"/>
              <w:jc w:val="right"/>
            </w:pPr>
            <w:r w:rsidRPr="00BB5FFF">
              <w:t>516</w:t>
            </w:r>
          </w:p>
        </w:tc>
        <w:tc>
          <w:tcPr>
            <w:tcW w:w="965" w:type="dxa"/>
          </w:tcPr>
          <w:p w14:paraId="2332FAF7" w14:textId="77777777" w:rsidR="007123C7" w:rsidRPr="00BB5FFF" w:rsidRDefault="007123C7" w:rsidP="00E82294">
            <w:pPr>
              <w:pStyle w:val="TableText"/>
              <w:jc w:val="right"/>
            </w:pPr>
            <w:r w:rsidRPr="00BB5FFF">
              <w:t>38.6 (20.0</w:t>
            </w:r>
            <w:r w:rsidR="000474A7">
              <w:t>, </w:t>
            </w:r>
            <w:r w:rsidRPr="00BB5FFF">
              <w:t>61.2)</w:t>
            </w:r>
          </w:p>
        </w:tc>
      </w:tr>
      <w:tr w:rsidR="000474A7" w:rsidRPr="00BB5FFF" w14:paraId="2252132D"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bottom w:val="single" w:sz="4" w:space="0" w:color="000000"/>
            </w:tcBorders>
          </w:tcPr>
          <w:p w14:paraId="29E93C4A" w14:textId="77777777" w:rsidR="007123C7" w:rsidRPr="00BB5FFF" w:rsidRDefault="007123C7" w:rsidP="00E82294">
            <w:pPr>
              <w:pStyle w:val="TableText"/>
            </w:pPr>
            <w:r w:rsidRPr="00BB5FFF">
              <w:t>Did not use DVA or At Ease websites</w:t>
            </w:r>
          </w:p>
        </w:tc>
        <w:tc>
          <w:tcPr>
            <w:tcW w:w="540" w:type="dxa"/>
            <w:tcBorders>
              <w:bottom w:val="single" w:sz="4" w:space="0" w:color="000000"/>
            </w:tcBorders>
          </w:tcPr>
          <w:p w14:paraId="73BAA2A5" w14:textId="77777777" w:rsidR="007123C7" w:rsidRPr="00BB5FFF" w:rsidRDefault="007123C7" w:rsidP="00E82294">
            <w:pPr>
              <w:pStyle w:val="TableText"/>
              <w:jc w:val="right"/>
            </w:pPr>
            <w:r w:rsidRPr="00BB5FFF">
              <w:t>37</w:t>
            </w:r>
          </w:p>
        </w:tc>
        <w:tc>
          <w:tcPr>
            <w:tcW w:w="810" w:type="dxa"/>
            <w:tcBorders>
              <w:bottom w:val="single" w:sz="4" w:space="0" w:color="000000"/>
            </w:tcBorders>
          </w:tcPr>
          <w:p w14:paraId="59FE83E2" w14:textId="77777777" w:rsidR="007123C7" w:rsidRPr="00BB5FFF" w:rsidRDefault="007123C7" w:rsidP="00E82294">
            <w:pPr>
              <w:pStyle w:val="TableText"/>
              <w:jc w:val="right"/>
            </w:pPr>
            <w:r w:rsidRPr="00BB5FFF">
              <w:t>226</w:t>
            </w:r>
          </w:p>
        </w:tc>
        <w:tc>
          <w:tcPr>
            <w:tcW w:w="990" w:type="dxa"/>
            <w:tcBorders>
              <w:bottom w:val="single" w:sz="4" w:space="0" w:color="000000"/>
            </w:tcBorders>
          </w:tcPr>
          <w:p w14:paraId="14165D54" w14:textId="77777777" w:rsidR="007123C7" w:rsidRPr="00BB5FFF" w:rsidRDefault="007123C7" w:rsidP="00E82294">
            <w:pPr>
              <w:pStyle w:val="TableText"/>
              <w:jc w:val="right"/>
            </w:pPr>
            <w:r w:rsidRPr="00BB5FFF">
              <w:t>51.5 (37.5</w:t>
            </w:r>
            <w:r w:rsidR="000474A7">
              <w:t>, </w:t>
            </w:r>
            <w:r w:rsidRPr="00BB5FFF">
              <w:t>65.3)</w:t>
            </w:r>
          </w:p>
        </w:tc>
        <w:tc>
          <w:tcPr>
            <w:tcW w:w="467" w:type="dxa"/>
            <w:tcBorders>
              <w:bottom w:val="single" w:sz="4" w:space="0" w:color="000000"/>
            </w:tcBorders>
          </w:tcPr>
          <w:p w14:paraId="39072C65" w14:textId="77777777" w:rsidR="007123C7" w:rsidRPr="00BB5FFF" w:rsidRDefault="007123C7" w:rsidP="00E82294">
            <w:pPr>
              <w:pStyle w:val="TableText"/>
              <w:jc w:val="right"/>
            </w:pPr>
            <w:r w:rsidRPr="00BB5FFF">
              <w:t>214</w:t>
            </w:r>
          </w:p>
        </w:tc>
        <w:tc>
          <w:tcPr>
            <w:tcW w:w="820" w:type="dxa"/>
            <w:tcBorders>
              <w:bottom w:val="single" w:sz="4" w:space="0" w:color="000000"/>
            </w:tcBorders>
          </w:tcPr>
          <w:p w14:paraId="633EE01A" w14:textId="77777777" w:rsidR="007123C7" w:rsidRPr="00BB5FFF" w:rsidRDefault="007123C7" w:rsidP="00E82294">
            <w:pPr>
              <w:pStyle w:val="TableText"/>
              <w:jc w:val="right"/>
            </w:pPr>
            <w:r w:rsidRPr="00BB5FFF">
              <w:t>1616</w:t>
            </w:r>
          </w:p>
        </w:tc>
        <w:tc>
          <w:tcPr>
            <w:tcW w:w="994" w:type="dxa"/>
            <w:tcBorders>
              <w:bottom w:val="single" w:sz="4" w:space="0" w:color="000000"/>
            </w:tcBorders>
          </w:tcPr>
          <w:p w14:paraId="7E28353C" w14:textId="77777777" w:rsidR="007123C7" w:rsidRPr="00BB5FFF" w:rsidRDefault="007123C7" w:rsidP="00E82294">
            <w:pPr>
              <w:pStyle w:val="TableText"/>
              <w:jc w:val="right"/>
            </w:pPr>
            <w:r w:rsidRPr="00BB5FFF">
              <w:t>57.5 (52.0</w:t>
            </w:r>
            <w:r w:rsidR="000474A7">
              <w:t>, </w:t>
            </w:r>
            <w:r w:rsidRPr="00BB5FFF">
              <w:t>62.8)</w:t>
            </w:r>
          </w:p>
        </w:tc>
        <w:tc>
          <w:tcPr>
            <w:tcW w:w="509" w:type="dxa"/>
            <w:tcBorders>
              <w:bottom w:val="single" w:sz="4" w:space="0" w:color="000000"/>
            </w:tcBorders>
          </w:tcPr>
          <w:p w14:paraId="678F3F4C" w14:textId="77777777" w:rsidR="007123C7" w:rsidRPr="00BB5FFF" w:rsidRDefault="007123C7" w:rsidP="00E82294">
            <w:pPr>
              <w:pStyle w:val="TableText"/>
              <w:jc w:val="right"/>
            </w:pPr>
            <w:r w:rsidRPr="00BB5FFF">
              <w:t>13</w:t>
            </w:r>
          </w:p>
        </w:tc>
        <w:tc>
          <w:tcPr>
            <w:tcW w:w="810" w:type="dxa"/>
            <w:tcBorders>
              <w:bottom w:val="single" w:sz="4" w:space="0" w:color="000000"/>
            </w:tcBorders>
          </w:tcPr>
          <w:p w14:paraId="7D7C343A" w14:textId="77777777" w:rsidR="007123C7" w:rsidRPr="00BB5FFF" w:rsidRDefault="007123C7" w:rsidP="00E82294">
            <w:pPr>
              <w:pStyle w:val="TableText"/>
              <w:jc w:val="right"/>
            </w:pPr>
            <w:r w:rsidRPr="00BB5FFF">
              <w:t>72</w:t>
            </w:r>
          </w:p>
        </w:tc>
        <w:tc>
          <w:tcPr>
            <w:tcW w:w="903" w:type="dxa"/>
            <w:tcBorders>
              <w:bottom w:val="single" w:sz="4" w:space="0" w:color="000000"/>
            </w:tcBorders>
          </w:tcPr>
          <w:p w14:paraId="20EC8B4F" w14:textId="77777777" w:rsidR="007123C7" w:rsidRPr="00BB5FFF" w:rsidRDefault="007123C7" w:rsidP="00E82294">
            <w:pPr>
              <w:pStyle w:val="TableText"/>
              <w:jc w:val="right"/>
            </w:pPr>
            <w:r w:rsidRPr="00BB5FFF">
              <w:t>63.1 (36.4</w:t>
            </w:r>
            <w:r w:rsidR="000474A7">
              <w:t>, </w:t>
            </w:r>
            <w:r w:rsidRPr="00BB5FFF">
              <w:t>83.6)</w:t>
            </w:r>
          </w:p>
        </w:tc>
        <w:tc>
          <w:tcPr>
            <w:tcW w:w="447" w:type="dxa"/>
            <w:tcBorders>
              <w:bottom w:val="single" w:sz="4" w:space="0" w:color="000000"/>
            </w:tcBorders>
          </w:tcPr>
          <w:p w14:paraId="2DA92174" w14:textId="77777777" w:rsidR="007123C7" w:rsidRPr="00BB5FFF" w:rsidRDefault="007123C7" w:rsidP="00E82294">
            <w:pPr>
              <w:pStyle w:val="TableText"/>
              <w:jc w:val="right"/>
            </w:pPr>
            <w:r w:rsidRPr="00BB5FFF">
              <w:t>118</w:t>
            </w:r>
          </w:p>
        </w:tc>
        <w:tc>
          <w:tcPr>
            <w:tcW w:w="810" w:type="dxa"/>
            <w:tcBorders>
              <w:bottom w:val="single" w:sz="4" w:space="0" w:color="000000"/>
            </w:tcBorders>
          </w:tcPr>
          <w:p w14:paraId="4C752B1E" w14:textId="77777777" w:rsidR="007123C7" w:rsidRPr="00BB5FFF" w:rsidRDefault="007123C7" w:rsidP="00E82294">
            <w:pPr>
              <w:pStyle w:val="TableText"/>
              <w:jc w:val="right"/>
            </w:pPr>
            <w:r w:rsidRPr="00BB5FFF">
              <w:t>820</w:t>
            </w:r>
          </w:p>
        </w:tc>
        <w:tc>
          <w:tcPr>
            <w:tcW w:w="965" w:type="dxa"/>
            <w:tcBorders>
              <w:bottom w:val="single" w:sz="4" w:space="0" w:color="000000"/>
            </w:tcBorders>
          </w:tcPr>
          <w:p w14:paraId="4603FEC8" w14:textId="77777777" w:rsidR="007123C7" w:rsidRPr="00BB5FFF" w:rsidRDefault="007123C7" w:rsidP="00E82294">
            <w:pPr>
              <w:pStyle w:val="TableText"/>
              <w:jc w:val="right"/>
            </w:pPr>
            <w:r w:rsidRPr="00BB5FFF">
              <w:t>61.4 (38.8</w:t>
            </w:r>
            <w:r w:rsidR="000474A7">
              <w:t>, </w:t>
            </w:r>
            <w:r w:rsidRPr="00BB5FFF">
              <w:t>80.0)</w:t>
            </w:r>
          </w:p>
        </w:tc>
      </w:tr>
      <w:tr w:rsidR="007123C7" w:rsidRPr="000F78B9" w14:paraId="04F851AF" w14:textId="77777777" w:rsidTr="000474A7">
        <w:trPr>
          <w:cantSplit/>
        </w:trPr>
        <w:tc>
          <w:tcPr>
            <w:tcW w:w="2455" w:type="dxa"/>
            <w:tcBorders>
              <w:top w:val="single" w:sz="4" w:space="0" w:color="000000"/>
              <w:bottom w:val="nil"/>
            </w:tcBorders>
          </w:tcPr>
          <w:p w14:paraId="41B67AFE" w14:textId="77777777" w:rsidR="007123C7" w:rsidRPr="00BB5FFF" w:rsidRDefault="007123C7" w:rsidP="00E82294">
            <w:pPr>
              <w:pStyle w:val="TableText"/>
              <w:rPr>
                <w:b/>
                <w:bCs/>
                <w:color w:val="000000" w:themeColor="text1"/>
              </w:rPr>
            </w:pPr>
            <w:r w:rsidRPr="001277D4">
              <w:rPr>
                <w:b/>
              </w:rPr>
              <w:t>Probable anxiety/depression (K10)</w:t>
            </w:r>
          </w:p>
        </w:tc>
        <w:tc>
          <w:tcPr>
            <w:tcW w:w="2340" w:type="dxa"/>
            <w:gridSpan w:val="3"/>
            <w:tcBorders>
              <w:top w:val="single" w:sz="4" w:space="0" w:color="000000"/>
              <w:bottom w:val="nil"/>
            </w:tcBorders>
          </w:tcPr>
          <w:p w14:paraId="10992D5B" w14:textId="77777777" w:rsidR="007123C7" w:rsidRPr="000F78B9" w:rsidRDefault="007123C7" w:rsidP="00E82294">
            <w:pPr>
              <w:pStyle w:val="TableText"/>
              <w:jc w:val="center"/>
            </w:pPr>
            <w:r>
              <w:t>n</w:t>
            </w:r>
            <w:r w:rsidRPr="000F78B9">
              <w:t>=</w:t>
            </w:r>
            <w:r>
              <w:t>213</w:t>
            </w:r>
            <w:r w:rsidRPr="000F78B9">
              <w:t xml:space="preserve"> (Weighted</w:t>
            </w:r>
            <w:r>
              <w:t xml:space="preserve"> n</w:t>
            </w:r>
            <w:r w:rsidRPr="000F78B9">
              <w:t>=</w:t>
            </w:r>
            <w:r>
              <w:t>1420</w:t>
            </w:r>
            <w:r w:rsidRPr="000F78B9">
              <w:t>)</w:t>
            </w:r>
          </w:p>
        </w:tc>
        <w:tc>
          <w:tcPr>
            <w:tcW w:w="2281" w:type="dxa"/>
            <w:gridSpan w:val="3"/>
            <w:tcBorders>
              <w:top w:val="single" w:sz="4" w:space="0" w:color="000000"/>
              <w:bottom w:val="nil"/>
            </w:tcBorders>
          </w:tcPr>
          <w:p w14:paraId="5F6DAFAF" w14:textId="77777777" w:rsidR="007123C7" w:rsidRPr="000F78B9" w:rsidRDefault="007123C7" w:rsidP="00E82294">
            <w:pPr>
              <w:pStyle w:val="TableText"/>
              <w:jc w:val="center"/>
            </w:pPr>
            <w:r>
              <w:t xml:space="preserve">n=766 </w:t>
            </w:r>
            <w:r w:rsidRPr="000F78B9">
              <w:t xml:space="preserve">(Weighted </w:t>
            </w:r>
            <w:r>
              <w:t>n</w:t>
            </w:r>
            <w:r w:rsidRPr="000F78B9">
              <w:t>=</w:t>
            </w:r>
            <w:r>
              <w:t>5350</w:t>
            </w:r>
            <w:r w:rsidRPr="000F78B9">
              <w:t>)</w:t>
            </w:r>
          </w:p>
        </w:tc>
        <w:tc>
          <w:tcPr>
            <w:tcW w:w="2222" w:type="dxa"/>
            <w:gridSpan w:val="3"/>
            <w:tcBorders>
              <w:top w:val="single" w:sz="4" w:space="0" w:color="000000"/>
              <w:bottom w:val="nil"/>
            </w:tcBorders>
          </w:tcPr>
          <w:p w14:paraId="0DF9AC30" w14:textId="77777777" w:rsidR="007123C7" w:rsidRPr="000F78B9" w:rsidRDefault="007123C7" w:rsidP="00E82294">
            <w:pPr>
              <w:pStyle w:val="TableText"/>
              <w:jc w:val="center"/>
            </w:pPr>
            <w:r>
              <w:t>n</w:t>
            </w:r>
            <w:r w:rsidRPr="000F78B9">
              <w:t>=</w:t>
            </w:r>
            <w:r>
              <w:t xml:space="preserve">253 </w:t>
            </w:r>
            <w:r w:rsidRPr="000F78B9">
              <w:t>(Weighted</w:t>
            </w:r>
            <w:r>
              <w:t xml:space="preserve"> n</w:t>
            </w:r>
            <w:r w:rsidRPr="000F78B9">
              <w:t>=</w:t>
            </w:r>
            <w:r>
              <w:t>2504</w:t>
            </w:r>
            <w:r w:rsidRPr="000F78B9">
              <w:t>)</w:t>
            </w:r>
          </w:p>
        </w:tc>
        <w:tc>
          <w:tcPr>
            <w:tcW w:w="2222" w:type="dxa"/>
            <w:gridSpan w:val="3"/>
            <w:tcBorders>
              <w:top w:val="single" w:sz="4" w:space="0" w:color="000000"/>
              <w:bottom w:val="nil"/>
            </w:tcBorders>
          </w:tcPr>
          <w:p w14:paraId="3E4F5839" w14:textId="77777777" w:rsidR="007123C7" w:rsidRPr="000F78B9" w:rsidRDefault="007123C7" w:rsidP="00E82294">
            <w:pPr>
              <w:pStyle w:val="TableText"/>
              <w:jc w:val="center"/>
            </w:pPr>
            <w:r>
              <w:t>n</w:t>
            </w:r>
            <w:r w:rsidRPr="000F78B9">
              <w:t>=</w:t>
            </w:r>
            <w:r>
              <w:t xml:space="preserve">678 </w:t>
            </w:r>
            <w:r w:rsidRPr="000F78B9">
              <w:t xml:space="preserve">(Weighted </w:t>
            </w:r>
            <w:r>
              <w:t>n</w:t>
            </w:r>
            <w:r w:rsidRPr="000F78B9">
              <w:t>=</w:t>
            </w:r>
            <w:r>
              <w:t>4882</w:t>
            </w:r>
            <w:r w:rsidRPr="000F78B9">
              <w:t>)</w:t>
            </w:r>
          </w:p>
        </w:tc>
      </w:tr>
      <w:tr w:rsidR="000474A7" w:rsidRPr="00BB5FFF" w14:paraId="68B8DC1B"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nil"/>
            </w:tcBorders>
          </w:tcPr>
          <w:p w14:paraId="45626B49" w14:textId="77777777" w:rsidR="007123C7" w:rsidRPr="00BB5FFF" w:rsidRDefault="007123C7" w:rsidP="00E82294">
            <w:pPr>
              <w:pStyle w:val="TableText"/>
            </w:pPr>
            <w:r w:rsidRPr="00BB5FFF">
              <w:t xml:space="preserve">Used DVA or At Ease websites </w:t>
            </w:r>
          </w:p>
        </w:tc>
        <w:tc>
          <w:tcPr>
            <w:tcW w:w="540" w:type="dxa"/>
            <w:tcBorders>
              <w:top w:val="nil"/>
            </w:tcBorders>
          </w:tcPr>
          <w:p w14:paraId="6BBA98A6" w14:textId="77777777" w:rsidR="007123C7" w:rsidRPr="00BB5FFF" w:rsidRDefault="007123C7" w:rsidP="00E82294">
            <w:pPr>
              <w:pStyle w:val="TableText"/>
              <w:jc w:val="right"/>
            </w:pPr>
            <w:r w:rsidRPr="00BB5FFF">
              <w:t>59</w:t>
            </w:r>
          </w:p>
        </w:tc>
        <w:tc>
          <w:tcPr>
            <w:tcW w:w="810" w:type="dxa"/>
            <w:tcBorders>
              <w:top w:val="nil"/>
            </w:tcBorders>
          </w:tcPr>
          <w:p w14:paraId="707EFCEE" w14:textId="77777777" w:rsidR="007123C7" w:rsidRPr="00BB5FFF" w:rsidRDefault="007123C7" w:rsidP="00E82294">
            <w:pPr>
              <w:pStyle w:val="TableText"/>
              <w:jc w:val="right"/>
            </w:pPr>
            <w:r w:rsidRPr="00BB5FFF">
              <w:t>346</w:t>
            </w:r>
          </w:p>
        </w:tc>
        <w:tc>
          <w:tcPr>
            <w:tcW w:w="990" w:type="dxa"/>
            <w:tcBorders>
              <w:top w:val="nil"/>
            </w:tcBorders>
          </w:tcPr>
          <w:p w14:paraId="52BA3490" w14:textId="77777777" w:rsidR="007123C7" w:rsidRPr="00BB5FFF" w:rsidRDefault="007123C7" w:rsidP="00E82294">
            <w:pPr>
              <w:pStyle w:val="TableText"/>
              <w:jc w:val="right"/>
            </w:pPr>
            <w:r w:rsidRPr="00BB5FFF">
              <w:t>24.4 (18.5</w:t>
            </w:r>
            <w:r w:rsidR="000474A7">
              <w:t>, </w:t>
            </w:r>
            <w:r w:rsidRPr="00BB5FFF">
              <w:t>31.4)</w:t>
            </w:r>
          </w:p>
        </w:tc>
        <w:tc>
          <w:tcPr>
            <w:tcW w:w="467" w:type="dxa"/>
            <w:tcBorders>
              <w:top w:val="nil"/>
            </w:tcBorders>
          </w:tcPr>
          <w:p w14:paraId="4C7F6D20" w14:textId="77777777" w:rsidR="007123C7" w:rsidRPr="00BB5FFF" w:rsidRDefault="007123C7" w:rsidP="00E82294">
            <w:pPr>
              <w:pStyle w:val="TableText"/>
              <w:jc w:val="right"/>
            </w:pPr>
            <w:r w:rsidRPr="00BB5FFF">
              <w:t>298</w:t>
            </w:r>
          </w:p>
        </w:tc>
        <w:tc>
          <w:tcPr>
            <w:tcW w:w="820" w:type="dxa"/>
            <w:tcBorders>
              <w:top w:val="nil"/>
            </w:tcBorders>
          </w:tcPr>
          <w:p w14:paraId="4F8A4548" w14:textId="77777777" w:rsidR="007123C7" w:rsidRPr="00BB5FFF" w:rsidRDefault="007123C7" w:rsidP="00E82294">
            <w:pPr>
              <w:pStyle w:val="TableText"/>
              <w:jc w:val="right"/>
            </w:pPr>
            <w:r w:rsidRPr="00BB5FFF">
              <w:t>1690</w:t>
            </w:r>
          </w:p>
        </w:tc>
        <w:tc>
          <w:tcPr>
            <w:tcW w:w="994" w:type="dxa"/>
            <w:tcBorders>
              <w:top w:val="nil"/>
            </w:tcBorders>
          </w:tcPr>
          <w:p w14:paraId="0690C123" w14:textId="77777777" w:rsidR="007123C7" w:rsidRPr="00BB5FFF" w:rsidRDefault="007123C7" w:rsidP="00E82294">
            <w:pPr>
              <w:pStyle w:val="TableText"/>
              <w:jc w:val="right"/>
            </w:pPr>
            <w:r w:rsidRPr="00BB5FFF">
              <w:t>31.6 (28.0</w:t>
            </w:r>
            <w:r w:rsidR="000474A7">
              <w:t>, </w:t>
            </w:r>
            <w:r w:rsidRPr="00BB5FFF">
              <w:t>35.5)</w:t>
            </w:r>
          </w:p>
        </w:tc>
        <w:tc>
          <w:tcPr>
            <w:tcW w:w="509" w:type="dxa"/>
            <w:tcBorders>
              <w:top w:val="nil"/>
            </w:tcBorders>
          </w:tcPr>
          <w:p w14:paraId="7A4E175B" w14:textId="77777777" w:rsidR="007123C7" w:rsidRPr="00BB5FFF" w:rsidRDefault="007123C7" w:rsidP="00E82294">
            <w:pPr>
              <w:pStyle w:val="TableText"/>
              <w:jc w:val="right"/>
            </w:pPr>
            <w:r w:rsidRPr="00BB5FFF">
              <w:t>38</w:t>
            </w:r>
          </w:p>
        </w:tc>
        <w:tc>
          <w:tcPr>
            <w:tcW w:w="810" w:type="dxa"/>
            <w:tcBorders>
              <w:top w:val="nil"/>
            </w:tcBorders>
          </w:tcPr>
          <w:p w14:paraId="20E2EE61" w14:textId="77777777" w:rsidR="007123C7" w:rsidRPr="00BB5FFF" w:rsidRDefault="007123C7" w:rsidP="00E82294">
            <w:pPr>
              <w:pStyle w:val="TableText"/>
              <w:jc w:val="right"/>
            </w:pPr>
            <w:r w:rsidRPr="00BB5FFF">
              <w:t>374</w:t>
            </w:r>
          </w:p>
        </w:tc>
        <w:tc>
          <w:tcPr>
            <w:tcW w:w="903" w:type="dxa"/>
            <w:tcBorders>
              <w:top w:val="nil"/>
            </w:tcBorders>
          </w:tcPr>
          <w:p w14:paraId="3CDFBD81" w14:textId="77777777" w:rsidR="007123C7" w:rsidRPr="00BB5FFF" w:rsidRDefault="007123C7" w:rsidP="00E82294">
            <w:pPr>
              <w:pStyle w:val="TableText"/>
              <w:jc w:val="right"/>
            </w:pPr>
            <w:r w:rsidRPr="00BB5FFF">
              <w:t>14.9 (5.6</w:t>
            </w:r>
            <w:r w:rsidR="000474A7">
              <w:t>, </w:t>
            </w:r>
            <w:r w:rsidRPr="00BB5FFF">
              <w:t>34.2)</w:t>
            </w:r>
          </w:p>
        </w:tc>
        <w:tc>
          <w:tcPr>
            <w:tcW w:w="447" w:type="dxa"/>
            <w:tcBorders>
              <w:top w:val="nil"/>
            </w:tcBorders>
          </w:tcPr>
          <w:p w14:paraId="6E75D587" w14:textId="77777777" w:rsidR="007123C7" w:rsidRPr="00BB5FFF" w:rsidRDefault="007123C7" w:rsidP="00E82294">
            <w:pPr>
              <w:pStyle w:val="TableText"/>
              <w:jc w:val="right"/>
            </w:pPr>
            <w:r w:rsidRPr="00BB5FFF">
              <w:t>187</w:t>
            </w:r>
          </w:p>
        </w:tc>
        <w:tc>
          <w:tcPr>
            <w:tcW w:w="810" w:type="dxa"/>
            <w:tcBorders>
              <w:top w:val="nil"/>
            </w:tcBorders>
          </w:tcPr>
          <w:p w14:paraId="398D89D0" w14:textId="77777777" w:rsidR="007123C7" w:rsidRPr="00BB5FFF" w:rsidRDefault="007123C7" w:rsidP="00E82294">
            <w:pPr>
              <w:pStyle w:val="TableText"/>
              <w:jc w:val="right"/>
            </w:pPr>
            <w:r w:rsidRPr="00BB5FFF">
              <w:t>941</w:t>
            </w:r>
          </w:p>
        </w:tc>
        <w:tc>
          <w:tcPr>
            <w:tcW w:w="965" w:type="dxa"/>
            <w:tcBorders>
              <w:top w:val="nil"/>
            </w:tcBorders>
          </w:tcPr>
          <w:p w14:paraId="05ECCE74" w14:textId="77777777" w:rsidR="007123C7" w:rsidRPr="00BB5FFF" w:rsidRDefault="007123C7" w:rsidP="00E82294">
            <w:pPr>
              <w:pStyle w:val="TableText"/>
              <w:jc w:val="right"/>
            </w:pPr>
            <w:r w:rsidRPr="00BB5FFF">
              <w:t>19.3 (12.5</w:t>
            </w:r>
            <w:r w:rsidR="000474A7">
              <w:t>, </w:t>
            </w:r>
            <w:r w:rsidRPr="00BB5FFF">
              <w:t>28.6)</w:t>
            </w:r>
          </w:p>
        </w:tc>
      </w:tr>
      <w:tr w:rsidR="000474A7" w:rsidRPr="00BB5FFF" w14:paraId="7654B824" w14:textId="77777777" w:rsidTr="000474A7">
        <w:trPr>
          <w:cantSplit/>
        </w:trPr>
        <w:tc>
          <w:tcPr>
            <w:tcW w:w="2455" w:type="dxa"/>
            <w:tcBorders>
              <w:bottom w:val="single" w:sz="4" w:space="0" w:color="000000"/>
            </w:tcBorders>
          </w:tcPr>
          <w:p w14:paraId="16E0D8D8" w14:textId="77777777" w:rsidR="007123C7" w:rsidRPr="00BB5FFF" w:rsidRDefault="007123C7" w:rsidP="00E82294">
            <w:pPr>
              <w:pStyle w:val="TableText"/>
            </w:pPr>
            <w:r w:rsidRPr="00BB5FFF">
              <w:t>Did not use DVA or At Ease websites</w:t>
            </w:r>
          </w:p>
        </w:tc>
        <w:tc>
          <w:tcPr>
            <w:tcW w:w="540" w:type="dxa"/>
            <w:tcBorders>
              <w:bottom w:val="single" w:sz="4" w:space="0" w:color="000000"/>
            </w:tcBorders>
          </w:tcPr>
          <w:p w14:paraId="4AEB9290" w14:textId="77777777" w:rsidR="007123C7" w:rsidRPr="00BB5FFF" w:rsidRDefault="007123C7" w:rsidP="00E82294">
            <w:pPr>
              <w:pStyle w:val="TableText"/>
              <w:jc w:val="right"/>
            </w:pPr>
            <w:r w:rsidRPr="00BB5FFF">
              <w:t>154</w:t>
            </w:r>
          </w:p>
        </w:tc>
        <w:tc>
          <w:tcPr>
            <w:tcW w:w="810" w:type="dxa"/>
            <w:tcBorders>
              <w:bottom w:val="single" w:sz="4" w:space="0" w:color="000000"/>
            </w:tcBorders>
          </w:tcPr>
          <w:p w14:paraId="4A626BB7" w14:textId="77777777" w:rsidR="007123C7" w:rsidRPr="00BB5FFF" w:rsidRDefault="007123C7" w:rsidP="00E82294">
            <w:pPr>
              <w:pStyle w:val="TableText"/>
              <w:jc w:val="right"/>
            </w:pPr>
            <w:r w:rsidRPr="00BB5FFF">
              <w:t>1074</w:t>
            </w:r>
          </w:p>
        </w:tc>
        <w:tc>
          <w:tcPr>
            <w:tcW w:w="990" w:type="dxa"/>
            <w:tcBorders>
              <w:bottom w:val="single" w:sz="4" w:space="0" w:color="000000"/>
            </w:tcBorders>
          </w:tcPr>
          <w:p w14:paraId="3CCB174F" w14:textId="77777777" w:rsidR="007123C7" w:rsidRPr="00BB5FFF" w:rsidRDefault="007123C7" w:rsidP="00E82294">
            <w:pPr>
              <w:pStyle w:val="TableText"/>
              <w:jc w:val="right"/>
            </w:pPr>
            <w:r w:rsidRPr="00BB5FFF">
              <w:t>75.6 (68.6</w:t>
            </w:r>
            <w:r w:rsidR="000474A7">
              <w:t>, </w:t>
            </w:r>
            <w:r w:rsidRPr="00BB5FFF">
              <w:t>81.5)</w:t>
            </w:r>
          </w:p>
        </w:tc>
        <w:tc>
          <w:tcPr>
            <w:tcW w:w="467" w:type="dxa"/>
            <w:tcBorders>
              <w:bottom w:val="single" w:sz="4" w:space="0" w:color="000000"/>
            </w:tcBorders>
          </w:tcPr>
          <w:p w14:paraId="564A04A5" w14:textId="77777777" w:rsidR="007123C7" w:rsidRPr="00BB5FFF" w:rsidRDefault="007123C7" w:rsidP="00E82294">
            <w:pPr>
              <w:pStyle w:val="TableText"/>
              <w:jc w:val="right"/>
            </w:pPr>
            <w:r w:rsidRPr="00BB5FFF">
              <w:t>468</w:t>
            </w:r>
          </w:p>
        </w:tc>
        <w:tc>
          <w:tcPr>
            <w:tcW w:w="820" w:type="dxa"/>
            <w:tcBorders>
              <w:bottom w:val="single" w:sz="4" w:space="0" w:color="000000"/>
            </w:tcBorders>
          </w:tcPr>
          <w:p w14:paraId="70A10AB3" w14:textId="77777777" w:rsidR="007123C7" w:rsidRPr="00BB5FFF" w:rsidRDefault="007123C7" w:rsidP="00E82294">
            <w:pPr>
              <w:pStyle w:val="TableText"/>
              <w:jc w:val="right"/>
            </w:pPr>
            <w:r w:rsidRPr="00BB5FFF">
              <w:t>3660</w:t>
            </w:r>
          </w:p>
        </w:tc>
        <w:tc>
          <w:tcPr>
            <w:tcW w:w="994" w:type="dxa"/>
            <w:tcBorders>
              <w:bottom w:val="single" w:sz="4" w:space="0" w:color="000000"/>
            </w:tcBorders>
          </w:tcPr>
          <w:p w14:paraId="6D247048" w14:textId="77777777" w:rsidR="007123C7" w:rsidRPr="00BB5FFF" w:rsidRDefault="007123C7" w:rsidP="00E82294">
            <w:pPr>
              <w:pStyle w:val="TableText"/>
              <w:jc w:val="right"/>
            </w:pPr>
            <w:r w:rsidRPr="00BB5FFF">
              <w:t>68.4 (64.5</w:t>
            </w:r>
            <w:r w:rsidR="000474A7">
              <w:t>, </w:t>
            </w:r>
            <w:r w:rsidRPr="00BB5FFF">
              <w:t>72.0)</w:t>
            </w:r>
          </w:p>
        </w:tc>
        <w:tc>
          <w:tcPr>
            <w:tcW w:w="509" w:type="dxa"/>
            <w:tcBorders>
              <w:bottom w:val="single" w:sz="4" w:space="0" w:color="000000"/>
            </w:tcBorders>
          </w:tcPr>
          <w:p w14:paraId="29F472B8" w14:textId="77777777" w:rsidR="007123C7" w:rsidRPr="00BB5FFF" w:rsidRDefault="007123C7" w:rsidP="00E82294">
            <w:pPr>
              <w:pStyle w:val="TableText"/>
              <w:jc w:val="right"/>
            </w:pPr>
            <w:r w:rsidRPr="00BB5FFF">
              <w:t>215</w:t>
            </w:r>
          </w:p>
        </w:tc>
        <w:tc>
          <w:tcPr>
            <w:tcW w:w="810" w:type="dxa"/>
            <w:tcBorders>
              <w:bottom w:val="single" w:sz="4" w:space="0" w:color="000000"/>
            </w:tcBorders>
          </w:tcPr>
          <w:p w14:paraId="21E1BA5D" w14:textId="77777777" w:rsidR="007123C7" w:rsidRPr="00BB5FFF" w:rsidRDefault="007123C7" w:rsidP="00E82294">
            <w:pPr>
              <w:pStyle w:val="TableText"/>
              <w:jc w:val="right"/>
            </w:pPr>
            <w:r w:rsidRPr="00BB5FFF">
              <w:t>2130</w:t>
            </w:r>
          </w:p>
        </w:tc>
        <w:tc>
          <w:tcPr>
            <w:tcW w:w="903" w:type="dxa"/>
            <w:tcBorders>
              <w:bottom w:val="single" w:sz="4" w:space="0" w:color="000000"/>
            </w:tcBorders>
          </w:tcPr>
          <w:p w14:paraId="6BB73A21" w14:textId="77777777" w:rsidR="007123C7" w:rsidRPr="00BB5FFF" w:rsidRDefault="007123C7" w:rsidP="00E82294">
            <w:pPr>
              <w:pStyle w:val="TableText"/>
              <w:jc w:val="right"/>
            </w:pPr>
            <w:r w:rsidRPr="00BB5FFF">
              <w:t>85.1 (65.8</w:t>
            </w:r>
            <w:r w:rsidR="000474A7">
              <w:t>, </w:t>
            </w:r>
            <w:r w:rsidRPr="00BB5FFF">
              <w:t>94.4)</w:t>
            </w:r>
          </w:p>
        </w:tc>
        <w:tc>
          <w:tcPr>
            <w:tcW w:w="447" w:type="dxa"/>
            <w:tcBorders>
              <w:bottom w:val="single" w:sz="4" w:space="0" w:color="000000"/>
            </w:tcBorders>
          </w:tcPr>
          <w:p w14:paraId="6F3DF49A" w14:textId="77777777" w:rsidR="007123C7" w:rsidRPr="00BB5FFF" w:rsidRDefault="007123C7" w:rsidP="00E82294">
            <w:pPr>
              <w:pStyle w:val="TableText"/>
              <w:jc w:val="right"/>
            </w:pPr>
            <w:r w:rsidRPr="00BB5FFF">
              <w:t>491</w:t>
            </w:r>
          </w:p>
        </w:tc>
        <w:tc>
          <w:tcPr>
            <w:tcW w:w="810" w:type="dxa"/>
            <w:tcBorders>
              <w:bottom w:val="single" w:sz="4" w:space="0" w:color="000000"/>
            </w:tcBorders>
          </w:tcPr>
          <w:p w14:paraId="36DDB873" w14:textId="77777777" w:rsidR="007123C7" w:rsidRPr="00BB5FFF" w:rsidRDefault="007123C7" w:rsidP="00E82294">
            <w:pPr>
              <w:pStyle w:val="TableText"/>
              <w:jc w:val="right"/>
            </w:pPr>
            <w:r w:rsidRPr="00BB5FFF">
              <w:t>3941</w:t>
            </w:r>
          </w:p>
        </w:tc>
        <w:tc>
          <w:tcPr>
            <w:tcW w:w="965" w:type="dxa"/>
            <w:tcBorders>
              <w:bottom w:val="single" w:sz="4" w:space="0" w:color="000000"/>
            </w:tcBorders>
          </w:tcPr>
          <w:p w14:paraId="72F9DB08" w14:textId="77777777" w:rsidR="007123C7" w:rsidRPr="00BB5FFF" w:rsidRDefault="007123C7" w:rsidP="00E82294">
            <w:pPr>
              <w:pStyle w:val="TableText"/>
              <w:jc w:val="right"/>
            </w:pPr>
            <w:r w:rsidRPr="00BB5FFF">
              <w:t>80.7 (71.4</w:t>
            </w:r>
            <w:r w:rsidR="000474A7">
              <w:t>, </w:t>
            </w:r>
            <w:r w:rsidRPr="00BB5FFF">
              <w:t>87.5)</w:t>
            </w:r>
          </w:p>
        </w:tc>
      </w:tr>
      <w:tr w:rsidR="007123C7" w:rsidRPr="000F78B9" w14:paraId="6602459E"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single" w:sz="4" w:space="0" w:color="000000"/>
              <w:bottom w:val="nil"/>
            </w:tcBorders>
          </w:tcPr>
          <w:p w14:paraId="2B292F32" w14:textId="77777777" w:rsidR="007123C7" w:rsidRPr="00BB5FFF" w:rsidRDefault="007123C7" w:rsidP="00E82294">
            <w:pPr>
              <w:pStyle w:val="TableText"/>
              <w:rPr>
                <w:b/>
                <w:bCs/>
                <w:color w:val="000000" w:themeColor="text1"/>
              </w:rPr>
            </w:pPr>
            <w:r w:rsidRPr="00BB5FFF">
              <w:rPr>
                <w:b/>
              </w:rPr>
              <w:t xml:space="preserve">Probable alcohol </w:t>
            </w:r>
            <w:r>
              <w:rPr>
                <w:b/>
              </w:rPr>
              <w:t>u</w:t>
            </w:r>
            <w:r w:rsidRPr="00BB5FFF">
              <w:rPr>
                <w:b/>
              </w:rPr>
              <w:t>se disorder (AUDIT)</w:t>
            </w:r>
          </w:p>
        </w:tc>
        <w:tc>
          <w:tcPr>
            <w:tcW w:w="2340" w:type="dxa"/>
            <w:gridSpan w:val="3"/>
            <w:tcBorders>
              <w:top w:val="single" w:sz="4" w:space="0" w:color="000000"/>
              <w:bottom w:val="nil"/>
            </w:tcBorders>
          </w:tcPr>
          <w:p w14:paraId="66045D37" w14:textId="77777777" w:rsidR="007123C7" w:rsidRPr="000F78B9" w:rsidRDefault="007123C7" w:rsidP="00E82294">
            <w:pPr>
              <w:pStyle w:val="TableText"/>
              <w:jc w:val="center"/>
            </w:pPr>
            <w:r>
              <w:t>n</w:t>
            </w:r>
            <w:r w:rsidRPr="000F78B9">
              <w:t>=</w:t>
            </w:r>
            <w:r>
              <w:t>35</w:t>
            </w:r>
            <w:r w:rsidRPr="000F78B9">
              <w:t xml:space="preserve"> (Weighted</w:t>
            </w:r>
            <w:r>
              <w:t xml:space="preserve"> n</w:t>
            </w:r>
            <w:r w:rsidRPr="000F78B9">
              <w:t>=</w:t>
            </w:r>
            <w:r>
              <w:t>242</w:t>
            </w:r>
            <w:r w:rsidRPr="000F78B9">
              <w:t>)</w:t>
            </w:r>
          </w:p>
        </w:tc>
        <w:tc>
          <w:tcPr>
            <w:tcW w:w="2281" w:type="dxa"/>
            <w:gridSpan w:val="3"/>
            <w:tcBorders>
              <w:top w:val="single" w:sz="4" w:space="0" w:color="000000"/>
              <w:bottom w:val="nil"/>
            </w:tcBorders>
          </w:tcPr>
          <w:p w14:paraId="5078EED5" w14:textId="77777777" w:rsidR="007123C7" w:rsidRPr="000F78B9" w:rsidRDefault="007123C7" w:rsidP="00E82294">
            <w:pPr>
              <w:pStyle w:val="TableText"/>
              <w:jc w:val="center"/>
            </w:pPr>
            <w:r>
              <w:t xml:space="preserve">n=205 </w:t>
            </w:r>
            <w:r w:rsidRPr="000F78B9">
              <w:t xml:space="preserve">(Weighted </w:t>
            </w:r>
            <w:r>
              <w:t>n</w:t>
            </w:r>
            <w:r w:rsidRPr="000F78B9">
              <w:t>=</w:t>
            </w:r>
            <w:r>
              <w:t>1398</w:t>
            </w:r>
            <w:r w:rsidRPr="000F78B9">
              <w:t>)</w:t>
            </w:r>
          </w:p>
        </w:tc>
        <w:tc>
          <w:tcPr>
            <w:tcW w:w="2222" w:type="dxa"/>
            <w:gridSpan w:val="3"/>
            <w:tcBorders>
              <w:top w:val="single" w:sz="4" w:space="0" w:color="000000"/>
              <w:bottom w:val="nil"/>
            </w:tcBorders>
          </w:tcPr>
          <w:p w14:paraId="4A6F31C7" w14:textId="77777777" w:rsidR="007123C7" w:rsidRPr="000F78B9" w:rsidRDefault="007123C7" w:rsidP="00E82294">
            <w:pPr>
              <w:pStyle w:val="TableText"/>
              <w:jc w:val="center"/>
            </w:pPr>
            <w:r>
              <w:t>n</w:t>
            </w:r>
            <w:r w:rsidRPr="000F78B9">
              <w:t>=</w:t>
            </w:r>
            <w:r>
              <w:t xml:space="preserve">14 </w:t>
            </w:r>
            <w:r w:rsidRPr="000F78B9">
              <w:t>(Weighted</w:t>
            </w:r>
            <w:r>
              <w:t xml:space="preserve"> n</w:t>
            </w:r>
            <w:r w:rsidRPr="000F78B9">
              <w:t>=</w:t>
            </w:r>
            <w:r>
              <w:t>233</w:t>
            </w:r>
            <w:r w:rsidRPr="000F78B9">
              <w:t>)</w:t>
            </w:r>
          </w:p>
        </w:tc>
        <w:tc>
          <w:tcPr>
            <w:tcW w:w="2222" w:type="dxa"/>
            <w:gridSpan w:val="3"/>
            <w:tcBorders>
              <w:top w:val="single" w:sz="4" w:space="0" w:color="000000"/>
              <w:bottom w:val="nil"/>
            </w:tcBorders>
          </w:tcPr>
          <w:p w14:paraId="26D57550" w14:textId="77777777" w:rsidR="007123C7" w:rsidRPr="000F78B9" w:rsidRDefault="007123C7" w:rsidP="00E82294">
            <w:pPr>
              <w:pStyle w:val="TableText"/>
              <w:jc w:val="center"/>
            </w:pPr>
            <w:r>
              <w:t>n</w:t>
            </w:r>
            <w:r w:rsidRPr="000F78B9">
              <w:t>=</w:t>
            </w:r>
            <w:r>
              <w:t xml:space="preserve">71 </w:t>
            </w:r>
            <w:r w:rsidRPr="000F78B9">
              <w:t xml:space="preserve">(Weighted </w:t>
            </w:r>
            <w:r>
              <w:t>n</w:t>
            </w:r>
            <w:r w:rsidRPr="000F78B9">
              <w:t>=</w:t>
            </w:r>
            <w:r>
              <w:t>540</w:t>
            </w:r>
            <w:r w:rsidRPr="000F78B9">
              <w:t>)</w:t>
            </w:r>
          </w:p>
        </w:tc>
      </w:tr>
      <w:tr w:rsidR="000474A7" w:rsidRPr="00BB5FFF" w14:paraId="6FE7B4C7" w14:textId="77777777" w:rsidTr="000474A7">
        <w:trPr>
          <w:cantSplit/>
        </w:trPr>
        <w:tc>
          <w:tcPr>
            <w:tcW w:w="2455" w:type="dxa"/>
            <w:tcBorders>
              <w:top w:val="nil"/>
            </w:tcBorders>
          </w:tcPr>
          <w:p w14:paraId="0035AA26" w14:textId="77777777" w:rsidR="007123C7" w:rsidRPr="00BB5FFF" w:rsidRDefault="007123C7" w:rsidP="00E82294">
            <w:pPr>
              <w:pStyle w:val="TableText"/>
            </w:pPr>
            <w:r w:rsidRPr="00BB5FFF">
              <w:t xml:space="preserve">Used DVA or At Ease websites </w:t>
            </w:r>
          </w:p>
        </w:tc>
        <w:tc>
          <w:tcPr>
            <w:tcW w:w="540" w:type="dxa"/>
            <w:tcBorders>
              <w:top w:val="nil"/>
            </w:tcBorders>
          </w:tcPr>
          <w:p w14:paraId="25CD2EED" w14:textId="77777777" w:rsidR="007123C7" w:rsidRPr="00BB5FFF" w:rsidRDefault="007123C7" w:rsidP="00E82294">
            <w:pPr>
              <w:pStyle w:val="TableText"/>
              <w:jc w:val="right"/>
            </w:pPr>
            <w:r w:rsidRPr="00BB5FFF">
              <w:t>13</w:t>
            </w:r>
          </w:p>
        </w:tc>
        <w:tc>
          <w:tcPr>
            <w:tcW w:w="810" w:type="dxa"/>
            <w:tcBorders>
              <w:top w:val="nil"/>
            </w:tcBorders>
          </w:tcPr>
          <w:p w14:paraId="4B8DF9A3" w14:textId="77777777" w:rsidR="007123C7" w:rsidRPr="00BB5FFF" w:rsidRDefault="007123C7" w:rsidP="00E82294">
            <w:pPr>
              <w:pStyle w:val="TableText"/>
              <w:jc w:val="right"/>
            </w:pPr>
            <w:r w:rsidRPr="00BB5FFF">
              <w:t>79</w:t>
            </w:r>
          </w:p>
        </w:tc>
        <w:tc>
          <w:tcPr>
            <w:tcW w:w="990" w:type="dxa"/>
            <w:tcBorders>
              <w:top w:val="nil"/>
            </w:tcBorders>
          </w:tcPr>
          <w:p w14:paraId="20AECBA4" w14:textId="77777777" w:rsidR="007123C7" w:rsidRPr="00BB5FFF" w:rsidRDefault="007123C7" w:rsidP="00E82294">
            <w:pPr>
              <w:pStyle w:val="TableText"/>
              <w:jc w:val="right"/>
            </w:pPr>
            <w:r w:rsidRPr="00BB5FFF">
              <w:t>32.6 (16.9</w:t>
            </w:r>
            <w:r w:rsidR="000474A7">
              <w:t>, </w:t>
            </w:r>
            <w:r w:rsidRPr="00BB5FFF">
              <w:t>53.6)</w:t>
            </w:r>
          </w:p>
        </w:tc>
        <w:tc>
          <w:tcPr>
            <w:tcW w:w="467" w:type="dxa"/>
            <w:tcBorders>
              <w:top w:val="nil"/>
            </w:tcBorders>
          </w:tcPr>
          <w:p w14:paraId="6CC71BDB" w14:textId="77777777" w:rsidR="007123C7" w:rsidRPr="00BB5FFF" w:rsidRDefault="007123C7" w:rsidP="00E82294">
            <w:pPr>
              <w:pStyle w:val="TableText"/>
              <w:jc w:val="right"/>
            </w:pPr>
            <w:r w:rsidRPr="00BB5FFF">
              <w:t>85</w:t>
            </w:r>
          </w:p>
        </w:tc>
        <w:tc>
          <w:tcPr>
            <w:tcW w:w="820" w:type="dxa"/>
            <w:tcBorders>
              <w:top w:val="nil"/>
            </w:tcBorders>
          </w:tcPr>
          <w:p w14:paraId="2D849320" w14:textId="77777777" w:rsidR="007123C7" w:rsidRPr="00BB5FFF" w:rsidRDefault="007123C7" w:rsidP="00E82294">
            <w:pPr>
              <w:pStyle w:val="TableText"/>
              <w:jc w:val="right"/>
            </w:pPr>
            <w:r w:rsidRPr="00BB5FFF">
              <w:t>510</w:t>
            </w:r>
          </w:p>
        </w:tc>
        <w:tc>
          <w:tcPr>
            <w:tcW w:w="994" w:type="dxa"/>
            <w:tcBorders>
              <w:top w:val="nil"/>
            </w:tcBorders>
          </w:tcPr>
          <w:p w14:paraId="520D0220" w14:textId="77777777" w:rsidR="007123C7" w:rsidRPr="00BB5FFF" w:rsidRDefault="007123C7" w:rsidP="00E82294">
            <w:pPr>
              <w:pStyle w:val="TableText"/>
              <w:jc w:val="right"/>
            </w:pPr>
            <w:r w:rsidRPr="00BB5FFF">
              <w:t>36.4 (29.1</w:t>
            </w:r>
            <w:r w:rsidR="000474A7">
              <w:t>, </w:t>
            </w:r>
            <w:r w:rsidRPr="00BB5FFF">
              <w:t>44.5)</w:t>
            </w:r>
          </w:p>
        </w:tc>
        <w:tc>
          <w:tcPr>
            <w:tcW w:w="509" w:type="dxa"/>
            <w:tcBorders>
              <w:top w:val="nil"/>
            </w:tcBorders>
          </w:tcPr>
          <w:p w14:paraId="581754C0" w14:textId="77777777" w:rsidR="007123C7" w:rsidRPr="00BB5FFF" w:rsidRDefault="007123C7" w:rsidP="00E82294">
            <w:pPr>
              <w:pStyle w:val="TableText"/>
              <w:jc w:val="right"/>
            </w:pPr>
            <w:r w:rsidRPr="00E603D7">
              <w:t>#</w:t>
            </w:r>
          </w:p>
        </w:tc>
        <w:tc>
          <w:tcPr>
            <w:tcW w:w="810" w:type="dxa"/>
            <w:tcBorders>
              <w:top w:val="nil"/>
            </w:tcBorders>
          </w:tcPr>
          <w:p w14:paraId="121B1C66" w14:textId="77777777" w:rsidR="007123C7" w:rsidRPr="00BB5FFF" w:rsidRDefault="007123C7" w:rsidP="00E82294">
            <w:pPr>
              <w:pStyle w:val="TableText"/>
              <w:jc w:val="right"/>
            </w:pPr>
            <w:r>
              <w:t>–</w:t>
            </w:r>
          </w:p>
        </w:tc>
        <w:tc>
          <w:tcPr>
            <w:tcW w:w="903" w:type="dxa"/>
            <w:tcBorders>
              <w:top w:val="nil"/>
            </w:tcBorders>
          </w:tcPr>
          <w:p w14:paraId="351D35F2" w14:textId="77777777" w:rsidR="007123C7" w:rsidRPr="00BB5FFF" w:rsidRDefault="007123C7" w:rsidP="00E82294">
            <w:pPr>
              <w:pStyle w:val="TableText"/>
              <w:jc w:val="right"/>
            </w:pPr>
            <w:r>
              <w:t>–</w:t>
            </w:r>
          </w:p>
        </w:tc>
        <w:tc>
          <w:tcPr>
            <w:tcW w:w="447" w:type="dxa"/>
            <w:tcBorders>
              <w:top w:val="nil"/>
            </w:tcBorders>
          </w:tcPr>
          <w:p w14:paraId="3CAB43EE" w14:textId="77777777" w:rsidR="007123C7" w:rsidRPr="00BB5FFF" w:rsidRDefault="007123C7" w:rsidP="00E82294">
            <w:pPr>
              <w:pStyle w:val="TableText"/>
              <w:jc w:val="right"/>
            </w:pPr>
            <w:r w:rsidRPr="00BB5FFF">
              <w:t>28</w:t>
            </w:r>
          </w:p>
        </w:tc>
        <w:tc>
          <w:tcPr>
            <w:tcW w:w="810" w:type="dxa"/>
            <w:tcBorders>
              <w:top w:val="nil"/>
            </w:tcBorders>
          </w:tcPr>
          <w:p w14:paraId="1159D216" w14:textId="77777777" w:rsidR="007123C7" w:rsidRPr="00BB5FFF" w:rsidRDefault="007123C7" w:rsidP="00E82294">
            <w:pPr>
              <w:pStyle w:val="TableText"/>
              <w:jc w:val="right"/>
            </w:pPr>
            <w:r w:rsidRPr="00BB5FFF">
              <w:t>126</w:t>
            </w:r>
          </w:p>
        </w:tc>
        <w:tc>
          <w:tcPr>
            <w:tcW w:w="965" w:type="dxa"/>
            <w:tcBorders>
              <w:top w:val="nil"/>
            </w:tcBorders>
          </w:tcPr>
          <w:p w14:paraId="3DDD5A8D" w14:textId="77777777" w:rsidR="007123C7" w:rsidRPr="00BB5FFF" w:rsidRDefault="007123C7" w:rsidP="00E82294">
            <w:pPr>
              <w:pStyle w:val="TableText"/>
              <w:jc w:val="right"/>
            </w:pPr>
            <w:r w:rsidRPr="00BB5FFF">
              <w:t>23.3 (7.2</w:t>
            </w:r>
            <w:r w:rsidR="000474A7">
              <w:t>, </w:t>
            </w:r>
            <w:r w:rsidRPr="00BB5FFF">
              <w:t>54.4)</w:t>
            </w:r>
          </w:p>
        </w:tc>
      </w:tr>
      <w:tr w:rsidR="000474A7" w:rsidRPr="00BB5FFF" w14:paraId="31F9347A"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bottom w:val="single" w:sz="4" w:space="0" w:color="000000"/>
            </w:tcBorders>
          </w:tcPr>
          <w:p w14:paraId="270F232A" w14:textId="77777777" w:rsidR="007123C7" w:rsidRPr="00BB5FFF" w:rsidRDefault="007123C7" w:rsidP="00E82294">
            <w:pPr>
              <w:pStyle w:val="TableText"/>
            </w:pPr>
            <w:r w:rsidRPr="00BB5FFF">
              <w:t>Did not use DVA or At Ease websites</w:t>
            </w:r>
          </w:p>
        </w:tc>
        <w:tc>
          <w:tcPr>
            <w:tcW w:w="540" w:type="dxa"/>
            <w:tcBorders>
              <w:bottom w:val="single" w:sz="4" w:space="0" w:color="000000"/>
            </w:tcBorders>
          </w:tcPr>
          <w:p w14:paraId="0AC4D941" w14:textId="77777777" w:rsidR="007123C7" w:rsidRPr="00BB5FFF" w:rsidRDefault="007123C7" w:rsidP="00E82294">
            <w:pPr>
              <w:pStyle w:val="TableText"/>
              <w:jc w:val="right"/>
            </w:pPr>
            <w:r w:rsidRPr="00BB5FFF">
              <w:t>22</w:t>
            </w:r>
          </w:p>
        </w:tc>
        <w:tc>
          <w:tcPr>
            <w:tcW w:w="810" w:type="dxa"/>
            <w:tcBorders>
              <w:bottom w:val="single" w:sz="4" w:space="0" w:color="000000"/>
            </w:tcBorders>
          </w:tcPr>
          <w:p w14:paraId="3CCF41AB" w14:textId="77777777" w:rsidR="007123C7" w:rsidRPr="00BB5FFF" w:rsidRDefault="007123C7" w:rsidP="00E82294">
            <w:pPr>
              <w:pStyle w:val="TableText"/>
              <w:jc w:val="right"/>
            </w:pPr>
            <w:r w:rsidRPr="00BB5FFF">
              <w:t>163</w:t>
            </w:r>
          </w:p>
        </w:tc>
        <w:tc>
          <w:tcPr>
            <w:tcW w:w="990" w:type="dxa"/>
            <w:tcBorders>
              <w:bottom w:val="single" w:sz="4" w:space="0" w:color="000000"/>
            </w:tcBorders>
          </w:tcPr>
          <w:p w14:paraId="761719A8" w14:textId="77777777" w:rsidR="007123C7" w:rsidRPr="00BB5FFF" w:rsidRDefault="007123C7" w:rsidP="00E82294">
            <w:pPr>
              <w:pStyle w:val="TableText"/>
              <w:jc w:val="right"/>
            </w:pPr>
            <w:r w:rsidRPr="00BB5FFF">
              <w:t>67.4 (46.4</w:t>
            </w:r>
            <w:r w:rsidR="000474A7">
              <w:t>, </w:t>
            </w:r>
            <w:r w:rsidRPr="00BB5FFF">
              <w:t>83.1)</w:t>
            </w:r>
          </w:p>
        </w:tc>
        <w:tc>
          <w:tcPr>
            <w:tcW w:w="467" w:type="dxa"/>
            <w:tcBorders>
              <w:bottom w:val="single" w:sz="4" w:space="0" w:color="000000"/>
            </w:tcBorders>
          </w:tcPr>
          <w:p w14:paraId="6F402861" w14:textId="77777777" w:rsidR="007123C7" w:rsidRPr="00BB5FFF" w:rsidRDefault="007123C7" w:rsidP="00E82294">
            <w:pPr>
              <w:pStyle w:val="TableText"/>
              <w:jc w:val="right"/>
            </w:pPr>
            <w:r w:rsidRPr="00BB5FFF">
              <w:t>120</w:t>
            </w:r>
          </w:p>
        </w:tc>
        <w:tc>
          <w:tcPr>
            <w:tcW w:w="820" w:type="dxa"/>
            <w:tcBorders>
              <w:bottom w:val="single" w:sz="4" w:space="0" w:color="000000"/>
            </w:tcBorders>
          </w:tcPr>
          <w:p w14:paraId="0B5A163D" w14:textId="77777777" w:rsidR="007123C7" w:rsidRPr="00BB5FFF" w:rsidRDefault="007123C7" w:rsidP="00E82294">
            <w:pPr>
              <w:pStyle w:val="TableText"/>
              <w:jc w:val="right"/>
            </w:pPr>
            <w:r w:rsidRPr="00BB5FFF">
              <w:t>889</w:t>
            </w:r>
          </w:p>
        </w:tc>
        <w:tc>
          <w:tcPr>
            <w:tcW w:w="994" w:type="dxa"/>
            <w:tcBorders>
              <w:bottom w:val="single" w:sz="4" w:space="0" w:color="000000"/>
            </w:tcBorders>
          </w:tcPr>
          <w:p w14:paraId="1A13E586" w14:textId="77777777" w:rsidR="007123C7" w:rsidRPr="00BB5FFF" w:rsidRDefault="007123C7" w:rsidP="00E82294">
            <w:pPr>
              <w:pStyle w:val="TableText"/>
              <w:jc w:val="right"/>
            </w:pPr>
            <w:r w:rsidRPr="00BB5FFF">
              <w:t>63.6 (55.5</w:t>
            </w:r>
            <w:r w:rsidR="000474A7">
              <w:t>, </w:t>
            </w:r>
            <w:r w:rsidRPr="00BB5FFF">
              <w:t>70.9)</w:t>
            </w:r>
          </w:p>
        </w:tc>
        <w:tc>
          <w:tcPr>
            <w:tcW w:w="509" w:type="dxa"/>
            <w:tcBorders>
              <w:bottom w:val="single" w:sz="4" w:space="0" w:color="000000"/>
            </w:tcBorders>
          </w:tcPr>
          <w:p w14:paraId="08590479" w14:textId="77777777" w:rsidR="007123C7" w:rsidRPr="00BB5FFF" w:rsidRDefault="007123C7" w:rsidP="00E82294">
            <w:pPr>
              <w:pStyle w:val="TableText"/>
              <w:jc w:val="right"/>
            </w:pPr>
            <w:r w:rsidRPr="00BB5FFF">
              <w:t>10</w:t>
            </w:r>
          </w:p>
        </w:tc>
        <w:tc>
          <w:tcPr>
            <w:tcW w:w="810" w:type="dxa"/>
            <w:tcBorders>
              <w:bottom w:val="single" w:sz="4" w:space="0" w:color="000000"/>
            </w:tcBorders>
          </w:tcPr>
          <w:p w14:paraId="5A0D51AC" w14:textId="77777777" w:rsidR="007123C7" w:rsidRPr="00BB5FFF" w:rsidRDefault="007123C7" w:rsidP="00E82294">
            <w:pPr>
              <w:pStyle w:val="TableText"/>
              <w:jc w:val="right"/>
            </w:pPr>
            <w:r w:rsidRPr="00BB5FFF">
              <w:t>37</w:t>
            </w:r>
          </w:p>
        </w:tc>
        <w:tc>
          <w:tcPr>
            <w:tcW w:w="903" w:type="dxa"/>
            <w:tcBorders>
              <w:bottom w:val="single" w:sz="4" w:space="0" w:color="000000"/>
            </w:tcBorders>
          </w:tcPr>
          <w:p w14:paraId="4C032AC5" w14:textId="77777777" w:rsidR="007123C7" w:rsidRPr="00BB5FFF" w:rsidRDefault="007123C7" w:rsidP="00E82294">
            <w:pPr>
              <w:pStyle w:val="TableText"/>
              <w:jc w:val="right"/>
            </w:pPr>
            <w:r w:rsidRPr="00BB5FFF">
              <w:t>15.8 (2.5</w:t>
            </w:r>
            <w:r w:rsidR="000474A7">
              <w:t>, </w:t>
            </w:r>
            <w:r w:rsidRPr="00BB5FFF">
              <w:t>57.5)</w:t>
            </w:r>
          </w:p>
        </w:tc>
        <w:tc>
          <w:tcPr>
            <w:tcW w:w="447" w:type="dxa"/>
            <w:tcBorders>
              <w:bottom w:val="single" w:sz="4" w:space="0" w:color="000000"/>
            </w:tcBorders>
          </w:tcPr>
          <w:p w14:paraId="308CA800" w14:textId="77777777" w:rsidR="007123C7" w:rsidRPr="00BB5FFF" w:rsidRDefault="007123C7" w:rsidP="00E82294">
            <w:pPr>
              <w:pStyle w:val="TableText"/>
              <w:jc w:val="right"/>
            </w:pPr>
            <w:r w:rsidRPr="00BB5FFF">
              <w:t>43</w:t>
            </w:r>
          </w:p>
        </w:tc>
        <w:tc>
          <w:tcPr>
            <w:tcW w:w="810" w:type="dxa"/>
            <w:tcBorders>
              <w:bottom w:val="single" w:sz="4" w:space="0" w:color="000000"/>
            </w:tcBorders>
          </w:tcPr>
          <w:p w14:paraId="1F15D913" w14:textId="77777777" w:rsidR="007123C7" w:rsidRPr="00BB5FFF" w:rsidRDefault="007123C7" w:rsidP="00E82294">
            <w:pPr>
              <w:pStyle w:val="TableText"/>
              <w:jc w:val="right"/>
            </w:pPr>
            <w:r w:rsidRPr="00BB5FFF">
              <w:t>414</w:t>
            </w:r>
          </w:p>
        </w:tc>
        <w:tc>
          <w:tcPr>
            <w:tcW w:w="965" w:type="dxa"/>
            <w:tcBorders>
              <w:bottom w:val="single" w:sz="4" w:space="0" w:color="000000"/>
            </w:tcBorders>
          </w:tcPr>
          <w:p w14:paraId="243575E9" w14:textId="77777777" w:rsidR="007123C7" w:rsidRPr="00BB5FFF" w:rsidRDefault="007123C7" w:rsidP="00E82294">
            <w:pPr>
              <w:pStyle w:val="TableText"/>
              <w:jc w:val="right"/>
            </w:pPr>
            <w:r w:rsidRPr="00BB5FFF">
              <w:t>76.7 (45.6</w:t>
            </w:r>
            <w:r w:rsidR="000474A7">
              <w:t>, </w:t>
            </w:r>
            <w:r w:rsidRPr="00BB5FFF">
              <w:t>92.8)</w:t>
            </w:r>
          </w:p>
        </w:tc>
      </w:tr>
      <w:tr w:rsidR="007123C7" w:rsidRPr="000F78B9" w14:paraId="5BA52E4B" w14:textId="77777777" w:rsidTr="000474A7">
        <w:trPr>
          <w:cantSplit/>
        </w:trPr>
        <w:tc>
          <w:tcPr>
            <w:tcW w:w="2455" w:type="dxa"/>
            <w:tcBorders>
              <w:top w:val="single" w:sz="4" w:space="0" w:color="000000"/>
              <w:bottom w:val="nil"/>
            </w:tcBorders>
          </w:tcPr>
          <w:p w14:paraId="405EF513" w14:textId="77777777" w:rsidR="007123C7" w:rsidRPr="00BB5FFF" w:rsidRDefault="007123C7" w:rsidP="00E82294">
            <w:pPr>
              <w:pStyle w:val="TableText"/>
              <w:rPr>
                <w:b/>
                <w:bCs/>
                <w:color w:val="000000" w:themeColor="text1"/>
              </w:rPr>
            </w:pPr>
            <w:r w:rsidRPr="00BB5FFF">
              <w:rPr>
                <w:b/>
              </w:rPr>
              <w:t>Probable depressive episode (PHQ-9)</w:t>
            </w:r>
          </w:p>
        </w:tc>
        <w:tc>
          <w:tcPr>
            <w:tcW w:w="2340" w:type="dxa"/>
            <w:gridSpan w:val="3"/>
            <w:tcBorders>
              <w:top w:val="single" w:sz="4" w:space="0" w:color="000000"/>
              <w:bottom w:val="nil"/>
            </w:tcBorders>
          </w:tcPr>
          <w:p w14:paraId="15ECC20E" w14:textId="77777777" w:rsidR="007123C7" w:rsidRPr="000F78B9" w:rsidRDefault="007123C7" w:rsidP="00E82294">
            <w:pPr>
              <w:pStyle w:val="TableText"/>
              <w:jc w:val="center"/>
            </w:pPr>
            <w:r>
              <w:t>n</w:t>
            </w:r>
            <w:r w:rsidRPr="000F78B9">
              <w:t>=</w:t>
            </w:r>
            <w:r>
              <w:t>81</w:t>
            </w:r>
            <w:r w:rsidRPr="000F78B9">
              <w:t xml:space="preserve"> (Weighted</w:t>
            </w:r>
            <w:r>
              <w:t xml:space="preserve"> n</w:t>
            </w:r>
            <w:r w:rsidRPr="000F78B9">
              <w:t>=</w:t>
            </w:r>
            <w:r>
              <w:t>568</w:t>
            </w:r>
            <w:r w:rsidRPr="000F78B9">
              <w:t>)</w:t>
            </w:r>
          </w:p>
        </w:tc>
        <w:tc>
          <w:tcPr>
            <w:tcW w:w="2281" w:type="dxa"/>
            <w:gridSpan w:val="3"/>
            <w:tcBorders>
              <w:top w:val="single" w:sz="4" w:space="0" w:color="000000"/>
              <w:bottom w:val="nil"/>
            </w:tcBorders>
          </w:tcPr>
          <w:p w14:paraId="36DD58FF" w14:textId="77777777" w:rsidR="007123C7" w:rsidRPr="000F78B9" w:rsidRDefault="007123C7" w:rsidP="00E82294">
            <w:pPr>
              <w:pStyle w:val="TableText"/>
              <w:jc w:val="center"/>
            </w:pPr>
            <w:r>
              <w:t xml:space="preserve">n=414 </w:t>
            </w:r>
            <w:r w:rsidRPr="000F78B9">
              <w:t xml:space="preserve">(Weighted </w:t>
            </w:r>
            <w:r>
              <w:t>n</w:t>
            </w:r>
            <w:r w:rsidRPr="000F78B9">
              <w:t>=</w:t>
            </w:r>
            <w:r>
              <w:t>2769</w:t>
            </w:r>
            <w:r w:rsidRPr="000F78B9">
              <w:t>)</w:t>
            </w:r>
          </w:p>
        </w:tc>
        <w:tc>
          <w:tcPr>
            <w:tcW w:w="2222" w:type="dxa"/>
            <w:gridSpan w:val="3"/>
            <w:tcBorders>
              <w:top w:val="single" w:sz="4" w:space="0" w:color="000000"/>
              <w:bottom w:val="nil"/>
            </w:tcBorders>
          </w:tcPr>
          <w:p w14:paraId="64ABF42B" w14:textId="77777777" w:rsidR="007123C7" w:rsidRPr="000F78B9" w:rsidRDefault="007123C7" w:rsidP="00E82294">
            <w:pPr>
              <w:pStyle w:val="TableText"/>
              <w:jc w:val="center"/>
            </w:pPr>
            <w:r>
              <w:t>n</w:t>
            </w:r>
            <w:r w:rsidRPr="000F78B9">
              <w:t>=</w:t>
            </w:r>
            <w:r>
              <w:t xml:space="preserve">29 </w:t>
            </w:r>
            <w:r w:rsidRPr="000F78B9">
              <w:t>(Weighted</w:t>
            </w:r>
            <w:r>
              <w:t xml:space="preserve"> n</w:t>
            </w:r>
            <w:r w:rsidRPr="000F78B9">
              <w:t>=</w:t>
            </w:r>
            <w:r>
              <w:t>135</w:t>
            </w:r>
            <w:r w:rsidRPr="000F78B9">
              <w:t>)</w:t>
            </w:r>
          </w:p>
        </w:tc>
        <w:tc>
          <w:tcPr>
            <w:tcW w:w="2222" w:type="dxa"/>
            <w:gridSpan w:val="3"/>
            <w:tcBorders>
              <w:top w:val="single" w:sz="4" w:space="0" w:color="000000"/>
              <w:bottom w:val="nil"/>
            </w:tcBorders>
          </w:tcPr>
          <w:p w14:paraId="33C3050A" w14:textId="77777777" w:rsidR="007123C7" w:rsidRPr="000F78B9" w:rsidRDefault="007123C7" w:rsidP="00E82294">
            <w:pPr>
              <w:pStyle w:val="TableText"/>
              <w:jc w:val="center"/>
            </w:pPr>
            <w:r>
              <w:t>n</w:t>
            </w:r>
            <w:r w:rsidRPr="000F78B9">
              <w:t>=</w:t>
            </w:r>
            <w:r>
              <w:t xml:space="preserve">221 </w:t>
            </w:r>
            <w:r w:rsidRPr="000F78B9">
              <w:t xml:space="preserve">(Weighted </w:t>
            </w:r>
            <w:r>
              <w:t>n</w:t>
            </w:r>
            <w:r w:rsidRPr="000F78B9">
              <w:t>=</w:t>
            </w:r>
            <w:r>
              <w:t>1659</w:t>
            </w:r>
            <w:r w:rsidRPr="000F78B9">
              <w:t>)</w:t>
            </w:r>
          </w:p>
        </w:tc>
      </w:tr>
      <w:tr w:rsidR="000474A7" w:rsidRPr="00BB5FFF" w14:paraId="6E27B017"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nil"/>
            </w:tcBorders>
          </w:tcPr>
          <w:p w14:paraId="6AEDCF08" w14:textId="77777777" w:rsidR="007123C7" w:rsidRPr="00BB5FFF" w:rsidRDefault="007123C7" w:rsidP="00E82294">
            <w:pPr>
              <w:pStyle w:val="TableText"/>
            </w:pPr>
            <w:r w:rsidRPr="00BB5FFF">
              <w:t xml:space="preserve">Used DVA or At Ease websites </w:t>
            </w:r>
          </w:p>
        </w:tc>
        <w:tc>
          <w:tcPr>
            <w:tcW w:w="540" w:type="dxa"/>
            <w:tcBorders>
              <w:top w:val="nil"/>
            </w:tcBorders>
          </w:tcPr>
          <w:p w14:paraId="402C534D" w14:textId="77777777" w:rsidR="007123C7" w:rsidRPr="00BB5FFF" w:rsidRDefault="007123C7" w:rsidP="00E82294">
            <w:pPr>
              <w:pStyle w:val="TableText"/>
              <w:jc w:val="right"/>
            </w:pPr>
            <w:r w:rsidRPr="00BB5FFF">
              <w:t>35</w:t>
            </w:r>
          </w:p>
        </w:tc>
        <w:tc>
          <w:tcPr>
            <w:tcW w:w="810" w:type="dxa"/>
            <w:tcBorders>
              <w:top w:val="nil"/>
            </w:tcBorders>
          </w:tcPr>
          <w:p w14:paraId="7F84924D" w14:textId="77777777" w:rsidR="007123C7" w:rsidRPr="00BB5FFF" w:rsidRDefault="007123C7" w:rsidP="00E82294">
            <w:pPr>
              <w:pStyle w:val="TableText"/>
              <w:jc w:val="right"/>
            </w:pPr>
            <w:r w:rsidRPr="00BB5FFF">
              <w:t>232</w:t>
            </w:r>
          </w:p>
        </w:tc>
        <w:tc>
          <w:tcPr>
            <w:tcW w:w="990" w:type="dxa"/>
            <w:tcBorders>
              <w:top w:val="nil"/>
            </w:tcBorders>
          </w:tcPr>
          <w:p w14:paraId="1BED924E" w14:textId="77777777" w:rsidR="007123C7" w:rsidRPr="00BB5FFF" w:rsidRDefault="007123C7" w:rsidP="00E82294">
            <w:pPr>
              <w:pStyle w:val="TableText"/>
              <w:jc w:val="right"/>
            </w:pPr>
            <w:r w:rsidRPr="00BB5FFF">
              <w:t>40.8 (29.1</w:t>
            </w:r>
            <w:r w:rsidR="000474A7">
              <w:t>, </w:t>
            </w:r>
            <w:r w:rsidRPr="00BB5FFF">
              <w:t>53.7)</w:t>
            </w:r>
          </w:p>
        </w:tc>
        <w:tc>
          <w:tcPr>
            <w:tcW w:w="467" w:type="dxa"/>
            <w:tcBorders>
              <w:top w:val="nil"/>
            </w:tcBorders>
          </w:tcPr>
          <w:p w14:paraId="04127768" w14:textId="77777777" w:rsidR="007123C7" w:rsidRPr="00BB5FFF" w:rsidRDefault="007123C7" w:rsidP="00E82294">
            <w:pPr>
              <w:pStyle w:val="TableText"/>
              <w:jc w:val="right"/>
            </w:pPr>
            <w:r w:rsidRPr="00BB5FFF">
              <w:t>196</w:t>
            </w:r>
          </w:p>
        </w:tc>
        <w:tc>
          <w:tcPr>
            <w:tcW w:w="820" w:type="dxa"/>
            <w:tcBorders>
              <w:top w:val="nil"/>
            </w:tcBorders>
          </w:tcPr>
          <w:p w14:paraId="537B85AE" w14:textId="77777777" w:rsidR="007123C7" w:rsidRPr="00BB5FFF" w:rsidRDefault="007123C7" w:rsidP="00E82294">
            <w:pPr>
              <w:pStyle w:val="TableText"/>
              <w:jc w:val="right"/>
            </w:pPr>
            <w:r w:rsidRPr="00BB5FFF">
              <w:t>1112</w:t>
            </w:r>
          </w:p>
        </w:tc>
        <w:tc>
          <w:tcPr>
            <w:tcW w:w="994" w:type="dxa"/>
            <w:tcBorders>
              <w:top w:val="nil"/>
            </w:tcBorders>
          </w:tcPr>
          <w:p w14:paraId="44C44731" w14:textId="77777777" w:rsidR="007123C7" w:rsidRPr="00BB5FFF" w:rsidRDefault="007123C7" w:rsidP="00E82294">
            <w:pPr>
              <w:pStyle w:val="TableText"/>
              <w:jc w:val="right"/>
            </w:pPr>
            <w:r w:rsidRPr="00BB5FFF">
              <w:t>40.2 (34.8</w:t>
            </w:r>
            <w:r w:rsidR="000474A7">
              <w:t>, </w:t>
            </w:r>
            <w:r w:rsidRPr="00BB5FFF">
              <w:t>45.7)</w:t>
            </w:r>
          </w:p>
        </w:tc>
        <w:tc>
          <w:tcPr>
            <w:tcW w:w="509" w:type="dxa"/>
            <w:tcBorders>
              <w:top w:val="nil"/>
            </w:tcBorders>
          </w:tcPr>
          <w:p w14:paraId="38EBFA9E" w14:textId="77777777" w:rsidR="007123C7" w:rsidRPr="00BB5FFF" w:rsidRDefault="007123C7" w:rsidP="00E82294">
            <w:pPr>
              <w:pStyle w:val="TableText"/>
              <w:jc w:val="right"/>
            </w:pPr>
            <w:r w:rsidRPr="00BB5FFF">
              <w:t>9</w:t>
            </w:r>
          </w:p>
        </w:tc>
        <w:tc>
          <w:tcPr>
            <w:tcW w:w="810" w:type="dxa"/>
            <w:tcBorders>
              <w:top w:val="nil"/>
            </w:tcBorders>
          </w:tcPr>
          <w:p w14:paraId="4FFA54BE" w14:textId="77777777" w:rsidR="007123C7" w:rsidRPr="00BB5FFF" w:rsidRDefault="007123C7" w:rsidP="00E82294">
            <w:pPr>
              <w:pStyle w:val="TableText"/>
              <w:jc w:val="right"/>
            </w:pPr>
            <w:r w:rsidRPr="00BB5FFF">
              <w:t>51</w:t>
            </w:r>
          </w:p>
        </w:tc>
        <w:tc>
          <w:tcPr>
            <w:tcW w:w="903" w:type="dxa"/>
            <w:tcBorders>
              <w:top w:val="nil"/>
            </w:tcBorders>
          </w:tcPr>
          <w:p w14:paraId="5191D297" w14:textId="77777777" w:rsidR="007123C7" w:rsidRPr="00BB5FFF" w:rsidRDefault="007123C7" w:rsidP="00E82294">
            <w:pPr>
              <w:pStyle w:val="TableText"/>
              <w:jc w:val="right"/>
            </w:pPr>
            <w:r w:rsidRPr="00BB5FFF">
              <w:t>37.4 (18.0</w:t>
            </w:r>
            <w:r w:rsidR="000474A7">
              <w:t>, </w:t>
            </w:r>
            <w:r w:rsidRPr="00BB5FFF">
              <w:t>61.9)</w:t>
            </w:r>
          </w:p>
        </w:tc>
        <w:tc>
          <w:tcPr>
            <w:tcW w:w="447" w:type="dxa"/>
            <w:tcBorders>
              <w:top w:val="nil"/>
            </w:tcBorders>
          </w:tcPr>
          <w:p w14:paraId="6248D554" w14:textId="77777777" w:rsidR="007123C7" w:rsidRPr="00BB5FFF" w:rsidRDefault="007123C7" w:rsidP="00E82294">
            <w:pPr>
              <w:pStyle w:val="TableText"/>
              <w:jc w:val="right"/>
            </w:pPr>
            <w:r w:rsidRPr="00BB5FFF">
              <w:t>81</w:t>
            </w:r>
          </w:p>
        </w:tc>
        <w:tc>
          <w:tcPr>
            <w:tcW w:w="810" w:type="dxa"/>
            <w:tcBorders>
              <w:top w:val="nil"/>
            </w:tcBorders>
          </w:tcPr>
          <w:p w14:paraId="1F2CD5A1" w14:textId="77777777" w:rsidR="007123C7" w:rsidRPr="00BB5FFF" w:rsidRDefault="007123C7" w:rsidP="00E82294">
            <w:pPr>
              <w:pStyle w:val="TableText"/>
              <w:jc w:val="right"/>
            </w:pPr>
            <w:r w:rsidRPr="00BB5FFF">
              <w:t>369</w:t>
            </w:r>
          </w:p>
        </w:tc>
        <w:tc>
          <w:tcPr>
            <w:tcW w:w="965" w:type="dxa"/>
            <w:tcBorders>
              <w:top w:val="nil"/>
            </w:tcBorders>
          </w:tcPr>
          <w:p w14:paraId="160C3A5D" w14:textId="77777777" w:rsidR="007123C7" w:rsidRPr="00BB5FFF" w:rsidRDefault="007123C7" w:rsidP="00E82294">
            <w:pPr>
              <w:pStyle w:val="TableText"/>
              <w:jc w:val="right"/>
            </w:pPr>
            <w:r w:rsidRPr="00BB5FFF">
              <w:t>22.3 (11.9</w:t>
            </w:r>
            <w:r w:rsidR="000474A7">
              <w:t>, </w:t>
            </w:r>
            <w:r w:rsidRPr="00BB5FFF">
              <w:t>37.9)</w:t>
            </w:r>
          </w:p>
        </w:tc>
      </w:tr>
      <w:tr w:rsidR="000474A7" w:rsidRPr="00BB5FFF" w14:paraId="64E9E6EC" w14:textId="77777777" w:rsidTr="000474A7">
        <w:trPr>
          <w:cantSplit/>
        </w:trPr>
        <w:tc>
          <w:tcPr>
            <w:tcW w:w="2455" w:type="dxa"/>
            <w:tcBorders>
              <w:bottom w:val="single" w:sz="4" w:space="0" w:color="000000"/>
            </w:tcBorders>
          </w:tcPr>
          <w:p w14:paraId="039B45F0" w14:textId="77777777" w:rsidR="007123C7" w:rsidRPr="00BB5FFF" w:rsidRDefault="007123C7" w:rsidP="000474A7">
            <w:pPr>
              <w:pStyle w:val="TableText"/>
              <w:keepNext w:val="0"/>
            </w:pPr>
            <w:r w:rsidRPr="00BB5FFF">
              <w:t>Did not use DVA or At Ease websites</w:t>
            </w:r>
          </w:p>
        </w:tc>
        <w:tc>
          <w:tcPr>
            <w:tcW w:w="540" w:type="dxa"/>
            <w:tcBorders>
              <w:bottom w:val="single" w:sz="4" w:space="0" w:color="000000"/>
            </w:tcBorders>
          </w:tcPr>
          <w:p w14:paraId="76D6CB18" w14:textId="77777777" w:rsidR="007123C7" w:rsidRPr="00BB5FFF" w:rsidRDefault="007123C7" w:rsidP="000474A7">
            <w:pPr>
              <w:pStyle w:val="TableText"/>
              <w:keepNext w:val="0"/>
              <w:jc w:val="right"/>
            </w:pPr>
            <w:r w:rsidRPr="00BB5FFF">
              <w:t>46</w:t>
            </w:r>
          </w:p>
        </w:tc>
        <w:tc>
          <w:tcPr>
            <w:tcW w:w="810" w:type="dxa"/>
            <w:tcBorders>
              <w:bottom w:val="single" w:sz="4" w:space="0" w:color="000000"/>
            </w:tcBorders>
          </w:tcPr>
          <w:p w14:paraId="293A5FCA" w14:textId="77777777" w:rsidR="007123C7" w:rsidRPr="00BB5FFF" w:rsidRDefault="007123C7" w:rsidP="000474A7">
            <w:pPr>
              <w:pStyle w:val="TableText"/>
              <w:keepNext w:val="0"/>
              <w:jc w:val="right"/>
            </w:pPr>
            <w:r w:rsidRPr="00BB5FFF">
              <w:t>336</w:t>
            </w:r>
          </w:p>
        </w:tc>
        <w:tc>
          <w:tcPr>
            <w:tcW w:w="990" w:type="dxa"/>
            <w:tcBorders>
              <w:bottom w:val="single" w:sz="4" w:space="0" w:color="000000"/>
            </w:tcBorders>
          </w:tcPr>
          <w:p w14:paraId="3F799CD4" w14:textId="77777777" w:rsidR="007123C7" w:rsidRPr="00BB5FFF" w:rsidRDefault="007123C7" w:rsidP="000474A7">
            <w:pPr>
              <w:pStyle w:val="TableText"/>
              <w:keepNext w:val="0"/>
              <w:jc w:val="right"/>
            </w:pPr>
            <w:r w:rsidRPr="00BB5FFF">
              <w:t>59.2 (46.3</w:t>
            </w:r>
            <w:r w:rsidR="000474A7">
              <w:t>, </w:t>
            </w:r>
            <w:r w:rsidRPr="00BB5FFF">
              <w:t>70.9)</w:t>
            </w:r>
          </w:p>
        </w:tc>
        <w:tc>
          <w:tcPr>
            <w:tcW w:w="467" w:type="dxa"/>
            <w:tcBorders>
              <w:bottom w:val="single" w:sz="4" w:space="0" w:color="000000"/>
            </w:tcBorders>
          </w:tcPr>
          <w:p w14:paraId="37823FB1" w14:textId="77777777" w:rsidR="007123C7" w:rsidRPr="00BB5FFF" w:rsidRDefault="007123C7" w:rsidP="000474A7">
            <w:pPr>
              <w:pStyle w:val="TableText"/>
              <w:keepNext w:val="0"/>
              <w:jc w:val="right"/>
            </w:pPr>
            <w:r w:rsidRPr="00BB5FFF">
              <w:t>218</w:t>
            </w:r>
          </w:p>
        </w:tc>
        <w:tc>
          <w:tcPr>
            <w:tcW w:w="820" w:type="dxa"/>
            <w:tcBorders>
              <w:bottom w:val="single" w:sz="4" w:space="0" w:color="000000"/>
            </w:tcBorders>
          </w:tcPr>
          <w:p w14:paraId="1AD23881" w14:textId="77777777" w:rsidR="007123C7" w:rsidRPr="00BB5FFF" w:rsidRDefault="007123C7" w:rsidP="000474A7">
            <w:pPr>
              <w:pStyle w:val="TableText"/>
              <w:keepNext w:val="0"/>
              <w:jc w:val="right"/>
            </w:pPr>
            <w:r w:rsidRPr="00BB5FFF">
              <w:t>1657</w:t>
            </w:r>
          </w:p>
        </w:tc>
        <w:tc>
          <w:tcPr>
            <w:tcW w:w="994" w:type="dxa"/>
            <w:tcBorders>
              <w:bottom w:val="single" w:sz="4" w:space="0" w:color="000000"/>
            </w:tcBorders>
          </w:tcPr>
          <w:p w14:paraId="0DCE601E" w14:textId="77777777" w:rsidR="007123C7" w:rsidRPr="00BB5FFF" w:rsidRDefault="007123C7" w:rsidP="000474A7">
            <w:pPr>
              <w:pStyle w:val="TableText"/>
              <w:keepNext w:val="0"/>
              <w:jc w:val="right"/>
            </w:pPr>
            <w:r w:rsidRPr="00BB5FFF">
              <w:t>59.8 (54.3</w:t>
            </w:r>
            <w:r w:rsidR="000474A7">
              <w:t>, </w:t>
            </w:r>
            <w:r w:rsidRPr="00BB5FFF">
              <w:t>65.2)</w:t>
            </w:r>
          </w:p>
        </w:tc>
        <w:tc>
          <w:tcPr>
            <w:tcW w:w="509" w:type="dxa"/>
            <w:tcBorders>
              <w:bottom w:val="single" w:sz="4" w:space="0" w:color="000000"/>
            </w:tcBorders>
          </w:tcPr>
          <w:p w14:paraId="414A1BAA" w14:textId="77777777" w:rsidR="007123C7" w:rsidRPr="00BB5FFF" w:rsidRDefault="007123C7" w:rsidP="000474A7">
            <w:pPr>
              <w:pStyle w:val="TableText"/>
              <w:keepNext w:val="0"/>
              <w:jc w:val="right"/>
            </w:pPr>
            <w:r w:rsidRPr="00BB5FFF">
              <w:t>20</w:t>
            </w:r>
          </w:p>
        </w:tc>
        <w:tc>
          <w:tcPr>
            <w:tcW w:w="810" w:type="dxa"/>
            <w:tcBorders>
              <w:bottom w:val="single" w:sz="4" w:space="0" w:color="000000"/>
            </w:tcBorders>
          </w:tcPr>
          <w:p w14:paraId="53142E82" w14:textId="77777777" w:rsidR="007123C7" w:rsidRPr="00BB5FFF" w:rsidRDefault="007123C7" w:rsidP="000474A7">
            <w:pPr>
              <w:pStyle w:val="TableText"/>
              <w:keepNext w:val="0"/>
              <w:jc w:val="right"/>
            </w:pPr>
            <w:r w:rsidRPr="00BB5FFF">
              <w:t>85</w:t>
            </w:r>
          </w:p>
        </w:tc>
        <w:tc>
          <w:tcPr>
            <w:tcW w:w="903" w:type="dxa"/>
            <w:tcBorders>
              <w:bottom w:val="single" w:sz="4" w:space="0" w:color="000000"/>
            </w:tcBorders>
          </w:tcPr>
          <w:p w14:paraId="484924B1" w14:textId="77777777" w:rsidR="007123C7" w:rsidRPr="00BB5FFF" w:rsidRDefault="007123C7" w:rsidP="000474A7">
            <w:pPr>
              <w:pStyle w:val="TableText"/>
              <w:keepNext w:val="0"/>
              <w:jc w:val="right"/>
            </w:pPr>
            <w:r w:rsidRPr="00BB5FFF">
              <w:t>62.6 (38.1</w:t>
            </w:r>
            <w:r w:rsidR="000474A7">
              <w:t>, </w:t>
            </w:r>
            <w:r w:rsidRPr="00BB5FFF">
              <w:t>82.0)</w:t>
            </w:r>
          </w:p>
        </w:tc>
        <w:tc>
          <w:tcPr>
            <w:tcW w:w="447" w:type="dxa"/>
            <w:tcBorders>
              <w:bottom w:val="single" w:sz="4" w:space="0" w:color="000000"/>
            </w:tcBorders>
          </w:tcPr>
          <w:p w14:paraId="3911709E" w14:textId="77777777" w:rsidR="007123C7" w:rsidRPr="00BB5FFF" w:rsidRDefault="007123C7" w:rsidP="000474A7">
            <w:pPr>
              <w:pStyle w:val="TableText"/>
              <w:keepNext w:val="0"/>
              <w:jc w:val="right"/>
            </w:pPr>
            <w:r w:rsidRPr="00BB5FFF">
              <w:t>140</w:t>
            </w:r>
          </w:p>
        </w:tc>
        <w:tc>
          <w:tcPr>
            <w:tcW w:w="810" w:type="dxa"/>
            <w:tcBorders>
              <w:bottom w:val="single" w:sz="4" w:space="0" w:color="000000"/>
            </w:tcBorders>
          </w:tcPr>
          <w:p w14:paraId="6D1A40D3" w14:textId="77777777" w:rsidR="007123C7" w:rsidRPr="00BB5FFF" w:rsidRDefault="007123C7" w:rsidP="000474A7">
            <w:pPr>
              <w:pStyle w:val="TableText"/>
              <w:keepNext w:val="0"/>
              <w:jc w:val="right"/>
            </w:pPr>
            <w:r w:rsidRPr="00BB5FFF">
              <w:t>1289</w:t>
            </w:r>
          </w:p>
        </w:tc>
        <w:tc>
          <w:tcPr>
            <w:tcW w:w="965" w:type="dxa"/>
            <w:tcBorders>
              <w:bottom w:val="single" w:sz="4" w:space="0" w:color="000000"/>
            </w:tcBorders>
          </w:tcPr>
          <w:p w14:paraId="2335E048" w14:textId="77777777" w:rsidR="007123C7" w:rsidRPr="00BB5FFF" w:rsidRDefault="007123C7" w:rsidP="000474A7">
            <w:pPr>
              <w:pStyle w:val="TableText"/>
              <w:keepNext w:val="0"/>
              <w:jc w:val="right"/>
            </w:pPr>
            <w:r w:rsidRPr="00BB5FFF">
              <w:t>77.7 (62.1</w:t>
            </w:r>
            <w:r w:rsidR="000474A7">
              <w:t>, </w:t>
            </w:r>
            <w:r w:rsidRPr="00BB5FFF">
              <w:t>88.1)</w:t>
            </w:r>
          </w:p>
        </w:tc>
      </w:tr>
      <w:tr w:rsidR="007123C7" w:rsidRPr="000F78B9" w14:paraId="6940B06B"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single" w:sz="4" w:space="0" w:color="000000"/>
              <w:bottom w:val="nil"/>
            </w:tcBorders>
          </w:tcPr>
          <w:p w14:paraId="7C4CD17C" w14:textId="77777777" w:rsidR="007123C7" w:rsidRPr="00BB5FFF" w:rsidRDefault="007123C7" w:rsidP="00E82294">
            <w:pPr>
              <w:pStyle w:val="TableText"/>
              <w:rPr>
                <w:b/>
              </w:rPr>
            </w:pPr>
            <w:r w:rsidRPr="00BB5FFF">
              <w:rPr>
                <w:b/>
              </w:rPr>
              <w:t>Any 12-month suicidal ideation and behaviour</w:t>
            </w:r>
          </w:p>
        </w:tc>
        <w:tc>
          <w:tcPr>
            <w:tcW w:w="2340" w:type="dxa"/>
            <w:gridSpan w:val="3"/>
            <w:tcBorders>
              <w:top w:val="single" w:sz="4" w:space="0" w:color="000000"/>
              <w:bottom w:val="nil"/>
            </w:tcBorders>
          </w:tcPr>
          <w:p w14:paraId="2A0D7583" w14:textId="77777777" w:rsidR="007123C7" w:rsidRPr="000F78B9" w:rsidRDefault="007123C7" w:rsidP="00E82294">
            <w:pPr>
              <w:pStyle w:val="TableText"/>
              <w:jc w:val="center"/>
            </w:pPr>
            <w:r>
              <w:t>n</w:t>
            </w:r>
            <w:r w:rsidRPr="000F78B9">
              <w:t>=</w:t>
            </w:r>
            <w:r>
              <w:t>217</w:t>
            </w:r>
            <w:r w:rsidRPr="000F78B9">
              <w:t xml:space="preserve"> (Weighted</w:t>
            </w:r>
            <w:r>
              <w:t xml:space="preserve"> n</w:t>
            </w:r>
            <w:r w:rsidRPr="000F78B9">
              <w:t>=</w:t>
            </w:r>
            <w:r>
              <w:t>1416</w:t>
            </w:r>
            <w:r w:rsidRPr="000F78B9">
              <w:t>)</w:t>
            </w:r>
          </w:p>
        </w:tc>
        <w:tc>
          <w:tcPr>
            <w:tcW w:w="2281" w:type="dxa"/>
            <w:gridSpan w:val="3"/>
            <w:tcBorders>
              <w:top w:val="single" w:sz="4" w:space="0" w:color="000000"/>
              <w:bottom w:val="nil"/>
            </w:tcBorders>
          </w:tcPr>
          <w:p w14:paraId="6161F8FB" w14:textId="77777777" w:rsidR="007123C7" w:rsidRPr="000F78B9" w:rsidRDefault="007123C7" w:rsidP="00E82294">
            <w:pPr>
              <w:pStyle w:val="TableText"/>
              <w:jc w:val="center"/>
            </w:pPr>
            <w:r>
              <w:t xml:space="preserve">n=903 </w:t>
            </w:r>
            <w:r w:rsidRPr="000F78B9">
              <w:t xml:space="preserve">(Weighted </w:t>
            </w:r>
            <w:r>
              <w:t>n</w:t>
            </w:r>
            <w:r w:rsidRPr="000F78B9">
              <w:t>=</w:t>
            </w:r>
            <w:r>
              <w:t>6125</w:t>
            </w:r>
            <w:r w:rsidRPr="000F78B9">
              <w:t>)</w:t>
            </w:r>
          </w:p>
        </w:tc>
        <w:tc>
          <w:tcPr>
            <w:tcW w:w="2222" w:type="dxa"/>
            <w:gridSpan w:val="3"/>
            <w:tcBorders>
              <w:top w:val="single" w:sz="4" w:space="0" w:color="000000"/>
              <w:bottom w:val="nil"/>
            </w:tcBorders>
          </w:tcPr>
          <w:p w14:paraId="06999F96" w14:textId="77777777" w:rsidR="007123C7" w:rsidRPr="000F78B9" w:rsidRDefault="007123C7" w:rsidP="00E82294">
            <w:pPr>
              <w:pStyle w:val="TableText"/>
              <w:jc w:val="center"/>
            </w:pPr>
            <w:r>
              <w:t>n</w:t>
            </w:r>
            <w:r w:rsidRPr="000F78B9">
              <w:t>=</w:t>
            </w:r>
            <w:r>
              <w:t xml:space="preserve">167 </w:t>
            </w:r>
            <w:r w:rsidRPr="000F78B9">
              <w:t>(Weighted</w:t>
            </w:r>
            <w:r>
              <w:t xml:space="preserve"> n</w:t>
            </w:r>
            <w:r w:rsidRPr="000F78B9">
              <w:t>=</w:t>
            </w:r>
            <w:r>
              <w:t>1087</w:t>
            </w:r>
            <w:r w:rsidRPr="000F78B9">
              <w:t>)</w:t>
            </w:r>
          </w:p>
        </w:tc>
        <w:tc>
          <w:tcPr>
            <w:tcW w:w="2222" w:type="dxa"/>
            <w:gridSpan w:val="3"/>
            <w:tcBorders>
              <w:top w:val="single" w:sz="4" w:space="0" w:color="000000"/>
              <w:bottom w:val="nil"/>
            </w:tcBorders>
          </w:tcPr>
          <w:p w14:paraId="4E8BEE45" w14:textId="77777777" w:rsidR="007123C7" w:rsidRPr="000F78B9" w:rsidRDefault="007123C7" w:rsidP="00E82294">
            <w:pPr>
              <w:pStyle w:val="TableText"/>
              <w:jc w:val="center"/>
            </w:pPr>
            <w:r>
              <w:t>n</w:t>
            </w:r>
            <w:r w:rsidRPr="000F78B9">
              <w:t>=</w:t>
            </w:r>
            <w:r>
              <w:t xml:space="preserve">807 </w:t>
            </w:r>
            <w:r w:rsidRPr="000F78B9">
              <w:t xml:space="preserve">(Weighted </w:t>
            </w:r>
            <w:r>
              <w:t>n</w:t>
            </w:r>
            <w:r w:rsidRPr="000F78B9">
              <w:t>=</w:t>
            </w:r>
            <w:r>
              <w:t>6157</w:t>
            </w:r>
            <w:r w:rsidRPr="000F78B9">
              <w:t>)</w:t>
            </w:r>
          </w:p>
        </w:tc>
      </w:tr>
      <w:tr w:rsidR="000474A7" w:rsidRPr="00BB5FFF" w14:paraId="1DA488E3" w14:textId="77777777" w:rsidTr="000474A7">
        <w:trPr>
          <w:cantSplit/>
        </w:trPr>
        <w:tc>
          <w:tcPr>
            <w:tcW w:w="2455" w:type="dxa"/>
            <w:tcBorders>
              <w:top w:val="nil"/>
            </w:tcBorders>
          </w:tcPr>
          <w:p w14:paraId="71BCF387" w14:textId="77777777" w:rsidR="007123C7" w:rsidRPr="00BB5FFF" w:rsidRDefault="007123C7" w:rsidP="00E82294">
            <w:pPr>
              <w:pStyle w:val="TableText"/>
            </w:pPr>
            <w:r w:rsidRPr="00BB5FFF">
              <w:t xml:space="preserve">Used DVA or At Ease websites </w:t>
            </w:r>
          </w:p>
        </w:tc>
        <w:tc>
          <w:tcPr>
            <w:tcW w:w="540" w:type="dxa"/>
            <w:tcBorders>
              <w:top w:val="nil"/>
            </w:tcBorders>
          </w:tcPr>
          <w:p w14:paraId="78D76924" w14:textId="77777777" w:rsidR="007123C7" w:rsidRPr="00BB5FFF" w:rsidRDefault="007123C7" w:rsidP="00E82294">
            <w:pPr>
              <w:pStyle w:val="TableText"/>
              <w:jc w:val="right"/>
            </w:pPr>
            <w:r w:rsidRPr="00BB5FFF">
              <w:t>71</w:t>
            </w:r>
          </w:p>
        </w:tc>
        <w:tc>
          <w:tcPr>
            <w:tcW w:w="810" w:type="dxa"/>
            <w:tcBorders>
              <w:top w:val="nil"/>
            </w:tcBorders>
          </w:tcPr>
          <w:p w14:paraId="7AE987E1" w14:textId="77777777" w:rsidR="007123C7" w:rsidRPr="00BB5FFF" w:rsidRDefault="007123C7" w:rsidP="00E82294">
            <w:pPr>
              <w:pStyle w:val="TableText"/>
              <w:jc w:val="right"/>
            </w:pPr>
            <w:r w:rsidRPr="00BB5FFF">
              <w:t>429</w:t>
            </w:r>
          </w:p>
        </w:tc>
        <w:tc>
          <w:tcPr>
            <w:tcW w:w="990" w:type="dxa"/>
            <w:tcBorders>
              <w:top w:val="nil"/>
            </w:tcBorders>
          </w:tcPr>
          <w:p w14:paraId="6C0EC20A" w14:textId="77777777" w:rsidR="007123C7" w:rsidRPr="00BB5FFF" w:rsidRDefault="007123C7" w:rsidP="00E82294">
            <w:pPr>
              <w:pStyle w:val="TableText"/>
              <w:jc w:val="right"/>
            </w:pPr>
            <w:r w:rsidRPr="00BB5FFF">
              <w:t>30.3 (23.8</w:t>
            </w:r>
            <w:r w:rsidR="000474A7">
              <w:t>, </w:t>
            </w:r>
            <w:r w:rsidRPr="00BB5FFF">
              <w:t>37.8)</w:t>
            </w:r>
          </w:p>
        </w:tc>
        <w:tc>
          <w:tcPr>
            <w:tcW w:w="467" w:type="dxa"/>
            <w:tcBorders>
              <w:top w:val="nil"/>
            </w:tcBorders>
          </w:tcPr>
          <w:p w14:paraId="0D36EADA" w14:textId="77777777" w:rsidR="007123C7" w:rsidRPr="00BB5FFF" w:rsidRDefault="007123C7" w:rsidP="00E82294">
            <w:pPr>
              <w:pStyle w:val="TableText"/>
              <w:jc w:val="right"/>
            </w:pPr>
            <w:r w:rsidRPr="00BB5FFF">
              <w:t>331</w:t>
            </w:r>
          </w:p>
        </w:tc>
        <w:tc>
          <w:tcPr>
            <w:tcW w:w="820" w:type="dxa"/>
            <w:tcBorders>
              <w:top w:val="nil"/>
            </w:tcBorders>
          </w:tcPr>
          <w:p w14:paraId="0EDC725C" w14:textId="77777777" w:rsidR="007123C7" w:rsidRPr="00BB5FFF" w:rsidRDefault="007123C7" w:rsidP="00E82294">
            <w:pPr>
              <w:pStyle w:val="TableText"/>
              <w:jc w:val="right"/>
            </w:pPr>
            <w:r w:rsidRPr="00BB5FFF">
              <w:t>1928</w:t>
            </w:r>
          </w:p>
        </w:tc>
        <w:tc>
          <w:tcPr>
            <w:tcW w:w="994" w:type="dxa"/>
            <w:tcBorders>
              <w:top w:val="nil"/>
            </w:tcBorders>
          </w:tcPr>
          <w:p w14:paraId="3A1BD9A3" w14:textId="77777777" w:rsidR="007123C7" w:rsidRPr="00BB5FFF" w:rsidRDefault="007123C7" w:rsidP="00E82294">
            <w:pPr>
              <w:pStyle w:val="TableText"/>
              <w:jc w:val="right"/>
            </w:pPr>
            <w:r w:rsidRPr="00BB5FFF">
              <w:t>31.5 (28.0</w:t>
            </w:r>
            <w:r w:rsidR="000474A7">
              <w:t>, </w:t>
            </w:r>
            <w:r w:rsidRPr="00BB5FFF">
              <w:t>35.1)</w:t>
            </w:r>
          </w:p>
        </w:tc>
        <w:tc>
          <w:tcPr>
            <w:tcW w:w="509" w:type="dxa"/>
            <w:tcBorders>
              <w:top w:val="nil"/>
            </w:tcBorders>
          </w:tcPr>
          <w:p w14:paraId="59790E1E" w14:textId="77777777" w:rsidR="007123C7" w:rsidRPr="00BB5FFF" w:rsidRDefault="007123C7" w:rsidP="00E82294">
            <w:pPr>
              <w:pStyle w:val="TableText"/>
              <w:jc w:val="right"/>
            </w:pPr>
            <w:r w:rsidRPr="00BB5FFF">
              <w:t>30</w:t>
            </w:r>
          </w:p>
        </w:tc>
        <w:tc>
          <w:tcPr>
            <w:tcW w:w="810" w:type="dxa"/>
            <w:tcBorders>
              <w:top w:val="nil"/>
            </w:tcBorders>
          </w:tcPr>
          <w:p w14:paraId="141F6ED1" w14:textId="77777777" w:rsidR="007123C7" w:rsidRPr="00BB5FFF" w:rsidRDefault="007123C7" w:rsidP="00E82294">
            <w:pPr>
              <w:pStyle w:val="TableText"/>
              <w:jc w:val="right"/>
            </w:pPr>
            <w:r w:rsidRPr="00BB5FFF">
              <w:t>119</w:t>
            </w:r>
          </w:p>
        </w:tc>
        <w:tc>
          <w:tcPr>
            <w:tcW w:w="903" w:type="dxa"/>
            <w:tcBorders>
              <w:top w:val="nil"/>
            </w:tcBorders>
          </w:tcPr>
          <w:p w14:paraId="14EAFA35" w14:textId="77777777" w:rsidR="007123C7" w:rsidRPr="00BB5FFF" w:rsidRDefault="007123C7" w:rsidP="00E82294">
            <w:pPr>
              <w:pStyle w:val="TableText"/>
              <w:jc w:val="right"/>
            </w:pPr>
            <w:r w:rsidRPr="00BB5FFF">
              <w:t>10.9 (5.4</w:t>
            </w:r>
            <w:r w:rsidR="000474A7">
              <w:t>, </w:t>
            </w:r>
            <w:r w:rsidRPr="00BB5FFF">
              <w:t>20.8)</w:t>
            </w:r>
          </w:p>
        </w:tc>
        <w:tc>
          <w:tcPr>
            <w:tcW w:w="447" w:type="dxa"/>
            <w:tcBorders>
              <w:top w:val="nil"/>
            </w:tcBorders>
          </w:tcPr>
          <w:p w14:paraId="158D7229" w14:textId="77777777" w:rsidR="007123C7" w:rsidRPr="00BB5FFF" w:rsidRDefault="007123C7" w:rsidP="00E82294">
            <w:pPr>
              <w:pStyle w:val="TableText"/>
              <w:jc w:val="right"/>
            </w:pPr>
            <w:r w:rsidRPr="00BB5FFF">
              <w:t>190</w:t>
            </w:r>
          </w:p>
        </w:tc>
        <w:tc>
          <w:tcPr>
            <w:tcW w:w="810" w:type="dxa"/>
            <w:tcBorders>
              <w:top w:val="nil"/>
            </w:tcBorders>
          </w:tcPr>
          <w:p w14:paraId="6E615D7E" w14:textId="77777777" w:rsidR="007123C7" w:rsidRPr="00BB5FFF" w:rsidRDefault="007123C7" w:rsidP="00E82294">
            <w:pPr>
              <w:pStyle w:val="TableText"/>
              <w:jc w:val="right"/>
            </w:pPr>
            <w:r w:rsidRPr="00BB5FFF">
              <w:t>1042</w:t>
            </w:r>
          </w:p>
        </w:tc>
        <w:tc>
          <w:tcPr>
            <w:tcW w:w="965" w:type="dxa"/>
            <w:tcBorders>
              <w:top w:val="nil"/>
            </w:tcBorders>
          </w:tcPr>
          <w:p w14:paraId="284C995F" w14:textId="77777777" w:rsidR="007123C7" w:rsidRPr="00BB5FFF" w:rsidRDefault="007123C7" w:rsidP="00E82294">
            <w:pPr>
              <w:pStyle w:val="TableText"/>
              <w:jc w:val="right"/>
            </w:pPr>
            <w:r w:rsidRPr="00BB5FFF">
              <w:t>16.9 (11.1</w:t>
            </w:r>
            <w:r w:rsidR="000474A7">
              <w:t>, </w:t>
            </w:r>
            <w:r w:rsidRPr="00BB5FFF">
              <w:t>25.0)</w:t>
            </w:r>
          </w:p>
        </w:tc>
      </w:tr>
      <w:tr w:rsidR="000474A7" w:rsidRPr="00BB5FFF" w14:paraId="4D5925D6"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455" w:type="dxa"/>
            <w:tcBorders>
              <w:bottom w:val="single" w:sz="4" w:space="0" w:color="000000"/>
            </w:tcBorders>
          </w:tcPr>
          <w:p w14:paraId="4C2428DB" w14:textId="77777777" w:rsidR="007123C7" w:rsidRPr="00BB5FFF" w:rsidRDefault="007123C7" w:rsidP="00E82294">
            <w:pPr>
              <w:pStyle w:val="TableText"/>
            </w:pPr>
            <w:r w:rsidRPr="00BB5FFF">
              <w:t>Did not use DVA or At Ease websites</w:t>
            </w:r>
          </w:p>
        </w:tc>
        <w:tc>
          <w:tcPr>
            <w:tcW w:w="540" w:type="dxa"/>
            <w:tcBorders>
              <w:bottom w:val="single" w:sz="4" w:space="0" w:color="000000"/>
            </w:tcBorders>
          </w:tcPr>
          <w:p w14:paraId="224042D6" w14:textId="77777777" w:rsidR="007123C7" w:rsidRPr="00BB5FFF" w:rsidRDefault="007123C7" w:rsidP="00E82294">
            <w:pPr>
              <w:pStyle w:val="TableText"/>
              <w:jc w:val="right"/>
            </w:pPr>
            <w:r w:rsidRPr="00BB5FFF">
              <w:t>146</w:t>
            </w:r>
          </w:p>
        </w:tc>
        <w:tc>
          <w:tcPr>
            <w:tcW w:w="810" w:type="dxa"/>
            <w:tcBorders>
              <w:bottom w:val="single" w:sz="4" w:space="0" w:color="000000"/>
            </w:tcBorders>
          </w:tcPr>
          <w:p w14:paraId="1650C717" w14:textId="77777777" w:rsidR="007123C7" w:rsidRPr="00BB5FFF" w:rsidRDefault="007123C7" w:rsidP="00E82294">
            <w:pPr>
              <w:pStyle w:val="TableText"/>
              <w:jc w:val="right"/>
            </w:pPr>
            <w:r w:rsidRPr="00BB5FFF">
              <w:t>987</w:t>
            </w:r>
          </w:p>
        </w:tc>
        <w:tc>
          <w:tcPr>
            <w:tcW w:w="990" w:type="dxa"/>
            <w:tcBorders>
              <w:bottom w:val="single" w:sz="4" w:space="0" w:color="000000"/>
            </w:tcBorders>
          </w:tcPr>
          <w:p w14:paraId="33F26B70" w14:textId="77777777" w:rsidR="007123C7" w:rsidRPr="00BB5FFF" w:rsidRDefault="007123C7" w:rsidP="00E82294">
            <w:pPr>
              <w:pStyle w:val="TableText"/>
              <w:jc w:val="right"/>
            </w:pPr>
            <w:r w:rsidRPr="00BB5FFF">
              <w:t>69.7 (62.2</w:t>
            </w:r>
            <w:r w:rsidR="000474A7">
              <w:t>, </w:t>
            </w:r>
            <w:r w:rsidRPr="00BB5FFF">
              <w:t>76.2)</w:t>
            </w:r>
          </w:p>
        </w:tc>
        <w:tc>
          <w:tcPr>
            <w:tcW w:w="467" w:type="dxa"/>
            <w:tcBorders>
              <w:bottom w:val="single" w:sz="4" w:space="0" w:color="000000"/>
            </w:tcBorders>
          </w:tcPr>
          <w:p w14:paraId="7610765C" w14:textId="77777777" w:rsidR="007123C7" w:rsidRPr="00BB5FFF" w:rsidRDefault="007123C7" w:rsidP="00E82294">
            <w:pPr>
              <w:pStyle w:val="TableText"/>
              <w:jc w:val="right"/>
            </w:pPr>
            <w:r w:rsidRPr="00BB5FFF">
              <w:t>572</w:t>
            </w:r>
          </w:p>
        </w:tc>
        <w:tc>
          <w:tcPr>
            <w:tcW w:w="820" w:type="dxa"/>
            <w:tcBorders>
              <w:bottom w:val="single" w:sz="4" w:space="0" w:color="000000"/>
            </w:tcBorders>
          </w:tcPr>
          <w:p w14:paraId="70999CFB" w14:textId="77777777" w:rsidR="007123C7" w:rsidRPr="00BB5FFF" w:rsidRDefault="007123C7" w:rsidP="00E82294">
            <w:pPr>
              <w:pStyle w:val="TableText"/>
              <w:jc w:val="right"/>
            </w:pPr>
            <w:r w:rsidRPr="00BB5FFF">
              <w:t>4197</w:t>
            </w:r>
          </w:p>
        </w:tc>
        <w:tc>
          <w:tcPr>
            <w:tcW w:w="994" w:type="dxa"/>
            <w:tcBorders>
              <w:bottom w:val="single" w:sz="4" w:space="0" w:color="000000"/>
            </w:tcBorders>
          </w:tcPr>
          <w:p w14:paraId="5028493C" w14:textId="77777777" w:rsidR="007123C7" w:rsidRPr="00BB5FFF" w:rsidRDefault="007123C7" w:rsidP="00E82294">
            <w:pPr>
              <w:pStyle w:val="TableText"/>
              <w:jc w:val="right"/>
            </w:pPr>
            <w:r w:rsidRPr="00BB5FFF">
              <w:t>68.5 (64.9</w:t>
            </w:r>
            <w:r w:rsidR="000474A7">
              <w:t>, </w:t>
            </w:r>
            <w:r w:rsidRPr="00BB5FFF">
              <w:t>72.0)</w:t>
            </w:r>
          </w:p>
        </w:tc>
        <w:tc>
          <w:tcPr>
            <w:tcW w:w="509" w:type="dxa"/>
            <w:tcBorders>
              <w:bottom w:val="single" w:sz="4" w:space="0" w:color="000000"/>
            </w:tcBorders>
          </w:tcPr>
          <w:p w14:paraId="348E6CF9" w14:textId="77777777" w:rsidR="007123C7" w:rsidRPr="00BB5FFF" w:rsidRDefault="007123C7" w:rsidP="00E82294">
            <w:pPr>
              <w:pStyle w:val="TableText"/>
              <w:jc w:val="right"/>
            </w:pPr>
            <w:r w:rsidRPr="00BB5FFF">
              <w:t>137</w:t>
            </w:r>
          </w:p>
        </w:tc>
        <w:tc>
          <w:tcPr>
            <w:tcW w:w="810" w:type="dxa"/>
            <w:tcBorders>
              <w:bottom w:val="single" w:sz="4" w:space="0" w:color="000000"/>
            </w:tcBorders>
          </w:tcPr>
          <w:p w14:paraId="56F74EB1" w14:textId="77777777" w:rsidR="007123C7" w:rsidRPr="00BB5FFF" w:rsidRDefault="007123C7" w:rsidP="00E82294">
            <w:pPr>
              <w:pStyle w:val="TableText"/>
              <w:jc w:val="right"/>
            </w:pPr>
            <w:r w:rsidRPr="00BB5FFF">
              <w:t>968</w:t>
            </w:r>
          </w:p>
        </w:tc>
        <w:tc>
          <w:tcPr>
            <w:tcW w:w="903" w:type="dxa"/>
            <w:tcBorders>
              <w:bottom w:val="single" w:sz="4" w:space="0" w:color="000000"/>
            </w:tcBorders>
          </w:tcPr>
          <w:p w14:paraId="6892CC04" w14:textId="77777777" w:rsidR="007123C7" w:rsidRPr="00BB5FFF" w:rsidRDefault="007123C7" w:rsidP="00E82294">
            <w:pPr>
              <w:pStyle w:val="TableText"/>
              <w:jc w:val="right"/>
            </w:pPr>
            <w:r w:rsidRPr="00BB5FFF">
              <w:t>89.1 (79.2</w:t>
            </w:r>
            <w:r w:rsidR="000474A7">
              <w:t>, </w:t>
            </w:r>
            <w:r w:rsidRPr="00BB5FFF">
              <w:t>94.6)</w:t>
            </w:r>
          </w:p>
        </w:tc>
        <w:tc>
          <w:tcPr>
            <w:tcW w:w="447" w:type="dxa"/>
            <w:tcBorders>
              <w:bottom w:val="single" w:sz="4" w:space="0" w:color="000000"/>
            </w:tcBorders>
          </w:tcPr>
          <w:p w14:paraId="62A9AEFC" w14:textId="77777777" w:rsidR="007123C7" w:rsidRPr="00BB5FFF" w:rsidRDefault="007123C7" w:rsidP="00E82294">
            <w:pPr>
              <w:pStyle w:val="TableText"/>
              <w:jc w:val="right"/>
            </w:pPr>
            <w:r w:rsidRPr="00BB5FFF">
              <w:t>617</w:t>
            </w:r>
          </w:p>
        </w:tc>
        <w:tc>
          <w:tcPr>
            <w:tcW w:w="810" w:type="dxa"/>
            <w:tcBorders>
              <w:bottom w:val="single" w:sz="4" w:space="0" w:color="000000"/>
            </w:tcBorders>
          </w:tcPr>
          <w:p w14:paraId="22AAEB37" w14:textId="77777777" w:rsidR="007123C7" w:rsidRPr="00BB5FFF" w:rsidRDefault="007123C7" w:rsidP="00E82294">
            <w:pPr>
              <w:pStyle w:val="TableText"/>
              <w:jc w:val="right"/>
            </w:pPr>
            <w:r w:rsidRPr="00BB5FFF">
              <w:t>5115</w:t>
            </w:r>
          </w:p>
        </w:tc>
        <w:tc>
          <w:tcPr>
            <w:tcW w:w="965" w:type="dxa"/>
            <w:tcBorders>
              <w:bottom w:val="single" w:sz="4" w:space="0" w:color="000000"/>
            </w:tcBorders>
          </w:tcPr>
          <w:p w14:paraId="120E6584" w14:textId="77777777" w:rsidR="007123C7" w:rsidRPr="00BB5FFF" w:rsidRDefault="007123C7" w:rsidP="00E82294">
            <w:pPr>
              <w:pStyle w:val="TableText"/>
              <w:jc w:val="right"/>
            </w:pPr>
            <w:r w:rsidRPr="00BB5FFF">
              <w:t>83.1 (75.0</w:t>
            </w:r>
            <w:r w:rsidR="000474A7">
              <w:t>, </w:t>
            </w:r>
            <w:r w:rsidRPr="00BB5FFF">
              <w:t>88.9)</w:t>
            </w:r>
          </w:p>
        </w:tc>
      </w:tr>
      <w:tr w:rsidR="007123C7" w:rsidRPr="000F78B9" w14:paraId="1EF201AD" w14:textId="77777777" w:rsidTr="000474A7">
        <w:trPr>
          <w:cantSplit/>
        </w:trPr>
        <w:tc>
          <w:tcPr>
            <w:tcW w:w="2455" w:type="dxa"/>
            <w:tcBorders>
              <w:top w:val="single" w:sz="4" w:space="0" w:color="000000"/>
              <w:bottom w:val="nil"/>
            </w:tcBorders>
          </w:tcPr>
          <w:p w14:paraId="700D5503" w14:textId="77777777" w:rsidR="007123C7" w:rsidRPr="00BB5FFF" w:rsidRDefault="007123C7" w:rsidP="00E82294">
            <w:pPr>
              <w:pStyle w:val="TableText"/>
              <w:rPr>
                <w:b/>
                <w:i/>
              </w:rPr>
            </w:pPr>
            <w:r w:rsidRPr="00BB5FFF">
              <w:rPr>
                <w:b/>
              </w:rPr>
              <w:t>Pr</w:t>
            </w:r>
            <w:r>
              <w:rPr>
                <w:b/>
              </w:rPr>
              <w:t>obable g</w:t>
            </w:r>
            <w:r w:rsidRPr="00BB5FFF">
              <w:rPr>
                <w:b/>
              </w:rPr>
              <w:t>eneralised anxiety disorder</w:t>
            </w:r>
          </w:p>
        </w:tc>
        <w:tc>
          <w:tcPr>
            <w:tcW w:w="2340" w:type="dxa"/>
            <w:gridSpan w:val="3"/>
            <w:tcBorders>
              <w:top w:val="single" w:sz="4" w:space="0" w:color="000000"/>
              <w:bottom w:val="nil"/>
            </w:tcBorders>
          </w:tcPr>
          <w:p w14:paraId="4A833EDD" w14:textId="77777777" w:rsidR="007123C7" w:rsidRPr="000F78B9" w:rsidRDefault="007123C7" w:rsidP="00E82294">
            <w:pPr>
              <w:pStyle w:val="TableText"/>
              <w:jc w:val="center"/>
            </w:pPr>
            <w:r>
              <w:t>n</w:t>
            </w:r>
            <w:r w:rsidRPr="000F78B9">
              <w:t>=</w:t>
            </w:r>
            <w:r>
              <w:t>142</w:t>
            </w:r>
            <w:r w:rsidRPr="000F78B9">
              <w:t xml:space="preserve"> (Weighted</w:t>
            </w:r>
            <w:r>
              <w:t xml:space="preserve"> n</w:t>
            </w:r>
            <w:r w:rsidRPr="000F78B9">
              <w:t>=</w:t>
            </w:r>
            <w:r>
              <w:t>984</w:t>
            </w:r>
            <w:r w:rsidRPr="000F78B9">
              <w:t>)</w:t>
            </w:r>
          </w:p>
        </w:tc>
        <w:tc>
          <w:tcPr>
            <w:tcW w:w="2281" w:type="dxa"/>
            <w:gridSpan w:val="3"/>
            <w:tcBorders>
              <w:top w:val="single" w:sz="4" w:space="0" w:color="000000"/>
              <w:bottom w:val="nil"/>
            </w:tcBorders>
          </w:tcPr>
          <w:p w14:paraId="280F77FB" w14:textId="77777777" w:rsidR="007123C7" w:rsidRPr="000F78B9" w:rsidRDefault="007123C7" w:rsidP="00E82294">
            <w:pPr>
              <w:pStyle w:val="TableText"/>
              <w:jc w:val="center"/>
            </w:pPr>
            <w:r>
              <w:t xml:space="preserve">n=670 </w:t>
            </w:r>
            <w:r w:rsidRPr="000F78B9">
              <w:t xml:space="preserve">(Weighted </w:t>
            </w:r>
            <w:r>
              <w:t>n</w:t>
            </w:r>
            <w:r w:rsidRPr="000F78B9">
              <w:t>=</w:t>
            </w:r>
            <w:r>
              <w:t>4586</w:t>
            </w:r>
            <w:r w:rsidRPr="000F78B9">
              <w:t>)</w:t>
            </w:r>
          </w:p>
        </w:tc>
        <w:tc>
          <w:tcPr>
            <w:tcW w:w="2222" w:type="dxa"/>
            <w:gridSpan w:val="3"/>
            <w:tcBorders>
              <w:top w:val="single" w:sz="4" w:space="0" w:color="000000"/>
              <w:bottom w:val="nil"/>
            </w:tcBorders>
          </w:tcPr>
          <w:p w14:paraId="747AADE6" w14:textId="77777777" w:rsidR="007123C7" w:rsidRPr="000F78B9" w:rsidRDefault="007123C7" w:rsidP="00E82294">
            <w:pPr>
              <w:pStyle w:val="TableText"/>
              <w:jc w:val="center"/>
            </w:pPr>
            <w:r>
              <w:t>n</w:t>
            </w:r>
            <w:r w:rsidRPr="000F78B9">
              <w:t>=</w:t>
            </w:r>
            <w:r>
              <w:t xml:space="preserve">77 </w:t>
            </w:r>
            <w:r w:rsidRPr="000F78B9">
              <w:t>(Weighted</w:t>
            </w:r>
            <w:r>
              <w:t xml:space="preserve"> n</w:t>
            </w:r>
            <w:r w:rsidRPr="000F78B9">
              <w:t>=</w:t>
            </w:r>
            <w:r>
              <w:t>574</w:t>
            </w:r>
            <w:r w:rsidRPr="000F78B9">
              <w:t>)</w:t>
            </w:r>
          </w:p>
        </w:tc>
        <w:tc>
          <w:tcPr>
            <w:tcW w:w="2222" w:type="dxa"/>
            <w:gridSpan w:val="3"/>
            <w:tcBorders>
              <w:top w:val="single" w:sz="4" w:space="0" w:color="000000"/>
              <w:bottom w:val="nil"/>
            </w:tcBorders>
          </w:tcPr>
          <w:p w14:paraId="216E48F7" w14:textId="77777777" w:rsidR="007123C7" w:rsidRPr="000F78B9" w:rsidRDefault="007123C7" w:rsidP="00E82294">
            <w:pPr>
              <w:pStyle w:val="TableText"/>
              <w:jc w:val="center"/>
            </w:pPr>
            <w:r>
              <w:t>n</w:t>
            </w:r>
            <w:r w:rsidRPr="000F78B9">
              <w:t>=</w:t>
            </w:r>
            <w:r>
              <w:t xml:space="preserve">549 </w:t>
            </w:r>
            <w:r w:rsidRPr="000F78B9">
              <w:t xml:space="preserve">(Weighted </w:t>
            </w:r>
            <w:r>
              <w:t>n</w:t>
            </w:r>
            <w:r w:rsidRPr="000F78B9">
              <w:t>=</w:t>
            </w:r>
            <w:r>
              <w:t>4079</w:t>
            </w:r>
            <w:r w:rsidRPr="000F78B9">
              <w:t>)</w:t>
            </w:r>
          </w:p>
        </w:tc>
      </w:tr>
      <w:tr w:rsidR="000474A7" w:rsidRPr="00BB5FFF" w14:paraId="1FBD7C80" w14:textId="77777777" w:rsidTr="00C25326">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nil"/>
            </w:tcBorders>
          </w:tcPr>
          <w:p w14:paraId="45370A70" w14:textId="77777777" w:rsidR="007123C7" w:rsidRPr="00BB5FFF" w:rsidRDefault="007123C7" w:rsidP="00E82294">
            <w:pPr>
              <w:pStyle w:val="TableText"/>
            </w:pPr>
            <w:r w:rsidRPr="00BB5FFF">
              <w:t xml:space="preserve">Used DVA or At Ease websites </w:t>
            </w:r>
          </w:p>
        </w:tc>
        <w:tc>
          <w:tcPr>
            <w:tcW w:w="540" w:type="dxa"/>
            <w:tcBorders>
              <w:top w:val="nil"/>
            </w:tcBorders>
          </w:tcPr>
          <w:p w14:paraId="6B983431" w14:textId="77777777" w:rsidR="007123C7" w:rsidRPr="00BB5FFF" w:rsidRDefault="007123C7" w:rsidP="00E82294">
            <w:pPr>
              <w:pStyle w:val="TableText"/>
              <w:jc w:val="right"/>
            </w:pPr>
            <w:r w:rsidRPr="00BB5FFF">
              <w:t>55</w:t>
            </w:r>
          </w:p>
        </w:tc>
        <w:tc>
          <w:tcPr>
            <w:tcW w:w="810" w:type="dxa"/>
            <w:tcBorders>
              <w:top w:val="nil"/>
            </w:tcBorders>
          </w:tcPr>
          <w:p w14:paraId="49171CE8" w14:textId="77777777" w:rsidR="007123C7" w:rsidRPr="00BB5FFF" w:rsidRDefault="007123C7" w:rsidP="00E82294">
            <w:pPr>
              <w:pStyle w:val="TableText"/>
              <w:jc w:val="right"/>
            </w:pPr>
            <w:r w:rsidRPr="00BB5FFF">
              <w:t>345</w:t>
            </w:r>
          </w:p>
        </w:tc>
        <w:tc>
          <w:tcPr>
            <w:tcW w:w="990" w:type="dxa"/>
            <w:tcBorders>
              <w:top w:val="nil"/>
            </w:tcBorders>
          </w:tcPr>
          <w:p w14:paraId="16BCD9B5" w14:textId="77777777" w:rsidR="007123C7" w:rsidRPr="00BB5FFF" w:rsidRDefault="007123C7" w:rsidP="00E82294">
            <w:pPr>
              <w:pStyle w:val="TableText"/>
              <w:jc w:val="right"/>
            </w:pPr>
            <w:r w:rsidRPr="00BB5FFF">
              <w:t>35.0 (26.4</w:t>
            </w:r>
            <w:r w:rsidR="000474A7">
              <w:t>, </w:t>
            </w:r>
            <w:r w:rsidRPr="00BB5FFF">
              <w:t>44.7)</w:t>
            </w:r>
          </w:p>
        </w:tc>
        <w:tc>
          <w:tcPr>
            <w:tcW w:w="467" w:type="dxa"/>
            <w:tcBorders>
              <w:top w:val="nil"/>
            </w:tcBorders>
          </w:tcPr>
          <w:p w14:paraId="65F8BE08" w14:textId="77777777" w:rsidR="007123C7" w:rsidRPr="00BB5FFF" w:rsidRDefault="007123C7" w:rsidP="00E82294">
            <w:pPr>
              <w:pStyle w:val="TableText"/>
              <w:jc w:val="right"/>
            </w:pPr>
            <w:r w:rsidRPr="00BB5FFF">
              <w:t>295</w:t>
            </w:r>
          </w:p>
        </w:tc>
        <w:tc>
          <w:tcPr>
            <w:tcW w:w="820" w:type="dxa"/>
            <w:tcBorders>
              <w:top w:val="nil"/>
            </w:tcBorders>
          </w:tcPr>
          <w:p w14:paraId="129F2B7A" w14:textId="77777777" w:rsidR="007123C7" w:rsidRPr="00BB5FFF" w:rsidRDefault="007123C7" w:rsidP="00E82294">
            <w:pPr>
              <w:pStyle w:val="TableText"/>
              <w:jc w:val="right"/>
            </w:pPr>
            <w:r w:rsidRPr="00BB5FFF">
              <w:t>1653</w:t>
            </w:r>
          </w:p>
        </w:tc>
        <w:tc>
          <w:tcPr>
            <w:tcW w:w="994" w:type="dxa"/>
            <w:tcBorders>
              <w:top w:val="nil"/>
            </w:tcBorders>
          </w:tcPr>
          <w:p w14:paraId="7F539061" w14:textId="77777777" w:rsidR="007123C7" w:rsidRPr="00BB5FFF" w:rsidRDefault="007123C7" w:rsidP="00E82294">
            <w:pPr>
              <w:pStyle w:val="TableText"/>
              <w:jc w:val="right"/>
            </w:pPr>
            <w:r w:rsidRPr="00BB5FFF">
              <w:t>36.0 (32.0</w:t>
            </w:r>
            <w:r w:rsidR="000474A7">
              <w:t>, </w:t>
            </w:r>
            <w:r w:rsidRPr="00BB5FFF">
              <w:t>40.4)</w:t>
            </w:r>
          </w:p>
        </w:tc>
        <w:tc>
          <w:tcPr>
            <w:tcW w:w="509" w:type="dxa"/>
            <w:tcBorders>
              <w:top w:val="nil"/>
            </w:tcBorders>
          </w:tcPr>
          <w:p w14:paraId="43D6C7C2" w14:textId="77777777" w:rsidR="007123C7" w:rsidRPr="00BB5FFF" w:rsidRDefault="007123C7" w:rsidP="00E82294">
            <w:pPr>
              <w:pStyle w:val="TableText"/>
              <w:jc w:val="right"/>
            </w:pPr>
            <w:r w:rsidRPr="00BB5FFF">
              <w:t>21</w:t>
            </w:r>
          </w:p>
        </w:tc>
        <w:tc>
          <w:tcPr>
            <w:tcW w:w="810" w:type="dxa"/>
            <w:tcBorders>
              <w:top w:val="nil"/>
            </w:tcBorders>
          </w:tcPr>
          <w:p w14:paraId="21BA3452" w14:textId="77777777" w:rsidR="007123C7" w:rsidRPr="00BB5FFF" w:rsidRDefault="007123C7" w:rsidP="00E82294">
            <w:pPr>
              <w:pStyle w:val="TableText"/>
              <w:jc w:val="right"/>
            </w:pPr>
            <w:r w:rsidRPr="00BB5FFF">
              <w:t>264</w:t>
            </w:r>
          </w:p>
        </w:tc>
        <w:tc>
          <w:tcPr>
            <w:tcW w:w="903" w:type="dxa"/>
            <w:tcBorders>
              <w:top w:val="nil"/>
            </w:tcBorders>
          </w:tcPr>
          <w:p w14:paraId="7F75F544" w14:textId="77777777" w:rsidR="007123C7" w:rsidRPr="00BB5FFF" w:rsidRDefault="007123C7" w:rsidP="00E82294">
            <w:pPr>
              <w:pStyle w:val="TableText"/>
              <w:jc w:val="right"/>
            </w:pPr>
            <w:r w:rsidRPr="00BB5FFF">
              <w:t>46.0 (17.0</w:t>
            </w:r>
            <w:r w:rsidR="000474A7">
              <w:t>, </w:t>
            </w:r>
            <w:r w:rsidRPr="00BB5FFF">
              <w:t>78.1)</w:t>
            </w:r>
          </w:p>
        </w:tc>
        <w:tc>
          <w:tcPr>
            <w:tcW w:w="447" w:type="dxa"/>
            <w:tcBorders>
              <w:top w:val="nil"/>
            </w:tcBorders>
          </w:tcPr>
          <w:p w14:paraId="6B4F3CD8" w14:textId="77777777" w:rsidR="007123C7" w:rsidRPr="00BB5FFF" w:rsidRDefault="007123C7" w:rsidP="00E82294">
            <w:pPr>
              <w:pStyle w:val="TableText"/>
              <w:jc w:val="right"/>
            </w:pPr>
            <w:r w:rsidRPr="00BB5FFF">
              <w:t>170</w:t>
            </w:r>
          </w:p>
        </w:tc>
        <w:tc>
          <w:tcPr>
            <w:tcW w:w="810" w:type="dxa"/>
            <w:tcBorders>
              <w:top w:val="nil"/>
            </w:tcBorders>
          </w:tcPr>
          <w:p w14:paraId="59DE1025" w14:textId="77777777" w:rsidR="007123C7" w:rsidRPr="00BB5FFF" w:rsidRDefault="007123C7" w:rsidP="00E82294">
            <w:pPr>
              <w:pStyle w:val="TableText"/>
              <w:jc w:val="right"/>
            </w:pPr>
            <w:r w:rsidRPr="00BB5FFF">
              <w:t>876</w:t>
            </w:r>
          </w:p>
        </w:tc>
        <w:tc>
          <w:tcPr>
            <w:tcW w:w="965" w:type="dxa"/>
            <w:tcBorders>
              <w:top w:val="nil"/>
            </w:tcBorders>
          </w:tcPr>
          <w:p w14:paraId="371E4803" w14:textId="77777777" w:rsidR="007123C7" w:rsidRPr="00BB5FFF" w:rsidRDefault="007123C7" w:rsidP="00E82294">
            <w:pPr>
              <w:pStyle w:val="TableText"/>
              <w:jc w:val="right"/>
            </w:pPr>
            <w:r w:rsidRPr="00BB5FFF">
              <w:t>21.5 (13.4</w:t>
            </w:r>
            <w:r w:rsidR="000474A7">
              <w:t>, </w:t>
            </w:r>
            <w:r w:rsidRPr="00BB5FFF">
              <w:t>32.7)</w:t>
            </w:r>
          </w:p>
        </w:tc>
      </w:tr>
      <w:tr w:rsidR="000474A7" w:rsidRPr="00BB5FFF" w14:paraId="0594CC0B" w14:textId="77777777" w:rsidTr="00C25326">
        <w:trPr>
          <w:cantSplit/>
        </w:trPr>
        <w:tc>
          <w:tcPr>
            <w:tcW w:w="2455" w:type="dxa"/>
          </w:tcPr>
          <w:p w14:paraId="435DF312" w14:textId="77777777" w:rsidR="007123C7" w:rsidRPr="00BB5FFF" w:rsidRDefault="007123C7" w:rsidP="00E82294">
            <w:pPr>
              <w:pStyle w:val="TableText"/>
            </w:pPr>
            <w:r w:rsidRPr="00BB5FFF">
              <w:t>Did not use DVA or At Ease websites</w:t>
            </w:r>
          </w:p>
        </w:tc>
        <w:tc>
          <w:tcPr>
            <w:tcW w:w="540" w:type="dxa"/>
          </w:tcPr>
          <w:p w14:paraId="0642D8B4" w14:textId="77777777" w:rsidR="007123C7" w:rsidRPr="00BB5FFF" w:rsidRDefault="007123C7" w:rsidP="00E82294">
            <w:pPr>
              <w:pStyle w:val="TableText"/>
              <w:jc w:val="right"/>
            </w:pPr>
            <w:r w:rsidRPr="00BB5FFF">
              <w:t>87</w:t>
            </w:r>
          </w:p>
        </w:tc>
        <w:tc>
          <w:tcPr>
            <w:tcW w:w="810" w:type="dxa"/>
          </w:tcPr>
          <w:p w14:paraId="4D8018BA" w14:textId="77777777" w:rsidR="007123C7" w:rsidRPr="00BB5FFF" w:rsidRDefault="007123C7" w:rsidP="00E82294">
            <w:pPr>
              <w:pStyle w:val="TableText"/>
              <w:jc w:val="right"/>
            </w:pPr>
            <w:r w:rsidRPr="00BB5FFF">
              <w:t>639</w:t>
            </w:r>
          </w:p>
        </w:tc>
        <w:tc>
          <w:tcPr>
            <w:tcW w:w="990" w:type="dxa"/>
          </w:tcPr>
          <w:p w14:paraId="46417F45" w14:textId="77777777" w:rsidR="007123C7" w:rsidRPr="00BB5FFF" w:rsidRDefault="007123C7" w:rsidP="00E82294">
            <w:pPr>
              <w:pStyle w:val="TableText"/>
              <w:jc w:val="right"/>
            </w:pPr>
            <w:r w:rsidRPr="00BB5FFF">
              <w:t>65.0 (55.3</w:t>
            </w:r>
            <w:r w:rsidR="000474A7">
              <w:t>, </w:t>
            </w:r>
            <w:r w:rsidRPr="00BB5FFF">
              <w:t>73.6)</w:t>
            </w:r>
          </w:p>
        </w:tc>
        <w:tc>
          <w:tcPr>
            <w:tcW w:w="467" w:type="dxa"/>
          </w:tcPr>
          <w:p w14:paraId="59BC62E4" w14:textId="77777777" w:rsidR="007123C7" w:rsidRPr="00BB5FFF" w:rsidRDefault="007123C7" w:rsidP="00E82294">
            <w:pPr>
              <w:pStyle w:val="TableText"/>
              <w:jc w:val="right"/>
            </w:pPr>
            <w:r w:rsidRPr="00BB5FFF">
              <w:t>375</w:t>
            </w:r>
          </w:p>
        </w:tc>
        <w:tc>
          <w:tcPr>
            <w:tcW w:w="820" w:type="dxa"/>
          </w:tcPr>
          <w:p w14:paraId="2B2AA317" w14:textId="77777777" w:rsidR="007123C7" w:rsidRPr="00BB5FFF" w:rsidRDefault="007123C7" w:rsidP="00E82294">
            <w:pPr>
              <w:pStyle w:val="TableText"/>
              <w:jc w:val="right"/>
            </w:pPr>
            <w:r w:rsidRPr="00BB5FFF">
              <w:t>2933</w:t>
            </w:r>
          </w:p>
        </w:tc>
        <w:tc>
          <w:tcPr>
            <w:tcW w:w="994" w:type="dxa"/>
          </w:tcPr>
          <w:p w14:paraId="1DBF702A" w14:textId="77777777" w:rsidR="007123C7" w:rsidRPr="00BB5FFF" w:rsidRDefault="007123C7" w:rsidP="00E82294">
            <w:pPr>
              <w:pStyle w:val="TableText"/>
              <w:jc w:val="right"/>
            </w:pPr>
            <w:r w:rsidRPr="00BB5FFF">
              <w:t>64.0 (59.6</w:t>
            </w:r>
            <w:r w:rsidR="000474A7">
              <w:t>, </w:t>
            </w:r>
            <w:r w:rsidRPr="00BB5FFF">
              <w:t>68.0)</w:t>
            </w:r>
          </w:p>
        </w:tc>
        <w:tc>
          <w:tcPr>
            <w:tcW w:w="509" w:type="dxa"/>
          </w:tcPr>
          <w:p w14:paraId="543EC7AF" w14:textId="77777777" w:rsidR="007123C7" w:rsidRPr="00BB5FFF" w:rsidRDefault="007123C7" w:rsidP="00E82294">
            <w:pPr>
              <w:pStyle w:val="TableText"/>
              <w:jc w:val="right"/>
            </w:pPr>
            <w:r w:rsidRPr="00BB5FFF">
              <w:t>56</w:t>
            </w:r>
          </w:p>
        </w:tc>
        <w:tc>
          <w:tcPr>
            <w:tcW w:w="810" w:type="dxa"/>
          </w:tcPr>
          <w:p w14:paraId="077F68E8" w14:textId="77777777" w:rsidR="007123C7" w:rsidRPr="00BB5FFF" w:rsidRDefault="007123C7" w:rsidP="00E82294">
            <w:pPr>
              <w:pStyle w:val="TableText"/>
              <w:jc w:val="right"/>
            </w:pPr>
            <w:r w:rsidRPr="00BB5FFF">
              <w:t>310</w:t>
            </w:r>
          </w:p>
        </w:tc>
        <w:tc>
          <w:tcPr>
            <w:tcW w:w="903" w:type="dxa"/>
          </w:tcPr>
          <w:p w14:paraId="3DE84813" w14:textId="77777777" w:rsidR="007123C7" w:rsidRPr="00BB5FFF" w:rsidRDefault="007123C7" w:rsidP="00E82294">
            <w:pPr>
              <w:pStyle w:val="TableText"/>
              <w:jc w:val="right"/>
            </w:pPr>
            <w:r w:rsidRPr="00BB5FFF">
              <w:t>54.0 (21.9</w:t>
            </w:r>
            <w:r w:rsidR="000474A7">
              <w:t>, </w:t>
            </w:r>
            <w:r w:rsidRPr="00BB5FFF">
              <w:t>83.0)</w:t>
            </w:r>
          </w:p>
        </w:tc>
        <w:tc>
          <w:tcPr>
            <w:tcW w:w="447" w:type="dxa"/>
          </w:tcPr>
          <w:p w14:paraId="1321D8CC" w14:textId="77777777" w:rsidR="007123C7" w:rsidRPr="00BB5FFF" w:rsidRDefault="007123C7" w:rsidP="00E82294">
            <w:pPr>
              <w:pStyle w:val="TableText"/>
              <w:jc w:val="right"/>
            </w:pPr>
            <w:r w:rsidRPr="00BB5FFF">
              <w:t>379</w:t>
            </w:r>
          </w:p>
        </w:tc>
        <w:tc>
          <w:tcPr>
            <w:tcW w:w="810" w:type="dxa"/>
          </w:tcPr>
          <w:p w14:paraId="1486C010" w14:textId="77777777" w:rsidR="007123C7" w:rsidRPr="00BB5FFF" w:rsidRDefault="007123C7" w:rsidP="00E82294">
            <w:pPr>
              <w:pStyle w:val="TableText"/>
              <w:jc w:val="right"/>
            </w:pPr>
            <w:r w:rsidRPr="00BB5FFF">
              <w:t>3203</w:t>
            </w:r>
          </w:p>
        </w:tc>
        <w:tc>
          <w:tcPr>
            <w:tcW w:w="965" w:type="dxa"/>
          </w:tcPr>
          <w:p w14:paraId="1082D0E6" w14:textId="77777777" w:rsidR="007123C7" w:rsidRPr="00BB5FFF" w:rsidRDefault="007123C7" w:rsidP="00E82294">
            <w:pPr>
              <w:pStyle w:val="TableText"/>
              <w:jc w:val="right"/>
            </w:pPr>
            <w:r w:rsidRPr="00BB5FFF">
              <w:t>78.5 (67.3</w:t>
            </w:r>
            <w:r w:rsidR="000474A7">
              <w:t>, </w:t>
            </w:r>
            <w:r w:rsidRPr="00BB5FFF">
              <w:t>86.6)</w:t>
            </w:r>
          </w:p>
        </w:tc>
      </w:tr>
    </w:tbl>
    <w:p w14:paraId="38647639" w14:textId="77777777" w:rsidR="007123C7" w:rsidRPr="00FE3DB2" w:rsidRDefault="007123C7" w:rsidP="007123C7">
      <w:pPr>
        <w:pStyle w:val="TableNotes"/>
      </w:pPr>
      <w:r>
        <w:t>Notes</w:t>
      </w:r>
    </w:p>
    <w:p w14:paraId="01183357" w14:textId="77777777" w:rsidR="007123C7" w:rsidRPr="008A51EB" w:rsidRDefault="007123C7" w:rsidP="007123C7">
      <w:pPr>
        <w:pStyle w:val="TableNotes"/>
      </w:pPr>
      <w:r w:rsidRPr="008A51EB">
        <w:t xml:space="preserve">Denominator: </w:t>
      </w:r>
      <w:r w:rsidRPr="000F78B9">
        <w:t>Transitioned and 2015 Regular ADF with a probable disorder</w:t>
      </w:r>
      <w:r>
        <w:t>.</w:t>
      </w:r>
    </w:p>
    <w:p w14:paraId="187640C9" w14:textId="77777777" w:rsidR="007123C7" w:rsidRPr="00C72931" w:rsidRDefault="007123C7" w:rsidP="007123C7">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0BA030FF" w14:textId="77777777" w:rsidR="007123C7" w:rsidRDefault="007123C7" w:rsidP="007123C7">
      <w:pPr>
        <w:pStyle w:val="TableNotes"/>
      </w:pPr>
      <w:r>
        <w:t>95%CI = 95% confidence interval.</w:t>
      </w:r>
    </w:p>
    <w:p w14:paraId="1B845AAD" w14:textId="77777777" w:rsidR="007123C7" w:rsidRDefault="007123C7" w:rsidP="007123C7">
      <w:pPr>
        <w:pStyle w:val="TableNotes"/>
        <w:rPr>
          <w:rFonts w:cs="Calibri"/>
          <w:bCs/>
          <w:color w:val="000000" w:themeColor="text1"/>
          <w:szCs w:val="14"/>
        </w:rPr>
      </w:pPr>
      <w:r>
        <w:rPr>
          <w:rFonts w:cs="Calibri"/>
          <w:bCs/>
          <w:color w:val="000000" w:themeColor="text1"/>
          <w:szCs w:val="14"/>
        </w:rPr>
        <w:t># = Cell size too small to be reported.</w:t>
      </w:r>
    </w:p>
    <w:p w14:paraId="3F976B3D" w14:textId="77777777" w:rsidR="007123C7" w:rsidRDefault="007123C7" w:rsidP="007123C7">
      <w:pPr>
        <w:pStyle w:val="TableName"/>
      </w:pPr>
      <w:bookmarkStart w:id="1061" w:name="_Toc531858040"/>
      <w:bookmarkStart w:id="1062" w:name="_Ref517426900"/>
      <w:bookmarkStart w:id="1063" w:name="_Toc509922911"/>
      <w:bookmarkStart w:id="1064" w:name="_Toc515374685"/>
      <w:bookmarkStart w:id="1065" w:name="_Toc528932361"/>
      <w:r>
        <w:t xml:space="preserve">Table </w:t>
      </w:r>
      <w:r>
        <w:rPr>
          <w:noProof/>
        </w:rPr>
        <w:t>9</w:t>
      </w:r>
      <w:r>
        <w:t>.</w:t>
      </w:r>
      <w:r>
        <w:rPr>
          <w:noProof/>
        </w:rPr>
        <w:t>10</w:t>
      </w:r>
      <w:r>
        <w:tab/>
        <w:t xml:space="preserve">Estimated proportion of Transitioned ADF and 2015 Regular ADF </w:t>
      </w:r>
      <w:r w:rsidRPr="000F78B9">
        <w:t xml:space="preserve">with a probable disorder who </w:t>
      </w:r>
      <w:r>
        <w:t>did</w:t>
      </w:r>
      <w:r w:rsidRPr="000F78B9">
        <w:t xml:space="preserve"> and </w:t>
      </w:r>
      <w:r>
        <w:t>did</w:t>
      </w:r>
      <w:r w:rsidRPr="000F78B9">
        <w:t xml:space="preserve"> not use </w:t>
      </w:r>
      <w:r w:rsidRPr="00294BD3">
        <w:t>DVA</w:t>
      </w:r>
      <w:r>
        <w:t xml:space="preserve"> or At Ease w</w:t>
      </w:r>
      <w:r w:rsidRPr="00294BD3">
        <w:t xml:space="preserve">ebsites </w:t>
      </w:r>
      <w:r>
        <w:t xml:space="preserve">to inform/assess mental health </w:t>
      </w:r>
      <w:r w:rsidRPr="000F78B9">
        <w:t>broken down b</w:t>
      </w:r>
      <w:r>
        <w:t xml:space="preserve">y </w:t>
      </w:r>
      <w:r w:rsidRPr="000F78B9">
        <w:t>those with no barriers and those with at least one barrier</w:t>
      </w:r>
      <w:bookmarkEnd w:id="1061"/>
    </w:p>
    <w:bookmarkEnd w:id="1062"/>
    <w:bookmarkEnd w:id="1063"/>
    <w:bookmarkEnd w:id="1064"/>
    <w:bookmarkEnd w:id="1065"/>
    <w:tbl>
      <w:tblPr>
        <w:tblStyle w:val="TWRPTable"/>
        <w:tblW w:w="5000" w:type="pct"/>
        <w:tblLayout w:type="fixed"/>
        <w:tblCellMar>
          <w:left w:w="115" w:type="dxa"/>
          <w:right w:w="115" w:type="dxa"/>
        </w:tblCellMar>
        <w:tblLook w:val="0000" w:firstRow="0" w:lastRow="0" w:firstColumn="0" w:lastColumn="0" w:noHBand="0" w:noVBand="0"/>
        <w:tblDescription w:val="Table 9.10 Estimated proportion of Transitioned ADF and 2015 Regular ADF with a probable disorder who did and did not use DVA or At Ease websites to inform/assess mental health broken down by those with no barriers and those with at least one barrier"/>
      </w:tblPr>
      <w:tblGrid>
        <w:gridCol w:w="2303"/>
        <w:gridCol w:w="531"/>
        <w:gridCol w:w="794"/>
        <w:gridCol w:w="1058"/>
        <w:gridCol w:w="442"/>
        <w:gridCol w:w="768"/>
        <w:gridCol w:w="987"/>
        <w:gridCol w:w="451"/>
        <w:gridCol w:w="760"/>
        <w:gridCol w:w="987"/>
        <w:gridCol w:w="460"/>
        <w:gridCol w:w="88"/>
        <w:gridCol w:w="664"/>
        <w:gridCol w:w="987"/>
      </w:tblGrid>
      <w:tr w:rsidR="007123C7" w:rsidRPr="00BE7F9D" w14:paraId="7BE8D898" w14:textId="77777777" w:rsidTr="000474A7">
        <w:trPr>
          <w:cantSplit/>
          <w:tblHeader/>
        </w:trPr>
        <w:tc>
          <w:tcPr>
            <w:tcW w:w="2365" w:type="dxa"/>
            <w:tcBorders>
              <w:top w:val="single" w:sz="4" w:space="0" w:color="000000"/>
              <w:bottom w:val="nil"/>
            </w:tcBorders>
          </w:tcPr>
          <w:p w14:paraId="2EF9D0D3" w14:textId="77777777" w:rsidR="007123C7" w:rsidRPr="00BE7F9D" w:rsidRDefault="007123C7" w:rsidP="00E82294">
            <w:pPr>
              <w:pStyle w:val="TableText"/>
              <w:rPr>
                <w:b/>
              </w:rPr>
            </w:pPr>
          </w:p>
        </w:tc>
        <w:tc>
          <w:tcPr>
            <w:tcW w:w="4673" w:type="dxa"/>
            <w:gridSpan w:val="6"/>
            <w:tcBorders>
              <w:top w:val="single" w:sz="4" w:space="0" w:color="000000"/>
              <w:bottom w:val="single" w:sz="4" w:space="0" w:color="000000"/>
            </w:tcBorders>
          </w:tcPr>
          <w:p w14:paraId="40CCFFBA" w14:textId="77777777" w:rsidR="007123C7" w:rsidRPr="00B4623F" w:rsidRDefault="007123C7" w:rsidP="00E82294">
            <w:pPr>
              <w:pStyle w:val="TableText"/>
              <w:jc w:val="center"/>
              <w:rPr>
                <w:b/>
                <w:bCs/>
              </w:rPr>
            </w:pPr>
            <w:r w:rsidRPr="00BE7F9D">
              <w:rPr>
                <w:b/>
                <w:bCs/>
              </w:rPr>
              <w:t>Transitioned ADF</w:t>
            </w:r>
          </w:p>
        </w:tc>
        <w:tc>
          <w:tcPr>
            <w:tcW w:w="4482" w:type="dxa"/>
            <w:gridSpan w:val="7"/>
            <w:tcBorders>
              <w:top w:val="single" w:sz="4" w:space="0" w:color="000000"/>
              <w:bottom w:val="single" w:sz="4" w:space="0" w:color="000000"/>
            </w:tcBorders>
          </w:tcPr>
          <w:p w14:paraId="137B4A94" w14:textId="77777777" w:rsidR="007123C7" w:rsidRPr="00B4623F" w:rsidRDefault="007123C7" w:rsidP="00E82294">
            <w:pPr>
              <w:pStyle w:val="TableText"/>
              <w:jc w:val="center"/>
              <w:rPr>
                <w:b/>
                <w:bCs/>
              </w:rPr>
            </w:pPr>
            <w:r w:rsidRPr="00BE7F9D">
              <w:rPr>
                <w:b/>
                <w:bCs/>
              </w:rPr>
              <w:t>2015 Regular ADF</w:t>
            </w:r>
          </w:p>
        </w:tc>
      </w:tr>
      <w:tr w:rsidR="007123C7" w:rsidRPr="00BE7F9D" w14:paraId="48213CB0" w14:textId="77777777" w:rsidTr="000474A7">
        <w:trPr>
          <w:cantSplit/>
          <w:tblHeader/>
        </w:trPr>
        <w:tc>
          <w:tcPr>
            <w:tcW w:w="2365" w:type="dxa"/>
            <w:tcBorders>
              <w:top w:val="nil"/>
              <w:bottom w:val="nil"/>
            </w:tcBorders>
          </w:tcPr>
          <w:p w14:paraId="2ECA2E57" w14:textId="77777777" w:rsidR="007123C7" w:rsidRPr="00BE7F9D" w:rsidRDefault="007123C7" w:rsidP="00E82294">
            <w:pPr>
              <w:pStyle w:val="TableText"/>
              <w:rPr>
                <w:b/>
              </w:rPr>
            </w:pPr>
          </w:p>
        </w:tc>
        <w:tc>
          <w:tcPr>
            <w:tcW w:w="2432" w:type="dxa"/>
            <w:gridSpan w:val="3"/>
            <w:tcBorders>
              <w:top w:val="single" w:sz="4" w:space="0" w:color="000000"/>
              <w:bottom w:val="single" w:sz="4" w:space="0" w:color="000000"/>
            </w:tcBorders>
          </w:tcPr>
          <w:p w14:paraId="1D608178" w14:textId="77777777" w:rsidR="007123C7" w:rsidRPr="00BE7F9D" w:rsidRDefault="007123C7" w:rsidP="00E82294">
            <w:pPr>
              <w:pStyle w:val="TableText"/>
              <w:jc w:val="center"/>
              <w:rPr>
                <w:b/>
              </w:rPr>
            </w:pPr>
            <w:r>
              <w:rPr>
                <w:b/>
              </w:rPr>
              <w:t>No barriers</w:t>
            </w:r>
          </w:p>
        </w:tc>
        <w:tc>
          <w:tcPr>
            <w:tcW w:w="2241" w:type="dxa"/>
            <w:gridSpan w:val="3"/>
            <w:tcBorders>
              <w:top w:val="single" w:sz="4" w:space="0" w:color="000000"/>
              <w:bottom w:val="single" w:sz="4" w:space="0" w:color="000000"/>
            </w:tcBorders>
          </w:tcPr>
          <w:p w14:paraId="1A53A579" w14:textId="77777777" w:rsidR="007123C7" w:rsidRPr="00BE7F9D" w:rsidRDefault="007123C7" w:rsidP="00E82294">
            <w:pPr>
              <w:pStyle w:val="TableText"/>
              <w:jc w:val="center"/>
              <w:rPr>
                <w:b/>
              </w:rPr>
            </w:pPr>
            <w:r w:rsidRPr="00BE7F9D">
              <w:rPr>
                <w:b/>
              </w:rPr>
              <w:t xml:space="preserve">At least one </w:t>
            </w:r>
            <w:r>
              <w:rPr>
                <w:b/>
              </w:rPr>
              <w:t>b</w:t>
            </w:r>
            <w:r w:rsidRPr="00BE7F9D">
              <w:rPr>
                <w:b/>
              </w:rPr>
              <w:t>arrier</w:t>
            </w:r>
          </w:p>
        </w:tc>
        <w:tc>
          <w:tcPr>
            <w:tcW w:w="2241" w:type="dxa"/>
            <w:gridSpan w:val="3"/>
            <w:tcBorders>
              <w:top w:val="single" w:sz="4" w:space="0" w:color="000000"/>
              <w:bottom w:val="single" w:sz="4" w:space="0" w:color="000000"/>
            </w:tcBorders>
          </w:tcPr>
          <w:p w14:paraId="15FFD45F" w14:textId="77777777" w:rsidR="007123C7" w:rsidRPr="00BE7F9D" w:rsidRDefault="007123C7" w:rsidP="00E82294">
            <w:pPr>
              <w:pStyle w:val="TableText"/>
              <w:jc w:val="center"/>
              <w:rPr>
                <w:b/>
              </w:rPr>
            </w:pPr>
            <w:r>
              <w:rPr>
                <w:b/>
              </w:rPr>
              <w:t>No barriers</w:t>
            </w:r>
          </w:p>
        </w:tc>
        <w:tc>
          <w:tcPr>
            <w:tcW w:w="2241" w:type="dxa"/>
            <w:gridSpan w:val="4"/>
            <w:tcBorders>
              <w:top w:val="single" w:sz="4" w:space="0" w:color="000000"/>
              <w:bottom w:val="single" w:sz="4" w:space="0" w:color="000000"/>
            </w:tcBorders>
          </w:tcPr>
          <w:p w14:paraId="128309F2" w14:textId="77777777" w:rsidR="007123C7" w:rsidRPr="00BE7F9D" w:rsidRDefault="007123C7" w:rsidP="00E82294">
            <w:pPr>
              <w:pStyle w:val="TableText"/>
              <w:jc w:val="center"/>
              <w:rPr>
                <w:b/>
              </w:rPr>
            </w:pPr>
            <w:r>
              <w:rPr>
                <w:b/>
              </w:rPr>
              <w:t>At least one barrier</w:t>
            </w:r>
          </w:p>
        </w:tc>
      </w:tr>
      <w:tr w:rsidR="000474A7" w:rsidRPr="00BE7F9D" w14:paraId="769B584B" w14:textId="77777777" w:rsidTr="00BF4EFA">
        <w:trPr>
          <w:cantSplit/>
          <w:tblHeader/>
        </w:trPr>
        <w:tc>
          <w:tcPr>
            <w:tcW w:w="2365" w:type="dxa"/>
            <w:tcBorders>
              <w:top w:val="nil"/>
              <w:bottom w:val="single" w:sz="4" w:space="0" w:color="000000"/>
            </w:tcBorders>
          </w:tcPr>
          <w:p w14:paraId="3E22197C" w14:textId="77777777" w:rsidR="007123C7" w:rsidRPr="00BE7F9D" w:rsidRDefault="007123C7" w:rsidP="00E82294">
            <w:pPr>
              <w:pStyle w:val="TableText"/>
              <w:rPr>
                <w:b/>
              </w:rPr>
            </w:pPr>
          </w:p>
        </w:tc>
        <w:tc>
          <w:tcPr>
            <w:tcW w:w="540" w:type="dxa"/>
            <w:tcBorders>
              <w:top w:val="single" w:sz="4" w:space="0" w:color="000000"/>
              <w:bottom w:val="single" w:sz="4" w:space="0" w:color="000000"/>
            </w:tcBorders>
            <w:vAlign w:val="bottom"/>
          </w:tcPr>
          <w:p w14:paraId="3D3872F4" w14:textId="77777777" w:rsidR="007123C7" w:rsidRPr="00BE7F9D" w:rsidRDefault="007123C7" w:rsidP="00BF4EFA">
            <w:pPr>
              <w:pStyle w:val="TableText"/>
              <w:jc w:val="right"/>
              <w:rPr>
                <w:b/>
              </w:rPr>
            </w:pPr>
            <w:r w:rsidRPr="00BE7F9D">
              <w:rPr>
                <w:b/>
              </w:rPr>
              <w:t>n</w:t>
            </w:r>
          </w:p>
        </w:tc>
        <w:tc>
          <w:tcPr>
            <w:tcW w:w="810" w:type="dxa"/>
            <w:tcBorders>
              <w:top w:val="single" w:sz="4" w:space="0" w:color="000000"/>
              <w:bottom w:val="single" w:sz="4" w:space="0" w:color="000000"/>
            </w:tcBorders>
            <w:vAlign w:val="bottom"/>
          </w:tcPr>
          <w:p w14:paraId="399ECA5D" w14:textId="77777777" w:rsidR="007123C7" w:rsidRPr="00BE7F9D" w:rsidRDefault="007123C7" w:rsidP="00BF4EFA">
            <w:pPr>
              <w:pStyle w:val="TableText"/>
              <w:jc w:val="right"/>
              <w:rPr>
                <w:b/>
              </w:rPr>
            </w:pPr>
            <w:r w:rsidRPr="00BE7F9D">
              <w:rPr>
                <w:b/>
              </w:rPr>
              <w:t>Weighted n</w:t>
            </w:r>
          </w:p>
        </w:tc>
        <w:tc>
          <w:tcPr>
            <w:tcW w:w="1082" w:type="dxa"/>
            <w:tcBorders>
              <w:top w:val="single" w:sz="4" w:space="0" w:color="000000"/>
              <w:bottom w:val="single" w:sz="4" w:space="0" w:color="000000"/>
            </w:tcBorders>
            <w:vAlign w:val="bottom"/>
          </w:tcPr>
          <w:p w14:paraId="1BC635D1" w14:textId="77777777" w:rsidR="007123C7" w:rsidRPr="00BE7F9D" w:rsidRDefault="007123C7" w:rsidP="00BF4EFA">
            <w:pPr>
              <w:pStyle w:val="TableText"/>
              <w:jc w:val="right"/>
              <w:rPr>
                <w:b/>
              </w:rPr>
            </w:pPr>
            <w:r w:rsidRPr="00BE7F9D">
              <w:rPr>
                <w:b/>
              </w:rPr>
              <w:t>% (95%CI)</w:t>
            </w:r>
          </w:p>
        </w:tc>
        <w:tc>
          <w:tcPr>
            <w:tcW w:w="448" w:type="dxa"/>
            <w:tcBorders>
              <w:top w:val="single" w:sz="4" w:space="0" w:color="000000"/>
              <w:bottom w:val="single" w:sz="4" w:space="0" w:color="000000"/>
            </w:tcBorders>
            <w:vAlign w:val="bottom"/>
          </w:tcPr>
          <w:p w14:paraId="1E0B5936" w14:textId="77777777" w:rsidR="007123C7" w:rsidRPr="00BE7F9D" w:rsidRDefault="007123C7" w:rsidP="00BF4EFA">
            <w:pPr>
              <w:pStyle w:val="TableText"/>
              <w:jc w:val="right"/>
              <w:rPr>
                <w:b/>
              </w:rPr>
            </w:pPr>
            <w:r w:rsidRPr="00BE7F9D">
              <w:rPr>
                <w:b/>
              </w:rPr>
              <w:t>n</w:t>
            </w:r>
          </w:p>
        </w:tc>
        <w:tc>
          <w:tcPr>
            <w:tcW w:w="784" w:type="dxa"/>
            <w:tcBorders>
              <w:top w:val="single" w:sz="4" w:space="0" w:color="000000"/>
              <w:bottom w:val="single" w:sz="4" w:space="0" w:color="000000"/>
            </w:tcBorders>
            <w:vAlign w:val="bottom"/>
          </w:tcPr>
          <w:p w14:paraId="346A2EA1" w14:textId="77777777" w:rsidR="007123C7" w:rsidRPr="00BE7F9D" w:rsidRDefault="007123C7" w:rsidP="00BF4EFA">
            <w:pPr>
              <w:pStyle w:val="TableText"/>
              <w:jc w:val="right"/>
              <w:rPr>
                <w:b/>
              </w:rPr>
            </w:pPr>
            <w:r w:rsidRPr="00BE7F9D">
              <w:rPr>
                <w:b/>
              </w:rPr>
              <w:t>Weighted n</w:t>
            </w:r>
          </w:p>
        </w:tc>
        <w:tc>
          <w:tcPr>
            <w:tcW w:w="1009" w:type="dxa"/>
            <w:tcBorders>
              <w:top w:val="single" w:sz="4" w:space="0" w:color="000000"/>
              <w:bottom w:val="single" w:sz="4" w:space="0" w:color="000000"/>
            </w:tcBorders>
            <w:vAlign w:val="bottom"/>
          </w:tcPr>
          <w:p w14:paraId="688BB14D" w14:textId="77777777" w:rsidR="007123C7" w:rsidRPr="00BE7F9D" w:rsidRDefault="007123C7" w:rsidP="00BF4EFA">
            <w:pPr>
              <w:pStyle w:val="TableText"/>
              <w:jc w:val="right"/>
              <w:rPr>
                <w:b/>
              </w:rPr>
            </w:pPr>
            <w:r w:rsidRPr="00BE7F9D">
              <w:rPr>
                <w:b/>
              </w:rPr>
              <w:t>% (95%CI)</w:t>
            </w:r>
          </w:p>
        </w:tc>
        <w:tc>
          <w:tcPr>
            <w:tcW w:w="457" w:type="dxa"/>
            <w:tcBorders>
              <w:top w:val="single" w:sz="4" w:space="0" w:color="000000"/>
              <w:bottom w:val="single" w:sz="4" w:space="0" w:color="000000"/>
            </w:tcBorders>
            <w:vAlign w:val="bottom"/>
          </w:tcPr>
          <w:p w14:paraId="521DB681" w14:textId="77777777" w:rsidR="007123C7" w:rsidRPr="00BE7F9D" w:rsidRDefault="007123C7" w:rsidP="00BF4EFA">
            <w:pPr>
              <w:pStyle w:val="TableText"/>
              <w:jc w:val="right"/>
              <w:rPr>
                <w:b/>
              </w:rPr>
            </w:pPr>
            <w:r w:rsidRPr="00BE7F9D">
              <w:rPr>
                <w:b/>
              </w:rPr>
              <w:t>n</w:t>
            </w:r>
          </w:p>
        </w:tc>
        <w:tc>
          <w:tcPr>
            <w:tcW w:w="775" w:type="dxa"/>
            <w:tcBorders>
              <w:top w:val="single" w:sz="4" w:space="0" w:color="000000"/>
              <w:bottom w:val="single" w:sz="4" w:space="0" w:color="000000"/>
            </w:tcBorders>
            <w:vAlign w:val="bottom"/>
          </w:tcPr>
          <w:p w14:paraId="58EF6368" w14:textId="77777777" w:rsidR="007123C7" w:rsidRPr="00BE7F9D" w:rsidRDefault="007123C7" w:rsidP="00BF4EFA">
            <w:pPr>
              <w:pStyle w:val="TableText"/>
              <w:jc w:val="right"/>
              <w:rPr>
                <w:b/>
              </w:rPr>
            </w:pPr>
            <w:r w:rsidRPr="00BE7F9D">
              <w:rPr>
                <w:b/>
              </w:rPr>
              <w:t>Weighted n</w:t>
            </w:r>
          </w:p>
        </w:tc>
        <w:tc>
          <w:tcPr>
            <w:tcW w:w="1009" w:type="dxa"/>
            <w:tcBorders>
              <w:top w:val="single" w:sz="4" w:space="0" w:color="000000"/>
              <w:bottom w:val="single" w:sz="4" w:space="0" w:color="000000"/>
            </w:tcBorders>
            <w:vAlign w:val="bottom"/>
          </w:tcPr>
          <w:p w14:paraId="72C55FE0" w14:textId="77777777" w:rsidR="007123C7" w:rsidRPr="00BE7F9D" w:rsidRDefault="007123C7" w:rsidP="00BF4EFA">
            <w:pPr>
              <w:pStyle w:val="TableText"/>
              <w:jc w:val="right"/>
              <w:rPr>
                <w:b/>
              </w:rPr>
            </w:pPr>
            <w:r w:rsidRPr="00BE7F9D">
              <w:rPr>
                <w:b/>
              </w:rPr>
              <w:t>% (95%CI)</w:t>
            </w:r>
          </w:p>
        </w:tc>
        <w:tc>
          <w:tcPr>
            <w:tcW w:w="466" w:type="dxa"/>
            <w:tcBorders>
              <w:top w:val="single" w:sz="4" w:space="0" w:color="000000"/>
              <w:bottom w:val="single" w:sz="4" w:space="0" w:color="000000"/>
            </w:tcBorders>
            <w:vAlign w:val="bottom"/>
          </w:tcPr>
          <w:p w14:paraId="18FBFF13" w14:textId="77777777" w:rsidR="007123C7" w:rsidRPr="00BE7F9D" w:rsidRDefault="007123C7" w:rsidP="00BF4EFA">
            <w:pPr>
              <w:pStyle w:val="TableText"/>
              <w:jc w:val="right"/>
              <w:rPr>
                <w:b/>
              </w:rPr>
            </w:pPr>
            <w:r w:rsidRPr="00BE7F9D">
              <w:rPr>
                <w:b/>
              </w:rPr>
              <w:t>n</w:t>
            </w:r>
          </w:p>
        </w:tc>
        <w:tc>
          <w:tcPr>
            <w:tcW w:w="766" w:type="dxa"/>
            <w:gridSpan w:val="2"/>
            <w:tcBorders>
              <w:top w:val="single" w:sz="4" w:space="0" w:color="000000"/>
              <w:bottom w:val="single" w:sz="4" w:space="0" w:color="000000"/>
            </w:tcBorders>
            <w:vAlign w:val="bottom"/>
          </w:tcPr>
          <w:p w14:paraId="1675488F" w14:textId="77777777" w:rsidR="007123C7" w:rsidRPr="00BE7F9D" w:rsidRDefault="007123C7" w:rsidP="00BF4EFA">
            <w:pPr>
              <w:pStyle w:val="TableText"/>
              <w:jc w:val="right"/>
              <w:rPr>
                <w:b/>
              </w:rPr>
            </w:pPr>
            <w:r w:rsidRPr="00BE7F9D">
              <w:rPr>
                <w:b/>
              </w:rPr>
              <w:t>Weighted n</w:t>
            </w:r>
          </w:p>
        </w:tc>
        <w:tc>
          <w:tcPr>
            <w:tcW w:w="1009" w:type="dxa"/>
            <w:tcBorders>
              <w:top w:val="single" w:sz="4" w:space="0" w:color="000000"/>
              <w:bottom w:val="single" w:sz="4" w:space="0" w:color="000000"/>
            </w:tcBorders>
            <w:vAlign w:val="bottom"/>
          </w:tcPr>
          <w:p w14:paraId="2C6D4275" w14:textId="77777777" w:rsidR="007123C7" w:rsidRPr="00BE7F9D" w:rsidRDefault="007123C7" w:rsidP="00BF4EFA">
            <w:pPr>
              <w:pStyle w:val="TableText"/>
              <w:jc w:val="right"/>
              <w:rPr>
                <w:b/>
              </w:rPr>
            </w:pPr>
            <w:r w:rsidRPr="00BE7F9D">
              <w:rPr>
                <w:b/>
              </w:rPr>
              <w:t>% (95%CI)</w:t>
            </w:r>
          </w:p>
        </w:tc>
      </w:tr>
      <w:tr w:rsidR="007123C7" w:rsidRPr="000F78B9" w14:paraId="1F5E0480" w14:textId="77777777" w:rsidTr="000474A7">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tcBorders>
          </w:tcPr>
          <w:p w14:paraId="409734A0" w14:textId="77777777" w:rsidR="007123C7" w:rsidRPr="009F1163" w:rsidRDefault="007123C7" w:rsidP="00E82294">
            <w:pPr>
              <w:pStyle w:val="TableText"/>
              <w:rPr>
                <w:b/>
              </w:rPr>
            </w:pPr>
            <w:r w:rsidRPr="009F1163">
              <w:rPr>
                <w:b/>
              </w:rPr>
              <w:t>Posttraumatic stress disorder (PCL-C)</w:t>
            </w:r>
          </w:p>
        </w:tc>
        <w:tc>
          <w:tcPr>
            <w:tcW w:w="2432" w:type="dxa"/>
            <w:gridSpan w:val="3"/>
            <w:tcBorders>
              <w:top w:val="single" w:sz="4" w:space="0" w:color="000000"/>
            </w:tcBorders>
          </w:tcPr>
          <w:p w14:paraId="03CAAFE0" w14:textId="77777777" w:rsidR="007123C7" w:rsidRPr="003E6AB6" w:rsidRDefault="007123C7" w:rsidP="00E82294">
            <w:pPr>
              <w:pStyle w:val="TableText"/>
              <w:jc w:val="center"/>
              <w:rPr>
                <w:highlight w:val="magenta"/>
              </w:rPr>
            </w:pPr>
            <w:r>
              <w:t>n</w:t>
            </w:r>
            <w:r w:rsidRPr="000F78B9">
              <w:t>=</w:t>
            </w:r>
            <w:r>
              <w:t>135</w:t>
            </w:r>
            <w:r w:rsidRPr="000F78B9">
              <w:t xml:space="preserve"> (Weighted</w:t>
            </w:r>
            <w:r>
              <w:t xml:space="preserve"> n</w:t>
            </w:r>
            <w:r w:rsidRPr="000F78B9">
              <w:t>=</w:t>
            </w:r>
            <w:r>
              <w:t>788</w:t>
            </w:r>
            <w:r w:rsidRPr="000F78B9">
              <w:t>)</w:t>
            </w:r>
          </w:p>
        </w:tc>
        <w:tc>
          <w:tcPr>
            <w:tcW w:w="2241" w:type="dxa"/>
            <w:gridSpan w:val="3"/>
            <w:tcBorders>
              <w:top w:val="single" w:sz="4" w:space="0" w:color="000000"/>
            </w:tcBorders>
          </w:tcPr>
          <w:p w14:paraId="11C9DE5F" w14:textId="77777777" w:rsidR="007123C7" w:rsidRPr="003E6AB6" w:rsidRDefault="007123C7" w:rsidP="00E82294">
            <w:pPr>
              <w:pStyle w:val="TableText"/>
              <w:jc w:val="center"/>
              <w:rPr>
                <w:highlight w:val="magenta"/>
              </w:rPr>
            </w:pPr>
            <w:r>
              <w:t>n=375</w:t>
            </w:r>
            <w:r w:rsidRPr="000F78B9">
              <w:t xml:space="preserve"> (Weighted </w:t>
            </w:r>
            <w:r>
              <w:t>n</w:t>
            </w:r>
            <w:r w:rsidRPr="000F78B9">
              <w:t>=</w:t>
            </w:r>
            <w:r>
              <w:t>2461</w:t>
            </w:r>
            <w:r w:rsidRPr="000F78B9">
              <w:t>)</w:t>
            </w:r>
          </w:p>
        </w:tc>
        <w:tc>
          <w:tcPr>
            <w:tcW w:w="2241" w:type="dxa"/>
            <w:gridSpan w:val="3"/>
            <w:tcBorders>
              <w:top w:val="single" w:sz="4" w:space="0" w:color="000000"/>
            </w:tcBorders>
          </w:tcPr>
          <w:p w14:paraId="0864AC9F" w14:textId="77777777" w:rsidR="007123C7" w:rsidRPr="000F78B9" w:rsidRDefault="007123C7" w:rsidP="00E82294">
            <w:pPr>
              <w:pStyle w:val="TableText"/>
              <w:jc w:val="center"/>
            </w:pPr>
            <w:r>
              <w:t>n</w:t>
            </w:r>
            <w:r w:rsidRPr="000F78B9">
              <w:t>=</w:t>
            </w:r>
            <w:r>
              <w:t>25</w:t>
            </w:r>
            <w:r w:rsidRPr="000F78B9">
              <w:t xml:space="preserve"> (Weighted</w:t>
            </w:r>
            <w:r>
              <w:t xml:space="preserve"> n</w:t>
            </w:r>
            <w:r w:rsidRPr="000F78B9">
              <w:t>=</w:t>
            </w:r>
            <w:r>
              <w:t>117</w:t>
            </w:r>
            <w:r w:rsidRPr="000F78B9">
              <w:t>)</w:t>
            </w:r>
          </w:p>
        </w:tc>
        <w:tc>
          <w:tcPr>
            <w:tcW w:w="2241" w:type="dxa"/>
            <w:gridSpan w:val="4"/>
            <w:tcBorders>
              <w:top w:val="single" w:sz="4" w:space="0" w:color="000000"/>
            </w:tcBorders>
          </w:tcPr>
          <w:p w14:paraId="193EF587" w14:textId="77777777" w:rsidR="007123C7" w:rsidRPr="000F78B9" w:rsidRDefault="007123C7" w:rsidP="00E82294">
            <w:pPr>
              <w:pStyle w:val="TableText"/>
              <w:jc w:val="center"/>
            </w:pPr>
            <w:r>
              <w:t>n</w:t>
            </w:r>
            <w:r w:rsidRPr="000F78B9">
              <w:t>=</w:t>
            </w:r>
            <w:r>
              <w:t xml:space="preserve">204 </w:t>
            </w:r>
            <w:r w:rsidRPr="000F78B9">
              <w:t xml:space="preserve">(Weighted </w:t>
            </w:r>
            <w:r>
              <w:t>n</w:t>
            </w:r>
            <w:r w:rsidRPr="000F78B9">
              <w:t>=</w:t>
            </w:r>
            <w:r>
              <w:t>1334</w:t>
            </w:r>
            <w:r w:rsidRPr="000F78B9">
              <w:t>)</w:t>
            </w:r>
          </w:p>
        </w:tc>
      </w:tr>
      <w:tr w:rsidR="000474A7" w:rsidRPr="00BE7F9D" w14:paraId="746A87E6" w14:textId="77777777" w:rsidTr="00C25326">
        <w:trPr>
          <w:cantSplit/>
        </w:trPr>
        <w:tc>
          <w:tcPr>
            <w:tcW w:w="2365" w:type="dxa"/>
          </w:tcPr>
          <w:p w14:paraId="74DF6EC6" w14:textId="77777777" w:rsidR="007123C7" w:rsidRPr="00BE7F9D" w:rsidRDefault="007123C7" w:rsidP="00E82294">
            <w:pPr>
              <w:pStyle w:val="TableText"/>
            </w:pPr>
            <w:r w:rsidRPr="00BE7F9D">
              <w:t xml:space="preserve">Used DVA or At Ease websites </w:t>
            </w:r>
          </w:p>
        </w:tc>
        <w:tc>
          <w:tcPr>
            <w:tcW w:w="540" w:type="dxa"/>
          </w:tcPr>
          <w:p w14:paraId="3AA99EB0" w14:textId="77777777" w:rsidR="007123C7" w:rsidRPr="00BE7F9D" w:rsidRDefault="007123C7" w:rsidP="00E82294">
            <w:pPr>
              <w:pStyle w:val="TableText"/>
              <w:jc w:val="right"/>
            </w:pPr>
            <w:r w:rsidRPr="00BE7F9D">
              <w:t>69</w:t>
            </w:r>
          </w:p>
        </w:tc>
        <w:tc>
          <w:tcPr>
            <w:tcW w:w="810" w:type="dxa"/>
          </w:tcPr>
          <w:p w14:paraId="18398A0D" w14:textId="77777777" w:rsidR="007123C7" w:rsidRPr="00BE7F9D" w:rsidRDefault="007123C7" w:rsidP="00E82294">
            <w:pPr>
              <w:pStyle w:val="TableText"/>
              <w:jc w:val="right"/>
            </w:pPr>
            <w:r w:rsidRPr="00BE7F9D">
              <w:t>379</w:t>
            </w:r>
          </w:p>
        </w:tc>
        <w:tc>
          <w:tcPr>
            <w:tcW w:w="1082" w:type="dxa"/>
          </w:tcPr>
          <w:p w14:paraId="7271CC77" w14:textId="77777777" w:rsidR="007123C7" w:rsidRPr="00BE7F9D" w:rsidRDefault="007123C7" w:rsidP="00BF4EFA">
            <w:pPr>
              <w:pStyle w:val="TableText"/>
              <w:jc w:val="right"/>
            </w:pPr>
            <w:r w:rsidRPr="00BE7F9D">
              <w:t>48.1</w:t>
            </w:r>
            <w:r w:rsidR="00BF4EFA">
              <w:br/>
            </w:r>
            <w:r w:rsidRPr="00BE7F9D">
              <w:t>(38.6</w:t>
            </w:r>
            <w:r w:rsidR="00C25326">
              <w:t>, </w:t>
            </w:r>
            <w:r w:rsidRPr="00BE7F9D">
              <w:t>57.7)</w:t>
            </w:r>
          </w:p>
        </w:tc>
        <w:tc>
          <w:tcPr>
            <w:tcW w:w="448" w:type="dxa"/>
          </w:tcPr>
          <w:p w14:paraId="12BDF6D5" w14:textId="77777777" w:rsidR="007123C7" w:rsidRPr="00BE7F9D" w:rsidRDefault="007123C7" w:rsidP="00E82294">
            <w:pPr>
              <w:pStyle w:val="TableText"/>
              <w:jc w:val="right"/>
            </w:pPr>
            <w:r w:rsidRPr="00BE7F9D">
              <w:t>190</w:t>
            </w:r>
          </w:p>
        </w:tc>
        <w:tc>
          <w:tcPr>
            <w:tcW w:w="784" w:type="dxa"/>
          </w:tcPr>
          <w:p w14:paraId="1CB2F7C3" w14:textId="77777777" w:rsidR="007123C7" w:rsidRPr="00BE7F9D" w:rsidRDefault="007123C7" w:rsidP="00E82294">
            <w:pPr>
              <w:pStyle w:val="TableText"/>
              <w:jc w:val="right"/>
            </w:pPr>
            <w:r w:rsidRPr="00BE7F9D">
              <w:t>1028</w:t>
            </w:r>
          </w:p>
        </w:tc>
        <w:tc>
          <w:tcPr>
            <w:tcW w:w="1009" w:type="dxa"/>
          </w:tcPr>
          <w:p w14:paraId="18D7B807" w14:textId="77777777" w:rsidR="007123C7" w:rsidRPr="00BE7F9D" w:rsidRDefault="007123C7" w:rsidP="00E82294">
            <w:pPr>
              <w:pStyle w:val="TableText"/>
              <w:jc w:val="right"/>
            </w:pPr>
            <w:r w:rsidRPr="00BE7F9D">
              <w:t>41.8 (36.0</w:t>
            </w:r>
            <w:r w:rsidR="00C25326">
              <w:t>, </w:t>
            </w:r>
            <w:r w:rsidRPr="00BE7F9D">
              <w:t>47.8)</w:t>
            </w:r>
          </w:p>
        </w:tc>
        <w:tc>
          <w:tcPr>
            <w:tcW w:w="457" w:type="dxa"/>
          </w:tcPr>
          <w:p w14:paraId="26BBA343" w14:textId="77777777" w:rsidR="007123C7" w:rsidRPr="00BE7F9D" w:rsidRDefault="007123C7" w:rsidP="00E82294">
            <w:pPr>
              <w:pStyle w:val="TableText"/>
              <w:jc w:val="right"/>
            </w:pPr>
            <w:r w:rsidRPr="00BE7F9D">
              <w:t>12</w:t>
            </w:r>
          </w:p>
        </w:tc>
        <w:tc>
          <w:tcPr>
            <w:tcW w:w="775" w:type="dxa"/>
          </w:tcPr>
          <w:p w14:paraId="0772F618" w14:textId="77777777" w:rsidR="007123C7" w:rsidRPr="00BE7F9D" w:rsidRDefault="007123C7" w:rsidP="00E82294">
            <w:pPr>
              <w:pStyle w:val="TableText"/>
              <w:jc w:val="right"/>
            </w:pPr>
            <w:r w:rsidRPr="00BE7F9D">
              <w:t>39</w:t>
            </w:r>
          </w:p>
        </w:tc>
        <w:tc>
          <w:tcPr>
            <w:tcW w:w="1009" w:type="dxa"/>
          </w:tcPr>
          <w:p w14:paraId="6057A566" w14:textId="77777777" w:rsidR="007123C7" w:rsidRPr="00BE7F9D" w:rsidRDefault="007123C7" w:rsidP="00E82294">
            <w:pPr>
              <w:pStyle w:val="TableText"/>
              <w:jc w:val="right"/>
            </w:pPr>
            <w:r w:rsidRPr="00BE7F9D">
              <w:t>33.2 (14.6</w:t>
            </w:r>
            <w:r w:rsidR="00C25326">
              <w:t>, </w:t>
            </w:r>
            <w:r w:rsidRPr="00BE7F9D">
              <w:t>59.2)</w:t>
            </w:r>
          </w:p>
        </w:tc>
        <w:tc>
          <w:tcPr>
            <w:tcW w:w="466" w:type="dxa"/>
          </w:tcPr>
          <w:p w14:paraId="1D711A1D" w14:textId="77777777" w:rsidR="007123C7" w:rsidRPr="00BE7F9D" w:rsidRDefault="007123C7" w:rsidP="00E82294">
            <w:pPr>
              <w:pStyle w:val="TableText"/>
              <w:jc w:val="right"/>
            </w:pPr>
            <w:r w:rsidRPr="00BE7F9D">
              <w:t>86</w:t>
            </w:r>
          </w:p>
        </w:tc>
        <w:tc>
          <w:tcPr>
            <w:tcW w:w="766" w:type="dxa"/>
            <w:gridSpan w:val="2"/>
          </w:tcPr>
          <w:p w14:paraId="17039F22" w14:textId="77777777" w:rsidR="007123C7" w:rsidRPr="00BE7F9D" w:rsidRDefault="007123C7" w:rsidP="00E82294">
            <w:pPr>
              <w:pStyle w:val="TableText"/>
              <w:jc w:val="right"/>
            </w:pPr>
            <w:r w:rsidRPr="00BE7F9D">
              <w:t>519</w:t>
            </w:r>
          </w:p>
        </w:tc>
        <w:tc>
          <w:tcPr>
            <w:tcW w:w="1009" w:type="dxa"/>
          </w:tcPr>
          <w:p w14:paraId="00FC919B" w14:textId="77777777" w:rsidR="007123C7" w:rsidRPr="00BE7F9D" w:rsidRDefault="007123C7" w:rsidP="00E82294">
            <w:pPr>
              <w:pStyle w:val="TableText"/>
              <w:jc w:val="right"/>
            </w:pPr>
            <w:r w:rsidRPr="00BE7F9D">
              <w:t>38.9 (20.3</w:t>
            </w:r>
            <w:r w:rsidR="00C25326">
              <w:t>, </w:t>
            </w:r>
            <w:r w:rsidRPr="00BE7F9D">
              <w:t>61.5)</w:t>
            </w:r>
          </w:p>
        </w:tc>
      </w:tr>
      <w:tr w:rsidR="000474A7" w:rsidRPr="00BE7F9D" w14:paraId="08F0F54F" w14:textId="77777777" w:rsidTr="00C25326">
        <w:trPr>
          <w:cnfStyle w:val="000000100000" w:firstRow="0" w:lastRow="0" w:firstColumn="0" w:lastColumn="0" w:oddVBand="0" w:evenVBand="0" w:oddHBand="1" w:evenHBand="0" w:firstRowFirstColumn="0" w:firstRowLastColumn="0" w:lastRowFirstColumn="0" w:lastRowLastColumn="0"/>
          <w:cantSplit/>
        </w:trPr>
        <w:tc>
          <w:tcPr>
            <w:tcW w:w="2365" w:type="dxa"/>
            <w:tcBorders>
              <w:bottom w:val="single" w:sz="4" w:space="0" w:color="000000"/>
            </w:tcBorders>
          </w:tcPr>
          <w:p w14:paraId="35EC8349" w14:textId="77777777" w:rsidR="007123C7" w:rsidRPr="00BE7F9D" w:rsidRDefault="007123C7" w:rsidP="00E82294">
            <w:pPr>
              <w:pStyle w:val="TableText"/>
            </w:pPr>
            <w:r w:rsidRPr="00BE7F9D">
              <w:t>Did not use DVA or At Ease websites</w:t>
            </w:r>
          </w:p>
        </w:tc>
        <w:tc>
          <w:tcPr>
            <w:tcW w:w="540" w:type="dxa"/>
            <w:tcBorders>
              <w:bottom w:val="single" w:sz="4" w:space="0" w:color="000000"/>
            </w:tcBorders>
          </w:tcPr>
          <w:p w14:paraId="4D7548C8" w14:textId="77777777" w:rsidR="007123C7" w:rsidRPr="00BE7F9D" w:rsidRDefault="007123C7" w:rsidP="00E82294">
            <w:pPr>
              <w:pStyle w:val="TableText"/>
              <w:jc w:val="right"/>
            </w:pPr>
            <w:r w:rsidRPr="00BE7F9D">
              <w:t>66</w:t>
            </w:r>
          </w:p>
        </w:tc>
        <w:tc>
          <w:tcPr>
            <w:tcW w:w="810" w:type="dxa"/>
            <w:tcBorders>
              <w:bottom w:val="single" w:sz="4" w:space="0" w:color="000000"/>
            </w:tcBorders>
          </w:tcPr>
          <w:p w14:paraId="27760284" w14:textId="77777777" w:rsidR="007123C7" w:rsidRPr="00BE7F9D" w:rsidRDefault="007123C7" w:rsidP="00E82294">
            <w:pPr>
              <w:pStyle w:val="TableText"/>
              <w:jc w:val="right"/>
            </w:pPr>
            <w:r w:rsidRPr="00BE7F9D">
              <w:t>409</w:t>
            </w:r>
          </w:p>
        </w:tc>
        <w:tc>
          <w:tcPr>
            <w:tcW w:w="1082" w:type="dxa"/>
            <w:tcBorders>
              <w:bottom w:val="single" w:sz="4" w:space="0" w:color="000000"/>
            </w:tcBorders>
          </w:tcPr>
          <w:p w14:paraId="754B3DF8" w14:textId="77777777" w:rsidR="007123C7" w:rsidRPr="00BE7F9D" w:rsidRDefault="007123C7" w:rsidP="00BF4EFA">
            <w:pPr>
              <w:pStyle w:val="TableText"/>
              <w:jc w:val="right"/>
            </w:pPr>
            <w:r w:rsidRPr="00BE7F9D">
              <w:t>51.9</w:t>
            </w:r>
            <w:r w:rsidR="00BF4EFA">
              <w:br/>
            </w:r>
            <w:r w:rsidRPr="00BE7F9D">
              <w:t>(42.3</w:t>
            </w:r>
            <w:r w:rsidR="00C25326">
              <w:t>, </w:t>
            </w:r>
            <w:r w:rsidRPr="00BE7F9D">
              <w:t>61.4)</w:t>
            </w:r>
          </w:p>
        </w:tc>
        <w:tc>
          <w:tcPr>
            <w:tcW w:w="448" w:type="dxa"/>
            <w:tcBorders>
              <w:bottom w:val="single" w:sz="4" w:space="0" w:color="000000"/>
            </w:tcBorders>
          </w:tcPr>
          <w:p w14:paraId="62953FE3" w14:textId="77777777" w:rsidR="007123C7" w:rsidRPr="00BE7F9D" w:rsidRDefault="007123C7" w:rsidP="00E82294">
            <w:pPr>
              <w:pStyle w:val="TableText"/>
              <w:jc w:val="right"/>
            </w:pPr>
            <w:r w:rsidRPr="00BE7F9D">
              <w:t>185</w:t>
            </w:r>
          </w:p>
        </w:tc>
        <w:tc>
          <w:tcPr>
            <w:tcW w:w="784" w:type="dxa"/>
            <w:tcBorders>
              <w:bottom w:val="single" w:sz="4" w:space="0" w:color="000000"/>
            </w:tcBorders>
          </w:tcPr>
          <w:p w14:paraId="12C0DDC8" w14:textId="77777777" w:rsidR="007123C7" w:rsidRPr="00BE7F9D" w:rsidRDefault="007123C7" w:rsidP="00E82294">
            <w:pPr>
              <w:pStyle w:val="TableText"/>
              <w:jc w:val="right"/>
            </w:pPr>
            <w:r w:rsidRPr="00BE7F9D">
              <w:t>1433</w:t>
            </w:r>
          </w:p>
        </w:tc>
        <w:tc>
          <w:tcPr>
            <w:tcW w:w="1009" w:type="dxa"/>
            <w:tcBorders>
              <w:bottom w:val="single" w:sz="4" w:space="0" w:color="000000"/>
            </w:tcBorders>
          </w:tcPr>
          <w:p w14:paraId="0C08EDDE" w14:textId="77777777" w:rsidR="007123C7" w:rsidRPr="00BE7F9D" w:rsidRDefault="007123C7" w:rsidP="00E82294">
            <w:pPr>
              <w:pStyle w:val="TableText"/>
              <w:jc w:val="right"/>
            </w:pPr>
            <w:r w:rsidRPr="00BE7F9D">
              <w:t>58.2 (52.2</w:t>
            </w:r>
            <w:r w:rsidR="00C25326">
              <w:t>, </w:t>
            </w:r>
            <w:r w:rsidRPr="00BE7F9D">
              <w:t>64.0)</w:t>
            </w:r>
          </w:p>
        </w:tc>
        <w:tc>
          <w:tcPr>
            <w:tcW w:w="457" w:type="dxa"/>
            <w:tcBorders>
              <w:bottom w:val="single" w:sz="4" w:space="0" w:color="000000"/>
            </w:tcBorders>
          </w:tcPr>
          <w:p w14:paraId="4D9A1791" w14:textId="77777777" w:rsidR="007123C7" w:rsidRPr="00BE7F9D" w:rsidRDefault="007123C7" w:rsidP="00E82294">
            <w:pPr>
              <w:pStyle w:val="TableText"/>
              <w:jc w:val="right"/>
            </w:pPr>
            <w:r w:rsidRPr="00BE7F9D">
              <w:t>13</w:t>
            </w:r>
          </w:p>
        </w:tc>
        <w:tc>
          <w:tcPr>
            <w:tcW w:w="775" w:type="dxa"/>
            <w:tcBorders>
              <w:bottom w:val="single" w:sz="4" w:space="0" w:color="000000"/>
            </w:tcBorders>
          </w:tcPr>
          <w:p w14:paraId="2B86FF2D" w14:textId="77777777" w:rsidR="007123C7" w:rsidRPr="00BE7F9D" w:rsidRDefault="007123C7" w:rsidP="00E82294">
            <w:pPr>
              <w:pStyle w:val="TableText"/>
              <w:jc w:val="right"/>
            </w:pPr>
            <w:r w:rsidRPr="00BE7F9D">
              <w:t>78</w:t>
            </w:r>
          </w:p>
        </w:tc>
        <w:tc>
          <w:tcPr>
            <w:tcW w:w="1009" w:type="dxa"/>
            <w:tcBorders>
              <w:bottom w:val="single" w:sz="4" w:space="0" w:color="000000"/>
            </w:tcBorders>
          </w:tcPr>
          <w:p w14:paraId="74F83198" w14:textId="77777777" w:rsidR="007123C7" w:rsidRPr="00BE7F9D" w:rsidRDefault="007123C7" w:rsidP="00E82294">
            <w:pPr>
              <w:pStyle w:val="TableText"/>
              <w:jc w:val="right"/>
            </w:pPr>
            <w:r w:rsidRPr="00BE7F9D">
              <w:t>66.8 (40.8</w:t>
            </w:r>
            <w:r w:rsidR="00C25326">
              <w:t>, </w:t>
            </w:r>
            <w:r w:rsidRPr="00BE7F9D">
              <w:t>85.4)</w:t>
            </w:r>
          </w:p>
        </w:tc>
        <w:tc>
          <w:tcPr>
            <w:tcW w:w="466" w:type="dxa"/>
            <w:tcBorders>
              <w:bottom w:val="single" w:sz="4" w:space="0" w:color="000000"/>
            </w:tcBorders>
          </w:tcPr>
          <w:p w14:paraId="709382A9" w14:textId="77777777" w:rsidR="007123C7" w:rsidRPr="00BE7F9D" w:rsidRDefault="007123C7" w:rsidP="00E82294">
            <w:pPr>
              <w:pStyle w:val="TableText"/>
              <w:jc w:val="right"/>
            </w:pPr>
            <w:r w:rsidRPr="00BE7F9D">
              <w:t>118</w:t>
            </w:r>
          </w:p>
        </w:tc>
        <w:tc>
          <w:tcPr>
            <w:tcW w:w="766" w:type="dxa"/>
            <w:gridSpan w:val="2"/>
            <w:tcBorders>
              <w:bottom w:val="single" w:sz="4" w:space="0" w:color="000000"/>
            </w:tcBorders>
          </w:tcPr>
          <w:p w14:paraId="660883B4" w14:textId="77777777" w:rsidR="007123C7" w:rsidRPr="00BE7F9D" w:rsidRDefault="007123C7" w:rsidP="00E82294">
            <w:pPr>
              <w:pStyle w:val="TableText"/>
              <w:jc w:val="right"/>
            </w:pPr>
            <w:r w:rsidRPr="00BE7F9D">
              <w:t>815</w:t>
            </w:r>
          </w:p>
        </w:tc>
        <w:tc>
          <w:tcPr>
            <w:tcW w:w="1009" w:type="dxa"/>
            <w:tcBorders>
              <w:bottom w:val="single" w:sz="4" w:space="0" w:color="000000"/>
            </w:tcBorders>
          </w:tcPr>
          <w:p w14:paraId="6FB18966" w14:textId="77777777" w:rsidR="007123C7" w:rsidRPr="00BE7F9D" w:rsidRDefault="007123C7" w:rsidP="00E82294">
            <w:pPr>
              <w:pStyle w:val="TableText"/>
              <w:jc w:val="right"/>
            </w:pPr>
            <w:r w:rsidRPr="00BE7F9D">
              <w:t>61.1 (38.5</w:t>
            </w:r>
            <w:r w:rsidR="00C25326">
              <w:t>, </w:t>
            </w:r>
            <w:r w:rsidRPr="00BE7F9D">
              <w:t>79.7)</w:t>
            </w:r>
          </w:p>
        </w:tc>
      </w:tr>
      <w:tr w:rsidR="007123C7" w:rsidRPr="000F78B9" w14:paraId="5E0B9F11" w14:textId="77777777" w:rsidTr="00C25326">
        <w:trPr>
          <w:cantSplit/>
        </w:trPr>
        <w:tc>
          <w:tcPr>
            <w:tcW w:w="2365" w:type="dxa"/>
            <w:tcBorders>
              <w:top w:val="single" w:sz="4" w:space="0" w:color="000000"/>
              <w:bottom w:val="nil"/>
            </w:tcBorders>
          </w:tcPr>
          <w:p w14:paraId="1EFF96DE" w14:textId="77777777" w:rsidR="007123C7" w:rsidRPr="009F1163" w:rsidRDefault="007123C7" w:rsidP="00E82294">
            <w:pPr>
              <w:pStyle w:val="TableText"/>
              <w:rPr>
                <w:b/>
                <w:bCs/>
                <w:color w:val="000000" w:themeColor="text1"/>
              </w:rPr>
            </w:pPr>
            <w:r w:rsidRPr="009F1163">
              <w:rPr>
                <w:b/>
              </w:rPr>
              <w:t>Probable anxiety/depression (K10)</w:t>
            </w:r>
          </w:p>
        </w:tc>
        <w:tc>
          <w:tcPr>
            <w:tcW w:w="2432" w:type="dxa"/>
            <w:gridSpan w:val="3"/>
            <w:tcBorders>
              <w:top w:val="single" w:sz="4" w:space="0" w:color="000000"/>
              <w:bottom w:val="nil"/>
            </w:tcBorders>
          </w:tcPr>
          <w:p w14:paraId="4E4B7AD8" w14:textId="77777777" w:rsidR="007123C7" w:rsidRPr="000F78B9" w:rsidRDefault="007123C7" w:rsidP="00E82294">
            <w:pPr>
              <w:pStyle w:val="TableText"/>
              <w:jc w:val="center"/>
            </w:pPr>
            <w:r>
              <w:t>n</w:t>
            </w:r>
            <w:r w:rsidRPr="000F78B9">
              <w:t>=</w:t>
            </w:r>
            <w:r>
              <w:t>301</w:t>
            </w:r>
            <w:r w:rsidRPr="000F78B9">
              <w:t xml:space="preserve"> (Weighted</w:t>
            </w:r>
            <w:r>
              <w:t xml:space="preserve"> n</w:t>
            </w:r>
            <w:r w:rsidRPr="000F78B9">
              <w:t>=</w:t>
            </w:r>
            <w:r>
              <w:t>1877</w:t>
            </w:r>
            <w:r w:rsidRPr="000F78B9">
              <w:t>)</w:t>
            </w:r>
          </w:p>
        </w:tc>
        <w:tc>
          <w:tcPr>
            <w:tcW w:w="2241" w:type="dxa"/>
            <w:gridSpan w:val="3"/>
            <w:tcBorders>
              <w:top w:val="single" w:sz="4" w:space="0" w:color="000000"/>
              <w:bottom w:val="nil"/>
            </w:tcBorders>
          </w:tcPr>
          <w:p w14:paraId="40B49326" w14:textId="77777777" w:rsidR="007123C7" w:rsidRPr="000F78B9" w:rsidRDefault="007123C7" w:rsidP="00E82294">
            <w:pPr>
              <w:pStyle w:val="TableText"/>
              <w:jc w:val="center"/>
            </w:pPr>
            <w:r>
              <w:t>n=678</w:t>
            </w:r>
            <w:r w:rsidRPr="000F78B9">
              <w:t xml:space="preserve"> (Weighted </w:t>
            </w:r>
            <w:r>
              <w:t>n</w:t>
            </w:r>
            <w:r w:rsidRPr="000F78B9">
              <w:t>=</w:t>
            </w:r>
            <w:r>
              <w:t>4983</w:t>
            </w:r>
            <w:r w:rsidRPr="000F78B9">
              <w:t>)</w:t>
            </w:r>
          </w:p>
        </w:tc>
        <w:tc>
          <w:tcPr>
            <w:tcW w:w="2241" w:type="dxa"/>
            <w:gridSpan w:val="3"/>
            <w:tcBorders>
              <w:top w:val="single" w:sz="4" w:space="0" w:color="000000"/>
              <w:bottom w:val="nil"/>
            </w:tcBorders>
          </w:tcPr>
          <w:p w14:paraId="6A7DFB1C" w14:textId="77777777" w:rsidR="007123C7" w:rsidRPr="000F78B9" w:rsidRDefault="007123C7" w:rsidP="00E82294">
            <w:pPr>
              <w:pStyle w:val="TableText"/>
              <w:jc w:val="center"/>
            </w:pPr>
            <w:r>
              <w:t>n</w:t>
            </w:r>
            <w:r w:rsidRPr="000F78B9">
              <w:t>=</w:t>
            </w:r>
            <w:r>
              <w:t>232</w:t>
            </w:r>
            <w:r w:rsidRPr="000F78B9">
              <w:t xml:space="preserve"> (Weighted</w:t>
            </w:r>
            <w:r>
              <w:t xml:space="preserve"> n</w:t>
            </w:r>
            <w:r w:rsidRPr="000F78B9">
              <w:t>=</w:t>
            </w:r>
            <w:r>
              <w:t>2683</w:t>
            </w:r>
            <w:r w:rsidRPr="000F78B9">
              <w:t>)</w:t>
            </w:r>
          </w:p>
        </w:tc>
        <w:tc>
          <w:tcPr>
            <w:tcW w:w="2241" w:type="dxa"/>
            <w:gridSpan w:val="4"/>
            <w:tcBorders>
              <w:top w:val="single" w:sz="4" w:space="0" w:color="000000"/>
              <w:bottom w:val="nil"/>
            </w:tcBorders>
          </w:tcPr>
          <w:p w14:paraId="7E1746FF" w14:textId="77777777" w:rsidR="007123C7" w:rsidRPr="000F78B9" w:rsidRDefault="007123C7" w:rsidP="00E82294">
            <w:pPr>
              <w:pStyle w:val="TableText"/>
              <w:jc w:val="center"/>
            </w:pPr>
            <w:r>
              <w:t>n</w:t>
            </w:r>
            <w:r w:rsidRPr="000F78B9">
              <w:t>=</w:t>
            </w:r>
            <w:r>
              <w:t xml:space="preserve">699 </w:t>
            </w:r>
            <w:r w:rsidRPr="000F78B9">
              <w:t xml:space="preserve">(Weighted </w:t>
            </w:r>
            <w:r>
              <w:t>n</w:t>
            </w:r>
            <w:r w:rsidRPr="000F78B9">
              <w:t>=</w:t>
            </w:r>
            <w:r>
              <w:t>4703</w:t>
            </w:r>
            <w:r w:rsidRPr="000F78B9">
              <w:t>)</w:t>
            </w:r>
          </w:p>
        </w:tc>
      </w:tr>
      <w:tr w:rsidR="000474A7" w:rsidRPr="00BE7F9D" w14:paraId="26349095" w14:textId="77777777" w:rsidTr="00C25326">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nil"/>
            </w:tcBorders>
          </w:tcPr>
          <w:p w14:paraId="7EE247E2" w14:textId="77777777" w:rsidR="007123C7" w:rsidRPr="00BE7F9D" w:rsidRDefault="007123C7" w:rsidP="00E82294">
            <w:pPr>
              <w:pStyle w:val="TableText"/>
            </w:pPr>
            <w:r w:rsidRPr="00BE7F9D">
              <w:t xml:space="preserve">Used DVA or At Ease websites </w:t>
            </w:r>
          </w:p>
        </w:tc>
        <w:tc>
          <w:tcPr>
            <w:tcW w:w="540" w:type="dxa"/>
            <w:tcBorders>
              <w:top w:val="nil"/>
            </w:tcBorders>
          </w:tcPr>
          <w:p w14:paraId="49EC9AD8" w14:textId="77777777" w:rsidR="007123C7" w:rsidRPr="00BE7F9D" w:rsidRDefault="007123C7" w:rsidP="00E82294">
            <w:pPr>
              <w:pStyle w:val="TableText"/>
              <w:jc w:val="right"/>
            </w:pPr>
            <w:r w:rsidRPr="00BE7F9D">
              <w:t>105</w:t>
            </w:r>
          </w:p>
        </w:tc>
        <w:tc>
          <w:tcPr>
            <w:tcW w:w="810" w:type="dxa"/>
            <w:tcBorders>
              <w:top w:val="nil"/>
            </w:tcBorders>
          </w:tcPr>
          <w:p w14:paraId="14FD201F" w14:textId="77777777" w:rsidR="007123C7" w:rsidRPr="00BE7F9D" w:rsidRDefault="007123C7" w:rsidP="00E82294">
            <w:pPr>
              <w:pStyle w:val="TableText"/>
              <w:jc w:val="right"/>
            </w:pPr>
            <w:r w:rsidRPr="00BE7F9D">
              <w:t>592</w:t>
            </w:r>
          </w:p>
        </w:tc>
        <w:tc>
          <w:tcPr>
            <w:tcW w:w="1082" w:type="dxa"/>
            <w:tcBorders>
              <w:top w:val="nil"/>
            </w:tcBorders>
          </w:tcPr>
          <w:p w14:paraId="4DC5FBF5" w14:textId="77777777" w:rsidR="007123C7" w:rsidRPr="00BE7F9D" w:rsidRDefault="007123C7" w:rsidP="00BF4EFA">
            <w:pPr>
              <w:pStyle w:val="TableText"/>
              <w:jc w:val="right"/>
            </w:pPr>
            <w:r w:rsidRPr="00BE7F9D">
              <w:t>31.5</w:t>
            </w:r>
            <w:r w:rsidR="00BF4EFA">
              <w:br/>
            </w:r>
            <w:r w:rsidRPr="00BE7F9D">
              <w:t>(25.9</w:t>
            </w:r>
            <w:r w:rsidR="00C25326">
              <w:t>, </w:t>
            </w:r>
            <w:r w:rsidRPr="00BE7F9D">
              <w:t>37.8)</w:t>
            </w:r>
          </w:p>
        </w:tc>
        <w:tc>
          <w:tcPr>
            <w:tcW w:w="448" w:type="dxa"/>
            <w:tcBorders>
              <w:top w:val="nil"/>
            </w:tcBorders>
          </w:tcPr>
          <w:p w14:paraId="3F5FD6C5" w14:textId="77777777" w:rsidR="007123C7" w:rsidRPr="00BE7F9D" w:rsidRDefault="007123C7" w:rsidP="00E82294">
            <w:pPr>
              <w:pStyle w:val="TableText"/>
              <w:jc w:val="right"/>
            </w:pPr>
            <w:r w:rsidRPr="00BE7F9D">
              <w:t>252</w:t>
            </w:r>
          </w:p>
        </w:tc>
        <w:tc>
          <w:tcPr>
            <w:tcW w:w="784" w:type="dxa"/>
            <w:tcBorders>
              <w:top w:val="nil"/>
            </w:tcBorders>
          </w:tcPr>
          <w:p w14:paraId="5ABF2B91" w14:textId="77777777" w:rsidR="007123C7" w:rsidRPr="00BE7F9D" w:rsidRDefault="007123C7" w:rsidP="00E82294">
            <w:pPr>
              <w:pStyle w:val="TableText"/>
              <w:jc w:val="right"/>
            </w:pPr>
            <w:r w:rsidRPr="00BE7F9D">
              <w:t>1444</w:t>
            </w:r>
          </w:p>
        </w:tc>
        <w:tc>
          <w:tcPr>
            <w:tcW w:w="1009" w:type="dxa"/>
            <w:tcBorders>
              <w:top w:val="nil"/>
            </w:tcBorders>
          </w:tcPr>
          <w:p w14:paraId="72F73802" w14:textId="77777777" w:rsidR="007123C7" w:rsidRPr="00BE7F9D" w:rsidRDefault="007123C7" w:rsidP="00E82294">
            <w:pPr>
              <w:pStyle w:val="TableText"/>
              <w:jc w:val="right"/>
            </w:pPr>
            <w:r w:rsidRPr="00BE7F9D">
              <w:t>29.5 (25.8</w:t>
            </w:r>
            <w:r w:rsidR="00C25326">
              <w:t>, </w:t>
            </w:r>
            <w:r w:rsidRPr="00BE7F9D">
              <w:t>33.6)</w:t>
            </w:r>
          </w:p>
        </w:tc>
        <w:tc>
          <w:tcPr>
            <w:tcW w:w="457" w:type="dxa"/>
            <w:tcBorders>
              <w:top w:val="nil"/>
            </w:tcBorders>
          </w:tcPr>
          <w:p w14:paraId="112C98DE" w14:textId="77777777" w:rsidR="007123C7" w:rsidRPr="00BE7F9D" w:rsidRDefault="007123C7" w:rsidP="00E82294">
            <w:pPr>
              <w:pStyle w:val="TableText"/>
              <w:jc w:val="right"/>
            </w:pPr>
            <w:r w:rsidRPr="00BE7F9D">
              <w:t>42</w:t>
            </w:r>
          </w:p>
        </w:tc>
        <w:tc>
          <w:tcPr>
            <w:tcW w:w="775" w:type="dxa"/>
            <w:tcBorders>
              <w:top w:val="nil"/>
            </w:tcBorders>
          </w:tcPr>
          <w:p w14:paraId="76F1451A" w14:textId="77777777" w:rsidR="007123C7" w:rsidRPr="00BE7F9D" w:rsidRDefault="007123C7" w:rsidP="00E82294">
            <w:pPr>
              <w:pStyle w:val="TableText"/>
              <w:jc w:val="right"/>
            </w:pPr>
            <w:r w:rsidRPr="00BE7F9D">
              <w:t>410</w:t>
            </w:r>
          </w:p>
        </w:tc>
        <w:tc>
          <w:tcPr>
            <w:tcW w:w="1009" w:type="dxa"/>
            <w:tcBorders>
              <w:top w:val="nil"/>
            </w:tcBorders>
          </w:tcPr>
          <w:p w14:paraId="20F4E916" w14:textId="77777777" w:rsidR="007123C7" w:rsidRPr="00BE7F9D" w:rsidRDefault="007123C7" w:rsidP="00E82294">
            <w:pPr>
              <w:pStyle w:val="TableText"/>
              <w:jc w:val="right"/>
            </w:pPr>
            <w:r w:rsidRPr="00BE7F9D">
              <w:t>15.3 (6.1</w:t>
            </w:r>
            <w:r w:rsidR="00C25326">
              <w:t>, </w:t>
            </w:r>
            <w:r w:rsidRPr="00BE7F9D">
              <w:t>33.4)</w:t>
            </w:r>
          </w:p>
        </w:tc>
        <w:tc>
          <w:tcPr>
            <w:tcW w:w="466" w:type="dxa"/>
            <w:tcBorders>
              <w:top w:val="nil"/>
            </w:tcBorders>
          </w:tcPr>
          <w:p w14:paraId="6E9EC788" w14:textId="77777777" w:rsidR="007123C7" w:rsidRPr="00BE7F9D" w:rsidRDefault="007123C7" w:rsidP="00E82294">
            <w:pPr>
              <w:pStyle w:val="TableText"/>
              <w:jc w:val="right"/>
            </w:pPr>
            <w:r w:rsidRPr="00BE7F9D">
              <w:t>183</w:t>
            </w:r>
          </w:p>
        </w:tc>
        <w:tc>
          <w:tcPr>
            <w:tcW w:w="766" w:type="dxa"/>
            <w:gridSpan w:val="2"/>
            <w:tcBorders>
              <w:top w:val="nil"/>
            </w:tcBorders>
          </w:tcPr>
          <w:p w14:paraId="5C59A4BD" w14:textId="77777777" w:rsidR="007123C7" w:rsidRPr="00BE7F9D" w:rsidRDefault="007123C7" w:rsidP="00E82294">
            <w:pPr>
              <w:pStyle w:val="TableText"/>
              <w:jc w:val="right"/>
            </w:pPr>
            <w:r w:rsidRPr="00BE7F9D">
              <w:t>906</w:t>
            </w:r>
          </w:p>
        </w:tc>
        <w:tc>
          <w:tcPr>
            <w:tcW w:w="1009" w:type="dxa"/>
            <w:tcBorders>
              <w:top w:val="nil"/>
            </w:tcBorders>
          </w:tcPr>
          <w:p w14:paraId="7611DC12" w14:textId="77777777" w:rsidR="007123C7" w:rsidRPr="00BE7F9D" w:rsidRDefault="007123C7" w:rsidP="00E82294">
            <w:pPr>
              <w:pStyle w:val="TableText"/>
              <w:jc w:val="right"/>
            </w:pPr>
            <w:r w:rsidRPr="00BE7F9D">
              <w:t>19.3 (12.4</w:t>
            </w:r>
            <w:r w:rsidR="00C25326">
              <w:t>, </w:t>
            </w:r>
            <w:r w:rsidRPr="00BE7F9D">
              <w:t>28.6)</w:t>
            </w:r>
          </w:p>
        </w:tc>
      </w:tr>
      <w:tr w:rsidR="000474A7" w:rsidRPr="00BE7F9D" w14:paraId="148207A6" w14:textId="77777777" w:rsidTr="00C25326">
        <w:trPr>
          <w:cantSplit/>
        </w:trPr>
        <w:tc>
          <w:tcPr>
            <w:tcW w:w="2365" w:type="dxa"/>
            <w:tcBorders>
              <w:bottom w:val="single" w:sz="4" w:space="0" w:color="000000"/>
            </w:tcBorders>
          </w:tcPr>
          <w:p w14:paraId="499B694A" w14:textId="77777777" w:rsidR="007123C7" w:rsidRPr="00BE7F9D" w:rsidRDefault="007123C7" w:rsidP="00E82294">
            <w:pPr>
              <w:pStyle w:val="TableText"/>
            </w:pPr>
            <w:r w:rsidRPr="00BE7F9D">
              <w:t>Did not use DVA or At Ease websites</w:t>
            </w:r>
          </w:p>
        </w:tc>
        <w:tc>
          <w:tcPr>
            <w:tcW w:w="540" w:type="dxa"/>
            <w:tcBorders>
              <w:bottom w:val="single" w:sz="4" w:space="0" w:color="000000"/>
            </w:tcBorders>
          </w:tcPr>
          <w:p w14:paraId="6A230875" w14:textId="77777777" w:rsidR="007123C7" w:rsidRPr="00BE7F9D" w:rsidRDefault="007123C7" w:rsidP="00E82294">
            <w:pPr>
              <w:pStyle w:val="TableText"/>
              <w:jc w:val="right"/>
            </w:pPr>
            <w:r w:rsidRPr="00BE7F9D">
              <w:t>196</w:t>
            </w:r>
          </w:p>
        </w:tc>
        <w:tc>
          <w:tcPr>
            <w:tcW w:w="810" w:type="dxa"/>
            <w:tcBorders>
              <w:bottom w:val="single" w:sz="4" w:space="0" w:color="000000"/>
            </w:tcBorders>
          </w:tcPr>
          <w:p w14:paraId="5D0862C5" w14:textId="77777777" w:rsidR="007123C7" w:rsidRPr="00BE7F9D" w:rsidRDefault="007123C7" w:rsidP="00E82294">
            <w:pPr>
              <w:pStyle w:val="TableText"/>
              <w:jc w:val="right"/>
            </w:pPr>
            <w:r w:rsidRPr="00BE7F9D">
              <w:t>1285</w:t>
            </w:r>
          </w:p>
        </w:tc>
        <w:tc>
          <w:tcPr>
            <w:tcW w:w="1082" w:type="dxa"/>
            <w:tcBorders>
              <w:bottom w:val="single" w:sz="4" w:space="0" w:color="000000"/>
            </w:tcBorders>
          </w:tcPr>
          <w:p w14:paraId="25C1F97B" w14:textId="77777777" w:rsidR="007123C7" w:rsidRPr="00BE7F9D" w:rsidRDefault="007123C7" w:rsidP="00BF4EFA">
            <w:pPr>
              <w:pStyle w:val="TableText"/>
              <w:jc w:val="right"/>
            </w:pPr>
            <w:r w:rsidRPr="00BE7F9D">
              <w:t>68.5</w:t>
            </w:r>
            <w:r w:rsidR="00BF4EFA">
              <w:br/>
            </w:r>
            <w:r w:rsidRPr="00BE7F9D">
              <w:t>(62.2</w:t>
            </w:r>
            <w:r w:rsidR="00C25326">
              <w:t>, </w:t>
            </w:r>
            <w:r w:rsidRPr="00BE7F9D">
              <w:t>74.1)</w:t>
            </w:r>
          </w:p>
        </w:tc>
        <w:tc>
          <w:tcPr>
            <w:tcW w:w="448" w:type="dxa"/>
            <w:tcBorders>
              <w:bottom w:val="single" w:sz="4" w:space="0" w:color="000000"/>
            </w:tcBorders>
          </w:tcPr>
          <w:p w14:paraId="1D8CBC54" w14:textId="77777777" w:rsidR="007123C7" w:rsidRPr="00BE7F9D" w:rsidRDefault="007123C7" w:rsidP="00E82294">
            <w:pPr>
              <w:pStyle w:val="TableText"/>
              <w:jc w:val="right"/>
            </w:pPr>
            <w:r w:rsidRPr="00BE7F9D">
              <w:t>426</w:t>
            </w:r>
          </w:p>
        </w:tc>
        <w:tc>
          <w:tcPr>
            <w:tcW w:w="784" w:type="dxa"/>
            <w:tcBorders>
              <w:bottom w:val="single" w:sz="4" w:space="0" w:color="000000"/>
            </w:tcBorders>
          </w:tcPr>
          <w:p w14:paraId="3B21916C" w14:textId="77777777" w:rsidR="007123C7" w:rsidRPr="00BE7F9D" w:rsidRDefault="007123C7" w:rsidP="00E82294">
            <w:pPr>
              <w:pStyle w:val="TableText"/>
              <w:jc w:val="right"/>
            </w:pPr>
            <w:r w:rsidRPr="00BE7F9D">
              <w:t>3449</w:t>
            </w:r>
          </w:p>
        </w:tc>
        <w:tc>
          <w:tcPr>
            <w:tcW w:w="1009" w:type="dxa"/>
            <w:tcBorders>
              <w:bottom w:val="single" w:sz="4" w:space="0" w:color="000000"/>
            </w:tcBorders>
          </w:tcPr>
          <w:p w14:paraId="11D4AAD6" w14:textId="77777777" w:rsidR="007123C7" w:rsidRPr="00BE7F9D" w:rsidRDefault="007123C7" w:rsidP="00E82294">
            <w:pPr>
              <w:pStyle w:val="TableText"/>
              <w:jc w:val="right"/>
            </w:pPr>
            <w:r w:rsidRPr="00BE7F9D">
              <w:t>70.5 (66.4</w:t>
            </w:r>
            <w:r w:rsidR="00C25326">
              <w:t>, </w:t>
            </w:r>
            <w:r w:rsidRPr="00BE7F9D">
              <w:t>74.2)</w:t>
            </w:r>
          </w:p>
        </w:tc>
        <w:tc>
          <w:tcPr>
            <w:tcW w:w="457" w:type="dxa"/>
            <w:tcBorders>
              <w:bottom w:val="single" w:sz="4" w:space="0" w:color="000000"/>
            </w:tcBorders>
          </w:tcPr>
          <w:p w14:paraId="26AA9BFA" w14:textId="77777777" w:rsidR="007123C7" w:rsidRPr="00BE7F9D" w:rsidRDefault="007123C7" w:rsidP="00E82294">
            <w:pPr>
              <w:pStyle w:val="TableText"/>
              <w:jc w:val="right"/>
            </w:pPr>
            <w:r w:rsidRPr="00BE7F9D">
              <w:t>190</w:t>
            </w:r>
          </w:p>
        </w:tc>
        <w:tc>
          <w:tcPr>
            <w:tcW w:w="775" w:type="dxa"/>
            <w:tcBorders>
              <w:bottom w:val="single" w:sz="4" w:space="0" w:color="000000"/>
            </w:tcBorders>
          </w:tcPr>
          <w:p w14:paraId="7A2E7D30" w14:textId="77777777" w:rsidR="007123C7" w:rsidRPr="00BE7F9D" w:rsidRDefault="007123C7" w:rsidP="00E82294">
            <w:pPr>
              <w:pStyle w:val="TableText"/>
              <w:jc w:val="right"/>
            </w:pPr>
            <w:r w:rsidRPr="00BE7F9D">
              <w:t>2273</w:t>
            </w:r>
          </w:p>
        </w:tc>
        <w:tc>
          <w:tcPr>
            <w:tcW w:w="1009" w:type="dxa"/>
            <w:tcBorders>
              <w:bottom w:val="single" w:sz="4" w:space="0" w:color="000000"/>
            </w:tcBorders>
          </w:tcPr>
          <w:p w14:paraId="6485A38E" w14:textId="77777777" w:rsidR="007123C7" w:rsidRPr="00BE7F9D" w:rsidRDefault="007123C7" w:rsidP="00E82294">
            <w:pPr>
              <w:pStyle w:val="TableText"/>
              <w:jc w:val="right"/>
            </w:pPr>
            <w:r w:rsidRPr="00BE7F9D">
              <w:t>84.7 (66.6</w:t>
            </w:r>
            <w:r w:rsidR="00C25326">
              <w:t>, </w:t>
            </w:r>
            <w:r w:rsidRPr="00BE7F9D">
              <w:t>93.9)</w:t>
            </w:r>
          </w:p>
        </w:tc>
        <w:tc>
          <w:tcPr>
            <w:tcW w:w="466" w:type="dxa"/>
            <w:tcBorders>
              <w:bottom w:val="single" w:sz="4" w:space="0" w:color="000000"/>
            </w:tcBorders>
          </w:tcPr>
          <w:p w14:paraId="75E06802" w14:textId="77777777" w:rsidR="007123C7" w:rsidRPr="00BE7F9D" w:rsidRDefault="007123C7" w:rsidP="00E82294">
            <w:pPr>
              <w:pStyle w:val="TableText"/>
              <w:jc w:val="right"/>
            </w:pPr>
            <w:r w:rsidRPr="00BE7F9D">
              <w:t>516</w:t>
            </w:r>
          </w:p>
        </w:tc>
        <w:tc>
          <w:tcPr>
            <w:tcW w:w="766" w:type="dxa"/>
            <w:gridSpan w:val="2"/>
            <w:tcBorders>
              <w:bottom w:val="single" w:sz="4" w:space="0" w:color="000000"/>
            </w:tcBorders>
          </w:tcPr>
          <w:p w14:paraId="3D03045F" w14:textId="77777777" w:rsidR="007123C7" w:rsidRPr="00BE7F9D" w:rsidRDefault="007123C7" w:rsidP="00E82294">
            <w:pPr>
              <w:pStyle w:val="TableText"/>
              <w:jc w:val="right"/>
            </w:pPr>
            <w:r w:rsidRPr="00BE7F9D">
              <w:t>3798</w:t>
            </w:r>
          </w:p>
        </w:tc>
        <w:tc>
          <w:tcPr>
            <w:tcW w:w="1009" w:type="dxa"/>
            <w:tcBorders>
              <w:bottom w:val="single" w:sz="4" w:space="0" w:color="000000"/>
            </w:tcBorders>
          </w:tcPr>
          <w:p w14:paraId="37CB7CDD" w14:textId="77777777" w:rsidR="007123C7" w:rsidRPr="00BE7F9D" w:rsidRDefault="007123C7" w:rsidP="00E82294">
            <w:pPr>
              <w:pStyle w:val="TableText"/>
              <w:jc w:val="right"/>
            </w:pPr>
            <w:r w:rsidRPr="00BE7F9D">
              <w:t>80.7 (71.4</w:t>
            </w:r>
            <w:r w:rsidR="00C25326">
              <w:t>, </w:t>
            </w:r>
            <w:r w:rsidRPr="00BE7F9D">
              <w:t>87.6)</w:t>
            </w:r>
          </w:p>
        </w:tc>
      </w:tr>
      <w:tr w:rsidR="007123C7" w:rsidRPr="000F78B9" w14:paraId="0D4EB6B5" w14:textId="77777777" w:rsidTr="00C25326">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bottom w:val="nil"/>
            </w:tcBorders>
          </w:tcPr>
          <w:p w14:paraId="5B6C2B38" w14:textId="77777777" w:rsidR="007123C7" w:rsidRPr="009F1163" w:rsidRDefault="007123C7" w:rsidP="00E82294">
            <w:pPr>
              <w:pStyle w:val="TableText"/>
              <w:rPr>
                <w:b/>
                <w:bCs/>
                <w:color w:val="000000" w:themeColor="text1"/>
              </w:rPr>
            </w:pPr>
            <w:r w:rsidRPr="009F1163">
              <w:rPr>
                <w:b/>
              </w:rPr>
              <w:t>Probable alcohol use disorder (AUDIT)</w:t>
            </w:r>
          </w:p>
        </w:tc>
        <w:tc>
          <w:tcPr>
            <w:tcW w:w="2432" w:type="dxa"/>
            <w:gridSpan w:val="3"/>
            <w:tcBorders>
              <w:top w:val="single" w:sz="4" w:space="0" w:color="000000"/>
              <w:bottom w:val="nil"/>
            </w:tcBorders>
          </w:tcPr>
          <w:p w14:paraId="5FC2DADC" w14:textId="77777777" w:rsidR="007123C7" w:rsidRPr="000F78B9" w:rsidRDefault="007123C7" w:rsidP="00E82294">
            <w:pPr>
              <w:pStyle w:val="TableText"/>
              <w:jc w:val="center"/>
            </w:pPr>
            <w:r>
              <w:t>n</w:t>
            </w:r>
            <w:r w:rsidRPr="000F78B9">
              <w:t>=</w:t>
            </w:r>
            <w:r>
              <w:t>69</w:t>
            </w:r>
            <w:r w:rsidRPr="000F78B9">
              <w:t xml:space="preserve"> (Weighted</w:t>
            </w:r>
            <w:r>
              <w:t xml:space="preserve"> n</w:t>
            </w:r>
            <w:r w:rsidRPr="000F78B9">
              <w:t>=</w:t>
            </w:r>
            <w:r>
              <w:t>450</w:t>
            </w:r>
            <w:r w:rsidRPr="000F78B9">
              <w:t>)</w:t>
            </w:r>
          </w:p>
        </w:tc>
        <w:tc>
          <w:tcPr>
            <w:tcW w:w="2241" w:type="dxa"/>
            <w:gridSpan w:val="3"/>
            <w:tcBorders>
              <w:top w:val="single" w:sz="4" w:space="0" w:color="000000"/>
              <w:bottom w:val="nil"/>
            </w:tcBorders>
          </w:tcPr>
          <w:p w14:paraId="515309C1" w14:textId="77777777" w:rsidR="007123C7" w:rsidRPr="000F78B9" w:rsidRDefault="007123C7" w:rsidP="00E82294">
            <w:pPr>
              <w:pStyle w:val="TableText"/>
              <w:jc w:val="center"/>
            </w:pPr>
            <w:r>
              <w:t>n=171</w:t>
            </w:r>
            <w:r w:rsidRPr="000F78B9">
              <w:t xml:space="preserve"> (Weighted </w:t>
            </w:r>
            <w:r>
              <w:t>n</w:t>
            </w:r>
            <w:r w:rsidRPr="000F78B9">
              <w:t>=</w:t>
            </w:r>
            <w:r>
              <w:t>1191</w:t>
            </w:r>
            <w:r w:rsidRPr="000F78B9">
              <w:t>)</w:t>
            </w:r>
          </w:p>
        </w:tc>
        <w:tc>
          <w:tcPr>
            <w:tcW w:w="2241" w:type="dxa"/>
            <w:gridSpan w:val="3"/>
            <w:tcBorders>
              <w:top w:val="single" w:sz="4" w:space="0" w:color="000000"/>
              <w:bottom w:val="nil"/>
            </w:tcBorders>
          </w:tcPr>
          <w:p w14:paraId="79AA172A" w14:textId="77777777" w:rsidR="007123C7" w:rsidRPr="000F78B9" w:rsidRDefault="007123C7" w:rsidP="00E82294">
            <w:pPr>
              <w:pStyle w:val="TableText"/>
              <w:jc w:val="center"/>
            </w:pPr>
            <w:r>
              <w:t>n</w:t>
            </w:r>
            <w:r w:rsidRPr="000F78B9">
              <w:t>=</w:t>
            </w:r>
            <w:r>
              <w:t>15</w:t>
            </w:r>
            <w:r w:rsidRPr="000F78B9">
              <w:t xml:space="preserve"> (Weighted</w:t>
            </w:r>
            <w:r>
              <w:t xml:space="preserve"> n</w:t>
            </w:r>
            <w:r w:rsidRPr="000F78B9">
              <w:t>=</w:t>
            </w:r>
            <w:r>
              <w:t>241</w:t>
            </w:r>
            <w:r w:rsidRPr="000F78B9">
              <w:t>)</w:t>
            </w:r>
          </w:p>
        </w:tc>
        <w:tc>
          <w:tcPr>
            <w:tcW w:w="2241" w:type="dxa"/>
            <w:gridSpan w:val="4"/>
            <w:tcBorders>
              <w:top w:val="single" w:sz="4" w:space="0" w:color="000000"/>
              <w:bottom w:val="nil"/>
            </w:tcBorders>
          </w:tcPr>
          <w:p w14:paraId="0D478F3C" w14:textId="77777777" w:rsidR="007123C7" w:rsidRPr="000F78B9" w:rsidRDefault="007123C7" w:rsidP="00E82294">
            <w:pPr>
              <w:pStyle w:val="TableText"/>
              <w:jc w:val="center"/>
            </w:pPr>
            <w:r>
              <w:t>n</w:t>
            </w:r>
            <w:r w:rsidRPr="000F78B9">
              <w:t>=</w:t>
            </w:r>
            <w:r>
              <w:t xml:space="preserve">70 </w:t>
            </w:r>
            <w:r w:rsidRPr="000F78B9">
              <w:t xml:space="preserve">(Weighted </w:t>
            </w:r>
            <w:r>
              <w:t>n</w:t>
            </w:r>
            <w:r w:rsidRPr="000F78B9">
              <w:t>=</w:t>
            </w:r>
            <w:r>
              <w:t>532</w:t>
            </w:r>
            <w:r w:rsidRPr="000F78B9">
              <w:t>)</w:t>
            </w:r>
          </w:p>
        </w:tc>
      </w:tr>
      <w:tr w:rsidR="000474A7" w:rsidRPr="00BE7F9D" w14:paraId="31045478" w14:textId="77777777" w:rsidTr="00C25326">
        <w:trPr>
          <w:cantSplit/>
        </w:trPr>
        <w:tc>
          <w:tcPr>
            <w:tcW w:w="2365" w:type="dxa"/>
            <w:tcBorders>
              <w:top w:val="nil"/>
            </w:tcBorders>
          </w:tcPr>
          <w:p w14:paraId="1FC4034A" w14:textId="77777777" w:rsidR="007123C7" w:rsidRPr="00BE7F9D" w:rsidRDefault="007123C7" w:rsidP="00E82294">
            <w:pPr>
              <w:pStyle w:val="TableText"/>
            </w:pPr>
            <w:r w:rsidRPr="00BE7F9D">
              <w:t xml:space="preserve">Used DVA or At Ease websites </w:t>
            </w:r>
          </w:p>
        </w:tc>
        <w:tc>
          <w:tcPr>
            <w:tcW w:w="540" w:type="dxa"/>
            <w:tcBorders>
              <w:top w:val="nil"/>
            </w:tcBorders>
          </w:tcPr>
          <w:p w14:paraId="3DBEF6F0" w14:textId="77777777" w:rsidR="007123C7" w:rsidRPr="00BE7F9D" w:rsidRDefault="007123C7" w:rsidP="00E82294">
            <w:pPr>
              <w:pStyle w:val="TableText"/>
              <w:jc w:val="right"/>
            </w:pPr>
            <w:r w:rsidRPr="00BE7F9D">
              <w:t>28</w:t>
            </w:r>
          </w:p>
        </w:tc>
        <w:tc>
          <w:tcPr>
            <w:tcW w:w="810" w:type="dxa"/>
            <w:tcBorders>
              <w:top w:val="nil"/>
            </w:tcBorders>
          </w:tcPr>
          <w:p w14:paraId="621432D9" w14:textId="77777777" w:rsidR="007123C7" w:rsidRPr="00BE7F9D" w:rsidRDefault="007123C7" w:rsidP="00E82294">
            <w:pPr>
              <w:pStyle w:val="TableText"/>
              <w:jc w:val="right"/>
            </w:pPr>
            <w:r w:rsidRPr="00BE7F9D">
              <w:t>175</w:t>
            </w:r>
          </w:p>
        </w:tc>
        <w:tc>
          <w:tcPr>
            <w:tcW w:w="1082" w:type="dxa"/>
            <w:tcBorders>
              <w:top w:val="nil"/>
            </w:tcBorders>
          </w:tcPr>
          <w:p w14:paraId="3BEF8A9F" w14:textId="77777777" w:rsidR="007123C7" w:rsidRPr="00BE7F9D" w:rsidRDefault="007123C7" w:rsidP="00BF4EFA">
            <w:pPr>
              <w:pStyle w:val="TableText"/>
              <w:jc w:val="right"/>
            </w:pPr>
            <w:r w:rsidRPr="00BE7F9D">
              <w:t>38.8</w:t>
            </w:r>
            <w:r w:rsidR="00BF4EFA">
              <w:br/>
            </w:r>
            <w:r w:rsidRPr="00BE7F9D">
              <w:t>(26.2</w:t>
            </w:r>
            <w:r w:rsidR="00C25326">
              <w:t>, </w:t>
            </w:r>
            <w:r w:rsidRPr="00BE7F9D">
              <w:t>53.1)</w:t>
            </w:r>
          </w:p>
        </w:tc>
        <w:tc>
          <w:tcPr>
            <w:tcW w:w="448" w:type="dxa"/>
            <w:tcBorders>
              <w:top w:val="nil"/>
            </w:tcBorders>
          </w:tcPr>
          <w:p w14:paraId="6FA5BCCB" w14:textId="77777777" w:rsidR="007123C7" w:rsidRPr="00BE7F9D" w:rsidRDefault="007123C7" w:rsidP="00E82294">
            <w:pPr>
              <w:pStyle w:val="TableText"/>
              <w:jc w:val="right"/>
            </w:pPr>
            <w:r w:rsidRPr="00BE7F9D">
              <w:t>70</w:t>
            </w:r>
          </w:p>
        </w:tc>
        <w:tc>
          <w:tcPr>
            <w:tcW w:w="784" w:type="dxa"/>
            <w:tcBorders>
              <w:top w:val="nil"/>
            </w:tcBorders>
          </w:tcPr>
          <w:p w14:paraId="44489914" w14:textId="77777777" w:rsidR="007123C7" w:rsidRPr="00BE7F9D" w:rsidRDefault="007123C7" w:rsidP="00E82294">
            <w:pPr>
              <w:pStyle w:val="TableText"/>
              <w:jc w:val="right"/>
            </w:pPr>
            <w:r w:rsidRPr="00BE7F9D">
              <w:t>414</w:t>
            </w:r>
          </w:p>
        </w:tc>
        <w:tc>
          <w:tcPr>
            <w:tcW w:w="1009" w:type="dxa"/>
            <w:tcBorders>
              <w:top w:val="nil"/>
            </w:tcBorders>
          </w:tcPr>
          <w:p w14:paraId="30256C4F" w14:textId="77777777" w:rsidR="007123C7" w:rsidRPr="00BE7F9D" w:rsidRDefault="007123C7" w:rsidP="00E82294">
            <w:pPr>
              <w:pStyle w:val="TableText"/>
              <w:jc w:val="right"/>
            </w:pPr>
            <w:r w:rsidRPr="00BE7F9D">
              <w:t>34.8 (26.9</w:t>
            </w:r>
            <w:r w:rsidR="00C25326">
              <w:t>, </w:t>
            </w:r>
            <w:r w:rsidRPr="00BE7F9D">
              <w:t>43.6)</w:t>
            </w:r>
          </w:p>
        </w:tc>
        <w:tc>
          <w:tcPr>
            <w:tcW w:w="457" w:type="dxa"/>
            <w:tcBorders>
              <w:top w:val="nil"/>
            </w:tcBorders>
          </w:tcPr>
          <w:p w14:paraId="26B8D696" w14:textId="77777777" w:rsidR="007123C7" w:rsidRPr="00BE7F9D" w:rsidRDefault="007123C7" w:rsidP="00E82294">
            <w:pPr>
              <w:pStyle w:val="TableText"/>
              <w:jc w:val="right"/>
            </w:pPr>
            <w:r w:rsidRPr="00BE7F9D">
              <w:t>5</w:t>
            </w:r>
          </w:p>
        </w:tc>
        <w:tc>
          <w:tcPr>
            <w:tcW w:w="775" w:type="dxa"/>
            <w:tcBorders>
              <w:top w:val="nil"/>
            </w:tcBorders>
          </w:tcPr>
          <w:p w14:paraId="1C0D01B3" w14:textId="77777777" w:rsidR="007123C7" w:rsidRPr="00BE7F9D" w:rsidRDefault="007123C7" w:rsidP="00E82294">
            <w:pPr>
              <w:pStyle w:val="TableText"/>
              <w:jc w:val="right"/>
            </w:pPr>
            <w:r w:rsidRPr="00BE7F9D">
              <w:t>208</w:t>
            </w:r>
          </w:p>
        </w:tc>
        <w:tc>
          <w:tcPr>
            <w:tcW w:w="1009" w:type="dxa"/>
            <w:tcBorders>
              <w:top w:val="nil"/>
            </w:tcBorders>
          </w:tcPr>
          <w:p w14:paraId="3A06F543" w14:textId="77777777" w:rsidR="007123C7" w:rsidRPr="00BE7F9D" w:rsidRDefault="007123C7" w:rsidP="00E82294">
            <w:pPr>
              <w:pStyle w:val="TableText"/>
              <w:jc w:val="right"/>
            </w:pPr>
            <w:r w:rsidRPr="00BE7F9D">
              <w:t>86.6 (50.5</w:t>
            </w:r>
            <w:r w:rsidR="00C25326">
              <w:t>, </w:t>
            </w:r>
            <w:r w:rsidRPr="00BE7F9D">
              <w:t>97.6)</w:t>
            </w:r>
          </w:p>
        </w:tc>
        <w:tc>
          <w:tcPr>
            <w:tcW w:w="466" w:type="dxa"/>
            <w:tcBorders>
              <w:top w:val="nil"/>
            </w:tcBorders>
          </w:tcPr>
          <w:p w14:paraId="37FBDEE3" w14:textId="77777777" w:rsidR="007123C7" w:rsidRPr="00BE7F9D" w:rsidRDefault="007123C7" w:rsidP="00E82294">
            <w:pPr>
              <w:pStyle w:val="TableText"/>
              <w:jc w:val="right"/>
            </w:pPr>
            <w:r w:rsidRPr="00BE7F9D">
              <w:t>27</w:t>
            </w:r>
          </w:p>
        </w:tc>
        <w:tc>
          <w:tcPr>
            <w:tcW w:w="766" w:type="dxa"/>
            <w:gridSpan w:val="2"/>
            <w:tcBorders>
              <w:top w:val="nil"/>
            </w:tcBorders>
          </w:tcPr>
          <w:p w14:paraId="54A2723F" w14:textId="77777777" w:rsidR="007123C7" w:rsidRPr="00BE7F9D" w:rsidRDefault="007123C7" w:rsidP="00E82294">
            <w:pPr>
              <w:pStyle w:val="TableText"/>
              <w:jc w:val="right"/>
            </w:pPr>
            <w:r w:rsidRPr="00BE7F9D">
              <w:t>113</w:t>
            </w:r>
          </w:p>
        </w:tc>
        <w:tc>
          <w:tcPr>
            <w:tcW w:w="1009" w:type="dxa"/>
            <w:tcBorders>
              <w:top w:val="nil"/>
            </w:tcBorders>
          </w:tcPr>
          <w:p w14:paraId="7705B52C" w14:textId="77777777" w:rsidR="007123C7" w:rsidRPr="00BE7F9D" w:rsidRDefault="007123C7" w:rsidP="00E82294">
            <w:pPr>
              <w:pStyle w:val="TableText"/>
              <w:jc w:val="right"/>
            </w:pPr>
            <w:r w:rsidRPr="00BE7F9D">
              <w:t>21.3 (6.5</w:t>
            </w:r>
            <w:r w:rsidR="00C25326">
              <w:t>, </w:t>
            </w:r>
            <w:r w:rsidRPr="00BE7F9D">
              <w:t>51.2)</w:t>
            </w:r>
          </w:p>
        </w:tc>
      </w:tr>
      <w:tr w:rsidR="000474A7" w:rsidRPr="00BE7F9D" w14:paraId="3AFE5EAC" w14:textId="77777777" w:rsidTr="00C25326">
        <w:trPr>
          <w:cnfStyle w:val="000000100000" w:firstRow="0" w:lastRow="0" w:firstColumn="0" w:lastColumn="0" w:oddVBand="0" w:evenVBand="0" w:oddHBand="1" w:evenHBand="0" w:firstRowFirstColumn="0" w:firstRowLastColumn="0" w:lastRowFirstColumn="0" w:lastRowLastColumn="0"/>
          <w:cantSplit/>
        </w:trPr>
        <w:tc>
          <w:tcPr>
            <w:tcW w:w="2365" w:type="dxa"/>
            <w:tcBorders>
              <w:bottom w:val="single" w:sz="4" w:space="0" w:color="000000"/>
            </w:tcBorders>
          </w:tcPr>
          <w:p w14:paraId="0E294043" w14:textId="77777777" w:rsidR="007123C7" w:rsidRPr="00BE7F9D" w:rsidRDefault="007123C7" w:rsidP="00E82294">
            <w:pPr>
              <w:pStyle w:val="TableText"/>
            </w:pPr>
            <w:r w:rsidRPr="00BE7F9D">
              <w:t>Did not use DVA or At Ease websites</w:t>
            </w:r>
          </w:p>
        </w:tc>
        <w:tc>
          <w:tcPr>
            <w:tcW w:w="540" w:type="dxa"/>
            <w:tcBorders>
              <w:bottom w:val="single" w:sz="4" w:space="0" w:color="000000"/>
            </w:tcBorders>
          </w:tcPr>
          <w:p w14:paraId="5F92F473" w14:textId="77777777" w:rsidR="007123C7" w:rsidRPr="00BE7F9D" w:rsidRDefault="007123C7" w:rsidP="00E82294">
            <w:pPr>
              <w:pStyle w:val="TableText"/>
              <w:jc w:val="right"/>
            </w:pPr>
            <w:r w:rsidRPr="00BE7F9D">
              <w:t>41</w:t>
            </w:r>
          </w:p>
        </w:tc>
        <w:tc>
          <w:tcPr>
            <w:tcW w:w="810" w:type="dxa"/>
            <w:tcBorders>
              <w:bottom w:val="single" w:sz="4" w:space="0" w:color="000000"/>
            </w:tcBorders>
          </w:tcPr>
          <w:p w14:paraId="23B8BCC4" w14:textId="77777777" w:rsidR="007123C7" w:rsidRPr="00BE7F9D" w:rsidRDefault="007123C7" w:rsidP="00E82294">
            <w:pPr>
              <w:pStyle w:val="TableText"/>
              <w:jc w:val="right"/>
            </w:pPr>
            <w:r w:rsidRPr="00BE7F9D">
              <w:t>276</w:t>
            </w:r>
          </w:p>
        </w:tc>
        <w:tc>
          <w:tcPr>
            <w:tcW w:w="1082" w:type="dxa"/>
            <w:tcBorders>
              <w:bottom w:val="single" w:sz="4" w:space="0" w:color="000000"/>
            </w:tcBorders>
          </w:tcPr>
          <w:p w14:paraId="012E6EA5" w14:textId="77777777" w:rsidR="007123C7" w:rsidRPr="00BE7F9D" w:rsidRDefault="007123C7" w:rsidP="00BF4EFA">
            <w:pPr>
              <w:pStyle w:val="TableText"/>
              <w:jc w:val="right"/>
            </w:pPr>
            <w:r w:rsidRPr="00BE7F9D">
              <w:t>61.2</w:t>
            </w:r>
            <w:r w:rsidR="00BF4EFA">
              <w:br/>
            </w:r>
            <w:r w:rsidRPr="00BE7F9D">
              <w:t>(46.9</w:t>
            </w:r>
            <w:r w:rsidR="00C25326">
              <w:t>, </w:t>
            </w:r>
            <w:r w:rsidRPr="00BE7F9D">
              <w:t>73.8)</w:t>
            </w:r>
          </w:p>
        </w:tc>
        <w:tc>
          <w:tcPr>
            <w:tcW w:w="448" w:type="dxa"/>
            <w:tcBorders>
              <w:bottom w:val="single" w:sz="4" w:space="0" w:color="000000"/>
            </w:tcBorders>
          </w:tcPr>
          <w:p w14:paraId="6D574F55" w14:textId="77777777" w:rsidR="007123C7" w:rsidRPr="00BE7F9D" w:rsidRDefault="007123C7" w:rsidP="00E82294">
            <w:pPr>
              <w:pStyle w:val="TableText"/>
              <w:jc w:val="right"/>
            </w:pPr>
            <w:r w:rsidRPr="00BE7F9D">
              <w:t>101</w:t>
            </w:r>
          </w:p>
        </w:tc>
        <w:tc>
          <w:tcPr>
            <w:tcW w:w="784" w:type="dxa"/>
            <w:tcBorders>
              <w:bottom w:val="single" w:sz="4" w:space="0" w:color="000000"/>
            </w:tcBorders>
          </w:tcPr>
          <w:p w14:paraId="498B7434" w14:textId="77777777" w:rsidR="007123C7" w:rsidRPr="00BE7F9D" w:rsidRDefault="007123C7" w:rsidP="00E82294">
            <w:pPr>
              <w:pStyle w:val="TableText"/>
              <w:jc w:val="right"/>
            </w:pPr>
            <w:r w:rsidRPr="00BE7F9D">
              <w:t>776</w:t>
            </w:r>
          </w:p>
        </w:tc>
        <w:tc>
          <w:tcPr>
            <w:tcW w:w="1009" w:type="dxa"/>
            <w:tcBorders>
              <w:bottom w:val="single" w:sz="4" w:space="0" w:color="000000"/>
            </w:tcBorders>
          </w:tcPr>
          <w:p w14:paraId="05F5CBBB" w14:textId="77777777" w:rsidR="007123C7" w:rsidRPr="00BE7F9D" w:rsidRDefault="007123C7" w:rsidP="00E82294">
            <w:pPr>
              <w:pStyle w:val="TableText"/>
              <w:jc w:val="right"/>
            </w:pPr>
            <w:r w:rsidRPr="00BE7F9D">
              <w:t>65.2 (56.4</w:t>
            </w:r>
            <w:r w:rsidR="00C25326">
              <w:t>, </w:t>
            </w:r>
            <w:r w:rsidRPr="00BE7F9D">
              <w:t>73.1)</w:t>
            </w:r>
          </w:p>
        </w:tc>
        <w:tc>
          <w:tcPr>
            <w:tcW w:w="457" w:type="dxa"/>
            <w:tcBorders>
              <w:bottom w:val="single" w:sz="4" w:space="0" w:color="000000"/>
            </w:tcBorders>
          </w:tcPr>
          <w:p w14:paraId="41957A6F" w14:textId="77777777" w:rsidR="007123C7" w:rsidRPr="00BE7F9D" w:rsidRDefault="007123C7" w:rsidP="00E82294">
            <w:pPr>
              <w:pStyle w:val="TableText"/>
              <w:jc w:val="right"/>
            </w:pPr>
            <w:r w:rsidRPr="00BE7F9D">
              <w:t>10</w:t>
            </w:r>
          </w:p>
        </w:tc>
        <w:tc>
          <w:tcPr>
            <w:tcW w:w="775" w:type="dxa"/>
            <w:tcBorders>
              <w:bottom w:val="single" w:sz="4" w:space="0" w:color="000000"/>
            </w:tcBorders>
          </w:tcPr>
          <w:p w14:paraId="1E86C254" w14:textId="77777777" w:rsidR="007123C7" w:rsidRPr="00BE7F9D" w:rsidRDefault="007123C7" w:rsidP="00E82294">
            <w:pPr>
              <w:pStyle w:val="TableText"/>
              <w:jc w:val="right"/>
            </w:pPr>
            <w:r w:rsidRPr="00BE7F9D">
              <w:t>32</w:t>
            </w:r>
          </w:p>
        </w:tc>
        <w:tc>
          <w:tcPr>
            <w:tcW w:w="1009" w:type="dxa"/>
            <w:tcBorders>
              <w:bottom w:val="single" w:sz="4" w:space="0" w:color="000000"/>
            </w:tcBorders>
          </w:tcPr>
          <w:p w14:paraId="32D9C75D" w14:textId="77777777" w:rsidR="007123C7" w:rsidRPr="00BE7F9D" w:rsidRDefault="007123C7" w:rsidP="00E82294">
            <w:pPr>
              <w:pStyle w:val="TableText"/>
              <w:jc w:val="right"/>
            </w:pPr>
            <w:r w:rsidRPr="00BE7F9D">
              <w:t>13.4 (2.4</w:t>
            </w:r>
            <w:r w:rsidR="00C25326">
              <w:t>, </w:t>
            </w:r>
            <w:r w:rsidRPr="00BE7F9D">
              <w:t>49.5)</w:t>
            </w:r>
          </w:p>
        </w:tc>
        <w:tc>
          <w:tcPr>
            <w:tcW w:w="466" w:type="dxa"/>
            <w:tcBorders>
              <w:bottom w:val="single" w:sz="4" w:space="0" w:color="000000"/>
            </w:tcBorders>
          </w:tcPr>
          <w:p w14:paraId="67C21320" w14:textId="77777777" w:rsidR="007123C7" w:rsidRPr="00BE7F9D" w:rsidRDefault="007123C7" w:rsidP="00E82294">
            <w:pPr>
              <w:pStyle w:val="TableText"/>
              <w:jc w:val="right"/>
            </w:pPr>
            <w:r w:rsidRPr="00BE7F9D">
              <w:t>43</w:t>
            </w:r>
          </w:p>
        </w:tc>
        <w:tc>
          <w:tcPr>
            <w:tcW w:w="766" w:type="dxa"/>
            <w:gridSpan w:val="2"/>
            <w:tcBorders>
              <w:bottom w:val="single" w:sz="4" w:space="0" w:color="000000"/>
            </w:tcBorders>
          </w:tcPr>
          <w:p w14:paraId="1B649263" w14:textId="77777777" w:rsidR="007123C7" w:rsidRPr="00BE7F9D" w:rsidRDefault="007123C7" w:rsidP="00E82294">
            <w:pPr>
              <w:pStyle w:val="TableText"/>
              <w:jc w:val="right"/>
            </w:pPr>
            <w:r w:rsidRPr="00BE7F9D">
              <w:t>419</w:t>
            </w:r>
          </w:p>
        </w:tc>
        <w:tc>
          <w:tcPr>
            <w:tcW w:w="1009" w:type="dxa"/>
            <w:tcBorders>
              <w:bottom w:val="single" w:sz="4" w:space="0" w:color="000000"/>
            </w:tcBorders>
          </w:tcPr>
          <w:p w14:paraId="7C5098AF" w14:textId="77777777" w:rsidR="007123C7" w:rsidRPr="00BE7F9D" w:rsidRDefault="007123C7" w:rsidP="00E82294">
            <w:pPr>
              <w:pStyle w:val="TableText"/>
              <w:jc w:val="right"/>
            </w:pPr>
            <w:r w:rsidRPr="00BE7F9D">
              <w:t>78.7 (48.8</w:t>
            </w:r>
            <w:r w:rsidR="00C25326">
              <w:t>, </w:t>
            </w:r>
            <w:r w:rsidRPr="00BE7F9D">
              <w:t>93.5)</w:t>
            </w:r>
          </w:p>
        </w:tc>
      </w:tr>
      <w:tr w:rsidR="007123C7" w:rsidRPr="000F78B9" w14:paraId="301BD72F" w14:textId="77777777" w:rsidTr="00C25326">
        <w:trPr>
          <w:cantSplit/>
        </w:trPr>
        <w:tc>
          <w:tcPr>
            <w:tcW w:w="2365" w:type="dxa"/>
            <w:tcBorders>
              <w:top w:val="single" w:sz="4" w:space="0" w:color="000000"/>
              <w:bottom w:val="nil"/>
            </w:tcBorders>
          </w:tcPr>
          <w:p w14:paraId="4B82B1F1" w14:textId="77777777" w:rsidR="007123C7" w:rsidRPr="009F1163" w:rsidRDefault="007123C7" w:rsidP="00E82294">
            <w:pPr>
              <w:pStyle w:val="TableText"/>
              <w:rPr>
                <w:b/>
                <w:bCs/>
                <w:color w:val="000000" w:themeColor="text1"/>
              </w:rPr>
            </w:pPr>
            <w:r w:rsidRPr="009F1163">
              <w:rPr>
                <w:b/>
              </w:rPr>
              <w:t>Probable depressive episode (PHQ-9)</w:t>
            </w:r>
          </w:p>
        </w:tc>
        <w:tc>
          <w:tcPr>
            <w:tcW w:w="2432" w:type="dxa"/>
            <w:gridSpan w:val="3"/>
            <w:tcBorders>
              <w:top w:val="single" w:sz="4" w:space="0" w:color="000000"/>
              <w:bottom w:val="nil"/>
            </w:tcBorders>
          </w:tcPr>
          <w:p w14:paraId="6FF15300" w14:textId="77777777" w:rsidR="007123C7" w:rsidRPr="000F78B9" w:rsidRDefault="007123C7" w:rsidP="00E82294">
            <w:pPr>
              <w:pStyle w:val="TableText"/>
              <w:jc w:val="center"/>
            </w:pPr>
            <w:r>
              <w:t>n</w:t>
            </w:r>
            <w:r w:rsidRPr="000F78B9">
              <w:t>=</w:t>
            </w:r>
            <w:r>
              <w:t>141</w:t>
            </w:r>
            <w:r w:rsidRPr="000F78B9">
              <w:t xml:space="preserve"> (Weighted</w:t>
            </w:r>
            <w:r>
              <w:t xml:space="preserve"> n</w:t>
            </w:r>
            <w:r w:rsidRPr="000F78B9">
              <w:t>=</w:t>
            </w:r>
            <w:r>
              <w:t>928</w:t>
            </w:r>
            <w:r w:rsidRPr="000F78B9">
              <w:t>)</w:t>
            </w:r>
          </w:p>
        </w:tc>
        <w:tc>
          <w:tcPr>
            <w:tcW w:w="2241" w:type="dxa"/>
            <w:gridSpan w:val="3"/>
            <w:tcBorders>
              <w:top w:val="single" w:sz="4" w:space="0" w:color="000000"/>
              <w:bottom w:val="nil"/>
            </w:tcBorders>
          </w:tcPr>
          <w:p w14:paraId="180A08C9" w14:textId="77777777" w:rsidR="007123C7" w:rsidRPr="000F78B9" w:rsidRDefault="007123C7" w:rsidP="00E82294">
            <w:pPr>
              <w:pStyle w:val="TableText"/>
              <w:jc w:val="center"/>
            </w:pPr>
            <w:r>
              <w:t>n=354</w:t>
            </w:r>
            <w:r w:rsidRPr="000F78B9">
              <w:t xml:space="preserve"> (Weighted </w:t>
            </w:r>
            <w:r>
              <w:t>n</w:t>
            </w:r>
            <w:r w:rsidRPr="000F78B9">
              <w:t>=</w:t>
            </w:r>
            <w:r>
              <w:t>2410</w:t>
            </w:r>
            <w:r w:rsidRPr="000F78B9">
              <w:t>)</w:t>
            </w:r>
          </w:p>
        </w:tc>
        <w:tc>
          <w:tcPr>
            <w:tcW w:w="2241" w:type="dxa"/>
            <w:gridSpan w:val="3"/>
            <w:tcBorders>
              <w:top w:val="single" w:sz="4" w:space="0" w:color="000000"/>
              <w:bottom w:val="nil"/>
            </w:tcBorders>
          </w:tcPr>
          <w:p w14:paraId="53FFBC25" w14:textId="77777777" w:rsidR="007123C7" w:rsidRPr="000F78B9" w:rsidRDefault="007123C7" w:rsidP="00E82294">
            <w:pPr>
              <w:pStyle w:val="TableText"/>
              <w:jc w:val="center"/>
            </w:pPr>
            <w:r>
              <w:t>n</w:t>
            </w:r>
            <w:r w:rsidRPr="000F78B9">
              <w:t>=</w:t>
            </w:r>
            <w:r>
              <w:t>21</w:t>
            </w:r>
            <w:r w:rsidRPr="000F78B9">
              <w:t xml:space="preserve"> (Weighted</w:t>
            </w:r>
            <w:r>
              <w:t xml:space="preserve"> n</w:t>
            </w:r>
            <w:r w:rsidRPr="000F78B9">
              <w:t>=</w:t>
            </w:r>
            <w:r>
              <w:t>105</w:t>
            </w:r>
            <w:r w:rsidRPr="000F78B9">
              <w:t>)</w:t>
            </w:r>
          </w:p>
        </w:tc>
        <w:tc>
          <w:tcPr>
            <w:tcW w:w="2241" w:type="dxa"/>
            <w:gridSpan w:val="4"/>
            <w:tcBorders>
              <w:top w:val="single" w:sz="4" w:space="0" w:color="000000"/>
              <w:bottom w:val="nil"/>
            </w:tcBorders>
          </w:tcPr>
          <w:p w14:paraId="14E1A8F7" w14:textId="77777777" w:rsidR="007123C7" w:rsidRPr="000F78B9" w:rsidRDefault="007123C7" w:rsidP="00E82294">
            <w:pPr>
              <w:pStyle w:val="TableText"/>
              <w:jc w:val="center"/>
            </w:pPr>
            <w:r>
              <w:t>n</w:t>
            </w:r>
            <w:r w:rsidRPr="000F78B9">
              <w:t>=</w:t>
            </w:r>
            <w:r>
              <w:t xml:space="preserve">229 </w:t>
            </w:r>
            <w:r w:rsidRPr="000F78B9">
              <w:t xml:space="preserve">(Weighted </w:t>
            </w:r>
            <w:r>
              <w:t>n</w:t>
            </w:r>
            <w:r w:rsidRPr="000F78B9">
              <w:t>=</w:t>
            </w:r>
            <w:r>
              <w:t>1689</w:t>
            </w:r>
            <w:r w:rsidRPr="000F78B9">
              <w:t>)</w:t>
            </w:r>
          </w:p>
        </w:tc>
      </w:tr>
      <w:tr w:rsidR="000474A7" w:rsidRPr="00B136B4" w14:paraId="62E4EEBC" w14:textId="77777777" w:rsidTr="00C25326">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nil"/>
            </w:tcBorders>
          </w:tcPr>
          <w:p w14:paraId="371AFC8B" w14:textId="77777777" w:rsidR="007123C7" w:rsidRPr="00B136B4" w:rsidRDefault="007123C7" w:rsidP="00E82294">
            <w:pPr>
              <w:pStyle w:val="TableText"/>
            </w:pPr>
            <w:r w:rsidRPr="00B136B4">
              <w:t xml:space="preserve">Used DVA or At Ease websites </w:t>
            </w:r>
          </w:p>
        </w:tc>
        <w:tc>
          <w:tcPr>
            <w:tcW w:w="540" w:type="dxa"/>
            <w:tcBorders>
              <w:top w:val="nil"/>
            </w:tcBorders>
          </w:tcPr>
          <w:p w14:paraId="21572B80" w14:textId="77777777" w:rsidR="007123C7" w:rsidRPr="00B136B4" w:rsidRDefault="007123C7" w:rsidP="00E82294">
            <w:pPr>
              <w:pStyle w:val="TableText"/>
              <w:jc w:val="right"/>
            </w:pPr>
            <w:r w:rsidRPr="00B136B4">
              <w:t>64</w:t>
            </w:r>
          </w:p>
        </w:tc>
        <w:tc>
          <w:tcPr>
            <w:tcW w:w="810" w:type="dxa"/>
            <w:tcBorders>
              <w:top w:val="nil"/>
            </w:tcBorders>
          </w:tcPr>
          <w:p w14:paraId="282CA086" w14:textId="77777777" w:rsidR="007123C7" w:rsidRPr="00B136B4" w:rsidRDefault="007123C7" w:rsidP="00E82294">
            <w:pPr>
              <w:pStyle w:val="TableText"/>
              <w:jc w:val="right"/>
            </w:pPr>
            <w:r w:rsidRPr="00B136B4">
              <w:t>398</w:t>
            </w:r>
          </w:p>
        </w:tc>
        <w:tc>
          <w:tcPr>
            <w:tcW w:w="1082" w:type="dxa"/>
            <w:tcBorders>
              <w:top w:val="nil"/>
            </w:tcBorders>
          </w:tcPr>
          <w:p w14:paraId="5316F20C" w14:textId="77777777" w:rsidR="007123C7" w:rsidRPr="00B136B4" w:rsidRDefault="007123C7" w:rsidP="00BF4EFA">
            <w:pPr>
              <w:pStyle w:val="TableText"/>
              <w:jc w:val="right"/>
            </w:pPr>
            <w:r w:rsidRPr="00B136B4">
              <w:t>42.9</w:t>
            </w:r>
            <w:r w:rsidR="00BF4EFA">
              <w:br/>
            </w:r>
            <w:r w:rsidRPr="00B136B4">
              <w:t>(33.8</w:t>
            </w:r>
            <w:r w:rsidR="00C25326">
              <w:t>, </w:t>
            </w:r>
            <w:r w:rsidRPr="00B136B4">
              <w:t>52.4)</w:t>
            </w:r>
          </w:p>
        </w:tc>
        <w:tc>
          <w:tcPr>
            <w:tcW w:w="448" w:type="dxa"/>
            <w:tcBorders>
              <w:top w:val="nil"/>
            </w:tcBorders>
          </w:tcPr>
          <w:p w14:paraId="32508722" w14:textId="77777777" w:rsidR="007123C7" w:rsidRPr="00B136B4" w:rsidRDefault="007123C7" w:rsidP="00E82294">
            <w:pPr>
              <w:pStyle w:val="TableText"/>
              <w:jc w:val="right"/>
            </w:pPr>
            <w:r w:rsidRPr="00B136B4">
              <w:t>167</w:t>
            </w:r>
          </w:p>
        </w:tc>
        <w:tc>
          <w:tcPr>
            <w:tcW w:w="784" w:type="dxa"/>
            <w:tcBorders>
              <w:top w:val="nil"/>
            </w:tcBorders>
          </w:tcPr>
          <w:p w14:paraId="565CF5D9" w14:textId="77777777" w:rsidR="007123C7" w:rsidRPr="00B136B4" w:rsidRDefault="007123C7" w:rsidP="00E82294">
            <w:pPr>
              <w:pStyle w:val="TableText"/>
              <w:jc w:val="right"/>
            </w:pPr>
            <w:r w:rsidRPr="00B136B4">
              <w:t>946</w:t>
            </w:r>
          </w:p>
        </w:tc>
        <w:tc>
          <w:tcPr>
            <w:tcW w:w="1009" w:type="dxa"/>
            <w:tcBorders>
              <w:top w:val="nil"/>
            </w:tcBorders>
          </w:tcPr>
          <w:p w14:paraId="47505F25" w14:textId="77777777" w:rsidR="007123C7" w:rsidRPr="00B136B4" w:rsidRDefault="007123C7" w:rsidP="00E82294">
            <w:pPr>
              <w:pStyle w:val="TableText"/>
              <w:jc w:val="right"/>
            </w:pPr>
            <w:r w:rsidRPr="00B136B4">
              <w:t>39.3 (33.5</w:t>
            </w:r>
            <w:r w:rsidR="00C25326">
              <w:t>, </w:t>
            </w:r>
            <w:r w:rsidRPr="00B136B4">
              <w:t>45.3)</w:t>
            </w:r>
          </w:p>
        </w:tc>
        <w:tc>
          <w:tcPr>
            <w:tcW w:w="457" w:type="dxa"/>
            <w:tcBorders>
              <w:top w:val="nil"/>
            </w:tcBorders>
          </w:tcPr>
          <w:p w14:paraId="715EFC0F" w14:textId="77777777" w:rsidR="007123C7" w:rsidRPr="00B136B4" w:rsidRDefault="007123C7" w:rsidP="00E82294">
            <w:pPr>
              <w:pStyle w:val="TableText"/>
              <w:jc w:val="right"/>
            </w:pPr>
            <w:r w:rsidRPr="00B136B4">
              <w:t>8</w:t>
            </w:r>
          </w:p>
        </w:tc>
        <w:tc>
          <w:tcPr>
            <w:tcW w:w="775" w:type="dxa"/>
            <w:tcBorders>
              <w:top w:val="nil"/>
            </w:tcBorders>
          </w:tcPr>
          <w:p w14:paraId="63F8C1AF" w14:textId="77777777" w:rsidR="007123C7" w:rsidRPr="00B136B4" w:rsidRDefault="007123C7" w:rsidP="00E82294">
            <w:pPr>
              <w:pStyle w:val="TableText"/>
              <w:jc w:val="right"/>
            </w:pPr>
            <w:r w:rsidRPr="00B136B4">
              <w:t>45</w:t>
            </w:r>
          </w:p>
        </w:tc>
        <w:tc>
          <w:tcPr>
            <w:tcW w:w="1009" w:type="dxa"/>
            <w:tcBorders>
              <w:top w:val="nil"/>
            </w:tcBorders>
          </w:tcPr>
          <w:p w14:paraId="592B48B0" w14:textId="77777777" w:rsidR="007123C7" w:rsidRPr="00B136B4" w:rsidRDefault="007123C7" w:rsidP="00E82294">
            <w:pPr>
              <w:pStyle w:val="TableText"/>
              <w:jc w:val="right"/>
            </w:pPr>
            <w:r w:rsidRPr="00B136B4">
              <w:t>43.1 (19.5</w:t>
            </w:r>
            <w:r w:rsidR="00C25326">
              <w:t>, </w:t>
            </w:r>
            <w:r w:rsidRPr="00B136B4">
              <w:t>70.3)</w:t>
            </w:r>
          </w:p>
        </w:tc>
        <w:tc>
          <w:tcPr>
            <w:tcW w:w="466" w:type="dxa"/>
            <w:tcBorders>
              <w:top w:val="nil"/>
            </w:tcBorders>
          </w:tcPr>
          <w:p w14:paraId="6C907A47" w14:textId="77777777" w:rsidR="007123C7" w:rsidRPr="00B136B4" w:rsidRDefault="007123C7" w:rsidP="00E82294">
            <w:pPr>
              <w:pStyle w:val="TableText"/>
              <w:jc w:val="right"/>
            </w:pPr>
            <w:r w:rsidRPr="00B136B4">
              <w:t>82</w:t>
            </w:r>
          </w:p>
        </w:tc>
        <w:tc>
          <w:tcPr>
            <w:tcW w:w="766" w:type="dxa"/>
            <w:gridSpan w:val="2"/>
            <w:tcBorders>
              <w:top w:val="nil"/>
            </w:tcBorders>
          </w:tcPr>
          <w:p w14:paraId="7DAFD6AC" w14:textId="77777777" w:rsidR="007123C7" w:rsidRPr="00B136B4" w:rsidRDefault="007123C7" w:rsidP="00E82294">
            <w:pPr>
              <w:pStyle w:val="TableText"/>
              <w:jc w:val="right"/>
            </w:pPr>
            <w:r w:rsidRPr="00B136B4">
              <w:t>375</w:t>
            </w:r>
          </w:p>
        </w:tc>
        <w:tc>
          <w:tcPr>
            <w:tcW w:w="1009" w:type="dxa"/>
            <w:tcBorders>
              <w:top w:val="nil"/>
            </w:tcBorders>
          </w:tcPr>
          <w:p w14:paraId="5DCB7F71" w14:textId="77777777" w:rsidR="007123C7" w:rsidRPr="00B136B4" w:rsidRDefault="007123C7" w:rsidP="00E82294">
            <w:pPr>
              <w:pStyle w:val="TableText"/>
              <w:jc w:val="right"/>
            </w:pPr>
            <w:r w:rsidRPr="00B136B4">
              <w:t>22.2 (11.9</w:t>
            </w:r>
            <w:r w:rsidR="00C25326">
              <w:t>, </w:t>
            </w:r>
            <w:r w:rsidRPr="00B136B4">
              <w:t>37.5)</w:t>
            </w:r>
          </w:p>
        </w:tc>
      </w:tr>
      <w:tr w:rsidR="000474A7" w:rsidRPr="00B136B4" w14:paraId="244ED372" w14:textId="77777777" w:rsidTr="00C25326">
        <w:trPr>
          <w:cantSplit/>
        </w:trPr>
        <w:tc>
          <w:tcPr>
            <w:tcW w:w="2365" w:type="dxa"/>
            <w:tcBorders>
              <w:bottom w:val="single" w:sz="4" w:space="0" w:color="000000"/>
            </w:tcBorders>
          </w:tcPr>
          <w:p w14:paraId="03A79697" w14:textId="77777777" w:rsidR="007123C7" w:rsidRPr="00B136B4" w:rsidRDefault="007123C7" w:rsidP="00C25326">
            <w:pPr>
              <w:pStyle w:val="TableText"/>
              <w:keepNext w:val="0"/>
            </w:pPr>
            <w:r w:rsidRPr="00B136B4">
              <w:t>Did not use DVA or At Ease websites</w:t>
            </w:r>
          </w:p>
        </w:tc>
        <w:tc>
          <w:tcPr>
            <w:tcW w:w="540" w:type="dxa"/>
            <w:tcBorders>
              <w:bottom w:val="single" w:sz="4" w:space="0" w:color="000000"/>
            </w:tcBorders>
          </w:tcPr>
          <w:p w14:paraId="4F48CEBC" w14:textId="77777777" w:rsidR="007123C7" w:rsidRPr="00B136B4" w:rsidRDefault="007123C7" w:rsidP="00C25326">
            <w:pPr>
              <w:pStyle w:val="TableText"/>
              <w:keepNext w:val="0"/>
              <w:jc w:val="right"/>
            </w:pPr>
            <w:r w:rsidRPr="00B136B4">
              <w:t>77</w:t>
            </w:r>
          </w:p>
        </w:tc>
        <w:tc>
          <w:tcPr>
            <w:tcW w:w="810" w:type="dxa"/>
            <w:tcBorders>
              <w:bottom w:val="single" w:sz="4" w:space="0" w:color="000000"/>
            </w:tcBorders>
          </w:tcPr>
          <w:p w14:paraId="372FDEC2" w14:textId="77777777" w:rsidR="007123C7" w:rsidRPr="00B136B4" w:rsidRDefault="007123C7" w:rsidP="00C25326">
            <w:pPr>
              <w:pStyle w:val="TableText"/>
              <w:keepNext w:val="0"/>
              <w:jc w:val="right"/>
            </w:pPr>
            <w:r w:rsidRPr="00B136B4">
              <w:t>530</w:t>
            </w:r>
          </w:p>
        </w:tc>
        <w:tc>
          <w:tcPr>
            <w:tcW w:w="1082" w:type="dxa"/>
            <w:tcBorders>
              <w:bottom w:val="single" w:sz="4" w:space="0" w:color="000000"/>
            </w:tcBorders>
          </w:tcPr>
          <w:p w14:paraId="428197DC" w14:textId="77777777" w:rsidR="007123C7" w:rsidRPr="00B136B4" w:rsidRDefault="007123C7" w:rsidP="00BF4EFA">
            <w:pPr>
              <w:pStyle w:val="TableText"/>
              <w:keepNext w:val="0"/>
              <w:jc w:val="right"/>
            </w:pPr>
            <w:r w:rsidRPr="00B136B4">
              <w:t>57.1</w:t>
            </w:r>
            <w:r w:rsidR="00BF4EFA">
              <w:br/>
            </w:r>
            <w:r w:rsidRPr="00B136B4">
              <w:t>(47.6</w:t>
            </w:r>
            <w:r w:rsidR="00C25326">
              <w:t>, </w:t>
            </w:r>
            <w:r w:rsidRPr="00B136B4">
              <w:t>66.2)</w:t>
            </w:r>
          </w:p>
        </w:tc>
        <w:tc>
          <w:tcPr>
            <w:tcW w:w="448" w:type="dxa"/>
            <w:tcBorders>
              <w:bottom w:val="single" w:sz="4" w:space="0" w:color="000000"/>
            </w:tcBorders>
          </w:tcPr>
          <w:p w14:paraId="00ABB588" w14:textId="77777777" w:rsidR="007123C7" w:rsidRPr="00B136B4" w:rsidRDefault="007123C7" w:rsidP="00C25326">
            <w:pPr>
              <w:pStyle w:val="TableText"/>
              <w:keepNext w:val="0"/>
              <w:jc w:val="right"/>
            </w:pPr>
            <w:r w:rsidRPr="00B136B4">
              <w:t>187</w:t>
            </w:r>
          </w:p>
        </w:tc>
        <w:tc>
          <w:tcPr>
            <w:tcW w:w="784" w:type="dxa"/>
            <w:tcBorders>
              <w:bottom w:val="single" w:sz="4" w:space="0" w:color="000000"/>
            </w:tcBorders>
          </w:tcPr>
          <w:p w14:paraId="565FD761" w14:textId="77777777" w:rsidR="007123C7" w:rsidRPr="00B136B4" w:rsidRDefault="007123C7" w:rsidP="00C25326">
            <w:pPr>
              <w:pStyle w:val="TableText"/>
              <w:keepNext w:val="0"/>
              <w:jc w:val="right"/>
            </w:pPr>
            <w:r w:rsidRPr="00B136B4">
              <w:t>1463</w:t>
            </w:r>
          </w:p>
        </w:tc>
        <w:tc>
          <w:tcPr>
            <w:tcW w:w="1009" w:type="dxa"/>
            <w:tcBorders>
              <w:bottom w:val="single" w:sz="4" w:space="0" w:color="000000"/>
            </w:tcBorders>
          </w:tcPr>
          <w:p w14:paraId="35D68E30" w14:textId="77777777" w:rsidR="007123C7" w:rsidRPr="00B136B4" w:rsidRDefault="007123C7" w:rsidP="00C25326">
            <w:pPr>
              <w:pStyle w:val="TableText"/>
              <w:keepNext w:val="0"/>
              <w:jc w:val="right"/>
            </w:pPr>
            <w:r w:rsidRPr="00B136B4">
              <w:t>60.7 (54.7</w:t>
            </w:r>
            <w:r w:rsidR="00C25326">
              <w:t>, </w:t>
            </w:r>
            <w:r w:rsidRPr="00B136B4">
              <w:t>66.5)</w:t>
            </w:r>
          </w:p>
        </w:tc>
        <w:tc>
          <w:tcPr>
            <w:tcW w:w="457" w:type="dxa"/>
            <w:tcBorders>
              <w:bottom w:val="single" w:sz="4" w:space="0" w:color="000000"/>
            </w:tcBorders>
          </w:tcPr>
          <w:p w14:paraId="0319A69A" w14:textId="77777777" w:rsidR="007123C7" w:rsidRPr="00B136B4" w:rsidRDefault="007123C7" w:rsidP="00C25326">
            <w:pPr>
              <w:pStyle w:val="TableText"/>
              <w:keepNext w:val="0"/>
              <w:jc w:val="right"/>
            </w:pPr>
            <w:r w:rsidRPr="00B136B4">
              <w:t>13</w:t>
            </w:r>
          </w:p>
        </w:tc>
        <w:tc>
          <w:tcPr>
            <w:tcW w:w="775" w:type="dxa"/>
            <w:tcBorders>
              <w:bottom w:val="single" w:sz="4" w:space="0" w:color="000000"/>
            </w:tcBorders>
          </w:tcPr>
          <w:p w14:paraId="0A190949" w14:textId="77777777" w:rsidR="007123C7" w:rsidRPr="00B136B4" w:rsidRDefault="007123C7" w:rsidP="00C25326">
            <w:pPr>
              <w:pStyle w:val="TableText"/>
              <w:keepNext w:val="0"/>
              <w:jc w:val="right"/>
            </w:pPr>
            <w:r w:rsidRPr="00B136B4">
              <w:t>60</w:t>
            </w:r>
          </w:p>
        </w:tc>
        <w:tc>
          <w:tcPr>
            <w:tcW w:w="1009" w:type="dxa"/>
            <w:tcBorders>
              <w:bottom w:val="single" w:sz="4" w:space="0" w:color="000000"/>
            </w:tcBorders>
          </w:tcPr>
          <w:p w14:paraId="7D85F6DB" w14:textId="77777777" w:rsidR="007123C7" w:rsidRPr="00B136B4" w:rsidRDefault="007123C7" w:rsidP="00C25326">
            <w:pPr>
              <w:pStyle w:val="TableText"/>
              <w:keepNext w:val="0"/>
              <w:jc w:val="right"/>
            </w:pPr>
            <w:r w:rsidRPr="00B136B4">
              <w:t>56.9 (29.7</w:t>
            </w:r>
            <w:r w:rsidR="00C25326">
              <w:t>, </w:t>
            </w:r>
            <w:r w:rsidRPr="00B136B4">
              <w:t>80.5)</w:t>
            </w:r>
          </w:p>
        </w:tc>
        <w:tc>
          <w:tcPr>
            <w:tcW w:w="466" w:type="dxa"/>
            <w:tcBorders>
              <w:bottom w:val="single" w:sz="4" w:space="0" w:color="000000"/>
            </w:tcBorders>
          </w:tcPr>
          <w:p w14:paraId="175C2F61" w14:textId="77777777" w:rsidR="007123C7" w:rsidRPr="00B136B4" w:rsidRDefault="007123C7" w:rsidP="00C25326">
            <w:pPr>
              <w:pStyle w:val="TableText"/>
              <w:keepNext w:val="0"/>
              <w:jc w:val="right"/>
            </w:pPr>
            <w:r w:rsidRPr="00B136B4">
              <w:t>147</w:t>
            </w:r>
          </w:p>
        </w:tc>
        <w:tc>
          <w:tcPr>
            <w:tcW w:w="766" w:type="dxa"/>
            <w:gridSpan w:val="2"/>
            <w:tcBorders>
              <w:bottom w:val="single" w:sz="4" w:space="0" w:color="000000"/>
            </w:tcBorders>
          </w:tcPr>
          <w:p w14:paraId="4692624C" w14:textId="77777777" w:rsidR="007123C7" w:rsidRPr="00B136B4" w:rsidRDefault="007123C7" w:rsidP="00C25326">
            <w:pPr>
              <w:pStyle w:val="TableText"/>
              <w:keepNext w:val="0"/>
              <w:jc w:val="right"/>
            </w:pPr>
            <w:r w:rsidRPr="00B136B4">
              <w:t>1314</w:t>
            </w:r>
          </w:p>
        </w:tc>
        <w:tc>
          <w:tcPr>
            <w:tcW w:w="1009" w:type="dxa"/>
            <w:tcBorders>
              <w:bottom w:val="single" w:sz="4" w:space="0" w:color="000000"/>
            </w:tcBorders>
          </w:tcPr>
          <w:p w14:paraId="78D1D114" w14:textId="77777777" w:rsidR="007123C7" w:rsidRPr="00B136B4" w:rsidRDefault="007123C7" w:rsidP="00C25326">
            <w:pPr>
              <w:pStyle w:val="TableText"/>
              <w:keepNext w:val="0"/>
              <w:jc w:val="right"/>
            </w:pPr>
            <w:r w:rsidRPr="00B136B4">
              <w:t>77.8 (62.5</w:t>
            </w:r>
            <w:r w:rsidR="00C25326">
              <w:t>, </w:t>
            </w:r>
            <w:r w:rsidRPr="00B136B4">
              <w:t>88.1)</w:t>
            </w:r>
          </w:p>
        </w:tc>
      </w:tr>
      <w:tr w:rsidR="007123C7" w:rsidRPr="000F78B9" w14:paraId="08C7A795" w14:textId="77777777" w:rsidTr="00C25326">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single" w:sz="4" w:space="0" w:color="000000"/>
              <w:bottom w:val="nil"/>
            </w:tcBorders>
          </w:tcPr>
          <w:p w14:paraId="7F127488" w14:textId="77777777" w:rsidR="007123C7" w:rsidRPr="009F1163" w:rsidRDefault="007123C7" w:rsidP="00E82294">
            <w:pPr>
              <w:pStyle w:val="TableText"/>
              <w:rPr>
                <w:b/>
              </w:rPr>
            </w:pPr>
            <w:r w:rsidRPr="009F1163">
              <w:rPr>
                <w:b/>
              </w:rPr>
              <w:t>Any 12-month suicidal ideation and behaviour</w:t>
            </w:r>
          </w:p>
        </w:tc>
        <w:tc>
          <w:tcPr>
            <w:tcW w:w="2432" w:type="dxa"/>
            <w:gridSpan w:val="3"/>
            <w:tcBorders>
              <w:top w:val="single" w:sz="4" w:space="0" w:color="000000"/>
              <w:bottom w:val="nil"/>
            </w:tcBorders>
          </w:tcPr>
          <w:p w14:paraId="020D877C" w14:textId="77777777" w:rsidR="007123C7" w:rsidRPr="000F78B9" w:rsidRDefault="007123C7" w:rsidP="00E82294">
            <w:pPr>
              <w:pStyle w:val="TableText"/>
              <w:jc w:val="center"/>
            </w:pPr>
            <w:r>
              <w:t>n</w:t>
            </w:r>
            <w:r w:rsidRPr="000F78B9">
              <w:t>=</w:t>
            </w:r>
            <w:r>
              <w:t>325</w:t>
            </w:r>
            <w:r w:rsidRPr="000F78B9">
              <w:t xml:space="preserve"> (Weighted</w:t>
            </w:r>
            <w:r>
              <w:t xml:space="preserve"> n</w:t>
            </w:r>
            <w:r w:rsidRPr="000F78B9">
              <w:t>=</w:t>
            </w:r>
            <w:r>
              <w:t>1970</w:t>
            </w:r>
            <w:r w:rsidRPr="000F78B9">
              <w:t>)</w:t>
            </w:r>
          </w:p>
        </w:tc>
        <w:tc>
          <w:tcPr>
            <w:tcW w:w="2241" w:type="dxa"/>
            <w:gridSpan w:val="3"/>
            <w:tcBorders>
              <w:top w:val="single" w:sz="4" w:space="0" w:color="000000"/>
              <w:bottom w:val="nil"/>
            </w:tcBorders>
          </w:tcPr>
          <w:p w14:paraId="5C13601C" w14:textId="77777777" w:rsidR="007123C7" w:rsidRPr="000F78B9" w:rsidRDefault="007123C7" w:rsidP="00E82294">
            <w:pPr>
              <w:pStyle w:val="TableText"/>
              <w:jc w:val="center"/>
            </w:pPr>
            <w:r>
              <w:t>n=795</w:t>
            </w:r>
            <w:r w:rsidRPr="000F78B9">
              <w:t xml:space="preserve"> (Weighted </w:t>
            </w:r>
            <w:r>
              <w:t>n</w:t>
            </w:r>
            <w:r w:rsidRPr="000F78B9">
              <w:t>=</w:t>
            </w:r>
            <w:r>
              <w:t>5571</w:t>
            </w:r>
            <w:r w:rsidRPr="000F78B9">
              <w:t>)</w:t>
            </w:r>
          </w:p>
        </w:tc>
        <w:tc>
          <w:tcPr>
            <w:tcW w:w="2241" w:type="dxa"/>
            <w:gridSpan w:val="3"/>
            <w:tcBorders>
              <w:top w:val="single" w:sz="4" w:space="0" w:color="000000"/>
              <w:bottom w:val="nil"/>
            </w:tcBorders>
          </w:tcPr>
          <w:p w14:paraId="6E5AF7A0" w14:textId="77777777" w:rsidR="007123C7" w:rsidRPr="000F78B9" w:rsidRDefault="007123C7" w:rsidP="00E82294">
            <w:pPr>
              <w:pStyle w:val="TableText"/>
              <w:jc w:val="center"/>
            </w:pPr>
            <w:r>
              <w:t>n</w:t>
            </w:r>
            <w:r w:rsidRPr="000F78B9">
              <w:t>=</w:t>
            </w:r>
            <w:r>
              <w:t>169</w:t>
            </w:r>
            <w:r w:rsidRPr="000F78B9">
              <w:t xml:space="preserve"> (Weighted</w:t>
            </w:r>
            <w:r>
              <w:t xml:space="preserve"> n</w:t>
            </w:r>
            <w:r w:rsidRPr="000F78B9">
              <w:t>=</w:t>
            </w:r>
            <w:r>
              <w:t>1083</w:t>
            </w:r>
            <w:r w:rsidRPr="000F78B9">
              <w:t>)</w:t>
            </w:r>
          </w:p>
        </w:tc>
        <w:tc>
          <w:tcPr>
            <w:tcW w:w="2241" w:type="dxa"/>
            <w:gridSpan w:val="4"/>
            <w:tcBorders>
              <w:top w:val="single" w:sz="4" w:space="0" w:color="000000"/>
              <w:bottom w:val="nil"/>
            </w:tcBorders>
          </w:tcPr>
          <w:p w14:paraId="32DAA3B8" w14:textId="77777777" w:rsidR="007123C7" w:rsidRPr="000F78B9" w:rsidRDefault="007123C7" w:rsidP="00E82294">
            <w:pPr>
              <w:pStyle w:val="TableText"/>
              <w:jc w:val="center"/>
            </w:pPr>
            <w:r>
              <w:t>n</w:t>
            </w:r>
            <w:r w:rsidRPr="000F78B9">
              <w:t>=</w:t>
            </w:r>
            <w:r>
              <w:t xml:space="preserve">805 </w:t>
            </w:r>
            <w:r w:rsidRPr="000F78B9">
              <w:t xml:space="preserve">(Weighted </w:t>
            </w:r>
            <w:r>
              <w:t>n</w:t>
            </w:r>
            <w:r w:rsidRPr="000F78B9">
              <w:t>=</w:t>
            </w:r>
            <w:r>
              <w:t>6162</w:t>
            </w:r>
            <w:r w:rsidRPr="000F78B9">
              <w:t>)</w:t>
            </w:r>
          </w:p>
        </w:tc>
      </w:tr>
      <w:tr w:rsidR="000474A7" w:rsidRPr="00B136B4" w14:paraId="78FA908D" w14:textId="77777777" w:rsidTr="00C25326">
        <w:trPr>
          <w:cantSplit/>
        </w:trPr>
        <w:tc>
          <w:tcPr>
            <w:tcW w:w="2365" w:type="dxa"/>
            <w:tcBorders>
              <w:top w:val="nil"/>
            </w:tcBorders>
          </w:tcPr>
          <w:p w14:paraId="6E74BB85" w14:textId="77777777" w:rsidR="007123C7" w:rsidRPr="00B136B4" w:rsidRDefault="007123C7" w:rsidP="00E82294">
            <w:pPr>
              <w:pStyle w:val="TableText"/>
            </w:pPr>
            <w:r w:rsidRPr="00B136B4">
              <w:t xml:space="preserve">Used DVA or At Ease websites </w:t>
            </w:r>
          </w:p>
        </w:tc>
        <w:tc>
          <w:tcPr>
            <w:tcW w:w="540" w:type="dxa"/>
            <w:tcBorders>
              <w:top w:val="nil"/>
            </w:tcBorders>
          </w:tcPr>
          <w:p w14:paraId="0F4AC698" w14:textId="77777777" w:rsidR="007123C7" w:rsidRPr="00B136B4" w:rsidRDefault="007123C7" w:rsidP="00E82294">
            <w:pPr>
              <w:pStyle w:val="TableText"/>
              <w:jc w:val="right"/>
            </w:pPr>
            <w:r w:rsidRPr="00B136B4">
              <w:t>109</w:t>
            </w:r>
          </w:p>
        </w:tc>
        <w:tc>
          <w:tcPr>
            <w:tcW w:w="810" w:type="dxa"/>
            <w:tcBorders>
              <w:top w:val="nil"/>
            </w:tcBorders>
          </w:tcPr>
          <w:p w14:paraId="42B170A3" w14:textId="77777777" w:rsidR="007123C7" w:rsidRPr="00B136B4" w:rsidRDefault="007123C7" w:rsidP="00E82294">
            <w:pPr>
              <w:pStyle w:val="TableText"/>
              <w:jc w:val="right"/>
            </w:pPr>
            <w:r w:rsidRPr="00B136B4">
              <w:t>642</w:t>
            </w:r>
          </w:p>
        </w:tc>
        <w:tc>
          <w:tcPr>
            <w:tcW w:w="1082" w:type="dxa"/>
            <w:tcBorders>
              <w:top w:val="nil"/>
            </w:tcBorders>
          </w:tcPr>
          <w:p w14:paraId="2C3AF8A1" w14:textId="77777777" w:rsidR="007123C7" w:rsidRPr="00B136B4" w:rsidRDefault="007123C7" w:rsidP="00BF4EFA">
            <w:pPr>
              <w:pStyle w:val="TableText"/>
              <w:jc w:val="right"/>
            </w:pPr>
            <w:r w:rsidRPr="00B136B4">
              <w:t>32.6</w:t>
            </w:r>
            <w:r w:rsidR="00BF4EFA">
              <w:br/>
            </w:r>
            <w:r w:rsidRPr="00B136B4">
              <w:t>(27.0</w:t>
            </w:r>
            <w:r w:rsidR="00C25326">
              <w:t>, </w:t>
            </w:r>
            <w:r w:rsidRPr="00B136B4">
              <w:t>38.7)</w:t>
            </w:r>
          </w:p>
        </w:tc>
        <w:tc>
          <w:tcPr>
            <w:tcW w:w="448" w:type="dxa"/>
            <w:tcBorders>
              <w:top w:val="nil"/>
            </w:tcBorders>
          </w:tcPr>
          <w:p w14:paraId="6D61030A" w14:textId="77777777" w:rsidR="007123C7" w:rsidRPr="00B136B4" w:rsidRDefault="007123C7" w:rsidP="00E82294">
            <w:pPr>
              <w:pStyle w:val="TableText"/>
              <w:jc w:val="right"/>
            </w:pPr>
            <w:r w:rsidRPr="00B136B4">
              <w:t>293</w:t>
            </w:r>
          </w:p>
        </w:tc>
        <w:tc>
          <w:tcPr>
            <w:tcW w:w="784" w:type="dxa"/>
            <w:tcBorders>
              <w:top w:val="nil"/>
            </w:tcBorders>
          </w:tcPr>
          <w:p w14:paraId="3DBE8C92" w14:textId="77777777" w:rsidR="007123C7" w:rsidRPr="00B136B4" w:rsidRDefault="007123C7" w:rsidP="00E82294">
            <w:pPr>
              <w:pStyle w:val="TableText"/>
              <w:jc w:val="right"/>
            </w:pPr>
            <w:r w:rsidRPr="00B136B4">
              <w:t>1716</w:t>
            </w:r>
          </w:p>
        </w:tc>
        <w:tc>
          <w:tcPr>
            <w:tcW w:w="1009" w:type="dxa"/>
            <w:tcBorders>
              <w:top w:val="nil"/>
            </w:tcBorders>
          </w:tcPr>
          <w:p w14:paraId="52239348" w14:textId="77777777" w:rsidR="007123C7" w:rsidRPr="00B136B4" w:rsidRDefault="007123C7" w:rsidP="00E82294">
            <w:pPr>
              <w:pStyle w:val="TableText"/>
              <w:jc w:val="right"/>
            </w:pPr>
            <w:r w:rsidRPr="00B136B4">
              <w:t>30.8 (27.2</w:t>
            </w:r>
            <w:r w:rsidR="00C25326">
              <w:t>, </w:t>
            </w:r>
            <w:r w:rsidRPr="00B136B4">
              <w:t>34.7)</w:t>
            </w:r>
          </w:p>
        </w:tc>
        <w:tc>
          <w:tcPr>
            <w:tcW w:w="457" w:type="dxa"/>
            <w:tcBorders>
              <w:top w:val="nil"/>
            </w:tcBorders>
          </w:tcPr>
          <w:p w14:paraId="39D60D9E" w14:textId="77777777" w:rsidR="007123C7" w:rsidRPr="00B136B4" w:rsidRDefault="007123C7" w:rsidP="00E82294">
            <w:pPr>
              <w:pStyle w:val="TableText"/>
              <w:jc w:val="right"/>
            </w:pPr>
            <w:r w:rsidRPr="00B136B4">
              <w:t>30</w:t>
            </w:r>
          </w:p>
        </w:tc>
        <w:tc>
          <w:tcPr>
            <w:tcW w:w="775" w:type="dxa"/>
            <w:tcBorders>
              <w:top w:val="nil"/>
            </w:tcBorders>
          </w:tcPr>
          <w:p w14:paraId="63D545C8" w14:textId="77777777" w:rsidR="007123C7" w:rsidRPr="00B136B4" w:rsidRDefault="007123C7" w:rsidP="00E82294">
            <w:pPr>
              <w:pStyle w:val="TableText"/>
              <w:jc w:val="right"/>
            </w:pPr>
            <w:r w:rsidRPr="00B136B4">
              <w:t>114</w:t>
            </w:r>
          </w:p>
        </w:tc>
        <w:tc>
          <w:tcPr>
            <w:tcW w:w="1009" w:type="dxa"/>
            <w:tcBorders>
              <w:top w:val="nil"/>
            </w:tcBorders>
          </w:tcPr>
          <w:p w14:paraId="07E2EC44" w14:textId="77777777" w:rsidR="007123C7" w:rsidRPr="00B136B4" w:rsidRDefault="007123C7" w:rsidP="00E82294">
            <w:pPr>
              <w:pStyle w:val="TableText"/>
              <w:jc w:val="right"/>
            </w:pPr>
            <w:r w:rsidRPr="00B136B4">
              <w:t>10.6 (5.2</w:t>
            </w:r>
            <w:r w:rsidR="00C25326">
              <w:t>, </w:t>
            </w:r>
            <w:r w:rsidRPr="00B136B4">
              <w:t>20.3)</w:t>
            </w:r>
          </w:p>
        </w:tc>
        <w:tc>
          <w:tcPr>
            <w:tcW w:w="556" w:type="dxa"/>
            <w:gridSpan w:val="2"/>
            <w:tcBorders>
              <w:top w:val="nil"/>
            </w:tcBorders>
          </w:tcPr>
          <w:p w14:paraId="278EA1AE" w14:textId="77777777" w:rsidR="007123C7" w:rsidRPr="00B136B4" w:rsidRDefault="007123C7" w:rsidP="00E82294">
            <w:pPr>
              <w:pStyle w:val="TableText"/>
              <w:jc w:val="right"/>
            </w:pPr>
            <w:r w:rsidRPr="00B136B4">
              <w:t>190</w:t>
            </w:r>
          </w:p>
        </w:tc>
        <w:tc>
          <w:tcPr>
            <w:tcW w:w="676" w:type="dxa"/>
            <w:tcBorders>
              <w:top w:val="nil"/>
            </w:tcBorders>
          </w:tcPr>
          <w:p w14:paraId="25DD53CC" w14:textId="77777777" w:rsidR="007123C7" w:rsidRPr="00B136B4" w:rsidRDefault="007123C7" w:rsidP="00E82294">
            <w:pPr>
              <w:pStyle w:val="TableText"/>
              <w:jc w:val="right"/>
            </w:pPr>
            <w:r w:rsidRPr="00B136B4">
              <w:t>1046</w:t>
            </w:r>
          </w:p>
        </w:tc>
        <w:tc>
          <w:tcPr>
            <w:tcW w:w="1009" w:type="dxa"/>
            <w:tcBorders>
              <w:top w:val="nil"/>
            </w:tcBorders>
          </w:tcPr>
          <w:p w14:paraId="36E48CCE" w14:textId="77777777" w:rsidR="007123C7" w:rsidRPr="00B136B4" w:rsidRDefault="007123C7" w:rsidP="00E82294">
            <w:pPr>
              <w:pStyle w:val="TableText"/>
              <w:jc w:val="right"/>
            </w:pPr>
            <w:r w:rsidRPr="00B136B4">
              <w:t>17.0 (11.1</w:t>
            </w:r>
            <w:r w:rsidR="00C25326">
              <w:t>, </w:t>
            </w:r>
            <w:r w:rsidRPr="00B136B4">
              <w:t>25.1)</w:t>
            </w:r>
          </w:p>
        </w:tc>
      </w:tr>
      <w:tr w:rsidR="000474A7" w:rsidRPr="00B136B4" w14:paraId="7B2D6BF3" w14:textId="77777777" w:rsidTr="00BF4EFA">
        <w:trPr>
          <w:cnfStyle w:val="000000100000" w:firstRow="0" w:lastRow="0" w:firstColumn="0" w:lastColumn="0" w:oddVBand="0" w:evenVBand="0" w:oddHBand="1" w:evenHBand="0" w:firstRowFirstColumn="0" w:firstRowLastColumn="0" w:lastRowFirstColumn="0" w:lastRowLastColumn="0"/>
          <w:cantSplit/>
        </w:trPr>
        <w:tc>
          <w:tcPr>
            <w:tcW w:w="2365" w:type="dxa"/>
            <w:tcBorders>
              <w:bottom w:val="single" w:sz="4" w:space="0" w:color="000000"/>
            </w:tcBorders>
          </w:tcPr>
          <w:p w14:paraId="3F8869A2" w14:textId="77777777" w:rsidR="007123C7" w:rsidRPr="00B136B4" w:rsidRDefault="007123C7" w:rsidP="00E82294">
            <w:pPr>
              <w:pStyle w:val="TableText"/>
            </w:pPr>
            <w:r w:rsidRPr="00B136B4">
              <w:t>Did not use DVA or At Ease websites</w:t>
            </w:r>
          </w:p>
        </w:tc>
        <w:tc>
          <w:tcPr>
            <w:tcW w:w="540" w:type="dxa"/>
            <w:tcBorders>
              <w:bottom w:val="single" w:sz="4" w:space="0" w:color="000000"/>
            </w:tcBorders>
          </w:tcPr>
          <w:p w14:paraId="6F4941CB" w14:textId="77777777" w:rsidR="007123C7" w:rsidRPr="00B136B4" w:rsidRDefault="007123C7" w:rsidP="00E82294">
            <w:pPr>
              <w:pStyle w:val="TableText"/>
              <w:jc w:val="right"/>
            </w:pPr>
            <w:r w:rsidRPr="00B136B4">
              <w:t>216</w:t>
            </w:r>
          </w:p>
        </w:tc>
        <w:tc>
          <w:tcPr>
            <w:tcW w:w="810" w:type="dxa"/>
            <w:tcBorders>
              <w:bottom w:val="single" w:sz="4" w:space="0" w:color="000000"/>
            </w:tcBorders>
          </w:tcPr>
          <w:p w14:paraId="686DEFB2" w14:textId="77777777" w:rsidR="007123C7" w:rsidRPr="00B136B4" w:rsidRDefault="007123C7" w:rsidP="00E82294">
            <w:pPr>
              <w:pStyle w:val="TableText"/>
              <w:jc w:val="right"/>
            </w:pPr>
            <w:r w:rsidRPr="00B136B4">
              <w:t>1328</w:t>
            </w:r>
          </w:p>
        </w:tc>
        <w:tc>
          <w:tcPr>
            <w:tcW w:w="1082" w:type="dxa"/>
            <w:tcBorders>
              <w:bottom w:val="single" w:sz="4" w:space="0" w:color="000000"/>
            </w:tcBorders>
          </w:tcPr>
          <w:p w14:paraId="5C916FAE" w14:textId="77777777" w:rsidR="007123C7" w:rsidRPr="00B136B4" w:rsidRDefault="007123C7" w:rsidP="00BF4EFA">
            <w:pPr>
              <w:pStyle w:val="TableText"/>
              <w:jc w:val="right"/>
            </w:pPr>
            <w:r w:rsidRPr="00B136B4">
              <w:t>67.4</w:t>
            </w:r>
            <w:r w:rsidR="00BF4EFA">
              <w:br/>
            </w:r>
            <w:r w:rsidRPr="00B136B4">
              <w:t>(61.3</w:t>
            </w:r>
            <w:r w:rsidR="00C25326">
              <w:t>, </w:t>
            </w:r>
            <w:r w:rsidRPr="00B136B4">
              <w:t>73.0)</w:t>
            </w:r>
          </w:p>
        </w:tc>
        <w:tc>
          <w:tcPr>
            <w:tcW w:w="448" w:type="dxa"/>
            <w:tcBorders>
              <w:bottom w:val="single" w:sz="4" w:space="0" w:color="000000"/>
            </w:tcBorders>
          </w:tcPr>
          <w:p w14:paraId="52765541" w14:textId="77777777" w:rsidR="007123C7" w:rsidRPr="00B136B4" w:rsidRDefault="007123C7" w:rsidP="00E82294">
            <w:pPr>
              <w:pStyle w:val="TableText"/>
              <w:jc w:val="right"/>
            </w:pPr>
            <w:r w:rsidRPr="00B136B4">
              <w:t>502</w:t>
            </w:r>
          </w:p>
        </w:tc>
        <w:tc>
          <w:tcPr>
            <w:tcW w:w="784" w:type="dxa"/>
            <w:tcBorders>
              <w:bottom w:val="single" w:sz="4" w:space="0" w:color="000000"/>
            </w:tcBorders>
          </w:tcPr>
          <w:p w14:paraId="20B17FCC" w14:textId="77777777" w:rsidR="007123C7" w:rsidRPr="00B136B4" w:rsidRDefault="007123C7" w:rsidP="00E82294">
            <w:pPr>
              <w:pStyle w:val="TableText"/>
              <w:jc w:val="right"/>
            </w:pPr>
            <w:r w:rsidRPr="00B136B4">
              <w:t>3855</w:t>
            </w:r>
          </w:p>
        </w:tc>
        <w:tc>
          <w:tcPr>
            <w:tcW w:w="1009" w:type="dxa"/>
            <w:tcBorders>
              <w:bottom w:val="single" w:sz="4" w:space="0" w:color="000000"/>
            </w:tcBorders>
          </w:tcPr>
          <w:p w14:paraId="54807F23" w14:textId="77777777" w:rsidR="007123C7" w:rsidRPr="00B136B4" w:rsidRDefault="007123C7" w:rsidP="00E82294">
            <w:pPr>
              <w:pStyle w:val="TableText"/>
              <w:jc w:val="right"/>
            </w:pPr>
            <w:r w:rsidRPr="00B136B4">
              <w:t>69.2 (65.3</w:t>
            </w:r>
            <w:r w:rsidR="00C25326">
              <w:t>, </w:t>
            </w:r>
            <w:r w:rsidRPr="00B136B4">
              <w:t>72.8)</w:t>
            </w:r>
          </w:p>
        </w:tc>
        <w:tc>
          <w:tcPr>
            <w:tcW w:w="457" w:type="dxa"/>
            <w:tcBorders>
              <w:bottom w:val="single" w:sz="4" w:space="0" w:color="000000"/>
            </w:tcBorders>
          </w:tcPr>
          <w:p w14:paraId="609A4D3C" w14:textId="77777777" w:rsidR="007123C7" w:rsidRPr="00B136B4" w:rsidRDefault="007123C7" w:rsidP="00E82294">
            <w:pPr>
              <w:pStyle w:val="TableText"/>
              <w:jc w:val="right"/>
            </w:pPr>
            <w:r w:rsidRPr="00B136B4">
              <w:t>139</w:t>
            </w:r>
          </w:p>
        </w:tc>
        <w:tc>
          <w:tcPr>
            <w:tcW w:w="775" w:type="dxa"/>
            <w:tcBorders>
              <w:bottom w:val="single" w:sz="4" w:space="0" w:color="000000"/>
            </w:tcBorders>
          </w:tcPr>
          <w:p w14:paraId="1A91E9BD" w14:textId="77777777" w:rsidR="007123C7" w:rsidRPr="00B136B4" w:rsidRDefault="007123C7" w:rsidP="00E82294">
            <w:pPr>
              <w:pStyle w:val="TableText"/>
              <w:jc w:val="right"/>
            </w:pPr>
            <w:r w:rsidRPr="00B136B4">
              <w:t>968</w:t>
            </w:r>
          </w:p>
        </w:tc>
        <w:tc>
          <w:tcPr>
            <w:tcW w:w="1009" w:type="dxa"/>
            <w:tcBorders>
              <w:bottom w:val="single" w:sz="4" w:space="0" w:color="000000"/>
            </w:tcBorders>
          </w:tcPr>
          <w:p w14:paraId="6AC0C38F" w14:textId="77777777" w:rsidR="007123C7" w:rsidRPr="00B136B4" w:rsidRDefault="007123C7" w:rsidP="00E82294">
            <w:pPr>
              <w:pStyle w:val="TableText"/>
              <w:jc w:val="right"/>
            </w:pPr>
            <w:r w:rsidRPr="00B136B4">
              <w:t>89.4 (79.7</w:t>
            </w:r>
            <w:r w:rsidR="00C25326">
              <w:t>, </w:t>
            </w:r>
            <w:r w:rsidRPr="00B136B4">
              <w:t>94.8)</w:t>
            </w:r>
          </w:p>
        </w:tc>
        <w:tc>
          <w:tcPr>
            <w:tcW w:w="556" w:type="dxa"/>
            <w:gridSpan w:val="2"/>
            <w:tcBorders>
              <w:bottom w:val="single" w:sz="4" w:space="0" w:color="000000"/>
            </w:tcBorders>
          </w:tcPr>
          <w:p w14:paraId="001B453B" w14:textId="77777777" w:rsidR="007123C7" w:rsidRPr="00B136B4" w:rsidRDefault="007123C7" w:rsidP="00E82294">
            <w:pPr>
              <w:pStyle w:val="TableText"/>
              <w:jc w:val="right"/>
            </w:pPr>
            <w:r w:rsidRPr="00B136B4">
              <w:t>615</w:t>
            </w:r>
          </w:p>
        </w:tc>
        <w:tc>
          <w:tcPr>
            <w:tcW w:w="676" w:type="dxa"/>
            <w:tcBorders>
              <w:bottom w:val="single" w:sz="4" w:space="0" w:color="000000"/>
            </w:tcBorders>
          </w:tcPr>
          <w:p w14:paraId="313B9AB6" w14:textId="77777777" w:rsidR="007123C7" w:rsidRPr="00B136B4" w:rsidRDefault="007123C7" w:rsidP="00E82294">
            <w:pPr>
              <w:pStyle w:val="TableText"/>
              <w:jc w:val="right"/>
            </w:pPr>
            <w:r w:rsidRPr="00B136B4">
              <w:t>5115</w:t>
            </w:r>
          </w:p>
        </w:tc>
        <w:tc>
          <w:tcPr>
            <w:tcW w:w="1009" w:type="dxa"/>
            <w:tcBorders>
              <w:bottom w:val="single" w:sz="4" w:space="0" w:color="000000"/>
            </w:tcBorders>
          </w:tcPr>
          <w:p w14:paraId="56AB0D63" w14:textId="77777777" w:rsidR="007123C7" w:rsidRPr="00B136B4" w:rsidRDefault="007123C7" w:rsidP="00E82294">
            <w:pPr>
              <w:pStyle w:val="TableText"/>
              <w:jc w:val="right"/>
            </w:pPr>
            <w:r w:rsidRPr="00B136B4">
              <w:t>83.0 (74.9</w:t>
            </w:r>
            <w:r w:rsidR="00C25326">
              <w:t>, </w:t>
            </w:r>
            <w:r w:rsidRPr="00B136B4">
              <w:t>88.9)</w:t>
            </w:r>
          </w:p>
        </w:tc>
      </w:tr>
      <w:tr w:rsidR="007123C7" w:rsidRPr="000F78B9" w14:paraId="64D72AD9" w14:textId="77777777" w:rsidTr="00BF4EFA">
        <w:trPr>
          <w:cantSplit/>
        </w:trPr>
        <w:tc>
          <w:tcPr>
            <w:tcW w:w="2365" w:type="dxa"/>
            <w:tcBorders>
              <w:top w:val="single" w:sz="4" w:space="0" w:color="000000"/>
              <w:bottom w:val="nil"/>
            </w:tcBorders>
          </w:tcPr>
          <w:p w14:paraId="18933314" w14:textId="77777777" w:rsidR="007123C7" w:rsidRPr="009F1163" w:rsidRDefault="007123C7" w:rsidP="00E82294">
            <w:pPr>
              <w:pStyle w:val="TableText"/>
              <w:rPr>
                <w:b/>
                <w:i/>
              </w:rPr>
            </w:pPr>
            <w:r w:rsidRPr="009F1163">
              <w:rPr>
                <w:b/>
              </w:rPr>
              <w:t>Probable generalised anxiety disorder</w:t>
            </w:r>
          </w:p>
        </w:tc>
        <w:tc>
          <w:tcPr>
            <w:tcW w:w="2432" w:type="dxa"/>
            <w:gridSpan w:val="3"/>
            <w:tcBorders>
              <w:top w:val="single" w:sz="4" w:space="0" w:color="000000"/>
              <w:bottom w:val="nil"/>
            </w:tcBorders>
          </w:tcPr>
          <w:p w14:paraId="621B4C06" w14:textId="77777777" w:rsidR="007123C7" w:rsidRPr="000F78B9" w:rsidRDefault="007123C7" w:rsidP="00E82294">
            <w:pPr>
              <w:pStyle w:val="TableText"/>
              <w:jc w:val="center"/>
            </w:pPr>
            <w:r>
              <w:t>n</w:t>
            </w:r>
            <w:r w:rsidRPr="000F78B9">
              <w:t>=</w:t>
            </w:r>
            <w:r>
              <w:t>223</w:t>
            </w:r>
            <w:r w:rsidRPr="000F78B9">
              <w:t xml:space="preserve"> (Weighted</w:t>
            </w:r>
            <w:r>
              <w:t xml:space="preserve"> n</w:t>
            </w:r>
            <w:r w:rsidRPr="000F78B9">
              <w:t>=</w:t>
            </w:r>
            <w:r>
              <w:t>1387</w:t>
            </w:r>
            <w:r w:rsidRPr="000F78B9">
              <w:t>)</w:t>
            </w:r>
          </w:p>
        </w:tc>
        <w:tc>
          <w:tcPr>
            <w:tcW w:w="2241" w:type="dxa"/>
            <w:gridSpan w:val="3"/>
            <w:tcBorders>
              <w:top w:val="single" w:sz="4" w:space="0" w:color="000000"/>
              <w:bottom w:val="nil"/>
            </w:tcBorders>
          </w:tcPr>
          <w:p w14:paraId="4C406024" w14:textId="77777777" w:rsidR="007123C7" w:rsidRPr="000F78B9" w:rsidRDefault="007123C7" w:rsidP="00E82294">
            <w:pPr>
              <w:pStyle w:val="TableText"/>
              <w:jc w:val="center"/>
            </w:pPr>
            <w:r>
              <w:t>n=589</w:t>
            </w:r>
            <w:r w:rsidRPr="000F78B9">
              <w:t xml:space="preserve"> (Weighted </w:t>
            </w:r>
            <w:r>
              <w:t>n</w:t>
            </w:r>
            <w:r w:rsidRPr="000F78B9">
              <w:t>=</w:t>
            </w:r>
            <w:r>
              <w:t>4182</w:t>
            </w:r>
            <w:r w:rsidRPr="000F78B9">
              <w:t>)</w:t>
            </w:r>
          </w:p>
        </w:tc>
        <w:tc>
          <w:tcPr>
            <w:tcW w:w="2241" w:type="dxa"/>
            <w:gridSpan w:val="3"/>
            <w:tcBorders>
              <w:top w:val="single" w:sz="4" w:space="0" w:color="000000"/>
              <w:bottom w:val="nil"/>
            </w:tcBorders>
          </w:tcPr>
          <w:p w14:paraId="5CB51660" w14:textId="77777777" w:rsidR="007123C7" w:rsidRPr="000F78B9" w:rsidRDefault="007123C7" w:rsidP="00E82294">
            <w:pPr>
              <w:pStyle w:val="TableText"/>
              <w:jc w:val="center"/>
            </w:pPr>
            <w:r>
              <w:t>n</w:t>
            </w:r>
            <w:r w:rsidRPr="000F78B9">
              <w:t>=</w:t>
            </w:r>
            <w:r>
              <w:t>74</w:t>
            </w:r>
            <w:r w:rsidRPr="000F78B9">
              <w:t xml:space="preserve"> (Weighted</w:t>
            </w:r>
            <w:r>
              <w:t xml:space="preserve"> n</w:t>
            </w:r>
            <w:r w:rsidRPr="000F78B9">
              <w:t>=</w:t>
            </w:r>
            <w:r>
              <w:t>831</w:t>
            </w:r>
            <w:r w:rsidRPr="000F78B9">
              <w:t>)</w:t>
            </w:r>
          </w:p>
        </w:tc>
        <w:tc>
          <w:tcPr>
            <w:tcW w:w="2241" w:type="dxa"/>
            <w:gridSpan w:val="4"/>
            <w:tcBorders>
              <w:top w:val="single" w:sz="4" w:space="0" w:color="000000"/>
              <w:bottom w:val="nil"/>
            </w:tcBorders>
          </w:tcPr>
          <w:p w14:paraId="2A283DCA" w14:textId="77777777" w:rsidR="007123C7" w:rsidRPr="000F78B9" w:rsidRDefault="007123C7" w:rsidP="00E82294">
            <w:pPr>
              <w:pStyle w:val="TableText"/>
              <w:jc w:val="center"/>
            </w:pPr>
            <w:r>
              <w:t>n</w:t>
            </w:r>
            <w:r w:rsidRPr="000F78B9">
              <w:t>=</w:t>
            </w:r>
            <w:r>
              <w:t xml:space="preserve">552 </w:t>
            </w:r>
            <w:r w:rsidRPr="000F78B9">
              <w:t xml:space="preserve">(Weighted </w:t>
            </w:r>
            <w:r>
              <w:t>n</w:t>
            </w:r>
            <w:r w:rsidRPr="000F78B9">
              <w:t>=</w:t>
            </w:r>
            <w:r>
              <w:t>3822</w:t>
            </w:r>
            <w:r w:rsidRPr="000F78B9">
              <w:t>)</w:t>
            </w:r>
          </w:p>
        </w:tc>
      </w:tr>
      <w:tr w:rsidR="000474A7" w:rsidRPr="00B136B4" w14:paraId="2398BE59" w14:textId="77777777" w:rsidTr="00BF4EFA">
        <w:trPr>
          <w:cnfStyle w:val="000000100000" w:firstRow="0" w:lastRow="0" w:firstColumn="0" w:lastColumn="0" w:oddVBand="0" w:evenVBand="0" w:oddHBand="1" w:evenHBand="0" w:firstRowFirstColumn="0" w:firstRowLastColumn="0" w:lastRowFirstColumn="0" w:lastRowLastColumn="0"/>
          <w:cantSplit/>
        </w:trPr>
        <w:tc>
          <w:tcPr>
            <w:tcW w:w="2365" w:type="dxa"/>
            <w:tcBorders>
              <w:top w:val="nil"/>
            </w:tcBorders>
          </w:tcPr>
          <w:p w14:paraId="2D93B713" w14:textId="77777777" w:rsidR="007123C7" w:rsidRPr="00B136B4" w:rsidRDefault="007123C7" w:rsidP="00E82294">
            <w:pPr>
              <w:pStyle w:val="TableText"/>
            </w:pPr>
            <w:r w:rsidRPr="00B136B4">
              <w:t xml:space="preserve">Used DVA or At Ease websites </w:t>
            </w:r>
          </w:p>
        </w:tc>
        <w:tc>
          <w:tcPr>
            <w:tcW w:w="540" w:type="dxa"/>
            <w:tcBorders>
              <w:top w:val="nil"/>
            </w:tcBorders>
          </w:tcPr>
          <w:p w14:paraId="16E3317E" w14:textId="77777777" w:rsidR="007123C7" w:rsidRPr="00B136B4" w:rsidRDefault="007123C7" w:rsidP="00E82294">
            <w:pPr>
              <w:pStyle w:val="TableText"/>
              <w:jc w:val="right"/>
            </w:pPr>
            <w:r w:rsidRPr="00B136B4">
              <w:t>96</w:t>
            </w:r>
          </w:p>
        </w:tc>
        <w:tc>
          <w:tcPr>
            <w:tcW w:w="810" w:type="dxa"/>
            <w:tcBorders>
              <w:top w:val="nil"/>
            </w:tcBorders>
          </w:tcPr>
          <w:p w14:paraId="24EE5D3B" w14:textId="77777777" w:rsidR="007123C7" w:rsidRPr="00B136B4" w:rsidRDefault="007123C7" w:rsidP="00E82294">
            <w:pPr>
              <w:pStyle w:val="TableText"/>
              <w:jc w:val="right"/>
            </w:pPr>
            <w:r w:rsidRPr="00B136B4">
              <w:t>557</w:t>
            </w:r>
          </w:p>
        </w:tc>
        <w:tc>
          <w:tcPr>
            <w:tcW w:w="1082" w:type="dxa"/>
            <w:tcBorders>
              <w:top w:val="nil"/>
            </w:tcBorders>
          </w:tcPr>
          <w:p w14:paraId="677B6B96" w14:textId="77777777" w:rsidR="007123C7" w:rsidRPr="00B136B4" w:rsidRDefault="007123C7" w:rsidP="00BF4EFA">
            <w:pPr>
              <w:pStyle w:val="TableText"/>
              <w:jc w:val="right"/>
            </w:pPr>
            <w:r w:rsidRPr="00B136B4">
              <w:t>40.1</w:t>
            </w:r>
            <w:r w:rsidR="00BF4EFA">
              <w:br/>
            </w:r>
            <w:r w:rsidRPr="00B136B4">
              <w:t>(33.0</w:t>
            </w:r>
            <w:r w:rsidR="00C25326">
              <w:t>, </w:t>
            </w:r>
            <w:r w:rsidRPr="00B136B4">
              <w:t>47.7)</w:t>
            </w:r>
          </w:p>
        </w:tc>
        <w:tc>
          <w:tcPr>
            <w:tcW w:w="448" w:type="dxa"/>
            <w:tcBorders>
              <w:top w:val="nil"/>
            </w:tcBorders>
          </w:tcPr>
          <w:p w14:paraId="04DB3A74" w14:textId="77777777" w:rsidR="007123C7" w:rsidRPr="00B136B4" w:rsidRDefault="007123C7" w:rsidP="00E82294">
            <w:pPr>
              <w:pStyle w:val="TableText"/>
              <w:jc w:val="right"/>
            </w:pPr>
            <w:r w:rsidRPr="00B136B4">
              <w:t>254</w:t>
            </w:r>
          </w:p>
        </w:tc>
        <w:tc>
          <w:tcPr>
            <w:tcW w:w="784" w:type="dxa"/>
            <w:tcBorders>
              <w:top w:val="nil"/>
            </w:tcBorders>
          </w:tcPr>
          <w:p w14:paraId="695E2943" w14:textId="77777777" w:rsidR="007123C7" w:rsidRPr="00B136B4" w:rsidRDefault="007123C7" w:rsidP="00E82294">
            <w:pPr>
              <w:pStyle w:val="TableText"/>
              <w:jc w:val="right"/>
            </w:pPr>
            <w:r w:rsidRPr="00B136B4">
              <w:t>1441</w:t>
            </w:r>
          </w:p>
        </w:tc>
        <w:tc>
          <w:tcPr>
            <w:tcW w:w="1009" w:type="dxa"/>
            <w:tcBorders>
              <w:top w:val="nil"/>
            </w:tcBorders>
          </w:tcPr>
          <w:p w14:paraId="5C61E739" w14:textId="77777777" w:rsidR="007123C7" w:rsidRPr="00B136B4" w:rsidRDefault="007123C7" w:rsidP="00E82294">
            <w:pPr>
              <w:pStyle w:val="TableText"/>
              <w:jc w:val="right"/>
            </w:pPr>
            <w:r w:rsidRPr="00B136B4">
              <w:t>34.5 (30.2</w:t>
            </w:r>
            <w:r w:rsidR="00C25326">
              <w:t>, </w:t>
            </w:r>
            <w:r w:rsidRPr="00B136B4">
              <w:t>39.0)</w:t>
            </w:r>
          </w:p>
        </w:tc>
        <w:tc>
          <w:tcPr>
            <w:tcW w:w="457" w:type="dxa"/>
            <w:tcBorders>
              <w:top w:val="nil"/>
            </w:tcBorders>
          </w:tcPr>
          <w:p w14:paraId="32F06786" w14:textId="77777777" w:rsidR="007123C7" w:rsidRPr="00B136B4" w:rsidRDefault="007123C7" w:rsidP="00E82294">
            <w:pPr>
              <w:pStyle w:val="TableText"/>
              <w:jc w:val="right"/>
            </w:pPr>
            <w:r w:rsidRPr="00B136B4">
              <w:t>26</w:t>
            </w:r>
          </w:p>
        </w:tc>
        <w:tc>
          <w:tcPr>
            <w:tcW w:w="775" w:type="dxa"/>
            <w:tcBorders>
              <w:top w:val="nil"/>
            </w:tcBorders>
          </w:tcPr>
          <w:p w14:paraId="4BC05626" w14:textId="77777777" w:rsidR="007123C7" w:rsidRPr="00B136B4" w:rsidRDefault="007123C7" w:rsidP="00E82294">
            <w:pPr>
              <w:pStyle w:val="TableText"/>
              <w:jc w:val="right"/>
            </w:pPr>
            <w:r w:rsidRPr="00B136B4">
              <w:t>314</w:t>
            </w:r>
          </w:p>
        </w:tc>
        <w:tc>
          <w:tcPr>
            <w:tcW w:w="1009" w:type="dxa"/>
            <w:tcBorders>
              <w:top w:val="nil"/>
            </w:tcBorders>
          </w:tcPr>
          <w:p w14:paraId="2CB5BACF" w14:textId="77777777" w:rsidR="007123C7" w:rsidRPr="00B136B4" w:rsidRDefault="007123C7" w:rsidP="00E82294">
            <w:pPr>
              <w:pStyle w:val="TableText"/>
              <w:jc w:val="right"/>
            </w:pPr>
            <w:r w:rsidRPr="00B136B4">
              <w:t>37.8 (11.2</w:t>
            </w:r>
            <w:r w:rsidR="00C25326">
              <w:t>, </w:t>
            </w:r>
            <w:r w:rsidRPr="00B136B4">
              <w:t>74.5)</w:t>
            </w:r>
          </w:p>
        </w:tc>
        <w:tc>
          <w:tcPr>
            <w:tcW w:w="466" w:type="dxa"/>
            <w:tcBorders>
              <w:top w:val="nil"/>
            </w:tcBorders>
          </w:tcPr>
          <w:p w14:paraId="52CC6A38" w14:textId="77777777" w:rsidR="007123C7" w:rsidRPr="00B136B4" w:rsidRDefault="007123C7" w:rsidP="00E82294">
            <w:pPr>
              <w:pStyle w:val="TableText"/>
              <w:jc w:val="right"/>
            </w:pPr>
            <w:r w:rsidRPr="00B136B4">
              <w:t>165</w:t>
            </w:r>
          </w:p>
        </w:tc>
        <w:tc>
          <w:tcPr>
            <w:tcW w:w="766" w:type="dxa"/>
            <w:gridSpan w:val="2"/>
            <w:tcBorders>
              <w:top w:val="nil"/>
            </w:tcBorders>
          </w:tcPr>
          <w:p w14:paraId="0713CA14" w14:textId="77777777" w:rsidR="007123C7" w:rsidRPr="00B136B4" w:rsidRDefault="007123C7" w:rsidP="00E82294">
            <w:pPr>
              <w:pStyle w:val="TableText"/>
              <w:jc w:val="right"/>
            </w:pPr>
            <w:r w:rsidRPr="00B136B4">
              <w:t>827</w:t>
            </w:r>
          </w:p>
        </w:tc>
        <w:tc>
          <w:tcPr>
            <w:tcW w:w="1009" w:type="dxa"/>
            <w:tcBorders>
              <w:top w:val="nil"/>
            </w:tcBorders>
          </w:tcPr>
          <w:p w14:paraId="1D3C0BAD" w14:textId="77777777" w:rsidR="007123C7" w:rsidRPr="00B136B4" w:rsidRDefault="007123C7" w:rsidP="00E82294">
            <w:pPr>
              <w:pStyle w:val="TableText"/>
              <w:jc w:val="right"/>
            </w:pPr>
            <w:r w:rsidRPr="00B136B4">
              <w:t>21.6 (13.3</w:t>
            </w:r>
            <w:r w:rsidR="00C25326">
              <w:t>, </w:t>
            </w:r>
            <w:r w:rsidRPr="00B136B4">
              <w:t>33.1)</w:t>
            </w:r>
          </w:p>
        </w:tc>
      </w:tr>
      <w:tr w:rsidR="000474A7" w:rsidRPr="00B136B4" w14:paraId="3AE03503" w14:textId="77777777" w:rsidTr="00C25326">
        <w:trPr>
          <w:cantSplit/>
        </w:trPr>
        <w:tc>
          <w:tcPr>
            <w:tcW w:w="2365" w:type="dxa"/>
          </w:tcPr>
          <w:p w14:paraId="35CB0F49" w14:textId="77777777" w:rsidR="007123C7" w:rsidRPr="00B136B4" w:rsidRDefault="007123C7" w:rsidP="00E82294">
            <w:pPr>
              <w:pStyle w:val="TableText"/>
            </w:pPr>
            <w:r w:rsidRPr="00B136B4">
              <w:t>Did not use DVA or At Ease websites</w:t>
            </w:r>
          </w:p>
        </w:tc>
        <w:tc>
          <w:tcPr>
            <w:tcW w:w="540" w:type="dxa"/>
          </w:tcPr>
          <w:p w14:paraId="4A162AC7" w14:textId="77777777" w:rsidR="007123C7" w:rsidRPr="00B136B4" w:rsidRDefault="007123C7" w:rsidP="00E82294">
            <w:pPr>
              <w:pStyle w:val="TableText"/>
              <w:jc w:val="right"/>
            </w:pPr>
            <w:r w:rsidRPr="00B136B4">
              <w:t>127</w:t>
            </w:r>
          </w:p>
        </w:tc>
        <w:tc>
          <w:tcPr>
            <w:tcW w:w="810" w:type="dxa"/>
          </w:tcPr>
          <w:p w14:paraId="4F73E42A" w14:textId="77777777" w:rsidR="007123C7" w:rsidRPr="00B136B4" w:rsidRDefault="007123C7" w:rsidP="00E82294">
            <w:pPr>
              <w:pStyle w:val="TableText"/>
              <w:jc w:val="right"/>
            </w:pPr>
            <w:r w:rsidRPr="00B136B4">
              <w:t>831</w:t>
            </w:r>
          </w:p>
        </w:tc>
        <w:tc>
          <w:tcPr>
            <w:tcW w:w="1082" w:type="dxa"/>
          </w:tcPr>
          <w:p w14:paraId="2C05113A" w14:textId="77777777" w:rsidR="007123C7" w:rsidRPr="00B136B4" w:rsidRDefault="007123C7" w:rsidP="00BF4EFA">
            <w:pPr>
              <w:pStyle w:val="TableText"/>
              <w:jc w:val="right"/>
            </w:pPr>
            <w:r w:rsidRPr="00B136B4">
              <w:t>59.9</w:t>
            </w:r>
            <w:r w:rsidR="00BF4EFA">
              <w:br/>
            </w:r>
            <w:r w:rsidRPr="00B136B4">
              <w:t>(52.3</w:t>
            </w:r>
            <w:r w:rsidR="00C25326">
              <w:t>, </w:t>
            </w:r>
            <w:r w:rsidRPr="00B136B4">
              <w:t>67.0)</w:t>
            </w:r>
          </w:p>
        </w:tc>
        <w:tc>
          <w:tcPr>
            <w:tcW w:w="448" w:type="dxa"/>
          </w:tcPr>
          <w:p w14:paraId="59729C1C" w14:textId="77777777" w:rsidR="007123C7" w:rsidRPr="00B136B4" w:rsidRDefault="007123C7" w:rsidP="00E82294">
            <w:pPr>
              <w:pStyle w:val="TableText"/>
              <w:jc w:val="right"/>
            </w:pPr>
            <w:r w:rsidRPr="00B136B4">
              <w:t>335</w:t>
            </w:r>
          </w:p>
        </w:tc>
        <w:tc>
          <w:tcPr>
            <w:tcW w:w="784" w:type="dxa"/>
          </w:tcPr>
          <w:p w14:paraId="1CDBC74C" w14:textId="77777777" w:rsidR="007123C7" w:rsidRPr="00B136B4" w:rsidRDefault="007123C7" w:rsidP="00E82294">
            <w:pPr>
              <w:pStyle w:val="TableText"/>
              <w:jc w:val="right"/>
            </w:pPr>
            <w:r w:rsidRPr="00B136B4">
              <w:t>2741</w:t>
            </w:r>
          </w:p>
        </w:tc>
        <w:tc>
          <w:tcPr>
            <w:tcW w:w="1009" w:type="dxa"/>
          </w:tcPr>
          <w:p w14:paraId="36798261" w14:textId="77777777" w:rsidR="007123C7" w:rsidRPr="00B136B4" w:rsidRDefault="007123C7" w:rsidP="00E82294">
            <w:pPr>
              <w:pStyle w:val="TableText"/>
              <w:jc w:val="right"/>
            </w:pPr>
            <w:r w:rsidRPr="00B136B4">
              <w:t>65.5 (61.0</w:t>
            </w:r>
            <w:r w:rsidR="00C25326">
              <w:t>, </w:t>
            </w:r>
            <w:r w:rsidRPr="00B136B4">
              <w:t>69.8)</w:t>
            </w:r>
          </w:p>
        </w:tc>
        <w:tc>
          <w:tcPr>
            <w:tcW w:w="457" w:type="dxa"/>
          </w:tcPr>
          <w:p w14:paraId="6E8B9FEC" w14:textId="77777777" w:rsidR="007123C7" w:rsidRPr="00B136B4" w:rsidRDefault="007123C7" w:rsidP="00E82294">
            <w:pPr>
              <w:pStyle w:val="TableText"/>
              <w:jc w:val="right"/>
            </w:pPr>
            <w:r w:rsidRPr="00B136B4">
              <w:t>48</w:t>
            </w:r>
          </w:p>
        </w:tc>
        <w:tc>
          <w:tcPr>
            <w:tcW w:w="775" w:type="dxa"/>
          </w:tcPr>
          <w:p w14:paraId="7D831505" w14:textId="77777777" w:rsidR="007123C7" w:rsidRPr="00B136B4" w:rsidRDefault="007123C7" w:rsidP="00E82294">
            <w:pPr>
              <w:pStyle w:val="TableText"/>
              <w:jc w:val="right"/>
            </w:pPr>
            <w:r w:rsidRPr="00B136B4">
              <w:t>517</w:t>
            </w:r>
          </w:p>
        </w:tc>
        <w:tc>
          <w:tcPr>
            <w:tcW w:w="1009" w:type="dxa"/>
          </w:tcPr>
          <w:p w14:paraId="28CA5D6D" w14:textId="77777777" w:rsidR="007123C7" w:rsidRPr="00B136B4" w:rsidRDefault="007123C7" w:rsidP="00E82294">
            <w:pPr>
              <w:pStyle w:val="TableText"/>
              <w:jc w:val="right"/>
            </w:pPr>
            <w:r w:rsidRPr="00B136B4">
              <w:t>62.2 (25.5</w:t>
            </w:r>
            <w:r w:rsidR="00C25326">
              <w:t>, </w:t>
            </w:r>
            <w:r w:rsidRPr="00B136B4">
              <w:t>88.8)</w:t>
            </w:r>
          </w:p>
        </w:tc>
        <w:tc>
          <w:tcPr>
            <w:tcW w:w="466" w:type="dxa"/>
          </w:tcPr>
          <w:p w14:paraId="766ED4C5" w14:textId="77777777" w:rsidR="007123C7" w:rsidRPr="00B136B4" w:rsidRDefault="007123C7" w:rsidP="00E82294">
            <w:pPr>
              <w:pStyle w:val="TableText"/>
              <w:jc w:val="right"/>
            </w:pPr>
            <w:r w:rsidRPr="00B136B4">
              <w:t>387</w:t>
            </w:r>
          </w:p>
        </w:tc>
        <w:tc>
          <w:tcPr>
            <w:tcW w:w="766" w:type="dxa"/>
            <w:gridSpan w:val="2"/>
          </w:tcPr>
          <w:p w14:paraId="14E56FEC" w14:textId="77777777" w:rsidR="007123C7" w:rsidRPr="00B136B4" w:rsidRDefault="007123C7" w:rsidP="00E82294">
            <w:pPr>
              <w:pStyle w:val="TableText"/>
              <w:jc w:val="right"/>
            </w:pPr>
            <w:r w:rsidRPr="00B136B4">
              <w:t>2996</w:t>
            </w:r>
          </w:p>
        </w:tc>
        <w:tc>
          <w:tcPr>
            <w:tcW w:w="1009" w:type="dxa"/>
          </w:tcPr>
          <w:p w14:paraId="41036901" w14:textId="77777777" w:rsidR="007123C7" w:rsidRPr="00B136B4" w:rsidRDefault="007123C7" w:rsidP="00E82294">
            <w:pPr>
              <w:pStyle w:val="TableText"/>
              <w:jc w:val="right"/>
            </w:pPr>
            <w:r w:rsidRPr="00B136B4">
              <w:t>78.4 (66.9</w:t>
            </w:r>
            <w:r w:rsidR="00C25326">
              <w:t>, </w:t>
            </w:r>
            <w:r w:rsidRPr="00B136B4">
              <w:t>86.7)</w:t>
            </w:r>
          </w:p>
        </w:tc>
      </w:tr>
    </w:tbl>
    <w:p w14:paraId="465E9246" w14:textId="77777777" w:rsidR="007123C7" w:rsidRPr="009421B2" w:rsidRDefault="007123C7" w:rsidP="007123C7">
      <w:pPr>
        <w:pStyle w:val="TableNotes"/>
      </w:pPr>
      <w:r>
        <w:t>Notes</w:t>
      </w:r>
    </w:p>
    <w:p w14:paraId="351E6DA2" w14:textId="77777777" w:rsidR="007123C7" w:rsidRPr="008A51EB" w:rsidRDefault="007123C7" w:rsidP="007123C7">
      <w:pPr>
        <w:pStyle w:val="TableNotes"/>
      </w:pPr>
      <w:r w:rsidRPr="008A51EB">
        <w:t>Denominator:</w:t>
      </w:r>
      <w:r>
        <w:t xml:space="preserve"> </w:t>
      </w:r>
      <w:r w:rsidRPr="000F78B9">
        <w:t>Transitioned and 2015 Regular ADF with a probable disorder</w:t>
      </w:r>
      <w:r>
        <w:t>.</w:t>
      </w:r>
    </w:p>
    <w:p w14:paraId="6B60B066" w14:textId="77777777" w:rsidR="007123C7" w:rsidRPr="00C72931" w:rsidRDefault="007123C7" w:rsidP="007123C7">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775C1D02" w14:textId="77777777" w:rsidR="007123C7" w:rsidRDefault="007123C7" w:rsidP="007123C7">
      <w:pPr>
        <w:pStyle w:val="TableNotes"/>
      </w:pPr>
      <w:r>
        <w:t>95% CI = 95% confidence interval.</w:t>
      </w:r>
    </w:p>
    <w:p w14:paraId="23D1BB8E" w14:textId="77777777" w:rsidR="007123C7" w:rsidRDefault="007123C7" w:rsidP="007123C7"/>
    <w:p w14:paraId="40150ABB" w14:textId="77777777" w:rsidR="007123C7" w:rsidRDefault="007123C7" w:rsidP="007123C7">
      <w:pPr>
        <w:sectPr w:rsidR="007123C7" w:rsidSect="00980AE4">
          <w:footerReference w:type="even" r:id="rId136"/>
          <w:footerReference w:type="default" r:id="rId137"/>
          <w:pgSz w:w="14170" w:h="9979" w:orient="landscape" w:code="243"/>
          <w:pgMar w:top="1872" w:right="1440" w:bottom="1152" w:left="1440" w:header="576" w:footer="576" w:gutter="0"/>
          <w:cols w:space="708"/>
          <w:docGrid w:linePitch="360"/>
        </w:sectPr>
      </w:pPr>
    </w:p>
    <w:p w14:paraId="0249811A" w14:textId="77777777" w:rsidR="007123C7" w:rsidRPr="008A51EB" w:rsidRDefault="007123C7" w:rsidP="007123C7">
      <w:pPr>
        <w:pStyle w:val="Heading2"/>
        <w:numPr>
          <w:ilvl w:val="1"/>
          <w:numId w:val="1"/>
        </w:numPr>
        <w:ind w:left="720" w:hanging="720"/>
      </w:pPr>
      <w:bookmarkStart w:id="1066" w:name="_Toc509917482"/>
      <w:bookmarkStart w:id="1067" w:name="_Toc515374551"/>
      <w:bookmarkStart w:id="1068" w:name="_Toc518566449"/>
      <w:bookmarkStart w:id="1069" w:name="_Toc528932727"/>
      <w:bookmarkStart w:id="1070" w:name="_Toc531859264"/>
      <w:r w:rsidRPr="008A51EB">
        <w:t xml:space="preserve">Use of other </w:t>
      </w:r>
      <w:r>
        <w:t xml:space="preserve">civilian mental </w:t>
      </w:r>
      <w:r w:rsidRPr="008A51EB">
        <w:t>health websites</w:t>
      </w:r>
      <w:bookmarkEnd w:id="1066"/>
      <w:bookmarkEnd w:id="1067"/>
      <w:bookmarkEnd w:id="1068"/>
      <w:bookmarkEnd w:id="1069"/>
      <w:bookmarkEnd w:id="1070"/>
      <w:r w:rsidRPr="008A51EB">
        <w:t xml:space="preserve"> </w:t>
      </w:r>
    </w:p>
    <w:p w14:paraId="58EA7BC4" w14:textId="77777777" w:rsidR="007123C7" w:rsidRDefault="007123C7" w:rsidP="007123C7">
      <w:pPr>
        <w:rPr>
          <w:lang w:eastAsia="en-AU"/>
        </w:rPr>
      </w:pPr>
      <w:r w:rsidRPr="00725D97">
        <w:rPr>
          <w:lang w:eastAsia="en-AU"/>
        </w:rPr>
        <w:t xml:space="preserve">The following section considers the use of </w:t>
      </w:r>
      <w:r>
        <w:rPr>
          <w:lang w:eastAsia="en-AU"/>
        </w:rPr>
        <w:t>o</w:t>
      </w:r>
      <w:r w:rsidRPr="00263B12">
        <w:rPr>
          <w:lang w:eastAsia="en-AU"/>
        </w:rPr>
        <w:t xml:space="preserve">ther </w:t>
      </w:r>
      <w:r>
        <w:rPr>
          <w:lang w:eastAsia="en-AU"/>
        </w:rPr>
        <w:t xml:space="preserve">civilian mental health </w:t>
      </w:r>
      <w:r w:rsidRPr="00263B12">
        <w:rPr>
          <w:lang w:eastAsia="en-AU"/>
        </w:rPr>
        <w:t xml:space="preserve">websites </w:t>
      </w:r>
      <w:r>
        <w:rPr>
          <w:lang w:eastAsia="en-AU"/>
        </w:rPr>
        <w:t xml:space="preserve">to assess/inform mental health, including the </w:t>
      </w:r>
      <w:r w:rsidRPr="00263B12">
        <w:rPr>
          <w:lang w:eastAsia="en-AU"/>
        </w:rPr>
        <w:t>Black Dog Institute</w:t>
      </w:r>
      <w:r>
        <w:rPr>
          <w:lang w:eastAsia="en-AU"/>
        </w:rPr>
        <w:t>’</w:t>
      </w:r>
      <w:r w:rsidRPr="00263B12">
        <w:rPr>
          <w:lang w:eastAsia="en-AU"/>
        </w:rPr>
        <w:t xml:space="preserve">s website, the Headspace website, the </w:t>
      </w:r>
      <w:r>
        <w:rPr>
          <w:lang w:eastAsia="en-AU"/>
        </w:rPr>
        <w:t>b</w:t>
      </w:r>
      <w:r w:rsidRPr="00263B12">
        <w:rPr>
          <w:lang w:eastAsia="en-AU"/>
        </w:rPr>
        <w:t>eyondblue website, the Mindhealthconnect website, the Lifeline website, the Kids helpline website, the Men’s He</w:t>
      </w:r>
      <w:r>
        <w:rPr>
          <w:lang w:eastAsia="en-AU"/>
        </w:rPr>
        <w:t>lpline website or any o</w:t>
      </w:r>
      <w:r w:rsidRPr="00263B12">
        <w:rPr>
          <w:lang w:eastAsia="en-AU"/>
        </w:rPr>
        <w:t>ther health website that respondents may have used.</w:t>
      </w:r>
      <w:r>
        <w:rPr>
          <w:lang w:eastAsia="en-AU"/>
        </w:rPr>
        <w:t xml:space="preserve"> Since conducting this survey Mindhealthconnect has been replaced by Head to Health, a website built in partnership with the lived experience community. Head to Health has a dedicated search function available for defence personnel and veterans.</w:t>
      </w:r>
    </w:p>
    <w:p w14:paraId="369AE652" w14:textId="72E404B6" w:rsidR="007123C7" w:rsidRPr="005F5D73" w:rsidRDefault="007123C7" w:rsidP="007123C7">
      <w:r>
        <w:rPr>
          <w:szCs w:val="22"/>
        </w:rPr>
        <w:t>As can be seen in Table 9.11, an</w:t>
      </w:r>
      <w:r w:rsidRPr="00725D97">
        <w:rPr>
          <w:szCs w:val="22"/>
        </w:rPr>
        <w:t xml:space="preserve"> </w:t>
      </w:r>
      <w:r>
        <w:rPr>
          <w:szCs w:val="22"/>
        </w:rPr>
        <w:t xml:space="preserve">estimated 25–30% of the </w:t>
      </w:r>
      <w:r w:rsidRPr="00725D97">
        <w:rPr>
          <w:szCs w:val="22"/>
        </w:rPr>
        <w:t xml:space="preserve">Transitioned ADF and </w:t>
      </w:r>
      <w:r w:rsidR="0020591C">
        <w:rPr>
          <w:szCs w:val="22"/>
        </w:rPr>
        <w:br/>
      </w:r>
      <w:r>
        <w:rPr>
          <w:szCs w:val="22"/>
        </w:rPr>
        <w:t xml:space="preserve">18–33% of the </w:t>
      </w:r>
      <w:r w:rsidRPr="00725D97">
        <w:rPr>
          <w:szCs w:val="22"/>
        </w:rPr>
        <w:t xml:space="preserve">2015 Regular ADF </w:t>
      </w:r>
      <w:r>
        <w:rPr>
          <w:szCs w:val="22"/>
        </w:rPr>
        <w:t xml:space="preserve">with a probable disorder </w:t>
      </w:r>
      <w:r w:rsidRPr="00725D97">
        <w:rPr>
          <w:szCs w:val="22"/>
        </w:rPr>
        <w:t xml:space="preserve">reported </w:t>
      </w:r>
      <w:r>
        <w:rPr>
          <w:szCs w:val="22"/>
        </w:rPr>
        <w:t>using a civilian mental health website to inform/assess their mental health.</w:t>
      </w:r>
      <w:r w:rsidRPr="00E56D40">
        <w:t xml:space="preserve"> </w:t>
      </w:r>
      <w:r>
        <w:t xml:space="preserve">Less than 12% of the Transitioned ADF and the 2015 Regular ADF used a civilian mental health website if they did not have a probable disorder. </w:t>
      </w:r>
      <w:r w:rsidRPr="005F5D73">
        <w:t>Transitioned ADF members who had made a suicid</w:t>
      </w:r>
      <w:r>
        <w:t>e</w:t>
      </w:r>
      <w:r w:rsidRPr="005F5D73">
        <w:t xml:space="preserve"> plan in the </w:t>
      </w:r>
      <w:r>
        <w:t>l</w:t>
      </w:r>
      <w:r w:rsidRPr="005F5D73">
        <w:t xml:space="preserve">ast 12 months (34.7%) or who had probable PTSD (29.6%) were most likely to use other </w:t>
      </w:r>
      <w:r>
        <w:t>civilian mental health websites</w:t>
      </w:r>
      <w:r w:rsidRPr="005F5D73">
        <w:t xml:space="preserve"> </w:t>
      </w:r>
      <w:r>
        <w:t xml:space="preserve">to inform/assess mental health. </w:t>
      </w:r>
      <w:r w:rsidRPr="005F5D73">
        <w:t xml:space="preserve">2015 Regular ADF members with probable depressive episodes (32.8%) or probable alcohol disorder (32.0%) were most likely to use other </w:t>
      </w:r>
      <w:r>
        <w:t>civilian mental health websites</w:t>
      </w:r>
      <w:r w:rsidRPr="005F5D73">
        <w:t xml:space="preserve"> to inform/assess mental health.</w:t>
      </w:r>
    </w:p>
    <w:p w14:paraId="6F82B9A5" w14:textId="77777777" w:rsidR="007123C7" w:rsidRPr="00DB7648" w:rsidRDefault="007123C7" w:rsidP="007123C7">
      <w:pPr>
        <w:pStyle w:val="Heading3"/>
        <w:numPr>
          <w:ilvl w:val="2"/>
          <w:numId w:val="1"/>
        </w:numPr>
      </w:pPr>
      <w:bookmarkStart w:id="1071" w:name="_Toc515374552"/>
      <w:bookmarkStart w:id="1072" w:name="_Toc518566450"/>
      <w:bookmarkStart w:id="1073" w:name="_Toc528932728"/>
      <w:bookmarkStart w:id="1074" w:name="_Toc531859265"/>
      <w:r w:rsidRPr="008A51EB">
        <w:t xml:space="preserve">Probable, </w:t>
      </w:r>
      <w:r w:rsidR="007155C2">
        <w:t>subsyndromal</w:t>
      </w:r>
      <w:r w:rsidRPr="008A51EB">
        <w:t xml:space="preserve"> and no disorder</w:t>
      </w:r>
      <w:bookmarkEnd w:id="1071"/>
      <w:bookmarkEnd w:id="1072"/>
      <w:bookmarkEnd w:id="1073"/>
      <w:bookmarkEnd w:id="1074"/>
    </w:p>
    <w:p w14:paraId="0518D154" w14:textId="77777777" w:rsidR="007123C7" w:rsidRPr="008A51EB" w:rsidRDefault="007123C7" w:rsidP="007123C7">
      <w:pPr>
        <w:pStyle w:val="Heading4"/>
      </w:pPr>
      <w:r w:rsidRPr="008A51EB">
        <w:t>PTSD</w:t>
      </w:r>
    </w:p>
    <w:p w14:paraId="242323A9" w14:textId="77777777" w:rsidR="007123C7" w:rsidRDefault="007123C7" w:rsidP="007123C7">
      <w:pPr>
        <w:spacing w:after="160" w:line="259" w:lineRule="auto"/>
        <w:rPr>
          <w:rFonts w:asciiTheme="minorHAnsi" w:hAnsiTheme="minorHAnsi"/>
          <w:szCs w:val="22"/>
        </w:rPr>
      </w:pPr>
      <w:r>
        <w:rPr>
          <w:rFonts w:asciiTheme="minorHAnsi" w:hAnsiTheme="minorHAnsi"/>
          <w:szCs w:val="22"/>
        </w:rPr>
        <w:t xml:space="preserve">Among the Transitioned ADF, individuals with probable (29.6%) or </w:t>
      </w:r>
      <w:r w:rsidR="007155C2">
        <w:rPr>
          <w:rFonts w:asciiTheme="minorHAnsi" w:hAnsiTheme="minorHAnsi"/>
          <w:szCs w:val="22"/>
        </w:rPr>
        <w:t>subsyndromal</w:t>
      </w:r>
      <w:r>
        <w:rPr>
          <w:rFonts w:asciiTheme="minorHAnsi" w:hAnsiTheme="minorHAnsi"/>
          <w:szCs w:val="22"/>
        </w:rPr>
        <w:t xml:space="preserve"> PTSD (20.4%) were more likely to report using a civilian mental health website to inform/assess their mental health than those with no disorder (7.5%). Similarly, 2015 Regular ADF with probable (17.9%) or </w:t>
      </w:r>
      <w:r w:rsidR="007155C2">
        <w:rPr>
          <w:rFonts w:asciiTheme="minorHAnsi" w:hAnsiTheme="minorHAnsi"/>
          <w:szCs w:val="22"/>
        </w:rPr>
        <w:t>subsyndromal</w:t>
      </w:r>
      <w:r>
        <w:rPr>
          <w:rFonts w:asciiTheme="minorHAnsi" w:hAnsiTheme="minorHAnsi"/>
          <w:szCs w:val="22"/>
        </w:rPr>
        <w:t xml:space="preserve"> PTSD (20.9%) were more likely to report using a civilian mental health website to inform/assess their mental health compared to those with no disorder (8.2%). </w:t>
      </w:r>
    </w:p>
    <w:p w14:paraId="731BE14F" w14:textId="77777777" w:rsidR="007123C7" w:rsidRPr="0058796D" w:rsidRDefault="007123C7" w:rsidP="007123C7">
      <w:pPr>
        <w:pStyle w:val="Heading4"/>
      </w:pPr>
      <w:r w:rsidRPr="008A51EB">
        <w:t>Anxiety/depression (K10)</w:t>
      </w:r>
    </w:p>
    <w:p w14:paraId="0F9F8884" w14:textId="77777777" w:rsidR="007123C7" w:rsidRDefault="007123C7" w:rsidP="007123C7">
      <w:r>
        <w:t xml:space="preserve">Among the Transitioned ADF, individuals with probable (25.9%) or </w:t>
      </w:r>
      <w:r w:rsidR="007155C2">
        <w:t>subsyndromal</w:t>
      </w:r>
      <w:r>
        <w:t xml:space="preserve"> anxiety/depression (16.2%) were more likely to report using a civilian mental health website to inform/assess their mental health than those with no disorder (6.8%). Similarly, 2015 Regular ADF with a probable (22.1%) or </w:t>
      </w:r>
      <w:r w:rsidR="007155C2">
        <w:t>subsyndromal</w:t>
      </w:r>
      <w:r>
        <w:t xml:space="preserve"> disorder (17.6%) were more likely to report using a civilian mental health website to inform/assess their mental health compared to those with no anxiety/depression (6.8%). </w:t>
      </w:r>
    </w:p>
    <w:p w14:paraId="7644EA52" w14:textId="77777777" w:rsidR="007123C7" w:rsidRPr="008A51EB" w:rsidRDefault="007123C7" w:rsidP="007123C7">
      <w:pPr>
        <w:pStyle w:val="Heading4"/>
      </w:pPr>
      <w:r w:rsidRPr="008A51EB">
        <w:t>Alcohol consumption and disorder</w:t>
      </w:r>
    </w:p>
    <w:p w14:paraId="4CDE38BC" w14:textId="77777777" w:rsidR="007123C7" w:rsidRDefault="007123C7" w:rsidP="007123C7">
      <w:pPr>
        <w:keepLines/>
      </w:pPr>
      <w:r>
        <w:t xml:space="preserve">Among the Transitioned ADF, individuals with a probable alcohol disorder (27.4%) were more likely to report using a civilian mental health website to inform/assess their mental health than those with </w:t>
      </w:r>
      <w:r w:rsidR="007155C2">
        <w:t>subsyndromal</w:t>
      </w:r>
      <w:r>
        <w:t xml:space="preserve"> alcohol disorder (15.9%) or no disorder (11.8%). Similarly, among 2015 Regular ADF, individuals with a probable disorder (32.0%) were more likely to report using a civilian mental health website to inform/assess their mental health than those with </w:t>
      </w:r>
      <w:r w:rsidR="007155C2">
        <w:t>subsyndromal</w:t>
      </w:r>
      <w:r>
        <w:t xml:space="preserve"> alcohol disorder (12.7%) or no disorder (10.0%). </w:t>
      </w:r>
    </w:p>
    <w:p w14:paraId="04336256" w14:textId="77777777" w:rsidR="007123C7" w:rsidRPr="0058796D" w:rsidRDefault="007123C7" w:rsidP="007123C7">
      <w:pPr>
        <w:pStyle w:val="Heading4"/>
      </w:pPr>
      <w:r w:rsidRPr="008A51EB">
        <w:t>Depressive episodes</w:t>
      </w:r>
    </w:p>
    <w:p w14:paraId="42502F25" w14:textId="77777777" w:rsidR="007123C7" w:rsidRDefault="007123C7" w:rsidP="007123C7">
      <w:r>
        <w:t xml:space="preserve">Among both the Transitioned ADF and the 2015 Regular ADF, individuals with probable (26.9% and 32.8% respectively) and </w:t>
      </w:r>
      <w:r w:rsidR="007155C2">
        <w:t>subsyndromal</w:t>
      </w:r>
      <w:r>
        <w:t xml:space="preserve"> (19.4% and 18.7% respectively) depressive episodes were more likely to report using a civilian mental health website to inform/assess their mental health than those with no disorder (6.8% and 5.8% respectively). </w:t>
      </w:r>
    </w:p>
    <w:p w14:paraId="192D773C" w14:textId="77777777" w:rsidR="007123C7" w:rsidRPr="0058796D" w:rsidRDefault="007123C7" w:rsidP="007123C7">
      <w:pPr>
        <w:pStyle w:val="Heading4"/>
      </w:pPr>
      <w:r w:rsidRPr="008A51EB">
        <w:t>Suicidality</w:t>
      </w:r>
    </w:p>
    <w:p w14:paraId="0043F5A5" w14:textId="77777777" w:rsidR="007123C7" w:rsidRDefault="007123C7" w:rsidP="007123C7">
      <w:r w:rsidRPr="00725D97">
        <w:t>When 12</w:t>
      </w:r>
      <w:r>
        <w:t>-</w:t>
      </w:r>
      <w:r w:rsidRPr="00725D97">
        <w:t>month suicidal ideation and behaviour were considered, overall among those with any suicidal thought</w:t>
      </w:r>
      <w:r>
        <w:t>s</w:t>
      </w:r>
      <w:r w:rsidRPr="00725D97">
        <w:t xml:space="preserve"> or plan</w:t>
      </w:r>
      <w:r>
        <w:t>s</w:t>
      </w:r>
      <w:r w:rsidRPr="00725D97">
        <w:t xml:space="preserve"> in the previous 12 months, a similar proportion of Transitioned ADF </w:t>
      </w:r>
      <w:r>
        <w:t>and</w:t>
      </w:r>
      <w:r w:rsidRPr="00725D97">
        <w:t xml:space="preserve"> 2015 Regular ADF reported using other </w:t>
      </w:r>
      <w:r>
        <w:t>civilian mental health websites</w:t>
      </w:r>
      <w:r w:rsidRPr="00725D97">
        <w:t xml:space="preserve"> (28.1% vs 26.2%). When suicidal thoughts were considered separately, </w:t>
      </w:r>
      <w:r>
        <w:t>there was no difference in the proportion of Transitioned ADF and 2015 Regular ADF with suicidal ideation (25.6% and 27.8% respectively) who reported using a civilian mental health website to inform/assess their mental health. However, when looking at those with a suicide plan, Transitioned ADF (34.7%) were more likely to use a civilian mental health website to inform/assess their mental health than 2015 Regular ADF (16.4%).</w:t>
      </w:r>
      <w:r w:rsidRPr="0061632A">
        <w:t xml:space="preserve"> </w:t>
      </w:r>
      <w:r>
        <w:t>Approximately 40% of the Transitioned ADF and only 15.8% of the 2015 Regular ADF reported using the ADF website to inform/assess their mental health; however these estimates should be interpreted with caution (particularly estimates for the 2015 Regular ADF) because of the very large confidence interval surrounding these estimates.</w:t>
      </w:r>
    </w:p>
    <w:p w14:paraId="4A335AEF" w14:textId="77777777" w:rsidR="007123C7" w:rsidRPr="0058796D" w:rsidRDefault="007123C7" w:rsidP="007123C7">
      <w:pPr>
        <w:pStyle w:val="Heading4"/>
      </w:pPr>
      <w:r w:rsidRPr="008A51EB">
        <w:t>Generalised anxiety disorder</w:t>
      </w:r>
    </w:p>
    <w:p w14:paraId="2F34722C" w14:textId="51F774A1" w:rsidR="007123C7" w:rsidRPr="008A51EB" w:rsidRDefault="007123C7" w:rsidP="007123C7">
      <w:r>
        <w:t xml:space="preserve">Similar proportions of Transitioned ADF and 2015 Regular ADF above the cut-off on the GAD-7 for generalised anxiety disorder reported using a civilian mental health website to inform/assess their mental health (26.2% and 28.0% respectively). These proportions were higher than </w:t>
      </w:r>
      <w:r w:rsidR="0020591C">
        <w:t xml:space="preserve">for </w:t>
      </w:r>
      <w:r>
        <w:t>those scoring below the cut-off (10.5% and 9.2% respectively).</w:t>
      </w:r>
    </w:p>
    <w:p w14:paraId="0A0CC0B4" w14:textId="77777777" w:rsidR="007123C7" w:rsidRDefault="007123C7" w:rsidP="007123C7">
      <w:pPr>
        <w:sectPr w:rsidR="007123C7" w:rsidSect="00463E44">
          <w:footerReference w:type="even" r:id="rId138"/>
          <w:footerReference w:type="default" r:id="rId139"/>
          <w:pgSz w:w="9979" w:h="14170" w:code="243"/>
          <w:pgMar w:top="1440" w:right="1152" w:bottom="1440" w:left="1728" w:header="576" w:footer="576" w:gutter="0"/>
          <w:cols w:space="708"/>
          <w:docGrid w:linePitch="360"/>
        </w:sectPr>
      </w:pPr>
    </w:p>
    <w:p w14:paraId="26496E24" w14:textId="77777777" w:rsidR="007123C7" w:rsidRDefault="007123C7" w:rsidP="007123C7">
      <w:pPr>
        <w:pStyle w:val="TableName"/>
      </w:pPr>
      <w:bookmarkStart w:id="1075" w:name="_Toc531858041"/>
      <w:bookmarkStart w:id="1076" w:name="_Ref509921039"/>
      <w:bookmarkStart w:id="1077" w:name="_Toc509922912"/>
      <w:bookmarkStart w:id="1078" w:name="_Toc515374686"/>
      <w:bookmarkStart w:id="1079" w:name="_Toc528932362"/>
      <w:r w:rsidRPr="00C8665E">
        <w:t xml:space="preserve">Table </w:t>
      </w:r>
      <w:r>
        <w:rPr>
          <w:noProof/>
        </w:rPr>
        <w:t>9</w:t>
      </w:r>
      <w:r>
        <w:t>.</w:t>
      </w:r>
      <w:r>
        <w:rPr>
          <w:noProof/>
        </w:rPr>
        <w:t>11</w:t>
      </w:r>
      <w:r>
        <w:tab/>
      </w:r>
      <w:r w:rsidRPr="00D74452">
        <w:t xml:space="preserve">Estimated proportion of Transitioned ADF and 2015 Regular ADF meeting criteria for key mental health outcomes who reported using </w:t>
      </w:r>
      <w:r>
        <w:t>o</w:t>
      </w:r>
      <w:r w:rsidRPr="00FA3A0E">
        <w:t xml:space="preserve">ther </w:t>
      </w:r>
      <w:r>
        <w:t>civilian mental health websites to inform/assess mental health</w:t>
      </w:r>
      <w:bookmarkEnd w:id="1075"/>
    </w:p>
    <w:bookmarkEnd w:id="1076"/>
    <w:bookmarkEnd w:id="1077"/>
    <w:bookmarkEnd w:id="1078"/>
    <w:bookmarkEnd w:id="1079"/>
    <w:tbl>
      <w:tblPr>
        <w:tblStyle w:val="TWRPTable"/>
        <w:tblW w:w="5000" w:type="pct"/>
        <w:tblLayout w:type="fixed"/>
        <w:tblCellMar>
          <w:left w:w="115" w:type="dxa"/>
          <w:right w:w="115" w:type="dxa"/>
        </w:tblCellMar>
        <w:tblLook w:val="0000" w:firstRow="0" w:lastRow="0" w:firstColumn="0" w:lastColumn="0" w:noHBand="0" w:noVBand="0"/>
        <w:tblDescription w:val="Table 9.11 Estimated proportion of Transitioned ADF and 2015 Regular ADF meeting criteria for key mental health outcomes who reported using other civilian mental health websites to inform/assess mental health"/>
      </w:tblPr>
      <w:tblGrid>
        <w:gridCol w:w="2200"/>
        <w:gridCol w:w="557"/>
        <w:gridCol w:w="792"/>
        <w:gridCol w:w="923"/>
        <w:gridCol w:w="575"/>
        <w:gridCol w:w="794"/>
        <w:gridCol w:w="902"/>
        <w:gridCol w:w="596"/>
        <w:gridCol w:w="794"/>
        <w:gridCol w:w="882"/>
        <w:gridCol w:w="616"/>
        <w:gridCol w:w="792"/>
        <w:gridCol w:w="857"/>
      </w:tblGrid>
      <w:tr w:rsidR="007123C7" w:rsidRPr="001F3926" w14:paraId="3881CF4A" w14:textId="77777777" w:rsidTr="00BF4EFA">
        <w:trPr>
          <w:cantSplit/>
          <w:tblHeader/>
        </w:trPr>
        <w:tc>
          <w:tcPr>
            <w:tcW w:w="975" w:type="pct"/>
            <w:tcBorders>
              <w:top w:val="single" w:sz="4" w:space="0" w:color="000000"/>
              <w:bottom w:val="nil"/>
            </w:tcBorders>
          </w:tcPr>
          <w:p w14:paraId="6A13301F" w14:textId="77777777" w:rsidR="007123C7" w:rsidRPr="001F3926" w:rsidRDefault="007123C7" w:rsidP="00E82294">
            <w:pPr>
              <w:pStyle w:val="TableText"/>
              <w:rPr>
                <w:b/>
              </w:rPr>
            </w:pPr>
          </w:p>
        </w:tc>
        <w:tc>
          <w:tcPr>
            <w:tcW w:w="2014" w:type="pct"/>
            <w:gridSpan w:val="6"/>
            <w:tcBorders>
              <w:top w:val="single" w:sz="4" w:space="0" w:color="000000"/>
              <w:bottom w:val="single" w:sz="4" w:space="0" w:color="000000"/>
            </w:tcBorders>
          </w:tcPr>
          <w:p w14:paraId="7D29F551" w14:textId="77777777" w:rsidR="007123C7" w:rsidRPr="001F3926" w:rsidRDefault="007123C7" w:rsidP="00BF4EFA">
            <w:pPr>
              <w:pStyle w:val="TableText"/>
              <w:jc w:val="center"/>
              <w:rPr>
                <w:b/>
                <w:bCs/>
              </w:rPr>
            </w:pPr>
            <w:r w:rsidRPr="001F3926">
              <w:rPr>
                <w:b/>
                <w:bCs/>
              </w:rPr>
              <w:t>Transitioned ADF</w:t>
            </w:r>
            <w:r w:rsidR="00BF4EFA" w:rsidRPr="001F3926">
              <w:rPr>
                <w:b/>
                <w:bCs/>
              </w:rPr>
              <w:br/>
            </w:r>
            <w:r w:rsidRPr="001F3926">
              <w:rPr>
                <w:b/>
                <w:bCs/>
              </w:rPr>
              <w:t>n=24,935</w:t>
            </w:r>
          </w:p>
        </w:tc>
        <w:tc>
          <w:tcPr>
            <w:tcW w:w="2011" w:type="pct"/>
            <w:gridSpan w:val="6"/>
            <w:tcBorders>
              <w:top w:val="single" w:sz="4" w:space="0" w:color="000000"/>
              <w:bottom w:val="single" w:sz="4" w:space="0" w:color="000000"/>
            </w:tcBorders>
          </w:tcPr>
          <w:p w14:paraId="4DB51F62" w14:textId="77777777" w:rsidR="007123C7" w:rsidRPr="001F3926" w:rsidRDefault="007123C7" w:rsidP="00BF4EFA">
            <w:pPr>
              <w:pStyle w:val="TableText"/>
              <w:jc w:val="center"/>
              <w:rPr>
                <w:b/>
              </w:rPr>
            </w:pPr>
            <w:r w:rsidRPr="001F3926">
              <w:rPr>
                <w:b/>
                <w:bCs/>
              </w:rPr>
              <w:t>2015 Regular ADF</w:t>
            </w:r>
            <w:r w:rsidR="00BF4EFA" w:rsidRPr="001F3926">
              <w:rPr>
                <w:b/>
                <w:bCs/>
              </w:rPr>
              <w:br/>
            </w:r>
            <w:r w:rsidRPr="001F3926">
              <w:rPr>
                <w:b/>
                <w:bCs/>
              </w:rPr>
              <w:t>n=52,500</w:t>
            </w:r>
          </w:p>
        </w:tc>
      </w:tr>
      <w:tr w:rsidR="007123C7" w:rsidRPr="001F3926" w14:paraId="2E655527" w14:textId="77777777" w:rsidTr="00BF4EFA">
        <w:trPr>
          <w:cantSplit/>
          <w:tblHeader/>
        </w:trPr>
        <w:tc>
          <w:tcPr>
            <w:tcW w:w="975" w:type="pct"/>
            <w:tcBorders>
              <w:top w:val="nil"/>
              <w:bottom w:val="nil"/>
            </w:tcBorders>
          </w:tcPr>
          <w:p w14:paraId="66FA17CE" w14:textId="77777777" w:rsidR="007123C7" w:rsidRPr="001F3926" w:rsidRDefault="007123C7" w:rsidP="00E82294">
            <w:pPr>
              <w:pStyle w:val="TableText"/>
              <w:rPr>
                <w:b/>
              </w:rPr>
            </w:pPr>
          </w:p>
        </w:tc>
        <w:tc>
          <w:tcPr>
            <w:tcW w:w="1007" w:type="pct"/>
            <w:gridSpan w:val="3"/>
            <w:tcBorders>
              <w:top w:val="single" w:sz="4" w:space="0" w:color="000000"/>
              <w:bottom w:val="single" w:sz="4" w:space="0" w:color="000000"/>
            </w:tcBorders>
          </w:tcPr>
          <w:p w14:paraId="23703672" w14:textId="77777777" w:rsidR="007123C7" w:rsidRPr="001F3926" w:rsidRDefault="007123C7" w:rsidP="00BF4EFA">
            <w:pPr>
              <w:pStyle w:val="TableText"/>
              <w:jc w:val="center"/>
              <w:rPr>
                <w:b/>
              </w:rPr>
            </w:pPr>
            <w:r w:rsidRPr="001F3926">
              <w:rPr>
                <w:b/>
              </w:rPr>
              <w:t>No</w:t>
            </w:r>
            <w:r w:rsidR="00BF4EFA" w:rsidRPr="001F3926">
              <w:rPr>
                <w:b/>
              </w:rPr>
              <w:br/>
            </w:r>
            <w:r w:rsidRPr="001F3926">
              <w:rPr>
                <w:b/>
              </w:rPr>
              <w:t>n=21,449</w:t>
            </w:r>
          </w:p>
        </w:tc>
        <w:tc>
          <w:tcPr>
            <w:tcW w:w="1007" w:type="pct"/>
            <w:gridSpan w:val="3"/>
            <w:tcBorders>
              <w:top w:val="single" w:sz="4" w:space="0" w:color="000000"/>
              <w:bottom w:val="single" w:sz="4" w:space="0" w:color="000000"/>
            </w:tcBorders>
          </w:tcPr>
          <w:p w14:paraId="22E56984" w14:textId="77777777" w:rsidR="007123C7" w:rsidRPr="001F3926" w:rsidRDefault="007123C7" w:rsidP="00BF4EFA">
            <w:pPr>
              <w:pStyle w:val="TableText"/>
              <w:jc w:val="center"/>
              <w:rPr>
                <w:b/>
              </w:rPr>
            </w:pPr>
            <w:r w:rsidRPr="001F3926">
              <w:rPr>
                <w:b/>
              </w:rPr>
              <w:t>Yes</w:t>
            </w:r>
            <w:r w:rsidR="00BF4EFA" w:rsidRPr="001F3926">
              <w:rPr>
                <w:b/>
              </w:rPr>
              <w:br/>
            </w:r>
            <w:r w:rsidRPr="001F3926">
              <w:rPr>
                <w:b/>
              </w:rPr>
              <w:t>n=3483</w:t>
            </w:r>
          </w:p>
        </w:tc>
        <w:tc>
          <w:tcPr>
            <w:tcW w:w="1007" w:type="pct"/>
            <w:gridSpan w:val="3"/>
            <w:tcBorders>
              <w:top w:val="single" w:sz="4" w:space="0" w:color="000000"/>
              <w:bottom w:val="single" w:sz="4" w:space="0" w:color="000000"/>
            </w:tcBorders>
          </w:tcPr>
          <w:p w14:paraId="560DA5F9" w14:textId="77777777" w:rsidR="007123C7" w:rsidRPr="001F3926" w:rsidRDefault="007123C7" w:rsidP="00BF4EFA">
            <w:pPr>
              <w:pStyle w:val="TableText"/>
              <w:jc w:val="center"/>
              <w:rPr>
                <w:b/>
              </w:rPr>
            </w:pPr>
            <w:r w:rsidRPr="001F3926">
              <w:rPr>
                <w:b/>
              </w:rPr>
              <w:t>No</w:t>
            </w:r>
            <w:r w:rsidR="00BF4EFA" w:rsidRPr="001F3926">
              <w:rPr>
                <w:b/>
              </w:rPr>
              <w:br/>
            </w:r>
            <w:r w:rsidRPr="001F3926">
              <w:rPr>
                <w:b/>
              </w:rPr>
              <w:t>n=46,798</w:t>
            </w:r>
          </w:p>
        </w:tc>
        <w:tc>
          <w:tcPr>
            <w:tcW w:w="1004" w:type="pct"/>
            <w:gridSpan w:val="3"/>
            <w:tcBorders>
              <w:top w:val="single" w:sz="4" w:space="0" w:color="000000"/>
              <w:bottom w:val="single" w:sz="4" w:space="0" w:color="000000"/>
            </w:tcBorders>
          </w:tcPr>
          <w:p w14:paraId="64A52410" w14:textId="77777777" w:rsidR="007123C7" w:rsidRPr="001F3926" w:rsidRDefault="007123C7" w:rsidP="00BF4EFA">
            <w:pPr>
              <w:pStyle w:val="TableText"/>
              <w:jc w:val="center"/>
              <w:rPr>
                <w:b/>
              </w:rPr>
            </w:pPr>
            <w:r w:rsidRPr="001F3926">
              <w:rPr>
                <w:b/>
              </w:rPr>
              <w:t>Yes</w:t>
            </w:r>
            <w:r w:rsidR="00BF4EFA" w:rsidRPr="001F3926">
              <w:rPr>
                <w:b/>
              </w:rPr>
              <w:br/>
            </w:r>
            <w:r w:rsidRPr="001F3926">
              <w:rPr>
                <w:b/>
              </w:rPr>
              <w:t>n=5705</w:t>
            </w:r>
          </w:p>
        </w:tc>
      </w:tr>
      <w:tr w:rsidR="002B44B9" w:rsidRPr="001F3926" w14:paraId="65A6C249" w14:textId="77777777" w:rsidTr="002B44B9">
        <w:trPr>
          <w:cantSplit/>
          <w:tblHeader/>
        </w:trPr>
        <w:tc>
          <w:tcPr>
            <w:tcW w:w="975" w:type="pct"/>
            <w:tcBorders>
              <w:top w:val="nil"/>
              <w:bottom w:val="single" w:sz="4" w:space="0" w:color="000000"/>
            </w:tcBorders>
          </w:tcPr>
          <w:p w14:paraId="00807CC2" w14:textId="77777777" w:rsidR="007123C7" w:rsidRPr="001F3926" w:rsidRDefault="007123C7" w:rsidP="00E82294">
            <w:pPr>
              <w:pStyle w:val="TableText"/>
              <w:rPr>
                <w:b/>
              </w:rPr>
            </w:pPr>
          </w:p>
        </w:tc>
        <w:tc>
          <w:tcPr>
            <w:tcW w:w="247" w:type="pct"/>
            <w:tcBorders>
              <w:top w:val="single" w:sz="4" w:space="0" w:color="000000"/>
              <w:bottom w:val="single" w:sz="4" w:space="0" w:color="000000"/>
            </w:tcBorders>
            <w:vAlign w:val="bottom"/>
          </w:tcPr>
          <w:p w14:paraId="5C3ECBCF" w14:textId="77777777" w:rsidR="007123C7" w:rsidRPr="001F3926" w:rsidRDefault="007123C7" w:rsidP="00BF4EFA">
            <w:pPr>
              <w:pStyle w:val="TableText"/>
              <w:jc w:val="right"/>
              <w:rPr>
                <w:b/>
              </w:rPr>
            </w:pPr>
            <w:r w:rsidRPr="001F3926">
              <w:rPr>
                <w:b/>
              </w:rPr>
              <w:t>n</w:t>
            </w:r>
          </w:p>
        </w:tc>
        <w:tc>
          <w:tcPr>
            <w:tcW w:w="351" w:type="pct"/>
            <w:tcBorders>
              <w:top w:val="single" w:sz="4" w:space="0" w:color="000000"/>
              <w:bottom w:val="single" w:sz="4" w:space="0" w:color="000000"/>
            </w:tcBorders>
            <w:vAlign w:val="bottom"/>
          </w:tcPr>
          <w:p w14:paraId="701D99EA" w14:textId="77777777" w:rsidR="007123C7" w:rsidRPr="001F3926" w:rsidRDefault="007123C7" w:rsidP="00BF4EFA">
            <w:pPr>
              <w:pStyle w:val="TableText"/>
              <w:jc w:val="right"/>
              <w:rPr>
                <w:b/>
              </w:rPr>
            </w:pPr>
            <w:r w:rsidRPr="001F3926">
              <w:rPr>
                <w:b/>
              </w:rPr>
              <w:t>Weighted n</w:t>
            </w:r>
          </w:p>
        </w:tc>
        <w:tc>
          <w:tcPr>
            <w:tcW w:w="409" w:type="pct"/>
            <w:tcBorders>
              <w:top w:val="single" w:sz="4" w:space="0" w:color="000000"/>
              <w:bottom w:val="single" w:sz="4" w:space="0" w:color="000000"/>
            </w:tcBorders>
            <w:vAlign w:val="bottom"/>
          </w:tcPr>
          <w:p w14:paraId="3AA6A9E2" w14:textId="77777777" w:rsidR="007123C7" w:rsidRPr="001F3926" w:rsidRDefault="007123C7" w:rsidP="00BF4EFA">
            <w:pPr>
              <w:pStyle w:val="TableText"/>
              <w:jc w:val="right"/>
              <w:rPr>
                <w:b/>
              </w:rPr>
            </w:pPr>
            <w:r w:rsidRPr="001F3926">
              <w:rPr>
                <w:b/>
              </w:rPr>
              <w:t>% (95%CI)</w:t>
            </w:r>
          </w:p>
        </w:tc>
        <w:tc>
          <w:tcPr>
            <w:tcW w:w="255" w:type="pct"/>
            <w:tcBorders>
              <w:top w:val="single" w:sz="4" w:space="0" w:color="000000"/>
              <w:bottom w:val="single" w:sz="4" w:space="0" w:color="000000"/>
            </w:tcBorders>
            <w:vAlign w:val="bottom"/>
          </w:tcPr>
          <w:p w14:paraId="26D010F4" w14:textId="77777777" w:rsidR="007123C7" w:rsidRPr="001F3926" w:rsidRDefault="007123C7" w:rsidP="00BF4EFA">
            <w:pPr>
              <w:pStyle w:val="TableText"/>
              <w:jc w:val="right"/>
              <w:rPr>
                <w:b/>
              </w:rPr>
            </w:pPr>
            <w:r w:rsidRPr="001F3926">
              <w:rPr>
                <w:b/>
              </w:rPr>
              <w:t>n</w:t>
            </w:r>
          </w:p>
        </w:tc>
        <w:tc>
          <w:tcPr>
            <w:tcW w:w="352" w:type="pct"/>
            <w:tcBorders>
              <w:top w:val="single" w:sz="4" w:space="0" w:color="000000"/>
              <w:bottom w:val="single" w:sz="4" w:space="0" w:color="000000"/>
            </w:tcBorders>
            <w:vAlign w:val="bottom"/>
          </w:tcPr>
          <w:p w14:paraId="17272FEB" w14:textId="77777777" w:rsidR="007123C7" w:rsidRPr="001F3926" w:rsidRDefault="007123C7" w:rsidP="00BF4EFA">
            <w:pPr>
              <w:pStyle w:val="TableText"/>
              <w:jc w:val="right"/>
              <w:rPr>
                <w:b/>
              </w:rPr>
            </w:pPr>
            <w:r w:rsidRPr="001F3926">
              <w:rPr>
                <w:b/>
              </w:rPr>
              <w:t>Weighted n</w:t>
            </w:r>
          </w:p>
        </w:tc>
        <w:tc>
          <w:tcPr>
            <w:tcW w:w="400" w:type="pct"/>
            <w:tcBorders>
              <w:top w:val="single" w:sz="4" w:space="0" w:color="000000"/>
              <w:bottom w:val="single" w:sz="4" w:space="0" w:color="000000"/>
            </w:tcBorders>
            <w:vAlign w:val="bottom"/>
          </w:tcPr>
          <w:p w14:paraId="55660497" w14:textId="77777777" w:rsidR="007123C7" w:rsidRPr="001F3926" w:rsidRDefault="007123C7" w:rsidP="00BF4EFA">
            <w:pPr>
              <w:pStyle w:val="TableText"/>
              <w:jc w:val="right"/>
              <w:rPr>
                <w:b/>
              </w:rPr>
            </w:pPr>
            <w:r w:rsidRPr="001F3926">
              <w:rPr>
                <w:b/>
              </w:rPr>
              <w:t>% (95%CI)</w:t>
            </w:r>
          </w:p>
        </w:tc>
        <w:tc>
          <w:tcPr>
            <w:tcW w:w="264" w:type="pct"/>
            <w:tcBorders>
              <w:top w:val="single" w:sz="4" w:space="0" w:color="000000"/>
              <w:bottom w:val="single" w:sz="4" w:space="0" w:color="000000"/>
            </w:tcBorders>
            <w:vAlign w:val="bottom"/>
          </w:tcPr>
          <w:p w14:paraId="45CAF3DD" w14:textId="77777777" w:rsidR="007123C7" w:rsidRPr="001F3926" w:rsidRDefault="007123C7" w:rsidP="00BF4EFA">
            <w:pPr>
              <w:pStyle w:val="TableText"/>
              <w:jc w:val="right"/>
              <w:rPr>
                <w:b/>
              </w:rPr>
            </w:pPr>
            <w:r w:rsidRPr="001F3926">
              <w:rPr>
                <w:b/>
              </w:rPr>
              <w:t>n</w:t>
            </w:r>
          </w:p>
        </w:tc>
        <w:tc>
          <w:tcPr>
            <w:tcW w:w="352" w:type="pct"/>
            <w:tcBorders>
              <w:top w:val="single" w:sz="4" w:space="0" w:color="000000"/>
              <w:bottom w:val="single" w:sz="4" w:space="0" w:color="000000"/>
            </w:tcBorders>
            <w:vAlign w:val="bottom"/>
          </w:tcPr>
          <w:p w14:paraId="15FA4B6A" w14:textId="77777777" w:rsidR="007123C7" w:rsidRPr="001F3926" w:rsidRDefault="007123C7" w:rsidP="00BF4EFA">
            <w:pPr>
              <w:pStyle w:val="TableText"/>
              <w:jc w:val="right"/>
              <w:rPr>
                <w:b/>
              </w:rPr>
            </w:pPr>
            <w:r w:rsidRPr="001F3926">
              <w:rPr>
                <w:b/>
              </w:rPr>
              <w:t>Weighted n</w:t>
            </w:r>
          </w:p>
        </w:tc>
        <w:tc>
          <w:tcPr>
            <w:tcW w:w="391" w:type="pct"/>
            <w:tcBorders>
              <w:top w:val="single" w:sz="4" w:space="0" w:color="000000"/>
              <w:bottom w:val="single" w:sz="4" w:space="0" w:color="000000"/>
            </w:tcBorders>
            <w:vAlign w:val="bottom"/>
          </w:tcPr>
          <w:p w14:paraId="3E2BEB16" w14:textId="77777777" w:rsidR="007123C7" w:rsidRPr="001F3926" w:rsidRDefault="007123C7" w:rsidP="00BF4EFA">
            <w:pPr>
              <w:pStyle w:val="TableText"/>
              <w:jc w:val="right"/>
              <w:rPr>
                <w:b/>
              </w:rPr>
            </w:pPr>
            <w:r w:rsidRPr="001F3926">
              <w:rPr>
                <w:b/>
              </w:rPr>
              <w:t>% (95%CI)</w:t>
            </w:r>
          </w:p>
        </w:tc>
        <w:tc>
          <w:tcPr>
            <w:tcW w:w="273" w:type="pct"/>
            <w:tcBorders>
              <w:top w:val="single" w:sz="4" w:space="0" w:color="000000"/>
              <w:bottom w:val="single" w:sz="4" w:space="0" w:color="000000"/>
            </w:tcBorders>
            <w:vAlign w:val="bottom"/>
          </w:tcPr>
          <w:p w14:paraId="35E69312" w14:textId="77777777" w:rsidR="007123C7" w:rsidRPr="001F3926" w:rsidRDefault="007123C7" w:rsidP="00BF4EFA">
            <w:pPr>
              <w:pStyle w:val="TableText"/>
              <w:jc w:val="right"/>
              <w:rPr>
                <w:b/>
              </w:rPr>
            </w:pPr>
            <w:r w:rsidRPr="001F3926">
              <w:rPr>
                <w:b/>
              </w:rPr>
              <w:t>n</w:t>
            </w:r>
          </w:p>
        </w:tc>
        <w:tc>
          <w:tcPr>
            <w:tcW w:w="351" w:type="pct"/>
            <w:tcBorders>
              <w:top w:val="single" w:sz="4" w:space="0" w:color="000000"/>
              <w:bottom w:val="single" w:sz="4" w:space="0" w:color="000000"/>
            </w:tcBorders>
            <w:vAlign w:val="bottom"/>
          </w:tcPr>
          <w:p w14:paraId="69A4D87A" w14:textId="77777777" w:rsidR="007123C7" w:rsidRPr="001F3926" w:rsidRDefault="007123C7" w:rsidP="00BF4EFA">
            <w:pPr>
              <w:pStyle w:val="TableText"/>
              <w:jc w:val="right"/>
              <w:rPr>
                <w:b/>
              </w:rPr>
            </w:pPr>
            <w:r w:rsidRPr="001F3926">
              <w:rPr>
                <w:b/>
              </w:rPr>
              <w:t>Weighted n</w:t>
            </w:r>
          </w:p>
        </w:tc>
        <w:tc>
          <w:tcPr>
            <w:tcW w:w="380" w:type="pct"/>
            <w:tcBorders>
              <w:top w:val="single" w:sz="4" w:space="0" w:color="000000"/>
              <w:bottom w:val="single" w:sz="4" w:space="0" w:color="000000"/>
            </w:tcBorders>
            <w:vAlign w:val="bottom"/>
          </w:tcPr>
          <w:p w14:paraId="7411B056" w14:textId="77777777" w:rsidR="007123C7" w:rsidRPr="001F3926" w:rsidRDefault="007123C7" w:rsidP="00BF4EFA">
            <w:pPr>
              <w:pStyle w:val="TableText"/>
              <w:jc w:val="right"/>
              <w:rPr>
                <w:b/>
              </w:rPr>
            </w:pPr>
            <w:r w:rsidRPr="001F3926">
              <w:rPr>
                <w:b/>
              </w:rPr>
              <w:t>% (95%CI)</w:t>
            </w:r>
          </w:p>
        </w:tc>
      </w:tr>
      <w:tr w:rsidR="002B44B9" w:rsidRPr="001F3926" w14:paraId="3FE2E028"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Borders>
              <w:top w:val="single" w:sz="4" w:space="0" w:color="000000"/>
            </w:tcBorders>
          </w:tcPr>
          <w:p w14:paraId="49784BDA" w14:textId="77777777" w:rsidR="007123C7" w:rsidRPr="001F3926" w:rsidRDefault="007123C7" w:rsidP="00BF4EFA">
            <w:pPr>
              <w:pStyle w:val="TableText"/>
              <w:rPr>
                <w:b/>
              </w:rPr>
            </w:pPr>
            <w:r w:rsidRPr="001F3926">
              <w:rPr>
                <w:b/>
              </w:rPr>
              <w:t>Posttraumatic stress disorder (PCL</w:t>
            </w:r>
            <w:r w:rsidR="00BF4EFA" w:rsidRPr="001F3926">
              <w:rPr>
                <w:b/>
              </w:rPr>
              <w:noBreakHyphen/>
            </w:r>
            <w:r w:rsidRPr="001F3926">
              <w:rPr>
                <w:b/>
              </w:rPr>
              <w:t>C)</w:t>
            </w:r>
          </w:p>
        </w:tc>
        <w:tc>
          <w:tcPr>
            <w:tcW w:w="247" w:type="pct"/>
            <w:tcBorders>
              <w:top w:val="single" w:sz="4" w:space="0" w:color="000000"/>
            </w:tcBorders>
          </w:tcPr>
          <w:p w14:paraId="2702C22A" w14:textId="77777777" w:rsidR="007123C7" w:rsidRPr="001F3926" w:rsidRDefault="007123C7" w:rsidP="00E82294">
            <w:pPr>
              <w:pStyle w:val="TableText"/>
              <w:jc w:val="right"/>
            </w:pPr>
          </w:p>
        </w:tc>
        <w:tc>
          <w:tcPr>
            <w:tcW w:w="351" w:type="pct"/>
            <w:tcBorders>
              <w:top w:val="single" w:sz="4" w:space="0" w:color="000000"/>
            </w:tcBorders>
          </w:tcPr>
          <w:p w14:paraId="2FDF822D" w14:textId="77777777" w:rsidR="007123C7" w:rsidRPr="001F3926" w:rsidRDefault="007123C7" w:rsidP="00E82294">
            <w:pPr>
              <w:pStyle w:val="TableText"/>
              <w:jc w:val="right"/>
            </w:pPr>
          </w:p>
        </w:tc>
        <w:tc>
          <w:tcPr>
            <w:tcW w:w="409" w:type="pct"/>
            <w:tcBorders>
              <w:top w:val="single" w:sz="4" w:space="0" w:color="000000"/>
            </w:tcBorders>
          </w:tcPr>
          <w:p w14:paraId="2C91C5AD" w14:textId="77777777" w:rsidR="007123C7" w:rsidRPr="001F3926" w:rsidRDefault="007123C7" w:rsidP="00E82294">
            <w:pPr>
              <w:pStyle w:val="TableText"/>
              <w:jc w:val="right"/>
            </w:pPr>
          </w:p>
        </w:tc>
        <w:tc>
          <w:tcPr>
            <w:tcW w:w="255" w:type="pct"/>
            <w:tcBorders>
              <w:top w:val="single" w:sz="4" w:space="0" w:color="000000"/>
            </w:tcBorders>
          </w:tcPr>
          <w:p w14:paraId="6F5942B4" w14:textId="77777777" w:rsidR="007123C7" w:rsidRPr="001F3926" w:rsidRDefault="007123C7" w:rsidP="00E82294">
            <w:pPr>
              <w:pStyle w:val="TableText"/>
              <w:jc w:val="right"/>
            </w:pPr>
          </w:p>
        </w:tc>
        <w:tc>
          <w:tcPr>
            <w:tcW w:w="352" w:type="pct"/>
            <w:tcBorders>
              <w:top w:val="single" w:sz="4" w:space="0" w:color="000000"/>
            </w:tcBorders>
          </w:tcPr>
          <w:p w14:paraId="4E60F0D2" w14:textId="77777777" w:rsidR="007123C7" w:rsidRPr="001F3926" w:rsidRDefault="007123C7" w:rsidP="00E82294">
            <w:pPr>
              <w:pStyle w:val="TableText"/>
              <w:jc w:val="right"/>
            </w:pPr>
          </w:p>
        </w:tc>
        <w:tc>
          <w:tcPr>
            <w:tcW w:w="400" w:type="pct"/>
            <w:tcBorders>
              <w:top w:val="single" w:sz="4" w:space="0" w:color="000000"/>
            </w:tcBorders>
          </w:tcPr>
          <w:p w14:paraId="780384D3" w14:textId="77777777" w:rsidR="007123C7" w:rsidRPr="001F3926" w:rsidRDefault="007123C7" w:rsidP="00E82294">
            <w:pPr>
              <w:pStyle w:val="TableText"/>
              <w:jc w:val="right"/>
            </w:pPr>
          </w:p>
        </w:tc>
        <w:tc>
          <w:tcPr>
            <w:tcW w:w="264" w:type="pct"/>
            <w:tcBorders>
              <w:top w:val="single" w:sz="4" w:space="0" w:color="000000"/>
            </w:tcBorders>
          </w:tcPr>
          <w:p w14:paraId="3A0B7901" w14:textId="77777777" w:rsidR="007123C7" w:rsidRPr="001F3926" w:rsidRDefault="007123C7" w:rsidP="00E82294">
            <w:pPr>
              <w:pStyle w:val="TableText"/>
              <w:jc w:val="right"/>
            </w:pPr>
          </w:p>
        </w:tc>
        <w:tc>
          <w:tcPr>
            <w:tcW w:w="352" w:type="pct"/>
            <w:tcBorders>
              <w:top w:val="single" w:sz="4" w:space="0" w:color="000000"/>
            </w:tcBorders>
          </w:tcPr>
          <w:p w14:paraId="652DF9FF" w14:textId="77777777" w:rsidR="007123C7" w:rsidRPr="001F3926" w:rsidRDefault="007123C7" w:rsidP="00E82294">
            <w:pPr>
              <w:pStyle w:val="TableText"/>
              <w:jc w:val="right"/>
            </w:pPr>
          </w:p>
        </w:tc>
        <w:tc>
          <w:tcPr>
            <w:tcW w:w="391" w:type="pct"/>
            <w:tcBorders>
              <w:top w:val="single" w:sz="4" w:space="0" w:color="000000"/>
            </w:tcBorders>
          </w:tcPr>
          <w:p w14:paraId="2FDC9549" w14:textId="77777777" w:rsidR="007123C7" w:rsidRPr="001F3926" w:rsidRDefault="007123C7" w:rsidP="00E82294">
            <w:pPr>
              <w:pStyle w:val="TableText"/>
              <w:jc w:val="right"/>
            </w:pPr>
          </w:p>
        </w:tc>
        <w:tc>
          <w:tcPr>
            <w:tcW w:w="273" w:type="pct"/>
            <w:tcBorders>
              <w:top w:val="single" w:sz="4" w:space="0" w:color="000000"/>
            </w:tcBorders>
          </w:tcPr>
          <w:p w14:paraId="3C57EFB4" w14:textId="77777777" w:rsidR="007123C7" w:rsidRPr="001F3926" w:rsidRDefault="007123C7" w:rsidP="00E82294">
            <w:pPr>
              <w:pStyle w:val="TableText"/>
              <w:jc w:val="right"/>
            </w:pPr>
          </w:p>
        </w:tc>
        <w:tc>
          <w:tcPr>
            <w:tcW w:w="351" w:type="pct"/>
            <w:tcBorders>
              <w:top w:val="single" w:sz="4" w:space="0" w:color="000000"/>
            </w:tcBorders>
          </w:tcPr>
          <w:p w14:paraId="1493B299" w14:textId="77777777" w:rsidR="007123C7" w:rsidRPr="001F3926" w:rsidRDefault="007123C7" w:rsidP="00E82294">
            <w:pPr>
              <w:pStyle w:val="TableText"/>
              <w:jc w:val="right"/>
            </w:pPr>
          </w:p>
        </w:tc>
        <w:tc>
          <w:tcPr>
            <w:tcW w:w="380" w:type="pct"/>
            <w:tcBorders>
              <w:top w:val="single" w:sz="4" w:space="0" w:color="000000"/>
            </w:tcBorders>
          </w:tcPr>
          <w:p w14:paraId="013741C5" w14:textId="77777777" w:rsidR="007123C7" w:rsidRPr="001F3926" w:rsidRDefault="007123C7" w:rsidP="00E82294">
            <w:pPr>
              <w:pStyle w:val="TableText"/>
              <w:jc w:val="right"/>
            </w:pPr>
          </w:p>
        </w:tc>
      </w:tr>
      <w:tr w:rsidR="002B44B9" w:rsidRPr="001F3926" w14:paraId="607B97D3" w14:textId="77777777" w:rsidTr="002B44B9">
        <w:trPr>
          <w:cantSplit/>
        </w:trPr>
        <w:tc>
          <w:tcPr>
            <w:tcW w:w="975" w:type="pct"/>
          </w:tcPr>
          <w:p w14:paraId="7DBE4435" w14:textId="77777777" w:rsidR="007123C7" w:rsidRPr="001F3926" w:rsidRDefault="007123C7" w:rsidP="00E82294">
            <w:pPr>
              <w:pStyle w:val="TableText"/>
              <w:rPr>
                <w:bCs/>
                <w:color w:val="000000" w:themeColor="text1"/>
              </w:rPr>
            </w:pPr>
            <w:r w:rsidRPr="001F3926">
              <w:t xml:space="preserve">Probable disorder </w:t>
            </w:r>
          </w:p>
        </w:tc>
        <w:tc>
          <w:tcPr>
            <w:tcW w:w="247" w:type="pct"/>
          </w:tcPr>
          <w:p w14:paraId="074B9D38" w14:textId="77777777" w:rsidR="007123C7" w:rsidRPr="001F3926" w:rsidRDefault="007123C7" w:rsidP="00E82294">
            <w:pPr>
              <w:pStyle w:val="TableText"/>
              <w:jc w:val="right"/>
            </w:pPr>
            <w:r w:rsidRPr="001F3926">
              <w:rPr>
                <w:rFonts w:cs="Arial"/>
              </w:rPr>
              <w:t>357</w:t>
            </w:r>
          </w:p>
        </w:tc>
        <w:tc>
          <w:tcPr>
            <w:tcW w:w="351" w:type="pct"/>
          </w:tcPr>
          <w:p w14:paraId="7ADB1979" w14:textId="77777777" w:rsidR="007123C7" w:rsidRPr="001F3926" w:rsidRDefault="007123C7" w:rsidP="00E82294">
            <w:pPr>
              <w:pStyle w:val="TableText"/>
              <w:jc w:val="right"/>
            </w:pPr>
            <w:r w:rsidRPr="001F3926">
              <w:rPr>
                <w:rFonts w:cs="Arial"/>
              </w:rPr>
              <w:t>2288</w:t>
            </w:r>
          </w:p>
        </w:tc>
        <w:tc>
          <w:tcPr>
            <w:tcW w:w="409" w:type="pct"/>
          </w:tcPr>
          <w:p w14:paraId="426D36A3" w14:textId="77777777" w:rsidR="007123C7" w:rsidRPr="001F3926" w:rsidRDefault="007123C7" w:rsidP="00E82294">
            <w:pPr>
              <w:pStyle w:val="TableText"/>
              <w:jc w:val="right"/>
            </w:pPr>
            <w:r w:rsidRPr="001F3926">
              <w:rPr>
                <w:rFonts w:cs="Arial"/>
              </w:rPr>
              <w:t>70.4 (65.4</w:t>
            </w:r>
            <w:r w:rsidR="00BF4EFA" w:rsidRPr="001F3926">
              <w:rPr>
                <w:rFonts w:cs="Arial"/>
              </w:rPr>
              <w:t>, </w:t>
            </w:r>
            <w:r w:rsidRPr="001F3926">
              <w:rPr>
                <w:rFonts w:cs="Arial"/>
              </w:rPr>
              <w:t>75.0)</w:t>
            </w:r>
          </w:p>
        </w:tc>
        <w:tc>
          <w:tcPr>
            <w:tcW w:w="255" w:type="pct"/>
          </w:tcPr>
          <w:p w14:paraId="72D5D278" w14:textId="77777777" w:rsidR="007123C7" w:rsidRPr="001F3926" w:rsidRDefault="007123C7" w:rsidP="00E82294">
            <w:pPr>
              <w:pStyle w:val="TableText"/>
              <w:jc w:val="right"/>
            </w:pPr>
            <w:r w:rsidRPr="001F3926">
              <w:rPr>
                <w:rFonts w:cs="Arial"/>
              </w:rPr>
              <w:t>153</w:t>
            </w:r>
          </w:p>
        </w:tc>
        <w:tc>
          <w:tcPr>
            <w:tcW w:w="352" w:type="pct"/>
          </w:tcPr>
          <w:p w14:paraId="0FF83BD5" w14:textId="77777777" w:rsidR="007123C7" w:rsidRPr="001F3926" w:rsidRDefault="007123C7" w:rsidP="00E82294">
            <w:pPr>
              <w:pStyle w:val="TableText"/>
              <w:jc w:val="right"/>
            </w:pPr>
            <w:r w:rsidRPr="001F3926">
              <w:rPr>
                <w:rFonts w:cs="Arial"/>
              </w:rPr>
              <w:t>961</w:t>
            </w:r>
          </w:p>
        </w:tc>
        <w:tc>
          <w:tcPr>
            <w:tcW w:w="400" w:type="pct"/>
          </w:tcPr>
          <w:p w14:paraId="411C2622" w14:textId="77777777" w:rsidR="007123C7" w:rsidRPr="001F3926" w:rsidRDefault="007123C7" w:rsidP="00E82294">
            <w:pPr>
              <w:pStyle w:val="TableText"/>
              <w:jc w:val="right"/>
              <w:rPr>
                <w:rFonts w:eastAsia="Times New Roman" w:cs="Arial"/>
              </w:rPr>
            </w:pPr>
            <w:r w:rsidRPr="001F3926">
              <w:rPr>
                <w:rFonts w:cs="Arial"/>
              </w:rPr>
              <w:t>29.6 (25.0</w:t>
            </w:r>
            <w:r w:rsidR="00BF4EFA" w:rsidRPr="001F3926">
              <w:rPr>
                <w:rFonts w:cs="Arial"/>
              </w:rPr>
              <w:t>, </w:t>
            </w:r>
            <w:r w:rsidRPr="001F3926">
              <w:rPr>
                <w:rFonts w:cs="Arial"/>
              </w:rPr>
              <w:t>34.6)</w:t>
            </w:r>
          </w:p>
        </w:tc>
        <w:tc>
          <w:tcPr>
            <w:tcW w:w="264" w:type="pct"/>
          </w:tcPr>
          <w:p w14:paraId="6FEFB254" w14:textId="77777777" w:rsidR="007123C7" w:rsidRPr="001F3926" w:rsidRDefault="007123C7" w:rsidP="00E82294">
            <w:pPr>
              <w:pStyle w:val="TableText"/>
              <w:jc w:val="right"/>
            </w:pPr>
            <w:r w:rsidRPr="001F3926">
              <w:rPr>
                <w:rFonts w:cs="Arial"/>
              </w:rPr>
              <w:t>162</w:t>
            </w:r>
          </w:p>
        </w:tc>
        <w:tc>
          <w:tcPr>
            <w:tcW w:w="352" w:type="pct"/>
          </w:tcPr>
          <w:p w14:paraId="59992166" w14:textId="77777777" w:rsidR="007123C7" w:rsidRPr="001F3926" w:rsidRDefault="007123C7" w:rsidP="00E82294">
            <w:pPr>
              <w:pStyle w:val="TableText"/>
              <w:jc w:val="right"/>
            </w:pPr>
            <w:r w:rsidRPr="001F3926">
              <w:rPr>
                <w:rFonts w:cs="Arial"/>
              </w:rPr>
              <w:t>1190</w:t>
            </w:r>
          </w:p>
        </w:tc>
        <w:tc>
          <w:tcPr>
            <w:tcW w:w="391" w:type="pct"/>
          </w:tcPr>
          <w:p w14:paraId="62A31AA6" w14:textId="77777777" w:rsidR="007123C7" w:rsidRPr="001F3926" w:rsidRDefault="007123C7" w:rsidP="00E82294">
            <w:pPr>
              <w:pStyle w:val="TableText"/>
              <w:jc w:val="right"/>
              <w:rPr>
                <w:rFonts w:eastAsia="Times New Roman" w:cs="Arial"/>
              </w:rPr>
            </w:pPr>
            <w:r w:rsidRPr="001F3926">
              <w:rPr>
                <w:rFonts w:cs="Arial"/>
              </w:rPr>
              <w:t>82.1 (72.3</w:t>
            </w:r>
            <w:r w:rsidR="00BF4EFA" w:rsidRPr="001F3926">
              <w:rPr>
                <w:rFonts w:cs="Arial"/>
              </w:rPr>
              <w:t>, </w:t>
            </w:r>
            <w:r w:rsidRPr="001F3926">
              <w:rPr>
                <w:rFonts w:cs="Arial"/>
              </w:rPr>
              <w:t>88.9)</w:t>
            </w:r>
          </w:p>
        </w:tc>
        <w:tc>
          <w:tcPr>
            <w:tcW w:w="273" w:type="pct"/>
          </w:tcPr>
          <w:p w14:paraId="26422EEB" w14:textId="77777777" w:rsidR="007123C7" w:rsidRPr="001F3926" w:rsidRDefault="007123C7" w:rsidP="00E82294">
            <w:pPr>
              <w:pStyle w:val="TableText"/>
              <w:jc w:val="right"/>
            </w:pPr>
            <w:r w:rsidRPr="001F3926">
              <w:rPr>
                <w:rFonts w:cs="Arial"/>
              </w:rPr>
              <w:t>67</w:t>
            </w:r>
          </w:p>
        </w:tc>
        <w:tc>
          <w:tcPr>
            <w:tcW w:w="351" w:type="pct"/>
          </w:tcPr>
          <w:p w14:paraId="540EB454" w14:textId="77777777" w:rsidR="007123C7" w:rsidRPr="001F3926" w:rsidRDefault="007123C7" w:rsidP="00E82294">
            <w:pPr>
              <w:pStyle w:val="TableText"/>
              <w:jc w:val="right"/>
            </w:pPr>
            <w:r w:rsidRPr="001F3926">
              <w:rPr>
                <w:rFonts w:cs="Arial"/>
              </w:rPr>
              <w:t>260</w:t>
            </w:r>
          </w:p>
        </w:tc>
        <w:tc>
          <w:tcPr>
            <w:tcW w:w="380" w:type="pct"/>
          </w:tcPr>
          <w:p w14:paraId="5328D4E1" w14:textId="77777777" w:rsidR="007123C7" w:rsidRPr="001F3926" w:rsidRDefault="007123C7" w:rsidP="00E82294">
            <w:pPr>
              <w:pStyle w:val="TableText"/>
              <w:jc w:val="right"/>
            </w:pPr>
            <w:r w:rsidRPr="001F3926">
              <w:rPr>
                <w:rFonts w:cs="Arial"/>
              </w:rPr>
              <w:t>17.9 (11.1</w:t>
            </w:r>
            <w:r w:rsidR="00BF4EFA" w:rsidRPr="001F3926">
              <w:rPr>
                <w:rFonts w:cs="Arial"/>
              </w:rPr>
              <w:t>, </w:t>
            </w:r>
            <w:r w:rsidRPr="001F3926">
              <w:rPr>
                <w:rFonts w:cs="Arial"/>
              </w:rPr>
              <w:t>27.7)</w:t>
            </w:r>
          </w:p>
        </w:tc>
      </w:tr>
      <w:tr w:rsidR="00BF4EFA" w:rsidRPr="001F3926" w14:paraId="10526BFC"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Pr>
          <w:p w14:paraId="007C5C90" w14:textId="77777777" w:rsidR="007123C7" w:rsidRPr="001F3926" w:rsidRDefault="007155C2" w:rsidP="00E82294">
            <w:pPr>
              <w:pStyle w:val="TableText"/>
              <w:rPr>
                <w:bCs/>
                <w:color w:val="000000" w:themeColor="text1"/>
              </w:rPr>
            </w:pPr>
            <w:r>
              <w:t>Subsyndromal</w:t>
            </w:r>
            <w:r w:rsidR="007123C7" w:rsidRPr="001F3926">
              <w:t xml:space="preserve"> disorder </w:t>
            </w:r>
          </w:p>
        </w:tc>
        <w:tc>
          <w:tcPr>
            <w:tcW w:w="247" w:type="pct"/>
          </w:tcPr>
          <w:p w14:paraId="3DF7AACC" w14:textId="77777777" w:rsidR="007123C7" w:rsidRPr="001F3926" w:rsidRDefault="007123C7" w:rsidP="00E82294">
            <w:pPr>
              <w:pStyle w:val="TableText"/>
              <w:jc w:val="right"/>
            </w:pPr>
            <w:r w:rsidRPr="001F3926">
              <w:rPr>
                <w:rFonts w:cs="Arial"/>
              </w:rPr>
              <w:t>782</w:t>
            </w:r>
          </w:p>
        </w:tc>
        <w:tc>
          <w:tcPr>
            <w:tcW w:w="351" w:type="pct"/>
          </w:tcPr>
          <w:p w14:paraId="61602D93" w14:textId="77777777" w:rsidR="007123C7" w:rsidRPr="001F3926" w:rsidRDefault="007123C7" w:rsidP="00E82294">
            <w:pPr>
              <w:pStyle w:val="TableText"/>
              <w:jc w:val="right"/>
            </w:pPr>
            <w:r w:rsidRPr="001F3926">
              <w:rPr>
                <w:rFonts w:cs="Arial"/>
              </w:rPr>
              <w:t>5408</w:t>
            </w:r>
          </w:p>
        </w:tc>
        <w:tc>
          <w:tcPr>
            <w:tcW w:w="409" w:type="pct"/>
          </w:tcPr>
          <w:p w14:paraId="41C1410F" w14:textId="77777777" w:rsidR="007123C7" w:rsidRPr="001F3926" w:rsidRDefault="007123C7" w:rsidP="00E82294">
            <w:pPr>
              <w:pStyle w:val="TableText"/>
              <w:jc w:val="right"/>
            </w:pPr>
            <w:r w:rsidRPr="001F3926">
              <w:rPr>
                <w:rFonts w:cs="Arial"/>
              </w:rPr>
              <w:t>79.6 (76.4</w:t>
            </w:r>
            <w:r w:rsidR="00BF4EFA" w:rsidRPr="001F3926">
              <w:rPr>
                <w:rFonts w:cs="Arial"/>
              </w:rPr>
              <w:t>, </w:t>
            </w:r>
            <w:r w:rsidRPr="001F3926">
              <w:rPr>
                <w:rFonts w:cs="Arial"/>
              </w:rPr>
              <w:t>82.4)</w:t>
            </w:r>
          </w:p>
        </w:tc>
        <w:tc>
          <w:tcPr>
            <w:tcW w:w="255" w:type="pct"/>
          </w:tcPr>
          <w:p w14:paraId="2DE9C26E" w14:textId="77777777" w:rsidR="007123C7" w:rsidRPr="001F3926" w:rsidRDefault="007123C7" w:rsidP="00E82294">
            <w:pPr>
              <w:pStyle w:val="TableText"/>
              <w:jc w:val="right"/>
            </w:pPr>
            <w:r w:rsidRPr="001F3926">
              <w:rPr>
                <w:rFonts w:cs="Arial"/>
              </w:rPr>
              <w:t>213</w:t>
            </w:r>
          </w:p>
        </w:tc>
        <w:tc>
          <w:tcPr>
            <w:tcW w:w="352" w:type="pct"/>
          </w:tcPr>
          <w:p w14:paraId="7BD4B19A" w14:textId="77777777" w:rsidR="007123C7" w:rsidRPr="001F3926" w:rsidRDefault="007123C7" w:rsidP="00E82294">
            <w:pPr>
              <w:pStyle w:val="TableText"/>
              <w:jc w:val="right"/>
            </w:pPr>
            <w:r w:rsidRPr="001F3926">
              <w:rPr>
                <w:rFonts w:cs="Arial"/>
              </w:rPr>
              <w:t>1386</w:t>
            </w:r>
          </w:p>
        </w:tc>
        <w:tc>
          <w:tcPr>
            <w:tcW w:w="400" w:type="pct"/>
          </w:tcPr>
          <w:p w14:paraId="29AE5144" w14:textId="77777777" w:rsidR="007123C7" w:rsidRPr="001F3926" w:rsidRDefault="007123C7" w:rsidP="00E82294">
            <w:pPr>
              <w:pStyle w:val="TableText"/>
              <w:jc w:val="right"/>
            </w:pPr>
            <w:r w:rsidRPr="001F3926">
              <w:rPr>
                <w:rFonts w:cs="Arial"/>
              </w:rPr>
              <w:t>20.4 (17.6</w:t>
            </w:r>
            <w:r w:rsidR="00BF4EFA" w:rsidRPr="001F3926">
              <w:rPr>
                <w:rFonts w:cs="Arial"/>
              </w:rPr>
              <w:t>, </w:t>
            </w:r>
            <w:r w:rsidRPr="001F3926">
              <w:rPr>
                <w:rFonts w:cs="Arial"/>
              </w:rPr>
              <w:t>23.6)</w:t>
            </w:r>
          </w:p>
        </w:tc>
        <w:tc>
          <w:tcPr>
            <w:tcW w:w="264" w:type="pct"/>
          </w:tcPr>
          <w:p w14:paraId="1F705BF9" w14:textId="77777777" w:rsidR="007123C7" w:rsidRPr="001F3926" w:rsidRDefault="007123C7" w:rsidP="00E82294">
            <w:pPr>
              <w:pStyle w:val="TableText"/>
              <w:jc w:val="right"/>
            </w:pPr>
            <w:r w:rsidRPr="001F3926">
              <w:rPr>
                <w:rFonts w:cs="Arial"/>
              </w:rPr>
              <w:t>997</w:t>
            </w:r>
          </w:p>
        </w:tc>
        <w:tc>
          <w:tcPr>
            <w:tcW w:w="352" w:type="pct"/>
          </w:tcPr>
          <w:p w14:paraId="348510C3" w14:textId="77777777" w:rsidR="007123C7" w:rsidRPr="001F3926" w:rsidRDefault="007123C7" w:rsidP="00E82294">
            <w:pPr>
              <w:pStyle w:val="TableText"/>
              <w:jc w:val="right"/>
            </w:pPr>
            <w:r w:rsidRPr="001F3926">
              <w:rPr>
                <w:rFonts w:cs="Arial"/>
              </w:rPr>
              <w:t>7748</w:t>
            </w:r>
          </w:p>
        </w:tc>
        <w:tc>
          <w:tcPr>
            <w:tcW w:w="391" w:type="pct"/>
          </w:tcPr>
          <w:p w14:paraId="6FE0D03E" w14:textId="77777777" w:rsidR="007123C7" w:rsidRPr="001F3926" w:rsidRDefault="007123C7" w:rsidP="00E82294">
            <w:pPr>
              <w:pStyle w:val="TableText"/>
              <w:jc w:val="right"/>
              <w:rPr>
                <w:rFonts w:eastAsia="Times New Roman" w:cs="Arial"/>
              </w:rPr>
            </w:pPr>
            <w:r w:rsidRPr="001F3926">
              <w:rPr>
                <w:rFonts w:cs="Arial"/>
              </w:rPr>
              <w:t>79.1 (69.8</w:t>
            </w:r>
            <w:r w:rsidR="00BF4EFA" w:rsidRPr="001F3926">
              <w:rPr>
                <w:rFonts w:cs="Arial"/>
              </w:rPr>
              <w:t>, </w:t>
            </w:r>
            <w:r w:rsidRPr="001F3926">
              <w:rPr>
                <w:rFonts w:cs="Arial"/>
              </w:rPr>
              <w:t>86.1)</w:t>
            </w:r>
          </w:p>
        </w:tc>
        <w:tc>
          <w:tcPr>
            <w:tcW w:w="273" w:type="pct"/>
          </w:tcPr>
          <w:p w14:paraId="1EA1DEB3" w14:textId="77777777" w:rsidR="007123C7" w:rsidRPr="001F3926" w:rsidRDefault="007123C7" w:rsidP="00E82294">
            <w:pPr>
              <w:pStyle w:val="TableText"/>
              <w:jc w:val="right"/>
            </w:pPr>
            <w:r w:rsidRPr="001F3926">
              <w:rPr>
                <w:rFonts w:cs="Arial"/>
              </w:rPr>
              <w:t>298</w:t>
            </w:r>
          </w:p>
        </w:tc>
        <w:tc>
          <w:tcPr>
            <w:tcW w:w="351" w:type="pct"/>
          </w:tcPr>
          <w:p w14:paraId="42E93C63" w14:textId="77777777" w:rsidR="007123C7" w:rsidRPr="001F3926" w:rsidRDefault="007123C7" w:rsidP="00E82294">
            <w:pPr>
              <w:pStyle w:val="TableText"/>
              <w:jc w:val="right"/>
            </w:pPr>
            <w:r w:rsidRPr="001F3926">
              <w:rPr>
                <w:rFonts w:cs="Arial"/>
              </w:rPr>
              <w:t>2047</w:t>
            </w:r>
          </w:p>
        </w:tc>
        <w:tc>
          <w:tcPr>
            <w:tcW w:w="380" w:type="pct"/>
          </w:tcPr>
          <w:p w14:paraId="08BE871F" w14:textId="77777777" w:rsidR="007123C7" w:rsidRPr="001F3926" w:rsidRDefault="007123C7" w:rsidP="00E82294">
            <w:pPr>
              <w:pStyle w:val="TableText"/>
              <w:jc w:val="right"/>
            </w:pPr>
            <w:r w:rsidRPr="001F3926">
              <w:rPr>
                <w:rFonts w:cs="Arial"/>
              </w:rPr>
              <w:t>20.9 (13.9</w:t>
            </w:r>
            <w:r w:rsidR="00BF4EFA" w:rsidRPr="001F3926">
              <w:rPr>
                <w:rFonts w:cs="Arial"/>
              </w:rPr>
              <w:t>, </w:t>
            </w:r>
            <w:r w:rsidRPr="001F3926">
              <w:rPr>
                <w:rFonts w:cs="Arial"/>
              </w:rPr>
              <w:t>30.2)</w:t>
            </w:r>
          </w:p>
        </w:tc>
      </w:tr>
      <w:tr w:rsidR="002B44B9" w:rsidRPr="001F3926" w14:paraId="44E1C9B8" w14:textId="77777777" w:rsidTr="002B44B9">
        <w:trPr>
          <w:cantSplit/>
        </w:trPr>
        <w:tc>
          <w:tcPr>
            <w:tcW w:w="975" w:type="pct"/>
            <w:tcBorders>
              <w:bottom w:val="single" w:sz="4" w:space="0" w:color="000000"/>
            </w:tcBorders>
          </w:tcPr>
          <w:p w14:paraId="45054D1B" w14:textId="77777777" w:rsidR="007123C7" w:rsidRPr="001F3926" w:rsidRDefault="007123C7" w:rsidP="00E82294">
            <w:pPr>
              <w:pStyle w:val="TableText"/>
            </w:pPr>
            <w:r w:rsidRPr="001F3926">
              <w:t>No disorder</w:t>
            </w:r>
          </w:p>
        </w:tc>
        <w:tc>
          <w:tcPr>
            <w:tcW w:w="247" w:type="pct"/>
            <w:tcBorders>
              <w:bottom w:val="single" w:sz="4" w:space="0" w:color="000000"/>
            </w:tcBorders>
          </w:tcPr>
          <w:p w14:paraId="776BE53D" w14:textId="77777777" w:rsidR="007123C7" w:rsidRPr="001F3926" w:rsidRDefault="007123C7" w:rsidP="00E82294">
            <w:pPr>
              <w:pStyle w:val="TableText"/>
              <w:jc w:val="right"/>
            </w:pPr>
            <w:r w:rsidRPr="001F3926">
              <w:rPr>
                <w:rFonts w:cs="Arial"/>
              </w:rPr>
              <w:t>2049</w:t>
            </w:r>
          </w:p>
        </w:tc>
        <w:tc>
          <w:tcPr>
            <w:tcW w:w="351" w:type="pct"/>
            <w:tcBorders>
              <w:bottom w:val="single" w:sz="4" w:space="0" w:color="000000"/>
            </w:tcBorders>
          </w:tcPr>
          <w:p w14:paraId="01464C9A" w14:textId="77777777" w:rsidR="007123C7" w:rsidRPr="001F3926" w:rsidRDefault="007123C7" w:rsidP="00E82294">
            <w:pPr>
              <w:pStyle w:val="TableText"/>
              <w:jc w:val="right"/>
            </w:pPr>
            <w:r w:rsidRPr="001F3926">
              <w:rPr>
                <w:rFonts w:cs="Arial"/>
              </w:rPr>
              <w:t>13465</w:t>
            </w:r>
          </w:p>
        </w:tc>
        <w:tc>
          <w:tcPr>
            <w:tcW w:w="409" w:type="pct"/>
            <w:tcBorders>
              <w:bottom w:val="single" w:sz="4" w:space="0" w:color="000000"/>
            </w:tcBorders>
          </w:tcPr>
          <w:p w14:paraId="00F551BE" w14:textId="77777777" w:rsidR="007123C7" w:rsidRPr="001F3926" w:rsidRDefault="007123C7" w:rsidP="00E82294">
            <w:pPr>
              <w:pStyle w:val="TableText"/>
              <w:jc w:val="right"/>
            </w:pPr>
            <w:r w:rsidRPr="001F3926">
              <w:rPr>
                <w:rFonts w:cs="Arial"/>
              </w:rPr>
              <w:t>92.5 (91.0</w:t>
            </w:r>
            <w:r w:rsidR="00BF4EFA" w:rsidRPr="001F3926">
              <w:rPr>
                <w:rFonts w:cs="Arial"/>
              </w:rPr>
              <w:t>, </w:t>
            </w:r>
            <w:r w:rsidRPr="001F3926">
              <w:rPr>
                <w:rFonts w:cs="Arial"/>
              </w:rPr>
              <w:t>93.8)</w:t>
            </w:r>
          </w:p>
        </w:tc>
        <w:tc>
          <w:tcPr>
            <w:tcW w:w="255" w:type="pct"/>
            <w:tcBorders>
              <w:bottom w:val="single" w:sz="4" w:space="0" w:color="000000"/>
            </w:tcBorders>
          </w:tcPr>
          <w:p w14:paraId="5E4D966D" w14:textId="77777777" w:rsidR="007123C7" w:rsidRPr="001F3926" w:rsidRDefault="007123C7" w:rsidP="00E82294">
            <w:pPr>
              <w:pStyle w:val="TableText"/>
              <w:jc w:val="right"/>
            </w:pPr>
            <w:r w:rsidRPr="001F3926">
              <w:rPr>
                <w:rFonts w:cs="Arial"/>
              </w:rPr>
              <w:t>173</w:t>
            </w:r>
          </w:p>
        </w:tc>
        <w:tc>
          <w:tcPr>
            <w:tcW w:w="352" w:type="pct"/>
            <w:tcBorders>
              <w:bottom w:val="single" w:sz="4" w:space="0" w:color="000000"/>
            </w:tcBorders>
          </w:tcPr>
          <w:p w14:paraId="6190C5F9" w14:textId="77777777" w:rsidR="007123C7" w:rsidRPr="001F3926" w:rsidRDefault="007123C7" w:rsidP="00E82294">
            <w:pPr>
              <w:pStyle w:val="TableText"/>
              <w:jc w:val="right"/>
            </w:pPr>
            <w:r w:rsidRPr="001F3926">
              <w:rPr>
                <w:rFonts w:cs="Arial"/>
              </w:rPr>
              <w:t>1089</w:t>
            </w:r>
          </w:p>
        </w:tc>
        <w:tc>
          <w:tcPr>
            <w:tcW w:w="400" w:type="pct"/>
            <w:tcBorders>
              <w:bottom w:val="single" w:sz="4" w:space="0" w:color="000000"/>
            </w:tcBorders>
          </w:tcPr>
          <w:p w14:paraId="0A07C20B" w14:textId="77777777" w:rsidR="007123C7" w:rsidRPr="001F3926" w:rsidRDefault="007123C7" w:rsidP="002B44B9">
            <w:pPr>
              <w:pStyle w:val="TableText"/>
              <w:jc w:val="right"/>
            </w:pPr>
            <w:r w:rsidRPr="001F3926">
              <w:rPr>
                <w:rFonts w:cs="Arial"/>
              </w:rPr>
              <w:t>7.5</w:t>
            </w:r>
            <w:r w:rsidR="002B44B9" w:rsidRPr="001F3926">
              <w:rPr>
                <w:rFonts w:cs="Arial"/>
              </w:rPr>
              <w:br/>
            </w:r>
            <w:r w:rsidRPr="001F3926">
              <w:rPr>
                <w:rFonts w:cs="Arial"/>
              </w:rPr>
              <w:t>(6.2</w:t>
            </w:r>
            <w:r w:rsidR="00BF4EFA" w:rsidRPr="001F3926">
              <w:rPr>
                <w:rFonts w:cs="Arial"/>
              </w:rPr>
              <w:t>, </w:t>
            </w:r>
            <w:r w:rsidRPr="001F3926">
              <w:rPr>
                <w:rFonts w:cs="Arial"/>
              </w:rPr>
              <w:t>9.0)</w:t>
            </w:r>
          </w:p>
        </w:tc>
        <w:tc>
          <w:tcPr>
            <w:tcW w:w="264" w:type="pct"/>
            <w:tcBorders>
              <w:bottom w:val="single" w:sz="4" w:space="0" w:color="000000"/>
            </w:tcBorders>
          </w:tcPr>
          <w:p w14:paraId="66ABD8A4" w14:textId="77777777" w:rsidR="007123C7" w:rsidRPr="001F3926" w:rsidRDefault="007123C7" w:rsidP="00E82294">
            <w:pPr>
              <w:pStyle w:val="TableText"/>
              <w:jc w:val="right"/>
            </w:pPr>
            <w:r w:rsidRPr="001F3926">
              <w:rPr>
                <w:rFonts w:cs="Arial"/>
              </w:rPr>
              <w:t>5568</w:t>
            </w:r>
          </w:p>
        </w:tc>
        <w:tc>
          <w:tcPr>
            <w:tcW w:w="352" w:type="pct"/>
            <w:tcBorders>
              <w:bottom w:val="single" w:sz="4" w:space="0" w:color="000000"/>
            </w:tcBorders>
          </w:tcPr>
          <w:p w14:paraId="69A2F1B4" w14:textId="77777777" w:rsidR="007123C7" w:rsidRPr="001F3926" w:rsidRDefault="007123C7" w:rsidP="00E82294">
            <w:pPr>
              <w:pStyle w:val="TableText"/>
              <w:jc w:val="right"/>
            </w:pPr>
            <w:r w:rsidRPr="001F3926">
              <w:rPr>
                <w:rFonts w:cs="Arial"/>
              </w:rPr>
              <w:t>37,541</w:t>
            </w:r>
          </w:p>
        </w:tc>
        <w:tc>
          <w:tcPr>
            <w:tcW w:w="391" w:type="pct"/>
            <w:tcBorders>
              <w:bottom w:val="single" w:sz="4" w:space="0" w:color="000000"/>
            </w:tcBorders>
          </w:tcPr>
          <w:p w14:paraId="2B1F7656" w14:textId="77777777" w:rsidR="007123C7" w:rsidRPr="001F3926" w:rsidRDefault="007123C7" w:rsidP="00E82294">
            <w:pPr>
              <w:pStyle w:val="TableText"/>
              <w:jc w:val="right"/>
              <w:rPr>
                <w:rFonts w:eastAsia="Times New Roman" w:cs="Arial"/>
              </w:rPr>
            </w:pPr>
            <w:r w:rsidRPr="001F3926">
              <w:rPr>
                <w:rFonts w:cs="Arial"/>
              </w:rPr>
              <w:t>91.8 (88.7</w:t>
            </w:r>
            <w:r w:rsidR="00BF4EFA" w:rsidRPr="001F3926">
              <w:rPr>
                <w:rFonts w:cs="Arial"/>
              </w:rPr>
              <w:t>, </w:t>
            </w:r>
            <w:r w:rsidRPr="001F3926">
              <w:rPr>
                <w:rFonts w:cs="Arial"/>
              </w:rPr>
              <w:t>94.1)</w:t>
            </w:r>
          </w:p>
        </w:tc>
        <w:tc>
          <w:tcPr>
            <w:tcW w:w="273" w:type="pct"/>
            <w:tcBorders>
              <w:bottom w:val="single" w:sz="4" w:space="0" w:color="000000"/>
            </w:tcBorders>
          </w:tcPr>
          <w:p w14:paraId="710B82F4" w14:textId="77777777" w:rsidR="007123C7" w:rsidRPr="001F3926" w:rsidRDefault="007123C7" w:rsidP="00E82294">
            <w:pPr>
              <w:pStyle w:val="TableText"/>
              <w:jc w:val="right"/>
            </w:pPr>
            <w:r w:rsidRPr="001F3926">
              <w:rPr>
                <w:rFonts w:cs="Arial"/>
              </w:rPr>
              <w:t>541</w:t>
            </w:r>
          </w:p>
        </w:tc>
        <w:tc>
          <w:tcPr>
            <w:tcW w:w="351" w:type="pct"/>
            <w:tcBorders>
              <w:bottom w:val="single" w:sz="4" w:space="0" w:color="000000"/>
            </w:tcBorders>
          </w:tcPr>
          <w:p w14:paraId="61ABAFF1" w14:textId="77777777" w:rsidR="007123C7" w:rsidRPr="001F3926" w:rsidRDefault="007123C7" w:rsidP="00E82294">
            <w:pPr>
              <w:pStyle w:val="TableText"/>
              <w:jc w:val="right"/>
            </w:pPr>
            <w:r w:rsidRPr="001F3926">
              <w:rPr>
                <w:rFonts w:cs="Arial"/>
              </w:rPr>
              <w:t>3349</w:t>
            </w:r>
          </w:p>
        </w:tc>
        <w:tc>
          <w:tcPr>
            <w:tcW w:w="380" w:type="pct"/>
            <w:tcBorders>
              <w:bottom w:val="single" w:sz="4" w:space="0" w:color="000000"/>
            </w:tcBorders>
          </w:tcPr>
          <w:p w14:paraId="1289A092" w14:textId="77777777" w:rsidR="007123C7" w:rsidRPr="001F3926" w:rsidRDefault="007123C7" w:rsidP="00E82294">
            <w:pPr>
              <w:pStyle w:val="TableText"/>
              <w:jc w:val="right"/>
            </w:pPr>
            <w:r w:rsidRPr="001F3926">
              <w:rPr>
                <w:rFonts w:cs="Arial"/>
              </w:rPr>
              <w:t>8.2 (5.9</w:t>
            </w:r>
            <w:r w:rsidR="00BF4EFA" w:rsidRPr="001F3926">
              <w:rPr>
                <w:rFonts w:cs="Arial"/>
              </w:rPr>
              <w:t>, </w:t>
            </w:r>
            <w:r w:rsidRPr="001F3926">
              <w:rPr>
                <w:rFonts w:cs="Arial"/>
              </w:rPr>
              <w:t>11.3)</w:t>
            </w:r>
          </w:p>
        </w:tc>
      </w:tr>
      <w:tr w:rsidR="002B44B9" w:rsidRPr="001F3926" w14:paraId="66F675C0"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Borders>
              <w:top w:val="single" w:sz="4" w:space="0" w:color="000000"/>
              <w:bottom w:val="nil"/>
            </w:tcBorders>
          </w:tcPr>
          <w:p w14:paraId="25047907" w14:textId="77777777" w:rsidR="007123C7" w:rsidRPr="001F3926" w:rsidRDefault="007123C7" w:rsidP="00E82294">
            <w:pPr>
              <w:pStyle w:val="TableText"/>
              <w:rPr>
                <w:b/>
                <w:bCs/>
                <w:color w:val="000000" w:themeColor="text1"/>
              </w:rPr>
            </w:pPr>
            <w:r w:rsidRPr="001F3926">
              <w:rPr>
                <w:b/>
              </w:rPr>
              <w:t>Probable anxiety/depression (K10)</w:t>
            </w:r>
          </w:p>
        </w:tc>
        <w:tc>
          <w:tcPr>
            <w:tcW w:w="247" w:type="pct"/>
            <w:tcBorders>
              <w:top w:val="single" w:sz="4" w:space="0" w:color="000000"/>
              <w:bottom w:val="nil"/>
            </w:tcBorders>
          </w:tcPr>
          <w:p w14:paraId="37A3CB93" w14:textId="77777777" w:rsidR="007123C7" w:rsidRPr="001F3926" w:rsidRDefault="007123C7" w:rsidP="00E82294">
            <w:pPr>
              <w:pStyle w:val="TableText"/>
              <w:jc w:val="right"/>
            </w:pPr>
          </w:p>
        </w:tc>
        <w:tc>
          <w:tcPr>
            <w:tcW w:w="351" w:type="pct"/>
            <w:tcBorders>
              <w:top w:val="single" w:sz="4" w:space="0" w:color="000000"/>
              <w:bottom w:val="nil"/>
            </w:tcBorders>
          </w:tcPr>
          <w:p w14:paraId="21C58B90" w14:textId="77777777" w:rsidR="007123C7" w:rsidRPr="001F3926" w:rsidRDefault="007123C7" w:rsidP="00E82294">
            <w:pPr>
              <w:pStyle w:val="TableText"/>
              <w:jc w:val="right"/>
            </w:pPr>
          </w:p>
        </w:tc>
        <w:tc>
          <w:tcPr>
            <w:tcW w:w="409" w:type="pct"/>
            <w:tcBorders>
              <w:top w:val="single" w:sz="4" w:space="0" w:color="000000"/>
              <w:bottom w:val="nil"/>
            </w:tcBorders>
          </w:tcPr>
          <w:p w14:paraId="3287DFE4" w14:textId="77777777" w:rsidR="007123C7" w:rsidRPr="001F3926" w:rsidRDefault="007123C7" w:rsidP="00E82294">
            <w:pPr>
              <w:pStyle w:val="TableText"/>
              <w:jc w:val="right"/>
            </w:pPr>
          </w:p>
        </w:tc>
        <w:tc>
          <w:tcPr>
            <w:tcW w:w="255" w:type="pct"/>
            <w:tcBorders>
              <w:top w:val="single" w:sz="4" w:space="0" w:color="000000"/>
              <w:bottom w:val="nil"/>
            </w:tcBorders>
          </w:tcPr>
          <w:p w14:paraId="21A4F9BC" w14:textId="77777777" w:rsidR="007123C7" w:rsidRPr="001F3926" w:rsidRDefault="007123C7" w:rsidP="00E82294">
            <w:pPr>
              <w:pStyle w:val="TableText"/>
              <w:jc w:val="right"/>
            </w:pPr>
          </w:p>
        </w:tc>
        <w:tc>
          <w:tcPr>
            <w:tcW w:w="352" w:type="pct"/>
            <w:tcBorders>
              <w:top w:val="single" w:sz="4" w:space="0" w:color="000000"/>
              <w:bottom w:val="nil"/>
            </w:tcBorders>
          </w:tcPr>
          <w:p w14:paraId="510D54D9" w14:textId="77777777" w:rsidR="007123C7" w:rsidRPr="001F3926" w:rsidRDefault="007123C7" w:rsidP="00E82294">
            <w:pPr>
              <w:pStyle w:val="TableText"/>
              <w:jc w:val="right"/>
            </w:pPr>
          </w:p>
        </w:tc>
        <w:tc>
          <w:tcPr>
            <w:tcW w:w="400" w:type="pct"/>
            <w:tcBorders>
              <w:top w:val="single" w:sz="4" w:space="0" w:color="000000"/>
              <w:bottom w:val="nil"/>
            </w:tcBorders>
          </w:tcPr>
          <w:p w14:paraId="077CE17A" w14:textId="77777777" w:rsidR="007123C7" w:rsidRPr="001F3926" w:rsidRDefault="007123C7" w:rsidP="00E82294">
            <w:pPr>
              <w:pStyle w:val="TableText"/>
              <w:jc w:val="right"/>
            </w:pPr>
          </w:p>
        </w:tc>
        <w:tc>
          <w:tcPr>
            <w:tcW w:w="264" w:type="pct"/>
            <w:tcBorders>
              <w:top w:val="single" w:sz="4" w:space="0" w:color="000000"/>
              <w:bottom w:val="nil"/>
            </w:tcBorders>
          </w:tcPr>
          <w:p w14:paraId="5CE2B439" w14:textId="77777777" w:rsidR="007123C7" w:rsidRPr="001F3926" w:rsidRDefault="007123C7" w:rsidP="00E82294">
            <w:pPr>
              <w:pStyle w:val="TableText"/>
              <w:jc w:val="right"/>
            </w:pPr>
          </w:p>
        </w:tc>
        <w:tc>
          <w:tcPr>
            <w:tcW w:w="352" w:type="pct"/>
            <w:tcBorders>
              <w:top w:val="single" w:sz="4" w:space="0" w:color="000000"/>
              <w:bottom w:val="nil"/>
            </w:tcBorders>
          </w:tcPr>
          <w:p w14:paraId="0028E3AD" w14:textId="77777777" w:rsidR="007123C7" w:rsidRPr="001F3926" w:rsidRDefault="007123C7" w:rsidP="00E82294">
            <w:pPr>
              <w:pStyle w:val="TableText"/>
              <w:jc w:val="right"/>
            </w:pPr>
          </w:p>
        </w:tc>
        <w:tc>
          <w:tcPr>
            <w:tcW w:w="391" w:type="pct"/>
            <w:tcBorders>
              <w:top w:val="single" w:sz="4" w:space="0" w:color="000000"/>
              <w:bottom w:val="nil"/>
            </w:tcBorders>
          </w:tcPr>
          <w:p w14:paraId="3BB305B7" w14:textId="77777777" w:rsidR="007123C7" w:rsidRPr="001F3926" w:rsidRDefault="007123C7" w:rsidP="00E82294">
            <w:pPr>
              <w:pStyle w:val="TableText"/>
              <w:jc w:val="right"/>
            </w:pPr>
          </w:p>
        </w:tc>
        <w:tc>
          <w:tcPr>
            <w:tcW w:w="273" w:type="pct"/>
            <w:tcBorders>
              <w:top w:val="single" w:sz="4" w:space="0" w:color="000000"/>
              <w:bottom w:val="nil"/>
            </w:tcBorders>
          </w:tcPr>
          <w:p w14:paraId="5DEF1B37" w14:textId="77777777" w:rsidR="007123C7" w:rsidRPr="001F3926" w:rsidRDefault="007123C7" w:rsidP="00E82294">
            <w:pPr>
              <w:pStyle w:val="TableText"/>
              <w:jc w:val="right"/>
            </w:pPr>
          </w:p>
        </w:tc>
        <w:tc>
          <w:tcPr>
            <w:tcW w:w="351" w:type="pct"/>
            <w:tcBorders>
              <w:top w:val="single" w:sz="4" w:space="0" w:color="000000"/>
              <w:bottom w:val="nil"/>
            </w:tcBorders>
          </w:tcPr>
          <w:p w14:paraId="38F3FE1F" w14:textId="77777777" w:rsidR="007123C7" w:rsidRPr="001F3926" w:rsidRDefault="007123C7" w:rsidP="00E82294">
            <w:pPr>
              <w:pStyle w:val="TableText"/>
              <w:jc w:val="right"/>
            </w:pPr>
          </w:p>
        </w:tc>
        <w:tc>
          <w:tcPr>
            <w:tcW w:w="380" w:type="pct"/>
            <w:tcBorders>
              <w:top w:val="single" w:sz="4" w:space="0" w:color="000000"/>
              <w:bottom w:val="nil"/>
            </w:tcBorders>
          </w:tcPr>
          <w:p w14:paraId="0368CFBF" w14:textId="77777777" w:rsidR="007123C7" w:rsidRPr="001F3926" w:rsidRDefault="007123C7" w:rsidP="00E82294">
            <w:pPr>
              <w:pStyle w:val="TableText"/>
              <w:jc w:val="right"/>
            </w:pPr>
          </w:p>
        </w:tc>
      </w:tr>
      <w:tr w:rsidR="002B44B9" w:rsidRPr="001F3926" w14:paraId="2F23CA09" w14:textId="77777777" w:rsidTr="002B44B9">
        <w:trPr>
          <w:cantSplit/>
        </w:trPr>
        <w:tc>
          <w:tcPr>
            <w:tcW w:w="975" w:type="pct"/>
            <w:tcBorders>
              <w:top w:val="nil"/>
            </w:tcBorders>
          </w:tcPr>
          <w:p w14:paraId="18103CC4" w14:textId="77777777" w:rsidR="007123C7" w:rsidRPr="001F3926" w:rsidRDefault="007123C7" w:rsidP="00E82294">
            <w:pPr>
              <w:pStyle w:val="TableText"/>
              <w:rPr>
                <w:bCs/>
                <w:color w:val="000000" w:themeColor="text1"/>
              </w:rPr>
            </w:pPr>
            <w:r w:rsidRPr="001F3926">
              <w:t xml:space="preserve">Probable disorder </w:t>
            </w:r>
          </w:p>
        </w:tc>
        <w:tc>
          <w:tcPr>
            <w:tcW w:w="247" w:type="pct"/>
            <w:tcBorders>
              <w:top w:val="nil"/>
            </w:tcBorders>
          </w:tcPr>
          <w:p w14:paraId="41F7E1E7" w14:textId="77777777" w:rsidR="007123C7" w:rsidRPr="001F3926" w:rsidRDefault="007123C7" w:rsidP="00E82294">
            <w:pPr>
              <w:pStyle w:val="TableText"/>
              <w:jc w:val="right"/>
            </w:pPr>
            <w:r w:rsidRPr="001F3926">
              <w:rPr>
                <w:rFonts w:cs="Arial"/>
              </w:rPr>
              <w:t>718</w:t>
            </w:r>
          </w:p>
        </w:tc>
        <w:tc>
          <w:tcPr>
            <w:tcW w:w="351" w:type="pct"/>
            <w:tcBorders>
              <w:top w:val="nil"/>
            </w:tcBorders>
          </w:tcPr>
          <w:p w14:paraId="5DA22552" w14:textId="77777777" w:rsidR="007123C7" w:rsidRPr="001F3926" w:rsidRDefault="007123C7" w:rsidP="00E82294">
            <w:pPr>
              <w:pStyle w:val="TableText"/>
              <w:jc w:val="right"/>
            </w:pPr>
            <w:r w:rsidRPr="001F3926">
              <w:rPr>
                <w:rFonts w:cs="Arial"/>
              </w:rPr>
              <w:t>5019</w:t>
            </w:r>
          </w:p>
        </w:tc>
        <w:tc>
          <w:tcPr>
            <w:tcW w:w="409" w:type="pct"/>
            <w:tcBorders>
              <w:top w:val="nil"/>
            </w:tcBorders>
          </w:tcPr>
          <w:p w14:paraId="307EA2CA" w14:textId="77777777" w:rsidR="007123C7" w:rsidRPr="001F3926" w:rsidRDefault="007123C7" w:rsidP="00E82294">
            <w:pPr>
              <w:pStyle w:val="TableText"/>
              <w:jc w:val="right"/>
            </w:pPr>
            <w:r w:rsidRPr="001F3926">
              <w:rPr>
                <w:rFonts w:cs="Arial"/>
              </w:rPr>
              <w:t>74.1 (70.7</w:t>
            </w:r>
            <w:r w:rsidR="00BF4EFA" w:rsidRPr="001F3926">
              <w:rPr>
                <w:rFonts w:cs="Arial"/>
              </w:rPr>
              <w:t>, </w:t>
            </w:r>
            <w:r w:rsidRPr="001F3926">
              <w:rPr>
                <w:rFonts w:cs="Arial"/>
              </w:rPr>
              <w:t>77.3)</w:t>
            </w:r>
          </w:p>
        </w:tc>
        <w:tc>
          <w:tcPr>
            <w:tcW w:w="255" w:type="pct"/>
            <w:tcBorders>
              <w:top w:val="nil"/>
            </w:tcBorders>
          </w:tcPr>
          <w:p w14:paraId="0537FDB9" w14:textId="77777777" w:rsidR="007123C7" w:rsidRPr="001F3926" w:rsidRDefault="007123C7" w:rsidP="00E82294">
            <w:pPr>
              <w:pStyle w:val="TableText"/>
              <w:jc w:val="right"/>
            </w:pPr>
            <w:r w:rsidRPr="001F3926">
              <w:rPr>
                <w:rFonts w:cs="Arial"/>
              </w:rPr>
              <w:t>261</w:t>
            </w:r>
          </w:p>
        </w:tc>
        <w:tc>
          <w:tcPr>
            <w:tcW w:w="352" w:type="pct"/>
            <w:tcBorders>
              <w:top w:val="nil"/>
            </w:tcBorders>
          </w:tcPr>
          <w:p w14:paraId="500D499E" w14:textId="77777777" w:rsidR="007123C7" w:rsidRPr="001F3926" w:rsidRDefault="007123C7" w:rsidP="00E82294">
            <w:pPr>
              <w:pStyle w:val="TableText"/>
              <w:jc w:val="right"/>
            </w:pPr>
            <w:r w:rsidRPr="001F3926">
              <w:rPr>
                <w:rFonts w:cs="Arial"/>
              </w:rPr>
              <w:t>1751</w:t>
            </w:r>
          </w:p>
        </w:tc>
        <w:tc>
          <w:tcPr>
            <w:tcW w:w="400" w:type="pct"/>
            <w:tcBorders>
              <w:top w:val="nil"/>
            </w:tcBorders>
          </w:tcPr>
          <w:p w14:paraId="28CE2112" w14:textId="77777777" w:rsidR="007123C7" w:rsidRPr="001F3926" w:rsidRDefault="007123C7" w:rsidP="00E82294">
            <w:pPr>
              <w:pStyle w:val="TableText"/>
              <w:jc w:val="right"/>
            </w:pPr>
            <w:r w:rsidRPr="001F3926">
              <w:rPr>
                <w:rFonts w:cs="Arial"/>
              </w:rPr>
              <w:t>25.9 (22.7</w:t>
            </w:r>
            <w:r w:rsidR="00BF4EFA" w:rsidRPr="001F3926">
              <w:rPr>
                <w:rFonts w:cs="Arial"/>
              </w:rPr>
              <w:t>, </w:t>
            </w:r>
            <w:r w:rsidRPr="001F3926">
              <w:rPr>
                <w:rFonts w:cs="Arial"/>
              </w:rPr>
              <w:t>29.3)</w:t>
            </w:r>
          </w:p>
        </w:tc>
        <w:tc>
          <w:tcPr>
            <w:tcW w:w="264" w:type="pct"/>
            <w:tcBorders>
              <w:top w:val="nil"/>
            </w:tcBorders>
          </w:tcPr>
          <w:p w14:paraId="06D76DE2" w14:textId="77777777" w:rsidR="007123C7" w:rsidRPr="001F3926" w:rsidRDefault="007123C7" w:rsidP="00E82294">
            <w:pPr>
              <w:pStyle w:val="TableText"/>
              <w:jc w:val="right"/>
            </w:pPr>
            <w:r w:rsidRPr="001F3926">
              <w:rPr>
                <w:rFonts w:cs="Arial"/>
              </w:rPr>
              <w:t>721</w:t>
            </w:r>
          </w:p>
        </w:tc>
        <w:tc>
          <w:tcPr>
            <w:tcW w:w="352" w:type="pct"/>
            <w:tcBorders>
              <w:top w:val="nil"/>
            </w:tcBorders>
          </w:tcPr>
          <w:p w14:paraId="119F2F60" w14:textId="77777777" w:rsidR="007123C7" w:rsidRPr="001F3926" w:rsidRDefault="007123C7" w:rsidP="00E82294">
            <w:pPr>
              <w:pStyle w:val="TableText"/>
              <w:jc w:val="right"/>
            </w:pPr>
            <w:r w:rsidRPr="001F3926">
              <w:rPr>
                <w:rFonts w:cs="Arial"/>
              </w:rPr>
              <w:t>5751</w:t>
            </w:r>
          </w:p>
        </w:tc>
        <w:tc>
          <w:tcPr>
            <w:tcW w:w="391" w:type="pct"/>
            <w:tcBorders>
              <w:top w:val="nil"/>
            </w:tcBorders>
          </w:tcPr>
          <w:p w14:paraId="22E9392A" w14:textId="77777777" w:rsidR="007123C7" w:rsidRPr="001F3926" w:rsidRDefault="007123C7" w:rsidP="00E82294">
            <w:pPr>
              <w:pStyle w:val="TableText"/>
              <w:jc w:val="right"/>
            </w:pPr>
            <w:r w:rsidRPr="001F3926">
              <w:rPr>
                <w:rFonts w:cs="Arial"/>
              </w:rPr>
              <w:t>77.9 (66.0</w:t>
            </w:r>
            <w:r w:rsidR="00BF4EFA" w:rsidRPr="001F3926">
              <w:rPr>
                <w:rFonts w:cs="Arial"/>
              </w:rPr>
              <w:t>, </w:t>
            </w:r>
            <w:r w:rsidRPr="001F3926">
              <w:rPr>
                <w:rFonts w:cs="Arial"/>
              </w:rPr>
              <w:t>86.5)</w:t>
            </w:r>
          </w:p>
        </w:tc>
        <w:tc>
          <w:tcPr>
            <w:tcW w:w="273" w:type="pct"/>
            <w:tcBorders>
              <w:top w:val="nil"/>
            </w:tcBorders>
          </w:tcPr>
          <w:p w14:paraId="6842B814" w14:textId="77777777" w:rsidR="007123C7" w:rsidRPr="001F3926" w:rsidRDefault="007123C7" w:rsidP="00E82294">
            <w:pPr>
              <w:pStyle w:val="TableText"/>
              <w:jc w:val="right"/>
            </w:pPr>
            <w:r w:rsidRPr="001F3926">
              <w:rPr>
                <w:rFonts w:cs="Arial"/>
              </w:rPr>
              <w:t>210</w:t>
            </w:r>
          </w:p>
        </w:tc>
        <w:tc>
          <w:tcPr>
            <w:tcW w:w="351" w:type="pct"/>
            <w:tcBorders>
              <w:top w:val="nil"/>
            </w:tcBorders>
          </w:tcPr>
          <w:p w14:paraId="629CBD77" w14:textId="77777777" w:rsidR="007123C7" w:rsidRPr="001F3926" w:rsidRDefault="007123C7" w:rsidP="00E82294">
            <w:pPr>
              <w:pStyle w:val="TableText"/>
              <w:jc w:val="right"/>
            </w:pPr>
            <w:r w:rsidRPr="001F3926">
              <w:rPr>
                <w:rFonts w:cs="Arial"/>
              </w:rPr>
              <w:t>1635</w:t>
            </w:r>
          </w:p>
        </w:tc>
        <w:tc>
          <w:tcPr>
            <w:tcW w:w="380" w:type="pct"/>
            <w:tcBorders>
              <w:top w:val="nil"/>
            </w:tcBorders>
          </w:tcPr>
          <w:p w14:paraId="321D7525" w14:textId="77777777" w:rsidR="007123C7" w:rsidRPr="001F3926" w:rsidRDefault="007123C7" w:rsidP="00E82294">
            <w:pPr>
              <w:pStyle w:val="TableText"/>
              <w:jc w:val="right"/>
            </w:pPr>
            <w:r w:rsidRPr="001F3926">
              <w:rPr>
                <w:rFonts w:cs="Arial"/>
              </w:rPr>
              <w:t>22.1 (13.5</w:t>
            </w:r>
            <w:r w:rsidR="00BF4EFA" w:rsidRPr="001F3926">
              <w:rPr>
                <w:rFonts w:cs="Arial"/>
              </w:rPr>
              <w:t>, </w:t>
            </w:r>
            <w:r w:rsidRPr="001F3926">
              <w:rPr>
                <w:rFonts w:cs="Arial"/>
              </w:rPr>
              <w:t>34.0)</w:t>
            </w:r>
          </w:p>
        </w:tc>
      </w:tr>
      <w:tr w:rsidR="00BF4EFA" w:rsidRPr="001F3926" w14:paraId="5A18804B"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Pr>
          <w:p w14:paraId="0B0A7A96" w14:textId="77777777" w:rsidR="007123C7" w:rsidRPr="001F3926" w:rsidRDefault="007155C2" w:rsidP="00E82294">
            <w:pPr>
              <w:pStyle w:val="TableText"/>
              <w:rPr>
                <w:bCs/>
                <w:color w:val="000000" w:themeColor="text1"/>
              </w:rPr>
            </w:pPr>
            <w:r>
              <w:t>Subsyndromal</w:t>
            </w:r>
            <w:r w:rsidR="007123C7" w:rsidRPr="001F3926">
              <w:t xml:space="preserve"> disorder </w:t>
            </w:r>
          </w:p>
        </w:tc>
        <w:tc>
          <w:tcPr>
            <w:tcW w:w="247" w:type="pct"/>
          </w:tcPr>
          <w:p w14:paraId="2C0D92A0" w14:textId="77777777" w:rsidR="007123C7" w:rsidRPr="001F3926" w:rsidRDefault="007123C7" w:rsidP="00E82294">
            <w:pPr>
              <w:pStyle w:val="TableText"/>
              <w:jc w:val="right"/>
            </w:pPr>
            <w:r w:rsidRPr="001F3926">
              <w:rPr>
                <w:rFonts w:cs="Arial"/>
              </w:rPr>
              <w:t>636</w:t>
            </w:r>
          </w:p>
        </w:tc>
        <w:tc>
          <w:tcPr>
            <w:tcW w:w="351" w:type="pct"/>
          </w:tcPr>
          <w:p w14:paraId="1FBEDE91" w14:textId="77777777" w:rsidR="007123C7" w:rsidRPr="001F3926" w:rsidRDefault="007123C7" w:rsidP="00E82294">
            <w:pPr>
              <w:pStyle w:val="TableText"/>
              <w:jc w:val="right"/>
            </w:pPr>
            <w:r w:rsidRPr="001F3926">
              <w:rPr>
                <w:rFonts w:cs="Arial"/>
              </w:rPr>
              <w:t>4193</w:t>
            </w:r>
          </w:p>
        </w:tc>
        <w:tc>
          <w:tcPr>
            <w:tcW w:w="409" w:type="pct"/>
          </w:tcPr>
          <w:p w14:paraId="786D1D5D" w14:textId="77777777" w:rsidR="007123C7" w:rsidRPr="001F3926" w:rsidRDefault="007123C7" w:rsidP="00E82294">
            <w:pPr>
              <w:pStyle w:val="TableText"/>
              <w:jc w:val="right"/>
            </w:pPr>
            <w:r w:rsidRPr="001F3926">
              <w:rPr>
                <w:rFonts w:cs="Arial"/>
              </w:rPr>
              <w:t>83.8 (80.4</w:t>
            </w:r>
            <w:r w:rsidR="00BF4EFA" w:rsidRPr="001F3926">
              <w:rPr>
                <w:rFonts w:cs="Arial"/>
              </w:rPr>
              <w:t>, </w:t>
            </w:r>
            <w:r w:rsidRPr="001F3926">
              <w:rPr>
                <w:rFonts w:cs="Arial"/>
              </w:rPr>
              <w:t>86.7)</w:t>
            </w:r>
          </w:p>
        </w:tc>
        <w:tc>
          <w:tcPr>
            <w:tcW w:w="255" w:type="pct"/>
          </w:tcPr>
          <w:p w14:paraId="0D0C7DF0" w14:textId="77777777" w:rsidR="007123C7" w:rsidRPr="001F3926" w:rsidRDefault="007123C7" w:rsidP="00E82294">
            <w:pPr>
              <w:pStyle w:val="TableText"/>
              <w:jc w:val="right"/>
            </w:pPr>
            <w:r w:rsidRPr="001F3926">
              <w:rPr>
                <w:rFonts w:cs="Arial"/>
              </w:rPr>
              <w:t>133</w:t>
            </w:r>
          </w:p>
        </w:tc>
        <w:tc>
          <w:tcPr>
            <w:tcW w:w="352" w:type="pct"/>
          </w:tcPr>
          <w:p w14:paraId="33480B1F" w14:textId="77777777" w:rsidR="007123C7" w:rsidRPr="001F3926" w:rsidRDefault="007123C7" w:rsidP="00E82294">
            <w:pPr>
              <w:pStyle w:val="TableText"/>
              <w:jc w:val="right"/>
            </w:pPr>
            <w:r w:rsidRPr="001F3926">
              <w:rPr>
                <w:rFonts w:cs="Arial"/>
              </w:rPr>
              <w:t>811</w:t>
            </w:r>
          </w:p>
        </w:tc>
        <w:tc>
          <w:tcPr>
            <w:tcW w:w="400" w:type="pct"/>
          </w:tcPr>
          <w:p w14:paraId="6DDF812C" w14:textId="77777777" w:rsidR="007123C7" w:rsidRPr="001F3926" w:rsidRDefault="007123C7" w:rsidP="00E82294">
            <w:pPr>
              <w:pStyle w:val="TableText"/>
              <w:jc w:val="right"/>
            </w:pPr>
            <w:r w:rsidRPr="001F3926">
              <w:rPr>
                <w:rFonts w:cs="Arial"/>
              </w:rPr>
              <w:t>16.2 (13.3</w:t>
            </w:r>
            <w:r w:rsidR="00BF4EFA" w:rsidRPr="001F3926">
              <w:rPr>
                <w:rFonts w:cs="Arial"/>
              </w:rPr>
              <w:t>, </w:t>
            </w:r>
            <w:r w:rsidRPr="001F3926">
              <w:rPr>
                <w:rFonts w:cs="Arial"/>
              </w:rPr>
              <w:t>19.6)</w:t>
            </w:r>
          </w:p>
        </w:tc>
        <w:tc>
          <w:tcPr>
            <w:tcW w:w="264" w:type="pct"/>
          </w:tcPr>
          <w:p w14:paraId="326B57D1" w14:textId="77777777" w:rsidR="007123C7" w:rsidRPr="001F3926" w:rsidRDefault="007123C7" w:rsidP="00E82294">
            <w:pPr>
              <w:pStyle w:val="TableText"/>
              <w:jc w:val="right"/>
            </w:pPr>
            <w:r w:rsidRPr="001F3926">
              <w:rPr>
                <w:rFonts w:cs="Arial"/>
              </w:rPr>
              <w:t>1062</w:t>
            </w:r>
          </w:p>
        </w:tc>
        <w:tc>
          <w:tcPr>
            <w:tcW w:w="352" w:type="pct"/>
          </w:tcPr>
          <w:p w14:paraId="5B14B6E1" w14:textId="77777777" w:rsidR="007123C7" w:rsidRPr="001F3926" w:rsidRDefault="007123C7" w:rsidP="00E82294">
            <w:pPr>
              <w:pStyle w:val="TableText"/>
              <w:jc w:val="right"/>
            </w:pPr>
            <w:r w:rsidRPr="001F3926">
              <w:rPr>
                <w:rFonts w:cs="Arial"/>
              </w:rPr>
              <w:t>7771</w:t>
            </w:r>
          </w:p>
        </w:tc>
        <w:tc>
          <w:tcPr>
            <w:tcW w:w="391" w:type="pct"/>
          </w:tcPr>
          <w:p w14:paraId="44B8BA4B" w14:textId="77777777" w:rsidR="007123C7" w:rsidRPr="001F3926" w:rsidRDefault="007123C7" w:rsidP="00E82294">
            <w:pPr>
              <w:pStyle w:val="TableText"/>
              <w:jc w:val="right"/>
            </w:pPr>
            <w:r w:rsidRPr="001F3926">
              <w:rPr>
                <w:rFonts w:cs="Arial"/>
              </w:rPr>
              <w:t>82.4 (73.7</w:t>
            </w:r>
            <w:r w:rsidR="00BF4EFA" w:rsidRPr="001F3926">
              <w:rPr>
                <w:rFonts w:cs="Arial"/>
              </w:rPr>
              <w:t>, </w:t>
            </w:r>
            <w:r w:rsidRPr="001F3926">
              <w:rPr>
                <w:rFonts w:cs="Arial"/>
              </w:rPr>
              <w:t>88.6)</w:t>
            </w:r>
          </w:p>
        </w:tc>
        <w:tc>
          <w:tcPr>
            <w:tcW w:w="273" w:type="pct"/>
          </w:tcPr>
          <w:p w14:paraId="7DCF9FF1" w14:textId="77777777" w:rsidR="007123C7" w:rsidRPr="001F3926" w:rsidRDefault="007123C7" w:rsidP="00E82294">
            <w:pPr>
              <w:pStyle w:val="TableText"/>
              <w:jc w:val="right"/>
            </w:pPr>
            <w:r w:rsidRPr="001F3926">
              <w:rPr>
                <w:rFonts w:cs="Arial"/>
              </w:rPr>
              <w:t>259</w:t>
            </w:r>
          </w:p>
        </w:tc>
        <w:tc>
          <w:tcPr>
            <w:tcW w:w="351" w:type="pct"/>
          </w:tcPr>
          <w:p w14:paraId="2137D272" w14:textId="77777777" w:rsidR="007123C7" w:rsidRPr="001F3926" w:rsidRDefault="007123C7" w:rsidP="00E82294">
            <w:pPr>
              <w:pStyle w:val="TableText"/>
              <w:jc w:val="right"/>
            </w:pPr>
            <w:r w:rsidRPr="001F3926">
              <w:rPr>
                <w:rFonts w:cs="Arial"/>
              </w:rPr>
              <w:t>1665</w:t>
            </w:r>
          </w:p>
        </w:tc>
        <w:tc>
          <w:tcPr>
            <w:tcW w:w="380" w:type="pct"/>
          </w:tcPr>
          <w:p w14:paraId="7591167C" w14:textId="77777777" w:rsidR="007123C7" w:rsidRPr="001F3926" w:rsidRDefault="007123C7" w:rsidP="00E82294">
            <w:pPr>
              <w:pStyle w:val="TableText"/>
              <w:jc w:val="right"/>
            </w:pPr>
            <w:r w:rsidRPr="001F3926">
              <w:rPr>
                <w:rFonts w:cs="Arial"/>
              </w:rPr>
              <w:t>17.6 (11.4</w:t>
            </w:r>
            <w:r w:rsidR="00BF4EFA" w:rsidRPr="001F3926">
              <w:rPr>
                <w:rFonts w:cs="Arial"/>
              </w:rPr>
              <w:t>, </w:t>
            </w:r>
            <w:r w:rsidRPr="001F3926">
              <w:rPr>
                <w:rFonts w:cs="Arial"/>
              </w:rPr>
              <w:t>26.3)</w:t>
            </w:r>
          </w:p>
        </w:tc>
      </w:tr>
      <w:tr w:rsidR="002B44B9" w:rsidRPr="001F3926" w14:paraId="632D4571" w14:textId="77777777" w:rsidTr="002B44B9">
        <w:trPr>
          <w:cantSplit/>
        </w:trPr>
        <w:tc>
          <w:tcPr>
            <w:tcW w:w="975" w:type="pct"/>
            <w:tcBorders>
              <w:bottom w:val="single" w:sz="4" w:space="0" w:color="000000"/>
            </w:tcBorders>
          </w:tcPr>
          <w:p w14:paraId="78FE90CA" w14:textId="77777777" w:rsidR="007123C7" w:rsidRPr="001F3926" w:rsidRDefault="007123C7" w:rsidP="00E82294">
            <w:pPr>
              <w:pStyle w:val="TableText"/>
            </w:pPr>
            <w:r w:rsidRPr="001F3926">
              <w:t>No disorder</w:t>
            </w:r>
          </w:p>
        </w:tc>
        <w:tc>
          <w:tcPr>
            <w:tcW w:w="247" w:type="pct"/>
            <w:tcBorders>
              <w:bottom w:val="single" w:sz="4" w:space="0" w:color="000000"/>
            </w:tcBorders>
          </w:tcPr>
          <w:p w14:paraId="59058387" w14:textId="77777777" w:rsidR="007123C7" w:rsidRPr="001F3926" w:rsidRDefault="007123C7" w:rsidP="00E82294">
            <w:pPr>
              <w:pStyle w:val="TableText"/>
              <w:jc w:val="right"/>
            </w:pPr>
            <w:r w:rsidRPr="001F3926">
              <w:rPr>
                <w:rFonts w:cs="Arial"/>
              </w:rPr>
              <w:t>1859</w:t>
            </w:r>
          </w:p>
        </w:tc>
        <w:tc>
          <w:tcPr>
            <w:tcW w:w="351" w:type="pct"/>
            <w:tcBorders>
              <w:bottom w:val="single" w:sz="4" w:space="0" w:color="000000"/>
            </w:tcBorders>
          </w:tcPr>
          <w:p w14:paraId="4393AC7B" w14:textId="77777777" w:rsidR="007123C7" w:rsidRPr="001F3926" w:rsidRDefault="007123C7" w:rsidP="00E82294">
            <w:pPr>
              <w:pStyle w:val="TableText"/>
              <w:jc w:val="right"/>
            </w:pPr>
            <w:r w:rsidRPr="001F3926">
              <w:rPr>
                <w:rFonts w:cs="Arial"/>
              </w:rPr>
              <w:t>12122</w:t>
            </w:r>
          </w:p>
        </w:tc>
        <w:tc>
          <w:tcPr>
            <w:tcW w:w="409" w:type="pct"/>
            <w:tcBorders>
              <w:bottom w:val="single" w:sz="4" w:space="0" w:color="000000"/>
            </w:tcBorders>
          </w:tcPr>
          <w:p w14:paraId="134CCDBE" w14:textId="77777777" w:rsidR="007123C7" w:rsidRPr="001F3926" w:rsidRDefault="007123C7" w:rsidP="00E82294">
            <w:pPr>
              <w:pStyle w:val="TableText"/>
              <w:jc w:val="right"/>
            </w:pPr>
            <w:r w:rsidRPr="001F3926">
              <w:rPr>
                <w:rFonts w:cs="Arial"/>
              </w:rPr>
              <w:t>93.2 (91.8</w:t>
            </w:r>
            <w:r w:rsidR="00BF4EFA" w:rsidRPr="001F3926">
              <w:rPr>
                <w:rFonts w:cs="Arial"/>
              </w:rPr>
              <w:t>, </w:t>
            </w:r>
            <w:r w:rsidRPr="001F3926">
              <w:rPr>
                <w:rFonts w:cs="Arial"/>
              </w:rPr>
              <w:t>94.4)</w:t>
            </w:r>
          </w:p>
        </w:tc>
        <w:tc>
          <w:tcPr>
            <w:tcW w:w="255" w:type="pct"/>
            <w:tcBorders>
              <w:bottom w:val="single" w:sz="4" w:space="0" w:color="000000"/>
            </w:tcBorders>
          </w:tcPr>
          <w:p w14:paraId="047DAA73" w14:textId="77777777" w:rsidR="007123C7" w:rsidRPr="001F3926" w:rsidRDefault="007123C7" w:rsidP="00E82294">
            <w:pPr>
              <w:pStyle w:val="TableText"/>
              <w:jc w:val="right"/>
            </w:pPr>
            <w:r w:rsidRPr="001F3926">
              <w:rPr>
                <w:rFonts w:cs="Arial"/>
              </w:rPr>
              <w:t>148</w:t>
            </w:r>
          </w:p>
        </w:tc>
        <w:tc>
          <w:tcPr>
            <w:tcW w:w="352" w:type="pct"/>
            <w:tcBorders>
              <w:bottom w:val="single" w:sz="4" w:space="0" w:color="000000"/>
            </w:tcBorders>
          </w:tcPr>
          <w:p w14:paraId="6400A8A2" w14:textId="77777777" w:rsidR="007123C7" w:rsidRPr="001F3926" w:rsidRDefault="007123C7" w:rsidP="00E82294">
            <w:pPr>
              <w:pStyle w:val="TableText"/>
              <w:jc w:val="right"/>
            </w:pPr>
            <w:r w:rsidRPr="001F3926">
              <w:rPr>
                <w:rFonts w:cs="Arial"/>
              </w:rPr>
              <w:t>883</w:t>
            </w:r>
          </w:p>
        </w:tc>
        <w:tc>
          <w:tcPr>
            <w:tcW w:w="400" w:type="pct"/>
            <w:tcBorders>
              <w:bottom w:val="single" w:sz="4" w:space="0" w:color="000000"/>
            </w:tcBorders>
          </w:tcPr>
          <w:p w14:paraId="08524B29" w14:textId="77777777" w:rsidR="007123C7" w:rsidRPr="001F3926" w:rsidRDefault="007123C7" w:rsidP="002B44B9">
            <w:pPr>
              <w:pStyle w:val="TableText"/>
              <w:jc w:val="right"/>
            </w:pPr>
            <w:r w:rsidRPr="001F3926">
              <w:rPr>
                <w:rFonts w:cs="Arial"/>
              </w:rPr>
              <w:t>6.8</w:t>
            </w:r>
            <w:r w:rsidR="002B44B9" w:rsidRPr="001F3926">
              <w:rPr>
                <w:rFonts w:cs="Arial"/>
              </w:rPr>
              <w:br/>
            </w:r>
            <w:r w:rsidRPr="001F3926">
              <w:rPr>
                <w:rFonts w:cs="Arial"/>
              </w:rPr>
              <w:t>(5.6</w:t>
            </w:r>
            <w:r w:rsidR="00BF4EFA" w:rsidRPr="001F3926">
              <w:rPr>
                <w:rFonts w:cs="Arial"/>
              </w:rPr>
              <w:t>, </w:t>
            </w:r>
            <w:r w:rsidRPr="001F3926">
              <w:rPr>
                <w:rFonts w:cs="Arial"/>
              </w:rPr>
              <w:t>8.2)</w:t>
            </w:r>
          </w:p>
        </w:tc>
        <w:tc>
          <w:tcPr>
            <w:tcW w:w="264" w:type="pct"/>
            <w:tcBorders>
              <w:bottom w:val="single" w:sz="4" w:space="0" w:color="000000"/>
            </w:tcBorders>
          </w:tcPr>
          <w:p w14:paraId="581A247B" w14:textId="77777777" w:rsidR="007123C7" w:rsidRPr="001F3926" w:rsidRDefault="007123C7" w:rsidP="00E82294">
            <w:pPr>
              <w:pStyle w:val="TableText"/>
              <w:jc w:val="right"/>
            </w:pPr>
            <w:r w:rsidRPr="001F3926">
              <w:rPr>
                <w:rFonts w:cs="Arial"/>
              </w:rPr>
              <w:t>4967</w:t>
            </w:r>
          </w:p>
        </w:tc>
        <w:tc>
          <w:tcPr>
            <w:tcW w:w="352" w:type="pct"/>
            <w:tcBorders>
              <w:bottom w:val="single" w:sz="4" w:space="0" w:color="000000"/>
            </w:tcBorders>
          </w:tcPr>
          <w:p w14:paraId="7DF6728C" w14:textId="77777777" w:rsidR="007123C7" w:rsidRPr="001F3926" w:rsidRDefault="007123C7" w:rsidP="00E82294">
            <w:pPr>
              <w:pStyle w:val="TableText"/>
              <w:jc w:val="right"/>
            </w:pPr>
            <w:r w:rsidRPr="001F3926">
              <w:rPr>
                <w:rFonts w:cs="Arial"/>
              </w:rPr>
              <w:t>32,651</w:t>
            </w:r>
          </w:p>
        </w:tc>
        <w:tc>
          <w:tcPr>
            <w:tcW w:w="391" w:type="pct"/>
            <w:tcBorders>
              <w:bottom w:val="single" w:sz="4" w:space="0" w:color="000000"/>
            </w:tcBorders>
          </w:tcPr>
          <w:p w14:paraId="72956C54" w14:textId="77777777" w:rsidR="007123C7" w:rsidRPr="001F3926" w:rsidRDefault="007123C7" w:rsidP="00E82294">
            <w:pPr>
              <w:pStyle w:val="TableText"/>
              <w:jc w:val="right"/>
            </w:pPr>
            <w:r w:rsidRPr="001F3926">
              <w:rPr>
                <w:rFonts w:cs="Arial"/>
              </w:rPr>
              <w:t>93.2 (90.4</w:t>
            </w:r>
            <w:r w:rsidR="00BF4EFA" w:rsidRPr="001F3926">
              <w:rPr>
                <w:rFonts w:cs="Arial"/>
              </w:rPr>
              <w:t>, </w:t>
            </w:r>
            <w:r w:rsidRPr="001F3926">
              <w:rPr>
                <w:rFonts w:cs="Arial"/>
              </w:rPr>
              <w:t>95.2)</w:t>
            </w:r>
          </w:p>
        </w:tc>
        <w:tc>
          <w:tcPr>
            <w:tcW w:w="273" w:type="pct"/>
            <w:tcBorders>
              <w:bottom w:val="single" w:sz="4" w:space="0" w:color="000000"/>
            </w:tcBorders>
          </w:tcPr>
          <w:p w14:paraId="6969BBF0" w14:textId="77777777" w:rsidR="007123C7" w:rsidRPr="001F3926" w:rsidRDefault="007123C7" w:rsidP="00E82294">
            <w:pPr>
              <w:pStyle w:val="TableText"/>
              <w:jc w:val="right"/>
            </w:pPr>
            <w:r w:rsidRPr="001F3926">
              <w:rPr>
                <w:rFonts w:cs="Arial"/>
              </w:rPr>
              <w:t>443</w:t>
            </w:r>
          </w:p>
        </w:tc>
        <w:tc>
          <w:tcPr>
            <w:tcW w:w="351" w:type="pct"/>
            <w:tcBorders>
              <w:bottom w:val="single" w:sz="4" w:space="0" w:color="000000"/>
            </w:tcBorders>
          </w:tcPr>
          <w:p w14:paraId="185BD5E9" w14:textId="77777777" w:rsidR="007123C7" w:rsidRPr="001F3926" w:rsidRDefault="007123C7" w:rsidP="00E82294">
            <w:pPr>
              <w:pStyle w:val="TableText"/>
              <w:jc w:val="right"/>
            </w:pPr>
            <w:r w:rsidRPr="001F3926">
              <w:rPr>
                <w:rFonts w:cs="Arial"/>
              </w:rPr>
              <w:t>2388</w:t>
            </w:r>
          </w:p>
        </w:tc>
        <w:tc>
          <w:tcPr>
            <w:tcW w:w="380" w:type="pct"/>
            <w:tcBorders>
              <w:bottom w:val="single" w:sz="4" w:space="0" w:color="000000"/>
            </w:tcBorders>
          </w:tcPr>
          <w:p w14:paraId="1629F874" w14:textId="77777777" w:rsidR="007123C7" w:rsidRPr="001F3926" w:rsidRDefault="007123C7" w:rsidP="00E82294">
            <w:pPr>
              <w:pStyle w:val="TableText"/>
              <w:jc w:val="right"/>
            </w:pPr>
            <w:r w:rsidRPr="001F3926">
              <w:rPr>
                <w:rFonts w:cs="Arial"/>
              </w:rPr>
              <w:t>6.8 (4.8</w:t>
            </w:r>
            <w:r w:rsidR="00BF4EFA" w:rsidRPr="001F3926">
              <w:rPr>
                <w:rFonts w:cs="Arial"/>
              </w:rPr>
              <w:t>, </w:t>
            </w:r>
            <w:r w:rsidRPr="001F3926">
              <w:rPr>
                <w:rFonts w:cs="Arial"/>
              </w:rPr>
              <w:t>9.6)</w:t>
            </w:r>
          </w:p>
        </w:tc>
      </w:tr>
      <w:tr w:rsidR="002B44B9" w:rsidRPr="001F3926" w14:paraId="7F0FC07A"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Borders>
              <w:top w:val="single" w:sz="4" w:space="0" w:color="000000"/>
              <w:bottom w:val="nil"/>
            </w:tcBorders>
          </w:tcPr>
          <w:p w14:paraId="5ACDEEF1" w14:textId="77777777" w:rsidR="007123C7" w:rsidRPr="001F3926" w:rsidRDefault="007123C7" w:rsidP="00E82294">
            <w:pPr>
              <w:pStyle w:val="TableText"/>
              <w:rPr>
                <w:b/>
                <w:bCs/>
                <w:color w:val="000000" w:themeColor="text1"/>
              </w:rPr>
            </w:pPr>
            <w:r w:rsidRPr="001F3926">
              <w:rPr>
                <w:b/>
              </w:rPr>
              <w:t>Probable alcohol use disorder (AUDIT)</w:t>
            </w:r>
          </w:p>
        </w:tc>
        <w:tc>
          <w:tcPr>
            <w:tcW w:w="247" w:type="pct"/>
            <w:tcBorders>
              <w:top w:val="single" w:sz="4" w:space="0" w:color="000000"/>
              <w:bottom w:val="nil"/>
            </w:tcBorders>
          </w:tcPr>
          <w:p w14:paraId="29548D29" w14:textId="77777777" w:rsidR="007123C7" w:rsidRPr="001F3926" w:rsidRDefault="007123C7" w:rsidP="00E82294">
            <w:pPr>
              <w:pStyle w:val="TableText"/>
              <w:jc w:val="right"/>
            </w:pPr>
          </w:p>
        </w:tc>
        <w:tc>
          <w:tcPr>
            <w:tcW w:w="351" w:type="pct"/>
            <w:tcBorders>
              <w:top w:val="single" w:sz="4" w:space="0" w:color="000000"/>
              <w:bottom w:val="nil"/>
            </w:tcBorders>
          </w:tcPr>
          <w:p w14:paraId="2BB8302B" w14:textId="77777777" w:rsidR="007123C7" w:rsidRPr="001F3926" w:rsidRDefault="007123C7" w:rsidP="00E82294">
            <w:pPr>
              <w:pStyle w:val="TableText"/>
              <w:jc w:val="right"/>
            </w:pPr>
          </w:p>
        </w:tc>
        <w:tc>
          <w:tcPr>
            <w:tcW w:w="409" w:type="pct"/>
            <w:tcBorders>
              <w:top w:val="single" w:sz="4" w:space="0" w:color="000000"/>
              <w:bottom w:val="nil"/>
            </w:tcBorders>
          </w:tcPr>
          <w:p w14:paraId="541CA608" w14:textId="77777777" w:rsidR="007123C7" w:rsidRPr="001F3926" w:rsidRDefault="007123C7" w:rsidP="00E82294">
            <w:pPr>
              <w:pStyle w:val="TableText"/>
              <w:jc w:val="right"/>
            </w:pPr>
          </w:p>
        </w:tc>
        <w:tc>
          <w:tcPr>
            <w:tcW w:w="255" w:type="pct"/>
            <w:tcBorders>
              <w:top w:val="single" w:sz="4" w:space="0" w:color="000000"/>
              <w:bottom w:val="nil"/>
            </w:tcBorders>
          </w:tcPr>
          <w:p w14:paraId="6A1A5486" w14:textId="77777777" w:rsidR="007123C7" w:rsidRPr="001F3926" w:rsidRDefault="007123C7" w:rsidP="00E82294">
            <w:pPr>
              <w:pStyle w:val="TableText"/>
              <w:jc w:val="right"/>
            </w:pPr>
          </w:p>
        </w:tc>
        <w:tc>
          <w:tcPr>
            <w:tcW w:w="352" w:type="pct"/>
            <w:tcBorders>
              <w:top w:val="single" w:sz="4" w:space="0" w:color="000000"/>
              <w:bottom w:val="nil"/>
            </w:tcBorders>
          </w:tcPr>
          <w:p w14:paraId="0F298DCC" w14:textId="77777777" w:rsidR="007123C7" w:rsidRPr="001F3926" w:rsidRDefault="007123C7" w:rsidP="00E82294">
            <w:pPr>
              <w:pStyle w:val="TableText"/>
              <w:jc w:val="right"/>
            </w:pPr>
          </w:p>
        </w:tc>
        <w:tc>
          <w:tcPr>
            <w:tcW w:w="400" w:type="pct"/>
            <w:tcBorders>
              <w:top w:val="single" w:sz="4" w:space="0" w:color="000000"/>
              <w:bottom w:val="nil"/>
            </w:tcBorders>
          </w:tcPr>
          <w:p w14:paraId="48317AEA" w14:textId="77777777" w:rsidR="007123C7" w:rsidRPr="001F3926" w:rsidRDefault="007123C7" w:rsidP="00E82294">
            <w:pPr>
              <w:pStyle w:val="TableText"/>
              <w:jc w:val="right"/>
            </w:pPr>
          </w:p>
        </w:tc>
        <w:tc>
          <w:tcPr>
            <w:tcW w:w="264" w:type="pct"/>
            <w:tcBorders>
              <w:top w:val="single" w:sz="4" w:space="0" w:color="000000"/>
              <w:bottom w:val="nil"/>
            </w:tcBorders>
          </w:tcPr>
          <w:p w14:paraId="2D453881" w14:textId="77777777" w:rsidR="007123C7" w:rsidRPr="001F3926" w:rsidRDefault="007123C7" w:rsidP="00E82294">
            <w:pPr>
              <w:pStyle w:val="TableText"/>
              <w:jc w:val="right"/>
            </w:pPr>
          </w:p>
        </w:tc>
        <w:tc>
          <w:tcPr>
            <w:tcW w:w="352" w:type="pct"/>
            <w:tcBorders>
              <w:top w:val="single" w:sz="4" w:space="0" w:color="000000"/>
              <w:bottom w:val="nil"/>
            </w:tcBorders>
          </w:tcPr>
          <w:p w14:paraId="53956A01" w14:textId="77777777" w:rsidR="007123C7" w:rsidRPr="001F3926" w:rsidRDefault="007123C7" w:rsidP="00E82294">
            <w:pPr>
              <w:pStyle w:val="TableText"/>
              <w:jc w:val="right"/>
            </w:pPr>
          </w:p>
        </w:tc>
        <w:tc>
          <w:tcPr>
            <w:tcW w:w="391" w:type="pct"/>
            <w:tcBorders>
              <w:top w:val="single" w:sz="4" w:space="0" w:color="000000"/>
              <w:bottom w:val="nil"/>
            </w:tcBorders>
          </w:tcPr>
          <w:p w14:paraId="26108A99" w14:textId="77777777" w:rsidR="007123C7" w:rsidRPr="001F3926" w:rsidRDefault="007123C7" w:rsidP="00E82294">
            <w:pPr>
              <w:pStyle w:val="TableText"/>
              <w:jc w:val="right"/>
            </w:pPr>
          </w:p>
        </w:tc>
        <w:tc>
          <w:tcPr>
            <w:tcW w:w="273" w:type="pct"/>
            <w:tcBorders>
              <w:top w:val="single" w:sz="4" w:space="0" w:color="000000"/>
              <w:bottom w:val="nil"/>
            </w:tcBorders>
          </w:tcPr>
          <w:p w14:paraId="63A1C813" w14:textId="77777777" w:rsidR="007123C7" w:rsidRPr="001F3926" w:rsidRDefault="007123C7" w:rsidP="00E82294">
            <w:pPr>
              <w:pStyle w:val="TableText"/>
              <w:jc w:val="right"/>
            </w:pPr>
          </w:p>
        </w:tc>
        <w:tc>
          <w:tcPr>
            <w:tcW w:w="351" w:type="pct"/>
            <w:tcBorders>
              <w:top w:val="single" w:sz="4" w:space="0" w:color="000000"/>
              <w:bottom w:val="nil"/>
            </w:tcBorders>
          </w:tcPr>
          <w:p w14:paraId="50857F75" w14:textId="77777777" w:rsidR="007123C7" w:rsidRPr="001F3926" w:rsidRDefault="007123C7" w:rsidP="00E82294">
            <w:pPr>
              <w:pStyle w:val="TableText"/>
              <w:jc w:val="right"/>
            </w:pPr>
          </w:p>
        </w:tc>
        <w:tc>
          <w:tcPr>
            <w:tcW w:w="380" w:type="pct"/>
            <w:tcBorders>
              <w:top w:val="single" w:sz="4" w:space="0" w:color="000000"/>
              <w:bottom w:val="nil"/>
            </w:tcBorders>
          </w:tcPr>
          <w:p w14:paraId="2C777D54" w14:textId="77777777" w:rsidR="007123C7" w:rsidRPr="001F3926" w:rsidRDefault="007123C7" w:rsidP="00E82294">
            <w:pPr>
              <w:pStyle w:val="TableText"/>
              <w:jc w:val="right"/>
            </w:pPr>
          </w:p>
        </w:tc>
      </w:tr>
      <w:tr w:rsidR="002B44B9" w:rsidRPr="001F3926" w14:paraId="4A939119" w14:textId="77777777" w:rsidTr="002B44B9">
        <w:trPr>
          <w:cantSplit/>
        </w:trPr>
        <w:tc>
          <w:tcPr>
            <w:tcW w:w="975" w:type="pct"/>
            <w:tcBorders>
              <w:top w:val="nil"/>
            </w:tcBorders>
          </w:tcPr>
          <w:p w14:paraId="1A57F4AB" w14:textId="77777777" w:rsidR="007123C7" w:rsidRPr="001F3926" w:rsidRDefault="007123C7" w:rsidP="00E82294">
            <w:pPr>
              <w:pStyle w:val="TableText"/>
              <w:rPr>
                <w:bCs/>
                <w:color w:val="000000" w:themeColor="text1"/>
              </w:rPr>
            </w:pPr>
            <w:r w:rsidRPr="001F3926">
              <w:t xml:space="preserve">Probable disorder </w:t>
            </w:r>
          </w:p>
        </w:tc>
        <w:tc>
          <w:tcPr>
            <w:tcW w:w="247" w:type="pct"/>
            <w:tcBorders>
              <w:top w:val="nil"/>
            </w:tcBorders>
          </w:tcPr>
          <w:p w14:paraId="3B5210C6" w14:textId="77777777" w:rsidR="007123C7" w:rsidRPr="001F3926" w:rsidRDefault="007123C7" w:rsidP="00E82294">
            <w:pPr>
              <w:pStyle w:val="TableText"/>
              <w:jc w:val="right"/>
            </w:pPr>
            <w:r w:rsidRPr="001F3926">
              <w:rPr>
                <w:rFonts w:cs="Arial"/>
              </w:rPr>
              <w:t>175</w:t>
            </w:r>
          </w:p>
        </w:tc>
        <w:tc>
          <w:tcPr>
            <w:tcW w:w="351" w:type="pct"/>
            <w:tcBorders>
              <w:top w:val="nil"/>
            </w:tcBorders>
          </w:tcPr>
          <w:p w14:paraId="565A4ECD" w14:textId="77777777" w:rsidR="007123C7" w:rsidRPr="001F3926" w:rsidRDefault="007123C7" w:rsidP="00E82294">
            <w:pPr>
              <w:pStyle w:val="TableText"/>
              <w:jc w:val="right"/>
            </w:pPr>
            <w:r w:rsidRPr="001F3926">
              <w:rPr>
                <w:rFonts w:cs="Arial"/>
              </w:rPr>
              <w:t>1190</w:t>
            </w:r>
          </w:p>
        </w:tc>
        <w:tc>
          <w:tcPr>
            <w:tcW w:w="409" w:type="pct"/>
            <w:tcBorders>
              <w:top w:val="nil"/>
            </w:tcBorders>
          </w:tcPr>
          <w:p w14:paraId="618DE444" w14:textId="77777777" w:rsidR="007123C7" w:rsidRPr="001F3926" w:rsidRDefault="007123C7" w:rsidP="00E82294">
            <w:pPr>
              <w:pStyle w:val="TableText"/>
              <w:jc w:val="right"/>
            </w:pPr>
            <w:r w:rsidRPr="001F3926">
              <w:rPr>
                <w:rFonts w:cs="Arial"/>
              </w:rPr>
              <w:t>72.6 (65.0</w:t>
            </w:r>
            <w:r w:rsidR="00BF4EFA" w:rsidRPr="001F3926">
              <w:rPr>
                <w:rFonts w:cs="Arial"/>
              </w:rPr>
              <w:t>, </w:t>
            </w:r>
            <w:r w:rsidRPr="001F3926">
              <w:rPr>
                <w:rFonts w:cs="Arial"/>
              </w:rPr>
              <w:t>79.0)</w:t>
            </w:r>
          </w:p>
        </w:tc>
        <w:tc>
          <w:tcPr>
            <w:tcW w:w="255" w:type="pct"/>
            <w:tcBorders>
              <w:top w:val="nil"/>
            </w:tcBorders>
          </w:tcPr>
          <w:p w14:paraId="1B7ADDB8" w14:textId="77777777" w:rsidR="007123C7" w:rsidRPr="001F3926" w:rsidRDefault="007123C7" w:rsidP="00E82294">
            <w:pPr>
              <w:pStyle w:val="TableText"/>
              <w:jc w:val="right"/>
            </w:pPr>
            <w:r w:rsidRPr="001F3926">
              <w:rPr>
                <w:rFonts w:cs="Arial"/>
              </w:rPr>
              <w:t>65</w:t>
            </w:r>
          </w:p>
        </w:tc>
        <w:tc>
          <w:tcPr>
            <w:tcW w:w="352" w:type="pct"/>
            <w:tcBorders>
              <w:top w:val="nil"/>
            </w:tcBorders>
          </w:tcPr>
          <w:p w14:paraId="5398AD97" w14:textId="77777777" w:rsidR="007123C7" w:rsidRPr="001F3926" w:rsidRDefault="007123C7" w:rsidP="00E82294">
            <w:pPr>
              <w:pStyle w:val="TableText"/>
              <w:jc w:val="right"/>
            </w:pPr>
            <w:r w:rsidRPr="001F3926">
              <w:rPr>
                <w:rFonts w:cs="Arial"/>
              </w:rPr>
              <w:t>450</w:t>
            </w:r>
          </w:p>
        </w:tc>
        <w:tc>
          <w:tcPr>
            <w:tcW w:w="400" w:type="pct"/>
            <w:tcBorders>
              <w:top w:val="nil"/>
            </w:tcBorders>
          </w:tcPr>
          <w:p w14:paraId="23485A37" w14:textId="77777777" w:rsidR="007123C7" w:rsidRPr="001F3926" w:rsidRDefault="007123C7" w:rsidP="00E82294">
            <w:pPr>
              <w:pStyle w:val="TableText"/>
              <w:jc w:val="right"/>
            </w:pPr>
            <w:r w:rsidRPr="001F3926">
              <w:rPr>
                <w:rFonts w:cs="Arial"/>
              </w:rPr>
              <w:t>27.4 (21.0</w:t>
            </w:r>
            <w:r w:rsidR="00BF4EFA" w:rsidRPr="001F3926">
              <w:rPr>
                <w:rFonts w:cs="Arial"/>
              </w:rPr>
              <w:t>, </w:t>
            </w:r>
            <w:r w:rsidRPr="001F3926">
              <w:rPr>
                <w:rFonts w:cs="Arial"/>
              </w:rPr>
              <w:t>35.0)</w:t>
            </w:r>
          </w:p>
        </w:tc>
        <w:tc>
          <w:tcPr>
            <w:tcW w:w="264" w:type="pct"/>
            <w:tcBorders>
              <w:top w:val="nil"/>
            </w:tcBorders>
          </w:tcPr>
          <w:p w14:paraId="29B9BA16" w14:textId="77777777" w:rsidR="007123C7" w:rsidRPr="001F3926" w:rsidRDefault="007123C7" w:rsidP="00E82294">
            <w:pPr>
              <w:pStyle w:val="TableText"/>
              <w:jc w:val="right"/>
            </w:pPr>
            <w:r w:rsidRPr="001F3926">
              <w:rPr>
                <w:rFonts w:cs="Arial"/>
              </w:rPr>
              <w:t>62</w:t>
            </w:r>
          </w:p>
        </w:tc>
        <w:tc>
          <w:tcPr>
            <w:tcW w:w="352" w:type="pct"/>
            <w:tcBorders>
              <w:top w:val="nil"/>
            </w:tcBorders>
          </w:tcPr>
          <w:p w14:paraId="5524AA1E" w14:textId="77777777" w:rsidR="007123C7" w:rsidRPr="001F3926" w:rsidRDefault="007123C7" w:rsidP="00E82294">
            <w:pPr>
              <w:pStyle w:val="TableText"/>
              <w:jc w:val="right"/>
            </w:pPr>
            <w:r w:rsidRPr="001F3926">
              <w:rPr>
                <w:rFonts w:cs="Arial"/>
              </w:rPr>
              <w:t>525</w:t>
            </w:r>
          </w:p>
        </w:tc>
        <w:tc>
          <w:tcPr>
            <w:tcW w:w="391" w:type="pct"/>
            <w:tcBorders>
              <w:top w:val="nil"/>
            </w:tcBorders>
          </w:tcPr>
          <w:p w14:paraId="7A9F2FB7" w14:textId="77777777" w:rsidR="007123C7" w:rsidRPr="001F3926" w:rsidRDefault="007123C7" w:rsidP="00E82294">
            <w:pPr>
              <w:pStyle w:val="TableText"/>
              <w:jc w:val="right"/>
            </w:pPr>
            <w:r w:rsidRPr="001F3926">
              <w:rPr>
                <w:rFonts w:cs="Arial"/>
              </w:rPr>
              <w:t>68.0 (26.2</w:t>
            </w:r>
            <w:r w:rsidR="00BF4EFA" w:rsidRPr="001F3926">
              <w:rPr>
                <w:rFonts w:cs="Arial"/>
              </w:rPr>
              <w:t>, </w:t>
            </w:r>
            <w:r w:rsidRPr="001F3926">
              <w:rPr>
                <w:rFonts w:cs="Arial"/>
              </w:rPr>
              <w:t>92.7)</w:t>
            </w:r>
          </w:p>
        </w:tc>
        <w:tc>
          <w:tcPr>
            <w:tcW w:w="273" w:type="pct"/>
            <w:tcBorders>
              <w:top w:val="nil"/>
            </w:tcBorders>
          </w:tcPr>
          <w:p w14:paraId="47F6721F" w14:textId="77777777" w:rsidR="007123C7" w:rsidRPr="001F3926" w:rsidRDefault="007123C7" w:rsidP="00E82294">
            <w:pPr>
              <w:pStyle w:val="TableText"/>
              <w:jc w:val="right"/>
            </w:pPr>
            <w:r w:rsidRPr="001F3926">
              <w:rPr>
                <w:rFonts w:cs="Arial"/>
              </w:rPr>
              <w:t>23</w:t>
            </w:r>
          </w:p>
        </w:tc>
        <w:tc>
          <w:tcPr>
            <w:tcW w:w="351" w:type="pct"/>
            <w:tcBorders>
              <w:top w:val="nil"/>
            </w:tcBorders>
          </w:tcPr>
          <w:p w14:paraId="5484E5CE" w14:textId="77777777" w:rsidR="007123C7" w:rsidRPr="001F3926" w:rsidRDefault="007123C7" w:rsidP="00E82294">
            <w:pPr>
              <w:pStyle w:val="TableText"/>
              <w:jc w:val="right"/>
            </w:pPr>
            <w:r w:rsidRPr="001F3926">
              <w:rPr>
                <w:rFonts w:cs="Arial"/>
              </w:rPr>
              <w:t>247</w:t>
            </w:r>
          </w:p>
        </w:tc>
        <w:tc>
          <w:tcPr>
            <w:tcW w:w="380" w:type="pct"/>
            <w:tcBorders>
              <w:top w:val="nil"/>
            </w:tcBorders>
          </w:tcPr>
          <w:p w14:paraId="0970E1D0" w14:textId="77777777" w:rsidR="007123C7" w:rsidRPr="001F3926" w:rsidRDefault="007123C7" w:rsidP="00E82294">
            <w:pPr>
              <w:pStyle w:val="TableText"/>
              <w:jc w:val="right"/>
            </w:pPr>
            <w:r w:rsidRPr="001F3926">
              <w:rPr>
                <w:rFonts w:cs="Arial"/>
              </w:rPr>
              <w:t>32.0 (7.3</w:t>
            </w:r>
            <w:r w:rsidR="00BF4EFA" w:rsidRPr="001F3926">
              <w:rPr>
                <w:rFonts w:cs="Arial"/>
              </w:rPr>
              <w:t>, </w:t>
            </w:r>
            <w:r w:rsidRPr="001F3926">
              <w:rPr>
                <w:rFonts w:cs="Arial"/>
              </w:rPr>
              <w:t>73.8)</w:t>
            </w:r>
          </w:p>
        </w:tc>
      </w:tr>
      <w:tr w:rsidR="00BF4EFA" w:rsidRPr="001F3926" w14:paraId="4225A565"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Pr>
          <w:p w14:paraId="1A325030" w14:textId="77777777" w:rsidR="007123C7" w:rsidRPr="001F3926" w:rsidRDefault="007155C2" w:rsidP="00E82294">
            <w:pPr>
              <w:pStyle w:val="TableText"/>
            </w:pPr>
            <w:r>
              <w:t>Subsyndromal</w:t>
            </w:r>
            <w:r w:rsidR="007123C7" w:rsidRPr="001F3926">
              <w:t xml:space="preserve"> disorder </w:t>
            </w:r>
          </w:p>
        </w:tc>
        <w:tc>
          <w:tcPr>
            <w:tcW w:w="247" w:type="pct"/>
          </w:tcPr>
          <w:p w14:paraId="173B0EB1" w14:textId="77777777" w:rsidR="007123C7" w:rsidRPr="001F3926" w:rsidRDefault="007123C7" w:rsidP="00E82294">
            <w:pPr>
              <w:pStyle w:val="TableText"/>
              <w:jc w:val="right"/>
            </w:pPr>
            <w:r w:rsidRPr="001F3926">
              <w:rPr>
                <w:rFonts w:cs="Arial"/>
              </w:rPr>
              <w:t>797</w:t>
            </w:r>
          </w:p>
        </w:tc>
        <w:tc>
          <w:tcPr>
            <w:tcW w:w="351" w:type="pct"/>
          </w:tcPr>
          <w:p w14:paraId="4FAF5A31" w14:textId="77777777" w:rsidR="007123C7" w:rsidRPr="001F3926" w:rsidRDefault="007123C7" w:rsidP="00E82294">
            <w:pPr>
              <w:pStyle w:val="TableText"/>
              <w:jc w:val="right"/>
            </w:pPr>
            <w:r w:rsidRPr="001F3926">
              <w:rPr>
                <w:rFonts w:cs="Arial"/>
              </w:rPr>
              <w:t>5653</w:t>
            </w:r>
          </w:p>
        </w:tc>
        <w:tc>
          <w:tcPr>
            <w:tcW w:w="409" w:type="pct"/>
          </w:tcPr>
          <w:p w14:paraId="1523E4FE" w14:textId="77777777" w:rsidR="007123C7" w:rsidRPr="001F3926" w:rsidRDefault="007123C7" w:rsidP="00E82294">
            <w:pPr>
              <w:pStyle w:val="TableText"/>
              <w:jc w:val="right"/>
            </w:pPr>
            <w:r w:rsidRPr="001F3926">
              <w:rPr>
                <w:rFonts w:cs="Arial"/>
              </w:rPr>
              <w:t>84.1 (81.1</w:t>
            </w:r>
            <w:r w:rsidR="00BF4EFA" w:rsidRPr="001F3926">
              <w:rPr>
                <w:rFonts w:cs="Arial"/>
              </w:rPr>
              <w:t>, </w:t>
            </w:r>
            <w:r w:rsidRPr="001F3926">
              <w:rPr>
                <w:rFonts w:cs="Arial"/>
              </w:rPr>
              <w:t>86.7)</w:t>
            </w:r>
          </w:p>
        </w:tc>
        <w:tc>
          <w:tcPr>
            <w:tcW w:w="255" w:type="pct"/>
          </w:tcPr>
          <w:p w14:paraId="1D1499ED" w14:textId="77777777" w:rsidR="007123C7" w:rsidRPr="001F3926" w:rsidRDefault="007123C7" w:rsidP="00E82294">
            <w:pPr>
              <w:pStyle w:val="TableText"/>
              <w:jc w:val="right"/>
            </w:pPr>
            <w:r w:rsidRPr="001F3926">
              <w:rPr>
                <w:rFonts w:cs="Arial"/>
              </w:rPr>
              <w:t>167</w:t>
            </w:r>
          </w:p>
        </w:tc>
        <w:tc>
          <w:tcPr>
            <w:tcW w:w="352" w:type="pct"/>
          </w:tcPr>
          <w:p w14:paraId="3A61CEAC" w14:textId="77777777" w:rsidR="007123C7" w:rsidRPr="001F3926" w:rsidRDefault="007123C7" w:rsidP="00E82294">
            <w:pPr>
              <w:pStyle w:val="TableText"/>
              <w:jc w:val="right"/>
            </w:pPr>
            <w:r w:rsidRPr="001F3926">
              <w:rPr>
                <w:rFonts w:cs="Arial"/>
              </w:rPr>
              <w:t>1070</w:t>
            </w:r>
          </w:p>
        </w:tc>
        <w:tc>
          <w:tcPr>
            <w:tcW w:w="400" w:type="pct"/>
          </w:tcPr>
          <w:p w14:paraId="55427174" w14:textId="77777777" w:rsidR="007123C7" w:rsidRPr="001F3926" w:rsidRDefault="007123C7" w:rsidP="00E82294">
            <w:pPr>
              <w:pStyle w:val="TableText"/>
              <w:jc w:val="right"/>
            </w:pPr>
            <w:r w:rsidRPr="001F3926">
              <w:rPr>
                <w:rFonts w:cs="Arial"/>
              </w:rPr>
              <w:t>15.9 (13.3</w:t>
            </w:r>
            <w:r w:rsidR="00BF4EFA" w:rsidRPr="001F3926">
              <w:rPr>
                <w:rFonts w:cs="Arial"/>
              </w:rPr>
              <w:t>, </w:t>
            </w:r>
            <w:r w:rsidRPr="001F3926">
              <w:rPr>
                <w:rFonts w:cs="Arial"/>
              </w:rPr>
              <w:t>18.9)</w:t>
            </w:r>
          </w:p>
        </w:tc>
        <w:tc>
          <w:tcPr>
            <w:tcW w:w="264" w:type="pct"/>
          </w:tcPr>
          <w:p w14:paraId="7107483A" w14:textId="77777777" w:rsidR="007123C7" w:rsidRPr="001F3926" w:rsidRDefault="007123C7" w:rsidP="00E82294">
            <w:pPr>
              <w:pStyle w:val="TableText"/>
              <w:jc w:val="right"/>
            </w:pPr>
            <w:r w:rsidRPr="001F3926">
              <w:rPr>
                <w:rFonts w:cs="Arial"/>
              </w:rPr>
              <w:t>1184</w:t>
            </w:r>
          </w:p>
        </w:tc>
        <w:tc>
          <w:tcPr>
            <w:tcW w:w="352" w:type="pct"/>
          </w:tcPr>
          <w:p w14:paraId="3F6AD826" w14:textId="77777777" w:rsidR="007123C7" w:rsidRPr="001F3926" w:rsidRDefault="007123C7" w:rsidP="00E82294">
            <w:pPr>
              <w:pStyle w:val="TableText"/>
              <w:jc w:val="right"/>
            </w:pPr>
            <w:r w:rsidRPr="001F3926">
              <w:rPr>
                <w:rFonts w:cs="Arial"/>
              </w:rPr>
              <w:t>9101</w:t>
            </w:r>
          </w:p>
        </w:tc>
        <w:tc>
          <w:tcPr>
            <w:tcW w:w="391" w:type="pct"/>
          </w:tcPr>
          <w:p w14:paraId="00F3060C" w14:textId="77777777" w:rsidR="007123C7" w:rsidRPr="001F3926" w:rsidRDefault="007123C7" w:rsidP="00E82294">
            <w:pPr>
              <w:pStyle w:val="TableText"/>
              <w:jc w:val="right"/>
            </w:pPr>
            <w:r w:rsidRPr="001F3926">
              <w:rPr>
                <w:rFonts w:cs="Arial"/>
              </w:rPr>
              <w:t>87.3 (80.9</w:t>
            </w:r>
            <w:r w:rsidR="00BF4EFA" w:rsidRPr="001F3926">
              <w:rPr>
                <w:rFonts w:cs="Arial"/>
              </w:rPr>
              <w:t>, </w:t>
            </w:r>
            <w:r w:rsidRPr="001F3926">
              <w:rPr>
                <w:rFonts w:cs="Arial"/>
              </w:rPr>
              <w:t>91.8)</w:t>
            </w:r>
          </w:p>
        </w:tc>
        <w:tc>
          <w:tcPr>
            <w:tcW w:w="273" w:type="pct"/>
          </w:tcPr>
          <w:p w14:paraId="063B9E7B" w14:textId="77777777" w:rsidR="007123C7" w:rsidRPr="001F3926" w:rsidRDefault="007123C7" w:rsidP="00E82294">
            <w:pPr>
              <w:pStyle w:val="TableText"/>
              <w:jc w:val="right"/>
            </w:pPr>
            <w:r w:rsidRPr="001F3926">
              <w:rPr>
                <w:rFonts w:cs="Arial"/>
              </w:rPr>
              <w:t>209</w:t>
            </w:r>
          </w:p>
        </w:tc>
        <w:tc>
          <w:tcPr>
            <w:tcW w:w="351" w:type="pct"/>
          </w:tcPr>
          <w:p w14:paraId="383B76EE" w14:textId="77777777" w:rsidR="007123C7" w:rsidRPr="001F3926" w:rsidRDefault="007123C7" w:rsidP="00E82294">
            <w:pPr>
              <w:pStyle w:val="TableText"/>
              <w:jc w:val="right"/>
            </w:pPr>
            <w:r w:rsidRPr="001F3926">
              <w:rPr>
                <w:rFonts w:cs="Arial"/>
              </w:rPr>
              <w:t>1318</w:t>
            </w:r>
          </w:p>
        </w:tc>
        <w:tc>
          <w:tcPr>
            <w:tcW w:w="380" w:type="pct"/>
          </w:tcPr>
          <w:p w14:paraId="5C4E47CF" w14:textId="77777777" w:rsidR="007123C7" w:rsidRPr="001F3926" w:rsidRDefault="007123C7" w:rsidP="00E82294">
            <w:pPr>
              <w:pStyle w:val="TableText"/>
              <w:jc w:val="right"/>
            </w:pPr>
            <w:r w:rsidRPr="001F3926">
              <w:rPr>
                <w:rFonts w:cs="Arial"/>
              </w:rPr>
              <w:t>12.7 (8.2</w:t>
            </w:r>
            <w:r w:rsidR="00BF4EFA" w:rsidRPr="001F3926">
              <w:rPr>
                <w:rFonts w:cs="Arial"/>
              </w:rPr>
              <w:t>, </w:t>
            </w:r>
            <w:r w:rsidRPr="001F3926">
              <w:rPr>
                <w:rFonts w:cs="Arial"/>
              </w:rPr>
              <w:t>19.1)</w:t>
            </w:r>
          </w:p>
        </w:tc>
      </w:tr>
      <w:tr w:rsidR="002B44B9" w:rsidRPr="001F3926" w14:paraId="3391AA71" w14:textId="77777777" w:rsidTr="002B44B9">
        <w:trPr>
          <w:cantSplit/>
        </w:trPr>
        <w:tc>
          <w:tcPr>
            <w:tcW w:w="975" w:type="pct"/>
            <w:tcBorders>
              <w:bottom w:val="single" w:sz="4" w:space="0" w:color="000000"/>
            </w:tcBorders>
          </w:tcPr>
          <w:p w14:paraId="3946DB53" w14:textId="77777777" w:rsidR="007123C7" w:rsidRPr="001F3926" w:rsidRDefault="007123C7" w:rsidP="00BF4EFA">
            <w:pPr>
              <w:pStyle w:val="TableText"/>
              <w:keepNext w:val="0"/>
            </w:pPr>
            <w:r w:rsidRPr="001F3926">
              <w:t>No disorder</w:t>
            </w:r>
          </w:p>
        </w:tc>
        <w:tc>
          <w:tcPr>
            <w:tcW w:w="247" w:type="pct"/>
            <w:tcBorders>
              <w:bottom w:val="single" w:sz="4" w:space="0" w:color="000000"/>
            </w:tcBorders>
          </w:tcPr>
          <w:p w14:paraId="6E58CB80" w14:textId="77777777" w:rsidR="007123C7" w:rsidRPr="001F3926" w:rsidRDefault="007123C7" w:rsidP="00BF4EFA">
            <w:pPr>
              <w:pStyle w:val="TableText"/>
              <w:keepNext w:val="0"/>
              <w:jc w:val="right"/>
            </w:pPr>
            <w:r w:rsidRPr="001F3926">
              <w:rPr>
                <w:rFonts w:cs="Arial"/>
              </w:rPr>
              <w:t>2225</w:t>
            </w:r>
          </w:p>
        </w:tc>
        <w:tc>
          <w:tcPr>
            <w:tcW w:w="351" w:type="pct"/>
            <w:tcBorders>
              <w:bottom w:val="single" w:sz="4" w:space="0" w:color="000000"/>
            </w:tcBorders>
          </w:tcPr>
          <w:p w14:paraId="5F83F139" w14:textId="77777777" w:rsidR="007123C7" w:rsidRPr="001F3926" w:rsidRDefault="007123C7" w:rsidP="00BF4EFA">
            <w:pPr>
              <w:pStyle w:val="TableText"/>
              <w:keepNext w:val="0"/>
              <w:jc w:val="right"/>
            </w:pPr>
            <w:r w:rsidRPr="001F3926">
              <w:rPr>
                <w:rFonts w:cs="Arial"/>
              </w:rPr>
              <w:t>14344</w:t>
            </w:r>
          </w:p>
        </w:tc>
        <w:tc>
          <w:tcPr>
            <w:tcW w:w="409" w:type="pct"/>
            <w:tcBorders>
              <w:bottom w:val="single" w:sz="4" w:space="0" w:color="000000"/>
            </w:tcBorders>
          </w:tcPr>
          <w:p w14:paraId="63C9FE22" w14:textId="77777777" w:rsidR="007123C7" w:rsidRPr="001F3926" w:rsidRDefault="007123C7" w:rsidP="00BF4EFA">
            <w:pPr>
              <w:pStyle w:val="TableText"/>
              <w:keepNext w:val="0"/>
              <w:jc w:val="right"/>
            </w:pPr>
            <w:r w:rsidRPr="001F3926">
              <w:rPr>
                <w:rFonts w:cs="Arial"/>
              </w:rPr>
              <w:t>88.2 (86.7</w:t>
            </w:r>
            <w:r w:rsidR="00BF4EFA" w:rsidRPr="001F3926">
              <w:rPr>
                <w:rFonts w:cs="Arial"/>
              </w:rPr>
              <w:t>, </w:t>
            </w:r>
            <w:r w:rsidRPr="001F3926">
              <w:rPr>
                <w:rFonts w:cs="Arial"/>
              </w:rPr>
              <w:t>89.7)</w:t>
            </w:r>
          </w:p>
        </w:tc>
        <w:tc>
          <w:tcPr>
            <w:tcW w:w="255" w:type="pct"/>
            <w:tcBorders>
              <w:bottom w:val="single" w:sz="4" w:space="0" w:color="000000"/>
            </w:tcBorders>
          </w:tcPr>
          <w:p w14:paraId="572743CE" w14:textId="77777777" w:rsidR="007123C7" w:rsidRPr="001F3926" w:rsidRDefault="007123C7" w:rsidP="00BF4EFA">
            <w:pPr>
              <w:pStyle w:val="TableText"/>
              <w:keepNext w:val="0"/>
              <w:jc w:val="right"/>
            </w:pPr>
            <w:r w:rsidRPr="001F3926">
              <w:rPr>
                <w:rFonts w:cs="Arial"/>
              </w:rPr>
              <w:t>308</w:t>
            </w:r>
          </w:p>
        </w:tc>
        <w:tc>
          <w:tcPr>
            <w:tcW w:w="352" w:type="pct"/>
            <w:tcBorders>
              <w:bottom w:val="single" w:sz="4" w:space="0" w:color="000000"/>
            </w:tcBorders>
          </w:tcPr>
          <w:p w14:paraId="18610D6E" w14:textId="77777777" w:rsidR="007123C7" w:rsidRPr="001F3926" w:rsidRDefault="007123C7" w:rsidP="00BF4EFA">
            <w:pPr>
              <w:pStyle w:val="TableText"/>
              <w:keepNext w:val="0"/>
              <w:jc w:val="right"/>
            </w:pPr>
            <w:r w:rsidRPr="001F3926">
              <w:rPr>
                <w:rFonts w:cs="Arial"/>
              </w:rPr>
              <w:t>1911</w:t>
            </w:r>
          </w:p>
        </w:tc>
        <w:tc>
          <w:tcPr>
            <w:tcW w:w="400" w:type="pct"/>
            <w:tcBorders>
              <w:bottom w:val="single" w:sz="4" w:space="0" w:color="000000"/>
            </w:tcBorders>
          </w:tcPr>
          <w:p w14:paraId="5E4CF566" w14:textId="77777777" w:rsidR="007123C7" w:rsidRPr="001F3926" w:rsidRDefault="007123C7" w:rsidP="00BF4EFA">
            <w:pPr>
              <w:pStyle w:val="TableText"/>
              <w:keepNext w:val="0"/>
              <w:jc w:val="right"/>
            </w:pPr>
            <w:r w:rsidRPr="001F3926">
              <w:rPr>
                <w:rFonts w:cs="Arial"/>
              </w:rPr>
              <w:t>11.8 (10.3</w:t>
            </w:r>
            <w:r w:rsidR="00BF4EFA" w:rsidRPr="001F3926">
              <w:rPr>
                <w:rFonts w:cs="Arial"/>
              </w:rPr>
              <w:t>, </w:t>
            </w:r>
            <w:r w:rsidRPr="001F3926">
              <w:rPr>
                <w:rFonts w:cs="Arial"/>
              </w:rPr>
              <w:t>13.3)</w:t>
            </w:r>
          </w:p>
        </w:tc>
        <w:tc>
          <w:tcPr>
            <w:tcW w:w="264" w:type="pct"/>
            <w:tcBorders>
              <w:bottom w:val="single" w:sz="4" w:space="0" w:color="000000"/>
            </w:tcBorders>
          </w:tcPr>
          <w:p w14:paraId="496F2BFC" w14:textId="77777777" w:rsidR="007123C7" w:rsidRPr="001F3926" w:rsidRDefault="007123C7" w:rsidP="00BF4EFA">
            <w:pPr>
              <w:pStyle w:val="TableText"/>
              <w:keepNext w:val="0"/>
              <w:jc w:val="right"/>
            </w:pPr>
            <w:r w:rsidRPr="001F3926">
              <w:rPr>
                <w:rFonts w:cs="Arial"/>
              </w:rPr>
              <w:t>5500</w:t>
            </w:r>
          </w:p>
        </w:tc>
        <w:tc>
          <w:tcPr>
            <w:tcW w:w="352" w:type="pct"/>
            <w:tcBorders>
              <w:bottom w:val="single" w:sz="4" w:space="0" w:color="000000"/>
            </w:tcBorders>
          </w:tcPr>
          <w:p w14:paraId="48F74BE5" w14:textId="77777777" w:rsidR="007123C7" w:rsidRPr="001F3926" w:rsidRDefault="007123C7" w:rsidP="00BF4EFA">
            <w:pPr>
              <w:pStyle w:val="TableText"/>
              <w:keepNext w:val="0"/>
              <w:jc w:val="right"/>
            </w:pPr>
            <w:r w:rsidRPr="001F3926">
              <w:rPr>
                <w:rFonts w:cs="Arial"/>
              </w:rPr>
              <w:t>36,978</w:t>
            </w:r>
          </w:p>
        </w:tc>
        <w:tc>
          <w:tcPr>
            <w:tcW w:w="391" w:type="pct"/>
            <w:tcBorders>
              <w:bottom w:val="single" w:sz="4" w:space="0" w:color="000000"/>
            </w:tcBorders>
          </w:tcPr>
          <w:p w14:paraId="522778DE" w14:textId="77777777" w:rsidR="007123C7" w:rsidRPr="001F3926" w:rsidRDefault="007123C7" w:rsidP="00BF4EFA">
            <w:pPr>
              <w:pStyle w:val="TableText"/>
              <w:keepNext w:val="0"/>
              <w:jc w:val="right"/>
            </w:pPr>
            <w:r w:rsidRPr="001F3926">
              <w:rPr>
                <w:rFonts w:cs="Arial"/>
              </w:rPr>
              <w:t>90.0 (86.7</w:t>
            </w:r>
            <w:r w:rsidR="00BF4EFA" w:rsidRPr="001F3926">
              <w:rPr>
                <w:rFonts w:cs="Arial"/>
              </w:rPr>
              <w:t>, </w:t>
            </w:r>
            <w:r w:rsidRPr="001F3926">
              <w:rPr>
                <w:rFonts w:cs="Arial"/>
              </w:rPr>
              <w:t>92.5)</w:t>
            </w:r>
          </w:p>
        </w:tc>
        <w:tc>
          <w:tcPr>
            <w:tcW w:w="273" w:type="pct"/>
            <w:tcBorders>
              <w:bottom w:val="single" w:sz="4" w:space="0" w:color="000000"/>
            </w:tcBorders>
          </w:tcPr>
          <w:p w14:paraId="4F54ACF9" w14:textId="77777777" w:rsidR="007123C7" w:rsidRPr="001F3926" w:rsidRDefault="007123C7" w:rsidP="00BF4EFA">
            <w:pPr>
              <w:pStyle w:val="TableText"/>
              <w:keepNext w:val="0"/>
              <w:jc w:val="right"/>
            </w:pPr>
            <w:r w:rsidRPr="001F3926">
              <w:rPr>
                <w:rFonts w:cs="Arial"/>
              </w:rPr>
              <w:t>680</w:t>
            </w:r>
          </w:p>
        </w:tc>
        <w:tc>
          <w:tcPr>
            <w:tcW w:w="351" w:type="pct"/>
            <w:tcBorders>
              <w:bottom w:val="single" w:sz="4" w:space="0" w:color="000000"/>
            </w:tcBorders>
          </w:tcPr>
          <w:p w14:paraId="7E7C9B81" w14:textId="77777777" w:rsidR="007123C7" w:rsidRPr="001F3926" w:rsidRDefault="007123C7" w:rsidP="00BF4EFA">
            <w:pPr>
              <w:pStyle w:val="TableText"/>
              <w:keepNext w:val="0"/>
              <w:jc w:val="right"/>
            </w:pPr>
            <w:r w:rsidRPr="001F3926">
              <w:rPr>
                <w:rFonts w:cs="Arial"/>
              </w:rPr>
              <w:t>4128</w:t>
            </w:r>
          </w:p>
        </w:tc>
        <w:tc>
          <w:tcPr>
            <w:tcW w:w="380" w:type="pct"/>
            <w:tcBorders>
              <w:bottom w:val="single" w:sz="4" w:space="0" w:color="000000"/>
            </w:tcBorders>
          </w:tcPr>
          <w:p w14:paraId="0D6695E8" w14:textId="77777777" w:rsidR="007123C7" w:rsidRPr="001F3926" w:rsidRDefault="007123C7" w:rsidP="00BF4EFA">
            <w:pPr>
              <w:pStyle w:val="TableText"/>
              <w:keepNext w:val="0"/>
              <w:jc w:val="right"/>
            </w:pPr>
            <w:r w:rsidRPr="001F3926">
              <w:rPr>
                <w:rFonts w:cs="Arial"/>
              </w:rPr>
              <w:t>10.0 (7.5</w:t>
            </w:r>
            <w:r w:rsidR="00BF4EFA" w:rsidRPr="001F3926">
              <w:rPr>
                <w:rFonts w:cs="Arial"/>
              </w:rPr>
              <w:t>, </w:t>
            </w:r>
            <w:r w:rsidRPr="001F3926">
              <w:rPr>
                <w:rFonts w:cs="Arial"/>
              </w:rPr>
              <w:t>13.3)</w:t>
            </w:r>
          </w:p>
        </w:tc>
      </w:tr>
      <w:tr w:rsidR="002B44B9" w:rsidRPr="001F3926" w14:paraId="40898423"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Borders>
              <w:top w:val="single" w:sz="4" w:space="0" w:color="000000"/>
              <w:bottom w:val="nil"/>
            </w:tcBorders>
          </w:tcPr>
          <w:p w14:paraId="76447DA0" w14:textId="77777777" w:rsidR="007123C7" w:rsidRPr="001F3926" w:rsidRDefault="007123C7" w:rsidP="002B44B9">
            <w:pPr>
              <w:pStyle w:val="TableText"/>
              <w:rPr>
                <w:b/>
                <w:bCs/>
                <w:color w:val="000000" w:themeColor="text1"/>
              </w:rPr>
            </w:pPr>
            <w:r w:rsidRPr="001F3926">
              <w:rPr>
                <w:b/>
              </w:rPr>
              <w:t>Probable depressive episode (PHQ</w:t>
            </w:r>
            <w:r w:rsidR="002B44B9" w:rsidRPr="001F3926">
              <w:rPr>
                <w:b/>
              </w:rPr>
              <w:noBreakHyphen/>
            </w:r>
            <w:r w:rsidRPr="001F3926">
              <w:rPr>
                <w:b/>
              </w:rPr>
              <w:t>9)</w:t>
            </w:r>
          </w:p>
        </w:tc>
        <w:tc>
          <w:tcPr>
            <w:tcW w:w="247" w:type="pct"/>
            <w:tcBorders>
              <w:top w:val="single" w:sz="4" w:space="0" w:color="000000"/>
              <w:bottom w:val="nil"/>
            </w:tcBorders>
          </w:tcPr>
          <w:p w14:paraId="3C945564" w14:textId="77777777" w:rsidR="007123C7" w:rsidRPr="001F3926" w:rsidRDefault="007123C7" w:rsidP="00E82294">
            <w:pPr>
              <w:pStyle w:val="TableText"/>
              <w:jc w:val="right"/>
            </w:pPr>
          </w:p>
        </w:tc>
        <w:tc>
          <w:tcPr>
            <w:tcW w:w="351" w:type="pct"/>
            <w:tcBorders>
              <w:top w:val="single" w:sz="4" w:space="0" w:color="000000"/>
              <w:bottom w:val="nil"/>
            </w:tcBorders>
          </w:tcPr>
          <w:p w14:paraId="219CB752" w14:textId="77777777" w:rsidR="007123C7" w:rsidRPr="001F3926" w:rsidRDefault="007123C7" w:rsidP="00E82294">
            <w:pPr>
              <w:pStyle w:val="TableText"/>
              <w:jc w:val="right"/>
            </w:pPr>
          </w:p>
        </w:tc>
        <w:tc>
          <w:tcPr>
            <w:tcW w:w="409" w:type="pct"/>
            <w:tcBorders>
              <w:top w:val="single" w:sz="4" w:space="0" w:color="000000"/>
              <w:bottom w:val="nil"/>
            </w:tcBorders>
          </w:tcPr>
          <w:p w14:paraId="14317E0A" w14:textId="77777777" w:rsidR="007123C7" w:rsidRPr="001F3926" w:rsidRDefault="007123C7" w:rsidP="00E82294">
            <w:pPr>
              <w:pStyle w:val="TableText"/>
              <w:jc w:val="right"/>
            </w:pPr>
          </w:p>
        </w:tc>
        <w:tc>
          <w:tcPr>
            <w:tcW w:w="255" w:type="pct"/>
            <w:tcBorders>
              <w:top w:val="single" w:sz="4" w:space="0" w:color="000000"/>
              <w:bottom w:val="nil"/>
            </w:tcBorders>
          </w:tcPr>
          <w:p w14:paraId="49BCF06B" w14:textId="77777777" w:rsidR="007123C7" w:rsidRPr="001F3926" w:rsidRDefault="007123C7" w:rsidP="00E82294">
            <w:pPr>
              <w:pStyle w:val="TableText"/>
              <w:jc w:val="right"/>
            </w:pPr>
          </w:p>
        </w:tc>
        <w:tc>
          <w:tcPr>
            <w:tcW w:w="352" w:type="pct"/>
            <w:tcBorders>
              <w:top w:val="single" w:sz="4" w:space="0" w:color="000000"/>
              <w:bottom w:val="nil"/>
            </w:tcBorders>
          </w:tcPr>
          <w:p w14:paraId="706007D8" w14:textId="77777777" w:rsidR="007123C7" w:rsidRPr="001F3926" w:rsidRDefault="007123C7" w:rsidP="00E82294">
            <w:pPr>
              <w:pStyle w:val="TableText"/>
              <w:jc w:val="right"/>
            </w:pPr>
          </w:p>
        </w:tc>
        <w:tc>
          <w:tcPr>
            <w:tcW w:w="400" w:type="pct"/>
            <w:tcBorders>
              <w:top w:val="single" w:sz="4" w:space="0" w:color="000000"/>
              <w:bottom w:val="nil"/>
            </w:tcBorders>
          </w:tcPr>
          <w:p w14:paraId="2F19D48B" w14:textId="77777777" w:rsidR="007123C7" w:rsidRPr="001F3926" w:rsidRDefault="007123C7" w:rsidP="00E82294">
            <w:pPr>
              <w:pStyle w:val="TableText"/>
              <w:jc w:val="right"/>
            </w:pPr>
          </w:p>
        </w:tc>
        <w:tc>
          <w:tcPr>
            <w:tcW w:w="264" w:type="pct"/>
            <w:tcBorders>
              <w:top w:val="single" w:sz="4" w:space="0" w:color="000000"/>
              <w:bottom w:val="nil"/>
            </w:tcBorders>
          </w:tcPr>
          <w:p w14:paraId="0CFBA1B4" w14:textId="77777777" w:rsidR="007123C7" w:rsidRPr="001F3926" w:rsidRDefault="007123C7" w:rsidP="00E82294">
            <w:pPr>
              <w:pStyle w:val="TableText"/>
              <w:jc w:val="right"/>
            </w:pPr>
          </w:p>
        </w:tc>
        <w:tc>
          <w:tcPr>
            <w:tcW w:w="352" w:type="pct"/>
            <w:tcBorders>
              <w:top w:val="single" w:sz="4" w:space="0" w:color="000000"/>
              <w:bottom w:val="nil"/>
            </w:tcBorders>
          </w:tcPr>
          <w:p w14:paraId="2C773BA0" w14:textId="77777777" w:rsidR="007123C7" w:rsidRPr="001F3926" w:rsidRDefault="007123C7" w:rsidP="00E82294">
            <w:pPr>
              <w:pStyle w:val="TableText"/>
              <w:jc w:val="right"/>
            </w:pPr>
          </w:p>
        </w:tc>
        <w:tc>
          <w:tcPr>
            <w:tcW w:w="391" w:type="pct"/>
            <w:tcBorders>
              <w:top w:val="single" w:sz="4" w:space="0" w:color="000000"/>
              <w:bottom w:val="nil"/>
            </w:tcBorders>
          </w:tcPr>
          <w:p w14:paraId="75373CAB" w14:textId="77777777" w:rsidR="007123C7" w:rsidRPr="001F3926" w:rsidRDefault="007123C7" w:rsidP="00E82294">
            <w:pPr>
              <w:pStyle w:val="TableText"/>
              <w:jc w:val="right"/>
            </w:pPr>
          </w:p>
        </w:tc>
        <w:tc>
          <w:tcPr>
            <w:tcW w:w="273" w:type="pct"/>
            <w:tcBorders>
              <w:top w:val="single" w:sz="4" w:space="0" w:color="000000"/>
              <w:bottom w:val="nil"/>
            </w:tcBorders>
          </w:tcPr>
          <w:p w14:paraId="631F5A44" w14:textId="77777777" w:rsidR="007123C7" w:rsidRPr="001F3926" w:rsidRDefault="007123C7" w:rsidP="00E82294">
            <w:pPr>
              <w:pStyle w:val="TableText"/>
              <w:jc w:val="right"/>
            </w:pPr>
          </w:p>
        </w:tc>
        <w:tc>
          <w:tcPr>
            <w:tcW w:w="351" w:type="pct"/>
            <w:tcBorders>
              <w:top w:val="single" w:sz="4" w:space="0" w:color="000000"/>
              <w:bottom w:val="nil"/>
            </w:tcBorders>
          </w:tcPr>
          <w:p w14:paraId="44D6BD24" w14:textId="77777777" w:rsidR="007123C7" w:rsidRPr="001F3926" w:rsidRDefault="007123C7" w:rsidP="00E82294">
            <w:pPr>
              <w:pStyle w:val="TableText"/>
              <w:jc w:val="right"/>
            </w:pPr>
          </w:p>
        </w:tc>
        <w:tc>
          <w:tcPr>
            <w:tcW w:w="380" w:type="pct"/>
            <w:tcBorders>
              <w:top w:val="single" w:sz="4" w:space="0" w:color="000000"/>
              <w:bottom w:val="nil"/>
            </w:tcBorders>
          </w:tcPr>
          <w:p w14:paraId="7D22F121" w14:textId="77777777" w:rsidR="007123C7" w:rsidRPr="001F3926" w:rsidRDefault="007123C7" w:rsidP="00E82294">
            <w:pPr>
              <w:pStyle w:val="TableText"/>
              <w:jc w:val="right"/>
            </w:pPr>
          </w:p>
        </w:tc>
      </w:tr>
      <w:tr w:rsidR="002B44B9" w:rsidRPr="001F3926" w14:paraId="221F3E85" w14:textId="77777777" w:rsidTr="002B44B9">
        <w:trPr>
          <w:cantSplit/>
        </w:trPr>
        <w:tc>
          <w:tcPr>
            <w:tcW w:w="975" w:type="pct"/>
            <w:tcBorders>
              <w:top w:val="nil"/>
            </w:tcBorders>
          </w:tcPr>
          <w:p w14:paraId="769F0402" w14:textId="77777777" w:rsidR="007123C7" w:rsidRPr="001F3926" w:rsidRDefault="007123C7" w:rsidP="00E82294">
            <w:pPr>
              <w:pStyle w:val="TableText"/>
            </w:pPr>
            <w:r w:rsidRPr="001F3926">
              <w:t xml:space="preserve">Probable disorder </w:t>
            </w:r>
          </w:p>
        </w:tc>
        <w:tc>
          <w:tcPr>
            <w:tcW w:w="247" w:type="pct"/>
            <w:tcBorders>
              <w:top w:val="nil"/>
            </w:tcBorders>
          </w:tcPr>
          <w:p w14:paraId="4D69C400" w14:textId="77777777" w:rsidR="007123C7" w:rsidRPr="001F3926" w:rsidRDefault="007123C7" w:rsidP="00E82294">
            <w:pPr>
              <w:pStyle w:val="TableText"/>
              <w:jc w:val="right"/>
            </w:pPr>
            <w:r w:rsidRPr="001F3926">
              <w:rPr>
                <w:rFonts w:cs="Arial"/>
              </w:rPr>
              <w:t>352</w:t>
            </w:r>
          </w:p>
        </w:tc>
        <w:tc>
          <w:tcPr>
            <w:tcW w:w="351" w:type="pct"/>
            <w:tcBorders>
              <w:top w:val="nil"/>
            </w:tcBorders>
          </w:tcPr>
          <w:p w14:paraId="6D9116D4" w14:textId="77777777" w:rsidR="007123C7" w:rsidRPr="001F3926" w:rsidRDefault="007123C7" w:rsidP="00E82294">
            <w:pPr>
              <w:pStyle w:val="TableText"/>
              <w:jc w:val="right"/>
            </w:pPr>
            <w:r w:rsidRPr="001F3926">
              <w:rPr>
                <w:rFonts w:cs="Arial"/>
              </w:rPr>
              <w:t>2441</w:t>
            </w:r>
          </w:p>
        </w:tc>
        <w:tc>
          <w:tcPr>
            <w:tcW w:w="409" w:type="pct"/>
            <w:tcBorders>
              <w:top w:val="nil"/>
            </w:tcBorders>
          </w:tcPr>
          <w:p w14:paraId="7225B341" w14:textId="77777777" w:rsidR="007123C7" w:rsidRPr="001F3926" w:rsidRDefault="007123C7" w:rsidP="00E82294">
            <w:pPr>
              <w:pStyle w:val="TableText"/>
              <w:jc w:val="right"/>
            </w:pPr>
            <w:r w:rsidRPr="001F3926">
              <w:rPr>
                <w:rFonts w:cs="Arial"/>
              </w:rPr>
              <w:t>73.1 (68.3</w:t>
            </w:r>
            <w:r w:rsidR="00BF4EFA" w:rsidRPr="001F3926">
              <w:rPr>
                <w:rFonts w:cs="Arial"/>
              </w:rPr>
              <w:t>, </w:t>
            </w:r>
            <w:r w:rsidRPr="001F3926">
              <w:rPr>
                <w:rFonts w:cs="Arial"/>
              </w:rPr>
              <w:t>77.5)</w:t>
            </w:r>
          </w:p>
        </w:tc>
        <w:tc>
          <w:tcPr>
            <w:tcW w:w="255" w:type="pct"/>
            <w:tcBorders>
              <w:top w:val="nil"/>
            </w:tcBorders>
          </w:tcPr>
          <w:p w14:paraId="2B5AC8B7" w14:textId="77777777" w:rsidR="007123C7" w:rsidRPr="001F3926" w:rsidRDefault="007123C7" w:rsidP="00E82294">
            <w:pPr>
              <w:pStyle w:val="TableText"/>
              <w:jc w:val="right"/>
            </w:pPr>
            <w:r w:rsidRPr="001F3926">
              <w:rPr>
                <w:rFonts w:cs="Arial"/>
              </w:rPr>
              <w:t>143</w:t>
            </w:r>
          </w:p>
        </w:tc>
        <w:tc>
          <w:tcPr>
            <w:tcW w:w="352" w:type="pct"/>
            <w:tcBorders>
              <w:top w:val="nil"/>
            </w:tcBorders>
          </w:tcPr>
          <w:p w14:paraId="54D2D0F2" w14:textId="77777777" w:rsidR="007123C7" w:rsidRPr="001F3926" w:rsidRDefault="007123C7" w:rsidP="00E82294">
            <w:pPr>
              <w:pStyle w:val="TableText"/>
              <w:jc w:val="right"/>
            </w:pPr>
            <w:r w:rsidRPr="001F3926">
              <w:rPr>
                <w:rFonts w:cs="Arial"/>
              </w:rPr>
              <w:t>897</w:t>
            </w:r>
          </w:p>
        </w:tc>
        <w:tc>
          <w:tcPr>
            <w:tcW w:w="400" w:type="pct"/>
            <w:tcBorders>
              <w:top w:val="nil"/>
            </w:tcBorders>
          </w:tcPr>
          <w:p w14:paraId="36A6C428" w14:textId="77777777" w:rsidR="007123C7" w:rsidRPr="001F3926" w:rsidRDefault="007123C7" w:rsidP="00E82294">
            <w:pPr>
              <w:pStyle w:val="TableText"/>
              <w:jc w:val="right"/>
            </w:pPr>
            <w:r w:rsidRPr="001F3926">
              <w:rPr>
                <w:rFonts w:cs="Arial"/>
              </w:rPr>
              <w:t>26.9 (22.5</w:t>
            </w:r>
            <w:r w:rsidR="00BF4EFA" w:rsidRPr="001F3926">
              <w:rPr>
                <w:rFonts w:cs="Arial"/>
              </w:rPr>
              <w:t>, </w:t>
            </w:r>
            <w:r w:rsidRPr="001F3926">
              <w:rPr>
                <w:rFonts w:cs="Arial"/>
              </w:rPr>
              <w:t>31.7)</w:t>
            </w:r>
          </w:p>
        </w:tc>
        <w:tc>
          <w:tcPr>
            <w:tcW w:w="264" w:type="pct"/>
            <w:tcBorders>
              <w:top w:val="nil"/>
            </w:tcBorders>
          </w:tcPr>
          <w:p w14:paraId="36C0101E" w14:textId="77777777" w:rsidR="007123C7" w:rsidRPr="001F3926" w:rsidRDefault="007123C7" w:rsidP="00E82294">
            <w:pPr>
              <w:pStyle w:val="TableText"/>
              <w:jc w:val="right"/>
            </w:pPr>
            <w:r w:rsidRPr="001F3926">
              <w:rPr>
                <w:rFonts w:cs="Arial"/>
              </w:rPr>
              <w:t>178</w:t>
            </w:r>
          </w:p>
        </w:tc>
        <w:tc>
          <w:tcPr>
            <w:tcW w:w="352" w:type="pct"/>
            <w:tcBorders>
              <w:top w:val="nil"/>
            </w:tcBorders>
          </w:tcPr>
          <w:p w14:paraId="013723B9" w14:textId="77777777" w:rsidR="007123C7" w:rsidRPr="001F3926" w:rsidRDefault="007123C7" w:rsidP="00E82294">
            <w:pPr>
              <w:pStyle w:val="TableText"/>
              <w:jc w:val="right"/>
            </w:pPr>
            <w:r w:rsidRPr="001F3926">
              <w:rPr>
                <w:rFonts w:cs="Arial"/>
              </w:rPr>
              <w:t>1206</w:t>
            </w:r>
          </w:p>
        </w:tc>
        <w:tc>
          <w:tcPr>
            <w:tcW w:w="391" w:type="pct"/>
            <w:tcBorders>
              <w:top w:val="nil"/>
            </w:tcBorders>
          </w:tcPr>
          <w:p w14:paraId="3B6214FF" w14:textId="77777777" w:rsidR="007123C7" w:rsidRPr="001F3926" w:rsidRDefault="007123C7" w:rsidP="00E82294">
            <w:pPr>
              <w:pStyle w:val="TableText"/>
              <w:jc w:val="right"/>
            </w:pPr>
            <w:r w:rsidRPr="001F3926">
              <w:rPr>
                <w:rFonts w:cs="Arial"/>
              </w:rPr>
              <w:t>67.2 (41.1</w:t>
            </w:r>
            <w:r w:rsidR="00BF4EFA" w:rsidRPr="001F3926">
              <w:rPr>
                <w:rFonts w:cs="Arial"/>
              </w:rPr>
              <w:t>, </w:t>
            </w:r>
            <w:r w:rsidRPr="001F3926">
              <w:rPr>
                <w:rFonts w:cs="Arial"/>
              </w:rPr>
              <w:t>85.8)</w:t>
            </w:r>
          </w:p>
        </w:tc>
        <w:tc>
          <w:tcPr>
            <w:tcW w:w="273" w:type="pct"/>
            <w:tcBorders>
              <w:top w:val="nil"/>
            </w:tcBorders>
          </w:tcPr>
          <w:p w14:paraId="3CCC5B98" w14:textId="77777777" w:rsidR="007123C7" w:rsidRPr="001F3926" w:rsidRDefault="007123C7" w:rsidP="00E82294">
            <w:pPr>
              <w:pStyle w:val="TableText"/>
              <w:jc w:val="right"/>
            </w:pPr>
            <w:r w:rsidRPr="001F3926">
              <w:rPr>
                <w:rFonts w:cs="Arial"/>
              </w:rPr>
              <w:t>72</w:t>
            </w:r>
          </w:p>
        </w:tc>
        <w:tc>
          <w:tcPr>
            <w:tcW w:w="351" w:type="pct"/>
            <w:tcBorders>
              <w:top w:val="nil"/>
            </w:tcBorders>
          </w:tcPr>
          <w:p w14:paraId="06E2BD2D" w14:textId="77777777" w:rsidR="007123C7" w:rsidRPr="001F3926" w:rsidRDefault="007123C7" w:rsidP="00E82294">
            <w:pPr>
              <w:pStyle w:val="TableText"/>
              <w:jc w:val="right"/>
            </w:pPr>
            <w:r w:rsidRPr="001F3926">
              <w:rPr>
                <w:rFonts w:cs="Arial"/>
              </w:rPr>
              <w:t>588</w:t>
            </w:r>
          </w:p>
        </w:tc>
        <w:tc>
          <w:tcPr>
            <w:tcW w:w="380" w:type="pct"/>
            <w:tcBorders>
              <w:top w:val="nil"/>
            </w:tcBorders>
          </w:tcPr>
          <w:p w14:paraId="43800A7D" w14:textId="77777777" w:rsidR="007123C7" w:rsidRPr="001F3926" w:rsidRDefault="007123C7" w:rsidP="00E82294">
            <w:pPr>
              <w:pStyle w:val="TableText"/>
              <w:jc w:val="right"/>
            </w:pPr>
            <w:r w:rsidRPr="001F3926">
              <w:rPr>
                <w:rFonts w:cs="Arial"/>
              </w:rPr>
              <w:t>32.8 (14.2</w:t>
            </w:r>
            <w:r w:rsidR="00BF4EFA" w:rsidRPr="001F3926">
              <w:rPr>
                <w:rFonts w:cs="Arial"/>
              </w:rPr>
              <w:t>, </w:t>
            </w:r>
            <w:r w:rsidRPr="001F3926">
              <w:rPr>
                <w:rFonts w:cs="Arial"/>
              </w:rPr>
              <w:t>58.9)</w:t>
            </w:r>
          </w:p>
        </w:tc>
      </w:tr>
      <w:tr w:rsidR="00BF4EFA" w:rsidRPr="001F3926" w14:paraId="50093F65"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Pr>
          <w:p w14:paraId="23AE3761" w14:textId="77777777" w:rsidR="007123C7" w:rsidRPr="001F3926" w:rsidRDefault="007155C2" w:rsidP="00E82294">
            <w:pPr>
              <w:pStyle w:val="TableText"/>
            </w:pPr>
            <w:r>
              <w:t>Subsyndromal</w:t>
            </w:r>
            <w:r w:rsidR="007123C7" w:rsidRPr="001F3926">
              <w:t xml:space="preserve"> disorder </w:t>
            </w:r>
          </w:p>
        </w:tc>
        <w:tc>
          <w:tcPr>
            <w:tcW w:w="247" w:type="pct"/>
          </w:tcPr>
          <w:p w14:paraId="6D8F4D84" w14:textId="77777777" w:rsidR="007123C7" w:rsidRPr="001F3926" w:rsidRDefault="007123C7" w:rsidP="00E82294">
            <w:pPr>
              <w:pStyle w:val="TableText"/>
              <w:jc w:val="right"/>
            </w:pPr>
            <w:r w:rsidRPr="001F3926">
              <w:rPr>
                <w:rFonts w:cs="Arial"/>
              </w:rPr>
              <w:t>1052</w:t>
            </w:r>
          </w:p>
        </w:tc>
        <w:tc>
          <w:tcPr>
            <w:tcW w:w="351" w:type="pct"/>
          </w:tcPr>
          <w:p w14:paraId="2D9DB385" w14:textId="77777777" w:rsidR="007123C7" w:rsidRPr="001F3926" w:rsidRDefault="007123C7" w:rsidP="00E82294">
            <w:pPr>
              <w:pStyle w:val="TableText"/>
              <w:jc w:val="right"/>
            </w:pPr>
            <w:r w:rsidRPr="001F3926">
              <w:rPr>
                <w:rFonts w:cs="Arial"/>
              </w:rPr>
              <w:t>7077</w:t>
            </w:r>
          </w:p>
        </w:tc>
        <w:tc>
          <w:tcPr>
            <w:tcW w:w="409" w:type="pct"/>
          </w:tcPr>
          <w:p w14:paraId="15FCC4D1" w14:textId="77777777" w:rsidR="007123C7" w:rsidRPr="001F3926" w:rsidRDefault="007123C7" w:rsidP="00E82294">
            <w:pPr>
              <w:pStyle w:val="TableText"/>
              <w:jc w:val="right"/>
            </w:pPr>
            <w:r w:rsidRPr="001F3926">
              <w:rPr>
                <w:rFonts w:cs="Arial"/>
              </w:rPr>
              <w:t>80.6 (77.7</w:t>
            </w:r>
            <w:r w:rsidR="00BF4EFA" w:rsidRPr="001F3926">
              <w:rPr>
                <w:rFonts w:cs="Arial"/>
              </w:rPr>
              <w:t>, </w:t>
            </w:r>
            <w:r w:rsidRPr="001F3926">
              <w:rPr>
                <w:rFonts w:cs="Arial"/>
              </w:rPr>
              <w:t>83.1)</w:t>
            </w:r>
          </w:p>
        </w:tc>
        <w:tc>
          <w:tcPr>
            <w:tcW w:w="255" w:type="pct"/>
          </w:tcPr>
          <w:p w14:paraId="1D17550D" w14:textId="77777777" w:rsidR="007123C7" w:rsidRPr="001F3926" w:rsidRDefault="007123C7" w:rsidP="00E82294">
            <w:pPr>
              <w:pStyle w:val="TableText"/>
              <w:jc w:val="right"/>
            </w:pPr>
            <w:r w:rsidRPr="001F3926">
              <w:rPr>
                <w:rFonts w:cs="Arial"/>
              </w:rPr>
              <w:t>254</w:t>
            </w:r>
          </w:p>
        </w:tc>
        <w:tc>
          <w:tcPr>
            <w:tcW w:w="352" w:type="pct"/>
          </w:tcPr>
          <w:p w14:paraId="2326A65F" w14:textId="77777777" w:rsidR="007123C7" w:rsidRPr="001F3926" w:rsidRDefault="007123C7" w:rsidP="00E82294">
            <w:pPr>
              <w:pStyle w:val="TableText"/>
              <w:jc w:val="right"/>
            </w:pPr>
            <w:r w:rsidRPr="001F3926">
              <w:rPr>
                <w:rFonts w:cs="Arial"/>
              </w:rPr>
              <w:t>1707</w:t>
            </w:r>
          </w:p>
        </w:tc>
        <w:tc>
          <w:tcPr>
            <w:tcW w:w="400" w:type="pct"/>
          </w:tcPr>
          <w:p w14:paraId="1CC94B67" w14:textId="77777777" w:rsidR="007123C7" w:rsidRPr="001F3926" w:rsidRDefault="007123C7" w:rsidP="00E82294">
            <w:pPr>
              <w:pStyle w:val="TableText"/>
              <w:jc w:val="right"/>
            </w:pPr>
            <w:r w:rsidRPr="001F3926">
              <w:rPr>
                <w:rFonts w:cs="Arial"/>
              </w:rPr>
              <w:t>19.4 (16.9</w:t>
            </w:r>
            <w:r w:rsidR="00BF4EFA" w:rsidRPr="001F3926">
              <w:rPr>
                <w:rFonts w:cs="Arial"/>
              </w:rPr>
              <w:t>, </w:t>
            </w:r>
            <w:r w:rsidRPr="001F3926">
              <w:rPr>
                <w:rFonts w:cs="Arial"/>
              </w:rPr>
              <w:t>22.3)</w:t>
            </w:r>
          </w:p>
        </w:tc>
        <w:tc>
          <w:tcPr>
            <w:tcW w:w="264" w:type="pct"/>
          </w:tcPr>
          <w:p w14:paraId="715E6D6E" w14:textId="77777777" w:rsidR="007123C7" w:rsidRPr="001F3926" w:rsidRDefault="007123C7" w:rsidP="00E82294">
            <w:pPr>
              <w:pStyle w:val="TableText"/>
              <w:jc w:val="right"/>
            </w:pPr>
            <w:r w:rsidRPr="001F3926">
              <w:rPr>
                <w:rFonts w:cs="Arial"/>
              </w:rPr>
              <w:t>1821</w:t>
            </w:r>
          </w:p>
        </w:tc>
        <w:tc>
          <w:tcPr>
            <w:tcW w:w="352" w:type="pct"/>
          </w:tcPr>
          <w:p w14:paraId="4E990BF2" w14:textId="77777777" w:rsidR="007123C7" w:rsidRPr="001F3926" w:rsidRDefault="007123C7" w:rsidP="00E82294">
            <w:pPr>
              <w:pStyle w:val="TableText"/>
              <w:jc w:val="right"/>
            </w:pPr>
            <w:r w:rsidRPr="001F3926">
              <w:rPr>
                <w:rFonts w:cs="Arial"/>
              </w:rPr>
              <w:t>13714</w:t>
            </w:r>
          </w:p>
        </w:tc>
        <w:tc>
          <w:tcPr>
            <w:tcW w:w="391" w:type="pct"/>
          </w:tcPr>
          <w:p w14:paraId="606C2DD6" w14:textId="77777777" w:rsidR="007123C7" w:rsidRPr="001F3926" w:rsidRDefault="007123C7" w:rsidP="00E82294">
            <w:pPr>
              <w:pStyle w:val="TableText"/>
              <w:jc w:val="right"/>
            </w:pPr>
            <w:r w:rsidRPr="001F3926">
              <w:rPr>
                <w:rFonts w:cs="Arial"/>
              </w:rPr>
              <w:t>81.3 (74.3</w:t>
            </w:r>
            <w:r w:rsidR="00BF4EFA" w:rsidRPr="001F3926">
              <w:rPr>
                <w:rFonts w:cs="Arial"/>
              </w:rPr>
              <w:t>, </w:t>
            </w:r>
            <w:r w:rsidRPr="001F3926">
              <w:rPr>
                <w:rFonts w:cs="Arial"/>
              </w:rPr>
              <w:t>86.7)</w:t>
            </w:r>
          </w:p>
        </w:tc>
        <w:tc>
          <w:tcPr>
            <w:tcW w:w="273" w:type="pct"/>
          </w:tcPr>
          <w:p w14:paraId="31274C4D" w14:textId="77777777" w:rsidR="007123C7" w:rsidRPr="001F3926" w:rsidRDefault="007123C7" w:rsidP="00E82294">
            <w:pPr>
              <w:pStyle w:val="TableText"/>
              <w:jc w:val="right"/>
            </w:pPr>
            <w:r w:rsidRPr="001F3926">
              <w:rPr>
                <w:rFonts w:cs="Arial"/>
              </w:rPr>
              <w:t>423</w:t>
            </w:r>
          </w:p>
        </w:tc>
        <w:tc>
          <w:tcPr>
            <w:tcW w:w="351" w:type="pct"/>
          </w:tcPr>
          <w:p w14:paraId="4BA6EC7B" w14:textId="77777777" w:rsidR="007123C7" w:rsidRPr="001F3926" w:rsidRDefault="007123C7" w:rsidP="00E82294">
            <w:pPr>
              <w:pStyle w:val="TableText"/>
              <w:jc w:val="right"/>
            </w:pPr>
            <w:r w:rsidRPr="001F3926">
              <w:rPr>
                <w:rFonts w:cs="Arial"/>
              </w:rPr>
              <w:t>3158</w:t>
            </w:r>
          </w:p>
        </w:tc>
        <w:tc>
          <w:tcPr>
            <w:tcW w:w="380" w:type="pct"/>
          </w:tcPr>
          <w:p w14:paraId="5DCB0199" w14:textId="77777777" w:rsidR="007123C7" w:rsidRPr="001F3926" w:rsidRDefault="007123C7" w:rsidP="00E82294">
            <w:pPr>
              <w:pStyle w:val="TableText"/>
              <w:jc w:val="right"/>
            </w:pPr>
            <w:r w:rsidRPr="001F3926">
              <w:rPr>
                <w:rFonts w:cs="Arial"/>
              </w:rPr>
              <w:t>18.7 (13.3</w:t>
            </w:r>
            <w:r w:rsidR="00BF4EFA" w:rsidRPr="001F3926">
              <w:rPr>
                <w:rFonts w:cs="Arial"/>
              </w:rPr>
              <w:t>, </w:t>
            </w:r>
            <w:r w:rsidRPr="001F3926">
              <w:rPr>
                <w:rFonts w:cs="Arial"/>
              </w:rPr>
              <w:t>25.7)</w:t>
            </w:r>
          </w:p>
        </w:tc>
      </w:tr>
      <w:tr w:rsidR="002B44B9" w:rsidRPr="001F3926" w14:paraId="1775AD9E" w14:textId="77777777" w:rsidTr="002B44B9">
        <w:trPr>
          <w:cantSplit/>
        </w:trPr>
        <w:tc>
          <w:tcPr>
            <w:tcW w:w="975" w:type="pct"/>
            <w:tcBorders>
              <w:bottom w:val="single" w:sz="4" w:space="0" w:color="000000"/>
            </w:tcBorders>
          </w:tcPr>
          <w:p w14:paraId="0DD1E65A" w14:textId="77777777" w:rsidR="007123C7" w:rsidRPr="001F3926" w:rsidRDefault="007123C7" w:rsidP="00E82294">
            <w:pPr>
              <w:pStyle w:val="TableText"/>
            </w:pPr>
            <w:r w:rsidRPr="001F3926">
              <w:t>No disorder</w:t>
            </w:r>
          </w:p>
        </w:tc>
        <w:tc>
          <w:tcPr>
            <w:tcW w:w="247" w:type="pct"/>
            <w:tcBorders>
              <w:bottom w:val="single" w:sz="4" w:space="0" w:color="000000"/>
            </w:tcBorders>
          </w:tcPr>
          <w:p w14:paraId="487ECA4F" w14:textId="77777777" w:rsidR="007123C7" w:rsidRPr="001F3926" w:rsidRDefault="007123C7" w:rsidP="00E82294">
            <w:pPr>
              <w:pStyle w:val="TableText"/>
              <w:jc w:val="right"/>
            </w:pPr>
            <w:r w:rsidRPr="001F3926">
              <w:rPr>
                <w:rFonts w:cs="Arial"/>
              </w:rPr>
              <w:t>1807</w:t>
            </w:r>
          </w:p>
        </w:tc>
        <w:tc>
          <w:tcPr>
            <w:tcW w:w="351" w:type="pct"/>
            <w:tcBorders>
              <w:bottom w:val="single" w:sz="4" w:space="0" w:color="000000"/>
            </w:tcBorders>
          </w:tcPr>
          <w:p w14:paraId="43241AB5" w14:textId="77777777" w:rsidR="007123C7" w:rsidRPr="001F3926" w:rsidRDefault="007123C7" w:rsidP="00E82294">
            <w:pPr>
              <w:pStyle w:val="TableText"/>
              <w:jc w:val="right"/>
            </w:pPr>
            <w:r w:rsidRPr="001F3926">
              <w:rPr>
                <w:rFonts w:cs="Arial"/>
              </w:rPr>
              <w:t>11809</w:t>
            </w:r>
          </w:p>
        </w:tc>
        <w:tc>
          <w:tcPr>
            <w:tcW w:w="409" w:type="pct"/>
            <w:tcBorders>
              <w:bottom w:val="single" w:sz="4" w:space="0" w:color="000000"/>
            </w:tcBorders>
          </w:tcPr>
          <w:p w14:paraId="5B215BB5" w14:textId="77777777" w:rsidR="007123C7" w:rsidRPr="001F3926" w:rsidRDefault="007123C7" w:rsidP="00E82294">
            <w:pPr>
              <w:pStyle w:val="TableText"/>
              <w:jc w:val="right"/>
            </w:pPr>
            <w:r w:rsidRPr="001F3926">
              <w:rPr>
                <w:rFonts w:cs="Arial"/>
              </w:rPr>
              <w:t>93.2 (91.8</w:t>
            </w:r>
            <w:r w:rsidR="00BF4EFA" w:rsidRPr="001F3926">
              <w:rPr>
                <w:rFonts w:cs="Arial"/>
              </w:rPr>
              <w:t>, </w:t>
            </w:r>
            <w:r w:rsidRPr="001F3926">
              <w:rPr>
                <w:rFonts w:cs="Arial"/>
              </w:rPr>
              <w:t>94.4)</w:t>
            </w:r>
          </w:p>
        </w:tc>
        <w:tc>
          <w:tcPr>
            <w:tcW w:w="255" w:type="pct"/>
            <w:tcBorders>
              <w:bottom w:val="single" w:sz="4" w:space="0" w:color="000000"/>
            </w:tcBorders>
          </w:tcPr>
          <w:p w14:paraId="29C8134F" w14:textId="77777777" w:rsidR="007123C7" w:rsidRPr="001F3926" w:rsidRDefault="007123C7" w:rsidP="00E82294">
            <w:pPr>
              <w:pStyle w:val="TableText"/>
              <w:jc w:val="right"/>
            </w:pPr>
            <w:r w:rsidRPr="001F3926">
              <w:rPr>
                <w:rFonts w:cs="Arial"/>
              </w:rPr>
              <w:t>146</w:t>
            </w:r>
          </w:p>
        </w:tc>
        <w:tc>
          <w:tcPr>
            <w:tcW w:w="352" w:type="pct"/>
            <w:tcBorders>
              <w:bottom w:val="single" w:sz="4" w:space="0" w:color="000000"/>
            </w:tcBorders>
          </w:tcPr>
          <w:p w14:paraId="7B998E65" w14:textId="77777777" w:rsidR="007123C7" w:rsidRPr="001F3926" w:rsidRDefault="007123C7" w:rsidP="00E82294">
            <w:pPr>
              <w:pStyle w:val="TableText"/>
              <w:jc w:val="right"/>
            </w:pPr>
            <w:r w:rsidRPr="001F3926">
              <w:rPr>
                <w:rFonts w:cs="Arial"/>
              </w:rPr>
              <w:t>857</w:t>
            </w:r>
          </w:p>
        </w:tc>
        <w:tc>
          <w:tcPr>
            <w:tcW w:w="400" w:type="pct"/>
            <w:tcBorders>
              <w:bottom w:val="single" w:sz="4" w:space="0" w:color="000000"/>
            </w:tcBorders>
          </w:tcPr>
          <w:p w14:paraId="4CF8AA95" w14:textId="77777777" w:rsidR="007123C7" w:rsidRPr="001F3926" w:rsidRDefault="007123C7" w:rsidP="002B44B9">
            <w:pPr>
              <w:pStyle w:val="TableText"/>
              <w:jc w:val="right"/>
            </w:pPr>
            <w:r w:rsidRPr="001F3926">
              <w:rPr>
                <w:rFonts w:cs="Arial"/>
              </w:rPr>
              <w:t>6.8</w:t>
            </w:r>
            <w:r w:rsidR="002B44B9" w:rsidRPr="001F3926">
              <w:rPr>
                <w:rFonts w:cs="Arial"/>
              </w:rPr>
              <w:br/>
            </w:r>
            <w:r w:rsidRPr="001F3926">
              <w:rPr>
                <w:rFonts w:cs="Arial"/>
              </w:rPr>
              <w:t>(5.6</w:t>
            </w:r>
            <w:r w:rsidR="00BF4EFA" w:rsidRPr="001F3926">
              <w:rPr>
                <w:rFonts w:cs="Arial"/>
              </w:rPr>
              <w:t>, </w:t>
            </w:r>
            <w:r w:rsidRPr="001F3926">
              <w:rPr>
                <w:rFonts w:cs="Arial"/>
              </w:rPr>
              <w:t>8.2)</w:t>
            </w:r>
          </w:p>
        </w:tc>
        <w:tc>
          <w:tcPr>
            <w:tcW w:w="264" w:type="pct"/>
            <w:tcBorders>
              <w:bottom w:val="single" w:sz="4" w:space="0" w:color="000000"/>
            </w:tcBorders>
          </w:tcPr>
          <w:p w14:paraId="7AB4F390" w14:textId="77777777" w:rsidR="007123C7" w:rsidRPr="001F3926" w:rsidRDefault="007123C7" w:rsidP="00E82294">
            <w:pPr>
              <w:pStyle w:val="TableText"/>
              <w:jc w:val="right"/>
            </w:pPr>
            <w:r w:rsidRPr="001F3926">
              <w:rPr>
                <w:rFonts w:cs="Arial"/>
              </w:rPr>
              <w:t>4758</w:t>
            </w:r>
          </w:p>
        </w:tc>
        <w:tc>
          <w:tcPr>
            <w:tcW w:w="352" w:type="pct"/>
            <w:tcBorders>
              <w:bottom w:val="single" w:sz="4" w:space="0" w:color="000000"/>
            </w:tcBorders>
          </w:tcPr>
          <w:p w14:paraId="0AF0C890" w14:textId="77777777" w:rsidR="007123C7" w:rsidRPr="001F3926" w:rsidRDefault="007123C7" w:rsidP="00E82294">
            <w:pPr>
              <w:pStyle w:val="TableText"/>
              <w:jc w:val="right"/>
            </w:pPr>
            <w:r w:rsidRPr="001F3926">
              <w:rPr>
                <w:rFonts w:cs="Arial"/>
              </w:rPr>
              <w:t>31,637</w:t>
            </w:r>
          </w:p>
        </w:tc>
        <w:tc>
          <w:tcPr>
            <w:tcW w:w="391" w:type="pct"/>
            <w:tcBorders>
              <w:bottom w:val="single" w:sz="4" w:space="0" w:color="000000"/>
            </w:tcBorders>
          </w:tcPr>
          <w:p w14:paraId="524AE97E" w14:textId="77777777" w:rsidR="007123C7" w:rsidRPr="001F3926" w:rsidRDefault="007123C7" w:rsidP="00E82294">
            <w:pPr>
              <w:pStyle w:val="TableText"/>
              <w:jc w:val="right"/>
            </w:pPr>
            <w:r w:rsidRPr="001F3926">
              <w:rPr>
                <w:rFonts w:cs="Arial"/>
              </w:rPr>
              <w:t>94.2 (91.9</w:t>
            </w:r>
            <w:r w:rsidR="00BF4EFA" w:rsidRPr="001F3926">
              <w:rPr>
                <w:rFonts w:cs="Arial"/>
              </w:rPr>
              <w:t>, </w:t>
            </w:r>
            <w:r w:rsidRPr="001F3926">
              <w:rPr>
                <w:rFonts w:cs="Arial"/>
              </w:rPr>
              <w:t>95.9)</w:t>
            </w:r>
          </w:p>
        </w:tc>
        <w:tc>
          <w:tcPr>
            <w:tcW w:w="273" w:type="pct"/>
            <w:tcBorders>
              <w:bottom w:val="single" w:sz="4" w:space="0" w:color="000000"/>
            </w:tcBorders>
          </w:tcPr>
          <w:p w14:paraId="1EEC74EC" w14:textId="77777777" w:rsidR="007123C7" w:rsidRPr="001F3926" w:rsidRDefault="007123C7" w:rsidP="00E82294">
            <w:pPr>
              <w:pStyle w:val="TableText"/>
              <w:jc w:val="right"/>
            </w:pPr>
            <w:r w:rsidRPr="001F3926">
              <w:rPr>
                <w:rFonts w:cs="Arial"/>
              </w:rPr>
              <w:t>416</w:t>
            </w:r>
          </w:p>
        </w:tc>
        <w:tc>
          <w:tcPr>
            <w:tcW w:w="351" w:type="pct"/>
            <w:tcBorders>
              <w:bottom w:val="single" w:sz="4" w:space="0" w:color="000000"/>
            </w:tcBorders>
          </w:tcPr>
          <w:p w14:paraId="704E35A8" w14:textId="77777777" w:rsidR="007123C7" w:rsidRPr="001F3926" w:rsidRDefault="007123C7" w:rsidP="00E82294">
            <w:pPr>
              <w:pStyle w:val="TableText"/>
              <w:jc w:val="right"/>
            </w:pPr>
            <w:r w:rsidRPr="001F3926">
              <w:rPr>
                <w:rFonts w:cs="Arial"/>
              </w:rPr>
              <w:t>1939</w:t>
            </w:r>
          </w:p>
        </w:tc>
        <w:tc>
          <w:tcPr>
            <w:tcW w:w="380" w:type="pct"/>
            <w:tcBorders>
              <w:bottom w:val="single" w:sz="4" w:space="0" w:color="000000"/>
            </w:tcBorders>
          </w:tcPr>
          <w:p w14:paraId="036D6984" w14:textId="77777777" w:rsidR="007123C7" w:rsidRPr="001F3926" w:rsidRDefault="007123C7" w:rsidP="00E82294">
            <w:pPr>
              <w:pStyle w:val="TableText"/>
              <w:jc w:val="right"/>
            </w:pPr>
            <w:r w:rsidRPr="001F3926">
              <w:rPr>
                <w:rFonts w:cs="Arial"/>
              </w:rPr>
              <w:t>5.8 (4.1</w:t>
            </w:r>
            <w:r w:rsidR="00BF4EFA" w:rsidRPr="001F3926">
              <w:rPr>
                <w:rFonts w:cs="Arial"/>
              </w:rPr>
              <w:t>, </w:t>
            </w:r>
            <w:r w:rsidRPr="001F3926">
              <w:rPr>
                <w:rFonts w:cs="Arial"/>
              </w:rPr>
              <w:t>8.1)</w:t>
            </w:r>
          </w:p>
        </w:tc>
      </w:tr>
      <w:tr w:rsidR="002B44B9" w:rsidRPr="001F3926" w14:paraId="0EB3FC34"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Borders>
              <w:top w:val="single" w:sz="4" w:space="0" w:color="000000"/>
              <w:bottom w:val="nil"/>
            </w:tcBorders>
          </w:tcPr>
          <w:p w14:paraId="189256E0" w14:textId="77777777" w:rsidR="007123C7" w:rsidRPr="001F3926" w:rsidRDefault="007123C7" w:rsidP="00E82294">
            <w:pPr>
              <w:pStyle w:val="TableText"/>
              <w:rPr>
                <w:b/>
              </w:rPr>
            </w:pPr>
            <w:r w:rsidRPr="001F3926">
              <w:rPr>
                <w:b/>
              </w:rPr>
              <w:t>12-month suicidal ideation and behaviour</w:t>
            </w:r>
          </w:p>
        </w:tc>
        <w:tc>
          <w:tcPr>
            <w:tcW w:w="247" w:type="pct"/>
            <w:tcBorders>
              <w:top w:val="single" w:sz="4" w:space="0" w:color="000000"/>
              <w:bottom w:val="nil"/>
            </w:tcBorders>
          </w:tcPr>
          <w:p w14:paraId="411B85FF" w14:textId="77777777" w:rsidR="007123C7" w:rsidRPr="001F3926" w:rsidRDefault="007123C7" w:rsidP="00E82294">
            <w:pPr>
              <w:pStyle w:val="TableText"/>
              <w:jc w:val="right"/>
            </w:pPr>
          </w:p>
        </w:tc>
        <w:tc>
          <w:tcPr>
            <w:tcW w:w="351" w:type="pct"/>
            <w:tcBorders>
              <w:top w:val="single" w:sz="4" w:space="0" w:color="000000"/>
              <w:bottom w:val="nil"/>
            </w:tcBorders>
          </w:tcPr>
          <w:p w14:paraId="57F0716F" w14:textId="77777777" w:rsidR="007123C7" w:rsidRPr="001F3926" w:rsidRDefault="007123C7" w:rsidP="00E82294">
            <w:pPr>
              <w:pStyle w:val="TableText"/>
              <w:jc w:val="right"/>
            </w:pPr>
          </w:p>
        </w:tc>
        <w:tc>
          <w:tcPr>
            <w:tcW w:w="409" w:type="pct"/>
            <w:tcBorders>
              <w:top w:val="single" w:sz="4" w:space="0" w:color="000000"/>
              <w:bottom w:val="nil"/>
            </w:tcBorders>
          </w:tcPr>
          <w:p w14:paraId="3E3C9B72" w14:textId="77777777" w:rsidR="007123C7" w:rsidRPr="001F3926" w:rsidRDefault="007123C7" w:rsidP="00E82294">
            <w:pPr>
              <w:pStyle w:val="TableText"/>
              <w:jc w:val="right"/>
            </w:pPr>
          </w:p>
        </w:tc>
        <w:tc>
          <w:tcPr>
            <w:tcW w:w="255" w:type="pct"/>
            <w:tcBorders>
              <w:top w:val="single" w:sz="4" w:space="0" w:color="000000"/>
              <w:bottom w:val="nil"/>
            </w:tcBorders>
          </w:tcPr>
          <w:p w14:paraId="36244260" w14:textId="77777777" w:rsidR="007123C7" w:rsidRPr="001F3926" w:rsidRDefault="007123C7" w:rsidP="00E82294">
            <w:pPr>
              <w:pStyle w:val="TableText"/>
              <w:jc w:val="right"/>
            </w:pPr>
          </w:p>
        </w:tc>
        <w:tc>
          <w:tcPr>
            <w:tcW w:w="352" w:type="pct"/>
            <w:tcBorders>
              <w:top w:val="single" w:sz="4" w:space="0" w:color="000000"/>
              <w:bottom w:val="nil"/>
            </w:tcBorders>
          </w:tcPr>
          <w:p w14:paraId="28132E2D" w14:textId="77777777" w:rsidR="007123C7" w:rsidRPr="001F3926" w:rsidRDefault="007123C7" w:rsidP="00E82294">
            <w:pPr>
              <w:pStyle w:val="TableText"/>
              <w:jc w:val="right"/>
            </w:pPr>
          </w:p>
        </w:tc>
        <w:tc>
          <w:tcPr>
            <w:tcW w:w="400" w:type="pct"/>
            <w:tcBorders>
              <w:top w:val="single" w:sz="4" w:space="0" w:color="000000"/>
              <w:bottom w:val="nil"/>
            </w:tcBorders>
          </w:tcPr>
          <w:p w14:paraId="02DF2AE6" w14:textId="77777777" w:rsidR="007123C7" w:rsidRPr="001F3926" w:rsidRDefault="007123C7" w:rsidP="00E82294">
            <w:pPr>
              <w:pStyle w:val="TableText"/>
              <w:jc w:val="right"/>
            </w:pPr>
          </w:p>
        </w:tc>
        <w:tc>
          <w:tcPr>
            <w:tcW w:w="264" w:type="pct"/>
            <w:tcBorders>
              <w:top w:val="single" w:sz="4" w:space="0" w:color="000000"/>
              <w:bottom w:val="nil"/>
            </w:tcBorders>
          </w:tcPr>
          <w:p w14:paraId="467D7606" w14:textId="77777777" w:rsidR="007123C7" w:rsidRPr="001F3926" w:rsidRDefault="007123C7" w:rsidP="00E82294">
            <w:pPr>
              <w:pStyle w:val="TableText"/>
              <w:jc w:val="right"/>
            </w:pPr>
          </w:p>
        </w:tc>
        <w:tc>
          <w:tcPr>
            <w:tcW w:w="352" w:type="pct"/>
            <w:tcBorders>
              <w:top w:val="single" w:sz="4" w:space="0" w:color="000000"/>
              <w:bottom w:val="nil"/>
            </w:tcBorders>
          </w:tcPr>
          <w:p w14:paraId="56258E0F" w14:textId="77777777" w:rsidR="007123C7" w:rsidRPr="001F3926" w:rsidRDefault="007123C7" w:rsidP="00E82294">
            <w:pPr>
              <w:pStyle w:val="TableText"/>
              <w:jc w:val="right"/>
            </w:pPr>
          </w:p>
        </w:tc>
        <w:tc>
          <w:tcPr>
            <w:tcW w:w="391" w:type="pct"/>
            <w:tcBorders>
              <w:top w:val="single" w:sz="4" w:space="0" w:color="000000"/>
              <w:bottom w:val="nil"/>
            </w:tcBorders>
          </w:tcPr>
          <w:p w14:paraId="79C7CA09" w14:textId="77777777" w:rsidR="007123C7" w:rsidRPr="001F3926" w:rsidRDefault="007123C7" w:rsidP="00E82294">
            <w:pPr>
              <w:pStyle w:val="TableText"/>
              <w:jc w:val="right"/>
            </w:pPr>
          </w:p>
        </w:tc>
        <w:tc>
          <w:tcPr>
            <w:tcW w:w="273" w:type="pct"/>
            <w:tcBorders>
              <w:top w:val="single" w:sz="4" w:space="0" w:color="000000"/>
              <w:bottom w:val="nil"/>
            </w:tcBorders>
          </w:tcPr>
          <w:p w14:paraId="009EAD64" w14:textId="77777777" w:rsidR="007123C7" w:rsidRPr="001F3926" w:rsidRDefault="007123C7" w:rsidP="00E82294">
            <w:pPr>
              <w:pStyle w:val="TableText"/>
              <w:jc w:val="right"/>
            </w:pPr>
          </w:p>
        </w:tc>
        <w:tc>
          <w:tcPr>
            <w:tcW w:w="351" w:type="pct"/>
            <w:tcBorders>
              <w:top w:val="single" w:sz="4" w:space="0" w:color="000000"/>
              <w:bottom w:val="nil"/>
            </w:tcBorders>
          </w:tcPr>
          <w:p w14:paraId="626E7B04" w14:textId="77777777" w:rsidR="007123C7" w:rsidRPr="001F3926" w:rsidRDefault="007123C7" w:rsidP="00E82294">
            <w:pPr>
              <w:pStyle w:val="TableText"/>
              <w:jc w:val="right"/>
            </w:pPr>
          </w:p>
        </w:tc>
        <w:tc>
          <w:tcPr>
            <w:tcW w:w="380" w:type="pct"/>
            <w:tcBorders>
              <w:top w:val="single" w:sz="4" w:space="0" w:color="000000"/>
              <w:bottom w:val="nil"/>
            </w:tcBorders>
          </w:tcPr>
          <w:p w14:paraId="4372304E" w14:textId="77777777" w:rsidR="007123C7" w:rsidRPr="001F3926" w:rsidRDefault="007123C7" w:rsidP="00E82294">
            <w:pPr>
              <w:pStyle w:val="TableText"/>
              <w:jc w:val="right"/>
            </w:pPr>
          </w:p>
        </w:tc>
      </w:tr>
      <w:tr w:rsidR="002B44B9" w:rsidRPr="001F3926" w14:paraId="089D8FC8" w14:textId="77777777" w:rsidTr="002B44B9">
        <w:trPr>
          <w:cantSplit/>
        </w:trPr>
        <w:tc>
          <w:tcPr>
            <w:tcW w:w="975" w:type="pct"/>
            <w:tcBorders>
              <w:top w:val="nil"/>
            </w:tcBorders>
          </w:tcPr>
          <w:p w14:paraId="29DEFE88" w14:textId="77777777" w:rsidR="007123C7" w:rsidRPr="001F3926" w:rsidRDefault="007123C7" w:rsidP="00E82294">
            <w:pPr>
              <w:pStyle w:val="TableText"/>
            </w:pPr>
            <w:r w:rsidRPr="001F3926">
              <w:t>Any suicidality (suicidal ideation or plan)</w:t>
            </w:r>
          </w:p>
        </w:tc>
        <w:tc>
          <w:tcPr>
            <w:tcW w:w="247" w:type="pct"/>
            <w:tcBorders>
              <w:top w:val="nil"/>
            </w:tcBorders>
          </w:tcPr>
          <w:p w14:paraId="6AD75E40" w14:textId="77777777" w:rsidR="007123C7" w:rsidRPr="001F3926" w:rsidRDefault="007123C7" w:rsidP="00E82294">
            <w:pPr>
              <w:pStyle w:val="TableText"/>
              <w:jc w:val="right"/>
            </w:pPr>
            <w:r w:rsidRPr="001F3926">
              <w:rPr>
                <w:rFonts w:cs="Arial"/>
              </w:rPr>
              <w:t>797</w:t>
            </w:r>
          </w:p>
        </w:tc>
        <w:tc>
          <w:tcPr>
            <w:tcW w:w="351" w:type="pct"/>
            <w:tcBorders>
              <w:top w:val="nil"/>
            </w:tcBorders>
          </w:tcPr>
          <w:p w14:paraId="6347BBF4" w14:textId="77777777" w:rsidR="007123C7" w:rsidRPr="001F3926" w:rsidRDefault="007123C7" w:rsidP="00E82294">
            <w:pPr>
              <w:pStyle w:val="TableText"/>
              <w:jc w:val="right"/>
            </w:pPr>
            <w:r w:rsidRPr="001F3926">
              <w:rPr>
                <w:rFonts w:cs="Arial"/>
              </w:rPr>
              <w:t>5423</w:t>
            </w:r>
          </w:p>
        </w:tc>
        <w:tc>
          <w:tcPr>
            <w:tcW w:w="409" w:type="pct"/>
            <w:tcBorders>
              <w:top w:val="nil"/>
            </w:tcBorders>
          </w:tcPr>
          <w:p w14:paraId="52025F79" w14:textId="77777777" w:rsidR="007123C7" w:rsidRPr="001F3926" w:rsidRDefault="007123C7" w:rsidP="00E82294">
            <w:pPr>
              <w:pStyle w:val="TableText"/>
              <w:jc w:val="right"/>
            </w:pPr>
            <w:r w:rsidRPr="001F3926">
              <w:rPr>
                <w:rFonts w:cs="Arial"/>
              </w:rPr>
              <w:t>71.9 (68.6</w:t>
            </w:r>
            <w:r w:rsidR="00BF4EFA" w:rsidRPr="001F3926">
              <w:rPr>
                <w:rFonts w:cs="Arial"/>
              </w:rPr>
              <w:t>, </w:t>
            </w:r>
            <w:r w:rsidRPr="001F3926">
              <w:rPr>
                <w:rFonts w:cs="Arial"/>
              </w:rPr>
              <w:t>75.0)</w:t>
            </w:r>
          </w:p>
        </w:tc>
        <w:tc>
          <w:tcPr>
            <w:tcW w:w="255" w:type="pct"/>
            <w:tcBorders>
              <w:top w:val="nil"/>
            </w:tcBorders>
          </w:tcPr>
          <w:p w14:paraId="40158B02" w14:textId="77777777" w:rsidR="007123C7" w:rsidRPr="001F3926" w:rsidRDefault="007123C7" w:rsidP="00E82294">
            <w:pPr>
              <w:pStyle w:val="TableText"/>
              <w:jc w:val="right"/>
            </w:pPr>
            <w:r w:rsidRPr="001F3926">
              <w:rPr>
                <w:rFonts w:cs="Arial"/>
              </w:rPr>
              <w:t>323</w:t>
            </w:r>
          </w:p>
        </w:tc>
        <w:tc>
          <w:tcPr>
            <w:tcW w:w="352" w:type="pct"/>
            <w:tcBorders>
              <w:top w:val="nil"/>
            </w:tcBorders>
          </w:tcPr>
          <w:p w14:paraId="1582B4B4" w14:textId="77777777" w:rsidR="007123C7" w:rsidRPr="001F3926" w:rsidRDefault="007123C7" w:rsidP="00E82294">
            <w:pPr>
              <w:pStyle w:val="TableText"/>
              <w:jc w:val="right"/>
            </w:pPr>
            <w:r w:rsidRPr="001F3926">
              <w:rPr>
                <w:rFonts w:cs="Arial"/>
              </w:rPr>
              <w:t>2118</w:t>
            </w:r>
          </w:p>
        </w:tc>
        <w:tc>
          <w:tcPr>
            <w:tcW w:w="400" w:type="pct"/>
            <w:tcBorders>
              <w:top w:val="nil"/>
            </w:tcBorders>
          </w:tcPr>
          <w:p w14:paraId="525B2339" w14:textId="77777777" w:rsidR="007123C7" w:rsidRPr="001F3926" w:rsidRDefault="007123C7" w:rsidP="00E82294">
            <w:pPr>
              <w:pStyle w:val="TableText"/>
              <w:jc w:val="right"/>
            </w:pPr>
            <w:r w:rsidRPr="001F3926">
              <w:rPr>
                <w:rFonts w:cs="Arial"/>
              </w:rPr>
              <w:t>28.1 (25.0</w:t>
            </w:r>
            <w:r w:rsidR="00BF4EFA" w:rsidRPr="001F3926">
              <w:rPr>
                <w:rFonts w:cs="Arial"/>
              </w:rPr>
              <w:t>, </w:t>
            </w:r>
            <w:r w:rsidRPr="001F3926">
              <w:rPr>
                <w:rFonts w:cs="Arial"/>
              </w:rPr>
              <w:t>31.4)</w:t>
            </w:r>
          </w:p>
        </w:tc>
        <w:tc>
          <w:tcPr>
            <w:tcW w:w="264" w:type="pct"/>
            <w:tcBorders>
              <w:top w:val="nil"/>
            </w:tcBorders>
          </w:tcPr>
          <w:p w14:paraId="0D6326A4" w14:textId="77777777" w:rsidR="007123C7" w:rsidRPr="001F3926" w:rsidRDefault="007123C7" w:rsidP="00E82294">
            <w:pPr>
              <w:pStyle w:val="TableText"/>
              <w:jc w:val="right"/>
            </w:pPr>
            <w:r w:rsidRPr="001F3926">
              <w:rPr>
                <w:rFonts w:cs="Arial"/>
              </w:rPr>
              <w:t>701</w:t>
            </w:r>
          </w:p>
        </w:tc>
        <w:tc>
          <w:tcPr>
            <w:tcW w:w="352" w:type="pct"/>
            <w:tcBorders>
              <w:top w:val="nil"/>
            </w:tcBorders>
          </w:tcPr>
          <w:p w14:paraId="2FCE0864" w14:textId="77777777" w:rsidR="007123C7" w:rsidRPr="001F3926" w:rsidRDefault="007123C7" w:rsidP="00E82294">
            <w:pPr>
              <w:pStyle w:val="TableText"/>
              <w:jc w:val="right"/>
            </w:pPr>
            <w:r w:rsidRPr="001F3926">
              <w:rPr>
                <w:rFonts w:cs="Arial"/>
              </w:rPr>
              <w:t>5346</w:t>
            </w:r>
          </w:p>
        </w:tc>
        <w:tc>
          <w:tcPr>
            <w:tcW w:w="391" w:type="pct"/>
            <w:tcBorders>
              <w:top w:val="nil"/>
            </w:tcBorders>
          </w:tcPr>
          <w:p w14:paraId="0E24C19E" w14:textId="77777777" w:rsidR="007123C7" w:rsidRPr="001F3926" w:rsidRDefault="007123C7" w:rsidP="00E82294">
            <w:pPr>
              <w:pStyle w:val="TableText"/>
              <w:jc w:val="right"/>
            </w:pPr>
            <w:r w:rsidRPr="001F3926">
              <w:rPr>
                <w:rFonts w:cs="Arial"/>
              </w:rPr>
              <w:t>73.8 (61.9</w:t>
            </w:r>
            <w:r w:rsidR="00BF4EFA" w:rsidRPr="001F3926">
              <w:rPr>
                <w:rFonts w:cs="Arial"/>
              </w:rPr>
              <w:t>, </w:t>
            </w:r>
            <w:r w:rsidRPr="001F3926">
              <w:rPr>
                <w:rFonts w:cs="Arial"/>
              </w:rPr>
              <w:t>83.0)</w:t>
            </w:r>
          </w:p>
        </w:tc>
        <w:tc>
          <w:tcPr>
            <w:tcW w:w="273" w:type="pct"/>
            <w:tcBorders>
              <w:top w:val="nil"/>
            </w:tcBorders>
          </w:tcPr>
          <w:p w14:paraId="33248358" w14:textId="77777777" w:rsidR="007123C7" w:rsidRPr="001F3926" w:rsidRDefault="007123C7" w:rsidP="00E82294">
            <w:pPr>
              <w:pStyle w:val="TableText"/>
              <w:jc w:val="right"/>
            </w:pPr>
            <w:r w:rsidRPr="001F3926">
              <w:rPr>
                <w:rFonts w:cs="Arial"/>
              </w:rPr>
              <w:t>273</w:t>
            </w:r>
          </w:p>
        </w:tc>
        <w:tc>
          <w:tcPr>
            <w:tcW w:w="351" w:type="pct"/>
            <w:tcBorders>
              <w:top w:val="nil"/>
            </w:tcBorders>
          </w:tcPr>
          <w:p w14:paraId="1ACFA29C" w14:textId="77777777" w:rsidR="007123C7" w:rsidRPr="001F3926" w:rsidRDefault="007123C7" w:rsidP="00E82294">
            <w:pPr>
              <w:pStyle w:val="TableText"/>
              <w:jc w:val="right"/>
            </w:pPr>
            <w:r w:rsidRPr="001F3926">
              <w:rPr>
                <w:rFonts w:cs="Arial"/>
              </w:rPr>
              <w:t>1898</w:t>
            </w:r>
          </w:p>
        </w:tc>
        <w:tc>
          <w:tcPr>
            <w:tcW w:w="380" w:type="pct"/>
            <w:tcBorders>
              <w:top w:val="nil"/>
            </w:tcBorders>
          </w:tcPr>
          <w:p w14:paraId="2A9DF3C5" w14:textId="77777777" w:rsidR="007123C7" w:rsidRPr="001F3926" w:rsidRDefault="007123C7" w:rsidP="00E82294">
            <w:pPr>
              <w:pStyle w:val="TableText"/>
              <w:jc w:val="right"/>
            </w:pPr>
            <w:r w:rsidRPr="001F3926">
              <w:rPr>
                <w:rFonts w:cs="Arial"/>
              </w:rPr>
              <w:t>26.2 (17.0</w:t>
            </w:r>
            <w:r w:rsidR="00BF4EFA" w:rsidRPr="001F3926">
              <w:rPr>
                <w:rFonts w:cs="Arial"/>
              </w:rPr>
              <w:t>, </w:t>
            </w:r>
            <w:r w:rsidRPr="001F3926">
              <w:rPr>
                <w:rFonts w:cs="Arial"/>
              </w:rPr>
              <w:t>38.1)</w:t>
            </w:r>
          </w:p>
        </w:tc>
      </w:tr>
      <w:tr w:rsidR="00BF4EFA" w:rsidRPr="001F3926" w14:paraId="114367AC"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Pr>
          <w:p w14:paraId="1FA19C83" w14:textId="77777777" w:rsidR="007123C7" w:rsidRPr="001F3926" w:rsidRDefault="007123C7" w:rsidP="00E82294">
            <w:pPr>
              <w:pStyle w:val="TableText"/>
            </w:pPr>
            <w:r w:rsidRPr="001F3926">
              <w:t xml:space="preserve">Suicidal ideation </w:t>
            </w:r>
          </w:p>
        </w:tc>
        <w:tc>
          <w:tcPr>
            <w:tcW w:w="247" w:type="pct"/>
          </w:tcPr>
          <w:p w14:paraId="15FE118D" w14:textId="77777777" w:rsidR="007123C7" w:rsidRPr="001F3926" w:rsidRDefault="007123C7" w:rsidP="00E82294">
            <w:pPr>
              <w:pStyle w:val="TableText"/>
              <w:jc w:val="right"/>
            </w:pPr>
            <w:r w:rsidRPr="001F3926">
              <w:rPr>
                <w:rFonts w:cs="Arial"/>
              </w:rPr>
              <w:t>592</w:t>
            </w:r>
          </w:p>
        </w:tc>
        <w:tc>
          <w:tcPr>
            <w:tcW w:w="351" w:type="pct"/>
          </w:tcPr>
          <w:p w14:paraId="4EF41E65" w14:textId="77777777" w:rsidR="007123C7" w:rsidRPr="001F3926" w:rsidRDefault="007123C7" w:rsidP="00E82294">
            <w:pPr>
              <w:pStyle w:val="TableText"/>
              <w:jc w:val="right"/>
            </w:pPr>
            <w:r w:rsidRPr="001F3926">
              <w:rPr>
                <w:rFonts w:cs="Arial"/>
              </w:rPr>
              <w:t>4069</w:t>
            </w:r>
          </w:p>
        </w:tc>
        <w:tc>
          <w:tcPr>
            <w:tcW w:w="409" w:type="pct"/>
          </w:tcPr>
          <w:p w14:paraId="063EF02C" w14:textId="77777777" w:rsidR="007123C7" w:rsidRPr="001F3926" w:rsidRDefault="007123C7" w:rsidP="00E82294">
            <w:pPr>
              <w:pStyle w:val="TableText"/>
              <w:jc w:val="right"/>
            </w:pPr>
            <w:r w:rsidRPr="001F3926">
              <w:rPr>
                <w:rFonts w:cs="Arial"/>
              </w:rPr>
              <w:t>74.4 (70.6</w:t>
            </w:r>
            <w:r w:rsidR="00BF4EFA" w:rsidRPr="001F3926">
              <w:rPr>
                <w:rFonts w:cs="Arial"/>
              </w:rPr>
              <w:t>, </w:t>
            </w:r>
            <w:r w:rsidRPr="001F3926">
              <w:rPr>
                <w:rFonts w:cs="Arial"/>
              </w:rPr>
              <w:t>77.9)</w:t>
            </w:r>
          </w:p>
        </w:tc>
        <w:tc>
          <w:tcPr>
            <w:tcW w:w="255" w:type="pct"/>
          </w:tcPr>
          <w:p w14:paraId="3790758B" w14:textId="77777777" w:rsidR="007123C7" w:rsidRPr="001F3926" w:rsidRDefault="007123C7" w:rsidP="00E82294">
            <w:pPr>
              <w:pStyle w:val="TableText"/>
              <w:jc w:val="right"/>
            </w:pPr>
            <w:r w:rsidRPr="001F3926">
              <w:rPr>
                <w:rFonts w:cs="Arial"/>
              </w:rPr>
              <w:t>211</w:t>
            </w:r>
          </w:p>
        </w:tc>
        <w:tc>
          <w:tcPr>
            <w:tcW w:w="352" w:type="pct"/>
          </w:tcPr>
          <w:p w14:paraId="3BFA19C2" w14:textId="77777777" w:rsidR="007123C7" w:rsidRPr="001F3926" w:rsidRDefault="007123C7" w:rsidP="00E82294">
            <w:pPr>
              <w:pStyle w:val="TableText"/>
              <w:jc w:val="right"/>
            </w:pPr>
            <w:r w:rsidRPr="001F3926">
              <w:rPr>
                <w:rFonts w:cs="Arial"/>
              </w:rPr>
              <w:t>1398</w:t>
            </w:r>
          </w:p>
        </w:tc>
        <w:tc>
          <w:tcPr>
            <w:tcW w:w="400" w:type="pct"/>
          </w:tcPr>
          <w:p w14:paraId="04BAED2A" w14:textId="77777777" w:rsidR="007123C7" w:rsidRPr="001F3926" w:rsidRDefault="007123C7" w:rsidP="00E82294">
            <w:pPr>
              <w:pStyle w:val="TableText"/>
              <w:jc w:val="right"/>
            </w:pPr>
            <w:r w:rsidRPr="001F3926">
              <w:rPr>
                <w:rFonts w:cs="Arial"/>
              </w:rPr>
              <w:t>25.6 (22.1</w:t>
            </w:r>
            <w:r w:rsidR="00BF4EFA" w:rsidRPr="001F3926">
              <w:rPr>
                <w:rFonts w:cs="Arial"/>
              </w:rPr>
              <w:t>, </w:t>
            </w:r>
            <w:r w:rsidRPr="001F3926">
              <w:rPr>
                <w:rFonts w:cs="Arial"/>
              </w:rPr>
              <w:t>29.4)</w:t>
            </w:r>
          </w:p>
        </w:tc>
        <w:tc>
          <w:tcPr>
            <w:tcW w:w="264" w:type="pct"/>
          </w:tcPr>
          <w:p w14:paraId="122914E4" w14:textId="77777777" w:rsidR="007123C7" w:rsidRPr="001F3926" w:rsidRDefault="007123C7" w:rsidP="00E82294">
            <w:pPr>
              <w:pStyle w:val="TableText"/>
              <w:jc w:val="right"/>
            </w:pPr>
            <w:r w:rsidRPr="001F3926">
              <w:rPr>
                <w:rFonts w:cs="Arial"/>
              </w:rPr>
              <w:t>608</w:t>
            </w:r>
          </w:p>
        </w:tc>
        <w:tc>
          <w:tcPr>
            <w:tcW w:w="352" w:type="pct"/>
          </w:tcPr>
          <w:p w14:paraId="4D131DE2" w14:textId="77777777" w:rsidR="007123C7" w:rsidRPr="001F3926" w:rsidRDefault="007123C7" w:rsidP="00E82294">
            <w:pPr>
              <w:pStyle w:val="TableText"/>
              <w:jc w:val="right"/>
            </w:pPr>
            <w:r w:rsidRPr="001F3926">
              <w:rPr>
                <w:rFonts w:cs="Arial"/>
              </w:rPr>
              <w:t>4491</w:t>
            </w:r>
          </w:p>
        </w:tc>
        <w:tc>
          <w:tcPr>
            <w:tcW w:w="391" w:type="pct"/>
          </w:tcPr>
          <w:p w14:paraId="716E43A3" w14:textId="77777777" w:rsidR="007123C7" w:rsidRPr="001F3926" w:rsidRDefault="007123C7" w:rsidP="00E82294">
            <w:pPr>
              <w:pStyle w:val="TableText"/>
              <w:jc w:val="right"/>
            </w:pPr>
            <w:r w:rsidRPr="001F3926">
              <w:rPr>
                <w:rFonts w:cs="Arial"/>
              </w:rPr>
              <w:t>72.2 (58.8</w:t>
            </w:r>
            <w:r w:rsidR="00BF4EFA" w:rsidRPr="001F3926">
              <w:rPr>
                <w:rFonts w:cs="Arial"/>
              </w:rPr>
              <w:t>, </w:t>
            </w:r>
            <w:r w:rsidRPr="001F3926">
              <w:rPr>
                <w:rFonts w:cs="Arial"/>
              </w:rPr>
              <w:t>82.5)</w:t>
            </w:r>
          </w:p>
        </w:tc>
        <w:tc>
          <w:tcPr>
            <w:tcW w:w="273" w:type="pct"/>
          </w:tcPr>
          <w:p w14:paraId="2E25AA91" w14:textId="77777777" w:rsidR="007123C7" w:rsidRPr="001F3926" w:rsidRDefault="007123C7" w:rsidP="00E82294">
            <w:pPr>
              <w:pStyle w:val="TableText"/>
              <w:jc w:val="right"/>
            </w:pPr>
            <w:r w:rsidRPr="001F3926">
              <w:rPr>
                <w:rFonts w:cs="Arial"/>
              </w:rPr>
              <w:t>219</w:t>
            </w:r>
          </w:p>
        </w:tc>
        <w:tc>
          <w:tcPr>
            <w:tcW w:w="351" w:type="pct"/>
          </w:tcPr>
          <w:p w14:paraId="760D5B4F" w14:textId="77777777" w:rsidR="007123C7" w:rsidRPr="001F3926" w:rsidRDefault="007123C7" w:rsidP="00E82294">
            <w:pPr>
              <w:pStyle w:val="TableText"/>
              <w:jc w:val="right"/>
            </w:pPr>
            <w:r w:rsidRPr="001F3926">
              <w:rPr>
                <w:rFonts w:cs="Arial"/>
              </w:rPr>
              <w:t>1730</w:t>
            </w:r>
          </w:p>
        </w:tc>
        <w:tc>
          <w:tcPr>
            <w:tcW w:w="380" w:type="pct"/>
          </w:tcPr>
          <w:p w14:paraId="7974CF58" w14:textId="77777777" w:rsidR="007123C7" w:rsidRPr="001F3926" w:rsidRDefault="007123C7" w:rsidP="00E82294">
            <w:pPr>
              <w:pStyle w:val="TableText"/>
              <w:jc w:val="right"/>
            </w:pPr>
            <w:r w:rsidRPr="001F3926">
              <w:rPr>
                <w:rFonts w:cs="Arial"/>
              </w:rPr>
              <w:t>27.8 (17.5</w:t>
            </w:r>
            <w:r w:rsidR="00BF4EFA" w:rsidRPr="001F3926">
              <w:rPr>
                <w:rFonts w:cs="Arial"/>
              </w:rPr>
              <w:t>, </w:t>
            </w:r>
            <w:r w:rsidRPr="001F3926">
              <w:rPr>
                <w:rFonts w:cs="Arial"/>
              </w:rPr>
              <w:t>41.2)</w:t>
            </w:r>
          </w:p>
        </w:tc>
      </w:tr>
      <w:tr w:rsidR="002B44B9" w:rsidRPr="001F3926" w14:paraId="36FE48A7" w14:textId="77777777" w:rsidTr="002B44B9">
        <w:trPr>
          <w:cantSplit/>
        </w:trPr>
        <w:tc>
          <w:tcPr>
            <w:tcW w:w="975" w:type="pct"/>
          </w:tcPr>
          <w:p w14:paraId="61ECD8F8" w14:textId="77777777" w:rsidR="007123C7" w:rsidRPr="001F3926" w:rsidRDefault="007123C7" w:rsidP="00E82294">
            <w:pPr>
              <w:pStyle w:val="TableText"/>
            </w:pPr>
            <w:r w:rsidRPr="001F3926">
              <w:t>Suicidal plan</w:t>
            </w:r>
          </w:p>
        </w:tc>
        <w:tc>
          <w:tcPr>
            <w:tcW w:w="247" w:type="pct"/>
          </w:tcPr>
          <w:p w14:paraId="564C97BB" w14:textId="77777777" w:rsidR="007123C7" w:rsidRPr="001F3926" w:rsidRDefault="007123C7" w:rsidP="00E82294">
            <w:pPr>
              <w:pStyle w:val="TableText"/>
              <w:jc w:val="right"/>
            </w:pPr>
            <w:r w:rsidRPr="001F3926">
              <w:rPr>
                <w:rFonts w:cs="Arial"/>
              </w:rPr>
              <w:t>205</w:t>
            </w:r>
          </w:p>
        </w:tc>
        <w:tc>
          <w:tcPr>
            <w:tcW w:w="351" w:type="pct"/>
          </w:tcPr>
          <w:p w14:paraId="5365C184" w14:textId="77777777" w:rsidR="007123C7" w:rsidRPr="001F3926" w:rsidRDefault="007123C7" w:rsidP="00E82294">
            <w:pPr>
              <w:pStyle w:val="TableText"/>
              <w:jc w:val="right"/>
            </w:pPr>
            <w:r w:rsidRPr="001F3926">
              <w:rPr>
                <w:rFonts w:cs="Arial"/>
              </w:rPr>
              <w:t>1354</w:t>
            </w:r>
          </w:p>
        </w:tc>
        <w:tc>
          <w:tcPr>
            <w:tcW w:w="409" w:type="pct"/>
          </w:tcPr>
          <w:p w14:paraId="01BDC3F7" w14:textId="77777777" w:rsidR="007123C7" w:rsidRPr="001F3926" w:rsidRDefault="007123C7" w:rsidP="00E82294">
            <w:pPr>
              <w:pStyle w:val="TableText"/>
              <w:jc w:val="right"/>
            </w:pPr>
            <w:r w:rsidRPr="001F3926">
              <w:rPr>
                <w:rFonts w:cs="Arial"/>
              </w:rPr>
              <w:t>65.3 (58.7</w:t>
            </w:r>
            <w:r w:rsidR="00BF4EFA" w:rsidRPr="001F3926">
              <w:rPr>
                <w:rFonts w:cs="Arial"/>
              </w:rPr>
              <w:t>, </w:t>
            </w:r>
            <w:r w:rsidRPr="001F3926">
              <w:rPr>
                <w:rFonts w:cs="Arial"/>
              </w:rPr>
              <w:t>71.4)</w:t>
            </w:r>
          </w:p>
        </w:tc>
        <w:tc>
          <w:tcPr>
            <w:tcW w:w="255" w:type="pct"/>
          </w:tcPr>
          <w:p w14:paraId="68139A7E" w14:textId="77777777" w:rsidR="007123C7" w:rsidRPr="001F3926" w:rsidRDefault="007123C7" w:rsidP="00E82294">
            <w:pPr>
              <w:pStyle w:val="TableText"/>
              <w:jc w:val="right"/>
            </w:pPr>
            <w:r w:rsidRPr="001F3926">
              <w:rPr>
                <w:rFonts w:cs="Arial"/>
              </w:rPr>
              <w:t>112</w:t>
            </w:r>
          </w:p>
        </w:tc>
        <w:tc>
          <w:tcPr>
            <w:tcW w:w="352" w:type="pct"/>
          </w:tcPr>
          <w:p w14:paraId="531AC3B8" w14:textId="77777777" w:rsidR="007123C7" w:rsidRPr="001F3926" w:rsidRDefault="007123C7" w:rsidP="00E82294">
            <w:pPr>
              <w:pStyle w:val="TableText"/>
              <w:jc w:val="right"/>
            </w:pPr>
            <w:r w:rsidRPr="001F3926">
              <w:rPr>
                <w:rFonts w:cs="Arial"/>
              </w:rPr>
              <w:t>720</w:t>
            </w:r>
          </w:p>
        </w:tc>
        <w:tc>
          <w:tcPr>
            <w:tcW w:w="400" w:type="pct"/>
          </w:tcPr>
          <w:p w14:paraId="44D3428F" w14:textId="77777777" w:rsidR="007123C7" w:rsidRPr="001F3926" w:rsidRDefault="007123C7" w:rsidP="00E82294">
            <w:pPr>
              <w:pStyle w:val="TableText"/>
              <w:jc w:val="right"/>
            </w:pPr>
            <w:r w:rsidRPr="001F3926">
              <w:rPr>
                <w:rFonts w:cs="Arial"/>
              </w:rPr>
              <w:t>34.7 (28.6</w:t>
            </w:r>
            <w:r w:rsidR="00BF4EFA" w:rsidRPr="001F3926">
              <w:rPr>
                <w:rFonts w:cs="Arial"/>
              </w:rPr>
              <w:t>, </w:t>
            </w:r>
            <w:r w:rsidRPr="001F3926">
              <w:rPr>
                <w:rFonts w:cs="Arial"/>
              </w:rPr>
              <w:t>41.3)</w:t>
            </w:r>
          </w:p>
        </w:tc>
        <w:tc>
          <w:tcPr>
            <w:tcW w:w="264" w:type="pct"/>
          </w:tcPr>
          <w:p w14:paraId="77AD442F" w14:textId="77777777" w:rsidR="007123C7" w:rsidRPr="001F3926" w:rsidRDefault="007123C7" w:rsidP="00E82294">
            <w:pPr>
              <w:pStyle w:val="TableText"/>
              <w:jc w:val="right"/>
            </w:pPr>
            <w:r w:rsidRPr="001F3926">
              <w:rPr>
                <w:rFonts w:cs="Arial"/>
              </w:rPr>
              <w:t>93</w:t>
            </w:r>
          </w:p>
        </w:tc>
        <w:tc>
          <w:tcPr>
            <w:tcW w:w="352" w:type="pct"/>
          </w:tcPr>
          <w:p w14:paraId="4D1DAFEA" w14:textId="77777777" w:rsidR="007123C7" w:rsidRPr="001F3926" w:rsidRDefault="007123C7" w:rsidP="00E82294">
            <w:pPr>
              <w:pStyle w:val="TableText"/>
              <w:jc w:val="right"/>
            </w:pPr>
            <w:r w:rsidRPr="001F3926">
              <w:rPr>
                <w:rFonts w:cs="Arial"/>
              </w:rPr>
              <w:t>855</w:t>
            </w:r>
          </w:p>
        </w:tc>
        <w:tc>
          <w:tcPr>
            <w:tcW w:w="391" w:type="pct"/>
          </w:tcPr>
          <w:p w14:paraId="06F29321" w14:textId="77777777" w:rsidR="007123C7" w:rsidRPr="001F3926" w:rsidRDefault="007123C7" w:rsidP="00E82294">
            <w:pPr>
              <w:pStyle w:val="TableText"/>
              <w:jc w:val="right"/>
            </w:pPr>
            <w:r w:rsidRPr="001F3926">
              <w:rPr>
                <w:rFonts w:cs="Arial"/>
              </w:rPr>
              <w:t>83.6 (69.4</w:t>
            </w:r>
            <w:r w:rsidR="00BF4EFA" w:rsidRPr="001F3926">
              <w:rPr>
                <w:rFonts w:cs="Arial"/>
              </w:rPr>
              <w:t>, </w:t>
            </w:r>
            <w:r w:rsidRPr="001F3926">
              <w:rPr>
                <w:rFonts w:cs="Arial"/>
              </w:rPr>
              <w:t>91.9)</w:t>
            </w:r>
          </w:p>
        </w:tc>
        <w:tc>
          <w:tcPr>
            <w:tcW w:w="273" w:type="pct"/>
          </w:tcPr>
          <w:p w14:paraId="23031AC7" w14:textId="77777777" w:rsidR="007123C7" w:rsidRPr="001F3926" w:rsidRDefault="007123C7" w:rsidP="00E82294">
            <w:pPr>
              <w:pStyle w:val="TableText"/>
              <w:jc w:val="right"/>
            </w:pPr>
            <w:r w:rsidRPr="001F3926">
              <w:rPr>
                <w:rFonts w:cs="Arial"/>
              </w:rPr>
              <w:t>54</w:t>
            </w:r>
          </w:p>
        </w:tc>
        <w:tc>
          <w:tcPr>
            <w:tcW w:w="351" w:type="pct"/>
          </w:tcPr>
          <w:p w14:paraId="49270A33" w14:textId="77777777" w:rsidR="007123C7" w:rsidRPr="001F3926" w:rsidRDefault="007123C7" w:rsidP="00E82294">
            <w:pPr>
              <w:pStyle w:val="TableText"/>
              <w:jc w:val="right"/>
            </w:pPr>
            <w:r w:rsidRPr="001F3926">
              <w:rPr>
                <w:rFonts w:cs="Arial"/>
              </w:rPr>
              <w:t>168</w:t>
            </w:r>
          </w:p>
        </w:tc>
        <w:tc>
          <w:tcPr>
            <w:tcW w:w="380" w:type="pct"/>
          </w:tcPr>
          <w:p w14:paraId="79BF326C" w14:textId="77777777" w:rsidR="007123C7" w:rsidRPr="001F3926" w:rsidRDefault="007123C7" w:rsidP="00E82294">
            <w:pPr>
              <w:pStyle w:val="TableText"/>
              <w:jc w:val="right"/>
            </w:pPr>
            <w:r w:rsidRPr="001F3926">
              <w:rPr>
                <w:rFonts w:cs="Arial"/>
              </w:rPr>
              <w:t>16.4 (8.1</w:t>
            </w:r>
            <w:r w:rsidR="00BF4EFA" w:rsidRPr="001F3926">
              <w:rPr>
                <w:rFonts w:cs="Arial"/>
              </w:rPr>
              <w:t>, </w:t>
            </w:r>
            <w:r w:rsidRPr="001F3926">
              <w:rPr>
                <w:rFonts w:cs="Arial"/>
              </w:rPr>
              <w:t>30.6)</w:t>
            </w:r>
          </w:p>
        </w:tc>
      </w:tr>
      <w:tr w:rsidR="002B44B9" w:rsidRPr="001F3926" w14:paraId="06BA0C9D"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Borders>
              <w:bottom w:val="single" w:sz="4" w:space="0" w:color="000000"/>
            </w:tcBorders>
          </w:tcPr>
          <w:p w14:paraId="54360C67" w14:textId="77777777" w:rsidR="007123C7" w:rsidRPr="001F3926" w:rsidRDefault="007123C7" w:rsidP="00E82294">
            <w:pPr>
              <w:pStyle w:val="TableText"/>
            </w:pPr>
            <w:r w:rsidRPr="001F3926">
              <w:t>Suicide Attempts</w:t>
            </w:r>
          </w:p>
        </w:tc>
        <w:tc>
          <w:tcPr>
            <w:tcW w:w="247" w:type="pct"/>
            <w:tcBorders>
              <w:bottom w:val="single" w:sz="4" w:space="0" w:color="000000"/>
            </w:tcBorders>
          </w:tcPr>
          <w:p w14:paraId="3886AE2D" w14:textId="77777777" w:rsidR="007123C7" w:rsidRPr="001F3926" w:rsidRDefault="007123C7" w:rsidP="00E82294">
            <w:pPr>
              <w:pStyle w:val="TableText"/>
              <w:jc w:val="right"/>
              <w:rPr>
                <w:rFonts w:cs="Arial"/>
              </w:rPr>
            </w:pPr>
            <w:r w:rsidRPr="001F3926">
              <w:rPr>
                <w:rFonts w:cs="Arial"/>
              </w:rPr>
              <w:t>43</w:t>
            </w:r>
          </w:p>
        </w:tc>
        <w:tc>
          <w:tcPr>
            <w:tcW w:w="351" w:type="pct"/>
            <w:tcBorders>
              <w:bottom w:val="single" w:sz="4" w:space="0" w:color="000000"/>
            </w:tcBorders>
          </w:tcPr>
          <w:p w14:paraId="21D4B743" w14:textId="77777777" w:rsidR="007123C7" w:rsidRPr="001F3926" w:rsidRDefault="007123C7" w:rsidP="00E82294">
            <w:pPr>
              <w:pStyle w:val="TableText"/>
              <w:jc w:val="right"/>
              <w:rPr>
                <w:rFonts w:cs="Arial"/>
              </w:rPr>
            </w:pPr>
            <w:r w:rsidRPr="001F3926">
              <w:rPr>
                <w:rFonts w:cs="Arial"/>
              </w:rPr>
              <w:t>310</w:t>
            </w:r>
          </w:p>
        </w:tc>
        <w:tc>
          <w:tcPr>
            <w:tcW w:w="409" w:type="pct"/>
            <w:tcBorders>
              <w:bottom w:val="single" w:sz="4" w:space="0" w:color="000000"/>
            </w:tcBorders>
          </w:tcPr>
          <w:p w14:paraId="788740AE" w14:textId="77777777" w:rsidR="007123C7" w:rsidRPr="001F3926" w:rsidRDefault="007123C7" w:rsidP="00E82294">
            <w:pPr>
              <w:pStyle w:val="TableText"/>
              <w:jc w:val="right"/>
              <w:rPr>
                <w:rFonts w:cs="Arial"/>
              </w:rPr>
            </w:pPr>
            <w:r w:rsidRPr="001F3926">
              <w:rPr>
                <w:rFonts w:cs="Arial"/>
              </w:rPr>
              <w:t>59.6 (45.6</w:t>
            </w:r>
            <w:r w:rsidR="00BF4EFA" w:rsidRPr="001F3926">
              <w:rPr>
                <w:rFonts w:cs="Arial"/>
              </w:rPr>
              <w:t>, </w:t>
            </w:r>
            <w:r w:rsidRPr="001F3926">
              <w:rPr>
                <w:rFonts w:cs="Arial"/>
              </w:rPr>
              <w:t>72.2)</w:t>
            </w:r>
          </w:p>
        </w:tc>
        <w:tc>
          <w:tcPr>
            <w:tcW w:w="255" w:type="pct"/>
            <w:tcBorders>
              <w:bottom w:val="single" w:sz="4" w:space="0" w:color="000000"/>
            </w:tcBorders>
          </w:tcPr>
          <w:p w14:paraId="77C94E04" w14:textId="77777777" w:rsidR="007123C7" w:rsidRPr="001F3926" w:rsidRDefault="007123C7" w:rsidP="00E82294">
            <w:pPr>
              <w:pStyle w:val="TableText"/>
              <w:jc w:val="right"/>
              <w:rPr>
                <w:rFonts w:cs="Arial"/>
              </w:rPr>
            </w:pPr>
            <w:r w:rsidRPr="001F3926">
              <w:rPr>
                <w:rFonts w:cs="Arial"/>
              </w:rPr>
              <w:t>29</w:t>
            </w:r>
          </w:p>
        </w:tc>
        <w:tc>
          <w:tcPr>
            <w:tcW w:w="352" w:type="pct"/>
            <w:tcBorders>
              <w:bottom w:val="single" w:sz="4" w:space="0" w:color="000000"/>
            </w:tcBorders>
          </w:tcPr>
          <w:p w14:paraId="00C2E492" w14:textId="77777777" w:rsidR="007123C7" w:rsidRPr="001F3926" w:rsidRDefault="007123C7" w:rsidP="00E82294">
            <w:pPr>
              <w:pStyle w:val="TableText"/>
              <w:jc w:val="right"/>
              <w:rPr>
                <w:rFonts w:cs="Arial"/>
              </w:rPr>
            </w:pPr>
            <w:r w:rsidRPr="001F3926">
              <w:rPr>
                <w:rFonts w:cs="Arial"/>
              </w:rPr>
              <w:t>210</w:t>
            </w:r>
          </w:p>
        </w:tc>
        <w:tc>
          <w:tcPr>
            <w:tcW w:w="400" w:type="pct"/>
            <w:tcBorders>
              <w:bottom w:val="single" w:sz="4" w:space="0" w:color="000000"/>
            </w:tcBorders>
          </w:tcPr>
          <w:p w14:paraId="4FC764EB" w14:textId="77777777" w:rsidR="007123C7" w:rsidRPr="001F3926" w:rsidRDefault="007123C7" w:rsidP="00E82294">
            <w:pPr>
              <w:pStyle w:val="TableText"/>
              <w:jc w:val="right"/>
              <w:rPr>
                <w:rFonts w:cs="Arial"/>
              </w:rPr>
            </w:pPr>
            <w:r w:rsidRPr="001F3926">
              <w:rPr>
                <w:rFonts w:cs="Arial"/>
              </w:rPr>
              <w:t>40.4 (27.8</w:t>
            </w:r>
            <w:r w:rsidR="00BF4EFA" w:rsidRPr="001F3926">
              <w:rPr>
                <w:rFonts w:cs="Arial"/>
              </w:rPr>
              <w:t>, </w:t>
            </w:r>
            <w:r w:rsidRPr="001F3926">
              <w:rPr>
                <w:rFonts w:cs="Arial"/>
              </w:rPr>
              <w:t>54.4)</w:t>
            </w:r>
          </w:p>
        </w:tc>
        <w:tc>
          <w:tcPr>
            <w:tcW w:w="264" w:type="pct"/>
            <w:tcBorders>
              <w:bottom w:val="single" w:sz="4" w:space="0" w:color="000000"/>
            </w:tcBorders>
          </w:tcPr>
          <w:p w14:paraId="2F7767D6" w14:textId="77777777" w:rsidR="007123C7" w:rsidRPr="001F3926" w:rsidRDefault="007123C7" w:rsidP="00E82294">
            <w:pPr>
              <w:pStyle w:val="TableText"/>
              <w:jc w:val="right"/>
              <w:rPr>
                <w:rFonts w:cs="Arial"/>
              </w:rPr>
            </w:pPr>
            <w:r w:rsidRPr="001F3926">
              <w:rPr>
                <w:rFonts w:cs="Arial"/>
              </w:rPr>
              <w:t>19</w:t>
            </w:r>
          </w:p>
        </w:tc>
        <w:tc>
          <w:tcPr>
            <w:tcW w:w="352" w:type="pct"/>
            <w:tcBorders>
              <w:bottom w:val="single" w:sz="4" w:space="0" w:color="000000"/>
            </w:tcBorders>
          </w:tcPr>
          <w:p w14:paraId="12D7413B" w14:textId="77777777" w:rsidR="007123C7" w:rsidRPr="001F3926" w:rsidRDefault="007123C7" w:rsidP="00E82294">
            <w:pPr>
              <w:pStyle w:val="TableText"/>
              <w:jc w:val="right"/>
              <w:rPr>
                <w:rFonts w:cs="Arial"/>
              </w:rPr>
            </w:pPr>
            <w:r w:rsidRPr="001F3926">
              <w:rPr>
                <w:rFonts w:cs="Arial"/>
              </w:rPr>
              <w:t>290</w:t>
            </w:r>
          </w:p>
        </w:tc>
        <w:tc>
          <w:tcPr>
            <w:tcW w:w="391" w:type="pct"/>
            <w:tcBorders>
              <w:bottom w:val="single" w:sz="4" w:space="0" w:color="000000"/>
            </w:tcBorders>
          </w:tcPr>
          <w:p w14:paraId="66EE28A8" w14:textId="77777777" w:rsidR="007123C7" w:rsidRPr="001F3926" w:rsidRDefault="007123C7" w:rsidP="00E82294">
            <w:pPr>
              <w:pStyle w:val="TableText"/>
              <w:jc w:val="right"/>
              <w:rPr>
                <w:rFonts w:cs="Arial"/>
              </w:rPr>
            </w:pPr>
            <w:r w:rsidRPr="001F3926">
              <w:rPr>
                <w:rFonts w:cs="Arial"/>
              </w:rPr>
              <w:t>84.2 (58.1</w:t>
            </w:r>
            <w:r w:rsidR="00BF4EFA" w:rsidRPr="001F3926">
              <w:rPr>
                <w:rFonts w:cs="Arial"/>
              </w:rPr>
              <w:t>, </w:t>
            </w:r>
            <w:r w:rsidRPr="001F3926">
              <w:rPr>
                <w:rFonts w:cs="Arial"/>
              </w:rPr>
              <w:t>95.3)</w:t>
            </w:r>
          </w:p>
        </w:tc>
        <w:tc>
          <w:tcPr>
            <w:tcW w:w="273" w:type="pct"/>
            <w:tcBorders>
              <w:bottom w:val="single" w:sz="4" w:space="0" w:color="000000"/>
            </w:tcBorders>
          </w:tcPr>
          <w:p w14:paraId="599AA606" w14:textId="77777777" w:rsidR="007123C7" w:rsidRPr="001F3926" w:rsidRDefault="007123C7" w:rsidP="00E82294">
            <w:pPr>
              <w:pStyle w:val="TableText"/>
              <w:jc w:val="right"/>
              <w:rPr>
                <w:rFonts w:cs="Arial"/>
              </w:rPr>
            </w:pPr>
            <w:r w:rsidRPr="001F3926">
              <w:rPr>
                <w:rFonts w:cs="Arial"/>
              </w:rPr>
              <w:t>18</w:t>
            </w:r>
          </w:p>
        </w:tc>
        <w:tc>
          <w:tcPr>
            <w:tcW w:w="351" w:type="pct"/>
            <w:tcBorders>
              <w:bottom w:val="single" w:sz="4" w:space="0" w:color="000000"/>
            </w:tcBorders>
          </w:tcPr>
          <w:p w14:paraId="1CE00AB9" w14:textId="77777777" w:rsidR="007123C7" w:rsidRPr="001F3926" w:rsidRDefault="007123C7" w:rsidP="00E82294">
            <w:pPr>
              <w:pStyle w:val="TableText"/>
              <w:jc w:val="right"/>
              <w:rPr>
                <w:rFonts w:cs="Arial"/>
              </w:rPr>
            </w:pPr>
            <w:r w:rsidRPr="001F3926">
              <w:rPr>
                <w:rFonts w:cs="Arial"/>
              </w:rPr>
              <w:t>54</w:t>
            </w:r>
          </w:p>
        </w:tc>
        <w:tc>
          <w:tcPr>
            <w:tcW w:w="380" w:type="pct"/>
            <w:tcBorders>
              <w:bottom w:val="single" w:sz="4" w:space="0" w:color="000000"/>
            </w:tcBorders>
          </w:tcPr>
          <w:p w14:paraId="5A082D2D" w14:textId="77777777" w:rsidR="007123C7" w:rsidRPr="001F3926" w:rsidRDefault="007123C7" w:rsidP="00E82294">
            <w:pPr>
              <w:pStyle w:val="TableText"/>
              <w:jc w:val="right"/>
              <w:rPr>
                <w:rFonts w:cs="Arial"/>
              </w:rPr>
            </w:pPr>
            <w:r w:rsidRPr="001F3926">
              <w:rPr>
                <w:rFonts w:cs="Arial"/>
              </w:rPr>
              <w:t>15.8 (4.7</w:t>
            </w:r>
            <w:r w:rsidR="00BF4EFA" w:rsidRPr="001F3926">
              <w:rPr>
                <w:rFonts w:cs="Arial"/>
              </w:rPr>
              <w:t>, </w:t>
            </w:r>
            <w:r w:rsidRPr="001F3926">
              <w:rPr>
                <w:rFonts w:cs="Arial"/>
              </w:rPr>
              <w:t>41.9)</w:t>
            </w:r>
          </w:p>
        </w:tc>
      </w:tr>
      <w:tr w:rsidR="002B44B9" w:rsidRPr="001F3926" w14:paraId="05B72643" w14:textId="77777777" w:rsidTr="002B44B9">
        <w:trPr>
          <w:cantSplit/>
        </w:trPr>
        <w:tc>
          <w:tcPr>
            <w:tcW w:w="975" w:type="pct"/>
            <w:tcBorders>
              <w:top w:val="single" w:sz="4" w:space="0" w:color="000000"/>
              <w:bottom w:val="nil"/>
            </w:tcBorders>
          </w:tcPr>
          <w:p w14:paraId="2A82A0C7" w14:textId="77777777" w:rsidR="007123C7" w:rsidRPr="001F3926" w:rsidRDefault="007123C7" w:rsidP="00E82294">
            <w:pPr>
              <w:pStyle w:val="TableText"/>
              <w:rPr>
                <w:b/>
              </w:rPr>
            </w:pPr>
            <w:r w:rsidRPr="001F3926">
              <w:rPr>
                <w:b/>
              </w:rPr>
              <w:t>Probable generalised anxiety disorder</w:t>
            </w:r>
          </w:p>
        </w:tc>
        <w:tc>
          <w:tcPr>
            <w:tcW w:w="247" w:type="pct"/>
            <w:tcBorders>
              <w:top w:val="single" w:sz="4" w:space="0" w:color="000000"/>
              <w:bottom w:val="nil"/>
            </w:tcBorders>
          </w:tcPr>
          <w:p w14:paraId="705EBF8B" w14:textId="77777777" w:rsidR="007123C7" w:rsidRPr="001F3926" w:rsidRDefault="007123C7" w:rsidP="00E82294">
            <w:pPr>
              <w:pStyle w:val="TableText"/>
              <w:jc w:val="right"/>
            </w:pPr>
          </w:p>
        </w:tc>
        <w:tc>
          <w:tcPr>
            <w:tcW w:w="351" w:type="pct"/>
            <w:tcBorders>
              <w:top w:val="single" w:sz="4" w:space="0" w:color="000000"/>
              <w:bottom w:val="nil"/>
            </w:tcBorders>
          </w:tcPr>
          <w:p w14:paraId="7DE71BBF" w14:textId="77777777" w:rsidR="007123C7" w:rsidRPr="001F3926" w:rsidRDefault="007123C7" w:rsidP="00E82294">
            <w:pPr>
              <w:pStyle w:val="TableText"/>
              <w:jc w:val="right"/>
            </w:pPr>
          </w:p>
        </w:tc>
        <w:tc>
          <w:tcPr>
            <w:tcW w:w="409" w:type="pct"/>
            <w:tcBorders>
              <w:top w:val="single" w:sz="4" w:space="0" w:color="000000"/>
              <w:bottom w:val="nil"/>
            </w:tcBorders>
          </w:tcPr>
          <w:p w14:paraId="26207017" w14:textId="77777777" w:rsidR="007123C7" w:rsidRPr="001F3926" w:rsidRDefault="007123C7" w:rsidP="00E82294">
            <w:pPr>
              <w:pStyle w:val="TableText"/>
              <w:jc w:val="right"/>
            </w:pPr>
          </w:p>
        </w:tc>
        <w:tc>
          <w:tcPr>
            <w:tcW w:w="255" w:type="pct"/>
            <w:tcBorders>
              <w:top w:val="single" w:sz="4" w:space="0" w:color="000000"/>
              <w:bottom w:val="nil"/>
            </w:tcBorders>
          </w:tcPr>
          <w:p w14:paraId="4578E604" w14:textId="77777777" w:rsidR="007123C7" w:rsidRPr="001F3926" w:rsidRDefault="007123C7" w:rsidP="00E82294">
            <w:pPr>
              <w:pStyle w:val="TableText"/>
              <w:jc w:val="right"/>
            </w:pPr>
          </w:p>
        </w:tc>
        <w:tc>
          <w:tcPr>
            <w:tcW w:w="352" w:type="pct"/>
            <w:tcBorders>
              <w:top w:val="single" w:sz="4" w:space="0" w:color="000000"/>
              <w:bottom w:val="nil"/>
            </w:tcBorders>
          </w:tcPr>
          <w:p w14:paraId="4A1D021E" w14:textId="77777777" w:rsidR="007123C7" w:rsidRPr="001F3926" w:rsidRDefault="007123C7" w:rsidP="00E82294">
            <w:pPr>
              <w:pStyle w:val="TableText"/>
              <w:jc w:val="right"/>
            </w:pPr>
          </w:p>
        </w:tc>
        <w:tc>
          <w:tcPr>
            <w:tcW w:w="400" w:type="pct"/>
            <w:tcBorders>
              <w:top w:val="single" w:sz="4" w:space="0" w:color="000000"/>
              <w:bottom w:val="nil"/>
            </w:tcBorders>
          </w:tcPr>
          <w:p w14:paraId="55E70A7F" w14:textId="77777777" w:rsidR="007123C7" w:rsidRPr="001F3926" w:rsidRDefault="007123C7" w:rsidP="00E82294">
            <w:pPr>
              <w:pStyle w:val="TableText"/>
              <w:jc w:val="right"/>
            </w:pPr>
          </w:p>
        </w:tc>
        <w:tc>
          <w:tcPr>
            <w:tcW w:w="264" w:type="pct"/>
            <w:tcBorders>
              <w:top w:val="single" w:sz="4" w:space="0" w:color="000000"/>
              <w:bottom w:val="nil"/>
            </w:tcBorders>
          </w:tcPr>
          <w:p w14:paraId="1B8A7C8F" w14:textId="77777777" w:rsidR="007123C7" w:rsidRPr="001F3926" w:rsidRDefault="007123C7" w:rsidP="00E82294">
            <w:pPr>
              <w:pStyle w:val="TableText"/>
              <w:jc w:val="right"/>
            </w:pPr>
          </w:p>
        </w:tc>
        <w:tc>
          <w:tcPr>
            <w:tcW w:w="352" w:type="pct"/>
            <w:tcBorders>
              <w:top w:val="single" w:sz="4" w:space="0" w:color="000000"/>
              <w:bottom w:val="nil"/>
            </w:tcBorders>
          </w:tcPr>
          <w:p w14:paraId="2AD94C4C" w14:textId="77777777" w:rsidR="007123C7" w:rsidRPr="001F3926" w:rsidRDefault="007123C7" w:rsidP="00E82294">
            <w:pPr>
              <w:pStyle w:val="TableText"/>
              <w:jc w:val="right"/>
            </w:pPr>
          </w:p>
        </w:tc>
        <w:tc>
          <w:tcPr>
            <w:tcW w:w="391" w:type="pct"/>
            <w:tcBorders>
              <w:top w:val="single" w:sz="4" w:space="0" w:color="000000"/>
              <w:bottom w:val="nil"/>
            </w:tcBorders>
          </w:tcPr>
          <w:p w14:paraId="6D50CAFC" w14:textId="77777777" w:rsidR="007123C7" w:rsidRPr="001F3926" w:rsidRDefault="007123C7" w:rsidP="00E82294">
            <w:pPr>
              <w:pStyle w:val="TableText"/>
              <w:jc w:val="right"/>
            </w:pPr>
          </w:p>
        </w:tc>
        <w:tc>
          <w:tcPr>
            <w:tcW w:w="273" w:type="pct"/>
            <w:tcBorders>
              <w:top w:val="single" w:sz="4" w:space="0" w:color="000000"/>
              <w:bottom w:val="nil"/>
            </w:tcBorders>
          </w:tcPr>
          <w:p w14:paraId="4F881B69" w14:textId="77777777" w:rsidR="007123C7" w:rsidRPr="001F3926" w:rsidRDefault="007123C7" w:rsidP="00E82294">
            <w:pPr>
              <w:pStyle w:val="TableText"/>
              <w:jc w:val="right"/>
            </w:pPr>
          </w:p>
        </w:tc>
        <w:tc>
          <w:tcPr>
            <w:tcW w:w="351" w:type="pct"/>
            <w:tcBorders>
              <w:top w:val="single" w:sz="4" w:space="0" w:color="000000"/>
              <w:bottom w:val="nil"/>
            </w:tcBorders>
          </w:tcPr>
          <w:p w14:paraId="33905A58" w14:textId="77777777" w:rsidR="007123C7" w:rsidRPr="001F3926" w:rsidRDefault="007123C7" w:rsidP="00E82294">
            <w:pPr>
              <w:pStyle w:val="TableText"/>
              <w:jc w:val="right"/>
            </w:pPr>
          </w:p>
        </w:tc>
        <w:tc>
          <w:tcPr>
            <w:tcW w:w="380" w:type="pct"/>
            <w:tcBorders>
              <w:top w:val="single" w:sz="4" w:space="0" w:color="000000"/>
              <w:bottom w:val="nil"/>
            </w:tcBorders>
          </w:tcPr>
          <w:p w14:paraId="43E6BB95" w14:textId="77777777" w:rsidR="007123C7" w:rsidRPr="001F3926" w:rsidRDefault="007123C7" w:rsidP="00E82294">
            <w:pPr>
              <w:pStyle w:val="TableText"/>
              <w:jc w:val="right"/>
            </w:pPr>
          </w:p>
        </w:tc>
      </w:tr>
      <w:tr w:rsidR="002B44B9" w:rsidRPr="001F3926" w14:paraId="3C432D28" w14:textId="77777777" w:rsidTr="002B44B9">
        <w:trPr>
          <w:cnfStyle w:val="000000100000" w:firstRow="0" w:lastRow="0" w:firstColumn="0" w:lastColumn="0" w:oddVBand="0" w:evenVBand="0" w:oddHBand="1" w:evenHBand="0" w:firstRowFirstColumn="0" w:firstRowLastColumn="0" w:lastRowFirstColumn="0" w:lastRowLastColumn="0"/>
          <w:cantSplit/>
        </w:trPr>
        <w:tc>
          <w:tcPr>
            <w:tcW w:w="975" w:type="pct"/>
            <w:tcBorders>
              <w:top w:val="nil"/>
            </w:tcBorders>
          </w:tcPr>
          <w:p w14:paraId="5E4397BA" w14:textId="77777777" w:rsidR="007123C7" w:rsidRPr="001F3926" w:rsidRDefault="007123C7" w:rsidP="00E82294">
            <w:pPr>
              <w:pStyle w:val="TableText"/>
            </w:pPr>
            <w:r w:rsidRPr="001F3926">
              <w:t xml:space="preserve">Above screening cut-off </w:t>
            </w:r>
          </w:p>
        </w:tc>
        <w:tc>
          <w:tcPr>
            <w:tcW w:w="247" w:type="pct"/>
            <w:tcBorders>
              <w:top w:val="nil"/>
            </w:tcBorders>
          </w:tcPr>
          <w:p w14:paraId="6220AE08" w14:textId="77777777" w:rsidR="007123C7" w:rsidRPr="001F3926" w:rsidRDefault="007123C7" w:rsidP="00E82294">
            <w:pPr>
              <w:pStyle w:val="TableText"/>
              <w:jc w:val="right"/>
            </w:pPr>
            <w:r w:rsidRPr="001F3926">
              <w:rPr>
                <w:rFonts w:cs="Arial"/>
              </w:rPr>
              <w:t>587</w:t>
            </w:r>
          </w:p>
        </w:tc>
        <w:tc>
          <w:tcPr>
            <w:tcW w:w="351" w:type="pct"/>
            <w:tcBorders>
              <w:top w:val="nil"/>
            </w:tcBorders>
          </w:tcPr>
          <w:p w14:paraId="1AC16597" w14:textId="77777777" w:rsidR="007123C7" w:rsidRPr="001F3926" w:rsidRDefault="007123C7" w:rsidP="00E82294">
            <w:pPr>
              <w:pStyle w:val="TableText"/>
              <w:jc w:val="right"/>
            </w:pPr>
            <w:r w:rsidRPr="001F3926">
              <w:rPr>
                <w:rFonts w:cs="Arial"/>
              </w:rPr>
              <w:t>4113</w:t>
            </w:r>
          </w:p>
        </w:tc>
        <w:tc>
          <w:tcPr>
            <w:tcW w:w="409" w:type="pct"/>
            <w:tcBorders>
              <w:top w:val="nil"/>
            </w:tcBorders>
          </w:tcPr>
          <w:p w14:paraId="08630EED" w14:textId="77777777" w:rsidR="007123C7" w:rsidRPr="001F3926" w:rsidRDefault="007123C7" w:rsidP="00E82294">
            <w:pPr>
              <w:pStyle w:val="TableText"/>
              <w:jc w:val="right"/>
            </w:pPr>
            <w:r w:rsidRPr="001F3926">
              <w:rPr>
                <w:rFonts w:cs="Arial"/>
              </w:rPr>
              <w:t>73.8 (70.1</w:t>
            </w:r>
            <w:r w:rsidR="00BF4EFA" w:rsidRPr="001F3926">
              <w:rPr>
                <w:rFonts w:cs="Arial"/>
              </w:rPr>
              <w:t>, </w:t>
            </w:r>
            <w:r w:rsidRPr="001F3926">
              <w:rPr>
                <w:rFonts w:cs="Arial"/>
              </w:rPr>
              <w:t>77.3)</w:t>
            </w:r>
          </w:p>
        </w:tc>
        <w:tc>
          <w:tcPr>
            <w:tcW w:w="255" w:type="pct"/>
            <w:tcBorders>
              <w:top w:val="nil"/>
            </w:tcBorders>
          </w:tcPr>
          <w:p w14:paraId="5B404EFF" w14:textId="77777777" w:rsidR="007123C7" w:rsidRPr="001F3926" w:rsidRDefault="007123C7" w:rsidP="00E82294">
            <w:pPr>
              <w:pStyle w:val="TableText"/>
              <w:jc w:val="right"/>
            </w:pPr>
            <w:r w:rsidRPr="001F3926">
              <w:rPr>
                <w:rFonts w:cs="Arial"/>
              </w:rPr>
              <w:t>225</w:t>
            </w:r>
          </w:p>
        </w:tc>
        <w:tc>
          <w:tcPr>
            <w:tcW w:w="352" w:type="pct"/>
            <w:tcBorders>
              <w:top w:val="nil"/>
            </w:tcBorders>
          </w:tcPr>
          <w:p w14:paraId="4D236F9E" w14:textId="77777777" w:rsidR="007123C7" w:rsidRPr="001F3926" w:rsidRDefault="007123C7" w:rsidP="00E82294">
            <w:pPr>
              <w:pStyle w:val="TableText"/>
              <w:jc w:val="right"/>
            </w:pPr>
            <w:r w:rsidRPr="001F3926">
              <w:rPr>
                <w:rFonts w:cs="Arial"/>
              </w:rPr>
              <w:t>1457</w:t>
            </w:r>
          </w:p>
        </w:tc>
        <w:tc>
          <w:tcPr>
            <w:tcW w:w="400" w:type="pct"/>
            <w:tcBorders>
              <w:top w:val="nil"/>
            </w:tcBorders>
          </w:tcPr>
          <w:p w14:paraId="637DD836" w14:textId="77777777" w:rsidR="007123C7" w:rsidRPr="001F3926" w:rsidRDefault="007123C7" w:rsidP="00E82294">
            <w:pPr>
              <w:pStyle w:val="TableText"/>
              <w:jc w:val="right"/>
            </w:pPr>
            <w:r w:rsidRPr="001F3926">
              <w:rPr>
                <w:rFonts w:cs="Arial"/>
              </w:rPr>
              <w:t>26.2 (22.7</w:t>
            </w:r>
            <w:r w:rsidR="00BF4EFA" w:rsidRPr="001F3926">
              <w:rPr>
                <w:rFonts w:cs="Arial"/>
              </w:rPr>
              <w:t>, </w:t>
            </w:r>
            <w:r w:rsidRPr="001F3926">
              <w:rPr>
                <w:rFonts w:cs="Arial"/>
              </w:rPr>
              <w:t>29.9)</w:t>
            </w:r>
          </w:p>
        </w:tc>
        <w:tc>
          <w:tcPr>
            <w:tcW w:w="264" w:type="pct"/>
            <w:tcBorders>
              <w:top w:val="nil"/>
            </w:tcBorders>
          </w:tcPr>
          <w:p w14:paraId="6DDC8B52" w14:textId="77777777" w:rsidR="007123C7" w:rsidRPr="001F3926" w:rsidRDefault="007123C7" w:rsidP="00E82294">
            <w:pPr>
              <w:pStyle w:val="TableText"/>
              <w:jc w:val="right"/>
            </w:pPr>
            <w:r w:rsidRPr="001F3926">
              <w:rPr>
                <w:rFonts w:cs="Arial"/>
              </w:rPr>
              <w:t>449</w:t>
            </w:r>
          </w:p>
        </w:tc>
        <w:tc>
          <w:tcPr>
            <w:tcW w:w="352" w:type="pct"/>
            <w:tcBorders>
              <w:top w:val="nil"/>
            </w:tcBorders>
          </w:tcPr>
          <w:p w14:paraId="40D9C4B9" w14:textId="77777777" w:rsidR="007123C7" w:rsidRPr="001F3926" w:rsidRDefault="007123C7" w:rsidP="00E82294">
            <w:pPr>
              <w:pStyle w:val="TableText"/>
              <w:jc w:val="right"/>
            </w:pPr>
            <w:r w:rsidRPr="001F3926">
              <w:rPr>
                <w:rFonts w:cs="Arial"/>
              </w:rPr>
              <w:t>3348</w:t>
            </w:r>
          </w:p>
        </w:tc>
        <w:tc>
          <w:tcPr>
            <w:tcW w:w="391" w:type="pct"/>
            <w:tcBorders>
              <w:top w:val="nil"/>
            </w:tcBorders>
          </w:tcPr>
          <w:p w14:paraId="7D5CB177" w14:textId="77777777" w:rsidR="007123C7" w:rsidRPr="001F3926" w:rsidRDefault="007123C7" w:rsidP="00E82294">
            <w:pPr>
              <w:pStyle w:val="TableText"/>
              <w:jc w:val="right"/>
            </w:pPr>
            <w:r w:rsidRPr="001F3926">
              <w:rPr>
                <w:rFonts w:cs="Arial"/>
              </w:rPr>
              <w:t>72.0 (57.0</w:t>
            </w:r>
            <w:r w:rsidR="00BF4EFA" w:rsidRPr="001F3926">
              <w:rPr>
                <w:rFonts w:cs="Arial"/>
              </w:rPr>
              <w:t>, </w:t>
            </w:r>
            <w:r w:rsidRPr="001F3926">
              <w:rPr>
                <w:rFonts w:cs="Arial"/>
              </w:rPr>
              <w:t>83.3)</w:t>
            </w:r>
          </w:p>
        </w:tc>
        <w:tc>
          <w:tcPr>
            <w:tcW w:w="273" w:type="pct"/>
            <w:tcBorders>
              <w:top w:val="nil"/>
            </w:tcBorders>
          </w:tcPr>
          <w:p w14:paraId="68110E46" w14:textId="77777777" w:rsidR="007123C7" w:rsidRPr="001F3926" w:rsidRDefault="007123C7" w:rsidP="00E82294">
            <w:pPr>
              <w:pStyle w:val="TableText"/>
              <w:jc w:val="right"/>
            </w:pPr>
            <w:r w:rsidRPr="001F3926">
              <w:rPr>
                <w:rFonts w:cs="Arial"/>
              </w:rPr>
              <w:t>177</w:t>
            </w:r>
          </w:p>
        </w:tc>
        <w:tc>
          <w:tcPr>
            <w:tcW w:w="351" w:type="pct"/>
            <w:tcBorders>
              <w:top w:val="nil"/>
            </w:tcBorders>
          </w:tcPr>
          <w:p w14:paraId="715D90EF" w14:textId="77777777" w:rsidR="007123C7" w:rsidRPr="001F3926" w:rsidRDefault="007123C7" w:rsidP="00E82294">
            <w:pPr>
              <w:pStyle w:val="TableText"/>
              <w:jc w:val="right"/>
            </w:pPr>
            <w:r w:rsidRPr="001F3926">
              <w:rPr>
                <w:rFonts w:cs="Arial"/>
              </w:rPr>
              <w:t>1305</w:t>
            </w:r>
          </w:p>
        </w:tc>
        <w:tc>
          <w:tcPr>
            <w:tcW w:w="380" w:type="pct"/>
            <w:tcBorders>
              <w:top w:val="nil"/>
            </w:tcBorders>
          </w:tcPr>
          <w:p w14:paraId="2D8E042E" w14:textId="77777777" w:rsidR="007123C7" w:rsidRPr="001F3926" w:rsidRDefault="007123C7" w:rsidP="00E82294">
            <w:pPr>
              <w:pStyle w:val="TableText"/>
              <w:jc w:val="right"/>
            </w:pPr>
            <w:r w:rsidRPr="001F3926">
              <w:rPr>
                <w:rFonts w:cs="Arial"/>
              </w:rPr>
              <w:t>28.0 (16.7</w:t>
            </w:r>
            <w:r w:rsidR="00BF4EFA" w:rsidRPr="001F3926">
              <w:rPr>
                <w:rFonts w:cs="Arial"/>
              </w:rPr>
              <w:t>, </w:t>
            </w:r>
            <w:r w:rsidRPr="001F3926">
              <w:rPr>
                <w:rFonts w:cs="Arial"/>
              </w:rPr>
              <w:t>43.0)</w:t>
            </w:r>
          </w:p>
        </w:tc>
      </w:tr>
      <w:tr w:rsidR="002B44B9" w:rsidRPr="00611E53" w14:paraId="2C2764E3" w14:textId="77777777" w:rsidTr="002B44B9">
        <w:trPr>
          <w:cantSplit/>
        </w:trPr>
        <w:tc>
          <w:tcPr>
            <w:tcW w:w="975" w:type="pct"/>
          </w:tcPr>
          <w:p w14:paraId="78282634" w14:textId="77777777" w:rsidR="007123C7" w:rsidRPr="001F3926" w:rsidRDefault="007123C7" w:rsidP="00E82294">
            <w:pPr>
              <w:pStyle w:val="TableText"/>
            </w:pPr>
            <w:r w:rsidRPr="001F3926">
              <w:t xml:space="preserve">Below screening cut-off </w:t>
            </w:r>
          </w:p>
        </w:tc>
        <w:tc>
          <w:tcPr>
            <w:tcW w:w="247" w:type="pct"/>
          </w:tcPr>
          <w:p w14:paraId="374E8E74" w14:textId="77777777" w:rsidR="007123C7" w:rsidRPr="001F3926" w:rsidRDefault="007123C7" w:rsidP="00E82294">
            <w:pPr>
              <w:pStyle w:val="TableText"/>
              <w:jc w:val="right"/>
            </w:pPr>
            <w:r w:rsidRPr="001F3926">
              <w:rPr>
                <w:rFonts w:cs="Arial"/>
              </w:rPr>
              <w:t>2614</w:t>
            </w:r>
          </w:p>
        </w:tc>
        <w:tc>
          <w:tcPr>
            <w:tcW w:w="351" w:type="pct"/>
          </w:tcPr>
          <w:p w14:paraId="5BBBD1D4" w14:textId="77777777" w:rsidR="007123C7" w:rsidRPr="001F3926" w:rsidRDefault="007123C7" w:rsidP="00E82294">
            <w:pPr>
              <w:pStyle w:val="TableText"/>
              <w:jc w:val="right"/>
            </w:pPr>
            <w:r w:rsidRPr="001F3926">
              <w:rPr>
                <w:rFonts w:cs="Arial"/>
              </w:rPr>
              <w:t>17,104</w:t>
            </w:r>
          </w:p>
        </w:tc>
        <w:tc>
          <w:tcPr>
            <w:tcW w:w="409" w:type="pct"/>
          </w:tcPr>
          <w:p w14:paraId="4F6D9C1D" w14:textId="77777777" w:rsidR="007123C7" w:rsidRPr="001F3926" w:rsidRDefault="007123C7" w:rsidP="00E82294">
            <w:pPr>
              <w:pStyle w:val="TableText"/>
              <w:jc w:val="right"/>
            </w:pPr>
            <w:r w:rsidRPr="001F3926">
              <w:rPr>
                <w:rFonts w:cs="Arial"/>
              </w:rPr>
              <w:t>89.5 (88.1</w:t>
            </w:r>
            <w:r w:rsidR="00BF4EFA" w:rsidRPr="001F3926">
              <w:rPr>
                <w:rFonts w:cs="Arial"/>
              </w:rPr>
              <w:t>, </w:t>
            </w:r>
            <w:r w:rsidRPr="001F3926">
              <w:rPr>
                <w:rFonts w:cs="Arial"/>
              </w:rPr>
              <w:t>90.8)</w:t>
            </w:r>
          </w:p>
        </w:tc>
        <w:tc>
          <w:tcPr>
            <w:tcW w:w="255" w:type="pct"/>
          </w:tcPr>
          <w:p w14:paraId="3B0AE62B" w14:textId="77777777" w:rsidR="007123C7" w:rsidRPr="001F3926" w:rsidRDefault="007123C7" w:rsidP="00E82294">
            <w:pPr>
              <w:pStyle w:val="TableText"/>
              <w:jc w:val="right"/>
            </w:pPr>
            <w:r w:rsidRPr="001F3926">
              <w:rPr>
                <w:rFonts w:cs="Arial"/>
              </w:rPr>
              <w:t>318</w:t>
            </w:r>
          </w:p>
        </w:tc>
        <w:tc>
          <w:tcPr>
            <w:tcW w:w="352" w:type="pct"/>
          </w:tcPr>
          <w:p w14:paraId="2C2CCD19" w14:textId="77777777" w:rsidR="007123C7" w:rsidRPr="001F3926" w:rsidRDefault="007123C7" w:rsidP="00E82294">
            <w:pPr>
              <w:pStyle w:val="TableText"/>
              <w:jc w:val="right"/>
            </w:pPr>
            <w:r w:rsidRPr="001F3926">
              <w:rPr>
                <w:rFonts w:cs="Arial"/>
              </w:rPr>
              <w:t>2003</w:t>
            </w:r>
          </w:p>
        </w:tc>
        <w:tc>
          <w:tcPr>
            <w:tcW w:w="400" w:type="pct"/>
          </w:tcPr>
          <w:p w14:paraId="4DC50AE1" w14:textId="77777777" w:rsidR="007123C7" w:rsidRPr="001F3926" w:rsidRDefault="007123C7" w:rsidP="00E82294">
            <w:pPr>
              <w:pStyle w:val="TableText"/>
              <w:jc w:val="right"/>
            </w:pPr>
            <w:r w:rsidRPr="001F3926">
              <w:rPr>
                <w:rFonts w:cs="Arial"/>
              </w:rPr>
              <w:t>10.5 (9.2</w:t>
            </w:r>
            <w:r w:rsidR="00BF4EFA" w:rsidRPr="001F3926">
              <w:rPr>
                <w:rFonts w:cs="Arial"/>
              </w:rPr>
              <w:t>, </w:t>
            </w:r>
            <w:r w:rsidRPr="001F3926">
              <w:rPr>
                <w:rFonts w:cs="Arial"/>
              </w:rPr>
              <w:t>11.9)</w:t>
            </w:r>
          </w:p>
        </w:tc>
        <w:tc>
          <w:tcPr>
            <w:tcW w:w="264" w:type="pct"/>
          </w:tcPr>
          <w:p w14:paraId="1B3F2891" w14:textId="77777777" w:rsidR="007123C7" w:rsidRPr="001F3926" w:rsidRDefault="007123C7" w:rsidP="00E82294">
            <w:pPr>
              <w:pStyle w:val="TableText"/>
              <w:jc w:val="right"/>
            </w:pPr>
            <w:r w:rsidRPr="001F3926">
              <w:rPr>
                <w:rFonts w:cs="Arial"/>
              </w:rPr>
              <w:t>6301</w:t>
            </w:r>
          </w:p>
        </w:tc>
        <w:tc>
          <w:tcPr>
            <w:tcW w:w="352" w:type="pct"/>
          </w:tcPr>
          <w:p w14:paraId="6103F972" w14:textId="77777777" w:rsidR="007123C7" w:rsidRPr="001F3926" w:rsidRDefault="007123C7" w:rsidP="00E82294">
            <w:pPr>
              <w:pStyle w:val="TableText"/>
              <w:jc w:val="right"/>
            </w:pPr>
            <w:r w:rsidRPr="001F3926">
              <w:rPr>
                <w:rFonts w:cs="Arial"/>
              </w:rPr>
              <w:t>43,190</w:t>
            </w:r>
          </w:p>
        </w:tc>
        <w:tc>
          <w:tcPr>
            <w:tcW w:w="391" w:type="pct"/>
          </w:tcPr>
          <w:p w14:paraId="70858226" w14:textId="77777777" w:rsidR="007123C7" w:rsidRPr="001F3926" w:rsidRDefault="007123C7" w:rsidP="00E82294">
            <w:pPr>
              <w:pStyle w:val="TableText"/>
              <w:jc w:val="right"/>
            </w:pPr>
            <w:r w:rsidRPr="001F3926">
              <w:rPr>
                <w:rFonts w:cs="Arial"/>
              </w:rPr>
              <w:t>90.8 (88.0</w:t>
            </w:r>
            <w:r w:rsidR="00BF4EFA" w:rsidRPr="001F3926">
              <w:rPr>
                <w:rFonts w:cs="Arial"/>
              </w:rPr>
              <w:t>, </w:t>
            </w:r>
            <w:r w:rsidRPr="001F3926">
              <w:rPr>
                <w:rFonts w:cs="Arial"/>
              </w:rPr>
              <w:t>93.0)</w:t>
            </w:r>
          </w:p>
        </w:tc>
        <w:tc>
          <w:tcPr>
            <w:tcW w:w="273" w:type="pct"/>
          </w:tcPr>
          <w:p w14:paraId="4CDECFAF" w14:textId="77777777" w:rsidR="007123C7" w:rsidRPr="001F3926" w:rsidRDefault="007123C7" w:rsidP="00E82294">
            <w:pPr>
              <w:pStyle w:val="TableText"/>
              <w:jc w:val="right"/>
            </w:pPr>
            <w:r w:rsidRPr="001F3926">
              <w:rPr>
                <w:rFonts w:cs="Arial"/>
              </w:rPr>
              <w:t>734</w:t>
            </w:r>
          </w:p>
        </w:tc>
        <w:tc>
          <w:tcPr>
            <w:tcW w:w="351" w:type="pct"/>
          </w:tcPr>
          <w:p w14:paraId="1AD24B5C" w14:textId="77777777" w:rsidR="007123C7" w:rsidRPr="001F3926" w:rsidRDefault="007123C7" w:rsidP="00E82294">
            <w:pPr>
              <w:pStyle w:val="TableText"/>
              <w:jc w:val="right"/>
            </w:pPr>
            <w:r w:rsidRPr="001F3926">
              <w:rPr>
                <w:rFonts w:cs="Arial"/>
              </w:rPr>
              <w:t>4380</w:t>
            </w:r>
          </w:p>
        </w:tc>
        <w:tc>
          <w:tcPr>
            <w:tcW w:w="380" w:type="pct"/>
          </w:tcPr>
          <w:p w14:paraId="10A1D9A6" w14:textId="77777777" w:rsidR="007123C7" w:rsidRPr="001F3926" w:rsidRDefault="007123C7" w:rsidP="00E82294">
            <w:pPr>
              <w:pStyle w:val="TableText"/>
              <w:jc w:val="right"/>
            </w:pPr>
            <w:r w:rsidRPr="001F3926">
              <w:rPr>
                <w:rFonts w:cs="Arial"/>
              </w:rPr>
              <w:t>9.2 (7.0</w:t>
            </w:r>
            <w:r w:rsidR="00BF4EFA" w:rsidRPr="001F3926">
              <w:rPr>
                <w:rFonts w:cs="Arial"/>
              </w:rPr>
              <w:t>, </w:t>
            </w:r>
            <w:r w:rsidRPr="001F3926">
              <w:rPr>
                <w:rFonts w:cs="Arial"/>
              </w:rPr>
              <w:t>12.0)</w:t>
            </w:r>
          </w:p>
        </w:tc>
      </w:tr>
    </w:tbl>
    <w:p w14:paraId="7E56190D" w14:textId="77777777" w:rsidR="007123C7" w:rsidRPr="000319AB" w:rsidRDefault="007123C7" w:rsidP="007123C7">
      <w:pPr>
        <w:pStyle w:val="TableNotes"/>
      </w:pPr>
      <w:r w:rsidRPr="000319AB">
        <w:t>Notes</w:t>
      </w:r>
    </w:p>
    <w:p w14:paraId="480BF797" w14:textId="77777777" w:rsidR="007123C7" w:rsidRPr="008A51EB" w:rsidRDefault="007123C7" w:rsidP="007123C7">
      <w:pPr>
        <w:pStyle w:val="TableNotes"/>
      </w:pPr>
      <w:r>
        <w:t>Denominator: Entire cohort.</w:t>
      </w:r>
    </w:p>
    <w:p w14:paraId="0E263D0A" w14:textId="77777777" w:rsidR="007123C7" w:rsidRPr="00C72931" w:rsidRDefault="007123C7" w:rsidP="007123C7">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6C0072A9" w14:textId="77777777" w:rsidR="007123C7" w:rsidRDefault="007123C7" w:rsidP="007123C7">
      <w:pPr>
        <w:pStyle w:val="TableNotes"/>
      </w:pPr>
      <w:r>
        <w:t>95%CI = 95% confidence interval.</w:t>
      </w:r>
      <w:r w:rsidRPr="008A51EB">
        <w:t xml:space="preserve"> </w:t>
      </w:r>
    </w:p>
    <w:p w14:paraId="683BA8EA" w14:textId="77777777" w:rsidR="007123C7" w:rsidRDefault="007123C7" w:rsidP="007123C7">
      <w:pPr>
        <w:sectPr w:rsidR="007123C7" w:rsidSect="00980AE4">
          <w:footerReference w:type="even" r:id="rId140"/>
          <w:footerReference w:type="default" r:id="rId141"/>
          <w:pgSz w:w="14170" w:h="9979" w:orient="landscape" w:code="243"/>
          <w:pgMar w:top="1872" w:right="1440" w:bottom="1152" w:left="1440" w:header="576" w:footer="576" w:gutter="0"/>
          <w:cols w:space="708"/>
          <w:docGrid w:linePitch="360"/>
        </w:sectPr>
      </w:pPr>
    </w:p>
    <w:p w14:paraId="53CC0C06" w14:textId="77777777" w:rsidR="007123C7" w:rsidRPr="008A51EB" w:rsidRDefault="007123C7" w:rsidP="007123C7">
      <w:pPr>
        <w:pStyle w:val="Heading3"/>
        <w:numPr>
          <w:ilvl w:val="2"/>
          <w:numId w:val="1"/>
        </w:numPr>
      </w:pPr>
      <w:bookmarkStart w:id="1080" w:name="_Toc518566451"/>
      <w:bookmarkStart w:id="1081" w:name="_Toc528932729"/>
      <w:bookmarkStart w:id="1082" w:name="_Toc531859266"/>
      <w:bookmarkStart w:id="1083" w:name="_Toc515374553"/>
      <w:r w:rsidRPr="008A51EB">
        <w:t xml:space="preserve">Probable disorder according to the presence or absence of </w:t>
      </w:r>
      <w:r>
        <w:t xml:space="preserve">self-reported mental health </w:t>
      </w:r>
      <w:r w:rsidRPr="008A51EB">
        <w:t>stigmas</w:t>
      </w:r>
      <w:bookmarkEnd w:id="1080"/>
      <w:bookmarkEnd w:id="1081"/>
      <w:bookmarkEnd w:id="1082"/>
      <w:r w:rsidRPr="008A51EB">
        <w:t xml:space="preserve"> </w:t>
      </w:r>
      <w:bookmarkEnd w:id="1083"/>
    </w:p>
    <w:p w14:paraId="55F6150D" w14:textId="77777777" w:rsidR="007123C7" w:rsidRDefault="007123C7" w:rsidP="007123C7">
      <w:r>
        <w:t xml:space="preserve">Table </w:t>
      </w:r>
      <w:r>
        <w:rPr>
          <w:noProof/>
        </w:rPr>
        <w:t>9</w:t>
      </w:r>
      <w:r>
        <w:t>.</w:t>
      </w:r>
      <w:r>
        <w:rPr>
          <w:noProof/>
        </w:rPr>
        <w:t>12</w:t>
      </w:r>
      <w:r>
        <w:t xml:space="preserve"> </w:t>
      </w:r>
      <w:r w:rsidRPr="00D111DE">
        <w:t xml:space="preserve">presents the estimated proportion of Transitioned ADF and 2015 Regular ADF </w:t>
      </w:r>
      <w:r>
        <w:t>who met</w:t>
      </w:r>
      <w:r w:rsidRPr="00D111DE">
        <w:t xml:space="preserve"> </w:t>
      </w:r>
      <w:r>
        <w:t xml:space="preserve">the </w:t>
      </w:r>
      <w:r w:rsidRPr="00D111DE">
        <w:t>criteria for a probable 30</w:t>
      </w:r>
      <w:r>
        <w:t>-</w:t>
      </w:r>
      <w:r w:rsidRPr="00D111DE">
        <w:t xml:space="preserve">day disorder on key mental health outcomes </w:t>
      </w:r>
      <w:r>
        <w:t>and</w:t>
      </w:r>
      <w:r w:rsidRPr="00D111DE">
        <w:t xml:space="preserve"> reported using other </w:t>
      </w:r>
      <w:r>
        <w:t xml:space="preserve">civilian mental health websites to inform/assess mental health </w:t>
      </w:r>
      <w:r w:rsidRPr="00D111DE">
        <w:t xml:space="preserve">according to the presence or absence of </w:t>
      </w:r>
      <w:r>
        <w:t>self-reported mental health stigma</w:t>
      </w:r>
      <w:r w:rsidRPr="00D111DE">
        <w:t>s.</w:t>
      </w:r>
    </w:p>
    <w:p w14:paraId="5C926984" w14:textId="77777777" w:rsidR="007123C7" w:rsidRPr="00D111DE" w:rsidRDefault="007123C7" w:rsidP="007123C7">
      <w:r>
        <w:t xml:space="preserve">Overall, there was no association between self-reported stigma and use of other civilian mental health websites to inform/assess mental health among Transitioned ADF and 2015 Regular ADF members with probable PTSD, anxiety/depression, depressive episodes, suicidality or generalised anxiety disorder. </w:t>
      </w:r>
    </w:p>
    <w:p w14:paraId="77E6C5F7" w14:textId="77777777" w:rsidR="007123C7" w:rsidRDefault="007123C7" w:rsidP="007123C7">
      <w:r w:rsidRPr="00CE40C3">
        <w:t>Among those with a probable alcohol disorder</w:t>
      </w:r>
      <w:r>
        <w:t>,</w:t>
      </w:r>
      <w:r w:rsidRPr="00CE40C3">
        <w:t xml:space="preserve"> however, a larger proportion of the 2015 Regular ADF with no stigmas reported using other </w:t>
      </w:r>
      <w:r>
        <w:t>civilian mental</w:t>
      </w:r>
      <w:r w:rsidRPr="00CE40C3">
        <w:t xml:space="preserve"> health websites to inform/assess mental health compared to 2015 Regular ADF with at least one stigma and Transitioned ADF with no stigma. </w:t>
      </w:r>
      <w:r>
        <w:t>Because of the</w:t>
      </w:r>
      <w:r w:rsidRPr="00CE40C3">
        <w:t xml:space="preserve"> small cell sizes, these percentages have not been reported.</w:t>
      </w:r>
      <w:r>
        <w:t xml:space="preserve"> </w:t>
      </w:r>
    </w:p>
    <w:p w14:paraId="6B458CD7" w14:textId="77777777" w:rsidR="007123C7" w:rsidRDefault="007123C7" w:rsidP="007123C7">
      <w:pPr>
        <w:pStyle w:val="Heading3"/>
        <w:numPr>
          <w:ilvl w:val="2"/>
          <w:numId w:val="1"/>
        </w:numPr>
      </w:pPr>
      <w:bookmarkStart w:id="1084" w:name="_Toc518566452"/>
      <w:bookmarkStart w:id="1085" w:name="_Toc528932730"/>
      <w:bookmarkStart w:id="1086" w:name="_Toc531859267"/>
      <w:r w:rsidRPr="00C72931">
        <w:t xml:space="preserve">Probable disorder according to the presence or absence of </w:t>
      </w:r>
      <w:r>
        <w:t xml:space="preserve">perceived </w:t>
      </w:r>
      <w:r w:rsidRPr="00C72931">
        <w:t>barriers to seeking care for a mental health condition</w:t>
      </w:r>
      <w:bookmarkEnd w:id="1084"/>
      <w:bookmarkEnd w:id="1085"/>
      <w:bookmarkEnd w:id="1086"/>
    </w:p>
    <w:p w14:paraId="6638F489" w14:textId="77777777" w:rsidR="007123C7" w:rsidRPr="00374073" w:rsidRDefault="007123C7" w:rsidP="007123C7">
      <w:r>
        <w:t xml:space="preserve">Table </w:t>
      </w:r>
      <w:r>
        <w:rPr>
          <w:noProof/>
        </w:rPr>
        <w:t>9</w:t>
      </w:r>
      <w:r>
        <w:t>.</w:t>
      </w:r>
      <w:r>
        <w:rPr>
          <w:noProof/>
        </w:rPr>
        <w:t>13</w:t>
      </w:r>
      <w:r>
        <w:t xml:space="preserve"> </w:t>
      </w:r>
      <w:r w:rsidRPr="00D111DE">
        <w:t xml:space="preserve">presents the estimated proportion of Transitioned ADF and 2015 Regular ADF </w:t>
      </w:r>
      <w:r>
        <w:t xml:space="preserve">who met the </w:t>
      </w:r>
      <w:r w:rsidRPr="00D111DE">
        <w:t>criteria for a probable 30</w:t>
      </w:r>
      <w:r>
        <w:t>-</w:t>
      </w:r>
      <w:r w:rsidRPr="00D111DE">
        <w:t>day disorde</w:t>
      </w:r>
      <w:r>
        <w:t>r on key mental health outcomes</w:t>
      </w:r>
      <w:r w:rsidRPr="00D111DE">
        <w:t xml:space="preserve"> </w:t>
      </w:r>
      <w:r>
        <w:t>and</w:t>
      </w:r>
      <w:r w:rsidRPr="00D111DE">
        <w:t xml:space="preserve"> reported using other </w:t>
      </w:r>
      <w:r>
        <w:t xml:space="preserve">civilian mental health websites to inform/assess mental health </w:t>
      </w:r>
      <w:r w:rsidRPr="00D111DE">
        <w:t>according to the presence or absence of perceived barriers</w:t>
      </w:r>
      <w:r>
        <w:t xml:space="preserve"> to care</w:t>
      </w:r>
      <w:r w:rsidRPr="00D111DE">
        <w:t>.</w:t>
      </w:r>
    </w:p>
    <w:p w14:paraId="320A2348" w14:textId="77777777" w:rsidR="007123C7" w:rsidRPr="00D111DE" w:rsidRDefault="007123C7" w:rsidP="007123C7">
      <w:r>
        <w:t xml:space="preserve">Overall, there was no association between perceived barriers to care and the use of other civilian mental health websites to inform/assess mental health among Transitioned ADF and 2015 Regular ADF members with probable PTSD, 12-month suicidal ideation and behaviour or generalised anxiety disorder. </w:t>
      </w:r>
    </w:p>
    <w:p w14:paraId="49F85021" w14:textId="77777777" w:rsidR="007123C7" w:rsidRPr="00D62855" w:rsidRDefault="007123C7" w:rsidP="007123C7">
      <w:r>
        <w:t>Among those</w:t>
      </w:r>
      <w:r w:rsidRPr="00D111DE">
        <w:t xml:space="preserve"> </w:t>
      </w:r>
      <w:r>
        <w:t>with probable anxiety/depression, Transitioned ADF with at least one barrier (28.8%) were more likely to use other civilian mental health websites to inform/assess their mental health compared to those with no perceived barriers to care (18.3%). This was the same pattern for those with a probable depressive episode among the 2015 Regular ADF, whereby those with at least one perceived barrier to care were more likely to use a civilian mental</w:t>
      </w:r>
      <w:r w:rsidRPr="00D62855">
        <w:t xml:space="preserve"> health website to inform/assess their mental health than those with no barriers. In contrast, those with a probable al</w:t>
      </w:r>
      <w:r>
        <w:t xml:space="preserve">cohol disorder and no barriers </w:t>
      </w:r>
      <w:r w:rsidRPr="00D62855">
        <w:t xml:space="preserve">were more likely to use a </w:t>
      </w:r>
      <w:r>
        <w:t>civilian mental</w:t>
      </w:r>
      <w:r w:rsidRPr="00D62855">
        <w:t xml:space="preserve"> health website to inform/assess their mental health than </w:t>
      </w:r>
      <w:r>
        <w:t xml:space="preserve">those with at least one barrier. Because of the small cell sizes, some percentages have not been reported. </w:t>
      </w:r>
    </w:p>
    <w:p w14:paraId="5626ED0F" w14:textId="77777777" w:rsidR="007123C7" w:rsidRDefault="007123C7" w:rsidP="007123C7"/>
    <w:p w14:paraId="2E6147F2" w14:textId="77777777" w:rsidR="007123C7" w:rsidRDefault="007123C7" w:rsidP="007123C7">
      <w:pPr>
        <w:sectPr w:rsidR="007123C7" w:rsidSect="00463E44">
          <w:footerReference w:type="even" r:id="rId142"/>
          <w:footerReference w:type="default" r:id="rId143"/>
          <w:pgSz w:w="9979" w:h="14170" w:code="243"/>
          <w:pgMar w:top="1440" w:right="1152" w:bottom="1440" w:left="1728" w:header="576" w:footer="576" w:gutter="0"/>
          <w:cols w:space="708"/>
          <w:docGrid w:linePitch="360"/>
        </w:sectPr>
      </w:pPr>
    </w:p>
    <w:p w14:paraId="6511CD2D" w14:textId="77777777" w:rsidR="007123C7" w:rsidRDefault="007123C7" w:rsidP="007123C7">
      <w:pPr>
        <w:pStyle w:val="TableName"/>
      </w:pPr>
      <w:bookmarkStart w:id="1087" w:name="_Toc531858042"/>
      <w:bookmarkStart w:id="1088" w:name="_Ref517427201"/>
      <w:bookmarkStart w:id="1089" w:name="_Toc509922914"/>
      <w:bookmarkStart w:id="1090" w:name="_Toc515374687"/>
      <w:bookmarkStart w:id="1091" w:name="_Toc528932363"/>
      <w:r>
        <w:t xml:space="preserve">Table </w:t>
      </w:r>
      <w:r>
        <w:rPr>
          <w:noProof/>
        </w:rPr>
        <w:t>9</w:t>
      </w:r>
      <w:r>
        <w:t>.</w:t>
      </w:r>
      <w:r>
        <w:rPr>
          <w:noProof/>
        </w:rPr>
        <w:t>12</w:t>
      </w:r>
      <w:r>
        <w:tab/>
        <w:t xml:space="preserve">Estimated proportion of Transitioned ADF and 2015 Regular ADF </w:t>
      </w:r>
      <w:r w:rsidRPr="000F78B9">
        <w:t xml:space="preserve">with a probable disorder who </w:t>
      </w:r>
      <w:r>
        <w:t>did</w:t>
      </w:r>
      <w:r w:rsidRPr="000F78B9">
        <w:t xml:space="preserve"> and </w:t>
      </w:r>
      <w:r>
        <w:t>did</w:t>
      </w:r>
      <w:r w:rsidRPr="000F78B9">
        <w:t xml:space="preserve"> not </w:t>
      </w:r>
      <w:r>
        <w:t>use other civilian mental health w</w:t>
      </w:r>
      <w:r w:rsidRPr="00294BD3">
        <w:t xml:space="preserve">ebsites </w:t>
      </w:r>
      <w:r>
        <w:t>broken down by</w:t>
      </w:r>
      <w:r w:rsidRPr="000F78B9">
        <w:t xml:space="preserve"> those with no stigma and those with at least one stigma</w:t>
      </w:r>
      <w:bookmarkEnd w:id="1087"/>
    </w:p>
    <w:bookmarkEnd w:id="1088"/>
    <w:bookmarkEnd w:id="1089"/>
    <w:bookmarkEnd w:id="1090"/>
    <w:bookmarkEnd w:id="1091"/>
    <w:tbl>
      <w:tblPr>
        <w:tblStyle w:val="TWRPTable"/>
        <w:tblW w:w="5000" w:type="pct"/>
        <w:tblLayout w:type="fixed"/>
        <w:tblCellMar>
          <w:left w:w="115" w:type="dxa"/>
          <w:right w:w="115" w:type="dxa"/>
        </w:tblCellMar>
        <w:tblLook w:val="0000" w:firstRow="0" w:lastRow="0" w:firstColumn="0" w:lastColumn="0" w:noHBand="0" w:noVBand="0"/>
        <w:tblDescription w:val="Table 9.12 Estimated proportion of Transitioned ADF and 2015 Regular ADF with a probable disorder who did and did not use other civilian mental health websites broken down by those with no stigma and those with at least one stigma"/>
      </w:tblPr>
      <w:tblGrid>
        <w:gridCol w:w="2391"/>
        <w:gridCol w:w="501"/>
        <w:gridCol w:w="807"/>
        <w:gridCol w:w="987"/>
        <w:gridCol w:w="442"/>
        <w:gridCol w:w="769"/>
        <w:gridCol w:w="987"/>
        <w:gridCol w:w="451"/>
        <w:gridCol w:w="760"/>
        <w:gridCol w:w="987"/>
        <w:gridCol w:w="460"/>
        <w:gridCol w:w="751"/>
        <w:gridCol w:w="987"/>
      </w:tblGrid>
      <w:tr w:rsidR="007123C7" w:rsidRPr="00510D84" w14:paraId="62064358" w14:textId="77777777" w:rsidTr="0047339C">
        <w:trPr>
          <w:cantSplit/>
          <w:tblHeader/>
        </w:trPr>
        <w:tc>
          <w:tcPr>
            <w:tcW w:w="2455" w:type="dxa"/>
            <w:tcBorders>
              <w:top w:val="single" w:sz="4" w:space="0" w:color="000000"/>
              <w:bottom w:val="nil"/>
            </w:tcBorders>
          </w:tcPr>
          <w:p w14:paraId="76F93560" w14:textId="77777777" w:rsidR="007123C7" w:rsidRPr="00510D84" w:rsidRDefault="007123C7" w:rsidP="00E82294">
            <w:pPr>
              <w:pStyle w:val="TableText"/>
              <w:rPr>
                <w:b/>
              </w:rPr>
            </w:pPr>
          </w:p>
        </w:tc>
        <w:tc>
          <w:tcPr>
            <w:tcW w:w="4583" w:type="dxa"/>
            <w:gridSpan w:val="6"/>
            <w:tcBorders>
              <w:top w:val="single" w:sz="4" w:space="0" w:color="000000"/>
              <w:bottom w:val="single" w:sz="4" w:space="0" w:color="000000"/>
            </w:tcBorders>
          </w:tcPr>
          <w:p w14:paraId="518191A5" w14:textId="77777777" w:rsidR="007123C7" w:rsidRPr="00051314" w:rsidRDefault="007123C7" w:rsidP="00E82294">
            <w:pPr>
              <w:pStyle w:val="TableText"/>
              <w:jc w:val="center"/>
              <w:rPr>
                <w:b/>
                <w:bCs/>
              </w:rPr>
            </w:pPr>
            <w:r w:rsidRPr="00510D84">
              <w:rPr>
                <w:b/>
                <w:bCs/>
              </w:rPr>
              <w:t>Transitioned ADF</w:t>
            </w:r>
          </w:p>
        </w:tc>
        <w:tc>
          <w:tcPr>
            <w:tcW w:w="4482" w:type="dxa"/>
            <w:gridSpan w:val="6"/>
            <w:tcBorders>
              <w:top w:val="single" w:sz="4" w:space="0" w:color="000000"/>
              <w:bottom w:val="single" w:sz="4" w:space="0" w:color="000000"/>
            </w:tcBorders>
          </w:tcPr>
          <w:p w14:paraId="72BD44D3" w14:textId="77777777" w:rsidR="007123C7" w:rsidRPr="00051314" w:rsidRDefault="007123C7" w:rsidP="00E82294">
            <w:pPr>
              <w:pStyle w:val="TableText"/>
              <w:jc w:val="center"/>
              <w:rPr>
                <w:b/>
                <w:bCs/>
              </w:rPr>
            </w:pPr>
            <w:r w:rsidRPr="00510D84">
              <w:rPr>
                <w:b/>
                <w:bCs/>
              </w:rPr>
              <w:t>2015 Regular ADF</w:t>
            </w:r>
          </w:p>
        </w:tc>
      </w:tr>
      <w:tr w:rsidR="007123C7" w:rsidRPr="00510D84" w14:paraId="6BC2AFA8" w14:textId="77777777" w:rsidTr="0047339C">
        <w:trPr>
          <w:cantSplit/>
          <w:tblHeader/>
        </w:trPr>
        <w:tc>
          <w:tcPr>
            <w:tcW w:w="2455" w:type="dxa"/>
            <w:tcBorders>
              <w:top w:val="nil"/>
              <w:bottom w:val="nil"/>
            </w:tcBorders>
          </w:tcPr>
          <w:p w14:paraId="25526801" w14:textId="77777777" w:rsidR="007123C7" w:rsidRPr="00510D84" w:rsidRDefault="007123C7" w:rsidP="00E82294">
            <w:pPr>
              <w:pStyle w:val="TableText"/>
              <w:rPr>
                <w:b/>
              </w:rPr>
            </w:pPr>
          </w:p>
        </w:tc>
        <w:tc>
          <w:tcPr>
            <w:tcW w:w="2342" w:type="dxa"/>
            <w:gridSpan w:val="3"/>
            <w:tcBorders>
              <w:top w:val="single" w:sz="4" w:space="0" w:color="000000"/>
              <w:bottom w:val="single" w:sz="4" w:space="0" w:color="000000"/>
            </w:tcBorders>
          </w:tcPr>
          <w:p w14:paraId="656CAA74" w14:textId="77777777" w:rsidR="007123C7" w:rsidRPr="00510D84" w:rsidRDefault="007123C7" w:rsidP="00E82294">
            <w:pPr>
              <w:pStyle w:val="TableText"/>
              <w:jc w:val="center"/>
              <w:rPr>
                <w:b/>
              </w:rPr>
            </w:pPr>
            <w:r>
              <w:rPr>
                <w:b/>
              </w:rPr>
              <w:t>No stigma</w:t>
            </w:r>
          </w:p>
        </w:tc>
        <w:tc>
          <w:tcPr>
            <w:tcW w:w="2241" w:type="dxa"/>
            <w:gridSpan w:val="3"/>
            <w:tcBorders>
              <w:top w:val="single" w:sz="4" w:space="0" w:color="000000"/>
              <w:bottom w:val="single" w:sz="4" w:space="0" w:color="000000"/>
            </w:tcBorders>
          </w:tcPr>
          <w:p w14:paraId="14D417E8" w14:textId="77777777" w:rsidR="007123C7" w:rsidRPr="00510D84" w:rsidRDefault="007123C7" w:rsidP="00E82294">
            <w:pPr>
              <w:pStyle w:val="TableText"/>
              <w:jc w:val="center"/>
              <w:rPr>
                <w:b/>
              </w:rPr>
            </w:pPr>
            <w:r w:rsidRPr="00510D84">
              <w:rPr>
                <w:b/>
              </w:rPr>
              <w:t xml:space="preserve">At least one </w:t>
            </w:r>
            <w:r>
              <w:rPr>
                <w:b/>
              </w:rPr>
              <w:t>s</w:t>
            </w:r>
            <w:r w:rsidRPr="00510D84">
              <w:rPr>
                <w:b/>
              </w:rPr>
              <w:t>tigma</w:t>
            </w:r>
          </w:p>
        </w:tc>
        <w:tc>
          <w:tcPr>
            <w:tcW w:w="2241" w:type="dxa"/>
            <w:gridSpan w:val="3"/>
            <w:tcBorders>
              <w:top w:val="single" w:sz="4" w:space="0" w:color="000000"/>
              <w:bottom w:val="single" w:sz="4" w:space="0" w:color="000000"/>
            </w:tcBorders>
          </w:tcPr>
          <w:p w14:paraId="27A5EB1C" w14:textId="77777777" w:rsidR="007123C7" w:rsidRPr="00510D84" w:rsidRDefault="007123C7" w:rsidP="00E82294">
            <w:pPr>
              <w:pStyle w:val="TableText"/>
              <w:jc w:val="center"/>
              <w:rPr>
                <w:b/>
              </w:rPr>
            </w:pPr>
            <w:r>
              <w:rPr>
                <w:b/>
              </w:rPr>
              <w:t>No stigma</w:t>
            </w:r>
          </w:p>
        </w:tc>
        <w:tc>
          <w:tcPr>
            <w:tcW w:w="2241" w:type="dxa"/>
            <w:gridSpan w:val="3"/>
            <w:tcBorders>
              <w:top w:val="single" w:sz="4" w:space="0" w:color="000000"/>
              <w:bottom w:val="single" w:sz="4" w:space="0" w:color="000000"/>
            </w:tcBorders>
          </w:tcPr>
          <w:p w14:paraId="2339641F" w14:textId="77777777" w:rsidR="007123C7" w:rsidRPr="00510D84" w:rsidRDefault="007123C7" w:rsidP="00E82294">
            <w:pPr>
              <w:pStyle w:val="TableText"/>
              <w:jc w:val="center"/>
              <w:rPr>
                <w:b/>
              </w:rPr>
            </w:pPr>
            <w:r>
              <w:rPr>
                <w:b/>
              </w:rPr>
              <w:t>At least one stigma</w:t>
            </w:r>
          </w:p>
        </w:tc>
      </w:tr>
      <w:tr w:rsidR="0047339C" w:rsidRPr="00510D84" w14:paraId="4F145C99" w14:textId="77777777" w:rsidTr="0047339C">
        <w:trPr>
          <w:cantSplit/>
          <w:tblHeader/>
        </w:trPr>
        <w:tc>
          <w:tcPr>
            <w:tcW w:w="2455" w:type="dxa"/>
            <w:tcBorders>
              <w:top w:val="nil"/>
              <w:bottom w:val="single" w:sz="4" w:space="0" w:color="000000"/>
            </w:tcBorders>
          </w:tcPr>
          <w:p w14:paraId="26D9BB4A" w14:textId="77777777" w:rsidR="007123C7" w:rsidRPr="00510D84" w:rsidRDefault="007123C7" w:rsidP="00E82294">
            <w:pPr>
              <w:pStyle w:val="TableText"/>
              <w:rPr>
                <w:b/>
              </w:rPr>
            </w:pPr>
          </w:p>
        </w:tc>
        <w:tc>
          <w:tcPr>
            <w:tcW w:w="509" w:type="dxa"/>
            <w:tcBorders>
              <w:top w:val="single" w:sz="4" w:space="0" w:color="000000"/>
              <w:bottom w:val="single" w:sz="4" w:space="0" w:color="000000"/>
            </w:tcBorders>
            <w:vAlign w:val="bottom"/>
          </w:tcPr>
          <w:p w14:paraId="09F2D815" w14:textId="77777777" w:rsidR="007123C7" w:rsidRPr="00510D84" w:rsidRDefault="007123C7" w:rsidP="0047339C">
            <w:pPr>
              <w:pStyle w:val="TableText"/>
              <w:jc w:val="right"/>
              <w:rPr>
                <w:b/>
              </w:rPr>
            </w:pPr>
            <w:r w:rsidRPr="00510D84">
              <w:rPr>
                <w:b/>
              </w:rPr>
              <w:t>n</w:t>
            </w:r>
          </w:p>
        </w:tc>
        <w:tc>
          <w:tcPr>
            <w:tcW w:w="824" w:type="dxa"/>
            <w:tcBorders>
              <w:top w:val="single" w:sz="4" w:space="0" w:color="000000"/>
              <w:bottom w:val="single" w:sz="4" w:space="0" w:color="000000"/>
            </w:tcBorders>
            <w:vAlign w:val="bottom"/>
          </w:tcPr>
          <w:p w14:paraId="44585B12" w14:textId="77777777" w:rsidR="007123C7" w:rsidRPr="00510D84" w:rsidRDefault="007123C7" w:rsidP="0047339C">
            <w:pPr>
              <w:pStyle w:val="TableText"/>
              <w:jc w:val="right"/>
              <w:rPr>
                <w:b/>
              </w:rPr>
            </w:pPr>
            <w:r w:rsidRPr="00510D84">
              <w:rPr>
                <w:b/>
              </w:rPr>
              <w:t>Weighted n</w:t>
            </w:r>
          </w:p>
        </w:tc>
        <w:tc>
          <w:tcPr>
            <w:tcW w:w="1009" w:type="dxa"/>
            <w:tcBorders>
              <w:top w:val="single" w:sz="4" w:space="0" w:color="000000"/>
              <w:bottom w:val="single" w:sz="4" w:space="0" w:color="000000"/>
            </w:tcBorders>
            <w:vAlign w:val="bottom"/>
          </w:tcPr>
          <w:p w14:paraId="0CAA9949" w14:textId="77777777" w:rsidR="007123C7" w:rsidRPr="00510D84" w:rsidRDefault="007123C7" w:rsidP="0047339C">
            <w:pPr>
              <w:pStyle w:val="TableText"/>
              <w:jc w:val="right"/>
              <w:rPr>
                <w:b/>
              </w:rPr>
            </w:pPr>
            <w:r w:rsidRPr="00510D84">
              <w:rPr>
                <w:b/>
              </w:rPr>
              <w:t>% (95%CI)</w:t>
            </w:r>
          </w:p>
        </w:tc>
        <w:tc>
          <w:tcPr>
            <w:tcW w:w="448" w:type="dxa"/>
            <w:tcBorders>
              <w:top w:val="single" w:sz="4" w:space="0" w:color="000000"/>
              <w:bottom w:val="single" w:sz="4" w:space="0" w:color="000000"/>
            </w:tcBorders>
            <w:vAlign w:val="bottom"/>
          </w:tcPr>
          <w:p w14:paraId="07C72D89" w14:textId="77777777" w:rsidR="007123C7" w:rsidRPr="00510D84" w:rsidRDefault="007123C7" w:rsidP="0047339C">
            <w:pPr>
              <w:pStyle w:val="TableText"/>
              <w:jc w:val="right"/>
              <w:rPr>
                <w:b/>
              </w:rPr>
            </w:pPr>
            <w:r w:rsidRPr="00510D84">
              <w:rPr>
                <w:b/>
              </w:rPr>
              <w:t>n</w:t>
            </w:r>
          </w:p>
        </w:tc>
        <w:tc>
          <w:tcPr>
            <w:tcW w:w="784" w:type="dxa"/>
            <w:tcBorders>
              <w:top w:val="single" w:sz="4" w:space="0" w:color="000000"/>
              <w:bottom w:val="single" w:sz="4" w:space="0" w:color="000000"/>
            </w:tcBorders>
            <w:vAlign w:val="bottom"/>
          </w:tcPr>
          <w:p w14:paraId="7F2A9418" w14:textId="77777777" w:rsidR="007123C7" w:rsidRPr="00510D84" w:rsidRDefault="007123C7" w:rsidP="0047339C">
            <w:pPr>
              <w:pStyle w:val="TableText"/>
              <w:jc w:val="right"/>
              <w:rPr>
                <w:b/>
              </w:rPr>
            </w:pPr>
            <w:r w:rsidRPr="00510D84">
              <w:rPr>
                <w:b/>
              </w:rPr>
              <w:t>Weighted n</w:t>
            </w:r>
          </w:p>
        </w:tc>
        <w:tc>
          <w:tcPr>
            <w:tcW w:w="1009" w:type="dxa"/>
            <w:tcBorders>
              <w:top w:val="single" w:sz="4" w:space="0" w:color="000000"/>
              <w:bottom w:val="single" w:sz="4" w:space="0" w:color="000000"/>
            </w:tcBorders>
            <w:vAlign w:val="bottom"/>
          </w:tcPr>
          <w:p w14:paraId="1F8046D2" w14:textId="77777777" w:rsidR="007123C7" w:rsidRPr="00510D84" w:rsidRDefault="007123C7" w:rsidP="0047339C">
            <w:pPr>
              <w:pStyle w:val="TableText"/>
              <w:jc w:val="right"/>
              <w:rPr>
                <w:b/>
              </w:rPr>
            </w:pPr>
            <w:r w:rsidRPr="00510D84">
              <w:rPr>
                <w:b/>
              </w:rPr>
              <w:t>% (95%CI)</w:t>
            </w:r>
          </w:p>
        </w:tc>
        <w:tc>
          <w:tcPr>
            <w:tcW w:w="457" w:type="dxa"/>
            <w:tcBorders>
              <w:top w:val="single" w:sz="4" w:space="0" w:color="000000"/>
              <w:bottom w:val="single" w:sz="4" w:space="0" w:color="000000"/>
            </w:tcBorders>
            <w:vAlign w:val="bottom"/>
          </w:tcPr>
          <w:p w14:paraId="1729A18F" w14:textId="77777777" w:rsidR="007123C7" w:rsidRPr="00510D84" w:rsidRDefault="007123C7" w:rsidP="0047339C">
            <w:pPr>
              <w:pStyle w:val="TableText"/>
              <w:jc w:val="right"/>
              <w:rPr>
                <w:b/>
              </w:rPr>
            </w:pPr>
            <w:r w:rsidRPr="00510D84">
              <w:rPr>
                <w:b/>
              </w:rPr>
              <w:t>n</w:t>
            </w:r>
          </w:p>
        </w:tc>
        <w:tc>
          <w:tcPr>
            <w:tcW w:w="775" w:type="dxa"/>
            <w:tcBorders>
              <w:top w:val="single" w:sz="4" w:space="0" w:color="000000"/>
              <w:bottom w:val="single" w:sz="4" w:space="0" w:color="000000"/>
            </w:tcBorders>
            <w:vAlign w:val="bottom"/>
          </w:tcPr>
          <w:p w14:paraId="3327B86D" w14:textId="77777777" w:rsidR="007123C7" w:rsidRPr="00510D84" w:rsidRDefault="007123C7" w:rsidP="0047339C">
            <w:pPr>
              <w:pStyle w:val="TableText"/>
              <w:jc w:val="right"/>
              <w:rPr>
                <w:b/>
              </w:rPr>
            </w:pPr>
            <w:r w:rsidRPr="00510D84">
              <w:rPr>
                <w:b/>
              </w:rPr>
              <w:t>Weighted n</w:t>
            </w:r>
          </w:p>
        </w:tc>
        <w:tc>
          <w:tcPr>
            <w:tcW w:w="1009" w:type="dxa"/>
            <w:tcBorders>
              <w:top w:val="single" w:sz="4" w:space="0" w:color="000000"/>
              <w:bottom w:val="single" w:sz="4" w:space="0" w:color="000000"/>
            </w:tcBorders>
            <w:vAlign w:val="bottom"/>
          </w:tcPr>
          <w:p w14:paraId="15DB0065" w14:textId="77777777" w:rsidR="007123C7" w:rsidRPr="00510D84" w:rsidRDefault="007123C7" w:rsidP="0047339C">
            <w:pPr>
              <w:pStyle w:val="TableText"/>
              <w:jc w:val="right"/>
              <w:rPr>
                <w:b/>
              </w:rPr>
            </w:pPr>
            <w:r w:rsidRPr="00510D84">
              <w:rPr>
                <w:b/>
              </w:rPr>
              <w:t>% (95%CI)</w:t>
            </w:r>
          </w:p>
        </w:tc>
        <w:tc>
          <w:tcPr>
            <w:tcW w:w="466" w:type="dxa"/>
            <w:tcBorders>
              <w:top w:val="single" w:sz="4" w:space="0" w:color="000000"/>
              <w:bottom w:val="single" w:sz="4" w:space="0" w:color="000000"/>
            </w:tcBorders>
            <w:vAlign w:val="bottom"/>
          </w:tcPr>
          <w:p w14:paraId="0DAAF185" w14:textId="77777777" w:rsidR="007123C7" w:rsidRPr="00510D84" w:rsidRDefault="007123C7" w:rsidP="0047339C">
            <w:pPr>
              <w:pStyle w:val="TableText"/>
              <w:jc w:val="right"/>
              <w:rPr>
                <w:b/>
              </w:rPr>
            </w:pPr>
            <w:r w:rsidRPr="00510D84">
              <w:rPr>
                <w:b/>
              </w:rPr>
              <w:t>n</w:t>
            </w:r>
          </w:p>
        </w:tc>
        <w:tc>
          <w:tcPr>
            <w:tcW w:w="766" w:type="dxa"/>
            <w:tcBorders>
              <w:top w:val="single" w:sz="4" w:space="0" w:color="000000"/>
              <w:bottom w:val="single" w:sz="4" w:space="0" w:color="000000"/>
            </w:tcBorders>
            <w:vAlign w:val="bottom"/>
          </w:tcPr>
          <w:p w14:paraId="72003216" w14:textId="77777777" w:rsidR="007123C7" w:rsidRPr="00510D84" w:rsidRDefault="007123C7" w:rsidP="0047339C">
            <w:pPr>
              <w:pStyle w:val="TableText"/>
              <w:jc w:val="right"/>
              <w:rPr>
                <w:b/>
              </w:rPr>
            </w:pPr>
            <w:r w:rsidRPr="00510D84">
              <w:rPr>
                <w:b/>
              </w:rPr>
              <w:t>Weighted n</w:t>
            </w:r>
          </w:p>
        </w:tc>
        <w:tc>
          <w:tcPr>
            <w:tcW w:w="1009" w:type="dxa"/>
            <w:tcBorders>
              <w:top w:val="single" w:sz="4" w:space="0" w:color="000000"/>
              <w:bottom w:val="single" w:sz="4" w:space="0" w:color="000000"/>
            </w:tcBorders>
            <w:vAlign w:val="bottom"/>
          </w:tcPr>
          <w:p w14:paraId="0C8E6DBB" w14:textId="77777777" w:rsidR="007123C7" w:rsidRPr="00510D84" w:rsidRDefault="007123C7" w:rsidP="0047339C">
            <w:pPr>
              <w:pStyle w:val="TableText"/>
              <w:jc w:val="right"/>
              <w:rPr>
                <w:b/>
              </w:rPr>
            </w:pPr>
            <w:r w:rsidRPr="00510D84">
              <w:rPr>
                <w:b/>
              </w:rPr>
              <w:t>% (95%CI)</w:t>
            </w:r>
          </w:p>
        </w:tc>
      </w:tr>
      <w:tr w:rsidR="007123C7" w:rsidRPr="000F78B9" w14:paraId="47577981"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single" w:sz="4" w:space="0" w:color="000000"/>
            </w:tcBorders>
          </w:tcPr>
          <w:p w14:paraId="5B31463A" w14:textId="77777777" w:rsidR="007123C7" w:rsidRPr="0016418B" w:rsidRDefault="007123C7" w:rsidP="00E82294">
            <w:pPr>
              <w:pStyle w:val="TableText"/>
              <w:rPr>
                <w:b/>
              </w:rPr>
            </w:pPr>
            <w:r w:rsidRPr="0016418B">
              <w:rPr>
                <w:b/>
              </w:rPr>
              <w:t>Posttraumatic stress disorder (PCL-C)</w:t>
            </w:r>
          </w:p>
        </w:tc>
        <w:tc>
          <w:tcPr>
            <w:tcW w:w="2342" w:type="dxa"/>
            <w:gridSpan w:val="3"/>
            <w:tcBorders>
              <w:top w:val="single" w:sz="4" w:space="0" w:color="000000"/>
            </w:tcBorders>
          </w:tcPr>
          <w:p w14:paraId="0C600773" w14:textId="77777777" w:rsidR="007123C7" w:rsidRPr="006C12DD" w:rsidRDefault="007123C7" w:rsidP="00E82294">
            <w:pPr>
              <w:pStyle w:val="TableText"/>
              <w:jc w:val="center"/>
              <w:rPr>
                <w:highlight w:val="magenta"/>
              </w:rPr>
            </w:pPr>
            <w:r>
              <w:t>n</w:t>
            </w:r>
            <w:r w:rsidRPr="000F78B9">
              <w:t>=</w:t>
            </w:r>
            <w:r>
              <w:t>69</w:t>
            </w:r>
            <w:r w:rsidRPr="000F78B9">
              <w:t xml:space="preserve"> (Weighted</w:t>
            </w:r>
            <w:r>
              <w:t xml:space="preserve"> n</w:t>
            </w:r>
            <w:r w:rsidRPr="000F78B9">
              <w:t>=</w:t>
            </w:r>
            <w:r>
              <w:t>438</w:t>
            </w:r>
            <w:r w:rsidRPr="000F78B9">
              <w:t>)</w:t>
            </w:r>
          </w:p>
        </w:tc>
        <w:tc>
          <w:tcPr>
            <w:tcW w:w="2241" w:type="dxa"/>
            <w:gridSpan w:val="3"/>
            <w:tcBorders>
              <w:top w:val="single" w:sz="4" w:space="0" w:color="000000"/>
            </w:tcBorders>
          </w:tcPr>
          <w:p w14:paraId="5B0A7B3A" w14:textId="77777777" w:rsidR="007123C7" w:rsidRPr="006C12DD" w:rsidRDefault="007123C7" w:rsidP="00E82294">
            <w:pPr>
              <w:pStyle w:val="TableText"/>
              <w:jc w:val="center"/>
              <w:rPr>
                <w:highlight w:val="magenta"/>
              </w:rPr>
            </w:pPr>
            <w:r>
              <w:t>n=441</w:t>
            </w:r>
            <w:r w:rsidRPr="000F78B9">
              <w:t xml:space="preserve"> (Weighted </w:t>
            </w:r>
            <w:r>
              <w:t>n</w:t>
            </w:r>
            <w:r w:rsidRPr="000F78B9">
              <w:t>=</w:t>
            </w:r>
            <w:r>
              <w:t>2811</w:t>
            </w:r>
            <w:r w:rsidRPr="000F78B9">
              <w:t>)</w:t>
            </w:r>
          </w:p>
        </w:tc>
        <w:tc>
          <w:tcPr>
            <w:tcW w:w="2241" w:type="dxa"/>
            <w:gridSpan w:val="3"/>
            <w:tcBorders>
              <w:top w:val="single" w:sz="4" w:space="0" w:color="000000"/>
            </w:tcBorders>
          </w:tcPr>
          <w:p w14:paraId="3C263F9B" w14:textId="77777777" w:rsidR="007123C7" w:rsidRPr="000F78B9" w:rsidRDefault="007123C7" w:rsidP="00E82294">
            <w:pPr>
              <w:pStyle w:val="TableText"/>
              <w:jc w:val="center"/>
            </w:pPr>
            <w:r>
              <w:t>n</w:t>
            </w:r>
            <w:r w:rsidRPr="000F78B9">
              <w:t>=</w:t>
            </w:r>
            <w:r>
              <w:t>25</w:t>
            </w:r>
            <w:r w:rsidRPr="000F78B9">
              <w:t xml:space="preserve"> (Weighted</w:t>
            </w:r>
            <w:r>
              <w:t xml:space="preserve"> n</w:t>
            </w:r>
            <w:r w:rsidRPr="000F78B9">
              <w:t>=</w:t>
            </w:r>
            <w:r>
              <w:t>114</w:t>
            </w:r>
            <w:r w:rsidRPr="000F78B9">
              <w:t>)</w:t>
            </w:r>
          </w:p>
        </w:tc>
        <w:tc>
          <w:tcPr>
            <w:tcW w:w="2241" w:type="dxa"/>
            <w:gridSpan w:val="3"/>
            <w:tcBorders>
              <w:top w:val="single" w:sz="4" w:space="0" w:color="000000"/>
            </w:tcBorders>
          </w:tcPr>
          <w:p w14:paraId="2262E77D" w14:textId="77777777" w:rsidR="007123C7" w:rsidRPr="000F78B9" w:rsidRDefault="007123C7" w:rsidP="00E82294">
            <w:pPr>
              <w:pStyle w:val="TableText"/>
              <w:jc w:val="center"/>
            </w:pPr>
            <w:r>
              <w:t>n</w:t>
            </w:r>
            <w:r w:rsidRPr="000F78B9">
              <w:t>=</w:t>
            </w:r>
            <w:r>
              <w:t xml:space="preserve">204 </w:t>
            </w:r>
            <w:r w:rsidRPr="000F78B9">
              <w:t xml:space="preserve">(Weighted </w:t>
            </w:r>
            <w:r>
              <w:t>n</w:t>
            </w:r>
            <w:r w:rsidRPr="000F78B9">
              <w:t>=</w:t>
            </w:r>
            <w:r>
              <w:t>1336</w:t>
            </w:r>
            <w:r w:rsidRPr="000F78B9">
              <w:t>)</w:t>
            </w:r>
          </w:p>
        </w:tc>
      </w:tr>
      <w:tr w:rsidR="0047339C" w:rsidRPr="00510D84" w14:paraId="39DE85D5" w14:textId="77777777" w:rsidTr="0047339C">
        <w:trPr>
          <w:cantSplit/>
        </w:trPr>
        <w:tc>
          <w:tcPr>
            <w:tcW w:w="2455" w:type="dxa"/>
          </w:tcPr>
          <w:p w14:paraId="01DD3491" w14:textId="77777777" w:rsidR="007123C7" w:rsidRPr="00510D84" w:rsidRDefault="007123C7" w:rsidP="00E82294">
            <w:pPr>
              <w:pStyle w:val="TableText"/>
            </w:pPr>
            <w:r w:rsidRPr="00510D84">
              <w:t xml:space="preserve">Used other websites </w:t>
            </w:r>
          </w:p>
        </w:tc>
        <w:tc>
          <w:tcPr>
            <w:tcW w:w="509" w:type="dxa"/>
          </w:tcPr>
          <w:p w14:paraId="1E3644F7" w14:textId="77777777" w:rsidR="007123C7" w:rsidRPr="00510D84" w:rsidRDefault="007123C7" w:rsidP="00E82294">
            <w:pPr>
              <w:pStyle w:val="TableText"/>
              <w:jc w:val="right"/>
            </w:pPr>
            <w:r w:rsidRPr="00510D84">
              <w:t>15</w:t>
            </w:r>
          </w:p>
        </w:tc>
        <w:tc>
          <w:tcPr>
            <w:tcW w:w="824" w:type="dxa"/>
          </w:tcPr>
          <w:p w14:paraId="23008A9B" w14:textId="77777777" w:rsidR="007123C7" w:rsidRPr="00510D84" w:rsidRDefault="007123C7" w:rsidP="00E82294">
            <w:pPr>
              <w:pStyle w:val="TableText"/>
              <w:jc w:val="right"/>
            </w:pPr>
            <w:r w:rsidRPr="00510D84">
              <w:t>85</w:t>
            </w:r>
          </w:p>
        </w:tc>
        <w:tc>
          <w:tcPr>
            <w:tcW w:w="1009" w:type="dxa"/>
          </w:tcPr>
          <w:p w14:paraId="66D222BD" w14:textId="77777777" w:rsidR="007123C7" w:rsidRPr="00510D84" w:rsidRDefault="007123C7" w:rsidP="00E82294">
            <w:pPr>
              <w:pStyle w:val="TableText"/>
              <w:jc w:val="right"/>
            </w:pPr>
            <w:r w:rsidRPr="00510D84">
              <w:t>19.5 (10.8</w:t>
            </w:r>
            <w:r w:rsidR="0047339C">
              <w:t>, </w:t>
            </w:r>
            <w:r w:rsidRPr="00510D84">
              <w:t>32.5)</w:t>
            </w:r>
          </w:p>
        </w:tc>
        <w:tc>
          <w:tcPr>
            <w:tcW w:w="448" w:type="dxa"/>
          </w:tcPr>
          <w:p w14:paraId="268BA2F9" w14:textId="77777777" w:rsidR="007123C7" w:rsidRPr="00510D84" w:rsidRDefault="007123C7" w:rsidP="00E82294">
            <w:pPr>
              <w:pStyle w:val="TableText"/>
              <w:jc w:val="right"/>
            </w:pPr>
            <w:r w:rsidRPr="00510D84">
              <w:t>138</w:t>
            </w:r>
          </w:p>
        </w:tc>
        <w:tc>
          <w:tcPr>
            <w:tcW w:w="784" w:type="dxa"/>
          </w:tcPr>
          <w:p w14:paraId="55F7FD07" w14:textId="77777777" w:rsidR="007123C7" w:rsidRPr="00510D84" w:rsidRDefault="007123C7" w:rsidP="00E82294">
            <w:pPr>
              <w:pStyle w:val="TableText"/>
              <w:jc w:val="right"/>
            </w:pPr>
            <w:r w:rsidRPr="00510D84">
              <w:t>875</w:t>
            </w:r>
          </w:p>
        </w:tc>
        <w:tc>
          <w:tcPr>
            <w:tcW w:w="1009" w:type="dxa"/>
          </w:tcPr>
          <w:p w14:paraId="25B2D5D4" w14:textId="77777777" w:rsidR="007123C7" w:rsidRPr="00510D84" w:rsidRDefault="007123C7" w:rsidP="00E82294">
            <w:pPr>
              <w:pStyle w:val="TableText"/>
              <w:jc w:val="right"/>
            </w:pPr>
            <w:r w:rsidRPr="00510D84">
              <w:t>31.1 (26.1</w:t>
            </w:r>
            <w:r w:rsidR="0047339C">
              <w:t>, </w:t>
            </w:r>
            <w:r w:rsidRPr="00510D84">
              <w:t>36.7)</w:t>
            </w:r>
          </w:p>
        </w:tc>
        <w:tc>
          <w:tcPr>
            <w:tcW w:w="457" w:type="dxa"/>
          </w:tcPr>
          <w:p w14:paraId="58C1E926" w14:textId="77777777" w:rsidR="007123C7" w:rsidRPr="00510D84" w:rsidRDefault="007123C7" w:rsidP="00E82294">
            <w:pPr>
              <w:pStyle w:val="TableText"/>
              <w:jc w:val="right"/>
            </w:pPr>
            <w:r w:rsidRPr="00E603D7">
              <w:t>#</w:t>
            </w:r>
          </w:p>
        </w:tc>
        <w:tc>
          <w:tcPr>
            <w:tcW w:w="775" w:type="dxa"/>
          </w:tcPr>
          <w:p w14:paraId="221A4D6B" w14:textId="77777777" w:rsidR="007123C7" w:rsidRPr="00510D84" w:rsidRDefault="007123C7" w:rsidP="00E82294">
            <w:pPr>
              <w:pStyle w:val="TableText"/>
              <w:jc w:val="right"/>
            </w:pPr>
            <w:r>
              <w:t>–</w:t>
            </w:r>
          </w:p>
        </w:tc>
        <w:tc>
          <w:tcPr>
            <w:tcW w:w="1009" w:type="dxa"/>
          </w:tcPr>
          <w:p w14:paraId="6618C9F3" w14:textId="77777777" w:rsidR="007123C7" w:rsidRPr="00510D84" w:rsidRDefault="007123C7" w:rsidP="00E82294">
            <w:pPr>
              <w:pStyle w:val="TableText"/>
              <w:jc w:val="right"/>
            </w:pPr>
            <w:r>
              <w:t>–</w:t>
            </w:r>
          </w:p>
        </w:tc>
        <w:tc>
          <w:tcPr>
            <w:tcW w:w="466" w:type="dxa"/>
          </w:tcPr>
          <w:p w14:paraId="60086570" w14:textId="77777777" w:rsidR="007123C7" w:rsidRPr="00510D84" w:rsidRDefault="007123C7" w:rsidP="00E82294">
            <w:pPr>
              <w:pStyle w:val="TableText"/>
              <w:jc w:val="right"/>
            </w:pPr>
            <w:r w:rsidRPr="00510D84">
              <w:t>64</w:t>
            </w:r>
          </w:p>
        </w:tc>
        <w:tc>
          <w:tcPr>
            <w:tcW w:w="766" w:type="dxa"/>
          </w:tcPr>
          <w:p w14:paraId="3D2864B0" w14:textId="77777777" w:rsidR="007123C7" w:rsidRPr="00510D84" w:rsidRDefault="007123C7" w:rsidP="00E82294">
            <w:pPr>
              <w:pStyle w:val="TableText"/>
              <w:jc w:val="right"/>
            </w:pPr>
            <w:r w:rsidRPr="00510D84">
              <w:t>253</w:t>
            </w:r>
          </w:p>
        </w:tc>
        <w:tc>
          <w:tcPr>
            <w:tcW w:w="1009" w:type="dxa"/>
          </w:tcPr>
          <w:p w14:paraId="51AB7619" w14:textId="77777777" w:rsidR="007123C7" w:rsidRPr="00510D84" w:rsidRDefault="007123C7" w:rsidP="00E82294">
            <w:pPr>
              <w:pStyle w:val="TableText"/>
              <w:jc w:val="right"/>
            </w:pPr>
            <w:r w:rsidRPr="00510D84">
              <w:t>18.9 (11.3</w:t>
            </w:r>
            <w:r w:rsidR="0047339C">
              <w:t>, </w:t>
            </w:r>
            <w:r w:rsidRPr="00510D84">
              <w:t>29.9)</w:t>
            </w:r>
          </w:p>
        </w:tc>
      </w:tr>
      <w:tr w:rsidR="0047339C" w:rsidRPr="00510D84" w14:paraId="785682A2"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bottom w:val="single" w:sz="4" w:space="0" w:color="000000"/>
            </w:tcBorders>
          </w:tcPr>
          <w:p w14:paraId="28C113AC" w14:textId="77777777" w:rsidR="007123C7" w:rsidRPr="00510D84" w:rsidRDefault="007123C7" w:rsidP="00E82294">
            <w:pPr>
              <w:pStyle w:val="TableText"/>
            </w:pPr>
            <w:r w:rsidRPr="00510D84">
              <w:t>Did not use other websites</w:t>
            </w:r>
          </w:p>
        </w:tc>
        <w:tc>
          <w:tcPr>
            <w:tcW w:w="509" w:type="dxa"/>
            <w:tcBorders>
              <w:bottom w:val="single" w:sz="4" w:space="0" w:color="000000"/>
            </w:tcBorders>
          </w:tcPr>
          <w:p w14:paraId="121C786A" w14:textId="77777777" w:rsidR="007123C7" w:rsidRPr="00510D84" w:rsidRDefault="007123C7" w:rsidP="00E82294">
            <w:pPr>
              <w:pStyle w:val="TableText"/>
              <w:jc w:val="right"/>
            </w:pPr>
            <w:r w:rsidRPr="00510D84">
              <w:t>54</w:t>
            </w:r>
          </w:p>
        </w:tc>
        <w:tc>
          <w:tcPr>
            <w:tcW w:w="824" w:type="dxa"/>
            <w:tcBorders>
              <w:bottom w:val="single" w:sz="4" w:space="0" w:color="000000"/>
            </w:tcBorders>
          </w:tcPr>
          <w:p w14:paraId="6944468F" w14:textId="77777777" w:rsidR="007123C7" w:rsidRPr="00510D84" w:rsidRDefault="007123C7" w:rsidP="00E82294">
            <w:pPr>
              <w:pStyle w:val="TableText"/>
              <w:jc w:val="right"/>
            </w:pPr>
            <w:r w:rsidRPr="00510D84">
              <w:t>353</w:t>
            </w:r>
          </w:p>
        </w:tc>
        <w:tc>
          <w:tcPr>
            <w:tcW w:w="1009" w:type="dxa"/>
            <w:tcBorders>
              <w:bottom w:val="single" w:sz="4" w:space="0" w:color="000000"/>
            </w:tcBorders>
          </w:tcPr>
          <w:p w14:paraId="7B53C3CC" w14:textId="77777777" w:rsidR="007123C7" w:rsidRPr="00510D84" w:rsidRDefault="007123C7" w:rsidP="00E82294">
            <w:pPr>
              <w:pStyle w:val="TableText"/>
              <w:jc w:val="right"/>
            </w:pPr>
            <w:r w:rsidRPr="00510D84">
              <w:t>80.5 (67.5</w:t>
            </w:r>
            <w:r w:rsidR="0047339C">
              <w:t>, </w:t>
            </w:r>
            <w:r w:rsidRPr="00510D84">
              <w:t>89.2)</w:t>
            </w:r>
          </w:p>
        </w:tc>
        <w:tc>
          <w:tcPr>
            <w:tcW w:w="448" w:type="dxa"/>
            <w:tcBorders>
              <w:bottom w:val="single" w:sz="4" w:space="0" w:color="000000"/>
            </w:tcBorders>
          </w:tcPr>
          <w:p w14:paraId="578B5FDF" w14:textId="77777777" w:rsidR="007123C7" w:rsidRPr="00510D84" w:rsidRDefault="007123C7" w:rsidP="00E82294">
            <w:pPr>
              <w:pStyle w:val="TableText"/>
              <w:jc w:val="right"/>
            </w:pPr>
            <w:r w:rsidRPr="00510D84">
              <w:t>303</w:t>
            </w:r>
          </w:p>
        </w:tc>
        <w:tc>
          <w:tcPr>
            <w:tcW w:w="784" w:type="dxa"/>
            <w:tcBorders>
              <w:bottom w:val="single" w:sz="4" w:space="0" w:color="000000"/>
            </w:tcBorders>
          </w:tcPr>
          <w:p w14:paraId="18E9C41B" w14:textId="77777777" w:rsidR="007123C7" w:rsidRPr="00510D84" w:rsidRDefault="007123C7" w:rsidP="00E82294">
            <w:pPr>
              <w:pStyle w:val="TableText"/>
              <w:jc w:val="right"/>
            </w:pPr>
            <w:r w:rsidRPr="00510D84">
              <w:t>1935</w:t>
            </w:r>
          </w:p>
        </w:tc>
        <w:tc>
          <w:tcPr>
            <w:tcW w:w="1009" w:type="dxa"/>
            <w:tcBorders>
              <w:bottom w:val="single" w:sz="4" w:space="0" w:color="000000"/>
            </w:tcBorders>
          </w:tcPr>
          <w:p w14:paraId="5B150E55" w14:textId="77777777" w:rsidR="007123C7" w:rsidRPr="00510D84" w:rsidRDefault="007123C7" w:rsidP="00E82294">
            <w:pPr>
              <w:pStyle w:val="TableText"/>
              <w:jc w:val="right"/>
            </w:pPr>
            <w:r w:rsidRPr="00510D84">
              <w:t>68.9 (63.3</w:t>
            </w:r>
            <w:r w:rsidR="0047339C">
              <w:t>, </w:t>
            </w:r>
            <w:r w:rsidRPr="00510D84">
              <w:t>73.9)</w:t>
            </w:r>
          </w:p>
        </w:tc>
        <w:tc>
          <w:tcPr>
            <w:tcW w:w="457" w:type="dxa"/>
            <w:tcBorders>
              <w:bottom w:val="single" w:sz="4" w:space="0" w:color="000000"/>
            </w:tcBorders>
          </w:tcPr>
          <w:p w14:paraId="51D3BA81" w14:textId="77777777" w:rsidR="007123C7" w:rsidRPr="00510D84" w:rsidRDefault="007123C7" w:rsidP="00E82294">
            <w:pPr>
              <w:pStyle w:val="TableText"/>
              <w:jc w:val="right"/>
            </w:pPr>
            <w:r w:rsidRPr="00510D84">
              <w:t>22</w:t>
            </w:r>
          </w:p>
        </w:tc>
        <w:tc>
          <w:tcPr>
            <w:tcW w:w="775" w:type="dxa"/>
            <w:tcBorders>
              <w:bottom w:val="single" w:sz="4" w:space="0" w:color="000000"/>
            </w:tcBorders>
          </w:tcPr>
          <w:p w14:paraId="42A6C8B8" w14:textId="77777777" w:rsidR="007123C7" w:rsidRPr="00510D84" w:rsidRDefault="007123C7" w:rsidP="00E82294">
            <w:pPr>
              <w:pStyle w:val="TableText"/>
              <w:jc w:val="right"/>
            </w:pPr>
            <w:r w:rsidRPr="00510D84">
              <w:t>107</w:t>
            </w:r>
          </w:p>
        </w:tc>
        <w:tc>
          <w:tcPr>
            <w:tcW w:w="1009" w:type="dxa"/>
            <w:tcBorders>
              <w:bottom w:val="single" w:sz="4" w:space="0" w:color="000000"/>
            </w:tcBorders>
          </w:tcPr>
          <w:p w14:paraId="136F1D3A" w14:textId="77777777" w:rsidR="007123C7" w:rsidRPr="00510D84" w:rsidRDefault="007123C7" w:rsidP="00E82294">
            <w:pPr>
              <w:pStyle w:val="TableText"/>
              <w:jc w:val="right"/>
            </w:pPr>
            <w:r w:rsidRPr="00510D84">
              <w:t>93.2 (82.0</w:t>
            </w:r>
            <w:r w:rsidR="0047339C">
              <w:t>, </w:t>
            </w:r>
            <w:r w:rsidRPr="00510D84">
              <w:t>97.6)</w:t>
            </w:r>
          </w:p>
        </w:tc>
        <w:tc>
          <w:tcPr>
            <w:tcW w:w="466" w:type="dxa"/>
            <w:tcBorders>
              <w:bottom w:val="single" w:sz="4" w:space="0" w:color="000000"/>
            </w:tcBorders>
          </w:tcPr>
          <w:p w14:paraId="28C10081" w14:textId="77777777" w:rsidR="007123C7" w:rsidRPr="00510D84" w:rsidRDefault="007123C7" w:rsidP="00E82294">
            <w:pPr>
              <w:pStyle w:val="TableText"/>
              <w:jc w:val="right"/>
            </w:pPr>
            <w:r w:rsidRPr="00510D84">
              <w:t>140</w:t>
            </w:r>
          </w:p>
        </w:tc>
        <w:tc>
          <w:tcPr>
            <w:tcW w:w="766" w:type="dxa"/>
            <w:tcBorders>
              <w:bottom w:val="single" w:sz="4" w:space="0" w:color="000000"/>
            </w:tcBorders>
          </w:tcPr>
          <w:p w14:paraId="0F3D24D1" w14:textId="77777777" w:rsidR="007123C7" w:rsidRPr="00510D84" w:rsidRDefault="007123C7" w:rsidP="00E82294">
            <w:pPr>
              <w:pStyle w:val="TableText"/>
              <w:jc w:val="right"/>
            </w:pPr>
            <w:r w:rsidRPr="00510D84">
              <w:t>1084</w:t>
            </w:r>
          </w:p>
        </w:tc>
        <w:tc>
          <w:tcPr>
            <w:tcW w:w="1009" w:type="dxa"/>
            <w:tcBorders>
              <w:bottom w:val="single" w:sz="4" w:space="0" w:color="000000"/>
            </w:tcBorders>
          </w:tcPr>
          <w:p w14:paraId="37BA1222" w14:textId="77777777" w:rsidR="007123C7" w:rsidRPr="00510D84" w:rsidRDefault="007123C7" w:rsidP="00E82294">
            <w:pPr>
              <w:pStyle w:val="TableText"/>
              <w:jc w:val="right"/>
            </w:pPr>
            <w:r w:rsidRPr="00510D84">
              <w:t>81.1 (70.1</w:t>
            </w:r>
            <w:r w:rsidR="0047339C">
              <w:t>, </w:t>
            </w:r>
            <w:r w:rsidRPr="00510D84">
              <w:t>88.7)</w:t>
            </w:r>
          </w:p>
        </w:tc>
      </w:tr>
      <w:tr w:rsidR="007123C7" w:rsidRPr="000F78B9" w14:paraId="1B9A8651" w14:textId="77777777" w:rsidTr="0047339C">
        <w:trPr>
          <w:cantSplit/>
        </w:trPr>
        <w:tc>
          <w:tcPr>
            <w:tcW w:w="2455" w:type="dxa"/>
            <w:tcBorders>
              <w:top w:val="single" w:sz="4" w:space="0" w:color="000000"/>
              <w:bottom w:val="nil"/>
            </w:tcBorders>
          </w:tcPr>
          <w:p w14:paraId="29DE6A5A" w14:textId="77777777" w:rsidR="007123C7" w:rsidRPr="0016418B" w:rsidRDefault="007123C7" w:rsidP="00E82294">
            <w:pPr>
              <w:pStyle w:val="TableText"/>
              <w:rPr>
                <w:b/>
                <w:bCs/>
                <w:color w:val="000000" w:themeColor="text1"/>
              </w:rPr>
            </w:pPr>
            <w:r w:rsidRPr="0016418B">
              <w:rPr>
                <w:b/>
              </w:rPr>
              <w:t>Probable anxiety/depression (K10)</w:t>
            </w:r>
          </w:p>
        </w:tc>
        <w:tc>
          <w:tcPr>
            <w:tcW w:w="2342" w:type="dxa"/>
            <w:gridSpan w:val="3"/>
            <w:tcBorders>
              <w:top w:val="single" w:sz="4" w:space="0" w:color="000000"/>
              <w:bottom w:val="nil"/>
            </w:tcBorders>
          </w:tcPr>
          <w:p w14:paraId="54A2CEF1" w14:textId="77777777" w:rsidR="007123C7" w:rsidRPr="000F78B9" w:rsidRDefault="007123C7" w:rsidP="00E82294">
            <w:pPr>
              <w:pStyle w:val="TableText"/>
              <w:jc w:val="center"/>
            </w:pPr>
            <w:r>
              <w:t>n</w:t>
            </w:r>
            <w:r w:rsidRPr="000F78B9">
              <w:t>=</w:t>
            </w:r>
            <w:r>
              <w:t>213</w:t>
            </w:r>
            <w:r w:rsidRPr="000F78B9">
              <w:t xml:space="preserve"> (Weighted</w:t>
            </w:r>
            <w:r>
              <w:t xml:space="preserve"> n</w:t>
            </w:r>
            <w:r w:rsidRPr="000F78B9">
              <w:t>=</w:t>
            </w:r>
            <w:r>
              <w:t>1420</w:t>
            </w:r>
            <w:r w:rsidRPr="000F78B9">
              <w:t>)</w:t>
            </w:r>
          </w:p>
        </w:tc>
        <w:tc>
          <w:tcPr>
            <w:tcW w:w="2241" w:type="dxa"/>
            <w:gridSpan w:val="3"/>
            <w:tcBorders>
              <w:top w:val="single" w:sz="4" w:space="0" w:color="000000"/>
              <w:bottom w:val="nil"/>
            </w:tcBorders>
          </w:tcPr>
          <w:p w14:paraId="04E9E200" w14:textId="77777777" w:rsidR="007123C7" w:rsidRPr="000F78B9" w:rsidRDefault="007123C7" w:rsidP="00E82294">
            <w:pPr>
              <w:pStyle w:val="TableText"/>
              <w:jc w:val="center"/>
            </w:pPr>
            <w:r>
              <w:t xml:space="preserve">n=766 </w:t>
            </w:r>
            <w:r w:rsidRPr="000F78B9">
              <w:t xml:space="preserve">(Weighted </w:t>
            </w:r>
            <w:r>
              <w:t>n</w:t>
            </w:r>
            <w:r w:rsidRPr="000F78B9">
              <w:t>=</w:t>
            </w:r>
            <w:r>
              <w:t>5350</w:t>
            </w:r>
            <w:r w:rsidRPr="000F78B9">
              <w:t>)</w:t>
            </w:r>
          </w:p>
        </w:tc>
        <w:tc>
          <w:tcPr>
            <w:tcW w:w="2241" w:type="dxa"/>
            <w:gridSpan w:val="3"/>
            <w:tcBorders>
              <w:top w:val="single" w:sz="4" w:space="0" w:color="000000"/>
              <w:bottom w:val="nil"/>
            </w:tcBorders>
          </w:tcPr>
          <w:p w14:paraId="1B8FC370" w14:textId="77777777" w:rsidR="007123C7" w:rsidRPr="000F78B9" w:rsidRDefault="007123C7" w:rsidP="00E82294">
            <w:pPr>
              <w:pStyle w:val="TableText"/>
              <w:jc w:val="center"/>
            </w:pPr>
            <w:r>
              <w:t>n</w:t>
            </w:r>
            <w:r w:rsidRPr="000F78B9">
              <w:t>=</w:t>
            </w:r>
            <w:r>
              <w:t xml:space="preserve">253 </w:t>
            </w:r>
            <w:r w:rsidRPr="000F78B9">
              <w:t>(Weighted</w:t>
            </w:r>
            <w:r>
              <w:t xml:space="preserve"> n</w:t>
            </w:r>
            <w:r w:rsidRPr="000F78B9">
              <w:t>=</w:t>
            </w:r>
            <w:r>
              <w:t>2504</w:t>
            </w:r>
            <w:r w:rsidRPr="000F78B9">
              <w:t>)</w:t>
            </w:r>
          </w:p>
        </w:tc>
        <w:tc>
          <w:tcPr>
            <w:tcW w:w="2241" w:type="dxa"/>
            <w:gridSpan w:val="3"/>
            <w:tcBorders>
              <w:top w:val="single" w:sz="4" w:space="0" w:color="000000"/>
              <w:bottom w:val="nil"/>
            </w:tcBorders>
          </w:tcPr>
          <w:p w14:paraId="75496452" w14:textId="77777777" w:rsidR="007123C7" w:rsidRPr="000F78B9" w:rsidRDefault="007123C7" w:rsidP="00E82294">
            <w:pPr>
              <w:pStyle w:val="TableText"/>
              <w:jc w:val="center"/>
            </w:pPr>
            <w:r>
              <w:t>n</w:t>
            </w:r>
            <w:r w:rsidRPr="000F78B9">
              <w:t>=</w:t>
            </w:r>
            <w:r>
              <w:t xml:space="preserve">678 </w:t>
            </w:r>
            <w:r w:rsidRPr="000F78B9">
              <w:t xml:space="preserve">(Weighted </w:t>
            </w:r>
            <w:r>
              <w:t>n</w:t>
            </w:r>
            <w:r w:rsidRPr="000F78B9">
              <w:t>=</w:t>
            </w:r>
            <w:r>
              <w:t>4882</w:t>
            </w:r>
            <w:r w:rsidRPr="000F78B9">
              <w:t>)</w:t>
            </w:r>
          </w:p>
        </w:tc>
      </w:tr>
      <w:tr w:rsidR="0047339C" w:rsidRPr="00510D84" w14:paraId="77649080"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nil"/>
            </w:tcBorders>
          </w:tcPr>
          <w:p w14:paraId="121F93E4" w14:textId="77777777" w:rsidR="007123C7" w:rsidRPr="00510D84" w:rsidRDefault="007123C7" w:rsidP="00E82294">
            <w:pPr>
              <w:pStyle w:val="TableText"/>
            </w:pPr>
            <w:r w:rsidRPr="00510D84">
              <w:t xml:space="preserve">Used other websites </w:t>
            </w:r>
          </w:p>
        </w:tc>
        <w:tc>
          <w:tcPr>
            <w:tcW w:w="509" w:type="dxa"/>
            <w:tcBorders>
              <w:top w:val="nil"/>
            </w:tcBorders>
          </w:tcPr>
          <w:p w14:paraId="607949B9" w14:textId="77777777" w:rsidR="007123C7" w:rsidRPr="00510D84" w:rsidRDefault="007123C7" w:rsidP="00E82294">
            <w:pPr>
              <w:pStyle w:val="TableText"/>
              <w:jc w:val="right"/>
            </w:pPr>
            <w:r w:rsidRPr="00510D84">
              <w:t>39</w:t>
            </w:r>
          </w:p>
        </w:tc>
        <w:tc>
          <w:tcPr>
            <w:tcW w:w="824" w:type="dxa"/>
            <w:tcBorders>
              <w:top w:val="nil"/>
            </w:tcBorders>
          </w:tcPr>
          <w:p w14:paraId="280E2B61" w14:textId="77777777" w:rsidR="007123C7" w:rsidRPr="00510D84" w:rsidRDefault="007123C7" w:rsidP="00E82294">
            <w:pPr>
              <w:pStyle w:val="TableText"/>
              <w:jc w:val="right"/>
            </w:pPr>
            <w:r w:rsidRPr="00510D84">
              <w:t>285</w:t>
            </w:r>
          </w:p>
        </w:tc>
        <w:tc>
          <w:tcPr>
            <w:tcW w:w="1009" w:type="dxa"/>
            <w:tcBorders>
              <w:top w:val="nil"/>
            </w:tcBorders>
          </w:tcPr>
          <w:p w14:paraId="42A2F4AA" w14:textId="77777777" w:rsidR="007123C7" w:rsidRPr="00510D84" w:rsidRDefault="007123C7" w:rsidP="00E82294">
            <w:pPr>
              <w:pStyle w:val="TableText"/>
              <w:jc w:val="right"/>
            </w:pPr>
            <w:r w:rsidRPr="00510D84">
              <w:t>20.1 (14.2</w:t>
            </w:r>
            <w:r w:rsidR="0047339C">
              <w:t>, </w:t>
            </w:r>
            <w:r w:rsidRPr="00510D84">
              <w:t>27.6)</w:t>
            </w:r>
          </w:p>
        </w:tc>
        <w:tc>
          <w:tcPr>
            <w:tcW w:w="448" w:type="dxa"/>
            <w:tcBorders>
              <w:top w:val="nil"/>
            </w:tcBorders>
          </w:tcPr>
          <w:p w14:paraId="00910217" w14:textId="77777777" w:rsidR="007123C7" w:rsidRPr="00510D84" w:rsidRDefault="007123C7" w:rsidP="00E82294">
            <w:pPr>
              <w:pStyle w:val="TableText"/>
              <w:jc w:val="right"/>
            </w:pPr>
            <w:r w:rsidRPr="00510D84">
              <w:t>222</w:t>
            </w:r>
          </w:p>
        </w:tc>
        <w:tc>
          <w:tcPr>
            <w:tcW w:w="784" w:type="dxa"/>
            <w:tcBorders>
              <w:top w:val="nil"/>
            </w:tcBorders>
          </w:tcPr>
          <w:p w14:paraId="5609E826" w14:textId="77777777" w:rsidR="007123C7" w:rsidRPr="00510D84" w:rsidRDefault="007123C7" w:rsidP="00E82294">
            <w:pPr>
              <w:pStyle w:val="TableText"/>
              <w:jc w:val="right"/>
            </w:pPr>
            <w:r w:rsidRPr="00510D84">
              <w:t>1466</w:t>
            </w:r>
          </w:p>
        </w:tc>
        <w:tc>
          <w:tcPr>
            <w:tcW w:w="1009" w:type="dxa"/>
            <w:tcBorders>
              <w:top w:val="nil"/>
            </w:tcBorders>
          </w:tcPr>
          <w:p w14:paraId="551BD1B2" w14:textId="77777777" w:rsidR="007123C7" w:rsidRPr="00510D84" w:rsidRDefault="007123C7" w:rsidP="00E82294">
            <w:pPr>
              <w:pStyle w:val="TableText"/>
              <w:jc w:val="right"/>
            </w:pPr>
            <w:r w:rsidRPr="00510D84">
              <w:t>27.4 (23.7</w:t>
            </w:r>
            <w:r w:rsidR="0047339C">
              <w:t>, </w:t>
            </w:r>
            <w:r w:rsidRPr="00510D84">
              <w:t>31.4)</w:t>
            </w:r>
          </w:p>
        </w:tc>
        <w:tc>
          <w:tcPr>
            <w:tcW w:w="457" w:type="dxa"/>
            <w:tcBorders>
              <w:top w:val="nil"/>
            </w:tcBorders>
          </w:tcPr>
          <w:p w14:paraId="27488171" w14:textId="77777777" w:rsidR="007123C7" w:rsidRPr="00510D84" w:rsidRDefault="007123C7" w:rsidP="00E82294">
            <w:pPr>
              <w:pStyle w:val="TableText"/>
              <w:jc w:val="right"/>
            </w:pPr>
            <w:r w:rsidRPr="00510D84">
              <w:t>19</w:t>
            </w:r>
          </w:p>
        </w:tc>
        <w:tc>
          <w:tcPr>
            <w:tcW w:w="775" w:type="dxa"/>
            <w:tcBorders>
              <w:top w:val="nil"/>
            </w:tcBorders>
          </w:tcPr>
          <w:p w14:paraId="239A957C" w14:textId="77777777" w:rsidR="007123C7" w:rsidRPr="00510D84" w:rsidRDefault="007123C7" w:rsidP="00E82294">
            <w:pPr>
              <w:pStyle w:val="TableText"/>
              <w:jc w:val="right"/>
            </w:pPr>
            <w:r w:rsidRPr="00510D84">
              <w:t>370</w:t>
            </w:r>
          </w:p>
        </w:tc>
        <w:tc>
          <w:tcPr>
            <w:tcW w:w="1009" w:type="dxa"/>
            <w:tcBorders>
              <w:top w:val="nil"/>
            </w:tcBorders>
          </w:tcPr>
          <w:p w14:paraId="7C6569D2" w14:textId="77777777" w:rsidR="007123C7" w:rsidRPr="00510D84" w:rsidRDefault="007123C7" w:rsidP="0047339C">
            <w:pPr>
              <w:pStyle w:val="TableText"/>
              <w:jc w:val="right"/>
            </w:pPr>
            <w:r w:rsidRPr="00510D84">
              <w:t>14.8</w:t>
            </w:r>
            <w:r w:rsidR="0047339C">
              <w:br/>
            </w:r>
            <w:r w:rsidRPr="00510D84">
              <w:t>(4.7</w:t>
            </w:r>
            <w:r w:rsidR="0047339C">
              <w:t>, </w:t>
            </w:r>
            <w:r w:rsidRPr="00510D84">
              <w:t>37.8)</w:t>
            </w:r>
          </w:p>
        </w:tc>
        <w:tc>
          <w:tcPr>
            <w:tcW w:w="466" w:type="dxa"/>
            <w:tcBorders>
              <w:top w:val="nil"/>
            </w:tcBorders>
          </w:tcPr>
          <w:p w14:paraId="59998AD5" w14:textId="77777777" w:rsidR="007123C7" w:rsidRPr="00510D84" w:rsidRDefault="007123C7" w:rsidP="00E82294">
            <w:pPr>
              <w:pStyle w:val="TableText"/>
              <w:jc w:val="right"/>
            </w:pPr>
            <w:r w:rsidRPr="00510D84">
              <w:t>191</w:t>
            </w:r>
          </w:p>
        </w:tc>
        <w:tc>
          <w:tcPr>
            <w:tcW w:w="766" w:type="dxa"/>
            <w:tcBorders>
              <w:top w:val="nil"/>
            </w:tcBorders>
          </w:tcPr>
          <w:p w14:paraId="726FFCCB" w14:textId="77777777" w:rsidR="007123C7" w:rsidRPr="00510D84" w:rsidRDefault="007123C7" w:rsidP="00E82294">
            <w:pPr>
              <w:pStyle w:val="TableText"/>
              <w:jc w:val="right"/>
            </w:pPr>
            <w:r w:rsidRPr="00510D84">
              <w:t>1265</w:t>
            </w:r>
          </w:p>
        </w:tc>
        <w:tc>
          <w:tcPr>
            <w:tcW w:w="1009" w:type="dxa"/>
            <w:tcBorders>
              <w:top w:val="nil"/>
            </w:tcBorders>
          </w:tcPr>
          <w:p w14:paraId="4D41FBC5" w14:textId="77777777" w:rsidR="007123C7" w:rsidRPr="00510D84" w:rsidRDefault="007123C7" w:rsidP="00E82294">
            <w:pPr>
              <w:pStyle w:val="TableText"/>
              <w:jc w:val="right"/>
            </w:pPr>
            <w:r w:rsidRPr="00510D84">
              <w:t>25.9 (15.2</w:t>
            </w:r>
            <w:r w:rsidR="0047339C">
              <w:t>, </w:t>
            </w:r>
            <w:r w:rsidRPr="00510D84">
              <w:t>40.6)</w:t>
            </w:r>
          </w:p>
        </w:tc>
      </w:tr>
      <w:tr w:rsidR="0047339C" w:rsidRPr="00510D84" w14:paraId="2AFBD06C" w14:textId="77777777" w:rsidTr="0047339C">
        <w:trPr>
          <w:cantSplit/>
        </w:trPr>
        <w:tc>
          <w:tcPr>
            <w:tcW w:w="2455" w:type="dxa"/>
            <w:tcBorders>
              <w:bottom w:val="single" w:sz="4" w:space="0" w:color="000000"/>
            </w:tcBorders>
          </w:tcPr>
          <w:p w14:paraId="680879D4" w14:textId="77777777" w:rsidR="007123C7" w:rsidRPr="00510D84" w:rsidRDefault="007123C7" w:rsidP="00E82294">
            <w:pPr>
              <w:pStyle w:val="TableText"/>
            </w:pPr>
            <w:r w:rsidRPr="00510D84">
              <w:t>Did not use other websites</w:t>
            </w:r>
          </w:p>
        </w:tc>
        <w:tc>
          <w:tcPr>
            <w:tcW w:w="509" w:type="dxa"/>
            <w:tcBorders>
              <w:bottom w:val="single" w:sz="4" w:space="0" w:color="000000"/>
            </w:tcBorders>
          </w:tcPr>
          <w:p w14:paraId="2836B99F" w14:textId="77777777" w:rsidR="007123C7" w:rsidRPr="00510D84" w:rsidRDefault="007123C7" w:rsidP="00E82294">
            <w:pPr>
              <w:pStyle w:val="TableText"/>
              <w:jc w:val="right"/>
            </w:pPr>
            <w:r w:rsidRPr="00510D84">
              <w:t>174</w:t>
            </w:r>
          </w:p>
        </w:tc>
        <w:tc>
          <w:tcPr>
            <w:tcW w:w="824" w:type="dxa"/>
            <w:tcBorders>
              <w:bottom w:val="single" w:sz="4" w:space="0" w:color="000000"/>
            </w:tcBorders>
          </w:tcPr>
          <w:p w14:paraId="567BC90D" w14:textId="77777777" w:rsidR="007123C7" w:rsidRPr="00510D84" w:rsidRDefault="007123C7" w:rsidP="00E82294">
            <w:pPr>
              <w:pStyle w:val="TableText"/>
              <w:jc w:val="right"/>
            </w:pPr>
            <w:r w:rsidRPr="00510D84">
              <w:t>1135</w:t>
            </w:r>
          </w:p>
        </w:tc>
        <w:tc>
          <w:tcPr>
            <w:tcW w:w="1009" w:type="dxa"/>
            <w:tcBorders>
              <w:bottom w:val="single" w:sz="4" w:space="0" w:color="000000"/>
            </w:tcBorders>
          </w:tcPr>
          <w:p w14:paraId="65DCCBB7" w14:textId="77777777" w:rsidR="007123C7" w:rsidRPr="00510D84" w:rsidRDefault="007123C7" w:rsidP="00E82294">
            <w:pPr>
              <w:pStyle w:val="TableText"/>
              <w:jc w:val="right"/>
            </w:pPr>
            <w:r w:rsidRPr="00510D84">
              <w:t>79.9 (72.4</w:t>
            </w:r>
            <w:r w:rsidR="0047339C">
              <w:t>, </w:t>
            </w:r>
            <w:r w:rsidRPr="00510D84">
              <w:t>85.8)</w:t>
            </w:r>
          </w:p>
        </w:tc>
        <w:tc>
          <w:tcPr>
            <w:tcW w:w="448" w:type="dxa"/>
            <w:tcBorders>
              <w:bottom w:val="single" w:sz="4" w:space="0" w:color="000000"/>
            </w:tcBorders>
          </w:tcPr>
          <w:p w14:paraId="62801D12" w14:textId="77777777" w:rsidR="007123C7" w:rsidRPr="00510D84" w:rsidRDefault="007123C7" w:rsidP="00E82294">
            <w:pPr>
              <w:pStyle w:val="TableText"/>
              <w:jc w:val="right"/>
            </w:pPr>
            <w:r w:rsidRPr="00510D84">
              <w:t>544</w:t>
            </w:r>
          </w:p>
        </w:tc>
        <w:tc>
          <w:tcPr>
            <w:tcW w:w="784" w:type="dxa"/>
            <w:tcBorders>
              <w:bottom w:val="single" w:sz="4" w:space="0" w:color="000000"/>
            </w:tcBorders>
          </w:tcPr>
          <w:p w14:paraId="67E82376" w14:textId="77777777" w:rsidR="007123C7" w:rsidRPr="00510D84" w:rsidRDefault="007123C7" w:rsidP="00E82294">
            <w:pPr>
              <w:pStyle w:val="TableText"/>
              <w:jc w:val="right"/>
            </w:pPr>
            <w:r w:rsidRPr="00510D84">
              <w:t>3884</w:t>
            </w:r>
          </w:p>
        </w:tc>
        <w:tc>
          <w:tcPr>
            <w:tcW w:w="1009" w:type="dxa"/>
            <w:tcBorders>
              <w:bottom w:val="single" w:sz="4" w:space="0" w:color="000000"/>
            </w:tcBorders>
          </w:tcPr>
          <w:p w14:paraId="4FA56399" w14:textId="77777777" w:rsidR="007123C7" w:rsidRPr="00510D84" w:rsidRDefault="007123C7" w:rsidP="00E82294">
            <w:pPr>
              <w:pStyle w:val="TableText"/>
              <w:jc w:val="right"/>
            </w:pPr>
            <w:r w:rsidRPr="00510D84">
              <w:t>72.6 (68.6</w:t>
            </w:r>
            <w:r w:rsidR="0047339C">
              <w:t>, </w:t>
            </w:r>
            <w:r w:rsidRPr="00510D84">
              <w:t>76.3)</w:t>
            </w:r>
          </w:p>
        </w:tc>
        <w:tc>
          <w:tcPr>
            <w:tcW w:w="457" w:type="dxa"/>
            <w:tcBorders>
              <w:bottom w:val="single" w:sz="4" w:space="0" w:color="000000"/>
            </w:tcBorders>
          </w:tcPr>
          <w:p w14:paraId="16EAB67B" w14:textId="77777777" w:rsidR="007123C7" w:rsidRPr="00510D84" w:rsidRDefault="007123C7" w:rsidP="00E82294">
            <w:pPr>
              <w:pStyle w:val="TableText"/>
              <w:jc w:val="right"/>
            </w:pPr>
            <w:r w:rsidRPr="00510D84">
              <w:t>234</w:t>
            </w:r>
          </w:p>
        </w:tc>
        <w:tc>
          <w:tcPr>
            <w:tcW w:w="775" w:type="dxa"/>
            <w:tcBorders>
              <w:bottom w:val="single" w:sz="4" w:space="0" w:color="000000"/>
            </w:tcBorders>
          </w:tcPr>
          <w:p w14:paraId="4567549D" w14:textId="77777777" w:rsidR="007123C7" w:rsidRPr="00510D84" w:rsidRDefault="007123C7" w:rsidP="00E82294">
            <w:pPr>
              <w:pStyle w:val="TableText"/>
              <w:jc w:val="right"/>
            </w:pPr>
            <w:r w:rsidRPr="00510D84">
              <w:t>2135</w:t>
            </w:r>
          </w:p>
        </w:tc>
        <w:tc>
          <w:tcPr>
            <w:tcW w:w="1009" w:type="dxa"/>
            <w:tcBorders>
              <w:bottom w:val="single" w:sz="4" w:space="0" w:color="000000"/>
            </w:tcBorders>
          </w:tcPr>
          <w:p w14:paraId="2825F343" w14:textId="77777777" w:rsidR="007123C7" w:rsidRPr="00510D84" w:rsidRDefault="007123C7" w:rsidP="00E82294">
            <w:pPr>
              <w:pStyle w:val="TableText"/>
              <w:jc w:val="right"/>
            </w:pPr>
            <w:r w:rsidRPr="00510D84">
              <w:t>85.2 (62.2</w:t>
            </w:r>
            <w:r w:rsidR="0047339C">
              <w:t>, </w:t>
            </w:r>
            <w:r w:rsidRPr="00510D84">
              <w:t>95.3)</w:t>
            </w:r>
          </w:p>
        </w:tc>
        <w:tc>
          <w:tcPr>
            <w:tcW w:w="466" w:type="dxa"/>
            <w:tcBorders>
              <w:bottom w:val="single" w:sz="4" w:space="0" w:color="000000"/>
            </w:tcBorders>
          </w:tcPr>
          <w:p w14:paraId="52F21E37" w14:textId="77777777" w:rsidR="007123C7" w:rsidRPr="00510D84" w:rsidRDefault="007123C7" w:rsidP="00E82294">
            <w:pPr>
              <w:pStyle w:val="TableText"/>
              <w:jc w:val="right"/>
            </w:pPr>
            <w:r w:rsidRPr="00510D84">
              <w:t>487</w:t>
            </w:r>
          </w:p>
        </w:tc>
        <w:tc>
          <w:tcPr>
            <w:tcW w:w="766" w:type="dxa"/>
            <w:tcBorders>
              <w:bottom w:val="single" w:sz="4" w:space="0" w:color="000000"/>
            </w:tcBorders>
          </w:tcPr>
          <w:p w14:paraId="2D7E0BC2" w14:textId="77777777" w:rsidR="007123C7" w:rsidRPr="00510D84" w:rsidRDefault="007123C7" w:rsidP="00E82294">
            <w:pPr>
              <w:pStyle w:val="TableText"/>
              <w:jc w:val="right"/>
            </w:pPr>
            <w:r w:rsidRPr="00510D84">
              <w:t>3617</w:t>
            </w:r>
          </w:p>
        </w:tc>
        <w:tc>
          <w:tcPr>
            <w:tcW w:w="1009" w:type="dxa"/>
            <w:tcBorders>
              <w:bottom w:val="single" w:sz="4" w:space="0" w:color="000000"/>
            </w:tcBorders>
          </w:tcPr>
          <w:p w14:paraId="5795DAE8" w14:textId="77777777" w:rsidR="007123C7" w:rsidRPr="00510D84" w:rsidRDefault="007123C7" w:rsidP="00E82294">
            <w:pPr>
              <w:pStyle w:val="TableText"/>
              <w:jc w:val="right"/>
            </w:pPr>
            <w:r w:rsidRPr="00510D84">
              <w:t>74.1 (59.4</w:t>
            </w:r>
            <w:r w:rsidR="0047339C">
              <w:t>, </w:t>
            </w:r>
            <w:r w:rsidRPr="00510D84">
              <w:t>84.8)</w:t>
            </w:r>
          </w:p>
        </w:tc>
      </w:tr>
      <w:tr w:rsidR="007123C7" w:rsidRPr="000F78B9" w14:paraId="37F46BC3"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single" w:sz="4" w:space="0" w:color="000000"/>
              <w:bottom w:val="nil"/>
            </w:tcBorders>
          </w:tcPr>
          <w:p w14:paraId="1977866B" w14:textId="77777777" w:rsidR="007123C7" w:rsidRPr="0016418B" w:rsidRDefault="007123C7" w:rsidP="00E82294">
            <w:pPr>
              <w:pStyle w:val="TableText"/>
              <w:rPr>
                <w:b/>
                <w:bCs/>
                <w:color w:val="000000" w:themeColor="text1"/>
              </w:rPr>
            </w:pPr>
            <w:r w:rsidRPr="0016418B">
              <w:rPr>
                <w:b/>
              </w:rPr>
              <w:t>Probable alcohol use disorder (AUDIT)</w:t>
            </w:r>
          </w:p>
        </w:tc>
        <w:tc>
          <w:tcPr>
            <w:tcW w:w="2342" w:type="dxa"/>
            <w:gridSpan w:val="3"/>
            <w:tcBorders>
              <w:top w:val="single" w:sz="4" w:space="0" w:color="000000"/>
              <w:bottom w:val="nil"/>
            </w:tcBorders>
          </w:tcPr>
          <w:p w14:paraId="196C7FC7" w14:textId="77777777" w:rsidR="007123C7" w:rsidRPr="000F78B9" w:rsidRDefault="007123C7" w:rsidP="00E82294">
            <w:pPr>
              <w:pStyle w:val="TableText"/>
              <w:jc w:val="center"/>
            </w:pPr>
            <w:r>
              <w:t>n</w:t>
            </w:r>
            <w:r w:rsidRPr="000F78B9">
              <w:t>=</w:t>
            </w:r>
            <w:r>
              <w:t>35</w:t>
            </w:r>
            <w:r w:rsidRPr="000F78B9">
              <w:t xml:space="preserve"> (Weighted</w:t>
            </w:r>
            <w:r>
              <w:t xml:space="preserve"> n</w:t>
            </w:r>
            <w:r w:rsidRPr="000F78B9">
              <w:t>=</w:t>
            </w:r>
            <w:r>
              <w:t>242</w:t>
            </w:r>
            <w:r w:rsidRPr="000F78B9">
              <w:t>)</w:t>
            </w:r>
          </w:p>
        </w:tc>
        <w:tc>
          <w:tcPr>
            <w:tcW w:w="2241" w:type="dxa"/>
            <w:gridSpan w:val="3"/>
            <w:tcBorders>
              <w:top w:val="single" w:sz="4" w:space="0" w:color="000000"/>
              <w:bottom w:val="nil"/>
            </w:tcBorders>
          </w:tcPr>
          <w:p w14:paraId="726EC504" w14:textId="77777777" w:rsidR="007123C7" w:rsidRPr="000F78B9" w:rsidRDefault="007123C7" w:rsidP="00E82294">
            <w:pPr>
              <w:pStyle w:val="TableText"/>
              <w:jc w:val="center"/>
            </w:pPr>
            <w:r>
              <w:t xml:space="preserve">n=205 </w:t>
            </w:r>
            <w:r w:rsidRPr="000F78B9">
              <w:t xml:space="preserve">(Weighted </w:t>
            </w:r>
            <w:r>
              <w:t>n</w:t>
            </w:r>
            <w:r w:rsidRPr="000F78B9">
              <w:t>=</w:t>
            </w:r>
            <w:r>
              <w:t>1398</w:t>
            </w:r>
            <w:r w:rsidRPr="000F78B9">
              <w:t>)</w:t>
            </w:r>
          </w:p>
        </w:tc>
        <w:tc>
          <w:tcPr>
            <w:tcW w:w="2241" w:type="dxa"/>
            <w:gridSpan w:val="3"/>
            <w:tcBorders>
              <w:top w:val="single" w:sz="4" w:space="0" w:color="000000"/>
              <w:bottom w:val="nil"/>
            </w:tcBorders>
          </w:tcPr>
          <w:p w14:paraId="1E890E7C" w14:textId="77777777" w:rsidR="007123C7" w:rsidRPr="000F78B9" w:rsidRDefault="007123C7" w:rsidP="00E82294">
            <w:pPr>
              <w:pStyle w:val="TableText"/>
              <w:jc w:val="center"/>
            </w:pPr>
            <w:r>
              <w:t>n</w:t>
            </w:r>
            <w:r w:rsidRPr="000F78B9">
              <w:t>=</w:t>
            </w:r>
            <w:r>
              <w:t xml:space="preserve">14 </w:t>
            </w:r>
            <w:r w:rsidRPr="000F78B9">
              <w:t>(Weighted</w:t>
            </w:r>
            <w:r>
              <w:t xml:space="preserve"> n</w:t>
            </w:r>
            <w:r w:rsidRPr="000F78B9">
              <w:t>=</w:t>
            </w:r>
            <w:r>
              <w:t>233</w:t>
            </w:r>
            <w:r w:rsidRPr="000F78B9">
              <w:t>)</w:t>
            </w:r>
          </w:p>
        </w:tc>
        <w:tc>
          <w:tcPr>
            <w:tcW w:w="2241" w:type="dxa"/>
            <w:gridSpan w:val="3"/>
            <w:tcBorders>
              <w:top w:val="single" w:sz="4" w:space="0" w:color="000000"/>
              <w:bottom w:val="nil"/>
            </w:tcBorders>
          </w:tcPr>
          <w:p w14:paraId="0AFD7168" w14:textId="77777777" w:rsidR="007123C7" w:rsidRPr="000F78B9" w:rsidRDefault="007123C7" w:rsidP="00E82294">
            <w:pPr>
              <w:pStyle w:val="TableText"/>
              <w:jc w:val="center"/>
            </w:pPr>
            <w:r>
              <w:t>n</w:t>
            </w:r>
            <w:r w:rsidRPr="000F78B9">
              <w:t>=</w:t>
            </w:r>
            <w:r>
              <w:t xml:space="preserve">71 </w:t>
            </w:r>
            <w:r w:rsidRPr="000F78B9">
              <w:t xml:space="preserve">(Weighted </w:t>
            </w:r>
            <w:r>
              <w:t>n</w:t>
            </w:r>
            <w:r w:rsidRPr="000F78B9">
              <w:t>=</w:t>
            </w:r>
            <w:r>
              <w:t>540</w:t>
            </w:r>
            <w:r w:rsidRPr="000F78B9">
              <w:t>)</w:t>
            </w:r>
          </w:p>
        </w:tc>
      </w:tr>
      <w:tr w:rsidR="0047339C" w:rsidRPr="00D62855" w14:paraId="6E9108F6" w14:textId="77777777" w:rsidTr="0047339C">
        <w:trPr>
          <w:cantSplit/>
        </w:trPr>
        <w:tc>
          <w:tcPr>
            <w:tcW w:w="2455" w:type="dxa"/>
            <w:tcBorders>
              <w:top w:val="nil"/>
            </w:tcBorders>
          </w:tcPr>
          <w:p w14:paraId="36D6EE88" w14:textId="77777777" w:rsidR="007123C7" w:rsidRPr="00510D84" w:rsidRDefault="007123C7" w:rsidP="00E82294">
            <w:pPr>
              <w:pStyle w:val="TableText"/>
            </w:pPr>
            <w:r w:rsidRPr="00510D84">
              <w:t xml:space="preserve">Used other websites </w:t>
            </w:r>
          </w:p>
        </w:tc>
        <w:tc>
          <w:tcPr>
            <w:tcW w:w="509" w:type="dxa"/>
            <w:tcBorders>
              <w:top w:val="nil"/>
            </w:tcBorders>
          </w:tcPr>
          <w:p w14:paraId="6E89B750" w14:textId="77777777" w:rsidR="007123C7" w:rsidRPr="00510D84" w:rsidRDefault="007123C7" w:rsidP="00E82294">
            <w:pPr>
              <w:pStyle w:val="TableText"/>
              <w:jc w:val="right"/>
            </w:pPr>
            <w:r w:rsidRPr="00510D84">
              <w:t>7</w:t>
            </w:r>
          </w:p>
        </w:tc>
        <w:tc>
          <w:tcPr>
            <w:tcW w:w="824" w:type="dxa"/>
            <w:tcBorders>
              <w:top w:val="nil"/>
            </w:tcBorders>
          </w:tcPr>
          <w:p w14:paraId="344A6516" w14:textId="77777777" w:rsidR="007123C7" w:rsidRPr="00510D84" w:rsidRDefault="007123C7" w:rsidP="00E82294">
            <w:pPr>
              <w:pStyle w:val="TableText"/>
              <w:jc w:val="right"/>
            </w:pPr>
            <w:r w:rsidRPr="00510D84">
              <w:t>35</w:t>
            </w:r>
          </w:p>
        </w:tc>
        <w:tc>
          <w:tcPr>
            <w:tcW w:w="1009" w:type="dxa"/>
            <w:tcBorders>
              <w:top w:val="nil"/>
            </w:tcBorders>
          </w:tcPr>
          <w:p w14:paraId="2514BB8F" w14:textId="77777777" w:rsidR="007123C7" w:rsidRPr="00510D84" w:rsidRDefault="007123C7" w:rsidP="0047339C">
            <w:pPr>
              <w:pStyle w:val="TableText"/>
              <w:jc w:val="right"/>
            </w:pPr>
            <w:r w:rsidRPr="00510D84">
              <w:t>14.6</w:t>
            </w:r>
            <w:r w:rsidR="0047339C">
              <w:br/>
            </w:r>
            <w:r w:rsidRPr="00510D84">
              <w:t>(6.1</w:t>
            </w:r>
            <w:r w:rsidR="0047339C">
              <w:t>, </w:t>
            </w:r>
            <w:r w:rsidRPr="00510D84">
              <w:t>30.8)</w:t>
            </w:r>
          </w:p>
        </w:tc>
        <w:tc>
          <w:tcPr>
            <w:tcW w:w="448" w:type="dxa"/>
            <w:tcBorders>
              <w:top w:val="nil"/>
            </w:tcBorders>
          </w:tcPr>
          <w:p w14:paraId="276C2A21" w14:textId="77777777" w:rsidR="007123C7" w:rsidRPr="00510D84" w:rsidRDefault="007123C7" w:rsidP="00E82294">
            <w:pPr>
              <w:pStyle w:val="TableText"/>
              <w:jc w:val="right"/>
            </w:pPr>
            <w:r w:rsidRPr="00510D84">
              <w:t>58</w:t>
            </w:r>
          </w:p>
        </w:tc>
        <w:tc>
          <w:tcPr>
            <w:tcW w:w="784" w:type="dxa"/>
            <w:tcBorders>
              <w:top w:val="nil"/>
            </w:tcBorders>
          </w:tcPr>
          <w:p w14:paraId="7B98EAE8" w14:textId="77777777" w:rsidR="007123C7" w:rsidRPr="00510D84" w:rsidRDefault="007123C7" w:rsidP="00E82294">
            <w:pPr>
              <w:pStyle w:val="TableText"/>
              <w:jc w:val="right"/>
            </w:pPr>
            <w:r w:rsidRPr="00510D84">
              <w:t>415</w:t>
            </w:r>
          </w:p>
        </w:tc>
        <w:tc>
          <w:tcPr>
            <w:tcW w:w="1009" w:type="dxa"/>
            <w:tcBorders>
              <w:top w:val="nil"/>
            </w:tcBorders>
          </w:tcPr>
          <w:p w14:paraId="3478CBF4" w14:textId="77777777" w:rsidR="007123C7" w:rsidRPr="00D62855" w:rsidRDefault="007123C7" w:rsidP="00E82294">
            <w:pPr>
              <w:pStyle w:val="TableText"/>
              <w:jc w:val="right"/>
            </w:pPr>
            <w:r w:rsidRPr="00D62855">
              <w:t>29.7 (22.5</w:t>
            </w:r>
            <w:r w:rsidR="0047339C">
              <w:t>, </w:t>
            </w:r>
            <w:r w:rsidRPr="00D62855">
              <w:t>38.1)</w:t>
            </w:r>
          </w:p>
        </w:tc>
        <w:tc>
          <w:tcPr>
            <w:tcW w:w="457" w:type="dxa"/>
            <w:tcBorders>
              <w:top w:val="nil"/>
            </w:tcBorders>
          </w:tcPr>
          <w:p w14:paraId="19352B48" w14:textId="77777777" w:rsidR="007123C7" w:rsidRPr="00D62855" w:rsidRDefault="007123C7" w:rsidP="00E82294">
            <w:pPr>
              <w:pStyle w:val="TableText"/>
              <w:jc w:val="right"/>
            </w:pPr>
            <w:r w:rsidRPr="00E603D7">
              <w:t>#</w:t>
            </w:r>
          </w:p>
        </w:tc>
        <w:tc>
          <w:tcPr>
            <w:tcW w:w="775" w:type="dxa"/>
            <w:tcBorders>
              <w:top w:val="nil"/>
            </w:tcBorders>
          </w:tcPr>
          <w:p w14:paraId="27CA2241" w14:textId="77777777" w:rsidR="007123C7" w:rsidRPr="00D62855" w:rsidRDefault="007123C7" w:rsidP="00E82294">
            <w:pPr>
              <w:pStyle w:val="TableText"/>
              <w:jc w:val="right"/>
            </w:pPr>
            <w:r>
              <w:t>–</w:t>
            </w:r>
          </w:p>
        </w:tc>
        <w:tc>
          <w:tcPr>
            <w:tcW w:w="1009" w:type="dxa"/>
            <w:tcBorders>
              <w:top w:val="nil"/>
            </w:tcBorders>
          </w:tcPr>
          <w:p w14:paraId="1090DAD4" w14:textId="77777777" w:rsidR="007123C7" w:rsidRPr="00D62855" w:rsidRDefault="007123C7" w:rsidP="00E82294">
            <w:pPr>
              <w:pStyle w:val="TableText"/>
              <w:jc w:val="right"/>
            </w:pPr>
            <w:r>
              <w:t>–</w:t>
            </w:r>
          </w:p>
        </w:tc>
        <w:tc>
          <w:tcPr>
            <w:tcW w:w="466" w:type="dxa"/>
            <w:tcBorders>
              <w:top w:val="nil"/>
            </w:tcBorders>
          </w:tcPr>
          <w:p w14:paraId="2027A7DF" w14:textId="77777777" w:rsidR="007123C7" w:rsidRPr="00D62855" w:rsidRDefault="007123C7" w:rsidP="00E82294">
            <w:pPr>
              <w:pStyle w:val="TableText"/>
              <w:jc w:val="right"/>
            </w:pPr>
            <w:r w:rsidRPr="00D62855">
              <w:t>19</w:t>
            </w:r>
          </w:p>
        </w:tc>
        <w:tc>
          <w:tcPr>
            <w:tcW w:w="766" w:type="dxa"/>
            <w:tcBorders>
              <w:top w:val="nil"/>
            </w:tcBorders>
          </w:tcPr>
          <w:p w14:paraId="2C5FD9F9" w14:textId="77777777" w:rsidR="007123C7" w:rsidRPr="00D62855" w:rsidRDefault="007123C7" w:rsidP="00E82294">
            <w:pPr>
              <w:pStyle w:val="TableText"/>
              <w:jc w:val="right"/>
            </w:pPr>
            <w:r w:rsidRPr="00D62855">
              <w:t>54</w:t>
            </w:r>
          </w:p>
        </w:tc>
        <w:tc>
          <w:tcPr>
            <w:tcW w:w="1009" w:type="dxa"/>
            <w:tcBorders>
              <w:top w:val="nil"/>
            </w:tcBorders>
          </w:tcPr>
          <w:p w14:paraId="7439F5A1" w14:textId="77777777" w:rsidR="007123C7" w:rsidRPr="00D62855" w:rsidRDefault="007123C7" w:rsidP="0047339C">
            <w:pPr>
              <w:pStyle w:val="TableText"/>
              <w:jc w:val="right"/>
            </w:pPr>
            <w:r w:rsidRPr="00D62855">
              <w:t>10.0</w:t>
            </w:r>
            <w:r w:rsidR="0047339C">
              <w:br/>
            </w:r>
            <w:r w:rsidRPr="00D62855">
              <w:t>(3.3</w:t>
            </w:r>
            <w:r w:rsidR="0047339C">
              <w:t>, </w:t>
            </w:r>
            <w:r w:rsidRPr="00D62855">
              <w:t>26.6)</w:t>
            </w:r>
          </w:p>
        </w:tc>
      </w:tr>
      <w:tr w:rsidR="0047339C" w:rsidRPr="00D62855" w14:paraId="646842BF"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bottom w:val="single" w:sz="4" w:space="0" w:color="000000"/>
            </w:tcBorders>
          </w:tcPr>
          <w:p w14:paraId="4D11BFBA" w14:textId="77777777" w:rsidR="007123C7" w:rsidRPr="00510D84" w:rsidRDefault="007123C7" w:rsidP="00E82294">
            <w:pPr>
              <w:pStyle w:val="TableText"/>
            </w:pPr>
            <w:r w:rsidRPr="00510D84">
              <w:t>Did not use other websites</w:t>
            </w:r>
          </w:p>
        </w:tc>
        <w:tc>
          <w:tcPr>
            <w:tcW w:w="509" w:type="dxa"/>
            <w:tcBorders>
              <w:bottom w:val="single" w:sz="4" w:space="0" w:color="000000"/>
            </w:tcBorders>
          </w:tcPr>
          <w:p w14:paraId="3CF50DE0" w14:textId="77777777" w:rsidR="007123C7" w:rsidRPr="00510D84" w:rsidRDefault="007123C7" w:rsidP="00E82294">
            <w:pPr>
              <w:pStyle w:val="TableText"/>
              <w:jc w:val="right"/>
            </w:pPr>
            <w:r w:rsidRPr="00510D84">
              <w:t>28</w:t>
            </w:r>
          </w:p>
        </w:tc>
        <w:tc>
          <w:tcPr>
            <w:tcW w:w="824" w:type="dxa"/>
            <w:tcBorders>
              <w:bottom w:val="single" w:sz="4" w:space="0" w:color="000000"/>
            </w:tcBorders>
          </w:tcPr>
          <w:p w14:paraId="202212E8" w14:textId="77777777" w:rsidR="007123C7" w:rsidRPr="00510D84" w:rsidRDefault="007123C7" w:rsidP="00E82294">
            <w:pPr>
              <w:pStyle w:val="TableText"/>
              <w:jc w:val="right"/>
            </w:pPr>
            <w:r w:rsidRPr="00510D84">
              <w:t>207</w:t>
            </w:r>
          </w:p>
        </w:tc>
        <w:tc>
          <w:tcPr>
            <w:tcW w:w="1009" w:type="dxa"/>
            <w:tcBorders>
              <w:bottom w:val="single" w:sz="4" w:space="0" w:color="000000"/>
            </w:tcBorders>
          </w:tcPr>
          <w:p w14:paraId="563C2187" w14:textId="77777777" w:rsidR="007123C7" w:rsidRPr="00510D84" w:rsidRDefault="007123C7" w:rsidP="00E82294">
            <w:pPr>
              <w:pStyle w:val="TableText"/>
              <w:jc w:val="right"/>
            </w:pPr>
            <w:r w:rsidRPr="00510D84">
              <w:t>85.4 (69.2</w:t>
            </w:r>
            <w:r w:rsidR="0047339C">
              <w:t>, </w:t>
            </w:r>
            <w:r w:rsidRPr="00510D84">
              <w:t>93.9)</w:t>
            </w:r>
          </w:p>
        </w:tc>
        <w:tc>
          <w:tcPr>
            <w:tcW w:w="448" w:type="dxa"/>
            <w:tcBorders>
              <w:bottom w:val="single" w:sz="4" w:space="0" w:color="000000"/>
            </w:tcBorders>
          </w:tcPr>
          <w:p w14:paraId="5BDF0A50" w14:textId="77777777" w:rsidR="007123C7" w:rsidRPr="00510D84" w:rsidRDefault="007123C7" w:rsidP="00E82294">
            <w:pPr>
              <w:pStyle w:val="TableText"/>
              <w:jc w:val="right"/>
            </w:pPr>
            <w:r w:rsidRPr="00510D84">
              <w:t>147</w:t>
            </w:r>
          </w:p>
        </w:tc>
        <w:tc>
          <w:tcPr>
            <w:tcW w:w="784" w:type="dxa"/>
            <w:tcBorders>
              <w:bottom w:val="single" w:sz="4" w:space="0" w:color="000000"/>
            </w:tcBorders>
          </w:tcPr>
          <w:p w14:paraId="169B89D7" w14:textId="77777777" w:rsidR="007123C7" w:rsidRPr="00510D84" w:rsidRDefault="007123C7" w:rsidP="00E82294">
            <w:pPr>
              <w:pStyle w:val="TableText"/>
              <w:jc w:val="right"/>
            </w:pPr>
            <w:r w:rsidRPr="00510D84">
              <w:t>983</w:t>
            </w:r>
          </w:p>
        </w:tc>
        <w:tc>
          <w:tcPr>
            <w:tcW w:w="1009" w:type="dxa"/>
            <w:tcBorders>
              <w:bottom w:val="single" w:sz="4" w:space="0" w:color="000000"/>
            </w:tcBorders>
          </w:tcPr>
          <w:p w14:paraId="6803AA5C" w14:textId="77777777" w:rsidR="007123C7" w:rsidRPr="00D62855" w:rsidRDefault="007123C7" w:rsidP="00E82294">
            <w:pPr>
              <w:pStyle w:val="TableText"/>
              <w:jc w:val="right"/>
            </w:pPr>
            <w:r w:rsidRPr="00D62855">
              <w:t>70.3 (61.9</w:t>
            </w:r>
            <w:r w:rsidR="0047339C">
              <w:t>, </w:t>
            </w:r>
            <w:r w:rsidRPr="00D62855">
              <w:t>77.5)</w:t>
            </w:r>
          </w:p>
        </w:tc>
        <w:tc>
          <w:tcPr>
            <w:tcW w:w="457" w:type="dxa"/>
            <w:tcBorders>
              <w:bottom w:val="single" w:sz="4" w:space="0" w:color="000000"/>
            </w:tcBorders>
          </w:tcPr>
          <w:p w14:paraId="6FAB8088" w14:textId="77777777" w:rsidR="007123C7" w:rsidRPr="00D62855" w:rsidRDefault="007123C7" w:rsidP="00E82294">
            <w:pPr>
              <w:pStyle w:val="TableText"/>
              <w:jc w:val="right"/>
            </w:pPr>
            <w:r w:rsidRPr="00D62855">
              <w:t>10</w:t>
            </w:r>
          </w:p>
        </w:tc>
        <w:tc>
          <w:tcPr>
            <w:tcW w:w="775" w:type="dxa"/>
            <w:tcBorders>
              <w:bottom w:val="single" w:sz="4" w:space="0" w:color="000000"/>
            </w:tcBorders>
          </w:tcPr>
          <w:p w14:paraId="216EDDF0" w14:textId="77777777" w:rsidR="007123C7" w:rsidRPr="00D62855" w:rsidRDefault="007123C7" w:rsidP="00E82294">
            <w:pPr>
              <w:pStyle w:val="TableText"/>
              <w:jc w:val="right"/>
            </w:pPr>
            <w:r w:rsidRPr="00D62855">
              <w:t>40</w:t>
            </w:r>
          </w:p>
        </w:tc>
        <w:tc>
          <w:tcPr>
            <w:tcW w:w="1009" w:type="dxa"/>
            <w:tcBorders>
              <w:bottom w:val="single" w:sz="4" w:space="0" w:color="000000"/>
            </w:tcBorders>
          </w:tcPr>
          <w:p w14:paraId="354515D5" w14:textId="77777777" w:rsidR="007123C7" w:rsidRPr="00D62855" w:rsidRDefault="007123C7" w:rsidP="0047339C">
            <w:pPr>
              <w:pStyle w:val="TableText"/>
              <w:jc w:val="right"/>
            </w:pPr>
            <w:r w:rsidRPr="00D62855">
              <w:t>17.0</w:t>
            </w:r>
            <w:r w:rsidR="0047339C">
              <w:br/>
            </w:r>
            <w:r w:rsidRPr="00D62855">
              <w:t>(2.7</w:t>
            </w:r>
            <w:r w:rsidR="0047339C">
              <w:t>, </w:t>
            </w:r>
            <w:r w:rsidRPr="00D62855">
              <w:t>60.1)</w:t>
            </w:r>
          </w:p>
        </w:tc>
        <w:tc>
          <w:tcPr>
            <w:tcW w:w="466" w:type="dxa"/>
            <w:tcBorders>
              <w:bottom w:val="single" w:sz="4" w:space="0" w:color="000000"/>
            </w:tcBorders>
          </w:tcPr>
          <w:p w14:paraId="36635775" w14:textId="77777777" w:rsidR="007123C7" w:rsidRPr="00D62855" w:rsidRDefault="007123C7" w:rsidP="00E82294">
            <w:pPr>
              <w:pStyle w:val="TableText"/>
              <w:jc w:val="right"/>
            </w:pPr>
            <w:r w:rsidRPr="00D62855">
              <w:t>52</w:t>
            </w:r>
          </w:p>
        </w:tc>
        <w:tc>
          <w:tcPr>
            <w:tcW w:w="766" w:type="dxa"/>
            <w:tcBorders>
              <w:bottom w:val="single" w:sz="4" w:space="0" w:color="000000"/>
            </w:tcBorders>
          </w:tcPr>
          <w:p w14:paraId="1C1EFD7F" w14:textId="77777777" w:rsidR="007123C7" w:rsidRPr="00D62855" w:rsidRDefault="007123C7" w:rsidP="00E82294">
            <w:pPr>
              <w:pStyle w:val="TableText"/>
              <w:jc w:val="right"/>
            </w:pPr>
            <w:r w:rsidRPr="00D62855">
              <w:t>486</w:t>
            </w:r>
          </w:p>
        </w:tc>
        <w:tc>
          <w:tcPr>
            <w:tcW w:w="1009" w:type="dxa"/>
            <w:tcBorders>
              <w:bottom w:val="single" w:sz="4" w:space="0" w:color="000000"/>
            </w:tcBorders>
          </w:tcPr>
          <w:p w14:paraId="6BEFAA61" w14:textId="77777777" w:rsidR="007123C7" w:rsidRPr="00D62855" w:rsidRDefault="007123C7" w:rsidP="00E82294">
            <w:pPr>
              <w:pStyle w:val="TableText"/>
              <w:jc w:val="right"/>
            </w:pPr>
            <w:r w:rsidRPr="00D62855">
              <w:t>90.0 (73.4</w:t>
            </w:r>
            <w:r w:rsidR="0047339C">
              <w:t>, </w:t>
            </w:r>
            <w:r w:rsidRPr="00D62855">
              <w:t>96.7)</w:t>
            </w:r>
          </w:p>
        </w:tc>
      </w:tr>
      <w:tr w:rsidR="007123C7" w:rsidRPr="000F78B9" w14:paraId="78026744" w14:textId="77777777" w:rsidTr="0047339C">
        <w:trPr>
          <w:cantSplit/>
        </w:trPr>
        <w:tc>
          <w:tcPr>
            <w:tcW w:w="2455" w:type="dxa"/>
            <w:tcBorders>
              <w:top w:val="single" w:sz="4" w:space="0" w:color="000000"/>
              <w:bottom w:val="nil"/>
            </w:tcBorders>
          </w:tcPr>
          <w:p w14:paraId="0ED58ECD" w14:textId="77777777" w:rsidR="007123C7" w:rsidRPr="0016418B" w:rsidRDefault="007123C7" w:rsidP="00E82294">
            <w:pPr>
              <w:pStyle w:val="TableText"/>
              <w:rPr>
                <w:b/>
                <w:bCs/>
                <w:color w:val="000000" w:themeColor="text1"/>
              </w:rPr>
            </w:pPr>
            <w:r w:rsidRPr="0016418B">
              <w:rPr>
                <w:b/>
              </w:rPr>
              <w:t>Probable depressive episode (PHQ-9)</w:t>
            </w:r>
          </w:p>
        </w:tc>
        <w:tc>
          <w:tcPr>
            <w:tcW w:w="2342" w:type="dxa"/>
            <w:gridSpan w:val="3"/>
            <w:tcBorders>
              <w:top w:val="single" w:sz="4" w:space="0" w:color="000000"/>
              <w:bottom w:val="nil"/>
            </w:tcBorders>
          </w:tcPr>
          <w:p w14:paraId="31D41A27" w14:textId="77777777" w:rsidR="007123C7" w:rsidRPr="000F78B9" w:rsidRDefault="007123C7" w:rsidP="00E82294">
            <w:pPr>
              <w:pStyle w:val="TableText"/>
              <w:jc w:val="center"/>
            </w:pPr>
            <w:r>
              <w:t>n</w:t>
            </w:r>
            <w:r w:rsidRPr="000F78B9">
              <w:t>=</w:t>
            </w:r>
            <w:r>
              <w:t>81</w:t>
            </w:r>
            <w:r w:rsidRPr="000F78B9">
              <w:t xml:space="preserve"> (Weighted</w:t>
            </w:r>
            <w:r>
              <w:t xml:space="preserve"> n</w:t>
            </w:r>
            <w:r w:rsidRPr="000F78B9">
              <w:t>=</w:t>
            </w:r>
            <w:r>
              <w:t>568</w:t>
            </w:r>
            <w:r w:rsidRPr="000F78B9">
              <w:t>)</w:t>
            </w:r>
          </w:p>
        </w:tc>
        <w:tc>
          <w:tcPr>
            <w:tcW w:w="2241" w:type="dxa"/>
            <w:gridSpan w:val="3"/>
            <w:tcBorders>
              <w:top w:val="single" w:sz="4" w:space="0" w:color="000000"/>
              <w:bottom w:val="nil"/>
            </w:tcBorders>
          </w:tcPr>
          <w:p w14:paraId="30FC0F2E" w14:textId="77777777" w:rsidR="007123C7" w:rsidRPr="000F78B9" w:rsidRDefault="007123C7" w:rsidP="00E82294">
            <w:pPr>
              <w:pStyle w:val="TableText"/>
              <w:jc w:val="center"/>
            </w:pPr>
            <w:r>
              <w:t xml:space="preserve">n=414 </w:t>
            </w:r>
            <w:r w:rsidRPr="000F78B9">
              <w:t xml:space="preserve">(Weighted </w:t>
            </w:r>
            <w:r>
              <w:t>n</w:t>
            </w:r>
            <w:r w:rsidRPr="000F78B9">
              <w:t>=</w:t>
            </w:r>
            <w:r>
              <w:t>2769</w:t>
            </w:r>
            <w:r w:rsidRPr="000F78B9">
              <w:t>)</w:t>
            </w:r>
          </w:p>
        </w:tc>
        <w:tc>
          <w:tcPr>
            <w:tcW w:w="2241" w:type="dxa"/>
            <w:gridSpan w:val="3"/>
            <w:tcBorders>
              <w:top w:val="single" w:sz="4" w:space="0" w:color="000000"/>
              <w:bottom w:val="nil"/>
            </w:tcBorders>
          </w:tcPr>
          <w:p w14:paraId="50DF165A" w14:textId="77777777" w:rsidR="007123C7" w:rsidRPr="000F78B9" w:rsidRDefault="007123C7" w:rsidP="00E82294">
            <w:pPr>
              <w:pStyle w:val="TableText"/>
              <w:jc w:val="center"/>
            </w:pPr>
            <w:r>
              <w:t>n</w:t>
            </w:r>
            <w:r w:rsidRPr="000F78B9">
              <w:t>=</w:t>
            </w:r>
            <w:r>
              <w:t xml:space="preserve">29 </w:t>
            </w:r>
            <w:r w:rsidRPr="000F78B9">
              <w:t>(Weighted</w:t>
            </w:r>
            <w:r>
              <w:t xml:space="preserve"> n</w:t>
            </w:r>
            <w:r w:rsidRPr="000F78B9">
              <w:t>=</w:t>
            </w:r>
            <w:r>
              <w:t>135</w:t>
            </w:r>
            <w:r w:rsidRPr="000F78B9">
              <w:t>)</w:t>
            </w:r>
          </w:p>
        </w:tc>
        <w:tc>
          <w:tcPr>
            <w:tcW w:w="2241" w:type="dxa"/>
            <w:gridSpan w:val="3"/>
            <w:tcBorders>
              <w:top w:val="single" w:sz="4" w:space="0" w:color="000000"/>
              <w:bottom w:val="nil"/>
            </w:tcBorders>
          </w:tcPr>
          <w:p w14:paraId="19694ED8" w14:textId="77777777" w:rsidR="007123C7" w:rsidRPr="000F78B9" w:rsidRDefault="007123C7" w:rsidP="00E82294">
            <w:pPr>
              <w:pStyle w:val="TableText"/>
              <w:jc w:val="center"/>
            </w:pPr>
            <w:r>
              <w:t>n</w:t>
            </w:r>
            <w:r w:rsidRPr="000F78B9">
              <w:t>=</w:t>
            </w:r>
            <w:r>
              <w:t xml:space="preserve">221 </w:t>
            </w:r>
            <w:r w:rsidRPr="000F78B9">
              <w:t xml:space="preserve">(Weighted </w:t>
            </w:r>
            <w:r>
              <w:t>n</w:t>
            </w:r>
            <w:r w:rsidRPr="000F78B9">
              <w:t>=</w:t>
            </w:r>
            <w:r>
              <w:t>1659</w:t>
            </w:r>
            <w:r w:rsidRPr="000F78B9">
              <w:t>)</w:t>
            </w:r>
          </w:p>
        </w:tc>
      </w:tr>
      <w:tr w:rsidR="0047339C" w:rsidRPr="00510D84" w14:paraId="4A033021"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nil"/>
            </w:tcBorders>
          </w:tcPr>
          <w:p w14:paraId="0F40A1C1" w14:textId="77777777" w:rsidR="007123C7" w:rsidRPr="00510D84" w:rsidRDefault="007123C7" w:rsidP="00E82294">
            <w:pPr>
              <w:pStyle w:val="TableText"/>
            </w:pPr>
            <w:r w:rsidRPr="00510D84">
              <w:t xml:space="preserve">Used other websites </w:t>
            </w:r>
          </w:p>
        </w:tc>
        <w:tc>
          <w:tcPr>
            <w:tcW w:w="509" w:type="dxa"/>
            <w:tcBorders>
              <w:top w:val="nil"/>
            </w:tcBorders>
          </w:tcPr>
          <w:p w14:paraId="3D8A1AF1" w14:textId="77777777" w:rsidR="007123C7" w:rsidRPr="00510D84" w:rsidRDefault="007123C7" w:rsidP="00E82294">
            <w:pPr>
              <w:pStyle w:val="TableText"/>
              <w:jc w:val="right"/>
            </w:pPr>
            <w:r w:rsidRPr="00510D84">
              <w:t>18</w:t>
            </w:r>
          </w:p>
        </w:tc>
        <w:tc>
          <w:tcPr>
            <w:tcW w:w="824" w:type="dxa"/>
            <w:tcBorders>
              <w:top w:val="nil"/>
            </w:tcBorders>
          </w:tcPr>
          <w:p w14:paraId="7638615F" w14:textId="77777777" w:rsidR="007123C7" w:rsidRPr="00510D84" w:rsidRDefault="007123C7" w:rsidP="00E82294">
            <w:pPr>
              <w:pStyle w:val="TableText"/>
              <w:jc w:val="right"/>
            </w:pPr>
            <w:r w:rsidRPr="00510D84">
              <w:t>109</w:t>
            </w:r>
          </w:p>
        </w:tc>
        <w:tc>
          <w:tcPr>
            <w:tcW w:w="1009" w:type="dxa"/>
            <w:tcBorders>
              <w:top w:val="nil"/>
            </w:tcBorders>
          </w:tcPr>
          <w:p w14:paraId="6BFC60D6" w14:textId="77777777" w:rsidR="007123C7" w:rsidRPr="00510D84" w:rsidRDefault="007123C7" w:rsidP="00E82294">
            <w:pPr>
              <w:pStyle w:val="TableText"/>
              <w:jc w:val="right"/>
            </w:pPr>
            <w:r w:rsidRPr="00510D84">
              <w:t>19.2 (11.3</w:t>
            </w:r>
            <w:r w:rsidR="0047339C">
              <w:t>, </w:t>
            </w:r>
            <w:r w:rsidRPr="00510D84">
              <w:t>30.6)</w:t>
            </w:r>
          </w:p>
        </w:tc>
        <w:tc>
          <w:tcPr>
            <w:tcW w:w="448" w:type="dxa"/>
            <w:tcBorders>
              <w:top w:val="nil"/>
            </w:tcBorders>
          </w:tcPr>
          <w:p w14:paraId="4C1BDE2A" w14:textId="77777777" w:rsidR="007123C7" w:rsidRPr="00510D84" w:rsidRDefault="007123C7" w:rsidP="00E82294">
            <w:pPr>
              <w:pStyle w:val="TableText"/>
              <w:jc w:val="right"/>
            </w:pPr>
            <w:r w:rsidRPr="00510D84">
              <w:t>125</w:t>
            </w:r>
          </w:p>
        </w:tc>
        <w:tc>
          <w:tcPr>
            <w:tcW w:w="784" w:type="dxa"/>
            <w:tcBorders>
              <w:top w:val="nil"/>
            </w:tcBorders>
          </w:tcPr>
          <w:p w14:paraId="6426C4CD" w14:textId="77777777" w:rsidR="007123C7" w:rsidRPr="00510D84" w:rsidRDefault="007123C7" w:rsidP="00E82294">
            <w:pPr>
              <w:pStyle w:val="TableText"/>
              <w:jc w:val="right"/>
            </w:pPr>
            <w:r w:rsidRPr="00510D84">
              <w:t>788</w:t>
            </w:r>
          </w:p>
        </w:tc>
        <w:tc>
          <w:tcPr>
            <w:tcW w:w="1009" w:type="dxa"/>
            <w:tcBorders>
              <w:top w:val="nil"/>
            </w:tcBorders>
          </w:tcPr>
          <w:p w14:paraId="3E58DA9E" w14:textId="77777777" w:rsidR="007123C7" w:rsidRPr="00510D84" w:rsidRDefault="007123C7" w:rsidP="00E82294">
            <w:pPr>
              <w:pStyle w:val="TableText"/>
              <w:jc w:val="right"/>
            </w:pPr>
            <w:r w:rsidRPr="00510D84">
              <w:t>28.4 (23.6</w:t>
            </w:r>
            <w:r w:rsidR="0047339C">
              <w:t>, </w:t>
            </w:r>
            <w:r w:rsidRPr="00510D84">
              <w:t>33.8)</w:t>
            </w:r>
          </w:p>
        </w:tc>
        <w:tc>
          <w:tcPr>
            <w:tcW w:w="457" w:type="dxa"/>
            <w:tcBorders>
              <w:top w:val="nil"/>
            </w:tcBorders>
          </w:tcPr>
          <w:p w14:paraId="71C7B9AF" w14:textId="77777777" w:rsidR="007123C7" w:rsidRPr="00510D84" w:rsidRDefault="007123C7" w:rsidP="00E82294">
            <w:pPr>
              <w:pStyle w:val="TableText"/>
              <w:jc w:val="right"/>
            </w:pPr>
            <w:r w:rsidRPr="00510D84">
              <w:t>5</w:t>
            </w:r>
          </w:p>
        </w:tc>
        <w:tc>
          <w:tcPr>
            <w:tcW w:w="775" w:type="dxa"/>
            <w:tcBorders>
              <w:top w:val="nil"/>
            </w:tcBorders>
          </w:tcPr>
          <w:p w14:paraId="162B6A0F" w14:textId="77777777" w:rsidR="007123C7" w:rsidRPr="00510D84" w:rsidRDefault="007123C7" w:rsidP="00E82294">
            <w:pPr>
              <w:pStyle w:val="TableText"/>
              <w:jc w:val="right"/>
            </w:pPr>
            <w:r w:rsidRPr="00510D84">
              <w:t>12</w:t>
            </w:r>
          </w:p>
        </w:tc>
        <w:tc>
          <w:tcPr>
            <w:tcW w:w="1009" w:type="dxa"/>
            <w:tcBorders>
              <w:top w:val="nil"/>
            </w:tcBorders>
          </w:tcPr>
          <w:p w14:paraId="1A90821D" w14:textId="77777777" w:rsidR="007123C7" w:rsidRPr="00510D84" w:rsidRDefault="007123C7" w:rsidP="0047339C">
            <w:pPr>
              <w:pStyle w:val="TableText"/>
              <w:jc w:val="right"/>
            </w:pPr>
            <w:r w:rsidRPr="00510D84">
              <w:t>9.2</w:t>
            </w:r>
            <w:r w:rsidR="0047339C">
              <w:br/>
            </w:r>
            <w:r w:rsidRPr="00510D84">
              <w:t>(4.2</w:t>
            </w:r>
            <w:r w:rsidR="0047339C">
              <w:t>, </w:t>
            </w:r>
            <w:r w:rsidRPr="00510D84">
              <w:t>19.0)</w:t>
            </w:r>
          </w:p>
        </w:tc>
        <w:tc>
          <w:tcPr>
            <w:tcW w:w="466" w:type="dxa"/>
            <w:tcBorders>
              <w:top w:val="nil"/>
            </w:tcBorders>
          </w:tcPr>
          <w:p w14:paraId="34DC6302" w14:textId="77777777" w:rsidR="007123C7" w:rsidRPr="00510D84" w:rsidRDefault="007123C7" w:rsidP="00E82294">
            <w:pPr>
              <w:pStyle w:val="TableText"/>
              <w:jc w:val="right"/>
            </w:pPr>
            <w:r w:rsidRPr="00510D84">
              <w:t>67</w:t>
            </w:r>
          </w:p>
        </w:tc>
        <w:tc>
          <w:tcPr>
            <w:tcW w:w="766" w:type="dxa"/>
            <w:tcBorders>
              <w:top w:val="nil"/>
            </w:tcBorders>
          </w:tcPr>
          <w:p w14:paraId="05CF20B7" w14:textId="77777777" w:rsidR="007123C7" w:rsidRPr="00510D84" w:rsidRDefault="007123C7" w:rsidP="00E82294">
            <w:pPr>
              <w:pStyle w:val="TableText"/>
              <w:jc w:val="right"/>
            </w:pPr>
            <w:r w:rsidRPr="00510D84">
              <w:t>575</w:t>
            </w:r>
          </w:p>
        </w:tc>
        <w:tc>
          <w:tcPr>
            <w:tcW w:w="1009" w:type="dxa"/>
            <w:tcBorders>
              <w:top w:val="nil"/>
            </w:tcBorders>
          </w:tcPr>
          <w:p w14:paraId="7626CFEA" w14:textId="77777777" w:rsidR="007123C7" w:rsidRPr="00510D84" w:rsidRDefault="007123C7" w:rsidP="00E82294">
            <w:pPr>
              <w:pStyle w:val="TableText"/>
              <w:jc w:val="right"/>
            </w:pPr>
            <w:r w:rsidRPr="00510D84">
              <w:t>34.7 (14.7</w:t>
            </w:r>
            <w:r w:rsidR="0047339C">
              <w:t>, </w:t>
            </w:r>
            <w:r w:rsidRPr="00510D84">
              <w:t>62.1)</w:t>
            </w:r>
          </w:p>
        </w:tc>
      </w:tr>
      <w:tr w:rsidR="0047339C" w:rsidRPr="00510D84" w14:paraId="31A2393E" w14:textId="77777777" w:rsidTr="0047339C">
        <w:trPr>
          <w:cantSplit/>
        </w:trPr>
        <w:tc>
          <w:tcPr>
            <w:tcW w:w="2455" w:type="dxa"/>
            <w:tcBorders>
              <w:bottom w:val="single" w:sz="4" w:space="0" w:color="000000"/>
            </w:tcBorders>
          </w:tcPr>
          <w:p w14:paraId="775A4005" w14:textId="77777777" w:rsidR="007123C7" w:rsidRPr="00510D84" w:rsidRDefault="007123C7" w:rsidP="00E82294">
            <w:pPr>
              <w:pStyle w:val="TableText"/>
            </w:pPr>
            <w:r w:rsidRPr="00510D84">
              <w:t>Did not use other websites</w:t>
            </w:r>
          </w:p>
        </w:tc>
        <w:tc>
          <w:tcPr>
            <w:tcW w:w="509" w:type="dxa"/>
            <w:tcBorders>
              <w:bottom w:val="single" w:sz="4" w:space="0" w:color="000000"/>
            </w:tcBorders>
          </w:tcPr>
          <w:p w14:paraId="5C56FE72" w14:textId="77777777" w:rsidR="007123C7" w:rsidRPr="00510D84" w:rsidRDefault="007123C7" w:rsidP="00E82294">
            <w:pPr>
              <w:pStyle w:val="TableText"/>
              <w:jc w:val="right"/>
            </w:pPr>
            <w:r w:rsidRPr="00510D84">
              <w:t>63</w:t>
            </w:r>
          </w:p>
        </w:tc>
        <w:tc>
          <w:tcPr>
            <w:tcW w:w="824" w:type="dxa"/>
            <w:tcBorders>
              <w:bottom w:val="single" w:sz="4" w:space="0" w:color="000000"/>
            </w:tcBorders>
          </w:tcPr>
          <w:p w14:paraId="106C345B" w14:textId="77777777" w:rsidR="007123C7" w:rsidRPr="00510D84" w:rsidRDefault="007123C7" w:rsidP="00E82294">
            <w:pPr>
              <w:pStyle w:val="TableText"/>
              <w:jc w:val="right"/>
            </w:pPr>
            <w:r w:rsidRPr="00510D84">
              <w:t>459</w:t>
            </w:r>
          </w:p>
        </w:tc>
        <w:tc>
          <w:tcPr>
            <w:tcW w:w="1009" w:type="dxa"/>
            <w:tcBorders>
              <w:bottom w:val="single" w:sz="4" w:space="0" w:color="000000"/>
            </w:tcBorders>
          </w:tcPr>
          <w:p w14:paraId="222151D7" w14:textId="77777777" w:rsidR="007123C7" w:rsidRPr="00510D84" w:rsidRDefault="007123C7" w:rsidP="00E82294">
            <w:pPr>
              <w:pStyle w:val="TableText"/>
              <w:jc w:val="right"/>
            </w:pPr>
            <w:r w:rsidRPr="00510D84">
              <w:t>80.8 (69.4</w:t>
            </w:r>
            <w:r w:rsidR="0047339C">
              <w:t>, </w:t>
            </w:r>
            <w:r w:rsidRPr="00510D84">
              <w:t>88.7)</w:t>
            </w:r>
          </w:p>
        </w:tc>
        <w:tc>
          <w:tcPr>
            <w:tcW w:w="448" w:type="dxa"/>
            <w:tcBorders>
              <w:bottom w:val="single" w:sz="4" w:space="0" w:color="000000"/>
            </w:tcBorders>
          </w:tcPr>
          <w:p w14:paraId="734D6338" w14:textId="77777777" w:rsidR="007123C7" w:rsidRPr="00510D84" w:rsidRDefault="007123C7" w:rsidP="00E82294">
            <w:pPr>
              <w:pStyle w:val="TableText"/>
              <w:jc w:val="right"/>
            </w:pPr>
            <w:r w:rsidRPr="00510D84">
              <w:t>289</w:t>
            </w:r>
          </w:p>
        </w:tc>
        <w:tc>
          <w:tcPr>
            <w:tcW w:w="784" w:type="dxa"/>
            <w:tcBorders>
              <w:bottom w:val="single" w:sz="4" w:space="0" w:color="000000"/>
            </w:tcBorders>
          </w:tcPr>
          <w:p w14:paraId="7AE44B6F" w14:textId="77777777" w:rsidR="007123C7" w:rsidRPr="00510D84" w:rsidRDefault="007123C7" w:rsidP="00E82294">
            <w:pPr>
              <w:pStyle w:val="TableText"/>
              <w:jc w:val="right"/>
            </w:pPr>
            <w:r w:rsidRPr="00510D84">
              <w:t>1982</w:t>
            </w:r>
          </w:p>
        </w:tc>
        <w:tc>
          <w:tcPr>
            <w:tcW w:w="1009" w:type="dxa"/>
            <w:tcBorders>
              <w:bottom w:val="single" w:sz="4" w:space="0" w:color="000000"/>
            </w:tcBorders>
          </w:tcPr>
          <w:p w14:paraId="232ED757" w14:textId="77777777" w:rsidR="007123C7" w:rsidRPr="00510D84" w:rsidRDefault="007123C7" w:rsidP="00E82294">
            <w:pPr>
              <w:pStyle w:val="TableText"/>
              <w:jc w:val="right"/>
            </w:pPr>
            <w:r w:rsidRPr="00510D84">
              <w:t>71.6 (66.2</w:t>
            </w:r>
            <w:r w:rsidR="0047339C">
              <w:t>, </w:t>
            </w:r>
            <w:r w:rsidRPr="00510D84">
              <w:t>76.4)</w:t>
            </w:r>
          </w:p>
        </w:tc>
        <w:tc>
          <w:tcPr>
            <w:tcW w:w="457" w:type="dxa"/>
            <w:tcBorders>
              <w:bottom w:val="single" w:sz="4" w:space="0" w:color="000000"/>
            </w:tcBorders>
          </w:tcPr>
          <w:p w14:paraId="5707DB61" w14:textId="77777777" w:rsidR="007123C7" w:rsidRPr="00510D84" w:rsidRDefault="007123C7" w:rsidP="00E82294">
            <w:pPr>
              <w:pStyle w:val="TableText"/>
              <w:jc w:val="right"/>
            </w:pPr>
            <w:r w:rsidRPr="00510D84">
              <w:t>24</w:t>
            </w:r>
          </w:p>
        </w:tc>
        <w:tc>
          <w:tcPr>
            <w:tcW w:w="775" w:type="dxa"/>
            <w:tcBorders>
              <w:bottom w:val="single" w:sz="4" w:space="0" w:color="000000"/>
            </w:tcBorders>
          </w:tcPr>
          <w:p w14:paraId="6377E99C" w14:textId="77777777" w:rsidR="007123C7" w:rsidRPr="00510D84" w:rsidRDefault="007123C7" w:rsidP="00E82294">
            <w:pPr>
              <w:pStyle w:val="TableText"/>
              <w:jc w:val="right"/>
            </w:pPr>
            <w:r w:rsidRPr="00510D84">
              <w:t>123</w:t>
            </w:r>
          </w:p>
        </w:tc>
        <w:tc>
          <w:tcPr>
            <w:tcW w:w="1009" w:type="dxa"/>
            <w:tcBorders>
              <w:bottom w:val="single" w:sz="4" w:space="0" w:color="000000"/>
            </w:tcBorders>
          </w:tcPr>
          <w:p w14:paraId="0A49E98E" w14:textId="77777777" w:rsidR="007123C7" w:rsidRPr="00510D84" w:rsidRDefault="007123C7" w:rsidP="00E82294">
            <w:pPr>
              <w:pStyle w:val="TableText"/>
              <w:jc w:val="right"/>
            </w:pPr>
            <w:r w:rsidRPr="00510D84">
              <w:t>90.8 (81.0</w:t>
            </w:r>
            <w:r w:rsidR="0047339C">
              <w:t>, </w:t>
            </w:r>
            <w:r w:rsidRPr="00510D84">
              <w:t>95.8)</w:t>
            </w:r>
          </w:p>
        </w:tc>
        <w:tc>
          <w:tcPr>
            <w:tcW w:w="466" w:type="dxa"/>
            <w:tcBorders>
              <w:bottom w:val="single" w:sz="4" w:space="0" w:color="000000"/>
            </w:tcBorders>
          </w:tcPr>
          <w:p w14:paraId="5091A4EE" w14:textId="77777777" w:rsidR="007123C7" w:rsidRPr="00510D84" w:rsidRDefault="007123C7" w:rsidP="00E82294">
            <w:pPr>
              <w:pStyle w:val="TableText"/>
              <w:jc w:val="right"/>
            </w:pPr>
            <w:r w:rsidRPr="00510D84">
              <w:t>154</w:t>
            </w:r>
          </w:p>
        </w:tc>
        <w:tc>
          <w:tcPr>
            <w:tcW w:w="766" w:type="dxa"/>
            <w:tcBorders>
              <w:bottom w:val="single" w:sz="4" w:space="0" w:color="000000"/>
            </w:tcBorders>
          </w:tcPr>
          <w:p w14:paraId="7E712F13" w14:textId="77777777" w:rsidR="007123C7" w:rsidRPr="00510D84" w:rsidRDefault="007123C7" w:rsidP="00E82294">
            <w:pPr>
              <w:pStyle w:val="TableText"/>
              <w:jc w:val="right"/>
            </w:pPr>
            <w:r w:rsidRPr="00510D84">
              <w:t>1083</w:t>
            </w:r>
          </w:p>
        </w:tc>
        <w:tc>
          <w:tcPr>
            <w:tcW w:w="1009" w:type="dxa"/>
            <w:tcBorders>
              <w:bottom w:val="single" w:sz="4" w:space="0" w:color="000000"/>
            </w:tcBorders>
          </w:tcPr>
          <w:p w14:paraId="5727EC54" w14:textId="77777777" w:rsidR="007123C7" w:rsidRPr="00510D84" w:rsidRDefault="007123C7" w:rsidP="00E82294">
            <w:pPr>
              <w:pStyle w:val="TableText"/>
              <w:jc w:val="right"/>
            </w:pPr>
            <w:r w:rsidRPr="00510D84">
              <w:t>65.3 (37.9</w:t>
            </w:r>
            <w:r w:rsidR="0047339C">
              <w:t>, </w:t>
            </w:r>
            <w:r w:rsidRPr="00510D84">
              <w:t>85.3)</w:t>
            </w:r>
          </w:p>
        </w:tc>
      </w:tr>
      <w:tr w:rsidR="007123C7" w:rsidRPr="000F78B9" w14:paraId="09EB67B4"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single" w:sz="4" w:space="0" w:color="000000"/>
              <w:bottom w:val="nil"/>
            </w:tcBorders>
          </w:tcPr>
          <w:p w14:paraId="377ADA7D" w14:textId="77777777" w:rsidR="007123C7" w:rsidRPr="0016418B" w:rsidRDefault="007123C7" w:rsidP="00E82294">
            <w:pPr>
              <w:pStyle w:val="TableText"/>
              <w:rPr>
                <w:b/>
              </w:rPr>
            </w:pPr>
            <w:r w:rsidRPr="0016418B">
              <w:rPr>
                <w:b/>
              </w:rPr>
              <w:t>Any 12-month suicidal ideation and behaviour</w:t>
            </w:r>
          </w:p>
        </w:tc>
        <w:tc>
          <w:tcPr>
            <w:tcW w:w="2342" w:type="dxa"/>
            <w:gridSpan w:val="3"/>
            <w:tcBorders>
              <w:top w:val="single" w:sz="4" w:space="0" w:color="000000"/>
              <w:bottom w:val="nil"/>
            </w:tcBorders>
          </w:tcPr>
          <w:p w14:paraId="7F1CB483" w14:textId="77777777" w:rsidR="007123C7" w:rsidRPr="000F78B9" w:rsidRDefault="007123C7" w:rsidP="00E82294">
            <w:pPr>
              <w:pStyle w:val="TableText"/>
              <w:jc w:val="center"/>
            </w:pPr>
            <w:r>
              <w:t>n</w:t>
            </w:r>
            <w:r w:rsidRPr="000F78B9">
              <w:t>=</w:t>
            </w:r>
            <w:r>
              <w:t>217</w:t>
            </w:r>
            <w:r w:rsidRPr="000F78B9">
              <w:t xml:space="preserve"> (Weighted</w:t>
            </w:r>
            <w:r>
              <w:t xml:space="preserve"> n</w:t>
            </w:r>
            <w:r w:rsidRPr="000F78B9">
              <w:t>=</w:t>
            </w:r>
            <w:r>
              <w:t>1416</w:t>
            </w:r>
            <w:r w:rsidRPr="000F78B9">
              <w:t>)</w:t>
            </w:r>
          </w:p>
        </w:tc>
        <w:tc>
          <w:tcPr>
            <w:tcW w:w="2241" w:type="dxa"/>
            <w:gridSpan w:val="3"/>
            <w:tcBorders>
              <w:top w:val="single" w:sz="4" w:space="0" w:color="000000"/>
              <w:bottom w:val="nil"/>
            </w:tcBorders>
          </w:tcPr>
          <w:p w14:paraId="0B461442" w14:textId="77777777" w:rsidR="007123C7" w:rsidRPr="000F78B9" w:rsidRDefault="007123C7" w:rsidP="00E82294">
            <w:pPr>
              <w:pStyle w:val="TableText"/>
              <w:jc w:val="center"/>
            </w:pPr>
            <w:r>
              <w:t xml:space="preserve">n=903 </w:t>
            </w:r>
            <w:r w:rsidRPr="000F78B9">
              <w:t xml:space="preserve">(Weighted </w:t>
            </w:r>
            <w:r>
              <w:t>n</w:t>
            </w:r>
            <w:r w:rsidRPr="000F78B9">
              <w:t>=</w:t>
            </w:r>
            <w:r>
              <w:t>6125</w:t>
            </w:r>
            <w:r w:rsidRPr="000F78B9">
              <w:t>)</w:t>
            </w:r>
          </w:p>
        </w:tc>
        <w:tc>
          <w:tcPr>
            <w:tcW w:w="2241" w:type="dxa"/>
            <w:gridSpan w:val="3"/>
            <w:tcBorders>
              <w:top w:val="single" w:sz="4" w:space="0" w:color="000000"/>
              <w:bottom w:val="nil"/>
            </w:tcBorders>
          </w:tcPr>
          <w:p w14:paraId="1A83D576" w14:textId="77777777" w:rsidR="007123C7" w:rsidRPr="000F78B9" w:rsidRDefault="007123C7" w:rsidP="00E82294">
            <w:pPr>
              <w:pStyle w:val="TableText"/>
              <w:jc w:val="center"/>
            </w:pPr>
            <w:r>
              <w:t>n</w:t>
            </w:r>
            <w:r w:rsidRPr="000F78B9">
              <w:t>=</w:t>
            </w:r>
            <w:r>
              <w:t xml:space="preserve">167 </w:t>
            </w:r>
            <w:r w:rsidRPr="000F78B9">
              <w:t>(Weighted</w:t>
            </w:r>
            <w:r>
              <w:t xml:space="preserve"> n</w:t>
            </w:r>
            <w:r w:rsidRPr="000F78B9">
              <w:t>=</w:t>
            </w:r>
            <w:r>
              <w:t>1087</w:t>
            </w:r>
            <w:r w:rsidRPr="000F78B9">
              <w:t>)</w:t>
            </w:r>
          </w:p>
        </w:tc>
        <w:tc>
          <w:tcPr>
            <w:tcW w:w="2241" w:type="dxa"/>
            <w:gridSpan w:val="3"/>
            <w:tcBorders>
              <w:top w:val="single" w:sz="4" w:space="0" w:color="000000"/>
              <w:bottom w:val="nil"/>
            </w:tcBorders>
          </w:tcPr>
          <w:p w14:paraId="4EA0CD28" w14:textId="77777777" w:rsidR="007123C7" w:rsidRPr="000F78B9" w:rsidRDefault="007123C7" w:rsidP="00E82294">
            <w:pPr>
              <w:pStyle w:val="TableText"/>
              <w:jc w:val="center"/>
            </w:pPr>
            <w:r>
              <w:t>n</w:t>
            </w:r>
            <w:r w:rsidRPr="000F78B9">
              <w:t>=</w:t>
            </w:r>
            <w:r>
              <w:t xml:space="preserve">807 </w:t>
            </w:r>
            <w:r w:rsidRPr="000F78B9">
              <w:t xml:space="preserve">(Weighted </w:t>
            </w:r>
            <w:r>
              <w:t>n</w:t>
            </w:r>
            <w:r w:rsidRPr="000F78B9">
              <w:t>=</w:t>
            </w:r>
            <w:r>
              <w:t>6157</w:t>
            </w:r>
            <w:r w:rsidRPr="000F78B9">
              <w:t>)</w:t>
            </w:r>
          </w:p>
        </w:tc>
      </w:tr>
      <w:tr w:rsidR="0047339C" w:rsidRPr="00510D84" w14:paraId="252A996A" w14:textId="77777777" w:rsidTr="0047339C">
        <w:trPr>
          <w:cantSplit/>
        </w:trPr>
        <w:tc>
          <w:tcPr>
            <w:tcW w:w="2455" w:type="dxa"/>
            <w:tcBorders>
              <w:top w:val="nil"/>
            </w:tcBorders>
          </w:tcPr>
          <w:p w14:paraId="26F614A5" w14:textId="77777777" w:rsidR="007123C7" w:rsidRPr="00510D84" w:rsidRDefault="007123C7" w:rsidP="00E82294">
            <w:pPr>
              <w:pStyle w:val="TableText"/>
            </w:pPr>
            <w:r w:rsidRPr="00510D84">
              <w:t xml:space="preserve">Used other websites </w:t>
            </w:r>
          </w:p>
        </w:tc>
        <w:tc>
          <w:tcPr>
            <w:tcW w:w="509" w:type="dxa"/>
            <w:tcBorders>
              <w:top w:val="nil"/>
            </w:tcBorders>
          </w:tcPr>
          <w:p w14:paraId="4982D6E2" w14:textId="77777777" w:rsidR="007123C7" w:rsidRPr="00510D84" w:rsidRDefault="007123C7" w:rsidP="00E82294">
            <w:pPr>
              <w:pStyle w:val="TableText"/>
              <w:jc w:val="right"/>
            </w:pPr>
            <w:r w:rsidRPr="00510D84">
              <w:t>51</w:t>
            </w:r>
          </w:p>
        </w:tc>
        <w:tc>
          <w:tcPr>
            <w:tcW w:w="824" w:type="dxa"/>
            <w:tcBorders>
              <w:top w:val="nil"/>
            </w:tcBorders>
          </w:tcPr>
          <w:p w14:paraId="3B7A66E1" w14:textId="77777777" w:rsidR="007123C7" w:rsidRPr="00510D84" w:rsidRDefault="007123C7" w:rsidP="00E82294">
            <w:pPr>
              <w:pStyle w:val="TableText"/>
              <w:jc w:val="right"/>
            </w:pPr>
            <w:r w:rsidRPr="00510D84">
              <w:t>319</w:t>
            </w:r>
          </w:p>
        </w:tc>
        <w:tc>
          <w:tcPr>
            <w:tcW w:w="1009" w:type="dxa"/>
            <w:tcBorders>
              <w:top w:val="nil"/>
            </w:tcBorders>
          </w:tcPr>
          <w:p w14:paraId="61C9AA37" w14:textId="77777777" w:rsidR="007123C7" w:rsidRPr="00510D84" w:rsidRDefault="007123C7" w:rsidP="00E82294">
            <w:pPr>
              <w:pStyle w:val="TableText"/>
              <w:jc w:val="right"/>
            </w:pPr>
            <w:r w:rsidRPr="00510D84">
              <w:t>22.5 (16.7</w:t>
            </w:r>
            <w:r w:rsidR="0047339C">
              <w:t>, </w:t>
            </w:r>
            <w:r w:rsidRPr="00510D84">
              <w:t>29.6)</w:t>
            </w:r>
          </w:p>
        </w:tc>
        <w:tc>
          <w:tcPr>
            <w:tcW w:w="448" w:type="dxa"/>
            <w:tcBorders>
              <w:top w:val="nil"/>
            </w:tcBorders>
          </w:tcPr>
          <w:p w14:paraId="1093F014" w14:textId="77777777" w:rsidR="007123C7" w:rsidRPr="00510D84" w:rsidRDefault="007123C7" w:rsidP="00E82294">
            <w:pPr>
              <w:pStyle w:val="TableText"/>
              <w:jc w:val="right"/>
            </w:pPr>
            <w:r w:rsidRPr="00510D84">
              <w:t>272</w:t>
            </w:r>
          </w:p>
        </w:tc>
        <w:tc>
          <w:tcPr>
            <w:tcW w:w="784" w:type="dxa"/>
            <w:tcBorders>
              <w:top w:val="nil"/>
            </w:tcBorders>
          </w:tcPr>
          <w:p w14:paraId="166DD88E" w14:textId="77777777" w:rsidR="007123C7" w:rsidRPr="00510D84" w:rsidRDefault="007123C7" w:rsidP="00E82294">
            <w:pPr>
              <w:pStyle w:val="TableText"/>
              <w:jc w:val="right"/>
            </w:pPr>
            <w:r w:rsidRPr="00510D84">
              <w:t>1800</w:t>
            </w:r>
          </w:p>
        </w:tc>
        <w:tc>
          <w:tcPr>
            <w:tcW w:w="1009" w:type="dxa"/>
            <w:tcBorders>
              <w:top w:val="nil"/>
            </w:tcBorders>
          </w:tcPr>
          <w:p w14:paraId="0F197649" w14:textId="77777777" w:rsidR="007123C7" w:rsidRPr="00510D84" w:rsidRDefault="007123C7" w:rsidP="00E82294">
            <w:pPr>
              <w:pStyle w:val="TableText"/>
              <w:jc w:val="right"/>
            </w:pPr>
            <w:r w:rsidRPr="00510D84">
              <w:t>29.4 (25.9</w:t>
            </w:r>
            <w:r w:rsidR="0047339C">
              <w:t>, </w:t>
            </w:r>
            <w:r w:rsidRPr="00510D84">
              <w:t>33.1)</w:t>
            </w:r>
          </w:p>
        </w:tc>
        <w:tc>
          <w:tcPr>
            <w:tcW w:w="457" w:type="dxa"/>
            <w:tcBorders>
              <w:top w:val="nil"/>
            </w:tcBorders>
          </w:tcPr>
          <w:p w14:paraId="5EDB98EC" w14:textId="77777777" w:rsidR="007123C7" w:rsidRPr="00510D84" w:rsidRDefault="007123C7" w:rsidP="00E82294">
            <w:pPr>
              <w:pStyle w:val="TableText"/>
              <w:jc w:val="right"/>
            </w:pPr>
            <w:r w:rsidRPr="00510D84">
              <w:t>42</w:t>
            </w:r>
          </w:p>
        </w:tc>
        <w:tc>
          <w:tcPr>
            <w:tcW w:w="775" w:type="dxa"/>
            <w:tcBorders>
              <w:top w:val="nil"/>
            </w:tcBorders>
          </w:tcPr>
          <w:p w14:paraId="29867DBD" w14:textId="77777777" w:rsidR="007123C7" w:rsidRPr="00510D84" w:rsidRDefault="007123C7" w:rsidP="00E82294">
            <w:pPr>
              <w:pStyle w:val="TableText"/>
              <w:jc w:val="right"/>
            </w:pPr>
            <w:r w:rsidRPr="00510D84">
              <w:t>261</w:t>
            </w:r>
          </w:p>
        </w:tc>
        <w:tc>
          <w:tcPr>
            <w:tcW w:w="1009" w:type="dxa"/>
            <w:tcBorders>
              <w:top w:val="nil"/>
            </w:tcBorders>
          </w:tcPr>
          <w:p w14:paraId="279273A2" w14:textId="77777777" w:rsidR="007123C7" w:rsidRPr="00510D84" w:rsidRDefault="007123C7" w:rsidP="0047339C">
            <w:pPr>
              <w:pStyle w:val="TableText"/>
              <w:jc w:val="right"/>
            </w:pPr>
            <w:r w:rsidRPr="00510D84">
              <w:t>24.0</w:t>
            </w:r>
            <w:r w:rsidR="0047339C">
              <w:br/>
            </w:r>
            <w:r w:rsidRPr="00510D84">
              <w:t>(9.0</w:t>
            </w:r>
            <w:r w:rsidR="0047339C">
              <w:t>, </w:t>
            </w:r>
            <w:r w:rsidRPr="00510D84">
              <w:t>50.1)</w:t>
            </w:r>
          </w:p>
        </w:tc>
        <w:tc>
          <w:tcPr>
            <w:tcW w:w="466" w:type="dxa"/>
            <w:tcBorders>
              <w:top w:val="nil"/>
            </w:tcBorders>
          </w:tcPr>
          <w:p w14:paraId="386ADBA1" w14:textId="77777777" w:rsidR="007123C7" w:rsidRPr="00510D84" w:rsidRDefault="007123C7" w:rsidP="00E82294">
            <w:pPr>
              <w:pStyle w:val="TableText"/>
              <w:jc w:val="right"/>
            </w:pPr>
            <w:r w:rsidRPr="00510D84">
              <w:t>231</w:t>
            </w:r>
          </w:p>
        </w:tc>
        <w:tc>
          <w:tcPr>
            <w:tcW w:w="766" w:type="dxa"/>
            <w:tcBorders>
              <w:top w:val="nil"/>
            </w:tcBorders>
          </w:tcPr>
          <w:p w14:paraId="767877CB" w14:textId="77777777" w:rsidR="007123C7" w:rsidRPr="00510D84" w:rsidRDefault="007123C7" w:rsidP="00E82294">
            <w:pPr>
              <w:pStyle w:val="TableText"/>
              <w:jc w:val="right"/>
            </w:pPr>
            <w:r w:rsidRPr="00510D84">
              <w:t>1638</w:t>
            </w:r>
          </w:p>
        </w:tc>
        <w:tc>
          <w:tcPr>
            <w:tcW w:w="1009" w:type="dxa"/>
            <w:tcBorders>
              <w:top w:val="nil"/>
            </w:tcBorders>
          </w:tcPr>
          <w:p w14:paraId="06988B74" w14:textId="77777777" w:rsidR="007123C7" w:rsidRPr="00510D84" w:rsidRDefault="007123C7" w:rsidP="00E82294">
            <w:pPr>
              <w:pStyle w:val="TableText"/>
              <w:jc w:val="right"/>
            </w:pPr>
            <w:r w:rsidRPr="00510D84">
              <w:t>26.6 (16.5</w:t>
            </w:r>
            <w:r w:rsidR="0047339C">
              <w:t>, </w:t>
            </w:r>
            <w:r w:rsidRPr="00510D84">
              <w:t>40.0)</w:t>
            </w:r>
          </w:p>
        </w:tc>
      </w:tr>
      <w:tr w:rsidR="0047339C" w:rsidRPr="00510D84" w14:paraId="7A31B26D"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6E4C3ACA" w14:textId="77777777" w:rsidR="007123C7" w:rsidRPr="00510D84" w:rsidRDefault="007123C7" w:rsidP="00E82294">
            <w:pPr>
              <w:pStyle w:val="TableText"/>
            </w:pPr>
            <w:r w:rsidRPr="00510D84">
              <w:t>Did not use other websites</w:t>
            </w:r>
          </w:p>
        </w:tc>
        <w:tc>
          <w:tcPr>
            <w:tcW w:w="509" w:type="dxa"/>
          </w:tcPr>
          <w:p w14:paraId="7D785BED" w14:textId="77777777" w:rsidR="007123C7" w:rsidRPr="00510D84" w:rsidRDefault="007123C7" w:rsidP="00E82294">
            <w:pPr>
              <w:pStyle w:val="TableText"/>
              <w:jc w:val="right"/>
            </w:pPr>
            <w:r w:rsidRPr="00510D84">
              <w:t>166</w:t>
            </w:r>
          </w:p>
        </w:tc>
        <w:tc>
          <w:tcPr>
            <w:tcW w:w="824" w:type="dxa"/>
          </w:tcPr>
          <w:p w14:paraId="0D6B9FBE" w14:textId="77777777" w:rsidR="007123C7" w:rsidRPr="00510D84" w:rsidRDefault="007123C7" w:rsidP="00E82294">
            <w:pPr>
              <w:pStyle w:val="TableText"/>
              <w:jc w:val="right"/>
            </w:pPr>
            <w:r w:rsidRPr="00510D84">
              <w:t>1097</w:t>
            </w:r>
          </w:p>
        </w:tc>
        <w:tc>
          <w:tcPr>
            <w:tcW w:w="1009" w:type="dxa"/>
          </w:tcPr>
          <w:p w14:paraId="74DBED40" w14:textId="77777777" w:rsidR="007123C7" w:rsidRPr="00510D84" w:rsidRDefault="007123C7" w:rsidP="00E82294">
            <w:pPr>
              <w:pStyle w:val="TableText"/>
              <w:jc w:val="right"/>
            </w:pPr>
            <w:r w:rsidRPr="00510D84">
              <w:t>77.5 (70.4</w:t>
            </w:r>
            <w:r w:rsidR="0047339C">
              <w:t>, </w:t>
            </w:r>
            <w:r w:rsidRPr="00510D84">
              <w:t>83.3)</w:t>
            </w:r>
          </w:p>
        </w:tc>
        <w:tc>
          <w:tcPr>
            <w:tcW w:w="448" w:type="dxa"/>
          </w:tcPr>
          <w:p w14:paraId="3429970D" w14:textId="77777777" w:rsidR="007123C7" w:rsidRPr="00510D84" w:rsidRDefault="007123C7" w:rsidP="00E82294">
            <w:pPr>
              <w:pStyle w:val="TableText"/>
              <w:jc w:val="right"/>
            </w:pPr>
            <w:r w:rsidRPr="00510D84">
              <w:t>631</w:t>
            </w:r>
          </w:p>
        </w:tc>
        <w:tc>
          <w:tcPr>
            <w:tcW w:w="784" w:type="dxa"/>
          </w:tcPr>
          <w:p w14:paraId="3A94AFA8" w14:textId="77777777" w:rsidR="007123C7" w:rsidRPr="00510D84" w:rsidRDefault="007123C7" w:rsidP="00E82294">
            <w:pPr>
              <w:pStyle w:val="TableText"/>
              <w:jc w:val="right"/>
            </w:pPr>
            <w:r w:rsidRPr="00510D84">
              <w:t>4325</w:t>
            </w:r>
          </w:p>
        </w:tc>
        <w:tc>
          <w:tcPr>
            <w:tcW w:w="1009" w:type="dxa"/>
          </w:tcPr>
          <w:p w14:paraId="75238304" w14:textId="77777777" w:rsidR="007123C7" w:rsidRPr="00510D84" w:rsidRDefault="007123C7" w:rsidP="00E82294">
            <w:pPr>
              <w:pStyle w:val="TableText"/>
              <w:jc w:val="right"/>
            </w:pPr>
            <w:r w:rsidRPr="00510D84">
              <w:t>70.6 (66.9</w:t>
            </w:r>
            <w:r w:rsidR="0047339C">
              <w:t>, </w:t>
            </w:r>
            <w:r w:rsidRPr="00510D84">
              <w:t>74.1)</w:t>
            </w:r>
          </w:p>
        </w:tc>
        <w:tc>
          <w:tcPr>
            <w:tcW w:w="457" w:type="dxa"/>
          </w:tcPr>
          <w:p w14:paraId="6E661920" w14:textId="77777777" w:rsidR="007123C7" w:rsidRPr="00510D84" w:rsidRDefault="007123C7" w:rsidP="00E82294">
            <w:pPr>
              <w:pStyle w:val="TableText"/>
              <w:jc w:val="right"/>
            </w:pPr>
            <w:r w:rsidRPr="00510D84">
              <w:t>125</w:t>
            </w:r>
          </w:p>
        </w:tc>
        <w:tc>
          <w:tcPr>
            <w:tcW w:w="775" w:type="dxa"/>
          </w:tcPr>
          <w:p w14:paraId="5DDED763" w14:textId="77777777" w:rsidR="007123C7" w:rsidRPr="00510D84" w:rsidRDefault="007123C7" w:rsidP="00E82294">
            <w:pPr>
              <w:pStyle w:val="TableText"/>
              <w:jc w:val="right"/>
            </w:pPr>
            <w:r w:rsidRPr="00510D84">
              <w:t>827</w:t>
            </w:r>
          </w:p>
        </w:tc>
        <w:tc>
          <w:tcPr>
            <w:tcW w:w="1009" w:type="dxa"/>
          </w:tcPr>
          <w:p w14:paraId="48F9C70F" w14:textId="77777777" w:rsidR="007123C7" w:rsidRPr="00510D84" w:rsidRDefault="007123C7" w:rsidP="00E82294">
            <w:pPr>
              <w:pStyle w:val="TableText"/>
              <w:jc w:val="right"/>
            </w:pPr>
            <w:r w:rsidRPr="00510D84">
              <w:t>76.0 (49.9</w:t>
            </w:r>
            <w:r w:rsidR="0047339C">
              <w:t>, </w:t>
            </w:r>
            <w:r w:rsidRPr="00510D84">
              <w:t>91.0)</w:t>
            </w:r>
          </w:p>
        </w:tc>
        <w:tc>
          <w:tcPr>
            <w:tcW w:w="466" w:type="dxa"/>
          </w:tcPr>
          <w:p w14:paraId="315658FA" w14:textId="77777777" w:rsidR="007123C7" w:rsidRPr="00510D84" w:rsidRDefault="007123C7" w:rsidP="00E82294">
            <w:pPr>
              <w:pStyle w:val="TableText"/>
              <w:jc w:val="right"/>
            </w:pPr>
            <w:r w:rsidRPr="00510D84">
              <w:t>576</w:t>
            </w:r>
          </w:p>
        </w:tc>
        <w:tc>
          <w:tcPr>
            <w:tcW w:w="766" w:type="dxa"/>
          </w:tcPr>
          <w:p w14:paraId="58A03015" w14:textId="77777777" w:rsidR="007123C7" w:rsidRPr="00510D84" w:rsidRDefault="007123C7" w:rsidP="00E82294">
            <w:pPr>
              <w:pStyle w:val="TableText"/>
              <w:jc w:val="right"/>
            </w:pPr>
            <w:r w:rsidRPr="00510D84">
              <w:t>4519</w:t>
            </w:r>
          </w:p>
        </w:tc>
        <w:tc>
          <w:tcPr>
            <w:tcW w:w="1009" w:type="dxa"/>
          </w:tcPr>
          <w:p w14:paraId="1461777D" w14:textId="77777777" w:rsidR="007123C7" w:rsidRPr="00510D84" w:rsidRDefault="007123C7" w:rsidP="00E82294">
            <w:pPr>
              <w:pStyle w:val="TableText"/>
              <w:jc w:val="right"/>
            </w:pPr>
            <w:r w:rsidRPr="00510D84">
              <w:t>73.4 (60.0</w:t>
            </w:r>
            <w:r w:rsidR="0047339C">
              <w:t>, </w:t>
            </w:r>
            <w:r w:rsidRPr="00510D84">
              <w:t>83.5)</w:t>
            </w:r>
          </w:p>
        </w:tc>
      </w:tr>
      <w:tr w:rsidR="007123C7" w:rsidRPr="000F78B9" w14:paraId="6AE1A105" w14:textId="77777777" w:rsidTr="0047339C">
        <w:trPr>
          <w:cantSplit/>
        </w:trPr>
        <w:tc>
          <w:tcPr>
            <w:tcW w:w="2455" w:type="dxa"/>
          </w:tcPr>
          <w:p w14:paraId="5F96EC64" w14:textId="77777777" w:rsidR="007123C7" w:rsidRPr="0016418B" w:rsidRDefault="007123C7" w:rsidP="00E82294">
            <w:pPr>
              <w:pStyle w:val="TableText"/>
              <w:rPr>
                <w:b/>
                <w:i/>
              </w:rPr>
            </w:pPr>
            <w:r w:rsidRPr="0016418B">
              <w:rPr>
                <w:b/>
              </w:rPr>
              <w:t>Probable generalised anxiety disorder</w:t>
            </w:r>
          </w:p>
        </w:tc>
        <w:tc>
          <w:tcPr>
            <w:tcW w:w="2342" w:type="dxa"/>
            <w:gridSpan w:val="3"/>
          </w:tcPr>
          <w:p w14:paraId="3BF7AEA4" w14:textId="77777777" w:rsidR="007123C7" w:rsidRPr="000F78B9" w:rsidRDefault="007123C7" w:rsidP="00E82294">
            <w:pPr>
              <w:pStyle w:val="TableText"/>
              <w:jc w:val="center"/>
            </w:pPr>
            <w:r>
              <w:t>n</w:t>
            </w:r>
            <w:r w:rsidRPr="000F78B9">
              <w:t>=</w:t>
            </w:r>
            <w:r>
              <w:t>142</w:t>
            </w:r>
            <w:r w:rsidRPr="000F78B9">
              <w:t xml:space="preserve"> (Weighted</w:t>
            </w:r>
            <w:r>
              <w:t xml:space="preserve"> n</w:t>
            </w:r>
            <w:r w:rsidRPr="000F78B9">
              <w:t>=</w:t>
            </w:r>
            <w:r>
              <w:t>984</w:t>
            </w:r>
            <w:r w:rsidRPr="000F78B9">
              <w:t>)</w:t>
            </w:r>
          </w:p>
        </w:tc>
        <w:tc>
          <w:tcPr>
            <w:tcW w:w="2241" w:type="dxa"/>
            <w:gridSpan w:val="3"/>
          </w:tcPr>
          <w:p w14:paraId="27F39C27" w14:textId="77777777" w:rsidR="007123C7" w:rsidRPr="000F78B9" w:rsidRDefault="007123C7" w:rsidP="00E82294">
            <w:pPr>
              <w:pStyle w:val="TableText"/>
              <w:jc w:val="center"/>
            </w:pPr>
            <w:r>
              <w:t xml:space="preserve">n=670 </w:t>
            </w:r>
            <w:r w:rsidRPr="000F78B9">
              <w:t xml:space="preserve">(Weighted </w:t>
            </w:r>
            <w:r>
              <w:t>n</w:t>
            </w:r>
            <w:r w:rsidRPr="000F78B9">
              <w:t>=</w:t>
            </w:r>
            <w:r>
              <w:t>4586</w:t>
            </w:r>
            <w:r w:rsidRPr="000F78B9">
              <w:t>)</w:t>
            </w:r>
          </w:p>
        </w:tc>
        <w:tc>
          <w:tcPr>
            <w:tcW w:w="2241" w:type="dxa"/>
            <w:gridSpan w:val="3"/>
          </w:tcPr>
          <w:p w14:paraId="47BA3E16" w14:textId="77777777" w:rsidR="007123C7" w:rsidRPr="000F78B9" w:rsidRDefault="007123C7" w:rsidP="00E82294">
            <w:pPr>
              <w:pStyle w:val="TableText"/>
              <w:jc w:val="center"/>
            </w:pPr>
            <w:r>
              <w:t>n</w:t>
            </w:r>
            <w:r w:rsidRPr="000F78B9">
              <w:t>=</w:t>
            </w:r>
            <w:r>
              <w:t xml:space="preserve">77 </w:t>
            </w:r>
            <w:r w:rsidRPr="000F78B9">
              <w:t>(Weighted</w:t>
            </w:r>
            <w:r>
              <w:t xml:space="preserve"> n</w:t>
            </w:r>
            <w:r w:rsidRPr="000F78B9">
              <w:t>=</w:t>
            </w:r>
            <w:r>
              <w:t>574</w:t>
            </w:r>
            <w:r w:rsidRPr="000F78B9">
              <w:t>)</w:t>
            </w:r>
          </w:p>
        </w:tc>
        <w:tc>
          <w:tcPr>
            <w:tcW w:w="2241" w:type="dxa"/>
            <w:gridSpan w:val="3"/>
          </w:tcPr>
          <w:p w14:paraId="4EECBB7E" w14:textId="77777777" w:rsidR="007123C7" w:rsidRPr="000F78B9" w:rsidRDefault="007123C7" w:rsidP="00E82294">
            <w:pPr>
              <w:pStyle w:val="TableText"/>
              <w:jc w:val="center"/>
            </w:pPr>
            <w:r>
              <w:t>n</w:t>
            </w:r>
            <w:r w:rsidRPr="000F78B9">
              <w:t>=</w:t>
            </w:r>
            <w:r>
              <w:t xml:space="preserve">549 </w:t>
            </w:r>
            <w:r w:rsidRPr="000F78B9">
              <w:t xml:space="preserve">(Weighted </w:t>
            </w:r>
            <w:r>
              <w:t>n</w:t>
            </w:r>
            <w:r w:rsidRPr="000F78B9">
              <w:t>=</w:t>
            </w:r>
            <w:r>
              <w:t>4079</w:t>
            </w:r>
            <w:r w:rsidRPr="000F78B9">
              <w:t>)</w:t>
            </w:r>
          </w:p>
        </w:tc>
      </w:tr>
      <w:tr w:rsidR="0047339C" w:rsidRPr="00510D84" w14:paraId="42AD8B00"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6CEB2B42" w14:textId="77777777" w:rsidR="007123C7" w:rsidRPr="00510D84" w:rsidRDefault="007123C7" w:rsidP="00E82294">
            <w:pPr>
              <w:pStyle w:val="TableText"/>
            </w:pPr>
            <w:r w:rsidRPr="00510D84">
              <w:t xml:space="preserve">Used other websites </w:t>
            </w:r>
          </w:p>
        </w:tc>
        <w:tc>
          <w:tcPr>
            <w:tcW w:w="509" w:type="dxa"/>
          </w:tcPr>
          <w:p w14:paraId="14E7794B" w14:textId="77777777" w:rsidR="007123C7" w:rsidRPr="00510D84" w:rsidRDefault="007123C7" w:rsidP="00E82294">
            <w:pPr>
              <w:pStyle w:val="TableText"/>
              <w:jc w:val="right"/>
            </w:pPr>
            <w:r w:rsidRPr="00510D84">
              <w:t>33</w:t>
            </w:r>
          </w:p>
        </w:tc>
        <w:tc>
          <w:tcPr>
            <w:tcW w:w="824" w:type="dxa"/>
          </w:tcPr>
          <w:p w14:paraId="0F24DE88" w14:textId="77777777" w:rsidR="007123C7" w:rsidRPr="00510D84" w:rsidRDefault="007123C7" w:rsidP="00E82294">
            <w:pPr>
              <w:pStyle w:val="TableText"/>
              <w:jc w:val="right"/>
            </w:pPr>
            <w:r w:rsidRPr="00510D84">
              <w:t>222</w:t>
            </w:r>
          </w:p>
        </w:tc>
        <w:tc>
          <w:tcPr>
            <w:tcW w:w="1009" w:type="dxa"/>
          </w:tcPr>
          <w:p w14:paraId="1479C84C" w14:textId="77777777" w:rsidR="007123C7" w:rsidRPr="00510D84" w:rsidRDefault="007123C7" w:rsidP="00E82294">
            <w:pPr>
              <w:pStyle w:val="TableText"/>
              <w:jc w:val="right"/>
            </w:pPr>
            <w:r w:rsidRPr="00510D84">
              <w:t>22.6 (15.4</w:t>
            </w:r>
            <w:r w:rsidR="0047339C">
              <w:t>, </w:t>
            </w:r>
            <w:r w:rsidRPr="00510D84">
              <w:t>31.9)</w:t>
            </w:r>
          </w:p>
        </w:tc>
        <w:tc>
          <w:tcPr>
            <w:tcW w:w="448" w:type="dxa"/>
          </w:tcPr>
          <w:p w14:paraId="1F05CAA0" w14:textId="77777777" w:rsidR="007123C7" w:rsidRPr="00510D84" w:rsidRDefault="007123C7" w:rsidP="00E82294">
            <w:pPr>
              <w:pStyle w:val="TableText"/>
              <w:jc w:val="right"/>
            </w:pPr>
            <w:r w:rsidRPr="00510D84">
              <w:t>192</w:t>
            </w:r>
          </w:p>
        </w:tc>
        <w:tc>
          <w:tcPr>
            <w:tcW w:w="784" w:type="dxa"/>
          </w:tcPr>
          <w:p w14:paraId="3C3B2CC0" w14:textId="77777777" w:rsidR="007123C7" w:rsidRPr="00510D84" w:rsidRDefault="007123C7" w:rsidP="00E82294">
            <w:pPr>
              <w:pStyle w:val="TableText"/>
              <w:jc w:val="right"/>
            </w:pPr>
            <w:r w:rsidRPr="00510D84">
              <w:t>1235</w:t>
            </w:r>
          </w:p>
        </w:tc>
        <w:tc>
          <w:tcPr>
            <w:tcW w:w="1009" w:type="dxa"/>
          </w:tcPr>
          <w:p w14:paraId="4530864F" w14:textId="77777777" w:rsidR="007123C7" w:rsidRPr="00510D84" w:rsidRDefault="007123C7" w:rsidP="00E82294">
            <w:pPr>
              <w:pStyle w:val="TableText"/>
              <w:jc w:val="right"/>
            </w:pPr>
            <w:r w:rsidRPr="00510D84">
              <w:t>26.9 (23.1</w:t>
            </w:r>
            <w:r w:rsidR="0047339C">
              <w:t>, </w:t>
            </w:r>
            <w:r w:rsidRPr="00510D84">
              <w:t>31.2)</w:t>
            </w:r>
          </w:p>
        </w:tc>
        <w:tc>
          <w:tcPr>
            <w:tcW w:w="457" w:type="dxa"/>
          </w:tcPr>
          <w:p w14:paraId="719D6641" w14:textId="77777777" w:rsidR="007123C7" w:rsidRPr="00510D84" w:rsidRDefault="007123C7" w:rsidP="00E82294">
            <w:pPr>
              <w:pStyle w:val="TableText"/>
              <w:jc w:val="right"/>
            </w:pPr>
            <w:r w:rsidRPr="00510D84">
              <w:t>14</w:t>
            </w:r>
          </w:p>
        </w:tc>
        <w:tc>
          <w:tcPr>
            <w:tcW w:w="775" w:type="dxa"/>
          </w:tcPr>
          <w:p w14:paraId="3E68B87C" w14:textId="77777777" w:rsidR="007123C7" w:rsidRPr="00510D84" w:rsidRDefault="007123C7" w:rsidP="00E82294">
            <w:pPr>
              <w:pStyle w:val="TableText"/>
              <w:jc w:val="right"/>
            </w:pPr>
            <w:r w:rsidRPr="00510D84">
              <w:t>219</w:t>
            </w:r>
          </w:p>
        </w:tc>
        <w:tc>
          <w:tcPr>
            <w:tcW w:w="1009" w:type="dxa"/>
          </w:tcPr>
          <w:p w14:paraId="527A440A" w14:textId="77777777" w:rsidR="007123C7" w:rsidRPr="00510D84" w:rsidRDefault="007123C7" w:rsidP="00E82294">
            <w:pPr>
              <w:pStyle w:val="TableText"/>
              <w:jc w:val="right"/>
            </w:pPr>
            <w:r w:rsidRPr="00510D84">
              <w:t>38.2 (10.2</w:t>
            </w:r>
            <w:r w:rsidR="0047339C">
              <w:t>, </w:t>
            </w:r>
            <w:r w:rsidRPr="00510D84">
              <w:t>77.0)</w:t>
            </w:r>
          </w:p>
        </w:tc>
        <w:tc>
          <w:tcPr>
            <w:tcW w:w="466" w:type="dxa"/>
          </w:tcPr>
          <w:p w14:paraId="3791090D" w14:textId="77777777" w:rsidR="007123C7" w:rsidRPr="00510D84" w:rsidRDefault="007123C7" w:rsidP="00E82294">
            <w:pPr>
              <w:pStyle w:val="TableText"/>
              <w:jc w:val="right"/>
            </w:pPr>
            <w:r w:rsidRPr="00510D84">
              <w:t>163</w:t>
            </w:r>
          </w:p>
        </w:tc>
        <w:tc>
          <w:tcPr>
            <w:tcW w:w="766" w:type="dxa"/>
          </w:tcPr>
          <w:p w14:paraId="52151442" w14:textId="77777777" w:rsidR="007123C7" w:rsidRPr="00510D84" w:rsidRDefault="007123C7" w:rsidP="00E82294">
            <w:pPr>
              <w:pStyle w:val="TableText"/>
              <w:jc w:val="right"/>
            </w:pPr>
            <w:r w:rsidRPr="00510D84">
              <w:t>1086</w:t>
            </w:r>
          </w:p>
        </w:tc>
        <w:tc>
          <w:tcPr>
            <w:tcW w:w="1009" w:type="dxa"/>
          </w:tcPr>
          <w:p w14:paraId="0DB70E55" w14:textId="77777777" w:rsidR="007123C7" w:rsidRPr="00510D84" w:rsidRDefault="007123C7" w:rsidP="00E82294">
            <w:pPr>
              <w:pStyle w:val="TableText"/>
              <w:jc w:val="right"/>
            </w:pPr>
            <w:r w:rsidRPr="00510D84">
              <w:t>26.6 (15.2</w:t>
            </w:r>
            <w:r w:rsidR="0047339C">
              <w:t>, </w:t>
            </w:r>
            <w:r w:rsidRPr="00510D84">
              <w:t>42.3)</w:t>
            </w:r>
          </w:p>
        </w:tc>
      </w:tr>
      <w:tr w:rsidR="0047339C" w:rsidRPr="00510D84" w14:paraId="13E4E85B" w14:textId="77777777" w:rsidTr="0047339C">
        <w:trPr>
          <w:cantSplit/>
        </w:trPr>
        <w:tc>
          <w:tcPr>
            <w:tcW w:w="2455" w:type="dxa"/>
          </w:tcPr>
          <w:p w14:paraId="16BA5AB7" w14:textId="77777777" w:rsidR="007123C7" w:rsidRPr="00510D84" w:rsidRDefault="007123C7" w:rsidP="00E82294">
            <w:pPr>
              <w:pStyle w:val="TableText"/>
            </w:pPr>
            <w:r w:rsidRPr="00510D84">
              <w:t>Did not use other websites</w:t>
            </w:r>
          </w:p>
        </w:tc>
        <w:tc>
          <w:tcPr>
            <w:tcW w:w="509" w:type="dxa"/>
          </w:tcPr>
          <w:p w14:paraId="0636DE8C" w14:textId="77777777" w:rsidR="007123C7" w:rsidRPr="00510D84" w:rsidRDefault="007123C7" w:rsidP="00E82294">
            <w:pPr>
              <w:pStyle w:val="TableText"/>
              <w:jc w:val="right"/>
            </w:pPr>
            <w:r w:rsidRPr="00510D84">
              <w:t>109</w:t>
            </w:r>
          </w:p>
        </w:tc>
        <w:tc>
          <w:tcPr>
            <w:tcW w:w="824" w:type="dxa"/>
          </w:tcPr>
          <w:p w14:paraId="02045FF4" w14:textId="77777777" w:rsidR="007123C7" w:rsidRPr="00510D84" w:rsidRDefault="007123C7" w:rsidP="00E82294">
            <w:pPr>
              <w:pStyle w:val="TableText"/>
              <w:jc w:val="right"/>
            </w:pPr>
            <w:r w:rsidRPr="00510D84">
              <w:t>762</w:t>
            </w:r>
          </w:p>
        </w:tc>
        <w:tc>
          <w:tcPr>
            <w:tcW w:w="1009" w:type="dxa"/>
          </w:tcPr>
          <w:p w14:paraId="7CE1C4DD" w14:textId="77777777" w:rsidR="007123C7" w:rsidRPr="00510D84" w:rsidRDefault="007123C7" w:rsidP="00E82294">
            <w:pPr>
              <w:pStyle w:val="TableText"/>
              <w:jc w:val="right"/>
            </w:pPr>
            <w:r w:rsidRPr="00510D84">
              <w:t>77.4 (68.1</w:t>
            </w:r>
            <w:r w:rsidR="0047339C">
              <w:t>, </w:t>
            </w:r>
            <w:r w:rsidRPr="00510D84">
              <w:t>84.6)</w:t>
            </w:r>
          </w:p>
        </w:tc>
        <w:tc>
          <w:tcPr>
            <w:tcW w:w="448" w:type="dxa"/>
          </w:tcPr>
          <w:p w14:paraId="7C4A5F73" w14:textId="77777777" w:rsidR="007123C7" w:rsidRPr="00510D84" w:rsidRDefault="007123C7" w:rsidP="00E82294">
            <w:pPr>
              <w:pStyle w:val="TableText"/>
              <w:jc w:val="right"/>
            </w:pPr>
            <w:r w:rsidRPr="00510D84">
              <w:t>478</w:t>
            </w:r>
          </w:p>
        </w:tc>
        <w:tc>
          <w:tcPr>
            <w:tcW w:w="784" w:type="dxa"/>
          </w:tcPr>
          <w:p w14:paraId="4C3CB7C9" w14:textId="77777777" w:rsidR="007123C7" w:rsidRPr="00510D84" w:rsidRDefault="007123C7" w:rsidP="00E82294">
            <w:pPr>
              <w:pStyle w:val="TableText"/>
              <w:jc w:val="right"/>
            </w:pPr>
            <w:r w:rsidRPr="00510D84">
              <w:t>3351</w:t>
            </w:r>
          </w:p>
        </w:tc>
        <w:tc>
          <w:tcPr>
            <w:tcW w:w="1009" w:type="dxa"/>
          </w:tcPr>
          <w:p w14:paraId="50638158" w14:textId="77777777" w:rsidR="007123C7" w:rsidRPr="00510D84" w:rsidRDefault="007123C7" w:rsidP="00E82294">
            <w:pPr>
              <w:pStyle w:val="TableText"/>
              <w:jc w:val="right"/>
            </w:pPr>
            <w:r w:rsidRPr="00510D84">
              <w:t>73.1 (68.8</w:t>
            </w:r>
            <w:r w:rsidR="0047339C">
              <w:t>, </w:t>
            </w:r>
            <w:r w:rsidRPr="00510D84">
              <w:t>76.9)</w:t>
            </w:r>
          </w:p>
        </w:tc>
        <w:tc>
          <w:tcPr>
            <w:tcW w:w="457" w:type="dxa"/>
          </w:tcPr>
          <w:p w14:paraId="1465F951" w14:textId="77777777" w:rsidR="007123C7" w:rsidRPr="00510D84" w:rsidRDefault="007123C7" w:rsidP="00E82294">
            <w:pPr>
              <w:pStyle w:val="TableText"/>
              <w:jc w:val="right"/>
            </w:pPr>
            <w:r w:rsidRPr="00510D84">
              <w:t>63</w:t>
            </w:r>
          </w:p>
        </w:tc>
        <w:tc>
          <w:tcPr>
            <w:tcW w:w="775" w:type="dxa"/>
          </w:tcPr>
          <w:p w14:paraId="271A64EE" w14:textId="77777777" w:rsidR="007123C7" w:rsidRPr="00510D84" w:rsidRDefault="007123C7" w:rsidP="00E82294">
            <w:pPr>
              <w:pStyle w:val="TableText"/>
              <w:jc w:val="right"/>
            </w:pPr>
            <w:r w:rsidRPr="00510D84">
              <w:t>355</w:t>
            </w:r>
          </w:p>
        </w:tc>
        <w:tc>
          <w:tcPr>
            <w:tcW w:w="1009" w:type="dxa"/>
          </w:tcPr>
          <w:p w14:paraId="3A9EC365" w14:textId="77777777" w:rsidR="007123C7" w:rsidRPr="00510D84" w:rsidRDefault="007123C7" w:rsidP="00E82294">
            <w:pPr>
              <w:pStyle w:val="TableText"/>
              <w:jc w:val="right"/>
            </w:pPr>
            <w:r w:rsidRPr="00510D84">
              <w:t>61.8 (23.0</w:t>
            </w:r>
            <w:r w:rsidR="0047339C">
              <w:t>, </w:t>
            </w:r>
            <w:r w:rsidRPr="00510D84">
              <w:t>89.8)</w:t>
            </w:r>
          </w:p>
        </w:tc>
        <w:tc>
          <w:tcPr>
            <w:tcW w:w="466" w:type="dxa"/>
          </w:tcPr>
          <w:p w14:paraId="77BAD7B9" w14:textId="77777777" w:rsidR="007123C7" w:rsidRPr="00510D84" w:rsidRDefault="007123C7" w:rsidP="00E82294">
            <w:pPr>
              <w:pStyle w:val="TableText"/>
              <w:jc w:val="right"/>
            </w:pPr>
            <w:r w:rsidRPr="00510D84">
              <w:t>386</w:t>
            </w:r>
          </w:p>
        </w:tc>
        <w:tc>
          <w:tcPr>
            <w:tcW w:w="766" w:type="dxa"/>
          </w:tcPr>
          <w:p w14:paraId="55F2D2D6" w14:textId="77777777" w:rsidR="007123C7" w:rsidRPr="00510D84" w:rsidRDefault="007123C7" w:rsidP="00E82294">
            <w:pPr>
              <w:pStyle w:val="TableText"/>
              <w:jc w:val="right"/>
            </w:pPr>
            <w:r w:rsidRPr="00510D84">
              <w:t>2994</w:t>
            </w:r>
          </w:p>
        </w:tc>
        <w:tc>
          <w:tcPr>
            <w:tcW w:w="1009" w:type="dxa"/>
          </w:tcPr>
          <w:p w14:paraId="5F8F34AE" w14:textId="77777777" w:rsidR="007123C7" w:rsidRPr="00510D84" w:rsidRDefault="007123C7" w:rsidP="00E82294">
            <w:pPr>
              <w:pStyle w:val="TableText"/>
              <w:jc w:val="right"/>
            </w:pPr>
            <w:r w:rsidRPr="00510D84">
              <w:t>73.4 (57.7</w:t>
            </w:r>
            <w:r w:rsidR="0047339C">
              <w:t>, </w:t>
            </w:r>
            <w:r w:rsidRPr="00510D84">
              <w:t>84.8)</w:t>
            </w:r>
          </w:p>
        </w:tc>
      </w:tr>
    </w:tbl>
    <w:p w14:paraId="4FB2A92C" w14:textId="77777777" w:rsidR="007123C7" w:rsidRPr="006A3EA0" w:rsidRDefault="007123C7" w:rsidP="007123C7">
      <w:pPr>
        <w:pStyle w:val="TableNotes"/>
      </w:pPr>
      <w:r w:rsidRPr="00613A23">
        <w:t>Notes</w:t>
      </w:r>
    </w:p>
    <w:p w14:paraId="1410ED15" w14:textId="77777777" w:rsidR="007123C7" w:rsidRPr="008A51EB" w:rsidRDefault="007123C7" w:rsidP="007123C7">
      <w:pPr>
        <w:pStyle w:val="TableNotes"/>
      </w:pPr>
      <w:r w:rsidRPr="008A51EB">
        <w:t>Denominator:</w:t>
      </w:r>
      <w:r>
        <w:t xml:space="preserve"> </w:t>
      </w:r>
      <w:r w:rsidRPr="000F78B9">
        <w:t>Transitioned and 2015 Regular ADF with a probable disorder</w:t>
      </w:r>
      <w:r>
        <w:t>.</w:t>
      </w:r>
    </w:p>
    <w:p w14:paraId="6863E7EA" w14:textId="77777777" w:rsidR="007123C7" w:rsidRPr="008A51EB" w:rsidRDefault="007123C7" w:rsidP="007123C7">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5BC4D911" w14:textId="77777777" w:rsidR="007123C7" w:rsidRDefault="007123C7" w:rsidP="007123C7">
      <w:pPr>
        <w:pStyle w:val="TableNotes"/>
      </w:pPr>
      <w:r>
        <w:t xml:space="preserve">95%CI = 95% confidence interval. </w:t>
      </w:r>
    </w:p>
    <w:p w14:paraId="29C851F2" w14:textId="77777777" w:rsidR="007123C7" w:rsidRDefault="007123C7" w:rsidP="007123C7">
      <w:pPr>
        <w:pStyle w:val="TableNotes"/>
        <w:rPr>
          <w:rFonts w:cs="Calibri"/>
          <w:bCs/>
          <w:color w:val="000000" w:themeColor="text1"/>
          <w:szCs w:val="14"/>
        </w:rPr>
      </w:pPr>
      <w:r>
        <w:rPr>
          <w:rFonts w:cs="Calibri"/>
          <w:bCs/>
          <w:color w:val="000000" w:themeColor="text1"/>
          <w:szCs w:val="14"/>
        </w:rPr>
        <w:t># = Cell size too small to be reported.</w:t>
      </w:r>
    </w:p>
    <w:p w14:paraId="04FC728E" w14:textId="77777777" w:rsidR="001D71E2" w:rsidRDefault="001D71E2" w:rsidP="001D71E2">
      <w:pPr>
        <w:pStyle w:val="TableName"/>
      </w:pPr>
      <w:bookmarkStart w:id="1092" w:name="_Toc531858043"/>
      <w:bookmarkStart w:id="1093" w:name="_Ref517427269"/>
      <w:bookmarkStart w:id="1094" w:name="_Toc515374688"/>
      <w:bookmarkStart w:id="1095" w:name="_Toc528932364"/>
      <w:r>
        <w:t xml:space="preserve">Table </w:t>
      </w:r>
      <w:r>
        <w:rPr>
          <w:noProof/>
        </w:rPr>
        <w:t>9</w:t>
      </w:r>
      <w:r>
        <w:t>.</w:t>
      </w:r>
      <w:r>
        <w:rPr>
          <w:noProof/>
        </w:rPr>
        <w:t>13</w:t>
      </w:r>
      <w:r>
        <w:tab/>
        <w:t xml:space="preserve">Estimated proportion of Transitioned ADF and 2015 Regular ADF </w:t>
      </w:r>
      <w:r w:rsidRPr="000F78B9">
        <w:t xml:space="preserve">with a probable disorder who </w:t>
      </w:r>
      <w:r>
        <w:t>did</w:t>
      </w:r>
      <w:r w:rsidRPr="000F78B9">
        <w:t xml:space="preserve"> and </w:t>
      </w:r>
      <w:r>
        <w:t>did</w:t>
      </w:r>
      <w:r w:rsidRPr="000F78B9">
        <w:t xml:space="preserve"> not </w:t>
      </w:r>
      <w:r>
        <w:t>use other civilian mental health websites</w:t>
      </w:r>
      <w:r w:rsidRPr="00294BD3">
        <w:t xml:space="preserve"> </w:t>
      </w:r>
      <w:r w:rsidRPr="000F78B9">
        <w:t>broken down b</w:t>
      </w:r>
      <w:r>
        <w:t xml:space="preserve">y </w:t>
      </w:r>
      <w:r w:rsidRPr="000F78B9">
        <w:t>those with no barriers and those with at least one barrier</w:t>
      </w:r>
      <w:bookmarkEnd w:id="1092"/>
    </w:p>
    <w:bookmarkEnd w:id="1093"/>
    <w:bookmarkEnd w:id="1094"/>
    <w:bookmarkEnd w:id="1095"/>
    <w:tbl>
      <w:tblPr>
        <w:tblStyle w:val="TWRPTable"/>
        <w:tblW w:w="5000" w:type="pct"/>
        <w:tblLayout w:type="fixed"/>
        <w:tblCellMar>
          <w:left w:w="115" w:type="dxa"/>
          <w:right w:w="115" w:type="dxa"/>
        </w:tblCellMar>
        <w:tblLook w:val="0000" w:firstRow="0" w:lastRow="0" w:firstColumn="0" w:lastColumn="0" w:noHBand="0" w:noVBand="0"/>
        <w:tblDescription w:val="Table 9.13 Estimated proportion of Transitioned ADF and 2015 Regular ADF with a probable disorder who did and did not use other civilian mental health websites broken down by those with no barriers and those with at least one barrier"/>
      </w:tblPr>
      <w:tblGrid>
        <w:gridCol w:w="2391"/>
        <w:gridCol w:w="501"/>
        <w:gridCol w:w="807"/>
        <w:gridCol w:w="987"/>
        <w:gridCol w:w="442"/>
        <w:gridCol w:w="769"/>
        <w:gridCol w:w="987"/>
        <w:gridCol w:w="451"/>
        <w:gridCol w:w="760"/>
        <w:gridCol w:w="987"/>
        <w:gridCol w:w="460"/>
        <w:gridCol w:w="751"/>
        <w:gridCol w:w="987"/>
      </w:tblGrid>
      <w:tr w:rsidR="001D71E2" w:rsidRPr="000F78B9" w14:paraId="42058114" w14:textId="77777777" w:rsidTr="0047339C">
        <w:trPr>
          <w:cantSplit/>
          <w:tblHeader/>
        </w:trPr>
        <w:tc>
          <w:tcPr>
            <w:tcW w:w="2455" w:type="dxa"/>
            <w:tcBorders>
              <w:top w:val="single" w:sz="4" w:space="0" w:color="000000"/>
              <w:bottom w:val="nil"/>
            </w:tcBorders>
          </w:tcPr>
          <w:p w14:paraId="63C3698E" w14:textId="77777777" w:rsidR="001D71E2" w:rsidRPr="000F78B9" w:rsidRDefault="001D71E2" w:rsidP="00E82294">
            <w:pPr>
              <w:pStyle w:val="TableText"/>
            </w:pPr>
          </w:p>
        </w:tc>
        <w:tc>
          <w:tcPr>
            <w:tcW w:w="4583" w:type="dxa"/>
            <w:gridSpan w:val="6"/>
            <w:tcBorders>
              <w:top w:val="single" w:sz="4" w:space="0" w:color="000000"/>
              <w:bottom w:val="single" w:sz="4" w:space="0" w:color="000000"/>
            </w:tcBorders>
          </w:tcPr>
          <w:p w14:paraId="5AB560B9" w14:textId="77777777" w:rsidR="001D71E2" w:rsidRPr="00051314" w:rsidRDefault="001D71E2" w:rsidP="00E82294">
            <w:pPr>
              <w:pStyle w:val="TableText"/>
              <w:jc w:val="center"/>
              <w:rPr>
                <w:b/>
                <w:bCs/>
              </w:rPr>
            </w:pPr>
            <w:r w:rsidRPr="001277D4">
              <w:rPr>
                <w:b/>
                <w:bCs/>
              </w:rPr>
              <w:t>Transitioned ADF</w:t>
            </w:r>
          </w:p>
        </w:tc>
        <w:tc>
          <w:tcPr>
            <w:tcW w:w="4482" w:type="dxa"/>
            <w:gridSpan w:val="6"/>
            <w:tcBorders>
              <w:top w:val="single" w:sz="4" w:space="0" w:color="000000"/>
              <w:bottom w:val="single" w:sz="4" w:space="0" w:color="000000"/>
            </w:tcBorders>
          </w:tcPr>
          <w:p w14:paraId="7B4C87DF" w14:textId="77777777" w:rsidR="001D71E2" w:rsidRPr="00051314" w:rsidRDefault="001D71E2" w:rsidP="00E82294">
            <w:pPr>
              <w:pStyle w:val="TableText"/>
              <w:jc w:val="center"/>
              <w:rPr>
                <w:b/>
                <w:bCs/>
              </w:rPr>
            </w:pPr>
            <w:r w:rsidRPr="001277D4">
              <w:rPr>
                <w:b/>
                <w:bCs/>
              </w:rPr>
              <w:t>2015 Regular ADF</w:t>
            </w:r>
          </w:p>
        </w:tc>
      </w:tr>
      <w:tr w:rsidR="001D71E2" w:rsidRPr="000F78B9" w14:paraId="720283E7" w14:textId="77777777" w:rsidTr="0047339C">
        <w:trPr>
          <w:cantSplit/>
          <w:tblHeader/>
        </w:trPr>
        <w:tc>
          <w:tcPr>
            <w:tcW w:w="2455" w:type="dxa"/>
            <w:tcBorders>
              <w:top w:val="nil"/>
              <w:bottom w:val="nil"/>
            </w:tcBorders>
          </w:tcPr>
          <w:p w14:paraId="6835BAE6" w14:textId="77777777" w:rsidR="001D71E2" w:rsidRPr="000F78B9" w:rsidRDefault="001D71E2" w:rsidP="00E82294">
            <w:pPr>
              <w:pStyle w:val="TableText"/>
            </w:pPr>
          </w:p>
        </w:tc>
        <w:tc>
          <w:tcPr>
            <w:tcW w:w="2342" w:type="dxa"/>
            <w:gridSpan w:val="3"/>
            <w:tcBorders>
              <w:top w:val="single" w:sz="4" w:space="0" w:color="000000"/>
              <w:bottom w:val="single" w:sz="4" w:space="0" w:color="000000"/>
            </w:tcBorders>
          </w:tcPr>
          <w:p w14:paraId="704FF333" w14:textId="77777777" w:rsidR="001D71E2" w:rsidRPr="001277D4" w:rsidRDefault="001D71E2" w:rsidP="00E82294">
            <w:pPr>
              <w:pStyle w:val="TableText"/>
              <w:jc w:val="center"/>
              <w:rPr>
                <w:b/>
              </w:rPr>
            </w:pPr>
            <w:r>
              <w:rPr>
                <w:b/>
              </w:rPr>
              <w:t>No b</w:t>
            </w:r>
            <w:r w:rsidRPr="001277D4">
              <w:rPr>
                <w:b/>
              </w:rPr>
              <w:t>arriers</w:t>
            </w:r>
          </w:p>
        </w:tc>
        <w:tc>
          <w:tcPr>
            <w:tcW w:w="2241" w:type="dxa"/>
            <w:gridSpan w:val="3"/>
            <w:tcBorders>
              <w:top w:val="single" w:sz="4" w:space="0" w:color="000000"/>
              <w:bottom w:val="single" w:sz="4" w:space="0" w:color="000000"/>
            </w:tcBorders>
          </w:tcPr>
          <w:p w14:paraId="4631F013" w14:textId="77777777" w:rsidR="001D71E2" w:rsidRPr="001277D4" w:rsidRDefault="001D71E2" w:rsidP="00E82294">
            <w:pPr>
              <w:pStyle w:val="TableText"/>
              <w:jc w:val="center"/>
              <w:rPr>
                <w:b/>
              </w:rPr>
            </w:pPr>
            <w:r w:rsidRPr="001277D4">
              <w:rPr>
                <w:b/>
              </w:rPr>
              <w:t xml:space="preserve">At least one </w:t>
            </w:r>
            <w:r>
              <w:rPr>
                <w:b/>
              </w:rPr>
              <w:t>b</w:t>
            </w:r>
            <w:r w:rsidRPr="001277D4">
              <w:rPr>
                <w:b/>
              </w:rPr>
              <w:t>arrier</w:t>
            </w:r>
          </w:p>
        </w:tc>
        <w:tc>
          <w:tcPr>
            <w:tcW w:w="2241" w:type="dxa"/>
            <w:gridSpan w:val="3"/>
            <w:tcBorders>
              <w:top w:val="single" w:sz="4" w:space="0" w:color="000000"/>
              <w:bottom w:val="single" w:sz="4" w:space="0" w:color="000000"/>
            </w:tcBorders>
          </w:tcPr>
          <w:p w14:paraId="04D3EF2F" w14:textId="77777777" w:rsidR="001D71E2" w:rsidRPr="001277D4" w:rsidRDefault="001D71E2" w:rsidP="00E82294">
            <w:pPr>
              <w:pStyle w:val="TableText"/>
              <w:jc w:val="center"/>
              <w:rPr>
                <w:b/>
              </w:rPr>
            </w:pPr>
            <w:r w:rsidRPr="001277D4">
              <w:rPr>
                <w:b/>
              </w:rPr>
              <w:t xml:space="preserve">No </w:t>
            </w:r>
            <w:r>
              <w:rPr>
                <w:b/>
              </w:rPr>
              <w:t>b</w:t>
            </w:r>
            <w:r w:rsidRPr="001277D4">
              <w:rPr>
                <w:b/>
              </w:rPr>
              <w:t>arriers</w:t>
            </w:r>
          </w:p>
        </w:tc>
        <w:tc>
          <w:tcPr>
            <w:tcW w:w="2241" w:type="dxa"/>
            <w:gridSpan w:val="3"/>
            <w:tcBorders>
              <w:top w:val="single" w:sz="4" w:space="0" w:color="000000"/>
              <w:bottom w:val="single" w:sz="4" w:space="0" w:color="000000"/>
            </w:tcBorders>
          </w:tcPr>
          <w:p w14:paraId="518B8F3A" w14:textId="77777777" w:rsidR="001D71E2" w:rsidRPr="001277D4" w:rsidRDefault="001D71E2" w:rsidP="00E82294">
            <w:pPr>
              <w:pStyle w:val="TableText"/>
              <w:jc w:val="center"/>
              <w:rPr>
                <w:b/>
              </w:rPr>
            </w:pPr>
            <w:r w:rsidRPr="001277D4">
              <w:rPr>
                <w:b/>
              </w:rPr>
              <w:t xml:space="preserve">At least one </w:t>
            </w:r>
            <w:r>
              <w:rPr>
                <w:b/>
              </w:rPr>
              <w:t>b</w:t>
            </w:r>
            <w:r w:rsidRPr="001277D4">
              <w:rPr>
                <w:b/>
              </w:rPr>
              <w:t>arrier</w:t>
            </w:r>
          </w:p>
        </w:tc>
      </w:tr>
      <w:tr w:rsidR="0047339C" w:rsidRPr="000F78B9" w14:paraId="449E97C1" w14:textId="77777777" w:rsidTr="0047339C">
        <w:trPr>
          <w:cantSplit/>
          <w:tblHeader/>
        </w:trPr>
        <w:tc>
          <w:tcPr>
            <w:tcW w:w="2455" w:type="dxa"/>
            <w:tcBorders>
              <w:top w:val="nil"/>
              <w:bottom w:val="single" w:sz="4" w:space="0" w:color="000000"/>
            </w:tcBorders>
          </w:tcPr>
          <w:p w14:paraId="658B1AF8" w14:textId="77777777" w:rsidR="001D71E2" w:rsidRPr="000F78B9" w:rsidRDefault="001D71E2" w:rsidP="00E82294">
            <w:pPr>
              <w:pStyle w:val="TableText"/>
            </w:pPr>
          </w:p>
        </w:tc>
        <w:tc>
          <w:tcPr>
            <w:tcW w:w="509" w:type="dxa"/>
            <w:tcBorders>
              <w:top w:val="single" w:sz="4" w:space="0" w:color="000000"/>
              <w:bottom w:val="single" w:sz="4" w:space="0" w:color="000000"/>
            </w:tcBorders>
            <w:vAlign w:val="bottom"/>
          </w:tcPr>
          <w:p w14:paraId="24968538" w14:textId="77777777" w:rsidR="001D71E2" w:rsidRPr="001277D4" w:rsidRDefault="001D71E2" w:rsidP="0047339C">
            <w:pPr>
              <w:pStyle w:val="TableText"/>
              <w:jc w:val="right"/>
              <w:rPr>
                <w:b/>
              </w:rPr>
            </w:pPr>
            <w:r w:rsidRPr="001277D4">
              <w:rPr>
                <w:b/>
              </w:rPr>
              <w:t>n</w:t>
            </w:r>
          </w:p>
        </w:tc>
        <w:tc>
          <w:tcPr>
            <w:tcW w:w="824" w:type="dxa"/>
            <w:tcBorders>
              <w:top w:val="single" w:sz="4" w:space="0" w:color="000000"/>
              <w:bottom w:val="single" w:sz="4" w:space="0" w:color="000000"/>
            </w:tcBorders>
            <w:vAlign w:val="bottom"/>
          </w:tcPr>
          <w:p w14:paraId="3D81891D" w14:textId="77777777" w:rsidR="001D71E2" w:rsidRPr="001277D4" w:rsidRDefault="001D71E2" w:rsidP="0047339C">
            <w:pPr>
              <w:pStyle w:val="TableText"/>
              <w:jc w:val="right"/>
              <w:rPr>
                <w:b/>
              </w:rPr>
            </w:pPr>
            <w:r w:rsidRPr="001277D4">
              <w:rPr>
                <w:b/>
              </w:rPr>
              <w:t>Weighted n</w:t>
            </w:r>
          </w:p>
        </w:tc>
        <w:tc>
          <w:tcPr>
            <w:tcW w:w="1009" w:type="dxa"/>
            <w:tcBorders>
              <w:top w:val="single" w:sz="4" w:space="0" w:color="000000"/>
              <w:bottom w:val="single" w:sz="4" w:space="0" w:color="000000"/>
            </w:tcBorders>
            <w:vAlign w:val="bottom"/>
          </w:tcPr>
          <w:p w14:paraId="2D75FA39" w14:textId="77777777" w:rsidR="001D71E2" w:rsidRPr="001277D4" w:rsidRDefault="001D71E2" w:rsidP="0047339C">
            <w:pPr>
              <w:pStyle w:val="TableText"/>
              <w:jc w:val="right"/>
              <w:rPr>
                <w:b/>
              </w:rPr>
            </w:pPr>
            <w:r w:rsidRPr="001277D4">
              <w:rPr>
                <w:b/>
              </w:rPr>
              <w:t>% (95%CI)</w:t>
            </w:r>
          </w:p>
        </w:tc>
        <w:tc>
          <w:tcPr>
            <w:tcW w:w="448" w:type="dxa"/>
            <w:tcBorders>
              <w:top w:val="single" w:sz="4" w:space="0" w:color="000000"/>
              <w:bottom w:val="single" w:sz="4" w:space="0" w:color="000000"/>
            </w:tcBorders>
            <w:vAlign w:val="bottom"/>
          </w:tcPr>
          <w:p w14:paraId="220D2AA2" w14:textId="77777777" w:rsidR="001D71E2" w:rsidRPr="001277D4" w:rsidRDefault="001D71E2" w:rsidP="0047339C">
            <w:pPr>
              <w:pStyle w:val="TableText"/>
              <w:jc w:val="right"/>
              <w:rPr>
                <w:b/>
              </w:rPr>
            </w:pPr>
            <w:r w:rsidRPr="001277D4">
              <w:rPr>
                <w:b/>
              </w:rPr>
              <w:t>n</w:t>
            </w:r>
          </w:p>
        </w:tc>
        <w:tc>
          <w:tcPr>
            <w:tcW w:w="784" w:type="dxa"/>
            <w:tcBorders>
              <w:top w:val="single" w:sz="4" w:space="0" w:color="000000"/>
              <w:bottom w:val="single" w:sz="4" w:space="0" w:color="000000"/>
            </w:tcBorders>
            <w:vAlign w:val="bottom"/>
          </w:tcPr>
          <w:p w14:paraId="6E295F17" w14:textId="77777777" w:rsidR="001D71E2" w:rsidRPr="001277D4" w:rsidRDefault="001D71E2" w:rsidP="0047339C">
            <w:pPr>
              <w:pStyle w:val="TableText"/>
              <w:jc w:val="right"/>
              <w:rPr>
                <w:b/>
              </w:rPr>
            </w:pPr>
            <w:r w:rsidRPr="001277D4">
              <w:rPr>
                <w:b/>
              </w:rPr>
              <w:t>Weighted n</w:t>
            </w:r>
          </w:p>
        </w:tc>
        <w:tc>
          <w:tcPr>
            <w:tcW w:w="1009" w:type="dxa"/>
            <w:tcBorders>
              <w:top w:val="single" w:sz="4" w:space="0" w:color="000000"/>
              <w:bottom w:val="single" w:sz="4" w:space="0" w:color="000000"/>
            </w:tcBorders>
            <w:vAlign w:val="bottom"/>
          </w:tcPr>
          <w:p w14:paraId="4431F82E" w14:textId="77777777" w:rsidR="001D71E2" w:rsidRPr="001277D4" w:rsidRDefault="001D71E2" w:rsidP="0047339C">
            <w:pPr>
              <w:pStyle w:val="TableText"/>
              <w:jc w:val="right"/>
              <w:rPr>
                <w:b/>
              </w:rPr>
            </w:pPr>
            <w:r w:rsidRPr="001277D4">
              <w:rPr>
                <w:b/>
              </w:rPr>
              <w:t>% (95%CI)</w:t>
            </w:r>
          </w:p>
        </w:tc>
        <w:tc>
          <w:tcPr>
            <w:tcW w:w="457" w:type="dxa"/>
            <w:tcBorders>
              <w:top w:val="single" w:sz="4" w:space="0" w:color="000000"/>
              <w:bottom w:val="single" w:sz="4" w:space="0" w:color="000000"/>
            </w:tcBorders>
            <w:vAlign w:val="bottom"/>
          </w:tcPr>
          <w:p w14:paraId="4C0ADC3E" w14:textId="77777777" w:rsidR="001D71E2" w:rsidRPr="001277D4" w:rsidRDefault="001D71E2" w:rsidP="0047339C">
            <w:pPr>
              <w:pStyle w:val="TableText"/>
              <w:jc w:val="right"/>
              <w:rPr>
                <w:b/>
              </w:rPr>
            </w:pPr>
            <w:r w:rsidRPr="001277D4">
              <w:rPr>
                <w:b/>
              </w:rPr>
              <w:t>n</w:t>
            </w:r>
          </w:p>
        </w:tc>
        <w:tc>
          <w:tcPr>
            <w:tcW w:w="775" w:type="dxa"/>
            <w:tcBorders>
              <w:top w:val="single" w:sz="4" w:space="0" w:color="000000"/>
              <w:bottom w:val="single" w:sz="4" w:space="0" w:color="000000"/>
            </w:tcBorders>
            <w:vAlign w:val="bottom"/>
          </w:tcPr>
          <w:p w14:paraId="57B02711" w14:textId="77777777" w:rsidR="001D71E2" w:rsidRPr="001277D4" w:rsidRDefault="001D71E2" w:rsidP="0047339C">
            <w:pPr>
              <w:pStyle w:val="TableText"/>
              <w:jc w:val="right"/>
              <w:rPr>
                <w:b/>
              </w:rPr>
            </w:pPr>
            <w:r w:rsidRPr="001277D4">
              <w:rPr>
                <w:b/>
              </w:rPr>
              <w:t>Weighted n</w:t>
            </w:r>
          </w:p>
        </w:tc>
        <w:tc>
          <w:tcPr>
            <w:tcW w:w="1009" w:type="dxa"/>
            <w:tcBorders>
              <w:top w:val="single" w:sz="4" w:space="0" w:color="000000"/>
              <w:bottom w:val="single" w:sz="4" w:space="0" w:color="000000"/>
            </w:tcBorders>
            <w:vAlign w:val="bottom"/>
          </w:tcPr>
          <w:p w14:paraId="1BD78A46" w14:textId="77777777" w:rsidR="001D71E2" w:rsidRPr="001277D4" w:rsidRDefault="001D71E2" w:rsidP="0047339C">
            <w:pPr>
              <w:pStyle w:val="TableText"/>
              <w:jc w:val="right"/>
              <w:rPr>
                <w:b/>
              </w:rPr>
            </w:pPr>
            <w:r w:rsidRPr="001277D4">
              <w:rPr>
                <w:b/>
              </w:rPr>
              <w:t>% (95%CI)</w:t>
            </w:r>
          </w:p>
        </w:tc>
        <w:tc>
          <w:tcPr>
            <w:tcW w:w="466" w:type="dxa"/>
            <w:tcBorders>
              <w:top w:val="single" w:sz="4" w:space="0" w:color="000000"/>
              <w:bottom w:val="single" w:sz="4" w:space="0" w:color="000000"/>
            </w:tcBorders>
            <w:vAlign w:val="bottom"/>
          </w:tcPr>
          <w:p w14:paraId="36E063C4" w14:textId="77777777" w:rsidR="001D71E2" w:rsidRPr="001277D4" w:rsidRDefault="001D71E2" w:rsidP="0047339C">
            <w:pPr>
              <w:pStyle w:val="TableText"/>
              <w:jc w:val="right"/>
              <w:rPr>
                <w:b/>
              </w:rPr>
            </w:pPr>
            <w:r w:rsidRPr="001277D4">
              <w:rPr>
                <w:b/>
              </w:rPr>
              <w:t>n</w:t>
            </w:r>
          </w:p>
        </w:tc>
        <w:tc>
          <w:tcPr>
            <w:tcW w:w="766" w:type="dxa"/>
            <w:tcBorders>
              <w:top w:val="single" w:sz="4" w:space="0" w:color="000000"/>
              <w:bottom w:val="single" w:sz="4" w:space="0" w:color="000000"/>
            </w:tcBorders>
            <w:vAlign w:val="bottom"/>
          </w:tcPr>
          <w:p w14:paraId="596022DB" w14:textId="77777777" w:rsidR="001D71E2" w:rsidRPr="001277D4" w:rsidRDefault="001D71E2" w:rsidP="0047339C">
            <w:pPr>
              <w:pStyle w:val="TableText"/>
              <w:jc w:val="right"/>
              <w:rPr>
                <w:b/>
              </w:rPr>
            </w:pPr>
            <w:r w:rsidRPr="001277D4">
              <w:rPr>
                <w:b/>
              </w:rPr>
              <w:t>Weighted n</w:t>
            </w:r>
          </w:p>
        </w:tc>
        <w:tc>
          <w:tcPr>
            <w:tcW w:w="1009" w:type="dxa"/>
            <w:tcBorders>
              <w:top w:val="single" w:sz="4" w:space="0" w:color="000000"/>
              <w:bottom w:val="single" w:sz="4" w:space="0" w:color="000000"/>
            </w:tcBorders>
            <w:vAlign w:val="bottom"/>
          </w:tcPr>
          <w:p w14:paraId="5825FE6E" w14:textId="77777777" w:rsidR="001D71E2" w:rsidRPr="001277D4" w:rsidRDefault="001D71E2" w:rsidP="0047339C">
            <w:pPr>
              <w:pStyle w:val="TableText"/>
              <w:jc w:val="right"/>
              <w:rPr>
                <w:b/>
              </w:rPr>
            </w:pPr>
            <w:r w:rsidRPr="001277D4">
              <w:rPr>
                <w:b/>
              </w:rPr>
              <w:t>% (95%CI)</w:t>
            </w:r>
          </w:p>
        </w:tc>
      </w:tr>
      <w:tr w:rsidR="001D71E2" w:rsidRPr="000F78B9" w14:paraId="150A26CC"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Borders>
              <w:top w:val="single" w:sz="4" w:space="0" w:color="000000"/>
            </w:tcBorders>
          </w:tcPr>
          <w:p w14:paraId="1330A022" w14:textId="77777777" w:rsidR="001D71E2" w:rsidRPr="001277D4" w:rsidRDefault="001D71E2" w:rsidP="00E82294">
            <w:pPr>
              <w:pStyle w:val="TableText"/>
              <w:rPr>
                <w:b/>
              </w:rPr>
            </w:pPr>
            <w:r w:rsidRPr="001277D4">
              <w:rPr>
                <w:b/>
              </w:rPr>
              <w:t>Posttraumatic stress disorder (PCL-C)</w:t>
            </w:r>
          </w:p>
        </w:tc>
        <w:tc>
          <w:tcPr>
            <w:tcW w:w="2342" w:type="dxa"/>
            <w:gridSpan w:val="3"/>
            <w:tcBorders>
              <w:top w:val="single" w:sz="4" w:space="0" w:color="000000"/>
            </w:tcBorders>
          </w:tcPr>
          <w:p w14:paraId="4B7BE3BC" w14:textId="77777777" w:rsidR="001D71E2" w:rsidRPr="003E6AB6" w:rsidRDefault="001D71E2" w:rsidP="00E82294">
            <w:pPr>
              <w:pStyle w:val="TableText"/>
              <w:jc w:val="center"/>
              <w:rPr>
                <w:highlight w:val="magenta"/>
              </w:rPr>
            </w:pPr>
            <w:r>
              <w:t>n</w:t>
            </w:r>
            <w:r w:rsidRPr="000F78B9">
              <w:t>=</w:t>
            </w:r>
            <w:r>
              <w:t>135</w:t>
            </w:r>
            <w:r w:rsidRPr="000F78B9">
              <w:t xml:space="preserve"> (Weighted</w:t>
            </w:r>
            <w:r>
              <w:t xml:space="preserve"> n</w:t>
            </w:r>
            <w:r w:rsidRPr="000F78B9">
              <w:t>=</w:t>
            </w:r>
            <w:r>
              <w:t>788</w:t>
            </w:r>
            <w:r w:rsidRPr="000F78B9">
              <w:t>)</w:t>
            </w:r>
          </w:p>
        </w:tc>
        <w:tc>
          <w:tcPr>
            <w:tcW w:w="2241" w:type="dxa"/>
            <w:gridSpan w:val="3"/>
            <w:tcBorders>
              <w:top w:val="single" w:sz="4" w:space="0" w:color="000000"/>
            </w:tcBorders>
          </w:tcPr>
          <w:p w14:paraId="6ADC83A7" w14:textId="77777777" w:rsidR="001D71E2" w:rsidRPr="003E6AB6" w:rsidRDefault="001D71E2" w:rsidP="00E82294">
            <w:pPr>
              <w:pStyle w:val="TableText"/>
              <w:jc w:val="center"/>
              <w:rPr>
                <w:highlight w:val="magenta"/>
              </w:rPr>
            </w:pPr>
            <w:r>
              <w:t>n=375</w:t>
            </w:r>
            <w:r w:rsidRPr="000F78B9">
              <w:t xml:space="preserve"> (Weighted </w:t>
            </w:r>
            <w:r>
              <w:t>n</w:t>
            </w:r>
            <w:r w:rsidRPr="000F78B9">
              <w:t>=</w:t>
            </w:r>
            <w:r>
              <w:t>2461</w:t>
            </w:r>
            <w:r w:rsidRPr="000F78B9">
              <w:t>)</w:t>
            </w:r>
          </w:p>
        </w:tc>
        <w:tc>
          <w:tcPr>
            <w:tcW w:w="2241" w:type="dxa"/>
            <w:gridSpan w:val="3"/>
            <w:tcBorders>
              <w:top w:val="single" w:sz="4" w:space="0" w:color="000000"/>
            </w:tcBorders>
          </w:tcPr>
          <w:p w14:paraId="28B38E23" w14:textId="77777777" w:rsidR="001D71E2" w:rsidRPr="000F78B9" w:rsidRDefault="001D71E2" w:rsidP="00E82294">
            <w:pPr>
              <w:pStyle w:val="TableText"/>
              <w:jc w:val="center"/>
            </w:pPr>
            <w:r>
              <w:t>n</w:t>
            </w:r>
            <w:r w:rsidRPr="000F78B9">
              <w:t>=</w:t>
            </w:r>
            <w:r>
              <w:t>25</w:t>
            </w:r>
            <w:r w:rsidRPr="000F78B9">
              <w:t xml:space="preserve"> (Weighted</w:t>
            </w:r>
            <w:r>
              <w:t xml:space="preserve"> n</w:t>
            </w:r>
            <w:r w:rsidRPr="000F78B9">
              <w:t>=</w:t>
            </w:r>
            <w:r>
              <w:t>117</w:t>
            </w:r>
            <w:r w:rsidRPr="000F78B9">
              <w:t>)</w:t>
            </w:r>
          </w:p>
        </w:tc>
        <w:tc>
          <w:tcPr>
            <w:tcW w:w="2241" w:type="dxa"/>
            <w:gridSpan w:val="3"/>
            <w:tcBorders>
              <w:top w:val="single" w:sz="4" w:space="0" w:color="000000"/>
            </w:tcBorders>
          </w:tcPr>
          <w:p w14:paraId="0B60A0EC" w14:textId="77777777" w:rsidR="001D71E2" w:rsidRPr="000F78B9" w:rsidRDefault="001D71E2" w:rsidP="00E82294">
            <w:pPr>
              <w:pStyle w:val="TableText"/>
              <w:jc w:val="center"/>
            </w:pPr>
            <w:r>
              <w:t>n</w:t>
            </w:r>
            <w:r w:rsidRPr="000F78B9">
              <w:t>=</w:t>
            </w:r>
            <w:r>
              <w:t xml:space="preserve">204 </w:t>
            </w:r>
            <w:r w:rsidRPr="000F78B9">
              <w:t xml:space="preserve">(Weighted </w:t>
            </w:r>
            <w:r>
              <w:t>n</w:t>
            </w:r>
            <w:r w:rsidRPr="000F78B9">
              <w:t>=</w:t>
            </w:r>
            <w:r>
              <w:t>1334</w:t>
            </w:r>
            <w:r w:rsidRPr="000F78B9">
              <w:t>)</w:t>
            </w:r>
          </w:p>
        </w:tc>
      </w:tr>
      <w:tr w:rsidR="0047339C" w:rsidRPr="001277D4" w14:paraId="13552046" w14:textId="77777777" w:rsidTr="0047339C">
        <w:trPr>
          <w:cantSplit/>
        </w:trPr>
        <w:tc>
          <w:tcPr>
            <w:tcW w:w="2455" w:type="dxa"/>
          </w:tcPr>
          <w:p w14:paraId="417F2844" w14:textId="77777777" w:rsidR="001D71E2" w:rsidRPr="001277D4" w:rsidRDefault="001D71E2" w:rsidP="00E82294">
            <w:pPr>
              <w:pStyle w:val="TableText"/>
            </w:pPr>
            <w:r w:rsidRPr="001277D4">
              <w:t xml:space="preserve">Used other websites </w:t>
            </w:r>
          </w:p>
        </w:tc>
        <w:tc>
          <w:tcPr>
            <w:tcW w:w="509" w:type="dxa"/>
          </w:tcPr>
          <w:p w14:paraId="46388F78" w14:textId="77777777" w:rsidR="001D71E2" w:rsidRPr="001277D4" w:rsidRDefault="001D71E2" w:rsidP="00E82294">
            <w:pPr>
              <w:pStyle w:val="TableText"/>
              <w:jc w:val="right"/>
            </w:pPr>
            <w:r w:rsidRPr="001277D4">
              <w:t>32</w:t>
            </w:r>
          </w:p>
        </w:tc>
        <w:tc>
          <w:tcPr>
            <w:tcW w:w="824" w:type="dxa"/>
          </w:tcPr>
          <w:p w14:paraId="02E4D579" w14:textId="77777777" w:rsidR="001D71E2" w:rsidRPr="001277D4" w:rsidRDefault="001D71E2" w:rsidP="00E82294">
            <w:pPr>
              <w:pStyle w:val="TableText"/>
              <w:jc w:val="right"/>
            </w:pPr>
            <w:r w:rsidRPr="001277D4">
              <w:t>185</w:t>
            </w:r>
          </w:p>
        </w:tc>
        <w:tc>
          <w:tcPr>
            <w:tcW w:w="1009" w:type="dxa"/>
          </w:tcPr>
          <w:p w14:paraId="1FDE457F" w14:textId="77777777" w:rsidR="001D71E2" w:rsidRPr="001277D4" w:rsidRDefault="001D71E2" w:rsidP="00E82294">
            <w:pPr>
              <w:pStyle w:val="TableText"/>
              <w:jc w:val="right"/>
            </w:pPr>
            <w:r w:rsidRPr="001277D4">
              <w:t>23.5 (16.2</w:t>
            </w:r>
            <w:r w:rsidR="0047339C">
              <w:t>, </w:t>
            </w:r>
            <w:r w:rsidRPr="001277D4">
              <w:t>32.8)</w:t>
            </w:r>
          </w:p>
        </w:tc>
        <w:tc>
          <w:tcPr>
            <w:tcW w:w="448" w:type="dxa"/>
          </w:tcPr>
          <w:p w14:paraId="2D1CD801" w14:textId="77777777" w:rsidR="001D71E2" w:rsidRPr="001277D4" w:rsidRDefault="001D71E2" w:rsidP="00E82294">
            <w:pPr>
              <w:pStyle w:val="TableText"/>
              <w:jc w:val="right"/>
            </w:pPr>
            <w:r w:rsidRPr="001277D4">
              <w:t>121</w:t>
            </w:r>
          </w:p>
        </w:tc>
        <w:tc>
          <w:tcPr>
            <w:tcW w:w="784" w:type="dxa"/>
          </w:tcPr>
          <w:p w14:paraId="4697780D" w14:textId="77777777" w:rsidR="001D71E2" w:rsidRPr="001277D4" w:rsidRDefault="001D71E2" w:rsidP="00E82294">
            <w:pPr>
              <w:pStyle w:val="TableText"/>
              <w:jc w:val="right"/>
            </w:pPr>
            <w:r w:rsidRPr="001277D4">
              <w:t>776</w:t>
            </w:r>
          </w:p>
        </w:tc>
        <w:tc>
          <w:tcPr>
            <w:tcW w:w="1009" w:type="dxa"/>
          </w:tcPr>
          <w:p w14:paraId="3BE574D2" w14:textId="77777777" w:rsidR="001D71E2" w:rsidRPr="001277D4" w:rsidRDefault="001D71E2" w:rsidP="00E82294">
            <w:pPr>
              <w:pStyle w:val="TableText"/>
              <w:jc w:val="right"/>
            </w:pPr>
            <w:r w:rsidRPr="001277D4">
              <w:t>31.5 (26.0</w:t>
            </w:r>
            <w:r w:rsidR="0047339C">
              <w:t>, </w:t>
            </w:r>
            <w:r w:rsidRPr="001277D4">
              <w:t>37.6)</w:t>
            </w:r>
          </w:p>
        </w:tc>
        <w:tc>
          <w:tcPr>
            <w:tcW w:w="457" w:type="dxa"/>
          </w:tcPr>
          <w:p w14:paraId="6CBF7DEB" w14:textId="77777777" w:rsidR="001D71E2" w:rsidRPr="001277D4" w:rsidRDefault="001D71E2" w:rsidP="00E82294">
            <w:pPr>
              <w:pStyle w:val="TableText"/>
              <w:jc w:val="right"/>
            </w:pPr>
            <w:r w:rsidRPr="00E603D7">
              <w:t>#</w:t>
            </w:r>
          </w:p>
        </w:tc>
        <w:tc>
          <w:tcPr>
            <w:tcW w:w="775" w:type="dxa"/>
          </w:tcPr>
          <w:p w14:paraId="094E9437" w14:textId="77777777" w:rsidR="001D71E2" w:rsidRPr="001277D4" w:rsidRDefault="001D71E2" w:rsidP="00E82294">
            <w:pPr>
              <w:pStyle w:val="TableText"/>
              <w:jc w:val="right"/>
            </w:pPr>
            <w:r>
              <w:t>–</w:t>
            </w:r>
          </w:p>
        </w:tc>
        <w:tc>
          <w:tcPr>
            <w:tcW w:w="1009" w:type="dxa"/>
          </w:tcPr>
          <w:p w14:paraId="2698AE91" w14:textId="77777777" w:rsidR="001D71E2" w:rsidRPr="001277D4" w:rsidRDefault="001D71E2" w:rsidP="00E82294">
            <w:pPr>
              <w:pStyle w:val="TableText"/>
              <w:jc w:val="right"/>
            </w:pPr>
            <w:r>
              <w:t>–</w:t>
            </w:r>
          </w:p>
        </w:tc>
        <w:tc>
          <w:tcPr>
            <w:tcW w:w="466" w:type="dxa"/>
          </w:tcPr>
          <w:p w14:paraId="4A6DA713" w14:textId="77777777" w:rsidR="001D71E2" w:rsidRPr="001277D4" w:rsidRDefault="001D71E2" w:rsidP="00E82294">
            <w:pPr>
              <w:pStyle w:val="TableText"/>
              <w:jc w:val="right"/>
            </w:pPr>
            <w:r w:rsidRPr="001277D4">
              <w:t>64</w:t>
            </w:r>
          </w:p>
        </w:tc>
        <w:tc>
          <w:tcPr>
            <w:tcW w:w="766" w:type="dxa"/>
          </w:tcPr>
          <w:p w14:paraId="6BAF58CB" w14:textId="77777777" w:rsidR="001D71E2" w:rsidRPr="001277D4" w:rsidRDefault="001D71E2" w:rsidP="00E82294">
            <w:pPr>
              <w:pStyle w:val="TableText"/>
              <w:jc w:val="right"/>
            </w:pPr>
            <w:r w:rsidRPr="001277D4">
              <w:t>253</w:t>
            </w:r>
          </w:p>
        </w:tc>
        <w:tc>
          <w:tcPr>
            <w:tcW w:w="1009" w:type="dxa"/>
          </w:tcPr>
          <w:p w14:paraId="40EE5C3B" w14:textId="77777777" w:rsidR="001D71E2" w:rsidRPr="001277D4" w:rsidRDefault="001D71E2" w:rsidP="00E82294">
            <w:pPr>
              <w:pStyle w:val="TableText"/>
              <w:jc w:val="right"/>
            </w:pPr>
            <w:r w:rsidRPr="001277D4">
              <w:t>18.9 (11.3</w:t>
            </w:r>
            <w:r w:rsidR="0047339C">
              <w:t>, </w:t>
            </w:r>
            <w:r w:rsidRPr="001277D4">
              <w:t>29.9)</w:t>
            </w:r>
          </w:p>
        </w:tc>
      </w:tr>
      <w:tr w:rsidR="0047339C" w:rsidRPr="001277D4" w14:paraId="4473E1CA"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43C3D2EE" w14:textId="77777777" w:rsidR="001D71E2" w:rsidRPr="001277D4" w:rsidRDefault="001D71E2" w:rsidP="00E82294">
            <w:pPr>
              <w:pStyle w:val="TableText"/>
            </w:pPr>
            <w:r w:rsidRPr="001277D4">
              <w:t>Did not use other websites</w:t>
            </w:r>
          </w:p>
        </w:tc>
        <w:tc>
          <w:tcPr>
            <w:tcW w:w="509" w:type="dxa"/>
          </w:tcPr>
          <w:p w14:paraId="4A7FC276" w14:textId="77777777" w:rsidR="001D71E2" w:rsidRPr="001277D4" w:rsidRDefault="001D71E2" w:rsidP="00E82294">
            <w:pPr>
              <w:pStyle w:val="TableText"/>
              <w:jc w:val="right"/>
            </w:pPr>
            <w:r w:rsidRPr="001277D4">
              <w:t>103</w:t>
            </w:r>
          </w:p>
        </w:tc>
        <w:tc>
          <w:tcPr>
            <w:tcW w:w="824" w:type="dxa"/>
          </w:tcPr>
          <w:p w14:paraId="22540615" w14:textId="77777777" w:rsidR="001D71E2" w:rsidRPr="001277D4" w:rsidRDefault="001D71E2" w:rsidP="00E82294">
            <w:pPr>
              <w:pStyle w:val="TableText"/>
              <w:jc w:val="right"/>
            </w:pPr>
            <w:r w:rsidRPr="001277D4">
              <w:t>603</w:t>
            </w:r>
          </w:p>
        </w:tc>
        <w:tc>
          <w:tcPr>
            <w:tcW w:w="1009" w:type="dxa"/>
          </w:tcPr>
          <w:p w14:paraId="0C7A059C" w14:textId="77777777" w:rsidR="001D71E2" w:rsidRPr="001277D4" w:rsidRDefault="001D71E2" w:rsidP="00E82294">
            <w:pPr>
              <w:pStyle w:val="TableText"/>
              <w:jc w:val="right"/>
            </w:pPr>
            <w:r w:rsidRPr="001277D4">
              <w:t>76.5 (67.2</w:t>
            </w:r>
            <w:r w:rsidR="0047339C">
              <w:t>, </w:t>
            </w:r>
            <w:r w:rsidRPr="001277D4">
              <w:t>83.8)</w:t>
            </w:r>
          </w:p>
        </w:tc>
        <w:tc>
          <w:tcPr>
            <w:tcW w:w="448" w:type="dxa"/>
          </w:tcPr>
          <w:p w14:paraId="4035EB11" w14:textId="77777777" w:rsidR="001D71E2" w:rsidRPr="001277D4" w:rsidRDefault="001D71E2" w:rsidP="00E82294">
            <w:pPr>
              <w:pStyle w:val="TableText"/>
              <w:jc w:val="right"/>
            </w:pPr>
            <w:r w:rsidRPr="001277D4">
              <w:t>254</w:t>
            </w:r>
          </w:p>
        </w:tc>
        <w:tc>
          <w:tcPr>
            <w:tcW w:w="784" w:type="dxa"/>
          </w:tcPr>
          <w:p w14:paraId="6F87CA42" w14:textId="77777777" w:rsidR="001D71E2" w:rsidRPr="001277D4" w:rsidRDefault="001D71E2" w:rsidP="00E82294">
            <w:pPr>
              <w:pStyle w:val="TableText"/>
              <w:jc w:val="right"/>
            </w:pPr>
            <w:r w:rsidRPr="001277D4">
              <w:t>1686</w:t>
            </w:r>
          </w:p>
        </w:tc>
        <w:tc>
          <w:tcPr>
            <w:tcW w:w="1009" w:type="dxa"/>
          </w:tcPr>
          <w:p w14:paraId="47673312" w14:textId="77777777" w:rsidR="001D71E2" w:rsidRPr="001277D4" w:rsidRDefault="001D71E2" w:rsidP="00E82294">
            <w:pPr>
              <w:pStyle w:val="TableText"/>
              <w:jc w:val="right"/>
            </w:pPr>
            <w:r w:rsidRPr="001277D4">
              <w:t>68.5 (62.4</w:t>
            </w:r>
            <w:r w:rsidR="0047339C">
              <w:t>, </w:t>
            </w:r>
            <w:r w:rsidRPr="001277D4">
              <w:t>74.0)</w:t>
            </w:r>
          </w:p>
        </w:tc>
        <w:tc>
          <w:tcPr>
            <w:tcW w:w="457" w:type="dxa"/>
          </w:tcPr>
          <w:p w14:paraId="5D1F255C" w14:textId="77777777" w:rsidR="001D71E2" w:rsidRPr="001277D4" w:rsidRDefault="001D71E2" w:rsidP="00E82294">
            <w:pPr>
              <w:pStyle w:val="TableText"/>
              <w:jc w:val="right"/>
            </w:pPr>
            <w:r w:rsidRPr="001277D4">
              <w:t>22</w:t>
            </w:r>
          </w:p>
        </w:tc>
        <w:tc>
          <w:tcPr>
            <w:tcW w:w="775" w:type="dxa"/>
          </w:tcPr>
          <w:p w14:paraId="0EE922E0" w14:textId="77777777" w:rsidR="001D71E2" w:rsidRPr="001277D4" w:rsidRDefault="001D71E2" w:rsidP="00E82294">
            <w:pPr>
              <w:pStyle w:val="TableText"/>
              <w:jc w:val="right"/>
            </w:pPr>
            <w:r w:rsidRPr="001277D4">
              <w:t>109</w:t>
            </w:r>
          </w:p>
        </w:tc>
        <w:tc>
          <w:tcPr>
            <w:tcW w:w="1009" w:type="dxa"/>
          </w:tcPr>
          <w:p w14:paraId="20EBA6CC" w14:textId="77777777" w:rsidR="001D71E2" w:rsidRPr="001277D4" w:rsidRDefault="001D71E2" w:rsidP="00E82294">
            <w:pPr>
              <w:pStyle w:val="TableText"/>
              <w:jc w:val="right"/>
            </w:pPr>
            <w:r w:rsidRPr="001277D4">
              <w:t>93.4 (82.4</w:t>
            </w:r>
            <w:r w:rsidR="0047339C">
              <w:t>, </w:t>
            </w:r>
            <w:r w:rsidRPr="001277D4">
              <w:t>97.7)</w:t>
            </w:r>
          </w:p>
        </w:tc>
        <w:tc>
          <w:tcPr>
            <w:tcW w:w="466" w:type="dxa"/>
          </w:tcPr>
          <w:p w14:paraId="0B6A952A" w14:textId="77777777" w:rsidR="001D71E2" w:rsidRPr="001277D4" w:rsidRDefault="001D71E2" w:rsidP="00E82294">
            <w:pPr>
              <w:pStyle w:val="TableText"/>
              <w:jc w:val="right"/>
            </w:pPr>
            <w:r w:rsidRPr="001277D4">
              <w:t>140</w:t>
            </w:r>
          </w:p>
        </w:tc>
        <w:tc>
          <w:tcPr>
            <w:tcW w:w="766" w:type="dxa"/>
          </w:tcPr>
          <w:p w14:paraId="12E91074" w14:textId="77777777" w:rsidR="001D71E2" w:rsidRPr="001277D4" w:rsidRDefault="001D71E2" w:rsidP="00E82294">
            <w:pPr>
              <w:pStyle w:val="TableText"/>
              <w:jc w:val="right"/>
            </w:pPr>
            <w:r w:rsidRPr="001277D4">
              <w:t>1081</w:t>
            </w:r>
          </w:p>
        </w:tc>
        <w:tc>
          <w:tcPr>
            <w:tcW w:w="1009" w:type="dxa"/>
          </w:tcPr>
          <w:p w14:paraId="1228DB5B" w14:textId="77777777" w:rsidR="001D71E2" w:rsidRPr="001277D4" w:rsidRDefault="001D71E2" w:rsidP="00E82294">
            <w:pPr>
              <w:pStyle w:val="TableText"/>
              <w:jc w:val="right"/>
            </w:pPr>
            <w:r w:rsidRPr="001277D4">
              <w:t>81.1 (70.1</w:t>
            </w:r>
            <w:r w:rsidR="0047339C">
              <w:t>, </w:t>
            </w:r>
            <w:r w:rsidRPr="001277D4">
              <w:t>88.7)</w:t>
            </w:r>
          </w:p>
        </w:tc>
      </w:tr>
      <w:tr w:rsidR="001D71E2" w:rsidRPr="000F78B9" w14:paraId="67C33AE6" w14:textId="77777777" w:rsidTr="0047339C">
        <w:trPr>
          <w:cantSplit/>
        </w:trPr>
        <w:tc>
          <w:tcPr>
            <w:tcW w:w="2455" w:type="dxa"/>
          </w:tcPr>
          <w:p w14:paraId="2CA9D0E9" w14:textId="77777777" w:rsidR="001D71E2" w:rsidRPr="001277D4" w:rsidRDefault="001D71E2" w:rsidP="00E82294">
            <w:pPr>
              <w:pStyle w:val="TableText"/>
              <w:rPr>
                <w:b/>
                <w:bCs/>
                <w:color w:val="000000" w:themeColor="text1"/>
              </w:rPr>
            </w:pPr>
            <w:r w:rsidRPr="001277D4">
              <w:rPr>
                <w:b/>
              </w:rPr>
              <w:t>Probable anxiety/depression (K10)</w:t>
            </w:r>
          </w:p>
        </w:tc>
        <w:tc>
          <w:tcPr>
            <w:tcW w:w="2342" w:type="dxa"/>
            <w:gridSpan w:val="3"/>
          </w:tcPr>
          <w:p w14:paraId="09C03BE9" w14:textId="77777777" w:rsidR="001D71E2" w:rsidRPr="000F78B9" w:rsidRDefault="001D71E2" w:rsidP="00E82294">
            <w:pPr>
              <w:pStyle w:val="TableText"/>
              <w:jc w:val="center"/>
            </w:pPr>
            <w:r>
              <w:t>n</w:t>
            </w:r>
            <w:r w:rsidRPr="000F78B9">
              <w:t>=</w:t>
            </w:r>
            <w:r>
              <w:t>301</w:t>
            </w:r>
            <w:r w:rsidRPr="000F78B9">
              <w:t xml:space="preserve"> (Weighted</w:t>
            </w:r>
            <w:r>
              <w:t xml:space="preserve"> n</w:t>
            </w:r>
            <w:r w:rsidRPr="000F78B9">
              <w:t>=</w:t>
            </w:r>
            <w:r>
              <w:t>1877</w:t>
            </w:r>
            <w:r w:rsidRPr="000F78B9">
              <w:t>)</w:t>
            </w:r>
          </w:p>
        </w:tc>
        <w:tc>
          <w:tcPr>
            <w:tcW w:w="2241" w:type="dxa"/>
            <w:gridSpan w:val="3"/>
          </w:tcPr>
          <w:p w14:paraId="2EC71524" w14:textId="77777777" w:rsidR="001D71E2" w:rsidRPr="000F78B9" w:rsidRDefault="001D71E2" w:rsidP="00E82294">
            <w:pPr>
              <w:pStyle w:val="TableText"/>
              <w:jc w:val="center"/>
            </w:pPr>
            <w:r>
              <w:t>n=678</w:t>
            </w:r>
            <w:r w:rsidRPr="000F78B9">
              <w:t xml:space="preserve"> (Weighted </w:t>
            </w:r>
            <w:r>
              <w:t>n</w:t>
            </w:r>
            <w:r w:rsidRPr="000F78B9">
              <w:t>=</w:t>
            </w:r>
            <w:r>
              <w:t>4983</w:t>
            </w:r>
            <w:r w:rsidRPr="000F78B9">
              <w:t>)</w:t>
            </w:r>
          </w:p>
        </w:tc>
        <w:tc>
          <w:tcPr>
            <w:tcW w:w="2241" w:type="dxa"/>
            <w:gridSpan w:val="3"/>
          </w:tcPr>
          <w:p w14:paraId="2682C219" w14:textId="77777777" w:rsidR="001D71E2" w:rsidRPr="000F78B9" w:rsidRDefault="001D71E2" w:rsidP="00E82294">
            <w:pPr>
              <w:pStyle w:val="TableText"/>
              <w:jc w:val="center"/>
            </w:pPr>
            <w:r>
              <w:t>n</w:t>
            </w:r>
            <w:r w:rsidRPr="000F78B9">
              <w:t>=</w:t>
            </w:r>
            <w:r>
              <w:t>232</w:t>
            </w:r>
            <w:r w:rsidRPr="000F78B9">
              <w:t xml:space="preserve"> (Weighted</w:t>
            </w:r>
            <w:r>
              <w:t xml:space="preserve"> n</w:t>
            </w:r>
            <w:r w:rsidRPr="000F78B9">
              <w:t>=</w:t>
            </w:r>
            <w:r>
              <w:t>2683</w:t>
            </w:r>
            <w:r w:rsidRPr="000F78B9">
              <w:t>)</w:t>
            </w:r>
          </w:p>
        </w:tc>
        <w:tc>
          <w:tcPr>
            <w:tcW w:w="2241" w:type="dxa"/>
            <w:gridSpan w:val="3"/>
          </w:tcPr>
          <w:p w14:paraId="015CFF85" w14:textId="77777777" w:rsidR="001D71E2" w:rsidRPr="000F78B9" w:rsidRDefault="001D71E2" w:rsidP="00E82294">
            <w:pPr>
              <w:pStyle w:val="TableText"/>
              <w:jc w:val="center"/>
            </w:pPr>
            <w:r>
              <w:t>n</w:t>
            </w:r>
            <w:r w:rsidRPr="000F78B9">
              <w:t>=</w:t>
            </w:r>
            <w:r>
              <w:t xml:space="preserve">699 </w:t>
            </w:r>
            <w:r w:rsidRPr="000F78B9">
              <w:t xml:space="preserve">(Weighted </w:t>
            </w:r>
            <w:r>
              <w:t>n</w:t>
            </w:r>
            <w:r w:rsidRPr="000F78B9">
              <w:t>=</w:t>
            </w:r>
            <w:r>
              <w:t>4703</w:t>
            </w:r>
            <w:r w:rsidRPr="000F78B9">
              <w:t>)</w:t>
            </w:r>
          </w:p>
        </w:tc>
      </w:tr>
      <w:tr w:rsidR="0047339C" w:rsidRPr="001277D4" w14:paraId="38368DA5"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47B7827D" w14:textId="77777777" w:rsidR="001D71E2" w:rsidRPr="001277D4" w:rsidRDefault="001D71E2" w:rsidP="00E82294">
            <w:pPr>
              <w:pStyle w:val="TableText"/>
            </w:pPr>
            <w:r w:rsidRPr="001277D4">
              <w:t xml:space="preserve">Used other websites </w:t>
            </w:r>
          </w:p>
        </w:tc>
        <w:tc>
          <w:tcPr>
            <w:tcW w:w="509" w:type="dxa"/>
          </w:tcPr>
          <w:p w14:paraId="6615E128" w14:textId="77777777" w:rsidR="001D71E2" w:rsidRPr="001277D4" w:rsidRDefault="001D71E2" w:rsidP="00E82294">
            <w:pPr>
              <w:pStyle w:val="TableText"/>
              <w:jc w:val="right"/>
            </w:pPr>
            <w:r w:rsidRPr="001277D4">
              <w:t>53</w:t>
            </w:r>
          </w:p>
        </w:tc>
        <w:tc>
          <w:tcPr>
            <w:tcW w:w="824" w:type="dxa"/>
          </w:tcPr>
          <w:p w14:paraId="706B9D03" w14:textId="77777777" w:rsidR="001D71E2" w:rsidRPr="001277D4" w:rsidRDefault="001D71E2" w:rsidP="00E82294">
            <w:pPr>
              <w:pStyle w:val="TableText"/>
              <w:jc w:val="right"/>
            </w:pPr>
            <w:r w:rsidRPr="001277D4">
              <w:t>343</w:t>
            </w:r>
          </w:p>
        </w:tc>
        <w:tc>
          <w:tcPr>
            <w:tcW w:w="1009" w:type="dxa"/>
          </w:tcPr>
          <w:p w14:paraId="6B7361FD" w14:textId="77777777" w:rsidR="001D71E2" w:rsidRPr="001277D4" w:rsidRDefault="001D71E2" w:rsidP="00E82294">
            <w:pPr>
              <w:pStyle w:val="TableText"/>
              <w:jc w:val="right"/>
            </w:pPr>
            <w:r w:rsidRPr="001277D4">
              <w:t>18.3 (13.5</w:t>
            </w:r>
            <w:r w:rsidR="0047339C">
              <w:t>, </w:t>
            </w:r>
            <w:r w:rsidRPr="001277D4">
              <w:t>24.3)</w:t>
            </w:r>
          </w:p>
        </w:tc>
        <w:tc>
          <w:tcPr>
            <w:tcW w:w="448" w:type="dxa"/>
          </w:tcPr>
          <w:p w14:paraId="44832850" w14:textId="77777777" w:rsidR="001D71E2" w:rsidRPr="001277D4" w:rsidRDefault="001D71E2" w:rsidP="00E82294">
            <w:pPr>
              <w:pStyle w:val="TableText"/>
              <w:jc w:val="right"/>
            </w:pPr>
            <w:r w:rsidRPr="001277D4">
              <w:t>208</w:t>
            </w:r>
          </w:p>
        </w:tc>
        <w:tc>
          <w:tcPr>
            <w:tcW w:w="784" w:type="dxa"/>
          </w:tcPr>
          <w:p w14:paraId="76AE5336" w14:textId="77777777" w:rsidR="001D71E2" w:rsidRPr="001277D4" w:rsidRDefault="001D71E2" w:rsidP="00E82294">
            <w:pPr>
              <w:pStyle w:val="TableText"/>
              <w:jc w:val="right"/>
            </w:pPr>
            <w:r w:rsidRPr="001277D4">
              <w:t>1408</w:t>
            </w:r>
          </w:p>
        </w:tc>
        <w:tc>
          <w:tcPr>
            <w:tcW w:w="1009" w:type="dxa"/>
          </w:tcPr>
          <w:p w14:paraId="18BB29C4" w14:textId="77777777" w:rsidR="001D71E2" w:rsidRPr="001277D4" w:rsidRDefault="001D71E2" w:rsidP="00E82294">
            <w:pPr>
              <w:pStyle w:val="TableText"/>
              <w:jc w:val="right"/>
            </w:pPr>
            <w:r w:rsidRPr="001277D4">
              <w:t>28.8 (24.8</w:t>
            </w:r>
            <w:r w:rsidR="0047339C">
              <w:t>, </w:t>
            </w:r>
            <w:r w:rsidRPr="001277D4">
              <w:t>33.1)</w:t>
            </w:r>
          </w:p>
        </w:tc>
        <w:tc>
          <w:tcPr>
            <w:tcW w:w="457" w:type="dxa"/>
          </w:tcPr>
          <w:p w14:paraId="5F3E1473" w14:textId="77777777" w:rsidR="001D71E2" w:rsidRPr="001277D4" w:rsidRDefault="001D71E2" w:rsidP="00E82294">
            <w:pPr>
              <w:pStyle w:val="TableText"/>
              <w:jc w:val="right"/>
            </w:pPr>
            <w:r w:rsidRPr="001277D4">
              <w:t>16</w:t>
            </w:r>
          </w:p>
        </w:tc>
        <w:tc>
          <w:tcPr>
            <w:tcW w:w="775" w:type="dxa"/>
          </w:tcPr>
          <w:p w14:paraId="6BA36E38" w14:textId="77777777" w:rsidR="001D71E2" w:rsidRPr="001277D4" w:rsidRDefault="001D71E2" w:rsidP="00E82294">
            <w:pPr>
              <w:pStyle w:val="TableText"/>
              <w:jc w:val="right"/>
            </w:pPr>
            <w:r w:rsidRPr="001277D4">
              <w:t>360</w:t>
            </w:r>
          </w:p>
        </w:tc>
        <w:tc>
          <w:tcPr>
            <w:tcW w:w="1009" w:type="dxa"/>
          </w:tcPr>
          <w:p w14:paraId="77C85081" w14:textId="77777777" w:rsidR="001D71E2" w:rsidRPr="001277D4" w:rsidRDefault="001D71E2" w:rsidP="0047339C">
            <w:pPr>
              <w:pStyle w:val="TableText"/>
              <w:jc w:val="right"/>
            </w:pPr>
            <w:r w:rsidRPr="001277D4">
              <w:t>13.4</w:t>
            </w:r>
            <w:r w:rsidR="0047339C">
              <w:br/>
            </w:r>
            <w:r w:rsidRPr="001277D4">
              <w:t>(4.1</w:t>
            </w:r>
            <w:r w:rsidR="0047339C">
              <w:t>, </w:t>
            </w:r>
            <w:r w:rsidRPr="001277D4">
              <w:t>36.1)</w:t>
            </w:r>
          </w:p>
        </w:tc>
        <w:tc>
          <w:tcPr>
            <w:tcW w:w="466" w:type="dxa"/>
          </w:tcPr>
          <w:p w14:paraId="5AC54FEF" w14:textId="77777777" w:rsidR="001D71E2" w:rsidRPr="001277D4" w:rsidRDefault="001D71E2" w:rsidP="00E82294">
            <w:pPr>
              <w:pStyle w:val="TableText"/>
              <w:jc w:val="right"/>
            </w:pPr>
            <w:r w:rsidRPr="001277D4">
              <w:t>194</w:t>
            </w:r>
          </w:p>
        </w:tc>
        <w:tc>
          <w:tcPr>
            <w:tcW w:w="766" w:type="dxa"/>
          </w:tcPr>
          <w:p w14:paraId="5E987364" w14:textId="77777777" w:rsidR="001D71E2" w:rsidRPr="001277D4" w:rsidRDefault="001D71E2" w:rsidP="00E82294">
            <w:pPr>
              <w:pStyle w:val="TableText"/>
              <w:jc w:val="right"/>
            </w:pPr>
            <w:r w:rsidRPr="001277D4">
              <w:t>1275</w:t>
            </w:r>
          </w:p>
        </w:tc>
        <w:tc>
          <w:tcPr>
            <w:tcW w:w="1009" w:type="dxa"/>
          </w:tcPr>
          <w:p w14:paraId="198FAEEE" w14:textId="77777777" w:rsidR="001D71E2" w:rsidRPr="001277D4" w:rsidRDefault="001D71E2" w:rsidP="00E82294">
            <w:pPr>
              <w:pStyle w:val="TableText"/>
              <w:jc w:val="right"/>
            </w:pPr>
            <w:r w:rsidRPr="001277D4">
              <w:t>27.1 (16.2</w:t>
            </w:r>
            <w:r w:rsidR="0047339C">
              <w:t>, </w:t>
            </w:r>
            <w:r w:rsidRPr="001277D4">
              <w:t>41.6)</w:t>
            </w:r>
          </w:p>
        </w:tc>
      </w:tr>
      <w:tr w:rsidR="0047339C" w:rsidRPr="001277D4" w14:paraId="2A9FFCA6" w14:textId="77777777" w:rsidTr="0047339C">
        <w:trPr>
          <w:cantSplit/>
        </w:trPr>
        <w:tc>
          <w:tcPr>
            <w:tcW w:w="2455" w:type="dxa"/>
          </w:tcPr>
          <w:p w14:paraId="1FE4BABA" w14:textId="77777777" w:rsidR="001D71E2" w:rsidRPr="001277D4" w:rsidRDefault="001D71E2" w:rsidP="00E82294">
            <w:pPr>
              <w:pStyle w:val="TableText"/>
            </w:pPr>
            <w:r w:rsidRPr="001277D4">
              <w:t>Did not use other websites</w:t>
            </w:r>
          </w:p>
        </w:tc>
        <w:tc>
          <w:tcPr>
            <w:tcW w:w="509" w:type="dxa"/>
          </w:tcPr>
          <w:p w14:paraId="24DC257F" w14:textId="77777777" w:rsidR="001D71E2" w:rsidRPr="001277D4" w:rsidRDefault="001D71E2" w:rsidP="00E82294">
            <w:pPr>
              <w:pStyle w:val="TableText"/>
              <w:jc w:val="right"/>
            </w:pPr>
            <w:r w:rsidRPr="001277D4">
              <w:t>248</w:t>
            </w:r>
          </w:p>
        </w:tc>
        <w:tc>
          <w:tcPr>
            <w:tcW w:w="824" w:type="dxa"/>
          </w:tcPr>
          <w:p w14:paraId="2C974E42" w14:textId="77777777" w:rsidR="001D71E2" w:rsidRPr="001277D4" w:rsidRDefault="001D71E2" w:rsidP="00E82294">
            <w:pPr>
              <w:pStyle w:val="TableText"/>
              <w:jc w:val="right"/>
            </w:pPr>
            <w:r w:rsidRPr="001277D4">
              <w:t>1534</w:t>
            </w:r>
          </w:p>
        </w:tc>
        <w:tc>
          <w:tcPr>
            <w:tcW w:w="1009" w:type="dxa"/>
          </w:tcPr>
          <w:p w14:paraId="43A1FAA4" w14:textId="77777777" w:rsidR="001D71E2" w:rsidRPr="001277D4" w:rsidRDefault="001D71E2" w:rsidP="00E82294">
            <w:pPr>
              <w:pStyle w:val="TableText"/>
              <w:jc w:val="right"/>
            </w:pPr>
            <w:r w:rsidRPr="001277D4">
              <w:t>81.7 (75.7</w:t>
            </w:r>
            <w:r w:rsidR="0047339C">
              <w:t>, </w:t>
            </w:r>
            <w:r w:rsidRPr="001277D4">
              <w:t>86.5)</w:t>
            </w:r>
          </w:p>
        </w:tc>
        <w:tc>
          <w:tcPr>
            <w:tcW w:w="448" w:type="dxa"/>
          </w:tcPr>
          <w:p w14:paraId="3819360D" w14:textId="77777777" w:rsidR="001D71E2" w:rsidRPr="001277D4" w:rsidRDefault="001D71E2" w:rsidP="00E82294">
            <w:pPr>
              <w:pStyle w:val="TableText"/>
              <w:jc w:val="right"/>
            </w:pPr>
            <w:r w:rsidRPr="001277D4">
              <w:t>470</w:t>
            </w:r>
          </w:p>
        </w:tc>
        <w:tc>
          <w:tcPr>
            <w:tcW w:w="784" w:type="dxa"/>
          </w:tcPr>
          <w:p w14:paraId="3A3B6DB6" w14:textId="77777777" w:rsidR="001D71E2" w:rsidRPr="001277D4" w:rsidRDefault="001D71E2" w:rsidP="00E82294">
            <w:pPr>
              <w:pStyle w:val="TableText"/>
              <w:jc w:val="right"/>
            </w:pPr>
            <w:r w:rsidRPr="001277D4">
              <w:t>3485</w:t>
            </w:r>
          </w:p>
        </w:tc>
        <w:tc>
          <w:tcPr>
            <w:tcW w:w="1009" w:type="dxa"/>
          </w:tcPr>
          <w:p w14:paraId="14ECA28E" w14:textId="77777777" w:rsidR="001D71E2" w:rsidRPr="001277D4" w:rsidRDefault="001D71E2" w:rsidP="00E82294">
            <w:pPr>
              <w:pStyle w:val="TableText"/>
              <w:jc w:val="right"/>
            </w:pPr>
            <w:r w:rsidRPr="001277D4">
              <w:t>71.2 (66.9</w:t>
            </w:r>
            <w:r w:rsidR="0047339C">
              <w:t>, </w:t>
            </w:r>
            <w:r w:rsidRPr="001277D4">
              <w:t>75.2)</w:t>
            </w:r>
          </w:p>
        </w:tc>
        <w:tc>
          <w:tcPr>
            <w:tcW w:w="457" w:type="dxa"/>
          </w:tcPr>
          <w:p w14:paraId="5524E758" w14:textId="77777777" w:rsidR="001D71E2" w:rsidRPr="001277D4" w:rsidRDefault="001D71E2" w:rsidP="00E82294">
            <w:pPr>
              <w:pStyle w:val="TableText"/>
              <w:jc w:val="right"/>
            </w:pPr>
            <w:r w:rsidRPr="001277D4">
              <w:t>216</w:t>
            </w:r>
          </w:p>
        </w:tc>
        <w:tc>
          <w:tcPr>
            <w:tcW w:w="775" w:type="dxa"/>
          </w:tcPr>
          <w:p w14:paraId="03CBF8EF" w14:textId="77777777" w:rsidR="001D71E2" w:rsidRPr="001277D4" w:rsidRDefault="001D71E2" w:rsidP="00E82294">
            <w:pPr>
              <w:pStyle w:val="TableText"/>
              <w:jc w:val="right"/>
            </w:pPr>
            <w:r w:rsidRPr="001277D4">
              <w:t>2323</w:t>
            </w:r>
          </w:p>
        </w:tc>
        <w:tc>
          <w:tcPr>
            <w:tcW w:w="1009" w:type="dxa"/>
          </w:tcPr>
          <w:p w14:paraId="431993C2" w14:textId="77777777" w:rsidR="001D71E2" w:rsidRPr="001277D4" w:rsidRDefault="001D71E2" w:rsidP="00E82294">
            <w:pPr>
              <w:pStyle w:val="TableText"/>
              <w:jc w:val="right"/>
            </w:pPr>
            <w:r w:rsidRPr="001277D4">
              <w:t>86.6 (63.9</w:t>
            </w:r>
            <w:r w:rsidR="0047339C">
              <w:t>, </w:t>
            </w:r>
            <w:r w:rsidRPr="001277D4">
              <w:t>95.9)</w:t>
            </w:r>
          </w:p>
        </w:tc>
        <w:tc>
          <w:tcPr>
            <w:tcW w:w="466" w:type="dxa"/>
          </w:tcPr>
          <w:p w14:paraId="47465663" w14:textId="77777777" w:rsidR="001D71E2" w:rsidRPr="001277D4" w:rsidRDefault="001D71E2" w:rsidP="00E82294">
            <w:pPr>
              <w:pStyle w:val="TableText"/>
              <w:jc w:val="right"/>
            </w:pPr>
            <w:r w:rsidRPr="001277D4">
              <w:t>505</w:t>
            </w:r>
          </w:p>
        </w:tc>
        <w:tc>
          <w:tcPr>
            <w:tcW w:w="766" w:type="dxa"/>
          </w:tcPr>
          <w:p w14:paraId="706CF6CB" w14:textId="77777777" w:rsidR="001D71E2" w:rsidRPr="001277D4" w:rsidRDefault="001D71E2" w:rsidP="00E82294">
            <w:pPr>
              <w:pStyle w:val="TableText"/>
              <w:jc w:val="right"/>
            </w:pPr>
            <w:r w:rsidRPr="001277D4">
              <w:t>3428</w:t>
            </w:r>
          </w:p>
        </w:tc>
        <w:tc>
          <w:tcPr>
            <w:tcW w:w="1009" w:type="dxa"/>
          </w:tcPr>
          <w:p w14:paraId="1F44B9FE" w14:textId="77777777" w:rsidR="001D71E2" w:rsidRPr="001277D4" w:rsidRDefault="001D71E2" w:rsidP="00E82294">
            <w:pPr>
              <w:pStyle w:val="TableText"/>
              <w:jc w:val="right"/>
            </w:pPr>
            <w:r w:rsidRPr="001277D4">
              <w:t>72.9 (58.4</w:t>
            </w:r>
            <w:r w:rsidR="0047339C">
              <w:t>, </w:t>
            </w:r>
            <w:r w:rsidRPr="001277D4">
              <w:t>83.8)</w:t>
            </w:r>
          </w:p>
        </w:tc>
      </w:tr>
      <w:tr w:rsidR="001D71E2" w:rsidRPr="000F78B9" w14:paraId="0B855B08"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56AC28B2" w14:textId="77777777" w:rsidR="001D71E2" w:rsidRPr="001277D4" w:rsidRDefault="001D71E2" w:rsidP="00E82294">
            <w:pPr>
              <w:pStyle w:val="TableText"/>
              <w:rPr>
                <w:b/>
                <w:bCs/>
                <w:color w:val="000000" w:themeColor="text1"/>
              </w:rPr>
            </w:pPr>
            <w:r w:rsidRPr="001277D4">
              <w:rPr>
                <w:b/>
              </w:rPr>
              <w:t>Probable alcohol use disorder (AUDIT)</w:t>
            </w:r>
          </w:p>
        </w:tc>
        <w:tc>
          <w:tcPr>
            <w:tcW w:w="2342" w:type="dxa"/>
            <w:gridSpan w:val="3"/>
          </w:tcPr>
          <w:p w14:paraId="25A21DF1" w14:textId="77777777" w:rsidR="001D71E2" w:rsidRPr="000F78B9" w:rsidRDefault="001D71E2" w:rsidP="00E82294">
            <w:pPr>
              <w:pStyle w:val="TableText"/>
              <w:jc w:val="center"/>
            </w:pPr>
            <w:r>
              <w:t>n</w:t>
            </w:r>
            <w:r w:rsidRPr="000F78B9">
              <w:t>=</w:t>
            </w:r>
            <w:r>
              <w:t>69</w:t>
            </w:r>
            <w:r w:rsidRPr="000F78B9">
              <w:t xml:space="preserve"> (Weighted</w:t>
            </w:r>
            <w:r>
              <w:t xml:space="preserve"> n</w:t>
            </w:r>
            <w:r w:rsidRPr="000F78B9">
              <w:t>=</w:t>
            </w:r>
            <w:r>
              <w:t>450</w:t>
            </w:r>
            <w:r w:rsidRPr="000F78B9">
              <w:t>)</w:t>
            </w:r>
          </w:p>
        </w:tc>
        <w:tc>
          <w:tcPr>
            <w:tcW w:w="2241" w:type="dxa"/>
            <w:gridSpan w:val="3"/>
          </w:tcPr>
          <w:p w14:paraId="576361E5" w14:textId="77777777" w:rsidR="001D71E2" w:rsidRPr="000F78B9" w:rsidRDefault="001D71E2" w:rsidP="00E82294">
            <w:pPr>
              <w:pStyle w:val="TableText"/>
              <w:jc w:val="center"/>
            </w:pPr>
            <w:r>
              <w:t>n=171</w:t>
            </w:r>
            <w:r w:rsidRPr="000F78B9">
              <w:t xml:space="preserve"> (Weighted </w:t>
            </w:r>
            <w:r>
              <w:t>n</w:t>
            </w:r>
            <w:r w:rsidRPr="000F78B9">
              <w:t>=</w:t>
            </w:r>
            <w:r>
              <w:t>1191</w:t>
            </w:r>
            <w:r w:rsidRPr="000F78B9">
              <w:t>)</w:t>
            </w:r>
          </w:p>
        </w:tc>
        <w:tc>
          <w:tcPr>
            <w:tcW w:w="2241" w:type="dxa"/>
            <w:gridSpan w:val="3"/>
          </w:tcPr>
          <w:p w14:paraId="1AAF62A3" w14:textId="77777777" w:rsidR="001D71E2" w:rsidRPr="000F78B9" w:rsidRDefault="001D71E2" w:rsidP="00E82294">
            <w:pPr>
              <w:pStyle w:val="TableText"/>
              <w:jc w:val="center"/>
            </w:pPr>
            <w:r>
              <w:t>n</w:t>
            </w:r>
            <w:r w:rsidRPr="000F78B9">
              <w:t>=</w:t>
            </w:r>
            <w:r>
              <w:t>15</w:t>
            </w:r>
            <w:r w:rsidRPr="000F78B9">
              <w:t xml:space="preserve"> (Weighted</w:t>
            </w:r>
            <w:r>
              <w:t xml:space="preserve"> n</w:t>
            </w:r>
            <w:r w:rsidRPr="000F78B9">
              <w:t>=</w:t>
            </w:r>
            <w:r>
              <w:t>241</w:t>
            </w:r>
            <w:r w:rsidRPr="000F78B9">
              <w:t>)</w:t>
            </w:r>
          </w:p>
        </w:tc>
        <w:tc>
          <w:tcPr>
            <w:tcW w:w="2241" w:type="dxa"/>
            <w:gridSpan w:val="3"/>
          </w:tcPr>
          <w:p w14:paraId="5567D5E3" w14:textId="77777777" w:rsidR="001D71E2" w:rsidRPr="000F78B9" w:rsidRDefault="001D71E2" w:rsidP="00E82294">
            <w:pPr>
              <w:pStyle w:val="TableText"/>
              <w:jc w:val="center"/>
            </w:pPr>
            <w:r>
              <w:t>n</w:t>
            </w:r>
            <w:r w:rsidRPr="000F78B9">
              <w:t>=</w:t>
            </w:r>
            <w:r>
              <w:t xml:space="preserve">70 </w:t>
            </w:r>
            <w:r w:rsidRPr="000F78B9">
              <w:t xml:space="preserve">(Weighted </w:t>
            </w:r>
            <w:r>
              <w:t>n</w:t>
            </w:r>
            <w:r w:rsidRPr="000F78B9">
              <w:t>=</w:t>
            </w:r>
            <w:r>
              <w:t>532</w:t>
            </w:r>
            <w:r w:rsidRPr="000F78B9">
              <w:t>)</w:t>
            </w:r>
          </w:p>
        </w:tc>
      </w:tr>
      <w:tr w:rsidR="0047339C" w:rsidRPr="001277D4" w14:paraId="323394C7" w14:textId="77777777" w:rsidTr="0047339C">
        <w:trPr>
          <w:cantSplit/>
        </w:trPr>
        <w:tc>
          <w:tcPr>
            <w:tcW w:w="2455" w:type="dxa"/>
          </w:tcPr>
          <w:p w14:paraId="1601F529" w14:textId="77777777" w:rsidR="001D71E2" w:rsidRPr="001277D4" w:rsidRDefault="001D71E2" w:rsidP="00E82294">
            <w:pPr>
              <w:pStyle w:val="TableText"/>
            </w:pPr>
            <w:r w:rsidRPr="001277D4">
              <w:t xml:space="preserve">Used other websites </w:t>
            </w:r>
          </w:p>
        </w:tc>
        <w:tc>
          <w:tcPr>
            <w:tcW w:w="509" w:type="dxa"/>
          </w:tcPr>
          <w:p w14:paraId="6426E2A9" w14:textId="77777777" w:rsidR="001D71E2" w:rsidRPr="001277D4" w:rsidRDefault="001D71E2" w:rsidP="00E82294">
            <w:pPr>
              <w:pStyle w:val="TableText"/>
              <w:jc w:val="right"/>
            </w:pPr>
            <w:r w:rsidRPr="001277D4">
              <w:t>18</w:t>
            </w:r>
          </w:p>
        </w:tc>
        <w:tc>
          <w:tcPr>
            <w:tcW w:w="824" w:type="dxa"/>
          </w:tcPr>
          <w:p w14:paraId="42D25326" w14:textId="77777777" w:rsidR="001D71E2" w:rsidRPr="001277D4" w:rsidRDefault="001D71E2" w:rsidP="00E82294">
            <w:pPr>
              <w:pStyle w:val="TableText"/>
              <w:jc w:val="right"/>
            </w:pPr>
            <w:r w:rsidRPr="001277D4">
              <w:t>115</w:t>
            </w:r>
          </w:p>
        </w:tc>
        <w:tc>
          <w:tcPr>
            <w:tcW w:w="1009" w:type="dxa"/>
          </w:tcPr>
          <w:p w14:paraId="19CCA5E9" w14:textId="77777777" w:rsidR="001D71E2" w:rsidRPr="001277D4" w:rsidRDefault="001D71E2" w:rsidP="00E82294">
            <w:pPr>
              <w:pStyle w:val="TableText"/>
              <w:jc w:val="right"/>
            </w:pPr>
            <w:r w:rsidRPr="001277D4">
              <w:t>25.6 (14.9</w:t>
            </w:r>
            <w:r w:rsidR="0047339C">
              <w:t>, </w:t>
            </w:r>
            <w:r w:rsidRPr="001277D4">
              <w:t>40.3)</w:t>
            </w:r>
          </w:p>
        </w:tc>
        <w:tc>
          <w:tcPr>
            <w:tcW w:w="448" w:type="dxa"/>
          </w:tcPr>
          <w:p w14:paraId="5B058B99" w14:textId="77777777" w:rsidR="001D71E2" w:rsidRPr="001277D4" w:rsidRDefault="001D71E2" w:rsidP="00E82294">
            <w:pPr>
              <w:pStyle w:val="TableText"/>
              <w:jc w:val="right"/>
            </w:pPr>
            <w:r w:rsidRPr="001277D4">
              <w:t>47</w:t>
            </w:r>
          </w:p>
        </w:tc>
        <w:tc>
          <w:tcPr>
            <w:tcW w:w="784" w:type="dxa"/>
          </w:tcPr>
          <w:p w14:paraId="7EC95002" w14:textId="77777777" w:rsidR="001D71E2" w:rsidRPr="001277D4" w:rsidRDefault="001D71E2" w:rsidP="00E82294">
            <w:pPr>
              <w:pStyle w:val="TableText"/>
              <w:jc w:val="right"/>
            </w:pPr>
            <w:r w:rsidRPr="001277D4">
              <w:t>335</w:t>
            </w:r>
          </w:p>
        </w:tc>
        <w:tc>
          <w:tcPr>
            <w:tcW w:w="1009" w:type="dxa"/>
          </w:tcPr>
          <w:p w14:paraId="0C0F5E5B" w14:textId="77777777" w:rsidR="001D71E2" w:rsidRPr="001277D4" w:rsidRDefault="001D71E2" w:rsidP="00E82294">
            <w:pPr>
              <w:pStyle w:val="TableText"/>
              <w:jc w:val="right"/>
            </w:pPr>
            <w:r w:rsidRPr="001277D4">
              <w:t>28.1 (20.6</w:t>
            </w:r>
            <w:r w:rsidR="0047339C">
              <w:t>, </w:t>
            </w:r>
            <w:r w:rsidRPr="001277D4">
              <w:t>37.2)</w:t>
            </w:r>
          </w:p>
        </w:tc>
        <w:tc>
          <w:tcPr>
            <w:tcW w:w="457" w:type="dxa"/>
          </w:tcPr>
          <w:p w14:paraId="44A385D3" w14:textId="77777777" w:rsidR="001D71E2" w:rsidRPr="001277D4" w:rsidRDefault="001D71E2" w:rsidP="00E82294">
            <w:pPr>
              <w:pStyle w:val="TableText"/>
              <w:jc w:val="right"/>
            </w:pPr>
            <w:r w:rsidRPr="00E603D7">
              <w:t>#</w:t>
            </w:r>
          </w:p>
        </w:tc>
        <w:tc>
          <w:tcPr>
            <w:tcW w:w="775" w:type="dxa"/>
          </w:tcPr>
          <w:p w14:paraId="5051D567" w14:textId="77777777" w:rsidR="001D71E2" w:rsidRPr="001277D4" w:rsidRDefault="001D71E2" w:rsidP="00E82294">
            <w:pPr>
              <w:pStyle w:val="TableText"/>
              <w:jc w:val="right"/>
            </w:pPr>
            <w:r>
              <w:t>–</w:t>
            </w:r>
          </w:p>
        </w:tc>
        <w:tc>
          <w:tcPr>
            <w:tcW w:w="1009" w:type="dxa"/>
          </w:tcPr>
          <w:p w14:paraId="6E74C3E1" w14:textId="77777777" w:rsidR="001D71E2" w:rsidRPr="001277D4" w:rsidRDefault="001D71E2" w:rsidP="00E82294">
            <w:pPr>
              <w:pStyle w:val="TableText"/>
              <w:jc w:val="right"/>
            </w:pPr>
            <w:r>
              <w:t>–</w:t>
            </w:r>
          </w:p>
        </w:tc>
        <w:tc>
          <w:tcPr>
            <w:tcW w:w="466" w:type="dxa"/>
          </w:tcPr>
          <w:p w14:paraId="108B8B6C" w14:textId="77777777" w:rsidR="001D71E2" w:rsidRPr="001277D4" w:rsidRDefault="001D71E2" w:rsidP="00E82294">
            <w:pPr>
              <w:pStyle w:val="TableText"/>
              <w:jc w:val="right"/>
            </w:pPr>
            <w:r w:rsidRPr="001277D4">
              <w:t>19</w:t>
            </w:r>
          </w:p>
        </w:tc>
        <w:tc>
          <w:tcPr>
            <w:tcW w:w="766" w:type="dxa"/>
          </w:tcPr>
          <w:p w14:paraId="54706B4D" w14:textId="77777777" w:rsidR="001D71E2" w:rsidRPr="001277D4" w:rsidRDefault="001D71E2" w:rsidP="00E82294">
            <w:pPr>
              <w:pStyle w:val="TableText"/>
              <w:jc w:val="right"/>
            </w:pPr>
            <w:r w:rsidRPr="001277D4">
              <w:t>54</w:t>
            </w:r>
          </w:p>
        </w:tc>
        <w:tc>
          <w:tcPr>
            <w:tcW w:w="1009" w:type="dxa"/>
          </w:tcPr>
          <w:p w14:paraId="77D1443B" w14:textId="77777777" w:rsidR="001D71E2" w:rsidRPr="001277D4" w:rsidRDefault="001D71E2" w:rsidP="0047339C">
            <w:pPr>
              <w:pStyle w:val="TableText"/>
              <w:jc w:val="right"/>
            </w:pPr>
            <w:r w:rsidRPr="001277D4">
              <w:t>10.2</w:t>
            </w:r>
            <w:r w:rsidR="0047339C">
              <w:br/>
            </w:r>
            <w:r w:rsidRPr="001277D4">
              <w:t>(3.3</w:t>
            </w:r>
            <w:r w:rsidR="0047339C">
              <w:t>, </w:t>
            </w:r>
            <w:r w:rsidRPr="001277D4">
              <w:t>27.3)</w:t>
            </w:r>
          </w:p>
        </w:tc>
      </w:tr>
      <w:tr w:rsidR="0047339C" w:rsidRPr="001277D4" w14:paraId="40BBADDF"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7FDF6E2E" w14:textId="77777777" w:rsidR="001D71E2" w:rsidRPr="001277D4" w:rsidRDefault="001D71E2" w:rsidP="00E82294">
            <w:pPr>
              <w:pStyle w:val="TableText"/>
            </w:pPr>
            <w:r w:rsidRPr="001277D4">
              <w:t>Did not use other websites</w:t>
            </w:r>
          </w:p>
        </w:tc>
        <w:tc>
          <w:tcPr>
            <w:tcW w:w="509" w:type="dxa"/>
          </w:tcPr>
          <w:p w14:paraId="3992DD63" w14:textId="77777777" w:rsidR="001D71E2" w:rsidRPr="001277D4" w:rsidRDefault="001D71E2" w:rsidP="00E82294">
            <w:pPr>
              <w:pStyle w:val="TableText"/>
              <w:jc w:val="right"/>
            </w:pPr>
            <w:r w:rsidRPr="001277D4">
              <w:t>51</w:t>
            </w:r>
          </w:p>
        </w:tc>
        <w:tc>
          <w:tcPr>
            <w:tcW w:w="824" w:type="dxa"/>
          </w:tcPr>
          <w:p w14:paraId="5243F069" w14:textId="77777777" w:rsidR="001D71E2" w:rsidRPr="001277D4" w:rsidRDefault="001D71E2" w:rsidP="00E82294">
            <w:pPr>
              <w:pStyle w:val="TableText"/>
              <w:jc w:val="right"/>
            </w:pPr>
            <w:r w:rsidRPr="001277D4">
              <w:t>335</w:t>
            </w:r>
          </w:p>
        </w:tc>
        <w:tc>
          <w:tcPr>
            <w:tcW w:w="1009" w:type="dxa"/>
          </w:tcPr>
          <w:p w14:paraId="136AD6FF" w14:textId="77777777" w:rsidR="001D71E2" w:rsidRPr="001277D4" w:rsidRDefault="001D71E2" w:rsidP="00E82294">
            <w:pPr>
              <w:pStyle w:val="TableText"/>
              <w:jc w:val="right"/>
            </w:pPr>
            <w:r w:rsidRPr="001277D4">
              <w:t>74.4 (59.7</w:t>
            </w:r>
            <w:r w:rsidR="0047339C">
              <w:t>, </w:t>
            </w:r>
            <w:r w:rsidRPr="001277D4">
              <w:t>85.1)</w:t>
            </w:r>
          </w:p>
        </w:tc>
        <w:tc>
          <w:tcPr>
            <w:tcW w:w="448" w:type="dxa"/>
          </w:tcPr>
          <w:p w14:paraId="04C6A8DE" w14:textId="77777777" w:rsidR="001D71E2" w:rsidRPr="001277D4" w:rsidRDefault="001D71E2" w:rsidP="00E82294">
            <w:pPr>
              <w:pStyle w:val="TableText"/>
              <w:jc w:val="right"/>
            </w:pPr>
            <w:r w:rsidRPr="001277D4">
              <w:t>124</w:t>
            </w:r>
          </w:p>
        </w:tc>
        <w:tc>
          <w:tcPr>
            <w:tcW w:w="784" w:type="dxa"/>
          </w:tcPr>
          <w:p w14:paraId="5448F0EA" w14:textId="77777777" w:rsidR="001D71E2" w:rsidRPr="001277D4" w:rsidRDefault="001D71E2" w:rsidP="00E82294">
            <w:pPr>
              <w:pStyle w:val="TableText"/>
              <w:jc w:val="right"/>
            </w:pPr>
            <w:r w:rsidRPr="001277D4">
              <w:t>856</w:t>
            </w:r>
          </w:p>
        </w:tc>
        <w:tc>
          <w:tcPr>
            <w:tcW w:w="1009" w:type="dxa"/>
          </w:tcPr>
          <w:p w14:paraId="0D4F178E" w14:textId="77777777" w:rsidR="001D71E2" w:rsidRPr="001277D4" w:rsidRDefault="001D71E2" w:rsidP="00E82294">
            <w:pPr>
              <w:pStyle w:val="TableText"/>
              <w:jc w:val="right"/>
            </w:pPr>
            <w:r w:rsidRPr="001277D4">
              <w:t>71.9 (62.8</w:t>
            </w:r>
            <w:r w:rsidR="0047339C">
              <w:t>, </w:t>
            </w:r>
            <w:r w:rsidRPr="001277D4">
              <w:t>79.4)</w:t>
            </w:r>
          </w:p>
        </w:tc>
        <w:tc>
          <w:tcPr>
            <w:tcW w:w="457" w:type="dxa"/>
          </w:tcPr>
          <w:p w14:paraId="2E474E32" w14:textId="77777777" w:rsidR="001D71E2" w:rsidRPr="001277D4" w:rsidRDefault="001D71E2" w:rsidP="00E82294">
            <w:pPr>
              <w:pStyle w:val="TableText"/>
              <w:jc w:val="right"/>
            </w:pPr>
            <w:r w:rsidRPr="001277D4">
              <w:t>11</w:t>
            </w:r>
          </w:p>
        </w:tc>
        <w:tc>
          <w:tcPr>
            <w:tcW w:w="775" w:type="dxa"/>
          </w:tcPr>
          <w:p w14:paraId="008FA311" w14:textId="77777777" w:rsidR="001D71E2" w:rsidRPr="001277D4" w:rsidRDefault="001D71E2" w:rsidP="00E82294">
            <w:pPr>
              <w:pStyle w:val="TableText"/>
              <w:jc w:val="right"/>
            </w:pPr>
            <w:r w:rsidRPr="001277D4">
              <w:t>48</w:t>
            </w:r>
          </w:p>
        </w:tc>
        <w:tc>
          <w:tcPr>
            <w:tcW w:w="1009" w:type="dxa"/>
          </w:tcPr>
          <w:p w14:paraId="216F80EB" w14:textId="77777777" w:rsidR="001D71E2" w:rsidRPr="001277D4" w:rsidRDefault="001D71E2" w:rsidP="0047339C">
            <w:pPr>
              <w:pStyle w:val="TableText"/>
              <w:jc w:val="right"/>
            </w:pPr>
            <w:r w:rsidRPr="001277D4">
              <w:t>19.8</w:t>
            </w:r>
            <w:r w:rsidR="0047339C">
              <w:br/>
            </w:r>
            <w:r w:rsidRPr="001277D4">
              <w:t>(3.2</w:t>
            </w:r>
            <w:r w:rsidR="0047339C">
              <w:t>, </w:t>
            </w:r>
            <w:r w:rsidRPr="001277D4">
              <w:t>64.4)</w:t>
            </w:r>
          </w:p>
        </w:tc>
        <w:tc>
          <w:tcPr>
            <w:tcW w:w="466" w:type="dxa"/>
          </w:tcPr>
          <w:p w14:paraId="4DB1849F" w14:textId="77777777" w:rsidR="001D71E2" w:rsidRPr="001277D4" w:rsidRDefault="001D71E2" w:rsidP="00E82294">
            <w:pPr>
              <w:pStyle w:val="TableText"/>
              <w:jc w:val="right"/>
            </w:pPr>
            <w:r w:rsidRPr="001277D4">
              <w:t>51</w:t>
            </w:r>
          </w:p>
        </w:tc>
        <w:tc>
          <w:tcPr>
            <w:tcW w:w="766" w:type="dxa"/>
          </w:tcPr>
          <w:p w14:paraId="2E39B785" w14:textId="77777777" w:rsidR="001D71E2" w:rsidRPr="001277D4" w:rsidRDefault="001D71E2" w:rsidP="00E82294">
            <w:pPr>
              <w:pStyle w:val="TableText"/>
              <w:jc w:val="right"/>
            </w:pPr>
            <w:r w:rsidRPr="001277D4">
              <w:t>478</w:t>
            </w:r>
          </w:p>
        </w:tc>
        <w:tc>
          <w:tcPr>
            <w:tcW w:w="1009" w:type="dxa"/>
          </w:tcPr>
          <w:p w14:paraId="77422CC0" w14:textId="77777777" w:rsidR="001D71E2" w:rsidRPr="001277D4" w:rsidRDefault="001D71E2" w:rsidP="00E82294">
            <w:pPr>
              <w:pStyle w:val="TableText"/>
              <w:jc w:val="right"/>
            </w:pPr>
            <w:r w:rsidRPr="001277D4">
              <w:t>89.8 (72.7</w:t>
            </w:r>
            <w:r w:rsidR="0047339C">
              <w:t>, </w:t>
            </w:r>
            <w:r w:rsidRPr="001277D4">
              <w:t>96.7)</w:t>
            </w:r>
          </w:p>
        </w:tc>
      </w:tr>
      <w:tr w:rsidR="001D71E2" w:rsidRPr="000F78B9" w14:paraId="34C8F2FE" w14:textId="77777777" w:rsidTr="0047339C">
        <w:trPr>
          <w:cantSplit/>
        </w:trPr>
        <w:tc>
          <w:tcPr>
            <w:tcW w:w="2455" w:type="dxa"/>
          </w:tcPr>
          <w:p w14:paraId="7B0A220B" w14:textId="77777777" w:rsidR="001D71E2" w:rsidRPr="001277D4" w:rsidRDefault="001D71E2" w:rsidP="00E82294">
            <w:pPr>
              <w:pStyle w:val="TableText"/>
              <w:rPr>
                <w:b/>
                <w:bCs/>
                <w:color w:val="000000" w:themeColor="text1"/>
              </w:rPr>
            </w:pPr>
            <w:r w:rsidRPr="001277D4">
              <w:rPr>
                <w:b/>
              </w:rPr>
              <w:t>Probable depressive episode (PHQ-9)</w:t>
            </w:r>
          </w:p>
        </w:tc>
        <w:tc>
          <w:tcPr>
            <w:tcW w:w="2342" w:type="dxa"/>
            <w:gridSpan w:val="3"/>
          </w:tcPr>
          <w:p w14:paraId="4EC8FEA0" w14:textId="77777777" w:rsidR="001D71E2" w:rsidRPr="000F78B9" w:rsidRDefault="001D71E2" w:rsidP="00E82294">
            <w:pPr>
              <w:pStyle w:val="TableText"/>
              <w:jc w:val="center"/>
            </w:pPr>
            <w:r>
              <w:t>n</w:t>
            </w:r>
            <w:r w:rsidRPr="000F78B9">
              <w:t>=</w:t>
            </w:r>
            <w:r>
              <w:t>141</w:t>
            </w:r>
            <w:r w:rsidRPr="000F78B9">
              <w:t xml:space="preserve"> (Weighted</w:t>
            </w:r>
            <w:r>
              <w:t xml:space="preserve"> n</w:t>
            </w:r>
            <w:r w:rsidRPr="000F78B9">
              <w:t>=</w:t>
            </w:r>
            <w:r>
              <w:t>928</w:t>
            </w:r>
            <w:r w:rsidRPr="000F78B9">
              <w:t>)</w:t>
            </w:r>
          </w:p>
        </w:tc>
        <w:tc>
          <w:tcPr>
            <w:tcW w:w="2241" w:type="dxa"/>
            <w:gridSpan w:val="3"/>
          </w:tcPr>
          <w:p w14:paraId="0FDD1911" w14:textId="77777777" w:rsidR="001D71E2" w:rsidRPr="000F78B9" w:rsidRDefault="001D71E2" w:rsidP="00E82294">
            <w:pPr>
              <w:pStyle w:val="TableText"/>
              <w:jc w:val="center"/>
            </w:pPr>
            <w:r>
              <w:t>n=354</w:t>
            </w:r>
            <w:r w:rsidRPr="000F78B9">
              <w:t xml:space="preserve"> (Weighted </w:t>
            </w:r>
            <w:r>
              <w:t>n</w:t>
            </w:r>
            <w:r w:rsidRPr="000F78B9">
              <w:t>=</w:t>
            </w:r>
            <w:r>
              <w:t>2410</w:t>
            </w:r>
            <w:r w:rsidRPr="000F78B9">
              <w:t>)</w:t>
            </w:r>
          </w:p>
        </w:tc>
        <w:tc>
          <w:tcPr>
            <w:tcW w:w="2241" w:type="dxa"/>
            <w:gridSpan w:val="3"/>
          </w:tcPr>
          <w:p w14:paraId="30176BF5" w14:textId="77777777" w:rsidR="001D71E2" w:rsidRPr="000F78B9" w:rsidRDefault="001D71E2" w:rsidP="00E82294">
            <w:pPr>
              <w:pStyle w:val="TableText"/>
              <w:jc w:val="center"/>
            </w:pPr>
            <w:r>
              <w:t>n</w:t>
            </w:r>
            <w:r w:rsidRPr="000F78B9">
              <w:t>=</w:t>
            </w:r>
            <w:r>
              <w:t>21</w:t>
            </w:r>
            <w:r w:rsidRPr="000F78B9">
              <w:t xml:space="preserve"> (Weighted</w:t>
            </w:r>
            <w:r>
              <w:t xml:space="preserve"> n</w:t>
            </w:r>
            <w:r w:rsidRPr="000F78B9">
              <w:t>=</w:t>
            </w:r>
            <w:r>
              <w:t>105</w:t>
            </w:r>
            <w:r w:rsidRPr="000F78B9">
              <w:t>)</w:t>
            </w:r>
          </w:p>
        </w:tc>
        <w:tc>
          <w:tcPr>
            <w:tcW w:w="2241" w:type="dxa"/>
            <w:gridSpan w:val="3"/>
          </w:tcPr>
          <w:p w14:paraId="0D95541F" w14:textId="77777777" w:rsidR="001D71E2" w:rsidRPr="000F78B9" w:rsidRDefault="001D71E2" w:rsidP="00E82294">
            <w:pPr>
              <w:pStyle w:val="TableText"/>
              <w:jc w:val="center"/>
            </w:pPr>
            <w:r>
              <w:t>n</w:t>
            </w:r>
            <w:r w:rsidRPr="000F78B9">
              <w:t>=</w:t>
            </w:r>
            <w:r>
              <w:t xml:space="preserve">229 </w:t>
            </w:r>
            <w:r w:rsidRPr="000F78B9">
              <w:t xml:space="preserve">(Weighted </w:t>
            </w:r>
            <w:r>
              <w:t>n</w:t>
            </w:r>
            <w:r w:rsidRPr="000F78B9">
              <w:t>=</w:t>
            </w:r>
            <w:r>
              <w:t>1689</w:t>
            </w:r>
            <w:r w:rsidRPr="000F78B9">
              <w:t>)</w:t>
            </w:r>
          </w:p>
        </w:tc>
      </w:tr>
      <w:tr w:rsidR="0047339C" w:rsidRPr="00D62855" w14:paraId="6AFC592F"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1C1EC9ED" w14:textId="77777777" w:rsidR="001D71E2" w:rsidRPr="00D62855" w:rsidRDefault="001D71E2" w:rsidP="00E82294">
            <w:pPr>
              <w:pStyle w:val="TableText"/>
            </w:pPr>
            <w:r w:rsidRPr="00D62855">
              <w:t xml:space="preserve">Used other websites </w:t>
            </w:r>
          </w:p>
        </w:tc>
        <w:tc>
          <w:tcPr>
            <w:tcW w:w="509" w:type="dxa"/>
          </w:tcPr>
          <w:p w14:paraId="64353FCB" w14:textId="77777777" w:rsidR="001D71E2" w:rsidRPr="00D62855" w:rsidRDefault="001D71E2" w:rsidP="00E82294">
            <w:pPr>
              <w:pStyle w:val="TableText"/>
              <w:jc w:val="right"/>
            </w:pPr>
            <w:r w:rsidRPr="00D62855">
              <w:t>34</w:t>
            </w:r>
          </w:p>
        </w:tc>
        <w:tc>
          <w:tcPr>
            <w:tcW w:w="824" w:type="dxa"/>
          </w:tcPr>
          <w:p w14:paraId="69DD3F83" w14:textId="77777777" w:rsidR="001D71E2" w:rsidRPr="00D62855" w:rsidRDefault="001D71E2" w:rsidP="00E82294">
            <w:pPr>
              <w:pStyle w:val="TableText"/>
              <w:jc w:val="right"/>
            </w:pPr>
            <w:r w:rsidRPr="00D62855">
              <w:t>217</w:t>
            </w:r>
          </w:p>
        </w:tc>
        <w:tc>
          <w:tcPr>
            <w:tcW w:w="1009" w:type="dxa"/>
          </w:tcPr>
          <w:p w14:paraId="67DA6C97" w14:textId="77777777" w:rsidR="001D71E2" w:rsidRPr="00D62855" w:rsidRDefault="001D71E2" w:rsidP="00E82294">
            <w:pPr>
              <w:pStyle w:val="TableText"/>
              <w:jc w:val="right"/>
            </w:pPr>
            <w:r w:rsidRPr="00D62855">
              <w:t>23.4 (16.2</w:t>
            </w:r>
            <w:r w:rsidR="0047339C">
              <w:t>, </w:t>
            </w:r>
            <w:r w:rsidRPr="00D62855">
              <w:t>32.5)</w:t>
            </w:r>
          </w:p>
        </w:tc>
        <w:tc>
          <w:tcPr>
            <w:tcW w:w="448" w:type="dxa"/>
          </w:tcPr>
          <w:p w14:paraId="4184BB31" w14:textId="77777777" w:rsidR="001D71E2" w:rsidRPr="00D62855" w:rsidRDefault="001D71E2" w:rsidP="00E82294">
            <w:pPr>
              <w:pStyle w:val="TableText"/>
              <w:jc w:val="right"/>
            </w:pPr>
            <w:r w:rsidRPr="00D62855">
              <w:t>109</w:t>
            </w:r>
          </w:p>
        </w:tc>
        <w:tc>
          <w:tcPr>
            <w:tcW w:w="784" w:type="dxa"/>
          </w:tcPr>
          <w:p w14:paraId="1C0E1494" w14:textId="77777777" w:rsidR="001D71E2" w:rsidRPr="00D62855" w:rsidRDefault="001D71E2" w:rsidP="00E82294">
            <w:pPr>
              <w:pStyle w:val="TableText"/>
              <w:jc w:val="right"/>
            </w:pPr>
            <w:r w:rsidRPr="00D62855">
              <w:t>680</w:t>
            </w:r>
          </w:p>
        </w:tc>
        <w:tc>
          <w:tcPr>
            <w:tcW w:w="1009" w:type="dxa"/>
          </w:tcPr>
          <w:p w14:paraId="63383A12" w14:textId="77777777" w:rsidR="001D71E2" w:rsidRPr="00D62855" w:rsidRDefault="001D71E2" w:rsidP="00E82294">
            <w:pPr>
              <w:pStyle w:val="TableText"/>
              <w:jc w:val="right"/>
            </w:pPr>
            <w:r w:rsidRPr="00D62855">
              <w:t>28.2 (23.0</w:t>
            </w:r>
            <w:r w:rsidR="0047339C">
              <w:t>, </w:t>
            </w:r>
            <w:r w:rsidRPr="00D62855">
              <w:t>34.0)</w:t>
            </w:r>
          </w:p>
        </w:tc>
        <w:tc>
          <w:tcPr>
            <w:tcW w:w="457" w:type="dxa"/>
          </w:tcPr>
          <w:p w14:paraId="7F18A93D" w14:textId="77777777" w:rsidR="001D71E2" w:rsidRPr="00D62855" w:rsidRDefault="001D71E2" w:rsidP="00E82294">
            <w:pPr>
              <w:pStyle w:val="TableText"/>
              <w:jc w:val="right"/>
            </w:pPr>
            <w:r w:rsidRPr="00E603D7">
              <w:t>#</w:t>
            </w:r>
          </w:p>
        </w:tc>
        <w:tc>
          <w:tcPr>
            <w:tcW w:w="775" w:type="dxa"/>
          </w:tcPr>
          <w:p w14:paraId="70218E28" w14:textId="77777777" w:rsidR="001D71E2" w:rsidRPr="00D62855" w:rsidRDefault="001D71E2" w:rsidP="00E82294">
            <w:pPr>
              <w:pStyle w:val="TableText"/>
              <w:jc w:val="right"/>
            </w:pPr>
            <w:r>
              <w:t>–</w:t>
            </w:r>
          </w:p>
        </w:tc>
        <w:tc>
          <w:tcPr>
            <w:tcW w:w="1009" w:type="dxa"/>
          </w:tcPr>
          <w:p w14:paraId="52577E41" w14:textId="77777777" w:rsidR="001D71E2" w:rsidRPr="00D62855" w:rsidRDefault="001D71E2" w:rsidP="00E82294">
            <w:pPr>
              <w:pStyle w:val="TableText"/>
              <w:jc w:val="right"/>
            </w:pPr>
            <w:r>
              <w:t>–</w:t>
            </w:r>
          </w:p>
        </w:tc>
        <w:tc>
          <w:tcPr>
            <w:tcW w:w="466" w:type="dxa"/>
          </w:tcPr>
          <w:p w14:paraId="019368D8" w14:textId="77777777" w:rsidR="001D71E2" w:rsidRPr="00D62855" w:rsidRDefault="001D71E2" w:rsidP="00E82294">
            <w:pPr>
              <w:pStyle w:val="TableText"/>
              <w:jc w:val="right"/>
            </w:pPr>
            <w:r w:rsidRPr="00D62855">
              <w:t>70</w:t>
            </w:r>
          </w:p>
        </w:tc>
        <w:tc>
          <w:tcPr>
            <w:tcW w:w="766" w:type="dxa"/>
          </w:tcPr>
          <w:p w14:paraId="0F29E929" w14:textId="77777777" w:rsidR="001D71E2" w:rsidRPr="00D62855" w:rsidRDefault="001D71E2" w:rsidP="00E82294">
            <w:pPr>
              <w:pStyle w:val="TableText"/>
              <w:jc w:val="right"/>
            </w:pPr>
            <w:r w:rsidRPr="00D62855">
              <w:t>583</w:t>
            </w:r>
          </w:p>
        </w:tc>
        <w:tc>
          <w:tcPr>
            <w:tcW w:w="1009" w:type="dxa"/>
          </w:tcPr>
          <w:p w14:paraId="55E27055" w14:textId="77777777" w:rsidR="001D71E2" w:rsidRPr="00D62855" w:rsidRDefault="001D71E2" w:rsidP="00E82294">
            <w:pPr>
              <w:pStyle w:val="TableText"/>
              <w:jc w:val="right"/>
            </w:pPr>
            <w:r w:rsidRPr="00D62855">
              <w:t>34.5 (14.8</w:t>
            </w:r>
            <w:r w:rsidR="0047339C">
              <w:t>, </w:t>
            </w:r>
            <w:r w:rsidRPr="00D62855">
              <w:t>61.5)</w:t>
            </w:r>
          </w:p>
        </w:tc>
      </w:tr>
      <w:tr w:rsidR="0047339C" w:rsidRPr="001277D4" w14:paraId="5A11DFA6" w14:textId="77777777" w:rsidTr="0047339C">
        <w:trPr>
          <w:cantSplit/>
        </w:trPr>
        <w:tc>
          <w:tcPr>
            <w:tcW w:w="2455" w:type="dxa"/>
          </w:tcPr>
          <w:p w14:paraId="6DF66299" w14:textId="77777777" w:rsidR="001D71E2" w:rsidRPr="00D62855" w:rsidRDefault="001D71E2" w:rsidP="00E82294">
            <w:pPr>
              <w:pStyle w:val="TableText"/>
            </w:pPr>
            <w:r w:rsidRPr="00D62855">
              <w:t>Did not use other websites</w:t>
            </w:r>
          </w:p>
        </w:tc>
        <w:tc>
          <w:tcPr>
            <w:tcW w:w="509" w:type="dxa"/>
          </w:tcPr>
          <w:p w14:paraId="2031719C" w14:textId="77777777" w:rsidR="001D71E2" w:rsidRPr="00D62855" w:rsidRDefault="001D71E2" w:rsidP="00E82294">
            <w:pPr>
              <w:pStyle w:val="TableText"/>
              <w:jc w:val="right"/>
            </w:pPr>
            <w:r w:rsidRPr="00D62855">
              <w:t>107</w:t>
            </w:r>
          </w:p>
        </w:tc>
        <w:tc>
          <w:tcPr>
            <w:tcW w:w="824" w:type="dxa"/>
          </w:tcPr>
          <w:p w14:paraId="23E0220C" w14:textId="77777777" w:rsidR="001D71E2" w:rsidRPr="00D62855" w:rsidRDefault="001D71E2" w:rsidP="00E82294">
            <w:pPr>
              <w:pStyle w:val="TableText"/>
              <w:jc w:val="right"/>
            </w:pPr>
            <w:r w:rsidRPr="00D62855">
              <w:t>711</w:t>
            </w:r>
          </w:p>
        </w:tc>
        <w:tc>
          <w:tcPr>
            <w:tcW w:w="1009" w:type="dxa"/>
          </w:tcPr>
          <w:p w14:paraId="6886FEEC" w14:textId="77777777" w:rsidR="001D71E2" w:rsidRPr="00D62855" w:rsidRDefault="001D71E2" w:rsidP="00E82294">
            <w:pPr>
              <w:pStyle w:val="TableText"/>
              <w:jc w:val="right"/>
            </w:pPr>
            <w:r w:rsidRPr="00D62855">
              <w:t>76.6 (67.5</w:t>
            </w:r>
            <w:r w:rsidR="0047339C">
              <w:t>, </w:t>
            </w:r>
            <w:r w:rsidRPr="00D62855">
              <w:t>83.8)</w:t>
            </w:r>
          </w:p>
        </w:tc>
        <w:tc>
          <w:tcPr>
            <w:tcW w:w="448" w:type="dxa"/>
          </w:tcPr>
          <w:p w14:paraId="1DEE9866" w14:textId="77777777" w:rsidR="001D71E2" w:rsidRPr="00D62855" w:rsidRDefault="001D71E2" w:rsidP="00E82294">
            <w:pPr>
              <w:pStyle w:val="TableText"/>
              <w:jc w:val="right"/>
            </w:pPr>
            <w:r w:rsidRPr="00D62855">
              <w:t>245</w:t>
            </w:r>
          </w:p>
        </w:tc>
        <w:tc>
          <w:tcPr>
            <w:tcW w:w="784" w:type="dxa"/>
          </w:tcPr>
          <w:p w14:paraId="655953C6" w14:textId="77777777" w:rsidR="001D71E2" w:rsidRPr="00D62855" w:rsidRDefault="001D71E2" w:rsidP="00E82294">
            <w:pPr>
              <w:pStyle w:val="TableText"/>
              <w:jc w:val="right"/>
            </w:pPr>
            <w:r w:rsidRPr="00D62855">
              <w:t>1730</w:t>
            </w:r>
          </w:p>
        </w:tc>
        <w:tc>
          <w:tcPr>
            <w:tcW w:w="1009" w:type="dxa"/>
          </w:tcPr>
          <w:p w14:paraId="2EEFC127" w14:textId="77777777" w:rsidR="001D71E2" w:rsidRPr="00D62855" w:rsidRDefault="001D71E2" w:rsidP="00E82294">
            <w:pPr>
              <w:pStyle w:val="TableText"/>
              <w:jc w:val="right"/>
            </w:pPr>
            <w:r w:rsidRPr="00D62855">
              <w:t>71.8 (66.0</w:t>
            </w:r>
            <w:r w:rsidR="0047339C">
              <w:t>, </w:t>
            </w:r>
            <w:r w:rsidRPr="00D62855">
              <w:t>77.0)</w:t>
            </w:r>
          </w:p>
        </w:tc>
        <w:tc>
          <w:tcPr>
            <w:tcW w:w="457" w:type="dxa"/>
          </w:tcPr>
          <w:p w14:paraId="3ED1B010" w14:textId="77777777" w:rsidR="001D71E2" w:rsidRPr="00D62855" w:rsidRDefault="001D71E2" w:rsidP="00E82294">
            <w:pPr>
              <w:pStyle w:val="TableText"/>
              <w:jc w:val="right"/>
            </w:pPr>
            <w:r w:rsidRPr="00D62855">
              <w:t>19</w:t>
            </w:r>
          </w:p>
        </w:tc>
        <w:tc>
          <w:tcPr>
            <w:tcW w:w="775" w:type="dxa"/>
          </w:tcPr>
          <w:p w14:paraId="0D5C26D0" w14:textId="77777777" w:rsidR="001D71E2" w:rsidRPr="00D62855" w:rsidRDefault="001D71E2" w:rsidP="00E82294">
            <w:pPr>
              <w:pStyle w:val="TableText"/>
              <w:jc w:val="right"/>
            </w:pPr>
            <w:r w:rsidRPr="00D62855">
              <w:t>100</w:t>
            </w:r>
          </w:p>
        </w:tc>
        <w:tc>
          <w:tcPr>
            <w:tcW w:w="1009" w:type="dxa"/>
          </w:tcPr>
          <w:p w14:paraId="2349BA9A" w14:textId="77777777" w:rsidR="001D71E2" w:rsidRPr="00D62855" w:rsidRDefault="001D71E2" w:rsidP="00E82294">
            <w:pPr>
              <w:pStyle w:val="TableText"/>
              <w:jc w:val="right"/>
            </w:pPr>
            <w:r w:rsidRPr="00D62855">
              <w:t>95.4 (86.0</w:t>
            </w:r>
            <w:r w:rsidR="0047339C">
              <w:t>, </w:t>
            </w:r>
            <w:r w:rsidRPr="00D62855">
              <w:t>98.6)</w:t>
            </w:r>
          </w:p>
        </w:tc>
        <w:tc>
          <w:tcPr>
            <w:tcW w:w="466" w:type="dxa"/>
          </w:tcPr>
          <w:p w14:paraId="5E8872E5" w14:textId="77777777" w:rsidR="001D71E2" w:rsidRPr="00D62855" w:rsidRDefault="001D71E2" w:rsidP="00E82294">
            <w:pPr>
              <w:pStyle w:val="TableText"/>
              <w:jc w:val="right"/>
            </w:pPr>
            <w:r w:rsidRPr="00D62855">
              <w:t>159</w:t>
            </w:r>
          </w:p>
        </w:tc>
        <w:tc>
          <w:tcPr>
            <w:tcW w:w="766" w:type="dxa"/>
          </w:tcPr>
          <w:p w14:paraId="33ACA9F0" w14:textId="77777777" w:rsidR="001D71E2" w:rsidRPr="00D62855" w:rsidRDefault="001D71E2" w:rsidP="00E82294">
            <w:pPr>
              <w:pStyle w:val="TableText"/>
              <w:jc w:val="right"/>
            </w:pPr>
            <w:r w:rsidRPr="00D62855">
              <w:t>1106</w:t>
            </w:r>
          </w:p>
        </w:tc>
        <w:tc>
          <w:tcPr>
            <w:tcW w:w="1009" w:type="dxa"/>
          </w:tcPr>
          <w:p w14:paraId="02002180" w14:textId="77777777" w:rsidR="001D71E2" w:rsidRPr="00D62855" w:rsidRDefault="001D71E2" w:rsidP="00E82294">
            <w:pPr>
              <w:pStyle w:val="TableText"/>
              <w:jc w:val="right"/>
            </w:pPr>
            <w:r w:rsidRPr="00D62855">
              <w:t>65.5 (38.5</w:t>
            </w:r>
            <w:r w:rsidR="0047339C">
              <w:t>, </w:t>
            </w:r>
            <w:r w:rsidRPr="00D62855">
              <w:t>85.2)</w:t>
            </w:r>
          </w:p>
        </w:tc>
      </w:tr>
      <w:tr w:rsidR="001D71E2" w:rsidRPr="000F78B9" w14:paraId="56884688"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7ABDCD54" w14:textId="77777777" w:rsidR="001D71E2" w:rsidRPr="001277D4" w:rsidRDefault="001D71E2" w:rsidP="00E82294">
            <w:pPr>
              <w:pStyle w:val="TableText"/>
              <w:rPr>
                <w:b/>
              </w:rPr>
            </w:pPr>
            <w:r w:rsidRPr="001277D4">
              <w:rPr>
                <w:b/>
              </w:rPr>
              <w:t>Any 12-month suicidal ideation and behaviour</w:t>
            </w:r>
          </w:p>
        </w:tc>
        <w:tc>
          <w:tcPr>
            <w:tcW w:w="2342" w:type="dxa"/>
            <w:gridSpan w:val="3"/>
          </w:tcPr>
          <w:p w14:paraId="5E7B012E" w14:textId="77777777" w:rsidR="001D71E2" w:rsidRPr="000F78B9" w:rsidRDefault="001D71E2" w:rsidP="00E82294">
            <w:pPr>
              <w:pStyle w:val="TableText"/>
              <w:jc w:val="center"/>
            </w:pPr>
            <w:r>
              <w:t>n</w:t>
            </w:r>
            <w:r w:rsidRPr="000F78B9">
              <w:t>=</w:t>
            </w:r>
            <w:r>
              <w:t>325</w:t>
            </w:r>
            <w:r w:rsidRPr="000F78B9">
              <w:t xml:space="preserve"> (Weighted</w:t>
            </w:r>
            <w:r>
              <w:t xml:space="preserve"> n</w:t>
            </w:r>
            <w:r w:rsidRPr="000F78B9">
              <w:t>=</w:t>
            </w:r>
            <w:r>
              <w:t>1970</w:t>
            </w:r>
            <w:r w:rsidRPr="000F78B9">
              <w:t>)</w:t>
            </w:r>
          </w:p>
        </w:tc>
        <w:tc>
          <w:tcPr>
            <w:tcW w:w="2241" w:type="dxa"/>
            <w:gridSpan w:val="3"/>
          </w:tcPr>
          <w:p w14:paraId="2FE930AE" w14:textId="77777777" w:rsidR="001D71E2" w:rsidRPr="000F78B9" w:rsidRDefault="001D71E2" w:rsidP="00E82294">
            <w:pPr>
              <w:pStyle w:val="TableText"/>
              <w:jc w:val="center"/>
            </w:pPr>
            <w:r>
              <w:t>n=795</w:t>
            </w:r>
            <w:r w:rsidRPr="000F78B9">
              <w:t xml:space="preserve"> (Weighted </w:t>
            </w:r>
            <w:r>
              <w:t>n</w:t>
            </w:r>
            <w:r w:rsidRPr="000F78B9">
              <w:t>=</w:t>
            </w:r>
            <w:r>
              <w:t>5571</w:t>
            </w:r>
            <w:r w:rsidRPr="000F78B9">
              <w:t>)</w:t>
            </w:r>
          </w:p>
        </w:tc>
        <w:tc>
          <w:tcPr>
            <w:tcW w:w="2241" w:type="dxa"/>
            <w:gridSpan w:val="3"/>
          </w:tcPr>
          <w:p w14:paraId="1FFD5D6D" w14:textId="77777777" w:rsidR="001D71E2" w:rsidRPr="000F78B9" w:rsidRDefault="001D71E2" w:rsidP="00E82294">
            <w:pPr>
              <w:pStyle w:val="TableText"/>
              <w:jc w:val="center"/>
            </w:pPr>
            <w:r>
              <w:t>n</w:t>
            </w:r>
            <w:r w:rsidRPr="000F78B9">
              <w:t>=</w:t>
            </w:r>
            <w:r>
              <w:t>169</w:t>
            </w:r>
            <w:r w:rsidRPr="000F78B9">
              <w:t xml:space="preserve"> (Weighted</w:t>
            </w:r>
            <w:r>
              <w:t xml:space="preserve"> n</w:t>
            </w:r>
            <w:r w:rsidRPr="000F78B9">
              <w:t>=</w:t>
            </w:r>
            <w:r>
              <w:t>1083</w:t>
            </w:r>
            <w:r w:rsidRPr="000F78B9">
              <w:t>)</w:t>
            </w:r>
          </w:p>
        </w:tc>
        <w:tc>
          <w:tcPr>
            <w:tcW w:w="2241" w:type="dxa"/>
            <w:gridSpan w:val="3"/>
          </w:tcPr>
          <w:p w14:paraId="55F5ECBF" w14:textId="77777777" w:rsidR="001D71E2" w:rsidRPr="000F78B9" w:rsidRDefault="001D71E2" w:rsidP="00E82294">
            <w:pPr>
              <w:pStyle w:val="TableText"/>
              <w:jc w:val="center"/>
            </w:pPr>
            <w:r>
              <w:t>n</w:t>
            </w:r>
            <w:r w:rsidRPr="000F78B9">
              <w:t>=</w:t>
            </w:r>
            <w:r>
              <w:t xml:space="preserve">805 </w:t>
            </w:r>
            <w:r w:rsidRPr="000F78B9">
              <w:t xml:space="preserve">(Weighted </w:t>
            </w:r>
            <w:r>
              <w:t>n</w:t>
            </w:r>
            <w:r w:rsidRPr="000F78B9">
              <w:t>=</w:t>
            </w:r>
            <w:r>
              <w:t>6162</w:t>
            </w:r>
            <w:r w:rsidRPr="000F78B9">
              <w:t>)</w:t>
            </w:r>
          </w:p>
        </w:tc>
      </w:tr>
      <w:tr w:rsidR="0047339C" w:rsidRPr="001277D4" w14:paraId="6C5843AF" w14:textId="77777777" w:rsidTr="0047339C">
        <w:trPr>
          <w:cantSplit/>
        </w:trPr>
        <w:tc>
          <w:tcPr>
            <w:tcW w:w="2455" w:type="dxa"/>
          </w:tcPr>
          <w:p w14:paraId="4506C5DE" w14:textId="77777777" w:rsidR="001D71E2" w:rsidRPr="001277D4" w:rsidRDefault="001D71E2" w:rsidP="00E82294">
            <w:pPr>
              <w:pStyle w:val="TableText"/>
            </w:pPr>
            <w:r w:rsidRPr="001277D4">
              <w:t xml:space="preserve">Used other websites </w:t>
            </w:r>
          </w:p>
        </w:tc>
        <w:tc>
          <w:tcPr>
            <w:tcW w:w="509" w:type="dxa"/>
          </w:tcPr>
          <w:p w14:paraId="2FE1B628" w14:textId="77777777" w:rsidR="001D71E2" w:rsidRPr="001277D4" w:rsidRDefault="001D71E2" w:rsidP="00E82294">
            <w:pPr>
              <w:pStyle w:val="TableText"/>
              <w:jc w:val="right"/>
            </w:pPr>
            <w:r w:rsidRPr="001277D4">
              <w:t>77</w:t>
            </w:r>
          </w:p>
        </w:tc>
        <w:tc>
          <w:tcPr>
            <w:tcW w:w="824" w:type="dxa"/>
          </w:tcPr>
          <w:p w14:paraId="0115F493" w14:textId="77777777" w:rsidR="001D71E2" w:rsidRPr="001277D4" w:rsidRDefault="001D71E2" w:rsidP="00E82294">
            <w:pPr>
              <w:pStyle w:val="TableText"/>
              <w:jc w:val="right"/>
            </w:pPr>
            <w:r w:rsidRPr="001277D4">
              <w:t>442</w:t>
            </w:r>
          </w:p>
        </w:tc>
        <w:tc>
          <w:tcPr>
            <w:tcW w:w="1009" w:type="dxa"/>
          </w:tcPr>
          <w:p w14:paraId="42546F4A" w14:textId="77777777" w:rsidR="001D71E2" w:rsidRPr="001277D4" w:rsidRDefault="001D71E2" w:rsidP="00E82294">
            <w:pPr>
              <w:pStyle w:val="TableText"/>
              <w:jc w:val="right"/>
            </w:pPr>
            <w:r w:rsidRPr="001277D4">
              <w:t>22.4 (17.6</w:t>
            </w:r>
            <w:r w:rsidR="0047339C">
              <w:t>, </w:t>
            </w:r>
            <w:r w:rsidRPr="001277D4">
              <w:t>28.2)</w:t>
            </w:r>
          </w:p>
        </w:tc>
        <w:tc>
          <w:tcPr>
            <w:tcW w:w="448" w:type="dxa"/>
          </w:tcPr>
          <w:p w14:paraId="3C3E3317" w14:textId="77777777" w:rsidR="001D71E2" w:rsidRPr="001277D4" w:rsidRDefault="001D71E2" w:rsidP="00E82294">
            <w:pPr>
              <w:pStyle w:val="TableText"/>
              <w:jc w:val="right"/>
            </w:pPr>
            <w:r w:rsidRPr="001277D4">
              <w:t>246</w:t>
            </w:r>
          </w:p>
        </w:tc>
        <w:tc>
          <w:tcPr>
            <w:tcW w:w="784" w:type="dxa"/>
          </w:tcPr>
          <w:p w14:paraId="393ACA0E" w14:textId="77777777" w:rsidR="001D71E2" w:rsidRPr="001277D4" w:rsidRDefault="001D71E2" w:rsidP="00E82294">
            <w:pPr>
              <w:pStyle w:val="TableText"/>
              <w:jc w:val="right"/>
            </w:pPr>
            <w:r w:rsidRPr="001277D4">
              <w:t>1676</w:t>
            </w:r>
          </w:p>
        </w:tc>
        <w:tc>
          <w:tcPr>
            <w:tcW w:w="1009" w:type="dxa"/>
          </w:tcPr>
          <w:p w14:paraId="1F66469E" w14:textId="77777777" w:rsidR="001D71E2" w:rsidRPr="001277D4" w:rsidRDefault="001D71E2" w:rsidP="00E82294">
            <w:pPr>
              <w:pStyle w:val="TableText"/>
              <w:jc w:val="right"/>
            </w:pPr>
            <w:r w:rsidRPr="001277D4">
              <w:t>30.1 (26.3</w:t>
            </w:r>
            <w:r w:rsidR="0047339C">
              <w:t>, </w:t>
            </w:r>
            <w:r w:rsidRPr="001277D4">
              <w:t>34.1)</w:t>
            </w:r>
          </w:p>
        </w:tc>
        <w:tc>
          <w:tcPr>
            <w:tcW w:w="457" w:type="dxa"/>
          </w:tcPr>
          <w:p w14:paraId="31AFD279" w14:textId="77777777" w:rsidR="001D71E2" w:rsidRPr="001277D4" w:rsidRDefault="001D71E2" w:rsidP="00E82294">
            <w:pPr>
              <w:pStyle w:val="TableText"/>
              <w:jc w:val="right"/>
            </w:pPr>
            <w:r w:rsidRPr="001277D4">
              <w:t>37</w:t>
            </w:r>
          </w:p>
        </w:tc>
        <w:tc>
          <w:tcPr>
            <w:tcW w:w="775" w:type="dxa"/>
          </w:tcPr>
          <w:p w14:paraId="412A32D7" w14:textId="77777777" w:rsidR="001D71E2" w:rsidRPr="001277D4" w:rsidRDefault="001D71E2" w:rsidP="00E82294">
            <w:pPr>
              <w:pStyle w:val="TableText"/>
              <w:jc w:val="right"/>
            </w:pPr>
            <w:r w:rsidRPr="001277D4">
              <w:t>242</w:t>
            </w:r>
          </w:p>
        </w:tc>
        <w:tc>
          <w:tcPr>
            <w:tcW w:w="1009" w:type="dxa"/>
          </w:tcPr>
          <w:p w14:paraId="0AED3581" w14:textId="77777777" w:rsidR="001D71E2" w:rsidRPr="001277D4" w:rsidRDefault="001D71E2" w:rsidP="0047339C">
            <w:pPr>
              <w:pStyle w:val="TableText"/>
              <w:jc w:val="right"/>
            </w:pPr>
            <w:r w:rsidRPr="001277D4">
              <w:t>22.3</w:t>
            </w:r>
            <w:r w:rsidR="0047339C">
              <w:br/>
            </w:r>
            <w:r w:rsidRPr="001277D4">
              <w:t>(7.9</w:t>
            </w:r>
            <w:r w:rsidR="0047339C">
              <w:t>, </w:t>
            </w:r>
            <w:r w:rsidRPr="001277D4">
              <w:t>49.1)</w:t>
            </w:r>
          </w:p>
        </w:tc>
        <w:tc>
          <w:tcPr>
            <w:tcW w:w="466" w:type="dxa"/>
          </w:tcPr>
          <w:p w14:paraId="492A4FB5" w14:textId="77777777" w:rsidR="001D71E2" w:rsidRPr="001277D4" w:rsidRDefault="001D71E2" w:rsidP="00E82294">
            <w:pPr>
              <w:pStyle w:val="TableText"/>
              <w:jc w:val="right"/>
            </w:pPr>
            <w:r w:rsidRPr="001277D4">
              <w:t>236</w:t>
            </w:r>
          </w:p>
        </w:tc>
        <w:tc>
          <w:tcPr>
            <w:tcW w:w="766" w:type="dxa"/>
          </w:tcPr>
          <w:p w14:paraId="7740B548" w14:textId="77777777" w:rsidR="001D71E2" w:rsidRPr="001277D4" w:rsidRDefault="001D71E2" w:rsidP="00E82294">
            <w:pPr>
              <w:pStyle w:val="TableText"/>
              <w:jc w:val="right"/>
            </w:pPr>
            <w:r w:rsidRPr="001277D4">
              <w:t>1656</w:t>
            </w:r>
          </w:p>
        </w:tc>
        <w:tc>
          <w:tcPr>
            <w:tcW w:w="1009" w:type="dxa"/>
          </w:tcPr>
          <w:p w14:paraId="087785E4" w14:textId="77777777" w:rsidR="001D71E2" w:rsidRPr="001277D4" w:rsidRDefault="001D71E2" w:rsidP="00E82294">
            <w:pPr>
              <w:pStyle w:val="TableText"/>
              <w:jc w:val="right"/>
            </w:pPr>
            <w:r w:rsidRPr="001277D4">
              <w:t>26.9 (16.7</w:t>
            </w:r>
            <w:r w:rsidR="0047339C">
              <w:t>, </w:t>
            </w:r>
            <w:r w:rsidRPr="001277D4">
              <w:t>40.2)</w:t>
            </w:r>
          </w:p>
        </w:tc>
      </w:tr>
      <w:tr w:rsidR="0047339C" w:rsidRPr="001277D4" w14:paraId="7639D063"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112971D6" w14:textId="77777777" w:rsidR="001D71E2" w:rsidRPr="001277D4" w:rsidRDefault="001D71E2" w:rsidP="00E82294">
            <w:pPr>
              <w:pStyle w:val="TableText"/>
            </w:pPr>
            <w:r w:rsidRPr="001277D4">
              <w:t>Did not use other websites</w:t>
            </w:r>
          </w:p>
        </w:tc>
        <w:tc>
          <w:tcPr>
            <w:tcW w:w="509" w:type="dxa"/>
          </w:tcPr>
          <w:p w14:paraId="7E00C986" w14:textId="77777777" w:rsidR="001D71E2" w:rsidRPr="001277D4" w:rsidRDefault="001D71E2" w:rsidP="00E82294">
            <w:pPr>
              <w:pStyle w:val="TableText"/>
              <w:jc w:val="right"/>
            </w:pPr>
            <w:r w:rsidRPr="001277D4">
              <w:t>248</w:t>
            </w:r>
          </w:p>
        </w:tc>
        <w:tc>
          <w:tcPr>
            <w:tcW w:w="824" w:type="dxa"/>
          </w:tcPr>
          <w:p w14:paraId="7F400F04" w14:textId="77777777" w:rsidR="001D71E2" w:rsidRPr="001277D4" w:rsidRDefault="001D71E2" w:rsidP="00E82294">
            <w:pPr>
              <w:pStyle w:val="TableText"/>
              <w:jc w:val="right"/>
            </w:pPr>
            <w:r w:rsidRPr="001277D4">
              <w:t>1528</w:t>
            </w:r>
          </w:p>
        </w:tc>
        <w:tc>
          <w:tcPr>
            <w:tcW w:w="1009" w:type="dxa"/>
          </w:tcPr>
          <w:p w14:paraId="578CF7AD" w14:textId="77777777" w:rsidR="001D71E2" w:rsidRPr="001277D4" w:rsidRDefault="001D71E2" w:rsidP="00E82294">
            <w:pPr>
              <w:pStyle w:val="TableText"/>
              <w:jc w:val="right"/>
            </w:pPr>
            <w:r w:rsidRPr="001277D4">
              <w:t>77.6 (71.8</w:t>
            </w:r>
            <w:r w:rsidR="0047339C">
              <w:t>, </w:t>
            </w:r>
            <w:r w:rsidRPr="001277D4">
              <w:t>82.4)</w:t>
            </w:r>
          </w:p>
        </w:tc>
        <w:tc>
          <w:tcPr>
            <w:tcW w:w="448" w:type="dxa"/>
          </w:tcPr>
          <w:p w14:paraId="56067EFD" w14:textId="77777777" w:rsidR="001D71E2" w:rsidRPr="001277D4" w:rsidRDefault="001D71E2" w:rsidP="00E82294">
            <w:pPr>
              <w:pStyle w:val="TableText"/>
              <w:jc w:val="right"/>
            </w:pPr>
            <w:r w:rsidRPr="001277D4">
              <w:t>549</w:t>
            </w:r>
          </w:p>
        </w:tc>
        <w:tc>
          <w:tcPr>
            <w:tcW w:w="784" w:type="dxa"/>
          </w:tcPr>
          <w:p w14:paraId="52429344" w14:textId="77777777" w:rsidR="001D71E2" w:rsidRPr="001277D4" w:rsidRDefault="001D71E2" w:rsidP="00E82294">
            <w:pPr>
              <w:pStyle w:val="TableText"/>
              <w:jc w:val="right"/>
            </w:pPr>
            <w:r w:rsidRPr="001277D4">
              <w:t>3895</w:t>
            </w:r>
          </w:p>
        </w:tc>
        <w:tc>
          <w:tcPr>
            <w:tcW w:w="1009" w:type="dxa"/>
          </w:tcPr>
          <w:p w14:paraId="5F186BFF" w14:textId="77777777" w:rsidR="001D71E2" w:rsidRPr="001277D4" w:rsidRDefault="001D71E2" w:rsidP="00E82294">
            <w:pPr>
              <w:pStyle w:val="TableText"/>
              <w:jc w:val="right"/>
            </w:pPr>
            <w:r w:rsidRPr="001277D4">
              <w:t>69.9 (65.9</w:t>
            </w:r>
            <w:r w:rsidR="0047339C">
              <w:t>, </w:t>
            </w:r>
            <w:r w:rsidRPr="001277D4">
              <w:t>73.7)</w:t>
            </w:r>
          </w:p>
        </w:tc>
        <w:tc>
          <w:tcPr>
            <w:tcW w:w="457" w:type="dxa"/>
          </w:tcPr>
          <w:p w14:paraId="46F3FCBD" w14:textId="77777777" w:rsidR="001D71E2" w:rsidRPr="001277D4" w:rsidRDefault="001D71E2" w:rsidP="00E82294">
            <w:pPr>
              <w:pStyle w:val="TableText"/>
              <w:jc w:val="right"/>
            </w:pPr>
            <w:r w:rsidRPr="001277D4">
              <w:t>132</w:t>
            </w:r>
          </w:p>
        </w:tc>
        <w:tc>
          <w:tcPr>
            <w:tcW w:w="775" w:type="dxa"/>
          </w:tcPr>
          <w:p w14:paraId="1933B61B" w14:textId="77777777" w:rsidR="001D71E2" w:rsidRPr="001277D4" w:rsidRDefault="001D71E2" w:rsidP="00E82294">
            <w:pPr>
              <w:pStyle w:val="TableText"/>
              <w:jc w:val="right"/>
            </w:pPr>
            <w:r w:rsidRPr="001277D4">
              <w:t>841</w:t>
            </w:r>
          </w:p>
        </w:tc>
        <w:tc>
          <w:tcPr>
            <w:tcW w:w="1009" w:type="dxa"/>
          </w:tcPr>
          <w:p w14:paraId="6FDDDC4F" w14:textId="77777777" w:rsidR="001D71E2" w:rsidRPr="001277D4" w:rsidRDefault="001D71E2" w:rsidP="00E82294">
            <w:pPr>
              <w:pStyle w:val="TableText"/>
              <w:jc w:val="right"/>
            </w:pPr>
            <w:r w:rsidRPr="001277D4">
              <w:t>77.7 (50.9</w:t>
            </w:r>
            <w:r w:rsidR="0047339C">
              <w:t>, </w:t>
            </w:r>
            <w:r w:rsidRPr="001277D4">
              <w:t>92.1)</w:t>
            </w:r>
          </w:p>
        </w:tc>
        <w:tc>
          <w:tcPr>
            <w:tcW w:w="466" w:type="dxa"/>
          </w:tcPr>
          <w:p w14:paraId="2D59ACE0" w14:textId="77777777" w:rsidR="001D71E2" w:rsidRPr="001277D4" w:rsidRDefault="001D71E2" w:rsidP="00E82294">
            <w:pPr>
              <w:pStyle w:val="TableText"/>
              <w:jc w:val="right"/>
            </w:pPr>
            <w:r w:rsidRPr="001277D4">
              <w:t>569</w:t>
            </w:r>
          </w:p>
        </w:tc>
        <w:tc>
          <w:tcPr>
            <w:tcW w:w="766" w:type="dxa"/>
          </w:tcPr>
          <w:p w14:paraId="6449CFAF" w14:textId="77777777" w:rsidR="001D71E2" w:rsidRPr="001277D4" w:rsidRDefault="001D71E2" w:rsidP="00E82294">
            <w:pPr>
              <w:pStyle w:val="TableText"/>
              <w:jc w:val="right"/>
            </w:pPr>
            <w:r w:rsidRPr="001277D4">
              <w:t>4505</w:t>
            </w:r>
          </w:p>
        </w:tc>
        <w:tc>
          <w:tcPr>
            <w:tcW w:w="1009" w:type="dxa"/>
          </w:tcPr>
          <w:p w14:paraId="7EB16342" w14:textId="77777777" w:rsidR="001D71E2" w:rsidRPr="001277D4" w:rsidRDefault="001D71E2" w:rsidP="00E82294">
            <w:pPr>
              <w:pStyle w:val="TableText"/>
              <w:jc w:val="right"/>
            </w:pPr>
            <w:r w:rsidRPr="001277D4">
              <w:t>73.1 (59.8</w:t>
            </w:r>
            <w:r w:rsidR="0047339C">
              <w:t>, </w:t>
            </w:r>
            <w:r w:rsidRPr="001277D4">
              <w:t>83.3)</w:t>
            </w:r>
          </w:p>
        </w:tc>
      </w:tr>
      <w:tr w:rsidR="001D71E2" w:rsidRPr="000F78B9" w14:paraId="53CFD3C5" w14:textId="77777777" w:rsidTr="0047339C">
        <w:trPr>
          <w:cantSplit/>
        </w:trPr>
        <w:tc>
          <w:tcPr>
            <w:tcW w:w="2455" w:type="dxa"/>
          </w:tcPr>
          <w:p w14:paraId="22FC5815" w14:textId="77777777" w:rsidR="001D71E2" w:rsidRPr="001277D4" w:rsidRDefault="001D71E2" w:rsidP="00E82294">
            <w:pPr>
              <w:pStyle w:val="TableText"/>
              <w:rPr>
                <w:b/>
                <w:i/>
              </w:rPr>
            </w:pPr>
            <w:r w:rsidRPr="001277D4">
              <w:rPr>
                <w:b/>
              </w:rPr>
              <w:t>Probable generalised anxiety disorder</w:t>
            </w:r>
          </w:p>
        </w:tc>
        <w:tc>
          <w:tcPr>
            <w:tcW w:w="2342" w:type="dxa"/>
            <w:gridSpan w:val="3"/>
          </w:tcPr>
          <w:p w14:paraId="45CBE9AE" w14:textId="77777777" w:rsidR="001D71E2" w:rsidRPr="000F78B9" w:rsidRDefault="001D71E2" w:rsidP="00E82294">
            <w:pPr>
              <w:pStyle w:val="TableText"/>
              <w:jc w:val="center"/>
            </w:pPr>
            <w:r>
              <w:t>n</w:t>
            </w:r>
            <w:r w:rsidRPr="000F78B9">
              <w:t>=</w:t>
            </w:r>
            <w:r>
              <w:t>223</w:t>
            </w:r>
            <w:r w:rsidRPr="000F78B9">
              <w:t xml:space="preserve"> (Weighted</w:t>
            </w:r>
            <w:r>
              <w:t xml:space="preserve"> n</w:t>
            </w:r>
            <w:r w:rsidRPr="000F78B9">
              <w:t>=</w:t>
            </w:r>
            <w:r>
              <w:t>1387</w:t>
            </w:r>
            <w:r w:rsidRPr="000F78B9">
              <w:t>)</w:t>
            </w:r>
          </w:p>
        </w:tc>
        <w:tc>
          <w:tcPr>
            <w:tcW w:w="2241" w:type="dxa"/>
            <w:gridSpan w:val="3"/>
          </w:tcPr>
          <w:p w14:paraId="3AD0A010" w14:textId="77777777" w:rsidR="001D71E2" w:rsidRPr="000F78B9" w:rsidRDefault="001D71E2" w:rsidP="00E82294">
            <w:pPr>
              <w:pStyle w:val="TableText"/>
              <w:jc w:val="center"/>
            </w:pPr>
            <w:r>
              <w:t>n=589</w:t>
            </w:r>
            <w:r w:rsidRPr="000F78B9">
              <w:t xml:space="preserve"> (Weighted </w:t>
            </w:r>
            <w:r>
              <w:t>n</w:t>
            </w:r>
            <w:r w:rsidRPr="000F78B9">
              <w:t>=</w:t>
            </w:r>
            <w:r>
              <w:t>4182</w:t>
            </w:r>
            <w:r w:rsidRPr="000F78B9">
              <w:t>)</w:t>
            </w:r>
          </w:p>
        </w:tc>
        <w:tc>
          <w:tcPr>
            <w:tcW w:w="2241" w:type="dxa"/>
            <w:gridSpan w:val="3"/>
          </w:tcPr>
          <w:p w14:paraId="70995635" w14:textId="77777777" w:rsidR="001D71E2" w:rsidRPr="000F78B9" w:rsidRDefault="001D71E2" w:rsidP="00E82294">
            <w:pPr>
              <w:pStyle w:val="TableText"/>
              <w:jc w:val="center"/>
            </w:pPr>
            <w:r>
              <w:t>n</w:t>
            </w:r>
            <w:r w:rsidRPr="000F78B9">
              <w:t>=</w:t>
            </w:r>
            <w:r>
              <w:t>74</w:t>
            </w:r>
            <w:r w:rsidRPr="000F78B9">
              <w:t xml:space="preserve"> (Weighted</w:t>
            </w:r>
            <w:r>
              <w:t xml:space="preserve"> n</w:t>
            </w:r>
            <w:r w:rsidRPr="000F78B9">
              <w:t>=</w:t>
            </w:r>
            <w:r>
              <w:t>831</w:t>
            </w:r>
            <w:r w:rsidRPr="000F78B9">
              <w:t>)</w:t>
            </w:r>
          </w:p>
        </w:tc>
        <w:tc>
          <w:tcPr>
            <w:tcW w:w="2241" w:type="dxa"/>
            <w:gridSpan w:val="3"/>
          </w:tcPr>
          <w:p w14:paraId="458D2BA3" w14:textId="77777777" w:rsidR="001D71E2" w:rsidRPr="000F78B9" w:rsidRDefault="001D71E2" w:rsidP="00E82294">
            <w:pPr>
              <w:pStyle w:val="TableText"/>
              <w:jc w:val="center"/>
            </w:pPr>
            <w:r>
              <w:t>n</w:t>
            </w:r>
            <w:r w:rsidRPr="000F78B9">
              <w:t>=</w:t>
            </w:r>
            <w:r>
              <w:t>223</w:t>
            </w:r>
            <w:r w:rsidRPr="000F78B9">
              <w:t xml:space="preserve"> (Weighted</w:t>
            </w:r>
            <w:r>
              <w:t xml:space="preserve"> n</w:t>
            </w:r>
            <w:r w:rsidRPr="000F78B9">
              <w:t>=</w:t>
            </w:r>
            <w:r>
              <w:t>1387</w:t>
            </w:r>
            <w:r w:rsidRPr="000F78B9">
              <w:t>)</w:t>
            </w:r>
          </w:p>
        </w:tc>
      </w:tr>
      <w:tr w:rsidR="0047339C" w:rsidRPr="001277D4" w14:paraId="57A9BDA8" w14:textId="77777777" w:rsidTr="0047339C">
        <w:trPr>
          <w:cnfStyle w:val="000000100000" w:firstRow="0" w:lastRow="0" w:firstColumn="0" w:lastColumn="0" w:oddVBand="0" w:evenVBand="0" w:oddHBand="1" w:evenHBand="0" w:firstRowFirstColumn="0" w:firstRowLastColumn="0" w:lastRowFirstColumn="0" w:lastRowLastColumn="0"/>
          <w:cantSplit/>
        </w:trPr>
        <w:tc>
          <w:tcPr>
            <w:tcW w:w="2455" w:type="dxa"/>
          </w:tcPr>
          <w:p w14:paraId="66FC1850" w14:textId="77777777" w:rsidR="001D71E2" w:rsidRPr="001277D4" w:rsidRDefault="001D71E2" w:rsidP="00E82294">
            <w:pPr>
              <w:pStyle w:val="TableText"/>
            </w:pPr>
            <w:r w:rsidRPr="001277D4">
              <w:t xml:space="preserve">Used other websites </w:t>
            </w:r>
          </w:p>
        </w:tc>
        <w:tc>
          <w:tcPr>
            <w:tcW w:w="509" w:type="dxa"/>
          </w:tcPr>
          <w:p w14:paraId="703D968B" w14:textId="77777777" w:rsidR="001D71E2" w:rsidRPr="001277D4" w:rsidRDefault="001D71E2" w:rsidP="00E82294">
            <w:pPr>
              <w:pStyle w:val="TableText"/>
              <w:jc w:val="right"/>
            </w:pPr>
            <w:r w:rsidRPr="001277D4">
              <w:t>47</w:t>
            </w:r>
          </w:p>
        </w:tc>
        <w:tc>
          <w:tcPr>
            <w:tcW w:w="824" w:type="dxa"/>
          </w:tcPr>
          <w:p w14:paraId="05C53867" w14:textId="77777777" w:rsidR="001D71E2" w:rsidRPr="001277D4" w:rsidRDefault="001D71E2" w:rsidP="00E82294">
            <w:pPr>
              <w:pStyle w:val="TableText"/>
              <w:jc w:val="right"/>
            </w:pPr>
            <w:r w:rsidRPr="001277D4">
              <w:t>283</w:t>
            </w:r>
          </w:p>
        </w:tc>
        <w:tc>
          <w:tcPr>
            <w:tcW w:w="1009" w:type="dxa"/>
          </w:tcPr>
          <w:p w14:paraId="7A117C17" w14:textId="77777777" w:rsidR="001D71E2" w:rsidRPr="001277D4" w:rsidRDefault="001D71E2" w:rsidP="00E82294">
            <w:pPr>
              <w:pStyle w:val="TableText"/>
              <w:jc w:val="right"/>
            </w:pPr>
            <w:r w:rsidRPr="001277D4">
              <w:t>20.4 (14.8</w:t>
            </w:r>
            <w:r w:rsidR="0047339C">
              <w:t>, </w:t>
            </w:r>
            <w:r w:rsidRPr="001277D4">
              <w:t>27.4)</w:t>
            </w:r>
          </w:p>
        </w:tc>
        <w:tc>
          <w:tcPr>
            <w:tcW w:w="448" w:type="dxa"/>
          </w:tcPr>
          <w:p w14:paraId="0BD272CC" w14:textId="77777777" w:rsidR="001D71E2" w:rsidRPr="001277D4" w:rsidRDefault="001D71E2" w:rsidP="00E82294">
            <w:pPr>
              <w:pStyle w:val="TableText"/>
              <w:jc w:val="right"/>
            </w:pPr>
            <w:r w:rsidRPr="001277D4">
              <w:t>178</w:t>
            </w:r>
          </w:p>
        </w:tc>
        <w:tc>
          <w:tcPr>
            <w:tcW w:w="784" w:type="dxa"/>
          </w:tcPr>
          <w:p w14:paraId="238ABA14" w14:textId="77777777" w:rsidR="001D71E2" w:rsidRPr="001277D4" w:rsidRDefault="001D71E2" w:rsidP="00E82294">
            <w:pPr>
              <w:pStyle w:val="TableText"/>
              <w:jc w:val="right"/>
            </w:pPr>
            <w:r w:rsidRPr="001277D4">
              <w:t>1174</w:t>
            </w:r>
          </w:p>
        </w:tc>
        <w:tc>
          <w:tcPr>
            <w:tcW w:w="1009" w:type="dxa"/>
          </w:tcPr>
          <w:p w14:paraId="1C114D10" w14:textId="77777777" w:rsidR="001D71E2" w:rsidRPr="001277D4" w:rsidRDefault="001D71E2" w:rsidP="00E82294">
            <w:pPr>
              <w:pStyle w:val="TableText"/>
              <w:jc w:val="right"/>
            </w:pPr>
            <w:r w:rsidRPr="001277D4">
              <w:t>28.1 (23.9</w:t>
            </w:r>
            <w:r w:rsidR="0047339C">
              <w:t>, </w:t>
            </w:r>
            <w:r w:rsidRPr="001277D4">
              <w:t>32.6)</w:t>
            </w:r>
          </w:p>
        </w:tc>
        <w:tc>
          <w:tcPr>
            <w:tcW w:w="457" w:type="dxa"/>
          </w:tcPr>
          <w:p w14:paraId="5EC61057" w14:textId="77777777" w:rsidR="001D71E2" w:rsidRPr="001277D4" w:rsidRDefault="001D71E2" w:rsidP="00E82294">
            <w:pPr>
              <w:pStyle w:val="TableText"/>
              <w:jc w:val="right"/>
            </w:pPr>
            <w:r w:rsidRPr="001277D4">
              <w:t>13</w:t>
            </w:r>
          </w:p>
        </w:tc>
        <w:tc>
          <w:tcPr>
            <w:tcW w:w="775" w:type="dxa"/>
          </w:tcPr>
          <w:p w14:paraId="6F6DB5EA" w14:textId="77777777" w:rsidR="001D71E2" w:rsidRPr="001277D4" w:rsidRDefault="001D71E2" w:rsidP="00E82294">
            <w:pPr>
              <w:pStyle w:val="TableText"/>
              <w:jc w:val="right"/>
            </w:pPr>
            <w:r w:rsidRPr="001277D4">
              <w:t>230</w:t>
            </w:r>
          </w:p>
        </w:tc>
        <w:tc>
          <w:tcPr>
            <w:tcW w:w="1009" w:type="dxa"/>
          </w:tcPr>
          <w:p w14:paraId="5EE8C9D1" w14:textId="77777777" w:rsidR="001D71E2" w:rsidRPr="001277D4" w:rsidRDefault="001D71E2" w:rsidP="0047339C">
            <w:pPr>
              <w:pStyle w:val="TableText"/>
              <w:jc w:val="right"/>
            </w:pPr>
            <w:r w:rsidRPr="001277D4">
              <w:t>27.7</w:t>
            </w:r>
            <w:r w:rsidR="0047339C">
              <w:br/>
            </w:r>
            <w:r w:rsidRPr="001277D4">
              <w:t>(5.8</w:t>
            </w:r>
            <w:r w:rsidR="0047339C">
              <w:t>, </w:t>
            </w:r>
            <w:r w:rsidRPr="001277D4">
              <w:t>70.3)</w:t>
            </w:r>
          </w:p>
        </w:tc>
        <w:tc>
          <w:tcPr>
            <w:tcW w:w="466" w:type="dxa"/>
          </w:tcPr>
          <w:p w14:paraId="239341DA" w14:textId="77777777" w:rsidR="001D71E2" w:rsidRPr="001277D4" w:rsidRDefault="001D71E2" w:rsidP="00E82294">
            <w:pPr>
              <w:pStyle w:val="TableText"/>
              <w:jc w:val="right"/>
            </w:pPr>
            <w:r w:rsidRPr="001277D4">
              <w:t>164</w:t>
            </w:r>
          </w:p>
        </w:tc>
        <w:tc>
          <w:tcPr>
            <w:tcW w:w="766" w:type="dxa"/>
          </w:tcPr>
          <w:p w14:paraId="63520363" w14:textId="77777777" w:rsidR="001D71E2" w:rsidRPr="001277D4" w:rsidRDefault="001D71E2" w:rsidP="00E82294">
            <w:pPr>
              <w:pStyle w:val="TableText"/>
              <w:jc w:val="right"/>
            </w:pPr>
            <w:r w:rsidRPr="001277D4">
              <w:t>1075</w:t>
            </w:r>
          </w:p>
        </w:tc>
        <w:tc>
          <w:tcPr>
            <w:tcW w:w="1009" w:type="dxa"/>
          </w:tcPr>
          <w:p w14:paraId="5C58D9D6" w14:textId="77777777" w:rsidR="001D71E2" w:rsidRPr="001277D4" w:rsidRDefault="001D71E2" w:rsidP="00E82294">
            <w:pPr>
              <w:pStyle w:val="TableText"/>
              <w:jc w:val="right"/>
            </w:pPr>
            <w:r w:rsidRPr="001277D4">
              <w:t>28.1 (16.3</w:t>
            </w:r>
            <w:r w:rsidR="0047339C">
              <w:t>, </w:t>
            </w:r>
            <w:r w:rsidRPr="001277D4">
              <w:t>44.0)</w:t>
            </w:r>
          </w:p>
        </w:tc>
      </w:tr>
      <w:tr w:rsidR="0047339C" w:rsidRPr="001277D4" w14:paraId="11A028F3" w14:textId="77777777" w:rsidTr="0047339C">
        <w:trPr>
          <w:cantSplit/>
        </w:trPr>
        <w:tc>
          <w:tcPr>
            <w:tcW w:w="2455" w:type="dxa"/>
          </w:tcPr>
          <w:p w14:paraId="25DDCAD9" w14:textId="77777777" w:rsidR="001D71E2" w:rsidRPr="001277D4" w:rsidRDefault="001D71E2" w:rsidP="00E82294">
            <w:pPr>
              <w:pStyle w:val="TableText"/>
            </w:pPr>
            <w:r w:rsidRPr="001277D4">
              <w:t>Did not use other websites</w:t>
            </w:r>
          </w:p>
        </w:tc>
        <w:tc>
          <w:tcPr>
            <w:tcW w:w="509" w:type="dxa"/>
          </w:tcPr>
          <w:p w14:paraId="48BBA120" w14:textId="77777777" w:rsidR="001D71E2" w:rsidRPr="001277D4" w:rsidRDefault="001D71E2" w:rsidP="00E82294">
            <w:pPr>
              <w:pStyle w:val="TableText"/>
              <w:jc w:val="right"/>
            </w:pPr>
            <w:r w:rsidRPr="001277D4">
              <w:t>176</w:t>
            </w:r>
          </w:p>
        </w:tc>
        <w:tc>
          <w:tcPr>
            <w:tcW w:w="824" w:type="dxa"/>
          </w:tcPr>
          <w:p w14:paraId="61212E9A" w14:textId="77777777" w:rsidR="001D71E2" w:rsidRPr="001277D4" w:rsidRDefault="001D71E2" w:rsidP="00E82294">
            <w:pPr>
              <w:pStyle w:val="TableText"/>
              <w:jc w:val="right"/>
            </w:pPr>
            <w:r w:rsidRPr="001277D4">
              <w:t>1105</w:t>
            </w:r>
          </w:p>
        </w:tc>
        <w:tc>
          <w:tcPr>
            <w:tcW w:w="1009" w:type="dxa"/>
          </w:tcPr>
          <w:p w14:paraId="5105ABF3" w14:textId="77777777" w:rsidR="001D71E2" w:rsidRPr="001277D4" w:rsidRDefault="001D71E2" w:rsidP="00E82294">
            <w:pPr>
              <w:pStyle w:val="TableText"/>
              <w:jc w:val="right"/>
            </w:pPr>
            <w:r w:rsidRPr="001277D4">
              <w:t>79.6 (72.6</w:t>
            </w:r>
            <w:r w:rsidR="0047339C">
              <w:t>, </w:t>
            </w:r>
            <w:r w:rsidRPr="001277D4">
              <w:t>85.2)</w:t>
            </w:r>
          </w:p>
        </w:tc>
        <w:tc>
          <w:tcPr>
            <w:tcW w:w="448" w:type="dxa"/>
          </w:tcPr>
          <w:p w14:paraId="61A27998" w14:textId="77777777" w:rsidR="001D71E2" w:rsidRPr="001277D4" w:rsidRDefault="001D71E2" w:rsidP="00E82294">
            <w:pPr>
              <w:pStyle w:val="TableText"/>
              <w:jc w:val="right"/>
            </w:pPr>
            <w:r w:rsidRPr="001277D4">
              <w:t>411</w:t>
            </w:r>
          </w:p>
        </w:tc>
        <w:tc>
          <w:tcPr>
            <w:tcW w:w="784" w:type="dxa"/>
          </w:tcPr>
          <w:p w14:paraId="311FA0C6" w14:textId="77777777" w:rsidR="001D71E2" w:rsidRPr="001277D4" w:rsidRDefault="001D71E2" w:rsidP="00E82294">
            <w:pPr>
              <w:pStyle w:val="TableText"/>
              <w:jc w:val="right"/>
            </w:pPr>
            <w:r w:rsidRPr="001277D4">
              <w:t>3008</w:t>
            </w:r>
          </w:p>
        </w:tc>
        <w:tc>
          <w:tcPr>
            <w:tcW w:w="1009" w:type="dxa"/>
          </w:tcPr>
          <w:p w14:paraId="25679CA1" w14:textId="77777777" w:rsidR="001D71E2" w:rsidRPr="001277D4" w:rsidRDefault="001D71E2" w:rsidP="00E82294">
            <w:pPr>
              <w:pStyle w:val="TableText"/>
              <w:jc w:val="right"/>
            </w:pPr>
            <w:r w:rsidRPr="001277D4">
              <w:t>71.9 (67.4</w:t>
            </w:r>
            <w:r w:rsidR="0047339C">
              <w:t>, </w:t>
            </w:r>
            <w:r w:rsidRPr="001277D4">
              <w:t>76.1)</w:t>
            </w:r>
          </w:p>
        </w:tc>
        <w:tc>
          <w:tcPr>
            <w:tcW w:w="457" w:type="dxa"/>
          </w:tcPr>
          <w:p w14:paraId="12F09805" w14:textId="77777777" w:rsidR="001D71E2" w:rsidRPr="001277D4" w:rsidRDefault="001D71E2" w:rsidP="00E82294">
            <w:pPr>
              <w:pStyle w:val="TableText"/>
              <w:jc w:val="right"/>
            </w:pPr>
            <w:r w:rsidRPr="001277D4">
              <w:t>61</w:t>
            </w:r>
          </w:p>
        </w:tc>
        <w:tc>
          <w:tcPr>
            <w:tcW w:w="775" w:type="dxa"/>
          </w:tcPr>
          <w:p w14:paraId="3304AEE4" w14:textId="77777777" w:rsidR="001D71E2" w:rsidRPr="001277D4" w:rsidRDefault="001D71E2" w:rsidP="00E82294">
            <w:pPr>
              <w:pStyle w:val="TableText"/>
              <w:jc w:val="right"/>
            </w:pPr>
            <w:r w:rsidRPr="001277D4">
              <w:t>601</w:t>
            </w:r>
          </w:p>
        </w:tc>
        <w:tc>
          <w:tcPr>
            <w:tcW w:w="1009" w:type="dxa"/>
          </w:tcPr>
          <w:p w14:paraId="55B627B6" w14:textId="77777777" w:rsidR="001D71E2" w:rsidRPr="001277D4" w:rsidRDefault="001D71E2" w:rsidP="00E82294">
            <w:pPr>
              <w:pStyle w:val="TableText"/>
              <w:jc w:val="right"/>
            </w:pPr>
            <w:r w:rsidRPr="001277D4">
              <w:t>72.3 (29.7</w:t>
            </w:r>
            <w:r w:rsidR="0047339C">
              <w:t>, </w:t>
            </w:r>
            <w:r w:rsidRPr="001277D4">
              <w:t>94.2)</w:t>
            </w:r>
          </w:p>
        </w:tc>
        <w:tc>
          <w:tcPr>
            <w:tcW w:w="466" w:type="dxa"/>
          </w:tcPr>
          <w:p w14:paraId="481E4483" w14:textId="77777777" w:rsidR="001D71E2" w:rsidRPr="001277D4" w:rsidRDefault="001D71E2" w:rsidP="00E82294">
            <w:pPr>
              <w:pStyle w:val="TableText"/>
              <w:jc w:val="right"/>
            </w:pPr>
            <w:r w:rsidRPr="001277D4">
              <w:t>388</w:t>
            </w:r>
          </w:p>
        </w:tc>
        <w:tc>
          <w:tcPr>
            <w:tcW w:w="766" w:type="dxa"/>
          </w:tcPr>
          <w:p w14:paraId="4C3735CC" w14:textId="77777777" w:rsidR="001D71E2" w:rsidRPr="001277D4" w:rsidRDefault="001D71E2" w:rsidP="00E82294">
            <w:pPr>
              <w:pStyle w:val="TableText"/>
              <w:jc w:val="right"/>
            </w:pPr>
            <w:r w:rsidRPr="001277D4">
              <w:t>2747</w:t>
            </w:r>
          </w:p>
        </w:tc>
        <w:tc>
          <w:tcPr>
            <w:tcW w:w="1009" w:type="dxa"/>
          </w:tcPr>
          <w:p w14:paraId="7D17B5A3" w14:textId="77777777" w:rsidR="001D71E2" w:rsidRPr="001277D4" w:rsidRDefault="001D71E2" w:rsidP="00E82294">
            <w:pPr>
              <w:pStyle w:val="TableText"/>
              <w:jc w:val="right"/>
            </w:pPr>
            <w:r w:rsidRPr="001277D4">
              <w:t>71.9 (56.0</w:t>
            </w:r>
            <w:r w:rsidR="0047339C">
              <w:t>, </w:t>
            </w:r>
            <w:r w:rsidRPr="001277D4">
              <w:t>83.7)</w:t>
            </w:r>
          </w:p>
        </w:tc>
      </w:tr>
    </w:tbl>
    <w:p w14:paraId="484FBA22" w14:textId="77777777" w:rsidR="001D71E2" w:rsidRPr="00DF16E1" w:rsidRDefault="001D71E2" w:rsidP="001D71E2">
      <w:pPr>
        <w:pStyle w:val="TableNotes"/>
      </w:pPr>
      <w:r w:rsidRPr="00DF16E1">
        <w:t>Notes</w:t>
      </w:r>
    </w:p>
    <w:p w14:paraId="35A48B9C" w14:textId="77777777" w:rsidR="001D71E2" w:rsidRDefault="001D71E2" w:rsidP="001D71E2">
      <w:pPr>
        <w:pStyle w:val="TableNotes"/>
      </w:pPr>
      <w:r w:rsidRPr="008A51EB">
        <w:t xml:space="preserve">Denominator: </w:t>
      </w:r>
      <w:r w:rsidRPr="000F78B9">
        <w:t>Transitioned and 2015 Regular ADF with a probable disorder</w:t>
      </w:r>
      <w:r>
        <w:t>.</w:t>
      </w:r>
      <w:r w:rsidRPr="000F78B9">
        <w:t xml:space="preserve"> </w:t>
      </w:r>
    </w:p>
    <w:p w14:paraId="048CB0AC" w14:textId="77777777" w:rsidR="001D71E2" w:rsidRPr="00C72931" w:rsidRDefault="001D71E2" w:rsidP="001D71E2">
      <w:pPr>
        <w:pStyle w:val="TableNotes"/>
      </w:pPr>
      <w:r w:rsidRPr="009344FF">
        <w:t>Proportions may not add up to 100% due to rounding and missing values. However, distributions are calculated by including those with a missing value to allow for correct weighted totals.</w:t>
      </w:r>
      <w:r w:rsidRPr="00C72931">
        <w:t xml:space="preserve"> </w:t>
      </w:r>
    </w:p>
    <w:p w14:paraId="24627786" w14:textId="77777777" w:rsidR="001D71E2" w:rsidRDefault="001D71E2" w:rsidP="001D71E2">
      <w:pPr>
        <w:pStyle w:val="TableNotes"/>
      </w:pPr>
      <w:r>
        <w:t xml:space="preserve">95%CI = 95% confidence interval. </w:t>
      </w:r>
    </w:p>
    <w:p w14:paraId="70901CA1" w14:textId="77777777" w:rsidR="001D71E2" w:rsidRDefault="001D71E2" w:rsidP="001D71E2">
      <w:pPr>
        <w:pStyle w:val="TableNotes"/>
        <w:rPr>
          <w:rFonts w:cs="Calibri"/>
          <w:bCs/>
          <w:color w:val="000000" w:themeColor="text1"/>
          <w:szCs w:val="14"/>
        </w:rPr>
      </w:pPr>
      <w:r>
        <w:rPr>
          <w:rFonts w:cs="Calibri"/>
          <w:bCs/>
          <w:color w:val="000000" w:themeColor="text1"/>
          <w:szCs w:val="14"/>
        </w:rPr>
        <w:t># = Cell size too small to be reported.</w:t>
      </w:r>
    </w:p>
    <w:p w14:paraId="63A73B3B" w14:textId="77777777" w:rsidR="007123C7" w:rsidRDefault="007123C7" w:rsidP="007123C7"/>
    <w:p w14:paraId="21983242" w14:textId="77777777" w:rsidR="007123C7" w:rsidRDefault="007123C7" w:rsidP="007123C7">
      <w:pPr>
        <w:sectPr w:rsidR="007123C7" w:rsidSect="00980AE4">
          <w:footerReference w:type="even" r:id="rId144"/>
          <w:footerReference w:type="default" r:id="rId145"/>
          <w:pgSz w:w="14170" w:h="9979" w:orient="landscape" w:code="243"/>
          <w:pgMar w:top="1872" w:right="1440" w:bottom="1152" w:left="1440" w:header="576" w:footer="576" w:gutter="0"/>
          <w:cols w:space="708"/>
          <w:docGrid w:linePitch="360"/>
        </w:sectPr>
      </w:pPr>
    </w:p>
    <w:p w14:paraId="66CCD010" w14:textId="77777777" w:rsidR="0033663C" w:rsidRDefault="0033663C" w:rsidP="0033663C">
      <w:pPr>
        <w:pStyle w:val="Heading1"/>
        <w:numPr>
          <w:ilvl w:val="0"/>
          <w:numId w:val="1"/>
        </w:numPr>
      </w:pPr>
      <w:bookmarkStart w:id="1096" w:name="_Toc508110500"/>
      <w:bookmarkStart w:id="1097" w:name="_Toc387565407"/>
      <w:bookmarkStart w:id="1098" w:name="_Toc515374559"/>
      <w:bookmarkStart w:id="1099" w:name="_Toc518566453"/>
      <w:bookmarkStart w:id="1100" w:name="_Toc528932731"/>
      <w:bookmarkStart w:id="1101" w:name="_Toc531859268"/>
      <w:r w:rsidRPr="008A51EB">
        <w:t xml:space="preserve">Technology use and psychological distress in Transitioned ADF members aged </w:t>
      </w:r>
      <w:r>
        <w:t>18–25</w:t>
      </w:r>
      <w:r w:rsidRPr="008A51EB">
        <w:t xml:space="preserve">: Comparison with young adults aged </w:t>
      </w:r>
      <w:r>
        <w:t>18–25</w:t>
      </w:r>
      <w:r w:rsidRPr="008A51EB">
        <w:t xml:space="preserve"> in the Australian community</w:t>
      </w:r>
      <w:bookmarkEnd w:id="1096"/>
      <w:bookmarkEnd w:id="1097"/>
      <w:bookmarkEnd w:id="1098"/>
      <w:bookmarkEnd w:id="1099"/>
      <w:bookmarkEnd w:id="1100"/>
      <w:bookmarkEnd w:id="1101"/>
    </w:p>
    <w:p w14:paraId="5A56D798" w14:textId="1060C259" w:rsidR="0033663C" w:rsidRPr="008A51EB" w:rsidRDefault="0033663C" w:rsidP="0033663C">
      <w:pPr>
        <w:pStyle w:val="ShadedBoxTitle"/>
      </w:pPr>
      <w:r w:rsidRPr="008A51EB">
        <w:t xml:space="preserve">Transitioned ADF </w:t>
      </w:r>
      <w:r>
        <w:t xml:space="preserve">young adults </w:t>
      </w:r>
      <w:r w:rsidRPr="008A51EB">
        <w:t>compared to Australian community young adults (</w:t>
      </w:r>
      <w:r>
        <w:t xml:space="preserve">2012 </w:t>
      </w:r>
      <w:r w:rsidRPr="008A51EB">
        <w:t xml:space="preserve">Young and Well </w:t>
      </w:r>
      <w:r w:rsidR="0020591C">
        <w:t>c</w:t>
      </w:r>
      <w:r w:rsidRPr="008A51EB">
        <w:t xml:space="preserve">ohort) </w:t>
      </w:r>
    </w:p>
    <w:p w14:paraId="5099BDA1" w14:textId="77777777" w:rsidR="0033663C" w:rsidRPr="008A51EB" w:rsidRDefault="0033663C" w:rsidP="0033663C">
      <w:pPr>
        <w:pStyle w:val="ShadedBoxSubheading"/>
      </w:pPr>
      <w:r w:rsidRPr="008A51EB">
        <w:t xml:space="preserve">Frequency and duration of </w:t>
      </w:r>
      <w:r>
        <w:t>internet</w:t>
      </w:r>
      <w:r w:rsidRPr="008A51EB">
        <w:t xml:space="preserve"> use</w:t>
      </w:r>
    </w:p>
    <w:p w14:paraId="350CBA68" w14:textId="77777777" w:rsidR="0033663C" w:rsidRPr="008A51EB" w:rsidRDefault="0033663C" w:rsidP="00133458">
      <w:pPr>
        <w:pStyle w:val="ShadedBullet"/>
      </w:pPr>
      <w:r w:rsidRPr="008A51EB">
        <w:t xml:space="preserve">All young adults in the Transitioned ADF aged </w:t>
      </w:r>
      <w:r>
        <w:t>18–25</w:t>
      </w:r>
      <w:r w:rsidRPr="008A51EB">
        <w:t xml:space="preserve"> and 98.3% of the Young and Well cohort report</w:t>
      </w:r>
      <w:r>
        <w:t>ed</w:t>
      </w:r>
      <w:r w:rsidRPr="008A51EB">
        <w:t xml:space="preserve"> using the </w:t>
      </w:r>
      <w:r>
        <w:t>internet</w:t>
      </w:r>
      <w:r w:rsidRPr="008A51EB">
        <w:t xml:space="preserve">. </w:t>
      </w:r>
    </w:p>
    <w:p w14:paraId="4457F75B" w14:textId="77777777" w:rsidR="0033663C" w:rsidRPr="008A51EB" w:rsidRDefault="0033663C" w:rsidP="00133458">
      <w:pPr>
        <w:pStyle w:val="ShadedBullet"/>
      </w:pPr>
      <w:r w:rsidRPr="008A51EB">
        <w:t xml:space="preserve">A significantly greater proportion of Transitioned ADF </w:t>
      </w:r>
      <w:r>
        <w:t xml:space="preserve">young adults </w:t>
      </w:r>
      <w:r w:rsidRPr="008A51EB">
        <w:t xml:space="preserve">reported using the </w:t>
      </w:r>
      <w:r>
        <w:t>internet</w:t>
      </w:r>
      <w:r w:rsidRPr="008A51EB">
        <w:t xml:space="preserve"> every day or almost every day (98.5%) compared to the Young and Well cohort (91.2%).</w:t>
      </w:r>
    </w:p>
    <w:p w14:paraId="7DB93426" w14:textId="5D73A7FA" w:rsidR="0033663C" w:rsidRPr="008A51EB" w:rsidRDefault="0033663C" w:rsidP="00133458">
      <w:pPr>
        <w:pStyle w:val="ShadedBullet"/>
      </w:pPr>
      <w:r w:rsidRPr="008A51EB">
        <w:t>Transitioned ADF</w:t>
      </w:r>
      <w:r>
        <w:t xml:space="preserve"> young adults</w:t>
      </w:r>
      <w:r w:rsidRPr="008A51EB">
        <w:t xml:space="preserve"> (27.2%) were significantly more likely to report </w:t>
      </w:r>
      <w:r>
        <w:t xml:space="preserve">that </w:t>
      </w:r>
      <w:r w:rsidRPr="008A51EB">
        <w:t xml:space="preserve">they used the </w:t>
      </w:r>
      <w:r>
        <w:t>internet</w:t>
      </w:r>
      <w:r w:rsidRPr="008A51EB">
        <w:t xml:space="preserve"> for 5 to 9 hours on a </w:t>
      </w:r>
      <w:r w:rsidR="0020591C">
        <w:t>week day</w:t>
      </w:r>
      <w:r w:rsidRPr="008A51EB">
        <w:t xml:space="preserve"> compared to the Young and Well cohort (15.9%)</w:t>
      </w:r>
      <w:r>
        <w:t>.</w:t>
      </w:r>
    </w:p>
    <w:p w14:paraId="45128AB1" w14:textId="77777777" w:rsidR="0033663C" w:rsidRPr="008A51EB" w:rsidRDefault="0033663C" w:rsidP="0033663C">
      <w:pPr>
        <w:pStyle w:val="ShadedBoxSubheading"/>
      </w:pPr>
      <w:r>
        <w:t>Internet</w:t>
      </w:r>
      <w:r w:rsidRPr="008A51EB">
        <w:t xml:space="preserve"> use after 11</w:t>
      </w:r>
      <w:r>
        <w:t xml:space="preserve"> pm</w:t>
      </w:r>
      <w:r w:rsidRPr="008A51EB">
        <w:t xml:space="preserve"> </w:t>
      </w:r>
    </w:p>
    <w:p w14:paraId="735F8FEC" w14:textId="61949E79" w:rsidR="0033663C" w:rsidRPr="008A51EB" w:rsidRDefault="0033663C" w:rsidP="00133458">
      <w:pPr>
        <w:pStyle w:val="ShadedBullet"/>
      </w:pPr>
      <w:r w:rsidRPr="008A51EB">
        <w:t xml:space="preserve">Transitioned ADF </w:t>
      </w:r>
      <w:r>
        <w:t xml:space="preserve">young adults </w:t>
      </w:r>
      <w:r w:rsidRPr="008A51EB">
        <w:t xml:space="preserve">(46.8%) were significantly less likely to use the </w:t>
      </w:r>
      <w:r>
        <w:t>internet</w:t>
      </w:r>
      <w:r w:rsidRPr="008A51EB">
        <w:t xml:space="preserve"> after 11</w:t>
      </w:r>
      <w:r>
        <w:t xml:space="preserve"> pm</w:t>
      </w:r>
      <w:r w:rsidRPr="008A51EB">
        <w:t xml:space="preserve"> compared to the Young and Well </w:t>
      </w:r>
      <w:r w:rsidR="00AC7A7B">
        <w:t>c</w:t>
      </w:r>
      <w:r w:rsidRPr="008A51EB">
        <w:t>ohort (66.0%).</w:t>
      </w:r>
    </w:p>
    <w:p w14:paraId="342158F4" w14:textId="77777777" w:rsidR="0033663C" w:rsidRPr="008A51EB" w:rsidRDefault="0033663C" w:rsidP="0033663C">
      <w:pPr>
        <w:pStyle w:val="ShadedBoxSubheading"/>
      </w:pPr>
      <w:r w:rsidRPr="008A51EB">
        <w:t xml:space="preserve">Use of </w:t>
      </w:r>
      <w:r>
        <w:t>internet</w:t>
      </w:r>
      <w:r w:rsidRPr="008A51EB">
        <w:t xml:space="preserve"> for </w:t>
      </w:r>
      <w:r>
        <w:t>m</w:t>
      </w:r>
      <w:r w:rsidRPr="008A51EB">
        <w:t xml:space="preserve">ental </w:t>
      </w:r>
      <w:r>
        <w:t>h</w:t>
      </w:r>
      <w:r w:rsidRPr="008A51EB">
        <w:t>ealth</w:t>
      </w:r>
    </w:p>
    <w:p w14:paraId="7E5E6B2B" w14:textId="4B06D29D" w:rsidR="0033663C" w:rsidRPr="009B7C71" w:rsidRDefault="0033663C" w:rsidP="00133458">
      <w:pPr>
        <w:pStyle w:val="ShadedBullet"/>
      </w:pPr>
      <w:r w:rsidRPr="009B7C71">
        <w:t>The Transitioned ADF</w:t>
      </w:r>
      <w:r>
        <w:t xml:space="preserve"> young adults</w:t>
      </w:r>
      <w:r w:rsidRPr="009B7C71">
        <w:t xml:space="preserve"> (27.4%) were significantly less likely to report using the </w:t>
      </w:r>
      <w:r>
        <w:t>internet</w:t>
      </w:r>
      <w:r w:rsidRPr="009B7C71">
        <w:t xml:space="preserve"> to seek help for or manage mental health issues than the Young and Well </w:t>
      </w:r>
      <w:r w:rsidR="00AC7A7B">
        <w:t>c</w:t>
      </w:r>
      <w:r w:rsidRPr="009B7C71">
        <w:t>ohort (41.5%).</w:t>
      </w:r>
    </w:p>
    <w:p w14:paraId="07424B5C" w14:textId="77777777" w:rsidR="0033663C" w:rsidRPr="009B7C71" w:rsidRDefault="0033663C" w:rsidP="00133458">
      <w:pPr>
        <w:pStyle w:val="ShadedBullet"/>
      </w:pPr>
      <w:r w:rsidRPr="009B7C71">
        <w:t xml:space="preserve">Of those who indicated they had used the </w:t>
      </w:r>
      <w:r>
        <w:t>internet</w:t>
      </w:r>
      <w:r w:rsidRPr="009B7C71">
        <w:t xml:space="preserve"> for mental health issues, the Transitioned ADF young adults were:</w:t>
      </w:r>
    </w:p>
    <w:p w14:paraId="1551A9EB" w14:textId="77777777" w:rsidR="0033663C" w:rsidRPr="008A51EB" w:rsidRDefault="0033663C" w:rsidP="0033663C">
      <w:pPr>
        <w:pStyle w:val="ShadedDash"/>
        <w:spacing w:after="120"/>
        <w:rPr>
          <w:rFonts w:eastAsia="MS Gothic"/>
        </w:rPr>
      </w:pPr>
      <w:r>
        <w:tab/>
        <w:t>–</w:t>
      </w:r>
      <w:r>
        <w:tab/>
        <w:t>s</w:t>
      </w:r>
      <w:r w:rsidRPr="008A51EB">
        <w:t>ignificantly less likely to find it helpful</w:t>
      </w:r>
      <w:r>
        <w:t xml:space="preserve"> for </w:t>
      </w:r>
      <w:r w:rsidRPr="008A51EB">
        <w:t>getting the kind of information they needed in relation to mental health compared to the Young and Well cohort (very helpful: 7.7% vs 41.2%; not at all helpful: 15.4% vs 1.2%)</w:t>
      </w:r>
    </w:p>
    <w:p w14:paraId="78F05743" w14:textId="77777777" w:rsidR="0033663C" w:rsidRPr="008A51EB" w:rsidRDefault="0033663C" w:rsidP="0033663C">
      <w:pPr>
        <w:pStyle w:val="ShadedDash"/>
        <w:spacing w:after="120"/>
        <w:rPr>
          <w:rFonts w:eastAsia="MS Gothic"/>
        </w:rPr>
      </w:pPr>
      <w:r>
        <w:tab/>
        <w:t>–</w:t>
      </w:r>
      <w:r>
        <w:tab/>
        <w:t>s</w:t>
      </w:r>
      <w:r w:rsidRPr="008A51EB">
        <w:t xml:space="preserve">ignificantly less likely to report it </w:t>
      </w:r>
      <w:r w:rsidRPr="008A51EB">
        <w:rPr>
          <w:rFonts w:eastAsia="Times New Roman"/>
        </w:rPr>
        <w:t>helped them deal more effectively with mental health problems</w:t>
      </w:r>
      <w:r w:rsidRPr="008A51EB">
        <w:t xml:space="preserve"> compared to the Young and Well cohort (helped a </w:t>
      </w:r>
      <w:r>
        <w:t>little 30.9% vs 53.9%; helped a</w:t>
      </w:r>
      <w:r w:rsidRPr="008A51EB">
        <w:t xml:space="preserve"> lot: 6.4% vs 26.2%)</w:t>
      </w:r>
    </w:p>
    <w:p w14:paraId="37509CB4" w14:textId="77777777" w:rsidR="0033663C" w:rsidRPr="008A51EB" w:rsidRDefault="0033663C" w:rsidP="0033663C">
      <w:pPr>
        <w:pStyle w:val="ShadedDash"/>
        <w:rPr>
          <w:rFonts w:eastAsia="MS Gothic"/>
        </w:rPr>
      </w:pPr>
      <w:r>
        <w:tab/>
        <w:t>–</w:t>
      </w:r>
      <w:r>
        <w:tab/>
        <w:t>s</w:t>
      </w:r>
      <w:r w:rsidRPr="008A51EB">
        <w:t xml:space="preserve">ignificantly more likely to endorse being ‘somewhat dissatisfied’ (20.5% vs 4.2%) and significantly less likely to endorse being ‘very satisfied’ (7.1% vs 20.7%) with the information they received on the </w:t>
      </w:r>
      <w:r>
        <w:t>internet</w:t>
      </w:r>
      <w:r w:rsidRPr="008A51EB">
        <w:t xml:space="preserve"> in relation to mental health compared to the Young and Well cohort.</w:t>
      </w:r>
    </w:p>
    <w:p w14:paraId="2A986681" w14:textId="77777777" w:rsidR="0033663C" w:rsidRPr="008A51EB" w:rsidRDefault="0033663C" w:rsidP="0033663C">
      <w:pPr>
        <w:pStyle w:val="ShadedBoxSubheading"/>
        <w:rPr>
          <w:rFonts w:eastAsia="MS Gothic"/>
        </w:rPr>
      </w:pPr>
      <w:r w:rsidRPr="008A51EB">
        <w:t xml:space="preserve">Psychological distress and </w:t>
      </w:r>
      <w:r>
        <w:t>internet</w:t>
      </w:r>
      <w:r w:rsidRPr="008A51EB">
        <w:t xml:space="preserve"> use</w:t>
      </w:r>
    </w:p>
    <w:p w14:paraId="33A136C9" w14:textId="77777777" w:rsidR="0033663C" w:rsidRPr="008A51EB" w:rsidRDefault="0033663C" w:rsidP="00133458">
      <w:pPr>
        <w:pStyle w:val="ShadedBullet"/>
      </w:pPr>
      <w:r w:rsidRPr="008A51EB">
        <w:t xml:space="preserve">Levels of psychological distress </w:t>
      </w:r>
      <w:r>
        <w:t xml:space="preserve">in </w:t>
      </w:r>
      <w:r w:rsidRPr="008A51EB">
        <w:t>Transitioned ADF</w:t>
      </w:r>
      <w:r>
        <w:t xml:space="preserve"> young adults </w:t>
      </w:r>
      <w:r w:rsidRPr="008A51EB">
        <w:t xml:space="preserve">were significantly higher than in young adults in the Australian </w:t>
      </w:r>
      <w:r>
        <w:t>c</w:t>
      </w:r>
      <w:r w:rsidRPr="008A51EB">
        <w:t xml:space="preserve">ommunity. For example, nearly one in five of the Transitioned ADF </w:t>
      </w:r>
      <w:r>
        <w:t xml:space="preserve">young adults </w:t>
      </w:r>
      <w:r w:rsidRPr="008A51EB">
        <w:t>scored in the very high band compared to just over 5% of the Young and Well cohort (18.6% vs 5.4%).</w:t>
      </w:r>
    </w:p>
    <w:p w14:paraId="4ABF8147" w14:textId="77777777" w:rsidR="0033663C" w:rsidRPr="008A51EB" w:rsidRDefault="0033663C" w:rsidP="00133458">
      <w:pPr>
        <w:pStyle w:val="ShadedBullet"/>
        <w:rPr>
          <w:rFonts w:eastAsia="MS Gothic"/>
          <w:color w:val="002060"/>
        </w:rPr>
      </w:pPr>
      <w:r w:rsidRPr="00BC197C">
        <w:t>Of those with moderate/high levels of psychological distress:</w:t>
      </w:r>
    </w:p>
    <w:p w14:paraId="2FCF6CD7" w14:textId="77777777" w:rsidR="0033663C" w:rsidRPr="008A51EB" w:rsidRDefault="0033663C" w:rsidP="0033663C">
      <w:pPr>
        <w:pStyle w:val="ShadedDash"/>
        <w:spacing w:after="120"/>
      </w:pPr>
      <w:r>
        <w:tab/>
        <w:t>–</w:t>
      </w:r>
      <w:r>
        <w:tab/>
        <w:t>t</w:t>
      </w:r>
      <w:r w:rsidRPr="008A51EB">
        <w:t xml:space="preserve">he Transitioned ADF </w:t>
      </w:r>
      <w:r>
        <w:t xml:space="preserve">young adults </w:t>
      </w:r>
      <w:r w:rsidRPr="008A51EB">
        <w:t xml:space="preserve">reported using the </w:t>
      </w:r>
      <w:r>
        <w:t>internet</w:t>
      </w:r>
      <w:r w:rsidRPr="008A51EB">
        <w:t xml:space="preserve"> for a longer duration (5</w:t>
      </w:r>
      <w:r>
        <w:t>–</w:t>
      </w:r>
      <w:r w:rsidRPr="008A51EB">
        <w:t>10+ hours) (38.7%) compared to the Young and Well cohort (20.1%)</w:t>
      </w:r>
    </w:p>
    <w:p w14:paraId="438F4B19" w14:textId="77777777" w:rsidR="0033663C" w:rsidRPr="008A51EB" w:rsidRDefault="0033663C" w:rsidP="0033663C">
      <w:pPr>
        <w:pStyle w:val="ShadedDash"/>
      </w:pPr>
      <w:r>
        <w:tab/>
        <w:t>–</w:t>
      </w:r>
      <w:r>
        <w:tab/>
        <w:t>t</w:t>
      </w:r>
      <w:r w:rsidRPr="008A51EB">
        <w:t>he Transitioned ADF</w:t>
      </w:r>
      <w:r>
        <w:t xml:space="preserve"> young adults</w:t>
      </w:r>
      <w:r w:rsidRPr="008A51EB">
        <w:t xml:space="preserve"> (50.1%) were significantly less likely to use the </w:t>
      </w:r>
      <w:r>
        <w:t>internet</w:t>
      </w:r>
      <w:r w:rsidRPr="008A51EB">
        <w:t xml:space="preserve"> after 11</w:t>
      </w:r>
      <w:r>
        <w:t xml:space="preserve"> pm</w:t>
      </w:r>
      <w:r w:rsidRPr="008A51EB">
        <w:t xml:space="preserve"> compared to the Young and Well cohort (70.7%).</w:t>
      </w:r>
    </w:p>
    <w:p w14:paraId="02A0692C" w14:textId="77777777" w:rsidR="00513700" w:rsidRDefault="00513700" w:rsidP="00466837">
      <w:pPr>
        <w:pStyle w:val="ShadedBoxText"/>
      </w:pPr>
      <w:r w:rsidRPr="00D4741B">
        <w:rPr>
          <w:b/>
        </w:rPr>
        <w:t>Glossary:</w:t>
      </w:r>
      <w:r w:rsidRPr="00D4741B">
        <w:t xml:space="preserve"> refer to the </w:t>
      </w:r>
      <w:r w:rsidRPr="00104D02">
        <w:t>Glossary</w:t>
      </w:r>
      <w:r w:rsidRPr="00D4741B">
        <w:t xml:space="preserve"> of terms for definitions of key terms.</w:t>
      </w:r>
    </w:p>
    <w:p w14:paraId="30FEB20A" w14:textId="7AF65CF8" w:rsidR="0033663C" w:rsidRPr="003328F3" w:rsidRDefault="0033663C" w:rsidP="0033663C">
      <w:pPr>
        <w:rPr>
          <w:rFonts w:cs="Calibri"/>
        </w:rPr>
      </w:pPr>
      <w:r w:rsidRPr="003328F3">
        <w:rPr>
          <w:rFonts w:cs="Calibri"/>
        </w:rPr>
        <w:t xml:space="preserve">This chapter compares technology use in the youngest age cohort of Transitioned ADF members (those aged </w:t>
      </w:r>
      <w:r>
        <w:rPr>
          <w:rFonts w:cs="Calibri"/>
        </w:rPr>
        <w:t>18–25</w:t>
      </w:r>
      <w:r w:rsidRPr="003328F3">
        <w:rPr>
          <w:rFonts w:cs="Calibri"/>
        </w:rPr>
        <w:t xml:space="preserve">) with an Australian community sample of males and females aged 18 to 25 who participated in the 2012 Young and Well National Survey (Young and Well </w:t>
      </w:r>
      <w:r w:rsidR="00AC7A7B">
        <w:rPr>
          <w:rFonts w:cs="Calibri"/>
        </w:rPr>
        <w:t>c</w:t>
      </w:r>
      <w:r w:rsidRPr="003328F3">
        <w:rPr>
          <w:rFonts w:cs="Calibri"/>
        </w:rPr>
        <w:t>ohort).</w:t>
      </w:r>
      <w:r>
        <w:rPr>
          <w:rFonts w:cs="Calibri"/>
        </w:rPr>
        <w:t xml:space="preserve"> Comparing two different time points presents major methodological difficulties given how rapidly the use of technologies has evolved, </w:t>
      </w:r>
      <w:r w:rsidRPr="00622F45">
        <w:rPr>
          <w:rFonts w:cs="Calibri"/>
        </w:rPr>
        <w:t>and therefore results should be interpreted with caution</w:t>
      </w:r>
      <w:r>
        <w:rPr>
          <w:rFonts w:cs="Calibri"/>
        </w:rPr>
        <w:t>.</w:t>
      </w:r>
    </w:p>
    <w:p w14:paraId="3600E9B3" w14:textId="77777777" w:rsidR="0033663C" w:rsidRPr="008A51EB" w:rsidRDefault="0033663C" w:rsidP="0033663C">
      <w:pPr>
        <w:pStyle w:val="Heading2"/>
        <w:numPr>
          <w:ilvl w:val="1"/>
          <w:numId w:val="1"/>
        </w:numPr>
        <w:ind w:left="720" w:hanging="720"/>
      </w:pPr>
      <w:bookmarkStart w:id="1102" w:name="_Toc387565409"/>
      <w:bookmarkStart w:id="1103" w:name="_Toc515374560"/>
      <w:bookmarkStart w:id="1104" w:name="_Toc518566454"/>
      <w:bookmarkStart w:id="1105" w:name="_Toc528932732"/>
      <w:bookmarkStart w:id="1106" w:name="_Toc531859269"/>
      <w:r w:rsidRPr="008A51EB">
        <w:t>Young and Well National Survey (2012)</w:t>
      </w:r>
      <w:bookmarkEnd w:id="1102"/>
      <w:bookmarkEnd w:id="1103"/>
      <w:bookmarkEnd w:id="1104"/>
      <w:bookmarkEnd w:id="1105"/>
      <w:bookmarkEnd w:id="1106"/>
      <w:r w:rsidRPr="008A51EB">
        <w:t xml:space="preserve"> </w:t>
      </w:r>
    </w:p>
    <w:p w14:paraId="5C12371E" w14:textId="77777777" w:rsidR="0033663C" w:rsidRPr="003328F3" w:rsidRDefault="0033663C" w:rsidP="0033663C">
      <w:pPr>
        <w:widowControl w:val="0"/>
        <w:autoSpaceDE w:val="0"/>
        <w:autoSpaceDN w:val="0"/>
        <w:adjustRightInd w:val="0"/>
        <w:rPr>
          <w:rFonts w:asciiTheme="minorHAnsi" w:hAnsiTheme="minorHAnsi" w:cs="Times"/>
          <w:szCs w:val="22"/>
          <w:lang w:val="en-GB"/>
        </w:rPr>
      </w:pPr>
      <w:r w:rsidRPr="003328F3">
        <w:rPr>
          <w:rFonts w:asciiTheme="minorHAnsi" w:hAnsiTheme="minorHAnsi" w:cs="Times"/>
          <w:szCs w:val="22"/>
          <w:lang w:val="en-GB"/>
        </w:rPr>
        <w:t xml:space="preserve">The Young and Well National Surveys aim to assess young people’s use of technologies, as well as their overall health and wellbeing. The 2012 survey included questions relating to demographics, general health, mental health and wellbeing, health perceptions of Australian youth, use of the </w:t>
      </w:r>
      <w:r>
        <w:rPr>
          <w:rFonts w:asciiTheme="minorHAnsi" w:hAnsiTheme="minorHAnsi" w:cs="Times"/>
          <w:szCs w:val="22"/>
          <w:lang w:val="en-GB"/>
        </w:rPr>
        <w:t>internet</w:t>
      </w:r>
      <w:r w:rsidRPr="003328F3">
        <w:rPr>
          <w:rFonts w:asciiTheme="minorHAnsi" w:hAnsiTheme="minorHAnsi" w:cs="Times"/>
          <w:szCs w:val="22"/>
          <w:lang w:val="en-GB"/>
        </w:rPr>
        <w:t>, online and communication risks, digital literacy and safety skills.</w:t>
      </w:r>
    </w:p>
    <w:p w14:paraId="41D9517D" w14:textId="77777777" w:rsidR="0033663C" w:rsidRPr="003328F3" w:rsidRDefault="0033663C" w:rsidP="0033663C">
      <w:pPr>
        <w:widowControl w:val="0"/>
        <w:autoSpaceDE w:val="0"/>
        <w:autoSpaceDN w:val="0"/>
        <w:adjustRightInd w:val="0"/>
        <w:rPr>
          <w:rFonts w:asciiTheme="minorHAnsi" w:hAnsiTheme="minorHAnsi" w:cs="Times"/>
          <w:szCs w:val="22"/>
          <w:lang w:val="en-GB"/>
        </w:rPr>
      </w:pPr>
      <w:r w:rsidRPr="003328F3">
        <w:rPr>
          <w:rFonts w:asciiTheme="minorHAnsi" w:hAnsiTheme="minorHAnsi" w:cs="Times"/>
          <w:szCs w:val="22"/>
          <w:lang w:val="en-GB"/>
        </w:rPr>
        <w:t>A cross</w:t>
      </w:r>
      <w:r>
        <w:rPr>
          <w:rFonts w:asciiTheme="minorHAnsi" w:hAnsiTheme="minorHAnsi" w:cs="Times"/>
          <w:szCs w:val="22"/>
          <w:lang w:val="en-GB"/>
        </w:rPr>
        <w:t>-</w:t>
      </w:r>
      <w:r w:rsidRPr="003328F3">
        <w:rPr>
          <w:rFonts w:asciiTheme="minorHAnsi" w:hAnsiTheme="minorHAnsi" w:cs="Times"/>
          <w:szCs w:val="22"/>
          <w:lang w:val="en-GB"/>
        </w:rPr>
        <w:t>sectional computer</w:t>
      </w:r>
      <w:r>
        <w:rPr>
          <w:rFonts w:asciiTheme="minorHAnsi" w:hAnsiTheme="minorHAnsi" w:cs="Times"/>
          <w:szCs w:val="22"/>
          <w:lang w:val="en-GB"/>
        </w:rPr>
        <w:t>-</w:t>
      </w:r>
      <w:r w:rsidRPr="003328F3">
        <w:rPr>
          <w:rFonts w:asciiTheme="minorHAnsi" w:hAnsiTheme="minorHAnsi" w:cs="Times"/>
          <w:szCs w:val="22"/>
          <w:lang w:val="en-GB"/>
        </w:rPr>
        <w:t>assisted telephone interview (CATI) methodology was used to conduct a survey of 1400 participants across Australia. Participants were randomly selected using random</w:t>
      </w:r>
      <w:r>
        <w:rPr>
          <w:rFonts w:asciiTheme="minorHAnsi" w:hAnsiTheme="minorHAnsi" w:cs="Times"/>
          <w:szCs w:val="22"/>
          <w:lang w:val="en-GB"/>
        </w:rPr>
        <w:t>-</w:t>
      </w:r>
      <w:r w:rsidRPr="003328F3">
        <w:rPr>
          <w:rFonts w:asciiTheme="minorHAnsi" w:hAnsiTheme="minorHAnsi" w:cs="Times"/>
          <w:szCs w:val="22"/>
          <w:lang w:val="en-GB"/>
        </w:rPr>
        <w:t>digit dialling. Participants included 700 young men and 700 young women aged</w:t>
      </w:r>
      <w:r>
        <w:rPr>
          <w:rFonts w:asciiTheme="minorHAnsi" w:hAnsiTheme="minorHAnsi" w:cs="Times"/>
          <w:szCs w:val="22"/>
          <w:lang w:val="en-GB"/>
        </w:rPr>
        <w:t xml:space="preserve"> between 16 and</w:t>
      </w:r>
      <w:r w:rsidRPr="003328F3">
        <w:rPr>
          <w:rFonts w:asciiTheme="minorHAnsi" w:hAnsiTheme="minorHAnsi" w:cs="Times"/>
          <w:szCs w:val="22"/>
          <w:lang w:val="en-GB"/>
        </w:rPr>
        <w:t xml:space="preserve"> 25 years (with existing protocols for telephone interviews with people aged below 18 years of age used). Participants were excluded if they had English language difficulties or if they were uncomfortable with the interview being conducted in English. Depending on participant responses, the survey took</w:t>
      </w:r>
      <w:r>
        <w:rPr>
          <w:rFonts w:asciiTheme="minorHAnsi" w:hAnsiTheme="minorHAnsi" w:cs="Times"/>
          <w:szCs w:val="22"/>
          <w:lang w:val="en-GB"/>
        </w:rPr>
        <w:t xml:space="preserve"> between 10 and</w:t>
      </w:r>
      <w:r w:rsidRPr="003328F3">
        <w:rPr>
          <w:rFonts w:asciiTheme="minorHAnsi" w:hAnsiTheme="minorHAnsi" w:cs="Times"/>
          <w:szCs w:val="22"/>
          <w:lang w:val="en-GB"/>
        </w:rPr>
        <w:t xml:space="preserve"> 20 minutes to complete.</w:t>
      </w:r>
    </w:p>
    <w:p w14:paraId="49180F36" w14:textId="77777777" w:rsidR="0033663C" w:rsidRPr="003328F3" w:rsidRDefault="0033663C" w:rsidP="0033663C">
      <w:pPr>
        <w:widowControl w:val="0"/>
        <w:autoSpaceDE w:val="0"/>
        <w:autoSpaceDN w:val="0"/>
        <w:adjustRightInd w:val="0"/>
      </w:pPr>
      <w:r w:rsidRPr="003328F3">
        <w:rPr>
          <w:rFonts w:asciiTheme="minorHAnsi" w:hAnsiTheme="minorHAnsi" w:cs="Times"/>
          <w:szCs w:val="22"/>
          <w:lang w:val="en-GB"/>
        </w:rPr>
        <w:t xml:space="preserve">Stratification ensured that the sample was representative of the </w:t>
      </w:r>
      <w:r>
        <w:rPr>
          <w:rFonts w:asciiTheme="minorHAnsi" w:hAnsiTheme="minorHAnsi" w:cs="Times"/>
          <w:szCs w:val="22"/>
          <w:lang w:val="en-GB"/>
        </w:rPr>
        <w:t xml:space="preserve">broader </w:t>
      </w:r>
      <w:r w:rsidRPr="003328F3">
        <w:rPr>
          <w:rFonts w:asciiTheme="minorHAnsi" w:hAnsiTheme="minorHAnsi" w:cs="Times"/>
          <w:szCs w:val="22"/>
          <w:lang w:val="en-GB"/>
        </w:rPr>
        <w:t xml:space="preserve">population in terms of age, gender and geographic location across all Australian states by selecting respondents to match the current Australian Bureau of Statistics records for age, gender and geographic location (see abs.gov.au). While the survey was designed by the investigators, the telephone interviews were conducted by an independent company, The Social Research Centre (Melbourne, Victoria). </w:t>
      </w:r>
      <w:r w:rsidRPr="003328F3">
        <w:t>Ethical approval was obtained through the University of Sydney’s Human Research Ethics Committee.</w:t>
      </w:r>
    </w:p>
    <w:p w14:paraId="3B0C6C8D" w14:textId="77777777" w:rsidR="0033663C" w:rsidRPr="008A51EB" w:rsidRDefault="0033663C" w:rsidP="0033663C">
      <w:pPr>
        <w:rPr>
          <w:lang w:eastAsia="en-AU"/>
        </w:rPr>
      </w:pPr>
      <w:r w:rsidRPr="003328F3">
        <w:t xml:space="preserve">The survey included a total of 43 items, classified into </w:t>
      </w:r>
      <w:r>
        <w:t xml:space="preserve">seven </w:t>
      </w:r>
      <w:r w:rsidRPr="003328F3">
        <w:t xml:space="preserve">modules, including scoping demographics, demographics, general health and wellbeing including psychological distress, health, happiness and resilience, health perceptions, eating behaviours and body image, and </w:t>
      </w:r>
      <w:r>
        <w:t>internet</w:t>
      </w:r>
      <w:r w:rsidRPr="003328F3">
        <w:t xml:space="preserve"> use. </w:t>
      </w:r>
    </w:p>
    <w:p w14:paraId="66AD2035" w14:textId="77777777" w:rsidR="0033663C" w:rsidRPr="008A51EB" w:rsidRDefault="0033663C" w:rsidP="0033663C">
      <w:pPr>
        <w:pStyle w:val="Heading2"/>
        <w:numPr>
          <w:ilvl w:val="1"/>
          <w:numId w:val="1"/>
        </w:numPr>
        <w:ind w:left="720" w:hanging="720"/>
      </w:pPr>
      <w:bookmarkStart w:id="1107" w:name="_Toc387565410"/>
      <w:bookmarkStart w:id="1108" w:name="_Toc515374561"/>
      <w:bookmarkStart w:id="1109" w:name="_Toc518566455"/>
      <w:bookmarkStart w:id="1110" w:name="_Toc528932733"/>
      <w:bookmarkStart w:id="1111" w:name="_Toc531859270"/>
      <w:r w:rsidRPr="008A51EB">
        <w:t>Standardisation methods</w:t>
      </w:r>
      <w:bookmarkEnd w:id="1107"/>
      <w:bookmarkEnd w:id="1108"/>
      <w:bookmarkEnd w:id="1109"/>
      <w:bookmarkEnd w:id="1110"/>
      <w:bookmarkEnd w:id="1111"/>
    </w:p>
    <w:p w14:paraId="1AB979EE" w14:textId="6E1E0476" w:rsidR="0033663C" w:rsidRPr="003328F3" w:rsidRDefault="0033663C" w:rsidP="0033663C">
      <w:r w:rsidRPr="003328F3">
        <w:t xml:space="preserve">To compare technology use estimates in the </w:t>
      </w:r>
      <w:r>
        <w:t>T</w:t>
      </w:r>
      <w:r w:rsidRPr="003328F3">
        <w:t>ransition</w:t>
      </w:r>
      <w:r>
        <w:t>ed</w:t>
      </w:r>
      <w:r w:rsidRPr="003328F3">
        <w:t xml:space="preserve"> </w:t>
      </w:r>
      <w:r>
        <w:t xml:space="preserve">ADF </w:t>
      </w:r>
      <w:r w:rsidRPr="003328F3">
        <w:t xml:space="preserve">population with an Australian community sample, direct standardisation was applied to estimates within the 2012 Young and Well National Survey data. </w:t>
      </w:r>
      <w:r w:rsidRPr="003328F3">
        <w:rPr>
          <w:rFonts w:cs="Calibri"/>
          <w:lang w:eastAsia="en-AU"/>
        </w:rPr>
        <w:t xml:space="preserve">For comparability, </w:t>
      </w:r>
      <w:r>
        <w:rPr>
          <w:rFonts w:cs="Calibri"/>
          <w:lang w:eastAsia="en-AU"/>
        </w:rPr>
        <w:t xml:space="preserve">only </w:t>
      </w:r>
      <w:r w:rsidRPr="003328F3">
        <w:rPr>
          <w:rFonts w:cs="Calibri"/>
          <w:lang w:eastAsia="en-AU"/>
        </w:rPr>
        <w:t>participants from both the Transitio</w:t>
      </w:r>
      <w:r>
        <w:rPr>
          <w:rFonts w:cs="Calibri"/>
          <w:lang w:eastAsia="en-AU"/>
        </w:rPr>
        <w:t>ned ADF and the Young and Well Study who were aged between 18 and</w:t>
      </w:r>
      <w:r w:rsidRPr="003328F3">
        <w:rPr>
          <w:rFonts w:cs="Calibri"/>
          <w:lang w:eastAsia="en-AU"/>
        </w:rPr>
        <w:t xml:space="preserve"> 25 years</w:t>
      </w:r>
      <w:r>
        <w:rPr>
          <w:rFonts w:cs="Calibri"/>
          <w:lang w:eastAsia="en-AU"/>
        </w:rPr>
        <w:t xml:space="preserve"> were included</w:t>
      </w:r>
      <w:r w:rsidRPr="003328F3">
        <w:rPr>
          <w:rFonts w:cs="Calibri"/>
          <w:lang w:eastAsia="en-AU"/>
        </w:rPr>
        <w:t>. This limited the number of Transitioned ADF participants to 426, which resulted in a weighted sample of 2630. The Young and Well cohort w</w:t>
      </w:r>
      <w:r w:rsidR="0056753C">
        <w:rPr>
          <w:rFonts w:cs="Calibri"/>
          <w:lang w:eastAsia="en-AU"/>
        </w:rPr>
        <w:t>as</w:t>
      </w:r>
      <w:r w:rsidRPr="003328F3">
        <w:rPr>
          <w:rFonts w:cs="Calibri"/>
          <w:lang w:eastAsia="en-AU"/>
        </w:rPr>
        <w:t xml:space="preserve"> limited to an unweighted sample of 1123. </w:t>
      </w:r>
      <w:r w:rsidRPr="003328F3">
        <w:t>The Young and Well data were standardised by sex (male or female), employment status (employed or not) and age category (18</w:t>
      </w:r>
      <w:r>
        <w:t>–</w:t>
      </w:r>
      <w:r w:rsidRPr="003328F3">
        <w:t>21 or 22</w:t>
      </w:r>
      <w:r>
        <w:t>–</w:t>
      </w:r>
      <w:r w:rsidRPr="003328F3">
        <w:t xml:space="preserve">25), and estimates were generated on the outcomes of interest. </w:t>
      </w:r>
    </w:p>
    <w:p w14:paraId="58876FC8" w14:textId="77777777" w:rsidR="0033663C" w:rsidRPr="00B46248" w:rsidRDefault="0033663C" w:rsidP="0033663C">
      <w:r w:rsidRPr="003328F3">
        <w:t xml:space="preserve">These standardised rates are not the true rates in the Young and Well sample, but are hypothetical rates that would have been observed if this group had the same age, sex and employment distribution as the Transitioned ADF young adult population. These standardised rates take into account any differences in the age, sex and employment structure of the two populations. Thus, when comparing the two populations using standardised rates, any remaining differences between </w:t>
      </w:r>
      <w:r w:rsidRPr="00B46248">
        <w:t>them cannot be attributed to confounding by these three demographic factors.</w:t>
      </w:r>
    </w:p>
    <w:p w14:paraId="5ED84111" w14:textId="77777777" w:rsidR="0033663C" w:rsidRPr="00B46248" w:rsidRDefault="0033663C" w:rsidP="0033663C">
      <w:r w:rsidRPr="00B46248">
        <w:t>Significant differences were determined by calculating confidence intervals on the difference in proportions. If the confidence interval spanned zero, the difference in proportions was considered not significant.</w:t>
      </w:r>
    </w:p>
    <w:p w14:paraId="29451B38" w14:textId="77777777" w:rsidR="0033663C" w:rsidRPr="008A51EB" w:rsidRDefault="0033663C" w:rsidP="0033663C">
      <w:pPr>
        <w:pStyle w:val="Heading2"/>
        <w:numPr>
          <w:ilvl w:val="1"/>
          <w:numId w:val="1"/>
        </w:numPr>
        <w:ind w:left="720" w:hanging="720"/>
      </w:pPr>
      <w:bookmarkStart w:id="1112" w:name="_Toc515374562"/>
      <w:bookmarkStart w:id="1113" w:name="_Toc518566456"/>
      <w:bookmarkStart w:id="1114" w:name="_Toc528932734"/>
      <w:bookmarkStart w:id="1115" w:name="_Toc531859271"/>
      <w:r w:rsidRPr="008A51EB">
        <w:t>Comparisons performed in this chapter</w:t>
      </w:r>
      <w:bookmarkEnd w:id="1112"/>
      <w:bookmarkEnd w:id="1113"/>
      <w:bookmarkEnd w:id="1114"/>
      <w:bookmarkEnd w:id="1115"/>
    </w:p>
    <w:p w14:paraId="5B31F85A" w14:textId="77777777" w:rsidR="0033663C" w:rsidRPr="003328F3" w:rsidRDefault="0033663C" w:rsidP="0033663C">
      <w:pPr>
        <w:rPr>
          <w:rFonts w:cs="Calibri"/>
        </w:rPr>
      </w:pPr>
      <w:r w:rsidRPr="003328F3">
        <w:rPr>
          <w:rFonts w:cs="Calibri"/>
        </w:rPr>
        <w:t xml:space="preserve">For the purpose of this chapter, mean differences in proportions between young adults in the Transitioned ADF and the Young and Well cohort were limited to the following questions from the Mental Health and Wellbeing Transition </w:t>
      </w:r>
      <w:r>
        <w:rPr>
          <w:rFonts w:cs="Calibri"/>
        </w:rPr>
        <w:t xml:space="preserve">survey </w:t>
      </w:r>
      <w:r w:rsidRPr="003328F3">
        <w:rPr>
          <w:rFonts w:cs="Calibri"/>
        </w:rPr>
        <w:t xml:space="preserve">which were comparable with the Young and Well </w:t>
      </w:r>
      <w:r>
        <w:rPr>
          <w:rFonts w:cs="Calibri"/>
        </w:rPr>
        <w:t>survey</w:t>
      </w:r>
      <w:r w:rsidRPr="003328F3">
        <w:rPr>
          <w:rFonts w:cs="Calibri"/>
        </w:rPr>
        <w:t>:</w:t>
      </w:r>
    </w:p>
    <w:p w14:paraId="271179B3" w14:textId="77777777" w:rsidR="0033663C" w:rsidRPr="0082337E" w:rsidRDefault="0033663C" w:rsidP="0033663C">
      <w:pPr>
        <w:pStyle w:val="Bullet"/>
        <w:numPr>
          <w:ilvl w:val="0"/>
          <w:numId w:val="3"/>
        </w:numPr>
        <w:ind w:left="360"/>
        <w:rPr>
          <w:rFonts w:eastAsia="Times New Roman" w:cs="Calibri"/>
          <w:lang w:eastAsia="en-AU"/>
        </w:rPr>
      </w:pPr>
      <w:r w:rsidRPr="0082337E">
        <w:t xml:space="preserve">How often do you use the </w:t>
      </w:r>
      <w:r>
        <w:t>internet</w:t>
      </w:r>
      <w:r w:rsidRPr="0082337E">
        <w:rPr>
          <w:rFonts w:eastAsia="Times New Roman" w:cs="Calibri"/>
          <w:lang w:eastAsia="en-AU"/>
        </w:rPr>
        <w:t>?</w:t>
      </w:r>
    </w:p>
    <w:p w14:paraId="64769C2B" w14:textId="77777777" w:rsidR="0033663C" w:rsidRPr="0082337E" w:rsidRDefault="0033663C" w:rsidP="0033663C">
      <w:pPr>
        <w:pStyle w:val="Bullet"/>
        <w:numPr>
          <w:ilvl w:val="0"/>
          <w:numId w:val="3"/>
        </w:numPr>
        <w:ind w:left="360"/>
        <w:rPr>
          <w:lang w:eastAsia="en-AU"/>
        </w:rPr>
      </w:pPr>
      <w:r w:rsidRPr="0082337E">
        <w:rPr>
          <w:lang w:eastAsia="en-AU"/>
        </w:rPr>
        <w:t xml:space="preserve">Approximately how much time would you spend using the </w:t>
      </w:r>
      <w:r>
        <w:rPr>
          <w:lang w:eastAsia="en-AU"/>
        </w:rPr>
        <w:t>internet</w:t>
      </w:r>
      <w:r w:rsidRPr="0082337E">
        <w:rPr>
          <w:lang w:eastAsia="en-AU"/>
        </w:rPr>
        <w:t xml:space="preserve"> on a normal work day</w:t>
      </w:r>
      <w:r w:rsidRPr="0082337E">
        <w:t>?</w:t>
      </w:r>
    </w:p>
    <w:p w14:paraId="35521D26" w14:textId="77777777" w:rsidR="0033663C" w:rsidRPr="0082337E" w:rsidRDefault="0033663C" w:rsidP="0033663C">
      <w:pPr>
        <w:pStyle w:val="Bullet"/>
        <w:numPr>
          <w:ilvl w:val="0"/>
          <w:numId w:val="3"/>
        </w:numPr>
        <w:ind w:left="360"/>
        <w:rPr>
          <w:rFonts w:eastAsia="Times New Roman" w:cs="Calibri"/>
          <w:lang w:eastAsia="en-AU"/>
        </w:rPr>
      </w:pPr>
      <w:r w:rsidRPr="0082337E">
        <w:t xml:space="preserve">Do you use the </w:t>
      </w:r>
      <w:r>
        <w:t>internet</w:t>
      </w:r>
      <w:r w:rsidRPr="0082337E">
        <w:t xml:space="preserve"> after </w:t>
      </w:r>
      <w:r>
        <w:t>11 pm</w:t>
      </w:r>
      <w:r w:rsidRPr="0082337E">
        <w:t xml:space="preserve"> at night?</w:t>
      </w:r>
    </w:p>
    <w:p w14:paraId="2A351A7D" w14:textId="77777777" w:rsidR="0033663C" w:rsidRPr="0082337E" w:rsidRDefault="0033663C" w:rsidP="0033663C">
      <w:pPr>
        <w:pStyle w:val="Bullet"/>
        <w:numPr>
          <w:ilvl w:val="0"/>
          <w:numId w:val="3"/>
        </w:numPr>
        <w:ind w:left="360"/>
        <w:rPr>
          <w:rFonts w:eastAsia="Times New Roman" w:cs="Calibri"/>
          <w:lang w:eastAsia="en-AU"/>
        </w:rPr>
      </w:pPr>
      <w:r w:rsidRPr="0082337E">
        <w:t xml:space="preserve">Do you use the </w:t>
      </w:r>
      <w:r>
        <w:t>internet</w:t>
      </w:r>
      <w:r w:rsidRPr="0082337E">
        <w:t xml:space="preserve"> to seek help or information for, o</w:t>
      </w:r>
      <w:r>
        <w:t xml:space="preserve">r manage, mental health issues? </w:t>
      </w:r>
      <w:r w:rsidRPr="0082337E">
        <w:t>And of those responding ‘yes’:</w:t>
      </w:r>
    </w:p>
    <w:p w14:paraId="52460586" w14:textId="77777777" w:rsidR="0033663C" w:rsidRPr="0082337E" w:rsidRDefault="0033663C" w:rsidP="00103AB1">
      <w:pPr>
        <w:pStyle w:val="Dash"/>
        <w:spacing w:after="120"/>
        <w:rPr>
          <w:lang w:eastAsia="en-AU"/>
        </w:rPr>
      </w:pPr>
      <w:r w:rsidRPr="0082337E">
        <w:rPr>
          <w:lang w:eastAsia="en-AU"/>
        </w:rPr>
        <w:t xml:space="preserve">By using the </w:t>
      </w:r>
      <w:r>
        <w:rPr>
          <w:lang w:eastAsia="en-AU"/>
        </w:rPr>
        <w:t>internet</w:t>
      </w:r>
      <w:r w:rsidRPr="0082337E">
        <w:rPr>
          <w:lang w:eastAsia="en-AU"/>
        </w:rPr>
        <w:t xml:space="preserve">, did you get the kind of information you needed in relation to mental health? </w:t>
      </w:r>
    </w:p>
    <w:p w14:paraId="634ED6E5" w14:textId="77777777" w:rsidR="0033663C" w:rsidRPr="0082337E" w:rsidRDefault="0033663C" w:rsidP="00103AB1">
      <w:pPr>
        <w:pStyle w:val="Dash"/>
        <w:spacing w:after="120"/>
        <w:rPr>
          <w:lang w:eastAsia="en-AU"/>
        </w:rPr>
      </w:pPr>
      <w:r w:rsidRPr="0082337E">
        <w:rPr>
          <w:lang w:eastAsia="en-AU"/>
        </w:rPr>
        <w:t xml:space="preserve">Did the </w:t>
      </w:r>
      <w:r>
        <w:rPr>
          <w:lang w:eastAsia="en-AU"/>
        </w:rPr>
        <w:t>internet</w:t>
      </w:r>
      <w:r w:rsidRPr="0082337E">
        <w:rPr>
          <w:lang w:eastAsia="en-AU"/>
        </w:rPr>
        <w:t xml:space="preserve"> help you deal more effectively with </w:t>
      </w:r>
      <w:r>
        <w:rPr>
          <w:lang w:eastAsia="en-AU"/>
        </w:rPr>
        <w:t xml:space="preserve">the </w:t>
      </w:r>
      <w:r w:rsidRPr="0082337E">
        <w:rPr>
          <w:lang w:eastAsia="en-AU"/>
        </w:rPr>
        <w:t>mental health problem?</w:t>
      </w:r>
      <w:r>
        <w:rPr>
          <w:lang w:eastAsia="en-AU"/>
        </w:rPr>
        <w:t xml:space="preserve"> </w:t>
      </w:r>
    </w:p>
    <w:p w14:paraId="6296FAA3" w14:textId="77777777" w:rsidR="0033663C" w:rsidRPr="0082337E" w:rsidRDefault="0033663C" w:rsidP="0033663C">
      <w:pPr>
        <w:pStyle w:val="Dash"/>
        <w:rPr>
          <w:lang w:eastAsia="en-AU"/>
        </w:rPr>
      </w:pPr>
      <w:r w:rsidRPr="0082337E">
        <w:rPr>
          <w:lang w:eastAsia="en-AU"/>
        </w:rPr>
        <w:t xml:space="preserve">Overall, how satisfied were you with the information you received on the </w:t>
      </w:r>
      <w:r>
        <w:rPr>
          <w:lang w:eastAsia="en-AU"/>
        </w:rPr>
        <w:t>internet</w:t>
      </w:r>
      <w:r w:rsidRPr="0082337E">
        <w:rPr>
          <w:lang w:eastAsia="en-AU"/>
        </w:rPr>
        <w:t xml:space="preserve"> in relation to mental health? </w:t>
      </w:r>
    </w:p>
    <w:p w14:paraId="551A2B30" w14:textId="3F4A632F" w:rsidR="0033663C" w:rsidRPr="003328F3" w:rsidRDefault="0033663C" w:rsidP="0033663C">
      <w:pPr>
        <w:rPr>
          <w:rFonts w:asciiTheme="minorHAnsi" w:hAnsiTheme="minorHAnsi"/>
          <w:szCs w:val="22"/>
          <w:lang w:val="en-US"/>
        </w:rPr>
      </w:pPr>
      <w:r w:rsidRPr="003328F3">
        <w:rPr>
          <w:rFonts w:asciiTheme="minorHAnsi" w:hAnsiTheme="minorHAnsi"/>
          <w:szCs w:val="22"/>
          <w:lang w:val="en-US"/>
        </w:rPr>
        <w:t xml:space="preserve">In order to ascertain </w:t>
      </w:r>
      <w:r>
        <w:rPr>
          <w:rFonts w:asciiTheme="minorHAnsi" w:hAnsiTheme="minorHAnsi"/>
          <w:szCs w:val="22"/>
          <w:lang w:val="en-US"/>
        </w:rPr>
        <w:t>whether</w:t>
      </w:r>
      <w:r w:rsidRPr="003328F3">
        <w:rPr>
          <w:rFonts w:asciiTheme="minorHAnsi" w:hAnsiTheme="minorHAnsi"/>
          <w:szCs w:val="22"/>
          <w:lang w:val="en-US"/>
        </w:rPr>
        <w:t xml:space="preserve"> technol</w:t>
      </w:r>
      <w:r>
        <w:rPr>
          <w:rFonts w:asciiTheme="minorHAnsi" w:hAnsiTheme="minorHAnsi"/>
          <w:szCs w:val="22"/>
          <w:lang w:val="en-US"/>
        </w:rPr>
        <w:t xml:space="preserve">ogy use in young adults in the </w:t>
      </w:r>
      <w:r w:rsidRPr="003328F3">
        <w:rPr>
          <w:rFonts w:asciiTheme="minorHAnsi" w:hAnsiTheme="minorHAnsi"/>
          <w:szCs w:val="22"/>
          <w:lang w:val="en-US"/>
        </w:rPr>
        <w:t xml:space="preserve">Transitioned ADF and in </w:t>
      </w:r>
      <w:r>
        <w:rPr>
          <w:rFonts w:asciiTheme="minorHAnsi" w:hAnsiTheme="minorHAnsi"/>
          <w:szCs w:val="22"/>
          <w:lang w:val="en-US"/>
        </w:rPr>
        <w:t>the Australian community differed</w:t>
      </w:r>
      <w:r w:rsidRPr="003328F3">
        <w:rPr>
          <w:rFonts w:asciiTheme="minorHAnsi" w:hAnsiTheme="minorHAnsi"/>
          <w:szCs w:val="22"/>
          <w:lang w:val="en-US"/>
        </w:rPr>
        <w:t xml:space="preserve"> according to one’s level of psychological distress, frequency</w:t>
      </w:r>
      <w:r>
        <w:rPr>
          <w:rFonts w:asciiTheme="minorHAnsi" w:hAnsiTheme="minorHAnsi"/>
          <w:szCs w:val="22"/>
          <w:lang w:val="en-US"/>
        </w:rPr>
        <w:t xml:space="preserve"> of internet use</w:t>
      </w:r>
      <w:r w:rsidRPr="003328F3">
        <w:rPr>
          <w:rFonts w:asciiTheme="minorHAnsi" w:hAnsiTheme="minorHAnsi"/>
          <w:szCs w:val="22"/>
          <w:lang w:val="en-US"/>
        </w:rPr>
        <w:t>, duration</w:t>
      </w:r>
      <w:r>
        <w:rPr>
          <w:rFonts w:asciiTheme="minorHAnsi" w:hAnsiTheme="minorHAnsi"/>
          <w:szCs w:val="22"/>
          <w:lang w:val="en-US"/>
        </w:rPr>
        <w:t xml:space="preserve"> of internet use</w:t>
      </w:r>
      <w:r w:rsidRPr="003328F3">
        <w:rPr>
          <w:rFonts w:asciiTheme="minorHAnsi" w:hAnsiTheme="minorHAnsi"/>
          <w:szCs w:val="22"/>
          <w:lang w:val="en-US"/>
        </w:rPr>
        <w:t xml:space="preserve">, </w:t>
      </w:r>
      <w:r>
        <w:rPr>
          <w:rFonts w:asciiTheme="minorHAnsi" w:hAnsiTheme="minorHAnsi"/>
          <w:szCs w:val="22"/>
          <w:lang w:val="en-US"/>
        </w:rPr>
        <w:t>internet</w:t>
      </w:r>
      <w:r w:rsidRPr="003328F3">
        <w:rPr>
          <w:rFonts w:asciiTheme="minorHAnsi" w:hAnsiTheme="minorHAnsi"/>
          <w:szCs w:val="22"/>
          <w:lang w:val="en-US"/>
        </w:rPr>
        <w:t xml:space="preserve"> use after 11</w:t>
      </w:r>
      <w:r>
        <w:rPr>
          <w:rFonts w:asciiTheme="minorHAnsi" w:hAnsiTheme="minorHAnsi"/>
          <w:szCs w:val="22"/>
          <w:lang w:val="en-US"/>
        </w:rPr>
        <w:t xml:space="preserve"> pm</w:t>
      </w:r>
      <w:r w:rsidRPr="003328F3">
        <w:rPr>
          <w:rFonts w:asciiTheme="minorHAnsi" w:hAnsiTheme="minorHAnsi"/>
          <w:szCs w:val="22"/>
          <w:lang w:val="en-US"/>
        </w:rPr>
        <w:t xml:space="preserve"> and use of the </w:t>
      </w:r>
      <w:r>
        <w:rPr>
          <w:rFonts w:asciiTheme="minorHAnsi" w:hAnsiTheme="minorHAnsi"/>
          <w:szCs w:val="22"/>
          <w:lang w:val="en-US"/>
        </w:rPr>
        <w:t>internet</w:t>
      </w:r>
      <w:r w:rsidRPr="003328F3">
        <w:rPr>
          <w:rFonts w:asciiTheme="minorHAnsi" w:hAnsiTheme="minorHAnsi"/>
          <w:szCs w:val="22"/>
          <w:lang w:val="en-US"/>
        </w:rPr>
        <w:t xml:space="preserve"> for mental health were also examined in those with low (K10</w:t>
      </w:r>
      <w:r w:rsidR="0056753C">
        <w:rPr>
          <w:rFonts w:asciiTheme="minorHAnsi" w:hAnsiTheme="minorHAnsi"/>
          <w:szCs w:val="22"/>
          <w:lang w:val="en-US"/>
        </w:rPr>
        <w:t> </w:t>
      </w:r>
      <w:r w:rsidRPr="003328F3">
        <w:rPr>
          <w:rFonts w:asciiTheme="minorHAnsi" w:hAnsiTheme="minorHAnsi"/>
          <w:szCs w:val="22"/>
          <w:lang w:val="en-US"/>
        </w:rPr>
        <w:t>&lt;</w:t>
      </w:r>
      <w:r w:rsidR="0056753C">
        <w:rPr>
          <w:rFonts w:asciiTheme="minorHAnsi" w:hAnsiTheme="minorHAnsi"/>
          <w:szCs w:val="22"/>
          <w:lang w:val="en-US"/>
        </w:rPr>
        <w:t> </w:t>
      </w:r>
      <w:r w:rsidRPr="003328F3">
        <w:rPr>
          <w:rFonts w:asciiTheme="minorHAnsi" w:hAnsiTheme="minorHAnsi"/>
          <w:szCs w:val="22"/>
          <w:lang w:val="en-US"/>
        </w:rPr>
        <w:t xml:space="preserve">16) and moderate/high psychological distress on the K10 (K10 </w:t>
      </w:r>
      <w:r w:rsidRPr="003328F3">
        <w:rPr>
          <w:rFonts w:asciiTheme="minorHAnsi" w:hAnsiTheme="minorHAnsi" w:cstheme="minorHAnsi"/>
          <w:szCs w:val="22"/>
          <w:lang w:val="en-US"/>
        </w:rPr>
        <w:t>≥</w:t>
      </w:r>
      <w:r w:rsidRPr="003328F3">
        <w:rPr>
          <w:rFonts w:asciiTheme="minorHAnsi" w:hAnsiTheme="minorHAnsi"/>
          <w:szCs w:val="22"/>
          <w:lang w:val="en-US"/>
        </w:rPr>
        <w:t xml:space="preserve"> 16). </w:t>
      </w:r>
    </w:p>
    <w:p w14:paraId="67F7A075" w14:textId="77777777" w:rsidR="0033663C" w:rsidRPr="008A51EB" w:rsidRDefault="0033663C" w:rsidP="0033663C">
      <w:pPr>
        <w:pStyle w:val="Heading2"/>
        <w:numPr>
          <w:ilvl w:val="1"/>
          <w:numId w:val="1"/>
        </w:numPr>
        <w:ind w:left="720" w:hanging="720"/>
      </w:pPr>
      <w:bookmarkStart w:id="1116" w:name="_Toc387565412"/>
      <w:bookmarkStart w:id="1117" w:name="_Toc515374563"/>
      <w:bookmarkStart w:id="1118" w:name="_Toc518566457"/>
      <w:bookmarkStart w:id="1119" w:name="_Toc528932735"/>
      <w:bookmarkStart w:id="1120" w:name="_Toc531859272"/>
      <w:r w:rsidRPr="008A51EB">
        <w:t xml:space="preserve">Frequency and duration of </w:t>
      </w:r>
      <w:r>
        <w:t>internet</w:t>
      </w:r>
      <w:r w:rsidRPr="008A51EB">
        <w:t xml:space="preserve"> use in young adults in the Transitioned ADF compared to the young adults in the Australian community</w:t>
      </w:r>
      <w:bookmarkEnd w:id="1116"/>
      <w:bookmarkEnd w:id="1117"/>
      <w:bookmarkEnd w:id="1118"/>
      <w:bookmarkEnd w:id="1119"/>
      <w:bookmarkEnd w:id="1120"/>
    </w:p>
    <w:p w14:paraId="21D3A869" w14:textId="77777777" w:rsidR="0033663C" w:rsidRPr="008A51EB" w:rsidRDefault="0033663C" w:rsidP="0033663C">
      <w:pPr>
        <w:pStyle w:val="Heading3"/>
        <w:numPr>
          <w:ilvl w:val="2"/>
          <w:numId w:val="1"/>
        </w:numPr>
      </w:pPr>
      <w:bookmarkStart w:id="1121" w:name="_Toc387565413"/>
      <w:bookmarkStart w:id="1122" w:name="_Toc515374564"/>
      <w:bookmarkStart w:id="1123" w:name="_Toc518566458"/>
      <w:bookmarkStart w:id="1124" w:name="_Toc528932736"/>
      <w:bookmarkStart w:id="1125" w:name="_Toc531859273"/>
      <w:r w:rsidRPr="008A51EB">
        <w:t xml:space="preserve">Frequency of </w:t>
      </w:r>
      <w:r>
        <w:t>internet</w:t>
      </w:r>
      <w:r w:rsidRPr="008A51EB">
        <w:t xml:space="preserve"> use</w:t>
      </w:r>
      <w:bookmarkEnd w:id="1121"/>
      <w:bookmarkEnd w:id="1122"/>
      <w:bookmarkEnd w:id="1123"/>
      <w:bookmarkEnd w:id="1124"/>
      <w:bookmarkEnd w:id="1125"/>
    </w:p>
    <w:p w14:paraId="4FF079F1" w14:textId="77777777" w:rsidR="0033663C" w:rsidRPr="003328F3" w:rsidRDefault="0033663C" w:rsidP="0033663C">
      <w:pPr>
        <w:rPr>
          <w:rFonts w:eastAsia="Times New Roman" w:cs="Calibri"/>
          <w:szCs w:val="22"/>
          <w:lang w:eastAsia="en-AU"/>
        </w:rPr>
      </w:pPr>
      <w:r w:rsidRPr="003328F3">
        <w:rPr>
          <w:rFonts w:asciiTheme="minorHAnsi" w:hAnsiTheme="minorHAnsi" w:cstheme="minorHAnsi"/>
        </w:rPr>
        <w:t xml:space="preserve">Respondents in the </w:t>
      </w:r>
      <w:r w:rsidRPr="003328F3">
        <w:t>Mental Healt</w:t>
      </w:r>
      <w:r>
        <w:t>h and Wellbeing Transition S</w:t>
      </w:r>
      <w:r w:rsidRPr="003328F3">
        <w:t xml:space="preserve">tudy were asked </w:t>
      </w:r>
      <w:r>
        <w:t>‘</w:t>
      </w:r>
      <w:r w:rsidRPr="003328F3">
        <w:t xml:space="preserve">How often do you use the </w:t>
      </w:r>
      <w:r>
        <w:t>internet</w:t>
      </w:r>
      <w:r w:rsidRPr="003328F3">
        <w:t>?</w:t>
      </w:r>
      <w:r>
        <w:t>’</w:t>
      </w:r>
      <w:r w:rsidRPr="003328F3">
        <w:t xml:space="preserve"> and respo</w:t>
      </w:r>
      <w:r>
        <w:t>ndents from the Young and Well S</w:t>
      </w:r>
      <w:r w:rsidRPr="003328F3">
        <w:t xml:space="preserve">tudy were asked </w:t>
      </w:r>
      <w:r>
        <w:t>‘</w:t>
      </w:r>
      <w:r w:rsidRPr="003328F3">
        <w:rPr>
          <w:rFonts w:eastAsia="Times New Roman" w:cs="Calibri"/>
          <w:szCs w:val="22"/>
          <w:lang w:eastAsia="en-AU"/>
        </w:rPr>
        <w:t xml:space="preserve">Do you use the </w:t>
      </w:r>
      <w:r>
        <w:rPr>
          <w:rFonts w:eastAsia="Times New Roman" w:cs="Calibri"/>
          <w:szCs w:val="22"/>
          <w:lang w:eastAsia="en-AU"/>
        </w:rPr>
        <w:t>internet</w:t>
      </w:r>
      <w:r w:rsidRPr="003328F3">
        <w:rPr>
          <w:rFonts w:eastAsia="Times New Roman" w:cs="Calibri"/>
          <w:szCs w:val="22"/>
          <w:lang w:eastAsia="en-AU"/>
        </w:rPr>
        <w:t>?</w:t>
      </w:r>
      <w:r>
        <w:rPr>
          <w:rFonts w:eastAsia="Times New Roman" w:cs="Calibri"/>
          <w:szCs w:val="22"/>
          <w:lang w:eastAsia="en-AU"/>
        </w:rPr>
        <w:t>’</w:t>
      </w:r>
      <w:r w:rsidRPr="003328F3">
        <w:rPr>
          <w:rFonts w:eastAsia="Times New Roman" w:cs="Calibri"/>
          <w:szCs w:val="22"/>
          <w:lang w:eastAsia="en-AU"/>
        </w:rPr>
        <w:t xml:space="preserve"> and then for those responding </w:t>
      </w:r>
      <w:r>
        <w:rPr>
          <w:rFonts w:eastAsia="Times New Roman" w:cs="Calibri"/>
          <w:szCs w:val="22"/>
          <w:lang w:eastAsia="en-AU"/>
        </w:rPr>
        <w:t>‘</w:t>
      </w:r>
      <w:r w:rsidRPr="003328F3">
        <w:rPr>
          <w:rFonts w:eastAsia="Times New Roman" w:cs="Calibri"/>
          <w:szCs w:val="22"/>
          <w:lang w:eastAsia="en-AU"/>
        </w:rPr>
        <w:t>yes</w:t>
      </w:r>
      <w:r>
        <w:rPr>
          <w:rFonts w:eastAsia="Times New Roman" w:cs="Calibri"/>
          <w:szCs w:val="22"/>
          <w:lang w:eastAsia="en-AU"/>
        </w:rPr>
        <w:t>’</w:t>
      </w:r>
      <w:r w:rsidRPr="003328F3">
        <w:rPr>
          <w:rFonts w:eastAsia="Times New Roman" w:cs="Calibri"/>
          <w:szCs w:val="22"/>
          <w:lang w:eastAsia="en-AU"/>
        </w:rPr>
        <w:t xml:space="preserve">, </w:t>
      </w:r>
      <w:r>
        <w:rPr>
          <w:rFonts w:eastAsia="Times New Roman" w:cs="Calibri"/>
          <w:szCs w:val="22"/>
          <w:lang w:eastAsia="en-AU"/>
        </w:rPr>
        <w:t>‘</w:t>
      </w:r>
      <w:r w:rsidRPr="003328F3">
        <w:rPr>
          <w:rFonts w:eastAsia="Times New Roman" w:cs="Calibri"/>
          <w:szCs w:val="22"/>
          <w:lang w:eastAsia="en-AU"/>
        </w:rPr>
        <w:t xml:space="preserve">How often do you use the </w:t>
      </w:r>
      <w:r>
        <w:rPr>
          <w:rFonts w:eastAsia="Times New Roman" w:cs="Calibri"/>
          <w:szCs w:val="22"/>
          <w:lang w:eastAsia="en-AU"/>
        </w:rPr>
        <w:t>internet</w:t>
      </w:r>
      <w:r w:rsidRPr="003328F3">
        <w:rPr>
          <w:rFonts w:eastAsia="Times New Roman" w:cs="Calibri"/>
          <w:szCs w:val="22"/>
          <w:lang w:eastAsia="en-AU"/>
        </w:rPr>
        <w:t>?</w:t>
      </w:r>
      <w:r>
        <w:rPr>
          <w:rFonts w:eastAsia="Times New Roman" w:cs="Calibri"/>
          <w:szCs w:val="22"/>
          <w:lang w:eastAsia="en-AU"/>
        </w:rPr>
        <w:t>’</w:t>
      </w:r>
    </w:p>
    <w:p w14:paraId="5782FC6C" w14:textId="77777777" w:rsidR="0033663C" w:rsidRPr="003328F3" w:rsidRDefault="0033663C" w:rsidP="0033663C">
      <w:pPr>
        <w:rPr>
          <w:rFonts w:asciiTheme="minorHAnsi" w:hAnsiTheme="minorHAnsi" w:cstheme="minorHAnsi"/>
        </w:rPr>
      </w:pPr>
      <w:r>
        <w:t xml:space="preserve">Table </w:t>
      </w:r>
      <w:r>
        <w:rPr>
          <w:noProof/>
        </w:rPr>
        <w:t>10.1</w:t>
      </w:r>
      <w:r w:rsidRPr="0005797B">
        <w:rPr>
          <w:rFonts w:asciiTheme="minorHAnsi" w:hAnsiTheme="minorHAnsi" w:cstheme="minorHAnsi"/>
        </w:rPr>
        <w:t xml:space="preserve"> and </w:t>
      </w:r>
      <w:r>
        <w:t xml:space="preserve">Figure </w:t>
      </w:r>
      <w:r>
        <w:rPr>
          <w:noProof/>
        </w:rPr>
        <w:t>10.1</w:t>
      </w:r>
      <w:r>
        <w:rPr>
          <w:rFonts w:asciiTheme="minorHAnsi" w:hAnsiTheme="minorHAnsi" w:cstheme="minorHAnsi"/>
        </w:rPr>
        <w:t xml:space="preserve"> present</w:t>
      </w:r>
      <w:r w:rsidRPr="003328F3">
        <w:rPr>
          <w:rFonts w:asciiTheme="minorHAnsi" w:hAnsiTheme="minorHAnsi" w:cstheme="minorHAnsi"/>
        </w:rPr>
        <w:t xml:space="preserve"> any use and the frequency of use of the </w:t>
      </w:r>
      <w:r>
        <w:rPr>
          <w:rFonts w:asciiTheme="minorHAnsi" w:hAnsiTheme="minorHAnsi" w:cstheme="minorHAnsi"/>
        </w:rPr>
        <w:t>internet</w:t>
      </w:r>
      <w:r w:rsidRPr="003328F3">
        <w:rPr>
          <w:rFonts w:asciiTheme="minorHAnsi" w:hAnsiTheme="minorHAnsi" w:cstheme="minorHAnsi"/>
        </w:rPr>
        <w:t xml:space="preserve"> in the Transitioned ADF </w:t>
      </w:r>
      <w:r>
        <w:rPr>
          <w:rFonts w:asciiTheme="minorHAnsi" w:hAnsiTheme="minorHAnsi" w:cstheme="minorHAnsi"/>
        </w:rPr>
        <w:t xml:space="preserve">young adults </w:t>
      </w:r>
      <w:r w:rsidRPr="003328F3">
        <w:rPr>
          <w:rFonts w:asciiTheme="minorHAnsi" w:hAnsiTheme="minorHAnsi" w:cstheme="minorHAnsi"/>
        </w:rPr>
        <w:t>and the 2012 Young and Well cohort.</w:t>
      </w:r>
    </w:p>
    <w:p w14:paraId="571AAE53" w14:textId="77777777" w:rsidR="0033663C" w:rsidRDefault="0033663C" w:rsidP="0033663C">
      <w:r w:rsidRPr="003328F3">
        <w:rPr>
          <w:rFonts w:asciiTheme="minorHAnsi" w:hAnsiTheme="minorHAnsi" w:cstheme="minorHAnsi"/>
        </w:rPr>
        <w:t>All of the Transitioned ADF</w:t>
      </w:r>
      <w:r>
        <w:rPr>
          <w:rFonts w:asciiTheme="minorHAnsi" w:hAnsiTheme="minorHAnsi" w:cstheme="minorHAnsi"/>
        </w:rPr>
        <w:t xml:space="preserve"> young adults</w:t>
      </w:r>
      <w:r w:rsidRPr="003328F3">
        <w:rPr>
          <w:rFonts w:asciiTheme="minorHAnsi" w:hAnsiTheme="minorHAnsi" w:cstheme="minorHAnsi"/>
        </w:rPr>
        <w:t xml:space="preserve"> and 98.3%</w:t>
      </w:r>
      <w:r w:rsidRPr="003328F3">
        <w:t xml:space="preserve"> of the Young and Well cohort reported </w:t>
      </w:r>
      <w:r w:rsidRPr="003328F3">
        <w:rPr>
          <w:rFonts w:asciiTheme="minorHAnsi" w:hAnsiTheme="minorHAnsi" w:cstheme="minorHAnsi"/>
        </w:rPr>
        <w:t xml:space="preserve">using the </w:t>
      </w:r>
      <w:r>
        <w:rPr>
          <w:rFonts w:asciiTheme="minorHAnsi" w:hAnsiTheme="minorHAnsi" w:cstheme="minorHAnsi"/>
        </w:rPr>
        <w:t>internet,</w:t>
      </w:r>
      <w:r w:rsidRPr="003328F3">
        <w:rPr>
          <w:rFonts w:asciiTheme="minorHAnsi" w:hAnsiTheme="minorHAnsi" w:cstheme="minorHAnsi"/>
        </w:rPr>
        <w:t xml:space="preserve"> with a significantly greater proportion of the Transitioned ADF </w:t>
      </w:r>
      <w:r>
        <w:rPr>
          <w:rFonts w:asciiTheme="minorHAnsi" w:hAnsiTheme="minorHAnsi" w:cstheme="minorHAnsi"/>
        </w:rPr>
        <w:t xml:space="preserve">young adults </w:t>
      </w:r>
      <w:r w:rsidRPr="003328F3">
        <w:t>report</w:t>
      </w:r>
      <w:r>
        <w:t>ing</w:t>
      </w:r>
      <w:r w:rsidRPr="003328F3">
        <w:t xml:space="preserve"> using the </w:t>
      </w:r>
      <w:r>
        <w:t>internet</w:t>
      </w:r>
      <w:r w:rsidRPr="003328F3">
        <w:t xml:space="preserve"> every day or almost every day (98.5%</w:t>
      </w:r>
      <w:r>
        <w:t>)</w:t>
      </w:r>
      <w:r w:rsidRPr="003328F3">
        <w:t xml:space="preserve"> compared to the Young and Well cohort (91.2%</w:t>
      </w:r>
      <w:r>
        <w:t>)</w:t>
      </w:r>
      <w:r w:rsidRPr="003328F3">
        <w:t xml:space="preserve">. </w:t>
      </w:r>
      <w:r>
        <w:t xml:space="preserve">In contrast, a </w:t>
      </w:r>
      <w:r w:rsidRPr="003328F3">
        <w:t xml:space="preserve">significantly greater proportion of the Young and Well </w:t>
      </w:r>
      <w:r>
        <w:t>c</w:t>
      </w:r>
      <w:r w:rsidRPr="003328F3">
        <w:t>ohort (5.8%</w:t>
      </w:r>
      <w:r>
        <w:t>)</w:t>
      </w:r>
      <w:r w:rsidRPr="003328F3">
        <w:t xml:space="preserve"> reported using the </w:t>
      </w:r>
      <w:r>
        <w:t>internet</w:t>
      </w:r>
      <w:r w:rsidRPr="003328F3">
        <w:t xml:space="preserve"> once or twice a week compared to the Transitioned ADF (1.5%</w:t>
      </w:r>
      <w:r>
        <w:t>).</w:t>
      </w:r>
    </w:p>
    <w:p w14:paraId="359E7FFE" w14:textId="77777777" w:rsidR="0033663C" w:rsidRDefault="0033663C" w:rsidP="0033663C">
      <w:pPr>
        <w:pStyle w:val="TableName"/>
      </w:pPr>
      <w:bookmarkStart w:id="1126" w:name="_Ref514911920"/>
      <w:bookmarkStart w:id="1127" w:name="_Toc528932365"/>
      <w:bookmarkStart w:id="1128" w:name="_Toc531858044"/>
      <w:r>
        <w:t xml:space="preserve">Table </w:t>
      </w:r>
      <w:r>
        <w:rPr>
          <w:noProof/>
        </w:rPr>
        <w:t>10</w:t>
      </w:r>
      <w:r>
        <w:t>.</w:t>
      </w:r>
      <w:r>
        <w:rPr>
          <w:noProof/>
        </w:rPr>
        <w:t>1</w:t>
      </w:r>
      <w:bookmarkEnd w:id="1126"/>
      <w:r>
        <w:tab/>
      </w:r>
      <w:r w:rsidRPr="003328F3">
        <w:t xml:space="preserve">Frequency of </w:t>
      </w:r>
      <w:r>
        <w:t>internet</w:t>
      </w:r>
      <w:r w:rsidRPr="003328F3">
        <w:t xml:space="preserve"> use in Transitioned ADF (aged </w:t>
      </w:r>
      <w:r>
        <w:t>18–25</w:t>
      </w:r>
      <w:r w:rsidRPr="003328F3">
        <w:t>) compared to the Young and Well cohort</w:t>
      </w:r>
      <w:bookmarkEnd w:id="1127"/>
      <w:bookmarkEnd w:id="1128"/>
    </w:p>
    <w:tbl>
      <w:tblPr>
        <w:tblStyle w:val="TWRPTable"/>
        <w:tblW w:w="5000" w:type="pct"/>
        <w:tblLayout w:type="fixed"/>
        <w:tblCellMar>
          <w:left w:w="115" w:type="dxa"/>
          <w:right w:w="115" w:type="dxa"/>
        </w:tblCellMar>
        <w:tblLook w:val="01E0" w:firstRow="1" w:lastRow="1" w:firstColumn="1" w:lastColumn="1" w:noHBand="0" w:noVBand="0"/>
        <w:tblDescription w:val="Table 10.1 Frequency of internet use in Transitioned ADF (aged 18–25) compared to the Young and Well cohort"/>
      </w:tblPr>
      <w:tblGrid>
        <w:gridCol w:w="1753"/>
        <w:gridCol w:w="527"/>
        <w:gridCol w:w="526"/>
        <w:gridCol w:w="755"/>
        <w:gridCol w:w="469"/>
        <w:gridCol w:w="526"/>
        <w:gridCol w:w="733"/>
        <w:gridCol w:w="491"/>
        <w:gridCol w:w="526"/>
        <w:gridCol w:w="783"/>
      </w:tblGrid>
      <w:tr w:rsidR="0033663C" w:rsidRPr="005710C4" w14:paraId="63BAFB27" w14:textId="77777777" w:rsidTr="005710C4">
        <w:trPr>
          <w:cnfStyle w:val="100000000000" w:firstRow="1" w:lastRow="0" w:firstColumn="0" w:lastColumn="0" w:oddVBand="0" w:evenVBand="0" w:oddHBand="0" w:evenHBand="0" w:firstRowFirstColumn="0" w:firstRowLastColumn="0" w:lastRowFirstColumn="0" w:lastRowLastColumn="0"/>
          <w:cantSplit/>
          <w:tblHeader/>
        </w:trPr>
        <w:tc>
          <w:tcPr>
            <w:tcW w:w="1826" w:type="dxa"/>
            <w:tcBorders>
              <w:top w:val="single" w:sz="4" w:space="0" w:color="000000"/>
              <w:bottom w:val="nil"/>
            </w:tcBorders>
          </w:tcPr>
          <w:p w14:paraId="1CA104F3" w14:textId="77777777" w:rsidR="0033663C" w:rsidRPr="005710C4" w:rsidRDefault="0033663C" w:rsidP="0033663C">
            <w:pPr>
              <w:pStyle w:val="TableText"/>
              <w:rPr>
                <w:lang w:eastAsia="en-AU"/>
              </w:rPr>
            </w:pPr>
          </w:p>
        </w:tc>
        <w:tc>
          <w:tcPr>
            <w:tcW w:w="1860" w:type="dxa"/>
            <w:gridSpan w:val="3"/>
            <w:hideMark/>
          </w:tcPr>
          <w:p w14:paraId="6847914D" w14:textId="77777777" w:rsidR="0033663C" w:rsidRPr="005710C4" w:rsidRDefault="0033663C" w:rsidP="0033663C">
            <w:pPr>
              <w:pStyle w:val="TableText"/>
              <w:jc w:val="center"/>
              <w:rPr>
                <w:lang w:eastAsia="en-AU"/>
              </w:rPr>
            </w:pPr>
            <w:r w:rsidRPr="005710C4">
              <w:rPr>
                <w:bCs/>
                <w:lang w:eastAsia="en-AU"/>
              </w:rPr>
              <w:t>Transitioned ADF</w:t>
            </w:r>
            <w:r w:rsidRPr="005710C4">
              <w:rPr>
                <w:bCs/>
                <w:lang w:eastAsia="en-AU"/>
              </w:rPr>
              <w:br/>
              <w:t>18–25 years</w:t>
            </w:r>
            <w:r w:rsidRPr="005710C4">
              <w:rPr>
                <w:bCs/>
                <w:lang w:eastAsia="en-AU"/>
              </w:rPr>
              <w:br/>
            </w:r>
            <w:r w:rsidRPr="005710C4">
              <w:rPr>
                <w:lang w:eastAsia="en-AU"/>
              </w:rPr>
              <w:t>n=2630</w:t>
            </w:r>
          </w:p>
        </w:tc>
        <w:tc>
          <w:tcPr>
            <w:tcW w:w="1777" w:type="dxa"/>
            <w:gridSpan w:val="3"/>
            <w:hideMark/>
          </w:tcPr>
          <w:p w14:paraId="1C9E2B90" w14:textId="77777777" w:rsidR="0033663C" w:rsidRPr="005710C4" w:rsidRDefault="0033663C" w:rsidP="0033663C">
            <w:pPr>
              <w:pStyle w:val="TableText"/>
              <w:jc w:val="center"/>
              <w:rPr>
                <w:bCs/>
                <w:lang w:eastAsia="en-AU"/>
              </w:rPr>
            </w:pPr>
            <w:r w:rsidRPr="005710C4">
              <w:rPr>
                <w:rFonts w:cs="Arial"/>
              </w:rPr>
              <w:t>Young and Well cohort</w:t>
            </w:r>
            <w:r w:rsidRPr="005710C4">
              <w:rPr>
                <w:rFonts w:cs="Arial"/>
              </w:rPr>
              <w:br/>
              <w:t>18–25 years</w:t>
            </w:r>
            <w:r w:rsidRPr="005710C4">
              <w:rPr>
                <w:rFonts w:cs="Arial"/>
              </w:rPr>
              <w:br/>
              <w:t>n=1123</w:t>
            </w:r>
          </w:p>
        </w:tc>
        <w:tc>
          <w:tcPr>
            <w:tcW w:w="1852" w:type="dxa"/>
            <w:gridSpan w:val="3"/>
            <w:hideMark/>
          </w:tcPr>
          <w:p w14:paraId="7AF9FF10" w14:textId="77777777" w:rsidR="0033663C" w:rsidRPr="005710C4" w:rsidRDefault="0033663C" w:rsidP="0033663C">
            <w:pPr>
              <w:pStyle w:val="TableText"/>
              <w:jc w:val="center"/>
              <w:rPr>
                <w:bCs/>
                <w:lang w:eastAsia="en-AU"/>
              </w:rPr>
            </w:pPr>
            <w:r w:rsidRPr="005710C4">
              <w:rPr>
                <w:bCs/>
                <w:lang w:eastAsia="en-AU"/>
              </w:rPr>
              <w:t>Difference</w:t>
            </w:r>
          </w:p>
        </w:tc>
      </w:tr>
      <w:tr w:rsidR="005710C4" w:rsidRPr="005710C4" w14:paraId="16506513" w14:textId="77777777" w:rsidTr="005710C4">
        <w:trPr>
          <w:cnfStyle w:val="100000000000" w:firstRow="1" w:lastRow="0" w:firstColumn="0" w:lastColumn="0" w:oddVBand="0" w:evenVBand="0" w:oddHBand="0" w:evenHBand="0" w:firstRowFirstColumn="0" w:firstRowLastColumn="0" w:lastRowFirstColumn="0" w:lastRowLastColumn="0"/>
          <w:cantSplit/>
          <w:tblHeader/>
        </w:trPr>
        <w:tc>
          <w:tcPr>
            <w:tcW w:w="1826" w:type="dxa"/>
            <w:tcBorders>
              <w:top w:val="nil"/>
            </w:tcBorders>
          </w:tcPr>
          <w:p w14:paraId="1741E834" w14:textId="77777777" w:rsidR="0033663C" w:rsidRPr="005710C4" w:rsidRDefault="0033663C" w:rsidP="0033663C">
            <w:pPr>
              <w:pStyle w:val="TableText"/>
              <w:rPr>
                <w:rFonts w:eastAsia="GillSans"/>
                <w:lang w:eastAsia="en-AU"/>
              </w:rPr>
            </w:pPr>
            <w:r w:rsidRPr="005710C4">
              <w:rPr>
                <w:rFonts w:eastAsia="GillSans"/>
                <w:lang w:eastAsia="en-AU"/>
              </w:rPr>
              <w:t>Frequency of internet use</w:t>
            </w:r>
          </w:p>
        </w:tc>
        <w:tc>
          <w:tcPr>
            <w:tcW w:w="540" w:type="dxa"/>
            <w:hideMark/>
          </w:tcPr>
          <w:p w14:paraId="5675CEFB" w14:textId="77777777" w:rsidR="0033663C" w:rsidRPr="005710C4" w:rsidRDefault="0033663C" w:rsidP="0033663C">
            <w:pPr>
              <w:pStyle w:val="TableText"/>
              <w:jc w:val="right"/>
              <w:rPr>
                <w:rFonts w:eastAsia="Times New Roman"/>
                <w:lang w:eastAsia="en-AU"/>
              </w:rPr>
            </w:pPr>
            <w:r w:rsidRPr="005710C4">
              <w:rPr>
                <w:lang w:eastAsia="en-AU"/>
              </w:rPr>
              <w:t>%</w:t>
            </w:r>
          </w:p>
        </w:tc>
        <w:tc>
          <w:tcPr>
            <w:tcW w:w="540" w:type="dxa"/>
            <w:hideMark/>
          </w:tcPr>
          <w:p w14:paraId="009266F4" w14:textId="77777777" w:rsidR="0033663C" w:rsidRPr="005710C4" w:rsidRDefault="0033663C" w:rsidP="0033663C">
            <w:pPr>
              <w:pStyle w:val="TableText"/>
              <w:jc w:val="right"/>
              <w:rPr>
                <w:lang w:eastAsia="en-AU"/>
              </w:rPr>
            </w:pPr>
            <w:r w:rsidRPr="005710C4">
              <w:rPr>
                <w:lang w:eastAsia="en-AU"/>
              </w:rPr>
              <w:t>SE</w:t>
            </w:r>
          </w:p>
        </w:tc>
        <w:tc>
          <w:tcPr>
            <w:tcW w:w="780" w:type="dxa"/>
            <w:hideMark/>
          </w:tcPr>
          <w:p w14:paraId="0B84441C" w14:textId="77777777" w:rsidR="0033663C" w:rsidRPr="005710C4" w:rsidRDefault="0033663C" w:rsidP="0033663C">
            <w:pPr>
              <w:pStyle w:val="TableText"/>
              <w:jc w:val="right"/>
              <w:rPr>
                <w:lang w:eastAsia="en-AU"/>
              </w:rPr>
            </w:pPr>
            <w:r w:rsidRPr="005710C4">
              <w:rPr>
                <w:lang w:eastAsia="en-AU"/>
              </w:rPr>
              <w:t>95% CI</w:t>
            </w:r>
          </w:p>
        </w:tc>
        <w:tc>
          <w:tcPr>
            <w:tcW w:w="480" w:type="dxa"/>
            <w:hideMark/>
          </w:tcPr>
          <w:p w14:paraId="6C3592C1" w14:textId="77777777" w:rsidR="0033663C" w:rsidRPr="005710C4" w:rsidRDefault="0033663C" w:rsidP="0033663C">
            <w:pPr>
              <w:pStyle w:val="TableText"/>
              <w:jc w:val="right"/>
              <w:rPr>
                <w:lang w:eastAsia="en-AU"/>
              </w:rPr>
            </w:pPr>
            <w:r w:rsidRPr="005710C4">
              <w:rPr>
                <w:lang w:eastAsia="en-AU"/>
              </w:rPr>
              <w:t>%</w:t>
            </w:r>
          </w:p>
        </w:tc>
        <w:tc>
          <w:tcPr>
            <w:tcW w:w="540" w:type="dxa"/>
          </w:tcPr>
          <w:p w14:paraId="5E4BDE60" w14:textId="77777777" w:rsidR="0033663C" w:rsidRPr="005710C4" w:rsidRDefault="0033663C" w:rsidP="0033663C">
            <w:pPr>
              <w:pStyle w:val="TableText"/>
              <w:jc w:val="right"/>
              <w:rPr>
                <w:lang w:eastAsia="en-AU"/>
              </w:rPr>
            </w:pPr>
            <w:r w:rsidRPr="005710C4">
              <w:rPr>
                <w:lang w:eastAsia="en-AU"/>
              </w:rPr>
              <w:t>SE</w:t>
            </w:r>
          </w:p>
        </w:tc>
        <w:tc>
          <w:tcPr>
            <w:tcW w:w="757" w:type="dxa"/>
          </w:tcPr>
          <w:p w14:paraId="1F9EEC75" w14:textId="77777777" w:rsidR="0033663C" w:rsidRPr="005710C4" w:rsidRDefault="0033663C" w:rsidP="0033663C">
            <w:pPr>
              <w:pStyle w:val="TableText"/>
              <w:jc w:val="right"/>
              <w:rPr>
                <w:lang w:eastAsia="en-AU"/>
              </w:rPr>
            </w:pPr>
            <w:r w:rsidRPr="005710C4">
              <w:rPr>
                <w:lang w:eastAsia="en-AU"/>
              </w:rPr>
              <w:t>95% CI</w:t>
            </w:r>
          </w:p>
        </w:tc>
        <w:tc>
          <w:tcPr>
            <w:tcW w:w="503" w:type="dxa"/>
            <w:hideMark/>
          </w:tcPr>
          <w:p w14:paraId="2EE20757" w14:textId="77777777" w:rsidR="0033663C" w:rsidRPr="005710C4" w:rsidRDefault="0033663C" w:rsidP="0033663C">
            <w:pPr>
              <w:pStyle w:val="TableText"/>
              <w:jc w:val="right"/>
              <w:rPr>
                <w:lang w:eastAsia="en-AU"/>
              </w:rPr>
            </w:pPr>
            <w:r w:rsidRPr="005710C4">
              <w:rPr>
                <w:lang w:eastAsia="en-AU"/>
              </w:rPr>
              <w:t>%</w:t>
            </w:r>
          </w:p>
        </w:tc>
        <w:tc>
          <w:tcPr>
            <w:tcW w:w="540" w:type="dxa"/>
            <w:hideMark/>
          </w:tcPr>
          <w:p w14:paraId="30406F58" w14:textId="77777777" w:rsidR="0033663C" w:rsidRPr="005710C4" w:rsidRDefault="0033663C" w:rsidP="0033663C">
            <w:pPr>
              <w:pStyle w:val="TableText"/>
              <w:jc w:val="right"/>
              <w:rPr>
                <w:lang w:eastAsia="en-AU"/>
              </w:rPr>
            </w:pPr>
            <w:r w:rsidRPr="005710C4">
              <w:rPr>
                <w:lang w:eastAsia="en-AU"/>
              </w:rPr>
              <w:t>SE</w:t>
            </w:r>
          </w:p>
        </w:tc>
        <w:tc>
          <w:tcPr>
            <w:tcW w:w="809" w:type="dxa"/>
            <w:hideMark/>
          </w:tcPr>
          <w:p w14:paraId="32FC5B89" w14:textId="77777777" w:rsidR="0033663C" w:rsidRPr="005710C4" w:rsidRDefault="0033663C" w:rsidP="0033663C">
            <w:pPr>
              <w:pStyle w:val="TableText"/>
              <w:jc w:val="right"/>
              <w:rPr>
                <w:lang w:eastAsia="en-AU"/>
              </w:rPr>
            </w:pPr>
            <w:r w:rsidRPr="005710C4">
              <w:rPr>
                <w:lang w:eastAsia="en-AU"/>
              </w:rPr>
              <w:t>95% CI</w:t>
            </w:r>
          </w:p>
        </w:tc>
      </w:tr>
      <w:tr w:rsidR="005710C4" w:rsidRPr="003328F3" w14:paraId="57BADCE2" w14:textId="77777777" w:rsidTr="005710C4">
        <w:trPr>
          <w:cnfStyle w:val="000000100000" w:firstRow="0" w:lastRow="0" w:firstColumn="0" w:lastColumn="0" w:oddVBand="0" w:evenVBand="0" w:oddHBand="1" w:evenHBand="0" w:firstRowFirstColumn="0" w:firstRowLastColumn="0" w:lastRowFirstColumn="0" w:lastRowLastColumn="0"/>
          <w:cantSplit/>
        </w:trPr>
        <w:tc>
          <w:tcPr>
            <w:tcW w:w="1826" w:type="dxa"/>
            <w:hideMark/>
          </w:tcPr>
          <w:p w14:paraId="25423643" w14:textId="77777777" w:rsidR="0033663C" w:rsidRPr="003328F3" w:rsidRDefault="0033663C" w:rsidP="0033663C">
            <w:pPr>
              <w:pStyle w:val="TableText"/>
              <w:rPr>
                <w:rFonts w:eastAsia="GillSans"/>
                <w:lang w:eastAsia="en-AU"/>
              </w:rPr>
            </w:pPr>
            <w:r w:rsidRPr="003328F3">
              <w:rPr>
                <w:rFonts w:cs="ArialMT"/>
              </w:rPr>
              <w:t>No/Never</w:t>
            </w:r>
          </w:p>
        </w:tc>
        <w:tc>
          <w:tcPr>
            <w:tcW w:w="540" w:type="dxa"/>
          </w:tcPr>
          <w:p w14:paraId="78287031" w14:textId="77777777" w:rsidR="0033663C" w:rsidRPr="003328F3" w:rsidRDefault="0033663C" w:rsidP="0033663C">
            <w:pPr>
              <w:pStyle w:val="TableText"/>
              <w:jc w:val="right"/>
            </w:pPr>
            <w:r w:rsidRPr="003328F3">
              <w:rPr>
                <w:color w:val="000000" w:themeColor="text1"/>
              </w:rPr>
              <w:t>0.0</w:t>
            </w:r>
          </w:p>
        </w:tc>
        <w:tc>
          <w:tcPr>
            <w:tcW w:w="540" w:type="dxa"/>
          </w:tcPr>
          <w:p w14:paraId="42650F6C" w14:textId="77777777" w:rsidR="0033663C" w:rsidRPr="003328F3" w:rsidRDefault="0033663C" w:rsidP="0033663C">
            <w:pPr>
              <w:pStyle w:val="TableText"/>
              <w:jc w:val="right"/>
            </w:pPr>
            <w:r>
              <w:rPr>
                <w:color w:val="000000" w:themeColor="text1"/>
              </w:rPr>
              <w:t>–</w:t>
            </w:r>
          </w:p>
        </w:tc>
        <w:tc>
          <w:tcPr>
            <w:tcW w:w="780" w:type="dxa"/>
          </w:tcPr>
          <w:p w14:paraId="3A0D7362" w14:textId="77777777" w:rsidR="0033663C" w:rsidRPr="003328F3" w:rsidRDefault="0033663C" w:rsidP="0033663C">
            <w:pPr>
              <w:pStyle w:val="TableText"/>
              <w:jc w:val="right"/>
            </w:pPr>
            <w:r>
              <w:rPr>
                <w:color w:val="000000" w:themeColor="text1"/>
              </w:rPr>
              <w:t>–</w:t>
            </w:r>
          </w:p>
        </w:tc>
        <w:tc>
          <w:tcPr>
            <w:tcW w:w="480" w:type="dxa"/>
          </w:tcPr>
          <w:p w14:paraId="31104594" w14:textId="77777777" w:rsidR="0033663C" w:rsidRPr="003328F3" w:rsidRDefault="0033663C" w:rsidP="0033663C">
            <w:pPr>
              <w:pStyle w:val="TableText"/>
              <w:jc w:val="right"/>
            </w:pPr>
            <w:r w:rsidRPr="003328F3">
              <w:rPr>
                <w:rFonts w:eastAsia="Times New Roman"/>
                <w:bCs/>
                <w:color w:val="000000" w:themeColor="text1"/>
              </w:rPr>
              <w:t>0.8</w:t>
            </w:r>
          </w:p>
        </w:tc>
        <w:tc>
          <w:tcPr>
            <w:tcW w:w="540" w:type="dxa"/>
          </w:tcPr>
          <w:p w14:paraId="584A0379" w14:textId="77777777" w:rsidR="0033663C" w:rsidRPr="003328F3" w:rsidRDefault="0033663C" w:rsidP="0033663C">
            <w:pPr>
              <w:pStyle w:val="TableText"/>
              <w:jc w:val="right"/>
            </w:pPr>
            <w:r w:rsidRPr="003328F3">
              <w:rPr>
                <w:rFonts w:eastAsia="Times New Roman"/>
                <w:bCs/>
                <w:color w:val="000000" w:themeColor="text1"/>
              </w:rPr>
              <w:t>0.4</w:t>
            </w:r>
          </w:p>
        </w:tc>
        <w:tc>
          <w:tcPr>
            <w:tcW w:w="757" w:type="dxa"/>
          </w:tcPr>
          <w:p w14:paraId="2A742874" w14:textId="77777777" w:rsidR="0033663C" w:rsidRPr="003328F3" w:rsidRDefault="0033663C" w:rsidP="0033663C">
            <w:pPr>
              <w:pStyle w:val="TableText"/>
              <w:jc w:val="right"/>
            </w:pPr>
            <w:r>
              <w:rPr>
                <w:rFonts w:eastAsia="Times New Roman"/>
                <w:bCs/>
                <w:color w:val="000000" w:themeColor="text1"/>
              </w:rPr>
              <w:t>–</w:t>
            </w:r>
            <w:r w:rsidRPr="003328F3">
              <w:rPr>
                <w:rFonts w:eastAsia="Times New Roman"/>
                <w:bCs/>
                <w:color w:val="000000" w:themeColor="text1"/>
              </w:rPr>
              <w:t>0.0, 1.6</w:t>
            </w:r>
          </w:p>
        </w:tc>
        <w:tc>
          <w:tcPr>
            <w:tcW w:w="503" w:type="dxa"/>
          </w:tcPr>
          <w:p w14:paraId="4540A868" w14:textId="77777777" w:rsidR="0033663C" w:rsidRPr="003328F3" w:rsidRDefault="0033663C" w:rsidP="0033663C">
            <w:pPr>
              <w:pStyle w:val="TableText"/>
              <w:jc w:val="right"/>
            </w:pPr>
            <w:r>
              <w:rPr>
                <w:rFonts w:eastAsia="Times New Roman"/>
                <w:bCs/>
                <w:color w:val="000000" w:themeColor="text1"/>
              </w:rPr>
              <w:t>–</w:t>
            </w:r>
            <w:r w:rsidRPr="003328F3">
              <w:rPr>
                <w:rFonts w:eastAsia="Times New Roman"/>
                <w:bCs/>
                <w:color w:val="000000" w:themeColor="text1"/>
              </w:rPr>
              <w:t>0.8</w:t>
            </w:r>
          </w:p>
        </w:tc>
        <w:tc>
          <w:tcPr>
            <w:tcW w:w="540" w:type="dxa"/>
          </w:tcPr>
          <w:p w14:paraId="5C897572" w14:textId="77777777" w:rsidR="0033663C" w:rsidRPr="003328F3" w:rsidRDefault="0033663C" w:rsidP="0033663C">
            <w:pPr>
              <w:pStyle w:val="TableText"/>
              <w:jc w:val="right"/>
            </w:pPr>
            <w:r w:rsidRPr="003328F3">
              <w:rPr>
                <w:rFonts w:eastAsia="Times New Roman"/>
                <w:bCs/>
                <w:color w:val="000000" w:themeColor="text1"/>
              </w:rPr>
              <w:t>0.4</w:t>
            </w:r>
          </w:p>
        </w:tc>
        <w:tc>
          <w:tcPr>
            <w:tcW w:w="809" w:type="dxa"/>
          </w:tcPr>
          <w:p w14:paraId="206B8430" w14:textId="77777777" w:rsidR="0033663C" w:rsidRPr="003328F3" w:rsidRDefault="0033663C" w:rsidP="0033663C">
            <w:pPr>
              <w:pStyle w:val="TableText"/>
              <w:jc w:val="right"/>
            </w:pPr>
            <w:r>
              <w:rPr>
                <w:rFonts w:eastAsia="Times New Roman"/>
                <w:bCs/>
                <w:color w:val="000000" w:themeColor="text1"/>
              </w:rPr>
              <w:t>–</w:t>
            </w:r>
            <w:r w:rsidRPr="003328F3">
              <w:rPr>
                <w:rFonts w:eastAsia="Times New Roman"/>
                <w:bCs/>
                <w:color w:val="000000" w:themeColor="text1"/>
              </w:rPr>
              <w:t>1.6, 0.0</w:t>
            </w:r>
          </w:p>
        </w:tc>
      </w:tr>
      <w:tr w:rsidR="005710C4" w:rsidRPr="003328F3" w14:paraId="269A0123" w14:textId="77777777" w:rsidTr="005710C4">
        <w:trPr>
          <w:cantSplit/>
        </w:trPr>
        <w:tc>
          <w:tcPr>
            <w:tcW w:w="1826" w:type="dxa"/>
            <w:hideMark/>
          </w:tcPr>
          <w:p w14:paraId="36B8B3D4" w14:textId="77777777" w:rsidR="0033663C" w:rsidRPr="003328F3" w:rsidRDefault="0033663C" w:rsidP="0033663C">
            <w:pPr>
              <w:pStyle w:val="TableText"/>
              <w:rPr>
                <w:rFonts w:eastAsia="GillSans"/>
                <w:lang w:eastAsia="en-AU"/>
              </w:rPr>
            </w:pPr>
            <w:r w:rsidRPr="003328F3">
              <w:rPr>
                <w:rFonts w:cs="ArialMT"/>
              </w:rPr>
              <w:t>Yes</w:t>
            </w:r>
          </w:p>
        </w:tc>
        <w:tc>
          <w:tcPr>
            <w:tcW w:w="540" w:type="dxa"/>
          </w:tcPr>
          <w:p w14:paraId="66D78ACE" w14:textId="77777777" w:rsidR="0033663C" w:rsidRPr="003328F3" w:rsidRDefault="0033663C" w:rsidP="0033663C">
            <w:pPr>
              <w:pStyle w:val="TableText"/>
              <w:jc w:val="right"/>
            </w:pPr>
            <w:r w:rsidRPr="003328F3">
              <w:t>100.0</w:t>
            </w:r>
          </w:p>
        </w:tc>
        <w:tc>
          <w:tcPr>
            <w:tcW w:w="540" w:type="dxa"/>
          </w:tcPr>
          <w:p w14:paraId="75F4E2EA" w14:textId="77777777" w:rsidR="0033663C" w:rsidRPr="003328F3" w:rsidRDefault="0033663C" w:rsidP="0033663C">
            <w:pPr>
              <w:pStyle w:val="TableText"/>
              <w:jc w:val="right"/>
            </w:pPr>
            <w:r>
              <w:t>–</w:t>
            </w:r>
          </w:p>
        </w:tc>
        <w:tc>
          <w:tcPr>
            <w:tcW w:w="780" w:type="dxa"/>
          </w:tcPr>
          <w:p w14:paraId="4EB2224B" w14:textId="77777777" w:rsidR="0033663C" w:rsidRPr="003328F3" w:rsidRDefault="0033663C" w:rsidP="0033663C">
            <w:pPr>
              <w:pStyle w:val="TableText"/>
              <w:jc w:val="right"/>
            </w:pPr>
            <w:r>
              <w:t>–</w:t>
            </w:r>
          </w:p>
        </w:tc>
        <w:tc>
          <w:tcPr>
            <w:tcW w:w="480" w:type="dxa"/>
          </w:tcPr>
          <w:p w14:paraId="22DA77AE" w14:textId="77777777" w:rsidR="0033663C" w:rsidRPr="003328F3" w:rsidRDefault="0033663C" w:rsidP="0033663C">
            <w:pPr>
              <w:pStyle w:val="TableText"/>
              <w:jc w:val="right"/>
            </w:pPr>
            <w:r w:rsidRPr="003328F3">
              <w:t>98.3</w:t>
            </w:r>
          </w:p>
        </w:tc>
        <w:tc>
          <w:tcPr>
            <w:tcW w:w="540" w:type="dxa"/>
          </w:tcPr>
          <w:p w14:paraId="322E1F49" w14:textId="77777777" w:rsidR="0033663C" w:rsidRPr="003328F3" w:rsidRDefault="0033663C" w:rsidP="0033663C">
            <w:pPr>
              <w:pStyle w:val="TableText"/>
              <w:jc w:val="right"/>
            </w:pPr>
            <w:r w:rsidRPr="003328F3">
              <w:t>0.4</w:t>
            </w:r>
          </w:p>
        </w:tc>
        <w:tc>
          <w:tcPr>
            <w:tcW w:w="757" w:type="dxa"/>
          </w:tcPr>
          <w:p w14:paraId="2E72FB87" w14:textId="77777777" w:rsidR="0033663C" w:rsidRPr="003328F3" w:rsidRDefault="0033663C" w:rsidP="0033663C">
            <w:pPr>
              <w:pStyle w:val="TableText"/>
              <w:jc w:val="right"/>
            </w:pPr>
            <w:r w:rsidRPr="003328F3">
              <w:t>97.5, 99.1</w:t>
            </w:r>
          </w:p>
        </w:tc>
        <w:tc>
          <w:tcPr>
            <w:tcW w:w="503" w:type="dxa"/>
          </w:tcPr>
          <w:p w14:paraId="0C2832E0" w14:textId="77777777" w:rsidR="0033663C" w:rsidRPr="003328F3" w:rsidRDefault="0033663C" w:rsidP="0033663C">
            <w:pPr>
              <w:pStyle w:val="TableText"/>
              <w:jc w:val="right"/>
            </w:pPr>
            <w:r w:rsidRPr="003328F3">
              <w:t>1.7</w:t>
            </w:r>
          </w:p>
        </w:tc>
        <w:tc>
          <w:tcPr>
            <w:tcW w:w="540" w:type="dxa"/>
          </w:tcPr>
          <w:p w14:paraId="7D348421" w14:textId="77777777" w:rsidR="0033663C" w:rsidRPr="003328F3" w:rsidRDefault="0033663C" w:rsidP="0033663C">
            <w:pPr>
              <w:pStyle w:val="TableText"/>
              <w:jc w:val="right"/>
            </w:pPr>
            <w:r w:rsidRPr="003328F3">
              <w:t>0.4</w:t>
            </w:r>
          </w:p>
        </w:tc>
        <w:tc>
          <w:tcPr>
            <w:tcW w:w="809" w:type="dxa"/>
          </w:tcPr>
          <w:p w14:paraId="62BDCE23" w14:textId="77777777" w:rsidR="0033663C" w:rsidRPr="003328F3" w:rsidRDefault="0033663C" w:rsidP="0033663C">
            <w:pPr>
              <w:pStyle w:val="TableText"/>
              <w:jc w:val="right"/>
            </w:pPr>
            <w:r w:rsidRPr="003328F3">
              <w:t>0.9, 2.5</w:t>
            </w:r>
          </w:p>
        </w:tc>
      </w:tr>
      <w:tr w:rsidR="005710C4" w:rsidRPr="003328F3" w14:paraId="6343A481" w14:textId="77777777" w:rsidTr="005710C4">
        <w:trPr>
          <w:cnfStyle w:val="000000100000" w:firstRow="0" w:lastRow="0" w:firstColumn="0" w:lastColumn="0" w:oddVBand="0" w:evenVBand="0" w:oddHBand="1" w:evenHBand="0" w:firstRowFirstColumn="0" w:firstRowLastColumn="0" w:lastRowFirstColumn="0" w:lastRowLastColumn="0"/>
          <w:cantSplit/>
        </w:trPr>
        <w:tc>
          <w:tcPr>
            <w:tcW w:w="1826" w:type="dxa"/>
            <w:hideMark/>
          </w:tcPr>
          <w:p w14:paraId="7D2A6F2E" w14:textId="77777777" w:rsidR="0033663C" w:rsidRPr="003328F3" w:rsidRDefault="0033663C" w:rsidP="0033663C">
            <w:pPr>
              <w:pStyle w:val="TableText"/>
              <w:rPr>
                <w:rFonts w:eastAsia="GillSans"/>
                <w:lang w:eastAsia="en-AU"/>
              </w:rPr>
            </w:pPr>
            <w:r w:rsidRPr="003328F3">
              <w:rPr>
                <w:rFonts w:cs="ArialMT"/>
              </w:rPr>
              <w:t>Every day or almost every day</w:t>
            </w:r>
          </w:p>
        </w:tc>
        <w:tc>
          <w:tcPr>
            <w:tcW w:w="540" w:type="dxa"/>
          </w:tcPr>
          <w:p w14:paraId="5FF84540" w14:textId="77777777" w:rsidR="0033663C" w:rsidRPr="003328F3" w:rsidRDefault="0033663C" w:rsidP="0033663C">
            <w:pPr>
              <w:pStyle w:val="TableText"/>
              <w:jc w:val="right"/>
            </w:pPr>
            <w:r w:rsidRPr="003328F3">
              <w:t>98.5</w:t>
            </w:r>
          </w:p>
        </w:tc>
        <w:tc>
          <w:tcPr>
            <w:tcW w:w="540" w:type="dxa"/>
          </w:tcPr>
          <w:p w14:paraId="528586BC" w14:textId="77777777" w:rsidR="0033663C" w:rsidRPr="003328F3" w:rsidRDefault="0033663C" w:rsidP="0033663C">
            <w:pPr>
              <w:pStyle w:val="TableText"/>
              <w:jc w:val="right"/>
            </w:pPr>
            <w:r w:rsidRPr="003328F3">
              <w:t>1.0</w:t>
            </w:r>
          </w:p>
        </w:tc>
        <w:tc>
          <w:tcPr>
            <w:tcW w:w="780" w:type="dxa"/>
          </w:tcPr>
          <w:p w14:paraId="678EB602" w14:textId="77777777" w:rsidR="0033663C" w:rsidRPr="003328F3" w:rsidRDefault="0033663C" w:rsidP="0033663C">
            <w:pPr>
              <w:pStyle w:val="TableText"/>
              <w:jc w:val="right"/>
            </w:pPr>
            <w:r w:rsidRPr="003328F3">
              <w:t>94.6, 99.6</w:t>
            </w:r>
          </w:p>
        </w:tc>
        <w:tc>
          <w:tcPr>
            <w:tcW w:w="480" w:type="dxa"/>
          </w:tcPr>
          <w:p w14:paraId="68E95127" w14:textId="77777777" w:rsidR="0033663C" w:rsidRPr="003328F3" w:rsidRDefault="0033663C" w:rsidP="0033663C">
            <w:pPr>
              <w:pStyle w:val="TableText"/>
              <w:jc w:val="right"/>
            </w:pPr>
            <w:r w:rsidRPr="003328F3">
              <w:t>91.2</w:t>
            </w:r>
          </w:p>
        </w:tc>
        <w:tc>
          <w:tcPr>
            <w:tcW w:w="540" w:type="dxa"/>
          </w:tcPr>
          <w:p w14:paraId="59DB2A9F" w14:textId="77777777" w:rsidR="0033663C" w:rsidRPr="003328F3" w:rsidRDefault="0033663C" w:rsidP="0033663C">
            <w:pPr>
              <w:pStyle w:val="TableText"/>
              <w:jc w:val="right"/>
            </w:pPr>
            <w:r w:rsidRPr="003328F3">
              <w:t>1.5</w:t>
            </w:r>
          </w:p>
        </w:tc>
        <w:tc>
          <w:tcPr>
            <w:tcW w:w="757" w:type="dxa"/>
          </w:tcPr>
          <w:p w14:paraId="47FEED5A" w14:textId="77777777" w:rsidR="0033663C" w:rsidRPr="003328F3" w:rsidRDefault="0033663C" w:rsidP="0033663C">
            <w:pPr>
              <w:pStyle w:val="TableText"/>
              <w:jc w:val="right"/>
            </w:pPr>
            <w:r w:rsidRPr="003328F3">
              <w:t>88.4, 94.0</w:t>
            </w:r>
          </w:p>
        </w:tc>
        <w:tc>
          <w:tcPr>
            <w:tcW w:w="503" w:type="dxa"/>
          </w:tcPr>
          <w:p w14:paraId="19E47C80" w14:textId="77777777" w:rsidR="0033663C" w:rsidRPr="003328F3" w:rsidRDefault="0033663C" w:rsidP="0033663C">
            <w:pPr>
              <w:pStyle w:val="TableText"/>
              <w:jc w:val="right"/>
            </w:pPr>
            <w:r w:rsidRPr="003328F3">
              <w:t>7.3</w:t>
            </w:r>
          </w:p>
        </w:tc>
        <w:tc>
          <w:tcPr>
            <w:tcW w:w="540" w:type="dxa"/>
          </w:tcPr>
          <w:p w14:paraId="6D88F611" w14:textId="77777777" w:rsidR="0033663C" w:rsidRPr="003328F3" w:rsidRDefault="0033663C" w:rsidP="0033663C">
            <w:pPr>
              <w:pStyle w:val="TableText"/>
              <w:jc w:val="right"/>
            </w:pPr>
            <w:r w:rsidRPr="003328F3">
              <w:t>1.8</w:t>
            </w:r>
          </w:p>
        </w:tc>
        <w:tc>
          <w:tcPr>
            <w:tcW w:w="809" w:type="dxa"/>
          </w:tcPr>
          <w:p w14:paraId="3A54D387" w14:textId="77777777" w:rsidR="0033663C" w:rsidRPr="003328F3" w:rsidRDefault="0033663C" w:rsidP="0033663C">
            <w:pPr>
              <w:pStyle w:val="TableText"/>
              <w:jc w:val="right"/>
            </w:pPr>
            <w:r w:rsidRPr="003328F3">
              <w:t>3.9, 10.8</w:t>
            </w:r>
          </w:p>
        </w:tc>
      </w:tr>
      <w:tr w:rsidR="005710C4" w:rsidRPr="003328F3" w14:paraId="35600BEA" w14:textId="77777777" w:rsidTr="005710C4">
        <w:trPr>
          <w:cantSplit/>
        </w:trPr>
        <w:tc>
          <w:tcPr>
            <w:tcW w:w="1826" w:type="dxa"/>
            <w:hideMark/>
          </w:tcPr>
          <w:p w14:paraId="350AC720" w14:textId="77777777" w:rsidR="0033663C" w:rsidRPr="003328F3" w:rsidRDefault="0033663C" w:rsidP="0033663C">
            <w:pPr>
              <w:pStyle w:val="TableText"/>
              <w:rPr>
                <w:rFonts w:eastAsia="Times New Roman"/>
                <w:lang w:eastAsia="en-AU"/>
              </w:rPr>
            </w:pPr>
            <w:r w:rsidRPr="003328F3">
              <w:rPr>
                <w:rFonts w:cs="ArialMT"/>
              </w:rPr>
              <w:t>Once or twice a week</w:t>
            </w:r>
          </w:p>
        </w:tc>
        <w:tc>
          <w:tcPr>
            <w:tcW w:w="540" w:type="dxa"/>
          </w:tcPr>
          <w:p w14:paraId="7985DD6E" w14:textId="77777777" w:rsidR="0033663C" w:rsidRPr="003328F3" w:rsidRDefault="0033663C" w:rsidP="0033663C">
            <w:pPr>
              <w:pStyle w:val="TableText"/>
              <w:jc w:val="right"/>
            </w:pPr>
            <w:r w:rsidRPr="003328F3">
              <w:t>1.5</w:t>
            </w:r>
          </w:p>
        </w:tc>
        <w:tc>
          <w:tcPr>
            <w:tcW w:w="540" w:type="dxa"/>
          </w:tcPr>
          <w:p w14:paraId="1F8CB7C1" w14:textId="77777777" w:rsidR="0033663C" w:rsidRPr="003328F3" w:rsidRDefault="0033663C" w:rsidP="0033663C">
            <w:pPr>
              <w:pStyle w:val="TableText"/>
              <w:jc w:val="right"/>
            </w:pPr>
            <w:r w:rsidRPr="003328F3">
              <w:t>1.0</w:t>
            </w:r>
          </w:p>
        </w:tc>
        <w:tc>
          <w:tcPr>
            <w:tcW w:w="780" w:type="dxa"/>
          </w:tcPr>
          <w:p w14:paraId="74722513" w14:textId="77777777" w:rsidR="0033663C" w:rsidRPr="003328F3" w:rsidRDefault="0033663C" w:rsidP="0033663C">
            <w:pPr>
              <w:pStyle w:val="TableText"/>
              <w:jc w:val="right"/>
            </w:pPr>
            <w:r w:rsidRPr="003328F3">
              <w:t>0.4, 5.5</w:t>
            </w:r>
          </w:p>
        </w:tc>
        <w:tc>
          <w:tcPr>
            <w:tcW w:w="480" w:type="dxa"/>
          </w:tcPr>
          <w:p w14:paraId="5A05526C" w14:textId="77777777" w:rsidR="0033663C" w:rsidRPr="003328F3" w:rsidRDefault="0033663C" w:rsidP="0033663C">
            <w:pPr>
              <w:pStyle w:val="TableText"/>
              <w:jc w:val="right"/>
            </w:pPr>
            <w:r w:rsidRPr="003328F3">
              <w:t>5.8</w:t>
            </w:r>
          </w:p>
        </w:tc>
        <w:tc>
          <w:tcPr>
            <w:tcW w:w="540" w:type="dxa"/>
          </w:tcPr>
          <w:p w14:paraId="1937D147" w14:textId="77777777" w:rsidR="0033663C" w:rsidRPr="003328F3" w:rsidRDefault="0033663C" w:rsidP="0033663C">
            <w:pPr>
              <w:pStyle w:val="TableText"/>
              <w:jc w:val="right"/>
            </w:pPr>
            <w:r w:rsidRPr="003328F3">
              <w:t>1.3</w:t>
            </w:r>
          </w:p>
        </w:tc>
        <w:tc>
          <w:tcPr>
            <w:tcW w:w="757" w:type="dxa"/>
          </w:tcPr>
          <w:p w14:paraId="0D6454AE" w14:textId="77777777" w:rsidR="0033663C" w:rsidRPr="003328F3" w:rsidRDefault="0033663C" w:rsidP="0033663C">
            <w:pPr>
              <w:pStyle w:val="TableText"/>
              <w:jc w:val="right"/>
            </w:pPr>
            <w:r w:rsidRPr="003328F3">
              <w:t>3.3, 8.4</w:t>
            </w:r>
          </w:p>
        </w:tc>
        <w:tc>
          <w:tcPr>
            <w:tcW w:w="503" w:type="dxa"/>
          </w:tcPr>
          <w:p w14:paraId="5D11606A" w14:textId="77777777" w:rsidR="0033663C" w:rsidRPr="003328F3" w:rsidRDefault="0033663C" w:rsidP="0033663C">
            <w:pPr>
              <w:pStyle w:val="TableText"/>
              <w:jc w:val="right"/>
            </w:pPr>
            <w:r>
              <w:rPr>
                <w:rFonts w:eastAsia="Times New Roman"/>
                <w:bCs/>
                <w:color w:val="000000" w:themeColor="text1"/>
              </w:rPr>
              <w:t>–</w:t>
            </w:r>
            <w:r w:rsidRPr="003328F3">
              <w:t>4.4</w:t>
            </w:r>
          </w:p>
        </w:tc>
        <w:tc>
          <w:tcPr>
            <w:tcW w:w="540" w:type="dxa"/>
          </w:tcPr>
          <w:p w14:paraId="7EACAE1A" w14:textId="77777777" w:rsidR="0033663C" w:rsidRPr="003328F3" w:rsidRDefault="0033663C" w:rsidP="0033663C">
            <w:pPr>
              <w:pStyle w:val="TableText"/>
              <w:jc w:val="right"/>
            </w:pPr>
            <w:r w:rsidRPr="003328F3">
              <w:t>1.6</w:t>
            </w:r>
          </w:p>
        </w:tc>
        <w:tc>
          <w:tcPr>
            <w:tcW w:w="809" w:type="dxa"/>
          </w:tcPr>
          <w:p w14:paraId="41A0155B" w14:textId="77777777" w:rsidR="0033663C" w:rsidRPr="003328F3" w:rsidRDefault="0033663C" w:rsidP="0033663C">
            <w:pPr>
              <w:pStyle w:val="TableText"/>
              <w:jc w:val="right"/>
            </w:pPr>
            <w:r>
              <w:rPr>
                <w:rFonts w:eastAsia="Times New Roman"/>
                <w:bCs/>
                <w:color w:val="000000" w:themeColor="text1"/>
              </w:rPr>
              <w:t>–</w:t>
            </w:r>
            <w:r w:rsidRPr="003328F3">
              <w:t xml:space="preserve">7.6, </w:t>
            </w:r>
            <w:r>
              <w:rPr>
                <w:rFonts w:eastAsia="Times New Roman"/>
                <w:bCs/>
                <w:color w:val="000000" w:themeColor="text1"/>
              </w:rPr>
              <w:t>–</w:t>
            </w:r>
            <w:r w:rsidRPr="003328F3">
              <w:t>1.2</w:t>
            </w:r>
          </w:p>
        </w:tc>
      </w:tr>
      <w:tr w:rsidR="005710C4" w:rsidRPr="003328F3" w14:paraId="34ECA6F3" w14:textId="77777777" w:rsidTr="005710C4">
        <w:trPr>
          <w:cnfStyle w:val="000000100000" w:firstRow="0" w:lastRow="0" w:firstColumn="0" w:lastColumn="0" w:oddVBand="0" w:evenVBand="0" w:oddHBand="1" w:evenHBand="0" w:firstRowFirstColumn="0" w:firstRowLastColumn="0" w:lastRowFirstColumn="0" w:lastRowLastColumn="0"/>
          <w:cantSplit/>
        </w:trPr>
        <w:tc>
          <w:tcPr>
            <w:tcW w:w="1826" w:type="dxa"/>
          </w:tcPr>
          <w:p w14:paraId="40B5F144" w14:textId="77777777" w:rsidR="0033663C" w:rsidRPr="003328F3" w:rsidRDefault="0033663C" w:rsidP="0033663C">
            <w:pPr>
              <w:pStyle w:val="TableText"/>
              <w:rPr>
                <w:lang w:eastAsia="en-AU"/>
              </w:rPr>
            </w:pPr>
            <w:r w:rsidRPr="003328F3">
              <w:rPr>
                <w:rFonts w:cs="Arial"/>
              </w:rPr>
              <w:t>Once or twice a month</w:t>
            </w:r>
          </w:p>
        </w:tc>
        <w:tc>
          <w:tcPr>
            <w:tcW w:w="540" w:type="dxa"/>
          </w:tcPr>
          <w:p w14:paraId="1EF58EB4" w14:textId="77777777" w:rsidR="0033663C" w:rsidRPr="003328F3" w:rsidRDefault="0033663C" w:rsidP="0033663C">
            <w:pPr>
              <w:pStyle w:val="TableText"/>
              <w:jc w:val="right"/>
              <w:rPr>
                <w:color w:val="000000" w:themeColor="text1"/>
              </w:rPr>
            </w:pPr>
            <w:r w:rsidRPr="003328F3">
              <w:rPr>
                <w:color w:val="000000" w:themeColor="text1"/>
              </w:rPr>
              <w:t>0.0</w:t>
            </w:r>
          </w:p>
        </w:tc>
        <w:tc>
          <w:tcPr>
            <w:tcW w:w="540" w:type="dxa"/>
          </w:tcPr>
          <w:p w14:paraId="4D70506E" w14:textId="77777777" w:rsidR="0033663C" w:rsidRPr="003328F3" w:rsidRDefault="0033663C" w:rsidP="0033663C">
            <w:pPr>
              <w:pStyle w:val="TableText"/>
              <w:jc w:val="right"/>
              <w:rPr>
                <w:color w:val="000000" w:themeColor="text1"/>
              </w:rPr>
            </w:pPr>
            <w:r>
              <w:rPr>
                <w:color w:val="000000" w:themeColor="text1"/>
              </w:rPr>
              <w:t>–</w:t>
            </w:r>
          </w:p>
        </w:tc>
        <w:tc>
          <w:tcPr>
            <w:tcW w:w="780" w:type="dxa"/>
          </w:tcPr>
          <w:p w14:paraId="68CA58E9" w14:textId="77777777" w:rsidR="0033663C" w:rsidRPr="003328F3" w:rsidRDefault="0033663C" w:rsidP="0033663C">
            <w:pPr>
              <w:pStyle w:val="TableText"/>
              <w:jc w:val="right"/>
              <w:rPr>
                <w:color w:val="000000" w:themeColor="text1"/>
              </w:rPr>
            </w:pPr>
            <w:r>
              <w:rPr>
                <w:color w:val="000000" w:themeColor="text1"/>
              </w:rPr>
              <w:t>–</w:t>
            </w:r>
          </w:p>
        </w:tc>
        <w:tc>
          <w:tcPr>
            <w:tcW w:w="480" w:type="dxa"/>
          </w:tcPr>
          <w:p w14:paraId="35C1D164" w14:textId="77777777" w:rsidR="0033663C" w:rsidRPr="003328F3" w:rsidRDefault="0033663C" w:rsidP="0033663C">
            <w:pPr>
              <w:pStyle w:val="TableText"/>
              <w:jc w:val="right"/>
              <w:rPr>
                <w:rFonts w:eastAsia="Times New Roman"/>
                <w:bCs/>
                <w:color w:val="000000" w:themeColor="text1"/>
              </w:rPr>
            </w:pPr>
            <w:r w:rsidRPr="003328F3">
              <w:rPr>
                <w:rFonts w:eastAsia="Times New Roman"/>
                <w:bCs/>
                <w:color w:val="000000" w:themeColor="text1"/>
              </w:rPr>
              <w:t>1.3</w:t>
            </w:r>
          </w:p>
        </w:tc>
        <w:tc>
          <w:tcPr>
            <w:tcW w:w="540" w:type="dxa"/>
          </w:tcPr>
          <w:p w14:paraId="678AAEA2"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0.7</w:t>
            </w:r>
          </w:p>
        </w:tc>
        <w:tc>
          <w:tcPr>
            <w:tcW w:w="757" w:type="dxa"/>
          </w:tcPr>
          <w:p w14:paraId="4E5A7DB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0.0, 2.6</w:t>
            </w:r>
          </w:p>
        </w:tc>
        <w:tc>
          <w:tcPr>
            <w:tcW w:w="503" w:type="dxa"/>
          </w:tcPr>
          <w:p w14:paraId="00963299"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1.3</w:t>
            </w:r>
          </w:p>
        </w:tc>
        <w:tc>
          <w:tcPr>
            <w:tcW w:w="540" w:type="dxa"/>
          </w:tcPr>
          <w:p w14:paraId="1D1FCBE2"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0.7</w:t>
            </w:r>
          </w:p>
        </w:tc>
        <w:tc>
          <w:tcPr>
            <w:tcW w:w="809" w:type="dxa"/>
          </w:tcPr>
          <w:p w14:paraId="67DD6EB3"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2.6, 0.0</w:t>
            </w:r>
          </w:p>
        </w:tc>
      </w:tr>
      <w:tr w:rsidR="005710C4" w:rsidRPr="003328F3" w14:paraId="72F14D71" w14:textId="77777777" w:rsidTr="005710C4">
        <w:trPr>
          <w:cantSplit/>
        </w:trPr>
        <w:tc>
          <w:tcPr>
            <w:tcW w:w="1826" w:type="dxa"/>
            <w:tcBorders>
              <w:bottom w:val="nil"/>
            </w:tcBorders>
          </w:tcPr>
          <w:p w14:paraId="75CD993B" w14:textId="77777777" w:rsidR="0033663C" w:rsidRPr="003328F3" w:rsidRDefault="0033663C" w:rsidP="0033663C">
            <w:pPr>
              <w:pStyle w:val="TableText"/>
              <w:rPr>
                <w:lang w:eastAsia="en-AU"/>
              </w:rPr>
            </w:pPr>
            <w:r w:rsidRPr="003328F3">
              <w:rPr>
                <w:rFonts w:cs="Arial"/>
              </w:rPr>
              <w:t>Less than once a month</w:t>
            </w:r>
          </w:p>
        </w:tc>
        <w:tc>
          <w:tcPr>
            <w:tcW w:w="540" w:type="dxa"/>
            <w:tcBorders>
              <w:bottom w:val="nil"/>
            </w:tcBorders>
          </w:tcPr>
          <w:p w14:paraId="6B7C6E48" w14:textId="77777777" w:rsidR="0033663C" w:rsidRPr="003328F3" w:rsidRDefault="0033663C" w:rsidP="0033663C">
            <w:pPr>
              <w:pStyle w:val="TableText"/>
              <w:jc w:val="right"/>
            </w:pPr>
            <w:r w:rsidRPr="003328F3">
              <w:rPr>
                <w:color w:val="000000" w:themeColor="text1"/>
              </w:rPr>
              <w:t>0.0</w:t>
            </w:r>
          </w:p>
        </w:tc>
        <w:tc>
          <w:tcPr>
            <w:tcW w:w="540" w:type="dxa"/>
            <w:tcBorders>
              <w:bottom w:val="nil"/>
            </w:tcBorders>
          </w:tcPr>
          <w:p w14:paraId="1F9FB81E" w14:textId="77777777" w:rsidR="0033663C" w:rsidRPr="003328F3" w:rsidRDefault="0033663C" w:rsidP="0033663C">
            <w:pPr>
              <w:pStyle w:val="TableText"/>
              <w:jc w:val="right"/>
            </w:pPr>
            <w:r>
              <w:rPr>
                <w:color w:val="000000" w:themeColor="text1"/>
              </w:rPr>
              <w:t>–</w:t>
            </w:r>
          </w:p>
        </w:tc>
        <w:tc>
          <w:tcPr>
            <w:tcW w:w="780" w:type="dxa"/>
            <w:tcBorders>
              <w:bottom w:val="nil"/>
            </w:tcBorders>
          </w:tcPr>
          <w:p w14:paraId="4D672965" w14:textId="77777777" w:rsidR="0033663C" w:rsidRPr="003328F3" w:rsidRDefault="0033663C" w:rsidP="0033663C">
            <w:pPr>
              <w:pStyle w:val="TableText"/>
              <w:jc w:val="right"/>
            </w:pPr>
            <w:r>
              <w:rPr>
                <w:color w:val="000000" w:themeColor="text1"/>
              </w:rPr>
              <w:t>–</w:t>
            </w:r>
          </w:p>
        </w:tc>
        <w:tc>
          <w:tcPr>
            <w:tcW w:w="480" w:type="dxa"/>
            <w:tcBorders>
              <w:bottom w:val="nil"/>
            </w:tcBorders>
          </w:tcPr>
          <w:p w14:paraId="09ABE102" w14:textId="77777777" w:rsidR="0033663C" w:rsidRPr="003328F3" w:rsidRDefault="0033663C" w:rsidP="0033663C">
            <w:pPr>
              <w:pStyle w:val="TableText"/>
              <w:jc w:val="right"/>
            </w:pPr>
            <w:r w:rsidRPr="003328F3">
              <w:rPr>
                <w:color w:val="000000" w:themeColor="text1"/>
              </w:rPr>
              <w:t>0.0</w:t>
            </w:r>
          </w:p>
        </w:tc>
        <w:tc>
          <w:tcPr>
            <w:tcW w:w="540" w:type="dxa"/>
            <w:tcBorders>
              <w:bottom w:val="nil"/>
            </w:tcBorders>
          </w:tcPr>
          <w:p w14:paraId="21E3D0FC" w14:textId="77777777" w:rsidR="0033663C" w:rsidRPr="003328F3" w:rsidRDefault="0033663C" w:rsidP="0033663C">
            <w:pPr>
              <w:pStyle w:val="TableText"/>
              <w:jc w:val="right"/>
            </w:pPr>
            <w:r>
              <w:rPr>
                <w:color w:val="000000" w:themeColor="text1"/>
              </w:rPr>
              <w:t>–</w:t>
            </w:r>
          </w:p>
        </w:tc>
        <w:tc>
          <w:tcPr>
            <w:tcW w:w="757" w:type="dxa"/>
            <w:tcBorders>
              <w:bottom w:val="nil"/>
            </w:tcBorders>
          </w:tcPr>
          <w:p w14:paraId="3BD5236C" w14:textId="77777777" w:rsidR="0033663C" w:rsidRPr="003328F3" w:rsidRDefault="0033663C" w:rsidP="0033663C">
            <w:pPr>
              <w:pStyle w:val="TableText"/>
              <w:jc w:val="right"/>
            </w:pPr>
            <w:r>
              <w:rPr>
                <w:color w:val="000000" w:themeColor="text1"/>
              </w:rPr>
              <w:t>–</w:t>
            </w:r>
          </w:p>
        </w:tc>
        <w:tc>
          <w:tcPr>
            <w:tcW w:w="503" w:type="dxa"/>
            <w:tcBorders>
              <w:bottom w:val="nil"/>
            </w:tcBorders>
          </w:tcPr>
          <w:p w14:paraId="7ABCB1D5" w14:textId="77777777" w:rsidR="0033663C" w:rsidRPr="003328F3" w:rsidRDefault="0033663C" w:rsidP="0033663C">
            <w:pPr>
              <w:pStyle w:val="TableText"/>
              <w:jc w:val="right"/>
            </w:pPr>
            <w:r w:rsidRPr="003328F3">
              <w:rPr>
                <w:color w:val="000000" w:themeColor="text1"/>
              </w:rPr>
              <w:t>0.0</w:t>
            </w:r>
          </w:p>
        </w:tc>
        <w:tc>
          <w:tcPr>
            <w:tcW w:w="540" w:type="dxa"/>
            <w:tcBorders>
              <w:bottom w:val="nil"/>
            </w:tcBorders>
          </w:tcPr>
          <w:p w14:paraId="33FF4326" w14:textId="77777777" w:rsidR="0033663C" w:rsidRPr="003328F3" w:rsidRDefault="0033663C" w:rsidP="0033663C">
            <w:pPr>
              <w:pStyle w:val="TableText"/>
              <w:jc w:val="right"/>
            </w:pPr>
            <w:r>
              <w:rPr>
                <w:color w:val="000000" w:themeColor="text1"/>
              </w:rPr>
              <w:t>–</w:t>
            </w:r>
          </w:p>
        </w:tc>
        <w:tc>
          <w:tcPr>
            <w:tcW w:w="809" w:type="dxa"/>
            <w:tcBorders>
              <w:bottom w:val="nil"/>
            </w:tcBorders>
          </w:tcPr>
          <w:p w14:paraId="62BFCB90" w14:textId="77777777" w:rsidR="0033663C" w:rsidRPr="003328F3" w:rsidRDefault="0033663C" w:rsidP="0033663C">
            <w:pPr>
              <w:pStyle w:val="TableText"/>
              <w:jc w:val="right"/>
            </w:pPr>
            <w:r>
              <w:rPr>
                <w:color w:val="000000" w:themeColor="text1"/>
              </w:rPr>
              <w:t>–</w:t>
            </w:r>
          </w:p>
        </w:tc>
      </w:tr>
      <w:tr w:rsidR="005710C4" w:rsidRPr="003328F3" w14:paraId="6CABC904" w14:textId="77777777" w:rsidTr="005710C4">
        <w:trPr>
          <w:cnfStyle w:val="010000000000" w:firstRow="0" w:lastRow="1" w:firstColumn="0" w:lastColumn="0" w:oddVBand="0" w:evenVBand="0" w:oddHBand="0" w:evenHBand="0" w:firstRowFirstColumn="0" w:firstRowLastColumn="0" w:lastRowFirstColumn="0" w:lastRowLastColumn="0"/>
          <w:cantSplit/>
        </w:trPr>
        <w:tc>
          <w:tcPr>
            <w:tcW w:w="1826" w:type="dxa"/>
            <w:tcBorders>
              <w:bottom w:val="single" w:sz="4" w:space="0" w:color="000000"/>
            </w:tcBorders>
            <w:shd w:val="clear" w:color="auto" w:fill="C1D9FF"/>
          </w:tcPr>
          <w:p w14:paraId="2E34EB1A" w14:textId="77777777" w:rsidR="0033663C" w:rsidRPr="003328F3" w:rsidRDefault="0033663C" w:rsidP="0033663C">
            <w:pPr>
              <w:pStyle w:val="TableText"/>
              <w:rPr>
                <w:lang w:eastAsia="en-AU"/>
              </w:rPr>
            </w:pPr>
            <w:r w:rsidRPr="003328F3">
              <w:rPr>
                <w:rFonts w:cs="Arial"/>
              </w:rPr>
              <w:t>Never</w:t>
            </w:r>
          </w:p>
        </w:tc>
        <w:tc>
          <w:tcPr>
            <w:tcW w:w="540" w:type="dxa"/>
            <w:tcBorders>
              <w:bottom w:val="single" w:sz="4" w:space="0" w:color="000000"/>
            </w:tcBorders>
            <w:shd w:val="clear" w:color="auto" w:fill="C1D9FF"/>
          </w:tcPr>
          <w:p w14:paraId="3F2C1272" w14:textId="77777777" w:rsidR="0033663C" w:rsidRPr="003328F3" w:rsidRDefault="0033663C" w:rsidP="0033663C">
            <w:pPr>
              <w:pStyle w:val="TableText"/>
              <w:jc w:val="right"/>
            </w:pPr>
            <w:r w:rsidRPr="003328F3">
              <w:rPr>
                <w:color w:val="000000" w:themeColor="text1"/>
              </w:rPr>
              <w:t>0.0</w:t>
            </w:r>
          </w:p>
        </w:tc>
        <w:tc>
          <w:tcPr>
            <w:tcW w:w="540" w:type="dxa"/>
            <w:tcBorders>
              <w:bottom w:val="single" w:sz="4" w:space="0" w:color="000000"/>
            </w:tcBorders>
            <w:shd w:val="clear" w:color="auto" w:fill="C1D9FF"/>
          </w:tcPr>
          <w:p w14:paraId="18CC7CA1" w14:textId="77777777" w:rsidR="0033663C" w:rsidRPr="003328F3" w:rsidRDefault="0033663C" w:rsidP="0033663C">
            <w:pPr>
              <w:pStyle w:val="TableText"/>
              <w:jc w:val="right"/>
            </w:pPr>
            <w:r>
              <w:rPr>
                <w:color w:val="000000" w:themeColor="text1"/>
              </w:rPr>
              <w:t>–</w:t>
            </w:r>
          </w:p>
        </w:tc>
        <w:tc>
          <w:tcPr>
            <w:tcW w:w="780" w:type="dxa"/>
            <w:tcBorders>
              <w:bottom w:val="single" w:sz="4" w:space="0" w:color="000000"/>
            </w:tcBorders>
            <w:shd w:val="clear" w:color="auto" w:fill="C1D9FF"/>
          </w:tcPr>
          <w:p w14:paraId="77D5DE76" w14:textId="77777777" w:rsidR="0033663C" w:rsidRPr="003328F3" w:rsidRDefault="0033663C" w:rsidP="0033663C">
            <w:pPr>
              <w:pStyle w:val="TableText"/>
              <w:jc w:val="right"/>
            </w:pPr>
            <w:r>
              <w:rPr>
                <w:color w:val="000000" w:themeColor="text1"/>
              </w:rPr>
              <w:t>–</w:t>
            </w:r>
          </w:p>
        </w:tc>
        <w:tc>
          <w:tcPr>
            <w:tcW w:w="480" w:type="dxa"/>
            <w:tcBorders>
              <w:bottom w:val="single" w:sz="4" w:space="0" w:color="000000"/>
            </w:tcBorders>
            <w:shd w:val="clear" w:color="auto" w:fill="C1D9FF"/>
          </w:tcPr>
          <w:p w14:paraId="62C45AFD" w14:textId="77777777" w:rsidR="0033663C" w:rsidRPr="003328F3" w:rsidRDefault="0033663C" w:rsidP="0033663C">
            <w:pPr>
              <w:pStyle w:val="TableText"/>
              <w:jc w:val="right"/>
              <w:rPr>
                <w:rFonts w:eastAsia="Times New Roman"/>
                <w:bCs/>
                <w:color w:val="000000" w:themeColor="text1"/>
              </w:rPr>
            </w:pPr>
            <w:r w:rsidRPr="003328F3">
              <w:rPr>
                <w:rFonts w:eastAsia="Times New Roman"/>
                <w:bCs/>
                <w:color w:val="000000" w:themeColor="text1"/>
              </w:rPr>
              <w:t>0.8</w:t>
            </w:r>
          </w:p>
        </w:tc>
        <w:tc>
          <w:tcPr>
            <w:tcW w:w="540" w:type="dxa"/>
            <w:tcBorders>
              <w:bottom w:val="single" w:sz="4" w:space="0" w:color="000000"/>
            </w:tcBorders>
            <w:shd w:val="clear" w:color="auto" w:fill="C1D9FF"/>
          </w:tcPr>
          <w:p w14:paraId="21E37B25"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0.4</w:t>
            </w:r>
          </w:p>
        </w:tc>
        <w:tc>
          <w:tcPr>
            <w:tcW w:w="757" w:type="dxa"/>
            <w:tcBorders>
              <w:bottom w:val="single" w:sz="4" w:space="0" w:color="000000"/>
            </w:tcBorders>
            <w:shd w:val="clear" w:color="auto" w:fill="C1D9FF"/>
          </w:tcPr>
          <w:p w14:paraId="2EF80F1D"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0.0, 1.6</w:t>
            </w:r>
          </w:p>
        </w:tc>
        <w:tc>
          <w:tcPr>
            <w:tcW w:w="503" w:type="dxa"/>
            <w:tcBorders>
              <w:bottom w:val="single" w:sz="4" w:space="0" w:color="000000"/>
            </w:tcBorders>
            <w:shd w:val="clear" w:color="auto" w:fill="C1D9FF"/>
          </w:tcPr>
          <w:p w14:paraId="7D6888C0"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0.8</w:t>
            </w:r>
          </w:p>
        </w:tc>
        <w:tc>
          <w:tcPr>
            <w:tcW w:w="540" w:type="dxa"/>
            <w:tcBorders>
              <w:bottom w:val="single" w:sz="4" w:space="0" w:color="000000"/>
            </w:tcBorders>
            <w:shd w:val="clear" w:color="auto" w:fill="C1D9FF"/>
          </w:tcPr>
          <w:p w14:paraId="2E5316F3"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0.4</w:t>
            </w:r>
          </w:p>
        </w:tc>
        <w:tc>
          <w:tcPr>
            <w:tcW w:w="809" w:type="dxa"/>
            <w:tcBorders>
              <w:bottom w:val="single" w:sz="4" w:space="0" w:color="000000"/>
            </w:tcBorders>
            <w:shd w:val="clear" w:color="auto" w:fill="C1D9FF"/>
          </w:tcPr>
          <w:p w14:paraId="44A44304"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1.6, 0.0</w:t>
            </w:r>
          </w:p>
        </w:tc>
      </w:tr>
    </w:tbl>
    <w:p w14:paraId="154B931F" w14:textId="77777777" w:rsidR="0033663C" w:rsidRPr="00603A74" w:rsidRDefault="0033663C" w:rsidP="0033663C">
      <w:pPr>
        <w:pStyle w:val="TableNotes"/>
      </w:pPr>
      <w:r>
        <w:t>Notes</w:t>
      </w:r>
    </w:p>
    <w:p w14:paraId="0F57B8B3" w14:textId="77777777" w:rsidR="0033663C" w:rsidRDefault="0033663C" w:rsidP="0033663C">
      <w:pPr>
        <w:pStyle w:val="TableNotes"/>
      </w:pPr>
      <w:r w:rsidRPr="008A51EB">
        <w:t xml:space="preserve">Denominator: Total Transitioned ADF </w:t>
      </w:r>
      <w:r>
        <w:t>18–25</w:t>
      </w:r>
      <w:r w:rsidRPr="008A51EB">
        <w:t xml:space="preserve"> years and Young and Well </w:t>
      </w:r>
      <w:r>
        <w:t>18–25</w:t>
      </w:r>
      <w:r w:rsidRPr="008A51EB">
        <w:t xml:space="preserve"> years cohorts</w:t>
      </w:r>
      <w:r>
        <w:t>.</w:t>
      </w:r>
    </w:p>
    <w:p w14:paraId="3355537D" w14:textId="77777777" w:rsidR="0033663C" w:rsidRPr="008A51EB" w:rsidRDefault="0033663C" w:rsidP="0033663C">
      <w:pPr>
        <w:pStyle w:val="TableNotes"/>
      </w:pPr>
      <w:r>
        <w:t>There were no</w:t>
      </w:r>
      <w:r w:rsidRPr="008A51EB">
        <w:t xml:space="preserve"> m</w:t>
      </w:r>
      <w:r>
        <w:t>issing values for this question.</w:t>
      </w:r>
    </w:p>
    <w:p w14:paraId="6B70BF8B" w14:textId="77777777" w:rsidR="0033663C" w:rsidRDefault="0033663C" w:rsidP="0033663C">
      <w:pPr>
        <w:pStyle w:val="TableNotes"/>
      </w:pPr>
      <w:r>
        <w:t>95%CI = 95% confidence interval.</w:t>
      </w:r>
    </w:p>
    <w:p w14:paraId="5F712F3B" w14:textId="61D19392" w:rsidR="0033663C" w:rsidRPr="003328F3" w:rsidRDefault="0033663C" w:rsidP="0033663C">
      <w:pPr>
        <w:pStyle w:val="FigureName"/>
        <w:rPr>
          <w:lang w:eastAsia="en-AU"/>
        </w:rPr>
      </w:pPr>
      <w:bookmarkStart w:id="1129" w:name="_Ref514911927"/>
      <w:bookmarkStart w:id="1130" w:name="_Toc515374737"/>
      <w:bookmarkStart w:id="1131" w:name="_Toc528932421"/>
      <w:bookmarkStart w:id="1132" w:name="_Toc531858101"/>
      <w:r>
        <w:t xml:space="preserve">Figure </w:t>
      </w:r>
      <w:r>
        <w:rPr>
          <w:noProof/>
        </w:rPr>
        <w:t>10</w:t>
      </w:r>
      <w:r>
        <w:t>.</w:t>
      </w:r>
      <w:r>
        <w:rPr>
          <w:noProof/>
        </w:rPr>
        <w:t>1</w:t>
      </w:r>
      <w:bookmarkEnd w:id="1129"/>
      <w:r>
        <w:tab/>
      </w:r>
      <w:r w:rsidRPr="003328F3">
        <w:t xml:space="preserve">Frequency of </w:t>
      </w:r>
      <w:r>
        <w:t xml:space="preserve">internet use in </w:t>
      </w:r>
      <w:r w:rsidRPr="003328F3">
        <w:t xml:space="preserve">Transitioned ADF (aged </w:t>
      </w:r>
      <w:r>
        <w:t>18–25</w:t>
      </w:r>
      <w:r w:rsidRPr="003328F3">
        <w:t>) compared to the Young and Well cohort</w:t>
      </w:r>
      <w:bookmarkEnd w:id="1130"/>
      <w:bookmarkEnd w:id="1131"/>
      <w:bookmarkEnd w:id="1132"/>
    </w:p>
    <w:p w14:paraId="142DCE77" w14:textId="77777777" w:rsidR="0033663C" w:rsidRPr="00B737A1" w:rsidRDefault="005710C4" w:rsidP="00B737A1">
      <w:pPr>
        <w:spacing w:after="360"/>
      </w:pPr>
      <w:r w:rsidRPr="003328F3">
        <w:rPr>
          <w:rFonts w:asciiTheme="minorHAnsi" w:hAnsiTheme="minorHAnsi"/>
          <w:noProof/>
          <w:lang w:eastAsia="en-AU"/>
        </w:rPr>
        <w:drawing>
          <wp:inline distT="0" distB="0" distL="0" distR="0" wp14:anchorId="0425FBB2" wp14:editId="288EF541">
            <wp:extent cx="4572000" cy="3200400"/>
            <wp:effectExtent l="0" t="0" r="19050" b="19050"/>
            <wp:docPr id="487" name="Chart 487" descr="Figure 10.1 Frequency of internet use in Transitioned ADF (aged 18–25) compared to the Young and Wel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3C567184" w14:textId="77777777" w:rsidR="0033663C" w:rsidRPr="008A51EB" w:rsidRDefault="0033663C" w:rsidP="0033663C">
      <w:pPr>
        <w:pStyle w:val="Heading3"/>
        <w:numPr>
          <w:ilvl w:val="2"/>
          <w:numId w:val="1"/>
        </w:numPr>
      </w:pPr>
      <w:bookmarkStart w:id="1133" w:name="_Toc387565414"/>
      <w:bookmarkStart w:id="1134" w:name="_Toc515374565"/>
      <w:bookmarkStart w:id="1135" w:name="_Toc518566459"/>
      <w:bookmarkStart w:id="1136" w:name="_Toc528932737"/>
      <w:bookmarkStart w:id="1137" w:name="_Toc531859274"/>
      <w:r w:rsidRPr="008A51EB">
        <w:t xml:space="preserve">Duration of </w:t>
      </w:r>
      <w:r>
        <w:t>internet</w:t>
      </w:r>
      <w:r w:rsidRPr="008A51EB">
        <w:t xml:space="preserve"> use on a normal work day</w:t>
      </w:r>
      <w:bookmarkEnd w:id="1133"/>
      <w:bookmarkEnd w:id="1134"/>
      <w:bookmarkEnd w:id="1135"/>
      <w:bookmarkEnd w:id="1136"/>
      <w:bookmarkEnd w:id="1137"/>
    </w:p>
    <w:p w14:paraId="5B4D96F7" w14:textId="525D31EC" w:rsidR="0033663C" w:rsidRPr="003328F3" w:rsidRDefault="0033663C" w:rsidP="00103AB1">
      <w:pPr>
        <w:keepLines/>
        <w:rPr>
          <w:rFonts w:eastAsia="Times New Roman" w:cs="Calibri"/>
          <w:szCs w:val="22"/>
          <w:lang w:eastAsia="en-AU"/>
        </w:rPr>
      </w:pPr>
      <w:r w:rsidRPr="003328F3">
        <w:rPr>
          <w:rFonts w:asciiTheme="minorHAnsi" w:hAnsiTheme="minorHAnsi" w:cstheme="minorHAnsi"/>
        </w:rPr>
        <w:t xml:space="preserve">Respondents in the </w:t>
      </w:r>
      <w:r w:rsidRPr="003328F3">
        <w:t>Mental H</w:t>
      </w:r>
      <w:r>
        <w:t>ealth and Wellbeing Transition S</w:t>
      </w:r>
      <w:r w:rsidRPr="003328F3">
        <w:t xml:space="preserve">tudy were asked </w:t>
      </w:r>
      <w:r>
        <w:t>‘</w:t>
      </w:r>
      <w:r w:rsidRPr="003328F3">
        <w:rPr>
          <w:rFonts w:eastAsia="Times New Roman" w:cs="Calibri"/>
          <w:szCs w:val="22"/>
          <w:lang w:eastAsia="en-AU"/>
        </w:rPr>
        <w:t xml:space="preserve">Approximately how much time would you spend using the </w:t>
      </w:r>
      <w:r>
        <w:rPr>
          <w:rFonts w:eastAsia="Times New Roman" w:cs="Calibri"/>
          <w:szCs w:val="22"/>
          <w:lang w:eastAsia="en-AU"/>
        </w:rPr>
        <w:t>internet</w:t>
      </w:r>
      <w:r w:rsidRPr="003328F3">
        <w:rPr>
          <w:rFonts w:eastAsia="Times New Roman" w:cs="Calibri"/>
          <w:szCs w:val="22"/>
          <w:lang w:eastAsia="en-AU"/>
        </w:rPr>
        <w:t xml:space="preserve"> on a normal work day</w:t>
      </w:r>
      <w:r w:rsidRPr="003328F3">
        <w:t>?</w:t>
      </w:r>
      <w:r>
        <w:t>’</w:t>
      </w:r>
      <w:r w:rsidRPr="003328F3">
        <w:t xml:space="preserve"> and respo</w:t>
      </w:r>
      <w:r>
        <w:t>ndents from the Young and Well S</w:t>
      </w:r>
      <w:r w:rsidRPr="003328F3">
        <w:t xml:space="preserve">tudy were asked </w:t>
      </w:r>
      <w:r>
        <w:t>‘</w:t>
      </w:r>
      <w:r w:rsidRPr="003328F3">
        <w:rPr>
          <w:rFonts w:eastAsia="Times New Roman" w:cs="Calibri"/>
          <w:szCs w:val="22"/>
          <w:lang w:eastAsia="en-AU"/>
        </w:rPr>
        <w:t xml:space="preserve">Approximately how much time (in hours) would you use the </w:t>
      </w:r>
      <w:r>
        <w:rPr>
          <w:rFonts w:eastAsia="Times New Roman" w:cs="Calibri"/>
          <w:szCs w:val="22"/>
          <w:lang w:eastAsia="en-AU"/>
        </w:rPr>
        <w:t>internet</w:t>
      </w:r>
      <w:r w:rsidRPr="003328F3">
        <w:rPr>
          <w:rFonts w:eastAsia="Times New Roman" w:cs="Calibri"/>
          <w:szCs w:val="22"/>
          <w:lang w:eastAsia="en-AU"/>
        </w:rPr>
        <w:t xml:space="preserve"> on a normal </w:t>
      </w:r>
      <w:r w:rsidR="0020591C">
        <w:rPr>
          <w:rFonts w:eastAsia="Times New Roman" w:cs="Calibri"/>
          <w:szCs w:val="22"/>
          <w:lang w:eastAsia="en-AU"/>
        </w:rPr>
        <w:t>week day</w:t>
      </w:r>
      <w:r w:rsidRPr="003328F3">
        <w:rPr>
          <w:rFonts w:eastAsia="Times New Roman" w:cs="Calibri"/>
          <w:szCs w:val="22"/>
          <w:lang w:eastAsia="en-AU"/>
        </w:rPr>
        <w:t>/workday?</w:t>
      </w:r>
      <w:r>
        <w:rPr>
          <w:rFonts w:eastAsia="Times New Roman" w:cs="Calibri"/>
          <w:szCs w:val="22"/>
          <w:lang w:eastAsia="en-AU"/>
        </w:rPr>
        <w:t>’</w:t>
      </w:r>
    </w:p>
    <w:p w14:paraId="4AA55C8B" w14:textId="77777777" w:rsidR="0033663C" w:rsidRPr="003328F3" w:rsidRDefault="0033663C" w:rsidP="0033663C">
      <w:pPr>
        <w:rPr>
          <w:rFonts w:asciiTheme="minorHAnsi" w:hAnsiTheme="minorHAnsi" w:cstheme="minorHAnsi"/>
        </w:rPr>
      </w:pPr>
      <w:r>
        <w:t xml:space="preserve">Table </w:t>
      </w:r>
      <w:r>
        <w:rPr>
          <w:noProof/>
        </w:rPr>
        <w:t>10.2</w:t>
      </w:r>
      <w:r>
        <w:rPr>
          <w:rFonts w:asciiTheme="minorHAnsi" w:hAnsiTheme="minorHAnsi" w:cstheme="minorHAnsi"/>
        </w:rPr>
        <w:t xml:space="preserve"> and </w:t>
      </w:r>
      <w:r>
        <w:t xml:space="preserve">Figure </w:t>
      </w:r>
      <w:r>
        <w:rPr>
          <w:noProof/>
        </w:rPr>
        <w:t>10.2</w:t>
      </w:r>
      <w:r>
        <w:rPr>
          <w:rFonts w:asciiTheme="minorHAnsi" w:hAnsiTheme="minorHAnsi" w:cstheme="minorHAnsi"/>
        </w:rPr>
        <w:t xml:space="preserve"> </w:t>
      </w:r>
      <w:r w:rsidRPr="003328F3">
        <w:rPr>
          <w:rFonts w:asciiTheme="minorHAnsi" w:hAnsiTheme="minorHAnsi" w:cstheme="minorHAnsi"/>
        </w:rPr>
        <w:t xml:space="preserve">present the time spent using the </w:t>
      </w:r>
      <w:r>
        <w:rPr>
          <w:rFonts w:asciiTheme="minorHAnsi" w:hAnsiTheme="minorHAnsi" w:cstheme="minorHAnsi"/>
        </w:rPr>
        <w:t>internet</w:t>
      </w:r>
      <w:r w:rsidRPr="003328F3">
        <w:rPr>
          <w:rFonts w:asciiTheme="minorHAnsi" w:hAnsiTheme="minorHAnsi" w:cstheme="minorHAnsi"/>
        </w:rPr>
        <w:t xml:space="preserve"> on a normal day by young adults in the Transitioned ADF and the Young and Well cohort.</w:t>
      </w:r>
    </w:p>
    <w:p w14:paraId="44DC2008" w14:textId="77777777" w:rsidR="0033663C" w:rsidRPr="00655C39" w:rsidRDefault="0033663C" w:rsidP="0033663C">
      <w:r w:rsidRPr="003328F3">
        <w:rPr>
          <w:rFonts w:asciiTheme="minorHAnsi" w:hAnsiTheme="minorHAnsi" w:cstheme="minorHAnsi"/>
        </w:rPr>
        <w:t xml:space="preserve">Both Transitioned ADF </w:t>
      </w:r>
      <w:r>
        <w:rPr>
          <w:rFonts w:asciiTheme="minorHAnsi" w:hAnsiTheme="minorHAnsi" w:cstheme="minorHAnsi"/>
        </w:rPr>
        <w:t xml:space="preserve">young adults </w:t>
      </w:r>
      <w:r w:rsidRPr="003328F3">
        <w:rPr>
          <w:rFonts w:asciiTheme="minorHAnsi" w:hAnsiTheme="minorHAnsi" w:cstheme="minorHAnsi"/>
        </w:rPr>
        <w:t xml:space="preserve">and the Young and Well cohort were most likely to report using the </w:t>
      </w:r>
      <w:r>
        <w:rPr>
          <w:rFonts w:asciiTheme="minorHAnsi" w:hAnsiTheme="minorHAnsi" w:cstheme="minorHAnsi"/>
        </w:rPr>
        <w:t>internet</w:t>
      </w:r>
      <w:r w:rsidRPr="003328F3">
        <w:rPr>
          <w:rFonts w:asciiTheme="minorHAnsi" w:hAnsiTheme="minorHAnsi" w:cstheme="minorHAnsi"/>
        </w:rPr>
        <w:t xml:space="preserve"> 1 to 2 hours per day during the week (30.0% and 39.8%</w:t>
      </w:r>
      <w:r>
        <w:rPr>
          <w:rFonts w:asciiTheme="minorHAnsi" w:hAnsiTheme="minorHAnsi" w:cstheme="minorHAnsi"/>
        </w:rPr>
        <w:t>)</w:t>
      </w:r>
      <w:r w:rsidRPr="003328F3">
        <w:rPr>
          <w:rFonts w:asciiTheme="minorHAnsi" w:hAnsiTheme="minorHAnsi" w:cstheme="minorHAnsi"/>
        </w:rPr>
        <w:t xml:space="preserve">. Transitioned ADF members </w:t>
      </w:r>
      <w:r w:rsidRPr="003328F3">
        <w:t>(27.2%</w:t>
      </w:r>
      <w:r>
        <w:t xml:space="preserve">) </w:t>
      </w:r>
      <w:r w:rsidRPr="003328F3">
        <w:rPr>
          <w:rFonts w:asciiTheme="minorHAnsi" w:hAnsiTheme="minorHAnsi" w:cstheme="minorHAnsi"/>
        </w:rPr>
        <w:t xml:space="preserve">were significantly more likely to report </w:t>
      </w:r>
      <w:r>
        <w:rPr>
          <w:rFonts w:asciiTheme="minorHAnsi" w:hAnsiTheme="minorHAnsi" w:cstheme="minorHAnsi"/>
        </w:rPr>
        <w:t xml:space="preserve">that </w:t>
      </w:r>
      <w:r w:rsidRPr="003328F3">
        <w:rPr>
          <w:rFonts w:asciiTheme="minorHAnsi" w:hAnsiTheme="minorHAnsi" w:cstheme="minorHAnsi"/>
        </w:rPr>
        <w:t xml:space="preserve">they used the </w:t>
      </w:r>
      <w:r>
        <w:rPr>
          <w:rFonts w:asciiTheme="minorHAnsi" w:hAnsiTheme="minorHAnsi" w:cstheme="minorHAnsi"/>
        </w:rPr>
        <w:t>internet</w:t>
      </w:r>
      <w:r w:rsidRPr="003328F3">
        <w:rPr>
          <w:rFonts w:asciiTheme="minorHAnsi" w:hAnsiTheme="minorHAnsi" w:cstheme="minorHAnsi"/>
        </w:rPr>
        <w:t xml:space="preserve"> for 5 to 9 hours on a week day compared to the Young and Well cohort </w:t>
      </w:r>
      <w:r w:rsidRPr="003328F3">
        <w:t>(15.9%</w:t>
      </w:r>
      <w:r>
        <w:t>)</w:t>
      </w:r>
      <w:r w:rsidRPr="003328F3">
        <w:t xml:space="preserve">. In contrast, </w:t>
      </w:r>
      <w:r>
        <w:t xml:space="preserve">the Transitioned ADF were significantly less likely to </w:t>
      </w:r>
      <w:r w:rsidRPr="003328F3">
        <w:t xml:space="preserve">report using the </w:t>
      </w:r>
      <w:r>
        <w:t>internet</w:t>
      </w:r>
      <w:r w:rsidRPr="003328F3">
        <w:t xml:space="preserve"> for 1</w:t>
      </w:r>
      <w:r>
        <w:t xml:space="preserve"> to </w:t>
      </w:r>
      <w:r w:rsidRPr="003328F3">
        <w:t>2 hours per day (30.0% compared to 39.8%) and for less than 1 hour per day (6.6%</w:t>
      </w:r>
      <w:r>
        <w:t xml:space="preserve"> </w:t>
      </w:r>
      <w:r w:rsidRPr="003328F3">
        <w:t>compared to 14.2%).</w:t>
      </w:r>
    </w:p>
    <w:p w14:paraId="4BC59D16" w14:textId="77777777" w:rsidR="0033663C" w:rsidRDefault="0033663C" w:rsidP="0033663C">
      <w:pPr>
        <w:pStyle w:val="TableName"/>
      </w:pPr>
      <w:bookmarkStart w:id="1138" w:name="_Ref514912044"/>
      <w:bookmarkStart w:id="1139" w:name="_Toc528932366"/>
      <w:bookmarkStart w:id="1140" w:name="_Toc531858045"/>
      <w:r>
        <w:t xml:space="preserve">Table </w:t>
      </w:r>
      <w:r>
        <w:rPr>
          <w:noProof/>
        </w:rPr>
        <w:t>10</w:t>
      </w:r>
      <w:r>
        <w:t>.</w:t>
      </w:r>
      <w:r>
        <w:rPr>
          <w:noProof/>
        </w:rPr>
        <w:t>2</w:t>
      </w:r>
      <w:bookmarkEnd w:id="1138"/>
      <w:r>
        <w:tab/>
      </w:r>
      <w:r w:rsidRPr="003328F3">
        <w:t xml:space="preserve">Time spent using the </w:t>
      </w:r>
      <w:r>
        <w:t>internet</w:t>
      </w:r>
      <w:r w:rsidRPr="003328F3">
        <w:t xml:space="preserve"> on a normal work/week day in Transitioned ADF (aged </w:t>
      </w:r>
      <w:r>
        <w:t>18–25</w:t>
      </w:r>
      <w:r w:rsidRPr="003328F3">
        <w:t xml:space="preserve">) compared to the Young and Well </w:t>
      </w:r>
      <w:r>
        <w:t>c</w:t>
      </w:r>
      <w:r w:rsidRPr="003328F3">
        <w:t>ohort</w:t>
      </w:r>
      <w:bookmarkEnd w:id="1139"/>
      <w:bookmarkEnd w:id="1140"/>
    </w:p>
    <w:tbl>
      <w:tblPr>
        <w:tblStyle w:val="TWRPTable"/>
        <w:tblW w:w="5000" w:type="pct"/>
        <w:tblLayout w:type="fixed"/>
        <w:tblLook w:val="01E0" w:firstRow="1" w:lastRow="1" w:firstColumn="1" w:lastColumn="1" w:noHBand="0" w:noVBand="0"/>
        <w:tblDescription w:val="Table 10.2 Time spent using the internet on a normal work/week day in Transitioned ADF (aged 18–25) compared to the Young and Well cohort"/>
      </w:tblPr>
      <w:tblGrid>
        <w:gridCol w:w="1059"/>
        <w:gridCol w:w="566"/>
        <w:gridCol w:w="483"/>
        <w:gridCol w:w="934"/>
        <w:gridCol w:w="565"/>
        <w:gridCol w:w="483"/>
        <w:gridCol w:w="934"/>
        <w:gridCol w:w="565"/>
        <w:gridCol w:w="483"/>
        <w:gridCol w:w="1017"/>
      </w:tblGrid>
      <w:tr w:rsidR="0033663C" w:rsidRPr="005710C4" w14:paraId="7B8E8661" w14:textId="77777777" w:rsidTr="005710C4">
        <w:trPr>
          <w:cnfStyle w:val="100000000000" w:firstRow="1" w:lastRow="0" w:firstColumn="0" w:lastColumn="0" w:oddVBand="0" w:evenVBand="0" w:oddHBand="0" w:evenHBand="0" w:firstRowFirstColumn="0" w:firstRowLastColumn="0" w:lastRowFirstColumn="0" w:lastRowLastColumn="0"/>
          <w:tblHeader/>
        </w:trPr>
        <w:tc>
          <w:tcPr>
            <w:tcW w:w="823" w:type="dxa"/>
            <w:tcBorders>
              <w:top w:val="single" w:sz="4" w:space="0" w:color="000000"/>
              <w:bottom w:val="nil"/>
            </w:tcBorders>
          </w:tcPr>
          <w:p w14:paraId="77282816" w14:textId="77777777" w:rsidR="0033663C" w:rsidRPr="005710C4" w:rsidRDefault="0033663C" w:rsidP="0033663C">
            <w:pPr>
              <w:pStyle w:val="TableText"/>
              <w:rPr>
                <w:lang w:eastAsia="en-AU"/>
              </w:rPr>
            </w:pPr>
          </w:p>
        </w:tc>
        <w:tc>
          <w:tcPr>
            <w:tcW w:w="1543" w:type="dxa"/>
            <w:gridSpan w:val="3"/>
            <w:hideMark/>
          </w:tcPr>
          <w:p w14:paraId="5A96BEB0" w14:textId="77777777" w:rsidR="0033663C" w:rsidRPr="005710C4" w:rsidRDefault="0033663C" w:rsidP="005710C4">
            <w:pPr>
              <w:pStyle w:val="TableText"/>
              <w:jc w:val="center"/>
              <w:rPr>
                <w:lang w:eastAsia="en-AU"/>
              </w:rPr>
            </w:pPr>
            <w:r w:rsidRPr="005710C4">
              <w:rPr>
                <w:bCs/>
                <w:lang w:eastAsia="en-AU"/>
              </w:rPr>
              <w:t>Transitioned ADF</w:t>
            </w:r>
            <w:r w:rsidR="005710C4" w:rsidRPr="005710C4">
              <w:rPr>
                <w:bCs/>
                <w:lang w:eastAsia="en-AU"/>
              </w:rPr>
              <w:br/>
            </w:r>
            <w:r w:rsidRPr="005710C4">
              <w:rPr>
                <w:bCs/>
                <w:lang w:eastAsia="en-AU"/>
              </w:rPr>
              <w:t>18–25 years</w:t>
            </w:r>
            <w:r w:rsidR="005710C4" w:rsidRPr="005710C4">
              <w:rPr>
                <w:bCs/>
                <w:lang w:eastAsia="en-AU"/>
              </w:rPr>
              <w:br/>
            </w:r>
            <w:r w:rsidRPr="005710C4">
              <w:rPr>
                <w:lang w:eastAsia="en-AU"/>
              </w:rPr>
              <w:t>n=2630</w:t>
            </w:r>
          </w:p>
        </w:tc>
        <w:tc>
          <w:tcPr>
            <w:tcW w:w="1543" w:type="dxa"/>
            <w:gridSpan w:val="3"/>
            <w:hideMark/>
          </w:tcPr>
          <w:p w14:paraId="641E58F3" w14:textId="77777777" w:rsidR="0033663C" w:rsidRPr="005710C4" w:rsidRDefault="0033663C" w:rsidP="005710C4">
            <w:pPr>
              <w:pStyle w:val="TableText"/>
              <w:jc w:val="center"/>
              <w:rPr>
                <w:bCs/>
                <w:lang w:eastAsia="en-AU"/>
              </w:rPr>
            </w:pPr>
            <w:r w:rsidRPr="005710C4">
              <w:rPr>
                <w:rFonts w:cs="Arial"/>
              </w:rPr>
              <w:t>Young and Well cohort</w:t>
            </w:r>
            <w:r w:rsidR="005710C4" w:rsidRPr="005710C4">
              <w:rPr>
                <w:rFonts w:cs="Arial"/>
              </w:rPr>
              <w:br/>
            </w:r>
            <w:r w:rsidRPr="005710C4">
              <w:rPr>
                <w:rFonts w:cs="Arial"/>
              </w:rPr>
              <w:t>18–25 years</w:t>
            </w:r>
            <w:r w:rsidR="005710C4" w:rsidRPr="005710C4">
              <w:rPr>
                <w:rFonts w:cs="Arial"/>
              </w:rPr>
              <w:br/>
            </w:r>
            <w:r w:rsidRPr="005710C4">
              <w:rPr>
                <w:rFonts w:cs="Arial"/>
              </w:rPr>
              <w:t>n=1110</w:t>
            </w:r>
          </w:p>
        </w:tc>
        <w:tc>
          <w:tcPr>
            <w:tcW w:w="1607" w:type="dxa"/>
            <w:gridSpan w:val="3"/>
            <w:hideMark/>
          </w:tcPr>
          <w:p w14:paraId="7B475B82" w14:textId="77777777" w:rsidR="0033663C" w:rsidRPr="005710C4" w:rsidRDefault="0033663C" w:rsidP="0033663C">
            <w:pPr>
              <w:pStyle w:val="TableText"/>
              <w:jc w:val="center"/>
              <w:rPr>
                <w:bCs/>
                <w:lang w:eastAsia="en-AU"/>
              </w:rPr>
            </w:pPr>
            <w:r w:rsidRPr="005710C4">
              <w:rPr>
                <w:bCs/>
                <w:lang w:eastAsia="en-AU"/>
              </w:rPr>
              <w:t>Difference</w:t>
            </w:r>
          </w:p>
        </w:tc>
      </w:tr>
      <w:tr w:rsidR="005710C4" w:rsidRPr="005710C4" w14:paraId="4F885D57" w14:textId="77777777" w:rsidTr="005710C4">
        <w:trPr>
          <w:cnfStyle w:val="100000000000" w:firstRow="1" w:lastRow="0" w:firstColumn="0" w:lastColumn="0" w:oddVBand="0" w:evenVBand="0" w:oddHBand="0" w:evenHBand="0" w:firstRowFirstColumn="0" w:firstRowLastColumn="0" w:lastRowFirstColumn="0" w:lastRowLastColumn="0"/>
          <w:tblHeader/>
        </w:trPr>
        <w:tc>
          <w:tcPr>
            <w:tcW w:w="823" w:type="dxa"/>
            <w:tcBorders>
              <w:top w:val="nil"/>
            </w:tcBorders>
          </w:tcPr>
          <w:p w14:paraId="25C636B1" w14:textId="77777777" w:rsidR="0033663C" w:rsidRPr="005710C4" w:rsidRDefault="0033663C" w:rsidP="0033663C">
            <w:pPr>
              <w:pStyle w:val="TableText"/>
              <w:rPr>
                <w:rFonts w:eastAsia="GillSans"/>
                <w:lang w:eastAsia="en-AU"/>
              </w:rPr>
            </w:pPr>
          </w:p>
        </w:tc>
        <w:tc>
          <w:tcPr>
            <w:tcW w:w="440" w:type="dxa"/>
            <w:hideMark/>
          </w:tcPr>
          <w:p w14:paraId="402CFD17" w14:textId="77777777" w:rsidR="0033663C" w:rsidRPr="005710C4" w:rsidRDefault="0033663C" w:rsidP="0033663C">
            <w:pPr>
              <w:pStyle w:val="TableText"/>
              <w:jc w:val="right"/>
              <w:rPr>
                <w:rFonts w:eastAsia="Times New Roman"/>
                <w:lang w:eastAsia="en-AU"/>
              </w:rPr>
            </w:pPr>
            <w:r w:rsidRPr="005710C4">
              <w:rPr>
                <w:lang w:eastAsia="en-AU"/>
              </w:rPr>
              <w:t>%</w:t>
            </w:r>
          </w:p>
        </w:tc>
        <w:tc>
          <w:tcPr>
            <w:tcW w:w="376" w:type="dxa"/>
            <w:hideMark/>
          </w:tcPr>
          <w:p w14:paraId="18F63E90" w14:textId="77777777" w:rsidR="0033663C" w:rsidRPr="005710C4" w:rsidRDefault="0033663C" w:rsidP="0033663C">
            <w:pPr>
              <w:pStyle w:val="TableText"/>
              <w:jc w:val="right"/>
              <w:rPr>
                <w:lang w:eastAsia="en-AU"/>
              </w:rPr>
            </w:pPr>
            <w:r w:rsidRPr="005710C4">
              <w:rPr>
                <w:lang w:eastAsia="en-AU"/>
              </w:rPr>
              <w:t>SE</w:t>
            </w:r>
          </w:p>
        </w:tc>
        <w:tc>
          <w:tcPr>
            <w:tcW w:w="727" w:type="dxa"/>
            <w:hideMark/>
          </w:tcPr>
          <w:p w14:paraId="39CAE0AC" w14:textId="77777777" w:rsidR="0033663C" w:rsidRPr="005710C4" w:rsidRDefault="0033663C" w:rsidP="0033663C">
            <w:pPr>
              <w:pStyle w:val="TableText"/>
              <w:jc w:val="right"/>
              <w:rPr>
                <w:lang w:eastAsia="en-AU"/>
              </w:rPr>
            </w:pPr>
            <w:r w:rsidRPr="005710C4">
              <w:rPr>
                <w:lang w:eastAsia="en-AU"/>
              </w:rPr>
              <w:t>95% CI</w:t>
            </w:r>
          </w:p>
        </w:tc>
        <w:tc>
          <w:tcPr>
            <w:tcW w:w="440" w:type="dxa"/>
            <w:hideMark/>
          </w:tcPr>
          <w:p w14:paraId="3719EF77" w14:textId="77777777" w:rsidR="0033663C" w:rsidRPr="005710C4" w:rsidRDefault="0033663C" w:rsidP="0033663C">
            <w:pPr>
              <w:pStyle w:val="TableText"/>
              <w:jc w:val="right"/>
              <w:rPr>
                <w:lang w:eastAsia="en-AU"/>
              </w:rPr>
            </w:pPr>
            <w:r w:rsidRPr="005710C4">
              <w:rPr>
                <w:lang w:eastAsia="en-AU"/>
              </w:rPr>
              <w:t>%</w:t>
            </w:r>
          </w:p>
        </w:tc>
        <w:tc>
          <w:tcPr>
            <w:tcW w:w="376" w:type="dxa"/>
          </w:tcPr>
          <w:p w14:paraId="79047EEB" w14:textId="77777777" w:rsidR="0033663C" w:rsidRPr="005710C4" w:rsidRDefault="0033663C" w:rsidP="0033663C">
            <w:pPr>
              <w:pStyle w:val="TableText"/>
              <w:jc w:val="right"/>
              <w:rPr>
                <w:lang w:eastAsia="en-AU"/>
              </w:rPr>
            </w:pPr>
            <w:r w:rsidRPr="005710C4">
              <w:rPr>
                <w:lang w:eastAsia="en-AU"/>
              </w:rPr>
              <w:t>SE</w:t>
            </w:r>
          </w:p>
        </w:tc>
        <w:tc>
          <w:tcPr>
            <w:tcW w:w="727" w:type="dxa"/>
          </w:tcPr>
          <w:p w14:paraId="3C8603A5" w14:textId="77777777" w:rsidR="0033663C" w:rsidRPr="005710C4" w:rsidRDefault="0033663C" w:rsidP="0033663C">
            <w:pPr>
              <w:pStyle w:val="TableText"/>
              <w:jc w:val="right"/>
              <w:rPr>
                <w:lang w:eastAsia="en-AU"/>
              </w:rPr>
            </w:pPr>
            <w:r w:rsidRPr="005710C4">
              <w:rPr>
                <w:lang w:eastAsia="en-AU"/>
              </w:rPr>
              <w:t>95% CI</w:t>
            </w:r>
          </w:p>
        </w:tc>
        <w:tc>
          <w:tcPr>
            <w:tcW w:w="440" w:type="dxa"/>
            <w:hideMark/>
          </w:tcPr>
          <w:p w14:paraId="7C469798" w14:textId="77777777" w:rsidR="0033663C" w:rsidRPr="005710C4" w:rsidRDefault="0033663C" w:rsidP="0033663C">
            <w:pPr>
              <w:pStyle w:val="TableText"/>
              <w:jc w:val="right"/>
              <w:rPr>
                <w:lang w:eastAsia="en-AU"/>
              </w:rPr>
            </w:pPr>
            <w:r w:rsidRPr="005710C4">
              <w:rPr>
                <w:lang w:eastAsia="en-AU"/>
              </w:rPr>
              <w:t>%</w:t>
            </w:r>
          </w:p>
        </w:tc>
        <w:tc>
          <w:tcPr>
            <w:tcW w:w="376" w:type="dxa"/>
            <w:hideMark/>
          </w:tcPr>
          <w:p w14:paraId="3B32AD70" w14:textId="77777777" w:rsidR="0033663C" w:rsidRPr="005710C4" w:rsidRDefault="0033663C" w:rsidP="0033663C">
            <w:pPr>
              <w:pStyle w:val="TableText"/>
              <w:jc w:val="right"/>
              <w:rPr>
                <w:lang w:eastAsia="en-AU"/>
              </w:rPr>
            </w:pPr>
            <w:r w:rsidRPr="005710C4">
              <w:rPr>
                <w:lang w:eastAsia="en-AU"/>
              </w:rPr>
              <w:t>SE</w:t>
            </w:r>
          </w:p>
        </w:tc>
        <w:tc>
          <w:tcPr>
            <w:tcW w:w="791" w:type="dxa"/>
            <w:hideMark/>
          </w:tcPr>
          <w:p w14:paraId="2234680C" w14:textId="77777777" w:rsidR="0033663C" w:rsidRPr="005710C4" w:rsidRDefault="0033663C" w:rsidP="0033663C">
            <w:pPr>
              <w:pStyle w:val="TableText"/>
              <w:jc w:val="right"/>
              <w:rPr>
                <w:lang w:eastAsia="en-AU"/>
              </w:rPr>
            </w:pPr>
            <w:r w:rsidRPr="005710C4">
              <w:rPr>
                <w:lang w:eastAsia="en-AU"/>
              </w:rPr>
              <w:t>95% CI</w:t>
            </w:r>
          </w:p>
        </w:tc>
      </w:tr>
      <w:tr w:rsidR="0033663C" w:rsidRPr="003328F3" w14:paraId="524BEA9B" w14:textId="77777777" w:rsidTr="005710C4">
        <w:trPr>
          <w:cnfStyle w:val="000000100000" w:firstRow="0" w:lastRow="0" w:firstColumn="0" w:lastColumn="0" w:oddVBand="0" w:evenVBand="0" w:oddHBand="1" w:evenHBand="0" w:firstRowFirstColumn="0" w:firstRowLastColumn="0" w:lastRowFirstColumn="0" w:lastRowLastColumn="0"/>
        </w:trPr>
        <w:tc>
          <w:tcPr>
            <w:tcW w:w="823" w:type="dxa"/>
            <w:hideMark/>
          </w:tcPr>
          <w:p w14:paraId="3D71A94C" w14:textId="77777777" w:rsidR="0033663C" w:rsidRPr="003328F3" w:rsidRDefault="0033663C" w:rsidP="0033663C">
            <w:pPr>
              <w:pStyle w:val="TableText"/>
              <w:rPr>
                <w:rFonts w:eastAsia="GillSans"/>
                <w:lang w:eastAsia="en-AU"/>
              </w:rPr>
            </w:pPr>
            <w:r w:rsidRPr="003328F3">
              <w:rPr>
                <w:rFonts w:cs="ArialMT"/>
              </w:rPr>
              <w:t>&lt;1 hour</w:t>
            </w:r>
          </w:p>
        </w:tc>
        <w:tc>
          <w:tcPr>
            <w:tcW w:w="440" w:type="dxa"/>
          </w:tcPr>
          <w:p w14:paraId="4C78A88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6.6</w:t>
            </w:r>
          </w:p>
        </w:tc>
        <w:tc>
          <w:tcPr>
            <w:tcW w:w="376" w:type="dxa"/>
          </w:tcPr>
          <w:p w14:paraId="4BE5BCF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2.1</w:t>
            </w:r>
          </w:p>
        </w:tc>
        <w:tc>
          <w:tcPr>
            <w:tcW w:w="727" w:type="dxa"/>
          </w:tcPr>
          <w:p w14:paraId="478F814F"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3.5, 12.3</w:t>
            </w:r>
          </w:p>
        </w:tc>
        <w:tc>
          <w:tcPr>
            <w:tcW w:w="440" w:type="dxa"/>
          </w:tcPr>
          <w:p w14:paraId="6760A045" w14:textId="77777777" w:rsidR="0033663C" w:rsidRPr="003328F3" w:rsidRDefault="0033663C" w:rsidP="0033663C">
            <w:pPr>
              <w:pStyle w:val="TableText"/>
              <w:jc w:val="right"/>
              <w:rPr>
                <w:rFonts w:eastAsia="Times New Roman"/>
                <w:bCs/>
                <w:color w:val="000000" w:themeColor="text1"/>
              </w:rPr>
            </w:pPr>
            <w:r w:rsidRPr="003328F3">
              <w:rPr>
                <w:rFonts w:eastAsia="Times New Roman"/>
                <w:bCs/>
                <w:color w:val="000000" w:themeColor="text1"/>
              </w:rPr>
              <w:t>14.2</w:t>
            </w:r>
          </w:p>
        </w:tc>
        <w:tc>
          <w:tcPr>
            <w:tcW w:w="376" w:type="dxa"/>
          </w:tcPr>
          <w:p w14:paraId="00F1587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1.8</w:t>
            </w:r>
          </w:p>
        </w:tc>
        <w:tc>
          <w:tcPr>
            <w:tcW w:w="727" w:type="dxa"/>
          </w:tcPr>
          <w:p w14:paraId="45DBF8E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10.6, 17.8</w:t>
            </w:r>
          </w:p>
        </w:tc>
        <w:tc>
          <w:tcPr>
            <w:tcW w:w="440" w:type="dxa"/>
          </w:tcPr>
          <w:p w14:paraId="22E821FE"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7.6</w:t>
            </w:r>
          </w:p>
        </w:tc>
        <w:tc>
          <w:tcPr>
            <w:tcW w:w="376" w:type="dxa"/>
          </w:tcPr>
          <w:p w14:paraId="3E6CC013"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2.8</w:t>
            </w:r>
          </w:p>
        </w:tc>
        <w:tc>
          <w:tcPr>
            <w:tcW w:w="791" w:type="dxa"/>
          </w:tcPr>
          <w:p w14:paraId="6D117895"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 xml:space="preserve">13.1, </w:t>
            </w:r>
            <w:r>
              <w:rPr>
                <w:rFonts w:eastAsia="Times New Roman"/>
                <w:bCs/>
                <w:color w:val="000000" w:themeColor="text1"/>
              </w:rPr>
              <w:t>–</w:t>
            </w:r>
            <w:r w:rsidRPr="003328F3">
              <w:rPr>
                <w:rFonts w:eastAsia="Times New Roman"/>
                <w:bCs/>
                <w:color w:val="000000" w:themeColor="text1"/>
              </w:rPr>
              <w:t>2.1</w:t>
            </w:r>
          </w:p>
        </w:tc>
      </w:tr>
      <w:tr w:rsidR="0033663C" w:rsidRPr="003328F3" w14:paraId="69D12F3E" w14:textId="77777777" w:rsidTr="005710C4">
        <w:tc>
          <w:tcPr>
            <w:tcW w:w="823" w:type="dxa"/>
            <w:hideMark/>
          </w:tcPr>
          <w:p w14:paraId="45742D86" w14:textId="77777777" w:rsidR="0033663C" w:rsidRPr="003328F3" w:rsidRDefault="0033663C" w:rsidP="0033663C">
            <w:pPr>
              <w:pStyle w:val="TableText"/>
              <w:rPr>
                <w:rFonts w:eastAsia="GillSans"/>
                <w:lang w:eastAsia="en-AU"/>
              </w:rPr>
            </w:pPr>
            <w:r w:rsidRPr="003328F3">
              <w:rPr>
                <w:rFonts w:cs="ArialMT"/>
              </w:rPr>
              <w:t>1 to 2 hours</w:t>
            </w:r>
          </w:p>
        </w:tc>
        <w:tc>
          <w:tcPr>
            <w:tcW w:w="440" w:type="dxa"/>
          </w:tcPr>
          <w:p w14:paraId="15035921"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30.0</w:t>
            </w:r>
          </w:p>
        </w:tc>
        <w:tc>
          <w:tcPr>
            <w:tcW w:w="376" w:type="dxa"/>
          </w:tcPr>
          <w:p w14:paraId="3C7F0C9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3.8</w:t>
            </w:r>
          </w:p>
        </w:tc>
        <w:tc>
          <w:tcPr>
            <w:tcW w:w="727" w:type="dxa"/>
          </w:tcPr>
          <w:p w14:paraId="7113199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23.1, 38.0</w:t>
            </w:r>
          </w:p>
        </w:tc>
        <w:tc>
          <w:tcPr>
            <w:tcW w:w="440" w:type="dxa"/>
          </w:tcPr>
          <w:p w14:paraId="04CA28DA" w14:textId="77777777" w:rsidR="0033663C" w:rsidRPr="003328F3" w:rsidRDefault="0033663C" w:rsidP="0033663C">
            <w:pPr>
              <w:pStyle w:val="TableText"/>
              <w:jc w:val="right"/>
              <w:rPr>
                <w:rFonts w:eastAsia="Times New Roman"/>
                <w:bCs/>
                <w:color w:val="000000" w:themeColor="text1"/>
              </w:rPr>
            </w:pPr>
            <w:r w:rsidRPr="003328F3">
              <w:rPr>
                <w:rFonts w:eastAsia="Times New Roman"/>
                <w:bCs/>
                <w:color w:val="000000" w:themeColor="text1"/>
              </w:rPr>
              <w:t>39.8</w:t>
            </w:r>
          </w:p>
        </w:tc>
        <w:tc>
          <w:tcPr>
            <w:tcW w:w="376" w:type="dxa"/>
          </w:tcPr>
          <w:p w14:paraId="5A8DE911"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2.5</w:t>
            </w:r>
          </w:p>
        </w:tc>
        <w:tc>
          <w:tcPr>
            <w:tcW w:w="727" w:type="dxa"/>
          </w:tcPr>
          <w:p w14:paraId="11332205"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34.8, 44.7</w:t>
            </w:r>
          </w:p>
        </w:tc>
        <w:tc>
          <w:tcPr>
            <w:tcW w:w="440" w:type="dxa"/>
          </w:tcPr>
          <w:p w14:paraId="71ACE26B"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9.7</w:t>
            </w:r>
          </w:p>
        </w:tc>
        <w:tc>
          <w:tcPr>
            <w:tcW w:w="376" w:type="dxa"/>
          </w:tcPr>
          <w:p w14:paraId="1077237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4.6</w:t>
            </w:r>
          </w:p>
        </w:tc>
        <w:tc>
          <w:tcPr>
            <w:tcW w:w="791" w:type="dxa"/>
          </w:tcPr>
          <w:p w14:paraId="4597C0ED"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 xml:space="preserve">18.7, </w:t>
            </w:r>
            <w:r>
              <w:rPr>
                <w:rFonts w:eastAsia="Times New Roman"/>
                <w:bCs/>
                <w:color w:val="000000" w:themeColor="text1"/>
              </w:rPr>
              <w:t>–</w:t>
            </w:r>
            <w:r w:rsidRPr="003328F3">
              <w:rPr>
                <w:rFonts w:eastAsia="Times New Roman"/>
                <w:bCs/>
                <w:color w:val="000000" w:themeColor="text1"/>
              </w:rPr>
              <w:t>0.7</w:t>
            </w:r>
          </w:p>
        </w:tc>
      </w:tr>
      <w:tr w:rsidR="0033663C" w:rsidRPr="003328F3" w14:paraId="7ADC1753" w14:textId="77777777" w:rsidTr="005710C4">
        <w:trPr>
          <w:cnfStyle w:val="000000100000" w:firstRow="0" w:lastRow="0" w:firstColumn="0" w:lastColumn="0" w:oddVBand="0" w:evenVBand="0" w:oddHBand="1" w:evenHBand="0" w:firstRowFirstColumn="0" w:firstRowLastColumn="0" w:lastRowFirstColumn="0" w:lastRowLastColumn="0"/>
        </w:trPr>
        <w:tc>
          <w:tcPr>
            <w:tcW w:w="823" w:type="dxa"/>
            <w:hideMark/>
          </w:tcPr>
          <w:p w14:paraId="190E53FD" w14:textId="77777777" w:rsidR="0033663C" w:rsidRPr="003328F3" w:rsidRDefault="0033663C" w:rsidP="0033663C">
            <w:pPr>
              <w:pStyle w:val="TableText"/>
              <w:rPr>
                <w:rFonts w:eastAsia="GillSans"/>
                <w:lang w:eastAsia="en-AU"/>
              </w:rPr>
            </w:pPr>
            <w:r w:rsidRPr="003328F3">
              <w:rPr>
                <w:rFonts w:cs="ArialMT"/>
              </w:rPr>
              <w:t>3 to 4 hours</w:t>
            </w:r>
          </w:p>
        </w:tc>
        <w:tc>
          <w:tcPr>
            <w:tcW w:w="440" w:type="dxa"/>
          </w:tcPr>
          <w:p w14:paraId="55B8CB0E"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27.9</w:t>
            </w:r>
          </w:p>
        </w:tc>
        <w:tc>
          <w:tcPr>
            <w:tcW w:w="376" w:type="dxa"/>
          </w:tcPr>
          <w:p w14:paraId="2D52B021"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3.7</w:t>
            </w:r>
          </w:p>
        </w:tc>
        <w:tc>
          <w:tcPr>
            <w:tcW w:w="727" w:type="dxa"/>
          </w:tcPr>
          <w:p w14:paraId="583BA5DF"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21.2, 35.8</w:t>
            </w:r>
          </w:p>
        </w:tc>
        <w:tc>
          <w:tcPr>
            <w:tcW w:w="440" w:type="dxa"/>
          </w:tcPr>
          <w:p w14:paraId="03574B95" w14:textId="77777777" w:rsidR="0033663C" w:rsidRPr="003328F3" w:rsidRDefault="0033663C" w:rsidP="0033663C">
            <w:pPr>
              <w:pStyle w:val="TableText"/>
              <w:jc w:val="right"/>
              <w:rPr>
                <w:rFonts w:eastAsia="Times New Roman"/>
                <w:bCs/>
                <w:color w:val="000000" w:themeColor="text1"/>
              </w:rPr>
            </w:pPr>
            <w:r w:rsidRPr="003328F3">
              <w:rPr>
                <w:rFonts w:eastAsia="Times New Roman"/>
                <w:bCs/>
                <w:color w:val="000000" w:themeColor="text1"/>
              </w:rPr>
              <w:t>26.0</w:t>
            </w:r>
          </w:p>
        </w:tc>
        <w:tc>
          <w:tcPr>
            <w:tcW w:w="376" w:type="dxa"/>
          </w:tcPr>
          <w:p w14:paraId="46FB585D"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2.3</w:t>
            </w:r>
          </w:p>
        </w:tc>
        <w:tc>
          <w:tcPr>
            <w:tcW w:w="727" w:type="dxa"/>
          </w:tcPr>
          <w:p w14:paraId="3379BB55"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21.6, 30.4</w:t>
            </w:r>
          </w:p>
        </w:tc>
        <w:tc>
          <w:tcPr>
            <w:tcW w:w="440" w:type="dxa"/>
          </w:tcPr>
          <w:p w14:paraId="601473A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1.9</w:t>
            </w:r>
          </w:p>
        </w:tc>
        <w:tc>
          <w:tcPr>
            <w:tcW w:w="376" w:type="dxa"/>
          </w:tcPr>
          <w:p w14:paraId="0BA5F4B0"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4.4</w:t>
            </w:r>
          </w:p>
        </w:tc>
        <w:tc>
          <w:tcPr>
            <w:tcW w:w="791" w:type="dxa"/>
          </w:tcPr>
          <w:p w14:paraId="78A8B2B1"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6.7, 10.4</w:t>
            </w:r>
          </w:p>
        </w:tc>
      </w:tr>
      <w:tr w:rsidR="005710C4" w:rsidRPr="003328F3" w14:paraId="5DD1C3E0" w14:textId="77777777" w:rsidTr="005710C4">
        <w:tc>
          <w:tcPr>
            <w:tcW w:w="823" w:type="dxa"/>
            <w:tcBorders>
              <w:bottom w:val="nil"/>
            </w:tcBorders>
            <w:hideMark/>
          </w:tcPr>
          <w:p w14:paraId="6877C210" w14:textId="77777777" w:rsidR="0033663C" w:rsidRPr="003328F3" w:rsidRDefault="0033663C" w:rsidP="0033663C">
            <w:pPr>
              <w:pStyle w:val="TableText"/>
              <w:rPr>
                <w:rFonts w:eastAsia="Times New Roman"/>
                <w:lang w:eastAsia="en-AU"/>
              </w:rPr>
            </w:pPr>
            <w:r w:rsidRPr="003328F3">
              <w:rPr>
                <w:rFonts w:cs="ArialMT"/>
              </w:rPr>
              <w:t>5 to 9 hours</w:t>
            </w:r>
          </w:p>
        </w:tc>
        <w:tc>
          <w:tcPr>
            <w:tcW w:w="440" w:type="dxa"/>
            <w:tcBorders>
              <w:bottom w:val="nil"/>
            </w:tcBorders>
          </w:tcPr>
          <w:p w14:paraId="555CC3D7"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27.2</w:t>
            </w:r>
          </w:p>
        </w:tc>
        <w:tc>
          <w:tcPr>
            <w:tcW w:w="376" w:type="dxa"/>
            <w:tcBorders>
              <w:bottom w:val="nil"/>
            </w:tcBorders>
          </w:tcPr>
          <w:p w14:paraId="62D1FBC0"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3.6</w:t>
            </w:r>
          </w:p>
        </w:tc>
        <w:tc>
          <w:tcPr>
            <w:tcW w:w="727" w:type="dxa"/>
            <w:tcBorders>
              <w:bottom w:val="nil"/>
            </w:tcBorders>
          </w:tcPr>
          <w:p w14:paraId="2CB3DD20"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20.8, 34.8</w:t>
            </w:r>
          </w:p>
        </w:tc>
        <w:tc>
          <w:tcPr>
            <w:tcW w:w="440" w:type="dxa"/>
            <w:tcBorders>
              <w:bottom w:val="nil"/>
            </w:tcBorders>
          </w:tcPr>
          <w:p w14:paraId="0B36EF71" w14:textId="77777777" w:rsidR="0033663C" w:rsidRPr="003328F3" w:rsidRDefault="0033663C" w:rsidP="0033663C">
            <w:pPr>
              <w:pStyle w:val="TableText"/>
              <w:jc w:val="right"/>
              <w:rPr>
                <w:rFonts w:eastAsia="Times New Roman"/>
                <w:bCs/>
                <w:color w:val="000000" w:themeColor="text1"/>
              </w:rPr>
            </w:pPr>
            <w:r w:rsidRPr="003328F3">
              <w:rPr>
                <w:rFonts w:eastAsia="Times New Roman"/>
                <w:bCs/>
                <w:color w:val="000000" w:themeColor="text1"/>
              </w:rPr>
              <w:t>15.9</w:t>
            </w:r>
          </w:p>
        </w:tc>
        <w:tc>
          <w:tcPr>
            <w:tcW w:w="376" w:type="dxa"/>
            <w:tcBorders>
              <w:bottom w:val="nil"/>
            </w:tcBorders>
          </w:tcPr>
          <w:p w14:paraId="558C7B38"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1.8</w:t>
            </w:r>
          </w:p>
        </w:tc>
        <w:tc>
          <w:tcPr>
            <w:tcW w:w="727" w:type="dxa"/>
            <w:tcBorders>
              <w:bottom w:val="nil"/>
            </w:tcBorders>
          </w:tcPr>
          <w:p w14:paraId="096003E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12.3, 19.4</w:t>
            </w:r>
          </w:p>
        </w:tc>
        <w:tc>
          <w:tcPr>
            <w:tcW w:w="440" w:type="dxa"/>
            <w:tcBorders>
              <w:bottom w:val="nil"/>
            </w:tcBorders>
          </w:tcPr>
          <w:p w14:paraId="4381EE8F"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11.4</w:t>
            </w:r>
          </w:p>
        </w:tc>
        <w:tc>
          <w:tcPr>
            <w:tcW w:w="376" w:type="dxa"/>
            <w:tcBorders>
              <w:bottom w:val="nil"/>
            </w:tcBorders>
          </w:tcPr>
          <w:p w14:paraId="6AA9CEA5"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4.0</w:t>
            </w:r>
          </w:p>
        </w:tc>
        <w:tc>
          <w:tcPr>
            <w:tcW w:w="791" w:type="dxa"/>
            <w:tcBorders>
              <w:bottom w:val="nil"/>
            </w:tcBorders>
          </w:tcPr>
          <w:p w14:paraId="0F6982F6"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3.5, 19.2</w:t>
            </w:r>
          </w:p>
        </w:tc>
      </w:tr>
      <w:tr w:rsidR="0033663C" w:rsidRPr="003328F3" w14:paraId="61DFE210" w14:textId="77777777" w:rsidTr="005710C4">
        <w:trPr>
          <w:cnfStyle w:val="010000000000" w:firstRow="0" w:lastRow="1" w:firstColumn="0" w:lastColumn="0" w:oddVBand="0" w:evenVBand="0" w:oddHBand="0" w:evenHBand="0" w:firstRowFirstColumn="0" w:firstRowLastColumn="0" w:lastRowFirstColumn="0" w:lastRowLastColumn="0"/>
        </w:trPr>
        <w:tc>
          <w:tcPr>
            <w:tcW w:w="823" w:type="dxa"/>
            <w:tcBorders>
              <w:bottom w:val="single" w:sz="4" w:space="0" w:color="000000"/>
            </w:tcBorders>
            <w:shd w:val="clear" w:color="auto" w:fill="C1D9FF"/>
          </w:tcPr>
          <w:p w14:paraId="53543E2B" w14:textId="77777777" w:rsidR="0033663C" w:rsidRPr="003328F3" w:rsidRDefault="0033663C" w:rsidP="0033663C">
            <w:pPr>
              <w:pStyle w:val="TableText"/>
              <w:rPr>
                <w:lang w:eastAsia="en-AU"/>
              </w:rPr>
            </w:pPr>
            <w:r w:rsidRPr="003328F3">
              <w:rPr>
                <w:rFonts w:cs="Arial"/>
              </w:rPr>
              <w:t>10+ hours</w:t>
            </w:r>
          </w:p>
        </w:tc>
        <w:tc>
          <w:tcPr>
            <w:tcW w:w="440" w:type="dxa"/>
            <w:tcBorders>
              <w:bottom w:val="single" w:sz="4" w:space="0" w:color="000000"/>
            </w:tcBorders>
            <w:shd w:val="clear" w:color="auto" w:fill="C1D9FF"/>
          </w:tcPr>
          <w:p w14:paraId="61E1D0A2"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5.5</w:t>
            </w:r>
          </w:p>
        </w:tc>
        <w:tc>
          <w:tcPr>
            <w:tcW w:w="376" w:type="dxa"/>
            <w:tcBorders>
              <w:bottom w:val="single" w:sz="4" w:space="0" w:color="000000"/>
            </w:tcBorders>
            <w:shd w:val="clear" w:color="auto" w:fill="C1D9FF"/>
          </w:tcPr>
          <w:p w14:paraId="2F0DCEF7"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1.8</w:t>
            </w:r>
          </w:p>
        </w:tc>
        <w:tc>
          <w:tcPr>
            <w:tcW w:w="727" w:type="dxa"/>
            <w:tcBorders>
              <w:bottom w:val="single" w:sz="4" w:space="0" w:color="000000"/>
            </w:tcBorders>
            <w:shd w:val="clear" w:color="auto" w:fill="C1D9FF"/>
          </w:tcPr>
          <w:p w14:paraId="3FC993B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2.9, 10.2</w:t>
            </w:r>
          </w:p>
        </w:tc>
        <w:tc>
          <w:tcPr>
            <w:tcW w:w="440" w:type="dxa"/>
            <w:tcBorders>
              <w:bottom w:val="single" w:sz="4" w:space="0" w:color="000000"/>
            </w:tcBorders>
            <w:shd w:val="clear" w:color="auto" w:fill="C1D9FF"/>
          </w:tcPr>
          <w:p w14:paraId="333510AD" w14:textId="77777777" w:rsidR="0033663C" w:rsidRPr="003328F3" w:rsidRDefault="0033663C" w:rsidP="0033663C">
            <w:pPr>
              <w:pStyle w:val="TableText"/>
              <w:jc w:val="right"/>
              <w:rPr>
                <w:rFonts w:eastAsia="Times New Roman"/>
                <w:bCs/>
                <w:color w:val="000000" w:themeColor="text1"/>
              </w:rPr>
            </w:pPr>
            <w:r w:rsidRPr="003328F3">
              <w:rPr>
                <w:rFonts w:eastAsia="Times New Roman"/>
                <w:bCs/>
                <w:color w:val="000000" w:themeColor="text1"/>
              </w:rPr>
              <w:t>3.2</w:t>
            </w:r>
          </w:p>
        </w:tc>
        <w:tc>
          <w:tcPr>
            <w:tcW w:w="376" w:type="dxa"/>
            <w:tcBorders>
              <w:bottom w:val="single" w:sz="4" w:space="0" w:color="000000"/>
            </w:tcBorders>
            <w:shd w:val="clear" w:color="auto" w:fill="C1D9FF"/>
          </w:tcPr>
          <w:p w14:paraId="15CD88F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0.9</w:t>
            </w:r>
          </w:p>
        </w:tc>
        <w:tc>
          <w:tcPr>
            <w:tcW w:w="727" w:type="dxa"/>
            <w:tcBorders>
              <w:bottom w:val="single" w:sz="4" w:space="0" w:color="000000"/>
            </w:tcBorders>
            <w:shd w:val="clear" w:color="auto" w:fill="C1D9FF"/>
          </w:tcPr>
          <w:p w14:paraId="090CA748"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1.4, 5.0</w:t>
            </w:r>
          </w:p>
        </w:tc>
        <w:tc>
          <w:tcPr>
            <w:tcW w:w="440" w:type="dxa"/>
            <w:tcBorders>
              <w:bottom w:val="single" w:sz="4" w:space="0" w:color="000000"/>
            </w:tcBorders>
            <w:shd w:val="clear" w:color="auto" w:fill="C1D9FF"/>
          </w:tcPr>
          <w:p w14:paraId="457A1B12"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2.3</w:t>
            </w:r>
          </w:p>
        </w:tc>
        <w:tc>
          <w:tcPr>
            <w:tcW w:w="376" w:type="dxa"/>
            <w:tcBorders>
              <w:bottom w:val="single" w:sz="4" w:space="0" w:color="000000"/>
            </w:tcBorders>
            <w:shd w:val="clear" w:color="auto" w:fill="C1D9FF"/>
          </w:tcPr>
          <w:p w14:paraId="786D57EE"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2.0</w:t>
            </w:r>
          </w:p>
        </w:tc>
        <w:tc>
          <w:tcPr>
            <w:tcW w:w="791" w:type="dxa"/>
            <w:tcBorders>
              <w:bottom w:val="single" w:sz="4" w:space="0" w:color="000000"/>
            </w:tcBorders>
            <w:shd w:val="clear" w:color="auto" w:fill="C1D9FF"/>
          </w:tcPr>
          <w:p w14:paraId="15D32FDD"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1.6, 6.2</w:t>
            </w:r>
          </w:p>
        </w:tc>
      </w:tr>
    </w:tbl>
    <w:p w14:paraId="64F0632A" w14:textId="77777777" w:rsidR="0033663C" w:rsidRPr="00ED5A31" w:rsidRDefault="0033663C" w:rsidP="0033663C">
      <w:pPr>
        <w:pStyle w:val="TableNotes"/>
      </w:pPr>
      <w:r w:rsidRPr="00ED5A31">
        <w:t>Notes</w:t>
      </w:r>
    </w:p>
    <w:p w14:paraId="75193CEA" w14:textId="77777777" w:rsidR="0033663C" w:rsidRPr="008A51EB" w:rsidRDefault="0033663C" w:rsidP="0033663C">
      <w:pPr>
        <w:pStyle w:val="TableNotes"/>
      </w:pPr>
      <w:r w:rsidRPr="008A51EB">
        <w:t xml:space="preserve">Denominator: Transitioned ADF </w:t>
      </w:r>
      <w:r>
        <w:t>18–25</w:t>
      </w:r>
      <w:r w:rsidRPr="008A51EB">
        <w:t xml:space="preserve"> years and Young and Well </w:t>
      </w:r>
      <w:r>
        <w:t>18–25</w:t>
      </w:r>
      <w:r w:rsidRPr="008A51EB">
        <w:t xml:space="preserve"> years cohorts who used the </w:t>
      </w:r>
      <w:r>
        <w:t>internet.</w:t>
      </w:r>
    </w:p>
    <w:p w14:paraId="6442C41B" w14:textId="77777777" w:rsidR="0033663C" w:rsidRPr="008A51EB" w:rsidRDefault="0033663C" w:rsidP="0033663C">
      <w:pPr>
        <w:pStyle w:val="TableNotes"/>
      </w:pPr>
      <w:r w:rsidRPr="008A51EB">
        <w:t xml:space="preserve">2.6% of the Transitioned ADF cohort had a missing value for this question. However, distributions are calculated by including those with a missing value to allow for correct weighted totals. </w:t>
      </w:r>
    </w:p>
    <w:p w14:paraId="706A3D9C" w14:textId="77777777" w:rsidR="0033663C" w:rsidRDefault="0033663C" w:rsidP="0033663C">
      <w:pPr>
        <w:pStyle w:val="TableNotes"/>
      </w:pPr>
      <w:r>
        <w:t>95%CI = 95% confidence interval.</w:t>
      </w:r>
    </w:p>
    <w:p w14:paraId="36CA88E7" w14:textId="745925E3" w:rsidR="0033663C" w:rsidRPr="003328F3" w:rsidRDefault="0033663C" w:rsidP="0033663C">
      <w:pPr>
        <w:pStyle w:val="FigureName"/>
        <w:rPr>
          <w:rFonts w:asciiTheme="minorHAnsi" w:hAnsiTheme="minorHAnsi" w:cstheme="minorHAnsi"/>
        </w:rPr>
      </w:pPr>
      <w:bookmarkStart w:id="1141" w:name="_Ref514912050"/>
      <w:bookmarkStart w:id="1142" w:name="_Toc510087907"/>
      <w:bookmarkStart w:id="1143" w:name="_Toc515374738"/>
      <w:bookmarkStart w:id="1144" w:name="_Toc528932422"/>
      <w:bookmarkStart w:id="1145" w:name="_Toc531858102"/>
      <w:r>
        <w:t xml:space="preserve">Figure </w:t>
      </w:r>
      <w:r>
        <w:rPr>
          <w:noProof/>
        </w:rPr>
        <w:t>10</w:t>
      </w:r>
      <w:r>
        <w:t>.</w:t>
      </w:r>
      <w:r>
        <w:rPr>
          <w:noProof/>
        </w:rPr>
        <w:t>2</w:t>
      </w:r>
      <w:bookmarkEnd w:id="1141"/>
      <w:r>
        <w:tab/>
      </w:r>
      <w:r w:rsidRPr="003328F3">
        <w:t xml:space="preserve">Time spent using the </w:t>
      </w:r>
      <w:r>
        <w:t>internet</w:t>
      </w:r>
      <w:r w:rsidRPr="003328F3">
        <w:t xml:space="preserve"> on a normal work/week day in Transitioned ADF (aged </w:t>
      </w:r>
      <w:r>
        <w:t>18–25</w:t>
      </w:r>
      <w:r w:rsidRPr="003328F3">
        <w:t xml:space="preserve">) compared to the Young and Well </w:t>
      </w:r>
      <w:r>
        <w:t>c</w:t>
      </w:r>
      <w:r w:rsidRPr="003328F3">
        <w:t>ohort</w:t>
      </w:r>
      <w:bookmarkEnd w:id="1142"/>
      <w:bookmarkEnd w:id="1143"/>
      <w:bookmarkEnd w:id="1144"/>
      <w:bookmarkEnd w:id="1145"/>
    </w:p>
    <w:p w14:paraId="12F2C9E2" w14:textId="77777777" w:rsidR="0033663C" w:rsidRPr="00B737A1" w:rsidRDefault="005710C4" w:rsidP="00B737A1">
      <w:pPr>
        <w:spacing w:after="360"/>
      </w:pPr>
      <w:r w:rsidRPr="003328F3">
        <w:rPr>
          <w:rFonts w:asciiTheme="minorHAnsi" w:hAnsiTheme="minorHAnsi"/>
          <w:noProof/>
          <w:lang w:eastAsia="en-AU"/>
        </w:rPr>
        <w:drawing>
          <wp:inline distT="0" distB="0" distL="0" distR="0" wp14:anchorId="60A7766C" wp14:editId="53FB9B8B">
            <wp:extent cx="4572000" cy="3200400"/>
            <wp:effectExtent l="0" t="0" r="19050" b="19050"/>
            <wp:docPr id="488" name="Chart 488" descr="Figure 10.2 Time spent using the internet on a normal work/week day in Transitioned ADF (aged 18–25) compared to the Young and Wel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07378CEA" w14:textId="77777777" w:rsidR="0033663C" w:rsidRPr="008A51EB" w:rsidRDefault="0033663C" w:rsidP="0033663C">
      <w:pPr>
        <w:pStyle w:val="Heading3"/>
        <w:numPr>
          <w:ilvl w:val="2"/>
          <w:numId w:val="1"/>
        </w:numPr>
      </w:pPr>
      <w:bookmarkStart w:id="1146" w:name="_Toc387565415"/>
      <w:bookmarkStart w:id="1147" w:name="_Toc515374566"/>
      <w:bookmarkStart w:id="1148" w:name="_Toc518566460"/>
      <w:bookmarkStart w:id="1149" w:name="_Toc528932738"/>
      <w:bookmarkStart w:id="1150" w:name="_Toc531859275"/>
      <w:r>
        <w:t>Internet</w:t>
      </w:r>
      <w:r w:rsidRPr="008A51EB">
        <w:t xml:space="preserve"> use after 11</w:t>
      </w:r>
      <w:r>
        <w:t xml:space="preserve"> pm</w:t>
      </w:r>
      <w:bookmarkEnd w:id="1146"/>
      <w:bookmarkEnd w:id="1147"/>
      <w:bookmarkEnd w:id="1148"/>
      <w:bookmarkEnd w:id="1149"/>
      <w:bookmarkEnd w:id="1150"/>
    </w:p>
    <w:p w14:paraId="7925AE1E" w14:textId="77777777" w:rsidR="0033663C" w:rsidRPr="003328F3" w:rsidRDefault="0033663C" w:rsidP="0033663C">
      <w:pPr>
        <w:rPr>
          <w:rFonts w:asciiTheme="minorHAnsi" w:hAnsiTheme="minorHAnsi" w:cstheme="minorHAnsi"/>
        </w:rPr>
      </w:pPr>
      <w:r w:rsidRPr="003328F3">
        <w:rPr>
          <w:rFonts w:asciiTheme="minorHAnsi" w:hAnsiTheme="minorHAnsi" w:cstheme="minorHAnsi"/>
        </w:rPr>
        <w:t xml:space="preserve">Respondents in the </w:t>
      </w:r>
      <w:r w:rsidRPr="003328F3">
        <w:t>Mental H</w:t>
      </w:r>
      <w:r>
        <w:t>ealth and Wellbeing Transition S</w:t>
      </w:r>
      <w:r w:rsidRPr="003328F3">
        <w:t>tudy and respo</w:t>
      </w:r>
      <w:r>
        <w:t>ndents from the Young and Well S</w:t>
      </w:r>
      <w:r w:rsidRPr="003328F3">
        <w:t xml:space="preserve">tudy were asked </w:t>
      </w:r>
      <w:r>
        <w:t>‘</w:t>
      </w:r>
      <w:r w:rsidRPr="003328F3">
        <w:t xml:space="preserve">Do you use the </w:t>
      </w:r>
      <w:r>
        <w:t>internet</w:t>
      </w:r>
      <w:r w:rsidRPr="003328F3">
        <w:t xml:space="preserve"> after </w:t>
      </w:r>
      <w:r>
        <w:t>11 pm</w:t>
      </w:r>
      <w:r w:rsidRPr="003328F3">
        <w:t xml:space="preserve"> at night?</w:t>
      </w:r>
      <w:r>
        <w:t>’.</w:t>
      </w:r>
      <w:r w:rsidRPr="003328F3">
        <w:rPr>
          <w:rFonts w:asciiTheme="minorHAnsi" w:hAnsiTheme="minorHAnsi" w:cstheme="minorHAnsi"/>
        </w:rPr>
        <w:t xml:space="preserve"> Responses to this question are described in </w:t>
      </w:r>
      <w:r>
        <w:t xml:space="preserve">Table </w:t>
      </w:r>
      <w:r>
        <w:rPr>
          <w:noProof/>
        </w:rPr>
        <w:t>10.3</w:t>
      </w:r>
      <w:r w:rsidRPr="0005797B">
        <w:rPr>
          <w:rFonts w:asciiTheme="minorHAnsi" w:hAnsiTheme="minorHAnsi" w:cstheme="minorHAnsi"/>
        </w:rPr>
        <w:t xml:space="preserve"> and </w:t>
      </w:r>
      <w:r>
        <w:t xml:space="preserve">Figure </w:t>
      </w:r>
      <w:r>
        <w:rPr>
          <w:noProof/>
        </w:rPr>
        <w:t>10.3</w:t>
      </w:r>
      <w:r>
        <w:rPr>
          <w:rFonts w:asciiTheme="minorHAnsi" w:hAnsiTheme="minorHAnsi" w:cstheme="minorHAnsi"/>
        </w:rPr>
        <w:t>.</w:t>
      </w:r>
    </w:p>
    <w:p w14:paraId="3595AF2F" w14:textId="77777777" w:rsidR="0033663C" w:rsidRDefault="0033663C" w:rsidP="0033663C">
      <w:r w:rsidRPr="003328F3">
        <w:rPr>
          <w:rFonts w:asciiTheme="minorHAnsi" w:hAnsiTheme="minorHAnsi" w:cstheme="minorHAnsi"/>
        </w:rPr>
        <w:t>Just under half of the Transitioned ADF</w:t>
      </w:r>
      <w:r>
        <w:rPr>
          <w:rFonts w:asciiTheme="minorHAnsi" w:hAnsiTheme="minorHAnsi" w:cstheme="minorHAnsi"/>
        </w:rPr>
        <w:t xml:space="preserve"> young adults</w:t>
      </w:r>
      <w:r w:rsidRPr="003328F3">
        <w:rPr>
          <w:rFonts w:asciiTheme="minorHAnsi" w:hAnsiTheme="minorHAnsi" w:cstheme="minorHAnsi"/>
        </w:rPr>
        <w:t xml:space="preserve"> (46.8%</w:t>
      </w:r>
      <w:r>
        <w:rPr>
          <w:rFonts w:asciiTheme="minorHAnsi" w:hAnsiTheme="minorHAnsi" w:cstheme="minorHAnsi"/>
        </w:rPr>
        <w:t>)</w:t>
      </w:r>
      <w:r w:rsidRPr="003328F3">
        <w:rPr>
          <w:rFonts w:asciiTheme="minorHAnsi" w:hAnsiTheme="minorHAnsi" w:cstheme="minorHAnsi"/>
        </w:rPr>
        <w:t xml:space="preserve"> and over half (66.0%</w:t>
      </w:r>
      <w:r>
        <w:rPr>
          <w:rFonts w:asciiTheme="minorHAnsi" w:hAnsiTheme="minorHAnsi" w:cstheme="minorHAnsi"/>
        </w:rPr>
        <w:t xml:space="preserve">) </w:t>
      </w:r>
      <w:r w:rsidRPr="003328F3">
        <w:rPr>
          <w:rFonts w:asciiTheme="minorHAnsi" w:hAnsiTheme="minorHAnsi" w:cstheme="minorHAnsi"/>
        </w:rPr>
        <w:t xml:space="preserve">of the Young and Well </w:t>
      </w:r>
      <w:r>
        <w:rPr>
          <w:rFonts w:asciiTheme="minorHAnsi" w:hAnsiTheme="minorHAnsi" w:cstheme="minorHAnsi"/>
        </w:rPr>
        <w:t>c</w:t>
      </w:r>
      <w:r w:rsidRPr="003328F3">
        <w:rPr>
          <w:rFonts w:asciiTheme="minorHAnsi" w:hAnsiTheme="minorHAnsi" w:cstheme="minorHAnsi"/>
        </w:rPr>
        <w:t xml:space="preserve">ohort reported using the </w:t>
      </w:r>
      <w:r>
        <w:rPr>
          <w:rFonts w:asciiTheme="minorHAnsi" w:hAnsiTheme="minorHAnsi" w:cstheme="minorHAnsi"/>
        </w:rPr>
        <w:t>internet</w:t>
      </w:r>
      <w:r w:rsidRPr="003328F3">
        <w:rPr>
          <w:rFonts w:asciiTheme="minorHAnsi" w:hAnsiTheme="minorHAnsi" w:cstheme="minorHAnsi"/>
        </w:rPr>
        <w:t xml:space="preserve"> after 11</w:t>
      </w:r>
      <w:r>
        <w:rPr>
          <w:rFonts w:asciiTheme="minorHAnsi" w:hAnsiTheme="minorHAnsi" w:cstheme="minorHAnsi"/>
        </w:rPr>
        <w:t xml:space="preserve"> pm</w:t>
      </w:r>
      <w:r w:rsidRPr="003328F3">
        <w:rPr>
          <w:rFonts w:asciiTheme="minorHAnsi" w:hAnsiTheme="minorHAnsi" w:cstheme="minorHAnsi"/>
        </w:rPr>
        <w:t xml:space="preserve">, with Transitioned ADF </w:t>
      </w:r>
      <w:r>
        <w:rPr>
          <w:rFonts w:asciiTheme="minorHAnsi" w:hAnsiTheme="minorHAnsi" w:cstheme="minorHAnsi"/>
        </w:rPr>
        <w:t>young adults</w:t>
      </w:r>
      <w:r w:rsidRPr="003328F3">
        <w:rPr>
          <w:rFonts w:asciiTheme="minorHAnsi" w:hAnsiTheme="minorHAnsi" w:cstheme="minorHAnsi"/>
        </w:rPr>
        <w:t xml:space="preserve"> being significantly less likely to report using the </w:t>
      </w:r>
      <w:r>
        <w:rPr>
          <w:rFonts w:asciiTheme="minorHAnsi" w:hAnsiTheme="minorHAnsi" w:cstheme="minorHAnsi"/>
        </w:rPr>
        <w:t>internet</w:t>
      </w:r>
      <w:r w:rsidRPr="003328F3">
        <w:rPr>
          <w:rFonts w:asciiTheme="minorHAnsi" w:hAnsiTheme="minorHAnsi" w:cstheme="minorHAnsi"/>
        </w:rPr>
        <w:t xml:space="preserve"> after 11</w:t>
      </w:r>
      <w:r>
        <w:rPr>
          <w:rFonts w:asciiTheme="minorHAnsi" w:hAnsiTheme="minorHAnsi" w:cstheme="minorHAnsi"/>
        </w:rPr>
        <w:t xml:space="preserve"> pm</w:t>
      </w:r>
      <w:r w:rsidRPr="003328F3">
        <w:t xml:space="preserve"> c</w:t>
      </w:r>
      <w:r w:rsidRPr="003328F3">
        <w:rPr>
          <w:rFonts w:asciiTheme="minorHAnsi" w:hAnsiTheme="minorHAnsi" w:cstheme="minorHAnsi"/>
        </w:rPr>
        <w:t>ompared to the Young and Well cohort</w:t>
      </w:r>
      <w:r w:rsidRPr="003328F3">
        <w:t xml:space="preserve">. </w:t>
      </w:r>
    </w:p>
    <w:p w14:paraId="4A6E6255" w14:textId="77777777" w:rsidR="0033663C" w:rsidRPr="003328F3" w:rsidRDefault="0033663C" w:rsidP="0033663C">
      <w:pPr>
        <w:pStyle w:val="TableName"/>
      </w:pPr>
      <w:bookmarkStart w:id="1151" w:name="_Ref514912138"/>
      <w:bookmarkStart w:id="1152" w:name="_Toc528932367"/>
      <w:bookmarkStart w:id="1153" w:name="_Toc531858046"/>
      <w:r>
        <w:t xml:space="preserve">Table </w:t>
      </w:r>
      <w:r>
        <w:rPr>
          <w:noProof/>
        </w:rPr>
        <w:t>10</w:t>
      </w:r>
      <w:r>
        <w:t>.</w:t>
      </w:r>
      <w:r>
        <w:rPr>
          <w:noProof/>
        </w:rPr>
        <w:t>3</w:t>
      </w:r>
      <w:bookmarkEnd w:id="1151"/>
      <w:r>
        <w:tab/>
      </w:r>
      <w:r w:rsidRPr="003328F3">
        <w:t xml:space="preserve">Use of the </w:t>
      </w:r>
      <w:r>
        <w:t>internet</w:t>
      </w:r>
      <w:r w:rsidRPr="003328F3">
        <w:t xml:space="preserve"> after </w:t>
      </w:r>
      <w:r>
        <w:t>11 pm</w:t>
      </w:r>
      <w:r w:rsidRPr="003328F3">
        <w:t xml:space="preserve"> in Transitioned ADF (aged </w:t>
      </w:r>
      <w:r>
        <w:t>18–25</w:t>
      </w:r>
      <w:r w:rsidRPr="003328F3">
        <w:t>) compared to the Young and Well cohort</w:t>
      </w:r>
      <w:bookmarkEnd w:id="1152"/>
      <w:bookmarkEnd w:id="1153"/>
    </w:p>
    <w:tbl>
      <w:tblPr>
        <w:tblStyle w:val="TWRPTable"/>
        <w:tblW w:w="5000" w:type="pct"/>
        <w:tblLayout w:type="fixed"/>
        <w:tblCellMar>
          <w:left w:w="115" w:type="dxa"/>
          <w:right w:w="115" w:type="dxa"/>
        </w:tblCellMar>
        <w:tblLook w:val="01E0" w:firstRow="1" w:lastRow="1" w:firstColumn="1" w:lastColumn="1" w:noHBand="0" w:noVBand="0"/>
        <w:tblDescription w:val="Table 10.3 Use of the internet after 11 pm in Transitioned ADF (aged 18–25) compared to the Young and Well cohort"/>
      </w:tblPr>
      <w:tblGrid>
        <w:gridCol w:w="2116"/>
        <w:gridCol w:w="460"/>
        <w:gridCol w:w="393"/>
        <w:gridCol w:w="760"/>
        <w:gridCol w:w="460"/>
        <w:gridCol w:w="393"/>
        <w:gridCol w:w="760"/>
        <w:gridCol w:w="527"/>
        <w:gridCol w:w="393"/>
        <w:gridCol w:w="827"/>
      </w:tblGrid>
      <w:tr w:rsidR="0033663C" w:rsidRPr="005710C4" w14:paraId="5DB18B95" w14:textId="77777777" w:rsidTr="005710C4">
        <w:trPr>
          <w:cnfStyle w:val="100000000000" w:firstRow="1" w:lastRow="0" w:firstColumn="0" w:lastColumn="0" w:oddVBand="0" w:evenVBand="0" w:oddHBand="0" w:evenHBand="0" w:firstRowFirstColumn="0" w:firstRowLastColumn="0" w:lastRowFirstColumn="0" w:lastRowLastColumn="0"/>
          <w:cantSplit/>
          <w:tblHeader/>
        </w:trPr>
        <w:tc>
          <w:tcPr>
            <w:tcW w:w="2023" w:type="dxa"/>
            <w:tcBorders>
              <w:top w:val="single" w:sz="4" w:space="0" w:color="000000"/>
              <w:bottom w:val="nil"/>
            </w:tcBorders>
          </w:tcPr>
          <w:p w14:paraId="07BF42EE" w14:textId="77777777" w:rsidR="0033663C" w:rsidRPr="005710C4" w:rsidRDefault="0033663C" w:rsidP="0033663C">
            <w:pPr>
              <w:pStyle w:val="TableText"/>
              <w:rPr>
                <w:lang w:eastAsia="en-AU"/>
              </w:rPr>
            </w:pPr>
          </w:p>
        </w:tc>
        <w:tc>
          <w:tcPr>
            <w:tcW w:w="1543" w:type="dxa"/>
            <w:gridSpan w:val="3"/>
            <w:hideMark/>
          </w:tcPr>
          <w:p w14:paraId="4F775517" w14:textId="77777777" w:rsidR="0033663C" w:rsidRPr="005710C4" w:rsidRDefault="0033663C" w:rsidP="005710C4">
            <w:pPr>
              <w:pStyle w:val="TableText"/>
              <w:jc w:val="center"/>
              <w:rPr>
                <w:lang w:eastAsia="en-AU"/>
              </w:rPr>
            </w:pPr>
            <w:r w:rsidRPr="005710C4">
              <w:rPr>
                <w:bCs/>
                <w:lang w:eastAsia="en-AU"/>
              </w:rPr>
              <w:t>Transitioned ADF</w:t>
            </w:r>
            <w:r w:rsidR="005710C4" w:rsidRPr="005710C4">
              <w:rPr>
                <w:bCs/>
                <w:lang w:eastAsia="en-AU"/>
              </w:rPr>
              <w:br/>
            </w:r>
            <w:r w:rsidRPr="005710C4">
              <w:rPr>
                <w:bCs/>
                <w:lang w:eastAsia="en-AU"/>
              </w:rPr>
              <w:t>18–25 years</w:t>
            </w:r>
            <w:r w:rsidR="005710C4" w:rsidRPr="005710C4">
              <w:rPr>
                <w:bCs/>
                <w:lang w:eastAsia="en-AU"/>
              </w:rPr>
              <w:br/>
            </w:r>
            <w:r w:rsidRPr="005710C4">
              <w:rPr>
                <w:lang w:eastAsia="en-AU"/>
              </w:rPr>
              <w:t>n=2630</w:t>
            </w:r>
          </w:p>
        </w:tc>
        <w:tc>
          <w:tcPr>
            <w:tcW w:w="1543" w:type="dxa"/>
            <w:gridSpan w:val="3"/>
            <w:hideMark/>
          </w:tcPr>
          <w:p w14:paraId="300828C6" w14:textId="77777777" w:rsidR="0033663C" w:rsidRPr="005710C4" w:rsidRDefault="0033663C" w:rsidP="005710C4">
            <w:pPr>
              <w:pStyle w:val="TableText"/>
              <w:jc w:val="center"/>
              <w:rPr>
                <w:bCs/>
                <w:lang w:eastAsia="en-AU"/>
              </w:rPr>
            </w:pPr>
            <w:r w:rsidRPr="005710C4">
              <w:rPr>
                <w:rFonts w:cs="Arial"/>
              </w:rPr>
              <w:t>Young and Well cohort</w:t>
            </w:r>
            <w:r w:rsidR="005710C4" w:rsidRPr="005710C4">
              <w:rPr>
                <w:rFonts w:cs="Arial"/>
              </w:rPr>
              <w:br/>
            </w:r>
            <w:r w:rsidRPr="005710C4">
              <w:rPr>
                <w:rFonts w:cs="Arial"/>
              </w:rPr>
              <w:t>18–25 years</w:t>
            </w:r>
            <w:r w:rsidR="005710C4" w:rsidRPr="005710C4">
              <w:rPr>
                <w:rFonts w:cs="Arial"/>
              </w:rPr>
              <w:br/>
            </w:r>
            <w:r w:rsidRPr="005710C4">
              <w:rPr>
                <w:rFonts w:cs="Arial"/>
              </w:rPr>
              <w:t>n=1110</w:t>
            </w:r>
          </w:p>
        </w:tc>
        <w:tc>
          <w:tcPr>
            <w:tcW w:w="1671" w:type="dxa"/>
            <w:gridSpan w:val="3"/>
            <w:hideMark/>
          </w:tcPr>
          <w:p w14:paraId="44111077" w14:textId="77777777" w:rsidR="0033663C" w:rsidRPr="005710C4" w:rsidRDefault="0033663C" w:rsidP="0033663C">
            <w:pPr>
              <w:pStyle w:val="TableText"/>
              <w:jc w:val="center"/>
              <w:rPr>
                <w:bCs/>
                <w:lang w:eastAsia="en-AU"/>
              </w:rPr>
            </w:pPr>
            <w:r w:rsidRPr="005710C4">
              <w:rPr>
                <w:bCs/>
                <w:lang w:eastAsia="en-AU"/>
              </w:rPr>
              <w:t>Difference</w:t>
            </w:r>
          </w:p>
        </w:tc>
      </w:tr>
      <w:tr w:rsidR="0033663C" w:rsidRPr="005710C4" w14:paraId="021375EC" w14:textId="77777777" w:rsidTr="005710C4">
        <w:trPr>
          <w:cnfStyle w:val="100000000000" w:firstRow="1" w:lastRow="0" w:firstColumn="0" w:lastColumn="0" w:oddVBand="0" w:evenVBand="0" w:oddHBand="0" w:evenHBand="0" w:firstRowFirstColumn="0" w:firstRowLastColumn="0" w:lastRowFirstColumn="0" w:lastRowLastColumn="0"/>
          <w:cantSplit/>
          <w:tblHeader/>
        </w:trPr>
        <w:tc>
          <w:tcPr>
            <w:tcW w:w="2023" w:type="dxa"/>
            <w:tcBorders>
              <w:top w:val="nil"/>
            </w:tcBorders>
          </w:tcPr>
          <w:p w14:paraId="7F44B19C" w14:textId="77777777" w:rsidR="0033663C" w:rsidRPr="005710C4" w:rsidRDefault="0033663C" w:rsidP="0033663C">
            <w:pPr>
              <w:pStyle w:val="TableText"/>
              <w:rPr>
                <w:rFonts w:eastAsia="GillSans"/>
                <w:lang w:eastAsia="en-AU"/>
              </w:rPr>
            </w:pPr>
          </w:p>
        </w:tc>
        <w:tc>
          <w:tcPr>
            <w:tcW w:w="440" w:type="dxa"/>
            <w:hideMark/>
          </w:tcPr>
          <w:p w14:paraId="095EAFC0" w14:textId="77777777" w:rsidR="0033663C" w:rsidRPr="005710C4" w:rsidRDefault="0033663C" w:rsidP="0033663C">
            <w:pPr>
              <w:pStyle w:val="TableText"/>
              <w:jc w:val="right"/>
              <w:rPr>
                <w:rFonts w:eastAsia="Times New Roman"/>
                <w:lang w:eastAsia="en-AU"/>
              </w:rPr>
            </w:pPr>
            <w:r w:rsidRPr="005710C4">
              <w:rPr>
                <w:lang w:eastAsia="en-AU"/>
              </w:rPr>
              <w:t>%</w:t>
            </w:r>
          </w:p>
        </w:tc>
        <w:tc>
          <w:tcPr>
            <w:tcW w:w="376" w:type="dxa"/>
            <w:hideMark/>
          </w:tcPr>
          <w:p w14:paraId="108918D1" w14:textId="77777777" w:rsidR="0033663C" w:rsidRPr="005710C4" w:rsidRDefault="0033663C" w:rsidP="0033663C">
            <w:pPr>
              <w:pStyle w:val="TableText"/>
              <w:jc w:val="right"/>
              <w:rPr>
                <w:lang w:eastAsia="en-AU"/>
              </w:rPr>
            </w:pPr>
            <w:r w:rsidRPr="005710C4">
              <w:rPr>
                <w:lang w:eastAsia="en-AU"/>
              </w:rPr>
              <w:t>SE</w:t>
            </w:r>
          </w:p>
        </w:tc>
        <w:tc>
          <w:tcPr>
            <w:tcW w:w="727" w:type="dxa"/>
            <w:hideMark/>
          </w:tcPr>
          <w:p w14:paraId="7689C903" w14:textId="77777777" w:rsidR="0033663C" w:rsidRPr="005710C4" w:rsidRDefault="0033663C" w:rsidP="0033663C">
            <w:pPr>
              <w:pStyle w:val="TableText"/>
              <w:jc w:val="right"/>
              <w:rPr>
                <w:lang w:eastAsia="en-AU"/>
              </w:rPr>
            </w:pPr>
            <w:r w:rsidRPr="005710C4">
              <w:rPr>
                <w:lang w:eastAsia="en-AU"/>
              </w:rPr>
              <w:t>95% CI</w:t>
            </w:r>
          </w:p>
        </w:tc>
        <w:tc>
          <w:tcPr>
            <w:tcW w:w="440" w:type="dxa"/>
            <w:hideMark/>
          </w:tcPr>
          <w:p w14:paraId="1EF1760C" w14:textId="77777777" w:rsidR="0033663C" w:rsidRPr="005710C4" w:rsidRDefault="0033663C" w:rsidP="0033663C">
            <w:pPr>
              <w:pStyle w:val="TableText"/>
              <w:jc w:val="right"/>
              <w:rPr>
                <w:lang w:eastAsia="en-AU"/>
              </w:rPr>
            </w:pPr>
            <w:r w:rsidRPr="005710C4">
              <w:rPr>
                <w:lang w:eastAsia="en-AU"/>
              </w:rPr>
              <w:t>%</w:t>
            </w:r>
          </w:p>
        </w:tc>
        <w:tc>
          <w:tcPr>
            <w:tcW w:w="376" w:type="dxa"/>
          </w:tcPr>
          <w:p w14:paraId="304A6AE0" w14:textId="77777777" w:rsidR="0033663C" w:rsidRPr="005710C4" w:rsidRDefault="0033663C" w:rsidP="0033663C">
            <w:pPr>
              <w:pStyle w:val="TableText"/>
              <w:jc w:val="right"/>
              <w:rPr>
                <w:lang w:eastAsia="en-AU"/>
              </w:rPr>
            </w:pPr>
            <w:r w:rsidRPr="005710C4">
              <w:rPr>
                <w:lang w:eastAsia="en-AU"/>
              </w:rPr>
              <w:t>SE</w:t>
            </w:r>
          </w:p>
        </w:tc>
        <w:tc>
          <w:tcPr>
            <w:tcW w:w="727" w:type="dxa"/>
          </w:tcPr>
          <w:p w14:paraId="31F2D5EA" w14:textId="77777777" w:rsidR="0033663C" w:rsidRPr="005710C4" w:rsidRDefault="0033663C" w:rsidP="0033663C">
            <w:pPr>
              <w:pStyle w:val="TableText"/>
              <w:jc w:val="right"/>
              <w:rPr>
                <w:lang w:eastAsia="en-AU"/>
              </w:rPr>
            </w:pPr>
            <w:r w:rsidRPr="005710C4">
              <w:rPr>
                <w:lang w:eastAsia="en-AU"/>
              </w:rPr>
              <w:t>95% CI</w:t>
            </w:r>
          </w:p>
        </w:tc>
        <w:tc>
          <w:tcPr>
            <w:tcW w:w="504" w:type="dxa"/>
            <w:hideMark/>
          </w:tcPr>
          <w:p w14:paraId="4C0530DF" w14:textId="77777777" w:rsidR="0033663C" w:rsidRPr="005710C4" w:rsidRDefault="0033663C" w:rsidP="0033663C">
            <w:pPr>
              <w:pStyle w:val="TableText"/>
              <w:jc w:val="right"/>
              <w:rPr>
                <w:lang w:eastAsia="en-AU"/>
              </w:rPr>
            </w:pPr>
            <w:r w:rsidRPr="005710C4">
              <w:rPr>
                <w:lang w:eastAsia="en-AU"/>
              </w:rPr>
              <w:t>%</w:t>
            </w:r>
          </w:p>
        </w:tc>
        <w:tc>
          <w:tcPr>
            <w:tcW w:w="376" w:type="dxa"/>
            <w:hideMark/>
          </w:tcPr>
          <w:p w14:paraId="7E30C40F" w14:textId="77777777" w:rsidR="0033663C" w:rsidRPr="005710C4" w:rsidRDefault="0033663C" w:rsidP="0033663C">
            <w:pPr>
              <w:pStyle w:val="TableText"/>
              <w:jc w:val="right"/>
              <w:rPr>
                <w:lang w:eastAsia="en-AU"/>
              </w:rPr>
            </w:pPr>
            <w:r w:rsidRPr="005710C4">
              <w:rPr>
                <w:lang w:eastAsia="en-AU"/>
              </w:rPr>
              <w:t>SE</w:t>
            </w:r>
          </w:p>
        </w:tc>
        <w:tc>
          <w:tcPr>
            <w:tcW w:w="791" w:type="dxa"/>
            <w:hideMark/>
          </w:tcPr>
          <w:p w14:paraId="2FDE669E" w14:textId="77777777" w:rsidR="0033663C" w:rsidRPr="005710C4" w:rsidRDefault="0033663C" w:rsidP="0033663C">
            <w:pPr>
              <w:pStyle w:val="TableText"/>
              <w:jc w:val="right"/>
              <w:rPr>
                <w:lang w:eastAsia="en-AU"/>
              </w:rPr>
            </w:pPr>
            <w:r w:rsidRPr="005710C4">
              <w:rPr>
                <w:lang w:eastAsia="en-AU"/>
              </w:rPr>
              <w:t>95% CI</w:t>
            </w:r>
          </w:p>
        </w:tc>
      </w:tr>
      <w:tr w:rsidR="0033663C" w:rsidRPr="003328F3" w14:paraId="2F19697C" w14:textId="77777777" w:rsidTr="005710C4">
        <w:trPr>
          <w:cnfStyle w:val="000000100000" w:firstRow="0" w:lastRow="0" w:firstColumn="0" w:lastColumn="0" w:oddVBand="0" w:evenVBand="0" w:oddHBand="1" w:evenHBand="0" w:firstRowFirstColumn="0" w:firstRowLastColumn="0" w:lastRowFirstColumn="0" w:lastRowLastColumn="0"/>
          <w:cantSplit/>
        </w:trPr>
        <w:tc>
          <w:tcPr>
            <w:tcW w:w="2023" w:type="dxa"/>
            <w:hideMark/>
          </w:tcPr>
          <w:p w14:paraId="3F9F8CE4" w14:textId="77777777" w:rsidR="0033663C" w:rsidRPr="003328F3" w:rsidRDefault="0033663C" w:rsidP="0033663C">
            <w:pPr>
              <w:pStyle w:val="TableText"/>
              <w:rPr>
                <w:rFonts w:cs="Arial"/>
              </w:rPr>
            </w:pPr>
            <w:r w:rsidRPr="003328F3">
              <w:t xml:space="preserve">No, do not use </w:t>
            </w:r>
            <w:r>
              <w:t>internet</w:t>
            </w:r>
            <w:r w:rsidRPr="003328F3">
              <w:t xml:space="preserve"> after 11</w:t>
            </w:r>
            <w:r>
              <w:t xml:space="preserve"> pm.</w:t>
            </w:r>
          </w:p>
        </w:tc>
        <w:tc>
          <w:tcPr>
            <w:tcW w:w="440" w:type="dxa"/>
          </w:tcPr>
          <w:p w14:paraId="66ECDC79" w14:textId="77777777" w:rsidR="0033663C" w:rsidRPr="003328F3" w:rsidRDefault="0033663C" w:rsidP="0033663C">
            <w:pPr>
              <w:pStyle w:val="TableText"/>
              <w:jc w:val="right"/>
            </w:pPr>
            <w:r w:rsidRPr="003328F3">
              <w:t>51.7</w:t>
            </w:r>
          </w:p>
        </w:tc>
        <w:tc>
          <w:tcPr>
            <w:tcW w:w="376" w:type="dxa"/>
          </w:tcPr>
          <w:p w14:paraId="27D2F00A" w14:textId="77777777" w:rsidR="0033663C" w:rsidRPr="003328F3" w:rsidRDefault="0033663C" w:rsidP="0033663C">
            <w:pPr>
              <w:pStyle w:val="TableText"/>
              <w:jc w:val="right"/>
            </w:pPr>
            <w:r w:rsidRPr="003328F3">
              <w:t>4.1</w:t>
            </w:r>
          </w:p>
        </w:tc>
        <w:tc>
          <w:tcPr>
            <w:tcW w:w="727" w:type="dxa"/>
          </w:tcPr>
          <w:p w14:paraId="624F808E" w14:textId="77777777" w:rsidR="0033663C" w:rsidRPr="003328F3" w:rsidRDefault="0033663C" w:rsidP="0033663C">
            <w:pPr>
              <w:pStyle w:val="TableText"/>
              <w:jc w:val="right"/>
            </w:pPr>
            <w:r w:rsidRPr="003328F3">
              <w:t>43.7, 59.7</w:t>
            </w:r>
          </w:p>
        </w:tc>
        <w:tc>
          <w:tcPr>
            <w:tcW w:w="440" w:type="dxa"/>
          </w:tcPr>
          <w:p w14:paraId="1F03A805" w14:textId="77777777" w:rsidR="0033663C" w:rsidRPr="003328F3" w:rsidRDefault="0033663C" w:rsidP="0033663C">
            <w:pPr>
              <w:pStyle w:val="TableText"/>
              <w:jc w:val="right"/>
            </w:pPr>
            <w:r w:rsidRPr="003328F3">
              <w:t>33.1</w:t>
            </w:r>
          </w:p>
        </w:tc>
        <w:tc>
          <w:tcPr>
            <w:tcW w:w="376" w:type="dxa"/>
          </w:tcPr>
          <w:p w14:paraId="6A5198E3" w14:textId="77777777" w:rsidR="0033663C" w:rsidRPr="003328F3" w:rsidRDefault="0033663C" w:rsidP="0033663C">
            <w:pPr>
              <w:pStyle w:val="TableText"/>
              <w:jc w:val="right"/>
            </w:pPr>
            <w:r w:rsidRPr="003328F3">
              <w:t>2.4</w:t>
            </w:r>
          </w:p>
        </w:tc>
        <w:tc>
          <w:tcPr>
            <w:tcW w:w="727" w:type="dxa"/>
          </w:tcPr>
          <w:p w14:paraId="57632AD5" w14:textId="77777777" w:rsidR="0033663C" w:rsidRPr="003328F3" w:rsidRDefault="0033663C" w:rsidP="0033663C">
            <w:pPr>
              <w:pStyle w:val="TableText"/>
              <w:jc w:val="right"/>
            </w:pPr>
            <w:r w:rsidRPr="003328F3">
              <w:t>28.4, 37.7</w:t>
            </w:r>
          </w:p>
        </w:tc>
        <w:tc>
          <w:tcPr>
            <w:tcW w:w="504" w:type="dxa"/>
          </w:tcPr>
          <w:p w14:paraId="126F1C93" w14:textId="77777777" w:rsidR="0033663C" w:rsidRPr="003328F3" w:rsidRDefault="0033663C" w:rsidP="0033663C">
            <w:pPr>
              <w:pStyle w:val="TableText"/>
              <w:jc w:val="right"/>
            </w:pPr>
            <w:r w:rsidRPr="003328F3">
              <w:t>18.7</w:t>
            </w:r>
          </w:p>
        </w:tc>
        <w:tc>
          <w:tcPr>
            <w:tcW w:w="376" w:type="dxa"/>
          </w:tcPr>
          <w:p w14:paraId="4BA7FC28" w14:textId="77777777" w:rsidR="0033663C" w:rsidRPr="003328F3" w:rsidRDefault="0033663C" w:rsidP="0033663C">
            <w:pPr>
              <w:pStyle w:val="TableText"/>
              <w:jc w:val="right"/>
            </w:pPr>
            <w:r w:rsidRPr="003328F3">
              <w:t>4.8</w:t>
            </w:r>
          </w:p>
        </w:tc>
        <w:tc>
          <w:tcPr>
            <w:tcW w:w="791" w:type="dxa"/>
          </w:tcPr>
          <w:p w14:paraId="068172AF" w14:textId="77777777" w:rsidR="0033663C" w:rsidRPr="003328F3" w:rsidRDefault="0033663C" w:rsidP="0033663C">
            <w:pPr>
              <w:pStyle w:val="TableText"/>
              <w:jc w:val="right"/>
            </w:pPr>
            <w:r w:rsidRPr="003328F3">
              <w:t>9.3, 28.0</w:t>
            </w:r>
          </w:p>
        </w:tc>
      </w:tr>
      <w:tr w:rsidR="0033663C" w:rsidRPr="003328F3" w14:paraId="247CF8F3" w14:textId="77777777" w:rsidTr="005710C4">
        <w:trPr>
          <w:cantSplit/>
        </w:trPr>
        <w:tc>
          <w:tcPr>
            <w:tcW w:w="2023" w:type="dxa"/>
            <w:hideMark/>
          </w:tcPr>
          <w:p w14:paraId="7CF07F94" w14:textId="77777777" w:rsidR="0033663C" w:rsidRPr="003328F3" w:rsidRDefault="0033663C" w:rsidP="0033663C">
            <w:pPr>
              <w:pStyle w:val="TableText"/>
              <w:rPr>
                <w:rFonts w:cs="Arial"/>
              </w:rPr>
            </w:pPr>
            <w:r w:rsidRPr="003328F3">
              <w:t xml:space="preserve">Yes, use </w:t>
            </w:r>
            <w:r>
              <w:t>internet</w:t>
            </w:r>
            <w:r w:rsidRPr="003328F3">
              <w:t xml:space="preserve"> after </w:t>
            </w:r>
            <w:r>
              <w:t>11 pm.</w:t>
            </w:r>
          </w:p>
        </w:tc>
        <w:tc>
          <w:tcPr>
            <w:tcW w:w="440" w:type="dxa"/>
          </w:tcPr>
          <w:p w14:paraId="315B402F" w14:textId="77777777" w:rsidR="0033663C" w:rsidRPr="003328F3" w:rsidRDefault="0033663C" w:rsidP="0033663C">
            <w:pPr>
              <w:pStyle w:val="TableText"/>
              <w:jc w:val="right"/>
            </w:pPr>
            <w:r w:rsidRPr="003328F3">
              <w:t>46.8</w:t>
            </w:r>
          </w:p>
        </w:tc>
        <w:tc>
          <w:tcPr>
            <w:tcW w:w="376" w:type="dxa"/>
          </w:tcPr>
          <w:p w14:paraId="14BA28D0" w14:textId="77777777" w:rsidR="0033663C" w:rsidRPr="003328F3" w:rsidRDefault="0033663C" w:rsidP="0033663C">
            <w:pPr>
              <w:pStyle w:val="TableText"/>
              <w:jc w:val="right"/>
            </w:pPr>
            <w:r w:rsidRPr="003328F3">
              <w:t>4.1</w:t>
            </w:r>
          </w:p>
        </w:tc>
        <w:tc>
          <w:tcPr>
            <w:tcW w:w="727" w:type="dxa"/>
          </w:tcPr>
          <w:p w14:paraId="44BC6FF4" w14:textId="77777777" w:rsidR="0033663C" w:rsidRPr="003328F3" w:rsidRDefault="0033663C" w:rsidP="0033663C">
            <w:pPr>
              <w:pStyle w:val="TableText"/>
              <w:jc w:val="right"/>
            </w:pPr>
            <w:r w:rsidRPr="003328F3">
              <w:t>38.9, 54.9</w:t>
            </w:r>
          </w:p>
        </w:tc>
        <w:tc>
          <w:tcPr>
            <w:tcW w:w="440" w:type="dxa"/>
          </w:tcPr>
          <w:p w14:paraId="0C1FCCEB" w14:textId="77777777" w:rsidR="0033663C" w:rsidRPr="003328F3" w:rsidRDefault="0033663C" w:rsidP="0033663C">
            <w:pPr>
              <w:pStyle w:val="TableText"/>
              <w:jc w:val="right"/>
            </w:pPr>
            <w:r w:rsidRPr="003328F3">
              <w:t>66.0</w:t>
            </w:r>
          </w:p>
        </w:tc>
        <w:tc>
          <w:tcPr>
            <w:tcW w:w="376" w:type="dxa"/>
          </w:tcPr>
          <w:p w14:paraId="3B050EB7" w14:textId="77777777" w:rsidR="0033663C" w:rsidRPr="003328F3" w:rsidRDefault="0033663C" w:rsidP="0033663C">
            <w:pPr>
              <w:pStyle w:val="TableText"/>
              <w:jc w:val="right"/>
            </w:pPr>
            <w:r w:rsidRPr="003328F3">
              <w:t>2.4</w:t>
            </w:r>
          </w:p>
        </w:tc>
        <w:tc>
          <w:tcPr>
            <w:tcW w:w="727" w:type="dxa"/>
          </w:tcPr>
          <w:p w14:paraId="4C1256ED" w14:textId="77777777" w:rsidR="0033663C" w:rsidRPr="003328F3" w:rsidRDefault="0033663C" w:rsidP="0033663C">
            <w:pPr>
              <w:pStyle w:val="TableText"/>
              <w:jc w:val="right"/>
            </w:pPr>
            <w:r w:rsidRPr="003328F3">
              <w:t>61.3, 70.6</w:t>
            </w:r>
          </w:p>
        </w:tc>
        <w:tc>
          <w:tcPr>
            <w:tcW w:w="504" w:type="dxa"/>
          </w:tcPr>
          <w:p w14:paraId="769D90C5" w14:textId="77777777" w:rsidR="0033663C" w:rsidRPr="003328F3" w:rsidRDefault="0033663C" w:rsidP="0033663C">
            <w:pPr>
              <w:pStyle w:val="TableText"/>
              <w:jc w:val="right"/>
            </w:pPr>
            <w:r>
              <w:rPr>
                <w:rFonts w:eastAsia="Times New Roman"/>
                <w:bCs/>
                <w:color w:val="000000" w:themeColor="text1"/>
              </w:rPr>
              <w:t>–</w:t>
            </w:r>
            <w:r w:rsidRPr="003328F3">
              <w:t>19.2</w:t>
            </w:r>
          </w:p>
        </w:tc>
        <w:tc>
          <w:tcPr>
            <w:tcW w:w="376" w:type="dxa"/>
          </w:tcPr>
          <w:p w14:paraId="15C7CB22" w14:textId="77777777" w:rsidR="0033663C" w:rsidRPr="003328F3" w:rsidRDefault="0033663C" w:rsidP="0033663C">
            <w:pPr>
              <w:pStyle w:val="TableText"/>
              <w:jc w:val="right"/>
            </w:pPr>
            <w:r w:rsidRPr="003328F3">
              <w:t>4.8</w:t>
            </w:r>
          </w:p>
        </w:tc>
        <w:tc>
          <w:tcPr>
            <w:tcW w:w="791" w:type="dxa"/>
          </w:tcPr>
          <w:p w14:paraId="2CC88AAE" w14:textId="77777777" w:rsidR="0033663C" w:rsidRPr="003328F3" w:rsidRDefault="0033663C" w:rsidP="0033663C">
            <w:pPr>
              <w:pStyle w:val="TableText"/>
              <w:jc w:val="right"/>
            </w:pPr>
            <w:r>
              <w:rPr>
                <w:rFonts w:eastAsia="Times New Roman"/>
                <w:bCs/>
                <w:color w:val="000000" w:themeColor="text1"/>
              </w:rPr>
              <w:t>–</w:t>
            </w:r>
            <w:r w:rsidRPr="003328F3">
              <w:t xml:space="preserve">28.5, </w:t>
            </w:r>
            <w:r>
              <w:rPr>
                <w:rFonts w:eastAsia="Times New Roman"/>
                <w:bCs/>
                <w:color w:val="000000" w:themeColor="text1"/>
              </w:rPr>
              <w:t>–</w:t>
            </w:r>
            <w:r w:rsidRPr="003328F3">
              <w:t>9.8</w:t>
            </w:r>
          </w:p>
        </w:tc>
      </w:tr>
      <w:tr w:rsidR="0033663C" w:rsidRPr="003328F3" w14:paraId="5E72B2A2" w14:textId="77777777" w:rsidTr="005710C4">
        <w:trPr>
          <w:cnfStyle w:val="010000000000" w:firstRow="0" w:lastRow="1" w:firstColumn="0" w:lastColumn="0" w:oddVBand="0" w:evenVBand="0" w:oddHBand="0" w:evenHBand="0" w:firstRowFirstColumn="0" w:firstRowLastColumn="0" w:lastRowFirstColumn="0" w:lastRowLastColumn="0"/>
          <w:cantSplit/>
        </w:trPr>
        <w:tc>
          <w:tcPr>
            <w:tcW w:w="2023" w:type="dxa"/>
          </w:tcPr>
          <w:p w14:paraId="69673D8B" w14:textId="77777777" w:rsidR="0033663C" w:rsidRPr="003328F3" w:rsidRDefault="0033663C" w:rsidP="0033663C">
            <w:pPr>
              <w:pStyle w:val="TableText"/>
            </w:pPr>
            <w:r w:rsidRPr="003328F3">
              <w:t>Don’t know</w:t>
            </w:r>
            <w:r>
              <w:t>.</w:t>
            </w:r>
            <w:r>
              <w:rPr>
                <w:vertAlign w:val="superscript"/>
              </w:rPr>
              <w:t>*</w:t>
            </w:r>
          </w:p>
        </w:tc>
        <w:tc>
          <w:tcPr>
            <w:tcW w:w="440" w:type="dxa"/>
          </w:tcPr>
          <w:p w14:paraId="38B0F156" w14:textId="77777777" w:rsidR="0033663C" w:rsidRPr="003328F3" w:rsidRDefault="0033663C" w:rsidP="0033663C">
            <w:pPr>
              <w:pStyle w:val="TableText"/>
              <w:jc w:val="right"/>
            </w:pPr>
            <w:r w:rsidRPr="003328F3">
              <w:t>0.0</w:t>
            </w:r>
          </w:p>
        </w:tc>
        <w:tc>
          <w:tcPr>
            <w:tcW w:w="376" w:type="dxa"/>
          </w:tcPr>
          <w:p w14:paraId="77274309" w14:textId="77777777" w:rsidR="0033663C" w:rsidRPr="003328F3" w:rsidRDefault="0033663C" w:rsidP="0033663C">
            <w:pPr>
              <w:pStyle w:val="TableText"/>
              <w:jc w:val="right"/>
            </w:pPr>
            <w:r>
              <w:t>–</w:t>
            </w:r>
          </w:p>
        </w:tc>
        <w:tc>
          <w:tcPr>
            <w:tcW w:w="727" w:type="dxa"/>
          </w:tcPr>
          <w:p w14:paraId="3843A575" w14:textId="77777777" w:rsidR="0033663C" w:rsidRPr="003328F3" w:rsidRDefault="0033663C" w:rsidP="0033663C">
            <w:pPr>
              <w:pStyle w:val="TableText"/>
              <w:jc w:val="right"/>
            </w:pPr>
            <w:r>
              <w:t>–</w:t>
            </w:r>
          </w:p>
        </w:tc>
        <w:tc>
          <w:tcPr>
            <w:tcW w:w="440" w:type="dxa"/>
          </w:tcPr>
          <w:p w14:paraId="162F56A5" w14:textId="77777777" w:rsidR="0033663C" w:rsidRPr="003328F3" w:rsidRDefault="0033663C" w:rsidP="0033663C">
            <w:pPr>
              <w:pStyle w:val="TableText"/>
              <w:jc w:val="right"/>
            </w:pPr>
            <w:r w:rsidRPr="003328F3">
              <w:t>0.0</w:t>
            </w:r>
          </w:p>
        </w:tc>
        <w:tc>
          <w:tcPr>
            <w:tcW w:w="376" w:type="dxa"/>
          </w:tcPr>
          <w:p w14:paraId="311BA2F4" w14:textId="77777777" w:rsidR="0033663C" w:rsidRPr="003328F3" w:rsidRDefault="0033663C" w:rsidP="0033663C">
            <w:pPr>
              <w:pStyle w:val="TableText"/>
              <w:jc w:val="right"/>
            </w:pPr>
            <w:r w:rsidRPr="003328F3">
              <w:t>0.0</w:t>
            </w:r>
          </w:p>
        </w:tc>
        <w:tc>
          <w:tcPr>
            <w:tcW w:w="727" w:type="dxa"/>
          </w:tcPr>
          <w:p w14:paraId="0C472829" w14:textId="77777777" w:rsidR="0033663C" w:rsidRPr="003328F3" w:rsidRDefault="0033663C" w:rsidP="0033663C">
            <w:pPr>
              <w:pStyle w:val="TableText"/>
              <w:jc w:val="right"/>
            </w:pPr>
            <w:r w:rsidRPr="003328F3">
              <w:t>0.0, 0.1</w:t>
            </w:r>
          </w:p>
        </w:tc>
        <w:tc>
          <w:tcPr>
            <w:tcW w:w="504" w:type="dxa"/>
          </w:tcPr>
          <w:p w14:paraId="20DC653E" w14:textId="77777777" w:rsidR="0033663C" w:rsidRPr="003328F3" w:rsidRDefault="0033663C" w:rsidP="0033663C">
            <w:pPr>
              <w:pStyle w:val="TableText"/>
              <w:jc w:val="right"/>
            </w:pPr>
            <w:r w:rsidRPr="003328F3">
              <w:t>0.0</w:t>
            </w:r>
          </w:p>
        </w:tc>
        <w:tc>
          <w:tcPr>
            <w:tcW w:w="376" w:type="dxa"/>
          </w:tcPr>
          <w:p w14:paraId="4224C5C7" w14:textId="77777777" w:rsidR="0033663C" w:rsidRPr="003328F3" w:rsidRDefault="0033663C" w:rsidP="0033663C">
            <w:pPr>
              <w:pStyle w:val="TableText"/>
              <w:jc w:val="right"/>
            </w:pPr>
            <w:r w:rsidRPr="003328F3">
              <w:t>0.0</w:t>
            </w:r>
          </w:p>
        </w:tc>
        <w:tc>
          <w:tcPr>
            <w:tcW w:w="791" w:type="dxa"/>
          </w:tcPr>
          <w:p w14:paraId="17C43D5C" w14:textId="77777777" w:rsidR="0033663C" w:rsidRPr="003328F3" w:rsidRDefault="0033663C" w:rsidP="0033663C">
            <w:pPr>
              <w:pStyle w:val="TableText"/>
              <w:jc w:val="right"/>
            </w:pPr>
            <w:r>
              <w:rPr>
                <w:rFonts w:eastAsia="Times New Roman"/>
                <w:bCs/>
                <w:color w:val="000000" w:themeColor="text1"/>
              </w:rPr>
              <w:t>–</w:t>
            </w:r>
            <w:r w:rsidRPr="003328F3">
              <w:t>0.1, 0.0</w:t>
            </w:r>
          </w:p>
        </w:tc>
      </w:tr>
    </w:tbl>
    <w:p w14:paraId="713BE43D" w14:textId="77777777" w:rsidR="0033663C" w:rsidRPr="008A51EB" w:rsidRDefault="0033663C" w:rsidP="002F202D">
      <w:pPr>
        <w:pStyle w:val="TableNotes"/>
        <w:keepNext/>
      </w:pPr>
      <w:r>
        <w:rPr>
          <w:vertAlign w:val="superscript"/>
        </w:rPr>
        <w:t>*</w:t>
      </w:r>
      <w:r w:rsidRPr="008A51EB">
        <w:t>Only the Young and Well participants had the option of responding ‘Don’t know’.</w:t>
      </w:r>
    </w:p>
    <w:p w14:paraId="21AFEDE0" w14:textId="77777777" w:rsidR="0033663C" w:rsidRPr="006A3EA0" w:rsidRDefault="0033663C" w:rsidP="002F202D">
      <w:pPr>
        <w:pStyle w:val="TableNotes"/>
        <w:keepNext/>
        <w:rPr>
          <w:b/>
        </w:rPr>
      </w:pPr>
      <w:r>
        <w:rPr>
          <w:b/>
        </w:rPr>
        <w:t>Notes</w:t>
      </w:r>
    </w:p>
    <w:p w14:paraId="75456BA2" w14:textId="77777777" w:rsidR="0033663C" w:rsidRPr="008A51EB" w:rsidRDefault="0033663C" w:rsidP="002F202D">
      <w:pPr>
        <w:pStyle w:val="TableNotes"/>
        <w:keepNext/>
      </w:pPr>
      <w:r w:rsidRPr="008A51EB">
        <w:t xml:space="preserve">Denominator: Total Transitioned ADF </w:t>
      </w:r>
      <w:r>
        <w:t>18–25</w:t>
      </w:r>
      <w:r w:rsidRPr="008A51EB">
        <w:t xml:space="preserve"> years and Young and Well </w:t>
      </w:r>
      <w:r>
        <w:t>18–25</w:t>
      </w:r>
      <w:r w:rsidRPr="008A51EB">
        <w:t xml:space="preserve"> years cohorts who used the </w:t>
      </w:r>
      <w:r>
        <w:t>internet.</w:t>
      </w:r>
    </w:p>
    <w:p w14:paraId="033F2E13" w14:textId="77777777" w:rsidR="0033663C" w:rsidRPr="008A51EB" w:rsidRDefault="0033663C" w:rsidP="002F202D">
      <w:pPr>
        <w:pStyle w:val="TableNotes"/>
        <w:keepNext/>
      </w:pPr>
      <w:r w:rsidRPr="008A51EB">
        <w:t xml:space="preserve">1.5% of the Transitioned ADF cohort had a missing value for this question. However, distributions are calculated by including those with a missing value to allow for correct weighted totals. </w:t>
      </w:r>
    </w:p>
    <w:p w14:paraId="29D74B12" w14:textId="77777777" w:rsidR="0033663C" w:rsidRDefault="0033663C" w:rsidP="0033663C">
      <w:pPr>
        <w:pStyle w:val="TableNotes"/>
      </w:pPr>
      <w:r>
        <w:t>95%CI = 95% confidence interval.</w:t>
      </w:r>
    </w:p>
    <w:p w14:paraId="4367C5E9" w14:textId="77777777" w:rsidR="0033663C" w:rsidRPr="003328F3" w:rsidRDefault="0033663C" w:rsidP="0033663C">
      <w:pPr>
        <w:pStyle w:val="FigureName"/>
        <w:rPr>
          <w:lang w:eastAsia="en-AU"/>
        </w:rPr>
      </w:pPr>
      <w:bookmarkStart w:id="1154" w:name="_Ref514912143"/>
      <w:bookmarkStart w:id="1155" w:name="_Toc510087908"/>
      <w:bookmarkStart w:id="1156" w:name="_Toc515374739"/>
      <w:bookmarkStart w:id="1157" w:name="_Toc528932423"/>
      <w:bookmarkStart w:id="1158" w:name="_Toc531858103"/>
      <w:r>
        <w:t xml:space="preserve">Figure </w:t>
      </w:r>
      <w:r>
        <w:rPr>
          <w:noProof/>
        </w:rPr>
        <w:t>10</w:t>
      </w:r>
      <w:r>
        <w:t>.</w:t>
      </w:r>
      <w:r>
        <w:rPr>
          <w:noProof/>
        </w:rPr>
        <w:t>3</w:t>
      </w:r>
      <w:bookmarkEnd w:id="1154"/>
      <w:r>
        <w:tab/>
      </w:r>
      <w:r w:rsidRPr="003328F3">
        <w:t xml:space="preserve">Use of the </w:t>
      </w:r>
      <w:r>
        <w:t>internet</w:t>
      </w:r>
      <w:r w:rsidRPr="003328F3">
        <w:t xml:space="preserve"> after </w:t>
      </w:r>
      <w:r>
        <w:t>11 pm</w:t>
      </w:r>
      <w:r w:rsidRPr="003328F3">
        <w:t xml:space="preserve"> in Transitioned ADF (aged </w:t>
      </w:r>
      <w:r>
        <w:t>18–25</w:t>
      </w:r>
      <w:r w:rsidRPr="003328F3">
        <w:t>) compared to the Young and Well cohort</w:t>
      </w:r>
      <w:bookmarkEnd w:id="1155"/>
      <w:bookmarkEnd w:id="1156"/>
      <w:bookmarkEnd w:id="1157"/>
      <w:bookmarkEnd w:id="1158"/>
    </w:p>
    <w:p w14:paraId="7F205A5A" w14:textId="77777777" w:rsidR="0033663C" w:rsidRPr="002F202D" w:rsidRDefault="002F202D" w:rsidP="002F202D">
      <w:pPr>
        <w:spacing w:after="360"/>
      </w:pPr>
      <w:r w:rsidRPr="003328F3">
        <w:rPr>
          <w:rFonts w:asciiTheme="minorHAnsi" w:hAnsiTheme="minorHAnsi"/>
          <w:noProof/>
          <w:lang w:eastAsia="en-AU"/>
        </w:rPr>
        <w:drawing>
          <wp:inline distT="0" distB="0" distL="0" distR="0" wp14:anchorId="5682736E" wp14:editId="3C28A84F">
            <wp:extent cx="4572000" cy="3200400"/>
            <wp:effectExtent l="0" t="0" r="19050" b="19050"/>
            <wp:docPr id="92" name="Chart 92" descr="Figure 10.3 Use of the internet after 11 pm in Transitioned ADF (aged 18–25) compared to the Young and Wel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7371F51" w14:textId="77777777" w:rsidR="0033663C" w:rsidRPr="008A51EB" w:rsidRDefault="0033663C" w:rsidP="0033663C">
      <w:pPr>
        <w:pStyle w:val="Heading2"/>
        <w:numPr>
          <w:ilvl w:val="1"/>
          <w:numId w:val="1"/>
        </w:numPr>
        <w:ind w:left="720" w:hanging="720"/>
      </w:pPr>
      <w:bookmarkStart w:id="1159" w:name="_Toc387565418"/>
      <w:bookmarkStart w:id="1160" w:name="_Toc515374567"/>
      <w:bookmarkStart w:id="1161" w:name="_Toc518566461"/>
      <w:bookmarkStart w:id="1162" w:name="_Toc528932739"/>
      <w:bookmarkStart w:id="1163" w:name="_Toc531859276"/>
      <w:r w:rsidRPr="008A51EB">
        <w:t xml:space="preserve">Use of the </w:t>
      </w:r>
      <w:r>
        <w:t>internet</w:t>
      </w:r>
      <w:r w:rsidRPr="008A51EB">
        <w:t xml:space="preserve"> to manage mental health in young adults in the Transitioned ADF compared to young adults in the Australian community</w:t>
      </w:r>
      <w:bookmarkEnd w:id="1159"/>
      <w:bookmarkEnd w:id="1160"/>
      <w:bookmarkEnd w:id="1161"/>
      <w:bookmarkEnd w:id="1162"/>
      <w:bookmarkEnd w:id="1163"/>
    </w:p>
    <w:p w14:paraId="38B91A34" w14:textId="77777777" w:rsidR="0033663C" w:rsidRPr="008A51EB" w:rsidRDefault="0033663C" w:rsidP="0033663C">
      <w:pPr>
        <w:pStyle w:val="Heading3"/>
        <w:numPr>
          <w:ilvl w:val="2"/>
          <w:numId w:val="1"/>
        </w:numPr>
      </w:pPr>
      <w:bookmarkStart w:id="1164" w:name="_Toc387565419"/>
      <w:bookmarkStart w:id="1165" w:name="_Toc515374568"/>
      <w:bookmarkStart w:id="1166" w:name="_Toc518566462"/>
      <w:bookmarkStart w:id="1167" w:name="_Toc528932740"/>
      <w:bookmarkStart w:id="1168" w:name="_Toc531859277"/>
      <w:r w:rsidRPr="008A51EB">
        <w:t xml:space="preserve">Overall use of the </w:t>
      </w:r>
      <w:r>
        <w:t>internet</w:t>
      </w:r>
      <w:r w:rsidRPr="008A51EB">
        <w:t xml:space="preserve"> to manage mental health</w:t>
      </w:r>
      <w:bookmarkEnd w:id="1164"/>
      <w:bookmarkEnd w:id="1165"/>
      <w:bookmarkEnd w:id="1166"/>
      <w:bookmarkEnd w:id="1167"/>
      <w:bookmarkEnd w:id="1168"/>
    </w:p>
    <w:p w14:paraId="302F0413" w14:textId="77777777" w:rsidR="0033663C" w:rsidRPr="0082337E" w:rsidRDefault="0033663C" w:rsidP="0033663C">
      <w:pPr>
        <w:rPr>
          <w:rFonts w:eastAsia="Times New Roman" w:cs="Calibri"/>
          <w:szCs w:val="22"/>
        </w:rPr>
      </w:pPr>
      <w:r w:rsidRPr="003328F3">
        <w:rPr>
          <w:rFonts w:asciiTheme="minorHAnsi" w:hAnsiTheme="minorHAnsi" w:cstheme="minorHAnsi"/>
        </w:rPr>
        <w:t xml:space="preserve">Respondents in the </w:t>
      </w:r>
      <w:r w:rsidRPr="003328F3">
        <w:t>Mental H</w:t>
      </w:r>
      <w:r>
        <w:t>ealth and Wellbeing Transition S</w:t>
      </w:r>
      <w:r w:rsidRPr="003328F3">
        <w:t xml:space="preserve">tudy were asked </w:t>
      </w:r>
      <w:r>
        <w:t>‘</w:t>
      </w:r>
      <w:r w:rsidRPr="003328F3">
        <w:rPr>
          <w:rFonts w:asciiTheme="minorHAnsi" w:hAnsiTheme="minorHAnsi" w:cstheme="minorHAnsi"/>
        </w:rPr>
        <w:t xml:space="preserve">Do you use the </w:t>
      </w:r>
      <w:r>
        <w:rPr>
          <w:rFonts w:asciiTheme="minorHAnsi" w:hAnsiTheme="minorHAnsi" w:cstheme="minorHAnsi"/>
        </w:rPr>
        <w:t>internet</w:t>
      </w:r>
      <w:r w:rsidRPr="003328F3">
        <w:rPr>
          <w:rFonts w:asciiTheme="minorHAnsi" w:hAnsiTheme="minorHAnsi" w:cstheme="minorHAnsi"/>
        </w:rPr>
        <w:t xml:space="preserve"> to seek help or information for, or manage, mental health issues?</w:t>
      </w:r>
      <w:r>
        <w:t>’</w:t>
      </w:r>
      <w:r w:rsidRPr="003328F3">
        <w:t xml:space="preserve"> and respo</w:t>
      </w:r>
      <w:r>
        <w:t>ndents from the Young and Well S</w:t>
      </w:r>
      <w:r w:rsidRPr="003328F3">
        <w:t xml:space="preserve">tudy were asked </w:t>
      </w:r>
      <w:r>
        <w:t>‘</w:t>
      </w:r>
      <w:r w:rsidRPr="003328F3">
        <w:t xml:space="preserve">Have you ever used the </w:t>
      </w:r>
      <w:r>
        <w:t>internet</w:t>
      </w:r>
      <w:r w:rsidRPr="003328F3">
        <w:t xml:space="preserve"> to find information for a mental health, alcohol or substance use problem</w:t>
      </w:r>
      <w:r w:rsidRPr="003328F3">
        <w:rPr>
          <w:rFonts w:eastAsia="Times New Roman" w:cs="Calibri"/>
          <w:szCs w:val="22"/>
        </w:rPr>
        <w:t>?</w:t>
      </w:r>
      <w:r>
        <w:rPr>
          <w:rFonts w:eastAsia="Times New Roman" w:cs="Calibri"/>
          <w:szCs w:val="22"/>
        </w:rPr>
        <w:t>’</w:t>
      </w:r>
      <w:r w:rsidRPr="003328F3">
        <w:rPr>
          <w:rFonts w:eastAsia="Times New Roman" w:cs="Calibri"/>
          <w:szCs w:val="22"/>
        </w:rPr>
        <w:t xml:space="preserve"> Note that while these questions </w:t>
      </w:r>
      <w:r>
        <w:rPr>
          <w:rFonts w:eastAsia="Times New Roman" w:cs="Calibri"/>
          <w:szCs w:val="22"/>
        </w:rPr>
        <w:t>were</w:t>
      </w:r>
      <w:r w:rsidRPr="003328F3">
        <w:rPr>
          <w:rFonts w:eastAsia="Times New Roman" w:cs="Calibri"/>
          <w:szCs w:val="22"/>
        </w:rPr>
        <w:t xml:space="preserve"> similar they </w:t>
      </w:r>
      <w:r>
        <w:rPr>
          <w:rFonts w:eastAsia="Times New Roman" w:cs="Calibri"/>
          <w:szCs w:val="22"/>
        </w:rPr>
        <w:t>were</w:t>
      </w:r>
      <w:r w:rsidRPr="003328F3">
        <w:rPr>
          <w:rFonts w:eastAsia="Times New Roman" w:cs="Calibri"/>
          <w:szCs w:val="22"/>
        </w:rPr>
        <w:t xml:space="preserve"> not identical, with the Young and Well question being broader and thus potentially more inclusive. </w:t>
      </w:r>
      <w:r>
        <w:rPr>
          <w:rFonts w:eastAsia="Times New Roman" w:cs="Calibri"/>
          <w:szCs w:val="22"/>
        </w:rPr>
        <w:t>For this reason, only frequency data is presented below. Also worth noting is that the questions refer to finding information – which may be relevant to the individual but could also be relevant to seeking information or support for a friend or family member.</w:t>
      </w:r>
    </w:p>
    <w:p w14:paraId="16BC15CF" w14:textId="77777777" w:rsidR="0033663C" w:rsidRPr="003328F3" w:rsidRDefault="0033663C" w:rsidP="0033663C">
      <w:pPr>
        <w:rPr>
          <w:rFonts w:asciiTheme="minorHAnsi" w:hAnsiTheme="minorHAnsi" w:cstheme="minorHAnsi"/>
        </w:rPr>
      </w:pPr>
      <w:r>
        <w:t xml:space="preserve">Table </w:t>
      </w:r>
      <w:r>
        <w:rPr>
          <w:noProof/>
        </w:rPr>
        <w:t>10.4</w:t>
      </w:r>
      <w:r w:rsidRPr="00D56F28">
        <w:rPr>
          <w:rFonts w:asciiTheme="minorHAnsi" w:hAnsiTheme="minorHAnsi" w:cstheme="minorHAnsi"/>
        </w:rPr>
        <w:t xml:space="preserve"> and </w:t>
      </w:r>
      <w:r>
        <w:t xml:space="preserve">Figure </w:t>
      </w:r>
      <w:r>
        <w:rPr>
          <w:noProof/>
        </w:rPr>
        <w:t>10.4</w:t>
      </w:r>
      <w:r w:rsidRPr="00D56F28">
        <w:rPr>
          <w:rFonts w:asciiTheme="minorHAnsi" w:hAnsiTheme="minorHAnsi" w:cstheme="minorHAnsi"/>
        </w:rPr>
        <w:t xml:space="preserve"> describe</w:t>
      </w:r>
      <w:r w:rsidRPr="003328F3">
        <w:rPr>
          <w:rFonts w:asciiTheme="minorHAnsi" w:hAnsiTheme="minorHAnsi" w:cstheme="minorHAnsi"/>
        </w:rPr>
        <w:t xml:space="preserve"> the proportions of those who used the </w:t>
      </w:r>
      <w:r>
        <w:rPr>
          <w:rFonts w:asciiTheme="minorHAnsi" w:hAnsiTheme="minorHAnsi" w:cstheme="minorHAnsi"/>
        </w:rPr>
        <w:t>internet</w:t>
      </w:r>
      <w:r w:rsidRPr="003328F3">
        <w:rPr>
          <w:rFonts w:asciiTheme="minorHAnsi" w:hAnsiTheme="minorHAnsi" w:cstheme="minorHAnsi"/>
        </w:rPr>
        <w:t xml:space="preserve"> to manage mental health issues in the Transitioned ADF </w:t>
      </w:r>
      <w:r>
        <w:rPr>
          <w:rFonts w:asciiTheme="minorHAnsi" w:hAnsiTheme="minorHAnsi" w:cstheme="minorHAnsi"/>
        </w:rPr>
        <w:t xml:space="preserve">young adults </w:t>
      </w:r>
      <w:r w:rsidRPr="003328F3">
        <w:rPr>
          <w:rFonts w:asciiTheme="minorHAnsi" w:hAnsiTheme="minorHAnsi" w:cstheme="minorHAnsi"/>
        </w:rPr>
        <w:t>and the Young and Well cohort.</w:t>
      </w:r>
    </w:p>
    <w:p w14:paraId="489D75EC" w14:textId="77777777" w:rsidR="0033663C" w:rsidRPr="003328F3" w:rsidRDefault="0033663C" w:rsidP="0033663C">
      <w:r w:rsidRPr="00753253">
        <w:rPr>
          <w:rFonts w:asciiTheme="minorHAnsi" w:hAnsiTheme="minorHAnsi" w:cstheme="minorHAnsi"/>
          <w:szCs w:val="22"/>
        </w:rPr>
        <w:t>Approximately 30% of the Transitioned ADF</w:t>
      </w:r>
      <w:r>
        <w:rPr>
          <w:rFonts w:asciiTheme="minorHAnsi" w:hAnsiTheme="minorHAnsi" w:cstheme="minorHAnsi"/>
          <w:szCs w:val="22"/>
        </w:rPr>
        <w:t xml:space="preserve"> young adults</w:t>
      </w:r>
      <w:r w:rsidRPr="00753253">
        <w:rPr>
          <w:rFonts w:asciiTheme="minorHAnsi" w:hAnsiTheme="minorHAnsi" w:cstheme="minorHAnsi"/>
          <w:szCs w:val="22"/>
        </w:rPr>
        <w:t xml:space="preserve"> </w:t>
      </w:r>
      <w:r w:rsidRPr="00753253">
        <w:rPr>
          <w:szCs w:val="22"/>
        </w:rPr>
        <w:t xml:space="preserve">(27.4%) </w:t>
      </w:r>
      <w:r w:rsidRPr="00753253">
        <w:rPr>
          <w:rFonts w:asciiTheme="minorHAnsi" w:hAnsiTheme="minorHAnsi" w:cstheme="minorHAnsi"/>
          <w:szCs w:val="22"/>
        </w:rPr>
        <w:t xml:space="preserve">and 40% of the </w:t>
      </w:r>
      <w:r w:rsidRPr="00753253">
        <w:rPr>
          <w:rFonts w:asciiTheme="minorHAnsi" w:hAnsiTheme="minorHAnsi" w:cstheme="minorHAnsi"/>
        </w:rPr>
        <w:t xml:space="preserve">Young and </w:t>
      </w:r>
      <w:r w:rsidRPr="00753253">
        <w:rPr>
          <w:rFonts w:asciiTheme="minorHAnsi" w:hAnsiTheme="minorHAnsi" w:cstheme="minorHAnsi"/>
          <w:szCs w:val="22"/>
        </w:rPr>
        <w:t xml:space="preserve">Well cohort </w:t>
      </w:r>
      <w:r w:rsidRPr="00753253">
        <w:rPr>
          <w:szCs w:val="22"/>
        </w:rPr>
        <w:t xml:space="preserve">(41.5%) </w:t>
      </w:r>
      <w:r w:rsidRPr="00753253">
        <w:rPr>
          <w:rFonts w:asciiTheme="minorHAnsi" w:hAnsiTheme="minorHAnsi" w:cstheme="minorHAnsi"/>
          <w:szCs w:val="22"/>
        </w:rPr>
        <w:t>report</w:t>
      </w:r>
      <w:r>
        <w:rPr>
          <w:rFonts w:asciiTheme="minorHAnsi" w:hAnsiTheme="minorHAnsi" w:cstheme="minorHAnsi"/>
          <w:szCs w:val="22"/>
        </w:rPr>
        <w:t xml:space="preserve">ed </w:t>
      </w:r>
      <w:r w:rsidRPr="00753253">
        <w:rPr>
          <w:rFonts w:asciiTheme="minorHAnsi" w:hAnsiTheme="minorHAnsi" w:cstheme="minorHAnsi"/>
        </w:rPr>
        <w:t>using the internet to seek help for or manage mental health issues</w:t>
      </w:r>
      <w:r w:rsidRPr="00753253">
        <w:t xml:space="preserve">. However, </w:t>
      </w:r>
      <w:r w:rsidRPr="00753253">
        <w:rPr>
          <w:rFonts w:asciiTheme="minorHAnsi" w:hAnsiTheme="minorHAnsi" w:cstheme="minorHAnsi"/>
        </w:rPr>
        <w:t>in general, most of the Transitioned ADF</w:t>
      </w:r>
      <w:r>
        <w:rPr>
          <w:rFonts w:asciiTheme="minorHAnsi" w:hAnsiTheme="minorHAnsi" w:cstheme="minorHAnsi"/>
        </w:rPr>
        <w:t xml:space="preserve"> young adults</w:t>
      </w:r>
      <w:r w:rsidRPr="00753253">
        <w:rPr>
          <w:rFonts w:asciiTheme="minorHAnsi" w:hAnsiTheme="minorHAnsi" w:cstheme="minorHAnsi"/>
        </w:rPr>
        <w:t xml:space="preserve"> (71.6%) and Young and Well cohort (57.1%) </w:t>
      </w:r>
      <w:r>
        <w:rPr>
          <w:rFonts w:asciiTheme="minorHAnsi" w:hAnsiTheme="minorHAnsi" w:cstheme="minorHAnsi"/>
          <w:u w:val="single"/>
        </w:rPr>
        <w:t>did</w:t>
      </w:r>
      <w:r w:rsidRPr="00753253">
        <w:rPr>
          <w:rFonts w:asciiTheme="minorHAnsi" w:hAnsiTheme="minorHAnsi" w:cstheme="minorHAnsi"/>
          <w:u w:val="single"/>
        </w:rPr>
        <w:t xml:space="preserve"> not</w:t>
      </w:r>
      <w:r w:rsidRPr="00753253">
        <w:rPr>
          <w:rFonts w:asciiTheme="minorHAnsi" w:hAnsiTheme="minorHAnsi" w:cstheme="minorHAnsi"/>
        </w:rPr>
        <w:t xml:space="preserve"> use the internet to seek help for or manage mental health issues.</w:t>
      </w:r>
      <w:r w:rsidRPr="003328F3">
        <w:rPr>
          <w:rFonts w:asciiTheme="minorHAnsi" w:hAnsiTheme="minorHAnsi" w:cstheme="minorHAnsi"/>
        </w:rPr>
        <w:t xml:space="preserve"> </w:t>
      </w:r>
    </w:p>
    <w:p w14:paraId="5BC1C2C3" w14:textId="77777777" w:rsidR="0033663C" w:rsidRPr="003328F3" w:rsidRDefault="0033663C" w:rsidP="0033663C">
      <w:pPr>
        <w:pStyle w:val="TableName"/>
        <w:rPr>
          <w:rFonts w:asciiTheme="minorHAnsi" w:hAnsiTheme="minorHAnsi" w:cstheme="minorHAnsi"/>
        </w:rPr>
      </w:pPr>
      <w:bookmarkStart w:id="1169" w:name="_Ref514912238"/>
      <w:bookmarkStart w:id="1170" w:name="_Toc528932368"/>
      <w:bookmarkStart w:id="1171" w:name="_Toc531858047"/>
      <w:r>
        <w:t xml:space="preserve">Table </w:t>
      </w:r>
      <w:r>
        <w:rPr>
          <w:noProof/>
        </w:rPr>
        <w:t>10</w:t>
      </w:r>
      <w:r>
        <w:t>.</w:t>
      </w:r>
      <w:r>
        <w:rPr>
          <w:noProof/>
        </w:rPr>
        <w:t>4</w:t>
      </w:r>
      <w:bookmarkEnd w:id="1169"/>
      <w:r>
        <w:tab/>
        <w:t>Use of the i</w:t>
      </w:r>
      <w:r w:rsidRPr="003328F3">
        <w:t xml:space="preserve">nternet to seek help for or manage mental health issues in Transitioned ADF (aged </w:t>
      </w:r>
      <w:r>
        <w:t>18–25</w:t>
      </w:r>
      <w:r w:rsidRPr="003328F3">
        <w:t>) compared to the Young and Well cohort</w:t>
      </w:r>
      <w:bookmarkEnd w:id="1170"/>
      <w:bookmarkEnd w:id="1171"/>
    </w:p>
    <w:tbl>
      <w:tblPr>
        <w:tblStyle w:val="TWRPTable"/>
        <w:tblW w:w="5000" w:type="pct"/>
        <w:tblLayout w:type="fixed"/>
        <w:tblCellMar>
          <w:left w:w="115" w:type="dxa"/>
          <w:right w:w="115" w:type="dxa"/>
        </w:tblCellMar>
        <w:tblLook w:val="01E0" w:firstRow="1" w:lastRow="1" w:firstColumn="1" w:lastColumn="1" w:noHBand="0" w:noVBand="0"/>
        <w:tblDescription w:val="Table 10.4 Use of the internet to seek help for or manage mental health issues in Transitioned ADF (aged 18–25) compared to the Young and Well cohort"/>
      </w:tblPr>
      <w:tblGrid>
        <w:gridCol w:w="1319"/>
        <w:gridCol w:w="526"/>
        <w:gridCol w:w="611"/>
        <w:gridCol w:w="786"/>
        <w:gridCol w:w="522"/>
        <w:gridCol w:w="611"/>
        <w:gridCol w:w="791"/>
        <w:gridCol w:w="517"/>
        <w:gridCol w:w="611"/>
        <w:gridCol w:w="795"/>
      </w:tblGrid>
      <w:tr w:rsidR="0033663C" w:rsidRPr="002F202D" w14:paraId="507D545F" w14:textId="77777777" w:rsidTr="002F202D">
        <w:trPr>
          <w:cnfStyle w:val="100000000000" w:firstRow="1" w:lastRow="0" w:firstColumn="0" w:lastColumn="0" w:oddVBand="0" w:evenVBand="0" w:oddHBand="0" w:evenHBand="0" w:firstRowFirstColumn="0" w:firstRowLastColumn="0" w:lastRowFirstColumn="0" w:lastRowLastColumn="0"/>
          <w:cantSplit/>
          <w:tblHeader/>
        </w:trPr>
        <w:tc>
          <w:tcPr>
            <w:tcW w:w="1375" w:type="dxa"/>
            <w:tcBorders>
              <w:top w:val="single" w:sz="4" w:space="0" w:color="000000"/>
              <w:bottom w:val="nil"/>
            </w:tcBorders>
          </w:tcPr>
          <w:p w14:paraId="33599F7D" w14:textId="77777777" w:rsidR="0033663C" w:rsidRPr="002F202D" w:rsidRDefault="0033663C" w:rsidP="0033663C">
            <w:pPr>
              <w:pStyle w:val="TableText"/>
              <w:rPr>
                <w:szCs w:val="14"/>
                <w:lang w:eastAsia="en-AU"/>
              </w:rPr>
            </w:pPr>
          </w:p>
        </w:tc>
        <w:tc>
          <w:tcPr>
            <w:tcW w:w="1984" w:type="dxa"/>
            <w:gridSpan w:val="3"/>
            <w:hideMark/>
          </w:tcPr>
          <w:p w14:paraId="1048406D" w14:textId="77777777" w:rsidR="0033663C" w:rsidRPr="002F202D" w:rsidRDefault="0033663C" w:rsidP="002F202D">
            <w:pPr>
              <w:pStyle w:val="TableText"/>
              <w:jc w:val="center"/>
              <w:rPr>
                <w:szCs w:val="14"/>
                <w:lang w:eastAsia="en-AU"/>
              </w:rPr>
            </w:pPr>
            <w:r w:rsidRPr="002F202D">
              <w:rPr>
                <w:rFonts w:cs="Calibri"/>
                <w:bCs/>
                <w:szCs w:val="14"/>
                <w:lang w:eastAsia="en-AU"/>
              </w:rPr>
              <w:t>Transitioned ADF</w:t>
            </w:r>
            <w:r w:rsidR="002F202D" w:rsidRPr="002F202D">
              <w:rPr>
                <w:rFonts w:cs="Calibri"/>
                <w:bCs/>
                <w:szCs w:val="14"/>
                <w:lang w:eastAsia="en-AU"/>
              </w:rPr>
              <w:br/>
            </w:r>
            <w:r w:rsidRPr="002F202D">
              <w:rPr>
                <w:rFonts w:cs="Calibri"/>
                <w:bCs/>
                <w:szCs w:val="14"/>
                <w:lang w:eastAsia="en-AU"/>
              </w:rPr>
              <w:t>18–25 years</w:t>
            </w:r>
            <w:r w:rsidR="002F202D" w:rsidRPr="002F202D">
              <w:rPr>
                <w:rFonts w:cs="Calibri"/>
                <w:bCs/>
                <w:szCs w:val="14"/>
                <w:lang w:eastAsia="en-AU"/>
              </w:rPr>
              <w:br/>
            </w:r>
            <w:r w:rsidRPr="002F202D">
              <w:rPr>
                <w:rFonts w:cs="Calibri"/>
                <w:szCs w:val="14"/>
                <w:lang w:eastAsia="en-AU"/>
              </w:rPr>
              <w:t>n=2630</w:t>
            </w:r>
          </w:p>
        </w:tc>
        <w:tc>
          <w:tcPr>
            <w:tcW w:w="1985" w:type="dxa"/>
            <w:gridSpan w:val="3"/>
            <w:hideMark/>
          </w:tcPr>
          <w:p w14:paraId="3EDC4A0C" w14:textId="77777777" w:rsidR="0033663C" w:rsidRPr="002F202D" w:rsidRDefault="0033663C" w:rsidP="002F202D">
            <w:pPr>
              <w:pStyle w:val="TableText"/>
              <w:jc w:val="center"/>
              <w:rPr>
                <w:bCs/>
                <w:szCs w:val="14"/>
                <w:lang w:eastAsia="en-AU"/>
              </w:rPr>
            </w:pPr>
            <w:r w:rsidRPr="002F202D">
              <w:rPr>
                <w:rFonts w:cs="Arial"/>
                <w:szCs w:val="14"/>
              </w:rPr>
              <w:t>Young and Well cohort</w:t>
            </w:r>
            <w:r w:rsidR="002F202D" w:rsidRPr="002F202D">
              <w:rPr>
                <w:rFonts w:cs="Arial"/>
                <w:szCs w:val="14"/>
              </w:rPr>
              <w:br/>
            </w:r>
            <w:r w:rsidRPr="002F202D">
              <w:rPr>
                <w:rFonts w:cs="Arial"/>
                <w:szCs w:val="14"/>
              </w:rPr>
              <w:t>18–25 years</w:t>
            </w:r>
            <w:r w:rsidR="002F202D" w:rsidRPr="002F202D">
              <w:rPr>
                <w:rFonts w:cs="Arial"/>
                <w:szCs w:val="14"/>
              </w:rPr>
              <w:br/>
            </w:r>
            <w:r w:rsidRPr="002F202D">
              <w:rPr>
                <w:rFonts w:cs="Arial"/>
                <w:szCs w:val="14"/>
              </w:rPr>
              <w:t>n=1110</w:t>
            </w:r>
          </w:p>
        </w:tc>
        <w:tc>
          <w:tcPr>
            <w:tcW w:w="1985" w:type="dxa"/>
            <w:gridSpan w:val="3"/>
          </w:tcPr>
          <w:p w14:paraId="24118DE5" w14:textId="77777777" w:rsidR="0033663C" w:rsidRPr="002F202D" w:rsidRDefault="0033663C" w:rsidP="0033663C">
            <w:pPr>
              <w:pStyle w:val="TableText"/>
              <w:jc w:val="center"/>
              <w:rPr>
                <w:rFonts w:cs="Arial"/>
                <w:szCs w:val="14"/>
              </w:rPr>
            </w:pPr>
            <w:r w:rsidRPr="002F202D">
              <w:rPr>
                <w:bCs/>
                <w:lang w:eastAsia="en-AU"/>
              </w:rPr>
              <w:t>Difference</w:t>
            </w:r>
          </w:p>
        </w:tc>
      </w:tr>
      <w:tr w:rsidR="002F202D" w:rsidRPr="002F202D" w14:paraId="7F264E2B" w14:textId="77777777" w:rsidTr="002F202D">
        <w:trPr>
          <w:cnfStyle w:val="100000000000" w:firstRow="1" w:lastRow="0" w:firstColumn="0" w:lastColumn="0" w:oddVBand="0" w:evenVBand="0" w:oddHBand="0" w:evenHBand="0" w:firstRowFirstColumn="0" w:firstRowLastColumn="0" w:lastRowFirstColumn="0" w:lastRowLastColumn="0"/>
          <w:cantSplit/>
          <w:tblHeader/>
        </w:trPr>
        <w:tc>
          <w:tcPr>
            <w:tcW w:w="1375" w:type="dxa"/>
            <w:tcBorders>
              <w:top w:val="nil"/>
            </w:tcBorders>
          </w:tcPr>
          <w:p w14:paraId="731A939B" w14:textId="77777777" w:rsidR="0033663C" w:rsidRPr="002F202D" w:rsidRDefault="0033663C" w:rsidP="0033663C">
            <w:pPr>
              <w:pStyle w:val="TableText"/>
              <w:rPr>
                <w:rFonts w:eastAsia="GillSans"/>
                <w:szCs w:val="14"/>
                <w:lang w:eastAsia="en-AU"/>
              </w:rPr>
            </w:pPr>
          </w:p>
        </w:tc>
        <w:tc>
          <w:tcPr>
            <w:tcW w:w="540" w:type="dxa"/>
            <w:hideMark/>
          </w:tcPr>
          <w:p w14:paraId="5D9D8C01" w14:textId="77777777" w:rsidR="0033663C" w:rsidRPr="002F202D" w:rsidRDefault="0033663C" w:rsidP="0033663C">
            <w:pPr>
              <w:pStyle w:val="TableText"/>
              <w:jc w:val="right"/>
              <w:rPr>
                <w:rFonts w:eastAsia="Times New Roman"/>
                <w:szCs w:val="14"/>
                <w:lang w:eastAsia="en-AU"/>
              </w:rPr>
            </w:pPr>
            <w:r w:rsidRPr="002F202D">
              <w:rPr>
                <w:rFonts w:cs="Calibri"/>
                <w:szCs w:val="14"/>
                <w:lang w:eastAsia="en-AU"/>
              </w:rPr>
              <w:t>%</w:t>
            </w:r>
          </w:p>
        </w:tc>
        <w:tc>
          <w:tcPr>
            <w:tcW w:w="630" w:type="dxa"/>
            <w:hideMark/>
          </w:tcPr>
          <w:p w14:paraId="0010F562" w14:textId="77777777" w:rsidR="0033663C" w:rsidRPr="002F202D" w:rsidRDefault="0033663C" w:rsidP="0033663C">
            <w:pPr>
              <w:pStyle w:val="TableText"/>
              <w:jc w:val="right"/>
              <w:rPr>
                <w:szCs w:val="14"/>
                <w:lang w:eastAsia="en-AU"/>
              </w:rPr>
            </w:pPr>
            <w:r w:rsidRPr="002F202D">
              <w:rPr>
                <w:rFonts w:cs="Calibri"/>
                <w:szCs w:val="14"/>
                <w:lang w:eastAsia="en-AU"/>
              </w:rPr>
              <w:t>SE</w:t>
            </w:r>
          </w:p>
        </w:tc>
        <w:tc>
          <w:tcPr>
            <w:tcW w:w="814" w:type="dxa"/>
            <w:hideMark/>
          </w:tcPr>
          <w:p w14:paraId="25A25D1C" w14:textId="77777777" w:rsidR="0033663C" w:rsidRPr="002F202D" w:rsidRDefault="0033663C" w:rsidP="0033663C">
            <w:pPr>
              <w:pStyle w:val="TableText"/>
              <w:jc w:val="right"/>
              <w:rPr>
                <w:szCs w:val="14"/>
                <w:lang w:eastAsia="en-AU"/>
              </w:rPr>
            </w:pPr>
            <w:r w:rsidRPr="002F202D">
              <w:rPr>
                <w:rFonts w:cs="Calibri"/>
                <w:szCs w:val="14"/>
                <w:lang w:eastAsia="en-AU"/>
              </w:rPr>
              <w:t>95% CI</w:t>
            </w:r>
          </w:p>
        </w:tc>
        <w:tc>
          <w:tcPr>
            <w:tcW w:w="536" w:type="dxa"/>
            <w:hideMark/>
          </w:tcPr>
          <w:p w14:paraId="60DAD0F7" w14:textId="77777777" w:rsidR="0033663C" w:rsidRPr="002F202D" w:rsidRDefault="0033663C" w:rsidP="0033663C">
            <w:pPr>
              <w:pStyle w:val="TableText"/>
              <w:jc w:val="right"/>
              <w:rPr>
                <w:szCs w:val="14"/>
                <w:lang w:eastAsia="en-AU"/>
              </w:rPr>
            </w:pPr>
            <w:r w:rsidRPr="002F202D">
              <w:rPr>
                <w:lang w:eastAsia="en-AU"/>
              </w:rPr>
              <w:t>%</w:t>
            </w:r>
          </w:p>
        </w:tc>
        <w:tc>
          <w:tcPr>
            <w:tcW w:w="630" w:type="dxa"/>
          </w:tcPr>
          <w:p w14:paraId="458F7A62" w14:textId="77777777" w:rsidR="0033663C" w:rsidRPr="002F202D" w:rsidRDefault="0033663C" w:rsidP="0033663C">
            <w:pPr>
              <w:pStyle w:val="TableText"/>
              <w:jc w:val="right"/>
              <w:rPr>
                <w:szCs w:val="14"/>
                <w:lang w:eastAsia="en-AU"/>
              </w:rPr>
            </w:pPr>
            <w:r w:rsidRPr="002F202D">
              <w:rPr>
                <w:lang w:eastAsia="en-AU"/>
              </w:rPr>
              <w:t>SE</w:t>
            </w:r>
          </w:p>
        </w:tc>
        <w:tc>
          <w:tcPr>
            <w:tcW w:w="819" w:type="dxa"/>
          </w:tcPr>
          <w:p w14:paraId="2C56D599" w14:textId="77777777" w:rsidR="0033663C" w:rsidRPr="002F202D" w:rsidRDefault="0033663C" w:rsidP="0033663C">
            <w:pPr>
              <w:pStyle w:val="TableText"/>
              <w:jc w:val="right"/>
              <w:rPr>
                <w:szCs w:val="14"/>
                <w:lang w:eastAsia="en-AU"/>
              </w:rPr>
            </w:pPr>
            <w:r w:rsidRPr="002F202D">
              <w:rPr>
                <w:lang w:eastAsia="en-AU"/>
              </w:rPr>
              <w:t>95% CI</w:t>
            </w:r>
          </w:p>
        </w:tc>
        <w:tc>
          <w:tcPr>
            <w:tcW w:w="531" w:type="dxa"/>
          </w:tcPr>
          <w:p w14:paraId="1A4D19D0" w14:textId="77777777" w:rsidR="0033663C" w:rsidRPr="002F202D" w:rsidRDefault="0033663C" w:rsidP="0033663C">
            <w:pPr>
              <w:pStyle w:val="TableText"/>
              <w:jc w:val="right"/>
              <w:rPr>
                <w:rFonts w:cs="Calibri"/>
                <w:szCs w:val="14"/>
                <w:lang w:eastAsia="en-AU"/>
              </w:rPr>
            </w:pPr>
            <w:r w:rsidRPr="002F202D">
              <w:rPr>
                <w:lang w:eastAsia="en-AU"/>
              </w:rPr>
              <w:t>%</w:t>
            </w:r>
          </w:p>
        </w:tc>
        <w:tc>
          <w:tcPr>
            <w:tcW w:w="630" w:type="dxa"/>
          </w:tcPr>
          <w:p w14:paraId="1AE40221" w14:textId="77777777" w:rsidR="0033663C" w:rsidRPr="002F202D" w:rsidRDefault="0033663C" w:rsidP="0033663C">
            <w:pPr>
              <w:pStyle w:val="TableText"/>
              <w:jc w:val="right"/>
              <w:rPr>
                <w:rFonts w:cs="Calibri"/>
                <w:szCs w:val="14"/>
                <w:lang w:eastAsia="en-AU"/>
              </w:rPr>
            </w:pPr>
            <w:r w:rsidRPr="002F202D">
              <w:rPr>
                <w:lang w:eastAsia="en-AU"/>
              </w:rPr>
              <w:t>SE</w:t>
            </w:r>
          </w:p>
        </w:tc>
        <w:tc>
          <w:tcPr>
            <w:tcW w:w="824" w:type="dxa"/>
          </w:tcPr>
          <w:p w14:paraId="38325CFE" w14:textId="77777777" w:rsidR="0033663C" w:rsidRPr="002F202D" w:rsidRDefault="0033663C" w:rsidP="0033663C">
            <w:pPr>
              <w:pStyle w:val="TableText"/>
              <w:jc w:val="right"/>
              <w:rPr>
                <w:rFonts w:cs="Calibri"/>
                <w:szCs w:val="14"/>
                <w:lang w:eastAsia="en-AU"/>
              </w:rPr>
            </w:pPr>
            <w:r w:rsidRPr="002F202D">
              <w:rPr>
                <w:lang w:eastAsia="en-AU"/>
              </w:rPr>
              <w:t>95% CI</w:t>
            </w:r>
          </w:p>
        </w:tc>
      </w:tr>
      <w:tr w:rsidR="002F202D" w:rsidRPr="003328F3" w14:paraId="65D056B5" w14:textId="77777777" w:rsidTr="002F202D">
        <w:trPr>
          <w:cnfStyle w:val="000000100000" w:firstRow="0" w:lastRow="0" w:firstColumn="0" w:lastColumn="0" w:oddVBand="0" w:evenVBand="0" w:oddHBand="1" w:evenHBand="0" w:firstRowFirstColumn="0" w:firstRowLastColumn="0" w:lastRowFirstColumn="0" w:lastRowLastColumn="0"/>
          <w:cantSplit/>
        </w:trPr>
        <w:tc>
          <w:tcPr>
            <w:tcW w:w="1375" w:type="dxa"/>
            <w:hideMark/>
          </w:tcPr>
          <w:p w14:paraId="7B91B5EA" w14:textId="77777777" w:rsidR="0033663C" w:rsidRPr="00CD3C38" w:rsidRDefault="0033663C" w:rsidP="0033663C">
            <w:pPr>
              <w:pStyle w:val="TableText"/>
              <w:rPr>
                <w:rFonts w:cs="Arial"/>
                <w:szCs w:val="14"/>
              </w:rPr>
            </w:pPr>
            <w:r w:rsidRPr="00CD3C38">
              <w:rPr>
                <w:rFonts w:cs="ArialMT"/>
                <w:szCs w:val="14"/>
              </w:rPr>
              <w:t>Yes</w:t>
            </w:r>
          </w:p>
        </w:tc>
        <w:tc>
          <w:tcPr>
            <w:tcW w:w="540" w:type="dxa"/>
          </w:tcPr>
          <w:p w14:paraId="1FFCBA3C" w14:textId="77777777" w:rsidR="0033663C" w:rsidRPr="00CD3C38" w:rsidRDefault="0033663C" w:rsidP="0033663C">
            <w:pPr>
              <w:pStyle w:val="TableText"/>
              <w:jc w:val="right"/>
              <w:rPr>
                <w:color w:val="000000" w:themeColor="text1"/>
                <w:szCs w:val="14"/>
              </w:rPr>
            </w:pPr>
            <w:r w:rsidRPr="00CD3C38">
              <w:rPr>
                <w:bCs/>
                <w:color w:val="000000" w:themeColor="text1"/>
                <w:szCs w:val="14"/>
              </w:rPr>
              <w:t>27.4</w:t>
            </w:r>
          </w:p>
        </w:tc>
        <w:tc>
          <w:tcPr>
            <w:tcW w:w="630" w:type="dxa"/>
          </w:tcPr>
          <w:p w14:paraId="3D815CC0" w14:textId="77777777" w:rsidR="0033663C" w:rsidRPr="00CD3C38" w:rsidRDefault="0033663C" w:rsidP="0033663C">
            <w:pPr>
              <w:pStyle w:val="TableText"/>
              <w:jc w:val="right"/>
              <w:rPr>
                <w:color w:val="000000" w:themeColor="text1"/>
                <w:szCs w:val="14"/>
              </w:rPr>
            </w:pPr>
            <w:r w:rsidRPr="00CD3C38">
              <w:rPr>
                <w:bCs/>
                <w:color w:val="000000" w:themeColor="text1"/>
                <w:szCs w:val="14"/>
              </w:rPr>
              <w:t>3.6</w:t>
            </w:r>
          </w:p>
        </w:tc>
        <w:tc>
          <w:tcPr>
            <w:tcW w:w="814" w:type="dxa"/>
          </w:tcPr>
          <w:p w14:paraId="26CFFA22" w14:textId="77777777" w:rsidR="0033663C" w:rsidRPr="00CD3C38" w:rsidRDefault="0033663C" w:rsidP="0033663C">
            <w:pPr>
              <w:pStyle w:val="TableText"/>
              <w:jc w:val="right"/>
              <w:rPr>
                <w:color w:val="000000" w:themeColor="text1"/>
                <w:szCs w:val="14"/>
              </w:rPr>
            </w:pPr>
            <w:r w:rsidRPr="00CD3C38">
              <w:rPr>
                <w:bCs/>
                <w:color w:val="000000" w:themeColor="text1"/>
                <w:szCs w:val="14"/>
              </w:rPr>
              <w:t>20.9, 34.9</w:t>
            </w:r>
          </w:p>
        </w:tc>
        <w:tc>
          <w:tcPr>
            <w:tcW w:w="536" w:type="dxa"/>
          </w:tcPr>
          <w:p w14:paraId="13BBAFAA" w14:textId="77777777" w:rsidR="0033663C" w:rsidRPr="00CD3C38" w:rsidRDefault="0033663C" w:rsidP="0033663C">
            <w:pPr>
              <w:pStyle w:val="TableText"/>
              <w:jc w:val="right"/>
              <w:rPr>
                <w:color w:val="000000" w:themeColor="text1"/>
                <w:szCs w:val="14"/>
              </w:rPr>
            </w:pPr>
            <w:r w:rsidRPr="00CD3C38">
              <w:rPr>
                <w:color w:val="000000" w:themeColor="text1"/>
                <w:szCs w:val="14"/>
              </w:rPr>
              <w:t>41.5</w:t>
            </w:r>
          </w:p>
        </w:tc>
        <w:tc>
          <w:tcPr>
            <w:tcW w:w="630" w:type="dxa"/>
          </w:tcPr>
          <w:p w14:paraId="224EC0E9" w14:textId="77777777" w:rsidR="0033663C" w:rsidRPr="00CD3C38" w:rsidRDefault="0033663C" w:rsidP="0033663C">
            <w:pPr>
              <w:pStyle w:val="TableText"/>
              <w:jc w:val="right"/>
              <w:rPr>
                <w:color w:val="000000" w:themeColor="text1"/>
                <w:szCs w:val="14"/>
              </w:rPr>
            </w:pPr>
            <w:r w:rsidRPr="00CD3C38">
              <w:rPr>
                <w:bCs/>
                <w:color w:val="000000" w:themeColor="text1"/>
                <w:szCs w:val="14"/>
              </w:rPr>
              <w:t>2.5</w:t>
            </w:r>
          </w:p>
        </w:tc>
        <w:tc>
          <w:tcPr>
            <w:tcW w:w="819" w:type="dxa"/>
          </w:tcPr>
          <w:p w14:paraId="424B6E4E" w14:textId="77777777" w:rsidR="0033663C" w:rsidRPr="00CD3C38" w:rsidRDefault="0033663C" w:rsidP="0033663C">
            <w:pPr>
              <w:pStyle w:val="TableText"/>
              <w:jc w:val="right"/>
              <w:rPr>
                <w:color w:val="000000" w:themeColor="text1"/>
                <w:szCs w:val="14"/>
              </w:rPr>
            </w:pPr>
            <w:r w:rsidRPr="00CD3C38">
              <w:rPr>
                <w:bCs/>
                <w:color w:val="000000" w:themeColor="text1"/>
                <w:szCs w:val="14"/>
              </w:rPr>
              <w:t>36.6, 46.5</w:t>
            </w:r>
          </w:p>
        </w:tc>
        <w:tc>
          <w:tcPr>
            <w:tcW w:w="531" w:type="dxa"/>
          </w:tcPr>
          <w:p w14:paraId="62D380FF" w14:textId="77777777" w:rsidR="0033663C" w:rsidRPr="00CD3C38" w:rsidRDefault="0033663C" w:rsidP="0033663C">
            <w:pPr>
              <w:pStyle w:val="TableText"/>
              <w:jc w:val="right"/>
              <w:rPr>
                <w:bCs/>
                <w:color w:val="000000" w:themeColor="text1"/>
                <w:szCs w:val="14"/>
              </w:rPr>
            </w:pPr>
            <w:r>
              <w:rPr>
                <w:rFonts w:eastAsia="Times New Roman"/>
                <w:bCs/>
                <w:color w:val="000000" w:themeColor="text1"/>
              </w:rPr>
              <w:t>–</w:t>
            </w:r>
            <w:r>
              <w:t>14.6</w:t>
            </w:r>
          </w:p>
        </w:tc>
        <w:tc>
          <w:tcPr>
            <w:tcW w:w="630" w:type="dxa"/>
          </w:tcPr>
          <w:p w14:paraId="6708AE98" w14:textId="77777777" w:rsidR="0033663C" w:rsidRPr="00CD3C38" w:rsidRDefault="0033663C" w:rsidP="0033663C">
            <w:pPr>
              <w:pStyle w:val="TableText"/>
              <w:jc w:val="right"/>
              <w:rPr>
                <w:bCs/>
                <w:color w:val="000000" w:themeColor="text1"/>
                <w:szCs w:val="14"/>
              </w:rPr>
            </w:pPr>
            <w:r>
              <w:t>4.4</w:t>
            </w:r>
          </w:p>
        </w:tc>
        <w:tc>
          <w:tcPr>
            <w:tcW w:w="824" w:type="dxa"/>
          </w:tcPr>
          <w:p w14:paraId="531EF601" w14:textId="77777777" w:rsidR="0033663C" w:rsidRPr="00CD3C38" w:rsidRDefault="0033663C" w:rsidP="0033663C">
            <w:pPr>
              <w:pStyle w:val="TableText"/>
              <w:jc w:val="right"/>
              <w:rPr>
                <w:bCs/>
                <w:color w:val="000000" w:themeColor="text1"/>
                <w:szCs w:val="14"/>
              </w:rPr>
            </w:pPr>
            <w:r>
              <w:rPr>
                <w:rFonts w:eastAsia="Times New Roman"/>
                <w:bCs/>
                <w:color w:val="000000" w:themeColor="text1"/>
              </w:rPr>
              <w:t>–</w:t>
            </w:r>
            <w:r>
              <w:t xml:space="preserve">22.8, </w:t>
            </w:r>
            <w:r>
              <w:rPr>
                <w:rFonts w:eastAsia="Times New Roman"/>
                <w:bCs/>
                <w:color w:val="000000" w:themeColor="text1"/>
              </w:rPr>
              <w:t>–</w:t>
            </w:r>
            <w:r>
              <w:t>5.6</w:t>
            </w:r>
          </w:p>
        </w:tc>
      </w:tr>
      <w:tr w:rsidR="002F202D" w:rsidRPr="003328F3" w14:paraId="194E4924" w14:textId="77777777" w:rsidTr="002F202D">
        <w:trPr>
          <w:cantSplit/>
        </w:trPr>
        <w:tc>
          <w:tcPr>
            <w:tcW w:w="1375" w:type="dxa"/>
            <w:tcBorders>
              <w:bottom w:val="nil"/>
            </w:tcBorders>
            <w:hideMark/>
          </w:tcPr>
          <w:p w14:paraId="049B4F80" w14:textId="77777777" w:rsidR="0033663C" w:rsidRPr="00CD3C38" w:rsidRDefault="0033663C" w:rsidP="0033663C">
            <w:pPr>
              <w:pStyle w:val="TableText"/>
              <w:rPr>
                <w:rFonts w:cs="Arial"/>
                <w:szCs w:val="14"/>
              </w:rPr>
            </w:pPr>
            <w:r w:rsidRPr="00CD3C38">
              <w:rPr>
                <w:rFonts w:cs="ArialMT"/>
                <w:szCs w:val="14"/>
              </w:rPr>
              <w:t>No</w:t>
            </w:r>
          </w:p>
        </w:tc>
        <w:tc>
          <w:tcPr>
            <w:tcW w:w="540" w:type="dxa"/>
            <w:tcBorders>
              <w:bottom w:val="nil"/>
            </w:tcBorders>
          </w:tcPr>
          <w:p w14:paraId="55458AA2" w14:textId="77777777" w:rsidR="0033663C" w:rsidRPr="00CD3C38" w:rsidRDefault="0033663C" w:rsidP="0033663C">
            <w:pPr>
              <w:pStyle w:val="TableText"/>
              <w:jc w:val="right"/>
              <w:rPr>
                <w:color w:val="000000" w:themeColor="text1"/>
                <w:szCs w:val="14"/>
              </w:rPr>
            </w:pPr>
            <w:r w:rsidRPr="00CD3C38">
              <w:rPr>
                <w:rFonts w:eastAsia="Times New Roman"/>
                <w:bCs/>
                <w:color w:val="000000" w:themeColor="text1"/>
                <w:szCs w:val="14"/>
              </w:rPr>
              <w:t>71.6</w:t>
            </w:r>
          </w:p>
        </w:tc>
        <w:tc>
          <w:tcPr>
            <w:tcW w:w="630" w:type="dxa"/>
            <w:tcBorders>
              <w:bottom w:val="nil"/>
            </w:tcBorders>
          </w:tcPr>
          <w:p w14:paraId="67E45E56" w14:textId="77777777" w:rsidR="0033663C" w:rsidRPr="00CD3C38" w:rsidRDefault="0033663C" w:rsidP="0033663C">
            <w:pPr>
              <w:pStyle w:val="TableText"/>
              <w:jc w:val="right"/>
              <w:rPr>
                <w:color w:val="000000" w:themeColor="text1"/>
                <w:szCs w:val="14"/>
              </w:rPr>
            </w:pPr>
            <w:r w:rsidRPr="00CD3C38">
              <w:rPr>
                <w:rFonts w:eastAsia="Times New Roman"/>
                <w:bCs/>
                <w:color w:val="000000" w:themeColor="text1"/>
                <w:szCs w:val="14"/>
              </w:rPr>
              <w:t>3.6</w:t>
            </w:r>
          </w:p>
        </w:tc>
        <w:tc>
          <w:tcPr>
            <w:tcW w:w="814" w:type="dxa"/>
            <w:tcBorders>
              <w:bottom w:val="nil"/>
            </w:tcBorders>
          </w:tcPr>
          <w:p w14:paraId="3F040240" w14:textId="77777777" w:rsidR="0033663C" w:rsidRPr="00CD3C38" w:rsidRDefault="0033663C" w:rsidP="0033663C">
            <w:pPr>
              <w:pStyle w:val="TableText"/>
              <w:jc w:val="right"/>
              <w:rPr>
                <w:color w:val="000000" w:themeColor="text1"/>
                <w:szCs w:val="14"/>
              </w:rPr>
            </w:pPr>
            <w:r w:rsidRPr="00CD3C38">
              <w:rPr>
                <w:bCs/>
                <w:color w:val="000000" w:themeColor="text1"/>
                <w:szCs w:val="14"/>
              </w:rPr>
              <w:t>64.0, 78.2</w:t>
            </w:r>
          </w:p>
        </w:tc>
        <w:tc>
          <w:tcPr>
            <w:tcW w:w="536" w:type="dxa"/>
            <w:tcBorders>
              <w:bottom w:val="nil"/>
            </w:tcBorders>
          </w:tcPr>
          <w:p w14:paraId="17D73881" w14:textId="77777777" w:rsidR="0033663C" w:rsidRPr="00CD3C38" w:rsidRDefault="0033663C" w:rsidP="0033663C">
            <w:pPr>
              <w:pStyle w:val="TableText"/>
              <w:jc w:val="right"/>
              <w:rPr>
                <w:color w:val="000000" w:themeColor="text1"/>
                <w:szCs w:val="14"/>
              </w:rPr>
            </w:pPr>
            <w:r w:rsidRPr="00CD3C38">
              <w:rPr>
                <w:color w:val="000000" w:themeColor="text1"/>
                <w:szCs w:val="14"/>
              </w:rPr>
              <w:t>57.1</w:t>
            </w:r>
          </w:p>
        </w:tc>
        <w:tc>
          <w:tcPr>
            <w:tcW w:w="630" w:type="dxa"/>
            <w:tcBorders>
              <w:bottom w:val="nil"/>
            </w:tcBorders>
          </w:tcPr>
          <w:p w14:paraId="369F6BE1" w14:textId="77777777" w:rsidR="0033663C" w:rsidRPr="00CD3C38" w:rsidRDefault="0033663C" w:rsidP="0033663C">
            <w:pPr>
              <w:pStyle w:val="TableText"/>
              <w:jc w:val="right"/>
              <w:rPr>
                <w:color w:val="000000" w:themeColor="text1"/>
                <w:szCs w:val="14"/>
              </w:rPr>
            </w:pPr>
            <w:r w:rsidRPr="00CD3C38">
              <w:rPr>
                <w:bCs/>
                <w:color w:val="000000" w:themeColor="text1"/>
                <w:szCs w:val="14"/>
              </w:rPr>
              <w:t>2.5</w:t>
            </w:r>
          </w:p>
        </w:tc>
        <w:tc>
          <w:tcPr>
            <w:tcW w:w="819" w:type="dxa"/>
            <w:tcBorders>
              <w:bottom w:val="nil"/>
            </w:tcBorders>
          </w:tcPr>
          <w:p w14:paraId="1CFA675D" w14:textId="77777777" w:rsidR="0033663C" w:rsidRPr="00CD3C38" w:rsidRDefault="0033663C" w:rsidP="0033663C">
            <w:pPr>
              <w:pStyle w:val="TableText"/>
              <w:jc w:val="right"/>
              <w:rPr>
                <w:color w:val="000000" w:themeColor="text1"/>
                <w:szCs w:val="14"/>
              </w:rPr>
            </w:pPr>
            <w:r w:rsidRPr="00CD3C38">
              <w:rPr>
                <w:bCs/>
                <w:color w:val="000000" w:themeColor="text1"/>
                <w:szCs w:val="14"/>
              </w:rPr>
              <w:t>52.1, 62.1</w:t>
            </w:r>
          </w:p>
        </w:tc>
        <w:tc>
          <w:tcPr>
            <w:tcW w:w="531" w:type="dxa"/>
            <w:tcBorders>
              <w:bottom w:val="nil"/>
            </w:tcBorders>
          </w:tcPr>
          <w:p w14:paraId="4D5C1F58" w14:textId="77777777" w:rsidR="0033663C" w:rsidRPr="00CD3C38" w:rsidRDefault="0033663C" w:rsidP="0033663C">
            <w:pPr>
              <w:pStyle w:val="TableText"/>
              <w:jc w:val="right"/>
              <w:rPr>
                <w:bCs/>
                <w:color w:val="000000" w:themeColor="text1"/>
                <w:szCs w:val="14"/>
              </w:rPr>
            </w:pPr>
            <w:r>
              <w:t>14.6</w:t>
            </w:r>
          </w:p>
        </w:tc>
        <w:tc>
          <w:tcPr>
            <w:tcW w:w="630" w:type="dxa"/>
            <w:tcBorders>
              <w:bottom w:val="nil"/>
            </w:tcBorders>
          </w:tcPr>
          <w:p w14:paraId="622B5486" w14:textId="77777777" w:rsidR="0033663C" w:rsidRPr="00CD3C38" w:rsidRDefault="0033663C" w:rsidP="0033663C">
            <w:pPr>
              <w:pStyle w:val="TableText"/>
              <w:jc w:val="right"/>
              <w:rPr>
                <w:bCs/>
                <w:color w:val="000000" w:themeColor="text1"/>
                <w:szCs w:val="14"/>
              </w:rPr>
            </w:pPr>
            <w:r>
              <w:t>4.4</w:t>
            </w:r>
          </w:p>
        </w:tc>
        <w:tc>
          <w:tcPr>
            <w:tcW w:w="824" w:type="dxa"/>
            <w:tcBorders>
              <w:bottom w:val="nil"/>
            </w:tcBorders>
          </w:tcPr>
          <w:p w14:paraId="3356858D" w14:textId="77777777" w:rsidR="0033663C" w:rsidRPr="00CD3C38" w:rsidRDefault="0033663C" w:rsidP="0033663C">
            <w:pPr>
              <w:pStyle w:val="TableText"/>
              <w:jc w:val="right"/>
              <w:rPr>
                <w:bCs/>
                <w:color w:val="000000" w:themeColor="text1"/>
                <w:szCs w:val="14"/>
              </w:rPr>
            </w:pPr>
            <w:r>
              <w:t>5.8, 23.3</w:t>
            </w:r>
          </w:p>
        </w:tc>
      </w:tr>
      <w:tr w:rsidR="002F202D" w:rsidRPr="003328F3" w14:paraId="56F22A58" w14:textId="77777777" w:rsidTr="002F202D">
        <w:trPr>
          <w:cnfStyle w:val="010000000000" w:firstRow="0" w:lastRow="1" w:firstColumn="0" w:lastColumn="0" w:oddVBand="0" w:evenVBand="0" w:oddHBand="0" w:evenHBand="0" w:firstRowFirstColumn="0" w:firstRowLastColumn="0" w:lastRowFirstColumn="0" w:lastRowLastColumn="0"/>
          <w:cantSplit/>
        </w:trPr>
        <w:tc>
          <w:tcPr>
            <w:tcW w:w="1375" w:type="dxa"/>
            <w:tcBorders>
              <w:bottom w:val="single" w:sz="4" w:space="0" w:color="000000"/>
            </w:tcBorders>
            <w:shd w:val="clear" w:color="auto" w:fill="C1D9FF"/>
          </w:tcPr>
          <w:p w14:paraId="6B58B887" w14:textId="77777777" w:rsidR="0033663C" w:rsidRPr="00CD3C38" w:rsidRDefault="0033663C" w:rsidP="0033663C">
            <w:pPr>
              <w:pStyle w:val="TableText"/>
              <w:rPr>
                <w:rFonts w:cs="ArialMT"/>
                <w:szCs w:val="14"/>
              </w:rPr>
            </w:pPr>
            <w:r w:rsidRPr="00CD3C38">
              <w:rPr>
                <w:rFonts w:cs="ArialMT"/>
                <w:szCs w:val="14"/>
              </w:rPr>
              <w:t>Don’t know</w:t>
            </w:r>
            <w:r>
              <w:rPr>
                <w:rFonts w:cs="ArialMT"/>
                <w:szCs w:val="14"/>
                <w:vertAlign w:val="superscript"/>
              </w:rPr>
              <w:t>*</w:t>
            </w:r>
          </w:p>
        </w:tc>
        <w:tc>
          <w:tcPr>
            <w:tcW w:w="540" w:type="dxa"/>
            <w:tcBorders>
              <w:bottom w:val="single" w:sz="4" w:space="0" w:color="000000"/>
            </w:tcBorders>
            <w:shd w:val="clear" w:color="auto" w:fill="C1D9FF"/>
          </w:tcPr>
          <w:p w14:paraId="45ABF3B3" w14:textId="77777777" w:rsidR="0033663C" w:rsidRPr="00CD3C38" w:rsidRDefault="0033663C" w:rsidP="0033663C">
            <w:pPr>
              <w:pStyle w:val="TableText"/>
              <w:jc w:val="right"/>
              <w:rPr>
                <w:color w:val="000000" w:themeColor="text1"/>
                <w:szCs w:val="14"/>
              </w:rPr>
            </w:pPr>
            <w:r w:rsidRPr="00CD3C38">
              <w:rPr>
                <w:color w:val="000000" w:themeColor="text1"/>
                <w:szCs w:val="14"/>
              </w:rPr>
              <w:t>0.0</w:t>
            </w:r>
          </w:p>
        </w:tc>
        <w:tc>
          <w:tcPr>
            <w:tcW w:w="630" w:type="dxa"/>
            <w:tcBorders>
              <w:bottom w:val="single" w:sz="4" w:space="0" w:color="000000"/>
            </w:tcBorders>
            <w:shd w:val="clear" w:color="auto" w:fill="C1D9FF"/>
          </w:tcPr>
          <w:p w14:paraId="70B10027" w14:textId="77777777" w:rsidR="0033663C" w:rsidRPr="00CD3C38" w:rsidRDefault="0033663C" w:rsidP="0033663C">
            <w:pPr>
              <w:pStyle w:val="TableText"/>
              <w:jc w:val="right"/>
              <w:rPr>
                <w:color w:val="000000" w:themeColor="text1"/>
                <w:szCs w:val="14"/>
              </w:rPr>
            </w:pPr>
            <w:r w:rsidRPr="00CD3C38">
              <w:rPr>
                <w:color w:val="000000" w:themeColor="text1"/>
                <w:szCs w:val="14"/>
              </w:rPr>
              <w:t>0.0</w:t>
            </w:r>
          </w:p>
        </w:tc>
        <w:tc>
          <w:tcPr>
            <w:tcW w:w="814" w:type="dxa"/>
            <w:tcBorders>
              <w:bottom w:val="single" w:sz="4" w:space="0" w:color="000000"/>
            </w:tcBorders>
            <w:shd w:val="clear" w:color="auto" w:fill="C1D9FF"/>
          </w:tcPr>
          <w:p w14:paraId="515FC81C" w14:textId="77777777" w:rsidR="0033663C" w:rsidRPr="00CD3C38" w:rsidRDefault="0033663C" w:rsidP="0033663C">
            <w:pPr>
              <w:pStyle w:val="TableText"/>
              <w:jc w:val="right"/>
              <w:rPr>
                <w:color w:val="000000" w:themeColor="text1"/>
                <w:szCs w:val="14"/>
              </w:rPr>
            </w:pPr>
            <w:r w:rsidRPr="00CD3C38">
              <w:rPr>
                <w:color w:val="000000" w:themeColor="text1"/>
                <w:szCs w:val="14"/>
              </w:rPr>
              <w:t>0.0, 0.0</w:t>
            </w:r>
          </w:p>
        </w:tc>
        <w:tc>
          <w:tcPr>
            <w:tcW w:w="536" w:type="dxa"/>
            <w:tcBorders>
              <w:bottom w:val="single" w:sz="4" w:space="0" w:color="000000"/>
            </w:tcBorders>
            <w:shd w:val="clear" w:color="auto" w:fill="C1D9FF"/>
          </w:tcPr>
          <w:p w14:paraId="628CC265" w14:textId="77777777" w:rsidR="0033663C" w:rsidRPr="00CD3C38" w:rsidRDefault="0033663C" w:rsidP="0033663C">
            <w:pPr>
              <w:pStyle w:val="TableText"/>
              <w:jc w:val="right"/>
              <w:rPr>
                <w:color w:val="000000" w:themeColor="text1"/>
                <w:szCs w:val="14"/>
              </w:rPr>
            </w:pPr>
            <w:r w:rsidRPr="00CD3C38">
              <w:rPr>
                <w:color w:val="000000" w:themeColor="text1"/>
                <w:szCs w:val="14"/>
              </w:rPr>
              <w:t>0.5</w:t>
            </w:r>
          </w:p>
        </w:tc>
        <w:tc>
          <w:tcPr>
            <w:tcW w:w="630" w:type="dxa"/>
            <w:tcBorders>
              <w:bottom w:val="single" w:sz="4" w:space="0" w:color="000000"/>
            </w:tcBorders>
            <w:shd w:val="clear" w:color="auto" w:fill="C1D9FF"/>
          </w:tcPr>
          <w:p w14:paraId="4D0A8FEE" w14:textId="77777777" w:rsidR="0033663C" w:rsidRPr="00CD3C38" w:rsidRDefault="0033663C" w:rsidP="0033663C">
            <w:pPr>
              <w:pStyle w:val="TableText"/>
              <w:jc w:val="right"/>
              <w:rPr>
                <w:color w:val="000000" w:themeColor="text1"/>
                <w:szCs w:val="14"/>
              </w:rPr>
            </w:pPr>
            <w:r w:rsidRPr="00CD3C38">
              <w:rPr>
                <w:rFonts w:eastAsia="Times New Roman"/>
                <w:bCs/>
                <w:color w:val="000000" w:themeColor="text1"/>
                <w:szCs w:val="14"/>
              </w:rPr>
              <w:t>0.4</w:t>
            </w:r>
          </w:p>
        </w:tc>
        <w:tc>
          <w:tcPr>
            <w:tcW w:w="819" w:type="dxa"/>
            <w:tcBorders>
              <w:bottom w:val="single" w:sz="4" w:space="0" w:color="000000"/>
            </w:tcBorders>
            <w:shd w:val="clear" w:color="auto" w:fill="C1D9FF"/>
          </w:tcPr>
          <w:p w14:paraId="2940853D" w14:textId="77777777" w:rsidR="0033663C" w:rsidRPr="00CD3C38" w:rsidRDefault="002F202D" w:rsidP="0033663C">
            <w:pPr>
              <w:pStyle w:val="TableText"/>
              <w:jc w:val="right"/>
              <w:rPr>
                <w:color w:val="000000" w:themeColor="text1"/>
                <w:szCs w:val="14"/>
              </w:rPr>
            </w:pPr>
            <w:r>
              <w:rPr>
                <w:bCs/>
                <w:color w:val="000000" w:themeColor="text1"/>
                <w:szCs w:val="14"/>
              </w:rPr>
              <w:t>–</w:t>
            </w:r>
            <w:r w:rsidR="0033663C" w:rsidRPr="00CD3C38">
              <w:rPr>
                <w:bCs/>
                <w:color w:val="000000" w:themeColor="text1"/>
                <w:szCs w:val="14"/>
              </w:rPr>
              <w:t>0.3, 1.2</w:t>
            </w:r>
          </w:p>
        </w:tc>
        <w:tc>
          <w:tcPr>
            <w:tcW w:w="531" w:type="dxa"/>
            <w:tcBorders>
              <w:bottom w:val="single" w:sz="4" w:space="0" w:color="000000"/>
            </w:tcBorders>
            <w:shd w:val="clear" w:color="auto" w:fill="C1D9FF"/>
          </w:tcPr>
          <w:p w14:paraId="2B443E97" w14:textId="77777777" w:rsidR="0033663C" w:rsidRPr="00CD3C38" w:rsidRDefault="0033663C" w:rsidP="0033663C">
            <w:pPr>
              <w:pStyle w:val="TableText"/>
              <w:jc w:val="right"/>
              <w:rPr>
                <w:bCs/>
                <w:color w:val="000000" w:themeColor="text1"/>
                <w:szCs w:val="14"/>
              </w:rPr>
            </w:pPr>
            <w:r>
              <w:rPr>
                <w:rFonts w:eastAsia="Times New Roman"/>
                <w:bCs/>
                <w:color w:val="000000" w:themeColor="text1"/>
              </w:rPr>
              <w:t>–</w:t>
            </w:r>
            <w:r w:rsidRPr="005D4D17">
              <w:t>0.4</w:t>
            </w:r>
          </w:p>
        </w:tc>
        <w:tc>
          <w:tcPr>
            <w:tcW w:w="630" w:type="dxa"/>
            <w:tcBorders>
              <w:bottom w:val="single" w:sz="4" w:space="0" w:color="000000"/>
            </w:tcBorders>
            <w:shd w:val="clear" w:color="auto" w:fill="C1D9FF"/>
          </w:tcPr>
          <w:p w14:paraId="742200FE" w14:textId="77777777" w:rsidR="0033663C" w:rsidRPr="00CD3C38" w:rsidRDefault="0033663C" w:rsidP="0033663C">
            <w:pPr>
              <w:pStyle w:val="TableText"/>
              <w:jc w:val="right"/>
              <w:rPr>
                <w:bCs/>
                <w:color w:val="000000" w:themeColor="text1"/>
                <w:szCs w:val="14"/>
              </w:rPr>
            </w:pPr>
            <w:r w:rsidRPr="005D4D17">
              <w:t>0.4</w:t>
            </w:r>
          </w:p>
        </w:tc>
        <w:tc>
          <w:tcPr>
            <w:tcW w:w="824" w:type="dxa"/>
            <w:tcBorders>
              <w:bottom w:val="single" w:sz="4" w:space="0" w:color="000000"/>
            </w:tcBorders>
            <w:shd w:val="clear" w:color="auto" w:fill="C1D9FF"/>
          </w:tcPr>
          <w:p w14:paraId="578CFDD1" w14:textId="77777777" w:rsidR="0033663C" w:rsidRPr="00CD3C38" w:rsidRDefault="0033663C" w:rsidP="0033663C">
            <w:pPr>
              <w:pStyle w:val="TableText"/>
              <w:jc w:val="right"/>
              <w:rPr>
                <w:bCs/>
                <w:color w:val="000000" w:themeColor="text1"/>
                <w:szCs w:val="14"/>
              </w:rPr>
            </w:pPr>
            <w:r>
              <w:rPr>
                <w:rFonts w:eastAsia="Times New Roman"/>
                <w:bCs/>
                <w:color w:val="000000" w:themeColor="text1"/>
              </w:rPr>
              <w:t>–</w:t>
            </w:r>
            <w:r w:rsidRPr="005D4D17">
              <w:t>1.2, 0.3</w:t>
            </w:r>
          </w:p>
        </w:tc>
      </w:tr>
    </w:tbl>
    <w:p w14:paraId="234F4FA2" w14:textId="77777777" w:rsidR="0033663C" w:rsidRPr="0002657B" w:rsidRDefault="0033663C" w:rsidP="0033663C">
      <w:pPr>
        <w:pStyle w:val="TableNotes"/>
      </w:pPr>
      <w:r>
        <w:rPr>
          <w:vertAlign w:val="superscript"/>
        </w:rPr>
        <w:t>*</w:t>
      </w:r>
      <w:r w:rsidRPr="0002657B">
        <w:rPr>
          <w:vertAlign w:val="superscript"/>
        </w:rPr>
        <w:t xml:space="preserve"> </w:t>
      </w:r>
      <w:r w:rsidRPr="0002657B">
        <w:t>Only the Young and Well participants had the option of responding ‘Don’t know’.</w:t>
      </w:r>
    </w:p>
    <w:p w14:paraId="34AEAF47" w14:textId="77777777" w:rsidR="0033663C" w:rsidRPr="006A3EA0" w:rsidRDefault="0033663C" w:rsidP="0033663C">
      <w:pPr>
        <w:pStyle w:val="TableNotes"/>
        <w:rPr>
          <w:b/>
        </w:rPr>
      </w:pPr>
      <w:r>
        <w:rPr>
          <w:b/>
        </w:rPr>
        <w:t>Notes</w:t>
      </w:r>
    </w:p>
    <w:p w14:paraId="2C86FDD4" w14:textId="77777777" w:rsidR="0033663C" w:rsidRPr="0002657B" w:rsidRDefault="0033663C" w:rsidP="0033663C">
      <w:pPr>
        <w:pStyle w:val="TableNotes"/>
      </w:pPr>
      <w:r w:rsidRPr="0002657B">
        <w:t xml:space="preserve">Denominator: Total Transitioned ADF </w:t>
      </w:r>
      <w:r>
        <w:t>18–25</w:t>
      </w:r>
      <w:r w:rsidRPr="0002657B">
        <w:t xml:space="preserve"> years and Young and Well </w:t>
      </w:r>
      <w:r>
        <w:t>18–25</w:t>
      </w:r>
      <w:r w:rsidRPr="0002657B">
        <w:t xml:space="preserve"> years cohorts who used the internet</w:t>
      </w:r>
      <w:r>
        <w:t>.</w:t>
      </w:r>
    </w:p>
    <w:p w14:paraId="51C468FC" w14:textId="77777777" w:rsidR="0033663C" w:rsidRPr="0002657B" w:rsidRDefault="0033663C" w:rsidP="0033663C">
      <w:pPr>
        <w:pStyle w:val="TableNotes"/>
      </w:pPr>
      <w:r w:rsidRPr="0002657B">
        <w:t xml:space="preserve">1% of the Transitioned ADF cohort had a missing value for this question. However, distributions are calculated by including those with a missing value to allow for correct weighted totals. </w:t>
      </w:r>
    </w:p>
    <w:p w14:paraId="76FC6382" w14:textId="77777777" w:rsidR="0033663C" w:rsidRDefault="0033663C" w:rsidP="0033663C">
      <w:pPr>
        <w:pStyle w:val="TableNotes"/>
      </w:pPr>
      <w:r>
        <w:t>95%CI = 95% confidence interval.</w:t>
      </w:r>
    </w:p>
    <w:p w14:paraId="4B827BDF" w14:textId="77777777" w:rsidR="0033663C" w:rsidRDefault="0033663C" w:rsidP="0033663C">
      <w:pPr>
        <w:pStyle w:val="FigureName"/>
        <w:rPr>
          <w:rFonts w:asciiTheme="minorHAnsi" w:hAnsiTheme="minorHAnsi"/>
          <w:lang w:eastAsia="en-AU"/>
        </w:rPr>
      </w:pPr>
      <w:bookmarkStart w:id="1172" w:name="_Ref514912243"/>
      <w:bookmarkStart w:id="1173" w:name="_Toc510087911"/>
      <w:bookmarkStart w:id="1174" w:name="_Toc515374740"/>
      <w:bookmarkStart w:id="1175" w:name="_Toc528932424"/>
      <w:bookmarkStart w:id="1176" w:name="_Toc531858104"/>
      <w:r>
        <w:t xml:space="preserve">Figure </w:t>
      </w:r>
      <w:r>
        <w:rPr>
          <w:noProof/>
        </w:rPr>
        <w:t>10</w:t>
      </w:r>
      <w:r>
        <w:t>.</w:t>
      </w:r>
      <w:r>
        <w:rPr>
          <w:noProof/>
        </w:rPr>
        <w:t>4</w:t>
      </w:r>
      <w:bookmarkEnd w:id="1172"/>
      <w:r>
        <w:tab/>
      </w:r>
      <w:r w:rsidRPr="003328F3">
        <w:t xml:space="preserve">Use of the </w:t>
      </w:r>
      <w:r>
        <w:t>internet</w:t>
      </w:r>
      <w:r w:rsidRPr="003328F3">
        <w:t xml:space="preserve"> to seek help for or manage mental health issues in Transitioned ADF (aged </w:t>
      </w:r>
      <w:r>
        <w:t>18–25</w:t>
      </w:r>
      <w:r w:rsidRPr="003328F3">
        <w:t>) compared to the Young and Well cohort</w:t>
      </w:r>
      <w:bookmarkEnd w:id="1173"/>
      <w:bookmarkEnd w:id="1174"/>
      <w:bookmarkEnd w:id="1175"/>
      <w:bookmarkEnd w:id="1176"/>
    </w:p>
    <w:p w14:paraId="67D6E769" w14:textId="77777777" w:rsidR="0033663C" w:rsidRPr="003328F3" w:rsidRDefault="009443A0" w:rsidP="00B737A1">
      <w:pPr>
        <w:spacing w:after="360"/>
        <w:rPr>
          <w:rFonts w:asciiTheme="minorHAnsi" w:hAnsiTheme="minorHAnsi"/>
          <w:lang w:eastAsia="en-AU"/>
        </w:rPr>
      </w:pPr>
      <w:r w:rsidRPr="003328F3">
        <w:rPr>
          <w:rFonts w:asciiTheme="minorHAnsi" w:hAnsiTheme="minorHAnsi"/>
          <w:noProof/>
          <w:lang w:eastAsia="en-AU"/>
        </w:rPr>
        <w:drawing>
          <wp:inline distT="0" distB="0" distL="0" distR="0" wp14:anchorId="5B624C80" wp14:editId="03D0E574">
            <wp:extent cx="4572000" cy="3200400"/>
            <wp:effectExtent l="0" t="0" r="19050" b="19050"/>
            <wp:docPr id="93" name="Chart 93" descr="Figure 10.4 Use of the internet to seek help for or manage mental health issues in Transitioned ADF (aged 18–25) compared to the Young and Wel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A789956" w14:textId="77777777" w:rsidR="0033663C" w:rsidRPr="008A51EB" w:rsidRDefault="0033663C" w:rsidP="0033663C">
      <w:pPr>
        <w:pStyle w:val="Heading3"/>
        <w:numPr>
          <w:ilvl w:val="2"/>
          <w:numId w:val="1"/>
        </w:numPr>
      </w:pPr>
      <w:bookmarkStart w:id="1177" w:name="_Toc387565420"/>
      <w:bookmarkStart w:id="1178" w:name="_Toc515374569"/>
      <w:bookmarkStart w:id="1179" w:name="_Toc518566463"/>
      <w:bookmarkStart w:id="1180" w:name="_Toc528932741"/>
      <w:bookmarkStart w:id="1181" w:name="_Toc531859278"/>
      <w:r w:rsidRPr="008A51EB">
        <w:t>Getting the information needed in relation to mental health</w:t>
      </w:r>
      <w:bookmarkEnd w:id="1177"/>
      <w:bookmarkEnd w:id="1178"/>
      <w:bookmarkEnd w:id="1179"/>
      <w:bookmarkEnd w:id="1180"/>
      <w:bookmarkEnd w:id="1181"/>
    </w:p>
    <w:p w14:paraId="3F9F4B30" w14:textId="6828D100" w:rsidR="0033663C" w:rsidRPr="003328F3" w:rsidRDefault="0033663C" w:rsidP="0033663C">
      <w:pPr>
        <w:rPr>
          <w:rFonts w:asciiTheme="minorHAnsi" w:hAnsiTheme="minorHAnsi" w:cstheme="minorHAnsi"/>
        </w:rPr>
      </w:pPr>
      <w:r w:rsidRPr="003328F3">
        <w:rPr>
          <w:rFonts w:asciiTheme="minorHAnsi" w:hAnsiTheme="minorHAnsi" w:cstheme="minorHAnsi"/>
        </w:rPr>
        <w:t xml:space="preserve">Of those who indicated they had used the </w:t>
      </w:r>
      <w:r>
        <w:rPr>
          <w:rFonts w:asciiTheme="minorHAnsi" w:hAnsiTheme="minorHAnsi" w:cstheme="minorHAnsi"/>
        </w:rPr>
        <w:t>internet</w:t>
      </w:r>
      <w:r w:rsidRPr="003328F3">
        <w:rPr>
          <w:rFonts w:asciiTheme="minorHAnsi" w:hAnsiTheme="minorHAnsi" w:cstheme="minorHAnsi"/>
        </w:rPr>
        <w:t xml:space="preserve"> for mental health issues (</w:t>
      </w:r>
      <w:r>
        <w:rPr>
          <w:rFonts w:asciiTheme="minorHAnsi" w:hAnsiTheme="minorHAnsi" w:cstheme="minorHAnsi"/>
        </w:rPr>
        <w:t xml:space="preserve">Mental Health and Wellbeing </w:t>
      </w:r>
      <w:r w:rsidRPr="003328F3">
        <w:rPr>
          <w:rFonts w:asciiTheme="minorHAnsi" w:hAnsiTheme="minorHAnsi" w:cstheme="minorHAnsi"/>
        </w:rPr>
        <w:t xml:space="preserve">Transition </w:t>
      </w:r>
      <w:r>
        <w:rPr>
          <w:rFonts w:asciiTheme="minorHAnsi" w:hAnsiTheme="minorHAnsi" w:cstheme="minorHAnsi"/>
        </w:rPr>
        <w:t>S</w:t>
      </w:r>
      <w:r w:rsidRPr="003328F3">
        <w:rPr>
          <w:rFonts w:asciiTheme="minorHAnsi" w:hAnsiTheme="minorHAnsi" w:cstheme="minorHAnsi"/>
        </w:rPr>
        <w:t xml:space="preserve">tudy </w:t>
      </w:r>
      <w:r w:rsidR="00D70D09">
        <w:rPr>
          <w:rFonts w:asciiTheme="minorHAnsi" w:hAnsiTheme="minorHAnsi" w:cstheme="minorHAnsi"/>
        </w:rPr>
        <w:t xml:space="preserve">n = </w:t>
      </w:r>
      <w:r w:rsidRPr="003328F3">
        <w:rPr>
          <w:rFonts w:asciiTheme="minorHAnsi" w:hAnsiTheme="minorHAnsi" w:cstheme="minorHAnsi"/>
        </w:rPr>
        <w:t xml:space="preserve">720, </w:t>
      </w:r>
      <w:r>
        <w:rPr>
          <w:rFonts w:asciiTheme="minorHAnsi" w:hAnsiTheme="minorHAnsi" w:cstheme="minorHAnsi"/>
        </w:rPr>
        <w:t xml:space="preserve">Young and Well Study </w:t>
      </w:r>
      <w:r w:rsidR="00D70D09">
        <w:rPr>
          <w:rFonts w:asciiTheme="minorHAnsi" w:hAnsiTheme="minorHAnsi" w:cstheme="minorHAnsi"/>
        </w:rPr>
        <w:t xml:space="preserve">n = </w:t>
      </w:r>
      <w:r>
        <w:rPr>
          <w:rFonts w:asciiTheme="minorHAnsi" w:hAnsiTheme="minorHAnsi" w:cstheme="minorHAnsi"/>
        </w:rPr>
        <w:t>490. S</w:t>
      </w:r>
      <w:r w:rsidRPr="003328F3">
        <w:rPr>
          <w:rFonts w:asciiTheme="minorHAnsi" w:hAnsiTheme="minorHAnsi" w:cstheme="minorHAnsi"/>
        </w:rPr>
        <w:t xml:space="preserve">ee </w:t>
      </w:r>
      <w:r w:rsidRPr="002344D5">
        <w:rPr>
          <w:rFonts w:asciiTheme="minorHAnsi" w:hAnsiTheme="minorHAnsi" w:cstheme="minorHAnsi"/>
        </w:rPr>
        <w:t>section</w:t>
      </w:r>
      <w:r>
        <w:rPr>
          <w:rFonts w:asciiTheme="minorHAnsi" w:hAnsiTheme="minorHAnsi" w:cstheme="minorHAnsi"/>
        </w:rPr>
        <w:t xml:space="preserve"> 10.5</w:t>
      </w:r>
      <w:r w:rsidRPr="002344D5">
        <w:rPr>
          <w:rFonts w:asciiTheme="minorHAnsi" w:hAnsiTheme="minorHAnsi" w:cstheme="minorHAnsi"/>
        </w:rPr>
        <w:t>.1 for</w:t>
      </w:r>
      <w:r w:rsidRPr="003328F3">
        <w:rPr>
          <w:rFonts w:asciiTheme="minorHAnsi" w:hAnsiTheme="minorHAnsi" w:cstheme="minorHAnsi"/>
        </w:rPr>
        <w:t xml:space="preserve"> the exact wording of this question in both surveys), respondents in the </w:t>
      </w:r>
      <w:r w:rsidRPr="003328F3">
        <w:t>Mental H</w:t>
      </w:r>
      <w:r>
        <w:t>ealth and Wellbeing Transition S</w:t>
      </w:r>
      <w:r w:rsidRPr="003328F3">
        <w:t>tudy were asked</w:t>
      </w:r>
      <w:r>
        <w:t>,</w:t>
      </w:r>
      <w:r w:rsidRPr="003328F3">
        <w:t xml:space="preserve"> </w:t>
      </w:r>
      <w:r>
        <w:t>‘</w:t>
      </w:r>
      <w:r w:rsidRPr="003328F3">
        <w:rPr>
          <w:rFonts w:eastAsia="Times New Roman" w:cs="Calibri"/>
          <w:szCs w:val="22"/>
          <w:lang w:eastAsia="en-AU"/>
        </w:rPr>
        <w:t xml:space="preserve">By using the </w:t>
      </w:r>
      <w:r>
        <w:rPr>
          <w:rFonts w:eastAsia="Times New Roman" w:cs="Calibri"/>
          <w:szCs w:val="22"/>
          <w:lang w:eastAsia="en-AU"/>
        </w:rPr>
        <w:t>internet</w:t>
      </w:r>
      <w:r w:rsidRPr="003328F3">
        <w:rPr>
          <w:rFonts w:eastAsia="Times New Roman" w:cs="Calibri"/>
          <w:szCs w:val="22"/>
          <w:lang w:eastAsia="en-AU"/>
        </w:rPr>
        <w:t>, did you get the kind of information you needed in relation to mental health?</w:t>
      </w:r>
      <w:r>
        <w:t>’</w:t>
      </w:r>
      <w:r w:rsidRPr="003328F3">
        <w:t xml:space="preserve"> where</w:t>
      </w:r>
      <w:r>
        <w:t>as</w:t>
      </w:r>
      <w:r w:rsidRPr="003328F3">
        <w:t xml:space="preserve"> responde</w:t>
      </w:r>
      <w:r>
        <w:t>nts from the Young and Well S</w:t>
      </w:r>
      <w:r w:rsidRPr="003328F3">
        <w:t>tudy were asked</w:t>
      </w:r>
      <w:r>
        <w:t>,</w:t>
      </w:r>
      <w:r w:rsidRPr="003328F3">
        <w:t xml:space="preserve"> </w:t>
      </w:r>
      <w:r>
        <w:t>‘</w:t>
      </w:r>
      <w:r w:rsidRPr="003328F3">
        <w:rPr>
          <w:rFonts w:eastAsia="Times New Roman" w:cs="Calibri"/>
          <w:szCs w:val="22"/>
          <w:lang w:eastAsia="en-AU"/>
        </w:rPr>
        <w:t xml:space="preserve">By using the </w:t>
      </w:r>
      <w:r>
        <w:rPr>
          <w:rFonts w:eastAsia="Times New Roman" w:cs="Calibri"/>
          <w:szCs w:val="22"/>
          <w:lang w:eastAsia="en-AU"/>
        </w:rPr>
        <w:t>internet</w:t>
      </w:r>
      <w:r w:rsidRPr="003328F3">
        <w:rPr>
          <w:rFonts w:eastAsia="Times New Roman" w:cs="Calibri"/>
          <w:szCs w:val="22"/>
          <w:lang w:eastAsia="en-AU"/>
        </w:rPr>
        <w:t>, did you get the kind of information you needed?</w:t>
      </w:r>
      <w:r>
        <w:rPr>
          <w:rFonts w:asciiTheme="minorHAnsi" w:hAnsiTheme="minorHAnsi" w:cstheme="minorHAnsi"/>
        </w:rPr>
        <w:t>’</w:t>
      </w:r>
      <w:r w:rsidRPr="003328F3">
        <w:rPr>
          <w:rFonts w:asciiTheme="minorHAnsi" w:hAnsiTheme="minorHAnsi" w:cstheme="minorHAnsi"/>
        </w:rPr>
        <w:t xml:space="preserve"> </w:t>
      </w:r>
    </w:p>
    <w:p w14:paraId="5D144D33" w14:textId="77777777" w:rsidR="0033663C" w:rsidRPr="003328F3" w:rsidRDefault="0033663C" w:rsidP="0033663C">
      <w:pPr>
        <w:rPr>
          <w:rFonts w:asciiTheme="minorHAnsi" w:hAnsiTheme="minorHAnsi" w:cstheme="minorHAnsi"/>
        </w:rPr>
      </w:pPr>
      <w:r>
        <w:t xml:space="preserve">Table </w:t>
      </w:r>
      <w:r>
        <w:rPr>
          <w:noProof/>
        </w:rPr>
        <w:t>10.5</w:t>
      </w:r>
      <w:r w:rsidRPr="00D56F28">
        <w:rPr>
          <w:rFonts w:asciiTheme="minorHAnsi" w:hAnsiTheme="minorHAnsi" w:cstheme="minorHAnsi"/>
        </w:rPr>
        <w:t xml:space="preserve"> and </w:t>
      </w:r>
      <w:r>
        <w:rPr>
          <w:rFonts w:asciiTheme="minorHAnsi" w:hAnsiTheme="minorHAnsi" w:cstheme="minorHAnsi"/>
        </w:rPr>
        <w:t>Figure 10.5</w:t>
      </w:r>
      <w:r w:rsidRPr="00D56F28">
        <w:rPr>
          <w:rFonts w:asciiTheme="minorHAnsi" w:hAnsiTheme="minorHAnsi" w:cstheme="minorHAnsi"/>
        </w:rPr>
        <w:t xml:space="preserve"> describe</w:t>
      </w:r>
      <w:r w:rsidRPr="003328F3">
        <w:rPr>
          <w:rFonts w:asciiTheme="minorHAnsi" w:hAnsiTheme="minorHAnsi" w:cstheme="minorHAnsi"/>
        </w:rPr>
        <w:t xml:space="preserve"> the proportion of young adults who reported getting the information they needed in relation to mental health via the </w:t>
      </w:r>
      <w:r>
        <w:rPr>
          <w:rFonts w:asciiTheme="minorHAnsi" w:hAnsiTheme="minorHAnsi" w:cstheme="minorHAnsi"/>
        </w:rPr>
        <w:t>internet</w:t>
      </w:r>
      <w:r w:rsidRPr="003328F3">
        <w:rPr>
          <w:rFonts w:asciiTheme="minorHAnsi" w:hAnsiTheme="minorHAnsi" w:cstheme="minorHAnsi"/>
        </w:rPr>
        <w:t xml:space="preserve">. </w:t>
      </w:r>
    </w:p>
    <w:p w14:paraId="6EE2726B" w14:textId="25909A2B" w:rsidR="0033663C" w:rsidRPr="003328F3" w:rsidRDefault="0033663C" w:rsidP="0033663C">
      <w:pPr>
        <w:rPr>
          <w:rFonts w:asciiTheme="minorHAnsi" w:hAnsiTheme="minorHAnsi" w:cstheme="minorHAnsi"/>
        </w:rPr>
      </w:pPr>
      <w:r w:rsidRPr="003328F3">
        <w:rPr>
          <w:rFonts w:asciiTheme="minorHAnsi" w:hAnsiTheme="minorHAnsi" w:cstheme="minorHAnsi"/>
        </w:rPr>
        <w:t>Both Transitioned ADF</w:t>
      </w:r>
      <w:r>
        <w:rPr>
          <w:rFonts w:asciiTheme="minorHAnsi" w:hAnsiTheme="minorHAnsi" w:cstheme="minorHAnsi"/>
        </w:rPr>
        <w:t xml:space="preserve"> young adults</w:t>
      </w:r>
      <w:r w:rsidRPr="003328F3">
        <w:rPr>
          <w:rFonts w:asciiTheme="minorHAnsi" w:hAnsiTheme="minorHAnsi" w:cstheme="minorHAnsi"/>
        </w:rPr>
        <w:t xml:space="preserve"> and the Young and Well cohort were most likely to report that the </w:t>
      </w:r>
      <w:r>
        <w:rPr>
          <w:rFonts w:asciiTheme="minorHAnsi" w:hAnsiTheme="minorHAnsi" w:cstheme="minorHAnsi"/>
        </w:rPr>
        <w:t>internet</w:t>
      </w:r>
      <w:r w:rsidRPr="003328F3">
        <w:rPr>
          <w:rFonts w:asciiTheme="minorHAnsi" w:hAnsiTheme="minorHAnsi" w:cstheme="minorHAnsi"/>
        </w:rPr>
        <w:t xml:space="preserve"> ‘somewhat’ gave them the kind of information they needed in relation to mental health </w:t>
      </w:r>
      <w:r w:rsidRPr="003328F3">
        <w:rPr>
          <w:rFonts w:asciiTheme="minorHAnsi" w:hAnsiTheme="minorHAnsi" w:cstheme="minorHAnsi"/>
          <w:szCs w:val="22"/>
        </w:rPr>
        <w:t xml:space="preserve">(76.9% and </w:t>
      </w:r>
      <w:r w:rsidRPr="001945AB">
        <w:rPr>
          <w:rFonts w:asciiTheme="minorHAnsi" w:hAnsiTheme="minorHAnsi" w:cstheme="minorHAnsi"/>
          <w:szCs w:val="22"/>
        </w:rPr>
        <w:t xml:space="preserve">54.8%). The Transitioned ADF </w:t>
      </w:r>
      <w:r>
        <w:rPr>
          <w:rFonts w:asciiTheme="minorHAnsi" w:hAnsiTheme="minorHAnsi" w:cstheme="minorHAnsi"/>
          <w:szCs w:val="22"/>
        </w:rPr>
        <w:t xml:space="preserve">young adults </w:t>
      </w:r>
      <w:r w:rsidRPr="001945AB">
        <w:rPr>
          <w:rFonts w:asciiTheme="minorHAnsi" w:hAnsiTheme="minorHAnsi" w:cstheme="minorHAnsi"/>
          <w:szCs w:val="22"/>
        </w:rPr>
        <w:t xml:space="preserve">were significantly more likely </w:t>
      </w:r>
      <w:r>
        <w:rPr>
          <w:rFonts w:asciiTheme="minorHAnsi" w:hAnsiTheme="minorHAnsi" w:cstheme="minorHAnsi"/>
          <w:szCs w:val="22"/>
        </w:rPr>
        <w:t xml:space="preserve">than </w:t>
      </w:r>
      <w:r w:rsidRPr="001945AB">
        <w:rPr>
          <w:rFonts w:asciiTheme="minorHAnsi" w:hAnsiTheme="minorHAnsi" w:cstheme="minorHAnsi"/>
          <w:szCs w:val="22"/>
        </w:rPr>
        <w:t xml:space="preserve">the Young and Well cohort to report that the </w:t>
      </w:r>
      <w:r>
        <w:rPr>
          <w:rFonts w:asciiTheme="minorHAnsi" w:hAnsiTheme="minorHAnsi" w:cstheme="minorHAnsi"/>
          <w:szCs w:val="22"/>
        </w:rPr>
        <w:t>internet</w:t>
      </w:r>
      <w:r w:rsidRPr="001945AB">
        <w:rPr>
          <w:rFonts w:asciiTheme="minorHAnsi" w:hAnsiTheme="minorHAnsi" w:cstheme="minorHAnsi"/>
          <w:szCs w:val="22"/>
        </w:rPr>
        <w:t xml:space="preserve"> did</w:t>
      </w:r>
      <w:r>
        <w:rPr>
          <w:rFonts w:asciiTheme="minorHAnsi" w:hAnsiTheme="minorHAnsi" w:cstheme="minorHAnsi"/>
          <w:szCs w:val="22"/>
        </w:rPr>
        <w:t xml:space="preserve"> no</w:t>
      </w:r>
      <w:r w:rsidRPr="001945AB">
        <w:rPr>
          <w:rFonts w:asciiTheme="minorHAnsi" w:hAnsiTheme="minorHAnsi" w:cstheme="minorHAnsi"/>
          <w:szCs w:val="22"/>
        </w:rPr>
        <w:t xml:space="preserve">t </w:t>
      </w:r>
      <w:r>
        <w:rPr>
          <w:rFonts w:asciiTheme="minorHAnsi" w:hAnsiTheme="minorHAnsi" w:cstheme="minorHAnsi"/>
          <w:szCs w:val="22"/>
        </w:rPr>
        <w:t xml:space="preserve">help </w:t>
      </w:r>
      <w:r w:rsidRPr="001945AB">
        <w:rPr>
          <w:rFonts w:asciiTheme="minorHAnsi" w:hAnsiTheme="minorHAnsi" w:cstheme="minorHAnsi"/>
          <w:szCs w:val="22"/>
        </w:rPr>
        <w:t>at all (</w:t>
      </w:r>
      <w:r w:rsidRPr="001945AB">
        <w:rPr>
          <w:szCs w:val="22"/>
        </w:rPr>
        <w:t>15.4</w:t>
      </w:r>
      <w:r>
        <w:rPr>
          <w:szCs w:val="22"/>
        </w:rPr>
        <w:t>%</w:t>
      </w:r>
      <w:r w:rsidRPr="001945AB">
        <w:rPr>
          <w:szCs w:val="22"/>
        </w:rPr>
        <w:t xml:space="preserve"> compared </w:t>
      </w:r>
      <w:r>
        <w:rPr>
          <w:szCs w:val="22"/>
        </w:rPr>
        <w:t>with</w:t>
      </w:r>
      <w:r w:rsidRPr="001945AB">
        <w:rPr>
          <w:szCs w:val="22"/>
        </w:rPr>
        <w:t xml:space="preserve"> </w:t>
      </w:r>
      <w:r w:rsidRPr="001945AB">
        <w:rPr>
          <w:rFonts w:asciiTheme="minorHAnsi" w:hAnsiTheme="minorHAnsi" w:cstheme="minorHAnsi"/>
          <w:szCs w:val="22"/>
        </w:rPr>
        <w:t>1.2</w:t>
      </w:r>
      <w:r w:rsidRPr="001945AB">
        <w:rPr>
          <w:szCs w:val="22"/>
        </w:rPr>
        <w:t>%)</w:t>
      </w:r>
      <w:r w:rsidRPr="001945AB">
        <w:rPr>
          <w:rFonts w:asciiTheme="minorHAnsi" w:hAnsiTheme="minorHAnsi" w:cstheme="minorHAnsi"/>
          <w:szCs w:val="22"/>
        </w:rPr>
        <w:t xml:space="preserve">. </w:t>
      </w:r>
      <w:r w:rsidRPr="001945AB">
        <w:rPr>
          <w:szCs w:val="22"/>
        </w:rPr>
        <w:t>They</w:t>
      </w:r>
      <w:r w:rsidRPr="003328F3">
        <w:rPr>
          <w:szCs w:val="22"/>
        </w:rPr>
        <w:t xml:space="preserve"> were significantly less likely to report that the </w:t>
      </w:r>
      <w:r>
        <w:rPr>
          <w:szCs w:val="22"/>
        </w:rPr>
        <w:t>internet</w:t>
      </w:r>
      <w:r w:rsidRPr="003328F3">
        <w:rPr>
          <w:szCs w:val="22"/>
        </w:rPr>
        <w:t xml:space="preserve"> ‘very much’ </w:t>
      </w:r>
      <w:r w:rsidRPr="003328F3">
        <w:rPr>
          <w:rFonts w:asciiTheme="minorHAnsi" w:hAnsiTheme="minorHAnsi" w:cstheme="minorHAnsi"/>
          <w:szCs w:val="22"/>
        </w:rPr>
        <w:t>gave them the kind of information they needed in relation to mental health</w:t>
      </w:r>
      <w:r w:rsidRPr="003328F3">
        <w:rPr>
          <w:szCs w:val="22"/>
        </w:rPr>
        <w:t xml:space="preserve"> compared to the Young and Well cohort (7.7%</w:t>
      </w:r>
      <w:r w:rsidR="00E80BF3">
        <w:rPr>
          <w:szCs w:val="22"/>
        </w:rPr>
        <w:t xml:space="preserve"> </w:t>
      </w:r>
      <w:r w:rsidRPr="003328F3">
        <w:rPr>
          <w:szCs w:val="22"/>
        </w:rPr>
        <w:t>compared to 41.2%).</w:t>
      </w:r>
    </w:p>
    <w:p w14:paraId="004C6B5C" w14:textId="77777777" w:rsidR="0033663C" w:rsidRDefault="0033663C" w:rsidP="0033663C">
      <w:pPr>
        <w:pStyle w:val="TableName"/>
      </w:pPr>
      <w:bookmarkStart w:id="1182" w:name="_Ref514912321"/>
      <w:bookmarkStart w:id="1183" w:name="_Toc528932369"/>
      <w:bookmarkStart w:id="1184" w:name="_Toc531858048"/>
      <w:r>
        <w:t xml:space="preserve">Table </w:t>
      </w:r>
      <w:r>
        <w:rPr>
          <w:noProof/>
        </w:rPr>
        <w:t>10</w:t>
      </w:r>
      <w:r>
        <w:t>.</w:t>
      </w:r>
      <w:r>
        <w:rPr>
          <w:noProof/>
        </w:rPr>
        <w:t>5</w:t>
      </w:r>
      <w:bookmarkEnd w:id="1182"/>
      <w:r>
        <w:tab/>
      </w:r>
      <w:r w:rsidRPr="003328F3">
        <w:t xml:space="preserve">Proportion of Transitioned ADF (aged </w:t>
      </w:r>
      <w:r>
        <w:t>18–25</w:t>
      </w:r>
      <w:r w:rsidRPr="003328F3">
        <w:t xml:space="preserve">) </w:t>
      </w:r>
      <w:r>
        <w:t>compared</w:t>
      </w:r>
      <w:r w:rsidRPr="003328F3">
        <w:t xml:space="preserve"> to the Young and Well cohort who reported getting the information they needed from the </w:t>
      </w:r>
      <w:r>
        <w:t>internet</w:t>
      </w:r>
      <w:r w:rsidRPr="003328F3">
        <w:t xml:space="preserve"> in relation to mental health</w:t>
      </w:r>
      <w:bookmarkEnd w:id="1183"/>
      <w:bookmarkEnd w:id="1184"/>
      <w:r w:rsidRPr="003328F3">
        <w:t xml:space="preserve"> </w:t>
      </w:r>
    </w:p>
    <w:tbl>
      <w:tblPr>
        <w:tblStyle w:val="TWRPTable"/>
        <w:tblW w:w="5000" w:type="pct"/>
        <w:tblLayout w:type="fixed"/>
        <w:tblCellMar>
          <w:left w:w="115" w:type="dxa"/>
          <w:right w:w="115" w:type="dxa"/>
        </w:tblCellMar>
        <w:tblLook w:val="01E0" w:firstRow="1" w:lastRow="1" w:firstColumn="1" w:lastColumn="1" w:noHBand="0" w:noVBand="0"/>
        <w:tblDescription w:val="Table 10.5 Proportion of Transitioned ADF (aged 18–25) compared to the Young and Well cohort who reported getting the information they needed from the internet in relation to mental health "/>
      </w:tblPr>
      <w:tblGrid>
        <w:gridCol w:w="1237"/>
        <w:gridCol w:w="526"/>
        <w:gridCol w:w="612"/>
        <w:gridCol w:w="788"/>
        <w:gridCol w:w="523"/>
        <w:gridCol w:w="612"/>
        <w:gridCol w:w="792"/>
        <w:gridCol w:w="518"/>
        <w:gridCol w:w="612"/>
        <w:gridCol w:w="869"/>
      </w:tblGrid>
      <w:tr w:rsidR="0033663C" w:rsidRPr="009443A0" w14:paraId="4AA80ECF" w14:textId="77777777" w:rsidTr="009443A0">
        <w:trPr>
          <w:cnfStyle w:val="100000000000" w:firstRow="1" w:lastRow="0" w:firstColumn="0" w:lastColumn="0" w:oddVBand="0" w:evenVBand="0" w:oddHBand="0" w:evenHBand="0" w:firstRowFirstColumn="0" w:firstRowLastColumn="0" w:lastRowFirstColumn="0" w:lastRowLastColumn="0"/>
          <w:cantSplit/>
          <w:tblHeader/>
        </w:trPr>
        <w:tc>
          <w:tcPr>
            <w:tcW w:w="1286" w:type="dxa"/>
            <w:tcBorders>
              <w:top w:val="single" w:sz="4" w:space="0" w:color="000000"/>
              <w:bottom w:val="nil"/>
            </w:tcBorders>
          </w:tcPr>
          <w:p w14:paraId="0EBF5EE6" w14:textId="77777777" w:rsidR="0033663C" w:rsidRPr="009443A0" w:rsidRDefault="0033663C" w:rsidP="0033663C">
            <w:pPr>
              <w:pStyle w:val="TableText"/>
              <w:rPr>
                <w:lang w:eastAsia="en-AU"/>
              </w:rPr>
            </w:pPr>
          </w:p>
        </w:tc>
        <w:tc>
          <w:tcPr>
            <w:tcW w:w="1984" w:type="dxa"/>
            <w:gridSpan w:val="3"/>
            <w:hideMark/>
          </w:tcPr>
          <w:p w14:paraId="5EA8530E" w14:textId="77777777" w:rsidR="0033663C" w:rsidRPr="009443A0" w:rsidRDefault="0033663C" w:rsidP="009443A0">
            <w:pPr>
              <w:pStyle w:val="TableText"/>
              <w:jc w:val="center"/>
              <w:rPr>
                <w:lang w:eastAsia="en-AU"/>
              </w:rPr>
            </w:pPr>
            <w:r w:rsidRPr="009443A0">
              <w:rPr>
                <w:bCs/>
                <w:lang w:eastAsia="en-AU"/>
              </w:rPr>
              <w:t>Transitioned ADF</w:t>
            </w:r>
            <w:r w:rsidR="009443A0" w:rsidRPr="009443A0">
              <w:rPr>
                <w:bCs/>
                <w:lang w:eastAsia="en-AU"/>
              </w:rPr>
              <w:br/>
            </w:r>
            <w:r w:rsidRPr="009443A0">
              <w:rPr>
                <w:bCs/>
                <w:lang w:eastAsia="en-AU"/>
              </w:rPr>
              <w:t>18–25 years</w:t>
            </w:r>
            <w:r w:rsidR="009443A0" w:rsidRPr="009443A0">
              <w:rPr>
                <w:bCs/>
                <w:lang w:eastAsia="en-AU"/>
              </w:rPr>
              <w:br/>
            </w:r>
            <w:r w:rsidRPr="009443A0">
              <w:rPr>
                <w:lang w:eastAsia="en-AU"/>
              </w:rPr>
              <w:t>n=720</w:t>
            </w:r>
          </w:p>
        </w:tc>
        <w:tc>
          <w:tcPr>
            <w:tcW w:w="1985" w:type="dxa"/>
            <w:gridSpan w:val="3"/>
            <w:hideMark/>
          </w:tcPr>
          <w:p w14:paraId="7A871C73" w14:textId="77777777" w:rsidR="0033663C" w:rsidRPr="009443A0" w:rsidRDefault="0033663C" w:rsidP="009443A0">
            <w:pPr>
              <w:pStyle w:val="TableText"/>
              <w:jc w:val="center"/>
              <w:rPr>
                <w:bCs/>
                <w:lang w:eastAsia="en-AU"/>
              </w:rPr>
            </w:pPr>
            <w:r w:rsidRPr="009443A0">
              <w:rPr>
                <w:rFonts w:cs="Arial"/>
              </w:rPr>
              <w:t>Young and Well cohort</w:t>
            </w:r>
            <w:r w:rsidR="009443A0" w:rsidRPr="009443A0">
              <w:rPr>
                <w:rFonts w:cs="Arial"/>
              </w:rPr>
              <w:br/>
            </w:r>
            <w:r w:rsidRPr="009443A0">
              <w:rPr>
                <w:rFonts w:cs="Arial"/>
              </w:rPr>
              <w:t>18–25 years</w:t>
            </w:r>
            <w:r w:rsidR="009443A0" w:rsidRPr="009443A0">
              <w:rPr>
                <w:rFonts w:cs="Arial"/>
              </w:rPr>
              <w:br/>
            </w:r>
            <w:r w:rsidRPr="009443A0">
              <w:rPr>
                <w:rFonts w:cs="Arial"/>
              </w:rPr>
              <w:t>n=490</w:t>
            </w:r>
          </w:p>
        </w:tc>
        <w:tc>
          <w:tcPr>
            <w:tcW w:w="2060" w:type="dxa"/>
            <w:gridSpan w:val="3"/>
            <w:hideMark/>
          </w:tcPr>
          <w:p w14:paraId="2C5B6E6D" w14:textId="77777777" w:rsidR="0033663C" w:rsidRPr="009443A0" w:rsidRDefault="0033663C" w:rsidP="0033663C">
            <w:pPr>
              <w:pStyle w:val="TableText"/>
              <w:jc w:val="center"/>
              <w:rPr>
                <w:bCs/>
                <w:lang w:eastAsia="en-AU"/>
              </w:rPr>
            </w:pPr>
            <w:r w:rsidRPr="009443A0">
              <w:rPr>
                <w:bCs/>
                <w:lang w:eastAsia="en-AU"/>
              </w:rPr>
              <w:t>Difference</w:t>
            </w:r>
          </w:p>
        </w:tc>
      </w:tr>
      <w:tr w:rsidR="009443A0" w:rsidRPr="009443A0" w14:paraId="3FE4C9E0" w14:textId="77777777" w:rsidTr="009443A0">
        <w:trPr>
          <w:cnfStyle w:val="100000000000" w:firstRow="1" w:lastRow="0" w:firstColumn="0" w:lastColumn="0" w:oddVBand="0" w:evenVBand="0" w:oddHBand="0" w:evenHBand="0" w:firstRowFirstColumn="0" w:firstRowLastColumn="0" w:lastRowFirstColumn="0" w:lastRowLastColumn="0"/>
          <w:cantSplit/>
          <w:tblHeader/>
        </w:trPr>
        <w:tc>
          <w:tcPr>
            <w:tcW w:w="1286" w:type="dxa"/>
            <w:tcBorders>
              <w:top w:val="nil"/>
            </w:tcBorders>
          </w:tcPr>
          <w:p w14:paraId="2C4CF26B" w14:textId="77777777" w:rsidR="0033663C" w:rsidRPr="009443A0" w:rsidRDefault="0033663C" w:rsidP="0033663C">
            <w:pPr>
              <w:pStyle w:val="TableText"/>
              <w:rPr>
                <w:rFonts w:eastAsia="GillSans"/>
                <w:lang w:eastAsia="en-AU"/>
              </w:rPr>
            </w:pPr>
          </w:p>
        </w:tc>
        <w:tc>
          <w:tcPr>
            <w:tcW w:w="540" w:type="dxa"/>
            <w:hideMark/>
          </w:tcPr>
          <w:p w14:paraId="1EFCB6D5" w14:textId="77777777" w:rsidR="0033663C" w:rsidRPr="009443A0" w:rsidRDefault="0033663C" w:rsidP="0033663C">
            <w:pPr>
              <w:pStyle w:val="TableText"/>
              <w:jc w:val="right"/>
              <w:rPr>
                <w:rFonts w:eastAsia="Times New Roman"/>
                <w:lang w:eastAsia="en-AU"/>
              </w:rPr>
            </w:pPr>
            <w:r w:rsidRPr="009443A0">
              <w:rPr>
                <w:lang w:eastAsia="en-AU"/>
              </w:rPr>
              <w:t>%</w:t>
            </w:r>
          </w:p>
        </w:tc>
        <w:tc>
          <w:tcPr>
            <w:tcW w:w="630" w:type="dxa"/>
            <w:hideMark/>
          </w:tcPr>
          <w:p w14:paraId="5FFED98D" w14:textId="77777777" w:rsidR="0033663C" w:rsidRPr="009443A0" w:rsidRDefault="0033663C" w:rsidP="0033663C">
            <w:pPr>
              <w:pStyle w:val="TableText"/>
              <w:jc w:val="right"/>
              <w:rPr>
                <w:lang w:eastAsia="en-AU"/>
              </w:rPr>
            </w:pPr>
            <w:r w:rsidRPr="009443A0">
              <w:rPr>
                <w:lang w:eastAsia="en-AU"/>
              </w:rPr>
              <w:t>SE</w:t>
            </w:r>
          </w:p>
        </w:tc>
        <w:tc>
          <w:tcPr>
            <w:tcW w:w="814" w:type="dxa"/>
            <w:hideMark/>
          </w:tcPr>
          <w:p w14:paraId="4EECDDB3" w14:textId="77777777" w:rsidR="0033663C" w:rsidRPr="009443A0" w:rsidRDefault="0033663C" w:rsidP="0033663C">
            <w:pPr>
              <w:pStyle w:val="TableText"/>
              <w:jc w:val="right"/>
              <w:rPr>
                <w:lang w:eastAsia="en-AU"/>
              </w:rPr>
            </w:pPr>
            <w:r w:rsidRPr="009443A0">
              <w:rPr>
                <w:lang w:eastAsia="en-AU"/>
              </w:rPr>
              <w:t>95% CI</w:t>
            </w:r>
          </w:p>
        </w:tc>
        <w:tc>
          <w:tcPr>
            <w:tcW w:w="536" w:type="dxa"/>
            <w:hideMark/>
          </w:tcPr>
          <w:p w14:paraId="7001EFF2" w14:textId="77777777" w:rsidR="0033663C" w:rsidRPr="009443A0" w:rsidRDefault="0033663C" w:rsidP="0033663C">
            <w:pPr>
              <w:pStyle w:val="TableText"/>
              <w:jc w:val="right"/>
              <w:rPr>
                <w:lang w:eastAsia="en-AU"/>
              </w:rPr>
            </w:pPr>
            <w:r w:rsidRPr="009443A0">
              <w:rPr>
                <w:lang w:eastAsia="en-AU"/>
              </w:rPr>
              <w:t>%</w:t>
            </w:r>
          </w:p>
        </w:tc>
        <w:tc>
          <w:tcPr>
            <w:tcW w:w="630" w:type="dxa"/>
          </w:tcPr>
          <w:p w14:paraId="155F018A" w14:textId="77777777" w:rsidR="0033663C" w:rsidRPr="009443A0" w:rsidRDefault="0033663C" w:rsidP="0033663C">
            <w:pPr>
              <w:pStyle w:val="TableText"/>
              <w:jc w:val="right"/>
              <w:rPr>
                <w:lang w:eastAsia="en-AU"/>
              </w:rPr>
            </w:pPr>
            <w:r w:rsidRPr="009443A0">
              <w:rPr>
                <w:lang w:eastAsia="en-AU"/>
              </w:rPr>
              <w:t>SE</w:t>
            </w:r>
          </w:p>
        </w:tc>
        <w:tc>
          <w:tcPr>
            <w:tcW w:w="819" w:type="dxa"/>
          </w:tcPr>
          <w:p w14:paraId="78CAD0E3" w14:textId="77777777" w:rsidR="0033663C" w:rsidRPr="009443A0" w:rsidRDefault="0033663C" w:rsidP="0033663C">
            <w:pPr>
              <w:pStyle w:val="TableText"/>
              <w:jc w:val="right"/>
              <w:rPr>
                <w:lang w:eastAsia="en-AU"/>
              </w:rPr>
            </w:pPr>
            <w:r w:rsidRPr="009443A0">
              <w:rPr>
                <w:lang w:eastAsia="en-AU"/>
              </w:rPr>
              <w:t>95% CI</w:t>
            </w:r>
          </w:p>
        </w:tc>
        <w:tc>
          <w:tcPr>
            <w:tcW w:w="531" w:type="dxa"/>
            <w:hideMark/>
          </w:tcPr>
          <w:p w14:paraId="17BC98CA" w14:textId="77777777" w:rsidR="0033663C" w:rsidRPr="009443A0" w:rsidRDefault="0033663C" w:rsidP="0033663C">
            <w:pPr>
              <w:pStyle w:val="TableText"/>
              <w:jc w:val="right"/>
              <w:rPr>
                <w:lang w:eastAsia="en-AU"/>
              </w:rPr>
            </w:pPr>
            <w:r w:rsidRPr="009443A0">
              <w:rPr>
                <w:lang w:eastAsia="en-AU"/>
              </w:rPr>
              <w:t>%</w:t>
            </w:r>
          </w:p>
        </w:tc>
        <w:tc>
          <w:tcPr>
            <w:tcW w:w="630" w:type="dxa"/>
            <w:hideMark/>
          </w:tcPr>
          <w:p w14:paraId="393E4ED5" w14:textId="77777777" w:rsidR="0033663C" w:rsidRPr="009443A0" w:rsidRDefault="0033663C" w:rsidP="0033663C">
            <w:pPr>
              <w:pStyle w:val="TableText"/>
              <w:jc w:val="right"/>
              <w:rPr>
                <w:lang w:eastAsia="en-AU"/>
              </w:rPr>
            </w:pPr>
            <w:r w:rsidRPr="009443A0">
              <w:rPr>
                <w:lang w:eastAsia="en-AU"/>
              </w:rPr>
              <w:t>SE</w:t>
            </w:r>
          </w:p>
        </w:tc>
        <w:tc>
          <w:tcPr>
            <w:tcW w:w="899" w:type="dxa"/>
            <w:hideMark/>
          </w:tcPr>
          <w:p w14:paraId="266305DE" w14:textId="77777777" w:rsidR="0033663C" w:rsidRPr="009443A0" w:rsidRDefault="0033663C" w:rsidP="0033663C">
            <w:pPr>
              <w:pStyle w:val="TableText"/>
              <w:jc w:val="right"/>
              <w:rPr>
                <w:lang w:eastAsia="en-AU"/>
              </w:rPr>
            </w:pPr>
            <w:r w:rsidRPr="009443A0">
              <w:rPr>
                <w:lang w:eastAsia="en-AU"/>
              </w:rPr>
              <w:t>95% CI</w:t>
            </w:r>
          </w:p>
        </w:tc>
      </w:tr>
      <w:tr w:rsidR="009443A0" w:rsidRPr="003328F3" w14:paraId="22CEF227" w14:textId="77777777" w:rsidTr="009443A0">
        <w:trPr>
          <w:cnfStyle w:val="000000100000" w:firstRow="0" w:lastRow="0" w:firstColumn="0" w:lastColumn="0" w:oddVBand="0" w:evenVBand="0" w:oddHBand="1" w:evenHBand="0" w:firstRowFirstColumn="0" w:firstRowLastColumn="0" w:lastRowFirstColumn="0" w:lastRowLastColumn="0"/>
          <w:cantSplit/>
        </w:trPr>
        <w:tc>
          <w:tcPr>
            <w:tcW w:w="1286" w:type="dxa"/>
            <w:hideMark/>
          </w:tcPr>
          <w:p w14:paraId="47216101" w14:textId="77777777" w:rsidR="0033663C" w:rsidRPr="003328F3" w:rsidRDefault="0033663C" w:rsidP="0033663C">
            <w:pPr>
              <w:pStyle w:val="TableText"/>
              <w:rPr>
                <w:rFonts w:cs="Arial"/>
              </w:rPr>
            </w:pPr>
            <w:r w:rsidRPr="003328F3">
              <w:rPr>
                <w:rFonts w:cs="Arial"/>
              </w:rPr>
              <w:t>Not at all</w:t>
            </w:r>
          </w:p>
        </w:tc>
        <w:tc>
          <w:tcPr>
            <w:tcW w:w="540" w:type="dxa"/>
          </w:tcPr>
          <w:p w14:paraId="669339E7" w14:textId="77777777" w:rsidR="0033663C" w:rsidRPr="003328F3" w:rsidRDefault="0033663C" w:rsidP="0033663C">
            <w:pPr>
              <w:pStyle w:val="TableText"/>
              <w:jc w:val="right"/>
            </w:pPr>
            <w:r w:rsidRPr="003328F3">
              <w:t>15.4</w:t>
            </w:r>
          </w:p>
        </w:tc>
        <w:tc>
          <w:tcPr>
            <w:tcW w:w="630" w:type="dxa"/>
          </w:tcPr>
          <w:p w14:paraId="39214B41" w14:textId="77777777" w:rsidR="0033663C" w:rsidRPr="003328F3" w:rsidRDefault="0033663C" w:rsidP="0033663C">
            <w:pPr>
              <w:pStyle w:val="TableText"/>
              <w:jc w:val="right"/>
            </w:pPr>
            <w:r w:rsidRPr="003328F3">
              <w:t>5.9</w:t>
            </w:r>
          </w:p>
        </w:tc>
        <w:tc>
          <w:tcPr>
            <w:tcW w:w="814" w:type="dxa"/>
          </w:tcPr>
          <w:p w14:paraId="4D50CB83" w14:textId="77777777" w:rsidR="0033663C" w:rsidRPr="003328F3" w:rsidRDefault="0033663C" w:rsidP="0033663C">
            <w:pPr>
              <w:pStyle w:val="TableText"/>
              <w:jc w:val="right"/>
            </w:pPr>
            <w:r w:rsidRPr="003328F3">
              <w:t>7.0, 30.5</w:t>
            </w:r>
          </w:p>
        </w:tc>
        <w:tc>
          <w:tcPr>
            <w:tcW w:w="536" w:type="dxa"/>
          </w:tcPr>
          <w:p w14:paraId="2F9C44B2" w14:textId="77777777" w:rsidR="0033663C" w:rsidRPr="003328F3" w:rsidRDefault="0033663C" w:rsidP="0033663C">
            <w:pPr>
              <w:pStyle w:val="TableText"/>
              <w:jc w:val="right"/>
            </w:pPr>
            <w:r w:rsidRPr="003328F3">
              <w:t>1.2</w:t>
            </w:r>
          </w:p>
        </w:tc>
        <w:tc>
          <w:tcPr>
            <w:tcW w:w="630" w:type="dxa"/>
          </w:tcPr>
          <w:p w14:paraId="19042DEB" w14:textId="77777777" w:rsidR="0033663C" w:rsidRPr="003328F3" w:rsidRDefault="0033663C" w:rsidP="0033663C">
            <w:pPr>
              <w:pStyle w:val="TableText"/>
              <w:jc w:val="right"/>
            </w:pPr>
            <w:r w:rsidRPr="003328F3">
              <w:t>0.8</w:t>
            </w:r>
          </w:p>
        </w:tc>
        <w:tc>
          <w:tcPr>
            <w:tcW w:w="819" w:type="dxa"/>
          </w:tcPr>
          <w:p w14:paraId="50624E43" w14:textId="77777777" w:rsidR="0033663C" w:rsidRPr="003328F3" w:rsidRDefault="0033663C" w:rsidP="0033663C">
            <w:pPr>
              <w:pStyle w:val="TableText"/>
              <w:jc w:val="right"/>
            </w:pPr>
            <w:r>
              <w:rPr>
                <w:rFonts w:eastAsia="Times New Roman"/>
                <w:bCs/>
                <w:color w:val="000000" w:themeColor="text1"/>
              </w:rPr>
              <w:t>–</w:t>
            </w:r>
            <w:r w:rsidRPr="003328F3">
              <w:t>0.3, 2.7</w:t>
            </w:r>
          </w:p>
        </w:tc>
        <w:tc>
          <w:tcPr>
            <w:tcW w:w="531" w:type="dxa"/>
          </w:tcPr>
          <w:p w14:paraId="66613B87" w14:textId="77777777" w:rsidR="0033663C" w:rsidRPr="003328F3" w:rsidRDefault="0033663C" w:rsidP="0033663C">
            <w:pPr>
              <w:pStyle w:val="TableText"/>
              <w:jc w:val="right"/>
            </w:pPr>
            <w:r w:rsidRPr="003328F3">
              <w:t>15.4</w:t>
            </w:r>
          </w:p>
        </w:tc>
        <w:tc>
          <w:tcPr>
            <w:tcW w:w="630" w:type="dxa"/>
          </w:tcPr>
          <w:p w14:paraId="3B35860E" w14:textId="77777777" w:rsidR="0033663C" w:rsidRPr="003328F3" w:rsidRDefault="0033663C" w:rsidP="0033663C">
            <w:pPr>
              <w:pStyle w:val="TableText"/>
              <w:jc w:val="right"/>
            </w:pPr>
            <w:r w:rsidRPr="003328F3">
              <w:t>5.9</w:t>
            </w:r>
          </w:p>
        </w:tc>
        <w:tc>
          <w:tcPr>
            <w:tcW w:w="899" w:type="dxa"/>
          </w:tcPr>
          <w:p w14:paraId="0F64A307" w14:textId="77777777" w:rsidR="0033663C" w:rsidRPr="003328F3" w:rsidRDefault="0033663C" w:rsidP="0033663C">
            <w:pPr>
              <w:pStyle w:val="TableText"/>
              <w:jc w:val="right"/>
            </w:pPr>
            <w:r w:rsidRPr="003328F3">
              <w:t>7.0, 30.5</w:t>
            </w:r>
          </w:p>
        </w:tc>
      </w:tr>
      <w:tr w:rsidR="009443A0" w:rsidRPr="003328F3" w14:paraId="67E7F36E" w14:textId="77777777" w:rsidTr="009443A0">
        <w:trPr>
          <w:cantSplit/>
        </w:trPr>
        <w:tc>
          <w:tcPr>
            <w:tcW w:w="1286" w:type="dxa"/>
            <w:hideMark/>
          </w:tcPr>
          <w:p w14:paraId="782C74E4" w14:textId="77777777" w:rsidR="0033663C" w:rsidRPr="003328F3" w:rsidRDefault="0033663C" w:rsidP="0033663C">
            <w:pPr>
              <w:pStyle w:val="TableText"/>
              <w:rPr>
                <w:rFonts w:cs="Arial"/>
              </w:rPr>
            </w:pPr>
            <w:r w:rsidRPr="003328F3">
              <w:rPr>
                <w:rFonts w:cs="Arial"/>
              </w:rPr>
              <w:t>Somewhat</w:t>
            </w:r>
          </w:p>
        </w:tc>
        <w:tc>
          <w:tcPr>
            <w:tcW w:w="540" w:type="dxa"/>
          </w:tcPr>
          <w:p w14:paraId="5C8D4DE8" w14:textId="77777777" w:rsidR="0033663C" w:rsidRPr="003328F3" w:rsidRDefault="0033663C" w:rsidP="0033663C">
            <w:pPr>
              <w:pStyle w:val="TableText"/>
              <w:jc w:val="right"/>
            </w:pPr>
            <w:r w:rsidRPr="003328F3">
              <w:t>76.9</w:t>
            </w:r>
          </w:p>
        </w:tc>
        <w:tc>
          <w:tcPr>
            <w:tcW w:w="630" w:type="dxa"/>
          </w:tcPr>
          <w:p w14:paraId="33F29985" w14:textId="77777777" w:rsidR="0033663C" w:rsidRPr="003328F3" w:rsidRDefault="0033663C" w:rsidP="0033663C">
            <w:pPr>
              <w:pStyle w:val="TableText"/>
              <w:jc w:val="right"/>
            </w:pPr>
            <w:r w:rsidRPr="003328F3">
              <w:t>6.5</w:t>
            </w:r>
          </w:p>
        </w:tc>
        <w:tc>
          <w:tcPr>
            <w:tcW w:w="814" w:type="dxa"/>
          </w:tcPr>
          <w:p w14:paraId="7CF84DCB" w14:textId="77777777" w:rsidR="0033663C" w:rsidRPr="003328F3" w:rsidRDefault="0033663C" w:rsidP="0033663C">
            <w:pPr>
              <w:pStyle w:val="TableText"/>
              <w:jc w:val="right"/>
            </w:pPr>
            <w:r w:rsidRPr="003328F3">
              <w:t>62.0, 87.2</w:t>
            </w:r>
          </w:p>
        </w:tc>
        <w:tc>
          <w:tcPr>
            <w:tcW w:w="536" w:type="dxa"/>
          </w:tcPr>
          <w:p w14:paraId="5CCD53B7" w14:textId="77777777" w:rsidR="0033663C" w:rsidRPr="003328F3" w:rsidRDefault="0033663C" w:rsidP="0033663C">
            <w:pPr>
              <w:pStyle w:val="TableText"/>
              <w:jc w:val="right"/>
            </w:pPr>
            <w:r w:rsidRPr="003328F3">
              <w:t>54.8</w:t>
            </w:r>
          </w:p>
        </w:tc>
        <w:tc>
          <w:tcPr>
            <w:tcW w:w="630" w:type="dxa"/>
          </w:tcPr>
          <w:p w14:paraId="4C116DC5" w14:textId="77777777" w:rsidR="0033663C" w:rsidRPr="003328F3" w:rsidRDefault="0033663C" w:rsidP="0033663C">
            <w:pPr>
              <w:pStyle w:val="TableText"/>
              <w:jc w:val="right"/>
            </w:pPr>
            <w:r w:rsidRPr="003328F3">
              <w:t>4.0</w:t>
            </w:r>
          </w:p>
        </w:tc>
        <w:tc>
          <w:tcPr>
            <w:tcW w:w="819" w:type="dxa"/>
          </w:tcPr>
          <w:p w14:paraId="53ACF3AF" w14:textId="77777777" w:rsidR="0033663C" w:rsidRPr="003328F3" w:rsidRDefault="0033663C" w:rsidP="0033663C">
            <w:pPr>
              <w:pStyle w:val="TableText"/>
              <w:jc w:val="right"/>
            </w:pPr>
            <w:r w:rsidRPr="003328F3">
              <w:t>47.0, 62.7</w:t>
            </w:r>
          </w:p>
        </w:tc>
        <w:tc>
          <w:tcPr>
            <w:tcW w:w="531" w:type="dxa"/>
          </w:tcPr>
          <w:p w14:paraId="2D0D679A" w14:textId="77777777" w:rsidR="0033663C" w:rsidRPr="003328F3" w:rsidRDefault="0033663C" w:rsidP="0033663C">
            <w:pPr>
              <w:pStyle w:val="TableText"/>
              <w:jc w:val="right"/>
            </w:pPr>
            <w:r w:rsidRPr="003328F3">
              <w:t>22.1</w:t>
            </w:r>
          </w:p>
        </w:tc>
        <w:tc>
          <w:tcPr>
            <w:tcW w:w="630" w:type="dxa"/>
          </w:tcPr>
          <w:p w14:paraId="764C4F6A" w14:textId="77777777" w:rsidR="0033663C" w:rsidRPr="003328F3" w:rsidRDefault="0033663C" w:rsidP="0033663C">
            <w:pPr>
              <w:pStyle w:val="TableText"/>
              <w:jc w:val="right"/>
            </w:pPr>
            <w:r w:rsidRPr="003328F3">
              <w:t>7.6</w:t>
            </w:r>
          </w:p>
        </w:tc>
        <w:tc>
          <w:tcPr>
            <w:tcW w:w="899" w:type="dxa"/>
          </w:tcPr>
          <w:p w14:paraId="688F98DB" w14:textId="77777777" w:rsidR="0033663C" w:rsidRPr="003328F3" w:rsidRDefault="0033663C" w:rsidP="0033663C">
            <w:pPr>
              <w:pStyle w:val="TableText"/>
              <w:jc w:val="right"/>
            </w:pPr>
            <w:r w:rsidRPr="003328F3">
              <w:t>7.2, 37.0</w:t>
            </w:r>
          </w:p>
        </w:tc>
      </w:tr>
      <w:tr w:rsidR="009443A0" w:rsidRPr="003328F3" w14:paraId="7766B9E4" w14:textId="77777777" w:rsidTr="009443A0">
        <w:trPr>
          <w:cnfStyle w:val="000000100000" w:firstRow="0" w:lastRow="0" w:firstColumn="0" w:lastColumn="0" w:oddVBand="0" w:evenVBand="0" w:oddHBand="1" w:evenHBand="0" w:firstRowFirstColumn="0" w:firstRowLastColumn="0" w:lastRowFirstColumn="0" w:lastRowLastColumn="0"/>
          <w:cantSplit/>
        </w:trPr>
        <w:tc>
          <w:tcPr>
            <w:tcW w:w="1286" w:type="dxa"/>
          </w:tcPr>
          <w:p w14:paraId="4872B60D" w14:textId="77777777" w:rsidR="0033663C" w:rsidRPr="003328F3" w:rsidRDefault="0033663C" w:rsidP="0033663C">
            <w:pPr>
              <w:pStyle w:val="TableText"/>
            </w:pPr>
            <w:r w:rsidRPr="003328F3">
              <w:rPr>
                <w:rFonts w:cs="Arial"/>
              </w:rPr>
              <w:t>Very much</w:t>
            </w:r>
          </w:p>
        </w:tc>
        <w:tc>
          <w:tcPr>
            <w:tcW w:w="540" w:type="dxa"/>
          </w:tcPr>
          <w:p w14:paraId="73BEEA8F" w14:textId="77777777" w:rsidR="0033663C" w:rsidRPr="003328F3" w:rsidRDefault="0033663C" w:rsidP="0033663C">
            <w:pPr>
              <w:pStyle w:val="TableText"/>
              <w:jc w:val="right"/>
            </w:pPr>
            <w:r w:rsidRPr="003328F3">
              <w:t>7.7</w:t>
            </w:r>
          </w:p>
        </w:tc>
        <w:tc>
          <w:tcPr>
            <w:tcW w:w="630" w:type="dxa"/>
          </w:tcPr>
          <w:p w14:paraId="7E3967FB" w14:textId="77777777" w:rsidR="0033663C" w:rsidRPr="003328F3" w:rsidRDefault="0033663C" w:rsidP="0033663C">
            <w:pPr>
              <w:pStyle w:val="TableText"/>
              <w:jc w:val="right"/>
            </w:pPr>
            <w:r w:rsidRPr="003328F3">
              <w:t>3.5</w:t>
            </w:r>
          </w:p>
        </w:tc>
        <w:tc>
          <w:tcPr>
            <w:tcW w:w="814" w:type="dxa"/>
          </w:tcPr>
          <w:p w14:paraId="7B570815" w14:textId="77777777" w:rsidR="0033663C" w:rsidRPr="003328F3" w:rsidRDefault="0033663C" w:rsidP="0033663C">
            <w:pPr>
              <w:pStyle w:val="TableText"/>
              <w:jc w:val="right"/>
            </w:pPr>
            <w:r w:rsidRPr="003328F3">
              <w:t>3.1, 17.8</w:t>
            </w:r>
          </w:p>
        </w:tc>
        <w:tc>
          <w:tcPr>
            <w:tcW w:w="536" w:type="dxa"/>
          </w:tcPr>
          <w:p w14:paraId="54DE103A" w14:textId="77777777" w:rsidR="0033663C" w:rsidRPr="003328F3" w:rsidRDefault="0033663C" w:rsidP="0033663C">
            <w:pPr>
              <w:pStyle w:val="TableText"/>
              <w:jc w:val="right"/>
            </w:pPr>
            <w:r w:rsidRPr="003328F3">
              <w:t>41.2</w:t>
            </w:r>
          </w:p>
        </w:tc>
        <w:tc>
          <w:tcPr>
            <w:tcW w:w="630" w:type="dxa"/>
          </w:tcPr>
          <w:p w14:paraId="662171FC" w14:textId="77777777" w:rsidR="0033663C" w:rsidRPr="003328F3" w:rsidRDefault="0033663C" w:rsidP="0033663C">
            <w:pPr>
              <w:pStyle w:val="TableText"/>
              <w:jc w:val="right"/>
            </w:pPr>
            <w:r w:rsidRPr="003328F3">
              <w:t>4.0</w:t>
            </w:r>
          </w:p>
        </w:tc>
        <w:tc>
          <w:tcPr>
            <w:tcW w:w="819" w:type="dxa"/>
          </w:tcPr>
          <w:p w14:paraId="2C1EC67C" w14:textId="77777777" w:rsidR="0033663C" w:rsidRPr="003328F3" w:rsidRDefault="0033663C" w:rsidP="0033663C">
            <w:pPr>
              <w:pStyle w:val="TableText"/>
              <w:jc w:val="right"/>
            </w:pPr>
            <w:r w:rsidRPr="003328F3">
              <w:t>33.4, 49.0</w:t>
            </w:r>
          </w:p>
        </w:tc>
        <w:tc>
          <w:tcPr>
            <w:tcW w:w="531" w:type="dxa"/>
          </w:tcPr>
          <w:p w14:paraId="33B15924" w14:textId="77777777" w:rsidR="0033663C" w:rsidRPr="003328F3" w:rsidRDefault="0033663C" w:rsidP="0033663C">
            <w:pPr>
              <w:pStyle w:val="TableText"/>
              <w:jc w:val="right"/>
            </w:pPr>
            <w:r>
              <w:rPr>
                <w:rFonts w:eastAsia="Times New Roman"/>
                <w:bCs/>
                <w:color w:val="000000" w:themeColor="text1"/>
              </w:rPr>
              <w:t>–</w:t>
            </w:r>
            <w:r w:rsidRPr="003328F3">
              <w:t>33.5</w:t>
            </w:r>
          </w:p>
        </w:tc>
        <w:tc>
          <w:tcPr>
            <w:tcW w:w="630" w:type="dxa"/>
          </w:tcPr>
          <w:p w14:paraId="35B5889B" w14:textId="77777777" w:rsidR="0033663C" w:rsidRPr="003328F3" w:rsidRDefault="0033663C" w:rsidP="0033663C">
            <w:pPr>
              <w:pStyle w:val="TableText"/>
              <w:jc w:val="right"/>
            </w:pPr>
            <w:r w:rsidRPr="003328F3">
              <w:t>5.3</w:t>
            </w:r>
          </w:p>
        </w:tc>
        <w:tc>
          <w:tcPr>
            <w:tcW w:w="899" w:type="dxa"/>
          </w:tcPr>
          <w:p w14:paraId="10466393" w14:textId="77777777" w:rsidR="0033663C" w:rsidRPr="003328F3" w:rsidRDefault="0033663C" w:rsidP="0033663C">
            <w:pPr>
              <w:pStyle w:val="TableText"/>
              <w:jc w:val="right"/>
            </w:pPr>
            <w:r>
              <w:rPr>
                <w:rFonts w:eastAsia="Times New Roman"/>
                <w:bCs/>
                <w:color w:val="000000" w:themeColor="text1"/>
              </w:rPr>
              <w:t>–</w:t>
            </w:r>
            <w:r w:rsidRPr="003328F3">
              <w:t xml:space="preserve">43.9, </w:t>
            </w:r>
            <w:r>
              <w:rPr>
                <w:rFonts w:eastAsia="Times New Roman"/>
                <w:bCs/>
                <w:color w:val="000000" w:themeColor="text1"/>
              </w:rPr>
              <w:t>–</w:t>
            </w:r>
            <w:r w:rsidRPr="003328F3">
              <w:t>23.2</w:t>
            </w:r>
          </w:p>
        </w:tc>
      </w:tr>
      <w:tr w:rsidR="009443A0" w:rsidRPr="003328F3" w14:paraId="3CB2C5A7" w14:textId="77777777" w:rsidTr="009443A0">
        <w:trPr>
          <w:cnfStyle w:val="010000000000" w:firstRow="0" w:lastRow="1" w:firstColumn="0" w:lastColumn="0" w:oddVBand="0" w:evenVBand="0" w:oddHBand="0" w:evenHBand="0" w:firstRowFirstColumn="0" w:firstRowLastColumn="0" w:lastRowFirstColumn="0" w:lastRowLastColumn="0"/>
          <w:cantSplit/>
        </w:trPr>
        <w:tc>
          <w:tcPr>
            <w:tcW w:w="1286" w:type="dxa"/>
          </w:tcPr>
          <w:p w14:paraId="3AF66893" w14:textId="77777777" w:rsidR="0033663C" w:rsidRPr="003328F3" w:rsidRDefault="0033663C" w:rsidP="0033663C">
            <w:pPr>
              <w:pStyle w:val="TableText"/>
              <w:rPr>
                <w:rFonts w:cs="Arial"/>
              </w:rPr>
            </w:pPr>
            <w:r w:rsidRPr="003328F3">
              <w:rPr>
                <w:rFonts w:cs="Arial"/>
              </w:rPr>
              <w:t>Don’t know</w:t>
            </w:r>
            <w:r>
              <w:rPr>
                <w:rFonts w:cs="Arial"/>
                <w:vertAlign w:val="superscript"/>
              </w:rPr>
              <w:t>*</w:t>
            </w:r>
          </w:p>
        </w:tc>
        <w:tc>
          <w:tcPr>
            <w:tcW w:w="540" w:type="dxa"/>
          </w:tcPr>
          <w:p w14:paraId="1A1695EA" w14:textId="77777777" w:rsidR="0033663C" w:rsidRPr="003328F3" w:rsidRDefault="0033663C" w:rsidP="0033663C">
            <w:pPr>
              <w:pStyle w:val="TableText"/>
              <w:jc w:val="right"/>
            </w:pPr>
            <w:r w:rsidRPr="003328F3">
              <w:t>0.0</w:t>
            </w:r>
          </w:p>
        </w:tc>
        <w:tc>
          <w:tcPr>
            <w:tcW w:w="630" w:type="dxa"/>
          </w:tcPr>
          <w:p w14:paraId="6F81E28F" w14:textId="77777777" w:rsidR="0033663C" w:rsidRPr="003328F3" w:rsidRDefault="0033663C" w:rsidP="0033663C">
            <w:pPr>
              <w:pStyle w:val="TableText"/>
              <w:jc w:val="right"/>
            </w:pPr>
            <w:r>
              <w:t>–</w:t>
            </w:r>
          </w:p>
        </w:tc>
        <w:tc>
          <w:tcPr>
            <w:tcW w:w="814" w:type="dxa"/>
          </w:tcPr>
          <w:p w14:paraId="64DD7CC3" w14:textId="77777777" w:rsidR="0033663C" w:rsidRPr="003328F3" w:rsidRDefault="0033663C" w:rsidP="0033663C">
            <w:pPr>
              <w:pStyle w:val="TableText"/>
              <w:jc w:val="right"/>
            </w:pPr>
            <w:r>
              <w:t>–</w:t>
            </w:r>
          </w:p>
        </w:tc>
        <w:tc>
          <w:tcPr>
            <w:tcW w:w="536" w:type="dxa"/>
          </w:tcPr>
          <w:p w14:paraId="20082593" w14:textId="77777777" w:rsidR="0033663C" w:rsidRPr="003328F3" w:rsidRDefault="0033663C" w:rsidP="0033663C">
            <w:pPr>
              <w:pStyle w:val="TableText"/>
              <w:jc w:val="right"/>
            </w:pPr>
            <w:r w:rsidRPr="003328F3">
              <w:t>1.9</w:t>
            </w:r>
          </w:p>
        </w:tc>
        <w:tc>
          <w:tcPr>
            <w:tcW w:w="630" w:type="dxa"/>
          </w:tcPr>
          <w:p w14:paraId="73963EFB" w14:textId="77777777" w:rsidR="0033663C" w:rsidRPr="003328F3" w:rsidRDefault="0033663C" w:rsidP="0033663C">
            <w:pPr>
              <w:pStyle w:val="TableText"/>
              <w:jc w:val="right"/>
            </w:pPr>
            <w:r w:rsidRPr="003328F3">
              <w:t>1.2</w:t>
            </w:r>
          </w:p>
        </w:tc>
        <w:tc>
          <w:tcPr>
            <w:tcW w:w="819" w:type="dxa"/>
          </w:tcPr>
          <w:p w14:paraId="65FB276E" w14:textId="77777777" w:rsidR="0033663C" w:rsidRPr="003328F3" w:rsidRDefault="0033663C" w:rsidP="0033663C">
            <w:pPr>
              <w:pStyle w:val="TableText"/>
              <w:jc w:val="right"/>
            </w:pPr>
            <w:r>
              <w:rPr>
                <w:rFonts w:eastAsia="Times New Roman"/>
                <w:bCs/>
                <w:color w:val="000000" w:themeColor="text1"/>
              </w:rPr>
              <w:t>–</w:t>
            </w:r>
            <w:r w:rsidRPr="003328F3">
              <w:t>0.5, 4.3</w:t>
            </w:r>
          </w:p>
        </w:tc>
        <w:tc>
          <w:tcPr>
            <w:tcW w:w="531" w:type="dxa"/>
          </w:tcPr>
          <w:p w14:paraId="6F2497BA" w14:textId="77777777" w:rsidR="0033663C" w:rsidRPr="003328F3" w:rsidRDefault="0033663C" w:rsidP="0033663C">
            <w:pPr>
              <w:pStyle w:val="TableText"/>
              <w:jc w:val="right"/>
            </w:pPr>
            <w:r>
              <w:rPr>
                <w:rFonts w:eastAsia="Times New Roman"/>
                <w:bCs/>
                <w:color w:val="000000" w:themeColor="text1"/>
              </w:rPr>
              <w:t>–</w:t>
            </w:r>
            <w:r w:rsidRPr="003328F3">
              <w:t>1.9</w:t>
            </w:r>
          </w:p>
        </w:tc>
        <w:tc>
          <w:tcPr>
            <w:tcW w:w="630" w:type="dxa"/>
          </w:tcPr>
          <w:p w14:paraId="69DDA292" w14:textId="77777777" w:rsidR="0033663C" w:rsidRPr="003328F3" w:rsidRDefault="0033663C" w:rsidP="0033663C">
            <w:pPr>
              <w:pStyle w:val="TableText"/>
              <w:jc w:val="right"/>
            </w:pPr>
            <w:r w:rsidRPr="003328F3">
              <w:t>1.2</w:t>
            </w:r>
          </w:p>
        </w:tc>
        <w:tc>
          <w:tcPr>
            <w:tcW w:w="899" w:type="dxa"/>
          </w:tcPr>
          <w:p w14:paraId="76B2995F" w14:textId="77777777" w:rsidR="0033663C" w:rsidRPr="003328F3" w:rsidRDefault="0033663C" w:rsidP="0033663C">
            <w:pPr>
              <w:pStyle w:val="TableText"/>
              <w:jc w:val="right"/>
            </w:pPr>
            <w:r>
              <w:rPr>
                <w:rFonts w:eastAsia="Times New Roman"/>
                <w:bCs/>
                <w:color w:val="000000" w:themeColor="text1"/>
              </w:rPr>
              <w:t>–</w:t>
            </w:r>
            <w:r w:rsidRPr="003328F3">
              <w:t>4.3, 0.5</w:t>
            </w:r>
          </w:p>
        </w:tc>
      </w:tr>
    </w:tbl>
    <w:p w14:paraId="31556020" w14:textId="77777777" w:rsidR="0033663C" w:rsidRPr="008A51EB" w:rsidRDefault="0033663C" w:rsidP="0033663C">
      <w:pPr>
        <w:pStyle w:val="TableNotes"/>
      </w:pPr>
      <w:r>
        <w:rPr>
          <w:vertAlign w:val="superscript"/>
        </w:rPr>
        <w:t>*</w:t>
      </w:r>
      <w:r w:rsidRPr="008A51EB">
        <w:t>Only the Young and Well participants had the option of responding ‘Don’t know’.</w:t>
      </w:r>
    </w:p>
    <w:p w14:paraId="335577E7" w14:textId="77777777" w:rsidR="0033663C" w:rsidRPr="006A3EA0" w:rsidRDefault="0033663C" w:rsidP="0033663C">
      <w:pPr>
        <w:pStyle w:val="TableNotes"/>
        <w:rPr>
          <w:b/>
        </w:rPr>
      </w:pPr>
      <w:r>
        <w:rPr>
          <w:b/>
        </w:rPr>
        <w:t>Notes</w:t>
      </w:r>
    </w:p>
    <w:p w14:paraId="70E5AF4F" w14:textId="77777777" w:rsidR="0033663C" w:rsidRDefault="0033663C" w:rsidP="0033663C">
      <w:pPr>
        <w:pStyle w:val="TableNotes"/>
      </w:pPr>
      <w:r w:rsidRPr="008A51EB">
        <w:t xml:space="preserve">Denominator: Transitioned ADF </w:t>
      </w:r>
      <w:r>
        <w:t>18–25</w:t>
      </w:r>
      <w:r w:rsidRPr="008A51EB">
        <w:t xml:space="preserve"> years and Young and Well </w:t>
      </w:r>
      <w:r>
        <w:t>18–25</w:t>
      </w:r>
      <w:r w:rsidRPr="008A51EB">
        <w:t xml:space="preserve"> years cohorts who used the </w:t>
      </w:r>
      <w:r>
        <w:t>internet</w:t>
      </w:r>
      <w:r w:rsidRPr="008A51EB">
        <w:t xml:space="preserve"> for mental health issues</w:t>
      </w:r>
      <w:r>
        <w:t>.</w:t>
      </w:r>
    </w:p>
    <w:p w14:paraId="36835419" w14:textId="77777777" w:rsidR="0033663C" w:rsidRPr="008A51EB" w:rsidRDefault="0033663C" w:rsidP="0033663C">
      <w:pPr>
        <w:pStyle w:val="TableNotes"/>
      </w:pPr>
      <w:r w:rsidRPr="008A51EB">
        <w:t xml:space="preserve">Note: </w:t>
      </w:r>
      <w:r>
        <w:t>There were no</w:t>
      </w:r>
      <w:r w:rsidRPr="008A51EB">
        <w:t xml:space="preserve"> m</w:t>
      </w:r>
      <w:r>
        <w:t>issing values for this question.</w:t>
      </w:r>
    </w:p>
    <w:p w14:paraId="673E1A39" w14:textId="77777777" w:rsidR="0033663C" w:rsidRDefault="0033663C" w:rsidP="0033663C">
      <w:pPr>
        <w:pStyle w:val="TableNotes"/>
      </w:pPr>
      <w:r>
        <w:t>95%CI = 95% confidence interval.</w:t>
      </w:r>
    </w:p>
    <w:p w14:paraId="5480E010" w14:textId="77777777" w:rsidR="0033663C" w:rsidRDefault="0033663C" w:rsidP="0033663C">
      <w:pPr>
        <w:pStyle w:val="FigureName"/>
        <w:rPr>
          <w:rFonts w:asciiTheme="minorHAnsi" w:hAnsiTheme="minorHAnsi"/>
          <w:lang w:eastAsia="en-AU"/>
        </w:rPr>
      </w:pPr>
      <w:bookmarkStart w:id="1185" w:name="_Toc515374741"/>
      <w:bookmarkStart w:id="1186" w:name="_Toc528932425"/>
      <w:bookmarkStart w:id="1187" w:name="_Toc531858105"/>
      <w:r>
        <w:t xml:space="preserve">Figure </w:t>
      </w:r>
      <w:r>
        <w:rPr>
          <w:noProof/>
        </w:rPr>
        <w:t>10</w:t>
      </w:r>
      <w:r>
        <w:t>.</w:t>
      </w:r>
      <w:r>
        <w:rPr>
          <w:noProof/>
        </w:rPr>
        <w:t>5</w:t>
      </w:r>
      <w:r>
        <w:tab/>
      </w:r>
      <w:r w:rsidRPr="003328F3">
        <w:t xml:space="preserve">Proportion of Transitioned ADF (aged </w:t>
      </w:r>
      <w:r>
        <w:t>18–25</w:t>
      </w:r>
      <w:r w:rsidRPr="003328F3">
        <w:t xml:space="preserve">) </w:t>
      </w:r>
      <w:r>
        <w:t>compared</w:t>
      </w:r>
      <w:r w:rsidRPr="003328F3">
        <w:t xml:space="preserve"> to the Young and Well cohort who reported getting the information they needed from the </w:t>
      </w:r>
      <w:r>
        <w:t>internet</w:t>
      </w:r>
      <w:r w:rsidRPr="003328F3">
        <w:t xml:space="preserve"> in relation to mental health</w:t>
      </w:r>
      <w:bookmarkEnd w:id="1185"/>
      <w:bookmarkEnd w:id="1186"/>
      <w:bookmarkEnd w:id="1187"/>
    </w:p>
    <w:p w14:paraId="6F209A1B" w14:textId="77777777" w:rsidR="0033663C" w:rsidRPr="003328F3" w:rsidRDefault="000D2725" w:rsidP="000D2725">
      <w:pPr>
        <w:spacing w:after="360"/>
        <w:rPr>
          <w:lang w:eastAsia="en-AU"/>
        </w:rPr>
      </w:pPr>
      <w:r w:rsidRPr="003328F3">
        <w:rPr>
          <w:noProof/>
          <w:lang w:eastAsia="en-AU"/>
        </w:rPr>
        <w:drawing>
          <wp:inline distT="0" distB="0" distL="0" distR="0" wp14:anchorId="3F80D4E5" wp14:editId="1BD77943">
            <wp:extent cx="4572000" cy="3200400"/>
            <wp:effectExtent l="0" t="0" r="19050" b="19050"/>
            <wp:docPr id="489" name="Chart 489" descr="Figure 10.5 Proportion of Transitioned ADF (aged 18–25) compared to the Young and Well cohort who reported getting the information they needed from the internet in relation to mental heal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50C4E4E9" w14:textId="77777777" w:rsidR="0033663C" w:rsidRPr="008A51EB" w:rsidRDefault="0033663C" w:rsidP="0033663C">
      <w:pPr>
        <w:pStyle w:val="Heading3"/>
        <w:numPr>
          <w:ilvl w:val="2"/>
          <w:numId w:val="1"/>
        </w:numPr>
      </w:pPr>
      <w:bookmarkStart w:id="1188" w:name="_Toc387565421"/>
      <w:bookmarkStart w:id="1189" w:name="_Toc515374570"/>
      <w:bookmarkStart w:id="1190" w:name="_Toc518566464"/>
      <w:bookmarkStart w:id="1191" w:name="_Toc528932742"/>
      <w:bookmarkStart w:id="1192" w:name="_Toc531859279"/>
      <w:r w:rsidRPr="008A51EB">
        <w:t xml:space="preserve">Effectiveness of the </w:t>
      </w:r>
      <w:r>
        <w:t>internet</w:t>
      </w:r>
      <w:r w:rsidRPr="008A51EB">
        <w:t xml:space="preserve"> in helping young adults deal more effectively with mental health problems</w:t>
      </w:r>
      <w:bookmarkEnd w:id="1188"/>
      <w:bookmarkEnd w:id="1189"/>
      <w:bookmarkEnd w:id="1190"/>
      <w:bookmarkEnd w:id="1191"/>
      <w:bookmarkEnd w:id="1192"/>
    </w:p>
    <w:p w14:paraId="2C8E9616" w14:textId="67553C1F" w:rsidR="0033663C" w:rsidRPr="003328F3" w:rsidRDefault="0033663C" w:rsidP="000D2725">
      <w:pPr>
        <w:keepLines/>
      </w:pPr>
      <w:r w:rsidRPr="003328F3">
        <w:t xml:space="preserve">Of those who indicated they had used the </w:t>
      </w:r>
      <w:r>
        <w:t>internet</w:t>
      </w:r>
      <w:r w:rsidRPr="003328F3">
        <w:t xml:space="preserve"> for mental health issues (</w:t>
      </w:r>
      <w:r>
        <w:t xml:space="preserve">Mental Health and Wellbeing </w:t>
      </w:r>
      <w:r w:rsidRPr="003328F3">
        <w:t xml:space="preserve">Transition </w:t>
      </w:r>
      <w:r>
        <w:t>S</w:t>
      </w:r>
      <w:r w:rsidRPr="003328F3">
        <w:t xml:space="preserve">tudy </w:t>
      </w:r>
      <w:r w:rsidR="00D70D09">
        <w:t xml:space="preserve">n = </w:t>
      </w:r>
      <w:r w:rsidRPr="003328F3">
        <w:t xml:space="preserve">720, </w:t>
      </w:r>
      <w:r>
        <w:t>Young and Well S</w:t>
      </w:r>
      <w:r w:rsidRPr="003328F3">
        <w:t xml:space="preserve">tudy </w:t>
      </w:r>
      <w:r w:rsidR="00D70D09">
        <w:t xml:space="preserve">n = </w:t>
      </w:r>
      <w:r>
        <w:t>490. S</w:t>
      </w:r>
      <w:r w:rsidRPr="002344D5">
        <w:t xml:space="preserve">ee section </w:t>
      </w:r>
      <w:r>
        <w:t>10.5</w:t>
      </w:r>
      <w:r w:rsidRPr="002344D5">
        <w:t>.1 for</w:t>
      </w:r>
      <w:r w:rsidRPr="003328F3">
        <w:t xml:space="preserve"> the exact wording of this question in both surveys), respondents in the Mental H</w:t>
      </w:r>
      <w:r>
        <w:t>ealth and Wellbeing Transition S</w:t>
      </w:r>
      <w:r w:rsidRPr="003328F3">
        <w:t>tudy were asked</w:t>
      </w:r>
      <w:r>
        <w:t>,</w:t>
      </w:r>
      <w:r w:rsidRPr="003328F3">
        <w:t xml:space="preserve"> </w:t>
      </w:r>
      <w:r>
        <w:t>‘</w:t>
      </w:r>
      <w:r w:rsidRPr="003328F3">
        <w:rPr>
          <w:rFonts w:eastAsia="Times New Roman" w:cs="Calibri"/>
          <w:szCs w:val="22"/>
          <w:lang w:eastAsia="en-AU"/>
        </w:rPr>
        <w:t xml:space="preserve">Did the </w:t>
      </w:r>
      <w:r>
        <w:rPr>
          <w:rFonts w:eastAsia="Times New Roman" w:cs="Calibri"/>
          <w:szCs w:val="22"/>
          <w:lang w:eastAsia="en-AU"/>
        </w:rPr>
        <w:t>internet</w:t>
      </w:r>
      <w:r w:rsidRPr="003328F3">
        <w:rPr>
          <w:rFonts w:eastAsia="Times New Roman" w:cs="Calibri"/>
          <w:szCs w:val="22"/>
          <w:lang w:eastAsia="en-AU"/>
        </w:rPr>
        <w:t xml:space="preserve"> help you deal more effectively with mental health problems?</w:t>
      </w:r>
      <w:r>
        <w:t>’</w:t>
      </w:r>
      <w:r w:rsidRPr="003328F3">
        <w:t xml:space="preserve"> where</w:t>
      </w:r>
      <w:r>
        <w:t>as</w:t>
      </w:r>
      <w:r w:rsidRPr="003328F3">
        <w:t xml:space="preserve"> respo</w:t>
      </w:r>
      <w:r>
        <w:t>ndents from the Young and Well S</w:t>
      </w:r>
      <w:r w:rsidRPr="003328F3">
        <w:t>tudy were asked</w:t>
      </w:r>
      <w:r>
        <w:t>,</w:t>
      </w:r>
      <w:r w:rsidRPr="003328F3">
        <w:t xml:space="preserve"> </w:t>
      </w:r>
      <w:r>
        <w:t>‘</w:t>
      </w:r>
      <w:r w:rsidRPr="003328F3">
        <w:rPr>
          <w:rFonts w:eastAsia="Times New Roman" w:cs="Calibri"/>
          <w:szCs w:val="22"/>
          <w:lang w:eastAsia="en-AU"/>
        </w:rPr>
        <w:t xml:space="preserve">Did the </w:t>
      </w:r>
      <w:r>
        <w:rPr>
          <w:rFonts w:eastAsia="Times New Roman" w:cs="Calibri"/>
          <w:szCs w:val="22"/>
          <w:lang w:eastAsia="en-AU"/>
        </w:rPr>
        <w:t>internet</w:t>
      </w:r>
      <w:r w:rsidRPr="003328F3">
        <w:rPr>
          <w:rFonts w:eastAsia="Times New Roman" w:cs="Calibri"/>
          <w:szCs w:val="22"/>
          <w:lang w:eastAsia="en-AU"/>
        </w:rPr>
        <w:t xml:space="preserve"> help you deal more effectively with the problem?</w:t>
      </w:r>
      <w:r>
        <w:rPr>
          <w:rFonts w:eastAsia="Times New Roman" w:cs="Calibri"/>
          <w:szCs w:val="22"/>
          <w:lang w:eastAsia="en-AU"/>
        </w:rPr>
        <w:t>’</w:t>
      </w:r>
      <w:r w:rsidRPr="003328F3">
        <w:rPr>
          <w:rFonts w:eastAsia="Times New Roman" w:cs="Calibri"/>
          <w:szCs w:val="22"/>
          <w:lang w:eastAsia="en-AU"/>
        </w:rPr>
        <w:t xml:space="preserve"> </w:t>
      </w:r>
    </w:p>
    <w:p w14:paraId="7520A2DB" w14:textId="77777777" w:rsidR="0033663C" w:rsidRPr="003328F3" w:rsidRDefault="0033663C" w:rsidP="0033663C">
      <w:r>
        <w:t xml:space="preserve">Table </w:t>
      </w:r>
      <w:r>
        <w:rPr>
          <w:noProof/>
        </w:rPr>
        <w:t>10.6</w:t>
      </w:r>
      <w:r w:rsidRPr="00D56F28">
        <w:t xml:space="preserve"> and </w:t>
      </w:r>
      <w:r>
        <w:t xml:space="preserve">Figure </w:t>
      </w:r>
      <w:r>
        <w:rPr>
          <w:noProof/>
        </w:rPr>
        <w:t>10.6</w:t>
      </w:r>
      <w:r w:rsidRPr="00D56F28">
        <w:t xml:space="preserve"> </w:t>
      </w:r>
      <w:r>
        <w:t>present responses on</w:t>
      </w:r>
      <w:r w:rsidRPr="003328F3">
        <w:t xml:space="preserve"> the effectiveness of the information respondents received in relation to mental health. </w:t>
      </w:r>
    </w:p>
    <w:p w14:paraId="001495BC" w14:textId="77777777" w:rsidR="0033663C" w:rsidRPr="003328F3" w:rsidRDefault="0033663C" w:rsidP="0033663C">
      <w:pPr>
        <w:rPr>
          <w:szCs w:val="22"/>
        </w:rPr>
      </w:pPr>
      <w:r w:rsidRPr="003328F3">
        <w:t xml:space="preserve">Transitioned ADF </w:t>
      </w:r>
      <w:r>
        <w:t xml:space="preserve">young adults </w:t>
      </w:r>
      <w:r w:rsidRPr="003328F3">
        <w:t xml:space="preserve">were most likely to report that they found the </w:t>
      </w:r>
      <w:r>
        <w:t>internet</w:t>
      </w:r>
      <w:r w:rsidRPr="003328F3">
        <w:t xml:space="preserve"> neither helped </w:t>
      </w:r>
      <w:r>
        <w:t>n</w:t>
      </w:r>
      <w:r w:rsidRPr="003328F3">
        <w:t xml:space="preserve">or made dealing with their mental health problems worse (59.5%), whereas the Young and Well cohort were </w:t>
      </w:r>
      <w:r w:rsidRPr="003328F3">
        <w:rPr>
          <w:szCs w:val="22"/>
        </w:rPr>
        <w:t xml:space="preserve">most likely to report that the </w:t>
      </w:r>
      <w:r>
        <w:rPr>
          <w:szCs w:val="22"/>
        </w:rPr>
        <w:t>internet</w:t>
      </w:r>
      <w:r w:rsidRPr="003328F3">
        <w:rPr>
          <w:szCs w:val="22"/>
        </w:rPr>
        <w:t xml:space="preserve"> ‘helped a little’ (53.9%). </w:t>
      </w:r>
      <w:r>
        <w:rPr>
          <w:szCs w:val="22"/>
        </w:rPr>
        <w:t>Transitioned ADF</w:t>
      </w:r>
      <w:r w:rsidRPr="003328F3">
        <w:rPr>
          <w:szCs w:val="22"/>
        </w:rPr>
        <w:t xml:space="preserve"> were also significantly less likely to report they found the </w:t>
      </w:r>
      <w:r>
        <w:rPr>
          <w:szCs w:val="22"/>
        </w:rPr>
        <w:t>internet</w:t>
      </w:r>
      <w:r w:rsidRPr="003328F3">
        <w:rPr>
          <w:szCs w:val="22"/>
        </w:rPr>
        <w:t xml:space="preserve"> ‘helped a little’ (30.9%) and ‘helped a lot’ (6.4%</w:t>
      </w:r>
      <w:r w:rsidRPr="003328F3">
        <w:rPr>
          <w:rFonts w:eastAsia="Times New Roman"/>
          <w:bCs/>
          <w:color w:val="000000" w:themeColor="text1"/>
          <w:szCs w:val="22"/>
        </w:rPr>
        <w:t xml:space="preserve">) </w:t>
      </w:r>
      <w:r w:rsidRPr="003328F3">
        <w:rPr>
          <w:szCs w:val="22"/>
        </w:rPr>
        <w:t>compared to the Young and Well cohort (53.9%</w:t>
      </w:r>
      <w:r w:rsidRPr="003328F3">
        <w:rPr>
          <w:rFonts w:eastAsia="Times New Roman"/>
          <w:bCs/>
          <w:color w:val="000000" w:themeColor="text1"/>
          <w:szCs w:val="22"/>
        </w:rPr>
        <w:t xml:space="preserve"> </w:t>
      </w:r>
      <w:r w:rsidRPr="003328F3">
        <w:rPr>
          <w:szCs w:val="22"/>
        </w:rPr>
        <w:t>and 26.2%</w:t>
      </w:r>
      <w:r w:rsidRPr="003328F3">
        <w:rPr>
          <w:rFonts w:eastAsia="Times New Roman"/>
          <w:bCs/>
          <w:color w:val="000000" w:themeColor="text1"/>
          <w:szCs w:val="22"/>
        </w:rPr>
        <w:t xml:space="preserve"> respectively</w:t>
      </w:r>
      <w:r w:rsidRPr="003328F3">
        <w:rPr>
          <w:szCs w:val="22"/>
        </w:rPr>
        <w:t xml:space="preserve">). </w:t>
      </w:r>
    </w:p>
    <w:p w14:paraId="30C10F9C" w14:textId="77777777" w:rsidR="0033663C" w:rsidRPr="003328F3" w:rsidRDefault="0033663C" w:rsidP="0033663C">
      <w:pPr>
        <w:pStyle w:val="TableName"/>
        <w:rPr>
          <w:rFonts w:asciiTheme="minorHAnsi" w:hAnsiTheme="minorHAnsi" w:cstheme="minorHAnsi"/>
        </w:rPr>
      </w:pPr>
      <w:bookmarkStart w:id="1193" w:name="_Ref514912398"/>
      <w:bookmarkStart w:id="1194" w:name="_Toc528932370"/>
      <w:bookmarkStart w:id="1195" w:name="_Toc531858049"/>
      <w:r>
        <w:t xml:space="preserve">Table </w:t>
      </w:r>
      <w:r>
        <w:rPr>
          <w:noProof/>
        </w:rPr>
        <w:t>10</w:t>
      </w:r>
      <w:r>
        <w:t>.</w:t>
      </w:r>
      <w:r>
        <w:rPr>
          <w:noProof/>
        </w:rPr>
        <w:t>6</w:t>
      </w:r>
      <w:bookmarkEnd w:id="1193"/>
      <w:r>
        <w:tab/>
      </w:r>
      <w:r w:rsidRPr="003328F3">
        <w:t xml:space="preserve">Effectiveness of the </w:t>
      </w:r>
      <w:r>
        <w:t>internet</w:t>
      </w:r>
      <w:r w:rsidRPr="003328F3">
        <w:t xml:space="preserve"> in helping young adults deal effectively with mental health problems in Transitioned ADF (aged </w:t>
      </w:r>
      <w:r>
        <w:t>18–25</w:t>
      </w:r>
      <w:r w:rsidRPr="003328F3">
        <w:t>) compared to the Young and Well cohort</w:t>
      </w:r>
      <w:bookmarkEnd w:id="1194"/>
      <w:bookmarkEnd w:id="1195"/>
    </w:p>
    <w:tbl>
      <w:tblPr>
        <w:tblStyle w:val="TWRPTable"/>
        <w:tblW w:w="5000" w:type="pct"/>
        <w:tblLayout w:type="fixed"/>
        <w:tblCellMar>
          <w:left w:w="115" w:type="dxa"/>
          <w:right w:w="115" w:type="dxa"/>
        </w:tblCellMar>
        <w:tblLook w:val="01E0" w:firstRow="1" w:lastRow="1" w:firstColumn="1" w:lastColumn="1" w:noHBand="0" w:noVBand="0"/>
        <w:tblDescription w:val="Table 10.6 Effectiveness of the internet in helping young adults deal effectively with mental health problems in Transitioned ADF (aged 18–25) compared to the Young and Well cohort"/>
      </w:tblPr>
      <w:tblGrid>
        <w:gridCol w:w="1319"/>
        <w:gridCol w:w="526"/>
        <w:gridCol w:w="597"/>
        <w:gridCol w:w="796"/>
        <w:gridCol w:w="526"/>
        <w:gridCol w:w="611"/>
        <w:gridCol w:w="782"/>
        <w:gridCol w:w="526"/>
        <w:gridCol w:w="611"/>
        <w:gridCol w:w="795"/>
      </w:tblGrid>
      <w:tr w:rsidR="0033663C" w:rsidRPr="000D2725" w14:paraId="4ECE4294" w14:textId="77777777" w:rsidTr="000D2725">
        <w:trPr>
          <w:cnfStyle w:val="100000000000" w:firstRow="1" w:lastRow="0" w:firstColumn="0" w:lastColumn="0" w:oddVBand="0" w:evenVBand="0" w:oddHBand="0" w:evenHBand="0" w:firstRowFirstColumn="0" w:firstRowLastColumn="0" w:lastRowFirstColumn="0" w:lastRowLastColumn="0"/>
          <w:cantSplit/>
          <w:tblHeader/>
        </w:trPr>
        <w:tc>
          <w:tcPr>
            <w:tcW w:w="1375" w:type="dxa"/>
            <w:tcBorders>
              <w:top w:val="single" w:sz="4" w:space="0" w:color="000000"/>
              <w:bottom w:val="nil"/>
            </w:tcBorders>
          </w:tcPr>
          <w:p w14:paraId="7980A3FE" w14:textId="77777777" w:rsidR="0033663C" w:rsidRPr="000D2725" w:rsidRDefault="0033663C" w:rsidP="0033663C">
            <w:pPr>
              <w:pStyle w:val="TableText"/>
              <w:rPr>
                <w:lang w:eastAsia="en-AU"/>
              </w:rPr>
            </w:pPr>
          </w:p>
        </w:tc>
        <w:tc>
          <w:tcPr>
            <w:tcW w:w="1980" w:type="dxa"/>
            <w:gridSpan w:val="3"/>
            <w:hideMark/>
          </w:tcPr>
          <w:p w14:paraId="57204A52" w14:textId="77777777" w:rsidR="0033663C" w:rsidRPr="000D2725" w:rsidRDefault="0033663C" w:rsidP="000D2725">
            <w:pPr>
              <w:pStyle w:val="TableText"/>
              <w:jc w:val="center"/>
              <w:rPr>
                <w:lang w:eastAsia="en-AU"/>
              </w:rPr>
            </w:pPr>
            <w:r w:rsidRPr="000D2725">
              <w:rPr>
                <w:bCs/>
                <w:lang w:eastAsia="en-AU"/>
              </w:rPr>
              <w:t>Transitioned ADF</w:t>
            </w:r>
            <w:r w:rsidR="000D2725" w:rsidRPr="000D2725">
              <w:rPr>
                <w:bCs/>
                <w:lang w:eastAsia="en-AU"/>
              </w:rPr>
              <w:br/>
            </w:r>
            <w:r w:rsidRPr="000D2725">
              <w:rPr>
                <w:bCs/>
                <w:lang w:eastAsia="en-AU"/>
              </w:rPr>
              <w:t>18–25 years</w:t>
            </w:r>
            <w:r w:rsidR="000D2725" w:rsidRPr="000D2725">
              <w:rPr>
                <w:bCs/>
                <w:lang w:eastAsia="en-AU"/>
              </w:rPr>
              <w:br/>
            </w:r>
            <w:r w:rsidRPr="000D2725">
              <w:rPr>
                <w:lang w:eastAsia="en-AU"/>
              </w:rPr>
              <w:t>n=720</w:t>
            </w:r>
          </w:p>
        </w:tc>
        <w:tc>
          <w:tcPr>
            <w:tcW w:w="1980" w:type="dxa"/>
            <w:gridSpan w:val="3"/>
            <w:hideMark/>
          </w:tcPr>
          <w:p w14:paraId="0CD02028" w14:textId="77777777" w:rsidR="0033663C" w:rsidRPr="000D2725" w:rsidRDefault="0033663C" w:rsidP="000D2725">
            <w:pPr>
              <w:pStyle w:val="TableText"/>
              <w:jc w:val="center"/>
              <w:rPr>
                <w:bCs/>
                <w:lang w:eastAsia="en-AU"/>
              </w:rPr>
            </w:pPr>
            <w:r w:rsidRPr="000D2725">
              <w:rPr>
                <w:rFonts w:cs="Arial"/>
              </w:rPr>
              <w:t>Young and Well cohort</w:t>
            </w:r>
            <w:r w:rsidR="000D2725" w:rsidRPr="000D2725">
              <w:rPr>
                <w:rFonts w:cs="Arial"/>
              </w:rPr>
              <w:br/>
            </w:r>
            <w:r w:rsidRPr="000D2725">
              <w:rPr>
                <w:rFonts w:cs="Arial"/>
              </w:rPr>
              <w:t>18–25 years</w:t>
            </w:r>
            <w:r w:rsidR="000D2725" w:rsidRPr="000D2725">
              <w:rPr>
                <w:rFonts w:cs="Arial"/>
              </w:rPr>
              <w:br/>
            </w:r>
            <w:r w:rsidRPr="000D2725">
              <w:rPr>
                <w:rFonts w:cs="Arial"/>
              </w:rPr>
              <w:t>n=490</w:t>
            </w:r>
          </w:p>
        </w:tc>
        <w:tc>
          <w:tcPr>
            <w:tcW w:w="1994" w:type="dxa"/>
            <w:gridSpan w:val="3"/>
            <w:hideMark/>
          </w:tcPr>
          <w:p w14:paraId="276E5561" w14:textId="77777777" w:rsidR="0033663C" w:rsidRPr="000D2725" w:rsidRDefault="0033663C" w:rsidP="0033663C">
            <w:pPr>
              <w:pStyle w:val="TableText"/>
              <w:jc w:val="center"/>
              <w:rPr>
                <w:bCs/>
                <w:lang w:eastAsia="en-AU"/>
              </w:rPr>
            </w:pPr>
            <w:r w:rsidRPr="000D2725">
              <w:rPr>
                <w:bCs/>
                <w:lang w:eastAsia="en-AU"/>
              </w:rPr>
              <w:t>Difference</w:t>
            </w:r>
          </w:p>
        </w:tc>
      </w:tr>
      <w:tr w:rsidR="000D2725" w:rsidRPr="000D2725" w14:paraId="61506343" w14:textId="77777777" w:rsidTr="000D2725">
        <w:trPr>
          <w:cnfStyle w:val="100000000000" w:firstRow="1" w:lastRow="0" w:firstColumn="0" w:lastColumn="0" w:oddVBand="0" w:evenVBand="0" w:oddHBand="0" w:evenHBand="0" w:firstRowFirstColumn="0" w:firstRowLastColumn="0" w:lastRowFirstColumn="0" w:lastRowLastColumn="0"/>
          <w:cantSplit/>
          <w:tblHeader/>
        </w:trPr>
        <w:tc>
          <w:tcPr>
            <w:tcW w:w="1375" w:type="dxa"/>
            <w:tcBorders>
              <w:top w:val="nil"/>
            </w:tcBorders>
          </w:tcPr>
          <w:p w14:paraId="59DD0786" w14:textId="77777777" w:rsidR="0033663C" w:rsidRPr="000D2725" w:rsidRDefault="0033663C" w:rsidP="0033663C">
            <w:pPr>
              <w:pStyle w:val="TableText"/>
              <w:rPr>
                <w:rFonts w:eastAsia="GillSans"/>
                <w:lang w:eastAsia="en-AU"/>
              </w:rPr>
            </w:pPr>
          </w:p>
        </w:tc>
        <w:tc>
          <w:tcPr>
            <w:tcW w:w="540" w:type="dxa"/>
            <w:hideMark/>
          </w:tcPr>
          <w:p w14:paraId="0F767EC4" w14:textId="77777777" w:rsidR="0033663C" w:rsidRPr="000D2725" w:rsidRDefault="0033663C" w:rsidP="0033663C">
            <w:pPr>
              <w:pStyle w:val="TableText"/>
              <w:jc w:val="right"/>
              <w:rPr>
                <w:rFonts w:eastAsia="Times New Roman"/>
                <w:lang w:eastAsia="en-AU"/>
              </w:rPr>
            </w:pPr>
            <w:r w:rsidRPr="000D2725">
              <w:rPr>
                <w:lang w:eastAsia="en-AU"/>
              </w:rPr>
              <w:t>%</w:t>
            </w:r>
          </w:p>
        </w:tc>
        <w:tc>
          <w:tcPr>
            <w:tcW w:w="615" w:type="dxa"/>
            <w:hideMark/>
          </w:tcPr>
          <w:p w14:paraId="4FE9EBEF" w14:textId="77777777" w:rsidR="0033663C" w:rsidRPr="000D2725" w:rsidRDefault="0033663C" w:rsidP="0033663C">
            <w:pPr>
              <w:pStyle w:val="TableText"/>
              <w:jc w:val="right"/>
              <w:rPr>
                <w:lang w:eastAsia="en-AU"/>
              </w:rPr>
            </w:pPr>
            <w:r w:rsidRPr="000D2725">
              <w:rPr>
                <w:lang w:eastAsia="en-AU"/>
              </w:rPr>
              <w:t>SE</w:t>
            </w:r>
          </w:p>
        </w:tc>
        <w:tc>
          <w:tcPr>
            <w:tcW w:w="825" w:type="dxa"/>
            <w:hideMark/>
          </w:tcPr>
          <w:p w14:paraId="5C0D1BA5" w14:textId="77777777" w:rsidR="0033663C" w:rsidRPr="000D2725" w:rsidRDefault="0033663C" w:rsidP="0033663C">
            <w:pPr>
              <w:pStyle w:val="TableText"/>
              <w:jc w:val="right"/>
              <w:rPr>
                <w:lang w:eastAsia="en-AU"/>
              </w:rPr>
            </w:pPr>
            <w:r w:rsidRPr="000D2725">
              <w:rPr>
                <w:lang w:eastAsia="en-AU"/>
              </w:rPr>
              <w:t>95% CI</w:t>
            </w:r>
          </w:p>
        </w:tc>
        <w:tc>
          <w:tcPr>
            <w:tcW w:w="540" w:type="dxa"/>
            <w:hideMark/>
          </w:tcPr>
          <w:p w14:paraId="7DEA7163" w14:textId="77777777" w:rsidR="0033663C" w:rsidRPr="000D2725" w:rsidRDefault="0033663C" w:rsidP="0033663C">
            <w:pPr>
              <w:pStyle w:val="TableText"/>
              <w:jc w:val="right"/>
              <w:rPr>
                <w:lang w:eastAsia="en-AU"/>
              </w:rPr>
            </w:pPr>
            <w:r w:rsidRPr="000D2725">
              <w:rPr>
                <w:lang w:eastAsia="en-AU"/>
              </w:rPr>
              <w:t>%</w:t>
            </w:r>
          </w:p>
        </w:tc>
        <w:tc>
          <w:tcPr>
            <w:tcW w:w="630" w:type="dxa"/>
          </w:tcPr>
          <w:p w14:paraId="260CEB1D" w14:textId="77777777" w:rsidR="0033663C" w:rsidRPr="000D2725" w:rsidRDefault="0033663C" w:rsidP="0033663C">
            <w:pPr>
              <w:pStyle w:val="TableText"/>
              <w:jc w:val="right"/>
              <w:rPr>
                <w:lang w:eastAsia="en-AU"/>
              </w:rPr>
            </w:pPr>
            <w:r w:rsidRPr="000D2725">
              <w:rPr>
                <w:lang w:eastAsia="en-AU"/>
              </w:rPr>
              <w:t>SE</w:t>
            </w:r>
          </w:p>
        </w:tc>
        <w:tc>
          <w:tcPr>
            <w:tcW w:w="810" w:type="dxa"/>
          </w:tcPr>
          <w:p w14:paraId="58A46CA8" w14:textId="77777777" w:rsidR="0033663C" w:rsidRPr="000D2725" w:rsidRDefault="0033663C" w:rsidP="0033663C">
            <w:pPr>
              <w:pStyle w:val="TableText"/>
              <w:jc w:val="right"/>
              <w:rPr>
                <w:lang w:eastAsia="en-AU"/>
              </w:rPr>
            </w:pPr>
            <w:r w:rsidRPr="000D2725">
              <w:rPr>
                <w:lang w:eastAsia="en-AU"/>
              </w:rPr>
              <w:t>95% CI</w:t>
            </w:r>
          </w:p>
        </w:tc>
        <w:tc>
          <w:tcPr>
            <w:tcW w:w="540" w:type="dxa"/>
            <w:hideMark/>
          </w:tcPr>
          <w:p w14:paraId="36E960EB" w14:textId="77777777" w:rsidR="0033663C" w:rsidRPr="000D2725" w:rsidRDefault="0033663C" w:rsidP="0033663C">
            <w:pPr>
              <w:pStyle w:val="TableText"/>
              <w:jc w:val="right"/>
              <w:rPr>
                <w:lang w:eastAsia="en-AU"/>
              </w:rPr>
            </w:pPr>
            <w:r w:rsidRPr="000D2725">
              <w:rPr>
                <w:lang w:eastAsia="en-AU"/>
              </w:rPr>
              <w:t>%</w:t>
            </w:r>
          </w:p>
        </w:tc>
        <w:tc>
          <w:tcPr>
            <w:tcW w:w="630" w:type="dxa"/>
            <w:hideMark/>
          </w:tcPr>
          <w:p w14:paraId="3237E2D3" w14:textId="77777777" w:rsidR="0033663C" w:rsidRPr="000D2725" w:rsidRDefault="0033663C" w:rsidP="0033663C">
            <w:pPr>
              <w:pStyle w:val="TableText"/>
              <w:jc w:val="right"/>
              <w:rPr>
                <w:lang w:eastAsia="en-AU"/>
              </w:rPr>
            </w:pPr>
            <w:r w:rsidRPr="000D2725">
              <w:rPr>
                <w:lang w:eastAsia="en-AU"/>
              </w:rPr>
              <w:t>SE</w:t>
            </w:r>
          </w:p>
        </w:tc>
        <w:tc>
          <w:tcPr>
            <w:tcW w:w="824" w:type="dxa"/>
            <w:hideMark/>
          </w:tcPr>
          <w:p w14:paraId="25058F1F" w14:textId="77777777" w:rsidR="0033663C" w:rsidRPr="000D2725" w:rsidRDefault="0033663C" w:rsidP="0033663C">
            <w:pPr>
              <w:pStyle w:val="TableText"/>
              <w:jc w:val="right"/>
              <w:rPr>
                <w:lang w:eastAsia="en-AU"/>
              </w:rPr>
            </w:pPr>
            <w:r w:rsidRPr="000D2725">
              <w:rPr>
                <w:lang w:eastAsia="en-AU"/>
              </w:rPr>
              <w:t>95% CI</w:t>
            </w:r>
          </w:p>
        </w:tc>
      </w:tr>
      <w:tr w:rsidR="000D2725" w:rsidRPr="003328F3" w14:paraId="76469422" w14:textId="77777777" w:rsidTr="000D2725">
        <w:trPr>
          <w:cnfStyle w:val="000000100000" w:firstRow="0" w:lastRow="0" w:firstColumn="0" w:lastColumn="0" w:oddVBand="0" w:evenVBand="0" w:oddHBand="1" w:evenHBand="0" w:firstRowFirstColumn="0" w:firstRowLastColumn="0" w:lastRowFirstColumn="0" w:lastRowLastColumn="0"/>
          <w:cantSplit/>
        </w:trPr>
        <w:tc>
          <w:tcPr>
            <w:tcW w:w="1375" w:type="dxa"/>
            <w:hideMark/>
          </w:tcPr>
          <w:p w14:paraId="63FCFAB9" w14:textId="77777777" w:rsidR="0033663C" w:rsidRPr="003328F3" w:rsidRDefault="0033663C" w:rsidP="0033663C">
            <w:pPr>
              <w:pStyle w:val="TableText"/>
              <w:rPr>
                <w:rFonts w:cs="Arial"/>
              </w:rPr>
            </w:pPr>
            <w:r w:rsidRPr="003328F3">
              <w:rPr>
                <w:rFonts w:cs="Arial"/>
              </w:rPr>
              <w:t>Made it a lot worse</w:t>
            </w:r>
          </w:p>
        </w:tc>
        <w:tc>
          <w:tcPr>
            <w:tcW w:w="540" w:type="dxa"/>
          </w:tcPr>
          <w:p w14:paraId="7B2B6EEF" w14:textId="77777777" w:rsidR="0033663C" w:rsidRPr="003328F3" w:rsidRDefault="0033663C" w:rsidP="0033663C">
            <w:pPr>
              <w:pStyle w:val="TableText"/>
              <w:jc w:val="right"/>
              <w:rPr>
                <w:color w:val="000000" w:themeColor="text1"/>
              </w:rPr>
            </w:pPr>
            <w:r w:rsidRPr="003328F3">
              <w:rPr>
                <w:color w:val="000000" w:themeColor="text1"/>
              </w:rPr>
              <w:t>0.0</w:t>
            </w:r>
          </w:p>
        </w:tc>
        <w:tc>
          <w:tcPr>
            <w:tcW w:w="615" w:type="dxa"/>
          </w:tcPr>
          <w:p w14:paraId="4C4BBDF6" w14:textId="77777777" w:rsidR="0033663C" w:rsidRPr="003328F3" w:rsidRDefault="0033663C" w:rsidP="0033663C">
            <w:pPr>
              <w:pStyle w:val="TableText"/>
              <w:jc w:val="right"/>
              <w:rPr>
                <w:color w:val="000000" w:themeColor="text1"/>
              </w:rPr>
            </w:pPr>
            <w:r>
              <w:rPr>
                <w:color w:val="000000" w:themeColor="text1"/>
              </w:rPr>
              <w:t>–</w:t>
            </w:r>
          </w:p>
        </w:tc>
        <w:tc>
          <w:tcPr>
            <w:tcW w:w="825" w:type="dxa"/>
          </w:tcPr>
          <w:p w14:paraId="10C35904" w14:textId="77777777" w:rsidR="0033663C" w:rsidRPr="003328F3" w:rsidRDefault="0033663C" w:rsidP="0033663C">
            <w:pPr>
              <w:pStyle w:val="TableText"/>
              <w:jc w:val="right"/>
              <w:rPr>
                <w:color w:val="000000" w:themeColor="text1"/>
              </w:rPr>
            </w:pPr>
            <w:r>
              <w:rPr>
                <w:color w:val="000000" w:themeColor="text1"/>
              </w:rPr>
              <w:t>–</w:t>
            </w:r>
          </w:p>
        </w:tc>
        <w:tc>
          <w:tcPr>
            <w:tcW w:w="540" w:type="dxa"/>
          </w:tcPr>
          <w:p w14:paraId="313AAF58" w14:textId="77777777" w:rsidR="0033663C" w:rsidRPr="003328F3" w:rsidRDefault="0033663C" w:rsidP="0033663C">
            <w:pPr>
              <w:pStyle w:val="TableText"/>
              <w:jc w:val="right"/>
              <w:rPr>
                <w:color w:val="000000" w:themeColor="text1"/>
              </w:rPr>
            </w:pPr>
            <w:r w:rsidRPr="003328F3">
              <w:rPr>
                <w:color w:val="000000" w:themeColor="text1"/>
              </w:rPr>
              <w:t>0.2</w:t>
            </w:r>
          </w:p>
        </w:tc>
        <w:tc>
          <w:tcPr>
            <w:tcW w:w="630" w:type="dxa"/>
          </w:tcPr>
          <w:p w14:paraId="336581FC"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0.2</w:t>
            </w:r>
          </w:p>
        </w:tc>
        <w:tc>
          <w:tcPr>
            <w:tcW w:w="810" w:type="dxa"/>
          </w:tcPr>
          <w:p w14:paraId="5838712B"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0.2, 0.5</w:t>
            </w:r>
          </w:p>
        </w:tc>
        <w:tc>
          <w:tcPr>
            <w:tcW w:w="540" w:type="dxa"/>
          </w:tcPr>
          <w:p w14:paraId="085A698C"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0.2</w:t>
            </w:r>
          </w:p>
        </w:tc>
        <w:tc>
          <w:tcPr>
            <w:tcW w:w="630" w:type="dxa"/>
          </w:tcPr>
          <w:p w14:paraId="0F8FDB0E"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0.2</w:t>
            </w:r>
          </w:p>
        </w:tc>
        <w:tc>
          <w:tcPr>
            <w:tcW w:w="824" w:type="dxa"/>
          </w:tcPr>
          <w:p w14:paraId="1CD36E99"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0.5, 0.2</w:t>
            </w:r>
          </w:p>
        </w:tc>
      </w:tr>
      <w:tr w:rsidR="000D2725" w:rsidRPr="003328F3" w14:paraId="5AAA673E" w14:textId="77777777" w:rsidTr="000D2725">
        <w:trPr>
          <w:cantSplit/>
        </w:trPr>
        <w:tc>
          <w:tcPr>
            <w:tcW w:w="1375" w:type="dxa"/>
            <w:hideMark/>
          </w:tcPr>
          <w:p w14:paraId="0CADD12B" w14:textId="77777777" w:rsidR="0033663C" w:rsidRPr="003328F3" w:rsidRDefault="0033663C" w:rsidP="0033663C">
            <w:pPr>
              <w:pStyle w:val="TableText"/>
              <w:rPr>
                <w:rFonts w:cs="Arial"/>
              </w:rPr>
            </w:pPr>
            <w:r w:rsidRPr="003328F3">
              <w:rPr>
                <w:rFonts w:cs="Arial"/>
              </w:rPr>
              <w:t>Made it a little worse</w:t>
            </w:r>
          </w:p>
        </w:tc>
        <w:tc>
          <w:tcPr>
            <w:tcW w:w="540" w:type="dxa"/>
          </w:tcPr>
          <w:p w14:paraId="033E18FF"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3.2</w:t>
            </w:r>
          </w:p>
        </w:tc>
        <w:tc>
          <w:tcPr>
            <w:tcW w:w="615" w:type="dxa"/>
          </w:tcPr>
          <w:p w14:paraId="00518EDC"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1.6</w:t>
            </w:r>
          </w:p>
        </w:tc>
        <w:tc>
          <w:tcPr>
            <w:tcW w:w="825" w:type="dxa"/>
          </w:tcPr>
          <w:p w14:paraId="53E24572"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1.1, 8.6</w:t>
            </w:r>
          </w:p>
        </w:tc>
        <w:tc>
          <w:tcPr>
            <w:tcW w:w="540" w:type="dxa"/>
          </w:tcPr>
          <w:p w14:paraId="2A8F07BE" w14:textId="77777777" w:rsidR="0033663C" w:rsidRPr="003328F3" w:rsidRDefault="0033663C" w:rsidP="0033663C">
            <w:pPr>
              <w:pStyle w:val="TableText"/>
              <w:jc w:val="right"/>
              <w:rPr>
                <w:color w:val="000000" w:themeColor="text1"/>
              </w:rPr>
            </w:pPr>
            <w:r w:rsidRPr="003328F3">
              <w:rPr>
                <w:color w:val="000000" w:themeColor="text1"/>
              </w:rPr>
              <w:t>1.3</w:t>
            </w:r>
          </w:p>
        </w:tc>
        <w:tc>
          <w:tcPr>
            <w:tcW w:w="630" w:type="dxa"/>
          </w:tcPr>
          <w:p w14:paraId="4C28CBBB"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0.8</w:t>
            </w:r>
          </w:p>
        </w:tc>
        <w:tc>
          <w:tcPr>
            <w:tcW w:w="810" w:type="dxa"/>
          </w:tcPr>
          <w:p w14:paraId="541C9841"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0.2, 2.8</w:t>
            </w:r>
          </w:p>
        </w:tc>
        <w:tc>
          <w:tcPr>
            <w:tcW w:w="540" w:type="dxa"/>
          </w:tcPr>
          <w:p w14:paraId="6809CED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1.9</w:t>
            </w:r>
          </w:p>
        </w:tc>
        <w:tc>
          <w:tcPr>
            <w:tcW w:w="630" w:type="dxa"/>
          </w:tcPr>
          <w:p w14:paraId="5B5167D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1.8</w:t>
            </w:r>
          </w:p>
        </w:tc>
        <w:tc>
          <w:tcPr>
            <w:tcW w:w="824" w:type="dxa"/>
          </w:tcPr>
          <w:p w14:paraId="5D09C3D3"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1.7, 5.5</w:t>
            </w:r>
          </w:p>
        </w:tc>
      </w:tr>
      <w:tr w:rsidR="000D2725" w:rsidRPr="003328F3" w14:paraId="10FFBC24" w14:textId="77777777" w:rsidTr="000D2725">
        <w:trPr>
          <w:cnfStyle w:val="000000100000" w:firstRow="0" w:lastRow="0" w:firstColumn="0" w:lastColumn="0" w:oddVBand="0" w:evenVBand="0" w:oddHBand="1" w:evenHBand="0" w:firstRowFirstColumn="0" w:firstRowLastColumn="0" w:lastRowFirstColumn="0" w:lastRowLastColumn="0"/>
          <w:cantSplit/>
        </w:trPr>
        <w:tc>
          <w:tcPr>
            <w:tcW w:w="1375" w:type="dxa"/>
          </w:tcPr>
          <w:p w14:paraId="56479D73" w14:textId="77777777" w:rsidR="0033663C" w:rsidRPr="003328F3" w:rsidRDefault="0033663C" w:rsidP="0033663C">
            <w:pPr>
              <w:pStyle w:val="TableText"/>
              <w:rPr>
                <w:rFonts w:cs="Arial"/>
              </w:rPr>
            </w:pPr>
            <w:r w:rsidRPr="003328F3">
              <w:rPr>
                <w:rFonts w:cs="Arial"/>
              </w:rPr>
              <w:t>Neither</w:t>
            </w:r>
          </w:p>
        </w:tc>
        <w:tc>
          <w:tcPr>
            <w:tcW w:w="540" w:type="dxa"/>
          </w:tcPr>
          <w:p w14:paraId="14701C26"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59.5</w:t>
            </w:r>
          </w:p>
        </w:tc>
        <w:tc>
          <w:tcPr>
            <w:tcW w:w="615" w:type="dxa"/>
          </w:tcPr>
          <w:p w14:paraId="2BF48957"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7.3</w:t>
            </w:r>
          </w:p>
        </w:tc>
        <w:tc>
          <w:tcPr>
            <w:tcW w:w="825" w:type="dxa"/>
          </w:tcPr>
          <w:p w14:paraId="5F45968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44.7, 72.7</w:t>
            </w:r>
          </w:p>
        </w:tc>
        <w:tc>
          <w:tcPr>
            <w:tcW w:w="540" w:type="dxa"/>
          </w:tcPr>
          <w:p w14:paraId="0BACEE00" w14:textId="77777777" w:rsidR="0033663C" w:rsidRPr="003328F3" w:rsidRDefault="0033663C" w:rsidP="0033663C">
            <w:pPr>
              <w:pStyle w:val="TableText"/>
              <w:jc w:val="right"/>
              <w:rPr>
                <w:color w:val="000000" w:themeColor="text1"/>
              </w:rPr>
            </w:pPr>
            <w:r w:rsidRPr="003328F3">
              <w:rPr>
                <w:color w:val="000000" w:themeColor="text1"/>
              </w:rPr>
              <w:t>14.1</w:t>
            </w:r>
          </w:p>
        </w:tc>
        <w:tc>
          <w:tcPr>
            <w:tcW w:w="630" w:type="dxa"/>
          </w:tcPr>
          <w:p w14:paraId="04331C8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2.8</w:t>
            </w:r>
          </w:p>
        </w:tc>
        <w:tc>
          <w:tcPr>
            <w:tcW w:w="810" w:type="dxa"/>
          </w:tcPr>
          <w:p w14:paraId="37D9B55E"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8.7, 19.5</w:t>
            </w:r>
          </w:p>
        </w:tc>
        <w:tc>
          <w:tcPr>
            <w:tcW w:w="540" w:type="dxa"/>
          </w:tcPr>
          <w:p w14:paraId="360FA09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45.4</w:t>
            </w:r>
          </w:p>
        </w:tc>
        <w:tc>
          <w:tcPr>
            <w:tcW w:w="630" w:type="dxa"/>
          </w:tcPr>
          <w:p w14:paraId="109027E8"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7.9</w:t>
            </w:r>
          </w:p>
        </w:tc>
        <w:tc>
          <w:tcPr>
            <w:tcW w:w="824" w:type="dxa"/>
          </w:tcPr>
          <w:p w14:paraId="0557B678"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30.0, 60.8</w:t>
            </w:r>
          </w:p>
        </w:tc>
      </w:tr>
      <w:tr w:rsidR="000D2725" w:rsidRPr="003328F3" w14:paraId="04E03DAF" w14:textId="77777777" w:rsidTr="000D2725">
        <w:trPr>
          <w:cantSplit/>
        </w:trPr>
        <w:tc>
          <w:tcPr>
            <w:tcW w:w="1375" w:type="dxa"/>
          </w:tcPr>
          <w:p w14:paraId="3DE15A70" w14:textId="77777777" w:rsidR="0033663C" w:rsidRPr="003328F3" w:rsidRDefault="0033663C" w:rsidP="0033663C">
            <w:pPr>
              <w:pStyle w:val="TableText"/>
              <w:rPr>
                <w:rFonts w:cs="Arial"/>
              </w:rPr>
            </w:pPr>
            <w:r w:rsidRPr="003328F3">
              <w:rPr>
                <w:rFonts w:cs="Arial"/>
              </w:rPr>
              <w:t>Helped a little</w:t>
            </w:r>
          </w:p>
        </w:tc>
        <w:tc>
          <w:tcPr>
            <w:tcW w:w="540" w:type="dxa"/>
          </w:tcPr>
          <w:p w14:paraId="09575EB8"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30.9</w:t>
            </w:r>
          </w:p>
        </w:tc>
        <w:tc>
          <w:tcPr>
            <w:tcW w:w="615" w:type="dxa"/>
          </w:tcPr>
          <w:p w14:paraId="77D97F20"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6.9</w:t>
            </w:r>
          </w:p>
        </w:tc>
        <w:tc>
          <w:tcPr>
            <w:tcW w:w="825" w:type="dxa"/>
          </w:tcPr>
          <w:p w14:paraId="6DEED6FF"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19.2, 45.8</w:t>
            </w:r>
          </w:p>
        </w:tc>
        <w:tc>
          <w:tcPr>
            <w:tcW w:w="540" w:type="dxa"/>
          </w:tcPr>
          <w:p w14:paraId="7EBAF5E2" w14:textId="77777777" w:rsidR="0033663C" w:rsidRPr="003328F3" w:rsidRDefault="0033663C" w:rsidP="0033663C">
            <w:pPr>
              <w:pStyle w:val="TableText"/>
              <w:jc w:val="right"/>
              <w:rPr>
                <w:color w:val="000000" w:themeColor="text1"/>
              </w:rPr>
            </w:pPr>
            <w:r w:rsidRPr="003328F3">
              <w:rPr>
                <w:color w:val="000000" w:themeColor="text1"/>
              </w:rPr>
              <w:t>53.9</w:t>
            </w:r>
          </w:p>
        </w:tc>
        <w:tc>
          <w:tcPr>
            <w:tcW w:w="630" w:type="dxa"/>
          </w:tcPr>
          <w:p w14:paraId="6577EC0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4.0</w:t>
            </w:r>
          </w:p>
        </w:tc>
        <w:tc>
          <w:tcPr>
            <w:tcW w:w="810" w:type="dxa"/>
          </w:tcPr>
          <w:p w14:paraId="44A72F1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46.0, 61.8</w:t>
            </w:r>
          </w:p>
        </w:tc>
        <w:tc>
          <w:tcPr>
            <w:tcW w:w="540" w:type="dxa"/>
          </w:tcPr>
          <w:p w14:paraId="5CC6A866"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23.0</w:t>
            </w:r>
          </w:p>
        </w:tc>
        <w:tc>
          <w:tcPr>
            <w:tcW w:w="630" w:type="dxa"/>
          </w:tcPr>
          <w:p w14:paraId="4C37347C"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8.0</w:t>
            </w:r>
          </w:p>
        </w:tc>
        <w:tc>
          <w:tcPr>
            <w:tcW w:w="824" w:type="dxa"/>
          </w:tcPr>
          <w:p w14:paraId="7CE5544E"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 xml:space="preserve">38.7, </w:t>
            </w:r>
            <w:r>
              <w:rPr>
                <w:rFonts w:eastAsia="Times New Roman"/>
                <w:bCs/>
                <w:color w:val="000000" w:themeColor="text1"/>
              </w:rPr>
              <w:t>–</w:t>
            </w:r>
            <w:r w:rsidRPr="003328F3">
              <w:rPr>
                <w:rFonts w:eastAsia="Times New Roman"/>
                <w:bCs/>
                <w:color w:val="000000" w:themeColor="text1"/>
              </w:rPr>
              <w:t>7.3</w:t>
            </w:r>
          </w:p>
        </w:tc>
      </w:tr>
      <w:tr w:rsidR="000D2725" w:rsidRPr="003328F3" w14:paraId="413EA302" w14:textId="77777777" w:rsidTr="000D2725">
        <w:trPr>
          <w:cnfStyle w:val="000000100000" w:firstRow="0" w:lastRow="0" w:firstColumn="0" w:lastColumn="0" w:oddVBand="0" w:evenVBand="0" w:oddHBand="1" w:evenHBand="0" w:firstRowFirstColumn="0" w:firstRowLastColumn="0" w:lastRowFirstColumn="0" w:lastRowLastColumn="0"/>
          <w:cantSplit/>
        </w:trPr>
        <w:tc>
          <w:tcPr>
            <w:tcW w:w="1375" w:type="dxa"/>
          </w:tcPr>
          <w:p w14:paraId="29AB141A" w14:textId="77777777" w:rsidR="0033663C" w:rsidRPr="003328F3" w:rsidRDefault="0033663C" w:rsidP="0033663C">
            <w:pPr>
              <w:pStyle w:val="TableText"/>
              <w:rPr>
                <w:rFonts w:cs="Arial"/>
              </w:rPr>
            </w:pPr>
            <w:r w:rsidRPr="003328F3">
              <w:rPr>
                <w:rFonts w:cs="Arial"/>
              </w:rPr>
              <w:t>Helped a lot</w:t>
            </w:r>
          </w:p>
        </w:tc>
        <w:tc>
          <w:tcPr>
            <w:tcW w:w="540" w:type="dxa"/>
          </w:tcPr>
          <w:p w14:paraId="232F05C2"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6.4</w:t>
            </w:r>
          </w:p>
        </w:tc>
        <w:tc>
          <w:tcPr>
            <w:tcW w:w="615" w:type="dxa"/>
          </w:tcPr>
          <w:p w14:paraId="5DFCB4EC"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3.7</w:t>
            </w:r>
          </w:p>
        </w:tc>
        <w:tc>
          <w:tcPr>
            <w:tcW w:w="825" w:type="dxa"/>
          </w:tcPr>
          <w:p w14:paraId="42B5AC95"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2.0, 18.9</w:t>
            </w:r>
          </w:p>
        </w:tc>
        <w:tc>
          <w:tcPr>
            <w:tcW w:w="540" w:type="dxa"/>
          </w:tcPr>
          <w:p w14:paraId="4EAAAAB7" w14:textId="77777777" w:rsidR="0033663C" w:rsidRPr="003328F3" w:rsidRDefault="0033663C" w:rsidP="0033663C">
            <w:pPr>
              <w:pStyle w:val="TableText"/>
              <w:jc w:val="right"/>
              <w:rPr>
                <w:color w:val="000000" w:themeColor="text1"/>
              </w:rPr>
            </w:pPr>
            <w:r w:rsidRPr="003328F3">
              <w:rPr>
                <w:color w:val="000000" w:themeColor="text1"/>
              </w:rPr>
              <w:t>26.2</w:t>
            </w:r>
          </w:p>
        </w:tc>
        <w:tc>
          <w:tcPr>
            <w:tcW w:w="630" w:type="dxa"/>
          </w:tcPr>
          <w:p w14:paraId="04641F7A"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3.6</w:t>
            </w:r>
          </w:p>
        </w:tc>
        <w:tc>
          <w:tcPr>
            <w:tcW w:w="810" w:type="dxa"/>
          </w:tcPr>
          <w:p w14:paraId="10183B81"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19.2, 33.3</w:t>
            </w:r>
          </w:p>
        </w:tc>
        <w:tc>
          <w:tcPr>
            <w:tcW w:w="540" w:type="dxa"/>
          </w:tcPr>
          <w:p w14:paraId="0CAF6F7A"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19.8</w:t>
            </w:r>
          </w:p>
        </w:tc>
        <w:tc>
          <w:tcPr>
            <w:tcW w:w="630" w:type="dxa"/>
          </w:tcPr>
          <w:p w14:paraId="415443DB"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5.2</w:t>
            </w:r>
          </w:p>
        </w:tc>
        <w:tc>
          <w:tcPr>
            <w:tcW w:w="824" w:type="dxa"/>
          </w:tcPr>
          <w:p w14:paraId="58BC0CA9"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 xml:space="preserve">30.0, </w:t>
            </w:r>
            <w:r>
              <w:rPr>
                <w:rFonts w:eastAsia="Times New Roman"/>
                <w:bCs/>
                <w:color w:val="000000" w:themeColor="text1"/>
              </w:rPr>
              <w:t>–</w:t>
            </w:r>
            <w:r w:rsidRPr="003328F3">
              <w:rPr>
                <w:rFonts w:eastAsia="Times New Roman"/>
                <w:bCs/>
                <w:color w:val="000000" w:themeColor="text1"/>
              </w:rPr>
              <w:t>9.6</w:t>
            </w:r>
          </w:p>
        </w:tc>
      </w:tr>
      <w:tr w:rsidR="0033663C" w:rsidRPr="003328F3" w14:paraId="4D37597A" w14:textId="77777777" w:rsidTr="000D2725">
        <w:trPr>
          <w:cnfStyle w:val="010000000000" w:firstRow="0" w:lastRow="1" w:firstColumn="0" w:lastColumn="0" w:oddVBand="0" w:evenVBand="0" w:oddHBand="0" w:evenHBand="0" w:firstRowFirstColumn="0" w:firstRowLastColumn="0" w:lastRowFirstColumn="0" w:lastRowLastColumn="0"/>
          <w:cantSplit/>
        </w:trPr>
        <w:tc>
          <w:tcPr>
            <w:tcW w:w="1375" w:type="dxa"/>
          </w:tcPr>
          <w:p w14:paraId="1B0067FC" w14:textId="77777777" w:rsidR="0033663C" w:rsidRPr="003328F3" w:rsidRDefault="0033663C" w:rsidP="0033663C">
            <w:pPr>
              <w:pStyle w:val="TableText"/>
              <w:rPr>
                <w:rFonts w:cs="Arial"/>
              </w:rPr>
            </w:pPr>
            <w:r w:rsidRPr="003328F3">
              <w:rPr>
                <w:rFonts w:cs="Arial"/>
              </w:rPr>
              <w:t>Don’t know/refused</w:t>
            </w:r>
            <w:r>
              <w:rPr>
                <w:rFonts w:cs="Arial"/>
                <w:vertAlign w:val="superscript"/>
              </w:rPr>
              <w:t>*</w:t>
            </w:r>
          </w:p>
        </w:tc>
        <w:tc>
          <w:tcPr>
            <w:tcW w:w="540" w:type="dxa"/>
          </w:tcPr>
          <w:p w14:paraId="79A1E35E" w14:textId="77777777" w:rsidR="0033663C" w:rsidRPr="003328F3" w:rsidRDefault="0033663C" w:rsidP="0033663C">
            <w:pPr>
              <w:pStyle w:val="TableText"/>
              <w:jc w:val="right"/>
              <w:rPr>
                <w:color w:val="000000" w:themeColor="text1"/>
              </w:rPr>
            </w:pPr>
            <w:r w:rsidRPr="003328F3">
              <w:rPr>
                <w:color w:val="000000" w:themeColor="text1"/>
              </w:rPr>
              <w:t>0.0</w:t>
            </w:r>
          </w:p>
        </w:tc>
        <w:tc>
          <w:tcPr>
            <w:tcW w:w="615" w:type="dxa"/>
          </w:tcPr>
          <w:p w14:paraId="529C8F86" w14:textId="77777777" w:rsidR="0033663C" w:rsidRPr="003328F3" w:rsidRDefault="0033663C" w:rsidP="0033663C">
            <w:pPr>
              <w:pStyle w:val="TableText"/>
              <w:jc w:val="right"/>
              <w:rPr>
                <w:color w:val="000000" w:themeColor="text1"/>
              </w:rPr>
            </w:pPr>
            <w:r>
              <w:rPr>
                <w:color w:val="000000" w:themeColor="text1"/>
              </w:rPr>
              <w:t>–</w:t>
            </w:r>
          </w:p>
        </w:tc>
        <w:tc>
          <w:tcPr>
            <w:tcW w:w="825" w:type="dxa"/>
          </w:tcPr>
          <w:p w14:paraId="5B3AE39E" w14:textId="77777777" w:rsidR="0033663C" w:rsidRPr="003328F3" w:rsidRDefault="0033663C" w:rsidP="0033663C">
            <w:pPr>
              <w:pStyle w:val="TableText"/>
              <w:jc w:val="right"/>
              <w:rPr>
                <w:color w:val="000000" w:themeColor="text1"/>
              </w:rPr>
            </w:pPr>
            <w:r>
              <w:rPr>
                <w:color w:val="000000" w:themeColor="text1"/>
              </w:rPr>
              <w:t>–</w:t>
            </w:r>
          </w:p>
        </w:tc>
        <w:tc>
          <w:tcPr>
            <w:tcW w:w="540" w:type="dxa"/>
          </w:tcPr>
          <w:p w14:paraId="7D3AF95D" w14:textId="77777777" w:rsidR="0033663C" w:rsidRPr="003328F3" w:rsidRDefault="0033663C" w:rsidP="0033663C">
            <w:pPr>
              <w:pStyle w:val="TableText"/>
              <w:jc w:val="right"/>
              <w:rPr>
                <w:color w:val="000000" w:themeColor="text1"/>
              </w:rPr>
            </w:pPr>
            <w:r w:rsidRPr="003328F3">
              <w:rPr>
                <w:color w:val="000000" w:themeColor="text1"/>
              </w:rPr>
              <w:t>3.4</w:t>
            </w:r>
          </w:p>
        </w:tc>
        <w:tc>
          <w:tcPr>
            <w:tcW w:w="630" w:type="dxa"/>
          </w:tcPr>
          <w:p w14:paraId="5A7D643D"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1.6</w:t>
            </w:r>
          </w:p>
        </w:tc>
        <w:tc>
          <w:tcPr>
            <w:tcW w:w="810" w:type="dxa"/>
          </w:tcPr>
          <w:p w14:paraId="177B50F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0.3, 6.4</w:t>
            </w:r>
          </w:p>
        </w:tc>
        <w:tc>
          <w:tcPr>
            <w:tcW w:w="540" w:type="dxa"/>
          </w:tcPr>
          <w:p w14:paraId="70DD5D7B"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3.4</w:t>
            </w:r>
          </w:p>
        </w:tc>
        <w:tc>
          <w:tcPr>
            <w:tcW w:w="630" w:type="dxa"/>
          </w:tcPr>
          <w:p w14:paraId="77582467"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1.6</w:t>
            </w:r>
          </w:p>
        </w:tc>
        <w:tc>
          <w:tcPr>
            <w:tcW w:w="824" w:type="dxa"/>
          </w:tcPr>
          <w:p w14:paraId="0B7972D7"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 xml:space="preserve">6.4, </w:t>
            </w:r>
            <w:r>
              <w:rPr>
                <w:rFonts w:eastAsia="Times New Roman"/>
                <w:bCs/>
                <w:color w:val="000000" w:themeColor="text1"/>
              </w:rPr>
              <w:t>–</w:t>
            </w:r>
            <w:r w:rsidRPr="003328F3">
              <w:rPr>
                <w:rFonts w:eastAsia="Times New Roman"/>
                <w:bCs/>
                <w:color w:val="000000" w:themeColor="text1"/>
              </w:rPr>
              <w:t>0.3</w:t>
            </w:r>
          </w:p>
        </w:tc>
      </w:tr>
    </w:tbl>
    <w:p w14:paraId="5F708013" w14:textId="77777777" w:rsidR="0033663C" w:rsidRPr="00F52280" w:rsidRDefault="0033663C" w:rsidP="0033663C">
      <w:pPr>
        <w:pStyle w:val="TableNotes"/>
      </w:pPr>
      <w:r>
        <w:rPr>
          <w:rFonts w:cs="Arial"/>
          <w:vertAlign w:val="superscript"/>
        </w:rPr>
        <w:t>*</w:t>
      </w:r>
      <w:r w:rsidRPr="00F52280">
        <w:t>Only the Young and Well participants had the response options of ‘Don’t know’ or ‘Refused’.</w:t>
      </w:r>
    </w:p>
    <w:p w14:paraId="79EE422C" w14:textId="77777777" w:rsidR="0033663C" w:rsidRPr="00E80BF3" w:rsidRDefault="0033663C" w:rsidP="0033663C">
      <w:pPr>
        <w:pStyle w:val="TableNotes"/>
      </w:pPr>
      <w:r w:rsidRPr="00E80BF3">
        <w:t>Notes</w:t>
      </w:r>
    </w:p>
    <w:p w14:paraId="446D9A0E" w14:textId="77777777" w:rsidR="0033663C" w:rsidRDefault="0033663C" w:rsidP="0033663C">
      <w:pPr>
        <w:pStyle w:val="TableNotes"/>
      </w:pPr>
      <w:r w:rsidRPr="00F52280">
        <w:t xml:space="preserve">Denominator: Transitioned ADF </w:t>
      </w:r>
      <w:r>
        <w:t>18–25</w:t>
      </w:r>
      <w:r w:rsidRPr="00F52280">
        <w:t xml:space="preserve"> years and Young and Well </w:t>
      </w:r>
      <w:r>
        <w:t>18–25</w:t>
      </w:r>
      <w:r w:rsidRPr="00F52280">
        <w:t xml:space="preserve"> years cohorts who used the </w:t>
      </w:r>
      <w:r>
        <w:t>internet</w:t>
      </w:r>
      <w:r w:rsidRPr="00F52280">
        <w:t xml:space="preserve"> for mental health issues</w:t>
      </w:r>
      <w:r>
        <w:t>.</w:t>
      </w:r>
    </w:p>
    <w:p w14:paraId="3BBBDF88" w14:textId="77777777" w:rsidR="0033663C" w:rsidRPr="00F52280" w:rsidRDefault="0033663C" w:rsidP="0033663C">
      <w:pPr>
        <w:pStyle w:val="TableNotes"/>
      </w:pPr>
      <w:r>
        <w:t>There were no</w:t>
      </w:r>
      <w:r w:rsidRPr="008A51EB">
        <w:t xml:space="preserve"> m</w:t>
      </w:r>
      <w:r>
        <w:t>issing values for this question.</w:t>
      </w:r>
    </w:p>
    <w:p w14:paraId="317B3315" w14:textId="77777777" w:rsidR="0033663C" w:rsidRDefault="0033663C" w:rsidP="0033663C">
      <w:pPr>
        <w:pStyle w:val="TableNotes"/>
      </w:pPr>
      <w:r>
        <w:t>95%CI = 95% confidence interval.</w:t>
      </w:r>
    </w:p>
    <w:p w14:paraId="5E637BD4" w14:textId="77777777" w:rsidR="0033663C" w:rsidRPr="003328F3" w:rsidRDefault="0033663C" w:rsidP="0033663C">
      <w:pPr>
        <w:pStyle w:val="FigureName"/>
        <w:rPr>
          <w:lang w:eastAsia="en-AU"/>
        </w:rPr>
      </w:pPr>
      <w:bookmarkStart w:id="1196" w:name="_Ref514912404"/>
      <w:bookmarkStart w:id="1197" w:name="_Toc508110691"/>
      <w:bookmarkStart w:id="1198" w:name="_Toc510087917"/>
      <w:bookmarkStart w:id="1199" w:name="_Toc515374742"/>
      <w:bookmarkStart w:id="1200" w:name="_Toc528932426"/>
      <w:bookmarkStart w:id="1201" w:name="_Toc531858106"/>
      <w:r>
        <w:t xml:space="preserve">Figure </w:t>
      </w:r>
      <w:r>
        <w:rPr>
          <w:noProof/>
        </w:rPr>
        <w:t>10</w:t>
      </w:r>
      <w:r>
        <w:t>.</w:t>
      </w:r>
      <w:r>
        <w:rPr>
          <w:noProof/>
        </w:rPr>
        <w:t>6</w:t>
      </w:r>
      <w:bookmarkEnd w:id="1196"/>
      <w:r>
        <w:tab/>
      </w:r>
      <w:r w:rsidRPr="003328F3">
        <w:t xml:space="preserve">Effectiveness of the </w:t>
      </w:r>
      <w:r>
        <w:t>internet</w:t>
      </w:r>
      <w:r w:rsidRPr="003328F3">
        <w:t xml:space="preserve"> in helping young adults deal effectively with mental health problems in Transitioned ADF (aged </w:t>
      </w:r>
      <w:r>
        <w:t>18–25</w:t>
      </w:r>
      <w:r w:rsidRPr="003328F3">
        <w:t>) compared to the Young and Well cohort</w:t>
      </w:r>
      <w:bookmarkEnd w:id="1197"/>
      <w:bookmarkEnd w:id="1198"/>
      <w:bookmarkEnd w:id="1199"/>
      <w:bookmarkEnd w:id="1200"/>
      <w:bookmarkEnd w:id="1201"/>
    </w:p>
    <w:p w14:paraId="29924DA2" w14:textId="77777777" w:rsidR="0033663C" w:rsidRPr="00BD399E" w:rsidRDefault="00BD399E" w:rsidP="00B737A1">
      <w:pPr>
        <w:spacing w:after="360"/>
      </w:pPr>
      <w:r w:rsidRPr="003328F3">
        <w:rPr>
          <w:rFonts w:asciiTheme="minorHAnsi" w:hAnsiTheme="minorHAnsi"/>
          <w:noProof/>
          <w:lang w:eastAsia="en-AU"/>
        </w:rPr>
        <w:drawing>
          <wp:inline distT="0" distB="0" distL="0" distR="0" wp14:anchorId="20AA52AA" wp14:editId="4ABEFF44">
            <wp:extent cx="4572000" cy="3200400"/>
            <wp:effectExtent l="0" t="0" r="19050" b="19050"/>
            <wp:docPr id="490" name="Chart 490" descr="Figure 10.6 Effectiveness of the internet in helping young adults deal effectively with mental health problems in Transitioned ADF (aged 18–25) compared to the Young and Wel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6CB8FC9E" w14:textId="77777777" w:rsidR="0033663C" w:rsidRPr="00F52280" w:rsidRDefault="0033663C" w:rsidP="0033663C">
      <w:pPr>
        <w:pStyle w:val="Heading3"/>
        <w:numPr>
          <w:ilvl w:val="2"/>
          <w:numId w:val="1"/>
        </w:numPr>
      </w:pPr>
      <w:bookmarkStart w:id="1202" w:name="_Toc387565422"/>
      <w:bookmarkStart w:id="1203" w:name="_Toc515374571"/>
      <w:bookmarkStart w:id="1204" w:name="_Toc518566465"/>
      <w:bookmarkStart w:id="1205" w:name="_Toc528932743"/>
      <w:bookmarkStart w:id="1206" w:name="_Toc531859280"/>
      <w:r w:rsidRPr="00F52280">
        <w:t xml:space="preserve">Satisfaction with information received on the </w:t>
      </w:r>
      <w:r>
        <w:t>internet</w:t>
      </w:r>
      <w:r w:rsidRPr="00F52280">
        <w:t xml:space="preserve"> in relation to mental health</w:t>
      </w:r>
      <w:bookmarkEnd w:id="1202"/>
      <w:bookmarkEnd w:id="1203"/>
      <w:bookmarkEnd w:id="1204"/>
      <w:bookmarkEnd w:id="1205"/>
      <w:bookmarkEnd w:id="1206"/>
    </w:p>
    <w:p w14:paraId="0FC01F28" w14:textId="7A2087F9" w:rsidR="0033663C" w:rsidRPr="003328F3" w:rsidRDefault="0033663C" w:rsidP="0033663C">
      <w:pPr>
        <w:rPr>
          <w:rFonts w:asciiTheme="minorHAnsi" w:hAnsiTheme="minorHAnsi" w:cstheme="minorHAnsi"/>
        </w:rPr>
      </w:pPr>
      <w:r w:rsidRPr="003328F3">
        <w:rPr>
          <w:rFonts w:asciiTheme="minorHAnsi" w:hAnsiTheme="minorHAnsi" w:cstheme="minorHAnsi"/>
        </w:rPr>
        <w:t xml:space="preserve">Of those who indicated they had used the </w:t>
      </w:r>
      <w:r>
        <w:rPr>
          <w:rFonts w:asciiTheme="minorHAnsi" w:hAnsiTheme="minorHAnsi" w:cstheme="minorHAnsi"/>
        </w:rPr>
        <w:t>internet</w:t>
      </w:r>
      <w:r w:rsidRPr="003328F3">
        <w:rPr>
          <w:rFonts w:asciiTheme="minorHAnsi" w:hAnsiTheme="minorHAnsi" w:cstheme="minorHAnsi"/>
        </w:rPr>
        <w:t xml:space="preserve"> for mental health issues (</w:t>
      </w:r>
      <w:r>
        <w:rPr>
          <w:rFonts w:asciiTheme="minorHAnsi" w:hAnsiTheme="minorHAnsi" w:cstheme="minorHAnsi"/>
        </w:rPr>
        <w:t xml:space="preserve">The Mental Health and Wellbeing </w:t>
      </w:r>
      <w:r w:rsidRPr="003328F3">
        <w:rPr>
          <w:rFonts w:asciiTheme="minorHAnsi" w:hAnsiTheme="minorHAnsi" w:cstheme="minorHAnsi"/>
        </w:rPr>
        <w:t xml:space="preserve">Transition </w:t>
      </w:r>
      <w:r>
        <w:rPr>
          <w:rFonts w:asciiTheme="minorHAnsi" w:hAnsiTheme="minorHAnsi" w:cstheme="minorHAnsi"/>
        </w:rPr>
        <w:t>S</w:t>
      </w:r>
      <w:r w:rsidRPr="003328F3">
        <w:rPr>
          <w:rFonts w:asciiTheme="minorHAnsi" w:hAnsiTheme="minorHAnsi" w:cstheme="minorHAnsi"/>
        </w:rPr>
        <w:t xml:space="preserve">tudy </w:t>
      </w:r>
      <w:r w:rsidR="00D70D09">
        <w:rPr>
          <w:rFonts w:asciiTheme="minorHAnsi" w:hAnsiTheme="minorHAnsi" w:cstheme="minorHAnsi"/>
        </w:rPr>
        <w:t xml:space="preserve">n = </w:t>
      </w:r>
      <w:r w:rsidRPr="003328F3">
        <w:rPr>
          <w:rFonts w:asciiTheme="minorHAnsi" w:hAnsiTheme="minorHAnsi" w:cstheme="minorHAnsi"/>
        </w:rPr>
        <w:t xml:space="preserve">720, </w:t>
      </w:r>
      <w:r>
        <w:rPr>
          <w:rFonts w:asciiTheme="minorHAnsi" w:hAnsiTheme="minorHAnsi" w:cstheme="minorHAnsi"/>
        </w:rPr>
        <w:t xml:space="preserve">Young and Well Study </w:t>
      </w:r>
      <w:r w:rsidR="00D70D09">
        <w:rPr>
          <w:rFonts w:asciiTheme="minorHAnsi" w:hAnsiTheme="minorHAnsi" w:cstheme="minorHAnsi"/>
        </w:rPr>
        <w:t xml:space="preserve">n = </w:t>
      </w:r>
      <w:r>
        <w:rPr>
          <w:rFonts w:asciiTheme="minorHAnsi" w:hAnsiTheme="minorHAnsi" w:cstheme="minorHAnsi"/>
        </w:rPr>
        <w:t>490. S</w:t>
      </w:r>
      <w:r w:rsidRPr="003328F3">
        <w:rPr>
          <w:rFonts w:asciiTheme="minorHAnsi" w:hAnsiTheme="minorHAnsi" w:cstheme="minorHAnsi"/>
        </w:rPr>
        <w:t xml:space="preserve">ee section </w:t>
      </w:r>
      <w:r>
        <w:rPr>
          <w:rFonts w:asciiTheme="minorHAnsi" w:hAnsiTheme="minorHAnsi" w:cstheme="minorHAnsi"/>
        </w:rPr>
        <w:t>10.5</w:t>
      </w:r>
      <w:r w:rsidRPr="003328F3">
        <w:rPr>
          <w:rFonts w:asciiTheme="minorHAnsi" w:hAnsiTheme="minorHAnsi" w:cstheme="minorHAnsi"/>
        </w:rPr>
        <w:t xml:space="preserve">.1 for the exact wording of this question in both surveys), respondents in the </w:t>
      </w:r>
      <w:r w:rsidRPr="003328F3">
        <w:t>Mental H</w:t>
      </w:r>
      <w:r>
        <w:t>ealth and Wellbeing Transition S</w:t>
      </w:r>
      <w:r w:rsidRPr="003328F3">
        <w:t>tudy were asked</w:t>
      </w:r>
      <w:r>
        <w:t>,</w:t>
      </w:r>
      <w:r w:rsidRPr="003328F3">
        <w:t xml:space="preserve"> </w:t>
      </w:r>
      <w:r>
        <w:t>‘</w:t>
      </w:r>
      <w:r w:rsidRPr="003328F3">
        <w:rPr>
          <w:rFonts w:eastAsia="Times New Roman" w:cs="Calibri"/>
          <w:szCs w:val="22"/>
          <w:lang w:eastAsia="en-AU"/>
        </w:rPr>
        <w:t xml:space="preserve">Overall, how satisfied were you with the information you received on the </w:t>
      </w:r>
      <w:r>
        <w:rPr>
          <w:rFonts w:eastAsia="Times New Roman" w:cs="Calibri"/>
          <w:szCs w:val="22"/>
          <w:lang w:eastAsia="en-AU"/>
        </w:rPr>
        <w:t>internet</w:t>
      </w:r>
      <w:r w:rsidRPr="003328F3">
        <w:rPr>
          <w:rFonts w:eastAsia="Times New Roman" w:cs="Calibri"/>
          <w:szCs w:val="22"/>
          <w:lang w:eastAsia="en-AU"/>
        </w:rPr>
        <w:t xml:space="preserve"> in relation to mental health?</w:t>
      </w:r>
      <w:r>
        <w:t>’</w:t>
      </w:r>
      <w:r w:rsidRPr="003328F3">
        <w:t xml:space="preserve"> where</w:t>
      </w:r>
      <w:r>
        <w:t>as</w:t>
      </w:r>
      <w:r w:rsidRPr="003328F3">
        <w:t xml:space="preserve"> respo</w:t>
      </w:r>
      <w:r>
        <w:t>ndents from the Young and Well S</w:t>
      </w:r>
      <w:r w:rsidRPr="003328F3">
        <w:t>tudy were asked</w:t>
      </w:r>
      <w:r>
        <w:t>,</w:t>
      </w:r>
      <w:r w:rsidRPr="003328F3">
        <w:t xml:space="preserve"> </w:t>
      </w:r>
      <w:r>
        <w:t>‘</w:t>
      </w:r>
      <w:r w:rsidRPr="003328F3">
        <w:rPr>
          <w:rFonts w:eastAsia="Times New Roman" w:cs="Calibri"/>
          <w:szCs w:val="22"/>
          <w:lang w:eastAsia="en-AU"/>
        </w:rPr>
        <w:t xml:space="preserve">Overall, how satisfied were you with the information you received on the </w:t>
      </w:r>
      <w:r>
        <w:rPr>
          <w:rFonts w:eastAsia="Times New Roman" w:cs="Calibri"/>
          <w:szCs w:val="22"/>
          <w:lang w:eastAsia="en-AU"/>
        </w:rPr>
        <w:t>internet</w:t>
      </w:r>
      <w:r w:rsidRPr="003328F3">
        <w:rPr>
          <w:rFonts w:eastAsia="Times New Roman" w:cs="Calibri"/>
          <w:szCs w:val="22"/>
          <w:lang w:eastAsia="en-AU"/>
        </w:rPr>
        <w:t>?</w:t>
      </w:r>
      <w:r>
        <w:rPr>
          <w:rFonts w:eastAsia="Times New Roman" w:cs="Calibri"/>
          <w:szCs w:val="22"/>
          <w:lang w:eastAsia="en-AU"/>
        </w:rPr>
        <w:t>’</w:t>
      </w:r>
      <w:r w:rsidRPr="003328F3">
        <w:rPr>
          <w:rFonts w:asciiTheme="minorHAnsi" w:hAnsiTheme="minorHAnsi" w:cstheme="minorHAnsi"/>
        </w:rPr>
        <w:t>.</w:t>
      </w:r>
    </w:p>
    <w:p w14:paraId="5877E86B" w14:textId="77777777" w:rsidR="0033663C" w:rsidRPr="003328F3" w:rsidRDefault="0033663C" w:rsidP="0033663C">
      <w:pPr>
        <w:rPr>
          <w:rFonts w:eastAsia="Times New Roman" w:cs="Calibri"/>
          <w:szCs w:val="22"/>
          <w:lang w:eastAsia="en-AU"/>
        </w:rPr>
      </w:pPr>
      <w:r>
        <w:t xml:space="preserve">Table </w:t>
      </w:r>
      <w:r>
        <w:rPr>
          <w:noProof/>
        </w:rPr>
        <w:t>10.7</w:t>
      </w:r>
      <w:r w:rsidRPr="00D56F28">
        <w:rPr>
          <w:rFonts w:asciiTheme="minorHAnsi" w:hAnsiTheme="minorHAnsi" w:cstheme="minorHAnsi"/>
        </w:rPr>
        <w:t xml:space="preserve"> and </w:t>
      </w:r>
      <w:r>
        <w:t xml:space="preserve">Figure </w:t>
      </w:r>
      <w:r>
        <w:rPr>
          <w:noProof/>
        </w:rPr>
        <w:t>10.7</w:t>
      </w:r>
      <w:r w:rsidRPr="00D56F28">
        <w:rPr>
          <w:rFonts w:asciiTheme="minorHAnsi" w:hAnsiTheme="minorHAnsi" w:cstheme="minorHAnsi"/>
        </w:rPr>
        <w:t xml:space="preserve"> </w:t>
      </w:r>
      <w:r>
        <w:rPr>
          <w:rFonts w:asciiTheme="minorHAnsi" w:hAnsiTheme="minorHAnsi" w:cstheme="minorHAnsi"/>
        </w:rPr>
        <w:t>show</w:t>
      </w:r>
      <w:r w:rsidRPr="003328F3">
        <w:rPr>
          <w:rFonts w:asciiTheme="minorHAnsi" w:hAnsiTheme="minorHAnsi" w:cstheme="minorHAnsi"/>
        </w:rPr>
        <w:t xml:space="preserve"> the proportions of the Transitioned ADF </w:t>
      </w:r>
      <w:r>
        <w:rPr>
          <w:rFonts w:asciiTheme="minorHAnsi" w:hAnsiTheme="minorHAnsi" w:cstheme="minorHAnsi"/>
        </w:rPr>
        <w:t xml:space="preserve">young adults </w:t>
      </w:r>
      <w:r w:rsidRPr="003328F3">
        <w:rPr>
          <w:rFonts w:asciiTheme="minorHAnsi" w:hAnsiTheme="minorHAnsi" w:cstheme="minorHAnsi"/>
        </w:rPr>
        <w:t xml:space="preserve">and the Young and Well cohort who were satisfied </w:t>
      </w:r>
      <w:r w:rsidRPr="003328F3">
        <w:rPr>
          <w:rFonts w:eastAsia="Times New Roman" w:cs="Calibri"/>
          <w:szCs w:val="22"/>
          <w:lang w:eastAsia="en-AU"/>
        </w:rPr>
        <w:t xml:space="preserve">with the information they received on the </w:t>
      </w:r>
      <w:r>
        <w:rPr>
          <w:rFonts w:eastAsia="Times New Roman" w:cs="Calibri"/>
          <w:szCs w:val="22"/>
          <w:lang w:eastAsia="en-AU"/>
        </w:rPr>
        <w:t>internet</w:t>
      </w:r>
      <w:r w:rsidRPr="003328F3">
        <w:rPr>
          <w:rFonts w:eastAsia="Times New Roman" w:cs="Calibri"/>
          <w:szCs w:val="22"/>
          <w:lang w:eastAsia="en-AU"/>
        </w:rPr>
        <w:t>.</w:t>
      </w:r>
    </w:p>
    <w:p w14:paraId="0B1C3521" w14:textId="77777777" w:rsidR="0033663C" w:rsidRPr="003328F3" w:rsidRDefault="0033663C" w:rsidP="0033663C">
      <w:pPr>
        <w:rPr>
          <w:rFonts w:asciiTheme="minorHAnsi" w:hAnsiTheme="minorHAnsi" w:cstheme="minorHAnsi"/>
          <w:szCs w:val="22"/>
        </w:rPr>
      </w:pPr>
      <w:r w:rsidRPr="003328F3">
        <w:rPr>
          <w:rFonts w:asciiTheme="minorHAnsi" w:hAnsiTheme="minorHAnsi" w:cstheme="minorHAnsi"/>
        </w:rPr>
        <w:t>Most of the Transitioned ADF</w:t>
      </w:r>
      <w:r>
        <w:rPr>
          <w:rFonts w:asciiTheme="minorHAnsi" w:hAnsiTheme="minorHAnsi" w:cstheme="minorHAnsi"/>
        </w:rPr>
        <w:t xml:space="preserve"> young adults</w:t>
      </w:r>
      <w:r w:rsidRPr="003328F3">
        <w:rPr>
          <w:rFonts w:asciiTheme="minorHAnsi" w:hAnsiTheme="minorHAnsi" w:cstheme="minorHAnsi"/>
        </w:rPr>
        <w:t xml:space="preserve"> (69.1%) and Young and Well cohort (71.9%) reported that they were ‘somewhat satisfied’ with the information they received on the </w:t>
      </w:r>
      <w:r>
        <w:rPr>
          <w:rFonts w:asciiTheme="minorHAnsi" w:hAnsiTheme="minorHAnsi" w:cstheme="minorHAnsi"/>
        </w:rPr>
        <w:t>internet</w:t>
      </w:r>
      <w:r w:rsidRPr="003328F3">
        <w:rPr>
          <w:rFonts w:asciiTheme="minorHAnsi" w:hAnsiTheme="minorHAnsi" w:cstheme="minorHAnsi"/>
        </w:rPr>
        <w:t xml:space="preserve"> in relation to mental health.</w:t>
      </w:r>
      <w:r>
        <w:rPr>
          <w:rFonts w:asciiTheme="minorHAnsi" w:hAnsiTheme="minorHAnsi" w:cstheme="minorHAnsi"/>
          <w:szCs w:val="22"/>
        </w:rPr>
        <w:t xml:space="preserve"> </w:t>
      </w:r>
      <w:r w:rsidRPr="003328F3">
        <w:rPr>
          <w:rFonts w:asciiTheme="minorHAnsi" w:hAnsiTheme="minorHAnsi" w:cstheme="minorHAnsi"/>
          <w:szCs w:val="22"/>
        </w:rPr>
        <w:t>Transitioned ADF</w:t>
      </w:r>
      <w:r>
        <w:rPr>
          <w:rFonts w:asciiTheme="minorHAnsi" w:hAnsiTheme="minorHAnsi" w:cstheme="minorHAnsi"/>
          <w:szCs w:val="22"/>
        </w:rPr>
        <w:t xml:space="preserve"> young adults</w:t>
      </w:r>
      <w:r w:rsidRPr="003328F3">
        <w:rPr>
          <w:rFonts w:asciiTheme="minorHAnsi" w:hAnsiTheme="minorHAnsi" w:cstheme="minorHAnsi"/>
          <w:szCs w:val="22"/>
        </w:rPr>
        <w:t xml:space="preserve"> </w:t>
      </w:r>
      <w:r w:rsidRPr="003328F3">
        <w:rPr>
          <w:szCs w:val="22"/>
        </w:rPr>
        <w:t xml:space="preserve">(20.5%) </w:t>
      </w:r>
      <w:r w:rsidRPr="003328F3">
        <w:rPr>
          <w:rFonts w:asciiTheme="minorHAnsi" w:hAnsiTheme="minorHAnsi" w:cstheme="minorHAnsi"/>
          <w:szCs w:val="22"/>
        </w:rPr>
        <w:t xml:space="preserve">were significantly more likely to endorse being ‘somewhat dissatisfied’ with the information they received on the </w:t>
      </w:r>
      <w:r>
        <w:rPr>
          <w:rFonts w:asciiTheme="minorHAnsi" w:hAnsiTheme="minorHAnsi" w:cstheme="minorHAnsi"/>
          <w:szCs w:val="22"/>
        </w:rPr>
        <w:t>internet</w:t>
      </w:r>
      <w:r w:rsidRPr="003328F3">
        <w:rPr>
          <w:rFonts w:asciiTheme="minorHAnsi" w:hAnsiTheme="minorHAnsi" w:cstheme="minorHAnsi"/>
          <w:szCs w:val="22"/>
        </w:rPr>
        <w:t xml:space="preserve"> in relation to mental health compared to the Young and Well cohort </w:t>
      </w:r>
      <w:r w:rsidRPr="003328F3">
        <w:rPr>
          <w:szCs w:val="22"/>
        </w:rPr>
        <w:t xml:space="preserve">(4.2%) and significantly less likely to endorse being ‘very satisfied’ with the information they received on the </w:t>
      </w:r>
      <w:r>
        <w:rPr>
          <w:szCs w:val="22"/>
        </w:rPr>
        <w:t>internet</w:t>
      </w:r>
      <w:r w:rsidRPr="003328F3">
        <w:rPr>
          <w:szCs w:val="22"/>
        </w:rPr>
        <w:t xml:space="preserve"> in </w:t>
      </w:r>
      <w:r>
        <w:rPr>
          <w:szCs w:val="22"/>
        </w:rPr>
        <w:t xml:space="preserve">relation to mental health (7.1% </w:t>
      </w:r>
      <w:r w:rsidRPr="003328F3">
        <w:rPr>
          <w:szCs w:val="22"/>
        </w:rPr>
        <w:t>compared to 20.7%).</w:t>
      </w:r>
    </w:p>
    <w:p w14:paraId="542EE7D0" w14:textId="77777777" w:rsidR="0033663C" w:rsidRPr="003328F3" w:rsidRDefault="0033663C" w:rsidP="0033663C">
      <w:pPr>
        <w:pStyle w:val="TableName"/>
        <w:rPr>
          <w:rFonts w:eastAsia="Times New Roman" w:cs="Calibri"/>
          <w:szCs w:val="22"/>
          <w:lang w:eastAsia="en-AU"/>
        </w:rPr>
      </w:pPr>
      <w:bookmarkStart w:id="1207" w:name="_Ref514912461"/>
      <w:bookmarkStart w:id="1208" w:name="_Toc528932371"/>
      <w:bookmarkStart w:id="1209" w:name="_Toc531858050"/>
      <w:r>
        <w:t xml:space="preserve">Table </w:t>
      </w:r>
      <w:r>
        <w:rPr>
          <w:noProof/>
        </w:rPr>
        <w:t>10</w:t>
      </w:r>
      <w:r>
        <w:t>.</w:t>
      </w:r>
      <w:r>
        <w:rPr>
          <w:noProof/>
        </w:rPr>
        <w:t>7</w:t>
      </w:r>
      <w:bookmarkEnd w:id="1207"/>
      <w:r>
        <w:tab/>
      </w:r>
      <w:r w:rsidRPr="003328F3">
        <w:t xml:space="preserve">Satisfaction with information received in relation to mental health in Transitioned ADF (aged </w:t>
      </w:r>
      <w:r>
        <w:t>18–25</w:t>
      </w:r>
      <w:r w:rsidRPr="003328F3">
        <w:t>) compared to the Young and Well cohort</w:t>
      </w:r>
      <w:bookmarkEnd w:id="1208"/>
      <w:bookmarkEnd w:id="1209"/>
    </w:p>
    <w:tbl>
      <w:tblPr>
        <w:tblStyle w:val="TWRPTable"/>
        <w:tblW w:w="5000" w:type="pct"/>
        <w:tblLayout w:type="fixed"/>
        <w:tblCellMar>
          <w:left w:w="115" w:type="dxa"/>
          <w:right w:w="115" w:type="dxa"/>
        </w:tblCellMar>
        <w:tblLook w:val="01E0" w:firstRow="1" w:lastRow="1" w:firstColumn="1" w:lastColumn="1" w:noHBand="0" w:noVBand="0"/>
        <w:tblDescription w:val="Table 10.7 Satisfaction with information received in relation to mental health in Transitioned ADF (aged 18–25) compared to the Young and Well cohort"/>
      </w:tblPr>
      <w:tblGrid>
        <w:gridCol w:w="1404"/>
        <w:gridCol w:w="526"/>
        <w:gridCol w:w="526"/>
        <w:gridCol w:w="843"/>
        <w:gridCol w:w="550"/>
        <w:gridCol w:w="526"/>
        <w:gridCol w:w="819"/>
        <w:gridCol w:w="574"/>
        <w:gridCol w:w="440"/>
        <w:gridCol w:w="881"/>
      </w:tblGrid>
      <w:tr w:rsidR="0033663C" w:rsidRPr="009A57D8" w14:paraId="3119697D" w14:textId="77777777" w:rsidTr="009A57D8">
        <w:trPr>
          <w:cnfStyle w:val="100000000000" w:firstRow="1" w:lastRow="0" w:firstColumn="0" w:lastColumn="0" w:oddVBand="0" w:evenVBand="0" w:oddHBand="0" w:evenHBand="0" w:firstRowFirstColumn="0" w:firstRowLastColumn="0" w:lastRowFirstColumn="0" w:lastRowLastColumn="0"/>
          <w:cantSplit/>
          <w:tblHeader/>
        </w:trPr>
        <w:tc>
          <w:tcPr>
            <w:tcW w:w="1465" w:type="dxa"/>
            <w:tcBorders>
              <w:top w:val="single" w:sz="4" w:space="0" w:color="000000"/>
              <w:bottom w:val="nil"/>
            </w:tcBorders>
          </w:tcPr>
          <w:p w14:paraId="267FF294" w14:textId="77777777" w:rsidR="0033663C" w:rsidRPr="009A57D8" w:rsidRDefault="0033663C" w:rsidP="0033663C">
            <w:pPr>
              <w:pStyle w:val="TableText"/>
              <w:rPr>
                <w:lang w:eastAsia="en-AU"/>
              </w:rPr>
            </w:pPr>
          </w:p>
        </w:tc>
        <w:tc>
          <w:tcPr>
            <w:tcW w:w="1954" w:type="dxa"/>
            <w:gridSpan w:val="3"/>
            <w:hideMark/>
          </w:tcPr>
          <w:p w14:paraId="1589CD58" w14:textId="77777777" w:rsidR="0033663C" w:rsidRPr="009A57D8" w:rsidRDefault="0033663C" w:rsidP="009A57D8">
            <w:pPr>
              <w:pStyle w:val="TableText"/>
              <w:jc w:val="center"/>
              <w:rPr>
                <w:lang w:eastAsia="en-AU"/>
              </w:rPr>
            </w:pPr>
            <w:r w:rsidRPr="009A57D8">
              <w:rPr>
                <w:bCs/>
                <w:lang w:eastAsia="en-AU"/>
              </w:rPr>
              <w:t>Transitioned ADF</w:t>
            </w:r>
            <w:r w:rsidR="009A57D8" w:rsidRPr="009A57D8">
              <w:rPr>
                <w:bCs/>
                <w:lang w:eastAsia="en-AU"/>
              </w:rPr>
              <w:br/>
            </w:r>
            <w:r w:rsidRPr="009A57D8">
              <w:rPr>
                <w:bCs/>
                <w:lang w:eastAsia="en-AU"/>
              </w:rPr>
              <w:t>18–25 years</w:t>
            </w:r>
            <w:r w:rsidR="009A57D8" w:rsidRPr="009A57D8">
              <w:rPr>
                <w:bCs/>
                <w:lang w:eastAsia="en-AU"/>
              </w:rPr>
              <w:br/>
            </w:r>
            <w:r w:rsidRPr="009A57D8">
              <w:rPr>
                <w:lang w:eastAsia="en-AU"/>
              </w:rPr>
              <w:t>n=720</w:t>
            </w:r>
          </w:p>
        </w:tc>
        <w:tc>
          <w:tcPr>
            <w:tcW w:w="1955" w:type="dxa"/>
            <w:gridSpan w:val="3"/>
            <w:hideMark/>
          </w:tcPr>
          <w:p w14:paraId="62975793" w14:textId="77777777" w:rsidR="0033663C" w:rsidRPr="009A57D8" w:rsidRDefault="0033663C" w:rsidP="009A57D8">
            <w:pPr>
              <w:pStyle w:val="TableText"/>
              <w:jc w:val="center"/>
              <w:rPr>
                <w:bCs/>
                <w:lang w:eastAsia="en-AU"/>
              </w:rPr>
            </w:pPr>
            <w:r w:rsidRPr="009A57D8">
              <w:rPr>
                <w:rFonts w:cs="Arial"/>
              </w:rPr>
              <w:t>Young and Well cohort</w:t>
            </w:r>
            <w:r w:rsidR="009A57D8" w:rsidRPr="009A57D8">
              <w:rPr>
                <w:rFonts w:cs="Arial"/>
              </w:rPr>
              <w:br/>
            </w:r>
            <w:r w:rsidRPr="009A57D8">
              <w:rPr>
                <w:rFonts w:cs="Arial"/>
              </w:rPr>
              <w:t>18–25 years</w:t>
            </w:r>
            <w:r w:rsidR="009A57D8" w:rsidRPr="009A57D8">
              <w:rPr>
                <w:rFonts w:cs="Arial"/>
              </w:rPr>
              <w:br/>
            </w:r>
            <w:r w:rsidRPr="009A57D8">
              <w:rPr>
                <w:rFonts w:cs="Arial"/>
              </w:rPr>
              <w:t>n=490</w:t>
            </w:r>
          </w:p>
        </w:tc>
        <w:tc>
          <w:tcPr>
            <w:tcW w:w="1955" w:type="dxa"/>
            <w:gridSpan w:val="3"/>
            <w:hideMark/>
          </w:tcPr>
          <w:p w14:paraId="63077B7E" w14:textId="77777777" w:rsidR="0033663C" w:rsidRPr="009A57D8" w:rsidRDefault="0033663C" w:rsidP="0033663C">
            <w:pPr>
              <w:pStyle w:val="TableText"/>
              <w:jc w:val="center"/>
              <w:rPr>
                <w:bCs/>
                <w:lang w:eastAsia="en-AU"/>
              </w:rPr>
            </w:pPr>
            <w:r w:rsidRPr="009A57D8">
              <w:rPr>
                <w:bCs/>
                <w:lang w:eastAsia="en-AU"/>
              </w:rPr>
              <w:t>Difference</w:t>
            </w:r>
          </w:p>
        </w:tc>
      </w:tr>
      <w:tr w:rsidR="009A57D8" w:rsidRPr="009A57D8" w14:paraId="22958F49" w14:textId="77777777" w:rsidTr="009A57D8">
        <w:trPr>
          <w:cnfStyle w:val="100000000000" w:firstRow="1" w:lastRow="0" w:firstColumn="0" w:lastColumn="0" w:oddVBand="0" w:evenVBand="0" w:oddHBand="0" w:evenHBand="0" w:firstRowFirstColumn="0" w:firstRowLastColumn="0" w:lastRowFirstColumn="0" w:lastRowLastColumn="0"/>
          <w:cantSplit/>
          <w:tblHeader/>
        </w:trPr>
        <w:tc>
          <w:tcPr>
            <w:tcW w:w="1465" w:type="dxa"/>
            <w:tcBorders>
              <w:top w:val="nil"/>
            </w:tcBorders>
          </w:tcPr>
          <w:p w14:paraId="36F0BCA6" w14:textId="77777777" w:rsidR="0033663C" w:rsidRPr="009A57D8" w:rsidRDefault="0033663C" w:rsidP="0033663C">
            <w:pPr>
              <w:pStyle w:val="TableText"/>
              <w:rPr>
                <w:rFonts w:eastAsia="GillSans"/>
                <w:lang w:eastAsia="en-AU"/>
              </w:rPr>
            </w:pPr>
          </w:p>
        </w:tc>
        <w:tc>
          <w:tcPr>
            <w:tcW w:w="540" w:type="dxa"/>
            <w:hideMark/>
          </w:tcPr>
          <w:p w14:paraId="4C81F6C8" w14:textId="77777777" w:rsidR="0033663C" w:rsidRPr="009A57D8" w:rsidRDefault="0033663C" w:rsidP="0033663C">
            <w:pPr>
              <w:pStyle w:val="TableText"/>
              <w:jc w:val="right"/>
              <w:rPr>
                <w:rFonts w:eastAsia="Times New Roman"/>
                <w:lang w:eastAsia="en-AU"/>
              </w:rPr>
            </w:pPr>
            <w:r w:rsidRPr="009A57D8">
              <w:rPr>
                <w:lang w:eastAsia="en-AU"/>
              </w:rPr>
              <w:t>%</w:t>
            </w:r>
          </w:p>
        </w:tc>
        <w:tc>
          <w:tcPr>
            <w:tcW w:w="540" w:type="dxa"/>
            <w:hideMark/>
          </w:tcPr>
          <w:p w14:paraId="30E545A0" w14:textId="77777777" w:rsidR="0033663C" w:rsidRPr="009A57D8" w:rsidRDefault="0033663C" w:rsidP="0033663C">
            <w:pPr>
              <w:pStyle w:val="TableText"/>
              <w:jc w:val="right"/>
              <w:rPr>
                <w:lang w:eastAsia="en-AU"/>
              </w:rPr>
            </w:pPr>
            <w:r w:rsidRPr="009A57D8">
              <w:rPr>
                <w:lang w:eastAsia="en-AU"/>
              </w:rPr>
              <w:t>SE</w:t>
            </w:r>
          </w:p>
        </w:tc>
        <w:tc>
          <w:tcPr>
            <w:tcW w:w="874" w:type="dxa"/>
            <w:hideMark/>
          </w:tcPr>
          <w:p w14:paraId="66ACE556" w14:textId="77777777" w:rsidR="0033663C" w:rsidRPr="009A57D8" w:rsidRDefault="0033663C" w:rsidP="0033663C">
            <w:pPr>
              <w:pStyle w:val="TableText"/>
              <w:jc w:val="right"/>
              <w:rPr>
                <w:lang w:eastAsia="en-AU"/>
              </w:rPr>
            </w:pPr>
            <w:r w:rsidRPr="009A57D8">
              <w:rPr>
                <w:lang w:eastAsia="en-AU"/>
              </w:rPr>
              <w:t>95% CI</w:t>
            </w:r>
          </w:p>
        </w:tc>
        <w:tc>
          <w:tcPr>
            <w:tcW w:w="566" w:type="dxa"/>
            <w:hideMark/>
          </w:tcPr>
          <w:p w14:paraId="11E708C2" w14:textId="77777777" w:rsidR="0033663C" w:rsidRPr="009A57D8" w:rsidRDefault="0033663C" w:rsidP="0033663C">
            <w:pPr>
              <w:pStyle w:val="TableText"/>
              <w:jc w:val="right"/>
              <w:rPr>
                <w:lang w:eastAsia="en-AU"/>
              </w:rPr>
            </w:pPr>
            <w:r w:rsidRPr="009A57D8">
              <w:rPr>
                <w:lang w:eastAsia="en-AU"/>
              </w:rPr>
              <w:t>%</w:t>
            </w:r>
          </w:p>
        </w:tc>
        <w:tc>
          <w:tcPr>
            <w:tcW w:w="540" w:type="dxa"/>
          </w:tcPr>
          <w:p w14:paraId="6747BF42" w14:textId="77777777" w:rsidR="0033663C" w:rsidRPr="009A57D8" w:rsidRDefault="0033663C" w:rsidP="0033663C">
            <w:pPr>
              <w:pStyle w:val="TableText"/>
              <w:jc w:val="right"/>
              <w:rPr>
                <w:lang w:eastAsia="en-AU"/>
              </w:rPr>
            </w:pPr>
            <w:r w:rsidRPr="009A57D8">
              <w:rPr>
                <w:lang w:eastAsia="en-AU"/>
              </w:rPr>
              <w:t>SE</w:t>
            </w:r>
          </w:p>
        </w:tc>
        <w:tc>
          <w:tcPr>
            <w:tcW w:w="849" w:type="dxa"/>
          </w:tcPr>
          <w:p w14:paraId="46813D70" w14:textId="77777777" w:rsidR="0033663C" w:rsidRPr="009A57D8" w:rsidRDefault="0033663C" w:rsidP="0033663C">
            <w:pPr>
              <w:pStyle w:val="TableText"/>
              <w:jc w:val="right"/>
              <w:rPr>
                <w:lang w:eastAsia="en-AU"/>
              </w:rPr>
            </w:pPr>
            <w:r w:rsidRPr="009A57D8">
              <w:rPr>
                <w:lang w:eastAsia="en-AU"/>
              </w:rPr>
              <w:t>95% CI</w:t>
            </w:r>
          </w:p>
        </w:tc>
        <w:tc>
          <w:tcPr>
            <w:tcW w:w="591" w:type="dxa"/>
            <w:hideMark/>
          </w:tcPr>
          <w:p w14:paraId="671ED231" w14:textId="77777777" w:rsidR="0033663C" w:rsidRPr="009A57D8" w:rsidRDefault="0033663C" w:rsidP="0033663C">
            <w:pPr>
              <w:pStyle w:val="TableText"/>
              <w:jc w:val="right"/>
              <w:rPr>
                <w:lang w:eastAsia="en-AU"/>
              </w:rPr>
            </w:pPr>
            <w:r w:rsidRPr="009A57D8">
              <w:rPr>
                <w:lang w:eastAsia="en-AU"/>
              </w:rPr>
              <w:t>%</w:t>
            </w:r>
          </w:p>
        </w:tc>
        <w:tc>
          <w:tcPr>
            <w:tcW w:w="450" w:type="dxa"/>
            <w:hideMark/>
          </w:tcPr>
          <w:p w14:paraId="2472A035" w14:textId="77777777" w:rsidR="0033663C" w:rsidRPr="009A57D8" w:rsidRDefault="0033663C" w:rsidP="0033663C">
            <w:pPr>
              <w:pStyle w:val="TableText"/>
              <w:jc w:val="right"/>
              <w:rPr>
                <w:lang w:eastAsia="en-AU"/>
              </w:rPr>
            </w:pPr>
            <w:r w:rsidRPr="009A57D8">
              <w:rPr>
                <w:lang w:eastAsia="en-AU"/>
              </w:rPr>
              <w:t>SE</w:t>
            </w:r>
          </w:p>
        </w:tc>
        <w:tc>
          <w:tcPr>
            <w:tcW w:w="914" w:type="dxa"/>
            <w:hideMark/>
          </w:tcPr>
          <w:p w14:paraId="5C78D523" w14:textId="77777777" w:rsidR="0033663C" w:rsidRPr="009A57D8" w:rsidRDefault="0033663C" w:rsidP="0033663C">
            <w:pPr>
              <w:pStyle w:val="TableText"/>
              <w:jc w:val="right"/>
              <w:rPr>
                <w:lang w:eastAsia="en-AU"/>
              </w:rPr>
            </w:pPr>
            <w:r w:rsidRPr="009A57D8">
              <w:rPr>
                <w:lang w:eastAsia="en-AU"/>
              </w:rPr>
              <w:t>95% CI</w:t>
            </w:r>
          </w:p>
        </w:tc>
      </w:tr>
      <w:tr w:rsidR="009A57D8" w:rsidRPr="003328F3" w14:paraId="0B3CACF6" w14:textId="77777777" w:rsidTr="009A57D8">
        <w:trPr>
          <w:cnfStyle w:val="000000100000" w:firstRow="0" w:lastRow="0" w:firstColumn="0" w:lastColumn="0" w:oddVBand="0" w:evenVBand="0" w:oddHBand="1" w:evenHBand="0" w:firstRowFirstColumn="0" w:firstRowLastColumn="0" w:lastRowFirstColumn="0" w:lastRowLastColumn="0"/>
          <w:cantSplit/>
        </w:trPr>
        <w:tc>
          <w:tcPr>
            <w:tcW w:w="1465" w:type="dxa"/>
            <w:hideMark/>
          </w:tcPr>
          <w:p w14:paraId="5EA6A8C0" w14:textId="77777777" w:rsidR="0033663C" w:rsidRPr="003328F3" w:rsidRDefault="0033663C" w:rsidP="0033663C">
            <w:pPr>
              <w:pStyle w:val="TableText"/>
              <w:rPr>
                <w:rFonts w:cs="Arial"/>
              </w:rPr>
            </w:pPr>
            <w:r w:rsidRPr="003328F3">
              <w:rPr>
                <w:rFonts w:cs="Arial"/>
              </w:rPr>
              <w:t>Very dissatisfied</w:t>
            </w:r>
          </w:p>
        </w:tc>
        <w:tc>
          <w:tcPr>
            <w:tcW w:w="540" w:type="dxa"/>
          </w:tcPr>
          <w:p w14:paraId="3AA4C7A9" w14:textId="77777777" w:rsidR="0033663C" w:rsidRPr="003328F3" w:rsidRDefault="0033663C" w:rsidP="0033663C">
            <w:pPr>
              <w:pStyle w:val="TableText"/>
              <w:jc w:val="right"/>
              <w:rPr>
                <w:color w:val="000000" w:themeColor="text1"/>
              </w:rPr>
            </w:pPr>
            <w:r w:rsidRPr="003328F3">
              <w:rPr>
                <w:color w:val="000000" w:themeColor="text1"/>
              </w:rPr>
              <w:t>0.0</w:t>
            </w:r>
          </w:p>
        </w:tc>
        <w:tc>
          <w:tcPr>
            <w:tcW w:w="540" w:type="dxa"/>
          </w:tcPr>
          <w:p w14:paraId="5E8C662D" w14:textId="77777777" w:rsidR="0033663C" w:rsidRPr="003328F3" w:rsidRDefault="0033663C" w:rsidP="0033663C">
            <w:pPr>
              <w:pStyle w:val="TableText"/>
              <w:jc w:val="right"/>
              <w:rPr>
                <w:color w:val="000000" w:themeColor="text1"/>
              </w:rPr>
            </w:pPr>
            <w:r w:rsidRPr="003328F3">
              <w:rPr>
                <w:color w:val="000000" w:themeColor="text1"/>
              </w:rPr>
              <w:t>0.0</w:t>
            </w:r>
          </w:p>
        </w:tc>
        <w:tc>
          <w:tcPr>
            <w:tcW w:w="874" w:type="dxa"/>
          </w:tcPr>
          <w:p w14:paraId="4B38A6A3" w14:textId="77777777" w:rsidR="0033663C" w:rsidRPr="003328F3" w:rsidRDefault="0033663C" w:rsidP="0033663C">
            <w:pPr>
              <w:pStyle w:val="TableText"/>
              <w:jc w:val="right"/>
              <w:rPr>
                <w:color w:val="000000" w:themeColor="text1"/>
              </w:rPr>
            </w:pPr>
            <w:r w:rsidRPr="003328F3">
              <w:rPr>
                <w:color w:val="000000" w:themeColor="text1"/>
              </w:rPr>
              <w:t>0.0, 0.0</w:t>
            </w:r>
          </w:p>
        </w:tc>
        <w:tc>
          <w:tcPr>
            <w:tcW w:w="566" w:type="dxa"/>
          </w:tcPr>
          <w:p w14:paraId="575D9055" w14:textId="77777777" w:rsidR="0033663C" w:rsidRPr="003328F3" w:rsidRDefault="0033663C" w:rsidP="0033663C">
            <w:pPr>
              <w:pStyle w:val="TableText"/>
              <w:jc w:val="right"/>
              <w:rPr>
                <w:color w:val="000000" w:themeColor="text1"/>
              </w:rPr>
            </w:pPr>
            <w:r w:rsidRPr="003328F3">
              <w:rPr>
                <w:color w:val="000000" w:themeColor="text1"/>
              </w:rPr>
              <w:t>0.2</w:t>
            </w:r>
          </w:p>
        </w:tc>
        <w:tc>
          <w:tcPr>
            <w:tcW w:w="540" w:type="dxa"/>
          </w:tcPr>
          <w:p w14:paraId="3B76F3E8"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0.2</w:t>
            </w:r>
          </w:p>
        </w:tc>
        <w:tc>
          <w:tcPr>
            <w:tcW w:w="849" w:type="dxa"/>
          </w:tcPr>
          <w:p w14:paraId="5D77DBC1"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0.2, 0.5</w:t>
            </w:r>
          </w:p>
        </w:tc>
        <w:tc>
          <w:tcPr>
            <w:tcW w:w="591" w:type="dxa"/>
          </w:tcPr>
          <w:p w14:paraId="5A365819"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0.2</w:t>
            </w:r>
          </w:p>
        </w:tc>
        <w:tc>
          <w:tcPr>
            <w:tcW w:w="450" w:type="dxa"/>
          </w:tcPr>
          <w:p w14:paraId="71DEA0E1"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0.2</w:t>
            </w:r>
          </w:p>
        </w:tc>
        <w:tc>
          <w:tcPr>
            <w:tcW w:w="914" w:type="dxa"/>
          </w:tcPr>
          <w:p w14:paraId="04CEC3DD"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0.5, 0.2</w:t>
            </w:r>
          </w:p>
        </w:tc>
      </w:tr>
      <w:tr w:rsidR="009A57D8" w:rsidRPr="003328F3" w14:paraId="2F474A4D" w14:textId="77777777" w:rsidTr="009A57D8">
        <w:trPr>
          <w:cantSplit/>
        </w:trPr>
        <w:tc>
          <w:tcPr>
            <w:tcW w:w="1465" w:type="dxa"/>
            <w:hideMark/>
          </w:tcPr>
          <w:p w14:paraId="31C40B45" w14:textId="77777777" w:rsidR="0033663C" w:rsidRPr="003328F3" w:rsidRDefault="0033663C" w:rsidP="0033663C">
            <w:pPr>
              <w:pStyle w:val="TableText"/>
              <w:rPr>
                <w:rFonts w:cs="Arial"/>
              </w:rPr>
            </w:pPr>
            <w:r w:rsidRPr="003328F3">
              <w:rPr>
                <w:rFonts w:cs="Arial"/>
              </w:rPr>
              <w:t>Somewhat dissatisfied</w:t>
            </w:r>
          </w:p>
        </w:tc>
        <w:tc>
          <w:tcPr>
            <w:tcW w:w="540" w:type="dxa"/>
          </w:tcPr>
          <w:p w14:paraId="48F12EDB"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20.5</w:t>
            </w:r>
          </w:p>
        </w:tc>
        <w:tc>
          <w:tcPr>
            <w:tcW w:w="540" w:type="dxa"/>
          </w:tcPr>
          <w:p w14:paraId="679F6AC3"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6.3</w:t>
            </w:r>
          </w:p>
        </w:tc>
        <w:tc>
          <w:tcPr>
            <w:tcW w:w="874" w:type="dxa"/>
          </w:tcPr>
          <w:p w14:paraId="69CFA78F"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10.8, 35.4</w:t>
            </w:r>
          </w:p>
        </w:tc>
        <w:tc>
          <w:tcPr>
            <w:tcW w:w="566" w:type="dxa"/>
          </w:tcPr>
          <w:p w14:paraId="5E5C084B" w14:textId="77777777" w:rsidR="0033663C" w:rsidRPr="003328F3" w:rsidRDefault="0033663C" w:rsidP="0033663C">
            <w:pPr>
              <w:pStyle w:val="TableText"/>
              <w:jc w:val="right"/>
              <w:rPr>
                <w:color w:val="000000" w:themeColor="text1"/>
              </w:rPr>
            </w:pPr>
            <w:r w:rsidRPr="003328F3">
              <w:rPr>
                <w:color w:val="000000" w:themeColor="text1"/>
              </w:rPr>
              <w:t>4.2</w:t>
            </w:r>
          </w:p>
        </w:tc>
        <w:tc>
          <w:tcPr>
            <w:tcW w:w="540" w:type="dxa"/>
          </w:tcPr>
          <w:p w14:paraId="0BB6FBF1"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1.5</w:t>
            </w:r>
          </w:p>
        </w:tc>
        <w:tc>
          <w:tcPr>
            <w:tcW w:w="849" w:type="dxa"/>
          </w:tcPr>
          <w:p w14:paraId="05EC061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1.3, 7.1</w:t>
            </w:r>
          </w:p>
        </w:tc>
        <w:tc>
          <w:tcPr>
            <w:tcW w:w="591" w:type="dxa"/>
          </w:tcPr>
          <w:p w14:paraId="4AB2B3BD"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16.3</w:t>
            </w:r>
          </w:p>
        </w:tc>
        <w:tc>
          <w:tcPr>
            <w:tcW w:w="450" w:type="dxa"/>
          </w:tcPr>
          <w:p w14:paraId="44A63E84"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6.4</w:t>
            </w:r>
          </w:p>
        </w:tc>
        <w:tc>
          <w:tcPr>
            <w:tcW w:w="914" w:type="dxa"/>
          </w:tcPr>
          <w:p w14:paraId="38B9142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3.7, 28.9</w:t>
            </w:r>
          </w:p>
        </w:tc>
      </w:tr>
      <w:tr w:rsidR="009A57D8" w:rsidRPr="003328F3" w14:paraId="1CB20192" w14:textId="77777777" w:rsidTr="009A57D8">
        <w:trPr>
          <w:cnfStyle w:val="000000100000" w:firstRow="0" w:lastRow="0" w:firstColumn="0" w:lastColumn="0" w:oddVBand="0" w:evenVBand="0" w:oddHBand="1" w:evenHBand="0" w:firstRowFirstColumn="0" w:firstRowLastColumn="0" w:lastRowFirstColumn="0" w:lastRowLastColumn="0"/>
          <w:cantSplit/>
        </w:trPr>
        <w:tc>
          <w:tcPr>
            <w:tcW w:w="1465" w:type="dxa"/>
          </w:tcPr>
          <w:p w14:paraId="5CFA4AE8" w14:textId="77777777" w:rsidR="0033663C" w:rsidRPr="003328F3" w:rsidRDefault="0033663C" w:rsidP="0033663C">
            <w:pPr>
              <w:pStyle w:val="TableText"/>
              <w:rPr>
                <w:rFonts w:cs="Arial"/>
              </w:rPr>
            </w:pPr>
            <w:r w:rsidRPr="003328F3">
              <w:rPr>
                <w:rFonts w:cs="Arial"/>
              </w:rPr>
              <w:t>Somewhat satisfied</w:t>
            </w:r>
          </w:p>
        </w:tc>
        <w:tc>
          <w:tcPr>
            <w:tcW w:w="540" w:type="dxa"/>
          </w:tcPr>
          <w:p w14:paraId="09188572"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69.1</w:t>
            </w:r>
          </w:p>
        </w:tc>
        <w:tc>
          <w:tcPr>
            <w:tcW w:w="540" w:type="dxa"/>
          </w:tcPr>
          <w:p w14:paraId="0CC40DC1"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7.1</w:t>
            </w:r>
          </w:p>
        </w:tc>
        <w:tc>
          <w:tcPr>
            <w:tcW w:w="874" w:type="dxa"/>
          </w:tcPr>
          <w:p w14:paraId="58506673"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53.8, 81.1</w:t>
            </w:r>
          </w:p>
        </w:tc>
        <w:tc>
          <w:tcPr>
            <w:tcW w:w="566" w:type="dxa"/>
          </w:tcPr>
          <w:p w14:paraId="1F77329B" w14:textId="77777777" w:rsidR="0033663C" w:rsidRPr="003328F3" w:rsidRDefault="0033663C" w:rsidP="0033663C">
            <w:pPr>
              <w:pStyle w:val="TableText"/>
              <w:jc w:val="right"/>
              <w:rPr>
                <w:color w:val="000000" w:themeColor="text1"/>
              </w:rPr>
            </w:pPr>
            <w:r w:rsidRPr="003328F3">
              <w:rPr>
                <w:color w:val="000000" w:themeColor="text1"/>
              </w:rPr>
              <w:t>71.9</w:t>
            </w:r>
          </w:p>
        </w:tc>
        <w:tc>
          <w:tcPr>
            <w:tcW w:w="540" w:type="dxa"/>
          </w:tcPr>
          <w:p w14:paraId="3ADD1C35"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3.5</w:t>
            </w:r>
          </w:p>
        </w:tc>
        <w:tc>
          <w:tcPr>
            <w:tcW w:w="849" w:type="dxa"/>
          </w:tcPr>
          <w:p w14:paraId="4F8FE40F"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65.0, 78.8</w:t>
            </w:r>
          </w:p>
        </w:tc>
        <w:tc>
          <w:tcPr>
            <w:tcW w:w="591" w:type="dxa"/>
          </w:tcPr>
          <w:p w14:paraId="5E2D063D"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2.8</w:t>
            </w:r>
          </w:p>
        </w:tc>
        <w:tc>
          <w:tcPr>
            <w:tcW w:w="450" w:type="dxa"/>
          </w:tcPr>
          <w:p w14:paraId="0055367E"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7.9</w:t>
            </w:r>
          </w:p>
        </w:tc>
        <w:tc>
          <w:tcPr>
            <w:tcW w:w="914" w:type="dxa"/>
          </w:tcPr>
          <w:p w14:paraId="60183B91"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18.4, 12.8</w:t>
            </w:r>
          </w:p>
        </w:tc>
      </w:tr>
      <w:tr w:rsidR="009A57D8" w:rsidRPr="003328F3" w14:paraId="4EDCADAC" w14:textId="77777777" w:rsidTr="009A57D8">
        <w:trPr>
          <w:cantSplit/>
        </w:trPr>
        <w:tc>
          <w:tcPr>
            <w:tcW w:w="1465" w:type="dxa"/>
            <w:tcBorders>
              <w:bottom w:val="nil"/>
            </w:tcBorders>
          </w:tcPr>
          <w:p w14:paraId="73F3025F" w14:textId="77777777" w:rsidR="0033663C" w:rsidRPr="003328F3" w:rsidRDefault="0033663C" w:rsidP="0033663C">
            <w:pPr>
              <w:pStyle w:val="TableText"/>
              <w:rPr>
                <w:rFonts w:cs="Arial"/>
              </w:rPr>
            </w:pPr>
            <w:r w:rsidRPr="003328F3">
              <w:rPr>
                <w:rFonts w:cs="Arial"/>
              </w:rPr>
              <w:t>Very satisfied</w:t>
            </w:r>
          </w:p>
        </w:tc>
        <w:tc>
          <w:tcPr>
            <w:tcW w:w="540" w:type="dxa"/>
            <w:tcBorders>
              <w:bottom w:val="nil"/>
            </w:tcBorders>
          </w:tcPr>
          <w:p w14:paraId="4CAEE987"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7.1</w:t>
            </w:r>
          </w:p>
        </w:tc>
        <w:tc>
          <w:tcPr>
            <w:tcW w:w="540" w:type="dxa"/>
            <w:tcBorders>
              <w:bottom w:val="nil"/>
            </w:tcBorders>
          </w:tcPr>
          <w:p w14:paraId="6D41B2FC"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3.7</w:t>
            </w:r>
          </w:p>
        </w:tc>
        <w:tc>
          <w:tcPr>
            <w:tcW w:w="874" w:type="dxa"/>
            <w:tcBorders>
              <w:bottom w:val="nil"/>
            </w:tcBorders>
          </w:tcPr>
          <w:p w14:paraId="0C7C70AD"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2.5, 18.5</w:t>
            </w:r>
          </w:p>
        </w:tc>
        <w:tc>
          <w:tcPr>
            <w:tcW w:w="566" w:type="dxa"/>
            <w:tcBorders>
              <w:bottom w:val="nil"/>
            </w:tcBorders>
          </w:tcPr>
          <w:p w14:paraId="1CFB4B88" w14:textId="77777777" w:rsidR="0033663C" w:rsidRPr="003328F3" w:rsidRDefault="0033663C" w:rsidP="0033663C">
            <w:pPr>
              <w:pStyle w:val="TableText"/>
              <w:jc w:val="right"/>
              <w:rPr>
                <w:color w:val="000000" w:themeColor="text1"/>
              </w:rPr>
            </w:pPr>
            <w:r w:rsidRPr="003328F3">
              <w:rPr>
                <w:color w:val="000000" w:themeColor="text1"/>
              </w:rPr>
              <w:t>20.7</w:t>
            </w:r>
          </w:p>
        </w:tc>
        <w:tc>
          <w:tcPr>
            <w:tcW w:w="540" w:type="dxa"/>
            <w:tcBorders>
              <w:bottom w:val="nil"/>
            </w:tcBorders>
          </w:tcPr>
          <w:p w14:paraId="6F8D5A19"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3.2</w:t>
            </w:r>
          </w:p>
        </w:tc>
        <w:tc>
          <w:tcPr>
            <w:tcW w:w="849" w:type="dxa"/>
            <w:tcBorders>
              <w:bottom w:val="nil"/>
            </w:tcBorders>
          </w:tcPr>
          <w:p w14:paraId="1CC66C0B"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14.5, 26.9</w:t>
            </w:r>
          </w:p>
        </w:tc>
        <w:tc>
          <w:tcPr>
            <w:tcW w:w="591" w:type="dxa"/>
            <w:tcBorders>
              <w:bottom w:val="nil"/>
            </w:tcBorders>
          </w:tcPr>
          <w:p w14:paraId="032B9853"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13.6</w:t>
            </w:r>
          </w:p>
        </w:tc>
        <w:tc>
          <w:tcPr>
            <w:tcW w:w="450" w:type="dxa"/>
            <w:tcBorders>
              <w:bottom w:val="nil"/>
            </w:tcBorders>
          </w:tcPr>
          <w:p w14:paraId="3A7F4FB7"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4.8</w:t>
            </w:r>
          </w:p>
        </w:tc>
        <w:tc>
          <w:tcPr>
            <w:tcW w:w="914" w:type="dxa"/>
            <w:tcBorders>
              <w:bottom w:val="nil"/>
            </w:tcBorders>
          </w:tcPr>
          <w:p w14:paraId="4121F5BA"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 xml:space="preserve">23.1, </w:t>
            </w:r>
            <w:r>
              <w:rPr>
                <w:rFonts w:eastAsia="Times New Roman"/>
                <w:bCs/>
                <w:color w:val="000000" w:themeColor="text1"/>
              </w:rPr>
              <w:t>–</w:t>
            </w:r>
            <w:r w:rsidRPr="003328F3">
              <w:rPr>
                <w:rFonts w:eastAsia="Times New Roman"/>
                <w:bCs/>
                <w:color w:val="000000" w:themeColor="text1"/>
              </w:rPr>
              <w:t>4.2</w:t>
            </w:r>
          </w:p>
        </w:tc>
      </w:tr>
      <w:tr w:rsidR="009A57D8" w:rsidRPr="003328F3" w14:paraId="473CDF22" w14:textId="77777777" w:rsidTr="009A57D8">
        <w:trPr>
          <w:cnfStyle w:val="010000000000" w:firstRow="0" w:lastRow="1" w:firstColumn="0" w:lastColumn="0" w:oddVBand="0" w:evenVBand="0" w:oddHBand="0" w:evenHBand="0" w:firstRowFirstColumn="0" w:firstRowLastColumn="0" w:lastRowFirstColumn="0" w:lastRowLastColumn="0"/>
          <w:cantSplit/>
        </w:trPr>
        <w:tc>
          <w:tcPr>
            <w:tcW w:w="1465" w:type="dxa"/>
            <w:tcBorders>
              <w:bottom w:val="single" w:sz="4" w:space="0" w:color="000000"/>
            </w:tcBorders>
            <w:shd w:val="clear" w:color="auto" w:fill="C1D9FF"/>
          </w:tcPr>
          <w:p w14:paraId="02FF75CE" w14:textId="77777777" w:rsidR="0033663C" w:rsidRPr="003328F3" w:rsidRDefault="0033663C" w:rsidP="0033663C">
            <w:pPr>
              <w:pStyle w:val="TableText"/>
              <w:rPr>
                <w:rFonts w:cs="Arial"/>
              </w:rPr>
            </w:pPr>
            <w:r w:rsidRPr="003328F3">
              <w:rPr>
                <w:rFonts w:cs="Arial"/>
              </w:rPr>
              <w:t>Don’t know/refused</w:t>
            </w:r>
          </w:p>
        </w:tc>
        <w:tc>
          <w:tcPr>
            <w:tcW w:w="540" w:type="dxa"/>
            <w:tcBorders>
              <w:bottom w:val="single" w:sz="4" w:space="0" w:color="000000"/>
            </w:tcBorders>
            <w:shd w:val="clear" w:color="auto" w:fill="C1D9FF"/>
          </w:tcPr>
          <w:p w14:paraId="1D571CE8" w14:textId="77777777" w:rsidR="0033663C" w:rsidRPr="003328F3" w:rsidRDefault="0033663C" w:rsidP="0033663C">
            <w:pPr>
              <w:pStyle w:val="TableText"/>
              <w:jc w:val="right"/>
              <w:rPr>
                <w:color w:val="000000" w:themeColor="text1"/>
              </w:rPr>
            </w:pPr>
            <w:r w:rsidRPr="003328F3">
              <w:rPr>
                <w:color w:val="000000" w:themeColor="text1"/>
              </w:rPr>
              <w:t>0.0</w:t>
            </w:r>
          </w:p>
        </w:tc>
        <w:tc>
          <w:tcPr>
            <w:tcW w:w="540" w:type="dxa"/>
            <w:tcBorders>
              <w:bottom w:val="single" w:sz="4" w:space="0" w:color="000000"/>
            </w:tcBorders>
            <w:shd w:val="clear" w:color="auto" w:fill="C1D9FF"/>
          </w:tcPr>
          <w:p w14:paraId="31FCA52F" w14:textId="77777777" w:rsidR="0033663C" w:rsidRPr="003328F3" w:rsidRDefault="0033663C" w:rsidP="0033663C">
            <w:pPr>
              <w:pStyle w:val="TableText"/>
              <w:jc w:val="right"/>
              <w:rPr>
                <w:color w:val="000000" w:themeColor="text1"/>
              </w:rPr>
            </w:pPr>
            <w:r w:rsidRPr="003328F3">
              <w:rPr>
                <w:color w:val="000000" w:themeColor="text1"/>
              </w:rPr>
              <w:t>0.0</w:t>
            </w:r>
          </w:p>
        </w:tc>
        <w:tc>
          <w:tcPr>
            <w:tcW w:w="874" w:type="dxa"/>
            <w:tcBorders>
              <w:bottom w:val="single" w:sz="4" w:space="0" w:color="000000"/>
            </w:tcBorders>
            <w:shd w:val="clear" w:color="auto" w:fill="C1D9FF"/>
          </w:tcPr>
          <w:p w14:paraId="4459CFB2" w14:textId="77777777" w:rsidR="0033663C" w:rsidRPr="003328F3" w:rsidRDefault="0033663C" w:rsidP="0033663C">
            <w:pPr>
              <w:pStyle w:val="TableText"/>
              <w:jc w:val="right"/>
              <w:rPr>
                <w:color w:val="000000" w:themeColor="text1"/>
              </w:rPr>
            </w:pPr>
            <w:r w:rsidRPr="003328F3">
              <w:rPr>
                <w:color w:val="000000" w:themeColor="text1"/>
              </w:rPr>
              <w:t>0.0, 0.0</w:t>
            </w:r>
          </w:p>
        </w:tc>
        <w:tc>
          <w:tcPr>
            <w:tcW w:w="566" w:type="dxa"/>
            <w:tcBorders>
              <w:bottom w:val="single" w:sz="4" w:space="0" w:color="000000"/>
            </w:tcBorders>
            <w:shd w:val="clear" w:color="auto" w:fill="C1D9FF"/>
          </w:tcPr>
          <w:p w14:paraId="4481AE6A" w14:textId="77777777" w:rsidR="0033663C" w:rsidRPr="003328F3" w:rsidRDefault="0033663C" w:rsidP="0033663C">
            <w:pPr>
              <w:pStyle w:val="TableText"/>
              <w:jc w:val="right"/>
              <w:rPr>
                <w:color w:val="000000" w:themeColor="text1"/>
              </w:rPr>
            </w:pPr>
            <w:r w:rsidRPr="003328F3">
              <w:rPr>
                <w:color w:val="000000" w:themeColor="text1"/>
              </w:rPr>
              <w:t>2.2</w:t>
            </w:r>
          </w:p>
        </w:tc>
        <w:tc>
          <w:tcPr>
            <w:tcW w:w="540" w:type="dxa"/>
            <w:tcBorders>
              <w:bottom w:val="single" w:sz="4" w:space="0" w:color="000000"/>
            </w:tcBorders>
            <w:shd w:val="clear" w:color="auto" w:fill="C1D9FF"/>
          </w:tcPr>
          <w:p w14:paraId="3E0CEEAD"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1.4</w:t>
            </w:r>
          </w:p>
        </w:tc>
        <w:tc>
          <w:tcPr>
            <w:tcW w:w="849" w:type="dxa"/>
            <w:tcBorders>
              <w:bottom w:val="single" w:sz="4" w:space="0" w:color="000000"/>
            </w:tcBorders>
            <w:shd w:val="clear" w:color="auto" w:fill="C1D9FF"/>
          </w:tcPr>
          <w:p w14:paraId="112D3858"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0.5, 4.8</w:t>
            </w:r>
          </w:p>
        </w:tc>
        <w:tc>
          <w:tcPr>
            <w:tcW w:w="591" w:type="dxa"/>
            <w:tcBorders>
              <w:bottom w:val="single" w:sz="4" w:space="0" w:color="000000"/>
            </w:tcBorders>
            <w:shd w:val="clear" w:color="auto" w:fill="C1D9FF"/>
          </w:tcPr>
          <w:p w14:paraId="0ED7451D"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2.2</w:t>
            </w:r>
          </w:p>
        </w:tc>
        <w:tc>
          <w:tcPr>
            <w:tcW w:w="450" w:type="dxa"/>
            <w:tcBorders>
              <w:bottom w:val="single" w:sz="4" w:space="0" w:color="000000"/>
            </w:tcBorders>
            <w:shd w:val="clear" w:color="auto" w:fill="C1D9FF"/>
          </w:tcPr>
          <w:p w14:paraId="73832566" w14:textId="77777777" w:rsidR="0033663C" w:rsidRPr="003328F3" w:rsidRDefault="0033663C" w:rsidP="0033663C">
            <w:pPr>
              <w:pStyle w:val="TableText"/>
              <w:jc w:val="right"/>
              <w:rPr>
                <w:color w:val="000000" w:themeColor="text1"/>
              </w:rPr>
            </w:pPr>
            <w:r w:rsidRPr="003328F3">
              <w:rPr>
                <w:rFonts w:eastAsia="Times New Roman"/>
                <w:bCs/>
                <w:color w:val="000000" w:themeColor="text1"/>
              </w:rPr>
              <w:t>1.4</w:t>
            </w:r>
          </w:p>
        </w:tc>
        <w:tc>
          <w:tcPr>
            <w:tcW w:w="914" w:type="dxa"/>
            <w:tcBorders>
              <w:bottom w:val="single" w:sz="4" w:space="0" w:color="000000"/>
            </w:tcBorders>
            <w:shd w:val="clear" w:color="auto" w:fill="C1D9FF"/>
          </w:tcPr>
          <w:p w14:paraId="093EBF48" w14:textId="77777777" w:rsidR="0033663C" w:rsidRPr="003328F3" w:rsidRDefault="0033663C" w:rsidP="0033663C">
            <w:pPr>
              <w:pStyle w:val="TableText"/>
              <w:jc w:val="right"/>
              <w:rPr>
                <w:color w:val="000000" w:themeColor="text1"/>
              </w:rPr>
            </w:pPr>
            <w:r>
              <w:rPr>
                <w:rFonts w:eastAsia="Times New Roman"/>
                <w:bCs/>
                <w:color w:val="000000" w:themeColor="text1"/>
              </w:rPr>
              <w:t>–</w:t>
            </w:r>
            <w:r w:rsidRPr="003328F3">
              <w:rPr>
                <w:rFonts w:eastAsia="Times New Roman"/>
                <w:bCs/>
                <w:color w:val="000000" w:themeColor="text1"/>
              </w:rPr>
              <w:t>4.8, 0.5</w:t>
            </w:r>
          </w:p>
        </w:tc>
      </w:tr>
    </w:tbl>
    <w:p w14:paraId="0548FB1D" w14:textId="77777777" w:rsidR="0033663C" w:rsidRPr="006A3EA0" w:rsidRDefault="0033663C" w:rsidP="0033663C">
      <w:pPr>
        <w:pStyle w:val="TableNotes"/>
      </w:pPr>
      <w:r w:rsidRPr="006A3EA0">
        <w:t>Notes</w:t>
      </w:r>
    </w:p>
    <w:p w14:paraId="5BD64041" w14:textId="77777777" w:rsidR="0033663C" w:rsidRPr="00F52280" w:rsidRDefault="0033663C" w:rsidP="0033663C">
      <w:pPr>
        <w:pStyle w:val="TableNotes"/>
      </w:pPr>
      <w:r w:rsidRPr="00F52280">
        <w:t xml:space="preserve">Denominator: Transitioned ADF </w:t>
      </w:r>
      <w:r>
        <w:t>18–25</w:t>
      </w:r>
      <w:r w:rsidRPr="00F52280">
        <w:t xml:space="preserve"> years and Young and Well </w:t>
      </w:r>
      <w:r>
        <w:t>18–25</w:t>
      </w:r>
      <w:r w:rsidRPr="00F52280">
        <w:t xml:space="preserve"> years cohorts who used the </w:t>
      </w:r>
      <w:r>
        <w:t>internet</w:t>
      </w:r>
      <w:r w:rsidRPr="00F52280">
        <w:t xml:space="preserve"> for mental health issues</w:t>
      </w:r>
      <w:r>
        <w:t>.</w:t>
      </w:r>
    </w:p>
    <w:p w14:paraId="456BEAB5" w14:textId="77777777" w:rsidR="0033663C" w:rsidRPr="00F52280" w:rsidRDefault="0033663C" w:rsidP="0033663C">
      <w:pPr>
        <w:pStyle w:val="TableNotes"/>
      </w:pPr>
      <w:r w:rsidRPr="00F52280">
        <w:t xml:space="preserve">3.3% of the Transitioned ADF cohort had a missing value for this question. However, distributions are calculated by including those with a missing value to allow for correct weighted totals. </w:t>
      </w:r>
    </w:p>
    <w:p w14:paraId="58180D93" w14:textId="77777777" w:rsidR="0033663C" w:rsidRDefault="0033663C" w:rsidP="0033663C">
      <w:pPr>
        <w:pStyle w:val="TableNotes"/>
      </w:pPr>
      <w:r>
        <w:t>95%CI = 95% confidence interval.</w:t>
      </w:r>
    </w:p>
    <w:p w14:paraId="2DCDA8DB" w14:textId="42DCB09C" w:rsidR="0033663C" w:rsidRPr="003328F3" w:rsidRDefault="0033663C" w:rsidP="0033663C">
      <w:pPr>
        <w:pStyle w:val="FigureName"/>
        <w:rPr>
          <w:rFonts w:asciiTheme="minorHAnsi" w:hAnsiTheme="minorHAnsi" w:cstheme="minorHAnsi"/>
        </w:rPr>
      </w:pPr>
      <w:bookmarkStart w:id="1210" w:name="_Ref514912466"/>
      <w:bookmarkStart w:id="1211" w:name="_Toc508110692"/>
      <w:bookmarkStart w:id="1212" w:name="_Toc510087918"/>
      <w:bookmarkStart w:id="1213" w:name="_Toc515374743"/>
      <w:bookmarkStart w:id="1214" w:name="_Toc528932427"/>
      <w:bookmarkStart w:id="1215" w:name="_Toc531858107"/>
      <w:r>
        <w:t xml:space="preserve">Figure </w:t>
      </w:r>
      <w:r>
        <w:rPr>
          <w:noProof/>
        </w:rPr>
        <w:t>10</w:t>
      </w:r>
      <w:r>
        <w:t>.</w:t>
      </w:r>
      <w:r>
        <w:rPr>
          <w:noProof/>
        </w:rPr>
        <w:t>7</w:t>
      </w:r>
      <w:bookmarkEnd w:id="1210"/>
      <w:r>
        <w:tab/>
      </w:r>
      <w:r w:rsidRPr="003328F3">
        <w:t xml:space="preserve">Satisfaction with information received in relation to mental health in Transitioned ADF (aged </w:t>
      </w:r>
      <w:r>
        <w:t>18–25</w:t>
      </w:r>
      <w:r w:rsidRPr="003328F3">
        <w:t>) compared to the Young and Well cohort</w:t>
      </w:r>
      <w:bookmarkEnd w:id="1211"/>
      <w:bookmarkEnd w:id="1212"/>
      <w:bookmarkEnd w:id="1213"/>
      <w:bookmarkEnd w:id="1214"/>
      <w:bookmarkEnd w:id="1215"/>
    </w:p>
    <w:p w14:paraId="45D394FA" w14:textId="77777777" w:rsidR="0033663C" w:rsidRPr="00405DDA" w:rsidRDefault="009A57D8" w:rsidP="00405DDA">
      <w:pPr>
        <w:spacing w:after="360"/>
      </w:pPr>
      <w:r w:rsidRPr="003328F3">
        <w:rPr>
          <w:rFonts w:asciiTheme="minorHAnsi" w:hAnsiTheme="minorHAnsi"/>
          <w:noProof/>
          <w:lang w:eastAsia="en-AU"/>
        </w:rPr>
        <w:drawing>
          <wp:inline distT="0" distB="0" distL="0" distR="0" wp14:anchorId="3A1C4E76" wp14:editId="7F969965">
            <wp:extent cx="4572000" cy="3200400"/>
            <wp:effectExtent l="0" t="0" r="19050" b="19050"/>
            <wp:docPr id="109" name="Chart 109" descr="Figure 10.7 Satisfaction with information received in relation to mental health in Transitioned ADF (aged 18–25) compared to the Young and Wel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6107163B" w14:textId="77777777" w:rsidR="0033663C" w:rsidRPr="002C3723" w:rsidRDefault="0033663C" w:rsidP="0033663C">
      <w:pPr>
        <w:pStyle w:val="Heading2"/>
        <w:numPr>
          <w:ilvl w:val="1"/>
          <w:numId w:val="1"/>
        </w:numPr>
        <w:ind w:left="720" w:hanging="720"/>
      </w:pPr>
      <w:bookmarkStart w:id="1216" w:name="_Toc515374572"/>
      <w:bookmarkStart w:id="1217" w:name="_Toc518566466"/>
      <w:bookmarkStart w:id="1218" w:name="_Toc528932744"/>
      <w:bookmarkStart w:id="1219" w:name="_Toc531859281"/>
      <w:bookmarkStart w:id="1220" w:name="_Toc387565423"/>
      <w:r w:rsidRPr="002C3723">
        <w:t xml:space="preserve">Psychological distress and </w:t>
      </w:r>
      <w:r>
        <w:t>internet</w:t>
      </w:r>
      <w:r w:rsidRPr="002C3723">
        <w:t xml:space="preserve"> use in young adults in the Transitioned ADF compared to young adults in the Australian community cohort</w:t>
      </w:r>
      <w:bookmarkEnd w:id="1216"/>
      <w:bookmarkEnd w:id="1217"/>
      <w:bookmarkEnd w:id="1218"/>
      <w:bookmarkEnd w:id="1219"/>
    </w:p>
    <w:p w14:paraId="67ECC659" w14:textId="77777777" w:rsidR="0033663C" w:rsidRPr="008B2AD1" w:rsidRDefault="0033663C" w:rsidP="0033663C">
      <w:pPr>
        <w:rPr>
          <w:lang w:val="en-US"/>
        </w:rPr>
      </w:pPr>
      <w:r w:rsidRPr="003328F3">
        <w:rPr>
          <w:lang w:val="en-US"/>
        </w:rPr>
        <w:t>This section of the report begins with a description of the levels of psychological distress in young adults in the Transitioned AD</w:t>
      </w:r>
      <w:r>
        <w:rPr>
          <w:lang w:val="en-US"/>
        </w:rPr>
        <w:t>F and the Australian population.</w:t>
      </w:r>
      <w:r w:rsidRPr="003328F3">
        <w:rPr>
          <w:lang w:val="en-US"/>
        </w:rPr>
        <w:t xml:space="preserve"> Following this, it examines </w:t>
      </w:r>
      <w:r>
        <w:rPr>
          <w:lang w:val="en-US"/>
        </w:rPr>
        <w:t>internet</w:t>
      </w:r>
      <w:r w:rsidRPr="003328F3">
        <w:rPr>
          <w:lang w:val="en-US"/>
        </w:rPr>
        <w:t xml:space="preserve"> use in the Transitioned ADF</w:t>
      </w:r>
      <w:r>
        <w:rPr>
          <w:lang w:val="en-US"/>
        </w:rPr>
        <w:t xml:space="preserve"> aged 18–25 and the Australian c</w:t>
      </w:r>
      <w:r w:rsidRPr="003328F3">
        <w:rPr>
          <w:lang w:val="en-US"/>
        </w:rPr>
        <w:t xml:space="preserve">ommunity among those with low (K10 &lt; 16) and moderate/high psychological distress on the K10 (K10 </w:t>
      </w:r>
      <w:r w:rsidRPr="003328F3">
        <w:rPr>
          <w:rFonts w:cstheme="minorHAnsi"/>
          <w:lang w:val="en-US"/>
        </w:rPr>
        <w:t>≥</w:t>
      </w:r>
      <w:r w:rsidRPr="003328F3">
        <w:rPr>
          <w:lang w:val="en-US"/>
        </w:rPr>
        <w:t xml:space="preserve"> 16) in order to ascertain </w:t>
      </w:r>
      <w:r>
        <w:rPr>
          <w:lang w:val="en-US"/>
        </w:rPr>
        <w:t>whether</w:t>
      </w:r>
      <w:r w:rsidRPr="003328F3">
        <w:rPr>
          <w:lang w:val="en-US"/>
        </w:rPr>
        <w:t xml:space="preserve"> the use of technology, particularly in re</w:t>
      </w:r>
      <w:r>
        <w:rPr>
          <w:lang w:val="en-US"/>
        </w:rPr>
        <w:t>lation to mental health, differed</w:t>
      </w:r>
      <w:r w:rsidRPr="003328F3">
        <w:rPr>
          <w:lang w:val="en-US"/>
        </w:rPr>
        <w:t xml:space="preserve"> according to one’s level of symptomatology. </w:t>
      </w:r>
    </w:p>
    <w:p w14:paraId="01823A46" w14:textId="77777777" w:rsidR="0033663C" w:rsidRPr="002C3723" w:rsidRDefault="0033663C" w:rsidP="0033663C">
      <w:pPr>
        <w:pStyle w:val="Heading3"/>
        <w:numPr>
          <w:ilvl w:val="2"/>
          <w:numId w:val="1"/>
        </w:numPr>
      </w:pPr>
      <w:bookmarkStart w:id="1221" w:name="_Toc515374573"/>
      <w:bookmarkStart w:id="1222" w:name="_Toc518566467"/>
      <w:bookmarkStart w:id="1223" w:name="_Toc528932745"/>
      <w:bookmarkStart w:id="1224" w:name="_Toc531859282"/>
      <w:r w:rsidRPr="002C3723">
        <w:t>Psychological distress</w:t>
      </w:r>
      <w:bookmarkEnd w:id="1221"/>
      <w:bookmarkEnd w:id="1222"/>
      <w:bookmarkEnd w:id="1223"/>
      <w:bookmarkEnd w:id="1224"/>
      <w:r w:rsidRPr="002C3723">
        <w:t xml:space="preserve"> </w:t>
      </w:r>
    </w:p>
    <w:p w14:paraId="7C023F28" w14:textId="77777777" w:rsidR="0033663C" w:rsidRPr="003328F3" w:rsidRDefault="0033663C" w:rsidP="0033663C">
      <w:r>
        <w:t xml:space="preserve">Table </w:t>
      </w:r>
      <w:r>
        <w:rPr>
          <w:noProof/>
        </w:rPr>
        <w:t>10.8</w:t>
      </w:r>
      <w:r w:rsidRPr="00D56F28">
        <w:t xml:space="preserve"> and </w:t>
      </w:r>
      <w:r>
        <w:t xml:space="preserve">Figure </w:t>
      </w:r>
      <w:r>
        <w:rPr>
          <w:noProof/>
        </w:rPr>
        <w:t>10.8</w:t>
      </w:r>
      <w:r>
        <w:t xml:space="preserve"> </w:t>
      </w:r>
      <w:r w:rsidRPr="003328F3">
        <w:t>present the distribution of overall psychological distress (grouped according to the K10 scoring bands used in the 2007 National Survey of Mental Health and Wellbeing) in young adults in the Transitioned ADF and the 2012 Young and Well cohort.</w:t>
      </w:r>
    </w:p>
    <w:p w14:paraId="7D3DD66B" w14:textId="77777777" w:rsidR="0033663C" w:rsidRDefault="0033663C" w:rsidP="0033663C">
      <w:r w:rsidRPr="003328F3">
        <w:t>Overall, greater levels of psychological distress were reported in the Transitioned ADF</w:t>
      </w:r>
      <w:r>
        <w:t xml:space="preserve"> young adults</w:t>
      </w:r>
      <w:r w:rsidRPr="003328F3">
        <w:t xml:space="preserve"> than in the Young and Well cohort (as evidenced by the confidence intervals around the mean difference in proportions not crossing zero). Specifically, the proportion of Transitioned ADF </w:t>
      </w:r>
      <w:r>
        <w:t xml:space="preserve">young adults </w:t>
      </w:r>
      <w:r w:rsidRPr="003328F3">
        <w:t>scoring in the moderate band on the K10 (15.5%) was significantly lower than in the Young and Well cohort (27.2%). In contrast, the proportion scoring in the very high band was significantly higher in the Transitioned ADF</w:t>
      </w:r>
      <w:r>
        <w:t xml:space="preserve"> young adults</w:t>
      </w:r>
      <w:r w:rsidRPr="003328F3">
        <w:t xml:space="preserve">, with </w:t>
      </w:r>
      <w:r w:rsidRPr="003328F3">
        <w:rPr>
          <w:color w:val="000000" w:themeColor="text1"/>
        </w:rPr>
        <w:t>nearly one in five scoring in this band</w:t>
      </w:r>
      <w:r w:rsidRPr="003328F3">
        <w:t xml:space="preserve"> (18.6%) compared to just over 5% of the Young and Well cohort (5.4%).</w:t>
      </w:r>
    </w:p>
    <w:p w14:paraId="4857BA09" w14:textId="77777777" w:rsidR="0033663C" w:rsidRPr="003328F3" w:rsidRDefault="0033663C" w:rsidP="0033663C">
      <w:pPr>
        <w:pStyle w:val="TableName"/>
      </w:pPr>
      <w:bookmarkStart w:id="1225" w:name="_Ref514912534"/>
      <w:bookmarkStart w:id="1226" w:name="_Toc528932372"/>
      <w:bookmarkStart w:id="1227" w:name="_Toc531858051"/>
      <w:r>
        <w:t xml:space="preserve">Table </w:t>
      </w:r>
      <w:r>
        <w:rPr>
          <w:noProof/>
        </w:rPr>
        <w:t>10</w:t>
      </w:r>
      <w:r>
        <w:t>.</w:t>
      </w:r>
      <w:r>
        <w:rPr>
          <w:noProof/>
        </w:rPr>
        <w:t>8</w:t>
      </w:r>
      <w:bookmarkEnd w:id="1225"/>
      <w:r>
        <w:tab/>
      </w:r>
      <w:r w:rsidRPr="003328F3">
        <w:t xml:space="preserve">Estimated prevalence of psychological distress (K10 scoring bands) in Transitioned ADF (aged </w:t>
      </w:r>
      <w:r>
        <w:t>18–25</w:t>
      </w:r>
      <w:r w:rsidRPr="003328F3">
        <w:t>) compared to the Young and Well cohort</w:t>
      </w:r>
      <w:bookmarkEnd w:id="1226"/>
      <w:bookmarkEnd w:id="1227"/>
    </w:p>
    <w:tbl>
      <w:tblPr>
        <w:tblStyle w:val="TWRPTable"/>
        <w:tblW w:w="5000" w:type="pct"/>
        <w:tblLayout w:type="fixed"/>
        <w:tblCellMar>
          <w:left w:w="115" w:type="dxa"/>
          <w:right w:w="115" w:type="dxa"/>
        </w:tblCellMar>
        <w:tblLook w:val="01E0" w:firstRow="1" w:lastRow="1" w:firstColumn="1" w:lastColumn="1" w:noHBand="0" w:noVBand="0"/>
        <w:tblDescription w:val="Table 10.8 Estimated prevalence of psychological distress (K10 scoring bands) in Transitioned ADF (aged 18–25) compared to the Young and Well cohort"/>
      </w:tblPr>
      <w:tblGrid>
        <w:gridCol w:w="1257"/>
        <w:gridCol w:w="507"/>
        <w:gridCol w:w="610"/>
        <w:gridCol w:w="827"/>
        <w:gridCol w:w="479"/>
        <w:gridCol w:w="610"/>
        <w:gridCol w:w="855"/>
        <w:gridCol w:w="537"/>
        <w:gridCol w:w="610"/>
        <w:gridCol w:w="797"/>
      </w:tblGrid>
      <w:tr w:rsidR="0033663C" w:rsidRPr="00405DDA" w14:paraId="3FDA9365" w14:textId="77777777" w:rsidTr="00405DDA">
        <w:trPr>
          <w:cnfStyle w:val="100000000000" w:firstRow="1" w:lastRow="0" w:firstColumn="0" w:lastColumn="0" w:oddVBand="0" w:evenVBand="0" w:oddHBand="0" w:evenHBand="0" w:firstRowFirstColumn="0" w:firstRowLastColumn="0" w:lastRowFirstColumn="0" w:lastRowLastColumn="0"/>
          <w:cantSplit/>
          <w:tblHeader/>
        </w:trPr>
        <w:tc>
          <w:tcPr>
            <w:tcW w:w="887" w:type="pct"/>
            <w:tcBorders>
              <w:top w:val="single" w:sz="4" w:space="0" w:color="000000"/>
              <w:bottom w:val="nil"/>
            </w:tcBorders>
          </w:tcPr>
          <w:p w14:paraId="6888CC26" w14:textId="77777777" w:rsidR="0033663C" w:rsidRPr="00405DDA" w:rsidRDefault="0033663C" w:rsidP="0033663C">
            <w:pPr>
              <w:pStyle w:val="TableText"/>
              <w:rPr>
                <w:lang w:eastAsia="en-AU"/>
              </w:rPr>
            </w:pPr>
          </w:p>
        </w:tc>
        <w:tc>
          <w:tcPr>
            <w:tcW w:w="1371" w:type="pct"/>
            <w:gridSpan w:val="3"/>
            <w:hideMark/>
          </w:tcPr>
          <w:p w14:paraId="630CC8AF" w14:textId="77777777" w:rsidR="0033663C" w:rsidRPr="00405DDA" w:rsidRDefault="0033663C" w:rsidP="00405DDA">
            <w:pPr>
              <w:pStyle w:val="TableText"/>
              <w:jc w:val="center"/>
              <w:rPr>
                <w:lang w:eastAsia="en-AU"/>
              </w:rPr>
            </w:pPr>
            <w:r w:rsidRPr="00405DDA">
              <w:rPr>
                <w:bCs/>
                <w:lang w:eastAsia="en-AU"/>
              </w:rPr>
              <w:t>Transitioned ADF</w:t>
            </w:r>
            <w:r w:rsidR="00405DDA" w:rsidRPr="00405DDA">
              <w:rPr>
                <w:bCs/>
                <w:lang w:eastAsia="en-AU"/>
              </w:rPr>
              <w:br/>
            </w:r>
            <w:r w:rsidRPr="00405DDA">
              <w:rPr>
                <w:bCs/>
                <w:lang w:eastAsia="en-AU"/>
              </w:rPr>
              <w:t>18–25 years</w:t>
            </w:r>
            <w:r w:rsidR="00405DDA" w:rsidRPr="00405DDA">
              <w:rPr>
                <w:bCs/>
                <w:lang w:eastAsia="en-AU"/>
              </w:rPr>
              <w:br/>
            </w:r>
            <w:r w:rsidRPr="00405DDA">
              <w:rPr>
                <w:lang w:eastAsia="en-AU"/>
              </w:rPr>
              <w:t>n=2630</w:t>
            </w:r>
          </w:p>
        </w:tc>
        <w:tc>
          <w:tcPr>
            <w:tcW w:w="1371" w:type="pct"/>
            <w:gridSpan w:val="3"/>
            <w:hideMark/>
          </w:tcPr>
          <w:p w14:paraId="7C7BDD94" w14:textId="77777777" w:rsidR="0033663C" w:rsidRPr="00405DDA" w:rsidRDefault="0033663C" w:rsidP="00405DDA">
            <w:pPr>
              <w:pStyle w:val="TableText"/>
              <w:jc w:val="center"/>
              <w:rPr>
                <w:bCs/>
                <w:lang w:eastAsia="en-AU"/>
              </w:rPr>
            </w:pPr>
            <w:r w:rsidRPr="00405DDA">
              <w:rPr>
                <w:rFonts w:cs="Arial"/>
              </w:rPr>
              <w:t>Young and Well cohort</w:t>
            </w:r>
            <w:r w:rsidR="00405DDA" w:rsidRPr="00405DDA">
              <w:rPr>
                <w:rFonts w:cs="Arial"/>
              </w:rPr>
              <w:br/>
            </w:r>
            <w:r w:rsidRPr="00405DDA">
              <w:rPr>
                <w:rFonts w:cs="Arial"/>
              </w:rPr>
              <w:t>18–25 years</w:t>
            </w:r>
            <w:r w:rsidR="00405DDA" w:rsidRPr="00405DDA">
              <w:rPr>
                <w:rFonts w:cs="Arial"/>
              </w:rPr>
              <w:br/>
            </w:r>
            <w:r w:rsidRPr="00405DDA">
              <w:rPr>
                <w:rFonts w:cs="Arial"/>
              </w:rPr>
              <w:t>n=1123</w:t>
            </w:r>
          </w:p>
        </w:tc>
        <w:tc>
          <w:tcPr>
            <w:tcW w:w="1371" w:type="pct"/>
            <w:gridSpan w:val="3"/>
            <w:hideMark/>
          </w:tcPr>
          <w:p w14:paraId="36F06835" w14:textId="77777777" w:rsidR="0033663C" w:rsidRPr="00405DDA" w:rsidRDefault="0033663C" w:rsidP="0033663C">
            <w:pPr>
              <w:pStyle w:val="TableText"/>
              <w:jc w:val="center"/>
              <w:rPr>
                <w:bCs/>
                <w:lang w:eastAsia="en-AU"/>
              </w:rPr>
            </w:pPr>
            <w:r w:rsidRPr="00405DDA">
              <w:rPr>
                <w:bCs/>
                <w:lang w:eastAsia="en-AU"/>
              </w:rPr>
              <w:t>Difference</w:t>
            </w:r>
          </w:p>
        </w:tc>
      </w:tr>
      <w:tr w:rsidR="00405DDA" w:rsidRPr="00405DDA" w14:paraId="2B56C94F" w14:textId="77777777" w:rsidTr="00405DDA">
        <w:trPr>
          <w:cnfStyle w:val="100000000000" w:firstRow="1" w:lastRow="0" w:firstColumn="0" w:lastColumn="0" w:oddVBand="0" w:evenVBand="0" w:oddHBand="0" w:evenHBand="0" w:firstRowFirstColumn="0" w:firstRowLastColumn="0" w:lastRowFirstColumn="0" w:lastRowLastColumn="0"/>
          <w:cantSplit/>
          <w:tblHeader/>
        </w:trPr>
        <w:tc>
          <w:tcPr>
            <w:tcW w:w="887" w:type="pct"/>
            <w:tcBorders>
              <w:top w:val="nil"/>
            </w:tcBorders>
          </w:tcPr>
          <w:p w14:paraId="3F5550E0" w14:textId="77777777" w:rsidR="0033663C" w:rsidRPr="00405DDA" w:rsidRDefault="0033663C" w:rsidP="0033663C">
            <w:pPr>
              <w:pStyle w:val="TableText"/>
              <w:rPr>
                <w:rFonts w:eastAsia="GillSans"/>
                <w:lang w:eastAsia="en-AU"/>
              </w:rPr>
            </w:pPr>
          </w:p>
        </w:tc>
        <w:tc>
          <w:tcPr>
            <w:tcW w:w="358" w:type="pct"/>
            <w:hideMark/>
          </w:tcPr>
          <w:p w14:paraId="470C6A48" w14:textId="77777777" w:rsidR="0033663C" w:rsidRPr="00405DDA" w:rsidRDefault="0033663C" w:rsidP="0033663C">
            <w:pPr>
              <w:pStyle w:val="TableText"/>
              <w:jc w:val="right"/>
              <w:rPr>
                <w:rFonts w:eastAsia="Times New Roman"/>
                <w:lang w:eastAsia="en-AU"/>
              </w:rPr>
            </w:pPr>
            <w:r w:rsidRPr="00405DDA">
              <w:rPr>
                <w:lang w:eastAsia="en-AU"/>
              </w:rPr>
              <w:t>%</w:t>
            </w:r>
          </w:p>
        </w:tc>
        <w:tc>
          <w:tcPr>
            <w:tcW w:w="430" w:type="pct"/>
            <w:hideMark/>
          </w:tcPr>
          <w:p w14:paraId="42561BE1" w14:textId="77777777" w:rsidR="0033663C" w:rsidRPr="00405DDA" w:rsidRDefault="0033663C" w:rsidP="0033663C">
            <w:pPr>
              <w:pStyle w:val="TableText"/>
              <w:jc w:val="right"/>
              <w:rPr>
                <w:lang w:eastAsia="en-AU"/>
              </w:rPr>
            </w:pPr>
            <w:r w:rsidRPr="00405DDA">
              <w:rPr>
                <w:lang w:eastAsia="en-AU"/>
              </w:rPr>
              <w:t>SE</w:t>
            </w:r>
          </w:p>
        </w:tc>
        <w:tc>
          <w:tcPr>
            <w:tcW w:w="583" w:type="pct"/>
            <w:hideMark/>
          </w:tcPr>
          <w:p w14:paraId="7C786AC4" w14:textId="77777777" w:rsidR="0033663C" w:rsidRPr="00405DDA" w:rsidRDefault="0033663C" w:rsidP="0033663C">
            <w:pPr>
              <w:pStyle w:val="TableText"/>
              <w:jc w:val="right"/>
              <w:rPr>
                <w:lang w:eastAsia="en-AU"/>
              </w:rPr>
            </w:pPr>
            <w:r w:rsidRPr="00405DDA">
              <w:rPr>
                <w:lang w:eastAsia="en-AU"/>
              </w:rPr>
              <w:t>95% CI</w:t>
            </w:r>
          </w:p>
        </w:tc>
        <w:tc>
          <w:tcPr>
            <w:tcW w:w="338" w:type="pct"/>
            <w:hideMark/>
          </w:tcPr>
          <w:p w14:paraId="32A4CDDA" w14:textId="77777777" w:rsidR="0033663C" w:rsidRPr="00405DDA" w:rsidRDefault="0033663C" w:rsidP="0033663C">
            <w:pPr>
              <w:pStyle w:val="TableText"/>
              <w:jc w:val="right"/>
              <w:rPr>
                <w:lang w:eastAsia="en-AU"/>
              </w:rPr>
            </w:pPr>
            <w:r w:rsidRPr="00405DDA">
              <w:rPr>
                <w:lang w:eastAsia="en-AU"/>
              </w:rPr>
              <w:t>%</w:t>
            </w:r>
          </w:p>
        </w:tc>
        <w:tc>
          <w:tcPr>
            <w:tcW w:w="430" w:type="pct"/>
          </w:tcPr>
          <w:p w14:paraId="7779E65B" w14:textId="77777777" w:rsidR="0033663C" w:rsidRPr="00405DDA" w:rsidRDefault="0033663C" w:rsidP="0033663C">
            <w:pPr>
              <w:pStyle w:val="TableText"/>
              <w:jc w:val="right"/>
              <w:rPr>
                <w:lang w:eastAsia="en-AU"/>
              </w:rPr>
            </w:pPr>
            <w:r w:rsidRPr="00405DDA">
              <w:rPr>
                <w:lang w:eastAsia="en-AU"/>
              </w:rPr>
              <w:t>SE</w:t>
            </w:r>
          </w:p>
        </w:tc>
        <w:tc>
          <w:tcPr>
            <w:tcW w:w="603" w:type="pct"/>
          </w:tcPr>
          <w:p w14:paraId="1A8719D0" w14:textId="77777777" w:rsidR="0033663C" w:rsidRPr="00405DDA" w:rsidRDefault="0033663C" w:rsidP="0033663C">
            <w:pPr>
              <w:pStyle w:val="TableText"/>
              <w:jc w:val="right"/>
              <w:rPr>
                <w:lang w:eastAsia="en-AU"/>
              </w:rPr>
            </w:pPr>
            <w:r w:rsidRPr="00405DDA">
              <w:rPr>
                <w:lang w:eastAsia="en-AU"/>
              </w:rPr>
              <w:t>95% CI</w:t>
            </w:r>
          </w:p>
        </w:tc>
        <w:tc>
          <w:tcPr>
            <w:tcW w:w="379" w:type="pct"/>
            <w:hideMark/>
          </w:tcPr>
          <w:p w14:paraId="4BF5F1A4" w14:textId="77777777" w:rsidR="0033663C" w:rsidRPr="00405DDA" w:rsidRDefault="0033663C" w:rsidP="0033663C">
            <w:pPr>
              <w:pStyle w:val="TableText"/>
              <w:jc w:val="right"/>
              <w:rPr>
                <w:lang w:eastAsia="en-AU"/>
              </w:rPr>
            </w:pPr>
            <w:r w:rsidRPr="00405DDA">
              <w:rPr>
                <w:lang w:eastAsia="en-AU"/>
              </w:rPr>
              <w:t>%</w:t>
            </w:r>
          </w:p>
        </w:tc>
        <w:tc>
          <w:tcPr>
            <w:tcW w:w="430" w:type="pct"/>
            <w:hideMark/>
          </w:tcPr>
          <w:p w14:paraId="3543F972" w14:textId="77777777" w:rsidR="0033663C" w:rsidRPr="00405DDA" w:rsidRDefault="0033663C" w:rsidP="0033663C">
            <w:pPr>
              <w:pStyle w:val="TableText"/>
              <w:jc w:val="right"/>
              <w:rPr>
                <w:lang w:eastAsia="en-AU"/>
              </w:rPr>
            </w:pPr>
            <w:r w:rsidRPr="00405DDA">
              <w:rPr>
                <w:lang w:eastAsia="en-AU"/>
              </w:rPr>
              <w:t>SE</w:t>
            </w:r>
          </w:p>
        </w:tc>
        <w:tc>
          <w:tcPr>
            <w:tcW w:w="562" w:type="pct"/>
            <w:hideMark/>
          </w:tcPr>
          <w:p w14:paraId="0BC54E3A" w14:textId="77777777" w:rsidR="0033663C" w:rsidRPr="00405DDA" w:rsidRDefault="0033663C" w:rsidP="0033663C">
            <w:pPr>
              <w:pStyle w:val="TableText"/>
              <w:jc w:val="right"/>
              <w:rPr>
                <w:lang w:eastAsia="en-AU"/>
              </w:rPr>
            </w:pPr>
            <w:r w:rsidRPr="00405DDA">
              <w:rPr>
                <w:lang w:eastAsia="en-AU"/>
              </w:rPr>
              <w:t>95% CI</w:t>
            </w:r>
          </w:p>
        </w:tc>
      </w:tr>
      <w:tr w:rsidR="00405DDA" w:rsidRPr="003328F3" w14:paraId="3B0F20F5" w14:textId="77777777" w:rsidTr="00405DDA">
        <w:trPr>
          <w:cnfStyle w:val="000000100000" w:firstRow="0" w:lastRow="0" w:firstColumn="0" w:lastColumn="0" w:oddVBand="0" w:evenVBand="0" w:oddHBand="1" w:evenHBand="0" w:firstRowFirstColumn="0" w:firstRowLastColumn="0" w:lastRowFirstColumn="0" w:lastRowLastColumn="0"/>
          <w:cantSplit/>
        </w:trPr>
        <w:tc>
          <w:tcPr>
            <w:tcW w:w="887" w:type="pct"/>
            <w:hideMark/>
          </w:tcPr>
          <w:p w14:paraId="3B75A50E" w14:textId="77777777" w:rsidR="0033663C" w:rsidRPr="003328F3" w:rsidRDefault="0033663C" w:rsidP="0033663C">
            <w:pPr>
              <w:pStyle w:val="TableText"/>
              <w:rPr>
                <w:rFonts w:eastAsia="GillSans"/>
                <w:lang w:eastAsia="en-AU"/>
              </w:rPr>
            </w:pPr>
            <w:r w:rsidRPr="003328F3">
              <w:rPr>
                <w:lang w:eastAsia="en-AU"/>
              </w:rPr>
              <w:t>Low (10</w:t>
            </w:r>
            <w:r>
              <w:rPr>
                <w:lang w:eastAsia="en-AU"/>
              </w:rPr>
              <w:t>–</w:t>
            </w:r>
            <w:r w:rsidRPr="003328F3">
              <w:rPr>
                <w:lang w:eastAsia="en-AU"/>
              </w:rPr>
              <w:t>15)</w:t>
            </w:r>
          </w:p>
        </w:tc>
        <w:tc>
          <w:tcPr>
            <w:tcW w:w="358" w:type="pct"/>
          </w:tcPr>
          <w:p w14:paraId="2B49DD42" w14:textId="77777777" w:rsidR="0033663C" w:rsidRPr="003328F3" w:rsidRDefault="0033663C" w:rsidP="0033663C">
            <w:pPr>
              <w:pStyle w:val="TableText"/>
              <w:jc w:val="right"/>
            </w:pPr>
            <w:r w:rsidRPr="003328F3">
              <w:t>52.9</w:t>
            </w:r>
          </w:p>
        </w:tc>
        <w:tc>
          <w:tcPr>
            <w:tcW w:w="430" w:type="pct"/>
          </w:tcPr>
          <w:p w14:paraId="4BB9F847" w14:textId="77777777" w:rsidR="0033663C" w:rsidRPr="003328F3" w:rsidRDefault="0033663C" w:rsidP="0033663C">
            <w:pPr>
              <w:pStyle w:val="TableText"/>
              <w:jc w:val="right"/>
            </w:pPr>
            <w:r w:rsidRPr="003328F3">
              <w:t>4.1</w:t>
            </w:r>
          </w:p>
        </w:tc>
        <w:tc>
          <w:tcPr>
            <w:tcW w:w="583" w:type="pct"/>
          </w:tcPr>
          <w:p w14:paraId="3876AAB0" w14:textId="77777777" w:rsidR="0033663C" w:rsidRPr="003328F3" w:rsidRDefault="0033663C" w:rsidP="0033663C">
            <w:pPr>
              <w:pStyle w:val="TableText"/>
              <w:jc w:val="right"/>
            </w:pPr>
            <w:r w:rsidRPr="003328F3">
              <w:t>44.8, 60.8</w:t>
            </w:r>
          </w:p>
        </w:tc>
        <w:tc>
          <w:tcPr>
            <w:tcW w:w="338" w:type="pct"/>
          </w:tcPr>
          <w:p w14:paraId="3B7EF52F" w14:textId="77777777" w:rsidR="0033663C" w:rsidRPr="003328F3" w:rsidRDefault="0033663C" w:rsidP="0033663C">
            <w:pPr>
              <w:pStyle w:val="TableText"/>
              <w:jc w:val="right"/>
            </w:pPr>
            <w:r w:rsidRPr="003328F3">
              <w:t>56.1</w:t>
            </w:r>
          </w:p>
        </w:tc>
        <w:tc>
          <w:tcPr>
            <w:tcW w:w="430" w:type="pct"/>
          </w:tcPr>
          <w:p w14:paraId="1090DE59" w14:textId="77777777" w:rsidR="0033663C" w:rsidRPr="003328F3" w:rsidRDefault="0033663C" w:rsidP="0033663C">
            <w:pPr>
              <w:pStyle w:val="TableText"/>
              <w:jc w:val="right"/>
            </w:pPr>
            <w:r w:rsidRPr="003328F3">
              <w:t>2.5</w:t>
            </w:r>
          </w:p>
        </w:tc>
        <w:tc>
          <w:tcPr>
            <w:tcW w:w="603" w:type="pct"/>
          </w:tcPr>
          <w:p w14:paraId="20AEC0BE" w14:textId="77777777" w:rsidR="0033663C" w:rsidRPr="003328F3" w:rsidRDefault="0033663C" w:rsidP="0033663C">
            <w:pPr>
              <w:pStyle w:val="TableText"/>
              <w:jc w:val="right"/>
            </w:pPr>
            <w:r w:rsidRPr="003328F3">
              <w:t>51.1, 61.0</w:t>
            </w:r>
          </w:p>
        </w:tc>
        <w:tc>
          <w:tcPr>
            <w:tcW w:w="379" w:type="pct"/>
          </w:tcPr>
          <w:p w14:paraId="6B250CA4" w14:textId="77777777" w:rsidR="0033663C" w:rsidRPr="003328F3" w:rsidRDefault="0033663C" w:rsidP="0033663C">
            <w:pPr>
              <w:pStyle w:val="TableText"/>
              <w:jc w:val="right"/>
            </w:pPr>
            <w:r>
              <w:rPr>
                <w:rFonts w:eastAsia="Times New Roman"/>
                <w:bCs/>
                <w:color w:val="000000" w:themeColor="text1"/>
              </w:rPr>
              <w:t>–</w:t>
            </w:r>
            <w:r w:rsidRPr="003328F3">
              <w:t>3.2</w:t>
            </w:r>
          </w:p>
        </w:tc>
        <w:tc>
          <w:tcPr>
            <w:tcW w:w="430" w:type="pct"/>
          </w:tcPr>
          <w:p w14:paraId="0762E4B2" w14:textId="77777777" w:rsidR="0033663C" w:rsidRPr="003328F3" w:rsidRDefault="0033663C" w:rsidP="0033663C">
            <w:pPr>
              <w:pStyle w:val="TableText"/>
              <w:jc w:val="right"/>
            </w:pPr>
            <w:r w:rsidRPr="003328F3">
              <w:t>4.8</w:t>
            </w:r>
          </w:p>
        </w:tc>
        <w:tc>
          <w:tcPr>
            <w:tcW w:w="562" w:type="pct"/>
          </w:tcPr>
          <w:p w14:paraId="77EC308A" w14:textId="77777777" w:rsidR="0033663C" w:rsidRPr="003328F3" w:rsidRDefault="0033663C" w:rsidP="0033663C">
            <w:pPr>
              <w:pStyle w:val="TableText"/>
              <w:jc w:val="right"/>
            </w:pPr>
            <w:r>
              <w:rPr>
                <w:rFonts w:eastAsia="Times New Roman"/>
                <w:bCs/>
                <w:color w:val="000000" w:themeColor="text1"/>
              </w:rPr>
              <w:t>–</w:t>
            </w:r>
            <w:r w:rsidRPr="003328F3">
              <w:t>12.6, 6.3</w:t>
            </w:r>
          </w:p>
        </w:tc>
      </w:tr>
      <w:tr w:rsidR="00405DDA" w:rsidRPr="003328F3" w14:paraId="1282C7E6" w14:textId="77777777" w:rsidTr="00405DDA">
        <w:trPr>
          <w:cantSplit/>
        </w:trPr>
        <w:tc>
          <w:tcPr>
            <w:tcW w:w="887" w:type="pct"/>
            <w:hideMark/>
          </w:tcPr>
          <w:p w14:paraId="4E703689" w14:textId="77777777" w:rsidR="0033663C" w:rsidRPr="003328F3" w:rsidRDefault="0033663C" w:rsidP="0033663C">
            <w:pPr>
              <w:pStyle w:val="TableText"/>
              <w:rPr>
                <w:rFonts w:eastAsia="GillSans"/>
                <w:lang w:eastAsia="en-AU"/>
              </w:rPr>
            </w:pPr>
            <w:r w:rsidRPr="003328F3">
              <w:rPr>
                <w:lang w:eastAsia="en-AU"/>
              </w:rPr>
              <w:t>Moderate (16</w:t>
            </w:r>
            <w:r>
              <w:rPr>
                <w:lang w:eastAsia="en-AU"/>
              </w:rPr>
              <w:t>–</w:t>
            </w:r>
            <w:r w:rsidRPr="003328F3">
              <w:rPr>
                <w:lang w:eastAsia="en-AU"/>
              </w:rPr>
              <w:t>21)</w:t>
            </w:r>
          </w:p>
        </w:tc>
        <w:tc>
          <w:tcPr>
            <w:tcW w:w="358" w:type="pct"/>
          </w:tcPr>
          <w:p w14:paraId="41E91650" w14:textId="77777777" w:rsidR="0033663C" w:rsidRPr="003328F3" w:rsidRDefault="0033663C" w:rsidP="0033663C">
            <w:pPr>
              <w:pStyle w:val="TableText"/>
              <w:jc w:val="right"/>
            </w:pPr>
            <w:r w:rsidRPr="003328F3">
              <w:t>15.5</w:t>
            </w:r>
          </w:p>
        </w:tc>
        <w:tc>
          <w:tcPr>
            <w:tcW w:w="430" w:type="pct"/>
          </w:tcPr>
          <w:p w14:paraId="2609CE29" w14:textId="77777777" w:rsidR="0033663C" w:rsidRPr="003328F3" w:rsidRDefault="0033663C" w:rsidP="0033663C">
            <w:pPr>
              <w:pStyle w:val="TableText"/>
              <w:jc w:val="right"/>
            </w:pPr>
            <w:r w:rsidRPr="003328F3">
              <w:t>3.1</w:t>
            </w:r>
          </w:p>
        </w:tc>
        <w:tc>
          <w:tcPr>
            <w:tcW w:w="583" w:type="pct"/>
          </w:tcPr>
          <w:p w14:paraId="6136BF3A" w14:textId="77777777" w:rsidR="0033663C" w:rsidRPr="003328F3" w:rsidRDefault="0033663C" w:rsidP="0033663C">
            <w:pPr>
              <w:pStyle w:val="TableText"/>
              <w:jc w:val="right"/>
            </w:pPr>
            <w:r w:rsidRPr="003328F3">
              <w:t>10.4, 22.5</w:t>
            </w:r>
          </w:p>
        </w:tc>
        <w:tc>
          <w:tcPr>
            <w:tcW w:w="338" w:type="pct"/>
          </w:tcPr>
          <w:p w14:paraId="0C530717" w14:textId="77777777" w:rsidR="0033663C" w:rsidRPr="003328F3" w:rsidRDefault="0033663C" w:rsidP="0033663C">
            <w:pPr>
              <w:pStyle w:val="TableText"/>
              <w:jc w:val="right"/>
            </w:pPr>
            <w:r w:rsidRPr="003328F3">
              <w:t>27.2</w:t>
            </w:r>
          </w:p>
        </w:tc>
        <w:tc>
          <w:tcPr>
            <w:tcW w:w="430" w:type="pct"/>
          </w:tcPr>
          <w:p w14:paraId="6843A9DC" w14:textId="77777777" w:rsidR="0033663C" w:rsidRPr="003328F3" w:rsidRDefault="0033663C" w:rsidP="0033663C">
            <w:pPr>
              <w:pStyle w:val="TableText"/>
              <w:jc w:val="right"/>
            </w:pPr>
            <w:r w:rsidRPr="003328F3">
              <w:t>2.3</w:t>
            </w:r>
          </w:p>
        </w:tc>
        <w:tc>
          <w:tcPr>
            <w:tcW w:w="603" w:type="pct"/>
          </w:tcPr>
          <w:p w14:paraId="06D85915" w14:textId="77777777" w:rsidR="0033663C" w:rsidRPr="003328F3" w:rsidRDefault="0033663C" w:rsidP="0033663C">
            <w:pPr>
              <w:pStyle w:val="TableText"/>
              <w:jc w:val="right"/>
            </w:pPr>
            <w:r w:rsidRPr="003328F3">
              <w:t>22.7, 31.6</w:t>
            </w:r>
          </w:p>
        </w:tc>
        <w:tc>
          <w:tcPr>
            <w:tcW w:w="379" w:type="pct"/>
          </w:tcPr>
          <w:p w14:paraId="34DE2D48" w14:textId="77777777" w:rsidR="0033663C" w:rsidRPr="003328F3" w:rsidRDefault="0033663C" w:rsidP="0033663C">
            <w:pPr>
              <w:pStyle w:val="TableText"/>
              <w:jc w:val="right"/>
            </w:pPr>
            <w:r>
              <w:rPr>
                <w:rFonts w:eastAsia="Times New Roman"/>
                <w:bCs/>
                <w:color w:val="000000" w:themeColor="text1"/>
              </w:rPr>
              <w:t>–</w:t>
            </w:r>
            <w:r w:rsidRPr="003328F3">
              <w:t>11.6</w:t>
            </w:r>
          </w:p>
        </w:tc>
        <w:tc>
          <w:tcPr>
            <w:tcW w:w="430" w:type="pct"/>
          </w:tcPr>
          <w:p w14:paraId="4A7BF4E7" w14:textId="77777777" w:rsidR="0033663C" w:rsidRPr="003328F3" w:rsidRDefault="0033663C" w:rsidP="0033663C">
            <w:pPr>
              <w:pStyle w:val="TableText"/>
              <w:jc w:val="right"/>
            </w:pPr>
            <w:r w:rsidRPr="003328F3">
              <w:t>3.8</w:t>
            </w:r>
          </w:p>
        </w:tc>
        <w:tc>
          <w:tcPr>
            <w:tcW w:w="562" w:type="pct"/>
          </w:tcPr>
          <w:p w14:paraId="106F2247" w14:textId="77777777" w:rsidR="0033663C" w:rsidRPr="003328F3" w:rsidRDefault="0033663C" w:rsidP="0033663C">
            <w:pPr>
              <w:pStyle w:val="TableText"/>
              <w:jc w:val="right"/>
            </w:pPr>
            <w:r>
              <w:rPr>
                <w:rFonts w:eastAsia="Times New Roman"/>
                <w:bCs/>
                <w:color w:val="000000" w:themeColor="text1"/>
              </w:rPr>
              <w:t>–</w:t>
            </w:r>
            <w:r w:rsidRPr="003328F3">
              <w:t xml:space="preserve">19.1, </w:t>
            </w:r>
            <w:r>
              <w:rPr>
                <w:rFonts w:eastAsia="Times New Roman"/>
                <w:bCs/>
                <w:color w:val="000000" w:themeColor="text1"/>
              </w:rPr>
              <w:t>–</w:t>
            </w:r>
            <w:r w:rsidRPr="003328F3">
              <w:t>4.2</w:t>
            </w:r>
          </w:p>
        </w:tc>
      </w:tr>
      <w:tr w:rsidR="00405DDA" w:rsidRPr="003328F3" w14:paraId="76ACB96E" w14:textId="77777777" w:rsidTr="00405DDA">
        <w:trPr>
          <w:cnfStyle w:val="000000100000" w:firstRow="0" w:lastRow="0" w:firstColumn="0" w:lastColumn="0" w:oddVBand="0" w:evenVBand="0" w:oddHBand="1" w:evenHBand="0" w:firstRowFirstColumn="0" w:firstRowLastColumn="0" w:lastRowFirstColumn="0" w:lastRowLastColumn="0"/>
          <w:cantSplit/>
        </w:trPr>
        <w:tc>
          <w:tcPr>
            <w:tcW w:w="887" w:type="pct"/>
            <w:hideMark/>
          </w:tcPr>
          <w:p w14:paraId="3E3B8EAF" w14:textId="77777777" w:rsidR="0033663C" w:rsidRPr="003328F3" w:rsidRDefault="0033663C" w:rsidP="0033663C">
            <w:pPr>
              <w:pStyle w:val="TableText"/>
              <w:rPr>
                <w:rFonts w:eastAsia="GillSans"/>
                <w:lang w:eastAsia="en-AU"/>
              </w:rPr>
            </w:pPr>
            <w:r w:rsidRPr="003328F3">
              <w:rPr>
                <w:lang w:eastAsia="en-AU"/>
              </w:rPr>
              <w:t>High (22</w:t>
            </w:r>
            <w:r>
              <w:rPr>
                <w:lang w:eastAsia="en-AU"/>
              </w:rPr>
              <w:t>–</w:t>
            </w:r>
            <w:r w:rsidRPr="003328F3">
              <w:rPr>
                <w:lang w:eastAsia="en-AU"/>
              </w:rPr>
              <w:t>29)</w:t>
            </w:r>
          </w:p>
        </w:tc>
        <w:tc>
          <w:tcPr>
            <w:tcW w:w="358" w:type="pct"/>
          </w:tcPr>
          <w:p w14:paraId="0DDD9809" w14:textId="77777777" w:rsidR="0033663C" w:rsidRPr="003328F3" w:rsidRDefault="0033663C" w:rsidP="0033663C">
            <w:pPr>
              <w:pStyle w:val="TableText"/>
              <w:jc w:val="right"/>
            </w:pPr>
            <w:r w:rsidRPr="003328F3">
              <w:t>13.0</w:t>
            </w:r>
          </w:p>
        </w:tc>
        <w:tc>
          <w:tcPr>
            <w:tcW w:w="430" w:type="pct"/>
          </w:tcPr>
          <w:p w14:paraId="091E3730" w14:textId="77777777" w:rsidR="0033663C" w:rsidRPr="003328F3" w:rsidRDefault="0033663C" w:rsidP="0033663C">
            <w:pPr>
              <w:pStyle w:val="TableText"/>
              <w:jc w:val="right"/>
            </w:pPr>
            <w:r w:rsidRPr="003328F3">
              <w:t>2.6</w:t>
            </w:r>
          </w:p>
        </w:tc>
        <w:tc>
          <w:tcPr>
            <w:tcW w:w="583" w:type="pct"/>
          </w:tcPr>
          <w:p w14:paraId="6737DC77" w14:textId="77777777" w:rsidR="0033663C" w:rsidRPr="003328F3" w:rsidRDefault="0033663C" w:rsidP="0033663C">
            <w:pPr>
              <w:pStyle w:val="TableText"/>
              <w:jc w:val="right"/>
            </w:pPr>
            <w:r w:rsidRPr="003328F3">
              <w:t>8.6, 19.0</w:t>
            </w:r>
          </w:p>
        </w:tc>
        <w:tc>
          <w:tcPr>
            <w:tcW w:w="338" w:type="pct"/>
          </w:tcPr>
          <w:p w14:paraId="6511ABA0" w14:textId="77777777" w:rsidR="0033663C" w:rsidRPr="003328F3" w:rsidRDefault="0033663C" w:rsidP="0033663C">
            <w:pPr>
              <w:pStyle w:val="TableText"/>
              <w:jc w:val="right"/>
            </w:pPr>
            <w:r w:rsidRPr="003328F3">
              <w:t>10.5</w:t>
            </w:r>
          </w:p>
        </w:tc>
        <w:tc>
          <w:tcPr>
            <w:tcW w:w="430" w:type="pct"/>
          </w:tcPr>
          <w:p w14:paraId="71F216A1" w14:textId="77777777" w:rsidR="0033663C" w:rsidRPr="003328F3" w:rsidRDefault="0033663C" w:rsidP="0033663C">
            <w:pPr>
              <w:pStyle w:val="TableText"/>
              <w:jc w:val="right"/>
            </w:pPr>
            <w:r w:rsidRPr="003328F3">
              <w:t>1.5</w:t>
            </w:r>
          </w:p>
        </w:tc>
        <w:tc>
          <w:tcPr>
            <w:tcW w:w="603" w:type="pct"/>
          </w:tcPr>
          <w:p w14:paraId="6F5B01D7" w14:textId="77777777" w:rsidR="0033663C" w:rsidRPr="003328F3" w:rsidRDefault="0033663C" w:rsidP="0033663C">
            <w:pPr>
              <w:pStyle w:val="TableText"/>
              <w:jc w:val="right"/>
            </w:pPr>
            <w:r w:rsidRPr="003328F3">
              <w:t>7.6, 13.4</w:t>
            </w:r>
          </w:p>
        </w:tc>
        <w:tc>
          <w:tcPr>
            <w:tcW w:w="379" w:type="pct"/>
          </w:tcPr>
          <w:p w14:paraId="11628FEB" w14:textId="77777777" w:rsidR="0033663C" w:rsidRPr="003328F3" w:rsidRDefault="0033663C" w:rsidP="0033663C">
            <w:pPr>
              <w:pStyle w:val="TableText"/>
              <w:jc w:val="right"/>
            </w:pPr>
            <w:r w:rsidRPr="003328F3">
              <w:t>2.5</w:t>
            </w:r>
          </w:p>
        </w:tc>
        <w:tc>
          <w:tcPr>
            <w:tcW w:w="430" w:type="pct"/>
          </w:tcPr>
          <w:p w14:paraId="0D37D2C3" w14:textId="77777777" w:rsidR="0033663C" w:rsidRPr="003328F3" w:rsidRDefault="0033663C" w:rsidP="0033663C">
            <w:pPr>
              <w:pStyle w:val="TableText"/>
              <w:jc w:val="right"/>
            </w:pPr>
            <w:r w:rsidRPr="003328F3">
              <w:t>3.0</w:t>
            </w:r>
          </w:p>
        </w:tc>
        <w:tc>
          <w:tcPr>
            <w:tcW w:w="562" w:type="pct"/>
          </w:tcPr>
          <w:p w14:paraId="319D32A5" w14:textId="77777777" w:rsidR="0033663C" w:rsidRPr="003328F3" w:rsidRDefault="0033663C" w:rsidP="0033663C">
            <w:pPr>
              <w:pStyle w:val="TableText"/>
              <w:jc w:val="right"/>
            </w:pPr>
            <w:r>
              <w:rPr>
                <w:rFonts w:eastAsia="Times New Roman"/>
                <w:bCs/>
                <w:color w:val="000000" w:themeColor="text1"/>
              </w:rPr>
              <w:t>–</w:t>
            </w:r>
            <w:r w:rsidRPr="003328F3">
              <w:t>3.4, 8.4</w:t>
            </w:r>
          </w:p>
        </w:tc>
      </w:tr>
      <w:tr w:rsidR="00405DDA" w:rsidRPr="003328F3" w14:paraId="4E2C6418" w14:textId="77777777" w:rsidTr="00405DDA">
        <w:trPr>
          <w:cnfStyle w:val="010000000000" w:firstRow="0" w:lastRow="1" w:firstColumn="0" w:lastColumn="0" w:oddVBand="0" w:evenVBand="0" w:oddHBand="0" w:evenHBand="0" w:firstRowFirstColumn="0" w:firstRowLastColumn="0" w:lastRowFirstColumn="0" w:lastRowLastColumn="0"/>
          <w:cantSplit/>
        </w:trPr>
        <w:tc>
          <w:tcPr>
            <w:tcW w:w="887" w:type="pct"/>
            <w:hideMark/>
          </w:tcPr>
          <w:p w14:paraId="5B52BAD4" w14:textId="77777777" w:rsidR="0033663C" w:rsidRPr="003328F3" w:rsidRDefault="0033663C" w:rsidP="0033663C">
            <w:pPr>
              <w:pStyle w:val="TableText"/>
              <w:rPr>
                <w:rFonts w:eastAsia="Times New Roman"/>
                <w:lang w:eastAsia="en-AU"/>
              </w:rPr>
            </w:pPr>
            <w:r w:rsidRPr="003328F3">
              <w:rPr>
                <w:lang w:eastAsia="en-AU"/>
              </w:rPr>
              <w:t xml:space="preserve">Very </w:t>
            </w:r>
            <w:r>
              <w:rPr>
                <w:lang w:eastAsia="en-AU"/>
              </w:rPr>
              <w:t>h</w:t>
            </w:r>
            <w:r w:rsidRPr="003328F3">
              <w:rPr>
                <w:lang w:eastAsia="en-AU"/>
              </w:rPr>
              <w:t>igh (30</w:t>
            </w:r>
            <w:r>
              <w:rPr>
                <w:lang w:eastAsia="en-AU"/>
              </w:rPr>
              <w:t>–</w:t>
            </w:r>
            <w:r w:rsidRPr="003328F3">
              <w:rPr>
                <w:lang w:eastAsia="en-AU"/>
              </w:rPr>
              <w:t>50)</w:t>
            </w:r>
          </w:p>
        </w:tc>
        <w:tc>
          <w:tcPr>
            <w:tcW w:w="358" w:type="pct"/>
          </w:tcPr>
          <w:p w14:paraId="0FD63940" w14:textId="77777777" w:rsidR="0033663C" w:rsidRPr="003328F3" w:rsidRDefault="0033663C" w:rsidP="0033663C">
            <w:pPr>
              <w:pStyle w:val="TableText"/>
              <w:jc w:val="right"/>
            </w:pPr>
            <w:r w:rsidRPr="003328F3">
              <w:t>18.6</w:t>
            </w:r>
          </w:p>
        </w:tc>
        <w:tc>
          <w:tcPr>
            <w:tcW w:w="430" w:type="pct"/>
          </w:tcPr>
          <w:p w14:paraId="285F04BF" w14:textId="77777777" w:rsidR="0033663C" w:rsidRPr="003328F3" w:rsidRDefault="0033663C" w:rsidP="0033663C">
            <w:pPr>
              <w:pStyle w:val="TableText"/>
              <w:jc w:val="right"/>
            </w:pPr>
            <w:r w:rsidRPr="003328F3">
              <w:t>3.1</w:t>
            </w:r>
          </w:p>
        </w:tc>
        <w:tc>
          <w:tcPr>
            <w:tcW w:w="583" w:type="pct"/>
          </w:tcPr>
          <w:p w14:paraId="6045EB93" w14:textId="77777777" w:rsidR="0033663C" w:rsidRPr="003328F3" w:rsidRDefault="0033663C" w:rsidP="0033663C">
            <w:pPr>
              <w:pStyle w:val="TableText"/>
              <w:jc w:val="right"/>
            </w:pPr>
            <w:r w:rsidRPr="003328F3">
              <w:t>13.3, 25.5</w:t>
            </w:r>
          </w:p>
        </w:tc>
        <w:tc>
          <w:tcPr>
            <w:tcW w:w="338" w:type="pct"/>
          </w:tcPr>
          <w:p w14:paraId="756B5E96" w14:textId="77777777" w:rsidR="0033663C" w:rsidRPr="003328F3" w:rsidRDefault="0033663C" w:rsidP="0033663C">
            <w:pPr>
              <w:pStyle w:val="TableText"/>
              <w:jc w:val="right"/>
            </w:pPr>
            <w:r w:rsidRPr="003328F3">
              <w:t>5.4</w:t>
            </w:r>
          </w:p>
        </w:tc>
        <w:tc>
          <w:tcPr>
            <w:tcW w:w="430" w:type="pct"/>
          </w:tcPr>
          <w:p w14:paraId="331887D2" w14:textId="77777777" w:rsidR="0033663C" w:rsidRPr="003328F3" w:rsidRDefault="0033663C" w:rsidP="0033663C">
            <w:pPr>
              <w:pStyle w:val="TableText"/>
              <w:jc w:val="right"/>
            </w:pPr>
            <w:r w:rsidRPr="003328F3">
              <w:t>1.2</w:t>
            </w:r>
          </w:p>
        </w:tc>
        <w:tc>
          <w:tcPr>
            <w:tcW w:w="603" w:type="pct"/>
          </w:tcPr>
          <w:p w14:paraId="4F1F4959" w14:textId="77777777" w:rsidR="0033663C" w:rsidRPr="003328F3" w:rsidRDefault="0033663C" w:rsidP="0033663C">
            <w:pPr>
              <w:pStyle w:val="TableText"/>
              <w:jc w:val="right"/>
            </w:pPr>
            <w:r w:rsidRPr="003328F3">
              <w:t>3.1, 7.7</w:t>
            </w:r>
          </w:p>
        </w:tc>
        <w:tc>
          <w:tcPr>
            <w:tcW w:w="379" w:type="pct"/>
          </w:tcPr>
          <w:p w14:paraId="7E4DAECC" w14:textId="77777777" w:rsidR="0033663C" w:rsidRPr="003328F3" w:rsidRDefault="0033663C" w:rsidP="0033663C">
            <w:pPr>
              <w:pStyle w:val="TableText"/>
              <w:jc w:val="right"/>
            </w:pPr>
            <w:r w:rsidRPr="003328F3">
              <w:t>13.2</w:t>
            </w:r>
          </w:p>
        </w:tc>
        <w:tc>
          <w:tcPr>
            <w:tcW w:w="430" w:type="pct"/>
          </w:tcPr>
          <w:p w14:paraId="0537D5A7" w14:textId="77777777" w:rsidR="0033663C" w:rsidRPr="003328F3" w:rsidRDefault="0033663C" w:rsidP="0033663C">
            <w:pPr>
              <w:pStyle w:val="TableText"/>
              <w:jc w:val="right"/>
            </w:pPr>
            <w:r w:rsidRPr="003328F3">
              <w:t>3.3</w:t>
            </w:r>
          </w:p>
        </w:tc>
        <w:tc>
          <w:tcPr>
            <w:tcW w:w="562" w:type="pct"/>
          </w:tcPr>
          <w:p w14:paraId="4A0C1FCA" w14:textId="77777777" w:rsidR="0033663C" w:rsidRPr="003328F3" w:rsidRDefault="0033663C" w:rsidP="0033663C">
            <w:pPr>
              <w:pStyle w:val="TableText"/>
              <w:jc w:val="right"/>
            </w:pPr>
            <w:r w:rsidRPr="003328F3">
              <w:t>6.7, 19.7</w:t>
            </w:r>
          </w:p>
        </w:tc>
      </w:tr>
    </w:tbl>
    <w:p w14:paraId="1808D326" w14:textId="77777777" w:rsidR="0033663C" w:rsidRPr="000B73E4" w:rsidRDefault="0033663C" w:rsidP="0033663C">
      <w:pPr>
        <w:pStyle w:val="TableNotes"/>
      </w:pPr>
      <w:r>
        <w:t>Notes</w:t>
      </w:r>
    </w:p>
    <w:p w14:paraId="259917E5" w14:textId="77777777" w:rsidR="0033663C" w:rsidRPr="002C3723" w:rsidRDefault="0033663C" w:rsidP="0033663C">
      <w:pPr>
        <w:pStyle w:val="TableNotes"/>
      </w:pPr>
      <w:r w:rsidRPr="002C3723">
        <w:t xml:space="preserve">Denominator: Total Transitioned ADF </w:t>
      </w:r>
      <w:r>
        <w:t>18–25</w:t>
      </w:r>
      <w:r w:rsidRPr="002C3723">
        <w:t xml:space="preserve"> years and Young and Well </w:t>
      </w:r>
      <w:r>
        <w:t>18–25</w:t>
      </w:r>
      <w:r w:rsidRPr="002C3723">
        <w:t xml:space="preserve"> years cohorts</w:t>
      </w:r>
      <w:r>
        <w:t>.</w:t>
      </w:r>
    </w:p>
    <w:p w14:paraId="7D3683C7" w14:textId="77777777" w:rsidR="0033663C" w:rsidRPr="002C3723" w:rsidRDefault="0033663C" w:rsidP="0033663C">
      <w:pPr>
        <w:pStyle w:val="TableNotes"/>
      </w:pPr>
      <w:r w:rsidRPr="002C3723">
        <w:t xml:space="preserve">Less than 1% of the Transitioned ADF cohort had a missing value for this question. However, distributions are calculated by including those with a missing value to allow for correct weighted totals. </w:t>
      </w:r>
    </w:p>
    <w:p w14:paraId="2F6A7676" w14:textId="77777777" w:rsidR="0033663C" w:rsidRDefault="0033663C" w:rsidP="0033663C">
      <w:pPr>
        <w:pStyle w:val="TableNotes"/>
      </w:pPr>
      <w:r>
        <w:t>95%CI = 95% confidence interval.</w:t>
      </w:r>
    </w:p>
    <w:p w14:paraId="224F4870" w14:textId="77777777" w:rsidR="0033663C" w:rsidRPr="003328F3" w:rsidRDefault="0033663C" w:rsidP="0033663C">
      <w:pPr>
        <w:pStyle w:val="FigureName"/>
        <w:rPr>
          <w:lang w:eastAsia="en-AU"/>
        </w:rPr>
      </w:pPr>
      <w:bookmarkStart w:id="1228" w:name="_Ref514912539"/>
      <w:bookmarkStart w:id="1229" w:name="_Toc515374744"/>
      <w:bookmarkStart w:id="1230" w:name="_Toc528932428"/>
      <w:bookmarkStart w:id="1231" w:name="_Toc531858108"/>
      <w:r>
        <w:t xml:space="preserve">Figure </w:t>
      </w:r>
      <w:r>
        <w:rPr>
          <w:noProof/>
        </w:rPr>
        <w:t>10</w:t>
      </w:r>
      <w:r>
        <w:t>.</w:t>
      </w:r>
      <w:r>
        <w:rPr>
          <w:noProof/>
        </w:rPr>
        <w:t>8</w:t>
      </w:r>
      <w:bookmarkEnd w:id="1228"/>
      <w:r>
        <w:tab/>
      </w:r>
      <w:r w:rsidRPr="003328F3">
        <w:t xml:space="preserve">Estimated prevalence of psychological distress (K10 scoring bands) in Transitioned ADF (aged </w:t>
      </w:r>
      <w:r>
        <w:t>18–25</w:t>
      </w:r>
      <w:r w:rsidRPr="003328F3">
        <w:t>) compared to the Young and Well cohort</w:t>
      </w:r>
      <w:bookmarkEnd w:id="1229"/>
      <w:bookmarkEnd w:id="1230"/>
      <w:bookmarkEnd w:id="1231"/>
    </w:p>
    <w:p w14:paraId="569AB3AC" w14:textId="77777777" w:rsidR="0033663C" w:rsidRPr="004C3BE2" w:rsidRDefault="004C3BE2" w:rsidP="004C3BE2">
      <w:pPr>
        <w:spacing w:after="360"/>
      </w:pPr>
      <w:r w:rsidRPr="003328F3">
        <w:rPr>
          <w:rFonts w:asciiTheme="minorHAnsi" w:hAnsiTheme="minorHAnsi"/>
          <w:noProof/>
          <w:lang w:eastAsia="en-AU"/>
        </w:rPr>
        <w:drawing>
          <wp:inline distT="0" distB="0" distL="0" distR="0" wp14:anchorId="36134DDB" wp14:editId="658DE0E8">
            <wp:extent cx="4572000" cy="3200400"/>
            <wp:effectExtent l="0" t="0" r="19050" b="19050"/>
            <wp:docPr id="491" name="Chart 491" descr="Figure 10.8 Estimated prevalence of psychological distress (K10 scoring bands) in Transitioned ADF (aged 18–25) compared to the Young and Well coh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07EBB62A" w14:textId="77777777" w:rsidR="0033663C" w:rsidRPr="002C3723" w:rsidRDefault="0033663C" w:rsidP="0033663C">
      <w:pPr>
        <w:pStyle w:val="Heading3"/>
        <w:numPr>
          <w:ilvl w:val="2"/>
          <w:numId w:val="1"/>
        </w:numPr>
      </w:pPr>
      <w:bookmarkStart w:id="1232" w:name="_Toc515374574"/>
      <w:bookmarkStart w:id="1233" w:name="_Toc518566468"/>
      <w:bookmarkStart w:id="1234" w:name="_Toc528932746"/>
      <w:bookmarkStart w:id="1235" w:name="_Toc531859283"/>
      <w:r w:rsidRPr="002C3723">
        <w:t xml:space="preserve">Frequency of </w:t>
      </w:r>
      <w:r>
        <w:t>internet</w:t>
      </w:r>
      <w:r w:rsidRPr="002C3723">
        <w:t xml:space="preserve"> use by level of psychological distress</w:t>
      </w:r>
      <w:bookmarkEnd w:id="1220"/>
      <w:bookmarkEnd w:id="1232"/>
      <w:bookmarkEnd w:id="1233"/>
      <w:bookmarkEnd w:id="1234"/>
      <w:bookmarkEnd w:id="1235"/>
    </w:p>
    <w:p w14:paraId="78B81337" w14:textId="77777777" w:rsidR="0033663C" w:rsidRPr="003328F3" w:rsidRDefault="0033663C" w:rsidP="0033663C">
      <w:r>
        <w:t xml:space="preserve">Table </w:t>
      </w:r>
      <w:r>
        <w:rPr>
          <w:noProof/>
        </w:rPr>
        <w:t>10.9</w:t>
      </w:r>
      <w:r w:rsidRPr="00D56F28">
        <w:rPr>
          <w:rFonts w:asciiTheme="minorHAnsi" w:hAnsiTheme="minorHAnsi"/>
          <w:szCs w:val="22"/>
        </w:rPr>
        <w:t xml:space="preserve"> and </w:t>
      </w:r>
      <w:r>
        <w:t xml:space="preserve">Figure </w:t>
      </w:r>
      <w:r>
        <w:rPr>
          <w:noProof/>
        </w:rPr>
        <w:t>10</w:t>
      </w:r>
      <w:r>
        <w:t>.</w:t>
      </w:r>
      <w:r>
        <w:rPr>
          <w:noProof/>
        </w:rPr>
        <w:t>9</w:t>
      </w:r>
      <w:r w:rsidRPr="00D56F28">
        <w:rPr>
          <w:rFonts w:asciiTheme="minorHAnsi" w:hAnsiTheme="minorHAnsi"/>
          <w:szCs w:val="22"/>
        </w:rPr>
        <w:t xml:space="preserve"> present</w:t>
      </w:r>
      <w:r w:rsidRPr="003328F3">
        <w:rPr>
          <w:rFonts w:asciiTheme="minorHAnsi" w:hAnsiTheme="minorHAnsi"/>
          <w:szCs w:val="22"/>
        </w:rPr>
        <w:t xml:space="preserve"> the </w:t>
      </w:r>
      <w:r w:rsidRPr="003328F3">
        <w:t xml:space="preserve">frequency of </w:t>
      </w:r>
      <w:r>
        <w:t>internet</w:t>
      </w:r>
      <w:r w:rsidRPr="003328F3">
        <w:t xml:space="preserve"> use in the Transitioned ADF </w:t>
      </w:r>
      <w:r>
        <w:t xml:space="preserve">young adults </w:t>
      </w:r>
      <w:r w:rsidRPr="003328F3">
        <w:t>compared to the Young and Well cohort by level of psychological distress.</w:t>
      </w:r>
    </w:p>
    <w:p w14:paraId="48C61A65" w14:textId="77777777" w:rsidR="0033663C" w:rsidRDefault="0033663C" w:rsidP="0033663C">
      <w:r w:rsidRPr="003328F3">
        <w:t xml:space="preserve">Similar patterns of frequency of </w:t>
      </w:r>
      <w:r>
        <w:t>internet</w:t>
      </w:r>
      <w:r w:rsidRPr="003328F3">
        <w:t xml:space="preserve"> use were found in Transitioned ADF </w:t>
      </w:r>
      <w:r>
        <w:t xml:space="preserve">young adults </w:t>
      </w:r>
      <w:r w:rsidRPr="003328F3">
        <w:t xml:space="preserve">and the Young and Well </w:t>
      </w:r>
      <w:r>
        <w:t>c</w:t>
      </w:r>
      <w:r w:rsidRPr="003328F3">
        <w:t xml:space="preserve">ohort, irrespective of whether they had low psychological distress or moderate to very high psychological distress on the K10. More than 90% of participants in all groups reported using the </w:t>
      </w:r>
      <w:r>
        <w:t>internet</w:t>
      </w:r>
      <w:r w:rsidRPr="003328F3">
        <w:t xml:space="preserve"> every day or almost every day.</w:t>
      </w:r>
    </w:p>
    <w:p w14:paraId="72EF6071" w14:textId="77777777" w:rsidR="001D71E2" w:rsidRDefault="001D71E2" w:rsidP="007123C7">
      <w:pPr>
        <w:sectPr w:rsidR="001D71E2" w:rsidSect="001D71E2">
          <w:footerReference w:type="even" r:id="rId154"/>
          <w:footerReference w:type="default" r:id="rId155"/>
          <w:type w:val="oddPage"/>
          <w:pgSz w:w="9979" w:h="14170" w:code="243"/>
          <w:pgMar w:top="1440" w:right="1152" w:bottom="1440" w:left="1728" w:header="576" w:footer="576" w:gutter="0"/>
          <w:cols w:space="708"/>
          <w:docGrid w:linePitch="360"/>
        </w:sectPr>
      </w:pPr>
    </w:p>
    <w:p w14:paraId="6453C164" w14:textId="77777777" w:rsidR="002A7F4E" w:rsidRPr="003328F3" w:rsidRDefault="002A7F4E" w:rsidP="002A7F4E">
      <w:pPr>
        <w:pStyle w:val="TableName"/>
        <w:rPr>
          <w:rFonts w:asciiTheme="minorHAnsi" w:hAnsiTheme="minorHAnsi"/>
          <w:szCs w:val="22"/>
        </w:rPr>
      </w:pPr>
      <w:bookmarkStart w:id="1236" w:name="_Ref514912736"/>
      <w:bookmarkStart w:id="1237" w:name="_Ref514070814"/>
      <w:bookmarkStart w:id="1238" w:name="_Toc528932373"/>
      <w:bookmarkStart w:id="1239" w:name="_Toc531858052"/>
      <w:r w:rsidRPr="00356950">
        <w:t xml:space="preserve">Table </w:t>
      </w:r>
      <w:r w:rsidRPr="00356950">
        <w:rPr>
          <w:noProof/>
        </w:rPr>
        <w:t>10</w:t>
      </w:r>
      <w:r w:rsidRPr="00356950">
        <w:t>.</w:t>
      </w:r>
      <w:r w:rsidRPr="00356950">
        <w:rPr>
          <w:noProof/>
        </w:rPr>
        <w:t>9</w:t>
      </w:r>
      <w:bookmarkEnd w:id="1236"/>
      <w:r w:rsidRPr="00356950">
        <w:tab/>
        <w:t>Frequency of internet use in Transitioned ADF (aged 18–25) compared to the Young and Well cohort, by level of psychological distress</w:t>
      </w:r>
      <w:bookmarkEnd w:id="1237"/>
      <w:bookmarkEnd w:id="1238"/>
      <w:bookmarkEnd w:id="1239"/>
    </w:p>
    <w:tbl>
      <w:tblPr>
        <w:tblStyle w:val="TWRPTable"/>
        <w:tblW w:w="5000" w:type="pct"/>
        <w:tblLayout w:type="fixed"/>
        <w:tblCellMar>
          <w:left w:w="115" w:type="dxa"/>
          <w:right w:w="115" w:type="dxa"/>
        </w:tblCellMar>
        <w:tblLook w:val="01E0" w:firstRow="1" w:lastRow="1" w:firstColumn="1" w:lastColumn="1" w:noHBand="0" w:noVBand="0"/>
        <w:tblDescription w:val="Table 10.9 Frequency of internet use in Transitioned ADF (aged 18–25) compared to the Young and Well cohort, by level of psychological distress"/>
      </w:tblPr>
      <w:tblGrid>
        <w:gridCol w:w="1786"/>
        <w:gridCol w:w="441"/>
        <w:gridCol w:w="485"/>
        <w:gridCol w:w="751"/>
        <w:gridCol w:w="451"/>
        <w:gridCol w:w="386"/>
        <w:gridCol w:w="747"/>
        <w:gridCol w:w="424"/>
        <w:gridCol w:w="386"/>
        <w:gridCol w:w="684"/>
        <w:gridCol w:w="519"/>
        <w:gridCol w:w="386"/>
        <w:gridCol w:w="747"/>
        <w:gridCol w:w="451"/>
        <w:gridCol w:w="386"/>
        <w:gridCol w:w="747"/>
        <w:gridCol w:w="424"/>
        <w:gridCol w:w="386"/>
        <w:gridCol w:w="693"/>
      </w:tblGrid>
      <w:tr w:rsidR="002A7F4E" w:rsidRPr="000850AC" w14:paraId="1E2666A6" w14:textId="77777777" w:rsidTr="000850AC">
        <w:trPr>
          <w:cnfStyle w:val="100000000000" w:firstRow="1" w:lastRow="0" w:firstColumn="0" w:lastColumn="0" w:oddVBand="0" w:evenVBand="0" w:oddHBand="0" w:evenHBand="0" w:firstRowFirstColumn="0" w:firstRowLastColumn="0" w:lastRowFirstColumn="0" w:lastRowLastColumn="0"/>
          <w:cantSplit/>
          <w:tblHeader/>
        </w:trPr>
        <w:tc>
          <w:tcPr>
            <w:tcW w:w="792" w:type="pct"/>
            <w:tcBorders>
              <w:bottom w:val="nil"/>
            </w:tcBorders>
          </w:tcPr>
          <w:p w14:paraId="7C2EFA5B" w14:textId="77777777" w:rsidR="002A7F4E" w:rsidRPr="000850AC" w:rsidRDefault="002A7F4E" w:rsidP="000850AC">
            <w:pPr>
              <w:pStyle w:val="TableText"/>
              <w:rPr>
                <w:lang w:eastAsia="en-AU"/>
              </w:rPr>
            </w:pPr>
          </w:p>
        </w:tc>
        <w:tc>
          <w:tcPr>
            <w:tcW w:w="2108" w:type="pct"/>
            <w:gridSpan w:val="9"/>
          </w:tcPr>
          <w:p w14:paraId="31477DE1" w14:textId="5A92A966" w:rsidR="002A7F4E" w:rsidRPr="000850AC" w:rsidRDefault="002A7F4E" w:rsidP="000850AC">
            <w:pPr>
              <w:pStyle w:val="TableText"/>
              <w:jc w:val="center"/>
              <w:rPr>
                <w:bCs/>
                <w:lang w:eastAsia="en-AU"/>
              </w:rPr>
            </w:pPr>
            <w:r w:rsidRPr="000850AC">
              <w:rPr>
                <w:bCs/>
                <w:lang w:eastAsia="en-AU"/>
              </w:rPr>
              <w:t>Low psychological distress (K10 scores 10</w:t>
            </w:r>
            <w:r w:rsidR="00654897">
              <w:rPr>
                <w:bCs/>
                <w:lang w:eastAsia="en-AU"/>
              </w:rPr>
              <w:t>–</w:t>
            </w:r>
            <w:r w:rsidRPr="000850AC">
              <w:rPr>
                <w:bCs/>
                <w:lang w:eastAsia="en-AU"/>
              </w:rPr>
              <w:t>15)</w:t>
            </w:r>
          </w:p>
        </w:tc>
        <w:tc>
          <w:tcPr>
            <w:tcW w:w="2100" w:type="pct"/>
            <w:gridSpan w:val="9"/>
          </w:tcPr>
          <w:p w14:paraId="1EB4EE4B" w14:textId="1D732173" w:rsidR="002A7F4E" w:rsidRPr="000850AC" w:rsidRDefault="002A7F4E" w:rsidP="000850AC">
            <w:pPr>
              <w:pStyle w:val="TableText"/>
              <w:jc w:val="center"/>
              <w:rPr>
                <w:bCs/>
                <w:lang w:eastAsia="en-AU"/>
              </w:rPr>
            </w:pPr>
            <w:r w:rsidRPr="000850AC">
              <w:rPr>
                <w:bCs/>
                <w:lang w:eastAsia="en-AU"/>
              </w:rPr>
              <w:t>Moderate to very high psychological distress (K10 scores 16</w:t>
            </w:r>
            <w:r w:rsidR="00654897">
              <w:rPr>
                <w:bCs/>
                <w:lang w:eastAsia="en-AU"/>
              </w:rPr>
              <w:t>–</w:t>
            </w:r>
            <w:r w:rsidRPr="000850AC">
              <w:rPr>
                <w:bCs/>
                <w:lang w:eastAsia="en-AU"/>
              </w:rPr>
              <w:t>50)</w:t>
            </w:r>
          </w:p>
        </w:tc>
      </w:tr>
      <w:tr w:rsidR="000850AC" w:rsidRPr="000850AC" w14:paraId="4FD190F9" w14:textId="77777777" w:rsidTr="000850AC">
        <w:trPr>
          <w:cnfStyle w:val="100000000000" w:firstRow="1" w:lastRow="0" w:firstColumn="0" w:lastColumn="0" w:oddVBand="0" w:evenVBand="0" w:oddHBand="0" w:evenHBand="0" w:firstRowFirstColumn="0" w:firstRowLastColumn="0" w:lastRowFirstColumn="0" w:lastRowLastColumn="0"/>
          <w:cantSplit/>
          <w:tblHeader/>
        </w:trPr>
        <w:tc>
          <w:tcPr>
            <w:tcW w:w="792" w:type="pct"/>
            <w:tcBorders>
              <w:top w:val="nil"/>
              <w:bottom w:val="nil"/>
            </w:tcBorders>
          </w:tcPr>
          <w:p w14:paraId="423CB902" w14:textId="77777777" w:rsidR="002A7F4E" w:rsidRPr="000850AC" w:rsidRDefault="002A7F4E" w:rsidP="000850AC">
            <w:pPr>
              <w:pStyle w:val="TableText"/>
              <w:rPr>
                <w:lang w:eastAsia="en-AU"/>
              </w:rPr>
            </w:pPr>
          </w:p>
        </w:tc>
        <w:tc>
          <w:tcPr>
            <w:tcW w:w="744" w:type="pct"/>
            <w:gridSpan w:val="3"/>
            <w:hideMark/>
          </w:tcPr>
          <w:p w14:paraId="2E925F3D" w14:textId="77777777" w:rsidR="002A7F4E" w:rsidRPr="000850AC" w:rsidRDefault="002A7F4E" w:rsidP="000850AC">
            <w:pPr>
              <w:pStyle w:val="TableText"/>
              <w:jc w:val="center"/>
              <w:rPr>
                <w:lang w:eastAsia="en-AU"/>
              </w:rPr>
            </w:pPr>
            <w:r w:rsidRPr="000850AC">
              <w:rPr>
                <w:bCs/>
                <w:lang w:eastAsia="en-AU"/>
              </w:rPr>
              <w:t>Transitioned ADF</w:t>
            </w:r>
            <w:r w:rsidR="000850AC" w:rsidRPr="000850AC">
              <w:rPr>
                <w:bCs/>
                <w:lang w:eastAsia="en-AU"/>
              </w:rPr>
              <w:br/>
            </w:r>
            <w:r w:rsidRPr="000850AC">
              <w:rPr>
                <w:bCs/>
                <w:lang w:eastAsia="en-AU"/>
              </w:rPr>
              <w:t>18–25 years</w:t>
            </w:r>
            <w:r w:rsidR="000850AC" w:rsidRPr="000850AC">
              <w:rPr>
                <w:bCs/>
                <w:lang w:eastAsia="en-AU"/>
              </w:rPr>
              <w:br/>
            </w:r>
            <w:r w:rsidRPr="000850AC">
              <w:rPr>
                <w:lang w:eastAsia="en-AU"/>
              </w:rPr>
              <w:t>n=2630</w:t>
            </w:r>
          </w:p>
        </w:tc>
        <w:tc>
          <w:tcPr>
            <w:tcW w:w="702" w:type="pct"/>
            <w:gridSpan w:val="3"/>
          </w:tcPr>
          <w:p w14:paraId="405C7503" w14:textId="77777777" w:rsidR="002A7F4E" w:rsidRPr="000850AC" w:rsidRDefault="002A7F4E" w:rsidP="000850AC">
            <w:pPr>
              <w:pStyle w:val="TableText"/>
              <w:jc w:val="center"/>
              <w:rPr>
                <w:bCs/>
                <w:lang w:eastAsia="en-AU"/>
              </w:rPr>
            </w:pPr>
            <w:r w:rsidRPr="000850AC">
              <w:rPr>
                <w:rFonts w:cs="Arial"/>
              </w:rPr>
              <w:t>Young and Well cohort</w:t>
            </w:r>
            <w:r w:rsidR="000850AC" w:rsidRPr="000850AC">
              <w:rPr>
                <w:rFonts w:cs="Arial"/>
              </w:rPr>
              <w:br/>
            </w:r>
            <w:r w:rsidRPr="000850AC">
              <w:rPr>
                <w:rFonts w:cs="Arial"/>
              </w:rPr>
              <w:t>18–25 years</w:t>
            </w:r>
            <w:r w:rsidR="000850AC" w:rsidRPr="000850AC">
              <w:rPr>
                <w:rFonts w:cs="Arial"/>
              </w:rPr>
              <w:br/>
            </w:r>
            <w:r w:rsidRPr="000850AC">
              <w:rPr>
                <w:rFonts w:cs="Arial"/>
              </w:rPr>
              <w:t>n=1123</w:t>
            </w:r>
          </w:p>
        </w:tc>
        <w:tc>
          <w:tcPr>
            <w:tcW w:w="662" w:type="pct"/>
            <w:gridSpan w:val="3"/>
          </w:tcPr>
          <w:p w14:paraId="3601C35D" w14:textId="77777777" w:rsidR="002A7F4E" w:rsidRPr="000850AC" w:rsidRDefault="002A7F4E" w:rsidP="000850AC">
            <w:pPr>
              <w:pStyle w:val="TableText"/>
              <w:jc w:val="center"/>
              <w:rPr>
                <w:bCs/>
                <w:lang w:eastAsia="en-AU"/>
              </w:rPr>
            </w:pPr>
            <w:r w:rsidRPr="000850AC">
              <w:rPr>
                <w:bCs/>
                <w:lang w:eastAsia="en-AU"/>
              </w:rPr>
              <w:t>Difference</w:t>
            </w:r>
          </w:p>
        </w:tc>
        <w:tc>
          <w:tcPr>
            <w:tcW w:w="732" w:type="pct"/>
            <w:gridSpan w:val="3"/>
          </w:tcPr>
          <w:p w14:paraId="7CB0A75D" w14:textId="77777777" w:rsidR="002A7F4E" w:rsidRPr="000850AC" w:rsidRDefault="002A7F4E" w:rsidP="000850AC">
            <w:pPr>
              <w:pStyle w:val="TableText"/>
              <w:jc w:val="center"/>
              <w:rPr>
                <w:bCs/>
                <w:lang w:eastAsia="en-AU"/>
              </w:rPr>
            </w:pPr>
            <w:r w:rsidRPr="000850AC">
              <w:rPr>
                <w:bCs/>
                <w:lang w:eastAsia="en-AU"/>
              </w:rPr>
              <w:t>Transitioned ADF</w:t>
            </w:r>
            <w:r w:rsidR="000850AC" w:rsidRPr="000850AC">
              <w:rPr>
                <w:bCs/>
                <w:lang w:eastAsia="en-AU"/>
              </w:rPr>
              <w:br/>
            </w:r>
            <w:r w:rsidRPr="000850AC">
              <w:rPr>
                <w:bCs/>
                <w:lang w:eastAsia="en-AU"/>
              </w:rPr>
              <w:t>18–25 years</w:t>
            </w:r>
            <w:r w:rsidR="000850AC" w:rsidRPr="000850AC">
              <w:rPr>
                <w:bCs/>
                <w:lang w:eastAsia="en-AU"/>
              </w:rPr>
              <w:br/>
            </w:r>
            <w:r w:rsidRPr="000850AC">
              <w:rPr>
                <w:lang w:eastAsia="en-AU"/>
              </w:rPr>
              <w:t>n=2630</w:t>
            </w:r>
          </w:p>
        </w:tc>
        <w:tc>
          <w:tcPr>
            <w:tcW w:w="702" w:type="pct"/>
            <w:gridSpan w:val="3"/>
          </w:tcPr>
          <w:p w14:paraId="2011A029" w14:textId="77777777" w:rsidR="002A7F4E" w:rsidRPr="000850AC" w:rsidRDefault="002A7F4E" w:rsidP="000850AC">
            <w:pPr>
              <w:pStyle w:val="TableText"/>
              <w:jc w:val="center"/>
              <w:rPr>
                <w:bCs/>
                <w:lang w:eastAsia="en-AU"/>
              </w:rPr>
            </w:pPr>
            <w:r w:rsidRPr="000850AC">
              <w:rPr>
                <w:rFonts w:cs="Arial"/>
              </w:rPr>
              <w:t>Young and Well cohort</w:t>
            </w:r>
            <w:r w:rsidR="000850AC" w:rsidRPr="000850AC">
              <w:rPr>
                <w:rFonts w:cs="Arial"/>
              </w:rPr>
              <w:br/>
            </w:r>
            <w:r w:rsidRPr="000850AC">
              <w:rPr>
                <w:rFonts w:cs="Arial"/>
              </w:rPr>
              <w:t>18–25 years</w:t>
            </w:r>
            <w:r w:rsidR="000850AC" w:rsidRPr="000850AC">
              <w:rPr>
                <w:rFonts w:cs="Arial"/>
              </w:rPr>
              <w:br/>
            </w:r>
            <w:r w:rsidRPr="000850AC">
              <w:rPr>
                <w:rFonts w:cs="Arial"/>
              </w:rPr>
              <w:t>n=1123</w:t>
            </w:r>
          </w:p>
        </w:tc>
        <w:tc>
          <w:tcPr>
            <w:tcW w:w="666" w:type="pct"/>
            <w:gridSpan w:val="3"/>
          </w:tcPr>
          <w:p w14:paraId="5F3A04A8" w14:textId="77777777" w:rsidR="002A7F4E" w:rsidRPr="000850AC" w:rsidRDefault="002A7F4E" w:rsidP="000850AC">
            <w:pPr>
              <w:pStyle w:val="TableText"/>
              <w:jc w:val="center"/>
              <w:rPr>
                <w:bCs/>
                <w:lang w:eastAsia="en-AU"/>
              </w:rPr>
            </w:pPr>
            <w:r w:rsidRPr="000850AC">
              <w:rPr>
                <w:bCs/>
                <w:lang w:eastAsia="en-AU"/>
              </w:rPr>
              <w:t>Difference</w:t>
            </w:r>
          </w:p>
        </w:tc>
      </w:tr>
      <w:tr w:rsidR="000850AC" w:rsidRPr="000850AC" w14:paraId="24206D8A" w14:textId="77777777" w:rsidTr="000850AC">
        <w:trPr>
          <w:cnfStyle w:val="100000000000" w:firstRow="1" w:lastRow="0" w:firstColumn="0" w:lastColumn="0" w:oddVBand="0" w:evenVBand="0" w:oddHBand="0" w:evenHBand="0" w:firstRowFirstColumn="0" w:firstRowLastColumn="0" w:lastRowFirstColumn="0" w:lastRowLastColumn="0"/>
          <w:cantSplit/>
          <w:tblHeader/>
        </w:trPr>
        <w:tc>
          <w:tcPr>
            <w:tcW w:w="792" w:type="pct"/>
            <w:tcBorders>
              <w:top w:val="nil"/>
            </w:tcBorders>
          </w:tcPr>
          <w:p w14:paraId="35B38889" w14:textId="77777777" w:rsidR="002A7F4E" w:rsidRPr="000850AC" w:rsidRDefault="002A7F4E" w:rsidP="000850AC">
            <w:pPr>
              <w:pStyle w:val="TableText"/>
              <w:rPr>
                <w:rFonts w:eastAsia="GillSans"/>
                <w:lang w:eastAsia="en-AU"/>
              </w:rPr>
            </w:pPr>
          </w:p>
        </w:tc>
        <w:tc>
          <w:tcPr>
            <w:tcW w:w="196" w:type="pct"/>
            <w:hideMark/>
          </w:tcPr>
          <w:p w14:paraId="4389AEB6" w14:textId="77777777" w:rsidR="002A7F4E" w:rsidRPr="000850AC" w:rsidRDefault="002A7F4E" w:rsidP="000850AC">
            <w:pPr>
              <w:pStyle w:val="TableText"/>
              <w:jc w:val="right"/>
              <w:rPr>
                <w:rFonts w:eastAsia="Times New Roman"/>
                <w:lang w:eastAsia="en-AU"/>
              </w:rPr>
            </w:pPr>
            <w:r w:rsidRPr="000850AC">
              <w:rPr>
                <w:lang w:eastAsia="en-AU"/>
              </w:rPr>
              <w:t>%</w:t>
            </w:r>
          </w:p>
        </w:tc>
        <w:tc>
          <w:tcPr>
            <w:tcW w:w="215" w:type="pct"/>
            <w:hideMark/>
          </w:tcPr>
          <w:p w14:paraId="140045C6" w14:textId="77777777" w:rsidR="002A7F4E" w:rsidRPr="000850AC" w:rsidRDefault="002A7F4E" w:rsidP="000850AC">
            <w:pPr>
              <w:pStyle w:val="TableText"/>
              <w:jc w:val="right"/>
              <w:rPr>
                <w:lang w:eastAsia="en-AU"/>
              </w:rPr>
            </w:pPr>
            <w:r w:rsidRPr="000850AC">
              <w:rPr>
                <w:lang w:eastAsia="en-AU"/>
              </w:rPr>
              <w:t>SE</w:t>
            </w:r>
          </w:p>
        </w:tc>
        <w:tc>
          <w:tcPr>
            <w:tcW w:w="333" w:type="pct"/>
            <w:hideMark/>
          </w:tcPr>
          <w:p w14:paraId="6981859C" w14:textId="77777777" w:rsidR="002A7F4E" w:rsidRPr="000850AC" w:rsidRDefault="002A7F4E" w:rsidP="000850AC">
            <w:pPr>
              <w:pStyle w:val="TableText"/>
              <w:jc w:val="right"/>
              <w:rPr>
                <w:lang w:eastAsia="en-AU"/>
              </w:rPr>
            </w:pPr>
            <w:r w:rsidRPr="000850AC">
              <w:rPr>
                <w:lang w:eastAsia="en-AU"/>
              </w:rPr>
              <w:t>95% CI</w:t>
            </w:r>
          </w:p>
        </w:tc>
        <w:tc>
          <w:tcPr>
            <w:tcW w:w="200" w:type="pct"/>
          </w:tcPr>
          <w:p w14:paraId="28EF92DB" w14:textId="77777777" w:rsidR="002A7F4E" w:rsidRPr="000850AC" w:rsidRDefault="002A7F4E" w:rsidP="000850AC">
            <w:pPr>
              <w:pStyle w:val="TableText"/>
              <w:jc w:val="right"/>
              <w:rPr>
                <w:lang w:eastAsia="en-AU"/>
              </w:rPr>
            </w:pPr>
            <w:r w:rsidRPr="000850AC">
              <w:rPr>
                <w:lang w:eastAsia="en-AU"/>
              </w:rPr>
              <w:t>%</w:t>
            </w:r>
          </w:p>
        </w:tc>
        <w:tc>
          <w:tcPr>
            <w:tcW w:w="171" w:type="pct"/>
          </w:tcPr>
          <w:p w14:paraId="09E1A597" w14:textId="77777777" w:rsidR="002A7F4E" w:rsidRPr="000850AC" w:rsidRDefault="002A7F4E" w:rsidP="000850AC">
            <w:pPr>
              <w:pStyle w:val="TableText"/>
              <w:jc w:val="right"/>
              <w:rPr>
                <w:lang w:eastAsia="en-AU"/>
              </w:rPr>
            </w:pPr>
            <w:r w:rsidRPr="000850AC">
              <w:rPr>
                <w:lang w:eastAsia="en-AU"/>
              </w:rPr>
              <w:t>SE</w:t>
            </w:r>
          </w:p>
        </w:tc>
        <w:tc>
          <w:tcPr>
            <w:tcW w:w="331" w:type="pct"/>
          </w:tcPr>
          <w:p w14:paraId="309A5704" w14:textId="77777777" w:rsidR="002A7F4E" w:rsidRPr="000850AC" w:rsidRDefault="002A7F4E" w:rsidP="000850AC">
            <w:pPr>
              <w:pStyle w:val="TableText"/>
              <w:jc w:val="right"/>
              <w:rPr>
                <w:lang w:eastAsia="en-AU"/>
              </w:rPr>
            </w:pPr>
            <w:r w:rsidRPr="000850AC">
              <w:rPr>
                <w:lang w:eastAsia="en-AU"/>
              </w:rPr>
              <w:t>95% CI</w:t>
            </w:r>
          </w:p>
        </w:tc>
        <w:tc>
          <w:tcPr>
            <w:tcW w:w="188" w:type="pct"/>
          </w:tcPr>
          <w:p w14:paraId="2C090108" w14:textId="77777777" w:rsidR="002A7F4E" w:rsidRPr="000850AC" w:rsidRDefault="002A7F4E" w:rsidP="000850AC">
            <w:pPr>
              <w:pStyle w:val="TableText"/>
              <w:jc w:val="right"/>
              <w:rPr>
                <w:lang w:eastAsia="en-AU"/>
              </w:rPr>
            </w:pPr>
            <w:r w:rsidRPr="000850AC">
              <w:rPr>
                <w:lang w:eastAsia="en-AU"/>
              </w:rPr>
              <w:t>%</w:t>
            </w:r>
          </w:p>
        </w:tc>
        <w:tc>
          <w:tcPr>
            <w:tcW w:w="171" w:type="pct"/>
          </w:tcPr>
          <w:p w14:paraId="70795BCE" w14:textId="77777777" w:rsidR="002A7F4E" w:rsidRPr="000850AC" w:rsidRDefault="002A7F4E" w:rsidP="000850AC">
            <w:pPr>
              <w:pStyle w:val="TableText"/>
              <w:jc w:val="right"/>
              <w:rPr>
                <w:lang w:eastAsia="en-AU"/>
              </w:rPr>
            </w:pPr>
            <w:r w:rsidRPr="000850AC">
              <w:rPr>
                <w:lang w:eastAsia="en-AU"/>
              </w:rPr>
              <w:t>SE</w:t>
            </w:r>
          </w:p>
        </w:tc>
        <w:tc>
          <w:tcPr>
            <w:tcW w:w="303" w:type="pct"/>
          </w:tcPr>
          <w:p w14:paraId="7AC3EE1C" w14:textId="77777777" w:rsidR="002A7F4E" w:rsidRPr="000850AC" w:rsidRDefault="002A7F4E" w:rsidP="000850AC">
            <w:pPr>
              <w:pStyle w:val="TableText"/>
              <w:jc w:val="right"/>
              <w:rPr>
                <w:lang w:eastAsia="en-AU"/>
              </w:rPr>
            </w:pPr>
            <w:r w:rsidRPr="000850AC">
              <w:rPr>
                <w:lang w:eastAsia="en-AU"/>
              </w:rPr>
              <w:t>95% CI</w:t>
            </w:r>
          </w:p>
        </w:tc>
        <w:tc>
          <w:tcPr>
            <w:tcW w:w="230" w:type="pct"/>
          </w:tcPr>
          <w:p w14:paraId="4992A72D" w14:textId="77777777" w:rsidR="002A7F4E" w:rsidRPr="000850AC" w:rsidRDefault="002A7F4E" w:rsidP="000850AC">
            <w:pPr>
              <w:pStyle w:val="TableText"/>
              <w:jc w:val="right"/>
              <w:rPr>
                <w:lang w:eastAsia="en-AU"/>
              </w:rPr>
            </w:pPr>
            <w:r w:rsidRPr="000850AC">
              <w:rPr>
                <w:lang w:eastAsia="en-AU"/>
              </w:rPr>
              <w:t>%</w:t>
            </w:r>
          </w:p>
        </w:tc>
        <w:tc>
          <w:tcPr>
            <w:tcW w:w="171" w:type="pct"/>
          </w:tcPr>
          <w:p w14:paraId="1A243EB2" w14:textId="77777777" w:rsidR="002A7F4E" w:rsidRPr="000850AC" w:rsidRDefault="002A7F4E" w:rsidP="000850AC">
            <w:pPr>
              <w:pStyle w:val="TableText"/>
              <w:jc w:val="right"/>
              <w:rPr>
                <w:lang w:eastAsia="en-AU"/>
              </w:rPr>
            </w:pPr>
            <w:r w:rsidRPr="000850AC">
              <w:rPr>
                <w:lang w:eastAsia="en-AU"/>
              </w:rPr>
              <w:t>SE</w:t>
            </w:r>
          </w:p>
        </w:tc>
        <w:tc>
          <w:tcPr>
            <w:tcW w:w="331" w:type="pct"/>
          </w:tcPr>
          <w:p w14:paraId="7B85E1DE" w14:textId="77777777" w:rsidR="002A7F4E" w:rsidRPr="000850AC" w:rsidRDefault="002A7F4E" w:rsidP="000850AC">
            <w:pPr>
              <w:pStyle w:val="TableText"/>
              <w:jc w:val="right"/>
              <w:rPr>
                <w:lang w:eastAsia="en-AU"/>
              </w:rPr>
            </w:pPr>
            <w:r w:rsidRPr="000850AC">
              <w:rPr>
                <w:lang w:eastAsia="en-AU"/>
              </w:rPr>
              <w:t>95% CI</w:t>
            </w:r>
          </w:p>
        </w:tc>
        <w:tc>
          <w:tcPr>
            <w:tcW w:w="200" w:type="pct"/>
          </w:tcPr>
          <w:p w14:paraId="5A36EC1F" w14:textId="77777777" w:rsidR="002A7F4E" w:rsidRPr="000850AC" w:rsidRDefault="002A7F4E" w:rsidP="000850AC">
            <w:pPr>
              <w:pStyle w:val="TableText"/>
              <w:jc w:val="right"/>
              <w:rPr>
                <w:lang w:eastAsia="en-AU"/>
              </w:rPr>
            </w:pPr>
            <w:r w:rsidRPr="000850AC">
              <w:rPr>
                <w:lang w:eastAsia="en-AU"/>
              </w:rPr>
              <w:t>%</w:t>
            </w:r>
          </w:p>
        </w:tc>
        <w:tc>
          <w:tcPr>
            <w:tcW w:w="171" w:type="pct"/>
          </w:tcPr>
          <w:p w14:paraId="080D3F73" w14:textId="77777777" w:rsidR="002A7F4E" w:rsidRPr="000850AC" w:rsidRDefault="002A7F4E" w:rsidP="000850AC">
            <w:pPr>
              <w:pStyle w:val="TableText"/>
              <w:jc w:val="right"/>
              <w:rPr>
                <w:lang w:eastAsia="en-AU"/>
              </w:rPr>
            </w:pPr>
            <w:r w:rsidRPr="000850AC">
              <w:rPr>
                <w:lang w:eastAsia="en-AU"/>
              </w:rPr>
              <w:t>SE</w:t>
            </w:r>
          </w:p>
        </w:tc>
        <w:tc>
          <w:tcPr>
            <w:tcW w:w="331" w:type="pct"/>
          </w:tcPr>
          <w:p w14:paraId="7F47DE9D" w14:textId="77777777" w:rsidR="002A7F4E" w:rsidRPr="000850AC" w:rsidRDefault="002A7F4E" w:rsidP="000850AC">
            <w:pPr>
              <w:pStyle w:val="TableText"/>
              <w:jc w:val="right"/>
              <w:rPr>
                <w:lang w:eastAsia="en-AU"/>
              </w:rPr>
            </w:pPr>
            <w:r w:rsidRPr="000850AC">
              <w:rPr>
                <w:lang w:eastAsia="en-AU"/>
              </w:rPr>
              <w:t>95% CI</w:t>
            </w:r>
          </w:p>
        </w:tc>
        <w:tc>
          <w:tcPr>
            <w:tcW w:w="188" w:type="pct"/>
          </w:tcPr>
          <w:p w14:paraId="033423F3" w14:textId="77777777" w:rsidR="002A7F4E" w:rsidRPr="000850AC" w:rsidRDefault="002A7F4E" w:rsidP="000850AC">
            <w:pPr>
              <w:pStyle w:val="TableText"/>
              <w:jc w:val="right"/>
              <w:rPr>
                <w:lang w:eastAsia="en-AU"/>
              </w:rPr>
            </w:pPr>
            <w:r w:rsidRPr="000850AC">
              <w:rPr>
                <w:lang w:eastAsia="en-AU"/>
              </w:rPr>
              <w:t>%</w:t>
            </w:r>
          </w:p>
        </w:tc>
        <w:tc>
          <w:tcPr>
            <w:tcW w:w="171" w:type="pct"/>
          </w:tcPr>
          <w:p w14:paraId="0253DEF3" w14:textId="77777777" w:rsidR="002A7F4E" w:rsidRPr="000850AC" w:rsidRDefault="002A7F4E" w:rsidP="000850AC">
            <w:pPr>
              <w:pStyle w:val="TableText"/>
              <w:jc w:val="right"/>
              <w:rPr>
                <w:lang w:eastAsia="en-AU"/>
              </w:rPr>
            </w:pPr>
            <w:r w:rsidRPr="000850AC">
              <w:rPr>
                <w:lang w:eastAsia="en-AU"/>
              </w:rPr>
              <w:t>SE</w:t>
            </w:r>
          </w:p>
        </w:tc>
        <w:tc>
          <w:tcPr>
            <w:tcW w:w="307" w:type="pct"/>
          </w:tcPr>
          <w:p w14:paraId="669CB032" w14:textId="77777777" w:rsidR="002A7F4E" w:rsidRPr="000850AC" w:rsidRDefault="002A7F4E" w:rsidP="000850AC">
            <w:pPr>
              <w:pStyle w:val="TableText"/>
              <w:jc w:val="right"/>
              <w:rPr>
                <w:lang w:eastAsia="en-AU"/>
              </w:rPr>
            </w:pPr>
            <w:r w:rsidRPr="000850AC">
              <w:rPr>
                <w:lang w:eastAsia="en-AU"/>
              </w:rPr>
              <w:t>95% CI</w:t>
            </w:r>
          </w:p>
        </w:tc>
      </w:tr>
      <w:tr w:rsidR="00BD41F3" w:rsidRPr="003328F3" w14:paraId="6D51C122" w14:textId="77777777" w:rsidTr="000850AC">
        <w:trPr>
          <w:cnfStyle w:val="000000100000" w:firstRow="0" w:lastRow="0" w:firstColumn="0" w:lastColumn="0" w:oddVBand="0" w:evenVBand="0" w:oddHBand="1" w:evenHBand="0" w:firstRowFirstColumn="0" w:firstRowLastColumn="0" w:lastRowFirstColumn="0" w:lastRowLastColumn="0"/>
          <w:cantSplit/>
        </w:trPr>
        <w:tc>
          <w:tcPr>
            <w:tcW w:w="792" w:type="pct"/>
          </w:tcPr>
          <w:p w14:paraId="0B17113E" w14:textId="77777777" w:rsidR="002A7F4E" w:rsidRPr="003328F3" w:rsidRDefault="002A7F4E" w:rsidP="000850AC">
            <w:pPr>
              <w:pStyle w:val="TableText"/>
              <w:rPr>
                <w:rFonts w:eastAsia="GillSans"/>
                <w:lang w:eastAsia="en-AU"/>
              </w:rPr>
            </w:pPr>
            <w:r w:rsidRPr="003328F3">
              <w:rPr>
                <w:rFonts w:cs="ArialMT"/>
              </w:rPr>
              <w:t>No/Never</w:t>
            </w:r>
          </w:p>
        </w:tc>
        <w:tc>
          <w:tcPr>
            <w:tcW w:w="196" w:type="pct"/>
            <w:tcMar>
              <w:left w:w="72" w:type="dxa"/>
              <w:right w:w="72" w:type="dxa"/>
            </w:tcMar>
          </w:tcPr>
          <w:p w14:paraId="0EFD1D4A"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215" w:type="pct"/>
            <w:tcMar>
              <w:left w:w="72" w:type="dxa"/>
              <w:right w:w="72" w:type="dxa"/>
            </w:tcMar>
          </w:tcPr>
          <w:p w14:paraId="1F596857"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33" w:type="pct"/>
            <w:tcMar>
              <w:left w:w="72" w:type="dxa"/>
              <w:right w:w="72" w:type="dxa"/>
            </w:tcMar>
          </w:tcPr>
          <w:p w14:paraId="44049DE2"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tcMar>
              <w:left w:w="72" w:type="dxa"/>
              <w:right w:w="72" w:type="dxa"/>
            </w:tcMar>
          </w:tcPr>
          <w:p w14:paraId="0029BD80" w14:textId="77777777" w:rsidR="002A7F4E" w:rsidRPr="000850AC" w:rsidRDefault="002A7F4E" w:rsidP="000850AC">
            <w:pPr>
              <w:pStyle w:val="TableText"/>
              <w:jc w:val="right"/>
              <w:rPr>
                <w:rFonts w:eastAsia="Times New Roman"/>
                <w:color w:val="000000" w:themeColor="text1"/>
                <w:szCs w:val="14"/>
                <w:lang w:eastAsia="en-AU"/>
              </w:rPr>
            </w:pPr>
            <w:r w:rsidRPr="000850AC">
              <w:rPr>
                <w:bCs/>
                <w:color w:val="000000" w:themeColor="text1"/>
                <w:szCs w:val="14"/>
              </w:rPr>
              <w:t>0.9</w:t>
            </w:r>
          </w:p>
        </w:tc>
        <w:tc>
          <w:tcPr>
            <w:tcW w:w="171" w:type="pct"/>
            <w:tcMar>
              <w:left w:w="72" w:type="dxa"/>
              <w:right w:w="72" w:type="dxa"/>
            </w:tcMar>
          </w:tcPr>
          <w:p w14:paraId="5C57752C"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0.6</w:t>
            </w:r>
          </w:p>
        </w:tc>
        <w:tc>
          <w:tcPr>
            <w:tcW w:w="331" w:type="pct"/>
            <w:tcMar>
              <w:left w:w="72" w:type="dxa"/>
              <w:right w:w="72" w:type="dxa"/>
            </w:tcMar>
          </w:tcPr>
          <w:p w14:paraId="2236F021"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–0.3, 2.2</w:t>
            </w:r>
          </w:p>
        </w:tc>
        <w:tc>
          <w:tcPr>
            <w:tcW w:w="188" w:type="pct"/>
            <w:tcMar>
              <w:left w:w="72" w:type="dxa"/>
              <w:right w:w="72" w:type="dxa"/>
            </w:tcMar>
          </w:tcPr>
          <w:p w14:paraId="30A6ED5E"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–0.9</w:t>
            </w:r>
          </w:p>
        </w:tc>
        <w:tc>
          <w:tcPr>
            <w:tcW w:w="171" w:type="pct"/>
            <w:tcMar>
              <w:left w:w="72" w:type="dxa"/>
              <w:right w:w="72" w:type="dxa"/>
            </w:tcMar>
          </w:tcPr>
          <w:p w14:paraId="0EECFEA7"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0.6</w:t>
            </w:r>
          </w:p>
        </w:tc>
        <w:tc>
          <w:tcPr>
            <w:tcW w:w="303" w:type="pct"/>
            <w:tcMar>
              <w:left w:w="72" w:type="dxa"/>
              <w:right w:w="72" w:type="dxa"/>
            </w:tcMar>
          </w:tcPr>
          <w:p w14:paraId="34F1F56E"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–2.2, 0.3</w:t>
            </w:r>
          </w:p>
        </w:tc>
        <w:tc>
          <w:tcPr>
            <w:tcW w:w="230" w:type="pct"/>
            <w:tcMar>
              <w:left w:w="72" w:type="dxa"/>
              <w:right w:w="72" w:type="dxa"/>
            </w:tcMar>
          </w:tcPr>
          <w:p w14:paraId="41614F9B"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171" w:type="pct"/>
            <w:tcMar>
              <w:left w:w="72" w:type="dxa"/>
              <w:right w:w="72" w:type="dxa"/>
            </w:tcMar>
          </w:tcPr>
          <w:p w14:paraId="4D37D48F"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331" w:type="pct"/>
            <w:tcMar>
              <w:left w:w="72" w:type="dxa"/>
              <w:right w:w="72" w:type="dxa"/>
            </w:tcMar>
          </w:tcPr>
          <w:p w14:paraId="71E25753" w14:textId="77777777" w:rsidR="002A7F4E" w:rsidRPr="000850AC" w:rsidRDefault="002A7F4E" w:rsidP="000850AC">
            <w:pPr>
              <w:pStyle w:val="TableText"/>
              <w:jc w:val="right"/>
              <w:rPr>
                <w:rFonts w:eastAsia="Times New Roman"/>
                <w:color w:val="000000" w:themeColor="text1"/>
                <w:szCs w:val="14"/>
                <w:lang w:eastAsia="en-AU"/>
              </w:rPr>
            </w:pPr>
            <w:r w:rsidRPr="000850AC">
              <w:rPr>
                <w:bCs/>
                <w:color w:val="000000" w:themeColor="text1"/>
                <w:szCs w:val="14"/>
              </w:rPr>
              <w:t>0.0, 0.0</w:t>
            </w:r>
          </w:p>
        </w:tc>
        <w:tc>
          <w:tcPr>
            <w:tcW w:w="200" w:type="pct"/>
            <w:tcMar>
              <w:left w:w="72" w:type="dxa"/>
              <w:right w:w="72" w:type="dxa"/>
            </w:tcMar>
          </w:tcPr>
          <w:p w14:paraId="133D0224" w14:textId="77777777" w:rsidR="002A7F4E" w:rsidRPr="000850AC" w:rsidRDefault="002A7F4E" w:rsidP="000850AC">
            <w:pPr>
              <w:pStyle w:val="TableText"/>
              <w:jc w:val="right"/>
              <w:rPr>
                <w:rFonts w:eastAsia="Times New Roman"/>
                <w:color w:val="000000" w:themeColor="text1"/>
                <w:szCs w:val="14"/>
                <w:lang w:eastAsia="en-AU"/>
              </w:rPr>
            </w:pPr>
            <w:r w:rsidRPr="000850AC">
              <w:rPr>
                <w:bCs/>
                <w:color w:val="000000" w:themeColor="text1"/>
                <w:szCs w:val="14"/>
              </w:rPr>
              <w:t>0.5</w:t>
            </w:r>
          </w:p>
        </w:tc>
        <w:tc>
          <w:tcPr>
            <w:tcW w:w="171" w:type="pct"/>
            <w:tcMar>
              <w:left w:w="72" w:type="dxa"/>
              <w:right w:w="72" w:type="dxa"/>
            </w:tcMar>
          </w:tcPr>
          <w:p w14:paraId="2687E3A4"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0.2</w:t>
            </w:r>
          </w:p>
        </w:tc>
        <w:tc>
          <w:tcPr>
            <w:tcW w:w="331" w:type="pct"/>
            <w:tcMar>
              <w:left w:w="72" w:type="dxa"/>
              <w:right w:w="72" w:type="dxa"/>
            </w:tcMar>
          </w:tcPr>
          <w:p w14:paraId="4634C5C5"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0.1, 1.0</w:t>
            </w:r>
          </w:p>
        </w:tc>
        <w:tc>
          <w:tcPr>
            <w:tcW w:w="188" w:type="pct"/>
            <w:tcMar>
              <w:left w:w="72" w:type="dxa"/>
              <w:right w:w="72" w:type="dxa"/>
            </w:tcMar>
          </w:tcPr>
          <w:p w14:paraId="7194036F"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w:t>
            </w:r>
            <w:r w:rsidRPr="000850AC">
              <w:rPr>
                <w:rFonts w:eastAsia="Times New Roman"/>
                <w:color w:val="000000" w:themeColor="text1"/>
                <w:szCs w:val="14"/>
                <w:lang w:eastAsia="en-AU"/>
              </w:rPr>
              <w:t>0.5</w:t>
            </w:r>
          </w:p>
        </w:tc>
        <w:tc>
          <w:tcPr>
            <w:tcW w:w="171" w:type="pct"/>
            <w:tcMar>
              <w:left w:w="72" w:type="dxa"/>
              <w:right w:w="72" w:type="dxa"/>
            </w:tcMar>
          </w:tcPr>
          <w:p w14:paraId="5654B69A"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0.2</w:t>
            </w:r>
          </w:p>
        </w:tc>
        <w:tc>
          <w:tcPr>
            <w:tcW w:w="307" w:type="pct"/>
            <w:tcMar>
              <w:left w:w="72" w:type="dxa"/>
              <w:right w:w="72" w:type="dxa"/>
            </w:tcMar>
          </w:tcPr>
          <w:p w14:paraId="0AEE26C3"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w:t>
            </w:r>
            <w:r w:rsidRPr="000850AC">
              <w:rPr>
                <w:rFonts w:eastAsia="Times New Roman"/>
                <w:color w:val="000000" w:themeColor="text1"/>
                <w:szCs w:val="14"/>
                <w:lang w:eastAsia="en-AU"/>
              </w:rPr>
              <w:t xml:space="preserve">.0, </w:t>
            </w:r>
            <w:r w:rsidRPr="000850AC">
              <w:rPr>
                <w:rFonts w:eastAsia="Times New Roman"/>
                <w:bCs/>
                <w:color w:val="000000" w:themeColor="text1"/>
                <w:szCs w:val="14"/>
              </w:rPr>
              <w:t>–</w:t>
            </w:r>
            <w:r w:rsidRPr="000850AC">
              <w:rPr>
                <w:rFonts w:eastAsia="Times New Roman"/>
                <w:color w:val="000000" w:themeColor="text1"/>
                <w:szCs w:val="14"/>
                <w:lang w:eastAsia="en-AU"/>
              </w:rPr>
              <w:t>0.1</w:t>
            </w:r>
          </w:p>
        </w:tc>
      </w:tr>
      <w:tr w:rsidR="000850AC" w:rsidRPr="003328F3" w14:paraId="0D225AE9" w14:textId="77777777" w:rsidTr="000850AC">
        <w:trPr>
          <w:cantSplit/>
        </w:trPr>
        <w:tc>
          <w:tcPr>
            <w:tcW w:w="792" w:type="pct"/>
          </w:tcPr>
          <w:p w14:paraId="746B1B53" w14:textId="77777777" w:rsidR="002A7F4E" w:rsidRPr="003328F3" w:rsidRDefault="002A7F4E" w:rsidP="000850AC">
            <w:pPr>
              <w:pStyle w:val="TableText"/>
              <w:rPr>
                <w:rFonts w:eastAsia="GillSans"/>
                <w:lang w:eastAsia="en-AU"/>
              </w:rPr>
            </w:pPr>
            <w:r w:rsidRPr="003328F3">
              <w:rPr>
                <w:rFonts w:cs="ArialMT"/>
              </w:rPr>
              <w:t>Yes</w:t>
            </w:r>
          </w:p>
        </w:tc>
        <w:tc>
          <w:tcPr>
            <w:tcW w:w="196" w:type="pct"/>
            <w:tcMar>
              <w:left w:w="72" w:type="dxa"/>
              <w:right w:w="72" w:type="dxa"/>
            </w:tcMar>
          </w:tcPr>
          <w:p w14:paraId="4C044799"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100.0</w:t>
            </w:r>
          </w:p>
        </w:tc>
        <w:tc>
          <w:tcPr>
            <w:tcW w:w="215" w:type="pct"/>
            <w:tcMar>
              <w:left w:w="72" w:type="dxa"/>
              <w:right w:w="72" w:type="dxa"/>
            </w:tcMar>
          </w:tcPr>
          <w:p w14:paraId="5B3B8994"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333" w:type="pct"/>
            <w:tcMar>
              <w:left w:w="72" w:type="dxa"/>
              <w:right w:w="72" w:type="dxa"/>
            </w:tcMar>
          </w:tcPr>
          <w:p w14:paraId="1619DA2B"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tcMar>
              <w:left w:w="72" w:type="dxa"/>
              <w:right w:w="72" w:type="dxa"/>
            </w:tcMar>
          </w:tcPr>
          <w:p w14:paraId="78D37092"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98.2</w:t>
            </w:r>
          </w:p>
        </w:tc>
        <w:tc>
          <w:tcPr>
            <w:tcW w:w="171" w:type="pct"/>
            <w:tcMar>
              <w:left w:w="72" w:type="dxa"/>
              <w:right w:w="72" w:type="dxa"/>
            </w:tcMar>
          </w:tcPr>
          <w:p w14:paraId="62927FC8"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0.6</w:t>
            </w:r>
          </w:p>
        </w:tc>
        <w:tc>
          <w:tcPr>
            <w:tcW w:w="331" w:type="pct"/>
            <w:tcMar>
              <w:left w:w="72" w:type="dxa"/>
              <w:right w:w="72" w:type="dxa"/>
            </w:tcMar>
          </w:tcPr>
          <w:p w14:paraId="293D077B"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96.9, 99.4</w:t>
            </w:r>
          </w:p>
        </w:tc>
        <w:tc>
          <w:tcPr>
            <w:tcW w:w="188" w:type="pct"/>
            <w:tcMar>
              <w:left w:w="72" w:type="dxa"/>
              <w:right w:w="72" w:type="dxa"/>
            </w:tcMar>
          </w:tcPr>
          <w:p w14:paraId="2554BBC6"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1.8</w:t>
            </w:r>
          </w:p>
        </w:tc>
        <w:tc>
          <w:tcPr>
            <w:tcW w:w="171" w:type="pct"/>
            <w:tcMar>
              <w:left w:w="72" w:type="dxa"/>
              <w:right w:w="72" w:type="dxa"/>
            </w:tcMar>
          </w:tcPr>
          <w:p w14:paraId="3EB45659"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0.6</w:t>
            </w:r>
          </w:p>
        </w:tc>
        <w:tc>
          <w:tcPr>
            <w:tcW w:w="303" w:type="pct"/>
            <w:tcMar>
              <w:left w:w="72" w:type="dxa"/>
              <w:right w:w="72" w:type="dxa"/>
            </w:tcMar>
          </w:tcPr>
          <w:p w14:paraId="27616FBF"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0.6, 3.1</w:t>
            </w:r>
          </w:p>
        </w:tc>
        <w:tc>
          <w:tcPr>
            <w:tcW w:w="230" w:type="pct"/>
            <w:tcMar>
              <w:left w:w="72" w:type="dxa"/>
              <w:right w:w="72" w:type="dxa"/>
            </w:tcMar>
          </w:tcPr>
          <w:p w14:paraId="6008BCF0"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100.0</w:t>
            </w:r>
          </w:p>
        </w:tc>
        <w:tc>
          <w:tcPr>
            <w:tcW w:w="171" w:type="pct"/>
            <w:tcMar>
              <w:left w:w="72" w:type="dxa"/>
              <w:right w:w="72" w:type="dxa"/>
            </w:tcMar>
          </w:tcPr>
          <w:p w14:paraId="4A453920"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31" w:type="pct"/>
            <w:tcMar>
              <w:left w:w="72" w:type="dxa"/>
              <w:right w:w="72" w:type="dxa"/>
            </w:tcMar>
          </w:tcPr>
          <w:p w14:paraId="5CAD56B7"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tcMar>
              <w:left w:w="72" w:type="dxa"/>
              <w:right w:w="72" w:type="dxa"/>
            </w:tcMar>
          </w:tcPr>
          <w:p w14:paraId="00E49F5F"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98.6</w:t>
            </w:r>
          </w:p>
        </w:tc>
        <w:tc>
          <w:tcPr>
            <w:tcW w:w="171" w:type="pct"/>
            <w:tcMar>
              <w:left w:w="72" w:type="dxa"/>
              <w:right w:w="72" w:type="dxa"/>
            </w:tcMar>
          </w:tcPr>
          <w:p w14:paraId="5DC2C0C6"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0.2</w:t>
            </w:r>
          </w:p>
        </w:tc>
        <w:tc>
          <w:tcPr>
            <w:tcW w:w="331" w:type="pct"/>
            <w:tcMar>
              <w:left w:w="72" w:type="dxa"/>
              <w:right w:w="72" w:type="dxa"/>
            </w:tcMar>
          </w:tcPr>
          <w:p w14:paraId="136A4DCA"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98.1, 99.0</w:t>
            </w:r>
          </w:p>
        </w:tc>
        <w:tc>
          <w:tcPr>
            <w:tcW w:w="188" w:type="pct"/>
            <w:tcMar>
              <w:left w:w="72" w:type="dxa"/>
              <w:right w:w="72" w:type="dxa"/>
            </w:tcMar>
          </w:tcPr>
          <w:p w14:paraId="703705DD"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1.4</w:t>
            </w:r>
          </w:p>
        </w:tc>
        <w:tc>
          <w:tcPr>
            <w:tcW w:w="171" w:type="pct"/>
            <w:tcMar>
              <w:left w:w="72" w:type="dxa"/>
              <w:right w:w="72" w:type="dxa"/>
            </w:tcMar>
          </w:tcPr>
          <w:p w14:paraId="09E8D411"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0.2</w:t>
            </w:r>
          </w:p>
        </w:tc>
        <w:tc>
          <w:tcPr>
            <w:tcW w:w="307" w:type="pct"/>
            <w:tcMar>
              <w:left w:w="72" w:type="dxa"/>
              <w:right w:w="72" w:type="dxa"/>
            </w:tcMar>
          </w:tcPr>
          <w:p w14:paraId="441C4F7E"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1.0, 1.9</w:t>
            </w:r>
          </w:p>
        </w:tc>
      </w:tr>
      <w:tr w:rsidR="00BD41F3" w:rsidRPr="003328F3" w14:paraId="2751E346" w14:textId="77777777" w:rsidTr="000850AC">
        <w:trPr>
          <w:cnfStyle w:val="000000100000" w:firstRow="0" w:lastRow="0" w:firstColumn="0" w:lastColumn="0" w:oddVBand="0" w:evenVBand="0" w:oddHBand="1" w:evenHBand="0" w:firstRowFirstColumn="0" w:firstRowLastColumn="0" w:lastRowFirstColumn="0" w:lastRowLastColumn="0"/>
          <w:cantSplit/>
        </w:trPr>
        <w:tc>
          <w:tcPr>
            <w:tcW w:w="792" w:type="pct"/>
          </w:tcPr>
          <w:p w14:paraId="7A0650B7" w14:textId="77777777" w:rsidR="002A7F4E" w:rsidRPr="003328F3" w:rsidRDefault="002A7F4E" w:rsidP="000850AC">
            <w:pPr>
              <w:pStyle w:val="TableText"/>
              <w:rPr>
                <w:rFonts w:eastAsia="GillSans"/>
                <w:lang w:eastAsia="en-AU"/>
              </w:rPr>
            </w:pPr>
            <w:bookmarkStart w:id="1240" w:name="OLE_LINK2"/>
            <w:r w:rsidRPr="003328F3">
              <w:rPr>
                <w:rFonts w:cs="ArialMT"/>
              </w:rPr>
              <w:t>Every day or almost every day</w:t>
            </w:r>
          </w:p>
        </w:tc>
        <w:tc>
          <w:tcPr>
            <w:tcW w:w="196" w:type="pct"/>
            <w:tcMar>
              <w:left w:w="72" w:type="dxa"/>
              <w:right w:w="72" w:type="dxa"/>
            </w:tcMar>
          </w:tcPr>
          <w:p w14:paraId="5F5385E6"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97.6</w:t>
            </w:r>
          </w:p>
        </w:tc>
        <w:tc>
          <w:tcPr>
            <w:tcW w:w="215" w:type="pct"/>
            <w:tcMar>
              <w:left w:w="72" w:type="dxa"/>
              <w:right w:w="72" w:type="dxa"/>
            </w:tcMar>
          </w:tcPr>
          <w:p w14:paraId="2244A77E"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1.9</w:t>
            </w:r>
          </w:p>
        </w:tc>
        <w:tc>
          <w:tcPr>
            <w:tcW w:w="333" w:type="pct"/>
            <w:tcMar>
              <w:left w:w="72" w:type="dxa"/>
              <w:right w:w="72" w:type="dxa"/>
            </w:tcMar>
          </w:tcPr>
          <w:p w14:paraId="3EDA4592"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89.7, 99.5</w:t>
            </w:r>
          </w:p>
        </w:tc>
        <w:tc>
          <w:tcPr>
            <w:tcW w:w="200" w:type="pct"/>
            <w:tcMar>
              <w:left w:w="72" w:type="dxa"/>
              <w:right w:w="72" w:type="dxa"/>
            </w:tcMar>
          </w:tcPr>
          <w:p w14:paraId="56ABBFBD" w14:textId="77777777" w:rsidR="002A7F4E" w:rsidRPr="000850AC" w:rsidRDefault="002A7F4E" w:rsidP="000850AC">
            <w:pPr>
              <w:pStyle w:val="TableText"/>
              <w:jc w:val="right"/>
              <w:rPr>
                <w:rFonts w:eastAsia="Times New Roman"/>
                <w:bCs/>
                <w:color w:val="000000" w:themeColor="text1"/>
                <w:szCs w:val="14"/>
              </w:rPr>
            </w:pPr>
            <w:r w:rsidRPr="000850AC">
              <w:rPr>
                <w:rFonts w:eastAsia="Times New Roman"/>
                <w:bCs/>
                <w:color w:val="000000" w:themeColor="text1"/>
                <w:szCs w:val="14"/>
              </w:rPr>
              <w:t>91.0</w:t>
            </w:r>
          </w:p>
        </w:tc>
        <w:tc>
          <w:tcPr>
            <w:tcW w:w="171" w:type="pct"/>
            <w:tcMar>
              <w:left w:w="72" w:type="dxa"/>
              <w:right w:w="72" w:type="dxa"/>
            </w:tcMar>
          </w:tcPr>
          <w:p w14:paraId="15E79D5D" w14:textId="77777777" w:rsidR="002A7F4E" w:rsidRPr="000850AC" w:rsidRDefault="002A7F4E" w:rsidP="000850AC">
            <w:pPr>
              <w:pStyle w:val="TableText"/>
              <w:jc w:val="right"/>
              <w:rPr>
                <w:rFonts w:eastAsia="Times New Roman"/>
                <w:bCs/>
                <w:color w:val="000000" w:themeColor="text1"/>
                <w:szCs w:val="14"/>
              </w:rPr>
            </w:pPr>
            <w:r w:rsidRPr="000850AC">
              <w:rPr>
                <w:rFonts w:eastAsia="Times New Roman"/>
                <w:bCs/>
                <w:color w:val="000000" w:themeColor="text1"/>
                <w:szCs w:val="14"/>
              </w:rPr>
              <w:t>1.9</w:t>
            </w:r>
          </w:p>
        </w:tc>
        <w:tc>
          <w:tcPr>
            <w:tcW w:w="331" w:type="pct"/>
            <w:tcMar>
              <w:left w:w="72" w:type="dxa"/>
              <w:right w:w="72" w:type="dxa"/>
            </w:tcMar>
          </w:tcPr>
          <w:p w14:paraId="718CBB3E" w14:textId="77777777" w:rsidR="002A7F4E" w:rsidRPr="000850AC" w:rsidRDefault="002A7F4E" w:rsidP="000850AC">
            <w:pPr>
              <w:pStyle w:val="TableText"/>
              <w:jc w:val="right"/>
              <w:rPr>
                <w:rFonts w:eastAsia="Times New Roman"/>
                <w:bCs/>
                <w:color w:val="000000" w:themeColor="text1"/>
                <w:szCs w:val="14"/>
              </w:rPr>
            </w:pPr>
            <w:r w:rsidRPr="000850AC">
              <w:rPr>
                <w:rFonts w:eastAsia="Times New Roman"/>
                <w:bCs/>
                <w:color w:val="000000" w:themeColor="text1"/>
                <w:szCs w:val="14"/>
              </w:rPr>
              <w:t>87.3, 94.8</w:t>
            </w:r>
          </w:p>
        </w:tc>
        <w:tc>
          <w:tcPr>
            <w:tcW w:w="188" w:type="pct"/>
            <w:tcMar>
              <w:left w:w="72" w:type="dxa"/>
              <w:right w:w="72" w:type="dxa"/>
            </w:tcMar>
          </w:tcPr>
          <w:p w14:paraId="3EF83E26"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6.5</w:t>
            </w:r>
          </w:p>
        </w:tc>
        <w:tc>
          <w:tcPr>
            <w:tcW w:w="171" w:type="pct"/>
            <w:tcMar>
              <w:left w:w="72" w:type="dxa"/>
              <w:right w:w="72" w:type="dxa"/>
            </w:tcMar>
          </w:tcPr>
          <w:p w14:paraId="5474FEC3"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2.7</w:t>
            </w:r>
          </w:p>
        </w:tc>
        <w:tc>
          <w:tcPr>
            <w:tcW w:w="303" w:type="pct"/>
            <w:tcMar>
              <w:left w:w="72" w:type="dxa"/>
              <w:right w:w="72" w:type="dxa"/>
            </w:tcMar>
          </w:tcPr>
          <w:p w14:paraId="275E5935"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1.3, 11.7</w:t>
            </w:r>
          </w:p>
        </w:tc>
        <w:tc>
          <w:tcPr>
            <w:tcW w:w="230" w:type="pct"/>
            <w:tcMar>
              <w:left w:w="72" w:type="dxa"/>
              <w:right w:w="72" w:type="dxa"/>
            </w:tcMar>
          </w:tcPr>
          <w:p w14:paraId="6990FBFA"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99.6</w:t>
            </w:r>
          </w:p>
        </w:tc>
        <w:tc>
          <w:tcPr>
            <w:tcW w:w="171" w:type="pct"/>
            <w:tcMar>
              <w:left w:w="72" w:type="dxa"/>
              <w:right w:w="72" w:type="dxa"/>
            </w:tcMar>
          </w:tcPr>
          <w:p w14:paraId="7A1F88B9"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0.3</w:t>
            </w:r>
          </w:p>
        </w:tc>
        <w:tc>
          <w:tcPr>
            <w:tcW w:w="331" w:type="pct"/>
            <w:tcMar>
              <w:left w:w="72" w:type="dxa"/>
              <w:right w:w="72" w:type="dxa"/>
            </w:tcMar>
          </w:tcPr>
          <w:p w14:paraId="26CD186B"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97.9, 99.9</w:t>
            </w:r>
          </w:p>
        </w:tc>
        <w:tc>
          <w:tcPr>
            <w:tcW w:w="200" w:type="pct"/>
            <w:tcMar>
              <w:left w:w="72" w:type="dxa"/>
              <w:right w:w="72" w:type="dxa"/>
            </w:tcMar>
          </w:tcPr>
          <w:p w14:paraId="252E9A6A"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91.6</w:t>
            </w:r>
          </w:p>
        </w:tc>
        <w:tc>
          <w:tcPr>
            <w:tcW w:w="171" w:type="pct"/>
            <w:tcMar>
              <w:left w:w="72" w:type="dxa"/>
              <w:right w:w="72" w:type="dxa"/>
            </w:tcMar>
          </w:tcPr>
          <w:p w14:paraId="07E68A4F"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2.2</w:t>
            </w:r>
          </w:p>
        </w:tc>
        <w:tc>
          <w:tcPr>
            <w:tcW w:w="331" w:type="pct"/>
            <w:tcMar>
              <w:left w:w="72" w:type="dxa"/>
              <w:right w:w="72" w:type="dxa"/>
            </w:tcMar>
          </w:tcPr>
          <w:p w14:paraId="3254BC36"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87.3, 96.0</w:t>
            </w:r>
          </w:p>
        </w:tc>
        <w:tc>
          <w:tcPr>
            <w:tcW w:w="188" w:type="pct"/>
            <w:tcMar>
              <w:left w:w="72" w:type="dxa"/>
              <w:right w:w="72" w:type="dxa"/>
            </w:tcMar>
          </w:tcPr>
          <w:p w14:paraId="77C53057"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8.0</w:t>
            </w:r>
          </w:p>
        </w:tc>
        <w:tc>
          <w:tcPr>
            <w:tcW w:w="171" w:type="pct"/>
            <w:tcMar>
              <w:left w:w="72" w:type="dxa"/>
              <w:right w:w="72" w:type="dxa"/>
            </w:tcMar>
          </w:tcPr>
          <w:p w14:paraId="62DC79CE"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2.3</w:t>
            </w:r>
          </w:p>
        </w:tc>
        <w:tc>
          <w:tcPr>
            <w:tcW w:w="307" w:type="pct"/>
            <w:tcMar>
              <w:left w:w="72" w:type="dxa"/>
              <w:right w:w="72" w:type="dxa"/>
            </w:tcMar>
          </w:tcPr>
          <w:p w14:paraId="3F39CBF2"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3.6, 12.4</w:t>
            </w:r>
          </w:p>
        </w:tc>
      </w:tr>
      <w:tr w:rsidR="000850AC" w:rsidRPr="003328F3" w14:paraId="1267FFC3" w14:textId="77777777" w:rsidTr="000850AC">
        <w:trPr>
          <w:cantSplit/>
        </w:trPr>
        <w:tc>
          <w:tcPr>
            <w:tcW w:w="792" w:type="pct"/>
          </w:tcPr>
          <w:p w14:paraId="0B88BE8A" w14:textId="77777777" w:rsidR="002A7F4E" w:rsidRPr="003328F3" w:rsidRDefault="002A7F4E" w:rsidP="000850AC">
            <w:pPr>
              <w:pStyle w:val="TableText"/>
              <w:rPr>
                <w:rFonts w:eastAsia="GillSans"/>
                <w:lang w:eastAsia="en-AU"/>
              </w:rPr>
            </w:pPr>
            <w:r w:rsidRPr="003328F3">
              <w:rPr>
                <w:rFonts w:cs="ArialMT"/>
              </w:rPr>
              <w:t>Once or twice a week</w:t>
            </w:r>
          </w:p>
        </w:tc>
        <w:tc>
          <w:tcPr>
            <w:tcW w:w="196" w:type="pct"/>
            <w:tcMar>
              <w:left w:w="72" w:type="dxa"/>
              <w:right w:w="72" w:type="dxa"/>
            </w:tcMar>
          </w:tcPr>
          <w:p w14:paraId="180259E6"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2.4</w:t>
            </w:r>
          </w:p>
        </w:tc>
        <w:tc>
          <w:tcPr>
            <w:tcW w:w="215" w:type="pct"/>
            <w:tcMar>
              <w:left w:w="72" w:type="dxa"/>
              <w:right w:w="72" w:type="dxa"/>
            </w:tcMar>
          </w:tcPr>
          <w:p w14:paraId="2D3F9503"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bCs/>
                <w:color w:val="000000" w:themeColor="text1"/>
                <w:szCs w:val="14"/>
              </w:rPr>
              <w:t>1.9</w:t>
            </w:r>
          </w:p>
        </w:tc>
        <w:tc>
          <w:tcPr>
            <w:tcW w:w="333" w:type="pct"/>
            <w:tcMar>
              <w:left w:w="72" w:type="dxa"/>
              <w:right w:w="72" w:type="dxa"/>
            </w:tcMar>
          </w:tcPr>
          <w:p w14:paraId="7B44605D"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0.5, 10.3</w:t>
            </w:r>
          </w:p>
        </w:tc>
        <w:tc>
          <w:tcPr>
            <w:tcW w:w="200" w:type="pct"/>
            <w:tcMar>
              <w:left w:w="72" w:type="dxa"/>
              <w:right w:w="72" w:type="dxa"/>
            </w:tcMar>
          </w:tcPr>
          <w:p w14:paraId="0931CC8B"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5.8</w:t>
            </w:r>
          </w:p>
        </w:tc>
        <w:tc>
          <w:tcPr>
            <w:tcW w:w="171" w:type="pct"/>
            <w:tcMar>
              <w:left w:w="72" w:type="dxa"/>
              <w:right w:w="72" w:type="dxa"/>
            </w:tcMar>
          </w:tcPr>
          <w:p w14:paraId="5680B49B"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1.7</w:t>
            </w:r>
          </w:p>
        </w:tc>
        <w:tc>
          <w:tcPr>
            <w:tcW w:w="331" w:type="pct"/>
            <w:tcMar>
              <w:left w:w="72" w:type="dxa"/>
              <w:right w:w="72" w:type="dxa"/>
            </w:tcMar>
          </w:tcPr>
          <w:p w14:paraId="229D7C6C"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2.6, 9.1</w:t>
            </w:r>
          </w:p>
        </w:tc>
        <w:tc>
          <w:tcPr>
            <w:tcW w:w="188" w:type="pct"/>
            <w:tcMar>
              <w:left w:w="72" w:type="dxa"/>
              <w:right w:w="72" w:type="dxa"/>
            </w:tcMar>
          </w:tcPr>
          <w:p w14:paraId="0EBAF41C"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–3.4</w:t>
            </w:r>
          </w:p>
        </w:tc>
        <w:tc>
          <w:tcPr>
            <w:tcW w:w="171" w:type="pct"/>
            <w:tcMar>
              <w:left w:w="72" w:type="dxa"/>
              <w:right w:w="72" w:type="dxa"/>
            </w:tcMar>
          </w:tcPr>
          <w:p w14:paraId="3533847B"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2.5</w:t>
            </w:r>
          </w:p>
        </w:tc>
        <w:tc>
          <w:tcPr>
            <w:tcW w:w="303" w:type="pct"/>
            <w:tcMar>
              <w:left w:w="72" w:type="dxa"/>
              <w:right w:w="72" w:type="dxa"/>
            </w:tcMar>
          </w:tcPr>
          <w:p w14:paraId="146E1FE7"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–8.3, 1.5</w:t>
            </w:r>
          </w:p>
        </w:tc>
        <w:tc>
          <w:tcPr>
            <w:tcW w:w="230" w:type="pct"/>
            <w:tcMar>
              <w:left w:w="72" w:type="dxa"/>
              <w:right w:w="72" w:type="dxa"/>
            </w:tcMar>
          </w:tcPr>
          <w:p w14:paraId="5FCAA3C1"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0.4</w:t>
            </w:r>
          </w:p>
        </w:tc>
        <w:tc>
          <w:tcPr>
            <w:tcW w:w="171" w:type="pct"/>
            <w:tcMar>
              <w:left w:w="72" w:type="dxa"/>
              <w:right w:w="72" w:type="dxa"/>
            </w:tcMar>
          </w:tcPr>
          <w:p w14:paraId="7BF8FDD9"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0.3</w:t>
            </w:r>
          </w:p>
        </w:tc>
        <w:tc>
          <w:tcPr>
            <w:tcW w:w="331" w:type="pct"/>
            <w:tcMar>
              <w:left w:w="72" w:type="dxa"/>
              <w:right w:w="72" w:type="dxa"/>
            </w:tcMar>
          </w:tcPr>
          <w:p w14:paraId="1A2F6CC3"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0.1, 2.1</w:t>
            </w:r>
          </w:p>
        </w:tc>
        <w:tc>
          <w:tcPr>
            <w:tcW w:w="200" w:type="pct"/>
            <w:tcMar>
              <w:left w:w="72" w:type="dxa"/>
              <w:right w:w="72" w:type="dxa"/>
            </w:tcMar>
          </w:tcPr>
          <w:p w14:paraId="286C434B"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5.7</w:t>
            </w:r>
          </w:p>
        </w:tc>
        <w:tc>
          <w:tcPr>
            <w:tcW w:w="171" w:type="pct"/>
            <w:tcMar>
              <w:left w:w="72" w:type="dxa"/>
              <w:right w:w="72" w:type="dxa"/>
            </w:tcMar>
          </w:tcPr>
          <w:p w14:paraId="5C5E4E8A"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2.0</w:t>
            </w:r>
          </w:p>
        </w:tc>
        <w:tc>
          <w:tcPr>
            <w:tcW w:w="331" w:type="pct"/>
            <w:tcMar>
              <w:left w:w="72" w:type="dxa"/>
              <w:right w:w="72" w:type="dxa"/>
            </w:tcMar>
          </w:tcPr>
          <w:p w14:paraId="28F7EA1D"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1.8, 9.7</w:t>
            </w:r>
          </w:p>
        </w:tc>
        <w:tc>
          <w:tcPr>
            <w:tcW w:w="188" w:type="pct"/>
            <w:tcMar>
              <w:left w:w="72" w:type="dxa"/>
              <w:right w:w="72" w:type="dxa"/>
            </w:tcMar>
          </w:tcPr>
          <w:p w14:paraId="49DD162E"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–5.3</w:t>
            </w:r>
          </w:p>
        </w:tc>
        <w:tc>
          <w:tcPr>
            <w:tcW w:w="171" w:type="pct"/>
            <w:tcMar>
              <w:left w:w="72" w:type="dxa"/>
              <w:right w:w="72" w:type="dxa"/>
            </w:tcMar>
          </w:tcPr>
          <w:p w14:paraId="41A8ACAA"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2.0</w:t>
            </w:r>
          </w:p>
        </w:tc>
        <w:tc>
          <w:tcPr>
            <w:tcW w:w="307" w:type="pct"/>
            <w:tcMar>
              <w:left w:w="72" w:type="dxa"/>
              <w:right w:w="72" w:type="dxa"/>
            </w:tcMar>
          </w:tcPr>
          <w:p w14:paraId="7EF4DA4F"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–9.3, –1.3</w:t>
            </w:r>
          </w:p>
        </w:tc>
      </w:tr>
      <w:tr w:rsidR="00BD41F3" w:rsidRPr="003328F3" w14:paraId="60A2CECB" w14:textId="77777777" w:rsidTr="000850AC">
        <w:trPr>
          <w:cnfStyle w:val="000000100000" w:firstRow="0" w:lastRow="0" w:firstColumn="0" w:lastColumn="0" w:oddVBand="0" w:evenVBand="0" w:oddHBand="1" w:evenHBand="0" w:firstRowFirstColumn="0" w:firstRowLastColumn="0" w:lastRowFirstColumn="0" w:lastRowLastColumn="0"/>
          <w:cantSplit/>
        </w:trPr>
        <w:tc>
          <w:tcPr>
            <w:tcW w:w="792" w:type="pct"/>
          </w:tcPr>
          <w:p w14:paraId="3ACBA771" w14:textId="77777777" w:rsidR="002A7F4E" w:rsidRPr="003328F3" w:rsidRDefault="002A7F4E" w:rsidP="000850AC">
            <w:pPr>
              <w:pStyle w:val="TableText"/>
              <w:rPr>
                <w:rFonts w:eastAsia="GillSans"/>
                <w:lang w:eastAsia="en-AU"/>
              </w:rPr>
            </w:pPr>
            <w:r w:rsidRPr="003328F3">
              <w:rPr>
                <w:rFonts w:cs="Arial"/>
              </w:rPr>
              <w:t>Once or twice a month</w:t>
            </w:r>
          </w:p>
        </w:tc>
        <w:tc>
          <w:tcPr>
            <w:tcW w:w="196" w:type="pct"/>
            <w:tcMar>
              <w:left w:w="72" w:type="dxa"/>
              <w:right w:w="72" w:type="dxa"/>
            </w:tcMar>
          </w:tcPr>
          <w:p w14:paraId="31E37E75"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215" w:type="pct"/>
            <w:tcMar>
              <w:left w:w="72" w:type="dxa"/>
              <w:right w:w="72" w:type="dxa"/>
            </w:tcMar>
          </w:tcPr>
          <w:p w14:paraId="7F771143"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333" w:type="pct"/>
            <w:tcMar>
              <w:left w:w="72" w:type="dxa"/>
              <w:right w:w="72" w:type="dxa"/>
            </w:tcMar>
          </w:tcPr>
          <w:p w14:paraId="15DE317A"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tcMar>
              <w:left w:w="72" w:type="dxa"/>
              <w:right w:w="72" w:type="dxa"/>
            </w:tcMar>
          </w:tcPr>
          <w:p w14:paraId="081CCBCC"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1.3</w:t>
            </w:r>
          </w:p>
        </w:tc>
        <w:tc>
          <w:tcPr>
            <w:tcW w:w="171" w:type="pct"/>
            <w:tcMar>
              <w:left w:w="72" w:type="dxa"/>
              <w:right w:w="72" w:type="dxa"/>
            </w:tcMar>
          </w:tcPr>
          <w:p w14:paraId="53C3069B"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0.9</w:t>
            </w:r>
          </w:p>
        </w:tc>
        <w:tc>
          <w:tcPr>
            <w:tcW w:w="331" w:type="pct"/>
            <w:tcMar>
              <w:left w:w="72" w:type="dxa"/>
              <w:right w:w="72" w:type="dxa"/>
            </w:tcMar>
          </w:tcPr>
          <w:p w14:paraId="7BE15CAB"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–0.4, 3.0</w:t>
            </w:r>
          </w:p>
        </w:tc>
        <w:tc>
          <w:tcPr>
            <w:tcW w:w="188" w:type="pct"/>
            <w:tcMar>
              <w:left w:w="72" w:type="dxa"/>
              <w:right w:w="72" w:type="dxa"/>
            </w:tcMar>
          </w:tcPr>
          <w:p w14:paraId="0FAD0FB3"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–1.3</w:t>
            </w:r>
          </w:p>
        </w:tc>
        <w:tc>
          <w:tcPr>
            <w:tcW w:w="171" w:type="pct"/>
            <w:tcMar>
              <w:left w:w="72" w:type="dxa"/>
              <w:right w:w="72" w:type="dxa"/>
            </w:tcMar>
          </w:tcPr>
          <w:p w14:paraId="7D3FF800"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0.9</w:t>
            </w:r>
          </w:p>
        </w:tc>
        <w:tc>
          <w:tcPr>
            <w:tcW w:w="303" w:type="pct"/>
            <w:tcMar>
              <w:left w:w="72" w:type="dxa"/>
              <w:right w:w="72" w:type="dxa"/>
            </w:tcMar>
          </w:tcPr>
          <w:p w14:paraId="1A1A1E20"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–3.0, 0.4</w:t>
            </w:r>
          </w:p>
        </w:tc>
        <w:tc>
          <w:tcPr>
            <w:tcW w:w="230" w:type="pct"/>
            <w:tcMar>
              <w:left w:w="72" w:type="dxa"/>
              <w:right w:w="72" w:type="dxa"/>
            </w:tcMar>
          </w:tcPr>
          <w:p w14:paraId="77026A7E"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171" w:type="pct"/>
            <w:tcMar>
              <w:left w:w="72" w:type="dxa"/>
              <w:right w:w="72" w:type="dxa"/>
            </w:tcMar>
          </w:tcPr>
          <w:p w14:paraId="32BC5ECF"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31" w:type="pct"/>
            <w:tcMar>
              <w:left w:w="72" w:type="dxa"/>
              <w:right w:w="72" w:type="dxa"/>
            </w:tcMar>
          </w:tcPr>
          <w:p w14:paraId="7F8DE890"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tcMar>
              <w:left w:w="72" w:type="dxa"/>
              <w:right w:w="72" w:type="dxa"/>
            </w:tcMar>
          </w:tcPr>
          <w:p w14:paraId="021FD374"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1.2</w:t>
            </w:r>
          </w:p>
        </w:tc>
        <w:tc>
          <w:tcPr>
            <w:tcW w:w="171" w:type="pct"/>
            <w:tcMar>
              <w:left w:w="72" w:type="dxa"/>
              <w:right w:w="72" w:type="dxa"/>
            </w:tcMar>
          </w:tcPr>
          <w:p w14:paraId="19FFB56D"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1.0</w:t>
            </w:r>
          </w:p>
        </w:tc>
        <w:tc>
          <w:tcPr>
            <w:tcW w:w="331" w:type="pct"/>
            <w:tcMar>
              <w:left w:w="72" w:type="dxa"/>
              <w:right w:w="72" w:type="dxa"/>
            </w:tcMar>
          </w:tcPr>
          <w:p w14:paraId="01DFD77E"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–0.8, 3.2</w:t>
            </w:r>
          </w:p>
        </w:tc>
        <w:tc>
          <w:tcPr>
            <w:tcW w:w="188" w:type="pct"/>
            <w:tcMar>
              <w:left w:w="72" w:type="dxa"/>
              <w:right w:w="72" w:type="dxa"/>
            </w:tcMar>
          </w:tcPr>
          <w:p w14:paraId="035AAC6F"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–1.2</w:t>
            </w:r>
          </w:p>
        </w:tc>
        <w:tc>
          <w:tcPr>
            <w:tcW w:w="171" w:type="pct"/>
            <w:tcMar>
              <w:left w:w="72" w:type="dxa"/>
              <w:right w:w="72" w:type="dxa"/>
            </w:tcMar>
          </w:tcPr>
          <w:p w14:paraId="4895BF85"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1.0</w:t>
            </w:r>
          </w:p>
        </w:tc>
        <w:tc>
          <w:tcPr>
            <w:tcW w:w="307" w:type="pct"/>
            <w:tcMar>
              <w:left w:w="72" w:type="dxa"/>
              <w:right w:w="72" w:type="dxa"/>
            </w:tcMar>
          </w:tcPr>
          <w:p w14:paraId="33E12DB2"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–3.2, 0.8</w:t>
            </w:r>
          </w:p>
        </w:tc>
      </w:tr>
      <w:tr w:rsidR="000850AC" w:rsidRPr="003328F3" w14:paraId="7FC1C54A" w14:textId="77777777" w:rsidTr="000850AC">
        <w:trPr>
          <w:cantSplit/>
        </w:trPr>
        <w:tc>
          <w:tcPr>
            <w:tcW w:w="792" w:type="pct"/>
          </w:tcPr>
          <w:p w14:paraId="60E42660" w14:textId="77777777" w:rsidR="002A7F4E" w:rsidRPr="003328F3" w:rsidRDefault="002A7F4E" w:rsidP="000850AC">
            <w:pPr>
              <w:pStyle w:val="TableText"/>
              <w:rPr>
                <w:rFonts w:eastAsia="GillSans"/>
                <w:lang w:eastAsia="en-AU"/>
              </w:rPr>
            </w:pPr>
            <w:r w:rsidRPr="003328F3">
              <w:rPr>
                <w:rFonts w:cs="Arial"/>
              </w:rPr>
              <w:t>Less than once a month</w:t>
            </w:r>
          </w:p>
        </w:tc>
        <w:tc>
          <w:tcPr>
            <w:tcW w:w="196" w:type="pct"/>
            <w:tcMar>
              <w:left w:w="72" w:type="dxa"/>
              <w:right w:w="72" w:type="dxa"/>
            </w:tcMar>
          </w:tcPr>
          <w:p w14:paraId="2BA1088B"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215" w:type="pct"/>
            <w:tcMar>
              <w:left w:w="72" w:type="dxa"/>
              <w:right w:w="72" w:type="dxa"/>
            </w:tcMar>
          </w:tcPr>
          <w:p w14:paraId="5BD183E7"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333" w:type="pct"/>
            <w:tcMar>
              <w:left w:w="72" w:type="dxa"/>
              <w:right w:w="72" w:type="dxa"/>
            </w:tcMar>
          </w:tcPr>
          <w:p w14:paraId="0FBE12BB"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tcMar>
              <w:left w:w="72" w:type="dxa"/>
              <w:right w:w="72" w:type="dxa"/>
            </w:tcMar>
          </w:tcPr>
          <w:p w14:paraId="09E1534C"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171" w:type="pct"/>
            <w:tcMar>
              <w:left w:w="72" w:type="dxa"/>
              <w:right w:w="72" w:type="dxa"/>
            </w:tcMar>
          </w:tcPr>
          <w:p w14:paraId="24454967"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31" w:type="pct"/>
            <w:tcMar>
              <w:left w:w="72" w:type="dxa"/>
              <w:right w:w="72" w:type="dxa"/>
            </w:tcMar>
          </w:tcPr>
          <w:p w14:paraId="111DB024"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188" w:type="pct"/>
            <w:tcMar>
              <w:left w:w="72" w:type="dxa"/>
              <w:right w:w="72" w:type="dxa"/>
            </w:tcMar>
          </w:tcPr>
          <w:p w14:paraId="3AFAFFA3"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171" w:type="pct"/>
            <w:tcMar>
              <w:left w:w="72" w:type="dxa"/>
              <w:right w:w="72" w:type="dxa"/>
            </w:tcMar>
          </w:tcPr>
          <w:p w14:paraId="4A2DF0A6"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03" w:type="pct"/>
            <w:tcMar>
              <w:left w:w="72" w:type="dxa"/>
              <w:right w:w="72" w:type="dxa"/>
            </w:tcMar>
          </w:tcPr>
          <w:p w14:paraId="5F75E160"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30" w:type="pct"/>
            <w:tcMar>
              <w:left w:w="72" w:type="dxa"/>
              <w:right w:w="72" w:type="dxa"/>
            </w:tcMar>
          </w:tcPr>
          <w:p w14:paraId="48540E3F"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171" w:type="pct"/>
            <w:tcMar>
              <w:left w:w="72" w:type="dxa"/>
              <w:right w:w="72" w:type="dxa"/>
            </w:tcMar>
          </w:tcPr>
          <w:p w14:paraId="5BB34FB7"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31" w:type="pct"/>
            <w:tcMar>
              <w:left w:w="72" w:type="dxa"/>
              <w:right w:w="72" w:type="dxa"/>
            </w:tcMar>
          </w:tcPr>
          <w:p w14:paraId="09060E9A"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tcMar>
              <w:left w:w="72" w:type="dxa"/>
              <w:right w:w="72" w:type="dxa"/>
            </w:tcMar>
          </w:tcPr>
          <w:p w14:paraId="486AEBBB"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171" w:type="pct"/>
            <w:tcMar>
              <w:left w:w="72" w:type="dxa"/>
              <w:right w:w="72" w:type="dxa"/>
            </w:tcMar>
          </w:tcPr>
          <w:p w14:paraId="48E25134"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31" w:type="pct"/>
            <w:tcMar>
              <w:left w:w="72" w:type="dxa"/>
              <w:right w:w="72" w:type="dxa"/>
            </w:tcMar>
          </w:tcPr>
          <w:p w14:paraId="2D5223CA"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188" w:type="pct"/>
            <w:tcMar>
              <w:left w:w="72" w:type="dxa"/>
              <w:right w:w="72" w:type="dxa"/>
            </w:tcMar>
          </w:tcPr>
          <w:p w14:paraId="4333C570"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171" w:type="pct"/>
            <w:tcMar>
              <w:left w:w="72" w:type="dxa"/>
              <w:right w:w="72" w:type="dxa"/>
            </w:tcMar>
          </w:tcPr>
          <w:p w14:paraId="342A3759"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07" w:type="pct"/>
            <w:tcMar>
              <w:left w:w="72" w:type="dxa"/>
              <w:right w:w="72" w:type="dxa"/>
            </w:tcMar>
          </w:tcPr>
          <w:p w14:paraId="529A2D1E"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r>
      <w:tr w:rsidR="00BD41F3" w:rsidRPr="003328F3" w14:paraId="1A89DAC0" w14:textId="77777777" w:rsidTr="000850AC">
        <w:trPr>
          <w:cnfStyle w:val="010000000000" w:firstRow="0" w:lastRow="1" w:firstColumn="0" w:lastColumn="0" w:oddVBand="0" w:evenVBand="0" w:oddHBand="0" w:evenHBand="0" w:firstRowFirstColumn="0" w:firstRowLastColumn="0" w:lastRowFirstColumn="0" w:lastRowLastColumn="0"/>
          <w:cantSplit/>
        </w:trPr>
        <w:tc>
          <w:tcPr>
            <w:tcW w:w="792" w:type="pct"/>
            <w:shd w:val="clear" w:color="auto" w:fill="C1D9FF"/>
          </w:tcPr>
          <w:p w14:paraId="47BAAF94" w14:textId="77777777" w:rsidR="002A7F4E" w:rsidRPr="003328F3" w:rsidRDefault="002A7F4E" w:rsidP="000850AC">
            <w:pPr>
              <w:pStyle w:val="TableText"/>
              <w:rPr>
                <w:rFonts w:eastAsia="Times New Roman"/>
                <w:lang w:eastAsia="en-AU"/>
              </w:rPr>
            </w:pPr>
            <w:r w:rsidRPr="003328F3">
              <w:rPr>
                <w:rFonts w:cs="Arial"/>
              </w:rPr>
              <w:t>Never</w:t>
            </w:r>
          </w:p>
        </w:tc>
        <w:tc>
          <w:tcPr>
            <w:tcW w:w="196" w:type="pct"/>
            <w:shd w:val="clear" w:color="auto" w:fill="C1D9FF"/>
            <w:tcMar>
              <w:left w:w="72" w:type="dxa"/>
              <w:right w:w="72" w:type="dxa"/>
            </w:tcMar>
          </w:tcPr>
          <w:p w14:paraId="5FEE98CE"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215" w:type="pct"/>
            <w:shd w:val="clear" w:color="auto" w:fill="C1D9FF"/>
            <w:tcMar>
              <w:left w:w="72" w:type="dxa"/>
              <w:right w:w="72" w:type="dxa"/>
            </w:tcMar>
          </w:tcPr>
          <w:p w14:paraId="5F690115" w14:textId="77777777" w:rsidR="002A7F4E" w:rsidRPr="000850AC" w:rsidRDefault="002A7F4E" w:rsidP="000850AC">
            <w:pPr>
              <w:pStyle w:val="TableText"/>
              <w:jc w:val="right"/>
              <w:rPr>
                <w:rFonts w:eastAsia="Times New Roman"/>
                <w:color w:val="000000" w:themeColor="text1"/>
                <w:szCs w:val="14"/>
                <w:lang w:eastAsia="en-AU"/>
              </w:rPr>
            </w:pPr>
            <w:r w:rsidRPr="000850AC">
              <w:rPr>
                <w:rFonts w:eastAsia="Times New Roman"/>
                <w:color w:val="000000" w:themeColor="text1"/>
                <w:szCs w:val="14"/>
                <w:lang w:eastAsia="en-AU"/>
              </w:rPr>
              <w:t>0.0</w:t>
            </w:r>
          </w:p>
        </w:tc>
        <w:tc>
          <w:tcPr>
            <w:tcW w:w="333" w:type="pct"/>
            <w:shd w:val="clear" w:color="auto" w:fill="C1D9FF"/>
            <w:tcMar>
              <w:left w:w="72" w:type="dxa"/>
              <w:right w:w="72" w:type="dxa"/>
            </w:tcMar>
          </w:tcPr>
          <w:p w14:paraId="5A5B7232"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shd w:val="clear" w:color="auto" w:fill="C1D9FF"/>
            <w:tcMar>
              <w:left w:w="72" w:type="dxa"/>
              <w:right w:w="72" w:type="dxa"/>
            </w:tcMar>
          </w:tcPr>
          <w:p w14:paraId="0138D3C4"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0.9</w:t>
            </w:r>
          </w:p>
        </w:tc>
        <w:tc>
          <w:tcPr>
            <w:tcW w:w="171" w:type="pct"/>
            <w:shd w:val="clear" w:color="auto" w:fill="C1D9FF"/>
            <w:tcMar>
              <w:left w:w="72" w:type="dxa"/>
              <w:right w:w="72" w:type="dxa"/>
            </w:tcMar>
          </w:tcPr>
          <w:p w14:paraId="7C20B362"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0.6</w:t>
            </w:r>
          </w:p>
        </w:tc>
        <w:tc>
          <w:tcPr>
            <w:tcW w:w="331" w:type="pct"/>
            <w:shd w:val="clear" w:color="auto" w:fill="C1D9FF"/>
            <w:tcMar>
              <w:left w:w="72" w:type="dxa"/>
              <w:right w:w="72" w:type="dxa"/>
            </w:tcMar>
          </w:tcPr>
          <w:p w14:paraId="0D8EA4C0"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–0.3, 2.2</w:t>
            </w:r>
          </w:p>
        </w:tc>
        <w:tc>
          <w:tcPr>
            <w:tcW w:w="188" w:type="pct"/>
            <w:shd w:val="clear" w:color="auto" w:fill="C1D9FF"/>
            <w:tcMar>
              <w:left w:w="72" w:type="dxa"/>
              <w:right w:w="72" w:type="dxa"/>
            </w:tcMar>
          </w:tcPr>
          <w:p w14:paraId="34531937"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–0.9</w:t>
            </w:r>
          </w:p>
        </w:tc>
        <w:tc>
          <w:tcPr>
            <w:tcW w:w="171" w:type="pct"/>
            <w:shd w:val="clear" w:color="auto" w:fill="C1D9FF"/>
            <w:tcMar>
              <w:left w:w="72" w:type="dxa"/>
              <w:right w:w="72" w:type="dxa"/>
            </w:tcMar>
          </w:tcPr>
          <w:p w14:paraId="72FB270C"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0.6</w:t>
            </w:r>
          </w:p>
        </w:tc>
        <w:tc>
          <w:tcPr>
            <w:tcW w:w="303" w:type="pct"/>
            <w:shd w:val="clear" w:color="auto" w:fill="C1D9FF"/>
            <w:tcMar>
              <w:left w:w="72" w:type="dxa"/>
              <w:right w:w="72" w:type="dxa"/>
            </w:tcMar>
          </w:tcPr>
          <w:p w14:paraId="2815EFEC"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–2.2, 0.3</w:t>
            </w:r>
          </w:p>
        </w:tc>
        <w:tc>
          <w:tcPr>
            <w:tcW w:w="230" w:type="pct"/>
            <w:shd w:val="clear" w:color="auto" w:fill="C1D9FF"/>
            <w:tcMar>
              <w:left w:w="72" w:type="dxa"/>
              <w:right w:w="72" w:type="dxa"/>
            </w:tcMar>
          </w:tcPr>
          <w:p w14:paraId="6CA1EE40"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171" w:type="pct"/>
            <w:shd w:val="clear" w:color="auto" w:fill="C1D9FF"/>
            <w:tcMar>
              <w:left w:w="72" w:type="dxa"/>
              <w:right w:w="72" w:type="dxa"/>
            </w:tcMar>
          </w:tcPr>
          <w:p w14:paraId="1B3DEBF6"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0.0</w:t>
            </w:r>
          </w:p>
        </w:tc>
        <w:tc>
          <w:tcPr>
            <w:tcW w:w="331" w:type="pct"/>
            <w:shd w:val="clear" w:color="auto" w:fill="C1D9FF"/>
            <w:tcMar>
              <w:left w:w="72" w:type="dxa"/>
              <w:right w:w="72" w:type="dxa"/>
            </w:tcMar>
          </w:tcPr>
          <w:p w14:paraId="3192069F"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0.0, 0.0</w:t>
            </w:r>
          </w:p>
        </w:tc>
        <w:tc>
          <w:tcPr>
            <w:tcW w:w="200" w:type="pct"/>
            <w:shd w:val="clear" w:color="auto" w:fill="C1D9FF"/>
            <w:tcMar>
              <w:left w:w="72" w:type="dxa"/>
              <w:right w:w="72" w:type="dxa"/>
            </w:tcMar>
          </w:tcPr>
          <w:p w14:paraId="4A14DBD3" w14:textId="77777777" w:rsidR="002A7F4E" w:rsidRPr="000850AC" w:rsidRDefault="002A7F4E" w:rsidP="000850AC">
            <w:pPr>
              <w:pStyle w:val="TableText"/>
              <w:jc w:val="right"/>
              <w:rPr>
                <w:bCs/>
                <w:color w:val="000000" w:themeColor="text1"/>
                <w:szCs w:val="14"/>
              </w:rPr>
            </w:pPr>
            <w:r w:rsidRPr="000850AC">
              <w:rPr>
                <w:bCs/>
                <w:color w:val="000000" w:themeColor="text1"/>
                <w:szCs w:val="14"/>
              </w:rPr>
              <w:t>0.5</w:t>
            </w:r>
          </w:p>
        </w:tc>
        <w:tc>
          <w:tcPr>
            <w:tcW w:w="171" w:type="pct"/>
            <w:shd w:val="clear" w:color="auto" w:fill="C1D9FF"/>
            <w:tcMar>
              <w:left w:w="72" w:type="dxa"/>
              <w:right w:w="72" w:type="dxa"/>
            </w:tcMar>
          </w:tcPr>
          <w:p w14:paraId="1D42143B"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0.2</w:t>
            </w:r>
          </w:p>
        </w:tc>
        <w:tc>
          <w:tcPr>
            <w:tcW w:w="331" w:type="pct"/>
            <w:shd w:val="clear" w:color="auto" w:fill="C1D9FF"/>
            <w:tcMar>
              <w:left w:w="72" w:type="dxa"/>
              <w:right w:w="72" w:type="dxa"/>
            </w:tcMar>
          </w:tcPr>
          <w:p w14:paraId="0B0EE877"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0.1, 1.0</w:t>
            </w:r>
          </w:p>
        </w:tc>
        <w:tc>
          <w:tcPr>
            <w:tcW w:w="188" w:type="pct"/>
            <w:shd w:val="clear" w:color="auto" w:fill="C1D9FF"/>
            <w:tcMar>
              <w:left w:w="72" w:type="dxa"/>
              <w:right w:w="72" w:type="dxa"/>
            </w:tcMar>
          </w:tcPr>
          <w:p w14:paraId="55F8C637"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w:t>
            </w:r>
            <w:r w:rsidRPr="000850AC">
              <w:rPr>
                <w:rFonts w:eastAsia="Times New Roman"/>
                <w:color w:val="000000" w:themeColor="text1"/>
                <w:szCs w:val="14"/>
                <w:lang w:eastAsia="en-AU"/>
              </w:rPr>
              <w:t>0.5</w:t>
            </w:r>
          </w:p>
        </w:tc>
        <w:tc>
          <w:tcPr>
            <w:tcW w:w="171" w:type="pct"/>
            <w:shd w:val="clear" w:color="auto" w:fill="C1D9FF"/>
            <w:tcMar>
              <w:left w:w="72" w:type="dxa"/>
              <w:right w:w="72" w:type="dxa"/>
            </w:tcMar>
          </w:tcPr>
          <w:p w14:paraId="43D91388" w14:textId="77777777" w:rsidR="002A7F4E" w:rsidRPr="000850AC" w:rsidRDefault="002A7F4E" w:rsidP="000850AC">
            <w:pPr>
              <w:pStyle w:val="TableText"/>
              <w:jc w:val="right"/>
              <w:rPr>
                <w:bCs/>
                <w:color w:val="000000" w:themeColor="text1"/>
                <w:szCs w:val="14"/>
              </w:rPr>
            </w:pPr>
            <w:r w:rsidRPr="000850AC">
              <w:rPr>
                <w:rFonts w:eastAsia="Times New Roman"/>
                <w:color w:val="000000" w:themeColor="text1"/>
                <w:szCs w:val="14"/>
                <w:lang w:eastAsia="en-AU"/>
              </w:rPr>
              <w:t>0.2</w:t>
            </w:r>
          </w:p>
        </w:tc>
        <w:tc>
          <w:tcPr>
            <w:tcW w:w="307" w:type="pct"/>
            <w:shd w:val="clear" w:color="auto" w:fill="C1D9FF"/>
            <w:tcMar>
              <w:left w:w="72" w:type="dxa"/>
              <w:right w:w="72" w:type="dxa"/>
            </w:tcMar>
          </w:tcPr>
          <w:p w14:paraId="79CF234B" w14:textId="77777777" w:rsidR="002A7F4E" w:rsidRPr="000850AC" w:rsidRDefault="002A7F4E" w:rsidP="000850AC">
            <w:pPr>
              <w:pStyle w:val="TableText"/>
              <w:jc w:val="right"/>
              <w:rPr>
                <w:bCs/>
                <w:color w:val="000000" w:themeColor="text1"/>
                <w:szCs w:val="14"/>
              </w:rPr>
            </w:pPr>
            <w:r w:rsidRPr="000850AC">
              <w:rPr>
                <w:rFonts w:eastAsia="Times New Roman"/>
                <w:bCs/>
                <w:color w:val="000000" w:themeColor="text1"/>
                <w:szCs w:val="14"/>
              </w:rPr>
              <w:t>–</w:t>
            </w:r>
            <w:r w:rsidRPr="000850AC">
              <w:rPr>
                <w:rFonts w:eastAsia="Times New Roman"/>
                <w:color w:val="000000" w:themeColor="text1"/>
                <w:szCs w:val="14"/>
                <w:lang w:eastAsia="en-AU"/>
              </w:rPr>
              <w:t xml:space="preserve">1.0, </w:t>
            </w:r>
            <w:r w:rsidRPr="000850AC">
              <w:rPr>
                <w:rFonts w:eastAsia="Times New Roman"/>
                <w:bCs/>
                <w:color w:val="000000" w:themeColor="text1"/>
                <w:szCs w:val="14"/>
              </w:rPr>
              <w:t>–</w:t>
            </w:r>
            <w:r w:rsidRPr="000850AC">
              <w:rPr>
                <w:rFonts w:eastAsia="Times New Roman"/>
                <w:color w:val="000000" w:themeColor="text1"/>
                <w:szCs w:val="14"/>
                <w:lang w:eastAsia="en-AU"/>
              </w:rPr>
              <w:t>0.1</w:t>
            </w:r>
          </w:p>
        </w:tc>
      </w:tr>
    </w:tbl>
    <w:bookmarkEnd w:id="1240"/>
    <w:p w14:paraId="3599BDCF" w14:textId="77777777" w:rsidR="002A7F4E" w:rsidRPr="000B73E4" w:rsidRDefault="002A7F4E" w:rsidP="002A7F4E">
      <w:pPr>
        <w:pStyle w:val="TableNotes"/>
      </w:pPr>
      <w:r>
        <w:t>Notes</w:t>
      </w:r>
    </w:p>
    <w:p w14:paraId="661381AB" w14:textId="77777777" w:rsidR="002A7F4E" w:rsidRDefault="002A7F4E" w:rsidP="002A7F4E">
      <w:pPr>
        <w:pStyle w:val="TableNotes"/>
      </w:pPr>
      <w:r w:rsidRPr="002C3723">
        <w:t xml:space="preserve">Denominator: Total Transitioned ADF </w:t>
      </w:r>
      <w:r>
        <w:t>18–25</w:t>
      </w:r>
      <w:r w:rsidRPr="002C3723">
        <w:t xml:space="preserve"> years and Young and Well </w:t>
      </w:r>
      <w:r>
        <w:t>18–25</w:t>
      </w:r>
      <w:r w:rsidRPr="002C3723">
        <w:t xml:space="preserve"> years cohorts</w:t>
      </w:r>
      <w:r>
        <w:t>.</w:t>
      </w:r>
    </w:p>
    <w:p w14:paraId="1562644D" w14:textId="77777777" w:rsidR="002A7F4E" w:rsidRPr="002C3723" w:rsidRDefault="002A7F4E" w:rsidP="002A7F4E">
      <w:pPr>
        <w:pStyle w:val="TableNotes"/>
      </w:pPr>
      <w:r>
        <w:t>There were no</w:t>
      </w:r>
      <w:r w:rsidRPr="008A51EB">
        <w:t xml:space="preserve"> m</w:t>
      </w:r>
      <w:r>
        <w:t>issing values for this question.</w:t>
      </w:r>
    </w:p>
    <w:p w14:paraId="7AAE9604" w14:textId="77777777" w:rsidR="002A7F4E" w:rsidRDefault="002A7F4E" w:rsidP="002A7F4E">
      <w:pPr>
        <w:pStyle w:val="TableNotes"/>
      </w:pPr>
      <w:r>
        <w:t>95%CI = 95% confidence interval.</w:t>
      </w:r>
    </w:p>
    <w:p w14:paraId="16BE1290" w14:textId="277038E6" w:rsidR="002A7F4E" w:rsidRPr="003328F3" w:rsidRDefault="002A7F4E" w:rsidP="002A7F4E">
      <w:pPr>
        <w:pStyle w:val="FigureName"/>
      </w:pPr>
      <w:bookmarkStart w:id="1241" w:name="_Ref516733834"/>
      <w:bookmarkStart w:id="1242" w:name="_Toc515374745"/>
      <w:bookmarkStart w:id="1243" w:name="_Toc528932429"/>
      <w:bookmarkStart w:id="1244" w:name="_Toc531858109"/>
      <w:r>
        <w:t xml:space="preserve">Figure </w:t>
      </w:r>
      <w:r>
        <w:rPr>
          <w:noProof/>
        </w:rPr>
        <w:t>10</w:t>
      </w:r>
      <w:r>
        <w:t>.</w:t>
      </w:r>
      <w:r>
        <w:rPr>
          <w:noProof/>
        </w:rPr>
        <w:t>9</w:t>
      </w:r>
      <w:bookmarkEnd w:id="1241"/>
      <w:r>
        <w:tab/>
      </w:r>
      <w:r w:rsidRPr="003328F3">
        <w:t xml:space="preserve">Frequency of </w:t>
      </w:r>
      <w:r>
        <w:t>internet</w:t>
      </w:r>
      <w:r w:rsidRPr="003328F3">
        <w:t xml:space="preserve"> use in Transitioned ADF (aged </w:t>
      </w:r>
      <w:r>
        <w:t>18–25</w:t>
      </w:r>
      <w:r w:rsidRPr="003328F3">
        <w:t>) compared to the Young and Well cohort, by level of psychological distress</w:t>
      </w:r>
      <w:bookmarkEnd w:id="1242"/>
      <w:bookmarkEnd w:id="1243"/>
      <w:bookmarkEnd w:id="1244"/>
    </w:p>
    <w:p w14:paraId="14DAE293" w14:textId="77777777" w:rsidR="002A7F4E" w:rsidRDefault="002A7F4E" w:rsidP="002A7F4E">
      <w:r>
        <w:rPr>
          <w:noProof/>
          <w:lang w:eastAsia="en-AU"/>
        </w:rPr>
        <w:drawing>
          <wp:inline distT="0" distB="0" distL="0" distR="0" wp14:anchorId="6A4F2C23" wp14:editId="7F2D2BE1">
            <wp:extent cx="7132320" cy="3968885"/>
            <wp:effectExtent l="0" t="0" r="0" b="0"/>
            <wp:docPr id="500" name="Chart 500" descr="Figure 10.9 Frequency of internet use in Transitioned ADF (aged 18–25) compared to the Young and Well cohort, by level of psychological distres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2C32E716" w14:textId="77777777" w:rsidR="007123C7" w:rsidRDefault="007123C7" w:rsidP="007123C7">
      <w:pPr>
        <w:sectPr w:rsidR="007123C7" w:rsidSect="00980AE4">
          <w:footerReference w:type="even" r:id="rId157"/>
          <w:footerReference w:type="default" r:id="rId158"/>
          <w:pgSz w:w="14170" w:h="9979" w:orient="landscape" w:code="243"/>
          <w:pgMar w:top="1872" w:right="1440" w:bottom="1152" w:left="1440" w:header="576" w:footer="576" w:gutter="0"/>
          <w:cols w:space="708"/>
          <w:docGrid w:linePitch="360"/>
        </w:sectPr>
      </w:pPr>
    </w:p>
    <w:p w14:paraId="37D80DFC" w14:textId="77777777" w:rsidR="002A7F4E" w:rsidRPr="002C3723" w:rsidRDefault="002A7F4E" w:rsidP="00724FC6">
      <w:pPr>
        <w:pStyle w:val="Heading3"/>
        <w:numPr>
          <w:ilvl w:val="2"/>
          <w:numId w:val="1"/>
        </w:numPr>
        <w:spacing w:before="0" w:after="40"/>
      </w:pPr>
      <w:bookmarkStart w:id="1245" w:name="_Toc387565424"/>
      <w:bookmarkStart w:id="1246" w:name="_Toc515374575"/>
      <w:bookmarkStart w:id="1247" w:name="_Toc518566469"/>
      <w:bookmarkStart w:id="1248" w:name="_Toc528932747"/>
      <w:bookmarkStart w:id="1249" w:name="_Toc531859284"/>
      <w:r w:rsidRPr="002C3723">
        <w:t xml:space="preserve">Duration of </w:t>
      </w:r>
      <w:r>
        <w:t>internet</w:t>
      </w:r>
      <w:r w:rsidRPr="002C3723">
        <w:t xml:space="preserve"> use by level of psychological distress</w:t>
      </w:r>
      <w:bookmarkEnd w:id="1245"/>
      <w:bookmarkEnd w:id="1246"/>
      <w:bookmarkEnd w:id="1247"/>
      <w:bookmarkEnd w:id="1248"/>
      <w:bookmarkEnd w:id="1249"/>
    </w:p>
    <w:p w14:paraId="769D51F6" w14:textId="77777777" w:rsidR="002A7F4E" w:rsidRPr="003328F3" w:rsidRDefault="002A7F4E" w:rsidP="00724FC6">
      <w:pPr>
        <w:spacing w:after="130" w:line="258" w:lineRule="atLeast"/>
      </w:pPr>
      <w:r>
        <w:t xml:space="preserve">Table </w:t>
      </w:r>
      <w:r>
        <w:rPr>
          <w:noProof/>
        </w:rPr>
        <w:t>10.10</w:t>
      </w:r>
      <w:r w:rsidRPr="00D56F28">
        <w:rPr>
          <w:rFonts w:asciiTheme="minorHAnsi" w:hAnsiTheme="minorHAnsi"/>
          <w:szCs w:val="22"/>
        </w:rPr>
        <w:t xml:space="preserve"> and </w:t>
      </w:r>
      <w:r>
        <w:t>Figure 10.10</w:t>
      </w:r>
      <w:r w:rsidRPr="00D56F28">
        <w:rPr>
          <w:rFonts w:asciiTheme="minorHAnsi" w:hAnsiTheme="minorHAnsi"/>
          <w:szCs w:val="22"/>
        </w:rPr>
        <w:t xml:space="preserve"> show</w:t>
      </w:r>
      <w:r w:rsidRPr="003328F3">
        <w:rPr>
          <w:rFonts w:asciiTheme="minorHAnsi" w:hAnsiTheme="minorHAnsi"/>
          <w:szCs w:val="22"/>
        </w:rPr>
        <w:t xml:space="preserve"> </w:t>
      </w:r>
      <w:r w:rsidRPr="003328F3">
        <w:t xml:space="preserve">time spent using the </w:t>
      </w:r>
      <w:r>
        <w:t>internet</w:t>
      </w:r>
      <w:r w:rsidRPr="003328F3">
        <w:t xml:space="preserve"> on a normal work/week day in the Transitioned ADF </w:t>
      </w:r>
      <w:r>
        <w:t xml:space="preserve">young adults </w:t>
      </w:r>
      <w:r w:rsidRPr="003328F3">
        <w:t>compared to the Young and Well cohort, by level of psychological distress.</w:t>
      </w:r>
    </w:p>
    <w:p w14:paraId="0C5E4D45" w14:textId="77777777" w:rsidR="002A7F4E" w:rsidRPr="003328F3" w:rsidRDefault="002A7F4E" w:rsidP="00724FC6">
      <w:pPr>
        <w:spacing w:after="130" w:line="258" w:lineRule="atLeast"/>
        <w:rPr>
          <w:rFonts w:asciiTheme="minorHAnsi" w:hAnsiTheme="minorHAnsi"/>
          <w:szCs w:val="22"/>
        </w:rPr>
      </w:pPr>
      <w:r w:rsidRPr="003328F3">
        <w:rPr>
          <w:rFonts w:asciiTheme="minorHAnsi" w:hAnsiTheme="minorHAnsi"/>
          <w:szCs w:val="22"/>
        </w:rPr>
        <w:t>Those with moderate</w:t>
      </w:r>
      <w:r>
        <w:rPr>
          <w:rFonts w:asciiTheme="minorHAnsi" w:hAnsiTheme="minorHAnsi"/>
          <w:szCs w:val="22"/>
        </w:rPr>
        <w:t xml:space="preserve"> to </w:t>
      </w:r>
      <w:r w:rsidRPr="003328F3">
        <w:rPr>
          <w:rFonts w:asciiTheme="minorHAnsi" w:hAnsiTheme="minorHAnsi"/>
          <w:szCs w:val="22"/>
        </w:rPr>
        <w:t xml:space="preserve">very high psychological distress on the K10 were more likely to report using the </w:t>
      </w:r>
      <w:r>
        <w:rPr>
          <w:rFonts w:asciiTheme="minorHAnsi" w:hAnsiTheme="minorHAnsi"/>
          <w:szCs w:val="22"/>
        </w:rPr>
        <w:t>internet</w:t>
      </w:r>
      <w:r w:rsidRPr="003328F3">
        <w:rPr>
          <w:rFonts w:asciiTheme="minorHAnsi" w:hAnsiTheme="minorHAnsi"/>
          <w:szCs w:val="22"/>
        </w:rPr>
        <w:t xml:space="preserve"> for 10+ hours on a normal work/week day in both Transitioned ADF </w:t>
      </w:r>
      <w:r>
        <w:rPr>
          <w:rFonts w:asciiTheme="minorHAnsi" w:hAnsiTheme="minorHAnsi"/>
          <w:szCs w:val="22"/>
        </w:rPr>
        <w:t xml:space="preserve">young adults </w:t>
      </w:r>
      <w:r w:rsidRPr="003328F3">
        <w:rPr>
          <w:rFonts w:asciiTheme="minorHAnsi" w:hAnsiTheme="minorHAnsi"/>
          <w:szCs w:val="22"/>
        </w:rPr>
        <w:t>(9.2%) and the Young and Well cohort (4.8%) compared to those with low psychological distress (2.3% and 2.2%respectively</w:t>
      </w:r>
      <w:r>
        <w:rPr>
          <w:rFonts w:asciiTheme="minorHAnsi" w:hAnsiTheme="minorHAnsi"/>
          <w:szCs w:val="22"/>
        </w:rPr>
        <w:t>).</w:t>
      </w:r>
    </w:p>
    <w:p w14:paraId="18C71022" w14:textId="76CC78F8" w:rsidR="002A7F4E" w:rsidRPr="003328F3" w:rsidRDefault="002A7F4E" w:rsidP="00724FC6">
      <w:pPr>
        <w:spacing w:after="130" w:line="258" w:lineRule="atLeast"/>
        <w:rPr>
          <w:rFonts w:asciiTheme="minorHAnsi" w:hAnsiTheme="minorHAnsi"/>
          <w:szCs w:val="22"/>
        </w:rPr>
      </w:pPr>
      <w:r w:rsidRPr="003328F3">
        <w:rPr>
          <w:rFonts w:asciiTheme="minorHAnsi" w:hAnsiTheme="minorHAnsi"/>
          <w:szCs w:val="22"/>
        </w:rPr>
        <w:t xml:space="preserve">Overall, it can be seen that Transitioned ADF </w:t>
      </w:r>
      <w:r>
        <w:rPr>
          <w:rFonts w:asciiTheme="minorHAnsi" w:hAnsiTheme="minorHAnsi"/>
          <w:szCs w:val="22"/>
        </w:rPr>
        <w:t>young adults</w:t>
      </w:r>
      <w:r w:rsidRPr="003328F3">
        <w:rPr>
          <w:rFonts w:asciiTheme="minorHAnsi" w:hAnsiTheme="minorHAnsi"/>
          <w:szCs w:val="22"/>
        </w:rPr>
        <w:t xml:space="preserve"> with moderate</w:t>
      </w:r>
      <w:r>
        <w:rPr>
          <w:rFonts w:asciiTheme="minorHAnsi" w:hAnsiTheme="minorHAnsi"/>
          <w:szCs w:val="22"/>
        </w:rPr>
        <w:t xml:space="preserve"> to </w:t>
      </w:r>
      <w:r w:rsidRPr="003328F3">
        <w:rPr>
          <w:rFonts w:asciiTheme="minorHAnsi" w:hAnsiTheme="minorHAnsi"/>
          <w:szCs w:val="22"/>
        </w:rPr>
        <w:t xml:space="preserve">high psychological distress generally reported using the </w:t>
      </w:r>
      <w:r>
        <w:rPr>
          <w:rFonts w:asciiTheme="minorHAnsi" w:hAnsiTheme="minorHAnsi"/>
          <w:szCs w:val="22"/>
        </w:rPr>
        <w:t>internet</w:t>
      </w:r>
      <w:r w:rsidRPr="003328F3">
        <w:rPr>
          <w:rFonts w:asciiTheme="minorHAnsi" w:hAnsiTheme="minorHAnsi"/>
          <w:szCs w:val="22"/>
        </w:rPr>
        <w:t xml:space="preserve"> for a longer duration </w:t>
      </w:r>
      <w:r w:rsidR="00A6315A">
        <w:rPr>
          <w:rFonts w:asciiTheme="minorHAnsi" w:hAnsiTheme="minorHAnsi"/>
          <w:szCs w:val="22"/>
        </w:rPr>
        <w:br/>
      </w:r>
      <w:r w:rsidRPr="003328F3">
        <w:rPr>
          <w:rFonts w:asciiTheme="minorHAnsi" w:hAnsiTheme="minorHAnsi"/>
          <w:szCs w:val="22"/>
        </w:rPr>
        <w:t>(5</w:t>
      </w:r>
      <w:r>
        <w:rPr>
          <w:rFonts w:asciiTheme="minorHAnsi" w:hAnsiTheme="minorHAnsi"/>
          <w:szCs w:val="22"/>
        </w:rPr>
        <w:t>–</w:t>
      </w:r>
      <w:r w:rsidRPr="003328F3">
        <w:rPr>
          <w:rFonts w:asciiTheme="minorHAnsi" w:hAnsiTheme="minorHAnsi"/>
          <w:szCs w:val="22"/>
        </w:rPr>
        <w:t>10+ hours) (aggregated proportion of 38.7%) than those with low distress (aggregated proportion of 27.3%) and the Young and Well cohort with either moderate</w:t>
      </w:r>
      <w:r>
        <w:rPr>
          <w:rFonts w:asciiTheme="minorHAnsi" w:hAnsiTheme="minorHAnsi"/>
          <w:szCs w:val="22"/>
        </w:rPr>
        <w:t xml:space="preserve"> to </w:t>
      </w:r>
      <w:r w:rsidRPr="003328F3">
        <w:rPr>
          <w:rFonts w:asciiTheme="minorHAnsi" w:hAnsiTheme="minorHAnsi"/>
          <w:szCs w:val="22"/>
        </w:rPr>
        <w:t xml:space="preserve">high (aggregated proportion of 20.1%) or low psychological distress (aggregated proportion of 18.4%). </w:t>
      </w:r>
    </w:p>
    <w:p w14:paraId="27C2A771" w14:textId="77777777" w:rsidR="002A7F4E" w:rsidRPr="001743E6" w:rsidRDefault="002A7F4E" w:rsidP="00724FC6">
      <w:pPr>
        <w:pStyle w:val="Heading3"/>
        <w:numPr>
          <w:ilvl w:val="2"/>
          <w:numId w:val="1"/>
        </w:numPr>
        <w:spacing w:before="180" w:after="40"/>
      </w:pPr>
      <w:bookmarkStart w:id="1250" w:name="_Toc515374576"/>
      <w:bookmarkStart w:id="1251" w:name="_Toc518566470"/>
      <w:bookmarkStart w:id="1252" w:name="_Toc528932748"/>
      <w:bookmarkStart w:id="1253" w:name="_Toc531859285"/>
      <w:r>
        <w:t>Internet</w:t>
      </w:r>
      <w:r w:rsidRPr="001743E6">
        <w:t xml:space="preserve"> use after 11</w:t>
      </w:r>
      <w:r>
        <w:t xml:space="preserve"> pm</w:t>
      </w:r>
      <w:r w:rsidRPr="001743E6">
        <w:t xml:space="preserve"> by level of psychological distress</w:t>
      </w:r>
      <w:bookmarkEnd w:id="1250"/>
      <w:bookmarkEnd w:id="1251"/>
      <w:bookmarkEnd w:id="1252"/>
      <w:bookmarkEnd w:id="1253"/>
    </w:p>
    <w:p w14:paraId="719E71A4" w14:textId="77777777" w:rsidR="002A7F4E" w:rsidRPr="003328F3" w:rsidRDefault="002A7F4E" w:rsidP="00724FC6">
      <w:pPr>
        <w:spacing w:after="130" w:line="258" w:lineRule="atLeast"/>
      </w:pPr>
      <w:r>
        <w:t xml:space="preserve">Table </w:t>
      </w:r>
      <w:r>
        <w:rPr>
          <w:noProof/>
        </w:rPr>
        <w:t>10.11</w:t>
      </w:r>
      <w:r>
        <w:rPr>
          <w:rFonts w:asciiTheme="minorHAnsi" w:hAnsiTheme="minorHAnsi"/>
          <w:szCs w:val="22"/>
        </w:rPr>
        <w:t xml:space="preserve"> </w:t>
      </w:r>
      <w:r w:rsidRPr="00D56F28">
        <w:rPr>
          <w:rFonts w:asciiTheme="minorHAnsi" w:hAnsiTheme="minorHAnsi"/>
          <w:szCs w:val="22"/>
        </w:rPr>
        <w:t xml:space="preserve">and </w:t>
      </w:r>
      <w:r>
        <w:t xml:space="preserve">Figure </w:t>
      </w:r>
      <w:r>
        <w:rPr>
          <w:noProof/>
        </w:rPr>
        <w:t>10.11</w:t>
      </w:r>
      <w:r>
        <w:rPr>
          <w:rFonts w:asciiTheme="minorHAnsi" w:hAnsiTheme="minorHAnsi"/>
          <w:szCs w:val="22"/>
        </w:rPr>
        <w:t xml:space="preserve"> </w:t>
      </w:r>
      <w:r w:rsidRPr="003328F3">
        <w:rPr>
          <w:rFonts w:asciiTheme="minorHAnsi" w:hAnsiTheme="minorHAnsi"/>
          <w:szCs w:val="22"/>
        </w:rPr>
        <w:t xml:space="preserve">show </w:t>
      </w:r>
      <w:r w:rsidRPr="003328F3">
        <w:t xml:space="preserve">use of the </w:t>
      </w:r>
      <w:r>
        <w:t>internet</w:t>
      </w:r>
      <w:r w:rsidRPr="003328F3">
        <w:t xml:space="preserve"> after </w:t>
      </w:r>
      <w:r>
        <w:t>11 pm</w:t>
      </w:r>
      <w:r w:rsidRPr="003328F3">
        <w:t xml:space="preserve"> in the Transitioned ADF </w:t>
      </w:r>
      <w:r>
        <w:t xml:space="preserve">young adults </w:t>
      </w:r>
      <w:r w:rsidRPr="003328F3">
        <w:t>compared to the Young and Well cohort by level of psychological distress.</w:t>
      </w:r>
    </w:p>
    <w:p w14:paraId="667A8761" w14:textId="77777777" w:rsidR="002A7F4E" w:rsidRPr="002865E1" w:rsidRDefault="002A7F4E" w:rsidP="00724FC6">
      <w:pPr>
        <w:spacing w:after="130" w:line="258" w:lineRule="atLeast"/>
      </w:pPr>
      <w:r w:rsidRPr="003328F3">
        <w:t xml:space="preserve">A larger proportion of those with moderate to very high psychological distress reported using the </w:t>
      </w:r>
      <w:r>
        <w:t>internet</w:t>
      </w:r>
      <w:r w:rsidRPr="003328F3">
        <w:t xml:space="preserve"> after 11</w:t>
      </w:r>
      <w:r>
        <w:t xml:space="preserve"> pm</w:t>
      </w:r>
      <w:r w:rsidRPr="003328F3">
        <w:t xml:space="preserve"> in both the Transitioned ADF</w:t>
      </w:r>
      <w:r>
        <w:t xml:space="preserve"> young adults </w:t>
      </w:r>
      <w:r w:rsidRPr="003328F3">
        <w:t xml:space="preserve">(50.1%) and the Young and Well </w:t>
      </w:r>
      <w:r>
        <w:t>c</w:t>
      </w:r>
      <w:r w:rsidRPr="003328F3">
        <w:t xml:space="preserve">ohort (70.7%) compared to those with low psychological distress (43.7% and 62.4% respectively). When comparing the Transitioned ADF </w:t>
      </w:r>
      <w:r>
        <w:t xml:space="preserve">young adults </w:t>
      </w:r>
      <w:r w:rsidRPr="003328F3">
        <w:t xml:space="preserve">and the Young and Well </w:t>
      </w:r>
      <w:r>
        <w:t>c</w:t>
      </w:r>
      <w:r w:rsidRPr="003328F3">
        <w:t>ohort, the patterns were similar. In both the low and moderate</w:t>
      </w:r>
      <w:r>
        <w:t xml:space="preserve"> to </w:t>
      </w:r>
      <w:r w:rsidRPr="003328F3">
        <w:t xml:space="preserve">very high psychological distress groups, a significantly </w:t>
      </w:r>
      <w:r>
        <w:t xml:space="preserve">lower proportion of </w:t>
      </w:r>
      <w:r w:rsidRPr="003328F3">
        <w:t>Transitioned ADF</w:t>
      </w:r>
      <w:r>
        <w:t xml:space="preserve"> young adults </w:t>
      </w:r>
      <w:r w:rsidRPr="003328F3">
        <w:t xml:space="preserve">reported using the </w:t>
      </w:r>
      <w:r>
        <w:t>internet</w:t>
      </w:r>
      <w:r w:rsidRPr="003328F3">
        <w:t xml:space="preserve"> after 11</w:t>
      </w:r>
      <w:r>
        <w:t xml:space="preserve"> pm</w:t>
      </w:r>
      <w:r w:rsidRPr="003328F3">
        <w:t xml:space="preserve"> compared to the</w:t>
      </w:r>
      <w:r w:rsidRPr="002865E1">
        <w:t xml:space="preserve"> </w:t>
      </w:r>
      <w:r w:rsidRPr="003328F3">
        <w:t xml:space="preserve">Young and Well </w:t>
      </w:r>
      <w:r>
        <w:t>c</w:t>
      </w:r>
      <w:r w:rsidRPr="003328F3">
        <w:t>ohort</w:t>
      </w:r>
      <w:r w:rsidRPr="00644938">
        <w:t xml:space="preserve"> (Low distress: 43.7%</w:t>
      </w:r>
      <w:r>
        <w:t xml:space="preserve"> </w:t>
      </w:r>
      <w:r w:rsidRPr="00644938">
        <w:t>vs 62.4%; High distress: 50.1% vs 70.7%).</w:t>
      </w:r>
    </w:p>
    <w:p w14:paraId="05A8762C" w14:textId="77777777" w:rsidR="002A7F4E" w:rsidRPr="001743E6" w:rsidRDefault="002A7F4E" w:rsidP="00724FC6">
      <w:pPr>
        <w:pStyle w:val="Heading3"/>
        <w:numPr>
          <w:ilvl w:val="2"/>
          <w:numId w:val="1"/>
        </w:numPr>
        <w:spacing w:before="180" w:after="40"/>
      </w:pPr>
      <w:bookmarkStart w:id="1254" w:name="_Toc387565426"/>
      <w:bookmarkStart w:id="1255" w:name="_Toc515374577"/>
      <w:bookmarkStart w:id="1256" w:name="_Toc518566471"/>
      <w:bookmarkStart w:id="1257" w:name="_Toc528932749"/>
      <w:bookmarkStart w:id="1258" w:name="_Toc531859286"/>
      <w:r w:rsidRPr="001743E6">
        <w:t xml:space="preserve">Use of the </w:t>
      </w:r>
      <w:r>
        <w:t>internet</w:t>
      </w:r>
      <w:r w:rsidRPr="001743E6">
        <w:t xml:space="preserve"> to manage mental health by level of psychological distress</w:t>
      </w:r>
      <w:bookmarkEnd w:id="1254"/>
      <w:bookmarkEnd w:id="1255"/>
      <w:bookmarkEnd w:id="1256"/>
      <w:bookmarkEnd w:id="1257"/>
      <w:bookmarkEnd w:id="1258"/>
    </w:p>
    <w:p w14:paraId="2ACA38F9" w14:textId="77777777" w:rsidR="002A7F4E" w:rsidRPr="003328F3" w:rsidRDefault="002A7F4E" w:rsidP="00724FC6">
      <w:pPr>
        <w:spacing w:after="130" w:line="258" w:lineRule="atLeast"/>
      </w:pPr>
      <w:r>
        <w:t xml:space="preserve">Table </w:t>
      </w:r>
      <w:r>
        <w:rPr>
          <w:noProof/>
        </w:rPr>
        <w:t>10</w:t>
      </w:r>
      <w:r>
        <w:t>.</w:t>
      </w:r>
      <w:r>
        <w:rPr>
          <w:noProof/>
        </w:rPr>
        <w:t>12</w:t>
      </w:r>
      <w:r>
        <w:rPr>
          <w:rFonts w:asciiTheme="minorHAnsi" w:hAnsiTheme="minorHAnsi"/>
          <w:szCs w:val="22"/>
        </w:rPr>
        <w:t xml:space="preserve"> and </w:t>
      </w:r>
      <w:r>
        <w:t xml:space="preserve">Figure </w:t>
      </w:r>
      <w:r>
        <w:rPr>
          <w:noProof/>
        </w:rPr>
        <w:t>10</w:t>
      </w:r>
      <w:r>
        <w:t>.</w:t>
      </w:r>
      <w:r>
        <w:rPr>
          <w:noProof/>
        </w:rPr>
        <w:t>12</w:t>
      </w:r>
      <w:r>
        <w:rPr>
          <w:rFonts w:asciiTheme="minorHAnsi" w:hAnsiTheme="minorHAnsi"/>
          <w:szCs w:val="22"/>
        </w:rPr>
        <w:t xml:space="preserve"> present the </w:t>
      </w:r>
      <w:r w:rsidRPr="003328F3">
        <w:rPr>
          <w:rFonts w:asciiTheme="minorHAnsi" w:hAnsiTheme="minorHAnsi"/>
          <w:szCs w:val="22"/>
        </w:rPr>
        <w:t>u</w:t>
      </w:r>
      <w:r w:rsidRPr="003328F3">
        <w:t xml:space="preserve">se of the </w:t>
      </w:r>
      <w:r>
        <w:t>internet</w:t>
      </w:r>
      <w:r w:rsidRPr="003328F3">
        <w:t xml:space="preserve"> to seek help for or manage mental health issues in the Transitioned ADF </w:t>
      </w:r>
      <w:r>
        <w:t xml:space="preserve">young adults </w:t>
      </w:r>
      <w:r w:rsidRPr="003328F3">
        <w:t>compared to the Young and Well cohort, by level of psychological distress</w:t>
      </w:r>
      <w:r>
        <w:t>.</w:t>
      </w:r>
    </w:p>
    <w:p w14:paraId="2AF86AC5" w14:textId="77777777" w:rsidR="002A7F4E" w:rsidRPr="003328F3" w:rsidRDefault="002A7F4E" w:rsidP="00724FC6">
      <w:pPr>
        <w:spacing w:after="130" w:line="258" w:lineRule="atLeast"/>
        <w:rPr>
          <w:rFonts w:asciiTheme="minorHAnsi" w:hAnsiTheme="minorHAnsi"/>
          <w:szCs w:val="22"/>
        </w:rPr>
      </w:pPr>
      <w:r w:rsidRPr="003328F3">
        <w:t xml:space="preserve">A larger proportion of those with moderate to very high psychological distress reported using the </w:t>
      </w:r>
      <w:r>
        <w:t>internet</w:t>
      </w:r>
      <w:r w:rsidRPr="003328F3">
        <w:t xml:space="preserve"> to seek help for or to manage mental health issues in both the Transitioned ADF </w:t>
      </w:r>
      <w:r>
        <w:t xml:space="preserve">young adults </w:t>
      </w:r>
      <w:r w:rsidRPr="003328F3">
        <w:t xml:space="preserve">(28.2%) and the Young and Well </w:t>
      </w:r>
      <w:r>
        <w:t>c</w:t>
      </w:r>
      <w:r w:rsidRPr="003328F3">
        <w:t>ohort (52.2%) compared to those with low psychological distress (26.7% and 33.1% respectively)</w:t>
      </w:r>
      <w:r>
        <w:t>,</w:t>
      </w:r>
      <w:r w:rsidRPr="003328F3">
        <w:t xml:space="preserve"> with this effect being more pronounced in the Young and Well cohort. In </w:t>
      </w:r>
      <w:r>
        <w:t xml:space="preserve">the </w:t>
      </w:r>
      <w:r w:rsidRPr="003328F3">
        <w:t>moderate</w:t>
      </w:r>
      <w:r>
        <w:t xml:space="preserve"> to </w:t>
      </w:r>
      <w:r w:rsidRPr="003328F3">
        <w:t xml:space="preserve">very high psychological distress group only, a significantly higher proportion of the Young and Well </w:t>
      </w:r>
      <w:r>
        <w:t>c</w:t>
      </w:r>
      <w:r w:rsidRPr="003328F3">
        <w:t xml:space="preserve">ohort reported using the </w:t>
      </w:r>
      <w:r>
        <w:t>internet</w:t>
      </w:r>
      <w:r w:rsidRPr="003328F3">
        <w:t xml:space="preserve"> to manage mental health compared to the Transitioned ADF</w:t>
      </w:r>
      <w:r>
        <w:t xml:space="preserve"> young adults</w:t>
      </w:r>
      <w:r w:rsidRPr="003328F3">
        <w:t xml:space="preserve"> (52.2% vs 28.2%).</w:t>
      </w:r>
    </w:p>
    <w:p w14:paraId="1724D7E4" w14:textId="77777777" w:rsidR="002A7F4E" w:rsidRDefault="002A7F4E" w:rsidP="002A7F4E">
      <w:pPr>
        <w:sectPr w:rsidR="002A7F4E" w:rsidSect="002A7F4E">
          <w:footerReference w:type="even" r:id="rId159"/>
          <w:footerReference w:type="default" r:id="rId160"/>
          <w:pgSz w:w="9979" w:h="14170" w:code="243"/>
          <w:pgMar w:top="1440" w:right="1152" w:bottom="1440" w:left="1728" w:header="576" w:footer="576" w:gutter="0"/>
          <w:cols w:space="708"/>
          <w:docGrid w:linePitch="360"/>
        </w:sectPr>
      </w:pPr>
    </w:p>
    <w:p w14:paraId="7B7B14E0" w14:textId="77777777" w:rsidR="003661B0" w:rsidRPr="003328F3" w:rsidRDefault="003661B0" w:rsidP="003661B0">
      <w:pPr>
        <w:pStyle w:val="TableName"/>
        <w:rPr>
          <w:rFonts w:asciiTheme="minorHAnsi" w:hAnsiTheme="minorHAnsi"/>
          <w:szCs w:val="22"/>
        </w:rPr>
      </w:pPr>
      <w:bookmarkStart w:id="1259" w:name="_Ref514071711"/>
      <w:bookmarkStart w:id="1260" w:name="_Toc528932374"/>
      <w:bookmarkStart w:id="1261" w:name="_Toc531858053"/>
      <w:r>
        <w:t xml:space="preserve">Table </w:t>
      </w:r>
      <w:r>
        <w:rPr>
          <w:noProof/>
        </w:rPr>
        <w:t>10</w:t>
      </w:r>
      <w:r>
        <w:t>.</w:t>
      </w:r>
      <w:r>
        <w:rPr>
          <w:noProof/>
        </w:rPr>
        <w:t>10</w:t>
      </w:r>
      <w:bookmarkEnd w:id="1259"/>
      <w:r>
        <w:tab/>
      </w:r>
      <w:r w:rsidRPr="003328F3">
        <w:t xml:space="preserve">Time spent using the </w:t>
      </w:r>
      <w:r>
        <w:t>internet</w:t>
      </w:r>
      <w:r w:rsidRPr="003328F3">
        <w:t xml:space="preserve"> on a normal work/week day in Transitioned ADF (aged </w:t>
      </w:r>
      <w:r>
        <w:t>18–25</w:t>
      </w:r>
      <w:r w:rsidRPr="003328F3">
        <w:t>) compared to the Young and Well cohort, by level of psychological distres</w:t>
      </w:r>
      <w:r>
        <w:t>s</w:t>
      </w:r>
      <w:bookmarkEnd w:id="1260"/>
      <w:bookmarkEnd w:id="1261"/>
    </w:p>
    <w:tbl>
      <w:tblPr>
        <w:tblStyle w:val="TWRPTable"/>
        <w:tblW w:w="5000" w:type="pct"/>
        <w:tblLayout w:type="fixed"/>
        <w:tblLook w:val="01E0" w:firstRow="1" w:lastRow="1" w:firstColumn="1" w:lastColumn="1" w:noHBand="0" w:noVBand="0"/>
        <w:tblDescription w:val="Table 10.10 Time spent using the internet on a normal work/week day in Transitioned ADF (aged 18–25) compared to the Young and Well cohort, by level of psychological distress"/>
      </w:tblPr>
      <w:tblGrid>
        <w:gridCol w:w="899"/>
        <w:gridCol w:w="481"/>
        <w:gridCol w:w="411"/>
        <w:gridCol w:w="794"/>
        <w:gridCol w:w="480"/>
        <w:gridCol w:w="410"/>
        <w:gridCol w:w="793"/>
        <w:gridCol w:w="550"/>
        <w:gridCol w:w="410"/>
        <w:gridCol w:w="863"/>
        <w:gridCol w:w="480"/>
        <w:gridCol w:w="410"/>
        <w:gridCol w:w="793"/>
        <w:gridCol w:w="480"/>
        <w:gridCol w:w="410"/>
        <w:gridCol w:w="793"/>
        <w:gridCol w:w="550"/>
        <w:gridCol w:w="410"/>
        <w:gridCol w:w="863"/>
      </w:tblGrid>
      <w:tr w:rsidR="003661B0" w:rsidRPr="00986F82" w14:paraId="6E8AA4F2" w14:textId="77777777" w:rsidTr="00986F82">
        <w:trPr>
          <w:cnfStyle w:val="100000000000" w:firstRow="1" w:lastRow="0" w:firstColumn="0" w:lastColumn="0" w:oddVBand="0" w:evenVBand="0" w:oddHBand="0" w:evenHBand="0" w:firstRowFirstColumn="0" w:firstRowLastColumn="0" w:lastRowFirstColumn="0" w:lastRowLastColumn="0"/>
          <w:tblHeader/>
        </w:trPr>
        <w:tc>
          <w:tcPr>
            <w:tcW w:w="823" w:type="dxa"/>
            <w:tcBorders>
              <w:bottom w:val="nil"/>
            </w:tcBorders>
          </w:tcPr>
          <w:p w14:paraId="3BDCC76B" w14:textId="77777777" w:rsidR="003661B0" w:rsidRPr="00986F82" w:rsidRDefault="003661B0" w:rsidP="000850AC">
            <w:pPr>
              <w:pStyle w:val="TableText"/>
              <w:rPr>
                <w:lang w:eastAsia="en-AU"/>
              </w:rPr>
            </w:pPr>
          </w:p>
        </w:tc>
        <w:tc>
          <w:tcPr>
            <w:tcW w:w="4757" w:type="dxa"/>
            <w:gridSpan w:val="9"/>
          </w:tcPr>
          <w:p w14:paraId="1FDB1908" w14:textId="77777777" w:rsidR="003661B0" w:rsidRPr="00986F82" w:rsidRDefault="003661B0" w:rsidP="000850AC">
            <w:pPr>
              <w:pStyle w:val="TableText"/>
              <w:jc w:val="center"/>
              <w:rPr>
                <w:bCs/>
                <w:lang w:eastAsia="en-AU"/>
              </w:rPr>
            </w:pPr>
            <w:r w:rsidRPr="00986F82">
              <w:rPr>
                <w:bCs/>
                <w:lang w:eastAsia="en-AU"/>
              </w:rPr>
              <w:t>Low psychological distress (K10 scores 10–15)</w:t>
            </w:r>
          </w:p>
        </w:tc>
        <w:tc>
          <w:tcPr>
            <w:tcW w:w="4757" w:type="dxa"/>
            <w:gridSpan w:val="9"/>
          </w:tcPr>
          <w:p w14:paraId="335C147C" w14:textId="77777777" w:rsidR="003661B0" w:rsidRPr="00986F82" w:rsidRDefault="003661B0" w:rsidP="000850AC">
            <w:pPr>
              <w:pStyle w:val="TableText"/>
              <w:jc w:val="center"/>
              <w:rPr>
                <w:bCs/>
                <w:lang w:eastAsia="en-AU"/>
              </w:rPr>
            </w:pPr>
            <w:r w:rsidRPr="00986F82">
              <w:rPr>
                <w:bCs/>
                <w:lang w:eastAsia="en-AU"/>
              </w:rPr>
              <w:t>Moderate to very high psychological distress (K10 scores 16–50)</w:t>
            </w:r>
          </w:p>
        </w:tc>
      </w:tr>
      <w:tr w:rsidR="003661B0" w:rsidRPr="00986F82" w14:paraId="74A0D6C9" w14:textId="77777777" w:rsidTr="00986F82">
        <w:trPr>
          <w:cnfStyle w:val="100000000000" w:firstRow="1" w:lastRow="0" w:firstColumn="0" w:lastColumn="0" w:oddVBand="0" w:evenVBand="0" w:oddHBand="0" w:evenHBand="0" w:firstRowFirstColumn="0" w:firstRowLastColumn="0" w:lastRowFirstColumn="0" w:lastRowLastColumn="0"/>
          <w:tblHeader/>
        </w:trPr>
        <w:tc>
          <w:tcPr>
            <w:tcW w:w="823" w:type="dxa"/>
            <w:tcBorders>
              <w:top w:val="nil"/>
              <w:bottom w:val="nil"/>
            </w:tcBorders>
          </w:tcPr>
          <w:p w14:paraId="57E6D831" w14:textId="77777777" w:rsidR="003661B0" w:rsidRPr="00986F82" w:rsidRDefault="003661B0" w:rsidP="000850AC">
            <w:pPr>
              <w:pStyle w:val="TableText"/>
              <w:rPr>
                <w:lang w:eastAsia="en-AU"/>
              </w:rPr>
            </w:pPr>
          </w:p>
        </w:tc>
        <w:tc>
          <w:tcPr>
            <w:tcW w:w="1543" w:type="dxa"/>
            <w:gridSpan w:val="3"/>
            <w:hideMark/>
          </w:tcPr>
          <w:p w14:paraId="4E00A871" w14:textId="77777777" w:rsidR="003661B0" w:rsidRPr="00986F82" w:rsidRDefault="003661B0" w:rsidP="000850AC">
            <w:pPr>
              <w:pStyle w:val="TableText"/>
              <w:jc w:val="center"/>
              <w:rPr>
                <w:lang w:eastAsia="en-AU"/>
              </w:rPr>
            </w:pPr>
            <w:r w:rsidRPr="00986F82">
              <w:rPr>
                <w:bCs/>
                <w:lang w:eastAsia="en-AU"/>
              </w:rPr>
              <w:t>Transitioned ADF</w:t>
            </w:r>
            <w:r w:rsidR="000850AC" w:rsidRPr="00986F82">
              <w:rPr>
                <w:bCs/>
                <w:lang w:eastAsia="en-AU"/>
              </w:rPr>
              <w:br/>
            </w:r>
            <w:r w:rsidRPr="00986F82">
              <w:rPr>
                <w:bCs/>
                <w:lang w:eastAsia="en-AU"/>
              </w:rPr>
              <w:t>18–25 years</w:t>
            </w:r>
            <w:r w:rsidR="000850AC" w:rsidRPr="00986F82">
              <w:rPr>
                <w:bCs/>
                <w:lang w:eastAsia="en-AU"/>
              </w:rPr>
              <w:br/>
            </w:r>
            <w:r w:rsidRPr="00986F82">
              <w:rPr>
                <w:lang w:eastAsia="en-AU"/>
              </w:rPr>
              <w:t>n=2630</w:t>
            </w:r>
          </w:p>
        </w:tc>
        <w:tc>
          <w:tcPr>
            <w:tcW w:w="1543" w:type="dxa"/>
            <w:gridSpan w:val="3"/>
          </w:tcPr>
          <w:p w14:paraId="0A4ACC53" w14:textId="77777777" w:rsidR="003661B0" w:rsidRPr="00986F82" w:rsidRDefault="003661B0" w:rsidP="000850AC">
            <w:pPr>
              <w:pStyle w:val="TableText"/>
              <w:jc w:val="center"/>
              <w:rPr>
                <w:bCs/>
                <w:lang w:eastAsia="en-AU"/>
              </w:rPr>
            </w:pPr>
            <w:r w:rsidRPr="00986F82">
              <w:rPr>
                <w:rFonts w:cs="Arial"/>
              </w:rPr>
              <w:t>Young and Well cohort</w:t>
            </w:r>
            <w:r w:rsidR="000850AC" w:rsidRPr="00986F82">
              <w:rPr>
                <w:rFonts w:cs="Arial"/>
              </w:rPr>
              <w:br/>
            </w:r>
            <w:r w:rsidRPr="00986F82">
              <w:rPr>
                <w:rFonts w:cs="Arial"/>
              </w:rPr>
              <w:t>18–25 years</w:t>
            </w:r>
            <w:r w:rsidR="000850AC" w:rsidRPr="00986F82">
              <w:rPr>
                <w:rFonts w:cs="Arial"/>
              </w:rPr>
              <w:br/>
            </w:r>
            <w:r w:rsidRPr="00986F82">
              <w:rPr>
                <w:rFonts w:cs="Arial"/>
              </w:rPr>
              <w:t>n=1110</w:t>
            </w:r>
          </w:p>
        </w:tc>
        <w:tc>
          <w:tcPr>
            <w:tcW w:w="1671" w:type="dxa"/>
            <w:gridSpan w:val="3"/>
          </w:tcPr>
          <w:p w14:paraId="728D3463" w14:textId="77777777" w:rsidR="003661B0" w:rsidRPr="00986F82" w:rsidRDefault="003661B0" w:rsidP="000850AC">
            <w:pPr>
              <w:pStyle w:val="TableText"/>
              <w:jc w:val="center"/>
              <w:rPr>
                <w:bCs/>
                <w:lang w:eastAsia="en-AU"/>
              </w:rPr>
            </w:pPr>
            <w:r w:rsidRPr="00986F82">
              <w:rPr>
                <w:bCs/>
                <w:lang w:eastAsia="en-AU"/>
              </w:rPr>
              <w:t>Difference</w:t>
            </w:r>
          </w:p>
        </w:tc>
        <w:tc>
          <w:tcPr>
            <w:tcW w:w="1543" w:type="dxa"/>
            <w:gridSpan w:val="3"/>
          </w:tcPr>
          <w:p w14:paraId="2E1FA88F" w14:textId="77777777" w:rsidR="003661B0" w:rsidRPr="00986F82" w:rsidRDefault="003661B0" w:rsidP="000850AC">
            <w:pPr>
              <w:pStyle w:val="TableText"/>
              <w:jc w:val="center"/>
              <w:rPr>
                <w:bCs/>
                <w:lang w:eastAsia="en-AU"/>
              </w:rPr>
            </w:pPr>
            <w:r w:rsidRPr="00986F82">
              <w:rPr>
                <w:bCs/>
                <w:lang w:eastAsia="en-AU"/>
              </w:rPr>
              <w:t>Transitioned ADF</w:t>
            </w:r>
            <w:r w:rsidR="000850AC" w:rsidRPr="00986F82">
              <w:rPr>
                <w:bCs/>
                <w:lang w:eastAsia="en-AU"/>
              </w:rPr>
              <w:br/>
            </w:r>
            <w:r w:rsidRPr="00986F82">
              <w:rPr>
                <w:bCs/>
                <w:lang w:eastAsia="en-AU"/>
              </w:rPr>
              <w:t>18–25 years</w:t>
            </w:r>
            <w:r w:rsidR="000850AC" w:rsidRPr="00986F82">
              <w:rPr>
                <w:bCs/>
                <w:lang w:eastAsia="en-AU"/>
              </w:rPr>
              <w:br/>
            </w:r>
            <w:r w:rsidRPr="00986F82">
              <w:rPr>
                <w:lang w:eastAsia="en-AU"/>
              </w:rPr>
              <w:t>n=2630</w:t>
            </w:r>
          </w:p>
        </w:tc>
        <w:tc>
          <w:tcPr>
            <w:tcW w:w="1543" w:type="dxa"/>
            <w:gridSpan w:val="3"/>
          </w:tcPr>
          <w:p w14:paraId="0F9253B0" w14:textId="77777777" w:rsidR="003661B0" w:rsidRPr="00986F82" w:rsidRDefault="003661B0" w:rsidP="000850AC">
            <w:pPr>
              <w:pStyle w:val="TableText"/>
              <w:jc w:val="center"/>
              <w:rPr>
                <w:bCs/>
                <w:lang w:eastAsia="en-AU"/>
              </w:rPr>
            </w:pPr>
            <w:r w:rsidRPr="00986F82">
              <w:rPr>
                <w:rFonts w:cs="Arial"/>
              </w:rPr>
              <w:t>Young and Well cohort</w:t>
            </w:r>
            <w:r w:rsidR="000850AC" w:rsidRPr="00986F82">
              <w:rPr>
                <w:rFonts w:cs="Arial"/>
              </w:rPr>
              <w:br/>
            </w:r>
            <w:r w:rsidRPr="00986F82">
              <w:rPr>
                <w:rFonts w:cs="Arial"/>
              </w:rPr>
              <w:t>18–25 years</w:t>
            </w:r>
            <w:r w:rsidR="000850AC" w:rsidRPr="00986F82">
              <w:rPr>
                <w:rFonts w:cs="Arial"/>
              </w:rPr>
              <w:br/>
            </w:r>
            <w:r w:rsidRPr="00986F82">
              <w:rPr>
                <w:rFonts w:cs="Arial"/>
              </w:rPr>
              <w:t>n=1110</w:t>
            </w:r>
          </w:p>
        </w:tc>
        <w:tc>
          <w:tcPr>
            <w:tcW w:w="1671" w:type="dxa"/>
            <w:gridSpan w:val="3"/>
          </w:tcPr>
          <w:p w14:paraId="7BA14354" w14:textId="77777777" w:rsidR="003661B0" w:rsidRPr="00986F82" w:rsidRDefault="003661B0" w:rsidP="000850AC">
            <w:pPr>
              <w:pStyle w:val="TableText"/>
              <w:jc w:val="center"/>
              <w:rPr>
                <w:bCs/>
                <w:lang w:eastAsia="en-AU"/>
              </w:rPr>
            </w:pPr>
            <w:r w:rsidRPr="00986F82">
              <w:rPr>
                <w:bCs/>
                <w:lang w:eastAsia="en-AU"/>
              </w:rPr>
              <w:t>Difference</w:t>
            </w:r>
          </w:p>
        </w:tc>
      </w:tr>
      <w:tr w:rsidR="003661B0" w:rsidRPr="00986F82" w14:paraId="203B41EA" w14:textId="77777777" w:rsidTr="00986F82">
        <w:trPr>
          <w:cnfStyle w:val="100000000000" w:firstRow="1" w:lastRow="0" w:firstColumn="0" w:lastColumn="0" w:oddVBand="0" w:evenVBand="0" w:oddHBand="0" w:evenHBand="0" w:firstRowFirstColumn="0" w:firstRowLastColumn="0" w:lastRowFirstColumn="0" w:lastRowLastColumn="0"/>
          <w:tblHeader/>
        </w:trPr>
        <w:tc>
          <w:tcPr>
            <w:tcW w:w="823" w:type="dxa"/>
            <w:tcBorders>
              <w:top w:val="nil"/>
            </w:tcBorders>
          </w:tcPr>
          <w:p w14:paraId="595CE52A" w14:textId="77777777" w:rsidR="003661B0" w:rsidRPr="00986F82" w:rsidRDefault="003661B0" w:rsidP="000850AC">
            <w:pPr>
              <w:pStyle w:val="TableText"/>
              <w:rPr>
                <w:rFonts w:eastAsia="GillSans"/>
                <w:lang w:eastAsia="en-AU"/>
              </w:rPr>
            </w:pPr>
          </w:p>
        </w:tc>
        <w:tc>
          <w:tcPr>
            <w:tcW w:w="440" w:type="dxa"/>
            <w:hideMark/>
          </w:tcPr>
          <w:p w14:paraId="5BD057BE" w14:textId="77777777" w:rsidR="003661B0" w:rsidRPr="00986F82" w:rsidRDefault="003661B0" w:rsidP="000850AC">
            <w:pPr>
              <w:pStyle w:val="TableText"/>
              <w:jc w:val="right"/>
              <w:rPr>
                <w:rFonts w:eastAsia="Times New Roman"/>
                <w:lang w:eastAsia="en-AU"/>
              </w:rPr>
            </w:pPr>
            <w:r w:rsidRPr="00986F82">
              <w:rPr>
                <w:lang w:eastAsia="en-AU"/>
              </w:rPr>
              <w:t>%</w:t>
            </w:r>
          </w:p>
        </w:tc>
        <w:tc>
          <w:tcPr>
            <w:tcW w:w="376" w:type="dxa"/>
            <w:hideMark/>
          </w:tcPr>
          <w:p w14:paraId="62C30BE8" w14:textId="77777777" w:rsidR="003661B0" w:rsidRPr="00986F82" w:rsidRDefault="003661B0" w:rsidP="000850AC">
            <w:pPr>
              <w:pStyle w:val="TableText"/>
              <w:jc w:val="right"/>
              <w:rPr>
                <w:lang w:eastAsia="en-AU"/>
              </w:rPr>
            </w:pPr>
            <w:r w:rsidRPr="00986F82">
              <w:rPr>
                <w:lang w:eastAsia="en-AU"/>
              </w:rPr>
              <w:t>SE</w:t>
            </w:r>
          </w:p>
        </w:tc>
        <w:tc>
          <w:tcPr>
            <w:tcW w:w="727" w:type="dxa"/>
            <w:hideMark/>
          </w:tcPr>
          <w:p w14:paraId="6FACB518" w14:textId="77777777" w:rsidR="003661B0" w:rsidRPr="00986F82" w:rsidRDefault="003661B0" w:rsidP="000850AC">
            <w:pPr>
              <w:pStyle w:val="TableText"/>
              <w:jc w:val="right"/>
              <w:rPr>
                <w:lang w:eastAsia="en-AU"/>
              </w:rPr>
            </w:pPr>
            <w:r w:rsidRPr="00986F82">
              <w:rPr>
                <w:lang w:eastAsia="en-AU"/>
              </w:rPr>
              <w:t>95% CI</w:t>
            </w:r>
          </w:p>
        </w:tc>
        <w:tc>
          <w:tcPr>
            <w:tcW w:w="440" w:type="dxa"/>
          </w:tcPr>
          <w:p w14:paraId="4FAC568C" w14:textId="77777777" w:rsidR="003661B0" w:rsidRPr="00986F82" w:rsidRDefault="003661B0" w:rsidP="000850AC">
            <w:pPr>
              <w:pStyle w:val="TableText"/>
              <w:jc w:val="right"/>
              <w:rPr>
                <w:lang w:eastAsia="en-AU"/>
              </w:rPr>
            </w:pPr>
            <w:r w:rsidRPr="00986F82">
              <w:rPr>
                <w:lang w:eastAsia="en-AU"/>
              </w:rPr>
              <w:t>%</w:t>
            </w:r>
          </w:p>
        </w:tc>
        <w:tc>
          <w:tcPr>
            <w:tcW w:w="376" w:type="dxa"/>
          </w:tcPr>
          <w:p w14:paraId="21812A61" w14:textId="77777777" w:rsidR="003661B0" w:rsidRPr="00986F82" w:rsidRDefault="003661B0" w:rsidP="000850AC">
            <w:pPr>
              <w:pStyle w:val="TableText"/>
              <w:jc w:val="right"/>
              <w:rPr>
                <w:lang w:eastAsia="en-AU"/>
              </w:rPr>
            </w:pPr>
            <w:r w:rsidRPr="00986F82">
              <w:rPr>
                <w:lang w:eastAsia="en-AU"/>
              </w:rPr>
              <w:t>SE</w:t>
            </w:r>
          </w:p>
        </w:tc>
        <w:tc>
          <w:tcPr>
            <w:tcW w:w="727" w:type="dxa"/>
          </w:tcPr>
          <w:p w14:paraId="734385D4" w14:textId="77777777" w:rsidR="003661B0" w:rsidRPr="00986F82" w:rsidRDefault="003661B0" w:rsidP="000850AC">
            <w:pPr>
              <w:pStyle w:val="TableText"/>
              <w:jc w:val="right"/>
              <w:rPr>
                <w:lang w:eastAsia="en-AU"/>
              </w:rPr>
            </w:pPr>
            <w:r w:rsidRPr="00986F82">
              <w:rPr>
                <w:lang w:eastAsia="en-AU"/>
              </w:rPr>
              <w:t>95% CI</w:t>
            </w:r>
          </w:p>
        </w:tc>
        <w:tc>
          <w:tcPr>
            <w:tcW w:w="504" w:type="dxa"/>
          </w:tcPr>
          <w:p w14:paraId="007217DF" w14:textId="77777777" w:rsidR="003661B0" w:rsidRPr="00986F82" w:rsidRDefault="003661B0" w:rsidP="000850AC">
            <w:pPr>
              <w:pStyle w:val="TableText"/>
              <w:jc w:val="right"/>
              <w:rPr>
                <w:lang w:eastAsia="en-AU"/>
              </w:rPr>
            </w:pPr>
            <w:r w:rsidRPr="00986F82">
              <w:rPr>
                <w:lang w:eastAsia="en-AU"/>
              </w:rPr>
              <w:t>%</w:t>
            </w:r>
          </w:p>
        </w:tc>
        <w:tc>
          <w:tcPr>
            <w:tcW w:w="376" w:type="dxa"/>
          </w:tcPr>
          <w:p w14:paraId="340A713F" w14:textId="77777777" w:rsidR="003661B0" w:rsidRPr="00986F82" w:rsidRDefault="003661B0" w:rsidP="000850AC">
            <w:pPr>
              <w:pStyle w:val="TableText"/>
              <w:jc w:val="right"/>
              <w:rPr>
                <w:lang w:eastAsia="en-AU"/>
              </w:rPr>
            </w:pPr>
            <w:r w:rsidRPr="00986F82">
              <w:rPr>
                <w:lang w:eastAsia="en-AU"/>
              </w:rPr>
              <w:t>SE</w:t>
            </w:r>
          </w:p>
        </w:tc>
        <w:tc>
          <w:tcPr>
            <w:tcW w:w="791" w:type="dxa"/>
          </w:tcPr>
          <w:p w14:paraId="0FA75050" w14:textId="77777777" w:rsidR="003661B0" w:rsidRPr="00986F82" w:rsidRDefault="003661B0" w:rsidP="000850AC">
            <w:pPr>
              <w:pStyle w:val="TableText"/>
              <w:jc w:val="right"/>
              <w:rPr>
                <w:lang w:eastAsia="en-AU"/>
              </w:rPr>
            </w:pPr>
            <w:r w:rsidRPr="00986F82">
              <w:rPr>
                <w:lang w:eastAsia="en-AU"/>
              </w:rPr>
              <w:t>95% CI</w:t>
            </w:r>
          </w:p>
        </w:tc>
        <w:tc>
          <w:tcPr>
            <w:tcW w:w="440" w:type="dxa"/>
          </w:tcPr>
          <w:p w14:paraId="20C0C48D" w14:textId="77777777" w:rsidR="003661B0" w:rsidRPr="00986F82" w:rsidRDefault="003661B0" w:rsidP="000850AC">
            <w:pPr>
              <w:pStyle w:val="TableText"/>
              <w:jc w:val="right"/>
              <w:rPr>
                <w:lang w:eastAsia="en-AU"/>
              </w:rPr>
            </w:pPr>
            <w:r w:rsidRPr="00986F82">
              <w:rPr>
                <w:lang w:eastAsia="en-AU"/>
              </w:rPr>
              <w:t>%</w:t>
            </w:r>
          </w:p>
        </w:tc>
        <w:tc>
          <w:tcPr>
            <w:tcW w:w="376" w:type="dxa"/>
          </w:tcPr>
          <w:p w14:paraId="1E4108E3" w14:textId="77777777" w:rsidR="003661B0" w:rsidRPr="00986F82" w:rsidRDefault="003661B0" w:rsidP="000850AC">
            <w:pPr>
              <w:pStyle w:val="TableText"/>
              <w:jc w:val="right"/>
              <w:rPr>
                <w:lang w:eastAsia="en-AU"/>
              </w:rPr>
            </w:pPr>
            <w:r w:rsidRPr="00986F82">
              <w:rPr>
                <w:lang w:eastAsia="en-AU"/>
              </w:rPr>
              <w:t>SE</w:t>
            </w:r>
          </w:p>
        </w:tc>
        <w:tc>
          <w:tcPr>
            <w:tcW w:w="727" w:type="dxa"/>
          </w:tcPr>
          <w:p w14:paraId="3FFEBC60" w14:textId="77777777" w:rsidR="003661B0" w:rsidRPr="00986F82" w:rsidRDefault="003661B0" w:rsidP="000850AC">
            <w:pPr>
              <w:pStyle w:val="TableText"/>
              <w:jc w:val="right"/>
              <w:rPr>
                <w:lang w:eastAsia="en-AU"/>
              </w:rPr>
            </w:pPr>
            <w:r w:rsidRPr="00986F82">
              <w:rPr>
                <w:lang w:eastAsia="en-AU"/>
              </w:rPr>
              <w:t>95% CI</w:t>
            </w:r>
          </w:p>
        </w:tc>
        <w:tc>
          <w:tcPr>
            <w:tcW w:w="440" w:type="dxa"/>
          </w:tcPr>
          <w:p w14:paraId="2A8D9125" w14:textId="77777777" w:rsidR="003661B0" w:rsidRPr="00986F82" w:rsidRDefault="003661B0" w:rsidP="000850AC">
            <w:pPr>
              <w:pStyle w:val="TableText"/>
              <w:jc w:val="right"/>
              <w:rPr>
                <w:lang w:eastAsia="en-AU"/>
              </w:rPr>
            </w:pPr>
            <w:r w:rsidRPr="00986F82">
              <w:rPr>
                <w:lang w:eastAsia="en-AU"/>
              </w:rPr>
              <w:t>%</w:t>
            </w:r>
          </w:p>
        </w:tc>
        <w:tc>
          <w:tcPr>
            <w:tcW w:w="376" w:type="dxa"/>
          </w:tcPr>
          <w:p w14:paraId="14060792" w14:textId="77777777" w:rsidR="003661B0" w:rsidRPr="00986F82" w:rsidRDefault="003661B0" w:rsidP="000850AC">
            <w:pPr>
              <w:pStyle w:val="TableText"/>
              <w:jc w:val="right"/>
              <w:rPr>
                <w:lang w:eastAsia="en-AU"/>
              </w:rPr>
            </w:pPr>
            <w:r w:rsidRPr="00986F82">
              <w:rPr>
                <w:lang w:eastAsia="en-AU"/>
              </w:rPr>
              <w:t>SE</w:t>
            </w:r>
          </w:p>
        </w:tc>
        <w:tc>
          <w:tcPr>
            <w:tcW w:w="727" w:type="dxa"/>
          </w:tcPr>
          <w:p w14:paraId="465D1852" w14:textId="77777777" w:rsidR="003661B0" w:rsidRPr="00986F82" w:rsidRDefault="003661B0" w:rsidP="000850AC">
            <w:pPr>
              <w:pStyle w:val="TableText"/>
              <w:jc w:val="right"/>
              <w:rPr>
                <w:lang w:eastAsia="en-AU"/>
              </w:rPr>
            </w:pPr>
            <w:r w:rsidRPr="00986F82">
              <w:rPr>
                <w:lang w:eastAsia="en-AU"/>
              </w:rPr>
              <w:t>95% CI</w:t>
            </w:r>
          </w:p>
        </w:tc>
        <w:tc>
          <w:tcPr>
            <w:tcW w:w="504" w:type="dxa"/>
          </w:tcPr>
          <w:p w14:paraId="7C7AE909" w14:textId="77777777" w:rsidR="003661B0" w:rsidRPr="00986F82" w:rsidRDefault="003661B0" w:rsidP="000850AC">
            <w:pPr>
              <w:pStyle w:val="TableText"/>
              <w:jc w:val="right"/>
              <w:rPr>
                <w:lang w:eastAsia="en-AU"/>
              </w:rPr>
            </w:pPr>
            <w:r w:rsidRPr="00986F82">
              <w:rPr>
                <w:lang w:eastAsia="en-AU"/>
              </w:rPr>
              <w:t>%</w:t>
            </w:r>
          </w:p>
        </w:tc>
        <w:tc>
          <w:tcPr>
            <w:tcW w:w="376" w:type="dxa"/>
          </w:tcPr>
          <w:p w14:paraId="124B0A04" w14:textId="77777777" w:rsidR="003661B0" w:rsidRPr="00986F82" w:rsidRDefault="003661B0" w:rsidP="000850AC">
            <w:pPr>
              <w:pStyle w:val="TableText"/>
              <w:jc w:val="right"/>
              <w:rPr>
                <w:lang w:eastAsia="en-AU"/>
              </w:rPr>
            </w:pPr>
            <w:r w:rsidRPr="00986F82">
              <w:rPr>
                <w:lang w:eastAsia="en-AU"/>
              </w:rPr>
              <w:t>SE</w:t>
            </w:r>
          </w:p>
        </w:tc>
        <w:tc>
          <w:tcPr>
            <w:tcW w:w="791" w:type="dxa"/>
          </w:tcPr>
          <w:p w14:paraId="63CBE5C9" w14:textId="77777777" w:rsidR="003661B0" w:rsidRPr="00986F82" w:rsidRDefault="003661B0" w:rsidP="000850AC">
            <w:pPr>
              <w:pStyle w:val="TableText"/>
              <w:jc w:val="right"/>
              <w:rPr>
                <w:lang w:eastAsia="en-AU"/>
              </w:rPr>
            </w:pPr>
            <w:r w:rsidRPr="00986F82">
              <w:rPr>
                <w:lang w:eastAsia="en-AU"/>
              </w:rPr>
              <w:t>95% CI</w:t>
            </w:r>
          </w:p>
        </w:tc>
      </w:tr>
      <w:tr w:rsidR="00BD41F3" w:rsidRPr="003328F3" w14:paraId="0DDE4775" w14:textId="77777777" w:rsidTr="00986F82">
        <w:trPr>
          <w:cnfStyle w:val="000000100000" w:firstRow="0" w:lastRow="0" w:firstColumn="0" w:lastColumn="0" w:oddVBand="0" w:evenVBand="0" w:oddHBand="1" w:evenHBand="0" w:firstRowFirstColumn="0" w:firstRowLastColumn="0" w:lastRowFirstColumn="0" w:lastRowLastColumn="0"/>
        </w:trPr>
        <w:tc>
          <w:tcPr>
            <w:tcW w:w="823" w:type="dxa"/>
          </w:tcPr>
          <w:p w14:paraId="1C5C6515" w14:textId="77777777" w:rsidR="003661B0" w:rsidRPr="003328F3" w:rsidRDefault="003661B0" w:rsidP="000850AC">
            <w:pPr>
              <w:pStyle w:val="TableText"/>
              <w:rPr>
                <w:rFonts w:eastAsia="GillSans"/>
                <w:lang w:eastAsia="en-AU"/>
              </w:rPr>
            </w:pPr>
            <w:bookmarkStart w:id="1262" w:name="OLE_LINK3"/>
            <w:r w:rsidRPr="003328F3">
              <w:rPr>
                <w:rFonts w:cs="ArialMT"/>
              </w:rPr>
              <w:t>&lt;1 hour</w:t>
            </w:r>
          </w:p>
        </w:tc>
        <w:tc>
          <w:tcPr>
            <w:tcW w:w="440" w:type="dxa"/>
          </w:tcPr>
          <w:p w14:paraId="1F9E9D83"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10.4</w:t>
            </w:r>
          </w:p>
        </w:tc>
        <w:tc>
          <w:tcPr>
            <w:tcW w:w="376" w:type="dxa"/>
          </w:tcPr>
          <w:p w14:paraId="230D7DFD"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3.8</w:t>
            </w:r>
          </w:p>
        </w:tc>
        <w:tc>
          <w:tcPr>
            <w:tcW w:w="727" w:type="dxa"/>
          </w:tcPr>
          <w:p w14:paraId="57A70CC1"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5.0, 20.4</w:t>
            </w:r>
          </w:p>
        </w:tc>
        <w:tc>
          <w:tcPr>
            <w:tcW w:w="440" w:type="dxa"/>
          </w:tcPr>
          <w:p w14:paraId="3EA12AA5" w14:textId="77777777" w:rsidR="003661B0" w:rsidRPr="003328F3" w:rsidRDefault="003661B0" w:rsidP="000850AC">
            <w:pPr>
              <w:pStyle w:val="TableText"/>
              <w:jc w:val="right"/>
              <w:rPr>
                <w:rFonts w:eastAsia="Times New Roman"/>
                <w:bCs/>
                <w:color w:val="000000" w:themeColor="text1"/>
              </w:rPr>
            </w:pPr>
            <w:r w:rsidRPr="003328F3">
              <w:rPr>
                <w:rFonts w:eastAsia="Times New Roman"/>
                <w:bCs/>
                <w:color w:val="000000" w:themeColor="text1"/>
              </w:rPr>
              <w:t>17.5</w:t>
            </w:r>
          </w:p>
        </w:tc>
        <w:tc>
          <w:tcPr>
            <w:tcW w:w="376" w:type="dxa"/>
          </w:tcPr>
          <w:p w14:paraId="47EDD04F" w14:textId="77777777" w:rsidR="003661B0" w:rsidRPr="003328F3" w:rsidRDefault="003661B0" w:rsidP="000850AC">
            <w:pPr>
              <w:pStyle w:val="TableText"/>
              <w:jc w:val="right"/>
              <w:rPr>
                <w:rFonts w:eastAsia="Times New Roman"/>
                <w:bCs/>
                <w:color w:val="000000" w:themeColor="text1"/>
              </w:rPr>
            </w:pPr>
            <w:r w:rsidRPr="003328F3">
              <w:rPr>
                <w:rFonts w:eastAsia="Times New Roman"/>
                <w:bCs/>
                <w:color w:val="000000" w:themeColor="text1"/>
              </w:rPr>
              <w:t>2.6</w:t>
            </w:r>
          </w:p>
        </w:tc>
        <w:tc>
          <w:tcPr>
            <w:tcW w:w="727" w:type="dxa"/>
          </w:tcPr>
          <w:p w14:paraId="095D54C6" w14:textId="77777777" w:rsidR="003661B0" w:rsidRPr="003328F3" w:rsidRDefault="003661B0" w:rsidP="000850AC">
            <w:pPr>
              <w:pStyle w:val="TableText"/>
              <w:jc w:val="right"/>
              <w:rPr>
                <w:rFonts w:eastAsia="Times New Roman"/>
                <w:bCs/>
                <w:color w:val="000000" w:themeColor="text1"/>
              </w:rPr>
            </w:pPr>
            <w:r w:rsidRPr="003328F3">
              <w:rPr>
                <w:rFonts w:eastAsia="Times New Roman"/>
                <w:bCs/>
                <w:color w:val="000000" w:themeColor="text1"/>
              </w:rPr>
              <w:t>12.4, 22.7</w:t>
            </w:r>
          </w:p>
        </w:tc>
        <w:tc>
          <w:tcPr>
            <w:tcW w:w="504" w:type="dxa"/>
          </w:tcPr>
          <w:p w14:paraId="5C89DCE3"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7.1</w:t>
            </w:r>
          </w:p>
        </w:tc>
        <w:tc>
          <w:tcPr>
            <w:tcW w:w="376" w:type="dxa"/>
          </w:tcPr>
          <w:p w14:paraId="2FEBC9B5"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4.6</w:t>
            </w:r>
          </w:p>
        </w:tc>
        <w:tc>
          <w:tcPr>
            <w:tcW w:w="791" w:type="dxa"/>
          </w:tcPr>
          <w:p w14:paraId="03A5E50C"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16.1, 1.8</w:t>
            </w:r>
          </w:p>
        </w:tc>
        <w:tc>
          <w:tcPr>
            <w:tcW w:w="440" w:type="dxa"/>
          </w:tcPr>
          <w:p w14:paraId="0E50AAFE"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2.4</w:t>
            </w:r>
          </w:p>
        </w:tc>
        <w:tc>
          <w:tcPr>
            <w:tcW w:w="376" w:type="dxa"/>
          </w:tcPr>
          <w:p w14:paraId="47BC9D80"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1.4</w:t>
            </w:r>
          </w:p>
        </w:tc>
        <w:tc>
          <w:tcPr>
            <w:tcW w:w="727" w:type="dxa"/>
          </w:tcPr>
          <w:p w14:paraId="29F31F6D"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0.8, 7.3</w:t>
            </w:r>
          </w:p>
        </w:tc>
        <w:tc>
          <w:tcPr>
            <w:tcW w:w="440" w:type="dxa"/>
          </w:tcPr>
          <w:p w14:paraId="6F096FF6" w14:textId="77777777" w:rsidR="003661B0" w:rsidRPr="003328F3" w:rsidRDefault="003661B0" w:rsidP="000850AC">
            <w:pPr>
              <w:pStyle w:val="TableText"/>
              <w:jc w:val="right"/>
              <w:rPr>
                <w:bCs/>
                <w:color w:val="000000" w:themeColor="text1"/>
              </w:rPr>
            </w:pPr>
            <w:r w:rsidRPr="003328F3">
              <w:rPr>
                <w:bCs/>
                <w:color w:val="000000" w:themeColor="text1"/>
              </w:rPr>
              <w:t>9.8</w:t>
            </w:r>
          </w:p>
        </w:tc>
        <w:tc>
          <w:tcPr>
            <w:tcW w:w="376" w:type="dxa"/>
          </w:tcPr>
          <w:p w14:paraId="581928A0"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2.6</w:t>
            </w:r>
          </w:p>
        </w:tc>
        <w:tc>
          <w:tcPr>
            <w:tcW w:w="727" w:type="dxa"/>
          </w:tcPr>
          <w:p w14:paraId="5838707E"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4.8, 14.8</w:t>
            </w:r>
          </w:p>
        </w:tc>
        <w:tc>
          <w:tcPr>
            <w:tcW w:w="504" w:type="dxa"/>
          </w:tcPr>
          <w:p w14:paraId="084080F9"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7.4</w:t>
            </w:r>
          </w:p>
        </w:tc>
        <w:tc>
          <w:tcPr>
            <w:tcW w:w="376" w:type="dxa"/>
          </w:tcPr>
          <w:p w14:paraId="2DA072DA"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2.9</w:t>
            </w:r>
          </w:p>
        </w:tc>
        <w:tc>
          <w:tcPr>
            <w:tcW w:w="791" w:type="dxa"/>
          </w:tcPr>
          <w:p w14:paraId="7F62D6FB"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 xml:space="preserve">13.1, </w:t>
            </w:r>
            <w:r>
              <w:rPr>
                <w:rFonts w:eastAsia="Times New Roman"/>
                <w:bCs/>
                <w:color w:val="000000" w:themeColor="text1"/>
              </w:rPr>
              <w:t>–</w:t>
            </w:r>
            <w:r w:rsidRPr="003328F3">
              <w:rPr>
                <w:rFonts w:eastAsia="Times New Roman"/>
                <w:bCs/>
                <w:color w:val="000000" w:themeColor="text1"/>
              </w:rPr>
              <w:t>1.7</w:t>
            </w:r>
          </w:p>
        </w:tc>
      </w:tr>
      <w:tr w:rsidR="003661B0" w:rsidRPr="003328F3" w14:paraId="5763F75C" w14:textId="77777777" w:rsidTr="00986F82">
        <w:tc>
          <w:tcPr>
            <w:tcW w:w="823" w:type="dxa"/>
          </w:tcPr>
          <w:p w14:paraId="2368191D" w14:textId="77777777" w:rsidR="003661B0" w:rsidRPr="003328F3" w:rsidRDefault="003661B0" w:rsidP="000850AC">
            <w:pPr>
              <w:pStyle w:val="TableText"/>
              <w:rPr>
                <w:rFonts w:eastAsia="GillSans"/>
                <w:lang w:eastAsia="en-AU"/>
              </w:rPr>
            </w:pPr>
            <w:r w:rsidRPr="003328F3">
              <w:rPr>
                <w:rFonts w:cs="ArialMT"/>
              </w:rPr>
              <w:t>1 to 2 hours</w:t>
            </w:r>
          </w:p>
        </w:tc>
        <w:tc>
          <w:tcPr>
            <w:tcW w:w="440" w:type="dxa"/>
          </w:tcPr>
          <w:p w14:paraId="6B983D8E"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25.5</w:t>
            </w:r>
          </w:p>
        </w:tc>
        <w:tc>
          <w:tcPr>
            <w:tcW w:w="376" w:type="dxa"/>
          </w:tcPr>
          <w:p w14:paraId="4A7E707D"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5.0</w:t>
            </w:r>
          </w:p>
        </w:tc>
        <w:tc>
          <w:tcPr>
            <w:tcW w:w="727" w:type="dxa"/>
          </w:tcPr>
          <w:p w14:paraId="6FAE47A5"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16.9, 36.5</w:t>
            </w:r>
          </w:p>
        </w:tc>
        <w:tc>
          <w:tcPr>
            <w:tcW w:w="440" w:type="dxa"/>
          </w:tcPr>
          <w:p w14:paraId="0BFF75C9" w14:textId="77777777" w:rsidR="003661B0" w:rsidRPr="003328F3" w:rsidRDefault="003661B0" w:rsidP="000850AC">
            <w:pPr>
              <w:pStyle w:val="TableText"/>
              <w:jc w:val="right"/>
              <w:rPr>
                <w:bCs/>
                <w:color w:val="000000" w:themeColor="text1"/>
              </w:rPr>
            </w:pPr>
            <w:r w:rsidRPr="003328F3">
              <w:rPr>
                <w:bCs/>
                <w:color w:val="000000" w:themeColor="text1"/>
              </w:rPr>
              <w:t>42.0</w:t>
            </w:r>
          </w:p>
        </w:tc>
        <w:tc>
          <w:tcPr>
            <w:tcW w:w="376" w:type="dxa"/>
          </w:tcPr>
          <w:p w14:paraId="625668C6"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3.4</w:t>
            </w:r>
          </w:p>
        </w:tc>
        <w:tc>
          <w:tcPr>
            <w:tcW w:w="727" w:type="dxa"/>
          </w:tcPr>
          <w:p w14:paraId="27FE5C15"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35.4, 48.6</w:t>
            </w:r>
          </w:p>
        </w:tc>
        <w:tc>
          <w:tcPr>
            <w:tcW w:w="504" w:type="dxa"/>
          </w:tcPr>
          <w:p w14:paraId="641F5789"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16.5</w:t>
            </w:r>
          </w:p>
        </w:tc>
        <w:tc>
          <w:tcPr>
            <w:tcW w:w="376" w:type="dxa"/>
          </w:tcPr>
          <w:p w14:paraId="216E0EAB"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6.1</w:t>
            </w:r>
          </w:p>
        </w:tc>
        <w:tc>
          <w:tcPr>
            <w:tcW w:w="791" w:type="dxa"/>
          </w:tcPr>
          <w:p w14:paraId="16357F2E"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 xml:space="preserve">28.4, </w:t>
            </w:r>
            <w:r>
              <w:rPr>
                <w:rFonts w:eastAsia="Times New Roman"/>
                <w:bCs/>
                <w:color w:val="000000" w:themeColor="text1"/>
              </w:rPr>
              <w:t>–</w:t>
            </w:r>
            <w:r w:rsidRPr="003328F3">
              <w:rPr>
                <w:rFonts w:eastAsia="Times New Roman"/>
                <w:bCs/>
                <w:color w:val="000000" w:themeColor="text1"/>
              </w:rPr>
              <w:t>4.6</w:t>
            </w:r>
          </w:p>
        </w:tc>
        <w:tc>
          <w:tcPr>
            <w:tcW w:w="440" w:type="dxa"/>
          </w:tcPr>
          <w:p w14:paraId="1D5CBF03"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35.3</w:t>
            </w:r>
          </w:p>
        </w:tc>
        <w:tc>
          <w:tcPr>
            <w:tcW w:w="376" w:type="dxa"/>
          </w:tcPr>
          <w:p w14:paraId="0A188B84"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5.7</w:t>
            </w:r>
          </w:p>
        </w:tc>
        <w:tc>
          <w:tcPr>
            <w:tcW w:w="727" w:type="dxa"/>
          </w:tcPr>
          <w:p w14:paraId="6AAD0DFC"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25.0, 47.2</w:t>
            </w:r>
          </w:p>
        </w:tc>
        <w:tc>
          <w:tcPr>
            <w:tcW w:w="440" w:type="dxa"/>
          </w:tcPr>
          <w:p w14:paraId="0BFE5DE2" w14:textId="77777777" w:rsidR="003661B0" w:rsidRPr="003328F3" w:rsidRDefault="003661B0" w:rsidP="000850AC">
            <w:pPr>
              <w:pStyle w:val="TableText"/>
              <w:jc w:val="right"/>
              <w:rPr>
                <w:bCs/>
                <w:color w:val="000000" w:themeColor="text1"/>
              </w:rPr>
            </w:pPr>
            <w:r w:rsidRPr="003328F3">
              <w:rPr>
                <w:bCs/>
                <w:color w:val="000000" w:themeColor="text1"/>
              </w:rPr>
              <w:t>38.0</w:t>
            </w:r>
          </w:p>
        </w:tc>
        <w:tc>
          <w:tcPr>
            <w:tcW w:w="376" w:type="dxa"/>
          </w:tcPr>
          <w:p w14:paraId="386458B4"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3.9</w:t>
            </w:r>
          </w:p>
        </w:tc>
        <w:tc>
          <w:tcPr>
            <w:tcW w:w="727" w:type="dxa"/>
          </w:tcPr>
          <w:p w14:paraId="7CABD4AB"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30.3, 45.6</w:t>
            </w:r>
          </w:p>
        </w:tc>
        <w:tc>
          <w:tcPr>
            <w:tcW w:w="504" w:type="dxa"/>
          </w:tcPr>
          <w:p w14:paraId="670A97CF"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2.7</w:t>
            </w:r>
          </w:p>
        </w:tc>
        <w:tc>
          <w:tcPr>
            <w:tcW w:w="376" w:type="dxa"/>
          </w:tcPr>
          <w:p w14:paraId="1C6ECB6D"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7.0</w:t>
            </w:r>
          </w:p>
        </w:tc>
        <w:tc>
          <w:tcPr>
            <w:tcW w:w="791" w:type="dxa"/>
          </w:tcPr>
          <w:p w14:paraId="617EC54D"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16.3, 10.9</w:t>
            </w:r>
          </w:p>
        </w:tc>
      </w:tr>
      <w:tr w:rsidR="00BD41F3" w:rsidRPr="003328F3" w14:paraId="04B5F641" w14:textId="77777777" w:rsidTr="00986F82">
        <w:trPr>
          <w:cnfStyle w:val="000000100000" w:firstRow="0" w:lastRow="0" w:firstColumn="0" w:lastColumn="0" w:oddVBand="0" w:evenVBand="0" w:oddHBand="1" w:evenHBand="0" w:firstRowFirstColumn="0" w:firstRowLastColumn="0" w:lastRowFirstColumn="0" w:lastRowLastColumn="0"/>
        </w:trPr>
        <w:tc>
          <w:tcPr>
            <w:tcW w:w="823" w:type="dxa"/>
          </w:tcPr>
          <w:p w14:paraId="31155CD7" w14:textId="77777777" w:rsidR="003661B0" w:rsidRPr="003328F3" w:rsidRDefault="003661B0" w:rsidP="000850AC">
            <w:pPr>
              <w:pStyle w:val="TableText"/>
              <w:rPr>
                <w:rFonts w:eastAsia="GillSans"/>
                <w:lang w:eastAsia="en-AU"/>
              </w:rPr>
            </w:pPr>
            <w:r w:rsidRPr="003328F3">
              <w:rPr>
                <w:rFonts w:cs="ArialMT"/>
              </w:rPr>
              <w:t>3 to 4 hours</w:t>
            </w:r>
          </w:p>
        </w:tc>
        <w:tc>
          <w:tcPr>
            <w:tcW w:w="440" w:type="dxa"/>
          </w:tcPr>
          <w:p w14:paraId="1B976479"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34.5</w:t>
            </w:r>
          </w:p>
        </w:tc>
        <w:tc>
          <w:tcPr>
            <w:tcW w:w="376" w:type="dxa"/>
          </w:tcPr>
          <w:p w14:paraId="19F62A8F"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5.6</w:t>
            </w:r>
          </w:p>
        </w:tc>
        <w:tc>
          <w:tcPr>
            <w:tcW w:w="727" w:type="dxa"/>
          </w:tcPr>
          <w:p w14:paraId="13CB770F"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24.5, 46.1</w:t>
            </w:r>
          </w:p>
        </w:tc>
        <w:tc>
          <w:tcPr>
            <w:tcW w:w="440" w:type="dxa"/>
          </w:tcPr>
          <w:p w14:paraId="7FA33C62" w14:textId="77777777" w:rsidR="003661B0" w:rsidRPr="003328F3" w:rsidRDefault="003661B0" w:rsidP="000850AC">
            <w:pPr>
              <w:pStyle w:val="TableText"/>
              <w:jc w:val="right"/>
              <w:rPr>
                <w:bCs/>
                <w:color w:val="000000" w:themeColor="text1"/>
              </w:rPr>
            </w:pPr>
            <w:r w:rsidRPr="003328F3">
              <w:rPr>
                <w:bCs/>
                <w:color w:val="000000" w:themeColor="text1"/>
              </w:rPr>
              <w:t>21.2</w:t>
            </w:r>
          </w:p>
        </w:tc>
        <w:tc>
          <w:tcPr>
            <w:tcW w:w="376" w:type="dxa"/>
          </w:tcPr>
          <w:p w14:paraId="345075D0"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2.8</w:t>
            </w:r>
          </w:p>
        </w:tc>
        <w:tc>
          <w:tcPr>
            <w:tcW w:w="727" w:type="dxa"/>
          </w:tcPr>
          <w:p w14:paraId="0DC469EF"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15.8, 26.6</w:t>
            </w:r>
          </w:p>
        </w:tc>
        <w:tc>
          <w:tcPr>
            <w:tcW w:w="504" w:type="dxa"/>
          </w:tcPr>
          <w:p w14:paraId="4320A03C"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13.3</w:t>
            </w:r>
          </w:p>
        </w:tc>
        <w:tc>
          <w:tcPr>
            <w:tcW w:w="376" w:type="dxa"/>
          </w:tcPr>
          <w:p w14:paraId="55AFF04B"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6.3</w:t>
            </w:r>
          </w:p>
        </w:tc>
        <w:tc>
          <w:tcPr>
            <w:tcW w:w="791" w:type="dxa"/>
          </w:tcPr>
          <w:p w14:paraId="59A2468F"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1.1, 25.6</w:t>
            </w:r>
          </w:p>
        </w:tc>
        <w:tc>
          <w:tcPr>
            <w:tcW w:w="440" w:type="dxa"/>
          </w:tcPr>
          <w:p w14:paraId="4179C992"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20.6</w:t>
            </w:r>
          </w:p>
        </w:tc>
        <w:tc>
          <w:tcPr>
            <w:tcW w:w="376" w:type="dxa"/>
          </w:tcPr>
          <w:p w14:paraId="7836B5E9"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4.6</w:t>
            </w:r>
          </w:p>
        </w:tc>
        <w:tc>
          <w:tcPr>
            <w:tcW w:w="727" w:type="dxa"/>
          </w:tcPr>
          <w:p w14:paraId="65ED9D9C"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13.0, 31.0</w:t>
            </w:r>
          </w:p>
        </w:tc>
        <w:tc>
          <w:tcPr>
            <w:tcW w:w="440" w:type="dxa"/>
          </w:tcPr>
          <w:p w14:paraId="67C44E26" w14:textId="77777777" w:rsidR="003661B0" w:rsidRPr="003328F3" w:rsidRDefault="003661B0" w:rsidP="000850AC">
            <w:pPr>
              <w:pStyle w:val="TableText"/>
              <w:jc w:val="right"/>
              <w:rPr>
                <w:bCs/>
                <w:color w:val="000000" w:themeColor="text1"/>
              </w:rPr>
            </w:pPr>
            <w:r w:rsidRPr="003328F3">
              <w:rPr>
                <w:bCs/>
                <w:color w:val="000000" w:themeColor="text1"/>
              </w:rPr>
              <w:t>31.2</w:t>
            </w:r>
          </w:p>
        </w:tc>
        <w:tc>
          <w:tcPr>
            <w:tcW w:w="376" w:type="dxa"/>
          </w:tcPr>
          <w:p w14:paraId="70F6F7E5"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3.6</w:t>
            </w:r>
          </w:p>
        </w:tc>
        <w:tc>
          <w:tcPr>
            <w:tcW w:w="727" w:type="dxa"/>
          </w:tcPr>
          <w:p w14:paraId="4D910234"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24.2, 38.3</w:t>
            </w:r>
          </w:p>
        </w:tc>
        <w:tc>
          <w:tcPr>
            <w:tcW w:w="504" w:type="dxa"/>
          </w:tcPr>
          <w:p w14:paraId="4F0E6207"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10.7</w:t>
            </w:r>
          </w:p>
        </w:tc>
        <w:tc>
          <w:tcPr>
            <w:tcW w:w="376" w:type="dxa"/>
          </w:tcPr>
          <w:p w14:paraId="75D377EA"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5.8</w:t>
            </w:r>
          </w:p>
        </w:tc>
        <w:tc>
          <w:tcPr>
            <w:tcW w:w="791" w:type="dxa"/>
          </w:tcPr>
          <w:p w14:paraId="4CAC2FE3"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22.1, 0.8</w:t>
            </w:r>
          </w:p>
        </w:tc>
      </w:tr>
      <w:tr w:rsidR="003661B0" w:rsidRPr="003328F3" w14:paraId="024CF902" w14:textId="77777777" w:rsidTr="00986F82">
        <w:tc>
          <w:tcPr>
            <w:tcW w:w="823" w:type="dxa"/>
          </w:tcPr>
          <w:p w14:paraId="53B4C679" w14:textId="77777777" w:rsidR="003661B0" w:rsidRPr="003328F3" w:rsidRDefault="003661B0" w:rsidP="000850AC">
            <w:pPr>
              <w:pStyle w:val="TableText"/>
              <w:rPr>
                <w:rFonts w:eastAsia="GillSans"/>
                <w:lang w:eastAsia="en-AU"/>
              </w:rPr>
            </w:pPr>
            <w:r w:rsidRPr="003328F3">
              <w:rPr>
                <w:rFonts w:cs="ArialMT"/>
              </w:rPr>
              <w:t>5 to 9 hours</w:t>
            </w:r>
          </w:p>
        </w:tc>
        <w:tc>
          <w:tcPr>
            <w:tcW w:w="440" w:type="dxa"/>
          </w:tcPr>
          <w:p w14:paraId="592EE5E6"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25.0</w:t>
            </w:r>
          </w:p>
        </w:tc>
        <w:tc>
          <w:tcPr>
            <w:tcW w:w="376" w:type="dxa"/>
          </w:tcPr>
          <w:p w14:paraId="77368F81"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4.7</w:t>
            </w:r>
          </w:p>
        </w:tc>
        <w:tc>
          <w:tcPr>
            <w:tcW w:w="727" w:type="dxa"/>
          </w:tcPr>
          <w:p w14:paraId="032C37BC"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16.9, 35.2</w:t>
            </w:r>
          </w:p>
        </w:tc>
        <w:tc>
          <w:tcPr>
            <w:tcW w:w="440" w:type="dxa"/>
          </w:tcPr>
          <w:p w14:paraId="5262E21D" w14:textId="77777777" w:rsidR="003661B0" w:rsidRPr="003328F3" w:rsidRDefault="003661B0" w:rsidP="000850AC">
            <w:pPr>
              <w:pStyle w:val="TableText"/>
              <w:jc w:val="right"/>
              <w:rPr>
                <w:bCs/>
                <w:color w:val="000000" w:themeColor="text1"/>
              </w:rPr>
            </w:pPr>
            <w:r w:rsidRPr="003328F3">
              <w:rPr>
                <w:bCs/>
                <w:color w:val="000000" w:themeColor="text1"/>
              </w:rPr>
              <w:t>16.2</w:t>
            </w:r>
          </w:p>
        </w:tc>
        <w:tc>
          <w:tcPr>
            <w:tcW w:w="376" w:type="dxa"/>
          </w:tcPr>
          <w:p w14:paraId="368962EE"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2.5</w:t>
            </w:r>
          </w:p>
        </w:tc>
        <w:tc>
          <w:tcPr>
            <w:tcW w:w="727" w:type="dxa"/>
          </w:tcPr>
          <w:p w14:paraId="4FA5209F"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11.3, 21.2</w:t>
            </w:r>
          </w:p>
        </w:tc>
        <w:tc>
          <w:tcPr>
            <w:tcW w:w="504" w:type="dxa"/>
          </w:tcPr>
          <w:p w14:paraId="0CE15DA4"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8.8</w:t>
            </w:r>
          </w:p>
        </w:tc>
        <w:tc>
          <w:tcPr>
            <w:tcW w:w="376" w:type="dxa"/>
          </w:tcPr>
          <w:p w14:paraId="3CD202F1"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5.3</w:t>
            </w:r>
          </w:p>
        </w:tc>
        <w:tc>
          <w:tcPr>
            <w:tcW w:w="791" w:type="dxa"/>
          </w:tcPr>
          <w:p w14:paraId="5FC7B163"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1.7, 19.2</w:t>
            </w:r>
          </w:p>
        </w:tc>
        <w:tc>
          <w:tcPr>
            <w:tcW w:w="440" w:type="dxa"/>
          </w:tcPr>
          <w:p w14:paraId="0AED1B01"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29.5</w:t>
            </w:r>
          </w:p>
        </w:tc>
        <w:tc>
          <w:tcPr>
            <w:tcW w:w="376" w:type="dxa"/>
          </w:tcPr>
          <w:p w14:paraId="4531A864"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5.4</w:t>
            </w:r>
          </w:p>
        </w:tc>
        <w:tc>
          <w:tcPr>
            <w:tcW w:w="727" w:type="dxa"/>
          </w:tcPr>
          <w:p w14:paraId="1D15D28E"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20.1, 41.1</w:t>
            </w:r>
          </w:p>
        </w:tc>
        <w:tc>
          <w:tcPr>
            <w:tcW w:w="440" w:type="dxa"/>
          </w:tcPr>
          <w:p w14:paraId="693B5D56" w14:textId="77777777" w:rsidR="003661B0" w:rsidRPr="003328F3" w:rsidRDefault="003661B0" w:rsidP="000850AC">
            <w:pPr>
              <w:pStyle w:val="TableText"/>
              <w:jc w:val="right"/>
              <w:rPr>
                <w:bCs/>
                <w:color w:val="000000" w:themeColor="text1"/>
              </w:rPr>
            </w:pPr>
            <w:r w:rsidRPr="003328F3">
              <w:rPr>
                <w:bCs/>
                <w:color w:val="000000" w:themeColor="text1"/>
              </w:rPr>
              <w:t>15.3</w:t>
            </w:r>
          </w:p>
        </w:tc>
        <w:tc>
          <w:tcPr>
            <w:tcW w:w="376" w:type="dxa"/>
          </w:tcPr>
          <w:p w14:paraId="25789E96"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2.6</w:t>
            </w:r>
          </w:p>
        </w:tc>
        <w:tc>
          <w:tcPr>
            <w:tcW w:w="727" w:type="dxa"/>
          </w:tcPr>
          <w:p w14:paraId="1F689B03"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10.1, 20.5</w:t>
            </w:r>
          </w:p>
        </w:tc>
        <w:tc>
          <w:tcPr>
            <w:tcW w:w="504" w:type="dxa"/>
          </w:tcPr>
          <w:p w14:paraId="0B0F969D"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14.3</w:t>
            </w:r>
          </w:p>
        </w:tc>
        <w:tc>
          <w:tcPr>
            <w:tcW w:w="376" w:type="dxa"/>
          </w:tcPr>
          <w:p w14:paraId="7011B450"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6.0</w:t>
            </w:r>
          </w:p>
        </w:tc>
        <w:tc>
          <w:tcPr>
            <w:tcW w:w="791" w:type="dxa"/>
          </w:tcPr>
          <w:p w14:paraId="723F5280"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2.4, 26.1</w:t>
            </w:r>
          </w:p>
        </w:tc>
      </w:tr>
      <w:tr w:rsidR="00BD41F3" w:rsidRPr="003328F3" w14:paraId="69AB04DC" w14:textId="77777777" w:rsidTr="00986F82">
        <w:trPr>
          <w:cnfStyle w:val="010000000000" w:firstRow="0" w:lastRow="1" w:firstColumn="0" w:lastColumn="0" w:oddVBand="0" w:evenVBand="0" w:oddHBand="0" w:evenHBand="0" w:firstRowFirstColumn="0" w:firstRowLastColumn="0" w:lastRowFirstColumn="0" w:lastRowLastColumn="0"/>
        </w:trPr>
        <w:tc>
          <w:tcPr>
            <w:tcW w:w="823" w:type="dxa"/>
            <w:shd w:val="clear" w:color="auto" w:fill="C1D9FF"/>
          </w:tcPr>
          <w:p w14:paraId="5DF9629E" w14:textId="77777777" w:rsidR="003661B0" w:rsidRPr="003328F3" w:rsidRDefault="003661B0" w:rsidP="000850AC">
            <w:pPr>
              <w:pStyle w:val="TableText"/>
              <w:rPr>
                <w:rFonts w:eastAsia="Times New Roman"/>
                <w:lang w:eastAsia="en-AU"/>
              </w:rPr>
            </w:pPr>
            <w:r w:rsidRPr="003328F3">
              <w:rPr>
                <w:rFonts w:cs="Arial"/>
              </w:rPr>
              <w:t>10+ hours</w:t>
            </w:r>
          </w:p>
        </w:tc>
        <w:tc>
          <w:tcPr>
            <w:tcW w:w="440" w:type="dxa"/>
            <w:shd w:val="clear" w:color="auto" w:fill="C1D9FF"/>
          </w:tcPr>
          <w:p w14:paraId="43493DA3"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2.3</w:t>
            </w:r>
          </w:p>
        </w:tc>
        <w:tc>
          <w:tcPr>
            <w:tcW w:w="376" w:type="dxa"/>
            <w:shd w:val="clear" w:color="auto" w:fill="C1D9FF"/>
          </w:tcPr>
          <w:p w14:paraId="6BCE78D1"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bCs/>
                <w:color w:val="000000" w:themeColor="text1"/>
              </w:rPr>
              <w:t>1.6</w:t>
            </w:r>
          </w:p>
        </w:tc>
        <w:tc>
          <w:tcPr>
            <w:tcW w:w="727" w:type="dxa"/>
            <w:shd w:val="clear" w:color="auto" w:fill="C1D9FF"/>
          </w:tcPr>
          <w:p w14:paraId="6AFDEBA0"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0.6, 8.5</w:t>
            </w:r>
          </w:p>
        </w:tc>
        <w:tc>
          <w:tcPr>
            <w:tcW w:w="440" w:type="dxa"/>
            <w:shd w:val="clear" w:color="auto" w:fill="C1D9FF"/>
          </w:tcPr>
          <w:p w14:paraId="2A454326" w14:textId="77777777" w:rsidR="003661B0" w:rsidRPr="003328F3" w:rsidRDefault="003661B0" w:rsidP="000850AC">
            <w:pPr>
              <w:pStyle w:val="TableText"/>
              <w:jc w:val="right"/>
              <w:rPr>
                <w:bCs/>
                <w:color w:val="000000" w:themeColor="text1"/>
              </w:rPr>
            </w:pPr>
            <w:r w:rsidRPr="003328F3">
              <w:rPr>
                <w:bCs/>
                <w:color w:val="000000" w:themeColor="text1"/>
              </w:rPr>
              <w:t>2.2</w:t>
            </w:r>
          </w:p>
        </w:tc>
        <w:tc>
          <w:tcPr>
            <w:tcW w:w="376" w:type="dxa"/>
            <w:shd w:val="clear" w:color="auto" w:fill="C1D9FF"/>
          </w:tcPr>
          <w:p w14:paraId="3E2DE38B"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0.9</w:t>
            </w:r>
          </w:p>
        </w:tc>
        <w:tc>
          <w:tcPr>
            <w:tcW w:w="727" w:type="dxa"/>
            <w:shd w:val="clear" w:color="auto" w:fill="C1D9FF"/>
          </w:tcPr>
          <w:p w14:paraId="017F2411"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0.4, 4.0</w:t>
            </w:r>
          </w:p>
        </w:tc>
        <w:tc>
          <w:tcPr>
            <w:tcW w:w="504" w:type="dxa"/>
            <w:shd w:val="clear" w:color="auto" w:fill="C1D9FF"/>
          </w:tcPr>
          <w:p w14:paraId="0597481E"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0.1</w:t>
            </w:r>
          </w:p>
        </w:tc>
        <w:tc>
          <w:tcPr>
            <w:tcW w:w="376" w:type="dxa"/>
            <w:shd w:val="clear" w:color="auto" w:fill="C1D9FF"/>
          </w:tcPr>
          <w:p w14:paraId="17B65343"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1.8</w:t>
            </w:r>
          </w:p>
        </w:tc>
        <w:tc>
          <w:tcPr>
            <w:tcW w:w="791" w:type="dxa"/>
            <w:shd w:val="clear" w:color="auto" w:fill="C1D9FF"/>
          </w:tcPr>
          <w:p w14:paraId="48A4DE54"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3.5, 3.7</w:t>
            </w:r>
          </w:p>
        </w:tc>
        <w:tc>
          <w:tcPr>
            <w:tcW w:w="440" w:type="dxa"/>
            <w:shd w:val="clear" w:color="auto" w:fill="C1D9FF"/>
          </w:tcPr>
          <w:p w14:paraId="77F224CB"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9.2</w:t>
            </w:r>
          </w:p>
        </w:tc>
        <w:tc>
          <w:tcPr>
            <w:tcW w:w="376" w:type="dxa"/>
            <w:shd w:val="clear" w:color="auto" w:fill="C1D9FF"/>
          </w:tcPr>
          <w:p w14:paraId="1F7A81D3"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3.3</w:t>
            </w:r>
          </w:p>
        </w:tc>
        <w:tc>
          <w:tcPr>
            <w:tcW w:w="727" w:type="dxa"/>
            <w:shd w:val="clear" w:color="auto" w:fill="C1D9FF"/>
          </w:tcPr>
          <w:p w14:paraId="39D33BB7"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4.5, 17.9</w:t>
            </w:r>
          </w:p>
        </w:tc>
        <w:tc>
          <w:tcPr>
            <w:tcW w:w="440" w:type="dxa"/>
            <w:shd w:val="clear" w:color="auto" w:fill="C1D9FF"/>
          </w:tcPr>
          <w:p w14:paraId="77A6C0EE" w14:textId="77777777" w:rsidR="003661B0" w:rsidRPr="003328F3" w:rsidRDefault="003661B0" w:rsidP="000850AC">
            <w:pPr>
              <w:pStyle w:val="TableText"/>
              <w:jc w:val="right"/>
              <w:rPr>
                <w:bCs/>
                <w:color w:val="000000" w:themeColor="text1"/>
              </w:rPr>
            </w:pPr>
            <w:r w:rsidRPr="003328F3">
              <w:rPr>
                <w:bCs/>
                <w:color w:val="000000" w:themeColor="text1"/>
              </w:rPr>
              <w:t>4.8</w:t>
            </w:r>
          </w:p>
        </w:tc>
        <w:tc>
          <w:tcPr>
            <w:tcW w:w="376" w:type="dxa"/>
            <w:shd w:val="clear" w:color="auto" w:fill="C1D9FF"/>
          </w:tcPr>
          <w:p w14:paraId="5344686A"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1.9</w:t>
            </w:r>
          </w:p>
        </w:tc>
        <w:tc>
          <w:tcPr>
            <w:tcW w:w="727" w:type="dxa"/>
            <w:shd w:val="clear" w:color="auto" w:fill="C1D9FF"/>
          </w:tcPr>
          <w:p w14:paraId="02669163"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1.1, 8.5</w:t>
            </w:r>
          </w:p>
        </w:tc>
        <w:tc>
          <w:tcPr>
            <w:tcW w:w="504" w:type="dxa"/>
            <w:shd w:val="clear" w:color="auto" w:fill="C1D9FF"/>
          </w:tcPr>
          <w:p w14:paraId="33E44581"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4.4</w:t>
            </w:r>
          </w:p>
        </w:tc>
        <w:tc>
          <w:tcPr>
            <w:tcW w:w="376" w:type="dxa"/>
            <w:shd w:val="clear" w:color="auto" w:fill="C1D9FF"/>
          </w:tcPr>
          <w:p w14:paraId="574B24BB" w14:textId="77777777" w:rsidR="003661B0" w:rsidRPr="003328F3" w:rsidRDefault="003661B0" w:rsidP="000850AC">
            <w:pPr>
              <w:pStyle w:val="TableText"/>
              <w:jc w:val="right"/>
              <w:rPr>
                <w:bCs/>
                <w:color w:val="000000" w:themeColor="text1"/>
              </w:rPr>
            </w:pPr>
            <w:r w:rsidRPr="003328F3">
              <w:rPr>
                <w:rFonts w:eastAsia="Times New Roman"/>
                <w:bCs/>
                <w:color w:val="000000" w:themeColor="text1"/>
              </w:rPr>
              <w:t>3.8</w:t>
            </w:r>
          </w:p>
        </w:tc>
        <w:tc>
          <w:tcPr>
            <w:tcW w:w="791" w:type="dxa"/>
            <w:shd w:val="clear" w:color="auto" w:fill="C1D9FF"/>
          </w:tcPr>
          <w:p w14:paraId="78CCF39F"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rFonts w:eastAsia="Times New Roman"/>
                <w:bCs/>
                <w:color w:val="000000" w:themeColor="text1"/>
              </w:rPr>
              <w:t>3.0, 11.8</w:t>
            </w:r>
          </w:p>
        </w:tc>
      </w:tr>
    </w:tbl>
    <w:bookmarkEnd w:id="1262"/>
    <w:p w14:paraId="60E64D8D" w14:textId="77777777" w:rsidR="003661B0" w:rsidRPr="001A683D" w:rsidRDefault="003661B0" w:rsidP="003661B0">
      <w:pPr>
        <w:pStyle w:val="TableNotes"/>
      </w:pPr>
      <w:r>
        <w:t>Notes</w:t>
      </w:r>
    </w:p>
    <w:p w14:paraId="7E3A0E0F" w14:textId="77777777" w:rsidR="003661B0" w:rsidRPr="002C3723" w:rsidRDefault="003661B0" w:rsidP="003661B0">
      <w:pPr>
        <w:pStyle w:val="TableNotes"/>
      </w:pPr>
      <w:r w:rsidRPr="002C3723">
        <w:t xml:space="preserve">Denominator: Transitioned ADF </w:t>
      </w:r>
      <w:r>
        <w:t>18–25</w:t>
      </w:r>
      <w:r w:rsidRPr="002C3723">
        <w:t xml:space="preserve"> years and Young and Well </w:t>
      </w:r>
      <w:r>
        <w:t>18–25</w:t>
      </w:r>
      <w:r w:rsidRPr="002C3723">
        <w:t xml:space="preserve"> years cohorts who used the </w:t>
      </w:r>
      <w:r>
        <w:t>internet.</w:t>
      </w:r>
    </w:p>
    <w:p w14:paraId="143A4E9C" w14:textId="77777777" w:rsidR="003661B0" w:rsidRPr="002C3723" w:rsidRDefault="003661B0" w:rsidP="003661B0">
      <w:pPr>
        <w:pStyle w:val="TableNotes"/>
      </w:pPr>
      <w:r w:rsidRPr="002C3723">
        <w:t xml:space="preserve">2.6% of the Transitioned ADF cohort had a missing value for this question. However, distributions are calculated by including those with a missing value to allow for correct weighted totals. </w:t>
      </w:r>
    </w:p>
    <w:p w14:paraId="1BE68593" w14:textId="77777777" w:rsidR="003661B0" w:rsidRDefault="003661B0" w:rsidP="003661B0">
      <w:pPr>
        <w:pStyle w:val="TableNotes"/>
      </w:pPr>
      <w:r>
        <w:t>95%CI = 95% confidence interval.</w:t>
      </w:r>
    </w:p>
    <w:p w14:paraId="759F1624" w14:textId="1743A7E6" w:rsidR="003661B0" w:rsidRPr="003328F3" w:rsidRDefault="003661B0" w:rsidP="003661B0">
      <w:pPr>
        <w:pStyle w:val="FigureName"/>
      </w:pPr>
      <w:bookmarkStart w:id="1263" w:name="_Ref514912868"/>
      <w:bookmarkStart w:id="1264" w:name="_Toc515374746"/>
      <w:bookmarkStart w:id="1265" w:name="_Toc528932430"/>
      <w:bookmarkStart w:id="1266" w:name="_Toc531858110"/>
      <w:r>
        <w:t xml:space="preserve">Figure </w:t>
      </w:r>
      <w:r>
        <w:rPr>
          <w:noProof/>
        </w:rPr>
        <w:t>10</w:t>
      </w:r>
      <w:r>
        <w:t>.</w:t>
      </w:r>
      <w:r>
        <w:rPr>
          <w:noProof/>
        </w:rPr>
        <w:t>10</w:t>
      </w:r>
      <w:bookmarkEnd w:id="1263"/>
      <w:r>
        <w:tab/>
      </w:r>
      <w:r w:rsidRPr="00D56F28">
        <w:t xml:space="preserve">Time spent using the </w:t>
      </w:r>
      <w:r>
        <w:t>internet</w:t>
      </w:r>
      <w:r w:rsidRPr="00D56F28">
        <w:t xml:space="preserve"> on a normal work/week day in Transitioned ADF </w:t>
      </w:r>
      <w:r w:rsidRPr="003328F3">
        <w:t xml:space="preserve">(aged </w:t>
      </w:r>
      <w:r>
        <w:t>18–25</w:t>
      </w:r>
      <w:r w:rsidRPr="003328F3">
        <w:t xml:space="preserve">) </w:t>
      </w:r>
      <w:r w:rsidRPr="00D56F28">
        <w:t>compared to the Young and Well ‘cohort, by level of psychological distress</w:t>
      </w:r>
      <w:bookmarkEnd w:id="1264"/>
      <w:bookmarkEnd w:id="1265"/>
      <w:bookmarkEnd w:id="1266"/>
    </w:p>
    <w:p w14:paraId="732156B1" w14:textId="77777777" w:rsidR="003661B0" w:rsidRPr="00F57819" w:rsidRDefault="003661B0" w:rsidP="003661B0">
      <w:bookmarkStart w:id="1267" w:name="_Toc387565425"/>
      <w:r>
        <w:rPr>
          <w:noProof/>
          <w:lang w:eastAsia="en-AU"/>
        </w:rPr>
        <w:drawing>
          <wp:inline distT="0" distB="0" distL="0" distR="0" wp14:anchorId="64BE65A5" wp14:editId="66727EB8">
            <wp:extent cx="7132320" cy="4023360"/>
            <wp:effectExtent l="0" t="0" r="0" b="0"/>
            <wp:docPr id="119" name="Chart 119" descr="Figure 10.10 Time spent using the internet on a normal work/week day in Transitioned ADF (aged 18–25) compared to the Young and Well ‘cohort, by level of psychological distres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6107A8A1" w14:textId="77777777" w:rsidR="003661B0" w:rsidRPr="00644938" w:rsidRDefault="003661B0" w:rsidP="003661B0">
      <w:pPr>
        <w:pStyle w:val="TableName"/>
        <w:rPr>
          <w:rFonts w:asciiTheme="minorHAnsi" w:hAnsiTheme="minorHAnsi"/>
          <w:szCs w:val="22"/>
        </w:rPr>
      </w:pPr>
      <w:bookmarkStart w:id="1268" w:name="_Ref514071771"/>
      <w:bookmarkStart w:id="1269" w:name="_Toc528932375"/>
      <w:bookmarkStart w:id="1270" w:name="_Toc531858054"/>
      <w:bookmarkEnd w:id="1267"/>
      <w:r>
        <w:t xml:space="preserve">Table </w:t>
      </w:r>
      <w:r>
        <w:rPr>
          <w:noProof/>
        </w:rPr>
        <w:t>10</w:t>
      </w:r>
      <w:r>
        <w:t>.</w:t>
      </w:r>
      <w:r>
        <w:rPr>
          <w:noProof/>
        </w:rPr>
        <w:t>11</w:t>
      </w:r>
      <w:bookmarkEnd w:id="1268"/>
      <w:r>
        <w:tab/>
      </w:r>
      <w:r w:rsidRPr="003328F3">
        <w:t xml:space="preserve">Use of the </w:t>
      </w:r>
      <w:r>
        <w:t>internet</w:t>
      </w:r>
      <w:r w:rsidRPr="003328F3">
        <w:t xml:space="preserve"> after </w:t>
      </w:r>
      <w:r>
        <w:t>11 pm</w:t>
      </w:r>
      <w:r w:rsidRPr="003328F3">
        <w:t xml:space="preserve"> in Transitioned ADF</w:t>
      </w:r>
      <w:r>
        <w:t xml:space="preserve"> (aged 18–25)</w:t>
      </w:r>
      <w:r w:rsidRPr="003328F3">
        <w:t xml:space="preserve"> compared to the Young and Well cohort, by level of psychological distress</w:t>
      </w:r>
      <w:bookmarkEnd w:id="1269"/>
      <w:bookmarkEnd w:id="1270"/>
    </w:p>
    <w:tbl>
      <w:tblPr>
        <w:tblW w:w="5000" w:type="pct"/>
        <w:tblBorders>
          <w:top w:val="single" w:sz="4" w:space="0" w:color="auto"/>
          <w:bottom w:val="single" w:sz="4" w:space="0" w:color="auto"/>
        </w:tblBorders>
        <w:tblLayout w:type="fixed"/>
        <w:tblLook w:val="01E0" w:firstRow="1" w:lastRow="1" w:firstColumn="1" w:lastColumn="1" w:noHBand="0" w:noVBand="0"/>
        <w:tblDescription w:val="Table 10.11 Use of the internet after 11 pm in Transitioned ADF (aged 18–25) compared to the Young and Well cohort, by level of psychological distress"/>
      </w:tblPr>
      <w:tblGrid>
        <w:gridCol w:w="1341"/>
        <w:gridCol w:w="442"/>
        <w:gridCol w:w="532"/>
        <w:gridCol w:w="681"/>
        <w:gridCol w:w="465"/>
        <w:gridCol w:w="530"/>
        <w:gridCol w:w="663"/>
        <w:gridCol w:w="483"/>
        <w:gridCol w:w="442"/>
        <w:gridCol w:w="735"/>
        <w:gridCol w:w="499"/>
        <w:gridCol w:w="530"/>
        <w:gridCol w:w="629"/>
        <w:gridCol w:w="517"/>
        <w:gridCol w:w="530"/>
        <w:gridCol w:w="614"/>
        <w:gridCol w:w="442"/>
        <w:gridCol w:w="530"/>
        <w:gridCol w:w="675"/>
      </w:tblGrid>
      <w:tr w:rsidR="0055539E" w:rsidRPr="003328F3" w14:paraId="41F4BDB1" w14:textId="77777777" w:rsidTr="0055539E">
        <w:trPr>
          <w:trHeight w:val="20"/>
        </w:trPr>
        <w:tc>
          <w:tcPr>
            <w:tcW w:w="594" w:type="pct"/>
            <w:tcBorders>
              <w:top w:val="single" w:sz="4" w:space="0" w:color="auto"/>
              <w:left w:val="single" w:sz="4" w:space="0" w:color="auto"/>
              <w:bottom w:val="nil"/>
              <w:right w:val="single" w:sz="4" w:space="0" w:color="auto"/>
            </w:tcBorders>
            <w:vAlign w:val="center"/>
          </w:tcPr>
          <w:p w14:paraId="7DDD0AB7" w14:textId="77777777" w:rsidR="003661B0" w:rsidRPr="003328F3" w:rsidRDefault="003661B0" w:rsidP="000850AC">
            <w:pPr>
              <w:pStyle w:val="TableText"/>
              <w:rPr>
                <w:lang w:eastAsia="en-AU"/>
              </w:rPr>
            </w:pPr>
          </w:p>
        </w:tc>
        <w:tc>
          <w:tcPr>
            <w:tcW w:w="2205" w:type="pct"/>
            <w:gridSpan w:val="9"/>
            <w:tcBorders>
              <w:top w:val="single" w:sz="4" w:space="0" w:color="auto"/>
              <w:left w:val="single" w:sz="4" w:space="0" w:color="auto"/>
              <w:bottom w:val="single" w:sz="4" w:space="0" w:color="auto"/>
              <w:right w:val="single" w:sz="4" w:space="0" w:color="auto"/>
            </w:tcBorders>
            <w:vAlign w:val="center"/>
          </w:tcPr>
          <w:p w14:paraId="23F113B4" w14:textId="2B089A98" w:rsidR="003661B0" w:rsidRPr="001743E6" w:rsidRDefault="003661B0" w:rsidP="000850AC">
            <w:pPr>
              <w:pStyle w:val="TableText"/>
              <w:jc w:val="center"/>
              <w:rPr>
                <w:b/>
                <w:bCs/>
                <w:lang w:eastAsia="en-AU"/>
              </w:rPr>
            </w:pPr>
            <w:r w:rsidRPr="001743E6">
              <w:rPr>
                <w:b/>
                <w:bCs/>
                <w:lang w:eastAsia="en-AU"/>
              </w:rPr>
              <w:t>Low psychological distress (K10 scores 10</w:t>
            </w:r>
            <w:r w:rsidR="00A6315A">
              <w:rPr>
                <w:b/>
                <w:bCs/>
                <w:lang w:eastAsia="en-AU"/>
              </w:rPr>
              <w:t>–</w:t>
            </w:r>
            <w:r w:rsidRPr="001743E6">
              <w:rPr>
                <w:b/>
                <w:bCs/>
                <w:lang w:eastAsia="en-AU"/>
              </w:rPr>
              <w:t>15)</w:t>
            </w:r>
          </w:p>
        </w:tc>
        <w:tc>
          <w:tcPr>
            <w:tcW w:w="2201" w:type="pct"/>
            <w:gridSpan w:val="9"/>
            <w:tcBorders>
              <w:top w:val="single" w:sz="4" w:space="0" w:color="auto"/>
              <w:left w:val="single" w:sz="4" w:space="0" w:color="auto"/>
              <w:bottom w:val="single" w:sz="4" w:space="0" w:color="auto"/>
              <w:right w:val="single" w:sz="4" w:space="0" w:color="auto"/>
            </w:tcBorders>
          </w:tcPr>
          <w:p w14:paraId="728DB8BA" w14:textId="4523B421" w:rsidR="003661B0" w:rsidRPr="001743E6" w:rsidRDefault="003661B0" w:rsidP="000850AC">
            <w:pPr>
              <w:pStyle w:val="TableText"/>
              <w:jc w:val="center"/>
              <w:rPr>
                <w:b/>
                <w:bCs/>
                <w:lang w:eastAsia="en-AU"/>
              </w:rPr>
            </w:pPr>
            <w:r w:rsidRPr="001743E6">
              <w:rPr>
                <w:b/>
                <w:bCs/>
                <w:lang w:eastAsia="en-AU"/>
              </w:rPr>
              <w:t>Moderate to very high psychological distress (K10 scores 16</w:t>
            </w:r>
            <w:r w:rsidR="00A6315A">
              <w:rPr>
                <w:b/>
                <w:bCs/>
                <w:lang w:eastAsia="en-AU"/>
              </w:rPr>
              <w:t>–</w:t>
            </w:r>
            <w:r w:rsidRPr="001743E6">
              <w:rPr>
                <w:b/>
                <w:bCs/>
                <w:lang w:eastAsia="en-AU"/>
              </w:rPr>
              <w:t>50)</w:t>
            </w:r>
          </w:p>
        </w:tc>
      </w:tr>
      <w:tr w:rsidR="0055539E" w:rsidRPr="003328F3" w14:paraId="4AE815B6" w14:textId="77777777" w:rsidTr="0055539E">
        <w:trPr>
          <w:trHeight w:val="20"/>
        </w:trPr>
        <w:tc>
          <w:tcPr>
            <w:tcW w:w="594" w:type="pct"/>
            <w:tcBorders>
              <w:top w:val="nil"/>
              <w:left w:val="single" w:sz="4" w:space="0" w:color="auto"/>
              <w:bottom w:val="nil"/>
              <w:right w:val="single" w:sz="4" w:space="0" w:color="auto"/>
            </w:tcBorders>
            <w:vAlign w:val="center"/>
          </w:tcPr>
          <w:p w14:paraId="651E0E88" w14:textId="77777777" w:rsidR="003661B0" w:rsidRPr="003328F3" w:rsidRDefault="003661B0" w:rsidP="000850AC">
            <w:pPr>
              <w:pStyle w:val="TableText"/>
              <w:rPr>
                <w:lang w:eastAsia="en-AU"/>
              </w:rPr>
            </w:pPr>
          </w:p>
        </w:tc>
        <w:tc>
          <w:tcPr>
            <w:tcW w:w="734" w:type="pct"/>
            <w:gridSpan w:val="3"/>
            <w:tcBorders>
              <w:top w:val="single" w:sz="4" w:space="0" w:color="auto"/>
              <w:left w:val="single" w:sz="4" w:space="0" w:color="auto"/>
              <w:bottom w:val="single" w:sz="4" w:space="0" w:color="auto"/>
              <w:right w:val="single" w:sz="4" w:space="0" w:color="auto"/>
            </w:tcBorders>
            <w:vAlign w:val="bottom"/>
            <w:hideMark/>
          </w:tcPr>
          <w:p w14:paraId="4D207270" w14:textId="77777777" w:rsidR="003661B0" w:rsidRPr="001743E6" w:rsidRDefault="003661B0" w:rsidP="0055539E">
            <w:pPr>
              <w:pStyle w:val="TableText"/>
              <w:jc w:val="center"/>
              <w:rPr>
                <w:b/>
                <w:lang w:eastAsia="en-AU"/>
              </w:rPr>
            </w:pPr>
            <w:r w:rsidRPr="001743E6">
              <w:rPr>
                <w:b/>
                <w:bCs/>
                <w:lang w:eastAsia="en-AU"/>
              </w:rPr>
              <w:t>Transitioned ADF</w:t>
            </w:r>
            <w:r w:rsidR="0055539E">
              <w:rPr>
                <w:b/>
                <w:bCs/>
                <w:lang w:eastAsia="en-AU"/>
              </w:rPr>
              <w:br/>
            </w:r>
            <w:r>
              <w:rPr>
                <w:b/>
                <w:bCs/>
                <w:lang w:eastAsia="en-AU"/>
              </w:rPr>
              <w:t>18–25</w:t>
            </w:r>
            <w:r w:rsidRPr="001743E6">
              <w:rPr>
                <w:b/>
                <w:bCs/>
                <w:lang w:eastAsia="en-AU"/>
              </w:rPr>
              <w:t xml:space="preserve"> years</w:t>
            </w:r>
            <w:r w:rsidR="0055539E">
              <w:rPr>
                <w:b/>
                <w:bCs/>
                <w:lang w:eastAsia="en-AU"/>
              </w:rPr>
              <w:br/>
            </w:r>
            <w:r>
              <w:rPr>
                <w:b/>
                <w:lang w:eastAsia="en-AU"/>
              </w:rPr>
              <w:t>n=2630</w:t>
            </w:r>
          </w:p>
        </w:tc>
        <w:tc>
          <w:tcPr>
            <w:tcW w:w="735" w:type="pct"/>
            <w:gridSpan w:val="3"/>
            <w:tcBorders>
              <w:top w:val="single" w:sz="4" w:space="0" w:color="auto"/>
              <w:left w:val="single" w:sz="4" w:space="0" w:color="auto"/>
              <w:bottom w:val="single" w:sz="4" w:space="0" w:color="auto"/>
              <w:right w:val="single" w:sz="4" w:space="0" w:color="auto"/>
            </w:tcBorders>
            <w:vAlign w:val="bottom"/>
          </w:tcPr>
          <w:p w14:paraId="70D31644" w14:textId="77777777" w:rsidR="003661B0" w:rsidRPr="001743E6" w:rsidRDefault="003661B0" w:rsidP="0055539E">
            <w:pPr>
              <w:pStyle w:val="TableText"/>
              <w:jc w:val="center"/>
              <w:rPr>
                <w:b/>
                <w:bCs/>
                <w:lang w:eastAsia="en-AU"/>
              </w:rPr>
            </w:pPr>
            <w:r w:rsidRPr="001743E6">
              <w:rPr>
                <w:rFonts w:cs="Arial"/>
                <w:b/>
              </w:rPr>
              <w:t>Young and Well cohort</w:t>
            </w:r>
            <w:r w:rsidR="0055539E">
              <w:rPr>
                <w:rFonts w:cs="Arial"/>
                <w:b/>
              </w:rPr>
              <w:br/>
            </w:r>
            <w:r>
              <w:rPr>
                <w:rFonts w:cs="Arial"/>
                <w:b/>
              </w:rPr>
              <w:t>18–25</w:t>
            </w:r>
            <w:r w:rsidRPr="001743E6">
              <w:rPr>
                <w:rFonts w:cs="Arial"/>
                <w:b/>
              </w:rPr>
              <w:t xml:space="preserve"> years</w:t>
            </w:r>
            <w:r w:rsidR="0055539E">
              <w:rPr>
                <w:rFonts w:cs="Arial"/>
                <w:b/>
              </w:rPr>
              <w:br/>
            </w:r>
            <w:r w:rsidRPr="001743E6">
              <w:rPr>
                <w:rFonts w:cs="Arial"/>
                <w:b/>
              </w:rPr>
              <w:t>n=1110</w:t>
            </w:r>
          </w:p>
        </w:tc>
        <w:tc>
          <w:tcPr>
            <w:tcW w:w="736" w:type="pct"/>
            <w:gridSpan w:val="3"/>
            <w:tcBorders>
              <w:top w:val="single" w:sz="4" w:space="0" w:color="auto"/>
              <w:left w:val="single" w:sz="4" w:space="0" w:color="auto"/>
              <w:bottom w:val="single" w:sz="4" w:space="0" w:color="auto"/>
              <w:right w:val="single" w:sz="4" w:space="0" w:color="auto"/>
            </w:tcBorders>
            <w:vAlign w:val="bottom"/>
          </w:tcPr>
          <w:p w14:paraId="6D0A17E6" w14:textId="77777777" w:rsidR="003661B0" w:rsidRPr="001743E6" w:rsidRDefault="003661B0" w:rsidP="0055539E">
            <w:pPr>
              <w:pStyle w:val="TableText"/>
              <w:jc w:val="center"/>
              <w:rPr>
                <w:b/>
                <w:bCs/>
                <w:lang w:eastAsia="en-AU"/>
              </w:rPr>
            </w:pPr>
            <w:r w:rsidRPr="001743E6">
              <w:rPr>
                <w:b/>
                <w:bCs/>
                <w:lang w:eastAsia="en-AU"/>
              </w:rPr>
              <w:t>Difference</w:t>
            </w:r>
          </w:p>
        </w:tc>
        <w:tc>
          <w:tcPr>
            <w:tcW w:w="735" w:type="pct"/>
            <w:gridSpan w:val="3"/>
            <w:tcBorders>
              <w:top w:val="single" w:sz="4" w:space="0" w:color="auto"/>
              <w:left w:val="single" w:sz="4" w:space="0" w:color="auto"/>
              <w:bottom w:val="single" w:sz="4" w:space="0" w:color="auto"/>
              <w:right w:val="single" w:sz="4" w:space="0" w:color="auto"/>
            </w:tcBorders>
            <w:vAlign w:val="bottom"/>
          </w:tcPr>
          <w:p w14:paraId="3743D3A8" w14:textId="77777777" w:rsidR="003661B0" w:rsidRPr="001743E6" w:rsidRDefault="003661B0" w:rsidP="0055539E">
            <w:pPr>
              <w:pStyle w:val="TableText"/>
              <w:jc w:val="center"/>
              <w:rPr>
                <w:b/>
                <w:bCs/>
                <w:lang w:eastAsia="en-AU"/>
              </w:rPr>
            </w:pPr>
            <w:r w:rsidRPr="001743E6">
              <w:rPr>
                <w:b/>
                <w:bCs/>
                <w:lang w:eastAsia="en-AU"/>
              </w:rPr>
              <w:t>Transitioned ADF</w:t>
            </w:r>
            <w:r w:rsidR="0055539E">
              <w:rPr>
                <w:b/>
                <w:bCs/>
                <w:lang w:eastAsia="en-AU"/>
              </w:rPr>
              <w:br/>
            </w:r>
            <w:r>
              <w:rPr>
                <w:b/>
                <w:bCs/>
                <w:lang w:eastAsia="en-AU"/>
              </w:rPr>
              <w:t>18–25</w:t>
            </w:r>
            <w:r w:rsidRPr="001743E6">
              <w:rPr>
                <w:b/>
                <w:bCs/>
                <w:lang w:eastAsia="en-AU"/>
              </w:rPr>
              <w:t xml:space="preserve"> years</w:t>
            </w:r>
            <w:r w:rsidR="0055539E">
              <w:rPr>
                <w:b/>
                <w:bCs/>
                <w:lang w:eastAsia="en-AU"/>
              </w:rPr>
              <w:br/>
            </w:r>
            <w:r w:rsidRPr="001743E6">
              <w:rPr>
                <w:b/>
                <w:lang w:eastAsia="en-AU"/>
              </w:rPr>
              <w:t>n=2630</w:t>
            </w:r>
          </w:p>
        </w:tc>
        <w:tc>
          <w:tcPr>
            <w:tcW w:w="736" w:type="pct"/>
            <w:gridSpan w:val="3"/>
            <w:tcBorders>
              <w:top w:val="single" w:sz="4" w:space="0" w:color="auto"/>
              <w:left w:val="single" w:sz="4" w:space="0" w:color="auto"/>
              <w:bottom w:val="single" w:sz="4" w:space="0" w:color="auto"/>
              <w:right w:val="single" w:sz="4" w:space="0" w:color="auto"/>
            </w:tcBorders>
            <w:vAlign w:val="bottom"/>
          </w:tcPr>
          <w:p w14:paraId="401BACAC" w14:textId="77777777" w:rsidR="003661B0" w:rsidRPr="001743E6" w:rsidRDefault="003661B0" w:rsidP="0055539E">
            <w:pPr>
              <w:pStyle w:val="TableText"/>
              <w:jc w:val="center"/>
              <w:rPr>
                <w:b/>
                <w:bCs/>
                <w:lang w:eastAsia="en-AU"/>
              </w:rPr>
            </w:pPr>
            <w:r w:rsidRPr="001743E6">
              <w:rPr>
                <w:rFonts w:cs="Arial"/>
                <w:b/>
              </w:rPr>
              <w:t>Young and Well cohort</w:t>
            </w:r>
            <w:r w:rsidR="0055539E">
              <w:rPr>
                <w:rFonts w:cs="Arial"/>
                <w:b/>
              </w:rPr>
              <w:br/>
            </w:r>
            <w:r>
              <w:rPr>
                <w:rFonts w:cs="Arial"/>
                <w:b/>
              </w:rPr>
              <w:t>18–25</w:t>
            </w:r>
            <w:r w:rsidRPr="001743E6">
              <w:rPr>
                <w:rFonts w:cs="Arial"/>
                <w:b/>
              </w:rPr>
              <w:t xml:space="preserve"> years</w:t>
            </w:r>
            <w:r w:rsidR="0055539E">
              <w:rPr>
                <w:rFonts w:cs="Arial"/>
                <w:b/>
              </w:rPr>
              <w:br/>
            </w:r>
            <w:r w:rsidRPr="001743E6">
              <w:rPr>
                <w:rFonts w:cs="Arial"/>
                <w:b/>
              </w:rPr>
              <w:t>n=1110</w:t>
            </w:r>
          </w:p>
        </w:tc>
        <w:tc>
          <w:tcPr>
            <w:tcW w:w="730" w:type="pct"/>
            <w:gridSpan w:val="3"/>
            <w:tcBorders>
              <w:top w:val="single" w:sz="4" w:space="0" w:color="auto"/>
              <w:left w:val="single" w:sz="4" w:space="0" w:color="auto"/>
              <w:bottom w:val="single" w:sz="4" w:space="0" w:color="auto"/>
              <w:right w:val="single" w:sz="4" w:space="0" w:color="auto"/>
            </w:tcBorders>
            <w:vAlign w:val="bottom"/>
          </w:tcPr>
          <w:p w14:paraId="00BC17C2" w14:textId="77777777" w:rsidR="003661B0" w:rsidRPr="001743E6" w:rsidRDefault="003661B0" w:rsidP="0055539E">
            <w:pPr>
              <w:pStyle w:val="TableText"/>
              <w:jc w:val="center"/>
              <w:rPr>
                <w:b/>
                <w:bCs/>
                <w:lang w:eastAsia="en-AU"/>
              </w:rPr>
            </w:pPr>
            <w:r w:rsidRPr="001743E6">
              <w:rPr>
                <w:b/>
                <w:bCs/>
                <w:lang w:eastAsia="en-AU"/>
              </w:rPr>
              <w:t>Difference</w:t>
            </w:r>
          </w:p>
        </w:tc>
      </w:tr>
      <w:tr w:rsidR="0055539E" w:rsidRPr="003328F3" w14:paraId="348EC133" w14:textId="77777777" w:rsidTr="0055539E">
        <w:trPr>
          <w:trHeight w:val="20"/>
        </w:trPr>
        <w:tc>
          <w:tcPr>
            <w:tcW w:w="594" w:type="pct"/>
            <w:tcBorders>
              <w:top w:val="nil"/>
              <w:left w:val="single" w:sz="4" w:space="0" w:color="auto"/>
              <w:bottom w:val="single" w:sz="4" w:space="0" w:color="auto"/>
              <w:right w:val="single" w:sz="4" w:space="0" w:color="auto"/>
            </w:tcBorders>
            <w:vAlign w:val="center"/>
          </w:tcPr>
          <w:p w14:paraId="4495D5B6" w14:textId="77777777" w:rsidR="003661B0" w:rsidRPr="003328F3" w:rsidRDefault="003661B0" w:rsidP="000850AC">
            <w:pPr>
              <w:pStyle w:val="TableText"/>
              <w:rPr>
                <w:rFonts w:eastAsia="GillSans"/>
                <w:lang w:eastAsia="en-AU"/>
              </w:rPr>
            </w:pPr>
          </w:p>
        </w:tc>
        <w:tc>
          <w:tcPr>
            <w:tcW w:w="196" w:type="pct"/>
            <w:tcBorders>
              <w:top w:val="nil"/>
              <w:left w:val="single" w:sz="4" w:space="0" w:color="auto"/>
              <w:bottom w:val="single" w:sz="4" w:space="0" w:color="auto"/>
              <w:right w:val="single" w:sz="4" w:space="0" w:color="auto"/>
            </w:tcBorders>
            <w:hideMark/>
          </w:tcPr>
          <w:p w14:paraId="43349051" w14:textId="77777777" w:rsidR="003661B0" w:rsidRPr="001743E6" w:rsidRDefault="003661B0" w:rsidP="000850AC">
            <w:pPr>
              <w:pStyle w:val="TableText"/>
              <w:jc w:val="right"/>
              <w:rPr>
                <w:rFonts w:eastAsia="Times New Roman"/>
                <w:b/>
                <w:lang w:eastAsia="en-AU"/>
              </w:rPr>
            </w:pPr>
            <w:r w:rsidRPr="001743E6">
              <w:rPr>
                <w:b/>
                <w:lang w:eastAsia="en-AU"/>
              </w:rPr>
              <w:t>%</w:t>
            </w:r>
          </w:p>
        </w:tc>
        <w:tc>
          <w:tcPr>
            <w:tcW w:w="236" w:type="pct"/>
            <w:tcBorders>
              <w:top w:val="nil"/>
              <w:left w:val="single" w:sz="4" w:space="0" w:color="auto"/>
              <w:bottom w:val="single" w:sz="4" w:space="0" w:color="auto"/>
              <w:right w:val="single" w:sz="4" w:space="0" w:color="auto"/>
            </w:tcBorders>
            <w:hideMark/>
          </w:tcPr>
          <w:p w14:paraId="52914E2A" w14:textId="77777777" w:rsidR="003661B0" w:rsidRPr="001743E6" w:rsidRDefault="003661B0" w:rsidP="000850AC">
            <w:pPr>
              <w:pStyle w:val="TableText"/>
              <w:jc w:val="right"/>
              <w:rPr>
                <w:b/>
                <w:lang w:eastAsia="en-AU"/>
              </w:rPr>
            </w:pPr>
            <w:r w:rsidRPr="001743E6">
              <w:rPr>
                <w:b/>
                <w:lang w:eastAsia="en-AU"/>
              </w:rPr>
              <w:t>SE</w:t>
            </w:r>
          </w:p>
        </w:tc>
        <w:tc>
          <w:tcPr>
            <w:tcW w:w="302" w:type="pct"/>
            <w:tcBorders>
              <w:top w:val="nil"/>
              <w:left w:val="single" w:sz="4" w:space="0" w:color="auto"/>
              <w:bottom w:val="single" w:sz="4" w:space="0" w:color="auto"/>
              <w:right w:val="single" w:sz="4" w:space="0" w:color="auto"/>
            </w:tcBorders>
            <w:hideMark/>
          </w:tcPr>
          <w:p w14:paraId="2B7079D3" w14:textId="77777777" w:rsidR="003661B0" w:rsidRPr="001743E6" w:rsidRDefault="003661B0" w:rsidP="000850AC">
            <w:pPr>
              <w:pStyle w:val="TableText"/>
              <w:jc w:val="right"/>
              <w:rPr>
                <w:b/>
                <w:lang w:eastAsia="en-AU"/>
              </w:rPr>
            </w:pPr>
            <w:r w:rsidRPr="001743E6">
              <w:rPr>
                <w:b/>
                <w:lang w:eastAsia="en-AU"/>
              </w:rPr>
              <w:t>95% CI</w:t>
            </w:r>
          </w:p>
        </w:tc>
        <w:tc>
          <w:tcPr>
            <w:tcW w:w="206" w:type="pct"/>
            <w:tcBorders>
              <w:top w:val="nil"/>
              <w:left w:val="single" w:sz="4" w:space="0" w:color="auto"/>
              <w:bottom w:val="single" w:sz="4" w:space="0" w:color="auto"/>
              <w:right w:val="single" w:sz="4" w:space="0" w:color="auto"/>
            </w:tcBorders>
          </w:tcPr>
          <w:p w14:paraId="14FE61F5" w14:textId="77777777" w:rsidR="003661B0" w:rsidRPr="001743E6" w:rsidRDefault="003661B0" w:rsidP="000850AC">
            <w:pPr>
              <w:pStyle w:val="TableText"/>
              <w:jc w:val="right"/>
              <w:rPr>
                <w:b/>
                <w:lang w:eastAsia="en-AU"/>
              </w:rPr>
            </w:pPr>
            <w:r w:rsidRPr="001743E6">
              <w:rPr>
                <w:b/>
                <w:lang w:eastAsia="en-AU"/>
              </w:rPr>
              <w:t>%</w:t>
            </w:r>
          </w:p>
        </w:tc>
        <w:tc>
          <w:tcPr>
            <w:tcW w:w="235" w:type="pct"/>
            <w:tcBorders>
              <w:top w:val="nil"/>
              <w:left w:val="single" w:sz="4" w:space="0" w:color="auto"/>
              <w:bottom w:val="single" w:sz="4" w:space="0" w:color="auto"/>
              <w:right w:val="single" w:sz="4" w:space="0" w:color="auto"/>
            </w:tcBorders>
          </w:tcPr>
          <w:p w14:paraId="7E00A05C" w14:textId="77777777" w:rsidR="003661B0" w:rsidRPr="001743E6" w:rsidRDefault="003661B0" w:rsidP="000850AC">
            <w:pPr>
              <w:pStyle w:val="TableText"/>
              <w:jc w:val="right"/>
              <w:rPr>
                <w:b/>
                <w:lang w:eastAsia="en-AU"/>
              </w:rPr>
            </w:pPr>
            <w:r w:rsidRPr="001743E6">
              <w:rPr>
                <w:b/>
                <w:lang w:eastAsia="en-AU"/>
              </w:rPr>
              <w:t>SE</w:t>
            </w:r>
          </w:p>
        </w:tc>
        <w:tc>
          <w:tcPr>
            <w:tcW w:w="294" w:type="pct"/>
            <w:tcBorders>
              <w:top w:val="nil"/>
              <w:left w:val="single" w:sz="4" w:space="0" w:color="auto"/>
              <w:bottom w:val="single" w:sz="4" w:space="0" w:color="auto"/>
              <w:right w:val="single" w:sz="4" w:space="0" w:color="auto"/>
            </w:tcBorders>
          </w:tcPr>
          <w:p w14:paraId="7914D7A3" w14:textId="77777777" w:rsidR="003661B0" w:rsidRPr="001743E6" w:rsidRDefault="003661B0" w:rsidP="000850AC">
            <w:pPr>
              <w:pStyle w:val="TableText"/>
              <w:jc w:val="right"/>
              <w:rPr>
                <w:b/>
                <w:lang w:eastAsia="en-AU"/>
              </w:rPr>
            </w:pPr>
            <w:r w:rsidRPr="001743E6">
              <w:rPr>
                <w:b/>
                <w:lang w:eastAsia="en-AU"/>
              </w:rPr>
              <w:t>95% CI</w:t>
            </w:r>
          </w:p>
        </w:tc>
        <w:tc>
          <w:tcPr>
            <w:tcW w:w="214" w:type="pct"/>
            <w:tcBorders>
              <w:top w:val="nil"/>
              <w:left w:val="single" w:sz="4" w:space="0" w:color="auto"/>
              <w:bottom w:val="single" w:sz="4" w:space="0" w:color="auto"/>
              <w:right w:val="single" w:sz="4" w:space="0" w:color="auto"/>
            </w:tcBorders>
          </w:tcPr>
          <w:p w14:paraId="2FA18FE9" w14:textId="77777777" w:rsidR="003661B0" w:rsidRPr="001743E6" w:rsidRDefault="003661B0" w:rsidP="000850AC">
            <w:pPr>
              <w:pStyle w:val="TableText"/>
              <w:jc w:val="right"/>
              <w:rPr>
                <w:b/>
                <w:lang w:eastAsia="en-AU"/>
              </w:rPr>
            </w:pPr>
            <w:r w:rsidRPr="001743E6">
              <w:rPr>
                <w:b/>
                <w:lang w:eastAsia="en-AU"/>
              </w:rPr>
              <w:t>%</w:t>
            </w:r>
          </w:p>
        </w:tc>
        <w:tc>
          <w:tcPr>
            <w:tcW w:w="196" w:type="pct"/>
            <w:tcBorders>
              <w:top w:val="nil"/>
              <w:left w:val="single" w:sz="4" w:space="0" w:color="auto"/>
              <w:bottom w:val="single" w:sz="4" w:space="0" w:color="auto"/>
              <w:right w:val="single" w:sz="4" w:space="0" w:color="auto"/>
            </w:tcBorders>
          </w:tcPr>
          <w:p w14:paraId="641AB5AF" w14:textId="77777777" w:rsidR="003661B0" w:rsidRPr="001743E6" w:rsidRDefault="003661B0" w:rsidP="000850AC">
            <w:pPr>
              <w:pStyle w:val="TableText"/>
              <w:jc w:val="right"/>
              <w:rPr>
                <w:b/>
                <w:lang w:eastAsia="en-AU"/>
              </w:rPr>
            </w:pPr>
            <w:r w:rsidRPr="001743E6">
              <w:rPr>
                <w:b/>
                <w:lang w:eastAsia="en-AU"/>
              </w:rPr>
              <w:t>SE</w:t>
            </w:r>
          </w:p>
        </w:tc>
        <w:tc>
          <w:tcPr>
            <w:tcW w:w="326" w:type="pct"/>
            <w:tcBorders>
              <w:top w:val="nil"/>
              <w:left w:val="single" w:sz="4" w:space="0" w:color="auto"/>
              <w:bottom w:val="single" w:sz="4" w:space="0" w:color="auto"/>
              <w:right w:val="single" w:sz="4" w:space="0" w:color="auto"/>
            </w:tcBorders>
          </w:tcPr>
          <w:p w14:paraId="6FB8E4D2" w14:textId="77777777" w:rsidR="003661B0" w:rsidRPr="001743E6" w:rsidRDefault="003661B0" w:rsidP="000850AC">
            <w:pPr>
              <w:pStyle w:val="TableText"/>
              <w:jc w:val="right"/>
              <w:rPr>
                <w:b/>
                <w:lang w:eastAsia="en-AU"/>
              </w:rPr>
            </w:pPr>
            <w:r w:rsidRPr="001743E6">
              <w:rPr>
                <w:b/>
                <w:lang w:eastAsia="en-AU"/>
              </w:rPr>
              <w:t>95% CI</w:t>
            </w:r>
          </w:p>
        </w:tc>
        <w:tc>
          <w:tcPr>
            <w:tcW w:w="221" w:type="pct"/>
            <w:tcBorders>
              <w:top w:val="nil"/>
              <w:left w:val="single" w:sz="4" w:space="0" w:color="auto"/>
              <w:bottom w:val="single" w:sz="4" w:space="0" w:color="auto"/>
              <w:right w:val="single" w:sz="4" w:space="0" w:color="auto"/>
            </w:tcBorders>
          </w:tcPr>
          <w:p w14:paraId="232F3BDC" w14:textId="77777777" w:rsidR="003661B0" w:rsidRPr="001743E6" w:rsidRDefault="003661B0" w:rsidP="000850AC">
            <w:pPr>
              <w:pStyle w:val="TableText"/>
              <w:jc w:val="right"/>
              <w:rPr>
                <w:b/>
                <w:lang w:eastAsia="en-AU"/>
              </w:rPr>
            </w:pPr>
            <w:r w:rsidRPr="001743E6">
              <w:rPr>
                <w:b/>
                <w:lang w:eastAsia="en-AU"/>
              </w:rPr>
              <w:t>%</w:t>
            </w:r>
          </w:p>
        </w:tc>
        <w:tc>
          <w:tcPr>
            <w:tcW w:w="235" w:type="pct"/>
            <w:tcBorders>
              <w:top w:val="nil"/>
              <w:left w:val="single" w:sz="4" w:space="0" w:color="auto"/>
              <w:bottom w:val="single" w:sz="4" w:space="0" w:color="auto"/>
              <w:right w:val="single" w:sz="4" w:space="0" w:color="auto"/>
            </w:tcBorders>
          </w:tcPr>
          <w:p w14:paraId="66182C3B" w14:textId="77777777" w:rsidR="003661B0" w:rsidRPr="001743E6" w:rsidRDefault="003661B0" w:rsidP="000850AC">
            <w:pPr>
              <w:pStyle w:val="TableText"/>
              <w:jc w:val="right"/>
              <w:rPr>
                <w:b/>
                <w:lang w:eastAsia="en-AU"/>
              </w:rPr>
            </w:pPr>
            <w:r w:rsidRPr="001743E6">
              <w:rPr>
                <w:b/>
                <w:lang w:eastAsia="en-AU"/>
              </w:rPr>
              <w:t>SE</w:t>
            </w:r>
          </w:p>
        </w:tc>
        <w:tc>
          <w:tcPr>
            <w:tcW w:w="279" w:type="pct"/>
            <w:tcBorders>
              <w:top w:val="nil"/>
              <w:left w:val="single" w:sz="4" w:space="0" w:color="auto"/>
              <w:bottom w:val="single" w:sz="4" w:space="0" w:color="auto"/>
              <w:right w:val="single" w:sz="4" w:space="0" w:color="auto"/>
            </w:tcBorders>
          </w:tcPr>
          <w:p w14:paraId="4865ADF2" w14:textId="77777777" w:rsidR="003661B0" w:rsidRPr="001743E6" w:rsidRDefault="003661B0" w:rsidP="000850AC">
            <w:pPr>
              <w:pStyle w:val="TableText"/>
              <w:jc w:val="right"/>
              <w:rPr>
                <w:b/>
                <w:lang w:eastAsia="en-AU"/>
              </w:rPr>
            </w:pPr>
            <w:r w:rsidRPr="001743E6">
              <w:rPr>
                <w:b/>
                <w:lang w:eastAsia="en-AU"/>
              </w:rPr>
              <w:t>95% CI</w:t>
            </w:r>
          </w:p>
        </w:tc>
        <w:tc>
          <w:tcPr>
            <w:tcW w:w="229" w:type="pct"/>
            <w:tcBorders>
              <w:top w:val="nil"/>
              <w:left w:val="single" w:sz="4" w:space="0" w:color="auto"/>
              <w:bottom w:val="single" w:sz="4" w:space="0" w:color="auto"/>
              <w:right w:val="single" w:sz="4" w:space="0" w:color="auto"/>
            </w:tcBorders>
          </w:tcPr>
          <w:p w14:paraId="7FCF06EF" w14:textId="77777777" w:rsidR="003661B0" w:rsidRPr="001743E6" w:rsidRDefault="003661B0" w:rsidP="000850AC">
            <w:pPr>
              <w:pStyle w:val="TableText"/>
              <w:jc w:val="right"/>
              <w:rPr>
                <w:b/>
                <w:lang w:eastAsia="en-AU"/>
              </w:rPr>
            </w:pPr>
            <w:r w:rsidRPr="001743E6">
              <w:rPr>
                <w:b/>
                <w:lang w:eastAsia="en-AU"/>
              </w:rPr>
              <w:t>%</w:t>
            </w:r>
          </w:p>
        </w:tc>
        <w:tc>
          <w:tcPr>
            <w:tcW w:w="235" w:type="pct"/>
            <w:tcBorders>
              <w:top w:val="nil"/>
              <w:left w:val="single" w:sz="4" w:space="0" w:color="auto"/>
              <w:bottom w:val="single" w:sz="4" w:space="0" w:color="auto"/>
              <w:right w:val="single" w:sz="4" w:space="0" w:color="auto"/>
            </w:tcBorders>
          </w:tcPr>
          <w:p w14:paraId="4449FFDA" w14:textId="77777777" w:rsidR="003661B0" w:rsidRPr="001743E6" w:rsidRDefault="003661B0" w:rsidP="000850AC">
            <w:pPr>
              <w:pStyle w:val="TableText"/>
              <w:jc w:val="right"/>
              <w:rPr>
                <w:b/>
                <w:lang w:eastAsia="en-AU"/>
              </w:rPr>
            </w:pPr>
            <w:r w:rsidRPr="001743E6">
              <w:rPr>
                <w:b/>
                <w:lang w:eastAsia="en-AU"/>
              </w:rPr>
              <w:t>SE</w:t>
            </w:r>
          </w:p>
        </w:tc>
        <w:tc>
          <w:tcPr>
            <w:tcW w:w="272" w:type="pct"/>
            <w:tcBorders>
              <w:top w:val="nil"/>
              <w:left w:val="single" w:sz="4" w:space="0" w:color="auto"/>
              <w:bottom w:val="single" w:sz="4" w:space="0" w:color="auto"/>
              <w:right w:val="single" w:sz="4" w:space="0" w:color="auto"/>
            </w:tcBorders>
          </w:tcPr>
          <w:p w14:paraId="65E91FF1" w14:textId="77777777" w:rsidR="003661B0" w:rsidRPr="001743E6" w:rsidRDefault="003661B0" w:rsidP="000850AC">
            <w:pPr>
              <w:pStyle w:val="TableText"/>
              <w:jc w:val="right"/>
              <w:rPr>
                <w:b/>
                <w:lang w:eastAsia="en-AU"/>
              </w:rPr>
            </w:pPr>
            <w:r w:rsidRPr="001743E6">
              <w:rPr>
                <w:b/>
                <w:lang w:eastAsia="en-AU"/>
              </w:rPr>
              <w:t>95% CI</w:t>
            </w:r>
          </w:p>
        </w:tc>
        <w:tc>
          <w:tcPr>
            <w:tcW w:w="196" w:type="pct"/>
            <w:tcBorders>
              <w:top w:val="nil"/>
              <w:left w:val="single" w:sz="4" w:space="0" w:color="auto"/>
              <w:bottom w:val="single" w:sz="4" w:space="0" w:color="auto"/>
              <w:right w:val="single" w:sz="4" w:space="0" w:color="auto"/>
            </w:tcBorders>
          </w:tcPr>
          <w:p w14:paraId="3B7B40E9" w14:textId="77777777" w:rsidR="003661B0" w:rsidRPr="001743E6" w:rsidRDefault="003661B0" w:rsidP="000850AC">
            <w:pPr>
              <w:pStyle w:val="TableText"/>
              <w:jc w:val="right"/>
              <w:rPr>
                <w:b/>
                <w:lang w:eastAsia="en-AU"/>
              </w:rPr>
            </w:pPr>
            <w:r w:rsidRPr="001743E6">
              <w:rPr>
                <w:b/>
                <w:lang w:eastAsia="en-AU"/>
              </w:rPr>
              <w:t>%</w:t>
            </w:r>
          </w:p>
        </w:tc>
        <w:tc>
          <w:tcPr>
            <w:tcW w:w="235" w:type="pct"/>
            <w:tcBorders>
              <w:top w:val="nil"/>
              <w:left w:val="single" w:sz="4" w:space="0" w:color="auto"/>
              <w:bottom w:val="single" w:sz="4" w:space="0" w:color="auto"/>
              <w:right w:val="single" w:sz="4" w:space="0" w:color="auto"/>
            </w:tcBorders>
          </w:tcPr>
          <w:p w14:paraId="0275F4C1" w14:textId="77777777" w:rsidR="003661B0" w:rsidRPr="001743E6" w:rsidRDefault="003661B0" w:rsidP="000850AC">
            <w:pPr>
              <w:pStyle w:val="TableText"/>
              <w:jc w:val="right"/>
              <w:rPr>
                <w:b/>
                <w:lang w:eastAsia="en-AU"/>
              </w:rPr>
            </w:pPr>
            <w:r w:rsidRPr="001743E6">
              <w:rPr>
                <w:b/>
                <w:lang w:eastAsia="en-AU"/>
              </w:rPr>
              <w:t>SE</w:t>
            </w:r>
          </w:p>
        </w:tc>
        <w:tc>
          <w:tcPr>
            <w:tcW w:w="299" w:type="pct"/>
            <w:tcBorders>
              <w:top w:val="nil"/>
              <w:left w:val="single" w:sz="4" w:space="0" w:color="auto"/>
              <w:bottom w:val="single" w:sz="4" w:space="0" w:color="auto"/>
              <w:right w:val="single" w:sz="4" w:space="0" w:color="auto"/>
            </w:tcBorders>
          </w:tcPr>
          <w:p w14:paraId="023B35E2" w14:textId="77777777" w:rsidR="003661B0" w:rsidRPr="001743E6" w:rsidRDefault="003661B0" w:rsidP="000850AC">
            <w:pPr>
              <w:pStyle w:val="TableText"/>
              <w:jc w:val="right"/>
              <w:rPr>
                <w:b/>
                <w:lang w:eastAsia="en-AU"/>
              </w:rPr>
            </w:pPr>
            <w:r w:rsidRPr="001743E6">
              <w:rPr>
                <w:b/>
                <w:lang w:eastAsia="en-AU"/>
              </w:rPr>
              <w:t>95% CI</w:t>
            </w:r>
          </w:p>
        </w:tc>
      </w:tr>
      <w:tr w:rsidR="0055539E" w:rsidRPr="003328F3" w14:paraId="66D872D0" w14:textId="77777777" w:rsidTr="0055539E">
        <w:trPr>
          <w:trHeight w:val="20"/>
        </w:trPr>
        <w:tc>
          <w:tcPr>
            <w:tcW w:w="594" w:type="pct"/>
            <w:tcBorders>
              <w:top w:val="single" w:sz="4" w:space="0" w:color="auto"/>
              <w:left w:val="single" w:sz="4" w:space="0" w:color="auto"/>
              <w:bottom w:val="nil"/>
              <w:right w:val="single" w:sz="4" w:space="0" w:color="auto"/>
            </w:tcBorders>
            <w:shd w:val="clear" w:color="auto" w:fill="D4E4FF" w:themeFill="text2" w:themeFillTint="1A"/>
            <w:vAlign w:val="center"/>
          </w:tcPr>
          <w:p w14:paraId="63967E70" w14:textId="77777777" w:rsidR="003661B0" w:rsidRPr="003328F3" w:rsidRDefault="003661B0" w:rsidP="0055539E">
            <w:pPr>
              <w:pStyle w:val="TableText"/>
              <w:rPr>
                <w:rFonts w:eastAsia="GillSans"/>
                <w:lang w:eastAsia="en-AU"/>
              </w:rPr>
            </w:pPr>
            <w:r w:rsidRPr="003328F3">
              <w:t xml:space="preserve">No, do not use </w:t>
            </w:r>
            <w:r>
              <w:t>internet</w:t>
            </w:r>
            <w:r w:rsidRPr="003328F3">
              <w:t xml:space="preserve"> after 11</w:t>
            </w:r>
            <w:r w:rsidR="0055539E">
              <w:t> </w:t>
            </w:r>
            <w:r>
              <w:t>pm.</w:t>
            </w:r>
          </w:p>
        </w:tc>
        <w:tc>
          <w:tcPr>
            <w:tcW w:w="196"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1F7D7ABD" w14:textId="77777777" w:rsidR="003661B0" w:rsidRPr="0055539E" w:rsidRDefault="003661B0" w:rsidP="000850AC">
            <w:pPr>
              <w:pStyle w:val="TableText"/>
              <w:jc w:val="right"/>
              <w:rPr>
                <w:rFonts w:eastAsia="Times New Roman"/>
                <w:color w:val="000000" w:themeColor="text1"/>
                <w:sz w:val="13"/>
                <w:szCs w:val="13"/>
                <w:lang w:eastAsia="en-AU"/>
              </w:rPr>
            </w:pPr>
            <w:r w:rsidRPr="0055539E">
              <w:rPr>
                <w:rFonts w:eastAsia="Times New Roman"/>
                <w:bCs/>
                <w:color w:val="000000" w:themeColor="text1"/>
                <w:sz w:val="13"/>
                <w:szCs w:val="13"/>
              </w:rPr>
              <w:t>54.5</w:t>
            </w:r>
          </w:p>
        </w:tc>
        <w:tc>
          <w:tcPr>
            <w:tcW w:w="236"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2BDA554A" w14:textId="77777777" w:rsidR="003661B0" w:rsidRPr="0055539E" w:rsidRDefault="003661B0" w:rsidP="000850AC">
            <w:pPr>
              <w:pStyle w:val="TableText"/>
              <w:jc w:val="right"/>
              <w:rPr>
                <w:rFonts w:eastAsia="Times New Roman"/>
                <w:color w:val="000000" w:themeColor="text1"/>
                <w:sz w:val="13"/>
                <w:szCs w:val="13"/>
                <w:lang w:eastAsia="en-AU"/>
              </w:rPr>
            </w:pPr>
            <w:r w:rsidRPr="0055539E">
              <w:rPr>
                <w:rFonts w:eastAsia="Times New Roman"/>
                <w:bCs/>
                <w:color w:val="000000" w:themeColor="text1"/>
                <w:sz w:val="13"/>
                <w:szCs w:val="13"/>
              </w:rPr>
              <w:t>5.8</w:t>
            </w:r>
          </w:p>
        </w:tc>
        <w:tc>
          <w:tcPr>
            <w:tcW w:w="302"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7206CD4C"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43.2, 65.4</w:t>
            </w:r>
          </w:p>
        </w:tc>
        <w:tc>
          <w:tcPr>
            <w:tcW w:w="206"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09FEDF83" w14:textId="77777777" w:rsidR="003661B0" w:rsidRPr="0055539E" w:rsidRDefault="003661B0" w:rsidP="000850AC">
            <w:pPr>
              <w:pStyle w:val="TableText"/>
              <w:jc w:val="right"/>
              <w:rPr>
                <w:rFonts w:eastAsia="Times New Roman"/>
                <w:bCs/>
                <w:color w:val="000000" w:themeColor="text1"/>
                <w:sz w:val="13"/>
                <w:szCs w:val="13"/>
              </w:rPr>
            </w:pPr>
            <w:r w:rsidRPr="0055539E">
              <w:rPr>
                <w:rFonts w:eastAsia="Times New Roman"/>
                <w:bCs/>
                <w:color w:val="000000" w:themeColor="text1"/>
                <w:sz w:val="13"/>
                <w:szCs w:val="13"/>
              </w:rPr>
              <w:t>36.7</w:t>
            </w:r>
          </w:p>
        </w:tc>
        <w:tc>
          <w:tcPr>
            <w:tcW w:w="235"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11D164A8" w14:textId="77777777" w:rsidR="003661B0" w:rsidRPr="0055539E" w:rsidRDefault="003661B0" w:rsidP="000850AC">
            <w:pPr>
              <w:pStyle w:val="TableText"/>
              <w:jc w:val="right"/>
              <w:rPr>
                <w:rFonts w:eastAsia="Times New Roman"/>
                <w:bCs/>
                <w:color w:val="000000" w:themeColor="text1"/>
                <w:sz w:val="13"/>
                <w:szCs w:val="13"/>
              </w:rPr>
            </w:pPr>
            <w:r w:rsidRPr="0055539E">
              <w:rPr>
                <w:rFonts w:eastAsia="Times New Roman"/>
                <w:bCs/>
                <w:color w:val="000000" w:themeColor="text1"/>
                <w:sz w:val="13"/>
                <w:szCs w:val="13"/>
              </w:rPr>
              <w:t>3.2</w:t>
            </w:r>
          </w:p>
        </w:tc>
        <w:tc>
          <w:tcPr>
            <w:tcW w:w="294"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290F401F" w14:textId="77777777" w:rsidR="003661B0" w:rsidRPr="0055539E" w:rsidRDefault="003661B0" w:rsidP="000850AC">
            <w:pPr>
              <w:pStyle w:val="TableText"/>
              <w:jc w:val="right"/>
              <w:rPr>
                <w:rFonts w:eastAsia="Times New Roman"/>
                <w:bCs/>
                <w:color w:val="000000" w:themeColor="text1"/>
                <w:sz w:val="13"/>
                <w:szCs w:val="13"/>
              </w:rPr>
            </w:pPr>
            <w:r w:rsidRPr="0055539E">
              <w:rPr>
                <w:rFonts w:eastAsia="Times New Roman"/>
                <w:bCs/>
                <w:color w:val="000000" w:themeColor="text1"/>
                <w:sz w:val="13"/>
                <w:szCs w:val="13"/>
              </w:rPr>
              <w:t>30.5, 42.9</w:t>
            </w:r>
          </w:p>
        </w:tc>
        <w:tc>
          <w:tcPr>
            <w:tcW w:w="214"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491BBCDA"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17.8</w:t>
            </w:r>
          </w:p>
        </w:tc>
        <w:tc>
          <w:tcPr>
            <w:tcW w:w="196"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4828DDFF"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6.6</w:t>
            </w:r>
          </w:p>
        </w:tc>
        <w:tc>
          <w:tcPr>
            <w:tcW w:w="326"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62D96191"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4.9, 30.7</w:t>
            </w:r>
          </w:p>
        </w:tc>
        <w:tc>
          <w:tcPr>
            <w:tcW w:w="221"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4880E106"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48.7</w:t>
            </w:r>
          </w:p>
        </w:tc>
        <w:tc>
          <w:tcPr>
            <w:tcW w:w="235"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13458BDC"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5.9</w:t>
            </w:r>
          </w:p>
        </w:tc>
        <w:tc>
          <w:tcPr>
            <w:tcW w:w="279"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6E1320E1"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37.5, 60.2</w:t>
            </w:r>
          </w:p>
        </w:tc>
        <w:tc>
          <w:tcPr>
            <w:tcW w:w="229"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6EE14D26" w14:textId="77777777" w:rsidR="003661B0" w:rsidRPr="0055539E" w:rsidRDefault="003661B0" w:rsidP="000850AC">
            <w:pPr>
              <w:pStyle w:val="TableText"/>
              <w:jc w:val="right"/>
              <w:rPr>
                <w:bCs/>
                <w:color w:val="000000" w:themeColor="text1"/>
                <w:sz w:val="13"/>
                <w:szCs w:val="13"/>
              </w:rPr>
            </w:pPr>
            <w:r w:rsidRPr="0055539E">
              <w:rPr>
                <w:bCs/>
                <w:color w:val="000000" w:themeColor="text1"/>
                <w:sz w:val="13"/>
                <w:szCs w:val="13"/>
              </w:rPr>
              <w:t>28.3</w:t>
            </w:r>
          </w:p>
        </w:tc>
        <w:tc>
          <w:tcPr>
            <w:tcW w:w="235"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54599CEB"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3.7</w:t>
            </w:r>
          </w:p>
        </w:tc>
        <w:tc>
          <w:tcPr>
            <w:tcW w:w="272"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0CE5D5CA"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21.2, 35.5</w:t>
            </w:r>
          </w:p>
        </w:tc>
        <w:tc>
          <w:tcPr>
            <w:tcW w:w="196"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684767DE"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20.4</w:t>
            </w:r>
          </w:p>
        </w:tc>
        <w:tc>
          <w:tcPr>
            <w:tcW w:w="235"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1668A66A"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6.9</w:t>
            </w:r>
          </w:p>
        </w:tc>
        <w:tc>
          <w:tcPr>
            <w:tcW w:w="299" w:type="pct"/>
            <w:tcBorders>
              <w:top w:val="single" w:sz="4" w:space="0" w:color="auto"/>
              <w:left w:val="single" w:sz="4" w:space="0" w:color="auto"/>
              <w:bottom w:val="nil"/>
              <w:right w:val="single" w:sz="4" w:space="0" w:color="auto"/>
            </w:tcBorders>
            <w:shd w:val="clear" w:color="auto" w:fill="D4E4FF" w:themeFill="text2" w:themeFillTint="1A"/>
            <w:tcMar>
              <w:left w:w="72" w:type="dxa"/>
              <w:right w:w="72" w:type="dxa"/>
            </w:tcMar>
          </w:tcPr>
          <w:p w14:paraId="47C4E029"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6.8, 34.0</w:t>
            </w:r>
          </w:p>
        </w:tc>
      </w:tr>
      <w:tr w:rsidR="0055539E" w:rsidRPr="003328F3" w14:paraId="1B6A9BF4" w14:textId="77777777" w:rsidTr="0055539E">
        <w:trPr>
          <w:trHeight w:val="20"/>
        </w:trPr>
        <w:tc>
          <w:tcPr>
            <w:tcW w:w="594" w:type="pct"/>
            <w:tcBorders>
              <w:top w:val="nil"/>
              <w:left w:val="single" w:sz="4" w:space="0" w:color="auto"/>
              <w:bottom w:val="nil"/>
              <w:right w:val="single" w:sz="4" w:space="0" w:color="auto"/>
            </w:tcBorders>
            <w:vAlign w:val="center"/>
          </w:tcPr>
          <w:p w14:paraId="18B98150" w14:textId="77777777" w:rsidR="003661B0" w:rsidRPr="003328F3" w:rsidRDefault="003661B0" w:rsidP="000850AC">
            <w:pPr>
              <w:pStyle w:val="TableText"/>
              <w:rPr>
                <w:rFonts w:eastAsia="GillSans"/>
                <w:lang w:eastAsia="en-AU"/>
              </w:rPr>
            </w:pPr>
            <w:r w:rsidRPr="003328F3">
              <w:t xml:space="preserve">Yes, use </w:t>
            </w:r>
            <w:r>
              <w:t>internet after 11 pm.</w:t>
            </w:r>
          </w:p>
        </w:tc>
        <w:tc>
          <w:tcPr>
            <w:tcW w:w="196" w:type="pct"/>
            <w:tcBorders>
              <w:top w:val="nil"/>
              <w:left w:val="single" w:sz="4" w:space="0" w:color="auto"/>
              <w:bottom w:val="nil"/>
              <w:right w:val="single" w:sz="4" w:space="0" w:color="auto"/>
            </w:tcBorders>
            <w:tcMar>
              <w:left w:w="72" w:type="dxa"/>
              <w:right w:w="72" w:type="dxa"/>
            </w:tcMar>
          </w:tcPr>
          <w:p w14:paraId="1FA2952F" w14:textId="77777777" w:rsidR="003661B0" w:rsidRPr="0055539E" w:rsidRDefault="003661B0" w:rsidP="000850AC">
            <w:pPr>
              <w:pStyle w:val="TableText"/>
              <w:jc w:val="right"/>
              <w:rPr>
                <w:rFonts w:eastAsia="Times New Roman"/>
                <w:color w:val="000000" w:themeColor="text1"/>
                <w:sz w:val="13"/>
                <w:szCs w:val="13"/>
                <w:lang w:eastAsia="en-AU"/>
              </w:rPr>
            </w:pPr>
            <w:r w:rsidRPr="0055539E">
              <w:rPr>
                <w:rFonts w:eastAsia="Times New Roman"/>
                <w:bCs/>
                <w:color w:val="000000" w:themeColor="text1"/>
                <w:sz w:val="13"/>
                <w:szCs w:val="13"/>
              </w:rPr>
              <w:t>43.7</w:t>
            </w:r>
          </w:p>
        </w:tc>
        <w:tc>
          <w:tcPr>
            <w:tcW w:w="236" w:type="pct"/>
            <w:tcBorders>
              <w:top w:val="nil"/>
              <w:left w:val="single" w:sz="4" w:space="0" w:color="auto"/>
              <w:bottom w:val="nil"/>
              <w:right w:val="single" w:sz="4" w:space="0" w:color="auto"/>
            </w:tcBorders>
            <w:tcMar>
              <w:left w:w="72" w:type="dxa"/>
              <w:right w:w="72" w:type="dxa"/>
            </w:tcMar>
          </w:tcPr>
          <w:p w14:paraId="3B41EB9D" w14:textId="77777777" w:rsidR="003661B0" w:rsidRPr="0055539E" w:rsidRDefault="003661B0" w:rsidP="000850AC">
            <w:pPr>
              <w:pStyle w:val="TableText"/>
              <w:jc w:val="right"/>
              <w:rPr>
                <w:rFonts w:eastAsia="Times New Roman"/>
                <w:color w:val="000000" w:themeColor="text1"/>
                <w:sz w:val="13"/>
                <w:szCs w:val="13"/>
                <w:lang w:eastAsia="en-AU"/>
              </w:rPr>
            </w:pPr>
            <w:r w:rsidRPr="0055539E">
              <w:rPr>
                <w:rFonts w:eastAsia="Times New Roman"/>
                <w:bCs/>
                <w:color w:val="000000" w:themeColor="text1"/>
                <w:sz w:val="13"/>
                <w:szCs w:val="13"/>
              </w:rPr>
              <w:t>5.7</w:t>
            </w:r>
          </w:p>
        </w:tc>
        <w:tc>
          <w:tcPr>
            <w:tcW w:w="302" w:type="pct"/>
            <w:tcBorders>
              <w:top w:val="nil"/>
              <w:left w:val="single" w:sz="4" w:space="0" w:color="auto"/>
              <w:bottom w:val="nil"/>
              <w:right w:val="single" w:sz="4" w:space="0" w:color="auto"/>
            </w:tcBorders>
            <w:tcMar>
              <w:left w:w="72" w:type="dxa"/>
              <w:right w:w="72" w:type="dxa"/>
            </w:tcMar>
          </w:tcPr>
          <w:p w14:paraId="6AF8C112"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33.0, 55.1</w:t>
            </w:r>
          </w:p>
        </w:tc>
        <w:tc>
          <w:tcPr>
            <w:tcW w:w="206" w:type="pct"/>
            <w:tcBorders>
              <w:top w:val="nil"/>
              <w:left w:val="single" w:sz="4" w:space="0" w:color="auto"/>
              <w:bottom w:val="nil"/>
              <w:right w:val="single" w:sz="4" w:space="0" w:color="auto"/>
            </w:tcBorders>
            <w:tcMar>
              <w:left w:w="72" w:type="dxa"/>
              <w:right w:w="72" w:type="dxa"/>
            </w:tcMar>
          </w:tcPr>
          <w:p w14:paraId="6413C3FA" w14:textId="77777777" w:rsidR="003661B0" w:rsidRPr="0055539E" w:rsidRDefault="003661B0" w:rsidP="000850AC">
            <w:pPr>
              <w:pStyle w:val="TableText"/>
              <w:jc w:val="right"/>
              <w:rPr>
                <w:bCs/>
                <w:color w:val="000000" w:themeColor="text1"/>
                <w:sz w:val="13"/>
                <w:szCs w:val="13"/>
              </w:rPr>
            </w:pPr>
            <w:r w:rsidRPr="0055539E">
              <w:rPr>
                <w:bCs/>
                <w:color w:val="000000" w:themeColor="text1"/>
                <w:sz w:val="13"/>
                <w:szCs w:val="13"/>
              </w:rPr>
              <w:t>62.4</w:t>
            </w:r>
          </w:p>
        </w:tc>
        <w:tc>
          <w:tcPr>
            <w:tcW w:w="235" w:type="pct"/>
            <w:tcBorders>
              <w:top w:val="nil"/>
              <w:left w:val="single" w:sz="4" w:space="0" w:color="auto"/>
              <w:bottom w:val="nil"/>
              <w:right w:val="single" w:sz="4" w:space="0" w:color="auto"/>
            </w:tcBorders>
            <w:tcMar>
              <w:left w:w="72" w:type="dxa"/>
              <w:right w:w="72" w:type="dxa"/>
            </w:tcMar>
          </w:tcPr>
          <w:p w14:paraId="65523226"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3.2</w:t>
            </w:r>
          </w:p>
        </w:tc>
        <w:tc>
          <w:tcPr>
            <w:tcW w:w="294" w:type="pct"/>
            <w:tcBorders>
              <w:top w:val="nil"/>
              <w:left w:val="single" w:sz="4" w:space="0" w:color="auto"/>
              <w:bottom w:val="nil"/>
              <w:right w:val="single" w:sz="4" w:space="0" w:color="auto"/>
            </w:tcBorders>
            <w:tcMar>
              <w:left w:w="72" w:type="dxa"/>
              <w:right w:w="72" w:type="dxa"/>
            </w:tcMar>
          </w:tcPr>
          <w:p w14:paraId="1D5ABDF7"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56.1, 68.6</w:t>
            </w:r>
          </w:p>
        </w:tc>
        <w:tc>
          <w:tcPr>
            <w:tcW w:w="214" w:type="pct"/>
            <w:tcBorders>
              <w:top w:val="nil"/>
              <w:left w:val="single" w:sz="4" w:space="0" w:color="auto"/>
              <w:bottom w:val="nil"/>
              <w:right w:val="single" w:sz="4" w:space="0" w:color="auto"/>
            </w:tcBorders>
            <w:tcMar>
              <w:left w:w="72" w:type="dxa"/>
              <w:right w:w="72" w:type="dxa"/>
            </w:tcMar>
          </w:tcPr>
          <w:p w14:paraId="3D365E42"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–18.6</w:t>
            </w:r>
          </w:p>
        </w:tc>
        <w:tc>
          <w:tcPr>
            <w:tcW w:w="196" w:type="pct"/>
            <w:tcBorders>
              <w:top w:val="nil"/>
              <w:left w:val="single" w:sz="4" w:space="0" w:color="auto"/>
              <w:bottom w:val="nil"/>
              <w:right w:val="single" w:sz="4" w:space="0" w:color="auto"/>
            </w:tcBorders>
            <w:tcMar>
              <w:left w:w="72" w:type="dxa"/>
              <w:right w:w="72" w:type="dxa"/>
            </w:tcMar>
          </w:tcPr>
          <w:p w14:paraId="69CAE649"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6.6</w:t>
            </w:r>
          </w:p>
        </w:tc>
        <w:tc>
          <w:tcPr>
            <w:tcW w:w="326" w:type="pct"/>
            <w:tcBorders>
              <w:top w:val="nil"/>
              <w:left w:val="single" w:sz="4" w:space="0" w:color="auto"/>
              <w:bottom w:val="nil"/>
              <w:right w:val="single" w:sz="4" w:space="0" w:color="auto"/>
            </w:tcBorders>
            <w:tcMar>
              <w:left w:w="72" w:type="dxa"/>
              <w:right w:w="72" w:type="dxa"/>
            </w:tcMar>
          </w:tcPr>
          <w:p w14:paraId="27F17655"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–31.5, –5.8</w:t>
            </w:r>
          </w:p>
        </w:tc>
        <w:tc>
          <w:tcPr>
            <w:tcW w:w="221" w:type="pct"/>
            <w:tcBorders>
              <w:top w:val="nil"/>
              <w:left w:val="single" w:sz="4" w:space="0" w:color="auto"/>
              <w:bottom w:val="nil"/>
              <w:right w:val="single" w:sz="4" w:space="0" w:color="auto"/>
            </w:tcBorders>
            <w:tcMar>
              <w:left w:w="72" w:type="dxa"/>
              <w:right w:w="72" w:type="dxa"/>
            </w:tcMar>
          </w:tcPr>
          <w:p w14:paraId="75555F5C"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50.1</w:t>
            </w:r>
          </w:p>
        </w:tc>
        <w:tc>
          <w:tcPr>
            <w:tcW w:w="235" w:type="pct"/>
            <w:tcBorders>
              <w:top w:val="nil"/>
              <w:left w:val="single" w:sz="4" w:space="0" w:color="auto"/>
              <w:bottom w:val="nil"/>
              <w:right w:val="single" w:sz="4" w:space="0" w:color="auto"/>
            </w:tcBorders>
            <w:tcMar>
              <w:left w:w="72" w:type="dxa"/>
              <w:right w:w="72" w:type="dxa"/>
            </w:tcMar>
          </w:tcPr>
          <w:p w14:paraId="67384D5F"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5.9</w:t>
            </w:r>
          </w:p>
        </w:tc>
        <w:tc>
          <w:tcPr>
            <w:tcW w:w="279" w:type="pct"/>
            <w:tcBorders>
              <w:top w:val="nil"/>
              <w:left w:val="single" w:sz="4" w:space="0" w:color="auto"/>
              <w:bottom w:val="nil"/>
              <w:right w:val="single" w:sz="4" w:space="0" w:color="auto"/>
            </w:tcBorders>
            <w:tcMar>
              <w:left w:w="72" w:type="dxa"/>
              <w:right w:w="72" w:type="dxa"/>
            </w:tcMar>
          </w:tcPr>
          <w:p w14:paraId="75FD2693"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38.7, 61.5</w:t>
            </w:r>
          </w:p>
        </w:tc>
        <w:tc>
          <w:tcPr>
            <w:tcW w:w="229" w:type="pct"/>
            <w:tcBorders>
              <w:top w:val="nil"/>
              <w:left w:val="single" w:sz="4" w:space="0" w:color="auto"/>
              <w:bottom w:val="nil"/>
              <w:right w:val="single" w:sz="4" w:space="0" w:color="auto"/>
            </w:tcBorders>
            <w:tcMar>
              <w:left w:w="72" w:type="dxa"/>
              <w:right w:w="72" w:type="dxa"/>
            </w:tcMar>
          </w:tcPr>
          <w:p w14:paraId="0BBDD948" w14:textId="77777777" w:rsidR="003661B0" w:rsidRPr="0055539E" w:rsidRDefault="003661B0" w:rsidP="000850AC">
            <w:pPr>
              <w:pStyle w:val="TableText"/>
              <w:jc w:val="right"/>
              <w:rPr>
                <w:bCs/>
                <w:color w:val="000000" w:themeColor="text1"/>
                <w:sz w:val="13"/>
                <w:szCs w:val="13"/>
              </w:rPr>
            </w:pPr>
            <w:r w:rsidRPr="0055539E">
              <w:rPr>
                <w:bCs/>
                <w:color w:val="000000" w:themeColor="text1"/>
                <w:sz w:val="13"/>
                <w:szCs w:val="13"/>
              </w:rPr>
              <w:t>70.7</w:t>
            </w:r>
          </w:p>
        </w:tc>
        <w:tc>
          <w:tcPr>
            <w:tcW w:w="235" w:type="pct"/>
            <w:tcBorders>
              <w:top w:val="nil"/>
              <w:left w:val="single" w:sz="4" w:space="0" w:color="auto"/>
              <w:bottom w:val="nil"/>
              <w:right w:val="single" w:sz="4" w:space="0" w:color="auto"/>
            </w:tcBorders>
            <w:tcMar>
              <w:left w:w="72" w:type="dxa"/>
              <w:right w:w="72" w:type="dxa"/>
            </w:tcMar>
          </w:tcPr>
          <w:p w14:paraId="0D4546A6"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3.7</w:t>
            </w:r>
          </w:p>
        </w:tc>
        <w:tc>
          <w:tcPr>
            <w:tcW w:w="272" w:type="pct"/>
            <w:tcBorders>
              <w:top w:val="nil"/>
              <w:left w:val="single" w:sz="4" w:space="0" w:color="auto"/>
              <w:bottom w:val="nil"/>
              <w:right w:val="single" w:sz="4" w:space="0" w:color="auto"/>
            </w:tcBorders>
            <w:tcMar>
              <w:left w:w="72" w:type="dxa"/>
              <w:right w:w="72" w:type="dxa"/>
            </w:tcMar>
          </w:tcPr>
          <w:p w14:paraId="35B3F737"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63.5, 77.8</w:t>
            </w:r>
          </w:p>
        </w:tc>
        <w:tc>
          <w:tcPr>
            <w:tcW w:w="196" w:type="pct"/>
            <w:tcBorders>
              <w:top w:val="nil"/>
              <w:left w:val="single" w:sz="4" w:space="0" w:color="auto"/>
              <w:bottom w:val="nil"/>
              <w:right w:val="single" w:sz="4" w:space="0" w:color="auto"/>
            </w:tcBorders>
            <w:tcMar>
              <w:left w:w="72" w:type="dxa"/>
              <w:right w:w="72" w:type="dxa"/>
            </w:tcMar>
          </w:tcPr>
          <w:p w14:paraId="541FD990"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–20.6</w:t>
            </w:r>
          </w:p>
        </w:tc>
        <w:tc>
          <w:tcPr>
            <w:tcW w:w="235" w:type="pct"/>
            <w:tcBorders>
              <w:top w:val="nil"/>
              <w:left w:val="single" w:sz="4" w:space="0" w:color="auto"/>
              <w:bottom w:val="nil"/>
              <w:right w:val="single" w:sz="4" w:space="0" w:color="auto"/>
            </w:tcBorders>
            <w:tcMar>
              <w:left w:w="72" w:type="dxa"/>
              <w:right w:w="72" w:type="dxa"/>
            </w:tcMar>
          </w:tcPr>
          <w:p w14:paraId="64EA4852"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6.9</w:t>
            </w:r>
          </w:p>
        </w:tc>
        <w:tc>
          <w:tcPr>
            <w:tcW w:w="299" w:type="pct"/>
            <w:tcBorders>
              <w:top w:val="nil"/>
              <w:left w:val="single" w:sz="4" w:space="0" w:color="auto"/>
              <w:bottom w:val="nil"/>
              <w:right w:val="single" w:sz="4" w:space="0" w:color="auto"/>
            </w:tcBorders>
            <w:tcMar>
              <w:left w:w="72" w:type="dxa"/>
              <w:right w:w="72" w:type="dxa"/>
            </w:tcMar>
          </w:tcPr>
          <w:p w14:paraId="0AE557EB"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–34.2, –7.0</w:t>
            </w:r>
          </w:p>
        </w:tc>
      </w:tr>
      <w:tr w:rsidR="0055539E" w:rsidRPr="003328F3" w14:paraId="249D6B45" w14:textId="77777777" w:rsidTr="0055539E">
        <w:trPr>
          <w:trHeight w:val="20"/>
        </w:trPr>
        <w:tc>
          <w:tcPr>
            <w:tcW w:w="594" w:type="pct"/>
            <w:tcBorders>
              <w:top w:val="nil"/>
              <w:left w:val="single" w:sz="4" w:space="0" w:color="auto"/>
              <w:bottom w:val="single" w:sz="4" w:space="0" w:color="auto"/>
              <w:right w:val="single" w:sz="4" w:space="0" w:color="auto"/>
            </w:tcBorders>
            <w:shd w:val="clear" w:color="auto" w:fill="D4E4FF" w:themeFill="text2" w:themeFillTint="1A"/>
            <w:vAlign w:val="center"/>
          </w:tcPr>
          <w:p w14:paraId="63EDA15A" w14:textId="77777777" w:rsidR="003661B0" w:rsidRPr="003328F3" w:rsidRDefault="003661B0" w:rsidP="000850AC">
            <w:pPr>
              <w:pStyle w:val="TableText"/>
              <w:rPr>
                <w:rFonts w:eastAsia="GillSans"/>
                <w:lang w:eastAsia="en-AU"/>
              </w:rPr>
            </w:pPr>
            <w:r w:rsidRPr="003328F3">
              <w:t>Don’t know</w:t>
            </w:r>
            <w:r>
              <w:rPr>
                <w:vertAlign w:val="superscript"/>
              </w:rPr>
              <w:t>*</w:t>
            </w:r>
          </w:p>
        </w:tc>
        <w:tc>
          <w:tcPr>
            <w:tcW w:w="196"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2E53DF00" w14:textId="77777777" w:rsidR="003661B0" w:rsidRPr="0055539E" w:rsidRDefault="003661B0" w:rsidP="000850AC">
            <w:pPr>
              <w:pStyle w:val="TableText"/>
              <w:jc w:val="right"/>
              <w:rPr>
                <w:rFonts w:eastAsia="Times New Roman"/>
                <w:color w:val="000000" w:themeColor="text1"/>
                <w:sz w:val="13"/>
                <w:szCs w:val="13"/>
                <w:lang w:eastAsia="en-AU"/>
              </w:rPr>
            </w:pPr>
            <w:r w:rsidRPr="0055539E">
              <w:rPr>
                <w:rFonts w:eastAsia="Times New Roman"/>
                <w:color w:val="000000" w:themeColor="text1"/>
                <w:sz w:val="13"/>
                <w:szCs w:val="13"/>
                <w:lang w:eastAsia="en-AU"/>
              </w:rPr>
              <w:t>0.0</w:t>
            </w:r>
          </w:p>
        </w:tc>
        <w:tc>
          <w:tcPr>
            <w:tcW w:w="236"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629ECCA7" w14:textId="77777777" w:rsidR="003661B0" w:rsidRPr="0055539E" w:rsidRDefault="003661B0" w:rsidP="000850AC">
            <w:pPr>
              <w:pStyle w:val="TableText"/>
              <w:jc w:val="right"/>
              <w:rPr>
                <w:rFonts w:eastAsia="Times New Roman"/>
                <w:color w:val="000000" w:themeColor="text1"/>
                <w:sz w:val="13"/>
                <w:szCs w:val="13"/>
                <w:lang w:eastAsia="en-AU"/>
              </w:rPr>
            </w:pPr>
            <w:r w:rsidRPr="0055539E">
              <w:rPr>
                <w:rFonts w:eastAsia="Times New Roman"/>
                <w:color w:val="000000" w:themeColor="text1"/>
                <w:sz w:val="13"/>
                <w:szCs w:val="13"/>
                <w:lang w:eastAsia="en-AU"/>
              </w:rPr>
              <w:t>0.0</w:t>
            </w:r>
          </w:p>
        </w:tc>
        <w:tc>
          <w:tcPr>
            <w:tcW w:w="302"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011E11B7" w14:textId="77777777" w:rsidR="003661B0" w:rsidRPr="0055539E" w:rsidRDefault="003661B0" w:rsidP="000850AC">
            <w:pPr>
              <w:pStyle w:val="TableText"/>
              <w:jc w:val="right"/>
              <w:rPr>
                <w:bCs/>
                <w:color w:val="000000" w:themeColor="text1"/>
                <w:sz w:val="13"/>
                <w:szCs w:val="13"/>
              </w:rPr>
            </w:pPr>
            <w:r w:rsidRPr="0055539E">
              <w:rPr>
                <w:bCs/>
                <w:color w:val="000000" w:themeColor="text1"/>
                <w:sz w:val="13"/>
                <w:szCs w:val="13"/>
              </w:rPr>
              <w:t>0.0, 0.0</w:t>
            </w:r>
          </w:p>
        </w:tc>
        <w:tc>
          <w:tcPr>
            <w:tcW w:w="206"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799A544C" w14:textId="77777777" w:rsidR="003661B0" w:rsidRPr="0055539E" w:rsidRDefault="003661B0" w:rsidP="000850AC">
            <w:pPr>
              <w:pStyle w:val="TableText"/>
              <w:jc w:val="right"/>
              <w:rPr>
                <w:bCs/>
                <w:color w:val="000000" w:themeColor="text1"/>
                <w:sz w:val="13"/>
                <w:szCs w:val="13"/>
              </w:rPr>
            </w:pPr>
            <w:r w:rsidRPr="0055539E">
              <w:rPr>
                <w:rFonts w:eastAsia="Times New Roman"/>
                <w:color w:val="000000" w:themeColor="text1"/>
                <w:sz w:val="13"/>
                <w:szCs w:val="13"/>
                <w:lang w:eastAsia="en-AU"/>
              </w:rPr>
              <w:t>0.0</w:t>
            </w:r>
          </w:p>
        </w:tc>
        <w:tc>
          <w:tcPr>
            <w:tcW w:w="235"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30A0D801" w14:textId="77777777" w:rsidR="003661B0" w:rsidRPr="0055539E" w:rsidRDefault="003661B0" w:rsidP="000850AC">
            <w:pPr>
              <w:pStyle w:val="TableText"/>
              <w:jc w:val="right"/>
              <w:rPr>
                <w:bCs/>
                <w:color w:val="000000" w:themeColor="text1"/>
                <w:sz w:val="13"/>
                <w:szCs w:val="13"/>
              </w:rPr>
            </w:pPr>
            <w:r w:rsidRPr="0055539E">
              <w:rPr>
                <w:rFonts w:eastAsia="Times New Roman"/>
                <w:color w:val="000000" w:themeColor="text1"/>
                <w:sz w:val="13"/>
                <w:szCs w:val="13"/>
                <w:lang w:eastAsia="en-AU"/>
              </w:rPr>
              <w:t>0.0</w:t>
            </w:r>
          </w:p>
        </w:tc>
        <w:tc>
          <w:tcPr>
            <w:tcW w:w="294"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258B6F10" w14:textId="77777777" w:rsidR="003661B0" w:rsidRPr="0055539E" w:rsidRDefault="003661B0" w:rsidP="000850AC">
            <w:pPr>
              <w:pStyle w:val="TableText"/>
              <w:jc w:val="right"/>
              <w:rPr>
                <w:bCs/>
                <w:color w:val="000000" w:themeColor="text1"/>
                <w:sz w:val="13"/>
                <w:szCs w:val="13"/>
              </w:rPr>
            </w:pPr>
            <w:r w:rsidRPr="0055539E">
              <w:rPr>
                <w:bCs/>
                <w:color w:val="000000" w:themeColor="text1"/>
                <w:sz w:val="13"/>
                <w:szCs w:val="13"/>
              </w:rPr>
              <w:t>0.0, 0.0</w:t>
            </w:r>
          </w:p>
        </w:tc>
        <w:tc>
          <w:tcPr>
            <w:tcW w:w="214"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71308456" w14:textId="77777777" w:rsidR="003661B0" w:rsidRPr="0055539E" w:rsidRDefault="003661B0" w:rsidP="000850AC">
            <w:pPr>
              <w:pStyle w:val="TableText"/>
              <w:jc w:val="right"/>
              <w:rPr>
                <w:bCs/>
                <w:color w:val="000000" w:themeColor="text1"/>
                <w:sz w:val="13"/>
                <w:szCs w:val="13"/>
              </w:rPr>
            </w:pPr>
            <w:r w:rsidRPr="0055539E">
              <w:rPr>
                <w:rFonts w:eastAsia="Times New Roman"/>
                <w:color w:val="000000" w:themeColor="text1"/>
                <w:sz w:val="13"/>
                <w:szCs w:val="13"/>
                <w:lang w:eastAsia="en-AU"/>
              </w:rPr>
              <w:t>0.0</w:t>
            </w:r>
          </w:p>
        </w:tc>
        <w:tc>
          <w:tcPr>
            <w:tcW w:w="196"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6D51DB0A" w14:textId="77777777" w:rsidR="003661B0" w:rsidRPr="0055539E" w:rsidRDefault="003661B0" w:rsidP="000850AC">
            <w:pPr>
              <w:pStyle w:val="TableText"/>
              <w:jc w:val="right"/>
              <w:rPr>
                <w:bCs/>
                <w:color w:val="000000" w:themeColor="text1"/>
                <w:sz w:val="13"/>
                <w:szCs w:val="13"/>
              </w:rPr>
            </w:pPr>
            <w:r w:rsidRPr="0055539E">
              <w:rPr>
                <w:rFonts w:eastAsia="Times New Roman"/>
                <w:color w:val="000000" w:themeColor="text1"/>
                <w:sz w:val="13"/>
                <w:szCs w:val="13"/>
                <w:lang w:eastAsia="en-AU"/>
              </w:rPr>
              <w:t>0.0</w:t>
            </w:r>
          </w:p>
        </w:tc>
        <w:tc>
          <w:tcPr>
            <w:tcW w:w="326"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784CFBF3" w14:textId="77777777" w:rsidR="003661B0" w:rsidRPr="0055539E" w:rsidRDefault="003661B0" w:rsidP="000850AC">
            <w:pPr>
              <w:pStyle w:val="TableText"/>
              <w:jc w:val="right"/>
              <w:rPr>
                <w:bCs/>
                <w:color w:val="000000" w:themeColor="text1"/>
                <w:sz w:val="13"/>
                <w:szCs w:val="13"/>
              </w:rPr>
            </w:pPr>
            <w:r w:rsidRPr="0055539E">
              <w:rPr>
                <w:bCs/>
                <w:color w:val="000000" w:themeColor="text1"/>
                <w:sz w:val="13"/>
                <w:szCs w:val="13"/>
              </w:rPr>
              <w:t>0.0, 0.0</w:t>
            </w:r>
          </w:p>
        </w:tc>
        <w:tc>
          <w:tcPr>
            <w:tcW w:w="221"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3C6A9A14" w14:textId="77777777" w:rsidR="003661B0" w:rsidRPr="0055539E" w:rsidRDefault="003661B0" w:rsidP="000850AC">
            <w:pPr>
              <w:pStyle w:val="TableText"/>
              <w:jc w:val="right"/>
              <w:rPr>
                <w:bCs/>
                <w:color w:val="000000" w:themeColor="text1"/>
                <w:sz w:val="13"/>
                <w:szCs w:val="13"/>
              </w:rPr>
            </w:pPr>
            <w:r w:rsidRPr="0055539E">
              <w:rPr>
                <w:rFonts w:eastAsia="Times New Roman"/>
                <w:color w:val="000000" w:themeColor="text1"/>
                <w:sz w:val="13"/>
                <w:szCs w:val="13"/>
                <w:lang w:eastAsia="en-AU"/>
              </w:rPr>
              <w:t>0.0</w:t>
            </w:r>
          </w:p>
        </w:tc>
        <w:tc>
          <w:tcPr>
            <w:tcW w:w="235"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60A5D465" w14:textId="77777777" w:rsidR="003661B0" w:rsidRPr="0055539E" w:rsidRDefault="003661B0" w:rsidP="000850AC">
            <w:pPr>
              <w:pStyle w:val="TableText"/>
              <w:jc w:val="right"/>
              <w:rPr>
                <w:bCs/>
                <w:color w:val="000000" w:themeColor="text1"/>
                <w:sz w:val="13"/>
                <w:szCs w:val="13"/>
              </w:rPr>
            </w:pPr>
            <w:r w:rsidRPr="0055539E">
              <w:rPr>
                <w:rFonts w:eastAsia="Times New Roman"/>
                <w:color w:val="000000" w:themeColor="text1"/>
                <w:sz w:val="13"/>
                <w:szCs w:val="13"/>
                <w:lang w:eastAsia="en-AU"/>
              </w:rPr>
              <w:t>0.0</w:t>
            </w:r>
          </w:p>
        </w:tc>
        <w:tc>
          <w:tcPr>
            <w:tcW w:w="279"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54D20C71" w14:textId="77777777" w:rsidR="003661B0" w:rsidRPr="0055539E" w:rsidRDefault="003661B0" w:rsidP="000850AC">
            <w:pPr>
              <w:pStyle w:val="TableText"/>
              <w:jc w:val="right"/>
              <w:rPr>
                <w:bCs/>
                <w:color w:val="000000" w:themeColor="text1"/>
                <w:sz w:val="13"/>
                <w:szCs w:val="13"/>
              </w:rPr>
            </w:pPr>
            <w:r w:rsidRPr="0055539E">
              <w:rPr>
                <w:bCs/>
                <w:color w:val="000000" w:themeColor="text1"/>
                <w:sz w:val="13"/>
                <w:szCs w:val="13"/>
              </w:rPr>
              <w:t>0.0, 0.0</w:t>
            </w:r>
          </w:p>
        </w:tc>
        <w:tc>
          <w:tcPr>
            <w:tcW w:w="229"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19343E85" w14:textId="77777777" w:rsidR="003661B0" w:rsidRPr="0055539E" w:rsidRDefault="003661B0" w:rsidP="000850AC">
            <w:pPr>
              <w:pStyle w:val="TableText"/>
              <w:jc w:val="right"/>
              <w:rPr>
                <w:bCs/>
                <w:color w:val="000000" w:themeColor="text1"/>
                <w:sz w:val="13"/>
                <w:szCs w:val="13"/>
              </w:rPr>
            </w:pPr>
            <w:bookmarkStart w:id="1271" w:name="OLE_LINK1"/>
            <w:r w:rsidRPr="0055539E">
              <w:rPr>
                <w:bCs/>
                <w:color w:val="000000" w:themeColor="text1"/>
                <w:sz w:val="13"/>
                <w:szCs w:val="13"/>
              </w:rPr>
              <w:t>0.1</w:t>
            </w:r>
            <w:bookmarkEnd w:id="1271"/>
          </w:p>
        </w:tc>
        <w:tc>
          <w:tcPr>
            <w:tcW w:w="235"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044F2446"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0.1</w:t>
            </w:r>
          </w:p>
        </w:tc>
        <w:tc>
          <w:tcPr>
            <w:tcW w:w="272"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6B2F4E7E"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0.0, 0.2</w:t>
            </w:r>
          </w:p>
        </w:tc>
        <w:tc>
          <w:tcPr>
            <w:tcW w:w="196"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10E33967"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-0.1</w:t>
            </w:r>
          </w:p>
        </w:tc>
        <w:tc>
          <w:tcPr>
            <w:tcW w:w="235"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781DE12F"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0.1</w:t>
            </w:r>
          </w:p>
        </w:tc>
        <w:tc>
          <w:tcPr>
            <w:tcW w:w="299" w:type="pct"/>
            <w:tcBorders>
              <w:top w:val="nil"/>
              <w:left w:val="single" w:sz="4" w:space="0" w:color="auto"/>
              <w:bottom w:val="single" w:sz="4" w:space="0" w:color="auto"/>
              <w:right w:val="single" w:sz="4" w:space="0" w:color="auto"/>
            </w:tcBorders>
            <w:shd w:val="clear" w:color="auto" w:fill="D4E4FF" w:themeFill="text2" w:themeFillTint="1A"/>
            <w:tcMar>
              <w:left w:w="72" w:type="dxa"/>
              <w:right w:w="72" w:type="dxa"/>
            </w:tcMar>
          </w:tcPr>
          <w:p w14:paraId="2D54ADD4" w14:textId="77777777" w:rsidR="003661B0" w:rsidRPr="0055539E" w:rsidRDefault="003661B0" w:rsidP="000850AC">
            <w:pPr>
              <w:pStyle w:val="TableText"/>
              <w:jc w:val="right"/>
              <w:rPr>
                <w:bCs/>
                <w:color w:val="000000" w:themeColor="text1"/>
                <w:sz w:val="13"/>
                <w:szCs w:val="13"/>
              </w:rPr>
            </w:pPr>
            <w:r w:rsidRPr="0055539E">
              <w:rPr>
                <w:rFonts w:eastAsia="Times New Roman"/>
                <w:bCs/>
                <w:color w:val="000000" w:themeColor="text1"/>
                <w:sz w:val="13"/>
                <w:szCs w:val="13"/>
              </w:rPr>
              <w:t>–0.2, 0.0</w:t>
            </w:r>
          </w:p>
        </w:tc>
      </w:tr>
    </w:tbl>
    <w:p w14:paraId="4628F3F5" w14:textId="77777777" w:rsidR="003661B0" w:rsidRPr="001743E6" w:rsidRDefault="003661B0" w:rsidP="003661B0">
      <w:pPr>
        <w:pStyle w:val="TableNotes"/>
      </w:pPr>
      <w:r>
        <w:rPr>
          <w:sz w:val="16"/>
          <w:vertAlign w:val="superscript"/>
        </w:rPr>
        <w:t>*</w:t>
      </w:r>
      <w:r w:rsidRPr="001743E6">
        <w:t>Only the Young and Well participants had the option of responding ‘Don’t know’.</w:t>
      </w:r>
    </w:p>
    <w:p w14:paraId="2C23D931" w14:textId="77777777" w:rsidR="003661B0" w:rsidRPr="006A3EA0" w:rsidRDefault="003661B0" w:rsidP="003661B0">
      <w:pPr>
        <w:pStyle w:val="TableNotes"/>
        <w:rPr>
          <w:b/>
        </w:rPr>
      </w:pPr>
      <w:r>
        <w:rPr>
          <w:b/>
        </w:rPr>
        <w:t>Notes</w:t>
      </w:r>
    </w:p>
    <w:p w14:paraId="765008CF" w14:textId="77777777" w:rsidR="003661B0" w:rsidRPr="001743E6" w:rsidRDefault="003661B0" w:rsidP="003661B0">
      <w:pPr>
        <w:pStyle w:val="TableNotes"/>
      </w:pPr>
      <w:r w:rsidRPr="001743E6">
        <w:t xml:space="preserve">Denominator: Total Transitioned ADF </w:t>
      </w:r>
      <w:r>
        <w:t>18–25</w:t>
      </w:r>
      <w:r w:rsidRPr="001743E6">
        <w:t xml:space="preserve"> years and Young and Well </w:t>
      </w:r>
      <w:r>
        <w:t>18–25</w:t>
      </w:r>
      <w:r w:rsidRPr="001743E6">
        <w:t xml:space="preserve"> years cohorts who used the </w:t>
      </w:r>
      <w:r>
        <w:t>internet.</w:t>
      </w:r>
      <w:r w:rsidRPr="001743E6">
        <w:t xml:space="preserve"> </w:t>
      </w:r>
    </w:p>
    <w:p w14:paraId="776EEF7F" w14:textId="77777777" w:rsidR="003661B0" w:rsidRPr="001743E6" w:rsidRDefault="003661B0" w:rsidP="003661B0">
      <w:pPr>
        <w:pStyle w:val="TableNotes"/>
      </w:pPr>
      <w:r w:rsidRPr="001743E6">
        <w:t xml:space="preserve">1.5% of the Transitioned ADF cohort had a missing value for this question. However, distributions are calculated by including those with a missing value to allow for correct weighted totals. </w:t>
      </w:r>
    </w:p>
    <w:p w14:paraId="75E6D68A" w14:textId="77777777" w:rsidR="003661B0" w:rsidRPr="001743E6" w:rsidRDefault="003661B0" w:rsidP="003661B0">
      <w:pPr>
        <w:pStyle w:val="TableNotes"/>
      </w:pPr>
      <w:r>
        <w:t>95%CI = 95% confidence interval.</w:t>
      </w:r>
    </w:p>
    <w:p w14:paraId="33C172A1" w14:textId="198CDBF4" w:rsidR="003661B0" w:rsidRPr="003328F3" w:rsidRDefault="003661B0" w:rsidP="003661B0">
      <w:pPr>
        <w:pStyle w:val="FigureName"/>
        <w:rPr>
          <w:rFonts w:asciiTheme="minorHAnsi" w:hAnsiTheme="minorHAnsi"/>
          <w:szCs w:val="22"/>
        </w:rPr>
      </w:pPr>
      <w:bookmarkStart w:id="1272" w:name="_Ref514912943"/>
      <w:bookmarkStart w:id="1273" w:name="_Toc515374747"/>
      <w:bookmarkStart w:id="1274" w:name="_Toc531858111"/>
      <w:r>
        <w:t xml:space="preserve">Figure </w:t>
      </w:r>
      <w:r>
        <w:rPr>
          <w:noProof/>
        </w:rPr>
        <w:t>10</w:t>
      </w:r>
      <w:r>
        <w:t>.</w:t>
      </w:r>
      <w:r>
        <w:rPr>
          <w:noProof/>
        </w:rPr>
        <w:t>11</w:t>
      </w:r>
      <w:bookmarkEnd w:id="1272"/>
      <w:r>
        <w:tab/>
      </w:r>
      <w:r w:rsidRPr="003328F3">
        <w:t xml:space="preserve">Use of the </w:t>
      </w:r>
      <w:r>
        <w:t>internet</w:t>
      </w:r>
      <w:r w:rsidRPr="003328F3">
        <w:t xml:space="preserve"> after </w:t>
      </w:r>
      <w:r>
        <w:t>11 pm</w:t>
      </w:r>
      <w:r w:rsidRPr="003328F3">
        <w:t xml:space="preserve"> in Transitioned ADF (aged </w:t>
      </w:r>
      <w:r>
        <w:t>18–25</w:t>
      </w:r>
      <w:r w:rsidRPr="003328F3">
        <w:t>) compared to the Young and Well cohort, by level of psychological distress</w:t>
      </w:r>
      <w:bookmarkEnd w:id="1273"/>
      <w:bookmarkEnd w:id="1274"/>
    </w:p>
    <w:p w14:paraId="1F576621" w14:textId="77777777" w:rsidR="003661B0" w:rsidRPr="003328F3" w:rsidRDefault="003661B0" w:rsidP="003661B0">
      <w:pPr>
        <w:spacing w:after="160" w:line="259" w:lineRule="auto"/>
        <w:rPr>
          <w:rFonts w:asciiTheme="minorHAnsi" w:hAnsiTheme="minorHAnsi"/>
          <w:szCs w:val="22"/>
        </w:rPr>
      </w:pPr>
      <w:r>
        <w:rPr>
          <w:noProof/>
          <w:lang w:eastAsia="en-AU"/>
        </w:rPr>
        <w:drawing>
          <wp:inline distT="0" distB="0" distL="0" distR="0" wp14:anchorId="15464991" wp14:editId="1B279E8D">
            <wp:extent cx="7132320" cy="4023360"/>
            <wp:effectExtent l="0" t="0" r="0" b="0"/>
            <wp:docPr id="117" name="Chart 117" descr="Figure 10.11 Use of the internet after 11 pm in Transitioned ADF (aged 18–25) compared to the Young and Well cohort, by level of psychological distres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76F5B915" w14:textId="77777777" w:rsidR="003661B0" w:rsidRPr="003328F3" w:rsidRDefault="003661B0" w:rsidP="003661B0">
      <w:pPr>
        <w:pStyle w:val="TableName"/>
        <w:rPr>
          <w:rFonts w:asciiTheme="minorHAnsi" w:hAnsiTheme="minorHAnsi"/>
          <w:szCs w:val="22"/>
        </w:rPr>
      </w:pPr>
      <w:bookmarkStart w:id="1275" w:name="_Ref514071829"/>
      <w:bookmarkStart w:id="1276" w:name="_Toc528932376"/>
      <w:bookmarkStart w:id="1277" w:name="_Toc531858055"/>
      <w:r>
        <w:t xml:space="preserve">Table </w:t>
      </w:r>
      <w:r>
        <w:rPr>
          <w:noProof/>
        </w:rPr>
        <w:t>10</w:t>
      </w:r>
      <w:r>
        <w:t>.</w:t>
      </w:r>
      <w:r>
        <w:rPr>
          <w:noProof/>
        </w:rPr>
        <w:t>12</w:t>
      </w:r>
      <w:bookmarkEnd w:id="1275"/>
      <w:r>
        <w:tab/>
      </w:r>
      <w:r w:rsidRPr="003328F3">
        <w:t xml:space="preserve">Use of the </w:t>
      </w:r>
      <w:r>
        <w:t>internet</w:t>
      </w:r>
      <w:r w:rsidRPr="003328F3">
        <w:t xml:space="preserve"> to seek help for or manage mental health issues in Transitioned ADF (aged </w:t>
      </w:r>
      <w:r>
        <w:t>18–25</w:t>
      </w:r>
      <w:r w:rsidRPr="003328F3">
        <w:t>) compared to the Young and Well cohort</w:t>
      </w:r>
      <w:r>
        <w:t>, by level of psycho</w:t>
      </w:r>
      <w:r w:rsidRPr="003328F3">
        <w:t>logical distress</w:t>
      </w:r>
      <w:bookmarkEnd w:id="1276"/>
      <w:bookmarkEnd w:id="1277"/>
    </w:p>
    <w:tbl>
      <w:tblPr>
        <w:tblStyle w:val="TWRPTable"/>
        <w:tblW w:w="5000" w:type="pct"/>
        <w:tblLayout w:type="fixed"/>
        <w:tblCellMar>
          <w:left w:w="115" w:type="dxa"/>
          <w:right w:w="115" w:type="dxa"/>
        </w:tblCellMar>
        <w:tblLook w:val="01E0" w:firstRow="1" w:lastRow="1" w:firstColumn="1" w:lastColumn="1" w:noHBand="0" w:noVBand="0"/>
        <w:tblDescription w:val="Table 10.12 Use of the internet to seek help for or manage mental health issues in Transitioned ADF (aged 18–25) compared to the Young and Well cohort, by level of psychological distress"/>
      </w:tblPr>
      <w:tblGrid>
        <w:gridCol w:w="819"/>
        <w:gridCol w:w="437"/>
        <w:gridCol w:w="443"/>
        <w:gridCol w:w="865"/>
        <w:gridCol w:w="454"/>
        <w:gridCol w:w="443"/>
        <w:gridCol w:w="845"/>
        <w:gridCol w:w="475"/>
        <w:gridCol w:w="530"/>
        <w:gridCol w:w="739"/>
        <w:gridCol w:w="494"/>
        <w:gridCol w:w="530"/>
        <w:gridCol w:w="719"/>
        <w:gridCol w:w="514"/>
        <w:gridCol w:w="530"/>
        <w:gridCol w:w="699"/>
        <w:gridCol w:w="535"/>
        <w:gridCol w:w="443"/>
        <w:gridCol w:w="766"/>
      </w:tblGrid>
      <w:tr w:rsidR="003661B0" w:rsidRPr="00004143" w14:paraId="4BE6366A" w14:textId="77777777" w:rsidTr="00004143">
        <w:trPr>
          <w:cnfStyle w:val="100000000000" w:firstRow="1" w:lastRow="0" w:firstColumn="0" w:lastColumn="0" w:oddVBand="0" w:evenVBand="0" w:oddHBand="0" w:evenHBand="0" w:firstRowFirstColumn="0" w:firstRowLastColumn="0" w:lastRowFirstColumn="0" w:lastRowLastColumn="0"/>
          <w:cantSplit/>
          <w:tblHeader/>
        </w:trPr>
        <w:tc>
          <w:tcPr>
            <w:tcW w:w="841" w:type="dxa"/>
            <w:tcBorders>
              <w:bottom w:val="nil"/>
            </w:tcBorders>
          </w:tcPr>
          <w:p w14:paraId="4BCA4434" w14:textId="77777777" w:rsidR="003661B0" w:rsidRPr="00004143" w:rsidRDefault="003661B0" w:rsidP="000850AC">
            <w:pPr>
              <w:pStyle w:val="TableText"/>
              <w:rPr>
                <w:lang w:eastAsia="en-AU"/>
              </w:rPr>
            </w:pPr>
          </w:p>
        </w:tc>
        <w:tc>
          <w:tcPr>
            <w:tcW w:w="5341" w:type="dxa"/>
            <w:gridSpan w:val="9"/>
          </w:tcPr>
          <w:p w14:paraId="29A7562F" w14:textId="77777777" w:rsidR="003661B0" w:rsidRPr="00004143" w:rsidRDefault="003661B0" w:rsidP="000850AC">
            <w:pPr>
              <w:pStyle w:val="TableText"/>
              <w:jc w:val="center"/>
              <w:rPr>
                <w:bCs/>
                <w:lang w:eastAsia="en-AU"/>
              </w:rPr>
            </w:pPr>
            <w:r w:rsidRPr="00004143">
              <w:rPr>
                <w:bCs/>
                <w:lang w:eastAsia="en-AU"/>
              </w:rPr>
              <w:t>Low psychological distress (K10 scores 10–15)</w:t>
            </w:r>
          </w:p>
        </w:tc>
        <w:tc>
          <w:tcPr>
            <w:tcW w:w="5338" w:type="dxa"/>
            <w:gridSpan w:val="9"/>
          </w:tcPr>
          <w:p w14:paraId="13A21401" w14:textId="77777777" w:rsidR="003661B0" w:rsidRPr="00004143" w:rsidRDefault="003661B0" w:rsidP="000850AC">
            <w:pPr>
              <w:pStyle w:val="TableText"/>
              <w:jc w:val="center"/>
              <w:rPr>
                <w:bCs/>
                <w:lang w:eastAsia="en-AU"/>
              </w:rPr>
            </w:pPr>
            <w:r w:rsidRPr="00004143">
              <w:rPr>
                <w:bCs/>
                <w:lang w:eastAsia="en-AU"/>
              </w:rPr>
              <w:t>Moderate to very high psychological distress (K10 scores 16–50)</w:t>
            </w:r>
          </w:p>
        </w:tc>
      </w:tr>
      <w:tr w:rsidR="003661B0" w:rsidRPr="00004143" w14:paraId="6449186B" w14:textId="77777777" w:rsidTr="00004143">
        <w:trPr>
          <w:cnfStyle w:val="100000000000" w:firstRow="1" w:lastRow="0" w:firstColumn="0" w:lastColumn="0" w:oddVBand="0" w:evenVBand="0" w:oddHBand="0" w:evenHBand="0" w:firstRowFirstColumn="0" w:firstRowLastColumn="0" w:lastRowFirstColumn="0" w:lastRowLastColumn="0"/>
          <w:cantSplit/>
          <w:tblHeader/>
        </w:trPr>
        <w:tc>
          <w:tcPr>
            <w:tcW w:w="841" w:type="dxa"/>
            <w:tcBorders>
              <w:top w:val="nil"/>
              <w:bottom w:val="nil"/>
            </w:tcBorders>
          </w:tcPr>
          <w:p w14:paraId="59C2685B" w14:textId="77777777" w:rsidR="003661B0" w:rsidRPr="00004143" w:rsidRDefault="003661B0" w:rsidP="000850AC">
            <w:pPr>
              <w:pStyle w:val="TableText"/>
              <w:rPr>
                <w:lang w:eastAsia="en-AU"/>
              </w:rPr>
            </w:pPr>
          </w:p>
        </w:tc>
        <w:tc>
          <w:tcPr>
            <w:tcW w:w="1782" w:type="dxa"/>
            <w:gridSpan w:val="3"/>
            <w:hideMark/>
          </w:tcPr>
          <w:p w14:paraId="122A61D3" w14:textId="77777777" w:rsidR="003661B0" w:rsidRPr="00004143" w:rsidRDefault="003661B0" w:rsidP="00004143">
            <w:pPr>
              <w:pStyle w:val="TableText"/>
              <w:jc w:val="center"/>
              <w:rPr>
                <w:lang w:eastAsia="en-AU"/>
              </w:rPr>
            </w:pPr>
            <w:r w:rsidRPr="00004143">
              <w:rPr>
                <w:bCs/>
                <w:lang w:eastAsia="en-AU"/>
              </w:rPr>
              <w:t>Transitioned ADF</w:t>
            </w:r>
            <w:r w:rsidR="00004143" w:rsidRPr="00004143">
              <w:rPr>
                <w:bCs/>
                <w:lang w:eastAsia="en-AU"/>
              </w:rPr>
              <w:br/>
            </w:r>
            <w:r w:rsidRPr="00004143">
              <w:rPr>
                <w:bCs/>
                <w:lang w:eastAsia="en-AU"/>
              </w:rPr>
              <w:t>18–25 years</w:t>
            </w:r>
            <w:r w:rsidR="00004143" w:rsidRPr="00004143">
              <w:rPr>
                <w:bCs/>
                <w:lang w:eastAsia="en-AU"/>
              </w:rPr>
              <w:br/>
            </w:r>
            <w:r w:rsidRPr="00004143">
              <w:rPr>
                <w:lang w:eastAsia="en-AU"/>
              </w:rPr>
              <w:t>n=2630</w:t>
            </w:r>
          </w:p>
        </w:tc>
        <w:tc>
          <w:tcPr>
            <w:tcW w:w="1779" w:type="dxa"/>
            <w:gridSpan w:val="3"/>
          </w:tcPr>
          <w:p w14:paraId="7EF78B4E" w14:textId="77777777" w:rsidR="003661B0" w:rsidRPr="00004143" w:rsidRDefault="003661B0" w:rsidP="00004143">
            <w:pPr>
              <w:pStyle w:val="TableText"/>
              <w:jc w:val="center"/>
              <w:rPr>
                <w:bCs/>
                <w:lang w:eastAsia="en-AU"/>
              </w:rPr>
            </w:pPr>
            <w:r w:rsidRPr="00004143">
              <w:rPr>
                <w:rFonts w:cs="Arial"/>
              </w:rPr>
              <w:t>Young and Well cohort</w:t>
            </w:r>
            <w:r w:rsidR="00004143" w:rsidRPr="00004143">
              <w:rPr>
                <w:rFonts w:cs="Arial"/>
              </w:rPr>
              <w:br/>
            </w:r>
            <w:r w:rsidRPr="00004143">
              <w:rPr>
                <w:rFonts w:cs="Arial"/>
              </w:rPr>
              <w:t>18–25 years</w:t>
            </w:r>
            <w:r w:rsidR="00004143" w:rsidRPr="00004143">
              <w:rPr>
                <w:rFonts w:cs="Arial"/>
              </w:rPr>
              <w:br/>
            </w:r>
            <w:r w:rsidRPr="00004143">
              <w:rPr>
                <w:rFonts w:cs="Arial"/>
              </w:rPr>
              <w:t>n=1123</w:t>
            </w:r>
          </w:p>
        </w:tc>
        <w:tc>
          <w:tcPr>
            <w:tcW w:w="1780" w:type="dxa"/>
            <w:gridSpan w:val="3"/>
          </w:tcPr>
          <w:p w14:paraId="79A81D41" w14:textId="77777777" w:rsidR="003661B0" w:rsidRPr="00004143" w:rsidRDefault="003661B0" w:rsidP="00004143">
            <w:pPr>
              <w:pStyle w:val="TableText"/>
              <w:jc w:val="center"/>
              <w:rPr>
                <w:bCs/>
                <w:lang w:eastAsia="en-AU"/>
              </w:rPr>
            </w:pPr>
            <w:r w:rsidRPr="00004143">
              <w:rPr>
                <w:bCs/>
                <w:lang w:eastAsia="en-AU"/>
              </w:rPr>
              <w:t>Difference</w:t>
            </w:r>
          </w:p>
        </w:tc>
        <w:tc>
          <w:tcPr>
            <w:tcW w:w="1779" w:type="dxa"/>
            <w:gridSpan w:val="3"/>
          </w:tcPr>
          <w:p w14:paraId="4177326F" w14:textId="77777777" w:rsidR="003661B0" w:rsidRPr="00004143" w:rsidRDefault="003661B0" w:rsidP="00004143">
            <w:pPr>
              <w:pStyle w:val="TableText"/>
              <w:jc w:val="center"/>
              <w:rPr>
                <w:bCs/>
                <w:lang w:eastAsia="en-AU"/>
              </w:rPr>
            </w:pPr>
            <w:r w:rsidRPr="00004143">
              <w:rPr>
                <w:bCs/>
                <w:lang w:eastAsia="en-AU"/>
              </w:rPr>
              <w:t>Transitioned ADF</w:t>
            </w:r>
            <w:r w:rsidR="00004143" w:rsidRPr="00004143">
              <w:rPr>
                <w:bCs/>
                <w:lang w:eastAsia="en-AU"/>
              </w:rPr>
              <w:br/>
            </w:r>
            <w:r w:rsidRPr="00004143">
              <w:rPr>
                <w:bCs/>
                <w:lang w:eastAsia="en-AU"/>
              </w:rPr>
              <w:t>18–25 years</w:t>
            </w:r>
            <w:r w:rsidR="00004143" w:rsidRPr="00004143">
              <w:rPr>
                <w:bCs/>
                <w:lang w:eastAsia="en-AU"/>
              </w:rPr>
              <w:br/>
            </w:r>
            <w:r w:rsidRPr="00004143">
              <w:rPr>
                <w:lang w:eastAsia="en-AU"/>
              </w:rPr>
              <w:t>n=2630</w:t>
            </w:r>
          </w:p>
        </w:tc>
        <w:tc>
          <w:tcPr>
            <w:tcW w:w="1779" w:type="dxa"/>
            <w:gridSpan w:val="3"/>
          </w:tcPr>
          <w:p w14:paraId="14D6B4DA" w14:textId="77777777" w:rsidR="003661B0" w:rsidRPr="00004143" w:rsidRDefault="003661B0" w:rsidP="00004143">
            <w:pPr>
              <w:pStyle w:val="TableText"/>
              <w:jc w:val="center"/>
              <w:rPr>
                <w:bCs/>
                <w:lang w:eastAsia="en-AU"/>
              </w:rPr>
            </w:pPr>
            <w:r w:rsidRPr="00004143">
              <w:rPr>
                <w:rFonts w:cs="Arial"/>
              </w:rPr>
              <w:t>Young and Well cohort</w:t>
            </w:r>
            <w:r w:rsidR="00004143" w:rsidRPr="00004143">
              <w:rPr>
                <w:rFonts w:cs="Arial"/>
              </w:rPr>
              <w:br/>
            </w:r>
            <w:r w:rsidRPr="00004143">
              <w:rPr>
                <w:rFonts w:cs="Arial"/>
              </w:rPr>
              <w:t>18–25 years</w:t>
            </w:r>
            <w:r w:rsidR="00004143" w:rsidRPr="00004143">
              <w:rPr>
                <w:rFonts w:cs="Arial"/>
              </w:rPr>
              <w:br/>
            </w:r>
            <w:r w:rsidRPr="00004143">
              <w:rPr>
                <w:rFonts w:cs="Arial"/>
              </w:rPr>
              <w:t>n=1123</w:t>
            </w:r>
          </w:p>
        </w:tc>
        <w:tc>
          <w:tcPr>
            <w:tcW w:w="1780" w:type="dxa"/>
            <w:gridSpan w:val="3"/>
          </w:tcPr>
          <w:p w14:paraId="0BE4D196" w14:textId="77777777" w:rsidR="003661B0" w:rsidRPr="00004143" w:rsidRDefault="003661B0" w:rsidP="00004143">
            <w:pPr>
              <w:pStyle w:val="TableText"/>
              <w:jc w:val="center"/>
              <w:rPr>
                <w:bCs/>
                <w:lang w:eastAsia="en-AU"/>
              </w:rPr>
            </w:pPr>
            <w:r w:rsidRPr="00004143">
              <w:rPr>
                <w:bCs/>
                <w:lang w:eastAsia="en-AU"/>
              </w:rPr>
              <w:t>Difference</w:t>
            </w:r>
          </w:p>
        </w:tc>
      </w:tr>
      <w:tr w:rsidR="00476EA0" w:rsidRPr="00004143" w14:paraId="6028A2E5" w14:textId="77777777" w:rsidTr="00476EA0">
        <w:trPr>
          <w:cnfStyle w:val="100000000000" w:firstRow="1" w:lastRow="0" w:firstColumn="0" w:lastColumn="0" w:oddVBand="0" w:evenVBand="0" w:oddHBand="0" w:evenHBand="0" w:firstRowFirstColumn="0" w:firstRowLastColumn="0" w:lastRowFirstColumn="0" w:lastRowLastColumn="0"/>
          <w:cantSplit/>
          <w:tblHeader/>
        </w:trPr>
        <w:tc>
          <w:tcPr>
            <w:tcW w:w="841" w:type="dxa"/>
            <w:tcBorders>
              <w:top w:val="nil"/>
            </w:tcBorders>
          </w:tcPr>
          <w:p w14:paraId="633AB229" w14:textId="77777777" w:rsidR="003661B0" w:rsidRPr="00004143" w:rsidRDefault="003661B0" w:rsidP="000850AC">
            <w:pPr>
              <w:pStyle w:val="TableText"/>
              <w:rPr>
                <w:rFonts w:eastAsia="GillSans"/>
                <w:lang w:eastAsia="en-AU"/>
              </w:rPr>
            </w:pPr>
          </w:p>
        </w:tc>
        <w:tc>
          <w:tcPr>
            <w:tcW w:w="444" w:type="dxa"/>
            <w:hideMark/>
          </w:tcPr>
          <w:p w14:paraId="5DD1C14F" w14:textId="77777777" w:rsidR="003661B0" w:rsidRPr="00004143" w:rsidRDefault="003661B0" w:rsidP="000850AC">
            <w:pPr>
              <w:pStyle w:val="TableText"/>
              <w:jc w:val="right"/>
              <w:rPr>
                <w:rFonts w:eastAsia="Times New Roman"/>
                <w:lang w:eastAsia="en-AU"/>
              </w:rPr>
            </w:pPr>
            <w:r w:rsidRPr="00004143">
              <w:rPr>
                <w:lang w:eastAsia="en-AU"/>
              </w:rPr>
              <w:t>%</w:t>
            </w:r>
          </w:p>
        </w:tc>
        <w:tc>
          <w:tcPr>
            <w:tcW w:w="450" w:type="dxa"/>
            <w:hideMark/>
          </w:tcPr>
          <w:p w14:paraId="52F1DB8D" w14:textId="77777777" w:rsidR="003661B0" w:rsidRPr="00004143" w:rsidRDefault="003661B0" w:rsidP="000850AC">
            <w:pPr>
              <w:pStyle w:val="TableText"/>
              <w:jc w:val="right"/>
              <w:rPr>
                <w:lang w:eastAsia="en-AU"/>
              </w:rPr>
            </w:pPr>
            <w:r w:rsidRPr="00004143">
              <w:rPr>
                <w:lang w:eastAsia="en-AU"/>
              </w:rPr>
              <w:t>SE</w:t>
            </w:r>
          </w:p>
        </w:tc>
        <w:tc>
          <w:tcPr>
            <w:tcW w:w="888" w:type="dxa"/>
            <w:hideMark/>
          </w:tcPr>
          <w:p w14:paraId="2380809F" w14:textId="77777777" w:rsidR="003661B0" w:rsidRPr="00004143" w:rsidRDefault="003661B0" w:rsidP="000850AC">
            <w:pPr>
              <w:pStyle w:val="TableText"/>
              <w:jc w:val="right"/>
              <w:rPr>
                <w:lang w:eastAsia="en-AU"/>
              </w:rPr>
            </w:pPr>
            <w:r w:rsidRPr="00004143">
              <w:rPr>
                <w:lang w:eastAsia="en-AU"/>
              </w:rPr>
              <w:t>95% CI</w:t>
            </w:r>
          </w:p>
        </w:tc>
        <w:tc>
          <w:tcPr>
            <w:tcW w:w="462" w:type="dxa"/>
          </w:tcPr>
          <w:p w14:paraId="13D329C8" w14:textId="77777777" w:rsidR="003661B0" w:rsidRPr="00004143" w:rsidRDefault="003661B0" w:rsidP="000850AC">
            <w:pPr>
              <w:pStyle w:val="TableText"/>
              <w:jc w:val="right"/>
              <w:rPr>
                <w:lang w:eastAsia="en-AU"/>
              </w:rPr>
            </w:pPr>
            <w:r w:rsidRPr="00004143">
              <w:rPr>
                <w:lang w:eastAsia="en-AU"/>
              </w:rPr>
              <w:t>%</w:t>
            </w:r>
          </w:p>
        </w:tc>
        <w:tc>
          <w:tcPr>
            <w:tcW w:w="450" w:type="dxa"/>
          </w:tcPr>
          <w:p w14:paraId="26F6A537" w14:textId="77777777" w:rsidR="003661B0" w:rsidRPr="00004143" w:rsidRDefault="003661B0" w:rsidP="000850AC">
            <w:pPr>
              <w:pStyle w:val="TableText"/>
              <w:jc w:val="right"/>
              <w:rPr>
                <w:lang w:eastAsia="en-AU"/>
              </w:rPr>
            </w:pPr>
            <w:r w:rsidRPr="00004143">
              <w:rPr>
                <w:lang w:eastAsia="en-AU"/>
              </w:rPr>
              <w:t>SE</w:t>
            </w:r>
          </w:p>
        </w:tc>
        <w:tc>
          <w:tcPr>
            <w:tcW w:w="867" w:type="dxa"/>
          </w:tcPr>
          <w:p w14:paraId="5F2CF45D" w14:textId="77777777" w:rsidR="003661B0" w:rsidRPr="00004143" w:rsidRDefault="003661B0" w:rsidP="000850AC">
            <w:pPr>
              <w:pStyle w:val="TableText"/>
              <w:jc w:val="right"/>
              <w:rPr>
                <w:lang w:eastAsia="en-AU"/>
              </w:rPr>
            </w:pPr>
            <w:r w:rsidRPr="00004143">
              <w:rPr>
                <w:lang w:eastAsia="en-AU"/>
              </w:rPr>
              <w:t>95% CI</w:t>
            </w:r>
          </w:p>
        </w:tc>
        <w:tc>
          <w:tcPr>
            <w:tcW w:w="483" w:type="dxa"/>
          </w:tcPr>
          <w:p w14:paraId="5AA77544" w14:textId="77777777" w:rsidR="003661B0" w:rsidRPr="00004143" w:rsidRDefault="003661B0" w:rsidP="000850AC">
            <w:pPr>
              <w:pStyle w:val="TableText"/>
              <w:jc w:val="right"/>
              <w:rPr>
                <w:lang w:eastAsia="en-AU"/>
              </w:rPr>
            </w:pPr>
            <w:r w:rsidRPr="00004143">
              <w:rPr>
                <w:lang w:eastAsia="en-AU"/>
              </w:rPr>
              <w:t>%</w:t>
            </w:r>
          </w:p>
        </w:tc>
        <w:tc>
          <w:tcPr>
            <w:tcW w:w="540" w:type="dxa"/>
          </w:tcPr>
          <w:p w14:paraId="654A979B" w14:textId="77777777" w:rsidR="003661B0" w:rsidRPr="00004143" w:rsidRDefault="003661B0" w:rsidP="000850AC">
            <w:pPr>
              <w:pStyle w:val="TableText"/>
              <w:jc w:val="right"/>
              <w:rPr>
                <w:lang w:eastAsia="en-AU"/>
              </w:rPr>
            </w:pPr>
            <w:r w:rsidRPr="00004143">
              <w:rPr>
                <w:lang w:eastAsia="en-AU"/>
              </w:rPr>
              <w:t>SE</w:t>
            </w:r>
          </w:p>
        </w:tc>
        <w:tc>
          <w:tcPr>
            <w:tcW w:w="757" w:type="dxa"/>
          </w:tcPr>
          <w:p w14:paraId="79A6F058" w14:textId="77777777" w:rsidR="003661B0" w:rsidRPr="00004143" w:rsidRDefault="003661B0" w:rsidP="000850AC">
            <w:pPr>
              <w:pStyle w:val="TableText"/>
              <w:jc w:val="right"/>
              <w:rPr>
                <w:lang w:eastAsia="en-AU"/>
              </w:rPr>
            </w:pPr>
            <w:r w:rsidRPr="00004143">
              <w:rPr>
                <w:lang w:eastAsia="en-AU"/>
              </w:rPr>
              <w:t>95% CI</w:t>
            </w:r>
          </w:p>
        </w:tc>
        <w:tc>
          <w:tcPr>
            <w:tcW w:w="503" w:type="dxa"/>
          </w:tcPr>
          <w:p w14:paraId="145F5469" w14:textId="77777777" w:rsidR="003661B0" w:rsidRPr="00004143" w:rsidRDefault="003661B0" w:rsidP="000850AC">
            <w:pPr>
              <w:pStyle w:val="TableText"/>
              <w:jc w:val="right"/>
              <w:rPr>
                <w:lang w:eastAsia="en-AU"/>
              </w:rPr>
            </w:pPr>
            <w:r w:rsidRPr="00004143">
              <w:rPr>
                <w:lang w:eastAsia="en-AU"/>
              </w:rPr>
              <w:t>%</w:t>
            </w:r>
          </w:p>
        </w:tc>
        <w:tc>
          <w:tcPr>
            <w:tcW w:w="540" w:type="dxa"/>
          </w:tcPr>
          <w:p w14:paraId="2835FE1D" w14:textId="77777777" w:rsidR="003661B0" w:rsidRPr="00004143" w:rsidRDefault="003661B0" w:rsidP="000850AC">
            <w:pPr>
              <w:pStyle w:val="TableText"/>
              <w:jc w:val="right"/>
              <w:rPr>
                <w:lang w:eastAsia="en-AU"/>
              </w:rPr>
            </w:pPr>
            <w:r w:rsidRPr="00004143">
              <w:rPr>
                <w:lang w:eastAsia="en-AU"/>
              </w:rPr>
              <w:t>SE</w:t>
            </w:r>
          </w:p>
        </w:tc>
        <w:tc>
          <w:tcPr>
            <w:tcW w:w="736" w:type="dxa"/>
          </w:tcPr>
          <w:p w14:paraId="3A625A54" w14:textId="77777777" w:rsidR="003661B0" w:rsidRPr="00004143" w:rsidRDefault="003661B0" w:rsidP="000850AC">
            <w:pPr>
              <w:pStyle w:val="TableText"/>
              <w:jc w:val="right"/>
              <w:rPr>
                <w:lang w:eastAsia="en-AU"/>
              </w:rPr>
            </w:pPr>
            <w:r w:rsidRPr="00004143">
              <w:rPr>
                <w:lang w:eastAsia="en-AU"/>
              </w:rPr>
              <w:t>95% CI</w:t>
            </w:r>
          </w:p>
        </w:tc>
        <w:tc>
          <w:tcPr>
            <w:tcW w:w="524" w:type="dxa"/>
          </w:tcPr>
          <w:p w14:paraId="6A302067" w14:textId="77777777" w:rsidR="003661B0" w:rsidRPr="00004143" w:rsidRDefault="003661B0" w:rsidP="000850AC">
            <w:pPr>
              <w:pStyle w:val="TableText"/>
              <w:jc w:val="right"/>
              <w:rPr>
                <w:lang w:eastAsia="en-AU"/>
              </w:rPr>
            </w:pPr>
            <w:r w:rsidRPr="00004143">
              <w:rPr>
                <w:lang w:eastAsia="en-AU"/>
              </w:rPr>
              <w:t>%</w:t>
            </w:r>
          </w:p>
        </w:tc>
        <w:tc>
          <w:tcPr>
            <w:tcW w:w="540" w:type="dxa"/>
          </w:tcPr>
          <w:p w14:paraId="53581218" w14:textId="77777777" w:rsidR="003661B0" w:rsidRPr="00004143" w:rsidRDefault="003661B0" w:rsidP="000850AC">
            <w:pPr>
              <w:pStyle w:val="TableText"/>
              <w:jc w:val="right"/>
              <w:rPr>
                <w:lang w:eastAsia="en-AU"/>
              </w:rPr>
            </w:pPr>
            <w:r w:rsidRPr="00004143">
              <w:rPr>
                <w:lang w:eastAsia="en-AU"/>
              </w:rPr>
              <w:t>SE</w:t>
            </w:r>
          </w:p>
        </w:tc>
        <w:tc>
          <w:tcPr>
            <w:tcW w:w="715" w:type="dxa"/>
          </w:tcPr>
          <w:p w14:paraId="74BAF42A" w14:textId="77777777" w:rsidR="003661B0" w:rsidRPr="00004143" w:rsidRDefault="003661B0" w:rsidP="000850AC">
            <w:pPr>
              <w:pStyle w:val="TableText"/>
              <w:jc w:val="right"/>
              <w:rPr>
                <w:lang w:eastAsia="en-AU"/>
              </w:rPr>
            </w:pPr>
            <w:r w:rsidRPr="00004143">
              <w:rPr>
                <w:lang w:eastAsia="en-AU"/>
              </w:rPr>
              <w:t>95% CI</w:t>
            </w:r>
          </w:p>
        </w:tc>
        <w:tc>
          <w:tcPr>
            <w:tcW w:w="545" w:type="dxa"/>
          </w:tcPr>
          <w:p w14:paraId="4335DA1B" w14:textId="77777777" w:rsidR="003661B0" w:rsidRPr="00004143" w:rsidRDefault="003661B0" w:rsidP="000850AC">
            <w:pPr>
              <w:pStyle w:val="TableText"/>
              <w:jc w:val="right"/>
              <w:rPr>
                <w:lang w:eastAsia="en-AU"/>
              </w:rPr>
            </w:pPr>
            <w:r w:rsidRPr="00004143">
              <w:rPr>
                <w:lang w:eastAsia="en-AU"/>
              </w:rPr>
              <w:t>%</w:t>
            </w:r>
          </w:p>
        </w:tc>
        <w:tc>
          <w:tcPr>
            <w:tcW w:w="450" w:type="dxa"/>
          </w:tcPr>
          <w:p w14:paraId="03FD188D" w14:textId="77777777" w:rsidR="003661B0" w:rsidRPr="00004143" w:rsidRDefault="003661B0" w:rsidP="000850AC">
            <w:pPr>
              <w:pStyle w:val="TableText"/>
              <w:jc w:val="right"/>
              <w:rPr>
                <w:lang w:eastAsia="en-AU"/>
              </w:rPr>
            </w:pPr>
            <w:r w:rsidRPr="00004143">
              <w:rPr>
                <w:lang w:eastAsia="en-AU"/>
              </w:rPr>
              <w:t>SE</w:t>
            </w:r>
          </w:p>
        </w:tc>
        <w:tc>
          <w:tcPr>
            <w:tcW w:w="785" w:type="dxa"/>
          </w:tcPr>
          <w:p w14:paraId="1FA38B6D" w14:textId="77777777" w:rsidR="003661B0" w:rsidRPr="00004143" w:rsidRDefault="003661B0" w:rsidP="000850AC">
            <w:pPr>
              <w:pStyle w:val="TableText"/>
              <w:jc w:val="right"/>
              <w:rPr>
                <w:lang w:eastAsia="en-AU"/>
              </w:rPr>
            </w:pPr>
            <w:r w:rsidRPr="00004143">
              <w:rPr>
                <w:lang w:eastAsia="en-AU"/>
              </w:rPr>
              <w:t>95% CI</w:t>
            </w:r>
          </w:p>
        </w:tc>
      </w:tr>
      <w:tr w:rsidR="00BD41F3" w:rsidRPr="003328F3" w14:paraId="7C6BC819" w14:textId="77777777" w:rsidTr="00476EA0">
        <w:trPr>
          <w:cnfStyle w:val="000000100000" w:firstRow="0" w:lastRow="0" w:firstColumn="0" w:lastColumn="0" w:oddVBand="0" w:evenVBand="0" w:oddHBand="1" w:evenHBand="0" w:firstRowFirstColumn="0" w:firstRowLastColumn="0" w:lastRowFirstColumn="0" w:lastRowLastColumn="0"/>
          <w:cantSplit/>
        </w:trPr>
        <w:tc>
          <w:tcPr>
            <w:tcW w:w="841" w:type="dxa"/>
          </w:tcPr>
          <w:p w14:paraId="11FE2447" w14:textId="77777777" w:rsidR="003661B0" w:rsidRPr="003328F3" w:rsidRDefault="003661B0" w:rsidP="000850AC">
            <w:pPr>
              <w:pStyle w:val="TableText"/>
              <w:rPr>
                <w:rFonts w:eastAsia="GillSans"/>
                <w:lang w:eastAsia="en-AU"/>
              </w:rPr>
            </w:pPr>
            <w:bookmarkStart w:id="1278" w:name="OLE_LINK4"/>
            <w:r w:rsidRPr="003328F3">
              <w:rPr>
                <w:rFonts w:cs="ArialMT"/>
              </w:rPr>
              <w:t>Yes</w:t>
            </w:r>
          </w:p>
        </w:tc>
        <w:tc>
          <w:tcPr>
            <w:tcW w:w="444" w:type="dxa"/>
            <w:tcMar>
              <w:left w:w="72" w:type="dxa"/>
              <w:right w:w="72" w:type="dxa"/>
            </w:tcMar>
          </w:tcPr>
          <w:p w14:paraId="5DC27FA6"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color w:val="000000" w:themeColor="text1"/>
                <w:lang w:eastAsia="en-AU"/>
              </w:rPr>
              <w:t>26.7</w:t>
            </w:r>
          </w:p>
        </w:tc>
        <w:tc>
          <w:tcPr>
            <w:tcW w:w="450" w:type="dxa"/>
            <w:tcMar>
              <w:left w:w="72" w:type="dxa"/>
              <w:right w:w="72" w:type="dxa"/>
            </w:tcMar>
          </w:tcPr>
          <w:p w14:paraId="09A7E491"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color w:val="000000" w:themeColor="text1"/>
                <w:lang w:eastAsia="en-AU"/>
              </w:rPr>
              <w:t>5.1</w:t>
            </w:r>
          </w:p>
        </w:tc>
        <w:tc>
          <w:tcPr>
            <w:tcW w:w="888" w:type="dxa"/>
            <w:tcMar>
              <w:left w:w="72" w:type="dxa"/>
              <w:right w:w="72" w:type="dxa"/>
            </w:tcMar>
          </w:tcPr>
          <w:p w14:paraId="08F83950" w14:textId="77777777" w:rsidR="003661B0" w:rsidRPr="003328F3" w:rsidRDefault="003661B0" w:rsidP="000850AC">
            <w:pPr>
              <w:pStyle w:val="TableText"/>
              <w:jc w:val="right"/>
              <w:rPr>
                <w:bCs/>
                <w:color w:val="000000" w:themeColor="text1"/>
              </w:rPr>
            </w:pPr>
            <w:r w:rsidRPr="003328F3">
              <w:rPr>
                <w:bCs/>
                <w:color w:val="000000" w:themeColor="text1"/>
              </w:rPr>
              <w:t>18.0, 37.8</w:t>
            </w:r>
          </w:p>
        </w:tc>
        <w:tc>
          <w:tcPr>
            <w:tcW w:w="462" w:type="dxa"/>
            <w:tcMar>
              <w:left w:w="72" w:type="dxa"/>
              <w:right w:w="72" w:type="dxa"/>
            </w:tcMar>
          </w:tcPr>
          <w:p w14:paraId="35BB731A" w14:textId="77777777" w:rsidR="003661B0" w:rsidRPr="003328F3" w:rsidRDefault="003661B0" w:rsidP="000850AC">
            <w:pPr>
              <w:pStyle w:val="TableText"/>
              <w:jc w:val="right"/>
              <w:rPr>
                <w:rFonts w:eastAsia="Times New Roman"/>
                <w:bCs/>
                <w:color w:val="000000" w:themeColor="text1"/>
              </w:rPr>
            </w:pPr>
            <w:r w:rsidRPr="003328F3">
              <w:rPr>
                <w:rFonts w:eastAsia="Times New Roman"/>
                <w:bCs/>
                <w:color w:val="000000" w:themeColor="text1"/>
              </w:rPr>
              <w:t>33.1</w:t>
            </w:r>
          </w:p>
        </w:tc>
        <w:tc>
          <w:tcPr>
            <w:tcW w:w="450" w:type="dxa"/>
            <w:tcMar>
              <w:left w:w="72" w:type="dxa"/>
              <w:right w:w="72" w:type="dxa"/>
            </w:tcMar>
          </w:tcPr>
          <w:p w14:paraId="733B7965" w14:textId="77777777" w:rsidR="003661B0" w:rsidRPr="003328F3" w:rsidRDefault="003661B0" w:rsidP="000850AC">
            <w:pPr>
              <w:pStyle w:val="TableText"/>
              <w:jc w:val="right"/>
              <w:rPr>
                <w:rFonts w:eastAsia="Times New Roman"/>
                <w:bCs/>
                <w:color w:val="000000" w:themeColor="text1"/>
              </w:rPr>
            </w:pPr>
            <w:r w:rsidRPr="003328F3">
              <w:rPr>
                <w:rFonts w:eastAsia="Times New Roman"/>
                <w:bCs/>
                <w:color w:val="000000" w:themeColor="text1"/>
              </w:rPr>
              <w:t>3.2</w:t>
            </w:r>
          </w:p>
        </w:tc>
        <w:tc>
          <w:tcPr>
            <w:tcW w:w="867" w:type="dxa"/>
            <w:tcMar>
              <w:left w:w="72" w:type="dxa"/>
              <w:right w:w="72" w:type="dxa"/>
            </w:tcMar>
          </w:tcPr>
          <w:p w14:paraId="4BAD066F" w14:textId="77777777" w:rsidR="003661B0" w:rsidRPr="003328F3" w:rsidRDefault="003661B0" w:rsidP="000850AC">
            <w:pPr>
              <w:pStyle w:val="TableText"/>
              <w:jc w:val="right"/>
              <w:rPr>
                <w:rFonts w:eastAsia="Times New Roman"/>
                <w:bCs/>
                <w:color w:val="000000" w:themeColor="text1"/>
              </w:rPr>
            </w:pPr>
            <w:r w:rsidRPr="003328F3">
              <w:rPr>
                <w:rFonts w:eastAsia="Times New Roman"/>
                <w:bCs/>
                <w:color w:val="000000" w:themeColor="text1"/>
              </w:rPr>
              <w:t>26.8, 39.4</w:t>
            </w:r>
          </w:p>
        </w:tc>
        <w:tc>
          <w:tcPr>
            <w:tcW w:w="483" w:type="dxa"/>
            <w:tcMar>
              <w:left w:w="72" w:type="dxa"/>
              <w:right w:w="72" w:type="dxa"/>
            </w:tcMar>
          </w:tcPr>
          <w:p w14:paraId="47DCBC25"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6.4</w:t>
            </w:r>
          </w:p>
        </w:tc>
        <w:tc>
          <w:tcPr>
            <w:tcW w:w="540" w:type="dxa"/>
            <w:tcMar>
              <w:left w:w="72" w:type="dxa"/>
              <w:right w:w="72" w:type="dxa"/>
            </w:tcMar>
          </w:tcPr>
          <w:p w14:paraId="7A2ABFE3" w14:textId="77777777" w:rsidR="003661B0" w:rsidRPr="003328F3" w:rsidRDefault="003661B0" w:rsidP="000850AC">
            <w:pPr>
              <w:pStyle w:val="TableText"/>
              <w:jc w:val="right"/>
              <w:rPr>
                <w:bCs/>
                <w:color w:val="000000" w:themeColor="text1"/>
              </w:rPr>
            </w:pPr>
            <w:r w:rsidRPr="003328F3">
              <w:rPr>
                <w:bCs/>
                <w:color w:val="000000" w:themeColor="text1"/>
              </w:rPr>
              <w:t>6.0</w:t>
            </w:r>
          </w:p>
        </w:tc>
        <w:tc>
          <w:tcPr>
            <w:tcW w:w="757" w:type="dxa"/>
            <w:tcMar>
              <w:left w:w="72" w:type="dxa"/>
              <w:right w:w="72" w:type="dxa"/>
            </w:tcMar>
          </w:tcPr>
          <w:p w14:paraId="55106F9C"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18.2, 5.5</w:t>
            </w:r>
          </w:p>
        </w:tc>
        <w:tc>
          <w:tcPr>
            <w:tcW w:w="503" w:type="dxa"/>
            <w:tcMar>
              <w:left w:w="72" w:type="dxa"/>
              <w:right w:w="72" w:type="dxa"/>
            </w:tcMar>
          </w:tcPr>
          <w:p w14:paraId="72968F28" w14:textId="77777777" w:rsidR="003661B0" w:rsidRPr="003328F3" w:rsidRDefault="003661B0" w:rsidP="000850AC">
            <w:pPr>
              <w:pStyle w:val="TableText"/>
              <w:jc w:val="right"/>
              <w:rPr>
                <w:bCs/>
                <w:color w:val="000000" w:themeColor="text1"/>
              </w:rPr>
            </w:pPr>
            <w:r w:rsidRPr="003328F3">
              <w:rPr>
                <w:bCs/>
                <w:color w:val="000000" w:themeColor="text1"/>
              </w:rPr>
              <w:t>28.2</w:t>
            </w:r>
          </w:p>
        </w:tc>
        <w:tc>
          <w:tcPr>
            <w:tcW w:w="540" w:type="dxa"/>
            <w:tcMar>
              <w:left w:w="72" w:type="dxa"/>
              <w:right w:w="72" w:type="dxa"/>
            </w:tcMar>
          </w:tcPr>
          <w:p w14:paraId="14FEE96B" w14:textId="77777777" w:rsidR="003661B0" w:rsidRPr="003328F3" w:rsidRDefault="003661B0" w:rsidP="000850AC">
            <w:pPr>
              <w:pStyle w:val="TableText"/>
              <w:jc w:val="right"/>
              <w:rPr>
                <w:bCs/>
                <w:color w:val="000000" w:themeColor="text1"/>
              </w:rPr>
            </w:pPr>
            <w:r w:rsidRPr="003328F3">
              <w:rPr>
                <w:bCs/>
                <w:color w:val="000000" w:themeColor="text1"/>
              </w:rPr>
              <w:t>5.0</w:t>
            </w:r>
          </w:p>
        </w:tc>
        <w:tc>
          <w:tcPr>
            <w:tcW w:w="736" w:type="dxa"/>
            <w:tcMar>
              <w:left w:w="72" w:type="dxa"/>
              <w:right w:w="72" w:type="dxa"/>
            </w:tcMar>
          </w:tcPr>
          <w:p w14:paraId="124D7954" w14:textId="77777777" w:rsidR="003661B0" w:rsidRPr="003328F3" w:rsidRDefault="003661B0" w:rsidP="000850AC">
            <w:pPr>
              <w:pStyle w:val="TableText"/>
              <w:jc w:val="right"/>
              <w:rPr>
                <w:bCs/>
                <w:color w:val="000000" w:themeColor="text1"/>
              </w:rPr>
            </w:pPr>
            <w:r w:rsidRPr="003328F3">
              <w:rPr>
                <w:bCs/>
                <w:color w:val="000000" w:themeColor="text1"/>
              </w:rPr>
              <w:t>19.4, 39.0</w:t>
            </w:r>
          </w:p>
        </w:tc>
        <w:tc>
          <w:tcPr>
            <w:tcW w:w="524" w:type="dxa"/>
            <w:tcMar>
              <w:left w:w="72" w:type="dxa"/>
              <w:right w:w="72" w:type="dxa"/>
            </w:tcMar>
          </w:tcPr>
          <w:p w14:paraId="41343B9F" w14:textId="77777777" w:rsidR="003661B0" w:rsidRPr="003328F3" w:rsidRDefault="003661B0" w:rsidP="000850AC">
            <w:pPr>
              <w:pStyle w:val="TableText"/>
              <w:jc w:val="right"/>
              <w:rPr>
                <w:bCs/>
                <w:color w:val="000000" w:themeColor="text1"/>
              </w:rPr>
            </w:pPr>
            <w:r w:rsidRPr="003328F3">
              <w:rPr>
                <w:bCs/>
                <w:color w:val="000000" w:themeColor="text1"/>
              </w:rPr>
              <w:t>52.2</w:t>
            </w:r>
          </w:p>
        </w:tc>
        <w:tc>
          <w:tcPr>
            <w:tcW w:w="540" w:type="dxa"/>
            <w:tcMar>
              <w:left w:w="72" w:type="dxa"/>
              <w:right w:w="72" w:type="dxa"/>
            </w:tcMar>
          </w:tcPr>
          <w:p w14:paraId="0BE00DC5" w14:textId="77777777" w:rsidR="003661B0" w:rsidRPr="003328F3" w:rsidRDefault="003661B0" w:rsidP="000850AC">
            <w:pPr>
              <w:pStyle w:val="TableText"/>
              <w:jc w:val="right"/>
              <w:rPr>
                <w:bCs/>
                <w:color w:val="000000" w:themeColor="text1"/>
              </w:rPr>
            </w:pPr>
            <w:r w:rsidRPr="003328F3">
              <w:rPr>
                <w:bCs/>
                <w:color w:val="000000" w:themeColor="text1"/>
              </w:rPr>
              <w:t>4.1</w:t>
            </w:r>
          </w:p>
        </w:tc>
        <w:tc>
          <w:tcPr>
            <w:tcW w:w="715" w:type="dxa"/>
            <w:tcMar>
              <w:left w:w="72" w:type="dxa"/>
              <w:right w:w="72" w:type="dxa"/>
            </w:tcMar>
          </w:tcPr>
          <w:p w14:paraId="2D7CEB3A" w14:textId="77777777" w:rsidR="003661B0" w:rsidRPr="003328F3" w:rsidRDefault="003661B0" w:rsidP="000850AC">
            <w:pPr>
              <w:pStyle w:val="TableText"/>
              <w:jc w:val="right"/>
              <w:rPr>
                <w:bCs/>
                <w:color w:val="000000" w:themeColor="text1"/>
              </w:rPr>
            </w:pPr>
            <w:r w:rsidRPr="003328F3">
              <w:rPr>
                <w:bCs/>
                <w:color w:val="000000" w:themeColor="text1"/>
              </w:rPr>
              <w:t>44.2, 60.1</w:t>
            </w:r>
          </w:p>
        </w:tc>
        <w:tc>
          <w:tcPr>
            <w:tcW w:w="545" w:type="dxa"/>
            <w:tcMar>
              <w:left w:w="72" w:type="dxa"/>
              <w:right w:w="72" w:type="dxa"/>
            </w:tcMar>
          </w:tcPr>
          <w:p w14:paraId="2C58CD70"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24.0</w:t>
            </w:r>
          </w:p>
        </w:tc>
        <w:tc>
          <w:tcPr>
            <w:tcW w:w="450" w:type="dxa"/>
            <w:tcMar>
              <w:left w:w="72" w:type="dxa"/>
              <w:right w:w="72" w:type="dxa"/>
            </w:tcMar>
          </w:tcPr>
          <w:p w14:paraId="65CE1275" w14:textId="77777777" w:rsidR="003661B0" w:rsidRPr="003328F3" w:rsidRDefault="003661B0" w:rsidP="000850AC">
            <w:pPr>
              <w:pStyle w:val="TableText"/>
              <w:jc w:val="right"/>
              <w:rPr>
                <w:bCs/>
                <w:color w:val="000000" w:themeColor="text1"/>
              </w:rPr>
            </w:pPr>
            <w:r w:rsidRPr="003328F3">
              <w:rPr>
                <w:bCs/>
                <w:color w:val="000000" w:themeColor="text1"/>
              </w:rPr>
              <w:t>6.5</w:t>
            </w:r>
          </w:p>
        </w:tc>
        <w:tc>
          <w:tcPr>
            <w:tcW w:w="785" w:type="dxa"/>
            <w:tcMar>
              <w:left w:w="72" w:type="dxa"/>
              <w:right w:w="72" w:type="dxa"/>
            </w:tcMar>
          </w:tcPr>
          <w:p w14:paraId="2DA70B5D"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 xml:space="preserve">36.7, </w:t>
            </w:r>
            <w:r>
              <w:rPr>
                <w:rFonts w:eastAsia="Times New Roman"/>
                <w:bCs/>
                <w:color w:val="000000" w:themeColor="text1"/>
              </w:rPr>
              <w:t>–</w:t>
            </w:r>
            <w:r w:rsidRPr="003328F3">
              <w:rPr>
                <w:bCs/>
                <w:color w:val="000000" w:themeColor="text1"/>
              </w:rPr>
              <w:t>11.4</w:t>
            </w:r>
          </w:p>
        </w:tc>
      </w:tr>
      <w:tr w:rsidR="00476EA0" w:rsidRPr="003328F3" w14:paraId="068BF709" w14:textId="77777777" w:rsidTr="00476EA0">
        <w:trPr>
          <w:cantSplit/>
        </w:trPr>
        <w:tc>
          <w:tcPr>
            <w:tcW w:w="841" w:type="dxa"/>
          </w:tcPr>
          <w:p w14:paraId="4DE854B4" w14:textId="77777777" w:rsidR="003661B0" w:rsidRPr="003328F3" w:rsidRDefault="003661B0" w:rsidP="000850AC">
            <w:pPr>
              <w:pStyle w:val="TableText"/>
              <w:rPr>
                <w:rFonts w:eastAsia="GillSans"/>
                <w:lang w:eastAsia="en-AU"/>
              </w:rPr>
            </w:pPr>
            <w:r w:rsidRPr="003328F3">
              <w:rPr>
                <w:rFonts w:cs="ArialMT"/>
              </w:rPr>
              <w:t>No</w:t>
            </w:r>
          </w:p>
        </w:tc>
        <w:tc>
          <w:tcPr>
            <w:tcW w:w="444" w:type="dxa"/>
            <w:tcMar>
              <w:left w:w="72" w:type="dxa"/>
              <w:right w:w="72" w:type="dxa"/>
            </w:tcMar>
          </w:tcPr>
          <w:p w14:paraId="65064D56"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color w:val="000000" w:themeColor="text1"/>
                <w:lang w:eastAsia="en-AU"/>
              </w:rPr>
              <w:t>71.4</w:t>
            </w:r>
          </w:p>
        </w:tc>
        <w:tc>
          <w:tcPr>
            <w:tcW w:w="450" w:type="dxa"/>
            <w:tcMar>
              <w:left w:w="72" w:type="dxa"/>
              <w:right w:w="72" w:type="dxa"/>
            </w:tcMar>
          </w:tcPr>
          <w:p w14:paraId="3DD1D52D"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color w:val="000000" w:themeColor="text1"/>
                <w:lang w:eastAsia="en-AU"/>
              </w:rPr>
              <w:t>5.2</w:t>
            </w:r>
          </w:p>
        </w:tc>
        <w:tc>
          <w:tcPr>
            <w:tcW w:w="888" w:type="dxa"/>
            <w:tcMar>
              <w:left w:w="72" w:type="dxa"/>
              <w:right w:w="72" w:type="dxa"/>
            </w:tcMar>
          </w:tcPr>
          <w:p w14:paraId="35EBFFA2" w14:textId="77777777" w:rsidR="003661B0" w:rsidRPr="003328F3" w:rsidRDefault="003661B0" w:rsidP="000850AC">
            <w:pPr>
              <w:pStyle w:val="TableText"/>
              <w:jc w:val="right"/>
              <w:rPr>
                <w:bCs/>
                <w:color w:val="000000" w:themeColor="text1"/>
              </w:rPr>
            </w:pPr>
            <w:r w:rsidRPr="003328F3">
              <w:rPr>
                <w:bCs/>
                <w:color w:val="000000" w:themeColor="text1"/>
              </w:rPr>
              <w:t>60.2, 80.4</w:t>
            </w:r>
          </w:p>
        </w:tc>
        <w:tc>
          <w:tcPr>
            <w:tcW w:w="462" w:type="dxa"/>
            <w:tcMar>
              <w:left w:w="72" w:type="dxa"/>
              <w:right w:w="72" w:type="dxa"/>
            </w:tcMar>
          </w:tcPr>
          <w:p w14:paraId="39BAACFD" w14:textId="77777777" w:rsidR="003661B0" w:rsidRPr="003328F3" w:rsidRDefault="003661B0" w:rsidP="000850AC">
            <w:pPr>
              <w:pStyle w:val="TableText"/>
              <w:jc w:val="right"/>
              <w:rPr>
                <w:bCs/>
                <w:color w:val="000000" w:themeColor="text1"/>
              </w:rPr>
            </w:pPr>
            <w:r w:rsidRPr="003328F3">
              <w:rPr>
                <w:bCs/>
                <w:color w:val="000000" w:themeColor="text1"/>
              </w:rPr>
              <w:t>66.0</w:t>
            </w:r>
          </w:p>
        </w:tc>
        <w:tc>
          <w:tcPr>
            <w:tcW w:w="450" w:type="dxa"/>
            <w:tcMar>
              <w:left w:w="72" w:type="dxa"/>
              <w:right w:w="72" w:type="dxa"/>
            </w:tcMar>
          </w:tcPr>
          <w:p w14:paraId="498B3628" w14:textId="77777777" w:rsidR="003661B0" w:rsidRPr="003328F3" w:rsidRDefault="003661B0" w:rsidP="000850AC">
            <w:pPr>
              <w:pStyle w:val="TableText"/>
              <w:jc w:val="right"/>
              <w:rPr>
                <w:bCs/>
                <w:color w:val="000000" w:themeColor="text1"/>
              </w:rPr>
            </w:pPr>
            <w:r w:rsidRPr="003328F3">
              <w:rPr>
                <w:bCs/>
                <w:color w:val="000000" w:themeColor="text1"/>
              </w:rPr>
              <w:t>3.2</w:t>
            </w:r>
          </w:p>
        </w:tc>
        <w:tc>
          <w:tcPr>
            <w:tcW w:w="867" w:type="dxa"/>
            <w:tcMar>
              <w:left w:w="72" w:type="dxa"/>
              <w:right w:w="72" w:type="dxa"/>
            </w:tcMar>
          </w:tcPr>
          <w:p w14:paraId="7CA98AF9" w14:textId="77777777" w:rsidR="003661B0" w:rsidRPr="003328F3" w:rsidRDefault="003661B0" w:rsidP="000850AC">
            <w:pPr>
              <w:pStyle w:val="TableText"/>
              <w:jc w:val="right"/>
              <w:rPr>
                <w:bCs/>
                <w:color w:val="000000" w:themeColor="text1"/>
              </w:rPr>
            </w:pPr>
            <w:r w:rsidRPr="003328F3">
              <w:rPr>
                <w:bCs/>
                <w:color w:val="000000" w:themeColor="text1"/>
              </w:rPr>
              <w:t>59.7, 72.3</w:t>
            </w:r>
          </w:p>
        </w:tc>
        <w:tc>
          <w:tcPr>
            <w:tcW w:w="483" w:type="dxa"/>
            <w:tcMar>
              <w:left w:w="72" w:type="dxa"/>
              <w:right w:w="72" w:type="dxa"/>
            </w:tcMar>
          </w:tcPr>
          <w:p w14:paraId="0F45689F" w14:textId="77777777" w:rsidR="003661B0" w:rsidRPr="003328F3" w:rsidRDefault="003661B0" w:rsidP="000850AC">
            <w:pPr>
              <w:pStyle w:val="TableText"/>
              <w:jc w:val="right"/>
              <w:rPr>
                <w:bCs/>
                <w:color w:val="000000" w:themeColor="text1"/>
              </w:rPr>
            </w:pPr>
            <w:r w:rsidRPr="003328F3">
              <w:rPr>
                <w:bCs/>
                <w:color w:val="000000" w:themeColor="text1"/>
              </w:rPr>
              <w:t>5.4</w:t>
            </w:r>
          </w:p>
        </w:tc>
        <w:tc>
          <w:tcPr>
            <w:tcW w:w="540" w:type="dxa"/>
            <w:tcMar>
              <w:left w:w="72" w:type="dxa"/>
              <w:right w:w="72" w:type="dxa"/>
            </w:tcMar>
          </w:tcPr>
          <w:p w14:paraId="74CB6078" w14:textId="77777777" w:rsidR="003661B0" w:rsidRPr="003328F3" w:rsidRDefault="003661B0" w:rsidP="000850AC">
            <w:pPr>
              <w:pStyle w:val="TableText"/>
              <w:jc w:val="right"/>
              <w:rPr>
                <w:bCs/>
                <w:color w:val="000000" w:themeColor="text1"/>
              </w:rPr>
            </w:pPr>
            <w:r w:rsidRPr="003328F3">
              <w:rPr>
                <w:bCs/>
                <w:color w:val="000000" w:themeColor="text1"/>
              </w:rPr>
              <w:t>6.1</w:t>
            </w:r>
          </w:p>
        </w:tc>
        <w:tc>
          <w:tcPr>
            <w:tcW w:w="757" w:type="dxa"/>
            <w:tcMar>
              <w:left w:w="72" w:type="dxa"/>
              <w:right w:w="72" w:type="dxa"/>
            </w:tcMar>
          </w:tcPr>
          <w:p w14:paraId="3940CB16"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6.6, 17.4</w:t>
            </w:r>
          </w:p>
        </w:tc>
        <w:tc>
          <w:tcPr>
            <w:tcW w:w="503" w:type="dxa"/>
            <w:tcMar>
              <w:left w:w="72" w:type="dxa"/>
              <w:right w:w="72" w:type="dxa"/>
            </w:tcMar>
          </w:tcPr>
          <w:p w14:paraId="05BBEFA0" w14:textId="77777777" w:rsidR="003661B0" w:rsidRPr="003328F3" w:rsidRDefault="003661B0" w:rsidP="000850AC">
            <w:pPr>
              <w:pStyle w:val="TableText"/>
              <w:jc w:val="right"/>
              <w:rPr>
                <w:bCs/>
                <w:color w:val="000000" w:themeColor="text1"/>
              </w:rPr>
            </w:pPr>
            <w:r w:rsidRPr="003328F3">
              <w:rPr>
                <w:bCs/>
                <w:color w:val="000000" w:themeColor="text1"/>
              </w:rPr>
              <w:t>71.8</w:t>
            </w:r>
          </w:p>
        </w:tc>
        <w:tc>
          <w:tcPr>
            <w:tcW w:w="540" w:type="dxa"/>
            <w:tcMar>
              <w:left w:w="72" w:type="dxa"/>
              <w:right w:w="72" w:type="dxa"/>
            </w:tcMar>
          </w:tcPr>
          <w:p w14:paraId="15E47E6E" w14:textId="77777777" w:rsidR="003661B0" w:rsidRPr="003328F3" w:rsidRDefault="003661B0" w:rsidP="000850AC">
            <w:pPr>
              <w:pStyle w:val="TableText"/>
              <w:jc w:val="right"/>
              <w:rPr>
                <w:bCs/>
                <w:color w:val="000000" w:themeColor="text1"/>
              </w:rPr>
            </w:pPr>
            <w:r w:rsidRPr="003328F3">
              <w:rPr>
                <w:bCs/>
                <w:color w:val="000000" w:themeColor="text1"/>
              </w:rPr>
              <w:t>5.0</w:t>
            </w:r>
          </w:p>
        </w:tc>
        <w:tc>
          <w:tcPr>
            <w:tcW w:w="736" w:type="dxa"/>
            <w:tcMar>
              <w:left w:w="72" w:type="dxa"/>
              <w:right w:w="72" w:type="dxa"/>
            </w:tcMar>
          </w:tcPr>
          <w:p w14:paraId="79D3095D" w14:textId="77777777" w:rsidR="003661B0" w:rsidRPr="003328F3" w:rsidRDefault="003661B0" w:rsidP="000850AC">
            <w:pPr>
              <w:pStyle w:val="TableText"/>
              <w:jc w:val="right"/>
              <w:rPr>
                <w:bCs/>
                <w:color w:val="000000" w:themeColor="text1"/>
              </w:rPr>
            </w:pPr>
            <w:r w:rsidRPr="003328F3">
              <w:rPr>
                <w:bCs/>
                <w:color w:val="000000" w:themeColor="text1"/>
              </w:rPr>
              <w:t>61.0, 80.6</w:t>
            </w:r>
          </w:p>
        </w:tc>
        <w:tc>
          <w:tcPr>
            <w:tcW w:w="524" w:type="dxa"/>
            <w:tcMar>
              <w:left w:w="72" w:type="dxa"/>
              <w:right w:w="72" w:type="dxa"/>
            </w:tcMar>
          </w:tcPr>
          <w:p w14:paraId="301B38F6" w14:textId="77777777" w:rsidR="003661B0" w:rsidRPr="003328F3" w:rsidRDefault="003661B0" w:rsidP="000850AC">
            <w:pPr>
              <w:pStyle w:val="TableText"/>
              <w:jc w:val="right"/>
              <w:rPr>
                <w:bCs/>
                <w:color w:val="000000" w:themeColor="text1"/>
              </w:rPr>
            </w:pPr>
            <w:r w:rsidRPr="003328F3">
              <w:rPr>
                <w:bCs/>
                <w:color w:val="000000" w:themeColor="text1"/>
              </w:rPr>
              <w:t>45.8</w:t>
            </w:r>
          </w:p>
        </w:tc>
        <w:tc>
          <w:tcPr>
            <w:tcW w:w="540" w:type="dxa"/>
            <w:tcMar>
              <w:left w:w="72" w:type="dxa"/>
              <w:right w:w="72" w:type="dxa"/>
            </w:tcMar>
          </w:tcPr>
          <w:p w14:paraId="1F64F8BB" w14:textId="77777777" w:rsidR="003661B0" w:rsidRPr="003328F3" w:rsidRDefault="003661B0" w:rsidP="000850AC">
            <w:pPr>
              <w:pStyle w:val="TableText"/>
              <w:jc w:val="right"/>
              <w:rPr>
                <w:bCs/>
                <w:color w:val="000000" w:themeColor="text1"/>
              </w:rPr>
            </w:pPr>
            <w:r w:rsidRPr="003328F3">
              <w:rPr>
                <w:bCs/>
                <w:color w:val="000000" w:themeColor="text1"/>
              </w:rPr>
              <w:t>4.1</w:t>
            </w:r>
          </w:p>
        </w:tc>
        <w:tc>
          <w:tcPr>
            <w:tcW w:w="715" w:type="dxa"/>
            <w:tcMar>
              <w:left w:w="72" w:type="dxa"/>
              <w:right w:w="72" w:type="dxa"/>
            </w:tcMar>
          </w:tcPr>
          <w:p w14:paraId="7FA6DCB8" w14:textId="77777777" w:rsidR="003661B0" w:rsidRPr="003328F3" w:rsidRDefault="003661B0" w:rsidP="000850AC">
            <w:pPr>
              <w:pStyle w:val="TableText"/>
              <w:jc w:val="right"/>
              <w:rPr>
                <w:bCs/>
                <w:color w:val="000000" w:themeColor="text1"/>
              </w:rPr>
            </w:pPr>
            <w:r w:rsidRPr="003328F3">
              <w:rPr>
                <w:bCs/>
                <w:color w:val="000000" w:themeColor="text1"/>
              </w:rPr>
              <w:t>37.8</w:t>
            </w:r>
            <w:r>
              <w:rPr>
                <w:bCs/>
                <w:color w:val="000000" w:themeColor="text1"/>
              </w:rPr>
              <w:t xml:space="preserve">, </w:t>
            </w:r>
            <w:r w:rsidRPr="003328F3">
              <w:rPr>
                <w:bCs/>
                <w:color w:val="000000" w:themeColor="text1"/>
              </w:rPr>
              <w:t>53.7</w:t>
            </w:r>
          </w:p>
        </w:tc>
        <w:tc>
          <w:tcPr>
            <w:tcW w:w="545" w:type="dxa"/>
            <w:tcMar>
              <w:left w:w="72" w:type="dxa"/>
              <w:right w:w="72" w:type="dxa"/>
            </w:tcMar>
          </w:tcPr>
          <w:p w14:paraId="3F6E874A" w14:textId="77777777" w:rsidR="003661B0" w:rsidRPr="003328F3" w:rsidRDefault="003661B0" w:rsidP="000850AC">
            <w:pPr>
              <w:pStyle w:val="TableText"/>
              <w:jc w:val="right"/>
              <w:rPr>
                <w:bCs/>
                <w:color w:val="000000" w:themeColor="text1"/>
              </w:rPr>
            </w:pPr>
            <w:r w:rsidRPr="003328F3">
              <w:rPr>
                <w:bCs/>
                <w:color w:val="000000" w:themeColor="text1"/>
              </w:rPr>
              <w:t>26.1</w:t>
            </w:r>
          </w:p>
        </w:tc>
        <w:tc>
          <w:tcPr>
            <w:tcW w:w="450" w:type="dxa"/>
            <w:tcMar>
              <w:left w:w="72" w:type="dxa"/>
              <w:right w:w="72" w:type="dxa"/>
            </w:tcMar>
          </w:tcPr>
          <w:p w14:paraId="0E48F2E2" w14:textId="77777777" w:rsidR="003661B0" w:rsidRPr="003328F3" w:rsidRDefault="003661B0" w:rsidP="000850AC">
            <w:pPr>
              <w:pStyle w:val="TableText"/>
              <w:jc w:val="right"/>
              <w:rPr>
                <w:bCs/>
                <w:color w:val="000000" w:themeColor="text1"/>
              </w:rPr>
            </w:pPr>
            <w:r w:rsidRPr="003328F3">
              <w:rPr>
                <w:bCs/>
                <w:color w:val="000000" w:themeColor="text1"/>
              </w:rPr>
              <w:t>6.5</w:t>
            </w:r>
          </w:p>
        </w:tc>
        <w:tc>
          <w:tcPr>
            <w:tcW w:w="785" w:type="dxa"/>
            <w:tcMar>
              <w:left w:w="72" w:type="dxa"/>
              <w:right w:w="72" w:type="dxa"/>
            </w:tcMar>
          </w:tcPr>
          <w:p w14:paraId="1F9A8924" w14:textId="77777777" w:rsidR="003661B0" w:rsidRPr="003328F3" w:rsidRDefault="003661B0" w:rsidP="000850AC">
            <w:pPr>
              <w:pStyle w:val="TableText"/>
              <w:jc w:val="right"/>
              <w:rPr>
                <w:bCs/>
                <w:color w:val="000000" w:themeColor="text1"/>
              </w:rPr>
            </w:pPr>
            <w:r w:rsidRPr="003328F3">
              <w:rPr>
                <w:bCs/>
                <w:color w:val="000000" w:themeColor="text1"/>
              </w:rPr>
              <w:t>13.4, 38.8</w:t>
            </w:r>
          </w:p>
        </w:tc>
      </w:tr>
      <w:tr w:rsidR="00BD41F3" w:rsidRPr="003328F3" w14:paraId="5D1ABF67" w14:textId="77777777" w:rsidTr="00476EA0">
        <w:trPr>
          <w:cnfStyle w:val="010000000000" w:firstRow="0" w:lastRow="1" w:firstColumn="0" w:lastColumn="0" w:oddVBand="0" w:evenVBand="0" w:oddHBand="0" w:evenHBand="0" w:firstRowFirstColumn="0" w:firstRowLastColumn="0" w:lastRowFirstColumn="0" w:lastRowLastColumn="0"/>
          <w:cantSplit/>
        </w:trPr>
        <w:tc>
          <w:tcPr>
            <w:tcW w:w="841" w:type="dxa"/>
            <w:shd w:val="clear" w:color="auto" w:fill="C1D9FF"/>
          </w:tcPr>
          <w:p w14:paraId="4290B64A" w14:textId="77777777" w:rsidR="003661B0" w:rsidRPr="003328F3" w:rsidRDefault="003661B0" w:rsidP="000850AC">
            <w:pPr>
              <w:pStyle w:val="TableText"/>
              <w:rPr>
                <w:rFonts w:eastAsia="GillSans"/>
                <w:lang w:eastAsia="en-AU"/>
              </w:rPr>
            </w:pPr>
            <w:r w:rsidRPr="003328F3">
              <w:rPr>
                <w:rFonts w:cs="ArialMT"/>
              </w:rPr>
              <w:t>Don’t know</w:t>
            </w:r>
            <w:r>
              <w:rPr>
                <w:rFonts w:cs="ArialMT"/>
                <w:vertAlign w:val="superscript"/>
              </w:rPr>
              <w:t>*</w:t>
            </w:r>
          </w:p>
        </w:tc>
        <w:tc>
          <w:tcPr>
            <w:tcW w:w="444" w:type="dxa"/>
            <w:shd w:val="clear" w:color="auto" w:fill="C1D9FF"/>
            <w:tcMar>
              <w:left w:w="72" w:type="dxa"/>
              <w:right w:w="72" w:type="dxa"/>
            </w:tcMar>
          </w:tcPr>
          <w:p w14:paraId="44ADFA31"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color w:val="000000" w:themeColor="text1"/>
                <w:lang w:eastAsia="en-AU"/>
              </w:rPr>
              <w:t>0.0</w:t>
            </w:r>
          </w:p>
        </w:tc>
        <w:tc>
          <w:tcPr>
            <w:tcW w:w="450" w:type="dxa"/>
            <w:shd w:val="clear" w:color="auto" w:fill="C1D9FF"/>
            <w:tcMar>
              <w:left w:w="72" w:type="dxa"/>
              <w:right w:w="72" w:type="dxa"/>
            </w:tcMar>
          </w:tcPr>
          <w:p w14:paraId="61640450" w14:textId="77777777" w:rsidR="003661B0" w:rsidRPr="003328F3" w:rsidRDefault="003661B0" w:rsidP="000850AC">
            <w:pPr>
              <w:pStyle w:val="TableText"/>
              <w:jc w:val="right"/>
              <w:rPr>
                <w:rFonts w:eastAsia="Times New Roman"/>
                <w:color w:val="000000" w:themeColor="text1"/>
                <w:lang w:eastAsia="en-AU"/>
              </w:rPr>
            </w:pPr>
            <w:r w:rsidRPr="003328F3">
              <w:rPr>
                <w:rFonts w:eastAsia="Times New Roman"/>
                <w:color w:val="000000" w:themeColor="text1"/>
                <w:lang w:eastAsia="en-AU"/>
              </w:rPr>
              <w:t>0.0</w:t>
            </w:r>
          </w:p>
        </w:tc>
        <w:tc>
          <w:tcPr>
            <w:tcW w:w="888" w:type="dxa"/>
            <w:shd w:val="clear" w:color="auto" w:fill="C1D9FF"/>
            <w:tcMar>
              <w:left w:w="72" w:type="dxa"/>
              <w:right w:w="72" w:type="dxa"/>
            </w:tcMar>
          </w:tcPr>
          <w:p w14:paraId="55065B16" w14:textId="77777777" w:rsidR="003661B0" w:rsidRPr="003328F3" w:rsidRDefault="003661B0" w:rsidP="000850AC">
            <w:pPr>
              <w:pStyle w:val="TableText"/>
              <w:jc w:val="right"/>
              <w:rPr>
                <w:bCs/>
                <w:color w:val="000000" w:themeColor="text1"/>
              </w:rPr>
            </w:pPr>
            <w:r w:rsidRPr="003328F3">
              <w:rPr>
                <w:bCs/>
                <w:color w:val="000000" w:themeColor="text1"/>
              </w:rPr>
              <w:t>0.0</w:t>
            </w:r>
            <w:r>
              <w:rPr>
                <w:bCs/>
                <w:color w:val="000000" w:themeColor="text1"/>
              </w:rPr>
              <w:t xml:space="preserve">, </w:t>
            </w:r>
            <w:r w:rsidRPr="003328F3">
              <w:rPr>
                <w:bCs/>
                <w:color w:val="000000" w:themeColor="text1"/>
              </w:rPr>
              <w:t>0.0</w:t>
            </w:r>
          </w:p>
        </w:tc>
        <w:tc>
          <w:tcPr>
            <w:tcW w:w="462" w:type="dxa"/>
            <w:shd w:val="clear" w:color="auto" w:fill="C1D9FF"/>
            <w:tcMar>
              <w:left w:w="72" w:type="dxa"/>
              <w:right w:w="72" w:type="dxa"/>
            </w:tcMar>
          </w:tcPr>
          <w:p w14:paraId="6FE135A7" w14:textId="77777777" w:rsidR="003661B0" w:rsidRPr="003328F3" w:rsidRDefault="003661B0" w:rsidP="000850AC">
            <w:pPr>
              <w:pStyle w:val="TableText"/>
              <w:jc w:val="right"/>
              <w:rPr>
                <w:bCs/>
                <w:color w:val="000000" w:themeColor="text1"/>
              </w:rPr>
            </w:pPr>
            <w:r w:rsidRPr="003328F3">
              <w:rPr>
                <w:rFonts w:eastAsia="Times New Roman"/>
                <w:color w:val="000000" w:themeColor="text1"/>
                <w:lang w:eastAsia="en-AU"/>
              </w:rPr>
              <w:t>0.02</w:t>
            </w:r>
          </w:p>
        </w:tc>
        <w:tc>
          <w:tcPr>
            <w:tcW w:w="450" w:type="dxa"/>
            <w:shd w:val="clear" w:color="auto" w:fill="C1D9FF"/>
            <w:tcMar>
              <w:left w:w="72" w:type="dxa"/>
              <w:right w:w="72" w:type="dxa"/>
            </w:tcMar>
          </w:tcPr>
          <w:p w14:paraId="2DD43FA1" w14:textId="77777777" w:rsidR="003661B0" w:rsidRPr="003328F3" w:rsidRDefault="003661B0" w:rsidP="000850AC">
            <w:pPr>
              <w:pStyle w:val="TableText"/>
              <w:jc w:val="right"/>
              <w:rPr>
                <w:bCs/>
                <w:color w:val="000000" w:themeColor="text1"/>
              </w:rPr>
            </w:pPr>
            <w:r w:rsidRPr="003328F3">
              <w:rPr>
                <w:rFonts w:eastAsia="Times New Roman"/>
                <w:color w:val="000000" w:themeColor="text1"/>
                <w:lang w:eastAsia="en-AU"/>
              </w:rPr>
              <w:t>0.02</w:t>
            </w:r>
          </w:p>
        </w:tc>
        <w:tc>
          <w:tcPr>
            <w:tcW w:w="867" w:type="dxa"/>
            <w:shd w:val="clear" w:color="auto" w:fill="C1D9FF"/>
            <w:tcMar>
              <w:left w:w="72" w:type="dxa"/>
              <w:right w:w="72" w:type="dxa"/>
            </w:tcMar>
          </w:tcPr>
          <w:p w14:paraId="4299D5FC"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0.01</w:t>
            </w:r>
            <w:r>
              <w:rPr>
                <w:bCs/>
                <w:color w:val="000000" w:themeColor="text1"/>
              </w:rPr>
              <w:t xml:space="preserve">, </w:t>
            </w:r>
            <w:r w:rsidRPr="003328F3">
              <w:rPr>
                <w:bCs/>
                <w:color w:val="000000" w:themeColor="text1"/>
              </w:rPr>
              <w:t>0.05</w:t>
            </w:r>
          </w:p>
        </w:tc>
        <w:tc>
          <w:tcPr>
            <w:tcW w:w="483" w:type="dxa"/>
            <w:shd w:val="clear" w:color="auto" w:fill="C1D9FF"/>
            <w:tcMar>
              <w:left w:w="72" w:type="dxa"/>
              <w:right w:w="72" w:type="dxa"/>
            </w:tcMar>
          </w:tcPr>
          <w:p w14:paraId="22B2FDDD"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0.02</w:t>
            </w:r>
          </w:p>
        </w:tc>
        <w:tc>
          <w:tcPr>
            <w:tcW w:w="540" w:type="dxa"/>
            <w:shd w:val="clear" w:color="auto" w:fill="C1D9FF"/>
            <w:tcMar>
              <w:left w:w="72" w:type="dxa"/>
              <w:right w:w="72" w:type="dxa"/>
            </w:tcMar>
          </w:tcPr>
          <w:p w14:paraId="47C1CE8B" w14:textId="77777777" w:rsidR="003661B0" w:rsidRPr="003328F3" w:rsidRDefault="003661B0" w:rsidP="000850AC">
            <w:pPr>
              <w:pStyle w:val="TableText"/>
              <w:jc w:val="right"/>
              <w:rPr>
                <w:bCs/>
                <w:color w:val="000000" w:themeColor="text1"/>
              </w:rPr>
            </w:pPr>
            <w:r w:rsidRPr="003328F3">
              <w:rPr>
                <w:bCs/>
                <w:color w:val="000000" w:themeColor="text1"/>
              </w:rPr>
              <w:t>0.02</w:t>
            </w:r>
          </w:p>
        </w:tc>
        <w:tc>
          <w:tcPr>
            <w:tcW w:w="757" w:type="dxa"/>
            <w:shd w:val="clear" w:color="auto" w:fill="C1D9FF"/>
            <w:tcMar>
              <w:left w:w="72" w:type="dxa"/>
              <w:right w:w="72" w:type="dxa"/>
            </w:tcMar>
          </w:tcPr>
          <w:p w14:paraId="711D7A5E"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0.05, 0.01</w:t>
            </w:r>
          </w:p>
        </w:tc>
        <w:tc>
          <w:tcPr>
            <w:tcW w:w="503" w:type="dxa"/>
            <w:shd w:val="clear" w:color="auto" w:fill="C1D9FF"/>
            <w:tcMar>
              <w:left w:w="72" w:type="dxa"/>
              <w:right w:w="72" w:type="dxa"/>
            </w:tcMar>
          </w:tcPr>
          <w:p w14:paraId="12EC5A1E" w14:textId="77777777" w:rsidR="003661B0" w:rsidRPr="003328F3" w:rsidRDefault="003661B0" w:rsidP="000850AC">
            <w:pPr>
              <w:pStyle w:val="TableText"/>
              <w:jc w:val="right"/>
              <w:rPr>
                <w:bCs/>
                <w:color w:val="000000" w:themeColor="text1"/>
              </w:rPr>
            </w:pPr>
            <w:r w:rsidRPr="003328F3">
              <w:rPr>
                <w:bCs/>
                <w:color w:val="000000" w:themeColor="text1"/>
              </w:rPr>
              <w:t>0.0</w:t>
            </w:r>
          </w:p>
        </w:tc>
        <w:tc>
          <w:tcPr>
            <w:tcW w:w="540" w:type="dxa"/>
            <w:shd w:val="clear" w:color="auto" w:fill="C1D9FF"/>
            <w:tcMar>
              <w:left w:w="72" w:type="dxa"/>
              <w:right w:w="72" w:type="dxa"/>
            </w:tcMar>
          </w:tcPr>
          <w:p w14:paraId="1049EF04" w14:textId="77777777" w:rsidR="003661B0" w:rsidRPr="003328F3" w:rsidRDefault="003661B0" w:rsidP="000850AC">
            <w:pPr>
              <w:pStyle w:val="TableText"/>
              <w:jc w:val="right"/>
              <w:rPr>
                <w:bCs/>
                <w:color w:val="000000" w:themeColor="text1"/>
              </w:rPr>
            </w:pPr>
            <w:r w:rsidRPr="003328F3">
              <w:rPr>
                <w:bCs/>
                <w:color w:val="000000" w:themeColor="text1"/>
              </w:rPr>
              <w:t>0.0</w:t>
            </w:r>
          </w:p>
        </w:tc>
        <w:tc>
          <w:tcPr>
            <w:tcW w:w="736" w:type="dxa"/>
            <w:shd w:val="clear" w:color="auto" w:fill="C1D9FF"/>
            <w:tcMar>
              <w:left w:w="72" w:type="dxa"/>
              <w:right w:w="72" w:type="dxa"/>
            </w:tcMar>
          </w:tcPr>
          <w:p w14:paraId="7F63362E" w14:textId="77777777" w:rsidR="003661B0" w:rsidRPr="003328F3" w:rsidRDefault="003661B0" w:rsidP="000850AC">
            <w:pPr>
              <w:pStyle w:val="TableText"/>
              <w:jc w:val="right"/>
              <w:rPr>
                <w:bCs/>
                <w:color w:val="000000" w:themeColor="text1"/>
              </w:rPr>
            </w:pPr>
            <w:r w:rsidRPr="003328F3">
              <w:rPr>
                <w:bCs/>
                <w:color w:val="000000" w:themeColor="text1"/>
              </w:rPr>
              <w:t>0.0</w:t>
            </w:r>
            <w:r>
              <w:rPr>
                <w:bCs/>
                <w:color w:val="000000" w:themeColor="text1"/>
              </w:rPr>
              <w:t xml:space="preserve">, </w:t>
            </w:r>
            <w:r w:rsidRPr="003328F3">
              <w:rPr>
                <w:bCs/>
                <w:color w:val="000000" w:themeColor="text1"/>
              </w:rPr>
              <w:t>0.0</w:t>
            </w:r>
          </w:p>
        </w:tc>
        <w:tc>
          <w:tcPr>
            <w:tcW w:w="524" w:type="dxa"/>
            <w:shd w:val="clear" w:color="auto" w:fill="C1D9FF"/>
            <w:tcMar>
              <w:left w:w="72" w:type="dxa"/>
              <w:right w:w="72" w:type="dxa"/>
            </w:tcMar>
          </w:tcPr>
          <w:p w14:paraId="1C2278BA" w14:textId="77777777" w:rsidR="003661B0" w:rsidRPr="003328F3" w:rsidRDefault="003661B0" w:rsidP="000850AC">
            <w:pPr>
              <w:pStyle w:val="TableText"/>
              <w:jc w:val="right"/>
              <w:rPr>
                <w:bCs/>
                <w:color w:val="000000" w:themeColor="text1"/>
              </w:rPr>
            </w:pPr>
            <w:r w:rsidRPr="003328F3">
              <w:rPr>
                <w:bCs/>
                <w:color w:val="000000" w:themeColor="text1"/>
              </w:rPr>
              <w:t>1.2</w:t>
            </w:r>
          </w:p>
        </w:tc>
        <w:tc>
          <w:tcPr>
            <w:tcW w:w="540" w:type="dxa"/>
            <w:shd w:val="clear" w:color="auto" w:fill="C1D9FF"/>
            <w:tcMar>
              <w:left w:w="72" w:type="dxa"/>
              <w:right w:w="72" w:type="dxa"/>
            </w:tcMar>
          </w:tcPr>
          <w:p w14:paraId="717E2E57" w14:textId="77777777" w:rsidR="003661B0" w:rsidRPr="003328F3" w:rsidRDefault="003661B0" w:rsidP="000850AC">
            <w:pPr>
              <w:pStyle w:val="TableText"/>
              <w:jc w:val="right"/>
              <w:rPr>
                <w:bCs/>
                <w:color w:val="000000" w:themeColor="text1"/>
              </w:rPr>
            </w:pPr>
            <w:r w:rsidRPr="003328F3">
              <w:rPr>
                <w:bCs/>
                <w:color w:val="000000" w:themeColor="text1"/>
              </w:rPr>
              <w:t>1.0</w:t>
            </w:r>
          </w:p>
        </w:tc>
        <w:tc>
          <w:tcPr>
            <w:tcW w:w="715" w:type="dxa"/>
            <w:shd w:val="clear" w:color="auto" w:fill="C1D9FF"/>
            <w:tcMar>
              <w:left w:w="72" w:type="dxa"/>
              <w:right w:w="72" w:type="dxa"/>
            </w:tcMar>
          </w:tcPr>
          <w:p w14:paraId="10C4B758"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0.9, 3.2</w:t>
            </w:r>
          </w:p>
        </w:tc>
        <w:tc>
          <w:tcPr>
            <w:tcW w:w="545" w:type="dxa"/>
            <w:shd w:val="clear" w:color="auto" w:fill="C1D9FF"/>
            <w:tcMar>
              <w:left w:w="72" w:type="dxa"/>
              <w:right w:w="72" w:type="dxa"/>
            </w:tcMar>
          </w:tcPr>
          <w:p w14:paraId="65BA68A2"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1.2</w:t>
            </w:r>
          </w:p>
        </w:tc>
        <w:tc>
          <w:tcPr>
            <w:tcW w:w="450" w:type="dxa"/>
            <w:shd w:val="clear" w:color="auto" w:fill="C1D9FF"/>
            <w:tcMar>
              <w:left w:w="72" w:type="dxa"/>
              <w:right w:w="72" w:type="dxa"/>
            </w:tcMar>
          </w:tcPr>
          <w:p w14:paraId="3B4CFB80" w14:textId="77777777" w:rsidR="003661B0" w:rsidRPr="003328F3" w:rsidRDefault="003661B0" w:rsidP="000850AC">
            <w:pPr>
              <w:pStyle w:val="TableText"/>
              <w:jc w:val="right"/>
              <w:rPr>
                <w:bCs/>
                <w:color w:val="000000" w:themeColor="text1"/>
              </w:rPr>
            </w:pPr>
            <w:r w:rsidRPr="003328F3">
              <w:rPr>
                <w:bCs/>
                <w:color w:val="000000" w:themeColor="text1"/>
              </w:rPr>
              <w:t>1.0</w:t>
            </w:r>
          </w:p>
        </w:tc>
        <w:tc>
          <w:tcPr>
            <w:tcW w:w="785" w:type="dxa"/>
            <w:shd w:val="clear" w:color="auto" w:fill="C1D9FF"/>
            <w:tcMar>
              <w:left w:w="72" w:type="dxa"/>
              <w:right w:w="72" w:type="dxa"/>
            </w:tcMar>
          </w:tcPr>
          <w:p w14:paraId="13591F84" w14:textId="77777777" w:rsidR="003661B0" w:rsidRPr="003328F3" w:rsidRDefault="003661B0" w:rsidP="000850AC">
            <w:pPr>
              <w:pStyle w:val="TableText"/>
              <w:jc w:val="right"/>
              <w:rPr>
                <w:bCs/>
                <w:color w:val="000000" w:themeColor="text1"/>
              </w:rPr>
            </w:pPr>
            <w:r>
              <w:rPr>
                <w:rFonts w:eastAsia="Times New Roman"/>
                <w:bCs/>
                <w:color w:val="000000" w:themeColor="text1"/>
              </w:rPr>
              <w:t>–</w:t>
            </w:r>
            <w:r w:rsidRPr="003328F3">
              <w:rPr>
                <w:bCs/>
                <w:color w:val="000000" w:themeColor="text1"/>
              </w:rPr>
              <w:t>3.2, 0.85</w:t>
            </w:r>
          </w:p>
        </w:tc>
      </w:tr>
    </w:tbl>
    <w:bookmarkEnd w:id="1278"/>
    <w:p w14:paraId="662DB1F3" w14:textId="77777777" w:rsidR="003661B0" w:rsidRPr="001743E6" w:rsidRDefault="003661B0" w:rsidP="003661B0">
      <w:pPr>
        <w:pStyle w:val="TableNotes"/>
      </w:pPr>
      <w:r>
        <w:rPr>
          <w:rFonts w:cs="Calibri"/>
          <w:sz w:val="16"/>
          <w:vertAlign w:val="superscript"/>
        </w:rPr>
        <w:t>*</w:t>
      </w:r>
      <w:r w:rsidRPr="001743E6">
        <w:t>Only the Young and Well participants had the option of responding ‘Don’t know’.</w:t>
      </w:r>
    </w:p>
    <w:p w14:paraId="0210A7D3" w14:textId="77777777" w:rsidR="003661B0" w:rsidRPr="00A6315A" w:rsidRDefault="003661B0" w:rsidP="003661B0">
      <w:pPr>
        <w:pStyle w:val="TableNotes"/>
      </w:pPr>
      <w:r w:rsidRPr="00A6315A">
        <w:t>Notes</w:t>
      </w:r>
    </w:p>
    <w:p w14:paraId="5402F662" w14:textId="77777777" w:rsidR="003661B0" w:rsidRPr="001743E6" w:rsidRDefault="003661B0" w:rsidP="003661B0">
      <w:pPr>
        <w:pStyle w:val="TableNotes"/>
      </w:pPr>
      <w:r w:rsidRPr="001743E6">
        <w:t xml:space="preserve">Denominator: Total Transitioned ADF </w:t>
      </w:r>
      <w:r>
        <w:t>18–25</w:t>
      </w:r>
      <w:r w:rsidRPr="001743E6">
        <w:t xml:space="preserve"> years and Young and Well </w:t>
      </w:r>
      <w:r>
        <w:t>18–25</w:t>
      </w:r>
      <w:r w:rsidRPr="001743E6">
        <w:t xml:space="preserve"> years cohorts who used the </w:t>
      </w:r>
      <w:r>
        <w:t>internet.</w:t>
      </w:r>
      <w:r w:rsidRPr="001743E6">
        <w:t xml:space="preserve"> </w:t>
      </w:r>
    </w:p>
    <w:p w14:paraId="10B2F84E" w14:textId="77777777" w:rsidR="003661B0" w:rsidRPr="001743E6" w:rsidRDefault="003661B0" w:rsidP="003661B0">
      <w:pPr>
        <w:pStyle w:val="TableNotes"/>
      </w:pPr>
      <w:r w:rsidRPr="001743E6">
        <w:t>1</w:t>
      </w:r>
      <w:r>
        <w:t>.0</w:t>
      </w:r>
      <w:r w:rsidRPr="001743E6">
        <w:t xml:space="preserve">% of the Transitioned ADF cohort had a missing value for this question. However, distributions are calculated by including those with a missing value to allow for correct weighted totals. </w:t>
      </w:r>
    </w:p>
    <w:p w14:paraId="3CEC85A1" w14:textId="77777777" w:rsidR="003661B0" w:rsidRPr="001743E6" w:rsidRDefault="003661B0" w:rsidP="003661B0">
      <w:pPr>
        <w:pStyle w:val="TableNotes"/>
      </w:pPr>
      <w:r>
        <w:t>95%CI = 95% confidence interval.</w:t>
      </w:r>
    </w:p>
    <w:p w14:paraId="58CF3B4B" w14:textId="4BDED85C" w:rsidR="003661B0" w:rsidRDefault="003661B0" w:rsidP="003661B0">
      <w:pPr>
        <w:pStyle w:val="FigureName"/>
      </w:pPr>
      <w:bookmarkStart w:id="1279" w:name="_Ref388788975"/>
      <w:bookmarkStart w:id="1280" w:name="_Toc515374748"/>
      <w:bookmarkStart w:id="1281" w:name="_Toc528932431"/>
      <w:bookmarkStart w:id="1282" w:name="_Toc531858112"/>
      <w:r>
        <w:t xml:space="preserve">Figure </w:t>
      </w:r>
      <w:r>
        <w:rPr>
          <w:noProof/>
        </w:rPr>
        <w:t>10</w:t>
      </w:r>
      <w:r>
        <w:t>.</w:t>
      </w:r>
      <w:r>
        <w:rPr>
          <w:noProof/>
        </w:rPr>
        <w:t>12</w:t>
      </w:r>
      <w:bookmarkEnd w:id="1279"/>
      <w:r>
        <w:tab/>
      </w:r>
      <w:r w:rsidRPr="003328F3">
        <w:t xml:space="preserve">Use of the </w:t>
      </w:r>
      <w:r>
        <w:t>internet</w:t>
      </w:r>
      <w:r w:rsidRPr="003328F3">
        <w:t xml:space="preserve"> to seek help for or manage mental health issues in Transitioned ADF (aged </w:t>
      </w:r>
      <w:r>
        <w:t>18–25</w:t>
      </w:r>
      <w:r w:rsidRPr="003328F3">
        <w:t>) compared to the Young and Well cohort</w:t>
      </w:r>
      <w:r>
        <w:t>, by level of psycho</w:t>
      </w:r>
      <w:r w:rsidRPr="003328F3">
        <w:t>logical distress</w:t>
      </w:r>
      <w:bookmarkEnd w:id="1280"/>
      <w:bookmarkEnd w:id="1281"/>
      <w:bookmarkEnd w:id="1282"/>
    </w:p>
    <w:p w14:paraId="212282DE" w14:textId="77777777" w:rsidR="003661B0" w:rsidRDefault="003661B0" w:rsidP="003661B0">
      <w:r>
        <w:rPr>
          <w:noProof/>
          <w:lang w:eastAsia="en-AU"/>
        </w:rPr>
        <w:drawing>
          <wp:inline distT="0" distB="0" distL="0" distR="0" wp14:anchorId="22EE65FB" wp14:editId="4AA136C1">
            <wp:extent cx="7132320" cy="4023360"/>
            <wp:effectExtent l="0" t="0" r="0" b="0"/>
            <wp:docPr id="120" name="Chart 120" descr="Figure 10.12 Use of the internet to seek help for or manage mental health issues in Transitioned ADF (aged 18–25) compared to the Young and Well cohort, by level of psychological distres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4403313A" w14:textId="77777777" w:rsidR="002A7F4E" w:rsidRDefault="002A7F4E" w:rsidP="002A7F4E">
      <w:pPr>
        <w:sectPr w:rsidR="002A7F4E" w:rsidSect="00980AE4">
          <w:footerReference w:type="even" r:id="rId164"/>
          <w:footerReference w:type="default" r:id="rId165"/>
          <w:pgSz w:w="14170" w:h="9979" w:orient="landscape" w:code="243"/>
          <w:pgMar w:top="1872" w:right="1440" w:bottom="1152" w:left="1440" w:header="576" w:footer="576" w:gutter="0"/>
          <w:cols w:space="708"/>
          <w:docGrid w:linePitch="360"/>
        </w:sectPr>
      </w:pPr>
    </w:p>
    <w:p w14:paraId="498448D9" w14:textId="77777777" w:rsidR="00373141" w:rsidRPr="001743E6" w:rsidRDefault="00373141" w:rsidP="00373141">
      <w:pPr>
        <w:pStyle w:val="Heading1"/>
        <w:numPr>
          <w:ilvl w:val="0"/>
          <w:numId w:val="1"/>
        </w:numPr>
      </w:pPr>
      <w:bookmarkStart w:id="1283" w:name="_Toc518566472"/>
      <w:bookmarkStart w:id="1284" w:name="_Toc528932750"/>
      <w:bookmarkStart w:id="1285" w:name="_Toc509917486"/>
      <w:bookmarkStart w:id="1286" w:name="_Toc385859401"/>
      <w:bookmarkStart w:id="1287" w:name="_Toc531859287"/>
      <w:r w:rsidRPr="001743E6">
        <w:t>Discussion</w:t>
      </w:r>
      <w:bookmarkEnd w:id="1283"/>
      <w:bookmarkEnd w:id="1284"/>
      <w:bookmarkEnd w:id="1285"/>
      <w:bookmarkEnd w:id="1286"/>
      <w:bookmarkEnd w:id="1287"/>
    </w:p>
    <w:p w14:paraId="72EB914F" w14:textId="294F091D" w:rsidR="00373141" w:rsidRPr="003057E9" w:rsidRDefault="00373141" w:rsidP="00373141">
      <w:bookmarkStart w:id="1288" w:name="_TOC_250032"/>
      <w:r w:rsidRPr="003057E9">
        <w:t>Results from the Transition and Wellbeing Research Programme, examining mental health prevalence and pathways to care in the Transitioned ADF and the 2015 Regular ADF, clearly highlighted some major challenges and significant opportunities for the Australian Government in relation to the way support and care is provided to the Transitioned ADF and Regular ADF (</w:t>
      </w:r>
      <w:r w:rsidR="008B4128">
        <w:t>Forbes et al. 2018</w:t>
      </w:r>
      <w:r w:rsidRPr="003057E9">
        <w:t>; Van Hooff et al., 201</w:t>
      </w:r>
      <w:r w:rsidR="004B02D6">
        <w:t>8</w:t>
      </w:r>
      <w:r w:rsidR="00483990">
        <w:t>a</w:t>
      </w:r>
      <w:r w:rsidRPr="003057E9">
        <w:t>)</w:t>
      </w:r>
      <w:r w:rsidR="003B2AF6">
        <w:t>.</w:t>
      </w:r>
    </w:p>
    <w:p w14:paraId="523273CB" w14:textId="77777777" w:rsidR="00373141" w:rsidRPr="003057E9" w:rsidRDefault="00373141" w:rsidP="003057E9">
      <w:r w:rsidRPr="003057E9">
        <w:t>Overall these reports found:</w:t>
      </w:r>
    </w:p>
    <w:p w14:paraId="74910264" w14:textId="77777777" w:rsidR="00373141" w:rsidRPr="003057E9" w:rsidRDefault="00373141" w:rsidP="003057E9">
      <w:pPr>
        <w:pStyle w:val="Bullet"/>
      </w:pPr>
      <w:r w:rsidRPr="003057E9">
        <w:rPr>
          <w:spacing w:val="2"/>
        </w:rPr>
        <w:t>As within the broader Australian population, m</w:t>
      </w:r>
      <w:r w:rsidRPr="003057E9">
        <w:t>e</w:t>
      </w:r>
      <w:r w:rsidRPr="003057E9">
        <w:rPr>
          <w:spacing w:val="1"/>
        </w:rPr>
        <w:t>n</w:t>
      </w:r>
      <w:r w:rsidRPr="003057E9">
        <w:t>t</w:t>
      </w:r>
      <w:r w:rsidRPr="003057E9">
        <w:rPr>
          <w:spacing w:val="1"/>
        </w:rPr>
        <w:t>a</w:t>
      </w:r>
      <w:r w:rsidRPr="003057E9">
        <w:t>l</w:t>
      </w:r>
      <w:r w:rsidRPr="003057E9">
        <w:rPr>
          <w:spacing w:val="-4"/>
        </w:rPr>
        <w:t xml:space="preserve"> </w:t>
      </w:r>
      <w:r w:rsidRPr="003057E9">
        <w:rPr>
          <w:spacing w:val="1"/>
        </w:rPr>
        <w:t>h</w:t>
      </w:r>
      <w:r w:rsidRPr="003057E9">
        <w:t>e</w:t>
      </w:r>
      <w:r w:rsidRPr="003057E9">
        <w:rPr>
          <w:spacing w:val="1"/>
        </w:rPr>
        <w:t>a</w:t>
      </w:r>
      <w:r w:rsidRPr="003057E9">
        <w:t>lth problems were highly prevalent for both the Transitioned ADF and the 2015 Regular ADF.</w:t>
      </w:r>
    </w:p>
    <w:p w14:paraId="7A15B9C0" w14:textId="77777777" w:rsidR="00373141" w:rsidRPr="003B1FB4" w:rsidRDefault="00373141" w:rsidP="00373141">
      <w:pPr>
        <w:pStyle w:val="Bullet"/>
        <w:numPr>
          <w:ilvl w:val="0"/>
          <w:numId w:val="3"/>
        </w:numPr>
        <w:ind w:left="360"/>
      </w:pPr>
      <w:r w:rsidRPr="003B1FB4">
        <w:t xml:space="preserve">Compared to </w:t>
      </w:r>
      <w:r>
        <w:t xml:space="preserve">the </w:t>
      </w:r>
      <w:r w:rsidRPr="003B1FB4">
        <w:t>2015 Regular ADF, the Transitioned ADF reported significantly higher current mental health symptoms across all domains measured.</w:t>
      </w:r>
      <w:r>
        <w:t xml:space="preserve"> For example,</w:t>
      </w:r>
    </w:p>
    <w:p w14:paraId="2E83EBAB" w14:textId="77777777" w:rsidR="00373141" w:rsidRPr="003B1FB4" w:rsidRDefault="00373141" w:rsidP="00373141">
      <w:pPr>
        <w:pStyle w:val="Bullet"/>
        <w:numPr>
          <w:ilvl w:val="0"/>
          <w:numId w:val="3"/>
        </w:numPr>
        <w:ind w:left="360"/>
      </w:pPr>
      <w:r w:rsidRPr="003B1FB4">
        <w:t xml:space="preserve">Compared to </w:t>
      </w:r>
      <w:r>
        <w:t xml:space="preserve">the </w:t>
      </w:r>
      <w:r w:rsidRPr="003B1FB4">
        <w:t>2015 Regular ADF, nearly twice as many Transitioned ADF had high to very high psychological distress (33.1% vs 18.7%).</w:t>
      </w:r>
    </w:p>
    <w:p w14:paraId="15F4CEC6" w14:textId="77777777" w:rsidR="00373141" w:rsidRPr="003B1FB4" w:rsidRDefault="00373141" w:rsidP="00373141">
      <w:pPr>
        <w:pStyle w:val="Bullet"/>
        <w:numPr>
          <w:ilvl w:val="0"/>
          <w:numId w:val="3"/>
        </w:numPr>
        <w:ind w:left="360"/>
      </w:pPr>
      <w:r w:rsidRPr="003B1FB4">
        <w:t>Compared to 2015 Regular ADF, nearly three times as many Transitioned ADF had high to very high posttraumatic stress symptoms (24.3% vs 8.7%).</w:t>
      </w:r>
    </w:p>
    <w:p w14:paraId="6BAD38A0" w14:textId="1E2581C0" w:rsidR="00373141" w:rsidRPr="003057E9" w:rsidRDefault="00373141" w:rsidP="00373141">
      <w:pPr>
        <w:pStyle w:val="Bullet"/>
        <w:numPr>
          <w:ilvl w:val="0"/>
          <w:numId w:val="3"/>
        </w:numPr>
        <w:ind w:left="360"/>
      </w:pPr>
      <w:r w:rsidRPr="003057E9">
        <w:t>Awareness and knowledge about mental health services and help seeking w</w:t>
      </w:r>
      <w:r w:rsidR="003154E4">
        <w:t>ere</w:t>
      </w:r>
      <w:r w:rsidRPr="003057E9">
        <w:t xml:space="preserve"> high. In those that reported being concerned about their mental health during their lifetime, 75% of Transitioned ADF and 2015 Regular ADF members reported having ever received assistance for their mental health. </w:t>
      </w:r>
    </w:p>
    <w:p w14:paraId="6F6242E4" w14:textId="77777777" w:rsidR="00373141" w:rsidRPr="003057E9" w:rsidRDefault="00373141" w:rsidP="00373141">
      <w:pPr>
        <w:pStyle w:val="Bullet"/>
        <w:numPr>
          <w:ilvl w:val="0"/>
          <w:numId w:val="3"/>
        </w:numPr>
        <w:ind w:left="360"/>
      </w:pPr>
      <w:r w:rsidRPr="003057E9">
        <w:t>Satisfaction with the services provided, when they were accessed, for both the Transitioned ADF and the 2015 Regular ADF was generally good to very good.</w:t>
      </w:r>
    </w:p>
    <w:p w14:paraId="27AD0CE8" w14:textId="77777777" w:rsidR="00373141" w:rsidRPr="003057E9" w:rsidRDefault="00373141" w:rsidP="00373141">
      <w:pPr>
        <w:pStyle w:val="Bullet"/>
        <w:numPr>
          <w:ilvl w:val="0"/>
          <w:numId w:val="3"/>
        </w:numPr>
        <w:ind w:left="360"/>
      </w:pPr>
      <w:r w:rsidRPr="003057E9">
        <w:t>Family, friends and peers in both face-to-face and online social networks were avenues for support and often the first to notice early warning signs or symptoms that indicate that a person needs help.</w:t>
      </w:r>
    </w:p>
    <w:p w14:paraId="34D4DF4C" w14:textId="77777777" w:rsidR="00373141" w:rsidRPr="003057E9" w:rsidRDefault="00373141" w:rsidP="00373141">
      <w:pPr>
        <w:pStyle w:val="Bullet"/>
        <w:numPr>
          <w:ilvl w:val="0"/>
          <w:numId w:val="3"/>
        </w:numPr>
        <w:ind w:left="360"/>
      </w:pPr>
      <w:r w:rsidRPr="003057E9">
        <w:t>As with the broader Australian population, self-stigma and perceived</w:t>
      </w:r>
      <w:r w:rsidRPr="003057E9">
        <w:rPr>
          <w:spacing w:val="-3"/>
        </w:rPr>
        <w:t xml:space="preserve"> </w:t>
      </w:r>
      <w:r w:rsidRPr="003057E9">
        <w:t>barriers to</w:t>
      </w:r>
      <w:r w:rsidRPr="003057E9">
        <w:rPr>
          <w:spacing w:val="-3"/>
        </w:rPr>
        <w:t xml:space="preserve"> </w:t>
      </w:r>
      <w:r w:rsidRPr="003057E9">
        <w:t>care still exist.</w:t>
      </w:r>
    </w:p>
    <w:p w14:paraId="6587373B" w14:textId="77777777" w:rsidR="00373141" w:rsidRPr="003057E9" w:rsidRDefault="00373141" w:rsidP="00373141">
      <w:pPr>
        <w:pStyle w:val="Bullet"/>
        <w:numPr>
          <w:ilvl w:val="0"/>
          <w:numId w:val="3"/>
        </w:numPr>
        <w:ind w:left="360"/>
      </w:pPr>
      <w:r w:rsidRPr="003057E9">
        <w:t xml:space="preserve">Despite a relatively high level of mental health literacy, there were </w:t>
      </w:r>
      <w:r w:rsidRPr="003057E9">
        <w:rPr>
          <w:spacing w:val="1"/>
        </w:rPr>
        <w:t>gap</w:t>
      </w:r>
      <w:r w:rsidRPr="003057E9">
        <w:t>s</w:t>
      </w:r>
      <w:r w:rsidRPr="003057E9">
        <w:rPr>
          <w:spacing w:val="-1"/>
        </w:rPr>
        <w:t xml:space="preserve"> </w:t>
      </w:r>
      <w:r w:rsidRPr="003057E9">
        <w:t>in o</w:t>
      </w:r>
      <w:r w:rsidRPr="003057E9">
        <w:rPr>
          <w:spacing w:val="1"/>
        </w:rPr>
        <w:t>p</w:t>
      </w:r>
      <w:r w:rsidRPr="003057E9">
        <w:t>ti</w:t>
      </w:r>
      <w:r w:rsidRPr="003057E9">
        <w:rPr>
          <w:spacing w:val="2"/>
        </w:rPr>
        <w:t>m</w:t>
      </w:r>
      <w:r w:rsidRPr="003057E9">
        <w:rPr>
          <w:spacing w:val="1"/>
        </w:rPr>
        <w:t>a</w:t>
      </w:r>
      <w:r w:rsidRPr="003057E9">
        <w:t xml:space="preserve">l </w:t>
      </w:r>
      <w:r w:rsidRPr="003057E9">
        <w:rPr>
          <w:spacing w:val="2"/>
        </w:rPr>
        <w:t>s</w:t>
      </w:r>
      <w:r w:rsidRPr="003057E9">
        <w:t>er</w:t>
      </w:r>
      <w:r w:rsidRPr="003057E9">
        <w:rPr>
          <w:spacing w:val="1"/>
        </w:rPr>
        <w:t>v</w:t>
      </w:r>
      <w:r w:rsidRPr="003057E9">
        <w:t>i</w:t>
      </w:r>
      <w:r w:rsidRPr="003057E9">
        <w:rPr>
          <w:spacing w:val="1"/>
        </w:rPr>
        <w:t>c</w:t>
      </w:r>
      <w:r w:rsidRPr="003057E9">
        <w:t xml:space="preserve">e </w:t>
      </w:r>
      <w:r w:rsidRPr="003057E9">
        <w:rPr>
          <w:spacing w:val="1"/>
        </w:rPr>
        <w:t>p</w:t>
      </w:r>
      <w:r w:rsidRPr="003057E9">
        <w:t>ro</w:t>
      </w:r>
      <w:r w:rsidRPr="003057E9">
        <w:rPr>
          <w:spacing w:val="1"/>
        </w:rPr>
        <w:t>v</w:t>
      </w:r>
      <w:r w:rsidRPr="003057E9">
        <w:t>i</w:t>
      </w:r>
      <w:r w:rsidRPr="003057E9">
        <w:rPr>
          <w:spacing w:val="2"/>
        </w:rPr>
        <w:t>s</w:t>
      </w:r>
      <w:r w:rsidRPr="003057E9">
        <w:t xml:space="preserve">ion, including the time it took to seek support and the continuity of care delivered, with </w:t>
      </w:r>
      <w:r w:rsidRPr="003057E9">
        <w:rPr>
          <w:spacing w:val="1"/>
        </w:rPr>
        <w:t>high attrition rates over time suggesting that only 24% of Transitioned ADF with a probable 30-day disorder received an evidence-based treatment.</w:t>
      </w:r>
    </w:p>
    <w:p w14:paraId="0F5EBD5C" w14:textId="1FEF5A59" w:rsidR="00373141" w:rsidRPr="003057E9" w:rsidRDefault="00373141" w:rsidP="00373141">
      <w:pPr>
        <w:rPr>
          <w:bCs/>
        </w:rPr>
      </w:pPr>
      <w:r w:rsidRPr="003057E9">
        <w:rPr>
          <w:bCs/>
        </w:rPr>
        <w:t>Consistent with the literature for civilian populations, the data from the Transition and Wellbeing Research Programme also provides interesting insight regarding the type</w:t>
      </w:r>
      <w:r w:rsidR="003154E4">
        <w:rPr>
          <w:bCs/>
        </w:rPr>
        <w:t>s</w:t>
      </w:r>
      <w:r w:rsidRPr="003057E9">
        <w:rPr>
          <w:bCs/>
        </w:rPr>
        <w:t xml:space="preserve"> of support services the Transitioned ADF and the 2015 Regular ADF want: </w:t>
      </w:r>
    </w:p>
    <w:p w14:paraId="40932D9E" w14:textId="77777777" w:rsidR="00373141" w:rsidRPr="003057E9" w:rsidRDefault="00373141" w:rsidP="00373141">
      <w:pPr>
        <w:pStyle w:val="Bullet"/>
        <w:numPr>
          <w:ilvl w:val="0"/>
          <w:numId w:val="3"/>
        </w:numPr>
        <w:ind w:left="360"/>
      </w:pPr>
      <w:r w:rsidRPr="003057E9">
        <w:t xml:space="preserve">While 60% of Transitioned ADF and 2015 Regular ADF preferred face-to-face services, 30% would like to receive services online. </w:t>
      </w:r>
    </w:p>
    <w:p w14:paraId="6949CCE7" w14:textId="77777777" w:rsidR="00373141" w:rsidRPr="003057E9" w:rsidRDefault="00373141" w:rsidP="00373141">
      <w:pPr>
        <w:pStyle w:val="Bullet"/>
        <w:numPr>
          <w:ilvl w:val="0"/>
          <w:numId w:val="3"/>
        </w:numPr>
        <w:ind w:left="360"/>
      </w:pPr>
      <w:r w:rsidRPr="005658EE">
        <w:t>Almost 70% of the Transitioned ADF and 60% of the 2015 Regular ADF with a probable disorder who had not sought</w:t>
      </w:r>
      <w:r>
        <w:t xml:space="preserve"> help</w:t>
      </w:r>
      <w:r w:rsidRPr="005658EE">
        <w:t xml:space="preserve"> preferred to self-manage, 38% of 2015 Regular ADF compared to 15% of Transitioned ADF were receiving help from elsewhere, 77% of 2015 Regular ADF compared to almost 70% of Transitioned ADF were afraid to ask for help, and approximately 60% of Transitioned ADF and 2015 Regular ADF felt that they could still function</w:t>
      </w:r>
      <w:r>
        <w:t>.</w:t>
      </w:r>
    </w:p>
    <w:p w14:paraId="4F46B733" w14:textId="77777777" w:rsidR="00373141" w:rsidRPr="003057E9" w:rsidRDefault="00373141" w:rsidP="00373141">
      <w:pPr>
        <w:pStyle w:val="Bullet"/>
        <w:numPr>
          <w:ilvl w:val="0"/>
          <w:numId w:val="3"/>
        </w:numPr>
        <w:ind w:left="360"/>
      </w:pPr>
      <w:r w:rsidRPr="003057E9">
        <w:t>Use of the DVA and ADF websites was approximately 30–40% in those with probable 30-day disorders.</w:t>
      </w:r>
    </w:p>
    <w:p w14:paraId="66EEEDFA" w14:textId="3F394F58" w:rsidR="00373141" w:rsidRPr="003057E9" w:rsidRDefault="00373141" w:rsidP="00373141">
      <w:pPr>
        <w:pStyle w:val="Bullet"/>
        <w:numPr>
          <w:ilvl w:val="0"/>
          <w:numId w:val="3"/>
        </w:numPr>
        <w:ind w:left="360"/>
      </w:pPr>
      <w:r w:rsidRPr="003057E9">
        <w:t>The use of military-specific mobile phone applications for mental health was approximately 6%, increasing to approximately 14% for those with a probable 30</w:t>
      </w:r>
      <w:r w:rsidR="003154E4">
        <w:noBreakHyphen/>
      </w:r>
      <w:r w:rsidRPr="003057E9">
        <w:t xml:space="preserve">day disorder of PTSD. </w:t>
      </w:r>
    </w:p>
    <w:p w14:paraId="772C707A" w14:textId="78634A21" w:rsidR="00373141" w:rsidRPr="001743E6" w:rsidRDefault="00373141" w:rsidP="00373141">
      <w:r w:rsidRPr="001C0478">
        <w:t xml:space="preserve">Building on the results of the first two Transition and Wellbeing Research </w:t>
      </w:r>
      <w:r>
        <w:t xml:space="preserve">Programme </w:t>
      </w:r>
      <w:r w:rsidRPr="001C0478">
        <w:t>reports</w:t>
      </w:r>
      <w:r>
        <w:t xml:space="preserve"> </w:t>
      </w:r>
      <w:r>
        <w:rPr>
          <w:noProof/>
        </w:rPr>
        <w:t>(</w:t>
      </w:r>
      <w:r w:rsidR="008B4128">
        <w:rPr>
          <w:noProof/>
        </w:rPr>
        <w:t>Forbes et al. 2018</w:t>
      </w:r>
      <w:r>
        <w:rPr>
          <w:noProof/>
        </w:rPr>
        <w:t>; Van Hooff et al., 201</w:t>
      </w:r>
      <w:r w:rsidR="004B02D6">
        <w:rPr>
          <w:noProof/>
        </w:rPr>
        <w:t>8</w:t>
      </w:r>
      <w:r w:rsidR="00483990">
        <w:rPr>
          <w:noProof/>
        </w:rPr>
        <w:t>a</w:t>
      </w:r>
      <w:r>
        <w:rPr>
          <w:noProof/>
        </w:rPr>
        <w:t>)</w:t>
      </w:r>
      <w:r>
        <w:t xml:space="preserve">, </w:t>
      </w:r>
      <w:r w:rsidRPr="001C0478">
        <w:t xml:space="preserve">this report systematically investigated the patterns of technology use of the Transitioned ADF and 2015 Regular ADF members and how technology, including websites, </w:t>
      </w:r>
      <w:r>
        <w:t>app</w:t>
      </w:r>
      <w:r w:rsidRPr="001C0478">
        <w:t xml:space="preserve">s and wearable </w:t>
      </w:r>
      <w:r>
        <w:t>devices, are</w:t>
      </w:r>
      <w:r w:rsidRPr="001C0478">
        <w:t xml:space="preserve"> being used to support mental health and wellbeing. In doi</w:t>
      </w:r>
      <w:r>
        <w:t xml:space="preserve">ng so, </w:t>
      </w:r>
      <w:r w:rsidRPr="001C0478">
        <w:t>this report more specifically examined:</w:t>
      </w:r>
    </w:p>
    <w:p w14:paraId="7EE3DE4B" w14:textId="77777777" w:rsidR="00373141" w:rsidRPr="001C0478" w:rsidRDefault="00373141" w:rsidP="00373141">
      <w:pPr>
        <w:pStyle w:val="Bullet"/>
        <w:numPr>
          <w:ilvl w:val="0"/>
          <w:numId w:val="3"/>
        </w:numPr>
        <w:ind w:left="360"/>
      </w:pPr>
      <w:r w:rsidRPr="001C0478">
        <w:t xml:space="preserve">What proportion of Transitioned ADF and 2015 Regular ADF use the </w:t>
      </w:r>
      <w:r>
        <w:t>internet</w:t>
      </w:r>
      <w:r w:rsidRPr="001C0478">
        <w:t xml:space="preserve"> and what are their attitudes to the use of the </w:t>
      </w:r>
      <w:r>
        <w:t>internet</w:t>
      </w:r>
      <w:r w:rsidRPr="001C0478">
        <w:t>?</w:t>
      </w:r>
    </w:p>
    <w:p w14:paraId="06D3EBB2" w14:textId="77777777" w:rsidR="00373141" w:rsidRPr="001C0478" w:rsidRDefault="00373141" w:rsidP="00373141">
      <w:pPr>
        <w:pStyle w:val="Bullet"/>
        <w:numPr>
          <w:ilvl w:val="0"/>
          <w:numId w:val="3"/>
        </w:numPr>
        <w:ind w:left="360"/>
      </w:pPr>
      <w:r w:rsidRPr="001C0478">
        <w:t>What are the proportion</w:t>
      </w:r>
      <w:r>
        <w:t>s</w:t>
      </w:r>
      <w:r w:rsidRPr="001C0478">
        <w:t xml:space="preserve"> of Transitioned ADF and 2015 Regular ADF who use new and emerging technologies, including </w:t>
      </w:r>
      <w:r>
        <w:t>app</w:t>
      </w:r>
      <w:r w:rsidRPr="001C0478">
        <w:t xml:space="preserve">s and </w:t>
      </w:r>
      <w:r>
        <w:t>wearable devices</w:t>
      </w:r>
      <w:r w:rsidRPr="001C0478">
        <w:t xml:space="preserve">, and what </w:t>
      </w:r>
      <w:r>
        <w:t>are</w:t>
      </w:r>
      <w:r w:rsidRPr="001C0478">
        <w:t xml:space="preserve"> </w:t>
      </w:r>
      <w:r>
        <w:t>their</w:t>
      </w:r>
      <w:r w:rsidRPr="001C0478">
        <w:t xml:space="preserve"> attitudes</w:t>
      </w:r>
      <w:r>
        <w:t xml:space="preserve"> </w:t>
      </w:r>
      <w:r w:rsidRPr="001C0478">
        <w:t>to the use of new and emerging technologies?</w:t>
      </w:r>
    </w:p>
    <w:p w14:paraId="0B05B64D" w14:textId="77777777" w:rsidR="00373141" w:rsidRPr="001C0478" w:rsidRDefault="00373141" w:rsidP="00373141">
      <w:pPr>
        <w:pStyle w:val="Bullet"/>
        <w:numPr>
          <w:ilvl w:val="0"/>
          <w:numId w:val="3"/>
        </w:numPr>
        <w:ind w:left="360"/>
      </w:pPr>
      <w:r w:rsidRPr="001C0478">
        <w:t xml:space="preserve">What proportion of the Transitioned ADF and 2015 Regular ADF </w:t>
      </w:r>
      <w:r>
        <w:t>use the internet to seek help or</w:t>
      </w:r>
      <w:r w:rsidRPr="001C0478">
        <w:t xml:space="preserve"> information</w:t>
      </w:r>
      <w:r>
        <w:t xml:space="preserve"> for</w:t>
      </w:r>
      <w:r w:rsidRPr="001C0478">
        <w:t xml:space="preserve"> or to manage mental health issues, </w:t>
      </w:r>
      <w:r>
        <w:t>and what are the levels of</w:t>
      </w:r>
      <w:r w:rsidRPr="001C0478">
        <w:t xml:space="preserve"> suitability, ability to help and satisfaction with the available information?</w:t>
      </w:r>
    </w:p>
    <w:p w14:paraId="752F6902" w14:textId="381920B7" w:rsidR="00373141" w:rsidRPr="001C0478" w:rsidRDefault="00373141" w:rsidP="00373141">
      <w:pPr>
        <w:pStyle w:val="Bullet"/>
        <w:numPr>
          <w:ilvl w:val="0"/>
          <w:numId w:val="3"/>
        </w:numPr>
        <w:ind w:left="360"/>
      </w:pPr>
      <w:r w:rsidRPr="001C0478">
        <w:t xml:space="preserve">Of those who use the </w:t>
      </w:r>
      <w:r>
        <w:t>internet</w:t>
      </w:r>
      <w:r w:rsidRPr="001C0478">
        <w:t xml:space="preserve"> to seek help or information, what proportion of the Transitioned ADF and 2015 Regular ADF use the </w:t>
      </w:r>
      <w:r>
        <w:t>internet</w:t>
      </w:r>
      <w:r w:rsidRPr="001C0478">
        <w:t xml:space="preserve"> to manage their </w:t>
      </w:r>
      <w:r w:rsidRPr="001C0478">
        <w:rPr>
          <w:u w:val="single"/>
        </w:rPr>
        <w:t>own</w:t>
      </w:r>
      <w:r w:rsidRPr="001C0478">
        <w:t xml:space="preserve"> mental health, </w:t>
      </w:r>
      <w:r>
        <w:t xml:space="preserve">and </w:t>
      </w:r>
      <w:r w:rsidRPr="001C0478">
        <w:t xml:space="preserve">how often </w:t>
      </w:r>
      <w:r w:rsidR="003154E4" w:rsidRPr="001C0478">
        <w:t xml:space="preserve">do they seek support </w:t>
      </w:r>
      <w:r w:rsidRPr="001C0478">
        <w:t>and who from?</w:t>
      </w:r>
    </w:p>
    <w:p w14:paraId="36DC650B" w14:textId="77777777" w:rsidR="00373141" w:rsidRDefault="00373141" w:rsidP="00373141">
      <w:pPr>
        <w:pStyle w:val="Bullet"/>
        <w:numPr>
          <w:ilvl w:val="0"/>
          <w:numId w:val="3"/>
        </w:numPr>
        <w:ind w:left="360"/>
      </w:pPr>
      <w:r w:rsidRPr="001C0478">
        <w:t xml:space="preserve">What are the barriers to using the </w:t>
      </w:r>
      <w:r>
        <w:t>internet</w:t>
      </w:r>
      <w:r w:rsidRPr="001C0478">
        <w:t xml:space="preserve"> for mental health for the Transitioned ADF and 2015 Regular ADF?</w:t>
      </w:r>
    </w:p>
    <w:p w14:paraId="401D1F74" w14:textId="77777777" w:rsidR="00373141" w:rsidRPr="001743E6" w:rsidRDefault="00373141" w:rsidP="00373141">
      <w:pPr>
        <w:pStyle w:val="Bullet"/>
        <w:numPr>
          <w:ilvl w:val="0"/>
          <w:numId w:val="3"/>
        </w:numPr>
        <w:ind w:left="360"/>
      </w:pPr>
      <w:r>
        <w:t>How do Transitioned ADF young adults compare to the civilian population?</w:t>
      </w:r>
    </w:p>
    <w:p w14:paraId="384C716B" w14:textId="77777777" w:rsidR="00373141" w:rsidRPr="001C0478" w:rsidRDefault="00373141" w:rsidP="00373141">
      <w:r w:rsidRPr="001C0478">
        <w:t xml:space="preserve">Of particular interest were differences in patterns of use for those who met the criteria for having a current probable 30-day disorder and those who did not for Transitioned ADF and 2015 Regular ADF. </w:t>
      </w:r>
      <w:r>
        <w:t>Given policy interest in health care models that use stepped care, an</w:t>
      </w:r>
      <w:r w:rsidRPr="001C0478">
        <w:t xml:space="preserve"> additional chapter also explored the use of websites in relation to probable 30</w:t>
      </w:r>
      <w:r>
        <w:t>-</w:t>
      </w:r>
      <w:r w:rsidRPr="001C0478">
        <w:t>day</w:t>
      </w:r>
      <w:r>
        <w:t xml:space="preserve"> </w:t>
      </w:r>
      <w:r w:rsidRPr="001C0478">
        <w:t xml:space="preserve">disorder, </w:t>
      </w:r>
      <w:r w:rsidR="007155C2">
        <w:t>subsyndromal</w:t>
      </w:r>
      <w:r w:rsidRPr="001C0478">
        <w:t xml:space="preserve"> disorder and no disorder</w:t>
      </w:r>
      <w:r>
        <w:t>,</w:t>
      </w:r>
      <w:r w:rsidRPr="001C0478">
        <w:t xml:space="preserve"> with a focus on suicidal behaviour, PTSD, alcohol use, depression and anxiety and psychological distress.</w:t>
      </w:r>
      <w:r>
        <w:t xml:space="preserve"> </w:t>
      </w:r>
    </w:p>
    <w:p w14:paraId="67A7EC43" w14:textId="0AA7FE79" w:rsidR="00373141" w:rsidRDefault="00373141" w:rsidP="00373141">
      <w:r w:rsidRPr="001C0478">
        <w:t>The findings of this report</w:t>
      </w:r>
      <w:r>
        <w:t xml:space="preserve"> and the subsequent discussion are structured around a holistic approach to health care, with a focus on the use of technology in the promotion of wellbeing and the prevention of illness through self-management, and the use of technology in early identification and intervention, treatment and relapse prevention. Key questions are:</w:t>
      </w:r>
      <w:r w:rsidRPr="001C0478">
        <w:t xml:space="preserve"> </w:t>
      </w:r>
    </w:p>
    <w:p w14:paraId="301FB0BD" w14:textId="77777777" w:rsidR="00373141" w:rsidRDefault="00373141" w:rsidP="00373141">
      <w:pPr>
        <w:pStyle w:val="Bullet"/>
        <w:numPr>
          <w:ilvl w:val="0"/>
          <w:numId w:val="3"/>
        </w:numPr>
        <w:ind w:left="360"/>
      </w:pPr>
      <w:r>
        <w:t xml:space="preserve">How can technology be used to </w:t>
      </w:r>
      <w:r w:rsidRPr="005F736A">
        <w:t>support self-management with a focus on the promotion of wellbeing, mental fitness and ea</w:t>
      </w:r>
      <w:r>
        <w:t>rly intervention?</w:t>
      </w:r>
    </w:p>
    <w:p w14:paraId="4ACC19CD" w14:textId="77777777" w:rsidR="00373141" w:rsidRDefault="00373141" w:rsidP="00373141">
      <w:pPr>
        <w:pStyle w:val="Bullet"/>
        <w:numPr>
          <w:ilvl w:val="0"/>
          <w:numId w:val="3"/>
        </w:numPr>
        <w:ind w:left="360"/>
      </w:pPr>
      <w:r>
        <w:t>H</w:t>
      </w:r>
      <w:r w:rsidRPr="005F736A">
        <w:t xml:space="preserve">ow </w:t>
      </w:r>
      <w:r>
        <w:t xml:space="preserve">can </w:t>
      </w:r>
      <w:r w:rsidRPr="005F736A">
        <w:t>technologies be used to support service delivery</w:t>
      </w:r>
      <w:r>
        <w:t xml:space="preserve"> and</w:t>
      </w:r>
      <w:r w:rsidRPr="005F736A">
        <w:t xml:space="preserve"> the design of future services and mental health initiatives</w:t>
      </w:r>
      <w:r>
        <w:t xml:space="preserve"> with a focus on shared management and stepped care?</w:t>
      </w:r>
    </w:p>
    <w:p w14:paraId="1306B0D5" w14:textId="77777777" w:rsidR="00373141" w:rsidRDefault="00373141" w:rsidP="00373141">
      <w:pPr>
        <w:pStyle w:val="Bullet"/>
        <w:numPr>
          <w:ilvl w:val="0"/>
          <w:numId w:val="3"/>
        </w:numPr>
        <w:ind w:left="360"/>
      </w:pPr>
      <w:r>
        <w:t xml:space="preserve">How can technologies be used </w:t>
      </w:r>
      <w:r w:rsidRPr="005F736A">
        <w:t xml:space="preserve">as an adjunct to </w:t>
      </w:r>
      <w:r>
        <w:t xml:space="preserve">face-to-face </w:t>
      </w:r>
      <w:r w:rsidRPr="005F736A">
        <w:t>care</w:t>
      </w:r>
      <w:r>
        <w:t>, including in assessment, intervention and ongoing measurement of outcomes to determine the impact of evidence-based treatments?</w:t>
      </w:r>
    </w:p>
    <w:p w14:paraId="02BA8950" w14:textId="77777777" w:rsidR="00373141" w:rsidRDefault="00373141" w:rsidP="00373141">
      <w:pPr>
        <w:autoSpaceDE w:val="0"/>
        <w:autoSpaceDN w:val="0"/>
        <w:adjustRightInd w:val="0"/>
        <w:rPr>
          <w:rFonts w:eastAsia="Calibri"/>
          <w:szCs w:val="22"/>
        </w:rPr>
      </w:pPr>
      <w:r w:rsidRPr="001C0478">
        <w:rPr>
          <w:rFonts w:eastAsia="Calibri"/>
          <w:szCs w:val="22"/>
        </w:rPr>
        <w:t xml:space="preserve">This discussion </w:t>
      </w:r>
      <w:r>
        <w:rPr>
          <w:rFonts w:eastAsia="Calibri"/>
          <w:szCs w:val="22"/>
        </w:rPr>
        <w:t>commences</w:t>
      </w:r>
      <w:r w:rsidRPr="001C0478">
        <w:rPr>
          <w:rFonts w:eastAsia="Calibri"/>
          <w:szCs w:val="22"/>
        </w:rPr>
        <w:t xml:space="preserve"> with a summary and interpretation of the findings for each of the above questions before considering the broader policy and practice implications of the findings</w:t>
      </w:r>
      <w:r>
        <w:rPr>
          <w:rFonts w:eastAsia="Calibri"/>
          <w:szCs w:val="22"/>
        </w:rPr>
        <w:t>,</w:t>
      </w:r>
      <w:r w:rsidRPr="001C0478">
        <w:rPr>
          <w:rFonts w:eastAsia="Calibri"/>
          <w:szCs w:val="22"/>
        </w:rPr>
        <w:t xml:space="preserve"> and </w:t>
      </w:r>
      <w:r>
        <w:rPr>
          <w:rFonts w:eastAsia="Calibri"/>
          <w:szCs w:val="22"/>
        </w:rPr>
        <w:t>finishes</w:t>
      </w:r>
      <w:r w:rsidRPr="001C0478">
        <w:rPr>
          <w:rFonts w:eastAsia="Calibri"/>
          <w:szCs w:val="22"/>
        </w:rPr>
        <w:t xml:space="preserve"> with a concluding statement regarding the current policy climate in Australia in relation to digital transformation</w:t>
      </w:r>
      <w:r>
        <w:rPr>
          <w:rFonts w:eastAsia="Calibri"/>
          <w:szCs w:val="22"/>
        </w:rPr>
        <w:t xml:space="preserve"> and future service design that could enhance the mental health and wellbeing of current serving and transitioned ADF members</w:t>
      </w:r>
      <w:r w:rsidRPr="001C0478">
        <w:rPr>
          <w:rFonts w:eastAsia="Calibri"/>
          <w:szCs w:val="22"/>
        </w:rPr>
        <w:t>.</w:t>
      </w:r>
    </w:p>
    <w:p w14:paraId="493282CD" w14:textId="77777777" w:rsidR="00373141" w:rsidRPr="001C0478" w:rsidRDefault="00373141" w:rsidP="00373141">
      <w:pPr>
        <w:pStyle w:val="Heading2"/>
        <w:numPr>
          <w:ilvl w:val="1"/>
          <w:numId w:val="1"/>
        </w:numPr>
        <w:ind w:left="720" w:hanging="720"/>
      </w:pPr>
      <w:bookmarkStart w:id="1289" w:name="_Toc518566473"/>
      <w:bookmarkStart w:id="1290" w:name="_Toc528932751"/>
      <w:bookmarkStart w:id="1291" w:name="_Toc531859288"/>
      <w:r w:rsidRPr="001C0478">
        <w:t>Summary and interpretations of findings</w:t>
      </w:r>
      <w:bookmarkEnd w:id="1289"/>
      <w:bookmarkEnd w:id="1290"/>
      <w:bookmarkEnd w:id="1291"/>
    </w:p>
    <w:p w14:paraId="31D0C9EB" w14:textId="77777777" w:rsidR="00373141" w:rsidRPr="001743E6" w:rsidRDefault="00373141" w:rsidP="00373141">
      <w:pPr>
        <w:pStyle w:val="Heading3"/>
        <w:numPr>
          <w:ilvl w:val="2"/>
          <w:numId w:val="1"/>
        </w:numPr>
      </w:pPr>
      <w:bookmarkStart w:id="1292" w:name="_Toc518566474"/>
      <w:bookmarkStart w:id="1293" w:name="_Toc528932752"/>
      <w:bookmarkStart w:id="1294" w:name="_Toc531859289"/>
      <w:r w:rsidRPr="001C0478">
        <w:t xml:space="preserve">Use of the </w:t>
      </w:r>
      <w:r>
        <w:t>internet</w:t>
      </w:r>
      <w:bookmarkEnd w:id="1292"/>
      <w:bookmarkEnd w:id="1293"/>
      <w:bookmarkEnd w:id="1294"/>
    </w:p>
    <w:p w14:paraId="31DF05E0" w14:textId="77777777" w:rsidR="00373141" w:rsidRPr="001743E6" w:rsidRDefault="00373141" w:rsidP="00373141">
      <w:pPr>
        <w:rPr>
          <w:lang w:eastAsia="en-AU"/>
        </w:rPr>
      </w:pPr>
      <w:r w:rsidRPr="001C0478">
        <w:t xml:space="preserve">Chapter </w:t>
      </w:r>
      <w:r>
        <w:t>4</w:t>
      </w:r>
      <w:r w:rsidRPr="001C0478">
        <w:t xml:space="preserve"> of this report explored the use of the </w:t>
      </w:r>
      <w:r>
        <w:t>internet</w:t>
      </w:r>
      <w:r w:rsidRPr="001C0478">
        <w:t xml:space="preserve"> and attitudes to its use. Consistent with the overall population, use of the </w:t>
      </w:r>
      <w:r>
        <w:t>internet</w:t>
      </w:r>
      <w:r w:rsidRPr="001C0478">
        <w:t xml:space="preserve"> was very high</w:t>
      </w:r>
      <w:r>
        <w:t>,</w:t>
      </w:r>
      <w:r w:rsidRPr="001C0478">
        <w:t xml:space="preserve"> with </w:t>
      </w:r>
      <w:r>
        <w:t>more than</w:t>
      </w:r>
      <w:r w:rsidRPr="001C0478">
        <w:t xml:space="preserve"> 95% of the Transitioned ADF and the 2015 Regular ADF using the </w:t>
      </w:r>
      <w:r>
        <w:t>internet</w:t>
      </w:r>
      <w:r w:rsidRPr="001C0478">
        <w:t xml:space="preserve"> at least every day. The majority used a search engine to find information and about 10% deliberately accessed a specific website. The majority of Transitioned ADF and Regular ADF </w:t>
      </w:r>
      <w:r>
        <w:t>were</w:t>
      </w:r>
      <w:r w:rsidRPr="001C0478">
        <w:t xml:space="preserve"> online for </w:t>
      </w:r>
      <w:r>
        <w:t xml:space="preserve">one to four </w:t>
      </w:r>
      <w:r w:rsidRPr="001C0478">
        <w:t>hours</w:t>
      </w:r>
      <w:r>
        <w:t xml:space="preserve"> per day</w:t>
      </w:r>
      <w:r w:rsidRPr="001C0478">
        <w:t xml:space="preserve">. Transitioned ADF were more likely to report using the </w:t>
      </w:r>
      <w:r>
        <w:t>internet</w:t>
      </w:r>
      <w:r w:rsidRPr="001C0478">
        <w:t xml:space="preserve"> after 11</w:t>
      </w:r>
      <w:r>
        <w:t> pm</w:t>
      </w:r>
      <w:r w:rsidRPr="001C0478">
        <w:t xml:space="preserve"> than 2015 Regular ADF,</w:t>
      </w:r>
      <w:r>
        <w:t xml:space="preserve"> which is an expected result given the nature of active military service and the need to be alert and at work early. That said,</w:t>
      </w:r>
      <w:r w:rsidRPr="001C0478">
        <w:t xml:space="preserve"> use of the </w:t>
      </w:r>
      <w:r>
        <w:t>internet</w:t>
      </w:r>
      <w:r w:rsidRPr="001C0478">
        <w:t xml:space="preserve"> after </w:t>
      </w:r>
      <w:r>
        <w:t>11 pm</w:t>
      </w:r>
      <w:r w:rsidRPr="001C0478">
        <w:t xml:space="preserve"> was common in both groups</w:t>
      </w:r>
      <w:r>
        <w:t>,</w:t>
      </w:r>
      <w:r w:rsidRPr="001C0478">
        <w:t xml:space="preserve"> with one third of the Transitioned ADF and one quarter of the 2015 Regular ADF reporting </w:t>
      </w:r>
      <w:r>
        <w:t>such use</w:t>
      </w:r>
      <w:r w:rsidRPr="001C0478">
        <w:t xml:space="preserve">. </w:t>
      </w:r>
      <w:r w:rsidRPr="001C0478">
        <w:rPr>
          <w:lang w:eastAsia="en-AU"/>
        </w:rPr>
        <w:t xml:space="preserve">In the Transitioned ADF and 2015 Regular ADF, </w:t>
      </w:r>
      <w:r w:rsidRPr="003057E9">
        <w:t>approximately</w:t>
      </w:r>
      <w:r w:rsidRPr="001C0478">
        <w:rPr>
          <w:lang w:eastAsia="en-AU"/>
        </w:rPr>
        <w:t xml:space="preserve"> one in three with a probable 30-day disorder spent five or more hours </w:t>
      </w:r>
      <w:r>
        <w:rPr>
          <w:lang w:eastAsia="en-AU"/>
        </w:rPr>
        <w:t xml:space="preserve">per day </w:t>
      </w:r>
      <w:r w:rsidRPr="001C0478">
        <w:rPr>
          <w:lang w:eastAsia="en-AU"/>
        </w:rPr>
        <w:t xml:space="preserve">on the </w:t>
      </w:r>
      <w:r>
        <w:rPr>
          <w:lang w:eastAsia="en-AU"/>
        </w:rPr>
        <w:t>internet</w:t>
      </w:r>
      <w:r w:rsidRPr="001C0478">
        <w:rPr>
          <w:lang w:eastAsia="en-AU"/>
        </w:rPr>
        <w:t>. Forty-five per</w:t>
      </w:r>
      <w:r>
        <w:rPr>
          <w:lang w:eastAsia="en-AU"/>
        </w:rPr>
        <w:t xml:space="preserve"> </w:t>
      </w:r>
      <w:r w:rsidRPr="001C0478">
        <w:rPr>
          <w:lang w:eastAsia="en-AU"/>
        </w:rPr>
        <w:t xml:space="preserve">cent of Transitioned ADF with a probable disorder were more likely to use the </w:t>
      </w:r>
      <w:r>
        <w:rPr>
          <w:lang w:eastAsia="en-AU"/>
        </w:rPr>
        <w:t>internet</w:t>
      </w:r>
      <w:r w:rsidRPr="001C0478">
        <w:rPr>
          <w:lang w:eastAsia="en-AU"/>
        </w:rPr>
        <w:t xml:space="preserve"> after </w:t>
      </w:r>
      <w:r>
        <w:rPr>
          <w:lang w:eastAsia="en-AU"/>
        </w:rPr>
        <w:t>11 pm</w:t>
      </w:r>
      <w:r w:rsidRPr="001C0478">
        <w:rPr>
          <w:lang w:eastAsia="en-AU"/>
        </w:rPr>
        <w:t xml:space="preserve"> while 33% of the 2015 Regular ADF with a probable disorder use</w:t>
      </w:r>
      <w:r>
        <w:rPr>
          <w:lang w:eastAsia="en-AU"/>
        </w:rPr>
        <w:t>d</w:t>
      </w:r>
      <w:r w:rsidRPr="001C0478">
        <w:rPr>
          <w:lang w:eastAsia="en-AU"/>
        </w:rPr>
        <w:t xml:space="preserve"> the </w:t>
      </w:r>
      <w:r>
        <w:rPr>
          <w:lang w:eastAsia="en-AU"/>
        </w:rPr>
        <w:t>internet</w:t>
      </w:r>
      <w:r w:rsidRPr="001C0478">
        <w:rPr>
          <w:lang w:eastAsia="en-AU"/>
        </w:rPr>
        <w:t xml:space="preserve"> after 11</w:t>
      </w:r>
      <w:r>
        <w:rPr>
          <w:lang w:eastAsia="en-AU"/>
        </w:rPr>
        <w:t xml:space="preserve"> pm</w:t>
      </w:r>
      <w:r w:rsidRPr="001C0478">
        <w:rPr>
          <w:lang w:eastAsia="en-AU"/>
        </w:rPr>
        <w:t xml:space="preserve">. </w:t>
      </w:r>
    </w:p>
    <w:p w14:paraId="53F1437B" w14:textId="77777777" w:rsidR="00373141" w:rsidRPr="001743E6" w:rsidRDefault="00373141" w:rsidP="00373141">
      <w:pPr>
        <w:pStyle w:val="Heading4"/>
      </w:pPr>
      <w:r w:rsidRPr="001C0478">
        <w:t xml:space="preserve">Attitudes towards the use of the </w:t>
      </w:r>
      <w:r>
        <w:t>internet</w:t>
      </w:r>
    </w:p>
    <w:p w14:paraId="69B6AF1B" w14:textId="77777777" w:rsidR="00373141" w:rsidRPr="001C0478" w:rsidRDefault="00373141" w:rsidP="00373141">
      <w:r w:rsidRPr="001C0478">
        <w:t>The Young and Well Nat</w:t>
      </w:r>
      <w:r>
        <w:t>ional Survey (</w:t>
      </w:r>
      <w:r w:rsidRPr="006A3EA0">
        <w:rPr>
          <w:i/>
        </w:rPr>
        <w:t>Game on</w:t>
      </w:r>
      <w:r>
        <w:t xml:space="preserve"> report) </w:t>
      </w:r>
      <w:r>
        <w:rPr>
          <w:noProof/>
        </w:rPr>
        <w:t>(Burns et al., 2013)</w:t>
      </w:r>
      <w:r>
        <w:t xml:space="preserve"> </w:t>
      </w:r>
      <w:r w:rsidRPr="001C0478">
        <w:t xml:space="preserve">found that the </w:t>
      </w:r>
      <w:r>
        <w:t>internet</w:t>
      </w:r>
      <w:r w:rsidRPr="001C0478">
        <w:t xml:space="preserve"> is a place where </w:t>
      </w:r>
      <w:r>
        <w:t xml:space="preserve">young </w:t>
      </w:r>
      <w:r w:rsidRPr="001C0478">
        <w:t xml:space="preserve">people can find it easier to ‘be themselves’ and ‘talk about different things’. A particular focus for policy makers and practitioners has been on the potential of the </w:t>
      </w:r>
      <w:r>
        <w:t>internet</w:t>
      </w:r>
      <w:r w:rsidRPr="001C0478">
        <w:t xml:space="preserve"> as a ‘softer, non-stigmatising’ entry point to services, allowing people to seek information in their own time and in an environment where they feel safe. The Transition and Wellbeing Research Program</w:t>
      </w:r>
      <w:r>
        <w:t>me</w:t>
      </w:r>
      <w:r w:rsidRPr="001C0478">
        <w:t xml:space="preserve"> team tested this concept with the Transitioned ADF and the 2015 Regular ADF and found that</w:t>
      </w:r>
      <w:r>
        <w:t>,</w:t>
      </w:r>
      <w:r w:rsidRPr="001C0478">
        <w:t xml:space="preserve"> overall</w:t>
      </w:r>
      <w:r>
        <w:t>,</w:t>
      </w:r>
      <w:r w:rsidRPr="001C0478">
        <w:t xml:space="preserve"> about </w:t>
      </w:r>
      <w:r>
        <w:t>one</w:t>
      </w:r>
      <w:r w:rsidRPr="001C0478">
        <w:t xml:space="preserve"> in </w:t>
      </w:r>
      <w:r>
        <w:t>four</w:t>
      </w:r>
      <w:r w:rsidRPr="001C0478">
        <w:t xml:space="preserve"> Transitioned ADF and 2015 Regular ADF reported that they felt it easier to be themselves online, could talk about different things and would go online if going through a tough time. Just over 10% of the Transitioned ADF and 2015 Regular ADF indicated they talk</w:t>
      </w:r>
      <w:r>
        <w:t>ed</w:t>
      </w:r>
      <w:r w:rsidRPr="001C0478">
        <w:t xml:space="preserve"> about private things with people online which they </w:t>
      </w:r>
      <w:r>
        <w:t>did</w:t>
      </w:r>
      <w:r w:rsidRPr="001C0478">
        <w:t xml:space="preserve"> not share with people face to face.</w:t>
      </w:r>
    </w:p>
    <w:p w14:paraId="20688E74" w14:textId="77777777" w:rsidR="00373141" w:rsidRPr="001C0478" w:rsidRDefault="00373141" w:rsidP="00373141">
      <w:pPr>
        <w:rPr>
          <w:lang w:eastAsia="en-AU"/>
        </w:rPr>
      </w:pPr>
      <w:r w:rsidRPr="001C0478">
        <w:rPr>
          <w:lang w:eastAsia="en-AU"/>
        </w:rPr>
        <w:t xml:space="preserve">Transitioned ADF and the 2015 Regular ADF with a probable 30-day disorder were more likely than those without </w:t>
      </w:r>
      <w:r>
        <w:rPr>
          <w:lang w:eastAsia="en-AU"/>
        </w:rPr>
        <w:t xml:space="preserve">a </w:t>
      </w:r>
      <w:r w:rsidRPr="001C0478">
        <w:rPr>
          <w:lang w:eastAsia="en-AU"/>
        </w:rPr>
        <w:t>disorder to find</w:t>
      </w:r>
      <w:r w:rsidRPr="001C0478">
        <w:t xml:space="preserve"> it easier to be themselves online, talk about different things online and go online if going through a tough time.</w:t>
      </w:r>
      <w:r w:rsidRPr="001C0478">
        <w:rPr>
          <w:lang w:eastAsia="en-AU"/>
        </w:rPr>
        <w:t xml:space="preserve"> They also reported that</w:t>
      </w:r>
      <w:r>
        <w:rPr>
          <w:lang w:eastAsia="en-AU"/>
        </w:rPr>
        <w:t>,</w:t>
      </w:r>
      <w:r w:rsidRPr="001C0478">
        <w:rPr>
          <w:lang w:eastAsia="en-AU"/>
        </w:rPr>
        <w:t xml:space="preserve"> when going through a difficult time, going online </w:t>
      </w:r>
      <w:r>
        <w:rPr>
          <w:lang w:eastAsia="en-AU"/>
        </w:rPr>
        <w:t>made</w:t>
      </w:r>
      <w:r w:rsidRPr="001C0478">
        <w:rPr>
          <w:lang w:eastAsia="en-AU"/>
        </w:rPr>
        <w:t xml:space="preserve"> them feel better.</w:t>
      </w:r>
    </w:p>
    <w:p w14:paraId="662DC457" w14:textId="77777777" w:rsidR="00373141" w:rsidRPr="001743E6" w:rsidRDefault="00373141" w:rsidP="00373141">
      <w:pPr>
        <w:pStyle w:val="Heading3"/>
        <w:numPr>
          <w:ilvl w:val="2"/>
          <w:numId w:val="1"/>
        </w:numPr>
      </w:pPr>
      <w:bookmarkStart w:id="1295" w:name="_Toc518566475"/>
      <w:bookmarkStart w:id="1296" w:name="_Toc528932753"/>
      <w:bookmarkStart w:id="1297" w:name="_Toc531859290"/>
      <w:r w:rsidRPr="001C0478">
        <w:t>The use of new and emerging technology</w:t>
      </w:r>
      <w:bookmarkEnd w:id="1295"/>
      <w:bookmarkEnd w:id="1296"/>
      <w:bookmarkEnd w:id="1297"/>
    </w:p>
    <w:p w14:paraId="04D23366" w14:textId="77777777" w:rsidR="00373141" w:rsidRPr="001C0478" w:rsidRDefault="00373141" w:rsidP="00373141">
      <w:r w:rsidRPr="001C0478">
        <w:t>C</w:t>
      </w:r>
      <w:r>
        <w:t>hapter 5 of this report showed</w:t>
      </w:r>
      <w:r w:rsidRPr="001C0478">
        <w:t xml:space="preserve"> that half of the Transitioned ADF and 2015 Regular ADF reported using apps or wearable technology.</w:t>
      </w:r>
      <w:r>
        <w:t xml:space="preserve"> </w:t>
      </w:r>
      <w:r w:rsidRPr="001C0478">
        <w:t>Of the 50% of respondents who use</w:t>
      </w:r>
      <w:r>
        <w:t>d</w:t>
      </w:r>
      <w:r w:rsidRPr="001C0478">
        <w:t xml:space="preserve"> emerging technology, </w:t>
      </w:r>
      <w:r>
        <w:t>more than</w:t>
      </w:r>
      <w:r w:rsidRPr="001C0478">
        <w:t xml:space="preserve"> 80% </w:t>
      </w:r>
      <w:r>
        <w:t>reported</w:t>
      </w:r>
      <w:r w:rsidRPr="001C0478">
        <w:t xml:space="preserve"> using an app while almost a third report</w:t>
      </w:r>
      <w:r>
        <w:t>ed</w:t>
      </w:r>
      <w:r w:rsidRPr="001C0478">
        <w:t xml:space="preserve"> </w:t>
      </w:r>
      <w:r>
        <w:t>using</w:t>
      </w:r>
      <w:r w:rsidRPr="001C0478">
        <w:t xml:space="preserve"> wearable technology. The authors acknowledge that</w:t>
      </w:r>
      <w:r>
        <w:t>,</w:t>
      </w:r>
      <w:r w:rsidRPr="001C0478">
        <w:t xml:space="preserve"> given </w:t>
      </w:r>
      <w:r>
        <w:t xml:space="preserve">that </w:t>
      </w:r>
      <w:r w:rsidRPr="001C0478">
        <w:t>this survey was developed in 2013</w:t>
      </w:r>
      <w:r>
        <w:t>–</w:t>
      </w:r>
      <w:r w:rsidRPr="001C0478">
        <w:t>14</w:t>
      </w:r>
      <w:r>
        <w:t>,</w:t>
      </w:r>
      <w:r w:rsidRPr="001C0478">
        <w:t xml:space="preserve"> it is highly likely that</w:t>
      </w:r>
      <w:r>
        <w:t>,</w:t>
      </w:r>
      <w:r w:rsidRPr="001C0478">
        <w:t xml:space="preserve"> consistent with national and international data, the use of apps and wearable devices </w:t>
      </w:r>
      <w:r>
        <w:t>has</w:t>
      </w:r>
      <w:r w:rsidRPr="001C0478">
        <w:t xml:space="preserve"> increased. This research highlights the challenges of conducting this type of study particularly in keeping pace with the speed of technology innovation and uptake. Of the 40% of respondents who </w:t>
      </w:r>
      <w:r>
        <w:t>did</w:t>
      </w:r>
      <w:r w:rsidRPr="001C0478">
        <w:t xml:space="preserve"> not use ‘new technology’, about three quarters did not use it because they had ‘no need or interest’. Other reasons included that it was too confusing or too expensive. Surprisingly, only one in five cited privacy issues as a reason for not using technology.</w:t>
      </w:r>
    </w:p>
    <w:p w14:paraId="0F0A71DA" w14:textId="77777777" w:rsidR="00373141" w:rsidRPr="001C0478" w:rsidRDefault="00373141" w:rsidP="00373141">
      <w:r w:rsidRPr="001C0478">
        <w:t>Of the Transitioned ADF and 2015 Regular ADF who use</w:t>
      </w:r>
      <w:r>
        <w:t>d</w:t>
      </w:r>
      <w:r w:rsidRPr="001C0478">
        <w:t xml:space="preserve"> new technologies, 50% reported that they use</w:t>
      </w:r>
      <w:r>
        <w:t>d</w:t>
      </w:r>
      <w:r w:rsidRPr="001C0478">
        <w:t xml:space="preserve"> them for the purpose of improving their health and wellbeing. A</w:t>
      </w:r>
      <w:r w:rsidRPr="003057E9">
        <w:t>pproximately</w:t>
      </w:r>
      <w:r w:rsidRPr="001C0478">
        <w:t xml:space="preserve"> </w:t>
      </w:r>
      <w:r>
        <w:t>80%</w:t>
      </w:r>
      <w:r w:rsidRPr="001C0478">
        <w:t xml:space="preserve"> of the Transitioned ADF used them to improve fitness, </w:t>
      </w:r>
      <w:r>
        <w:t>60%</w:t>
      </w:r>
      <w:r w:rsidRPr="001C0478">
        <w:t xml:space="preserve"> tracked their progress and </w:t>
      </w:r>
      <w:r>
        <w:t xml:space="preserve">36% </w:t>
      </w:r>
      <w:r w:rsidRPr="001C0478">
        <w:t xml:space="preserve">used them to stay organised. In the </w:t>
      </w:r>
      <w:r>
        <w:t xml:space="preserve">2015 </w:t>
      </w:r>
      <w:r w:rsidRPr="001C0478">
        <w:t>Regular ADF</w:t>
      </w:r>
      <w:r>
        <w:t>,</w:t>
      </w:r>
      <w:r w:rsidRPr="001C0478">
        <w:t xml:space="preserve"> almost </w:t>
      </w:r>
      <w:r>
        <w:t>90%</w:t>
      </w:r>
      <w:r w:rsidRPr="001C0478">
        <w:t xml:space="preserve"> used them to improve fitness, </w:t>
      </w:r>
      <w:r>
        <w:t xml:space="preserve">56% </w:t>
      </w:r>
      <w:r w:rsidRPr="001C0478">
        <w:t xml:space="preserve">to track progress and almost </w:t>
      </w:r>
      <w:r>
        <w:t>40%</w:t>
      </w:r>
      <w:r w:rsidRPr="001C0478">
        <w:t xml:space="preserve"> to stay organised. About a third of both the Transitioned ADF and the </w:t>
      </w:r>
      <w:r>
        <w:t xml:space="preserve">2015 </w:t>
      </w:r>
      <w:r w:rsidRPr="001C0478">
        <w:t xml:space="preserve">Regular ADF used them to improve sleep, maintain diet and stay motivated. For those who were not using technology to improve their mental health and wellbeing but were using it for another reason, </w:t>
      </w:r>
      <w:r w:rsidRPr="003057E9">
        <w:t>approximately</w:t>
      </w:r>
      <w:r w:rsidRPr="001C0478">
        <w:t xml:space="preserve"> three</w:t>
      </w:r>
      <w:r>
        <w:t xml:space="preserve"> </w:t>
      </w:r>
      <w:r w:rsidRPr="001C0478">
        <w:t xml:space="preserve">quarters of both Transitioned ADF and the </w:t>
      </w:r>
      <w:r>
        <w:t xml:space="preserve">2015 </w:t>
      </w:r>
      <w:r w:rsidRPr="001C0478">
        <w:t xml:space="preserve">Regular ADF reported using it for fun or recreation, </w:t>
      </w:r>
      <w:r w:rsidRPr="003057E9">
        <w:t>approximately</w:t>
      </w:r>
      <w:r w:rsidRPr="001C0478">
        <w:t xml:space="preserve"> half for study or work and a third to enhance social interaction.</w:t>
      </w:r>
    </w:p>
    <w:p w14:paraId="1EBE689A" w14:textId="77777777" w:rsidR="00373141" w:rsidRPr="001743E6" w:rsidRDefault="00373141" w:rsidP="00373141">
      <w:pPr>
        <w:pStyle w:val="Heading3"/>
        <w:numPr>
          <w:ilvl w:val="2"/>
          <w:numId w:val="1"/>
        </w:numPr>
      </w:pPr>
      <w:bookmarkStart w:id="1298" w:name="_Toc518566476"/>
      <w:bookmarkStart w:id="1299" w:name="_Toc528932754"/>
      <w:bookmarkStart w:id="1300" w:name="_Toc531859291"/>
      <w:r w:rsidRPr="001C0478">
        <w:t xml:space="preserve">Use of the </w:t>
      </w:r>
      <w:r>
        <w:t>internet</w:t>
      </w:r>
      <w:r w:rsidRPr="001C0478">
        <w:t xml:space="preserve"> for </w:t>
      </w:r>
      <w:r>
        <w:t xml:space="preserve">mental </w:t>
      </w:r>
      <w:r w:rsidRPr="001C0478">
        <w:t>health information, or to seek support</w:t>
      </w:r>
      <w:bookmarkEnd w:id="1298"/>
      <w:bookmarkEnd w:id="1299"/>
      <w:bookmarkEnd w:id="1300"/>
    </w:p>
    <w:p w14:paraId="09BF9C76" w14:textId="77777777" w:rsidR="00373141" w:rsidRPr="001C0478" w:rsidRDefault="00373141" w:rsidP="00373141">
      <w:r w:rsidRPr="001C0478">
        <w:t xml:space="preserve">Chapter </w:t>
      </w:r>
      <w:r>
        <w:t>6</w:t>
      </w:r>
      <w:r w:rsidRPr="001C0478">
        <w:t xml:space="preserve"> of this report started to explore how the Transitioned ADF and 2015 Regular ADF use</w:t>
      </w:r>
      <w:r>
        <w:t>d</w:t>
      </w:r>
      <w:r w:rsidRPr="001C0478">
        <w:t xml:space="preserve"> the </w:t>
      </w:r>
      <w:r>
        <w:t>internet</w:t>
      </w:r>
      <w:r w:rsidRPr="001C0478">
        <w:t xml:space="preserve"> for health information or to seek support</w:t>
      </w:r>
      <w:r>
        <w:t>, for themselves or for others</w:t>
      </w:r>
      <w:r w:rsidRPr="001C0478">
        <w:t xml:space="preserve">. The Transition and Wellbeing Research </w:t>
      </w:r>
      <w:r>
        <w:t xml:space="preserve">Programme </w:t>
      </w:r>
      <w:r w:rsidRPr="001C0478">
        <w:t>team once again w</w:t>
      </w:r>
      <w:r>
        <w:t>as</w:t>
      </w:r>
      <w:r w:rsidRPr="001C0478">
        <w:t xml:space="preserve"> interested in the idea of soft entry points for stigmatised disorders such as depression, anxiety and PTSD. Given the importance of ‘mates’</w:t>
      </w:r>
      <w:r>
        <w:t>,</w:t>
      </w:r>
      <w:r w:rsidRPr="001C0478">
        <w:t xml:space="preserve"> we were also interested in exploring how the </w:t>
      </w:r>
      <w:r>
        <w:t>internet</w:t>
      </w:r>
      <w:r w:rsidRPr="001C0478">
        <w:t xml:space="preserve"> was used to support ongoing mental health literacy and the idea of ‘peer support networks’.</w:t>
      </w:r>
    </w:p>
    <w:p w14:paraId="16E21D68" w14:textId="77777777" w:rsidR="00373141" w:rsidRDefault="00373141" w:rsidP="00373141">
      <w:r w:rsidRPr="001C0478">
        <w:t xml:space="preserve">One in four Transitioned ADF and one in </w:t>
      </w:r>
      <w:r>
        <w:t>six</w:t>
      </w:r>
      <w:r w:rsidRPr="001C0478">
        <w:t xml:space="preserve"> 2015 Regular ADF report</w:t>
      </w:r>
      <w:r>
        <w:t>ed</w:t>
      </w:r>
      <w:r w:rsidRPr="001C0478">
        <w:t xml:space="preserve"> that they </w:t>
      </w:r>
      <w:r>
        <w:t>used</w:t>
      </w:r>
      <w:r w:rsidRPr="001C0478">
        <w:t xml:space="preserve"> the </w:t>
      </w:r>
      <w:r>
        <w:t>internet</w:t>
      </w:r>
      <w:r w:rsidRPr="001C0478">
        <w:t xml:space="preserve"> to seek help or information for, or to manage, mental health issues at least once per month. Of the one in four Transitioned ADF who used the </w:t>
      </w:r>
      <w:r>
        <w:t>internet</w:t>
      </w:r>
      <w:r w:rsidRPr="001C0478">
        <w:t xml:space="preserve"> for mental health issues, almost 50% had a probable 30-day disorder and almost </w:t>
      </w:r>
      <w:r>
        <w:t xml:space="preserve">50% </w:t>
      </w:r>
      <w:r w:rsidRPr="001C0478">
        <w:t>wer</w:t>
      </w:r>
      <w:r>
        <w:t xml:space="preserve">e </w:t>
      </w:r>
      <w:r w:rsidRPr="001C0478">
        <w:t xml:space="preserve">young men aged 18 to 37. Of the one in </w:t>
      </w:r>
      <w:r>
        <w:t>six</w:t>
      </w:r>
      <w:r w:rsidRPr="001C0478">
        <w:t xml:space="preserve"> 2015 </w:t>
      </w:r>
      <w:r>
        <w:t>R</w:t>
      </w:r>
      <w:r w:rsidRPr="001C0478">
        <w:t xml:space="preserve">egular ADF who used the </w:t>
      </w:r>
      <w:r>
        <w:t>internet</w:t>
      </w:r>
      <w:r w:rsidRPr="001C0478">
        <w:t xml:space="preserve"> for mental health issues, only </w:t>
      </w:r>
      <w:r>
        <w:t>20%</w:t>
      </w:r>
      <w:r w:rsidRPr="001C0478">
        <w:t xml:space="preserve"> had a probable 30-day disorder and </w:t>
      </w:r>
      <w:r>
        <w:t>more than</w:t>
      </w:r>
      <w:r w:rsidRPr="001C0478">
        <w:t xml:space="preserve"> </w:t>
      </w:r>
      <w:r>
        <w:t>50%</w:t>
      </w:r>
      <w:r w:rsidRPr="001C0478">
        <w:t xml:space="preserve"> were young men aged 18 to 37. </w:t>
      </w:r>
      <w:r w:rsidRPr="004826D8">
        <w:rPr>
          <w:rFonts w:eastAsia="Times New Roman"/>
          <w:lang w:eastAsia="en-AU"/>
        </w:rPr>
        <w:t xml:space="preserve">Transitioned ADF were </w:t>
      </w:r>
      <w:r>
        <w:rPr>
          <w:rFonts w:eastAsia="Times New Roman"/>
          <w:lang w:eastAsia="en-AU"/>
        </w:rPr>
        <w:t xml:space="preserve">significantly </w:t>
      </w:r>
      <w:r w:rsidRPr="004826D8">
        <w:rPr>
          <w:rFonts w:eastAsia="Times New Roman"/>
          <w:lang w:eastAsia="en-AU"/>
        </w:rPr>
        <w:t xml:space="preserve">more likely to use the </w:t>
      </w:r>
      <w:r>
        <w:rPr>
          <w:rFonts w:eastAsia="Times New Roman"/>
          <w:lang w:eastAsia="en-AU"/>
        </w:rPr>
        <w:t>internet</w:t>
      </w:r>
      <w:r w:rsidRPr="004826D8">
        <w:rPr>
          <w:rFonts w:eastAsia="Times New Roman"/>
          <w:lang w:eastAsia="en-AU"/>
        </w:rPr>
        <w:t xml:space="preserve"> to seek help or information for, or manage, mental health issues </w:t>
      </w:r>
      <w:r>
        <w:rPr>
          <w:rFonts w:eastAsia="Times New Roman"/>
          <w:lang w:eastAsia="en-AU"/>
        </w:rPr>
        <w:t>compared to</w:t>
      </w:r>
      <w:r w:rsidRPr="004826D8">
        <w:rPr>
          <w:rFonts w:eastAsia="Times New Roman"/>
          <w:lang w:eastAsia="en-AU"/>
        </w:rPr>
        <w:t xml:space="preserve"> </w:t>
      </w:r>
      <w:r>
        <w:rPr>
          <w:rFonts w:eastAsia="Times New Roman"/>
          <w:lang w:eastAsia="en-AU"/>
        </w:rPr>
        <w:t xml:space="preserve">the </w:t>
      </w:r>
      <w:r w:rsidRPr="004826D8">
        <w:rPr>
          <w:rFonts w:eastAsia="Times New Roman"/>
          <w:lang w:eastAsia="en-AU"/>
        </w:rPr>
        <w:t>2015 Regular ADF</w:t>
      </w:r>
      <w:r>
        <w:rPr>
          <w:rFonts w:eastAsia="Times New Roman"/>
          <w:lang w:eastAsia="en-AU"/>
        </w:rPr>
        <w:t>.</w:t>
      </w:r>
      <w:r w:rsidRPr="001C0478" w:rsidDel="00AB609D">
        <w:t xml:space="preserve"> </w:t>
      </w:r>
    </w:p>
    <w:p w14:paraId="7B8EDDA5" w14:textId="77777777" w:rsidR="00373141" w:rsidRPr="001C0478" w:rsidRDefault="00373141" w:rsidP="00373141">
      <w:r w:rsidRPr="001C0478">
        <w:t>Overall</w:t>
      </w:r>
      <w:r>
        <w:t>,</w:t>
      </w:r>
      <w:r w:rsidRPr="001C0478">
        <w:t xml:space="preserve"> the majority of Transitioned ADF and 2015 Regular ADF were satisfied with the information they received, reporting </w:t>
      </w:r>
      <w:r>
        <w:t xml:space="preserve">that </w:t>
      </w:r>
      <w:r w:rsidRPr="001C0478">
        <w:t xml:space="preserve">it had helped a little or a lot. Just over a third reported that it neither helped </w:t>
      </w:r>
      <w:r>
        <w:t>n</w:t>
      </w:r>
      <w:r w:rsidRPr="001C0478">
        <w:t>or made it worse</w:t>
      </w:r>
      <w:r>
        <w:t>,</w:t>
      </w:r>
      <w:r w:rsidRPr="001C0478">
        <w:t xml:space="preserve"> while less than 2% reported that it did not help.</w:t>
      </w:r>
    </w:p>
    <w:p w14:paraId="32D9EBFE" w14:textId="77777777" w:rsidR="00373141" w:rsidRPr="001743E6" w:rsidRDefault="00373141" w:rsidP="00373141">
      <w:pPr>
        <w:pStyle w:val="Heading3"/>
        <w:numPr>
          <w:ilvl w:val="2"/>
          <w:numId w:val="1"/>
        </w:numPr>
      </w:pPr>
      <w:bookmarkStart w:id="1301" w:name="_Toc518566477"/>
      <w:bookmarkStart w:id="1302" w:name="_Toc528932755"/>
      <w:bookmarkStart w:id="1303" w:name="_Toc531859292"/>
      <w:r w:rsidRPr="001C0478">
        <w:t>Seeking help or information about their own mental health</w:t>
      </w:r>
      <w:bookmarkEnd w:id="1301"/>
      <w:bookmarkEnd w:id="1302"/>
      <w:bookmarkEnd w:id="1303"/>
      <w:r w:rsidRPr="001C0478">
        <w:t xml:space="preserve"> </w:t>
      </w:r>
    </w:p>
    <w:p w14:paraId="6D3F3C39" w14:textId="77777777" w:rsidR="00373141" w:rsidRPr="001C0478" w:rsidRDefault="00373141" w:rsidP="00373141">
      <w:pPr>
        <w:rPr>
          <w:rFonts w:eastAsia="Calibri"/>
          <w:szCs w:val="22"/>
        </w:rPr>
      </w:pPr>
      <w:r w:rsidRPr="001C0478">
        <w:rPr>
          <w:rFonts w:eastAsia="Calibri"/>
          <w:szCs w:val="22"/>
        </w:rPr>
        <w:t xml:space="preserve">Chapter </w:t>
      </w:r>
      <w:r>
        <w:rPr>
          <w:rFonts w:eastAsia="Calibri"/>
          <w:szCs w:val="22"/>
        </w:rPr>
        <w:t>7</w:t>
      </w:r>
      <w:r w:rsidRPr="001C0478">
        <w:rPr>
          <w:rFonts w:eastAsia="Calibri"/>
          <w:szCs w:val="22"/>
        </w:rPr>
        <w:t xml:space="preserve"> specifically asked the Transitioned ADF and </w:t>
      </w:r>
      <w:r>
        <w:rPr>
          <w:rFonts w:eastAsia="Calibri"/>
          <w:szCs w:val="22"/>
        </w:rPr>
        <w:t xml:space="preserve">2015 </w:t>
      </w:r>
      <w:r w:rsidRPr="001C0478">
        <w:rPr>
          <w:rFonts w:eastAsia="Calibri"/>
          <w:szCs w:val="22"/>
        </w:rPr>
        <w:t>Regular ADF who currently use</w:t>
      </w:r>
      <w:r>
        <w:rPr>
          <w:rFonts w:eastAsia="Calibri"/>
          <w:szCs w:val="22"/>
        </w:rPr>
        <w:t>d</w:t>
      </w:r>
      <w:r w:rsidRPr="001C0478">
        <w:rPr>
          <w:rFonts w:eastAsia="Calibri"/>
          <w:szCs w:val="22"/>
        </w:rPr>
        <w:t xml:space="preserve"> the </w:t>
      </w:r>
      <w:r>
        <w:rPr>
          <w:rFonts w:eastAsia="Calibri"/>
          <w:szCs w:val="22"/>
        </w:rPr>
        <w:t>internet</w:t>
      </w:r>
      <w:r w:rsidRPr="001C0478">
        <w:rPr>
          <w:rFonts w:eastAsia="Calibri"/>
          <w:szCs w:val="22"/>
        </w:rPr>
        <w:t xml:space="preserve"> for health information or to seek support about seeking help or information for their </w:t>
      </w:r>
      <w:r w:rsidRPr="00CA0929">
        <w:rPr>
          <w:rFonts w:eastAsia="Calibri"/>
          <w:szCs w:val="22"/>
          <w:u w:val="single"/>
        </w:rPr>
        <w:t>own</w:t>
      </w:r>
      <w:r w:rsidRPr="001C0478">
        <w:rPr>
          <w:rFonts w:eastAsia="Calibri"/>
          <w:szCs w:val="22"/>
        </w:rPr>
        <w:t xml:space="preserve"> mental health, with about one third of the </w:t>
      </w:r>
      <w:r>
        <w:rPr>
          <w:rFonts w:eastAsia="Calibri"/>
          <w:szCs w:val="22"/>
        </w:rPr>
        <w:t>T</w:t>
      </w:r>
      <w:r w:rsidRPr="001C0478">
        <w:rPr>
          <w:rFonts w:eastAsia="Calibri"/>
          <w:szCs w:val="22"/>
        </w:rPr>
        <w:t xml:space="preserve">ransitioned ADF and one fifth of the 2015 </w:t>
      </w:r>
      <w:r>
        <w:rPr>
          <w:rFonts w:eastAsia="Calibri"/>
          <w:szCs w:val="22"/>
        </w:rPr>
        <w:t>R</w:t>
      </w:r>
      <w:r w:rsidRPr="001C0478">
        <w:rPr>
          <w:rFonts w:eastAsia="Calibri"/>
          <w:szCs w:val="22"/>
        </w:rPr>
        <w:t xml:space="preserve">egular ADF </w:t>
      </w:r>
      <w:r>
        <w:rPr>
          <w:rFonts w:eastAsia="Calibri"/>
          <w:szCs w:val="22"/>
        </w:rPr>
        <w:t>reporting having used</w:t>
      </w:r>
      <w:r w:rsidRPr="001C0478">
        <w:rPr>
          <w:rFonts w:eastAsia="Calibri"/>
          <w:szCs w:val="22"/>
        </w:rPr>
        <w:t xml:space="preserve"> it at least once per month. A small minority of the Transitioned ADF and just over </w:t>
      </w:r>
      <w:r>
        <w:rPr>
          <w:rFonts w:eastAsia="Calibri"/>
          <w:szCs w:val="22"/>
        </w:rPr>
        <w:t>10%</w:t>
      </w:r>
      <w:r w:rsidRPr="001C0478">
        <w:rPr>
          <w:rFonts w:eastAsia="Calibri"/>
          <w:szCs w:val="22"/>
        </w:rPr>
        <w:t xml:space="preserve"> of the </w:t>
      </w:r>
      <w:r>
        <w:rPr>
          <w:rFonts w:eastAsia="Calibri"/>
          <w:szCs w:val="22"/>
        </w:rPr>
        <w:t xml:space="preserve">2015 </w:t>
      </w:r>
      <w:r w:rsidRPr="001C0478">
        <w:rPr>
          <w:rFonts w:eastAsia="Calibri"/>
          <w:szCs w:val="22"/>
        </w:rPr>
        <w:t xml:space="preserve">Regular ADF reported that they had never used the </w:t>
      </w:r>
      <w:r>
        <w:rPr>
          <w:rFonts w:eastAsia="Calibri"/>
          <w:szCs w:val="22"/>
        </w:rPr>
        <w:t>internet</w:t>
      </w:r>
      <w:r w:rsidRPr="001C0478">
        <w:rPr>
          <w:rFonts w:eastAsia="Calibri"/>
          <w:szCs w:val="22"/>
        </w:rPr>
        <w:t xml:space="preserve"> to seek information about their </w:t>
      </w:r>
      <w:r w:rsidRPr="00CA0929">
        <w:rPr>
          <w:rFonts w:eastAsia="Calibri"/>
          <w:szCs w:val="22"/>
          <w:u w:val="single"/>
        </w:rPr>
        <w:t>own</w:t>
      </w:r>
      <w:r w:rsidRPr="001C0478">
        <w:rPr>
          <w:rFonts w:eastAsia="Calibri"/>
          <w:szCs w:val="22"/>
        </w:rPr>
        <w:t xml:space="preserve"> mental health. In the Transitioned ADF and the </w:t>
      </w:r>
      <w:r>
        <w:rPr>
          <w:rFonts w:eastAsia="Calibri"/>
          <w:szCs w:val="22"/>
        </w:rPr>
        <w:t xml:space="preserve">2015 </w:t>
      </w:r>
      <w:r w:rsidRPr="001C0478">
        <w:rPr>
          <w:rFonts w:eastAsia="Calibri"/>
          <w:szCs w:val="22"/>
        </w:rPr>
        <w:t>Regular ADF</w:t>
      </w:r>
      <w:r>
        <w:rPr>
          <w:rFonts w:eastAsia="Calibri"/>
          <w:szCs w:val="22"/>
        </w:rPr>
        <w:t>,</w:t>
      </w:r>
      <w:r w:rsidRPr="001C0478">
        <w:rPr>
          <w:rFonts w:eastAsia="Calibri"/>
          <w:szCs w:val="22"/>
        </w:rPr>
        <w:t xml:space="preserve"> those with a probable disorder were twice as likely to report using the </w:t>
      </w:r>
      <w:r>
        <w:rPr>
          <w:rFonts w:eastAsia="Calibri"/>
          <w:szCs w:val="22"/>
        </w:rPr>
        <w:t>internet</w:t>
      </w:r>
      <w:r w:rsidRPr="001C0478">
        <w:rPr>
          <w:rFonts w:eastAsia="Calibri"/>
          <w:szCs w:val="22"/>
        </w:rPr>
        <w:t xml:space="preserve"> for seeking help or information at least once a month, compared to those with no probable disorder. Among the Transitioned ADF with a probable 30-day disorder, 42.5% reported using the </w:t>
      </w:r>
      <w:r>
        <w:rPr>
          <w:rFonts w:eastAsia="Calibri"/>
          <w:szCs w:val="22"/>
        </w:rPr>
        <w:t>internet</w:t>
      </w:r>
      <w:r w:rsidRPr="001C0478">
        <w:rPr>
          <w:rFonts w:eastAsia="Calibri"/>
          <w:szCs w:val="22"/>
        </w:rPr>
        <w:t xml:space="preserve"> to seek help or access information about their own mental health at least once a month, 52.3% reported using it less than once a month and 3.7% reported never using it for this purpose. Among the 2015 Regular ADF with a probable 30-day disorder</w:t>
      </w:r>
      <w:r>
        <w:rPr>
          <w:rFonts w:eastAsia="Calibri"/>
          <w:szCs w:val="22"/>
        </w:rPr>
        <w:t>,</w:t>
      </w:r>
      <w:r w:rsidRPr="001C0478">
        <w:rPr>
          <w:rFonts w:eastAsia="Calibri"/>
          <w:szCs w:val="22"/>
        </w:rPr>
        <w:t xml:space="preserve"> 28.6% reported using the </w:t>
      </w:r>
      <w:r>
        <w:rPr>
          <w:rFonts w:eastAsia="Calibri"/>
          <w:szCs w:val="22"/>
        </w:rPr>
        <w:t>internet</w:t>
      </w:r>
      <w:r w:rsidRPr="001C0478">
        <w:rPr>
          <w:rFonts w:eastAsia="Calibri"/>
          <w:szCs w:val="22"/>
        </w:rPr>
        <w:t xml:space="preserve"> to seek information about their own mental health at least once a month, 68.8% reported using it less than once a month and 2.1% reported never using the </w:t>
      </w:r>
      <w:r>
        <w:rPr>
          <w:rFonts w:eastAsia="Calibri"/>
          <w:szCs w:val="22"/>
        </w:rPr>
        <w:t>internet</w:t>
      </w:r>
      <w:r w:rsidRPr="001C0478">
        <w:rPr>
          <w:rFonts w:eastAsia="Calibri"/>
          <w:szCs w:val="22"/>
        </w:rPr>
        <w:t xml:space="preserve"> for this purpose.</w:t>
      </w:r>
    </w:p>
    <w:p w14:paraId="2DF64574" w14:textId="77777777" w:rsidR="00373141" w:rsidRPr="00B2066E" w:rsidRDefault="00373141" w:rsidP="00373141">
      <w:pPr>
        <w:pStyle w:val="Heading4"/>
        <w:rPr>
          <w:i w:val="0"/>
          <w:iCs w:val="0"/>
        </w:rPr>
      </w:pPr>
      <w:r w:rsidRPr="00B2066E">
        <w:rPr>
          <w:i w:val="0"/>
          <w:iCs w:val="0"/>
        </w:rPr>
        <w:t xml:space="preserve">11.1.5 Talking online about their own mental health </w:t>
      </w:r>
    </w:p>
    <w:p w14:paraId="5BD33899" w14:textId="77777777" w:rsidR="00373141" w:rsidRPr="001C0478" w:rsidRDefault="00373141" w:rsidP="00373141">
      <w:r w:rsidRPr="001C0478">
        <w:t xml:space="preserve">Of the Transitioned ADF and 2015 Regular ADF who used the </w:t>
      </w:r>
      <w:r>
        <w:t>internet</w:t>
      </w:r>
      <w:r w:rsidRPr="001C0478">
        <w:t xml:space="preserve"> to manage mental health, approximately one third talked </w:t>
      </w:r>
      <w:r>
        <w:t xml:space="preserve">online </w:t>
      </w:r>
      <w:r w:rsidRPr="001C0478">
        <w:t>with a peer, family member or friend</w:t>
      </w:r>
      <w:r>
        <w:t>,</w:t>
      </w:r>
      <w:r w:rsidRPr="001C0478">
        <w:t xml:space="preserve"> with 63% of the Transitioned ADF and 75% of the 2015 Regular ADF finding it helpful.</w:t>
      </w:r>
      <w:r>
        <w:t xml:space="preserve"> </w:t>
      </w:r>
    </w:p>
    <w:p w14:paraId="512F2E08" w14:textId="77777777" w:rsidR="00373141" w:rsidRPr="001C0478" w:rsidRDefault="00373141" w:rsidP="00373141">
      <w:r w:rsidRPr="001C0478">
        <w:t>A</w:t>
      </w:r>
      <w:r w:rsidRPr="003057E9">
        <w:t>pproximately</w:t>
      </w:r>
      <w:r w:rsidRPr="001C0478">
        <w:t xml:space="preserve"> </w:t>
      </w:r>
      <w:r>
        <w:t>10%</w:t>
      </w:r>
      <w:r w:rsidRPr="001C0478">
        <w:t xml:space="preserve"> of the Transitioned ADF and 2015 Regular ADF talked about their mental health with other people</w:t>
      </w:r>
      <w:r>
        <w:t xml:space="preserve"> online –</w:t>
      </w:r>
      <w:r w:rsidRPr="001C0478">
        <w:t xml:space="preserve"> for example in online forums, chatrooms</w:t>
      </w:r>
      <w:r>
        <w:t xml:space="preserve"> or on</w:t>
      </w:r>
      <w:r w:rsidRPr="001C0478">
        <w:t xml:space="preserve"> blogs, MSN or Gmail messenger</w:t>
      </w:r>
      <w:r>
        <w:t xml:space="preserve"> –</w:t>
      </w:r>
      <w:r w:rsidRPr="001C0478">
        <w:t xml:space="preserve"> with approximately 61% of the Transitioned ADF and 88% of the 2015 Regular ADF finding it helpful.</w:t>
      </w:r>
    </w:p>
    <w:p w14:paraId="1A05CAB1" w14:textId="6F930588" w:rsidR="00373141" w:rsidRPr="001C0478" w:rsidRDefault="00373141" w:rsidP="00373141">
      <w:r w:rsidRPr="001C0478">
        <w:t>A</w:t>
      </w:r>
      <w:r w:rsidRPr="003057E9">
        <w:t>pproximately</w:t>
      </w:r>
      <w:r w:rsidRPr="001C0478">
        <w:t xml:space="preserve"> </w:t>
      </w:r>
      <w:r w:rsidR="003154E4">
        <w:t>10%</w:t>
      </w:r>
      <w:r w:rsidRPr="001C0478">
        <w:t xml:space="preserve"> reported talking online to a psychologist or other mental health professional about their mental health. A</w:t>
      </w:r>
      <w:r>
        <w:t>pproximately 60%</w:t>
      </w:r>
      <w:r w:rsidRPr="001C0478">
        <w:t xml:space="preserve"> found this helpful.</w:t>
      </w:r>
    </w:p>
    <w:p w14:paraId="6B3D9D59" w14:textId="77777777" w:rsidR="00373141" w:rsidRPr="001C0478" w:rsidRDefault="00373141" w:rsidP="00373141">
      <w:pPr>
        <w:pStyle w:val="Heading3"/>
        <w:numPr>
          <w:ilvl w:val="2"/>
          <w:numId w:val="23"/>
        </w:numPr>
      </w:pPr>
      <w:bookmarkStart w:id="1304" w:name="_Toc518566478"/>
      <w:bookmarkStart w:id="1305" w:name="_Toc528932756"/>
      <w:bookmarkStart w:id="1306" w:name="_Toc531859293"/>
      <w:r w:rsidRPr="001C0478">
        <w:t>Barriers</w:t>
      </w:r>
      <w:bookmarkEnd w:id="1304"/>
      <w:bookmarkEnd w:id="1305"/>
      <w:bookmarkEnd w:id="1306"/>
    </w:p>
    <w:p w14:paraId="35CA5040" w14:textId="795BA819" w:rsidR="00373141" w:rsidRPr="001C0478" w:rsidRDefault="00373141" w:rsidP="00373141">
      <w:r w:rsidRPr="001C0478">
        <w:t xml:space="preserve">In </w:t>
      </w:r>
      <w:r w:rsidR="00484303">
        <w:t>C</w:t>
      </w:r>
      <w:r w:rsidRPr="001C0478">
        <w:t xml:space="preserve">hapter </w:t>
      </w:r>
      <w:r>
        <w:t>8</w:t>
      </w:r>
      <w:r w:rsidRPr="001C0478">
        <w:t xml:space="preserve"> we were interested in exploring barriers that would prevent someone from talking to someone online</w:t>
      </w:r>
      <w:r>
        <w:t>. T</w:t>
      </w:r>
      <w:r w:rsidRPr="001C0478">
        <w:t>his included a peer, family member or friend, other people (</w:t>
      </w:r>
      <w:r>
        <w:t>e.g</w:t>
      </w:r>
      <w:r w:rsidRPr="001C0478">
        <w:t xml:space="preserve">. chatroom) or a professional. For the </w:t>
      </w:r>
      <w:r>
        <w:t xml:space="preserve">50% </w:t>
      </w:r>
      <w:r w:rsidRPr="001C0478">
        <w:t>who did not talk to someone online</w:t>
      </w:r>
      <w:r>
        <w:t>,</w:t>
      </w:r>
      <w:r w:rsidRPr="001C0478">
        <w:t xml:space="preserve"> the main reason was their preference for </w:t>
      </w:r>
      <w:r>
        <w:t>face-to-face</w:t>
      </w:r>
      <w:r w:rsidRPr="001C0478">
        <w:t xml:space="preserve"> contact</w:t>
      </w:r>
      <w:r>
        <w:t>,</w:t>
      </w:r>
      <w:r w:rsidRPr="001C0478">
        <w:t xml:space="preserve"> with about 59% of the Transitioned ADF and 70% of the 2015 Regular ADF citing this as a reason. About </w:t>
      </w:r>
      <w:r>
        <w:t>50%</w:t>
      </w:r>
      <w:r w:rsidRPr="001C0478">
        <w:t xml:space="preserve"> of the Transitioned ADF and 2015 Regular ADF </w:t>
      </w:r>
      <w:r>
        <w:t xml:space="preserve">who did not talk to someone online </w:t>
      </w:r>
      <w:r w:rsidRPr="001C0478">
        <w:t>cite</w:t>
      </w:r>
      <w:r>
        <w:t>d</w:t>
      </w:r>
      <w:r w:rsidRPr="001C0478">
        <w:t xml:space="preserve"> concerns about privacy and confidentiality and </w:t>
      </w:r>
      <w:r>
        <w:t xml:space="preserve">40% </w:t>
      </w:r>
      <w:r w:rsidRPr="001C0478">
        <w:t>report</w:t>
      </w:r>
      <w:r>
        <w:t>ed</w:t>
      </w:r>
      <w:r w:rsidRPr="001C0478">
        <w:t xml:space="preserve"> being concerned about the validity of the information. Transitioned ADF were less likely than 2015 Regular ADF to report that a barrier to talking online about mental health </w:t>
      </w:r>
      <w:r>
        <w:t>was</w:t>
      </w:r>
      <w:r w:rsidRPr="001C0478">
        <w:t xml:space="preserve"> concerns about a lack of privacy or confidentiality. Lack of access to technology, affordability, a lack of skills to use technology and a lack of awareness about available online services were </w:t>
      </w:r>
      <w:r w:rsidRPr="00A26753">
        <w:rPr>
          <w:u w:val="single"/>
        </w:rPr>
        <w:t>not</w:t>
      </w:r>
      <w:r w:rsidRPr="001C0478">
        <w:t xml:space="preserve"> issues of concern.</w:t>
      </w:r>
    </w:p>
    <w:p w14:paraId="2D7576E6" w14:textId="500B4567" w:rsidR="00373141" w:rsidRPr="001C0478" w:rsidRDefault="00373141" w:rsidP="00373141">
      <w:pPr>
        <w:pStyle w:val="Heading3"/>
        <w:numPr>
          <w:ilvl w:val="2"/>
          <w:numId w:val="1"/>
        </w:numPr>
      </w:pPr>
      <w:bookmarkStart w:id="1307" w:name="_Toc518566479"/>
      <w:bookmarkStart w:id="1308" w:name="_Toc528932757"/>
      <w:bookmarkStart w:id="1309" w:name="_Toc531859294"/>
      <w:r w:rsidRPr="001C0478">
        <w:t xml:space="preserve">Use of the </w:t>
      </w:r>
      <w:r>
        <w:t>internet</w:t>
      </w:r>
      <w:r w:rsidRPr="001C0478">
        <w:t xml:space="preserve"> for </w:t>
      </w:r>
      <w:r w:rsidR="003154E4">
        <w:t>m</w:t>
      </w:r>
      <w:r w:rsidRPr="001C0478">
        <w:t xml:space="preserve">ental </w:t>
      </w:r>
      <w:r w:rsidR="003154E4">
        <w:t>h</w:t>
      </w:r>
      <w:r w:rsidRPr="001C0478">
        <w:t>ealth</w:t>
      </w:r>
      <w:bookmarkEnd w:id="1307"/>
      <w:bookmarkEnd w:id="1308"/>
      <w:bookmarkEnd w:id="1309"/>
    </w:p>
    <w:p w14:paraId="0E5F329E" w14:textId="3533338C" w:rsidR="00373141" w:rsidRPr="001C0478" w:rsidRDefault="00373141" w:rsidP="00373141">
      <w:r w:rsidRPr="001C0478">
        <w:t xml:space="preserve">In </w:t>
      </w:r>
      <w:r w:rsidR="00484303">
        <w:t>C</w:t>
      </w:r>
      <w:r w:rsidRPr="001C0478">
        <w:t xml:space="preserve">hapter </w:t>
      </w:r>
      <w:r>
        <w:t>9</w:t>
      </w:r>
      <w:r w:rsidRPr="001C0478">
        <w:t xml:space="preserve"> we specifically focused on the use the </w:t>
      </w:r>
      <w:r>
        <w:t>internet</w:t>
      </w:r>
      <w:r w:rsidRPr="001C0478">
        <w:t xml:space="preserve"> for those with a 30-day probable disorder, those with sub-threshold symptoms and those without any symptoms</w:t>
      </w:r>
      <w:r>
        <w:t>,</w:t>
      </w:r>
      <w:r w:rsidRPr="001C0478">
        <w:t xml:space="preserve"> across different mental health categories, including suicidal thoughts and plans, PTSD, psychological distress, depressive disorder, generalised anxiety disorder and alcohol use. Overall</w:t>
      </w:r>
      <w:r>
        <w:t>,</w:t>
      </w:r>
      <w:r w:rsidRPr="001C0478">
        <w:t xml:space="preserve"> for those with a 30-day probable disorder, regardless of the disorder, about </w:t>
      </w:r>
      <w:r>
        <w:t xml:space="preserve">40% </w:t>
      </w:r>
      <w:r w:rsidRPr="001C0478">
        <w:t xml:space="preserve">used the </w:t>
      </w:r>
      <w:r>
        <w:t>internet</w:t>
      </w:r>
      <w:r w:rsidRPr="001C0478">
        <w:t xml:space="preserve"> for mental health. For </w:t>
      </w:r>
      <w:r w:rsidR="007155C2">
        <w:rPr>
          <w:rFonts w:asciiTheme="minorHAnsi" w:hAnsiTheme="minorHAnsi"/>
          <w:szCs w:val="22"/>
        </w:rPr>
        <w:t>subsyndromal</w:t>
      </w:r>
      <w:r w:rsidRPr="001C0478">
        <w:t xml:space="preserve"> symptoms</w:t>
      </w:r>
      <w:r>
        <w:t>,</w:t>
      </w:r>
      <w:r w:rsidRPr="001C0478">
        <w:t xml:space="preserve"> </w:t>
      </w:r>
      <w:r>
        <w:t>approximately</w:t>
      </w:r>
      <w:r w:rsidRPr="001C0478">
        <w:t xml:space="preserve"> </w:t>
      </w:r>
      <w:r>
        <w:t>30%</w:t>
      </w:r>
      <w:r w:rsidRPr="001C0478">
        <w:t xml:space="preserve"> of the Transitioned ADF used the </w:t>
      </w:r>
      <w:r>
        <w:t>internet</w:t>
      </w:r>
      <w:r w:rsidRPr="001C0478">
        <w:t xml:space="preserve"> for mental health while among the 2015 Regular ADF a smaller proportion with psychological distress and alcohol use reported using the </w:t>
      </w:r>
      <w:r>
        <w:t>internet</w:t>
      </w:r>
      <w:r w:rsidRPr="001C0478">
        <w:t xml:space="preserve"> for mental health. </w:t>
      </w:r>
    </w:p>
    <w:p w14:paraId="7525A1CD" w14:textId="77777777" w:rsidR="00373141" w:rsidRDefault="00373141" w:rsidP="00373141">
      <w:pPr>
        <w:rPr>
          <w:rFonts w:eastAsia="Calibri"/>
        </w:rPr>
      </w:pPr>
      <w:r>
        <w:rPr>
          <w:rFonts w:eastAsia="Calibri"/>
        </w:rPr>
        <w:t xml:space="preserve">Transitioned ADF with a probable disorder were more likely to use the DVA or At Ease website (30–40%) compared to the ADF website (10–14%), whereas the proportion of the Regular ADF with a probable mental disorder who used the Defence (17–34%) or DVA website (16–42%) was roughly equal. </w:t>
      </w:r>
      <w:r w:rsidRPr="001C0478">
        <w:rPr>
          <w:rFonts w:eastAsia="Calibri"/>
        </w:rPr>
        <w:t>Overall</w:t>
      </w:r>
      <w:r>
        <w:rPr>
          <w:rFonts w:eastAsia="Calibri"/>
        </w:rPr>
        <w:t>,</w:t>
      </w:r>
      <w:r w:rsidRPr="001C0478">
        <w:rPr>
          <w:rFonts w:eastAsia="Calibri"/>
        </w:rPr>
        <w:t xml:space="preserve"> </w:t>
      </w:r>
      <w:r w:rsidRPr="003057E9">
        <w:t>approximately</w:t>
      </w:r>
      <w:r w:rsidRPr="001C0478">
        <w:rPr>
          <w:rFonts w:eastAsia="Calibri"/>
        </w:rPr>
        <w:t xml:space="preserve"> 30% of the Transitioned ADF and the 2015 Regular ADF used a community-based website if they had a probable mental disorder</w:t>
      </w:r>
      <w:r>
        <w:rPr>
          <w:rFonts w:eastAsia="Calibri"/>
        </w:rPr>
        <w:t xml:space="preserve">. </w:t>
      </w:r>
      <w:r w:rsidRPr="001C0478">
        <w:rPr>
          <w:rFonts w:eastAsia="Calibri"/>
        </w:rPr>
        <w:t xml:space="preserve">Interestingly, the use of a community-based website was highest among those with a probable depressive episode or generalised anxiety disorder. </w:t>
      </w:r>
    </w:p>
    <w:p w14:paraId="3FBD1D79" w14:textId="77777777" w:rsidR="00373141" w:rsidRPr="007C224A" w:rsidRDefault="00373141" w:rsidP="00373141">
      <w:pPr>
        <w:pStyle w:val="Heading3"/>
        <w:numPr>
          <w:ilvl w:val="2"/>
          <w:numId w:val="1"/>
        </w:numPr>
        <w:rPr>
          <w:rFonts w:eastAsia="Calibri"/>
        </w:rPr>
      </w:pPr>
      <w:bookmarkStart w:id="1310" w:name="_Toc518566480"/>
      <w:bookmarkStart w:id="1311" w:name="_Toc528932758"/>
      <w:bookmarkStart w:id="1312" w:name="_Toc531859295"/>
      <w:r w:rsidRPr="007C224A">
        <w:rPr>
          <w:rFonts w:eastAsia="Calibri"/>
        </w:rPr>
        <w:t>Use of the internet to manage mental health in young adults in the Transitioned ADF compared to young adults in the Australian community</w:t>
      </w:r>
      <w:bookmarkEnd w:id="1310"/>
      <w:bookmarkEnd w:id="1311"/>
      <w:bookmarkEnd w:id="1312"/>
    </w:p>
    <w:p w14:paraId="5520894A" w14:textId="1A92D5E6" w:rsidR="00373141" w:rsidRDefault="00373141" w:rsidP="00373141">
      <w:pPr>
        <w:rPr>
          <w:rFonts w:eastAsia="Calibri"/>
        </w:rPr>
      </w:pPr>
      <w:r>
        <w:rPr>
          <w:rFonts w:eastAsia="Calibri"/>
        </w:rPr>
        <w:t xml:space="preserve">In </w:t>
      </w:r>
      <w:r w:rsidR="00484303">
        <w:rPr>
          <w:rFonts w:eastAsia="Calibri"/>
        </w:rPr>
        <w:t>C</w:t>
      </w:r>
      <w:r>
        <w:rPr>
          <w:rFonts w:eastAsia="Calibri"/>
        </w:rPr>
        <w:t xml:space="preserve">hapter 10 we compared the use of the internet to manage mental health in young adults in the Transitioned ADF compared to young adults in the Australian community, using data from the Young and Well National Survey. It is important to note that data for the Young and Well National Survey was collected in 2011 whereas the data in this survey was collected in 2015, making comparisons very difficult, if not impossible, due to the pace of technology innovation and the uptake of new technologies. Overall, the Transitioned ADF young adults were less likely to use the internet for mental health when compared to young adults in the Australian community, they were far less likely to find it helpful, and </w:t>
      </w:r>
      <w:r w:rsidRPr="003057E9">
        <w:t>approximately</w:t>
      </w:r>
      <w:r>
        <w:rPr>
          <w:rFonts w:eastAsia="Calibri"/>
        </w:rPr>
        <w:t xml:space="preserve"> 20% were somewhat dissatisfied with the information they received.</w:t>
      </w:r>
    </w:p>
    <w:p w14:paraId="5C3FD005" w14:textId="77777777" w:rsidR="00373141" w:rsidRPr="007C224A" w:rsidRDefault="00373141" w:rsidP="00373141">
      <w:pPr>
        <w:rPr>
          <w:rFonts w:eastAsia="Calibri"/>
        </w:rPr>
      </w:pPr>
      <w:r>
        <w:rPr>
          <w:rFonts w:eastAsia="Calibri"/>
        </w:rPr>
        <w:t>Psychological distress in the Transitioned ADF compared to young adults in the Australian community differed significantly, with almost 20% of the Transitioned ADF reporting very high psychological distress. This result was not unexpected, with 20% of the Transitioned ADF having been medically discharged, and, while two thirds were in civilian employment, of the one third who were not, 50% having been unemployed for more than three months.</w:t>
      </w:r>
    </w:p>
    <w:p w14:paraId="171C3E7D" w14:textId="77777777" w:rsidR="00373141" w:rsidRPr="001C0478" w:rsidRDefault="00373141" w:rsidP="00373141">
      <w:pPr>
        <w:pStyle w:val="Heading2"/>
        <w:numPr>
          <w:ilvl w:val="1"/>
          <w:numId w:val="1"/>
        </w:numPr>
        <w:ind w:left="720" w:hanging="720"/>
      </w:pPr>
      <w:bookmarkStart w:id="1313" w:name="_Toc518566481"/>
      <w:bookmarkStart w:id="1314" w:name="_Toc528932759"/>
      <w:bookmarkStart w:id="1315" w:name="_Toc531859296"/>
      <w:r w:rsidRPr="001C0478">
        <w:t>Broader consideration and service system implications from the findings</w:t>
      </w:r>
      <w:bookmarkEnd w:id="1313"/>
      <w:bookmarkEnd w:id="1314"/>
      <w:bookmarkEnd w:id="1315"/>
    </w:p>
    <w:p w14:paraId="3195FFC0" w14:textId="77777777" w:rsidR="00373141" w:rsidRDefault="00373141" w:rsidP="00373141">
      <w:r w:rsidRPr="00CC1745">
        <w:t>Following the 2009 Dunt review, Defence and DVA have prioritised the mental health and wellbeing of Transitioned ADF and Regular</w:t>
      </w:r>
      <w:r>
        <w:t xml:space="preserve"> ADF, with e</w:t>
      </w:r>
      <w:r w:rsidRPr="00CC1745">
        <w:t xml:space="preserve">-mental health a key pillar of both the ADF and DVA Mental Health Strategies </w:t>
      </w:r>
      <w:r>
        <w:rPr>
          <w:noProof/>
        </w:rPr>
        <w:t>(Australian Government Department of Defence, 2017; Australian Government Department of Veterans’ Affairs, 2016)</w:t>
      </w:r>
      <w:r>
        <w:t xml:space="preserve">. </w:t>
      </w:r>
      <w:r w:rsidRPr="00CC1745">
        <w:t xml:space="preserve">As outlined in the Introduction to this report, a significant investment has been made by </w:t>
      </w:r>
      <w:r>
        <w:t xml:space="preserve">both departments, often in collaboration, </w:t>
      </w:r>
      <w:r w:rsidRPr="00CC1745">
        <w:t xml:space="preserve">in developing mental health programs and a suite of online tools and resources. </w:t>
      </w:r>
      <w:r>
        <w:t>A particular challenge that has been recognised is supporting military personnel as they transition from the ADF to civilian life.</w:t>
      </w:r>
    </w:p>
    <w:p w14:paraId="62814762" w14:textId="5FD71DB9" w:rsidR="00373141" w:rsidRPr="001C0478" w:rsidRDefault="00373141" w:rsidP="00373141">
      <w:r>
        <w:t>In general, the findings of this study illustrated that Transitioned ADF and 2015 Regular ADF use technologies. For example, a</w:t>
      </w:r>
      <w:r w:rsidRPr="001C0478">
        <w:t xml:space="preserve">t least once a month </w:t>
      </w:r>
      <w:r w:rsidRPr="003057E9">
        <w:t>approximately</w:t>
      </w:r>
      <w:r w:rsidRPr="001C0478">
        <w:t xml:space="preserve"> a quarter of the Transitioned ADF </w:t>
      </w:r>
      <w:r>
        <w:t>used</w:t>
      </w:r>
      <w:r w:rsidRPr="001C0478">
        <w:t xml:space="preserve"> the </w:t>
      </w:r>
      <w:r>
        <w:t>internet</w:t>
      </w:r>
      <w:r w:rsidRPr="001C0478">
        <w:t xml:space="preserve"> </w:t>
      </w:r>
      <w:r>
        <w:t>to source</w:t>
      </w:r>
      <w:r w:rsidRPr="001C0478">
        <w:t xml:space="preserve"> </w:t>
      </w:r>
      <w:r>
        <w:t xml:space="preserve">mental </w:t>
      </w:r>
      <w:r w:rsidRPr="001C0478">
        <w:t xml:space="preserve">health information or to seek support. It is not clear from the data what information they </w:t>
      </w:r>
      <w:r>
        <w:t>were</w:t>
      </w:r>
      <w:r w:rsidRPr="001C0478">
        <w:t xml:space="preserve"> seeking, or </w:t>
      </w:r>
      <w:r>
        <w:t>whether</w:t>
      </w:r>
      <w:r w:rsidRPr="001C0478">
        <w:t xml:space="preserve"> that information </w:t>
      </w:r>
      <w:r>
        <w:t>was</w:t>
      </w:r>
      <w:r w:rsidRPr="001C0478">
        <w:t xml:space="preserve"> for them, a family member or a colleague, friend or peer. </w:t>
      </w:r>
      <w:r>
        <w:t>However</w:t>
      </w:r>
      <w:r w:rsidRPr="001C0478">
        <w:t xml:space="preserve">, about half </w:t>
      </w:r>
      <w:r>
        <w:t>had</w:t>
      </w:r>
      <w:r w:rsidRPr="001C0478">
        <w:t xml:space="preserve"> a probable 30-day disorder while half </w:t>
      </w:r>
      <w:r>
        <w:t>did</w:t>
      </w:r>
      <w:r w:rsidRPr="001C0478">
        <w:t xml:space="preserve"> not. Of the one in five </w:t>
      </w:r>
      <w:r>
        <w:t xml:space="preserve">2015 </w:t>
      </w:r>
      <w:r w:rsidRPr="001C0478">
        <w:t>Regular ADF who use</w:t>
      </w:r>
      <w:r>
        <w:t>d</w:t>
      </w:r>
      <w:r w:rsidRPr="001C0478">
        <w:t xml:space="preserve"> the </w:t>
      </w:r>
      <w:r>
        <w:t>internet</w:t>
      </w:r>
      <w:r w:rsidRPr="001C0478">
        <w:t xml:space="preserve"> </w:t>
      </w:r>
      <w:r>
        <w:t>to source</w:t>
      </w:r>
      <w:r w:rsidRPr="001C0478">
        <w:t xml:space="preserve"> mental health information once a month, </w:t>
      </w:r>
      <w:r>
        <w:t xml:space="preserve">80% did </w:t>
      </w:r>
      <w:r w:rsidRPr="001C0478">
        <w:t xml:space="preserve">not have a probable 30-day disorder. </w:t>
      </w:r>
      <w:r>
        <w:t xml:space="preserve">This finding may indicate </w:t>
      </w:r>
      <w:r w:rsidRPr="001C0478">
        <w:t xml:space="preserve">that Transitioned ADF and </w:t>
      </w:r>
      <w:r>
        <w:t xml:space="preserve">2015 </w:t>
      </w:r>
      <w:r w:rsidRPr="001C0478">
        <w:t xml:space="preserve">Regular ADF </w:t>
      </w:r>
      <w:r>
        <w:t xml:space="preserve">members </w:t>
      </w:r>
      <w:r w:rsidRPr="001C0478">
        <w:t>are proactively seeking out information to support their own health and that of their peers and families</w:t>
      </w:r>
      <w:r>
        <w:t xml:space="preserve">. It </w:t>
      </w:r>
      <w:r w:rsidRPr="001C0478">
        <w:t xml:space="preserve">could </w:t>
      </w:r>
      <w:r>
        <w:t xml:space="preserve">also indicate </w:t>
      </w:r>
      <w:r w:rsidRPr="001C0478">
        <w:t xml:space="preserve">that overall society is becoming more proactive in engaging with technology and seeking information. Both are important as they suggest prevention and early intervention messages are creating </w:t>
      </w:r>
      <w:r>
        <w:t xml:space="preserve">awareness about mental health issues and </w:t>
      </w:r>
      <w:r w:rsidRPr="001C0478">
        <w:t>an appetite for greater information, which potentially could be sourced online</w:t>
      </w:r>
      <w:r>
        <w:t xml:space="preserve">. This digitisation of health information could allow a </w:t>
      </w:r>
      <w:r w:rsidRPr="001C0478">
        <w:t>shift away from regular promotional materials like brochures</w:t>
      </w:r>
      <w:r>
        <w:t xml:space="preserve">, </w:t>
      </w:r>
      <w:r w:rsidRPr="001C0478">
        <w:t>fact sheets</w:t>
      </w:r>
      <w:r>
        <w:t xml:space="preserve"> and </w:t>
      </w:r>
      <w:r w:rsidRPr="001C0478">
        <w:t>lectures to a combination of educational resources that reach people through word of mouth and communities</w:t>
      </w:r>
      <w:r>
        <w:t>, both face to face and online</w:t>
      </w:r>
      <w:r w:rsidRPr="001C0478">
        <w:t xml:space="preserve">. This area </w:t>
      </w:r>
      <w:r>
        <w:t>concerning</w:t>
      </w:r>
      <w:r w:rsidRPr="001C0478">
        <w:t xml:space="preserve"> preferences for health information and pathways to care that support earlier help seeking </w:t>
      </w:r>
      <w:r>
        <w:t xml:space="preserve">is promising but </w:t>
      </w:r>
      <w:r w:rsidRPr="001C0478">
        <w:t>requires further investigation.</w:t>
      </w:r>
    </w:p>
    <w:p w14:paraId="149C6441" w14:textId="77777777" w:rsidR="00373141" w:rsidRDefault="00373141" w:rsidP="00373141">
      <w:r w:rsidRPr="001C0478">
        <w:t>Overall</w:t>
      </w:r>
      <w:r>
        <w:t>,</w:t>
      </w:r>
      <w:r w:rsidRPr="001C0478">
        <w:t xml:space="preserve"> only </w:t>
      </w:r>
      <w:r>
        <w:t>10%</w:t>
      </w:r>
      <w:r w:rsidRPr="001C0478">
        <w:t xml:space="preserve"> of the Transitioned ADF and the Regular ADF had </w:t>
      </w:r>
      <w:r w:rsidRPr="00675D5D">
        <w:rPr>
          <w:u w:val="single"/>
        </w:rPr>
        <w:t>never</w:t>
      </w:r>
      <w:r w:rsidRPr="001C0478">
        <w:t xml:space="preserve"> used the </w:t>
      </w:r>
      <w:r>
        <w:t>internet</w:t>
      </w:r>
      <w:r w:rsidRPr="001C0478">
        <w:t xml:space="preserve"> to seek help or information about their own mental health. This result </w:t>
      </w:r>
      <w:r>
        <w:t>was</w:t>
      </w:r>
      <w:r w:rsidRPr="001C0478">
        <w:t xml:space="preserve"> not surprising given the relatively high health and digital literacy of this cohort, along with their expressed desire to self-manage. For policy makers this creates an opportunity to move from </w:t>
      </w:r>
      <w:r>
        <w:t>what is</w:t>
      </w:r>
      <w:r w:rsidRPr="001C0478">
        <w:t xml:space="preserve"> often perceived to be</w:t>
      </w:r>
      <w:r>
        <w:t xml:space="preserve"> a</w:t>
      </w:r>
      <w:r w:rsidRPr="001C0478">
        <w:t xml:space="preserve"> top</w:t>
      </w:r>
      <w:r>
        <w:t>-</w:t>
      </w:r>
      <w:r w:rsidRPr="001C0478">
        <w:t>down model of care to a model that supports an empowered, educated and aware service user. It also presents an opportunity to move from a reactive model of mental health care where services are provided for those who are ill to a far more proactive strengths-based model focused on keeping people mentally</w:t>
      </w:r>
      <w:r>
        <w:t xml:space="preserve"> fit, healthy and well – with an emphasis </w:t>
      </w:r>
      <w:r w:rsidRPr="001C0478">
        <w:t xml:space="preserve">on both mental and physical fitness and the value of both. </w:t>
      </w:r>
    </w:p>
    <w:p w14:paraId="4EBEC96F" w14:textId="77777777" w:rsidR="00373141" w:rsidRDefault="00373141" w:rsidP="00373141">
      <w:r>
        <w:t>For this approach to be successful, the provision of e</w:t>
      </w:r>
      <w:r w:rsidRPr="001C0478">
        <w:t>ducation</w:t>
      </w:r>
      <w:r>
        <w:t xml:space="preserve"> for</w:t>
      </w:r>
      <w:r w:rsidRPr="001C0478">
        <w:t xml:space="preserve"> health literacy and digital health literacy</w:t>
      </w:r>
      <w:r>
        <w:t xml:space="preserve"> is</w:t>
      </w:r>
      <w:r w:rsidRPr="001C0478">
        <w:t xml:space="preserve"> </w:t>
      </w:r>
      <w:r>
        <w:t>a</w:t>
      </w:r>
      <w:r w:rsidRPr="001C0478">
        <w:t xml:space="preserve"> critical element </w:t>
      </w:r>
      <w:r>
        <w:t>for</w:t>
      </w:r>
      <w:r w:rsidRPr="001C0478">
        <w:t xml:space="preserve"> a model of holistic health</w:t>
      </w:r>
      <w:r>
        <w:t xml:space="preserve"> </w:t>
      </w:r>
      <w:r w:rsidRPr="001C0478">
        <w:t>care</w:t>
      </w:r>
      <w:r>
        <w:t>.</w:t>
      </w:r>
      <w:r w:rsidRPr="001C0478">
        <w:t xml:space="preserve"> </w:t>
      </w:r>
      <w:r>
        <w:t xml:space="preserve">This </w:t>
      </w:r>
      <w:r w:rsidRPr="001C0478">
        <w:t>requir</w:t>
      </w:r>
      <w:r>
        <w:t>es</w:t>
      </w:r>
      <w:r w:rsidRPr="001C0478">
        <w:t xml:space="preserve"> focused attention on education both for the users of the system</w:t>
      </w:r>
      <w:r>
        <w:t xml:space="preserve"> – which includes</w:t>
      </w:r>
      <w:r w:rsidRPr="001C0478">
        <w:t xml:space="preserve"> </w:t>
      </w:r>
      <w:r>
        <w:t>serving and ex-serving ADF members</w:t>
      </w:r>
      <w:r w:rsidRPr="001C0478">
        <w:t xml:space="preserve">, their families, peers and colleagues </w:t>
      </w:r>
      <w:r>
        <w:t xml:space="preserve">– </w:t>
      </w:r>
      <w:r w:rsidRPr="001C0478">
        <w:t>and the multidisciplinary professionals</w:t>
      </w:r>
      <w:r>
        <w:t>, internal and external to Defence and DVA,</w:t>
      </w:r>
      <w:r w:rsidRPr="001C0478">
        <w:t xml:space="preserve"> who </w:t>
      </w:r>
      <w:r>
        <w:t xml:space="preserve">provide services to these populations. In particular, the concepts of self-management and shared management become critical in supporting a workforce in the ADF that is mentally and physically fit, and, as military personnel transition from the ADF to civilian life, in promoting the maintenance of mental health and wellbeing. </w:t>
      </w:r>
    </w:p>
    <w:p w14:paraId="08428D88" w14:textId="77777777" w:rsidR="00373141" w:rsidRPr="001C0478" w:rsidRDefault="00373141" w:rsidP="00373141">
      <w:pPr>
        <w:pStyle w:val="Heading3"/>
        <w:numPr>
          <w:ilvl w:val="2"/>
          <w:numId w:val="1"/>
        </w:numPr>
      </w:pPr>
      <w:bookmarkStart w:id="1316" w:name="_Toc518566482"/>
      <w:bookmarkStart w:id="1317" w:name="_Toc528932760"/>
      <w:bookmarkStart w:id="1318" w:name="_Toc531859297"/>
      <w:r>
        <w:t>Maintaining wellbeing through s</w:t>
      </w:r>
      <w:r w:rsidRPr="001C0478">
        <w:t>elf-management</w:t>
      </w:r>
      <w:bookmarkEnd w:id="1316"/>
      <w:bookmarkEnd w:id="1317"/>
      <w:bookmarkEnd w:id="1318"/>
      <w:r w:rsidRPr="001C0478">
        <w:t xml:space="preserve"> </w:t>
      </w:r>
    </w:p>
    <w:p w14:paraId="7C3C4496" w14:textId="77777777" w:rsidR="00373141" w:rsidRDefault="00373141" w:rsidP="00373141">
      <w:pPr>
        <w:rPr>
          <w:rFonts w:eastAsia="Calibri"/>
          <w:szCs w:val="22"/>
        </w:rPr>
      </w:pPr>
      <w:r w:rsidRPr="003D7F4F">
        <w:rPr>
          <w:rFonts w:eastAsia="Calibri"/>
          <w:szCs w:val="22"/>
        </w:rPr>
        <w:t xml:space="preserve">The desire to ‘manage myself’ or ‘solve my own problems’ is not new and lies at the heart of Australian culture in relation to seeking help for mental health problems </w:t>
      </w:r>
      <w:r>
        <w:rPr>
          <w:rFonts w:eastAsia="Calibri"/>
          <w:noProof/>
          <w:szCs w:val="22"/>
        </w:rPr>
        <w:t>(Burns et al., 2015)</w:t>
      </w:r>
      <w:r>
        <w:rPr>
          <w:rFonts w:eastAsia="Calibri"/>
          <w:szCs w:val="22"/>
        </w:rPr>
        <w:t xml:space="preserve"> </w:t>
      </w:r>
      <w:r w:rsidRPr="003D7F4F">
        <w:rPr>
          <w:rFonts w:eastAsia="Calibri"/>
          <w:szCs w:val="22"/>
        </w:rPr>
        <w:t xml:space="preserve">and indeed is a part of the military culture and value system of self-reliance, strength and resilience even in the face of severe adversity. </w:t>
      </w:r>
      <w:r>
        <w:rPr>
          <w:rFonts w:eastAsia="Calibri"/>
          <w:szCs w:val="22"/>
        </w:rPr>
        <w:t>This is reflected in the mental health strategies of both Defence and DVA, with a move away</w:t>
      </w:r>
      <w:r w:rsidRPr="001C0478">
        <w:rPr>
          <w:rFonts w:eastAsia="Calibri"/>
          <w:szCs w:val="22"/>
        </w:rPr>
        <w:t xml:space="preserve"> from models that focus on illness and treatment to models that focus on wellness and the prevention of illness. For providers of services, such as Joint Health Command and </w:t>
      </w:r>
      <w:r w:rsidR="007155C2">
        <w:rPr>
          <w:rFonts w:eastAsia="Calibri"/>
          <w:szCs w:val="22"/>
        </w:rPr>
        <w:t>Open Arms – Veterans and</w:t>
      </w:r>
      <w:r>
        <w:t xml:space="preserve"> Families Counselling</w:t>
      </w:r>
      <w:r w:rsidRPr="001C0478">
        <w:rPr>
          <w:rFonts w:eastAsia="Calibri"/>
          <w:szCs w:val="22"/>
        </w:rPr>
        <w:t>, this transformational shift has seen a priority placed on defence-centric and veteran-centric models of care with the concept</w:t>
      </w:r>
      <w:r>
        <w:rPr>
          <w:rFonts w:eastAsia="Calibri"/>
          <w:szCs w:val="22"/>
        </w:rPr>
        <w:t>s</w:t>
      </w:r>
      <w:r w:rsidRPr="001C0478">
        <w:rPr>
          <w:rFonts w:eastAsia="Calibri"/>
          <w:szCs w:val="22"/>
        </w:rPr>
        <w:t xml:space="preserve"> of self-management and shared-management being very carefully considered in models of stepped care. </w:t>
      </w:r>
    </w:p>
    <w:p w14:paraId="2F2038D0" w14:textId="3359D99C" w:rsidR="00373141" w:rsidRDefault="00373141" w:rsidP="00373141">
      <w:pPr>
        <w:rPr>
          <w:rFonts w:eastAsia="Calibri"/>
          <w:szCs w:val="22"/>
        </w:rPr>
      </w:pPr>
      <w:r w:rsidRPr="001C0478">
        <w:rPr>
          <w:rFonts w:eastAsia="Calibri"/>
          <w:szCs w:val="22"/>
        </w:rPr>
        <w:t>The Transition and Wellbeing Research Program</w:t>
      </w:r>
      <w:r>
        <w:rPr>
          <w:rFonts w:eastAsia="Calibri"/>
          <w:szCs w:val="22"/>
        </w:rPr>
        <w:t>me</w:t>
      </w:r>
      <w:r w:rsidRPr="001C0478">
        <w:rPr>
          <w:rFonts w:eastAsia="Calibri"/>
          <w:szCs w:val="22"/>
        </w:rPr>
        <w:t xml:space="preserve"> data provides some evidence that the current population of both Transitioned ADF and 2015 Regular ADF are using technologies to support positive behaviours</w:t>
      </w:r>
      <w:r>
        <w:rPr>
          <w:rFonts w:eastAsia="Calibri"/>
          <w:szCs w:val="22"/>
        </w:rPr>
        <w:t xml:space="preserve"> that are</w:t>
      </w:r>
      <w:r w:rsidRPr="001C0478">
        <w:rPr>
          <w:rFonts w:eastAsia="Calibri"/>
          <w:szCs w:val="22"/>
        </w:rPr>
        <w:t xml:space="preserve"> known to be protective factors for good mental health</w:t>
      </w:r>
      <w:r>
        <w:rPr>
          <w:rFonts w:eastAsia="Calibri"/>
          <w:szCs w:val="22"/>
        </w:rPr>
        <w:t xml:space="preserve"> – </w:t>
      </w:r>
      <w:r w:rsidRPr="001C0478">
        <w:rPr>
          <w:rFonts w:eastAsia="Calibri"/>
          <w:szCs w:val="22"/>
        </w:rPr>
        <w:t xml:space="preserve">such as </w:t>
      </w:r>
      <w:r>
        <w:rPr>
          <w:rFonts w:eastAsia="Calibri"/>
          <w:szCs w:val="22"/>
        </w:rPr>
        <w:t xml:space="preserve">physical </w:t>
      </w:r>
      <w:r w:rsidRPr="001C0478">
        <w:rPr>
          <w:rFonts w:eastAsia="Calibri"/>
          <w:szCs w:val="22"/>
        </w:rPr>
        <w:t>activity, diet and sleep</w:t>
      </w:r>
      <w:r w:rsidR="008A5AB0">
        <w:rPr>
          <w:rFonts w:eastAsia="Calibri"/>
          <w:szCs w:val="22"/>
        </w:rPr>
        <w:t xml:space="preserve"> – </w:t>
      </w:r>
      <w:r>
        <w:rPr>
          <w:rFonts w:eastAsia="Calibri"/>
          <w:szCs w:val="22"/>
        </w:rPr>
        <w:t>and</w:t>
      </w:r>
      <w:r w:rsidR="003154E4">
        <w:rPr>
          <w:rFonts w:eastAsia="Calibri"/>
          <w:szCs w:val="22"/>
        </w:rPr>
        <w:t>,</w:t>
      </w:r>
      <w:r>
        <w:rPr>
          <w:rFonts w:eastAsia="Calibri"/>
          <w:szCs w:val="22"/>
        </w:rPr>
        <w:t xml:space="preserve"> importantly, are using technology to connect socially</w:t>
      </w:r>
      <w:r w:rsidRPr="001C0478">
        <w:rPr>
          <w:rFonts w:eastAsia="Calibri"/>
          <w:szCs w:val="22"/>
        </w:rPr>
        <w:t xml:space="preserve">. This approach is useful for self-management but </w:t>
      </w:r>
      <w:r>
        <w:rPr>
          <w:rFonts w:eastAsia="Calibri"/>
          <w:szCs w:val="22"/>
        </w:rPr>
        <w:t>is</w:t>
      </w:r>
      <w:r w:rsidRPr="001C0478">
        <w:rPr>
          <w:rFonts w:eastAsia="Calibri"/>
          <w:szCs w:val="22"/>
        </w:rPr>
        <w:t xml:space="preserve"> equally important in the shared management of care with a professional. Interestingly</w:t>
      </w:r>
      <w:r>
        <w:rPr>
          <w:rFonts w:eastAsia="Calibri"/>
          <w:szCs w:val="22"/>
        </w:rPr>
        <w:t>,</w:t>
      </w:r>
      <w:r w:rsidRPr="001C0478">
        <w:rPr>
          <w:rFonts w:eastAsia="Calibri"/>
          <w:szCs w:val="22"/>
        </w:rPr>
        <w:t xml:space="preserve"> a</w:t>
      </w:r>
      <w:r>
        <w:rPr>
          <w:rFonts w:eastAsia="Calibri"/>
          <w:szCs w:val="22"/>
        </w:rPr>
        <w:t>pproximately</w:t>
      </w:r>
      <w:r w:rsidRPr="001C0478">
        <w:rPr>
          <w:rFonts w:eastAsia="Calibri"/>
          <w:szCs w:val="22"/>
        </w:rPr>
        <w:t xml:space="preserve"> 60% of the Transitioned ADF and the </w:t>
      </w:r>
      <w:r>
        <w:rPr>
          <w:rFonts w:eastAsia="Calibri"/>
          <w:szCs w:val="22"/>
        </w:rPr>
        <w:t xml:space="preserve">2015 </w:t>
      </w:r>
      <w:r w:rsidRPr="001C0478">
        <w:rPr>
          <w:rFonts w:eastAsia="Calibri"/>
          <w:szCs w:val="22"/>
        </w:rPr>
        <w:t>Regular ADF using new technology reported that they actively monitored and tracked their progress. While the Transition and Wellbeing Research Program</w:t>
      </w:r>
      <w:r>
        <w:rPr>
          <w:rFonts w:eastAsia="Calibri"/>
          <w:szCs w:val="22"/>
        </w:rPr>
        <w:t>me</w:t>
      </w:r>
      <w:r w:rsidRPr="001C0478">
        <w:rPr>
          <w:rFonts w:eastAsia="Calibri"/>
          <w:szCs w:val="22"/>
        </w:rPr>
        <w:t xml:space="preserve"> data is very encouraging in terms of both self-management and shared management</w:t>
      </w:r>
      <w:r>
        <w:rPr>
          <w:rFonts w:eastAsia="Calibri"/>
          <w:szCs w:val="22"/>
        </w:rPr>
        <w:t>,</w:t>
      </w:r>
      <w:r w:rsidRPr="001C0478">
        <w:rPr>
          <w:rFonts w:eastAsia="Calibri"/>
          <w:szCs w:val="22"/>
        </w:rPr>
        <w:t xml:space="preserve"> the role of new technology in creating greater social cohesion and a sense of purpose through meaningful participation is also gaining traction as a means of keeping people connected in communities that care, whether online or face to face.</w:t>
      </w:r>
      <w:r>
        <w:rPr>
          <w:rFonts w:eastAsia="Calibri"/>
          <w:szCs w:val="22"/>
        </w:rPr>
        <w:t xml:space="preserve"> </w:t>
      </w:r>
      <w:r w:rsidRPr="001C0478">
        <w:rPr>
          <w:rFonts w:eastAsia="Calibri"/>
          <w:szCs w:val="22"/>
        </w:rPr>
        <w:t xml:space="preserve">While the </w:t>
      </w:r>
      <w:r>
        <w:rPr>
          <w:rFonts w:eastAsia="Calibri"/>
          <w:szCs w:val="22"/>
        </w:rPr>
        <w:t xml:space="preserve">Transition and Wellbeing Research Programme </w:t>
      </w:r>
      <w:r w:rsidRPr="001C0478">
        <w:rPr>
          <w:rFonts w:eastAsia="Calibri"/>
          <w:szCs w:val="22"/>
        </w:rPr>
        <w:t>study provides baseline preliminary data</w:t>
      </w:r>
      <w:r>
        <w:rPr>
          <w:rFonts w:eastAsia="Calibri"/>
          <w:szCs w:val="22"/>
        </w:rPr>
        <w:t>,</w:t>
      </w:r>
      <w:r w:rsidRPr="001C0478">
        <w:rPr>
          <w:rFonts w:eastAsia="Calibri"/>
          <w:szCs w:val="22"/>
        </w:rPr>
        <w:t xml:space="preserve"> an area requiring further </w:t>
      </w:r>
      <w:r>
        <w:rPr>
          <w:rFonts w:eastAsia="Calibri"/>
          <w:szCs w:val="22"/>
        </w:rPr>
        <w:t>implementation research</w:t>
      </w:r>
      <w:r w:rsidRPr="001C0478">
        <w:rPr>
          <w:rFonts w:eastAsia="Calibri"/>
          <w:szCs w:val="22"/>
        </w:rPr>
        <w:t xml:space="preserve"> </w:t>
      </w:r>
      <w:r>
        <w:rPr>
          <w:rFonts w:eastAsia="Calibri"/>
          <w:szCs w:val="22"/>
        </w:rPr>
        <w:t>is</w:t>
      </w:r>
      <w:r w:rsidRPr="001C0478">
        <w:rPr>
          <w:rFonts w:eastAsia="Calibri"/>
          <w:szCs w:val="22"/>
        </w:rPr>
        <w:t xml:space="preserve"> the use of new technology to promote social connectedness, through fun, study, work and community in the </w:t>
      </w:r>
      <w:r>
        <w:rPr>
          <w:rFonts w:eastAsia="Calibri"/>
          <w:szCs w:val="22"/>
        </w:rPr>
        <w:t>serving and ex-serving ADF populations</w:t>
      </w:r>
      <w:r w:rsidRPr="001C0478">
        <w:rPr>
          <w:rFonts w:eastAsia="Calibri"/>
          <w:szCs w:val="22"/>
        </w:rPr>
        <w:t>.</w:t>
      </w:r>
      <w:r>
        <w:rPr>
          <w:rFonts w:eastAsia="Calibri"/>
          <w:szCs w:val="22"/>
        </w:rPr>
        <w:t xml:space="preserve"> </w:t>
      </w:r>
      <w:r w:rsidRPr="001C0478">
        <w:rPr>
          <w:rFonts w:eastAsia="Calibri"/>
          <w:szCs w:val="22"/>
        </w:rPr>
        <w:t xml:space="preserve">In modern models of care, this is defined as </w:t>
      </w:r>
      <w:r>
        <w:rPr>
          <w:rFonts w:eastAsia="Calibri"/>
          <w:szCs w:val="22"/>
        </w:rPr>
        <w:t>‘</w:t>
      </w:r>
      <w:r w:rsidRPr="001C0478">
        <w:rPr>
          <w:rFonts w:eastAsia="Calibri"/>
          <w:szCs w:val="22"/>
        </w:rPr>
        <w:t>wrap</w:t>
      </w:r>
      <w:r>
        <w:rPr>
          <w:rFonts w:eastAsia="Calibri"/>
          <w:szCs w:val="22"/>
        </w:rPr>
        <w:t>-</w:t>
      </w:r>
      <w:r w:rsidRPr="001C0478">
        <w:rPr>
          <w:rFonts w:eastAsia="Calibri"/>
          <w:szCs w:val="22"/>
        </w:rPr>
        <w:t>around support</w:t>
      </w:r>
      <w:r>
        <w:rPr>
          <w:rFonts w:eastAsia="Calibri"/>
          <w:szCs w:val="22"/>
        </w:rPr>
        <w:t>’</w:t>
      </w:r>
      <w:r w:rsidRPr="001C0478">
        <w:rPr>
          <w:rFonts w:eastAsia="Calibri"/>
          <w:szCs w:val="22"/>
        </w:rPr>
        <w:t xml:space="preserve"> and highlights the critical role of peers, family and the community in which people live.</w:t>
      </w:r>
    </w:p>
    <w:p w14:paraId="02304308" w14:textId="2FCB8AA7" w:rsidR="00373141" w:rsidRDefault="00373141" w:rsidP="00373141">
      <w:pPr>
        <w:rPr>
          <w:rFonts w:eastAsia="Calibri"/>
          <w:szCs w:val="22"/>
        </w:rPr>
      </w:pPr>
      <w:r w:rsidRPr="001C0478">
        <w:t xml:space="preserve">In </w:t>
      </w:r>
      <w:r w:rsidR="00484303">
        <w:t>C</w:t>
      </w:r>
      <w:r w:rsidRPr="001C0478">
        <w:t xml:space="preserve">hapter </w:t>
      </w:r>
      <w:r>
        <w:t>9</w:t>
      </w:r>
      <w:r w:rsidRPr="001C0478">
        <w:t xml:space="preserve"> clear delineation</w:t>
      </w:r>
      <w:r>
        <w:t>s are shown</w:t>
      </w:r>
      <w:r w:rsidRPr="001C0478">
        <w:t xml:space="preserve"> between those without symptoms</w:t>
      </w:r>
      <w:r>
        <w:t xml:space="preserve"> and</w:t>
      </w:r>
      <w:r w:rsidRPr="001C0478">
        <w:t xml:space="preserve"> those with mild to moderate symptoms</w:t>
      </w:r>
      <w:r>
        <w:t xml:space="preserve"> and those with a probable 30-day disorder</w:t>
      </w:r>
      <w:r w:rsidRPr="001C0478">
        <w:t xml:space="preserve">. </w:t>
      </w:r>
      <w:r>
        <w:t xml:space="preserve">In self-management, </w:t>
      </w:r>
      <w:r w:rsidRPr="001C0478">
        <w:t xml:space="preserve">the use of resources such as </w:t>
      </w:r>
      <w:r>
        <w:t xml:space="preserve">the At Ease portal and the </w:t>
      </w:r>
      <w:r w:rsidRPr="001C0478">
        <w:t xml:space="preserve">High Res </w:t>
      </w:r>
      <w:r>
        <w:t>app promotes resilience and the concept of mental fitness. A major challenge, but also an opportunity, is supporting and promoting self-reflection so that people seek support and care earlier in the course of a disorder. This idea of using data to self-monitor (for example, sleep disturbance or reduction in social connectivity) could be supported by chain of command or primary health care providers promoting the idea of</w:t>
      </w:r>
      <w:r w:rsidRPr="001C0478">
        <w:t xml:space="preserve"> having a regular check</w:t>
      </w:r>
      <w:r>
        <w:t>-</w:t>
      </w:r>
      <w:r w:rsidRPr="001C0478">
        <w:t>in with their teams focused on resilience and wellbeing or mental fitness rather than mental health. Likewise</w:t>
      </w:r>
      <w:r>
        <w:t>,</w:t>
      </w:r>
      <w:r w:rsidRPr="001C0478">
        <w:t xml:space="preserve"> following a stressful life event such as deployment, marriage breakdown, death of a loved one, </w:t>
      </w:r>
      <w:r>
        <w:t xml:space="preserve">diagnosis of an illness </w:t>
      </w:r>
      <w:r w:rsidRPr="001C0478">
        <w:t xml:space="preserve">or transition </w:t>
      </w:r>
      <w:r>
        <w:t>out of the military, pro-active management of mental health concerns could be supported through technologies that monitor early symptoms of distress.</w:t>
      </w:r>
    </w:p>
    <w:p w14:paraId="1088379E" w14:textId="77777777" w:rsidR="00373141" w:rsidRPr="001743E6" w:rsidRDefault="00373141" w:rsidP="00373141">
      <w:pPr>
        <w:pStyle w:val="Heading3"/>
        <w:numPr>
          <w:ilvl w:val="2"/>
          <w:numId w:val="1"/>
        </w:numPr>
      </w:pPr>
      <w:bookmarkStart w:id="1319" w:name="_Toc518566483"/>
      <w:bookmarkStart w:id="1320" w:name="_Toc528932761"/>
      <w:bookmarkStart w:id="1321" w:name="_Toc531859298"/>
      <w:r>
        <w:t>Use of app</w:t>
      </w:r>
      <w:r w:rsidRPr="001C0478">
        <w:t>s</w:t>
      </w:r>
      <w:r>
        <w:t>, w</w:t>
      </w:r>
      <w:r w:rsidRPr="001C0478">
        <w:t>earables and biometric devices</w:t>
      </w:r>
      <w:bookmarkEnd w:id="1319"/>
      <w:bookmarkEnd w:id="1320"/>
      <w:bookmarkEnd w:id="1321"/>
    </w:p>
    <w:p w14:paraId="54CA543C" w14:textId="77777777" w:rsidR="00373141" w:rsidRPr="001C0478" w:rsidRDefault="00373141" w:rsidP="00373141">
      <w:r w:rsidRPr="001C0478">
        <w:t>In Australia</w:t>
      </w:r>
      <w:r>
        <w:t>,</w:t>
      </w:r>
      <w:r w:rsidRPr="001C0478">
        <w:t xml:space="preserve"> investment by Defence and </w:t>
      </w:r>
      <w:r>
        <w:t>DVA</w:t>
      </w:r>
      <w:r w:rsidRPr="001C0478">
        <w:t xml:space="preserve"> in </w:t>
      </w:r>
      <w:r>
        <w:t>the development of app</w:t>
      </w:r>
      <w:r w:rsidRPr="001C0478">
        <w:t>s and e-tools has been high</w:t>
      </w:r>
      <w:r>
        <w:t xml:space="preserve">. Use of apps and other wearable technology by Transitioned ADF and 2015 Regular ADF is relatively high, with 50% using them or indicating that they would like to use them. That said, only </w:t>
      </w:r>
      <w:r w:rsidRPr="001C0478">
        <w:t xml:space="preserve">6% of the 2015 Regular ADF </w:t>
      </w:r>
      <w:r>
        <w:t>used Defence-specific and developed apps</w:t>
      </w:r>
      <w:r w:rsidRPr="001C0478">
        <w:t xml:space="preserve">, although these rates doubled to 14% for those with a probable 30-day </w:t>
      </w:r>
      <w:r>
        <w:t xml:space="preserve">PTSD </w:t>
      </w:r>
      <w:r w:rsidRPr="001C0478">
        <w:t xml:space="preserve">disorder. </w:t>
      </w:r>
    </w:p>
    <w:p w14:paraId="710E563D" w14:textId="4FB2E285" w:rsidR="00373141" w:rsidRPr="001C0478" w:rsidRDefault="00373141" w:rsidP="00373141">
      <w:r>
        <w:t xml:space="preserve">In the US, the challenge of implementation of apps and the use of technology such as wearable technologies or biometrics to measure outcomes and promote self-monitoring and shared evaluation has been addressed by the development of </w:t>
      </w:r>
      <w:r w:rsidRPr="001C0478">
        <w:t>Mobile Health Practice Guide</w:t>
      </w:r>
      <w:r>
        <w:t>lines</w:t>
      </w:r>
      <w:r w:rsidRPr="001C0478">
        <w:t xml:space="preserve"> </w:t>
      </w:r>
      <w:r>
        <w:t>and an app</w:t>
      </w:r>
      <w:r w:rsidRPr="001C0478">
        <w:t xml:space="preserve"> store accessible </w:t>
      </w:r>
      <w:r>
        <w:t>through its Department of Veterans Affairs</w:t>
      </w:r>
      <w:r w:rsidRPr="001C0478">
        <w:t xml:space="preserve"> highlighting defence</w:t>
      </w:r>
      <w:r>
        <w:t>-</w:t>
      </w:r>
      <w:r w:rsidRPr="001C0478">
        <w:t xml:space="preserve"> and veteran</w:t>
      </w:r>
      <w:r>
        <w:t>-</w:t>
      </w:r>
      <w:r w:rsidRPr="001C0478">
        <w:t>specific apps</w:t>
      </w:r>
      <w:r w:rsidR="003154E4">
        <w:t xml:space="preserve"> </w:t>
      </w:r>
      <w:r w:rsidRPr="001C0478">
        <w:t>(</w:t>
      </w:r>
      <w:hyperlink r:id="rId166" w:history="1">
        <w:r w:rsidRPr="00215381">
          <w:rPr>
            <w:rStyle w:val="Hyperlink"/>
            <w:rFonts w:asciiTheme="minorHAnsi" w:hAnsiTheme="minorHAnsi"/>
            <w:szCs w:val="22"/>
          </w:rPr>
          <w:t>https://mobile.va.gov</w:t>
        </w:r>
      </w:hyperlink>
      <w:r w:rsidRPr="00215381">
        <w:rPr>
          <w:rFonts w:asciiTheme="minorHAnsi" w:hAnsiTheme="minorHAnsi"/>
          <w:szCs w:val="22"/>
        </w:rPr>
        <w:t>)</w:t>
      </w:r>
      <w:r w:rsidR="003154E4">
        <w:rPr>
          <w:rFonts w:asciiTheme="minorHAnsi" w:hAnsiTheme="minorHAnsi"/>
          <w:szCs w:val="22"/>
        </w:rPr>
        <w:t xml:space="preserve"> </w:t>
      </w:r>
      <w:r>
        <w:rPr>
          <w:noProof/>
        </w:rPr>
        <w:t>(Armstrong et al., 2017)</w:t>
      </w:r>
      <w:r w:rsidRPr="001C0478">
        <w:t>.</w:t>
      </w:r>
      <w:r>
        <w:t xml:space="preserve"> Additionally, </w:t>
      </w:r>
      <w:r w:rsidRPr="001C0478">
        <w:t xml:space="preserve">three </w:t>
      </w:r>
      <w:r>
        <w:t xml:space="preserve">US </w:t>
      </w:r>
      <w:r w:rsidRPr="001C0478">
        <w:t>military programs focus on mHealth projects in mental health</w:t>
      </w:r>
      <w:r>
        <w:t>:</w:t>
      </w:r>
      <w:r w:rsidRPr="001C0478">
        <w:t xml:space="preserve"> </w:t>
      </w:r>
      <w:r>
        <w:t>t</w:t>
      </w:r>
      <w:r w:rsidRPr="001C0478">
        <w:t xml:space="preserve">he Telemedicine and Advanced Technology Research Center, </w:t>
      </w:r>
      <w:r>
        <w:t>t</w:t>
      </w:r>
      <w:r w:rsidRPr="001C0478">
        <w:t xml:space="preserve">he Military Operational Medicine Research Program, United States Army Medical Research and Materiel Command, and The National Center for Telehealth and Technology </w:t>
      </w:r>
      <w:r>
        <w:rPr>
          <w:noProof/>
        </w:rPr>
        <w:t>(Shore et al., 2014)</w:t>
      </w:r>
      <w:r w:rsidRPr="001C0478">
        <w:t xml:space="preserve">. </w:t>
      </w:r>
    </w:p>
    <w:p w14:paraId="4E0F5733" w14:textId="77777777" w:rsidR="00373141" w:rsidRDefault="00373141" w:rsidP="00373141">
      <w:pPr>
        <w:rPr>
          <w:rFonts w:eastAsia="Calibri"/>
          <w:szCs w:val="22"/>
        </w:rPr>
      </w:pPr>
      <w:r w:rsidRPr="001C0478">
        <w:t>A</w:t>
      </w:r>
      <w:r>
        <w:t>lso of note is the idea of using wearable technologies, such as a biometric wrist band (e.g. Garmin, Fitbit, Apple Watch)</w:t>
      </w:r>
      <w:r w:rsidRPr="001C0478">
        <w:t xml:space="preserve">, </w:t>
      </w:r>
      <w:r>
        <w:t>to self-monitor</w:t>
      </w:r>
      <w:r w:rsidRPr="001C0478">
        <w:t xml:space="preserve"> </w:t>
      </w:r>
      <w:r>
        <w:t xml:space="preserve">and track </w:t>
      </w:r>
      <w:r w:rsidRPr="001C0478">
        <w:t>heart rate</w:t>
      </w:r>
      <w:r>
        <w:t xml:space="preserve">, quality of </w:t>
      </w:r>
      <w:r w:rsidRPr="001C0478">
        <w:t xml:space="preserve">sleep, brain function and blood glucose levels. </w:t>
      </w:r>
      <w:r>
        <w:t>I</w:t>
      </w:r>
      <w:r w:rsidRPr="001C0478">
        <w:t xml:space="preserve">mportant relationships between certain variables such as sleep, exercise and mood </w:t>
      </w:r>
      <w:r>
        <w:t xml:space="preserve">– and their relationship to stress, for example – could be used to support self-management. In shared management the use of data from apps and wearable technologies could be used to discuss progress in treatment, responses to medication or evidence-based care, such as CBT, and in recovery. It could also potentially be used to identify early warning signs of relapse such as sleep disturbance, lack of social engagement or a reduction in physical activity. </w:t>
      </w:r>
    </w:p>
    <w:p w14:paraId="3D910EE0" w14:textId="77777777" w:rsidR="00373141" w:rsidRPr="001743E6" w:rsidRDefault="00373141" w:rsidP="00373141">
      <w:pPr>
        <w:pStyle w:val="Heading3"/>
        <w:numPr>
          <w:ilvl w:val="2"/>
          <w:numId w:val="1"/>
        </w:numPr>
      </w:pPr>
      <w:bookmarkStart w:id="1322" w:name="_Toc518566484"/>
      <w:bookmarkStart w:id="1323" w:name="_Toc528932762"/>
      <w:bookmarkStart w:id="1324" w:name="_Toc531859299"/>
      <w:r w:rsidRPr="001C0478">
        <w:t xml:space="preserve">Integration and coordination of </w:t>
      </w:r>
      <w:r>
        <w:t>digital content</w:t>
      </w:r>
      <w:bookmarkEnd w:id="1322"/>
      <w:bookmarkEnd w:id="1323"/>
      <w:bookmarkEnd w:id="1324"/>
    </w:p>
    <w:p w14:paraId="00F48EEE" w14:textId="77777777" w:rsidR="00373141" w:rsidRDefault="00373141" w:rsidP="00373141">
      <w:r w:rsidRPr="001C0478">
        <w:t xml:space="preserve">Increasingly websites focused on raising awareness about mental health are shifting from static information portals to dynamic interactive communities that rely on shared information, the collation of </w:t>
      </w:r>
      <w:r>
        <w:t>digital content</w:t>
      </w:r>
      <w:r w:rsidRPr="001C0478">
        <w:t xml:space="preserve"> and</w:t>
      </w:r>
      <w:r>
        <w:t>,</w:t>
      </w:r>
      <w:r w:rsidRPr="001C0478">
        <w:t xml:space="preserve"> whe</w:t>
      </w:r>
      <w:r>
        <w:t>re</w:t>
      </w:r>
      <w:r w:rsidRPr="001C0478">
        <w:t xml:space="preserve"> possible</w:t>
      </w:r>
      <w:r>
        <w:t>,</w:t>
      </w:r>
      <w:r w:rsidRPr="001C0478">
        <w:t xml:space="preserve"> the customisation of information tailored to the individual’s needs. </w:t>
      </w:r>
      <w:r>
        <w:t xml:space="preserve">Substantial </w:t>
      </w:r>
      <w:r w:rsidRPr="001C0478">
        <w:t>resource</w:t>
      </w:r>
      <w:r>
        <w:t>s</w:t>
      </w:r>
      <w:r w:rsidRPr="001C0478">
        <w:t xml:space="preserve"> </w:t>
      </w:r>
      <w:r>
        <w:t>are</w:t>
      </w:r>
      <w:r w:rsidRPr="001C0478">
        <w:t xml:space="preserve"> invested in the development of </w:t>
      </w:r>
      <w:r>
        <w:t>Defence, DVA and civilian mental health websites, often with the same content and messaging.</w:t>
      </w:r>
      <w:r w:rsidRPr="001C0478">
        <w:t xml:space="preserve"> For policy makers </w:t>
      </w:r>
      <w:r>
        <w:t xml:space="preserve">seeking to </w:t>
      </w:r>
      <w:r w:rsidRPr="001C0478">
        <w:t xml:space="preserve">create a seamless system of care across </w:t>
      </w:r>
      <w:r>
        <w:t>all stages of a military career, and that</w:t>
      </w:r>
      <w:r w:rsidRPr="001C0478">
        <w:t xml:space="preserve"> builds on the concept of ‘whole of person’ ‘whole of life’</w:t>
      </w:r>
      <w:r>
        <w:t>, including the transition to civilian life,</w:t>
      </w:r>
      <w:r w:rsidRPr="001C0478">
        <w:t xml:space="preserve"> it may be worth considering how website content, interfaces and communities can be built that facilitate information sharing across multiple platforms</w:t>
      </w:r>
      <w:r>
        <w:t>,</w:t>
      </w:r>
      <w:r w:rsidRPr="001C0478">
        <w:t xml:space="preserve"> including social media platforms</w:t>
      </w:r>
      <w:r>
        <w:t xml:space="preserve">, </w:t>
      </w:r>
      <w:r w:rsidRPr="001C0478">
        <w:t>face</w:t>
      </w:r>
      <w:r>
        <w:t>-</w:t>
      </w:r>
      <w:r w:rsidRPr="001C0478">
        <w:t>to</w:t>
      </w:r>
      <w:r>
        <w:t>-</w:t>
      </w:r>
      <w:r w:rsidRPr="001C0478">
        <w:t>face and online telephone and teleweb services, developed for both the civilian and military populations.</w:t>
      </w:r>
      <w:r>
        <w:t xml:space="preserve"> </w:t>
      </w:r>
    </w:p>
    <w:p w14:paraId="411BF4FC" w14:textId="141FC6C8" w:rsidR="00373141" w:rsidRDefault="00373141" w:rsidP="00373141">
      <w:r w:rsidRPr="001C0478">
        <w:t xml:space="preserve">Static websites, even with digital content embedded in them, rely on either word of mouth or </w:t>
      </w:r>
      <w:r>
        <w:t>strong</w:t>
      </w:r>
      <w:r w:rsidRPr="001C0478">
        <w:t xml:space="preserve"> marketing campaigns </w:t>
      </w:r>
      <w:r>
        <w:t xml:space="preserve">to build brand recognition and </w:t>
      </w:r>
      <w:r w:rsidRPr="001C0478">
        <w:t>to ensure reach</w:t>
      </w:r>
      <w:r>
        <w:t>. At</w:t>
      </w:r>
      <w:r w:rsidRPr="001C0478">
        <w:t xml:space="preserve"> the moment only 10</w:t>
      </w:r>
      <w:r>
        <w:t>–</w:t>
      </w:r>
      <w:r w:rsidRPr="001C0478">
        <w:t xml:space="preserve">15% of the </w:t>
      </w:r>
      <w:r>
        <w:t xml:space="preserve">ADF serving and ex-serving </w:t>
      </w:r>
      <w:r w:rsidRPr="001C0478">
        <w:t>population</w:t>
      </w:r>
      <w:r>
        <w:t>s</w:t>
      </w:r>
      <w:r w:rsidRPr="001C0478">
        <w:t xml:space="preserve"> are deliberately accessing websites for their mental health</w:t>
      </w:r>
      <w:r>
        <w:t xml:space="preserve"> </w:t>
      </w:r>
      <w:r>
        <w:rPr>
          <w:noProof/>
        </w:rPr>
        <w:t>(</w:t>
      </w:r>
      <w:r w:rsidR="008B4128">
        <w:rPr>
          <w:noProof/>
        </w:rPr>
        <w:t>Forbes et al. 2018</w:t>
      </w:r>
      <w:r>
        <w:rPr>
          <w:noProof/>
        </w:rPr>
        <w:t>)</w:t>
      </w:r>
      <w:r w:rsidRPr="001C0478">
        <w:t xml:space="preserve">. Most people when searching the </w:t>
      </w:r>
      <w:r>
        <w:t>internet</w:t>
      </w:r>
      <w:r w:rsidRPr="001C0478">
        <w:t xml:space="preserve"> use a search engine</w:t>
      </w:r>
      <w:r>
        <w:t>,</w:t>
      </w:r>
      <w:r w:rsidRPr="001C0478">
        <w:t xml:space="preserve"> and this is true for the </w:t>
      </w:r>
      <w:r>
        <w:t>Australian veteran and defence communities</w:t>
      </w:r>
      <w:r w:rsidRPr="001C0478">
        <w:t>. A traditional approach to driving traffic to websites has been through the use of Google Ad</w:t>
      </w:r>
      <w:r>
        <w:t>w</w:t>
      </w:r>
      <w:r w:rsidRPr="001C0478">
        <w:t xml:space="preserve">ords or paid advertising on Facebook or other social networks </w:t>
      </w:r>
      <w:r>
        <w:t>such as</w:t>
      </w:r>
      <w:r w:rsidRPr="001C0478">
        <w:t xml:space="preserve"> Twitter </w:t>
      </w:r>
      <w:r>
        <w:t>and</w:t>
      </w:r>
      <w:r w:rsidRPr="001C0478">
        <w:t xml:space="preserve"> LinkedIn. </w:t>
      </w:r>
      <w:r>
        <w:t>Increasingly, social marketing</w:t>
      </w:r>
      <w:r w:rsidRPr="001C0478">
        <w:t xml:space="preserve"> </w:t>
      </w:r>
      <w:r>
        <w:t>is using different reach modalities – for example, ‘</w:t>
      </w:r>
      <w:r w:rsidRPr="001C0478">
        <w:t>push</w:t>
      </w:r>
      <w:r>
        <w:t>’,</w:t>
      </w:r>
      <w:r w:rsidRPr="001C0478">
        <w:t xml:space="preserve"> </w:t>
      </w:r>
      <w:r>
        <w:t xml:space="preserve">where information is sent to people or targeted to specific networks, </w:t>
      </w:r>
      <w:r w:rsidRPr="001C0478">
        <w:t xml:space="preserve">and </w:t>
      </w:r>
      <w:r>
        <w:t>‘</w:t>
      </w:r>
      <w:r w:rsidRPr="001C0478">
        <w:t>pull</w:t>
      </w:r>
      <w:r>
        <w:t>’,</w:t>
      </w:r>
      <w:r w:rsidRPr="001C0478">
        <w:t xml:space="preserve"> </w:t>
      </w:r>
      <w:r>
        <w:t>where campaigns invite people to visit a website or participate in a community</w:t>
      </w:r>
      <w:r w:rsidRPr="001C0478">
        <w:t xml:space="preserve"> </w:t>
      </w:r>
      <w:r>
        <w:t xml:space="preserve">– to </w:t>
      </w:r>
      <w:r w:rsidRPr="001C0478">
        <w:t xml:space="preserve">build communities and promote information sharing via the networks in which people interact. For the ADF </w:t>
      </w:r>
      <w:r>
        <w:t>serving and ex-serving communities</w:t>
      </w:r>
      <w:r w:rsidRPr="001C0478">
        <w:t xml:space="preserve"> this may be through </w:t>
      </w:r>
      <w:r>
        <w:t>the Defence Community Organisation</w:t>
      </w:r>
      <w:r w:rsidRPr="001C0478">
        <w:t xml:space="preserve">, dedicated closed Facebook pages, current services such as Joint Health Command and </w:t>
      </w:r>
      <w:r>
        <w:t>Open Arms,</w:t>
      </w:r>
      <w:r w:rsidRPr="001C0478">
        <w:t xml:space="preserve"> and the </w:t>
      </w:r>
      <w:r w:rsidR="003154E4">
        <w:t>e</w:t>
      </w:r>
      <w:r w:rsidRPr="001C0478">
        <w:t>x-service</w:t>
      </w:r>
      <w:r>
        <w:t xml:space="preserve"> and community organis</w:t>
      </w:r>
      <w:r w:rsidRPr="001C0478">
        <w:t>ations. Critical to the success of building online communities is engendering a culture of trust and the sense that the community is built based on the needs of the people it serves.</w:t>
      </w:r>
      <w:r>
        <w:t xml:space="preserve"> </w:t>
      </w:r>
    </w:p>
    <w:p w14:paraId="68924E0C" w14:textId="77777777" w:rsidR="00373141" w:rsidRPr="001C0478" w:rsidRDefault="00373141" w:rsidP="00373141">
      <w:r>
        <w:t xml:space="preserve">Careful consideration should also be given to integrating online services with face-to-face care. </w:t>
      </w:r>
      <w:r w:rsidRPr="001C0478">
        <w:t xml:space="preserve">The co-design and subsequent co-development with the lived experience community of </w:t>
      </w:r>
      <w:r>
        <w:t xml:space="preserve">the Department of Health </w:t>
      </w:r>
      <w:r w:rsidRPr="001C0478">
        <w:t>Head to Health</w:t>
      </w:r>
      <w:r>
        <w:t xml:space="preserve"> portal</w:t>
      </w:r>
      <w:r w:rsidRPr="001C0478">
        <w:t xml:space="preserve"> and its proposed implementation into </w:t>
      </w:r>
      <w:r>
        <w:t>p</w:t>
      </w:r>
      <w:r w:rsidRPr="001C0478">
        <w:t xml:space="preserve">rimary </w:t>
      </w:r>
      <w:r>
        <w:t>h</w:t>
      </w:r>
      <w:r w:rsidRPr="001C0478">
        <w:t xml:space="preserve">ealth </w:t>
      </w:r>
      <w:r>
        <w:t>c</w:t>
      </w:r>
      <w:r w:rsidRPr="001C0478">
        <w:t xml:space="preserve">are </w:t>
      </w:r>
      <w:r>
        <w:t>n</w:t>
      </w:r>
      <w:r w:rsidRPr="001C0478">
        <w:t>etworks is an interesting model. In this example</w:t>
      </w:r>
      <w:r>
        <w:t>,</w:t>
      </w:r>
      <w:r w:rsidRPr="001C0478">
        <w:t xml:space="preserve"> education and training for primary health and allied health providers should be coupled with awareness campaigns targeting individuals, peers and family members. </w:t>
      </w:r>
      <w:r>
        <w:t>In the context of the military and veteran populations, this training could focus on the services currently provided through Open Arms and Joint Health Command. Where possible, resources should be promoted</w:t>
      </w:r>
      <w:r w:rsidRPr="00404598">
        <w:t xml:space="preserve"> </w:t>
      </w:r>
      <w:r>
        <w:t>jointly, such as with the use of the At Ease or High Res websites or the Joint Health Command Fighting Fit portal to support self-management.</w:t>
      </w:r>
    </w:p>
    <w:p w14:paraId="4FC91A3E" w14:textId="77777777" w:rsidR="00373141" w:rsidRPr="001743E6" w:rsidRDefault="00373141" w:rsidP="00373141">
      <w:pPr>
        <w:pStyle w:val="Heading3"/>
        <w:numPr>
          <w:ilvl w:val="2"/>
          <w:numId w:val="1"/>
        </w:numPr>
      </w:pPr>
      <w:bookmarkStart w:id="1325" w:name="_Toc518566485"/>
      <w:bookmarkStart w:id="1326" w:name="_Toc528932763"/>
      <w:bookmarkStart w:id="1327" w:name="_Toc531859300"/>
      <w:r>
        <w:t>Shared care and b</w:t>
      </w:r>
      <w:r w:rsidRPr="001C0478">
        <w:t>olstering effectiveness of treatment</w:t>
      </w:r>
      <w:bookmarkEnd w:id="1325"/>
      <w:bookmarkEnd w:id="1326"/>
      <w:bookmarkEnd w:id="1327"/>
    </w:p>
    <w:p w14:paraId="7100AE56" w14:textId="77777777" w:rsidR="00373141" w:rsidRDefault="00373141" w:rsidP="00373141">
      <w:pPr>
        <w:rPr>
          <w:rFonts w:asciiTheme="minorHAnsi" w:eastAsia="MS ??" w:hAnsiTheme="minorHAnsi"/>
          <w:szCs w:val="22"/>
        </w:rPr>
      </w:pPr>
      <w:r>
        <w:rPr>
          <w:rFonts w:asciiTheme="minorHAnsi" w:eastAsia="Times New Roman" w:hAnsiTheme="minorHAnsi"/>
          <w:szCs w:val="22"/>
        </w:rPr>
        <w:t>Data from the Transition and Wellbeing Research Programme suggests that serving and ex-serving ADF members are open to exploring alternative models of service provision, including services provided online or enhanced through apps and wearable technologies or biometric devices. An</w:t>
      </w:r>
      <w:r w:rsidRPr="00BC6BFB">
        <w:rPr>
          <w:rFonts w:asciiTheme="minorHAnsi" w:eastAsia="Times New Roman" w:hAnsiTheme="minorHAnsi"/>
          <w:szCs w:val="22"/>
        </w:rPr>
        <w:t xml:space="preserve"> integrated model of stepped care coupled with clinical staging</w:t>
      </w:r>
      <w:r>
        <w:rPr>
          <w:rFonts w:asciiTheme="minorHAnsi" w:eastAsia="Times New Roman" w:hAnsiTheme="minorHAnsi"/>
          <w:szCs w:val="22"/>
        </w:rPr>
        <w:t xml:space="preserve"> (see section 11.2.5), </w:t>
      </w:r>
      <w:r w:rsidRPr="00BC6BFB">
        <w:rPr>
          <w:rFonts w:asciiTheme="minorHAnsi" w:eastAsia="Times New Roman" w:hAnsiTheme="minorHAnsi"/>
          <w:szCs w:val="22"/>
        </w:rPr>
        <w:t>focused on the ‘right care at the right time’</w:t>
      </w:r>
      <w:r>
        <w:rPr>
          <w:rFonts w:asciiTheme="minorHAnsi" w:eastAsia="Times New Roman" w:hAnsiTheme="minorHAnsi"/>
          <w:szCs w:val="22"/>
        </w:rPr>
        <w:t xml:space="preserve"> and</w:t>
      </w:r>
      <w:r w:rsidRPr="00BC6BFB">
        <w:rPr>
          <w:rFonts w:asciiTheme="minorHAnsi" w:eastAsia="Times New Roman" w:hAnsiTheme="minorHAnsi"/>
          <w:szCs w:val="22"/>
        </w:rPr>
        <w:t xml:space="preserve"> delivered by the right person</w:t>
      </w:r>
      <w:r>
        <w:rPr>
          <w:rFonts w:asciiTheme="minorHAnsi" w:eastAsia="Times New Roman" w:hAnsiTheme="minorHAnsi"/>
          <w:szCs w:val="22"/>
        </w:rPr>
        <w:t xml:space="preserve"> and</w:t>
      </w:r>
      <w:r w:rsidRPr="00BC6BFB">
        <w:rPr>
          <w:rFonts w:asciiTheme="minorHAnsi" w:eastAsia="Times New Roman" w:hAnsiTheme="minorHAnsi"/>
          <w:szCs w:val="22"/>
        </w:rPr>
        <w:t xml:space="preserve"> in </w:t>
      </w:r>
      <w:r>
        <w:rPr>
          <w:rFonts w:asciiTheme="minorHAnsi" w:eastAsia="Times New Roman" w:hAnsiTheme="minorHAnsi"/>
          <w:szCs w:val="22"/>
        </w:rPr>
        <w:t>a</w:t>
      </w:r>
      <w:r w:rsidRPr="00BC6BFB">
        <w:rPr>
          <w:rFonts w:asciiTheme="minorHAnsi" w:eastAsia="Times New Roman" w:hAnsiTheme="minorHAnsi"/>
          <w:szCs w:val="22"/>
        </w:rPr>
        <w:t xml:space="preserve"> mode that suits the individual</w:t>
      </w:r>
      <w:r>
        <w:rPr>
          <w:rFonts w:asciiTheme="minorHAnsi" w:eastAsia="Times New Roman" w:hAnsiTheme="minorHAnsi"/>
          <w:szCs w:val="22"/>
        </w:rPr>
        <w:t>, is worth exploring</w:t>
      </w:r>
      <w:r w:rsidRPr="00BC6BFB">
        <w:rPr>
          <w:rFonts w:asciiTheme="minorHAnsi" w:eastAsia="Times New Roman" w:hAnsiTheme="minorHAnsi"/>
          <w:szCs w:val="22"/>
        </w:rPr>
        <w:t xml:space="preserve">. </w:t>
      </w:r>
    </w:p>
    <w:p w14:paraId="422D1613" w14:textId="2219A4A0" w:rsidR="00373141" w:rsidRDefault="00373141" w:rsidP="00373141">
      <w:r w:rsidRPr="001C0478">
        <w:t>Most military personnel report</w:t>
      </w:r>
      <w:r>
        <w:t>ed</w:t>
      </w:r>
      <w:r w:rsidRPr="001C0478">
        <w:t xml:space="preserve"> </w:t>
      </w:r>
      <w:r>
        <w:t>that they</w:t>
      </w:r>
      <w:r w:rsidRPr="001C0478">
        <w:t xml:space="preserve"> </w:t>
      </w:r>
      <w:r>
        <w:t xml:space="preserve">were </w:t>
      </w:r>
      <w:r w:rsidRPr="001C0478">
        <w:t xml:space="preserve">aware of </w:t>
      </w:r>
      <w:r>
        <w:t>face-to-face</w:t>
      </w:r>
      <w:r w:rsidRPr="001C0478">
        <w:t xml:space="preserve"> services</w:t>
      </w:r>
      <w:r>
        <w:t xml:space="preserve">, and approximately three in four Transitioned ADF and 2015 Regular ADF have received assistance for their mental health in their lifetime. Despite high rates of help seeking, only a quarter of those with a probable current disorder were estimated to have received evidence-based care because of high attrition and variability in the treatment services delivered </w:t>
      </w:r>
      <w:r>
        <w:rPr>
          <w:noProof/>
        </w:rPr>
        <w:t>(</w:t>
      </w:r>
      <w:r w:rsidR="008B4128">
        <w:rPr>
          <w:noProof/>
        </w:rPr>
        <w:t>Forbes et al. 2018</w:t>
      </w:r>
      <w:r>
        <w:rPr>
          <w:noProof/>
        </w:rPr>
        <w:t>)</w:t>
      </w:r>
      <w:r>
        <w:t>. One of the challenges for face-to-face services, particularly in mental health service provision, is that they</w:t>
      </w:r>
      <w:r w:rsidRPr="001C0478">
        <w:t xml:space="preserve"> are usually available </w:t>
      </w:r>
      <w:r>
        <w:t xml:space="preserve">only </w:t>
      </w:r>
      <w:r w:rsidRPr="001C0478">
        <w:t>during</w:t>
      </w:r>
      <w:r>
        <w:t xml:space="preserve"> standard working hours</w:t>
      </w:r>
      <w:r w:rsidRPr="001C0478">
        <w:t xml:space="preserve">. </w:t>
      </w:r>
      <w:r>
        <w:t>While t</w:t>
      </w:r>
      <w:r w:rsidRPr="001C0478">
        <w:t xml:space="preserve">he majority of Transitioned ADF and 2015 Regular ADF felt just as comfortable with their </w:t>
      </w:r>
      <w:r>
        <w:t>face-to-face</w:t>
      </w:r>
      <w:r w:rsidRPr="001C0478">
        <w:t xml:space="preserve"> interactions as they did wi</w:t>
      </w:r>
      <w:r>
        <w:t>th their on-line interactions, a</w:t>
      </w:r>
      <w:r w:rsidRPr="001C0478">
        <w:t xml:space="preserve">bout 25% </w:t>
      </w:r>
      <w:r>
        <w:t>felt</w:t>
      </w:r>
      <w:r w:rsidRPr="001C0478">
        <w:t xml:space="preserve"> more comfortable in the online environment </w:t>
      </w:r>
      <w:r>
        <w:t xml:space="preserve">– </w:t>
      </w:r>
      <w:r w:rsidRPr="001C0478">
        <w:t xml:space="preserve">highlighting the importance of </w:t>
      </w:r>
      <w:r>
        <w:t xml:space="preserve">there being </w:t>
      </w:r>
      <w:r w:rsidRPr="001C0478">
        <w:t>‘no wrong door’</w:t>
      </w:r>
      <w:r>
        <w:t xml:space="preserve"> and ensuring that there are multiple ways for individuals to access support. </w:t>
      </w:r>
    </w:p>
    <w:p w14:paraId="56B4A20E" w14:textId="77777777" w:rsidR="00373141" w:rsidRPr="00CF054B" w:rsidRDefault="00373141" w:rsidP="00373141">
      <w:pPr>
        <w:pStyle w:val="Heading3"/>
        <w:numPr>
          <w:ilvl w:val="2"/>
          <w:numId w:val="1"/>
        </w:numPr>
      </w:pPr>
      <w:bookmarkStart w:id="1328" w:name="_Toc518566486"/>
      <w:bookmarkStart w:id="1329" w:name="_Toc528932764"/>
      <w:bookmarkStart w:id="1330" w:name="_Toc531859301"/>
      <w:r w:rsidRPr="00CF054B">
        <w:t xml:space="preserve">Stepped </w:t>
      </w:r>
      <w:r>
        <w:t>c</w:t>
      </w:r>
      <w:r w:rsidRPr="00CF054B">
        <w:t xml:space="preserve">are and </w:t>
      </w:r>
      <w:r>
        <w:t>c</w:t>
      </w:r>
      <w:r w:rsidRPr="00CF054B">
        <w:t xml:space="preserve">linical </w:t>
      </w:r>
      <w:r>
        <w:t>s</w:t>
      </w:r>
      <w:r w:rsidRPr="00CF054B">
        <w:t>taging</w:t>
      </w:r>
      <w:bookmarkEnd w:id="1328"/>
      <w:bookmarkEnd w:id="1329"/>
      <w:bookmarkEnd w:id="1330"/>
    </w:p>
    <w:p w14:paraId="6AB9D40A" w14:textId="77777777" w:rsidR="00373141" w:rsidRPr="001C0478" w:rsidRDefault="00373141" w:rsidP="00373141">
      <w:r w:rsidRPr="001C0478">
        <w:t>When an individual has not responded to self-management strategies and has identified that symptoms are not improving or other functions are impaired (</w:t>
      </w:r>
      <w:r>
        <w:t>e.g</w:t>
      </w:r>
      <w:r w:rsidRPr="001C0478">
        <w:t>. concentration, stress, sleep disturbance)</w:t>
      </w:r>
      <w:r>
        <w:t>,</w:t>
      </w:r>
      <w:r w:rsidRPr="001C0478">
        <w:t xml:space="preserve"> a more intense intervention </w:t>
      </w:r>
      <w:r>
        <w:t>should be</w:t>
      </w:r>
      <w:r w:rsidRPr="001C0478">
        <w:t xml:space="preserve"> recommended. This may involve psycho-education combined with </w:t>
      </w:r>
      <w:r>
        <w:t xml:space="preserve">an </w:t>
      </w:r>
      <w:r w:rsidRPr="001C0478">
        <w:t>evidence-based treatment</w:t>
      </w:r>
      <w:r>
        <w:t xml:space="preserve"> such as computer-administered CBT,</w:t>
      </w:r>
      <w:r w:rsidRPr="001C0478">
        <w:t xml:space="preserve"> as evidence suggests that psycho-education combined with reduced</w:t>
      </w:r>
      <w:r>
        <w:t>-</w:t>
      </w:r>
      <w:r w:rsidRPr="001C0478">
        <w:t xml:space="preserve">intensity </w:t>
      </w:r>
      <w:r>
        <w:t>CBT</w:t>
      </w:r>
      <w:r w:rsidRPr="001C0478">
        <w:t xml:space="preserve"> can be as effective as complete </w:t>
      </w:r>
      <w:r>
        <w:t>CBT</w:t>
      </w:r>
      <w:r w:rsidRPr="001C0478">
        <w:t xml:space="preserve"> treatment. Ongoing monitoring to determine </w:t>
      </w:r>
      <w:r>
        <w:t xml:space="preserve">an individual’s </w:t>
      </w:r>
      <w:r w:rsidRPr="001C0478">
        <w:t xml:space="preserve">response to intervention will determine </w:t>
      </w:r>
      <w:r>
        <w:t>whether</w:t>
      </w:r>
      <w:r w:rsidRPr="001C0478">
        <w:t xml:space="preserve"> a person needs to step up into a more intensive individual therapy. </w:t>
      </w:r>
      <w:r>
        <w:t>App</w:t>
      </w:r>
      <w:r w:rsidRPr="001C0478">
        <w:t xml:space="preserve">s </w:t>
      </w:r>
      <w:r>
        <w:t>or wearable technologies that</w:t>
      </w:r>
      <w:r w:rsidRPr="001C0478">
        <w:t xml:space="preserve"> measure outcomes such as sleep, activity, stress and social connectivity could all be used to determine when the intensity of the interventi</w:t>
      </w:r>
      <w:r>
        <w:t>on needs to be increased, with reviews conducted in shared management consultations with primary health care providers or case managers.</w:t>
      </w:r>
    </w:p>
    <w:p w14:paraId="7608857B" w14:textId="77777777" w:rsidR="00373141" w:rsidRPr="001C0478" w:rsidRDefault="00373141" w:rsidP="00373141">
      <w:r w:rsidRPr="001C0478">
        <w:t>In longer term individual therapy</w:t>
      </w:r>
      <w:r>
        <w:t>,</w:t>
      </w:r>
      <w:r w:rsidRPr="001C0478">
        <w:t xml:space="preserve"> which may include secondary and tertiary care</w:t>
      </w:r>
      <w:r>
        <w:t>,</w:t>
      </w:r>
      <w:r w:rsidRPr="001C0478">
        <w:t xml:space="preserve"> it is important to understand the complex mental and physical health needs of the individual. Access to support may have commenced with a physical health problem which has progressed to a mental health problem and</w:t>
      </w:r>
      <w:r>
        <w:t>/</w:t>
      </w:r>
      <w:r w:rsidRPr="001C0478">
        <w:t>or other comorbidities such as the use of alcohol or drugs to self-medicate. At this step</w:t>
      </w:r>
      <w:r>
        <w:t>,</w:t>
      </w:r>
      <w:r w:rsidRPr="001C0478">
        <w:t xml:space="preserve"> multiple modalities of support need to be deployed</w:t>
      </w:r>
      <w:r>
        <w:t>,</w:t>
      </w:r>
      <w:r w:rsidRPr="001C0478">
        <w:t xml:space="preserve"> including individual and group therapy and the use of technology as an adjunct to care.</w:t>
      </w:r>
      <w:r>
        <w:t xml:space="preserve"> This is particularly relevant as the person transitions out of the ADF into civilian life.</w:t>
      </w:r>
    </w:p>
    <w:p w14:paraId="3FF5B792" w14:textId="77777777" w:rsidR="00373141" w:rsidRPr="001C0478" w:rsidRDefault="00373141" w:rsidP="00373141">
      <w:r w:rsidRPr="001C0478">
        <w:t>Stepped care focuses on the pathways to care and stepping individuals up or down</w:t>
      </w:r>
      <w:r>
        <w:t>,</w:t>
      </w:r>
      <w:r w:rsidRPr="001C0478">
        <w:t xml:space="preserve"> whereas clinical staging focuses on the intensity of intervention and the tailoring of a solution based on needs and recovery. This focus on recovery takes into consideration the willingness to seek support and the capacity to stay in role</w:t>
      </w:r>
      <w:r>
        <w:t>, as well as</w:t>
      </w:r>
      <w:r w:rsidRPr="001C0478">
        <w:t xml:space="preserve"> the context of the </w:t>
      </w:r>
      <w:r>
        <w:t xml:space="preserve">individual’s </w:t>
      </w:r>
      <w:r w:rsidRPr="001C0478">
        <w:t xml:space="preserve">environment, whether they are still in the military or have transitioned into civilian life. It offers a continuum of care from the identification of risk factors prior to the emergence of symptoms (stage 0) through to treatment for chronic, persistent and complex conditions (stage 4). While common practice in the treatment of physical health conditions, models of clinical staging are more recently being proposed in military populations for </w:t>
      </w:r>
      <w:r>
        <w:t xml:space="preserve">PTSD </w:t>
      </w:r>
      <w:r>
        <w:rPr>
          <w:noProof/>
        </w:rPr>
        <w:t>(McFarlane et al., 2017)</w:t>
      </w:r>
      <w:r>
        <w:t xml:space="preserve"> </w:t>
      </w:r>
      <w:r w:rsidRPr="001C0478">
        <w:t>and in civilian populations</w:t>
      </w:r>
      <w:r>
        <w:t xml:space="preserve"> – models </w:t>
      </w:r>
      <w:r w:rsidRPr="001C0478">
        <w:t>that have relevance for defence personnel in the treatment of panic disorder, alcohol use disorder</w:t>
      </w:r>
      <w:r>
        <w:t xml:space="preserve">s </w:t>
      </w:r>
      <w:r>
        <w:rPr>
          <w:noProof/>
        </w:rPr>
        <w:t>(Cosci &amp; Fava, 2013)</w:t>
      </w:r>
      <w:r>
        <w:t xml:space="preserve"> </w:t>
      </w:r>
      <w:r w:rsidRPr="001C0478">
        <w:t>and depression and anxiety in younger cohort</w:t>
      </w:r>
      <w:r>
        <w:t xml:space="preserve">s </w:t>
      </w:r>
      <w:r>
        <w:rPr>
          <w:noProof/>
        </w:rPr>
        <w:t>(Cross &amp; Hickie, 2017)</w:t>
      </w:r>
      <w:r>
        <w:t>.</w:t>
      </w:r>
      <w:r w:rsidRPr="00DA3E1C">
        <w:rPr>
          <w:vertAlign w:val="superscript"/>
        </w:rPr>
        <w:t xml:space="preserve"> </w:t>
      </w:r>
      <w:r w:rsidRPr="001C0478">
        <w:t>Recovery</w:t>
      </w:r>
      <w:r>
        <w:t>-</w:t>
      </w:r>
      <w:r w:rsidRPr="001C0478">
        <w:t xml:space="preserve">focused clinical staging considers the clinical stage, functional impairment and other support mechanisms the individual may have in place. Online and </w:t>
      </w:r>
      <w:r>
        <w:t>face-to-face</w:t>
      </w:r>
      <w:r w:rsidRPr="001C0478">
        <w:t xml:space="preserve"> evidence-based interventions are recommended that increase in intensity with each subsequent clinical stage. </w:t>
      </w:r>
    </w:p>
    <w:p w14:paraId="5090277E" w14:textId="77777777" w:rsidR="00373141" w:rsidRPr="001743E6" w:rsidRDefault="00373141" w:rsidP="00373141">
      <w:r>
        <w:t>U</w:t>
      </w:r>
      <w:r w:rsidRPr="001C0478">
        <w:t xml:space="preserve">sing a clinical staging model clearly makes </w:t>
      </w:r>
      <w:r>
        <w:t>distinctions</w:t>
      </w:r>
      <w:r w:rsidRPr="001C0478">
        <w:t xml:space="preserve"> between the individual’s needs based on a holistic mental health assessment, their risk and protective factor profile and the availability and quality of services. Increasingly</w:t>
      </w:r>
      <w:r>
        <w:t>,</w:t>
      </w:r>
      <w:r w:rsidRPr="001C0478">
        <w:t xml:space="preserve"> recovery</w:t>
      </w:r>
      <w:r>
        <w:t>-</w:t>
      </w:r>
      <w:r w:rsidRPr="001C0478">
        <w:t xml:space="preserve">focused approaches also look at the support networks </w:t>
      </w:r>
      <w:r>
        <w:t>that</w:t>
      </w:r>
      <w:r w:rsidRPr="001C0478">
        <w:t xml:space="preserve"> could </w:t>
      </w:r>
      <w:r>
        <w:t xml:space="preserve">be </w:t>
      </w:r>
      <w:r w:rsidRPr="001C0478">
        <w:t>draw</w:t>
      </w:r>
      <w:r>
        <w:t>n</w:t>
      </w:r>
      <w:r w:rsidRPr="001C0478">
        <w:t xml:space="preserve"> on</w:t>
      </w:r>
      <w:r>
        <w:t>,</w:t>
      </w:r>
      <w:r w:rsidRPr="001C0478">
        <w:t xml:space="preserve"> including peers, family and friends. In addressing complex risk factors, it may be necessary to focus on the initial risk</w:t>
      </w:r>
      <w:r>
        <w:t>,</w:t>
      </w:r>
      <w:r w:rsidRPr="001C0478">
        <w:t xml:space="preserve"> such as a relationship breakdown</w:t>
      </w:r>
      <w:r>
        <w:t>,</w:t>
      </w:r>
      <w:r w:rsidRPr="001C0478">
        <w:t xml:space="preserve"> while also treating the symptoms of the disorder. </w:t>
      </w:r>
    </w:p>
    <w:p w14:paraId="4547E33E" w14:textId="77777777" w:rsidR="00373141" w:rsidRDefault="00373141" w:rsidP="00373141">
      <w:pPr>
        <w:pStyle w:val="Heading3"/>
        <w:numPr>
          <w:ilvl w:val="2"/>
          <w:numId w:val="1"/>
        </w:numPr>
      </w:pPr>
      <w:bookmarkStart w:id="1331" w:name="_Toc518566487"/>
      <w:bookmarkStart w:id="1332" w:name="_Toc528932765"/>
      <w:bookmarkStart w:id="1333" w:name="_Toc531859302"/>
      <w:r>
        <w:t>Other areas requiring exploration</w:t>
      </w:r>
      <w:bookmarkEnd w:id="1331"/>
      <w:bookmarkEnd w:id="1332"/>
      <w:bookmarkEnd w:id="1333"/>
    </w:p>
    <w:p w14:paraId="71E58C86" w14:textId="77777777" w:rsidR="00373141" w:rsidRPr="001C0478" w:rsidRDefault="00373141" w:rsidP="00373141">
      <w:r>
        <w:t>Another possible area for exploration, supported by the data, is that o</w:t>
      </w:r>
      <w:r w:rsidRPr="001C0478">
        <w:t>nline services, rather than being promoted as ‘crisis support’</w:t>
      </w:r>
      <w:r>
        <w:t>,</w:t>
      </w:r>
      <w:r w:rsidRPr="001C0478">
        <w:t xml:space="preserve"> could be promoted as ‘care when you need it’. The </w:t>
      </w:r>
      <w:r>
        <w:t>Open Arms</w:t>
      </w:r>
      <w:r w:rsidRPr="001C0478">
        <w:t xml:space="preserve"> 1800</w:t>
      </w:r>
      <w:r>
        <w:t xml:space="preserve"> number</w:t>
      </w:r>
      <w:r w:rsidRPr="001C0478">
        <w:t xml:space="preserve"> and Defence 1800IMSICK number are both available as 24/7 telephone support. A slight reorientation from sickness and crisis support to ‘care when you need it’ could potentially reach those </w:t>
      </w:r>
      <w:r>
        <w:t xml:space="preserve">requiring support outside working hours, or those </w:t>
      </w:r>
      <w:r w:rsidRPr="001C0478">
        <w:t>online after 11</w:t>
      </w:r>
      <w:r>
        <w:t xml:space="preserve"> pm</w:t>
      </w:r>
      <w:r w:rsidRPr="001C0478">
        <w:t xml:space="preserve"> seeking support and care. Into the future, choice relating to the type of service provided could be built into a multi-modal channel, allowing </w:t>
      </w:r>
      <w:r>
        <w:t>D</w:t>
      </w:r>
      <w:r w:rsidRPr="001C0478">
        <w:t xml:space="preserve">efence personnel and veterans to choose </w:t>
      </w:r>
      <w:r>
        <w:t>from</w:t>
      </w:r>
      <w:r w:rsidRPr="001C0478">
        <w:t xml:space="preserve"> online information, phone </w:t>
      </w:r>
      <w:r>
        <w:t>and</w:t>
      </w:r>
      <w:r w:rsidRPr="001C0478">
        <w:t xml:space="preserve"> telehealth options. Smart systems could allow cost</w:t>
      </w:r>
      <w:r>
        <w:t>-</w:t>
      </w:r>
      <w:r w:rsidRPr="001C0478">
        <w:t>effective triage of responses</w:t>
      </w:r>
      <w:r>
        <w:t>. A</w:t>
      </w:r>
      <w:r w:rsidRPr="001C0478">
        <w:t>n example of this working in practice is the New Zealand system ‘Home Care Medical’</w:t>
      </w:r>
      <w:r>
        <w:t>,</w:t>
      </w:r>
      <w:r w:rsidRPr="001C0478">
        <w:t xml:space="preserve"> which provides a backbone infrastructure but promotes a front end relevant to the needs of the population it serves.</w:t>
      </w:r>
    </w:p>
    <w:p w14:paraId="0E4CEA11" w14:textId="77777777" w:rsidR="00373141" w:rsidRPr="00C141A9" w:rsidRDefault="00373141" w:rsidP="00373141">
      <w:pPr>
        <w:rPr>
          <w:b/>
          <w:i/>
        </w:rPr>
      </w:pPr>
      <w:r w:rsidRPr="001C0478">
        <w:t>A body of literature is growing around the important role that peers can play in supporting mental health and wellbeing. This role can be formal</w:t>
      </w:r>
      <w:r>
        <w:t xml:space="preserve"> –</w:t>
      </w:r>
      <w:r w:rsidRPr="001C0478">
        <w:t xml:space="preserve"> that is</w:t>
      </w:r>
      <w:r>
        <w:t>,</w:t>
      </w:r>
      <w:r w:rsidRPr="001C0478">
        <w:t xml:space="preserve"> as a part of a shared management, multidisciplinary team </w:t>
      </w:r>
      <w:r>
        <w:t xml:space="preserve">– as is the case with </w:t>
      </w:r>
      <w:r w:rsidRPr="001C0478">
        <w:t>the peer</w:t>
      </w:r>
      <w:r>
        <w:t>-</w:t>
      </w:r>
      <w:r w:rsidRPr="001C0478">
        <w:t>to</w:t>
      </w:r>
      <w:r>
        <w:t>-</w:t>
      </w:r>
      <w:r w:rsidRPr="001C0478">
        <w:t xml:space="preserve">peer support network trial being conducted by </w:t>
      </w:r>
      <w:r>
        <w:t>Open Arms</w:t>
      </w:r>
      <w:r w:rsidRPr="001C0478">
        <w:t xml:space="preserve"> </w:t>
      </w:r>
      <w:r>
        <w:t>i</w:t>
      </w:r>
      <w:r w:rsidRPr="001C0478">
        <w:t xml:space="preserve">n Townsville, with early promising results. </w:t>
      </w:r>
      <w:r>
        <w:t>P</w:t>
      </w:r>
      <w:r w:rsidRPr="001C0478">
        <w:t xml:space="preserve">eer support networks can </w:t>
      </w:r>
      <w:r>
        <w:t xml:space="preserve">also </w:t>
      </w:r>
      <w:r w:rsidRPr="001C0478">
        <w:t>be informal</w:t>
      </w:r>
      <w:r>
        <w:t>,</w:t>
      </w:r>
      <w:r w:rsidRPr="001C0478">
        <w:t xml:space="preserve"> through social networks that allow people to connect and communicate. Increasingly defence</w:t>
      </w:r>
      <w:r>
        <w:t>-</w:t>
      </w:r>
      <w:r w:rsidRPr="001C0478">
        <w:t xml:space="preserve"> and veteran</w:t>
      </w:r>
      <w:r>
        <w:t>-</w:t>
      </w:r>
      <w:r w:rsidRPr="001C0478">
        <w:t>specific forums are providing opportunities for online chats</w:t>
      </w:r>
      <w:r>
        <w:t>.</w:t>
      </w:r>
      <w:r w:rsidRPr="001C0478">
        <w:t xml:space="preserve"> </w:t>
      </w:r>
      <w:r>
        <w:t>H</w:t>
      </w:r>
      <w:r w:rsidRPr="001C0478">
        <w:t>owever</w:t>
      </w:r>
      <w:r>
        <w:t>,</w:t>
      </w:r>
      <w:r w:rsidRPr="001C0478">
        <w:t xml:space="preserve"> they tend to be non-moderated</w:t>
      </w:r>
      <w:r>
        <w:t xml:space="preserve"> (without facilitation and rules for engagement)</w:t>
      </w:r>
      <w:r w:rsidRPr="001C0478">
        <w:t>. Structured forums with peer facilitation, guided safety recommendations and principles of engagement are one area of support that could be explored further</w:t>
      </w:r>
      <w:r>
        <w:t>, possibly with an existing organisation such as SANE</w:t>
      </w:r>
      <w:r w:rsidRPr="001C0478">
        <w:t>.</w:t>
      </w:r>
    </w:p>
    <w:p w14:paraId="37BC4B8B" w14:textId="25252F45" w:rsidR="00373141" w:rsidRPr="005400DA" w:rsidRDefault="00373141" w:rsidP="00373141">
      <w:r w:rsidRPr="001C0478">
        <w:t>Evidence o</w:t>
      </w:r>
      <w:r>
        <w:t>n</w:t>
      </w:r>
      <w:r w:rsidRPr="001C0478">
        <w:t xml:space="preserve"> the role of videoconferencing highlights its effectiveness and potential to reach those who are geographically or socially isolated. Despite concerns that videoconferencing </w:t>
      </w:r>
      <w:r>
        <w:t>may have</w:t>
      </w:r>
      <w:r w:rsidRPr="001C0478">
        <w:t xml:space="preserve"> a negative impact on the therapeutic alliance</w:t>
      </w:r>
      <w:r>
        <w:t>,</w:t>
      </w:r>
      <w:r w:rsidRPr="001C0478">
        <w:t xml:space="preserve"> research suggests that this is not the case. For practitioners and policy makers this result is quite profound when coupled with the </w:t>
      </w:r>
      <w:r>
        <w:t>Transition and Wellbeing Research Program</w:t>
      </w:r>
      <w:r w:rsidR="003154E4">
        <w:t>me</w:t>
      </w:r>
      <w:r>
        <w:t xml:space="preserve"> </w:t>
      </w:r>
      <w:r w:rsidRPr="001C0478">
        <w:t xml:space="preserve">study results indicating that </w:t>
      </w:r>
      <w:r>
        <w:t>30%</w:t>
      </w:r>
      <w:r w:rsidRPr="001C0478">
        <w:t xml:space="preserve"> of Transitioned ADF and</w:t>
      </w:r>
      <w:r>
        <w:t xml:space="preserve"> 2015</w:t>
      </w:r>
      <w:r w:rsidRPr="001C0478">
        <w:t xml:space="preserve"> Regular ADF would like to receive their services online. This approach has usually been put forward as a cost-efficient means of delivering services but it is clear from the </w:t>
      </w:r>
      <w:r>
        <w:t xml:space="preserve">data </w:t>
      </w:r>
      <w:r w:rsidRPr="001C0478">
        <w:t xml:space="preserve">that it is also seen as convenient, non-stigmatising and an opportunity to provide choice about how and where the service is delivered. </w:t>
      </w:r>
      <w:r>
        <w:t>The q</w:t>
      </w:r>
      <w:r w:rsidRPr="001C0478">
        <w:t xml:space="preserve">uality of the service is </w:t>
      </w:r>
      <w:r>
        <w:t>especially</w:t>
      </w:r>
      <w:r w:rsidRPr="001C0478">
        <w:t xml:space="preserve"> important</w:t>
      </w:r>
      <w:r>
        <w:t>,</w:t>
      </w:r>
      <w:r w:rsidRPr="001C0478">
        <w:t xml:space="preserve"> and telehealth in Australia is rapidly improving and will continue to improve with </w:t>
      </w:r>
      <w:r>
        <w:t xml:space="preserve">the </w:t>
      </w:r>
      <w:r w:rsidRPr="001C0478">
        <w:t>roll</w:t>
      </w:r>
      <w:r>
        <w:t>-</w:t>
      </w:r>
      <w:r w:rsidRPr="001C0478">
        <w:t>out of the National Broadband Network and greater diversity of services supported by the Digital Transformation Office</w:t>
      </w:r>
      <w:r>
        <w:t xml:space="preserve"> and the Digital Health Agency</w:t>
      </w:r>
      <w:r w:rsidRPr="001C0478">
        <w:t>.</w:t>
      </w:r>
    </w:p>
    <w:p w14:paraId="4DAAE445" w14:textId="77777777" w:rsidR="00373141" w:rsidRPr="001C0478" w:rsidRDefault="00373141" w:rsidP="00103AB1">
      <w:pPr>
        <w:keepLines/>
      </w:pPr>
      <w:r>
        <w:t xml:space="preserve">This study </w:t>
      </w:r>
      <w:r w:rsidRPr="001C0478">
        <w:t>clearly highlights the importance of choice, a demand for a variety of solutions that support access to care</w:t>
      </w:r>
      <w:r>
        <w:t>,</w:t>
      </w:r>
      <w:r w:rsidRPr="001C0478">
        <w:t xml:space="preserve"> and the importance of </w:t>
      </w:r>
      <w:r>
        <w:t>face-to-face</w:t>
      </w:r>
      <w:r w:rsidRPr="001C0478">
        <w:t xml:space="preserve"> contact. While a</w:t>
      </w:r>
      <w:r>
        <w:t>pproximately</w:t>
      </w:r>
      <w:r w:rsidRPr="001C0478">
        <w:t xml:space="preserve"> </w:t>
      </w:r>
      <w:r>
        <w:t>30%</w:t>
      </w:r>
      <w:r w:rsidRPr="001C0478">
        <w:t xml:space="preserve"> of the Transitioned ADF and the </w:t>
      </w:r>
      <w:r>
        <w:t xml:space="preserve">2015 </w:t>
      </w:r>
      <w:r w:rsidRPr="001C0478">
        <w:t xml:space="preserve">Regular ADF </w:t>
      </w:r>
      <w:r>
        <w:t xml:space="preserve">indicated that they </w:t>
      </w:r>
      <w:r w:rsidRPr="001C0478">
        <w:t>would respond well to flexible care packages</w:t>
      </w:r>
      <w:r>
        <w:t>,</w:t>
      </w:r>
      <w:r w:rsidRPr="001C0478">
        <w:t xml:space="preserve"> the majority </w:t>
      </w:r>
      <w:r>
        <w:t>preferred</w:t>
      </w:r>
      <w:r w:rsidRPr="001C0478">
        <w:t xml:space="preserve"> </w:t>
      </w:r>
      <w:r>
        <w:t>face-to-face</w:t>
      </w:r>
      <w:r w:rsidRPr="001C0478">
        <w:t xml:space="preserve"> contact.</w:t>
      </w:r>
    </w:p>
    <w:p w14:paraId="3003FD90" w14:textId="77777777" w:rsidR="00373141" w:rsidRPr="001C0478" w:rsidRDefault="00373141" w:rsidP="00373141">
      <w:pPr>
        <w:pStyle w:val="Heading3"/>
        <w:numPr>
          <w:ilvl w:val="2"/>
          <w:numId w:val="1"/>
        </w:numPr>
      </w:pPr>
      <w:bookmarkStart w:id="1334" w:name="_Toc518566488"/>
      <w:bookmarkStart w:id="1335" w:name="_Toc528932766"/>
      <w:bookmarkStart w:id="1336" w:name="_Toc531859303"/>
      <w:r w:rsidRPr="001C0478">
        <w:t>Stigma, beliefs about mental health treatment and barriers to care</w:t>
      </w:r>
      <w:bookmarkEnd w:id="1334"/>
      <w:bookmarkEnd w:id="1335"/>
      <w:bookmarkEnd w:id="1336"/>
    </w:p>
    <w:p w14:paraId="242356A1" w14:textId="4CCD49EB" w:rsidR="00373141" w:rsidRPr="001C0478" w:rsidRDefault="00373141" w:rsidP="00373141">
      <w:r w:rsidRPr="001C0478">
        <w:t xml:space="preserve">While considerable effort in Australia has focused on mental health literacy and stigma reduction in civilian populations and the </w:t>
      </w:r>
      <w:r>
        <w:t>v</w:t>
      </w:r>
      <w:r w:rsidRPr="001C0478">
        <w:t xml:space="preserve">eteran and </w:t>
      </w:r>
      <w:r>
        <w:t>d</w:t>
      </w:r>
      <w:r w:rsidRPr="001C0478">
        <w:t xml:space="preserve">efence communities, one third of the Transitioned ADF and 2015 </w:t>
      </w:r>
      <w:r>
        <w:t>R</w:t>
      </w:r>
      <w:r w:rsidRPr="001C0478">
        <w:t>egular ADF hold four or more negative beliefs about seeking treatment for mental disorders. For those with a probable 30-day disorder</w:t>
      </w:r>
      <w:r>
        <w:t>,</w:t>
      </w:r>
      <w:r w:rsidRPr="001C0478">
        <w:t xml:space="preserve"> up to 50% hold four or more negative beliefs about seeking care</w:t>
      </w:r>
      <w:r>
        <w:t xml:space="preserve"> </w:t>
      </w:r>
      <w:r>
        <w:rPr>
          <w:noProof/>
        </w:rPr>
        <w:t>(</w:t>
      </w:r>
      <w:r w:rsidR="008B4128">
        <w:rPr>
          <w:noProof/>
        </w:rPr>
        <w:t>Forbes et</w:t>
      </w:r>
      <w:r w:rsidR="003154E4">
        <w:rPr>
          <w:noProof/>
        </w:rPr>
        <w:t> </w:t>
      </w:r>
      <w:r w:rsidR="008B4128">
        <w:rPr>
          <w:noProof/>
        </w:rPr>
        <w:t>al.</w:t>
      </w:r>
      <w:r w:rsidR="003154E4">
        <w:rPr>
          <w:noProof/>
        </w:rPr>
        <w:t>,</w:t>
      </w:r>
      <w:r w:rsidR="008B4128">
        <w:rPr>
          <w:noProof/>
        </w:rPr>
        <w:t xml:space="preserve"> 2018</w:t>
      </w:r>
      <w:r>
        <w:rPr>
          <w:noProof/>
        </w:rPr>
        <w:t>)</w:t>
      </w:r>
      <w:r w:rsidRPr="001C0478">
        <w:t xml:space="preserve">. </w:t>
      </w:r>
      <w:r w:rsidRPr="00EF5FB2">
        <w:t>Despite negative beliefs, many accessed support and were able to utilise evidence-based treatments</w:t>
      </w:r>
      <w:r>
        <w:t xml:space="preserve">. However, </w:t>
      </w:r>
      <w:r w:rsidRPr="00EF5FB2">
        <w:t>the impact on families, the psychological distress experienced by the individual, the challenges for peers and chain of command and the time taken to access evidence-based care all play a significant role in the overall workplace e</w:t>
      </w:r>
      <w:r w:rsidRPr="00504D7E">
        <w:t>nvironment, recovery</w:t>
      </w:r>
      <w:r>
        <w:t>-</w:t>
      </w:r>
      <w:r w:rsidRPr="00504D7E">
        <w:t>focused care and return to work if someone has been absent due to stress or mental illness.</w:t>
      </w:r>
    </w:p>
    <w:p w14:paraId="7ABF25BE" w14:textId="77777777" w:rsidR="00373141" w:rsidRPr="001C0478" w:rsidRDefault="00373141" w:rsidP="00373141">
      <w:r w:rsidRPr="001C0478">
        <w:t xml:space="preserve">Technology can potentially play a critical role in </w:t>
      </w:r>
      <w:r>
        <w:t xml:space="preserve">reducing stigmas and barriers to care through </w:t>
      </w:r>
      <w:r w:rsidRPr="001C0478">
        <w:t xml:space="preserve">creating </w:t>
      </w:r>
      <w:r>
        <w:t xml:space="preserve">clear and </w:t>
      </w:r>
      <w:r w:rsidRPr="001C0478">
        <w:t xml:space="preserve">consistent messages across multiple channels </w:t>
      </w:r>
      <w:r>
        <w:t>regarding issues such as self-help strategies and the availability and benefit of treatment. This includes messaging in</w:t>
      </w:r>
      <w:r w:rsidRPr="001C0478">
        <w:t xml:space="preserve"> online environment</w:t>
      </w:r>
      <w:r>
        <w:t>s</w:t>
      </w:r>
      <w:r w:rsidRPr="001C0478">
        <w:t xml:space="preserve"> but also as embedded communications in </w:t>
      </w:r>
      <w:r>
        <w:t xml:space="preserve">face-to-face </w:t>
      </w:r>
      <w:r w:rsidRPr="001C0478">
        <w:t xml:space="preserve">services used by </w:t>
      </w:r>
      <w:r>
        <w:t xml:space="preserve">serving and ex-serving </w:t>
      </w:r>
      <w:r w:rsidRPr="001C0478">
        <w:t xml:space="preserve">military personnel. For example, the Defence and DVA High Res website and </w:t>
      </w:r>
      <w:r>
        <w:t>app</w:t>
      </w:r>
      <w:r w:rsidRPr="001C0478">
        <w:t xml:space="preserve"> and the Right Mix suite of resources could all be promoted as helpful self-management tools during standard primary health care consultations, alongside the promotion of stories of recovery, simple and appropriate pathways to care and evidence-based treatments backed by both professionals and those with a lived experience. Good examples of current initiatives that promote word</w:t>
      </w:r>
      <w:r>
        <w:t>-</w:t>
      </w:r>
      <w:r w:rsidRPr="001C0478">
        <w:t>of</w:t>
      </w:r>
      <w:r>
        <w:t>-</w:t>
      </w:r>
      <w:r w:rsidRPr="001C0478">
        <w:t xml:space="preserve">mouth mental health literacy include the </w:t>
      </w:r>
      <w:r>
        <w:t xml:space="preserve">Defence annual Mental Health Day activities, the </w:t>
      </w:r>
      <w:r w:rsidRPr="001C0478">
        <w:t>A</w:t>
      </w:r>
      <w:r>
        <w:t>t</w:t>
      </w:r>
      <w:r w:rsidRPr="001C0478">
        <w:t xml:space="preserve"> Ease suite of resources developed by Defence </w:t>
      </w:r>
      <w:r>
        <w:t xml:space="preserve">and DVA, </w:t>
      </w:r>
      <w:r w:rsidRPr="001C0478">
        <w:t xml:space="preserve">and the </w:t>
      </w:r>
      <w:r>
        <w:t xml:space="preserve">Open Arms </w:t>
      </w:r>
      <w:r w:rsidRPr="001C0478">
        <w:t xml:space="preserve">series of </w:t>
      </w:r>
      <w:r>
        <w:t>w</w:t>
      </w:r>
      <w:r w:rsidRPr="001C0478">
        <w:t>ebinars covering a variety of topics such as PTSD, suicide prevention and peer</w:t>
      </w:r>
      <w:r>
        <w:t>-</w:t>
      </w:r>
      <w:r w:rsidRPr="001C0478">
        <w:t>to</w:t>
      </w:r>
      <w:r>
        <w:t>-</w:t>
      </w:r>
      <w:r w:rsidRPr="001C0478">
        <w:t>peer support.</w:t>
      </w:r>
      <w:r>
        <w:t xml:space="preserve"> Ongoing </w:t>
      </w:r>
      <w:r w:rsidRPr="001C0478">
        <w:t xml:space="preserve">attention should be given to how wellbeing and mental fitness are promoted in the context of </w:t>
      </w:r>
      <w:r>
        <w:t xml:space="preserve">all stages of a </w:t>
      </w:r>
      <w:r w:rsidRPr="001C0478">
        <w:t xml:space="preserve">military </w:t>
      </w:r>
      <w:r>
        <w:t xml:space="preserve">career, </w:t>
      </w:r>
      <w:r w:rsidRPr="001C0478">
        <w:t>with a focus on strengths and capacity, and the critical importance of early help seeking in models of recovery.</w:t>
      </w:r>
    </w:p>
    <w:p w14:paraId="1217E043" w14:textId="77777777" w:rsidR="00373141" w:rsidRPr="001C0478" w:rsidRDefault="00373141" w:rsidP="00373141">
      <w:pPr>
        <w:pStyle w:val="Heading2"/>
        <w:numPr>
          <w:ilvl w:val="1"/>
          <w:numId w:val="1"/>
        </w:numPr>
        <w:ind w:left="720" w:hanging="720"/>
      </w:pPr>
      <w:bookmarkStart w:id="1337" w:name="_Toc518566489"/>
      <w:bookmarkStart w:id="1338" w:name="_Toc528932767"/>
      <w:bookmarkStart w:id="1339" w:name="_Toc531859304"/>
      <w:r w:rsidRPr="001C0478">
        <w:t xml:space="preserve">Concluding </w:t>
      </w:r>
      <w:r>
        <w:t>r</w:t>
      </w:r>
      <w:r w:rsidRPr="001C0478">
        <w:t>emarks</w:t>
      </w:r>
      <w:bookmarkEnd w:id="1337"/>
      <w:bookmarkEnd w:id="1338"/>
      <w:bookmarkEnd w:id="1339"/>
      <w:r w:rsidRPr="001C0478">
        <w:t xml:space="preserve"> </w:t>
      </w:r>
    </w:p>
    <w:p w14:paraId="39033618" w14:textId="77777777" w:rsidR="00373141" w:rsidRDefault="00373141" w:rsidP="00373141">
      <w:r w:rsidRPr="001C0478">
        <w:t>Increasingly, we have seen the Australian Government embrace technology, with the establishment of a</w:t>
      </w:r>
      <w:r>
        <w:t xml:space="preserve"> </w:t>
      </w:r>
      <w:r w:rsidRPr="001C0478">
        <w:t>Digital Transformation Agency</w:t>
      </w:r>
      <w:r>
        <w:t xml:space="preserve"> </w:t>
      </w:r>
      <w:r w:rsidRPr="001C0478">
        <w:t xml:space="preserve">and the Digital Service Standard </w:t>
      </w:r>
      <w:r>
        <w:rPr>
          <w:noProof/>
        </w:rPr>
        <w:t>(Australian Government Digital Health Agency, 2018b)</w:t>
      </w:r>
      <w:r>
        <w:t>,</w:t>
      </w:r>
      <w:r w:rsidRPr="001C0478">
        <w:rPr>
          <w:vertAlign w:val="superscript"/>
        </w:rPr>
        <w:t xml:space="preserve"> </w:t>
      </w:r>
      <w:r w:rsidRPr="001C0478">
        <w:t>responsible for cross</w:t>
      </w:r>
      <w:r>
        <w:t>-</w:t>
      </w:r>
      <w:r w:rsidRPr="001C0478">
        <w:t>portfolio collaboration</w:t>
      </w:r>
      <w:r>
        <w:t xml:space="preserve">. </w:t>
      </w:r>
      <w:bookmarkEnd w:id="1288"/>
      <w:r w:rsidRPr="001C0478">
        <w:t>Likewise, the Defence Mental Health and Wellbeing Strategy and the DVA Mental Health Strategy position the person at the centre of care with a focus on whole of person, whole of life. Innovation has promised many things, and in retail, banking, hospitality and travel we have seen significant disruption</w:t>
      </w:r>
      <w:r>
        <w:t xml:space="preserve"> with the introduction of online shopping and banking and the introduction of new service models such as Uber and Airbnb</w:t>
      </w:r>
      <w:r w:rsidRPr="001C0478">
        <w:t>. This shift has not occurred in health services and</w:t>
      </w:r>
      <w:r>
        <w:t>,</w:t>
      </w:r>
      <w:r w:rsidRPr="001C0478">
        <w:t xml:space="preserve"> while </w:t>
      </w:r>
      <w:r>
        <w:t xml:space="preserve">this </w:t>
      </w:r>
      <w:r w:rsidRPr="001C0478">
        <w:t xml:space="preserve">study showcases a readiness </w:t>
      </w:r>
      <w:r>
        <w:t xml:space="preserve">for it </w:t>
      </w:r>
      <w:r w:rsidRPr="001C0478">
        <w:t xml:space="preserve">and an uptake </w:t>
      </w:r>
      <w:r>
        <w:t xml:space="preserve">of technology, </w:t>
      </w:r>
      <w:r w:rsidRPr="001C0478">
        <w:t>in digital health we will see maximum impact in the next decade in mental health reform only if attention is given to both empowering individuals to use technologies to manage their own mental health and wellbeing and integrating digital health solutions (including onl</w:t>
      </w:r>
      <w:r>
        <w:t>ine interventions) with face-to-face</w:t>
      </w:r>
      <w:r w:rsidRPr="001C0478">
        <w:t xml:space="preserve"> services in system</w:t>
      </w:r>
      <w:r>
        <w:t>-</w:t>
      </w:r>
      <w:r w:rsidRPr="001C0478">
        <w:t>wide reform. Most of the literature in peer</w:t>
      </w:r>
      <w:r>
        <w:t>-</w:t>
      </w:r>
      <w:r w:rsidRPr="001C0478">
        <w:t xml:space="preserve">reviewed publications describes the development, implementation and evaluation of single interventions in isolation. </w:t>
      </w:r>
      <w:r w:rsidRPr="003057E9">
        <w:t xml:space="preserve">In the context of serving and ex-serving ADF members, DVA Evidence Compass Rapid Reviews have highlighted the role of telemedicine (Muir, </w:t>
      </w:r>
      <w:r w:rsidRPr="00B41BE0">
        <w:rPr>
          <w:noProof/>
        </w:rPr>
        <w:t>Meyer, &amp; Thomas</w:t>
      </w:r>
      <w:r w:rsidRPr="003057E9">
        <w:t xml:space="preserve">, 2017) and stepped care (O’Donnell et al., 2014), </w:t>
      </w:r>
      <w:r w:rsidRPr="001C0478">
        <w:t>but one very important question</w:t>
      </w:r>
      <w:r>
        <w:t xml:space="preserve"> – </w:t>
      </w:r>
      <w:r w:rsidRPr="001C0478">
        <w:t xml:space="preserve">and an opportunity for </w:t>
      </w:r>
      <w:r>
        <w:t>d</w:t>
      </w:r>
      <w:r w:rsidRPr="001C0478">
        <w:t>efence</w:t>
      </w:r>
      <w:r>
        <w:t>-</w:t>
      </w:r>
      <w:r w:rsidRPr="001C0478">
        <w:t xml:space="preserve"> and </w:t>
      </w:r>
      <w:r>
        <w:t>v</w:t>
      </w:r>
      <w:r w:rsidRPr="001C0478">
        <w:t>eteran</w:t>
      </w:r>
      <w:r>
        <w:t>-</w:t>
      </w:r>
      <w:r w:rsidRPr="001C0478">
        <w:t xml:space="preserve">specific services </w:t>
      </w:r>
      <w:r>
        <w:t xml:space="preserve">– </w:t>
      </w:r>
      <w:r w:rsidRPr="001C0478">
        <w:t>is</w:t>
      </w:r>
      <w:r>
        <w:t>:</w:t>
      </w:r>
      <w:r w:rsidRPr="001C0478">
        <w:t xml:space="preserve"> How can e-mental health interventions be integrated into current services? Given the challenges, particularly in relation to transition from the ADF to civilian life, the seamless management of health care between and across </w:t>
      </w:r>
      <w:r>
        <w:t>Joint Health Command</w:t>
      </w:r>
      <w:r w:rsidRPr="001C0478">
        <w:t xml:space="preserve"> and </w:t>
      </w:r>
      <w:r>
        <w:t>Open Arms</w:t>
      </w:r>
      <w:r w:rsidRPr="001C0478">
        <w:t xml:space="preserve"> provides an opportunity to implement evidence</w:t>
      </w:r>
      <w:r>
        <w:t>-</w:t>
      </w:r>
      <w:r w:rsidRPr="001C0478">
        <w:t>based digital health solutions, and to test those innovations that could make participatory health a reality for current and ex-serving personnel.</w:t>
      </w:r>
    </w:p>
    <w:p w14:paraId="4B3F02B2" w14:textId="77777777" w:rsidR="00373141" w:rsidRPr="00BC6BFB" w:rsidRDefault="00373141" w:rsidP="00373141">
      <w:pPr>
        <w:rPr>
          <w:rFonts w:asciiTheme="minorHAnsi" w:eastAsia="Times New Roman" w:hAnsiTheme="minorHAnsi"/>
          <w:szCs w:val="22"/>
        </w:rPr>
      </w:pPr>
      <w:r>
        <w:rPr>
          <w:rFonts w:asciiTheme="minorHAnsi" w:eastAsia="MS ??" w:hAnsiTheme="minorHAnsi"/>
          <w:szCs w:val="22"/>
        </w:rPr>
        <w:t>Areas where technology could play a role in supporting the integration and coordination of services that require further exploration</w:t>
      </w:r>
      <w:r w:rsidRPr="00BC6BFB">
        <w:rPr>
          <w:rFonts w:asciiTheme="minorHAnsi" w:eastAsia="MS ??" w:hAnsiTheme="minorHAnsi"/>
          <w:szCs w:val="22"/>
        </w:rPr>
        <w:t xml:space="preserve"> are</w:t>
      </w:r>
      <w:r>
        <w:rPr>
          <w:rFonts w:asciiTheme="minorHAnsi" w:eastAsia="MS ??" w:hAnsiTheme="minorHAnsi"/>
          <w:szCs w:val="22"/>
        </w:rPr>
        <w:t>:</w:t>
      </w:r>
      <w:r w:rsidRPr="00BC6BFB">
        <w:rPr>
          <w:rFonts w:asciiTheme="minorHAnsi" w:eastAsia="MS ??" w:hAnsiTheme="minorHAnsi"/>
          <w:szCs w:val="22"/>
        </w:rPr>
        <w:t xml:space="preserve"> </w:t>
      </w:r>
    </w:p>
    <w:p w14:paraId="4B57478C" w14:textId="77777777" w:rsidR="00373141" w:rsidRPr="001C0478" w:rsidRDefault="00373141" w:rsidP="00373141">
      <w:pPr>
        <w:pStyle w:val="Bullet"/>
        <w:numPr>
          <w:ilvl w:val="0"/>
          <w:numId w:val="3"/>
        </w:numPr>
        <w:ind w:left="360"/>
      </w:pPr>
      <w:r w:rsidRPr="001C0478">
        <w:t>taking a holistic approach to wellness (cultural, spiritual, emotional, social, physical and mental health)</w:t>
      </w:r>
      <w:r>
        <w:t>, including the development and implementation of wellbeing plans for all military personnel</w:t>
      </w:r>
    </w:p>
    <w:p w14:paraId="6E609A60" w14:textId="77777777" w:rsidR="00373141" w:rsidRPr="001C0478" w:rsidRDefault="00373141" w:rsidP="00373141">
      <w:pPr>
        <w:pStyle w:val="Bullet"/>
        <w:numPr>
          <w:ilvl w:val="0"/>
          <w:numId w:val="3"/>
        </w:numPr>
        <w:ind w:left="360"/>
      </w:pPr>
      <w:r>
        <w:t>o</w:t>
      </w:r>
      <w:r w:rsidRPr="001C0478">
        <w:t xml:space="preserve">ngoing and coordinated care throughout the stages of </w:t>
      </w:r>
      <w:r>
        <w:t>career</w:t>
      </w:r>
      <w:r w:rsidRPr="001C0478">
        <w:t xml:space="preserve"> (recruitment, service, conditioning, deployment, post-deployment</w:t>
      </w:r>
      <w:r>
        <w:t xml:space="preserve"> and</w:t>
      </w:r>
      <w:r w:rsidRPr="001C0478">
        <w:t xml:space="preserve"> transition </w:t>
      </w:r>
      <w:r>
        <w:t>into</w:t>
      </w:r>
      <w:r w:rsidRPr="001C0478">
        <w:t xml:space="preserve"> civilian life)</w:t>
      </w:r>
    </w:p>
    <w:p w14:paraId="0B0F50E3" w14:textId="77777777" w:rsidR="00373141" w:rsidRPr="001C0478" w:rsidRDefault="00373141" w:rsidP="00373141">
      <w:pPr>
        <w:pStyle w:val="Bullet"/>
        <w:numPr>
          <w:ilvl w:val="0"/>
          <w:numId w:val="3"/>
        </w:numPr>
        <w:ind w:left="360"/>
      </w:pPr>
      <w:r w:rsidRPr="001C0478">
        <w:t>shared</w:t>
      </w:r>
      <w:r>
        <w:t xml:space="preserve"> </w:t>
      </w:r>
      <w:r w:rsidRPr="001C0478">
        <w:t>responsibility for mental health and wellbeing</w:t>
      </w:r>
      <w:r>
        <w:t xml:space="preserve"> –</w:t>
      </w:r>
      <w:r w:rsidRPr="001C0478">
        <w:t xml:space="preserve"> which includes </w:t>
      </w:r>
      <w:r>
        <w:t>increased agency and autonomy for individuals while they engage</w:t>
      </w:r>
      <w:r w:rsidRPr="001C0478">
        <w:t xml:space="preserve"> wrap</w:t>
      </w:r>
      <w:r>
        <w:t>-</w:t>
      </w:r>
      <w:r w:rsidRPr="001C0478">
        <w:t xml:space="preserve">around support </w:t>
      </w:r>
      <w:r>
        <w:t>through</w:t>
      </w:r>
      <w:r w:rsidRPr="001C0478">
        <w:t xml:space="preserve"> the inclusion of family and the community in which </w:t>
      </w:r>
      <w:r>
        <w:t>they</w:t>
      </w:r>
      <w:r w:rsidRPr="001C0478">
        <w:t xml:space="preserve"> live and work</w:t>
      </w:r>
      <w:r>
        <w:t xml:space="preserve"> – and implementation with shared management plans</w:t>
      </w:r>
      <w:r w:rsidRPr="001C0478">
        <w:t xml:space="preserve"> </w:t>
      </w:r>
    </w:p>
    <w:p w14:paraId="659EB941" w14:textId="77777777" w:rsidR="00373141" w:rsidRPr="001C0478" w:rsidRDefault="00373141" w:rsidP="00373141">
      <w:pPr>
        <w:pStyle w:val="Bullet"/>
        <w:numPr>
          <w:ilvl w:val="0"/>
          <w:numId w:val="3"/>
        </w:numPr>
        <w:ind w:left="360"/>
      </w:pPr>
      <w:r w:rsidRPr="001C0478">
        <w:t>a whole</w:t>
      </w:r>
      <w:r>
        <w:t>-</w:t>
      </w:r>
      <w:r w:rsidRPr="001C0478">
        <w:t>of</w:t>
      </w:r>
      <w:r>
        <w:t>-</w:t>
      </w:r>
      <w:r w:rsidRPr="001C0478">
        <w:t>organisation system that works across the Navy, Army and Air</w:t>
      </w:r>
      <w:r>
        <w:t xml:space="preserve"> F</w:t>
      </w:r>
      <w:r w:rsidRPr="001C0478">
        <w:t>orce, including a focus on</w:t>
      </w:r>
      <w:r>
        <w:t xml:space="preserve"> transition into civilian life</w:t>
      </w:r>
    </w:p>
    <w:p w14:paraId="1535D393" w14:textId="77777777" w:rsidR="00373141" w:rsidRPr="001C0478" w:rsidRDefault="00373141" w:rsidP="00373141">
      <w:pPr>
        <w:pStyle w:val="Bullet"/>
        <w:numPr>
          <w:ilvl w:val="0"/>
          <w:numId w:val="3"/>
        </w:numPr>
        <w:ind w:left="360"/>
      </w:pPr>
      <w:r w:rsidRPr="001C0478">
        <w:t xml:space="preserve">integrated monitoring and improving performance </w:t>
      </w:r>
      <w:r>
        <w:t>through c</w:t>
      </w:r>
      <w:r w:rsidRPr="001C0478">
        <w:t xml:space="preserve">ontinuous </w:t>
      </w:r>
      <w:r>
        <w:t>i</w:t>
      </w:r>
      <w:r w:rsidRPr="001C0478">
        <w:t>mprovement</w:t>
      </w:r>
      <w:r>
        <w:t xml:space="preserve"> practices</w:t>
      </w:r>
    </w:p>
    <w:p w14:paraId="4D026387" w14:textId="77777777" w:rsidR="00373141" w:rsidRPr="001743E6" w:rsidRDefault="00373141" w:rsidP="00373141">
      <w:pPr>
        <w:pStyle w:val="Bullet"/>
        <w:numPr>
          <w:ilvl w:val="0"/>
          <w:numId w:val="3"/>
        </w:numPr>
        <w:ind w:left="360"/>
      </w:pPr>
      <w:r>
        <w:t>building through the use of digital assets a</w:t>
      </w:r>
      <w:r w:rsidRPr="001C0478">
        <w:t xml:space="preserve"> trusted brand and an environment that promotes early help seeking.</w:t>
      </w:r>
    </w:p>
    <w:p w14:paraId="6FB10390" w14:textId="77777777" w:rsidR="00373141" w:rsidRPr="001743E6" w:rsidRDefault="00373141" w:rsidP="00373141">
      <w:r w:rsidRPr="001C0478">
        <w:t>Underpinning these principles is the need to have impact across four areas</w:t>
      </w:r>
      <w:r>
        <w:t>:</w:t>
      </w:r>
    </w:p>
    <w:p w14:paraId="74E29D20" w14:textId="77777777" w:rsidR="00373141" w:rsidRPr="001C0478" w:rsidRDefault="00373141" w:rsidP="00373141">
      <w:pPr>
        <w:pStyle w:val="Bullet"/>
        <w:numPr>
          <w:ilvl w:val="0"/>
          <w:numId w:val="3"/>
        </w:numPr>
        <w:ind w:left="360"/>
      </w:pPr>
      <w:r>
        <w:t>i</w:t>
      </w:r>
      <w:r w:rsidRPr="001C0478">
        <w:t xml:space="preserve">mproved experience for </w:t>
      </w:r>
      <w:r>
        <w:t xml:space="preserve">serving and ex-serving ADF members </w:t>
      </w:r>
      <w:r w:rsidRPr="001C0478">
        <w:t>– with the aim to be seen as a partner in health care, with improved self-reported experience</w:t>
      </w:r>
      <w:r>
        <w:t>s</w:t>
      </w:r>
      <w:r w:rsidRPr="001C0478">
        <w:t xml:space="preserve"> of care </w:t>
      </w:r>
      <w:r w:rsidRPr="001C0478">
        <w:rPr>
          <w:rFonts w:ascii="MS Gothic" w:eastAsia="MS Gothic" w:hAnsi="MS Gothic" w:cs="MS Gothic"/>
        </w:rPr>
        <w:t> </w:t>
      </w:r>
    </w:p>
    <w:p w14:paraId="34B2D188" w14:textId="77777777" w:rsidR="00373141" w:rsidRPr="001C0478" w:rsidRDefault="00373141" w:rsidP="00373141">
      <w:pPr>
        <w:pStyle w:val="Bullet"/>
        <w:numPr>
          <w:ilvl w:val="0"/>
          <w:numId w:val="3"/>
        </w:numPr>
        <w:ind w:left="360"/>
      </w:pPr>
      <w:r>
        <w:t>b</w:t>
      </w:r>
      <w:r w:rsidRPr="001C0478">
        <w:t>etter outcomes – offering a solution that aims to drive early help seeking and support to appropriate mental health care with a focus on improved outcomes</w:t>
      </w:r>
      <w:r>
        <w:t>,</w:t>
      </w:r>
      <w:r w:rsidRPr="001C0478">
        <w:t xml:space="preserve"> including performance targets, indicators and data with research and evaluation built in</w:t>
      </w:r>
      <w:r>
        <w:t>to service models</w:t>
      </w:r>
    </w:p>
    <w:p w14:paraId="4B1D2074" w14:textId="77777777" w:rsidR="00373141" w:rsidRPr="001C0478" w:rsidRDefault="00373141" w:rsidP="00373141">
      <w:pPr>
        <w:pStyle w:val="Bullet"/>
        <w:numPr>
          <w:ilvl w:val="0"/>
          <w:numId w:val="3"/>
        </w:numPr>
        <w:ind w:left="360"/>
      </w:pPr>
      <w:r>
        <w:t>i</w:t>
      </w:r>
      <w:r w:rsidRPr="001C0478">
        <w:t>mproved workforce experience – a system of care with a workforce operating at ‘top of scope’ with a focus on attracting and retaining high</w:t>
      </w:r>
      <w:r>
        <w:t>-</w:t>
      </w:r>
      <w:r w:rsidRPr="001C0478">
        <w:t>quality skilled staff.</w:t>
      </w:r>
      <w:r>
        <w:t xml:space="preserve"> </w:t>
      </w:r>
      <w:r w:rsidRPr="001C0478">
        <w:t>Workforce training should include training in shared care, person-centred care and clinical staging and the use of t</w:t>
      </w:r>
      <w:r>
        <w:t>echnology as an adjunct to care</w:t>
      </w:r>
    </w:p>
    <w:p w14:paraId="3772D802" w14:textId="7F4AD93E" w:rsidR="00373141" w:rsidRPr="001C0478" w:rsidRDefault="00373141" w:rsidP="00373141">
      <w:pPr>
        <w:pStyle w:val="Bullet"/>
        <w:numPr>
          <w:ilvl w:val="0"/>
          <w:numId w:val="3"/>
        </w:numPr>
        <w:ind w:left="360"/>
      </w:pPr>
      <w:r>
        <w:t>l</w:t>
      </w:r>
      <w:r w:rsidRPr="001C0478">
        <w:t>ower cost per capita – through a model of stepped care and clinical staging, including the integration of technologies</w:t>
      </w:r>
      <w:r>
        <w:t>,</w:t>
      </w:r>
      <w:r w:rsidRPr="001C0478">
        <w:t xml:space="preserve"> aim</w:t>
      </w:r>
      <w:r w:rsidR="003154E4">
        <w:t>ing</w:t>
      </w:r>
      <w:r w:rsidRPr="001C0478">
        <w:t xml:space="preserve"> to reduce the cost per care episode by reducing waste and ensuring efficient care for the healthcare dollar. </w:t>
      </w:r>
    </w:p>
    <w:p w14:paraId="4BD5A4B6" w14:textId="77777777" w:rsidR="00373141" w:rsidRPr="001743E6" w:rsidRDefault="00373141" w:rsidP="00373141">
      <w:r w:rsidRPr="003057E9">
        <w:t>This report examined how the Transitioned ADF and 2015 Regular ADF use technology in the context of self-reported poor mental health and the complex interaction between barriers to access to care and stigmatising attitudes. The data presented in this report provides a unique opportunity for Defence and DVA to be thought leaders in the exploration and implementation of an integrated system of</w:t>
      </w:r>
      <w:r w:rsidRPr="001743E6">
        <w:rPr>
          <w:w w:val="104"/>
        </w:rPr>
        <w:t xml:space="preserve"> </w:t>
      </w:r>
      <w:r w:rsidRPr="003057E9">
        <w:t>care to better support the mental health and wellbeing of currently serving and ex-serving members of the ADF. This change, however, cannot be achieved alone, will take time and needs to be done in partnership with the broader health service system, the defence and veteran communities, industry and academia to create a continuous cycle of research driving practice and policy.</w:t>
      </w:r>
    </w:p>
    <w:p w14:paraId="5E1CA7BE" w14:textId="77777777" w:rsidR="003661B0" w:rsidRDefault="003661B0" w:rsidP="002A7F4E"/>
    <w:p w14:paraId="0C5C04C2" w14:textId="77777777" w:rsidR="003057E9" w:rsidRDefault="003057E9" w:rsidP="002A7F4E">
      <w:pPr>
        <w:sectPr w:rsidR="003057E9" w:rsidSect="002A7F4E">
          <w:footerReference w:type="even" r:id="rId167"/>
          <w:footerReference w:type="default" r:id="rId168"/>
          <w:pgSz w:w="9979" w:h="14170" w:code="243"/>
          <w:pgMar w:top="1440" w:right="1152" w:bottom="1440" w:left="1728" w:header="576" w:footer="576" w:gutter="0"/>
          <w:cols w:space="708"/>
          <w:docGrid w:linePitch="360"/>
        </w:sectPr>
      </w:pPr>
    </w:p>
    <w:p w14:paraId="412F4D0F" w14:textId="77777777" w:rsidR="00B903A5" w:rsidRPr="005B0796" w:rsidRDefault="00B903A5" w:rsidP="00B903A5">
      <w:pPr>
        <w:pStyle w:val="Heading1b"/>
        <w:numPr>
          <w:ilvl w:val="0"/>
          <w:numId w:val="11"/>
        </w:numPr>
        <w:ind w:left="2160" w:hanging="2160"/>
      </w:pPr>
      <w:bookmarkStart w:id="1340" w:name="_Toc341700577"/>
      <w:bookmarkStart w:id="1341" w:name="_Toc487011289"/>
      <w:bookmarkStart w:id="1342" w:name="_Toc493663184"/>
      <w:bookmarkStart w:id="1343" w:name="_Toc494449808"/>
      <w:bookmarkStart w:id="1344" w:name="_Toc518566490"/>
      <w:bookmarkStart w:id="1345" w:name="_Toc528932768"/>
      <w:bookmarkStart w:id="1346" w:name="_Toc531859305"/>
      <w:r w:rsidRPr="005B0796">
        <w:t>Mental Health and Wellbeing Transition Study method</w:t>
      </w:r>
      <w:bookmarkEnd w:id="1340"/>
      <w:bookmarkEnd w:id="1341"/>
      <w:bookmarkEnd w:id="1342"/>
      <w:bookmarkEnd w:id="1343"/>
      <w:bookmarkEnd w:id="1344"/>
      <w:bookmarkEnd w:id="1345"/>
      <w:bookmarkEnd w:id="1346"/>
    </w:p>
    <w:p w14:paraId="4EAC1655" w14:textId="77777777" w:rsidR="00B903A5" w:rsidRPr="005B0796" w:rsidRDefault="00B903A5" w:rsidP="00B903A5">
      <w:pPr>
        <w:rPr>
          <w:lang w:eastAsia="en-AU"/>
        </w:rPr>
      </w:pPr>
      <w:r w:rsidRPr="005B0796">
        <w:t xml:space="preserve">This </w:t>
      </w:r>
      <w:r w:rsidR="00374073">
        <w:t>annex</w:t>
      </w:r>
      <w:r w:rsidRPr="005B0796">
        <w:t xml:space="preserve"> outlines the study design, selection criteria, instrumentation, recruitment strategy and statistical procedures used for the Mental Health and Wellbeing Transition Study. Details of the Impact of Combat Study and the Family Wellbeing Study will be outlined in future reports.</w:t>
      </w:r>
    </w:p>
    <w:p w14:paraId="3AE1AB92" w14:textId="77777777" w:rsidR="00B903A5" w:rsidRPr="005B0796" w:rsidRDefault="00B903A5" w:rsidP="00B903A5">
      <w:pPr>
        <w:pStyle w:val="Heading2b"/>
        <w:numPr>
          <w:ilvl w:val="1"/>
          <w:numId w:val="11"/>
        </w:numPr>
      </w:pPr>
      <w:bookmarkStart w:id="1347" w:name="_Toc487011290"/>
      <w:bookmarkStart w:id="1348" w:name="_Toc493663185"/>
      <w:r w:rsidRPr="005B0796">
        <w:t>Summary of the research</w:t>
      </w:r>
      <w:bookmarkEnd w:id="1347"/>
      <w:bookmarkEnd w:id="1348"/>
    </w:p>
    <w:p w14:paraId="7E7FE111" w14:textId="77777777" w:rsidR="00B903A5" w:rsidRPr="005B0796" w:rsidRDefault="00B903A5" w:rsidP="00B903A5">
      <w:r w:rsidRPr="005B0796">
        <w:t xml:space="preserve">The Transition and Wellbeing Research Programme is a joint research initiative of the Department of Veterans’ Affairs (DVA) and the Department of Defence (Defence) to examine the impact of contemporary military service on the mental, physical and social health of </w:t>
      </w:r>
      <w:r>
        <w:t>s</w:t>
      </w:r>
      <w:r w:rsidRPr="005B0796">
        <w:t xml:space="preserve">erving and </w:t>
      </w:r>
      <w:r>
        <w:t>e</w:t>
      </w:r>
      <w:r w:rsidRPr="005B0796">
        <w:t>x-</w:t>
      </w:r>
      <w:r>
        <w:t>s</w:t>
      </w:r>
      <w:r w:rsidRPr="005B0796">
        <w:t xml:space="preserve">erving Australian Defence Force (ADF) members and their families. It builds on previous research and will inform effective and evidence-based health and mental health service provision. </w:t>
      </w:r>
    </w:p>
    <w:p w14:paraId="0AEA5200" w14:textId="77777777" w:rsidR="00B903A5" w:rsidRPr="005B0796" w:rsidRDefault="00B903A5" w:rsidP="00B903A5">
      <w:r w:rsidRPr="005B0796">
        <w:t>The Programme was conducted by a consortium of six of Australia’s leading research institutions, led by the Centre for Traumatic Stress Studies (CTSS) at the University of Adelaide and the Australian Institute of Family Studies. The consortium included researchers from Phoenix Australia: Centre for Posttraumatic Mental Health, the University of New South Wales, Monash University and the University of Sydney.</w:t>
      </w:r>
    </w:p>
    <w:p w14:paraId="5A587130" w14:textId="77777777" w:rsidR="00B903A5" w:rsidRPr="005B0796" w:rsidRDefault="00B903A5" w:rsidP="00B903A5">
      <w:r w:rsidRPr="005B0796">
        <w:t xml:space="preserve">The 2010 Military Health Outcomes Program (MilHOP) detailed the prevalence of mental disorder in the 2010 Regular ADF and deployment-related health issues for those deployed to the Middle East Area of Operations (MEAO) between 2010 and 2012. Following the MilHOP, several research gaps were identified, including the mental health of </w:t>
      </w:r>
      <w:r>
        <w:t>e</w:t>
      </w:r>
      <w:r w:rsidRPr="005B0796">
        <w:t>x-</w:t>
      </w:r>
      <w:r>
        <w:t>s</w:t>
      </w:r>
      <w:r w:rsidRPr="005B0796">
        <w:t>erving ADF members, Reservists, family members and ADF members in high-risk roles, as well as the course of mental disorders and pathways to care for individuals over time.</w:t>
      </w:r>
    </w:p>
    <w:p w14:paraId="0DFB1834" w14:textId="77777777" w:rsidR="00B903A5" w:rsidRPr="005B0796" w:rsidRDefault="00B903A5" w:rsidP="00B903A5">
      <w:r w:rsidRPr="005B0796">
        <w:t>The Programme aimed to address these research gaps in three separate but related studies:</w:t>
      </w:r>
    </w:p>
    <w:p w14:paraId="74DC4D97" w14:textId="77777777" w:rsidR="00B903A5" w:rsidRPr="005B0796" w:rsidRDefault="00B903A5" w:rsidP="00D268F6">
      <w:pPr>
        <w:pStyle w:val="Bullet"/>
        <w:numPr>
          <w:ilvl w:val="0"/>
          <w:numId w:val="3"/>
        </w:numPr>
        <w:spacing w:after="160"/>
        <w:ind w:left="360"/>
      </w:pPr>
      <w:r w:rsidRPr="005B0796">
        <w:t>Mental Health and Wellbeing Transition Study</w:t>
      </w:r>
    </w:p>
    <w:p w14:paraId="42999DBB" w14:textId="77777777" w:rsidR="00B903A5" w:rsidRPr="005B0796" w:rsidRDefault="00B903A5" w:rsidP="00D268F6">
      <w:pPr>
        <w:pStyle w:val="Bullet"/>
        <w:numPr>
          <w:ilvl w:val="0"/>
          <w:numId w:val="3"/>
        </w:numPr>
        <w:spacing w:after="160"/>
        <w:ind w:left="360"/>
      </w:pPr>
      <w:r w:rsidRPr="005B0796">
        <w:t>Impact of Combat Study</w:t>
      </w:r>
    </w:p>
    <w:p w14:paraId="1A44DCC9" w14:textId="77777777" w:rsidR="00B903A5" w:rsidRPr="005B0796" w:rsidRDefault="00B903A5" w:rsidP="00B903A5">
      <w:pPr>
        <w:pStyle w:val="Bullet"/>
        <w:numPr>
          <w:ilvl w:val="0"/>
          <w:numId w:val="3"/>
        </w:numPr>
        <w:ind w:left="360"/>
      </w:pPr>
      <w:r w:rsidRPr="005B0796">
        <w:t>Family Wellbeing Study.</w:t>
      </w:r>
    </w:p>
    <w:p w14:paraId="5ED6DA4B" w14:textId="77777777" w:rsidR="00B903A5" w:rsidRPr="005B0796" w:rsidRDefault="00B903A5" w:rsidP="00B903A5">
      <w:pPr>
        <w:pStyle w:val="Heading2b"/>
        <w:numPr>
          <w:ilvl w:val="1"/>
          <w:numId w:val="11"/>
        </w:numPr>
      </w:pPr>
      <w:bookmarkStart w:id="1349" w:name="_Toc482021442"/>
      <w:bookmarkStart w:id="1350" w:name="_Toc482024533"/>
      <w:bookmarkStart w:id="1351" w:name="_Toc484594355"/>
      <w:bookmarkStart w:id="1352" w:name="_Toc487011291"/>
      <w:bookmarkStart w:id="1353" w:name="_Toc493663186"/>
      <w:r w:rsidRPr="005B0796">
        <w:t>Aims of the Programme</w:t>
      </w:r>
      <w:bookmarkEnd w:id="1349"/>
      <w:bookmarkEnd w:id="1350"/>
      <w:bookmarkEnd w:id="1351"/>
      <w:bookmarkEnd w:id="1352"/>
      <w:bookmarkEnd w:id="1353"/>
    </w:p>
    <w:p w14:paraId="73814FD3" w14:textId="77777777" w:rsidR="00B903A5" w:rsidRPr="005B0796" w:rsidRDefault="00B903A5" w:rsidP="00B903A5">
      <w:pPr>
        <w:spacing w:after="160"/>
      </w:pPr>
      <w:r w:rsidRPr="005B0796">
        <w:t>The Transition and Wellbeing Research Programme objectives were to:</w:t>
      </w:r>
    </w:p>
    <w:p w14:paraId="42E05706" w14:textId="77777777" w:rsidR="00B903A5" w:rsidRPr="005B0796" w:rsidRDefault="00B903A5" w:rsidP="00103AB1">
      <w:pPr>
        <w:pStyle w:val="Bullet"/>
        <w:numPr>
          <w:ilvl w:val="0"/>
          <w:numId w:val="3"/>
        </w:numPr>
        <w:spacing w:after="120"/>
        <w:ind w:left="360"/>
      </w:pPr>
      <w:r w:rsidRPr="005B0796">
        <w:t>determine the prevalence of mental disorders among ADF members who have transitioned from Regular ADF service between 2010 and 2014</w:t>
      </w:r>
    </w:p>
    <w:p w14:paraId="3377674F" w14:textId="77777777" w:rsidR="00B903A5" w:rsidRPr="005B0796" w:rsidRDefault="00B903A5" w:rsidP="00103AB1">
      <w:pPr>
        <w:pStyle w:val="Bullet"/>
        <w:numPr>
          <w:ilvl w:val="0"/>
          <w:numId w:val="3"/>
        </w:numPr>
        <w:spacing w:after="120"/>
        <w:ind w:left="360"/>
      </w:pPr>
      <w:r w:rsidRPr="005B0796">
        <w:t xml:space="preserve">examine </w:t>
      </w:r>
      <w:r>
        <w:t xml:space="preserve">the </w:t>
      </w:r>
      <w:r w:rsidRPr="005B0796">
        <w:t>self-reported mental health status of Transitioned ADF and the 2015 Regular ADF</w:t>
      </w:r>
    </w:p>
    <w:p w14:paraId="06C30B48" w14:textId="77777777" w:rsidR="00B903A5" w:rsidRPr="005B0796" w:rsidRDefault="00B903A5" w:rsidP="00103AB1">
      <w:pPr>
        <w:pStyle w:val="Bullet"/>
        <w:numPr>
          <w:ilvl w:val="0"/>
          <w:numId w:val="3"/>
        </w:numPr>
        <w:spacing w:after="120"/>
        <w:ind w:left="360"/>
      </w:pPr>
      <w:r w:rsidRPr="005B0796">
        <w:t>examine the physical health status of Transitioned ADF and the 2015 Regular ADF</w:t>
      </w:r>
    </w:p>
    <w:p w14:paraId="03948ADF" w14:textId="77777777" w:rsidR="00B903A5" w:rsidRPr="005B0796" w:rsidRDefault="00B903A5" w:rsidP="00103AB1">
      <w:pPr>
        <w:pStyle w:val="Bullet"/>
        <w:numPr>
          <w:ilvl w:val="0"/>
          <w:numId w:val="3"/>
        </w:numPr>
        <w:spacing w:after="120"/>
        <w:ind w:left="360"/>
      </w:pPr>
      <w:r w:rsidRPr="005B0796">
        <w:t>assess pathways to care for Transitioned ADF and the 2015 Regular ADF, including those with a diagnosed mental disorder</w:t>
      </w:r>
    </w:p>
    <w:p w14:paraId="74A04BF3" w14:textId="77777777" w:rsidR="00B903A5" w:rsidRPr="005B0796" w:rsidRDefault="00B903A5" w:rsidP="00103AB1">
      <w:pPr>
        <w:pStyle w:val="Bullet"/>
        <w:numPr>
          <w:ilvl w:val="0"/>
          <w:numId w:val="3"/>
        </w:numPr>
        <w:spacing w:after="120"/>
        <w:ind w:left="360"/>
      </w:pPr>
      <w:r w:rsidRPr="005B0796">
        <w:t>examine the factors that contribute to the wellbeing of Transitioned ADF and the 2015 Regular ADF</w:t>
      </w:r>
    </w:p>
    <w:p w14:paraId="448E994C" w14:textId="77777777" w:rsidR="00B903A5" w:rsidRPr="005B0796" w:rsidRDefault="00B903A5" w:rsidP="00103AB1">
      <w:pPr>
        <w:pStyle w:val="Bullet"/>
        <w:numPr>
          <w:ilvl w:val="0"/>
          <w:numId w:val="3"/>
        </w:numPr>
        <w:spacing w:after="120"/>
        <w:ind w:left="360"/>
      </w:pPr>
      <w:r w:rsidRPr="005B0796">
        <w:t>conduct predictive modelling of the trajectory of mental health symptoms/disorder of Transitioned ADF and the 2015 Regular ADF, removing the need to rely on estimated rates</w:t>
      </w:r>
    </w:p>
    <w:p w14:paraId="2D9BC15E" w14:textId="77777777" w:rsidR="00B903A5" w:rsidRPr="005B0796" w:rsidRDefault="00B903A5" w:rsidP="00103AB1">
      <w:pPr>
        <w:pStyle w:val="Bullet"/>
        <w:numPr>
          <w:ilvl w:val="0"/>
          <w:numId w:val="3"/>
        </w:numPr>
        <w:spacing w:after="120"/>
        <w:ind w:left="360"/>
      </w:pPr>
      <w:r w:rsidRPr="005B0796">
        <w:t>investigate technology and its utility for health and mental health programmes, including implications for future health service delivery</w:t>
      </w:r>
    </w:p>
    <w:p w14:paraId="4B55F4EF" w14:textId="77777777" w:rsidR="00B903A5" w:rsidRPr="005B0796" w:rsidRDefault="00B903A5" w:rsidP="00103AB1">
      <w:pPr>
        <w:pStyle w:val="Bullet"/>
        <w:numPr>
          <w:ilvl w:val="0"/>
          <w:numId w:val="3"/>
        </w:numPr>
        <w:spacing w:after="120"/>
        <w:ind w:left="360"/>
      </w:pPr>
      <w:r w:rsidRPr="005B0796">
        <w:t>follow up on the mental, physical and neuro-cognitive health and wellbeing of ADF members who deployed to the MEAO between 2010 and 2012</w:t>
      </w:r>
    </w:p>
    <w:p w14:paraId="3BA26119" w14:textId="77777777" w:rsidR="00B903A5" w:rsidRPr="005B0796" w:rsidRDefault="00B903A5" w:rsidP="00103AB1">
      <w:pPr>
        <w:pStyle w:val="Bullet"/>
        <w:numPr>
          <w:ilvl w:val="0"/>
          <w:numId w:val="3"/>
        </w:numPr>
        <w:spacing w:after="120"/>
        <w:ind w:left="360"/>
      </w:pPr>
      <w:r w:rsidRPr="005B0796">
        <w:t>investigate the social, physical</w:t>
      </w:r>
      <w:r>
        <w:t xml:space="preserve"> and</w:t>
      </w:r>
      <w:r w:rsidRPr="005B0796">
        <w:t xml:space="preserve"> mental health and wellbeing of 2015 Ab</w:t>
      </w:r>
      <w:r>
        <w:t>-</w:t>
      </w:r>
      <w:r w:rsidRPr="005B0796">
        <w:t>initio Reservists (those who joined as Reservists and have served only in the Reserves)</w:t>
      </w:r>
    </w:p>
    <w:p w14:paraId="5F73C19D" w14:textId="77777777" w:rsidR="00B903A5" w:rsidRPr="005B0796" w:rsidRDefault="00B903A5" w:rsidP="00B903A5">
      <w:pPr>
        <w:pStyle w:val="Bullet"/>
        <w:numPr>
          <w:ilvl w:val="0"/>
          <w:numId w:val="3"/>
        </w:numPr>
        <w:ind w:left="360"/>
      </w:pPr>
      <w:r w:rsidRPr="005B0796">
        <w:t>investigate the impact of ADF service on the health and wellbeing of the families of Transitioned ADF and the 2015 Regular ADF.</w:t>
      </w:r>
    </w:p>
    <w:p w14:paraId="76D79373" w14:textId="77777777" w:rsidR="00B903A5" w:rsidRPr="005B0796" w:rsidRDefault="00B903A5" w:rsidP="00B903A5">
      <w:pPr>
        <w:spacing w:after="160"/>
      </w:pPr>
      <w:r w:rsidRPr="005B0796">
        <w:t>These objectives will allow Defence and DVA to:</w:t>
      </w:r>
    </w:p>
    <w:p w14:paraId="4740A6CD" w14:textId="77777777" w:rsidR="00B903A5" w:rsidRPr="005B0796" w:rsidRDefault="00B903A5" w:rsidP="00103AB1">
      <w:pPr>
        <w:pStyle w:val="Bullet"/>
        <w:numPr>
          <w:ilvl w:val="0"/>
          <w:numId w:val="3"/>
        </w:numPr>
        <w:spacing w:after="120"/>
        <w:ind w:left="360"/>
      </w:pPr>
      <w:r w:rsidRPr="005B0796">
        <w:t>build on the 2010 MilHOP research to develop an understanding of how mental health changes and manifests during the readjustment phase post-separation</w:t>
      </w:r>
    </w:p>
    <w:p w14:paraId="164BE26A" w14:textId="77777777" w:rsidR="00B903A5" w:rsidRPr="005B0796" w:rsidRDefault="00B903A5" w:rsidP="00103AB1">
      <w:pPr>
        <w:pStyle w:val="Bullet"/>
        <w:numPr>
          <w:ilvl w:val="0"/>
          <w:numId w:val="3"/>
        </w:numPr>
        <w:spacing w:after="120"/>
        <w:ind w:left="360"/>
      </w:pPr>
      <w:r w:rsidRPr="005B0796">
        <w:t>develop insights into how to improve communication between contemporary veterans, DVA and Defence</w:t>
      </w:r>
    </w:p>
    <w:p w14:paraId="7839AB1C" w14:textId="77777777" w:rsidR="00B903A5" w:rsidRPr="005B0796" w:rsidRDefault="00B903A5" w:rsidP="00103AB1">
      <w:pPr>
        <w:pStyle w:val="Bullet"/>
        <w:numPr>
          <w:ilvl w:val="0"/>
          <w:numId w:val="3"/>
        </w:numPr>
        <w:spacing w:after="120"/>
        <w:ind w:left="360"/>
      </w:pPr>
      <w:r w:rsidRPr="005B0796">
        <w:t>further develop the research outcomes and optimise the use of existing data sets within DVA and Defence in relation to improving the understanding of the mental health of serving and Ex-Serving members and the access to clinical services and their outcomes</w:t>
      </w:r>
    </w:p>
    <w:p w14:paraId="576650A0" w14:textId="77777777" w:rsidR="00B903A5" w:rsidRPr="005B0796" w:rsidRDefault="00B903A5" w:rsidP="00103AB1">
      <w:pPr>
        <w:pStyle w:val="Bullet"/>
        <w:numPr>
          <w:ilvl w:val="0"/>
          <w:numId w:val="3"/>
        </w:numPr>
        <w:spacing w:after="120"/>
        <w:ind w:left="360"/>
      </w:pPr>
      <w:r w:rsidRPr="005B0796">
        <w:t>develop the objective knowledge base of DVA and Defence staff and other interested parties in the mental health of serving and transitioned members</w:t>
      </w:r>
    </w:p>
    <w:p w14:paraId="0B2FE2EB" w14:textId="77777777" w:rsidR="00B903A5" w:rsidRDefault="00B903A5" w:rsidP="00103AB1">
      <w:pPr>
        <w:pStyle w:val="Bullet"/>
        <w:numPr>
          <w:ilvl w:val="0"/>
          <w:numId w:val="3"/>
        </w:numPr>
        <w:spacing w:after="120"/>
        <w:ind w:left="360"/>
      </w:pPr>
      <w:r w:rsidRPr="005B0796">
        <w:t xml:space="preserve">improve the mental health (and associated physical health) outcomes for serving and </w:t>
      </w:r>
      <w:r>
        <w:t>e</w:t>
      </w:r>
      <w:r w:rsidRPr="005B0796">
        <w:t>x-</w:t>
      </w:r>
      <w:r>
        <w:t>s</w:t>
      </w:r>
      <w:r w:rsidRPr="005B0796">
        <w:t xml:space="preserve">erving members across all age cohorts </w:t>
      </w:r>
    </w:p>
    <w:p w14:paraId="47210E36" w14:textId="77777777" w:rsidR="00B903A5" w:rsidRPr="005B0796" w:rsidRDefault="00B903A5" w:rsidP="00B903A5">
      <w:pPr>
        <w:pStyle w:val="Bullet"/>
        <w:numPr>
          <w:ilvl w:val="0"/>
          <w:numId w:val="3"/>
        </w:numPr>
        <w:ind w:left="360"/>
      </w:pPr>
      <w:r w:rsidRPr="005B0796">
        <w:t xml:space="preserve">review the optimal method of conducting scientifically valid and reliable research with the ADF and </w:t>
      </w:r>
      <w:r>
        <w:t>e</w:t>
      </w:r>
      <w:r w:rsidRPr="005B0796">
        <w:t>x-</w:t>
      </w:r>
      <w:r>
        <w:t>s</w:t>
      </w:r>
      <w:r w:rsidRPr="005B0796">
        <w:t xml:space="preserve">erving members that is accepted to the participants, the </w:t>
      </w:r>
      <w:r>
        <w:t>e</w:t>
      </w:r>
      <w:r w:rsidRPr="005B0796">
        <w:t>x-</w:t>
      </w:r>
      <w:r>
        <w:t>s</w:t>
      </w:r>
      <w:r w:rsidRPr="005B0796">
        <w:t>erving community</w:t>
      </w:r>
      <w:r>
        <w:t>,</w:t>
      </w:r>
      <w:r w:rsidRPr="005B0796">
        <w:t xml:space="preserve"> the ADF and DVA.</w:t>
      </w:r>
    </w:p>
    <w:p w14:paraId="5A2B1A56" w14:textId="77777777" w:rsidR="00B903A5" w:rsidRPr="005B0796" w:rsidRDefault="00B903A5" w:rsidP="00B903A5">
      <w:pPr>
        <w:pStyle w:val="Heading2b"/>
        <w:numPr>
          <w:ilvl w:val="1"/>
          <w:numId w:val="11"/>
        </w:numPr>
      </w:pPr>
      <w:bookmarkStart w:id="1354" w:name="_Toc341700579"/>
      <w:bookmarkStart w:id="1355" w:name="_Toc482021443"/>
      <w:bookmarkStart w:id="1356" w:name="_Toc482024534"/>
      <w:bookmarkStart w:id="1357" w:name="_Toc484594356"/>
      <w:bookmarkStart w:id="1358" w:name="_Toc487011292"/>
      <w:bookmarkStart w:id="1359" w:name="_Toc493663187"/>
      <w:r w:rsidRPr="005B0796">
        <w:t>Sample</w:t>
      </w:r>
      <w:bookmarkEnd w:id="1354"/>
      <w:bookmarkEnd w:id="1355"/>
      <w:bookmarkEnd w:id="1356"/>
      <w:bookmarkEnd w:id="1357"/>
      <w:bookmarkEnd w:id="1358"/>
      <w:bookmarkEnd w:id="1359"/>
    </w:p>
    <w:p w14:paraId="429E4496" w14:textId="77777777" w:rsidR="00B903A5" w:rsidRPr="005B0796" w:rsidRDefault="00B903A5" w:rsidP="00B903A5">
      <w:r w:rsidRPr="005B0796">
        <w:t>To achieve the aims of the broader research Programme, the following five overlapping samples were targeted for data collection.</w:t>
      </w:r>
    </w:p>
    <w:p w14:paraId="4CBA052F" w14:textId="77777777" w:rsidR="00B903A5" w:rsidRPr="005B0796" w:rsidRDefault="00B903A5" w:rsidP="00B903A5">
      <w:pPr>
        <w:pStyle w:val="Heading3b"/>
        <w:numPr>
          <w:ilvl w:val="2"/>
          <w:numId w:val="11"/>
        </w:numPr>
        <w:rPr>
          <w:rFonts w:eastAsia="MS ??"/>
        </w:rPr>
      </w:pPr>
      <w:r w:rsidRPr="005B0796">
        <w:rPr>
          <w:rFonts w:eastAsia="MS ??"/>
        </w:rPr>
        <w:t>Sample 1: Transitioned ADF</w:t>
      </w:r>
    </w:p>
    <w:p w14:paraId="1765BBFC" w14:textId="77777777" w:rsidR="00B903A5" w:rsidRPr="005B0796" w:rsidRDefault="00B903A5" w:rsidP="00B903A5">
      <w:r w:rsidRPr="005B0796">
        <w:t xml:space="preserve">This sample comprised all ADF members who transitioned from the Regular ADF between 2010 and 2014. This included those who transitioned into the Active and Inactive Reserves as well as those who had discharged completely from the Regular ADF. This sample comprised three groups of </w:t>
      </w:r>
      <w:r>
        <w:t>t</w:t>
      </w:r>
      <w:r w:rsidRPr="005B0796">
        <w:t xml:space="preserve">ransitioned ADF members: (1) MHPWS Transitioned ADF </w:t>
      </w:r>
      <w:r>
        <w:t>(</w:t>
      </w:r>
      <w:r w:rsidRPr="005B0796">
        <w:t>ADF members who participated in the 2010 ADF Mental Health Prevalence and Wellbeing Study as a Regular ADF member but have since transitioned</w:t>
      </w:r>
      <w:r>
        <w:t>)</w:t>
      </w:r>
      <w:r w:rsidRPr="005B0796">
        <w:t xml:space="preserve">; (2) Combat Transitioned ADF </w:t>
      </w:r>
      <w:r>
        <w:t>(</w:t>
      </w:r>
      <w:r w:rsidRPr="005B0796">
        <w:t>ADF members who participated in the MEAO Prospective Health Study between 2010 and 2012 and have since transitioned</w:t>
      </w:r>
      <w:r>
        <w:t>)</w:t>
      </w:r>
      <w:r w:rsidRPr="005B0796">
        <w:t>; and (3) ADF members who have transitioned from the Regular ADF since 2010 who were not part of the 2010 MHPWS or the MEAO Prospective Health Study. Results from these three groups were combined and weighted to represent the Transitioned ADF in 2015.</w:t>
      </w:r>
    </w:p>
    <w:p w14:paraId="34E97935" w14:textId="77777777" w:rsidR="00B903A5" w:rsidRPr="005B0796" w:rsidRDefault="00B903A5" w:rsidP="00B903A5">
      <w:pPr>
        <w:pStyle w:val="Heading3b"/>
        <w:numPr>
          <w:ilvl w:val="2"/>
          <w:numId w:val="11"/>
        </w:numPr>
      </w:pPr>
      <w:r w:rsidRPr="005B0796">
        <w:t>Sample 2: 2015 Regular ADF</w:t>
      </w:r>
    </w:p>
    <w:p w14:paraId="7BDBA4BE" w14:textId="77777777" w:rsidR="00B903A5" w:rsidRPr="005B0796" w:rsidRDefault="00B903A5" w:rsidP="00B903A5">
      <w:r w:rsidRPr="005B0796">
        <w:t xml:space="preserve">This sample </w:t>
      </w:r>
      <w:r>
        <w:t>comprises</w:t>
      </w:r>
      <w:r w:rsidRPr="005B0796">
        <w:t xml:space="preserve"> three groups of Regular ADF members in 2015 who were invited to participate in the study: (1) those who participated in the 2010 MHPWS and were Regular ADF member</w:t>
      </w:r>
      <w:r>
        <w:t>s</w:t>
      </w:r>
      <w:r w:rsidRPr="005B0796">
        <w:t xml:space="preserve"> in 2015; (2) those who participated in the MEAO Prospective Health Study between 2010 and 2012 and were Regular ADF member</w:t>
      </w:r>
      <w:r>
        <w:t>s</w:t>
      </w:r>
      <w:r w:rsidRPr="005B0796">
        <w:t xml:space="preserve"> in 2015; and (3) a stratified random sample of Regular ADF members from 2015 who were not part of the 2010 MHPWS or the MEAO Prospective Health Study. Results from these three groups were combined and weighted to represent the 2015 Regular ADF.</w:t>
      </w:r>
    </w:p>
    <w:p w14:paraId="344BF998" w14:textId="77777777" w:rsidR="00B903A5" w:rsidRPr="005B0796" w:rsidRDefault="00B903A5" w:rsidP="00B903A5">
      <w:pPr>
        <w:pStyle w:val="Heading3b"/>
        <w:numPr>
          <w:ilvl w:val="2"/>
          <w:numId w:val="11"/>
        </w:numPr>
      </w:pPr>
      <w:r w:rsidRPr="005B0796">
        <w:t>Sample 3: Ab</w:t>
      </w:r>
      <w:r>
        <w:t>-</w:t>
      </w:r>
      <w:r w:rsidRPr="005B0796">
        <w:t>initio Reservists</w:t>
      </w:r>
    </w:p>
    <w:p w14:paraId="61B31DB3" w14:textId="77777777" w:rsidR="00B903A5" w:rsidRPr="005B0796" w:rsidRDefault="00B903A5" w:rsidP="00B903A5">
      <w:r w:rsidRPr="005B0796">
        <w:t>All ADF members who joined the ADF Reserves and who continue to serve in a Reserve capacity, and who have never been a serving Regular ADF member.</w:t>
      </w:r>
    </w:p>
    <w:p w14:paraId="2F8741EE" w14:textId="77777777" w:rsidR="00B903A5" w:rsidRPr="005B0796" w:rsidRDefault="00B903A5" w:rsidP="00B903A5">
      <w:pPr>
        <w:pStyle w:val="Heading3b"/>
        <w:numPr>
          <w:ilvl w:val="2"/>
          <w:numId w:val="11"/>
        </w:numPr>
      </w:pPr>
      <w:r w:rsidRPr="005B0796">
        <w:t>Sample 4: ADF families</w:t>
      </w:r>
    </w:p>
    <w:p w14:paraId="72F9227F" w14:textId="77777777" w:rsidR="00B903A5" w:rsidRPr="005B0796" w:rsidRDefault="00B903A5" w:rsidP="00B903A5">
      <w:r w:rsidRPr="005B0796">
        <w:t xml:space="preserve">A sample of ADF families, nominated by 2015 Regular ADF and </w:t>
      </w:r>
      <w:r>
        <w:t>e</w:t>
      </w:r>
      <w:r w:rsidRPr="005B0796">
        <w:t>x-</w:t>
      </w:r>
      <w:r>
        <w:t>s</w:t>
      </w:r>
      <w:r w:rsidRPr="005B0796">
        <w:t>erving ADF members participating in the Programme.</w:t>
      </w:r>
    </w:p>
    <w:p w14:paraId="5AAD5693" w14:textId="77777777" w:rsidR="00B903A5" w:rsidRPr="005B0796" w:rsidRDefault="00B903A5" w:rsidP="00B903A5">
      <w:r w:rsidRPr="005B0796">
        <w:t>Two MilHOP samples, which were incorporated into samples 1 and 2 above for the purposes of analysis, were also followed up as part of an ongoing program of longitudinal health surveillance. These samples</w:t>
      </w:r>
      <w:r>
        <w:t xml:space="preserve"> are described in A.3.5 and A.3.6 below.</w:t>
      </w:r>
    </w:p>
    <w:p w14:paraId="46DF29BB" w14:textId="77777777" w:rsidR="00B903A5" w:rsidRPr="005B0796" w:rsidRDefault="00B903A5" w:rsidP="00B903A5">
      <w:pPr>
        <w:pStyle w:val="Heading3b"/>
        <w:numPr>
          <w:ilvl w:val="2"/>
          <w:numId w:val="11"/>
        </w:numPr>
      </w:pPr>
      <w:r w:rsidRPr="005B0796">
        <w:t>Sample 5: Combat zone</w:t>
      </w:r>
    </w:p>
    <w:p w14:paraId="7A50CD16" w14:textId="77777777" w:rsidR="00B903A5" w:rsidRPr="005B0796" w:rsidRDefault="00B903A5" w:rsidP="00B903A5">
      <w:r w:rsidRPr="005B0796">
        <w:t>All ADF members who participated in the MEAO Prospective Health Study, comprising members who were deployed to the MEAO after June 2010 and returned from deployment by June 2012.</w:t>
      </w:r>
    </w:p>
    <w:p w14:paraId="08D8C340" w14:textId="77777777" w:rsidR="00B903A5" w:rsidRPr="005B0796" w:rsidRDefault="00B903A5" w:rsidP="00B903A5">
      <w:pPr>
        <w:pStyle w:val="Heading3b"/>
        <w:numPr>
          <w:ilvl w:val="2"/>
          <w:numId w:val="11"/>
        </w:numPr>
      </w:pPr>
      <w:r w:rsidRPr="005B0796">
        <w:t>Sample 6: MHPWS</w:t>
      </w:r>
    </w:p>
    <w:p w14:paraId="7EC72445" w14:textId="77777777" w:rsidR="00B903A5" w:rsidRPr="005B0796" w:rsidRDefault="00B903A5" w:rsidP="00B903A5">
      <w:r w:rsidRPr="005B0796">
        <w:t xml:space="preserve">All individuals who participated in the 2010 MHPWS component of MilHOP (2010 ADF). This sample comprised two groups: (1) MHPWS Transitioned ADF </w:t>
      </w:r>
      <w:r>
        <w:t>(</w:t>
      </w:r>
      <w:r w:rsidRPr="005B0796">
        <w:t>ADF members who participated in the 2010 MHPWS as a Regular ADF member but have since transitioned</w:t>
      </w:r>
      <w:r>
        <w:t>)</w:t>
      </w:r>
      <w:r w:rsidRPr="005B0796">
        <w:t xml:space="preserve">; and (2) MHPWS 2015 ADF </w:t>
      </w:r>
      <w:r>
        <w:t>(</w:t>
      </w:r>
      <w:r w:rsidRPr="005B0796">
        <w:t>Regular ADF members who participated in the 2010 MHPWS and were in the 2015 Regular ADF</w:t>
      </w:r>
      <w:r>
        <w:t>)</w:t>
      </w:r>
      <w:r w:rsidRPr="005B0796">
        <w:t>.</w:t>
      </w:r>
    </w:p>
    <w:p w14:paraId="38C769D9" w14:textId="77777777" w:rsidR="00B903A5" w:rsidRPr="005B0796" w:rsidRDefault="00B903A5" w:rsidP="00B903A5">
      <w:r w:rsidRPr="005B0796">
        <w:t xml:space="preserve">DVA and Defence have commissioned several reports from the research Programme, and Table A.1 presents the samples each report will cover. All samples were drawn from the Military and Veteran Research Study Roll (Study Roll), which is described in section A.11.2 of this </w:t>
      </w:r>
      <w:r w:rsidR="00374073">
        <w:t>annex</w:t>
      </w:r>
      <w:r w:rsidRPr="005B0796">
        <w:t>.</w:t>
      </w:r>
    </w:p>
    <w:p w14:paraId="55346A32" w14:textId="77777777" w:rsidR="00B903A5" w:rsidRPr="005B0796" w:rsidRDefault="00B903A5" w:rsidP="00B903A5">
      <w:pPr>
        <w:pStyle w:val="Heading2b"/>
        <w:numPr>
          <w:ilvl w:val="1"/>
          <w:numId w:val="11"/>
        </w:numPr>
      </w:pPr>
      <w:bookmarkStart w:id="1360" w:name="_Toc482021444"/>
      <w:bookmarkStart w:id="1361" w:name="_Toc482024535"/>
      <w:bookmarkStart w:id="1362" w:name="_Toc484594357"/>
      <w:bookmarkStart w:id="1363" w:name="_Toc487011293"/>
      <w:bookmarkStart w:id="1364" w:name="_Toc493663188"/>
      <w:bookmarkStart w:id="1365" w:name="_Toc494449809"/>
      <w:r w:rsidRPr="005B0796">
        <w:t>Population comparison samples</w:t>
      </w:r>
      <w:bookmarkEnd w:id="1360"/>
      <w:bookmarkEnd w:id="1361"/>
      <w:bookmarkEnd w:id="1362"/>
      <w:bookmarkEnd w:id="1363"/>
      <w:bookmarkEnd w:id="1364"/>
      <w:bookmarkEnd w:id="1365"/>
    </w:p>
    <w:p w14:paraId="56DADB20" w14:textId="77777777" w:rsidR="00B903A5" w:rsidRPr="005B0796" w:rsidRDefault="00B903A5" w:rsidP="00B903A5">
      <w:pPr>
        <w:pStyle w:val="Heading3b"/>
        <w:numPr>
          <w:ilvl w:val="2"/>
          <w:numId w:val="11"/>
        </w:numPr>
        <w:rPr>
          <w:rFonts w:eastAsia="MS ??"/>
        </w:rPr>
      </w:pPr>
      <w:r w:rsidRPr="005B0796">
        <w:rPr>
          <w:rFonts w:eastAsia="MS ??"/>
        </w:rPr>
        <w:t xml:space="preserve">Sample 7: 2010 Regular ADF comparison </w:t>
      </w:r>
    </w:p>
    <w:p w14:paraId="25154819" w14:textId="77777777" w:rsidR="00B903A5" w:rsidRPr="005B0796" w:rsidRDefault="00B903A5" w:rsidP="00B903A5">
      <w:r w:rsidRPr="005B0796">
        <w:t xml:space="preserve">Results drawn from the 2010 MHPWS report were directly imputed into this report to provide an indication of the change in self-reported mental health between the 2010 Regular ADF and the 2015 Regular ADF. These results should be interpreted with caution </w:t>
      </w:r>
      <w:r>
        <w:t>because of</w:t>
      </w:r>
      <w:r w:rsidRPr="005B0796">
        <w:t xml:space="preserve"> the overlapping of these two populations. </w:t>
      </w:r>
    </w:p>
    <w:p w14:paraId="3C7BA905" w14:textId="77777777" w:rsidR="00B903A5" w:rsidRPr="005B0796" w:rsidRDefault="00B903A5" w:rsidP="00103AB1">
      <w:pPr>
        <w:pStyle w:val="Heading3b"/>
        <w:numPr>
          <w:ilvl w:val="2"/>
          <w:numId w:val="11"/>
        </w:numPr>
        <w:ind w:left="720" w:hanging="720"/>
        <w:rPr>
          <w:rFonts w:eastAsia="MS ??"/>
        </w:rPr>
      </w:pPr>
      <w:r w:rsidRPr="005B0796">
        <w:rPr>
          <w:rFonts w:eastAsia="MS ??"/>
        </w:rPr>
        <w:t>Sample 8: Comparison of Transitioned ADF with the Australian community (2014</w:t>
      </w:r>
      <w:r>
        <w:rPr>
          <w:rFonts w:eastAsia="MS ??"/>
        </w:rPr>
        <w:t>–</w:t>
      </w:r>
      <w:r w:rsidRPr="005B0796">
        <w:rPr>
          <w:rFonts w:eastAsia="MS ??"/>
        </w:rPr>
        <w:t>2015)</w:t>
      </w:r>
    </w:p>
    <w:p w14:paraId="6F0FF8A9" w14:textId="77777777" w:rsidR="00B903A5" w:rsidRPr="005B0796" w:rsidRDefault="00B903A5" w:rsidP="00B903A5">
      <w:r w:rsidRPr="005B0796">
        <w:t xml:space="preserve">To enable comparison of estimates in the Transitioned ADF with an Australian </w:t>
      </w:r>
      <w:r>
        <w:t>c</w:t>
      </w:r>
      <w:r w:rsidRPr="005B0796">
        <w:t>ommunity population, direct standardisation was applied to estimates within the 2014</w:t>
      </w:r>
      <w:r>
        <w:t>–</w:t>
      </w:r>
      <w:r w:rsidRPr="005B0796">
        <w:t>2015 ABS National Health Survey (NHS) data. The NHS is the most recent in a series of Australia-wide ABS health surveys, assessing various aspects of the health of Australians, including long-term health conditions, health risk factors and health service use. The NHS data were restricted to those aged 18–71 (consistent with the Transitioned ADF). The NHS data were standardised by sex, employment status (employed or not) and age category (18–27, 28–37, 38–47, 48–57 and 58+), and estimates were generated on the outcomes of interest. Standard errors for the NHS data were estimated using the replication weights provided in the NHS data file.</w:t>
      </w:r>
    </w:p>
    <w:p w14:paraId="52C34F0C" w14:textId="77777777" w:rsidR="00B903A5" w:rsidRPr="005B0796" w:rsidRDefault="00B903A5" w:rsidP="00B903A5">
      <w:pPr>
        <w:pStyle w:val="TableName"/>
      </w:pPr>
      <w:bookmarkStart w:id="1366" w:name="_Toc486936014"/>
      <w:bookmarkStart w:id="1367" w:name="_Toc487014338"/>
      <w:bookmarkStart w:id="1368" w:name="_Toc492995641"/>
      <w:bookmarkStart w:id="1369" w:name="_Toc528932377"/>
      <w:bookmarkStart w:id="1370" w:name="_Toc531858056"/>
      <w:r w:rsidRPr="005B0796">
        <w:t>Table A.1</w:t>
      </w:r>
      <w:r w:rsidRPr="005B0796">
        <w:tab/>
        <w:t>Commissioned reports</w:t>
      </w:r>
      <w:bookmarkEnd w:id="1366"/>
      <w:bookmarkEnd w:id="1367"/>
      <w:bookmarkEnd w:id="1368"/>
      <w:bookmarkEnd w:id="1369"/>
      <w:bookmarkEnd w:id="1370"/>
    </w:p>
    <w:tbl>
      <w:tblPr>
        <w:tblStyle w:val="TWRPTable"/>
        <w:tblW w:w="5000" w:type="pct"/>
        <w:tblLayout w:type="fixed"/>
        <w:tblLook w:val="01E0" w:firstRow="1" w:lastRow="1" w:firstColumn="1" w:lastColumn="1" w:noHBand="0" w:noVBand="0"/>
        <w:tblDescription w:val="Table A.1 Commissioned reports"/>
      </w:tblPr>
      <w:tblGrid>
        <w:gridCol w:w="1773"/>
        <w:gridCol w:w="1772"/>
        <w:gridCol w:w="1772"/>
        <w:gridCol w:w="1772"/>
      </w:tblGrid>
      <w:tr w:rsidR="00B903A5" w:rsidRPr="005B0796" w14:paraId="47590908"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828" w:type="dxa"/>
            <w:hideMark/>
          </w:tcPr>
          <w:p w14:paraId="29BC6FAE" w14:textId="77777777" w:rsidR="00B903A5" w:rsidRPr="005B0796" w:rsidRDefault="00B903A5" w:rsidP="00594252">
            <w:pPr>
              <w:pStyle w:val="TableText"/>
            </w:pPr>
            <w:r w:rsidRPr="005B0796">
              <w:t xml:space="preserve">Report </w:t>
            </w:r>
          </w:p>
        </w:tc>
        <w:tc>
          <w:tcPr>
            <w:tcW w:w="1829" w:type="dxa"/>
            <w:hideMark/>
          </w:tcPr>
          <w:p w14:paraId="3D152467" w14:textId="77777777" w:rsidR="00B903A5" w:rsidRPr="005B0796" w:rsidRDefault="00B903A5" w:rsidP="00594252">
            <w:pPr>
              <w:pStyle w:val="TableText"/>
            </w:pPr>
            <w:r w:rsidRPr="005B0796">
              <w:t>Programme goal</w:t>
            </w:r>
          </w:p>
        </w:tc>
        <w:tc>
          <w:tcPr>
            <w:tcW w:w="1829" w:type="dxa"/>
            <w:hideMark/>
          </w:tcPr>
          <w:p w14:paraId="6F22541D" w14:textId="77777777" w:rsidR="00B903A5" w:rsidRPr="005B0796" w:rsidRDefault="00B903A5" w:rsidP="00594252">
            <w:pPr>
              <w:pStyle w:val="TableText"/>
            </w:pPr>
            <w:r w:rsidRPr="005B0796">
              <w:t>Samples</w:t>
            </w:r>
          </w:p>
        </w:tc>
        <w:tc>
          <w:tcPr>
            <w:tcW w:w="1829" w:type="dxa"/>
            <w:hideMark/>
          </w:tcPr>
          <w:p w14:paraId="1301CE6E" w14:textId="77777777" w:rsidR="00B903A5" w:rsidRPr="005B0796" w:rsidRDefault="00B903A5" w:rsidP="00594252">
            <w:pPr>
              <w:pStyle w:val="TableText"/>
            </w:pPr>
            <w:r w:rsidRPr="005B0796">
              <w:t xml:space="preserve">Data collection </w:t>
            </w:r>
          </w:p>
        </w:tc>
      </w:tr>
      <w:tr w:rsidR="00B903A5" w:rsidRPr="005B0796" w14:paraId="5AE1FBA5"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828" w:type="dxa"/>
            <w:hideMark/>
          </w:tcPr>
          <w:p w14:paraId="3DBC6527" w14:textId="77777777" w:rsidR="00B903A5" w:rsidRPr="005B0796" w:rsidRDefault="00B903A5" w:rsidP="00594252">
            <w:pPr>
              <w:pStyle w:val="TableText"/>
              <w:rPr>
                <w:lang w:eastAsia="en-GB"/>
              </w:rPr>
            </w:pPr>
            <w:r w:rsidRPr="00477AD4">
              <w:rPr>
                <w:i/>
                <w:lang w:eastAsia="en-GB"/>
              </w:rPr>
              <w:t>Mental Health Prevalence Report:</w:t>
            </w:r>
            <w:r w:rsidRPr="005B0796">
              <w:rPr>
                <w:lang w:eastAsia="en-GB"/>
              </w:rPr>
              <w:t xml:space="preserve"> findings from the 2015 Mental Health and Wellbeing Transition Study</w:t>
            </w:r>
          </w:p>
          <w:p w14:paraId="7F815C8F" w14:textId="77777777" w:rsidR="00B903A5" w:rsidRPr="005B0796" w:rsidRDefault="00B903A5" w:rsidP="00594252">
            <w:pPr>
              <w:pStyle w:val="TableText"/>
              <w:rPr>
                <w:lang w:eastAsia="en-AU"/>
              </w:rPr>
            </w:pPr>
          </w:p>
        </w:tc>
        <w:tc>
          <w:tcPr>
            <w:tcW w:w="1829" w:type="dxa"/>
            <w:hideMark/>
          </w:tcPr>
          <w:p w14:paraId="20C8E086" w14:textId="77777777" w:rsidR="00B903A5" w:rsidRPr="005B0796" w:rsidRDefault="00B903A5" w:rsidP="00594252">
            <w:pPr>
              <w:pStyle w:val="TableText"/>
            </w:pPr>
            <w:r w:rsidRPr="005B0796">
              <w:t xml:space="preserve">Establish baseline prevalence rates of mental disorders among ADF members who transitioned from full-time ADF service </w:t>
            </w:r>
          </w:p>
        </w:tc>
        <w:tc>
          <w:tcPr>
            <w:tcW w:w="1829" w:type="dxa"/>
            <w:hideMark/>
          </w:tcPr>
          <w:p w14:paraId="555A30D9" w14:textId="77777777" w:rsidR="00B903A5" w:rsidRPr="005B0796" w:rsidRDefault="00B903A5" w:rsidP="00B903A5">
            <w:pPr>
              <w:pStyle w:val="TableBullet"/>
              <w:ind w:left="216" w:hanging="216"/>
            </w:pPr>
            <w:r w:rsidRPr="005B0796">
              <w:t xml:space="preserve">ADF members who transitioned from full-time ADF service between 2010 and 2014 </w:t>
            </w:r>
          </w:p>
          <w:p w14:paraId="0010C935" w14:textId="77777777" w:rsidR="00B903A5" w:rsidRPr="005B0796" w:rsidRDefault="00B903A5" w:rsidP="00B903A5">
            <w:pPr>
              <w:pStyle w:val="TableBullet"/>
              <w:ind w:left="216" w:hanging="216"/>
            </w:pPr>
            <w:r w:rsidRPr="005B0796">
              <w:t xml:space="preserve">2015 Regular ADF </w:t>
            </w:r>
          </w:p>
          <w:p w14:paraId="1F039799" w14:textId="77777777" w:rsidR="00B903A5" w:rsidRPr="005B0796" w:rsidRDefault="00B903A5" w:rsidP="00B903A5">
            <w:pPr>
              <w:pStyle w:val="TableBullet"/>
              <w:ind w:left="216" w:hanging="216"/>
            </w:pPr>
            <w:r w:rsidRPr="005B0796">
              <w:t xml:space="preserve">Comparison with 2010 ADF and community, where appropriate </w:t>
            </w:r>
          </w:p>
        </w:tc>
        <w:tc>
          <w:tcPr>
            <w:tcW w:w="1829" w:type="dxa"/>
            <w:hideMark/>
          </w:tcPr>
          <w:p w14:paraId="67DB9BE7" w14:textId="77777777" w:rsidR="00B903A5" w:rsidRPr="005B0796" w:rsidRDefault="00B903A5" w:rsidP="00B903A5">
            <w:pPr>
              <w:pStyle w:val="TableBullet"/>
              <w:ind w:left="216" w:hanging="216"/>
            </w:pPr>
            <w:r w:rsidRPr="005B0796">
              <w:t xml:space="preserve">Self-report questionnaire </w:t>
            </w:r>
          </w:p>
          <w:p w14:paraId="6EF8D3CB" w14:textId="77777777" w:rsidR="00B903A5" w:rsidRPr="005B0796" w:rsidRDefault="00B903A5" w:rsidP="00B903A5">
            <w:pPr>
              <w:pStyle w:val="TableBullet"/>
              <w:ind w:left="216" w:hanging="216"/>
            </w:pPr>
            <w:r w:rsidRPr="005B0796">
              <w:t>CIDI (subgroup)</w:t>
            </w:r>
          </w:p>
        </w:tc>
      </w:tr>
      <w:tr w:rsidR="00B903A5" w:rsidRPr="005B0796" w14:paraId="11409899" w14:textId="77777777" w:rsidTr="00D268F6">
        <w:trPr>
          <w:cantSplit/>
        </w:trPr>
        <w:tc>
          <w:tcPr>
            <w:tcW w:w="1828" w:type="dxa"/>
          </w:tcPr>
          <w:p w14:paraId="2A7FCE2C" w14:textId="77777777" w:rsidR="00B903A5" w:rsidRPr="005B0796" w:rsidRDefault="00B903A5" w:rsidP="00594252">
            <w:pPr>
              <w:pStyle w:val="TableText"/>
              <w:rPr>
                <w:rFonts w:asciiTheme="minorHAnsi" w:hAnsiTheme="minorHAnsi" w:cstheme="minorHAnsi"/>
                <w:lang w:eastAsia="en-AU"/>
              </w:rPr>
            </w:pPr>
            <w:r w:rsidRPr="005B0796">
              <w:rPr>
                <w:i/>
                <w:lang w:eastAsia="en-GB"/>
              </w:rPr>
              <w:t>Pathways to Care Report</w:t>
            </w:r>
            <w:r w:rsidRPr="005B0796">
              <w:rPr>
                <w:lang w:eastAsia="en-GB"/>
              </w:rPr>
              <w:t>: findings from the 2015</w:t>
            </w:r>
            <w:r w:rsidRPr="005B0796">
              <w:rPr>
                <w:b/>
                <w:bCs/>
                <w:lang w:eastAsia="en-GB"/>
              </w:rPr>
              <w:t xml:space="preserve"> </w:t>
            </w:r>
            <w:r w:rsidRPr="005B0796">
              <w:rPr>
                <w:lang w:eastAsia="en-GB"/>
              </w:rPr>
              <w:t>Mental Health and Wellbeing Transition Study</w:t>
            </w:r>
            <w:r w:rsidRPr="005B0796">
              <w:rPr>
                <w:rFonts w:asciiTheme="minorHAnsi" w:hAnsiTheme="minorHAnsi" w:cstheme="minorHAnsi"/>
                <w:lang w:eastAsia="en-AU"/>
              </w:rPr>
              <w:t xml:space="preserve"> </w:t>
            </w:r>
          </w:p>
        </w:tc>
        <w:tc>
          <w:tcPr>
            <w:tcW w:w="1829" w:type="dxa"/>
            <w:hideMark/>
          </w:tcPr>
          <w:p w14:paraId="041530AD" w14:textId="77777777" w:rsidR="00B903A5" w:rsidRPr="005B0796" w:rsidRDefault="00B903A5" w:rsidP="00594252">
            <w:pPr>
              <w:pStyle w:val="TableText"/>
              <w:rPr>
                <w:lang w:eastAsia="en-AU"/>
              </w:rPr>
            </w:pPr>
            <w:r w:rsidRPr="005B0796">
              <w:rPr>
                <w:lang w:eastAsia="en-AU"/>
              </w:rPr>
              <w:t>Pathways to mental health care for serving and Transitioned ADF members, including those with a mental health disorder, including:</w:t>
            </w:r>
          </w:p>
          <w:p w14:paraId="3BF90349" w14:textId="77777777" w:rsidR="00B903A5" w:rsidRPr="005B0796" w:rsidRDefault="00B903A5" w:rsidP="00B903A5">
            <w:pPr>
              <w:pStyle w:val="TableBullet"/>
              <w:ind w:left="216" w:hanging="216"/>
            </w:pPr>
            <w:r w:rsidRPr="005B0796">
              <w:t>how care is accessed</w:t>
            </w:r>
          </w:p>
          <w:p w14:paraId="5AFFE853" w14:textId="77777777" w:rsidR="00B903A5" w:rsidRPr="005B0796" w:rsidRDefault="00B903A5" w:rsidP="00B903A5">
            <w:pPr>
              <w:pStyle w:val="TableBullet"/>
              <w:ind w:left="216" w:hanging="216"/>
            </w:pPr>
            <w:r w:rsidRPr="005B0796">
              <w:t>use patterns</w:t>
            </w:r>
          </w:p>
          <w:p w14:paraId="2680AC11" w14:textId="77777777" w:rsidR="00B903A5" w:rsidRPr="005B0796" w:rsidRDefault="00B903A5" w:rsidP="00B903A5">
            <w:pPr>
              <w:pStyle w:val="TableBullet"/>
              <w:ind w:left="216" w:hanging="216"/>
            </w:pPr>
            <w:r w:rsidRPr="005B0796">
              <w:t>stigmas and barriers</w:t>
            </w:r>
          </w:p>
        </w:tc>
        <w:tc>
          <w:tcPr>
            <w:tcW w:w="1829" w:type="dxa"/>
            <w:hideMark/>
          </w:tcPr>
          <w:p w14:paraId="3155E1F1" w14:textId="77777777" w:rsidR="00B903A5" w:rsidRPr="005B0796" w:rsidRDefault="00B903A5" w:rsidP="00B903A5">
            <w:pPr>
              <w:pStyle w:val="TableBullet"/>
              <w:ind w:left="216" w:hanging="216"/>
            </w:pPr>
            <w:r w:rsidRPr="005B0796">
              <w:t>ADF members who transitioned from full-time ADF service between 2010 and 2014</w:t>
            </w:r>
          </w:p>
          <w:p w14:paraId="46C9A541" w14:textId="77777777" w:rsidR="00B903A5" w:rsidRPr="005B0796" w:rsidRDefault="00B903A5" w:rsidP="00B903A5">
            <w:pPr>
              <w:pStyle w:val="TableBullet"/>
              <w:ind w:left="216" w:hanging="216"/>
            </w:pPr>
            <w:r w:rsidRPr="005B0796">
              <w:t xml:space="preserve">2015 Regular ADF </w:t>
            </w:r>
          </w:p>
        </w:tc>
        <w:tc>
          <w:tcPr>
            <w:tcW w:w="1829" w:type="dxa"/>
          </w:tcPr>
          <w:p w14:paraId="40D58C20" w14:textId="77777777" w:rsidR="00B903A5" w:rsidRPr="005B0796" w:rsidRDefault="00B903A5" w:rsidP="00B903A5">
            <w:pPr>
              <w:pStyle w:val="TableBullet"/>
              <w:ind w:left="216" w:hanging="216"/>
            </w:pPr>
            <w:r w:rsidRPr="005B0796">
              <w:t xml:space="preserve">Self-report survey </w:t>
            </w:r>
          </w:p>
          <w:p w14:paraId="5B6D7579" w14:textId="77777777" w:rsidR="00B903A5" w:rsidRPr="005B0796" w:rsidRDefault="00B903A5" w:rsidP="00594252">
            <w:pPr>
              <w:pStyle w:val="TableText"/>
            </w:pPr>
          </w:p>
        </w:tc>
      </w:tr>
      <w:tr w:rsidR="00B903A5" w:rsidRPr="005B0796" w14:paraId="208A761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828" w:type="dxa"/>
          </w:tcPr>
          <w:p w14:paraId="762ADFCC" w14:textId="77777777" w:rsidR="00B903A5" w:rsidRPr="005B0796" w:rsidRDefault="00B903A5" w:rsidP="00594252">
            <w:pPr>
              <w:pStyle w:val="TableText"/>
              <w:rPr>
                <w:lang w:eastAsia="en-GB"/>
              </w:rPr>
            </w:pPr>
            <w:r w:rsidRPr="005B0796">
              <w:rPr>
                <w:i/>
                <w:lang w:eastAsia="en-GB"/>
              </w:rPr>
              <w:t>Physical Health Status Report</w:t>
            </w:r>
            <w:r w:rsidRPr="005B0796">
              <w:rPr>
                <w:lang w:eastAsia="en-GB"/>
              </w:rPr>
              <w:t>: findings from the 2015</w:t>
            </w:r>
            <w:r w:rsidRPr="005B0796">
              <w:rPr>
                <w:b/>
                <w:bCs/>
                <w:lang w:eastAsia="en-GB"/>
              </w:rPr>
              <w:t xml:space="preserve"> </w:t>
            </w:r>
            <w:r w:rsidRPr="005B0796">
              <w:rPr>
                <w:lang w:eastAsia="en-GB"/>
              </w:rPr>
              <w:t>Mental Health and Wellbeing Transition Study</w:t>
            </w:r>
          </w:p>
          <w:p w14:paraId="65D89A7B" w14:textId="77777777" w:rsidR="00B903A5" w:rsidRPr="005B0796" w:rsidRDefault="00B903A5" w:rsidP="00594252">
            <w:pPr>
              <w:pStyle w:val="TableText"/>
              <w:rPr>
                <w:lang w:eastAsia="en-AU"/>
              </w:rPr>
            </w:pPr>
          </w:p>
        </w:tc>
        <w:tc>
          <w:tcPr>
            <w:tcW w:w="1829" w:type="dxa"/>
            <w:hideMark/>
          </w:tcPr>
          <w:p w14:paraId="41AB46D0" w14:textId="77777777" w:rsidR="00B903A5" w:rsidRPr="005B0796" w:rsidRDefault="00B903A5" w:rsidP="00594252">
            <w:pPr>
              <w:pStyle w:val="TableText"/>
            </w:pPr>
            <w:r w:rsidRPr="005B0796">
              <w:t xml:space="preserve">Physical health status of members of 2015 Regular ADF and Transitioned ADF, including: </w:t>
            </w:r>
          </w:p>
          <w:p w14:paraId="62C86324" w14:textId="77777777" w:rsidR="00B903A5" w:rsidRPr="005B0796" w:rsidRDefault="00B903A5" w:rsidP="00B903A5">
            <w:pPr>
              <w:pStyle w:val="TableBullet"/>
              <w:ind w:left="216" w:hanging="216"/>
            </w:pPr>
            <w:r w:rsidRPr="005B0796">
              <w:t>symptom reporting, including pain and sleep</w:t>
            </w:r>
          </w:p>
          <w:p w14:paraId="3C904427" w14:textId="77777777" w:rsidR="00B903A5" w:rsidRPr="005B0796" w:rsidRDefault="00B903A5" w:rsidP="00B903A5">
            <w:pPr>
              <w:pStyle w:val="TableBullet"/>
              <w:ind w:left="216" w:hanging="216"/>
            </w:pPr>
            <w:r w:rsidRPr="005B0796">
              <w:t>doctor</w:t>
            </w:r>
            <w:r>
              <w:t>-</w:t>
            </w:r>
            <w:r w:rsidRPr="005B0796">
              <w:t>diagnosed medical conditions</w:t>
            </w:r>
          </w:p>
          <w:p w14:paraId="0593717A" w14:textId="77777777" w:rsidR="00B903A5" w:rsidRPr="005B0796" w:rsidRDefault="00B903A5" w:rsidP="00B903A5">
            <w:pPr>
              <w:pStyle w:val="TableBullet"/>
              <w:ind w:left="216" w:hanging="216"/>
            </w:pPr>
            <w:r w:rsidRPr="005B0796">
              <w:t>physical injuries</w:t>
            </w:r>
          </w:p>
          <w:p w14:paraId="0474F89E" w14:textId="77777777" w:rsidR="00B903A5" w:rsidRPr="005B0796" w:rsidRDefault="00B903A5" w:rsidP="00B903A5">
            <w:pPr>
              <w:pStyle w:val="TableBullet"/>
              <w:ind w:left="216" w:hanging="216"/>
            </w:pPr>
            <w:r w:rsidRPr="005B0796">
              <w:t>satisfaction with health</w:t>
            </w:r>
          </w:p>
        </w:tc>
        <w:tc>
          <w:tcPr>
            <w:tcW w:w="1829" w:type="dxa"/>
            <w:hideMark/>
          </w:tcPr>
          <w:p w14:paraId="167267B8" w14:textId="77777777" w:rsidR="00B903A5" w:rsidRPr="005B0796" w:rsidRDefault="00B903A5" w:rsidP="00B903A5">
            <w:pPr>
              <w:pStyle w:val="TableBullet"/>
              <w:ind w:left="216" w:hanging="216"/>
            </w:pPr>
            <w:r w:rsidRPr="005B0796">
              <w:t xml:space="preserve">ADF members who transitioned from full-time ADF service between 2010 and 2014 </w:t>
            </w:r>
          </w:p>
          <w:p w14:paraId="3E01B8AA" w14:textId="77777777" w:rsidR="00B903A5" w:rsidRPr="005B0796" w:rsidRDefault="00B903A5" w:rsidP="00B903A5">
            <w:pPr>
              <w:pStyle w:val="TableBullet"/>
              <w:ind w:left="216" w:hanging="216"/>
            </w:pPr>
            <w:r w:rsidRPr="005B0796">
              <w:t>2015 Regular ADF</w:t>
            </w:r>
          </w:p>
        </w:tc>
        <w:tc>
          <w:tcPr>
            <w:tcW w:w="1829" w:type="dxa"/>
          </w:tcPr>
          <w:p w14:paraId="63161BC9" w14:textId="77777777" w:rsidR="00B903A5" w:rsidRPr="005B0796" w:rsidRDefault="00B903A5" w:rsidP="00B903A5">
            <w:pPr>
              <w:pStyle w:val="TableBullet"/>
              <w:ind w:left="216" w:hanging="216"/>
            </w:pPr>
            <w:r w:rsidRPr="005B0796">
              <w:t xml:space="preserve">Self-report survey </w:t>
            </w:r>
          </w:p>
          <w:p w14:paraId="6234D98A" w14:textId="77777777" w:rsidR="00B903A5" w:rsidRPr="005B0796" w:rsidRDefault="00B903A5" w:rsidP="00594252">
            <w:pPr>
              <w:pStyle w:val="TableText"/>
            </w:pPr>
          </w:p>
        </w:tc>
      </w:tr>
      <w:tr w:rsidR="00B903A5" w:rsidRPr="005B0796" w14:paraId="534175B9" w14:textId="77777777" w:rsidTr="00D268F6">
        <w:trPr>
          <w:cantSplit/>
        </w:trPr>
        <w:tc>
          <w:tcPr>
            <w:tcW w:w="1828" w:type="dxa"/>
            <w:hideMark/>
          </w:tcPr>
          <w:p w14:paraId="7AE082CD" w14:textId="77777777" w:rsidR="00B903A5" w:rsidRPr="005B0796" w:rsidRDefault="00B903A5" w:rsidP="00594252">
            <w:pPr>
              <w:pStyle w:val="TableText"/>
              <w:rPr>
                <w:lang w:eastAsia="en-GB"/>
              </w:rPr>
            </w:pPr>
            <w:r w:rsidRPr="005B0796">
              <w:rPr>
                <w:i/>
                <w:lang w:eastAsia="en-GB"/>
              </w:rPr>
              <w:t>Family Wellbeing Report</w:t>
            </w:r>
            <w:r w:rsidRPr="005B0796">
              <w:rPr>
                <w:lang w:eastAsia="en-GB"/>
              </w:rPr>
              <w:t>: findings from the 2015</w:t>
            </w:r>
            <w:r w:rsidRPr="005B0796">
              <w:rPr>
                <w:b/>
                <w:bCs/>
                <w:lang w:eastAsia="en-GB"/>
              </w:rPr>
              <w:t xml:space="preserve"> </w:t>
            </w:r>
            <w:r w:rsidRPr="005B0796">
              <w:rPr>
                <w:lang w:eastAsia="en-GB"/>
              </w:rPr>
              <w:t>Family Wellbeing Study</w:t>
            </w:r>
          </w:p>
          <w:p w14:paraId="1206F2C1" w14:textId="77777777" w:rsidR="00B903A5" w:rsidRPr="005B0796" w:rsidRDefault="00B903A5" w:rsidP="00594252">
            <w:pPr>
              <w:pStyle w:val="TableText"/>
              <w:rPr>
                <w:lang w:eastAsia="en-AU"/>
              </w:rPr>
            </w:pPr>
          </w:p>
        </w:tc>
        <w:tc>
          <w:tcPr>
            <w:tcW w:w="1829" w:type="dxa"/>
            <w:hideMark/>
          </w:tcPr>
          <w:p w14:paraId="2F9B8864" w14:textId="77777777" w:rsidR="00B903A5" w:rsidRPr="005B0796" w:rsidRDefault="00B903A5" w:rsidP="00594252">
            <w:pPr>
              <w:pStyle w:val="TableText"/>
            </w:pPr>
            <w:r w:rsidRPr="005B0796">
              <w:t>Experiences and perspective of family members on:</w:t>
            </w:r>
          </w:p>
          <w:p w14:paraId="7CCC3998" w14:textId="77777777" w:rsidR="00B903A5" w:rsidRPr="005B0796" w:rsidRDefault="00B903A5" w:rsidP="00B903A5">
            <w:pPr>
              <w:pStyle w:val="TableBullet"/>
              <w:ind w:left="216" w:hanging="216"/>
            </w:pPr>
            <w:r w:rsidRPr="005B0796">
              <w:t>impact of military service on families</w:t>
            </w:r>
          </w:p>
          <w:p w14:paraId="41CA712F" w14:textId="77777777" w:rsidR="00B903A5" w:rsidRPr="005B0796" w:rsidRDefault="00B903A5" w:rsidP="00B903A5">
            <w:pPr>
              <w:pStyle w:val="TableBullet"/>
              <w:ind w:left="216" w:hanging="216"/>
            </w:pPr>
            <w:r w:rsidRPr="005B0796">
              <w:t>pathways to available care</w:t>
            </w:r>
          </w:p>
        </w:tc>
        <w:tc>
          <w:tcPr>
            <w:tcW w:w="1829" w:type="dxa"/>
            <w:hideMark/>
          </w:tcPr>
          <w:p w14:paraId="0E64E062" w14:textId="77777777" w:rsidR="00B903A5" w:rsidRPr="005B0796" w:rsidRDefault="00B903A5" w:rsidP="00B903A5">
            <w:pPr>
              <w:pStyle w:val="TableBullet"/>
              <w:ind w:left="216" w:hanging="216"/>
            </w:pPr>
            <w:r w:rsidRPr="005B0796">
              <w:t>Nominated family members of serving Regular ADF members and ADF members who transitioned from full-time service between 2010 and 2014</w:t>
            </w:r>
          </w:p>
        </w:tc>
        <w:tc>
          <w:tcPr>
            <w:tcW w:w="1829" w:type="dxa"/>
            <w:hideMark/>
          </w:tcPr>
          <w:p w14:paraId="4F00CDF1" w14:textId="77777777" w:rsidR="00B903A5" w:rsidRPr="005B0796" w:rsidRDefault="00B903A5" w:rsidP="00B903A5">
            <w:pPr>
              <w:pStyle w:val="TableBullet"/>
              <w:ind w:left="216" w:hanging="216"/>
            </w:pPr>
            <w:r w:rsidRPr="005B0796">
              <w:t>Self-report survey (quantitative component)</w:t>
            </w:r>
          </w:p>
          <w:p w14:paraId="6CE9752F" w14:textId="77777777" w:rsidR="00B903A5" w:rsidRPr="005B0796" w:rsidRDefault="00B903A5" w:rsidP="00B903A5">
            <w:pPr>
              <w:pStyle w:val="TableBullet"/>
              <w:ind w:left="216" w:hanging="216"/>
            </w:pPr>
            <w:r w:rsidRPr="005B0796">
              <w:t xml:space="preserve">Semi-structured telephone interviews (qualitative component) </w:t>
            </w:r>
          </w:p>
        </w:tc>
      </w:tr>
      <w:tr w:rsidR="00B903A5" w:rsidRPr="005B0796" w14:paraId="1B679EC0"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828" w:type="dxa"/>
          </w:tcPr>
          <w:p w14:paraId="114E188C" w14:textId="77777777" w:rsidR="00B903A5" w:rsidRPr="005B0796" w:rsidRDefault="00B903A5" w:rsidP="00594252">
            <w:pPr>
              <w:pStyle w:val="TableText"/>
              <w:rPr>
                <w:lang w:eastAsia="en-GB"/>
              </w:rPr>
            </w:pPr>
            <w:r w:rsidRPr="005B0796">
              <w:rPr>
                <w:i/>
                <w:lang w:eastAsia="en-GB"/>
              </w:rPr>
              <w:t>Technology Use and Wellbeing Report</w:t>
            </w:r>
            <w:r w:rsidRPr="005B0796">
              <w:rPr>
                <w:lang w:eastAsia="en-GB"/>
              </w:rPr>
              <w:t>: findings from the 2015</w:t>
            </w:r>
            <w:r w:rsidRPr="005B0796">
              <w:rPr>
                <w:b/>
                <w:bCs/>
                <w:lang w:eastAsia="en-GB"/>
              </w:rPr>
              <w:t xml:space="preserve"> </w:t>
            </w:r>
            <w:r w:rsidRPr="005B0796">
              <w:rPr>
                <w:lang w:eastAsia="en-GB"/>
              </w:rPr>
              <w:t>Mental Health and Wellbeing Transition Study</w:t>
            </w:r>
          </w:p>
          <w:p w14:paraId="7C105A45" w14:textId="77777777" w:rsidR="00B903A5" w:rsidRPr="005B0796" w:rsidRDefault="00B903A5" w:rsidP="00594252">
            <w:pPr>
              <w:pStyle w:val="TableText"/>
            </w:pPr>
          </w:p>
        </w:tc>
        <w:tc>
          <w:tcPr>
            <w:tcW w:w="1829" w:type="dxa"/>
          </w:tcPr>
          <w:p w14:paraId="1A63F7BD" w14:textId="77777777" w:rsidR="00B903A5" w:rsidRPr="005B0796" w:rsidRDefault="00B903A5" w:rsidP="00594252">
            <w:pPr>
              <w:pStyle w:val="TableText"/>
            </w:pPr>
            <w:r w:rsidRPr="005B0796">
              <w:t>Utility of technology for mental health and mental health programs, including implications for future health service delivery</w:t>
            </w:r>
          </w:p>
          <w:p w14:paraId="0823CC14" w14:textId="77777777" w:rsidR="00B903A5" w:rsidRPr="005B0796" w:rsidRDefault="00B903A5" w:rsidP="00594252">
            <w:pPr>
              <w:pStyle w:val="TableText"/>
            </w:pPr>
          </w:p>
        </w:tc>
        <w:tc>
          <w:tcPr>
            <w:tcW w:w="1829" w:type="dxa"/>
            <w:hideMark/>
          </w:tcPr>
          <w:p w14:paraId="6058DA81" w14:textId="77777777" w:rsidR="00B903A5" w:rsidRPr="005B0796" w:rsidRDefault="00B903A5" w:rsidP="00B903A5">
            <w:pPr>
              <w:pStyle w:val="TableBullet"/>
              <w:ind w:left="216" w:hanging="216"/>
            </w:pPr>
            <w:r w:rsidRPr="005B0796">
              <w:t>ADF members who transitioned from full-time service between 2010 and 2014</w:t>
            </w:r>
          </w:p>
          <w:p w14:paraId="4BC36C64" w14:textId="77777777" w:rsidR="00B903A5" w:rsidRPr="005B0796" w:rsidRDefault="00B903A5" w:rsidP="00B903A5">
            <w:pPr>
              <w:pStyle w:val="TableBullet"/>
              <w:ind w:left="216" w:hanging="216"/>
            </w:pPr>
            <w:r w:rsidRPr="005B0796">
              <w:t>2015 Regular ADF</w:t>
            </w:r>
          </w:p>
        </w:tc>
        <w:tc>
          <w:tcPr>
            <w:tcW w:w="1829" w:type="dxa"/>
          </w:tcPr>
          <w:p w14:paraId="232216E4" w14:textId="77777777" w:rsidR="00B903A5" w:rsidRPr="005B0796" w:rsidRDefault="00B903A5" w:rsidP="00B903A5">
            <w:pPr>
              <w:pStyle w:val="TableBullet"/>
              <w:ind w:left="216" w:hanging="216"/>
            </w:pPr>
            <w:r w:rsidRPr="005B0796">
              <w:t xml:space="preserve">Self-report survey </w:t>
            </w:r>
          </w:p>
          <w:p w14:paraId="6DD4E525" w14:textId="77777777" w:rsidR="00B903A5" w:rsidRPr="005B0796" w:rsidRDefault="00B903A5" w:rsidP="00594252">
            <w:pPr>
              <w:pStyle w:val="TableText"/>
              <w:rPr>
                <w:lang w:eastAsia="en-AU"/>
              </w:rPr>
            </w:pPr>
          </w:p>
        </w:tc>
      </w:tr>
      <w:tr w:rsidR="00B903A5" w:rsidRPr="005B0796" w14:paraId="7EF6D482" w14:textId="77777777" w:rsidTr="00D268F6">
        <w:trPr>
          <w:cantSplit/>
        </w:trPr>
        <w:tc>
          <w:tcPr>
            <w:tcW w:w="1828" w:type="dxa"/>
          </w:tcPr>
          <w:p w14:paraId="7141EB36" w14:textId="77777777" w:rsidR="00B903A5" w:rsidRPr="005B0796" w:rsidRDefault="00B903A5" w:rsidP="00594252">
            <w:pPr>
              <w:pStyle w:val="TableText"/>
              <w:rPr>
                <w:lang w:eastAsia="en-GB"/>
              </w:rPr>
            </w:pPr>
            <w:r w:rsidRPr="005B0796">
              <w:rPr>
                <w:i/>
                <w:lang w:eastAsia="en-GB"/>
              </w:rPr>
              <w:t>Impact of Combat Report</w:t>
            </w:r>
            <w:r w:rsidRPr="005B0796">
              <w:rPr>
                <w:lang w:eastAsia="en-GB"/>
              </w:rPr>
              <w:t>: findings from the 2015 Impact of Combat Study</w:t>
            </w:r>
          </w:p>
          <w:p w14:paraId="08E9710E" w14:textId="77777777" w:rsidR="00B903A5" w:rsidRPr="005B0796" w:rsidRDefault="00B903A5" w:rsidP="00594252">
            <w:pPr>
              <w:pStyle w:val="TableText"/>
            </w:pPr>
          </w:p>
        </w:tc>
        <w:tc>
          <w:tcPr>
            <w:tcW w:w="1829" w:type="dxa"/>
            <w:hideMark/>
          </w:tcPr>
          <w:p w14:paraId="7EA2D211" w14:textId="77777777" w:rsidR="00B903A5" w:rsidRPr="005B0796" w:rsidRDefault="00B903A5" w:rsidP="00B903A5">
            <w:pPr>
              <w:pStyle w:val="TableBullet"/>
              <w:ind w:left="216" w:hanging="216"/>
            </w:pPr>
            <w:r w:rsidRPr="005B0796">
              <w:t>Longitudinal impact of deployment to MEAO on psychological, biological and social factors</w:t>
            </w:r>
          </w:p>
          <w:p w14:paraId="4761C7EB" w14:textId="77777777" w:rsidR="00B903A5" w:rsidRPr="005B0796" w:rsidRDefault="00B903A5" w:rsidP="00B903A5">
            <w:pPr>
              <w:pStyle w:val="TableBullet"/>
              <w:ind w:left="216" w:hanging="216"/>
            </w:pPr>
            <w:r w:rsidRPr="005B0796">
              <w:t>risk and protective factors</w:t>
            </w:r>
          </w:p>
          <w:p w14:paraId="0D3F5206" w14:textId="77777777" w:rsidR="00B903A5" w:rsidRPr="005B0796" w:rsidRDefault="00B903A5" w:rsidP="00B903A5">
            <w:pPr>
              <w:pStyle w:val="TableBullet"/>
              <w:ind w:left="216" w:hanging="216"/>
            </w:pPr>
            <w:r w:rsidRPr="005B0796">
              <w:t xml:space="preserve">traumatic brain injury </w:t>
            </w:r>
          </w:p>
        </w:tc>
        <w:tc>
          <w:tcPr>
            <w:tcW w:w="1829" w:type="dxa"/>
            <w:hideMark/>
          </w:tcPr>
          <w:p w14:paraId="513A66E0" w14:textId="77777777" w:rsidR="00B903A5" w:rsidRPr="005B0796" w:rsidRDefault="00B903A5" w:rsidP="00B903A5">
            <w:pPr>
              <w:pStyle w:val="TableBullet"/>
              <w:ind w:left="216" w:hanging="216"/>
            </w:pPr>
            <w:r w:rsidRPr="005B0796">
              <w:t xml:space="preserve">Serving and </w:t>
            </w:r>
            <w:r>
              <w:t>e</w:t>
            </w:r>
            <w:r w:rsidRPr="005B0796">
              <w:t>x-</w:t>
            </w:r>
            <w:r>
              <w:t>s</w:t>
            </w:r>
            <w:r w:rsidRPr="005B0796">
              <w:t>erving ADF members who deployed to the MEAO between June 2010 and June 2012 and participated in MilHOP (Combat Zone sample)</w:t>
            </w:r>
          </w:p>
        </w:tc>
        <w:tc>
          <w:tcPr>
            <w:tcW w:w="1829" w:type="dxa"/>
            <w:hideMark/>
          </w:tcPr>
          <w:p w14:paraId="48899024" w14:textId="77777777" w:rsidR="00B903A5" w:rsidRPr="005B0796" w:rsidRDefault="00B903A5" w:rsidP="00B903A5">
            <w:pPr>
              <w:pStyle w:val="TableBullet"/>
              <w:ind w:left="216" w:hanging="216"/>
            </w:pPr>
            <w:r w:rsidRPr="005B0796">
              <w:t xml:space="preserve">Self-report survey </w:t>
            </w:r>
          </w:p>
          <w:p w14:paraId="606B9D14" w14:textId="77777777" w:rsidR="00B903A5" w:rsidRPr="005B0796" w:rsidRDefault="00B903A5" w:rsidP="00B903A5">
            <w:pPr>
              <w:pStyle w:val="TableBullet"/>
              <w:ind w:left="216" w:hanging="216"/>
            </w:pPr>
            <w:r w:rsidRPr="005B0796">
              <w:t>CIDI (sub-group)</w:t>
            </w:r>
          </w:p>
          <w:p w14:paraId="1B75E69A" w14:textId="77777777" w:rsidR="00B903A5" w:rsidRPr="005B0796" w:rsidRDefault="00B903A5" w:rsidP="00B903A5">
            <w:pPr>
              <w:pStyle w:val="TableBullet"/>
              <w:ind w:left="216" w:hanging="216"/>
            </w:pPr>
            <w:r w:rsidRPr="005B0796">
              <w:t>Neurocognitive and/or biological tests (subgroups)</w:t>
            </w:r>
          </w:p>
          <w:p w14:paraId="151C6FB9" w14:textId="77777777" w:rsidR="00B903A5" w:rsidRPr="005B0796" w:rsidRDefault="00B903A5" w:rsidP="00B903A5">
            <w:pPr>
              <w:pStyle w:val="TableBullet"/>
              <w:ind w:left="216" w:hanging="216"/>
            </w:pPr>
            <w:r w:rsidRPr="005B0796">
              <w:t>MRI (subgroup)</w:t>
            </w:r>
          </w:p>
        </w:tc>
      </w:tr>
      <w:tr w:rsidR="00B903A5" w:rsidRPr="005B0796" w14:paraId="04254B2F"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828" w:type="dxa"/>
          </w:tcPr>
          <w:p w14:paraId="5E438A4B" w14:textId="77777777" w:rsidR="00B903A5" w:rsidRPr="005B0796" w:rsidRDefault="00B903A5" w:rsidP="00594252">
            <w:pPr>
              <w:pStyle w:val="TableText"/>
              <w:rPr>
                <w:rFonts w:eastAsia="Times New Roman"/>
                <w:lang w:eastAsia="en-AU"/>
              </w:rPr>
            </w:pPr>
            <w:r w:rsidRPr="005B0796">
              <w:rPr>
                <w:i/>
              </w:rPr>
              <w:t>Mental Health Changes Over Time: a Longitudinal Perspective Report</w:t>
            </w:r>
            <w:r w:rsidRPr="005B0796">
              <w:t>: findings from the 2015 Mental Health and Wellbeing Transition Study</w:t>
            </w:r>
          </w:p>
        </w:tc>
        <w:tc>
          <w:tcPr>
            <w:tcW w:w="1829" w:type="dxa"/>
            <w:hideMark/>
          </w:tcPr>
          <w:p w14:paraId="601D3DE1" w14:textId="77777777" w:rsidR="00B903A5" w:rsidRPr="005B0796" w:rsidRDefault="00B903A5" w:rsidP="00594252">
            <w:pPr>
              <w:pStyle w:val="TableText"/>
            </w:pPr>
            <w:r w:rsidRPr="005B0796">
              <w:t xml:space="preserve">Longitudinal disorder development: </w:t>
            </w:r>
          </w:p>
          <w:p w14:paraId="5CDBCA63" w14:textId="77777777" w:rsidR="00B903A5" w:rsidRPr="005B0796" w:rsidRDefault="00B903A5" w:rsidP="00B903A5">
            <w:pPr>
              <w:pStyle w:val="TableBullet"/>
              <w:ind w:left="216" w:hanging="216"/>
            </w:pPr>
            <w:r w:rsidRPr="005B0796">
              <w:t>changes in symptom and disorder status over two time-points</w:t>
            </w:r>
          </w:p>
          <w:p w14:paraId="76F01626" w14:textId="77777777" w:rsidR="00B903A5" w:rsidRPr="005B0796" w:rsidRDefault="00B903A5" w:rsidP="00B903A5">
            <w:pPr>
              <w:pStyle w:val="TableBullet"/>
              <w:ind w:left="216" w:hanging="216"/>
            </w:pPr>
            <w:r w:rsidRPr="005B0796">
              <w:t>predictors/outcomes of these changes</w:t>
            </w:r>
          </w:p>
        </w:tc>
        <w:tc>
          <w:tcPr>
            <w:tcW w:w="1829" w:type="dxa"/>
            <w:hideMark/>
          </w:tcPr>
          <w:p w14:paraId="738E9601" w14:textId="77777777" w:rsidR="00B903A5" w:rsidRPr="005B0796" w:rsidRDefault="00B903A5" w:rsidP="00B903A5">
            <w:pPr>
              <w:pStyle w:val="TableBullet"/>
              <w:ind w:left="216" w:hanging="216"/>
            </w:pPr>
            <w:r w:rsidRPr="005B0796">
              <w:t xml:space="preserve">2015 Regular ADF </w:t>
            </w:r>
          </w:p>
          <w:p w14:paraId="401D9B46" w14:textId="77777777" w:rsidR="00B903A5" w:rsidRPr="005B0796" w:rsidRDefault="00B903A5" w:rsidP="00B903A5">
            <w:pPr>
              <w:pStyle w:val="TableBullet"/>
              <w:ind w:left="216" w:hanging="216"/>
            </w:pPr>
            <w:r w:rsidRPr="005B0796">
              <w:t xml:space="preserve">Transitioned ADF members who previously participated in MilHOP (MHPWS CIDI sample) </w:t>
            </w:r>
          </w:p>
        </w:tc>
        <w:tc>
          <w:tcPr>
            <w:tcW w:w="1829" w:type="dxa"/>
            <w:hideMark/>
          </w:tcPr>
          <w:p w14:paraId="4ADAB075" w14:textId="77777777" w:rsidR="00B903A5" w:rsidRPr="005B0796" w:rsidRDefault="00B903A5" w:rsidP="00B903A5">
            <w:pPr>
              <w:pStyle w:val="TableBullet"/>
              <w:ind w:left="216" w:hanging="216"/>
            </w:pPr>
            <w:r w:rsidRPr="005B0796">
              <w:t xml:space="preserve">Self-report questionnaire </w:t>
            </w:r>
          </w:p>
          <w:p w14:paraId="42B06526" w14:textId="77777777" w:rsidR="00B903A5" w:rsidRPr="005B0796" w:rsidRDefault="00B903A5" w:rsidP="00B903A5">
            <w:pPr>
              <w:pStyle w:val="TableBullet"/>
              <w:ind w:left="216" w:hanging="216"/>
            </w:pPr>
            <w:r w:rsidRPr="005B0796">
              <w:t>CIDI (subgroup)</w:t>
            </w:r>
          </w:p>
        </w:tc>
      </w:tr>
      <w:tr w:rsidR="00B903A5" w:rsidRPr="005B0796" w14:paraId="182EA254" w14:textId="77777777" w:rsidTr="00D268F6">
        <w:trPr>
          <w:cnfStyle w:val="010000000000" w:firstRow="0" w:lastRow="1" w:firstColumn="0" w:lastColumn="0" w:oddVBand="0" w:evenVBand="0" w:oddHBand="0" w:evenHBand="0" w:firstRowFirstColumn="0" w:firstRowLastColumn="0" w:lastRowFirstColumn="0" w:lastRowLastColumn="0"/>
          <w:cantSplit/>
        </w:trPr>
        <w:tc>
          <w:tcPr>
            <w:tcW w:w="1828" w:type="dxa"/>
            <w:hideMark/>
          </w:tcPr>
          <w:p w14:paraId="25C1FE87" w14:textId="77777777" w:rsidR="00B903A5" w:rsidRPr="005B0796" w:rsidRDefault="00B903A5" w:rsidP="00594252">
            <w:pPr>
              <w:pStyle w:val="TableText"/>
              <w:rPr>
                <w:i/>
                <w:lang w:eastAsia="en-GB"/>
              </w:rPr>
            </w:pPr>
            <w:r w:rsidRPr="005B0796">
              <w:rPr>
                <w:i/>
                <w:lang w:eastAsia="en-GB"/>
              </w:rPr>
              <w:t>Transition and Wellbeing Research Programme Key Findings Report</w:t>
            </w:r>
          </w:p>
          <w:p w14:paraId="1E4E3A37" w14:textId="77777777" w:rsidR="00B903A5" w:rsidRPr="005B0796" w:rsidRDefault="00B903A5" w:rsidP="00594252">
            <w:pPr>
              <w:pStyle w:val="TableText"/>
              <w:rPr>
                <w:lang w:eastAsia="en-AU"/>
              </w:rPr>
            </w:pPr>
          </w:p>
        </w:tc>
        <w:tc>
          <w:tcPr>
            <w:tcW w:w="1829" w:type="dxa"/>
            <w:hideMark/>
          </w:tcPr>
          <w:p w14:paraId="3A1C1A29" w14:textId="77777777" w:rsidR="00B903A5" w:rsidRPr="005B0796" w:rsidRDefault="00B903A5" w:rsidP="00594252">
            <w:pPr>
              <w:pStyle w:val="TableText"/>
              <w:rPr>
                <w:lang w:eastAsia="en-AU"/>
              </w:rPr>
            </w:pPr>
            <w:r w:rsidRPr="005B0796">
              <w:rPr>
                <w:lang w:eastAsia="en-AU"/>
              </w:rPr>
              <w:t>Key findings across the Programme and implications for Defence and DVA</w:t>
            </w:r>
          </w:p>
        </w:tc>
        <w:tc>
          <w:tcPr>
            <w:tcW w:w="1829" w:type="dxa"/>
            <w:hideMark/>
          </w:tcPr>
          <w:p w14:paraId="632469FD" w14:textId="77777777" w:rsidR="00B903A5" w:rsidRPr="005B0796" w:rsidRDefault="00B903A5" w:rsidP="00594252">
            <w:pPr>
              <w:pStyle w:val="TableText"/>
              <w:rPr>
                <w:lang w:eastAsia="en-AU"/>
              </w:rPr>
            </w:pPr>
            <w:r w:rsidRPr="005B0796">
              <w:rPr>
                <w:lang w:eastAsia="en-AU"/>
              </w:rPr>
              <w:t>All</w:t>
            </w:r>
          </w:p>
        </w:tc>
        <w:tc>
          <w:tcPr>
            <w:tcW w:w="1829" w:type="dxa"/>
            <w:hideMark/>
          </w:tcPr>
          <w:p w14:paraId="0702F99D" w14:textId="77777777" w:rsidR="00B903A5" w:rsidRPr="005B0796" w:rsidRDefault="00B903A5" w:rsidP="00594252">
            <w:pPr>
              <w:pStyle w:val="TableText"/>
              <w:rPr>
                <w:lang w:eastAsia="en-AU"/>
              </w:rPr>
            </w:pPr>
            <w:r w:rsidRPr="005B0796">
              <w:rPr>
                <w:lang w:eastAsia="en-AU"/>
              </w:rPr>
              <w:t>All</w:t>
            </w:r>
          </w:p>
        </w:tc>
      </w:tr>
    </w:tbl>
    <w:p w14:paraId="50161D06" w14:textId="77777777" w:rsidR="00B903A5" w:rsidRPr="005B0796" w:rsidRDefault="00B903A5" w:rsidP="00B903A5">
      <w:pPr>
        <w:pStyle w:val="TableNotes"/>
      </w:pPr>
      <w:bookmarkStart w:id="1371" w:name="_Toc482021445"/>
      <w:bookmarkStart w:id="1372" w:name="_Toc482024536"/>
      <w:bookmarkEnd w:id="1371"/>
      <w:bookmarkEnd w:id="1372"/>
    </w:p>
    <w:p w14:paraId="7B6444F8" w14:textId="77777777" w:rsidR="00B903A5" w:rsidRPr="005B0796" w:rsidRDefault="00B903A5" w:rsidP="00B903A5">
      <w:pPr>
        <w:pStyle w:val="Heading2b"/>
        <w:numPr>
          <w:ilvl w:val="1"/>
          <w:numId w:val="11"/>
        </w:numPr>
      </w:pPr>
      <w:bookmarkStart w:id="1373" w:name="_Toc482021447"/>
      <w:bookmarkStart w:id="1374" w:name="_Toc482024538"/>
      <w:bookmarkStart w:id="1375" w:name="_Toc484594358"/>
      <w:bookmarkStart w:id="1376" w:name="_Toc487011294"/>
      <w:bookmarkStart w:id="1377" w:name="_Toc493663189"/>
      <w:bookmarkStart w:id="1378" w:name="_Toc494449810"/>
      <w:r w:rsidRPr="005B0796">
        <w:t>Response rates</w:t>
      </w:r>
      <w:bookmarkEnd w:id="1373"/>
      <w:bookmarkEnd w:id="1374"/>
      <w:bookmarkEnd w:id="1375"/>
      <w:bookmarkEnd w:id="1376"/>
      <w:bookmarkEnd w:id="1377"/>
      <w:bookmarkEnd w:id="1378"/>
    </w:p>
    <w:p w14:paraId="50B6DD79" w14:textId="77777777" w:rsidR="00B903A5" w:rsidRPr="005B0796" w:rsidRDefault="00B903A5" w:rsidP="00B903A5">
      <w:pPr>
        <w:pStyle w:val="Heading3b"/>
        <w:numPr>
          <w:ilvl w:val="2"/>
          <w:numId w:val="11"/>
        </w:numPr>
      </w:pPr>
      <w:bookmarkStart w:id="1379" w:name="_Toc487011295"/>
      <w:bookmarkStart w:id="1380" w:name="_Toc493663190"/>
      <w:r w:rsidRPr="005B0796">
        <w:t>Survey responders</w:t>
      </w:r>
    </w:p>
    <w:bookmarkEnd w:id="1379"/>
    <w:bookmarkEnd w:id="1380"/>
    <w:p w14:paraId="125B3CB5" w14:textId="77777777" w:rsidR="00B903A5" w:rsidRPr="005B0796" w:rsidRDefault="00B903A5" w:rsidP="00B903A5">
      <w:r w:rsidRPr="005B0796">
        <w:t xml:space="preserve">Overall, there was a response rate of 29.1% for the entire survey </w:t>
      </w:r>
      <w:r w:rsidRPr="005B0796">
        <w:rPr>
          <w:rFonts w:cs="Calibri"/>
        </w:rPr>
        <w:t>across both the Transitioned ADF and Regular ADF</w:t>
      </w:r>
      <w:r w:rsidRPr="005B0796">
        <w:t xml:space="preserve"> (total responders/total invited). At 15 December 2015, 18.0% (4326) of the 23,974 Transitioned ADF members invited to participate had completed a survey. In contrast, response rates in the invited 2015 Regular ADF (20,031) were much higher, with 42.3% of the 2015 Regular ADF who were invited to participate completing a survey. However, it is important to note that not all Regular ADF members were invited to participate in the survey, with invitations restricted to a stratified random sample of 5040 ADF members and Regular ADF members who previously participated in MilHOP. Similarly, 958 Transitioned ADF members were not invited to participate in the survey because they had opted out of the Study Roll</w:t>
      </w:r>
      <w:r>
        <w:t xml:space="preserve"> or</w:t>
      </w:r>
      <w:r w:rsidRPr="005B0796">
        <w:t xml:space="preserve"> opted out of being contacted further, or there was insufficient address information. </w:t>
      </w:r>
    </w:p>
    <w:p w14:paraId="5134A5BF" w14:textId="77777777" w:rsidR="00B903A5" w:rsidRPr="005B0796" w:rsidRDefault="00B903A5" w:rsidP="00B903A5">
      <w:r w:rsidRPr="005B0796">
        <w:t>Table A.2 and Figure A.1 summarise the breakdown of Transitioned ADF and 2015 Regular ADF members with enough data to be included in the survey. Table A.3 describes the demographic profile of this group.</w:t>
      </w:r>
    </w:p>
    <w:p w14:paraId="6BC780DA" w14:textId="77777777" w:rsidR="00B903A5" w:rsidRPr="005B0796" w:rsidRDefault="00B903A5" w:rsidP="00B903A5">
      <w:pPr>
        <w:pStyle w:val="TableName"/>
      </w:pPr>
      <w:bookmarkStart w:id="1381" w:name="_Toc486936015"/>
      <w:bookmarkStart w:id="1382" w:name="_Toc487014339"/>
      <w:bookmarkStart w:id="1383" w:name="_Toc492995642"/>
      <w:bookmarkStart w:id="1384" w:name="_Toc528932378"/>
      <w:bookmarkStart w:id="1385" w:name="_Toc531858057"/>
      <w:r w:rsidRPr="005B0796">
        <w:t>Table A.2</w:t>
      </w:r>
      <w:r w:rsidRPr="005B0796">
        <w:tab/>
        <w:t xml:space="preserve">Survey response rates by </w:t>
      </w:r>
      <w:r>
        <w:t>s</w:t>
      </w:r>
      <w:r w:rsidRPr="005B0796">
        <w:t>ervice, sex, rank and medical fitness for the Transitioned ADF and the 2015 Regular ADF</w:t>
      </w:r>
      <w:bookmarkEnd w:id="1381"/>
      <w:bookmarkEnd w:id="1382"/>
      <w:bookmarkEnd w:id="1383"/>
      <w:bookmarkEnd w:id="1384"/>
      <w:bookmarkEnd w:id="1385"/>
      <w:r w:rsidRPr="005B0796">
        <w:t xml:space="preserve"> </w:t>
      </w:r>
    </w:p>
    <w:tbl>
      <w:tblPr>
        <w:tblStyle w:val="TWRPTable"/>
        <w:tblW w:w="5000" w:type="pct"/>
        <w:tblLayout w:type="fixed"/>
        <w:tblLook w:val="04A0" w:firstRow="1" w:lastRow="0" w:firstColumn="1" w:lastColumn="0" w:noHBand="0" w:noVBand="1"/>
        <w:tblDescription w:val="Table A.2 Survey response rates by service, sex, rank and medical fitness for the Transitioned ADF and the 2015 Regular ADF "/>
      </w:tblPr>
      <w:tblGrid>
        <w:gridCol w:w="802"/>
        <w:gridCol w:w="785"/>
        <w:gridCol w:w="699"/>
        <w:gridCol w:w="873"/>
        <w:gridCol w:w="786"/>
        <w:gridCol w:w="786"/>
        <w:gridCol w:w="695"/>
        <w:gridCol w:w="877"/>
        <w:gridCol w:w="786"/>
      </w:tblGrid>
      <w:tr w:rsidR="00B903A5" w:rsidRPr="005B0796" w14:paraId="7FDD6F7C"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828" w:type="dxa"/>
            <w:vMerge w:val="restart"/>
          </w:tcPr>
          <w:p w14:paraId="5FA71DAF" w14:textId="77777777" w:rsidR="00B903A5" w:rsidRPr="005B0796" w:rsidRDefault="00B903A5" w:rsidP="00594252">
            <w:pPr>
              <w:pStyle w:val="TableText"/>
            </w:pPr>
          </w:p>
        </w:tc>
        <w:tc>
          <w:tcPr>
            <w:tcW w:w="3243" w:type="dxa"/>
            <w:gridSpan w:val="4"/>
            <w:hideMark/>
          </w:tcPr>
          <w:p w14:paraId="292AB165" w14:textId="77777777" w:rsidR="00B903A5" w:rsidRPr="005B0796" w:rsidRDefault="00B903A5" w:rsidP="00594252">
            <w:pPr>
              <w:pStyle w:val="TableText"/>
              <w:jc w:val="center"/>
            </w:pPr>
            <w:r>
              <w:t>Transitioned ADF</w:t>
            </w:r>
            <w:r>
              <w:br/>
              <w:t>(n=</w:t>
            </w:r>
            <w:r w:rsidRPr="005B0796">
              <w:t>24,932)</w:t>
            </w:r>
          </w:p>
        </w:tc>
        <w:tc>
          <w:tcPr>
            <w:tcW w:w="3244" w:type="dxa"/>
            <w:gridSpan w:val="4"/>
            <w:hideMark/>
          </w:tcPr>
          <w:p w14:paraId="65E43BF7" w14:textId="77777777" w:rsidR="00B903A5" w:rsidRPr="005B0796" w:rsidRDefault="00B903A5" w:rsidP="00594252">
            <w:pPr>
              <w:pStyle w:val="TableText"/>
              <w:jc w:val="center"/>
            </w:pPr>
            <w:r w:rsidRPr="005B0796">
              <w:t>2</w:t>
            </w:r>
            <w:r>
              <w:t>015 Regular ADF</w:t>
            </w:r>
            <w:r>
              <w:br/>
              <w:t>(n=</w:t>
            </w:r>
            <w:r w:rsidRPr="005B0796">
              <w:t>52,500)</w:t>
            </w:r>
          </w:p>
        </w:tc>
      </w:tr>
      <w:tr w:rsidR="00B903A5" w:rsidRPr="005B0796" w14:paraId="5953BA52"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828" w:type="dxa"/>
            <w:vMerge/>
          </w:tcPr>
          <w:p w14:paraId="6D0AD271" w14:textId="77777777" w:rsidR="00B903A5" w:rsidRPr="005B0796" w:rsidRDefault="00B903A5" w:rsidP="00594252">
            <w:pPr>
              <w:pStyle w:val="TableText"/>
              <w:rPr>
                <w:rFonts w:cs="Arial"/>
              </w:rPr>
            </w:pPr>
          </w:p>
        </w:tc>
        <w:tc>
          <w:tcPr>
            <w:tcW w:w="810" w:type="dxa"/>
            <w:hideMark/>
          </w:tcPr>
          <w:p w14:paraId="5338368E" w14:textId="77777777" w:rsidR="00B903A5" w:rsidRPr="005B0796" w:rsidRDefault="00B903A5" w:rsidP="00594252">
            <w:pPr>
              <w:pStyle w:val="TableText"/>
              <w:jc w:val="right"/>
              <w:rPr>
                <w:rFonts w:cs="Arial"/>
              </w:rPr>
            </w:pPr>
            <w:r w:rsidRPr="005B0796">
              <w:rPr>
                <w:rFonts w:cs="Arial"/>
              </w:rPr>
              <w:t>Population</w:t>
            </w:r>
          </w:p>
        </w:tc>
        <w:tc>
          <w:tcPr>
            <w:tcW w:w="720" w:type="dxa"/>
            <w:hideMark/>
          </w:tcPr>
          <w:p w14:paraId="2E91C904" w14:textId="77777777" w:rsidR="00B903A5" w:rsidRPr="005B0796" w:rsidRDefault="00B903A5" w:rsidP="00594252">
            <w:pPr>
              <w:pStyle w:val="TableText"/>
              <w:jc w:val="right"/>
              <w:rPr>
                <w:rFonts w:cs="Arial"/>
              </w:rPr>
            </w:pPr>
            <w:r w:rsidRPr="005B0796">
              <w:rPr>
                <w:rFonts w:cs="Arial"/>
              </w:rPr>
              <w:t>Invited</w:t>
            </w:r>
          </w:p>
        </w:tc>
        <w:tc>
          <w:tcPr>
            <w:tcW w:w="902" w:type="dxa"/>
            <w:hideMark/>
          </w:tcPr>
          <w:p w14:paraId="29D979B8" w14:textId="77777777" w:rsidR="00B903A5" w:rsidRPr="005B0796" w:rsidRDefault="00B903A5" w:rsidP="00594252">
            <w:pPr>
              <w:pStyle w:val="TableText"/>
              <w:jc w:val="right"/>
              <w:rPr>
                <w:rFonts w:cs="Arial"/>
              </w:rPr>
            </w:pPr>
            <w:r w:rsidRPr="005B0796">
              <w:rPr>
                <w:rFonts w:cs="Arial"/>
              </w:rPr>
              <w:t>Responders</w:t>
            </w:r>
          </w:p>
        </w:tc>
        <w:tc>
          <w:tcPr>
            <w:tcW w:w="811" w:type="dxa"/>
            <w:hideMark/>
          </w:tcPr>
          <w:p w14:paraId="171F4477" w14:textId="77777777" w:rsidR="00B903A5" w:rsidRPr="005B0796" w:rsidRDefault="00B903A5" w:rsidP="00594252">
            <w:pPr>
              <w:pStyle w:val="TableText"/>
              <w:jc w:val="right"/>
              <w:rPr>
                <w:rFonts w:cs="Arial"/>
              </w:rPr>
            </w:pPr>
            <w:r w:rsidRPr="005B0796">
              <w:rPr>
                <w:rFonts w:cs="Arial"/>
              </w:rPr>
              <w:t>Response rate %</w:t>
            </w:r>
          </w:p>
        </w:tc>
        <w:tc>
          <w:tcPr>
            <w:tcW w:w="811" w:type="dxa"/>
            <w:hideMark/>
          </w:tcPr>
          <w:p w14:paraId="25923AAF" w14:textId="77777777" w:rsidR="00B903A5" w:rsidRPr="005B0796" w:rsidRDefault="00B903A5" w:rsidP="00594252">
            <w:pPr>
              <w:pStyle w:val="TableText"/>
              <w:jc w:val="right"/>
              <w:rPr>
                <w:rFonts w:cs="Arial"/>
              </w:rPr>
            </w:pPr>
            <w:r w:rsidRPr="005B0796">
              <w:rPr>
                <w:rFonts w:cs="Arial"/>
              </w:rPr>
              <w:t>Population</w:t>
            </w:r>
          </w:p>
        </w:tc>
        <w:tc>
          <w:tcPr>
            <w:tcW w:w="716" w:type="dxa"/>
            <w:hideMark/>
          </w:tcPr>
          <w:p w14:paraId="75E220EA" w14:textId="77777777" w:rsidR="00B903A5" w:rsidRPr="005B0796" w:rsidRDefault="00B903A5" w:rsidP="00594252">
            <w:pPr>
              <w:pStyle w:val="TableText"/>
              <w:jc w:val="right"/>
              <w:rPr>
                <w:rFonts w:cs="Arial"/>
              </w:rPr>
            </w:pPr>
            <w:r w:rsidRPr="005B0796">
              <w:rPr>
                <w:rFonts w:cs="Arial"/>
              </w:rPr>
              <w:t>Invited</w:t>
            </w:r>
          </w:p>
        </w:tc>
        <w:tc>
          <w:tcPr>
            <w:tcW w:w="906" w:type="dxa"/>
            <w:hideMark/>
          </w:tcPr>
          <w:p w14:paraId="7F15ACF0" w14:textId="77777777" w:rsidR="00B903A5" w:rsidRPr="005B0796" w:rsidRDefault="00B903A5" w:rsidP="00594252">
            <w:pPr>
              <w:pStyle w:val="TableText"/>
              <w:jc w:val="right"/>
              <w:rPr>
                <w:rFonts w:cs="Arial"/>
              </w:rPr>
            </w:pPr>
            <w:r w:rsidRPr="005B0796">
              <w:rPr>
                <w:rFonts w:cs="Arial"/>
              </w:rPr>
              <w:t>Responders</w:t>
            </w:r>
          </w:p>
        </w:tc>
        <w:tc>
          <w:tcPr>
            <w:tcW w:w="811" w:type="dxa"/>
            <w:hideMark/>
          </w:tcPr>
          <w:p w14:paraId="7D985DCF" w14:textId="77777777" w:rsidR="00B903A5" w:rsidRPr="005B0796" w:rsidRDefault="00B903A5" w:rsidP="00594252">
            <w:pPr>
              <w:pStyle w:val="TableText"/>
              <w:jc w:val="right"/>
              <w:rPr>
                <w:rFonts w:cs="Arial"/>
              </w:rPr>
            </w:pPr>
            <w:r w:rsidRPr="005B0796">
              <w:rPr>
                <w:rFonts w:cs="Arial"/>
              </w:rPr>
              <w:t>Response rate %</w:t>
            </w:r>
          </w:p>
        </w:tc>
      </w:tr>
      <w:tr w:rsidR="00B903A5" w:rsidRPr="005B0796" w14:paraId="6D8282B7"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7C1FB9D2" w14:textId="77777777" w:rsidR="00B903A5" w:rsidRPr="005B0796" w:rsidRDefault="00B903A5" w:rsidP="00594252">
            <w:pPr>
              <w:pStyle w:val="TableText"/>
              <w:rPr>
                <w:b/>
              </w:rPr>
            </w:pPr>
            <w:r w:rsidRPr="005B0796">
              <w:rPr>
                <w:b/>
              </w:rPr>
              <w:t>Service</w:t>
            </w:r>
          </w:p>
        </w:tc>
        <w:tc>
          <w:tcPr>
            <w:tcW w:w="810" w:type="dxa"/>
          </w:tcPr>
          <w:p w14:paraId="6828ABEA" w14:textId="77777777" w:rsidR="00B903A5" w:rsidRPr="005B0796" w:rsidRDefault="00B903A5" w:rsidP="00594252">
            <w:pPr>
              <w:pStyle w:val="TableText"/>
              <w:jc w:val="right"/>
            </w:pPr>
          </w:p>
        </w:tc>
        <w:tc>
          <w:tcPr>
            <w:tcW w:w="720" w:type="dxa"/>
          </w:tcPr>
          <w:p w14:paraId="7B582F4F" w14:textId="77777777" w:rsidR="00B903A5" w:rsidRPr="005B0796" w:rsidRDefault="00B903A5" w:rsidP="00594252">
            <w:pPr>
              <w:pStyle w:val="TableText"/>
              <w:jc w:val="right"/>
              <w:rPr>
                <w:rFonts w:cs="Arial"/>
              </w:rPr>
            </w:pPr>
          </w:p>
        </w:tc>
        <w:tc>
          <w:tcPr>
            <w:tcW w:w="902" w:type="dxa"/>
          </w:tcPr>
          <w:p w14:paraId="011BDAD8" w14:textId="77777777" w:rsidR="00B903A5" w:rsidRPr="005B0796" w:rsidRDefault="00B903A5" w:rsidP="00594252">
            <w:pPr>
              <w:pStyle w:val="TableText"/>
              <w:jc w:val="right"/>
            </w:pPr>
          </w:p>
        </w:tc>
        <w:tc>
          <w:tcPr>
            <w:tcW w:w="811" w:type="dxa"/>
          </w:tcPr>
          <w:p w14:paraId="24A74EBC" w14:textId="77777777" w:rsidR="00B903A5" w:rsidRPr="005B0796" w:rsidRDefault="00B903A5" w:rsidP="00594252">
            <w:pPr>
              <w:pStyle w:val="TableText"/>
              <w:jc w:val="right"/>
            </w:pPr>
          </w:p>
        </w:tc>
        <w:tc>
          <w:tcPr>
            <w:tcW w:w="811" w:type="dxa"/>
          </w:tcPr>
          <w:p w14:paraId="418459F7" w14:textId="77777777" w:rsidR="00B903A5" w:rsidRPr="005B0796" w:rsidRDefault="00B903A5" w:rsidP="00594252">
            <w:pPr>
              <w:pStyle w:val="TableText"/>
              <w:jc w:val="right"/>
            </w:pPr>
          </w:p>
        </w:tc>
        <w:tc>
          <w:tcPr>
            <w:tcW w:w="716" w:type="dxa"/>
          </w:tcPr>
          <w:p w14:paraId="0D7C2BA4" w14:textId="77777777" w:rsidR="00B903A5" w:rsidRPr="005B0796" w:rsidRDefault="00B903A5" w:rsidP="00594252">
            <w:pPr>
              <w:pStyle w:val="TableText"/>
              <w:jc w:val="right"/>
              <w:rPr>
                <w:rFonts w:cs="Arial"/>
              </w:rPr>
            </w:pPr>
          </w:p>
        </w:tc>
        <w:tc>
          <w:tcPr>
            <w:tcW w:w="906" w:type="dxa"/>
          </w:tcPr>
          <w:p w14:paraId="6FA2F8B5" w14:textId="77777777" w:rsidR="00B903A5" w:rsidRPr="005B0796" w:rsidRDefault="00B903A5" w:rsidP="00594252">
            <w:pPr>
              <w:pStyle w:val="TableText"/>
              <w:jc w:val="right"/>
            </w:pPr>
          </w:p>
        </w:tc>
        <w:tc>
          <w:tcPr>
            <w:tcW w:w="811" w:type="dxa"/>
          </w:tcPr>
          <w:p w14:paraId="5A2C388E" w14:textId="77777777" w:rsidR="00B903A5" w:rsidRPr="005B0796" w:rsidRDefault="00B903A5" w:rsidP="00594252">
            <w:pPr>
              <w:pStyle w:val="TableText"/>
              <w:jc w:val="right"/>
            </w:pPr>
          </w:p>
        </w:tc>
      </w:tr>
      <w:tr w:rsidR="00B903A5" w:rsidRPr="005B0796" w14:paraId="2E474BAF" w14:textId="77777777" w:rsidTr="00D268F6">
        <w:trPr>
          <w:cantSplit/>
        </w:trPr>
        <w:tc>
          <w:tcPr>
            <w:tcW w:w="828" w:type="dxa"/>
            <w:hideMark/>
          </w:tcPr>
          <w:p w14:paraId="42DD8C3C" w14:textId="77777777" w:rsidR="00B903A5" w:rsidRPr="005B0796" w:rsidRDefault="00B903A5" w:rsidP="00594252">
            <w:pPr>
              <w:pStyle w:val="TableText"/>
              <w:ind w:left="144"/>
            </w:pPr>
            <w:r w:rsidRPr="005B0796">
              <w:t>Navy</w:t>
            </w:r>
          </w:p>
        </w:tc>
        <w:tc>
          <w:tcPr>
            <w:tcW w:w="810" w:type="dxa"/>
            <w:hideMark/>
          </w:tcPr>
          <w:p w14:paraId="4859A70C" w14:textId="77777777" w:rsidR="00B903A5" w:rsidRPr="005B0796" w:rsidRDefault="00B903A5" w:rsidP="00594252">
            <w:pPr>
              <w:pStyle w:val="TableText"/>
              <w:jc w:val="right"/>
            </w:pPr>
            <w:r w:rsidRPr="005B0796">
              <w:t>5671</w:t>
            </w:r>
          </w:p>
        </w:tc>
        <w:tc>
          <w:tcPr>
            <w:tcW w:w="720" w:type="dxa"/>
            <w:hideMark/>
          </w:tcPr>
          <w:p w14:paraId="326A5B9D" w14:textId="77777777" w:rsidR="00B903A5" w:rsidRPr="005B0796" w:rsidRDefault="00B903A5" w:rsidP="00594252">
            <w:pPr>
              <w:pStyle w:val="TableText"/>
              <w:jc w:val="right"/>
              <w:rPr>
                <w:rFonts w:cs="Arial"/>
              </w:rPr>
            </w:pPr>
            <w:r w:rsidRPr="005B0796">
              <w:t>5495</w:t>
            </w:r>
          </w:p>
        </w:tc>
        <w:tc>
          <w:tcPr>
            <w:tcW w:w="902" w:type="dxa"/>
            <w:hideMark/>
          </w:tcPr>
          <w:p w14:paraId="35497139" w14:textId="77777777" w:rsidR="00B903A5" w:rsidRPr="005B0796" w:rsidRDefault="00B903A5" w:rsidP="00594252">
            <w:pPr>
              <w:pStyle w:val="TableText"/>
              <w:jc w:val="right"/>
            </w:pPr>
            <w:r w:rsidRPr="005B0796">
              <w:t>863</w:t>
            </w:r>
          </w:p>
        </w:tc>
        <w:tc>
          <w:tcPr>
            <w:tcW w:w="811" w:type="dxa"/>
            <w:hideMark/>
          </w:tcPr>
          <w:p w14:paraId="5D8973B8" w14:textId="77777777" w:rsidR="00B903A5" w:rsidRPr="005B0796" w:rsidRDefault="00B903A5" w:rsidP="00594252">
            <w:pPr>
              <w:pStyle w:val="TableText"/>
              <w:jc w:val="right"/>
            </w:pPr>
            <w:r w:rsidRPr="005B0796">
              <w:t>15.7</w:t>
            </w:r>
          </w:p>
        </w:tc>
        <w:tc>
          <w:tcPr>
            <w:tcW w:w="811" w:type="dxa"/>
            <w:hideMark/>
          </w:tcPr>
          <w:p w14:paraId="7D2935C7" w14:textId="77777777" w:rsidR="00B903A5" w:rsidRPr="005B0796" w:rsidRDefault="00B903A5" w:rsidP="00594252">
            <w:pPr>
              <w:pStyle w:val="TableText"/>
              <w:jc w:val="right"/>
            </w:pPr>
            <w:r w:rsidRPr="005B0796">
              <w:t>13,282</w:t>
            </w:r>
          </w:p>
        </w:tc>
        <w:tc>
          <w:tcPr>
            <w:tcW w:w="716" w:type="dxa"/>
            <w:hideMark/>
          </w:tcPr>
          <w:p w14:paraId="31010EA0" w14:textId="77777777" w:rsidR="00B903A5" w:rsidRPr="005B0796" w:rsidRDefault="00B903A5" w:rsidP="00594252">
            <w:pPr>
              <w:pStyle w:val="TableText"/>
              <w:jc w:val="right"/>
              <w:rPr>
                <w:rFonts w:cs="Arial"/>
              </w:rPr>
            </w:pPr>
            <w:r w:rsidRPr="005B0796">
              <w:t>5113</w:t>
            </w:r>
          </w:p>
        </w:tc>
        <w:tc>
          <w:tcPr>
            <w:tcW w:w="906" w:type="dxa"/>
            <w:hideMark/>
          </w:tcPr>
          <w:p w14:paraId="109AE95E" w14:textId="77777777" w:rsidR="00B903A5" w:rsidRPr="005B0796" w:rsidRDefault="00B903A5" w:rsidP="00594252">
            <w:pPr>
              <w:pStyle w:val="TableText"/>
              <w:jc w:val="right"/>
            </w:pPr>
            <w:r w:rsidRPr="005B0796">
              <w:t>2040</w:t>
            </w:r>
          </w:p>
        </w:tc>
        <w:tc>
          <w:tcPr>
            <w:tcW w:w="811" w:type="dxa"/>
            <w:hideMark/>
          </w:tcPr>
          <w:p w14:paraId="21F77B70" w14:textId="77777777" w:rsidR="00B903A5" w:rsidRPr="005B0796" w:rsidRDefault="00B903A5" w:rsidP="00594252">
            <w:pPr>
              <w:pStyle w:val="TableText"/>
              <w:jc w:val="right"/>
            </w:pPr>
            <w:r w:rsidRPr="005B0796">
              <w:t>39.9</w:t>
            </w:r>
          </w:p>
        </w:tc>
      </w:tr>
      <w:tr w:rsidR="00B903A5" w:rsidRPr="005B0796" w14:paraId="19C0225E"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002F43CE" w14:textId="77777777" w:rsidR="00B903A5" w:rsidRPr="005B0796" w:rsidRDefault="00B903A5" w:rsidP="00594252">
            <w:pPr>
              <w:pStyle w:val="TableText"/>
              <w:ind w:left="144"/>
            </w:pPr>
            <w:r w:rsidRPr="005B0796">
              <w:t>Army</w:t>
            </w:r>
          </w:p>
        </w:tc>
        <w:tc>
          <w:tcPr>
            <w:tcW w:w="810" w:type="dxa"/>
            <w:hideMark/>
          </w:tcPr>
          <w:p w14:paraId="3048F766" w14:textId="77777777" w:rsidR="00B903A5" w:rsidRPr="005B0796" w:rsidRDefault="00B903A5" w:rsidP="00594252">
            <w:pPr>
              <w:pStyle w:val="TableText"/>
              <w:jc w:val="right"/>
            </w:pPr>
            <w:r w:rsidRPr="005B0796">
              <w:t>15,038</w:t>
            </w:r>
          </w:p>
        </w:tc>
        <w:tc>
          <w:tcPr>
            <w:tcW w:w="720" w:type="dxa"/>
            <w:hideMark/>
          </w:tcPr>
          <w:p w14:paraId="7A47DB6B" w14:textId="77777777" w:rsidR="00B903A5" w:rsidRPr="005B0796" w:rsidRDefault="00B903A5" w:rsidP="00594252">
            <w:pPr>
              <w:pStyle w:val="TableText"/>
              <w:jc w:val="right"/>
              <w:rPr>
                <w:rFonts w:cs="Arial"/>
              </w:rPr>
            </w:pPr>
            <w:r w:rsidRPr="005B0796">
              <w:t>14,465</w:t>
            </w:r>
          </w:p>
        </w:tc>
        <w:tc>
          <w:tcPr>
            <w:tcW w:w="902" w:type="dxa"/>
            <w:hideMark/>
          </w:tcPr>
          <w:p w14:paraId="31B99E85" w14:textId="77777777" w:rsidR="00B903A5" w:rsidRPr="005B0796" w:rsidRDefault="00B903A5" w:rsidP="00594252">
            <w:pPr>
              <w:pStyle w:val="TableText"/>
              <w:jc w:val="right"/>
            </w:pPr>
            <w:r w:rsidRPr="005B0796">
              <w:t>2463</w:t>
            </w:r>
          </w:p>
        </w:tc>
        <w:tc>
          <w:tcPr>
            <w:tcW w:w="811" w:type="dxa"/>
            <w:hideMark/>
          </w:tcPr>
          <w:p w14:paraId="39031787" w14:textId="77777777" w:rsidR="00B903A5" w:rsidRPr="005B0796" w:rsidRDefault="00B903A5" w:rsidP="00594252">
            <w:pPr>
              <w:pStyle w:val="TableText"/>
              <w:jc w:val="right"/>
            </w:pPr>
            <w:r w:rsidRPr="005B0796">
              <w:t>17.0</w:t>
            </w:r>
          </w:p>
        </w:tc>
        <w:tc>
          <w:tcPr>
            <w:tcW w:w="811" w:type="dxa"/>
            <w:hideMark/>
          </w:tcPr>
          <w:p w14:paraId="46AA6D42" w14:textId="77777777" w:rsidR="00B903A5" w:rsidRPr="005B0796" w:rsidRDefault="00B903A5" w:rsidP="00594252">
            <w:pPr>
              <w:pStyle w:val="TableText"/>
              <w:jc w:val="right"/>
            </w:pPr>
            <w:r w:rsidRPr="005B0796">
              <w:t>25,798</w:t>
            </w:r>
          </w:p>
        </w:tc>
        <w:tc>
          <w:tcPr>
            <w:tcW w:w="716" w:type="dxa"/>
            <w:hideMark/>
          </w:tcPr>
          <w:p w14:paraId="132E674E" w14:textId="77777777" w:rsidR="00B903A5" w:rsidRPr="005B0796" w:rsidRDefault="00B903A5" w:rsidP="00594252">
            <w:pPr>
              <w:pStyle w:val="TableText"/>
              <w:jc w:val="right"/>
              <w:rPr>
                <w:rFonts w:cs="Arial"/>
              </w:rPr>
            </w:pPr>
            <w:r w:rsidRPr="005B0796">
              <w:t>8067</w:t>
            </w:r>
          </w:p>
        </w:tc>
        <w:tc>
          <w:tcPr>
            <w:tcW w:w="906" w:type="dxa"/>
            <w:hideMark/>
          </w:tcPr>
          <w:p w14:paraId="763DC525" w14:textId="77777777" w:rsidR="00B903A5" w:rsidRPr="005B0796" w:rsidRDefault="00B903A5" w:rsidP="00594252">
            <w:pPr>
              <w:pStyle w:val="TableText"/>
              <w:jc w:val="right"/>
            </w:pPr>
            <w:r w:rsidRPr="005B0796">
              <w:t>3500</w:t>
            </w:r>
          </w:p>
        </w:tc>
        <w:tc>
          <w:tcPr>
            <w:tcW w:w="811" w:type="dxa"/>
            <w:hideMark/>
          </w:tcPr>
          <w:p w14:paraId="3AC103EB" w14:textId="77777777" w:rsidR="00B903A5" w:rsidRPr="005B0796" w:rsidRDefault="00B903A5" w:rsidP="00594252">
            <w:pPr>
              <w:pStyle w:val="TableText"/>
              <w:jc w:val="right"/>
            </w:pPr>
            <w:r w:rsidRPr="005B0796">
              <w:t>43.4</w:t>
            </w:r>
          </w:p>
        </w:tc>
      </w:tr>
      <w:tr w:rsidR="00B903A5" w:rsidRPr="005B0796" w14:paraId="2619996E" w14:textId="77777777" w:rsidTr="00D268F6">
        <w:trPr>
          <w:cantSplit/>
        </w:trPr>
        <w:tc>
          <w:tcPr>
            <w:tcW w:w="828" w:type="dxa"/>
            <w:hideMark/>
          </w:tcPr>
          <w:p w14:paraId="7AF33B60" w14:textId="77777777" w:rsidR="00B903A5" w:rsidRPr="005B0796" w:rsidRDefault="00B903A5" w:rsidP="00594252">
            <w:pPr>
              <w:pStyle w:val="TableText"/>
              <w:ind w:left="144"/>
              <w:rPr>
                <w:rFonts w:cs="Arial"/>
              </w:rPr>
            </w:pPr>
            <w:r w:rsidRPr="005B0796">
              <w:t>Air Force</w:t>
            </w:r>
          </w:p>
        </w:tc>
        <w:tc>
          <w:tcPr>
            <w:tcW w:w="810" w:type="dxa"/>
            <w:hideMark/>
          </w:tcPr>
          <w:p w14:paraId="6039B9CD" w14:textId="77777777" w:rsidR="00B903A5" w:rsidRPr="005B0796" w:rsidRDefault="00B903A5" w:rsidP="00594252">
            <w:pPr>
              <w:pStyle w:val="TableText"/>
              <w:jc w:val="right"/>
            </w:pPr>
            <w:r w:rsidRPr="005B0796">
              <w:t>4223</w:t>
            </w:r>
          </w:p>
        </w:tc>
        <w:tc>
          <w:tcPr>
            <w:tcW w:w="720" w:type="dxa"/>
            <w:hideMark/>
          </w:tcPr>
          <w:p w14:paraId="2199C4EB" w14:textId="77777777" w:rsidR="00B903A5" w:rsidRPr="005B0796" w:rsidRDefault="00B903A5" w:rsidP="00594252">
            <w:pPr>
              <w:pStyle w:val="TableText"/>
              <w:jc w:val="right"/>
              <w:rPr>
                <w:rFonts w:cs="Arial"/>
                <w:color w:val="000000" w:themeColor="text1"/>
              </w:rPr>
            </w:pPr>
            <w:r w:rsidRPr="005B0796">
              <w:t>4014</w:t>
            </w:r>
          </w:p>
        </w:tc>
        <w:tc>
          <w:tcPr>
            <w:tcW w:w="902" w:type="dxa"/>
            <w:hideMark/>
          </w:tcPr>
          <w:p w14:paraId="23241DE0" w14:textId="77777777" w:rsidR="00B903A5" w:rsidRPr="005B0796" w:rsidRDefault="00B903A5" w:rsidP="00594252">
            <w:pPr>
              <w:pStyle w:val="TableText"/>
              <w:jc w:val="right"/>
            </w:pPr>
            <w:r w:rsidRPr="005B0796">
              <w:t>1000</w:t>
            </w:r>
          </w:p>
        </w:tc>
        <w:tc>
          <w:tcPr>
            <w:tcW w:w="811" w:type="dxa"/>
            <w:hideMark/>
          </w:tcPr>
          <w:p w14:paraId="3B9ADE30" w14:textId="77777777" w:rsidR="00B903A5" w:rsidRPr="005B0796" w:rsidRDefault="00B903A5" w:rsidP="00594252">
            <w:pPr>
              <w:pStyle w:val="TableText"/>
              <w:jc w:val="right"/>
            </w:pPr>
            <w:r w:rsidRPr="005B0796">
              <w:t>24.9</w:t>
            </w:r>
          </w:p>
        </w:tc>
        <w:tc>
          <w:tcPr>
            <w:tcW w:w="811" w:type="dxa"/>
            <w:hideMark/>
          </w:tcPr>
          <w:p w14:paraId="3F4A99AD" w14:textId="77777777" w:rsidR="00B903A5" w:rsidRPr="005B0796" w:rsidRDefault="00B903A5" w:rsidP="00594252">
            <w:pPr>
              <w:pStyle w:val="TableText"/>
              <w:jc w:val="right"/>
            </w:pPr>
            <w:r w:rsidRPr="005B0796">
              <w:t>13,420</w:t>
            </w:r>
          </w:p>
        </w:tc>
        <w:tc>
          <w:tcPr>
            <w:tcW w:w="716" w:type="dxa"/>
            <w:hideMark/>
          </w:tcPr>
          <w:p w14:paraId="2BF64B34" w14:textId="77777777" w:rsidR="00B903A5" w:rsidRPr="005B0796" w:rsidRDefault="00B903A5" w:rsidP="00594252">
            <w:pPr>
              <w:pStyle w:val="TableText"/>
              <w:jc w:val="right"/>
              <w:rPr>
                <w:rFonts w:cs="Arial"/>
                <w:color w:val="000000" w:themeColor="text1"/>
              </w:rPr>
            </w:pPr>
            <w:r w:rsidRPr="005B0796">
              <w:t>6851</w:t>
            </w:r>
          </w:p>
        </w:tc>
        <w:tc>
          <w:tcPr>
            <w:tcW w:w="906" w:type="dxa"/>
            <w:hideMark/>
          </w:tcPr>
          <w:p w14:paraId="22AFDD10" w14:textId="77777777" w:rsidR="00B903A5" w:rsidRPr="005B0796" w:rsidRDefault="00B903A5" w:rsidP="00594252">
            <w:pPr>
              <w:pStyle w:val="TableText"/>
              <w:jc w:val="right"/>
              <w:rPr>
                <w:rFonts w:cs="Arial"/>
                <w:color w:val="000000" w:themeColor="text1"/>
              </w:rPr>
            </w:pPr>
            <w:r w:rsidRPr="005B0796">
              <w:rPr>
                <w:rFonts w:eastAsia="Times New Roman"/>
                <w:lang w:eastAsia="en-AU"/>
              </w:rPr>
              <w:t>2940</w:t>
            </w:r>
          </w:p>
        </w:tc>
        <w:tc>
          <w:tcPr>
            <w:tcW w:w="811" w:type="dxa"/>
            <w:hideMark/>
          </w:tcPr>
          <w:p w14:paraId="4FC07A1D" w14:textId="77777777" w:rsidR="00B903A5" w:rsidRPr="005B0796" w:rsidRDefault="00B903A5" w:rsidP="00594252">
            <w:pPr>
              <w:pStyle w:val="TableText"/>
              <w:jc w:val="right"/>
            </w:pPr>
            <w:r w:rsidRPr="005B0796">
              <w:t>42.9</w:t>
            </w:r>
          </w:p>
        </w:tc>
      </w:tr>
      <w:tr w:rsidR="00B903A5" w:rsidRPr="005B0796" w14:paraId="6AA2972F"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3F1FE435" w14:textId="77777777" w:rsidR="00B903A5" w:rsidRPr="005B0796" w:rsidRDefault="00B903A5" w:rsidP="00594252">
            <w:pPr>
              <w:pStyle w:val="TableText"/>
              <w:rPr>
                <w:b/>
              </w:rPr>
            </w:pPr>
            <w:r w:rsidRPr="005B0796">
              <w:rPr>
                <w:b/>
              </w:rPr>
              <w:t>Sex</w:t>
            </w:r>
          </w:p>
        </w:tc>
        <w:tc>
          <w:tcPr>
            <w:tcW w:w="810" w:type="dxa"/>
          </w:tcPr>
          <w:p w14:paraId="45829786" w14:textId="77777777" w:rsidR="00B903A5" w:rsidRPr="005B0796" w:rsidRDefault="00B903A5" w:rsidP="00594252">
            <w:pPr>
              <w:pStyle w:val="TableText"/>
              <w:jc w:val="right"/>
            </w:pPr>
          </w:p>
        </w:tc>
        <w:tc>
          <w:tcPr>
            <w:tcW w:w="720" w:type="dxa"/>
          </w:tcPr>
          <w:p w14:paraId="3DFBDA74" w14:textId="77777777" w:rsidR="00B903A5" w:rsidRPr="005B0796" w:rsidRDefault="00B903A5" w:rsidP="00594252">
            <w:pPr>
              <w:pStyle w:val="TableText"/>
              <w:jc w:val="right"/>
            </w:pPr>
          </w:p>
        </w:tc>
        <w:tc>
          <w:tcPr>
            <w:tcW w:w="902" w:type="dxa"/>
          </w:tcPr>
          <w:p w14:paraId="01F867C4" w14:textId="77777777" w:rsidR="00B903A5" w:rsidRPr="005B0796" w:rsidRDefault="00B903A5" w:rsidP="00594252">
            <w:pPr>
              <w:pStyle w:val="TableText"/>
              <w:jc w:val="right"/>
            </w:pPr>
          </w:p>
        </w:tc>
        <w:tc>
          <w:tcPr>
            <w:tcW w:w="811" w:type="dxa"/>
          </w:tcPr>
          <w:p w14:paraId="31B17297" w14:textId="77777777" w:rsidR="00B903A5" w:rsidRPr="005B0796" w:rsidRDefault="00B903A5" w:rsidP="00594252">
            <w:pPr>
              <w:pStyle w:val="TableText"/>
              <w:jc w:val="right"/>
            </w:pPr>
          </w:p>
        </w:tc>
        <w:tc>
          <w:tcPr>
            <w:tcW w:w="811" w:type="dxa"/>
          </w:tcPr>
          <w:p w14:paraId="7F85E106" w14:textId="77777777" w:rsidR="00B903A5" w:rsidRPr="005B0796" w:rsidRDefault="00B903A5" w:rsidP="00594252">
            <w:pPr>
              <w:pStyle w:val="TableText"/>
              <w:jc w:val="right"/>
            </w:pPr>
          </w:p>
        </w:tc>
        <w:tc>
          <w:tcPr>
            <w:tcW w:w="716" w:type="dxa"/>
          </w:tcPr>
          <w:p w14:paraId="4E168FAD" w14:textId="77777777" w:rsidR="00B903A5" w:rsidRPr="005B0796" w:rsidRDefault="00B903A5" w:rsidP="00594252">
            <w:pPr>
              <w:pStyle w:val="TableText"/>
              <w:jc w:val="right"/>
            </w:pPr>
          </w:p>
        </w:tc>
        <w:tc>
          <w:tcPr>
            <w:tcW w:w="906" w:type="dxa"/>
          </w:tcPr>
          <w:p w14:paraId="5292BA49" w14:textId="77777777" w:rsidR="00B903A5" w:rsidRPr="005B0796" w:rsidRDefault="00B903A5" w:rsidP="00594252">
            <w:pPr>
              <w:pStyle w:val="TableText"/>
              <w:jc w:val="right"/>
              <w:rPr>
                <w:rFonts w:eastAsia="Times New Roman"/>
                <w:lang w:eastAsia="en-AU"/>
              </w:rPr>
            </w:pPr>
          </w:p>
        </w:tc>
        <w:tc>
          <w:tcPr>
            <w:tcW w:w="811" w:type="dxa"/>
          </w:tcPr>
          <w:p w14:paraId="62016593" w14:textId="77777777" w:rsidR="00B903A5" w:rsidRPr="005B0796" w:rsidRDefault="00B903A5" w:rsidP="00594252">
            <w:pPr>
              <w:pStyle w:val="TableText"/>
              <w:jc w:val="right"/>
              <w:rPr>
                <w:rFonts w:eastAsia="MS ??"/>
              </w:rPr>
            </w:pPr>
          </w:p>
        </w:tc>
      </w:tr>
      <w:tr w:rsidR="00B903A5" w:rsidRPr="005B0796" w14:paraId="773EBF97" w14:textId="77777777" w:rsidTr="00D268F6">
        <w:trPr>
          <w:cantSplit/>
        </w:trPr>
        <w:tc>
          <w:tcPr>
            <w:tcW w:w="828" w:type="dxa"/>
            <w:hideMark/>
          </w:tcPr>
          <w:p w14:paraId="7A8EDDA8" w14:textId="77777777" w:rsidR="00B903A5" w:rsidRPr="005B0796" w:rsidRDefault="00B903A5" w:rsidP="00594252">
            <w:pPr>
              <w:pStyle w:val="TableText"/>
              <w:ind w:left="144"/>
            </w:pPr>
            <w:r w:rsidRPr="005B0796">
              <w:t>Male</w:t>
            </w:r>
          </w:p>
        </w:tc>
        <w:tc>
          <w:tcPr>
            <w:tcW w:w="810" w:type="dxa"/>
            <w:hideMark/>
          </w:tcPr>
          <w:p w14:paraId="55DA7256" w14:textId="77777777" w:rsidR="00B903A5" w:rsidRPr="005B0796" w:rsidRDefault="00B903A5" w:rsidP="00594252">
            <w:pPr>
              <w:pStyle w:val="TableText"/>
              <w:jc w:val="right"/>
            </w:pPr>
            <w:r w:rsidRPr="005B0796">
              <w:t>21,671</w:t>
            </w:r>
          </w:p>
        </w:tc>
        <w:tc>
          <w:tcPr>
            <w:tcW w:w="720" w:type="dxa"/>
            <w:hideMark/>
          </w:tcPr>
          <w:p w14:paraId="38613445" w14:textId="77777777" w:rsidR="00B903A5" w:rsidRPr="005B0796" w:rsidRDefault="00B903A5" w:rsidP="00594252">
            <w:pPr>
              <w:pStyle w:val="TableText"/>
              <w:jc w:val="right"/>
            </w:pPr>
            <w:r w:rsidRPr="005B0796">
              <w:t>20,713</w:t>
            </w:r>
          </w:p>
        </w:tc>
        <w:tc>
          <w:tcPr>
            <w:tcW w:w="902" w:type="dxa"/>
            <w:hideMark/>
          </w:tcPr>
          <w:p w14:paraId="041F0B8B" w14:textId="77777777" w:rsidR="00B903A5" w:rsidRPr="005B0796" w:rsidRDefault="00B903A5" w:rsidP="00594252">
            <w:pPr>
              <w:pStyle w:val="TableText"/>
              <w:jc w:val="right"/>
            </w:pPr>
            <w:r w:rsidRPr="005B0796">
              <w:t>3646</w:t>
            </w:r>
          </w:p>
        </w:tc>
        <w:tc>
          <w:tcPr>
            <w:tcW w:w="811" w:type="dxa"/>
            <w:hideMark/>
          </w:tcPr>
          <w:p w14:paraId="360A8A1F" w14:textId="77777777" w:rsidR="00B903A5" w:rsidRPr="005B0796" w:rsidRDefault="00B903A5" w:rsidP="00594252">
            <w:pPr>
              <w:pStyle w:val="TableText"/>
              <w:jc w:val="right"/>
            </w:pPr>
            <w:r w:rsidRPr="005B0796">
              <w:t>17.6</w:t>
            </w:r>
          </w:p>
        </w:tc>
        <w:tc>
          <w:tcPr>
            <w:tcW w:w="811" w:type="dxa"/>
            <w:hideMark/>
          </w:tcPr>
          <w:p w14:paraId="4D618AB2" w14:textId="77777777" w:rsidR="00B903A5" w:rsidRPr="005B0796" w:rsidRDefault="00B903A5" w:rsidP="00594252">
            <w:pPr>
              <w:pStyle w:val="TableText"/>
              <w:jc w:val="right"/>
            </w:pPr>
            <w:r w:rsidRPr="005B0796">
              <w:t>47,645</w:t>
            </w:r>
          </w:p>
        </w:tc>
        <w:tc>
          <w:tcPr>
            <w:tcW w:w="716" w:type="dxa"/>
            <w:hideMark/>
          </w:tcPr>
          <w:p w14:paraId="3212BAC9" w14:textId="77777777" w:rsidR="00B903A5" w:rsidRPr="005B0796" w:rsidRDefault="00B903A5" w:rsidP="00594252">
            <w:pPr>
              <w:pStyle w:val="TableText"/>
              <w:jc w:val="right"/>
            </w:pPr>
            <w:r w:rsidRPr="005B0796">
              <w:t>15,176</w:t>
            </w:r>
          </w:p>
        </w:tc>
        <w:tc>
          <w:tcPr>
            <w:tcW w:w="906" w:type="dxa"/>
            <w:hideMark/>
          </w:tcPr>
          <w:p w14:paraId="13948EFC" w14:textId="77777777" w:rsidR="00B903A5" w:rsidRPr="005B0796" w:rsidRDefault="00B903A5" w:rsidP="00594252">
            <w:pPr>
              <w:pStyle w:val="TableText"/>
              <w:jc w:val="right"/>
              <w:rPr>
                <w:rFonts w:eastAsia="Times New Roman"/>
                <w:lang w:eastAsia="en-AU"/>
              </w:rPr>
            </w:pPr>
            <w:r w:rsidRPr="005B0796">
              <w:rPr>
                <w:rFonts w:eastAsia="Times New Roman"/>
                <w:lang w:eastAsia="en-AU"/>
              </w:rPr>
              <w:t>6693</w:t>
            </w:r>
          </w:p>
        </w:tc>
        <w:tc>
          <w:tcPr>
            <w:tcW w:w="811" w:type="dxa"/>
            <w:hideMark/>
          </w:tcPr>
          <w:p w14:paraId="453E047B" w14:textId="77777777" w:rsidR="00B903A5" w:rsidRPr="005B0796" w:rsidRDefault="00B903A5" w:rsidP="00594252">
            <w:pPr>
              <w:pStyle w:val="TableText"/>
              <w:jc w:val="right"/>
              <w:rPr>
                <w:rFonts w:eastAsia="MS ??"/>
              </w:rPr>
            </w:pPr>
            <w:r w:rsidRPr="005B0796">
              <w:t>44.1</w:t>
            </w:r>
          </w:p>
        </w:tc>
      </w:tr>
      <w:tr w:rsidR="00B903A5" w:rsidRPr="005B0796" w14:paraId="6B77F6D9"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3D490D0D" w14:textId="77777777" w:rsidR="00B903A5" w:rsidRPr="005B0796" w:rsidRDefault="00B903A5" w:rsidP="00594252">
            <w:pPr>
              <w:pStyle w:val="TableText"/>
              <w:ind w:left="144"/>
            </w:pPr>
            <w:r w:rsidRPr="005B0796">
              <w:t>Female</w:t>
            </w:r>
          </w:p>
        </w:tc>
        <w:tc>
          <w:tcPr>
            <w:tcW w:w="810" w:type="dxa"/>
            <w:hideMark/>
          </w:tcPr>
          <w:p w14:paraId="368675AE" w14:textId="77777777" w:rsidR="00B903A5" w:rsidRPr="005B0796" w:rsidRDefault="00B903A5" w:rsidP="00594252">
            <w:pPr>
              <w:pStyle w:val="TableText"/>
              <w:jc w:val="right"/>
            </w:pPr>
            <w:r w:rsidRPr="005B0796">
              <w:t>3261</w:t>
            </w:r>
          </w:p>
        </w:tc>
        <w:tc>
          <w:tcPr>
            <w:tcW w:w="720" w:type="dxa"/>
            <w:hideMark/>
          </w:tcPr>
          <w:p w14:paraId="5F5D5266" w14:textId="77777777" w:rsidR="00B903A5" w:rsidRPr="005B0796" w:rsidRDefault="00B903A5" w:rsidP="00594252">
            <w:pPr>
              <w:pStyle w:val="TableText"/>
              <w:jc w:val="right"/>
            </w:pPr>
            <w:r w:rsidRPr="005B0796">
              <w:t>3261</w:t>
            </w:r>
          </w:p>
        </w:tc>
        <w:tc>
          <w:tcPr>
            <w:tcW w:w="902" w:type="dxa"/>
            <w:hideMark/>
          </w:tcPr>
          <w:p w14:paraId="1A2F0A1E" w14:textId="77777777" w:rsidR="00B903A5" w:rsidRPr="005B0796" w:rsidRDefault="00B903A5" w:rsidP="00594252">
            <w:pPr>
              <w:pStyle w:val="TableText"/>
              <w:jc w:val="right"/>
            </w:pPr>
            <w:r w:rsidRPr="005B0796">
              <w:t>380</w:t>
            </w:r>
          </w:p>
        </w:tc>
        <w:tc>
          <w:tcPr>
            <w:tcW w:w="811" w:type="dxa"/>
            <w:hideMark/>
          </w:tcPr>
          <w:p w14:paraId="19A3EC6E" w14:textId="77777777" w:rsidR="00B903A5" w:rsidRPr="005B0796" w:rsidRDefault="00B903A5" w:rsidP="00594252">
            <w:pPr>
              <w:pStyle w:val="TableText"/>
              <w:jc w:val="right"/>
            </w:pPr>
            <w:r w:rsidRPr="005B0796">
              <w:t>20.9</w:t>
            </w:r>
          </w:p>
        </w:tc>
        <w:tc>
          <w:tcPr>
            <w:tcW w:w="811" w:type="dxa"/>
            <w:hideMark/>
          </w:tcPr>
          <w:p w14:paraId="40B1EF09" w14:textId="77777777" w:rsidR="00B903A5" w:rsidRPr="005B0796" w:rsidRDefault="00B903A5" w:rsidP="00594252">
            <w:pPr>
              <w:pStyle w:val="TableText"/>
              <w:jc w:val="right"/>
            </w:pPr>
            <w:r w:rsidRPr="005B0796">
              <w:t>4855</w:t>
            </w:r>
          </w:p>
        </w:tc>
        <w:tc>
          <w:tcPr>
            <w:tcW w:w="716" w:type="dxa"/>
            <w:hideMark/>
          </w:tcPr>
          <w:p w14:paraId="052BF328" w14:textId="77777777" w:rsidR="00B903A5" w:rsidRPr="005B0796" w:rsidRDefault="00B903A5" w:rsidP="00594252">
            <w:pPr>
              <w:pStyle w:val="TableText"/>
              <w:jc w:val="right"/>
            </w:pPr>
            <w:r w:rsidRPr="005B0796">
              <w:t>4855</w:t>
            </w:r>
          </w:p>
        </w:tc>
        <w:tc>
          <w:tcPr>
            <w:tcW w:w="906" w:type="dxa"/>
            <w:hideMark/>
          </w:tcPr>
          <w:p w14:paraId="021BF291" w14:textId="77777777" w:rsidR="00B903A5" w:rsidRPr="005B0796" w:rsidRDefault="00B903A5" w:rsidP="00594252">
            <w:pPr>
              <w:pStyle w:val="TableText"/>
              <w:jc w:val="right"/>
              <w:rPr>
                <w:rFonts w:eastAsia="Times New Roman"/>
                <w:lang w:eastAsia="en-AU"/>
              </w:rPr>
            </w:pPr>
            <w:r w:rsidRPr="005B0796">
              <w:rPr>
                <w:rFonts w:eastAsia="Times New Roman"/>
                <w:lang w:eastAsia="en-AU"/>
              </w:rPr>
              <w:t>1787</w:t>
            </w:r>
          </w:p>
        </w:tc>
        <w:tc>
          <w:tcPr>
            <w:tcW w:w="811" w:type="dxa"/>
            <w:hideMark/>
          </w:tcPr>
          <w:p w14:paraId="05355E86" w14:textId="77777777" w:rsidR="00B903A5" w:rsidRPr="005B0796" w:rsidRDefault="00B903A5" w:rsidP="00594252">
            <w:pPr>
              <w:pStyle w:val="TableText"/>
              <w:jc w:val="right"/>
              <w:rPr>
                <w:rFonts w:eastAsia="MS ??"/>
              </w:rPr>
            </w:pPr>
            <w:r w:rsidRPr="005B0796">
              <w:t>36.8</w:t>
            </w:r>
          </w:p>
        </w:tc>
      </w:tr>
      <w:tr w:rsidR="00B903A5" w:rsidRPr="005B0796" w14:paraId="114CBEE6" w14:textId="77777777" w:rsidTr="00D268F6">
        <w:trPr>
          <w:cantSplit/>
        </w:trPr>
        <w:tc>
          <w:tcPr>
            <w:tcW w:w="828" w:type="dxa"/>
            <w:hideMark/>
          </w:tcPr>
          <w:p w14:paraId="7445CE31" w14:textId="77777777" w:rsidR="00B903A5" w:rsidRPr="005B0796" w:rsidRDefault="00B903A5" w:rsidP="00594252">
            <w:pPr>
              <w:pStyle w:val="TableText"/>
              <w:rPr>
                <w:b/>
              </w:rPr>
            </w:pPr>
            <w:r w:rsidRPr="005B0796">
              <w:rPr>
                <w:b/>
              </w:rPr>
              <w:t>Rank</w:t>
            </w:r>
          </w:p>
        </w:tc>
        <w:tc>
          <w:tcPr>
            <w:tcW w:w="810" w:type="dxa"/>
          </w:tcPr>
          <w:p w14:paraId="350429F5" w14:textId="77777777" w:rsidR="00B903A5" w:rsidRPr="005B0796" w:rsidRDefault="00B903A5" w:rsidP="00594252">
            <w:pPr>
              <w:pStyle w:val="TableText"/>
              <w:jc w:val="right"/>
            </w:pPr>
          </w:p>
        </w:tc>
        <w:tc>
          <w:tcPr>
            <w:tcW w:w="720" w:type="dxa"/>
          </w:tcPr>
          <w:p w14:paraId="7BCA7517" w14:textId="77777777" w:rsidR="00B903A5" w:rsidRPr="005B0796" w:rsidRDefault="00B903A5" w:rsidP="00594252">
            <w:pPr>
              <w:pStyle w:val="TableText"/>
              <w:jc w:val="right"/>
            </w:pPr>
          </w:p>
        </w:tc>
        <w:tc>
          <w:tcPr>
            <w:tcW w:w="902" w:type="dxa"/>
          </w:tcPr>
          <w:p w14:paraId="20FAF270" w14:textId="77777777" w:rsidR="00B903A5" w:rsidRPr="005B0796" w:rsidRDefault="00B903A5" w:rsidP="00594252">
            <w:pPr>
              <w:pStyle w:val="TableText"/>
              <w:jc w:val="right"/>
            </w:pPr>
          </w:p>
        </w:tc>
        <w:tc>
          <w:tcPr>
            <w:tcW w:w="811" w:type="dxa"/>
          </w:tcPr>
          <w:p w14:paraId="5633688F" w14:textId="77777777" w:rsidR="00B903A5" w:rsidRPr="005B0796" w:rsidRDefault="00B903A5" w:rsidP="00594252">
            <w:pPr>
              <w:pStyle w:val="TableText"/>
              <w:jc w:val="right"/>
            </w:pPr>
          </w:p>
        </w:tc>
        <w:tc>
          <w:tcPr>
            <w:tcW w:w="811" w:type="dxa"/>
          </w:tcPr>
          <w:p w14:paraId="0D3F26CB" w14:textId="77777777" w:rsidR="00B903A5" w:rsidRPr="005B0796" w:rsidRDefault="00B903A5" w:rsidP="00594252">
            <w:pPr>
              <w:pStyle w:val="TableText"/>
              <w:jc w:val="right"/>
            </w:pPr>
          </w:p>
        </w:tc>
        <w:tc>
          <w:tcPr>
            <w:tcW w:w="716" w:type="dxa"/>
          </w:tcPr>
          <w:p w14:paraId="4AC0025A" w14:textId="77777777" w:rsidR="00B903A5" w:rsidRPr="005B0796" w:rsidRDefault="00B903A5" w:rsidP="00594252">
            <w:pPr>
              <w:pStyle w:val="TableText"/>
              <w:jc w:val="right"/>
            </w:pPr>
          </w:p>
        </w:tc>
        <w:tc>
          <w:tcPr>
            <w:tcW w:w="906" w:type="dxa"/>
          </w:tcPr>
          <w:p w14:paraId="432710E9" w14:textId="77777777" w:rsidR="00B903A5" w:rsidRPr="005B0796" w:rsidRDefault="00B903A5" w:rsidP="00594252">
            <w:pPr>
              <w:pStyle w:val="TableText"/>
              <w:jc w:val="right"/>
              <w:rPr>
                <w:rFonts w:eastAsia="Times New Roman"/>
                <w:lang w:eastAsia="en-AU"/>
              </w:rPr>
            </w:pPr>
          </w:p>
        </w:tc>
        <w:tc>
          <w:tcPr>
            <w:tcW w:w="811" w:type="dxa"/>
          </w:tcPr>
          <w:p w14:paraId="4CC088CB" w14:textId="77777777" w:rsidR="00B903A5" w:rsidRPr="005B0796" w:rsidRDefault="00B903A5" w:rsidP="00594252">
            <w:pPr>
              <w:pStyle w:val="TableText"/>
              <w:jc w:val="right"/>
              <w:rPr>
                <w:rFonts w:eastAsia="MS ??"/>
              </w:rPr>
            </w:pPr>
          </w:p>
        </w:tc>
      </w:tr>
      <w:tr w:rsidR="00B903A5" w:rsidRPr="005B0796" w14:paraId="6358CFCD"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4844274A" w14:textId="77777777" w:rsidR="00B903A5" w:rsidRPr="005B0796" w:rsidRDefault="00B903A5" w:rsidP="00594252">
            <w:pPr>
              <w:pStyle w:val="TableText"/>
              <w:ind w:left="144"/>
            </w:pPr>
            <w:r w:rsidRPr="005B0796">
              <w:t>OFFR</w:t>
            </w:r>
          </w:p>
        </w:tc>
        <w:tc>
          <w:tcPr>
            <w:tcW w:w="810" w:type="dxa"/>
            <w:hideMark/>
          </w:tcPr>
          <w:p w14:paraId="79A42263" w14:textId="77777777" w:rsidR="00B903A5" w:rsidRPr="005B0796" w:rsidRDefault="00B903A5" w:rsidP="00594252">
            <w:pPr>
              <w:pStyle w:val="TableText"/>
              <w:jc w:val="right"/>
            </w:pPr>
            <w:r w:rsidRPr="005B0796">
              <w:t>4063</w:t>
            </w:r>
          </w:p>
        </w:tc>
        <w:tc>
          <w:tcPr>
            <w:tcW w:w="720" w:type="dxa"/>
            <w:hideMark/>
          </w:tcPr>
          <w:p w14:paraId="28C82E5F" w14:textId="77777777" w:rsidR="00B903A5" w:rsidRPr="005B0796" w:rsidRDefault="00B903A5" w:rsidP="00594252">
            <w:pPr>
              <w:pStyle w:val="TableText"/>
              <w:jc w:val="right"/>
            </w:pPr>
            <w:r w:rsidRPr="005B0796">
              <w:t>3939</w:t>
            </w:r>
          </w:p>
        </w:tc>
        <w:tc>
          <w:tcPr>
            <w:tcW w:w="902" w:type="dxa"/>
            <w:hideMark/>
          </w:tcPr>
          <w:p w14:paraId="22A7B679" w14:textId="77777777" w:rsidR="00B903A5" w:rsidRPr="005B0796" w:rsidRDefault="00B903A5" w:rsidP="00594252">
            <w:pPr>
              <w:pStyle w:val="TableText"/>
              <w:jc w:val="right"/>
            </w:pPr>
            <w:r w:rsidRPr="005B0796">
              <w:t>1259</w:t>
            </w:r>
          </w:p>
        </w:tc>
        <w:tc>
          <w:tcPr>
            <w:tcW w:w="811" w:type="dxa"/>
            <w:hideMark/>
          </w:tcPr>
          <w:p w14:paraId="17101022" w14:textId="77777777" w:rsidR="00B903A5" w:rsidRPr="005B0796" w:rsidRDefault="00B903A5" w:rsidP="00594252">
            <w:pPr>
              <w:pStyle w:val="TableText"/>
              <w:jc w:val="right"/>
            </w:pPr>
            <w:r w:rsidRPr="005B0796">
              <w:t>32.0</w:t>
            </w:r>
          </w:p>
        </w:tc>
        <w:tc>
          <w:tcPr>
            <w:tcW w:w="811" w:type="dxa"/>
            <w:hideMark/>
          </w:tcPr>
          <w:p w14:paraId="5E47A976" w14:textId="77777777" w:rsidR="00B903A5" w:rsidRPr="005B0796" w:rsidRDefault="00B903A5" w:rsidP="00594252">
            <w:pPr>
              <w:pStyle w:val="TableText"/>
              <w:jc w:val="right"/>
            </w:pPr>
            <w:r w:rsidRPr="005B0796">
              <w:t>13,444</w:t>
            </w:r>
          </w:p>
        </w:tc>
        <w:tc>
          <w:tcPr>
            <w:tcW w:w="716" w:type="dxa"/>
            <w:hideMark/>
          </w:tcPr>
          <w:p w14:paraId="7E3D0E26" w14:textId="77777777" w:rsidR="00B903A5" w:rsidRPr="005B0796" w:rsidRDefault="00B903A5" w:rsidP="00594252">
            <w:pPr>
              <w:pStyle w:val="TableText"/>
              <w:jc w:val="right"/>
            </w:pPr>
            <w:r w:rsidRPr="005B0796">
              <w:t>7847</w:t>
            </w:r>
          </w:p>
        </w:tc>
        <w:tc>
          <w:tcPr>
            <w:tcW w:w="906" w:type="dxa"/>
            <w:hideMark/>
          </w:tcPr>
          <w:p w14:paraId="0754B26E" w14:textId="77777777" w:rsidR="00B903A5" w:rsidRPr="005B0796" w:rsidRDefault="00B903A5" w:rsidP="00594252">
            <w:pPr>
              <w:pStyle w:val="TableText"/>
              <w:jc w:val="right"/>
              <w:rPr>
                <w:rFonts w:eastAsia="Times New Roman"/>
                <w:lang w:eastAsia="en-AU"/>
              </w:rPr>
            </w:pPr>
            <w:r w:rsidRPr="005B0796">
              <w:rPr>
                <w:rFonts w:eastAsia="Times New Roman"/>
                <w:lang w:eastAsia="en-AU"/>
              </w:rPr>
              <w:t>3538</w:t>
            </w:r>
          </w:p>
        </w:tc>
        <w:tc>
          <w:tcPr>
            <w:tcW w:w="811" w:type="dxa"/>
            <w:hideMark/>
          </w:tcPr>
          <w:p w14:paraId="574DEBB8" w14:textId="77777777" w:rsidR="00B903A5" w:rsidRPr="005B0796" w:rsidRDefault="00B903A5" w:rsidP="00594252">
            <w:pPr>
              <w:pStyle w:val="TableText"/>
              <w:jc w:val="right"/>
              <w:rPr>
                <w:rFonts w:eastAsia="MS ??"/>
              </w:rPr>
            </w:pPr>
            <w:r w:rsidRPr="005B0796">
              <w:t>45.1</w:t>
            </w:r>
          </w:p>
        </w:tc>
      </w:tr>
      <w:tr w:rsidR="00B903A5" w:rsidRPr="005B0796" w14:paraId="2469B56C" w14:textId="77777777" w:rsidTr="00D268F6">
        <w:trPr>
          <w:cantSplit/>
        </w:trPr>
        <w:tc>
          <w:tcPr>
            <w:tcW w:w="828" w:type="dxa"/>
            <w:hideMark/>
          </w:tcPr>
          <w:p w14:paraId="6128E322" w14:textId="77777777" w:rsidR="00B903A5" w:rsidRPr="005B0796" w:rsidRDefault="00B903A5" w:rsidP="00594252">
            <w:pPr>
              <w:pStyle w:val="TableText"/>
              <w:ind w:left="144"/>
            </w:pPr>
            <w:r w:rsidRPr="005B0796">
              <w:t>NCO</w:t>
            </w:r>
          </w:p>
        </w:tc>
        <w:tc>
          <w:tcPr>
            <w:tcW w:w="810" w:type="dxa"/>
            <w:hideMark/>
          </w:tcPr>
          <w:p w14:paraId="789E6C42" w14:textId="77777777" w:rsidR="00B903A5" w:rsidRPr="005B0796" w:rsidRDefault="00B903A5" w:rsidP="00594252">
            <w:pPr>
              <w:pStyle w:val="TableText"/>
              <w:jc w:val="right"/>
            </w:pPr>
            <w:r w:rsidRPr="005B0796">
              <w:t>7866</w:t>
            </w:r>
          </w:p>
        </w:tc>
        <w:tc>
          <w:tcPr>
            <w:tcW w:w="720" w:type="dxa"/>
            <w:hideMark/>
          </w:tcPr>
          <w:p w14:paraId="70AC292B" w14:textId="77777777" w:rsidR="00B903A5" w:rsidRPr="005B0796" w:rsidRDefault="00B903A5" w:rsidP="00594252">
            <w:pPr>
              <w:pStyle w:val="TableText"/>
              <w:jc w:val="right"/>
            </w:pPr>
            <w:r w:rsidRPr="005B0796">
              <w:t>7393</w:t>
            </w:r>
          </w:p>
        </w:tc>
        <w:tc>
          <w:tcPr>
            <w:tcW w:w="902" w:type="dxa"/>
            <w:hideMark/>
          </w:tcPr>
          <w:p w14:paraId="17B446F1" w14:textId="77777777" w:rsidR="00B903A5" w:rsidRPr="005B0796" w:rsidRDefault="00B903A5" w:rsidP="00594252">
            <w:pPr>
              <w:pStyle w:val="TableText"/>
              <w:jc w:val="right"/>
            </w:pPr>
            <w:r w:rsidRPr="005B0796">
              <w:t>2097</w:t>
            </w:r>
          </w:p>
        </w:tc>
        <w:tc>
          <w:tcPr>
            <w:tcW w:w="811" w:type="dxa"/>
            <w:hideMark/>
          </w:tcPr>
          <w:p w14:paraId="7A1249D0" w14:textId="77777777" w:rsidR="00B903A5" w:rsidRPr="005B0796" w:rsidRDefault="00B903A5" w:rsidP="00594252">
            <w:pPr>
              <w:pStyle w:val="TableText"/>
              <w:jc w:val="right"/>
            </w:pPr>
            <w:r w:rsidRPr="005B0796">
              <w:t>28.4</w:t>
            </w:r>
          </w:p>
        </w:tc>
        <w:tc>
          <w:tcPr>
            <w:tcW w:w="811" w:type="dxa"/>
            <w:hideMark/>
          </w:tcPr>
          <w:p w14:paraId="2AA6AE98" w14:textId="77777777" w:rsidR="00B903A5" w:rsidRPr="005B0796" w:rsidRDefault="00B903A5" w:rsidP="00594252">
            <w:pPr>
              <w:pStyle w:val="TableText"/>
              <w:jc w:val="right"/>
            </w:pPr>
            <w:r w:rsidRPr="005B0796">
              <w:t>17,491</w:t>
            </w:r>
          </w:p>
        </w:tc>
        <w:tc>
          <w:tcPr>
            <w:tcW w:w="716" w:type="dxa"/>
            <w:hideMark/>
          </w:tcPr>
          <w:p w14:paraId="5784C4C6" w14:textId="77777777" w:rsidR="00B903A5" w:rsidRPr="005B0796" w:rsidRDefault="00B903A5" w:rsidP="00594252">
            <w:pPr>
              <w:pStyle w:val="TableText"/>
              <w:jc w:val="right"/>
            </w:pPr>
            <w:r w:rsidRPr="005B0796">
              <w:t>9117</w:t>
            </w:r>
          </w:p>
        </w:tc>
        <w:tc>
          <w:tcPr>
            <w:tcW w:w="906" w:type="dxa"/>
            <w:hideMark/>
          </w:tcPr>
          <w:p w14:paraId="1B7DCBAE" w14:textId="77777777" w:rsidR="00B903A5" w:rsidRPr="005B0796" w:rsidRDefault="00B903A5" w:rsidP="00594252">
            <w:pPr>
              <w:pStyle w:val="TableText"/>
              <w:jc w:val="right"/>
              <w:rPr>
                <w:rFonts w:eastAsia="Times New Roman"/>
                <w:lang w:eastAsia="en-AU"/>
              </w:rPr>
            </w:pPr>
            <w:r w:rsidRPr="005B0796">
              <w:rPr>
                <w:rFonts w:eastAsia="Times New Roman"/>
                <w:lang w:eastAsia="en-AU"/>
              </w:rPr>
              <w:t>4336</w:t>
            </w:r>
          </w:p>
        </w:tc>
        <w:tc>
          <w:tcPr>
            <w:tcW w:w="811" w:type="dxa"/>
            <w:hideMark/>
          </w:tcPr>
          <w:p w14:paraId="43FB8D54" w14:textId="77777777" w:rsidR="00B903A5" w:rsidRPr="005B0796" w:rsidRDefault="00B903A5" w:rsidP="00594252">
            <w:pPr>
              <w:pStyle w:val="TableText"/>
              <w:jc w:val="right"/>
              <w:rPr>
                <w:rFonts w:eastAsia="MS ??"/>
              </w:rPr>
            </w:pPr>
            <w:r w:rsidRPr="005B0796">
              <w:t>47.6</w:t>
            </w:r>
          </w:p>
        </w:tc>
      </w:tr>
      <w:tr w:rsidR="00B903A5" w:rsidRPr="005B0796" w14:paraId="5522DC4E"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0661A4EA" w14:textId="77777777" w:rsidR="00B903A5" w:rsidRPr="005B0796" w:rsidRDefault="00B903A5" w:rsidP="00594252">
            <w:pPr>
              <w:pStyle w:val="TableText"/>
              <w:ind w:left="144"/>
            </w:pPr>
            <w:r w:rsidRPr="005B0796">
              <w:t>Other Ranks</w:t>
            </w:r>
          </w:p>
        </w:tc>
        <w:tc>
          <w:tcPr>
            <w:tcW w:w="810" w:type="dxa"/>
            <w:hideMark/>
          </w:tcPr>
          <w:p w14:paraId="6B004CB8" w14:textId="77777777" w:rsidR="00B903A5" w:rsidRPr="005B0796" w:rsidRDefault="00B903A5" w:rsidP="00594252">
            <w:pPr>
              <w:pStyle w:val="TableText"/>
              <w:jc w:val="right"/>
            </w:pPr>
            <w:r w:rsidRPr="005B0796">
              <w:t>13,003</w:t>
            </w:r>
          </w:p>
        </w:tc>
        <w:tc>
          <w:tcPr>
            <w:tcW w:w="720" w:type="dxa"/>
            <w:hideMark/>
          </w:tcPr>
          <w:p w14:paraId="058C1307" w14:textId="77777777" w:rsidR="00B903A5" w:rsidRPr="005B0796" w:rsidRDefault="00B903A5" w:rsidP="00594252">
            <w:pPr>
              <w:pStyle w:val="TableText"/>
              <w:jc w:val="right"/>
            </w:pPr>
            <w:r w:rsidRPr="005B0796">
              <w:t>12,642</w:t>
            </w:r>
          </w:p>
        </w:tc>
        <w:tc>
          <w:tcPr>
            <w:tcW w:w="902" w:type="dxa"/>
            <w:hideMark/>
          </w:tcPr>
          <w:p w14:paraId="69C2A179" w14:textId="77777777" w:rsidR="00B903A5" w:rsidRPr="005B0796" w:rsidRDefault="00B903A5" w:rsidP="00594252">
            <w:pPr>
              <w:pStyle w:val="TableText"/>
              <w:jc w:val="right"/>
            </w:pPr>
            <w:r w:rsidRPr="005B0796">
              <w:t>970</w:t>
            </w:r>
          </w:p>
        </w:tc>
        <w:tc>
          <w:tcPr>
            <w:tcW w:w="811" w:type="dxa"/>
            <w:hideMark/>
          </w:tcPr>
          <w:p w14:paraId="6AB9860E" w14:textId="77777777" w:rsidR="00B903A5" w:rsidRPr="005B0796" w:rsidRDefault="00B903A5" w:rsidP="00594252">
            <w:pPr>
              <w:pStyle w:val="TableText"/>
              <w:jc w:val="right"/>
            </w:pPr>
            <w:r w:rsidRPr="005B0796">
              <w:t>7.7</w:t>
            </w:r>
          </w:p>
        </w:tc>
        <w:tc>
          <w:tcPr>
            <w:tcW w:w="811" w:type="dxa"/>
            <w:hideMark/>
          </w:tcPr>
          <w:p w14:paraId="6A58C4E3" w14:textId="77777777" w:rsidR="00B903A5" w:rsidRPr="005B0796" w:rsidRDefault="00B903A5" w:rsidP="00594252">
            <w:pPr>
              <w:pStyle w:val="TableText"/>
              <w:jc w:val="right"/>
            </w:pPr>
            <w:r w:rsidRPr="005B0796">
              <w:t>21,565</w:t>
            </w:r>
          </w:p>
        </w:tc>
        <w:tc>
          <w:tcPr>
            <w:tcW w:w="716" w:type="dxa"/>
            <w:hideMark/>
          </w:tcPr>
          <w:p w14:paraId="6A8637B1" w14:textId="77777777" w:rsidR="00B903A5" w:rsidRPr="005B0796" w:rsidRDefault="00B903A5" w:rsidP="00594252">
            <w:pPr>
              <w:pStyle w:val="TableText"/>
              <w:jc w:val="right"/>
            </w:pPr>
            <w:r w:rsidRPr="005B0796">
              <w:t>3067</w:t>
            </w:r>
          </w:p>
        </w:tc>
        <w:tc>
          <w:tcPr>
            <w:tcW w:w="906" w:type="dxa"/>
            <w:hideMark/>
          </w:tcPr>
          <w:p w14:paraId="3A136B7A" w14:textId="77777777" w:rsidR="00B903A5" w:rsidRPr="005B0796" w:rsidRDefault="00B903A5" w:rsidP="00594252">
            <w:pPr>
              <w:pStyle w:val="TableText"/>
              <w:jc w:val="right"/>
              <w:rPr>
                <w:rFonts w:eastAsia="Times New Roman"/>
                <w:lang w:eastAsia="en-AU"/>
              </w:rPr>
            </w:pPr>
            <w:r w:rsidRPr="005B0796">
              <w:rPr>
                <w:rFonts w:eastAsia="Times New Roman"/>
                <w:lang w:eastAsia="en-AU"/>
              </w:rPr>
              <w:t>606</w:t>
            </w:r>
          </w:p>
        </w:tc>
        <w:tc>
          <w:tcPr>
            <w:tcW w:w="811" w:type="dxa"/>
            <w:hideMark/>
          </w:tcPr>
          <w:p w14:paraId="160EE98F" w14:textId="77777777" w:rsidR="00B903A5" w:rsidRPr="005B0796" w:rsidRDefault="00B903A5" w:rsidP="00594252">
            <w:pPr>
              <w:pStyle w:val="TableText"/>
              <w:jc w:val="right"/>
              <w:rPr>
                <w:rFonts w:eastAsia="MS ??"/>
              </w:rPr>
            </w:pPr>
            <w:r w:rsidRPr="005B0796">
              <w:t>19.7</w:t>
            </w:r>
          </w:p>
        </w:tc>
      </w:tr>
      <w:tr w:rsidR="00B903A5" w:rsidRPr="005B0796" w14:paraId="49CB5913" w14:textId="77777777" w:rsidTr="00D268F6">
        <w:trPr>
          <w:cantSplit/>
        </w:trPr>
        <w:tc>
          <w:tcPr>
            <w:tcW w:w="828" w:type="dxa"/>
            <w:hideMark/>
          </w:tcPr>
          <w:p w14:paraId="356A6F82" w14:textId="77777777" w:rsidR="00B903A5" w:rsidRPr="005B0796" w:rsidRDefault="00B903A5" w:rsidP="00594252">
            <w:pPr>
              <w:pStyle w:val="TableText"/>
              <w:rPr>
                <w:b/>
              </w:rPr>
            </w:pPr>
            <w:r w:rsidRPr="005B0796">
              <w:rPr>
                <w:b/>
              </w:rPr>
              <w:t>Medical fitness</w:t>
            </w:r>
          </w:p>
        </w:tc>
        <w:tc>
          <w:tcPr>
            <w:tcW w:w="810" w:type="dxa"/>
          </w:tcPr>
          <w:p w14:paraId="4F449987" w14:textId="77777777" w:rsidR="00B903A5" w:rsidRPr="005B0796" w:rsidRDefault="00B903A5" w:rsidP="00594252">
            <w:pPr>
              <w:pStyle w:val="TableText"/>
              <w:jc w:val="right"/>
            </w:pPr>
          </w:p>
        </w:tc>
        <w:tc>
          <w:tcPr>
            <w:tcW w:w="720" w:type="dxa"/>
          </w:tcPr>
          <w:p w14:paraId="15C2BEF1" w14:textId="77777777" w:rsidR="00B903A5" w:rsidRPr="005B0796" w:rsidRDefault="00B903A5" w:rsidP="00594252">
            <w:pPr>
              <w:pStyle w:val="TableText"/>
              <w:jc w:val="right"/>
            </w:pPr>
          </w:p>
        </w:tc>
        <w:tc>
          <w:tcPr>
            <w:tcW w:w="902" w:type="dxa"/>
          </w:tcPr>
          <w:p w14:paraId="6B23D06E" w14:textId="77777777" w:rsidR="00B903A5" w:rsidRPr="005B0796" w:rsidRDefault="00B903A5" w:rsidP="00594252">
            <w:pPr>
              <w:pStyle w:val="TableText"/>
              <w:jc w:val="right"/>
            </w:pPr>
          </w:p>
        </w:tc>
        <w:tc>
          <w:tcPr>
            <w:tcW w:w="811" w:type="dxa"/>
          </w:tcPr>
          <w:p w14:paraId="58000498" w14:textId="77777777" w:rsidR="00B903A5" w:rsidRPr="005B0796" w:rsidRDefault="00B903A5" w:rsidP="00594252">
            <w:pPr>
              <w:pStyle w:val="TableText"/>
              <w:jc w:val="right"/>
            </w:pPr>
          </w:p>
        </w:tc>
        <w:tc>
          <w:tcPr>
            <w:tcW w:w="811" w:type="dxa"/>
          </w:tcPr>
          <w:p w14:paraId="13BD2625" w14:textId="77777777" w:rsidR="00B903A5" w:rsidRPr="005B0796" w:rsidRDefault="00B903A5" w:rsidP="00594252">
            <w:pPr>
              <w:pStyle w:val="TableText"/>
              <w:jc w:val="right"/>
            </w:pPr>
          </w:p>
        </w:tc>
        <w:tc>
          <w:tcPr>
            <w:tcW w:w="716" w:type="dxa"/>
          </w:tcPr>
          <w:p w14:paraId="5A6D14A2" w14:textId="77777777" w:rsidR="00B903A5" w:rsidRPr="005B0796" w:rsidRDefault="00B903A5" w:rsidP="00594252">
            <w:pPr>
              <w:pStyle w:val="TableText"/>
              <w:jc w:val="right"/>
            </w:pPr>
          </w:p>
        </w:tc>
        <w:tc>
          <w:tcPr>
            <w:tcW w:w="906" w:type="dxa"/>
          </w:tcPr>
          <w:p w14:paraId="25BD77B9" w14:textId="77777777" w:rsidR="00B903A5" w:rsidRPr="005B0796" w:rsidRDefault="00B903A5" w:rsidP="00594252">
            <w:pPr>
              <w:pStyle w:val="TableText"/>
              <w:jc w:val="right"/>
              <w:rPr>
                <w:rFonts w:eastAsia="Times New Roman"/>
                <w:lang w:eastAsia="en-AU"/>
              </w:rPr>
            </w:pPr>
          </w:p>
        </w:tc>
        <w:tc>
          <w:tcPr>
            <w:tcW w:w="811" w:type="dxa"/>
          </w:tcPr>
          <w:p w14:paraId="70A6CB1F" w14:textId="77777777" w:rsidR="00B903A5" w:rsidRPr="005B0796" w:rsidRDefault="00B903A5" w:rsidP="00594252">
            <w:pPr>
              <w:pStyle w:val="TableText"/>
              <w:jc w:val="right"/>
              <w:rPr>
                <w:rFonts w:eastAsia="MS ??"/>
              </w:rPr>
            </w:pPr>
          </w:p>
        </w:tc>
      </w:tr>
      <w:tr w:rsidR="00B903A5" w:rsidRPr="005B0796" w14:paraId="46736830"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19250EA3" w14:textId="77777777" w:rsidR="00B903A5" w:rsidRPr="005B0796" w:rsidRDefault="00B903A5" w:rsidP="00594252">
            <w:pPr>
              <w:pStyle w:val="TableText"/>
              <w:ind w:left="144"/>
            </w:pPr>
            <w:r w:rsidRPr="005B0796">
              <w:t>Fit</w:t>
            </w:r>
          </w:p>
        </w:tc>
        <w:tc>
          <w:tcPr>
            <w:tcW w:w="810" w:type="dxa"/>
            <w:hideMark/>
          </w:tcPr>
          <w:p w14:paraId="3DAF49CC" w14:textId="77777777" w:rsidR="00B903A5" w:rsidRPr="005B0796" w:rsidRDefault="00B903A5" w:rsidP="00594252">
            <w:pPr>
              <w:pStyle w:val="TableText"/>
              <w:jc w:val="right"/>
            </w:pPr>
            <w:r w:rsidRPr="005B0796">
              <w:t>18,273</w:t>
            </w:r>
          </w:p>
        </w:tc>
        <w:tc>
          <w:tcPr>
            <w:tcW w:w="720" w:type="dxa"/>
            <w:hideMark/>
          </w:tcPr>
          <w:p w14:paraId="08AEF500" w14:textId="77777777" w:rsidR="00B903A5" w:rsidRPr="005B0796" w:rsidRDefault="00B903A5" w:rsidP="00594252">
            <w:pPr>
              <w:pStyle w:val="TableText"/>
              <w:jc w:val="right"/>
            </w:pPr>
            <w:r w:rsidRPr="005B0796">
              <w:t>17,525</w:t>
            </w:r>
          </w:p>
        </w:tc>
        <w:tc>
          <w:tcPr>
            <w:tcW w:w="902" w:type="dxa"/>
            <w:hideMark/>
          </w:tcPr>
          <w:p w14:paraId="3AF9A4F7" w14:textId="77777777" w:rsidR="00B903A5" w:rsidRPr="005B0796" w:rsidRDefault="00B903A5" w:rsidP="00594252">
            <w:pPr>
              <w:pStyle w:val="TableText"/>
              <w:jc w:val="right"/>
            </w:pPr>
            <w:r w:rsidRPr="005B0796">
              <w:t>2981</w:t>
            </w:r>
          </w:p>
        </w:tc>
        <w:tc>
          <w:tcPr>
            <w:tcW w:w="811" w:type="dxa"/>
            <w:hideMark/>
          </w:tcPr>
          <w:p w14:paraId="163A78C4" w14:textId="77777777" w:rsidR="00B903A5" w:rsidRPr="005B0796" w:rsidRDefault="00B903A5" w:rsidP="00594252">
            <w:pPr>
              <w:pStyle w:val="TableText"/>
              <w:jc w:val="right"/>
            </w:pPr>
            <w:r w:rsidRPr="005B0796">
              <w:t>17.0</w:t>
            </w:r>
          </w:p>
        </w:tc>
        <w:tc>
          <w:tcPr>
            <w:tcW w:w="811" w:type="dxa"/>
            <w:hideMark/>
          </w:tcPr>
          <w:p w14:paraId="5C37B34B" w14:textId="77777777" w:rsidR="00B903A5" w:rsidRPr="005B0796" w:rsidRDefault="00B903A5" w:rsidP="00594252">
            <w:pPr>
              <w:pStyle w:val="TableText"/>
              <w:jc w:val="right"/>
            </w:pPr>
            <w:r w:rsidRPr="005B0796">
              <w:t>46,022</w:t>
            </w:r>
          </w:p>
        </w:tc>
        <w:tc>
          <w:tcPr>
            <w:tcW w:w="716" w:type="dxa"/>
            <w:hideMark/>
          </w:tcPr>
          <w:p w14:paraId="5FE63802" w14:textId="77777777" w:rsidR="00B903A5" w:rsidRPr="005B0796" w:rsidRDefault="00B903A5" w:rsidP="00594252">
            <w:pPr>
              <w:pStyle w:val="TableText"/>
              <w:jc w:val="right"/>
            </w:pPr>
            <w:r w:rsidRPr="005B0796">
              <w:t>17,097</w:t>
            </w:r>
          </w:p>
        </w:tc>
        <w:tc>
          <w:tcPr>
            <w:tcW w:w="906" w:type="dxa"/>
            <w:hideMark/>
          </w:tcPr>
          <w:p w14:paraId="1DFF96EB" w14:textId="77777777" w:rsidR="00B903A5" w:rsidRPr="005B0796" w:rsidRDefault="00B903A5" w:rsidP="00594252">
            <w:pPr>
              <w:pStyle w:val="TableText"/>
              <w:jc w:val="right"/>
              <w:rPr>
                <w:rFonts w:eastAsia="Times New Roman"/>
                <w:lang w:eastAsia="en-AU"/>
              </w:rPr>
            </w:pPr>
            <w:r w:rsidRPr="005B0796">
              <w:rPr>
                <w:rFonts w:eastAsia="Times New Roman"/>
                <w:lang w:eastAsia="en-AU"/>
              </w:rPr>
              <w:t>7116</w:t>
            </w:r>
          </w:p>
        </w:tc>
        <w:tc>
          <w:tcPr>
            <w:tcW w:w="811" w:type="dxa"/>
            <w:hideMark/>
          </w:tcPr>
          <w:p w14:paraId="714D8850" w14:textId="77777777" w:rsidR="00B903A5" w:rsidRPr="005B0796" w:rsidRDefault="00B903A5" w:rsidP="00594252">
            <w:pPr>
              <w:pStyle w:val="TableText"/>
              <w:jc w:val="right"/>
              <w:rPr>
                <w:rFonts w:eastAsia="MS ??"/>
              </w:rPr>
            </w:pPr>
            <w:r w:rsidRPr="005B0796">
              <w:t>41.6</w:t>
            </w:r>
          </w:p>
        </w:tc>
      </w:tr>
      <w:tr w:rsidR="00B903A5" w:rsidRPr="005B0796" w14:paraId="0CA3A4F9" w14:textId="77777777" w:rsidTr="00D268F6">
        <w:trPr>
          <w:cantSplit/>
        </w:trPr>
        <w:tc>
          <w:tcPr>
            <w:tcW w:w="828" w:type="dxa"/>
            <w:hideMark/>
          </w:tcPr>
          <w:p w14:paraId="5470CE7B" w14:textId="77777777" w:rsidR="00B903A5" w:rsidRPr="005B0796" w:rsidRDefault="00B903A5" w:rsidP="00594252">
            <w:pPr>
              <w:pStyle w:val="TableText"/>
              <w:ind w:left="144"/>
            </w:pPr>
            <w:r w:rsidRPr="005B0796">
              <w:t>Unfit</w:t>
            </w:r>
          </w:p>
        </w:tc>
        <w:tc>
          <w:tcPr>
            <w:tcW w:w="810" w:type="dxa"/>
            <w:hideMark/>
          </w:tcPr>
          <w:p w14:paraId="06AE24BF" w14:textId="77777777" w:rsidR="00B903A5" w:rsidRPr="005B0796" w:rsidRDefault="00B903A5" w:rsidP="00594252">
            <w:pPr>
              <w:pStyle w:val="TableText"/>
              <w:jc w:val="right"/>
            </w:pPr>
            <w:r w:rsidRPr="005B0796">
              <w:t>6659</w:t>
            </w:r>
          </w:p>
        </w:tc>
        <w:tc>
          <w:tcPr>
            <w:tcW w:w="720" w:type="dxa"/>
            <w:hideMark/>
          </w:tcPr>
          <w:p w14:paraId="61C4619E" w14:textId="77777777" w:rsidR="00B903A5" w:rsidRPr="005B0796" w:rsidRDefault="00B903A5" w:rsidP="00594252">
            <w:pPr>
              <w:pStyle w:val="TableText"/>
              <w:jc w:val="right"/>
            </w:pPr>
            <w:r w:rsidRPr="005B0796">
              <w:t>6449</w:t>
            </w:r>
          </w:p>
        </w:tc>
        <w:tc>
          <w:tcPr>
            <w:tcW w:w="902" w:type="dxa"/>
            <w:hideMark/>
          </w:tcPr>
          <w:p w14:paraId="45E1C703" w14:textId="77777777" w:rsidR="00B903A5" w:rsidRPr="005B0796" w:rsidRDefault="00B903A5" w:rsidP="00594252">
            <w:pPr>
              <w:pStyle w:val="TableText"/>
              <w:jc w:val="right"/>
            </w:pPr>
            <w:r w:rsidRPr="005B0796">
              <w:t>1345</w:t>
            </w:r>
          </w:p>
        </w:tc>
        <w:tc>
          <w:tcPr>
            <w:tcW w:w="811" w:type="dxa"/>
            <w:hideMark/>
          </w:tcPr>
          <w:p w14:paraId="019C850D" w14:textId="77777777" w:rsidR="00B903A5" w:rsidRPr="005B0796" w:rsidRDefault="00B903A5" w:rsidP="00594252">
            <w:pPr>
              <w:pStyle w:val="TableText"/>
              <w:jc w:val="right"/>
            </w:pPr>
            <w:r w:rsidRPr="005B0796">
              <w:t>20.9</w:t>
            </w:r>
          </w:p>
        </w:tc>
        <w:tc>
          <w:tcPr>
            <w:tcW w:w="811" w:type="dxa"/>
            <w:hideMark/>
          </w:tcPr>
          <w:p w14:paraId="6CA8F7B8" w14:textId="77777777" w:rsidR="00B903A5" w:rsidRPr="005B0796" w:rsidRDefault="00B903A5" w:rsidP="00594252">
            <w:pPr>
              <w:pStyle w:val="TableText"/>
              <w:jc w:val="right"/>
            </w:pPr>
            <w:r w:rsidRPr="005B0796">
              <w:t>6478</w:t>
            </w:r>
          </w:p>
        </w:tc>
        <w:tc>
          <w:tcPr>
            <w:tcW w:w="716" w:type="dxa"/>
            <w:hideMark/>
          </w:tcPr>
          <w:p w14:paraId="2934504C" w14:textId="77777777" w:rsidR="00B903A5" w:rsidRPr="005B0796" w:rsidRDefault="00B903A5" w:rsidP="00594252">
            <w:pPr>
              <w:pStyle w:val="TableText"/>
              <w:jc w:val="right"/>
            </w:pPr>
            <w:r w:rsidRPr="005B0796">
              <w:t>2934</w:t>
            </w:r>
          </w:p>
        </w:tc>
        <w:tc>
          <w:tcPr>
            <w:tcW w:w="906" w:type="dxa"/>
            <w:hideMark/>
          </w:tcPr>
          <w:p w14:paraId="56F93BC4" w14:textId="77777777" w:rsidR="00B903A5" w:rsidRPr="005B0796" w:rsidRDefault="00B903A5" w:rsidP="00594252">
            <w:pPr>
              <w:pStyle w:val="TableText"/>
              <w:jc w:val="right"/>
            </w:pPr>
            <w:r w:rsidRPr="005B0796">
              <w:t>1364</w:t>
            </w:r>
          </w:p>
        </w:tc>
        <w:tc>
          <w:tcPr>
            <w:tcW w:w="811" w:type="dxa"/>
            <w:hideMark/>
          </w:tcPr>
          <w:p w14:paraId="3276A4F9" w14:textId="77777777" w:rsidR="00B903A5" w:rsidRPr="005B0796" w:rsidRDefault="00B903A5" w:rsidP="00594252">
            <w:pPr>
              <w:pStyle w:val="TableText"/>
              <w:jc w:val="right"/>
            </w:pPr>
            <w:r w:rsidRPr="005B0796">
              <w:t>46.5</w:t>
            </w:r>
          </w:p>
        </w:tc>
      </w:tr>
      <w:tr w:rsidR="00B903A5" w:rsidRPr="005B0796" w14:paraId="53D2A4DB"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828" w:type="dxa"/>
            <w:hideMark/>
          </w:tcPr>
          <w:p w14:paraId="7CFCA6FD" w14:textId="77777777" w:rsidR="00B903A5" w:rsidRPr="005B0796" w:rsidRDefault="00B903A5" w:rsidP="00594252">
            <w:pPr>
              <w:pStyle w:val="TableText"/>
              <w:rPr>
                <w:b/>
              </w:rPr>
            </w:pPr>
            <w:r w:rsidRPr="005B0796">
              <w:rPr>
                <w:b/>
              </w:rPr>
              <w:t>Total</w:t>
            </w:r>
          </w:p>
        </w:tc>
        <w:tc>
          <w:tcPr>
            <w:tcW w:w="810" w:type="dxa"/>
            <w:hideMark/>
          </w:tcPr>
          <w:p w14:paraId="039F4381" w14:textId="77777777" w:rsidR="00B903A5" w:rsidRPr="005B0796" w:rsidRDefault="00B903A5" w:rsidP="00594252">
            <w:pPr>
              <w:pStyle w:val="TableText"/>
              <w:jc w:val="right"/>
            </w:pPr>
            <w:r w:rsidRPr="005B0796">
              <w:t>24,932</w:t>
            </w:r>
          </w:p>
        </w:tc>
        <w:tc>
          <w:tcPr>
            <w:tcW w:w="720" w:type="dxa"/>
            <w:hideMark/>
          </w:tcPr>
          <w:p w14:paraId="0FED6EA1" w14:textId="77777777" w:rsidR="00B903A5" w:rsidRPr="005B0796" w:rsidRDefault="00B903A5" w:rsidP="00594252">
            <w:pPr>
              <w:pStyle w:val="TableText"/>
              <w:jc w:val="right"/>
            </w:pPr>
            <w:r w:rsidRPr="005B0796">
              <w:t>23,974</w:t>
            </w:r>
            <w:r w:rsidRPr="005B0796">
              <w:rPr>
                <w:vertAlign w:val="superscript"/>
              </w:rPr>
              <w:t>a</w:t>
            </w:r>
          </w:p>
        </w:tc>
        <w:tc>
          <w:tcPr>
            <w:tcW w:w="902" w:type="dxa"/>
            <w:hideMark/>
          </w:tcPr>
          <w:p w14:paraId="22B9C3E6" w14:textId="77777777" w:rsidR="00B903A5" w:rsidRPr="005B0796" w:rsidRDefault="00B903A5" w:rsidP="00594252">
            <w:pPr>
              <w:pStyle w:val="TableText"/>
              <w:jc w:val="right"/>
            </w:pPr>
            <w:r w:rsidRPr="005B0796">
              <w:t>4326</w:t>
            </w:r>
          </w:p>
        </w:tc>
        <w:tc>
          <w:tcPr>
            <w:tcW w:w="811" w:type="dxa"/>
            <w:hideMark/>
          </w:tcPr>
          <w:p w14:paraId="4B9D04E1" w14:textId="77777777" w:rsidR="00B903A5" w:rsidRPr="005B0796" w:rsidRDefault="00B903A5" w:rsidP="00594252">
            <w:pPr>
              <w:pStyle w:val="TableText"/>
              <w:jc w:val="right"/>
            </w:pPr>
            <w:r w:rsidRPr="005B0796">
              <w:t>18.0</w:t>
            </w:r>
          </w:p>
        </w:tc>
        <w:tc>
          <w:tcPr>
            <w:tcW w:w="811" w:type="dxa"/>
            <w:hideMark/>
          </w:tcPr>
          <w:p w14:paraId="61D0F9A9" w14:textId="77777777" w:rsidR="00B903A5" w:rsidRPr="005B0796" w:rsidRDefault="00B903A5" w:rsidP="00594252">
            <w:pPr>
              <w:pStyle w:val="TableText"/>
              <w:jc w:val="right"/>
            </w:pPr>
            <w:r w:rsidRPr="005B0796">
              <w:t>52,500</w:t>
            </w:r>
          </w:p>
        </w:tc>
        <w:tc>
          <w:tcPr>
            <w:tcW w:w="716" w:type="dxa"/>
            <w:hideMark/>
          </w:tcPr>
          <w:p w14:paraId="2906C501" w14:textId="77777777" w:rsidR="00B903A5" w:rsidRPr="005B0796" w:rsidRDefault="00B903A5" w:rsidP="00594252">
            <w:pPr>
              <w:pStyle w:val="TableText"/>
              <w:jc w:val="right"/>
            </w:pPr>
            <w:r w:rsidRPr="005B0796">
              <w:t>20,031</w:t>
            </w:r>
          </w:p>
        </w:tc>
        <w:tc>
          <w:tcPr>
            <w:tcW w:w="906" w:type="dxa"/>
            <w:hideMark/>
          </w:tcPr>
          <w:p w14:paraId="03C06D77" w14:textId="77777777" w:rsidR="00B903A5" w:rsidRPr="005B0796" w:rsidRDefault="00B903A5" w:rsidP="00594252">
            <w:pPr>
              <w:pStyle w:val="TableText"/>
              <w:jc w:val="right"/>
            </w:pPr>
            <w:r w:rsidRPr="005B0796">
              <w:t>8480</w:t>
            </w:r>
          </w:p>
        </w:tc>
        <w:tc>
          <w:tcPr>
            <w:tcW w:w="811" w:type="dxa"/>
            <w:hideMark/>
          </w:tcPr>
          <w:p w14:paraId="08342741" w14:textId="77777777" w:rsidR="00B903A5" w:rsidRPr="005B0796" w:rsidRDefault="00B903A5" w:rsidP="00594252">
            <w:pPr>
              <w:pStyle w:val="TableText"/>
              <w:jc w:val="right"/>
            </w:pPr>
            <w:r w:rsidRPr="005B0796">
              <w:t>42.3</w:t>
            </w:r>
          </w:p>
        </w:tc>
      </w:tr>
    </w:tbl>
    <w:p w14:paraId="530B40E5" w14:textId="77777777" w:rsidR="00B903A5" w:rsidRPr="005B0796" w:rsidRDefault="00B903A5" w:rsidP="00B903A5">
      <w:pPr>
        <w:pStyle w:val="TableNotes"/>
        <w:keepNext/>
        <w:rPr>
          <w:rFonts w:asciiTheme="minorHAnsi" w:hAnsiTheme="minorHAnsi"/>
          <w:bCs/>
        </w:rPr>
      </w:pPr>
      <w:r w:rsidRPr="006A3EA0">
        <w:rPr>
          <w:b/>
        </w:rPr>
        <w:t>Notes</w:t>
      </w:r>
      <w:r w:rsidRPr="005B0796">
        <w:br/>
        <w:t>Unweighted data</w:t>
      </w:r>
      <w:r>
        <w:t>.</w:t>
      </w:r>
    </w:p>
    <w:p w14:paraId="71C57B23" w14:textId="77777777" w:rsidR="00B903A5" w:rsidRPr="005B0796" w:rsidRDefault="00B903A5" w:rsidP="00B903A5">
      <w:pPr>
        <w:pStyle w:val="TableNotes"/>
      </w:pPr>
      <w:r w:rsidRPr="005B0796">
        <w:t>95%CI</w:t>
      </w:r>
      <w:r>
        <w:t xml:space="preserve"> =</w:t>
      </w:r>
      <w:r w:rsidRPr="005B0796">
        <w:t xml:space="preserve"> 95% confidence interval</w:t>
      </w:r>
      <w:r>
        <w:t>.</w:t>
      </w:r>
    </w:p>
    <w:p w14:paraId="4011E7C6" w14:textId="77777777" w:rsidR="00B903A5" w:rsidRPr="005B0796" w:rsidRDefault="00B903A5" w:rsidP="00B903A5">
      <w:pPr>
        <w:keepNext/>
      </w:pPr>
      <w:r w:rsidRPr="005B0796">
        <w:t>The characteristics of survey respondents were as follows:</w:t>
      </w:r>
    </w:p>
    <w:p w14:paraId="09F56CBA" w14:textId="77777777" w:rsidR="00B903A5" w:rsidRPr="005B0796" w:rsidRDefault="00B903A5" w:rsidP="00B903A5">
      <w:r w:rsidRPr="005B0796">
        <w:rPr>
          <w:b/>
          <w:bCs/>
        </w:rPr>
        <w:t>Sex</w:t>
      </w:r>
      <w:r w:rsidRPr="005B0796">
        <w:t xml:space="preserve"> – Consistent with the Transitioned ADF population, the sample was predominantly male</w:t>
      </w:r>
      <w:r>
        <w:t>,</w:t>
      </w:r>
      <w:r w:rsidRPr="005B0796">
        <w:t xml:space="preserve"> with transitioned females being significantly more likely to respond than transitioned males. In the 2015 Regular ADF population, females were less likely to respond than males.</w:t>
      </w:r>
    </w:p>
    <w:p w14:paraId="2758CE39" w14:textId="77777777" w:rsidR="00B903A5" w:rsidRPr="005B0796" w:rsidRDefault="00B903A5" w:rsidP="00B903A5">
      <w:r w:rsidRPr="005B0796">
        <w:rPr>
          <w:b/>
          <w:bCs/>
        </w:rPr>
        <w:t>Age</w:t>
      </w:r>
      <w:r w:rsidRPr="005B0796">
        <w:t xml:space="preserve"> – Transitioned ADF survey responders (mean age 41.9 </w:t>
      </w:r>
      <w:r>
        <w:t>[</w:t>
      </w:r>
      <w:r w:rsidRPr="005B0796">
        <w:t>SE 0.18</w:t>
      </w:r>
      <w:r>
        <w:t>]</w:t>
      </w:r>
      <w:r w:rsidRPr="005B0796">
        <w:t xml:space="preserve">) were similar in age to the 2015 Regular ADF responders (mean age 41.1 </w:t>
      </w:r>
      <w:r>
        <w:t>[</w:t>
      </w:r>
      <w:r w:rsidRPr="005B0796">
        <w:t>SE 0.1</w:t>
      </w:r>
      <w:r>
        <w:t>]</w:t>
      </w:r>
      <w:r w:rsidRPr="005B0796">
        <w:t>).</w:t>
      </w:r>
    </w:p>
    <w:p w14:paraId="14EC3275" w14:textId="77777777" w:rsidR="00B903A5" w:rsidRPr="005B0796" w:rsidRDefault="00B903A5" w:rsidP="00B903A5">
      <w:r w:rsidRPr="005B0796">
        <w:rPr>
          <w:b/>
          <w:bCs/>
        </w:rPr>
        <w:t>Rank</w:t>
      </w:r>
      <w:r w:rsidRPr="005B0796">
        <w:t xml:space="preserve"> – Survey responders from the Transitioned ADF comprised 29.1% Officers, 48.5% Non</w:t>
      </w:r>
      <w:r w:rsidRPr="005B0796">
        <w:noBreakHyphen/>
        <w:t>Commissioned Officers and 22.4% Other Ranks. In the 2015 Regular ADF, there was a similar distribution</w:t>
      </w:r>
      <w:r>
        <w:t>,</w:t>
      </w:r>
      <w:r w:rsidRPr="005B0796">
        <w:t xml:space="preserve"> with 41.7% Officers, 51.1% Non-Commissioned Officers and 7.2% Other Ranks. The Transitioned ADF population had significantly lower response rates for Officers and Non</w:t>
      </w:r>
      <w:r w:rsidRPr="005B0796">
        <w:noBreakHyphen/>
        <w:t xml:space="preserve">Commissioned Officers, but significantly higher response rates in the Other Ranks compared to the 2015 Regular ADF. In both groups, the lower ranks were the poorest responders. </w:t>
      </w:r>
    </w:p>
    <w:p w14:paraId="44586C80" w14:textId="77777777" w:rsidR="00B903A5" w:rsidRPr="005B0796" w:rsidRDefault="00B903A5" w:rsidP="00B903A5">
      <w:r w:rsidRPr="005B0796">
        <w:rPr>
          <w:b/>
        </w:rPr>
        <w:t>Service</w:t>
      </w:r>
      <w:r w:rsidRPr="005B0796">
        <w:t xml:space="preserve"> – In the Transitioned ADF survey group, 19.9% of survey responders were Navy, 56.9% were Army and 23.1% were Air Force. However, for the Regular 2015 ADF, 34.7% of survey responders were Navy, 41.3% were Army and 24.1% were Air Force. When response rates in the different </w:t>
      </w:r>
      <w:r>
        <w:t>s</w:t>
      </w:r>
      <w:r w:rsidRPr="005B0796">
        <w:t>ervices were compared, Transitioned Air Force members were most likely to respond, whereas Transitioned Army and Transitioned Navy members were least likely to respond. In the 2015 Regular ADF, Army had the highest response rate at 41.3%.</w:t>
      </w:r>
    </w:p>
    <w:p w14:paraId="0F47349B" w14:textId="77777777" w:rsidR="00B903A5" w:rsidRPr="005B0796" w:rsidRDefault="00B903A5" w:rsidP="00B903A5">
      <w:r w:rsidRPr="005B0796">
        <w:rPr>
          <w:b/>
          <w:bCs/>
        </w:rPr>
        <w:t xml:space="preserve">Medical fitness </w:t>
      </w:r>
      <w:r w:rsidRPr="005B0796">
        <w:rPr>
          <w:bCs/>
        </w:rPr>
        <w:t>–</w:t>
      </w:r>
      <w:r w:rsidRPr="005B0796">
        <w:rPr>
          <w:b/>
          <w:bCs/>
        </w:rPr>
        <w:t xml:space="preserve"> </w:t>
      </w:r>
      <w:r w:rsidRPr="005B0796">
        <w:t xml:space="preserve">Transitioned ADF who were medically unfit on transition from the 2015 Regular ADF were slightly over-represented in the responder group (31.1%) compared to the 2015 Regular ADF population (16.1%). Transitioned ADF who were medically unfit had a response rate of 21.0% compared to 46.5% in the 2015 Regular ADF population. </w:t>
      </w:r>
    </w:p>
    <w:p w14:paraId="39B9EA70" w14:textId="77777777" w:rsidR="003661B0" w:rsidRDefault="003661B0" w:rsidP="002A7F4E"/>
    <w:p w14:paraId="2C639325" w14:textId="77777777" w:rsidR="003057E9" w:rsidRDefault="003057E9" w:rsidP="002A7F4E">
      <w:pPr>
        <w:sectPr w:rsidR="003057E9" w:rsidSect="003057E9">
          <w:type w:val="oddPage"/>
          <w:pgSz w:w="9979" w:h="14170" w:code="243"/>
          <w:pgMar w:top="1440" w:right="1152" w:bottom="1440" w:left="1728" w:header="576" w:footer="576" w:gutter="0"/>
          <w:cols w:space="708"/>
          <w:docGrid w:linePitch="360"/>
        </w:sectPr>
      </w:pPr>
    </w:p>
    <w:p w14:paraId="0310BEB9" w14:textId="77777777" w:rsidR="00B903A5" w:rsidRPr="005B0796" w:rsidRDefault="00B903A5" w:rsidP="00B903A5">
      <w:pPr>
        <w:pStyle w:val="FigureName"/>
        <w:spacing w:before="0"/>
        <w:ind w:left="1077" w:hanging="1077"/>
        <w:rPr>
          <w:sz w:val="24"/>
        </w:rPr>
      </w:pPr>
      <w:bookmarkStart w:id="1386" w:name="_Toc528932432"/>
      <w:bookmarkStart w:id="1387" w:name="_Toc531858113"/>
      <w:r w:rsidRPr="005B0796">
        <w:t>Figure A.1</w:t>
      </w:r>
      <w:r w:rsidRPr="005B0796">
        <w:tab/>
        <w:t>Survey response rates for Transitioned ADF and 2015 Regular ADF</w:t>
      </w:r>
      <w:bookmarkEnd w:id="1386"/>
      <w:bookmarkEnd w:id="1387"/>
    </w:p>
    <w:tbl>
      <w:tblPr>
        <w:tblW w:w="5000" w:type="pct"/>
        <w:tblLayout w:type="fixed"/>
        <w:tblCellMar>
          <w:left w:w="115" w:type="dxa"/>
          <w:right w:w="115" w:type="dxa"/>
        </w:tblCellMar>
        <w:tblLook w:val="04A0" w:firstRow="1" w:lastRow="0" w:firstColumn="1" w:lastColumn="0" w:noHBand="0" w:noVBand="1"/>
        <w:tblDescription w:val="Figure A.1 Survey response rates for Transitioned ADF and 2015 Regular ADF"/>
      </w:tblPr>
      <w:tblGrid>
        <w:gridCol w:w="2005"/>
        <w:gridCol w:w="1462"/>
        <w:gridCol w:w="1851"/>
        <w:gridCol w:w="1414"/>
        <w:gridCol w:w="1853"/>
        <w:gridCol w:w="2705"/>
      </w:tblGrid>
      <w:tr w:rsidR="00B903A5" w14:paraId="7EC53B32" w14:textId="77777777" w:rsidTr="00D268F6">
        <w:trPr>
          <w:cantSplit/>
        </w:trPr>
        <w:tc>
          <w:tcPr>
            <w:tcW w:w="11520" w:type="dxa"/>
            <w:gridSpan w:val="6"/>
            <w:tcBorders>
              <w:bottom w:val="nil"/>
            </w:tcBorders>
          </w:tcPr>
          <w:p w14:paraId="34716F3D" w14:textId="77777777" w:rsidR="00B903A5" w:rsidRDefault="00B903A5" w:rsidP="00594252">
            <w:r>
              <w:rPr>
                <w:noProof/>
                <w:lang w:eastAsia="en-AU"/>
              </w:rPr>
              <mc:AlternateContent>
                <mc:Choice Requires="wpg">
                  <w:drawing>
                    <wp:anchor distT="0" distB="0" distL="114300" distR="114300" simplePos="0" relativeHeight="251613184" behindDoc="0" locked="0" layoutInCell="1" allowOverlap="1" wp14:anchorId="33FBDB79" wp14:editId="634D6396">
                      <wp:simplePos x="0" y="0"/>
                      <wp:positionH relativeFrom="column">
                        <wp:posOffset>5391150</wp:posOffset>
                      </wp:positionH>
                      <wp:positionV relativeFrom="paragraph">
                        <wp:posOffset>1885315</wp:posOffset>
                      </wp:positionV>
                      <wp:extent cx="182880" cy="1778635"/>
                      <wp:effectExtent l="0" t="0" r="26670" b="31115"/>
                      <wp:wrapNone/>
                      <wp:docPr id="501" name="Group 501"/>
                      <wp:cNvGraphicFramePr/>
                      <a:graphic xmlns:a="http://schemas.openxmlformats.org/drawingml/2006/main">
                        <a:graphicData uri="http://schemas.microsoft.com/office/word/2010/wordprocessingGroup">
                          <wpg:wgp>
                            <wpg:cNvGrpSpPr/>
                            <wpg:grpSpPr>
                              <a:xfrm>
                                <a:off x="0" y="0"/>
                                <a:ext cx="182880" cy="1778635"/>
                                <a:chOff x="0" y="0"/>
                                <a:chExt cx="182880" cy="1778635"/>
                              </a:xfrm>
                            </wpg:grpSpPr>
                            <wps:wsp>
                              <wps:cNvPr id="502" name="Straight Connector 502"/>
                              <wps:cNvCnPr/>
                              <wps:spPr>
                                <a:xfrm flipH="1">
                                  <a:off x="88900" y="0"/>
                                  <a:ext cx="12700" cy="1778635"/>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cNvPr id="503" name="Group 503"/>
                              <wpg:cNvGrpSpPr/>
                              <wpg:grpSpPr>
                                <a:xfrm>
                                  <a:off x="0" y="457200"/>
                                  <a:ext cx="182880" cy="1320800"/>
                                  <a:chOff x="0" y="0"/>
                                  <a:chExt cx="182880" cy="1320800"/>
                                </a:xfrm>
                              </wpg:grpSpPr>
                              <wpg:grpSp>
                                <wpg:cNvPr id="504" name="Group 504"/>
                                <wpg:cNvGrpSpPr/>
                                <wpg:grpSpPr>
                                  <a:xfrm>
                                    <a:off x="0" y="0"/>
                                    <a:ext cx="182880" cy="806450"/>
                                    <a:chOff x="0" y="0"/>
                                    <a:chExt cx="182880" cy="806450"/>
                                  </a:xfrm>
                                </wpg:grpSpPr>
                                <wps:wsp>
                                  <wps:cNvPr id="505" name="Straight Connector 505"/>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06" name="Straight Connector 506"/>
                                  <wps:cNvCnPr/>
                                  <wps:spPr>
                                    <a:xfrm>
                                      <a:off x="0" y="1016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07" name="Straight Connector 507"/>
                                  <wps:cNvCnPr/>
                                  <wps:spPr>
                                    <a:xfrm>
                                      <a:off x="0" y="2032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08" name="Straight Connector 508"/>
                                  <wps:cNvCnPr/>
                                  <wps:spPr>
                                    <a:xfrm>
                                      <a:off x="0" y="2984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09" name="Straight Connector 509"/>
                                  <wps:cNvCnPr/>
                                  <wps:spPr>
                                    <a:xfrm>
                                      <a:off x="0" y="4000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10" name="Straight Connector 510"/>
                                  <wps:cNvCnPr/>
                                  <wps:spPr>
                                    <a:xfrm>
                                      <a:off x="0" y="5143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11" name="Straight Connector 511"/>
                                  <wps:cNvCnPr/>
                                  <wps:spPr>
                                    <a:xfrm>
                                      <a:off x="0" y="6159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0" y="7048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a:off x="0" y="8064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s:wsp>
                                <wps:cNvPr id="290" name="Straight Connector 290"/>
                                <wps:cNvCnPr/>
                                <wps:spPr>
                                  <a:xfrm>
                                    <a:off x="0" y="12192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a:off x="0" y="9080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2" name="Straight Connector 292"/>
                                <wps:cNvCnPr/>
                                <wps:spPr>
                                  <a:xfrm>
                                    <a:off x="0" y="10160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3" name="Straight Connector 293"/>
                                <wps:cNvCnPr/>
                                <wps:spPr>
                                  <a:xfrm>
                                    <a:off x="0" y="11112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0" y="13208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A887845" id="Group 501" o:spid="_x0000_s1026" style="position:absolute;margin-left:424.5pt;margin-top:148.45pt;width:14.4pt;height:140.05pt;z-index:251613184" coordsize="1828,1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">
                      <v:line id="Straight Connector 502" o:spid="_x0000_s1027" style="position:absolute;flip:x;visibility:visible;mso-wrap-style:square" from="889,0" to="1016,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a4osMAAADcAAAADwAAAGRycy9kb3ducmV2LnhtbESPQYvCMBSE7wv+h/AEb2tqYWW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uKLDAAAA3AAAAA8AAAAAAAAAAAAA&#10;AAAAoQIAAGRycy9kb3ducmV2LnhtbFBLBQYAAAAABAAEAPkAAACRAwAAAAA=&#10;" strokeweight="1.5pt"/>
                      <v:group id="Group 503" o:spid="_x0000_s1028" style="position:absolute;top:4572;width:1828;height:13208" coordsize="1828,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504" o:spid="_x0000_s1029" style="position:absolute;width:1828;height:8064" coordsize="1828,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line id="Straight Connector 505" o:spid="_x0000_s1030"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ni5MQAAADcAAAADwAAAGRycy9kb3ducmV2LnhtbESPQWvCQBSE7wX/w/KE3urGi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LkxAAAANwAAAAPAAAAAAAAAAAA&#10;AAAAAKECAABkcnMvZG93bnJldi54bWxQSwUGAAAAAAQABAD5AAAAkgMAAAAA&#10;" strokeweight="1.5pt"/>
                          <v:line id="Straight Connector 506" o:spid="_x0000_s1031" style="position:absolute;visibility:visible;mso-wrap-style:square" from="0,1016" to="182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8k8QAAADcAAAADwAAAGRycy9kb3ducmV2LnhtbESPQWvCQBSE74L/YXkFb7ppi1JSVxHB&#10;Kr0Zi9DbI/tMYrJv092Npv/eFQSPw8x8w8yXvWnEhZyvLCt4nSQgiHOrKy4U/Bw24w8QPiBrbCyT&#10;gn/ysFwMB3NMtb3yni5ZKESEsE9RQRlCm0rp85IM+oltiaN3ss5giNIVUju8Rrhp5FuSzKTBiuNC&#10;iS2tS8rrrDMKjl3Gv+d64xrsvrbb0/Gv9u/fSo1e+tUniEB9eIYf7Z1WME1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3yTxAAAANwAAAAPAAAAAAAAAAAA&#10;AAAAAKECAABkcnMvZG93bnJldi54bWxQSwUGAAAAAAQABAD5AAAAkgMAAAAA&#10;" strokeweight="1.5pt"/>
                          <v:line id="Straight Connector 507" o:spid="_x0000_s1032" style="position:absolute;visibility:visible;mso-wrap-style:square" from="0,2032" to="1828,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ZCMUAAADcAAAADwAAAGRycy9kb3ducmV2LnhtbESPT2vCQBTE74V+h+UVvNWNlVqJriKC&#10;f+itqQjeHtlnEpN9m+5uNP323YLgcZiZ3zDzZW8acSXnK8sKRsMEBHFudcWFgsP35nUKwgdkjY1l&#10;UvBLHpaL56c5ptre+IuuWShEhLBPUUEZQptK6fOSDPqhbYmjd7bOYIjSFVI7vEW4aeRbkkykwYrj&#10;QoktrUvK66wzCo5dxqdLvXENdtvd7nz8qf34U6nBS7+agQjUh0f43t5rBe/JB/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fZCMUAAADcAAAADwAAAAAAAAAA&#10;AAAAAAChAgAAZHJzL2Rvd25yZXYueG1sUEsFBgAAAAAEAAQA+QAAAJMDAAAAAA==&#10;" strokeweight="1.5pt"/>
                          <v:line id="Straight Connector 508" o:spid="_x0000_s1033" style="position:absolute;visibility:visible;mso-wrap-style:square" from="0,2984" to="182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NesIAAADcAAAADwAAAGRycy9kb3ducmV2LnhtbERPy2rCQBTdC/2H4Ra600ktlRKdiBSs&#10;pbvGEnB3ydw8TOZOnJlo+vedRcHl4bw328n04krOt5YVPC8SEMSl1S3XCn6O+/kbCB+QNfaWScEv&#10;edhmD7MNptre+JuueahFDGGfooImhCGV0pcNGfQLOxBHrrLOYIjQ1VI7vMVw08tlkqykwZZjQ4MD&#10;vTdUdvloFBRjzqdzt3c9jh+HQ1VcOv/ypdTT47Rbgwg0hbv43/2pFbwmcW08E4+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hNesIAAADcAAAADwAAAAAAAAAAAAAA&#10;AAChAgAAZHJzL2Rvd25yZXYueG1sUEsFBgAAAAAEAAQA+QAAAJADAAAAAA==&#10;" strokeweight="1.5pt"/>
                          <v:line id="Straight Connector 509" o:spid="_x0000_s1034" style="position:absolute;visibility:visible;mso-wrap-style:square" from="0,4000" to="182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o4cUAAADcAAAADwAAAGRycy9kb3ducmV2LnhtbESPT2vCQBTE74V+h+UVvNWNlUqNriKC&#10;f+itqQjeHtlnEpN9m+5uNP323YLgcZiZ3zDzZW8acSXnK8sKRsMEBHFudcWFgsP35vUDhA/IGhvL&#10;pOCXPCwXz09zTLW98Rdds1CICGGfooIyhDaV0uclGfRD2xJH72ydwRClK6R2eItw08i3JJlIgxXH&#10;hRJbWpeU11lnFBy7jE+XeuMa7La73fn4U/vxp1KDl341AxGoD4/wvb3XCt6TKfyf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o4cUAAADcAAAADwAAAAAAAAAA&#10;AAAAAAChAgAAZHJzL2Rvd25yZXYueG1sUEsFBgAAAAAEAAQA+QAAAJMDAAAAAA==&#10;" strokeweight="1.5pt"/>
                          <v:line id="Straight Connector 510" o:spid="_x0000_s1035" style="position:absolute;visibility:visible;mso-wrap-style:square" from="0,5143" to="182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ocIAAADcAAAADwAAAGRycy9kb3ducmV2LnhtbERPy2rCQBTdC/2H4Ra604ktSkmdSClY&#10;i7tGCXR3ydw8msyddGai8e+dRcHl4bw328n04kzOt5YVLBcJCOLS6pZrBafjbv4Kwgdkjb1lUnAl&#10;D9vsYbbBVNsLf9M5D7WIIexTVNCEMKRS+rIhg35hB+LIVdYZDBG6WmqHlxhuevmcJGtpsOXY0OBA&#10;Hw2VXT4aBcWY889vt3M9jp/7fVX8df7loNTT4/T+BiLQFO7if/eXVrBaxvnxTDwCMr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XocIAAADcAAAADwAAAAAAAAAAAAAA&#10;AAChAgAAZHJzL2Rvd25yZXYueG1sUEsFBgAAAAAEAAQA+QAAAJADAAAAAA==&#10;" strokeweight="1.5pt"/>
                          <v:line id="Straight Connector 511" o:spid="_x0000_s1036" style="position:absolute;visibility:visible;mso-wrap-style:square" from="0,6159" to="182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tyOsQAAADcAAAADwAAAGRycy9kb3ducmV2LnhtbESPQWvCQBSE74X+h+UVetNNWiqSukoR&#10;rNKbUYTeHtlnkib7Nu5uNP57VxB6HGbmG2a2GEwrzuR8bVlBOk5AEBdW11wq2O9WoykIH5A1tpZJ&#10;wZU8LObPTzPMtL3wls55KEWEsM9QQRVCl0npi4oM+rHtiKN3tM5giNKVUju8RLhp5VuSTKTBmuNC&#10;hR0tKyqavDcKDn3Ov3/NyrXYf6/Xx8Op8e8/Sr2+DF+fIAIN4T/8aG+0go80hfuZeAT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u3I6xAAAANwAAAAPAAAAAAAAAAAA&#10;AAAAAKECAABkcnMvZG93bnJldi54bWxQSwUGAAAAAAQABAD5AAAAkgMAAAAA&#10;" strokeweight="1.5pt"/>
                          <v:line id="Straight Connector 288" o:spid="_x0000_s1037" style="position:absolute;visibility:visible;mso-wrap-style:square" from="0,7048" to="182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DRcIAAADcAAAADwAAAGRycy9kb3ducmV2LnhtbERPyWrDMBC9F/IPYgK5NXISKMaNEkoh&#10;dcmtbgn0NlgT27U1ciR5yd9Xh0KPj7fvj7PpxEjON5YVbNYJCOLS6oYrBV+fp8cUhA/IGjvLpOBO&#10;Ho6HxcMeM20n/qCxCJWIIewzVFCH0GdS+rImg35te+LIXa0zGCJ0ldQOpxhuOrlNkidpsOHYUGNP&#10;rzWVbTEYBZeh4O+f9uQ6HN7y/Hq5tX53Vmq1nF+eQQSaw7/4z/2uFWzTuDa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SGDRcIAAADcAAAADwAAAAAAAAAAAAAA&#10;AAChAgAAZHJzL2Rvd25yZXYueG1sUEsFBgAAAAAEAAQA+QAAAJADAAAAAA==&#10;" strokeweight="1.5pt"/>
                          <v:line id="Straight Connector 289" o:spid="_x0000_s1038" style="position:absolute;visibility:visible;mso-wrap-style:square" from="0,8064" to="182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0m3sQAAADcAAAADwAAAGRycy9kb3ducmV2LnhtbESPQWvCQBSE7wX/w/KE3upGBbGpq4ig&#10;lt6MIvT2yD6TNNm3cXej6b93hUKPw8x8wyxWvWnEjZyvLCsYjxIQxLnVFRcKTsft2xyED8gaG8uk&#10;4Jc8rJaDlwWm2t75QLcsFCJC2KeooAyhTaX0eUkG/ci2xNG7WGcwROkKqR3eI9w0cpIkM2mw4rhQ&#10;YkubkvI664yCc5fx90+9dQ12u/3+cr7Wfvql1OuwX3+ACNSH//Bf+1MrmMzf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SbexAAAANwAAAAPAAAAAAAAAAAA&#10;AAAAAKECAABkcnMvZG93bnJldi54bWxQSwUGAAAAAAQABAD5AAAAkgMAAAAA&#10;" strokeweight="1.5pt"/>
                        </v:group>
                        <v:line id="Straight Connector 290" o:spid="_x0000_s1039" style="position:absolute;visibility:visible;mso-wrap-style:square" from="0,12192" to="182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4ZnsIAAADcAAAADwAAAGRycy9kb3ducmV2LnhtbERPy2rCQBTdC/2H4Ra600kVik2dSCmo&#10;xV2jBLq7ZG4eTeZOOjPR+PedRcHl4bw328n04kLOt5YVPC8SEMSl1S3XCs6n3XwNwgdkjb1lUnAj&#10;D9vsYbbBVNsrf9ElD7WIIexTVNCEMKRS+rIhg35hB+LIVdYZDBG6WmqH1xhuerlMkhdpsOXY0OBA&#10;Hw2VXT4aBcWY8/dPt3M9jvvDoSp+O786KvX0OL2/gQg0hbv43/2pFSxf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4ZnsIAAADcAAAADwAAAAAAAAAAAAAA&#10;AAChAgAAZHJzL2Rvd25yZXYueG1sUEsFBgAAAAAEAAQA+QAAAJADAAAAAA==&#10;" strokeweight="1.5pt"/>
                        <v:line id="Straight Connector 291" o:spid="_x0000_s1040" style="position:absolute;visibility:visible;mso-wrap-style:square" from="0,9080" to="1828,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8BcQAAADcAAAADwAAAGRycy9kb3ducmV2LnhtbESPQWvCQBSE74L/YXmCt7pRQdrUVUSw&#10;Fm+NIvT2yD6TNNm36e5G03/fFQSPw8x8wyzXvWnElZyvLCuYThIQxLnVFRcKTsfdyysIH5A1NpZJ&#10;wR95WK+GgyWm2t74i65ZKESEsE9RQRlCm0rp85IM+oltiaN3sc5giNIVUju8Rbhp5CxJFtJgxXGh&#10;xJa2JeV11hkF5y7j75965xrsPvb7y/m39vODUuNRv3kHEagPz/Cj/akVzN6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rwFxAAAANwAAAAPAAAAAAAAAAAA&#10;AAAAAKECAABkcnMvZG93bnJldi54bWxQSwUGAAAAAAQABAD5AAAAkgMAAAAA&#10;" strokeweight="1.5pt"/>
                        <v:line id="Straight Connector 292" o:spid="_x0000_s1041" style="position:absolute;visibility:visible;mso-wrap-style:square" from="0,10160" to="182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icsQAAADcAAAADwAAAGRycy9kb3ducmV2LnhtbESPQWvCQBSE7wX/w/IEb3VjBKmpqxTB&#10;Wrw1itDbI/tM0mTfprsbTf99VxB6HGbmG2a1GUwrruR8bVnBbJqAIC6srrlUcDrunl9A+ICssbVM&#10;Cn7Jw2Y9elphpu2NP+mah1JECPsMFVQhdJmUvqjIoJ/ajjh6F+sMhihdKbXDW4SbVqZJspAGa44L&#10;FXa0raho8t4oOPc5f303O9di/77fX84/jZ8flJqMh7dXEIGG8B9+tD+0gnSZ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CJyxAAAANwAAAAPAAAAAAAAAAAA&#10;AAAAAKECAABkcnMvZG93bnJldi54bWxQSwUGAAAAAAQABAD5AAAAkgMAAAAA&#10;" strokeweight="1.5pt"/>
                        <v:line id="Straight Connector 293" o:spid="_x0000_s1042" style="position:absolute;visibility:visible;mso-wrap-style:square" from="0,11112" to="1828,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H6cUAAADcAAAADwAAAGRycy9kb3ducmV2LnhtbESPT2vCQBTE7wW/w/IEb3WjQqnRVUTw&#10;D701LYK3R/aZxGTfxt2Nxm/fLRR6HGbmN8xy3ZtG3Mn5yrKCyTgBQZxbXXGh4Ptr9/oOwgdkjY1l&#10;UvAkD+vV4GWJqbYP/qR7FgoRIexTVFCG0KZS+rwkg35sW+LoXawzGKJ0hdQOHxFuGjlNkjdpsOK4&#10;UGJL25LyOuuMglOX8fla71yD3f5wuJxutZ99KDUa9psFiEB9+A//tY9awXQ+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yH6cUAAADcAAAADwAAAAAAAAAA&#10;AAAAAAChAgAAZHJzL2Rvd25yZXYueG1sUEsFBgAAAAAEAAQA+QAAAJMDAAAAAA==&#10;" strokeweight="1.5pt"/>
                        <v:line id="Straight Connector 294" o:spid="_x0000_s1043" style="position:absolute;visibility:visible;mso-wrap-style:square" from="0,13208" to="1828,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fncUAAADcAAAADwAAAGRycy9kb3ducmV2LnhtbESPQWvCQBSE74X+h+UVems21SJtdJUi&#10;qMWbaRF6e2SfSUz2bdzdaPrvXUHocZiZb5jZYjCtOJPztWUFr0kKgriwuuZSwc/36uUdhA/IGlvL&#10;pOCPPCzmjw8zzLS98I7OeShFhLDPUEEVQpdJ6YuKDPrEdsTRO1hnMETpSqkdXiLctHKUphNpsOa4&#10;UGFHy4qKJu+Ngn2f8++xWbkW+/Vmc9ifGj/eKvX8NHxOQQQawn/43v7SCkYf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UfncUAAADcAAAADwAAAAAAAAAA&#10;AAAAAAChAgAAZHJzL2Rvd25yZXYueG1sUEsFBgAAAAAEAAQA+QAAAJMDAAAAAA==&#10;" strokeweight="1.5pt"/>
                      </v:group>
                    </v:group>
                  </w:pict>
                </mc:Fallback>
              </mc:AlternateContent>
            </w:r>
            <w:r>
              <w:rPr>
                <w:noProof/>
                <w:lang w:eastAsia="en-AU"/>
              </w:rPr>
              <mc:AlternateContent>
                <mc:Choice Requires="wpg">
                  <w:drawing>
                    <wp:anchor distT="0" distB="0" distL="114300" distR="114300" simplePos="0" relativeHeight="251612160" behindDoc="0" locked="0" layoutInCell="1" allowOverlap="1" wp14:anchorId="357E4163" wp14:editId="2AF25FB7">
                      <wp:simplePos x="0" y="0"/>
                      <wp:positionH relativeFrom="column">
                        <wp:posOffset>3263900</wp:posOffset>
                      </wp:positionH>
                      <wp:positionV relativeFrom="paragraph">
                        <wp:posOffset>1898015</wp:posOffset>
                      </wp:positionV>
                      <wp:extent cx="182880" cy="1778635"/>
                      <wp:effectExtent l="0" t="0" r="26670" b="31115"/>
                      <wp:wrapNone/>
                      <wp:docPr id="419" name="Group 419"/>
                      <wp:cNvGraphicFramePr/>
                      <a:graphic xmlns:a="http://schemas.openxmlformats.org/drawingml/2006/main">
                        <a:graphicData uri="http://schemas.microsoft.com/office/word/2010/wordprocessingGroup">
                          <wpg:wgp>
                            <wpg:cNvGrpSpPr/>
                            <wpg:grpSpPr>
                              <a:xfrm>
                                <a:off x="0" y="0"/>
                                <a:ext cx="182880" cy="1778635"/>
                                <a:chOff x="0" y="0"/>
                                <a:chExt cx="182880" cy="1778635"/>
                              </a:xfrm>
                            </wpg:grpSpPr>
                            <wps:wsp>
                              <wps:cNvPr id="420" name="Straight Connector 420"/>
                              <wps:cNvCnPr/>
                              <wps:spPr>
                                <a:xfrm flipH="1">
                                  <a:off x="88900" y="0"/>
                                  <a:ext cx="12700" cy="1778635"/>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cNvPr id="421" name="Group 421"/>
                              <wpg:cNvGrpSpPr/>
                              <wpg:grpSpPr>
                                <a:xfrm>
                                  <a:off x="0" y="457200"/>
                                  <a:ext cx="182880" cy="1320800"/>
                                  <a:chOff x="0" y="0"/>
                                  <a:chExt cx="182880" cy="1320800"/>
                                </a:xfrm>
                              </wpg:grpSpPr>
                              <wpg:grpSp>
                                <wpg:cNvPr id="422" name="Group 422"/>
                                <wpg:cNvGrpSpPr/>
                                <wpg:grpSpPr>
                                  <a:xfrm>
                                    <a:off x="0" y="0"/>
                                    <a:ext cx="182880" cy="806450"/>
                                    <a:chOff x="0" y="0"/>
                                    <a:chExt cx="182880" cy="806450"/>
                                  </a:xfrm>
                                </wpg:grpSpPr>
                                <wps:wsp>
                                  <wps:cNvPr id="423" name="Straight Connector 423"/>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24" name="Straight Connector 424"/>
                                  <wps:cNvCnPr/>
                                  <wps:spPr>
                                    <a:xfrm>
                                      <a:off x="0" y="1016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25" name="Straight Connector 425"/>
                                  <wps:cNvCnPr/>
                                  <wps:spPr>
                                    <a:xfrm>
                                      <a:off x="0" y="2032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26" name="Straight Connector 426"/>
                                  <wps:cNvCnPr/>
                                  <wps:spPr>
                                    <a:xfrm>
                                      <a:off x="0" y="2984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a:off x="0" y="4000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28" name="Straight Connector 428"/>
                                  <wps:cNvCnPr/>
                                  <wps:spPr>
                                    <a:xfrm>
                                      <a:off x="0" y="5143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29" name="Straight Connector 429"/>
                                  <wps:cNvCnPr/>
                                  <wps:spPr>
                                    <a:xfrm>
                                      <a:off x="0" y="6159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30" name="Straight Connector 430"/>
                                  <wps:cNvCnPr/>
                                  <wps:spPr>
                                    <a:xfrm>
                                      <a:off x="0" y="7048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31" name="Straight Connector 431"/>
                                  <wps:cNvCnPr/>
                                  <wps:spPr>
                                    <a:xfrm>
                                      <a:off x="0" y="8064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s:wsp>
                                <wps:cNvPr id="432" name="Straight Connector 432"/>
                                <wps:cNvCnPr/>
                                <wps:spPr>
                                  <a:xfrm>
                                    <a:off x="0" y="12192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33" name="Straight Connector 433"/>
                                <wps:cNvCnPr/>
                                <wps:spPr>
                                  <a:xfrm>
                                    <a:off x="0" y="9080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34" name="Straight Connector 434"/>
                                <wps:cNvCnPr/>
                                <wps:spPr>
                                  <a:xfrm>
                                    <a:off x="0" y="10160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35" name="Straight Connector 435"/>
                                <wps:cNvCnPr/>
                                <wps:spPr>
                                  <a:xfrm>
                                    <a:off x="0" y="11112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436" name="Straight Connector 436"/>
                                <wps:cNvCnPr/>
                                <wps:spPr>
                                  <a:xfrm>
                                    <a:off x="0" y="13208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245566A" id="Group 419" o:spid="_x0000_s1026" style="position:absolute;margin-left:257pt;margin-top:149.45pt;width:14.4pt;height:140.05pt;z-index:251612160" coordsize="1828,1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">
                      <v:line id="Straight Connector 420" o:spid="_x0000_s1027" style="position:absolute;flip:x;visibility:visible;mso-wrap-style:square" from="889,0" to="1016,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Qs8AAAADcAAAADwAAAGRycy9kb3ducmV2LnhtbERPTYvCMBC9L/gfwgje1tQislSjiCAo&#10;7mFXBa9DM22KzaQk0dZ/bw4Le3y879VmsK14kg+NYwWzaQaCuHS64VrB9bL//AIRIrLG1jEpeFGA&#10;zXr0scJCu55/6XmOtUghHApUYGLsCilDachimLqOOHGV8xZjgr6W2mOfwm0r8yxbSIsNpwaDHe0M&#10;lffzwyqQx1P/4/f5taqrQ+duR/O96AelJuNhuwQRaYj/4j/3QSuY52l+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c0LPAAAAA3AAAAA8AAAAAAAAAAAAAAAAA&#10;oQIAAGRycy9kb3ducmV2LnhtbFBLBQYAAAAABAAEAPkAAACOAwAAAAA=&#10;" strokeweight="1.5pt"/>
                      <v:group id="Group 421" o:spid="_x0000_s1028" style="position:absolute;top:4572;width:1828;height:13208" coordsize="1828,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422" o:spid="_x0000_s1029" style="position:absolute;width:1828;height:8064" coordsize="1828,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line id="Straight Connector 423" o:spid="_x0000_s1030"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M9sUAAADcAAAADwAAAGRycy9kb3ducmV2LnhtbESPT2vCQBTE7wW/w/IEb3WjliLRVUTw&#10;D701LYK3R/aZxGTfxt2Nxm/fLRR6HGbmN8xy3ZtG3Mn5yrKCyTgBQZxbXXGh4Ptr9zoH4QOyxsYy&#10;KXiSh/Vq8LLEVNsHf9I9C4WIEPYpKihDaFMpfV6SQT+2LXH0LtYZDFG6QmqHjwg3jZwmybs0WHFc&#10;KLGlbUl5nXVGwanL+Hytd67Bbn84XE632s8+lBoN+80CRKA+/If/2ket4G06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iM9sUAAADcAAAADwAAAAAAAAAA&#10;AAAAAAChAgAAZHJzL2Rvd25yZXYueG1sUEsFBgAAAAAEAAQA+QAAAJMDAAAAAA==&#10;" strokeweight="1.5pt"/>
                          <v:line id="Straight Connector 424" o:spid="_x0000_s1031" style="position:absolute;visibility:visible;mso-wrap-style:square" from="0,1016" to="182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UgsQAAADcAAAADwAAAGRycy9kb3ducmV2LnhtbESPQWvCQBSE7wX/w/IEb3WjlSLRVUSw&#10;iremRfD2yD6TmOzbuLvR+O+7hUKPw8x8wyzXvWnEnZyvLCuYjBMQxLnVFRcKvr92r3MQPiBrbCyT&#10;gid5WK8GL0tMtX3wJ92zUIgIYZ+igjKENpXS5yUZ9GPbEkfvYp3BEKUrpHb4iHDTyGmSvEuDFceF&#10;ElvalpTXWWcUnLqMz9d65xrsPvb7y+lW+7ejUqNhv1mACNSH//Bf+6AVzKY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RSCxAAAANwAAAAPAAAAAAAAAAAA&#10;AAAAAKECAABkcnMvZG93bnJldi54bWxQSwUGAAAAAAQABAD5AAAAkgMAAAAA&#10;" strokeweight="1.5pt"/>
                          <v:line id="Straight Connector 425" o:spid="_x0000_s1032" style="position:absolute;visibility:visible;mso-wrap-style:square" from="0,2032" to="1828,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xGcUAAADcAAAADwAAAGRycy9kb3ducmV2LnhtbESPQWvCQBSE74X+h+UVems21VpKdJUi&#10;qMWbaRF6e2SfSUz2bdzdaPrvXUHocZiZb5jZYjCtOJPztWUFr0kKgriwuuZSwc/36uUDhA/IGlvL&#10;pOCPPCzmjw8zzLS98I7OeShFhLDPUEEVQpdJ6YuKDPrEdsTRO1hnMETpSqkdXiLctHKUpu/SYM1x&#10;ocKOlhUVTd4bBfs+599js3It9uvN5rA/NX68Ver5aficggg0hP/wvf2lFbyN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2xGcUAAADcAAAADwAAAAAAAAAA&#10;AAAAAAChAgAAZHJzL2Rvd25yZXYueG1sUEsFBgAAAAAEAAQA+QAAAJMDAAAAAA==&#10;" strokeweight="1.5pt"/>
                          <v:line id="Straight Connector 426" o:spid="_x0000_s1033" style="position:absolute;visibility:visible;mso-wrap-style:square" from="0,2984" to="182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8vbsUAAADcAAAADwAAAGRycy9kb3ducmV2LnhtbESPT2vCQBTE7wW/w/KE3urGP0hJXUUE&#10;tfRmFKG3R/aZpMm+jbsbTb+9KxR6HGbmN8xi1ZtG3Mj5yrKC8SgBQZxbXXGh4HTcvr2D8AFZY2OZ&#10;FPySh9Vy8LLAVNs7H+iWhUJECPsUFZQhtKmUPi/JoB/Zljh6F+sMhihdIbXDe4SbRk6SZC4NVhwX&#10;SmxpU1JeZ51RcO4y/v6pt67BbrffX87X2k+/lHod9usPEIH68B/+a39qBbPJH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8vbsUAAADcAAAADwAAAAAAAAAA&#10;AAAAAAChAgAAZHJzL2Rvd25yZXYueG1sUEsFBgAAAAAEAAQA+QAAAJMDAAAAAA==&#10;" strokeweight="1.5pt"/>
                          <v:line id="Straight Connector 427" o:spid="_x0000_s1034" style="position:absolute;visibility:visible;mso-wrap-style:square" from="0,4000" to="182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K9cUAAADcAAAADwAAAGRycy9kb3ducmV2LnhtbESPQWvCQBSE74X+h+UVems21WJLdJUi&#10;qMWbaRF6e2SfSUz2bdzdaPrvXUHocZiZb5jZYjCtOJPztWUFr0kKgriwuuZSwc/36uUDhA/IGlvL&#10;pOCPPCzmjw8zzLS98I7OeShFhLDPUEEVQpdJ6YuKDPrEdsTRO1hnMETpSqkdXiLctHKUphNpsOa4&#10;UGFHy4qKJu+Ngn2f8++xWbkW+/Vmc9ifGj/eKvX8NHxOQQQawn/43v7SCt5G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OK9cUAAADcAAAADwAAAAAAAAAA&#10;AAAAAAChAgAAZHJzL2Rvd25yZXYueG1sUEsFBgAAAAAEAAQA+QAAAJMDAAAAAA==&#10;" strokeweight="1.5pt"/>
                          <v:line id="Straight Connector 428" o:spid="_x0000_s1035" style="position:absolute;visibility:visible;mso-wrap-style:square" from="0,5143" to="182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eh8IAAADcAAAADwAAAGRycy9kb3ducmV2LnhtbERPy2rCQBTdC/2H4Ra600m1SEmdSCmo&#10;xV2jBLq7ZG4eTeZOOjPR+PedRcHl4bw328n04kLOt5YVPC8SEMSl1S3XCs6n3fwVhA/IGnvLpOBG&#10;HrbZw2yDqbZX/qJLHmoRQ9inqKAJYUil9GVDBv3CDsSRq6wzGCJ0tdQOrzHc9HKZJGtpsOXY0OBA&#10;Hw2VXT4aBcWY8/dPt3M9jvvDoSp+O786KvX0OL2/gQg0hbv43/2pFbws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eh8IAAADcAAAADwAAAAAAAAAAAAAA&#10;AAChAgAAZHJzL2Rvd25yZXYueG1sUEsFBgAAAAAEAAQA+QAAAJADAAAAAA==&#10;" strokeweight="1.5pt"/>
                          <v:line id="Straight Connector 429" o:spid="_x0000_s1036" style="position:absolute;visibility:visible;mso-wrap-style:square" from="0,6159" to="182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7HMUAAADcAAAADwAAAGRycy9kb3ducmV2LnhtbESPQWvCQBSE74X+h+UVems21SJtdJUi&#10;qMWbaRF6e2SfSUz2bdzdaPrvXUHocZiZb5jZYjCtOJPztWUFr0kKgriwuuZSwc/36uUdhA/IGlvL&#10;pOCPPCzmjw8zzLS98I7OeShFhLDPUEEVQpdJ6YuKDPrEdsTRO1hnMETpSqkdXiLctHKUphNpsOa4&#10;UGFHy4qKJu+Ngn2f8++xWbkW+/Vmc9ifGj/eKvX8NHxOQQQawn/43v7SCt5GH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C7HMUAAADcAAAADwAAAAAAAAAA&#10;AAAAAAChAgAAZHJzL2Rvd25yZXYueG1sUEsFBgAAAAAEAAQA+QAAAJMDAAAAAA==&#10;" strokeweight="1.5pt"/>
                          <v:line id="Straight Connector 430" o:spid="_x0000_s1037" style="position:absolute;visibility:visible;mso-wrap-style:square" from="0,7048" to="182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EXMIAAADcAAAADwAAAGRycy9kb3ducmV2LnhtbERPy2rCQBTdC/2H4Ra600m1SEmdSCmo&#10;xV2jBLq7ZG4eTeZOOjPR+PedRcHl4bw328n04kLOt5YVPC8SEMSl1S3XCs6n3fwVhA/IGnvLpOBG&#10;HrbZw2yDqbZX/qJLHmoRQ9inqKAJYUil9GVDBv3CDsSRq6wzGCJ0tdQOrzHc9HKZJGtpsOXY0OBA&#10;Hw2VXT4aBcWY8/dPt3M9jvvDoSp+O786KvX0OL2/gQg0hbv43/2pFbys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OEXMIAAADcAAAADwAAAAAAAAAAAAAA&#10;AAChAgAAZHJzL2Rvd25yZXYueG1sUEsFBgAAAAAEAAQA+QAAAJADAAAAAA==&#10;" strokeweight="1.5pt"/>
                          <v:line id="Straight Connector 431" o:spid="_x0000_s1038" style="position:absolute;visibility:visible;mso-wrap-style:square" from="0,8064" to="182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hx8UAAADcAAAADwAAAGRycy9kb3ducmV2LnhtbESPT2vCQBTE7wW/w/IEb3VjLUWiq4jg&#10;H3ozLYK3R/aZxGTfprsbjd/eLRR6HGbmN8xi1ZtG3Mj5yrKCyTgBQZxbXXGh4Ptr+zoD4QOyxsYy&#10;KXiQh9Vy8LLAVNs7H+mWhUJECPsUFZQhtKmUPi/JoB/bljh6F+sMhihdIbXDe4SbRr4lyYc0WHFc&#10;KLGlTUl5nXVGwanL+Hytt67BbrffX04/tZ9+KjUa9us5iEB9+A//tQ9awft0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8hx8UAAADcAAAADwAAAAAAAAAA&#10;AAAAAAChAgAAZHJzL2Rvd25yZXYueG1sUEsFBgAAAAAEAAQA+QAAAJMDAAAAAA==&#10;" strokeweight="1.5pt"/>
                        </v:group>
                        <v:line id="Straight Connector 432" o:spid="_x0000_s1039" style="position:absolute;visibility:visible;mso-wrap-style:square" from="0,12192" to="182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sMUAAADcAAAADwAAAGRycy9kb3ducmV2LnhtbESPT2vCQBTE7wW/w/IEb3Wjl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2/sMUAAADcAAAADwAAAAAAAAAA&#10;AAAAAAChAgAAZHJzL2Rvd25yZXYueG1sUEsFBgAAAAAEAAQA+QAAAJMDAAAAAA==&#10;" strokeweight="1.5pt"/>
                        <v:line id="Straight Connector 433" o:spid="_x0000_s1040" style="position:absolute;visibility:visible;mso-wrap-style:square" from="0,9080" to="1828,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aK8QAAADcAAAADwAAAGRycy9kb3ducmV2LnhtbESPQWvCQBSE7wX/w/IEb3WjKUVSVymC&#10;WnprFKG3R/aZpMm+jbsbTf99VxB6HGbmG2a5HkwrruR8bVnBbJqAIC6srrlUcDxsnxcgfEDW2Fom&#10;Bb/kYb0aPS0x0/bGX3TNQykihH2GCqoQukxKX1Rk0E9tRxy9s3UGQ5SulNrhLcJNK+dJ8ioN1hwX&#10;KuxoU1HR5L1RcOpz/v5ptq7Ffrffn0+XxqefSk3Gw/sbiEBD+A8/2h9awU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RorxAAAANwAAAAPAAAAAAAAAAAA&#10;AAAAAKECAABkcnMvZG93bnJldi54bWxQSwUGAAAAAAQABAD5AAAAkgMAAAAA&#10;" strokeweight="1.5pt"/>
                        <v:line id="Straight Connector 434" o:spid="_x0000_s1041" style="position:absolute;visibility:visible;mso-wrap-style:square" from="0,10160" to="182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CX8QAAADcAAAADwAAAGRycy9kb3ducmV2LnhtbESPQWvCQBSE7wX/w/IEb3VjlSLRVUSw&#10;Sm9Ni+DtkX0mMdm3cXej6b/vCkKPw8x8wyzXvWnEjZyvLCuYjBMQxLnVFRcKfr53r3MQPiBrbCyT&#10;gl/ysF4NXpaYanvnL7ploRARwj5FBWUIbSqlz0sy6Me2JY7e2TqDIUpXSO3wHuGmkW9J8i4NVhwX&#10;SmxpW1JeZ51RcOwyPl3qnWuw+9jvz8dr7aefSo2G/WYBIlAf/sPP9kErmE1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IJfxAAAANwAAAAPAAAAAAAAAAAA&#10;AAAAAKECAABkcnMvZG93bnJldi54bWxQSwUGAAAAAAQABAD5AAAAkgMAAAAA&#10;" strokeweight="1.5pt"/>
                        <v:line id="Straight Connector 435" o:spid="_x0000_s1042" style="position:absolute;visibility:visible;mso-wrap-style:square" from="0,11112" to="1828,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nxMUAAADcAAAADwAAAGRycy9kb3ducmV2LnhtbESPT2vCQBTE7wW/w/IEb3VjbUWiq0jB&#10;P/TWVARvj+wzicm+jbsbTb99t1DocZiZ3zDLdW8acSfnK8sKJuMEBHFudcWFguPX9nkOwgdkjY1l&#10;UvBNHtarwdMSU20f/En3LBQiQtinqKAMoU2l9HlJBv3YtsTRu1hnMETpCqkdPiLcNPIlSWbSYMVx&#10;ocSW3kvK66wzCk5dxudrvXUNdrv9/nK61X76odRo2G8WIAL14T/81z5oBa/T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QnxMUAAADcAAAADwAAAAAAAAAA&#10;AAAAAAChAgAAZHJzL2Rvd25yZXYueG1sUEsFBgAAAAAEAAQA+QAAAJMDAAAAAA==&#10;" strokeweight="1.5pt"/>
                        <v:line id="Straight Connector 436" o:spid="_x0000_s1043" style="position:absolute;visibility:visible;mso-wrap-style:square" from="0,13208" to="1828,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a5s8QAAADcAAAADwAAAGRycy9kb3ducmV2LnhtbESPQWvCQBSE7wX/w/KE3urGKlJSVxHB&#10;WrwZRejtkX0mabJv4+5G4793hUKPw8x8w8yXvWnElZyvLCsYjxIQxLnVFRcKjofN2wcIH5A1NpZJ&#10;wZ08LBeDlzmm2t54T9csFCJC2KeooAyhTaX0eUkG/ci2xNE7W2cwROkKqR3eItw08j1JZtJgxXGh&#10;xJbWJeV11hkFpy7jn9964xrsvrbb8+lS+8lOqddhv/oEEagP/+G/9rdWMJ3M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rmzxAAAANwAAAAPAAAAAAAAAAAA&#10;AAAAAKECAABkcnMvZG93bnJldi54bWxQSwUGAAAAAAQABAD5AAAAkgMAAAAA&#10;" strokeweight="1.5pt"/>
                      </v:group>
                    </v:group>
                  </w:pict>
                </mc:Fallback>
              </mc:AlternateContent>
            </w:r>
            <w:r>
              <w:rPr>
                <w:noProof/>
                <w:lang w:eastAsia="en-AU"/>
              </w:rPr>
              <mc:AlternateContent>
                <mc:Choice Requires="wpg">
                  <w:drawing>
                    <wp:anchor distT="0" distB="0" distL="114300" distR="114300" simplePos="0" relativeHeight="251611136" behindDoc="0" locked="0" layoutInCell="1" allowOverlap="1" wp14:anchorId="4180F87B" wp14:editId="2F4EAA60">
                      <wp:simplePos x="0" y="0"/>
                      <wp:positionH relativeFrom="column">
                        <wp:posOffset>1136650</wp:posOffset>
                      </wp:positionH>
                      <wp:positionV relativeFrom="paragraph">
                        <wp:posOffset>1899920</wp:posOffset>
                      </wp:positionV>
                      <wp:extent cx="182880" cy="1778635"/>
                      <wp:effectExtent l="0" t="0" r="26670" b="31115"/>
                      <wp:wrapNone/>
                      <wp:docPr id="418" name="Group 418"/>
                      <wp:cNvGraphicFramePr/>
                      <a:graphic xmlns:a="http://schemas.openxmlformats.org/drawingml/2006/main">
                        <a:graphicData uri="http://schemas.microsoft.com/office/word/2010/wordprocessingGroup">
                          <wpg:wgp>
                            <wpg:cNvGrpSpPr/>
                            <wpg:grpSpPr>
                              <a:xfrm>
                                <a:off x="0" y="0"/>
                                <a:ext cx="182880" cy="1778635"/>
                                <a:chOff x="0" y="0"/>
                                <a:chExt cx="182880" cy="1778635"/>
                              </a:xfrm>
                            </wpg:grpSpPr>
                            <wps:wsp>
                              <wps:cNvPr id="358" name="Straight Connector 358"/>
                              <wps:cNvCnPr/>
                              <wps:spPr>
                                <a:xfrm flipH="1">
                                  <a:off x="88900" y="0"/>
                                  <a:ext cx="12700" cy="1778635"/>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cNvPr id="417" name="Group 417"/>
                              <wpg:cNvGrpSpPr/>
                              <wpg:grpSpPr>
                                <a:xfrm>
                                  <a:off x="0" y="457200"/>
                                  <a:ext cx="182880" cy="1320800"/>
                                  <a:chOff x="0" y="0"/>
                                  <a:chExt cx="182880" cy="1320800"/>
                                </a:xfrm>
                              </wpg:grpSpPr>
                              <wpg:grpSp>
                                <wpg:cNvPr id="413" name="Group 413"/>
                                <wpg:cNvGrpSpPr/>
                                <wpg:grpSpPr>
                                  <a:xfrm>
                                    <a:off x="0" y="0"/>
                                    <a:ext cx="182880" cy="806450"/>
                                    <a:chOff x="0" y="0"/>
                                    <a:chExt cx="182880" cy="806450"/>
                                  </a:xfrm>
                                </wpg:grpSpPr>
                                <wps:wsp>
                                  <wps:cNvPr id="392" name="Straight Connector 392"/>
                                  <wps:cNvCnPr/>
                                  <wps:spPr>
                                    <a:xfrm>
                                      <a:off x="0" y="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1" name="Straight Connector 391"/>
                                  <wps:cNvCnPr/>
                                  <wps:spPr>
                                    <a:xfrm>
                                      <a:off x="0" y="1016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0" name="Straight Connector 390"/>
                                  <wps:cNvCnPr/>
                                  <wps:spPr>
                                    <a:xfrm>
                                      <a:off x="0" y="2032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a:off x="0" y="2984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a:off x="0" y="4000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a:off x="0" y="5143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a:off x="0" y="6159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a:off x="0" y="7048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0" y="8064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s:wsp>
                                <wps:cNvPr id="393" name="Straight Connector 393"/>
                                <wps:cNvCnPr/>
                                <wps:spPr>
                                  <a:xfrm>
                                    <a:off x="0" y="12192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wps:cNvCnPr/>
                                <wps:spPr>
                                  <a:xfrm>
                                    <a:off x="0" y="9080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6" name="Straight Connector 396"/>
                                <wps:cNvCnPr/>
                                <wps:spPr>
                                  <a:xfrm>
                                    <a:off x="0" y="10160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5" name="Straight Connector 395"/>
                                <wps:cNvCnPr/>
                                <wps:spPr>
                                  <a:xfrm>
                                    <a:off x="0" y="111125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a:off x="0" y="1320800"/>
                                    <a:ext cx="182880" cy="0"/>
                                  </a:xfrm>
                                  <a:prstGeom prst="line">
                                    <a:avLst/>
                                  </a:prstGeom>
                                  <a:ln w="19050">
                                    <a:solidFill>
                                      <a:srgbClr val="00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5CD5CAFB" id="Group 418" o:spid="_x0000_s1026" style="position:absolute;margin-left:89.5pt;margin-top:149.6pt;width:14.4pt;height:140.05pt;z-index:251611136" coordsize="1828,17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">
                      <v:line id="Straight Connector 358" o:spid="_x0000_s1027" style="position:absolute;flip:x;visibility:visible;mso-wrap-style:square" from="889,0" to="1016,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ircIAAADcAAAADwAAAGRycy9kb3ducmV2LnhtbERPz2vCMBS+D/wfwhO8zdSOldEZZQgF&#10;iztsTtj10bw2Zc1LSTJb/3tzGOz48f3e7mc7iCv50DtWsFlnIIgbp3vuFFy+qscXECEiaxwck4Ib&#10;BdjvFg9bLLWb+JOu59iJFMKhRAUmxrGUMjSGLIa1G4kT1zpvMSboO6k9TincDjLPskJa7Dk1GBzp&#10;YKj5Of9aBbI+TR++yi9t1x5H912b92KalVot57dXEJHm+C/+cx+1gqf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ZircIAAADcAAAADwAAAAAAAAAAAAAA&#10;AAChAgAAZHJzL2Rvd25yZXYueG1sUEsFBgAAAAAEAAQA+QAAAJADAAAAAA==&#10;" strokeweight="1.5pt"/>
                      <v:group id="Group 417" o:spid="_x0000_s1028" style="position:absolute;top:4572;width:1828;height:13208" coordsize="1828,13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413" o:spid="_x0000_s1029" style="position:absolute;width:1828;height:8064" coordsize="1828,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line id="Straight Connector 392" o:spid="_x0000_s1030" style="position:absolute;visibility:visible;mso-wrap-style:square" from="0,0" to="1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78UAAADcAAAADwAAAGRycy9kb3ducmV2LnhtbESPT2vCQBTE7wW/w/IEb3WjQqnRVUTw&#10;D701LYK3R/aZxGTfxt2Nxm/fLRR6HGbmN8xy3ZtG3Mn5yrKCyTgBQZxbXXGh4Ptr9/oOwgdkjY1l&#10;UvAkD+vV4GWJqbYP/qR7FgoRIexTVFCG0KZS+rwkg35sW+LoXawzGKJ0hdQOHxFuGjlNkjdpsOK4&#10;UGJL25LyOuuMglOX8fla71yD3f5wuJxutZ99KDUa9psFiEB9+A//tY9awWw+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t78UAAADcAAAADwAAAAAAAAAA&#10;AAAAAAChAgAAZHJzL2Rvd25yZXYueG1sUEsFBgAAAAAEAAQA+QAAAJMDAAAAAA==&#10;" strokeweight="1.5pt"/>
                          <v:line id="Straight Connector 391" o:spid="_x0000_s1031" style="position:absolute;visibility:visible;mso-wrap-style:square" from="0,1016" to="1828,1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OzmMUAAADcAAAADwAAAGRycy9kb3ducmV2LnhtbESPT2vCQBTE7wW/w/IEb3VjhVKjq4jg&#10;H3ozLYK3R/aZxGTfprsbjd/eLRR6HGbmN8xi1ZtG3Mj5yrKCyTgBQZxbXXGh4Ptr+/oBwgdkjY1l&#10;UvAgD6vl4GWBqbZ3PtItC4WIEPYpKihDaFMpfV6SQT+2LXH0LtYZDFG6QmqH9wg3jXxLkndpsOK4&#10;UGJLm5LyOuuMglOX8flab12D3W6/v5x+aj/9VGo07NdzEIH68B/+ax+0gulsA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OzmMUAAADcAAAADwAAAAAAAAAA&#10;AAAAAAChAgAAZHJzL2Rvd25yZXYueG1sUEsFBgAAAAAEAAQA+QAAAJMDAAAAAA==&#10;" strokeweight="1.5pt"/>
                          <v:line id="Straight Connector 390" o:spid="_x0000_s1032" style="position:absolute;visibility:visible;mso-wrap-style:square" from="0,2032" to="1828,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8WA8IAAADcAAAADwAAAGRycy9kb3ducmV2LnhtbERPy2rCQBTdC/2H4Ra600kVik2dSCmo&#10;xV2jBLq7ZG4eTeZOOjPR+PedRcHl4bw328n04kLOt5YVPC8SEMSl1S3XCs6n3XwNwgdkjb1lUnAj&#10;D9vsYbbBVNsrf9ElD7WIIexTVNCEMKRS+rIhg35hB+LIVdYZDBG6WmqH1xhuerlMkhdpsOXY0OBA&#10;Hw2VXT4aBcWY8/dPt3M9jvvDoSp+O786KvX0OL2/gQg0hbv43/2pFaxe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8WA8IAAADcAAAADwAAAAAAAAAAAAAA&#10;AAChAgAAZHJzL2Rvd25yZXYueG1sUEsFBgAAAAAEAAQA+QAAAJADAAAAAA==&#10;" strokeweight="1.5pt"/>
                          <v:line id="Straight Connector 389" o:spid="_x0000_s1033" style="position:absolute;visibility:visible;mso-wrap-style:square" from="0,2984" to="1828,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pQ8QAAADcAAAADwAAAGRycy9kb3ducmV2LnhtbESPQWvCQBSE7wX/w/KE3urGCmJTVxHB&#10;WrwZRejtkX0mabJv4+5G4793hUKPw8x8w8yXvWnElZyvLCsYjxIQxLnVFRcKjofN2wyED8gaG8uk&#10;4E4elovByxxTbW+8p2sWChEh7FNUUIbQplL6vCSDfmRb4uidrTMYonSF1A5vEW4a+Z4kU2mw4rhQ&#10;YkvrkvI664yCU5fxz2+9cQ12X9vt+XSp/WSn1OuwX32CCNSH//Bf+1srmMw+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ClDxAAAANwAAAAPAAAAAAAAAAAA&#10;AAAAAKECAABkcnMvZG93bnJldi54bWxQSwUGAAAAAAQABAD5AAAAkgMAAAAA&#10;" strokeweight="1.5pt"/>
                          <v:line id="Straight Connector 388" o:spid="_x0000_s1034" style="position:absolute;visibility:visible;mso-wrap-style:square" from="0,4000" to="1828,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M2MAAAADcAAAADwAAAGRycy9kb3ducmV2LnhtbERPTYvCMBC9C/sfwizsTdNVEKlGEUFd&#10;9mYVwdvQjG1tM+kmqXb/vTkIHh/ve7HqTSPu5HxlWcH3KAFBnFtdcaHgdNwOZyB8QNbYWCYF/+Rh&#10;tfwYLDDV9sEHumehEDGEfYoKyhDaVEqfl2TQj2xLHLmrdQZDhK6Q2uEjhptGjpNkKg1WHBtKbGlT&#10;Ul5nnVFw7jK+3Oqta7Db7ffX81/tJ79KfX326zmIQH14i1/uH61gMot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jNjAAAAA3AAAAA8AAAAAAAAAAAAAAAAA&#10;oQIAAGRycy9kb3ducmV2LnhtbFBLBQYAAAAABAAEAPkAAACOAwAAAAA=&#10;" strokeweight="1.5pt"/>
                          <v:line id="Straight Connector 387" o:spid="_x0000_s1035" style="position:absolute;visibility:visible;mso-wrap-style:square" from="0,5143" to="1828,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YqsQAAADcAAAADwAAAGRycy9kb3ducmV2LnhtbESPQWvCQBSE70L/w/IEb3VjBSupq0hB&#10;Ld4aRejtkX0mMdm36e5G03/fFQSPw8x8wyxWvWnElZyvLCuYjBMQxLnVFRcKjofN6xyED8gaG8uk&#10;4I88rJYvgwWm2t74m65ZKESEsE9RQRlCm0rp85IM+rFtiaN3ts5giNIVUju8Rbhp5FuSzKTBiuNC&#10;iS19lpTXWWcUnLqMfy71xjXYbXe78+m39tO9UqNhv/4AEagPz/Cj/aUVTOfv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XxiqxAAAANwAAAAPAAAAAAAAAAAA&#10;AAAAAKECAABkcnMvZG93bnJldi54bWxQSwUGAAAAAAQABAD5AAAAkgMAAAAA&#10;" strokeweight="1.5pt"/>
                          <v:line id="Straight Connector 386" o:spid="_x0000_s1036" style="position:absolute;visibility:visible;mso-wrap-style:square" from="0,6159" to="182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9McQAAADcAAAADwAAAGRycy9kb3ducmV2LnhtbESPQWvCQBSE7wX/w/IKvdVNFURSVxFB&#10;Lb0ZS6C3R/aZpMm+jbsbTf+9Kwgeh5n5hlmsBtOKCzlfW1bwMU5AEBdW11wq+Dlu3+cgfEDW2Fom&#10;Bf/kYbUcvSww1fbKB7pkoRQRwj5FBVUIXSqlLyoy6Me2I47eyTqDIUpXSu3wGuGmlZMkmUmDNceF&#10;CjvaVFQ0WW8U5H3Gv3/N1rXY7/b7U35u/PRbqbfXYf0JItAQnuFH+0srmM5ncD8Tj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70xxAAAANwAAAAPAAAAAAAAAAAA&#10;AAAAAKECAABkcnMvZG93bnJldi54bWxQSwUGAAAAAAQABAD5AAAAkgMAAAAA&#10;" strokeweight="1.5pt"/>
                          <v:line id="Straight Connector 385" o:spid="_x0000_s1037" style="position:absolute;visibility:visible;mso-wrap-style:square" from="0,7048" to="1828,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EjRsQAAADcAAAADwAAAGRycy9kb3ducmV2LnhtbESPQWvCQBSE70L/w/IEb3Vjx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NGxAAAANwAAAAPAAAAAAAAAAAA&#10;AAAAAKECAABkcnMvZG93bnJldi54bWxQSwUGAAAAAAQABAD5AAAAkgMAAAAA&#10;" strokeweight="1.5pt"/>
                          <v:line id="Straight Connector 384" o:spid="_x0000_s1038" style="position:absolute;visibility:visible;mso-wrap-style:square" from="0,8064" to="182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G3cQAAADcAAAADwAAAGRycy9kb3ducmV2LnhtbESPQWvCQBSE70L/w/IEb3Vjl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YbdxAAAANwAAAAPAAAAAAAAAAAA&#10;AAAAAKECAABkcnMvZG93bnJldi54bWxQSwUGAAAAAAQABAD5AAAAkgMAAAAA&#10;" strokeweight="1.5pt"/>
                        </v:group>
                        <v:line id="Straight Connector 393" o:spid="_x0000_s1039" style="position:absolute;visibility:visible;mso-wrap-style:square" from="0,12192" to="1828,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IdMQAAADcAAAADwAAAGRycy9kb3ducmV2LnhtbESPQWvCQBSE7wX/w/IEb3WjgVJTVymC&#10;WnprFKG3R/aZpMm+jbsbTf99VxB6HGbmG2a5HkwrruR8bVnBbJqAIC6srrlUcDxsn19B+ICssbVM&#10;Cn7Jw3o1elpipu2Nv+iah1JECPsMFVQhdJmUvqjIoJ/ajjh6Z+sMhihdKbXDW4SbVs6T5EUarDku&#10;VNjRpqKiyXuj4NTn/P3TbF2L/W6/P58ujU8/lZqMh/c3EIGG8B9+tD+0gnSR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Yh0xAAAANwAAAAPAAAAAAAAAAAA&#10;AAAAAKECAABkcnMvZG93bnJldi54bWxQSwUGAAAAAAQABAD5AAAAkgMAAAAA&#10;" strokeweight="1.5pt"/>
                        <v:line id="Straight Connector 397" o:spid="_x0000_s1040" style="position:absolute;visibility:visible;mso-wrap-style:square" from="0,9080" to="1828,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aOd8UAAADcAAAADwAAAGRycy9kb3ducmV2LnhtbESPT2vCQBTE7wW/w/IEb3VjhVajq0jB&#10;P/TWVARvj+wzicm+jbsbTb99t1DocZiZ3zDLdW8acSfnK8sKJuMEBHFudcWFguPX9nkGwgdkjY1l&#10;UvBNHtarwdMSU20f/En3LBQiQtinqKAMoU2l9HlJBv3YtsTRu1hnMETpCqkdPiLcNPIlSV6lwYrj&#10;QoktvZeU11lnFJy6jM/Xeusa7Hb7/eV0q/30Q6nRsN8sQATqw3/4r33QCqbz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aOd8UAAADcAAAADwAAAAAAAAAA&#10;AAAAAAChAgAAZHJzL2Rvd25yZXYueG1sUEsFBgAAAAAEAAQA+QAAAJMDAAAAAA==&#10;" strokeweight="1.5pt"/>
                        <v:line id="Straight Connector 396" o:spid="_x0000_s1041" style="position:absolute;visibility:visible;mso-wrap-style:square" from="0,10160" to="182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r7MQAAADcAAAADwAAAGRycy9kb3ducmV2LnhtbESPQWvCQBSE7wX/w/IEb3VjBanRVUSw&#10;Sm9Ni+DtkX0mMdm3cXej6b/vCkKPw8x8wyzXvWnEjZyvLCuYjBMQxLnVFRcKfr53r+8gfEDW2Fgm&#10;Bb/kYb0avCwx1fbOX3TLQiEihH2KCsoQ2lRKn5dk0I9tSxy9s3UGQ5SukNrhPcJNI9+SZCYNVhwX&#10;SmxpW1JeZ51RcOwyPl3qnWuw+9jvz8dr7aefSo2G/WYBIlAf/sPP9kErmM5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ivsxAAAANwAAAAPAAAAAAAAAAAA&#10;AAAAAKECAABkcnMvZG93bnJldi54bWxQSwUGAAAAAAQABAD5AAAAkgMAAAAA&#10;" strokeweight="1.5pt"/>
                        <v:line id="Straight Connector 395" o:spid="_x0000_s1042" style="position:absolute;visibility:visible;mso-wrap-style:square" from="0,11112" to="1828,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1m8UAAADcAAAADwAAAGRycy9kb3ducmV2LnhtbESPT2vCQBTE7wW/w/IEb3Vjp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1m8UAAADcAAAADwAAAAAAAAAA&#10;AAAAAAChAgAAZHJzL2Rvd25yZXYueG1sUEsFBgAAAAAEAAQA+QAAAJMDAAAAAA==&#10;" strokeweight="1.5pt"/>
                        <v:line id="Straight Connector 394" o:spid="_x0000_s1043" style="position:absolute;visibility:visible;mso-wrap-style:square" from="0,13208" to="1828,1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QAMUAAADcAAAADwAAAGRycy9kb3ducmV2LnhtbESPT2vCQBTE7wW/w/IEb3VjL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QQAMUAAADcAAAADwAAAAAAAAAA&#10;AAAAAAChAgAAZHJzL2Rvd25yZXYueG1sUEsFBgAAAAAEAAQA+QAAAJMDAAAAAA==&#10;" strokeweight="1.5pt"/>
                      </v:group>
                    </v:group>
                  </w:pict>
                </mc:Fallback>
              </mc:AlternateContent>
            </w:r>
            <w:r w:rsidRPr="00E440F6">
              <w:rPr>
                <w:noProof/>
                <w:lang w:eastAsia="en-AU"/>
              </w:rPr>
              <w:drawing>
                <wp:inline distT="0" distB="0" distL="0" distR="0" wp14:anchorId="44BA26AF" wp14:editId="77EAF5DF">
                  <wp:extent cx="7010400" cy="20764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010400" cy="2076450"/>
                          </a:xfrm>
                          <a:prstGeom prst="rect">
                            <a:avLst/>
                          </a:prstGeom>
                          <a:noFill/>
                          <a:ln>
                            <a:noFill/>
                          </a:ln>
                        </pic:spPr>
                      </pic:pic>
                    </a:graphicData>
                  </a:graphic>
                </wp:inline>
              </w:drawing>
            </w:r>
          </w:p>
        </w:tc>
      </w:tr>
      <w:tr w:rsidR="00B903A5" w:rsidRPr="00FE278F" w14:paraId="029FEE42" w14:textId="77777777" w:rsidTr="00D268F6">
        <w:trPr>
          <w:cantSplit/>
        </w:trPr>
        <w:tc>
          <w:tcPr>
            <w:tcW w:w="2047" w:type="dxa"/>
            <w:tcBorders>
              <w:top w:val="nil"/>
              <w:bottom w:val="nil"/>
              <w:right w:val="nil"/>
            </w:tcBorders>
            <w:tcMar>
              <w:left w:w="72" w:type="dxa"/>
              <w:right w:w="216" w:type="dxa"/>
            </w:tcMar>
          </w:tcPr>
          <w:p w14:paraId="6F7CDB4E" w14:textId="77777777" w:rsidR="00B903A5" w:rsidRPr="005926ED" w:rsidRDefault="00B903A5" w:rsidP="00594252">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12</w:t>
            </w:r>
            <w:r>
              <w:rPr>
                <w:rFonts w:ascii="Arial Narrow" w:hAnsi="Arial Narrow"/>
                <w:sz w:val="13"/>
                <w:szCs w:val="13"/>
              </w:rPr>
              <w:t>,</w:t>
            </w:r>
            <w:r w:rsidRPr="005926ED">
              <w:rPr>
                <w:rFonts w:ascii="Arial Narrow" w:hAnsi="Arial Narrow"/>
                <w:sz w:val="13"/>
                <w:szCs w:val="13"/>
              </w:rPr>
              <w:t>806 (100.</w:t>
            </w:r>
            <w:r>
              <w:rPr>
                <w:rFonts w:ascii="Arial Narrow" w:hAnsi="Arial Narrow"/>
                <w:sz w:val="13"/>
                <w:szCs w:val="13"/>
              </w:rPr>
              <w:t>0</w:t>
            </w:r>
            <w:r w:rsidRPr="005926ED">
              <w:rPr>
                <w:rFonts w:ascii="Arial Narrow" w:hAnsi="Arial Narrow"/>
                <w:sz w:val="13"/>
                <w:szCs w:val="13"/>
              </w:rPr>
              <w:t>0%)</w:t>
            </w:r>
          </w:p>
        </w:tc>
        <w:tc>
          <w:tcPr>
            <w:tcW w:w="1490" w:type="dxa"/>
            <w:tcBorders>
              <w:top w:val="nil"/>
              <w:left w:val="nil"/>
              <w:bottom w:val="nil"/>
              <w:right w:val="nil"/>
            </w:tcBorders>
            <w:tcMar>
              <w:left w:w="202" w:type="dxa"/>
              <w:right w:w="187" w:type="dxa"/>
            </w:tcMar>
          </w:tcPr>
          <w:p w14:paraId="23F64024" w14:textId="77777777" w:rsidR="00B903A5" w:rsidRPr="005926ED" w:rsidRDefault="00B903A5" w:rsidP="00594252">
            <w:pPr>
              <w:spacing w:before="10" w:after="0" w:line="240" w:lineRule="auto"/>
              <w:rPr>
                <w:rFonts w:ascii="Arial Narrow" w:hAnsi="Arial Narrow"/>
                <w:sz w:val="13"/>
                <w:szCs w:val="13"/>
              </w:rPr>
            </w:pPr>
          </w:p>
        </w:tc>
        <w:tc>
          <w:tcPr>
            <w:tcW w:w="1888" w:type="dxa"/>
            <w:tcBorders>
              <w:top w:val="nil"/>
              <w:left w:val="nil"/>
              <w:bottom w:val="nil"/>
              <w:right w:val="nil"/>
            </w:tcBorders>
            <w:tcMar>
              <w:left w:w="72" w:type="dxa"/>
              <w:right w:w="216" w:type="dxa"/>
            </w:tcMar>
          </w:tcPr>
          <w:p w14:paraId="390761D9" w14:textId="77777777" w:rsidR="00B903A5" w:rsidRPr="005926ED" w:rsidRDefault="00B903A5" w:rsidP="00594252">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 xml:space="preserve"> 4326 (100.0</w:t>
            </w:r>
            <w:r>
              <w:rPr>
                <w:rFonts w:ascii="Arial Narrow" w:hAnsi="Arial Narrow"/>
                <w:sz w:val="13"/>
                <w:szCs w:val="13"/>
              </w:rPr>
              <w:t>0</w:t>
            </w:r>
            <w:r w:rsidRPr="005926ED">
              <w:rPr>
                <w:rFonts w:ascii="Arial Narrow" w:hAnsi="Arial Narrow"/>
                <w:sz w:val="13"/>
                <w:szCs w:val="13"/>
              </w:rPr>
              <w:t>%)</w:t>
            </w:r>
          </w:p>
        </w:tc>
        <w:tc>
          <w:tcPr>
            <w:tcW w:w="1440" w:type="dxa"/>
            <w:tcBorders>
              <w:top w:val="nil"/>
              <w:left w:val="nil"/>
              <w:bottom w:val="nil"/>
              <w:right w:val="nil"/>
            </w:tcBorders>
            <w:tcMar>
              <w:left w:w="202" w:type="dxa"/>
              <w:right w:w="216" w:type="dxa"/>
            </w:tcMar>
          </w:tcPr>
          <w:p w14:paraId="6B418138" w14:textId="77777777" w:rsidR="00B903A5" w:rsidRPr="005926ED" w:rsidRDefault="00B903A5" w:rsidP="00594252">
            <w:pPr>
              <w:spacing w:before="10" w:after="0" w:line="240" w:lineRule="auto"/>
              <w:rPr>
                <w:rFonts w:ascii="Arial Narrow" w:hAnsi="Arial Narrow"/>
                <w:sz w:val="13"/>
                <w:szCs w:val="13"/>
              </w:rPr>
            </w:pPr>
          </w:p>
        </w:tc>
        <w:tc>
          <w:tcPr>
            <w:tcW w:w="1890" w:type="dxa"/>
            <w:tcBorders>
              <w:top w:val="nil"/>
              <w:left w:val="nil"/>
              <w:bottom w:val="nil"/>
              <w:right w:val="nil"/>
            </w:tcBorders>
            <w:tcMar>
              <w:left w:w="72" w:type="dxa"/>
              <w:right w:w="216" w:type="dxa"/>
            </w:tcMar>
          </w:tcPr>
          <w:p w14:paraId="4B0734CF" w14:textId="77777777" w:rsidR="00B903A5" w:rsidRPr="005926ED" w:rsidRDefault="00B903A5" w:rsidP="00594252">
            <w:pPr>
              <w:spacing w:before="10" w:after="0" w:line="240" w:lineRule="auto"/>
              <w:jc w:val="right"/>
              <w:rPr>
                <w:rFonts w:ascii="Arial Narrow" w:hAnsi="Arial Narrow"/>
                <w:sz w:val="13"/>
                <w:szCs w:val="13"/>
              </w:rPr>
            </w:pPr>
            <w:r w:rsidRPr="005926ED">
              <w:rPr>
                <w:rFonts w:ascii="Arial Narrow" w:hAnsi="Arial Narrow"/>
                <w:b/>
                <w:sz w:val="13"/>
                <w:szCs w:val="13"/>
              </w:rPr>
              <w:t>Demographics:</w:t>
            </w:r>
            <w:r w:rsidRPr="005926ED">
              <w:rPr>
                <w:rFonts w:ascii="Arial Narrow" w:hAnsi="Arial Narrow"/>
                <w:sz w:val="13"/>
                <w:szCs w:val="13"/>
              </w:rPr>
              <w:t xml:space="preserve"> 8480 (100.00%)</w:t>
            </w:r>
          </w:p>
        </w:tc>
        <w:tc>
          <w:tcPr>
            <w:tcW w:w="2765" w:type="dxa"/>
            <w:tcBorders>
              <w:top w:val="nil"/>
              <w:left w:val="nil"/>
              <w:bottom w:val="nil"/>
            </w:tcBorders>
            <w:tcMar>
              <w:left w:w="202" w:type="dxa"/>
              <w:right w:w="216" w:type="dxa"/>
            </w:tcMar>
          </w:tcPr>
          <w:p w14:paraId="6E81BF97" w14:textId="77777777" w:rsidR="00B903A5" w:rsidRPr="005926ED" w:rsidRDefault="00B903A5" w:rsidP="00594252">
            <w:pPr>
              <w:spacing w:before="10" w:after="0" w:line="240" w:lineRule="auto"/>
              <w:rPr>
                <w:rFonts w:ascii="Arial Narrow" w:hAnsi="Arial Narrow"/>
                <w:sz w:val="13"/>
                <w:szCs w:val="13"/>
              </w:rPr>
            </w:pPr>
          </w:p>
        </w:tc>
      </w:tr>
      <w:tr w:rsidR="00B903A5" w:rsidRPr="00FE278F" w14:paraId="201A578D" w14:textId="77777777" w:rsidTr="00D268F6">
        <w:trPr>
          <w:cantSplit/>
        </w:trPr>
        <w:tc>
          <w:tcPr>
            <w:tcW w:w="2047" w:type="dxa"/>
            <w:tcBorders>
              <w:top w:val="nil"/>
              <w:bottom w:val="nil"/>
              <w:right w:val="nil"/>
            </w:tcBorders>
            <w:tcMar>
              <w:left w:w="216" w:type="dxa"/>
              <w:right w:w="216" w:type="dxa"/>
            </w:tcMar>
          </w:tcPr>
          <w:p w14:paraId="4C840AC1"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Section 1:</w:t>
            </w:r>
            <w:r w:rsidRPr="005926ED">
              <w:rPr>
                <w:rFonts w:ascii="Arial Narrow" w:hAnsi="Arial Narrow"/>
                <w:sz w:val="13"/>
                <w:szCs w:val="13"/>
              </w:rPr>
              <w:t xml:space="preserve"> 10</w:t>
            </w:r>
            <w:r>
              <w:rPr>
                <w:rFonts w:ascii="Arial Narrow" w:hAnsi="Arial Narrow"/>
                <w:sz w:val="13"/>
                <w:szCs w:val="13"/>
              </w:rPr>
              <w:t>,</w:t>
            </w:r>
            <w:r w:rsidRPr="005926ED">
              <w:rPr>
                <w:rFonts w:ascii="Arial Narrow" w:hAnsi="Arial Narrow"/>
                <w:sz w:val="13"/>
                <w:szCs w:val="13"/>
              </w:rPr>
              <w:t>175 (79.45%)</w:t>
            </w:r>
          </w:p>
        </w:tc>
        <w:tc>
          <w:tcPr>
            <w:tcW w:w="1490" w:type="dxa"/>
            <w:tcBorders>
              <w:top w:val="nil"/>
              <w:left w:val="nil"/>
              <w:bottom w:val="nil"/>
              <w:right w:val="nil"/>
            </w:tcBorders>
            <w:tcMar>
              <w:left w:w="202" w:type="dxa"/>
              <w:right w:w="187" w:type="dxa"/>
            </w:tcMar>
          </w:tcPr>
          <w:p w14:paraId="009D717A"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15: 10</w:t>
            </w:r>
            <w:r>
              <w:rPr>
                <w:rFonts w:ascii="Arial Narrow" w:hAnsi="Arial Narrow"/>
                <w:sz w:val="13"/>
                <w:szCs w:val="13"/>
              </w:rPr>
              <w:t>,</w:t>
            </w:r>
            <w:r w:rsidRPr="005926ED">
              <w:rPr>
                <w:rFonts w:ascii="Arial Narrow" w:hAnsi="Arial Narrow"/>
                <w:sz w:val="13"/>
                <w:szCs w:val="13"/>
              </w:rPr>
              <w:t>884 (84.99%)</w:t>
            </w:r>
          </w:p>
        </w:tc>
        <w:tc>
          <w:tcPr>
            <w:tcW w:w="1888" w:type="dxa"/>
            <w:tcBorders>
              <w:top w:val="nil"/>
              <w:left w:val="nil"/>
              <w:bottom w:val="nil"/>
              <w:right w:val="nil"/>
            </w:tcBorders>
            <w:tcMar>
              <w:left w:w="216" w:type="dxa"/>
              <w:right w:w="216" w:type="dxa"/>
            </w:tcMar>
          </w:tcPr>
          <w:p w14:paraId="3316F3E4"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Section 1:</w:t>
            </w:r>
            <w:r>
              <w:rPr>
                <w:rFonts w:ascii="Arial Narrow" w:hAnsi="Arial Narrow"/>
                <w:sz w:val="13"/>
                <w:szCs w:val="13"/>
              </w:rPr>
              <w:t xml:space="preserve"> 3207 (74.13%)</w:t>
            </w:r>
          </w:p>
        </w:tc>
        <w:tc>
          <w:tcPr>
            <w:tcW w:w="1440" w:type="dxa"/>
            <w:tcBorders>
              <w:top w:val="nil"/>
              <w:left w:val="nil"/>
              <w:bottom w:val="nil"/>
              <w:right w:val="nil"/>
            </w:tcBorders>
            <w:tcMar>
              <w:left w:w="202" w:type="dxa"/>
              <w:right w:w="216" w:type="dxa"/>
            </w:tcMar>
          </w:tcPr>
          <w:p w14:paraId="12974FDE"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15:</w:t>
            </w:r>
            <w:r>
              <w:rPr>
                <w:rFonts w:ascii="Arial Narrow" w:hAnsi="Arial Narrow"/>
                <w:sz w:val="13"/>
                <w:szCs w:val="13"/>
              </w:rPr>
              <w:t xml:space="preserve"> 3546 (81.97%)</w:t>
            </w:r>
          </w:p>
        </w:tc>
        <w:tc>
          <w:tcPr>
            <w:tcW w:w="1890" w:type="dxa"/>
            <w:tcBorders>
              <w:top w:val="nil"/>
              <w:left w:val="nil"/>
              <w:bottom w:val="nil"/>
              <w:right w:val="nil"/>
            </w:tcBorders>
            <w:tcMar>
              <w:left w:w="216" w:type="dxa"/>
              <w:right w:w="216" w:type="dxa"/>
            </w:tcMar>
          </w:tcPr>
          <w:p w14:paraId="51DFB50D"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Section 1:</w:t>
            </w:r>
            <w:r>
              <w:rPr>
                <w:rFonts w:ascii="Arial Narrow" w:hAnsi="Arial Narrow"/>
                <w:sz w:val="13"/>
                <w:szCs w:val="13"/>
              </w:rPr>
              <w:t xml:space="preserve"> 6968 (82.17%)</w:t>
            </w:r>
          </w:p>
        </w:tc>
        <w:tc>
          <w:tcPr>
            <w:tcW w:w="2765" w:type="dxa"/>
            <w:tcBorders>
              <w:top w:val="nil"/>
              <w:left w:val="nil"/>
              <w:bottom w:val="nil"/>
            </w:tcBorders>
            <w:tcMar>
              <w:left w:w="202" w:type="dxa"/>
              <w:right w:w="216" w:type="dxa"/>
            </w:tcMar>
          </w:tcPr>
          <w:p w14:paraId="0E319B2A"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15:</w:t>
            </w:r>
            <w:r>
              <w:rPr>
                <w:rFonts w:ascii="Arial Narrow" w:hAnsi="Arial Narrow"/>
                <w:sz w:val="13"/>
                <w:szCs w:val="13"/>
              </w:rPr>
              <w:t xml:space="preserve"> 7338 (86.53%)</w:t>
            </w:r>
          </w:p>
        </w:tc>
      </w:tr>
      <w:tr w:rsidR="00B903A5" w:rsidRPr="00FE278F" w14:paraId="7D1B0EC0" w14:textId="77777777" w:rsidTr="00D268F6">
        <w:trPr>
          <w:cantSplit/>
        </w:trPr>
        <w:tc>
          <w:tcPr>
            <w:tcW w:w="2047" w:type="dxa"/>
            <w:tcBorders>
              <w:top w:val="nil"/>
              <w:bottom w:val="nil"/>
              <w:right w:val="nil"/>
            </w:tcBorders>
            <w:tcMar>
              <w:left w:w="216" w:type="dxa"/>
              <w:right w:w="216" w:type="dxa"/>
            </w:tcMar>
          </w:tcPr>
          <w:p w14:paraId="2D9D8607"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2:</w:t>
            </w:r>
            <w:r w:rsidRPr="005926ED">
              <w:rPr>
                <w:rFonts w:ascii="Arial Narrow" w:hAnsi="Arial Narrow"/>
                <w:sz w:val="13"/>
                <w:szCs w:val="13"/>
              </w:rPr>
              <w:t xml:space="preserve"> 10</w:t>
            </w:r>
            <w:r>
              <w:rPr>
                <w:rFonts w:ascii="Arial Narrow" w:hAnsi="Arial Narrow"/>
                <w:sz w:val="13"/>
                <w:szCs w:val="13"/>
              </w:rPr>
              <w:t>,</w:t>
            </w:r>
            <w:r w:rsidRPr="005926ED">
              <w:rPr>
                <w:rFonts w:ascii="Arial Narrow" w:hAnsi="Arial Narrow"/>
                <w:sz w:val="13"/>
                <w:szCs w:val="13"/>
              </w:rPr>
              <w:t>954 (85.54%)</w:t>
            </w:r>
          </w:p>
        </w:tc>
        <w:tc>
          <w:tcPr>
            <w:tcW w:w="1490" w:type="dxa"/>
            <w:tcBorders>
              <w:top w:val="nil"/>
              <w:left w:val="nil"/>
              <w:bottom w:val="nil"/>
              <w:right w:val="nil"/>
            </w:tcBorders>
            <w:tcMar>
              <w:left w:w="202" w:type="dxa"/>
              <w:right w:w="187" w:type="dxa"/>
            </w:tcMar>
          </w:tcPr>
          <w:p w14:paraId="0F2B912A"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16: 10</w:t>
            </w:r>
            <w:r>
              <w:rPr>
                <w:rFonts w:ascii="Arial Narrow" w:hAnsi="Arial Narrow"/>
                <w:sz w:val="13"/>
                <w:szCs w:val="13"/>
              </w:rPr>
              <w:t>,</w:t>
            </w:r>
            <w:r w:rsidRPr="005926ED">
              <w:rPr>
                <w:rFonts w:ascii="Arial Narrow" w:hAnsi="Arial Narrow"/>
                <w:sz w:val="13"/>
                <w:szCs w:val="13"/>
              </w:rPr>
              <w:t>902 (85.13%)</w:t>
            </w:r>
          </w:p>
        </w:tc>
        <w:tc>
          <w:tcPr>
            <w:tcW w:w="1888" w:type="dxa"/>
            <w:tcBorders>
              <w:top w:val="nil"/>
              <w:left w:val="nil"/>
              <w:bottom w:val="nil"/>
              <w:right w:val="nil"/>
            </w:tcBorders>
            <w:tcMar>
              <w:left w:w="216" w:type="dxa"/>
              <w:right w:w="216" w:type="dxa"/>
            </w:tcMar>
          </w:tcPr>
          <w:p w14:paraId="156CAAD6"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2:</w:t>
            </w:r>
            <w:r>
              <w:rPr>
                <w:rFonts w:ascii="Arial Narrow" w:hAnsi="Arial Narrow"/>
                <w:sz w:val="13"/>
                <w:szCs w:val="13"/>
              </w:rPr>
              <w:t xml:space="preserve"> 3546 (81.97%)</w:t>
            </w:r>
          </w:p>
        </w:tc>
        <w:tc>
          <w:tcPr>
            <w:tcW w:w="1440" w:type="dxa"/>
            <w:tcBorders>
              <w:top w:val="nil"/>
              <w:left w:val="nil"/>
              <w:bottom w:val="nil"/>
              <w:right w:val="nil"/>
            </w:tcBorders>
            <w:tcMar>
              <w:left w:w="202" w:type="dxa"/>
              <w:right w:w="216" w:type="dxa"/>
            </w:tcMar>
          </w:tcPr>
          <w:p w14:paraId="04E29E86"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16:</w:t>
            </w:r>
            <w:r>
              <w:rPr>
                <w:rFonts w:ascii="Arial Narrow" w:hAnsi="Arial Narrow"/>
                <w:sz w:val="13"/>
                <w:szCs w:val="13"/>
              </w:rPr>
              <w:t xml:space="preserve"> 3549 (82.04%)</w:t>
            </w:r>
          </w:p>
        </w:tc>
        <w:tc>
          <w:tcPr>
            <w:tcW w:w="1890" w:type="dxa"/>
            <w:tcBorders>
              <w:top w:val="nil"/>
              <w:left w:val="nil"/>
              <w:bottom w:val="nil"/>
              <w:right w:val="nil"/>
            </w:tcBorders>
            <w:tcMar>
              <w:left w:w="216" w:type="dxa"/>
              <w:right w:w="216" w:type="dxa"/>
            </w:tcMar>
          </w:tcPr>
          <w:p w14:paraId="04E838CD"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2:</w:t>
            </w:r>
            <w:r>
              <w:rPr>
                <w:rFonts w:ascii="Arial Narrow" w:hAnsi="Arial Narrow"/>
                <w:sz w:val="13"/>
                <w:szCs w:val="13"/>
              </w:rPr>
              <w:t xml:space="preserve"> 7408 (87.38%)</w:t>
            </w:r>
          </w:p>
        </w:tc>
        <w:tc>
          <w:tcPr>
            <w:tcW w:w="2765" w:type="dxa"/>
            <w:tcBorders>
              <w:top w:val="nil"/>
              <w:left w:val="nil"/>
              <w:bottom w:val="nil"/>
            </w:tcBorders>
            <w:tcMar>
              <w:left w:w="202" w:type="dxa"/>
              <w:right w:w="216" w:type="dxa"/>
            </w:tcMar>
          </w:tcPr>
          <w:p w14:paraId="5BD7B3D6"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16:</w:t>
            </w:r>
            <w:r>
              <w:rPr>
                <w:rFonts w:ascii="Arial Narrow" w:hAnsi="Arial Narrow"/>
                <w:sz w:val="13"/>
                <w:szCs w:val="13"/>
              </w:rPr>
              <w:t xml:space="preserve"> 7353 (86.71%)</w:t>
            </w:r>
          </w:p>
        </w:tc>
      </w:tr>
      <w:tr w:rsidR="00B903A5" w:rsidRPr="00FE278F" w14:paraId="65548F87" w14:textId="77777777" w:rsidTr="00D268F6">
        <w:trPr>
          <w:cantSplit/>
        </w:trPr>
        <w:tc>
          <w:tcPr>
            <w:tcW w:w="2047" w:type="dxa"/>
            <w:tcBorders>
              <w:top w:val="nil"/>
              <w:bottom w:val="nil"/>
              <w:right w:val="nil"/>
            </w:tcBorders>
            <w:tcMar>
              <w:left w:w="216" w:type="dxa"/>
              <w:right w:w="216" w:type="dxa"/>
            </w:tcMar>
          </w:tcPr>
          <w:p w14:paraId="1211DF2D"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3:</w:t>
            </w:r>
            <w:r w:rsidRPr="005926ED">
              <w:rPr>
                <w:rFonts w:ascii="Arial Narrow" w:hAnsi="Arial Narrow"/>
                <w:sz w:val="13"/>
                <w:szCs w:val="13"/>
              </w:rPr>
              <w:t xml:space="preserve"> 12</w:t>
            </w:r>
            <w:r>
              <w:rPr>
                <w:rFonts w:ascii="Arial Narrow" w:hAnsi="Arial Narrow"/>
                <w:sz w:val="13"/>
                <w:szCs w:val="13"/>
              </w:rPr>
              <w:t>,</w:t>
            </w:r>
            <w:r w:rsidRPr="005926ED">
              <w:rPr>
                <w:rFonts w:ascii="Arial Narrow" w:hAnsi="Arial Narrow"/>
                <w:sz w:val="13"/>
                <w:szCs w:val="13"/>
              </w:rPr>
              <w:t>387 (96.73%)</w:t>
            </w:r>
          </w:p>
        </w:tc>
        <w:tc>
          <w:tcPr>
            <w:tcW w:w="1490" w:type="dxa"/>
            <w:tcBorders>
              <w:top w:val="nil"/>
              <w:left w:val="nil"/>
              <w:bottom w:val="nil"/>
              <w:right w:val="nil"/>
            </w:tcBorders>
            <w:tcMar>
              <w:left w:w="202" w:type="dxa"/>
              <w:right w:w="187" w:type="dxa"/>
            </w:tcMar>
          </w:tcPr>
          <w:p w14:paraId="52AB8BE7"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17: 10</w:t>
            </w:r>
            <w:r>
              <w:rPr>
                <w:rFonts w:ascii="Arial Narrow" w:hAnsi="Arial Narrow"/>
                <w:sz w:val="13"/>
                <w:szCs w:val="13"/>
              </w:rPr>
              <w:t>,</w:t>
            </w:r>
            <w:r w:rsidRPr="005926ED">
              <w:rPr>
                <w:rFonts w:ascii="Arial Narrow" w:hAnsi="Arial Narrow"/>
                <w:sz w:val="13"/>
                <w:szCs w:val="13"/>
              </w:rPr>
              <w:t>889 (85.03%)</w:t>
            </w:r>
          </w:p>
        </w:tc>
        <w:tc>
          <w:tcPr>
            <w:tcW w:w="1888" w:type="dxa"/>
            <w:tcBorders>
              <w:top w:val="nil"/>
              <w:left w:val="nil"/>
              <w:bottom w:val="nil"/>
              <w:right w:val="nil"/>
            </w:tcBorders>
            <w:tcMar>
              <w:left w:w="216" w:type="dxa"/>
              <w:right w:w="216" w:type="dxa"/>
            </w:tcMar>
          </w:tcPr>
          <w:p w14:paraId="1A22EC7F"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3:</w:t>
            </w:r>
            <w:r>
              <w:rPr>
                <w:rFonts w:ascii="Arial Narrow" w:hAnsi="Arial Narrow"/>
                <w:sz w:val="13"/>
                <w:szCs w:val="13"/>
              </w:rPr>
              <w:t xml:space="preserve"> 4155 (96.05%)</w:t>
            </w:r>
          </w:p>
        </w:tc>
        <w:tc>
          <w:tcPr>
            <w:tcW w:w="1440" w:type="dxa"/>
            <w:tcBorders>
              <w:top w:val="nil"/>
              <w:left w:val="nil"/>
              <w:bottom w:val="nil"/>
              <w:right w:val="nil"/>
            </w:tcBorders>
            <w:tcMar>
              <w:left w:w="202" w:type="dxa"/>
              <w:right w:w="216" w:type="dxa"/>
            </w:tcMar>
          </w:tcPr>
          <w:p w14:paraId="48D773DE"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17:</w:t>
            </w:r>
            <w:r>
              <w:rPr>
                <w:rFonts w:ascii="Arial Narrow" w:hAnsi="Arial Narrow"/>
                <w:sz w:val="13"/>
                <w:szCs w:val="13"/>
              </w:rPr>
              <w:t xml:space="preserve"> 3543 (81.90%)</w:t>
            </w:r>
          </w:p>
        </w:tc>
        <w:tc>
          <w:tcPr>
            <w:tcW w:w="1890" w:type="dxa"/>
            <w:tcBorders>
              <w:top w:val="nil"/>
              <w:left w:val="nil"/>
              <w:bottom w:val="nil"/>
              <w:right w:val="nil"/>
            </w:tcBorders>
            <w:tcMar>
              <w:left w:w="216" w:type="dxa"/>
              <w:right w:w="216" w:type="dxa"/>
            </w:tcMar>
          </w:tcPr>
          <w:p w14:paraId="0C84DA2D"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3:</w:t>
            </w:r>
            <w:r>
              <w:rPr>
                <w:rFonts w:ascii="Arial Narrow" w:hAnsi="Arial Narrow"/>
                <w:sz w:val="13"/>
                <w:szCs w:val="13"/>
              </w:rPr>
              <w:t xml:space="preserve"> 8232 (97.08%)</w:t>
            </w:r>
          </w:p>
        </w:tc>
        <w:tc>
          <w:tcPr>
            <w:tcW w:w="2765" w:type="dxa"/>
            <w:tcBorders>
              <w:top w:val="nil"/>
              <w:left w:val="nil"/>
              <w:bottom w:val="nil"/>
            </w:tcBorders>
            <w:tcMar>
              <w:left w:w="202" w:type="dxa"/>
              <w:right w:w="216" w:type="dxa"/>
            </w:tcMar>
          </w:tcPr>
          <w:p w14:paraId="5FB2B19C"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17:</w:t>
            </w:r>
            <w:r>
              <w:rPr>
                <w:rFonts w:ascii="Arial Narrow" w:hAnsi="Arial Narrow"/>
                <w:sz w:val="13"/>
                <w:szCs w:val="13"/>
              </w:rPr>
              <w:t xml:space="preserve"> 7346 (86.63%)</w:t>
            </w:r>
          </w:p>
        </w:tc>
      </w:tr>
      <w:tr w:rsidR="00B903A5" w:rsidRPr="00FE278F" w14:paraId="5BBDFEEC" w14:textId="77777777" w:rsidTr="00D268F6">
        <w:trPr>
          <w:cantSplit/>
        </w:trPr>
        <w:tc>
          <w:tcPr>
            <w:tcW w:w="2047" w:type="dxa"/>
            <w:tcBorders>
              <w:top w:val="nil"/>
              <w:bottom w:val="nil"/>
              <w:right w:val="nil"/>
            </w:tcBorders>
            <w:tcMar>
              <w:left w:w="216" w:type="dxa"/>
              <w:right w:w="216" w:type="dxa"/>
            </w:tcMar>
          </w:tcPr>
          <w:p w14:paraId="7813106C"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4:</w:t>
            </w:r>
            <w:r w:rsidRPr="005926ED">
              <w:rPr>
                <w:rFonts w:ascii="Arial Narrow" w:hAnsi="Arial Narrow"/>
                <w:sz w:val="13"/>
                <w:szCs w:val="13"/>
              </w:rPr>
              <w:t xml:space="preserve"> 12</w:t>
            </w:r>
            <w:r>
              <w:rPr>
                <w:rFonts w:ascii="Arial Narrow" w:hAnsi="Arial Narrow"/>
                <w:sz w:val="13"/>
                <w:szCs w:val="13"/>
              </w:rPr>
              <w:t>,</w:t>
            </w:r>
            <w:r w:rsidRPr="005926ED">
              <w:rPr>
                <w:rFonts w:ascii="Arial Narrow" w:hAnsi="Arial Narrow"/>
                <w:sz w:val="13"/>
                <w:szCs w:val="13"/>
              </w:rPr>
              <w:t>016 (93.83%)</w:t>
            </w:r>
          </w:p>
        </w:tc>
        <w:tc>
          <w:tcPr>
            <w:tcW w:w="1490" w:type="dxa"/>
            <w:tcBorders>
              <w:top w:val="nil"/>
              <w:left w:val="nil"/>
              <w:bottom w:val="nil"/>
              <w:right w:val="nil"/>
            </w:tcBorders>
            <w:tcMar>
              <w:left w:w="202" w:type="dxa"/>
              <w:right w:w="187" w:type="dxa"/>
            </w:tcMar>
          </w:tcPr>
          <w:p w14:paraId="0E69EC09"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18: 10</w:t>
            </w:r>
            <w:r>
              <w:rPr>
                <w:rFonts w:ascii="Arial Narrow" w:hAnsi="Arial Narrow"/>
                <w:sz w:val="13"/>
                <w:szCs w:val="13"/>
              </w:rPr>
              <w:t>,</w:t>
            </w:r>
            <w:r w:rsidRPr="005926ED">
              <w:rPr>
                <w:rFonts w:ascii="Arial Narrow" w:hAnsi="Arial Narrow"/>
                <w:sz w:val="13"/>
                <w:szCs w:val="13"/>
              </w:rPr>
              <w:t>839 (84.64%)</w:t>
            </w:r>
          </w:p>
        </w:tc>
        <w:tc>
          <w:tcPr>
            <w:tcW w:w="1888" w:type="dxa"/>
            <w:tcBorders>
              <w:top w:val="nil"/>
              <w:left w:val="nil"/>
              <w:bottom w:val="nil"/>
              <w:right w:val="nil"/>
            </w:tcBorders>
            <w:tcMar>
              <w:left w:w="216" w:type="dxa"/>
              <w:right w:w="216" w:type="dxa"/>
            </w:tcMar>
          </w:tcPr>
          <w:p w14:paraId="1090BEDC"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4:</w:t>
            </w:r>
            <w:r>
              <w:rPr>
                <w:rFonts w:ascii="Arial Narrow" w:hAnsi="Arial Narrow"/>
                <w:sz w:val="13"/>
                <w:szCs w:val="13"/>
              </w:rPr>
              <w:t xml:space="preserve"> 4004 (92.56%)</w:t>
            </w:r>
          </w:p>
        </w:tc>
        <w:tc>
          <w:tcPr>
            <w:tcW w:w="1440" w:type="dxa"/>
            <w:tcBorders>
              <w:top w:val="nil"/>
              <w:left w:val="nil"/>
              <w:bottom w:val="nil"/>
              <w:right w:val="nil"/>
            </w:tcBorders>
            <w:tcMar>
              <w:left w:w="202" w:type="dxa"/>
              <w:right w:w="216" w:type="dxa"/>
            </w:tcMar>
          </w:tcPr>
          <w:p w14:paraId="1BF6AA22"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18:</w:t>
            </w:r>
            <w:r>
              <w:rPr>
                <w:rFonts w:ascii="Arial Narrow" w:hAnsi="Arial Narrow"/>
                <w:sz w:val="13"/>
                <w:szCs w:val="13"/>
              </w:rPr>
              <w:t xml:space="preserve"> 3522 (81.41%)</w:t>
            </w:r>
          </w:p>
        </w:tc>
        <w:tc>
          <w:tcPr>
            <w:tcW w:w="1890" w:type="dxa"/>
            <w:tcBorders>
              <w:top w:val="nil"/>
              <w:left w:val="nil"/>
              <w:bottom w:val="nil"/>
              <w:right w:val="nil"/>
            </w:tcBorders>
            <w:tcMar>
              <w:left w:w="216" w:type="dxa"/>
              <w:right w:w="216" w:type="dxa"/>
            </w:tcMar>
          </w:tcPr>
          <w:p w14:paraId="60E99445"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4:</w:t>
            </w:r>
            <w:r>
              <w:rPr>
                <w:rFonts w:ascii="Arial Narrow" w:hAnsi="Arial Narrow"/>
                <w:sz w:val="13"/>
                <w:szCs w:val="13"/>
              </w:rPr>
              <w:t xml:space="preserve"> 8012 (94.48%)</w:t>
            </w:r>
          </w:p>
        </w:tc>
        <w:tc>
          <w:tcPr>
            <w:tcW w:w="2765" w:type="dxa"/>
            <w:tcBorders>
              <w:top w:val="nil"/>
              <w:left w:val="nil"/>
              <w:bottom w:val="nil"/>
            </w:tcBorders>
            <w:tcMar>
              <w:left w:w="202" w:type="dxa"/>
              <w:right w:w="216" w:type="dxa"/>
            </w:tcMar>
          </w:tcPr>
          <w:p w14:paraId="7BEA0490"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18:</w:t>
            </w:r>
            <w:r>
              <w:rPr>
                <w:rFonts w:ascii="Arial Narrow" w:hAnsi="Arial Narrow"/>
                <w:sz w:val="13"/>
                <w:szCs w:val="13"/>
              </w:rPr>
              <w:t xml:space="preserve"> 7317 (86.29%)</w:t>
            </w:r>
          </w:p>
        </w:tc>
      </w:tr>
      <w:tr w:rsidR="00B903A5" w:rsidRPr="00FE278F" w14:paraId="61B23682" w14:textId="77777777" w:rsidTr="00D268F6">
        <w:trPr>
          <w:cantSplit/>
        </w:trPr>
        <w:tc>
          <w:tcPr>
            <w:tcW w:w="2047" w:type="dxa"/>
            <w:tcBorders>
              <w:top w:val="nil"/>
              <w:bottom w:val="nil"/>
              <w:right w:val="nil"/>
            </w:tcBorders>
            <w:tcMar>
              <w:left w:w="216" w:type="dxa"/>
              <w:right w:w="216" w:type="dxa"/>
            </w:tcMar>
          </w:tcPr>
          <w:p w14:paraId="22E99241"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5:</w:t>
            </w:r>
            <w:r w:rsidRPr="005926ED">
              <w:rPr>
                <w:rFonts w:ascii="Arial Narrow" w:hAnsi="Arial Narrow"/>
                <w:sz w:val="13"/>
                <w:szCs w:val="13"/>
              </w:rPr>
              <w:t xml:space="preserve"> 11</w:t>
            </w:r>
            <w:r>
              <w:rPr>
                <w:rFonts w:ascii="Arial Narrow" w:hAnsi="Arial Narrow"/>
                <w:sz w:val="13"/>
                <w:szCs w:val="13"/>
              </w:rPr>
              <w:t>,</w:t>
            </w:r>
            <w:r w:rsidRPr="005926ED">
              <w:rPr>
                <w:rFonts w:ascii="Arial Narrow" w:hAnsi="Arial Narrow"/>
                <w:sz w:val="13"/>
                <w:szCs w:val="13"/>
              </w:rPr>
              <w:t>804 (92.18%)</w:t>
            </w:r>
          </w:p>
        </w:tc>
        <w:tc>
          <w:tcPr>
            <w:tcW w:w="1490" w:type="dxa"/>
            <w:tcBorders>
              <w:top w:val="nil"/>
              <w:left w:val="nil"/>
              <w:bottom w:val="nil"/>
              <w:right w:val="nil"/>
            </w:tcBorders>
            <w:tcMar>
              <w:left w:w="202" w:type="dxa"/>
              <w:right w:w="187" w:type="dxa"/>
            </w:tcMar>
          </w:tcPr>
          <w:p w14:paraId="759C9E61"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19: 10</w:t>
            </w:r>
            <w:r>
              <w:rPr>
                <w:rFonts w:ascii="Arial Narrow" w:hAnsi="Arial Narrow"/>
                <w:sz w:val="13"/>
                <w:szCs w:val="13"/>
              </w:rPr>
              <w:t>,</w:t>
            </w:r>
            <w:r w:rsidRPr="005926ED">
              <w:rPr>
                <w:rFonts w:ascii="Arial Narrow" w:hAnsi="Arial Narrow"/>
                <w:sz w:val="13"/>
                <w:szCs w:val="13"/>
              </w:rPr>
              <w:t>828 (84.55%)</w:t>
            </w:r>
          </w:p>
        </w:tc>
        <w:tc>
          <w:tcPr>
            <w:tcW w:w="1888" w:type="dxa"/>
            <w:tcBorders>
              <w:top w:val="nil"/>
              <w:left w:val="nil"/>
              <w:bottom w:val="nil"/>
              <w:right w:val="nil"/>
            </w:tcBorders>
            <w:tcMar>
              <w:left w:w="216" w:type="dxa"/>
              <w:right w:w="216" w:type="dxa"/>
            </w:tcMar>
          </w:tcPr>
          <w:p w14:paraId="1474D61E"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5:</w:t>
            </w:r>
            <w:r>
              <w:rPr>
                <w:rFonts w:ascii="Arial Narrow" w:hAnsi="Arial Narrow"/>
                <w:sz w:val="13"/>
                <w:szCs w:val="13"/>
              </w:rPr>
              <w:t xml:space="preserve"> 3901 (90.18%)</w:t>
            </w:r>
          </w:p>
        </w:tc>
        <w:tc>
          <w:tcPr>
            <w:tcW w:w="1440" w:type="dxa"/>
            <w:tcBorders>
              <w:top w:val="nil"/>
              <w:left w:val="nil"/>
              <w:bottom w:val="nil"/>
              <w:right w:val="nil"/>
            </w:tcBorders>
            <w:tcMar>
              <w:left w:w="202" w:type="dxa"/>
              <w:right w:w="216" w:type="dxa"/>
            </w:tcMar>
          </w:tcPr>
          <w:p w14:paraId="6146FF82"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19:</w:t>
            </w:r>
            <w:r>
              <w:rPr>
                <w:rFonts w:ascii="Arial Narrow" w:hAnsi="Arial Narrow"/>
                <w:sz w:val="13"/>
                <w:szCs w:val="13"/>
              </w:rPr>
              <w:t xml:space="preserve"> 3514 (81.23%)</w:t>
            </w:r>
          </w:p>
        </w:tc>
        <w:tc>
          <w:tcPr>
            <w:tcW w:w="1890" w:type="dxa"/>
            <w:tcBorders>
              <w:top w:val="nil"/>
              <w:left w:val="nil"/>
              <w:bottom w:val="nil"/>
              <w:right w:val="nil"/>
            </w:tcBorders>
            <w:tcMar>
              <w:left w:w="216" w:type="dxa"/>
              <w:right w:w="216" w:type="dxa"/>
            </w:tcMar>
          </w:tcPr>
          <w:p w14:paraId="7BC50A6B"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5:</w:t>
            </w:r>
            <w:r>
              <w:rPr>
                <w:rFonts w:ascii="Arial Narrow" w:hAnsi="Arial Narrow"/>
                <w:sz w:val="13"/>
                <w:szCs w:val="13"/>
              </w:rPr>
              <w:t xml:space="preserve"> 7903 (93.20%)</w:t>
            </w:r>
          </w:p>
        </w:tc>
        <w:tc>
          <w:tcPr>
            <w:tcW w:w="2765" w:type="dxa"/>
            <w:tcBorders>
              <w:top w:val="nil"/>
              <w:left w:val="nil"/>
              <w:bottom w:val="nil"/>
            </w:tcBorders>
            <w:tcMar>
              <w:left w:w="202" w:type="dxa"/>
              <w:right w:w="216" w:type="dxa"/>
            </w:tcMar>
          </w:tcPr>
          <w:p w14:paraId="512DB629"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19:</w:t>
            </w:r>
            <w:r>
              <w:rPr>
                <w:rFonts w:ascii="Arial Narrow" w:hAnsi="Arial Narrow"/>
                <w:sz w:val="13"/>
                <w:szCs w:val="13"/>
              </w:rPr>
              <w:t xml:space="preserve"> 7314 (86.25%)</w:t>
            </w:r>
          </w:p>
        </w:tc>
      </w:tr>
      <w:tr w:rsidR="00B903A5" w:rsidRPr="00FE278F" w14:paraId="2B7AEA60" w14:textId="77777777" w:rsidTr="00D268F6">
        <w:trPr>
          <w:cantSplit/>
        </w:trPr>
        <w:tc>
          <w:tcPr>
            <w:tcW w:w="2047" w:type="dxa"/>
            <w:tcBorders>
              <w:top w:val="nil"/>
              <w:bottom w:val="nil"/>
              <w:right w:val="nil"/>
            </w:tcBorders>
            <w:tcMar>
              <w:left w:w="216" w:type="dxa"/>
              <w:right w:w="216" w:type="dxa"/>
            </w:tcMar>
          </w:tcPr>
          <w:p w14:paraId="0CE1FD7C"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6:</w:t>
            </w:r>
            <w:r w:rsidRPr="005926ED">
              <w:rPr>
                <w:rFonts w:ascii="Arial Narrow" w:hAnsi="Arial Narrow"/>
                <w:sz w:val="13"/>
                <w:szCs w:val="13"/>
              </w:rPr>
              <w:t xml:space="preserve"> 11</w:t>
            </w:r>
            <w:r>
              <w:rPr>
                <w:rFonts w:ascii="Arial Narrow" w:hAnsi="Arial Narrow"/>
                <w:sz w:val="13"/>
                <w:szCs w:val="13"/>
              </w:rPr>
              <w:t>,</w:t>
            </w:r>
            <w:r w:rsidRPr="005926ED">
              <w:rPr>
                <w:rFonts w:ascii="Arial Narrow" w:hAnsi="Arial Narrow"/>
                <w:sz w:val="13"/>
                <w:szCs w:val="13"/>
              </w:rPr>
              <w:t>783 (92.01%)</w:t>
            </w:r>
          </w:p>
        </w:tc>
        <w:tc>
          <w:tcPr>
            <w:tcW w:w="1490" w:type="dxa"/>
            <w:tcBorders>
              <w:top w:val="nil"/>
              <w:left w:val="nil"/>
              <w:bottom w:val="nil"/>
              <w:right w:val="nil"/>
            </w:tcBorders>
            <w:tcMar>
              <w:left w:w="202" w:type="dxa"/>
              <w:right w:w="187" w:type="dxa"/>
            </w:tcMar>
          </w:tcPr>
          <w:p w14:paraId="54C632DF"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20: 10</w:t>
            </w:r>
            <w:r>
              <w:rPr>
                <w:rFonts w:ascii="Arial Narrow" w:hAnsi="Arial Narrow"/>
                <w:sz w:val="13"/>
                <w:szCs w:val="13"/>
              </w:rPr>
              <w:t>,</w:t>
            </w:r>
            <w:r w:rsidRPr="005926ED">
              <w:rPr>
                <w:rFonts w:ascii="Arial Narrow" w:hAnsi="Arial Narrow"/>
                <w:sz w:val="13"/>
                <w:szCs w:val="13"/>
              </w:rPr>
              <w:t>811 (84.42%)</w:t>
            </w:r>
          </w:p>
        </w:tc>
        <w:tc>
          <w:tcPr>
            <w:tcW w:w="1888" w:type="dxa"/>
            <w:tcBorders>
              <w:top w:val="nil"/>
              <w:left w:val="nil"/>
              <w:bottom w:val="nil"/>
              <w:right w:val="nil"/>
            </w:tcBorders>
            <w:tcMar>
              <w:left w:w="216" w:type="dxa"/>
              <w:right w:w="216" w:type="dxa"/>
            </w:tcMar>
          </w:tcPr>
          <w:p w14:paraId="529A7106"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6:</w:t>
            </w:r>
            <w:r>
              <w:rPr>
                <w:rFonts w:ascii="Arial Narrow" w:hAnsi="Arial Narrow"/>
                <w:sz w:val="13"/>
                <w:szCs w:val="13"/>
              </w:rPr>
              <w:t xml:space="preserve"> 3899 (90.13%)</w:t>
            </w:r>
          </w:p>
        </w:tc>
        <w:tc>
          <w:tcPr>
            <w:tcW w:w="1440" w:type="dxa"/>
            <w:tcBorders>
              <w:top w:val="nil"/>
              <w:left w:val="nil"/>
              <w:bottom w:val="nil"/>
              <w:right w:val="nil"/>
            </w:tcBorders>
            <w:tcMar>
              <w:left w:w="202" w:type="dxa"/>
              <w:right w:w="216" w:type="dxa"/>
            </w:tcMar>
          </w:tcPr>
          <w:p w14:paraId="09EECF1F"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20:</w:t>
            </w:r>
            <w:r>
              <w:rPr>
                <w:rFonts w:ascii="Arial Narrow" w:hAnsi="Arial Narrow"/>
                <w:sz w:val="13"/>
                <w:szCs w:val="13"/>
              </w:rPr>
              <w:t xml:space="preserve"> 3501 (80.93%)</w:t>
            </w:r>
          </w:p>
        </w:tc>
        <w:tc>
          <w:tcPr>
            <w:tcW w:w="1890" w:type="dxa"/>
            <w:tcBorders>
              <w:top w:val="nil"/>
              <w:left w:val="nil"/>
              <w:bottom w:val="nil"/>
              <w:right w:val="nil"/>
            </w:tcBorders>
            <w:tcMar>
              <w:left w:w="216" w:type="dxa"/>
              <w:right w:w="216" w:type="dxa"/>
            </w:tcMar>
          </w:tcPr>
          <w:p w14:paraId="298C86DE"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6:</w:t>
            </w:r>
            <w:r>
              <w:rPr>
                <w:rFonts w:ascii="Arial Narrow" w:hAnsi="Arial Narrow"/>
                <w:sz w:val="13"/>
                <w:szCs w:val="13"/>
              </w:rPr>
              <w:t xml:space="preserve"> 7884 (92.97%)</w:t>
            </w:r>
          </w:p>
        </w:tc>
        <w:tc>
          <w:tcPr>
            <w:tcW w:w="2765" w:type="dxa"/>
            <w:tcBorders>
              <w:top w:val="nil"/>
              <w:left w:val="nil"/>
              <w:bottom w:val="nil"/>
            </w:tcBorders>
            <w:tcMar>
              <w:left w:w="202" w:type="dxa"/>
              <w:right w:w="216" w:type="dxa"/>
            </w:tcMar>
          </w:tcPr>
          <w:p w14:paraId="0F1ECBBE"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20:</w:t>
            </w:r>
            <w:r>
              <w:rPr>
                <w:rFonts w:ascii="Arial Narrow" w:hAnsi="Arial Narrow"/>
                <w:sz w:val="13"/>
                <w:szCs w:val="13"/>
              </w:rPr>
              <w:t xml:space="preserve"> 7310 (86.20%)</w:t>
            </w:r>
          </w:p>
        </w:tc>
      </w:tr>
      <w:tr w:rsidR="00B903A5" w:rsidRPr="00FE278F" w14:paraId="37132D43" w14:textId="77777777" w:rsidTr="00D268F6">
        <w:trPr>
          <w:cantSplit/>
        </w:trPr>
        <w:tc>
          <w:tcPr>
            <w:tcW w:w="2047" w:type="dxa"/>
            <w:tcBorders>
              <w:top w:val="nil"/>
              <w:bottom w:val="nil"/>
              <w:right w:val="nil"/>
            </w:tcBorders>
            <w:tcMar>
              <w:left w:w="216" w:type="dxa"/>
              <w:right w:w="216" w:type="dxa"/>
            </w:tcMar>
          </w:tcPr>
          <w:p w14:paraId="257E411D"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7:</w:t>
            </w:r>
            <w:r w:rsidRPr="005926ED">
              <w:rPr>
                <w:rFonts w:ascii="Arial Narrow" w:hAnsi="Arial Narrow"/>
                <w:sz w:val="13"/>
                <w:szCs w:val="13"/>
              </w:rPr>
              <w:t xml:space="preserve"> 11</w:t>
            </w:r>
            <w:r>
              <w:rPr>
                <w:rFonts w:ascii="Arial Narrow" w:hAnsi="Arial Narrow"/>
                <w:sz w:val="13"/>
                <w:szCs w:val="13"/>
              </w:rPr>
              <w:t>,</w:t>
            </w:r>
            <w:r w:rsidRPr="005926ED">
              <w:rPr>
                <w:rFonts w:ascii="Arial Narrow" w:hAnsi="Arial Narrow"/>
                <w:sz w:val="13"/>
                <w:szCs w:val="13"/>
              </w:rPr>
              <w:t>681 (91.22%)</w:t>
            </w:r>
          </w:p>
        </w:tc>
        <w:tc>
          <w:tcPr>
            <w:tcW w:w="1490" w:type="dxa"/>
            <w:tcBorders>
              <w:top w:val="nil"/>
              <w:left w:val="nil"/>
              <w:bottom w:val="nil"/>
              <w:right w:val="nil"/>
            </w:tcBorders>
            <w:tcMar>
              <w:left w:w="202" w:type="dxa"/>
              <w:right w:w="187" w:type="dxa"/>
            </w:tcMar>
          </w:tcPr>
          <w:p w14:paraId="7794C003"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21: 10</w:t>
            </w:r>
            <w:r>
              <w:rPr>
                <w:rFonts w:ascii="Arial Narrow" w:hAnsi="Arial Narrow"/>
                <w:sz w:val="13"/>
                <w:szCs w:val="13"/>
              </w:rPr>
              <w:t>,</w:t>
            </w:r>
            <w:r w:rsidRPr="005926ED">
              <w:rPr>
                <w:rFonts w:ascii="Arial Narrow" w:hAnsi="Arial Narrow"/>
                <w:sz w:val="13"/>
                <w:szCs w:val="13"/>
              </w:rPr>
              <w:t>743 (83.89%)</w:t>
            </w:r>
          </w:p>
        </w:tc>
        <w:tc>
          <w:tcPr>
            <w:tcW w:w="1888" w:type="dxa"/>
            <w:tcBorders>
              <w:top w:val="nil"/>
              <w:left w:val="nil"/>
              <w:bottom w:val="nil"/>
              <w:right w:val="nil"/>
            </w:tcBorders>
            <w:tcMar>
              <w:left w:w="216" w:type="dxa"/>
              <w:right w:w="216" w:type="dxa"/>
            </w:tcMar>
          </w:tcPr>
          <w:p w14:paraId="20972210"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7:</w:t>
            </w:r>
            <w:r>
              <w:rPr>
                <w:rFonts w:ascii="Arial Narrow" w:hAnsi="Arial Narrow"/>
                <w:sz w:val="13"/>
                <w:szCs w:val="13"/>
              </w:rPr>
              <w:t xml:space="preserve"> 3846 (88.90%)</w:t>
            </w:r>
          </w:p>
        </w:tc>
        <w:tc>
          <w:tcPr>
            <w:tcW w:w="1440" w:type="dxa"/>
            <w:tcBorders>
              <w:top w:val="nil"/>
              <w:left w:val="nil"/>
              <w:bottom w:val="nil"/>
              <w:right w:val="nil"/>
            </w:tcBorders>
            <w:tcMar>
              <w:left w:w="202" w:type="dxa"/>
              <w:right w:w="216" w:type="dxa"/>
            </w:tcMar>
          </w:tcPr>
          <w:p w14:paraId="610273BC"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21:</w:t>
            </w:r>
            <w:r>
              <w:rPr>
                <w:rFonts w:ascii="Arial Narrow" w:hAnsi="Arial Narrow"/>
                <w:sz w:val="13"/>
                <w:szCs w:val="13"/>
              </w:rPr>
              <w:t xml:space="preserve"> 3478 (80.40%)</w:t>
            </w:r>
          </w:p>
        </w:tc>
        <w:tc>
          <w:tcPr>
            <w:tcW w:w="1890" w:type="dxa"/>
            <w:tcBorders>
              <w:top w:val="nil"/>
              <w:left w:val="nil"/>
              <w:bottom w:val="nil"/>
              <w:right w:val="nil"/>
            </w:tcBorders>
            <w:tcMar>
              <w:left w:w="216" w:type="dxa"/>
              <w:right w:w="216" w:type="dxa"/>
            </w:tcMar>
          </w:tcPr>
          <w:p w14:paraId="361EEEC8"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7:</w:t>
            </w:r>
            <w:r>
              <w:rPr>
                <w:rFonts w:ascii="Arial Narrow" w:hAnsi="Arial Narrow"/>
                <w:sz w:val="13"/>
                <w:szCs w:val="13"/>
              </w:rPr>
              <w:t xml:space="preserve"> 7835 (92.39%)</w:t>
            </w:r>
          </w:p>
        </w:tc>
        <w:tc>
          <w:tcPr>
            <w:tcW w:w="2765" w:type="dxa"/>
            <w:tcBorders>
              <w:top w:val="nil"/>
              <w:left w:val="nil"/>
              <w:bottom w:val="nil"/>
            </w:tcBorders>
            <w:tcMar>
              <w:left w:w="202" w:type="dxa"/>
              <w:right w:w="216" w:type="dxa"/>
            </w:tcMar>
          </w:tcPr>
          <w:p w14:paraId="5BBB2F51"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21:</w:t>
            </w:r>
            <w:r>
              <w:rPr>
                <w:rFonts w:ascii="Arial Narrow" w:hAnsi="Arial Narrow"/>
                <w:sz w:val="13"/>
                <w:szCs w:val="13"/>
              </w:rPr>
              <w:t xml:space="preserve"> 7265 (85.67%)</w:t>
            </w:r>
          </w:p>
        </w:tc>
      </w:tr>
      <w:tr w:rsidR="00B903A5" w:rsidRPr="00FE278F" w14:paraId="3F37E83A" w14:textId="77777777" w:rsidTr="00D268F6">
        <w:trPr>
          <w:cantSplit/>
        </w:trPr>
        <w:tc>
          <w:tcPr>
            <w:tcW w:w="2047" w:type="dxa"/>
            <w:tcBorders>
              <w:top w:val="nil"/>
              <w:bottom w:val="nil"/>
              <w:right w:val="nil"/>
            </w:tcBorders>
            <w:tcMar>
              <w:left w:w="216" w:type="dxa"/>
              <w:right w:w="216" w:type="dxa"/>
            </w:tcMar>
          </w:tcPr>
          <w:p w14:paraId="75BC4053"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8:</w:t>
            </w:r>
            <w:r w:rsidRPr="005926ED">
              <w:rPr>
                <w:rFonts w:ascii="Arial Narrow" w:hAnsi="Arial Narrow"/>
                <w:sz w:val="13"/>
                <w:szCs w:val="13"/>
              </w:rPr>
              <w:t xml:space="preserve"> 11</w:t>
            </w:r>
            <w:r>
              <w:rPr>
                <w:rFonts w:ascii="Arial Narrow" w:hAnsi="Arial Narrow"/>
                <w:sz w:val="13"/>
                <w:szCs w:val="13"/>
              </w:rPr>
              <w:t>,</w:t>
            </w:r>
            <w:r w:rsidRPr="005926ED">
              <w:rPr>
                <w:rFonts w:ascii="Arial Narrow" w:hAnsi="Arial Narrow"/>
                <w:sz w:val="13"/>
                <w:szCs w:val="13"/>
              </w:rPr>
              <w:t>480 (89.65%)</w:t>
            </w:r>
          </w:p>
        </w:tc>
        <w:tc>
          <w:tcPr>
            <w:tcW w:w="1490" w:type="dxa"/>
            <w:tcBorders>
              <w:top w:val="nil"/>
              <w:left w:val="nil"/>
              <w:bottom w:val="nil"/>
              <w:right w:val="nil"/>
            </w:tcBorders>
            <w:tcMar>
              <w:left w:w="202" w:type="dxa"/>
              <w:right w:w="187" w:type="dxa"/>
            </w:tcMar>
          </w:tcPr>
          <w:p w14:paraId="51FC99F3"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22: 10766 (84.07%)</w:t>
            </w:r>
          </w:p>
        </w:tc>
        <w:tc>
          <w:tcPr>
            <w:tcW w:w="1888" w:type="dxa"/>
            <w:tcBorders>
              <w:top w:val="nil"/>
              <w:left w:val="nil"/>
              <w:bottom w:val="nil"/>
              <w:right w:val="nil"/>
            </w:tcBorders>
            <w:tcMar>
              <w:left w:w="216" w:type="dxa"/>
              <w:right w:w="216" w:type="dxa"/>
            </w:tcMar>
          </w:tcPr>
          <w:p w14:paraId="62AAEB66"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8:</w:t>
            </w:r>
            <w:r>
              <w:rPr>
                <w:rFonts w:ascii="Arial Narrow" w:hAnsi="Arial Narrow"/>
                <w:sz w:val="13"/>
                <w:szCs w:val="13"/>
              </w:rPr>
              <w:t xml:space="preserve"> 3779 (87.36%)</w:t>
            </w:r>
          </w:p>
        </w:tc>
        <w:tc>
          <w:tcPr>
            <w:tcW w:w="1440" w:type="dxa"/>
            <w:tcBorders>
              <w:top w:val="nil"/>
              <w:left w:val="nil"/>
              <w:bottom w:val="nil"/>
              <w:right w:val="nil"/>
            </w:tcBorders>
            <w:tcMar>
              <w:left w:w="202" w:type="dxa"/>
              <w:right w:w="216" w:type="dxa"/>
            </w:tcMar>
          </w:tcPr>
          <w:p w14:paraId="52158604"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22:</w:t>
            </w:r>
            <w:r>
              <w:rPr>
                <w:rFonts w:ascii="Arial Narrow" w:hAnsi="Arial Narrow"/>
                <w:sz w:val="13"/>
                <w:szCs w:val="13"/>
              </w:rPr>
              <w:t xml:space="preserve"> 3482 (80.49%)</w:t>
            </w:r>
          </w:p>
        </w:tc>
        <w:tc>
          <w:tcPr>
            <w:tcW w:w="1890" w:type="dxa"/>
            <w:tcBorders>
              <w:top w:val="nil"/>
              <w:left w:val="nil"/>
              <w:bottom w:val="nil"/>
              <w:right w:val="nil"/>
            </w:tcBorders>
            <w:tcMar>
              <w:left w:w="216" w:type="dxa"/>
              <w:right w:w="216" w:type="dxa"/>
            </w:tcMar>
          </w:tcPr>
          <w:p w14:paraId="1EC318C1"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8:</w:t>
            </w:r>
            <w:r>
              <w:rPr>
                <w:rFonts w:ascii="Arial Narrow" w:hAnsi="Arial Narrow"/>
                <w:sz w:val="13"/>
                <w:szCs w:val="13"/>
              </w:rPr>
              <w:t xml:space="preserve"> 7701 (90.81%)</w:t>
            </w:r>
          </w:p>
        </w:tc>
        <w:tc>
          <w:tcPr>
            <w:tcW w:w="2765" w:type="dxa"/>
            <w:tcBorders>
              <w:top w:val="nil"/>
              <w:left w:val="nil"/>
              <w:bottom w:val="nil"/>
            </w:tcBorders>
            <w:tcMar>
              <w:left w:w="202" w:type="dxa"/>
              <w:right w:w="216" w:type="dxa"/>
            </w:tcMar>
          </w:tcPr>
          <w:p w14:paraId="3D995AA9"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22:</w:t>
            </w:r>
            <w:r>
              <w:rPr>
                <w:rFonts w:ascii="Arial Narrow" w:hAnsi="Arial Narrow"/>
                <w:sz w:val="13"/>
                <w:szCs w:val="13"/>
              </w:rPr>
              <w:t xml:space="preserve"> 7284 (85.90%)</w:t>
            </w:r>
          </w:p>
        </w:tc>
      </w:tr>
      <w:tr w:rsidR="00B903A5" w:rsidRPr="00FE278F" w14:paraId="30C7CFD8" w14:textId="77777777" w:rsidTr="00D268F6">
        <w:trPr>
          <w:cantSplit/>
        </w:trPr>
        <w:tc>
          <w:tcPr>
            <w:tcW w:w="2047" w:type="dxa"/>
            <w:tcBorders>
              <w:top w:val="nil"/>
              <w:bottom w:val="nil"/>
              <w:right w:val="nil"/>
            </w:tcBorders>
            <w:tcMar>
              <w:left w:w="216" w:type="dxa"/>
              <w:right w:w="216" w:type="dxa"/>
            </w:tcMar>
          </w:tcPr>
          <w:p w14:paraId="5ED4C2F3"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9:</w:t>
            </w:r>
            <w:r w:rsidRPr="005926ED">
              <w:rPr>
                <w:rFonts w:ascii="Arial Narrow" w:hAnsi="Arial Narrow"/>
                <w:sz w:val="13"/>
                <w:szCs w:val="13"/>
              </w:rPr>
              <w:t xml:space="preserve"> 11</w:t>
            </w:r>
            <w:r>
              <w:rPr>
                <w:rFonts w:ascii="Arial Narrow" w:hAnsi="Arial Narrow"/>
                <w:sz w:val="13"/>
                <w:szCs w:val="13"/>
              </w:rPr>
              <w:t>,</w:t>
            </w:r>
            <w:r w:rsidRPr="005926ED">
              <w:rPr>
                <w:rFonts w:ascii="Arial Narrow" w:hAnsi="Arial Narrow"/>
                <w:sz w:val="13"/>
                <w:szCs w:val="13"/>
              </w:rPr>
              <w:t>361 (88.72%)</w:t>
            </w:r>
          </w:p>
        </w:tc>
        <w:tc>
          <w:tcPr>
            <w:tcW w:w="1490" w:type="dxa"/>
            <w:tcBorders>
              <w:top w:val="nil"/>
              <w:left w:val="nil"/>
              <w:bottom w:val="nil"/>
              <w:right w:val="nil"/>
            </w:tcBorders>
            <w:tcMar>
              <w:left w:w="202" w:type="dxa"/>
              <w:right w:w="187" w:type="dxa"/>
            </w:tcMar>
          </w:tcPr>
          <w:p w14:paraId="2347C1DD"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23: 10</w:t>
            </w:r>
            <w:r>
              <w:rPr>
                <w:rFonts w:ascii="Arial Narrow" w:hAnsi="Arial Narrow"/>
                <w:sz w:val="13"/>
                <w:szCs w:val="13"/>
              </w:rPr>
              <w:t>,</w:t>
            </w:r>
            <w:r w:rsidRPr="005926ED">
              <w:rPr>
                <w:rFonts w:ascii="Arial Narrow" w:hAnsi="Arial Narrow"/>
                <w:sz w:val="13"/>
                <w:szCs w:val="13"/>
              </w:rPr>
              <w:t>739 (83.86%)</w:t>
            </w:r>
          </w:p>
        </w:tc>
        <w:tc>
          <w:tcPr>
            <w:tcW w:w="1888" w:type="dxa"/>
            <w:tcBorders>
              <w:top w:val="nil"/>
              <w:left w:val="nil"/>
              <w:bottom w:val="nil"/>
              <w:right w:val="nil"/>
            </w:tcBorders>
            <w:tcMar>
              <w:left w:w="216" w:type="dxa"/>
              <w:right w:w="216" w:type="dxa"/>
            </w:tcMar>
          </w:tcPr>
          <w:p w14:paraId="12E5101B"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9:</w:t>
            </w:r>
            <w:r>
              <w:rPr>
                <w:rFonts w:ascii="Arial Narrow" w:hAnsi="Arial Narrow"/>
                <w:sz w:val="13"/>
                <w:szCs w:val="13"/>
              </w:rPr>
              <w:t xml:space="preserve"> 3727 (86.15%)</w:t>
            </w:r>
          </w:p>
        </w:tc>
        <w:tc>
          <w:tcPr>
            <w:tcW w:w="1440" w:type="dxa"/>
            <w:tcBorders>
              <w:top w:val="nil"/>
              <w:left w:val="nil"/>
              <w:bottom w:val="nil"/>
              <w:right w:val="nil"/>
            </w:tcBorders>
            <w:tcMar>
              <w:left w:w="202" w:type="dxa"/>
              <w:right w:w="216" w:type="dxa"/>
            </w:tcMar>
          </w:tcPr>
          <w:p w14:paraId="78A7A6F5"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23:</w:t>
            </w:r>
            <w:r>
              <w:rPr>
                <w:rFonts w:ascii="Arial Narrow" w:hAnsi="Arial Narrow"/>
                <w:sz w:val="13"/>
                <w:szCs w:val="13"/>
              </w:rPr>
              <w:t xml:space="preserve"> 3473 (80.28%)</w:t>
            </w:r>
          </w:p>
        </w:tc>
        <w:tc>
          <w:tcPr>
            <w:tcW w:w="1890" w:type="dxa"/>
            <w:tcBorders>
              <w:top w:val="nil"/>
              <w:left w:val="nil"/>
              <w:bottom w:val="nil"/>
              <w:right w:val="nil"/>
            </w:tcBorders>
            <w:tcMar>
              <w:left w:w="216" w:type="dxa"/>
              <w:right w:w="216" w:type="dxa"/>
            </w:tcMar>
          </w:tcPr>
          <w:p w14:paraId="52BD0C53"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9:</w:t>
            </w:r>
            <w:r>
              <w:rPr>
                <w:rFonts w:ascii="Arial Narrow" w:hAnsi="Arial Narrow"/>
                <w:sz w:val="13"/>
                <w:szCs w:val="13"/>
              </w:rPr>
              <w:t xml:space="preserve"> 7634 (90.02%)</w:t>
            </w:r>
          </w:p>
        </w:tc>
        <w:tc>
          <w:tcPr>
            <w:tcW w:w="2765" w:type="dxa"/>
            <w:tcBorders>
              <w:top w:val="nil"/>
              <w:left w:val="nil"/>
              <w:bottom w:val="nil"/>
            </w:tcBorders>
            <w:tcMar>
              <w:left w:w="202" w:type="dxa"/>
              <w:right w:w="216" w:type="dxa"/>
            </w:tcMar>
          </w:tcPr>
          <w:p w14:paraId="398EA7CA"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23:</w:t>
            </w:r>
            <w:r>
              <w:rPr>
                <w:rFonts w:ascii="Arial Narrow" w:hAnsi="Arial Narrow"/>
                <w:sz w:val="13"/>
                <w:szCs w:val="13"/>
              </w:rPr>
              <w:t xml:space="preserve"> 7266 (85.68%)</w:t>
            </w:r>
          </w:p>
        </w:tc>
      </w:tr>
      <w:tr w:rsidR="00B903A5" w:rsidRPr="00FE278F" w14:paraId="401F6B85" w14:textId="77777777" w:rsidTr="00D268F6">
        <w:trPr>
          <w:cantSplit/>
        </w:trPr>
        <w:tc>
          <w:tcPr>
            <w:tcW w:w="2047" w:type="dxa"/>
            <w:tcBorders>
              <w:top w:val="nil"/>
              <w:bottom w:val="nil"/>
              <w:right w:val="nil"/>
            </w:tcBorders>
            <w:tcMar>
              <w:left w:w="216" w:type="dxa"/>
              <w:right w:w="216" w:type="dxa"/>
            </w:tcMar>
          </w:tcPr>
          <w:p w14:paraId="7C7D54AD"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10:</w:t>
            </w:r>
            <w:r w:rsidRPr="005926ED">
              <w:rPr>
                <w:rFonts w:ascii="Arial Narrow" w:hAnsi="Arial Narrow"/>
                <w:sz w:val="13"/>
                <w:szCs w:val="13"/>
              </w:rPr>
              <w:t xml:space="preserve"> 11</w:t>
            </w:r>
            <w:r>
              <w:rPr>
                <w:rFonts w:ascii="Arial Narrow" w:hAnsi="Arial Narrow"/>
                <w:sz w:val="13"/>
                <w:szCs w:val="13"/>
              </w:rPr>
              <w:t>,</w:t>
            </w:r>
            <w:r w:rsidRPr="005926ED">
              <w:rPr>
                <w:rFonts w:ascii="Arial Narrow" w:hAnsi="Arial Narrow"/>
                <w:sz w:val="13"/>
                <w:szCs w:val="13"/>
              </w:rPr>
              <w:t>333 (88.50%)</w:t>
            </w:r>
          </w:p>
        </w:tc>
        <w:tc>
          <w:tcPr>
            <w:tcW w:w="1490" w:type="dxa"/>
            <w:tcBorders>
              <w:top w:val="nil"/>
              <w:left w:val="nil"/>
              <w:bottom w:val="nil"/>
              <w:right w:val="nil"/>
            </w:tcBorders>
            <w:tcMar>
              <w:left w:w="202" w:type="dxa"/>
              <w:right w:w="187" w:type="dxa"/>
            </w:tcMar>
          </w:tcPr>
          <w:p w14:paraId="6F266E6D"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24: 10</w:t>
            </w:r>
            <w:r>
              <w:rPr>
                <w:rFonts w:ascii="Arial Narrow" w:hAnsi="Arial Narrow"/>
                <w:sz w:val="13"/>
                <w:szCs w:val="13"/>
              </w:rPr>
              <w:t>,</w:t>
            </w:r>
            <w:r w:rsidRPr="005926ED">
              <w:rPr>
                <w:rFonts w:ascii="Arial Narrow" w:hAnsi="Arial Narrow"/>
                <w:sz w:val="13"/>
                <w:szCs w:val="13"/>
              </w:rPr>
              <w:t>735 (83.83%)</w:t>
            </w:r>
          </w:p>
        </w:tc>
        <w:tc>
          <w:tcPr>
            <w:tcW w:w="1888" w:type="dxa"/>
            <w:tcBorders>
              <w:top w:val="nil"/>
              <w:left w:val="nil"/>
              <w:bottom w:val="nil"/>
              <w:right w:val="nil"/>
            </w:tcBorders>
            <w:tcMar>
              <w:left w:w="216" w:type="dxa"/>
              <w:right w:w="216" w:type="dxa"/>
            </w:tcMar>
          </w:tcPr>
          <w:p w14:paraId="306735EC"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10:</w:t>
            </w:r>
            <w:r>
              <w:rPr>
                <w:rFonts w:ascii="Arial Narrow" w:hAnsi="Arial Narrow"/>
                <w:sz w:val="13"/>
                <w:szCs w:val="13"/>
              </w:rPr>
              <w:t xml:space="preserve"> 3719 (85.97%)</w:t>
            </w:r>
          </w:p>
        </w:tc>
        <w:tc>
          <w:tcPr>
            <w:tcW w:w="1440" w:type="dxa"/>
            <w:tcBorders>
              <w:top w:val="nil"/>
              <w:left w:val="nil"/>
              <w:bottom w:val="nil"/>
              <w:right w:val="nil"/>
            </w:tcBorders>
            <w:tcMar>
              <w:left w:w="202" w:type="dxa"/>
              <w:right w:w="216" w:type="dxa"/>
            </w:tcMar>
          </w:tcPr>
          <w:p w14:paraId="028C6EFD"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24:</w:t>
            </w:r>
            <w:r>
              <w:rPr>
                <w:rFonts w:ascii="Arial Narrow" w:hAnsi="Arial Narrow"/>
                <w:sz w:val="13"/>
                <w:szCs w:val="13"/>
              </w:rPr>
              <w:t xml:space="preserve"> 3471 (80.24%)</w:t>
            </w:r>
          </w:p>
        </w:tc>
        <w:tc>
          <w:tcPr>
            <w:tcW w:w="1890" w:type="dxa"/>
            <w:tcBorders>
              <w:top w:val="nil"/>
              <w:left w:val="nil"/>
              <w:bottom w:val="nil"/>
              <w:right w:val="nil"/>
            </w:tcBorders>
            <w:tcMar>
              <w:left w:w="216" w:type="dxa"/>
              <w:right w:w="216" w:type="dxa"/>
            </w:tcMar>
          </w:tcPr>
          <w:p w14:paraId="608A81A0"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10:</w:t>
            </w:r>
            <w:r>
              <w:rPr>
                <w:rFonts w:ascii="Arial Narrow" w:hAnsi="Arial Narrow"/>
                <w:sz w:val="13"/>
                <w:szCs w:val="13"/>
              </w:rPr>
              <w:t xml:space="preserve"> 7614 (89.79%)</w:t>
            </w:r>
          </w:p>
        </w:tc>
        <w:tc>
          <w:tcPr>
            <w:tcW w:w="2765" w:type="dxa"/>
            <w:tcBorders>
              <w:top w:val="nil"/>
              <w:left w:val="nil"/>
              <w:bottom w:val="nil"/>
            </w:tcBorders>
            <w:tcMar>
              <w:left w:w="202" w:type="dxa"/>
              <w:right w:w="216" w:type="dxa"/>
            </w:tcMar>
          </w:tcPr>
          <w:p w14:paraId="3C9BCD4A"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24:</w:t>
            </w:r>
            <w:r>
              <w:rPr>
                <w:rFonts w:ascii="Arial Narrow" w:hAnsi="Arial Narrow"/>
                <w:sz w:val="13"/>
                <w:szCs w:val="13"/>
              </w:rPr>
              <w:t xml:space="preserve"> 7264 (85.66%)</w:t>
            </w:r>
          </w:p>
        </w:tc>
      </w:tr>
      <w:tr w:rsidR="00B903A5" w:rsidRPr="00FE278F" w14:paraId="551C26BC" w14:textId="77777777" w:rsidTr="00D268F6">
        <w:trPr>
          <w:cantSplit/>
        </w:trPr>
        <w:tc>
          <w:tcPr>
            <w:tcW w:w="2047" w:type="dxa"/>
            <w:tcBorders>
              <w:top w:val="nil"/>
              <w:bottom w:val="nil"/>
              <w:right w:val="nil"/>
            </w:tcBorders>
            <w:tcMar>
              <w:left w:w="216" w:type="dxa"/>
              <w:right w:w="216" w:type="dxa"/>
            </w:tcMar>
          </w:tcPr>
          <w:p w14:paraId="106CACC7"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11:</w:t>
            </w:r>
            <w:r w:rsidRPr="005926ED">
              <w:rPr>
                <w:rFonts w:ascii="Arial Narrow" w:hAnsi="Arial Narrow"/>
                <w:sz w:val="13"/>
                <w:szCs w:val="13"/>
              </w:rPr>
              <w:t xml:space="preserve"> 11</w:t>
            </w:r>
            <w:r>
              <w:rPr>
                <w:rFonts w:ascii="Arial Narrow" w:hAnsi="Arial Narrow"/>
                <w:sz w:val="13"/>
                <w:szCs w:val="13"/>
              </w:rPr>
              <w:t>,</w:t>
            </w:r>
            <w:r w:rsidRPr="005926ED">
              <w:rPr>
                <w:rFonts w:ascii="Arial Narrow" w:hAnsi="Arial Narrow"/>
                <w:sz w:val="13"/>
                <w:szCs w:val="13"/>
              </w:rPr>
              <w:t>342 (88.57%)</w:t>
            </w:r>
          </w:p>
        </w:tc>
        <w:tc>
          <w:tcPr>
            <w:tcW w:w="1490" w:type="dxa"/>
            <w:tcBorders>
              <w:top w:val="nil"/>
              <w:left w:val="nil"/>
              <w:bottom w:val="nil"/>
              <w:right w:val="nil"/>
            </w:tcBorders>
            <w:tcMar>
              <w:left w:w="202" w:type="dxa"/>
              <w:right w:w="187" w:type="dxa"/>
            </w:tcMar>
          </w:tcPr>
          <w:p w14:paraId="342D1181"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25:10</w:t>
            </w:r>
            <w:r>
              <w:rPr>
                <w:rFonts w:ascii="Arial Narrow" w:hAnsi="Arial Narrow"/>
                <w:sz w:val="13"/>
                <w:szCs w:val="13"/>
              </w:rPr>
              <w:t>,</w:t>
            </w:r>
            <w:r w:rsidRPr="005926ED">
              <w:rPr>
                <w:rFonts w:ascii="Arial Narrow" w:hAnsi="Arial Narrow"/>
                <w:sz w:val="13"/>
                <w:szCs w:val="13"/>
              </w:rPr>
              <w:t>722 (83.73%)</w:t>
            </w:r>
          </w:p>
        </w:tc>
        <w:tc>
          <w:tcPr>
            <w:tcW w:w="1888" w:type="dxa"/>
            <w:tcBorders>
              <w:top w:val="nil"/>
              <w:left w:val="nil"/>
              <w:bottom w:val="nil"/>
              <w:right w:val="nil"/>
            </w:tcBorders>
            <w:tcMar>
              <w:left w:w="216" w:type="dxa"/>
              <w:right w:w="216" w:type="dxa"/>
            </w:tcMar>
          </w:tcPr>
          <w:p w14:paraId="40055915"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11:</w:t>
            </w:r>
            <w:r>
              <w:rPr>
                <w:rFonts w:ascii="Arial Narrow" w:hAnsi="Arial Narrow"/>
                <w:sz w:val="13"/>
                <w:szCs w:val="13"/>
              </w:rPr>
              <w:t xml:space="preserve"> 3724 (86.08%)</w:t>
            </w:r>
          </w:p>
        </w:tc>
        <w:tc>
          <w:tcPr>
            <w:tcW w:w="1440" w:type="dxa"/>
            <w:tcBorders>
              <w:top w:val="nil"/>
              <w:left w:val="nil"/>
              <w:bottom w:val="nil"/>
              <w:right w:val="nil"/>
            </w:tcBorders>
            <w:tcMar>
              <w:left w:w="202" w:type="dxa"/>
              <w:right w:w="216" w:type="dxa"/>
            </w:tcMar>
          </w:tcPr>
          <w:p w14:paraId="28373E97"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25:</w:t>
            </w:r>
            <w:r>
              <w:rPr>
                <w:rFonts w:ascii="Arial Narrow" w:hAnsi="Arial Narrow"/>
                <w:sz w:val="13"/>
                <w:szCs w:val="13"/>
              </w:rPr>
              <w:t xml:space="preserve"> 3473 (80.28%)</w:t>
            </w:r>
          </w:p>
        </w:tc>
        <w:tc>
          <w:tcPr>
            <w:tcW w:w="1890" w:type="dxa"/>
            <w:tcBorders>
              <w:top w:val="nil"/>
              <w:left w:val="nil"/>
              <w:bottom w:val="nil"/>
              <w:right w:val="nil"/>
            </w:tcBorders>
            <w:tcMar>
              <w:left w:w="216" w:type="dxa"/>
              <w:right w:w="216" w:type="dxa"/>
            </w:tcMar>
          </w:tcPr>
          <w:p w14:paraId="6A68F707"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11:</w:t>
            </w:r>
            <w:r>
              <w:rPr>
                <w:rFonts w:ascii="Arial Narrow" w:hAnsi="Arial Narrow"/>
                <w:sz w:val="13"/>
                <w:szCs w:val="13"/>
              </w:rPr>
              <w:t xml:space="preserve"> 7618 (89.83%)</w:t>
            </w:r>
          </w:p>
        </w:tc>
        <w:tc>
          <w:tcPr>
            <w:tcW w:w="2765" w:type="dxa"/>
            <w:tcBorders>
              <w:top w:val="nil"/>
              <w:left w:val="nil"/>
              <w:bottom w:val="nil"/>
            </w:tcBorders>
            <w:tcMar>
              <w:left w:w="202" w:type="dxa"/>
              <w:right w:w="216" w:type="dxa"/>
            </w:tcMar>
          </w:tcPr>
          <w:p w14:paraId="57D9AF05"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25:</w:t>
            </w:r>
            <w:r>
              <w:rPr>
                <w:rFonts w:ascii="Arial Narrow" w:hAnsi="Arial Narrow"/>
                <w:sz w:val="13"/>
                <w:szCs w:val="13"/>
              </w:rPr>
              <w:t xml:space="preserve"> 7249 (85.48%)</w:t>
            </w:r>
          </w:p>
        </w:tc>
      </w:tr>
      <w:tr w:rsidR="00B903A5" w:rsidRPr="00FE278F" w14:paraId="19315244" w14:textId="77777777" w:rsidTr="00D268F6">
        <w:trPr>
          <w:cantSplit/>
        </w:trPr>
        <w:tc>
          <w:tcPr>
            <w:tcW w:w="2047" w:type="dxa"/>
            <w:tcBorders>
              <w:top w:val="nil"/>
              <w:bottom w:val="nil"/>
              <w:right w:val="nil"/>
            </w:tcBorders>
            <w:tcMar>
              <w:left w:w="216" w:type="dxa"/>
              <w:right w:w="216" w:type="dxa"/>
            </w:tcMar>
          </w:tcPr>
          <w:p w14:paraId="3406E4EC"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12:</w:t>
            </w:r>
            <w:r w:rsidRPr="005926ED">
              <w:rPr>
                <w:rFonts w:ascii="Arial Narrow" w:hAnsi="Arial Narrow"/>
                <w:sz w:val="13"/>
                <w:szCs w:val="13"/>
              </w:rPr>
              <w:t xml:space="preserve"> 10</w:t>
            </w:r>
            <w:r>
              <w:rPr>
                <w:rFonts w:ascii="Arial Narrow" w:hAnsi="Arial Narrow"/>
                <w:sz w:val="13"/>
                <w:szCs w:val="13"/>
              </w:rPr>
              <w:t>,</w:t>
            </w:r>
            <w:r w:rsidRPr="005926ED">
              <w:rPr>
                <w:rFonts w:ascii="Arial Narrow" w:hAnsi="Arial Narrow"/>
                <w:sz w:val="13"/>
                <w:szCs w:val="13"/>
              </w:rPr>
              <w:t>979 (85.73%)</w:t>
            </w:r>
          </w:p>
        </w:tc>
        <w:tc>
          <w:tcPr>
            <w:tcW w:w="1490" w:type="dxa"/>
            <w:tcBorders>
              <w:top w:val="nil"/>
              <w:left w:val="nil"/>
              <w:bottom w:val="nil"/>
              <w:right w:val="nil"/>
            </w:tcBorders>
            <w:tcMar>
              <w:left w:w="202" w:type="dxa"/>
              <w:right w:w="187" w:type="dxa"/>
            </w:tcMar>
          </w:tcPr>
          <w:p w14:paraId="0788F76C"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26: 10</w:t>
            </w:r>
            <w:r>
              <w:rPr>
                <w:rFonts w:ascii="Arial Narrow" w:hAnsi="Arial Narrow"/>
                <w:sz w:val="13"/>
                <w:szCs w:val="13"/>
              </w:rPr>
              <w:t>,</w:t>
            </w:r>
            <w:r w:rsidRPr="005926ED">
              <w:rPr>
                <w:rFonts w:ascii="Arial Narrow" w:hAnsi="Arial Narrow"/>
                <w:sz w:val="13"/>
                <w:szCs w:val="13"/>
              </w:rPr>
              <w:t>495 (81.95%)</w:t>
            </w:r>
          </w:p>
        </w:tc>
        <w:tc>
          <w:tcPr>
            <w:tcW w:w="1888" w:type="dxa"/>
            <w:tcBorders>
              <w:top w:val="nil"/>
              <w:left w:val="nil"/>
              <w:bottom w:val="nil"/>
              <w:right w:val="nil"/>
            </w:tcBorders>
            <w:tcMar>
              <w:left w:w="216" w:type="dxa"/>
              <w:right w:w="216" w:type="dxa"/>
            </w:tcMar>
          </w:tcPr>
          <w:p w14:paraId="2C889ADD"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12:</w:t>
            </w:r>
            <w:r>
              <w:rPr>
                <w:rFonts w:ascii="Arial Narrow" w:hAnsi="Arial Narrow"/>
                <w:sz w:val="13"/>
                <w:szCs w:val="13"/>
              </w:rPr>
              <w:t xml:space="preserve"> 3571 (82.55%)</w:t>
            </w:r>
          </w:p>
        </w:tc>
        <w:tc>
          <w:tcPr>
            <w:tcW w:w="1440" w:type="dxa"/>
            <w:tcBorders>
              <w:top w:val="nil"/>
              <w:left w:val="nil"/>
              <w:bottom w:val="nil"/>
              <w:right w:val="nil"/>
            </w:tcBorders>
            <w:tcMar>
              <w:left w:w="202" w:type="dxa"/>
              <w:right w:w="216" w:type="dxa"/>
            </w:tcMar>
          </w:tcPr>
          <w:p w14:paraId="0FA9E5B5"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26:</w:t>
            </w:r>
            <w:r>
              <w:rPr>
                <w:rFonts w:ascii="Arial Narrow" w:hAnsi="Arial Narrow"/>
                <w:sz w:val="13"/>
                <w:szCs w:val="13"/>
              </w:rPr>
              <w:t xml:space="preserve"> 3387 (78.29%)</w:t>
            </w:r>
          </w:p>
        </w:tc>
        <w:tc>
          <w:tcPr>
            <w:tcW w:w="1890" w:type="dxa"/>
            <w:tcBorders>
              <w:top w:val="nil"/>
              <w:left w:val="nil"/>
              <w:bottom w:val="nil"/>
              <w:right w:val="nil"/>
            </w:tcBorders>
            <w:tcMar>
              <w:left w:w="216" w:type="dxa"/>
              <w:right w:w="216" w:type="dxa"/>
            </w:tcMar>
          </w:tcPr>
          <w:p w14:paraId="03DE06EE"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12:</w:t>
            </w:r>
            <w:r>
              <w:rPr>
                <w:rFonts w:ascii="Arial Narrow" w:hAnsi="Arial Narrow"/>
                <w:sz w:val="13"/>
                <w:szCs w:val="13"/>
              </w:rPr>
              <w:t xml:space="preserve"> 7408 (87.36%)</w:t>
            </w:r>
          </w:p>
        </w:tc>
        <w:tc>
          <w:tcPr>
            <w:tcW w:w="2765" w:type="dxa"/>
            <w:tcBorders>
              <w:top w:val="nil"/>
              <w:left w:val="nil"/>
              <w:bottom w:val="nil"/>
            </w:tcBorders>
            <w:tcMar>
              <w:left w:w="202" w:type="dxa"/>
              <w:right w:w="216" w:type="dxa"/>
            </w:tcMar>
          </w:tcPr>
          <w:p w14:paraId="77BC9872"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26:</w:t>
            </w:r>
            <w:r>
              <w:rPr>
                <w:rFonts w:ascii="Arial Narrow" w:hAnsi="Arial Narrow"/>
                <w:sz w:val="13"/>
                <w:szCs w:val="13"/>
              </w:rPr>
              <w:t xml:space="preserve"> 7108 (83.82%)</w:t>
            </w:r>
          </w:p>
        </w:tc>
      </w:tr>
      <w:tr w:rsidR="00B903A5" w:rsidRPr="00FE278F" w14:paraId="445FA268" w14:textId="77777777" w:rsidTr="00D268F6">
        <w:trPr>
          <w:cantSplit/>
        </w:trPr>
        <w:tc>
          <w:tcPr>
            <w:tcW w:w="2047" w:type="dxa"/>
            <w:tcBorders>
              <w:top w:val="nil"/>
              <w:bottom w:val="nil"/>
              <w:right w:val="nil"/>
            </w:tcBorders>
            <w:tcMar>
              <w:left w:w="216" w:type="dxa"/>
              <w:right w:w="216" w:type="dxa"/>
            </w:tcMar>
          </w:tcPr>
          <w:p w14:paraId="142DB021"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13:</w:t>
            </w:r>
            <w:r w:rsidRPr="005926ED">
              <w:rPr>
                <w:rFonts w:ascii="Arial Narrow" w:hAnsi="Arial Narrow"/>
                <w:sz w:val="13"/>
                <w:szCs w:val="13"/>
              </w:rPr>
              <w:t xml:space="preserve"> 10</w:t>
            </w:r>
            <w:r>
              <w:rPr>
                <w:rFonts w:ascii="Arial Narrow" w:hAnsi="Arial Narrow"/>
                <w:sz w:val="13"/>
                <w:szCs w:val="13"/>
              </w:rPr>
              <w:t>,</w:t>
            </w:r>
            <w:r w:rsidRPr="005926ED">
              <w:rPr>
                <w:rFonts w:ascii="Arial Narrow" w:hAnsi="Arial Narrow"/>
                <w:sz w:val="13"/>
                <w:szCs w:val="13"/>
              </w:rPr>
              <w:t>898 (85.10%)</w:t>
            </w:r>
          </w:p>
        </w:tc>
        <w:tc>
          <w:tcPr>
            <w:tcW w:w="1490" w:type="dxa"/>
            <w:tcBorders>
              <w:top w:val="nil"/>
              <w:left w:val="nil"/>
              <w:bottom w:val="nil"/>
              <w:right w:val="nil"/>
            </w:tcBorders>
            <w:tcMar>
              <w:left w:w="202" w:type="dxa"/>
              <w:right w:w="187" w:type="dxa"/>
            </w:tcMar>
          </w:tcPr>
          <w:p w14:paraId="37CAA905"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27: 10</w:t>
            </w:r>
            <w:r>
              <w:rPr>
                <w:rFonts w:ascii="Arial Narrow" w:hAnsi="Arial Narrow"/>
                <w:sz w:val="13"/>
                <w:szCs w:val="13"/>
              </w:rPr>
              <w:t>,</w:t>
            </w:r>
            <w:r w:rsidRPr="005926ED">
              <w:rPr>
                <w:rFonts w:ascii="Arial Narrow" w:hAnsi="Arial Narrow"/>
                <w:sz w:val="13"/>
                <w:szCs w:val="13"/>
              </w:rPr>
              <w:t>360 (80.90%)</w:t>
            </w:r>
          </w:p>
        </w:tc>
        <w:tc>
          <w:tcPr>
            <w:tcW w:w="1888" w:type="dxa"/>
            <w:tcBorders>
              <w:top w:val="nil"/>
              <w:left w:val="nil"/>
              <w:bottom w:val="nil"/>
              <w:right w:val="nil"/>
            </w:tcBorders>
            <w:tcMar>
              <w:left w:w="216" w:type="dxa"/>
              <w:right w:w="216" w:type="dxa"/>
            </w:tcMar>
          </w:tcPr>
          <w:p w14:paraId="74C30625"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13:</w:t>
            </w:r>
            <w:r>
              <w:rPr>
                <w:rFonts w:ascii="Arial Narrow" w:hAnsi="Arial Narrow"/>
                <w:sz w:val="13"/>
                <w:szCs w:val="13"/>
              </w:rPr>
              <w:t xml:space="preserve"> 3545 (81.95%)</w:t>
            </w:r>
          </w:p>
        </w:tc>
        <w:tc>
          <w:tcPr>
            <w:tcW w:w="1440" w:type="dxa"/>
            <w:tcBorders>
              <w:top w:val="nil"/>
              <w:left w:val="nil"/>
              <w:bottom w:val="nil"/>
              <w:right w:val="nil"/>
            </w:tcBorders>
            <w:tcMar>
              <w:left w:w="202" w:type="dxa"/>
              <w:right w:w="216" w:type="dxa"/>
            </w:tcMar>
          </w:tcPr>
          <w:p w14:paraId="78CFB7C4"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27:</w:t>
            </w:r>
            <w:r>
              <w:rPr>
                <w:rFonts w:ascii="Arial Narrow" w:hAnsi="Arial Narrow"/>
                <w:sz w:val="13"/>
                <w:szCs w:val="13"/>
              </w:rPr>
              <w:t xml:space="preserve"> 3386 (78.27%)</w:t>
            </w:r>
          </w:p>
        </w:tc>
        <w:tc>
          <w:tcPr>
            <w:tcW w:w="1890" w:type="dxa"/>
            <w:tcBorders>
              <w:top w:val="nil"/>
              <w:left w:val="nil"/>
              <w:bottom w:val="nil"/>
              <w:right w:val="nil"/>
            </w:tcBorders>
            <w:tcMar>
              <w:left w:w="216" w:type="dxa"/>
              <w:right w:w="216" w:type="dxa"/>
            </w:tcMar>
          </w:tcPr>
          <w:p w14:paraId="53C9E3FF"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13:</w:t>
            </w:r>
            <w:r>
              <w:rPr>
                <w:rFonts w:ascii="Arial Narrow" w:hAnsi="Arial Narrow"/>
                <w:sz w:val="13"/>
                <w:szCs w:val="13"/>
              </w:rPr>
              <w:t xml:space="preserve"> 7353 (86.71%)</w:t>
            </w:r>
          </w:p>
        </w:tc>
        <w:tc>
          <w:tcPr>
            <w:tcW w:w="2765" w:type="dxa"/>
            <w:tcBorders>
              <w:top w:val="nil"/>
              <w:left w:val="nil"/>
              <w:bottom w:val="nil"/>
            </w:tcBorders>
            <w:tcMar>
              <w:left w:w="202" w:type="dxa"/>
              <w:right w:w="216" w:type="dxa"/>
            </w:tcMar>
          </w:tcPr>
          <w:p w14:paraId="033C88FA"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27:</w:t>
            </w:r>
            <w:r>
              <w:rPr>
                <w:rFonts w:ascii="Arial Narrow" w:hAnsi="Arial Narrow"/>
                <w:sz w:val="13"/>
                <w:szCs w:val="13"/>
              </w:rPr>
              <w:t xml:space="preserve"> 6974 (82.24%)</w:t>
            </w:r>
          </w:p>
        </w:tc>
      </w:tr>
      <w:tr w:rsidR="00B903A5" w:rsidRPr="00FE278F" w14:paraId="22B91863" w14:textId="77777777" w:rsidTr="00D268F6">
        <w:trPr>
          <w:cantSplit/>
        </w:trPr>
        <w:tc>
          <w:tcPr>
            <w:tcW w:w="2047" w:type="dxa"/>
            <w:tcBorders>
              <w:top w:val="nil"/>
              <w:bottom w:val="single" w:sz="4" w:space="0" w:color="auto"/>
              <w:right w:val="nil"/>
            </w:tcBorders>
            <w:tcMar>
              <w:left w:w="216" w:type="dxa"/>
              <w:right w:w="216" w:type="dxa"/>
            </w:tcMar>
          </w:tcPr>
          <w:p w14:paraId="23E6437B" w14:textId="77777777" w:rsidR="00B903A5" w:rsidRPr="005926ED" w:rsidRDefault="00B903A5" w:rsidP="00594252">
            <w:pPr>
              <w:spacing w:before="10" w:after="0" w:line="240" w:lineRule="auto"/>
              <w:jc w:val="right"/>
              <w:rPr>
                <w:rFonts w:ascii="Arial Narrow" w:hAnsi="Arial Narrow"/>
                <w:sz w:val="13"/>
                <w:szCs w:val="13"/>
              </w:rPr>
            </w:pPr>
          </w:p>
        </w:tc>
        <w:tc>
          <w:tcPr>
            <w:tcW w:w="1490" w:type="dxa"/>
            <w:tcBorders>
              <w:top w:val="nil"/>
              <w:left w:val="nil"/>
              <w:bottom w:val="single" w:sz="4" w:space="0" w:color="auto"/>
              <w:right w:val="nil"/>
            </w:tcBorders>
            <w:tcMar>
              <w:left w:w="202" w:type="dxa"/>
              <w:right w:w="187" w:type="dxa"/>
            </w:tcMar>
          </w:tcPr>
          <w:p w14:paraId="53B78C0A" w14:textId="77777777" w:rsidR="00B903A5" w:rsidRPr="005926ED" w:rsidRDefault="00B903A5" w:rsidP="00594252">
            <w:pPr>
              <w:spacing w:before="10" w:after="0" w:line="240" w:lineRule="auto"/>
              <w:rPr>
                <w:rFonts w:ascii="Arial Narrow" w:hAnsi="Arial Narrow"/>
                <w:sz w:val="13"/>
                <w:szCs w:val="13"/>
              </w:rPr>
            </w:pPr>
            <w:r w:rsidRPr="005926ED">
              <w:rPr>
                <w:rFonts w:ascii="Arial Narrow" w:hAnsi="Arial Narrow"/>
                <w:sz w:val="13"/>
                <w:szCs w:val="13"/>
              </w:rPr>
              <w:t>28: 10</w:t>
            </w:r>
            <w:r>
              <w:rPr>
                <w:rFonts w:ascii="Arial Narrow" w:hAnsi="Arial Narrow"/>
                <w:sz w:val="13"/>
                <w:szCs w:val="13"/>
              </w:rPr>
              <w:t>,</w:t>
            </w:r>
            <w:r w:rsidRPr="005926ED">
              <w:rPr>
                <w:rFonts w:ascii="Arial Narrow" w:hAnsi="Arial Narrow"/>
                <w:sz w:val="13"/>
                <w:szCs w:val="13"/>
              </w:rPr>
              <w:t>624 (82.96%)</w:t>
            </w:r>
          </w:p>
        </w:tc>
        <w:tc>
          <w:tcPr>
            <w:tcW w:w="1888" w:type="dxa"/>
            <w:tcBorders>
              <w:top w:val="nil"/>
              <w:left w:val="nil"/>
              <w:bottom w:val="single" w:sz="4" w:space="0" w:color="auto"/>
              <w:right w:val="nil"/>
            </w:tcBorders>
            <w:tcMar>
              <w:left w:w="216" w:type="dxa"/>
              <w:right w:w="216" w:type="dxa"/>
            </w:tcMar>
          </w:tcPr>
          <w:p w14:paraId="43844AFA" w14:textId="77777777" w:rsidR="00B903A5" w:rsidRPr="005926ED" w:rsidRDefault="00B903A5" w:rsidP="00594252">
            <w:pPr>
              <w:spacing w:before="10" w:after="0" w:line="240" w:lineRule="auto"/>
              <w:jc w:val="right"/>
              <w:rPr>
                <w:rFonts w:ascii="Arial Narrow" w:hAnsi="Arial Narrow"/>
                <w:sz w:val="13"/>
                <w:szCs w:val="13"/>
              </w:rPr>
            </w:pPr>
            <w:r w:rsidRPr="00A31946">
              <w:rPr>
                <w:rFonts w:ascii="Arial Narrow" w:hAnsi="Arial Narrow"/>
                <w:b/>
                <w:sz w:val="13"/>
                <w:szCs w:val="13"/>
              </w:rPr>
              <w:t>14:</w:t>
            </w:r>
            <w:r>
              <w:rPr>
                <w:rFonts w:ascii="Arial Narrow" w:hAnsi="Arial Narrow"/>
                <w:sz w:val="13"/>
                <w:szCs w:val="13"/>
              </w:rPr>
              <w:t xml:space="preserve"> 3524 (81.46%)</w:t>
            </w:r>
          </w:p>
        </w:tc>
        <w:tc>
          <w:tcPr>
            <w:tcW w:w="1440" w:type="dxa"/>
            <w:tcBorders>
              <w:top w:val="nil"/>
              <w:left w:val="nil"/>
              <w:bottom w:val="single" w:sz="4" w:space="0" w:color="auto"/>
              <w:right w:val="nil"/>
            </w:tcBorders>
            <w:tcMar>
              <w:left w:w="202" w:type="dxa"/>
              <w:right w:w="216" w:type="dxa"/>
            </w:tcMar>
          </w:tcPr>
          <w:p w14:paraId="453D2F83" w14:textId="77777777" w:rsidR="00B903A5" w:rsidRPr="005926ED" w:rsidRDefault="00B903A5" w:rsidP="00594252">
            <w:pPr>
              <w:spacing w:before="10" w:after="0" w:line="240" w:lineRule="auto"/>
              <w:rPr>
                <w:rFonts w:ascii="Arial Narrow" w:hAnsi="Arial Narrow"/>
                <w:sz w:val="13"/>
                <w:szCs w:val="13"/>
              </w:rPr>
            </w:pPr>
            <w:r w:rsidRPr="00A31946">
              <w:rPr>
                <w:rFonts w:ascii="Arial Narrow" w:hAnsi="Arial Narrow"/>
                <w:b/>
                <w:sz w:val="13"/>
                <w:szCs w:val="13"/>
              </w:rPr>
              <w:t>28:</w:t>
            </w:r>
            <w:r>
              <w:rPr>
                <w:rFonts w:ascii="Arial Narrow" w:hAnsi="Arial Narrow"/>
                <w:sz w:val="13"/>
                <w:szCs w:val="13"/>
              </w:rPr>
              <w:t xml:space="preserve"> 3457 (79.91%)</w:t>
            </w:r>
          </w:p>
        </w:tc>
        <w:tc>
          <w:tcPr>
            <w:tcW w:w="1890" w:type="dxa"/>
            <w:tcBorders>
              <w:top w:val="nil"/>
              <w:left w:val="nil"/>
              <w:bottom w:val="single" w:sz="4" w:space="0" w:color="auto"/>
              <w:right w:val="nil"/>
            </w:tcBorders>
            <w:tcMar>
              <w:left w:w="216" w:type="dxa"/>
              <w:right w:w="216" w:type="dxa"/>
            </w:tcMar>
          </w:tcPr>
          <w:p w14:paraId="5754947F" w14:textId="77777777" w:rsidR="00B903A5" w:rsidRPr="005926ED" w:rsidRDefault="00B903A5" w:rsidP="00594252">
            <w:pPr>
              <w:spacing w:before="10" w:after="0" w:line="240" w:lineRule="auto"/>
              <w:jc w:val="right"/>
              <w:rPr>
                <w:rFonts w:ascii="Arial Narrow" w:hAnsi="Arial Narrow"/>
                <w:sz w:val="13"/>
                <w:szCs w:val="13"/>
              </w:rPr>
            </w:pPr>
            <w:r w:rsidRPr="00D15A1E">
              <w:rPr>
                <w:rFonts w:ascii="Arial Narrow" w:hAnsi="Arial Narrow"/>
                <w:b/>
                <w:sz w:val="13"/>
                <w:szCs w:val="13"/>
              </w:rPr>
              <w:t>14:</w:t>
            </w:r>
            <w:r>
              <w:rPr>
                <w:rFonts w:ascii="Arial Narrow" w:hAnsi="Arial Narrow"/>
                <w:sz w:val="13"/>
                <w:szCs w:val="13"/>
              </w:rPr>
              <w:t xml:space="preserve"> 7332 (86.46%)</w:t>
            </w:r>
          </w:p>
        </w:tc>
        <w:tc>
          <w:tcPr>
            <w:tcW w:w="2765" w:type="dxa"/>
            <w:tcBorders>
              <w:top w:val="nil"/>
              <w:left w:val="nil"/>
              <w:bottom w:val="single" w:sz="4" w:space="0" w:color="auto"/>
            </w:tcBorders>
            <w:tcMar>
              <w:left w:w="202" w:type="dxa"/>
              <w:right w:w="216" w:type="dxa"/>
            </w:tcMar>
          </w:tcPr>
          <w:p w14:paraId="62D1B928" w14:textId="77777777" w:rsidR="00B903A5" w:rsidRPr="005926ED" w:rsidRDefault="00B903A5" w:rsidP="00594252">
            <w:pPr>
              <w:spacing w:before="10" w:after="0" w:line="240" w:lineRule="auto"/>
              <w:rPr>
                <w:rFonts w:ascii="Arial Narrow" w:hAnsi="Arial Narrow"/>
                <w:sz w:val="13"/>
                <w:szCs w:val="13"/>
              </w:rPr>
            </w:pPr>
            <w:r w:rsidRPr="00D15A1E">
              <w:rPr>
                <w:rFonts w:ascii="Arial Narrow" w:hAnsi="Arial Narrow"/>
                <w:b/>
                <w:sz w:val="13"/>
                <w:szCs w:val="13"/>
              </w:rPr>
              <w:t>28:</w:t>
            </w:r>
            <w:r>
              <w:rPr>
                <w:rFonts w:ascii="Arial Narrow" w:hAnsi="Arial Narrow"/>
                <w:sz w:val="13"/>
                <w:szCs w:val="13"/>
              </w:rPr>
              <w:t xml:space="preserve"> 7167 (84.52%)</w:t>
            </w:r>
          </w:p>
        </w:tc>
      </w:tr>
    </w:tbl>
    <w:p w14:paraId="31E9542D" w14:textId="77777777" w:rsidR="00B903A5" w:rsidRPr="005B0796" w:rsidRDefault="00B903A5" w:rsidP="00B903A5"/>
    <w:p w14:paraId="5F4EFD64" w14:textId="77777777" w:rsidR="002A7F4E" w:rsidRDefault="002A7F4E" w:rsidP="002A7F4E">
      <w:pPr>
        <w:sectPr w:rsidR="002A7F4E" w:rsidSect="00980AE4">
          <w:footerReference w:type="even" r:id="rId170"/>
          <w:footerReference w:type="default" r:id="rId171"/>
          <w:pgSz w:w="14170" w:h="9979" w:orient="landscape" w:code="243"/>
          <w:pgMar w:top="1872" w:right="1440" w:bottom="1152" w:left="1440" w:header="576" w:footer="576" w:gutter="0"/>
          <w:cols w:space="708"/>
          <w:docGrid w:linePitch="360"/>
        </w:sectPr>
      </w:pPr>
    </w:p>
    <w:p w14:paraId="745BC442" w14:textId="77777777" w:rsidR="00B903A5" w:rsidRPr="005B0796" w:rsidRDefault="00B903A5" w:rsidP="00B903A5">
      <w:pPr>
        <w:pStyle w:val="TableName"/>
      </w:pPr>
      <w:bookmarkStart w:id="1388" w:name="_Toc528932379"/>
      <w:bookmarkStart w:id="1389" w:name="_Toc531858058"/>
      <w:r w:rsidRPr="005B0796">
        <w:t>Table A.3</w:t>
      </w:r>
      <w:r w:rsidRPr="005B0796">
        <w:tab/>
        <w:t>Unweighted demographic characteristics of responders by Transitioned ADF and 2015 Regular ADF</w:t>
      </w:r>
      <w:bookmarkEnd w:id="1388"/>
      <w:bookmarkEnd w:id="1389"/>
    </w:p>
    <w:tbl>
      <w:tblPr>
        <w:tblStyle w:val="TWRPTable"/>
        <w:tblW w:w="5000" w:type="pct"/>
        <w:tblLayout w:type="fixed"/>
        <w:tblLook w:val="04A0" w:firstRow="1" w:lastRow="0" w:firstColumn="1" w:lastColumn="0" w:noHBand="0" w:noVBand="1"/>
        <w:tblDescription w:val="Table A.3 Unweighted demographic characteristics of responders by Transitioned ADF and 2015 Regular ADF"/>
      </w:tblPr>
      <w:tblGrid>
        <w:gridCol w:w="1496"/>
        <w:gridCol w:w="932"/>
        <w:gridCol w:w="932"/>
        <w:gridCol w:w="932"/>
        <w:gridCol w:w="932"/>
        <w:gridCol w:w="932"/>
        <w:gridCol w:w="933"/>
      </w:tblGrid>
      <w:tr w:rsidR="00B903A5" w:rsidRPr="005B0796" w14:paraId="2B4E968C"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val="restart"/>
          </w:tcPr>
          <w:p w14:paraId="7F851D7F" w14:textId="77777777" w:rsidR="00B903A5" w:rsidRPr="005B0796" w:rsidRDefault="00B903A5" w:rsidP="00594252">
            <w:pPr>
              <w:pStyle w:val="TableText"/>
            </w:pPr>
          </w:p>
        </w:tc>
        <w:tc>
          <w:tcPr>
            <w:tcW w:w="2883" w:type="dxa"/>
            <w:gridSpan w:val="3"/>
            <w:hideMark/>
          </w:tcPr>
          <w:p w14:paraId="30C9855A" w14:textId="77777777" w:rsidR="00B903A5" w:rsidRPr="005B0796" w:rsidRDefault="00B903A5" w:rsidP="00594252">
            <w:pPr>
              <w:pStyle w:val="TableText"/>
              <w:jc w:val="center"/>
            </w:pPr>
            <w:r w:rsidRPr="005B0796">
              <w:t>Transitioned ADF</w:t>
            </w:r>
            <w:r w:rsidRPr="005B0796">
              <w:br/>
              <w:t>(</w:t>
            </w:r>
            <w:r>
              <w:t>n=</w:t>
            </w:r>
            <w:r w:rsidRPr="005B0796">
              <w:rPr>
                <w:color w:val="000000" w:themeColor="text1"/>
              </w:rPr>
              <w:t>4326)</w:t>
            </w:r>
          </w:p>
        </w:tc>
        <w:tc>
          <w:tcPr>
            <w:tcW w:w="2884" w:type="dxa"/>
            <w:gridSpan w:val="3"/>
            <w:hideMark/>
          </w:tcPr>
          <w:p w14:paraId="3E0D9D0B" w14:textId="77777777" w:rsidR="00B903A5" w:rsidRPr="005B0796" w:rsidRDefault="00B903A5" w:rsidP="00594252">
            <w:pPr>
              <w:pStyle w:val="TableText"/>
              <w:jc w:val="center"/>
            </w:pPr>
            <w:r w:rsidRPr="005B0796">
              <w:t>2015 Regular ADF</w:t>
            </w:r>
            <w:r w:rsidRPr="005B0796">
              <w:br/>
              <w:t>(</w:t>
            </w:r>
            <w:r>
              <w:t>n=</w:t>
            </w:r>
            <w:r w:rsidRPr="005B0796">
              <w:t>8480)</w:t>
            </w:r>
          </w:p>
        </w:tc>
      </w:tr>
      <w:tr w:rsidR="00B903A5" w:rsidRPr="005B0796" w14:paraId="58140E35"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tcPr>
          <w:p w14:paraId="00F253C0" w14:textId="77777777" w:rsidR="00B903A5" w:rsidRPr="005B0796" w:rsidRDefault="00B903A5" w:rsidP="00594252">
            <w:pPr>
              <w:pStyle w:val="TableText"/>
              <w:rPr>
                <w:rFonts w:cs="Arial"/>
              </w:rPr>
            </w:pPr>
          </w:p>
        </w:tc>
        <w:tc>
          <w:tcPr>
            <w:tcW w:w="961" w:type="dxa"/>
            <w:hideMark/>
          </w:tcPr>
          <w:p w14:paraId="6B83ACE3" w14:textId="77777777" w:rsidR="00B903A5" w:rsidRPr="005B0796" w:rsidRDefault="00B903A5" w:rsidP="00594252">
            <w:pPr>
              <w:pStyle w:val="TableText"/>
              <w:jc w:val="right"/>
              <w:rPr>
                <w:rFonts w:cs="Arial"/>
              </w:rPr>
            </w:pPr>
            <w:r w:rsidRPr="005B0796">
              <w:rPr>
                <w:rFonts w:cs="Arial"/>
              </w:rPr>
              <w:t>n</w:t>
            </w:r>
          </w:p>
        </w:tc>
        <w:tc>
          <w:tcPr>
            <w:tcW w:w="961" w:type="dxa"/>
            <w:hideMark/>
          </w:tcPr>
          <w:p w14:paraId="358C6CE3" w14:textId="77777777" w:rsidR="00B903A5" w:rsidRPr="005B0796" w:rsidRDefault="00B903A5" w:rsidP="00594252">
            <w:pPr>
              <w:pStyle w:val="TableText"/>
              <w:jc w:val="right"/>
              <w:rPr>
                <w:rFonts w:cs="Arial"/>
              </w:rPr>
            </w:pPr>
            <w:r w:rsidRPr="005B0796">
              <w:rPr>
                <w:rFonts w:cs="Arial"/>
              </w:rPr>
              <w:t>%</w:t>
            </w:r>
          </w:p>
        </w:tc>
        <w:tc>
          <w:tcPr>
            <w:tcW w:w="961" w:type="dxa"/>
            <w:hideMark/>
          </w:tcPr>
          <w:p w14:paraId="673A1F8C" w14:textId="77777777" w:rsidR="00B903A5" w:rsidRPr="005B0796" w:rsidRDefault="00B903A5" w:rsidP="00594252">
            <w:pPr>
              <w:pStyle w:val="TableText"/>
              <w:jc w:val="right"/>
              <w:rPr>
                <w:rFonts w:cs="Arial"/>
              </w:rPr>
            </w:pPr>
            <w:r w:rsidRPr="005B0796">
              <w:rPr>
                <w:rFonts w:cs="Arial"/>
              </w:rPr>
              <w:t>95% CI</w:t>
            </w:r>
          </w:p>
        </w:tc>
        <w:tc>
          <w:tcPr>
            <w:tcW w:w="961" w:type="dxa"/>
            <w:hideMark/>
          </w:tcPr>
          <w:p w14:paraId="3BD92AF5" w14:textId="77777777" w:rsidR="00B903A5" w:rsidRPr="005B0796" w:rsidRDefault="00B903A5" w:rsidP="00594252">
            <w:pPr>
              <w:pStyle w:val="TableText"/>
              <w:jc w:val="right"/>
              <w:rPr>
                <w:rFonts w:cs="Arial"/>
              </w:rPr>
            </w:pPr>
            <w:r w:rsidRPr="005B0796">
              <w:rPr>
                <w:rFonts w:cs="Arial"/>
              </w:rPr>
              <w:t>n</w:t>
            </w:r>
          </w:p>
        </w:tc>
        <w:tc>
          <w:tcPr>
            <w:tcW w:w="961" w:type="dxa"/>
            <w:hideMark/>
          </w:tcPr>
          <w:p w14:paraId="1551BE77" w14:textId="77777777" w:rsidR="00B903A5" w:rsidRPr="005B0796" w:rsidRDefault="00B903A5" w:rsidP="00594252">
            <w:pPr>
              <w:pStyle w:val="TableText"/>
              <w:jc w:val="right"/>
              <w:rPr>
                <w:rFonts w:cs="Arial"/>
              </w:rPr>
            </w:pPr>
            <w:r w:rsidRPr="005B0796">
              <w:rPr>
                <w:rFonts w:cs="Arial"/>
              </w:rPr>
              <w:t>%</w:t>
            </w:r>
          </w:p>
        </w:tc>
        <w:tc>
          <w:tcPr>
            <w:tcW w:w="962" w:type="dxa"/>
            <w:hideMark/>
          </w:tcPr>
          <w:p w14:paraId="7C049D50" w14:textId="77777777" w:rsidR="00B903A5" w:rsidRPr="005B0796" w:rsidRDefault="00B903A5" w:rsidP="00594252">
            <w:pPr>
              <w:pStyle w:val="TableText"/>
              <w:jc w:val="right"/>
              <w:rPr>
                <w:rFonts w:cs="Arial"/>
              </w:rPr>
            </w:pPr>
            <w:r w:rsidRPr="005B0796">
              <w:rPr>
                <w:rFonts w:cs="Arial"/>
              </w:rPr>
              <w:t>95% CI</w:t>
            </w:r>
          </w:p>
        </w:tc>
      </w:tr>
      <w:tr w:rsidR="00B903A5" w:rsidRPr="005B0796" w14:paraId="09B7C00E"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1471E2BF" w14:textId="77777777" w:rsidR="00B903A5" w:rsidRPr="005B0796" w:rsidRDefault="00B903A5" w:rsidP="00594252">
            <w:pPr>
              <w:pStyle w:val="TableText"/>
              <w:rPr>
                <w:rFonts w:cs="Arial"/>
                <w:b/>
              </w:rPr>
            </w:pPr>
            <w:r w:rsidRPr="005B0796">
              <w:rPr>
                <w:b/>
              </w:rPr>
              <w:t>Age (M, SE)</w:t>
            </w:r>
          </w:p>
        </w:tc>
        <w:tc>
          <w:tcPr>
            <w:tcW w:w="961" w:type="dxa"/>
            <w:hideMark/>
          </w:tcPr>
          <w:p w14:paraId="7014648B" w14:textId="77777777" w:rsidR="00B903A5" w:rsidRPr="005B0796" w:rsidRDefault="00B903A5" w:rsidP="00594252">
            <w:pPr>
              <w:pStyle w:val="TableText"/>
              <w:jc w:val="right"/>
            </w:pPr>
            <w:r w:rsidRPr="005B0796">
              <w:t>41.9</w:t>
            </w:r>
          </w:p>
        </w:tc>
        <w:tc>
          <w:tcPr>
            <w:tcW w:w="961" w:type="dxa"/>
            <w:hideMark/>
          </w:tcPr>
          <w:p w14:paraId="59621A50" w14:textId="77777777" w:rsidR="00B903A5" w:rsidRPr="005B0796" w:rsidRDefault="00B903A5" w:rsidP="00594252">
            <w:pPr>
              <w:pStyle w:val="TableText"/>
              <w:jc w:val="right"/>
            </w:pPr>
            <w:r w:rsidRPr="005B0796">
              <w:t>0.2</w:t>
            </w:r>
          </w:p>
        </w:tc>
        <w:tc>
          <w:tcPr>
            <w:tcW w:w="961" w:type="dxa"/>
          </w:tcPr>
          <w:p w14:paraId="2398459B" w14:textId="77777777" w:rsidR="00B903A5" w:rsidRPr="005B0796" w:rsidRDefault="00B903A5" w:rsidP="00594252">
            <w:pPr>
              <w:pStyle w:val="TableText"/>
              <w:jc w:val="right"/>
            </w:pPr>
          </w:p>
        </w:tc>
        <w:tc>
          <w:tcPr>
            <w:tcW w:w="961" w:type="dxa"/>
            <w:hideMark/>
          </w:tcPr>
          <w:p w14:paraId="23B31D48" w14:textId="77777777" w:rsidR="00B903A5" w:rsidRPr="005B0796" w:rsidRDefault="00B903A5" w:rsidP="00594252">
            <w:pPr>
              <w:pStyle w:val="TableText"/>
              <w:jc w:val="right"/>
            </w:pPr>
            <w:r w:rsidRPr="005B0796">
              <w:t>41.1</w:t>
            </w:r>
          </w:p>
        </w:tc>
        <w:tc>
          <w:tcPr>
            <w:tcW w:w="961" w:type="dxa"/>
            <w:hideMark/>
          </w:tcPr>
          <w:p w14:paraId="2977220F" w14:textId="77777777" w:rsidR="00B903A5" w:rsidRPr="005B0796" w:rsidRDefault="00B903A5" w:rsidP="00594252">
            <w:pPr>
              <w:pStyle w:val="TableText"/>
              <w:jc w:val="right"/>
            </w:pPr>
            <w:r w:rsidRPr="005B0796">
              <w:t>0.1</w:t>
            </w:r>
          </w:p>
        </w:tc>
        <w:tc>
          <w:tcPr>
            <w:tcW w:w="962" w:type="dxa"/>
          </w:tcPr>
          <w:p w14:paraId="5A625730" w14:textId="77777777" w:rsidR="00B903A5" w:rsidRPr="005B0796" w:rsidRDefault="00B903A5" w:rsidP="00594252">
            <w:pPr>
              <w:pStyle w:val="TableText"/>
              <w:jc w:val="right"/>
            </w:pPr>
          </w:p>
        </w:tc>
      </w:tr>
      <w:tr w:rsidR="00B903A5" w:rsidRPr="005B0796" w14:paraId="7FE6DD4F" w14:textId="77777777" w:rsidTr="00D268F6">
        <w:trPr>
          <w:cantSplit/>
        </w:trPr>
        <w:tc>
          <w:tcPr>
            <w:tcW w:w="1548" w:type="dxa"/>
            <w:hideMark/>
          </w:tcPr>
          <w:p w14:paraId="694F96F9" w14:textId="77777777" w:rsidR="00B903A5" w:rsidRPr="005B0796" w:rsidRDefault="00B903A5" w:rsidP="00594252">
            <w:pPr>
              <w:pStyle w:val="TableText"/>
              <w:rPr>
                <w:b/>
              </w:rPr>
            </w:pPr>
            <w:r w:rsidRPr="005B0796">
              <w:rPr>
                <w:b/>
              </w:rPr>
              <w:t>Age group</w:t>
            </w:r>
          </w:p>
        </w:tc>
        <w:tc>
          <w:tcPr>
            <w:tcW w:w="961" w:type="dxa"/>
          </w:tcPr>
          <w:p w14:paraId="2D5FD002" w14:textId="77777777" w:rsidR="00B903A5" w:rsidRPr="005B0796" w:rsidRDefault="00B903A5" w:rsidP="00594252">
            <w:pPr>
              <w:pStyle w:val="TableText"/>
              <w:jc w:val="right"/>
              <w:rPr>
                <w:rFonts w:cs="Arial"/>
              </w:rPr>
            </w:pPr>
          </w:p>
        </w:tc>
        <w:tc>
          <w:tcPr>
            <w:tcW w:w="961" w:type="dxa"/>
          </w:tcPr>
          <w:p w14:paraId="4FBBB8BD" w14:textId="77777777" w:rsidR="00B903A5" w:rsidRPr="005B0796" w:rsidRDefault="00B903A5" w:rsidP="00594252">
            <w:pPr>
              <w:pStyle w:val="TableText"/>
              <w:jc w:val="right"/>
              <w:rPr>
                <w:rFonts w:cs="Arial"/>
              </w:rPr>
            </w:pPr>
          </w:p>
        </w:tc>
        <w:tc>
          <w:tcPr>
            <w:tcW w:w="961" w:type="dxa"/>
          </w:tcPr>
          <w:p w14:paraId="6FAB0698" w14:textId="77777777" w:rsidR="00B903A5" w:rsidRPr="005B0796" w:rsidRDefault="00B903A5" w:rsidP="00594252">
            <w:pPr>
              <w:pStyle w:val="TableText"/>
              <w:jc w:val="right"/>
              <w:rPr>
                <w:rFonts w:cs="Arial"/>
              </w:rPr>
            </w:pPr>
          </w:p>
        </w:tc>
        <w:tc>
          <w:tcPr>
            <w:tcW w:w="961" w:type="dxa"/>
          </w:tcPr>
          <w:p w14:paraId="0F28F08E" w14:textId="77777777" w:rsidR="00B903A5" w:rsidRPr="005B0796" w:rsidRDefault="00B903A5" w:rsidP="00594252">
            <w:pPr>
              <w:pStyle w:val="TableText"/>
              <w:jc w:val="right"/>
              <w:rPr>
                <w:rFonts w:cs="Arial"/>
              </w:rPr>
            </w:pPr>
          </w:p>
        </w:tc>
        <w:tc>
          <w:tcPr>
            <w:tcW w:w="961" w:type="dxa"/>
          </w:tcPr>
          <w:p w14:paraId="30A12A77" w14:textId="77777777" w:rsidR="00B903A5" w:rsidRPr="005B0796" w:rsidRDefault="00B903A5" w:rsidP="00594252">
            <w:pPr>
              <w:pStyle w:val="TableText"/>
              <w:jc w:val="right"/>
              <w:rPr>
                <w:rFonts w:cs="Arial"/>
              </w:rPr>
            </w:pPr>
          </w:p>
        </w:tc>
        <w:tc>
          <w:tcPr>
            <w:tcW w:w="962" w:type="dxa"/>
          </w:tcPr>
          <w:p w14:paraId="31E6D785" w14:textId="77777777" w:rsidR="00B903A5" w:rsidRPr="005B0796" w:rsidRDefault="00B903A5" w:rsidP="00594252">
            <w:pPr>
              <w:pStyle w:val="TableText"/>
              <w:jc w:val="right"/>
              <w:rPr>
                <w:rFonts w:cs="Arial"/>
              </w:rPr>
            </w:pPr>
          </w:p>
        </w:tc>
      </w:tr>
      <w:tr w:rsidR="00B903A5" w:rsidRPr="005B0796" w14:paraId="12835C5A"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56C5114A" w14:textId="77777777" w:rsidR="00B903A5" w:rsidRPr="005B0796" w:rsidRDefault="00B903A5" w:rsidP="00594252">
            <w:pPr>
              <w:pStyle w:val="TableText"/>
              <w:ind w:left="144"/>
            </w:pPr>
            <w:r w:rsidRPr="005B0796">
              <w:t>18</w:t>
            </w:r>
            <w:r>
              <w:t>–</w:t>
            </w:r>
            <w:r w:rsidRPr="005B0796">
              <w:t>27</w:t>
            </w:r>
          </w:p>
        </w:tc>
        <w:tc>
          <w:tcPr>
            <w:tcW w:w="961" w:type="dxa"/>
            <w:hideMark/>
          </w:tcPr>
          <w:p w14:paraId="61352BCF" w14:textId="77777777" w:rsidR="00B903A5" w:rsidRPr="005B0796" w:rsidRDefault="00B903A5" w:rsidP="00594252">
            <w:pPr>
              <w:pStyle w:val="TableText"/>
              <w:jc w:val="right"/>
            </w:pPr>
            <w:r w:rsidRPr="005B0796">
              <w:t>471</w:t>
            </w:r>
          </w:p>
        </w:tc>
        <w:tc>
          <w:tcPr>
            <w:tcW w:w="961" w:type="dxa"/>
            <w:hideMark/>
          </w:tcPr>
          <w:p w14:paraId="4FDE7B91" w14:textId="77777777" w:rsidR="00B903A5" w:rsidRPr="005B0796" w:rsidRDefault="00B903A5" w:rsidP="00594252">
            <w:pPr>
              <w:pStyle w:val="TableText"/>
              <w:jc w:val="right"/>
            </w:pPr>
            <w:r w:rsidRPr="005B0796">
              <w:t>10.9</w:t>
            </w:r>
          </w:p>
        </w:tc>
        <w:tc>
          <w:tcPr>
            <w:tcW w:w="961" w:type="dxa"/>
            <w:hideMark/>
          </w:tcPr>
          <w:p w14:paraId="25373B93" w14:textId="793EC813" w:rsidR="00B903A5" w:rsidRPr="005B0796" w:rsidRDefault="00B903A5" w:rsidP="00594252">
            <w:pPr>
              <w:pStyle w:val="TableText"/>
              <w:jc w:val="right"/>
            </w:pPr>
            <w:r w:rsidRPr="005B0796">
              <w:t xml:space="preserve"> (10.0 </w:t>
            </w:r>
            <w:r>
              <w:t>–</w:t>
            </w:r>
            <w:r w:rsidR="00977E9E">
              <w:t xml:space="preserve"> 11.9)</w:t>
            </w:r>
          </w:p>
        </w:tc>
        <w:tc>
          <w:tcPr>
            <w:tcW w:w="961" w:type="dxa"/>
            <w:hideMark/>
          </w:tcPr>
          <w:p w14:paraId="52F53E55" w14:textId="77777777" w:rsidR="00B903A5" w:rsidRPr="005B0796" w:rsidRDefault="00B903A5" w:rsidP="00594252">
            <w:pPr>
              <w:pStyle w:val="TableText"/>
              <w:jc w:val="right"/>
            </w:pPr>
            <w:r w:rsidRPr="005B0796">
              <w:t>602</w:t>
            </w:r>
          </w:p>
        </w:tc>
        <w:tc>
          <w:tcPr>
            <w:tcW w:w="961" w:type="dxa"/>
            <w:hideMark/>
          </w:tcPr>
          <w:p w14:paraId="25652B1B" w14:textId="77777777" w:rsidR="00B903A5" w:rsidRPr="005B0796" w:rsidRDefault="00B903A5" w:rsidP="00594252">
            <w:pPr>
              <w:pStyle w:val="TableText"/>
              <w:jc w:val="right"/>
            </w:pPr>
            <w:r w:rsidRPr="005B0796">
              <w:t>7.1</w:t>
            </w:r>
          </w:p>
        </w:tc>
        <w:tc>
          <w:tcPr>
            <w:tcW w:w="962" w:type="dxa"/>
            <w:hideMark/>
          </w:tcPr>
          <w:p w14:paraId="353377B0" w14:textId="77777777" w:rsidR="00B903A5" w:rsidRPr="005B0796" w:rsidRDefault="00B903A5" w:rsidP="00594252">
            <w:pPr>
              <w:pStyle w:val="TableText"/>
              <w:jc w:val="right"/>
            </w:pPr>
            <w:r w:rsidRPr="005B0796">
              <w:t xml:space="preserve"> (6.6 </w:t>
            </w:r>
            <w:r>
              <w:t>–</w:t>
            </w:r>
            <w:r w:rsidRPr="005B0796">
              <w:t xml:space="preserve"> 7.7) </w:t>
            </w:r>
          </w:p>
        </w:tc>
      </w:tr>
      <w:tr w:rsidR="00B903A5" w:rsidRPr="005B0796" w14:paraId="1DA5A9BC" w14:textId="77777777" w:rsidTr="00D268F6">
        <w:trPr>
          <w:cantSplit/>
        </w:trPr>
        <w:tc>
          <w:tcPr>
            <w:tcW w:w="1548" w:type="dxa"/>
            <w:hideMark/>
          </w:tcPr>
          <w:p w14:paraId="547AB220" w14:textId="77777777" w:rsidR="00B903A5" w:rsidRPr="005B0796" w:rsidRDefault="00B903A5" w:rsidP="00594252">
            <w:pPr>
              <w:pStyle w:val="TableText"/>
              <w:ind w:left="144"/>
            </w:pPr>
            <w:r w:rsidRPr="005B0796">
              <w:t>28</w:t>
            </w:r>
            <w:r>
              <w:t>–</w:t>
            </w:r>
            <w:r w:rsidRPr="005B0796">
              <w:t>37</w:t>
            </w:r>
          </w:p>
        </w:tc>
        <w:tc>
          <w:tcPr>
            <w:tcW w:w="961" w:type="dxa"/>
            <w:hideMark/>
          </w:tcPr>
          <w:p w14:paraId="02104FC5" w14:textId="77777777" w:rsidR="00B903A5" w:rsidRPr="005B0796" w:rsidRDefault="00B903A5" w:rsidP="00594252">
            <w:pPr>
              <w:pStyle w:val="TableText"/>
              <w:jc w:val="right"/>
            </w:pPr>
            <w:r w:rsidRPr="005B0796">
              <w:t>1262</w:t>
            </w:r>
          </w:p>
        </w:tc>
        <w:tc>
          <w:tcPr>
            <w:tcW w:w="961" w:type="dxa"/>
            <w:hideMark/>
          </w:tcPr>
          <w:p w14:paraId="46D0D963" w14:textId="77777777" w:rsidR="00B903A5" w:rsidRPr="005B0796" w:rsidRDefault="00B903A5" w:rsidP="00594252">
            <w:pPr>
              <w:pStyle w:val="TableText"/>
              <w:jc w:val="right"/>
            </w:pPr>
            <w:r w:rsidRPr="005B0796">
              <w:t>29.2</w:t>
            </w:r>
          </w:p>
        </w:tc>
        <w:tc>
          <w:tcPr>
            <w:tcW w:w="961" w:type="dxa"/>
            <w:hideMark/>
          </w:tcPr>
          <w:p w14:paraId="553073DF" w14:textId="77777777" w:rsidR="00B903A5" w:rsidRPr="005B0796" w:rsidRDefault="00B903A5" w:rsidP="00594252">
            <w:pPr>
              <w:pStyle w:val="TableText"/>
              <w:jc w:val="right"/>
            </w:pPr>
            <w:r w:rsidRPr="005B0796">
              <w:t xml:space="preserve"> (27.8 </w:t>
            </w:r>
            <w:r>
              <w:t>–</w:t>
            </w:r>
            <w:r w:rsidRPr="005B0796">
              <w:t xml:space="preserve"> 30.5) </w:t>
            </w:r>
          </w:p>
        </w:tc>
        <w:tc>
          <w:tcPr>
            <w:tcW w:w="961" w:type="dxa"/>
            <w:hideMark/>
          </w:tcPr>
          <w:p w14:paraId="3EDA18BD" w14:textId="77777777" w:rsidR="00B903A5" w:rsidRPr="005B0796" w:rsidRDefault="00B903A5" w:rsidP="00594252">
            <w:pPr>
              <w:pStyle w:val="TableText"/>
              <w:jc w:val="right"/>
            </w:pPr>
            <w:r w:rsidRPr="005B0796">
              <w:t>2484</w:t>
            </w:r>
          </w:p>
        </w:tc>
        <w:tc>
          <w:tcPr>
            <w:tcW w:w="961" w:type="dxa"/>
            <w:hideMark/>
          </w:tcPr>
          <w:p w14:paraId="4FF3E59F" w14:textId="77777777" w:rsidR="00B903A5" w:rsidRPr="005B0796" w:rsidRDefault="00B903A5" w:rsidP="00594252">
            <w:pPr>
              <w:pStyle w:val="TableText"/>
              <w:jc w:val="right"/>
            </w:pPr>
            <w:r w:rsidRPr="005B0796">
              <w:t>29.3</w:t>
            </w:r>
          </w:p>
        </w:tc>
        <w:tc>
          <w:tcPr>
            <w:tcW w:w="962" w:type="dxa"/>
            <w:hideMark/>
          </w:tcPr>
          <w:p w14:paraId="5ABCF23B" w14:textId="77777777" w:rsidR="00B903A5" w:rsidRPr="005B0796" w:rsidRDefault="00B903A5" w:rsidP="00594252">
            <w:pPr>
              <w:pStyle w:val="TableText"/>
              <w:jc w:val="right"/>
            </w:pPr>
            <w:r w:rsidRPr="005B0796">
              <w:t xml:space="preserve"> (28.3 </w:t>
            </w:r>
            <w:r>
              <w:t>–</w:t>
            </w:r>
            <w:r w:rsidRPr="005B0796">
              <w:t xml:space="preserve"> 30.3) </w:t>
            </w:r>
          </w:p>
        </w:tc>
      </w:tr>
      <w:tr w:rsidR="00B903A5" w:rsidRPr="005B0796" w14:paraId="3260403E"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776D6523" w14:textId="77777777" w:rsidR="00B903A5" w:rsidRPr="005B0796" w:rsidRDefault="00B903A5" w:rsidP="00594252">
            <w:pPr>
              <w:pStyle w:val="TableText"/>
              <w:ind w:left="144"/>
            </w:pPr>
            <w:r w:rsidRPr="005B0796">
              <w:t>38</w:t>
            </w:r>
            <w:r>
              <w:t>–</w:t>
            </w:r>
            <w:r w:rsidRPr="005B0796">
              <w:t>47</w:t>
            </w:r>
          </w:p>
        </w:tc>
        <w:tc>
          <w:tcPr>
            <w:tcW w:w="961" w:type="dxa"/>
            <w:hideMark/>
          </w:tcPr>
          <w:p w14:paraId="3ACDF9BC" w14:textId="77777777" w:rsidR="00B903A5" w:rsidRPr="005B0796" w:rsidRDefault="00B903A5" w:rsidP="00594252">
            <w:pPr>
              <w:pStyle w:val="TableText"/>
              <w:jc w:val="right"/>
            </w:pPr>
            <w:r w:rsidRPr="005B0796">
              <w:t>1119</w:t>
            </w:r>
          </w:p>
        </w:tc>
        <w:tc>
          <w:tcPr>
            <w:tcW w:w="961" w:type="dxa"/>
            <w:hideMark/>
          </w:tcPr>
          <w:p w14:paraId="0AF26B41" w14:textId="77777777" w:rsidR="00B903A5" w:rsidRPr="005B0796" w:rsidRDefault="00B903A5" w:rsidP="00594252">
            <w:pPr>
              <w:pStyle w:val="TableText"/>
              <w:jc w:val="right"/>
            </w:pPr>
            <w:r w:rsidRPr="005B0796">
              <w:t>25.9</w:t>
            </w:r>
          </w:p>
        </w:tc>
        <w:tc>
          <w:tcPr>
            <w:tcW w:w="961" w:type="dxa"/>
            <w:hideMark/>
          </w:tcPr>
          <w:p w14:paraId="11095ACF" w14:textId="77777777" w:rsidR="00B903A5" w:rsidRPr="005B0796" w:rsidRDefault="00B903A5" w:rsidP="00594252">
            <w:pPr>
              <w:pStyle w:val="TableText"/>
              <w:jc w:val="right"/>
            </w:pPr>
            <w:r w:rsidRPr="005B0796">
              <w:t xml:space="preserve"> (24.6 </w:t>
            </w:r>
            <w:r>
              <w:t>–</w:t>
            </w:r>
            <w:r w:rsidRPr="005B0796">
              <w:t xml:space="preserve"> 27.2) </w:t>
            </w:r>
          </w:p>
        </w:tc>
        <w:tc>
          <w:tcPr>
            <w:tcW w:w="961" w:type="dxa"/>
            <w:hideMark/>
          </w:tcPr>
          <w:p w14:paraId="2EED6189" w14:textId="77777777" w:rsidR="00B903A5" w:rsidRPr="005B0796" w:rsidRDefault="00B903A5" w:rsidP="00594252">
            <w:pPr>
              <w:pStyle w:val="TableText"/>
              <w:jc w:val="right"/>
            </w:pPr>
            <w:r w:rsidRPr="005B0796">
              <w:t>2976</w:t>
            </w:r>
          </w:p>
        </w:tc>
        <w:tc>
          <w:tcPr>
            <w:tcW w:w="961" w:type="dxa"/>
            <w:hideMark/>
          </w:tcPr>
          <w:p w14:paraId="63C3904C" w14:textId="77777777" w:rsidR="00B903A5" w:rsidRPr="005B0796" w:rsidRDefault="00B903A5" w:rsidP="00594252">
            <w:pPr>
              <w:pStyle w:val="TableText"/>
              <w:jc w:val="right"/>
            </w:pPr>
            <w:r w:rsidRPr="005B0796">
              <w:t>35.1</w:t>
            </w:r>
          </w:p>
        </w:tc>
        <w:tc>
          <w:tcPr>
            <w:tcW w:w="962" w:type="dxa"/>
            <w:hideMark/>
          </w:tcPr>
          <w:p w14:paraId="6083910B" w14:textId="77777777" w:rsidR="00B903A5" w:rsidRPr="005B0796" w:rsidRDefault="00B903A5" w:rsidP="00594252">
            <w:pPr>
              <w:pStyle w:val="TableText"/>
              <w:jc w:val="right"/>
            </w:pPr>
            <w:r w:rsidRPr="005B0796">
              <w:t xml:space="preserve"> (34.1 </w:t>
            </w:r>
            <w:r>
              <w:t>–</w:t>
            </w:r>
            <w:r w:rsidRPr="005B0796">
              <w:t xml:space="preserve"> 36.1) </w:t>
            </w:r>
          </w:p>
        </w:tc>
      </w:tr>
      <w:tr w:rsidR="00B903A5" w:rsidRPr="005B0796" w14:paraId="68BE04A5" w14:textId="77777777" w:rsidTr="00D268F6">
        <w:trPr>
          <w:cantSplit/>
        </w:trPr>
        <w:tc>
          <w:tcPr>
            <w:tcW w:w="1548" w:type="dxa"/>
            <w:hideMark/>
          </w:tcPr>
          <w:p w14:paraId="318D5DEB" w14:textId="77777777" w:rsidR="00B903A5" w:rsidRPr="005B0796" w:rsidRDefault="00B903A5" w:rsidP="00594252">
            <w:pPr>
              <w:pStyle w:val="TableText"/>
              <w:ind w:left="144"/>
            </w:pPr>
            <w:r w:rsidRPr="005B0796">
              <w:t>48</w:t>
            </w:r>
            <w:r>
              <w:t>–</w:t>
            </w:r>
            <w:r w:rsidRPr="005B0796">
              <w:t>57</w:t>
            </w:r>
          </w:p>
        </w:tc>
        <w:tc>
          <w:tcPr>
            <w:tcW w:w="961" w:type="dxa"/>
            <w:hideMark/>
          </w:tcPr>
          <w:p w14:paraId="1758E095" w14:textId="77777777" w:rsidR="00B903A5" w:rsidRPr="005B0796" w:rsidRDefault="00B903A5" w:rsidP="00594252">
            <w:pPr>
              <w:pStyle w:val="TableText"/>
              <w:jc w:val="right"/>
            </w:pPr>
            <w:r w:rsidRPr="005B0796">
              <w:t>871</w:t>
            </w:r>
          </w:p>
        </w:tc>
        <w:tc>
          <w:tcPr>
            <w:tcW w:w="961" w:type="dxa"/>
            <w:hideMark/>
          </w:tcPr>
          <w:p w14:paraId="47AC704C" w14:textId="77777777" w:rsidR="00B903A5" w:rsidRPr="005B0796" w:rsidRDefault="00B903A5" w:rsidP="00594252">
            <w:pPr>
              <w:pStyle w:val="TableText"/>
              <w:jc w:val="right"/>
            </w:pPr>
            <w:r w:rsidRPr="005B0796">
              <w:t>20.1</w:t>
            </w:r>
          </w:p>
        </w:tc>
        <w:tc>
          <w:tcPr>
            <w:tcW w:w="961" w:type="dxa"/>
            <w:hideMark/>
          </w:tcPr>
          <w:p w14:paraId="3D5CE7FB" w14:textId="77777777" w:rsidR="00B903A5" w:rsidRPr="005B0796" w:rsidRDefault="00B903A5" w:rsidP="00594252">
            <w:pPr>
              <w:pStyle w:val="TableText"/>
              <w:jc w:val="right"/>
            </w:pPr>
            <w:r w:rsidRPr="005B0796">
              <w:t xml:space="preserve"> (19.0 </w:t>
            </w:r>
            <w:r>
              <w:t>–</w:t>
            </w:r>
            <w:r w:rsidRPr="005B0796">
              <w:t xml:space="preserve"> 21.4) </w:t>
            </w:r>
          </w:p>
        </w:tc>
        <w:tc>
          <w:tcPr>
            <w:tcW w:w="961" w:type="dxa"/>
            <w:hideMark/>
          </w:tcPr>
          <w:p w14:paraId="303C4FE4" w14:textId="77777777" w:rsidR="00B903A5" w:rsidRPr="005B0796" w:rsidRDefault="00B903A5" w:rsidP="00594252">
            <w:pPr>
              <w:pStyle w:val="TableText"/>
              <w:jc w:val="right"/>
            </w:pPr>
            <w:r w:rsidRPr="005B0796">
              <w:t>2069</w:t>
            </w:r>
          </w:p>
        </w:tc>
        <w:tc>
          <w:tcPr>
            <w:tcW w:w="961" w:type="dxa"/>
            <w:hideMark/>
          </w:tcPr>
          <w:p w14:paraId="14D1B127" w14:textId="77777777" w:rsidR="00B903A5" w:rsidRPr="005B0796" w:rsidRDefault="00B903A5" w:rsidP="00594252">
            <w:pPr>
              <w:pStyle w:val="TableText"/>
              <w:jc w:val="right"/>
            </w:pPr>
            <w:r w:rsidRPr="005B0796">
              <w:t>24.4</w:t>
            </w:r>
          </w:p>
        </w:tc>
        <w:tc>
          <w:tcPr>
            <w:tcW w:w="962" w:type="dxa"/>
            <w:hideMark/>
          </w:tcPr>
          <w:p w14:paraId="4B85D80B" w14:textId="77777777" w:rsidR="00B903A5" w:rsidRPr="005B0796" w:rsidRDefault="00B903A5" w:rsidP="00594252">
            <w:pPr>
              <w:pStyle w:val="TableText"/>
              <w:jc w:val="right"/>
            </w:pPr>
            <w:r w:rsidRPr="005B0796">
              <w:t xml:space="preserve"> (23.5 </w:t>
            </w:r>
            <w:r>
              <w:t>–</w:t>
            </w:r>
            <w:r w:rsidRPr="005B0796">
              <w:t xml:space="preserve"> 25.3) </w:t>
            </w:r>
          </w:p>
        </w:tc>
      </w:tr>
      <w:tr w:rsidR="00B903A5" w:rsidRPr="005B0796" w14:paraId="5E5CFB3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5CC5284C" w14:textId="77777777" w:rsidR="00B903A5" w:rsidRPr="005B0796" w:rsidRDefault="00B903A5" w:rsidP="00594252">
            <w:pPr>
              <w:pStyle w:val="TableText"/>
              <w:ind w:left="144"/>
            </w:pPr>
            <w:r w:rsidRPr="005B0796">
              <w:t>58+</w:t>
            </w:r>
          </w:p>
        </w:tc>
        <w:tc>
          <w:tcPr>
            <w:tcW w:w="961" w:type="dxa"/>
            <w:hideMark/>
          </w:tcPr>
          <w:p w14:paraId="12A7DD34" w14:textId="77777777" w:rsidR="00B903A5" w:rsidRPr="005B0796" w:rsidRDefault="00B903A5" w:rsidP="00594252">
            <w:pPr>
              <w:pStyle w:val="TableText"/>
              <w:jc w:val="right"/>
            </w:pPr>
            <w:r w:rsidRPr="005B0796">
              <w:t>548</w:t>
            </w:r>
          </w:p>
        </w:tc>
        <w:tc>
          <w:tcPr>
            <w:tcW w:w="961" w:type="dxa"/>
            <w:hideMark/>
          </w:tcPr>
          <w:p w14:paraId="4CDDD574" w14:textId="77777777" w:rsidR="00B903A5" w:rsidRPr="005B0796" w:rsidRDefault="00B903A5" w:rsidP="00594252">
            <w:pPr>
              <w:pStyle w:val="TableText"/>
              <w:jc w:val="right"/>
            </w:pPr>
            <w:r w:rsidRPr="005B0796">
              <w:t>12.7</w:t>
            </w:r>
          </w:p>
        </w:tc>
        <w:tc>
          <w:tcPr>
            <w:tcW w:w="961" w:type="dxa"/>
            <w:hideMark/>
          </w:tcPr>
          <w:p w14:paraId="75529A81" w14:textId="77777777" w:rsidR="00B903A5" w:rsidRPr="005B0796" w:rsidRDefault="00B903A5" w:rsidP="00594252">
            <w:pPr>
              <w:pStyle w:val="TableText"/>
              <w:jc w:val="right"/>
            </w:pPr>
            <w:r w:rsidRPr="005B0796">
              <w:t xml:space="preserve"> (11.7 </w:t>
            </w:r>
            <w:r>
              <w:t>–</w:t>
            </w:r>
            <w:r w:rsidRPr="005B0796">
              <w:t xml:space="preserve"> 13.7) </w:t>
            </w:r>
          </w:p>
        </w:tc>
        <w:tc>
          <w:tcPr>
            <w:tcW w:w="961" w:type="dxa"/>
            <w:hideMark/>
          </w:tcPr>
          <w:p w14:paraId="7CFE3F1F" w14:textId="77777777" w:rsidR="00B903A5" w:rsidRPr="005B0796" w:rsidRDefault="00B903A5" w:rsidP="00594252">
            <w:pPr>
              <w:pStyle w:val="TableText"/>
              <w:jc w:val="right"/>
            </w:pPr>
            <w:r w:rsidRPr="005B0796">
              <w:t>201</w:t>
            </w:r>
          </w:p>
        </w:tc>
        <w:tc>
          <w:tcPr>
            <w:tcW w:w="961" w:type="dxa"/>
            <w:hideMark/>
          </w:tcPr>
          <w:p w14:paraId="40C876A2" w14:textId="77777777" w:rsidR="00B903A5" w:rsidRPr="005B0796" w:rsidRDefault="00B903A5" w:rsidP="00594252">
            <w:pPr>
              <w:pStyle w:val="TableText"/>
              <w:jc w:val="right"/>
            </w:pPr>
            <w:r w:rsidRPr="005B0796">
              <w:t>2.4</w:t>
            </w:r>
          </w:p>
        </w:tc>
        <w:tc>
          <w:tcPr>
            <w:tcW w:w="962" w:type="dxa"/>
            <w:hideMark/>
          </w:tcPr>
          <w:p w14:paraId="657BEDC1" w14:textId="77777777" w:rsidR="00B903A5" w:rsidRPr="005B0796" w:rsidRDefault="00B903A5" w:rsidP="00594252">
            <w:pPr>
              <w:pStyle w:val="TableText"/>
              <w:jc w:val="right"/>
            </w:pPr>
            <w:r w:rsidRPr="005B0796">
              <w:t xml:space="preserve"> (2.1 </w:t>
            </w:r>
            <w:r>
              <w:t>–</w:t>
            </w:r>
            <w:r w:rsidRPr="005B0796">
              <w:t xml:space="preserve"> 2.7) </w:t>
            </w:r>
          </w:p>
        </w:tc>
      </w:tr>
      <w:tr w:rsidR="00B903A5" w:rsidRPr="005B0796" w14:paraId="1C463951" w14:textId="77777777" w:rsidTr="00D268F6">
        <w:trPr>
          <w:cantSplit/>
        </w:trPr>
        <w:tc>
          <w:tcPr>
            <w:tcW w:w="1548" w:type="dxa"/>
            <w:hideMark/>
          </w:tcPr>
          <w:p w14:paraId="301DB78F" w14:textId="77777777" w:rsidR="00B903A5" w:rsidRPr="005B0796" w:rsidRDefault="00B903A5" w:rsidP="00594252">
            <w:pPr>
              <w:pStyle w:val="TableText"/>
              <w:rPr>
                <w:b/>
              </w:rPr>
            </w:pPr>
            <w:r w:rsidRPr="005B0796">
              <w:rPr>
                <w:b/>
              </w:rPr>
              <w:t>Sex</w:t>
            </w:r>
          </w:p>
        </w:tc>
        <w:tc>
          <w:tcPr>
            <w:tcW w:w="961" w:type="dxa"/>
          </w:tcPr>
          <w:p w14:paraId="7F17AF3A" w14:textId="77777777" w:rsidR="00B903A5" w:rsidRPr="005B0796" w:rsidRDefault="00B903A5" w:rsidP="00594252">
            <w:pPr>
              <w:pStyle w:val="TableText"/>
              <w:jc w:val="right"/>
            </w:pPr>
          </w:p>
        </w:tc>
        <w:tc>
          <w:tcPr>
            <w:tcW w:w="961" w:type="dxa"/>
          </w:tcPr>
          <w:p w14:paraId="4AAA52CF" w14:textId="77777777" w:rsidR="00B903A5" w:rsidRPr="005B0796" w:rsidRDefault="00B903A5" w:rsidP="00594252">
            <w:pPr>
              <w:pStyle w:val="TableText"/>
              <w:jc w:val="right"/>
            </w:pPr>
          </w:p>
        </w:tc>
        <w:tc>
          <w:tcPr>
            <w:tcW w:w="961" w:type="dxa"/>
          </w:tcPr>
          <w:p w14:paraId="0337AA17" w14:textId="77777777" w:rsidR="00B903A5" w:rsidRPr="005B0796" w:rsidRDefault="00B903A5" w:rsidP="00594252">
            <w:pPr>
              <w:pStyle w:val="TableText"/>
              <w:jc w:val="right"/>
            </w:pPr>
          </w:p>
        </w:tc>
        <w:tc>
          <w:tcPr>
            <w:tcW w:w="961" w:type="dxa"/>
          </w:tcPr>
          <w:p w14:paraId="0984F47F" w14:textId="77777777" w:rsidR="00B903A5" w:rsidRPr="005B0796" w:rsidRDefault="00B903A5" w:rsidP="00594252">
            <w:pPr>
              <w:pStyle w:val="TableText"/>
              <w:jc w:val="right"/>
            </w:pPr>
          </w:p>
        </w:tc>
        <w:tc>
          <w:tcPr>
            <w:tcW w:w="961" w:type="dxa"/>
          </w:tcPr>
          <w:p w14:paraId="4CA47232" w14:textId="77777777" w:rsidR="00B903A5" w:rsidRPr="005B0796" w:rsidRDefault="00B903A5" w:rsidP="00594252">
            <w:pPr>
              <w:pStyle w:val="TableText"/>
              <w:jc w:val="right"/>
            </w:pPr>
          </w:p>
        </w:tc>
        <w:tc>
          <w:tcPr>
            <w:tcW w:w="962" w:type="dxa"/>
          </w:tcPr>
          <w:p w14:paraId="5BBDD2A0" w14:textId="77777777" w:rsidR="00B903A5" w:rsidRPr="005B0796" w:rsidRDefault="00B903A5" w:rsidP="00594252">
            <w:pPr>
              <w:pStyle w:val="TableText"/>
              <w:jc w:val="right"/>
            </w:pPr>
          </w:p>
        </w:tc>
      </w:tr>
      <w:tr w:rsidR="00B903A5" w:rsidRPr="005B0796" w14:paraId="6FBEA8F8"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D118F33" w14:textId="77777777" w:rsidR="00B903A5" w:rsidRPr="005B0796" w:rsidRDefault="00B903A5" w:rsidP="00594252">
            <w:pPr>
              <w:pStyle w:val="TableText"/>
              <w:ind w:left="144"/>
            </w:pPr>
            <w:r w:rsidRPr="005B0796">
              <w:t>Male</w:t>
            </w:r>
          </w:p>
        </w:tc>
        <w:tc>
          <w:tcPr>
            <w:tcW w:w="961" w:type="dxa"/>
            <w:hideMark/>
          </w:tcPr>
          <w:p w14:paraId="35AF68E7" w14:textId="77777777" w:rsidR="00B903A5" w:rsidRPr="005B0796" w:rsidRDefault="00B903A5" w:rsidP="00594252">
            <w:pPr>
              <w:pStyle w:val="TableText"/>
              <w:jc w:val="right"/>
            </w:pPr>
            <w:r w:rsidRPr="005B0796">
              <w:t>3646</w:t>
            </w:r>
          </w:p>
        </w:tc>
        <w:tc>
          <w:tcPr>
            <w:tcW w:w="961" w:type="dxa"/>
            <w:hideMark/>
          </w:tcPr>
          <w:p w14:paraId="25582370" w14:textId="77777777" w:rsidR="00B903A5" w:rsidRPr="005B0796" w:rsidRDefault="00B903A5" w:rsidP="00594252">
            <w:pPr>
              <w:pStyle w:val="TableText"/>
              <w:jc w:val="right"/>
            </w:pPr>
            <w:r w:rsidRPr="005B0796">
              <w:t>84.3</w:t>
            </w:r>
          </w:p>
        </w:tc>
        <w:tc>
          <w:tcPr>
            <w:tcW w:w="961" w:type="dxa"/>
            <w:hideMark/>
          </w:tcPr>
          <w:p w14:paraId="41543809" w14:textId="77777777" w:rsidR="00B903A5" w:rsidRPr="005B0796" w:rsidRDefault="00B903A5" w:rsidP="00594252">
            <w:pPr>
              <w:pStyle w:val="TableText"/>
              <w:jc w:val="right"/>
            </w:pPr>
            <w:r w:rsidRPr="005B0796">
              <w:t xml:space="preserve"> (83.2 </w:t>
            </w:r>
            <w:r>
              <w:t>–</w:t>
            </w:r>
            <w:r w:rsidRPr="005B0796">
              <w:t xml:space="preserve"> 85.3) </w:t>
            </w:r>
          </w:p>
        </w:tc>
        <w:tc>
          <w:tcPr>
            <w:tcW w:w="961" w:type="dxa"/>
            <w:hideMark/>
          </w:tcPr>
          <w:p w14:paraId="56F67B86" w14:textId="77777777" w:rsidR="00B903A5" w:rsidRPr="005B0796" w:rsidRDefault="00B903A5" w:rsidP="00594252">
            <w:pPr>
              <w:pStyle w:val="TableText"/>
              <w:jc w:val="right"/>
            </w:pPr>
            <w:r w:rsidRPr="005B0796">
              <w:t>6693</w:t>
            </w:r>
          </w:p>
        </w:tc>
        <w:tc>
          <w:tcPr>
            <w:tcW w:w="961" w:type="dxa"/>
            <w:hideMark/>
          </w:tcPr>
          <w:p w14:paraId="48ED9DBE" w14:textId="77777777" w:rsidR="00B903A5" w:rsidRPr="005B0796" w:rsidRDefault="00B903A5" w:rsidP="00594252">
            <w:pPr>
              <w:pStyle w:val="TableText"/>
              <w:jc w:val="right"/>
            </w:pPr>
            <w:r w:rsidRPr="005B0796">
              <w:t>78.9</w:t>
            </w:r>
          </w:p>
        </w:tc>
        <w:tc>
          <w:tcPr>
            <w:tcW w:w="962" w:type="dxa"/>
            <w:hideMark/>
          </w:tcPr>
          <w:p w14:paraId="5EC96899" w14:textId="77777777" w:rsidR="00B903A5" w:rsidRPr="005B0796" w:rsidRDefault="00B903A5" w:rsidP="00594252">
            <w:pPr>
              <w:pStyle w:val="TableText"/>
              <w:jc w:val="right"/>
            </w:pPr>
            <w:r w:rsidRPr="005B0796">
              <w:t xml:space="preserve"> (78.0 </w:t>
            </w:r>
            <w:r>
              <w:t>–</w:t>
            </w:r>
            <w:r w:rsidRPr="005B0796">
              <w:t xml:space="preserve"> 79.8) </w:t>
            </w:r>
          </w:p>
        </w:tc>
      </w:tr>
      <w:tr w:rsidR="00B903A5" w:rsidRPr="005B0796" w14:paraId="55E67768" w14:textId="77777777" w:rsidTr="00D268F6">
        <w:trPr>
          <w:cantSplit/>
        </w:trPr>
        <w:tc>
          <w:tcPr>
            <w:tcW w:w="1548" w:type="dxa"/>
            <w:hideMark/>
          </w:tcPr>
          <w:p w14:paraId="006527CF" w14:textId="77777777" w:rsidR="00B903A5" w:rsidRPr="005B0796" w:rsidRDefault="00B903A5" w:rsidP="00594252">
            <w:pPr>
              <w:pStyle w:val="TableText"/>
              <w:ind w:left="144"/>
            </w:pPr>
            <w:r w:rsidRPr="005B0796">
              <w:t>Female</w:t>
            </w:r>
          </w:p>
        </w:tc>
        <w:tc>
          <w:tcPr>
            <w:tcW w:w="961" w:type="dxa"/>
            <w:hideMark/>
          </w:tcPr>
          <w:p w14:paraId="43B4F176" w14:textId="77777777" w:rsidR="00B903A5" w:rsidRPr="005B0796" w:rsidRDefault="00B903A5" w:rsidP="00594252">
            <w:pPr>
              <w:pStyle w:val="TableText"/>
              <w:jc w:val="right"/>
            </w:pPr>
            <w:r w:rsidRPr="005B0796">
              <w:t>680</w:t>
            </w:r>
          </w:p>
        </w:tc>
        <w:tc>
          <w:tcPr>
            <w:tcW w:w="961" w:type="dxa"/>
            <w:hideMark/>
          </w:tcPr>
          <w:p w14:paraId="0FA01DBA" w14:textId="77777777" w:rsidR="00B903A5" w:rsidRPr="005B0796" w:rsidRDefault="00B903A5" w:rsidP="00594252">
            <w:pPr>
              <w:pStyle w:val="TableText"/>
              <w:jc w:val="right"/>
            </w:pPr>
            <w:r w:rsidRPr="005B0796">
              <w:t>15.7</w:t>
            </w:r>
          </w:p>
        </w:tc>
        <w:tc>
          <w:tcPr>
            <w:tcW w:w="961" w:type="dxa"/>
            <w:hideMark/>
          </w:tcPr>
          <w:p w14:paraId="0CA132FA" w14:textId="77777777" w:rsidR="00B903A5" w:rsidRPr="005B0796" w:rsidRDefault="00B903A5" w:rsidP="00594252">
            <w:pPr>
              <w:pStyle w:val="TableText"/>
              <w:jc w:val="right"/>
            </w:pPr>
            <w:r w:rsidRPr="005B0796">
              <w:t xml:space="preserve"> (14.7 </w:t>
            </w:r>
            <w:r>
              <w:t>–</w:t>
            </w:r>
            <w:r w:rsidRPr="005B0796">
              <w:t xml:space="preserve"> 16.8) </w:t>
            </w:r>
          </w:p>
        </w:tc>
        <w:tc>
          <w:tcPr>
            <w:tcW w:w="961" w:type="dxa"/>
            <w:hideMark/>
          </w:tcPr>
          <w:p w14:paraId="1F2D6276" w14:textId="77777777" w:rsidR="00B903A5" w:rsidRPr="005B0796" w:rsidRDefault="00B903A5" w:rsidP="00594252">
            <w:pPr>
              <w:pStyle w:val="TableText"/>
              <w:jc w:val="right"/>
            </w:pPr>
            <w:r w:rsidRPr="005B0796">
              <w:t>1787</w:t>
            </w:r>
          </w:p>
        </w:tc>
        <w:tc>
          <w:tcPr>
            <w:tcW w:w="961" w:type="dxa"/>
            <w:hideMark/>
          </w:tcPr>
          <w:p w14:paraId="2B2700D7" w14:textId="77777777" w:rsidR="00B903A5" w:rsidRPr="005B0796" w:rsidRDefault="00B903A5" w:rsidP="00594252">
            <w:pPr>
              <w:pStyle w:val="TableText"/>
              <w:jc w:val="right"/>
            </w:pPr>
            <w:r w:rsidRPr="005B0796">
              <w:t>21.1</w:t>
            </w:r>
          </w:p>
        </w:tc>
        <w:tc>
          <w:tcPr>
            <w:tcW w:w="962" w:type="dxa"/>
            <w:hideMark/>
          </w:tcPr>
          <w:p w14:paraId="125805E2" w14:textId="77777777" w:rsidR="00B903A5" w:rsidRPr="005B0796" w:rsidRDefault="00B903A5" w:rsidP="00594252">
            <w:pPr>
              <w:pStyle w:val="TableText"/>
              <w:jc w:val="right"/>
            </w:pPr>
            <w:r w:rsidRPr="005B0796">
              <w:t xml:space="preserve"> (20.2 </w:t>
            </w:r>
            <w:r>
              <w:t>–</w:t>
            </w:r>
            <w:r w:rsidRPr="005B0796">
              <w:t xml:space="preserve"> 22.0) </w:t>
            </w:r>
          </w:p>
        </w:tc>
      </w:tr>
      <w:tr w:rsidR="00B903A5" w:rsidRPr="005B0796" w14:paraId="7D712F4C"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057FB57D" w14:textId="77777777" w:rsidR="00B903A5" w:rsidRPr="005B0796" w:rsidRDefault="00B903A5" w:rsidP="00594252">
            <w:pPr>
              <w:pStyle w:val="TableText"/>
              <w:rPr>
                <w:b/>
              </w:rPr>
            </w:pPr>
            <w:r w:rsidRPr="005B0796">
              <w:rPr>
                <w:b/>
              </w:rPr>
              <w:t>Rank</w:t>
            </w:r>
          </w:p>
        </w:tc>
        <w:tc>
          <w:tcPr>
            <w:tcW w:w="961" w:type="dxa"/>
          </w:tcPr>
          <w:p w14:paraId="0F6234AF" w14:textId="77777777" w:rsidR="00B903A5" w:rsidRPr="005B0796" w:rsidRDefault="00B903A5" w:rsidP="00594252">
            <w:pPr>
              <w:pStyle w:val="TableText"/>
              <w:jc w:val="right"/>
              <w:rPr>
                <w:rFonts w:cs="Arial"/>
              </w:rPr>
            </w:pPr>
          </w:p>
        </w:tc>
        <w:tc>
          <w:tcPr>
            <w:tcW w:w="961" w:type="dxa"/>
          </w:tcPr>
          <w:p w14:paraId="458BE0DC" w14:textId="77777777" w:rsidR="00B903A5" w:rsidRPr="005B0796" w:rsidRDefault="00B903A5" w:rsidP="00594252">
            <w:pPr>
              <w:pStyle w:val="TableText"/>
              <w:jc w:val="right"/>
              <w:rPr>
                <w:rFonts w:cs="Arial"/>
                <w:color w:val="000000" w:themeColor="text1"/>
              </w:rPr>
            </w:pPr>
          </w:p>
        </w:tc>
        <w:tc>
          <w:tcPr>
            <w:tcW w:w="961" w:type="dxa"/>
          </w:tcPr>
          <w:p w14:paraId="223E361C" w14:textId="77777777" w:rsidR="00B903A5" w:rsidRPr="005B0796" w:rsidRDefault="00B903A5" w:rsidP="00594252">
            <w:pPr>
              <w:pStyle w:val="TableText"/>
              <w:jc w:val="right"/>
              <w:rPr>
                <w:rFonts w:cs="Arial"/>
              </w:rPr>
            </w:pPr>
          </w:p>
        </w:tc>
        <w:tc>
          <w:tcPr>
            <w:tcW w:w="961" w:type="dxa"/>
          </w:tcPr>
          <w:p w14:paraId="47AE9003" w14:textId="77777777" w:rsidR="00B903A5" w:rsidRPr="005B0796" w:rsidRDefault="00B903A5" w:rsidP="00594252">
            <w:pPr>
              <w:pStyle w:val="TableText"/>
              <w:jc w:val="right"/>
              <w:rPr>
                <w:rFonts w:cs="Arial"/>
                <w:color w:val="000000" w:themeColor="text1"/>
              </w:rPr>
            </w:pPr>
          </w:p>
        </w:tc>
        <w:tc>
          <w:tcPr>
            <w:tcW w:w="961" w:type="dxa"/>
          </w:tcPr>
          <w:p w14:paraId="0ED793A4" w14:textId="77777777" w:rsidR="00B903A5" w:rsidRPr="005B0796" w:rsidRDefault="00B903A5" w:rsidP="00594252">
            <w:pPr>
              <w:pStyle w:val="TableText"/>
              <w:jc w:val="right"/>
              <w:rPr>
                <w:rFonts w:cs="Arial"/>
                <w:color w:val="000000" w:themeColor="text1"/>
              </w:rPr>
            </w:pPr>
          </w:p>
        </w:tc>
        <w:tc>
          <w:tcPr>
            <w:tcW w:w="962" w:type="dxa"/>
          </w:tcPr>
          <w:p w14:paraId="7F47B82A" w14:textId="77777777" w:rsidR="00B903A5" w:rsidRPr="005B0796" w:rsidRDefault="00B903A5" w:rsidP="00594252">
            <w:pPr>
              <w:pStyle w:val="TableText"/>
              <w:jc w:val="right"/>
              <w:rPr>
                <w:rFonts w:cs="Arial"/>
                <w:color w:val="000000" w:themeColor="text1"/>
              </w:rPr>
            </w:pPr>
          </w:p>
        </w:tc>
      </w:tr>
      <w:tr w:rsidR="00B903A5" w:rsidRPr="005B0796" w14:paraId="7E0425AC" w14:textId="77777777" w:rsidTr="00D268F6">
        <w:trPr>
          <w:cantSplit/>
        </w:trPr>
        <w:tc>
          <w:tcPr>
            <w:tcW w:w="1548" w:type="dxa"/>
            <w:hideMark/>
          </w:tcPr>
          <w:p w14:paraId="7A30632D" w14:textId="77777777" w:rsidR="00B903A5" w:rsidRPr="005B0796" w:rsidRDefault="00B903A5" w:rsidP="00594252">
            <w:pPr>
              <w:pStyle w:val="TableText"/>
              <w:ind w:left="144"/>
            </w:pPr>
            <w:r w:rsidRPr="005B0796">
              <w:t>OFFR</w:t>
            </w:r>
          </w:p>
        </w:tc>
        <w:tc>
          <w:tcPr>
            <w:tcW w:w="961" w:type="dxa"/>
            <w:hideMark/>
          </w:tcPr>
          <w:p w14:paraId="2D59BD32" w14:textId="77777777" w:rsidR="00B903A5" w:rsidRPr="005B0796" w:rsidRDefault="00B903A5" w:rsidP="00594252">
            <w:pPr>
              <w:pStyle w:val="TableText"/>
              <w:jc w:val="right"/>
            </w:pPr>
            <w:r w:rsidRPr="005B0796">
              <w:t>1259</w:t>
            </w:r>
          </w:p>
        </w:tc>
        <w:tc>
          <w:tcPr>
            <w:tcW w:w="961" w:type="dxa"/>
            <w:hideMark/>
          </w:tcPr>
          <w:p w14:paraId="66BBE6C7" w14:textId="77777777" w:rsidR="00B903A5" w:rsidRPr="005B0796" w:rsidRDefault="00B903A5" w:rsidP="00594252">
            <w:pPr>
              <w:pStyle w:val="TableText"/>
              <w:jc w:val="right"/>
            </w:pPr>
            <w:r w:rsidRPr="005B0796">
              <w:t>29.1</w:t>
            </w:r>
          </w:p>
        </w:tc>
        <w:tc>
          <w:tcPr>
            <w:tcW w:w="961" w:type="dxa"/>
            <w:hideMark/>
          </w:tcPr>
          <w:p w14:paraId="5191424C" w14:textId="77777777" w:rsidR="00B903A5" w:rsidRPr="005B0796" w:rsidRDefault="00B903A5" w:rsidP="00594252">
            <w:pPr>
              <w:pStyle w:val="TableText"/>
              <w:jc w:val="right"/>
            </w:pPr>
            <w:r w:rsidRPr="005B0796">
              <w:t xml:space="preserve"> (27.8 </w:t>
            </w:r>
            <w:r>
              <w:t>–</w:t>
            </w:r>
            <w:r w:rsidRPr="005B0796">
              <w:t xml:space="preserve"> 30.5) </w:t>
            </w:r>
          </w:p>
        </w:tc>
        <w:tc>
          <w:tcPr>
            <w:tcW w:w="961" w:type="dxa"/>
            <w:hideMark/>
          </w:tcPr>
          <w:p w14:paraId="4CA94DED" w14:textId="77777777" w:rsidR="00B903A5" w:rsidRPr="005B0796" w:rsidRDefault="00B903A5" w:rsidP="00594252">
            <w:pPr>
              <w:pStyle w:val="TableText"/>
              <w:jc w:val="right"/>
            </w:pPr>
            <w:r w:rsidRPr="005B0796">
              <w:t>3538</w:t>
            </w:r>
          </w:p>
        </w:tc>
        <w:tc>
          <w:tcPr>
            <w:tcW w:w="961" w:type="dxa"/>
            <w:hideMark/>
          </w:tcPr>
          <w:p w14:paraId="161F61A8" w14:textId="77777777" w:rsidR="00B903A5" w:rsidRPr="005B0796" w:rsidRDefault="00B903A5" w:rsidP="00594252">
            <w:pPr>
              <w:pStyle w:val="TableText"/>
              <w:jc w:val="right"/>
            </w:pPr>
            <w:r w:rsidRPr="005B0796">
              <w:t>41.7</w:t>
            </w:r>
          </w:p>
        </w:tc>
        <w:tc>
          <w:tcPr>
            <w:tcW w:w="962" w:type="dxa"/>
            <w:hideMark/>
          </w:tcPr>
          <w:p w14:paraId="4CF2145E" w14:textId="77777777" w:rsidR="00B903A5" w:rsidRPr="005B0796" w:rsidRDefault="00B903A5" w:rsidP="00594252">
            <w:pPr>
              <w:pStyle w:val="TableText"/>
              <w:jc w:val="right"/>
            </w:pPr>
            <w:r w:rsidRPr="005B0796">
              <w:t xml:space="preserve"> (40.7 </w:t>
            </w:r>
            <w:r>
              <w:t>–</w:t>
            </w:r>
            <w:r w:rsidRPr="005B0796">
              <w:t xml:space="preserve"> 42.8) </w:t>
            </w:r>
          </w:p>
        </w:tc>
      </w:tr>
      <w:tr w:rsidR="00B903A5" w:rsidRPr="005B0796" w14:paraId="36E8C228"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00263B4A" w14:textId="77777777" w:rsidR="00B903A5" w:rsidRPr="005B0796" w:rsidRDefault="00B903A5" w:rsidP="00594252">
            <w:pPr>
              <w:pStyle w:val="TableText"/>
              <w:ind w:left="144"/>
            </w:pPr>
            <w:r w:rsidRPr="005B0796">
              <w:t>NCO</w:t>
            </w:r>
          </w:p>
        </w:tc>
        <w:tc>
          <w:tcPr>
            <w:tcW w:w="961" w:type="dxa"/>
            <w:hideMark/>
          </w:tcPr>
          <w:p w14:paraId="55BD267A" w14:textId="77777777" w:rsidR="00B903A5" w:rsidRPr="005B0796" w:rsidRDefault="00B903A5" w:rsidP="00594252">
            <w:pPr>
              <w:pStyle w:val="TableText"/>
              <w:jc w:val="right"/>
            </w:pPr>
            <w:r w:rsidRPr="005B0796">
              <w:t>2097</w:t>
            </w:r>
          </w:p>
        </w:tc>
        <w:tc>
          <w:tcPr>
            <w:tcW w:w="961" w:type="dxa"/>
            <w:hideMark/>
          </w:tcPr>
          <w:p w14:paraId="5479F0AF" w14:textId="77777777" w:rsidR="00B903A5" w:rsidRPr="005B0796" w:rsidRDefault="00B903A5" w:rsidP="00594252">
            <w:pPr>
              <w:pStyle w:val="TableText"/>
              <w:jc w:val="right"/>
            </w:pPr>
            <w:r w:rsidRPr="005B0796">
              <w:t>48.5</w:t>
            </w:r>
          </w:p>
        </w:tc>
        <w:tc>
          <w:tcPr>
            <w:tcW w:w="961" w:type="dxa"/>
            <w:hideMark/>
          </w:tcPr>
          <w:p w14:paraId="6513540C" w14:textId="77777777" w:rsidR="00B903A5" w:rsidRPr="005B0796" w:rsidRDefault="00B903A5" w:rsidP="00594252">
            <w:pPr>
              <w:pStyle w:val="TableText"/>
              <w:jc w:val="right"/>
            </w:pPr>
            <w:r w:rsidRPr="005B0796">
              <w:t xml:space="preserve"> (47.0 </w:t>
            </w:r>
            <w:r>
              <w:t>–</w:t>
            </w:r>
            <w:r w:rsidRPr="005B0796">
              <w:t xml:space="preserve"> 50.0) </w:t>
            </w:r>
          </w:p>
        </w:tc>
        <w:tc>
          <w:tcPr>
            <w:tcW w:w="961" w:type="dxa"/>
            <w:hideMark/>
          </w:tcPr>
          <w:p w14:paraId="318C2E78" w14:textId="77777777" w:rsidR="00B903A5" w:rsidRPr="005B0796" w:rsidRDefault="00B903A5" w:rsidP="00594252">
            <w:pPr>
              <w:pStyle w:val="TableText"/>
              <w:jc w:val="right"/>
            </w:pPr>
            <w:r w:rsidRPr="005B0796">
              <w:t>4336</w:t>
            </w:r>
          </w:p>
        </w:tc>
        <w:tc>
          <w:tcPr>
            <w:tcW w:w="961" w:type="dxa"/>
            <w:hideMark/>
          </w:tcPr>
          <w:p w14:paraId="69DF90D3" w14:textId="77777777" w:rsidR="00B903A5" w:rsidRPr="005B0796" w:rsidRDefault="00B903A5" w:rsidP="00594252">
            <w:pPr>
              <w:pStyle w:val="TableText"/>
              <w:jc w:val="right"/>
            </w:pPr>
            <w:r w:rsidRPr="005B0796">
              <w:t>51.1</w:t>
            </w:r>
          </w:p>
        </w:tc>
        <w:tc>
          <w:tcPr>
            <w:tcW w:w="962" w:type="dxa"/>
            <w:hideMark/>
          </w:tcPr>
          <w:p w14:paraId="40C3E9AF" w14:textId="77777777" w:rsidR="00B903A5" w:rsidRPr="005B0796" w:rsidRDefault="00B903A5" w:rsidP="00594252">
            <w:pPr>
              <w:pStyle w:val="TableText"/>
              <w:jc w:val="right"/>
            </w:pPr>
            <w:r w:rsidRPr="005B0796">
              <w:t xml:space="preserve"> (50.1 </w:t>
            </w:r>
            <w:r>
              <w:t>–</w:t>
            </w:r>
            <w:r w:rsidRPr="005B0796">
              <w:t xml:space="preserve"> 52.2) </w:t>
            </w:r>
          </w:p>
        </w:tc>
      </w:tr>
      <w:tr w:rsidR="00B903A5" w:rsidRPr="005B0796" w14:paraId="31488F8C" w14:textId="77777777" w:rsidTr="00D268F6">
        <w:trPr>
          <w:cantSplit/>
        </w:trPr>
        <w:tc>
          <w:tcPr>
            <w:tcW w:w="1548" w:type="dxa"/>
            <w:hideMark/>
          </w:tcPr>
          <w:p w14:paraId="1A6D3B5F" w14:textId="77777777" w:rsidR="00B903A5" w:rsidRPr="005B0796" w:rsidRDefault="00B903A5" w:rsidP="00594252">
            <w:pPr>
              <w:pStyle w:val="TableText"/>
              <w:ind w:left="144"/>
            </w:pPr>
            <w:r w:rsidRPr="005B0796">
              <w:t>Other Ranks</w:t>
            </w:r>
          </w:p>
        </w:tc>
        <w:tc>
          <w:tcPr>
            <w:tcW w:w="961" w:type="dxa"/>
            <w:hideMark/>
          </w:tcPr>
          <w:p w14:paraId="6B8B5FE2" w14:textId="77777777" w:rsidR="00B903A5" w:rsidRPr="005B0796" w:rsidRDefault="00B903A5" w:rsidP="00594252">
            <w:pPr>
              <w:pStyle w:val="TableText"/>
              <w:jc w:val="right"/>
            </w:pPr>
            <w:r w:rsidRPr="005B0796">
              <w:t>970</w:t>
            </w:r>
          </w:p>
        </w:tc>
        <w:tc>
          <w:tcPr>
            <w:tcW w:w="961" w:type="dxa"/>
            <w:hideMark/>
          </w:tcPr>
          <w:p w14:paraId="5CEA6007" w14:textId="77777777" w:rsidR="00B903A5" w:rsidRPr="005B0796" w:rsidRDefault="00B903A5" w:rsidP="00594252">
            <w:pPr>
              <w:pStyle w:val="TableText"/>
              <w:jc w:val="right"/>
            </w:pPr>
            <w:r w:rsidRPr="005B0796">
              <w:t>22.4</w:t>
            </w:r>
          </w:p>
        </w:tc>
        <w:tc>
          <w:tcPr>
            <w:tcW w:w="961" w:type="dxa"/>
            <w:hideMark/>
          </w:tcPr>
          <w:p w14:paraId="2672E15C" w14:textId="77777777" w:rsidR="00B903A5" w:rsidRPr="005B0796" w:rsidRDefault="00B903A5" w:rsidP="00594252">
            <w:pPr>
              <w:pStyle w:val="TableText"/>
              <w:jc w:val="right"/>
            </w:pPr>
            <w:r w:rsidRPr="005B0796">
              <w:t xml:space="preserve"> (21.2 </w:t>
            </w:r>
            <w:r>
              <w:t>–</w:t>
            </w:r>
            <w:r w:rsidRPr="005B0796">
              <w:t xml:space="preserve"> 23.7) </w:t>
            </w:r>
          </w:p>
        </w:tc>
        <w:tc>
          <w:tcPr>
            <w:tcW w:w="961" w:type="dxa"/>
            <w:hideMark/>
          </w:tcPr>
          <w:p w14:paraId="203C40B8" w14:textId="77777777" w:rsidR="00B903A5" w:rsidRPr="005B0796" w:rsidRDefault="00B903A5" w:rsidP="00594252">
            <w:pPr>
              <w:pStyle w:val="TableText"/>
              <w:jc w:val="right"/>
            </w:pPr>
            <w:r w:rsidRPr="005B0796">
              <w:t>606</w:t>
            </w:r>
          </w:p>
        </w:tc>
        <w:tc>
          <w:tcPr>
            <w:tcW w:w="961" w:type="dxa"/>
            <w:hideMark/>
          </w:tcPr>
          <w:p w14:paraId="428B9275" w14:textId="77777777" w:rsidR="00B903A5" w:rsidRPr="005B0796" w:rsidRDefault="00B903A5" w:rsidP="00594252">
            <w:pPr>
              <w:pStyle w:val="TableText"/>
              <w:jc w:val="right"/>
            </w:pPr>
            <w:r w:rsidRPr="005B0796">
              <w:t>7.2</w:t>
            </w:r>
          </w:p>
        </w:tc>
        <w:tc>
          <w:tcPr>
            <w:tcW w:w="962" w:type="dxa"/>
            <w:hideMark/>
          </w:tcPr>
          <w:p w14:paraId="7F7E7482" w14:textId="77777777" w:rsidR="00B903A5" w:rsidRPr="005B0796" w:rsidRDefault="00B903A5" w:rsidP="00594252">
            <w:pPr>
              <w:pStyle w:val="TableText"/>
              <w:jc w:val="right"/>
            </w:pPr>
            <w:r w:rsidRPr="005B0796">
              <w:t xml:space="preserve"> (6.6 </w:t>
            </w:r>
            <w:r>
              <w:t>–</w:t>
            </w:r>
            <w:r w:rsidRPr="005B0796">
              <w:t xml:space="preserve"> 7.7) </w:t>
            </w:r>
          </w:p>
        </w:tc>
      </w:tr>
      <w:tr w:rsidR="00B903A5" w:rsidRPr="005B0796" w14:paraId="173C0FC2"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7B7AC20" w14:textId="77777777" w:rsidR="00B903A5" w:rsidRPr="005B0796" w:rsidRDefault="00B903A5" w:rsidP="00594252">
            <w:pPr>
              <w:pStyle w:val="TableText"/>
            </w:pPr>
            <w:r w:rsidRPr="005B0796">
              <w:rPr>
                <w:b/>
              </w:rPr>
              <w:t>Service</w:t>
            </w:r>
          </w:p>
        </w:tc>
        <w:tc>
          <w:tcPr>
            <w:tcW w:w="961" w:type="dxa"/>
          </w:tcPr>
          <w:p w14:paraId="6C531F4A" w14:textId="77777777" w:rsidR="00B903A5" w:rsidRPr="005B0796" w:rsidRDefault="00B903A5" w:rsidP="00594252">
            <w:pPr>
              <w:pStyle w:val="TableText"/>
              <w:jc w:val="right"/>
            </w:pPr>
          </w:p>
        </w:tc>
        <w:tc>
          <w:tcPr>
            <w:tcW w:w="961" w:type="dxa"/>
          </w:tcPr>
          <w:p w14:paraId="4BE447A7" w14:textId="77777777" w:rsidR="00B903A5" w:rsidRPr="005B0796" w:rsidRDefault="00B903A5" w:rsidP="00594252">
            <w:pPr>
              <w:pStyle w:val="TableText"/>
              <w:jc w:val="right"/>
            </w:pPr>
          </w:p>
        </w:tc>
        <w:tc>
          <w:tcPr>
            <w:tcW w:w="961" w:type="dxa"/>
          </w:tcPr>
          <w:p w14:paraId="0F9DAF8E" w14:textId="77777777" w:rsidR="00B903A5" w:rsidRPr="005B0796" w:rsidRDefault="00B903A5" w:rsidP="00594252">
            <w:pPr>
              <w:pStyle w:val="TableText"/>
              <w:jc w:val="right"/>
            </w:pPr>
          </w:p>
        </w:tc>
        <w:tc>
          <w:tcPr>
            <w:tcW w:w="961" w:type="dxa"/>
          </w:tcPr>
          <w:p w14:paraId="2F64A4EB" w14:textId="77777777" w:rsidR="00B903A5" w:rsidRPr="005B0796" w:rsidRDefault="00B903A5" w:rsidP="00594252">
            <w:pPr>
              <w:pStyle w:val="TableText"/>
              <w:jc w:val="right"/>
            </w:pPr>
          </w:p>
        </w:tc>
        <w:tc>
          <w:tcPr>
            <w:tcW w:w="961" w:type="dxa"/>
          </w:tcPr>
          <w:p w14:paraId="4317860A" w14:textId="77777777" w:rsidR="00B903A5" w:rsidRPr="005B0796" w:rsidRDefault="00B903A5" w:rsidP="00594252">
            <w:pPr>
              <w:pStyle w:val="TableText"/>
              <w:jc w:val="right"/>
            </w:pPr>
          </w:p>
        </w:tc>
        <w:tc>
          <w:tcPr>
            <w:tcW w:w="962" w:type="dxa"/>
          </w:tcPr>
          <w:p w14:paraId="787E1016" w14:textId="77777777" w:rsidR="00B903A5" w:rsidRPr="005B0796" w:rsidRDefault="00B903A5" w:rsidP="00594252">
            <w:pPr>
              <w:pStyle w:val="TableText"/>
              <w:jc w:val="right"/>
            </w:pPr>
          </w:p>
        </w:tc>
      </w:tr>
      <w:tr w:rsidR="00B903A5" w:rsidRPr="005B0796" w14:paraId="237B1198" w14:textId="77777777" w:rsidTr="00D268F6">
        <w:trPr>
          <w:cantSplit/>
        </w:trPr>
        <w:tc>
          <w:tcPr>
            <w:tcW w:w="1548" w:type="dxa"/>
            <w:hideMark/>
          </w:tcPr>
          <w:p w14:paraId="76355160" w14:textId="77777777" w:rsidR="00B903A5" w:rsidRPr="005B0796" w:rsidRDefault="00B903A5" w:rsidP="00594252">
            <w:pPr>
              <w:pStyle w:val="TableText"/>
              <w:ind w:left="144"/>
            </w:pPr>
            <w:r w:rsidRPr="005B0796">
              <w:t>Navy</w:t>
            </w:r>
          </w:p>
        </w:tc>
        <w:tc>
          <w:tcPr>
            <w:tcW w:w="961" w:type="dxa"/>
            <w:hideMark/>
          </w:tcPr>
          <w:p w14:paraId="767FD026" w14:textId="77777777" w:rsidR="00B903A5" w:rsidRPr="005B0796" w:rsidRDefault="00B903A5" w:rsidP="00594252">
            <w:pPr>
              <w:pStyle w:val="TableText"/>
              <w:jc w:val="right"/>
            </w:pPr>
            <w:r w:rsidRPr="005B0796">
              <w:t>863</w:t>
            </w:r>
          </w:p>
        </w:tc>
        <w:tc>
          <w:tcPr>
            <w:tcW w:w="961" w:type="dxa"/>
            <w:hideMark/>
          </w:tcPr>
          <w:p w14:paraId="206140CF" w14:textId="77777777" w:rsidR="00B903A5" w:rsidRPr="005B0796" w:rsidRDefault="00B903A5" w:rsidP="00594252">
            <w:pPr>
              <w:pStyle w:val="TableText"/>
              <w:jc w:val="right"/>
            </w:pPr>
            <w:r w:rsidRPr="005B0796">
              <w:t>20.0</w:t>
            </w:r>
          </w:p>
        </w:tc>
        <w:tc>
          <w:tcPr>
            <w:tcW w:w="961" w:type="dxa"/>
            <w:hideMark/>
          </w:tcPr>
          <w:p w14:paraId="4E001A8B" w14:textId="77777777" w:rsidR="00B903A5" w:rsidRPr="005B0796" w:rsidRDefault="00B903A5" w:rsidP="00594252">
            <w:pPr>
              <w:pStyle w:val="TableText"/>
              <w:jc w:val="right"/>
            </w:pPr>
            <w:r w:rsidRPr="005B0796">
              <w:t xml:space="preserve"> (18.8 </w:t>
            </w:r>
            <w:r>
              <w:t>–</w:t>
            </w:r>
            <w:r w:rsidRPr="005B0796">
              <w:t xml:space="preserve"> 21.2) </w:t>
            </w:r>
          </w:p>
        </w:tc>
        <w:tc>
          <w:tcPr>
            <w:tcW w:w="961" w:type="dxa"/>
            <w:hideMark/>
          </w:tcPr>
          <w:p w14:paraId="75071C10" w14:textId="77777777" w:rsidR="00B903A5" w:rsidRPr="005B0796" w:rsidRDefault="00B903A5" w:rsidP="00594252">
            <w:pPr>
              <w:pStyle w:val="TableText"/>
              <w:jc w:val="right"/>
            </w:pPr>
            <w:r w:rsidRPr="005B0796">
              <w:t>2940</w:t>
            </w:r>
          </w:p>
        </w:tc>
        <w:tc>
          <w:tcPr>
            <w:tcW w:w="961" w:type="dxa"/>
            <w:hideMark/>
          </w:tcPr>
          <w:p w14:paraId="2CCC7C49" w14:textId="77777777" w:rsidR="00B903A5" w:rsidRPr="005B0796" w:rsidRDefault="00B903A5" w:rsidP="00594252">
            <w:pPr>
              <w:pStyle w:val="TableText"/>
              <w:jc w:val="right"/>
            </w:pPr>
            <w:r w:rsidRPr="005B0796">
              <w:t>34.7</w:t>
            </w:r>
          </w:p>
        </w:tc>
        <w:tc>
          <w:tcPr>
            <w:tcW w:w="962" w:type="dxa"/>
            <w:hideMark/>
          </w:tcPr>
          <w:p w14:paraId="3BC8DAB4" w14:textId="77777777" w:rsidR="00B903A5" w:rsidRPr="005B0796" w:rsidRDefault="00B903A5" w:rsidP="00594252">
            <w:pPr>
              <w:pStyle w:val="TableText"/>
              <w:jc w:val="right"/>
            </w:pPr>
            <w:r w:rsidRPr="005B0796">
              <w:t xml:space="preserve"> (33.7 </w:t>
            </w:r>
            <w:r>
              <w:t>–</w:t>
            </w:r>
            <w:r w:rsidRPr="005B0796">
              <w:t xml:space="preserve"> 35.7) </w:t>
            </w:r>
          </w:p>
        </w:tc>
      </w:tr>
      <w:tr w:rsidR="00B903A5" w:rsidRPr="005B0796" w14:paraId="3535F32C"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35EC4C4" w14:textId="77777777" w:rsidR="00B903A5" w:rsidRPr="005B0796" w:rsidRDefault="00B903A5" w:rsidP="00594252">
            <w:pPr>
              <w:pStyle w:val="TableText"/>
              <w:ind w:left="144"/>
            </w:pPr>
            <w:r w:rsidRPr="005B0796">
              <w:t>Army</w:t>
            </w:r>
          </w:p>
        </w:tc>
        <w:tc>
          <w:tcPr>
            <w:tcW w:w="961" w:type="dxa"/>
            <w:hideMark/>
          </w:tcPr>
          <w:p w14:paraId="25AF7729" w14:textId="77777777" w:rsidR="00B903A5" w:rsidRPr="005B0796" w:rsidRDefault="00B903A5" w:rsidP="00594252">
            <w:pPr>
              <w:pStyle w:val="TableText"/>
              <w:jc w:val="right"/>
            </w:pPr>
            <w:r w:rsidRPr="005B0796">
              <w:t>2463</w:t>
            </w:r>
          </w:p>
        </w:tc>
        <w:tc>
          <w:tcPr>
            <w:tcW w:w="961" w:type="dxa"/>
            <w:hideMark/>
          </w:tcPr>
          <w:p w14:paraId="577B1F35" w14:textId="77777777" w:rsidR="00B903A5" w:rsidRPr="005B0796" w:rsidRDefault="00B903A5" w:rsidP="00594252">
            <w:pPr>
              <w:pStyle w:val="TableText"/>
              <w:jc w:val="right"/>
            </w:pPr>
            <w:r w:rsidRPr="005B0796">
              <w:t>56.9</w:t>
            </w:r>
          </w:p>
        </w:tc>
        <w:tc>
          <w:tcPr>
            <w:tcW w:w="961" w:type="dxa"/>
            <w:hideMark/>
          </w:tcPr>
          <w:p w14:paraId="296920C0" w14:textId="77777777" w:rsidR="00B903A5" w:rsidRPr="005B0796" w:rsidRDefault="00B903A5" w:rsidP="00594252">
            <w:pPr>
              <w:pStyle w:val="TableText"/>
              <w:jc w:val="right"/>
            </w:pPr>
            <w:r w:rsidRPr="005B0796">
              <w:t xml:space="preserve"> (55.5 </w:t>
            </w:r>
            <w:r>
              <w:t>–</w:t>
            </w:r>
            <w:r w:rsidRPr="005B0796">
              <w:t xml:space="preserve"> 58.4) </w:t>
            </w:r>
          </w:p>
        </w:tc>
        <w:tc>
          <w:tcPr>
            <w:tcW w:w="961" w:type="dxa"/>
            <w:hideMark/>
          </w:tcPr>
          <w:p w14:paraId="411A4030" w14:textId="77777777" w:rsidR="00B903A5" w:rsidRPr="005B0796" w:rsidRDefault="00B903A5" w:rsidP="00594252">
            <w:pPr>
              <w:pStyle w:val="TableText"/>
              <w:jc w:val="right"/>
            </w:pPr>
            <w:r w:rsidRPr="005B0796">
              <w:t>3500</w:t>
            </w:r>
          </w:p>
        </w:tc>
        <w:tc>
          <w:tcPr>
            <w:tcW w:w="961" w:type="dxa"/>
            <w:hideMark/>
          </w:tcPr>
          <w:p w14:paraId="271D547F" w14:textId="77777777" w:rsidR="00B903A5" w:rsidRPr="005B0796" w:rsidRDefault="00B903A5" w:rsidP="00594252">
            <w:pPr>
              <w:pStyle w:val="TableText"/>
              <w:jc w:val="right"/>
            </w:pPr>
            <w:r w:rsidRPr="005B0796">
              <w:t>41.3</w:t>
            </w:r>
          </w:p>
        </w:tc>
        <w:tc>
          <w:tcPr>
            <w:tcW w:w="962" w:type="dxa"/>
            <w:hideMark/>
          </w:tcPr>
          <w:p w14:paraId="2B3F448F" w14:textId="77777777" w:rsidR="00B903A5" w:rsidRPr="005B0796" w:rsidRDefault="00B903A5" w:rsidP="00594252">
            <w:pPr>
              <w:pStyle w:val="TableText"/>
              <w:jc w:val="right"/>
            </w:pPr>
            <w:r w:rsidRPr="005B0796">
              <w:t xml:space="preserve"> (40.2 </w:t>
            </w:r>
            <w:r>
              <w:t>–</w:t>
            </w:r>
            <w:r w:rsidRPr="005B0796">
              <w:t xml:space="preserve"> 42.3) </w:t>
            </w:r>
          </w:p>
        </w:tc>
      </w:tr>
      <w:tr w:rsidR="00B903A5" w:rsidRPr="005B0796" w14:paraId="0FBBD987" w14:textId="77777777" w:rsidTr="00D268F6">
        <w:trPr>
          <w:cantSplit/>
        </w:trPr>
        <w:tc>
          <w:tcPr>
            <w:tcW w:w="1548" w:type="dxa"/>
            <w:hideMark/>
          </w:tcPr>
          <w:p w14:paraId="71BEB4ED" w14:textId="77777777" w:rsidR="00B903A5" w:rsidRPr="005B0796" w:rsidRDefault="00B903A5" w:rsidP="00594252">
            <w:pPr>
              <w:pStyle w:val="TableText"/>
              <w:ind w:left="144"/>
            </w:pPr>
            <w:r w:rsidRPr="005B0796">
              <w:t>Air Force</w:t>
            </w:r>
          </w:p>
        </w:tc>
        <w:tc>
          <w:tcPr>
            <w:tcW w:w="961" w:type="dxa"/>
            <w:hideMark/>
          </w:tcPr>
          <w:p w14:paraId="3C2FCF0D" w14:textId="77777777" w:rsidR="00B903A5" w:rsidRPr="005B0796" w:rsidRDefault="00B903A5" w:rsidP="00594252">
            <w:pPr>
              <w:pStyle w:val="TableText"/>
              <w:jc w:val="right"/>
            </w:pPr>
            <w:r w:rsidRPr="005B0796">
              <w:t>1000</w:t>
            </w:r>
          </w:p>
        </w:tc>
        <w:tc>
          <w:tcPr>
            <w:tcW w:w="961" w:type="dxa"/>
            <w:hideMark/>
          </w:tcPr>
          <w:p w14:paraId="1126EF61" w14:textId="77777777" w:rsidR="00B903A5" w:rsidRPr="005B0796" w:rsidRDefault="00B903A5" w:rsidP="00594252">
            <w:pPr>
              <w:pStyle w:val="TableText"/>
              <w:jc w:val="right"/>
            </w:pPr>
            <w:r w:rsidRPr="005B0796">
              <w:t>23.1</w:t>
            </w:r>
          </w:p>
        </w:tc>
        <w:tc>
          <w:tcPr>
            <w:tcW w:w="961" w:type="dxa"/>
            <w:hideMark/>
          </w:tcPr>
          <w:p w14:paraId="1DBA24EC" w14:textId="77777777" w:rsidR="00B903A5" w:rsidRPr="005B0796" w:rsidRDefault="00B903A5" w:rsidP="00594252">
            <w:pPr>
              <w:pStyle w:val="TableText"/>
              <w:jc w:val="right"/>
            </w:pPr>
            <w:r w:rsidRPr="005B0796">
              <w:t xml:space="preserve"> (21.9 </w:t>
            </w:r>
            <w:r>
              <w:t>–</w:t>
            </w:r>
            <w:r w:rsidRPr="005B0796">
              <w:t xml:space="preserve"> 24.4) </w:t>
            </w:r>
          </w:p>
        </w:tc>
        <w:tc>
          <w:tcPr>
            <w:tcW w:w="961" w:type="dxa"/>
            <w:hideMark/>
          </w:tcPr>
          <w:p w14:paraId="09272C8F" w14:textId="77777777" w:rsidR="00B903A5" w:rsidRPr="005B0796" w:rsidRDefault="00B903A5" w:rsidP="00594252">
            <w:pPr>
              <w:pStyle w:val="TableText"/>
              <w:jc w:val="right"/>
            </w:pPr>
            <w:r w:rsidRPr="005B0796">
              <w:t>2040</w:t>
            </w:r>
          </w:p>
        </w:tc>
        <w:tc>
          <w:tcPr>
            <w:tcW w:w="961" w:type="dxa"/>
            <w:hideMark/>
          </w:tcPr>
          <w:p w14:paraId="3EE50D9E" w14:textId="77777777" w:rsidR="00B903A5" w:rsidRPr="005B0796" w:rsidRDefault="00B903A5" w:rsidP="00594252">
            <w:pPr>
              <w:pStyle w:val="TableText"/>
              <w:jc w:val="right"/>
            </w:pPr>
            <w:r w:rsidRPr="005B0796">
              <w:t>24.1</w:t>
            </w:r>
          </w:p>
        </w:tc>
        <w:tc>
          <w:tcPr>
            <w:tcW w:w="962" w:type="dxa"/>
            <w:hideMark/>
          </w:tcPr>
          <w:p w14:paraId="74482B8E" w14:textId="77777777" w:rsidR="00B903A5" w:rsidRPr="005B0796" w:rsidRDefault="00B903A5" w:rsidP="00594252">
            <w:pPr>
              <w:pStyle w:val="TableText"/>
              <w:jc w:val="right"/>
            </w:pPr>
            <w:r w:rsidRPr="005B0796">
              <w:t xml:space="preserve"> (23.2 </w:t>
            </w:r>
            <w:r>
              <w:t>–</w:t>
            </w:r>
            <w:r w:rsidRPr="005B0796">
              <w:t xml:space="preserve"> 25.0) </w:t>
            </w:r>
          </w:p>
        </w:tc>
      </w:tr>
      <w:tr w:rsidR="00B903A5" w:rsidRPr="005B0796" w14:paraId="4E0FD118"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494DC19" w14:textId="77777777" w:rsidR="00B903A5" w:rsidRPr="005B0796" w:rsidRDefault="00B903A5" w:rsidP="00594252">
            <w:pPr>
              <w:pStyle w:val="TableText"/>
            </w:pPr>
            <w:r w:rsidRPr="005B0796">
              <w:rPr>
                <w:b/>
              </w:rPr>
              <w:t>Medical fitness</w:t>
            </w:r>
          </w:p>
        </w:tc>
        <w:tc>
          <w:tcPr>
            <w:tcW w:w="961" w:type="dxa"/>
          </w:tcPr>
          <w:p w14:paraId="4DCC6C92" w14:textId="77777777" w:rsidR="00B903A5" w:rsidRPr="005B0796" w:rsidRDefault="00B903A5" w:rsidP="00594252">
            <w:pPr>
              <w:pStyle w:val="TableText"/>
              <w:jc w:val="right"/>
            </w:pPr>
          </w:p>
        </w:tc>
        <w:tc>
          <w:tcPr>
            <w:tcW w:w="961" w:type="dxa"/>
          </w:tcPr>
          <w:p w14:paraId="366DED70" w14:textId="77777777" w:rsidR="00B903A5" w:rsidRPr="005B0796" w:rsidRDefault="00B903A5" w:rsidP="00594252">
            <w:pPr>
              <w:pStyle w:val="TableText"/>
              <w:jc w:val="right"/>
            </w:pPr>
          </w:p>
        </w:tc>
        <w:tc>
          <w:tcPr>
            <w:tcW w:w="961" w:type="dxa"/>
          </w:tcPr>
          <w:p w14:paraId="323AB7B5" w14:textId="77777777" w:rsidR="00B903A5" w:rsidRPr="005B0796" w:rsidRDefault="00B903A5" w:rsidP="00594252">
            <w:pPr>
              <w:pStyle w:val="TableText"/>
              <w:jc w:val="right"/>
            </w:pPr>
          </w:p>
        </w:tc>
        <w:tc>
          <w:tcPr>
            <w:tcW w:w="961" w:type="dxa"/>
          </w:tcPr>
          <w:p w14:paraId="11A66250" w14:textId="77777777" w:rsidR="00B903A5" w:rsidRPr="005B0796" w:rsidRDefault="00B903A5" w:rsidP="00594252">
            <w:pPr>
              <w:pStyle w:val="TableText"/>
              <w:jc w:val="right"/>
            </w:pPr>
          </w:p>
        </w:tc>
        <w:tc>
          <w:tcPr>
            <w:tcW w:w="961" w:type="dxa"/>
          </w:tcPr>
          <w:p w14:paraId="37165C72" w14:textId="77777777" w:rsidR="00B903A5" w:rsidRPr="005B0796" w:rsidRDefault="00B903A5" w:rsidP="00594252">
            <w:pPr>
              <w:pStyle w:val="TableText"/>
              <w:jc w:val="right"/>
            </w:pPr>
          </w:p>
        </w:tc>
        <w:tc>
          <w:tcPr>
            <w:tcW w:w="962" w:type="dxa"/>
          </w:tcPr>
          <w:p w14:paraId="6FE562E5" w14:textId="77777777" w:rsidR="00B903A5" w:rsidRPr="005B0796" w:rsidRDefault="00B903A5" w:rsidP="00594252">
            <w:pPr>
              <w:pStyle w:val="TableText"/>
              <w:jc w:val="right"/>
            </w:pPr>
          </w:p>
        </w:tc>
      </w:tr>
      <w:tr w:rsidR="00B903A5" w:rsidRPr="005B0796" w14:paraId="1E68F3E9" w14:textId="77777777" w:rsidTr="00D268F6">
        <w:trPr>
          <w:cantSplit/>
        </w:trPr>
        <w:tc>
          <w:tcPr>
            <w:tcW w:w="1548" w:type="dxa"/>
            <w:hideMark/>
          </w:tcPr>
          <w:p w14:paraId="4FD560C2" w14:textId="77777777" w:rsidR="00B903A5" w:rsidRPr="005B0796" w:rsidRDefault="00B903A5" w:rsidP="00594252">
            <w:pPr>
              <w:pStyle w:val="TableText"/>
              <w:ind w:left="144"/>
            </w:pPr>
            <w:r w:rsidRPr="005B0796">
              <w:t>Fit</w:t>
            </w:r>
          </w:p>
        </w:tc>
        <w:tc>
          <w:tcPr>
            <w:tcW w:w="961" w:type="dxa"/>
            <w:hideMark/>
          </w:tcPr>
          <w:p w14:paraId="47EDC08D" w14:textId="77777777" w:rsidR="00B903A5" w:rsidRPr="005B0796" w:rsidRDefault="00B903A5" w:rsidP="00594252">
            <w:pPr>
              <w:pStyle w:val="TableText"/>
              <w:jc w:val="right"/>
            </w:pPr>
            <w:r w:rsidRPr="005B0796">
              <w:t>2981</w:t>
            </w:r>
          </w:p>
        </w:tc>
        <w:tc>
          <w:tcPr>
            <w:tcW w:w="961" w:type="dxa"/>
            <w:hideMark/>
          </w:tcPr>
          <w:p w14:paraId="0700C568" w14:textId="77777777" w:rsidR="00B903A5" w:rsidRPr="005B0796" w:rsidRDefault="00B903A5" w:rsidP="00594252">
            <w:pPr>
              <w:pStyle w:val="TableText"/>
              <w:jc w:val="right"/>
            </w:pPr>
            <w:r w:rsidRPr="005B0796">
              <w:t>68.9</w:t>
            </w:r>
          </w:p>
        </w:tc>
        <w:tc>
          <w:tcPr>
            <w:tcW w:w="961" w:type="dxa"/>
            <w:hideMark/>
          </w:tcPr>
          <w:p w14:paraId="43A1D4A3" w14:textId="77777777" w:rsidR="00B903A5" w:rsidRPr="005B0796" w:rsidRDefault="00B903A5" w:rsidP="00594252">
            <w:pPr>
              <w:pStyle w:val="TableText"/>
              <w:jc w:val="right"/>
            </w:pPr>
            <w:r w:rsidRPr="005B0796">
              <w:t xml:space="preserve"> (67.5 </w:t>
            </w:r>
            <w:r>
              <w:t>–</w:t>
            </w:r>
            <w:r w:rsidRPr="005B0796">
              <w:t xml:space="preserve"> 70.3) </w:t>
            </w:r>
          </w:p>
        </w:tc>
        <w:tc>
          <w:tcPr>
            <w:tcW w:w="961" w:type="dxa"/>
            <w:hideMark/>
          </w:tcPr>
          <w:p w14:paraId="32675159" w14:textId="77777777" w:rsidR="00B903A5" w:rsidRPr="005B0796" w:rsidRDefault="00B903A5" w:rsidP="00594252">
            <w:pPr>
              <w:pStyle w:val="TableText"/>
              <w:jc w:val="right"/>
            </w:pPr>
            <w:r w:rsidRPr="005B0796">
              <w:t>7116</w:t>
            </w:r>
          </w:p>
        </w:tc>
        <w:tc>
          <w:tcPr>
            <w:tcW w:w="961" w:type="dxa"/>
            <w:hideMark/>
          </w:tcPr>
          <w:p w14:paraId="40A89EE5" w14:textId="77777777" w:rsidR="00B903A5" w:rsidRPr="005B0796" w:rsidRDefault="00B903A5" w:rsidP="00594252">
            <w:pPr>
              <w:pStyle w:val="TableText"/>
              <w:jc w:val="right"/>
            </w:pPr>
            <w:r w:rsidRPr="005B0796">
              <w:t>83.9</w:t>
            </w:r>
          </w:p>
        </w:tc>
        <w:tc>
          <w:tcPr>
            <w:tcW w:w="962" w:type="dxa"/>
            <w:hideMark/>
          </w:tcPr>
          <w:p w14:paraId="1FE48FAF" w14:textId="77777777" w:rsidR="00B903A5" w:rsidRPr="005B0796" w:rsidRDefault="00B903A5" w:rsidP="00594252">
            <w:pPr>
              <w:pStyle w:val="TableText"/>
              <w:jc w:val="right"/>
            </w:pPr>
            <w:r w:rsidRPr="005B0796">
              <w:t xml:space="preserve"> (83.1 </w:t>
            </w:r>
            <w:r>
              <w:t>–</w:t>
            </w:r>
            <w:r w:rsidRPr="005B0796">
              <w:t xml:space="preserve"> 84.7) </w:t>
            </w:r>
          </w:p>
        </w:tc>
      </w:tr>
      <w:tr w:rsidR="00B903A5" w:rsidRPr="005B0796" w14:paraId="3AB98506"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B61E220" w14:textId="77777777" w:rsidR="00B903A5" w:rsidRPr="005B0796" w:rsidRDefault="00B903A5" w:rsidP="00594252">
            <w:pPr>
              <w:pStyle w:val="TableText"/>
              <w:ind w:left="144"/>
            </w:pPr>
            <w:r w:rsidRPr="005B0796">
              <w:t>Unfit</w:t>
            </w:r>
          </w:p>
        </w:tc>
        <w:tc>
          <w:tcPr>
            <w:tcW w:w="961" w:type="dxa"/>
            <w:hideMark/>
          </w:tcPr>
          <w:p w14:paraId="352CAD1C" w14:textId="77777777" w:rsidR="00B903A5" w:rsidRPr="005B0796" w:rsidRDefault="00B903A5" w:rsidP="00594252">
            <w:pPr>
              <w:pStyle w:val="TableText"/>
              <w:jc w:val="right"/>
            </w:pPr>
            <w:r w:rsidRPr="005B0796">
              <w:t>1345</w:t>
            </w:r>
          </w:p>
        </w:tc>
        <w:tc>
          <w:tcPr>
            <w:tcW w:w="961" w:type="dxa"/>
            <w:hideMark/>
          </w:tcPr>
          <w:p w14:paraId="0DF9C997" w14:textId="77777777" w:rsidR="00B903A5" w:rsidRPr="005B0796" w:rsidRDefault="00B903A5" w:rsidP="00594252">
            <w:pPr>
              <w:pStyle w:val="TableText"/>
              <w:jc w:val="right"/>
            </w:pPr>
            <w:r w:rsidRPr="005B0796">
              <w:t>31.1</w:t>
            </w:r>
          </w:p>
        </w:tc>
        <w:tc>
          <w:tcPr>
            <w:tcW w:w="961" w:type="dxa"/>
            <w:hideMark/>
          </w:tcPr>
          <w:p w14:paraId="42B76518" w14:textId="77777777" w:rsidR="00B903A5" w:rsidRPr="005B0796" w:rsidRDefault="00B903A5" w:rsidP="00594252">
            <w:pPr>
              <w:pStyle w:val="TableText"/>
              <w:jc w:val="right"/>
            </w:pPr>
            <w:r w:rsidRPr="005B0796">
              <w:t xml:space="preserve"> (29.7 </w:t>
            </w:r>
            <w:r>
              <w:t>–</w:t>
            </w:r>
            <w:r w:rsidRPr="005B0796">
              <w:t xml:space="preserve"> 32.5) </w:t>
            </w:r>
          </w:p>
        </w:tc>
        <w:tc>
          <w:tcPr>
            <w:tcW w:w="961" w:type="dxa"/>
            <w:hideMark/>
          </w:tcPr>
          <w:p w14:paraId="10AE2F40" w14:textId="77777777" w:rsidR="00B903A5" w:rsidRPr="005B0796" w:rsidRDefault="00B903A5" w:rsidP="00594252">
            <w:pPr>
              <w:pStyle w:val="TableText"/>
              <w:jc w:val="right"/>
            </w:pPr>
            <w:r w:rsidRPr="005B0796">
              <w:t>1364</w:t>
            </w:r>
          </w:p>
        </w:tc>
        <w:tc>
          <w:tcPr>
            <w:tcW w:w="961" w:type="dxa"/>
            <w:hideMark/>
          </w:tcPr>
          <w:p w14:paraId="05576273" w14:textId="77777777" w:rsidR="00B903A5" w:rsidRPr="005B0796" w:rsidRDefault="00B903A5" w:rsidP="00594252">
            <w:pPr>
              <w:pStyle w:val="TableText"/>
              <w:jc w:val="right"/>
            </w:pPr>
            <w:r w:rsidRPr="005B0796">
              <w:t>16.1</w:t>
            </w:r>
          </w:p>
        </w:tc>
        <w:tc>
          <w:tcPr>
            <w:tcW w:w="962" w:type="dxa"/>
            <w:hideMark/>
          </w:tcPr>
          <w:p w14:paraId="04689219" w14:textId="77777777" w:rsidR="00B903A5" w:rsidRPr="005B0796" w:rsidRDefault="00B903A5" w:rsidP="00594252">
            <w:pPr>
              <w:pStyle w:val="TableText"/>
              <w:jc w:val="right"/>
            </w:pPr>
            <w:r w:rsidRPr="005B0796">
              <w:t xml:space="preserve"> (15.3 </w:t>
            </w:r>
            <w:r>
              <w:t>–</w:t>
            </w:r>
            <w:r w:rsidRPr="005B0796">
              <w:t xml:space="preserve"> 16.9) </w:t>
            </w:r>
          </w:p>
        </w:tc>
      </w:tr>
    </w:tbl>
    <w:p w14:paraId="7A311D01" w14:textId="77777777" w:rsidR="00B903A5" w:rsidRPr="00730890" w:rsidRDefault="00B903A5" w:rsidP="00B903A5">
      <w:pPr>
        <w:pStyle w:val="TableNotes"/>
        <w:rPr>
          <w:b/>
        </w:rPr>
      </w:pPr>
      <w:r w:rsidRPr="00730890">
        <w:rPr>
          <w:b/>
        </w:rPr>
        <w:t>Notes</w:t>
      </w:r>
    </w:p>
    <w:p w14:paraId="4932A9CC" w14:textId="77777777" w:rsidR="00B903A5" w:rsidRPr="005B0796" w:rsidRDefault="00B903A5" w:rsidP="00B903A5">
      <w:pPr>
        <w:pStyle w:val="TableNotes"/>
      </w:pPr>
      <w:r w:rsidRPr="005B0796">
        <w:t>Denominator: Those who were invited and responded to the survey</w:t>
      </w:r>
      <w:r>
        <w:t>.</w:t>
      </w:r>
    </w:p>
    <w:p w14:paraId="37A8C975" w14:textId="77777777" w:rsidR="00B903A5" w:rsidRPr="005B0796" w:rsidRDefault="00B903A5" w:rsidP="00B903A5">
      <w:pPr>
        <w:pStyle w:val="TableNotes"/>
        <w:rPr>
          <w:bCs/>
        </w:rPr>
      </w:pPr>
      <w:r w:rsidRPr="005B0796">
        <w:t>Unweighted data</w:t>
      </w:r>
      <w:r>
        <w:t>.</w:t>
      </w:r>
    </w:p>
    <w:p w14:paraId="614558E1" w14:textId="77777777" w:rsidR="00B903A5" w:rsidRPr="005B0796" w:rsidRDefault="00B903A5" w:rsidP="00B903A5">
      <w:pPr>
        <w:pStyle w:val="TableNotes"/>
        <w:rPr>
          <w:bCs/>
        </w:rPr>
      </w:pPr>
      <w:r w:rsidRPr="005B0796">
        <w:rPr>
          <w:bCs/>
        </w:rPr>
        <w:t>95%CI</w:t>
      </w:r>
      <w:r>
        <w:rPr>
          <w:bCs/>
        </w:rPr>
        <w:t xml:space="preserve"> =</w:t>
      </w:r>
      <w:r w:rsidRPr="005B0796">
        <w:rPr>
          <w:bCs/>
        </w:rPr>
        <w:t xml:space="preserve"> 95% confidence interval</w:t>
      </w:r>
      <w:r>
        <w:rPr>
          <w:bCs/>
        </w:rPr>
        <w:t>.</w:t>
      </w:r>
    </w:p>
    <w:p w14:paraId="3C6FA59A" w14:textId="77777777" w:rsidR="00B903A5" w:rsidRPr="005B0796" w:rsidRDefault="00B903A5" w:rsidP="00B903A5">
      <w:pPr>
        <w:pStyle w:val="Heading3b"/>
        <w:numPr>
          <w:ilvl w:val="2"/>
          <w:numId w:val="11"/>
        </w:numPr>
      </w:pPr>
      <w:bookmarkStart w:id="1390" w:name="_Toc487011296"/>
      <w:bookmarkStart w:id="1391" w:name="_Toc493663191"/>
      <w:r w:rsidRPr="005B0796">
        <w:t>CIDI responders</w:t>
      </w:r>
      <w:bookmarkEnd w:id="1390"/>
      <w:bookmarkEnd w:id="1391"/>
    </w:p>
    <w:p w14:paraId="2230D412" w14:textId="77777777" w:rsidR="00B903A5" w:rsidRPr="005B0796" w:rsidRDefault="00B903A5" w:rsidP="00B903A5">
      <w:pPr>
        <w:rPr>
          <w:rFonts w:asciiTheme="minorHAnsi" w:hAnsiTheme="minorHAnsi" w:cstheme="minorHAnsi"/>
          <w:szCs w:val="22"/>
        </w:rPr>
      </w:pPr>
      <w:r w:rsidRPr="005B0796">
        <w:t xml:space="preserve">In phase 2 of the research, a sub-sample of 1384 individuals from the stratified Transitioned ADF group, 1088 individuals from the MHPWS group and 183 from the Combat Zone group were selected to participate in a one-hour telephone interview using the World Mental Health </w:t>
      </w:r>
      <w:r w:rsidRPr="005B0796">
        <w:rPr>
          <w:rFonts w:asciiTheme="minorHAnsi" w:hAnsiTheme="minorHAnsi" w:cstheme="minorHAnsi"/>
        </w:rPr>
        <w:t xml:space="preserve">Survey Initiative Version of the World Health Organization Composite International Diagnostic Interview – version 3.0 (CIDI) </w:t>
      </w:r>
      <w:r>
        <w:rPr>
          <w:rFonts w:asciiTheme="minorHAnsi" w:hAnsiTheme="minorHAnsi" w:cstheme="minorHAnsi"/>
          <w:noProof/>
          <w:szCs w:val="22"/>
        </w:rPr>
        <w:t>(Kessler &amp; Ustun, 2004)</w:t>
      </w:r>
      <w:r w:rsidRPr="005B0796">
        <w:rPr>
          <w:rFonts w:asciiTheme="minorHAnsi" w:hAnsiTheme="minorHAnsi" w:cstheme="minorHAnsi"/>
          <w:szCs w:val="22"/>
        </w:rPr>
        <w:t>. Data from all three groups was used to estimate prevalence of mental disorder in the Transitioned ADF.</w:t>
      </w:r>
    </w:p>
    <w:p w14:paraId="4644892F" w14:textId="77777777" w:rsidR="00B903A5" w:rsidRPr="005B0796" w:rsidRDefault="00B903A5" w:rsidP="00B903A5">
      <w:pPr>
        <w:pStyle w:val="Heading4"/>
        <w:rPr>
          <w:rFonts w:eastAsia="MS ??"/>
        </w:rPr>
      </w:pPr>
      <w:r w:rsidRPr="005B0796">
        <w:rPr>
          <w:rFonts w:eastAsia="MS ??"/>
        </w:rPr>
        <w:t>Stratified Transitioned ADF</w:t>
      </w:r>
    </w:p>
    <w:p w14:paraId="4E4FB753" w14:textId="77777777" w:rsidR="00B903A5" w:rsidRPr="005B0796" w:rsidRDefault="00B903A5" w:rsidP="00B903A5">
      <w:r w:rsidRPr="005B0796">
        <w:t xml:space="preserve">A total of 1384 participants were stratified and sought for participation (selected) in the CIDI 3.0. Of those selected, 53.8% (745) </w:t>
      </w:r>
      <w:r w:rsidRPr="005B0796">
        <w:rPr>
          <w:color w:val="000000" w:themeColor="text1"/>
        </w:rPr>
        <w:t>completed</w:t>
      </w:r>
      <w:r w:rsidRPr="005B0796">
        <w:t xml:space="preserve"> the interview. Table A.4 describes the response rates for the stratified Transitioned ADF undertaking the CIDI interview and Table A.5 describes the demographic profile of this group.</w:t>
      </w:r>
    </w:p>
    <w:p w14:paraId="6338D087" w14:textId="77777777" w:rsidR="00B903A5" w:rsidRPr="005B0796" w:rsidRDefault="00B903A5" w:rsidP="00B903A5">
      <w:pPr>
        <w:pStyle w:val="TableName"/>
      </w:pPr>
      <w:bookmarkStart w:id="1392" w:name="_Toc479243373"/>
      <w:bookmarkStart w:id="1393" w:name="_Toc486936017"/>
      <w:bookmarkStart w:id="1394" w:name="_Toc487014341"/>
      <w:bookmarkStart w:id="1395" w:name="_Toc492995644"/>
      <w:bookmarkStart w:id="1396" w:name="_Toc528932380"/>
      <w:bookmarkStart w:id="1397" w:name="_Toc531858059"/>
      <w:r w:rsidRPr="005B0796">
        <w:t>Table A.4</w:t>
      </w:r>
      <w:r w:rsidRPr="005B0796">
        <w:tab/>
        <w:t xml:space="preserve">CIDI response rates for stratified Transitioned ADF by </w:t>
      </w:r>
      <w:r>
        <w:t>s</w:t>
      </w:r>
      <w:r w:rsidRPr="005B0796">
        <w:t>ervice, sex, rank and MEC status</w:t>
      </w:r>
      <w:bookmarkEnd w:id="1392"/>
      <w:bookmarkEnd w:id="1393"/>
      <w:bookmarkEnd w:id="1394"/>
      <w:bookmarkEnd w:id="1395"/>
      <w:bookmarkEnd w:id="1396"/>
      <w:bookmarkEnd w:id="1397"/>
    </w:p>
    <w:tbl>
      <w:tblPr>
        <w:tblStyle w:val="TWRPTable"/>
        <w:tblW w:w="5000" w:type="pct"/>
        <w:tblLayout w:type="fixed"/>
        <w:tblLook w:val="04A0" w:firstRow="1" w:lastRow="0" w:firstColumn="1" w:lastColumn="0" w:noHBand="0" w:noVBand="1"/>
        <w:tblDescription w:val="Table A.4 CIDI response rates for stratified Transitioned ADF by service, sex, rank and MEC status"/>
      </w:tblPr>
      <w:tblGrid>
        <w:gridCol w:w="1483"/>
        <w:gridCol w:w="1402"/>
        <w:gridCol w:w="1401"/>
        <w:gridCol w:w="1401"/>
        <w:gridCol w:w="1402"/>
      </w:tblGrid>
      <w:tr w:rsidR="00B903A5" w:rsidRPr="005B0796" w14:paraId="6171C3C9"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30" w:type="dxa"/>
            <w:vMerge w:val="restart"/>
          </w:tcPr>
          <w:p w14:paraId="15A4C208" w14:textId="77777777" w:rsidR="00B903A5" w:rsidRPr="005B0796" w:rsidRDefault="00B903A5" w:rsidP="00594252">
            <w:pPr>
              <w:pStyle w:val="TableText"/>
            </w:pPr>
          </w:p>
        </w:tc>
        <w:tc>
          <w:tcPr>
            <w:tcW w:w="5785" w:type="dxa"/>
            <w:gridSpan w:val="4"/>
            <w:hideMark/>
          </w:tcPr>
          <w:p w14:paraId="6CB47177" w14:textId="77777777" w:rsidR="00B903A5" w:rsidRPr="005B0796" w:rsidRDefault="00B903A5" w:rsidP="00594252">
            <w:pPr>
              <w:pStyle w:val="TableText"/>
              <w:jc w:val="center"/>
            </w:pPr>
            <w:r w:rsidRPr="005B0796">
              <w:t xml:space="preserve">Stratified Transitioned ADF CIDI </w:t>
            </w:r>
            <w:r w:rsidRPr="005B0796">
              <w:br/>
              <w:t>(</w:t>
            </w:r>
            <w:r>
              <w:t>n=</w:t>
            </w:r>
            <w:r w:rsidRPr="005B0796">
              <w:t xml:space="preserve">1384 (selected); </w:t>
            </w:r>
            <w:r>
              <w:t>n=</w:t>
            </w:r>
            <w:r w:rsidRPr="005B0796">
              <w:t>745 (responded))</w:t>
            </w:r>
          </w:p>
        </w:tc>
      </w:tr>
      <w:tr w:rsidR="00B903A5" w:rsidRPr="005B0796" w14:paraId="3C3CDBBA"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30" w:type="dxa"/>
            <w:vMerge/>
          </w:tcPr>
          <w:p w14:paraId="6470E30A" w14:textId="77777777" w:rsidR="00B903A5" w:rsidRPr="005B0796" w:rsidRDefault="00B903A5" w:rsidP="00594252">
            <w:pPr>
              <w:pStyle w:val="TableText"/>
              <w:rPr>
                <w:rFonts w:cs="Arial"/>
              </w:rPr>
            </w:pPr>
          </w:p>
        </w:tc>
        <w:tc>
          <w:tcPr>
            <w:tcW w:w="1446" w:type="dxa"/>
            <w:hideMark/>
          </w:tcPr>
          <w:p w14:paraId="59C2DB7C" w14:textId="77777777" w:rsidR="00B903A5" w:rsidRPr="005B0796" w:rsidRDefault="00B903A5" w:rsidP="00594252">
            <w:pPr>
              <w:pStyle w:val="TableText"/>
              <w:jc w:val="right"/>
              <w:rPr>
                <w:rFonts w:cs="Arial"/>
              </w:rPr>
            </w:pPr>
            <w:r w:rsidRPr="005B0796">
              <w:rPr>
                <w:rFonts w:cs="Arial"/>
              </w:rPr>
              <w:t>Population</w:t>
            </w:r>
          </w:p>
        </w:tc>
        <w:tc>
          <w:tcPr>
            <w:tcW w:w="1446" w:type="dxa"/>
            <w:hideMark/>
          </w:tcPr>
          <w:p w14:paraId="236B109F" w14:textId="77777777" w:rsidR="00B903A5" w:rsidRPr="005B0796" w:rsidRDefault="00B903A5" w:rsidP="00594252">
            <w:pPr>
              <w:pStyle w:val="TableText"/>
              <w:jc w:val="right"/>
              <w:rPr>
                <w:rFonts w:cs="Arial"/>
              </w:rPr>
            </w:pPr>
            <w:r w:rsidRPr="005B0796">
              <w:rPr>
                <w:rFonts w:cs="Arial"/>
              </w:rPr>
              <w:t>Selected</w:t>
            </w:r>
          </w:p>
        </w:tc>
        <w:tc>
          <w:tcPr>
            <w:tcW w:w="1446" w:type="dxa"/>
            <w:hideMark/>
          </w:tcPr>
          <w:p w14:paraId="5D695ECE" w14:textId="77777777" w:rsidR="00B903A5" w:rsidRPr="005B0796" w:rsidRDefault="00B903A5" w:rsidP="00594252">
            <w:pPr>
              <w:pStyle w:val="TableText"/>
              <w:jc w:val="right"/>
              <w:rPr>
                <w:rFonts w:cs="Arial"/>
              </w:rPr>
            </w:pPr>
            <w:r w:rsidRPr="005B0796">
              <w:rPr>
                <w:rFonts w:cs="Arial"/>
              </w:rPr>
              <w:t>Responders</w:t>
            </w:r>
          </w:p>
        </w:tc>
        <w:tc>
          <w:tcPr>
            <w:tcW w:w="1447" w:type="dxa"/>
            <w:hideMark/>
          </w:tcPr>
          <w:p w14:paraId="2E66E3C5" w14:textId="77777777" w:rsidR="00B903A5" w:rsidRPr="005B0796" w:rsidRDefault="00B903A5" w:rsidP="00594252">
            <w:pPr>
              <w:pStyle w:val="TableText"/>
              <w:jc w:val="right"/>
              <w:rPr>
                <w:rFonts w:cs="Arial"/>
              </w:rPr>
            </w:pPr>
            <w:r w:rsidRPr="005B0796">
              <w:rPr>
                <w:rFonts w:cs="Arial"/>
              </w:rPr>
              <w:t>Response rate (%)</w:t>
            </w:r>
          </w:p>
        </w:tc>
      </w:tr>
      <w:tr w:rsidR="00B903A5" w:rsidRPr="005B0796" w14:paraId="62C1C35E"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05C63C46" w14:textId="77777777" w:rsidR="00B903A5" w:rsidRPr="005B0796" w:rsidRDefault="00B903A5" w:rsidP="00594252">
            <w:pPr>
              <w:pStyle w:val="TableText"/>
              <w:rPr>
                <w:b/>
              </w:rPr>
            </w:pPr>
            <w:r w:rsidRPr="005B0796">
              <w:rPr>
                <w:b/>
              </w:rPr>
              <w:t>Service</w:t>
            </w:r>
          </w:p>
        </w:tc>
        <w:tc>
          <w:tcPr>
            <w:tcW w:w="1446" w:type="dxa"/>
          </w:tcPr>
          <w:p w14:paraId="21030AC5" w14:textId="77777777" w:rsidR="00B903A5" w:rsidRPr="005B0796" w:rsidRDefault="00B903A5" w:rsidP="00594252">
            <w:pPr>
              <w:pStyle w:val="TableText"/>
              <w:jc w:val="right"/>
            </w:pPr>
          </w:p>
        </w:tc>
        <w:tc>
          <w:tcPr>
            <w:tcW w:w="1446" w:type="dxa"/>
          </w:tcPr>
          <w:p w14:paraId="0CC0EA08" w14:textId="77777777" w:rsidR="00B903A5" w:rsidRPr="005B0796" w:rsidRDefault="00B903A5" w:rsidP="00594252">
            <w:pPr>
              <w:pStyle w:val="TableText"/>
              <w:jc w:val="right"/>
              <w:rPr>
                <w:rFonts w:cs="Arial"/>
              </w:rPr>
            </w:pPr>
          </w:p>
        </w:tc>
        <w:tc>
          <w:tcPr>
            <w:tcW w:w="1446" w:type="dxa"/>
          </w:tcPr>
          <w:p w14:paraId="5FDEECCD" w14:textId="77777777" w:rsidR="00B903A5" w:rsidRPr="005B0796" w:rsidRDefault="00B903A5" w:rsidP="00594252">
            <w:pPr>
              <w:pStyle w:val="TableText"/>
              <w:jc w:val="right"/>
              <w:rPr>
                <w:rFonts w:cs="Arial"/>
              </w:rPr>
            </w:pPr>
          </w:p>
        </w:tc>
        <w:tc>
          <w:tcPr>
            <w:tcW w:w="1447" w:type="dxa"/>
          </w:tcPr>
          <w:p w14:paraId="062F61A6" w14:textId="77777777" w:rsidR="00B903A5" w:rsidRPr="005B0796" w:rsidRDefault="00B903A5" w:rsidP="00594252">
            <w:pPr>
              <w:pStyle w:val="TableText"/>
              <w:jc w:val="right"/>
              <w:rPr>
                <w:rFonts w:cs="Arial"/>
              </w:rPr>
            </w:pPr>
          </w:p>
        </w:tc>
      </w:tr>
      <w:tr w:rsidR="00B903A5" w:rsidRPr="005B0796" w14:paraId="12C89022" w14:textId="77777777" w:rsidTr="00D268F6">
        <w:trPr>
          <w:cantSplit/>
        </w:trPr>
        <w:tc>
          <w:tcPr>
            <w:tcW w:w="1530" w:type="dxa"/>
            <w:hideMark/>
          </w:tcPr>
          <w:p w14:paraId="3E70D17A" w14:textId="77777777" w:rsidR="00B903A5" w:rsidRPr="005B0796" w:rsidRDefault="00B903A5" w:rsidP="00594252">
            <w:pPr>
              <w:pStyle w:val="TableText"/>
              <w:ind w:left="144"/>
            </w:pPr>
            <w:r w:rsidRPr="005B0796">
              <w:t>Navy</w:t>
            </w:r>
          </w:p>
        </w:tc>
        <w:tc>
          <w:tcPr>
            <w:tcW w:w="1446" w:type="dxa"/>
            <w:hideMark/>
          </w:tcPr>
          <w:p w14:paraId="0921177B" w14:textId="77777777" w:rsidR="00B903A5" w:rsidRPr="005B0796" w:rsidRDefault="00B903A5" w:rsidP="00594252">
            <w:pPr>
              <w:pStyle w:val="TableText"/>
              <w:jc w:val="right"/>
            </w:pPr>
            <w:r w:rsidRPr="005B0796">
              <w:t>5671</w:t>
            </w:r>
          </w:p>
        </w:tc>
        <w:tc>
          <w:tcPr>
            <w:tcW w:w="1446" w:type="dxa"/>
            <w:hideMark/>
          </w:tcPr>
          <w:p w14:paraId="558E7B36" w14:textId="77777777" w:rsidR="00B903A5" w:rsidRPr="005B0796" w:rsidRDefault="00B903A5" w:rsidP="00594252">
            <w:pPr>
              <w:pStyle w:val="TableText"/>
              <w:jc w:val="right"/>
              <w:rPr>
                <w:rFonts w:cs="Arial"/>
              </w:rPr>
            </w:pPr>
            <w:r w:rsidRPr="005B0796">
              <w:rPr>
                <w:rFonts w:cs="Arial"/>
              </w:rPr>
              <w:t>285</w:t>
            </w:r>
          </w:p>
        </w:tc>
        <w:tc>
          <w:tcPr>
            <w:tcW w:w="1446" w:type="dxa"/>
            <w:hideMark/>
          </w:tcPr>
          <w:p w14:paraId="5619A2EE" w14:textId="77777777" w:rsidR="00B903A5" w:rsidRPr="005B0796" w:rsidRDefault="00B903A5" w:rsidP="00594252">
            <w:pPr>
              <w:pStyle w:val="TableText"/>
              <w:jc w:val="right"/>
              <w:rPr>
                <w:rFonts w:cs="Arial"/>
              </w:rPr>
            </w:pPr>
            <w:r w:rsidRPr="005B0796">
              <w:rPr>
                <w:rFonts w:cs="Arial"/>
              </w:rPr>
              <w:t>150</w:t>
            </w:r>
          </w:p>
        </w:tc>
        <w:tc>
          <w:tcPr>
            <w:tcW w:w="1447" w:type="dxa"/>
            <w:hideMark/>
          </w:tcPr>
          <w:p w14:paraId="308C55E9" w14:textId="77777777" w:rsidR="00B903A5" w:rsidRPr="005B0796" w:rsidRDefault="00B903A5" w:rsidP="00594252">
            <w:pPr>
              <w:pStyle w:val="TableText"/>
              <w:jc w:val="right"/>
              <w:rPr>
                <w:rFonts w:cs="Arial"/>
              </w:rPr>
            </w:pPr>
            <w:r w:rsidRPr="005B0796">
              <w:rPr>
                <w:rFonts w:cs="Arial"/>
              </w:rPr>
              <w:t>52.6</w:t>
            </w:r>
          </w:p>
        </w:tc>
      </w:tr>
      <w:tr w:rsidR="00B903A5" w:rsidRPr="005B0796" w14:paraId="4B37C51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334E1C94" w14:textId="77777777" w:rsidR="00B903A5" w:rsidRPr="005B0796" w:rsidRDefault="00B903A5" w:rsidP="00594252">
            <w:pPr>
              <w:pStyle w:val="TableText"/>
              <w:ind w:left="144"/>
            </w:pPr>
            <w:r w:rsidRPr="005B0796">
              <w:t>Army</w:t>
            </w:r>
          </w:p>
        </w:tc>
        <w:tc>
          <w:tcPr>
            <w:tcW w:w="1446" w:type="dxa"/>
            <w:hideMark/>
          </w:tcPr>
          <w:p w14:paraId="56AB2465" w14:textId="77777777" w:rsidR="00B903A5" w:rsidRPr="005B0796" w:rsidRDefault="00B903A5" w:rsidP="00594252">
            <w:pPr>
              <w:pStyle w:val="TableText"/>
              <w:jc w:val="right"/>
            </w:pPr>
            <w:r w:rsidRPr="005B0796">
              <w:t>15,038</w:t>
            </w:r>
          </w:p>
        </w:tc>
        <w:tc>
          <w:tcPr>
            <w:tcW w:w="1446" w:type="dxa"/>
            <w:hideMark/>
          </w:tcPr>
          <w:p w14:paraId="7EA00D3B" w14:textId="77777777" w:rsidR="00B903A5" w:rsidRPr="005B0796" w:rsidRDefault="00B903A5" w:rsidP="00594252">
            <w:pPr>
              <w:pStyle w:val="TableText"/>
              <w:jc w:val="right"/>
              <w:rPr>
                <w:rFonts w:cs="Arial"/>
              </w:rPr>
            </w:pPr>
            <w:r w:rsidRPr="005B0796">
              <w:rPr>
                <w:rFonts w:cs="Arial"/>
              </w:rPr>
              <w:t>795</w:t>
            </w:r>
          </w:p>
        </w:tc>
        <w:tc>
          <w:tcPr>
            <w:tcW w:w="1446" w:type="dxa"/>
            <w:hideMark/>
          </w:tcPr>
          <w:p w14:paraId="5D2888C4" w14:textId="77777777" w:rsidR="00B903A5" w:rsidRPr="005B0796" w:rsidRDefault="00B903A5" w:rsidP="00594252">
            <w:pPr>
              <w:pStyle w:val="TableText"/>
              <w:jc w:val="right"/>
              <w:rPr>
                <w:rFonts w:cs="Arial"/>
              </w:rPr>
            </w:pPr>
            <w:r w:rsidRPr="005B0796">
              <w:rPr>
                <w:rFonts w:cs="Arial"/>
              </w:rPr>
              <w:t>424</w:t>
            </w:r>
          </w:p>
        </w:tc>
        <w:tc>
          <w:tcPr>
            <w:tcW w:w="1447" w:type="dxa"/>
            <w:hideMark/>
          </w:tcPr>
          <w:p w14:paraId="7713BC9D" w14:textId="77777777" w:rsidR="00B903A5" w:rsidRPr="005B0796" w:rsidRDefault="00B903A5" w:rsidP="00594252">
            <w:pPr>
              <w:pStyle w:val="TableText"/>
              <w:jc w:val="right"/>
              <w:rPr>
                <w:rFonts w:cs="Arial"/>
              </w:rPr>
            </w:pPr>
            <w:r w:rsidRPr="005B0796">
              <w:rPr>
                <w:rFonts w:cs="Arial"/>
              </w:rPr>
              <w:t>53.3</w:t>
            </w:r>
          </w:p>
        </w:tc>
      </w:tr>
      <w:tr w:rsidR="00B903A5" w:rsidRPr="005B0796" w14:paraId="5B5A4BB6" w14:textId="77777777" w:rsidTr="00D268F6">
        <w:trPr>
          <w:cantSplit/>
        </w:trPr>
        <w:tc>
          <w:tcPr>
            <w:tcW w:w="1530" w:type="dxa"/>
            <w:hideMark/>
          </w:tcPr>
          <w:p w14:paraId="3590556D" w14:textId="77777777" w:rsidR="00B903A5" w:rsidRPr="005B0796" w:rsidRDefault="00B903A5" w:rsidP="00594252">
            <w:pPr>
              <w:pStyle w:val="TableText"/>
              <w:ind w:left="144"/>
              <w:rPr>
                <w:rFonts w:cs="Arial"/>
              </w:rPr>
            </w:pPr>
            <w:r w:rsidRPr="005B0796">
              <w:t>Air Force</w:t>
            </w:r>
          </w:p>
        </w:tc>
        <w:tc>
          <w:tcPr>
            <w:tcW w:w="1446" w:type="dxa"/>
            <w:hideMark/>
          </w:tcPr>
          <w:p w14:paraId="7D2A032C" w14:textId="77777777" w:rsidR="00B903A5" w:rsidRPr="005B0796" w:rsidRDefault="00B903A5" w:rsidP="00594252">
            <w:pPr>
              <w:pStyle w:val="TableText"/>
              <w:jc w:val="right"/>
            </w:pPr>
            <w:r w:rsidRPr="005B0796">
              <w:t>4223</w:t>
            </w:r>
          </w:p>
        </w:tc>
        <w:tc>
          <w:tcPr>
            <w:tcW w:w="1446" w:type="dxa"/>
            <w:hideMark/>
          </w:tcPr>
          <w:p w14:paraId="4FC8A140" w14:textId="77777777" w:rsidR="00B903A5" w:rsidRPr="005B0796" w:rsidRDefault="00B903A5" w:rsidP="00594252">
            <w:pPr>
              <w:pStyle w:val="TableText"/>
              <w:jc w:val="right"/>
              <w:rPr>
                <w:rFonts w:cs="Arial"/>
              </w:rPr>
            </w:pPr>
            <w:r w:rsidRPr="005B0796">
              <w:rPr>
                <w:rFonts w:cs="Arial"/>
              </w:rPr>
              <w:t>304</w:t>
            </w:r>
          </w:p>
        </w:tc>
        <w:tc>
          <w:tcPr>
            <w:tcW w:w="1446" w:type="dxa"/>
            <w:hideMark/>
          </w:tcPr>
          <w:p w14:paraId="5EDEEE3D"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171</w:t>
            </w:r>
          </w:p>
        </w:tc>
        <w:tc>
          <w:tcPr>
            <w:tcW w:w="1447" w:type="dxa"/>
            <w:hideMark/>
          </w:tcPr>
          <w:p w14:paraId="296679C5" w14:textId="77777777" w:rsidR="00B903A5" w:rsidRPr="005B0796" w:rsidRDefault="00B903A5" w:rsidP="00594252">
            <w:pPr>
              <w:pStyle w:val="TableText"/>
              <w:jc w:val="right"/>
              <w:rPr>
                <w:rFonts w:cs="Arial"/>
              </w:rPr>
            </w:pPr>
            <w:r w:rsidRPr="005B0796">
              <w:rPr>
                <w:rFonts w:cs="Arial"/>
              </w:rPr>
              <w:t>56.3</w:t>
            </w:r>
          </w:p>
        </w:tc>
      </w:tr>
      <w:tr w:rsidR="00B903A5" w:rsidRPr="005B0796" w14:paraId="70DAB47B"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32177A75" w14:textId="77777777" w:rsidR="00B903A5" w:rsidRPr="005B0796" w:rsidRDefault="00B903A5" w:rsidP="00594252">
            <w:pPr>
              <w:pStyle w:val="TableText"/>
              <w:rPr>
                <w:b/>
              </w:rPr>
            </w:pPr>
            <w:r w:rsidRPr="005B0796">
              <w:rPr>
                <w:b/>
              </w:rPr>
              <w:t>Sex</w:t>
            </w:r>
          </w:p>
        </w:tc>
        <w:tc>
          <w:tcPr>
            <w:tcW w:w="1446" w:type="dxa"/>
          </w:tcPr>
          <w:p w14:paraId="49C19F36" w14:textId="77777777" w:rsidR="00B903A5" w:rsidRPr="005B0796" w:rsidRDefault="00B903A5" w:rsidP="00594252">
            <w:pPr>
              <w:pStyle w:val="TableText"/>
              <w:jc w:val="right"/>
            </w:pPr>
          </w:p>
        </w:tc>
        <w:tc>
          <w:tcPr>
            <w:tcW w:w="1446" w:type="dxa"/>
          </w:tcPr>
          <w:p w14:paraId="2405CA1D" w14:textId="77777777" w:rsidR="00B903A5" w:rsidRPr="005B0796" w:rsidRDefault="00B903A5" w:rsidP="00594252">
            <w:pPr>
              <w:pStyle w:val="TableText"/>
              <w:jc w:val="right"/>
              <w:rPr>
                <w:rFonts w:cs="Arial"/>
              </w:rPr>
            </w:pPr>
          </w:p>
        </w:tc>
        <w:tc>
          <w:tcPr>
            <w:tcW w:w="1446" w:type="dxa"/>
          </w:tcPr>
          <w:p w14:paraId="0D2778CE" w14:textId="77777777" w:rsidR="00B903A5" w:rsidRPr="005B0796" w:rsidRDefault="00B903A5" w:rsidP="00594252">
            <w:pPr>
              <w:pStyle w:val="TableText"/>
              <w:jc w:val="right"/>
              <w:rPr>
                <w:rFonts w:cs="Arial"/>
                <w:color w:val="000000" w:themeColor="text1"/>
              </w:rPr>
            </w:pPr>
          </w:p>
        </w:tc>
        <w:tc>
          <w:tcPr>
            <w:tcW w:w="1447" w:type="dxa"/>
          </w:tcPr>
          <w:p w14:paraId="3E522824" w14:textId="77777777" w:rsidR="00B903A5" w:rsidRPr="005B0796" w:rsidRDefault="00B903A5" w:rsidP="00594252">
            <w:pPr>
              <w:pStyle w:val="TableText"/>
              <w:jc w:val="right"/>
              <w:rPr>
                <w:rFonts w:cs="Arial"/>
              </w:rPr>
            </w:pPr>
          </w:p>
        </w:tc>
      </w:tr>
      <w:tr w:rsidR="00B903A5" w:rsidRPr="005B0796" w14:paraId="258292FB" w14:textId="77777777" w:rsidTr="00D268F6">
        <w:trPr>
          <w:cantSplit/>
        </w:trPr>
        <w:tc>
          <w:tcPr>
            <w:tcW w:w="1530" w:type="dxa"/>
            <w:hideMark/>
          </w:tcPr>
          <w:p w14:paraId="114AD6DC" w14:textId="77777777" w:rsidR="00B903A5" w:rsidRPr="005B0796" w:rsidRDefault="00B903A5" w:rsidP="00594252">
            <w:pPr>
              <w:pStyle w:val="TableText"/>
              <w:ind w:left="144"/>
            </w:pPr>
            <w:r w:rsidRPr="005B0796">
              <w:t>Male</w:t>
            </w:r>
          </w:p>
        </w:tc>
        <w:tc>
          <w:tcPr>
            <w:tcW w:w="1446" w:type="dxa"/>
            <w:hideMark/>
          </w:tcPr>
          <w:p w14:paraId="7F217947" w14:textId="77777777" w:rsidR="00B903A5" w:rsidRPr="005B0796" w:rsidRDefault="00B903A5" w:rsidP="00594252">
            <w:pPr>
              <w:pStyle w:val="TableText"/>
              <w:jc w:val="right"/>
            </w:pPr>
            <w:r w:rsidRPr="005B0796">
              <w:t>21,671</w:t>
            </w:r>
          </w:p>
        </w:tc>
        <w:tc>
          <w:tcPr>
            <w:tcW w:w="1446" w:type="dxa"/>
            <w:hideMark/>
          </w:tcPr>
          <w:p w14:paraId="4236A44F" w14:textId="77777777" w:rsidR="00B903A5" w:rsidRPr="005B0796" w:rsidRDefault="00B903A5" w:rsidP="00594252">
            <w:pPr>
              <w:pStyle w:val="TableText"/>
              <w:jc w:val="right"/>
              <w:rPr>
                <w:rFonts w:cs="Arial"/>
              </w:rPr>
            </w:pPr>
            <w:r w:rsidRPr="005B0796">
              <w:rPr>
                <w:rFonts w:cs="Arial"/>
              </w:rPr>
              <w:t>1140</w:t>
            </w:r>
          </w:p>
        </w:tc>
        <w:tc>
          <w:tcPr>
            <w:tcW w:w="1446" w:type="dxa"/>
            <w:hideMark/>
          </w:tcPr>
          <w:p w14:paraId="454A4CEE"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631</w:t>
            </w:r>
          </w:p>
        </w:tc>
        <w:tc>
          <w:tcPr>
            <w:tcW w:w="1447" w:type="dxa"/>
            <w:hideMark/>
          </w:tcPr>
          <w:p w14:paraId="4E762552" w14:textId="77777777" w:rsidR="00B903A5" w:rsidRPr="005B0796" w:rsidRDefault="00B903A5" w:rsidP="00594252">
            <w:pPr>
              <w:pStyle w:val="TableText"/>
              <w:jc w:val="right"/>
              <w:rPr>
                <w:rFonts w:cs="Arial"/>
              </w:rPr>
            </w:pPr>
            <w:r w:rsidRPr="005B0796">
              <w:rPr>
                <w:rFonts w:cs="Arial"/>
              </w:rPr>
              <w:t>55.4</w:t>
            </w:r>
          </w:p>
        </w:tc>
      </w:tr>
      <w:tr w:rsidR="00B903A5" w:rsidRPr="005B0796" w14:paraId="5E32D892"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1D4D7902" w14:textId="77777777" w:rsidR="00B903A5" w:rsidRPr="005B0796" w:rsidRDefault="00B903A5" w:rsidP="00594252">
            <w:pPr>
              <w:pStyle w:val="TableText"/>
              <w:ind w:left="144"/>
            </w:pPr>
            <w:r w:rsidRPr="005B0796">
              <w:t>Female</w:t>
            </w:r>
          </w:p>
        </w:tc>
        <w:tc>
          <w:tcPr>
            <w:tcW w:w="1446" w:type="dxa"/>
            <w:hideMark/>
          </w:tcPr>
          <w:p w14:paraId="402802B1" w14:textId="77777777" w:rsidR="00B903A5" w:rsidRPr="005B0796" w:rsidRDefault="00B903A5" w:rsidP="00594252">
            <w:pPr>
              <w:pStyle w:val="TableText"/>
              <w:jc w:val="right"/>
            </w:pPr>
            <w:r w:rsidRPr="005B0796">
              <w:t>3261</w:t>
            </w:r>
          </w:p>
        </w:tc>
        <w:tc>
          <w:tcPr>
            <w:tcW w:w="1446" w:type="dxa"/>
            <w:hideMark/>
          </w:tcPr>
          <w:p w14:paraId="59FC0648" w14:textId="77777777" w:rsidR="00B903A5" w:rsidRPr="005B0796" w:rsidRDefault="00B903A5" w:rsidP="00594252">
            <w:pPr>
              <w:pStyle w:val="TableText"/>
              <w:jc w:val="right"/>
              <w:rPr>
                <w:rFonts w:cs="Arial"/>
              </w:rPr>
            </w:pPr>
            <w:r w:rsidRPr="005B0796">
              <w:rPr>
                <w:rFonts w:cs="Arial"/>
              </w:rPr>
              <w:t>235</w:t>
            </w:r>
          </w:p>
        </w:tc>
        <w:tc>
          <w:tcPr>
            <w:tcW w:w="1446" w:type="dxa"/>
            <w:hideMark/>
          </w:tcPr>
          <w:p w14:paraId="3489EB06"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109</w:t>
            </w:r>
          </w:p>
        </w:tc>
        <w:tc>
          <w:tcPr>
            <w:tcW w:w="1447" w:type="dxa"/>
            <w:hideMark/>
          </w:tcPr>
          <w:p w14:paraId="2A0A0A1E" w14:textId="77777777" w:rsidR="00B903A5" w:rsidRPr="005B0796" w:rsidRDefault="00B903A5" w:rsidP="00594252">
            <w:pPr>
              <w:pStyle w:val="TableText"/>
              <w:jc w:val="right"/>
              <w:rPr>
                <w:rFonts w:cs="Arial"/>
              </w:rPr>
            </w:pPr>
            <w:r w:rsidRPr="005B0796">
              <w:rPr>
                <w:rFonts w:cs="Arial"/>
              </w:rPr>
              <w:t>45.0</w:t>
            </w:r>
          </w:p>
        </w:tc>
      </w:tr>
      <w:tr w:rsidR="00B903A5" w:rsidRPr="005B0796" w14:paraId="6DC1CE45" w14:textId="77777777" w:rsidTr="00D268F6">
        <w:trPr>
          <w:cantSplit/>
        </w:trPr>
        <w:tc>
          <w:tcPr>
            <w:tcW w:w="1530" w:type="dxa"/>
            <w:hideMark/>
          </w:tcPr>
          <w:p w14:paraId="5FAB314E" w14:textId="77777777" w:rsidR="00B903A5" w:rsidRPr="005B0796" w:rsidRDefault="00B903A5" w:rsidP="00594252">
            <w:pPr>
              <w:pStyle w:val="TableText"/>
              <w:rPr>
                <w:b/>
              </w:rPr>
            </w:pPr>
            <w:r w:rsidRPr="005B0796">
              <w:rPr>
                <w:b/>
              </w:rPr>
              <w:t>Rank</w:t>
            </w:r>
          </w:p>
        </w:tc>
        <w:tc>
          <w:tcPr>
            <w:tcW w:w="1446" w:type="dxa"/>
          </w:tcPr>
          <w:p w14:paraId="458F5620" w14:textId="77777777" w:rsidR="00B903A5" w:rsidRPr="005B0796" w:rsidRDefault="00B903A5" w:rsidP="00594252">
            <w:pPr>
              <w:pStyle w:val="TableText"/>
              <w:jc w:val="right"/>
            </w:pPr>
          </w:p>
        </w:tc>
        <w:tc>
          <w:tcPr>
            <w:tcW w:w="1446" w:type="dxa"/>
          </w:tcPr>
          <w:p w14:paraId="26E7ECD5" w14:textId="77777777" w:rsidR="00B903A5" w:rsidRPr="005B0796" w:rsidRDefault="00B903A5" w:rsidP="00594252">
            <w:pPr>
              <w:pStyle w:val="TableText"/>
              <w:jc w:val="right"/>
              <w:rPr>
                <w:rFonts w:cs="Arial"/>
              </w:rPr>
            </w:pPr>
          </w:p>
        </w:tc>
        <w:tc>
          <w:tcPr>
            <w:tcW w:w="1446" w:type="dxa"/>
          </w:tcPr>
          <w:p w14:paraId="2A756DBD" w14:textId="77777777" w:rsidR="00B903A5" w:rsidRPr="005B0796" w:rsidRDefault="00B903A5" w:rsidP="00594252">
            <w:pPr>
              <w:pStyle w:val="TableText"/>
              <w:jc w:val="right"/>
              <w:rPr>
                <w:rFonts w:cs="Arial"/>
                <w:color w:val="000000" w:themeColor="text1"/>
              </w:rPr>
            </w:pPr>
          </w:p>
        </w:tc>
        <w:tc>
          <w:tcPr>
            <w:tcW w:w="1447" w:type="dxa"/>
          </w:tcPr>
          <w:p w14:paraId="75FFB4A3" w14:textId="77777777" w:rsidR="00B903A5" w:rsidRPr="005B0796" w:rsidRDefault="00B903A5" w:rsidP="00594252">
            <w:pPr>
              <w:pStyle w:val="TableText"/>
              <w:jc w:val="right"/>
              <w:rPr>
                <w:rFonts w:cs="Arial"/>
              </w:rPr>
            </w:pPr>
          </w:p>
        </w:tc>
      </w:tr>
      <w:tr w:rsidR="00B903A5" w:rsidRPr="005B0796" w14:paraId="0C1DFFA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3F130D0D" w14:textId="77777777" w:rsidR="00B903A5" w:rsidRPr="005B0796" w:rsidRDefault="00B903A5" w:rsidP="00594252">
            <w:pPr>
              <w:pStyle w:val="TableText"/>
              <w:ind w:left="144"/>
            </w:pPr>
            <w:r w:rsidRPr="005B0796">
              <w:t>OFFR</w:t>
            </w:r>
          </w:p>
        </w:tc>
        <w:tc>
          <w:tcPr>
            <w:tcW w:w="1446" w:type="dxa"/>
            <w:hideMark/>
          </w:tcPr>
          <w:p w14:paraId="58E8796C" w14:textId="77777777" w:rsidR="00B903A5" w:rsidRPr="005B0796" w:rsidRDefault="00B903A5" w:rsidP="00594252">
            <w:pPr>
              <w:pStyle w:val="TableText"/>
              <w:jc w:val="right"/>
            </w:pPr>
            <w:r w:rsidRPr="005B0796">
              <w:t>4063</w:t>
            </w:r>
          </w:p>
        </w:tc>
        <w:tc>
          <w:tcPr>
            <w:tcW w:w="1446" w:type="dxa"/>
            <w:hideMark/>
          </w:tcPr>
          <w:p w14:paraId="69870BEF" w14:textId="77777777" w:rsidR="00B903A5" w:rsidRPr="005B0796" w:rsidRDefault="00B903A5" w:rsidP="00594252">
            <w:pPr>
              <w:pStyle w:val="TableText"/>
              <w:jc w:val="right"/>
              <w:rPr>
                <w:rFonts w:cs="Arial"/>
              </w:rPr>
            </w:pPr>
            <w:r w:rsidRPr="005B0796">
              <w:rPr>
                <w:rFonts w:cs="Arial"/>
              </w:rPr>
              <w:t>423</w:t>
            </w:r>
          </w:p>
        </w:tc>
        <w:tc>
          <w:tcPr>
            <w:tcW w:w="1446" w:type="dxa"/>
            <w:hideMark/>
          </w:tcPr>
          <w:p w14:paraId="7CE1B8A5"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252</w:t>
            </w:r>
          </w:p>
        </w:tc>
        <w:tc>
          <w:tcPr>
            <w:tcW w:w="1447" w:type="dxa"/>
            <w:hideMark/>
          </w:tcPr>
          <w:p w14:paraId="7A759690" w14:textId="77777777" w:rsidR="00B903A5" w:rsidRPr="005B0796" w:rsidRDefault="00B903A5" w:rsidP="00594252">
            <w:pPr>
              <w:pStyle w:val="TableText"/>
              <w:jc w:val="right"/>
              <w:rPr>
                <w:rFonts w:cs="Arial"/>
              </w:rPr>
            </w:pPr>
            <w:r w:rsidRPr="005B0796">
              <w:rPr>
                <w:rFonts w:cs="Arial"/>
              </w:rPr>
              <w:t>59.6</w:t>
            </w:r>
          </w:p>
        </w:tc>
      </w:tr>
      <w:tr w:rsidR="00B903A5" w:rsidRPr="005B0796" w14:paraId="3EF3D386" w14:textId="77777777" w:rsidTr="00D268F6">
        <w:trPr>
          <w:cantSplit/>
        </w:trPr>
        <w:tc>
          <w:tcPr>
            <w:tcW w:w="1530" w:type="dxa"/>
            <w:hideMark/>
          </w:tcPr>
          <w:p w14:paraId="75E4C449" w14:textId="77777777" w:rsidR="00B903A5" w:rsidRPr="005B0796" w:rsidRDefault="00B903A5" w:rsidP="00594252">
            <w:pPr>
              <w:pStyle w:val="TableText"/>
              <w:ind w:left="144"/>
            </w:pPr>
            <w:r w:rsidRPr="005B0796">
              <w:t>NCO</w:t>
            </w:r>
          </w:p>
        </w:tc>
        <w:tc>
          <w:tcPr>
            <w:tcW w:w="1446" w:type="dxa"/>
            <w:hideMark/>
          </w:tcPr>
          <w:p w14:paraId="644B2DF0" w14:textId="77777777" w:rsidR="00B903A5" w:rsidRPr="005B0796" w:rsidRDefault="00B903A5" w:rsidP="00594252">
            <w:pPr>
              <w:pStyle w:val="TableText"/>
              <w:jc w:val="right"/>
            </w:pPr>
            <w:r w:rsidRPr="005B0796">
              <w:t>7866</w:t>
            </w:r>
          </w:p>
        </w:tc>
        <w:tc>
          <w:tcPr>
            <w:tcW w:w="1446" w:type="dxa"/>
            <w:hideMark/>
          </w:tcPr>
          <w:p w14:paraId="332E2F1F" w14:textId="77777777" w:rsidR="00B903A5" w:rsidRPr="005B0796" w:rsidRDefault="00B903A5" w:rsidP="00594252">
            <w:pPr>
              <w:pStyle w:val="TableText"/>
              <w:jc w:val="right"/>
              <w:rPr>
                <w:rFonts w:cs="Arial"/>
              </w:rPr>
            </w:pPr>
            <w:r w:rsidRPr="005B0796">
              <w:rPr>
                <w:rFonts w:cs="Arial"/>
              </w:rPr>
              <w:t>694</w:t>
            </w:r>
          </w:p>
        </w:tc>
        <w:tc>
          <w:tcPr>
            <w:tcW w:w="1446" w:type="dxa"/>
            <w:hideMark/>
          </w:tcPr>
          <w:p w14:paraId="0DD2976D"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389</w:t>
            </w:r>
          </w:p>
        </w:tc>
        <w:tc>
          <w:tcPr>
            <w:tcW w:w="1447" w:type="dxa"/>
            <w:hideMark/>
          </w:tcPr>
          <w:p w14:paraId="6307D7EF" w14:textId="77777777" w:rsidR="00B903A5" w:rsidRPr="005B0796" w:rsidRDefault="00B903A5" w:rsidP="00594252">
            <w:pPr>
              <w:pStyle w:val="TableText"/>
              <w:jc w:val="right"/>
              <w:rPr>
                <w:rFonts w:cs="Arial"/>
              </w:rPr>
            </w:pPr>
            <w:r w:rsidRPr="005B0796">
              <w:rPr>
                <w:rFonts w:cs="Arial"/>
              </w:rPr>
              <w:t>56.1</w:t>
            </w:r>
          </w:p>
        </w:tc>
      </w:tr>
      <w:tr w:rsidR="00B903A5" w:rsidRPr="005B0796" w14:paraId="7D8C526B"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2B06A482" w14:textId="77777777" w:rsidR="00B903A5" w:rsidRPr="005B0796" w:rsidRDefault="00B903A5" w:rsidP="00594252">
            <w:pPr>
              <w:pStyle w:val="TableText"/>
              <w:ind w:left="144"/>
            </w:pPr>
            <w:r w:rsidRPr="005B0796">
              <w:t>Other Ranks</w:t>
            </w:r>
          </w:p>
        </w:tc>
        <w:tc>
          <w:tcPr>
            <w:tcW w:w="1446" w:type="dxa"/>
            <w:hideMark/>
          </w:tcPr>
          <w:p w14:paraId="38E1C720" w14:textId="77777777" w:rsidR="00B903A5" w:rsidRPr="005B0796" w:rsidRDefault="00B903A5" w:rsidP="00594252">
            <w:pPr>
              <w:pStyle w:val="TableText"/>
              <w:jc w:val="right"/>
            </w:pPr>
            <w:r w:rsidRPr="005B0796">
              <w:t>13,003</w:t>
            </w:r>
          </w:p>
        </w:tc>
        <w:tc>
          <w:tcPr>
            <w:tcW w:w="1446" w:type="dxa"/>
            <w:hideMark/>
          </w:tcPr>
          <w:p w14:paraId="48A0DD6F" w14:textId="77777777" w:rsidR="00B903A5" w:rsidRPr="005B0796" w:rsidRDefault="00B903A5" w:rsidP="00594252">
            <w:pPr>
              <w:pStyle w:val="TableText"/>
              <w:jc w:val="right"/>
              <w:rPr>
                <w:rFonts w:cs="Arial"/>
              </w:rPr>
            </w:pPr>
            <w:r w:rsidRPr="005B0796">
              <w:rPr>
                <w:rFonts w:cs="Arial"/>
              </w:rPr>
              <w:t>267</w:t>
            </w:r>
          </w:p>
        </w:tc>
        <w:tc>
          <w:tcPr>
            <w:tcW w:w="1446" w:type="dxa"/>
            <w:hideMark/>
          </w:tcPr>
          <w:p w14:paraId="5E5BB7C0"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104</w:t>
            </w:r>
          </w:p>
        </w:tc>
        <w:tc>
          <w:tcPr>
            <w:tcW w:w="1447" w:type="dxa"/>
            <w:hideMark/>
          </w:tcPr>
          <w:p w14:paraId="7FA52513" w14:textId="77777777" w:rsidR="00B903A5" w:rsidRPr="005B0796" w:rsidRDefault="00B903A5" w:rsidP="00594252">
            <w:pPr>
              <w:pStyle w:val="TableText"/>
              <w:jc w:val="right"/>
              <w:rPr>
                <w:rFonts w:cs="Arial"/>
              </w:rPr>
            </w:pPr>
            <w:r w:rsidRPr="005B0796">
              <w:rPr>
                <w:rFonts w:cs="Arial"/>
              </w:rPr>
              <w:t>39.0</w:t>
            </w:r>
          </w:p>
        </w:tc>
      </w:tr>
      <w:tr w:rsidR="00B903A5" w:rsidRPr="005B0796" w14:paraId="642FE335" w14:textId="77777777" w:rsidTr="00D268F6">
        <w:trPr>
          <w:cantSplit/>
        </w:trPr>
        <w:tc>
          <w:tcPr>
            <w:tcW w:w="1530" w:type="dxa"/>
            <w:hideMark/>
          </w:tcPr>
          <w:p w14:paraId="0B42D147" w14:textId="77777777" w:rsidR="00B903A5" w:rsidRPr="005B0796" w:rsidRDefault="00B903A5" w:rsidP="00594252">
            <w:pPr>
              <w:pStyle w:val="TableText"/>
              <w:rPr>
                <w:b/>
              </w:rPr>
            </w:pPr>
            <w:r w:rsidRPr="005B0796">
              <w:rPr>
                <w:b/>
              </w:rPr>
              <w:t>Medical fitness</w:t>
            </w:r>
          </w:p>
        </w:tc>
        <w:tc>
          <w:tcPr>
            <w:tcW w:w="1446" w:type="dxa"/>
          </w:tcPr>
          <w:p w14:paraId="1D6354C1" w14:textId="77777777" w:rsidR="00B903A5" w:rsidRPr="005B0796" w:rsidRDefault="00B903A5" w:rsidP="00594252">
            <w:pPr>
              <w:pStyle w:val="TableText"/>
              <w:jc w:val="right"/>
            </w:pPr>
          </w:p>
        </w:tc>
        <w:tc>
          <w:tcPr>
            <w:tcW w:w="1446" w:type="dxa"/>
          </w:tcPr>
          <w:p w14:paraId="06B7404A" w14:textId="77777777" w:rsidR="00B903A5" w:rsidRPr="005B0796" w:rsidRDefault="00B903A5" w:rsidP="00594252">
            <w:pPr>
              <w:pStyle w:val="TableText"/>
              <w:jc w:val="right"/>
              <w:rPr>
                <w:rFonts w:cs="Arial"/>
              </w:rPr>
            </w:pPr>
          </w:p>
        </w:tc>
        <w:tc>
          <w:tcPr>
            <w:tcW w:w="1446" w:type="dxa"/>
          </w:tcPr>
          <w:p w14:paraId="3F2A17FF" w14:textId="77777777" w:rsidR="00B903A5" w:rsidRPr="005B0796" w:rsidRDefault="00B903A5" w:rsidP="00594252">
            <w:pPr>
              <w:pStyle w:val="TableText"/>
              <w:jc w:val="right"/>
              <w:rPr>
                <w:rFonts w:cs="Arial"/>
                <w:color w:val="000000" w:themeColor="text1"/>
              </w:rPr>
            </w:pPr>
          </w:p>
        </w:tc>
        <w:tc>
          <w:tcPr>
            <w:tcW w:w="1447" w:type="dxa"/>
          </w:tcPr>
          <w:p w14:paraId="4CE7658E" w14:textId="77777777" w:rsidR="00B903A5" w:rsidRPr="005B0796" w:rsidRDefault="00B903A5" w:rsidP="00594252">
            <w:pPr>
              <w:pStyle w:val="TableText"/>
              <w:jc w:val="right"/>
              <w:rPr>
                <w:rFonts w:cs="Arial"/>
              </w:rPr>
            </w:pPr>
          </w:p>
        </w:tc>
      </w:tr>
      <w:tr w:rsidR="00B903A5" w:rsidRPr="005B0796" w14:paraId="3040477D"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1C2C544E" w14:textId="77777777" w:rsidR="00B903A5" w:rsidRPr="005B0796" w:rsidRDefault="00B903A5" w:rsidP="00594252">
            <w:pPr>
              <w:pStyle w:val="TableText"/>
              <w:ind w:left="144"/>
            </w:pPr>
            <w:r w:rsidRPr="005B0796">
              <w:t>Fit</w:t>
            </w:r>
          </w:p>
        </w:tc>
        <w:tc>
          <w:tcPr>
            <w:tcW w:w="1446" w:type="dxa"/>
            <w:hideMark/>
          </w:tcPr>
          <w:p w14:paraId="6BAAE4F6" w14:textId="77777777" w:rsidR="00B903A5" w:rsidRPr="005B0796" w:rsidRDefault="00B903A5" w:rsidP="00594252">
            <w:pPr>
              <w:pStyle w:val="TableText"/>
              <w:jc w:val="right"/>
            </w:pPr>
            <w:r w:rsidRPr="005B0796">
              <w:t>18,273</w:t>
            </w:r>
          </w:p>
        </w:tc>
        <w:tc>
          <w:tcPr>
            <w:tcW w:w="1446" w:type="dxa"/>
            <w:hideMark/>
          </w:tcPr>
          <w:p w14:paraId="161EAD27" w14:textId="77777777" w:rsidR="00B903A5" w:rsidRPr="005B0796" w:rsidRDefault="00B903A5" w:rsidP="00594252">
            <w:pPr>
              <w:pStyle w:val="TableText"/>
              <w:jc w:val="right"/>
              <w:rPr>
                <w:rFonts w:cs="Arial"/>
              </w:rPr>
            </w:pPr>
            <w:r w:rsidRPr="005B0796">
              <w:rPr>
                <w:rFonts w:cs="Arial"/>
              </w:rPr>
              <w:t>932</w:t>
            </w:r>
          </w:p>
        </w:tc>
        <w:tc>
          <w:tcPr>
            <w:tcW w:w="1446" w:type="dxa"/>
            <w:hideMark/>
          </w:tcPr>
          <w:p w14:paraId="31E56758"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521</w:t>
            </w:r>
          </w:p>
        </w:tc>
        <w:tc>
          <w:tcPr>
            <w:tcW w:w="1447" w:type="dxa"/>
            <w:hideMark/>
          </w:tcPr>
          <w:p w14:paraId="48BA5AF5" w14:textId="77777777" w:rsidR="00B903A5" w:rsidRPr="005B0796" w:rsidRDefault="00B903A5" w:rsidP="00594252">
            <w:pPr>
              <w:pStyle w:val="TableText"/>
              <w:jc w:val="right"/>
              <w:rPr>
                <w:rFonts w:cs="Arial"/>
              </w:rPr>
            </w:pPr>
            <w:r w:rsidRPr="005B0796">
              <w:rPr>
                <w:rFonts w:cs="Arial"/>
              </w:rPr>
              <w:t>55.9</w:t>
            </w:r>
          </w:p>
        </w:tc>
      </w:tr>
      <w:tr w:rsidR="00B903A5" w:rsidRPr="005B0796" w14:paraId="1E347B13" w14:textId="77777777" w:rsidTr="00D268F6">
        <w:trPr>
          <w:cantSplit/>
        </w:trPr>
        <w:tc>
          <w:tcPr>
            <w:tcW w:w="1530" w:type="dxa"/>
            <w:hideMark/>
          </w:tcPr>
          <w:p w14:paraId="2D036220" w14:textId="77777777" w:rsidR="00B903A5" w:rsidRPr="005B0796" w:rsidRDefault="00B903A5" w:rsidP="00594252">
            <w:pPr>
              <w:pStyle w:val="TableText"/>
              <w:ind w:left="144"/>
            </w:pPr>
            <w:r w:rsidRPr="005B0796">
              <w:t>Unfit</w:t>
            </w:r>
          </w:p>
        </w:tc>
        <w:tc>
          <w:tcPr>
            <w:tcW w:w="1446" w:type="dxa"/>
            <w:hideMark/>
          </w:tcPr>
          <w:p w14:paraId="75D825B0" w14:textId="77777777" w:rsidR="00B903A5" w:rsidRPr="005B0796" w:rsidRDefault="00B903A5" w:rsidP="00594252">
            <w:pPr>
              <w:pStyle w:val="TableText"/>
              <w:jc w:val="right"/>
            </w:pPr>
            <w:r w:rsidRPr="005B0796">
              <w:t>6659</w:t>
            </w:r>
          </w:p>
        </w:tc>
        <w:tc>
          <w:tcPr>
            <w:tcW w:w="1446" w:type="dxa"/>
            <w:hideMark/>
          </w:tcPr>
          <w:p w14:paraId="002AB665" w14:textId="77777777" w:rsidR="00B903A5" w:rsidRPr="005B0796" w:rsidRDefault="00B903A5" w:rsidP="00594252">
            <w:pPr>
              <w:pStyle w:val="TableText"/>
              <w:jc w:val="right"/>
              <w:rPr>
                <w:rFonts w:cs="Arial"/>
              </w:rPr>
            </w:pPr>
            <w:r w:rsidRPr="005B0796">
              <w:rPr>
                <w:rFonts w:cs="Arial"/>
              </w:rPr>
              <w:t>443</w:t>
            </w:r>
          </w:p>
        </w:tc>
        <w:tc>
          <w:tcPr>
            <w:tcW w:w="1446" w:type="dxa"/>
            <w:hideMark/>
          </w:tcPr>
          <w:p w14:paraId="01A3F213"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219</w:t>
            </w:r>
          </w:p>
        </w:tc>
        <w:tc>
          <w:tcPr>
            <w:tcW w:w="1447" w:type="dxa"/>
            <w:hideMark/>
          </w:tcPr>
          <w:p w14:paraId="098A6AEB" w14:textId="77777777" w:rsidR="00B903A5" w:rsidRPr="005B0796" w:rsidRDefault="00B903A5" w:rsidP="00594252">
            <w:pPr>
              <w:pStyle w:val="TableText"/>
              <w:jc w:val="right"/>
              <w:rPr>
                <w:rFonts w:cs="Arial"/>
              </w:rPr>
            </w:pPr>
            <w:r w:rsidRPr="005B0796">
              <w:rPr>
                <w:rFonts w:cs="Arial"/>
              </w:rPr>
              <w:t>49.4</w:t>
            </w:r>
          </w:p>
        </w:tc>
      </w:tr>
      <w:tr w:rsidR="00B903A5" w:rsidRPr="005B0796" w14:paraId="03C940A6"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30" w:type="dxa"/>
            <w:hideMark/>
          </w:tcPr>
          <w:p w14:paraId="5E623B74" w14:textId="77777777" w:rsidR="00B903A5" w:rsidRPr="005B0796" w:rsidRDefault="00B903A5" w:rsidP="00594252">
            <w:pPr>
              <w:pStyle w:val="TableText"/>
              <w:rPr>
                <w:b/>
              </w:rPr>
            </w:pPr>
            <w:r w:rsidRPr="005B0796">
              <w:rPr>
                <w:b/>
              </w:rPr>
              <w:t>Total</w:t>
            </w:r>
          </w:p>
        </w:tc>
        <w:tc>
          <w:tcPr>
            <w:tcW w:w="1446" w:type="dxa"/>
            <w:hideMark/>
          </w:tcPr>
          <w:p w14:paraId="798FA9C7" w14:textId="77777777" w:rsidR="00B903A5" w:rsidRPr="005B0796" w:rsidRDefault="00B903A5" w:rsidP="00594252">
            <w:pPr>
              <w:pStyle w:val="TableText"/>
              <w:jc w:val="right"/>
            </w:pPr>
            <w:r w:rsidRPr="005B0796">
              <w:t>24,932</w:t>
            </w:r>
          </w:p>
        </w:tc>
        <w:tc>
          <w:tcPr>
            <w:tcW w:w="1446" w:type="dxa"/>
            <w:hideMark/>
          </w:tcPr>
          <w:p w14:paraId="177132ED" w14:textId="77777777" w:rsidR="00B903A5" w:rsidRPr="005B0796" w:rsidRDefault="00B903A5" w:rsidP="00594252">
            <w:pPr>
              <w:pStyle w:val="TableText"/>
              <w:jc w:val="right"/>
            </w:pPr>
            <w:r w:rsidRPr="005B0796">
              <w:t>1384</w:t>
            </w:r>
          </w:p>
        </w:tc>
        <w:tc>
          <w:tcPr>
            <w:tcW w:w="1446" w:type="dxa"/>
            <w:hideMark/>
          </w:tcPr>
          <w:p w14:paraId="6CBB7CD8" w14:textId="77777777" w:rsidR="00B903A5" w:rsidRPr="005B0796" w:rsidRDefault="00B903A5" w:rsidP="00594252">
            <w:pPr>
              <w:pStyle w:val="TableText"/>
              <w:jc w:val="right"/>
            </w:pPr>
            <w:r w:rsidRPr="005B0796">
              <w:t>745</w:t>
            </w:r>
          </w:p>
        </w:tc>
        <w:tc>
          <w:tcPr>
            <w:tcW w:w="1447" w:type="dxa"/>
            <w:hideMark/>
          </w:tcPr>
          <w:p w14:paraId="6FB166FF" w14:textId="77777777" w:rsidR="00B903A5" w:rsidRPr="005B0796" w:rsidRDefault="00B903A5" w:rsidP="00594252">
            <w:pPr>
              <w:pStyle w:val="TableText"/>
              <w:jc w:val="right"/>
            </w:pPr>
            <w:r w:rsidRPr="005B0796">
              <w:t>53.8</w:t>
            </w:r>
          </w:p>
        </w:tc>
      </w:tr>
    </w:tbl>
    <w:p w14:paraId="5AC1C518" w14:textId="77777777" w:rsidR="00B903A5" w:rsidRPr="00011353" w:rsidRDefault="00B903A5" w:rsidP="00B903A5">
      <w:pPr>
        <w:pStyle w:val="TableNotes"/>
        <w:rPr>
          <w:b/>
        </w:rPr>
      </w:pPr>
      <w:r w:rsidRPr="00011353">
        <w:rPr>
          <w:b/>
        </w:rPr>
        <w:t>Notes</w:t>
      </w:r>
    </w:p>
    <w:p w14:paraId="56B30AAD" w14:textId="77777777" w:rsidR="00B903A5" w:rsidRDefault="00B903A5" w:rsidP="00B903A5">
      <w:pPr>
        <w:pStyle w:val="TableNotes"/>
      </w:pPr>
      <w:r w:rsidRPr="005B0796">
        <w:t>Denominator: Transitioned ADF Invited to participate in the CIDI interview</w:t>
      </w:r>
      <w:r>
        <w:t>.</w:t>
      </w:r>
    </w:p>
    <w:p w14:paraId="2DAD6A56" w14:textId="77777777" w:rsidR="00B903A5" w:rsidRPr="00011353" w:rsidRDefault="00B903A5" w:rsidP="00B903A5">
      <w:pPr>
        <w:pStyle w:val="TableNotes"/>
      </w:pPr>
      <w:r w:rsidRPr="005B0796">
        <w:t>Unweighted data</w:t>
      </w:r>
      <w:r>
        <w:t>.</w:t>
      </w:r>
    </w:p>
    <w:p w14:paraId="70D536C3" w14:textId="77777777" w:rsidR="00B903A5" w:rsidRPr="005B0796" w:rsidRDefault="00B903A5" w:rsidP="00B903A5">
      <w:pPr>
        <w:pStyle w:val="TableNotes"/>
        <w:rPr>
          <w:bCs/>
        </w:rPr>
      </w:pPr>
      <w:r w:rsidRPr="005B0796">
        <w:rPr>
          <w:bCs/>
        </w:rPr>
        <w:t>95%CI</w:t>
      </w:r>
      <w:r>
        <w:rPr>
          <w:bCs/>
        </w:rPr>
        <w:t xml:space="preserve"> =</w:t>
      </w:r>
      <w:r w:rsidRPr="005B0796">
        <w:rPr>
          <w:bCs/>
        </w:rPr>
        <w:t xml:space="preserve"> 95% confidence interval</w:t>
      </w:r>
      <w:r>
        <w:rPr>
          <w:bCs/>
        </w:rPr>
        <w:t>.</w:t>
      </w:r>
    </w:p>
    <w:p w14:paraId="3EA2C8A8" w14:textId="77777777" w:rsidR="00B903A5" w:rsidRPr="005B0796" w:rsidRDefault="00B903A5" w:rsidP="00B903A5">
      <w:r w:rsidRPr="005B0796">
        <w:t>The characteristics of Transitioned CIDI respondents were as follows:</w:t>
      </w:r>
    </w:p>
    <w:p w14:paraId="05F8AB94" w14:textId="77777777" w:rsidR="00B903A5" w:rsidRPr="005B0796" w:rsidRDefault="00B903A5" w:rsidP="00B903A5">
      <w:r w:rsidRPr="005B0796">
        <w:rPr>
          <w:b/>
          <w:bCs/>
        </w:rPr>
        <w:t>Sex</w:t>
      </w:r>
      <w:r w:rsidRPr="005B0796">
        <w:t xml:space="preserve"> – Consistent with the Transitioned ADF population, the CIDI sample was predominantly male; however, </w:t>
      </w:r>
      <w:r>
        <w:t>t</w:t>
      </w:r>
      <w:r w:rsidRPr="005B0796">
        <w:t>ransitioned females were less likely to complete a CIDI interview than transitioned males.</w:t>
      </w:r>
    </w:p>
    <w:p w14:paraId="2FDAF860" w14:textId="77777777" w:rsidR="00B903A5" w:rsidRPr="005B0796" w:rsidRDefault="00B903A5" w:rsidP="00B903A5">
      <w:pPr>
        <w:spacing w:before="100" w:beforeAutospacing="1" w:after="100" w:afterAutospacing="1"/>
      </w:pPr>
      <w:r w:rsidRPr="005B0796">
        <w:rPr>
          <w:b/>
        </w:rPr>
        <w:t>Age</w:t>
      </w:r>
      <w:r>
        <w:rPr>
          <w:b/>
        </w:rPr>
        <w:t xml:space="preserve"> </w:t>
      </w:r>
      <w:r>
        <w:t>–</w:t>
      </w:r>
      <w:r w:rsidRPr="005B0796">
        <w:t xml:space="preserve"> Transitioned CIDI responders were significantly older </w:t>
      </w:r>
      <w:r>
        <w:t>(</w:t>
      </w:r>
      <w:r w:rsidRPr="005B0796">
        <w:t xml:space="preserve">45.6 </w:t>
      </w:r>
      <w:r>
        <w:t>[</w:t>
      </w:r>
      <w:r w:rsidRPr="005B0796">
        <w:t>SE=0.4</w:t>
      </w:r>
      <w:r>
        <w:t>]</w:t>
      </w:r>
      <w:r w:rsidRPr="005B0796">
        <w:t>) than non-responders 40.4 (SE 0.5).</w:t>
      </w:r>
    </w:p>
    <w:p w14:paraId="7E7749C5" w14:textId="77777777" w:rsidR="00B903A5" w:rsidRPr="005B0796" w:rsidRDefault="00B903A5" w:rsidP="00B903A5">
      <w:pPr>
        <w:spacing w:before="100" w:beforeAutospacing="1" w:after="100" w:afterAutospacing="1"/>
      </w:pPr>
      <w:r w:rsidRPr="005B0796">
        <w:rPr>
          <w:b/>
          <w:bCs/>
        </w:rPr>
        <w:t>Rank</w:t>
      </w:r>
      <w:r w:rsidRPr="005B0796">
        <w:t xml:space="preserve"> – CIDI responders comprised 33.8% Officers, 52.2% Non-Commissioned Officers and 14.0% Other Ranks. ADF members in the Other Ranks had a significantly lower response rate (39.0%) compared to above 50% for those invited in Non-Commissioned Officers and Officers who were more likely to respond. </w:t>
      </w:r>
    </w:p>
    <w:p w14:paraId="41561509" w14:textId="77777777" w:rsidR="00B903A5" w:rsidRPr="005B0796" w:rsidRDefault="00B903A5" w:rsidP="00B903A5">
      <w:pPr>
        <w:spacing w:before="100" w:beforeAutospacing="1" w:after="100" w:afterAutospacing="1"/>
      </w:pPr>
      <w:r w:rsidRPr="005B0796">
        <w:rPr>
          <w:b/>
          <w:bCs/>
        </w:rPr>
        <w:t>Service</w:t>
      </w:r>
      <w:r>
        <w:rPr>
          <w:b/>
          <w:bCs/>
        </w:rPr>
        <w:t xml:space="preserve"> </w:t>
      </w:r>
      <w:r>
        <w:t>–</w:t>
      </w:r>
      <w:r w:rsidRPr="005B0796">
        <w:t xml:space="preserve"> 20.1% of CIDI responders were Navy, 56.9% were Army and 23.0% were Air Force. There was no significant difference between CIDI responders and non-responders in relation to </w:t>
      </w:r>
      <w:r>
        <w:t>s</w:t>
      </w:r>
      <w:r w:rsidRPr="005B0796">
        <w:t xml:space="preserve">ervice. </w:t>
      </w:r>
    </w:p>
    <w:p w14:paraId="1E71C786" w14:textId="77777777" w:rsidR="00B903A5" w:rsidRPr="005B0796" w:rsidRDefault="00B903A5" w:rsidP="00B903A5">
      <w:r w:rsidRPr="005B0796">
        <w:rPr>
          <w:b/>
          <w:bCs/>
        </w:rPr>
        <w:t xml:space="preserve">Medical fitness </w:t>
      </w:r>
      <w:r w:rsidRPr="005B0796">
        <w:t xml:space="preserve">– Transitioned ADF who were medically unfit on transition from </w:t>
      </w:r>
      <w:r>
        <w:t xml:space="preserve">the </w:t>
      </w:r>
      <w:r w:rsidRPr="005B0796">
        <w:t>Regular ADF comprised 29.4% of CIDI responders.</w:t>
      </w:r>
    </w:p>
    <w:p w14:paraId="0E001D93" w14:textId="77777777" w:rsidR="00B903A5" w:rsidRPr="005B0796" w:rsidRDefault="00B903A5" w:rsidP="00B903A5">
      <w:pPr>
        <w:pStyle w:val="TableName"/>
        <w:rPr>
          <w:lang w:eastAsia="en-AU"/>
        </w:rPr>
      </w:pPr>
      <w:bookmarkStart w:id="1398" w:name="_Toc479243374"/>
      <w:bookmarkStart w:id="1399" w:name="_Toc486936018"/>
      <w:bookmarkStart w:id="1400" w:name="_Toc487014342"/>
      <w:bookmarkStart w:id="1401" w:name="_Toc492995645"/>
      <w:bookmarkStart w:id="1402" w:name="_Toc528932381"/>
      <w:bookmarkStart w:id="1403" w:name="_Toc531858060"/>
      <w:r w:rsidRPr="005B0796">
        <w:t>Table A.5</w:t>
      </w:r>
      <w:r w:rsidRPr="005B0796">
        <w:tab/>
        <w:t>Demographic characteristics of stratified Transitioned ADF CIDI responders</w:t>
      </w:r>
      <w:bookmarkEnd w:id="1398"/>
      <w:bookmarkEnd w:id="1399"/>
      <w:bookmarkEnd w:id="1400"/>
      <w:bookmarkEnd w:id="1401"/>
      <w:bookmarkEnd w:id="1402"/>
      <w:bookmarkEnd w:id="1403"/>
    </w:p>
    <w:tbl>
      <w:tblPr>
        <w:tblStyle w:val="TWRPTable"/>
        <w:tblW w:w="5000" w:type="pct"/>
        <w:tblLayout w:type="fixed"/>
        <w:tblLook w:val="04A0" w:firstRow="1" w:lastRow="0" w:firstColumn="1" w:lastColumn="0" w:noHBand="0" w:noVBand="1"/>
        <w:tblDescription w:val="Table A.5 Demographic characteristics of stratified Transitioned ADF CIDI responders"/>
      </w:tblPr>
      <w:tblGrid>
        <w:gridCol w:w="1502"/>
        <w:gridCol w:w="1862"/>
        <w:gridCol w:w="1862"/>
        <w:gridCol w:w="1863"/>
      </w:tblGrid>
      <w:tr w:rsidR="00B903A5" w:rsidRPr="005B0796" w14:paraId="1F8C6791"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val="restart"/>
          </w:tcPr>
          <w:p w14:paraId="357B453A" w14:textId="77777777" w:rsidR="00B903A5" w:rsidRPr="005B0796" w:rsidRDefault="00B903A5" w:rsidP="00594252">
            <w:pPr>
              <w:pStyle w:val="TableText"/>
            </w:pPr>
          </w:p>
        </w:tc>
        <w:tc>
          <w:tcPr>
            <w:tcW w:w="5767" w:type="dxa"/>
            <w:gridSpan w:val="3"/>
            <w:hideMark/>
          </w:tcPr>
          <w:p w14:paraId="551B9E15" w14:textId="77777777" w:rsidR="00B903A5" w:rsidRPr="005B0796" w:rsidRDefault="00B903A5" w:rsidP="00594252">
            <w:pPr>
              <w:pStyle w:val="TableText"/>
              <w:jc w:val="center"/>
            </w:pPr>
            <w:r w:rsidRPr="005B0796">
              <w:t>Stratified Transitioned ADF CIDI responders</w:t>
            </w:r>
            <w:r w:rsidRPr="005B0796">
              <w:br/>
              <w:t>(</w:t>
            </w:r>
            <w:r>
              <w:t>n=</w:t>
            </w:r>
            <w:r w:rsidRPr="005B0796">
              <w:t>745)</w:t>
            </w:r>
          </w:p>
        </w:tc>
      </w:tr>
      <w:tr w:rsidR="00B903A5" w:rsidRPr="005B0796" w14:paraId="0799567C"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tcPr>
          <w:p w14:paraId="686DFAA4" w14:textId="77777777" w:rsidR="00B903A5" w:rsidRPr="005B0796" w:rsidRDefault="00B903A5" w:rsidP="00594252">
            <w:pPr>
              <w:pStyle w:val="TableText"/>
              <w:rPr>
                <w:rFonts w:cs="Arial"/>
              </w:rPr>
            </w:pPr>
          </w:p>
        </w:tc>
        <w:tc>
          <w:tcPr>
            <w:tcW w:w="1922" w:type="dxa"/>
            <w:hideMark/>
          </w:tcPr>
          <w:p w14:paraId="5E356508" w14:textId="77777777" w:rsidR="00B903A5" w:rsidRPr="005B0796" w:rsidRDefault="00B903A5" w:rsidP="00594252">
            <w:pPr>
              <w:pStyle w:val="TableText"/>
              <w:jc w:val="right"/>
              <w:rPr>
                <w:rFonts w:cs="Arial"/>
              </w:rPr>
            </w:pPr>
            <w:r w:rsidRPr="005B0796">
              <w:rPr>
                <w:rFonts w:cs="Arial"/>
              </w:rPr>
              <w:t>n</w:t>
            </w:r>
          </w:p>
        </w:tc>
        <w:tc>
          <w:tcPr>
            <w:tcW w:w="1922" w:type="dxa"/>
            <w:hideMark/>
          </w:tcPr>
          <w:p w14:paraId="4171BC9F" w14:textId="77777777" w:rsidR="00B903A5" w:rsidRPr="005B0796" w:rsidRDefault="00B903A5" w:rsidP="00594252">
            <w:pPr>
              <w:pStyle w:val="TableText"/>
              <w:jc w:val="right"/>
              <w:rPr>
                <w:rFonts w:cs="Arial"/>
              </w:rPr>
            </w:pPr>
            <w:r w:rsidRPr="005B0796">
              <w:rPr>
                <w:rFonts w:cs="Arial"/>
              </w:rPr>
              <w:t>%</w:t>
            </w:r>
          </w:p>
        </w:tc>
        <w:tc>
          <w:tcPr>
            <w:tcW w:w="1923" w:type="dxa"/>
            <w:hideMark/>
          </w:tcPr>
          <w:p w14:paraId="435DFC00" w14:textId="77777777" w:rsidR="00B903A5" w:rsidRPr="005B0796" w:rsidRDefault="00B903A5" w:rsidP="00594252">
            <w:pPr>
              <w:pStyle w:val="TableText"/>
              <w:jc w:val="right"/>
              <w:rPr>
                <w:rFonts w:cs="Arial"/>
              </w:rPr>
            </w:pPr>
            <w:r w:rsidRPr="005B0796">
              <w:rPr>
                <w:rFonts w:cs="Arial"/>
              </w:rPr>
              <w:t>95% CI</w:t>
            </w:r>
          </w:p>
        </w:tc>
      </w:tr>
      <w:tr w:rsidR="00B903A5" w:rsidRPr="005B0796" w14:paraId="626A6D19"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2097754B" w14:textId="77777777" w:rsidR="00B903A5" w:rsidRPr="005B0796" w:rsidRDefault="00B903A5" w:rsidP="00594252">
            <w:pPr>
              <w:pStyle w:val="TableText"/>
              <w:rPr>
                <w:rFonts w:cs="Arial"/>
                <w:b/>
              </w:rPr>
            </w:pPr>
            <w:r w:rsidRPr="005B0796">
              <w:rPr>
                <w:b/>
              </w:rPr>
              <w:t>Age (M, SE)</w:t>
            </w:r>
          </w:p>
        </w:tc>
        <w:tc>
          <w:tcPr>
            <w:tcW w:w="1922" w:type="dxa"/>
            <w:hideMark/>
          </w:tcPr>
          <w:p w14:paraId="6D7B7218"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45.6</w:t>
            </w:r>
          </w:p>
        </w:tc>
        <w:tc>
          <w:tcPr>
            <w:tcW w:w="1922" w:type="dxa"/>
            <w:hideMark/>
          </w:tcPr>
          <w:p w14:paraId="33D4F73C"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0.4</w:t>
            </w:r>
          </w:p>
        </w:tc>
        <w:tc>
          <w:tcPr>
            <w:tcW w:w="1923" w:type="dxa"/>
          </w:tcPr>
          <w:p w14:paraId="0C1D7DA9" w14:textId="77777777" w:rsidR="00B903A5" w:rsidRPr="005B0796" w:rsidRDefault="00B903A5" w:rsidP="00594252">
            <w:pPr>
              <w:pStyle w:val="TableText"/>
              <w:jc w:val="right"/>
              <w:rPr>
                <w:rFonts w:cs="Arial"/>
              </w:rPr>
            </w:pPr>
          </w:p>
        </w:tc>
      </w:tr>
      <w:tr w:rsidR="00B903A5" w:rsidRPr="005B0796" w14:paraId="55D79EEA" w14:textId="77777777" w:rsidTr="00D268F6">
        <w:trPr>
          <w:cantSplit/>
        </w:trPr>
        <w:tc>
          <w:tcPr>
            <w:tcW w:w="1548" w:type="dxa"/>
            <w:hideMark/>
          </w:tcPr>
          <w:p w14:paraId="27E83478" w14:textId="77777777" w:rsidR="00B903A5" w:rsidRPr="005B0796" w:rsidRDefault="00B903A5" w:rsidP="00594252">
            <w:pPr>
              <w:pStyle w:val="TableText"/>
              <w:rPr>
                <w:b/>
              </w:rPr>
            </w:pPr>
            <w:r w:rsidRPr="005B0796">
              <w:rPr>
                <w:b/>
              </w:rPr>
              <w:t>Age group</w:t>
            </w:r>
          </w:p>
        </w:tc>
        <w:tc>
          <w:tcPr>
            <w:tcW w:w="1922" w:type="dxa"/>
          </w:tcPr>
          <w:p w14:paraId="1231B803" w14:textId="77777777" w:rsidR="00B903A5" w:rsidRPr="005B0796" w:rsidRDefault="00B903A5" w:rsidP="00594252">
            <w:pPr>
              <w:pStyle w:val="TableText"/>
              <w:jc w:val="right"/>
              <w:rPr>
                <w:rFonts w:cs="Arial"/>
              </w:rPr>
            </w:pPr>
          </w:p>
        </w:tc>
        <w:tc>
          <w:tcPr>
            <w:tcW w:w="1922" w:type="dxa"/>
          </w:tcPr>
          <w:p w14:paraId="186D0B75" w14:textId="77777777" w:rsidR="00B903A5" w:rsidRPr="005B0796" w:rsidRDefault="00B903A5" w:rsidP="00594252">
            <w:pPr>
              <w:pStyle w:val="TableText"/>
              <w:jc w:val="right"/>
              <w:rPr>
                <w:rFonts w:cs="Arial"/>
              </w:rPr>
            </w:pPr>
          </w:p>
        </w:tc>
        <w:tc>
          <w:tcPr>
            <w:tcW w:w="1923" w:type="dxa"/>
          </w:tcPr>
          <w:p w14:paraId="2A5D3C1B" w14:textId="77777777" w:rsidR="00B903A5" w:rsidRPr="005B0796" w:rsidRDefault="00B903A5" w:rsidP="00594252">
            <w:pPr>
              <w:pStyle w:val="TableText"/>
              <w:jc w:val="right"/>
              <w:rPr>
                <w:rFonts w:cs="Arial"/>
              </w:rPr>
            </w:pPr>
          </w:p>
        </w:tc>
      </w:tr>
      <w:tr w:rsidR="00B903A5" w:rsidRPr="005B0796" w14:paraId="6D77FD1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BF85F4F" w14:textId="77777777" w:rsidR="00B903A5" w:rsidRPr="005B0796" w:rsidRDefault="00B903A5" w:rsidP="00594252">
            <w:pPr>
              <w:pStyle w:val="TableText"/>
              <w:ind w:left="144"/>
            </w:pPr>
            <w:r w:rsidRPr="005B0796">
              <w:t>18–27</w:t>
            </w:r>
          </w:p>
        </w:tc>
        <w:tc>
          <w:tcPr>
            <w:tcW w:w="1922" w:type="dxa"/>
            <w:hideMark/>
          </w:tcPr>
          <w:p w14:paraId="126D2D8C"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50</w:t>
            </w:r>
          </w:p>
        </w:tc>
        <w:tc>
          <w:tcPr>
            <w:tcW w:w="1922" w:type="dxa"/>
            <w:hideMark/>
          </w:tcPr>
          <w:p w14:paraId="01791128"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6.7</w:t>
            </w:r>
          </w:p>
        </w:tc>
        <w:tc>
          <w:tcPr>
            <w:tcW w:w="1923" w:type="dxa"/>
            <w:hideMark/>
          </w:tcPr>
          <w:p w14:paraId="1C93CEFA"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(5.1, 8.7)</w:t>
            </w:r>
          </w:p>
        </w:tc>
      </w:tr>
      <w:tr w:rsidR="00B903A5" w:rsidRPr="005B0796" w14:paraId="6A8A69D4" w14:textId="77777777" w:rsidTr="00D268F6">
        <w:trPr>
          <w:cantSplit/>
        </w:trPr>
        <w:tc>
          <w:tcPr>
            <w:tcW w:w="1548" w:type="dxa"/>
            <w:hideMark/>
          </w:tcPr>
          <w:p w14:paraId="2F34A658" w14:textId="77777777" w:rsidR="00B903A5" w:rsidRPr="005B0796" w:rsidRDefault="00B903A5" w:rsidP="00594252">
            <w:pPr>
              <w:pStyle w:val="TableText"/>
              <w:ind w:left="144"/>
            </w:pPr>
            <w:r w:rsidRPr="005B0796">
              <w:t>28–37</w:t>
            </w:r>
          </w:p>
        </w:tc>
        <w:tc>
          <w:tcPr>
            <w:tcW w:w="1922" w:type="dxa"/>
            <w:hideMark/>
          </w:tcPr>
          <w:p w14:paraId="11DE5783"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171</w:t>
            </w:r>
          </w:p>
        </w:tc>
        <w:tc>
          <w:tcPr>
            <w:tcW w:w="1922" w:type="dxa"/>
            <w:hideMark/>
          </w:tcPr>
          <w:p w14:paraId="19CFF264"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23.0</w:t>
            </w:r>
          </w:p>
        </w:tc>
        <w:tc>
          <w:tcPr>
            <w:tcW w:w="1923" w:type="dxa"/>
            <w:hideMark/>
          </w:tcPr>
          <w:p w14:paraId="5992A9D6"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(20.1, 26.1)</w:t>
            </w:r>
          </w:p>
        </w:tc>
      </w:tr>
      <w:tr w:rsidR="00B903A5" w:rsidRPr="005B0796" w14:paraId="7B7A0E6A"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5B0AEA37" w14:textId="77777777" w:rsidR="00B903A5" w:rsidRPr="005B0796" w:rsidRDefault="00B903A5" w:rsidP="00594252">
            <w:pPr>
              <w:pStyle w:val="TableText"/>
              <w:ind w:left="144"/>
            </w:pPr>
            <w:r w:rsidRPr="005B0796">
              <w:t>38–47</w:t>
            </w:r>
          </w:p>
        </w:tc>
        <w:tc>
          <w:tcPr>
            <w:tcW w:w="1922" w:type="dxa"/>
            <w:hideMark/>
          </w:tcPr>
          <w:p w14:paraId="4CC83804"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177</w:t>
            </w:r>
          </w:p>
        </w:tc>
        <w:tc>
          <w:tcPr>
            <w:tcW w:w="1922" w:type="dxa"/>
            <w:hideMark/>
          </w:tcPr>
          <w:p w14:paraId="3819CAD8"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23.0</w:t>
            </w:r>
          </w:p>
        </w:tc>
        <w:tc>
          <w:tcPr>
            <w:tcW w:w="1923" w:type="dxa"/>
            <w:hideMark/>
          </w:tcPr>
          <w:p w14:paraId="50878EB1"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(20.8, 26.9)</w:t>
            </w:r>
          </w:p>
        </w:tc>
      </w:tr>
      <w:tr w:rsidR="00B903A5" w:rsidRPr="005B0796" w14:paraId="5684926D" w14:textId="77777777" w:rsidTr="00D268F6">
        <w:trPr>
          <w:cantSplit/>
        </w:trPr>
        <w:tc>
          <w:tcPr>
            <w:tcW w:w="1548" w:type="dxa"/>
            <w:hideMark/>
          </w:tcPr>
          <w:p w14:paraId="1487EADA" w14:textId="77777777" w:rsidR="00B903A5" w:rsidRPr="005B0796" w:rsidRDefault="00B903A5" w:rsidP="00594252">
            <w:pPr>
              <w:pStyle w:val="TableText"/>
              <w:ind w:left="144"/>
            </w:pPr>
            <w:r w:rsidRPr="005B0796">
              <w:t>48–57</w:t>
            </w:r>
          </w:p>
        </w:tc>
        <w:tc>
          <w:tcPr>
            <w:tcW w:w="1922" w:type="dxa"/>
            <w:hideMark/>
          </w:tcPr>
          <w:p w14:paraId="3D4967DD"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179</w:t>
            </w:r>
          </w:p>
        </w:tc>
        <w:tc>
          <w:tcPr>
            <w:tcW w:w="1922" w:type="dxa"/>
            <w:hideMark/>
          </w:tcPr>
          <w:p w14:paraId="44226BBE"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24.0</w:t>
            </w:r>
          </w:p>
        </w:tc>
        <w:tc>
          <w:tcPr>
            <w:tcW w:w="1923" w:type="dxa"/>
            <w:hideMark/>
          </w:tcPr>
          <w:p w14:paraId="778C256C"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(21.1, 27.2)</w:t>
            </w:r>
          </w:p>
        </w:tc>
      </w:tr>
      <w:tr w:rsidR="00B903A5" w:rsidRPr="005B0796" w14:paraId="7563DD2F"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6F2328B" w14:textId="77777777" w:rsidR="00B903A5" w:rsidRPr="005B0796" w:rsidRDefault="00B903A5" w:rsidP="00594252">
            <w:pPr>
              <w:pStyle w:val="TableText"/>
              <w:ind w:left="144"/>
            </w:pPr>
            <w:r w:rsidRPr="005B0796">
              <w:t>58+</w:t>
            </w:r>
          </w:p>
        </w:tc>
        <w:tc>
          <w:tcPr>
            <w:tcW w:w="1922" w:type="dxa"/>
            <w:hideMark/>
          </w:tcPr>
          <w:p w14:paraId="0489DB43"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163</w:t>
            </w:r>
          </w:p>
        </w:tc>
        <w:tc>
          <w:tcPr>
            <w:tcW w:w="1922" w:type="dxa"/>
            <w:hideMark/>
          </w:tcPr>
          <w:p w14:paraId="37AD47DF"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21.9</w:t>
            </w:r>
          </w:p>
        </w:tc>
        <w:tc>
          <w:tcPr>
            <w:tcW w:w="1923" w:type="dxa"/>
            <w:hideMark/>
          </w:tcPr>
          <w:p w14:paraId="0DAB0823"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(19.1, 25.0)</w:t>
            </w:r>
          </w:p>
        </w:tc>
      </w:tr>
      <w:tr w:rsidR="00B903A5" w:rsidRPr="005B0796" w14:paraId="73EA0507" w14:textId="77777777" w:rsidTr="00D268F6">
        <w:trPr>
          <w:cantSplit/>
        </w:trPr>
        <w:tc>
          <w:tcPr>
            <w:tcW w:w="1548" w:type="dxa"/>
            <w:hideMark/>
          </w:tcPr>
          <w:p w14:paraId="1329564D" w14:textId="77777777" w:rsidR="00B903A5" w:rsidRPr="005B0796" w:rsidRDefault="00B903A5" w:rsidP="00594252">
            <w:pPr>
              <w:pStyle w:val="TableText"/>
              <w:rPr>
                <w:b/>
              </w:rPr>
            </w:pPr>
            <w:r w:rsidRPr="005B0796">
              <w:rPr>
                <w:b/>
              </w:rPr>
              <w:t>Sex</w:t>
            </w:r>
          </w:p>
        </w:tc>
        <w:tc>
          <w:tcPr>
            <w:tcW w:w="1922" w:type="dxa"/>
          </w:tcPr>
          <w:p w14:paraId="33E09620" w14:textId="77777777" w:rsidR="00B903A5" w:rsidRPr="005B0796" w:rsidRDefault="00B903A5" w:rsidP="00594252">
            <w:pPr>
              <w:pStyle w:val="TableText"/>
              <w:jc w:val="right"/>
              <w:rPr>
                <w:rFonts w:cs="Arial"/>
                <w:color w:val="000000" w:themeColor="text1"/>
              </w:rPr>
            </w:pPr>
          </w:p>
        </w:tc>
        <w:tc>
          <w:tcPr>
            <w:tcW w:w="1922" w:type="dxa"/>
          </w:tcPr>
          <w:p w14:paraId="49EC0E69" w14:textId="77777777" w:rsidR="00B903A5" w:rsidRPr="005B0796" w:rsidRDefault="00B903A5" w:rsidP="00594252">
            <w:pPr>
              <w:pStyle w:val="TableText"/>
              <w:jc w:val="right"/>
              <w:rPr>
                <w:rFonts w:cs="Arial"/>
                <w:color w:val="000000" w:themeColor="text1"/>
              </w:rPr>
            </w:pPr>
          </w:p>
        </w:tc>
        <w:tc>
          <w:tcPr>
            <w:tcW w:w="1923" w:type="dxa"/>
          </w:tcPr>
          <w:p w14:paraId="7FF1A23D" w14:textId="77777777" w:rsidR="00B903A5" w:rsidRPr="005B0796" w:rsidRDefault="00B903A5" w:rsidP="00594252">
            <w:pPr>
              <w:pStyle w:val="TableText"/>
              <w:jc w:val="right"/>
              <w:rPr>
                <w:rFonts w:cs="Arial"/>
                <w:color w:val="000000" w:themeColor="text1"/>
              </w:rPr>
            </w:pPr>
          </w:p>
        </w:tc>
      </w:tr>
      <w:tr w:rsidR="00B903A5" w:rsidRPr="005B0796" w14:paraId="211EB9DF"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73CFDBF2" w14:textId="77777777" w:rsidR="00B903A5" w:rsidRPr="005B0796" w:rsidRDefault="00B903A5" w:rsidP="00594252">
            <w:pPr>
              <w:pStyle w:val="TableText"/>
              <w:ind w:left="144"/>
            </w:pPr>
            <w:r w:rsidRPr="005B0796">
              <w:t>Male</w:t>
            </w:r>
          </w:p>
        </w:tc>
        <w:tc>
          <w:tcPr>
            <w:tcW w:w="1922" w:type="dxa"/>
            <w:hideMark/>
          </w:tcPr>
          <w:p w14:paraId="0835BD3E"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631</w:t>
            </w:r>
          </w:p>
        </w:tc>
        <w:tc>
          <w:tcPr>
            <w:tcW w:w="1922" w:type="dxa"/>
            <w:hideMark/>
          </w:tcPr>
          <w:p w14:paraId="10A99D69"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84.7</w:t>
            </w:r>
          </w:p>
        </w:tc>
        <w:tc>
          <w:tcPr>
            <w:tcW w:w="1923" w:type="dxa"/>
            <w:hideMark/>
          </w:tcPr>
          <w:p w14:paraId="56088D39"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(81.9, 87.1)</w:t>
            </w:r>
          </w:p>
        </w:tc>
      </w:tr>
      <w:tr w:rsidR="00B903A5" w:rsidRPr="005B0796" w14:paraId="0A8D6A41" w14:textId="77777777" w:rsidTr="00D268F6">
        <w:trPr>
          <w:cantSplit/>
        </w:trPr>
        <w:tc>
          <w:tcPr>
            <w:tcW w:w="1548" w:type="dxa"/>
            <w:hideMark/>
          </w:tcPr>
          <w:p w14:paraId="32CD64A6" w14:textId="77777777" w:rsidR="00B903A5" w:rsidRPr="005B0796" w:rsidRDefault="00B903A5" w:rsidP="00594252">
            <w:pPr>
              <w:pStyle w:val="TableText"/>
              <w:ind w:left="144"/>
            </w:pPr>
            <w:r w:rsidRPr="005B0796">
              <w:t>Female</w:t>
            </w:r>
          </w:p>
        </w:tc>
        <w:tc>
          <w:tcPr>
            <w:tcW w:w="1922" w:type="dxa"/>
            <w:hideMark/>
          </w:tcPr>
          <w:p w14:paraId="0C9AF678"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109</w:t>
            </w:r>
          </w:p>
        </w:tc>
        <w:tc>
          <w:tcPr>
            <w:tcW w:w="1922" w:type="dxa"/>
            <w:hideMark/>
          </w:tcPr>
          <w:p w14:paraId="2FEE1BFB"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14.6</w:t>
            </w:r>
          </w:p>
        </w:tc>
        <w:tc>
          <w:tcPr>
            <w:tcW w:w="1923" w:type="dxa"/>
            <w:hideMark/>
          </w:tcPr>
          <w:p w14:paraId="5CB44379"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(12.3, 17.4)</w:t>
            </w:r>
          </w:p>
        </w:tc>
      </w:tr>
      <w:tr w:rsidR="00B903A5" w:rsidRPr="005B0796" w14:paraId="5F3C0D5C"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6E31E54D" w14:textId="77777777" w:rsidR="00B903A5" w:rsidRPr="005B0796" w:rsidRDefault="00B903A5" w:rsidP="00594252">
            <w:pPr>
              <w:pStyle w:val="TableText"/>
              <w:rPr>
                <w:b/>
              </w:rPr>
            </w:pPr>
            <w:r w:rsidRPr="005B0796">
              <w:rPr>
                <w:b/>
              </w:rPr>
              <w:t>Rank</w:t>
            </w:r>
          </w:p>
        </w:tc>
        <w:tc>
          <w:tcPr>
            <w:tcW w:w="1922" w:type="dxa"/>
          </w:tcPr>
          <w:p w14:paraId="0B36A2D4" w14:textId="77777777" w:rsidR="00B903A5" w:rsidRPr="005B0796" w:rsidRDefault="00B903A5" w:rsidP="00594252">
            <w:pPr>
              <w:pStyle w:val="TableText"/>
              <w:jc w:val="right"/>
              <w:rPr>
                <w:rFonts w:cs="Arial"/>
                <w:color w:val="000000" w:themeColor="text1"/>
              </w:rPr>
            </w:pPr>
          </w:p>
        </w:tc>
        <w:tc>
          <w:tcPr>
            <w:tcW w:w="1922" w:type="dxa"/>
          </w:tcPr>
          <w:p w14:paraId="4A114933" w14:textId="77777777" w:rsidR="00B903A5" w:rsidRPr="005B0796" w:rsidRDefault="00B903A5" w:rsidP="00594252">
            <w:pPr>
              <w:pStyle w:val="TableText"/>
              <w:jc w:val="right"/>
              <w:rPr>
                <w:rFonts w:cs="Arial"/>
                <w:color w:val="000000" w:themeColor="text1"/>
              </w:rPr>
            </w:pPr>
          </w:p>
        </w:tc>
        <w:tc>
          <w:tcPr>
            <w:tcW w:w="1923" w:type="dxa"/>
          </w:tcPr>
          <w:p w14:paraId="14320D7C" w14:textId="77777777" w:rsidR="00B903A5" w:rsidRPr="005B0796" w:rsidRDefault="00B903A5" w:rsidP="00594252">
            <w:pPr>
              <w:pStyle w:val="TableText"/>
              <w:jc w:val="right"/>
              <w:rPr>
                <w:rFonts w:cs="Arial"/>
                <w:color w:val="000000" w:themeColor="text1"/>
              </w:rPr>
            </w:pPr>
          </w:p>
        </w:tc>
      </w:tr>
      <w:tr w:rsidR="00B903A5" w:rsidRPr="005B0796" w14:paraId="57391147" w14:textId="77777777" w:rsidTr="00D268F6">
        <w:trPr>
          <w:cantSplit/>
        </w:trPr>
        <w:tc>
          <w:tcPr>
            <w:tcW w:w="1548" w:type="dxa"/>
            <w:hideMark/>
          </w:tcPr>
          <w:p w14:paraId="1DD96EEC" w14:textId="77777777" w:rsidR="00B903A5" w:rsidRPr="005B0796" w:rsidRDefault="00B903A5" w:rsidP="00594252">
            <w:pPr>
              <w:pStyle w:val="TableText"/>
              <w:ind w:left="144"/>
            </w:pPr>
            <w:r w:rsidRPr="005B0796">
              <w:t>OFFR</w:t>
            </w:r>
          </w:p>
        </w:tc>
        <w:tc>
          <w:tcPr>
            <w:tcW w:w="1922" w:type="dxa"/>
            <w:hideMark/>
          </w:tcPr>
          <w:p w14:paraId="398107CF"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252</w:t>
            </w:r>
          </w:p>
        </w:tc>
        <w:tc>
          <w:tcPr>
            <w:tcW w:w="1922" w:type="dxa"/>
            <w:hideMark/>
          </w:tcPr>
          <w:p w14:paraId="26157342"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33.8</w:t>
            </w:r>
          </w:p>
        </w:tc>
        <w:tc>
          <w:tcPr>
            <w:tcW w:w="1923" w:type="dxa"/>
            <w:hideMark/>
          </w:tcPr>
          <w:p w14:paraId="1FF36366"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(30.5, 37.3)</w:t>
            </w:r>
          </w:p>
        </w:tc>
      </w:tr>
      <w:tr w:rsidR="00B903A5" w:rsidRPr="005B0796" w14:paraId="44F30BC5"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358A6BC" w14:textId="77777777" w:rsidR="00B903A5" w:rsidRPr="005B0796" w:rsidRDefault="00B903A5" w:rsidP="00594252">
            <w:pPr>
              <w:pStyle w:val="TableText"/>
              <w:ind w:left="144"/>
            </w:pPr>
            <w:r w:rsidRPr="005B0796">
              <w:t>NCO</w:t>
            </w:r>
          </w:p>
        </w:tc>
        <w:tc>
          <w:tcPr>
            <w:tcW w:w="1922" w:type="dxa"/>
            <w:hideMark/>
          </w:tcPr>
          <w:p w14:paraId="3B016140"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389</w:t>
            </w:r>
          </w:p>
        </w:tc>
        <w:tc>
          <w:tcPr>
            <w:tcW w:w="1922" w:type="dxa"/>
            <w:hideMark/>
          </w:tcPr>
          <w:p w14:paraId="3EFC9DC1"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52.2</w:t>
            </w:r>
          </w:p>
        </w:tc>
        <w:tc>
          <w:tcPr>
            <w:tcW w:w="1923" w:type="dxa"/>
            <w:hideMark/>
          </w:tcPr>
          <w:p w14:paraId="7C3CD638"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(48.6, 55.8)</w:t>
            </w:r>
          </w:p>
        </w:tc>
      </w:tr>
      <w:tr w:rsidR="00B903A5" w:rsidRPr="005B0796" w14:paraId="542B246D" w14:textId="77777777" w:rsidTr="00D268F6">
        <w:trPr>
          <w:cantSplit/>
        </w:trPr>
        <w:tc>
          <w:tcPr>
            <w:tcW w:w="1548" w:type="dxa"/>
            <w:hideMark/>
          </w:tcPr>
          <w:p w14:paraId="3B174DEC" w14:textId="77777777" w:rsidR="00B903A5" w:rsidRPr="005B0796" w:rsidRDefault="00B903A5" w:rsidP="00594252">
            <w:pPr>
              <w:pStyle w:val="TableText"/>
              <w:ind w:left="144"/>
            </w:pPr>
            <w:r w:rsidRPr="005B0796">
              <w:t>Other Ranks</w:t>
            </w:r>
          </w:p>
        </w:tc>
        <w:tc>
          <w:tcPr>
            <w:tcW w:w="1922" w:type="dxa"/>
            <w:hideMark/>
          </w:tcPr>
          <w:p w14:paraId="081529E9"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104</w:t>
            </w:r>
          </w:p>
        </w:tc>
        <w:tc>
          <w:tcPr>
            <w:tcW w:w="1922" w:type="dxa"/>
            <w:hideMark/>
          </w:tcPr>
          <w:p w14:paraId="2EF57496"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14.0</w:t>
            </w:r>
          </w:p>
        </w:tc>
        <w:tc>
          <w:tcPr>
            <w:tcW w:w="1923" w:type="dxa"/>
            <w:hideMark/>
          </w:tcPr>
          <w:p w14:paraId="19866707"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(11.7, 16.6)</w:t>
            </w:r>
          </w:p>
        </w:tc>
      </w:tr>
      <w:tr w:rsidR="00B903A5" w:rsidRPr="005B0796" w14:paraId="1C2974DF"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16213BDF" w14:textId="77777777" w:rsidR="00B903A5" w:rsidRPr="005B0796" w:rsidRDefault="00B903A5" w:rsidP="00594252">
            <w:pPr>
              <w:pStyle w:val="TableText"/>
            </w:pPr>
            <w:r w:rsidRPr="005B0796">
              <w:rPr>
                <w:b/>
              </w:rPr>
              <w:t>Service</w:t>
            </w:r>
          </w:p>
        </w:tc>
        <w:tc>
          <w:tcPr>
            <w:tcW w:w="1922" w:type="dxa"/>
          </w:tcPr>
          <w:p w14:paraId="14029E6D" w14:textId="77777777" w:rsidR="00B903A5" w:rsidRPr="005B0796" w:rsidRDefault="00B903A5" w:rsidP="00594252">
            <w:pPr>
              <w:pStyle w:val="TableText"/>
              <w:jc w:val="right"/>
              <w:rPr>
                <w:rFonts w:cs="Arial"/>
                <w:color w:val="000000" w:themeColor="text1"/>
              </w:rPr>
            </w:pPr>
          </w:p>
        </w:tc>
        <w:tc>
          <w:tcPr>
            <w:tcW w:w="1922" w:type="dxa"/>
          </w:tcPr>
          <w:p w14:paraId="438468DB" w14:textId="77777777" w:rsidR="00B903A5" w:rsidRPr="005B0796" w:rsidRDefault="00B903A5" w:rsidP="00594252">
            <w:pPr>
              <w:pStyle w:val="TableText"/>
              <w:jc w:val="right"/>
              <w:rPr>
                <w:rFonts w:cs="Arial"/>
                <w:color w:val="000000" w:themeColor="text1"/>
              </w:rPr>
            </w:pPr>
          </w:p>
        </w:tc>
        <w:tc>
          <w:tcPr>
            <w:tcW w:w="1923" w:type="dxa"/>
          </w:tcPr>
          <w:p w14:paraId="49B7684F" w14:textId="77777777" w:rsidR="00B903A5" w:rsidRPr="005B0796" w:rsidRDefault="00B903A5" w:rsidP="00594252">
            <w:pPr>
              <w:pStyle w:val="TableText"/>
              <w:jc w:val="right"/>
              <w:rPr>
                <w:rFonts w:cs="Arial"/>
                <w:color w:val="000000" w:themeColor="text1"/>
              </w:rPr>
            </w:pPr>
          </w:p>
        </w:tc>
      </w:tr>
      <w:tr w:rsidR="00B903A5" w:rsidRPr="005B0796" w14:paraId="007F1680" w14:textId="77777777" w:rsidTr="00D268F6">
        <w:trPr>
          <w:cantSplit/>
        </w:trPr>
        <w:tc>
          <w:tcPr>
            <w:tcW w:w="1548" w:type="dxa"/>
            <w:hideMark/>
          </w:tcPr>
          <w:p w14:paraId="7D753E23" w14:textId="77777777" w:rsidR="00B903A5" w:rsidRPr="005B0796" w:rsidRDefault="00B903A5" w:rsidP="00594252">
            <w:pPr>
              <w:pStyle w:val="TableText"/>
              <w:ind w:left="144"/>
            </w:pPr>
            <w:r w:rsidRPr="005B0796">
              <w:t>Navy</w:t>
            </w:r>
          </w:p>
        </w:tc>
        <w:tc>
          <w:tcPr>
            <w:tcW w:w="1922" w:type="dxa"/>
            <w:hideMark/>
          </w:tcPr>
          <w:p w14:paraId="15DDCE96"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150</w:t>
            </w:r>
          </w:p>
        </w:tc>
        <w:tc>
          <w:tcPr>
            <w:tcW w:w="1922" w:type="dxa"/>
            <w:hideMark/>
          </w:tcPr>
          <w:p w14:paraId="794B0C5B"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20.1</w:t>
            </w:r>
          </w:p>
        </w:tc>
        <w:tc>
          <w:tcPr>
            <w:tcW w:w="1923" w:type="dxa"/>
            <w:hideMark/>
          </w:tcPr>
          <w:p w14:paraId="4F260448"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(17.4, 23.2)</w:t>
            </w:r>
          </w:p>
        </w:tc>
      </w:tr>
      <w:tr w:rsidR="00B903A5" w:rsidRPr="005B0796" w14:paraId="2E30443C"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268EE5E6" w14:textId="77777777" w:rsidR="00B903A5" w:rsidRPr="005B0796" w:rsidRDefault="00B903A5" w:rsidP="00594252">
            <w:pPr>
              <w:pStyle w:val="TableText"/>
              <w:ind w:left="144"/>
            </w:pPr>
            <w:r w:rsidRPr="005B0796">
              <w:t>Army</w:t>
            </w:r>
          </w:p>
        </w:tc>
        <w:tc>
          <w:tcPr>
            <w:tcW w:w="1922" w:type="dxa"/>
            <w:hideMark/>
          </w:tcPr>
          <w:p w14:paraId="53166147"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424</w:t>
            </w:r>
          </w:p>
        </w:tc>
        <w:tc>
          <w:tcPr>
            <w:tcW w:w="1922" w:type="dxa"/>
            <w:hideMark/>
          </w:tcPr>
          <w:p w14:paraId="1C9EB307"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56.9</w:t>
            </w:r>
          </w:p>
        </w:tc>
        <w:tc>
          <w:tcPr>
            <w:tcW w:w="1923" w:type="dxa"/>
            <w:hideMark/>
          </w:tcPr>
          <w:p w14:paraId="0F46E79E"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(53.3, 60.4)</w:t>
            </w:r>
          </w:p>
        </w:tc>
      </w:tr>
      <w:tr w:rsidR="00B903A5" w:rsidRPr="005B0796" w14:paraId="314C0AED" w14:textId="77777777" w:rsidTr="00D268F6">
        <w:trPr>
          <w:cantSplit/>
        </w:trPr>
        <w:tc>
          <w:tcPr>
            <w:tcW w:w="1548" w:type="dxa"/>
            <w:hideMark/>
          </w:tcPr>
          <w:p w14:paraId="0CB66F3E" w14:textId="77777777" w:rsidR="00B903A5" w:rsidRPr="005B0796" w:rsidRDefault="00B903A5" w:rsidP="00594252">
            <w:pPr>
              <w:pStyle w:val="TableText"/>
              <w:ind w:left="144"/>
            </w:pPr>
            <w:r w:rsidRPr="005B0796">
              <w:t>Air Force</w:t>
            </w:r>
          </w:p>
        </w:tc>
        <w:tc>
          <w:tcPr>
            <w:tcW w:w="1922" w:type="dxa"/>
            <w:hideMark/>
          </w:tcPr>
          <w:p w14:paraId="4DD64EE7"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171</w:t>
            </w:r>
          </w:p>
        </w:tc>
        <w:tc>
          <w:tcPr>
            <w:tcW w:w="1922" w:type="dxa"/>
            <w:hideMark/>
          </w:tcPr>
          <w:p w14:paraId="319DC24B"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23.0</w:t>
            </w:r>
          </w:p>
        </w:tc>
        <w:tc>
          <w:tcPr>
            <w:tcW w:w="1923" w:type="dxa"/>
            <w:hideMark/>
          </w:tcPr>
          <w:p w14:paraId="0C3390F0"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(20.1, 26.1)</w:t>
            </w:r>
          </w:p>
        </w:tc>
      </w:tr>
      <w:tr w:rsidR="00B903A5" w:rsidRPr="005B0796" w14:paraId="350572F5"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D4BE15E" w14:textId="77777777" w:rsidR="00B903A5" w:rsidRPr="005B0796" w:rsidRDefault="00B903A5" w:rsidP="00594252">
            <w:pPr>
              <w:pStyle w:val="TableText"/>
            </w:pPr>
            <w:r w:rsidRPr="005B0796">
              <w:rPr>
                <w:b/>
              </w:rPr>
              <w:t>Medical fitness</w:t>
            </w:r>
          </w:p>
        </w:tc>
        <w:tc>
          <w:tcPr>
            <w:tcW w:w="1922" w:type="dxa"/>
          </w:tcPr>
          <w:p w14:paraId="7311A09F" w14:textId="77777777" w:rsidR="00B903A5" w:rsidRPr="005B0796" w:rsidRDefault="00B903A5" w:rsidP="00594252">
            <w:pPr>
              <w:pStyle w:val="TableText"/>
              <w:jc w:val="right"/>
              <w:rPr>
                <w:rFonts w:cs="Arial"/>
                <w:color w:val="000000" w:themeColor="text1"/>
              </w:rPr>
            </w:pPr>
          </w:p>
        </w:tc>
        <w:tc>
          <w:tcPr>
            <w:tcW w:w="1922" w:type="dxa"/>
          </w:tcPr>
          <w:p w14:paraId="064BECED" w14:textId="77777777" w:rsidR="00B903A5" w:rsidRPr="005B0796" w:rsidRDefault="00B903A5" w:rsidP="00594252">
            <w:pPr>
              <w:pStyle w:val="TableText"/>
              <w:jc w:val="right"/>
              <w:rPr>
                <w:rFonts w:cs="Arial"/>
                <w:color w:val="000000" w:themeColor="text1"/>
              </w:rPr>
            </w:pPr>
          </w:p>
        </w:tc>
        <w:tc>
          <w:tcPr>
            <w:tcW w:w="1923" w:type="dxa"/>
          </w:tcPr>
          <w:p w14:paraId="29CCE8A3" w14:textId="77777777" w:rsidR="00B903A5" w:rsidRPr="005B0796" w:rsidRDefault="00B903A5" w:rsidP="00594252">
            <w:pPr>
              <w:pStyle w:val="TableText"/>
              <w:jc w:val="right"/>
              <w:rPr>
                <w:rFonts w:cs="Arial"/>
                <w:color w:val="000000" w:themeColor="text1"/>
              </w:rPr>
            </w:pPr>
          </w:p>
        </w:tc>
      </w:tr>
      <w:tr w:rsidR="00B903A5" w:rsidRPr="005B0796" w14:paraId="4447AB0D" w14:textId="77777777" w:rsidTr="00D268F6">
        <w:trPr>
          <w:cantSplit/>
        </w:trPr>
        <w:tc>
          <w:tcPr>
            <w:tcW w:w="1548" w:type="dxa"/>
            <w:hideMark/>
          </w:tcPr>
          <w:p w14:paraId="2D17EE42" w14:textId="77777777" w:rsidR="00B903A5" w:rsidRPr="005B0796" w:rsidRDefault="00B903A5" w:rsidP="00594252">
            <w:pPr>
              <w:pStyle w:val="TableText"/>
              <w:ind w:left="144"/>
            </w:pPr>
            <w:r w:rsidRPr="005B0796">
              <w:t>Fit</w:t>
            </w:r>
          </w:p>
        </w:tc>
        <w:tc>
          <w:tcPr>
            <w:tcW w:w="1922" w:type="dxa"/>
            <w:hideMark/>
          </w:tcPr>
          <w:p w14:paraId="0A1C17DF"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521</w:t>
            </w:r>
          </w:p>
        </w:tc>
        <w:tc>
          <w:tcPr>
            <w:tcW w:w="1922" w:type="dxa"/>
            <w:hideMark/>
          </w:tcPr>
          <w:p w14:paraId="72CC7AD5"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69.9</w:t>
            </w:r>
          </w:p>
        </w:tc>
        <w:tc>
          <w:tcPr>
            <w:tcW w:w="1923" w:type="dxa"/>
            <w:hideMark/>
          </w:tcPr>
          <w:p w14:paraId="29913FC1"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(66.5, 73.1)</w:t>
            </w:r>
          </w:p>
        </w:tc>
      </w:tr>
      <w:tr w:rsidR="00B903A5" w:rsidRPr="005B0796" w14:paraId="68CDE046"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0C79E6B2" w14:textId="77777777" w:rsidR="00B903A5" w:rsidRPr="005B0796" w:rsidRDefault="00B903A5" w:rsidP="00594252">
            <w:pPr>
              <w:pStyle w:val="TableText"/>
              <w:ind w:left="144"/>
            </w:pPr>
            <w:r w:rsidRPr="005B0796">
              <w:t>Unfit</w:t>
            </w:r>
          </w:p>
        </w:tc>
        <w:tc>
          <w:tcPr>
            <w:tcW w:w="1922" w:type="dxa"/>
            <w:hideMark/>
          </w:tcPr>
          <w:p w14:paraId="3B93ED64"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219</w:t>
            </w:r>
          </w:p>
        </w:tc>
        <w:tc>
          <w:tcPr>
            <w:tcW w:w="1922" w:type="dxa"/>
            <w:hideMark/>
          </w:tcPr>
          <w:p w14:paraId="3506EE0B" w14:textId="77777777" w:rsidR="00B903A5" w:rsidRPr="005B0796" w:rsidRDefault="00B903A5" w:rsidP="00594252">
            <w:pPr>
              <w:pStyle w:val="TableText"/>
              <w:jc w:val="right"/>
              <w:rPr>
                <w:rFonts w:cs="Arial"/>
                <w:color w:val="000000" w:themeColor="text1"/>
              </w:rPr>
            </w:pPr>
            <w:r w:rsidRPr="005B0796">
              <w:rPr>
                <w:rFonts w:cs="Arial"/>
                <w:color w:val="000000" w:themeColor="text1"/>
              </w:rPr>
              <w:t>29.4</w:t>
            </w:r>
          </w:p>
        </w:tc>
        <w:tc>
          <w:tcPr>
            <w:tcW w:w="1923" w:type="dxa"/>
            <w:hideMark/>
          </w:tcPr>
          <w:p w14:paraId="65E6F83B" w14:textId="77777777" w:rsidR="00B903A5" w:rsidRPr="005B0796" w:rsidRDefault="00B903A5" w:rsidP="00594252">
            <w:pPr>
              <w:pStyle w:val="TableText"/>
              <w:jc w:val="right"/>
            </w:pPr>
            <w:r w:rsidRPr="005B0796">
              <w:t>(26.2, 32.8)</w:t>
            </w:r>
          </w:p>
        </w:tc>
      </w:tr>
    </w:tbl>
    <w:p w14:paraId="3D21CC66" w14:textId="77777777" w:rsidR="00B903A5" w:rsidRPr="006A3EA0" w:rsidRDefault="00B903A5" w:rsidP="00B903A5">
      <w:pPr>
        <w:pStyle w:val="TableNotes"/>
        <w:rPr>
          <w:b/>
        </w:rPr>
      </w:pPr>
      <w:r w:rsidRPr="006A3EA0">
        <w:rPr>
          <w:b/>
        </w:rPr>
        <w:t>Notes</w:t>
      </w:r>
    </w:p>
    <w:p w14:paraId="54AB3F44" w14:textId="77777777" w:rsidR="00B903A5" w:rsidRPr="005B0796" w:rsidRDefault="00B903A5" w:rsidP="00B903A5">
      <w:pPr>
        <w:pStyle w:val="TableNotes"/>
      </w:pPr>
      <w:r w:rsidRPr="005B0796">
        <w:t>Denominator: Transitioned ADF Invited to participate in the CIDI interview</w:t>
      </w:r>
      <w:r>
        <w:t>.</w:t>
      </w:r>
    </w:p>
    <w:p w14:paraId="48A70837" w14:textId="77777777" w:rsidR="00B903A5" w:rsidRPr="005B0796" w:rsidRDefault="00B903A5" w:rsidP="00B903A5">
      <w:pPr>
        <w:pStyle w:val="TableNotes"/>
      </w:pPr>
      <w:r w:rsidRPr="005B0796">
        <w:t>Unweighted data</w:t>
      </w:r>
      <w:r>
        <w:t>.</w:t>
      </w:r>
    </w:p>
    <w:p w14:paraId="4AF31121" w14:textId="77777777" w:rsidR="00B903A5" w:rsidRPr="005B0796" w:rsidRDefault="00B903A5" w:rsidP="00B903A5">
      <w:pPr>
        <w:pStyle w:val="TableNotes"/>
      </w:pPr>
      <w:r w:rsidRPr="005B0796">
        <w:t>95% CI</w:t>
      </w:r>
      <w:r>
        <w:t xml:space="preserve"> =</w:t>
      </w:r>
      <w:r w:rsidRPr="005B0796">
        <w:t xml:space="preserve"> 95% confidence interval</w:t>
      </w:r>
      <w:r>
        <w:t>.</w:t>
      </w:r>
    </w:p>
    <w:p w14:paraId="69E4EF16" w14:textId="77777777" w:rsidR="00B903A5" w:rsidRPr="005B0796" w:rsidRDefault="00B903A5" w:rsidP="00B903A5">
      <w:pPr>
        <w:pStyle w:val="Heading4"/>
      </w:pPr>
      <w:r w:rsidRPr="005B0796">
        <w:t>Mental Health Prevalence and Wellbeing Study</w:t>
      </w:r>
      <w:r w:rsidRPr="005B0796">
        <w:rPr>
          <w:rFonts w:asciiTheme="minorHAnsi" w:eastAsia="MS ??" w:hAnsiTheme="minorHAnsi" w:cs="Arial"/>
          <w:color w:val="000000" w:themeColor="text1"/>
          <w:szCs w:val="22"/>
        </w:rPr>
        <w:t xml:space="preserve"> </w:t>
      </w:r>
      <w:r w:rsidRPr="005B0796">
        <w:t>group</w:t>
      </w:r>
    </w:p>
    <w:p w14:paraId="0EB4FF81" w14:textId="77777777" w:rsidR="00B903A5" w:rsidRPr="005B0796" w:rsidRDefault="00B903A5" w:rsidP="00B903A5">
      <w:r w:rsidRPr="005B0796">
        <w:t xml:space="preserve">A total of 1088 participants from this group were invited to participate in the CIDI 3.0. Of those invited, 76.8% (835) </w:t>
      </w:r>
      <w:r w:rsidRPr="005B0796">
        <w:rPr>
          <w:color w:val="000000" w:themeColor="text1"/>
        </w:rPr>
        <w:t>completed</w:t>
      </w:r>
      <w:r w:rsidRPr="005B0796">
        <w:t xml:space="preserve"> the interview. Table A.6 describes the response rates for this group.</w:t>
      </w:r>
    </w:p>
    <w:p w14:paraId="50BAA98A" w14:textId="77777777" w:rsidR="00B903A5" w:rsidRPr="005B0796" w:rsidRDefault="00B903A5" w:rsidP="00B903A5">
      <w:pPr>
        <w:pStyle w:val="TableName"/>
      </w:pPr>
      <w:bookmarkStart w:id="1404" w:name="_Toc486936019"/>
      <w:bookmarkStart w:id="1405" w:name="_Toc487014343"/>
      <w:bookmarkStart w:id="1406" w:name="_Toc492995646"/>
      <w:bookmarkStart w:id="1407" w:name="_Toc528932382"/>
      <w:bookmarkStart w:id="1408" w:name="_Toc531858061"/>
      <w:r w:rsidRPr="005B0796">
        <w:t>Table A.6</w:t>
      </w:r>
      <w:r w:rsidRPr="005B0796">
        <w:tab/>
        <w:t xml:space="preserve">CIDI response rates for the MHPWS group, by </w:t>
      </w:r>
      <w:r>
        <w:t>s</w:t>
      </w:r>
      <w:r w:rsidRPr="005B0796">
        <w:t>ervice, sex, rank and Medical Employment Classification status</w:t>
      </w:r>
      <w:bookmarkEnd w:id="1404"/>
      <w:bookmarkEnd w:id="1405"/>
      <w:bookmarkEnd w:id="1406"/>
      <w:bookmarkEnd w:id="1407"/>
      <w:bookmarkEnd w:id="1408"/>
    </w:p>
    <w:tbl>
      <w:tblPr>
        <w:tblStyle w:val="TWRPTable"/>
        <w:tblW w:w="5000" w:type="pct"/>
        <w:tblLayout w:type="fixed"/>
        <w:tblLook w:val="04A0" w:firstRow="1" w:lastRow="0" w:firstColumn="1" w:lastColumn="0" w:noHBand="0" w:noVBand="1"/>
        <w:tblDescription w:val="Table A.6 CIDI response rates for the MHPWS group, by service, sex, rank and Medical Employment Classification status"/>
      </w:tblPr>
      <w:tblGrid>
        <w:gridCol w:w="1502"/>
        <w:gridCol w:w="1862"/>
        <w:gridCol w:w="1862"/>
        <w:gridCol w:w="1863"/>
      </w:tblGrid>
      <w:tr w:rsidR="00B903A5" w:rsidRPr="00DD08F0" w14:paraId="3D3C076F"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val="restart"/>
          </w:tcPr>
          <w:p w14:paraId="2406FD62" w14:textId="77777777" w:rsidR="00B903A5" w:rsidRPr="005B0796" w:rsidRDefault="00B903A5" w:rsidP="00594252">
            <w:pPr>
              <w:pStyle w:val="TableText"/>
            </w:pPr>
          </w:p>
        </w:tc>
        <w:tc>
          <w:tcPr>
            <w:tcW w:w="5767" w:type="dxa"/>
            <w:gridSpan w:val="3"/>
            <w:hideMark/>
          </w:tcPr>
          <w:p w14:paraId="3B3361CF" w14:textId="77777777" w:rsidR="00B903A5" w:rsidRPr="008A04DF" w:rsidRDefault="00B903A5" w:rsidP="00594252">
            <w:pPr>
              <w:pStyle w:val="TableText"/>
              <w:jc w:val="center"/>
              <w:rPr>
                <w:lang w:val="pt-BR"/>
              </w:rPr>
            </w:pPr>
            <w:r w:rsidRPr="008A04DF">
              <w:rPr>
                <w:lang w:val="pt-BR"/>
              </w:rPr>
              <w:t>MHPWS CIDI</w:t>
            </w:r>
            <w:r w:rsidRPr="008A04DF">
              <w:rPr>
                <w:lang w:val="pt-BR"/>
              </w:rPr>
              <w:br/>
              <w:t>(</w:t>
            </w:r>
            <w:r>
              <w:rPr>
                <w:lang w:val="pt-BR"/>
              </w:rPr>
              <w:t>n=</w:t>
            </w:r>
            <w:r w:rsidRPr="008A04DF">
              <w:rPr>
                <w:lang w:val="pt-BR"/>
              </w:rPr>
              <w:t>1088 (</w:t>
            </w:r>
            <w:r>
              <w:rPr>
                <w:lang w:val="pt-BR"/>
              </w:rPr>
              <w:t>invited</w:t>
            </w:r>
            <w:r w:rsidRPr="008A04DF">
              <w:rPr>
                <w:lang w:val="pt-BR"/>
              </w:rPr>
              <w:t xml:space="preserve">); </w:t>
            </w:r>
            <w:r>
              <w:rPr>
                <w:lang w:val="pt-BR"/>
              </w:rPr>
              <w:t>n=</w:t>
            </w:r>
            <w:r w:rsidRPr="008A04DF">
              <w:rPr>
                <w:lang w:val="pt-BR"/>
              </w:rPr>
              <w:t>835 (</w:t>
            </w:r>
            <w:r>
              <w:rPr>
                <w:lang w:val="pt-BR"/>
              </w:rPr>
              <w:t>responded</w:t>
            </w:r>
            <w:r w:rsidRPr="008A04DF">
              <w:rPr>
                <w:lang w:val="pt-BR"/>
              </w:rPr>
              <w:t>)</w:t>
            </w:r>
          </w:p>
        </w:tc>
      </w:tr>
      <w:tr w:rsidR="00B903A5" w:rsidRPr="005B0796" w14:paraId="058E42DE"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tcPr>
          <w:p w14:paraId="42F600DF" w14:textId="77777777" w:rsidR="00B903A5" w:rsidRPr="008A04DF" w:rsidRDefault="00B903A5" w:rsidP="00594252">
            <w:pPr>
              <w:pStyle w:val="TableText"/>
              <w:rPr>
                <w:lang w:val="pt-BR"/>
              </w:rPr>
            </w:pPr>
          </w:p>
        </w:tc>
        <w:tc>
          <w:tcPr>
            <w:tcW w:w="1922" w:type="dxa"/>
            <w:hideMark/>
          </w:tcPr>
          <w:p w14:paraId="728C32CA" w14:textId="77777777" w:rsidR="00B903A5" w:rsidRPr="005B0796" w:rsidRDefault="00B903A5" w:rsidP="00594252">
            <w:pPr>
              <w:pStyle w:val="TableText"/>
              <w:jc w:val="right"/>
            </w:pPr>
            <w:r w:rsidRPr="005B0796">
              <w:t>Invited</w:t>
            </w:r>
          </w:p>
        </w:tc>
        <w:tc>
          <w:tcPr>
            <w:tcW w:w="1922" w:type="dxa"/>
            <w:hideMark/>
          </w:tcPr>
          <w:p w14:paraId="0785700A" w14:textId="77777777" w:rsidR="00B903A5" w:rsidRPr="005B0796" w:rsidRDefault="00B903A5" w:rsidP="00594252">
            <w:pPr>
              <w:pStyle w:val="TableText"/>
              <w:jc w:val="right"/>
            </w:pPr>
            <w:r w:rsidRPr="005B0796">
              <w:t>Responders</w:t>
            </w:r>
          </w:p>
        </w:tc>
        <w:tc>
          <w:tcPr>
            <w:tcW w:w="1923" w:type="dxa"/>
            <w:hideMark/>
          </w:tcPr>
          <w:p w14:paraId="2527DE77" w14:textId="77777777" w:rsidR="00B903A5" w:rsidRPr="005B0796" w:rsidRDefault="00B903A5" w:rsidP="00594252">
            <w:pPr>
              <w:pStyle w:val="TableText"/>
              <w:jc w:val="right"/>
            </w:pPr>
            <w:r w:rsidRPr="005B0796">
              <w:t>Response rate (%)</w:t>
            </w:r>
          </w:p>
        </w:tc>
      </w:tr>
      <w:tr w:rsidR="00B903A5" w:rsidRPr="005B0796" w14:paraId="33C74C5A"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DA7E4A3" w14:textId="77777777" w:rsidR="00B903A5" w:rsidRPr="005B0796" w:rsidRDefault="00B903A5" w:rsidP="00594252">
            <w:pPr>
              <w:pStyle w:val="TableText"/>
              <w:rPr>
                <w:b/>
              </w:rPr>
            </w:pPr>
            <w:r w:rsidRPr="005B0796">
              <w:rPr>
                <w:b/>
              </w:rPr>
              <w:t>Service</w:t>
            </w:r>
          </w:p>
        </w:tc>
        <w:tc>
          <w:tcPr>
            <w:tcW w:w="1922" w:type="dxa"/>
          </w:tcPr>
          <w:p w14:paraId="6CFB1E93" w14:textId="77777777" w:rsidR="00B903A5" w:rsidRPr="005B0796" w:rsidRDefault="00B903A5" w:rsidP="00594252">
            <w:pPr>
              <w:pStyle w:val="TableText"/>
              <w:jc w:val="right"/>
            </w:pPr>
          </w:p>
        </w:tc>
        <w:tc>
          <w:tcPr>
            <w:tcW w:w="1922" w:type="dxa"/>
          </w:tcPr>
          <w:p w14:paraId="78D0D3AD" w14:textId="77777777" w:rsidR="00B903A5" w:rsidRPr="005B0796" w:rsidRDefault="00B903A5" w:rsidP="00594252">
            <w:pPr>
              <w:pStyle w:val="TableText"/>
              <w:jc w:val="right"/>
            </w:pPr>
          </w:p>
        </w:tc>
        <w:tc>
          <w:tcPr>
            <w:tcW w:w="1923" w:type="dxa"/>
          </w:tcPr>
          <w:p w14:paraId="7E5591CC" w14:textId="77777777" w:rsidR="00B903A5" w:rsidRPr="005B0796" w:rsidRDefault="00B903A5" w:rsidP="00594252">
            <w:pPr>
              <w:pStyle w:val="TableText"/>
              <w:jc w:val="right"/>
            </w:pPr>
          </w:p>
        </w:tc>
      </w:tr>
      <w:tr w:rsidR="00B903A5" w:rsidRPr="005B0796" w14:paraId="33D2A328" w14:textId="77777777" w:rsidTr="00D268F6">
        <w:trPr>
          <w:cantSplit/>
        </w:trPr>
        <w:tc>
          <w:tcPr>
            <w:tcW w:w="1548" w:type="dxa"/>
            <w:hideMark/>
          </w:tcPr>
          <w:p w14:paraId="7FC8DB4E" w14:textId="77777777" w:rsidR="00B903A5" w:rsidRPr="005B0796" w:rsidRDefault="00B903A5" w:rsidP="00594252">
            <w:pPr>
              <w:pStyle w:val="TableText"/>
              <w:ind w:left="144"/>
            </w:pPr>
            <w:r w:rsidRPr="005B0796">
              <w:t>Navy</w:t>
            </w:r>
          </w:p>
        </w:tc>
        <w:tc>
          <w:tcPr>
            <w:tcW w:w="1922" w:type="dxa"/>
            <w:hideMark/>
          </w:tcPr>
          <w:p w14:paraId="57922B88" w14:textId="77777777" w:rsidR="00B903A5" w:rsidRPr="005B0796" w:rsidRDefault="00B903A5" w:rsidP="00594252">
            <w:pPr>
              <w:pStyle w:val="TableText"/>
              <w:jc w:val="right"/>
            </w:pPr>
            <w:r w:rsidRPr="005B0796">
              <w:t>237</w:t>
            </w:r>
          </w:p>
        </w:tc>
        <w:tc>
          <w:tcPr>
            <w:tcW w:w="1922" w:type="dxa"/>
            <w:hideMark/>
          </w:tcPr>
          <w:p w14:paraId="1D9CE556" w14:textId="77777777" w:rsidR="00B903A5" w:rsidRPr="005B0796" w:rsidRDefault="00B903A5" w:rsidP="00594252">
            <w:pPr>
              <w:pStyle w:val="TableText"/>
              <w:jc w:val="right"/>
            </w:pPr>
            <w:r w:rsidRPr="005B0796">
              <w:t>175</w:t>
            </w:r>
          </w:p>
        </w:tc>
        <w:tc>
          <w:tcPr>
            <w:tcW w:w="1923" w:type="dxa"/>
            <w:hideMark/>
          </w:tcPr>
          <w:p w14:paraId="2716E16C" w14:textId="77777777" w:rsidR="00B903A5" w:rsidRPr="005B0796" w:rsidRDefault="00B903A5" w:rsidP="00594252">
            <w:pPr>
              <w:pStyle w:val="TableText"/>
              <w:jc w:val="right"/>
            </w:pPr>
            <w:r w:rsidRPr="005B0796">
              <w:t>73.8</w:t>
            </w:r>
          </w:p>
        </w:tc>
      </w:tr>
      <w:tr w:rsidR="00B903A5" w:rsidRPr="005B0796" w14:paraId="4AB77E31"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2CA14D7" w14:textId="77777777" w:rsidR="00B903A5" w:rsidRPr="005B0796" w:rsidRDefault="00B903A5" w:rsidP="00594252">
            <w:pPr>
              <w:pStyle w:val="TableText"/>
              <w:ind w:left="144"/>
            </w:pPr>
            <w:r w:rsidRPr="005B0796">
              <w:t>Army</w:t>
            </w:r>
          </w:p>
        </w:tc>
        <w:tc>
          <w:tcPr>
            <w:tcW w:w="1922" w:type="dxa"/>
            <w:hideMark/>
          </w:tcPr>
          <w:p w14:paraId="0D8E57BF" w14:textId="77777777" w:rsidR="00B903A5" w:rsidRPr="005B0796" w:rsidRDefault="00B903A5" w:rsidP="00594252">
            <w:pPr>
              <w:pStyle w:val="TableText"/>
              <w:jc w:val="right"/>
            </w:pPr>
            <w:r w:rsidRPr="005B0796">
              <w:t>462</w:t>
            </w:r>
          </w:p>
        </w:tc>
        <w:tc>
          <w:tcPr>
            <w:tcW w:w="1922" w:type="dxa"/>
            <w:hideMark/>
          </w:tcPr>
          <w:p w14:paraId="28C8F37C" w14:textId="77777777" w:rsidR="00B903A5" w:rsidRPr="005B0796" w:rsidRDefault="00B903A5" w:rsidP="00594252">
            <w:pPr>
              <w:pStyle w:val="TableText"/>
              <w:jc w:val="right"/>
            </w:pPr>
            <w:r w:rsidRPr="005B0796">
              <w:t>349</w:t>
            </w:r>
          </w:p>
        </w:tc>
        <w:tc>
          <w:tcPr>
            <w:tcW w:w="1923" w:type="dxa"/>
            <w:hideMark/>
          </w:tcPr>
          <w:p w14:paraId="40319F42" w14:textId="77777777" w:rsidR="00B903A5" w:rsidRPr="005B0796" w:rsidRDefault="00B903A5" w:rsidP="00594252">
            <w:pPr>
              <w:pStyle w:val="TableText"/>
              <w:jc w:val="right"/>
            </w:pPr>
            <w:r w:rsidRPr="005B0796">
              <w:t>75.5</w:t>
            </w:r>
          </w:p>
        </w:tc>
      </w:tr>
      <w:tr w:rsidR="00B903A5" w:rsidRPr="005B0796" w14:paraId="6177608C" w14:textId="77777777" w:rsidTr="00D268F6">
        <w:trPr>
          <w:cantSplit/>
        </w:trPr>
        <w:tc>
          <w:tcPr>
            <w:tcW w:w="1548" w:type="dxa"/>
            <w:hideMark/>
          </w:tcPr>
          <w:p w14:paraId="7C71081F" w14:textId="77777777" w:rsidR="00B903A5" w:rsidRPr="005B0796" w:rsidRDefault="00B903A5" w:rsidP="00594252">
            <w:pPr>
              <w:pStyle w:val="TableText"/>
              <w:ind w:left="144"/>
            </w:pPr>
            <w:r w:rsidRPr="005B0796">
              <w:t>Air Force</w:t>
            </w:r>
          </w:p>
        </w:tc>
        <w:tc>
          <w:tcPr>
            <w:tcW w:w="1922" w:type="dxa"/>
            <w:hideMark/>
          </w:tcPr>
          <w:p w14:paraId="175183CD" w14:textId="77777777" w:rsidR="00B903A5" w:rsidRPr="005B0796" w:rsidRDefault="00B903A5" w:rsidP="00594252">
            <w:pPr>
              <w:pStyle w:val="TableText"/>
              <w:jc w:val="right"/>
            </w:pPr>
            <w:r w:rsidRPr="005B0796">
              <w:t>389</w:t>
            </w:r>
          </w:p>
        </w:tc>
        <w:tc>
          <w:tcPr>
            <w:tcW w:w="1922" w:type="dxa"/>
            <w:hideMark/>
          </w:tcPr>
          <w:p w14:paraId="2D3A10BD" w14:textId="77777777" w:rsidR="00B903A5" w:rsidRPr="005B0796" w:rsidRDefault="00B903A5" w:rsidP="00594252">
            <w:pPr>
              <w:pStyle w:val="TableText"/>
              <w:jc w:val="right"/>
              <w:rPr>
                <w:color w:val="000000" w:themeColor="text1"/>
              </w:rPr>
            </w:pPr>
            <w:r w:rsidRPr="005B0796">
              <w:rPr>
                <w:color w:val="000000" w:themeColor="text1"/>
              </w:rPr>
              <w:t>311</w:t>
            </w:r>
          </w:p>
        </w:tc>
        <w:tc>
          <w:tcPr>
            <w:tcW w:w="1923" w:type="dxa"/>
            <w:hideMark/>
          </w:tcPr>
          <w:p w14:paraId="27A0DE28" w14:textId="77777777" w:rsidR="00B903A5" w:rsidRPr="005B0796" w:rsidRDefault="00B903A5" w:rsidP="00594252">
            <w:pPr>
              <w:pStyle w:val="TableText"/>
              <w:jc w:val="right"/>
            </w:pPr>
            <w:r w:rsidRPr="005B0796">
              <w:t>80.0</w:t>
            </w:r>
          </w:p>
        </w:tc>
      </w:tr>
      <w:tr w:rsidR="00B903A5" w:rsidRPr="005B0796" w14:paraId="4E5FB231"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BBFC7A8" w14:textId="77777777" w:rsidR="00B903A5" w:rsidRPr="005B0796" w:rsidRDefault="00B903A5" w:rsidP="00594252">
            <w:pPr>
              <w:pStyle w:val="TableText"/>
              <w:rPr>
                <w:b/>
              </w:rPr>
            </w:pPr>
            <w:r w:rsidRPr="005B0796">
              <w:rPr>
                <w:b/>
              </w:rPr>
              <w:t>Sex</w:t>
            </w:r>
          </w:p>
        </w:tc>
        <w:tc>
          <w:tcPr>
            <w:tcW w:w="1922" w:type="dxa"/>
          </w:tcPr>
          <w:p w14:paraId="475B47FB" w14:textId="77777777" w:rsidR="00B903A5" w:rsidRPr="005B0796" w:rsidRDefault="00B903A5" w:rsidP="00594252">
            <w:pPr>
              <w:pStyle w:val="TableText"/>
              <w:jc w:val="right"/>
            </w:pPr>
          </w:p>
        </w:tc>
        <w:tc>
          <w:tcPr>
            <w:tcW w:w="1922" w:type="dxa"/>
          </w:tcPr>
          <w:p w14:paraId="13E53AC2" w14:textId="77777777" w:rsidR="00B903A5" w:rsidRPr="005B0796" w:rsidRDefault="00B903A5" w:rsidP="00594252">
            <w:pPr>
              <w:pStyle w:val="TableText"/>
              <w:jc w:val="right"/>
              <w:rPr>
                <w:color w:val="000000" w:themeColor="text1"/>
              </w:rPr>
            </w:pPr>
          </w:p>
        </w:tc>
        <w:tc>
          <w:tcPr>
            <w:tcW w:w="1923" w:type="dxa"/>
          </w:tcPr>
          <w:p w14:paraId="5C0BDE65" w14:textId="77777777" w:rsidR="00B903A5" w:rsidRPr="005B0796" w:rsidRDefault="00B903A5" w:rsidP="00594252">
            <w:pPr>
              <w:pStyle w:val="TableText"/>
              <w:jc w:val="right"/>
            </w:pPr>
          </w:p>
        </w:tc>
      </w:tr>
      <w:tr w:rsidR="00B903A5" w:rsidRPr="005B0796" w14:paraId="4330CC3A" w14:textId="77777777" w:rsidTr="00D268F6">
        <w:trPr>
          <w:cantSplit/>
        </w:trPr>
        <w:tc>
          <w:tcPr>
            <w:tcW w:w="1548" w:type="dxa"/>
            <w:hideMark/>
          </w:tcPr>
          <w:p w14:paraId="4843D20C" w14:textId="77777777" w:rsidR="00B903A5" w:rsidRPr="005B0796" w:rsidRDefault="00B903A5" w:rsidP="00594252">
            <w:pPr>
              <w:pStyle w:val="TableText"/>
              <w:ind w:left="144"/>
            </w:pPr>
            <w:r w:rsidRPr="005B0796">
              <w:t>Male</w:t>
            </w:r>
          </w:p>
        </w:tc>
        <w:tc>
          <w:tcPr>
            <w:tcW w:w="1922" w:type="dxa"/>
            <w:hideMark/>
          </w:tcPr>
          <w:p w14:paraId="6CDE04CD" w14:textId="77777777" w:rsidR="00B903A5" w:rsidRPr="005B0796" w:rsidRDefault="00B903A5" w:rsidP="00594252">
            <w:pPr>
              <w:pStyle w:val="TableText"/>
              <w:jc w:val="right"/>
            </w:pPr>
            <w:r w:rsidRPr="005B0796">
              <w:t>903</w:t>
            </w:r>
          </w:p>
        </w:tc>
        <w:tc>
          <w:tcPr>
            <w:tcW w:w="1922" w:type="dxa"/>
            <w:hideMark/>
          </w:tcPr>
          <w:p w14:paraId="1C6B22A3" w14:textId="77777777" w:rsidR="00B903A5" w:rsidRPr="005B0796" w:rsidRDefault="00B903A5" w:rsidP="00594252">
            <w:pPr>
              <w:pStyle w:val="TableText"/>
              <w:jc w:val="right"/>
              <w:rPr>
                <w:color w:val="000000" w:themeColor="text1"/>
              </w:rPr>
            </w:pPr>
            <w:r w:rsidRPr="005B0796">
              <w:rPr>
                <w:color w:val="000000" w:themeColor="text1"/>
              </w:rPr>
              <w:t>698</w:t>
            </w:r>
          </w:p>
        </w:tc>
        <w:tc>
          <w:tcPr>
            <w:tcW w:w="1923" w:type="dxa"/>
            <w:hideMark/>
          </w:tcPr>
          <w:p w14:paraId="551C8BEC" w14:textId="77777777" w:rsidR="00B903A5" w:rsidRPr="005B0796" w:rsidRDefault="00B903A5" w:rsidP="00594252">
            <w:pPr>
              <w:pStyle w:val="TableText"/>
              <w:jc w:val="right"/>
            </w:pPr>
            <w:r w:rsidRPr="005B0796">
              <w:t>77.3</w:t>
            </w:r>
          </w:p>
        </w:tc>
      </w:tr>
      <w:tr w:rsidR="00B903A5" w:rsidRPr="005B0796" w14:paraId="7DE4770D"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217B1B3" w14:textId="77777777" w:rsidR="00B903A5" w:rsidRPr="005B0796" w:rsidRDefault="00B903A5" w:rsidP="00594252">
            <w:pPr>
              <w:pStyle w:val="TableText"/>
              <w:ind w:left="144"/>
            </w:pPr>
            <w:r w:rsidRPr="005B0796">
              <w:t>Female</w:t>
            </w:r>
          </w:p>
        </w:tc>
        <w:tc>
          <w:tcPr>
            <w:tcW w:w="1922" w:type="dxa"/>
            <w:hideMark/>
          </w:tcPr>
          <w:p w14:paraId="2208F7B2" w14:textId="77777777" w:rsidR="00B903A5" w:rsidRPr="005B0796" w:rsidRDefault="00B903A5" w:rsidP="00594252">
            <w:pPr>
              <w:pStyle w:val="TableText"/>
              <w:jc w:val="right"/>
            </w:pPr>
            <w:r w:rsidRPr="005B0796">
              <w:t>182</w:t>
            </w:r>
          </w:p>
        </w:tc>
        <w:tc>
          <w:tcPr>
            <w:tcW w:w="1922" w:type="dxa"/>
            <w:hideMark/>
          </w:tcPr>
          <w:p w14:paraId="4D132F12" w14:textId="77777777" w:rsidR="00B903A5" w:rsidRPr="005B0796" w:rsidRDefault="00B903A5" w:rsidP="00594252">
            <w:pPr>
              <w:pStyle w:val="TableText"/>
              <w:jc w:val="right"/>
              <w:rPr>
                <w:color w:val="000000" w:themeColor="text1"/>
              </w:rPr>
            </w:pPr>
            <w:r w:rsidRPr="005B0796">
              <w:rPr>
                <w:color w:val="000000" w:themeColor="text1"/>
              </w:rPr>
              <w:t>135</w:t>
            </w:r>
          </w:p>
        </w:tc>
        <w:tc>
          <w:tcPr>
            <w:tcW w:w="1923" w:type="dxa"/>
            <w:hideMark/>
          </w:tcPr>
          <w:p w14:paraId="7401A359" w14:textId="77777777" w:rsidR="00B903A5" w:rsidRPr="005B0796" w:rsidRDefault="00B903A5" w:rsidP="00594252">
            <w:pPr>
              <w:pStyle w:val="TableText"/>
              <w:jc w:val="right"/>
            </w:pPr>
            <w:r w:rsidRPr="005B0796">
              <w:t>74.2</w:t>
            </w:r>
          </w:p>
        </w:tc>
      </w:tr>
      <w:tr w:rsidR="00B903A5" w:rsidRPr="005B0796" w14:paraId="701E184A" w14:textId="77777777" w:rsidTr="00D268F6">
        <w:trPr>
          <w:cantSplit/>
        </w:trPr>
        <w:tc>
          <w:tcPr>
            <w:tcW w:w="1548" w:type="dxa"/>
            <w:hideMark/>
          </w:tcPr>
          <w:p w14:paraId="40B83950" w14:textId="77777777" w:rsidR="00B903A5" w:rsidRPr="005B0796" w:rsidRDefault="00B903A5" w:rsidP="00594252">
            <w:pPr>
              <w:pStyle w:val="TableText"/>
              <w:ind w:left="144"/>
            </w:pPr>
            <w:r w:rsidRPr="005B0796">
              <w:t>Missing</w:t>
            </w:r>
          </w:p>
        </w:tc>
        <w:tc>
          <w:tcPr>
            <w:tcW w:w="1922" w:type="dxa"/>
            <w:hideMark/>
          </w:tcPr>
          <w:p w14:paraId="767B9B2F" w14:textId="77777777" w:rsidR="00B903A5" w:rsidRPr="005B0796" w:rsidRDefault="00B903A5" w:rsidP="00594252">
            <w:pPr>
              <w:pStyle w:val="TableText"/>
              <w:jc w:val="right"/>
            </w:pPr>
            <w:r w:rsidRPr="005B0796">
              <w:t>3</w:t>
            </w:r>
          </w:p>
        </w:tc>
        <w:tc>
          <w:tcPr>
            <w:tcW w:w="1922" w:type="dxa"/>
            <w:hideMark/>
          </w:tcPr>
          <w:p w14:paraId="7EFD5434" w14:textId="77777777" w:rsidR="00B903A5" w:rsidRPr="005B0796" w:rsidRDefault="00B903A5" w:rsidP="00594252">
            <w:pPr>
              <w:pStyle w:val="TableText"/>
              <w:jc w:val="right"/>
              <w:rPr>
                <w:color w:val="000000" w:themeColor="text1"/>
              </w:rPr>
            </w:pPr>
            <w:r w:rsidRPr="005B0796">
              <w:rPr>
                <w:color w:val="000000" w:themeColor="text1"/>
              </w:rPr>
              <w:t>2</w:t>
            </w:r>
          </w:p>
        </w:tc>
        <w:tc>
          <w:tcPr>
            <w:tcW w:w="1923" w:type="dxa"/>
            <w:hideMark/>
          </w:tcPr>
          <w:p w14:paraId="57945217" w14:textId="77777777" w:rsidR="00B903A5" w:rsidRPr="005B0796" w:rsidRDefault="00B903A5" w:rsidP="00594252">
            <w:pPr>
              <w:pStyle w:val="TableText"/>
              <w:jc w:val="right"/>
            </w:pPr>
            <w:r w:rsidRPr="005B0796">
              <w:t>66.7</w:t>
            </w:r>
          </w:p>
        </w:tc>
      </w:tr>
      <w:tr w:rsidR="00B903A5" w:rsidRPr="005B0796" w14:paraId="7B472B14"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4D96CA37" w14:textId="77777777" w:rsidR="00B903A5" w:rsidRPr="005B0796" w:rsidRDefault="00B903A5" w:rsidP="00594252">
            <w:pPr>
              <w:pStyle w:val="TableText"/>
              <w:rPr>
                <w:b/>
              </w:rPr>
            </w:pPr>
            <w:r w:rsidRPr="005B0796">
              <w:rPr>
                <w:b/>
              </w:rPr>
              <w:t>Rank</w:t>
            </w:r>
          </w:p>
        </w:tc>
        <w:tc>
          <w:tcPr>
            <w:tcW w:w="1922" w:type="dxa"/>
          </w:tcPr>
          <w:p w14:paraId="2CD87939" w14:textId="77777777" w:rsidR="00B903A5" w:rsidRPr="005B0796" w:rsidRDefault="00B903A5" w:rsidP="00594252">
            <w:pPr>
              <w:pStyle w:val="TableText"/>
              <w:jc w:val="right"/>
            </w:pPr>
          </w:p>
        </w:tc>
        <w:tc>
          <w:tcPr>
            <w:tcW w:w="1922" w:type="dxa"/>
          </w:tcPr>
          <w:p w14:paraId="07AF4000" w14:textId="77777777" w:rsidR="00B903A5" w:rsidRPr="005B0796" w:rsidRDefault="00B903A5" w:rsidP="00594252">
            <w:pPr>
              <w:pStyle w:val="TableText"/>
              <w:jc w:val="right"/>
              <w:rPr>
                <w:color w:val="000000" w:themeColor="text1"/>
              </w:rPr>
            </w:pPr>
          </w:p>
        </w:tc>
        <w:tc>
          <w:tcPr>
            <w:tcW w:w="1923" w:type="dxa"/>
          </w:tcPr>
          <w:p w14:paraId="6936EDA1" w14:textId="77777777" w:rsidR="00B903A5" w:rsidRPr="005B0796" w:rsidRDefault="00B903A5" w:rsidP="00594252">
            <w:pPr>
              <w:pStyle w:val="TableText"/>
              <w:jc w:val="right"/>
            </w:pPr>
          </w:p>
        </w:tc>
      </w:tr>
      <w:tr w:rsidR="00B903A5" w:rsidRPr="005B0796" w14:paraId="3FA61D35" w14:textId="77777777" w:rsidTr="00D268F6">
        <w:trPr>
          <w:cantSplit/>
        </w:trPr>
        <w:tc>
          <w:tcPr>
            <w:tcW w:w="1548" w:type="dxa"/>
            <w:hideMark/>
          </w:tcPr>
          <w:p w14:paraId="744C8630" w14:textId="77777777" w:rsidR="00B903A5" w:rsidRPr="005B0796" w:rsidRDefault="00B903A5" w:rsidP="00594252">
            <w:pPr>
              <w:pStyle w:val="TableText"/>
              <w:ind w:left="144"/>
            </w:pPr>
            <w:r w:rsidRPr="005B0796">
              <w:t>OFFR</w:t>
            </w:r>
          </w:p>
        </w:tc>
        <w:tc>
          <w:tcPr>
            <w:tcW w:w="1922" w:type="dxa"/>
            <w:hideMark/>
          </w:tcPr>
          <w:p w14:paraId="36C4DD3E" w14:textId="77777777" w:rsidR="00B903A5" w:rsidRPr="005B0796" w:rsidRDefault="00B903A5" w:rsidP="00594252">
            <w:pPr>
              <w:pStyle w:val="TableText"/>
              <w:jc w:val="right"/>
            </w:pPr>
            <w:r w:rsidRPr="005B0796">
              <w:t>451</w:t>
            </w:r>
          </w:p>
        </w:tc>
        <w:tc>
          <w:tcPr>
            <w:tcW w:w="1922" w:type="dxa"/>
            <w:hideMark/>
          </w:tcPr>
          <w:p w14:paraId="39686C77" w14:textId="77777777" w:rsidR="00B903A5" w:rsidRPr="005B0796" w:rsidRDefault="00B903A5" w:rsidP="00594252">
            <w:pPr>
              <w:pStyle w:val="TableText"/>
              <w:jc w:val="right"/>
              <w:rPr>
                <w:color w:val="000000" w:themeColor="text1"/>
              </w:rPr>
            </w:pPr>
            <w:r w:rsidRPr="005B0796">
              <w:rPr>
                <w:color w:val="000000" w:themeColor="text1"/>
              </w:rPr>
              <w:t>375</w:t>
            </w:r>
          </w:p>
        </w:tc>
        <w:tc>
          <w:tcPr>
            <w:tcW w:w="1923" w:type="dxa"/>
            <w:hideMark/>
          </w:tcPr>
          <w:p w14:paraId="7615DC02" w14:textId="77777777" w:rsidR="00B903A5" w:rsidRPr="005B0796" w:rsidRDefault="00B903A5" w:rsidP="00594252">
            <w:pPr>
              <w:pStyle w:val="TableText"/>
              <w:jc w:val="right"/>
            </w:pPr>
            <w:r w:rsidRPr="005B0796">
              <w:t>83.2</w:t>
            </w:r>
          </w:p>
        </w:tc>
      </w:tr>
      <w:tr w:rsidR="00B903A5" w:rsidRPr="005B0796" w14:paraId="5EA5955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62BB440E" w14:textId="77777777" w:rsidR="00B903A5" w:rsidRPr="005B0796" w:rsidRDefault="00B903A5" w:rsidP="00594252">
            <w:pPr>
              <w:pStyle w:val="TableText"/>
              <w:ind w:left="144"/>
            </w:pPr>
            <w:r w:rsidRPr="005B0796">
              <w:t>NCO</w:t>
            </w:r>
          </w:p>
        </w:tc>
        <w:tc>
          <w:tcPr>
            <w:tcW w:w="1922" w:type="dxa"/>
            <w:hideMark/>
          </w:tcPr>
          <w:p w14:paraId="452ECA11" w14:textId="77777777" w:rsidR="00B903A5" w:rsidRPr="005B0796" w:rsidRDefault="00B903A5" w:rsidP="00594252">
            <w:pPr>
              <w:pStyle w:val="TableText"/>
              <w:jc w:val="right"/>
            </w:pPr>
            <w:r w:rsidRPr="005B0796">
              <w:t>576</w:t>
            </w:r>
          </w:p>
        </w:tc>
        <w:tc>
          <w:tcPr>
            <w:tcW w:w="1922" w:type="dxa"/>
            <w:hideMark/>
          </w:tcPr>
          <w:p w14:paraId="2F0AC71E" w14:textId="77777777" w:rsidR="00B903A5" w:rsidRPr="005B0796" w:rsidRDefault="00B903A5" w:rsidP="00594252">
            <w:pPr>
              <w:pStyle w:val="TableText"/>
              <w:jc w:val="right"/>
              <w:rPr>
                <w:color w:val="000000" w:themeColor="text1"/>
              </w:rPr>
            </w:pPr>
            <w:r w:rsidRPr="005B0796">
              <w:rPr>
                <w:color w:val="000000" w:themeColor="text1"/>
              </w:rPr>
              <w:t>425</w:t>
            </w:r>
          </w:p>
        </w:tc>
        <w:tc>
          <w:tcPr>
            <w:tcW w:w="1923" w:type="dxa"/>
            <w:hideMark/>
          </w:tcPr>
          <w:p w14:paraId="4B8594AD" w14:textId="77777777" w:rsidR="00B903A5" w:rsidRPr="005B0796" w:rsidRDefault="00B903A5" w:rsidP="00594252">
            <w:pPr>
              <w:pStyle w:val="TableText"/>
              <w:jc w:val="right"/>
            </w:pPr>
            <w:r w:rsidRPr="005B0796">
              <w:t>73.8</w:t>
            </w:r>
          </w:p>
        </w:tc>
      </w:tr>
      <w:tr w:rsidR="00B903A5" w:rsidRPr="005B0796" w14:paraId="2AD57666" w14:textId="77777777" w:rsidTr="00D268F6">
        <w:trPr>
          <w:cantSplit/>
        </w:trPr>
        <w:tc>
          <w:tcPr>
            <w:tcW w:w="1548" w:type="dxa"/>
            <w:hideMark/>
          </w:tcPr>
          <w:p w14:paraId="115E8140" w14:textId="77777777" w:rsidR="00B903A5" w:rsidRPr="005B0796" w:rsidRDefault="00B903A5" w:rsidP="00594252">
            <w:pPr>
              <w:pStyle w:val="TableText"/>
              <w:ind w:left="144"/>
            </w:pPr>
            <w:r w:rsidRPr="005B0796">
              <w:t>Other Ranks</w:t>
            </w:r>
          </w:p>
        </w:tc>
        <w:tc>
          <w:tcPr>
            <w:tcW w:w="1922" w:type="dxa"/>
            <w:hideMark/>
          </w:tcPr>
          <w:p w14:paraId="71911D88" w14:textId="77777777" w:rsidR="00B903A5" w:rsidRPr="005B0796" w:rsidRDefault="00B903A5" w:rsidP="00594252">
            <w:pPr>
              <w:pStyle w:val="TableText"/>
              <w:jc w:val="right"/>
            </w:pPr>
            <w:r w:rsidRPr="005B0796">
              <w:t>61</w:t>
            </w:r>
          </w:p>
        </w:tc>
        <w:tc>
          <w:tcPr>
            <w:tcW w:w="1922" w:type="dxa"/>
            <w:hideMark/>
          </w:tcPr>
          <w:p w14:paraId="6726EDD4" w14:textId="77777777" w:rsidR="00B903A5" w:rsidRPr="005B0796" w:rsidRDefault="00B903A5" w:rsidP="00594252">
            <w:pPr>
              <w:pStyle w:val="TableText"/>
              <w:jc w:val="right"/>
              <w:rPr>
                <w:color w:val="000000" w:themeColor="text1"/>
              </w:rPr>
            </w:pPr>
            <w:r w:rsidRPr="005B0796">
              <w:rPr>
                <w:color w:val="000000" w:themeColor="text1"/>
              </w:rPr>
              <w:t>35</w:t>
            </w:r>
          </w:p>
        </w:tc>
        <w:tc>
          <w:tcPr>
            <w:tcW w:w="1923" w:type="dxa"/>
            <w:hideMark/>
          </w:tcPr>
          <w:p w14:paraId="5B7ECEEE" w14:textId="77777777" w:rsidR="00B903A5" w:rsidRPr="005B0796" w:rsidRDefault="00B903A5" w:rsidP="00594252">
            <w:pPr>
              <w:pStyle w:val="TableText"/>
              <w:jc w:val="right"/>
            </w:pPr>
            <w:r w:rsidRPr="005B0796">
              <w:t>57.4</w:t>
            </w:r>
          </w:p>
        </w:tc>
      </w:tr>
      <w:tr w:rsidR="00B903A5" w:rsidRPr="005B0796" w14:paraId="2E531C35"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5A2BFD25" w14:textId="77777777" w:rsidR="00B903A5" w:rsidRPr="005B0796" w:rsidRDefault="00B903A5" w:rsidP="00594252">
            <w:pPr>
              <w:pStyle w:val="TableText"/>
              <w:rPr>
                <w:b/>
              </w:rPr>
            </w:pPr>
            <w:r w:rsidRPr="005B0796">
              <w:rPr>
                <w:b/>
              </w:rPr>
              <w:t>Medical fitness</w:t>
            </w:r>
          </w:p>
        </w:tc>
        <w:tc>
          <w:tcPr>
            <w:tcW w:w="1922" w:type="dxa"/>
          </w:tcPr>
          <w:p w14:paraId="649B6954" w14:textId="77777777" w:rsidR="00B903A5" w:rsidRPr="005B0796" w:rsidRDefault="00B903A5" w:rsidP="00594252">
            <w:pPr>
              <w:pStyle w:val="TableText"/>
              <w:jc w:val="right"/>
            </w:pPr>
          </w:p>
        </w:tc>
        <w:tc>
          <w:tcPr>
            <w:tcW w:w="1922" w:type="dxa"/>
          </w:tcPr>
          <w:p w14:paraId="3924A324" w14:textId="77777777" w:rsidR="00B903A5" w:rsidRPr="005B0796" w:rsidRDefault="00B903A5" w:rsidP="00594252">
            <w:pPr>
              <w:pStyle w:val="TableText"/>
              <w:jc w:val="right"/>
              <w:rPr>
                <w:color w:val="000000" w:themeColor="text1"/>
              </w:rPr>
            </w:pPr>
          </w:p>
        </w:tc>
        <w:tc>
          <w:tcPr>
            <w:tcW w:w="1923" w:type="dxa"/>
          </w:tcPr>
          <w:p w14:paraId="4D937DEF" w14:textId="77777777" w:rsidR="00B903A5" w:rsidRPr="005B0796" w:rsidRDefault="00B903A5" w:rsidP="00594252">
            <w:pPr>
              <w:pStyle w:val="TableText"/>
              <w:jc w:val="right"/>
            </w:pPr>
          </w:p>
        </w:tc>
      </w:tr>
      <w:tr w:rsidR="00B903A5" w:rsidRPr="005B0796" w14:paraId="07CBCCBA" w14:textId="77777777" w:rsidTr="00D268F6">
        <w:trPr>
          <w:cantSplit/>
        </w:trPr>
        <w:tc>
          <w:tcPr>
            <w:tcW w:w="1548" w:type="dxa"/>
            <w:hideMark/>
          </w:tcPr>
          <w:p w14:paraId="456DE3B0" w14:textId="77777777" w:rsidR="00B903A5" w:rsidRPr="005B0796" w:rsidRDefault="00B903A5" w:rsidP="00594252">
            <w:pPr>
              <w:pStyle w:val="TableText"/>
              <w:ind w:left="144"/>
            </w:pPr>
            <w:r w:rsidRPr="005B0796">
              <w:t>Fit</w:t>
            </w:r>
          </w:p>
        </w:tc>
        <w:tc>
          <w:tcPr>
            <w:tcW w:w="1922" w:type="dxa"/>
            <w:hideMark/>
          </w:tcPr>
          <w:p w14:paraId="23C4A6E3" w14:textId="77777777" w:rsidR="00B903A5" w:rsidRPr="005B0796" w:rsidRDefault="00B903A5" w:rsidP="00594252">
            <w:pPr>
              <w:pStyle w:val="TableText"/>
              <w:jc w:val="right"/>
            </w:pPr>
            <w:r w:rsidRPr="005B0796">
              <w:t>758</w:t>
            </w:r>
          </w:p>
        </w:tc>
        <w:tc>
          <w:tcPr>
            <w:tcW w:w="1922" w:type="dxa"/>
            <w:hideMark/>
          </w:tcPr>
          <w:p w14:paraId="4A432509" w14:textId="77777777" w:rsidR="00B903A5" w:rsidRPr="005B0796" w:rsidRDefault="00B903A5" w:rsidP="00594252">
            <w:pPr>
              <w:pStyle w:val="TableText"/>
              <w:jc w:val="right"/>
              <w:rPr>
                <w:color w:val="000000" w:themeColor="text1"/>
              </w:rPr>
            </w:pPr>
            <w:r w:rsidRPr="005B0796">
              <w:rPr>
                <w:color w:val="000000" w:themeColor="text1"/>
              </w:rPr>
              <w:t>590</w:t>
            </w:r>
          </w:p>
        </w:tc>
        <w:tc>
          <w:tcPr>
            <w:tcW w:w="1923" w:type="dxa"/>
            <w:hideMark/>
          </w:tcPr>
          <w:p w14:paraId="0CF0AA8E" w14:textId="77777777" w:rsidR="00B903A5" w:rsidRPr="005B0796" w:rsidRDefault="00B903A5" w:rsidP="00594252">
            <w:pPr>
              <w:pStyle w:val="TableText"/>
              <w:jc w:val="right"/>
            </w:pPr>
            <w:r w:rsidRPr="005B0796">
              <w:t>77.8</w:t>
            </w:r>
          </w:p>
        </w:tc>
      </w:tr>
      <w:tr w:rsidR="00B903A5" w:rsidRPr="005B0796" w14:paraId="602E5C4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079A575" w14:textId="77777777" w:rsidR="00B903A5" w:rsidRPr="005B0796" w:rsidRDefault="00B903A5" w:rsidP="00594252">
            <w:pPr>
              <w:pStyle w:val="TableText"/>
              <w:ind w:left="144"/>
            </w:pPr>
            <w:r w:rsidRPr="005B0796">
              <w:t>Unfit</w:t>
            </w:r>
          </w:p>
        </w:tc>
        <w:tc>
          <w:tcPr>
            <w:tcW w:w="1922" w:type="dxa"/>
            <w:hideMark/>
          </w:tcPr>
          <w:p w14:paraId="45CD4196" w14:textId="77777777" w:rsidR="00B903A5" w:rsidRPr="005B0796" w:rsidRDefault="00B903A5" w:rsidP="00594252">
            <w:pPr>
              <w:pStyle w:val="TableText"/>
              <w:jc w:val="right"/>
            </w:pPr>
            <w:r w:rsidRPr="005B0796">
              <w:t>327</w:t>
            </w:r>
          </w:p>
        </w:tc>
        <w:tc>
          <w:tcPr>
            <w:tcW w:w="1922" w:type="dxa"/>
            <w:hideMark/>
          </w:tcPr>
          <w:p w14:paraId="6E59E74A" w14:textId="77777777" w:rsidR="00B903A5" w:rsidRPr="005B0796" w:rsidRDefault="00B903A5" w:rsidP="00594252">
            <w:pPr>
              <w:pStyle w:val="TableText"/>
              <w:jc w:val="right"/>
              <w:rPr>
                <w:color w:val="000000" w:themeColor="text1"/>
              </w:rPr>
            </w:pPr>
            <w:r w:rsidRPr="005B0796">
              <w:rPr>
                <w:color w:val="000000" w:themeColor="text1"/>
              </w:rPr>
              <w:t>243</w:t>
            </w:r>
          </w:p>
        </w:tc>
        <w:tc>
          <w:tcPr>
            <w:tcW w:w="1923" w:type="dxa"/>
            <w:hideMark/>
          </w:tcPr>
          <w:p w14:paraId="0A0AECE2" w14:textId="77777777" w:rsidR="00B903A5" w:rsidRPr="005B0796" w:rsidRDefault="00B903A5" w:rsidP="00594252">
            <w:pPr>
              <w:pStyle w:val="TableText"/>
              <w:jc w:val="right"/>
            </w:pPr>
            <w:r w:rsidRPr="005B0796">
              <w:t>74.3</w:t>
            </w:r>
          </w:p>
        </w:tc>
      </w:tr>
      <w:tr w:rsidR="00B903A5" w:rsidRPr="005B0796" w14:paraId="145C1A94" w14:textId="77777777" w:rsidTr="00D268F6">
        <w:trPr>
          <w:cantSplit/>
        </w:trPr>
        <w:tc>
          <w:tcPr>
            <w:tcW w:w="1548" w:type="dxa"/>
            <w:hideMark/>
          </w:tcPr>
          <w:p w14:paraId="6D965F16" w14:textId="77777777" w:rsidR="00B903A5" w:rsidRPr="005B0796" w:rsidRDefault="00B903A5" w:rsidP="00594252">
            <w:pPr>
              <w:pStyle w:val="TableText"/>
              <w:ind w:left="144"/>
            </w:pPr>
            <w:r w:rsidRPr="005B0796">
              <w:t>Missing</w:t>
            </w:r>
          </w:p>
        </w:tc>
        <w:tc>
          <w:tcPr>
            <w:tcW w:w="1922" w:type="dxa"/>
            <w:hideMark/>
          </w:tcPr>
          <w:p w14:paraId="3CCACCA6" w14:textId="77777777" w:rsidR="00B903A5" w:rsidRPr="005B0796" w:rsidRDefault="00B903A5" w:rsidP="00594252">
            <w:pPr>
              <w:pStyle w:val="TableText"/>
              <w:jc w:val="right"/>
            </w:pPr>
            <w:r w:rsidRPr="005B0796">
              <w:t>3</w:t>
            </w:r>
          </w:p>
        </w:tc>
        <w:tc>
          <w:tcPr>
            <w:tcW w:w="1922" w:type="dxa"/>
            <w:hideMark/>
          </w:tcPr>
          <w:p w14:paraId="4B19C74F" w14:textId="77777777" w:rsidR="00B903A5" w:rsidRPr="005B0796" w:rsidRDefault="00B903A5" w:rsidP="00594252">
            <w:pPr>
              <w:pStyle w:val="TableText"/>
              <w:jc w:val="right"/>
              <w:rPr>
                <w:color w:val="000000" w:themeColor="text1"/>
              </w:rPr>
            </w:pPr>
            <w:r w:rsidRPr="005B0796">
              <w:rPr>
                <w:color w:val="000000" w:themeColor="text1"/>
              </w:rPr>
              <w:t>2</w:t>
            </w:r>
          </w:p>
        </w:tc>
        <w:tc>
          <w:tcPr>
            <w:tcW w:w="1923" w:type="dxa"/>
            <w:hideMark/>
          </w:tcPr>
          <w:p w14:paraId="36FFF4B8" w14:textId="77777777" w:rsidR="00B903A5" w:rsidRPr="005B0796" w:rsidRDefault="00B903A5" w:rsidP="00594252">
            <w:pPr>
              <w:pStyle w:val="TableText"/>
              <w:jc w:val="right"/>
            </w:pPr>
            <w:r w:rsidRPr="005B0796">
              <w:t>66.7</w:t>
            </w:r>
          </w:p>
        </w:tc>
      </w:tr>
      <w:tr w:rsidR="00B903A5" w:rsidRPr="005B0796" w14:paraId="6D846AAA"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2C744A2D" w14:textId="77777777" w:rsidR="00B903A5" w:rsidRPr="005B0796" w:rsidRDefault="00B903A5" w:rsidP="00594252">
            <w:pPr>
              <w:pStyle w:val="TableText"/>
              <w:rPr>
                <w:b/>
              </w:rPr>
            </w:pPr>
            <w:r w:rsidRPr="005B0796">
              <w:rPr>
                <w:b/>
              </w:rPr>
              <w:t>Total</w:t>
            </w:r>
          </w:p>
        </w:tc>
        <w:tc>
          <w:tcPr>
            <w:tcW w:w="1922" w:type="dxa"/>
            <w:hideMark/>
          </w:tcPr>
          <w:p w14:paraId="044E72D9" w14:textId="77777777" w:rsidR="00B903A5" w:rsidRPr="005B0796" w:rsidRDefault="00B903A5" w:rsidP="00594252">
            <w:pPr>
              <w:pStyle w:val="TableText"/>
              <w:jc w:val="right"/>
            </w:pPr>
            <w:r w:rsidRPr="005B0796">
              <w:t>1088</w:t>
            </w:r>
          </w:p>
        </w:tc>
        <w:tc>
          <w:tcPr>
            <w:tcW w:w="1922" w:type="dxa"/>
            <w:hideMark/>
          </w:tcPr>
          <w:p w14:paraId="5098A1C8" w14:textId="77777777" w:rsidR="00B903A5" w:rsidRPr="005B0796" w:rsidRDefault="00B903A5" w:rsidP="00594252">
            <w:pPr>
              <w:pStyle w:val="TableText"/>
              <w:jc w:val="right"/>
            </w:pPr>
            <w:r w:rsidRPr="005B0796">
              <w:t>835</w:t>
            </w:r>
          </w:p>
        </w:tc>
        <w:tc>
          <w:tcPr>
            <w:tcW w:w="1923" w:type="dxa"/>
            <w:hideMark/>
          </w:tcPr>
          <w:p w14:paraId="0A836348" w14:textId="77777777" w:rsidR="00B903A5" w:rsidRPr="005B0796" w:rsidRDefault="00B903A5" w:rsidP="00594252">
            <w:pPr>
              <w:pStyle w:val="TableText"/>
              <w:jc w:val="right"/>
            </w:pPr>
            <w:r w:rsidRPr="005B0796">
              <w:t>76.8</w:t>
            </w:r>
          </w:p>
        </w:tc>
      </w:tr>
    </w:tbl>
    <w:p w14:paraId="0BFCEDBA" w14:textId="77777777" w:rsidR="00B903A5" w:rsidRPr="00457804" w:rsidRDefault="00B903A5" w:rsidP="00B903A5">
      <w:pPr>
        <w:pStyle w:val="TableNotes"/>
        <w:rPr>
          <w:b/>
        </w:rPr>
      </w:pPr>
      <w:r w:rsidRPr="00457804">
        <w:rPr>
          <w:b/>
        </w:rPr>
        <w:t>Notes</w:t>
      </w:r>
    </w:p>
    <w:p w14:paraId="0138B6B1" w14:textId="77777777" w:rsidR="00B903A5" w:rsidRPr="005B0796" w:rsidRDefault="00B903A5" w:rsidP="00B903A5">
      <w:pPr>
        <w:pStyle w:val="TableNotes"/>
      </w:pPr>
      <w:r w:rsidRPr="005B0796">
        <w:t>Denominator: MHPWS sample invited to participate in the CIDI interview</w:t>
      </w:r>
      <w:r>
        <w:t>.</w:t>
      </w:r>
    </w:p>
    <w:p w14:paraId="77C547AA" w14:textId="77777777" w:rsidR="00B903A5" w:rsidRPr="005B0796" w:rsidRDefault="00B903A5" w:rsidP="00B903A5">
      <w:pPr>
        <w:pStyle w:val="TableNotes"/>
        <w:rPr>
          <w:bCs/>
        </w:rPr>
      </w:pPr>
      <w:r w:rsidRPr="005B0796">
        <w:t>Unweighted data</w:t>
      </w:r>
      <w:r>
        <w:t>.</w:t>
      </w:r>
    </w:p>
    <w:p w14:paraId="665B3AC5" w14:textId="77777777" w:rsidR="00B903A5" w:rsidRPr="005B0796" w:rsidRDefault="00B903A5" w:rsidP="00B903A5">
      <w:pPr>
        <w:pStyle w:val="TableNotes"/>
        <w:rPr>
          <w:bCs/>
        </w:rPr>
      </w:pPr>
      <w:r w:rsidRPr="005B0796">
        <w:rPr>
          <w:bCs/>
        </w:rPr>
        <w:t>95% CI</w:t>
      </w:r>
      <w:r>
        <w:rPr>
          <w:bCs/>
        </w:rPr>
        <w:t xml:space="preserve"> =</w:t>
      </w:r>
      <w:r w:rsidRPr="005B0796">
        <w:rPr>
          <w:bCs/>
        </w:rPr>
        <w:t xml:space="preserve"> 95% confidence interval</w:t>
      </w:r>
      <w:r>
        <w:rPr>
          <w:bCs/>
        </w:rPr>
        <w:t>.</w:t>
      </w:r>
    </w:p>
    <w:p w14:paraId="54EA803E" w14:textId="77777777" w:rsidR="00B903A5" w:rsidRPr="005B0796" w:rsidRDefault="00B903A5" w:rsidP="00B903A5">
      <w:pPr>
        <w:spacing w:after="160"/>
      </w:pPr>
      <w:r w:rsidRPr="005B0796">
        <w:t xml:space="preserve">The characteristics of the MHPWS group CIDI respondents </w:t>
      </w:r>
      <w:r>
        <w:t>we</w:t>
      </w:r>
      <w:r w:rsidRPr="005B0796">
        <w:t>re as follows:</w:t>
      </w:r>
    </w:p>
    <w:p w14:paraId="43469AD9" w14:textId="77777777" w:rsidR="00B903A5" w:rsidRPr="005B0796" w:rsidRDefault="00B903A5" w:rsidP="00B903A5">
      <w:pPr>
        <w:pStyle w:val="Bullet"/>
        <w:numPr>
          <w:ilvl w:val="0"/>
          <w:numId w:val="3"/>
        </w:numPr>
        <w:ind w:left="360"/>
      </w:pPr>
      <w:r w:rsidRPr="005B0796">
        <w:rPr>
          <w:b/>
        </w:rPr>
        <w:t xml:space="preserve">Sex </w:t>
      </w:r>
      <w:r w:rsidRPr="005B0796">
        <w:t>– The MHPWS sample consisted of both 2015 Regular and Transitioned ADF members. Consistent with the ADF population, the CIDI sample was predominantly male, with females being less likely to respond than males.</w:t>
      </w:r>
    </w:p>
    <w:p w14:paraId="06AF45E3" w14:textId="77777777" w:rsidR="00B903A5" w:rsidRPr="005B0796" w:rsidRDefault="00B903A5" w:rsidP="00B903A5">
      <w:pPr>
        <w:pStyle w:val="Bullet"/>
        <w:numPr>
          <w:ilvl w:val="0"/>
          <w:numId w:val="3"/>
        </w:numPr>
        <w:ind w:left="360"/>
      </w:pPr>
      <w:r w:rsidRPr="005B0796">
        <w:rPr>
          <w:b/>
        </w:rPr>
        <w:t>Rank</w:t>
      </w:r>
      <w:r>
        <w:rPr>
          <w:b/>
        </w:rPr>
        <w:t xml:space="preserve"> – </w:t>
      </w:r>
      <w:r w:rsidRPr="005B0796">
        <w:t xml:space="preserve">CIDI responders in this group comprised 44.9% Officers, 50.9% Non-Commissioned Officers and 4.2% Other Ranks. Other Ranks were less likely to respond than the other two ranking categories. </w:t>
      </w:r>
    </w:p>
    <w:p w14:paraId="0D18BAC8" w14:textId="77777777" w:rsidR="00B903A5" w:rsidRPr="005B0796" w:rsidRDefault="00B903A5" w:rsidP="00B903A5">
      <w:pPr>
        <w:pStyle w:val="Bullet"/>
        <w:numPr>
          <w:ilvl w:val="0"/>
          <w:numId w:val="3"/>
        </w:numPr>
        <w:ind w:left="360"/>
        <w:rPr>
          <w:b/>
        </w:rPr>
      </w:pPr>
      <w:r w:rsidRPr="005B0796">
        <w:rPr>
          <w:b/>
        </w:rPr>
        <w:t>Service</w:t>
      </w:r>
      <w:r>
        <w:rPr>
          <w:b/>
        </w:rPr>
        <w:t xml:space="preserve"> –</w:t>
      </w:r>
      <w:r w:rsidRPr="005B0796">
        <w:t xml:space="preserve"> 21.0% of survey responders were Navy, 41.8% were Army and 37.2% were Air Force. There was no difference between CIDI responders and non</w:t>
      </w:r>
      <w:r>
        <w:t>-</w:t>
      </w:r>
      <w:r w:rsidRPr="005B0796">
        <w:t>responders in relation to service.</w:t>
      </w:r>
    </w:p>
    <w:p w14:paraId="08C24FAB" w14:textId="77777777" w:rsidR="00B903A5" w:rsidRPr="005B0796" w:rsidRDefault="00B903A5" w:rsidP="00B903A5">
      <w:pPr>
        <w:pStyle w:val="Bullet"/>
        <w:numPr>
          <w:ilvl w:val="0"/>
          <w:numId w:val="3"/>
        </w:numPr>
        <w:ind w:left="360"/>
        <w:rPr>
          <w:b/>
        </w:rPr>
      </w:pPr>
      <w:r w:rsidRPr="005B0796">
        <w:rPr>
          <w:b/>
        </w:rPr>
        <w:t>Medical fitness</w:t>
      </w:r>
      <w:r w:rsidRPr="005B0796">
        <w:t xml:space="preserve"> </w:t>
      </w:r>
      <w:r>
        <w:t xml:space="preserve">– </w:t>
      </w:r>
      <w:r w:rsidRPr="005B0796">
        <w:t xml:space="preserve">ADF members who were medically unfit were similarly represented in the CIDI responder group (29.1%) compared to those selected (30.1%). ADF members who were medically fit were also similarly represented in the CIDI responder group (70.7%) compared </w:t>
      </w:r>
      <w:r>
        <w:t>with</w:t>
      </w:r>
      <w:r w:rsidRPr="005B0796">
        <w:t xml:space="preserve"> the invited population</w:t>
      </w:r>
      <w:r>
        <w:t xml:space="preserve"> (</w:t>
      </w:r>
      <w:r w:rsidRPr="005B0796">
        <w:t>69.7%</w:t>
      </w:r>
      <w:r>
        <w:t>)</w:t>
      </w:r>
      <w:r w:rsidRPr="005B0796">
        <w:t>. Therefore, the responder sample was representative in terms of medical fitness of the selected group.</w:t>
      </w:r>
    </w:p>
    <w:p w14:paraId="217711C3" w14:textId="77777777" w:rsidR="00B903A5" w:rsidRPr="005B0796" w:rsidRDefault="00B903A5" w:rsidP="00B903A5">
      <w:pPr>
        <w:pStyle w:val="Heading4"/>
        <w:rPr>
          <w:rFonts w:eastAsia="MS ??"/>
        </w:rPr>
      </w:pPr>
      <w:r w:rsidRPr="005B0796">
        <w:rPr>
          <w:rFonts w:eastAsia="MS ??"/>
        </w:rPr>
        <w:t>Combat Zone group</w:t>
      </w:r>
    </w:p>
    <w:p w14:paraId="6FF139FB" w14:textId="77777777" w:rsidR="00B903A5" w:rsidRPr="005B0796" w:rsidRDefault="00B903A5" w:rsidP="00B903A5">
      <w:r w:rsidRPr="005B0796">
        <w:t xml:space="preserve">A total of 183 participants from this group were invited to participate in the CIDI 3.0. Of those invited, 76.5% (140) </w:t>
      </w:r>
      <w:r w:rsidRPr="005B0796">
        <w:rPr>
          <w:color w:val="000000" w:themeColor="text1"/>
        </w:rPr>
        <w:t>completed</w:t>
      </w:r>
      <w:r w:rsidRPr="005B0796">
        <w:t xml:space="preserve"> the interview. Table A.7 describes the response rates for this group.</w:t>
      </w:r>
    </w:p>
    <w:p w14:paraId="144A51B7" w14:textId="77777777" w:rsidR="00B903A5" w:rsidRPr="005B0796" w:rsidRDefault="00B903A5" w:rsidP="00B903A5">
      <w:pPr>
        <w:pStyle w:val="TableName"/>
        <w:rPr>
          <w:szCs w:val="22"/>
        </w:rPr>
      </w:pPr>
      <w:bookmarkStart w:id="1409" w:name="_Toc486936020"/>
      <w:bookmarkStart w:id="1410" w:name="_Toc487014344"/>
      <w:bookmarkStart w:id="1411" w:name="_Toc492995647"/>
      <w:bookmarkStart w:id="1412" w:name="_Toc528932383"/>
      <w:bookmarkStart w:id="1413" w:name="_Toc531858062"/>
      <w:r w:rsidRPr="005B0796">
        <w:t>Table A.7</w:t>
      </w:r>
      <w:r w:rsidRPr="005B0796">
        <w:tab/>
        <w:t xml:space="preserve">CIDI response rates for the Combat Zone group, by </w:t>
      </w:r>
      <w:r>
        <w:t>s</w:t>
      </w:r>
      <w:r w:rsidRPr="005B0796">
        <w:t>ervice, sex, rank and Medical Employment Classification status</w:t>
      </w:r>
      <w:bookmarkEnd w:id="1409"/>
      <w:bookmarkEnd w:id="1410"/>
      <w:bookmarkEnd w:id="1411"/>
      <w:bookmarkEnd w:id="1412"/>
      <w:bookmarkEnd w:id="1413"/>
    </w:p>
    <w:tbl>
      <w:tblPr>
        <w:tblStyle w:val="TWRPTable"/>
        <w:tblW w:w="5000" w:type="pct"/>
        <w:tblLayout w:type="fixed"/>
        <w:tblLook w:val="04A0" w:firstRow="1" w:lastRow="0" w:firstColumn="1" w:lastColumn="0" w:noHBand="0" w:noVBand="1"/>
        <w:tblDescription w:val="Table A.7 CIDI response rates for the Combat Zone group, by Service, sex, rank and Medical Employment Classification status"/>
      </w:tblPr>
      <w:tblGrid>
        <w:gridCol w:w="1502"/>
        <w:gridCol w:w="1862"/>
        <w:gridCol w:w="1862"/>
        <w:gridCol w:w="1863"/>
      </w:tblGrid>
      <w:tr w:rsidR="00B903A5" w:rsidRPr="005B0796" w14:paraId="1675317F"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val="restart"/>
          </w:tcPr>
          <w:p w14:paraId="022D92F4" w14:textId="77777777" w:rsidR="00B903A5" w:rsidRPr="005B0796" w:rsidRDefault="00B903A5" w:rsidP="00594252">
            <w:pPr>
              <w:pStyle w:val="TableText"/>
            </w:pPr>
          </w:p>
        </w:tc>
        <w:tc>
          <w:tcPr>
            <w:tcW w:w="5767" w:type="dxa"/>
            <w:gridSpan w:val="3"/>
            <w:hideMark/>
          </w:tcPr>
          <w:p w14:paraId="296B5A55" w14:textId="77777777" w:rsidR="00B903A5" w:rsidRPr="005B0796" w:rsidRDefault="00B903A5" w:rsidP="00594252">
            <w:pPr>
              <w:pStyle w:val="TableText"/>
              <w:jc w:val="center"/>
            </w:pPr>
            <w:r w:rsidRPr="005B0796">
              <w:t>Combat Zone group CIDI</w:t>
            </w:r>
            <w:r w:rsidRPr="005B0796">
              <w:br/>
              <w:t>(</w:t>
            </w:r>
            <w:r>
              <w:t>n=</w:t>
            </w:r>
            <w:r w:rsidRPr="005B0796">
              <w:t xml:space="preserve">183 (invited); </w:t>
            </w:r>
            <w:r>
              <w:t>n=</w:t>
            </w:r>
            <w:r w:rsidRPr="005B0796">
              <w:t>140 (responded))</w:t>
            </w:r>
          </w:p>
        </w:tc>
      </w:tr>
      <w:tr w:rsidR="00B903A5" w:rsidRPr="005B0796" w14:paraId="3574A8A2" w14:textId="77777777" w:rsidTr="00D268F6">
        <w:trPr>
          <w:cnfStyle w:val="100000000000" w:firstRow="1" w:lastRow="0" w:firstColumn="0" w:lastColumn="0" w:oddVBand="0" w:evenVBand="0" w:oddHBand="0" w:evenHBand="0" w:firstRowFirstColumn="0" w:firstRowLastColumn="0" w:lastRowFirstColumn="0" w:lastRowLastColumn="0"/>
          <w:cantSplit/>
          <w:tblHeader/>
        </w:trPr>
        <w:tc>
          <w:tcPr>
            <w:tcW w:w="1548" w:type="dxa"/>
            <w:vMerge/>
          </w:tcPr>
          <w:p w14:paraId="28F88B9C" w14:textId="77777777" w:rsidR="00B903A5" w:rsidRPr="005B0796" w:rsidRDefault="00B903A5" w:rsidP="00594252">
            <w:pPr>
              <w:pStyle w:val="TableText"/>
            </w:pPr>
          </w:p>
        </w:tc>
        <w:tc>
          <w:tcPr>
            <w:tcW w:w="1922" w:type="dxa"/>
            <w:hideMark/>
          </w:tcPr>
          <w:p w14:paraId="6210BB88" w14:textId="77777777" w:rsidR="00B903A5" w:rsidRPr="005B0796" w:rsidRDefault="00B903A5" w:rsidP="00594252">
            <w:pPr>
              <w:pStyle w:val="TableText"/>
              <w:jc w:val="right"/>
            </w:pPr>
            <w:r w:rsidRPr="005B0796">
              <w:t>Invited</w:t>
            </w:r>
          </w:p>
        </w:tc>
        <w:tc>
          <w:tcPr>
            <w:tcW w:w="1922" w:type="dxa"/>
            <w:hideMark/>
          </w:tcPr>
          <w:p w14:paraId="36F744C5" w14:textId="77777777" w:rsidR="00B903A5" w:rsidRPr="005B0796" w:rsidRDefault="00B903A5" w:rsidP="00594252">
            <w:pPr>
              <w:pStyle w:val="TableText"/>
              <w:jc w:val="right"/>
            </w:pPr>
            <w:r w:rsidRPr="005B0796">
              <w:t>Responders</w:t>
            </w:r>
          </w:p>
        </w:tc>
        <w:tc>
          <w:tcPr>
            <w:tcW w:w="1923" w:type="dxa"/>
            <w:hideMark/>
          </w:tcPr>
          <w:p w14:paraId="471616C7" w14:textId="77777777" w:rsidR="00B903A5" w:rsidRPr="005B0796" w:rsidRDefault="00B903A5" w:rsidP="00594252">
            <w:pPr>
              <w:pStyle w:val="TableText"/>
              <w:jc w:val="right"/>
            </w:pPr>
            <w:r w:rsidRPr="005B0796">
              <w:t>Response rate (%)</w:t>
            </w:r>
          </w:p>
        </w:tc>
      </w:tr>
      <w:tr w:rsidR="00B903A5" w:rsidRPr="005B0796" w14:paraId="246D345B"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57762E9C" w14:textId="77777777" w:rsidR="00B903A5" w:rsidRPr="005B0796" w:rsidRDefault="00B903A5" w:rsidP="00594252">
            <w:pPr>
              <w:pStyle w:val="TableText"/>
              <w:rPr>
                <w:b/>
              </w:rPr>
            </w:pPr>
            <w:r w:rsidRPr="005B0796">
              <w:rPr>
                <w:b/>
              </w:rPr>
              <w:t>Service</w:t>
            </w:r>
          </w:p>
        </w:tc>
        <w:tc>
          <w:tcPr>
            <w:tcW w:w="1922" w:type="dxa"/>
          </w:tcPr>
          <w:p w14:paraId="6BE6F5C1" w14:textId="77777777" w:rsidR="00B903A5" w:rsidRPr="005B0796" w:rsidRDefault="00B903A5" w:rsidP="00594252">
            <w:pPr>
              <w:pStyle w:val="TableText"/>
              <w:jc w:val="right"/>
            </w:pPr>
          </w:p>
        </w:tc>
        <w:tc>
          <w:tcPr>
            <w:tcW w:w="1922" w:type="dxa"/>
          </w:tcPr>
          <w:p w14:paraId="166EDA36" w14:textId="77777777" w:rsidR="00B903A5" w:rsidRPr="005B0796" w:rsidRDefault="00B903A5" w:rsidP="00594252">
            <w:pPr>
              <w:pStyle w:val="TableText"/>
              <w:jc w:val="right"/>
            </w:pPr>
          </w:p>
        </w:tc>
        <w:tc>
          <w:tcPr>
            <w:tcW w:w="1923" w:type="dxa"/>
          </w:tcPr>
          <w:p w14:paraId="35B60F14" w14:textId="77777777" w:rsidR="00B903A5" w:rsidRPr="005B0796" w:rsidRDefault="00B903A5" w:rsidP="00594252">
            <w:pPr>
              <w:pStyle w:val="TableText"/>
              <w:jc w:val="right"/>
            </w:pPr>
          </w:p>
        </w:tc>
      </w:tr>
      <w:tr w:rsidR="00B903A5" w:rsidRPr="005B0796" w14:paraId="492864A9" w14:textId="77777777" w:rsidTr="00D268F6">
        <w:trPr>
          <w:cantSplit/>
        </w:trPr>
        <w:tc>
          <w:tcPr>
            <w:tcW w:w="1548" w:type="dxa"/>
            <w:hideMark/>
          </w:tcPr>
          <w:p w14:paraId="0C7E427B" w14:textId="77777777" w:rsidR="00B903A5" w:rsidRPr="005B0796" w:rsidRDefault="00B903A5" w:rsidP="00594252">
            <w:pPr>
              <w:pStyle w:val="TableText"/>
              <w:ind w:left="144"/>
            </w:pPr>
            <w:r w:rsidRPr="005B0796">
              <w:t>Navy</w:t>
            </w:r>
          </w:p>
        </w:tc>
        <w:tc>
          <w:tcPr>
            <w:tcW w:w="1922" w:type="dxa"/>
            <w:hideMark/>
          </w:tcPr>
          <w:p w14:paraId="62C91DBB" w14:textId="77777777" w:rsidR="00B903A5" w:rsidRPr="005B0796" w:rsidRDefault="00B903A5" w:rsidP="00594252">
            <w:pPr>
              <w:pStyle w:val="TableText"/>
              <w:jc w:val="right"/>
            </w:pPr>
            <w:r w:rsidRPr="005B0796">
              <w:t>10</w:t>
            </w:r>
          </w:p>
        </w:tc>
        <w:tc>
          <w:tcPr>
            <w:tcW w:w="1922" w:type="dxa"/>
            <w:hideMark/>
          </w:tcPr>
          <w:p w14:paraId="58867FD9" w14:textId="77777777" w:rsidR="00B903A5" w:rsidRPr="005B0796" w:rsidRDefault="00B903A5" w:rsidP="00594252">
            <w:pPr>
              <w:pStyle w:val="TableText"/>
              <w:jc w:val="right"/>
            </w:pPr>
            <w:r w:rsidRPr="005B0796">
              <w:t>10</w:t>
            </w:r>
          </w:p>
        </w:tc>
        <w:tc>
          <w:tcPr>
            <w:tcW w:w="1923" w:type="dxa"/>
            <w:hideMark/>
          </w:tcPr>
          <w:p w14:paraId="3AE39DC5" w14:textId="77777777" w:rsidR="00B903A5" w:rsidRPr="005B0796" w:rsidRDefault="00B903A5" w:rsidP="00594252">
            <w:pPr>
              <w:pStyle w:val="TableText"/>
              <w:jc w:val="right"/>
            </w:pPr>
            <w:r w:rsidRPr="005B0796">
              <w:t>100</w:t>
            </w:r>
          </w:p>
        </w:tc>
      </w:tr>
      <w:tr w:rsidR="00B903A5" w:rsidRPr="005B0796" w14:paraId="7F2DABB4"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2DAA75EC" w14:textId="77777777" w:rsidR="00B903A5" w:rsidRPr="005B0796" w:rsidRDefault="00B903A5" w:rsidP="00594252">
            <w:pPr>
              <w:pStyle w:val="TableText"/>
              <w:ind w:left="144"/>
            </w:pPr>
            <w:r w:rsidRPr="005B0796">
              <w:t>Army</w:t>
            </w:r>
          </w:p>
        </w:tc>
        <w:tc>
          <w:tcPr>
            <w:tcW w:w="1922" w:type="dxa"/>
            <w:hideMark/>
          </w:tcPr>
          <w:p w14:paraId="7F7A9FFE" w14:textId="77777777" w:rsidR="00B903A5" w:rsidRPr="005B0796" w:rsidRDefault="00B903A5" w:rsidP="00594252">
            <w:pPr>
              <w:pStyle w:val="TableText"/>
              <w:jc w:val="right"/>
            </w:pPr>
            <w:r w:rsidRPr="005B0796">
              <w:t>143</w:t>
            </w:r>
          </w:p>
        </w:tc>
        <w:tc>
          <w:tcPr>
            <w:tcW w:w="1922" w:type="dxa"/>
            <w:hideMark/>
          </w:tcPr>
          <w:p w14:paraId="1E58DB7F" w14:textId="77777777" w:rsidR="00B903A5" w:rsidRPr="005B0796" w:rsidRDefault="00B903A5" w:rsidP="00594252">
            <w:pPr>
              <w:pStyle w:val="TableText"/>
              <w:jc w:val="right"/>
            </w:pPr>
            <w:r w:rsidRPr="005B0796">
              <w:t>111</w:t>
            </w:r>
          </w:p>
        </w:tc>
        <w:tc>
          <w:tcPr>
            <w:tcW w:w="1923" w:type="dxa"/>
            <w:hideMark/>
          </w:tcPr>
          <w:p w14:paraId="51E9534E" w14:textId="77777777" w:rsidR="00B903A5" w:rsidRPr="005B0796" w:rsidRDefault="00B903A5" w:rsidP="00594252">
            <w:pPr>
              <w:pStyle w:val="TableText"/>
              <w:jc w:val="right"/>
            </w:pPr>
            <w:r w:rsidRPr="005B0796">
              <w:t>77.6</w:t>
            </w:r>
          </w:p>
        </w:tc>
      </w:tr>
      <w:tr w:rsidR="00B903A5" w:rsidRPr="005B0796" w14:paraId="607F43B2" w14:textId="77777777" w:rsidTr="00D268F6">
        <w:trPr>
          <w:cantSplit/>
        </w:trPr>
        <w:tc>
          <w:tcPr>
            <w:tcW w:w="1548" w:type="dxa"/>
            <w:hideMark/>
          </w:tcPr>
          <w:p w14:paraId="16210677" w14:textId="77777777" w:rsidR="00B903A5" w:rsidRPr="005B0796" w:rsidRDefault="00B903A5" w:rsidP="00594252">
            <w:pPr>
              <w:pStyle w:val="TableText"/>
              <w:ind w:left="144"/>
            </w:pPr>
            <w:r w:rsidRPr="005B0796">
              <w:t>Air Force</w:t>
            </w:r>
          </w:p>
        </w:tc>
        <w:tc>
          <w:tcPr>
            <w:tcW w:w="1922" w:type="dxa"/>
            <w:hideMark/>
          </w:tcPr>
          <w:p w14:paraId="0C01B044" w14:textId="77777777" w:rsidR="00B903A5" w:rsidRPr="005B0796" w:rsidRDefault="00B903A5" w:rsidP="00594252">
            <w:pPr>
              <w:pStyle w:val="TableText"/>
              <w:jc w:val="right"/>
            </w:pPr>
            <w:r w:rsidRPr="005B0796">
              <w:t>0</w:t>
            </w:r>
          </w:p>
        </w:tc>
        <w:tc>
          <w:tcPr>
            <w:tcW w:w="1922" w:type="dxa"/>
            <w:hideMark/>
          </w:tcPr>
          <w:p w14:paraId="37D3DA8C" w14:textId="77777777" w:rsidR="00B903A5" w:rsidRPr="005B0796" w:rsidRDefault="00B903A5" w:rsidP="00594252">
            <w:pPr>
              <w:pStyle w:val="TableText"/>
              <w:jc w:val="right"/>
              <w:rPr>
                <w:color w:val="000000" w:themeColor="text1"/>
              </w:rPr>
            </w:pPr>
            <w:r w:rsidRPr="005B0796">
              <w:rPr>
                <w:color w:val="000000" w:themeColor="text1"/>
              </w:rPr>
              <w:t>0</w:t>
            </w:r>
          </w:p>
        </w:tc>
        <w:tc>
          <w:tcPr>
            <w:tcW w:w="1923" w:type="dxa"/>
            <w:hideMark/>
          </w:tcPr>
          <w:p w14:paraId="55740F64" w14:textId="77777777" w:rsidR="00B903A5" w:rsidRPr="005B0796" w:rsidRDefault="00B903A5" w:rsidP="00594252">
            <w:pPr>
              <w:pStyle w:val="TableText"/>
              <w:jc w:val="right"/>
            </w:pPr>
            <w:r w:rsidRPr="005B0796">
              <w:t>0.0</w:t>
            </w:r>
          </w:p>
        </w:tc>
      </w:tr>
      <w:tr w:rsidR="00B903A5" w:rsidRPr="005B0796" w14:paraId="2DFF31A5"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0D54F1BD" w14:textId="77777777" w:rsidR="00B903A5" w:rsidRPr="005B0796" w:rsidRDefault="00B903A5" w:rsidP="00594252">
            <w:pPr>
              <w:pStyle w:val="TableText"/>
              <w:ind w:left="144"/>
            </w:pPr>
            <w:r w:rsidRPr="005B0796">
              <w:t>Missing</w:t>
            </w:r>
          </w:p>
        </w:tc>
        <w:tc>
          <w:tcPr>
            <w:tcW w:w="1922" w:type="dxa"/>
            <w:hideMark/>
          </w:tcPr>
          <w:p w14:paraId="0ECA8C9F" w14:textId="77777777" w:rsidR="00B903A5" w:rsidRPr="005B0796" w:rsidRDefault="00B903A5" w:rsidP="00594252">
            <w:pPr>
              <w:pStyle w:val="TableText"/>
              <w:jc w:val="right"/>
            </w:pPr>
            <w:r w:rsidRPr="005B0796">
              <w:t>30</w:t>
            </w:r>
          </w:p>
        </w:tc>
        <w:tc>
          <w:tcPr>
            <w:tcW w:w="1922" w:type="dxa"/>
            <w:hideMark/>
          </w:tcPr>
          <w:p w14:paraId="0B8162A4" w14:textId="77777777" w:rsidR="00B903A5" w:rsidRPr="005B0796" w:rsidRDefault="00B903A5" w:rsidP="00594252">
            <w:pPr>
              <w:pStyle w:val="TableText"/>
              <w:jc w:val="right"/>
              <w:rPr>
                <w:color w:val="000000" w:themeColor="text1"/>
              </w:rPr>
            </w:pPr>
            <w:r w:rsidRPr="005B0796">
              <w:rPr>
                <w:color w:val="000000" w:themeColor="text1"/>
              </w:rPr>
              <w:t>19</w:t>
            </w:r>
          </w:p>
        </w:tc>
        <w:tc>
          <w:tcPr>
            <w:tcW w:w="1923" w:type="dxa"/>
            <w:hideMark/>
          </w:tcPr>
          <w:p w14:paraId="7DB1EDDD" w14:textId="77777777" w:rsidR="00B903A5" w:rsidRPr="005B0796" w:rsidRDefault="00B903A5" w:rsidP="00594252">
            <w:pPr>
              <w:pStyle w:val="TableText"/>
              <w:jc w:val="right"/>
            </w:pPr>
            <w:r w:rsidRPr="005B0796">
              <w:t>63.3</w:t>
            </w:r>
          </w:p>
        </w:tc>
      </w:tr>
      <w:tr w:rsidR="00B903A5" w:rsidRPr="005B0796" w14:paraId="4AD09465" w14:textId="77777777" w:rsidTr="00D268F6">
        <w:trPr>
          <w:cantSplit/>
        </w:trPr>
        <w:tc>
          <w:tcPr>
            <w:tcW w:w="1548" w:type="dxa"/>
            <w:hideMark/>
          </w:tcPr>
          <w:p w14:paraId="3220523F" w14:textId="77777777" w:rsidR="00B903A5" w:rsidRPr="005B0796" w:rsidRDefault="00B903A5" w:rsidP="00594252">
            <w:pPr>
              <w:pStyle w:val="TableText"/>
              <w:rPr>
                <w:b/>
              </w:rPr>
            </w:pPr>
            <w:r w:rsidRPr="005B0796">
              <w:rPr>
                <w:b/>
              </w:rPr>
              <w:t>Sex</w:t>
            </w:r>
          </w:p>
        </w:tc>
        <w:tc>
          <w:tcPr>
            <w:tcW w:w="1922" w:type="dxa"/>
          </w:tcPr>
          <w:p w14:paraId="1D00036B" w14:textId="77777777" w:rsidR="00B903A5" w:rsidRPr="005B0796" w:rsidRDefault="00B903A5" w:rsidP="00594252">
            <w:pPr>
              <w:pStyle w:val="TableText"/>
              <w:jc w:val="right"/>
            </w:pPr>
          </w:p>
        </w:tc>
        <w:tc>
          <w:tcPr>
            <w:tcW w:w="1922" w:type="dxa"/>
          </w:tcPr>
          <w:p w14:paraId="248FF31E" w14:textId="77777777" w:rsidR="00B903A5" w:rsidRPr="005B0796" w:rsidRDefault="00B903A5" w:rsidP="00594252">
            <w:pPr>
              <w:pStyle w:val="TableText"/>
              <w:jc w:val="right"/>
              <w:rPr>
                <w:color w:val="000000" w:themeColor="text1"/>
              </w:rPr>
            </w:pPr>
          </w:p>
        </w:tc>
        <w:tc>
          <w:tcPr>
            <w:tcW w:w="1923" w:type="dxa"/>
          </w:tcPr>
          <w:p w14:paraId="416E982C" w14:textId="77777777" w:rsidR="00B903A5" w:rsidRPr="005B0796" w:rsidRDefault="00B903A5" w:rsidP="00594252">
            <w:pPr>
              <w:pStyle w:val="TableText"/>
              <w:jc w:val="right"/>
            </w:pPr>
          </w:p>
        </w:tc>
      </w:tr>
      <w:tr w:rsidR="00B903A5" w:rsidRPr="005B0796" w14:paraId="7B6B622D"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ED9BA50" w14:textId="77777777" w:rsidR="00B903A5" w:rsidRPr="005B0796" w:rsidRDefault="00B903A5" w:rsidP="00594252">
            <w:pPr>
              <w:pStyle w:val="TableText"/>
              <w:ind w:left="144"/>
            </w:pPr>
            <w:r w:rsidRPr="005B0796">
              <w:t>Male</w:t>
            </w:r>
          </w:p>
        </w:tc>
        <w:tc>
          <w:tcPr>
            <w:tcW w:w="1922" w:type="dxa"/>
            <w:hideMark/>
          </w:tcPr>
          <w:p w14:paraId="41CD5DD0" w14:textId="77777777" w:rsidR="00B903A5" w:rsidRPr="005B0796" w:rsidRDefault="00B903A5" w:rsidP="00594252">
            <w:pPr>
              <w:pStyle w:val="TableText"/>
              <w:jc w:val="right"/>
            </w:pPr>
            <w:r w:rsidRPr="005B0796">
              <w:t>148</w:t>
            </w:r>
          </w:p>
        </w:tc>
        <w:tc>
          <w:tcPr>
            <w:tcW w:w="1922" w:type="dxa"/>
            <w:hideMark/>
          </w:tcPr>
          <w:p w14:paraId="7E94CABA" w14:textId="77777777" w:rsidR="00B903A5" w:rsidRPr="005B0796" w:rsidRDefault="00B903A5" w:rsidP="00594252">
            <w:pPr>
              <w:pStyle w:val="TableText"/>
              <w:jc w:val="right"/>
              <w:rPr>
                <w:color w:val="000000" w:themeColor="text1"/>
              </w:rPr>
            </w:pPr>
            <w:r w:rsidRPr="005B0796">
              <w:rPr>
                <w:color w:val="000000" w:themeColor="text1"/>
              </w:rPr>
              <w:t>118</w:t>
            </w:r>
          </w:p>
        </w:tc>
        <w:tc>
          <w:tcPr>
            <w:tcW w:w="1923" w:type="dxa"/>
            <w:hideMark/>
          </w:tcPr>
          <w:p w14:paraId="2D323D6E" w14:textId="77777777" w:rsidR="00B903A5" w:rsidRPr="005B0796" w:rsidRDefault="00B903A5" w:rsidP="00594252">
            <w:pPr>
              <w:pStyle w:val="TableText"/>
              <w:jc w:val="right"/>
            </w:pPr>
            <w:r w:rsidRPr="005B0796">
              <w:t>79.7</w:t>
            </w:r>
          </w:p>
        </w:tc>
      </w:tr>
      <w:tr w:rsidR="00B903A5" w:rsidRPr="005B0796" w14:paraId="44BD0E9B" w14:textId="77777777" w:rsidTr="00D268F6">
        <w:trPr>
          <w:cantSplit/>
        </w:trPr>
        <w:tc>
          <w:tcPr>
            <w:tcW w:w="1548" w:type="dxa"/>
            <w:hideMark/>
          </w:tcPr>
          <w:p w14:paraId="61A2418C" w14:textId="77777777" w:rsidR="00B903A5" w:rsidRPr="005B0796" w:rsidRDefault="00B903A5" w:rsidP="00594252">
            <w:pPr>
              <w:pStyle w:val="TableText"/>
              <w:ind w:left="144"/>
            </w:pPr>
            <w:r w:rsidRPr="005B0796">
              <w:t>Female</w:t>
            </w:r>
          </w:p>
        </w:tc>
        <w:tc>
          <w:tcPr>
            <w:tcW w:w="1922" w:type="dxa"/>
            <w:hideMark/>
          </w:tcPr>
          <w:p w14:paraId="28B97299" w14:textId="77777777" w:rsidR="00B903A5" w:rsidRPr="005B0796" w:rsidRDefault="00B903A5" w:rsidP="00594252">
            <w:pPr>
              <w:pStyle w:val="TableText"/>
              <w:jc w:val="right"/>
            </w:pPr>
            <w:r w:rsidRPr="005B0796">
              <w:t>2</w:t>
            </w:r>
          </w:p>
        </w:tc>
        <w:tc>
          <w:tcPr>
            <w:tcW w:w="1922" w:type="dxa"/>
            <w:hideMark/>
          </w:tcPr>
          <w:p w14:paraId="6D6E3025" w14:textId="77777777" w:rsidR="00B903A5" w:rsidRPr="005B0796" w:rsidRDefault="00B903A5" w:rsidP="00594252">
            <w:pPr>
              <w:pStyle w:val="TableText"/>
              <w:jc w:val="right"/>
              <w:rPr>
                <w:color w:val="000000" w:themeColor="text1"/>
              </w:rPr>
            </w:pPr>
            <w:r w:rsidRPr="005B0796">
              <w:rPr>
                <w:color w:val="000000" w:themeColor="text1"/>
              </w:rPr>
              <w:t>2</w:t>
            </w:r>
          </w:p>
        </w:tc>
        <w:tc>
          <w:tcPr>
            <w:tcW w:w="1923" w:type="dxa"/>
            <w:hideMark/>
          </w:tcPr>
          <w:p w14:paraId="3739F01B" w14:textId="77777777" w:rsidR="00B903A5" w:rsidRPr="005B0796" w:rsidRDefault="00B903A5" w:rsidP="00594252">
            <w:pPr>
              <w:pStyle w:val="TableText"/>
              <w:jc w:val="right"/>
            </w:pPr>
            <w:r w:rsidRPr="005B0796">
              <w:t>100.0</w:t>
            </w:r>
          </w:p>
        </w:tc>
      </w:tr>
      <w:tr w:rsidR="00B903A5" w:rsidRPr="005B0796" w14:paraId="2396567B"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23E61F23" w14:textId="77777777" w:rsidR="00B903A5" w:rsidRPr="005B0796" w:rsidRDefault="00B903A5" w:rsidP="00594252">
            <w:pPr>
              <w:pStyle w:val="TableText"/>
              <w:ind w:left="144"/>
            </w:pPr>
            <w:r w:rsidRPr="005B0796">
              <w:t>Missing</w:t>
            </w:r>
          </w:p>
        </w:tc>
        <w:tc>
          <w:tcPr>
            <w:tcW w:w="1922" w:type="dxa"/>
            <w:hideMark/>
          </w:tcPr>
          <w:p w14:paraId="4E45387D" w14:textId="77777777" w:rsidR="00B903A5" w:rsidRPr="005B0796" w:rsidRDefault="00B903A5" w:rsidP="00594252">
            <w:pPr>
              <w:pStyle w:val="TableText"/>
              <w:jc w:val="right"/>
            </w:pPr>
            <w:r w:rsidRPr="005B0796">
              <w:t>33</w:t>
            </w:r>
          </w:p>
        </w:tc>
        <w:tc>
          <w:tcPr>
            <w:tcW w:w="1922" w:type="dxa"/>
            <w:hideMark/>
          </w:tcPr>
          <w:p w14:paraId="5094E4C8" w14:textId="77777777" w:rsidR="00B903A5" w:rsidRPr="005B0796" w:rsidRDefault="00B903A5" w:rsidP="00594252">
            <w:pPr>
              <w:pStyle w:val="TableText"/>
              <w:jc w:val="right"/>
              <w:rPr>
                <w:color w:val="000000" w:themeColor="text1"/>
              </w:rPr>
            </w:pPr>
            <w:r w:rsidRPr="005B0796">
              <w:rPr>
                <w:color w:val="000000" w:themeColor="text1"/>
              </w:rPr>
              <w:t>20</w:t>
            </w:r>
          </w:p>
        </w:tc>
        <w:tc>
          <w:tcPr>
            <w:tcW w:w="1923" w:type="dxa"/>
            <w:hideMark/>
          </w:tcPr>
          <w:p w14:paraId="7B19B088" w14:textId="77777777" w:rsidR="00B903A5" w:rsidRPr="005B0796" w:rsidRDefault="00B903A5" w:rsidP="00594252">
            <w:pPr>
              <w:pStyle w:val="TableText"/>
              <w:jc w:val="right"/>
            </w:pPr>
            <w:r w:rsidRPr="005B0796">
              <w:t>60.6</w:t>
            </w:r>
          </w:p>
        </w:tc>
      </w:tr>
      <w:tr w:rsidR="00B903A5" w:rsidRPr="005B0796" w14:paraId="29730F59" w14:textId="77777777" w:rsidTr="00D268F6">
        <w:trPr>
          <w:cantSplit/>
        </w:trPr>
        <w:tc>
          <w:tcPr>
            <w:tcW w:w="1548" w:type="dxa"/>
            <w:hideMark/>
          </w:tcPr>
          <w:p w14:paraId="598076F0" w14:textId="77777777" w:rsidR="00B903A5" w:rsidRPr="005B0796" w:rsidRDefault="00B903A5" w:rsidP="00594252">
            <w:pPr>
              <w:pStyle w:val="TableText"/>
              <w:rPr>
                <w:b/>
              </w:rPr>
            </w:pPr>
            <w:r w:rsidRPr="005B0796">
              <w:rPr>
                <w:b/>
              </w:rPr>
              <w:t>Rank</w:t>
            </w:r>
          </w:p>
        </w:tc>
        <w:tc>
          <w:tcPr>
            <w:tcW w:w="1922" w:type="dxa"/>
          </w:tcPr>
          <w:p w14:paraId="305FAF41" w14:textId="77777777" w:rsidR="00B903A5" w:rsidRPr="005B0796" w:rsidRDefault="00B903A5" w:rsidP="00594252">
            <w:pPr>
              <w:pStyle w:val="TableText"/>
              <w:jc w:val="right"/>
            </w:pPr>
          </w:p>
        </w:tc>
        <w:tc>
          <w:tcPr>
            <w:tcW w:w="1922" w:type="dxa"/>
          </w:tcPr>
          <w:p w14:paraId="61D310D3" w14:textId="77777777" w:rsidR="00B903A5" w:rsidRPr="005B0796" w:rsidRDefault="00B903A5" w:rsidP="00594252">
            <w:pPr>
              <w:pStyle w:val="TableText"/>
              <w:jc w:val="right"/>
              <w:rPr>
                <w:color w:val="000000" w:themeColor="text1"/>
              </w:rPr>
            </w:pPr>
          </w:p>
        </w:tc>
        <w:tc>
          <w:tcPr>
            <w:tcW w:w="1923" w:type="dxa"/>
          </w:tcPr>
          <w:p w14:paraId="7939620A" w14:textId="77777777" w:rsidR="00B903A5" w:rsidRPr="005B0796" w:rsidRDefault="00B903A5" w:rsidP="00594252">
            <w:pPr>
              <w:pStyle w:val="TableText"/>
              <w:jc w:val="right"/>
            </w:pPr>
          </w:p>
        </w:tc>
      </w:tr>
      <w:tr w:rsidR="00B903A5" w:rsidRPr="005B0796" w14:paraId="180C5417"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3E208A98" w14:textId="77777777" w:rsidR="00B903A5" w:rsidRPr="005B0796" w:rsidRDefault="00B903A5" w:rsidP="00594252">
            <w:pPr>
              <w:pStyle w:val="TableText"/>
              <w:ind w:left="144"/>
            </w:pPr>
            <w:r w:rsidRPr="005B0796">
              <w:t>OFFR</w:t>
            </w:r>
          </w:p>
        </w:tc>
        <w:tc>
          <w:tcPr>
            <w:tcW w:w="1922" w:type="dxa"/>
            <w:hideMark/>
          </w:tcPr>
          <w:p w14:paraId="0171CB14" w14:textId="77777777" w:rsidR="00B903A5" w:rsidRPr="005B0796" w:rsidRDefault="00B903A5" w:rsidP="00594252">
            <w:pPr>
              <w:pStyle w:val="TableText"/>
              <w:jc w:val="right"/>
            </w:pPr>
            <w:r w:rsidRPr="005B0796">
              <w:t>20</w:t>
            </w:r>
          </w:p>
        </w:tc>
        <w:tc>
          <w:tcPr>
            <w:tcW w:w="1922" w:type="dxa"/>
            <w:hideMark/>
          </w:tcPr>
          <w:p w14:paraId="05887A49" w14:textId="77777777" w:rsidR="00B903A5" w:rsidRPr="005B0796" w:rsidRDefault="00B903A5" w:rsidP="00594252">
            <w:pPr>
              <w:pStyle w:val="TableText"/>
              <w:jc w:val="right"/>
              <w:rPr>
                <w:color w:val="000000" w:themeColor="text1"/>
              </w:rPr>
            </w:pPr>
            <w:r w:rsidRPr="005B0796">
              <w:rPr>
                <w:color w:val="000000" w:themeColor="text1"/>
              </w:rPr>
              <w:t>16</w:t>
            </w:r>
          </w:p>
        </w:tc>
        <w:tc>
          <w:tcPr>
            <w:tcW w:w="1923" w:type="dxa"/>
            <w:hideMark/>
          </w:tcPr>
          <w:p w14:paraId="5FC808F4" w14:textId="77777777" w:rsidR="00B903A5" w:rsidRPr="005B0796" w:rsidRDefault="00B903A5" w:rsidP="00594252">
            <w:pPr>
              <w:pStyle w:val="TableText"/>
              <w:jc w:val="right"/>
            </w:pPr>
            <w:r w:rsidRPr="005B0796">
              <w:t>80.0</w:t>
            </w:r>
          </w:p>
        </w:tc>
      </w:tr>
      <w:tr w:rsidR="00B903A5" w:rsidRPr="005B0796" w14:paraId="2A18E24E" w14:textId="77777777" w:rsidTr="00D268F6">
        <w:trPr>
          <w:cantSplit/>
        </w:trPr>
        <w:tc>
          <w:tcPr>
            <w:tcW w:w="1548" w:type="dxa"/>
            <w:hideMark/>
          </w:tcPr>
          <w:p w14:paraId="2C02A99C" w14:textId="77777777" w:rsidR="00B903A5" w:rsidRPr="005B0796" w:rsidRDefault="00B903A5" w:rsidP="00594252">
            <w:pPr>
              <w:pStyle w:val="TableText"/>
              <w:ind w:left="144"/>
            </w:pPr>
            <w:r w:rsidRPr="005B0796">
              <w:t>NCO</w:t>
            </w:r>
          </w:p>
        </w:tc>
        <w:tc>
          <w:tcPr>
            <w:tcW w:w="1922" w:type="dxa"/>
            <w:hideMark/>
          </w:tcPr>
          <w:p w14:paraId="7D31826F" w14:textId="77777777" w:rsidR="00B903A5" w:rsidRPr="005B0796" w:rsidRDefault="00B903A5" w:rsidP="00594252">
            <w:pPr>
              <w:pStyle w:val="TableText"/>
              <w:jc w:val="right"/>
            </w:pPr>
            <w:r w:rsidRPr="005B0796">
              <w:t>101</w:t>
            </w:r>
          </w:p>
        </w:tc>
        <w:tc>
          <w:tcPr>
            <w:tcW w:w="1922" w:type="dxa"/>
            <w:hideMark/>
          </w:tcPr>
          <w:p w14:paraId="6F65E870" w14:textId="77777777" w:rsidR="00B903A5" w:rsidRPr="005B0796" w:rsidRDefault="00B903A5" w:rsidP="00594252">
            <w:pPr>
              <w:pStyle w:val="TableText"/>
              <w:jc w:val="right"/>
              <w:rPr>
                <w:color w:val="000000" w:themeColor="text1"/>
              </w:rPr>
            </w:pPr>
            <w:r w:rsidRPr="005B0796">
              <w:rPr>
                <w:color w:val="000000" w:themeColor="text1"/>
              </w:rPr>
              <w:t>77</w:t>
            </w:r>
          </w:p>
        </w:tc>
        <w:tc>
          <w:tcPr>
            <w:tcW w:w="1923" w:type="dxa"/>
            <w:hideMark/>
          </w:tcPr>
          <w:p w14:paraId="3393044E" w14:textId="77777777" w:rsidR="00B903A5" w:rsidRPr="005B0796" w:rsidRDefault="00B903A5" w:rsidP="00594252">
            <w:pPr>
              <w:pStyle w:val="TableText"/>
              <w:jc w:val="right"/>
            </w:pPr>
            <w:r w:rsidRPr="005B0796">
              <w:t>76.2</w:t>
            </w:r>
          </w:p>
        </w:tc>
      </w:tr>
      <w:tr w:rsidR="00B903A5" w:rsidRPr="005B0796" w14:paraId="2C25178C"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17AE8622" w14:textId="77777777" w:rsidR="00B903A5" w:rsidRPr="005B0796" w:rsidRDefault="00B903A5" w:rsidP="00594252">
            <w:pPr>
              <w:pStyle w:val="TableText"/>
              <w:ind w:left="144"/>
            </w:pPr>
            <w:r w:rsidRPr="005B0796">
              <w:t>Other Ranks</w:t>
            </w:r>
          </w:p>
        </w:tc>
        <w:tc>
          <w:tcPr>
            <w:tcW w:w="1922" w:type="dxa"/>
            <w:hideMark/>
          </w:tcPr>
          <w:p w14:paraId="1D5C77E2" w14:textId="77777777" w:rsidR="00B903A5" w:rsidRPr="005B0796" w:rsidRDefault="00B903A5" w:rsidP="00594252">
            <w:pPr>
              <w:pStyle w:val="TableText"/>
              <w:jc w:val="right"/>
            </w:pPr>
            <w:r w:rsidRPr="005B0796">
              <w:t>47</w:t>
            </w:r>
          </w:p>
        </w:tc>
        <w:tc>
          <w:tcPr>
            <w:tcW w:w="1922" w:type="dxa"/>
            <w:hideMark/>
          </w:tcPr>
          <w:p w14:paraId="7F6FCF0C" w14:textId="77777777" w:rsidR="00B903A5" w:rsidRPr="005B0796" w:rsidRDefault="00B903A5" w:rsidP="00594252">
            <w:pPr>
              <w:pStyle w:val="TableText"/>
              <w:jc w:val="right"/>
              <w:rPr>
                <w:color w:val="000000" w:themeColor="text1"/>
              </w:rPr>
            </w:pPr>
            <w:r w:rsidRPr="005B0796">
              <w:rPr>
                <w:color w:val="000000" w:themeColor="text1"/>
              </w:rPr>
              <w:t>39</w:t>
            </w:r>
          </w:p>
        </w:tc>
        <w:tc>
          <w:tcPr>
            <w:tcW w:w="1923" w:type="dxa"/>
            <w:hideMark/>
          </w:tcPr>
          <w:p w14:paraId="7F66F72B" w14:textId="77777777" w:rsidR="00B903A5" w:rsidRPr="005B0796" w:rsidRDefault="00B903A5" w:rsidP="00594252">
            <w:pPr>
              <w:pStyle w:val="TableText"/>
              <w:jc w:val="right"/>
            </w:pPr>
            <w:r w:rsidRPr="005B0796">
              <w:t>83.0</w:t>
            </w:r>
          </w:p>
        </w:tc>
      </w:tr>
      <w:tr w:rsidR="00B903A5" w:rsidRPr="005B0796" w14:paraId="484A0649" w14:textId="77777777" w:rsidTr="00D268F6">
        <w:trPr>
          <w:cantSplit/>
        </w:trPr>
        <w:tc>
          <w:tcPr>
            <w:tcW w:w="1548" w:type="dxa"/>
            <w:hideMark/>
          </w:tcPr>
          <w:p w14:paraId="26051121" w14:textId="77777777" w:rsidR="00B903A5" w:rsidRPr="005B0796" w:rsidRDefault="00B903A5" w:rsidP="00594252">
            <w:pPr>
              <w:pStyle w:val="TableText"/>
              <w:ind w:left="144"/>
            </w:pPr>
            <w:r w:rsidRPr="005B0796">
              <w:t>Missing</w:t>
            </w:r>
          </w:p>
        </w:tc>
        <w:tc>
          <w:tcPr>
            <w:tcW w:w="1922" w:type="dxa"/>
            <w:hideMark/>
          </w:tcPr>
          <w:p w14:paraId="2B6EEC77" w14:textId="77777777" w:rsidR="00B903A5" w:rsidRPr="005B0796" w:rsidRDefault="00B903A5" w:rsidP="00594252">
            <w:pPr>
              <w:pStyle w:val="TableText"/>
              <w:jc w:val="right"/>
            </w:pPr>
            <w:r w:rsidRPr="005B0796">
              <w:t>15</w:t>
            </w:r>
          </w:p>
        </w:tc>
        <w:tc>
          <w:tcPr>
            <w:tcW w:w="1922" w:type="dxa"/>
            <w:hideMark/>
          </w:tcPr>
          <w:p w14:paraId="59726406" w14:textId="77777777" w:rsidR="00B903A5" w:rsidRPr="005B0796" w:rsidRDefault="00B903A5" w:rsidP="00594252">
            <w:pPr>
              <w:pStyle w:val="TableText"/>
              <w:jc w:val="right"/>
              <w:rPr>
                <w:color w:val="000000" w:themeColor="text1"/>
              </w:rPr>
            </w:pPr>
            <w:r w:rsidRPr="005B0796">
              <w:rPr>
                <w:color w:val="000000" w:themeColor="text1"/>
              </w:rPr>
              <w:t>8</w:t>
            </w:r>
          </w:p>
        </w:tc>
        <w:tc>
          <w:tcPr>
            <w:tcW w:w="1923" w:type="dxa"/>
            <w:hideMark/>
          </w:tcPr>
          <w:p w14:paraId="14742F5F" w14:textId="77777777" w:rsidR="00B903A5" w:rsidRPr="005B0796" w:rsidRDefault="00B903A5" w:rsidP="00594252">
            <w:pPr>
              <w:pStyle w:val="TableText"/>
              <w:jc w:val="right"/>
            </w:pPr>
            <w:r w:rsidRPr="005B0796">
              <w:t>53.3</w:t>
            </w:r>
          </w:p>
        </w:tc>
      </w:tr>
      <w:tr w:rsidR="00B903A5" w:rsidRPr="005B0796" w14:paraId="5A9C052F"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5ADFEFE4" w14:textId="77777777" w:rsidR="00B903A5" w:rsidRPr="005B0796" w:rsidRDefault="00B903A5" w:rsidP="00594252">
            <w:pPr>
              <w:pStyle w:val="TableText"/>
              <w:rPr>
                <w:b/>
              </w:rPr>
            </w:pPr>
            <w:r w:rsidRPr="005B0796">
              <w:rPr>
                <w:b/>
              </w:rPr>
              <w:t>Medical fitness</w:t>
            </w:r>
          </w:p>
        </w:tc>
        <w:tc>
          <w:tcPr>
            <w:tcW w:w="1922" w:type="dxa"/>
          </w:tcPr>
          <w:p w14:paraId="5C02E1B5" w14:textId="77777777" w:rsidR="00B903A5" w:rsidRPr="005B0796" w:rsidRDefault="00B903A5" w:rsidP="00594252">
            <w:pPr>
              <w:pStyle w:val="TableText"/>
              <w:jc w:val="right"/>
            </w:pPr>
          </w:p>
        </w:tc>
        <w:tc>
          <w:tcPr>
            <w:tcW w:w="1922" w:type="dxa"/>
          </w:tcPr>
          <w:p w14:paraId="7599BB76" w14:textId="77777777" w:rsidR="00B903A5" w:rsidRPr="005B0796" w:rsidRDefault="00B903A5" w:rsidP="00594252">
            <w:pPr>
              <w:pStyle w:val="TableText"/>
              <w:jc w:val="right"/>
              <w:rPr>
                <w:color w:val="000000" w:themeColor="text1"/>
              </w:rPr>
            </w:pPr>
          </w:p>
        </w:tc>
        <w:tc>
          <w:tcPr>
            <w:tcW w:w="1923" w:type="dxa"/>
          </w:tcPr>
          <w:p w14:paraId="25B98E7D" w14:textId="77777777" w:rsidR="00B903A5" w:rsidRPr="005B0796" w:rsidRDefault="00B903A5" w:rsidP="00594252">
            <w:pPr>
              <w:pStyle w:val="TableText"/>
              <w:jc w:val="right"/>
            </w:pPr>
          </w:p>
        </w:tc>
      </w:tr>
      <w:tr w:rsidR="00B903A5" w:rsidRPr="005B0796" w14:paraId="6A463AC8" w14:textId="77777777" w:rsidTr="00D268F6">
        <w:trPr>
          <w:cantSplit/>
        </w:trPr>
        <w:tc>
          <w:tcPr>
            <w:tcW w:w="1548" w:type="dxa"/>
            <w:hideMark/>
          </w:tcPr>
          <w:p w14:paraId="2E7FC99F" w14:textId="77777777" w:rsidR="00B903A5" w:rsidRPr="005B0796" w:rsidRDefault="00B903A5" w:rsidP="00594252">
            <w:pPr>
              <w:pStyle w:val="TableText"/>
              <w:ind w:left="144"/>
            </w:pPr>
            <w:r w:rsidRPr="005B0796">
              <w:t>Fit</w:t>
            </w:r>
          </w:p>
        </w:tc>
        <w:tc>
          <w:tcPr>
            <w:tcW w:w="1922" w:type="dxa"/>
            <w:hideMark/>
          </w:tcPr>
          <w:p w14:paraId="7766A1AA" w14:textId="77777777" w:rsidR="00B903A5" w:rsidRPr="005B0796" w:rsidRDefault="00B903A5" w:rsidP="00594252">
            <w:pPr>
              <w:pStyle w:val="TableText"/>
              <w:jc w:val="right"/>
            </w:pPr>
            <w:r w:rsidRPr="005B0796">
              <w:t>130</w:t>
            </w:r>
          </w:p>
        </w:tc>
        <w:tc>
          <w:tcPr>
            <w:tcW w:w="1922" w:type="dxa"/>
            <w:hideMark/>
          </w:tcPr>
          <w:p w14:paraId="3754ECD8" w14:textId="77777777" w:rsidR="00B903A5" w:rsidRPr="005B0796" w:rsidRDefault="00B903A5" w:rsidP="00594252">
            <w:pPr>
              <w:pStyle w:val="TableText"/>
              <w:jc w:val="right"/>
              <w:rPr>
                <w:color w:val="000000" w:themeColor="text1"/>
              </w:rPr>
            </w:pPr>
            <w:r w:rsidRPr="005B0796">
              <w:rPr>
                <w:color w:val="000000" w:themeColor="text1"/>
              </w:rPr>
              <w:t>103</w:t>
            </w:r>
          </w:p>
        </w:tc>
        <w:tc>
          <w:tcPr>
            <w:tcW w:w="1923" w:type="dxa"/>
            <w:hideMark/>
          </w:tcPr>
          <w:p w14:paraId="500EFE7F" w14:textId="77777777" w:rsidR="00B903A5" w:rsidRPr="005B0796" w:rsidRDefault="00B903A5" w:rsidP="00594252">
            <w:pPr>
              <w:pStyle w:val="TableText"/>
              <w:jc w:val="right"/>
            </w:pPr>
            <w:r w:rsidRPr="005B0796">
              <w:t>79.2</w:t>
            </w:r>
          </w:p>
        </w:tc>
      </w:tr>
      <w:tr w:rsidR="00B903A5" w:rsidRPr="005B0796" w14:paraId="67DA28F7"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2349F309" w14:textId="77777777" w:rsidR="00B903A5" w:rsidRPr="005B0796" w:rsidRDefault="00B903A5" w:rsidP="00594252">
            <w:pPr>
              <w:pStyle w:val="TableText"/>
              <w:ind w:left="144"/>
            </w:pPr>
            <w:r w:rsidRPr="005B0796">
              <w:t>Unfit</w:t>
            </w:r>
          </w:p>
        </w:tc>
        <w:tc>
          <w:tcPr>
            <w:tcW w:w="1922" w:type="dxa"/>
            <w:hideMark/>
          </w:tcPr>
          <w:p w14:paraId="66FD54B8" w14:textId="77777777" w:rsidR="00B903A5" w:rsidRPr="005B0796" w:rsidRDefault="00B903A5" w:rsidP="00594252">
            <w:pPr>
              <w:pStyle w:val="TableText"/>
              <w:jc w:val="right"/>
            </w:pPr>
            <w:r w:rsidRPr="005B0796">
              <w:t>21</w:t>
            </w:r>
          </w:p>
        </w:tc>
        <w:tc>
          <w:tcPr>
            <w:tcW w:w="1922" w:type="dxa"/>
            <w:hideMark/>
          </w:tcPr>
          <w:p w14:paraId="1FA7F661" w14:textId="77777777" w:rsidR="00B903A5" w:rsidRPr="005B0796" w:rsidRDefault="00B903A5" w:rsidP="00594252">
            <w:pPr>
              <w:pStyle w:val="TableText"/>
              <w:jc w:val="right"/>
              <w:rPr>
                <w:color w:val="000000" w:themeColor="text1"/>
              </w:rPr>
            </w:pPr>
            <w:r w:rsidRPr="005B0796">
              <w:rPr>
                <w:color w:val="000000" w:themeColor="text1"/>
              </w:rPr>
              <w:t>17</w:t>
            </w:r>
          </w:p>
        </w:tc>
        <w:tc>
          <w:tcPr>
            <w:tcW w:w="1923" w:type="dxa"/>
            <w:hideMark/>
          </w:tcPr>
          <w:p w14:paraId="09A3B16C" w14:textId="77777777" w:rsidR="00B903A5" w:rsidRPr="005B0796" w:rsidRDefault="00B903A5" w:rsidP="00594252">
            <w:pPr>
              <w:pStyle w:val="TableText"/>
              <w:jc w:val="right"/>
            </w:pPr>
            <w:r w:rsidRPr="005B0796">
              <w:t>81.0</w:t>
            </w:r>
          </w:p>
        </w:tc>
      </w:tr>
      <w:tr w:rsidR="00B903A5" w:rsidRPr="005B0796" w14:paraId="6D2442EA" w14:textId="77777777" w:rsidTr="00D268F6">
        <w:trPr>
          <w:cantSplit/>
        </w:trPr>
        <w:tc>
          <w:tcPr>
            <w:tcW w:w="1548" w:type="dxa"/>
            <w:hideMark/>
          </w:tcPr>
          <w:p w14:paraId="3762766E" w14:textId="77777777" w:rsidR="00B903A5" w:rsidRPr="005B0796" w:rsidRDefault="00B903A5" w:rsidP="00594252">
            <w:pPr>
              <w:pStyle w:val="TableText"/>
              <w:ind w:left="144"/>
            </w:pPr>
            <w:r w:rsidRPr="005B0796">
              <w:t>Missing</w:t>
            </w:r>
          </w:p>
        </w:tc>
        <w:tc>
          <w:tcPr>
            <w:tcW w:w="1922" w:type="dxa"/>
            <w:hideMark/>
          </w:tcPr>
          <w:p w14:paraId="5766269D" w14:textId="77777777" w:rsidR="00B903A5" w:rsidRPr="005B0796" w:rsidRDefault="00B903A5" w:rsidP="00594252">
            <w:pPr>
              <w:pStyle w:val="TableText"/>
              <w:jc w:val="right"/>
            </w:pPr>
            <w:r w:rsidRPr="005B0796">
              <w:t>32</w:t>
            </w:r>
          </w:p>
        </w:tc>
        <w:tc>
          <w:tcPr>
            <w:tcW w:w="1922" w:type="dxa"/>
            <w:hideMark/>
          </w:tcPr>
          <w:p w14:paraId="04E427E9" w14:textId="77777777" w:rsidR="00B903A5" w:rsidRPr="005B0796" w:rsidRDefault="00B903A5" w:rsidP="00594252">
            <w:pPr>
              <w:pStyle w:val="TableText"/>
              <w:jc w:val="right"/>
              <w:rPr>
                <w:color w:val="000000" w:themeColor="text1"/>
              </w:rPr>
            </w:pPr>
            <w:r w:rsidRPr="005B0796">
              <w:rPr>
                <w:color w:val="000000" w:themeColor="text1"/>
              </w:rPr>
              <w:t>20</w:t>
            </w:r>
          </w:p>
        </w:tc>
        <w:tc>
          <w:tcPr>
            <w:tcW w:w="1923" w:type="dxa"/>
            <w:hideMark/>
          </w:tcPr>
          <w:p w14:paraId="3FDBC513" w14:textId="77777777" w:rsidR="00B903A5" w:rsidRPr="005B0796" w:rsidRDefault="00B903A5" w:rsidP="00594252">
            <w:pPr>
              <w:pStyle w:val="TableText"/>
              <w:jc w:val="right"/>
            </w:pPr>
            <w:r w:rsidRPr="005B0796">
              <w:t>62.5</w:t>
            </w:r>
          </w:p>
        </w:tc>
      </w:tr>
      <w:tr w:rsidR="00B903A5" w:rsidRPr="005B0796" w14:paraId="39B9A423" w14:textId="77777777" w:rsidTr="00D268F6">
        <w:trPr>
          <w:cnfStyle w:val="000000100000" w:firstRow="0" w:lastRow="0" w:firstColumn="0" w:lastColumn="0" w:oddVBand="0" w:evenVBand="0" w:oddHBand="1" w:evenHBand="0" w:firstRowFirstColumn="0" w:firstRowLastColumn="0" w:lastRowFirstColumn="0" w:lastRowLastColumn="0"/>
          <w:cantSplit/>
        </w:trPr>
        <w:tc>
          <w:tcPr>
            <w:tcW w:w="1548" w:type="dxa"/>
            <w:hideMark/>
          </w:tcPr>
          <w:p w14:paraId="2328031F" w14:textId="77777777" w:rsidR="00B903A5" w:rsidRPr="005B0796" w:rsidRDefault="00B903A5" w:rsidP="00594252">
            <w:pPr>
              <w:pStyle w:val="TableText"/>
              <w:rPr>
                <w:b/>
              </w:rPr>
            </w:pPr>
            <w:r w:rsidRPr="005B0796">
              <w:rPr>
                <w:b/>
              </w:rPr>
              <w:t>Total</w:t>
            </w:r>
          </w:p>
        </w:tc>
        <w:tc>
          <w:tcPr>
            <w:tcW w:w="1922" w:type="dxa"/>
            <w:hideMark/>
          </w:tcPr>
          <w:p w14:paraId="510C7655" w14:textId="77777777" w:rsidR="00B903A5" w:rsidRPr="005B0796" w:rsidRDefault="00B903A5" w:rsidP="00594252">
            <w:pPr>
              <w:pStyle w:val="TableText"/>
              <w:jc w:val="right"/>
            </w:pPr>
            <w:r w:rsidRPr="005B0796">
              <w:t>183</w:t>
            </w:r>
          </w:p>
        </w:tc>
        <w:tc>
          <w:tcPr>
            <w:tcW w:w="1922" w:type="dxa"/>
            <w:hideMark/>
          </w:tcPr>
          <w:p w14:paraId="66246BF3" w14:textId="77777777" w:rsidR="00B903A5" w:rsidRPr="005B0796" w:rsidRDefault="00B903A5" w:rsidP="00594252">
            <w:pPr>
              <w:pStyle w:val="TableText"/>
              <w:jc w:val="right"/>
            </w:pPr>
            <w:r w:rsidRPr="005B0796">
              <w:t>140</w:t>
            </w:r>
          </w:p>
        </w:tc>
        <w:tc>
          <w:tcPr>
            <w:tcW w:w="1923" w:type="dxa"/>
            <w:hideMark/>
          </w:tcPr>
          <w:p w14:paraId="1E4E37A6" w14:textId="77777777" w:rsidR="00B903A5" w:rsidRPr="005B0796" w:rsidRDefault="00B903A5" w:rsidP="00594252">
            <w:pPr>
              <w:pStyle w:val="TableText"/>
              <w:jc w:val="right"/>
            </w:pPr>
            <w:r w:rsidRPr="005B0796">
              <w:t>76.5</w:t>
            </w:r>
          </w:p>
        </w:tc>
      </w:tr>
    </w:tbl>
    <w:p w14:paraId="21DA9B79" w14:textId="77777777" w:rsidR="00B903A5" w:rsidRPr="00C85B6B" w:rsidRDefault="00B903A5" w:rsidP="00B903A5">
      <w:pPr>
        <w:pStyle w:val="TableNotes"/>
        <w:rPr>
          <w:b/>
        </w:rPr>
      </w:pPr>
      <w:r w:rsidRPr="00C85B6B">
        <w:rPr>
          <w:b/>
        </w:rPr>
        <w:t>Notes</w:t>
      </w:r>
    </w:p>
    <w:p w14:paraId="5A8B32BE" w14:textId="77777777" w:rsidR="00B903A5" w:rsidRPr="005B0796" w:rsidRDefault="00B903A5" w:rsidP="00B903A5">
      <w:pPr>
        <w:pStyle w:val="TableNotes"/>
      </w:pPr>
      <w:r w:rsidRPr="005B0796">
        <w:t>Denominator: Combat zone sample invited to participate in the CIDI interview</w:t>
      </w:r>
      <w:r>
        <w:t>.</w:t>
      </w:r>
    </w:p>
    <w:p w14:paraId="29268F4C" w14:textId="77777777" w:rsidR="00B903A5" w:rsidRPr="005B0796" w:rsidRDefault="00B903A5" w:rsidP="00B903A5">
      <w:pPr>
        <w:pStyle w:val="TableNotes"/>
        <w:rPr>
          <w:bCs/>
        </w:rPr>
      </w:pPr>
      <w:r w:rsidRPr="005B0796">
        <w:t>Unweighted data</w:t>
      </w:r>
      <w:r>
        <w:t>.</w:t>
      </w:r>
    </w:p>
    <w:p w14:paraId="47541C25" w14:textId="77777777" w:rsidR="00B903A5" w:rsidRPr="005B0796" w:rsidRDefault="00B903A5" w:rsidP="00B903A5">
      <w:pPr>
        <w:pStyle w:val="TableNotes"/>
        <w:rPr>
          <w:bCs/>
        </w:rPr>
      </w:pPr>
      <w:r w:rsidRPr="005B0796">
        <w:rPr>
          <w:bCs/>
        </w:rPr>
        <w:t>95% CI</w:t>
      </w:r>
      <w:r>
        <w:rPr>
          <w:bCs/>
        </w:rPr>
        <w:t xml:space="preserve"> =</w:t>
      </w:r>
      <w:r w:rsidRPr="005B0796">
        <w:rPr>
          <w:bCs/>
        </w:rPr>
        <w:t xml:space="preserve"> 95% confidence interval</w:t>
      </w:r>
      <w:r>
        <w:rPr>
          <w:bCs/>
        </w:rPr>
        <w:t>.</w:t>
      </w:r>
    </w:p>
    <w:p w14:paraId="00C88080" w14:textId="77777777" w:rsidR="00B903A5" w:rsidRPr="005B0796" w:rsidRDefault="00B903A5" w:rsidP="00B903A5">
      <w:r w:rsidRPr="005B0796">
        <w:t>The characteristics of the Combat Zone group CIDI respondents were as follows:</w:t>
      </w:r>
    </w:p>
    <w:p w14:paraId="26F665CD" w14:textId="77777777" w:rsidR="00B903A5" w:rsidRPr="005B0796" w:rsidRDefault="00B903A5" w:rsidP="00B903A5">
      <w:pPr>
        <w:pStyle w:val="Bullet"/>
        <w:numPr>
          <w:ilvl w:val="0"/>
          <w:numId w:val="3"/>
        </w:numPr>
        <w:ind w:left="360"/>
      </w:pPr>
      <w:r w:rsidRPr="005B0796">
        <w:rPr>
          <w:b/>
        </w:rPr>
        <w:t xml:space="preserve">Sex </w:t>
      </w:r>
      <w:r w:rsidRPr="005B0796">
        <w:t>– The Combat Zone CIDI sample consisted of both 2015 Regular ADF and Transitioned ADF members. Consistent with the ADF population, the CIDI sample was almost entirely male. Of the two females selected, both responded.</w:t>
      </w:r>
    </w:p>
    <w:p w14:paraId="55AC1EE6" w14:textId="77777777" w:rsidR="00B903A5" w:rsidRPr="005B0796" w:rsidRDefault="00B903A5" w:rsidP="00B903A5">
      <w:pPr>
        <w:pStyle w:val="Bullet"/>
        <w:numPr>
          <w:ilvl w:val="0"/>
          <w:numId w:val="3"/>
        </w:numPr>
        <w:ind w:left="360"/>
      </w:pPr>
      <w:r w:rsidRPr="005B0796">
        <w:rPr>
          <w:b/>
        </w:rPr>
        <w:t>Rank</w:t>
      </w:r>
      <w:r>
        <w:rPr>
          <w:b/>
        </w:rPr>
        <w:t xml:space="preserve"> –</w:t>
      </w:r>
      <w:r w:rsidRPr="005B0796">
        <w:rPr>
          <w:b/>
        </w:rPr>
        <w:t xml:space="preserve"> </w:t>
      </w:r>
      <w:r w:rsidRPr="005B0796">
        <w:t>CIDI responders in this group comprised 11.4% Officers, 55.0% Non-Commissioned Officers and 27.9% Other Ranks. Other Ranks were less likely to respond than the other two ranking categories.</w:t>
      </w:r>
    </w:p>
    <w:p w14:paraId="472A3017" w14:textId="77777777" w:rsidR="00B903A5" w:rsidRPr="005B0796" w:rsidRDefault="00B903A5" w:rsidP="00B903A5">
      <w:pPr>
        <w:pStyle w:val="Bullet"/>
        <w:numPr>
          <w:ilvl w:val="0"/>
          <w:numId w:val="3"/>
        </w:numPr>
        <w:ind w:left="360"/>
      </w:pPr>
      <w:r w:rsidRPr="005B0796">
        <w:rPr>
          <w:b/>
        </w:rPr>
        <w:t>Service</w:t>
      </w:r>
      <w:r>
        <w:rPr>
          <w:b/>
        </w:rPr>
        <w:t xml:space="preserve"> –</w:t>
      </w:r>
      <w:r w:rsidRPr="005B0796">
        <w:rPr>
          <w:b/>
        </w:rPr>
        <w:t xml:space="preserve"> </w:t>
      </w:r>
      <w:r w:rsidRPr="005B0796">
        <w:t xml:space="preserve">7.1% of survey responders were Navy, 79.3% were Army and 0% were Air Force. There was no difference between CIDI responders and non-responders in relation to </w:t>
      </w:r>
      <w:r>
        <w:t>s</w:t>
      </w:r>
      <w:r w:rsidRPr="005B0796">
        <w:t>ervice.</w:t>
      </w:r>
    </w:p>
    <w:p w14:paraId="3883ABF0" w14:textId="77777777" w:rsidR="00B903A5" w:rsidRPr="005B0796" w:rsidRDefault="00B903A5" w:rsidP="00B903A5">
      <w:pPr>
        <w:pStyle w:val="Bullet"/>
        <w:numPr>
          <w:ilvl w:val="0"/>
          <w:numId w:val="3"/>
        </w:numPr>
        <w:ind w:left="360"/>
      </w:pPr>
      <w:r w:rsidRPr="005B0796">
        <w:rPr>
          <w:b/>
        </w:rPr>
        <w:t xml:space="preserve">Medical fitness </w:t>
      </w:r>
      <w:r>
        <w:rPr>
          <w:b/>
        </w:rPr>
        <w:t xml:space="preserve">– </w:t>
      </w:r>
      <w:r w:rsidRPr="005B0796">
        <w:t>ADF members who were medically unfit were similarly represented in the CIDI responder group (12.14%) compared to those selected (11.5%). ADF members who were medically fit were also similarly represented in the CIDI responder group (73.6%) compared to the invited population</w:t>
      </w:r>
      <w:r>
        <w:t xml:space="preserve"> (</w:t>
      </w:r>
      <w:r w:rsidRPr="005B0796">
        <w:t>71.0%</w:t>
      </w:r>
      <w:r>
        <w:t>)</w:t>
      </w:r>
      <w:r w:rsidRPr="005B0796">
        <w:t>. Therefore, the responder sample was representative in terms of medical fitness of the selected group.</w:t>
      </w:r>
    </w:p>
    <w:p w14:paraId="2E67D7E7" w14:textId="77777777" w:rsidR="00B903A5" w:rsidRPr="005B0796" w:rsidRDefault="00B903A5" w:rsidP="00B903A5">
      <w:pPr>
        <w:pStyle w:val="Heading2b"/>
        <w:numPr>
          <w:ilvl w:val="1"/>
          <w:numId w:val="11"/>
        </w:numPr>
      </w:pPr>
      <w:bookmarkStart w:id="1414" w:name="_Toc482021448"/>
      <w:bookmarkStart w:id="1415" w:name="_Toc482024539"/>
      <w:bookmarkStart w:id="1416" w:name="_Toc484594359"/>
      <w:bookmarkStart w:id="1417" w:name="_Toc487011297"/>
      <w:bookmarkStart w:id="1418" w:name="_Toc493663192"/>
      <w:bookmarkStart w:id="1419" w:name="_Toc494449811"/>
      <w:r w:rsidRPr="005B0796">
        <w:t>Study overview</w:t>
      </w:r>
      <w:bookmarkEnd w:id="1414"/>
      <w:bookmarkEnd w:id="1415"/>
      <w:bookmarkEnd w:id="1416"/>
      <w:bookmarkEnd w:id="1417"/>
      <w:bookmarkEnd w:id="1418"/>
      <w:bookmarkEnd w:id="1419"/>
    </w:p>
    <w:p w14:paraId="60D277DB" w14:textId="77777777" w:rsidR="00B903A5" w:rsidRPr="005B0796" w:rsidRDefault="00B903A5" w:rsidP="00B903A5">
      <w:r w:rsidRPr="005B0796">
        <w:t xml:space="preserve">Prevalence estimates were obtained using a two-phase design. This is a well-accepted approach to epidemiological research </w:t>
      </w:r>
      <w:r>
        <w:rPr>
          <w:noProof/>
        </w:rPr>
        <w:t>(Salim &amp; Welsh, 2009)</w:t>
      </w:r>
      <w:r w:rsidRPr="005B0796">
        <w:t xml:space="preserve">, </w:t>
      </w:r>
      <w:r>
        <w:t>which</w:t>
      </w:r>
      <w:r w:rsidRPr="005B0796">
        <w:t xml:space="preserve"> was utilised in the 2010 Mental Health Prevalence Wellbeing Study </w:t>
      </w:r>
      <w:r>
        <w:rPr>
          <w:noProof/>
        </w:rPr>
        <w:t>(McFarlane et al., 2011)</w:t>
      </w:r>
      <w:r w:rsidRPr="005B0796">
        <w:t>. In the first phase, participants completed a screening questionnaire. This provided the research team with a clear picture of psychological symptoms from a dimensional</w:t>
      </w:r>
      <w:r w:rsidRPr="005B0796">
        <w:rPr>
          <w:b/>
        </w:rPr>
        <w:t xml:space="preserve"> </w:t>
      </w:r>
      <w:r w:rsidRPr="005B0796">
        <w:t xml:space="preserve">perspective. </w:t>
      </w:r>
    </w:p>
    <w:p w14:paraId="054CFC95" w14:textId="77777777" w:rsidR="00B903A5" w:rsidRPr="005B0796" w:rsidRDefault="00B903A5" w:rsidP="00B903A5">
      <w:pPr>
        <w:rPr>
          <w:rFonts w:asciiTheme="minorHAnsi" w:hAnsiTheme="minorHAnsi"/>
        </w:rPr>
      </w:pPr>
      <w:r w:rsidRPr="005B0796">
        <w:rPr>
          <w:lang w:eastAsia="en-AU"/>
        </w:rPr>
        <w:t xml:space="preserve">Based on certain key results from the survey and specific demographic factors, a subset of participants was also selected to participate in a 1-hour </w:t>
      </w:r>
      <w:r w:rsidRPr="005B0796">
        <w:t>diagnostic mental health</w:t>
      </w:r>
      <w:r w:rsidRPr="005B0796">
        <w:rPr>
          <w:lang w:eastAsia="en-AU"/>
        </w:rPr>
        <w:t xml:space="preserve"> telephone interview.</w:t>
      </w:r>
      <w:r w:rsidRPr="005B0796">
        <w:t xml:space="preserve"> Additional biological, neurocognitive testing and </w:t>
      </w:r>
      <w:r>
        <w:t>m</w:t>
      </w:r>
      <w:r w:rsidRPr="005B0796">
        <w:t xml:space="preserve">agnetic </w:t>
      </w:r>
      <w:r>
        <w:t>r</w:t>
      </w:r>
      <w:r w:rsidRPr="005B0796">
        <w:t xml:space="preserve">esonance </w:t>
      </w:r>
      <w:r>
        <w:t>i</w:t>
      </w:r>
      <w:r w:rsidRPr="005B0796">
        <w:t>maging (MRI) was undertaken by participants in the Combat Zone sample. A detailed description of this additional testing is not provided here but will be provided in a later report.</w:t>
      </w:r>
    </w:p>
    <w:p w14:paraId="75828271" w14:textId="77777777" w:rsidR="00B903A5" w:rsidRPr="005B0796" w:rsidRDefault="00B903A5" w:rsidP="00B903A5">
      <w:r w:rsidRPr="005B0796">
        <w:t>Interview data for the Transitioned ADF was weighted to ensure the representativeness of the prevalence estimates for key subgroups within the total Transitioned ADF population. Self-report survey data were also weighted to be representative of both the Transitioned ADF and the 2015 Regular ADF.</w:t>
      </w:r>
    </w:p>
    <w:p w14:paraId="2AD33099" w14:textId="77777777" w:rsidR="00B903A5" w:rsidRPr="005B0796" w:rsidRDefault="00B903A5" w:rsidP="00B903A5">
      <w:pPr>
        <w:pStyle w:val="Heading2b"/>
        <w:numPr>
          <w:ilvl w:val="1"/>
          <w:numId w:val="11"/>
        </w:numPr>
      </w:pPr>
      <w:bookmarkStart w:id="1420" w:name="_Toc341700582"/>
      <w:bookmarkStart w:id="1421" w:name="_Toc482021449"/>
      <w:bookmarkStart w:id="1422" w:name="_Toc482024540"/>
      <w:bookmarkStart w:id="1423" w:name="_Toc484594360"/>
      <w:bookmarkStart w:id="1424" w:name="_Toc487011298"/>
      <w:bookmarkStart w:id="1425" w:name="_Toc493663193"/>
      <w:bookmarkStart w:id="1426" w:name="_Toc494449812"/>
      <w:r w:rsidRPr="005B0796">
        <w:t>Measures</w:t>
      </w:r>
      <w:bookmarkEnd w:id="1420"/>
      <w:bookmarkEnd w:id="1421"/>
      <w:bookmarkEnd w:id="1422"/>
      <w:bookmarkEnd w:id="1423"/>
      <w:bookmarkEnd w:id="1424"/>
      <w:bookmarkEnd w:id="1425"/>
      <w:bookmarkEnd w:id="1426"/>
    </w:p>
    <w:p w14:paraId="02FC27B1" w14:textId="77777777" w:rsidR="00B903A5" w:rsidRPr="005B0796" w:rsidRDefault="00B903A5" w:rsidP="00B903A5">
      <w:pPr>
        <w:pStyle w:val="Heading3b"/>
        <w:numPr>
          <w:ilvl w:val="2"/>
          <w:numId w:val="11"/>
        </w:numPr>
      </w:pPr>
      <w:bookmarkStart w:id="1427" w:name="_Toc487011299"/>
      <w:bookmarkStart w:id="1428" w:name="_Toc493663194"/>
      <w:r w:rsidRPr="005B0796">
        <w:t>Phase 1: Self-report survey</w:t>
      </w:r>
      <w:bookmarkEnd w:id="1427"/>
      <w:bookmarkEnd w:id="1428"/>
    </w:p>
    <w:p w14:paraId="1E8B5711" w14:textId="77777777" w:rsidR="00B903A5" w:rsidRPr="005B0796" w:rsidRDefault="00B903A5" w:rsidP="00B903A5">
      <w:pPr>
        <w:rPr>
          <w:rFonts w:cs="Arial"/>
          <w:szCs w:val="22"/>
        </w:rPr>
      </w:pPr>
      <w:r w:rsidRPr="005B0796">
        <w:t>In phase 1 of the Mental Health and Wellbeing Transition Study, Transitioned ADF and 2015 Regular ADF members were screened for mental health problems, psychological distress, physical health problems, wellbeing factors, pathways to care and occupational exposures using a 60-minute self-report questionnaire which was completed either online or in hard copy. This survey</w:t>
      </w:r>
      <w:r w:rsidRPr="005B0796">
        <w:rPr>
          <w:rFonts w:cs="Arial"/>
          <w:szCs w:val="22"/>
        </w:rPr>
        <w:t xml:space="preserve"> was developed at the beginning of the study period in close consultation </w:t>
      </w:r>
      <w:r>
        <w:rPr>
          <w:rFonts w:cs="Arial"/>
          <w:szCs w:val="22"/>
        </w:rPr>
        <w:t xml:space="preserve">with </w:t>
      </w:r>
      <w:r w:rsidRPr="005B0796">
        <w:rPr>
          <w:rFonts w:cs="Arial"/>
          <w:szCs w:val="22"/>
        </w:rPr>
        <w:t xml:space="preserve">DVA and Defence. Survey anonymity was preserved </w:t>
      </w:r>
      <w:r>
        <w:rPr>
          <w:rFonts w:cs="Arial"/>
          <w:szCs w:val="22"/>
        </w:rPr>
        <w:t>by</w:t>
      </w:r>
      <w:r w:rsidRPr="005B0796">
        <w:rPr>
          <w:rFonts w:cs="Arial"/>
          <w:szCs w:val="22"/>
        </w:rPr>
        <w:t xml:space="preserve"> </w:t>
      </w:r>
      <w:r>
        <w:rPr>
          <w:rFonts w:cs="Arial"/>
          <w:szCs w:val="22"/>
        </w:rPr>
        <w:t>allocating</w:t>
      </w:r>
      <w:r w:rsidRPr="005B0796">
        <w:rPr>
          <w:rFonts w:cs="Arial"/>
          <w:szCs w:val="22"/>
        </w:rPr>
        <w:t xml:space="preserve"> a unique study ID number to each participant. Participants who </w:t>
      </w:r>
      <w:r>
        <w:rPr>
          <w:rFonts w:cs="Arial"/>
          <w:szCs w:val="22"/>
        </w:rPr>
        <w:t xml:space="preserve">had </w:t>
      </w:r>
      <w:r w:rsidRPr="005B0796">
        <w:rPr>
          <w:rFonts w:cs="Arial"/>
          <w:szCs w:val="22"/>
        </w:rPr>
        <w:t>previously completed a survey as part of the 2010 Mental Health Prevalence Wellbeing Study were allocated their same MilHOP study ID number.</w:t>
      </w:r>
    </w:p>
    <w:p w14:paraId="6297EFA2" w14:textId="77777777" w:rsidR="00B903A5" w:rsidRPr="005B0796" w:rsidRDefault="00B903A5" w:rsidP="00B903A5">
      <w:r w:rsidRPr="005B0796">
        <w:t>Participants were able to complete the survey in one of two ways:</w:t>
      </w:r>
    </w:p>
    <w:p w14:paraId="79D0FD21" w14:textId="77777777" w:rsidR="00B903A5" w:rsidRPr="005B0796" w:rsidRDefault="00B903A5" w:rsidP="00B903A5">
      <w:pPr>
        <w:pStyle w:val="Bullet"/>
        <w:numPr>
          <w:ilvl w:val="0"/>
          <w:numId w:val="3"/>
        </w:numPr>
        <w:ind w:left="360"/>
      </w:pPr>
      <w:r>
        <w:t>o</w:t>
      </w:r>
      <w:r w:rsidRPr="005B0796">
        <w:t>nline</w:t>
      </w:r>
      <w:r>
        <w:t xml:space="preserve"> –</w:t>
      </w:r>
      <w:r w:rsidRPr="005B0796">
        <w:t xml:space="preserve"> participants were sent an email which included a secure link to an online invitation package containing the web-based survey. Participants could access the survey only by entering their unique study ID number and </w:t>
      </w:r>
      <w:r>
        <w:t xml:space="preserve">the </w:t>
      </w:r>
      <w:r w:rsidRPr="005B0796">
        <w:t xml:space="preserve">password provided to them in the invitation email </w:t>
      </w:r>
    </w:p>
    <w:p w14:paraId="618BCEAD" w14:textId="77777777" w:rsidR="00B903A5" w:rsidRPr="005B0796" w:rsidRDefault="00B903A5" w:rsidP="00B903A5">
      <w:pPr>
        <w:pStyle w:val="Bullet"/>
        <w:numPr>
          <w:ilvl w:val="0"/>
          <w:numId w:val="3"/>
        </w:numPr>
        <w:ind w:left="360"/>
      </w:pPr>
      <w:r>
        <w:t>i</w:t>
      </w:r>
      <w:r w:rsidRPr="005B0796">
        <w:t>n hardcopy</w:t>
      </w:r>
      <w:r>
        <w:t xml:space="preserve"> –</w:t>
      </w:r>
      <w:r w:rsidRPr="005B0796">
        <w:t xml:space="preserve"> participants could opt to complete a hard copy version of the questionnaire, which was then mailed to their current postal address.</w:t>
      </w:r>
    </w:p>
    <w:p w14:paraId="4B84AE12" w14:textId="77777777" w:rsidR="00B903A5" w:rsidRPr="005B0796" w:rsidRDefault="00B903A5" w:rsidP="00B903A5">
      <w:r w:rsidRPr="005B0796">
        <w:t>Each participating sample received a slightly different questionnaire relevant to their current ADF status: Transitioned ADF member, 2015 Regular ADF member, Ab</w:t>
      </w:r>
      <w:r>
        <w:t>-i</w:t>
      </w:r>
      <w:r w:rsidRPr="005B0796">
        <w:t>nitio Reservist</w:t>
      </w:r>
      <w:r>
        <w:t>.</w:t>
      </w:r>
      <w:r w:rsidRPr="005B0796">
        <w:t xml:space="preserve"> </w:t>
      </w:r>
      <w:r>
        <w:t>I</w:t>
      </w:r>
      <w:r w:rsidRPr="005B0796">
        <w:t xml:space="preserve">n regard to demographics, </w:t>
      </w:r>
      <w:r>
        <w:t>s</w:t>
      </w:r>
      <w:r w:rsidRPr="005B0796">
        <w:t>ervice and deployment history, however, the core-validated measures of psychological and physical health remained the same</w:t>
      </w:r>
      <w:r>
        <w:t>,</w:t>
      </w:r>
      <w:r w:rsidRPr="005B0796">
        <w:t xml:space="preserve"> and replicated where possible the measures previously administered as part of the MHPWS in 2010. This component of the design is critical to the longitudinal comparisons across time and highlights the importance of a consistent approach to the oversight of research design of military and veteran populations over time.</w:t>
      </w:r>
    </w:p>
    <w:p w14:paraId="3C16BF9B" w14:textId="77777777" w:rsidR="00B903A5" w:rsidRPr="005B0796" w:rsidRDefault="00B903A5" w:rsidP="00B903A5">
      <w:r w:rsidRPr="005B0796">
        <w:t>Prior to roll</w:t>
      </w:r>
      <w:r>
        <w:t>-</w:t>
      </w:r>
      <w:r w:rsidRPr="005B0796">
        <w:t xml:space="preserve">out, the online and hardcopy versions of the self-report survey were piloted </w:t>
      </w:r>
      <w:r>
        <w:t>with</w:t>
      </w:r>
      <w:r w:rsidRPr="005B0796">
        <w:t xml:space="preserve"> a select group of 2015 Regular ADF and </w:t>
      </w:r>
      <w:r>
        <w:t>e</w:t>
      </w:r>
      <w:r w:rsidRPr="005B0796">
        <w:t>x-</w:t>
      </w:r>
      <w:r>
        <w:t>s</w:t>
      </w:r>
      <w:r w:rsidRPr="005B0796">
        <w:t xml:space="preserve">erving ADF members. Individuals in the pilot group were asked to provide detailed feedback pertinent to the content and adequacy of the survey and the usability of the system/form. Their comments and feedback were then incorporated in the final version of the survey. This ensured that there were no mistakes in the survey or glitches in the system prior to the study rolling out. </w:t>
      </w:r>
    </w:p>
    <w:p w14:paraId="4FC179B2" w14:textId="77777777" w:rsidR="00B903A5" w:rsidRPr="005B0796" w:rsidRDefault="00B903A5" w:rsidP="00B903A5">
      <w:r w:rsidRPr="005B0796">
        <w:t>Please note, details of the survey provided to participants belonging to the Combat Zone sample are not provided here, but will be provided in a later report.</w:t>
      </w:r>
    </w:p>
    <w:p w14:paraId="4C667A14" w14:textId="77777777" w:rsidR="00B903A5" w:rsidRPr="005B0796" w:rsidRDefault="00B903A5" w:rsidP="00B903A5">
      <w:pPr>
        <w:pStyle w:val="Heading4"/>
        <w:rPr>
          <w:rFonts w:eastAsia="MS ??"/>
        </w:rPr>
      </w:pPr>
      <w:r w:rsidRPr="005B0796">
        <w:rPr>
          <w:rFonts w:eastAsia="MS ??"/>
        </w:rPr>
        <w:t>Part 1: Demographics and Service details</w:t>
      </w:r>
    </w:p>
    <w:p w14:paraId="126637FF" w14:textId="77777777" w:rsidR="00B903A5" w:rsidRPr="005B0796" w:rsidRDefault="00B903A5" w:rsidP="00B903A5">
      <w:r w:rsidRPr="005B0796">
        <w:t>Part 1 of the survey was completed by all samples and comprised the major sections</w:t>
      </w:r>
      <w:r>
        <w:t xml:space="preserve"> described below.</w:t>
      </w:r>
    </w:p>
    <w:p w14:paraId="767EE63C" w14:textId="77777777" w:rsidR="00B903A5" w:rsidRPr="005B0796" w:rsidRDefault="00B903A5" w:rsidP="00B903A5">
      <w:pPr>
        <w:pStyle w:val="Heading5"/>
        <w:rPr>
          <w:lang w:val="en-AU"/>
        </w:rPr>
      </w:pPr>
      <w:r w:rsidRPr="005B0796">
        <w:rPr>
          <w:lang w:val="en-AU"/>
        </w:rPr>
        <w:t>Demographic information</w:t>
      </w:r>
    </w:p>
    <w:p w14:paraId="7D537944" w14:textId="77777777" w:rsidR="00B903A5" w:rsidRPr="005B0796" w:rsidRDefault="00B903A5" w:rsidP="00B903A5">
      <w:r w:rsidRPr="005B0796">
        <w:t xml:space="preserve">Participants were asked to provide demographic information for gender, date of birth and highest educational qualification attained. These items were taken directly from the 2010 MHPWS </w:t>
      </w:r>
      <w:r>
        <w:rPr>
          <w:noProof/>
        </w:rPr>
        <w:t>(McFarlane et al., 2011)</w:t>
      </w:r>
      <w:r w:rsidRPr="005B0796">
        <w:t xml:space="preserve">. </w:t>
      </w:r>
    </w:p>
    <w:p w14:paraId="06600E15" w14:textId="77777777" w:rsidR="00B903A5" w:rsidRPr="005B0796" w:rsidRDefault="00B903A5" w:rsidP="00B903A5">
      <w:pPr>
        <w:pStyle w:val="Heading5"/>
        <w:rPr>
          <w:lang w:val="en-AU"/>
        </w:rPr>
      </w:pPr>
      <w:r w:rsidRPr="005B0796">
        <w:rPr>
          <w:lang w:val="en-AU"/>
        </w:rPr>
        <w:t>Household and family structure</w:t>
      </w:r>
    </w:p>
    <w:p w14:paraId="2E08F028" w14:textId="77777777" w:rsidR="00B903A5" w:rsidRPr="005B0796" w:rsidRDefault="00B903A5" w:rsidP="00B903A5">
      <w:r w:rsidRPr="005B0796">
        <w:t xml:space="preserve">Participants were asked questions about their relationship status, household structure and children. Items in this section were derived from several sources including the Timor-Leste Family Study </w:t>
      </w:r>
      <w:r>
        <w:rPr>
          <w:noProof/>
        </w:rPr>
        <w:t>(McGuire et al., 2012)</w:t>
      </w:r>
      <w:r w:rsidRPr="005B0796">
        <w:t xml:space="preserve">, the Household, Income and Labour Dynamics in Australia (HILDA) Survey </w:t>
      </w:r>
      <w:r>
        <w:rPr>
          <w:noProof/>
        </w:rPr>
        <w:t>(Watson &amp; Wooden, 2002)</w:t>
      </w:r>
      <w:r w:rsidRPr="005B0796">
        <w:t xml:space="preserve"> and the 2014 Vietnam Veterans Family Study conducted by DVA </w:t>
      </w:r>
      <w:r>
        <w:rPr>
          <w:noProof/>
        </w:rPr>
        <w:t xml:space="preserve">(Forrest, </w:t>
      </w:r>
      <w:r w:rsidRPr="00B41BE0">
        <w:rPr>
          <w:noProof/>
        </w:rPr>
        <w:t>Edwards</w:t>
      </w:r>
      <w:r>
        <w:rPr>
          <w:noProof/>
        </w:rPr>
        <w:t>,</w:t>
      </w:r>
      <w:r w:rsidRPr="00B41BE0">
        <w:rPr>
          <w:noProof/>
        </w:rPr>
        <w:t xml:space="preserve"> &amp; Daraganova</w:t>
      </w:r>
      <w:r>
        <w:rPr>
          <w:noProof/>
        </w:rPr>
        <w:t>, 2014)</w:t>
      </w:r>
      <w:r w:rsidRPr="005B0796">
        <w:t>.</w:t>
      </w:r>
    </w:p>
    <w:p w14:paraId="27F1EEAC" w14:textId="77777777" w:rsidR="00B903A5" w:rsidRPr="005B0796" w:rsidRDefault="00B903A5" w:rsidP="00B903A5">
      <w:pPr>
        <w:pStyle w:val="Heading5"/>
        <w:rPr>
          <w:lang w:val="en-AU"/>
        </w:rPr>
      </w:pPr>
      <w:r w:rsidRPr="005B0796">
        <w:rPr>
          <w:lang w:val="en-AU"/>
        </w:rPr>
        <w:t>Financial status</w:t>
      </w:r>
    </w:p>
    <w:p w14:paraId="075E028C" w14:textId="77777777" w:rsidR="00B903A5" w:rsidRPr="005B0796" w:rsidRDefault="00B903A5" w:rsidP="00B903A5">
      <w:r w:rsidRPr="005B0796">
        <w:t xml:space="preserve">Items assessing participants’ current financial status, including financial hardship, were taken from the HILDA Survey </w:t>
      </w:r>
      <w:r>
        <w:rPr>
          <w:noProof/>
        </w:rPr>
        <w:t>(Watson &amp; Wooden, 2002)</w:t>
      </w:r>
      <w:r w:rsidRPr="005B0796">
        <w:t xml:space="preserve"> and the Health and Wellbeing Survey of Serving and Ex-Serving Personnel of the UK Armed Forces: Phase 2 </w:t>
      </w:r>
      <w:r>
        <w:rPr>
          <w:noProof/>
        </w:rPr>
        <w:t>(Fear et al., 2010)</w:t>
      </w:r>
      <w:r w:rsidRPr="005B0796">
        <w:t xml:space="preserve">. </w:t>
      </w:r>
    </w:p>
    <w:p w14:paraId="3C9461F7" w14:textId="77777777" w:rsidR="00B903A5" w:rsidRPr="005B0796" w:rsidRDefault="00B903A5" w:rsidP="00B903A5">
      <w:pPr>
        <w:pStyle w:val="Heading5"/>
        <w:rPr>
          <w:lang w:val="en-AU"/>
        </w:rPr>
      </w:pPr>
      <w:r w:rsidRPr="005B0796">
        <w:rPr>
          <w:lang w:val="en-AU"/>
        </w:rPr>
        <w:t>Homelessness</w:t>
      </w:r>
    </w:p>
    <w:p w14:paraId="237F27E9" w14:textId="77777777" w:rsidR="00B903A5" w:rsidRPr="005B0796" w:rsidRDefault="00B903A5" w:rsidP="00B903A5">
      <w:pPr>
        <w:rPr>
          <w:rFonts w:asciiTheme="minorHAnsi" w:hAnsiTheme="minorHAnsi"/>
          <w:lang w:eastAsia="en-AU"/>
        </w:rPr>
      </w:pPr>
      <w:r w:rsidRPr="005B0796">
        <w:rPr>
          <w:lang w:eastAsia="en-AU"/>
        </w:rPr>
        <w:t>This section of the survey comprised eight questions from the 2010 ABS General Social Survey (GSS)</w:t>
      </w:r>
      <w:r>
        <w:rPr>
          <w:lang w:eastAsia="en-AU"/>
        </w:rPr>
        <w:t xml:space="preserve"> </w:t>
      </w:r>
      <w:r>
        <w:rPr>
          <w:noProof/>
          <w:lang w:eastAsia="en-AU"/>
        </w:rPr>
        <w:t>(Australian Bureau of Statistics, 2011)</w:t>
      </w:r>
      <w:r w:rsidRPr="005B0796">
        <w:rPr>
          <w:lang w:eastAsia="en-AU"/>
        </w:rPr>
        <w:t xml:space="preserve"> that addressed lifetime and recent episodes of homelessness. Items looked at:</w:t>
      </w:r>
    </w:p>
    <w:p w14:paraId="602ACDB0" w14:textId="77777777" w:rsidR="00B903A5" w:rsidRPr="005B0796" w:rsidRDefault="00B903A5" w:rsidP="00B903A5">
      <w:pPr>
        <w:pStyle w:val="Bullet"/>
        <w:numPr>
          <w:ilvl w:val="0"/>
          <w:numId w:val="3"/>
        </w:numPr>
        <w:ind w:left="360"/>
        <w:rPr>
          <w:lang w:eastAsia="en-AU"/>
        </w:rPr>
      </w:pPr>
      <w:r w:rsidRPr="005B0796">
        <w:rPr>
          <w:lang w:eastAsia="en-AU"/>
        </w:rPr>
        <w:t>participants’ experiences of homelessness</w:t>
      </w:r>
    </w:p>
    <w:p w14:paraId="6521D40B" w14:textId="77777777" w:rsidR="00B903A5" w:rsidRPr="005B0796" w:rsidRDefault="00B903A5" w:rsidP="00B903A5">
      <w:pPr>
        <w:pStyle w:val="Bullet"/>
        <w:numPr>
          <w:ilvl w:val="0"/>
          <w:numId w:val="3"/>
        </w:numPr>
        <w:ind w:left="360"/>
        <w:rPr>
          <w:lang w:eastAsia="en-AU"/>
        </w:rPr>
      </w:pPr>
      <w:r w:rsidRPr="005B0796">
        <w:rPr>
          <w:lang w:eastAsia="en-AU"/>
        </w:rPr>
        <w:t>reasons for homelessness</w:t>
      </w:r>
    </w:p>
    <w:p w14:paraId="5DD0948B" w14:textId="77777777" w:rsidR="00B903A5" w:rsidRPr="005B0796" w:rsidRDefault="00B903A5" w:rsidP="00B903A5">
      <w:pPr>
        <w:pStyle w:val="Bullet"/>
        <w:numPr>
          <w:ilvl w:val="0"/>
          <w:numId w:val="3"/>
        </w:numPr>
        <w:ind w:left="360"/>
        <w:rPr>
          <w:lang w:eastAsia="en-AU"/>
        </w:rPr>
      </w:pPr>
      <w:r w:rsidRPr="005B0796">
        <w:rPr>
          <w:lang w:eastAsia="en-AU"/>
        </w:rPr>
        <w:t>frequency of homelessness</w:t>
      </w:r>
    </w:p>
    <w:p w14:paraId="25DF7D94" w14:textId="77777777" w:rsidR="00B903A5" w:rsidRPr="005B0796" w:rsidRDefault="00B903A5" w:rsidP="00B903A5">
      <w:pPr>
        <w:pStyle w:val="Bullet"/>
        <w:numPr>
          <w:ilvl w:val="0"/>
          <w:numId w:val="3"/>
        </w:numPr>
        <w:ind w:left="360"/>
        <w:rPr>
          <w:lang w:eastAsia="en-AU"/>
        </w:rPr>
      </w:pPr>
      <w:r w:rsidRPr="005B0796">
        <w:rPr>
          <w:lang w:eastAsia="en-AU"/>
        </w:rPr>
        <w:t xml:space="preserve">details about their most recent experience of homelessness (reason for homelessness, time frame, recency) </w:t>
      </w:r>
    </w:p>
    <w:p w14:paraId="09E14B85" w14:textId="77777777" w:rsidR="00B903A5" w:rsidRPr="005B0796" w:rsidRDefault="00B903A5" w:rsidP="00B903A5">
      <w:pPr>
        <w:pStyle w:val="Bullet"/>
        <w:numPr>
          <w:ilvl w:val="0"/>
          <w:numId w:val="3"/>
        </w:numPr>
        <w:ind w:left="360"/>
        <w:rPr>
          <w:lang w:eastAsia="en-AU"/>
        </w:rPr>
      </w:pPr>
      <w:r w:rsidRPr="005B0796">
        <w:rPr>
          <w:lang w:eastAsia="en-AU"/>
        </w:rPr>
        <w:t>assistance sought during period(s) of homelessness/helpfulness of these services</w:t>
      </w:r>
    </w:p>
    <w:p w14:paraId="231ADC00" w14:textId="77777777" w:rsidR="00B903A5" w:rsidRPr="005B0796" w:rsidRDefault="00B903A5" w:rsidP="00B903A5">
      <w:pPr>
        <w:pStyle w:val="Bullet"/>
        <w:numPr>
          <w:ilvl w:val="0"/>
          <w:numId w:val="3"/>
        </w:numPr>
        <w:ind w:left="360"/>
        <w:rPr>
          <w:lang w:eastAsia="en-AU"/>
        </w:rPr>
      </w:pPr>
      <w:r w:rsidRPr="005B0796">
        <w:rPr>
          <w:lang w:eastAsia="en-AU"/>
        </w:rPr>
        <w:t>barriers to seeking support</w:t>
      </w:r>
      <w:r>
        <w:rPr>
          <w:lang w:eastAsia="en-AU"/>
        </w:rPr>
        <w:t>.</w:t>
      </w:r>
    </w:p>
    <w:p w14:paraId="5876A5B2" w14:textId="77777777" w:rsidR="00B903A5" w:rsidRPr="005B0796" w:rsidRDefault="00B903A5" w:rsidP="00B903A5">
      <w:pPr>
        <w:pStyle w:val="Heading5"/>
        <w:rPr>
          <w:lang w:val="en-AU"/>
        </w:rPr>
      </w:pPr>
      <w:r w:rsidRPr="005B0796">
        <w:rPr>
          <w:lang w:val="en-AU"/>
        </w:rPr>
        <w:t>ADF service details</w:t>
      </w:r>
    </w:p>
    <w:p w14:paraId="5ABF7242" w14:textId="77777777" w:rsidR="00B903A5" w:rsidRPr="005B0796" w:rsidRDefault="00B903A5" w:rsidP="00B903A5">
      <w:r w:rsidRPr="005B0796">
        <w:rPr>
          <w:color w:val="000000" w:themeColor="text1"/>
        </w:rPr>
        <w:t xml:space="preserve">Participants were asked a series </w:t>
      </w:r>
      <w:r w:rsidRPr="005B0796">
        <w:t>of questions specific to their employment with the ADF</w:t>
      </w:r>
      <w:r>
        <w:t>,</w:t>
      </w:r>
      <w:r w:rsidRPr="005B0796">
        <w:t xml:space="preserve"> including the number of years served, current service status, hours worked per week, rank and </w:t>
      </w:r>
      <w:r>
        <w:t>s</w:t>
      </w:r>
      <w:r w:rsidRPr="005B0796">
        <w:t xml:space="preserve">ervice. Depending on their rank and </w:t>
      </w:r>
      <w:r>
        <w:t>s</w:t>
      </w:r>
      <w:r w:rsidRPr="005B0796">
        <w:t>ervice, participants were also asked a series of questions pertaining to their specialty and specific role within the ADF. Items in this section were taken from the Australian Bureau of Statistics</w:t>
      </w:r>
      <w:r>
        <w:t xml:space="preserve"> </w:t>
      </w:r>
      <w:r w:rsidRPr="00B41BE0">
        <w:rPr>
          <w:i/>
          <w:noProof/>
        </w:rPr>
        <w:t>2007 National Survey of Mental Health and Wellbeing: Summary of Results</w:t>
      </w:r>
      <w:r w:rsidRPr="005B0796">
        <w:t xml:space="preserve"> </w:t>
      </w:r>
      <w:r>
        <w:rPr>
          <w:noProof/>
        </w:rPr>
        <w:t>(Australian Bureau of Statistics, 2008)</w:t>
      </w:r>
      <w:r w:rsidRPr="005B0796">
        <w:t xml:space="preserve"> and the 2011 Australian Defence Force Exit Survey </w:t>
      </w:r>
      <w:r>
        <w:rPr>
          <w:noProof/>
        </w:rPr>
        <w:t>(Shirt, 2012)</w:t>
      </w:r>
      <w:r w:rsidRPr="005B0796">
        <w:t>.</w:t>
      </w:r>
    </w:p>
    <w:p w14:paraId="7D8F2A96" w14:textId="77777777" w:rsidR="00B903A5" w:rsidRPr="005B0796" w:rsidRDefault="00B903A5" w:rsidP="00B903A5">
      <w:pPr>
        <w:pStyle w:val="Heading5"/>
        <w:rPr>
          <w:lang w:val="en-AU"/>
        </w:rPr>
      </w:pPr>
      <w:r w:rsidRPr="005B0796">
        <w:rPr>
          <w:lang w:val="en-AU"/>
        </w:rPr>
        <w:t>Feelings about the ADF</w:t>
      </w:r>
    </w:p>
    <w:p w14:paraId="7861A9CF" w14:textId="77777777" w:rsidR="00B903A5" w:rsidRPr="005B0796" w:rsidRDefault="00B903A5" w:rsidP="00B903A5">
      <w:r w:rsidRPr="005B0796">
        <w:t xml:space="preserve">This section of the survey aimed to assess participants’ level of organisational commitment. Four items were taken from Allen and Meyer’s Affective Commitment Scale </w:t>
      </w:r>
      <w:r>
        <w:rPr>
          <w:noProof/>
        </w:rPr>
        <w:t>(Allen &amp; John, 1990)</w:t>
      </w:r>
      <w:r w:rsidRPr="005B0796">
        <w:t xml:space="preserve"> and the other four items were developed by researchers for the study. </w:t>
      </w:r>
    </w:p>
    <w:p w14:paraId="55BC6B00" w14:textId="77777777" w:rsidR="00B903A5" w:rsidRPr="005B0796" w:rsidRDefault="00B903A5" w:rsidP="00B903A5">
      <w:pPr>
        <w:rPr>
          <w:lang w:eastAsia="en-AU"/>
        </w:rPr>
      </w:pPr>
      <w:r w:rsidRPr="005B0796">
        <w:rPr>
          <w:lang w:eastAsia="en-AU"/>
        </w:rPr>
        <w:t xml:space="preserve">Transitioned ADF members were also asked additional questions in part 1 pertaining to the </w:t>
      </w:r>
      <w:r>
        <w:rPr>
          <w:lang w:eastAsia="en-AU"/>
        </w:rPr>
        <w:t>categories set out below.</w:t>
      </w:r>
    </w:p>
    <w:p w14:paraId="3861C222" w14:textId="77777777" w:rsidR="00B903A5" w:rsidRPr="005B0796" w:rsidRDefault="00B903A5" w:rsidP="00B903A5">
      <w:pPr>
        <w:pStyle w:val="Heading5"/>
        <w:rPr>
          <w:lang w:val="en-AU"/>
        </w:rPr>
      </w:pPr>
      <w:r w:rsidRPr="005B0796">
        <w:rPr>
          <w:lang w:val="en-AU"/>
        </w:rPr>
        <w:t>Employment status</w:t>
      </w:r>
    </w:p>
    <w:p w14:paraId="196151BE" w14:textId="77777777" w:rsidR="00B903A5" w:rsidRPr="005B0796" w:rsidRDefault="00B903A5" w:rsidP="00B903A5">
      <w:r w:rsidRPr="005B0796">
        <w:t xml:space="preserve">In this section of the survey participants were asked about their current employment activities. Examples of options included ‘full time work greater than or equal to 30 hours paid employment per week’, ‘home duties’ and ‘unemployed/looking for work’. Unemployed members were also required to provide a reason for their unemployed status. Items in this section were taken from the Young and Well Cooperative Research Centre standard suite of measures </w:t>
      </w:r>
      <w:r>
        <w:rPr>
          <w:noProof/>
        </w:rPr>
        <w:t>(Burns et al., 2013)</w:t>
      </w:r>
      <w:r w:rsidRPr="005B0796">
        <w:t xml:space="preserve"> and the Health and Wellbeing Survey of Serving and Ex-Serving Personnel of the UK Armed Forces: Phase 2 </w:t>
      </w:r>
      <w:r>
        <w:rPr>
          <w:noProof/>
        </w:rPr>
        <w:t>(Fear et al., 2010)</w:t>
      </w:r>
      <w:r w:rsidRPr="005B0796">
        <w:t>.</w:t>
      </w:r>
    </w:p>
    <w:p w14:paraId="4589B320" w14:textId="77777777" w:rsidR="00B903A5" w:rsidRPr="005B0796" w:rsidRDefault="00B903A5" w:rsidP="00B903A5">
      <w:r w:rsidRPr="005B0796">
        <w:t>Participants were also required to provide details about their current civilian employment</w:t>
      </w:r>
      <w:r>
        <w:t>,</w:t>
      </w:r>
      <w:r w:rsidRPr="005B0796">
        <w:t xml:space="preserve"> including the number of hours worked per week, the industry of employment and their main source of income. Items in this section were derived from </w:t>
      </w:r>
      <w:r>
        <w:t xml:space="preserve">the </w:t>
      </w:r>
      <w:r w:rsidRPr="005B0796">
        <w:t xml:space="preserve">Health and Wellbeing Survey of Serving and Ex-Serving Personnel of the UK Armed Forces: Phase 2 </w:t>
      </w:r>
      <w:r>
        <w:rPr>
          <w:noProof/>
        </w:rPr>
        <w:t>(Fear et al., 2010)</w:t>
      </w:r>
      <w:r w:rsidRPr="005B0796">
        <w:t xml:space="preserve">, the Australian Defence Force Exit Survey </w:t>
      </w:r>
      <w:r>
        <w:rPr>
          <w:noProof/>
        </w:rPr>
        <w:t>(Shirt, 2012)</w:t>
      </w:r>
      <w:r w:rsidRPr="005B0796">
        <w:t xml:space="preserve"> and the Household, Income and Labour Dynamics</w:t>
      </w:r>
      <w:r w:rsidRPr="005B0796">
        <w:rPr>
          <w:rFonts w:eastAsia="MS Gothic"/>
        </w:rPr>
        <w:t xml:space="preserve"> </w:t>
      </w:r>
      <w:r w:rsidRPr="005B0796">
        <w:t xml:space="preserve">in Australia (HILDA) Survey </w:t>
      </w:r>
      <w:r>
        <w:rPr>
          <w:noProof/>
        </w:rPr>
        <w:t>(Watson &amp; Wooden, 2002)</w:t>
      </w:r>
      <w:r w:rsidRPr="005B0796">
        <w:t xml:space="preserve">. Participants were also asked to indicate whether they had experienced a period of unemployment greater than </w:t>
      </w:r>
      <w:r>
        <w:t>three</w:t>
      </w:r>
      <w:r w:rsidRPr="005B0796">
        <w:t xml:space="preserve"> months since transitioning, and when this period began. This item was taken from the Australian Gulf War Veterans’ Health Study 2011</w:t>
      </w:r>
      <w:r>
        <w:t xml:space="preserve"> follow-up</w:t>
      </w:r>
      <w:r w:rsidRPr="005B0796">
        <w:t xml:space="preserve"> </w:t>
      </w:r>
      <w:r>
        <w:rPr>
          <w:noProof/>
        </w:rPr>
        <w:t>(Sim et al., 2015)</w:t>
      </w:r>
      <w:r w:rsidRPr="005B0796">
        <w:t>.</w:t>
      </w:r>
    </w:p>
    <w:p w14:paraId="4EA9A8F1" w14:textId="77777777" w:rsidR="00B903A5" w:rsidRPr="005B0796" w:rsidRDefault="00B903A5" w:rsidP="00B903A5">
      <w:pPr>
        <w:pStyle w:val="Heading5"/>
        <w:rPr>
          <w:lang w:val="en-AU"/>
        </w:rPr>
      </w:pPr>
      <w:r w:rsidRPr="005B0796">
        <w:rPr>
          <w:lang w:val="en-AU"/>
        </w:rPr>
        <w:t>Reservist status</w:t>
      </w:r>
    </w:p>
    <w:p w14:paraId="5DC308FB" w14:textId="77777777" w:rsidR="00B903A5" w:rsidRPr="005B0796" w:rsidRDefault="00B903A5" w:rsidP="00B903A5">
      <w:r w:rsidRPr="005B0796">
        <w:t>In this section of the survey participants were asked about their Reservist status and</w:t>
      </w:r>
      <w:r>
        <w:t>,</w:t>
      </w:r>
      <w:r w:rsidRPr="005B0796">
        <w:t xml:space="preserve"> where relevant, to provide details pertaining to their Reservist employment</w:t>
      </w:r>
      <w:r>
        <w:t>,</w:t>
      </w:r>
      <w:r w:rsidRPr="005B0796">
        <w:t xml:space="preserve"> including their full-time/part-time status, the number of hours worked and weeks away for Reservist work. Items in this section were taken from the Soldier Wellbeing Survey </w:t>
      </w:r>
      <w:r>
        <w:rPr>
          <w:noProof/>
        </w:rPr>
        <w:t>(Riviere, 2011; Thomas, 2010)</w:t>
      </w:r>
      <w:r w:rsidRPr="005B0796">
        <w:t>.</w:t>
      </w:r>
    </w:p>
    <w:p w14:paraId="1E3C6073" w14:textId="77777777" w:rsidR="00B903A5" w:rsidRPr="005B0796" w:rsidRDefault="00B903A5" w:rsidP="00B903A5">
      <w:pPr>
        <w:pStyle w:val="Heading5"/>
        <w:rPr>
          <w:lang w:val="en-AU"/>
        </w:rPr>
      </w:pPr>
      <w:r w:rsidRPr="005B0796">
        <w:rPr>
          <w:lang w:val="en-AU"/>
        </w:rPr>
        <w:t>Year of transition</w:t>
      </w:r>
    </w:p>
    <w:p w14:paraId="0D4CD866" w14:textId="77777777" w:rsidR="00B903A5" w:rsidRPr="005B0796" w:rsidRDefault="00B903A5" w:rsidP="00B903A5">
      <w:r w:rsidRPr="005B0796">
        <w:t xml:space="preserve">Participants were asked to indicate what year they transitioned into Active Reserves/Inactive Reserves/out of the ADF. These questions were taken from the Health and Wellbeing Survey of Serving and Ex-Serving Personnel of the UK Armed Forces: Phase 2 </w:t>
      </w:r>
      <w:r>
        <w:rPr>
          <w:noProof/>
        </w:rPr>
        <w:t>(Fear et al., 2010)</w:t>
      </w:r>
      <w:r w:rsidRPr="005B0796">
        <w:t xml:space="preserve"> and the Australian Gulf War Veterans’ Health Study 2011 follow-up </w:t>
      </w:r>
      <w:r>
        <w:rPr>
          <w:noProof/>
        </w:rPr>
        <w:t>(Sim et al., 2015)</w:t>
      </w:r>
      <w:r w:rsidRPr="005B0796">
        <w:t>.</w:t>
      </w:r>
    </w:p>
    <w:p w14:paraId="58167282" w14:textId="77777777" w:rsidR="00B903A5" w:rsidRPr="005B0796" w:rsidRDefault="00B903A5" w:rsidP="00B903A5">
      <w:pPr>
        <w:pStyle w:val="Heading5"/>
        <w:rPr>
          <w:lang w:val="en-AU"/>
        </w:rPr>
      </w:pPr>
      <w:r w:rsidRPr="005B0796">
        <w:rPr>
          <w:lang w:val="en-AU"/>
        </w:rPr>
        <w:t>Change in relationship status</w:t>
      </w:r>
    </w:p>
    <w:p w14:paraId="7033BA91" w14:textId="77777777" w:rsidR="00B903A5" w:rsidRPr="005B0796" w:rsidRDefault="00B903A5" w:rsidP="00B903A5">
      <w:r w:rsidRPr="005B0796">
        <w:t xml:space="preserve">Participants were asked to indicate whether their relationship status had changed since transitioning from full-time Regular ADF service. If divorced, separated or widowed since transition, participants were asked to provide a date. This item in the survey was taken from the Australian Gulf War Veterans’ Health Study 2011 follow-up </w:t>
      </w:r>
      <w:r>
        <w:rPr>
          <w:noProof/>
        </w:rPr>
        <w:t>(Sim et al., 2015)</w:t>
      </w:r>
      <w:r w:rsidRPr="005B0796">
        <w:t>.</w:t>
      </w:r>
    </w:p>
    <w:p w14:paraId="0B89489C" w14:textId="77777777" w:rsidR="00B903A5" w:rsidRPr="005B0796" w:rsidRDefault="00B903A5" w:rsidP="00B903A5">
      <w:pPr>
        <w:pStyle w:val="Heading5"/>
        <w:rPr>
          <w:lang w:val="en-AU"/>
        </w:rPr>
      </w:pPr>
      <w:r w:rsidRPr="005B0796">
        <w:rPr>
          <w:lang w:val="en-AU"/>
        </w:rPr>
        <w:t>ADF separation details</w:t>
      </w:r>
    </w:p>
    <w:p w14:paraId="2CB34CEF" w14:textId="77777777" w:rsidR="00B903A5" w:rsidRPr="005B0796" w:rsidRDefault="00B903A5" w:rsidP="00B903A5">
      <w:r w:rsidRPr="005B0796">
        <w:t xml:space="preserve">This section of the survey comprised </w:t>
      </w:r>
      <w:r>
        <w:t>two</w:t>
      </w:r>
      <w:r w:rsidRPr="005B0796">
        <w:t xml:space="preserve"> parts. Firstly, participants were asked about their discharge/resignation category. Examples of options included ‘medical discharge’, ‘compassionate grounds’ and ‘end of fixed period engagement’. In part 2, participants were provided with a comprehensive list of reasons for leaving the ADF and asked to mark all that played a role in their decision to leave. Participants were also asked to indicate the main reason of those selected. Items in this section were based on the current exit survey utilised by the ADF </w:t>
      </w:r>
      <w:r>
        <w:rPr>
          <w:noProof/>
        </w:rPr>
        <w:t>(Shirt, 2012)</w:t>
      </w:r>
      <w:r w:rsidRPr="005B0796">
        <w:t>.</w:t>
      </w:r>
    </w:p>
    <w:p w14:paraId="759B3281" w14:textId="77777777" w:rsidR="00B903A5" w:rsidRPr="005B0796" w:rsidRDefault="00B903A5" w:rsidP="00B903A5">
      <w:r w:rsidRPr="005B0796">
        <w:t xml:space="preserve">ADF Reservists were also asked additional questions pertaining to the </w:t>
      </w:r>
      <w:r>
        <w:t>categories set out below.</w:t>
      </w:r>
    </w:p>
    <w:p w14:paraId="5DED7C38" w14:textId="77777777" w:rsidR="00B903A5" w:rsidRPr="005B0796" w:rsidRDefault="00B903A5" w:rsidP="00B903A5">
      <w:pPr>
        <w:pStyle w:val="Heading5"/>
        <w:rPr>
          <w:lang w:val="en-AU"/>
        </w:rPr>
      </w:pPr>
      <w:r w:rsidRPr="005B0796">
        <w:rPr>
          <w:lang w:val="en-AU"/>
        </w:rPr>
        <w:t>Reservist details</w:t>
      </w:r>
    </w:p>
    <w:p w14:paraId="7AC345D5" w14:textId="77777777" w:rsidR="00B903A5" w:rsidRPr="005B0796" w:rsidRDefault="00B903A5" w:rsidP="00B903A5">
      <w:r w:rsidRPr="005B0796">
        <w:t xml:space="preserve">Participants were asked to provide details in relation to the following: length of time served as a Reservist, Reservist status, periods of continuous full-time service, hours worked per week in the past month, weeks away in the past </w:t>
      </w:r>
      <w:r>
        <w:t>five</w:t>
      </w:r>
      <w:r w:rsidRPr="005B0796">
        <w:t xml:space="preserve"> years, and satisfaction with participation in the Reserves. Items in this section were derived from the Soldier Wellbeing Survey </w:t>
      </w:r>
      <w:r>
        <w:rPr>
          <w:noProof/>
        </w:rPr>
        <w:t>(Riviere, 2011; Thomas, 2010)</w:t>
      </w:r>
      <w:r w:rsidRPr="005B0796">
        <w:t xml:space="preserve">, the Health and Wellbeing Survey of Serving and Ex-Serving Personnel of the UK Armed Forces: Phase 2 </w:t>
      </w:r>
      <w:r>
        <w:rPr>
          <w:noProof/>
        </w:rPr>
        <w:t>(Fear et al., 2010)</w:t>
      </w:r>
      <w:r w:rsidRPr="005B0796">
        <w:t xml:space="preserve"> and the RAND Guard/Reserve Survey of Officer and Enlisted Personnel </w:t>
      </w:r>
      <w:r>
        <w:rPr>
          <w:noProof/>
        </w:rPr>
        <w:t>(Kirby &amp; Naftel, 1998)</w:t>
      </w:r>
      <w:r w:rsidRPr="005B0796">
        <w:t>. Other items were developed specifically by researchers for use in the study.</w:t>
      </w:r>
    </w:p>
    <w:p w14:paraId="305B0640" w14:textId="77777777" w:rsidR="00B903A5" w:rsidRPr="005B0796" w:rsidRDefault="00B903A5" w:rsidP="00B903A5">
      <w:pPr>
        <w:pStyle w:val="Heading5"/>
        <w:rPr>
          <w:lang w:val="en-AU"/>
        </w:rPr>
      </w:pPr>
      <w:r w:rsidRPr="005B0796">
        <w:rPr>
          <w:lang w:val="en-AU"/>
        </w:rPr>
        <w:t>Civilian employment</w:t>
      </w:r>
    </w:p>
    <w:p w14:paraId="2F0B811E" w14:textId="77777777" w:rsidR="00B903A5" w:rsidRPr="005B0796" w:rsidRDefault="00B903A5" w:rsidP="00B903A5">
      <w:r w:rsidRPr="005B0796">
        <w:t xml:space="preserve">Participants were asked a series of questions about the following in relation to their civilian role (if relevant): employer knowledge of Reservist role, employer attendance at Reservist events, employer support of military affiliation, impact of Reservist duties on civilian role, and a comparison of duties and responsibilities across Reservist and civilian roles. Items in this section were derived from the Soldier Wellbeing Survey </w:t>
      </w:r>
      <w:r>
        <w:rPr>
          <w:noProof/>
        </w:rPr>
        <w:t>(Riviere, 2011; Thomas, 2010)</w:t>
      </w:r>
      <w:r w:rsidRPr="005B0796">
        <w:t xml:space="preserve">, The Middle East Area of Operations (MEAO) Health Study: Prospective Study </w:t>
      </w:r>
      <w:r>
        <w:rPr>
          <w:noProof/>
        </w:rPr>
        <w:t>(Davy et al., 2012)</w:t>
      </w:r>
      <w:r w:rsidRPr="005B0796">
        <w:t xml:space="preserve"> and the ADF Exit Survey </w:t>
      </w:r>
      <w:r>
        <w:rPr>
          <w:noProof/>
        </w:rPr>
        <w:t>(Shirt, 2012)</w:t>
      </w:r>
      <w:r w:rsidRPr="005B0796">
        <w:t xml:space="preserve">. Information </w:t>
      </w:r>
      <w:r>
        <w:t>about</w:t>
      </w:r>
      <w:r w:rsidRPr="005B0796">
        <w:t xml:space="preserve"> current employment activities and details of civilian employment was also collected as described in the previous section about </w:t>
      </w:r>
      <w:r>
        <w:t>t</w:t>
      </w:r>
      <w:r w:rsidRPr="005B0796">
        <w:t>ransitioned members.</w:t>
      </w:r>
    </w:p>
    <w:p w14:paraId="67653AC1" w14:textId="77777777" w:rsidR="00B903A5" w:rsidRPr="005B0796" w:rsidRDefault="00B903A5" w:rsidP="00B903A5">
      <w:pPr>
        <w:pStyle w:val="Heading5"/>
        <w:rPr>
          <w:lang w:val="en-AU"/>
        </w:rPr>
      </w:pPr>
      <w:r w:rsidRPr="005B0796">
        <w:rPr>
          <w:lang w:val="en-AU"/>
        </w:rPr>
        <w:t>Contribution to the ADF</w:t>
      </w:r>
    </w:p>
    <w:p w14:paraId="318BFCAB" w14:textId="77777777" w:rsidR="00B903A5" w:rsidRPr="005B0796" w:rsidRDefault="00B903A5" w:rsidP="00B903A5">
      <w:r w:rsidRPr="005B0796">
        <w:t>Participants’ perception</w:t>
      </w:r>
      <w:r>
        <w:t>s</w:t>
      </w:r>
      <w:r w:rsidRPr="005B0796">
        <w:t xml:space="preserve"> of their contribution to the ADF was measured </w:t>
      </w:r>
      <w:r>
        <w:t>using a</w:t>
      </w:r>
      <w:r w:rsidRPr="005B0796">
        <w:t xml:space="preserve"> single item – ‘</w:t>
      </w:r>
      <w:r>
        <w:t>H</w:t>
      </w:r>
      <w:r w:rsidRPr="005B0796">
        <w:t xml:space="preserve">ow important do you think your contribution is towards the ADF?’ Anchors ranged from ‘not at all important’ to ‘very important’. This item was taken from the RAND Guard/Reserve Survey of Officer and Enlisted Personnel </w:t>
      </w:r>
      <w:r>
        <w:rPr>
          <w:noProof/>
        </w:rPr>
        <w:t>(Kirby &amp; Naftel, 1998)</w:t>
      </w:r>
      <w:r w:rsidRPr="005B0796">
        <w:t>.</w:t>
      </w:r>
    </w:p>
    <w:p w14:paraId="6268FDF1" w14:textId="77777777" w:rsidR="00B903A5" w:rsidRPr="005B0796" w:rsidRDefault="00B903A5" w:rsidP="00B903A5">
      <w:pPr>
        <w:pStyle w:val="Heading5"/>
        <w:rPr>
          <w:lang w:val="en-AU"/>
        </w:rPr>
      </w:pPr>
      <w:r w:rsidRPr="005B0796">
        <w:rPr>
          <w:lang w:val="en-AU"/>
        </w:rPr>
        <w:t>How the ADF deals with Reservists</w:t>
      </w:r>
    </w:p>
    <w:p w14:paraId="70E2EDE0" w14:textId="77777777" w:rsidR="00B903A5" w:rsidRPr="005B0796" w:rsidRDefault="00B903A5" w:rsidP="00B903A5">
      <w:r w:rsidRPr="005B0796">
        <w:t xml:space="preserve">Participants’ perceptions of how well the ADF deals with, understands and accepts Reservists were assessed </w:t>
      </w:r>
      <w:r>
        <w:t>using three</w:t>
      </w:r>
      <w:r w:rsidRPr="005B0796">
        <w:t xml:space="preserve"> items measured on a 5-point scale ranging from ‘very poor’ to ‘very good’. </w:t>
      </w:r>
    </w:p>
    <w:p w14:paraId="4CCC96B9" w14:textId="77777777" w:rsidR="00B903A5" w:rsidRPr="005B0796" w:rsidRDefault="00B903A5" w:rsidP="00B903A5">
      <w:pPr>
        <w:pStyle w:val="Heading5"/>
        <w:rPr>
          <w:lang w:val="en-AU"/>
        </w:rPr>
      </w:pPr>
      <w:r w:rsidRPr="005B0796">
        <w:rPr>
          <w:lang w:val="en-AU"/>
        </w:rPr>
        <w:t>Getting Help (Reservist</w:t>
      </w:r>
      <w:r>
        <w:rPr>
          <w:lang w:val="en-AU"/>
        </w:rPr>
        <w:t>-</w:t>
      </w:r>
      <w:r w:rsidRPr="005B0796">
        <w:rPr>
          <w:lang w:val="en-AU"/>
        </w:rPr>
        <w:t>specific)</w:t>
      </w:r>
    </w:p>
    <w:p w14:paraId="5FBF03DB" w14:textId="77777777" w:rsidR="00B903A5" w:rsidRPr="005B0796" w:rsidRDefault="00B903A5" w:rsidP="00B903A5">
      <w:r w:rsidRPr="005B0796">
        <w:t xml:space="preserve">This section of the survey was developed by researchers and looked at the following: mental health problems resulting from Reservist experience, help sought for these problems, help sought and received from ADF services/non-Defence organisations, benefits sought and received from DVA. </w:t>
      </w:r>
    </w:p>
    <w:p w14:paraId="3E03E1CB" w14:textId="77777777" w:rsidR="00B903A5" w:rsidRPr="005B0796" w:rsidRDefault="00B903A5" w:rsidP="00B903A5">
      <w:pPr>
        <w:pStyle w:val="Heading4"/>
        <w:rPr>
          <w:rFonts w:eastAsia="MS ??"/>
        </w:rPr>
      </w:pPr>
      <w:r w:rsidRPr="005B0796">
        <w:rPr>
          <w:rFonts w:eastAsia="MS ??"/>
        </w:rPr>
        <w:t>Part 2: Health and Wellbeing Survey</w:t>
      </w:r>
    </w:p>
    <w:p w14:paraId="35F9FE8A" w14:textId="77777777" w:rsidR="00B903A5" w:rsidRPr="005B0796" w:rsidRDefault="00B903A5" w:rsidP="00B903A5">
      <w:r w:rsidRPr="005B0796">
        <w:t xml:space="preserve">Part 2 of the survey was completed by all samples specific to the Mental Health and Wellbeing Transition Study and included </w:t>
      </w:r>
      <w:r>
        <w:t xml:space="preserve">the </w:t>
      </w:r>
      <w:r w:rsidRPr="005B0796">
        <w:t>factors described in the following sections.</w:t>
      </w:r>
    </w:p>
    <w:p w14:paraId="52A6CD26" w14:textId="77777777" w:rsidR="00B903A5" w:rsidRPr="005B0796" w:rsidRDefault="00B903A5" w:rsidP="00B903A5">
      <w:pPr>
        <w:pStyle w:val="Heading5"/>
        <w:rPr>
          <w:lang w:val="en-AU"/>
        </w:rPr>
      </w:pPr>
      <w:r w:rsidRPr="005B0796">
        <w:rPr>
          <w:lang w:val="en-AU"/>
        </w:rPr>
        <w:t>Deployments</w:t>
      </w:r>
    </w:p>
    <w:p w14:paraId="6418FC8D" w14:textId="77777777" w:rsidR="00B903A5" w:rsidRPr="005B0796" w:rsidRDefault="00B903A5" w:rsidP="00B903A5">
      <w:r w:rsidRPr="005B0796">
        <w:t xml:space="preserve">In this section of the survey, participants were asked to provide detailed information about their deployment history with the ADF. Deployments were grouped into the following categories: </w:t>
      </w:r>
      <w:r>
        <w:t>war-like</w:t>
      </w:r>
      <w:r w:rsidRPr="005B0796">
        <w:t xml:space="preserve">/active </w:t>
      </w:r>
      <w:r>
        <w:t>s</w:t>
      </w:r>
      <w:r w:rsidRPr="005B0796">
        <w:t>ervice, non-</w:t>
      </w:r>
      <w:r>
        <w:t>war-like</w:t>
      </w:r>
      <w:r w:rsidRPr="005B0796">
        <w:t xml:space="preserve"> (peacekeeping) </w:t>
      </w:r>
      <w:r>
        <w:t>s</w:t>
      </w:r>
      <w:r w:rsidRPr="005B0796">
        <w:t xml:space="preserve">ervice, humanitarian/disaster relief, Defence aid and border protection. For each applicable deployment listed, participants were asked to indicate which country they were deployed to, the name of the operation, the dates they were deployed, the number of times they were deployed, the total number of months deployed, and whether they were deployed in a combat capacity. Items in this section were adapted from the 2010 Mental Health Prevalence Wellbeing Study </w:t>
      </w:r>
      <w:r>
        <w:rPr>
          <w:noProof/>
        </w:rPr>
        <w:t>(McFarlane et al., 2011)</w:t>
      </w:r>
      <w:r w:rsidRPr="005B0796">
        <w:t>.</w:t>
      </w:r>
    </w:p>
    <w:p w14:paraId="2D9D8D95" w14:textId="77777777" w:rsidR="00B903A5" w:rsidRPr="005B0796" w:rsidRDefault="00B903A5" w:rsidP="00B903A5">
      <w:pPr>
        <w:pStyle w:val="Heading5"/>
        <w:rPr>
          <w:lang w:val="en-AU"/>
        </w:rPr>
      </w:pPr>
      <w:r w:rsidRPr="005B0796">
        <w:rPr>
          <w:lang w:val="en-AU"/>
        </w:rPr>
        <w:t>Deployment exposure</w:t>
      </w:r>
    </w:p>
    <w:p w14:paraId="104D573C" w14:textId="77777777" w:rsidR="00B903A5" w:rsidRPr="005B0796" w:rsidRDefault="00B903A5" w:rsidP="00B903A5">
      <w:r w:rsidRPr="005B0796">
        <w:t xml:space="preserve">Participants were presented with a list of deployment exposures and asked to indicate how many times they had experienced each one during their military career. Response categories ranged from ‘never’ to ‘10+ times’. Examples of events included exposure to ‘hazardous materials’, ‘discharge of weapon in direct combat’, and ‘handled or saw dead bodies’. Items in this section were drawn from the MEAO Census Study </w:t>
      </w:r>
      <w:r>
        <w:rPr>
          <w:noProof/>
        </w:rPr>
        <w:t>(Dobson et al., 2012)</w:t>
      </w:r>
      <w:r w:rsidRPr="005B0796">
        <w:t xml:space="preserve">. </w:t>
      </w:r>
    </w:p>
    <w:p w14:paraId="021864EE" w14:textId="77777777" w:rsidR="00B903A5" w:rsidRPr="005B0796" w:rsidRDefault="00B903A5" w:rsidP="00B903A5">
      <w:pPr>
        <w:pStyle w:val="Heading5"/>
        <w:rPr>
          <w:lang w:val="en-AU"/>
        </w:rPr>
      </w:pPr>
      <w:r w:rsidRPr="005B0796">
        <w:rPr>
          <w:lang w:val="en-AU"/>
        </w:rPr>
        <w:t>Quality of life</w:t>
      </w:r>
    </w:p>
    <w:p w14:paraId="7CE4A08D" w14:textId="77777777" w:rsidR="00B903A5" w:rsidRPr="005B0796" w:rsidRDefault="00B903A5" w:rsidP="00B903A5">
      <w:pPr>
        <w:rPr>
          <w:rFonts w:asciiTheme="minorHAnsi" w:hAnsiTheme="minorHAnsi"/>
        </w:rPr>
      </w:pPr>
      <w:r w:rsidRPr="005B0796">
        <w:t xml:space="preserve">This section of the survey comprised </w:t>
      </w:r>
      <w:r>
        <w:t>three</w:t>
      </w:r>
      <w:r w:rsidRPr="005B0796">
        <w:t xml:space="preserve"> items that assessed general health, satisfaction with health and quality of life. General health was measured </w:t>
      </w:r>
      <w:r>
        <w:t>using</w:t>
      </w:r>
      <w:r w:rsidRPr="005B0796">
        <w:t xml:space="preserve"> the first item of the Short Form 36 Health Survey (SF36) </w:t>
      </w:r>
      <w:r>
        <w:rPr>
          <w:noProof/>
        </w:rPr>
        <w:t>(Ware &amp; Sherbourne, 1992)</w:t>
      </w:r>
      <w:r>
        <w:t>,</w:t>
      </w:r>
      <w:r w:rsidRPr="005B0796">
        <w:t xml:space="preserve"> referred to as the Form 1 (SF1). The SF1 is a single item that is increasingly being utilised in population studies as an indicator of overall health status. Items assessing general health and satisfaction w</w:t>
      </w:r>
      <w:r w:rsidR="008A5AB0">
        <w:t xml:space="preserve">ith health were taken from the </w:t>
      </w:r>
      <w:r w:rsidRPr="005B0796">
        <w:t>Australian Gulf War Veterans</w:t>
      </w:r>
      <w:r>
        <w:t>’</w:t>
      </w:r>
      <w:r w:rsidRPr="005B0796">
        <w:t xml:space="preserve"> Health Study 2011</w:t>
      </w:r>
      <w:r>
        <w:t xml:space="preserve"> </w:t>
      </w:r>
      <w:r w:rsidRPr="005B0796">
        <w:t xml:space="preserve">follow-up </w:t>
      </w:r>
      <w:r>
        <w:rPr>
          <w:noProof/>
        </w:rPr>
        <w:t>(Sim et al., 2015)</w:t>
      </w:r>
      <w:r w:rsidRPr="005B0796">
        <w:t>.</w:t>
      </w:r>
    </w:p>
    <w:p w14:paraId="69F033DD" w14:textId="77777777" w:rsidR="00B903A5" w:rsidRPr="005B0796" w:rsidRDefault="00B903A5" w:rsidP="00B903A5">
      <w:pPr>
        <w:pStyle w:val="Heading5"/>
        <w:rPr>
          <w:lang w:val="en-AU"/>
        </w:rPr>
      </w:pPr>
      <w:r w:rsidRPr="005B0796">
        <w:rPr>
          <w:lang w:val="en-AU"/>
        </w:rPr>
        <w:t>Depression</w:t>
      </w:r>
    </w:p>
    <w:p w14:paraId="3F0292C1" w14:textId="77777777" w:rsidR="00B903A5" w:rsidRPr="005B0796" w:rsidRDefault="00B903A5" w:rsidP="00B903A5">
      <w:pPr>
        <w:rPr>
          <w:rFonts w:cs="Arial"/>
        </w:rPr>
      </w:pPr>
      <w:r w:rsidRPr="005B0796">
        <w:t xml:space="preserve">Self-reported depression was examined using the </w:t>
      </w:r>
      <w:r>
        <w:t>Patient Health Questionnaire-9</w:t>
      </w:r>
      <w:r w:rsidRPr="005B0796">
        <w:t xml:space="preserve"> (</w:t>
      </w:r>
      <w:r>
        <w:t>PHQ-9</w:t>
      </w:r>
      <w:r w:rsidRPr="005B0796">
        <w:t>)</w:t>
      </w:r>
      <w:r>
        <w:t xml:space="preserve"> </w:t>
      </w:r>
      <w:r>
        <w:rPr>
          <w:noProof/>
        </w:rPr>
        <w:t>(Kroenke et al., 2001)</w:t>
      </w:r>
      <w:r w:rsidRPr="005B0796">
        <w:rPr>
          <w:rFonts w:cs="Arial"/>
        </w:rPr>
        <w:t xml:space="preserve">. </w:t>
      </w:r>
      <w:r w:rsidRPr="005B0796">
        <w:t xml:space="preserve">The </w:t>
      </w:r>
      <w:r>
        <w:t>nine</w:t>
      </w:r>
      <w:r w:rsidRPr="005B0796">
        <w:t xml:space="preserve"> items of the </w:t>
      </w:r>
      <w:r>
        <w:t>PHQ-9</w:t>
      </w:r>
      <w:r w:rsidRPr="005B0796">
        <w:t xml:space="preserve"> are scored from 0</w:t>
      </w:r>
      <w:r>
        <w:t xml:space="preserve"> to </w:t>
      </w:r>
      <w:r w:rsidRPr="005B0796">
        <w:t xml:space="preserve">3 and summed to give a total score between 0 and 27. The </w:t>
      </w:r>
      <w:r>
        <w:t>PHQ-9</w:t>
      </w:r>
      <w:r w:rsidRPr="005B0796">
        <w:t xml:space="preserve"> provides various levels of diagnostic severity</w:t>
      </w:r>
      <w:r>
        <w:t>,</w:t>
      </w:r>
      <w:r w:rsidRPr="005B0796">
        <w:rPr>
          <w:rFonts w:cs="Arial"/>
        </w:rPr>
        <w:t xml:space="preserve"> with higher scores indicating higher levels of depression symptoms. </w:t>
      </w:r>
    </w:p>
    <w:p w14:paraId="60C4DE69" w14:textId="77777777" w:rsidR="00B903A5" w:rsidRPr="005B0796" w:rsidRDefault="00B903A5" w:rsidP="00B903A5">
      <w:pPr>
        <w:pStyle w:val="Heading5"/>
        <w:rPr>
          <w:lang w:val="en-AU"/>
        </w:rPr>
      </w:pPr>
      <w:r w:rsidRPr="005B0796">
        <w:rPr>
          <w:lang w:val="en-AU"/>
        </w:rPr>
        <w:t>Generalised anxiety disorder</w:t>
      </w:r>
    </w:p>
    <w:p w14:paraId="7B955C59" w14:textId="77777777" w:rsidR="00B903A5" w:rsidRPr="005B0796" w:rsidRDefault="00B903A5" w:rsidP="00B903A5">
      <w:pPr>
        <w:rPr>
          <w:lang w:eastAsia="en-AU"/>
        </w:rPr>
      </w:pPr>
      <w:r w:rsidRPr="005B0796">
        <w:rPr>
          <w:lang w:eastAsia="en-AU"/>
        </w:rPr>
        <w:t>Generalised anxiety disorder was measured via the</w:t>
      </w:r>
      <w:r w:rsidRPr="005B0796">
        <w:rPr>
          <w:b/>
          <w:lang w:eastAsia="en-AU"/>
        </w:rPr>
        <w:t xml:space="preserve"> </w:t>
      </w:r>
      <w:r w:rsidRPr="005B0796">
        <w:rPr>
          <w:lang w:eastAsia="en-AU"/>
        </w:rPr>
        <w:t xml:space="preserve">Generalised Anxiety Disorder 7 (GAD-7) </w:t>
      </w:r>
      <w:r>
        <w:rPr>
          <w:noProof/>
          <w:lang w:eastAsia="en-AU"/>
        </w:rPr>
        <w:t>(Spitzer et al., 2006)</w:t>
      </w:r>
      <w:r w:rsidRPr="005B0796">
        <w:rPr>
          <w:lang w:eastAsia="en-AU"/>
        </w:rPr>
        <w:t xml:space="preserve">. Each of the </w:t>
      </w:r>
      <w:r>
        <w:rPr>
          <w:lang w:eastAsia="en-AU"/>
        </w:rPr>
        <w:t>seven</w:t>
      </w:r>
      <w:r w:rsidRPr="005B0796">
        <w:rPr>
          <w:lang w:eastAsia="en-AU"/>
        </w:rPr>
        <w:t xml:space="preserve"> items is scored from 1 to 3, providing a total generalised anxiety score ranging between 0 and 21. Participants were asked to rate each item in the GAD-7 in relation to last </w:t>
      </w:r>
      <w:r>
        <w:rPr>
          <w:lang w:eastAsia="en-AU"/>
        </w:rPr>
        <w:t>two</w:t>
      </w:r>
      <w:r w:rsidRPr="005B0796">
        <w:rPr>
          <w:lang w:eastAsia="en-AU"/>
        </w:rPr>
        <w:t xml:space="preserve"> weeks only.</w:t>
      </w:r>
    </w:p>
    <w:p w14:paraId="2C04CC5A" w14:textId="77777777" w:rsidR="00B903A5" w:rsidRPr="005B0796" w:rsidRDefault="00B903A5" w:rsidP="00B903A5">
      <w:pPr>
        <w:pStyle w:val="Heading5"/>
        <w:rPr>
          <w:lang w:val="en-AU"/>
        </w:rPr>
      </w:pPr>
      <w:r w:rsidRPr="005B0796">
        <w:rPr>
          <w:lang w:val="en-AU"/>
        </w:rPr>
        <w:t xml:space="preserve">Sleep problems </w:t>
      </w:r>
    </w:p>
    <w:p w14:paraId="4F2062A6" w14:textId="77777777" w:rsidR="00B903A5" w:rsidRPr="005B0796" w:rsidRDefault="00B903A5" w:rsidP="00B903A5">
      <w:pPr>
        <w:rPr>
          <w:lang w:eastAsia="en-AU"/>
        </w:rPr>
      </w:pPr>
      <w:r w:rsidRPr="005B0796">
        <w:rPr>
          <w:lang w:eastAsia="en-AU"/>
        </w:rPr>
        <w:t xml:space="preserve">Self-perceived insomnia was examined via the Insomnia Severity Index </w:t>
      </w:r>
      <w:r w:rsidRPr="005B0796">
        <w:t xml:space="preserve">(ISI) </w:t>
      </w:r>
      <w:r>
        <w:rPr>
          <w:noProof/>
          <w:lang w:eastAsia="en-AU"/>
        </w:rPr>
        <w:t xml:space="preserve">(Bastien, </w:t>
      </w:r>
      <w:r w:rsidRPr="00B41BE0">
        <w:rPr>
          <w:noProof/>
        </w:rPr>
        <w:t>Vallieres, &amp; Morin</w:t>
      </w:r>
      <w:r>
        <w:rPr>
          <w:noProof/>
          <w:lang w:eastAsia="en-AU"/>
        </w:rPr>
        <w:t>, 2001)</w:t>
      </w:r>
      <w:r w:rsidRPr="005B0796">
        <w:rPr>
          <w:lang w:eastAsia="en-AU"/>
        </w:rPr>
        <w:t>. The ISI comprises seven items assessing the severity of sleep-onset and sleep</w:t>
      </w:r>
      <w:r>
        <w:rPr>
          <w:lang w:eastAsia="en-AU"/>
        </w:rPr>
        <w:t>-</w:t>
      </w:r>
      <w:r w:rsidRPr="005B0796">
        <w:rPr>
          <w:lang w:eastAsia="en-AU"/>
        </w:rPr>
        <w:t xml:space="preserve">maintenance difficulties, satisfaction with current sleep pattern, interference with daily functioning, noticeability of impairment attributed to the sleep problem, and degree of distress or concern caused by the sleep problem. </w:t>
      </w:r>
    </w:p>
    <w:p w14:paraId="28755EDC" w14:textId="77777777" w:rsidR="00B903A5" w:rsidRPr="005B0796" w:rsidRDefault="00B903A5" w:rsidP="00B903A5">
      <w:r w:rsidRPr="005B0796">
        <w:rPr>
          <w:lang w:eastAsia="en-AU"/>
        </w:rPr>
        <w:t>Each item is rated on a 0–4 scale and the total score ranges from 0 to 28. A higher score suggests more severe insomnia.</w:t>
      </w:r>
    </w:p>
    <w:p w14:paraId="39C4EE9F" w14:textId="77777777" w:rsidR="00B903A5" w:rsidRPr="005B0796" w:rsidRDefault="00B903A5" w:rsidP="00B903A5">
      <w:pPr>
        <w:pStyle w:val="Heading5"/>
        <w:rPr>
          <w:lang w:val="en-AU"/>
        </w:rPr>
      </w:pPr>
      <w:r w:rsidRPr="005B0796">
        <w:rPr>
          <w:lang w:val="en-AU"/>
        </w:rPr>
        <w:t xml:space="preserve">General psychological distress </w:t>
      </w:r>
    </w:p>
    <w:p w14:paraId="5303154A" w14:textId="77777777" w:rsidR="00B903A5" w:rsidRPr="005B0796" w:rsidRDefault="00B903A5" w:rsidP="00B903A5">
      <w:r w:rsidRPr="005B0796">
        <w:t xml:space="preserve">The Kessler Psychological Distress Scale (K10) </w:t>
      </w:r>
      <w:r>
        <w:rPr>
          <w:noProof/>
        </w:rPr>
        <w:t>(Kessler et al., 2002)</w:t>
      </w:r>
      <w:r w:rsidRPr="005B0796">
        <w:t xml:space="preserve"> is a short 10-item screening questionnaire that yields a global measure of psychological distress based on symptoms of anxiety and depression experienced in the most recent </w:t>
      </w:r>
      <w:r>
        <w:t>four-</w:t>
      </w:r>
      <w:r w:rsidRPr="005B0796">
        <w:t xml:space="preserve">week period. Items are scored from 1 to 5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ABS Australian National Mental Health and Wellbeing Survey </w:t>
      </w:r>
      <w:r>
        <w:rPr>
          <w:noProof/>
        </w:rPr>
        <w:t xml:space="preserve">(Slade, </w:t>
      </w:r>
      <w:r w:rsidRPr="00B41BE0">
        <w:rPr>
          <w:noProof/>
        </w:rPr>
        <w:t>Johnston, Oakley Browne, Andrews, &amp; Whiteford</w:t>
      </w:r>
      <w:r>
        <w:rPr>
          <w:noProof/>
        </w:rPr>
        <w:t>, 2009)</w:t>
      </w:r>
      <w:r w:rsidRPr="005B0796">
        <w:t xml:space="preserve"> and were used to identify levels of psychological distress in the 2010 ADF Mental Health Prevalence and Wellbeing Study </w:t>
      </w:r>
      <w:r>
        <w:rPr>
          <w:noProof/>
        </w:rPr>
        <w:t>(McFarlane et al., 2011)</w:t>
      </w:r>
      <w:r w:rsidRPr="005B0796">
        <w:t>.</w:t>
      </w:r>
    </w:p>
    <w:p w14:paraId="38549552" w14:textId="77777777" w:rsidR="00B903A5" w:rsidRPr="005B0796" w:rsidRDefault="00B903A5" w:rsidP="00B903A5">
      <w:pPr>
        <w:pStyle w:val="Heading5"/>
        <w:rPr>
          <w:lang w:val="en-AU"/>
        </w:rPr>
      </w:pPr>
      <w:r w:rsidRPr="005B0796">
        <w:rPr>
          <w:lang w:val="en-AU"/>
        </w:rPr>
        <w:t xml:space="preserve">Anger </w:t>
      </w:r>
    </w:p>
    <w:p w14:paraId="1FF131AC" w14:textId="77777777" w:rsidR="00B903A5" w:rsidRPr="005B0796" w:rsidRDefault="00B903A5" w:rsidP="00B903A5">
      <w:pPr>
        <w:rPr>
          <w:rFonts w:cs="Arial"/>
        </w:rPr>
      </w:pPr>
      <w:r w:rsidRPr="005B0796">
        <w:t xml:space="preserve">The Dimensions of Anger Reactions Scale (DAR-5) </w:t>
      </w:r>
      <w:r>
        <w:rPr>
          <w:noProof/>
        </w:rPr>
        <w:t>(Forbes et al., 2004)</w:t>
      </w:r>
      <w:r w:rsidRPr="005B0796">
        <w:t xml:space="preserve"> is a concise measure of anger. It consists of five items that address anger frequency, intensity, duration, aggression, and interference with social functioning. Items are scored on a 5-point Likert scale generating a severity score ranging from 5 to 25</w:t>
      </w:r>
      <w:r>
        <w:t>,</w:t>
      </w:r>
      <w:r w:rsidRPr="005B0796">
        <w:t xml:space="preserve"> with higher scores indicative of worse symptomatology. </w:t>
      </w:r>
      <w:r w:rsidRPr="005B0796">
        <w:rPr>
          <w:rFonts w:cs="Arial"/>
        </w:rPr>
        <w:t xml:space="preserve">This scale has been used previously to assess Australian Vietnam veterans, as well as US Afghanistan and Iraq veterans, and shows strong unidimensionality and high levels of internal consistency and criterion validity. </w:t>
      </w:r>
    </w:p>
    <w:p w14:paraId="030B66E2" w14:textId="77777777" w:rsidR="00B903A5" w:rsidRPr="005B0796" w:rsidRDefault="00B903A5" w:rsidP="00B903A5">
      <w:pPr>
        <w:pStyle w:val="Heading5"/>
        <w:rPr>
          <w:lang w:val="en-AU"/>
        </w:rPr>
      </w:pPr>
      <w:r w:rsidRPr="005B0796">
        <w:rPr>
          <w:lang w:val="en-AU"/>
        </w:rPr>
        <w:t>Physical violence</w:t>
      </w:r>
    </w:p>
    <w:p w14:paraId="6776A5F2" w14:textId="77777777" w:rsidR="00B903A5" w:rsidRPr="005B0796" w:rsidRDefault="00B903A5" w:rsidP="00B903A5">
      <w:r w:rsidRPr="005B0796">
        <w:t xml:space="preserve">Items addressing participants’ personal experiences with physical violence or threatened violence were taken from the 2010 Mental Health Prevalence Wellbeing Study </w:t>
      </w:r>
      <w:r>
        <w:rPr>
          <w:noProof/>
        </w:rPr>
        <w:t>(McFarlane et al., 2011)</w:t>
      </w:r>
      <w:r w:rsidRPr="005B0796">
        <w:t>.</w:t>
      </w:r>
    </w:p>
    <w:p w14:paraId="4DC91772" w14:textId="77777777" w:rsidR="00B903A5" w:rsidRPr="005B0796" w:rsidRDefault="00B903A5" w:rsidP="00B903A5">
      <w:pPr>
        <w:pStyle w:val="Heading5"/>
        <w:rPr>
          <w:lang w:val="en-AU"/>
        </w:rPr>
      </w:pPr>
      <w:r w:rsidRPr="005B0796">
        <w:rPr>
          <w:lang w:val="en-AU"/>
        </w:rPr>
        <w:t>Suicidal ideation and behaviour</w:t>
      </w:r>
    </w:p>
    <w:p w14:paraId="36955BCA" w14:textId="77777777" w:rsidR="00B903A5" w:rsidRPr="005B0796" w:rsidRDefault="00B903A5" w:rsidP="00B903A5">
      <w:r w:rsidRPr="005B0796">
        <w:t xml:space="preserve">12-month suicidal ideation and behaviour was assessed via four items that looked specifically at suicidal thoughts, plans and attempts. Three of the items in this section were adapted from the National Survey of Mental Health and Wellbeing </w:t>
      </w:r>
      <w:r>
        <w:rPr>
          <w:noProof/>
        </w:rPr>
        <w:t>(Australian Bureau of Statistics, 2008)</w:t>
      </w:r>
      <w:r w:rsidRPr="005B0796">
        <w:t xml:space="preserve"> and the final item was devised by researchers for use in the current study.</w:t>
      </w:r>
    </w:p>
    <w:p w14:paraId="1AEF1307" w14:textId="77777777" w:rsidR="00B903A5" w:rsidRPr="005B0796" w:rsidRDefault="00B903A5" w:rsidP="00B903A5">
      <w:pPr>
        <w:pStyle w:val="Heading5"/>
        <w:rPr>
          <w:lang w:val="en-AU"/>
        </w:rPr>
      </w:pPr>
      <w:r w:rsidRPr="005B0796">
        <w:rPr>
          <w:lang w:val="en-AU"/>
        </w:rPr>
        <w:t>Perceptions of mental health</w:t>
      </w:r>
    </w:p>
    <w:p w14:paraId="60B9A153" w14:textId="77777777" w:rsidR="00B903A5" w:rsidRPr="005B0796" w:rsidRDefault="00B903A5" w:rsidP="00B903A5">
      <w:r w:rsidRPr="005B0796">
        <w:t xml:space="preserve">Items addressing participants’ perceptions of their current and future physical and mental health were developed by researchers for use in the study. </w:t>
      </w:r>
    </w:p>
    <w:p w14:paraId="4C6EC651" w14:textId="77777777" w:rsidR="00B903A5" w:rsidRPr="005B0796" w:rsidRDefault="00B903A5" w:rsidP="00B903A5">
      <w:pPr>
        <w:pStyle w:val="Heading5"/>
        <w:rPr>
          <w:lang w:val="en-AU"/>
        </w:rPr>
      </w:pPr>
      <w:r w:rsidRPr="005B0796">
        <w:rPr>
          <w:lang w:val="en-AU"/>
        </w:rPr>
        <w:t>Lifetime exposure to traumatic events</w:t>
      </w:r>
    </w:p>
    <w:p w14:paraId="50BAF11C" w14:textId="77777777" w:rsidR="00B903A5" w:rsidRPr="005B0796" w:rsidRDefault="00B903A5" w:rsidP="00B903A5">
      <w:r w:rsidRPr="005B0796">
        <w:t xml:space="preserve">Lifetime exposure to trauma was examined as part of the posttraumatic stress disorder module of the CIDI 3.0 </w:t>
      </w:r>
      <w:r>
        <w:rPr>
          <w:noProof/>
        </w:rPr>
        <w:t>(Haro et al., 2006)</w:t>
      </w:r>
      <w:r w:rsidRPr="005B0796">
        <w:t>.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For each applicable event, participants were required to provide further information regarding the following: their age the first and last time the event took place, the number of times each event took place, and the number of times each event was related to their ADF service. Participants were then required to indicate which of the events they indicated ‘yes’ to was their worst event.</w:t>
      </w:r>
    </w:p>
    <w:p w14:paraId="2EC0974A" w14:textId="77777777" w:rsidR="00B903A5" w:rsidRPr="005B0796" w:rsidRDefault="00B903A5" w:rsidP="00B903A5">
      <w:pPr>
        <w:pStyle w:val="Heading5"/>
        <w:rPr>
          <w:lang w:val="en-AU"/>
        </w:rPr>
      </w:pPr>
      <w:r w:rsidRPr="005B0796">
        <w:rPr>
          <w:lang w:val="en-AU"/>
        </w:rPr>
        <w:t xml:space="preserve">Posttraumatic </w:t>
      </w:r>
      <w:r>
        <w:rPr>
          <w:lang w:val="en-AU"/>
        </w:rPr>
        <w:t>s</w:t>
      </w:r>
      <w:r w:rsidRPr="005B0796">
        <w:rPr>
          <w:lang w:val="en-AU"/>
        </w:rPr>
        <w:t xml:space="preserve">tress </w:t>
      </w:r>
      <w:r>
        <w:rPr>
          <w:lang w:val="en-AU"/>
        </w:rPr>
        <w:t>d</w:t>
      </w:r>
      <w:r w:rsidRPr="005B0796">
        <w:rPr>
          <w:lang w:val="en-AU"/>
        </w:rPr>
        <w:t>isorder</w:t>
      </w:r>
    </w:p>
    <w:p w14:paraId="2D78BCBD" w14:textId="77777777" w:rsidR="00B903A5" w:rsidRPr="005B0796" w:rsidRDefault="00B903A5" w:rsidP="00B903A5">
      <w:r w:rsidRPr="005B0796">
        <w:t>The Post</w:t>
      </w:r>
      <w:r>
        <w:t>t</w:t>
      </w:r>
      <w:r w:rsidRPr="005B0796">
        <w:t>raumatic Stress Disorder Checklist</w:t>
      </w:r>
      <w:r>
        <w:t xml:space="preserve"> –</w:t>
      </w:r>
      <w:r w:rsidRPr="005B0796">
        <w:t xml:space="preserve"> civilian version (PCL-C) </w:t>
      </w:r>
      <w:r>
        <w:rPr>
          <w:noProof/>
        </w:rPr>
        <w:t>(Weathers et al., 1993)</w:t>
      </w:r>
      <w:r w:rsidRPr="005B0796">
        <w:t xml:space="preserve"> is a 17</w:t>
      </w:r>
      <w:r>
        <w:t>-</w:t>
      </w:r>
      <w:r w:rsidRPr="005B0796">
        <w:t xml:space="preserve">item self-report measure designed to assess the symptomatic criteria of PTSD according to the </w:t>
      </w:r>
      <w:r w:rsidRPr="00DD23CB">
        <w:rPr>
          <w:i/>
        </w:rPr>
        <w:t>Diagnostic and Statistical Manual of Mental Disorders</w:t>
      </w:r>
      <w:r w:rsidRPr="005B0796">
        <w:t xml:space="preserve">, fourth edition (DSM-IV). The 17 questions of the PCL-C are scored from 1 to 5 and are summed to give a total symptom severity score of between 17 and 85. An additional </w:t>
      </w:r>
      <w:r>
        <w:t>four</w:t>
      </w:r>
      <w:r w:rsidRPr="005B0796">
        <w:t xml:space="preserve"> items from the newly released PCL-5 were also included, giving researchers flexibility to also measure PTSD symptoms according to the most recent definitional criteria. </w:t>
      </w:r>
    </w:p>
    <w:p w14:paraId="0BED63BF" w14:textId="77777777" w:rsidR="00B903A5" w:rsidRPr="005B0796" w:rsidRDefault="00B903A5" w:rsidP="00B903A5">
      <w:pPr>
        <w:pStyle w:val="Heading5"/>
        <w:rPr>
          <w:lang w:val="en-AU"/>
        </w:rPr>
      </w:pPr>
      <w:r w:rsidRPr="005B0796">
        <w:rPr>
          <w:lang w:val="en-AU"/>
        </w:rPr>
        <w:t>Recent life events</w:t>
      </w:r>
    </w:p>
    <w:p w14:paraId="2D185BFF" w14:textId="77777777" w:rsidR="00B903A5" w:rsidRPr="005B0796" w:rsidRDefault="00B903A5" w:rsidP="00B903A5">
      <w:r w:rsidRPr="005B0796">
        <w:t xml:space="preserve">Participants completed a modified, 15-item version of the List of Threatening Experiences </w:t>
      </w:r>
      <w:r>
        <w:rPr>
          <w:noProof/>
        </w:rPr>
        <w:t xml:space="preserve">(Brugha, </w:t>
      </w:r>
      <w:r w:rsidRPr="00B41BE0">
        <w:rPr>
          <w:noProof/>
        </w:rPr>
        <w:t>Bebbington, Tennant, &amp; Hurry</w:t>
      </w:r>
      <w:r>
        <w:rPr>
          <w:noProof/>
        </w:rPr>
        <w:t>, 1985)</w:t>
      </w:r>
      <w:r w:rsidRPr="005B0796">
        <w:t xml:space="preserve">. This brief questionnaire is frequently used to assess recent stressful life events. Participants were asked to indicate ‘yes’ if the event had occurred in the </w:t>
      </w:r>
      <w:r>
        <w:t>l</w:t>
      </w:r>
      <w:r w:rsidRPr="005B0796">
        <w:t xml:space="preserve">ast 12 months, and whether or not it was still having an effect on their life. Examples of events include ‘your parent, child or spouse died’, ‘you had a major financial crisis’ and ‘you broke off a steady relationship’. </w:t>
      </w:r>
    </w:p>
    <w:p w14:paraId="1A8E15AA" w14:textId="77777777" w:rsidR="00B903A5" w:rsidRPr="005B0796" w:rsidRDefault="00B903A5" w:rsidP="00B903A5">
      <w:pPr>
        <w:pStyle w:val="Heading5"/>
        <w:rPr>
          <w:lang w:val="en-AU"/>
        </w:rPr>
      </w:pPr>
      <w:r w:rsidRPr="005B0796">
        <w:rPr>
          <w:lang w:val="en-AU"/>
        </w:rPr>
        <w:t>Alcohol use</w:t>
      </w:r>
    </w:p>
    <w:p w14:paraId="57E1CDEF" w14:textId="77777777" w:rsidR="00B903A5" w:rsidRPr="005B0796" w:rsidRDefault="00B903A5" w:rsidP="00B903A5">
      <w:r w:rsidRPr="005B0796">
        <w:t xml:space="preserve">Alcohol consumption and problem drinking was examined using the Alcohol Use Disorders Identification Test (AUDIT) </w:t>
      </w:r>
      <w:r>
        <w:rPr>
          <w:noProof/>
        </w:rPr>
        <w:t>(Saunders et al., 1993)</w:t>
      </w:r>
      <w:r w:rsidRPr="005B0796">
        <w:t xml:space="preserve">, a brief self-report screening instrument developed by the World Health Organization. This instrument consists of 10 questions to examine the quantity and frequency of alcohol consumption, possible symptoms of dependence and reactions or problems related to alcohol. The AUDIT is an instrument that is widely used in epidemiological and clinical practice for defining at-risk patterns of drinking </w:t>
      </w:r>
      <w:r>
        <w:rPr>
          <w:noProof/>
        </w:rPr>
        <w:t>(Babor et al., 2001)</w:t>
      </w:r>
      <w:r w:rsidRPr="005B0796">
        <w:t>. Currently the recommended World Health Organization (WHO) risk categories are utilised with ADF populations and are also therefore the scoring categories utilised in this study. This process identifies four bands of risk: Band 1 (scores of 0</w:t>
      </w:r>
      <w:r>
        <w:t>–</w:t>
      </w:r>
      <w:r w:rsidRPr="005B0796">
        <w:t>7) represents those who would benefit from alcohol education; Band 2 (scores of 8</w:t>
      </w:r>
      <w:r>
        <w:t>–</w:t>
      </w:r>
      <w:r w:rsidRPr="005B0796">
        <w:t>15) represents those that are likely to require simple advice; Band 3 (scores of 16</w:t>
      </w:r>
      <w:r>
        <w:t>–</w:t>
      </w:r>
      <w:r w:rsidRPr="005B0796">
        <w:t xml:space="preserve">19) </w:t>
      </w:r>
      <w:r>
        <w:t>comprises</w:t>
      </w:r>
      <w:r w:rsidRPr="005B0796">
        <w:t xml:space="preserve"> those where counselling and continued monitoring is recommended; Band 4 (</w:t>
      </w:r>
      <w:r>
        <w:t>s</w:t>
      </w:r>
      <w:r w:rsidRPr="005B0796">
        <w:t>cores of 20</w:t>
      </w:r>
      <w:r>
        <w:t>–</w:t>
      </w:r>
      <w:r w:rsidRPr="005B0796">
        <w:t xml:space="preserve">40) </w:t>
      </w:r>
      <w:r>
        <w:t>represents those requiring</w:t>
      </w:r>
      <w:r w:rsidRPr="005B0796">
        <w:t xml:space="preserve"> diagnostic evaluation and treatment, including counselling and monitoring </w:t>
      </w:r>
      <w:r>
        <w:rPr>
          <w:noProof/>
        </w:rPr>
        <w:t xml:space="preserve">(Babor, de la </w:t>
      </w:r>
      <w:r w:rsidRPr="00B41BE0">
        <w:rPr>
          <w:noProof/>
        </w:rPr>
        <w:t>Fuente, Saunders, &amp; Grant</w:t>
      </w:r>
      <w:r>
        <w:rPr>
          <w:noProof/>
        </w:rPr>
        <w:t>, 1989; Babor et al., 2001)</w:t>
      </w:r>
      <w:r w:rsidRPr="005B0796">
        <w:t>.</w:t>
      </w:r>
    </w:p>
    <w:p w14:paraId="0CA625FD" w14:textId="77777777" w:rsidR="00B903A5" w:rsidRPr="005B0796" w:rsidRDefault="00B903A5" w:rsidP="00B903A5">
      <w:r w:rsidRPr="005B0796">
        <w:t>Two additional supplementary items of the AUDIT were also included in the questionnaire</w:t>
      </w:r>
      <w:r>
        <w:t>,</w:t>
      </w:r>
      <w:r w:rsidRPr="005B0796">
        <w:t xml:space="preserve"> as well as additional items on consumption to ensure comparability with the Australian National Health Survey 2011</w:t>
      </w:r>
      <w:r>
        <w:t>–</w:t>
      </w:r>
      <w:r w:rsidRPr="005B0796">
        <w:t xml:space="preserve">2012 </w:t>
      </w:r>
      <w:r>
        <w:rPr>
          <w:noProof/>
        </w:rPr>
        <w:t>(Australian Bureau of Statistics, 2012)</w:t>
      </w:r>
      <w:r w:rsidRPr="005B0796">
        <w:t>.</w:t>
      </w:r>
    </w:p>
    <w:p w14:paraId="5D0C1E6B" w14:textId="77777777" w:rsidR="00B903A5" w:rsidRPr="005B0796" w:rsidRDefault="00B903A5" w:rsidP="00B903A5">
      <w:pPr>
        <w:pStyle w:val="Heading5"/>
        <w:rPr>
          <w:lang w:val="en-AU"/>
        </w:rPr>
      </w:pPr>
      <w:r w:rsidRPr="005B0796">
        <w:rPr>
          <w:lang w:val="en-AU"/>
        </w:rPr>
        <w:t>Tobacco use</w:t>
      </w:r>
    </w:p>
    <w:p w14:paraId="34F7E1F6" w14:textId="77777777" w:rsidR="00B903A5" w:rsidRPr="005B0796" w:rsidRDefault="00B903A5" w:rsidP="00B903A5">
      <w:pPr>
        <w:keepLines/>
      </w:pPr>
      <w:r w:rsidRPr="005B0796">
        <w:t xml:space="preserve">Items assessing tobacco usage were taken from the 2013 National Drug Strategy Survey </w:t>
      </w:r>
      <w:r>
        <w:rPr>
          <w:noProof/>
        </w:rPr>
        <w:t>(Australian Institute of Health and Welfare, 2014)</w:t>
      </w:r>
      <w:r>
        <w:t xml:space="preserve"> </w:t>
      </w:r>
      <w:r w:rsidRPr="005B0796">
        <w:t xml:space="preserve">and the 2010 Mental Health Prevalence Wellbeing Study </w:t>
      </w:r>
      <w:r>
        <w:rPr>
          <w:noProof/>
        </w:rPr>
        <w:t>(McFarlane et al., 2011)</w:t>
      </w:r>
      <w:r w:rsidRPr="005B0796">
        <w:t>. Participants were asked a series of questions about their past and present tobacco usage</w:t>
      </w:r>
      <w:r>
        <w:t>,</w:t>
      </w:r>
      <w:r w:rsidRPr="005B0796">
        <w:t xml:space="preserve"> including frequency of use, the ages they started and stopped smoking daily, and the types of tobacco products they had smoked in the last year.</w:t>
      </w:r>
    </w:p>
    <w:p w14:paraId="24A47435" w14:textId="77777777" w:rsidR="00B903A5" w:rsidRPr="005B0796" w:rsidRDefault="00B903A5" w:rsidP="00B903A5">
      <w:pPr>
        <w:pStyle w:val="Heading5"/>
        <w:rPr>
          <w:lang w:val="en-AU"/>
        </w:rPr>
      </w:pPr>
      <w:r w:rsidRPr="005B0796">
        <w:rPr>
          <w:lang w:val="en-AU"/>
        </w:rPr>
        <w:t>Drug use</w:t>
      </w:r>
    </w:p>
    <w:p w14:paraId="540AE6ED" w14:textId="77777777" w:rsidR="00B903A5" w:rsidRPr="005B0796" w:rsidRDefault="00B903A5" w:rsidP="00B903A5">
      <w:r w:rsidRPr="005B0796">
        <w:t xml:space="preserve">12-month and lifetime </w:t>
      </w:r>
      <w:r>
        <w:t>d</w:t>
      </w:r>
      <w:r w:rsidRPr="005B0796">
        <w:t xml:space="preserve">rug use in </w:t>
      </w:r>
      <w:r>
        <w:t xml:space="preserve">the </w:t>
      </w:r>
      <w:r w:rsidRPr="005B0796">
        <w:t>Transitioned ADF only was measured using modified Items from the 2013 National Drug Strategy Survey</w:t>
      </w:r>
      <w:r>
        <w:t xml:space="preserve"> </w:t>
      </w:r>
      <w:r>
        <w:rPr>
          <w:noProof/>
        </w:rPr>
        <w:t>(Australian Institute of Health and Welfare, 2014)</w:t>
      </w:r>
      <w:r w:rsidRPr="005B0796">
        <w:t>. Transitioned ADF were asked a series of questions about two categories of drugs</w:t>
      </w:r>
      <w:r>
        <w:t>:</w:t>
      </w:r>
      <w:r w:rsidRPr="005B0796">
        <w:t xml:space="preserve"> (1) illicit drugs (including meth/amphetamines, marijuana, heroin, methadone or buprenorphine, cocaine, hallucinogens, ecstasy, ketamine, GHB, inhalants, opiates, opioids) and (2) prescription drugs (including painkillers/analgesics, tranquilisers/sleeping pills) for non-medical purposes (where the term </w:t>
      </w:r>
      <w:r>
        <w:t>‘</w:t>
      </w:r>
      <w:r w:rsidRPr="005B0796">
        <w:t>non-medical purposes</w:t>
      </w:r>
      <w:r>
        <w:t>’</w:t>
      </w:r>
      <w:r w:rsidRPr="005B0796">
        <w:t xml:space="preserve"> was defined as either alone or with other drugs in order to induce or enhance a drug experience). Participants were asked </w:t>
      </w:r>
      <w:r>
        <w:t>whether</w:t>
      </w:r>
      <w:r w:rsidRPr="005B0796">
        <w:t xml:space="preserve"> they had ever used these drugs in their lifetime or the </w:t>
      </w:r>
      <w:r>
        <w:t>l</w:t>
      </w:r>
      <w:r w:rsidRPr="005B0796">
        <w:t xml:space="preserve">ast 12 months, and the age that they first used them. </w:t>
      </w:r>
    </w:p>
    <w:p w14:paraId="4149EB7D" w14:textId="77777777" w:rsidR="00B903A5" w:rsidRPr="005B0796" w:rsidRDefault="00B903A5" w:rsidP="00B903A5">
      <w:pPr>
        <w:pStyle w:val="Heading5"/>
        <w:rPr>
          <w:lang w:val="en-AU"/>
        </w:rPr>
      </w:pPr>
      <w:r w:rsidRPr="005B0796">
        <w:rPr>
          <w:lang w:val="en-AU"/>
        </w:rPr>
        <w:t>Functioning</w:t>
      </w:r>
    </w:p>
    <w:p w14:paraId="4BDBE8A3" w14:textId="77777777" w:rsidR="00B903A5" w:rsidRPr="005B0796" w:rsidRDefault="00B903A5" w:rsidP="00B903A5">
      <w:r w:rsidRPr="005B0796">
        <w:t xml:space="preserve">Functional impairment was assessed via the Sheehan Disability Scale </w:t>
      </w:r>
      <w:r>
        <w:rPr>
          <w:noProof/>
        </w:rPr>
        <w:t>(Sheehan, 1983)</w:t>
      </w:r>
      <w:r w:rsidRPr="005B0796">
        <w:t>, a 5-item self-report measure of disability due to mental health symptoms in three inter-related domains</w:t>
      </w:r>
      <w:r>
        <w:t>:</w:t>
      </w:r>
      <w:r w:rsidRPr="005B0796">
        <w:t xml:space="preserve"> work/school, social life and family life. The </w:t>
      </w:r>
      <w:r>
        <w:t>three</w:t>
      </w:r>
      <w:r w:rsidRPr="005B0796">
        <w:t xml:space="preserve"> items assessing impairment in the </w:t>
      </w:r>
      <w:r>
        <w:t>three</w:t>
      </w:r>
      <w:r w:rsidRPr="005B0796">
        <w:t xml:space="preserve"> domains are scored from 0 to 10 and can yield a total global functional impairment score of between 0 and 30. </w:t>
      </w:r>
    </w:p>
    <w:p w14:paraId="4E7880F7" w14:textId="77777777" w:rsidR="00B903A5" w:rsidRPr="005B0796" w:rsidRDefault="00B903A5" w:rsidP="00B903A5">
      <w:pPr>
        <w:pStyle w:val="Heading5"/>
        <w:rPr>
          <w:rFonts w:cs="Arial"/>
          <w:lang w:val="en-AU"/>
        </w:rPr>
      </w:pPr>
      <w:r w:rsidRPr="005B0796">
        <w:rPr>
          <w:lang w:val="en-AU"/>
        </w:rPr>
        <w:t>Getting help</w:t>
      </w:r>
    </w:p>
    <w:p w14:paraId="7FF87611" w14:textId="77777777" w:rsidR="00B903A5" w:rsidRPr="005B0796" w:rsidRDefault="00B903A5" w:rsidP="00B903A5">
      <w:r w:rsidRPr="005B0796">
        <w:t xml:space="preserve">This section of the survey was developed by key study investigators with specific knowledge and experience within the field. Other items were taken from the </w:t>
      </w:r>
      <w:r>
        <w:rPr>
          <w:noProof/>
        </w:rPr>
        <w:t>Australian Bureau of Statistics (2008)</w:t>
      </w:r>
      <w:r w:rsidRPr="005B0796">
        <w:t xml:space="preserve">, the CIDI 3.O </w:t>
      </w:r>
      <w:r>
        <w:rPr>
          <w:noProof/>
        </w:rPr>
        <w:t>(Haro et al., 2006)</w:t>
      </w:r>
      <w:r w:rsidRPr="005B0796">
        <w:t xml:space="preserve"> and the 2010 Mental Health Wellbeing Prevalence Study</w:t>
      </w:r>
      <w:r>
        <w:t xml:space="preserve"> </w:t>
      </w:r>
      <w:r w:rsidRPr="005B0796">
        <w:t xml:space="preserve">(MHPWS) </w:t>
      </w:r>
      <w:r>
        <w:rPr>
          <w:noProof/>
        </w:rPr>
        <w:t>(McFarlane et al., 2011)</w:t>
      </w:r>
      <w:r w:rsidRPr="005B0796">
        <w:t xml:space="preserve"> and modified by investigators to suit the current research.</w:t>
      </w:r>
    </w:p>
    <w:p w14:paraId="79D6716B" w14:textId="77777777" w:rsidR="00B903A5" w:rsidRPr="005B0796" w:rsidRDefault="00B903A5" w:rsidP="00B903A5">
      <w:pPr>
        <w:pStyle w:val="Bullet"/>
        <w:numPr>
          <w:ilvl w:val="0"/>
          <w:numId w:val="3"/>
        </w:numPr>
        <w:ind w:left="360"/>
        <w:rPr>
          <w:lang w:eastAsia="en-AU"/>
        </w:rPr>
      </w:pPr>
      <w:r w:rsidRPr="005B0796">
        <w:rPr>
          <w:lang w:eastAsia="en-AU"/>
        </w:rPr>
        <w:t>Means of informing/assessing and maintaining mental health</w:t>
      </w:r>
    </w:p>
    <w:p w14:paraId="32CA10D4" w14:textId="77777777" w:rsidR="00B903A5" w:rsidRPr="005B0796" w:rsidRDefault="00B903A5" w:rsidP="00B903A5">
      <w:pPr>
        <w:ind w:left="360"/>
        <w:rPr>
          <w:lang w:eastAsia="en-AU"/>
        </w:rPr>
      </w:pPr>
      <w:r w:rsidRPr="005B0796">
        <w:rPr>
          <w:lang w:eastAsia="en-AU"/>
        </w:rPr>
        <w:t xml:space="preserve">The first series of questions looked at specific help-seeking strategies utilised by participants to inform/assess and maintain their mental health in the </w:t>
      </w:r>
      <w:r>
        <w:rPr>
          <w:lang w:eastAsia="en-AU"/>
        </w:rPr>
        <w:t>l</w:t>
      </w:r>
      <w:r w:rsidRPr="005B0796">
        <w:rPr>
          <w:lang w:eastAsia="en-AU"/>
        </w:rPr>
        <w:t xml:space="preserve">ast 12 months, and whether or not they found these strategies to be helpful. The 32 items looking at ways in which people informed/assessed their mental health were developed specifically for the study by researchers. The </w:t>
      </w:r>
      <w:r>
        <w:rPr>
          <w:lang w:eastAsia="en-AU"/>
        </w:rPr>
        <w:t>four</w:t>
      </w:r>
      <w:r w:rsidRPr="005B0796">
        <w:rPr>
          <w:lang w:eastAsia="en-AU"/>
        </w:rPr>
        <w:t xml:space="preserve"> items looking at the ways in which people maintained their mental health were taken from the CIDI 3.0 </w:t>
      </w:r>
      <w:r>
        <w:rPr>
          <w:noProof/>
          <w:lang w:eastAsia="en-AU"/>
        </w:rPr>
        <w:t>(Haro et al., 2006)</w:t>
      </w:r>
      <w:r w:rsidRPr="005B0796">
        <w:rPr>
          <w:lang w:eastAsia="en-AU"/>
        </w:rPr>
        <w:t>.</w:t>
      </w:r>
    </w:p>
    <w:p w14:paraId="0CF471B5" w14:textId="77777777" w:rsidR="00B903A5" w:rsidRPr="005B0796" w:rsidRDefault="00B903A5" w:rsidP="00B903A5">
      <w:pPr>
        <w:ind w:left="360"/>
        <w:rPr>
          <w:lang w:eastAsia="en-AU"/>
        </w:rPr>
      </w:pPr>
      <w:r w:rsidRPr="005B0796">
        <w:rPr>
          <w:lang w:eastAsia="en-AU"/>
        </w:rPr>
        <w:t xml:space="preserve">A single item asked participants to indicate their preferred means of receiving information about their mental health. Options included </w:t>
      </w:r>
      <w:r>
        <w:rPr>
          <w:lang w:eastAsia="en-AU"/>
        </w:rPr>
        <w:t>by</w:t>
      </w:r>
      <w:r w:rsidRPr="005B0796">
        <w:rPr>
          <w:lang w:eastAsia="en-AU"/>
        </w:rPr>
        <w:t xml:space="preserve"> telephone, </w:t>
      </w:r>
      <w:r>
        <w:rPr>
          <w:lang w:eastAsia="en-AU"/>
        </w:rPr>
        <w:t xml:space="preserve">over </w:t>
      </w:r>
      <w:r w:rsidRPr="005B0796">
        <w:rPr>
          <w:lang w:eastAsia="en-AU"/>
        </w:rPr>
        <w:t xml:space="preserve">the </w:t>
      </w:r>
      <w:r>
        <w:rPr>
          <w:lang w:eastAsia="en-AU"/>
        </w:rPr>
        <w:t>internet</w:t>
      </w:r>
      <w:r w:rsidRPr="005B0796">
        <w:rPr>
          <w:lang w:eastAsia="en-AU"/>
        </w:rPr>
        <w:t xml:space="preserve"> </w:t>
      </w:r>
      <w:r>
        <w:rPr>
          <w:lang w:eastAsia="en-AU"/>
        </w:rPr>
        <w:t>and</w:t>
      </w:r>
      <w:r w:rsidRPr="005B0796">
        <w:rPr>
          <w:lang w:eastAsia="en-AU"/>
        </w:rPr>
        <w:t xml:space="preserve"> in person (face to face). This item was developed by researchers for use in the study.</w:t>
      </w:r>
    </w:p>
    <w:p w14:paraId="18BAD452" w14:textId="77777777" w:rsidR="00B903A5" w:rsidRPr="005B0796" w:rsidRDefault="00B903A5" w:rsidP="00B903A5">
      <w:pPr>
        <w:pStyle w:val="Bullet"/>
        <w:numPr>
          <w:ilvl w:val="0"/>
          <w:numId w:val="3"/>
        </w:numPr>
        <w:ind w:left="360"/>
        <w:rPr>
          <w:lang w:eastAsia="en-AU"/>
        </w:rPr>
      </w:pPr>
      <w:r w:rsidRPr="005B0796">
        <w:rPr>
          <w:lang w:eastAsia="en-AU"/>
        </w:rPr>
        <w:t>Barriers and stigmas to care</w:t>
      </w:r>
    </w:p>
    <w:p w14:paraId="526FFDAB" w14:textId="77777777" w:rsidR="00B903A5" w:rsidRPr="005B0796" w:rsidRDefault="00B903A5" w:rsidP="00B903A5">
      <w:pPr>
        <w:ind w:left="360"/>
        <w:rPr>
          <w:lang w:eastAsia="en-AU"/>
        </w:rPr>
      </w:pPr>
      <w:r w:rsidRPr="005B0796">
        <w:rPr>
          <w:lang w:eastAsia="en-AU"/>
        </w:rPr>
        <w:t xml:space="preserve">Participants were asked to rate on a 5-point scale the degree to which a list of ‘concerns’ might affect their decision to seek help. Anchors ranged from ‘strongly disagree’ to ‘strongly agree’. Items in this section were taken from the 2010 Mental Health Prevalence Wellbeing Study </w:t>
      </w:r>
      <w:r>
        <w:rPr>
          <w:noProof/>
          <w:lang w:eastAsia="en-AU"/>
        </w:rPr>
        <w:t>(McFarlane et al., 2011)</w:t>
      </w:r>
      <w:r w:rsidRPr="005B0796">
        <w:rPr>
          <w:lang w:eastAsia="en-AU"/>
        </w:rPr>
        <w:t xml:space="preserve">, the Canadian Air Forces Recruit Mental Health Service Use Questionnaire </w:t>
      </w:r>
      <w:r>
        <w:rPr>
          <w:noProof/>
          <w:lang w:eastAsia="en-AU"/>
        </w:rPr>
        <w:t>(Fikretoglu et al., 2014)</w:t>
      </w:r>
      <w:r w:rsidRPr="005B0796">
        <w:rPr>
          <w:lang w:eastAsia="en-AU"/>
        </w:rPr>
        <w:t xml:space="preserve"> and the Solider Wellbeing Survey </w:t>
      </w:r>
      <w:r>
        <w:rPr>
          <w:noProof/>
          <w:lang w:eastAsia="en-AU"/>
        </w:rPr>
        <w:t>(Riviere, 2011; Thomas, 2010)</w:t>
      </w:r>
      <w:r>
        <w:rPr>
          <w:lang w:eastAsia="en-AU"/>
        </w:rPr>
        <w:t>,</w:t>
      </w:r>
      <w:r w:rsidRPr="005B0796">
        <w:rPr>
          <w:lang w:eastAsia="en-AU"/>
        </w:rPr>
        <w:t xml:space="preserve"> with several additions by investigators. Examples of items include ‘I wouldn’t know where to get help’, ‘it’s too expensive’ and ‘I don’t trust mental health professionals’. </w:t>
      </w:r>
    </w:p>
    <w:p w14:paraId="2D636596" w14:textId="77777777" w:rsidR="00B903A5" w:rsidRPr="005B0796" w:rsidRDefault="00B903A5" w:rsidP="00B903A5">
      <w:pPr>
        <w:ind w:left="360"/>
      </w:pPr>
      <w:r w:rsidRPr="005B0796">
        <w:t xml:space="preserve">This section of the survey also included a question that tapped into unmet needs for help. This question targeted individuals who expressed concerns about their mental health but never sought help. Participants were presented with a list of </w:t>
      </w:r>
      <w:r>
        <w:t>seven</w:t>
      </w:r>
      <w:r w:rsidRPr="005B0796">
        <w:t xml:space="preserve"> barriers and asked to indicate how much they disagreed </w:t>
      </w:r>
      <w:r>
        <w:t xml:space="preserve">or agreed </w:t>
      </w:r>
      <w:r w:rsidRPr="005B0796">
        <w:t xml:space="preserve">with each one on a 5-point scale ranging from ‘strongly disagree’ to ‘strongly agree’. Examples of statements include ‘I can still function effectively’ and ‘I didn’t know where to get help’. </w:t>
      </w:r>
    </w:p>
    <w:p w14:paraId="593CE483" w14:textId="77777777" w:rsidR="00B903A5" w:rsidRPr="005B0796" w:rsidRDefault="00B903A5" w:rsidP="00B903A5">
      <w:pPr>
        <w:ind w:left="360"/>
      </w:pPr>
      <w:r w:rsidRPr="005B0796">
        <w:t xml:space="preserve">Items addressing barriers to care in both of sets of questions listed above fell into the following categories: </w:t>
      </w:r>
    </w:p>
    <w:p w14:paraId="10175833" w14:textId="77777777" w:rsidR="00B903A5" w:rsidRPr="005B0796" w:rsidRDefault="00B903A5" w:rsidP="00B903A5">
      <w:pPr>
        <w:pStyle w:val="Dash"/>
        <w:spacing w:after="0"/>
        <w:rPr>
          <w:lang w:eastAsia="en-AU"/>
        </w:rPr>
      </w:pPr>
      <w:r w:rsidRPr="005B0796">
        <w:rPr>
          <w:lang w:eastAsia="en-AU"/>
        </w:rPr>
        <w:t>perceived control</w:t>
      </w:r>
    </w:p>
    <w:p w14:paraId="6A9F5180" w14:textId="77777777" w:rsidR="00B903A5" w:rsidRPr="005B0796" w:rsidRDefault="00B903A5" w:rsidP="00B903A5">
      <w:pPr>
        <w:pStyle w:val="Dash"/>
        <w:spacing w:after="0"/>
        <w:rPr>
          <w:lang w:eastAsia="en-AU"/>
        </w:rPr>
      </w:pPr>
      <w:r w:rsidRPr="005B0796">
        <w:rPr>
          <w:lang w:eastAsia="en-AU"/>
        </w:rPr>
        <w:t>self-stigma</w:t>
      </w:r>
    </w:p>
    <w:p w14:paraId="7D068572" w14:textId="77777777" w:rsidR="00B903A5" w:rsidRPr="005B0796" w:rsidRDefault="00B903A5" w:rsidP="00B903A5">
      <w:pPr>
        <w:pStyle w:val="Dash"/>
        <w:spacing w:after="0"/>
        <w:rPr>
          <w:lang w:eastAsia="en-AU"/>
        </w:rPr>
      </w:pPr>
      <w:r w:rsidRPr="005B0796">
        <w:rPr>
          <w:lang w:eastAsia="en-AU"/>
        </w:rPr>
        <w:t>public stigma</w:t>
      </w:r>
    </w:p>
    <w:p w14:paraId="7E3A6078" w14:textId="77777777" w:rsidR="00B903A5" w:rsidRPr="005B0796" w:rsidRDefault="00B903A5" w:rsidP="00B903A5">
      <w:pPr>
        <w:pStyle w:val="Dash"/>
        <w:spacing w:after="0"/>
        <w:rPr>
          <w:lang w:eastAsia="en-AU"/>
        </w:rPr>
      </w:pPr>
      <w:r w:rsidRPr="005B0796">
        <w:rPr>
          <w:lang w:eastAsia="en-AU"/>
        </w:rPr>
        <w:t>perceived stigma</w:t>
      </w:r>
    </w:p>
    <w:p w14:paraId="2093D7C1" w14:textId="77777777" w:rsidR="00B903A5" w:rsidRPr="005B0796" w:rsidRDefault="00B903A5" w:rsidP="00B903A5">
      <w:pPr>
        <w:pStyle w:val="Dash"/>
        <w:spacing w:after="0"/>
        <w:rPr>
          <w:lang w:eastAsia="en-AU"/>
        </w:rPr>
      </w:pPr>
      <w:r w:rsidRPr="005B0796">
        <w:rPr>
          <w:lang w:eastAsia="en-AU"/>
        </w:rPr>
        <w:t>mental health literacy</w:t>
      </w:r>
    </w:p>
    <w:p w14:paraId="62C8B9D7" w14:textId="77777777" w:rsidR="00B903A5" w:rsidRPr="005B0796" w:rsidRDefault="00B903A5" w:rsidP="00B903A5">
      <w:pPr>
        <w:pStyle w:val="Dash"/>
        <w:spacing w:after="0"/>
        <w:rPr>
          <w:lang w:eastAsia="en-AU"/>
        </w:rPr>
      </w:pPr>
      <w:r w:rsidRPr="005B0796">
        <w:rPr>
          <w:lang w:eastAsia="en-AU"/>
        </w:rPr>
        <w:t>physical barrier to care</w:t>
      </w:r>
    </w:p>
    <w:p w14:paraId="498E45D2" w14:textId="77777777" w:rsidR="00B903A5" w:rsidRPr="005B0796" w:rsidRDefault="00B903A5" w:rsidP="00B903A5">
      <w:pPr>
        <w:pStyle w:val="Dash"/>
        <w:rPr>
          <w:lang w:eastAsia="en-AU"/>
        </w:rPr>
      </w:pPr>
      <w:r w:rsidRPr="005B0796">
        <w:rPr>
          <w:lang w:eastAsia="en-AU"/>
        </w:rPr>
        <w:t>career barriers</w:t>
      </w:r>
    </w:p>
    <w:p w14:paraId="72196586" w14:textId="77777777" w:rsidR="00B903A5" w:rsidRPr="005B0796" w:rsidRDefault="00B903A5" w:rsidP="00B903A5">
      <w:pPr>
        <w:pStyle w:val="Bullet"/>
        <w:numPr>
          <w:ilvl w:val="0"/>
          <w:numId w:val="3"/>
        </w:numPr>
        <w:ind w:left="360"/>
        <w:rPr>
          <w:lang w:eastAsia="en-AU"/>
        </w:rPr>
      </w:pPr>
      <w:r w:rsidRPr="005B0796">
        <w:rPr>
          <w:lang w:eastAsia="en-AU"/>
        </w:rPr>
        <w:t>Concerns about mental health</w:t>
      </w:r>
    </w:p>
    <w:p w14:paraId="5358B685" w14:textId="77777777" w:rsidR="00B903A5" w:rsidRPr="005B0796" w:rsidRDefault="00B903A5" w:rsidP="00B903A5">
      <w:pPr>
        <w:ind w:left="360"/>
        <w:rPr>
          <w:lang w:eastAsia="en-AU"/>
        </w:rPr>
      </w:pPr>
      <w:r w:rsidRPr="005B0796">
        <w:rPr>
          <w:lang w:eastAsia="en-AU"/>
        </w:rPr>
        <w:t>Items addressing participants’ concerns about their mental health were developed specifically for the study by investigators.</w:t>
      </w:r>
    </w:p>
    <w:p w14:paraId="0D5EFB70" w14:textId="77777777" w:rsidR="00B903A5" w:rsidRPr="005B0796" w:rsidRDefault="00B903A5" w:rsidP="00B903A5">
      <w:pPr>
        <w:pStyle w:val="Bullet"/>
        <w:numPr>
          <w:ilvl w:val="0"/>
          <w:numId w:val="3"/>
        </w:numPr>
        <w:ind w:left="360"/>
        <w:rPr>
          <w:lang w:eastAsia="en-AU"/>
        </w:rPr>
      </w:pPr>
      <w:r w:rsidRPr="005B0796">
        <w:rPr>
          <w:lang w:eastAsia="en-AU"/>
        </w:rPr>
        <w:t xml:space="preserve">Assistance with mental health </w:t>
      </w:r>
    </w:p>
    <w:p w14:paraId="0FE0B97A" w14:textId="77777777" w:rsidR="00B903A5" w:rsidRPr="005B0796" w:rsidRDefault="00B903A5" w:rsidP="00B903A5">
      <w:pPr>
        <w:ind w:left="360"/>
        <w:rPr>
          <w:lang w:eastAsia="en-AU"/>
        </w:rPr>
      </w:pPr>
      <w:r w:rsidRPr="005B0796">
        <w:rPr>
          <w:lang w:eastAsia="en-AU"/>
        </w:rPr>
        <w:t xml:space="preserve">Items addressing assistance sought for mental health were taken from the 2010 Mental Health Prevalence Wellbeing Study </w:t>
      </w:r>
      <w:r>
        <w:rPr>
          <w:noProof/>
          <w:lang w:eastAsia="en-AU"/>
        </w:rPr>
        <w:t>(McFarlane et al., 2011)</w:t>
      </w:r>
      <w:r w:rsidRPr="005B0796">
        <w:rPr>
          <w:lang w:eastAsia="en-AU"/>
        </w:rPr>
        <w:t>.</w:t>
      </w:r>
    </w:p>
    <w:p w14:paraId="3B38433B" w14:textId="77777777" w:rsidR="00B903A5" w:rsidRPr="005B0796" w:rsidRDefault="00B903A5" w:rsidP="00B903A5">
      <w:pPr>
        <w:pStyle w:val="Bullet"/>
        <w:numPr>
          <w:ilvl w:val="0"/>
          <w:numId w:val="3"/>
        </w:numPr>
        <w:ind w:left="360"/>
        <w:rPr>
          <w:lang w:eastAsia="en-AU"/>
        </w:rPr>
      </w:pPr>
      <w:r w:rsidRPr="005B0796">
        <w:rPr>
          <w:lang w:eastAsia="en-AU"/>
        </w:rPr>
        <w:t>Help received/pathways into care</w:t>
      </w:r>
    </w:p>
    <w:p w14:paraId="7877F3F7" w14:textId="77777777" w:rsidR="00B903A5" w:rsidRPr="005B0796" w:rsidRDefault="00B903A5" w:rsidP="00B903A5">
      <w:pPr>
        <w:ind w:left="360"/>
        <w:rPr>
          <w:lang w:eastAsia="en-AU"/>
        </w:rPr>
      </w:pPr>
      <w:r w:rsidRPr="005B0796">
        <w:rPr>
          <w:lang w:eastAsia="en-AU"/>
        </w:rPr>
        <w:t xml:space="preserve">Participants were asked whether they had ever sought or received help from the following list </w:t>
      </w:r>
      <w:r>
        <w:rPr>
          <w:lang w:eastAsia="en-AU"/>
        </w:rPr>
        <w:t xml:space="preserve">of </w:t>
      </w:r>
      <w:r w:rsidRPr="005B0796">
        <w:rPr>
          <w:lang w:eastAsia="en-AU"/>
        </w:rPr>
        <w:t>doctors or professionals for their own mental health in the past 12 months or outside the past 12 months:</w:t>
      </w:r>
    </w:p>
    <w:p w14:paraId="2CD73A26" w14:textId="77777777" w:rsidR="00B903A5" w:rsidRPr="005B0796" w:rsidRDefault="00B903A5" w:rsidP="00B903A5">
      <w:pPr>
        <w:pStyle w:val="Dash"/>
        <w:spacing w:after="0"/>
        <w:rPr>
          <w:lang w:eastAsia="en-AU"/>
        </w:rPr>
      </w:pPr>
      <w:r w:rsidRPr="005B0796">
        <w:rPr>
          <w:lang w:eastAsia="en-AU"/>
        </w:rPr>
        <w:t>general practitioner/medical officer</w:t>
      </w:r>
    </w:p>
    <w:p w14:paraId="57DEA18A" w14:textId="77777777" w:rsidR="00B903A5" w:rsidRPr="005B0796" w:rsidRDefault="00B903A5" w:rsidP="00B903A5">
      <w:pPr>
        <w:pStyle w:val="Dash"/>
        <w:spacing w:after="0"/>
        <w:rPr>
          <w:lang w:eastAsia="en-AU"/>
        </w:rPr>
      </w:pPr>
      <w:r w:rsidRPr="005B0796">
        <w:rPr>
          <w:lang w:eastAsia="en-AU"/>
        </w:rPr>
        <w:t>psychologist</w:t>
      </w:r>
    </w:p>
    <w:p w14:paraId="12E80DE4" w14:textId="77777777" w:rsidR="00B903A5" w:rsidRPr="005B0796" w:rsidRDefault="00B903A5" w:rsidP="00B903A5">
      <w:pPr>
        <w:pStyle w:val="Dash"/>
        <w:spacing w:after="0"/>
        <w:rPr>
          <w:lang w:eastAsia="en-AU"/>
        </w:rPr>
      </w:pPr>
      <w:r w:rsidRPr="005B0796">
        <w:rPr>
          <w:lang w:eastAsia="en-AU"/>
        </w:rPr>
        <w:t>psychiatrist</w:t>
      </w:r>
    </w:p>
    <w:p w14:paraId="6B69A6BD" w14:textId="77777777" w:rsidR="00B903A5" w:rsidRPr="005B0796" w:rsidRDefault="00B903A5" w:rsidP="00B903A5">
      <w:pPr>
        <w:pStyle w:val="Dash"/>
        <w:rPr>
          <w:lang w:eastAsia="en-AU"/>
        </w:rPr>
      </w:pPr>
      <w:r w:rsidRPr="005B0796">
        <w:rPr>
          <w:lang w:eastAsia="en-AU"/>
        </w:rPr>
        <w:t>other mental health professional</w:t>
      </w:r>
    </w:p>
    <w:p w14:paraId="4F2E825E" w14:textId="77777777" w:rsidR="00B903A5" w:rsidRPr="005B0796" w:rsidRDefault="00B903A5" w:rsidP="00B903A5">
      <w:pPr>
        <w:ind w:left="360"/>
        <w:rPr>
          <w:lang w:eastAsia="en-AU"/>
        </w:rPr>
      </w:pPr>
      <w:r w:rsidRPr="005B0796">
        <w:rPr>
          <w:lang w:eastAsia="en-AU"/>
        </w:rPr>
        <w:t xml:space="preserve">For each of the professionals listed above, participants were asked to indicate what services they received, whether they were satisfied with the services and what compensation (if any) was received. These items were taken from the CIDI </w:t>
      </w:r>
      <w:r>
        <w:rPr>
          <w:noProof/>
          <w:lang w:eastAsia="en-AU"/>
        </w:rPr>
        <w:t>(Haro et al., 2006)</w:t>
      </w:r>
      <w:r w:rsidRPr="005B0796">
        <w:rPr>
          <w:lang w:eastAsia="en-AU"/>
        </w:rPr>
        <w:t xml:space="preserve"> and adapted for use in the current study. </w:t>
      </w:r>
    </w:p>
    <w:p w14:paraId="464C2498" w14:textId="77777777" w:rsidR="00B903A5" w:rsidRPr="005B0796" w:rsidRDefault="00B903A5" w:rsidP="00B903A5">
      <w:pPr>
        <w:ind w:left="360"/>
        <w:rPr>
          <w:lang w:eastAsia="en-AU"/>
        </w:rPr>
      </w:pPr>
      <w:r w:rsidRPr="005B0796">
        <w:rPr>
          <w:lang w:eastAsia="en-AU"/>
        </w:rPr>
        <w:t>Participants were also asked whether they had ever utilised the following services in the past 12 months or outside the past 12 months:</w:t>
      </w:r>
    </w:p>
    <w:p w14:paraId="7224A9E4" w14:textId="77777777" w:rsidR="00B903A5" w:rsidRPr="005B0796" w:rsidRDefault="00B903A5" w:rsidP="00B903A5">
      <w:pPr>
        <w:pStyle w:val="Dash"/>
        <w:spacing w:after="0"/>
        <w:rPr>
          <w:lang w:eastAsia="en-AU"/>
        </w:rPr>
      </w:pPr>
      <w:r w:rsidRPr="005B0796">
        <w:rPr>
          <w:lang w:eastAsia="en-AU"/>
        </w:rPr>
        <w:t>inpatient treatment, hospital admission</w:t>
      </w:r>
    </w:p>
    <w:p w14:paraId="03968565" w14:textId="77777777" w:rsidR="00B903A5" w:rsidRPr="005B0796" w:rsidRDefault="00B903A5" w:rsidP="00B903A5">
      <w:pPr>
        <w:pStyle w:val="Dash"/>
        <w:spacing w:after="0"/>
        <w:rPr>
          <w:lang w:eastAsia="en-AU"/>
        </w:rPr>
      </w:pPr>
      <w:r w:rsidRPr="005B0796">
        <w:rPr>
          <w:lang w:eastAsia="en-AU"/>
        </w:rPr>
        <w:t>hospital-based PTSD program</w:t>
      </w:r>
    </w:p>
    <w:p w14:paraId="40882705" w14:textId="77777777" w:rsidR="00B903A5" w:rsidRPr="005B0796" w:rsidRDefault="00B903A5" w:rsidP="00B903A5">
      <w:pPr>
        <w:pStyle w:val="Dash"/>
        <w:rPr>
          <w:lang w:eastAsia="en-AU"/>
        </w:rPr>
      </w:pPr>
      <w:r w:rsidRPr="005B0796">
        <w:rPr>
          <w:lang w:eastAsia="en-AU"/>
        </w:rPr>
        <w:t>residential alcohol and other drug program</w:t>
      </w:r>
    </w:p>
    <w:p w14:paraId="424DAE8D" w14:textId="77777777" w:rsidR="00B903A5" w:rsidRPr="005B0796" w:rsidRDefault="00B903A5" w:rsidP="00B903A5">
      <w:pPr>
        <w:ind w:left="360"/>
        <w:rPr>
          <w:lang w:eastAsia="en-AU"/>
        </w:rPr>
      </w:pPr>
      <w:r w:rsidRPr="005B0796">
        <w:rPr>
          <w:lang w:eastAsia="en-AU"/>
        </w:rPr>
        <w:t xml:space="preserve">For each of the treatments/programs listed above, participants were asked to indicate whether they were satisfied with the service and how the service was paid for. These items were taken from the CIDI </w:t>
      </w:r>
      <w:r>
        <w:rPr>
          <w:noProof/>
          <w:lang w:eastAsia="en-AU"/>
        </w:rPr>
        <w:t>(Haro et al., 2006)</w:t>
      </w:r>
      <w:r w:rsidRPr="005B0796">
        <w:rPr>
          <w:lang w:eastAsia="en-AU"/>
        </w:rPr>
        <w:t xml:space="preserve"> and adapted for use in the current study. </w:t>
      </w:r>
    </w:p>
    <w:p w14:paraId="392E38DB" w14:textId="77777777" w:rsidR="00B903A5" w:rsidRPr="005B0796" w:rsidRDefault="00B903A5" w:rsidP="00B903A5">
      <w:pPr>
        <w:pStyle w:val="Bullet"/>
        <w:numPr>
          <w:ilvl w:val="0"/>
          <w:numId w:val="3"/>
        </w:numPr>
        <w:ind w:left="360"/>
        <w:rPr>
          <w:lang w:eastAsia="en-AU"/>
        </w:rPr>
      </w:pPr>
      <w:r w:rsidRPr="005B0796">
        <w:rPr>
          <w:lang w:eastAsia="en-AU"/>
        </w:rPr>
        <w:t>Satisfaction with mental health services received</w:t>
      </w:r>
    </w:p>
    <w:p w14:paraId="3D47F709" w14:textId="77777777" w:rsidR="00B903A5" w:rsidRPr="005B0796" w:rsidRDefault="00B903A5" w:rsidP="00B903A5">
      <w:pPr>
        <w:ind w:left="360"/>
        <w:rPr>
          <w:lang w:eastAsia="en-AU"/>
        </w:rPr>
      </w:pPr>
      <w:r w:rsidRPr="005B0796">
        <w:rPr>
          <w:lang w:eastAsia="en-AU"/>
        </w:rPr>
        <w:t xml:space="preserve">Participants were asked to rate their satisfaction/dissatisfaction with a series of factors associated with receiving mental health care/services. Items included accessibility, cost, location, effectiveness, health professional competence, health professional friendliness, convenience, confidentiality and Medicare cap. Participants were required to provide answers in relation to their experiences in the past 12 months only. </w:t>
      </w:r>
    </w:p>
    <w:p w14:paraId="0CDCE712" w14:textId="77777777" w:rsidR="00B903A5" w:rsidRPr="005B0796" w:rsidRDefault="00B903A5" w:rsidP="00B903A5">
      <w:pPr>
        <w:pStyle w:val="Bullet"/>
        <w:keepNext/>
        <w:numPr>
          <w:ilvl w:val="0"/>
          <w:numId w:val="3"/>
        </w:numPr>
        <w:ind w:left="360"/>
        <w:rPr>
          <w:lang w:eastAsia="en-AU"/>
        </w:rPr>
      </w:pPr>
      <w:r w:rsidRPr="005B0796">
        <w:rPr>
          <w:lang w:eastAsia="en-AU"/>
        </w:rPr>
        <w:t>Doctor</w:t>
      </w:r>
      <w:r>
        <w:rPr>
          <w:lang w:eastAsia="en-AU"/>
        </w:rPr>
        <w:t>-</w:t>
      </w:r>
      <w:r w:rsidRPr="005B0796">
        <w:rPr>
          <w:lang w:eastAsia="en-AU"/>
        </w:rPr>
        <w:t>diagnosed mental health conditions</w:t>
      </w:r>
    </w:p>
    <w:p w14:paraId="11994601" w14:textId="77777777" w:rsidR="00B903A5" w:rsidRPr="005B0796" w:rsidRDefault="00B903A5" w:rsidP="00B903A5">
      <w:pPr>
        <w:ind w:left="360"/>
        <w:rPr>
          <w:lang w:eastAsia="en-AU"/>
        </w:rPr>
      </w:pPr>
      <w:r w:rsidRPr="005B0796">
        <w:rPr>
          <w:lang w:eastAsia="en-AU"/>
        </w:rPr>
        <w:t xml:space="preserve">This section of the survey asked participants about mental health problems or conditions that they had ever been diagnosed with or treated for by a medical doctor over their lifetime. If a participant said yes to any of the items listed, they were also asked to specify the year they were first diagnosed, whether they had been treated by a doctor for the condition in the past year, and finally whether they had taken medication for the condition in the past month. Items in this section were </w:t>
      </w:r>
      <w:r w:rsidR="008A5AB0">
        <w:rPr>
          <w:lang w:eastAsia="en-AU"/>
        </w:rPr>
        <w:t xml:space="preserve">derived from the </w:t>
      </w:r>
      <w:r w:rsidRPr="005B0796">
        <w:rPr>
          <w:lang w:eastAsia="en-AU"/>
        </w:rPr>
        <w:t>Australian Gulf War Veterans</w:t>
      </w:r>
      <w:r>
        <w:rPr>
          <w:lang w:eastAsia="en-AU"/>
        </w:rPr>
        <w:t>’</w:t>
      </w:r>
      <w:r w:rsidRPr="005B0796">
        <w:rPr>
          <w:lang w:eastAsia="en-AU"/>
        </w:rPr>
        <w:t xml:space="preserve"> Health Study 2011</w:t>
      </w:r>
      <w:r>
        <w:rPr>
          <w:lang w:eastAsia="en-AU"/>
        </w:rPr>
        <w:t xml:space="preserve"> </w:t>
      </w:r>
      <w:r w:rsidRPr="005B0796">
        <w:rPr>
          <w:lang w:eastAsia="en-AU"/>
        </w:rPr>
        <w:t xml:space="preserve">follow-up </w:t>
      </w:r>
      <w:r>
        <w:rPr>
          <w:noProof/>
          <w:lang w:eastAsia="en-AU"/>
        </w:rPr>
        <w:t>(Sim et al., 2015)</w:t>
      </w:r>
      <w:r w:rsidRPr="005B0796">
        <w:rPr>
          <w:lang w:eastAsia="en-AU"/>
        </w:rPr>
        <w:t>.</w:t>
      </w:r>
    </w:p>
    <w:p w14:paraId="401F4B23" w14:textId="77777777" w:rsidR="00B903A5" w:rsidRPr="005B0796" w:rsidRDefault="00B903A5" w:rsidP="00B903A5">
      <w:pPr>
        <w:pStyle w:val="Bullet"/>
        <w:numPr>
          <w:ilvl w:val="0"/>
          <w:numId w:val="3"/>
        </w:numPr>
        <w:ind w:left="360"/>
        <w:rPr>
          <w:lang w:eastAsia="en-AU"/>
        </w:rPr>
      </w:pPr>
      <w:r w:rsidRPr="005B0796">
        <w:rPr>
          <w:lang w:eastAsia="en-AU"/>
        </w:rPr>
        <w:t>Undiagnosed mental health conditions</w:t>
      </w:r>
    </w:p>
    <w:p w14:paraId="0B924F17" w14:textId="77777777" w:rsidR="00B903A5" w:rsidRPr="005B0796" w:rsidRDefault="00B903A5" w:rsidP="00B903A5">
      <w:pPr>
        <w:ind w:left="360"/>
        <w:rPr>
          <w:lang w:eastAsia="en-AU"/>
        </w:rPr>
      </w:pPr>
      <w:r w:rsidRPr="005B0796">
        <w:rPr>
          <w:lang w:eastAsia="en-AU"/>
        </w:rPr>
        <w:t>Participants were presented with a list of mental disorders and asked to indicate whether they currently had (or ever had) each disorder without having been diagnosed or treated for it. Conditions included alcohol abuse or dependence, drug abuse or dependency, stress or anxiety, depression, PTSD. This question was developed by researchers at CTSS to tap into undiagnosed mental conditions.</w:t>
      </w:r>
    </w:p>
    <w:p w14:paraId="06F0E2E0" w14:textId="77777777" w:rsidR="00B903A5" w:rsidRPr="005B0796" w:rsidRDefault="00B903A5" w:rsidP="00B903A5">
      <w:pPr>
        <w:pStyle w:val="Bullet"/>
        <w:numPr>
          <w:ilvl w:val="0"/>
          <w:numId w:val="3"/>
        </w:numPr>
        <w:ind w:left="360"/>
        <w:rPr>
          <w:rFonts w:asciiTheme="minorHAnsi" w:hAnsiTheme="minorHAnsi"/>
        </w:rPr>
      </w:pPr>
      <w:r w:rsidRPr="005B0796">
        <w:t xml:space="preserve">Help seeking latency </w:t>
      </w:r>
    </w:p>
    <w:p w14:paraId="623C63B8" w14:textId="77777777" w:rsidR="00B903A5" w:rsidRPr="005B0796" w:rsidRDefault="00B903A5" w:rsidP="00B903A5">
      <w:pPr>
        <w:ind w:left="360"/>
        <w:rPr>
          <w:lang w:eastAsia="en-AU"/>
        </w:rPr>
      </w:pPr>
      <w:r w:rsidRPr="005B0796">
        <w:rPr>
          <w:lang w:eastAsia="en-AU"/>
        </w:rPr>
        <w:t xml:space="preserve">In order to assess help seeking latency, participants were asked to indicate when they first sought help for their own mental health. Options included ‘within 3 months of becoming concerned’ or ‘within 1 year of becoming concerned’. Alternatively, participants were able to specify the number of years since becoming concerned. This item was developed by researchers for use in the study. </w:t>
      </w:r>
    </w:p>
    <w:p w14:paraId="41CA7A76" w14:textId="77777777" w:rsidR="00B903A5" w:rsidRPr="005B0796" w:rsidRDefault="00B903A5" w:rsidP="00B903A5">
      <w:pPr>
        <w:pStyle w:val="Bullet"/>
        <w:numPr>
          <w:ilvl w:val="0"/>
          <w:numId w:val="3"/>
        </w:numPr>
        <w:ind w:left="360"/>
        <w:rPr>
          <w:lang w:eastAsia="en-AU"/>
        </w:rPr>
      </w:pPr>
      <w:r w:rsidRPr="005B0796">
        <w:rPr>
          <w:lang w:eastAsia="en-AU"/>
        </w:rPr>
        <w:t>Recommendation to seek help/assistance with seeking help</w:t>
      </w:r>
    </w:p>
    <w:p w14:paraId="0FC8DAEF" w14:textId="77777777" w:rsidR="00B903A5" w:rsidRPr="005B0796" w:rsidRDefault="00B903A5" w:rsidP="00B903A5">
      <w:pPr>
        <w:ind w:left="360"/>
        <w:rPr>
          <w:lang w:eastAsia="en-AU"/>
        </w:rPr>
      </w:pPr>
      <w:r w:rsidRPr="005B0796">
        <w:rPr>
          <w:lang w:eastAsia="en-AU"/>
        </w:rPr>
        <w:t xml:space="preserve">This section of the survey comprised two questions. The first item asked participants whether someone else suggested that they seek help for their mental health condition. The second item asked participants whether someone else practically assisted them in seeking care. Options included their GP, </w:t>
      </w:r>
      <w:r>
        <w:rPr>
          <w:lang w:eastAsia="en-AU"/>
        </w:rPr>
        <w:t>m</w:t>
      </w:r>
      <w:r w:rsidRPr="005B0796">
        <w:rPr>
          <w:lang w:eastAsia="en-AU"/>
        </w:rPr>
        <w:t xml:space="preserve">edical </w:t>
      </w:r>
      <w:r>
        <w:rPr>
          <w:lang w:eastAsia="en-AU"/>
        </w:rPr>
        <w:t>o</w:t>
      </w:r>
      <w:r w:rsidRPr="005B0796">
        <w:rPr>
          <w:lang w:eastAsia="en-AU"/>
        </w:rPr>
        <w:t>fficer, partner, other family member, friend/colleague, or their supervisor/manager/</w:t>
      </w:r>
      <w:r>
        <w:rPr>
          <w:lang w:eastAsia="en-AU"/>
        </w:rPr>
        <w:t>c</w:t>
      </w:r>
      <w:r w:rsidRPr="005B0796">
        <w:rPr>
          <w:lang w:eastAsia="en-AU"/>
        </w:rPr>
        <w:t xml:space="preserve">ommander. These questions were developed by researchers for specific use in the study. </w:t>
      </w:r>
    </w:p>
    <w:p w14:paraId="2783C30A" w14:textId="77777777" w:rsidR="00B903A5" w:rsidRPr="005B0796" w:rsidRDefault="00B903A5" w:rsidP="00B903A5">
      <w:pPr>
        <w:pStyle w:val="Bullet"/>
        <w:numPr>
          <w:ilvl w:val="0"/>
          <w:numId w:val="3"/>
        </w:numPr>
        <w:ind w:left="360"/>
      </w:pPr>
      <w:r w:rsidRPr="005B0796">
        <w:t>Reasons for seeking care</w:t>
      </w:r>
    </w:p>
    <w:p w14:paraId="04DE23AA" w14:textId="77777777" w:rsidR="00B903A5" w:rsidRPr="005B0796" w:rsidRDefault="00B903A5" w:rsidP="00B903A5">
      <w:pPr>
        <w:ind w:left="360"/>
        <w:rPr>
          <w:lang w:eastAsia="en-AU"/>
        </w:rPr>
      </w:pPr>
      <w:r w:rsidRPr="005B0796">
        <w:rPr>
          <w:lang w:eastAsia="en-AU"/>
        </w:rPr>
        <w:t>Participants were asked to indicate what primary and secondary reason lead them to seeking care. Examples included ‘anger’, ‘depression’ and ‘gambling’. These two questions were developed by researchers for specific use in the study.</w:t>
      </w:r>
    </w:p>
    <w:p w14:paraId="590AD9BE" w14:textId="77777777" w:rsidR="00B903A5" w:rsidRPr="005B0796" w:rsidRDefault="00B903A5" w:rsidP="00B903A5">
      <w:pPr>
        <w:pStyle w:val="Heading5"/>
        <w:rPr>
          <w:lang w:val="en-AU"/>
        </w:rPr>
      </w:pPr>
      <w:r w:rsidRPr="005B0796">
        <w:rPr>
          <w:lang w:val="en-AU"/>
        </w:rPr>
        <w:t>Health professionals</w:t>
      </w:r>
    </w:p>
    <w:p w14:paraId="10503594" w14:textId="77777777" w:rsidR="00B903A5" w:rsidRPr="005B0796" w:rsidRDefault="00B903A5" w:rsidP="00B903A5">
      <w:r w:rsidRPr="005B0796">
        <w:t xml:space="preserve">In this section of the survey, participants were presented with an exhaustive list of health professionals and asked to indicate which of them they had consulted for their own health in the past 12 months. Participants were also asked to indicate how many times they had consulted a general practitioner and/or specialist doctor in the </w:t>
      </w:r>
      <w:r>
        <w:t>p</w:t>
      </w:r>
      <w:r w:rsidRPr="005B0796">
        <w:t xml:space="preserve">ast </w:t>
      </w:r>
      <w:r>
        <w:t>two</w:t>
      </w:r>
      <w:r w:rsidRPr="005B0796">
        <w:t xml:space="preserve"> weeks. All items in this section were taken from the Australian Gulf War Veterans</w:t>
      </w:r>
      <w:r>
        <w:t>’</w:t>
      </w:r>
      <w:r w:rsidRPr="005B0796">
        <w:t xml:space="preserve"> Health Study 2011 follow-up </w:t>
      </w:r>
      <w:r>
        <w:rPr>
          <w:noProof/>
        </w:rPr>
        <w:t>(Sim et al., 2015)</w:t>
      </w:r>
      <w:r w:rsidRPr="005B0796">
        <w:t>.</w:t>
      </w:r>
    </w:p>
    <w:p w14:paraId="7024234A" w14:textId="77777777" w:rsidR="00B903A5" w:rsidRPr="005B0796" w:rsidRDefault="00B903A5" w:rsidP="00B903A5">
      <w:pPr>
        <w:pStyle w:val="Heading5"/>
        <w:rPr>
          <w:lang w:val="en-AU"/>
        </w:rPr>
      </w:pPr>
      <w:r w:rsidRPr="005B0796">
        <w:rPr>
          <w:lang w:val="en-AU"/>
        </w:rPr>
        <w:t>Family and children</w:t>
      </w:r>
    </w:p>
    <w:p w14:paraId="356AB463" w14:textId="77777777" w:rsidR="00B903A5" w:rsidRPr="005B0796" w:rsidRDefault="00B903A5" w:rsidP="00B903A5">
      <w:pPr>
        <w:rPr>
          <w:rFonts w:asciiTheme="minorHAnsi" w:hAnsiTheme="minorHAnsi"/>
        </w:rPr>
      </w:pPr>
      <w:r w:rsidRPr="005B0796">
        <w:t>This section of the survey comprised several scales looking at participants’ relationships with their family and children</w:t>
      </w:r>
      <w:r>
        <w:t>.</w:t>
      </w:r>
    </w:p>
    <w:p w14:paraId="59970006" w14:textId="77777777" w:rsidR="00B903A5" w:rsidRPr="005B0796" w:rsidRDefault="00B903A5" w:rsidP="00B903A5">
      <w:pPr>
        <w:pStyle w:val="Bullet"/>
        <w:numPr>
          <w:ilvl w:val="0"/>
          <w:numId w:val="3"/>
        </w:numPr>
        <w:ind w:left="360"/>
      </w:pPr>
      <w:r w:rsidRPr="005B0796">
        <w:t xml:space="preserve">Family support and strain was assessed </w:t>
      </w:r>
      <w:r>
        <w:t>using</w:t>
      </w:r>
      <w:r w:rsidRPr="005B0796">
        <w:t xml:space="preserve"> items of relevance from an adapted version of the Schuster Social Support Scale </w:t>
      </w:r>
      <w:r>
        <w:rPr>
          <w:noProof/>
        </w:rPr>
        <w:t xml:space="preserve">(Schuster, </w:t>
      </w:r>
      <w:r w:rsidRPr="00B41BE0">
        <w:rPr>
          <w:noProof/>
        </w:rPr>
        <w:t>Kessler, &amp; Aseltine</w:t>
      </w:r>
      <w:r>
        <w:rPr>
          <w:noProof/>
        </w:rPr>
        <w:t>, 1990)</w:t>
      </w:r>
      <w:r w:rsidRPr="005B0796">
        <w:t xml:space="preserve">. Affective support was indicated by responses to questions about how often family made them feel cared for and how often family expressed interest in how they were doing. Negative interactions were indicated by responses to questions about how often family made too many demands on them, how often they criticised them and how often they created tensions or arguments with them. All items were answered on </w:t>
      </w:r>
      <w:r>
        <w:t xml:space="preserve">a </w:t>
      </w:r>
      <w:r w:rsidRPr="005B0796">
        <w:t>4-point Likert-type scale ranging from ‘often’ to ‘never’.</w:t>
      </w:r>
    </w:p>
    <w:p w14:paraId="10E8B9A7" w14:textId="77777777" w:rsidR="00B903A5" w:rsidRPr="005B0796" w:rsidRDefault="00B903A5" w:rsidP="00B903A5">
      <w:pPr>
        <w:pStyle w:val="Bullet"/>
        <w:numPr>
          <w:ilvl w:val="0"/>
          <w:numId w:val="3"/>
        </w:numPr>
        <w:ind w:left="360"/>
      </w:pPr>
      <w:r w:rsidRPr="005B0796">
        <w:t>Items assessing participants’ relationship with their current partner, arguments with their current partner and abuse experienced by partner were taken from the Timor-Lest</w:t>
      </w:r>
      <w:r>
        <w:t>e</w:t>
      </w:r>
      <w:r w:rsidRPr="005B0796">
        <w:t xml:space="preserve"> Family Study </w:t>
      </w:r>
      <w:r>
        <w:rPr>
          <w:noProof/>
        </w:rPr>
        <w:t>(McGuire et al., 2012)</w:t>
      </w:r>
      <w:r w:rsidRPr="005B0796">
        <w:t>.</w:t>
      </w:r>
    </w:p>
    <w:p w14:paraId="4B26FC7B" w14:textId="77777777" w:rsidR="00B903A5" w:rsidRPr="005B0796" w:rsidRDefault="00B903A5" w:rsidP="00B903A5">
      <w:pPr>
        <w:pStyle w:val="Bullet"/>
        <w:numPr>
          <w:ilvl w:val="0"/>
          <w:numId w:val="3"/>
        </w:numPr>
        <w:ind w:left="360"/>
      </w:pPr>
      <w:r w:rsidRPr="005B0796">
        <w:t xml:space="preserve">A single item looking at how often participants had contact with family members not living with them was taken from the 2014 Vietnam Veterans Family Study </w:t>
      </w:r>
      <w:r>
        <w:rPr>
          <w:noProof/>
        </w:rPr>
        <w:t>(Forrest et al., 2014)</w:t>
      </w:r>
      <w:r w:rsidRPr="005B0796">
        <w:t>.</w:t>
      </w:r>
    </w:p>
    <w:p w14:paraId="31B0D918" w14:textId="77777777" w:rsidR="00B903A5" w:rsidRPr="005B0796" w:rsidRDefault="00B903A5" w:rsidP="00B903A5">
      <w:pPr>
        <w:pStyle w:val="Bullet"/>
        <w:numPr>
          <w:ilvl w:val="0"/>
          <w:numId w:val="3"/>
        </w:numPr>
        <w:ind w:left="360"/>
      </w:pPr>
      <w:r w:rsidRPr="005B0796">
        <w:t xml:space="preserve">Items assessing the impact of military service on participants’ relationships, employment, physical health, mental health and financial situation were also taken from the 2014 Vietnam Veterans Family Study </w:t>
      </w:r>
      <w:r>
        <w:rPr>
          <w:noProof/>
        </w:rPr>
        <w:t>(Forrest et al., 2014)</w:t>
      </w:r>
      <w:r w:rsidRPr="005B0796">
        <w:t>.</w:t>
      </w:r>
    </w:p>
    <w:p w14:paraId="68854276" w14:textId="77777777" w:rsidR="00B903A5" w:rsidRPr="005B0796" w:rsidRDefault="00B903A5" w:rsidP="00B903A5">
      <w:pPr>
        <w:pStyle w:val="Bullet"/>
        <w:numPr>
          <w:ilvl w:val="0"/>
          <w:numId w:val="3"/>
        </w:numPr>
        <w:ind w:left="360"/>
        <w:rPr>
          <w:lang w:eastAsia="ja-JP"/>
        </w:rPr>
      </w:pPr>
      <w:r>
        <w:rPr>
          <w:rFonts w:cs="Arial"/>
        </w:rPr>
        <w:t>Two</w:t>
      </w:r>
      <w:r w:rsidRPr="005B0796">
        <w:rPr>
          <w:rFonts w:cs="Arial"/>
        </w:rPr>
        <w:t xml:space="preserve"> items assessing relationship satisfaction were taken from the</w:t>
      </w:r>
      <w:r w:rsidRPr="005B0796">
        <w:t xml:space="preserve"> Household, Income and Labour Dynamics</w:t>
      </w:r>
      <w:r w:rsidRPr="005B0796">
        <w:rPr>
          <w:rFonts w:eastAsia="MS Gothic"/>
        </w:rPr>
        <w:t xml:space="preserve"> </w:t>
      </w:r>
      <w:r w:rsidRPr="005B0796">
        <w:t xml:space="preserve">in Australia (HILDA) Survey </w:t>
      </w:r>
      <w:r>
        <w:rPr>
          <w:noProof/>
          <w:lang w:eastAsia="ja-JP"/>
        </w:rPr>
        <w:t>(Watson &amp; Wooden, 2002)</w:t>
      </w:r>
      <w:r w:rsidRPr="005B0796">
        <w:rPr>
          <w:lang w:eastAsia="ja-JP"/>
        </w:rPr>
        <w:t>. Participants were required to rate their relationship with their partner and their children on an 11-point Likert-type scale ranging from ‘completely dissatisfied’ to ‘completely satisfied’.</w:t>
      </w:r>
    </w:p>
    <w:p w14:paraId="5B53936A" w14:textId="77777777" w:rsidR="00B903A5" w:rsidRPr="005B0796" w:rsidRDefault="00B903A5" w:rsidP="00B903A5">
      <w:pPr>
        <w:pStyle w:val="Bullet"/>
        <w:numPr>
          <w:ilvl w:val="0"/>
          <w:numId w:val="3"/>
        </w:numPr>
        <w:ind w:left="360"/>
      </w:pPr>
      <w:r w:rsidRPr="005B0796">
        <w:t xml:space="preserve">Items measuring conflict during childhood, parental mental health and parental substance abuse were taken from </w:t>
      </w:r>
      <w:r>
        <w:t>t</w:t>
      </w:r>
      <w:r w:rsidRPr="005B0796">
        <w:t xml:space="preserve">he Longitudinal Study of Australian Children </w:t>
      </w:r>
      <w:r>
        <w:rPr>
          <w:noProof/>
        </w:rPr>
        <w:t>(Gray, 2005)</w:t>
      </w:r>
      <w:r w:rsidRPr="005B0796">
        <w:t xml:space="preserve">. </w:t>
      </w:r>
    </w:p>
    <w:p w14:paraId="304B2E96" w14:textId="77777777" w:rsidR="00B903A5" w:rsidRPr="005B0796" w:rsidRDefault="00B903A5" w:rsidP="00B903A5">
      <w:pPr>
        <w:pStyle w:val="Bullet"/>
        <w:numPr>
          <w:ilvl w:val="0"/>
          <w:numId w:val="3"/>
        </w:numPr>
        <w:ind w:left="360"/>
        <w:rPr>
          <w:lang w:eastAsia="ja-JP"/>
        </w:rPr>
      </w:pPr>
      <w:r w:rsidRPr="005B0796">
        <w:t xml:space="preserve">Global parental self-efficacy was assessed </w:t>
      </w:r>
      <w:r>
        <w:t>using</w:t>
      </w:r>
      <w:r w:rsidRPr="005B0796">
        <w:t xml:space="preserve"> a single item taken from the Longitudinal Study of Australian Children </w:t>
      </w:r>
      <w:r>
        <w:rPr>
          <w:noProof/>
        </w:rPr>
        <w:t>(Gray, 2005)</w:t>
      </w:r>
      <w:r w:rsidRPr="005B0796">
        <w:t xml:space="preserve">. </w:t>
      </w:r>
      <w:r w:rsidRPr="005B0796">
        <w:rPr>
          <w:lang w:eastAsia="ja-JP"/>
        </w:rPr>
        <w:t>Participants were required to rate their competency as a parent on a 5-point Likert-type scale ranging from ‘not very good at being a parent’ to ‘a very good parent’.</w:t>
      </w:r>
    </w:p>
    <w:p w14:paraId="4F470B9B" w14:textId="77777777" w:rsidR="00B903A5" w:rsidRPr="005B0796" w:rsidRDefault="00B903A5" w:rsidP="00B903A5">
      <w:pPr>
        <w:pStyle w:val="Bullet"/>
        <w:numPr>
          <w:ilvl w:val="0"/>
          <w:numId w:val="3"/>
        </w:numPr>
        <w:ind w:left="360"/>
      </w:pPr>
      <w:r w:rsidRPr="005B0796">
        <w:t xml:space="preserve">Parental warmth was measured using </w:t>
      </w:r>
      <w:r>
        <w:t>six</w:t>
      </w:r>
      <w:r w:rsidRPr="005B0796">
        <w:t xml:space="preserve"> items from the Child Rearing Questionnaire </w:t>
      </w:r>
      <w:r>
        <w:rPr>
          <w:noProof/>
        </w:rPr>
        <w:t>(Paterson &amp; Sanson, 1999)</w:t>
      </w:r>
      <w:r w:rsidRPr="005B0796">
        <w:t xml:space="preserve">. These items were also utilised in the Longitudinal Study of Australian Children </w:t>
      </w:r>
      <w:r>
        <w:rPr>
          <w:noProof/>
        </w:rPr>
        <w:t>(Gray, 2005)</w:t>
      </w:r>
      <w:r w:rsidRPr="005B0796">
        <w:t xml:space="preserve">. Participants were required to answer questions in this section thinking about their first-born child aged between 4 and 17 who lived with them 50% or more of the time in the </w:t>
      </w:r>
      <w:r>
        <w:t>p</w:t>
      </w:r>
      <w:r w:rsidRPr="005B0796">
        <w:t xml:space="preserve">ast </w:t>
      </w:r>
      <w:r>
        <w:t>six</w:t>
      </w:r>
      <w:r w:rsidRPr="005B0796">
        <w:t xml:space="preserve"> months. Participants were required to indicate how often each listed event took place on a 5-point Likert</w:t>
      </w:r>
      <w:r>
        <w:t>-</w:t>
      </w:r>
      <w:r w:rsidRPr="005B0796">
        <w:t>type scale ranging from ‘never/almost never’ to ‘always/almost always’. Examples of events include ‘how often did you hug or hold this child for no particular reason’ and ‘how often did you enjoy listening to this child and doing things with him/her’.</w:t>
      </w:r>
    </w:p>
    <w:p w14:paraId="73950E59" w14:textId="77777777" w:rsidR="00B903A5" w:rsidRPr="005B0796" w:rsidRDefault="00B903A5" w:rsidP="00B903A5">
      <w:pPr>
        <w:pStyle w:val="Bullet"/>
        <w:numPr>
          <w:ilvl w:val="0"/>
          <w:numId w:val="3"/>
        </w:numPr>
        <w:ind w:left="360"/>
        <w:rPr>
          <w:rFonts w:cs="Arial"/>
        </w:rPr>
      </w:pPr>
      <w:r w:rsidRPr="005B0796">
        <w:rPr>
          <w:rFonts w:cs="Arial"/>
        </w:rPr>
        <w:t xml:space="preserve">Parental anger was measured using </w:t>
      </w:r>
      <w:r>
        <w:rPr>
          <w:rFonts w:cs="Arial"/>
        </w:rPr>
        <w:t>five</w:t>
      </w:r>
      <w:r w:rsidRPr="005B0796">
        <w:rPr>
          <w:rFonts w:cs="Arial"/>
        </w:rPr>
        <w:t xml:space="preserve"> items from the </w:t>
      </w:r>
      <w:r w:rsidRPr="005B0796">
        <w:t xml:space="preserve">National Longitudinal Study of Children &amp; Youth </w:t>
      </w:r>
      <w:r>
        <w:rPr>
          <w:noProof/>
        </w:rPr>
        <w:t>(Statistics Canada, 2003)</w:t>
      </w:r>
      <w:r w:rsidRPr="005B0796">
        <w:t>. Participants were required to indicate how often each listed event took place on a 5-point Likert</w:t>
      </w:r>
      <w:r>
        <w:t>-</w:t>
      </w:r>
      <w:r w:rsidRPr="005B0796">
        <w:t>type scale ranging from ‘never/almost never’ to ‘all the time’. Examples of events include</w:t>
      </w:r>
      <w:r>
        <w:t>d</w:t>
      </w:r>
      <w:r w:rsidRPr="005B0796">
        <w:t xml:space="preserve"> ‘how often are you angry when you punish this child’ and ‘how often do you tell this child that he/she is not as good as the others’.</w:t>
      </w:r>
    </w:p>
    <w:p w14:paraId="385472C1" w14:textId="77777777" w:rsidR="00B903A5" w:rsidRPr="005B0796" w:rsidRDefault="00B903A5" w:rsidP="00B903A5">
      <w:pPr>
        <w:pStyle w:val="Heading5"/>
        <w:rPr>
          <w:rFonts w:asciiTheme="minorHAnsi" w:hAnsiTheme="minorHAnsi"/>
          <w:lang w:val="en-AU"/>
        </w:rPr>
      </w:pPr>
      <w:r w:rsidRPr="005B0796">
        <w:rPr>
          <w:lang w:val="en-AU"/>
        </w:rPr>
        <w:t>Friends and other social contacts</w:t>
      </w:r>
    </w:p>
    <w:p w14:paraId="1AC32ADC" w14:textId="77777777" w:rsidR="00B903A5" w:rsidRPr="005B0796" w:rsidRDefault="00B903A5" w:rsidP="00B903A5">
      <w:r w:rsidRPr="005B0796">
        <w:t xml:space="preserve">This section of the survey comprised several scales </w:t>
      </w:r>
      <w:r>
        <w:t>that looked</w:t>
      </w:r>
      <w:r w:rsidRPr="005B0796">
        <w:t xml:space="preserve"> at participants’ friends and social contacts</w:t>
      </w:r>
      <w:r>
        <w:t>.</w:t>
      </w:r>
    </w:p>
    <w:p w14:paraId="4C4FFE1B" w14:textId="77777777" w:rsidR="00B903A5" w:rsidRPr="005B0796" w:rsidRDefault="00B903A5" w:rsidP="00B903A5">
      <w:pPr>
        <w:pStyle w:val="Bullet"/>
        <w:numPr>
          <w:ilvl w:val="0"/>
          <w:numId w:val="3"/>
        </w:numPr>
        <w:ind w:left="360"/>
      </w:pPr>
      <w:r w:rsidRPr="005B0796">
        <w:t xml:space="preserve">Social support and strain was assessed </w:t>
      </w:r>
      <w:r>
        <w:t>using</w:t>
      </w:r>
      <w:r w:rsidRPr="005B0796">
        <w:t xml:space="preserve"> items of relevance from an adapted version of the Schuster Social Support Scale </w:t>
      </w:r>
      <w:r>
        <w:rPr>
          <w:noProof/>
        </w:rPr>
        <w:t>(Schuster et al., 1990)</w:t>
      </w:r>
      <w:r w:rsidRPr="005B0796">
        <w:t>. Affective support was indicated by responses to questions about how often friends made them feel cared for and how often friends expressed interest in how they were doing. Negative interactions were indicated by responses to questions about how often friends made too many demands on them, how often they criticised them, and how often they created tensions or arguments with them. All items were answered on</w:t>
      </w:r>
      <w:r>
        <w:t xml:space="preserve"> a</w:t>
      </w:r>
      <w:r w:rsidRPr="005B0796">
        <w:t xml:space="preserve"> 4-point Likert-type scale ranging from ‘often’ to ‘never’.</w:t>
      </w:r>
    </w:p>
    <w:p w14:paraId="33D436E3" w14:textId="77777777" w:rsidR="00B903A5" w:rsidRPr="005B0796" w:rsidRDefault="00B903A5" w:rsidP="00B903A5">
      <w:pPr>
        <w:pStyle w:val="Bullet"/>
        <w:numPr>
          <w:ilvl w:val="0"/>
          <w:numId w:val="3"/>
        </w:numPr>
        <w:ind w:left="360"/>
      </w:pPr>
      <w:r w:rsidRPr="005B0796">
        <w:t>A single item looking at how often participants had contact with friends not living with them was taken from the 2014 Vietnam Veterans Family Study conducted by the Department of Veterans</w:t>
      </w:r>
      <w:r>
        <w:t>’</w:t>
      </w:r>
      <w:r w:rsidRPr="005B0796">
        <w:t xml:space="preserve"> Affairs </w:t>
      </w:r>
      <w:r>
        <w:rPr>
          <w:noProof/>
        </w:rPr>
        <w:t>(Forrest et al., 2014)</w:t>
      </w:r>
      <w:r w:rsidRPr="005B0796">
        <w:t>.</w:t>
      </w:r>
    </w:p>
    <w:p w14:paraId="6F4A7D93" w14:textId="77777777" w:rsidR="00B903A5" w:rsidRPr="005B0796" w:rsidRDefault="00B903A5" w:rsidP="00B903A5">
      <w:pPr>
        <w:pStyle w:val="Bullet"/>
        <w:numPr>
          <w:ilvl w:val="0"/>
          <w:numId w:val="3"/>
        </w:numPr>
        <w:ind w:left="360"/>
      </w:pPr>
      <w:r w:rsidRPr="005B0796">
        <w:t xml:space="preserve">A single item assessing how satisfied participants were with their friendships was taken from </w:t>
      </w:r>
      <w:r>
        <w:t>t</w:t>
      </w:r>
      <w:r w:rsidRPr="005B0796">
        <w:t xml:space="preserve">he Household, Income and Labour Dynamics in Australia (HILDA) Survey </w:t>
      </w:r>
      <w:r>
        <w:rPr>
          <w:noProof/>
        </w:rPr>
        <w:t>(Watson &amp; Wooden, 2002)</w:t>
      </w:r>
      <w:r w:rsidRPr="005B0796">
        <w:t>. Participants were required to rate their relationship on an 11-point Likert-type scale ranging from ‘completely dissatisfied’ to ‘completely satisfied’.</w:t>
      </w:r>
    </w:p>
    <w:p w14:paraId="17C06BD0" w14:textId="77777777" w:rsidR="00B903A5" w:rsidRPr="005B0796" w:rsidRDefault="00B903A5" w:rsidP="00B903A5">
      <w:pPr>
        <w:pStyle w:val="Bullet"/>
        <w:numPr>
          <w:ilvl w:val="0"/>
          <w:numId w:val="3"/>
        </w:numPr>
        <w:ind w:left="360"/>
      </w:pPr>
      <w:r w:rsidRPr="005B0796">
        <w:t xml:space="preserve">Questions looking at how many </w:t>
      </w:r>
      <w:r>
        <w:t>e</w:t>
      </w:r>
      <w:r w:rsidRPr="005B0796">
        <w:t>x-</w:t>
      </w:r>
      <w:r>
        <w:t>s</w:t>
      </w:r>
      <w:r w:rsidRPr="005B0796">
        <w:t xml:space="preserve">ervice </w:t>
      </w:r>
      <w:r>
        <w:t>o</w:t>
      </w:r>
      <w:r w:rsidRPr="005B0796">
        <w:t xml:space="preserve">rganisations participants belonged to and how these </w:t>
      </w:r>
      <w:r>
        <w:t>e</w:t>
      </w:r>
      <w:r w:rsidRPr="005B0796">
        <w:t>x-</w:t>
      </w:r>
      <w:r>
        <w:t>s</w:t>
      </w:r>
      <w:r w:rsidRPr="005B0796">
        <w:t xml:space="preserve">ervice </w:t>
      </w:r>
      <w:r>
        <w:t>o</w:t>
      </w:r>
      <w:r w:rsidRPr="005B0796">
        <w:t>rganisations bene</w:t>
      </w:r>
      <w:r w:rsidR="008A5AB0">
        <w:t xml:space="preserve">fited them were taken from the </w:t>
      </w:r>
      <w:r w:rsidRPr="005B0796">
        <w:t>Australian Gulf War Veterans</w:t>
      </w:r>
      <w:r>
        <w:t>’</w:t>
      </w:r>
      <w:r w:rsidRPr="005B0796">
        <w:t xml:space="preserve"> Health Study 2011</w:t>
      </w:r>
      <w:r>
        <w:t xml:space="preserve"> </w:t>
      </w:r>
      <w:r w:rsidRPr="005B0796">
        <w:t xml:space="preserve">follow-up </w:t>
      </w:r>
      <w:r>
        <w:rPr>
          <w:noProof/>
        </w:rPr>
        <w:t>(Sim et al., 2015)</w:t>
      </w:r>
      <w:r w:rsidRPr="005B0796">
        <w:t>.</w:t>
      </w:r>
    </w:p>
    <w:p w14:paraId="4BF4C455" w14:textId="77777777" w:rsidR="00B903A5" w:rsidRPr="005B0796" w:rsidRDefault="00B903A5" w:rsidP="00B903A5">
      <w:pPr>
        <w:pStyle w:val="Heading5"/>
        <w:rPr>
          <w:lang w:val="en-AU"/>
        </w:rPr>
      </w:pPr>
      <w:r w:rsidRPr="005B0796">
        <w:rPr>
          <w:lang w:val="en-AU"/>
        </w:rPr>
        <w:t>Resilience</w:t>
      </w:r>
    </w:p>
    <w:p w14:paraId="081CCC72" w14:textId="77777777" w:rsidR="00B903A5" w:rsidRPr="005B0796" w:rsidRDefault="00B903A5" w:rsidP="00B903A5">
      <w:pPr>
        <w:rPr>
          <w:lang w:eastAsia="en-AU"/>
        </w:rPr>
      </w:pPr>
      <w:r w:rsidRPr="005B0796">
        <w:rPr>
          <w:lang w:eastAsia="en-AU"/>
        </w:rPr>
        <w:t xml:space="preserve">The Ohio State University Brief Resilience Scale (BRS) </w:t>
      </w:r>
      <w:r>
        <w:rPr>
          <w:noProof/>
          <w:lang w:eastAsia="en-AU"/>
        </w:rPr>
        <w:t>(Smith et al., 2008)</w:t>
      </w:r>
      <w:r w:rsidRPr="005B0796">
        <w:rPr>
          <w:lang w:eastAsia="en-AU"/>
        </w:rPr>
        <w:t xml:space="preserve"> was included to asses participants’ ability to bounce back or recover from stress. Participants were asked to indicate the extent to which they agreed or disagreed with </w:t>
      </w:r>
      <w:r>
        <w:rPr>
          <w:lang w:eastAsia="en-AU"/>
        </w:rPr>
        <w:t>six</w:t>
      </w:r>
      <w:r w:rsidRPr="005B0796">
        <w:rPr>
          <w:lang w:eastAsia="en-AU"/>
        </w:rPr>
        <w:t xml:space="preserve"> anchored statements. The BRS is scored by reverse coding items 2, 6, and 6 and finding the mean of the six items.</w:t>
      </w:r>
    </w:p>
    <w:p w14:paraId="53DBE38A" w14:textId="77777777" w:rsidR="00B903A5" w:rsidRPr="005B0796" w:rsidRDefault="00B903A5" w:rsidP="00B903A5">
      <w:pPr>
        <w:rPr>
          <w:rFonts w:cs="Times"/>
          <w:lang w:eastAsia="en-AU"/>
        </w:rPr>
      </w:pPr>
      <w:r w:rsidRPr="005B0796">
        <w:t xml:space="preserve">The final item in this section assessed global happiness </w:t>
      </w:r>
      <w:r>
        <w:t>using</w:t>
      </w:r>
      <w:r w:rsidRPr="005B0796">
        <w:t xml:space="preserve"> the Delighted</w:t>
      </w:r>
      <w:r>
        <w:t>–</w:t>
      </w:r>
      <w:r w:rsidRPr="005B0796">
        <w:t xml:space="preserve">Terrible scale </w:t>
      </w:r>
      <w:r>
        <w:rPr>
          <w:noProof/>
        </w:rPr>
        <w:t>(Andrews &amp; Crandall, 1976)</w:t>
      </w:r>
      <w:r w:rsidRPr="005B0796">
        <w:t>, one of the more common approaches to collecting subjective quality</w:t>
      </w:r>
      <w:r>
        <w:t>-</w:t>
      </w:r>
      <w:r w:rsidRPr="005B0796">
        <w:t>of</w:t>
      </w:r>
      <w:r>
        <w:t>-</w:t>
      </w:r>
      <w:r w:rsidRPr="005B0796">
        <w:t xml:space="preserve">life data. </w:t>
      </w:r>
    </w:p>
    <w:p w14:paraId="35B512D4" w14:textId="77777777" w:rsidR="00B903A5" w:rsidRPr="005B0796" w:rsidRDefault="00B903A5" w:rsidP="00B903A5">
      <w:pPr>
        <w:pStyle w:val="Heading5"/>
        <w:rPr>
          <w:lang w:val="en-AU" w:eastAsia="en-AU"/>
        </w:rPr>
      </w:pPr>
      <w:r w:rsidRPr="005B0796">
        <w:rPr>
          <w:lang w:val="en-AU" w:eastAsia="en-AU"/>
        </w:rPr>
        <w:t>Gambling</w:t>
      </w:r>
    </w:p>
    <w:p w14:paraId="7EA025DB" w14:textId="77777777" w:rsidR="00B903A5" w:rsidRPr="005B0796" w:rsidRDefault="00B903A5" w:rsidP="00B903A5">
      <w:r w:rsidRPr="005B0796">
        <w:t xml:space="preserve">The Problem Gambling Severity Index (PGSI) </w:t>
      </w:r>
      <w:r>
        <w:rPr>
          <w:noProof/>
        </w:rPr>
        <w:t>(Stinchfield, 2007)</w:t>
      </w:r>
      <w:r w:rsidRPr="005B0796">
        <w:t xml:space="preserve"> is a widely used nine</w:t>
      </w:r>
      <w:r>
        <w:t>-</w:t>
      </w:r>
      <w:r w:rsidRPr="005B0796">
        <w:t>item scale for measuring the severity of gambling problems in the general population. Each item is scored from 0 to 3. The higher the total score, the greater the risk of problem gambling behaviour.</w:t>
      </w:r>
    </w:p>
    <w:p w14:paraId="60D93067" w14:textId="77777777" w:rsidR="00B903A5" w:rsidRPr="005B0796" w:rsidRDefault="00B903A5" w:rsidP="00B903A5">
      <w:pPr>
        <w:pStyle w:val="Heading5"/>
        <w:rPr>
          <w:lang w:val="en-AU" w:eastAsia="en-AU"/>
        </w:rPr>
      </w:pPr>
      <w:r w:rsidRPr="005B0796">
        <w:rPr>
          <w:lang w:val="en-AU" w:eastAsia="en-AU"/>
        </w:rPr>
        <w:t>Driving</w:t>
      </w:r>
    </w:p>
    <w:p w14:paraId="0722C45A" w14:textId="77777777" w:rsidR="00B903A5" w:rsidRPr="005B0796" w:rsidRDefault="00B903A5" w:rsidP="00B903A5">
      <w:r w:rsidRPr="005B0796">
        <w:t xml:space="preserve">Items examining risky driving were sourced from the Australian Institute of Family Studies </w:t>
      </w:r>
      <w:r>
        <w:rPr>
          <w:noProof/>
        </w:rPr>
        <w:t>(Smart et al., 2005)</w:t>
      </w:r>
      <w:r w:rsidRPr="005B0796">
        <w:t xml:space="preserve"> and looked specifically at driving over the speed limit and driving while </w:t>
      </w:r>
      <w:r>
        <w:t>a</w:t>
      </w:r>
      <w:r w:rsidRPr="005B0796">
        <w:t xml:space="preserve">ffected by alcohol. </w:t>
      </w:r>
      <w:r w:rsidRPr="005B0796">
        <w:rPr>
          <w:rFonts w:cs="Times"/>
          <w:lang w:eastAsia="en-AU"/>
        </w:rPr>
        <w:t xml:space="preserve">Participants were asked to consider the last 10 times they drove, and how many times in that period </w:t>
      </w:r>
      <w:r w:rsidRPr="005B0796">
        <w:t>they engaged in risky driving behaviour.</w:t>
      </w:r>
    </w:p>
    <w:p w14:paraId="5BD35782" w14:textId="77777777" w:rsidR="00B903A5" w:rsidRPr="005B0796" w:rsidRDefault="00B903A5" w:rsidP="00B903A5">
      <w:pPr>
        <w:pStyle w:val="Heading5"/>
        <w:rPr>
          <w:lang w:val="en-AU" w:eastAsia="en-AU"/>
        </w:rPr>
      </w:pPr>
      <w:r w:rsidRPr="005B0796">
        <w:rPr>
          <w:lang w:val="en-AU" w:eastAsia="en-AU"/>
        </w:rPr>
        <w:t>Experience with the law</w:t>
      </w:r>
    </w:p>
    <w:p w14:paraId="55D0F383" w14:textId="77777777" w:rsidR="00B903A5" w:rsidRPr="005B0796" w:rsidRDefault="00B903A5" w:rsidP="00B903A5">
      <w:r w:rsidRPr="005B0796">
        <w:t>Participants were asked a series of questions about their experiences with the law</w:t>
      </w:r>
      <w:r>
        <w:t>,</w:t>
      </w:r>
      <w:r w:rsidRPr="005B0796">
        <w:t xml:space="preserve"> including whether they had ever been arrested, whether they had ever been convicted of a crime in a court of law, and finally whether they had ever been sent to prison. For any </w:t>
      </w:r>
      <w:r>
        <w:t xml:space="preserve">of these </w:t>
      </w:r>
      <w:r w:rsidRPr="005B0796">
        <w:t>that applied, participants were also asked to indicate whether the event occurred prior to entry into the ADF, prior to transition from Regular ADF service, or since transition from Regular ADF service. Items in this section of the survey were sourced from the Australian Gulf War Veterans</w:t>
      </w:r>
      <w:r>
        <w:t>’</w:t>
      </w:r>
      <w:r w:rsidRPr="005B0796">
        <w:t xml:space="preserve"> Health Study</w:t>
      </w:r>
      <w:r>
        <w:t xml:space="preserve"> </w:t>
      </w:r>
      <w:r w:rsidRPr="005B0796">
        <w:t xml:space="preserve">2011 follow-up </w:t>
      </w:r>
      <w:r>
        <w:rPr>
          <w:noProof/>
        </w:rPr>
        <w:t>(Sim et al., 2015</w:t>
      </w:r>
      <w:r w:rsidR="001F3926">
        <w:rPr>
          <w:noProof/>
        </w:rPr>
        <w:t>)</w:t>
      </w:r>
      <w:r w:rsidR="001F3926" w:rsidRPr="005B0796">
        <w:t>.</w:t>
      </w:r>
    </w:p>
    <w:p w14:paraId="4C1AC7E6" w14:textId="77777777" w:rsidR="00B903A5" w:rsidRPr="005B0796" w:rsidRDefault="001F3926" w:rsidP="00B903A5">
      <w:pPr>
        <w:pStyle w:val="Heading5"/>
        <w:rPr>
          <w:lang w:val="en-AU"/>
        </w:rPr>
      </w:pPr>
      <w:r>
        <w:rPr>
          <w:lang w:val="en-AU"/>
        </w:rPr>
        <w:t>Internet</w:t>
      </w:r>
      <w:r w:rsidRPr="005B0796">
        <w:rPr>
          <w:lang w:val="en-AU"/>
        </w:rPr>
        <w:t xml:space="preserve"> </w:t>
      </w:r>
      <w:r w:rsidR="00B903A5" w:rsidRPr="005B0796">
        <w:rPr>
          <w:lang w:val="en-AU"/>
        </w:rPr>
        <w:t>usage</w:t>
      </w:r>
    </w:p>
    <w:p w14:paraId="3A739E31" w14:textId="77777777" w:rsidR="00B903A5" w:rsidRPr="005B0796" w:rsidRDefault="00B903A5" w:rsidP="00B903A5">
      <w:r w:rsidRPr="005B0796">
        <w:t xml:space="preserve">This section of the survey aimed to ascertain what role the </w:t>
      </w:r>
      <w:r>
        <w:t>internet</w:t>
      </w:r>
      <w:r w:rsidRPr="005B0796">
        <w:t xml:space="preserve"> played in improving the mental health and wellbeing of participants. Items looking at </w:t>
      </w:r>
      <w:r>
        <w:t>internet</w:t>
      </w:r>
      <w:r w:rsidRPr="005B0796">
        <w:t xml:space="preserve"> usage were taken from the Young and Well National Survey </w:t>
      </w:r>
      <w:r>
        <w:rPr>
          <w:noProof/>
        </w:rPr>
        <w:t>(Burns et al., 2013)</w:t>
      </w:r>
      <w:r w:rsidRPr="005B0796">
        <w:t xml:space="preserve"> and looked specifically at </w:t>
      </w:r>
      <w:r>
        <w:t>internet</w:t>
      </w:r>
      <w:r w:rsidRPr="005B0796">
        <w:t xml:space="preserve"> usage patterns, means of accessing the </w:t>
      </w:r>
      <w:r>
        <w:t>internet</w:t>
      </w:r>
      <w:r w:rsidRPr="005B0796">
        <w:t xml:space="preserve">, the use of the </w:t>
      </w:r>
      <w:r>
        <w:t>internet</w:t>
      </w:r>
      <w:r w:rsidRPr="005B0796">
        <w:t xml:space="preserve"> for social support, the use of the </w:t>
      </w:r>
      <w:r>
        <w:t>internet</w:t>
      </w:r>
      <w:r w:rsidRPr="005B0796">
        <w:t xml:space="preserve"> for obtaining information relating to mental health, the use of the </w:t>
      </w:r>
      <w:r>
        <w:t>internet</w:t>
      </w:r>
      <w:r w:rsidRPr="005B0796">
        <w:t xml:space="preserve"> for managing mental health, barriers to using the </w:t>
      </w:r>
      <w:r>
        <w:t>internet</w:t>
      </w:r>
      <w:r w:rsidRPr="005B0796">
        <w:t xml:space="preserve"> for mental health and the efficacy of the </w:t>
      </w:r>
      <w:r>
        <w:t>internet</w:t>
      </w:r>
      <w:r w:rsidRPr="005B0796">
        <w:t xml:space="preserve"> in meeting needs.</w:t>
      </w:r>
    </w:p>
    <w:p w14:paraId="00889D43" w14:textId="77777777" w:rsidR="00B903A5" w:rsidRPr="005B0796" w:rsidRDefault="00B903A5" w:rsidP="00B903A5">
      <w:pPr>
        <w:pStyle w:val="Heading5"/>
        <w:rPr>
          <w:lang w:val="en-AU"/>
        </w:rPr>
      </w:pPr>
      <w:r w:rsidRPr="005B0796">
        <w:rPr>
          <w:lang w:val="en-AU"/>
        </w:rPr>
        <w:t>Emerging technologies</w:t>
      </w:r>
    </w:p>
    <w:p w14:paraId="1405D68E" w14:textId="77777777" w:rsidR="00B903A5" w:rsidRPr="005B0796" w:rsidRDefault="00B903A5" w:rsidP="00B903A5">
      <w:r w:rsidRPr="005B0796">
        <w:t xml:space="preserve">The use of new and emerging technologies for health and wellbeing was assessed via a series of items developed by Young and Well Co-operative Research Centre </w:t>
      </w:r>
      <w:r>
        <w:rPr>
          <w:noProof/>
        </w:rPr>
        <w:t>(Burns et al., 2013; Young and Well Cooperative Research Centre, 2013)</w:t>
      </w:r>
      <w:r w:rsidRPr="005B0796">
        <w:t>. Questions looked at participants’ current usage of new and emerging technologies, barriers to usage, types of new and emerging technologies utilised, the use of new and emerging technologies for health and wellbeing improvement, reasons for using new and emerging technologies for health and wellbeing, other reasons for using new and emerging technologies, the types of new and emerging technologies participants would utilise if money was not a factor, and finally the early adoption of new technologies</w:t>
      </w:r>
      <w:r>
        <w:t>.</w:t>
      </w:r>
      <w:r w:rsidRPr="005B0796">
        <w:t xml:space="preserve"> </w:t>
      </w:r>
    </w:p>
    <w:p w14:paraId="3F04B671" w14:textId="77777777" w:rsidR="00B903A5" w:rsidRPr="005B0796" w:rsidRDefault="00B903A5" w:rsidP="00B903A5">
      <w:pPr>
        <w:pStyle w:val="Heading5"/>
        <w:rPr>
          <w:lang w:val="en-AU"/>
        </w:rPr>
      </w:pPr>
      <w:r w:rsidRPr="005B0796">
        <w:rPr>
          <w:lang w:val="en-AU"/>
        </w:rPr>
        <w:t>Head injuries</w:t>
      </w:r>
    </w:p>
    <w:p w14:paraId="32D7DC83" w14:textId="77777777" w:rsidR="00B903A5" w:rsidRPr="005B0796" w:rsidRDefault="00B903A5" w:rsidP="00B903A5">
      <w:pPr>
        <w:rPr>
          <w:rFonts w:cs="Arial"/>
          <w:lang w:eastAsia="en-AU"/>
        </w:rPr>
      </w:pPr>
      <w:r w:rsidRPr="005B0796">
        <w:rPr>
          <w:lang w:eastAsia="en-AU"/>
        </w:rPr>
        <w:t xml:space="preserve">This section of the survey comprised </w:t>
      </w:r>
      <w:r>
        <w:rPr>
          <w:lang w:eastAsia="en-AU"/>
        </w:rPr>
        <w:t>two</w:t>
      </w:r>
      <w:r w:rsidRPr="005B0796">
        <w:rPr>
          <w:lang w:eastAsia="en-AU"/>
        </w:rPr>
        <w:t xml:space="preserve"> scales. </w:t>
      </w:r>
      <w:r>
        <w:rPr>
          <w:lang w:eastAsia="en-AU"/>
        </w:rPr>
        <w:t>The first was</w:t>
      </w:r>
      <w:r w:rsidRPr="005B0796">
        <w:rPr>
          <w:lang w:eastAsia="en-AU"/>
        </w:rPr>
        <w:t xml:space="preserve"> a self-report version of the Ohio State University Traumatic Brain Injury Identification Method (OSU TBI-ID) </w:t>
      </w:r>
      <w:r>
        <w:rPr>
          <w:noProof/>
          <w:lang w:eastAsia="en-AU"/>
        </w:rPr>
        <w:t>(Corrigan &amp; Bogner, 2007)</w:t>
      </w:r>
      <w:r w:rsidRPr="005B0796">
        <w:rPr>
          <w:lang w:eastAsia="en-AU"/>
        </w:rPr>
        <w:t xml:space="preserve">, which was adapted by researchers for specific use in the current </w:t>
      </w:r>
      <w:r>
        <w:rPr>
          <w:lang w:eastAsia="en-AU"/>
        </w:rPr>
        <w:t>P</w:t>
      </w:r>
      <w:r w:rsidRPr="005B0796">
        <w:rPr>
          <w:lang w:eastAsia="en-AU"/>
        </w:rPr>
        <w:t>rogramme. The OSU TBI-ID is a standardised measure designed to elicit an individual’s lifetime history of traumatic brain injury (TBI). Questions focused on the types of head/neck injuries incurred, symptoms experienced (e.g. loss of consciousness, being dazed and confused, loss of memory)</w:t>
      </w:r>
      <w:r>
        <w:rPr>
          <w:lang w:eastAsia="en-AU"/>
        </w:rPr>
        <w:t>,</w:t>
      </w:r>
      <w:r w:rsidRPr="005B0796">
        <w:rPr>
          <w:lang w:eastAsia="en-AU"/>
        </w:rPr>
        <w:t xml:space="preserve"> age the first and last time the symptoms occurred, frequency of symptoms, loss of consciousness related to a drug overdose or being choked, and finally the occurrence of multiple blows to the head in relation to a history of abuse, contact sports or ADF training/ deployment. </w:t>
      </w:r>
      <w:r>
        <w:rPr>
          <w:lang w:eastAsia="en-AU"/>
        </w:rPr>
        <w:t>The second scale was</w:t>
      </w:r>
      <w:r w:rsidRPr="005B0796">
        <w:rPr>
          <w:lang w:eastAsia="en-AU"/>
        </w:rPr>
        <w:t xml:space="preserve"> a modified version of the Post-concussion Syndrome Checklist (PCS)</w:t>
      </w:r>
      <w:r>
        <w:rPr>
          <w:lang w:eastAsia="en-AU"/>
        </w:rPr>
        <w:t xml:space="preserve"> </w:t>
      </w:r>
      <w:r>
        <w:rPr>
          <w:noProof/>
          <w:lang w:eastAsia="en-AU"/>
        </w:rPr>
        <w:t>(Gouvier et al., 1992)</w:t>
      </w:r>
      <w:r w:rsidRPr="005B0796">
        <w:rPr>
          <w:lang w:eastAsia="en-AU"/>
        </w:rPr>
        <w:t>, which</w:t>
      </w:r>
      <w:r w:rsidRPr="005B0796">
        <w:rPr>
          <w:rFonts w:cs="Arial"/>
          <w:lang w:eastAsia="en-AU"/>
        </w:rPr>
        <w:t xml:space="preserve"> was utilised as part of the 2012 </w:t>
      </w:r>
      <w:bookmarkStart w:id="1429" w:name="_Hlk489455218"/>
      <w:r w:rsidRPr="005B0796">
        <w:rPr>
          <w:rFonts w:cs="Arial"/>
          <w:lang w:eastAsia="en-AU"/>
        </w:rPr>
        <w:t xml:space="preserve">Middle East Area of Operations </w:t>
      </w:r>
      <w:bookmarkEnd w:id="1429"/>
      <w:r w:rsidRPr="005B0796">
        <w:rPr>
          <w:rFonts w:cs="Arial"/>
          <w:lang w:eastAsia="en-AU"/>
        </w:rPr>
        <w:t xml:space="preserve">Health Study </w:t>
      </w:r>
      <w:r>
        <w:rPr>
          <w:rFonts w:cs="Arial"/>
          <w:noProof/>
          <w:lang w:eastAsia="en-AU"/>
        </w:rPr>
        <w:t>(Davy et al., 2012)</w:t>
      </w:r>
      <w:r w:rsidRPr="005B0796">
        <w:rPr>
          <w:rFonts w:cs="Arial"/>
          <w:lang w:eastAsia="en-AU"/>
        </w:rPr>
        <w:t xml:space="preserve">. This modified version of the scale required participants to indicate the degree to which they had experienced a list of 11 symptoms in the past </w:t>
      </w:r>
      <w:r>
        <w:rPr>
          <w:rFonts w:cs="Arial"/>
          <w:lang w:eastAsia="en-AU"/>
        </w:rPr>
        <w:t>four</w:t>
      </w:r>
      <w:r w:rsidRPr="005B0796">
        <w:rPr>
          <w:rFonts w:cs="Arial"/>
          <w:lang w:eastAsia="en-AU"/>
        </w:rPr>
        <w:t xml:space="preserve"> weeks as a result of an injury to their head or neck. </w:t>
      </w:r>
    </w:p>
    <w:p w14:paraId="1E336C74" w14:textId="77777777" w:rsidR="00B903A5" w:rsidRPr="005B0796" w:rsidRDefault="00B903A5" w:rsidP="00B903A5">
      <w:pPr>
        <w:pStyle w:val="Heading5"/>
        <w:rPr>
          <w:lang w:val="en-AU"/>
        </w:rPr>
      </w:pPr>
      <w:r w:rsidRPr="005B0796">
        <w:rPr>
          <w:lang w:val="en-AU"/>
        </w:rPr>
        <w:t>Physical exercise</w:t>
      </w:r>
    </w:p>
    <w:p w14:paraId="35D44FF8" w14:textId="77777777" w:rsidR="00B903A5" w:rsidRPr="005B0796" w:rsidRDefault="00B903A5" w:rsidP="00B903A5">
      <w:pPr>
        <w:rPr>
          <w:rFonts w:cs="Arial"/>
        </w:rPr>
      </w:pPr>
      <w:r w:rsidRPr="005B0796">
        <w:t>In order to assess physical activity, participants were asked to complete the Short Last 7 Days Self-Administered version of</w:t>
      </w:r>
      <w:r>
        <w:t xml:space="preserve"> t</w:t>
      </w:r>
      <w:r w:rsidRPr="005B0796">
        <w:t xml:space="preserve">he International Physical Activity Questionnaire </w:t>
      </w:r>
      <w:r>
        <w:rPr>
          <w:noProof/>
        </w:rPr>
        <w:t>(IPAQ, 2002)</w:t>
      </w:r>
      <w:r w:rsidRPr="005B0796">
        <w:t>. Questions asked participants to indicate t</w:t>
      </w:r>
      <w:r w:rsidRPr="005B0796">
        <w:rPr>
          <w:rFonts w:cs="Arial"/>
        </w:rPr>
        <w:t xml:space="preserve">he number of days, the number of times, and the amount of time they spent doing vigorous, moderate and light physical activity in the last </w:t>
      </w:r>
      <w:r>
        <w:rPr>
          <w:rFonts w:cs="Arial"/>
        </w:rPr>
        <w:t>seven</w:t>
      </w:r>
      <w:r w:rsidRPr="005B0796">
        <w:rPr>
          <w:rFonts w:cs="Arial"/>
        </w:rPr>
        <w:t xml:space="preserve"> days, as well as the amount of time they spent sedentary. </w:t>
      </w:r>
    </w:p>
    <w:p w14:paraId="2D0CAEEB" w14:textId="77777777" w:rsidR="00B903A5" w:rsidRPr="005B0796" w:rsidRDefault="00B903A5" w:rsidP="00B903A5">
      <w:pPr>
        <w:pStyle w:val="Heading5"/>
        <w:rPr>
          <w:lang w:val="en-AU"/>
        </w:rPr>
      </w:pPr>
      <w:r w:rsidRPr="005B0796">
        <w:rPr>
          <w:lang w:val="en-AU"/>
        </w:rPr>
        <w:t>Pain</w:t>
      </w:r>
    </w:p>
    <w:p w14:paraId="5A9F2E55" w14:textId="77777777" w:rsidR="00B903A5" w:rsidRPr="005B0796" w:rsidRDefault="00B903A5" w:rsidP="00B903A5">
      <w:r w:rsidRPr="005B0796">
        <w:rPr>
          <w:rFonts w:cs="Arial"/>
        </w:rPr>
        <w:t xml:space="preserve">Items assessing pain intensity and disability were taken from the </w:t>
      </w:r>
      <w:r w:rsidRPr="005B0796">
        <w:t>Australian Gulf War Veterans</w:t>
      </w:r>
      <w:r>
        <w:t>’</w:t>
      </w:r>
      <w:r w:rsidRPr="005B0796">
        <w:t xml:space="preserve"> Health Study 2011</w:t>
      </w:r>
      <w:r>
        <w:t xml:space="preserve"> </w:t>
      </w:r>
      <w:r w:rsidRPr="005B0796">
        <w:t xml:space="preserve">follow-up </w:t>
      </w:r>
      <w:r>
        <w:rPr>
          <w:noProof/>
        </w:rPr>
        <w:t>(Sim et al., 2015)</w:t>
      </w:r>
      <w:r w:rsidRPr="005B0796">
        <w:t xml:space="preserve">. Participants were asked to answer a series of questions on a scale of 1 to 10 about their current pain, worst pain and average pain in the last </w:t>
      </w:r>
      <w:r>
        <w:t>six</w:t>
      </w:r>
      <w:r w:rsidRPr="005B0796">
        <w:t xml:space="preserve">-month period. Participants were also asked to indicate how much their pain had interfered with their daily activities, their recreational/social activities and their ability to work in the last </w:t>
      </w:r>
      <w:r>
        <w:t>six</w:t>
      </w:r>
      <w:r w:rsidRPr="005B0796">
        <w:t xml:space="preserve"> months. </w:t>
      </w:r>
    </w:p>
    <w:p w14:paraId="27C15F3A" w14:textId="77777777" w:rsidR="00B903A5" w:rsidRPr="005B0796" w:rsidRDefault="00B903A5" w:rsidP="00B903A5">
      <w:pPr>
        <w:pStyle w:val="Heading5"/>
        <w:rPr>
          <w:lang w:val="en-AU"/>
        </w:rPr>
      </w:pPr>
      <w:r w:rsidRPr="005B0796">
        <w:rPr>
          <w:lang w:val="en-AU"/>
        </w:rPr>
        <w:t>Injuries</w:t>
      </w:r>
    </w:p>
    <w:p w14:paraId="406F0093" w14:textId="77777777" w:rsidR="00B903A5" w:rsidRPr="005B0796" w:rsidRDefault="00B903A5" w:rsidP="00B903A5">
      <w:r w:rsidRPr="005B0796">
        <w:t>This section of the survey was developed by researchers for the current Programme and looked at injuries sustained during an individual’s military career that required time off work. For each injury type, participants were asked to specify how many injuries were sustained during their military career, how many were sustained whil</w:t>
      </w:r>
      <w:r>
        <w:t>e</w:t>
      </w:r>
      <w:r w:rsidRPr="005B0796">
        <w:t xml:space="preserve"> on deployment and how many were sustained during training. Participants were also asked to indicate all the body sites where the injuries occurred. </w:t>
      </w:r>
    </w:p>
    <w:p w14:paraId="7D75CC55" w14:textId="77777777" w:rsidR="00B903A5" w:rsidRPr="005B0796" w:rsidRDefault="00B903A5" w:rsidP="00B903A5">
      <w:pPr>
        <w:pStyle w:val="Heading5"/>
        <w:rPr>
          <w:lang w:val="en-AU"/>
        </w:rPr>
      </w:pPr>
      <w:r w:rsidRPr="005B0796">
        <w:rPr>
          <w:lang w:val="en-AU"/>
        </w:rPr>
        <w:t>Respiratory health</w:t>
      </w:r>
    </w:p>
    <w:p w14:paraId="2B2CDD47" w14:textId="77777777" w:rsidR="00B903A5" w:rsidRPr="005B0796" w:rsidRDefault="00B903A5" w:rsidP="00B903A5">
      <w:r w:rsidRPr="005B0796">
        <w:t xml:space="preserve">This section of the survey asked participants about any respiratory symptoms experienced in the </w:t>
      </w:r>
      <w:r>
        <w:t>l</w:t>
      </w:r>
      <w:r w:rsidRPr="005B0796">
        <w:t xml:space="preserve">ast 12 months. Items were derived from the European Community Respiratory Health Survey 1 </w:t>
      </w:r>
      <w:r>
        <w:rPr>
          <w:noProof/>
        </w:rPr>
        <w:t xml:space="preserve">(Burney, </w:t>
      </w:r>
      <w:r w:rsidRPr="00B41BE0">
        <w:rPr>
          <w:noProof/>
        </w:rPr>
        <w:t>Luczynska, Chinn, &amp; Jarvi</w:t>
      </w:r>
      <w:r>
        <w:rPr>
          <w:noProof/>
        </w:rPr>
        <w:t>s, 1994)</w:t>
      </w:r>
      <w:r w:rsidRPr="005B0796">
        <w:t>.</w:t>
      </w:r>
      <w:r>
        <w:t xml:space="preserve"> </w:t>
      </w:r>
      <w:r w:rsidRPr="005B0796">
        <w:t xml:space="preserve">Examples of symptoms that were assessed include wheezing or whistling, breathlessness, tightness in the chest, shortness of breath, coughing, phlegm, nasal allergies and asthma. </w:t>
      </w:r>
    </w:p>
    <w:p w14:paraId="7331C521" w14:textId="77777777" w:rsidR="00B903A5" w:rsidRPr="005B0796" w:rsidRDefault="00B903A5" w:rsidP="00B903A5">
      <w:pPr>
        <w:pStyle w:val="Heading5"/>
        <w:rPr>
          <w:lang w:val="en-AU"/>
        </w:rPr>
      </w:pPr>
      <w:r w:rsidRPr="005B0796">
        <w:rPr>
          <w:lang w:val="en-AU"/>
        </w:rPr>
        <w:t>Physical health</w:t>
      </w:r>
    </w:p>
    <w:p w14:paraId="5764891C" w14:textId="77777777" w:rsidR="00B903A5" w:rsidRPr="005B0796" w:rsidRDefault="00B903A5" w:rsidP="00B903A5">
      <w:r w:rsidRPr="005B0796">
        <w:t>Items assessing current physical health were taken from the Australian Gulf War Veterans</w:t>
      </w:r>
      <w:r>
        <w:t>’</w:t>
      </w:r>
      <w:r w:rsidRPr="005B0796">
        <w:t xml:space="preserve"> Health Study 2011 follow-up </w:t>
      </w:r>
      <w:r>
        <w:rPr>
          <w:noProof/>
        </w:rPr>
        <w:t>(Sim et al., 2015)</w:t>
      </w:r>
      <w:r w:rsidRPr="005B0796">
        <w:t xml:space="preserve">. This 67-item adapted version of </w:t>
      </w:r>
      <w:r>
        <w:t xml:space="preserve">the </w:t>
      </w:r>
      <w:r w:rsidRPr="005B0796">
        <w:t>self-report symptom questionnaire included respiratory, cardiovascular, musculoskeletal, dermatological, gastrointestinal, genitourinary, neurological and cognitive symptoms. For every symptom experienced within the past month, participants were also required to provide an indication of symptom severity on a 3-point Likert scale (mild, moderate, severe).</w:t>
      </w:r>
    </w:p>
    <w:p w14:paraId="46ECD668" w14:textId="77777777" w:rsidR="00B903A5" w:rsidRPr="005B0796" w:rsidRDefault="00B903A5" w:rsidP="00B903A5">
      <w:pPr>
        <w:pStyle w:val="Heading5"/>
        <w:rPr>
          <w:lang w:val="en-AU"/>
        </w:rPr>
      </w:pPr>
      <w:r w:rsidRPr="005B0796">
        <w:rPr>
          <w:lang w:val="en-AU"/>
        </w:rPr>
        <w:t>Doctor</w:t>
      </w:r>
      <w:r>
        <w:rPr>
          <w:lang w:val="en-AU"/>
        </w:rPr>
        <w:t>-</w:t>
      </w:r>
      <w:r w:rsidRPr="005B0796">
        <w:rPr>
          <w:lang w:val="en-AU"/>
        </w:rPr>
        <w:t>diagnosed medical conditions</w:t>
      </w:r>
    </w:p>
    <w:p w14:paraId="06EA2874" w14:textId="77777777" w:rsidR="00B903A5" w:rsidRPr="005B0796" w:rsidRDefault="00B903A5" w:rsidP="00B903A5">
      <w:r w:rsidRPr="005B0796">
        <w:t>This 44-item self-report questionnaire asked participants about medical problems or conditions they had been diagnosed with or treated for by a medical doctor over their lifetime. If a participant said yes to any of the items listed, they were also asked to specify the year they were first diagnosed, whether they had been treated by a doctor for the condition in the past year and</w:t>
      </w:r>
      <w:r>
        <w:t>,</w:t>
      </w:r>
      <w:r w:rsidRPr="005B0796">
        <w:t xml:space="preserve"> finally</w:t>
      </w:r>
      <w:r>
        <w:t>,</w:t>
      </w:r>
      <w:r w:rsidRPr="005B0796">
        <w:t xml:space="preserve"> whether they had taken medications for the condition in the past month. Items in this section were derived </w:t>
      </w:r>
      <w:r w:rsidR="008A5AB0">
        <w:t xml:space="preserve">from the </w:t>
      </w:r>
      <w:r w:rsidRPr="005B0796">
        <w:t>Australian Gulf War Veterans</w:t>
      </w:r>
      <w:r>
        <w:t>’</w:t>
      </w:r>
      <w:r w:rsidRPr="005B0796">
        <w:t xml:space="preserve"> Health Study 2011</w:t>
      </w:r>
      <w:r>
        <w:t xml:space="preserve"> </w:t>
      </w:r>
      <w:r w:rsidRPr="005B0796">
        <w:t xml:space="preserve">follow-up </w:t>
      </w:r>
      <w:r>
        <w:rPr>
          <w:noProof/>
        </w:rPr>
        <w:t>(Sim et al., 2015)</w:t>
      </w:r>
      <w:r w:rsidRPr="005B0796">
        <w:t>.</w:t>
      </w:r>
    </w:p>
    <w:p w14:paraId="601EA75B" w14:textId="77777777" w:rsidR="00B903A5" w:rsidRPr="005B0796" w:rsidRDefault="00B903A5" w:rsidP="00B903A5">
      <w:r w:rsidRPr="005B0796">
        <w:t xml:space="preserve">For more detail </w:t>
      </w:r>
      <w:r>
        <w:t>about</w:t>
      </w:r>
      <w:r w:rsidRPr="005B0796">
        <w:t xml:space="preserve"> the individual measures listed in the previous section</w:t>
      </w:r>
      <w:r>
        <w:t>,</w:t>
      </w:r>
      <w:r w:rsidRPr="005B0796">
        <w:t xml:space="preserve"> including information about scoring, please refer to the relevant chapters in each commissioned report. </w:t>
      </w:r>
    </w:p>
    <w:p w14:paraId="13073743" w14:textId="77777777" w:rsidR="00B903A5" w:rsidRPr="005B0796" w:rsidRDefault="00B903A5" w:rsidP="00B903A5">
      <w:pPr>
        <w:pStyle w:val="Heading3b"/>
        <w:numPr>
          <w:ilvl w:val="2"/>
          <w:numId w:val="11"/>
        </w:numPr>
        <w:rPr>
          <w:rFonts w:asciiTheme="minorHAnsi" w:hAnsiTheme="minorHAnsi"/>
        </w:rPr>
      </w:pPr>
      <w:bookmarkStart w:id="1430" w:name="_Toc297295800"/>
      <w:bookmarkStart w:id="1431" w:name="_Toc487011300"/>
      <w:bookmarkStart w:id="1432" w:name="_Toc493663195"/>
      <w:r w:rsidRPr="005B0796">
        <w:t>Phase 2: Diagnostic interview</w:t>
      </w:r>
      <w:bookmarkEnd w:id="1430"/>
      <w:bookmarkEnd w:id="1431"/>
      <w:bookmarkEnd w:id="1432"/>
    </w:p>
    <w:p w14:paraId="16DFB9B8" w14:textId="77777777" w:rsidR="00B903A5" w:rsidRPr="005B0796" w:rsidRDefault="00B903A5" w:rsidP="00B903A5">
      <w:r w:rsidRPr="005B0796">
        <w:t xml:space="preserve">In phase 2 of the research, a sub-sample of individuals was selected to participate in a one-hour telephone interview using </w:t>
      </w:r>
      <w:r>
        <w:t xml:space="preserve">the </w:t>
      </w:r>
      <w:r w:rsidRPr="005B0796">
        <w:t xml:space="preserve">CIDI </w:t>
      </w:r>
      <w:r>
        <w:rPr>
          <w:noProof/>
        </w:rPr>
        <w:t>(Kessler &amp; Ustun, 2004)</w:t>
      </w:r>
      <w:r w:rsidRPr="005B0796">
        <w:t xml:space="preserve">. </w:t>
      </w:r>
    </w:p>
    <w:p w14:paraId="1FE47A0C" w14:textId="77777777" w:rsidR="00B903A5" w:rsidRPr="005B0796" w:rsidRDefault="00B903A5" w:rsidP="00B903A5">
      <w:r w:rsidRPr="005B0796">
        <w:t xml:space="preserve">The CIDI provided the research team with an assessment of mental disorders based on the definitions and criteria of two classification systems: </w:t>
      </w:r>
      <w:r>
        <w:t>t</w:t>
      </w:r>
      <w:r w:rsidRPr="005B0796">
        <w:t xml:space="preserve">he </w:t>
      </w:r>
      <w:r w:rsidRPr="005B0796">
        <w:rPr>
          <w:i/>
        </w:rPr>
        <w:t>Diagnostic and Statistical Manual of Mental Disorders</w:t>
      </w:r>
      <w:r w:rsidRPr="006A3EA0">
        <w:t>, Fourth Edition</w:t>
      </w:r>
      <w:r w:rsidRPr="005B0796">
        <w:t xml:space="preserve"> (DSM-IV) and the International Statistical Classification of Diseases and Related Health Problems – 10th Revision (ICD-10)</w:t>
      </w:r>
      <w:r>
        <w:t xml:space="preserve"> </w:t>
      </w:r>
      <w:r>
        <w:rPr>
          <w:noProof/>
        </w:rPr>
        <w:t>(World Health Organization, 1994)</w:t>
      </w:r>
      <w:r w:rsidRPr="005B0796">
        <w:t>. The CIDI was selected because of its highly structured nature and its vast use in epidemiological studies worldwide, including the 2010 Mental Health Wellbeing Prevalence Study conducted by CTSS and the 2007 National Survey of Mental Health and Wellbeing</w:t>
      </w:r>
      <w:r w:rsidRPr="005B0796">
        <w:rPr>
          <w:rFonts w:eastAsia="Times" w:cs="Arial"/>
        </w:rPr>
        <w:t xml:space="preserve">, </w:t>
      </w:r>
      <w:r w:rsidRPr="005B0796">
        <w:t>conducted by the Australian Bureau of Statistics.</w:t>
      </w:r>
      <w:r w:rsidRPr="005B0796">
        <w:rPr>
          <w:rFonts w:cs="Arial"/>
        </w:rPr>
        <w:t xml:space="preserve"> </w:t>
      </w:r>
    </w:p>
    <w:p w14:paraId="1B2AECA9" w14:textId="77777777" w:rsidR="00B903A5" w:rsidRPr="005B0796" w:rsidRDefault="00B903A5" w:rsidP="00B903A5">
      <w:r w:rsidRPr="005B0796">
        <w:t>The CIDI was administered to consenting participants by a team of trained interviewers from the Hunter Research Foundation in Newcastle, NSW. Their diagnostic inter-rater reliability was closely monitored by supervisors based at the research centre throughout the study period.</w:t>
      </w:r>
    </w:p>
    <w:p w14:paraId="58C5E21D" w14:textId="77777777" w:rsidR="00B903A5" w:rsidRPr="005B0796" w:rsidRDefault="00B903A5" w:rsidP="00B903A5">
      <w:pPr>
        <w:pStyle w:val="Heading4"/>
      </w:pPr>
      <w:r w:rsidRPr="005B0796">
        <w:t>12-month and lifetime ICD-10 mental disorders</w:t>
      </w:r>
    </w:p>
    <w:p w14:paraId="3A8060C1" w14:textId="77777777" w:rsidR="00B903A5" w:rsidRPr="005B0796" w:rsidRDefault="00B903A5" w:rsidP="00B903A5">
      <w:pPr>
        <w:rPr>
          <w:rFonts w:cs="Arial"/>
        </w:rPr>
      </w:pPr>
      <w:r w:rsidRPr="005B0796">
        <w:t xml:space="preserve">The CIDI was used to assess the 12-month and lifetime ICD-10 rates for depressive episode, dysthymia, bipolar affective disorder, panic attack, panic disorder, agoraphobia, social phobia, specific phobia, GAD, obsessive-compulsive disorder, PTSD, adult separation disorder, harmful alcohol use and dependence, suicidal ideation and behaviour, and intermittent explosive disorder. Clinical calibration studies report that the CIDI has good validity </w:t>
      </w:r>
      <w:r>
        <w:rPr>
          <w:noProof/>
        </w:rPr>
        <w:t>(Haro et al., 2006)</w:t>
      </w:r>
      <w:r w:rsidRPr="005B0796">
        <w:t>.</w:t>
      </w:r>
      <w:r w:rsidRPr="005B0796">
        <w:rPr>
          <w:rFonts w:cs="Arial"/>
        </w:rPr>
        <w:t xml:space="preserve"> Throughout the report, ICD-10 prevalence rates have been presented with hierarchy rules applied to directly compare them with the Australian national rates </w:t>
      </w:r>
      <w:r>
        <w:rPr>
          <w:rFonts w:cs="Arial"/>
          <w:noProof/>
        </w:rPr>
        <w:t>(Slade et al., 2009)</w:t>
      </w:r>
      <w:r w:rsidRPr="005B0796">
        <w:rPr>
          <w:rFonts w:cs="Arial"/>
        </w:rPr>
        <w:t xml:space="preserve">. For all ICD-10 disorders, the standard CIDI algorithms were applied; therefore, to qualify for a 12-month diagnosis, individuals would be required to meet </w:t>
      </w:r>
      <w:r>
        <w:rPr>
          <w:rFonts w:cs="Arial"/>
        </w:rPr>
        <w:t xml:space="preserve">the </w:t>
      </w:r>
      <w:r w:rsidRPr="005B0796">
        <w:rPr>
          <w:rFonts w:cs="Arial"/>
        </w:rPr>
        <w:t xml:space="preserve">lifetime criteria initially and then have reported symptoms in the 12 months before the interview. </w:t>
      </w:r>
    </w:p>
    <w:p w14:paraId="6A0CAD5E" w14:textId="77777777" w:rsidR="00B903A5" w:rsidRPr="005B0796" w:rsidRDefault="00B903A5" w:rsidP="00B903A5">
      <w:pPr>
        <w:pStyle w:val="Heading4"/>
      </w:pPr>
      <w:r w:rsidRPr="005B0796">
        <w:t xml:space="preserve">Lifetime trauma exposure </w:t>
      </w:r>
    </w:p>
    <w:p w14:paraId="0363E683" w14:textId="77777777" w:rsidR="00B903A5" w:rsidRPr="005B0796" w:rsidRDefault="00B903A5" w:rsidP="00B903A5">
      <w:pPr>
        <w:rPr>
          <w:rFonts w:cs="\I'48ﬁˇøÊ∞—"/>
          <w:lang w:eastAsia="en-AU"/>
        </w:rPr>
      </w:pPr>
      <w:r w:rsidRPr="005B0796">
        <w:t>Lifetime exposure to trauma was examined as part of the PTSD module of the CIDI. The following criterion A events listed in the CIDI were examined:</w:t>
      </w:r>
      <w:r w:rsidRPr="005B0796">
        <w:rPr>
          <w:rFonts w:cs="\I'48ﬁˇøÊ∞—"/>
          <w:lang w:eastAsia="en-AU"/>
        </w:rPr>
        <w:t xml:space="preserve"> combat (military or organised non-military group); being a peacekeeper in a war zone or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parent or guardian as a child;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 and experiencing any other event that the participant did not want to talk about.</w:t>
      </w:r>
    </w:p>
    <w:p w14:paraId="2A8EF0A1" w14:textId="77777777" w:rsidR="00B903A5" w:rsidRPr="005B0796" w:rsidRDefault="00B903A5" w:rsidP="00B903A5">
      <w:pPr>
        <w:pStyle w:val="Heading2b"/>
        <w:numPr>
          <w:ilvl w:val="1"/>
          <w:numId w:val="11"/>
        </w:numPr>
      </w:pPr>
      <w:bookmarkStart w:id="1433" w:name="_Toc341700585"/>
      <w:bookmarkStart w:id="1434" w:name="_Toc482021450"/>
      <w:bookmarkStart w:id="1435" w:name="_Toc482024541"/>
      <w:bookmarkStart w:id="1436" w:name="_Toc484594361"/>
      <w:bookmarkStart w:id="1437" w:name="_Toc487011301"/>
      <w:bookmarkStart w:id="1438" w:name="_Toc493663196"/>
      <w:bookmarkStart w:id="1439" w:name="_Toc494449813"/>
      <w:r w:rsidRPr="005B0796">
        <w:t>Stratification procedure</w:t>
      </w:r>
      <w:bookmarkEnd w:id="1433"/>
      <w:bookmarkEnd w:id="1434"/>
      <w:bookmarkEnd w:id="1435"/>
      <w:bookmarkEnd w:id="1436"/>
      <w:bookmarkEnd w:id="1437"/>
      <w:bookmarkEnd w:id="1438"/>
      <w:bookmarkEnd w:id="1439"/>
    </w:p>
    <w:p w14:paraId="48B21D70" w14:textId="77777777" w:rsidR="00B903A5" w:rsidRPr="005B0796" w:rsidRDefault="00B903A5" w:rsidP="00B903A5">
      <w:bookmarkStart w:id="1440" w:name="_Toc341700586"/>
      <w:r w:rsidRPr="005B0796">
        <w:t xml:space="preserve">In phase 2 of the research, 1807 Transitioned ADF members were invited to participate in a one-hour telephone interview using the CIDI </w:t>
      </w:r>
      <w:r>
        <w:rPr>
          <w:noProof/>
        </w:rPr>
        <w:t>(Kessler &amp; Ustun, 2004)</w:t>
      </w:r>
      <w:r w:rsidRPr="005B0796">
        <w:t xml:space="preserve">. In addition to two subgroups of Transitioned ADF in Sample 5 (Combat Zone) and Sample 6 (MHPWS), who were all eligible to complete a CIDI, CIDI invitations preferenced </w:t>
      </w:r>
      <w:r w:rsidRPr="005B0796">
        <w:rPr>
          <w:rFonts w:cs="Calibri"/>
        </w:rPr>
        <w:t xml:space="preserve">groups accounting for the smallest proportion of the actual population (for example, females) and those with high scores on the </w:t>
      </w:r>
      <w:r w:rsidRPr="005B0796">
        <w:rPr>
          <w:rFonts w:asciiTheme="minorHAnsi" w:hAnsiTheme="minorHAnsi"/>
        </w:rPr>
        <w:t>Posttraumatic Stress Disorder Checklist (</w:t>
      </w:r>
      <w:r w:rsidRPr="005B0796">
        <w:rPr>
          <w:rFonts w:cs="Calibri"/>
        </w:rPr>
        <w:t xml:space="preserve">PCL) and AUDIT to increase representativeness of the sample and optimise the ability to capture low prevalence mental disorders. </w:t>
      </w:r>
    </w:p>
    <w:p w14:paraId="7420406E" w14:textId="77777777" w:rsidR="00B903A5" w:rsidRPr="005B0796" w:rsidRDefault="00B903A5" w:rsidP="00B903A5">
      <w:r>
        <w:t>For these reasons,</w:t>
      </w:r>
      <w:r w:rsidRPr="005B0796">
        <w:t xml:space="preserve"> these participants were selected for a CIDI interview based on rank, sex, </w:t>
      </w:r>
      <w:r>
        <w:t>s</w:t>
      </w:r>
      <w:r w:rsidRPr="005B0796">
        <w:t>ervice and scores on the PCL and AUDIT, with screening scores on the PCL and AUDIT categorised into the following three bands:</w:t>
      </w:r>
    </w:p>
    <w:p w14:paraId="1454A7A3" w14:textId="77777777" w:rsidR="00B903A5" w:rsidRPr="005B0796" w:rsidRDefault="00B903A5" w:rsidP="00466837">
      <w:pPr>
        <w:pStyle w:val="Bullet"/>
        <w:numPr>
          <w:ilvl w:val="0"/>
          <w:numId w:val="3"/>
        </w:numPr>
        <w:spacing w:after="80" w:line="265" w:lineRule="atLeast"/>
        <w:ind w:left="360"/>
      </w:pPr>
      <w:r w:rsidRPr="005B0796">
        <w:t>Band 3 = PCL &gt; 27, AUDIT &gt; 9</w:t>
      </w:r>
    </w:p>
    <w:p w14:paraId="0EAFCC71" w14:textId="77777777" w:rsidR="00B903A5" w:rsidRPr="005B0796" w:rsidRDefault="00B903A5" w:rsidP="00466837">
      <w:pPr>
        <w:pStyle w:val="Bullet"/>
        <w:numPr>
          <w:ilvl w:val="0"/>
          <w:numId w:val="3"/>
        </w:numPr>
        <w:spacing w:after="80" w:line="265" w:lineRule="atLeast"/>
        <w:ind w:left="360"/>
      </w:pPr>
      <w:r w:rsidRPr="005B0796">
        <w:t>Band 2 = PCL 21–27, AUDIT 7–9</w:t>
      </w:r>
    </w:p>
    <w:p w14:paraId="0942D5AF" w14:textId="77777777" w:rsidR="00B903A5" w:rsidRPr="005B0796" w:rsidRDefault="00B903A5" w:rsidP="00B903A5">
      <w:pPr>
        <w:pStyle w:val="Bullet"/>
        <w:numPr>
          <w:ilvl w:val="0"/>
          <w:numId w:val="3"/>
        </w:numPr>
        <w:ind w:left="360"/>
      </w:pPr>
      <w:r w:rsidRPr="005B0796">
        <w:t>Band 1 = PCL &lt; =20, AUDIT &lt; = 6</w:t>
      </w:r>
    </w:p>
    <w:p w14:paraId="640C4AC0" w14:textId="77777777" w:rsidR="00B903A5" w:rsidRPr="005B0796" w:rsidRDefault="00B903A5" w:rsidP="00B903A5">
      <w:r w:rsidRPr="005B0796">
        <w:t xml:space="preserve">Using the method proposed by </w:t>
      </w:r>
      <w:r>
        <w:rPr>
          <w:noProof/>
        </w:rPr>
        <w:t>(Salim &amp; Welsh, 2009)</w:t>
      </w:r>
      <w:r w:rsidRPr="005B0796">
        <w:t>, the stratification procedure aimed to oversample those respondents in Band 3 (greatest likelihood of disorder). A smaller proportion from bands 1 and 2 were also sampled, to control for the possibility of over-inflated mental disorder estimates. Transitioned ADF in samples 5 and 6 were also allocated a band, as can be seen in Table A.8, to ensure they were accounted for during sampling.</w:t>
      </w:r>
    </w:p>
    <w:p w14:paraId="469CA016" w14:textId="77777777" w:rsidR="00B903A5" w:rsidRPr="005B0796" w:rsidRDefault="00B903A5" w:rsidP="00B903A5">
      <w:r w:rsidRPr="005B0796">
        <w:t xml:space="preserve">Based on the predicted proportions of Transitioned ADF survey responders who would score in each band on the PCL and AUDIT, according to the population characteristics of sex, rank and </w:t>
      </w:r>
      <w:r>
        <w:t>s</w:t>
      </w:r>
      <w:r w:rsidRPr="005B0796">
        <w:t>ervice, the following stratification algorithm was used to generate lists of eligible CIDI participants from among Transitioned ADF survey completers who consented to complete a CIDI:</w:t>
      </w:r>
    </w:p>
    <w:p w14:paraId="01B63AE5" w14:textId="77777777" w:rsidR="00B903A5" w:rsidRPr="005B0796" w:rsidRDefault="00B903A5" w:rsidP="00466837">
      <w:pPr>
        <w:pStyle w:val="Bullet"/>
        <w:numPr>
          <w:ilvl w:val="0"/>
          <w:numId w:val="3"/>
        </w:numPr>
        <w:spacing w:after="80" w:line="265" w:lineRule="atLeast"/>
        <w:ind w:left="360"/>
      </w:pPr>
      <w:r w:rsidRPr="005B0796">
        <w:t>Band 3</w:t>
      </w:r>
    </w:p>
    <w:p w14:paraId="46FE20EF" w14:textId="77777777" w:rsidR="00B903A5" w:rsidRPr="005B0796" w:rsidRDefault="00B903A5" w:rsidP="00466837">
      <w:pPr>
        <w:pStyle w:val="Bullet"/>
        <w:numPr>
          <w:ilvl w:val="0"/>
          <w:numId w:val="3"/>
        </w:numPr>
        <w:spacing w:after="80" w:line="265" w:lineRule="atLeast"/>
        <w:ind w:left="360"/>
      </w:pPr>
      <w:r w:rsidRPr="005B0796">
        <w:t>Female Band 2</w:t>
      </w:r>
    </w:p>
    <w:p w14:paraId="1E423E14" w14:textId="77777777" w:rsidR="00B903A5" w:rsidRPr="005B0796" w:rsidRDefault="00B903A5" w:rsidP="00466837">
      <w:pPr>
        <w:pStyle w:val="Bullet"/>
        <w:numPr>
          <w:ilvl w:val="0"/>
          <w:numId w:val="3"/>
        </w:numPr>
        <w:spacing w:after="80" w:line="265" w:lineRule="atLeast"/>
        <w:ind w:left="360"/>
      </w:pPr>
      <w:r w:rsidRPr="005B0796">
        <w:t>Female Band 1</w:t>
      </w:r>
    </w:p>
    <w:p w14:paraId="6E545A28" w14:textId="77777777" w:rsidR="00B903A5" w:rsidRPr="005B0796" w:rsidRDefault="00B903A5" w:rsidP="00466837">
      <w:pPr>
        <w:pStyle w:val="Bullet"/>
        <w:numPr>
          <w:ilvl w:val="0"/>
          <w:numId w:val="3"/>
        </w:numPr>
        <w:spacing w:after="80" w:line="265" w:lineRule="atLeast"/>
        <w:ind w:left="360"/>
      </w:pPr>
      <w:r w:rsidRPr="005B0796">
        <w:t>Male Navy Band 2</w:t>
      </w:r>
    </w:p>
    <w:p w14:paraId="3513A904" w14:textId="77777777" w:rsidR="00B903A5" w:rsidRPr="005B0796" w:rsidRDefault="00B903A5" w:rsidP="00466837">
      <w:pPr>
        <w:pStyle w:val="Bullet"/>
        <w:numPr>
          <w:ilvl w:val="0"/>
          <w:numId w:val="3"/>
        </w:numPr>
        <w:spacing w:after="80" w:line="265" w:lineRule="atLeast"/>
        <w:ind w:left="360"/>
      </w:pPr>
      <w:r w:rsidRPr="005B0796">
        <w:t>Male Navy Band 3</w:t>
      </w:r>
    </w:p>
    <w:p w14:paraId="4E47DB4A" w14:textId="77777777" w:rsidR="00B903A5" w:rsidRPr="005B0796" w:rsidRDefault="00B903A5" w:rsidP="00466837">
      <w:pPr>
        <w:pStyle w:val="Bullet"/>
        <w:numPr>
          <w:ilvl w:val="0"/>
          <w:numId w:val="3"/>
        </w:numPr>
        <w:spacing w:after="80" w:line="265" w:lineRule="atLeast"/>
        <w:ind w:left="360"/>
      </w:pPr>
      <w:r w:rsidRPr="005B0796">
        <w:t>Male Army Band 3</w:t>
      </w:r>
    </w:p>
    <w:p w14:paraId="35B481BF" w14:textId="77777777" w:rsidR="00B903A5" w:rsidRPr="005B0796" w:rsidRDefault="00B903A5" w:rsidP="00466837">
      <w:pPr>
        <w:pStyle w:val="Bullet"/>
        <w:numPr>
          <w:ilvl w:val="0"/>
          <w:numId w:val="3"/>
        </w:numPr>
        <w:spacing w:after="80" w:line="265" w:lineRule="atLeast"/>
        <w:ind w:left="360"/>
      </w:pPr>
      <w:r w:rsidRPr="005B0796">
        <w:t>Male Army Band 1</w:t>
      </w:r>
    </w:p>
    <w:p w14:paraId="68E24A63" w14:textId="77777777" w:rsidR="00B903A5" w:rsidRPr="005B0796" w:rsidRDefault="00B903A5" w:rsidP="00B903A5">
      <w:pPr>
        <w:pStyle w:val="Bullet"/>
        <w:numPr>
          <w:ilvl w:val="0"/>
          <w:numId w:val="3"/>
        </w:numPr>
        <w:ind w:left="360"/>
      </w:pPr>
      <w:r w:rsidRPr="005B0796">
        <w:t>Male RAAF Band 2</w:t>
      </w:r>
    </w:p>
    <w:p w14:paraId="4C4C952D" w14:textId="77777777" w:rsidR="00B903A5" w:rsidRPr="005B0796" w:rsidRDefault="00B903A5" w:rsidP="009919A9">
      <w:pPr>
        <w:pStyle w:val="TableName"/>
      </w:pPr>
      <w:bookmarkStart w:id="1441" w:name="_Toc486936021"/>
      <w:bookmarkStart w:id="1442" w:name="_Toc487014345"/>
      <w:bookmarkStart w:id="1443" w:name="_Toc492995648"/>
      <w:bookmarkStart w:id="1444" w:name="_Toc528932384"/>
      <w:bookmarkStart w:id="1445" w:name="_Toc531858063"/>
      <w:r w:rsidRPr="005B0796">
        <w:t>Table A.8</w:t>
      </w:r>
      <w:r w:rsidRPr="005B0796">
        <w:tab/>
        <w:t>Stratification characteristics of Transitioned ADF CIDI sample</w:t>
      </w:r>
      <w:bookmarkEnd w:id="1441"/>
      <w:bookmarkEnd w:id="1442"/>
      <w:bookmarkEnd w:id="1443"/>
      <w:bookmarkEnd w:id="1444"/>
      <w:bookmarkEnd w:id="1445"/>
    </w:p>
    <w:tbl>
      <w:tblPr>
        <w:tblStyle w:val="TWRPTable"/>
        <w:tblW w:w="5000" w:type="pct"/>
        <w:tblLayout w:type="fixed"/>
        <w:tblLook w:val="04A0" w:firstRow="1" w:lastRow="0" w:firstColumn="1" w:lastColumn="0" w:noHBand="0" w:noVBand="1"/>
        <w:tblDescription w:val="Table A.8 Stratification characteristics of Transitioned ADF CIDI sample"/>
      </w:tblPr>
      <w:tblGrid>
        <w:gridCol w:w="792"/>
        <w:gridCol w:w="787"/>
        <w:gridCol w:w="787"/>
        <w:gridCol w:w="787"/>
        <w:gridCol w:w="787"/>
        <w:gridCol w:w="787"/>
        <w:gridCol w:w="787"/>
        <w:gridCol w:w="787"/>
        <w:gridCol w:w="788"/>
      </w:tblGrid>
      <w:tr w:rsidR="00B903A5" w:rsidRPr="005B0796" w14:paraId="0EC91DC0"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818" w:type="dxa"/>
            <w:vMerge w:val="restart"/>
          </w:tcPr>
          <w:p w14:paraId="3103B7B0" w14:textId="77777777" w:rsidR="00B903A5" w:rsidRPr="005B0796" w:rsidRDefault="00B903A5" w:rsidP="00594252">
            <w:pPr>
              <w:pStyle w:val="TableText"/>
            </w:pPr>
          </w:p>
        </w:tc>
        <w:tc>
          <w:tcPr>
            <w:tcW w:w="6497" w:type="dxa"/>
            <w:gridSpan w:val="8"/>
          </w:tcPr>
          <w:p w14:paraId="76AABAB1" w14:textId="77777777" w:rsidR="00B903A5" w:rsidRPr="005B0796" w:rsidRDefault="00B903A5" w:rsidP="00594252">
            <w:pPr>
              <w:pStyle w:val="TableText"/>
              <w:jc w:val="center"/>
            </w:pPr>
            <w:r w:rsidRPr="005B0796">
              <w:t>Transitioned ADF CIDI</w:t>
            </w:r>
          </w:p>
        </w:tc>
      </w:tr>
      <w:tr w:rsidR="00B903A5" w:rsidRPr="005B0796" w14:paraId="78770A8F"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818" w:type="dxa"/>
            <w:vMerge/>
          </w:tcPr>
          <w:p w14:paraId="5487158E" w14:textId="77777777" w:rsidR="00B903A5" w:rsidRPr="005B0796" w:rsidRDefault="00B903A5" w:rsidP="00594252">
            <w:pPr>
              <w:pStyle w:val="TableText"/>
            </w:pPr>
          </w:p>
        </w:tc>
        <w:tc>
          <w:tcPr>
            <w:tcW w:w="1624" w:type="dxa"/>
            <w:gridSpan w:val="2"/>
            <w:hideMark/>
          </w:tcPr>
          <w:p w14:paraId="5D52DB60" w14:textId="77777777" w:rsidR="00B903A5" w:rsidRPr="005B0796" w:rsidRDefault="00B903A5" w:rsidP="00594252">
            <w:pPr>
              <w:pStyle w:val="TableText"/>
              <w:jc w:val="center"/>
            </w:pPr>
            <w:r w:rsidRPr="005B0796">
              <w:t>No Band*</w:t>
            </w:r>
          </w:p>
        </w:tc>
        <w:tc>
          <w:tcPr>
            <w:tcW w:w="1624" w:type="dxa"/>
            <w:gridSpan w:val="2"/>
            <w:hideMark/>
          </w:tcPr>
          <w:p w14:paraId="4EB6D634" w14:textId="77777777" w:rsidR="00B903A5" w:rsidRPr="005B0796" w:rsidRDefault="00B903A5" w:rsidP="00594252">
            <w:pPr>
              <w:pStyle w:val="TableText"/>
              <w:jc w:val="center"/>
            </w:pPr>
            <w:r w:rsidRPr="005B0796">
              <w:t>Band 1</w:t>
            </w:r>
          </w:p>
        </w:tc>
        <w:tc>
          <w:tcPr>
            <w:tcW w:w="1624" w:type="dxa"/>
            <w:gridSpan w:val="2"/>
            <w:hideMark/>
          </w:tcPr>
          <w:p w14:paraId="57446B0C" w14:textId="77777777" w:rsidR="00B903A5" w:rsidRPr="005B0796" w:rsidRDefault="00B903A5" w:rsidP="00594252">
            <w:pPr>
              <w:pStyle w:val="TableText"/>
              <w:jc w:val="center"/>
            </w:pPr>
            <w:r w:rsidRPr="005B0796">
              <w:t>Band 2</w:t>
            </w:r>
          </w:p>
        </w:tc>
        <w:tc>
          <w:tcPr>
            <w:tcW w:w="1625" w:type="dxa"/>
            <w:gridSpan w:val="2"/>
            <w:hideMark/>
          </w:tcPr>
          <w:p w14:paraId="76CB833F" w14:textId="77777777" w:rsidR="00B903A5" w:rsidRPr="005B0796" w:rsidRDefault="00B903A5" w:rsidP="00594252">
            <w:pPr>
              <w:pStyle w:val="TableText"/>
              <w:jc w:val="center"/>
            </w:pPr>
            <w:r w:rsidRPr="005B0796">
              <w:t>Band 3</w:t>
            </w:r>
          </w:p>
        </w:tc>
      </w:tr>
      <w:tr w:rsidR="00B903A5" w:rsidRPr="005B0796" w14:paraId="0E830AAD"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818" w:type="dxa"/>
            <w:vMerge/>
          </w:tcPr>
          <w:p w14:paraId="09DD07C3" w14:textId="77777777" w:rsidR="00B903A5" w:rsidRPr="005B0796" w:rsidRDefault="00B903A5" w:rsidP="00594252">
            <w:pPr>
              <w:pStyle w:val="TableText"/>
            </w:pPr>
          </w:p>
        </w:tc>
        <w:tc>
          <w:tcPr>
            <w:tcW w:w="812" w:type="dxa"/>
            <w:hideMark/>
          </w:tcPr>
          <w:p w14:paraId="7F7F8865" w14:textId="77777777" w:rsidR="00B903A5" w:rsidRPr="005B0796" w:rsidRDefault="00B903A5" w:rsidP="00594252">
            <w:pPr>
              <w:pStyle w:val="TableText"/>
              <w:jc w:val="right"/>
            </w:pPr>
            <w:r w:rsidRPr="005B0796">
              <w:t>Invited</w:t>
            </w:r>
            <w:r w:rsidRPr="005B0796">
              <w:br/>
              <w:t>(</w:t>
            </w:r>
            <w:r>
              <w:t>n=</w:t>
            </w:r>
            <w:r w:rsidRPr="005B0796">
              <w:t>110)</w:t>
            </w:r>
          </w:p>
        </w:tc>
        <w:tc>
          <w:tcPr>
            <w:tcW w:w="812" w:type="dxa"/>
            <w:hideMark/>
          </w:tcPr>
          <w:p w14:paraId="5AA0929C" w14:textId="77777777" w:rsidR="00B903A5" w:rsidRPr="005B0796" w:rsidRDefault="00B903A5" w:rsidP="00594252">
            <w:pPr>
              <w:pStyle w:val="TableText"/>
              <w:jc w:val="right"/>
            </w:pPr>
            <w:r w:rsidRPr="005B0796">
              <w:t>Completed</w:t>
            </w:r>
            <w:r w:rsidRPr="005B0796">
              <w:br/>
              <w:t>(</w:t>
            </w:r>
            <w:r>
              <w:t>n=</w:t>
            </w:r>
            <w:r w:rsidRPr="005B0796">
              <w:t>72)</w:t>
            </w:r>
          </w:p>
        </w:tc>
        <w:tc>
          <w:tcPr>
            <w:tcW w:w="812" w:type="dxa"/>
            <w:hideMark/>
          </w:tcPr>
          <w:p w14:paraId="5D2557B1" w14:textId="77777777" w:rsidR="00B903A5" w:rsidRPr="005B0796" w:rsidRDefault="00B903A5" w:rsidP="00594252">
            <w:pPr>
              <w:pStyle w:val="TableText"/>
              <w:jc w:val="right"/>
            </w:pPr>
            <w:r w:rsidRPr="005B0796">
              <w:t>Invited</w:t>
            </w:r>
            <w:r w:rsidRPr="005B0796">
              <w:br/>
              <w:t>(</w:t>
            </w:r>
            <w:r>
              <w:t>n=</w:t>
            </w:r>
            <w:r w:rsidRPr="005B0796">
              <w:t>408)</w:t>
            </w:r>
          </w:p>
        </w:tc>
        <w:tc>
          <w:tcPr>
            <w:tcW w:w="812" w:type="dxa"/>
            <w:hideMark/>
          </w:tcPr>
          <w:p w14:paraId="7CA20627" w14:textId="77777777" w:rsidR="00B903A5" w:rsidRPr="005B0796" w:rsidRDefault="00B903A5" w:rsidP="00594252">
            <w:pPr>
              <w:pStyle w:val="TableText"/>
              <w:jc w:val="right"/>
            </w:pPr>
            <w:r w:rsidRPr="005B0796">
              <w:t>Completed</w:t>
            </w:r>
            <w:r w:rsidRPr="005B0796">
              <w:br/>
              <w:t>(</w:t>
            </w:r>
            <w:r>
              <w:t>n=</w:t>
            </w:r>
            <w:r w:rsidRPr="005B0796">
              <w:t>258)</w:t>
            </w:r>
          </w:p>
        </w:tc>
        <w:tc>
          <w:tcPr>
            <w:tcW w:w="812" w:type="dxa"/>
            <w:hideMark/>
          </w:tcPr>
          <w:p w14:paraId="6ED2F2BD" w14:textId="77777777" w:rsidR="00B903A5" w:rsidRPr="005B0796" w:rsidRDefault="00B903A5" w:rsidP="00594252">
            <w:pPr>
              <w:pStyle w:val="TableText"/>
              <w:jc w:val="right"/>
            </w:pPr>
            <w:r w:rsidRPr="005B0796">
              <w:t>Invited</w:t>
            </w:r>
            <w:r w:rsidRPr="005B0796">
              <w:br/>
              <w:t>(</w:t>
            </w:r>
            <w:r>
              <w:t>n=</w:t>
            </w:r>
            <w:r w:rsidRPr="005B0796">
              <w:t>335)</w:t>
            </w:r>
          </w:p>
        </w:tc>
        <w:tc>
          <w:tcPr>
            <w:tcW w:w="812" w:type="dxa"/>
            <w:hideMark/>
          </w:tcPr>
          <w:p w14:paraId="2DB71E25" w14:textId="77777777" w:rsidR="00B903A5" w:rsidRPr="005B0796" w:rsidRDefault="00B903A5" w:rsidP="00594252">
            <w:pPr>
              <w:pStyle w:val="TableText"/>
              <w:jc w:val="right"/>
            </w:pPr>
            <w:r w:rsidRPr="005B0796">
              <w:t>Completed</w:t>
            </w:r>
            <w:r w:rsidRPr="005B0796">
              <w:br/>
              <w:t>(</w:t>
            </w:r>
            <w:r>
              <w:t>n=</w:t>
            </w:r>
            <w:r w:rsidRPr="005B0796">
              <w:t>225)</w:t>
            </w:r>
          </w:p>
        </w:tc>
        <w:tc>
          <w:tcPr>
            <w:tcW w:w="812" w:type="dxa"/>
            <w:hideMark/>
          </w:tcPr>
          <w:p w14:paraId="650C310E" w14:textId="77777777" w:rsidR="00B903A5" w:rsidRPr="005B0796" w:rsidRDefault="00B903A5" w:rsidP="00594252">
            <w:pPr>
              <w:pStyle w:val="TableText"/>
              <w:jc w:val="right"/>
            </w:pPr>
            <w:r w:rsidRPr="005B0796">
              <w:t>Invited</w:t>
            </w:r>
            <w:r w:rsidRPr="005B0796">
              <w:br/>
              <w:t>(</w:t>
            </w:r>
            <w:r>
              <w:t>n=</w:t>
            </w:r>
            <w:r w:rsidRPr="005B0796">
              <w:t>954)</w:t>
            </w:r>
          </w:p>
        </w:tc>
        <w:tc>
          <w:tcPr>
            <w:tcW w:w="813" w:type="dxa"/>
            <w:hideMark/>
          </w:tcPr>
          <w:p w14:paraId="1FC2C818" w14:textId="77777777" w:rsidR="00B903A5" w:rsidRPr="005B0796" w:rsidRDefault="00B903A5" w:rsidP="00594252">
            <w:pPr>
              <w:pStyle w:val="TableText"/>
              <w:jc w:val="right"/>
            </w:pPr>
            <w:r w:rsidRPr="005B0796">
              <w:t>Completed</w:t>
            </w:r>
            <w:r w:rsidRPr="005B0796">
              <w:br/>
              <w:t>(</w:t>
            </w:r>
            <w:r>
              <w:t>n=</w:t>
            </w:r>
            <w:r w:rsidRPr="005B0796">
              <w:t>494)</w:t>
            </w:r>
          </w:p>
        </w:tc>
      </w:tr>
      <w:tr w:rsidR="00B903A5" w:rsidRPr="005B0796" w14:paraId="3B93F148"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818" w:type="dxa"/>
            <w:hideMark/>
          </w:tcPr>
          <w:p w14:paraId="543D4D0A" w14:textId="77777777" w:rsidR="00B903A5" w:rsidRPr="005B0796" w:rsidRDefault="00B903A5" w:rsidP="00594252">
            <w:pPr>
              <w:pStyle w:val="TableText"/>
              <w:rPr>
                <w:b/>
              </w:rPr>
            </w:pPr>
            <w:r w:rsidRPr="005B0796">
              <w:rPr>
                <w:b/>
              </w:rPr>
              <w:t>Navy</w:t>
            </w:r>
          </w:p>
        </w:tc>
        <w:tc>
          <w:tcPr>
            <w:tcW w:w="812" w:type="dxa"/>
          </w:tcPr>
          <w:p w14:paraId="4EC14954" w14:textId="77777777" w:rsidR="00B903A5" w:rsidRPr="005B0796" w:rsidRDefault="00B903A5" w:rsidP="00594252">
            <w:pPr>
              <w:pStyle w:val="TableText"/>
              <w:jc w:val="right"/>
            </w:pPr>
          </w:p>
        </w:tc>
        <w:tc>
          <w:tcPr>
            <w:tcW w:w="812" w:type="dxa"/>
          </w:tcPr>
          <w:p w14:paraId="68270D68" w14:textId="77777777" w:rsidR="00B903A5" w:rsidRPr="005B0796" w:rsidRDefault="00B903A5" w:rsidP="00594252">
            <w:pPr>
              <w:pStyle w:val="TableText"/>
              <w:jc w:val="right"/>
            </w:pPr>
          </w:p>
        </w:tc>
        <w:tc>
          <w:tcPr>
            <w:tcW w:w="812" w:type="dxa"/>
          </w:tcPr>
          <w:p w14:paraId="3D3A2C38" w14:textId="77777777" w:rsidR="00B903A5" w:rsidRPr="005B0796" w:rsidRDefault="00B903A5" w:rsidP="00594252">
            <w:pPr>
              <w:pStyle w:val="TableText"/>
              <w:jc w:val="right"/>
            </w:pPr>
          </w:p>
        </w:tc>
        <w:tc>
          <w:tcPr>
            <w:tcW w:w="812" w:type="dxa"/>
          </w:tcPr>
          <w:p w14:paraId="7BBF2739" w14:textId="77777777" w:rsidR="00B903A5" w:rsidRPr="005B0796" w:rsidRDefault="00B903A5" w:rsidP="00594252">
            <w:pPr>
              <w:pStyle w:val="TableText"/>
              <w:jc w:val="right"/>
            </w:pPr>
          </w:p>
        </w:tc>
        <w:tc>
          <w:tcPr>
            <w:tcW w:w="812" w:type="dxa"/>
          </w:tcPr>
          <w:p w14:paraId="6F50AF77" w14:textId="77777777" w:rsidR="00B903A5" w:rsidRPr="005B0796" w:rsidRDefault="00B903A5" w:rsidP="00594252">
            <w:pPr>
              <w:pStyle w:val="TableText"/>
              <w:jc w:val="right"/>
            </w:pPr>
          </w:p>
        </w:tc>
        <w:tc>
          <w:tcPr>
            <w:tcW w:w="812" w:type="dxa"/>
          </w:tcPr>
          <w:p w14:paraId="05684884" w14:textId="77777777" w:rsidR="00B903A5" w:rsidRPr="005B0796" w:rsidRDefault="00B903A5" w:rsidP="00594252">
            <w:pPr>
              <w:pStyle w:val="TableText"/>
              <w:jc w:val="right"/>
            </w:pPr>
          </w:p>
        </w:tc>
        <w:tc>
          <w:tcPr>
            <w:tcW w:w="812" w:type="dxa"/>
          </w:tcPr>
          <w:p w14:paraId="0CB2B32B" w14:textId="77777777" w:rsidR="00B903A5" w:rsidRPr="005B0796" w:rsidRDefault="00B903A5" w:rsidP="00594252">
            <w:pPr>
              <w:pStyle w:val="TableText"/>
              <w:jc w:val="right"/>
            </w:pPr>
          </w:p>
        </w:tc>
        <w:tc>
          <w:tcPr>
            <w:tcW w:w="813" w:type="dxa"/>
          </w:tcPr>
          <w:p w14:paraId="3E90297A" w14:textId="77777777" w:rsidR="00B903A5" w:rsidRPr="005B0796" w:rsidRDefault="00B903A5" w:rsidP="00594252">
            <w:pPr>
              <w:pStyle w:val="TableText"/>
              <w:jc w:val="right"/>
            </w:pPr>
          </w:p>
        </w:tc>
      </w:tr>
      <w:tr w:rsidR="00B903A5" w:rsidRPr="005B0796" w14:paraId="2B38F024" w14:textId="77777777" w:rsidTr="009919A9">
        <w:trPr>
          <w:cantSplit/>
        </w:trPr>
        <w:tc>
          <w:tcPr>
            <w:tcW w:w="818" w:type="dxa"/>
            <w:hideMark/>
          </w:tcPr>
          <w:p w14:paraId="359C2755" w14:textId="77777777" w:rsidR="00B903A5" w:rsidRPr="005B0796" w:rsidRDefault="00B903A5" w:rsidP="00594252">
            <w:pPr>
              <w:pStyle w:val="TableText"/>
              <w:ind w:left="144"/>
            </w:pPr>
            <w:r w:rsidRPr="005B0796">
              <w:t>Male</w:t>
            </w:r>
          </w:p>
        </w:tc>
        <w:tc>
          <w:tcPr>
            <w:tcW w:w="812" w:type="dxa"/>
            <w:hideMark/>
          </w:tcPr>
          <w:p w14:paraId="429DA8FE" w14:textId="77777777" w:rsidR="00B903A5" w:rsidRPr="005B0796" w:rsidRDefault="00B903A5" w:rsidP="00594252">
            <w:pPr>
              <w:pStyle w:val="TableText"/>
              <w:jc w:val="right"/>
            </w:pPr>
            <w:r w:rsidRPr="005B0796">
              <w:t>20</w:t>
            </w:r>
          </w:p>
        </w:tc>
        <w:tc>
          <w:tcPr>
            <w:tcW w:w="812" w:type="dxa"/>
            <w:hideMark/>
          </w:tcPr>
          <w:p w14:paraId="3568EC32" w14:textId="77777777" w:rsidR="00B903A5" w:rsidRPr="005B0796" w:rsidRDefault="00B903A5" w:rsidP="00594252">
            <w:pPr>
              <w:pStyle w:val="TableText"/>
              <w:jc w:val="right"/>
            </w:pPr>
            <w:r w:rsidRPr="005B0796">
              <w:t>8</w:t>
            </w:r>
          </w:p>
        </w:tc>
        <w:tc>
          <w:tcPr>
            <w:tcW w:w="812" w:type="dxa"/>
            <w:hideMark/>
          </w:tcPr>
          <w:p w14:paraId="1539FE6D" w14:textId="77777777" w:rsidR="00B903A5" w:rsidRPr="005B0796" w:rsidRDefault="00B903A5" w:rsidP="00594252">
            <w:pPr>
              <w:pStyle w:val="TableText"/>
              <w:jc w:val="right"/>
            </w:pPr>
            <w:r w:rsidRPr="005B0796">
              <w:t>73</w:t>
            </w:r>
          </w:p>
        </w:tc>
        <w:tc>
          <w:tcPr>
            <w:tcW w:w="812" w:type="dxa"/>
            <w:hideMark/>
          </w:tcPr>
          <w:p w14:paraId="6CE26147" w14:textId="77777777" w:rsidR="00B903A5" w:rsidRPr="005B0796" w:rsidRDefault="00B903A5" w:rsidP="00594252">
            <w:pPr>
              <w:pStyle w:val="TableText"/>
              <w:jc w:val="right"/>
            </w:pPr>
            <w:r w:rsidRPr="005B0796">
              <w:t>43</w:t>
            </w:r>
          </w:p>
        </w:tc>
        <w:tc>
          <w:tcPr>
            <w:tcW w:w="812" w:type="dxa"/>
            <w:hideMark/>
          </w:tcPr>
          <w:p w14:paraId="43BADE26" w14:textId="77777777" w:rsidR="00B903A5" w:rsidRPr="005B0796" w:rsidRDefault="00B903A5" w:rsidP="00594252">
            <w:pPr>
              <w:pStyle w:val="TableText"/>
              <w:jc w:val="right"/>
            </w:pPr>
            <w:r w:rsidRPr="005B0796">
              <w:t>57</w:t>
            </w:r>
          </w:p>
        </w:tc>
        <w:tc>
          <w:tcPr>
            <w:tcW w:w="812" w:type="dxa"/>
            <w:hideMark/>
          </w:tcPr>
          <w:p w14:paraId="72E92D4C" w14:textId="77777777" w:rsidR="00B903A5" w:rsidRPr="005B0796" w:rsidRDefault="00B903A5" w:rsidP="00594252">
            <w:pPr>
              <w:pStyle w:val="TableText"/>
              <w:jc w:val="right"/>
            </w:pPr>
            <w:r w:rsidRPr="005B0796">
              <w:t>41</w:t>
            </w:r>
          </w:p>
        </w:tc>
        <w:tc>
          <w:tcPr>
            <w:tcW w:w="812" w:type="dxa"/>
            <w:hideMark/>
          </w:tcPr>
          <w:p w14:paraId="767BA01C" w14:textId="77777777" w:rsidR="00B903A5" w:rsidRPr="005B0796" w:rsidRDefault="00B903A5" w:rsidP="00594252">
            <w:pPr>
              <w:pStyle w:val="TableText"/>
              <w:jc w:val="right"/>
            </w:pPr>
            <w:r w:rsidRPr="005B0796">
              <w:t>140</w:t>
            </w:r>
          </w:p>
        </w:tc>
        <w:tc>
          <w:tcPr>
            <w:tcW w:w="813" w:type="dxa"/>
            <w:hideMark/>
          </w:tcPr>
          <w:p w14:paraId="7FBA5AC3" w14:textId="77777777" w:rsidR="00B903A5" w:rsidRPr="005B0796" w:rsidRDefault="00B903A5" w:rsidP="00594252">
            <w:pPr>
              <w:pStyle w:val="TableText"/>
              <w:jc w:val="right"/>
            </w:pPr>
            <w:r w:rsidRPr="005B0796">
              <w:t>71</w:t>
            </w:r>
          </w:p>
        </w:tc>
      </w:tr>
      <w:tr w:rsidR="00B903A5" w:rsidRPr="005B0796" w14:paraId="0BFD9EB1"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818" w:type="dxa"/>
            <w:hideMark/>
          </w:tcPr>
          <w:p w14:paraId="42614DF3" w14:textId="77777777" w:rsidR="00B903A5" w:rsidRPr="005B0796" w:rsidRDefault="00B903A5" w:rsidP="00594252">
            <w:pPr>
              <w:pStyle w:val="TableText"/>
              <w:ind w:left="144"/>
            </w:pPr>
            <w:r w:rsidRPr="005B0796">
              <w:t>Female</w:t>
            </w:r>
          </w:p>
        </w:tc>
        <w:tc>
          <w:tcPr>
            <w:tcW w:w="812" w:type="dxa"/>
            <w:hideMark/>
          </w:tcPr>
          <w:p w14:paraId="29F837F3" w14:textId="77777777" w:rsidR="00B903A5" w:rsidRPr="005B0796" w:rsidRDefault="00B903A5" w:rsidP="00594252">
            <w:pPr>
              <w:pStyle w:val="TableText"/>
              <w:jc w:val="right"/>
            </w:pPr>
            <w:r w:rsidRPr="005B0796">
              <w:t>1</w:t>
            </w:r>
          </w:p>
        </w:tc>
        <w:tc>
          <w:tcPr>
            <w:tcW w:w="812" w:type="dxa"/>
            <w:hideMark/>
          </w:tcPr>
          <w:p w14:paraId="3287227F" w14:textId="77777777" w:rsidR="00B903A5" w:rsidRPr="005B0796" w:rsidRDefault="00B903A5" w:rsidP="00594252">
            <w:pPr>
              <w:pStyle w:val="TableText"/>
              <w:jc w:val="right"/>
            </w:pPr>
            <w:r w:rsidRPr="005B0796">
              <w:t>1</w:t>
            </w:r>
          </w:p>
        </w:tc>
        <w:tc>
          <w:tcPr>
            <w:tcW w:w="812" w:type="dxa"/>
            <w:hideMark/>
          </w:tcPr>
          <w:p w14:paraId="054324FA" w14:textId="77777777" w:rsidR="00B903A5" w:rsidRPr="005B0796" w:rsidRDefault="00B903A5" w:rsidP="00594252">
            <w:pPr>
              <w:pStyle w:val="TableText"/>
              <w:jc w:val="right"/>
            </w:pPr>
            <w:r w:rsidRPr="005B0796">
              <w:t>17</w:t>
            </w:r>
          </w:p>
        </w:tc>
        <w:tc>
          <w:tcPr>
            <w:tcW w:w="812" w:type="dxa"/>
            <w:hideMark/>
          </w:tcPr>
          <w:p w14:paraId="7BEE3F31" w14:textId="77777777" w:rsidR="00B903A5" w:rsidRPr="005B0796" w:rsidRDefault="00B903A5" w:rsidP="00594252">
            <w:pPr>
              <w:pStyle w:val="TableText"/>
              <w:jc w:val="right"/>
            </w:pPr>
            <w:r w:rsidRPr="005B0796">
              <w:t>10</w:t>
            </w:r>
          </w:p>
        </w:tc>
        <w:tc>
          <w:tcPr>
            <w:tcW w:w="812" w:type="dxa"/>
            <w:hideMark/>
          </w:tcPr>
          <w:p w14:paraId="7DFB39BA" w14:textId="77777777" w:rsidR="00B903A5" w:rsidRPr="005B0796" w:rsidRDefault="00B903A5" w:rsidP="00594252">
            <w:pPr>
              <w:pStyle w:val="TableText"/>
              <w:jc w:val="right"/>
            </w:pPr>
            <w:r w:rsidRPr="005B0796">
              <w:t>8</w:t>
            </w:r>
          </w:p>
        </w:tc>
        <w:tc>
          <w:tcPr>
            <w:tcW w:w="812" w:type="dxa"/>
            <w:hideMark/>
          </w:tcPr>
          <w:p w14:paraId="29E28963" w14:textId="77777777" w:rsidR="00B903A5" w:rsidRPr="005B0796" w:rsidRDefault="00B903A5" w:rsidP="00594252">
            <w:pPr>
              <w:pStyle w:val="TableText"/>
              <w:jc w:val="right"/>
            </w:pPr>
            <w:r w:rsidRPr="005B0796">
              <w:t>4</w:t>
            </w:r>
          </w:p>
        </w:tc>
        <w:tc>
          <w:tcPr>
            <w:tcW w:w="812" w:type="dxa"/>
            <w:hideMark/>
          </w:tcPr>
          <w:p w14:paraId="72BD5555" w14:textId="77777777" w:rsidR="00B903A5" w:rsidRPr="005B0796" w:rsidRDefault="00B903A5" w:rsidP="00594252">
            <w:pPr>
              <w:pStyle w:val="TableText"/>
              <w:jc w:val="right"/>
            </w:pPr>
            <w:r w:rsidRPr="005B0796">
              <w:t>40</w:t>
            </w:r>
          </w:p>
        </w:tc>
        <w:tc>
          <w:tcPr>
            <w:tcW w:w="813" w:type="dxa"/>
            <w:hideMark/>
          </w:tcPr>
          <w:p w14:paraId="647F8AD3" w14:textId="77777777" w:rsidR="00B903A5" w:rsidRPr="005B0796" w:rsidRDefault="00B903A5" w:rsidP="00594252">
            <w:pPr>
              <w:pStyle w:val="TableText"/>
              <w:jc w:val="right"/>
            </w:pPr>
            <w:r w:rsidRPr="005B0796">
              <w:t>20</w:t>
            </w:r>
          </w:p>
        </w:tc>
      </w:tr>
      <w:tr w:rsidR="00B903A5" w:rsidRPr="005B0796" w14:paraId="615B9ABB" w14:textId="77777777" w:rsidTr="009919A9">
        <w:trPr>
          <w:cantSplit/>
        </w:trPr>
        <w:tc>
          <w:tcPr>
            <w:tcW w:w="818" w:type="dxa"/>
            <w:hideMark/>
          </w:tcPr>
          <w:p w14:paraId="1BBD9E35" w14:textId="77777777" w:rsidR="00B903A5" w:rsidRPr="005B0796" w:rsidRDefault="00B903A5" w:rsidP="00594252">
            <w:pPr>
              <w:pStyle w:val="TableText"/>
              <w:rPr>
                <w:b/>
              </w:rPr>
            </w:pPr>
            <w:r w:rsidRPr="005B0796">
              <w:rPr>
                <w:b/>
              </w:rPr>
              <w:t xml:space="preserve">Army </w:t>
            </w:r>
          </w:p>
        </w:tc>
        <w:tc>
          <w:tcPr>
            <w:tcW w:w="812" w:type="dxa"/>
          </w:tcPr>
          <w:p w14:paraId="546B09AE" w14:textId="77777777" w:rsidR="00B903A5" w:rsidRPr="005B0796" w:rsidRDefault="00B903A5" w:rsidP="00594252">
            <w:pPr>
              <w:pStyle w:val="TableText"/>
              <w:jc w:val="right"/>
            </w:pPr>
          </w:p>
        </w:tc>
        <w:tc>
          <w:tcPr>
            <w:tcW w:w="812" w:type="dxa"/>
          </w:tcPr>
          <w:p w14:paraId="295F3B6B" w14:textId="77777777" w:rsidR="00B903A5" w:rsidRPr="005B0796" w:rsidRDefault="00B903A5" w:rsidP="00594252">
            <w:pPr>
              <w:pStyle w:val="TableText"/>
              <w:jc w:val="right"/>
            </w:pPr>
          </w:p>
        </w:tc>
        <w:tc>
          <w:tcPr>
            <w:tcW w:w="812" w:type="dxa"/>
          </w:tcPr>
          <w:p w14:paraId="45773E3B" w14:textId="77777777" w:rsidR="00B903A5" w:rsidRPr="005B0796" w:rsidRDefault="00B903A5" w:rsidP="00594252">
            <w:pPr>
              <w:pStyle w:val="TableText"/>
              <w:jc w:val="right"/>
            </w:pPr>
          </w:p>
        </w:tc>
        <w:tc>
          <w:tcPr>
            <w:tcW w:w="812" w:type="dxa"/>
          </w:tcPr>
          <w:p w14:paraId="0A9B266B" w14:textId="77777777" w:rsidR="00B903A5" w:rsidRPr="005B0796" w:rsidRDefault="00B903A5" w:rsidP="00594252">
            <w:pPr>
              <w:pStyle w:val="TableText"/>
              <w:jc w:val="right"/>
            </w:pPr>
          </w:p>
        </w:tc>
        <w:tc>
          <w:tcPr>
            <w:tcW w:w="812" w:type="dxa"/>
          </w:tcPr>
          <w:p w14:paraId="7D1D8732" w14:textId="77777777" w:rsidR="00B903A5" w:rsidRPr="005B0796" w:rsidRDefault="00B903A5" w:rsidP="00594252">
            <w:pPr>
              <w:pStyle w:val="TableText"/>
              <w:jc w:val="right"/>
            </w:pPr>
          </w:p>
        </w:tc>
        <w:tc>
          <w:tcPr>
            <w:tcW w:w="812" w:type="dxa"/>
          </w:tcPr>
          <w:p w14:paraId="70D88F6F" w14:textId="77777777" w:rsidR="00B903A5" w:rsidRPr="005B0796" w:rsidRDefault="00B903A5" w:rsidP="00594252">
            <w:pPr>
              <w:pStyle w:val="TableText"/>
              <w:jc w:val="right"/>
            </w:pPr>
          </w:p>
        </w:tc>
        <w:tc>
          <w:tcPr>
            <w:tcW w:w="812" w:type="dxa"/>
          </w:tcPr>
          <w:p w14:paraId="3F038258" w14:textId="77777777" w:rsidR="00B903A5" w:rsidRPr="005B0796" w:rsidRDefault="00B903A5" w:rsidP="00594252">
            <w:pPr>
              <w:pStyle w:val="TableText"/>
              <w:jc w:val="right"/>
            </w:pPr>
          </w:p>
        </w:tc>
        <w:tc>
          <w:tcPr>
            <w:tcW w:w="813" w:type="dxa"/>
          </w:tcPr>
          <w:p w14:paraId="04AC4EE7" w14:textId="77777777" w:rsidR="00B903A5" w:rsidRPr="005B0796" w:rsidRDefault="00B903A5" w:rsidP="00594252">
            <w:pPr>
              <w:pStyle w:val="TableText"/>
              <w:jc w:val="right"/>
            </w:pPr>
          </w:p>
        </w:tc>
      </w:tr>
      <w:tr w:rsidR="00B903A5" w:rsidRPr="005B0796" w14:paraId="57209CB4"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818" w:type="dxa"/>
            <w:hideMark/>
          </w:tcPr>
          <w:p w14:paraId="124BD539" w14:textId="77777777" w:rsidR="00B903A5" w:rsidRPr="005B0796" w:rsidRDefault="00B903A5" w:rsidP="00594252">
            <w:pPr>
              <w:pStyle w:val="TableText"/>
              <w:ind w:left="144"/>
            </w:pPr>
            <w:r w:rsidRPr="005B0796">
              <w:t xml:space="preserve">Male </w:t>
            </w:r>
          </w:p>
        </w:tc>
        <w:tc>
          <w:tcPr>
            <w:tcW w:w="812" w:type="dxa"/>
            <w:hideMark/>
          </w:tcPr>
          <w:p w14:paraId="023FA4A8" w14:textId="77777777" w:rsidR="00B903A5" w:rsidRPr="005B0796" w:rsidRDefault="00B903A5" w:rsidP="00594252">
            <w:pPr>
              <w:pStyle w:val="TableText"/>
              <w:jc w:val="right"/>
            </w:pPr>
            <w:r w:rsidRPr="005B0796">
              <w:t>52</w:t>
            </w:r>
          </w:p>
        </w:tc>
        <w:tc>
          <w:tcPr>
            <w:tcW w:w="812" w:type="dxa"/>
            <w:hideMark/>
          </w:tcPr>
          <w:p w14:paraId="5E9C764E" w14:textId="77777777" w:rsidR="00B903A5" w:rsidRPr="005B0796" w:rsidRDefault="00B903A5" w:rsidP="00594252">
            <w:pPr>
              <w:pStyle w:val="TableText"/>
              <w:jc w:val="right"/>
            </w:pPr>
            <w:r w:rsidRPr="005B0796">
              <w:t>37</w:t>
            </w:r>
          </w:p>
        </w:tc>
        <w:tc>
          <w:tcPr>
            <w:tcW w:w="812" w:type="dxa"/>
            <w:hideMark/>
          </w:tcPr>
          <w:p w14:paraId="33736DCC" w14:textId="77777777" w:rsidR="00B903A5" w:rsidRPr="005B0796" w:rsidRDefault="00B903A5" w:rsidP="00594252">
            <w:pPr>
              <w:pStyle w:val="TableText"/>
              <w:jc w:val="right"/>
            </w:pPr>
            <w:r w:rsidRPr="005B0796">
              <w:t>152</w:t>
            </w:r>
          </w:p>
        </w:tc>
        <w:tc>
          <w:tcPr>
            <w:tcW w:w="812" w:type="dxa"/>
            <w:hideMark/>
          </w:tcPr>
          <w:p w14:paraId="6E480552" w14:textId="77777777" w:rsidR="00B903A5" w:rsidRPr="005B0796" w:rsidRDefault="00B903A5" w:rsidP="00594252">
            <w:pPr>
              <w:pStyle w:val="TableText"/>
              <w:jc w:val="right"/>
            </w:pPr>
            <w:r w:rsidRPr="005B0796">
              <w:t>94</w:t>
            </w:r>
          </w:p>
        </w:tc>
        <w:tc>
          <w:tcPr>
            <w:tcW w:w="812" w:type="dxa"/>
            <w:hideMark/>
          </w:tcPr>
          <w:p w14:paraId="5C010F4D" w14:textId="77777777" w:rsidR="00B903A5" w:rsidRPr="005B0796" w:rsidRDefault="00B903A5" w:rsidP="00594252">
            <w:pPr>
              <w:pStyle w:val="TableText"/>
              <w:jc w:val="right"/>
            </w:pPr>
            <w:r w:rsidRPr="005B0796">
              <w:t>155</w:t>
            </w:r>
          </w:p>
        </w:tc>
        <w:tc>
          <w:tcPr>
            <w:tcW w:w="812" w:type="dxa"/>
            <w:hideMark/>
          </w:tcPr>
          <w:p w14:paraId="2FB4E832" w14:textId="77777777" w:rsidR="00B903A5" w:rsidRPr="005B0796" w:rsidRDefault="00B903A5" w:rsidP="00594252">
            <w:pPr>
              <w:pStyle w:val="TableText"/>
              <w:jc w:val="right"/>
            </w:pPr>
            <w:r w:rsidRPr="005B0796">
              <w:t>109</w:t>
            </w:r>
          </w:p>
        </w:tc>
        <w:tc>
          <w:tcPr>
            <w:tcW w:w="812" w:type="dxa"/>
            <w:hideMark/>
          </w:tcPr>
          <w:p w14:paraId="4A3C9D3B" w14:textId="77777777" w:rsidR="00B903A5" w:rsidRPr="005B0796" w:rsidRDefault="00B903A5" w:rsidP="00594252">
            <w:pPr>
              <w:pStyle w:val="TableText"/>
              <w:jc w:val="right"/>
            </w:pPr>
            <w:r w:rsidRPr="005B0796">
              <w:t>515</w:t>
            </w:r>
          </w:p>
        </w:tc>
        <w:tc>
          <w:tcPr>
            <w:tcW w:w="813" w:type="dxa"/>
            <w:hideMark/>
          </w:tcPr>
          <w:p w14:paraId="1268BCD3" w14:textId="77777777" w:rsidR="00B903A5" w:rsidRPr="005B0796" w:rsidRDefault="00B903A5" w:rsidP="00594252">
            <w:pPr>
              <w:pStyle w:val="TableText"/>
              <w:jc w:val="right"/>
            </w:pPr>
            <w:r w:rsidRPr="005B0796">
              <w:t>272</w:t>
            </w:r>
          </w:p>
        </w:tc>
      </w:tr>
      <w:tr w:rsidR="00B903A5" w:rsidRPr="005B0796" w14:paraId="15C4E88E" w14:textId="77777777" w:rsidTr="009919A9">
        <w:trPr>
          <w:cantSplit/>
        </w:trPr>
        <w:tc>
          <w:tcPr>
            <w:tcW w:w="818" w:type="dxa"/>
            <w:hideMark/>
          </w:tcPr>
          <w:p w14:paraId="19288C1F" w14:textId="77777777" w:rsidR="00B903A5" w:rsidRPr="005B0796" w:rsidRDefault="00B903A5" w:rsidP="00594252">
            <w:pPr>
              <w:pStyle w:val="TableText"/>
              <w:ind w:left="144"/>
            </w:pPr>
            <w:r w:rsidRPr="005B0796">
              <w:t>Female</w:t>
            </w:r>
          </w:p>
        </w:tc>
        <w:tc>
          <w:tcPr>
            <w:tcW w:w="812" w:type="dxa"/>
            <w:hideMark/>
          </w:tcPr>
          <w:p w14:paraId="439435DD" w14:textId="77777777" w:rsidR="00B903A5" w:rsidRPr="005B0796" w:rsidRDefault="00B903A5" w:rsidP="00594252">
            <w:pPr>
              <w:pStyle w:val="TableText"/>
              <w:jc w:val="right"/>
            </w:pPr>
            <w:r w:rsidRPr="005B0796">
              <w:t>15</w:t>
            </w:r>
          </w:p>
        </w:tc>
        <w:tc>
          <w:tcPr>
            <w:tcW w:w="812" w:type="dxa"/>
            <w:hideMark/>
          </w:tcPr>
          <w:p w14:paraId="27E32665" w14:textId="77777777" w:rsidR="00B903A5" w:rsidRPr="005B0796" w:rsidRDefault="00B903A5" w:rsidP="00594252">
            <w:pPr>
              <w:pStyle w:val="TableText"/>
              <w:jc w:val="right"/>
            </w:pPr>
            <w:r w:rsidRPr="005B0796">
              <w:t>10</w:t>
            </w:r>
          </w:p>
        </w:tc>
        <w:tc>
          <w:tcPr>
            <w:tcW w:w="812" w:type="dxa"/>
            <w:hideMark/>
          </w:tcPr>
          <w:p w14:paraId="5044B2A1" w14:textId="77777777" w:rsidR="00B903A5" w:rsidRPr="005B0796" w:rsidRDefault="00B903A5" w:rsidP="00594252">
            <w:pPr>
              <w:pStyle w:val="TableText"/>
              <w:jc w:val="right"/>
            </w:pPr>
            <w:r w:rsidRPr="005B0796">
              <w:t>35</w:t>
            </w:r>
          </w:p>
        </w:tc>
        <w:tc>
          <w:tcPr>
            <w:tcW w:w="812" w:type="dxa"/>
            <w:hideMark/>
          </w:tcPr>
          <w:p w14:paraId="76859E54" w14:textId="77777777" w:rsidR="00B903A5" w:rsidRPr="005B0796" w:rsidRDefault="00B903A5" w:rsidP="00594252">
            <w:pPr>
              <w:pStyle w:val="TableText"/>
              <w:jc w:val="right"/>
            </w:pPr>
            <w:r w:rsidRPr="005B0796">
              <w:t>19</w:t>
            </w:r>
          </w:p>
        </w:tc>
        <w:tc>
          <w:tcPr>
            <w:tcW w:w="812" w:type="dxa"/>
            <w:hideMark/>
          </w:tcPr>
          <w:p w14:paraId="7F180688" w14:textId="77777777" w:rsidR="00B903A5" w:rsidRPr="005B0796" w:rsidRDefault="00B903A5" w:rsidP="00594252">
            <w:pPr>
              <w:pStyle w:val="TableText"/>
              <w:jc w:val="right"/>
            </w:pPr>
            <w:r w:rsidRPr="005B0796">
              <w:t>31</w:t>
            </w:r>
          </w:p>
        </w:tc>
        <w:tc>
          <w:tcPr>
            <w:tcW w:w="812" w:type="dxa"/>
            <w:hideMark/>
          </w:tcPr>
          <w:p w14:paraId="57BF7FB9" w14:textId="77777777" w:rsidR="00B903A5" w:rsidRPr="005B0796" w:rsidRDefault="00B903A5" w:rsidP="00594252">
            <w:pPr>
              <w:pStyle w:val="TableText"/>
              <w:jc w:val="right"/>
            </w:pPr>
            <w:r w:rsidRPr="005B0796">
              <w:t>15</w:t>
            </w:r>
          </w:p>
        </w:tc>
        <w:tc>
          <w:tcPr>
            <w:tcW w:w="812" w:type="dxa"/>
            <w:hideMark/>
          </w:tcPr>
          <w:p w14:paraId="6893C0D5" w14:textId="77777777" w:rsidR="00B903A5" w:rsidRPr="005B0796" w:rsidRDefault="00B903A5" w:rsidP="00594252">
            <w:pPr>
              <w:pStyle w:val="TableText"/>
              <w:jc w:val="right"/>
            </w:pPr>
            <w:r w:rsidRPr="005B0796">
              <w:t>66</w:t>
            </w:r>
          </w:p>
        </w:tc>
        <w:tc>
          <w:tcPr>
            <w:tcW w:w="813" w:type="dxa"/>
            <w:hideMark/>
          </w:tcPr>
          <w:p w14:paraId="0759A969" w14:textId="77777777" w:rsidR="00B903A5" w:rsidRPr="005B0796" w:rsidRDefault="00B903A5" w:rsidP="00594252">
            <w:pPr>
              <w:pStyle w:val="TableText"/>
              <w:jc w:val="right"/>
            </w:pPr>
            <w:r w:rsidRPr="005B0796">
              <w:t>25</w:t>
            </w:r>
          </w:p>
        </w:tc>
      </w:tr>
      <w:tr w:rsidR="00B903A5" w:rsidRPr="005B0796" w14:paraId="42F3E8AF"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818" w:type="dxa"/>
            <w:hideMark/>
          </w:tcPr>
          <w:p w14:paraId="3E1A4709" w14:textId="77777777" w:rsidR="00B903A5" w:rsidRPr="005B0796" w:rsidRDefault="00B903A5" w:rsidP="00594252">
            <w:pPr>
              <w:pStyle w:val="TableText"/>
              <w:rPr>
                <w:b/>
              </w:rPr>
            </w:pPr>
            <w:r w:rsidRPr="005B0796">
              <w:rPr>
                <w:b/>
              </w:rPr>
              <w:t>Air Force</w:t>
            </w:r>
          </w:p>
        </w:tc>
        <w:tc>
          <w:tcPr>
            <w:tcW w:w="812" w:type="dxa"/>
          </w:tcPr>
          <w:p w14:paraId="1123E7A2" w14:textId="77777777" w:rsidR="00B903A5" w:rsidRPr="005B0796" w:rsidRDefault="00B903A5" w:rsidP="00594252">
            <w:pPr>
              <w:pStyle w:val="TableText"/>
              <w:jc w:val="right"/>
            </w:pPr>
          </w:p>
        </w:tc>
        <w:tc>
          <w:tcPr>
            <w:tcW w:w="812" w:type="dxa"/>
          </w:tcPr>
          <w:p w14:paraId="2979F0A5" w14:textId="77777777" w:rsidR="00B903A5" w:rsidRPr="005B0796" w:rsidRDefault="00B903A5" w:rsidP="00594252">
            <w:pPr>
              <w:pStyle w:val="TableText"/>
              <w:jc w:val="right"/>
            </w:pPr>
          </w:p>
        </w:tc>
        <w:tc>
          <w:tcPr>
            <w:tcW w:w="812" w:type="dxa"/>
          </w:tcPr>
          <w:p w14:paraId="4611A5A9" w14:textId="77777777" w:rsidR="00B903A5" w:rsidRPr="005B0796" w:rsidRDefault="00B903A5" w:rsidP="00594252">
            <w:pPr>
              <w:pStyle w:val="TableText"/>
              <w:jc w:val="right"/>
            </w:pPr>
          </w:p>
        </w:tc>
        <w:tc>
          <w:tcPr>
            <w:tcW w:w="812" w:type="dxa"/>
          </w:tcPr>
          <w:p w14:paraId="2E0D1552" w14:textId="77777777" w:rsidR="00B903A5" w:rsidRPr="005B0796" w:rsidRDefault="00B903A5" w:rsidP="00594252">
            <w:pPr>
              <w:pStyle w:val="TableText"/>
              <w:jc w:val="right"/>
            </w:pPr>
          </w:p>
        </w:tc>
        <w:tc>
          <w:tcPr>
            <w:tcW w:w="812" w:type="dxa"/>
          </w:tcPr>
          <w:p w14:paraId="46F7A4DC" w14:textId="77777777" w:rsidR="00B903A5" w:rsidRPr="005B0796" w:rsidRDefault="00B903A5" w:rsidP="00594252">
            <w:pPr>
              <w:pStyle w:val="TableText"/>
              <w:jc w:val="right"/>
            </w:pPr>
          </w:p>
        </w:tc>
        <w:tc>
          <w:tcPr>
            <w:tcW w:w="812" w:type="dxa"/>
          </w:tcPr>
          <w:p w14:paraId="257C5CFF" w14:textId="77777777" w:rsidR="00B903A5" w:rsidRPr="005B0796" w:rsidRDefault="00B903A5" w:rsidP="00594252">
            <w:pPr>
              <w:pStyle w:val="TableText"/>
              <w:jc w:val="right"/>
            </w:pPr>
          </w:p>
        </w:tc>
        <w:tc>
          <w:tcPr>
            <w:tcW w:w="812" w:type="dxa"/>
          </w:tcPr>
          <w:p w14:paraId="2F086AA5" w14:textId="77777777" w:rsidR="00B903A5" w:rsidRPr="005B0796" w:rsidRDefault="00B903A5" w:rsidP="00594252">
            <w:pPr>
              <w:pStyle w:val="TableText"/>
              <w:jc w:val="right"/>
            </w:pPr>
          </w:p>
        </w:tc>
        <w:tc>
          <w:tcPr>
            <w:tcW w:w="813" w:type="dxa"/>
          </w:tcPr>
          <w:p w14:paraId="70F004C5" w14:textId="77777777" w:rsidR="00B903A5" w:rsidRPr="005B0796" w:rsidRDefault="00B903A5" w:rsidP="00594252">
            <w:pPr>
              <w:pStyle w:val="TableText"/>
              <w:jc w:val="right"/>
            </w:pPr>
          </w:p>
        </w:tc>
      </w:tr>
      <w:tr w:rsidR="00B903A5" w:rsidRPr="005B0796" w14:paraId="15885EDD" w14:textId="77777777" w:rsidTr="009919A9">
        <w:trPr>
          <w:cantSplit/>
        </w:trPr>
        <w:tc>
          <w:tcPr>
            <w:tcW w:w="818" w:type="dxa"/>
            <w:hideMark/>
          </w:tcPr>
          <w:p w14:paraId="223269CD" w14:textId="77777777" w:rsidR="00B903A5" w:rsidRPr="005B0796" w:rsidRDefault="00B903A5" w:rsidP="00594252">
            <w:pPr>
              <w:pStyle w:val="TableText"/>
              <w:ind w:left="144"/>
            </w:pPr>
            <w:r w:rsidRPr="005B0796">
              <w:t>Male</w:t>
            </w:r>
          </w:p>
        </w:tc>
        <w:tc>
          <w:tcPr>
            <w:tcW w:w="812" w:type="dxa"/>
            <w:hideMark/>
          </w:tcPr>
          <w:p w14:paraId="0311AA5A" w14:textId="77777777" w:rsidR="00B903A5" w:rsidRPr="005B0796" w:rsidRDefault="00B903A5" w:rsidP="00594252">
            <w:pPr>
              <w:pStyle w:val="TableText"/>
              <w:jc w:val="right"/>
            </w:pPr>
            <w:r w:rsidRPr="005B0796">
              <w:t>17</w:t>
            </w:r>
          </w:p>
        </w:tc>
        <w:tc>
          <w:tcPr>
            <w:tcW w:w="812" w:type="dxa"/>
            <w:hideMark/>
          </w:tcPr>
          <w:p w14:paraId="57C1001B" w14:textId="77777777" w:rsidR="00B903A5" w:rsidRPr="005B0796" w:rsidRDefault="00B903A5" w:rsidP="00594252">
            <w:pPr>
              <w:pStyle w:val="TableText"/>
              <w:jc w:val="right"/>
            </w:pPr>
            <w:r w:rsidRPr="005B0796">
              <w:t>13</w:t>
            </w:r>
          </w:p>
        </w:tc>
        <w:tc>
          <w:tcPr>
            <w:tcW w:w="812" w:type="dxa"/>
            <w:hideMark/>
          </w:tcPr>
          <w:p w14:paraId="222DFB9B" w14:textId="77777777" w:rsidR="00B903A5" w:rsidRPr="005B0796" w:rsidRDefault="00B903A5" w:rsidP="00594252">
            <w:pPr>
              <w:pStyle w:val="TableText"/>
              <w:jc w:val="right"/>
            </w:pPr>
            <w:r w:rsidRPr="005B0796">
              <w:t>104</w:t>
            </w:r>
          </w:p>
        </w:tc>
        <w:tc>
          <w:tcPr>
            <w:tcW w:w="812" w:type="dxa"/>
            <w:hideMark/>
          </w:tcPr>
          <w:p w14:paraId="591A3416" w14:textId="77777777" w:rsidR="00B903A5" w:rsidRPr="005B0796" w:rsidRDefault="00B903A5" w:rsidP="00594252">
            <w:pPr>
              <w:pStyle w:val="TableText"/>
              <w:jc w:val="right"/>
            </w:pPr>
            <w:r w:rsidRPr="005B0796">
              <w:t>77</w:t>
            </w:r>
          </w:p>
        </w:tc>
        <w:tc>
          <w:tcPr>
            <w:tcW w:w="812" w:type="dxa"/>
            <w:hideMark/>
          </w:tcPr>
          <w:p w14:paraId="5D4D1478" w14:textId="77777777" w:rsidR="00B903A5" w:rsidRPr="005B0796" w:rsidRDefault="00B903A5" w:rsidP="00594252">
            <w:pPr>
              <w:pStyle w:val="TableText"/>
              <w:jc w:val="right"/>
            </w:pPr>
            <w:r w:rsidRPr="005B0796">
              <w:t>74</w:t>
            </w:r>
          </w:p>
        </w:tc>
        <w:tc>
          <w:tcPr>
            <w:tcW w:w="812" w:type="dxa"/>
            <w:hideMark/>
          </w:tcPr>
          <w:p w14:paraId="71172FAF" w14:textId="77777777" w:rsidR="00B903A5" w:rsidRPr="005B0796" w:rsidRDefault="00B903A5" w:rsidP="00594252">
            <w:pPr>
              <w:pStyle w:val="TableText"/>
              <w:jc w:val="right"/>
            </w:pPr>
            <w:r w:rsidRPr="005B0796">
              <w:t>50</w:t>
            </w:r>
          </w:p>
        </w:tc>
        <w:tc>
          <w:tcPr>
            <w:tcW w:w="812" w:type="dxa"/>
            <w:hideMark/>
          </w:tcPr>
          <w:p w14:paraId="218D4297" w14:textId="77777777" w:rsidR="00B903A5" w:rsidRPr="005B0796" w:rsidRDefault="00B903A5" w:rsidP="00594252">
            <w:pPr>
              <w:pStyle w:val="TableText"/>
              <w:jc w:val="right"/>
            </w:pPr>
            <w:r w:rsidRPr="005B0796">
              <w:t>152</w:t>
            </w:r>
          </w:p>
        </w:tc>
        <w:tc>
          <w:tcPr>
            <w:tcW w:w="813" w:type="dxa"/>
            <w:hideMark/>
          </w:tcPr>
          <w:p w14:paraId="434051A1" w14:textId="77777777" w:rsidR="00B903A5" w:rsidRPr="005B0796" w:rsidRDefault="00B903A5" w:rsidP="00594252">
            <w:pPr>
              <w:pStyle w:val="TableText"/>
              <w:jc w:val="right"/>
            </w:pPr>
            <w:r w:rsidRPr="005B0796">
              <w:t>86</w:t>
            </w:r>
          </w:p>
        </w:tc>
      </w:tr>
      <w:tr w:rsidR="00B903A5" w:rsidRPr="005B0796" w14:paraId="51645E30"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818" w:type="dxa"/>
            <w:hideMark/>
          </w:tcPr>
          <w:p w14:paraId="2BAC01CE" w14:textId="77777777" w:rsidR="00B903A5" w:rsidRPr="005B0796" w:rsidRDefault="00B903A5" w:rsidP="00594252">
            <w:pPr>
              <w:pStyle w:val="TableText"/>
              <w:ind w:left="144"/>
            </w:pPr>
            <w:r w:rsidRPr="005B0796">
              <w:t>Female</w:t>
            </w:r>
          </w:p>
        </w:tc>
        <w:tc>
          <w:tcPr>
            <w:tcW w:w="812" w:type="dxa"/>
            <w:hideMark/>
          </w:tcPr>
          <w:p w14:paraId="00CDF430" w14:textId="77777777" w:rsidR="00B903A5" w:rsidRPr="005B0796" w:rsidRDefault="00B903A5" w:rsidP="00594252">
            <w:pPr>
              <w:pStyle w:val="TableText"/>
              <w:jc w:val="right"/>
            </w:pPr>
            <w:r w:rsidRPr="005B0796">
              <w:t>4</w:t>
            </w:r>
          </w:p>
        </w:tc>
        <w:tc>
          <w:tcPr>
            <w:tcW w:w="812" w:type="dxa"/>
            <w:hideMark/>
          </w:tcPr>
          <w:p w14:paraId="781D7953" w14:textId="77777777" w:rsidR="00B903A5" w:rsidRPr="005B0796" w:rsidRDefault="00B903A5" w:rsidP="00594252">
            <w:pPr>
              <w:pStyle w:val="TableText"/>
              <w:jc w:val="right"/>
            </w:pPr>
            <w:r w:rsidRPr="005B0796">
              <w:t>3</w:t>
            </w:r>
          </w:p>
        </w:tc>
        <w:tc>
          <w:tcPr>
            <w:tcW w:w="812" w:type="dxa"/>
            <w:hideMark/>
          </w:tcPr>
          <w:p w14:paraId="1DC46595" w14:textId="77777777" w:rsidR="00B903A5" w:rsidRPr="005B0796" w:rsidRDefault="00B903A5" w:rsidP="00594252">
            <w:pPr>
              <w:pStyle w:val="TableText"/>
              <w:jc w:val="right"/>
            </w:pPr>
            <w:r w:rsidRPr="005B0796">
              <w:t>25</w:t>
            </w:r>
          </w:p>
        </w:tc>
        <w:tc>
          <w:tcPr>
            <w:tcW w:w="812" w:type="dxa"/>
            <w:hideMark/>
          </w:tcPr>
          <w:p w14:paraId="1279D0E2" w14:textId="77777777" w:rsidR="00B903A5" w:rsidRPr="005B0796" w:rsidRDefault="00B903A5" w:rsidP="00594252">
            <w:pPr>
              <w:pStyle w:val="TableText"/>
              <w:jc w:val="right"/>
            </w:pPr>
            <w:r w:rsidRPr="005B0796">
              <w:t>14</w:t>
            </w:r>
          </w:p>
        </w:tc>
        <w:tc>
          <w:tcPr>
            <w:tcW w:w="812" w:type="dxa"/>
            <w:hideMark/>
          </w:tcPr>
          <w:p w14:paraId="664F3A14" w14:textId="77777777" w:rsidR="00B903A5" w:rsidRPr="005B0796" w:rsidRDefault="00B903A5" w:rsidP="00594252">
            <w:pPr>
              <w:pStyle w:val="TableText"/>
              <w:jc w:val="right"/>
            </w:pPr>
            <w:r w:rsidRPr="005B0796">
              <w:t>8</w:t>
            </w:r>
          </w:p>
        </w:tc>
        <w:tc>
          <w:tcPr>
            <w:tcW w:w="812" w:type="dxa"/>
            <w:hideMark/>
          </w:tcPr>
          <w:p w14:paraId="0873F227" w14:textId="77777777" w:rsidR="00B903A5" w:rsidRPr="005B0796" w:rsidRDefault="00B903A5" w:rsidP="00594252">
            <w:pPr>
              <w:pStyle w:val="TableText"/>
              <w:jc w:val="right"/>
            </w:pPr>
            <w:r w:rsidRPr="005B0796">
              <w:t>5</w:t>
            </w:r>
          </w:p>
        </w:tc>
        <w:tc>
          <w:tcPr>
            <w:tcW w:w="812" w:type="dxa"/>
            <w:hideMark/>
          </w:tcPr>
          <w:p w14:paraId="631D7052" w14:textId="77777777" w:rsidR="00B903A5" w:rsidRPr="005B0796" w:rsidRDefault="00B903A5" w:rsidP="00594252">
            <w:pPr>
              <w:pStyle w:val="TableText"/>
              <w:jc w:val="right"/>
            </w:pPr>
            <w:r w:rsidRPr="005B0796">
              <w:t>34</w:t>
            </w:r>
          </w:p>
        </w:tc>
        <w:tc>
          <w:tcPr>
            <w:tcW w:w="813" w:type="dxa"/>
            <w:hideMark/>
          </w:tcPr>
          <w:p w14:paraId="7B6AF5CB" w14:textId="77777777" w:rsidR="00B903A5" w:rsidRPr="005B0796" w:rsidRDefault="00B903A5" w:rsidP="00594252">
            <w:pPr>
              <w:pStyle w:val="TableText"/>
              <w:jc w:val="right"/>
            </w:pPr>
            <w:r w:rsidRPr="005B0796">
              <w:t>16</w:t>
            </w:r>
          </w:p>
        </w:tc>
      </w:tr>
      <w:tr w:rsidR="00B903A5" w:rsidRPr="005B0796" w14:paraId="14BABE53" w14:textId="77777777" w:rsidTr="009919A9">
        <w:trPr>
          <w:cantSplit/>
        </w:trPr>
        <w:tc>
          <w:tcPr>
            <w:tcW w:w="818" w:type="dxa"/>
            <w:hideMark/>
          </w:tcPr>
          <w:p w14:paraId="127E3194" w14:textId="77777777" w:rsidR="00B903A5" w:rsidRPr="005B0796" w:rsidRDefault="00B903A5" w:rsidP="00594252">
            <w:pPr>
              <w:pStyle w:val="TableText"/>
              <w:rPr>
                <w:b/>
              </w:rPr>
            </w:pPr>
            <w:r w:rsidRPr="005B0796">
              <w:rPr>
                <w:b/>
              </w:rPr>
              <w:t>Missing</w:t>
            </w:r>
          </w:p>
        </w:tc>
        <w:tc>
          <w:tcPr>
            <w:tcW w:w="812" w:type="dxa"/>
            <w:hideMark/>
          </w:tcPr>
          <w:p w14:paraId="0E40C1F3" w14:textId="77777777" w:rsidR="00B903A5" w:rsidRPr="005B0796" w:rsidRDefault="00B903A5" w:rsidP="00594252">
            <w:pPr>
              <w:pStyle w:val="TableText"/>
              <w:jc w:val="right"/>
            </w:pPr>
            <w:r w:rsidRPr="005B0796">
              <w:t>1</w:t>
            </w:r>
          </w:p>
        </w:tc>
        <w:tc>
          <w:tcPr>
            <w:tcW w:w="812" w:type="dxa"/>
            <w:hideMark/>
          </w:tcPr>
          <w:p w14:paraId="655D502E" w14:textId="77777777" w:rsidR="00B903A5" w:rsidRPr="005B0796" w:rsidRDefault="00B903A5" w:rsidP="00594252">
            <w:pPr>
              <w:pStyle w:val="TableText"/>
              <w:jc w:val="right"/>
            </w:pPr>
            <w:r w:rsidRPr="005B0796">
              <w:t>–</w:t>
            </w:r>
          </w:p>
        </w:tc>
        <w:tc>
          <w:tcPr>
            <w:tcW w:w="812" w:type="dxa"/>
            <w:hideMark/>
          </w:tcPr>
          <w:p w14:paraId="47D9EACC" w14:textId="77777777" w:rsidR="00B903A5" w:rsidRPr="005B0796" w:rsidRDefault="00B903A5" w:rsidP="00594252">
            <w:pPr>
              <w:pStyle w:val="TableText"/>
              <w:jc w:val="right"/>
            </w:pPr>
            <w:r w:rsidRPr="005B0796">
              <w:t>2</w:t>
            </w:r>
          </w:p>
        </w:tc>
        <w:tc>
          <w:tcPr>
            <w:tcW w:w="812" w:type="dxa"/>
            <w:hideMark/>
          </w:tcPr>
          <w:p w14:paraId="0E117824" w14:textId="77777777" w:rsidR="00B903A5" w:rsidRPr="005B0796" w:rsidRDefault="00B903A5" w:rsidP="00594252">
            <w:pPr>
              <w:pStyle w:val="TableText"/>
              <w:jc w:val="right"/>
            </w:pPr>
            <w:r w:rsidRPr="005B0796">
              <w:t>1</w:t>
            </w:r>
          </w:p>
        </w:tc>
        <w:tc>
          <w:tcPr>
            <w:tcW w:w="812" w:type="dxa"/>
            <w:hideMark/>
          </w:tcPr>
          <w:p w14:paraId="4F3AC35C" w14:textId="77777777" w:rsidR="00B903A5" w:rsidRPr="005B0796" w:rsidRDefault="00B903A5" w:rsidP="00594252">
            <w:pPr>
              <w:pStyle w:val="TableText"/>
              <w:jc w:val="right"/>
            </w:pPr>
            <w:r w:rsidRPr="005B0796">
              <w:t>2</w:t>
            </w:r>
          </w:p>
        </w:tc>
        <w:tc>
          <w:tcPr>
            <w:tcW w:w="812" w:type="dxa"/>
            <w:hideMark/>
          </w:tcPr>
          <w:p w14:paraId="1C6588CD" w14:textId="77777777" w:rsidR="00B903A5" w:rsidRPr="005B0796" w:rsidRDefault="00B903A5" w:rsidP="00594252">
            <w:pPr>
              <w:pStyle w:val="TableText"/>
              <w:jc w:val="right"/>
            </w:pPr>
            <w:r w:rsidRPr="005B0796">
              <w:t>1</w:t>
            </w:r>
          </w:p>
        </w:tc>
        <w:tc>
          <w:tcPr>
            <w:tcW w:w="812" w:type="dxa"/>
            <w:hideMark/>
          </w:tcPr>
          <w:p w14:paraId="7E3DD4EB" w14:textId="77777777" w:rsidR="00B903A5" w:rsidRPr="005B0796" w:rsidRDefault="00B903A5" w:rsidP="00594252">
            <w:pPr>
              <w:pStyle w:val="TableText"/>
              <w:jc w:val="right"/>
            </w:pPr>
            <w:r w:rsidRPr="005B0796">
              <w:t>7</w:t>
            </w:r>
          </w:p>
        </w:tc>
        <w:tc>
          <w:tcPr>
            <w:tcW w:w="813" w:type="dxa"/>
            <w:hideMark/>
          </w:tcPr>
          <w:p w14:paraId="251E4145" w14:textId="77777777" w:rsidR="00B903A5" w:rsidRPr="005B0796" w:rsidRDefault="00B903A5" w:rsidP="00594252">
            <w:pPr>
              <w:pStyle w:val="TableText"/>
              <w:jc w:val="right"/>
            </w:pPr>
            <w:r w:rsidRPr="005B0796">
              <w:t>4</w:t>
            </w:r>
          </w:p>
        </w:tc>
      </w:tr>
    </w:tbl>
    <w:p w14:paraId="5B2429DA" w14:textId="77777777" w:rsidR="00B903A5" w:rsidRPr="005B0796" w:rsidRDefault="00B903A5" w:rsidP="00B903A5">
      <w:pPr>
        <w:pStyle w:val="TableNotes"/>
        <w:rPr>
          <w:color w:val="000000" w:themeColor="text1"/>
        </w:rPr>
      </w:pPr>
      <w:r w:rsidRPr="005B0796">
        <w:t>*Includes Combat Zone and MHPWS participants who were invited to participate but were not stratified</w:t>
      </w:r>
      <w:r>
        <w:t>.</w:t>
      </w:r>
    </w:p>
    <w:p w14:paraId="156676C6" w14:textId="77777777" w:rsidR="00B903A5" w:rsidRPr="005B0796" w:rsidRDefault="00B903A5" w:rsidP="00B903A5">
      <w:r w:rsidRPr="005B0796">
        <w:rPr>
          <w:color w:val="000000" w:themeColor="text1"/>
        </w:rPr>
        <w:t xml:space="preserve">Table A.8 </w:t>
      </w:r>
      <w:r w:rsidRPr="005B0796">
        <w:t xml:space="preserve">shows the final distribution of eligible Transitioned ADF across the strata used for selection into the CIDI, and the number who responded. Of the 1049 Transitioned ADF who completed a CIDI, 47.1% were in Band 3, 21.4% in Band 2 and 24.6% in Band 1. The final sample comprised 55.4% Army, 18.9% Navy and 25.2% Air Force, with the majority of respondents being male (85.9%). A total of 78 CIDI responders were missing band, sex or </w:t>
      </w:r>
      <w:r>
        <w:t>s</w:t>
      </w:r>
      <w:r w:rsidRPr="005B0796">
        <w:t xml:space="preserve">ervice, and were excluded from the final weighted population. </w:t>
      </w:r>
    </w:p>
    <w:p w14:paraId="16E756F5" w14:textId="77777777" w:rsidR="00B903A5" w:rsidRPr="005B0796" w:rsidRDefault="00B903A5" w:rsidP="00B903A5">
      <w:pPr>
        <w:pStyle w:val="Heading2b"/>
        <w:numPr>
          <w:ilvl w:val="1"/>
          <w:numId w:val="11"/>
        </w:numPr>
      </w:pPr>
      <w:bookmarkStart w:id="1446" w:name="_Toc482021451"/>
      <w:bookmarkStart w:id="1447" w:name="_Toc482024542"/>
      <w:bookmarkStart w:id="1448" w:name="_Toc484594362"/>
      <w:bookmarkStart w:id="1449" w:name="_Toc487011302"/>
      <w:bookmarkStart w:id="1450" w:name="_Toc493663197"/>
      <w:bookmarkStart w:id="1451" w:name="_Toc494449814"/>
      <w:r w:rsidRPr="005B0796">
        <w:t>Weighting</w:t>
      </w:r>
      <w:bookmarkEnd w:id="1440"/>
      <w:bookmarkEnd w:id="1446"/>
      <w:bookmarkEnd w:id="1447"/>
      <w:bookmarkEnd w:id="1448"/>
      <w:bookmarkEnd w:id="1449"/>
      <w:bookmarkEnd w:id="1450"/>
      <w:bookmarkEnd w:id="1451"/>
    </w:p>
    <w:p w14:paraId="43FFC45A" w14:textId="77777777" w:rsidR="00B903A5" w:rsidRPr="005B0796" w:rsidRDefault="00B903A5" w:rsidP="00B903A5">
      <w:r w:rsidRPr="005B0796">
        <w:t xml:space="preserve">The statistical weighting process used in the Mental Health and Wellbeing Transition Study replicated that used in the MHPWS, and allowed for the inference of results for the Transitioned ADF and 2015 Regular ADF populations. The two types of weights used in the study were: </w:t>
      </w:r>
    </w:p>
    <w:p w14:paraId="461C983F" w14:textId="77777777" w:rsidR="00B903A5" w:rsidRPr="005B0796" w:rsidRDefault="00B903A5" w:rsidP="00B903A5">
      <w:pPr>
        <w:pStyle w:val="Bullet"/>
        <w:numPr>
          <w:ilvl w:val="0"/>
          <w:numId w:val="3"/>
        </w:numPr>
        <w:ind w:left="360"/>
      </w:pPr>
      <w:r w:rsidRPr="005B0796">
        <w:t>the survey responder weights, which corrected for differential non-response on the survey for Transitioned ADF and 2015 Regular ADF</w:t>
      </w:r>
    </w:p>
    <w:p w14:paraId="520983C6" w14:textId="77777777" w:rsidR="00B903A5" w:rsidRPr="005B0796" w:rsidRDefault="00B903A5" w:rsidP="00B903A5">
      <w:pPr>
        <w:pStyle w:val="Bullet"/>
        <w:numPr>
          <w:ilvl w:val="0"/>
          <w:numId w:val="3"/>
        </w:numPr>
        <w:ind w:left="360"/>
      </w:pPr>
      <w:r w:rsidRPr="005B0796">
        <w:t xml:space="preserve">two-phase CIDI responder weights, which compensated for differential non-response on the survey, and for oversampling or under-sampling of specific cases where participants went on to be interviewed with the CIDI. These weights apply to the Transitioned ADF only, and were used to generate 12-month and lifetime ICD-10 mental disorder prevalence estimates for the entire Transitioned ADF. </w:t>
      </w:r>
    </w:p>
    <w:p w14:paraId="5211296E" w14:textId="77777777" w:rsidR="00B903A5" w:rsidRPr="005B0796" w:rsidRDefault="00B903A5" w:rsidP="00B903A5">
      <w:r w:rsidRPr="005B0796">
        <w:t>The weighting procedure involves the allocation of a representative value or ‘weight’ to the data for each responder, based on key variables that are known for the entire population (including both responders and non-responders). This weight indicates how many individuals in the entire population are represented by each actual responder. Weighting data allows for inference of results for an entire population</w:t>
      </w:r>
      <w:r>
        <w:t xml:space="preserve"> – </w:t>
      </w:r>
      <w:r w:rsidRPr="005B0796">
        <w:t>in this case, the Transitioned ADF</w:t>
      </w:r>
      <w:r>
        <w:t xml:space="preserve"> –</w:t>
      </w:r>
      <w:r w:rsidRPr="005B0796">
        <w:t xml:space="preserve"> by assigning a representative value to each ‘actual’ case (responder) in the data. If a case has a weight of 4, it means that case counts in the data as 4 identical cases. By using known characteristics about each individual within the population (in this case, age, sex, rank and medical fitness), the weight assigned to responders indicates how many ‘like’ individuals in the entire population (based on those characteristics) each responder represents. </w:t>
      </w:r>
    </w:p>
    <w:p w14:paraId="776F4D61" w14:textId="77777777" w:rsidR="00B903A5" w:rsidRPr="005B0796" w:rsidRDefault="00B903A5" w:rsidP="00B903A5">
      <w:r w:rsidRPr="005B0796">
        <w:t xml:space="preserve">Weighting is used to correct for differential non-response and to account for systematic biases that may be present in study responders (e.g., oversampling of high scorers for CIDI). Both types of weights were used in this study. </w:t>
      </w:r>
    </w:p>
    <w:p w14:paraId="03F87C13" w14:textId="77777777" w:rsidR="00B903A5" w:rsidRPr="005B0796" w:rsidRDefault="00B903A5" w:rsidP="00B903A5">
      <w:r w:rsidRPr="005B0796">
        <w:t>These two types of weights were combined to give each responder a single weight within the data. This methodology provides representative weights for the population, improving the accuracy of the estimated data, and requires that every individual within the population has actual data on the key variables that determine representativeness.</w:t>
      </w:r>
    </w:p>
    <w:p w14:paraId="6EBCA5DD" w14:textId="77777777" w:rsidR="00B903A5" w:rsidRPr="005B0796" w:rsidRDefault="00B903A5" w:rsidP="00B903A5">
      <w:r w:rsidRPr="005B0796">
        <w:t>The Transitioned ADF weights were derived from the distinct strata of sex,</w:t>
      </w:r>
      <w:r>
        <w:t xml:space="preserve"> s</w:t>
      </w:r>
      <w:r w:rsidRPr="005B0796">
        <w:t xml:space="preserve">ervice, rank and medical fitness, a dichotomous variable derived from Medical Employment Classification </w:t>
      </w:r>
      <w:r>
        <w:t>s</w:t>
      </w:r>
      <w:r w:rsidRPr="005B0796">
        <w:t xml:space="preserve">tatus (see details of reclassification below). Constraints due to consent meant that MEC </w:t>
      </w:r>
      <w:r>
        <w:t>s</w:t>
      </w:r>
      <w:r w:rsidRPr="005B0796">
        <w:t xml:space="preserve">tatus was missing for a number of participants. As Medical Fitness was a key weighting variable both in providing a proxy health status for each individual in the population and to enable comparisons with the 2010 ADF Mental Health Prevalence and Wellbeing Study, a data perturbation approach was taken to deal with the missing data (see section A.10 on perturbation approach). Once missing MEC </w:t>
      </w:r>
      <w:r>
        <w:t>s</w:t>
      </w:r>
      <w:r w:rsidRPr="005B0796">
        <w:t>tatus was addressed, there remained 313 (1.2%) of the Transitioned ADF with missing information on the strata variables and therefore the final population was 24,932, with all weighted analyses of the Transitioned ADF summing to this.</w:t>
      </w:r>
    </w:p>
    <w:p w14:paraId="5633FBA1" w14:textId="77777777" w:rsidR="00B903A5" w:rsidRPr="005B0796" w:rsidRDefault="00B903A5" w:rsidP="00B903A5">
      <w:r w:rsidRPr="005B0796">
        <w:t xml:space="preserve">The 2015 Regular ADF weights were derived from the distinct strata of sex, </w:t>
      </w:r>
      <w:r>
        <w:t>s</w:t>
      </w:r>
      <w:r w:rsidRPr="005B0796">
        <w:t>ervice, rank, medical fitness and whether the individual completed a study as part of MilHOP. The inclusion of this additional stratification variable was to account for the targeted sampling of the MilHOP cohort, who were then over</w:t>
      </w:r>
      <w:r>
        <w:t>-</w:t>
      </w:r>
      <w:r w:rsidRPr="005B0796">
        <w:t>represented within the current serving responders. A MilHOP flag variable (yes/no = 1/0) was therefore created and used in the weighting process in order to reduce this bias. There were 192 (0.4%) 2015 Regular ADF with missing information on the strata variables, reducing the final weighted population for analysis to 52,500. Tables B.14, B.15 and B.16 present the study population and responders within each strat</w:t>
      </w:r>
      <w:r>
        <w:t>um</w:t>
      </w:r>
      <w:r w:rsidRPr="005B0796">
        <w:t xml:space="preserve"> used for weighting, and show approximately how many persons within each subpopulation each study responder represents. </w:t>
      </w:r>
    </w:p>
    <w:p w14:paraId="23494281" w14:textId="77777777" w:rsidR="00B903A5" w:rsidRPr="005B0796" w:rsidRDefault="00B903A5" w:rsidP="00B903A5">
      <w:pPr>
        <w:pStyle w:val="Heading3b"/>
        <w:numPr>
          <w:ilvl w:val="2"/>
          <w:numId w:val="11"/>
        </w:numPr>
      </w:pPr>
      <w:r w:rsidRPr="005B0796">
        <w:t>Reclassification of MEC for study</w:t>
      </w:r>
    </w:p>
    <w:p w14:paraId="4C8921BC" w14:textId="77777777" w:rsidR="00B903A5" w:rsidRPr="005B0796" w:rsidRDefault="00B903A5" w:rsidP="00B903A5">
      <w:pPr>
        <w:rPr>
          <w:rFonts w:asciiTheme="minorHAnsi" w:hAnsiTheme="minorHAnsi"/>
        </w:rPr>
      </w:pPr>
      <w:r w:rsidRPr="005B0796">
        <w:t xml:space="preserve">MEC is an administrative system designed to monitor physical fitness and medical standards in the ADF, and is </w:t>
      </w:r>
      <w:r w:rsidRPr="005B0796">
        <w:rPr>
          <w:szCs w:val="22"/>
        </w:rPr>
        <w:t>divided into the following four levels (either current or on discharge from the Regular ADF):</w:t>
      </w:r>
    </w:p>
    <w:p w14:paraId="43DFFF17" w14:textId="77777777" w:rsidR="00B903A5" w:rsidRPr="005B0796" w:rsidRDefault="00B903A5" w:rsidP="00B903A5">
      <w:pPr>
        <w:pStyle w:val="Bullet"/>
        <w:numPr>
          <w:ilvl w:val="0"/>
          <w:numId w:val="3"/>
        </w:numPr>
        <w:ind w:left="360"/>
        <w:rPr>
          <w:lang w:eastAsia="en-AU"/>
        </w:rPr>
      </w:pPr>
      <w:r w:rsidRPr="005B0796">
        <w:rPr>
          <w:lang w:eastAsia="en-AU"/>
        </w:rPr>
        <w:t xml:space="preserve">MEC 1 – members are medically fit for employment in a deployed or seagoing environment without restriction. </w:t>
      </w:r>
    </w:p>
    <w:p w14:paraId="0349EE60" w14:textId="77777777" w:rsidR="00B903A5" w:rsidRPr="005B0796" w:rsidRDefault="00B903A5" w:rsidP="00B903A5">
      <w:pPr>
        <w:pStyle w:val="Bullet"/>
        <w:numPr>
          <w:ilvl w:val="0"/>
          <w:numId w:val="3"/>
        </w:numPr>
        <w:ind w:left="360"/>
        <w:rPr>
          <w:lang w:eastAsia="en-AU"/>
        </w:rPr>
      </w:pPr>
      <w:r w:rsidRPr="005B0796">
        <w:rPr>
          <w:lang w:eastAsia="en-AU"/>
        </w:rPr>
        <w:t>MEC 2 – members have medical conditions that require access to various levels of medical support or employment restrictions; however, they remain medically fit for duties in their occupation in a deployed or seagoing environment. In allocation of sub-classifications of MEC 2</w:t>
      </w:r>
      <w:r>
        <w:rPr>
          <w:lang w:eastAsia="en-AU"/>
        </w:rPr>
        <w:t>,</w:t>
      </w:r>
      <w:r w:rsidRPr="005B0796">
        <w:rPr>
          <w:lang w:eastAsia="en-AU"/>
        </w:rPr>
        <w:t xml:space="preserve"> access to the level of medical support will always take precedence over specified employment restrictions.</w:t>
      </w:r>
    </w:p>
    <w:p w14:paraId="464A8442" w14:textId="77777777" w:rsidR="00B903A5" w:rsidRPr="005B0796" w:rsidRDefault="00B903A5" w:rsidP="00B903A5">
      <w:pPr>
        <w:pStyle w:val="Bullet"/>
        <w:numPr>
          <w:ilvl w:val="0"/>
          <w:numId w:val="3"/>
        </w:numPr>
        <w:ind w:left="360"/>
      </w:pPr>
      <w:r w:rsidRPr="005B0796">
        <w:rPr>
          <w:lang w:eastAsia="en-AU"/>
        </w:rPr>
        <w:t>MEC 3 – members have medical conditions that make them medically unfit for duties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Medical Employment Classification Review Board (MECRB) for consideration of an extension to remain MEC 3.</w:t>
      </w:r>
    </w:p>
    <w:p w14:paraId="33C0B856" w14:textId="77777777" w:rsidR="00B903A5" w:rsidRPr="005B0796" w:rsidRDefault="00B903A5" w:rsidP="00B903A5">
      <w:pPr>
        <w:pStyle w:val="Bullet"/>
        <w:numPr>
          <w:ilvl w:val="0"/>
          <w:numId w:val="3"/>
        </w:numPr>
        <w:ind w:left="360"/>
      </w:pPr>
      <w:r w:rsidRPr="005B0796">
        <w:t>MEC 4 – Members who are medically unfit for deployment or seagoing service in the long term. Members who are classified as MEC 4 for their military occupation will be subject to review and confirmation of their classification by a</w:t>
      </w:r>
      <w:r>
        <w:t>n</w:t>
      </w:r>
      <w:r w:rsidRPr="005B0796">
        <w:t xml:space="preserve"> MECRB.</w:t>
      </w:r>
    </w:p>
    <w:p w14:paraId="036C9C5A" w14:textId="77777777" w:rsidR="00B903A5" w:rsidRPr="005B0796" w:rsidRDefault="00B903A5" w:rsidP="00B903A5">
      <w:r w:rsidRPr="005B0796">
        <w:t>MEC status was collapsed to create a new variable</w:t>
      </w:r>
      <w:r>
        <w:t>,</w:t>
      </w:r>
      <w:r w:rsidRPr="005B0796">
        <w:t xml:space="preserve"> ‘Medical Fitness’</w:t>
      </w:r>
      <w:r>
        <w:t>,</w:t>
      </w:r>
      <w:r w:rsidRPr="005B0796">
        <w:t xml:space="preserve"> which was utilised in the current Programme of research. Medical fitness was defined accordingly:</w:t>
      </w:r>
    </w:p>
    <w:p w14:paraId="78B6EBC1" w14:textId="77777777" w:rsidR="00B903A5" w:rsidRPr="005B0796" w:rsidRDefault="00B903A5" w:rsidP="00B903A5">
      <w:pPr>
        <w:pStyle w:val="Bullet"/>
        <w:numPr>
          <w:ilvl w:val="0"/>
          <w:numId w:val="3"/>
        </w:numPr>
        <w:ind w:left="360"/>
        <w:rPr>
          <w:b/>
        </w:rPr>
      </w:pPr>
      <w:r w:rsidRPr="005B0796">
        <w:t>Fit – those who are categorised as fully employable and deployable, or deployable with restrictions. Participants are classified as fit if they fall into MEC 1 or MEC 2, or are assigned a perturbed MEC value of ‘fit’.</w:t>
      </w:r>
    </w:p>
    <w:p w14:paraId="1C7F3AC2" w14:textId="77777777" w:rsidR="00B903A5" w:rsidRPr="005B0796" w:rsidRDefault="00B903A5" w:rsidP="00B903A5">
      <w:pPr>
        <w:pStyle w:val="Bullet"/>
        <w:numPr>
          <w:ilvl w:val="0"/>
          <w:numId w:val="3"/>
        </w:numPr>
        <w:ind w:left="360"/>
        <w:rPr>
          <w:b/>
          <w:szCs w:val="22"/>
        </w:rPr>
      </w:pPr>
      <w:r w:rsidRPr="005B0796">
        <w:rPr>
          <w:szCs w:val="22"/>
        </w:rPr>
        <w:t>Unfit –</w:t>
      </w:r>
      <w:r w:rsidRPr="005B0796">
        <w:rPr>
          <w:b/>
          <w:szCs w:val="22"/>
        </w:rPr>
        <w:t xml:space="preserve"> </w:t>
      </w:r>
      <w:r w:rsidRPr="005B0796">
        <w:t xml:space="preserve">those who are not fit for deployment, original occupation and/or further service. ‘Unfit’ can include those who are undergoing rehabilitation, transitioning to alternative return-to-work arrangements or are in the process of being medically discharged from the ADF. </w:t>
      </w:r>
      <w:r w:rsidRPr="005B0796">
        <w:rPr>
          <w:szCs w:val="22"/>
        </w:rPr>
        <w:t xml:space="preserve">Participants are classified as unfit if they fall into MEC 3 or MEC 4, </w:t>
      </w:r>
      <w:r w:rsidRPr="005B0796">
        <w:t>or</w:t>
      </w:r>
      <w:r w:rsidRPr="005B0796">
        <w:rPr>
          <w:szCs w:val="22"/>
        </w:rPr>
        <w:t xml:space="preserve"> are assigned a perturbed MEC value of ‘unfit’.</w:t>
      </w:r>
    </w:p>
    <w:p w14:paraId="57FDF0D4" w14:textId="77777777" w:rsidR="00B903A5" w:rsidRPr="005B0796" w:rsidRDefault="00B903A5" w:rsidP="00B903A5">
      <w:pPr>
        <w:pStyle w:val="Heading3b"/>
        <w:numPr>
          <w:ilvl w:val="2"/>
          <w:numId w:val="11"/>
        </w:numPr>
      </w:pPr>
      <w:bookmarkStart w:id="1452" w:name="_Toc487011303"/>
      <w:bookmarkStart w:id="1453" w:name="_Toc493663198"/>
      <w:r w:rsidRPr="005B0796">
        <w:t>Estimates from survey</w:t>
      </w:r>
      <w:bookmarkEnd w:id="1452"/>
      <w:bookmarkEnd w:id="1453"/>
    </w:p>
    <w:p w14:paraId="440CD260" w14:textId="77777777" w:rsidR="00B903A5" w:rsidRPr="005B0796" w:rsidRDefault="00B903A5" w:rsidP="00B903A5">
      <w:r w:rsidRPr="005B0796">
        <w:t xml:space="preserve">To maximise the actual real data available for analysis, </w:t>
      </w:r>
      <w:r w:rsidRPr="005B0796">
        <w:rPr>
          <w:i/>
        </w:rPr>
        <w:t>survey</w:t>
      </w:r>
      <w:r w:rsidRPr="005B0796">
        <w:t xml:space="preserve"> weights were calculated for each section of the survey separately. This addressed the issue of differential response to various sections of the survey, whereby individuals potentially completed some but not all parts of the survey. A ‘survey section responder’ was defined as anyone who answered at least one question in that particular section of the survey. There was a total of 29 section responder weight variables. For the purpose of analysis, the weights used were always for the primary outcome variable of interest. </w:t>
      </w:r>
    </w:p>
    <w:p w14:paraId="3AEF9327" w14:textId="77777777" w:rsidR="00B903A5" w:rsidRPr="005B0796" w:rsidRDefault="00B903A5" w:rsidP="00B903A5">
      <w:pPr>
        <w:pStyle w:val="Heading3b"/>
        <w:numPr>
          <w:ilvl w:val="2"/>
          <w:numId w:val="11"/>
        </w:numPr>
      </w:pPr>
      <w:bookmarkStart w:id="1454" w:name="_Toc487011304"/>
      <w:bookmarkStart w:id="1455" w:name="_Toc493663199"/>
      <w:r w:rsidRPr="005B0796">
        <w:t>Estimates from CIDI</w:t>
      </w:r>
      <w:bookmarkEnd w:id="1454"/>
      <w:bookmarkEnd w:id="1455"/>
    </w:p>
    <w:p w14:paraId="13ED16B0" w14:textId="77777777" w:rsidR="00B903A5" w:rsidRPr="005B0796" w:rsidRDefault="00B903A5" w:rsidP="00B903A5">
      <w:pPr>
        <w:rPr>
          <w:rFonts w:eastAsia="MS Mincho"/>
        </w:rPr>
      </w:pPr>
      <w:r w:rsidRPr="005B0796">
        <w:t xml:space="preserve">CIDI weights were derived for the Transitioned ADF based on strata including band (cut-offs based on PCL and AUDIT), sex and </w:t>
      </w:r>
      <w:r>
        <w:t>s</w:t>
      </w:r>
      <w:r w:rsidRPr="005B0796">
        <w:t xml:space="preserve">ervice. These strata were used to weight the CIDI responses to the entire population. Within each stratum, the weight was calculated as the population size divided by the number of CIDI respondents for that stratum. As there was no band for non-respondents, the population size within each stratum was estimated by multiplying the known sex by service population total by the observed proportion belonging to the band of interest in the corresponding stratum. A finite population correction was also applied to adjust the variance estimates for the reasonably large sampling fraction in each stratum. </w:t>
      </w:r>
    </w:p>
    <w:p w14:paraId="098C1769" w14:textId="77777777" w:rsidR="00B903A5" w:rsidRPr="005B0796" w:rsidRDefault="00B903A5" w:rsidP="00B903A5">
      <w:pPr>
        <w:rPr>
          <w:lang w:eastAsia="en-AU"/>
        </w:rPr>
      </w:pPr>
      <w:r w:rsidRPr="005B0796">
        <w:t xml:space="preserve">Post-stratification by the variables of sex, </w:t>
      </w:r>
      <w:r>
        <w:t>s</w:t>
      </w:r>
      <w:r w:rsidRPr="005B0796">
        <w:t>ervice and rank was used to adjust the weights so that the estimates reproduced the known population totals, and to correct for differential non-response by rank.</w:t>
      </w:r>
    </w:p>
    <w:p w14:paraId="5E6AD6D5" w14:textId="77777777" w:rsidR="00B903A5" w:rsidRPr="005B0796" w:rsidRDefault="00B903A5" w:rsidP="009919A9">
      <w:pPr>
        <w:pStyle w:val="Heading2b"/>
        <w:ind w:left="720" w:hanging="720"/>
      </w:pPr>
      <w:bookmarkStart w:id="1456" w:name="_Toc341700584"/>
      <w:bookmarkStart w:id="1457" w:name="_Toc482021452"/>
      <w:bookmarkStart w:id="1458" w:name="_Toc482024543"/>
      <w:bookmarkStart w:id="1459" w:name="_Toc484594363"/>
      <w:bookmarkStart w:id="1460" w:name="_Toc487011305"/>
      <w:bookmarkStart w:id="1461" w:name="_Toc493663200"/>
      <w:bookmarkStart w:id="1462" w:name="_Toc494449815"/>
      <w:bookmarkStart w:id="1463" w:name="_Toc341700587"/>
      <w:r w:rsidRPr="005B0796">
        <w:t>Unit level perturbation of Medical Employment Classification values</w:t>
      </w:r>
      <w:bookmarkEnd w:id="1456"/>
      <w:bookmarkEnd w:id="1457"/>
      <w:bookmarkEnd w:id="1458"/>
      <w:bookmarkEnd w:id="1459"/>
      <w:bookmarkEnd w:id="1460"/>
      <w:bookmarkEnd w:id="1461"/>
      <w:bookmarkEnd w:id="1462"/>
    </w:p>
    <w:p w14:paraId="43C0925B" w14:textId="77777777" w:rsidR="00B903A5" w:rsidRPr="005B0796" w:rsidRDefault="00B903A5" w:rsidP="00B903A5">
      <w:pPr>
        <w:pStyle w:val="Heading3b"/>
        <w:numPr>
          <w:ilvl w:val="2"/>
          <w:numId w:val="11"/>
        </w:numPr>
      </w:pPr>
      <w:bookmarkStart w:id="1464" w:name="_Toc487011306"/>
      <w:bookmarkStart w:id="1465" w:name="_Toc493663201"/>
      <w:r w:rsidRPr="005B0796">
        <w:t>Methodology</w:t>
      </w:r>
      <w:bookmarkEnd w:id="1464"/>
      <w:bookmarkEnd w:id="1465"/>
    </w:p>
    <w:p w14:paraId="4DBB72E4" w14:textId="77777777" w:rsidR="00B903A5" w:rsidRPr="005B0796" w:rsidRDefault="00B903A5" w:rsidP="00B903A5">
      <w:r w:rsidRPr="005B0796">
        <w:t>Due to the nature of the consent provided for individuals on the Study Roll, access to identified data for weighting purposes required the consent of the individual participants. The Australian Institute of Health and Welfare (AIHW) carried out a perturbation approach that provided each non-consenting record with a releasable MEC value. Perturbation used the observed values of MEC for the non-consenters to give an appropriate value to each non-consenting record. This was achieved simply by fitting a model using releasable data items as predictors in a model of MEC using the non-consenters. The model used was a logistic regression model. This resulted in a set of probabilities of each record taking on MEC values. A Monte Carlo approach used these probabilities to randomly assign a synthetic MEC value to each record. These synthetic MEC values reflect each individual’s characteristics. The generation was constrained so that aggregate totals remained consistent with totals of unperturbed values.</w:t>
      </w:r>
    </w:p>
    <w:p w14:paraId="2B3379C2" w14:textId="77777777" w:rsidR="00B903A5" w:rsidRPr="005B0796" w:rsidRDefault="00B903A5" w:rsidP="00B903A5">
      <w:r w:rsidRPr="005B0796">
        <w:t>The perturbation approach allowed the unit records to better reflect the MEC status of individuals. This allowed researchers to use the unit records to undertake more accurate analyses and tabulations.</w:t>
      </w:r>
    </w:p>
    <w:p w14:paraId="70D2D4A6" w14:textId="77777777" w:rsidR="00B903A5" w:rsidRPr="005B0796" w:rsidRDefault="00B903A5" w:rsidP="00B903A5">
      <w:r w:rsidRPr="005B0796">
        <w:t>The unit record perturbation allowed for tabulation and analyses. The perturbed values did not assume a broad level of homogeneity within the combinations of variables as an aggregate weighting approach, but rather allowed the individual characteristic of each person to inform the perturbed value that they were assigned.</w:t>
      </w:r>
    </w:p>
    <w:p w14:paraId="6334E7F4" w14:textId="77777777" w:rsidR="00B903A5" w:rsidRPr="005B0796" w:rsidRDefault="00B903A5" w:rsidP="00B903A5">
      <w:pPr>
        <w:pStyle w:val="Heading3b"/>
        <w:numPr>
          <w:ilvl w:val="2"/>
          <w:numId w:val="11"/>
        </w:numPr>
      </w:pPr>
      <w:bookmarkStart w:id="1466" w:name="_Toc487011307"/>
      <w:bookmarkStart w:id="1467" w:name="_Toc493663202"/>
      <w:r w:rsidRPr="005B0796">
        <w:t>Results</w:t>
      </w:r>
      <w:bookmarkEnd w:id="1466"/>
      <w:bookmarkEnd w:id="1467"/>
    </w:p>
    <w:p w14:paraId="7FB35B05" w14:textId="77777777" w:rsidR="00B903A5" w:rsidRPr="005B0796" w:rsidRDefault="00B903A5" w:rsidP="00B903A5">
      <w:r w:rsidRPr="005B0796">
        <w:t>The perturbation process was constrained at the source level. Tables A.9 and A.10 show that this was achieved, as the counts of ‘fit’, ‘unfit’ and ‘missing’ were the same for both the original and perturbed values.</w:t>
      </w:r>
    </w:p>
    <w:p w14:paraId="1EB7D7CA" w14:textId="77777777" w:rsidR="00B903A5" w:rsidRPr="005B0796" w:rsidRDefault="00B903A5" w:rsidP="00B903A5">
      <w:r w:rsidRPr="005B0796">
        <w:t xml:space="preserve">The missing values were assumed to happen at random within the source file. This meant that a participant’s original missing value could be given to any other participant, regardless of their </w:t>
      </w:r>
      <w:bookmarkStart w:id="1468" w:name="_Hlk490642542"/>
      <w:r w:rsidRPr="005B0796">
        <w:t xml:space="preserve">gender, </w:t>
      </w:r>
      <w:r>
        <w:t>s</w:t>
      </w:r>
      <w:r w:rsidRPr="005B0796">
        <w:t>ervice, rank or age</w:t>
      </w:r>
      <w:bookmarkEnd w:id="1468"/>
      <w:r w:rsidRPr="005B0796">
        <w:t xml:space="preserve">. </w:t>
      </w:r>
      <w:r>
        <w:t>Therefore</w:t>
      </w:r>
      <w:r w:rsidRPr="005B0796">
        <w:t xml:space="preserve">, the number of ‘fit’ and ‘unfit’ totals at these constraining levels for the perturbed data do not exactly line up with the original totals (see Table A.10 for totals by </w:t>
      </w:r>
      <w:r>
        <w:t>s</w:t>
      </w:r>
      <w:r w:rsidRPr="005B0796">
        <w:t>ervice type).</w:t>
      </w:r>
    </w:p>
    <w:p w14:paraId="0DDE155C" w14:textId="77777777" w:rsidR="00B903A5" w:rsidRPr="005B0796" w:rsidRDefault="00B903A5" w:rsidP="00B903A5">
      <w:pPr>
        <w:pStyle w:val="TableName"/>
      </w:pPr>
      <w:bookmarkStart w:id="1469" w:name="_Toc486936022"/>
      <w:bookmarkStart w:id="1470" w:name="_Toc487014346"/>
      <w:bookmarkStart w:id="1471" w:name="_Toc492995649"/>
      <w:bookmarkStart w:id="1472" w:name="_Toc528932385"/>
      <w:bookmarkStart w:id="1473" w:name="_Toc531858064"/>
      <w:r w:rsidRPr="005B0796">
        <w:t>Table A.9</w:t>
      </w:r>
      <w:r w:rsidRPr="005B0796">
        <w:tab/>
        <w:t>Counts of categories by source</w:t>
      </w:r>
      <w:bookmarkEnd w:id="1469"/>
      <w:bookmarkEnd w:id="1470"/>
      <w:bookmarkEnd w:id="1471"/>
      <w:bookmarkEnd w:id="1472"/>
      <w:bookmarkEnd w:id="1473"/>
    </w:p>
    <w:tbl>
      <w:tblPr>
        <w:tblStyle w:val="TWRPTable"/>
        <w:tblW w:w="5000" w:type="pct"/>
        <w:tblLayout w:type="fixed"/>
        <w:tblLook w:val="04A0" w:firstRow="1" w:lastRow="0" w:firstColumn="1" w:lastColumn="0" w:noHBand="0" w:noVBand="1"/>
        <w:tblDescription w:val="Table A.9 Counts of categories by source"/>
      </w:tblPr>
      <w:tblGrid>
        <w:gridCol w:w="1501"/>
        <w:gridCol w:w="931"/>
        <w:gridCol w:w="931"/>
        <w:gridCol w:w="932"/>
        <w:gridCol w:w="931"/>
        <w:gridCol w:w="931"/>
        <w:gridCol w:w="932"/>
      </w:tblGrid>
      <w:tr w:rsidR="00B903A5" w:rsidRPr="005B0796" w14:paraId="5AB0DCB0"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val="restart"/>
          </w:tcPr>
          <w:p w14:paraId="1BE62E02" w14:textId="77777777" w:rsidR="00B903A5" w:rsidRPr="005B0796" w:rsidRDefault="00B903A5" w:rsidP="00594252">
            <w:pPr>
              <w:pStyle w:val="TableText"/>
            </w:pPr>
            <w:r w:rsidRPr="005B0796">
              <w:t>Source</w:t>
            </w:r>
          </w:p>
        </w:tc>
        <w:tc>
          <w:tcPr>
            <w:tcW w:w="2881" w:type="dxa"/>
            <w:gridSpan w:val="3"/>
          </w:tcPr>
          <w:p w14:paraId="687FD66B" w14:textId="77777777" w:rsidR="00B903A5" w:rsidRPr="005B0796" w:rsidRDefault="00B903A5" w:rsidP="00594252">
            <w:pPr>
              <w:pStyle w:val="TableText"/>
              <w:jc w:val="center"/>
            </w:pPr>
            <w:r w:rsidRPr="005B0796">
              <w:t>Original MEC value</w:t>
            </w:r>
          </w:p>
        </w:tc>
        <w:tc>
          <w:tcPr>
            <w:tcW w:w="2881" w:type="dxa"/>
            <w:gridSpan w:val="3"/>
          </w:tcPr>
          <w:p w14:paraId="0B51C2F5" w14:textId="77777777" w:rsidR="00B903A5" w:rsidRPr="005B0796" w:rsidRDefault="00B903A5" w:rsidP="00594252">
            <w:pPr>
              <w:pStyle w:val="TableText"/>
              <w:jc w:val="center"/>
            </w:pPr>
            <w:r w:rsidRPr="005B0796">
              <w:t>Perturbed MEC value</w:t>
            </w:r>
          </w:p>
        </w:tc>
      </w:tr>
      <w:tr w:rsidR="00B903A5" w:rsidRPr="005B0796" w14:paraId="02A4B6BE"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tcPr>
          <w:p w14:paraId="4E0F21CE" w14:textId="77777777" w:rsidR="00B903A5" w:rsidRPr="005B0796" w:rsidRDefault="00B903A5" w:rsidP="00594252">
            <w:pPr>
              <w:pStyle w:val="TableText"/>
            </w:pPr>
          </w:p>
        </w:tc>
        <w:tc>
          <w:tcPr>
            <w:tcW w:w="960" w:type="dxa"/>
          </w:tcPr>
          <w:p w14:paraId="3590BBD2" w14:textId="77777777" w:rsidR="00B903A5" w:rsidRPr="005B0796" w:rsidRDefault="00B903A5" w:rsidP="00594252">
            <w:pPr>
              <w:pStyle w:val="TableText"/>
              <w:jc w:val="right"/>
            </w:pPr>
            <w:r w:rsidRPr="005B0796">
              <w:t>Fit</w:t>
            </w:r>
          </w:p>
        </w:tc>
        <w:tc>
          <w:tcPr>
            <w:tcW w:w="960" w:type="dxa"/>
          </w:tcPr>
          <w:p w14:paraId="0C8234EB" w14:textId="77777777" w:rsidR="00B903A5" w:rsidRPr="005B0796" w:rsidRDefault="00B903A5" w:rsidP="00594252">
            <w:pPr>
              <w:pStyle w:val="TableText"/>
              <w:jc w:val="right"/>
            </w:pPr>
            <w:r w:rsidRPr="005B0796">
              <w:t>Unfit</w:t>
            </w:r>
          </w:p>
        </w:tc>
        <w:tc>
          <w:tcPr>
            <w:tcW w:w="961" w:type="dxa"/>
          </w:tcPr>
          <w:p w14:paraId="7A34D5BD" w14:textId="77777777" w:rsidR="00B903A5" w:rsidRPr="005B0796" w:rsidRDefault="00B903A5" w:rsidP="00594252">
            <w:pPr>
              <w:pStyle w:val="TableText"/>
              <w:jc w:val="right"/>
            </w:pPr>
            <w:r w:rsidRPr="005B0796">
              <w:t>Missing</w:t>
            </w:r>
          </w:p>
        </w:tc>
        <w:tc>
          <w:tcPr>
            <w:tcW w:w="960" w:type="dxa"/>
          </w:tcPr>
          <w:p w14:paraId="57F8A09B" w14:textId="77777777" w:rsidR="00B903A5" w:rsidRPr="005B0796" w:rsidRDefault="00B903A5" w:rsidP="00594252">
            <w:pPr>
              <w:pStyle w:val="TableText"/>
              <w:jc w:val="right"/>
            </w:pPr>
            <w:r w:rsidRPr="005B0796">
              <w:t>Fit</w:t>
            </w:r>
          </w:p>
        </w:tc>
        <w:tc>
          <w:tcPr>
            <w:tcW w:w="960" w:type="dxa"/>
          </w:tcPr>
          <w:p w14:paraId="78363857" w14:textId="77777777" w:rsidR="00B903A5" w:rsidRPr="005B0796" w:rsidRDefault="00B903A5" w:rsidP="00594252">
            <w:pPr>
              <w:pStyle w:val="TableText"/>
              <w:jc w:val="right"/>
            </w:pPr>
            <w:r w:rsidRPr="005B0796">
              <w:t>Unfit</w:t>
            </w:r>
          </w:p>
        </w:tc>
        <w:tc>
          <w:tcPr>
            <w:tcW w:w="961" w:type="dxa"/>
          </w:tcPr>
          <w:p w14:paraId="531C603C" w14:textId="77777777" w:rsidR="00B903A5" w:rsidRPr="005B0796" w:rsidRDefault="00B903A5" w:rsidP="00594252">
            <w:pPr>
              <w:pStyle w:val="TableText"/>
              <w:jc w:val="right"/>
            </w:pPr>
            <w:r w:rsidRPr="005B0796">
              <w:t>Missing</w:t>
            </w:r>
          </w:p>
        </w:tc>
      </w:tr>
      <w:tr w:rsidR="00B903A5" w:rsidRPr="005B0796" w14:paraId="7CE30273"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1553" w:type="dxa"/>
          </w:tcPr>
          <w:p w14:paraId="04033B71" w14:textId="77777777" w:rsidR="00B903A5" w:rsidRPr="005B0796" w:rsidRDefault="00B903A5" w:rsidP="00594252">
            <w:pPr>
              <w:pStyle w:val="TableText"/>
            </w:pPr>
            <w:r w:rsidRPr="005B0796">
              <w:t>ABIN</w:t>
            </w:r>
          </w:p>
        </w:tc>
        <w:tc>
          <w:tcPr>
            <w:tcW w:w="960" w:type="dxa"/>
          </w:tcPr>
          <w:p w14:paraId="0B0C1C2C" w14:textId="77777777" w:rsidR="00B903A5" w:rsidRPr="005B0796" w:rsidRDefault="00B903A5" w:rsidP="00594252">
            <w:pPr>
              <w:pStyle w:val="TableText"/>
              <w:jc w:val="right"/>
            </w:pPr>
            <w:r w:rsidRPr="005B0796">
              <w:t>138</w:t>
            </w:r>
          </w:p>
        </w:tc>
        <w:tc>
          <w:tcPr>
            <w:tcW w:w="960" w:type="dxa"/>
          </w:tcPr>
          <w:p w14:paraId="6AA17E58" w14:textId="77777777" w:rsidR="00B903A5" w:rsidRPr="005B0796" w:rsidRDefault="00B903A5" w:rsidP="00594252">
            <w:pPr>
              <w:pStyle w:val="TableText"/>
              <w:jc w:val="right"/>
            </w:pPr>
            <w:r w:rsidRPr="005B0796">
              <w:t>7</w:t>
            </w:r>
          </w:p>
        </w:tc>
        <w:tc>
          <w:tcPr>
            <w:tcW w:w="961" w:type="dxa"/>
          </w:tcPr>
          <w:p w14:paraId="5078D3A8" w14:textId="77777777" w:rsidR="00B903A5" w:rsidRPr="005B0796" w:rsidRDefault="00B903A5" w:rsidP="00594252">
            <w:pPr>
              <w:pStyle w:val="TableText"/>
              <w:jc w:val="right"/>
            </w:pPr>
            <w:r w:rsidRPr="005B0796">
              <w:t>0</w:t>
            </w:r>
          </w:p>
        </w:tc>
        <w:tc>
          <w:tcPr>
            <w:tcW w:w="960" w:type="dxa"/>
          </w:tcPr>
          <w:p w14:paraId="465CB73C" w14:textId="77777777" w:rsidR="00B903A5" w:rsidRPr="005B0796" w:rsidRDefault="00B903A5" w:rsidP="00594252">
            <w:pPr>
              <w:pStyle w:val="TableText"/>
              <w:jc w:val="right"/>
            </w:pPr>
            <w:r w:rsidRPr="005B0796">
              <w:t>138</w:t>
            </w:r>
          </w:p>
        </w:tc>
        <w:tc>
          <w:tcPr>
            <w:tcW w:w="960" w:type="dxa"/>
          </w:tcPr>
          <w:p w14:paraId="6DEE6584" w14:textId="77777777" w:rsidR="00B903A5" w:rsidRPr="005B0796" w:rsidRDefault="00B903A5" w:rsidP="00594252">
            <w:pPr>
              <w:pStyle w:val="TableText"/>
              <w:jc w:val="right"/>
            </w:pPr>
            <w:r w:rsidRPr="005B0796">
              <w:t>7</w:t>
            </w:r>
          </w:p>
        </w:tc>
        <w:tc>
          <w:tcPr>
            <w:tcW w:w="961" w:type="dxa"/>
          </w:tcPr>
          <w:p w14:paraId="6DB9684B" w14:textId="77777777" w:rsidR="00B903A5" w:rsidRPr="005B0796" w:rsidRDefault="00B903A5" w:rsidP="00594252">
            <w:pPr>
              <w:pStyle w:val="TableText"/>
              <w:jc w:val="right"/>
            </w:pPr>
            <w:r w:rsidRPr="005B0796">
              <w:t>0</w:t>
            </w:r>
          </w:p>
        </w:tc>
      </w:tr>
      <w:tr w:rsidR="00B903A5" w:rsidRPr="005B0796" w14:paraId="52520F1D" w14:textId="77777777" w:rsidTr="009919A9">
        <w:trPr>
          <w:cantSplit/>
        </w:trPr>
        <w:tc>
          <w:tcPr>
            <w:tcW w:w="1553" w:type="dxa"/>
          </w:tcPr>
          <w:p w14:paraId="2BE1E3B3" w14:textId="77777777" w:rsidR="00B903A5" w:rsidRPr="005B0796" w:rsidRDefault="00B903A5" w:rsidP="00594252">
            <w:pPr>
              <w:pStyle w:val="TableText"/>
            </w:pPr>
            <w:r w:rsidRPr="005B0796">
              <w:t>CURR</w:t>
            </w:r>
          </w:p>
        </w:tc>
        <w:tc>
          <w:tcPr>
            <w:tcW w:w="960" w:type="dxa"/>
          </w:tcPr>
          <w:p w14:paraId="13E90F7D" w14:textId="77777777" w:rsidR="00B903A5" w:rsidRPr="005B0796" w:rsidRDefault="00B903A5" w:rsidP="00594252">
            <w:pPr>
              <w:pStyle w:val="TableText"/>
              <w:jc w:val="right"/>
            </w:pPr>
            <w:r w:rsidRPr="005B0796">
              <w:t>891</w:t>
            </w:r>
          </w:p>
        </w:tc>
        <w:tc>
          <w:tcPr>
            <w:tcW w:w="960" w:type="dxa"/>
          </w:tcPr>
          <w:p w14:paraId="6F03F07F" w14:textId="77777777" w:rsidR="00B903A5" w:rsidRPr="005B0796" w:rsidRDefault="00B903A5" w:rsidP="00594252">
            <w:pPr>
              <w:pStyle w:val="TableText"/>
              <w:jc w:val="right"/>
            </w:pPr>
            <w:r w:rsidRPr="005B0796">
              <w:t>196</w:t>
            </w:r>
          </w:p>
        </w:tc>
        <w:tc>
          <w:tcPr>
            <w:tcW w:w="961" w:type="dxa"/>
          </w:tcPr>
          <w:p w14:paraId="052E19EC" w14:textId="77777777" w:rsidR="00B903A5" w:rsidRPr="005B0796" w:rsidRDefault="00B903A5" w:rsidP="00594252">
            <w:pPr>
              <w:pStyle w:val="TableText"/>
              <w:jc w:val="right"/>
            </w:pPr>
            <w:r w:rsidRPr="005B0796">
              <w:t>2</w:t>
            </w:r>
          </w:p>
        </w:tc>
        <w:tc>
          <w:tcPr>
            <w:tcW w:w="960" w:type="dxa"/>
          </w:tcPr>
          <w:p w14:paraId="54A527DC" w14:textId="77777777" w:rsidR="00B903A5" w:rsidRPr="005B0796" w:rsidRDefault="00B903A5" w:rsidP="00594252">
            <w:pPr>
              <w:pStyle w:val="TableText"/>
              <w:jc w:val="right"/>
            </w:pPr>
            <w:r w:rsidRPr="005B0796">
              <w:t>891</w:t>
            </w:r>
          </w:p>
        </w:tc>
        <w:tc>
          <w:tcPr>
            <w:tcW w:w="960" w:type="dxa"/>
          </w:tcPr>
          <w:p w14:paraId="5EF6F471" w14:textId="77777777" w:rsidR="00B903A5" w:rsidRPr="005B0796" w:rsidRDefault="00B903A5" w:rsidP="00594252">
            <w:pPr>
              <w:pStyle w:val="TableText"/>
              <w:jc w:val="right"/>
            </w:pPr>
            <w:r w:rsidRPr="005B0796">
              <w:t>196</w:t>
            </w:r>
          </w:p>
        </w:tc>
        <w:tc>
          <w:tcPr>
            <w:tcW w:w="961" w:type="dxa"/>
          </w:tcPr>
          <w:p w14:paraId="430C84DE" w14:textId="77777777" w:rsidR="00B903A5" w:rsidRPr="005B0796" w:rsidRDefault="00B903A5" w:rsidP="00594252">
            <w:pPr>
              <w:pStyle w:val="TableText"/>
              <w:jc w:val="right"/>
            </w:pPr>
            <w:r w:rsidRPr="005B0796">
              <w:t>2</w:t>
            </w:r>
          </w:p>
        </w:tc>
      </w:tr>
      <w:tr w:rsidR="00B903A5" w:rsidRPr="005B0796" w14:paraId="29ABC1F9"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1553" w:type="dxa"/>
          </w:tcPr>
          <w:p w14:paraId="311ABCE7" w14:textId="77777777" w:rsidR="00B903A5" w:rsidRPr="005B0796" w:rsidRDefault="00B903A5" w:rsidP="00594252">
            <w:pPr>
              <w:pStyle w:val="TableText"/>
            </w:pPr>
            <w:r w:rsidRPr="005B0796">
              <w:t>TRAN</w:t>
            </w:r>
          </w:p>
        </w:tc>
        <w:tc>
          <w:tcPr>
            <w:tcW w:w="960" w:type="dxa"/>
          </w:tcPr>
          <w:p w14:paraId="69CDBCF0" w14:textId="77777777" w:rsidR="00B903A5" w:rsidRPr="005B0796" w:rsidRDefault="00B903A5" w:rsidP="00594252">
            <w:pPr>
              <w:pStyle w:val="TableText"/>
              <w:jc w:val="right"/>
            </w:pPr>
            <w:r w:rsidRPr="005B0796">
              <w:t>271</w:t>
            </w:r>
          </w:p>
        </w:tc>
        <w:tc>
          <w:tcPr>
            <w:tcW w:w="960" w:type="dxa"/>
          </w:tcPr>
          <w:p w14:paraId="14D626EC" w14:textId="77777777" w:rsidR="00B903A5" w:rsidRPr="005B0796" w:rsidRDefault="00B903A5" w:rsidP="00594252">
            <w:pPr>
              <w:pStyle w:val="TableText"/>
              <w:jc w:val="right"/>
            </w:pPr>
            <w:r w:rsidRPr="005B0796">
              <w:t>159</w:t>
            </w:r>
          </w:p>
        </w:tc>
        <w:tc>
          <w:tcPr>
            <w:tcW w:w="961" w:type="dxa"/>
          </w:tcPr>
          <w:p w14:paraId="769FD624" w14:textId="77777777" w:rsidR="00B903A5" w:rsidRPr="005B0796" w:rsidRDefault="00B903A5" w:rsidP="00594252">
            <w:pPr>
              <w:pStyle w:val="TableText"/>
              <w:jc w:val="right"/>
            </w:pPr>
            <w:r w:rsidRPr="005B0796">
              <w:t>1</w:t>
            </w:r>
          </w:p>
        </w:tc>
        <w:tc>
          <w:tcPr>
            <w:tcW w:w="960" w:type="dxa"/>
          </w:tcPr>
          <w:p w14:paraId="6CE71BEF" w14:textId="77777777" w:rsidR="00B903A5" w:rsidRPr="005B0796" w:rsidRDefault="00B903A5" w:rsidP="00594252">
            <w:pPr>
              <w:pStyle w:val="TableText"/>
              <w:jc w:val="right"/>
            </w:pPr>
            <w:r w:rsidRPr="005B0796">
              <w:t>271</w:t>
            </w:r>
          </w:p>
        </w:tc>
        <w:tc>
          <w:tcPr>
            <w:tcW w:w="960" w:type="dxa"/>
          </w:tcPr>
          <w:p w14:paraId="79279F93" w14:textId="77777777" w:rsidR="00B903A5" w:rsidRPr="005B0796" w:rsidRDefault="00B903A5" w:rsidP="00594252">
            <w:pPr>
              <w:pStyle w:val="TableText"/>
              <w:jc w:val="right"/>
            </w:pPr>
            <w:r w:rsidRPr="005B0796">
              <w:t>159</w:t>
            </w:r>
          </w:p>
        </w:tc>
        <w:tc>
          <w:tcPr>
            <w:tcW w:w="961" w:type="dxa"/>
          </w:tcPr>
          <w:p w14:paraId="0021BF12" w14:textId="77777777" w:rsidR="00B903A5" w:rsidRPr="005B0796" w:rsidRDefault="00B903A5" w:rsidP="00594252">
            <w:pPr>
              <w:pStyle w:val="TableText"/>
              <w:jc w:val="right"/>
            </w:pPr>
            <w:r w:rsidRPr="005B0796">
              <w:t>1</w:t>
            </w:r>
          </w:p>
        </w:tc>
      </w:tr>
    </w:tbl>
    <w:p w14:paraId="3D3D3C49" w14:textId="77777777" w:rsidR="00B903A5" w:rsidRPr="005B0796" w:rsidRDefault="00B903A5" w:rsidP="00B903A5">
      <w:pPr>
        <w:pStyle w:val="TableNotes"/>
      </w:pPr>
    </w:p>
    <w:p w14:paraId="713E81AD" w14:textId="77777777" w:rsidR="00B903A5" w:rsidRPr="005B0796" w:rsidRDefault="00B903A5" w:rsidP="00B903A5">
      <w:pPr>
        <w:pStyle w:val="TableName"/>
        <w:rPr>
          <w:rFonts w:eastAsia="MS ??"/>
        </w:rPr>
      </w:pPr>
      <w:bookmarkStart w:id="1474" w:name="_Toc486936023"/>
      <w:bookmarkStart w:id="1475" w:name="_Toc487014347"/>
      <w:bookmarkStart w:id="1476" w:name="_Toc492995650"/>
      <w:bookmarkStart w:id="1477" w:name="_Toc528932386"/>
      <w:bookmarkStart w:id="1478" w:name="_Toc531858065"/>
      <w:r w:rsidRPr="005B0796">
        <w:t>Table A.10</w:t>
      </w:r>
      <w:r w:rsidRPr="005B0796">
        <w:tab/>
        <w:t>Counts of categories by service type</w:t>
      </w:r>
      <w:bookmarkEnd w:id="1474"/>
      <w:bookmarkEnd w:id="1475"/>
      <w:bookmarkEnd w:id="1476"/>
      <w:bookmarkEnd w:id="1477"/>
      <w:bookmarkEnd w:id="1478"/>
    </w:p>
    <w:tbl>
      <w:tblPr>
        <w:tblStyle w:val="TWRPTable"/>
        <w:tblW w:w="5000" w:type="pct"/>
        <w:tblLayout w:type="fixed"/>
        <w:tblCellMar>
          <w:left w:w="115" w:type="dxa"/>
          <w:right w:w="115" w:type="dxa"/>
        </w:tblCellMar>
        <w:tblLook w:val="04A0" w:firstRow="1" w:lastRow="0" w:firstColumn="1" w:lastColumn="0" w:noHBand="0" w:noVBand="1"/>
        <w:tblDescription w:val="Table A.10 Counts of categories by service type"/>
      </w:tblPr>
      <w:tblGrid>
        <w:gridCol w:w="1501"/>
        <w:gridCol w:w="931"/>
        <w:gridCol w:w="931"/>
        <w:gridCol w:w="932"/>
        <w:gridCol w:w="931"/>
        <w:gridCol w:w="931"/>
        <w:gridCol w:w="932"/>
      </w:tblGrid>
      <w:tr w:rsidR="00B903A5" w:rsidRPr="005B0796" w14:paraId="1390B5C0"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val="restart"/>
          </w:tcPr>
          <w:p w14:paraId="0601BCCB" w14:textId="77777777" w:rsidR="00B903A5" w:rsidRPr="005B0796" w:rsidRDefault="00B903A5" w:rsidP="00594252">
            <w:pPr>
              <w:pStyle w:val="TableText"/>
            </w:pPr>
            <w:bookmarkStart w:id="1479" w:name="_Toc482021453"/>
            <w:bookmarkStart w:id="1480" w:name="_Toc482024544"/>
            <w:bookmarkEnd w:id="1479"/>
            <w:bookmarkEnd w:id="1480"/>
            <w:r w:rsidRPr="005B0796">
              <w:t>Service</w:t>
            </w:r>
          </w:p>
        </w:tc>
        <w:tc>
          <w:tcPr>
            <w:tcW w:w="2881" w:type="dxa"/>
            <w:gridSpan w:val="3"/>
          </w:tcPr>
          <w:p w14:paraId="0BB45D70" w14:textId="77777777" w:rsidR="00B903A5" w:rsidRPr="005B0796" w:rsidRDefault="00B903A5" w:rsidP="00594252">
            <w:pPr>
              <w:pStyle w:val="TableText"/>
              <w:jc w:val="center"/>
            </w:pPr>
            <w:r w:rsidRPr="005B0796">
              <w:t>Original MEC value</w:t>
            </w:r>
          </w:p>
        </w:tc>
        <w:tc>
          <w:tcPr>
            <w:tcW w:w="2881" w:type="dxa"/>
            <w:gridSpan w:val="3"/>
          </w:tcPr>
          <w:p w14:paraId="2171532D" w14:textId="77777777" w:rsidR="00B903A5" w:rsidRPr="005B0796" w:rsidRDefault="00B903A5" w:rsidP="00594252">
            <w:pPr>
              <w:pStyle w:val="TableText"/>
              <w:jc w:val="center"/>
            </w:pPr>
            <w:r w:rsidRPr="005B0796">
              <w:t>Perturbed MEC value</w:t>
            </w:r>
          </w:p>
        </w:tc>
      </w:tr>
      <w:tr w:rsidR="00B903A5" w:rsidRPr="005B0796" w14:paraId="65CB6384"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1553" w:type="dxa"/>
            <w:vMerge/>
          </w:tcPr>
          <w:p w14:paraId="31993668" w14:textId="77777777" w:rsidR="00B903A5" w:rsidRPr="005B0796" w:rsidRDefault="00B903A5" w:rsidP="00594252">
            <w:pPr>
              <w:pStyle w:val="TableText"/>
            </w:pPr>
          </w:p>
        </w:tc>
        <w:tc>
          <w:tcPr>
            <w:tcW w:w="960" w:type="dxa"/>
          </w:tcPr>
          <w:p w14:paraId="5DC8FB56" w14:textId="77777777" w:rsidR="00B903A5" w:rsidRPr="005B0796" w:rsidRDefault="00B903A5" w:rsidP="00594252">
            <w:pPr>
              <w:pStyle w:val="TableText"/>
              <w:jc w:val="right"/>
            </w:pPr>
            <w:r w:rsidRPr="005B0796">
              <w:t>Fit</w:t>
            </w:r>
          </w:p>
        </w:tc>
        <w:tc>
          <w:tcPr>
            <w:tcW w:w="960" w:type="dxa"/>
          </w:tcPr>
          <w:p w14:paraId="025EFDFE" w14:textId="77777777" w:rsidR="00B903A5" w:rsidRPr="005B0796" w:rsidRDefault="00B903A5" w:rsidP="00594252">
            <w:pPr>
              <w:pStyle w:val="TableText"/>
              <w:jc w:val="right"/>
            </w:pPr>
            <w:r w:rsidRPr="005B0796">
              <w:t>Unfit</w:t>
            </w:r>
          </w:p>
        </w:tc>
        <w:tc>
          <w:tcPr>
            <w:tcW w:w="961" w:type="dxa"/>
          </w:tcPr>
          <w:p w14:paraId="1142B465" w14:textId="77777777" w:rsidR="00B903A5" w:rsidRPr="005B0796" w:rsidRDefault="00B903A5" w:rsidP="00594252">
            <w:pPr>
              <w:pStyle w:val="TableText"/>
              <w:jc w:val="right"/>
            </w:pPr>
            <w:r w:rsidRPr="005B0796">
              <w:t>Missing</w:t>
            </w:r>
          </w:p>
        </w:tc>
        <w:tc>
          <w:tcPr>
            <w:tcW w:w="960" w:type="dxa"/>
          </w:tcPr>
          <w:p w14:paraId="470F463C" w14:textId="77777777" w:rsidR="00B903A5" w:rsidRPr="005B0796" w:rsidRDefault="00B903A5" w:rsidP="00594252">
            <w:pPr>
              <w:pStyle w:val="TableText"/>
              <w:jc w:val="right"/>
            </w:pPr>
            <w:r w:rsidRPr="005B0796">
              <w:t>Fit</w:t>
            </w:r>
          </w:p>
        </w:tc>
        <w:tc>
          <w:tcPr>
            <w:tcW w:w="960" w:type="dxa"/>
          </w:tcPr>
          <w:p w14:paraId="3006377A" w14:textId="77777777" w:rsidR="00B903A5" w:rsidRPr="005B0796" w:rsidRDefault="00B903A5" w:rsidP="00594252">
            <w:pPr>
              <w:pStyle w:val="TableText"/>
              <w:jc w:val="right"/>
            </w:pPr>
            <w:r w:rsidRPr="005B0796">
              <w:t>Unfit</w:t>
            </w:r>
          </w:p>
        </w:tc>
        <w:tc>
          <w:tcPr>
            <w:tcW w:w="961" w:type="dxa"/>
          </w:tcPr>
          <w:p w14:paraId="798B0853" w14:textId="77777777" w:rsidR="00B903A5" w:rsidRPr="005B0796" w:rsidRDefault="00B903A5" w:rsidP="00594252">
            <w:pPr>
              <w:pStyle w:val="TableText"/>
              <w:jc w:val="right"/>
            </w:pPr>
            <w:r w:rsidRPr="005B0796">
              <w:t>Missing</w:t>
            </w:r>
          </w:p>
        </w:tc>
      </w:tr>
      <w:tr w:rsidR="00B903A5" w:rsidRPr="005B0796" w14:paraId="702EDD87"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1553" w:type="dxa"/>
          </w:tcPr>
          <w:p w14:paraId="46B5B976" w14:textId="77777777" w:rsidR="00B903A5" w:rsidRPr="005B0796" w:rsidRDefault="00B903A5" w:rsidP="00594252">
            <w:pPr>
              <w:pStyle w:val="TableText"/>
            </w:pPr>
            <w:r w:rsidRPr="005B0796">
              <w:t>Navy</w:t>
            </w:r>
          </w:p>
        </w:tc>
        <w:tc>
          <w:tcPr>
            <w:tcW w:w="960" w:type="dxa"/>
          </w:tcPr>
          <w:p w14:paraId="4498BD08" w14:textId="77777777" w:rsidR="00B903A5" w:rsidRPr="005B0796" w:rsidRDefault="00B903A5" w:rsidP="00594252">
            <w:pPr>
              <w:pStyle w:val="TableText"/>
              <w:jc w:val="right"/>
            </w:pPr>
            <w:r w:rsidRPr="005B0796">
              <w:t>613</w:t>
            </w:r>
          </w:p>
        </w:tc>
        <w:tc>
          <w:tcPr>
            <w:tcW w:w="960" w:type="dxa"/>
          </w:tcPr>
          <w:p w14:paraId="3298BB97" w14:textId="77777777" w:rsidR="00B903A5" w:rsidRPr="005B0796" w:rsidRDefault="00B903A5" w:rsidP="00594252">
            <w:pPr>
              <w:pStyle w:val="TableText"/>
              <w:jc w:val="right"/>
            </w:pPr>
            <w:r w:rsidRPr="005B0796">
              <w:t>191</w:t>
            </w:r>
          </w:p>
        </w:tc>
        <w:tc>
          <w:tcPr>
            <w:tcW w:w="961" w:type="dxa"/>
          </w:tcPr>
          <w:p w14:paraId="286167F9" w14:textId="77777777" w:rsidR="00B903A5" w:rsidRPr="005B0796" w:rsidRDefault="00B903A5" w:rsidP="00594252">
            <w:pPr>
              <w:pStyle w:val="TableText"/>
              <w:jc w:val="right"/>
            </w:pPr>
            <w:r w:rsidRPr="005B0796">
              <w:t>3</w:t>
            </w:r>
          </w:p>
        </w:tc>
        <w:tc>
          <w:tcPr>
            <w:tcW w:w="960" w:type="dxa"/>
          </w:tcPr>
          <w:p w14:paraId="3BDE8650" w14:textId="77777777" w:rsidR="00B903A5" w:rsidRPr="005B0796" w:rsidRDefault="00B903A5" w:rsidP="00594252">
            <w:pPr>
              <w:pStyle w:val="TableText"/>
              <w:jc w:val="right"/>
            </w:pPr>
            <w:r w:rsidRPr="005B0796">
              <w:t>614</w:t>
            </w:r>
          </w:p>
        </w:tc>
        <w:tc>
          <w:tcPr>
            <w:tcW w:w="960" w:type="dxa"/>
          </w:tcPr>
          <w:p w14:paraId="62D37025" w14:textId="77777777" w:rsidR="00B903A5" w:rsidRPr="005B0796" w:rsidRDefault="00B903A5" w:rsidP="00594252">
            <w:pPr>
              <w:pStyle w:val="TableText"/>
              <w:jc w:val="right"/>
            </w:pPr>
            <w:r w:rsidRPr="005B0796">
              <w:t>193</w:t>
            </w:r>
          </w:p>
        </w:tc>
        <w:tc>
          <w:tcPr>
            <w:tcW w:w="961" w:type="dxa"/>
          </w:tcPr>
          <w:p w14:paraId="64822769" w14:textId="77777777" w:rsidR="00B903A5" w:rsidRPr="005B0796" w:rsidRDefault="00B903A5" w:rsidP="00594252">
            <w:pPr>
              <w:pStyle w:val="TableText"/>
              <w:jc w:val="right"/>
            </w:pPr>
            <w:r w:rsidRPr="005B0796">
              <w:t>0</w:t>
            </w:r>
          </w:p>
        </w:tc>
      </w:tr>
      <w:tr w:rsidR="00B903A5" w:rsidRPr="005B0796" w14:paraId="547E12A5" w14:textId="77777777" w:rsidTr="009919A9">
        <w:trPr>
          <w:cantSplit/>
        </w:trPr>
        <w:tc>
          <w:tcPr>
            <w:tcW w:w="1553" w:type="dxa"/>
          </w:tcPr>
          <w:p w14:paraId="50F583F2" w14:textId="77777777" w:rsidR="00B903A5" w:rsidRPr="005B0796" w:rsidRDefault="00B903A5" w:rsidP="00594252">
            <w:pPr>
              <w:pStyle w:val="TableText"/>
            </w:pPr>
            <w:r w:rsidRPr="005B0796">
              <w:t>Army</w:t>
            </w:r>
          </w:p>
        </w:tc>
        <w:tc>
          <w:tcPr>
            <w:tcW w:w="960" w:type="dxa"/>
          </w:tcPr>
          <w:p w14:paraId="75D3B726" w14:textId="77777777" w:rsidR="00B903A5" w:rsidRPr="005B0796" w:rsidRDefault="00B903A5" w:rsidP="00594252">
            <w:pPr>
              <w:pStyle w:val="TableText"/>
              <w:jc w:val="right"/>
            </w:pPr>
            <w:r w:rsidRPr="005B0796">
              <w:t>254</w:t>
            </w:r>
          </w:p>
        </w:tc>
        <w:tc>
          <w:tcPr>
            <w:tcW w:w="960" w:type="dxa"/>
          </w:tcPr>
          <w:p w14:paraId="56261DA5" w14:textId="77777777" w:rsidR="00B903A5" w:rsidRPr="005B0796" w:rsidRDefault="00B903A5" w:rsidP="00594252">
            <w:pPr>
              <w:pStyle w:val="TableText"/>
              <w:jc w:val="right"/>
            </w:pPr>
            <w:r w:rsidRPr="005B0796">
              <w:t>63</w:t>
            </w:r>
          </w:p>
        </w:tc>
        <w:tc>
          <w:tcPr>
            <w:tcW w:w="961" w:type="dxa"/>
          </w:tcPr>
          <w:p w14:paraId="0F4C3210" w14:textId="77777777" w:rsidR="00B903A5" w:rsidRPr="005B0796" w:rsidRDefault="00B903A5" w:rsidP="00594252">
            <w:pPr>
              <w:pStyle w:val="TableText"/>
              <w:jc w:val="right"/>
            </w:pPr>
            <w:r w:rsidRPr="005B0796">
              <w:t>0</w:t>
            </w:r>
          </w:p>
        </w:tc>
        <w:tc>
          <w:tcPr>
            <w:tcW w:w="960" w:type="dxa"/>
          </w:tcPr>
          <w:p w14:paraId="79295199" w14:textId="77777777" w:rsidR="00B903A5" w:rsidRPr="005B0796" w:rsidRDefault="00B903A5" w:rsidP="00594252">
            <w:pPr>
              <w:pStyle w:val="TableText"/>
              <w:jc w:val="right"/>
            </w:pPr>
            <w:r w:rsidRPr="005B0796">
              <w:t>255</w:t>
            </w:r>
          </w:p>
        </w:tc>
        <w:tc>
          <w:tcPr>
            <w:tcW w:w="960" w:type="dxa"/>
          </w:tcPr>
          <w:p w14:paraId="412C46DB" w14:textId="77777777" w:rsidR="00B903A5" w:rsidRPr="005B0796" w:rsidRDefault="00B903A5" w:rsidP="00594252">
            <w:pPr>
              <w:pStyle w:val="TableText"/>
              <w:jc w:val="right"/>
            </w:pPr>
            <w:r w:rsidRPr="005B0796">
              <w:t>60</w:t>
            </w:r>
          </w:p>
        </w:tc>
        <w:tc>
          <w:tcPr>
            <w:tcW w:w="961" w:type="dxa"/>
          </w:tcPr>
          <w:p w14:paraId="5AA7052A" w14:textId="77777777" w:rsidR="00B903A5" w:rsidRPr="005B0796" w:rsidRDefault="00B903A5" w:rsidP="00594252">
            <w:pPr>
              <w:pStyle w:val="TableText"/>
              <w:jc w:val="right"/>
            </w:pPr>
            <w:r w:rsidRPr="005B0796">
              <w:t>2</w:t>
            </w:r>
          </w:p>
        </w:tc>
      </w:tr>
      <w:tr w:rsidR="00B903A5" w:rsidRPr="005B0796" w14:paraId="30E062DD"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1553" w:type="dxa"/>
          </w:tcPr>
          <w:p w14:paraId="039E1D7C" w14:textId="77777777" w:rsidR="00B903A5" w:rsidRPr="005B0796" w:rsidRDefault="00B903A5" w:rsidP="00594252">
            <w:pPr>
              <w:pStyle w:val="TableText"/>
            </w:pPr>
            <w:r w:rsidRPr="005B0796">
              <w:t>Air Force</w:t>
            </w:r>
          </w:p>
        </w:tc>
        <w:tc>
          <w:tcPr>
            <w:tcW w:w="960" w:type="dxa"/>
          </w:tcPr>
          <w:p w14:paraId="63DDD3D8" w14:textId="77777777" w:rsidR="00B903A5" w:rsidRPr="005B0796" w:rsidRDefault="00B903A5" w:rsidP="00594252">
            <w:pPr>
              <w:pStyle w:val="TableText"/>
              <w:jc w:val="right"/>
            </w:pPr>
            <w:r w:rsidRPr="005B0796">
              <w:t>433</w:t>
            </w:r>
          </w:p>
        </w:tc>
        <w:tc>
          <w:tcPr>
            <w:tcW w:w="960" w:type="dxa"/>
          </w:tcPr>
          <w:p w14:paraId="5014EF57" w14:textId="77777777" w:rsidR="00B903A5" w:rsidRPr="005B0796" w:rsidRDefault="00B903A5" w:rsidP="00594252">
            <w:pPr>
              <w:pStyle w:val="TableText"/>
              <w:jc w:val="right"/>
            </w:pPr>
            <w:r w:rsidRPr="005B0796">
              <w:t>108</w:t>
            </w:r>
          </w:p>
        </w:tc>
        <w:tc>
          <w:tcPr>
            <w:tcW w:w="961" w:type="dxa"/>
          </w:tcPr>
          <w:p w14:paraId="4E2ECFB2" w14:textId="77777777" w:rsidR="00B903A5" w:rsidRPr="005B0796" w:rsidRDefault="00B903A5" w:rsidP="00594252">
            <w:pPr>
              <w:pStyle w:val="TableText"/>
              <w:jc w:val="right"/>
            </w:pPr>
            <w:r w:rsidRPr="005B0796">
              <w:t>0</w:t>
            </w:r>
          </w:p>
        </w:tc>
        <w:tc>
          <w:tcPr>
            <w:tcW w:w="960" w:type="dxa"/>
          </w:tcPr>
          <w:p w14:paraId="74E2B980" w14:textId="77777777" w:rsidR="00B903A5" w:rsidRPr="005B0796" w:rsidRDefault="00B903A5" w:rsidP="00594252">
            <w:pPr>
              <w:pStyle w:val="TableText"/>
              <w:jc w:val="right"/>
            </w:pPr>
            <w:r w:rsidRPr="005B0796">
              <w:t>431</w:t>
            </w:r>
          </w:p>
        </w:tc>
        <w:tc>
          <w:tcPr>
            <w:tcW w:w="960" w:type="dxa"/>
          </w:tcPr>
          <w:p w14:paraId="38F35B89" w14:textId="77777777" w:rsidR="00B903A5" w:rsidRPr="005B0796" w:rsidRDefault="00B903A5" w:rsidP="00594252">
            <w:pPr>
              <w:pStyle w:val="TableText"/>
              <w:jc w:val="right"/>
            </w:pPr>
            <w:r w:rsidRPr="005B0796">
              <w:t>109</w:t>
            </w:r>
          </w:p>
        </w:tc>
        <w:tc>
          <w:tcPr>
            <w:tcW w:w="961" w:type="dxa"/>
          </w:tcPr>
          <w:p w14:paraId="6B0B704E" w14:textId="77777777" w:rsidR="00B903A5" w:rsidRPr="005B0796" w:rsidRDefault="00B903A5" w:rsidP="00594252">
            <w:pPr>
              <w:pStyle w:val="TableText"/>
              <w:jc w:val="right"/>
            </w:pPr>
            <w:r w:rsidRPr="005B0796">
              <w:t>1</w:t>
            </w:r>
          </w:p>
        </w:tc>
      </w:tr>
    </w:tbl>
    <w:p w14:paraId="2B3D7BF2" w14:textId="77777777" w:rsidR="00B903A5" w:rsidRPr="005B0796" w:rsidRDefault="00B903A5" w:rsidP="00B903A5">
      <w:pPr>
        <w:pStyle w:val="TableNotes"/>
      </w:pPr>
    </w:p>
    <w:p w14:paraId="70C8CD93" w14:textId="77777777" w:rsidR="00B903A5" w:rsidRPr="005B0796" w:rsidRDefault="00B903A5" w:rsidP="00B903A5">
      <w:pPr>
        <w:pStyle w:val="Heading2b"/>
        <w:numPr>
          <w:ilvl w:val="1"/>
          <w:numId w:val="11"/>
        </w:numPr>
      </w:pPr>
      <w:bookmarkStart w:id="1481" w:name="_Toc482021454"/>
      <w:bookmarkStart w:id="1482" w:name="_Toc482024545"/>
      <w:bookmarkStart w:id="1483" w:name="_Toc484594364"/>
      <w:bookmarkStart w:id="1484" w:name="_Toc487011308"/>
      <w:bookmarkStart w:id="1485" w:name="_Toc493663203"/>
      <w:bookmarkStart w:id="1486" w:name="_Toc494449816"/>
      <w:r w:rsidRPr="005B0796">
        <w:t>Contact strategy and recruitment methods</w:t>
      </w:r>
      <w:bookmarkEnd w:id="1463"/>
      <w:bookmarkEnd w:id="1481"/>
      <w:bookmarkEnd w:id="1482"/>
      <w:bookmarkEnd w:id="1483"/>
      <w:bookmarkEnd w:id="1484"/>
      <w:bookmarkEnd w:id="1485"/>
      <w:bookmarkEnd w:id="1486"/>
    </w:p>
    <w:p w14:paraId="6283785C" w14:textId="77777777" w:rsidR="00B903A5" w:rsidRPr="005B0796" w:rsidRDefault="00B903A5" w:rsidP="00B903A5">
      <w:pPr>
        <w:pStyle w:val="Heading3b"/>
        <w:numPr>
          <w:ilvl w:val="2"/>
          <w:numId w:val="11"/>
        </w:numPr>
      </w:pPr>
      <w:bookmarkStart w:id="1487" w:name="_Toc297295802"/>
      <w:bookmarkStart w:id="1488" w:name="_Toc389230262"/>
      <w:bookmarkStart w:id="1489" w:name="_Toc386805675"/>
      <w:bookmarkStart w:id="1490" w:name="_Toc487011309"/>
      <w:bookmarkStart w:id="1491" w:name="_Toc493663204"/>
      <w:r w:rsidRPr="005B0796">
        <w:t>Promoting the study</w:t>
      </w:r>
      <w:bookmarkEnd w:id="1487"/>
      <w:bookmarkEnd w:id="1488"/>
      <w:bookmarkEnd w:id="1489"/>
      <w:bookmarkEnd w:id="1490"/>
      <w:bookmarkEnd w:id="1491"/>
    </w:p>
    <w:p w14:paraId="68AD5A47" w14:textId="77777777" w:rsidR="00B903A5" w:rsidRPr="005B0796" w:rsidRDefault="00B903A5" w:rsidP="00B903A5">
      <w:pPr>
        <w:keepNext/>
      </w:pPr>
      <w:r w:rsidRPr="005B0796">
        <w:t>Before the research team made initial direct contact, the following strategies were used to promote the study to participants.</w:t>
      </w:r>
    </w:p>
    <w:p w14:paraId="5D6D5578" w14:textId="77777777" w:rsidR="00B903A5" w:rsidRPr="005B0796" w:rsidRDefault="00B903A5" w:rsidP="00B903A5">
      <w:pPr>
        <w:pStyle w:val="Heading4"/>
      </w:pPr>
      <w:r w:rsidRPr="005B0796">
        <w:t xml:space="preserve">Advertising </w:t>
      </w:r>
      <w:r>
        <w:t>in</w:t>
      </w:r>
      <w:r w:rsidRPr="005B0796">
        <w:t xml:space="preserve"> print media</w:t>
      </w:r>
    </w:p>
    <w:p w14:paraId="4674CA37" w14:textId="77777777" w:rsidR="00B903A5" w:rsidRPr="005B0796" w:rsidRDefault="00B903A5" w:rsidP="00B903A5">
      <w:r w:rsidRPr="005B0796">
        <w:t xml:space="preserve">The study team developed promotional posters, which were placed in </w:t>
      </w:r>
      <w:r>
        <w:t>s</w:t>
      </w:r>
      <w:r w:rsidRPr="005B0796">
        <w:t xml:space="preserve">ervice newspapers, on DVA and Defence </w:t>
      </w:r>
      <w:r>
        <w:t>internet</w:t>
      </w:r>
      <w:r w:rsidRPr="005B0796">
        <w:t xml:space="preserve"> and intranet sites, on bases, at </w:t>
      </w:r>
      <w:r>
        <w:t>ex-service organisations (</w:t>
      </w:r>
      <w:r w:rsidRPr="005B0796">
        <w:t>ESOs</w:t>
      </w:r>
      <w:r>
        <w:t>)</w:t>
      </w:r>
      <w:r w:rsidRPr="005B0796">
        <w:t xml:space="preserve"> and on the University of Adelaide website.</w:t>
      </w:r>
    </w:p>
    <w:p w14:paraId="097E6FDC" w14:textId="77777777" w:rsidR="00B903A5" w:rsidRPr="005B0796" w:rsidRDefault="00B903A5" w:rsidP="00B903A5">
      <w:pPr>
        <w:pStyle w:val="Heading4"/>
      </w:pPr>
      <w:r w:rsidRPr="005B0796">
        <w:t xml:space="preserve">Ministerial media release </w:t>
      </w:r>
    </w:p>
    <w:p w14:paraId="5295F029" w14:textId="77777777" w:rsidR="00B903A5" w:rsidRPr="005B0796" w:rsidRDefault="00B903A5" w:rsidP="00B903A5">
      <w:r w:rsidRPr="005B0796">
        <w:t>On 11 June 2014, the Hon</w:t>
      </w:r>
      <w:r>
        <w:t>.</w:t>
      </w:r>
      <w:r w:rsidRPr="005B0796">
        <w:t xml:space="preserve"> Michael Ronaldson, the then Minister for Veterans’ Affairs, issued a media release launching the study to the wider community, disseminating information and generating interest among ADF members. The Executive Dean of the Faculty of Health Sciences, members of the Scientific Advisory Committee and members of the investigative team were all present. The launch and media release generated enquiries, which the CTSS research team responded to promptly and effectively, following strict protocol.</w:t>
      </w:r>
    </w:p>
    <w:p w14:paraId="5D2B394C" w14:textId="77777777" w:rsidR="00B903A5" w:rsidRPr="005B0796" w:rsidRDefault="00B903A5" w:rsidP="00B903A5">
      <w:pPr>
        <w:pStyle w:val="Heading4"/>
      </w:pPr>
      <w:r w:rsidRPr="005B0796">
        <w:t>Targeted briefs to ADF leadership</w:t>
      </w:r>
    </w:p>
    <w:p w14:paraId="5E4201BB" w14:textId="77777777" w:rsidR="00B903A5" w:rsidRPr="005B0796" w:rsidRDefault="00B903A5" w:rsidP="00B903A5">
      <w:r w:rsidRPr="005B0796">
        <w:t xml:space="preserve">Information sessions were held to brief </w:t>
      </w:r>
      <w:r>
        <w:t>c</w:t>
      </w:r>
      <w:r w:rsidRPr="005B0796">
        <w:t xml:space="preserve">ommanders and other key influencers in the broader Defence community about the importance of the research. </w:t>
      </w:r>
    </w:p>
    <w:p w14:paraId="25495D12" w14:textId="77777777" w:rsidR="00B903A5" w:rsidRPr="005B0796" w:rsidRDefault="00B903A5" w:rsidP="00B903A5">
      <w:pPr>
        <w:pStyle w:val="Heading4"/>
      </w:pPr>
      <w:r w:rsidRPr="005B0796">
        <w:t xml:space="preserve">Letter to ex-service organisations </w:t>
      </w:r>
    </w:p>
    <w:p w14:paraId="0A8431DE" w14:textId="77777777" w:rsidR="00B903A5" w:rsidRPr="005B0796" w:rsidRDefault="00B903A5" w:rsidP="00B903A5">
      <w:r w:rsidRPr="005B0796">
        <w:t xml:space="preserve">A letter introducing the Transition and Wellbeing Research Programme and an accompanying fact sheet were sent to all relevant ESOs to disseminate information and generate support for the study. </w:t>
      </w:r>
    </w:p>
    <w:p w14:paraId="0C79B937" w14:textId="77777777" w:rsidR="00B903A5" w:rsidRPr="005B0796" w:rsidRDefault="00B903A5" w:rsidP="00B903A5">
      <w:pPr>
        <w:pStyle w:val="Heading4"/>
      </w:pPr>
      <w:r w:rsidRPr="005B0796">
        <w:t>Distribution of study briefing packs</w:t>
      </w:r>
    </w:p>
    <w:p w14:paraId="34C322DC" w14:textId="77777777" w:rsidR="00B903A5" w:rsidRPr="005B0796" w:rsidRDefault="00B903A5" w:rsidP="00B903A5">
      <w:r w:rsidRPr="005B0796">
        <w:t xml:space="preserve">Briefing packs containing study/promotional materials were distributed to ESOs as another means of promoting the study to the target population. </w:t>
      </w:r>
    </w:p>
    <w:p w14:paraId="3D1D2E62" w14:textId="77777777" w:rsidR="00B903A5" w:rsidRPr="005B0796" w:rsidRDefault="00B903A5" w:rsidP="00B903A5">
      <w:pPr>
        <w:pStyle w:val="Heading4"/>
      </w:pPr>
      <w:r w:rsidRPr="005B0796">
        <w:t>Social media strategy</w:t>
      </w:r>
    </w:p>
    <w:p w14:paraId="238944FD" w14:textId="77777777" w:rsidR="00B903A5" w:rsidRPr="005B0796" w:rsidRDefault="00B903A5" w:rsidP="00B903A5">
      <w:r w:rsidRPr="005B0796">
        <w:t xml:space="preserve">A series of social media conversations, promotions and advertisements were rolled out </w:t>
      </w:r>
      <w:r>
        <w:t>using</w:t>
      </w:r>
      <w:r w:rsidRPr="005B0796">
        <w:t xml:space="preserve"> the Transition and Wellbeing Research Programme’s Facebook page (Facebook/aumilresearch) and Twitter account (@aumilresearch) throughout the study period. These accounts were managed by the CTSS research team. The primary objectives of the social media campaign were to raise awareness of the research Programme among 2015 Regular ADF and Ex-Serving ADF members, their families and their social networks; engage other advocates and key stakeholders; provide another platform for participants to engage with the research team; and disseminate previous military research conducted by CTSS.</w:t>
      </w:r>
    </w:p>
    <w:p w14:paraId="64285A27" w14:textId="77777777" w:rsidR="00B903A5" w:rsidRPr="005B0796" w:rsidRDefault="00B903A5" w:rsidP="00B903A5">
      <w:pPr>
        <w:pStyle w:val="Heading3b"/>
        <w:numPr>
          <w:ilvl w:val="2"/>
          <w:numId w:val="11"/>
        </w:numPr>
      </w:pPr>
      <w:bookmarkStart w:id="1492" w:name="_Toc297295804"/>
      <w:bookmarkStart w:id="1493" w:name="_Toc487011310"/>
      <w:bookmarkStart w:id="1494" w:name="_Toc493663205"/>
      <w:r w:rsidRPr="005B0796">
        <w:t xml:space="preserve">Development of the Military and Veteran Health Research Study </w:t>
      </w:r>
      <w:bookmarkEnd w:id="1492"/>
      <w:r w:rsidRPr="005B0796">
        <w:t>Roll</w:t>
      </w:r>
      <w:bookmarkEnd w:id="1493"/>
      <w:bookmarkEnd w:id="1494"/>
    </w:p>
    <w:p w14:paraId="7B176581" w14:textId="77777777" w:rsidR="00B903A5" w:rsidRPr="005B0796" w:rsidRDefault="00B903A5" w:rsidP="00B903A5">
      <w:r w:rsidRPr="005B0796">
        <w:t xml:space="preserve">Participants’ contact details and demographic information were obtained </w:t>
      </w:r>
      <w:r>
        <w:t>through</w:t>
      </w:r>
      <w:r w:rsidRPr="005B0796">
        <w:t xml:space="preserve"> the creation of the </w:t>
      </w:r>
      <w:bookmarkStart w:id="1495" w:name="_Hlk489432933"/>
      <w:r w:rsidRPr="005B0796">
        <w:t>Military and Veteran Health Research Study Roll (Study Roll)</w:t>
      </w:r>
      <w:bookmarkEnd w:id="1495"/>
      <w:r w:rsidRPr="005B0796">
        <w:t xml:space="preserve">, which was created by the AIHW, in collaboration with DVA and Defence. This process involved integrating contact information from: </w:t>
      </w:r>
    </w:p>
    <w:p w14:paraId="4B9DEFD0" w14:textId="77777777" w:rsidR="00B903A5" w:rsidRPr="005B0796" w:rsidRDefault="00B903A5" w:rsidP="00B903A5">
      <w:pPr>
        <w:pStyle w:val="Bullet"/>
        <w:numPr>
          <w:ilvl w:val="0"/>
          <w:numId w:val="3"/>
        </w:numPr>
        <w:ind w:left="360"/>
      </w:pPr>
      <w:r w:rsidRPr="005B0796">
        <w:t>Defence’s PMKeyS database</w:t>
      </w:r>
    </w:p>
    <w:p w14:paraId="0505D269" w14:textId="77777777" w:rsidR="00B903A5" w:rsidRPr="005B0796" w:rsidRDefault="00B903A5" w:rsidP="00B903A5">
      <w:pPr>
        <w:pStyle w:val="Bullet"/>
        <w:numPr>
          <w:ilvl w:val="0"/>
          <w:numId w:val="3"/>
        </w:numPr>
        <w:ind w:left="360"/>
      </w:pPr>
      <w:r w:rsidRPr="005B0796">
        <w:t>DVA client databases</w:t>
      </w:r>
    </w:p>
    <w:p w14:paraId="4B65C36F" w14:textId="77777777" w:rsidR="00B903A5" w:rsidRPr="005B0796" w:rsidRDefault="00B903A5" w:rsidP="00B903A5">
      <w:pPr>
        <w:pStyle w:val="Bullet"/>
        <w:numPr>
          <w:ilvl w:val="0"/>
          <w:numId w:val="3"/>
        </w:numPr>
        <w:ind w:left="360"/>
      </w:pPr>
      <w:r w:rsidRPr="005B0796">
        <w:t>the National Death Index (NDI)</w:t>
      </w:r>
    </w:p>
    <w:p w14:paraId="1A07697F" w14:textId="77777777" w:rsidR="00B903A5" w:rsidRPr="005B0796" w:rsidRDefault="00B903A5" w:rsidP="00B903A5">
      <w:pPr>
        <w:pStyle w:val="Bullet"/>
        <w:numPr>
          <w:ilvl w:val="0"/>
          <w:numId w:val="3"/>
        </w:numPr>
        <w:ind w:left="360"/>
      </w:pPr>
      <w:r w:rsidRPr="005B0796">
        <w:t>ComSuper’s member database</w:t>
      </w:r>
    </w:p>
    <w:p w14:paraId="2966DD64" w14:textId="77777777" w:rsidR="00B903A5" w:rsidRPr="005B0796" w:rsidRDefault="00B903A5" w:rsidP="00B903A5">
      <w:pPr>
        <w:pStyle w:val="Bullet"/>
        <w:numPr>
          <w:ilvl w:val="0"/>
          <w:numId w:val="3"/>
        </w:numPr>
        <w:ind w:left="360"/>
      </w:pPr>
      <w:r w:rsidRPr="005B0796">
        <w:t>the MilHOP dataset.</w:t>
      </w:r>
    </w:p>
    <w:p w14:paraId="6A481E44" w14:textId="77777777" w:rsidR="00B903A5" w:rsidRPr="005B0796" w:rsidRDefault="00B903A5" w:rsidP="00B903A5">
      <w:r w:rsidRPr="005B0796">
        <w:t>To ensure the information was current and reflected the most recent posting cycles, a final PMKeys download was received immediately before the study began and integrated into the dataset.</w:t>
      </w:r>
    </w:p>
    <w:p w14:paraId="6BBE07D8" w14:textId="77777777" w:rsidR="00B903A5" w:rsidRPr="005B0796" w:rsidRDefault="00B903A5" w:rsidP="00B903A5">
      <w:r w:rsidRPr="005B0796">
        <w:t xml:space="preserve">This integrated dataset was passed on to the research team only after an opt-out process was conducted. This involved DVA and Defence contacting participants via their websites, email, hard copy letter, service newspapers and a media campaign, and providing them with detailed information about the Study Roll and its broader purpose. The contact information, basic service history and demographic information of individuals who did not opt out of this process within four weeks of the campaign commencing were then passed on to CTSS for the Transition and Wellbeing Research Programme. Participants could still opt out of the Study Roll after the four-week campaign, via an opt-out website or email managed by Defence. This website was open for three months. Individuals who opted out of the Study Roll through this website were excluded from sampling. </w:t>
      </w:r>
    </w:p>
    <w:p w14:paraId="743FCDF2" w14:textId="77777777" w:rsidR="00B903A5" w:rsidRPr="005B0796" w:rsidRDefault="00B903A5" w:rsidP="00B903A5">
      <w:r w:rsidRPr="005B0796">
        <w:t>To prevent the families of deceased Defence members being approached, the Study Roll was cross</w:t>
      </w:r>
      <w:r w:rsidRPr="005B0796">
        <w:noBreakHyphen/>
        <w:t xml:space="preserve">checked against the NDI before the opt-out email was sent to individuals and again approximately four weeks before data collection began. All new deaths recorded by Defence were immediately communicated to the research team. </w:t>
      </w:r>
    </w:p>
    <w:p w14:paraId="4ECCAD15" w14:textId="77777777" w:rsidR="00B903A5" w:rsidRPr="005B0796" w:rsidRDefault="00B903A5" w:rsidP="00B903A5">
      <w:pPr>
        <w:pStyle w:val="Heading3b"/>
        <w:numPr>
          <w:ilvl w:val="2"/>
          <w:numId w:val="11"/>
        </w:numPr>
      </w:pPr>
      <w:bookmarkStart w:id="1496" w:name="_Toc487011311"/>
      <w:bookmarkStart w:id="1497" w:name="_Toc493663206"/>
      <w:r w:rsidRPr="005B0796">
        <w:t>Self-selection procedure</w:t>
      </w:r>
      <w:bookmarkEnd w:id="1496"/>
      <w:bookmarkEnd w:id="1497"/>
    </w:p>
    <w:p w14:paraId="1D18D553" w14:textId="77777777" w:rsidR="00B903A5" w:rsidRPr="005B0796" w:rsidRDefault="00B903A5" w:rsidP="00B903A5">
      <w:pPr>
        <w:rPr>
          <w:rFonts w:eastAsia="MS ??"/>
        </w:rPr>
      </w:pPr>
      <w:r w:rsidRPr="005B0796">
        <w:t xml:space="preserve">Details of eligible </w:t>
      </w:r>
      <w:r>
        <w:t>e</w:t>
      </w:r>
      <w:r w:rsidRPr="005B0796">
        <w:t>x-</w:t>
      </w:r>
      <w:r>
        <w:t>s</w:t>
      </w:r>
      <w:r w:rsidRPr="005B0796">
        <w:t>erving members who were not passed on to CTSS at the beginning of the study period but who subsequently self-selected into the study were sent to AIHW for inclusion in the Study Roll. These members were sent an invitation package, following the standard study protocol. P</w:t>
      </w:r>
      <w:r>
        <w:t>roposed p</w:t>
      </w:r>
      <w:r w:rsidRPr="005B0796">
        <w:t xml:space="preserve">articipants </w:t>
      </w:r>
      <w:r>
        <w:t xml:space="preserve">that </w:t>
      </w:r>
      <w:r w:rsidRPr="005B0796">
        <w:t xml:space="preserve">Defence deemed ineligible were required to provide proof of their service to CTSS to participate. Reservists who self-selected into the study were included in the dataset only if they appeared on the original Study Roll. </w:t>
      </w:r>
    </w:p>
    <w:p w14:paraId="5CBC8AB2" w14:textId="77777777" w:rsidR="00B903A5" w:rsidRPr="005B0796" w:rsidRDefault="00B903A5" w:rsidP="00B903A5">
      <w:pPr>
        <w:pStyle w:val="Heading3b"/>
        <w:numPr>
          <w:ilvl w:val="2"/>
          <w:numId w:val="11"/>
        </w:numPr>
      </w:pPr>
      <w:bookmarkStart w:id="1498" w:name="_Toc487011312"/>
      <w:bookmarkStart w:id="1499" w:name="_Toc493663207"/>
      <w:r w:rsidRPr="005B0796">
        <w:t>Sampling by data integrator</w:t>
      </w:r>
      <w:bookmarkEnd w:id="1498"/>
      <w:bookmarkEnd w:id="1499"/>
    </w:p>
    <w:p w14:paraId="4821BBAF" w14:textId="77777777" w:rsidR="00B903A5" w:rsidRPr="005B0796" w:rsidRDefault="00B903A5" w:rsidP="00B903A5">
      <w:pPr>
        <w:keepNext/>
        <w:rPr>
          <w:rFonts w:eastAsia="MS ??"/>
        </w:rPr>
      </w:pPr>
      <w:r w:rsidRPr="005B0796">
        <w:t>Before recruitment, AIHW created appropriate samples for the research Programme, including:</w:t>
      </w:r>
    </w:p>
    <w:p w14:paraId="512A0D6D" w14:textId="77777777" w:rsidR="00B903A5" w:rsidRPr="005B0796" w:rsidRDefault="00B903A5" w:rsidP="00B903A5">
      <w:pPr>
        <w:pStyle w:val="Bullet"/>
        <w:numPr>
          <w:ilvl w:val="0"/>
          <w:numId w:val="3"/>
        </w:numPr>
        <w:ind w:left="360"/>
      </w:pPr>
      <w:r w:rsidRPr="005B0796">
        <w:t>all members who transitioned from full-time Regular ADF service between 2010 and 2014</w:t>
      </w:r>
    </w:p>
    <w:p w14:paraId="5551FB2B" w14:textId="77777777" w:rsidR="00B903A5" w:rsidRPr="005B0796" w:rsidRDefault="00B903A5" w:rsidP="00B903A5">
      <w:pPr>
        <w:pStyle w:val="Bullet"/>
        <w:numPr>
          <w:ilvl w:val="0"/>
          <w:numId w:val="3"/>
        </w:numPr>
        <w:ind w:left="360"/>
      </w:pPr>
      <w:r w:rsidRPr="005B0796">
        <w:t>all ADF members who participated in the MilHOP, excluding members who indicated they did not wish to be contacted for further research</w:t>
      </w:r>
    </w:p>
    <w:p w14:paraId="451D8207" w14:textId="77777777" w:rsidR="00B903A5" w:rsidRPr="005B0796" w:rsidRDefault="00B903A5" w:rsidP="00B903A5">
      <w:pPr>
        <w:pStyle w:val="Bullet"/>
        <w:numPr>
          <w:ilvl w:val="0"/>
          <w:numId w:val="3"/>
        </w:numPr>
        <w:ind w:left="360"/>
      </w:pPr>
      <w:r w:rsidRPr="005B0796">
        <w:t>a stratified random sample of 5040 2015 Regular ADF members</w:t>
      </w:r>
    </w:p>
    <w:p w14:paraId="1812257B" w14:textId="77777777" w:rsidR="00B903A5" w:rsidRPr="005B0796" w:rsidRDefault="00B903A5" w:rsidP="00B903A5">
      <w:pPr>
        <w:pStyle w:val="Bullet"/>
        <w:numPr>
          <w:ilvl w:val="0"/>
          <w:numId w:val="3"/>
        </w:numPr>
        <w:ind w:left="360"/>
      </w:pPr>
      <w:r w:rsidRPr="005B0796">
        <w:t>22,638</w:t>
      </w:r>
      <w:r w:rsidRPr="005B0796">
        <w:rPr>
          <w:b/>
        </w:rPr>
        <w:t xml:space="preserve"> </w:t>
      </w:r>
      <w:r w:rsidRPr="005B0796">
        <w:t>currently serving Ab</w:t>
      </w:r>
      <w:r>
        <w:t>-</w:t>
      </w:r>
      <w:r w:rsidRPr="005B0796">
        <w:t xml:space="preserve">initio Reservists. Note: only Reservists with contact information were invited to participate (22,638). </w:t>
      </w:r>
    </w:p>
    <w:p w14:paraId="0B34987C" w14:textId="77777777" w:rsidR="00B903A5" w:rsidRPr="005B0796" w:rsidRDefault="00B903A5" w:rsidP="00B903A5">
      <w:pPr>
        <w:rPr>
          <w:lang w:eastAsia="en-AU"/>
        </w:rPr>
      </w:pPr>
      <w:r w:rsidRPr="005B0796">
        <w:rPr>
          <w:lang w:eastAsia="en-AU"/>
        </w:rPr>
        <w:t>The stratified random sample of 5040 2015 Regular ADF members was drawn from the remainder of members not already listed as MilHOP participants. This sample did not include those who were deceased or who opted out of the Transition and Wellbeing Research Programme.</w:t>
      </w:r>
    </w:p>
    <w:p w14:paraId="7BCA7462" w14:textId="77777777" w:rsidR="00B903A5" w:rsidRPr="005B0796" w:rsidRDefault="00B903A5" w:rsidP="00B903A5">
      <w:pPr>
        <w:rPr>
          <w:lang w:eastAsia="en-AU"/>
        </w:rPr>
      </w:pPr>
      <w:r w:rsidRPr="005B0796">
        <w:rPr>
          <w:lang w:eastAsia="en-AU"/>
        </w:rPr>
        <w:t xml:space="preserve">Stratification was based on: </w:t>
      </w:r>
    </w:p>
    <w:p w14:paraId="20DFBB4E" w14:textId="77777777" w:rsidR="00B903A5" w:rsidRPr="005B0796" w:rsidRDefault="00B903A5" w:rsidP="00B903A5">
      <w:pPr>
        <w:pStyle w:val="Bullet"/>
        <w:numPr>
          <w:ilvl w:val="0"/>
          <w:numId w:val="3"/>
        </w:numPr>
        <w:spacing w:after="120"/>
        <w:ind w:left="360"/>
        <w:rPr>
          <w:lang w:eastAsia="en-AU"/>
        </w:rPr>
      </w:pPr>
      <w:r>
        <w:rPr>
          <w:lang w:eastAsia="en-AU"/>
        </w:rPr>
        <w:t>s</w:t>
      </w:r>
      <w:r w:rsidRPr="005B0796">
        <w:rPr>
          <w:lang w:eastAsia="en-AU"/>
        </w:rPr>
        <w:t>ervice (Navy, Army, Air Force)</w:t>
      </w:r>
    </w:p>
    <w:p w14:paraId="422161CC" w14:textId="77777777" w:rsidR="00B903A5" w:rsidRPr="005B0796" w:rsidRDefault="00B903A5" w:rsidP="00B903A5">
      <w:pPr>
        <w:pStyle w:val="Bullet"/>
        <w:numPr>
          <w:ilvl w:val="0"/>
          <w:numId w:val="3"/>
        </w:numPr>
        <w:spacing w:after="120"/>
        <w:ind w:left="360"/>
        <w:rPr>
          <w:lang w:eastAsia="en-AU"/>
        </w:rPr>
      </w:pPr>
      <w:r w:rsidRPr="005B0796">
        <w:rPr>
          <w:lang w:eastAsia="en-AU"/>
        </w:rPr>
        <w:t>sex</w:t>
      </w:r>
    </w:p>
    <w:p w14:paraId="15B1AD5F" w14:textId="77777777" w:rsidR="00B903A5" w:rsidRPr="005B0796" w:rsidRDefault="00B903A5" w:rsidP="00B903A5">
      <w:pPr>
        <w:pStyle w:val="Bullet"/>
        <w:numPr>
          <w:ilvl w:val="0"/>
          <w:numId w:val="3"/>
        </w:numPr>
        <w:ind w:left="360"/>
        <w:rPr>
          <w:lang w:eastAsia="en-AU"/>
        </w:rPr>
      </w:pPr>
      <w:r w:rsidRPr="005B0796">
        <w:rPr>
          <w:lang w:eastAsia="en-AU"/>
        </w:rPr>
        <w:t>rank code (Officer/enlistee).</w:t>
      </w:r>
    </w:p>
    <w:p w14:paraId="5C54DC51" w14:textId="77777777" w:rsidR="00B903A5" w:rsidRPr="005B0796" w:rsidRDefault="00B903A5" w:rsidP="00B903A5">
      <w:r w:rsidRPr="005B0796">
        <w:t xml:space="preserve">The contact information and demographics for each of the subpopulations listed above, with the exception of individuals who opted out of the Study Roll, were then passed on to CTSS researchers for recruitment and weighting purposes. </w:t>
      </w:r>
    </w:p>
    <w:p w14:paraId="3E950237" w14:textId="77777777" w:rsidR="00B903A5" w:rsidRPr="005B0796" w:rsidRDefault="00B903A5" w:rsidP="00B903A5">
      <w:pPr>
        <w:pStyle w:val="Heading3b"/>
        <w:numPr>
          <w:ilvl w:val="2"/>
          <w:numId w:val="11"/>
        </w:numPr>
      </w:pPr>
      <w:bookmarkStart w:id="1500" w:name="_Toc487011313"/>
      <w:bookmarkStart w:id="1501" w:name="_Toc493663208"/>
      <w:r w:rsidRPr="005B0796">
        <w:t>Phase 1: Distribution of self-report survey</w:t>
      </w:r>
      <w:bookmarkEnd w:id="1500"/>
      <w:bookmarkEnd w:id="1501"/>
      <w:r w:rsidRPr="005B0796">
        <w:t xml:space="preserve"> </w:t>
      </w:r>
    </w:p>
    <w:p w14:paraId="7582DC4E" w14:textId="77777777" w:rsidR="00B903A5" w:rsidRPr="005B0796" w:rsidRDefault="00B903A5" w:rsidP="00B903A5">
      <w:r w:rsidRPr="005B0796">
        <w:t xml:space="preserve">Recruitment for the study was staggered across the entire data collection period. Online invitation packages were distributed to participants in batches. The first batch of invitation emails was rolled out to participants in June 2015. Each email contained a unique study ID number and token password, as well as a secure link to an online invitation package. This package contained the self-report survey and all associated study materials, including information sheets and consent forms. Invitation packs were uniquely tailored to participants’ current serving status and eligibility criteria. Where email addresses were not available, or upon request, hard copy versions of the invitation package were posted to participants. </w:t>
      </w:r>
    </w:p>
    <w:p w14:paraId="384AA4DB" w14:textId="77777777" w:rsidR="00B903A5" w:rsidRPr="005B0796" w:rsidRDefault="00B903A5" w:rsidP="00B903A5">
      <w:pPr>
        <w:pStyle w:val="Heading4"/>
      </w:pPr>
      <w:r w:rsidRPr="005B0796">
        <w:t>Follow-up of survey non-respondents</w:t>
      </w:r>
    </w:p>
    <w:p w14:paraId="22A33D9A" w14:textId="77777777" w:rsidR="00B903A5" w:rsidRPr="005B0796" w:rsidRDefault="00B903A5" w:rsidP="00B903A5">
      <w:pPr>
        <w:keepNext/>
      </w:pPr>
      <w:r w:rsidRPr="005B0796">
        <w:t>A multifaceted approach to following up survey non-respondents was used to maximise participation rates</w:t>
      </w:r>
      <w:r>
        <w:t>, as set out below.</w:t>
      </w:r>
    </w:p>
    <w:p w14:paraId="6B7F00D4" w14:textId="77777777" w:rsidR="00B903A5" w:rsidRPr="005B0796" w:rsidRDefault="00B903A5" w:rsidP="00B903A5">
      <w:pPr>
        <w:pStyle w:val="Bullet"/>
        <w:numPr>
          <w:ilvl w:val="0"/>
          <w:numId w:val="3"/>
        </w:numPr>
        <w:ind w:left="360"/>
      </w:pPr>
      <w:r w:rsidRPr="005B0796">
        <w:t>Reminder emails</w:t>
      </w:r>
    </w:p>
    <w:p w14:paraId="024FB497" w14:textId="77777777" w:rsidR="00B903A5" w:rsidRPr="005B0796" w:rsidRDefault="00B903A5" w:rsidP="00B903A5">
      <w:pPr>
        <w:ind w:left="360"/>
      </w:pPr>
      <w:r w:rsidRPr="005B0796">
        <w:t xml:space="preserve">Email reminders were sent to all non-responders two, four and six weeks after the invitation package was distributed, and one month before the survey was closed. Participants who preferred to complete a hard copy version of the survey were directed to call or email the study team. This was specified in all reminder email correspondence. </w:t>
      </w:r>
    </w:p>
    <w:p w14:paraId="46CFA3CD" w14:textId="77777777" w:rsidR="00B903A5" w:rsidRPr="005B0796" w:rsidRDefault="00B903A5" w:rsidP="00B903A5">
      <w:pPr>
        <w:pStyle w:val="Bullet"/>
        <w:numPr>
          <w:ilvl w:val="0"/>
          <w:numId w:val="3"/>
        </w:numPr>
        <w:ind w:left="360"/>
        <w:rPr>
          <w:rFonts w:asciiTheme="minorHAnsi" w:hAnsiTheme="minorHAnsi"/>
        </w:rPr>
      </w:pPr>
      <w:r w:rsidRPr="005B0796">
        <w:t xml:space="preserve">SMS reminders </w:t>
      </w:r>
    </w:p>
    <w:p w14:paraId="26CBC9FE" w14:textId="77777777" w:rsidR="00B903A5" w:rsidRPr="005B0796" w:rsidRDefault="00B903A5" w:rsidP="00B903A5">
      <w:pPr>
        <w:ind w:left="360"/>
      </w:pPr>
      <w:r w:rsidRPr="005B0796">
        <w:t>SMS reminders were sent to all non-responders concurrently to alert them to their emails. This included members who had not yet begun the survey, as well as individuals who had partially completed it.</w:t>
      </w:r>
    </w:p>
    <w:p w14:paraId="7310C992" w14:textId="77777777" w:rsidR="00B903A5" w:rsidRPr="005B0796" w:rsidRDefault="00B903A5" w:rsidP="00B903A5">
      <w:pPr>
        <w:pStyle w:val="Bullet"/>
        <w:numPr>
          <w:ilvl w:val="0"/>
          <w:numId w:val="3"/>
        </w:numPr>
        <w:ind w:left="360"/>
      </w:pPr>
      <w:r w:rsidRPr="005B0796">
        <w:t>Targeted telephone follow-up</w:t>
      </w:r>
    </w:p>
    <w:p w14:paraId="6611DDFF" w14:textId="77777777" w:rsidR="00B903A5" w:rsidRPr="005B0796" w:rsidRDefault="00B903A5" w:rsidP="00B903A5">
      <w:pPr>
        <w:ind w:left="360"/>
      </w:pPr>
      <w:r w:rsidRPr="005B0796">
        <w:t>A selection of high-priority participants was targeted via a structured telephone follow-up process. These participants were members of the MHPWS CIDI cohort. It was important to maximise the response rate for this longitudinal cohort with existing data points to enable mapping of the trajectory of disorder. Telephone follow-up was also extended to participants without email addresses, partial completers and other target groups with low response rates, to ensure representativeness. Specifically, this included:</w:t>
      </w:r>
    </w:p>
    <w:p w14:paraId="567E787F" w14:textId="77777777" w:rsidR="00B903A5" w:rsidRPr="005B0796" w:rsidRDefault="00B903A5" w:rsidP="00B903A5">
      <w:pPr>
        <w:pStyle w:val="Dash"/>
      </w:pPr>
      <w:r w:rsidRPr="005B0796">
        <w:t>Transitioned ADF members with a landline phone number but no email address or mobile number</w:t>
      </w:r>
    </w:p>
    <w:p w14:paraId="4CE17973" w14:textId="77777777" w:rsidR="00B903A5" w:rsidRPr="005B0796" w:rsidRDefault="00B903A5" w:rsidP="00B903A5">
      <w:pPr>
        <w:pStyle w:val="Dash"/>
      </w:pPr>
      <w:r w:rsidRPr="005B0796">
        <w:t>Transitioned ADF members with a landline phone number and Defence email address only but no mobile phone number</w:t>
      </w:r>
    </w:p>
    <w:p w14:paraId="00FD1E67" w14:textId="77777777" w:rsidR="00B903A5" w:rsidRPr="005B0796" w:rsidRDefault="00B903A5" w:rsidP="00B903A5">
      <w:pPr>
        <w:pStyle w:val="Dash"/>
      </w:pPr>
      <w:r w:rsidRPr="005B0796">
        <w:t>partial completers from all cohorts</w:t>
      </w:r>
    </w:p>
    <w:p w14:paraId="0983FEEF" w14:textId="77777777" w:rsidR="00B903A5" w:rsidRPr="005B0796" w:rsidRDefault="00B903A5" w:rsidP="00B903A5">
      <w:pPr>
        <w:pStyle w:val="Dash"/>
      </w:pPr>
      <w:r w:rsidRPr="005B0796">
        <w:t>participants with bounced emails from sole non-Defence email addresses, with a landline phone number but no mobile number</w:t>
      </w:r>
    </w:p>
    <w:p w14:paraId="27D7BC11" w14:textId="77777777" w:rsidR="00B903A5" w:rsidRPr="005B0796" w:rsidRDefault="00B903A5" w:rsidP="00B903A5">
      <w:pPr>
        <w:pStyle w:val="Dash"/>
      </w:pPr>
      <w:r w:rsidRPr="005B0796">
        <w:t>participants who nominated family members for Family Study but did not provide contact details for family</w:t>
      </w:r>
    </w:p>
    <w:p w14:paraId="1A56A1B8" w14:textId="77777777" w:rsidR="00B903A5" w:rsidRPr="005B0796" w:rsidRDefault="00B903A5" w:rsidP="00B903A5">
      <w:pPr>
        <w:pStyle w:val="Dash"/>
      </w:pPr>
      <w:r w:rsidRPr="005B0796">
        <w:t>all other Transitioned ADF members and Ab</w:t>
      </w:r>
      <w:r>
        <w:t>-</w:t>
      </w:r>
      <w:r w:rsidRPr="005B0796">
        <w:t>initio Reservists who had not begun the survey.</w:t>
      </w:r>
    </w:p>
    <w:p w14:paraId="0886E142" w14:textId="77777777" w:rsidR="00B903A5" w:rsidRPr="005B0796" w:rsidRDefault="00B903A5" w:rsidP="00B903A5">
      <w:pPr>
        <w:tabs>
          <w:tab w:val="left" w:pos="318"/>
        </w:tabs>
        <w:spacing w:before="100" w:beforeAutospacing="1" w:after="100" w:afterAutospacing="1"/>
        <w:ind w:left="709"/>
        <w:rPr>
          <w:color w:val="000000" w:themeColor="text1"/>
        </w:rPr>
      </w:pPr>
      <w:r w:rsidRPr="005B0796">
        <w:rPr>
          <w:color w:val="000000" w:themeColor="text1"/>
        </w:rPr>
        <w:t>Trained research staff at CTSS made the phone calls following a structured script. The calls were made at a variety of times during the day and evening to maximise contact opportunities. A maximum of 10 attempts were made to speak to each participant twice. Where no contact was made, and a telephone message service was available, a reminder message was left on two of these 10 occasions only, along with the study free-call number and email address.</w:t>
      </w:r>
    </w:p>
    <w:p w14:paraId="397C4ECC" w14:textId="77777777" w:rsidR="00B903A5" w:rsidRPr="005B0796" w:rsidRDefault="00B903A5" w:rsidP="00B903A5">
      <w:pPr>
        <w:pStyle w:val="Bullet"/>
        <w:numPr>
          <w:ilvl w:val="0"/>
          <w:numId w:val="3"/>
        </w:numPr>
        <w:ind w:left="360"/>
      </w:pPr>
      <w:r w:rsidRPr="005B0796">
        <w:t>Hard copy letters</w:t>
      </w:r>
    </w:p>
    <w:p w14:paraId="70E7B193" w14:textId="77777777" w:rsidR="00B903A5" w:rsidRPr="005B0796" w:rsidRDefault="00B903A5" w:rsidP="00B903A5">
      <w:pPr>
        <w:ind w:left="360"/>
        <w:rPr>
          <w:b/>
        </w:rPr>
      </w:pPr>
      <w:r w:rsidRPr="005B0796">
        <w:t>Hard copy invitation letters containing the study free-call number and email address as well as a link to the online survey were sent to:</w:t>
      </w:r>
    </w:p>
    <w:p w14:paraId="03944540" w14:textId="77777777" w:rsidR="00B903A5" w:rsidRPr="005B0796" w:rsidRDefault="00B903A5" w:rsidP="00B903A5">
      <w:pPr>
        <w:pStyle w:val="Dash"/>
      </w:pPr>
      <w:r w:rsidRPr="005B0796">
        <w:t>all Transitioned ADF non-responders</w:t>
      </w:r>
    </w:p>
    <w:p w14:paraId="6A314AA4" w14:textId="77777777" w:rsidR="00B903A5" w:rsidRPr="005B0796" w:rsidRDefault="00B903A5" w:rsidP="00B903A5">
      <w:pPr>
        <w:pStyle w:val="Dash"/>
      </w:pPr>
      <w:r w:rsidRPr="005B0796">
        <w:t>all Ab</w:t>
      </w:r>
      <w:r>
        <w:t>-</w:t>
      </w:r>
      <w:r w:rsidRPr="005B0796">
        <w:t>initio Reservist non-responders</w:t>
      </w:r>
    </w:p>
    <w:p w14:paraId="00095DBC" w14:textId="77777777" w:rsidR="00B903A5" w:rsidRPr="005B0796" w:rsidRDefault="00B903A5" w:rsidP="00B903A5">
      <w:pPr>
        <w:pStyle w:val="Dash"/>
      </w:pPr>
      <w:r w:rsidRPr="005B0796">
        <w:t>all 2015 Regular ADF non-responders who did not participate in MilHOP.</w:t>
      </w:r>
    </w:p>
    <w:p w14:paraId="025D94D9" w14:textId="77777777" w:rsidR="00B903A5" w:rsidRPr="005B0796" w:rsidRDefault="00B903A5" w:rsidP="00B903A5">
      <w:pPr>
        <w:pStyle w:val="Heading3b"/>
        <w:numPr>
          <w:ilvl w:val="2"/>
          <w:numId w:val="11"/>
        </w:numPr>
      </w:pPr>
      <w:bookmarkStart w:id="1502" w:name="_Toc487011314"/>
      <w:bookmarkStart w:id="1503" w:name="_Toc493663209"/>
      <w:r w:rsidRPr="005B0796">
        <w:t>Phase 2: Diagnostic interview</w:t>
      </w:r>
      <w:bookmarkEnd w:id="1502"/>
      <w:bookmarkEnd w:id="1503"/>
    </w:p>
    <w:p w14:paraId="5B23E801" w14:textId="77777777" w:rsidR="00B903A5" w:rsidRPr="005B0796" w:rsidRDefault="00B903A5" w:rsidP="00B903A5">
      <w:pPr>
        <w:pStyle w:val="Heading4"/>
      </w:pPr>
      <w:r w:rsidRPr="005B0796">
        <w:t>Selection</w:t>
      </w:r>
    </w:p>
    <w:p w14:paraId="0B884514" w14:textId="77777777" w:rsidR="00B903A5" w:rsidRPr="005B0796" w:rsidRDefault="00B903A5" w:rsidP="00B903A5">
      <w:r w:rsidRPr="005B0796">
        <w:t xml:space="preserve">In </w:t>
      </w:r>
      <w:r>
        <w:t>p</w:t>
      </w:r>
      <w:r w:rsidRPr="005B0796">
        <w:t>hase 2, a sub-group of Transitioned and Regular ADF members from eligible samples was targeted to participate in a 1-hour telephone interview using The World Mental Health Survey Initiative version of the WHO-CIDI 3.0. To be eligible for recruitment, potential interviewees must have completed the self-report measures, and have provided consent in the Mental Health and Wellbeing Transition Study consent form to being contacted to participate in a telephone interview. The following groups were targeted for phase 2:</w:t>
      </w:r>
    </w:p>
    <w:p w14:paraId="05CEC1F2" w14:textId="77777777" w:rsidR="00B903A5" w:rsidRPr="005B0796" w:rsidRDefault="00B903A5" w:rsidP="00B903A5">
      <w:pPr>
        <w:pStyle w:val="Bullet"/>
        <w:numPr>
          <w:ilvl w:val="0"/>
          <w:numId w:val="3"/>
        </w:numPr>
        <w:ind w:left="360"/>
        <w:rPr>
          <w:rFonts w:asciiTheme="minorHAnsi" w:hAnsiTheme="minorHAnsi"/>
        </w:rPr>
      </w:pPr>
      <w:r>
        <w:t>a</w:t>
      </w:r>
      <w:r w:rsidRPr="005B0796">
        <w:t xml:space="preserve"> stratified sample of ADF members who had transitioned out of full-time Service since 2010. Transitioned ADF survey responders were invited to complete a CIDI based on their scores on the PCL and AUDIT screening measures, and demographic characteristics were used to further preference participants to ensure the CIDI sample represented the entire cross-section of population characteristics as far as was possible. </w:t>
      </w:r>
    </w:p>
    <w:p w14:paraId="67F324CC" w14:textId="77777777" w:rsidR="00B903A5" w:rsidRPr="005B0796" w:rsidRDefault="00B903A5" w:rsidP="00B903A5">
      <w:pPr>
        <w:pStyle w:val="Bullet"/>
        <w:numPr>
          <w:ilvl w:val="0"/>
          <w:numId w:val="3"/>
        </w:numPr>
        <w:ind w:left="360"/>
        <w:rPr>
          <w:rFonts w:asciiTheme="minorHAnsi" w:hAnsiTheme="minorHAnsi"/>
        </w:rPr>
      </w:pPr>
      <w:r>
        <w:t>a</w:t>
      </w:r>
      <w:r w:rsidRPr="005B0796">
        <w:t>ll MHPWS ADF members who were interviewed using the CIDI in 2010</w:t>
      </w:r>
      <w:r>
        <w:t>.</w:t>
      </w:r>
      <w:r w:rsidRPr="005B0796">
        <w:t xml:space="preserve"> This included individuals who met ICD-10 diagnostic criteria for either a 12-month ICD-10 affective, anxiety or alcohol disorder in 2010, as well as individuals who were </w:t>
      </w:r>
      <w:r w:rsidR="007155C2">
        <w:t>subsyndromal</w:t>
      </w:r>
      <w:r w:rsidRPr="005B0796">
        <w:t xml:space="preserve"> or who had no disorder. </w:t>
      </w:r>
    </w:p>
    <w:p w14:paraId="75D795AD" w14:textId="77777777" w:rsidR="00B903A5" w:rsidRPr="005B0796" w:rsidRDefault="00B903A5" w:rsidP="00B903A5">
      <w:pPr>
        <w:pStyle w:val="Bullet"/>
        <w:numPr>
          <w:ilvl w:val="0"/>
          <w:numId w:val="3"/>
        </w:numPr>
        <w:ind w:left="360"/>
        <w:rPr>
          <w:rFonts w:asciiTheme="majorHAnsi" w:hAnsiTheme="majorHAnsi"/>
        </w:rPr>
      </w:pPr>
      <w:r>
        <w:t>a</w:t>
      </w:r>
      <w:r w:rsidRPr="005B0796">
        <w:t xml:space="preserve"> sample of ADF members who participated in the MEAO Prospective Health Study between 2010 and 2012.</w:t>
      </w:r>
    </w:p>
    <w:p w14:paraId="6A95F971" w14:textId="77777777" w:rsidR="00B903A5" w:rsidRPr="005B0796" w:rsidRDefault="00B903A5" w:rsidP="00B903A5">
      <w:pPr>
        <w:pStyle w:val="Heading4"/>
        <w:rPr>
          <w:rFonts w:asciiTheme="minorHAnsi" w:hAnsiTheme="minorHAnsi"/>
        </w:rPr>
      </w:pPr>
      <w:r w:rsidRPr="005B0796">
        <w:t>Recruitment</w:t>
      </w:r>
    </w:p>
    <w:p w14:paraId="168F5DF6" w14:textId="77777777" w:rsidR="00B903A5" w:rsidRPr="005B0796" w:rsidRDefault="00B903A5" w:rsidP="00B903A5">
      <w:r w:rsidRPr="005B0796">
        <w:t>Recruitment calls were made by trained interviewers at the Hunter Research Foundation, who couldn’t see the scores of participants on the self-report measures. Telephone calls were made at a variety of times during the day and evening, taking into account participants’ preferences so as to maximise contact opportunities.</w:t>
      </w:r>
    </w:p>
    <w:p w14:paraId="15146E27" w14:textId="77777777" w:rsidR="00B903A5" w:rsidRPr="005B0796" w:rsidRDefault="00B903A5" w:rsidP="00B903A5">
      <w:r w:rsidRPr="005B0796">
        <w:t>To ensure that the most recent contact details were used, a download of current phone numbers was obtained from PMKeyS immediately before the study began and intermittently throughout the interview period.</w:t>
      </w:r>
    </w:p>
    <w:p w14:paraId="4BD28218" w14:textId="77777777" w:rsidR="00B903A5" w:rsidRPr="005B0796" w:rsidRDefault="00B903A5" w:rsidP="00B903A5">
      <w:r w:rsidRPr="005B0796">
        <w:t>Participants were contacted by telephone using contact details obtained through:</w:t>
      </w:r>
    </w:p>
    <w:p w14:paraId="65D5A7D6" w14:textId="77777777" w:rsidR="00B903A5" w:rsidRPr="005B0796" w:rsidRDefault="00B903A5" w:rsidP="00B903A5">
      <w:pPr>
        <w:pStyle w:val="Bullet"/>
        <w:numPr>
          <w:ilvl w:val="0"/>
          <w:numId w:val="3"/>
        </w:numPr>
        <w:ind w:left="360"/>
        <w:rPr>
          <w:rFonts w:asciiTheme="minorHAnsi" w:hAnsiTheme="minorHAnsi"/>
        </w:rPr>
      </w:pPr>
      <w:r w:rsidRPr="005B0796">
        <w:t xml:space="preserve">participants providing contact details/alternative contact details either online or in hard copy as part of phase 1 of the Mental Health and Wellbeing Transition Study </w:t>
      </w:r>
    </w:p>
    <w:p w14:paraId="5094A3C5" w14:textId="77777777" w:rsidR="00B903A5" w:rsidRPr="005B0796" w:rsidRDefault="00B903A5" w:rsidP="00B903A5">
      <w:pPr>
        <w:pStyle w:val="Bullet"/>
        <w:numPr>
          <w:ilvl w:val="0"/>
          <w:numId w:val="3"/>
        </w:numPr>
        <w:ind w:left="360"/>
      </w:pPr>
      <w:r w:rsidRPr="005B0796">
        <w:t xml:space="preserve">AIHW </w:t>
      </w:r>
    </w:p>
    <w:p w14:paraId="715B8D09" w14:textId="77777777" w:rsidR="00B903A5" w:rsidRPr="005B0796" w:rsidRDefault="00B903A5" w:rsidP="00B903A5">
      <w:pPr>
        <w:pStyle w:val="Bullet"/>
        <w:numPr>
          <w:ilvl w:val="0"/>
          <w:numId w:val="3"/>
        </w:numPr>
        <w:ind w:left="360"/>
      </w:pPr>
      <w:r w:rsidRPr="005B0796">
        <w:t xml:space="preserve">PMKeyS </w:t>
      </w:r>
    </w:p>
    <w:p w14:paraId="603E959E" w14:textId="77777777" w:rsidR="00B903A5" w:rsidRPr="005B0796" w:rsidRDefault="00B903A5" w:rsidP="00B903A5">
      <w:pPr>
        <w:pStyle w:val="Bullet"/>
        <w:numPr>
          <w:ilvl w:val="0"/>
          <w:numId w:val="3"/>
        </w:numPr>
        <w:ind w:left="360"/>
      </w:pPr>
      <w:r w:rsidRPr="005B0796">
        <w:t xml:space="preserve">participants providing contact details and alternative contact details, either online or in hard copy, as part of </w:t>
      </w:r>
      <w:r>
        <w:t xml:space="preserve">the </w:t>
      </w:r>
      <w:r w:rsidRPr="005B0796">
        <w:t>M</w:t>
      </w:r>
      <w:r>
        <w:t>il</w:t>
      </w:r>
      <w:r w:rsidRPr="005B0796">
        <w:t xml:space="preserve">HOP study. </w:t>
      </w:r>
    </w:p>
    <w:p w14:paraId="5BFEB845" w14:textId="77777777" w:rsidR="00B903A5" w:rsidRPr="005B0796" w:rsidRDefault="00B903A5" w:rsidP="00B903A5">
      <w:r w:rsidRPr="005B0796">
        <w:t xml:space="preserve">The first telephone call was made using the primary phone number provided in the contact information sheet completed in phase 1. In the absence of this information, a phone number obtained from one of the sources listed above was used. </w:t>
      </w:r>
    </w:p>
    <w:p w14:paraId="55F02228" w14:textId="77777777" w:rsidR="00B903A5" w:rsidRPr="005B0796" w:rsidRDefault="00B903A5" w:rsidP="00B903A5">
      <w:r w:rsidRPr="005B0796">
        <w:t>A maximum of 10 attempts were made to speak to the participant before that participant was removed from the pool. When no contact was made, a reminder message was left on two of the 10 occasions, along with the study’s free-call number and email address.</w:t>
      </w:r>
    </w:p>
    <w:p w14:paraId="785B325E" w14:textId="77777777" w:rsidR="00B903A5" w:rsidRPr="005B0796" w:rsidRDefault="00B903A5" w:rsidP="00B903A5">
      <w:r w:rsidRPr="005B0796">
        <w:t>Where telephone contact was made, research officers explained the aims, purpose and requirements of the interview, and</w:t>
      </w:r>
      <w:r>
        <w:t>,</w:t>
      </w:r>
      <w:r w:rsidRPr="005B0796">
        <w:t xml:space="preserve"> if agreement was granted, an interview time was arranged. </w:t>
      </w:r>
    </w:p>
    <w:p w14:paraId="5DA8382F" w14:textId="77777777" w:rsidR="00B903A5" w:rsidRPr="005B0796" w:rsidRDefault="00B903A5" w:rsidP="00B903A5">
      <w:pPr>
        <w:pStyle w:val="Heading4"/>
      </w:pPr>
      <w:r w:rsidRPr="005B0796">
        <w:t>Interview</w:t>
      </w:r>
    </w:p>
    <w:p w14:paraId="19803C9E" w14:textId="77777777" w:rsidR="00B903A5" w:rsidRPr="005B0796" w:rsidRDefault="00B903A5" w:rsidP="00B903A5">
      <w:r w:rsidRPr="005B0796">
        <w:t>At the beginning of each interview participants were reminded that participation was voluntary, they could stop the interview at any point, and could withdraw from the study at any time without any impact on their career or entitlements.</w:t>
      </w:r>
    </w:p>
    <w:p w14:paraId="67A22F32" w14:textId="77777777" w:rsidR="00B903A5" w:rsidRPr="005B0796" w:rsidRDefault="00B903A5" w:rsidP="00B903A5">
      <w:r w:rsidRPr="005B0796">
        <w:t>If the participant agreed to proceed with the interview, verbal consent was obtained and recorded. Following this, the highly structured interview was undertaken.</w:t>
      </w:r>
    </w:p>
    <w:p w14:paraId="53F97B09" w14:textId="77777777" w:rsidR="00B903A5" w:rsidRPr="005B0796" w:rsidRDefault="00B903A5" w:rsidP="00B903A5">
      <w:r w:rsidRPr="005B0796">
        <w:t>At the end of the structured interview, participants were provided with sufficient time to debrief</w:t>
      </w:r>
      <w:r>
        <w:t xml:space="preserve"> and</w:t>
      </w:r>
      <w:r w:rsidRPr="005B0796">
        <w:t xml:space="preserve"> ask questions, and provided interview</w:t>
      </w:r>
      <w:r>
        <w:t>-</w:t>
      </w:r>
      <w:r w:rsidRPr="005B0796">
        <w:t>related feedback. If at any time the participant indicated that they were feeling distressed or suicidal, interviewers implemented the relevant duty</w:t>
      </w:r>
      <w:r>
        <w:t>-</w:t>
      </w:r>
      <w:r w:rsidRPr="005B0796">
        <w:t>of</w:t>
      </w:r>
      <w:r>
        <w:t>-</w:t>
      </w:r>
      <w:r w:rsidRPr="005B0796">
        <w:t xml:space="preserve">care protocols. </w:t>
      </w:r>
    </w:p>
    <w:p w14:paraId="24F1FB5D" w14:textId="77777777" w:rsidR="00B903A5" w:rsidRPr="005B0796" w:rsidRDefault="00B903A5" w:rsidP="00466837">
      <w:pPr>
        <w:pStyle w:val="Heading2b"/>
        <w:numPr>
          <w:ilvl w:val="1"/>
          <w:numId w:val="11"/>
        </w:numPr>
        <w:ind w:left="720" w:hanging="720"/>
        <w:rPr>
          <w:rFonts w:cs="Arial"/>
        </w:rPr>
      </w:pPr>
      <w:bookmarkStart w:id="1504" w:name="_Toc341700588"/>
      <w:bookmarkStart w:id="1505" w:name="_Toc482021455"/>
      <w:bookmarkStart w:id="1506" w:name="_Toc482024546"/>
      <w:bookmarkStart w:id="1507" w:name="_Toc487011315"/>
      <w:bookmarkStart w:id="1508" w:name="_Toc493663210"/>
      <w:bookmarkStart w:id="1509" w:name="_Toc494449817"/>
      <w:bookmarkStart w:id="1510" w:name="_Toc297295806"/>
      <w:r w:rsidRPr="005B0796">
        <w:t>Medicare and Pharmaceutical Benefits Scheme/Repatriation Pharmaceutical Benefits Scheme data linkage</w:t>
      </w:r>
      <w:bookmarkEnd w:id="1504"/>
      <w:bookmarkEnd w:id="1505"/>
      <w:bookmarkEnd w:id="1506"/>
      <w:bookmarkEnd w:id="1507"/>
      <w:bookmarkEnd w:id="1508"/>
      <w:bookmarkEnd w:id="1509"/>
    </w:p>
    <w:p w14:paraId="7244D242" w14:textId="77777777" w:rsidR="00B903A5" w:rsidRPr="005B0796" w:rsidRDefault="00B903A5" w:rsidP="00B903A5">
      <w:r w:rsidRPr="005B0796">
        <w:t>As part of the broader research Programme, participants were also invited to fill out a consent form authorising the study to access complete Medicare, Pharmaceutical Benefit Scheme (PBS) and Repatriation Pharmaceutical Benefits Scheme (RPBS) data. Data for each consenting participant was obtained for a five-year period before their scheduled interview date and included information about their medical visits, procedures, associated costs and medication prescriptions filled at pharmacies. Consent forms for this component of the research were sent securely to the Department of Human Services</w:t>
      </w:r>
      <w:r>
        <w:t>, which</w:t>
      </w:r>
      <w:r w:rsidRPr="005B0796">
        <w:t xml:space="preserve"> holds this information confidentially. </w:t>
      </w:r>
    </w:p>
    <w:p w14:paraId="55432603" w14:textId="77777777" w:rsidR="00B903A5" w:rsidRPr="005B0796" w:rsidRDefault="00B903A5" w:rsidP="00B903A5">
      <w:pPr>
        <w:pStyle w:val="Heading2b"/>
        <w:numPr>
          <w:ilvl w:val="1"/>
          <w:numId w:val="11"/>
        </w:numPr>
      </w:pPr>
      <w:bookmarkStart w:id="1511" w:name="_Toc341700589"/>
      <w:bookmarkStart w:id="1512" w:name="_Toc482021456"/>
      <w:bookmarkStart w:id="1513" w:name="_Toc482024547"/>
      <w:bookmarkStart w:id="1514" w:name="_Toc487011316"/>
      <w:bookmarkStart w:id="1515" w:name="_Toc493663211"/>
      <w:bookmarkStart w:id="1516" w:name="_Toc494449818"/>
      <w:r w:rsidRPr="005B0796">
        <w:t>Statistical analysis</w:t>
      </w:r>
      <w:bookmarkEnd w:id="1511"/>
      <w:bookmarkEnd w:id="1512"/>
      <w:bookmarkEnd w:id="1513"/>
      <w:bookmarkEnd w:id="1514"/>
      <w:bookmarkEnd w:id="1515"/>
      <w:bookmarkEnd w:id="1516"/>
    </w:p>
    <w:p w14:paraId="0C161AA2" w14:textId="77777777" w:rsidR="00B903A5" w:rsidRPr="005B0796" w:rsidRDefault="00B903A5" w:rsidP="00B903A5">
      <w:pPr>
        <w:rPr>
          <w:rFonts w:eastAsia="MS Mincho"/>
        </w:rPr>
      </w:pPr>
      <w:r w:rsidRPr="005B0796">
        <w:t>Analyses were conducted in Stata version 13.1 or SAS version 9.2. All analyses were conducted using weighted estimates of totals, means and proportions, except where specified otherwise. Standard errors were estimated using linearisation, except where specified otherwise.</w:t>
      </w:r>
    </w:p>
    <w:p w14:paraId="47086EA6" w14:textId="77777777" w:rsidR="00B903A5" w:rsidRPr="005B0796" w:rsidRDefault="00B903A5" w:rsidP="00B903A5">
      <w:pPr>
        <w:rPr>
          <w:rFonts w:eastAsia="Times New Roman"/>
        </w:rPr>
      </w:pPr>
      <w:r w:rsidRPr="005B0796">
        <w:t xml:space="preserve">Subgroup analyses were conducted on each of the 12-month ICD-10 mental disorders using demographic and deployment history predictors, including sex (male, female), age (18–27, 28–37, 38–47, 48–57, 58+), 2015 Regular ADF service or service at transition (Navy, Army, Air Force), 2015 Regular ADF rank or rank on transition (Officer, Non-Commissioned Officer, Other Ranks), years of service in the Regular ADF (&lt; 3 months, 3 months – 3.9 years, 4–7.9 years, 8–11.9 years, 12–15.9 years, 16–19.9 years, 20+ years), deployment status (ever deployed, never deployed). </w:t>
      </w:r>
      <w:r w:rsidRPr="005B0796">
        <w:rPr>
          <w:rFonts w:eastAsia="Times New Roman"/>
        </w:rPr>
        <w:t>For members of the Transitioned ADF, specific transition factors were included: transition status (Ex-Serving, Inactive Reservist, Active Reservist), reason for discharge (medical discharge, other reason), years since transition (0, 1, 2, 3, 4, 5) and DVA client status (DVA client, not a DVA client).</w:t>
      </w:r>
    </w:p>
    <w:p w14:paraId="2989C02E" w14:textId="77777777" w:rsidR="00B903A5" w:rsidRPr="005B0796" w:rsidRDefault="00B903A5" w:rsidP="00B903A5">
      <w:r w:rsidRPr="005B0796">
        <w:t xml:space="preserve">Comparisons between the prevalence of 12-month ICD-10 disorders among subgroups were analysed using weighted logistic regressions. All regressions involved variables for age, sex, </w:t>
      </w:r>
      <w:r>
        <w:t>s</w:t>
      </w:r>
      <w:r w:rsidRPr="005B0796">
        <w:t xml:space="preserve">ervice and rank. Comparisons between the prevalence of 12-month ICD-10 disorder classes (affective disorders, anxiety disorders, alcohol disorders) among subgroups were analysed using a weighted multinomial logistic regression, with number of disorder classes as the outcome. The regression involved the co-variates </w:t>
      </w:r>
      <w:r>
        <w:t xml:space="preserve">of </w:t>
      </w:r>
      <w:r w:rsidRPr="005B0796">
        <w:t xml:space="preserve">age, sex, </w:t>
      </w:r>
      <w:r>
        <w:t>s</w:t>
      </w:r>
      <w:r w:rsidRPr="005B0796">
        <w:t>ervice and rank. Comparisons between the prevalence of self-reported suicidal behaviour among subgroups were analysed using weighted logistic regressions. All regressions included the co</w:t>
      </w:r>
      <w:r w:rsidRPr="005B0796">
        <w:noBreakHyphen/>
        <w:t xml:space="preserve">variates </w:t>
      </w:r>
      <w:r>
        <w:t xml:space="preserve">of </w:t>
      </w:r>
      <w:r w:rsidRPr="005B0796">
        <w:t xml:space="preserve">age, sex, </w:t>
      </w:r>
      <w:r>
        <w:t>s</w:t>
      </w:r>
      <w:r w:rsidRPr="005B0796">
        <w:t>ervice and rank.</w:t>
      </w:r>
    </w:p>
    <w:p w14:paraId="249E7171" w14:textId="77777777" w:rsidR="00B903A5" w:rsidRPr="005B0796" w:rsidRDefault="00B903A5" w:rsidP="00B903A5">
      <w:r w:rsidRPr="005B0796">
        <w:t xml:space="preserve">For the self-report measures, the proportion (n </w:t>
      </w:r>
      <w:r>
        <w:t>[</w:t>
      </w:r>
      <w:r w:rsidRPr="005B0796">
        <w:t>%</w:t>
      </w:r>
      <w:r>
        <w:t>]</w:t>
      </w:r>
      <w:r w:rsidRPr="005B0796">
        <w:t xml:space="preserve">) of ADF members in each subgroup is presented. Comparisons between the mean total scores among subgroups were also analysed where appropriate, using weighted multiple linear regressions. All regressions included the co-variates </w:t>
      </w:r>
      <w:r>
        <w:t xml:space="preserve">of </w:t>
      </w:r>
      <w:r w:rsidRPr="005B0796">
        <w:t xml:space="preserve">age, sex, </w:t>
      </w:r>
      <w:r>
        <w:t>s</w:t>
      </w:r>
      <w:r w:rsidRPr="005B0796">
        <w:t xml:space="preserve">ervice and rank. Comparisons between the prevalence of self-reported alcohol consumption and problems with drinking were analysed using weighted logistic regressions. A proportional odds model was considered for analysis. However, the main assumption of this approach was violated, so the ordinal response was dichotomised by means of several cut-offs. All regressions included the co-variates </w:t>
      </w:r>
      <w:r>
        <w:t xml:space="preserve">of </w:t>
      </w:r>
      <w:r w:rsidRPr="005B0796">
        <w:t xml:space="preserve">age, sex, </w:t>
      </w:r>
      <w:r>
        <w:t>s</w:t>
      </w:r>
      <w:r w:rsidRPr="005B0796">
        <w:t>ervice and rank.</w:t>
      </w:r>
    </w:p>
    <w:p w14:paraId="6D72AF86" w14:textId="77777777" w:rsidR="00B903A5" w:rsidRPr="005B0796" w:rsidRDefault="00B903A5" w:rsidP="00B903A5">
      <w:r w:rsidRPr="005B0796">
        <w:t>To compare the mental health and wellbeing of the 2015 Regular ADF with the 2010 Regular ADF, a direct numerical comparison was performed. This did not include standardisation or tests of statistical significance. As these two samples cannot be considered independent, between</w:t>
      </w:r>
      <w:r>
        <w:t>-</w:t>
      </w:r>
      <w:r w:rsidRPr="005B0796">
        <w:t>group differences should be interpreted with caution, noting that some members of the 2015 Regular ADF sample were also represented in the 2010 Regular ADF sample. The issue of individual change in symptoms and disorder over time in this group will be addressed in the future longitudinal report.</w:t>
      </w:r>
    </w:p>
    <w:p w14:paraId="63C49FB7" w14:textId="77777777" w:rsidR="00B903A5" w:rsidRPr="005B0796" w:rsidRDefault="00B903A5" w:rsidP="00B903A5">
      <w:r w:rsidRPr="005B0796">
        <w:t xml:space="preserve">To compare estimates in the Transitioned ADF with </w:t>
      </w:r>
      <w:r>
        <w:t xml:space="preserve">estimates for </w:t>
      </w:r>
      <w:r w:rsidRPr="005B0796">
        <w:t xml:space="preserve">the Australian </w:t>
      </w:r>
      <w:r>
        <w:t>c</w:t>
      </w:r>
      <w:r w:rsidRPr="005B0796">
        <w:t>ommunity, direct standardisation was applied to estimates in the 2014–15 NHS. The NHS data were restricted to those aged 18–71 (consistent with the Transition and Wellbeing Research Programme transition population). The data were standardised by sex, employment status (employed or not) and age category (18–27, 28–37, 38–47, 48–57 and 58+). Standard errors for the NHS data were estimated using the replication weights provided in the NHS data file.</w:t>
      </w:r>
    </w:p>
    <w:p w14:paraId="09300906" w14:textId="77777777" w:rsidR="00B903A5" w:rsidRPr="005B0796" w:rsidRDefault="00B903A5" w:rsidP="00B903A5">
      <w:pPr>
        <w:pStyle w:val="Heading2b"/>
        <w:numPr>
          <w:ilvl w:val="1"/>
          <w:numId w:val="11"/>
        </w:numPr>
      </w:pPr>
      <w:bookmarkStart w:id="1517" w:name="_Toc341700590"/>
      <w:bookmarkStart w:id="1518" w:name="_Toc482021457"/>
      <w:bookmarkStart w:id="1519" w:name="_Toc482024548"/>
      <w:bookmarkStart w:id="1520" w:name="_Toc487011317"/>
      <w:bookmarkStart w:id="1521" w:name="_Toc493663212"/>
      <w:bookmarkStart w:id="1522" w:name="_Toc494449819"/>
      <w:r w:rsidRPr="005B0796">
        <w:t>Ethical considerations</w:t>
      </w:r>
      <w:bookmarkEnd w:id="1517"/>
      <w:bookmarkEnd w:id="1518"/>
      <w:bookmarkEnd w:id="1519"/>
      <w:bookmarkEnd w:id="1520"/>
      <w:bookmarkEnd w:id="1521"/>
      <w:bookmarkEnd w:id="1522"/>
    </w:p>
    <w:p w14:paraId="12D6E0FB" w14:textId="77777777" w:rsidR="00B903A5" w:rsidRPr="005B0796" w:rsidRDefault="00B903A5" w:rsidP="00B903A5">
      <w:r w:rsidRPr="005B0796">
        <w:t xml:space="preserve">In order to combat potential risks and ensure that participation in the study was completely free from coercion, participants were made explicitly aware that their involvement in the study was voluntary and that they could decline to participate and/or were free to withdraw from the project at any time. This was emphasised in all study materials. Secondly, whether or not an individual chose to participate in the study was not communicated to senior staff in the ADF, nor were members asked directly to participate in the study by a uniformed </w:t>
      </w:r>
      <w:r>
        <w:t>o</w:t>
      </w:r>
      <w:r w:rsidRPr="005B0796">
        <w:t xml:space="preserve">fficer. This also ensured that recruitment was free from coercion. </w:t>
      </w:r>
    </w:p>
    <w:p w14:paraId="5881C0B1" w14:textId="77777777" w:rsidR="00B903A5" w:rsidRPr="005B0796" w:rsidRDefault="00B903A5" w:rsidP="00B903A5">
      <w:pPr>
        <w:rPr>
          <w:rFonts w:cs="Arial"/>
        </w:rPr>
      </w:pPr>
      <w:r w:rsidRPr="005B0796">
        <w:t xml:space="preserve">In order to manage potential risks to participants in relation to both phase 1 and phase 2 of the research, a </w:t>
      </w:r>
      <w:r w:rsidRPr="005B0796">
        <w:rPr>
          <w:rFonts w:cs="Arial"/>
        </w:rPr>
        <w:t>duty</w:t>
      </w:r>
      <w:r>
        <w:rPr>
          <w:rFonts w:cs="Arial"/>
        </w:rPr>
        <w:t>-</w:t>
      </w:r>
      <w:r w:rsidRPr="005B0796">
        <w:rPr>
          <w:rFonts w:cs="Arial"/>
        </w:rPr>
        <w:t>of</w:t>
      </w:r>
      <w:r>
        <w:rPr>
          <w:rFonts w:cs="Arial"/>
        </w:rPr>
        <w:t>-</w:t>
      </w:r>
      <w:r w:rsidRPr="005B0796">
        <w:rPr>
          <w:rFonts w:cs="Arial"/>
        </w:rPr>
        <w:t>care protocol was established and strictly adhered to by the research team.</w:t>
      </w:r>
    </w:p>
    <w:p w14:paraId="04CA3965" w14:textId="77777777" w:rsidR="00B903A5" w:rsidRPr="005B0796" w:rsidRDefault="00B903A5" w:rsidP="00B903A5">
      <w:pPr>
        <w:pStyle w:val="Heading2b"/>
        <w:numPr>
          <w:ilvl w:val="1"/>
          <w:numId w:val="11"/>
        </w:numPr>
      </w:pPr>
      <w:bookmarkStart w:id="1523" w:name="_Toc341700591"/>
      <w:bookmarkStart w:id="1524" w:name="_Toc482021458"/>
      <w:bookmarkStart w:id="1525" w:name="_Toc482024549"/>
      <w:bookmarkStart w:id="1526" w:name="_Toc487011318"/>
      <w:bookmarkStart w:id="1527" w:name="_Toc493663213"/>
      <w:bookmarkStart w:id="1528" w:name="_Toc494449820"/>
      <w:r w:rsidRPr="005B0796">
        <w:t>Ethical approvals</w:t>
      </w:r>
      <w:bookmarkEnd w:id="1510"/>
      <w:bookmarkEnd w:id="1523"/>
      <w:bookmarkEnd w:id="1524"/>
      <w:bookmarkEnd w:id="1525"/>
      <w:bookmarkEnd w:id="1526"/>
      <w:bookmarkEnd w:id="1527"/>
      <w:bookmarkEnd w:id="1528"/>
    </w:p>
    <w:p w14:paraId="5D088B2A" w14:textId="77777777" w:rsidR="00B903A5" w:rsidRPr="005B0796" w:rsidRDefault="00B903A5" w:rsidP="00B903A5">
      <w:r w:rsidRPr="005B0796">
        <w:t>The study protocol was approved by the DVA Human Research Ethics Committee (E014/018) and was mutually recognised by the Directorate, Defence Health Research, and the University of Adelaide Human Research Ethics Committee. The study protocol was also submitted to Australian Institute of Health and Welfare Ethics Committee and received approval accordingly (EO 2015/1/163).</w:t>
      </w:r>
      <w:bookmarkStart w:id="1529" w:name="_Toc341700592"/>
    </w:p>
    <w:bookmarkEnd w:id="1529"/>
    <w:p w14:paraId="2BCFC24B" w14:textId="77777777" w:rsidR="002A7F4E" w:rsidRDefault="002A7F4E" w:rsidP="002A7F4E"/>
    <w:p w14:paraId="5C5D90A2" w14:textId="77777777" w:rsidR="00B903A5" w:rsidRDefault="00B903A5" w:rsidP="002A7F4E">
      <w:pPr>
        <w:sectPr w:rsidR="00B903A5" w:rsidSect="002A7F4E">
          <w:footerReference w:type="even" r:id="rId172"/>
          <w:footerReference w:type="default" r:id="rId173"/>
          <w:pgSz w:w="9979" w:h="14170" w:code="243"/>
          <w:pgMar w:top="1440" w:right="1152" w:bottom="1440" w:left="1728" w:header="576" w:footer="576" w:gutter="0"/>
          <w:cols w:space="708"/>
          <w:docGrid w:linePitch="360"/>
        </w:sectPr>
      </w:pPr>
    </w:p>
    <w:p w14:paraId="0C828B72" w14:textId="77777777" w:rsidR="00F67F7D" w:rsidRDefault="00F67F7D" w:rsidP="00F67F7D">
      <w:pPr>
        <w:pStyle w:val="Heading1b"/>
        <w:numPr>
          <w:ilvl w:val="0"/>
          <w:numId w:val="11"/>
        </w:numPr>
      </w:pPr>
      <w:bookmarkStart w:id="1530" w:name="_Toc528932769"/>
      <w:bookmarkStart w:id="1531" w:name="_Toc494449821"/>
      <w:bookmarkStart w:id="1532" w:name="_Ref518555043"/>
      <w:bookmarkStart w:id="1533" w:name="_Ref518555115"/>
      <w:bookmarkStart w:id="1534" w:name="_Ref518555126"/>
      <w:bookmarkStart w:id="1535" w:name="_Ref518555134"/>
      <w:bookmarkStart w:id="1536" w:name="_Ref518555142"/>
      <w:bookmarkStart w:id="1537" w:name="_Ref518556321"/>
      <w:bookmarkStart w:id="1538" w:name="_Ref518556325"/>
      <w:bookmarkStart w:id="1539" w:name="_Ref518556329"/>
      <w:bookmarkStart w:id="1540" w:name="_Toc518566491"/>
      <w:bookmarkStart w:id="1541" w:name="_Toc531859306"/>
      <w:r>
        <w:t>Odds ratio</w:t>
      </w:r>
      <w:r w:rsidRPr="005B0796">
        <w:t xml:space="preserve"> table</w:t>
      </w:r>
      <w:bookmarkEnd w:id="1530"/>
      <w:r w:rsidRPr="005B0796">
        <w:t>s</w:t>
      </w:r>
      <w:bookmarkEnd w:id="1531"/>
      <w:bookmarkEnd w:id="1532"/>
      <w:bookmarkEnd w:id="1533"/>
      <w:bookmarkEnd w:id="1534"/>
      <w:bookmarkEnd w:id="1535"/>
      <w:bookmarkEnd w:id="1536"/>
      <w:bookmarkEnd w:id="1537"/>
      <w:bookmarkEnd w:id="1538"/>
      <w:bookmarkEnd w:id="1539"/>
      <w:bookmarkEnd w:id="1540"/>
      <w:bookmarkEnd w:id="1541"/>
    </w:p>
    <w:p w14:paraId="072C39CF" w14:textId="77777777" w:rsidR="00F67F7D" w:rsidRPr="004B75CA" w:rsidRDefault="00F67F7D" w:rsidP="009919A9">
      <w:pPr>
        <w:pStyle w:val="TableName"/>
      </w:pPr>
      <w:bookmarkStart w:id="1542" w:name="_Toc528932387"/>
      <w:bookmarkStart w:id="1543" w:name="_Toc531858066"/>
      <w:r>
        <w:t>Table B.</w:t>
      </w:r>
      <w:r>
        <w:rPr>
          <w:noProof/>
        </w:rPr>
        <w:t>1</w:t>
      </w:r>
      <w:r>
        <w:tab/>
      </w:r>
      <w:r w:rsidRPr="00DF495E">
        <w:t xml:space="preserve">Odds </w:t>
      </w:r>
      <w:r>
        <w:t>r</w:t>
      </w:r>
      <w:r w:rsidRPr="00DF495E">
        <w:t>atios for comparisons of Transitioned vs 2015 Regular ADF and DVA client vs Non-DVA client (stratified by Transitioned and 2015 Regular ADF)</w:t>
      </w:r>
      <w:bookmarkEnd w:id="1542"/>
      <w:bookmarkEnd w:id="15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Description w:val="Table B.1 Odds ratios for comparisons of Transitioned vs 2015 Regular ADF and DVA client vs Non-DVA client (stratified by Transitioned and 2015 Regular ADF)"/>
      </w:tblPr>
      <w:tblGrid>
        <w:gridCol w:w="838"/>
        <w:gridCol w:w="2097"/>
        <w:gridCol w:w="3300"/>
        <w:gridCol w:w="1043"/>
        <w:gridCol w:w="3024"/>
        <w:gridCol w:w="988"/>
      </w:tblGrid>
      <w:tr w:rsidR="00F67F7D" w:rsidRPr="00B8345C" w14:paraId="713E7190" w14:textId="77777777" w:rsidTr="00466837">
        <w:trPr>
          <w:cantSplit/>
          <w:tblHeader/>
        </w:trPr>
        <w:tc>
          <w:tcPr>
            <w:tcW w:w="852" w:type="dxa"/>
            <w:tcBorders>
              <w:top w:val="single" w:sz="12" w:space="0" w:color="auto"/>
              <w:left w:val="nil"/>
            </w:tcBorders>
            <w:shd w:val="clear" w:color="auto" w:fill="auto"/>
            <w:vAlign w:val="bottom"/>
          </w:tcPr>
          <w:p w14:paraId="46B25FD0" w14:textId="77777777" w:rsidR="00F67F7D" w:rsidRPr="00B8345C" w:rsidRDefault="00F67F7D" w:rsidP="009919A9">
            <w:pPr>
              <w:pStyle w:val="TableText"/>
              <w:keepNext w:val="0"/>
              <w:rPr>
                <w:b/>
                <w:szCs w:val="14"/>
              </w:rPr>
            </w:pPr>
            <w:r w:rsidRPr="00B8345C">
              <w:rPr>
                <w:b/>
                <w:szCs w:val="14"/>
              </w:rPr>
              <w:t>Results Table</w:t>
            </w:r>
          </w:p>
        </w:tc>
        <w:tc>
          <w:tcPr>
            <w:tcW w:w="2140" w:type="dxa"/>
            <w:tcBorders>
              <w:top w:val="single" w:sz="12" w:space="0" w:color="auto"/>
            </w:tcBorders>
            <w:shd w:val="clear" w:color="auto" w:fill="auto"/>
            <w:vAlign w:val="bottom"/>
          </w:tcPr>
          <w:p w14:paraId="44128F72" w14:textId="77777777" w:rsidR="00F67F7D" w:rsidRPr="00B8345C" w:rsidRDefault="00F67F7D" w:rsidP="009919A9">
            <w:pPr>
              <w:pStyle w:val="TableText"/>
              <w:keepNext w:val="0"/>
              <w:rPr>
                <w:b/>
                <w:szCs w:val="14"/>
              </w:rPr>
            </w:pPr>
            <w:r w:rsidRPr="00B8345C">
              <w:rPr>
                <w:b/>
                <w:szCs w:val="14"/>
              </w:rPr>
              <w:t>Outcome (comparison)</w:t>
            </w:r>
          </w:p>
        </w:tc>
        <w:tc>
          <w:tcPr>
            <w:tcW w:w="3372" w:type="dxa"/>
            <w:tcBorders>
              <w:top w:val="single" w:sz="12" w:space="0" w:color="auto"/>
            </w:tcBorders>
            <w:shd w:val="clear" w:color="auto" w:fill="auto"/>
            <w:vAlign w:val="bottom"/>
          </w:tcPr>
          <w:p w14:paraId="1715DCF0" w14:textId="77777777" w:rsidR="00F67F7D" w:rsidRPr="00B8345C" w:rsidRDefault="00F67F7D" w:rsidP="009919A9">
            <w:pPr>
              <w:pStyle w:val="TableText"/>
              <w:keepNext w:val="0"/>
              <w:rPr>
                <w:b/>
                <w:szCs w:val="14"/>
              </w:rPr>
            </w:pPr>
            <w:r w:rsidRPr="00B8345C">
              <w:rPr>
                <w:b/>
                <w:szCs w:val="14"/>
              </w:rPr>
              <w:t>Cohort (comparison)</w:t>
            </w:r>
          </w:p>
        </w:tc>
        <w:tc>
          <w:tcPr>
            <w:tcW w:w="1062" w:type="dxa"/>
            <w:tcBorders>
              <w:top w:val="single" w:sz="12" w:space="0" w:color="auto"/>
            </w:tcBorders>
            <w:shd w:val="clear" w:color="auto" w:fill="auto"/>
            <w:vAlign w:val="bottom"/>
          </w:tcPr>
          <w:p w14:paraId="3CC99278" w14:textId="77777777" w:rsidR="00F67F7D" w:rsidRPr="00B8345C" w:rsidRDefault="00F67F7D" w:rsidP="009919A9">
            <w:pPr>
              <w:pStyle w:val="TableText"/>
              <w:keepNext w:val="0"/>
              <w:rPr>
                <w:b/>
                <w:szCs w:val="14"/>
              </w:rPr>
            </w:pPr>
            <w:r w:rsidRPr="00B8345C">
              <w:rPr>
                <w:b/>
                <w:szCs w:val="14"/>
              </w:rPr>
              <w:t xml:space="preserve">Adjusted OR </w:t>
            </w:r>
            <w:r w:rsidR="009919A9">
              <w:rPr>
                <w:b/>
                <w:szCs w:val="14"/>
              </w:rPr>
              <w:br/>
            </w:r>
            <w:r w:rsidRPr="00B8345C">
              <w:rPr>
                <w:b/>
                <w:szCs w:val="14"/>
              </w:rPr>
              <w:t>(95% CI)</w:t>
            </w:r>
          </w:p>
        </w:tc>
        <w:tc>
          <w:tcPr>
            <w:tcW w:w="3089" w:type="dxa"/>
            <w:tcBorders>
              <w:top w:val="single" w:sz="12" w:space="0" w:color="auto"/>
            </w:tcBorders>
            <w:shd w:val="clear" w:color="auto" w:fill="auto"/>
            <w:vAlign w:val="bottom"/>
          </w:tcPr>
          <w:p w14:paraId="1C04D0AD" w14:textId="77777777" w:rsidR="00F67F7D" w:rsidRPr="00B8345C" w:rsidRDefault="00F67F7D" w:rsidP="009919A9">
            <w:pPr>
              <w:pStyle w:val="TableText"/>
              <w:keepNext w:val="0"/>
              <w:rPr>
                <w:b/>
                <w:szCs w:val="14"/>
              </w:rPr>
            </w:pPr>
            <w:r w:rsidRPr="00B8345C">
              <w:rPr>
                <w:b/>
                <w:szCs w:val="14"/>
              </w:rPr>
              <w:t xml:space="preserve">Interpretation </w:t>
            </w:r>
          </w:p>
        </w:tc>
        <w:tc>
          <w:tcPr>
            <w:tcW w:w="1005" w:type="dxa"/>
            <w:tcBorders>
              <w:top w:val="single" w:sz="12" w:space="0" w:color="auto"/>
              <w:right w:val="nil"/>
            </w:tcBorders>
            <w:shd w:val="clear" w:color="auto" w:fill="auto"/>
            <w:vAlign w:val="bottom"/>
          </w:tcPr>
          <w:p w14:paraId="7FC63078" w14:textId="77777777" w:rsidR="00F67F7D" w:rsidRPr="00B8345C" w:rsidRDefault="00F67F7D" w:rsidP="009919A9">
            <w:pPr>
              <w:pStyle w:val="TableText"/>
              <w:keepNext w:val="0"/>
              <w:rPr>
                <w:b/>
                <w:szCs w:val="14"/>
              </w:rPr>
            </w:pPr>
            <w:r w:rsidRPr="00B8345C">
              <w:rPr>
                <w:b/>
                <w:szCs w:val="14"/>
              </w:rPr>
              <w:t>Strength of association</w:t>
            </w:r>
          </w:p>
        </w:tc>
      </w:tr>
      <w:tr w:rsidR="00F67F7D" w:rsidRPr="00B8345C" w14:paraId="69CEA5B3" w14:textId="77777777" w:rsidTr="00466837">
        <w:trPr>
          <w:cantSplit/>
        </w:trPr>
        <w:tc>
          <w:tcPr>
            <w:tcW w:w="11520" w:type="dxa"/>
            <w:gridSpan w:val="6"/>
            <w:tcBorders>
              <w:left w:val="nil"/>
              <w:right w:val="nil"/>
            </w:tcBorders>
            <w:shd w:val="clear" w:color="auto" w:fill="auto"/>
          </w:tcPr>
          <w:p w14:paraId="039798D4" w14:textId="77777777" w:rsidR="00F67F7D" w:rsidRPr="00B8345C" w:rsidRDefault="00F67F7D" w:rsidP="00594252">
            <w:pPr>
              <w:pStyle w:val="TableText"/>
              <w:keepNext w:val="0"/>
              <w:rPr>
                <w:b/>
                <w:szCs w:val="14"/>
              </w:rPr>
            </w:pPr>
            <w:r w:rsidRPr="00B8345C">
              <w:rPr>
                <w:b/>
                <w:szCs w:val="14"/>
              </w:rPr>
              <w:t xml:space="preserve">4. </w:t>
            </w:r>
            <w:r>
              <w:rPr>
                <w:b/>
                <w:szCs w:val="14"/>
              </w:rPr>
              <w:t>INTERNET</w:t>
            </w:r>
            <w:r w:rsidRPr="00B8345C">
              <w:rPr>
                <w:b/>
                <w:szCs w:val="14"/>
              </w:rPr>
              <w:t xml:space="preserve"> USE AND ATTITUDES TO USING THE </w:t>
            </w:r>
            <w:r>
              <w:rPr>
                <w:b/>
                <w:szCs w:val="14"/>
              </w:rPr>
              <w:t>INTERNET</w:t>
            </w:r>
            <w:r w:rsidRPr="00B8345C">
              <w:rPr>
                <w:b/>
                <w:szCs w:val="14"/>
              </w:rPr>
              <w:t xml:space="preserve"> IN TRANSITIONED AND 2015 REGULAR ADF</w:t>
            </w:r>
          </w:p>
        </w:tc>
      </w:tr>
      <w:tr w:rsidR="00F67F7D" w:rsidRPr="00B8345C" w14:paraId="048A44D2" w14:textId="77777777" w:rsidTr="00466837">
        <w:trPr>
          <w:cantSplit/>
        </w:trPr>
        <w:tc>
          <w:tcPr>
            <w:tcW w:w="852" w:type="dxa"/>
            <w:tcBorders>
              <w:left w:val="nil"/>
            </w:tcBorders>
            <w:shd w:val="clear" w:color="auto" w:fill="auto"/>
          </w:tcPr>
          <w:p w14:paraId="37B7B612" w14:textId="77777777" w:rsidR="00F67F7D" w:rsidRPr="00B8345C" w:rsidRDefault="00F67F7D" w:rsidP="00594252">
            <w:pPr>
              <w:pStyle w:val="TableText"/>
              <w:keepNext w:val="0"/>
              <w:rPr>
                <w:szCs w:val="14"/>
              </w:rPr>
            </w:pPr>
            <w:r w:rsidRPr="0033333B">
              <w:rPr>
                <w:szCs w:val="14"/>
              </w:rPr>
              <w:t xml:space="preserve">Table </w:t>
            </w:r>
            <w:r w:rsidRPr="002F76B1">
              <w:rPr>
                <w:szCs w:val="14"/>
              </w:rPr>
              <w:t>4</w:t>
            </w:r>
            <w:r w:rsidRPr="0033333B">
              <w:rPr>
                <w:szCs w:val="14"/>
              </w:rPr>
              <w:t>.</w:t>
            </w:r>
            <w:r w:rsidRPr="002F76B1">
              <w:rPr>
                <w:szCs w:val="14"/>
              </w:rPr>
              <w:t>4</w:t>
            </w:r>
          </w:p>
        </w:tc>
        <w:tc>
          <w:tcPr>
            <w:tcW w:w="2140" w:type="dxa"/>
            <w:shd w:val="clear" w:color="auto" w:fill="auto"/>
          </w:tcPr>
          <w:p w14:paraId="1DD0958D" w14:textId="77777777" w:rsidR="00F67F7D" w:rsidRPr="00B8345C" w:rsidRDefault="001F3926" w:rsidP="00594252">
            <w:pPr>
              <w:pStyle w:val="TableText"/>
              <w:keepNext w:val="0"/>
              <w:rPr>
                <w:szCs w:val="14"/>
              </w:rPr>
            </w:pPr>
            <w:r>
              <w:rPr>
                <w:szCs w:val="14"/>
              </w:rPr>
              <w:t>Internet</w:t>
            </w:r>
            <w:r w:rsidRPr="00B8345C">
              <w:rPr>
                <w:szCs w:val="14"/>
              </w:rPr>
              <w:t xml:space="preserve"> </w:t>
            </w:r>
            <w:r w:rsidR="00F67F7D" w:rsidRPr="00B8345C">
              <w:rPr>
                <w:szCs w:val="14"/>
              </w:rPr>
              <w:t xml:space="preserve">usage after </w:t>
            </w:r>
            <w:r w:rsidR="00F67F7D">
              <w:rPr>
                <w:szCs w:val="14"/>
              </w:rPr>
              <w:t>11 pm</w:t>
            </w:r>
          </w:p>
        </w:tc>
        <w:tc>
          <w:tcPr>
            <w:tcW w:w="3372" w:type="dxa"/>
            <w:shd w:val="clear" w:color="auto" w:fill="auto"/>
          </w:tcPr>
          <w:p w14:paraId="660600DC"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0F5BF26F" w14:textId="77777777" w:rsidR="00F67F7D" w:rsidRPr="00B8345C" w:rsidRDefault="00F67F7D" w:rsidP="00594252">
            <w:pPr>
              <w:pStyle w:val="TableText"/>
              <w:keepNext w:val="0"/>
              <w:rPr>
                <w:szCs w:val="14"/>
              </w:rPr>
            </w:pPr>
            <w:r w:rsidRPr="00B8345C">
              <w:rPr>
                <w:szCs w:val="14"/>
              </w:rPr>
              <w:t>1.45 (1.11</w:t>
            </w:r>
            <w:r w:rsidR="009919A9">
              <w:rPr>
                <w:szCs w:val="14"/>
              </w:rPr>
              <w:t>, </w:t>
            </w:r>
            <w:r w:rsidRPr="00B8345C">
              <w:rPr>
                <w:szCs w:val="14"/>
              </w:rPr>
              <w:t>1.90)</w:t>
            </w:r>
          </w:p>
        </w:tc>
        <w:tc>
          <w:tcPr>
            <w:tcW w:w="3089" w:type="dxa"/>
            <w:shd w:val="clear" w:color="auto" w:fill="auto"/>
          </w:tcPr>
          <w:p w14:paraId="55703F20" w14:textId="77777777" w:rsidR="00F67F7D" w:rsidRPr="00B8345C" w:rsidRDefault="00F67F7D" w:rsidP="00594252">
            <w:pPr>
              <w:pStyle w:val="TableText"/>
              <w:keepNext w:val="0"/>
              <w:rPr>
                <w:szCs w:val="14"/>
              </w:rPr>
            </w:pPr>
            <w:r w:rsidRPr="00B8345C">
              <w:rPr>
                <w:szCs w:val="14"/>
              </w:rPr>
              <w:t xml:space="preserve">Transitioned ADF were 45% more likely to use the </w:t>
            </w:r>
            <w:r>
              <w:rPr>
                <w:szCs w:val="14"/>
              </w:rPr>
              <w:t>internet</w:t>
            </w:r>
            <w:r w:rsidRPr="00B8345C">
              <w:rPr>
                <w:szCs w:val="14"/>
              </w:rPr>
              <w:t xml:space="preserve"> after </w:t>
            </w:r>
            <w:r>
              <w:rPr>
                <w:szCs w:val="14"/>
              </w:rPr>
              <w:t>11 pm</w:t>
            </w:r>
          </w:p>
        </w:tc>
        <w:tc>
          <w:tcPr>
            <w:tcW w:w="1005" w:type="dxa"/>
            <w:tcBorders>
              <w:right w:val="nil"/>
            </w:tcBorders>
            <w:shd w:val="clear" w:color="auto" w:fill="auto"/>
          </w:tcPr>
          <w:p w14:paraId="4E328E4F" w14:textId="77777777" w:rsidR="00F67F7D" w:rsidRPr="00B8345C" w:rsidRDefault="00F67F7D" w:rsidP="00594252">
            <w:pPr>
              <w:pStyle w:val="TableText"/>
              <w:keepNext w:val="0"/>
              <w:rPr>
                <w:szCs w:val="14"/>
              </w:rPr>
            </w:pPr>
            <w:r w:rsidRPr="00B8345C">
              <w:rPr>
                <w:szCs w:val="14"/>
              </w:rPr>
              <w:t>Weak</w:t>
            </w:r>
          </w:p>
        </w:tc>
      </w:tr>
      <w:tr w:rsidR="00F67F7D" w:rsidRPr="00B8345C" w14:paraId="05A40380" w14:textId="77777777" w:rsidTr="00466837">
        <w:trPr>
          <w:cantSplit/>
        </w:trPr>
        <w:tc>
          <w:tcPr>
            <w:tcW w:w="852" w:type="dxa"/>
            <w:tcBorders>
              <w:left w:val="nil"/>
            </w:tcBorders>
            <w:shd w:val="clear" w:color="auto" w:fill="auto"/>
          </w:tcPr>
          <w:p w14:paraId="477ED0C7" w14:textId="77777777" w:rsidR="00F67F7D" w:rsidRPr="00B8345C" w:rsidRDefault="00F67F7D" w:rsidP="00594252">
            <w:pPr>
              <w:pStyle w:val="TableText"/>
              <w:keepNext w:val="0"/>
              <w:rPr>
                <w:szCs w:val="14"/>
              </w:rPr>
            </w:pPr>
            <w:r w:rsidRPr="0033333B">
              <w:rPr>
                <w:szCs w:val="14"/>
              </w:rPr>
              <w:t xml:space="preserve">Table </w:t>
            </w:r>
            <w:r w:rsidRPr="002F76B1">
              <w:rPr>
                <w:szCs w:val="14"/>
              </w:rPr>
              <w:t>4</w:t>
            </w:r>
            <w:r w:rsidRPr="0033333B">
              <w:rPr>
                <w:szCs w:val="14"/>
              </w:rPr>
              <w:t>.</w:t>
            </w:r>
            <w:r w:rsidRPr="002F76B1">
              <w:rPr>
                <w:szCs w:val="14"/>
              </w:rPr>
              <w:t>5</w:t>
            </w:r>
          </w:p>
        </w:tc>
        <w:tc>
          <w:tcPr>
            <w:tcW w:w="2140" w:type="dxa"/>
            <w:shd w:val="clear" w:color="auto" w:fill="auto"/>
          </w:tcPr>
          <w:p w14:paraId="671C4DBD" w14:textId="77777777" w:rsidR="00F67F7D" w:rsidRPr="00B8345C" w:rsidRDefault="00F67F7D" w:rsidP="00594252">
            <w:pPr>
              <w:pStyle w:val="TableText"/>
              <w:keepNext w:val="0"/>
              <w:rPr>
                <w:szCs w:val="14"/>
              </w:rPr>
            </w:pPr>
            <w:r w:rsidRPr="00B8345C">
              <w:rPr>
                <w:szCs w:val="14"/>
              </w:rPr>
              <w:t xml:space="preserve">Find it easier to be myself when online than when I am with people </w:t>
            </w:r>
            <w:r>
              <w:rPr>
                <w:szCs w:val="14"/>
              </w:rPr>
              <w:t>face to face</w:t>
            </w:r>
            <w:r w:rsidRPr="00B8345C">
              <w:rPr>
                <w:szCs w:val="14"/>
              </w:rPr>
              <w:t xml:space="preserve"> </w:t>
            </w:r>
          </w:p>
        </w:tc>
        <w:tc>
          <w:tcPr>
            <w:tcW w:w="3372" w:type="dxa"/>
            <w:shd w:val="clear" w:color="auto" w:fill="auto"/>
          </w:tcPr>
          <w:p w14:paraId="43DF37A2"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656611DF" w14:textId="77777777" w:rsidR="00F67F7D" w:rsidRPr="00B8345C" w:rsidRDefault="00F67F7D" w:rsidP="00594252">
            <w:pPr>
              <w:pStyle w:val="TableText"/>
              <w:keepNext w:val="0"/>
              <w:rPr>
                <w:szCs w:val="14"/>
              </w:rPr>
            </w:pPr>
            <w:r w:rsidRPr="00B8345C">
              <w:rPr>
                <w:szCs w:val="14"/>
              </w:rPr>
              <w:t>1.41 (1.05</w:t>
            </w:r>
            <w:r w:rsidR="009919A9">
              <w:rPr>
                <w:szCs w:val="14"/>
              </w:rPr>
              <w:t>, </w:t>
            </w:r>
            <w:r w:rsidRPr="00B8345C">
              <w:rPr>
                <w:szCs w:val="14"/>
              </w:rPr>
              <w:t>1.90)</w:t>
            </w:r>
          </w:p>
        </w:tc>
        <w:tc>
          <w:tcPr>
            <w:tcW w:w="3089" w:type="dxa"/>
            <w:shd w:val="clear" w:color="auto" w:fill="auto"/>
          </w:tcPr>
          <w:p w14:paraId="17C897EB" w14:textId="77777777" w:rsidR="00F67F7D" w:rsidRPr="00B8345C" w:rsidRDefault="00F67F7D" w:rsidP="00594252">
            <w:pPr>
              <w:pStyle w:val="TableText"/>
              <w:keepNext w:val="0"/>
              <w:rPr>
                <w:szCs w:val="14"/>
              </w:rPr>
            </w:pPr>
            <w:r w:rsidRPr="00B8345C">
              <w:rPr>
                <w:szCs w:val="14"/>
              </w:rPr>
              <w:t>Transitioned ADF were 41% more likely find it ‘easier to be themselves online’</w:t>
            </w:r>
          </w:p>
        </w:tc>
        <w:tc>
          <w:tcPr>
            <w:tcW w:w="1005" w:type="dxa"/>
            <w:tcBorders>
              <w:right w:val="nil"/>
            </w:tcBorders>
            <w:shd w:val="clear" w:color="auto" w:fill="auto"/>
          </w:tcPr>
          <w:p w14:paraId="0578C82C" w14:textId="77777777" w:rsidR="00F67F7D" w:rsidRPr="00B8345C" w:rsidRDefault="00F67F7D" w:rsidP="00594252">
            <w:pPr>
              <w:pStyle w:val="TableText"/>
              <w:keepNext w:val="0"/>
              <w:rPr>
                <w:szCs w:val="14"/>
              </w:rPr>
            </w:pPr>
            <w:r w:rsidRPr="00B8345C">
              <w:rPr>
                <w:szCs w:val="14"/>
              </w:rPr>
              <w:t>Weak</w:t>
            </w:r>
          </w:p>
        </w:tc>
      </w:tr>
      <w:tr w:rsidR="00F67F7D" w:rsidRPr="00B8345C" w14:paraId="30248E66" w14:textId="77777777" w:rsidTr="00466837">
        <w:trPr>
          <w:cantSplit/>
        </w:trPr>
        <w:tc>
          <w:tcPr>
            <w:tcW w:w="852" w:type="dxa"/>
            <w:tcBorders>
              <w:left w:val="nil"/>
            </w:tcBorders>
            <w:shd w:val="clear" w:color="auto" w:fill="auto"/>
          </w:tcPr>
          <w:p w14:paraId="0026EBDE" w14:textId="77777777" w:rsidR="00F67F7D" w:rsidRPr="00B8345C" w:rsidRDefault="00F67F7D" w:rsidP="00594252">
            <w:pPr>
              <w:pStyle w:val="TableText"/>
              <w:keepNext w:val="0"/>
              <w:rPr>
                <w:szCs w:val="14"/>
              </w:rPr>
            </w:pPr>
            <w:r w:rsidRPr="0033333B">
              <w:rPr>
                <w:szCs w:val="14"/>
              </w:rPr>
              <w:t xml:space="preserve">Table </w:t>
            </w:r>
            <w:r w:rsidRPr="002F76B1">
              <w:rPr>
                <w:szCs w:val="14"/>
              </w:rPr>
              <w:t>4</w:t>
            </w:r>
            <w:r w:rsidRPr="0033333B">
              <w:rPr>
                <w:szCs w:val="14"/>
              </w:rPr>
              <w:t>.</w:t>
            </w:r>
            <w:r w:rsidRPr="002F76B1">
              <w:rPr>
                <w:szCs w:val="14"/>
              </w:rPr>
              <w:t>6</w:t>
            </w:r>
          </w:p>
        </w:tc>
        <w:tc>
          <w:tcPr>
            <w:tcW w:w="2140" w:type="dxa"/>
            <w:shd w:val="clear" w:color="auto" w:fill="auto"/>
          </w:tcPr>
          <w:p w14:paraId="7033571F" w14:textId="77777777" w:rsidR="00F67F7D" w:rsidRPr="00B8345C" w:rsidRDefault="00F67F7D" w:rsidP="00594252">
            <w:pPr>
              <w:pStyle w:val="TableText"/>
              <w:keepNext w:val="0"/>
              <w:rPr>
                <w:szCs w:val="14"/>
              </w:rPr>
            </w:pPr>
            <w:r w:rsidRPr="00B8345C">
              <w:rPr>
                <w:szCs w:val="14"/>
              </w:rPr>
              <w:t xml:space="preserve">Talk about different things with people when online than I do when </w:t>
            </w:r>
            <w:r>
              <w:rPr>
                <w:szCs w:val="14"/>
              </w:rPr>
              <w:t>face to face</w:t>
            </w:r>
            <w:r w:rsidRPr="00B8345C">
              <w:rPr>
                <w:szCs w:val="14"/>
              </w:rPr>
              <w:t xml:space="preserve"> </w:t>
            </w:r>
          </w:p>
        </w:tc>
        <w:tc>
          <w:tcPr>
            <w:tcW w:w="3372" w:type="dxa"/>
            <w:shd w:val="clear" w:color="auto" w:fill="auto"/>
          </w:tcPr>
          <w:p w14:paraId="7CA2384C"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7656A362" w14:textId="77777777" w:rsidR="00F67F7D" w:rsidRPr="00B8345C" w:rsidRDefault="00F67F7D" w:rsidP="00594252">
            <w:pPr>
              <w:pStyle w:val="TableText"/>
              <w:keepNext w:val="0"/>
              <w:rPr>
                <w:szCs w:val="14"/>
              </w:rPr>
            </w:pPr>
            <w:r w:rsidRPr="00B8345C">
              <w:rPr>
                <w:szCs w:val="14"/>
              </w:rPr>
              <w:t>0.95 (0.70</w:t>
            </w:r>
            <w:r w:rsidR="009919A9">
              <w:rPr>
                <w:szCs w:val="14"/>
              </w:rPr>
              <w:t>, </w:t>
            </w:r>
            <w:r w:rsidRPr="00B8345C">
              <w:rPr>
                <w:szCs w:val="14"/>
              </w:rPr>
              <w:t>1.29)</w:t>
            </w:r>
          </w:p>
        </w:tc>
        <w:tc>
          <w:tcPr>
            <w:tcW w:w="3089" w:type="dxa"/>
            <w:shd w:val="clear" w:color="auto" w:fill="auto"/>
          </w:tcPr>
          <w:p w14:paraId="74C6D677"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B1E9AC8" w14:textId="77777777" w:rsidR="00F67F7D" w:rsidRPr="00B8345C" w:rsidRDefault="00F67F7D" w:rsidP="00594252">
            <w:pPr>
              <w:pStyle w:val="TableText"/>
              <w:keepNext w:val="0"/>
              <w:rPr>
                <w:szCs w:val="14"/>
              </w:rPr>
            </w:pPr>
            <w:r>
              <w:rPr>
                <w:szCs w:val="14"/>
              </w:rPr>
              <w:t>–</w:t>
            </w:r>
          </w:p>
        </w:tc>
      </w:tr>
      <w:tr w:rsidR="00F67F7D" w:rsidRPr="00B8345C" w14:paraId="09E1CA59" w14:textId="77777777" w:rsidTr="00466837">
        <w:trPr>
          <w:cantSplit/>
        </w:trPr>
        <w:tc>
          <w:tcPr>
            <w:tcW w:w="852" w:type="dxa"/>
            <w:tcBorders>
              <w:left w:val="nil"/>
            </w:tcBorders>
            <w:shd w:val="clear" w:color="auto" w:fill="auto"/>
          </w:tcPr>
          <w:p w14:paraId="0577AB30" w14:textId="77777777" w:rsidR="00F67F7D" w:rsidRPr="00B8345C" w:rsidRDefault="00F67F7D" w:rsidP="00594252">
            <w:pPr>
              <w:pStyle w:val="TableText"/>
              <w:keepNext w:val="0"/>
              <w:rPr>
                <w:szCs w:val="14"/>
              </w:rPr>
            </w:pPr>
            <w:r w:rsidRPr="0033333B">
              <w:rPr>
                <w:szCs w:val="14"/>
              </w:rPr>
              <w:t xml:space="preserve">Table </w:t>
            </w:r>
            <w:r w:rsidRPr="002F76B1">
              <w:rPr>
                <w:szCs w:val="14"/>
              </w:rPr>
              <w:t>4</w:t>
            </w:r>
            <w:r w:rsidRPr="0033333B">
              <w:rPr>
                <w:szCs w:val="14"/>
              </w:rPr>
              <w:t>.</w:t>
            </w:r>
            <w:r w:rsidRPr="002F76B1">
              <w:rPr>
                <w:szCs w:val="14"/>
              </w:rPr>
              <w:t>7</w:t>
            </w:r>
          </w:p>
        </w:tc>
        <w:tc>
          <w:tcPr>
            <w:tcW w:w="2140" w:type="dxa"/>
            <w:shd w:val="clear" w:color="auto" w:fill="auto"/>
          </w:tcPr>
          <w:p w14:paraId="5AEEF287" w14:textId="77777777" w:rsidR="00F67F7D" w:rsidRPr="00B8345C" w:rsidRDefault="00F67F7D" w:rsidP="00594252">
            <w:pPr>
              <w:pStyle w:val="TableText"/>
              <w:keepNext w:val="0"/>
              <w:rPr>
                <w:szCs w:val="14"/>
              </w:rPr>
            </w:pPr>
            <w:r w:rsidRPr="00B8345C">
              <w:rPr>
                <w:szCs w:val="14"/>
              </w:rPr>
              <w:t>When online</w:t>
            </w:r>
            <w:r>
              <w:rPr>
                <w:szCs w:val="14"/>
              </w:rPr>
              <w:t xml:space="preserve">, </w:t>
            </w:r>
            <w:r w:rsidRPr="00B8345C">
              <w:rPr>
                <w:szCs w:val="14"/>
              </w:rPr>
              <w:t xml:space="preserve">I talk about private things that I do not share with people </w:t>
            </w:r>
            <w:r>
              <w:rPr>
                <w:szCs w:val="14"/>
              </w:rPr>
              <w:t>face to face</w:t>
            </w:r>
            <w:r w:rsidRPr="00B8345C">
              <w:rPr>
                <w:szCs w:val="14"/>
              </w:rPr>
              <w:t xml:space="preserve"> </w:t>
            </w:r>
          </w:p>
        </w:tc>
        <w:tc>
          <w:tcPr>
            <w:tcW w:w="3372" w:type="dxa"/>
            <w:shd w:val="clear" w:color="auto" w:fill="auto"/>
          </w:tcPr>
          <w:p w14:paraId="1BDB17B0"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3F286AF8" w14:textId="77777777" w:rsidR="00F67F7D" w:rsidRPr="00B8345C" w:rsidRDefault="00F67F7D" w:rsidP="00594252">
            <w:pPr>
              <w:pStyle w:val="TableText"/>
              <w:keepNext w:val="0"/>
              <w:rPr>
                <w:szCs w:val="14"/>
              </w:rPr>
            </w:pPr>
            <w:r w:rsidRPr="00B8345C">
              <w:rPr>
                <w:szCs w:val="14"/>
              </w:rPr>
              <w:t>1.07 (0.72</w:t>
            </w:r>
            <w:r w:rsidR="009919A9">
              <w:rPr>
                <w:szCs w:val="14"/>
              </w:rPr>
              <w:t>, </w:t>
            </w:r>
            <w:r w:rsidRPr="00B8345C">
              <w:rPr>
                <w:szCs w:val="14"/>
              </w:rPr>
              <w:t>1.59)</w:t>
            </w:r>
          </w:p>
        </w:tc>
        <w:tc>
          <w:tcPr>
            <w:tcW w:w="3089" w:type="dxa"/>
            <w:shd w:val="clear" w:color="auto" w:fill="auto"/>
          </w:tcPr>
          <w:p w14:paraId="0C9C7022"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8867921" w14:textId="77777777" w:rsidR="00F67F7D" w:rsidRPr="00B8345C" w:rsidRDefault="00F67F7D" w:rsidP="00594252">
            <w:pPr>
              <w:pStyle w:val="TableText"/>
              <w:keepNext w:val="0"/>
              <w:rPr>
                <w:szCs w:val="14"/>
              </w:rPr>
            </w:pPr>
            <w:r>
              <w:rPr>
                <w:szCs w:val="14"/>
              </w:rPr>
              <w:t>–</w:t>
            </w:r>
          </w:p>
        </w:tc>
      </w:tr>
      <w:tr w:rsidR="00F67F7D" w:rsidRPr="00B8345C" w14:paraId="7209843B" w14:textId="77777777" w:rsidTr="00466837">
        <w:trPr>
          <w:cantSplit/>
        </w:trPr>
        <w:tc>
          <w:tcPr>
            <w:tcW w:w="852" w:type="dxa"/>
            <w:tcBorders>
              <w:left w:val="nil"/>
            </w:tcBorders>
            <w:shd w:val="clear" w:color="auto" w:fill="auto"/>
          </w:tcPr>
          <w:p w14:paraId="361C6644" w14:textId="77777777" w:rsidR="00F67F7D" w:rsidRPr="00B8345C" w:rsidRDefault="00F67F7D" w:rsidP="00594252">
            <w:pPr>
              <w:pStyle w:val="TableText"/>
              <w:keepNext w:val="0"/>
              <w:rPr>
                <w:szCs w:val="14"/>
              </w:rPr>
            </w:pPr>
            <w:r w:rsidRPr="0033333B">
              <w:rPr>
                <w:szCs w:val="14"/>
              </w:rPr>
              <w:t xml:space="preserve">Table </w:t>
            </w:r>
            <w:r w:rsidRPr="002F76B1">
              <w:rPr>
                <w:szCs w:val="14"/>
              </w:rPr>
              <w:t>4</w:t>
            </w:r>
            <w:r w:rsidRPr="0033333B">
              <w:rPr>
                <w:szCs w:val="14"/>
              </w:rPr>
              <w:t>.</w:t>
            </w:r>
            <w:r w:rsidRPr="002F76B1">
              <w:rPr>
                <w:szCs w:val="14"/>
              </w:rPr>
              <w:t>8</w:t>
            </w:r>
          </w:p>
        </w:tc>
        <w:tc>
          <w:tcPr>
            <w:tcW w:w="2140" w:type="dxa"/>
            <w:shd w:val="clear" w:color="auto" w:fill="auto"/>
          </w:tcPr>
          <w:p w14:paraId="7A8BFF70" w14:textId="77777777" w:rsidR="00F67F7D" w:rsidRPr="00B8345C" w:rsidRDefault="00F67F7D" w:rsidP="00594252">
            <w:pPr>
              <w:pStyle w:val="TableText"/>
              <w:keepNext w:val="0"/>
              <w:rPr>
                <w:szCs w:val="14"/>
              </w:rPr>
            </w:pPr>
            <w:r w:rsidRPr="00B8345C">
              <w:rPr>
                <w:szCs w:val="14"/>
              </w:rPr>
              <w:t xml:space="preserve">Go online much more on the weekends than I do on a regular work day </w:t>
            </w:r>
          </w:p>
        </w:tc>
        <w:tc>
          <w:tcPr>
            <w:tcW w:w="3372" w:type="dxa"/>
            <w:shd w:val="clear" w:color="auto" w:fill="auto"/>
          </w:tcPr>
          <w:p w14:paraId="67D3697D"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3482DFB7" w14:textId="77777777" w:rsidR="00F67F7D" w:rsidRPr="00B8345C" w:rsidRDefault="00F67F7D" w:rsidP="00594252">
            <w:pPr>
              <w:pStyle w:val="TableText"/>
              <w:keepNext w:val="0"/>
              <w:rPr>
                <w:szCs w:val="14"/>
              </w:rPr>
            </w:pPr>
            <w:r w:rsidRPr="00B8345C">
              <w:rPr>
                <w:szCs w:val="14"/>
              </w:rPr>
              <w:t>0.47 (0.37</w:t>
            </w:r>
            <w:r w:rsidR="009919A9">
              <w:rPr>
                <w:szCs w:val="14"/>
              </w:rPr>
              <w:t>, </w:t>
            </w:r>
            <w:r w:rsidRPr="00B8345C">
              <w:rPr>
                <w:szCs w:val="14"/>
              </w:rPr>
              <w:t>0.60)</w:t>
            </w:r>
          </w:p>
        </w:tc>
        <w:tc>
          <w:tcPr>
            <w:tcW w:w="3089" w:type="dxa"/>
            <w:shd w:val="clear" w:color="auto" w:fill="auto"/>
          </w:tcPr>
          <w:p w14:paraId="1BCD3A43" w14:textId="77777777" w:rsidR="00F67F7D" w:rsidRPr="00B8345C" w:rsidRDefault="00F67F7D" w:rsidP="00594252">
            <w:pPr>
              <w:pStyle w:val="TableText"/>
              <w:keepNext w:val="0"/>
              <w:rPr>
                <w:szCs w:val="14"/>
              </w:rPr>
            </w:pPr>
            <w:r w:rsidRPr="00B8345C">
              <w:rPr>
                <w:szCs w:val="14"/>
              </w:rPr>
              <w:t>Transitioned ADF were 53% less likely to go online much more on the weekends than on a regular work day</w:t>
            </w:r>
          </w:p>
        </w:tc>
        <w:tc>
          <w:tcPr>
            <w:tcW w:w="1005" w:type="dxa"/>
            <w:tcBorders>
              <w:right w:val="nil"/>
            </w:tcBorders>
            <w:shd w:val="clear" w:color="auto" w:fill="auto"/>
          </w:tcPr>
          <w:p w14:paraId="2B40DA75" w14:textId="77777777" w:rsidR="00F67F7D" w:rsidRPr="00B8345C" w:rsidRDefault="00F67F7D" w:rsidP="00594252">
            <w:pPr>
              <w:pStyle w:val="TableText"/>
              <w:keepNext w:val="0"/>
              <w:rPr>
                <w:szCs w:val="14"/>
              </w:rPr>
            </w:pPr>
            <w:r w:rsidRPr="00B8345C">
              <w:rPr>
                <w:szCs w:val="14"/>
              </w:rPr>
              <w:t>Strong</w:t>
            </w:r>
          </w:p>
        </w:tc>
      </w:tr>
      <w:tr w:rsidR="00F67F7D" w:rsidRPr="00B8345C" w14:paraId="325D606F" w14:textId="77777777" w:rsidTr="00466837">
        <w:trPr>
          <w:cantSplit/>
        </w:trPr>
        <w:tc>
          <w:tcPr>
            <w:tcW w:w="852" w:type="dxa"/>
            <w:tcBorders>
              <w:left w:val="nil"/>
            </w:tcBorders>
            <w:shd w:val="clear" w:color="auto" w:fill="auto"/>
          </w:tcPr>
          <w:p w14:paraId="7222C171" w14:textId="77777777" w:rsidR="00F67F7D" w:rsidRPr="00B8345C" w:rsidRDefault="00F67F7D" w:rsidP="00594252">
            <w:pPr>
              <w:pStyle w:val="TableText"/>
              <w:keepNext w:val="0"/>
              <w:rPr>
                <w:szCs w:val="14"/>
              </w:rPr>
            </w:pPr>
            <w:r w:rsidRPr="0033333B">
              <w:rPr>
                <w:szCs w:val="14"/>
              </w:rPr>
              <w:t xml:space="preserve">Table </w:t>
            </w:r>
            <w:r w:rsidRPr="002F76B1">
              <w:rPr>
                <w:szCs w:val="14"/>
              </w:rPr>
              <w:t>4</w:t>
            </w:r>
            <w:r w:rsidRPr="0033333B">
              <w:rPr>
                <w:szCs w:val="14"/>
              </w:rPr>
              <w:t>.</w:t>
            </w:r>
            <w:r w:rsidRPr="002F76B1">
              <w:rPr>
                <w:szCs w:val="14"/>
              </w:rPr>
              <w:t>9</w:t>
            </w:r>
          </w:p>
        </w:tc>
        <w:tc>
          <w:tcPr>
            <w:tcW w:w="2140" w:type="dxa"/>
            <w:shd w:val="clear" w:color="auto" w:fill="auto"/>
          </w:tcPr>
          <w:p w14:paraId="3A640F8D" w14:textId="77777777" w:rsidR="00F67F7D" w:rsidRPr="00B8345C" w:rsidRDefault="00F67F7D" w:rsidP="00594252">
            <w:pPr>
              <w:pStyle w:val="TableText"/>
              <w:keepNext w:val="0"/>
              <w:rPr>
                <w:szCs w:val="14"/>
              </w:rPr>
            </w:pPr>
            <w:r w:rsidRPr="00B8345C">
              <w:rPr>
                <w:szCs w:val="14"/>
              </w:rPr>
              <w:t xml:space="preserve">Going through a difficult time, I go online more often </w:t>
            </w:r>
          </w:p>
        </w:tc>
        <w:tc>
          <w:tcPr>
            <w:tcW w:w="3372" w:type="dxa"/>
            <w:shd w:val="clear" w:color="auto" w:fill="auto"/>
          </w:tcPr>
          <w:p w14:paraId="2BB565AC"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690A3BF7" w14:textId="77777777" w:rsidR="00F67F7D" w:rsidRPr="00B8345C" w:rsidRDefault="00F67F7D" w:rsidP="00594252">
            <w:pPr>
              <w:pStyle w:val="TableText"/>
              <w:keepNext w:val="0"/>
              <w:rPr>
                <w:szCs w:val="14"/>
              </w:rPr>
            </w:pPr>
            <w:r w:rsidRPr="00B8345C">
              <w:rPr>
                <w:szCs w:val="14"/>
              </w:rPr>
              <w:t>1.14 (0.86</w:t>
            </w:r>
            <w:r w:rsidR="009919A9">
              <w:rPr>
                <w:szCs w:val="14"/>
              </w:rPr>
              <w:t>, </w:t>
            </w:r>
            <w:r w:rsidRPr="00B8345C">
              <w:rPr>
                <w:szCs w:val="14"/>
              </w:rPr>
              <w:t>1.53)</w:t>
            </w:r>
          </w:p>
        </w:tc>
        <w:tc>
          <w:tcPr>
            <w:tcW w:w="3089" w:type="dxa"/>
            <w:shd w:val="clear" w:color="auto" w:fill="auto"/>
          </w:tcPr>
          <w:p w14:paraId="48AB73AF"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7481CB33" w14:textId="77777777" w:rsidR="00F67F7D" w:rsidRPr="00B8345C" w:rsidRDefault="00F67F7D" w:rsidP="00594252">
            <w:pPr>
              <w:pStyle w:val="TableText"/>
              <w:keepNext w:val="0"/>
              <w:rPr>
                <w:szCs w:val="14"/>
              </w:rPr>
            </w:pPr>
            <w:r>
              <w:rPr>
                <w:szCs w:val="14"/>
              </w:rPr>
              <w:t>–</w:t>
            </w:r>
          </w:p>
        </w:tc>
      </w:tr>
      <w:tr w:rsidR="00F67F7D" w:rsidRPr="00B8345C" w14:paraId="358F6890" w14:textId="77777777" w:rsidTr="00466837">
        <w:trPr>
          <w:cantSplit/>
        </w:trPr>
        <w:tc>
          <w:tcPr>
            <w:tcW w:w="852" w:type="dxa"/>
            <w:tcBorders>
              <w:left w:val="nil"/>
            </w:tcBorders>
            <w:shd w:val="clear" w:color="auto" w:fill="auto"/>
          </w:tcPr>
          <w:p w14:paraId="4349545F" w14:textId="77777777" w:rsidR="00F67F7D" w:rsidRPr="00B8345C" w:rsidRDefault="00F67F7D" w:rsidP="00594252">
            <w:pPr>
              <w:pStyle w:val="TableText"/>
              <w:keepNext w:val="0"/>
              <w:rPr>
                <w:szCs w:val="14"/>
              </w:rPr>
            </w:pPr>
            <w:r w:rsidRPr="0033333B">
              <w:rPr>
                <w:szCs w:val="14"/>
              </w:rPr>
              <w:t xml:space="preserve">Table </w:t>
            </w:r>
            <w:r w:rsidRPr="002F76B1">
              <w:rPr>
                <w:szCs w:val="14"/>
              </w:rPr>
              <w:t>4</w:t>
            </w:r>
            <w:r w:rsidRPr="0033333B">
              <w:rPr>
                <w:szCs w:val="14"/>
              </w:rPr>
              <w:t>.</w:t>
            </w:r>
            <w:r w:rsidRPr="002F76B1">
              <w:rPr>
                <w:szCs w:val="14"/>
              </w:rPr>
              <w:t>10</w:t>
            </w:r>
          </w:p>
        </w:tc>
        <w:tc>
          <w:tcPr>
            <w:tcW w:w="2140" w:type="dxa"/>
            <w:shd w:val="clear" w:color="auto" w:fill="auto"/>
          </w:tcPr>
          <w:p w14:paraId="6F369661" w14:textId="77777777" w:rsidR="00F67F7D" w:rsidRPr="00B8345C" w:rsidRDefault="00F67F7D" w:rsidP="00594252">
            <w:pPr>
              <w:pStyle w:val="TableText"/>
              <w:keepNext w:val="0"/>
              <w:rPr>
                <w:szCs w:val="14"/>
              </w:rPr>
            </w:pPr>
            <w:r w:rsidRPr="00B8345C">
              <w:rPr>
                <w:szCs w:val="14"/>
              </w:rPr>
              <w:t>When going through a difficult time, going online makes me feel better’</w:t>
            </w:r>
          </w:p>
        </w:tc>
        <w:tc>
          <w:tcPr>
            <w:tcW w:w="3372" w:type="dxa"/>
            <w:shd w:val="clear" w:color="auto" w:fill="auto"/>
          </w:tcPr>
          <w:p w14:paraId="1C33E739"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0E3A4369" w14:textId="77777777" w:rsidR="00F67F7D" w:rsidRPr="00B8345C" w:rsidRDefault="00F67F7D" w:rsidP="00594252">
            <w:pPr>
              <w:pStyle w:val="TableText"/>
              <w:keepNext w:val="0"/>
              <w:rPr>
                <w:szCs w:val="14"/>
              </w:rPr>
            </w:pPr>
            <w:r w:rsidRPr="00B8345C">
              <w:rPr>
                <w:szCs w:val="14"/>
              </w:rPr>
              <w:t>1.05 (0.78</w:t>
            </w:r>
            <w:r w:rsidR="009919A9">
              <w:rPr>
                <w:szCs w:val="14"/>
              </w:rPr>
              <w:t>, </w:t>
            </w:r>
            <w:r w:rsidRPr="00B8345C">
              <w:rPr>
                <w:szCs w:val="14"/>
              </w:rPr>
              <w:t>1.42)</w:t>
            </w:r>
          </w:p>
        </w:tc>
        <w:tc>
          <w:tcPr>
            <w:tcW w:w="3089" w:type="dxa"/>
            <w:shd w:val="clear" w:color="auto" w:fill="auto"/>
          </w:tcPr>
          <w:p w14:paraId="6C38D47B"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5B3C5B82" w14:textId="77777777" w:rsidR="00F67F7D" w:rsidRPr="00B8345C" w:rsidRDefault="00F67F7D" w:rsidP="00594252">
            <w:pPr>
              <w:pStyle w:val="TableText"/>
              <w:keepNext w:val="0"/>
              <w:rPr>
                <w:szCs w:val="14"/>
              </w:rPr>
            </w:pPr>
            <w:r>
              <w:rPr>
                <w:szCs w:val="14"/>
              </w:rPr>
              <w:t>–</w:t>
            </w:r>
          </w:p>
        </w:tc>
      </w:tr>
      <w:tr w:rsidR="00F67F7D" w:rsidRPr="00B8345C" w14:paraId="46079314" w14:textId="77777777" w:rsidTr="00466837">
        <w:trPr>
          <w:cantSplit/>
        </w:trPr>
        <w:tc>
          <w:tcPr>
            <w:tcW w:w="852" w:type="dxa"/>
            <w:tcBorders>
              <w:left w:val="nil"/>
            </w:tcBorders>
            <w:shd w:val="clear" w:color="auto" w:fill="auto"/>
          </w:tcPr>
          <w:p w14:paraId="59AB2A16" w14:textId="77777777" w:rsidR="00F67F7D" w:rsidRPr="00B8345C" w:rsidRDefault="00F67F7D" w:rsidP="00594252">
            <w:pPr>
              <w:pStyle w:val="TableText"/>
              <w:keepNext w:val="0"/>
              <w:rPr>
                <w:szCs w:val="14"/>
              </w:rPr>
            </w:pPr>
            <w:r w:rsidRPr="002C58AA">
              <w:t xml:space="preserve">Table </w:t>
            </w:r>
            <w:r>
              <w:rPr>
                <w:noProof/>
              </w:rPr>
              <w:t>4</w:t>
            </w:r>
            <w:r>
              <w:t>.</w:t>
            </w:r>
            <w:r>
              <w:rPr>
                <w:noProof/>
              </w:rPr>
              <w:t>11</w:t>
            </w:r>
          </w:p>
        </w:tc>
        <w:tc>
          <w:tcPr>
            <w:tcW w:w="2140" w:type="dxa"/>
            <w:shd w:val="clear" w:color="auto" w:fill="auto"/>
          </w:tcPr>
          <w:p w14:paraId="167A7CAA" w14:textId="77777777" w:rsidR="00F67F7D" w:rsidRPr="00B8345C" w:rsidRDefault="001F3926" w:rsidP="00594252">
            <w:pPr>
              <w:pStyle w:val="TableText"/>
              <w:keepNext w:val="0"/>
              <w:rPr>
                <w:szCs w:val="14"/>
              </w:rPr>
            </w:pPr>
            <w:r>
              <w:rPr>
                <w:szCs w:val="14"/>
              </w:rPr>
              <w:t>Internet</w:t>
            </w:r>
            <w:r w:rsidRPr="00B8345C">
              <w:rPr>
                <w:szCs w:val="14"/>
              </w:rPr>
              <w:t xml:space="preserve"> </w:t>
            </w:r>
            <w:r w:rsidR="00F67F7D" w:rsidRPr="00B8345C">
              <w:rPr>
                <w:szCs w:val="14"/>
              </w:rPr>
              <w:t>use after 11</w:t>
            </w:r>
            <w:r w:rsidR="00F67F7D">
              <w:rPr>
                <w:szCs w:val="14"/>
              </w:rPr>
              <w:t xml:space="preserve"> pm</w:t>
            </w:r>
          </w:p>
        </w:tc>
        <w:tc>
          <w:tcPr>
            <w:tcW w:w="3372" w:type="dxa"/>
            <w:shd w:val="clear" w:color="auto" w:fill="auto"/>
          </w:tcPr>
          <w:p w14:paraId="740D4418"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w:t>
            </w:r>
          </w:p>
        </w:tc>
        <w:tc>
          <w:tcPr>
            <w:tcW w:w="1062" w:type="dxa"/>
            <w:shd w:val="clear" w:color="auto" w:fill="auto"/>
          </w:tcPr>
          <w:p w14:paraId="3BFA51B8" w14:textId="77777777" w:rsidR="00F67F7D" w:rsidRPr="00B8345C" w:rsidRDefault="00F67F7D" w:rsidP="00594252">
            <w:pPr>
              <w:pStyle w:val="TableText"/>
              <w:keepNext w:val="0"/>
              <w:rPr>
                <w:szCs w:val="14"/>
              </w:rPr>
            </w:pPr>
            <w:r w:rsidRPr="00B8345C">
              <w:rPr>
                <w:szCs w:val="14"/>
              </w:rPr>
              <w:t>2.02 (1.64</w:t>
            </w:r>
            <w:r w:rsidR="009919A9">
              <w:rPr>
                <w:szCs w:val="14"/>
              </w:rPr>
              <w:t>, </w:t>
            </w:r>
            <w:r w:rsidRPr="00B8345C">
              <w:rPr>
                <w:szCs w:val="14"/>
              </w:rPr>
              <w:t>2.49)</w:t>
            </w:r>
          </w:p>
        </w:tc>
        <w:tc>
          <w:tcPr>
            <w:tcW w:w="3089" w:type="dxa"/>
            <w:shd w:val="clear" w:color="auto" w:fill="auto"/>
          </w:tcPr>
          <w:p w14:paraId="0D1DC335" w14:textId="77777777" w:rsidR="00F67F7D" w:rsidRPr="00B8345C" w:rsidRDefault="00F67F7D" w:rsidP="00594252">
            <w:pPr>
              <w:pStyle w:val="TableText"/>
              <w:keepNext w:val="0"/>
              <w:rPr>
                <w:szCs w:val="14"/>
              </w:rPr>
            </w:pPr>
            <w:r w:rsidRPr="00B8345C">
              <w:rPr>
                <w:szCs w:val="14"/>
              </w:rPr>
              <w:t xml:space="preserve">Transitioned ADF with probable disorder were 2.02 times more likely to use the </w:t>
            </w:r>
            <w:r>
              <w:rPr>
                <w:szCs w:val="14"/>
              </w:rPr>
              <w:t>internet</w:t>
            </w:r>
            <w:r w:rsidRPr="00B8345C">
              <w:rPr>
                <w:szCs w:val="14"/>
              </w:rPr>
              <w:t xml:space="preserve"> after </w:t>
            </w:r>
            <w:r>
              <w:rPr>
                <w:szCs w:val="14"/>
              </w:rPr>
              <w:t>11 pm</w:t>
            </w:r>
          </w:p>
        </w:tc>
        <w:tc>
          <w:tcPr>
            <w:tcW w:w="1005" w:type="dxa"/>
            <w:tcBorders>
              <w:right w:val="nil"/>
            </w:tcBorders>
            <w:shd w:val="clear" w:color="auto" w:fill="auto"/>
          </w:tcPr>
          <w:p w14:paraId="49D6870B" w14:textId="77777777" w:rsidR="00F67F7D" w:rsidRPr="00B8345C" w:rsidRDefault="00F67F7D" w:rsidP="00594252">
            <w:pPr>
              <w:pStyle w:val="TableText"/>
              <w:keepNext w:val="0"/>
              <w:rPr>
                <w:szCs w:val="14"/>
              </w:rPr>
            </w:pPr>
            <w:r w:rsidRPr="00B8345C">
              <w:rPr>
                <w:szCs w:val="14"/>
              </w:rPr>
              <w:t>Moderate</w:t>
            </w:r>
          </w:p>
        </w:tc>
      </w:tr>
      <w:tr w:rsidR="00F67F7D" w:rsidRPr="00B8345C" w14:paraId="4C695264" w14:textId="77777777" w:rsidTr="00466837">
        <w:trPr>
          <w:cantSplit/>
        </w:trPr>
        <w:tc>
          <w:tcPr>
            <w:tcW w:w="852" w:type="dxa"/>
            <w:tcBorders>
              <w:left w:val="nil"/>
            </w:tcBorders>
            <w:shd w:val="clear" w:color="auto" w:fill="auto"/>
          </w:tcPr>
          <w:p w14:paraId="2BA23731" w14:textId="77777777" w:rsidR="00F67F7D" w:rsidRPr="00B8345C" w:rsidRDefault="00F67F7D" w:rsidP="00594252">
            <w:pPr>
              <w:pStyle w:val="TableText"/>
              <w:keepNext w:val="0"/>
              <w:rPr>
                <w:szCs w:val="14"/>
              </w:rPr>
            </w:pPr>
            <w:r w:rsidRPr="002C58AA">
              <w:t xml:space="preserve">Table </w:t>
            </w:r>
            <w:r>
              <w:rPr>
                <w:noProof/>
              </w:rPr>
              <w:t>4</w:t>
            </w:r>
            <w:r>
              <w:t>.</w:t>
            </w:r>
            <w:r>
              <w:rPr>
                <w:noProof/>
              </w:rPr>
              <w:t>11</w:t>
            </w:r>
          </w:p>
        </w:tc>
        <w:tc>
          <w:tcPr>
            <w:tcW w:w="2140" w:type="dxa"/>
            <w:shd w:val="clear" w:color="auto" w:fill="auto"/>
          </w:tcPr>
          <w:p w14:paraId="092C0CE0" w14:textId="77777777" w:rsidR="00F67F7D" w:rsidRPr="00B8345C" w:rsidRDefault="001F3926" w:rsidP="00594252">
            <w:pPr>
              <w:pStyle w:val="TableText"/>
              <w:keepNext w:val="0"/>
              <w:rPr>
                <w:szCs w:val="14"/>
              </w:rPr>
            </w:pPr>
            <w:r>
              <w:rPr>
                <w:szCs w:val="14"/>
              </w:rPr>
              <w:t>Internet</w:t>
            </w:r>
            <w:r w:rsidRPr="00B8345C">
              <w:rPr>
                <w:szCs w:val="14"/>
              </w:rPr>
              <w:t xml:space="preserve"> </w:t>
            </w:r>
            <w:r w:rsidR="00F67F7D" w:rsidRPr="00B8345C">
              <w:rPr>
                <w:szCs w:val="14"/>
              </w:rPr>
              <w:t>use after 11</w:t>
            </w:r>
            <w:r w:rsidR="00F67F7D">
              <w:rPr>
                <w:szCs w:val="14"/>
              </w:rPr>
              <w:t xml:space="preserve"> pm</w:t>
            </w:r>
          </w:p>
        </w:tc>
        <w:tc>
          <w:tcPr>
            <w:tcW w:w="3372" w:type="dxa"/>
            <w:shd w:val="clear" w:color="auto" w:fill="auto"/>
          </w:tcPr>
          <w:p w14:paraId="79F69815"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w:t>
            </w:r>
          </w:p>
        </w:tc>
        <w:tc>
          <w:tcPr>
            <w:tcW w:w="1062" w:type="dxa"/>
            <w:shd w:val="clear" w:color="auto" w:fill="auto"/>
          </w:tcPr>
          <w:p w14:paraId="04354C01" w14:textId="77777777" w:rsidR="00F67F7D" w:rsidRPr="00B8345C" w:rsidRDefault="00F67F7D" w:rsidP="00594252">
            <w:pPr>
              <w:pStyle w:val="TableText"/>
              <w:keepNext w:val="0"/>
              <w:rPr>
                <w:szCs w:val="14"/>
              </w:rPr>
            </w:pPr>
            <w:r w:rsidRPr="00B8345C">
              <w:rPr>
                <w:szCs w:val="14"/>
              </w:rPr>
              <w:t>1.40 (0.78</w:t>
            </w:r>
            <w:r w:rsidR="009919A9">
              <w:rPr>
                <w:szCs w:val="14"/>
              </w:rPr>
              <w:t>, </w:t>
            </w:r>
            <w:r w:rsidRPr="00B8345C">
              <w:rPr>
                <w:szCs w:val="14"/>
              </w:rPr>
              <w:t>2.51)</w:t>
            </w:r>
          </w:p>
        </w:tc>
        <w:tc>
          <w:tcPr>
            <w:tcW w:w="3089" w:type="dxa"/>
            <w:shd w:val="clear" w:color="auto" w:fill="auto"/>
          </w:tcPr>
          <w:p w14:paraId="0BB164E9"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2F78E802" w14:textId="77777777" w:rsidR="00F67F7D" w:rsidRPr="00B8345C" w:rsidRDefault="00F67F7D" w:rsidP="00594252">
            <w:pPr>
              <w:pStyle w:val="TableText"/>
              <w:keepNext w:val="0"/>
              <w:rPr>
                <w:szCs w:val="14"/>
              </w:rPr>
            </w:pPr>
            <w:r>
              <w:rPr>
                <w:szCs w:val="14"/>
              </w:rPr>
              <w:t>–</w:t>
            </w:r>
          </w:p>
        </w:tc>
      </w:tr>
      <w:tr w:rsidR="00F67F7D" w:rsidRPr="00B8345C" w14:paraId="70CFDA94" w14:textId="77777777" w:rsidTr="00466837">
        <w:trPr>
          <w:cantSplit/>
        </w:trPr>
        <w:tc>
          <w:tcPr>
            <w:tcW w:w="852" w:type="dxa"/>
            <w:tcBorders>
              <w:left w:val="nil"/>
            </w:tcBorders>
            <w:shd w:val="clear" w:color="auto" w:fill="auto"/>
          </w:tcPr>
          <w:p w14:paraId="7F8AB2F8"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0700E2D6" w14:textId="77777777" w:rsidR="00F67F7D" w:rsidRPr="00B8345C" w:rsidRDefault="00F67F7D" w:rsidP="00594252">
            <w:pPr>
              <w:pStyle w:val="TableText"/>
              <w:keepNext w:val="0"/>
              <w:rPr>
                <w:szCs w:val="14"/>
              </w:rPr>
            </w:pPr>
            <w:r w:rsidRPr="00B8345C">
              <w:rPr>
                <w:szCs w:val="14"/>
              </w:rPr>
              <w:t xml:space="preserve">Find it easier to be myself when online than when I am with people </w:t>
            </w:r>
            <w:r>
              <w:rPr>
                <w:szCs w:val="14"/>
              </w:rPr>
              <w:t>face to face</w:t>
            </w:r>
          </w:p>
        </w:tc>
        <w:tc>
          <w:tcPr>
            <w:tcW w:w="3372" w:type="dxa"/>
            <w:shd w:val="clear" w:color="auto" w:fill="auto"/>
          </w:tcPr>
          <w:p w14:paraId="480AE044"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w:t>
            </w:r>
          </w:p>
        </w:tc>
        <w:tc>
          <w:tcPr>
            <w:tcW w:w="1062" w:type="dxa"/>
            <w:shd w:val="clear" w:color="auto" w:fill="auto"/>
          </w:tcPr>
          <w:p w14:paraId="644A7734" w14:textId="77777777" w:rsidR="00F67F7D" w:rsidRPr="00B8345C" w:rsidRDefault="00F67F7D" w:rsidP="00594252">
            <w:pPr>
              <w:pStyle w:val="TableText"/>
              <w:keepNext w:val="0"/>
              <w:rPr>
                <w:szCs w:val="14"/>
              </w:rPr>
            </w:pPr>
            <w:r w:rsidRPr="00B8345C">
              <w:rPr>
                <w:szCs w:val="14"/>
              </w:rPr>
              <w:t>2.84 (2.28</w:t>
            </w:r>
            <w:r w:rsidR="009919A9">
              <w:rPr>
                <w:szCs w:val="14"/>
              </w:rPr>
              <w:t>, </w:t>
            </w:r>
            <w:r w:rsidRPr="00B8345C">
              <w:rPr>
                <w:szCs w:val="14"/>
              </w:rPr>
              <w:t>3.54)</w:t>
            </w:r>
          </w:p>
        </w:tc>
        <w:tc>
          <w:tcPr>
            <w:tcW w:w="3089" w:type="dxa"/>
            <w:shd w:val="clear" w:color="auto" w:fill="auto"/>
          </w:tcPr>
          <w:p w14:paraId="17CBF251" w14:textId="77777777" w:rsidR="00F67F7D" w:rsidRPr="00B8345C" w:rsidRDefault="00F67F7D" w:rsidP="00594252">
            <w:pPr>
              <w:pStyle w:val="TableText"/>
              <w:keepNext w:val="0"/>
              <w:rPr>
                <w:szCs w:val="14"/>
              </w:rPr>
            </w:pPr>
            <w:r w:rsidRPr="00B8345C">
              <w:rPr>
                <w:szCs w:val="14"/>
              </w:rPr>
              <w:t xml:space="preserve">Transitioned ADF with probable disorder were 2.84 times more likely to report they ‘find it easier to be myself when online than when I am with people </w:t>
            </w:r>
            <w:r>
              <w:rPr>
                <w:szCs w:val="14"/>
              </w:rPr>
              <w:t>face to face</w:t>
            </w:r>
            <w:r w:rsidRPr="00B8345C">
              <w:rPr>
                <w:szCs w:val="14"/>
              </w:rPr>
              <w:t>’</w:t>
            </w:r>
          </w:p>
        </w:tc>
        <w:tc>
          <w:tcPr>
            <w:tcW w:w="1005" w:type="dxa"/>
            <w:tcBorders>
              <w:right w:val="nil"/>
            </w:tcBorders>
            <w:shd w:val="clear" w:color="auto" w:fill="auto"/>
          </w:tcPr>
          <w:p w14:paraId="061BBA89" w14:textId="77777777" w:rsidR="00F67F7D" w:rsidRPr="00B8345C" w:rsidRDefault="00F67F7D" w:rsidP="00594252">
            <w:pPr>
              <w:pStyle w:val="TableText"/>
              <w:keepNext w:val="0"/>
              <w:rPr>
                <w:szCs w:val="14"/>
              </w:rPr>
            </w:pPr>
            <w:r w:rsidRPr="00B8345C">
              <w:rPr>
                <w:szCs w:val="14"/>
              </w:rPr>
              <w:t>Moderate</w:t>
            </w:r>
          </w:p>
        </w:tc>
      </w:tr>
      <w:tr w:rsidR="00F67F7D" w:rsidRPr="00B8345C" w14:paraId="29598842" w14:textId="77777777" w:rsidTr="00466837">
        <w:trPr>
          <w:cantSplit/>
        </w:trPr>
        <w:tc>
          <w:tcPr>
            <w:tcW w:w="852" w:type="dxa"/>
            <w:tcBorders>
              <w:left w:val="nil"/>
            </w:tcBorders>
            <w:shd w:val="clear" w:color="auto" w:fill="auto"/>
          </w:tcPr>
          <w:p w14:paraId="71016489"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5D7AD6E0" w14:textId="77777777" w:rsidR="00F67F7D" w:rsidRPr="00B8345C" w:rsidRDefault="00F67F7D" w:rsidP="00594252">
            <w:pPr>
              <w:pStyle w:val="TableText"/>
              <w:keepNext w:val="0"/>
              <w:rPr>
                <w:szCs w:val="14"/>
              </w:rPr>
            </w:pPr>
            <w:r w:rsidRPr="00B8345C">
              <w:rPr>
                <w:szCs w:val="14"/>
              </w:rPr>
              <w:t xml:space="preserve">Find it easier to be myself when online than when I am with people </w:t>
            </w:r>
            <w:r>
              <w:rPr>
                <w:szCs w:val="14"/>
              </w:rPr>
              <w:t>face to face</w:t>
            </w:r>
          </w:p>
        </w:tc>
        <w:tc>
          <w:tcPr>
            <w:tcW w:w="3372" w:type="dxa"/>
            <w:shd w:val="clear" w:color="auto" w:fill="auto"/>
          </w:tcPr>
          <w:p w14:paraId="4C9239FF"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w:t>
            </w:r>
          </w:p>
        </w:tc>
        <w:tc>
          <w:tcPr>
            <w:tcW w:w="1062" w:type="dxa"/>
            <w:shd w:val="clear" w:color="auto" w:fill="auto"/>
          </w:tcPr>
          <w:p w14:paraId="20C7D7AF" w14:textId="77777777" w:rsidR="00F67F7D" w:rsidRPr="00B8345C" w:rsidRDefault="00F67F7D" w:rsidP="00594252">
            <w:pPr>
              <w:pStyle w:val="TableText"/>
              <w:keepNext w:val="0"/>
              <w:rPr>
                <w:szCs w:val="14"/>
              </w:rPr>
            </w:pPr>
            <w:r w:rsidRPr="00B8345C">
              <w:rPr>
                <w:szCs w:val="14"/>
              </w:rPr>
              <w:t>2.37 (1.33</w:t>
            </w:r>
            <w:r w:rsidR="009919A9">
              <w:rPr>
                <w:szCs w:val="14"/>
              </w:rPr>
              <w:t>, </w:t>
            </w:r>
            <w:r w:rsidRPr="00B8345C">
              <w:rPr>
                <w:szCs w:val="14"/>
              </w:rPr>
              <w:t>4.23)</w:t>
            </w:r>
          </w:p>
        </w:tc>
        <w:tc>
          <w:tcPr>
            <w:tcW w:w="3089" w:type="dxa"/>
            <w:shd w:val="clear" w:color="auto" w:fill="auto"/>
          </w:tcPr>
          <w:p w14:paraId="2DAA2B91" w14:textId="77777777" w:rsidR="00F67F7D" w:rsidRPr="00B8345C" w:rsidRDefault="00F67F7D" w:rsidP="00594252">
            <w:pPr>
              <w:pStyle w:val="TableText"/>
              <w:keepNext w:val="0"/>
              <w:rPr>
                <w:szCs w:val="14"/>
              </w:rPr>
            </w:pPr>
            <w:r w:rsidRPr="00B8345C">
              <w:rPr>
                <w:szCs w:val="14"/>
              </w:rPr>
              <w:t xml:space="preserve">2015 Regular ADF with probable disorder were 2.37 times more likely to report they ‘find it easier to be myself when online than when I am with people </w:t>
            </w:r>
            <w:r>
              <w:rPr>
                <w:szCs w:val="14"/>
              </w:rPr>
              <w:t>face to face</w:t>
            </w:r>
            <w:r w:rsidRPr="00B8345C">
              <w:rPr>
                <w:szCs w:val="14"/>
              </w:rPr>
              <w:t>’</w:t>
            </w:r>
          </w:p>
        </w:tc>
        <w:tc>
          <w:tcPr>
            <w:tcW w:w="1005" w:type="dxa"/>
            <w:tcBorders>
              <w:right w:val="nil"/>
            </w:tcBorders>
            <w:shd w:val="clear" w:color="auto" w:fill="auto"/>
          </w:tcPr>
          <w:p w14:paraId="74562F17" w14:textId="77777777" w:rsidR="00F67F7D" w:rsidRPr="00B8345C" w:rsidRDefault="00F67F7D" w:rsidP="00594252">
            <w:pPr>
              <w:pStyle w:val="TableText"/>
              <w:keepNext w:val="0"/>
              <w:rPr>
                <w:szCs w:val="14"/>
              </w:rPr>
            </w:pPr>
            <w:r w:rsidRPr="00B8345C">
              <w:rPr>
                <w:szCs w:val="14"/>
              </w:rPr>
              <w:t>Moderate</w:t>
            </w:r>
          </w:p>
        </w:tc>
      </w:tr>
      <w:tr w:rsidR="00F67F7D" w:rsidRPr="00B8345C" w14:paraId="238A0343" w14:textId="77777777" w:rsidTr="00466837">
        <w:trPr>
          <w:cantSplit/>
        </w:trPr>
        <w:tc>
          <w:tcPr>
            <w:tcW w:w="852" w:type="dxa"/>
            <w:tcBorders>
              <w:left w:val="nil"/>
            </w:tcBorders>
            <w:shd w:val="clear" w:color="auto" w:fill="auto"/>
          </w:tcPr>
          <w:p w14:paraId="6ACD0C0A"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5753C116" w14:textId="77777777" w:rsidR="00F67F7D" w:rsidRPr="00B8345C" w:rsidRDefault="00F67F7D" w:rsidP="00594252">
            <w:pPr>
              <w:pStyle w:val="TableText"/>
              <w:keepNext w:val="0"/>
              <w:rPr>
                <w:szCs w:val="14"/>
              </w:rPr>
            </w:pPr>
            <w:r w:rsidRPr="00B8345C">
              <w:rPr>
                <w:szCs w:val="14"/>
              </w:rPr>
              <w:t xml:space="preserve">Talk about different things with people when online than I do when </w:t>
            </w:r>
            <w:r>
              <w:rPr>
                <w:szCs w:val="14"/>
              </w:rPr>
              <w:t>face to face</w:t>
            </w:r>
          </w:p>
        </w:tc>
        <w:tc>
          <w:tcPr>
            <w:tcW w:w="3372" w:type="dxa"/>
            <w:shd w:val="clear" w:color="auto" w:fill="auto"/>
          </w:tcPr>
          <w:p w14:paraId="432340BC"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w:t>
            </w:r>
          </w:p>
        </w:tc>
        <w:tc>
          <w:tcPr>
            <w:tcW w:w="1062" w:type="dxa"/>
            <w:shd w:val="clear" w:color="auto" w:fill="auto"/>
          </w:tcPr>
          <w:p w14:paraId="3A773AAC" w14:textId="77777777" w:rsidR="00F67F7D" w:rsidRPr="00B8345C" w:rsidRDefault="00F67F7D" w:rsidP="00594252">
            <w:pPr>
              <w:pStyle w:val="TableText"/>
              <w:keepNext w:val="0"/>
              <w:rPr>
                <w:szCs w:val="14"/>
              </w:rPr>
            </w:pPr>
            <w:r w:rsidRPr="00B8345C">
              <w:rPr>
                <w:szCs w:val="14"/>
              </w:rPr>
              <w:t>2.09 (1.67</w:t>
            </w:r>
            <w:r w:rsidR="009919A9">
              <w:rPr>
                <w:szCs w:val="14"/>
              </w:rPr>
              <w:t>, </w:t>
            </w:r>
            <w:r w:rsidRPr="00B8345C">
              <w:rPr>
                <w:szCs w:val="14"/>
              </w:rPr>
              <w:t>2.62)</w:t>
            </w:r>
          </w:p>
        </w:tc>
        <w:tc>
          <w:tcPr>
            <w:tcW w:w="3089" w:type="dxa"/>
            <w:shd w:val="clear" w:color="auto" w:fill="auto"/>
          </w:tcPr>
          <w:p w14:paraId="0B12B22D" w14:textId="77777777" w:rsidR="00F67F7D" w:rsidRPr="00B8345C" w:rsidRDefault="00F67F7D" w:rsidP="00594252">
            <w:pPr>
              <w:pStyle w:val="TableText"/>
              <w:keepNext w:val="0"/>
              <w:rPr>
                <w:szCs w:val="14"/>
              </w:rPr>
            </w:pPr>
            <w:r w:rsidRPr="00B8345C">
              <w:rPr>
                <w:szCs w:val="14"/>
              </w:rPr>
              <w:t xml:space="preserve">Transitioned ADF with probable disorder were 2.09 times more likely to report they ‘talk about different things with people when online than I do when </w:t>
            </w:r>
            <w:r>
              <w:rPr>
                <w:szCs w:val="14"/>
              </w:rPr>
              <w:t>face to face</w:t>
            </w:r>
            <w:r w:rsidRPr="00B8345C">
              <w:rPr>
                <w:szCs w:val="14"/>
              </w:rPr>
              <w:t>’</w:t>
            </w:r>
          </w:p>
        </w:tc>
        <w:tc>
          <w:tcPr>
            <w:tcW w:w="1005" w:type="dxa"/>
            <w:tcBorders>
              <w:right w:val="nil"/>
            </w:tcBorders>
            <w:shd w:val="clear" w:color="auto" w:fill="auto"/>
          </w:tcPr>
          <w:p w14:paraId="674A2C15" w14:textId="77777777" w:rsidR="00F67F7D" w:rsidRPr="00B8345C" w:rsidRDefault="00F67F7D" w:rsidP="00594252">
            <w:pPr>
              <w:pStyle w:val="TableText"/>
              <w:keepNext w:val="0"/>
              <w:rPr>
                <w:szCs w:val="14"/>
              </w:rPr>
            </w:pPr>
            <w:r w:rsidRPr="00B8345C">
              <w:rPr>
                <w:szCs w:val="14"/>
              </w:rPr>
              <w:t>Moderate</w:t>
            </w:r>
          </w:p>
        </w:tc>
      </w:tr>
      <w:tr w:rsidR="00F67F7D" w:rsidRPr="00B8345C" w14:paraId="43D60547" w14:textId="77777777" w:rsidTr="00466837">
        <w:trPr>
          <w:cantSplit/>
        </w:trPr>
        <w:tc>
          <w:tcPr>
            <w:tcW w:w="852" w:type="dxa"/>
            <w:tcBorders>
              <w:left w:val="nil"/>
            </w:tcBorders>
            <w:shd w:val="clear" w:color="auto" w:fill="auto"/>
          </w:tcPr>
          <w:p w14:paraId="00ABEED2"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5EF59AB8" w14:textId="77777777" w:rsidR="00F67F7D" w:rsidRPr="00B8345C" w:rsidRDefault="00F67F7D" w:rsidP="00594252">
            <w:pPr>
              <w:pStyle w:val="TableText"/>
              <w:keepNext w:val="0"/>
              <w:rPr>
                <w:szCs w:val="14"/>
              </w:rPr>
            </w:pPr>
            <w:r w:rsidRPr="00B8345C">
              <w:rPr>
                <w:szCs w:val="14"/>
              </w:rPr>
              <w:t xml:space="preserve">Talk about different things with people when online than I do when </w:t>
            </w:r>
            <w:r>
              <w:rPr>
                <w:szCs w:val="14"/>
              </w:rPr>
              <w:t>face to face</w:t>
            </w:r>
            <w:r w:rsidRPr="00B8345C">
              <w:rPr>
                <w:szCs w:val="14"/>
              </w:rPr>
              <w:t xml:space="preserve"> </w:t>
            </w:r>
          </w:p>
        </w:tc>
        <w:tc>
          <w:tcPr>
            <w:tcW w:w="3372" w:type="dxa"/>
            <w:shd w:val="clear" w:color="auto" w:fill="auto"/>
          </w:tcPr>
          <w:p w14:paraId="0F3D7A09"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w:t>
            </w:r>
          </w:p>
        </w:tc>
        <w:tc>
          <w:tcPr>
            <w:tcW w:w="1062" w:type="dxa"/>
            <w:shd w:val="clear" w:color="auto" w:fill="auto"/>
          </w:tcPr>
          <w:p w14:paraId="447F6D82" w14:textId="77777777" w:rsidR="00F67F7D" w:rsidRPr="00B8345C" w:rsidRDefault="00F67F7D" w:rsidP="00594252">
            <w:pPr>
              <w:pStyle w:val="TableText"/>
              <w:keepNext w:val="0"/>
              <w:rPr>
                <w:szCs w:val="14"/>
              </w:rPr>
            </w:pPr>
            <w:r w:rsidRPr="00B8345C">
              <w:rPr>
                <w:szCs w:val="14"/>
              </w:rPr>
              <w:t>0.97 (0.52</w:t>
            </w:r>
            <w:r w:rsidR="009919A9">
              <w:rPr>
                <w:szCs w:val="14"/>
              </w:rPr>
              <w:t>, </w:t>
            </w:r>
            <w:r w:rsidRPr="00B8345C">
              <w:rPr>
                <w:szCs w:val="14"/>
              </w:rPr>
              <w:t>1.82)</w:t>
            </w:r>
          </w:p>
        </w:tc>
        <w:tc>
          <w:tcPr>
            <w:tcW w:w="3089" w:type="dxa"/>
            <w:shd w:val="clear" w:color="auto" w:fill="auto"/>
          </w:tcPr>
          <w:p w14:paraId="6798DD94"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E79704C" w14:textId="77777777" w:rsidR="00F67F7D" w:rsidRPr="00B8345C" w:rsidRDefault="00F67F7D" w:rsidP="00594252">
            <w:pPr>
              <w:pStyle w:val="TableText"/>
              <w:keepNext w:val="0"/>
              <w:rPr>
                <w:szCs w:val="14"/>
              </w:rPr>
            </w:pPr>
            <w:r>
              <w:rPr>
                <w:szCs w:val="14"/>
              </w:rPr>
              <w:t>–</w:t>
            </w:r>
          </w:p>
        </w:tc>
      </w:tr>
      <w:tr w:rsidR="00F67F7D" w:rsidRPr="00B8345C" w14:paraId="3D636CA2" w14:textId="77777777" w:rsidTr="00466837">
        <w:trPr>
          <w:cantSplit/>
        </w:trPr>
        <w:tc>
          <w:tcPr>
            <w:tcW w:w="852" w:type="dxa"/>
            <w:tcBorders>
              <w:left w:val="nil"/>
            </w:tcBorders>
            <w:shd w:val="clear" w:color="auto" w:fill="auto"/>
          </w:tcPr>
          <w:p w14:paraId="04953D67"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6C614C44" w14:textId="77777777" w:rsidR="00F67F7D" w:rsidRPr="00B8345C" w:rsidRDefault="00F67F7D" w:rsidP="00594252">
            <w:pPr>
              <w:pStyle w:val="TableText"/>
              <w:keepNext w:val="0"/>
              <w:rPr>
                <w:szCs w:val="14"/>
              </w:rPr>
            </w:pPr>
            <w:r w:rsidRPr="00B8345C">
              <w:rPr>
                <w:szCs w:val="14"/>
              </w:rPr>
              <w:t xml:space="preserve">When online, I talk about private things that I do not share with people </w:t>
            </w:r>
            <w:r>
              <w:rPr>
                <w:szCs w:val="14"/>
              </w:rPr>
              <w:t>face to face</w:t>
            </w:r>
          </w:p>
        </w:tc>
        <w:tc>
          <w:tcPr>
            <w:tcW w:w="3372" w:type="dxa"/>
            <w:shd w:val="clear" w:color="auto" w:fill="auto"/>
          </w:tcPr>
          <w:p w14:paraId="6BB7C137"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w:t>
            </w:r>
          </w:p>
        </w:tc>
        <w:tc>
          <w:tcPr>
            <w:tcW w:w="1062" w:type="dxa"/>
            <w:shd w:val="clear" w:color="auto" w:fill="auto"/>
          </w:tcPr>
          <w:p w14:paraId="037C4635" w14:textId="77777777" w:rsidR="00F67F7D" w:rsidRPr="00B8345C" w:rsidRDefault="00F67F7D" w:rsidP="00594252">
            <w:pPr>
              <w:pStyle w:val="TableText"/>
              <w:keepNext w:val="0"/>
              <w:rPr>
                <w:szCs w:val="14"/>
              </w:rPr>
            </w:pPr>
            <w:r w:rsidRPr="00B8345C">
              <w:rPr>
                <w:szCs w:val="14"/>
              </w:rPr>
              <w:t>2.17 (1.64</w:t>
            </w:r>
            <w:r w:rsidR="009919A9">
              <w:rPr>
                <w:szCs w:val="14"/>
              </w:rPr>
              <w:t>, </w:t>
            </w:r>
            <w:r w:rsidRPr="00B8345C">
              <w:rPr>
                <w:szCs w:val="14"/>
              </w:rPr>
              <w:t>2.85)</w:t>
            </w:r>
          </w:p>
        </w:tc>
        <w:tc>
          <w:tcPr>
            <w:tcW w:w="3089" w:type="dxa"/>
            <w:shd w:val="clear" w:color="auto" w:fill="auto"/>
          </w:tcPr>
          <w:p w14:paraId="519E1008" w14:textId="77777777" w:rsidR="00F67F7D" w:rsidRPr="00B8345C" w:rsidRDefault="00F67F7D" w:rsidP="00594252">
            <w:pPr>
              <w:pStyle w:val="TableText"/>
              <w:keepNext w:val="0"/>
              <w:rPr>
                <w:szCs w:val="14"/>
              </w:rPr>
            </w:pPr>
            <w:r w:rsidRPr="00B8345C">
              <w:rPr>
                <w:szCs w:val="14"/>
              </w:rPr>
              <w:t xml:space="preserve">Transitioned ADF with probable disorder were 2.17 times more likely to report that ‘when online, I talk about private things that I do not share with people </w:t>
            </w:r>
            <w:r>
              <w:rPr>
                <w:szCs w:val="14"/>
              </w:rPr>
              <w:t>face to face</w:t>
            </w:r>
            <w:r w:rsidRPr="00B8345C">
              <w:rPr>
                <w:szCs w:val="14"/>
              </w:rPr>
              <w:t>’</w:t>
            </w:r>
          </w:p>
        </w:tc>
        <w:tc>
          <w:tcPr>
            <w:tcW w:w="1005" w:type="dxa"/>
            <w:tcBorders>
              <w:right w:val="nil"/>
            </w:tcBorders>
            <w:shd w:val="clear" w:color="auto" w:fill="auto"/>
          </w:tcPr>
          <w:p w14:paraId="37D9E643" w14:textId="77777777" w:rsidR="00F67F7D" w:rsidRPr="00B8345C" w:rsidRDefault="00F67F7D" w:rsidP="00594252">
            <w:pPr>
              <w:pStyle w:val="TableText"/>
              <w:keepNext w:val="0"/>
              <w:rPr>
                <w:szCs w:val="14"/>
              </w:rPr>
            </w:pPr>
            <w:r w:rsidRPr="00B8345C">
              <w:rPr>
                <w:szCs w:val="14"/>
              </w:rPr>
              <w:t>Moderate</w:t>
            </w:r>
          </w:p>
        </w:tc>
      </w:tr>
      <w:tr w:rsidR="00F67F7D" w:rsidRPr="00B8345C" w14:paraId="55CCC0DE" w14:textId="77777777" w:rsidTr="00466837">
        <w:trPr>
          <w:cantSplit/>
        </w:trPr>
        <w:tc>
          <w:tcPr>
            <w:tcW w:w="852" w:type="dxa"/>
            <w:tcBorders>
              <w:left w:val="nil"/>
            </w:tcBorders>
            <w:shd w:val="clear" w:color="auto" w:fill="auto"/>
          </w:tcPr>
          <w:p w14:paraId="2A4B69F4"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2A2C8D15" w14:textId="77777777" w:rsidR="00F67F7D" w:rsidRPr="00B8345C" w:rsidRDefault="00F67F7D" w:rsidP="00594252">
            <w:pPr>
              <w:pStyle w:val="TableText"/>
              <w:keepNext w:val="0"/>
              <w:rPr>
                <w:szCs w:val="14"/>
              </w:rPr>
            </w:pPr>
            <w:r w:rsidRPr="00B8345C">
              <w:rPr>
                <w:szCs w:val="14"/>
              </w:rPr>
              <w:t xml:space="preserve">When online, I talk about private things that I do not share with people </w:t>
            </w:r>
            <w:r>
              <w:rPr>
                <w:szCs w:val="14"/>
              </w:rPr>
              <w:t>face to face</w:t>
            </w:r>
            <w:r w:rsidRPr="00B8345C">
              <w:rPr>
                <w:szCs w:val="14"/>
              </w:rPr>
              <w:t xml:space="preserve"> </w:t>
            </w:r>
          </w:p>
        </w:tc>
        <w:tc>
          <w:tcPr>
            <w:tcW w:w="3372" w:type="dxa"/>
            <w:shd w:val="clear" w:color="auto" w:fill="auto"/>
          </w:tcPr>
          <w:p w14:paraId="0A2D377F"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w:t>
            </w:r>
          </w:p>
        </w:tc>
        <w:tc>
          <w:tcPr>
            <w:tcW w:w="1062" w:type="dxa"/>
            <w:shd w:val="clear" w:color="auto" w:fill="auto"/>
          </w:tcPr>
          <w:p w14:paraId="03B6C6F3" w14:textId="77777777" w:rsidR="00F67F7D" w:rsidRPr="00B8345C" w:rsidRDefault="00F67F7D" w:rsidP="00594252">
            <w:pPr>
              <w:pStyle w:val="TableText"/>
              <w:keepNext w:val="0"/>
              <w:rPr>
                <w:szCs w:val="14"/>
              </w:rPr>
            </w:pPr>
            <w:r w:rsidRPr="00B8345C">
              <w:rPr>
                <w:szCs w:val="14"/>
              </w:rPr>
              <w:t>2.31 (1.07</w:t>
            </w:r>
            <w:r w:rsidR="009919A9">
              <w:rPr>
                <w:szCs w:val="14"/>
              </w:rPr>
              <w:t>, </w:t>
            </w:r>
            <w:r w:rsidRPr="00B8345C">
              <w:rPr>
                <w:szCs w:val="14"/>
              </w:rPr>
              <w:t>4.96)</w:t>
            </w:r>
          </w:p>
        </w:tc>
        <w:tc>
          <w:tcPr>
            <w:tcW w:w="3089" w:type="dxa"/>
            <w:shd w:val="clear" w:color="auto" w:fill="auto"/>
          </w:tcPr>
          <w:p w14:paraId="15FB1A84" w14:textId="77777777" w:rsidR="00F67F7D" w:rsidRPr="00B8345C" w:rsidRDefault="00F67F7D" w:rsidP="00594252">
            <w:pPr>
              <w:pStyle w:val="TableText"/>
              <w:keepNext w:val="0"/>
              <w:rPr>
                <w:szCs w:val="14"/>
              </w:rPr>
            </w:pPr>
            <w:r w:rsidRPr="00B8345C">
              <w:rPr>
                <w:szCs w:val="14"/>
              </w:rPr>
              <w:t xml:space="preserve">2015 Regular ADF with probable disorder were 2.31 times more likely to report that ‘when online, I talk about private things that I do not share with people </w:t>
            </w:r>
            <w:r>
              <w:rPr>
                <w:szCs w:val="14"/>
              </w:rPr>
              <w:t>face to face</w:t>
            </w:r>
            <w:r w:rsidRPr="00B8345C">
              <w:rPr>
                <w:szCs w:val="14"/>
              </w:rPr>
              <w:t>’</w:t>
            </w:r>
          </w:p>
        </w:tc>
        <w:tc>
          <w:tcPr>
            <w:tcW w:w="1005" w:type="dxa"/>
            <w:tcBorders>
              <w:right w:val="nil"/>
            </w:tcBorders>
            <w:shd w:val="clear" w:color="auto" w:fill="auto"/>
          </w:tcPr>
          <w:p w14:paraId="5D35034E" w14:textId="77777777" w:rsidR="00F67F7D" w:rsidRPr="00B8345C" w:rsidRDefault="00F67F7D" w:rsidP="00594252">
            <w:pPr>
              <w:pStyle w:val="TableText"/>
              <w:keepNext w:val="0"/>
              <w:rPr>
                <w:szCs w:val="14"/>
              </w:rPr>
            </w:pPr>
            <w:r w:rsidRPr="00B8345C">
              <w:rPr>
                <w:szCs w:val="14"/>
              </w:rPr>
              <w:t>Moderate</w:t>
            </w:r>
          </w:p>
        </w:tc>
      </w:tr>
      <w:tr w:rsidR="00F67F7D" w:rsidRPr="00B8345C" w14:paraId="5BDD0392" w14:textId="77777777" w:rsidTr="00466837">
        <w:trPr>
          <w:cantSplit/>
        </w:trPr>
        <w:tc>
          <w:tcPr>
            <w:tcW w:w="852" w:type="dxa"/>
            <w:tcBorders>
              <w:left w:val="nil"/>
            </w:tcBorders>
            <w:shd w:val="clear" w:color="auto" w:fill="auto"/>
          </w:tcPr>
          <w:p w14:paraId="2B0FF651"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1E6949F5" w14:textId="77777777" w:rsidR="00F67F7D" w:rsidRPr="00B8345C" w:rsidRDefault="00F67F7D" w:rsidP="00594252">
            <w:pPr>
              <w:pStyle w:val="TableText"/>
              <w:keepNext w:val="0"/>
              <w:rPr>
                <w:szCs w:val="14"/>
              </w:rPr>
            </w:pPr>
            <w:r w:rsidRPr="00B8345C">
              <w:rPr>
                <w:szCs w:val="14"/>
              </w:rPr>
              <w:t>Go online much more on the weekends than I do on a regular work day</w:t>
            </w:r>
          </w:p>
        </w:tc>
        <w:tc>
          <w:tcPr>
            <w:tcW w:w="3372" w:type="dxa"/>
            <w:shd w:val="clear" w:color="auto" w:fill="auto"/>
          </w:tcPr>
          <w:p w14:paraId="48470F40"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w:t>
            </w:r>
          </w:p>
        </w:tc>
        <w:tc>
          <w:tcPr>
            <w:tcW w:w="1062" w:type="dxa"/>
            <w:shd w:val="clear" w:color="auto" w:fill="auto"/>
          </w:tcPr>
          <w:p w14:paraId="6920DC85" w14:textId="77777777" w:rsidR="00F67F7D" w:rsidRPr="00B8345C" w:rsidRDefault="00F67F7D" w:rsidP="00594252">
            <w:pPr>
              <w:pStyle w:val="TableText"/>
              <w:keepNext w:val="0"/>
              <w:rPr>
                <w:szCs w:val="14"/>
              </w:rPr>
            </w:pPr>
            <w:r w:rsidRPr="00B8345C">
              <w:rPr>
                <w:szCs w:val="14"/>
              </w:rPr>
              <w:t>0.82 (0.66</w:t>
            </w:r>
            <w:r w:rsidR="009919A9">
              <w:rPr>
                <w:szCs w:val="14"/>
              </w:rPr>
              <w:t>, </w:t>
            </w:r>
            <w:r w:rsidRPr="00B8345C">
              <w:rPr>
                <w:szCs w:val="14"/>
              </w:rPr>
              <w:t>1.02)</w:t>
            </w:r>
          </w:p>
        </w:tc>
        <w:tc>
          <w:tcPr>
            <w:tcW w:w="3089" w:type="dxa"/>
            <w:shd w:val="clear" w:color="auto" w:fill="auto"/>
          </w:tcPr>
          <w:p w14:paraId="2CB8C517"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76DD6FA" w14:textId="77777777" w:rsidR="00F67F7D" w:rsidRPr="00B8345C" w:rsidRDefault="00F67F7D" w:rsidP="00594252">
            <w:pPr>
              <w:pStyle w:val="TableText"/>
              <w:keepNext w:val="0"/>
              <w:rPr>
                <w:szCs w:val="14"/>
              </w:rPr>
            </w:pPr>
            <w:r>
              <w:rPr>
                <w:szCs w:val="14"/>
              </w:rPr>
              <w:t>–</w:t>
            </w:r>
          </w:p>
        </w:tc>
      </w:tr>
      <w:tr w:rsidR="00F67F7D" w:rsidRPr="00B8345C" w14:paraId="094EF98B" w14:textId="77777777" w:rsidTr="00466837">
        <w:trPr>
          <w:cantSplit/>
        </w:trPr>
        <w:tc>
          <w:tcPr>
            <w:tcW w:w="852" w:type="dxa"/>
            <w:tcBorders>
              <w:left w:val="nil"/>
            </w:tcBorders>
            <w:shd w:val="clear" w:color="auto" w:fill="auto"/>
          </w:tcPr>
          <w:p w14:paraId="48DECE35"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26999CC0" w14:textId="77777777" w:rsidR="00F67F7D" w:rsidRPr="00B8345C" w:rsidRDefault="00F67F7D" w:rsidP="00594252">
            <w:pPr>
              <w:pStyle w:val="TableText"/>
              <w:keepNext w:val="0"/>
              <w:rPr>
                <w:szCs w:val="14"/>
              </w:rPr>
            </w:pPr>
            <w:r w:rsidRPr="00B8345C">
              <w:rPr>
                <w:szCs w:val="14"/>
              </w:rPr>
              <w:t>Go online much more on the weekends than I do on a regular work day</w:t>
            </w:r>
          </w:p>
        </w:tc>
        <w:tc>
          <w:tcPr>
            <w:tcW w:w="3372" w:type="dxa"/>
            <w:shd w:val="clear" w:color="auto" w:fill="auto"/>
          </w:tcPr>
          <w:p w14:paraId="6E1F2EE4"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w:t>
            </w:r>
          </w:p>
        </w:tc>
        <w:tc>
          <w:tcPr>
            <w:tcW w:w="1062" w:type="dxa"/>
            <w:shd w:val="clear" w:color="auto" w:fill="auto"/>
          </w:tcPr>
          <w:p w14:paraId="3D56C30F" w14:textId="77777777" w:rsidR="00F67F7D" w:rsidRPr="00B8345C" w:rsidRDefault="00F67F7D" w:rsidP="00594252">
            <w:pPr>
              <w:pStyle w:val="TableText"/>
              <w:keepNext w:val="0"/>
              <w:rPr>
                <w:szCs w:val="14"/>
              </w:rPr>
            </w:pPr>
            <w:r w:rsidRPr="00B8345C">
              <w:rPr>
                <w:szCs w:val="14"/>
              </w:rPr>
              <w:t>0.94 (0.56</w:t>
            </w:r>
            <w:r w:rsidR="009919A9">
              <w:rPr>
                <w:szCs w:val="14"/>
              </w:rPr>
              <w:t>, </w:t>
            </w:r>
            <w:r w:rsidRPr="00B8345C">
              <w:rPr>
                <w:szCs w:val="14"/>
              </w:rPr>
              <w:t>1.59)</w:t>
            </w:r>
          </w:p>
        </w:tc>
        <w:tc>
          <w:tcPr>
            <w:tcW w:w="3089" w:type="dxa"/>
            <w:shd w:val="clear" w:color="auto" w:fill="auto"/>
          </w:tcPr>
          <w:p w14:paraId="4485F562"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2238FC2" w14:textId="77777777" w:rsidR="00F67F7D" w:rsidRPr="00B8345C" w:rsidRDefault="00F67F7D" w:rsidP="00594252">
            <w:pPr>
              <w:pStyle w:val="TableText"/>
              <w:keepNext w:val="0"/>
              <w:rPr>
                <w:szCs w:val="14"/>
              </w:rPr>
            </w:pPr>
            <w:r>
              <w:rPr>
                <w:szCs w:val="14"/>
              </w:rPr>
              <w:t>–</w:t>
            </w:r>
          </w:p>
        </w:tc>
      </w:tr>
      <w:tr w:rsidR="00F67F7D" w:rsidRPr="00B8345C" w14:paraId="36FA2553" w14:textId="77777777" w:rsidTr="00466837">
        <w:trPr>
          <w:cantSplit/>
        </w:trPr>
        <w:tc>
          <w:tcPr>
            <w:tcW w:w="852" w:type="dxa"/>
            <w:tcBorders>
              <w:left w:val="nil"/>
            </w:tcBorders>
            <w:shd w:val="clear" w:color="auto" w:fill="auto"/>
          </w:tcPr>
          <w:p w14:paraId="35C80AD6"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56547634" w14:textId="77777777" w:rsidR="00F67F7D" w:rsidRPr="00B8345C" w:rsidRDefault="00F67F7D" w:rsidP="00594252">
            <w:pPr>
              <w:pStyle w:val="TableText"/>
              <w:keepNext w:val="0"/>
              <w:rPr>
                <w:szCs w:val="14"/>
              </w:rPr>
            </w:pPr>
            <w:r w:rsidRPr="00B8345C">
              <w:rPr>
                <w:szCs w:val="14"/>
              </w:rPr>
              <w:t>When going through a difficult time, I go online more often</w:t>
            </w:r>
          </w:p>
        </w:tc>
        <w:tc>
          <w:tcPr>
            <w:tcW w:w="3372" w:type="dxa"/>
            <w:shd w:val="clear" w:color="auto" w:fill="auto"/>
          </w:tcPr>
          <w:p w14:paraId="01478728"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w:t>
            </w:r>
          </w:p>
        </w:tc>
        <w:tc>
          <w:tcPr>
            <w:tcW w:w="1062" w:type="dxa"/>
            <w:shd w:val="clear" w:color="auto" w:fill="auto"/>
          </w:tcPr>
          <w:p w14:paraId="3018A9FA" w14:textId="77777777" w:rsidR="00F67F7D" w:rsidRPr="00B8345C" w:rsidRDefault="00F67F7D" w:rsidP="00594252">
            <w:pPr>
              <w:pStyle w:val="TableText"/>
              <w:keepNext w:val="0"/>
              <w:rPr>
                <w:szCs w:val="14"/>
              </w:rPr>
            </w:pPr>
            <w:r w:rsidRPr="00B8345C">
              <w:rPr>
                <w:szCs w:val="14"/>
              </w:rPr>
              <w:t>2.56 (2.06</w:t>
            </w:r>
            <w:r w:rsidR="009919A9">
              <w:rPr>
                <w:szCs w:val="14"/>
              </w:rPr>
              <w:t>, </w:t>
            </w:r>
            <w:r w:rsidRPr="00B8345C">
              <w:rPr>
                <w:szCs w:val="14"/>
              </w:rPr>
              <w:t>3.18)</w:t>
            </w:r>
          </w:p>
        </w:tc>
        <w:tc>
          <w:tcPr>
            <w:tcW w:w="3089" w:type="dxa"/>
            <w:shd w:val="clear" w:color="auto" w:fill="auto"/>
          </w:tcPr>
          <w:p w14:paraId="3D3DA840" w14:textId="77777777" w:rsidR="00F67F7D" w:rsidRPr="00B8345C" w:rsidRDefault="00F67F7D" w:rsidP="00594252">
            <w:pPr>
              <w:pStyle w:val="TableText"/>
              <w:keepNext w:val="0"/>
              <w:rPr>
                <w:szCs w:val="14"/>
              </w:rPr>
            </w:pPr>
            <w:r w:rsidRPr="00B8345C">
              <w:rPr>
                <w:szCs w:val="14"/>
              </w:rPr>
              <w:t>Transitioned ADF with probable disorder were 2.56 times more likely to report that ‘when going through a difficult time, I go online more often’</w:t>
            </w:r>
          </w:p>
        </w:tc>
        <w:tc>
          <w:tcPr>
            <w:tcW w:w="1005" w:type="dxa"/>
            <w:tcBorders>
              <w:right w:val="nil"/>
            </w:tcBorders>
            <w:shd w:val="clear" w:color="auto" w:fill="auto"/>
          </w:tcPr>
          <w:p w14:paraId="016C68B9" w14:textId="77777777" w:rsidR="00F67F7D" w:rsidRPr="00B8345C" w:rsidRDefault="00F67F7D" w:rsidP="00594252">
            <w:pPr>
              <w:pStyle w:val="TableText"/>
              <w:keepNext w:val="0"/>
              <w:rPr>
                <w:szCs w:val="14"/>
              </w:rPr>
            </w:pPr>
            <w:r w:rsidRPr="00B8345C">
              <w:rPr>
                <w:szCs w:val="14"/>
              </w:rPr>
              <w:t>Moderate</w:t>
            </w:r>
          </w:p>
        </w:tc>
      </w:tr>
      <w:tr w:rsidR="00F67F7D" w:rsidRPr="00B8345C" w14:paraId="1AC90437" w14:textId="77777777" w:rsidTr="00466837">
        <w:trPr>
          <w:cantSplit/>
        </w:trPr>
        <w:tc>
          <w:tcPr>
            <w:tcW w:w="852" w:type="dxa"/>
            <w:tcBorders>
              <w:left w:val="nil"/>
            </w:tcBorders>
            <w:shd w:val="clear" w:color="auto" w:fill="auto"/>
          </w:tcPr>
          <w:p w14:paraId="3576A9C3"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245B5D28" w14:textId="77777777" w:rsidR="00F67F7D" w:rsidRPr="00B8345C" w:rsidRDefault="00F67F7D" w:rsidP="00594252">
            <w:pPr>
              <w:pStyle w:val="TableText"/>
              <w:keepNext w:val="0"/>
              <w:rPr>
                <w:szCs w:val="14"/>
              </w:rPr>
            </w:pPr>
            <w:r w:rsidRPr="00B8345C">
              <w:rPr>
                <w:szCs w:val="14"/>
              </w:rPr>
              <w:t>When going through a difficult time, I go online more often</w:t>
            </w:r>
          </w:p>
        </w:tc>
        <w:tc>
          <w:tcPr>
            <w:tcW w:w="3372" w:type="dxa"/>
            <w:shd w:val="clear" w:color="auto" w:fill="auto"/>
          </w:tcPr>
          <w:p w14:paraId="60118DAA"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w:t>
            </w:r>
          </w:p>
        </w:tc>
        <w:tc>
          <w:tcPr>
            <w:tcW w:w="1062" w:type="dxa"/>
            <w:shd w:val="clear" w:color="auto" w:fill="auto"/>
          </w:tcPr>
          <w:p w14:paraId="1C748D33" w14:textId="77777777" w:rsidR="00F67F7D" w:rsidRPr="00B8345C" w:rsidRDefault="00F67F7D" w:rsidP="00594252">
            <w:pPr>
              <w:pStyle w:val="TableText"/>
              <w:keepNext w:val="0"/>
              <w:rPr>
                <w:szCs w:val="14"/>
              </w:rPr>
            </w:pPr>
            <w:r w:rsidRPr="00B8345C">
              <w:rPr>
                <w:szCs w:val="14"/>
              </w:rPr>
              <w:t>1.72 (0.92</w:t>
            </w:r>
            <w:r w:rsidR="009919A9">
              <w:rPr>
                <w:szCs w:val="14"/>
              </w:rPr>
              <w:t>, </w:t>
            </w:r>
            <w:r w:rsidRPr="00B8345C">
              <w:rPr>
                <w:szCs w:val="14"/>
              </w:rPr>
              <w:t>3.20)</w:t>
            </w:r>
          </w:p>
        </w:tc>
        <w:tc>
          <w:tcPr>
            <w:tcW w:w="3089" w:type="dxa"/>
            <w:shd w:val="clear" w:color="auto" w:fill="auto"/>
          </w:tcPr>
          <w:p w14:paraId="3E599A38"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E7E3522" w14:textId="77777777" w:rsidR="00F67F7D" w:rsidRPr="00B8345C" w:rsidRDefault="00F67F7D" w:rsidP="00594252">
            <w:pPr>
              <w:pStyle w:val="TableText"/>
              <w:keepNext w:val="0"/>
              <w:rPr>
                <w:szCs w:val="14"/>
              </w:rPr>
            </w:pPr>
            <w:r>
              <w:rPr>
                <w:szCs w:val="14"/>
              </w:rPr>
              <w:t>–</w:t>
            </w:r>
          </w:p>
        </w:tc>
      </w:tr>
      <w:tr w:rsidR="00F67F7D" w:rsidRPr="00B8345C" w14:paraId="2EEBB2BC" w14:textId="77777777" w:rsidTr="00466837">
        <w:trPr>
          <w:cantSplit/>
        </w:trPr>
        <w:tc>
          <w:tcPr>
            <w:tcW w:w="852" w:type="dxa"/>
            <w:tcBorders>
              <w:left w:val="nil"/>
            </w:tcBorders>
            <w:shd w:val="clear" w:color="auto" w:fill="auto"/>
          </w:tcPr>
          <w:p w14:paraId="2CB36190"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78B291E6" w14:textId="77777777" w:rsidR="00F67F7D" w:rsidRPr="00B8345C" w:rsidRDefault="00F67F7D" w:rsidP="00594252">
            <w:pPr>
              <w:pStyle w:val="TableText"/>
              <w:keepNext w:val="0"/>
              <w:rPr>
                <w:szCs w:val="14"/>
              </w:rPr>
            </w:pPr>
            <w:r w:rsidRPr="00B8345C">
              <w:rPr>
                <w:szCs w:val="14"/>
              </w:rPr>
              <w:t>When going through a difficult time, going online makes me feel better</w:t>
            </w:r>
          </w:p>
        </w:tc>
        <w:tc>
          <w:tcPr>
            <w:tcW w:w="3372" w:type="dxa"/>
            <w:shd w:val="clear" w:color="auto" w:fill="auto"/>
          </w:tcPr>
          <w:p w14:paraId="7594146B"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w:t>
            </w:r>
          </w:p>
        </w:tc>
        <w:tc>
          <w:tcPr>
            <w:tcW w:w="1062" w:type="dxa"/>
            <w:shd w:val="clear" w:color="auto" w:fill="auto"/>
          </w:tcPr>
          <w:p w14:paraId="4CE0546A" w14:textId="77777777" w:rsidR="00F67F7D" w:rsidRPr="00B8345C" w:rsidRDefault="00F67F7D" w:rsidP="00594252">
            <w:pPr>
              <w:pStyle w:val="TableText"/>
              <w:keepNext w:val="0"/>
              <w:rPr>
                <w:szCs w:val="14"/>
              </w:rPr>
            </w:pPr>
            <w:r w:rsidRPr="00B8345C">
              <w:rPr>
                <w:szCs w:val="14"/>
              </w:rPr>
              <w:t>2.16 (1.72</w:t>
            </w:r>
            <w:r w:rsidR="009919A9">
              <w:rPr>
                <w:szCs w:val="14"/>
              </w:rPr>
              <w:t>, </w:t>
            </w:r>
            <w:r w:rsidRPr="00B8345C">
              <w:rPr>
                <w:szCs w:val="14"/>
              </w:rPr>
              <w:t>2.70)</w:t>
            </w:r>
          </w:p>
        </w:tc>
        <w:tc>
          <w:tcPr>
            <w:tcW w:w="3089" w:type="dxa"/>
            <w:shd w:val="clear" w:color="auto" w:fill="auto"/>
          </w:tcPr>
          <w:p w14:paraId="551356F9" w14:textId="77777777" w:rsidR="00F67F7D" w:rsidRPr="00B8345C" w:rsidRDefault="00F67F7D" w:rsidP="00594252">
            <w:pPr>
              <w:pStyle w:val="TableText"/>
              <w:keepNext w:val="0"/>
              <w:rPr>
                <w:szCs w:val="14"/>
              </w:rPr>
            </w:pPr>
            <w:r w:rsidRPr="00B8345C">
              <w:rPr>
                <w:szCs w:val="14"/>
              </w:rPr>
              <w:t>Transitioned ADF with probable disorder were 2.16 times more likely to report that ‘when going through a difficult time, going online makes me feel better’</w:t>
            </w:r>
          </w:p>
        </w:tc>
        <w:tc>
          <w:tcPr>
            <w:tcW w:w="1005" w:type="dxa"/>
            <w:tcBorders>
              <w:right w:val="nil"/>
            </w:tcBorders>
            <w:shd w:val="clear" w:color="auto" w:fill="auto"/>
          </w:tcPr>
          <w:p w14:paraId="61FC80F2" w14:textId="77777777" w:rsidR="00F67F7D" w:rsidRPr="00B8345C" w:rsidRDefault="00F67F7D" w:rsidP="00594252">
            <w:pPr>
              <w:pStyle w:val="TableText"/>
              <w:keepNext w:val="0"/>
              <w:rPr>
                <w:szCs w:val="14"/>
              </w:rPr>
            </w:pPr>
            <w:r w:rsidRPr="00B8345C">
              <w:rPr>
                <w:szCs w:val="14"/>
              </w:rPr>
              <w:t>Moderate</w:t>
            </w:r>
          </w:p>
        </w:tc>
      </w:tr>
      <w:tr w:rsidR="00F67F7D" w:rsidRPr="00B8345C" w14:paraId="4D510BE4" w14:textId="77777777" w:rsidTr="00466837">
        <w:trPr>
          <w:cantSplit/>
        </w:trPr>
        <w:tc>
          <w:tcPr>
            <w:tcW w:w="852" w:type="dxa"/>
            <w:tcBorders>
              <w:left w:val="nil"/>
            </w:tcBorders>
            <w:shd w:val="clear" w:color="auto" w:fill="auto"/>
          </w:tcPr>
          <w:p w14:paraId="2334A293" w14:textId="77777777" w:rsidR="00F67F7D" w:rsidRPr="00B8345C" w:rsidRDefault="00F67F7D" w:rsidP="00594252">
            <w:pPr>
              <w:pStyle w:val="TableText"/>
              <w:keepNext w:val="0"/>
              <w:rPr>
                <w:szCs w:val="14"/>
              </w:rPr>
            </w:pPr>
            <w:r w:rsidRPr="009010C4">
              <w:t xml:space="preserve">Table </w:t>
            </w:r>
            <w:r>
              <w:rPr>
                <w:noProof/>
              </w:rPr>
              <w:t>4</w:t>
            </w:r>
            <w:r>
              <w:t>.</w:t>
            </w:r>
            <w:r>
              <w:rPr>
                <w:noProof/>
              </w:rPr>
              <w:t>12</w:t>
            </w:r>
          </w:p>
        </w:tc>
        <w:tc>
          <w:tcPr>
            <w:tcW w:w="2140" w:type="dxa"/>
            <w:shd w:val="clear" w:color="auto" w:fill="auto"/>
          </w:tcPr>
          <w:p w14:paraId="354DB7CC" w14:textId="77777777" w:rsidR="00F67F7D" w:rsidRPr="00B8345C" w:rsidRDefault="00F67F7D" w:rsidP="00594252">
            <w:pPr>
              <w:pStyle w:val="TableText"/>
              <w:keepNext w:val="0"/>
              <w:rPr>
                <w:szCs w:val="14"/>
              </w:rPr>
            </w:pPr>
            <w:r w:rsidRPr="00B8345C">
              <w:rPr>
                <w:szCs w:val="14"/>
              </w:rPr>
              <w:t>When going through a difficult time, going online makes me feel better</w:t>
            </w:r>
          </w:p>
        </w:tc>
        <w:tc>
          <w:tcPr>
            <w:tcW w:w="3372" w:type="dxa"/>
            <w:shd w:val="clear" w:color="auto" w:fill="auto"/>
          </w:tcPr>
          <w:p w14:paraId="0190D126"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w:t>
            </w:r>
          </w:p>
        </w:tc>
        <w:tc>
          <w:tcPr>
            <w:tcW w:w="1062" w:type="dxa"/>
            <w:shd w:val="clear" w:color="auto" w:fill="auto"/>
          </w:tcPr>
          <w:p w14:paraId="2BB44F96" w14:textId="77777777" w:rsidR="00F67F7D" w:rsidRPr="00B8345C" w:rsidRDefault="00F67F7D" w:rsidP="00594252">
            <w:pPr>
              <w:pStyle w:val="TableText"/>
              <w:keepNext w:val="0"/>
              <w:rPr>
                <w:szCs w:val="14"/>
              </w:rPr>
            </w:pPr>
            <w:r w:rsidRPr="00B8345C">
              <w:rPr>
                <w:szCs w:val="14"/>
              </w:rPr>
              <w:t>1.70 (0.92</w:t>
            </w:r>
            <w:r w:rsidR="009919A9">
              <w:rPr>
                <w:szCs w:val="14"/>
              </w:rPr>
              <w:t>, </w:t>
            </w:r>
            <w:r w:rsidRPr="00B8345C">
              <w:rPr>
                <w:szCs w:val="14"/>
              </w:rPr>
              <w:t>3.17)</w:t>
            </w:r>
          </w:p>
        </w:tc>
        <w:tc>
          <w:tcPr>
            <w:tcW w:w="3089" w:type="dxa"/>
            <w:shd w:val="clear" w:color="auto" w:fill="auto"/>
          </w:tcPr>
          <w:p w14:paraId="3F5DEA7C"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0F976D9" w14:textId="77777777" w:rsidR="00F67F7D" w:rsidRPr="00B8345C" w:rsidRDefault="00F67F7D" w:rsidP="00594252">
            <w:pPr>
              <w:pStyle w:val="TableText"/>
              <w:keepNext w:val="0"/>
              <w:rPr>
                <w:szCs w:val="14"/>
              </w:rPr>
            </w:pPr>
            <w:r>
              <w:rPr>
                <w:szCs w:val="14"/>
              </w:rPr>
              <w:t>–</w:t>
            </w:r>
          </w:p>
        </w:tc>
      </w:tr>
      <w:tr w:rsidR="00F67F7D" w:rsidRPr="00B8345C" w14:paraId="37ACE51A" w14:textId="77777777" w:rsidTr="00466837">
        <w:trPr>
          <w:cantSplit/>
        </w:trPr>
        <w:tc>
          <w:tcPr>
            <w:tcW w:w="11520" w:type="dxa"/>
            <w:gridSpan w:val="6"/>
            <w:tcBorders>
              <w:left w:val="nil"/>
            </w:tcBorders>
            <w:shd w:val="clear" w:color="auto" w:fill="auto"/>
          </w:tcPr>
          <w:p w14:paraId="39421859" w14:textId="77777777" w:rsidR="00F67F7D" w:rsidRPr="00B8345C" w:rsidRDefault="00F67F7D" w:rsidP="00594252">
            <w:pPr>
              <w:pStyle w:val="TableText"/>
              <w:keepNext w:val="0"/>
              <w:rPr>
                <w:b/>
                <w:szCs w:val="14"/>
              </w:rPr>
            </w:pPr>
            <w:r w:rsidRPr="00B8345C">
              <w:rPr>
                <w:b/>
                <w:szCs w:val="14"/>
              </w:rPr>
              <w:t>5. USE OF NEW AND EMERGING TECHNOLOGY IN TRANSITIONED AND 2015 REGULAR ADF</w:t>
            </w:r>
          </w:p>
        </w:tc>
      </w:tr>
      <w:tr w:rsidR="00F67F7D" w:rsidRPr="00B8345C" w14:paraId="63421B2B" w14:textId="77777777" w:rsidTr="00466837">
        <w:trPr>
          <w:cantSplit/>
        </w:trPr>
        <w:tc>
          <w:tcPr>
            <w:tcW w:w="852" w:type="dxa"/>
            <w:tcBorders>
              <w:left w:val="nil"/>
            </w:tcBorders>
            <w:shd w:val="clear" w:color="auto" w:fill="auto"/>
          </w:tcPr>
          <w:p w14:paraId="7EDDD6F4" w14:textId="77777777" w:rsidR="00F67F7D" w:rsidRPr="00B8345C" w:rsidRDefault="00F67F7D" w:rsidP="00594252">
            <w:pPr>
              <w:pStyle w:val="TableText"/>
              <w:keepNext w:val="0"/>
              <w:rPr>
                <w:szCs w:val="14"/>
              </w:rPr>
            </w:pPr>
            <w:r w:rsidRPr="00320596">
              <w:t xml:space="preserve">Table </w:t>
            </w:r>
            <w:r>
              <w:rPr>
                <w:noProof/>
              </w:rPr>
              <w:t>5</w:t>
            </w:r>
            <w:r>
              <w:t>.</w:t>
            </w:r>
            <w:r>
              <w:rPr>
                <w:noProof/>
              </w:rPr>
              <w:t>1</w:t>
            </w:r>
          </w:p>
        </w:tc>
        <w:tc>
          <w:tcPr>
            <w:tcW w:w="2140" w:type="dxa"/>
            <w:shd w:val="clear" w:color="auto" w:fill="auto"/>
          </w:tcPr>
          <w:p w14:paraId="1F8C5DE8" w14:textId="77777777" w:rsidR="00F67F7D" w:rsidRPr="00B8345C" w:rsidRDefault="00F67F7D" w:rsidP="00594252">
            <w:pPr>
              <w:pStyle w:val="TableText"/>
              <w:keepNext w:val="0"/>
              <w:rPr>
                <w:szCs w:val="14"/>
              </w:rPr>
            </w:pPr>
            <w:r w:rsidRPr="00B8345C">
              <w:rPr>
                <w:szCs w:val="14"/>
              </w:rPr>
              <w:t>Currently use emerging technologies</w:t>
            </w:r>
          </w:p>
        </w:tc>
        <w:tc>
          <w:tcPr>
            <w:tcW w:w="3372" w:type="dxa"/>
            <w:shd w:val="clear" w:color="auto" w:fill="auto"/>
          </w:tcPr>
          <w:p w14:paraId="66FB4C25"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51A5107D" w14:textId="77777777" w:rsidR="00F67F7D" w:rsidRPr="00B8345C" w:rsidRDefault="00F67F7D" w:rsidP="00594252">
            <w:pPr>
              <w:pStyle w:val="TableText"/>
              <w:keepNext w:val="0"/>
              <w:rPr>
                <w:szCs w:val="14"/>
              </w:rPr>
            </w:pPr>
            <w:r w:rsidRPr="00B8345C">
              <w:rPr>
                <w:szCs w:val="14"/>
              </w:rPr>
              <w:t>0.73 (0.46</w:t>
            </w:r>
            <w:r w:rsidR="009919A9">
              <w:rPr>
                <w:szCs w:val="14"/>
              </w:rPr>
              <w:t>, </w:t>
            </w:r>
            <w:r w:rsidRPr="00B8345C">
              <w:rPr>
                <w:szCs w:val="14"/>
              </w:rPr>
              <w:t>1.15)</w:t>
            </w:r>
          </w:p>
        </w:tc>
        <w:tc>
          <w:tcPr>
            <w:tcW w:w="3089" w:type="dxa"/>
            <w:shd w:val="clear" w:color="auto" w:fill="auto"/>
          </w:tcPr>
          <w:p w14:paraId="44767E93"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0E2AE37" w14:textId="77777777" w:rsidR="00F67F7D" w:rsidRPr="00B8345C" w:rsidRDefault="00F67F7D" w:rsidP="00594252">
            <w:pPr>
              <w:pStyle w:val="TableText"/>
              <w:keepNext w:val="0"/>
              <w:rPr>
                <w:szCs w:val="14"/>
              </w:rPr>
            </w:pPr>
            <w:r>
              <w:rPr>
                <w:szCs w:val="14"/>
              </w:rPr>
              <w:t>–</w:t>
            </w:r>
          </w:p>
        </w:tc>
      </w:tr>
      <w:tr w:rsidR="00F67F7D" w:rsidRPr="00B8345C" w14:paraId="50A094FC" w14:textId="77777777" w:rsidTr="00466837">
        <w:trPr>
          <w:cantSplit/>
        </w:trPr>
        <w:tc>
          <w:tcPr>
            <w:tcW w:w="852" w:type="dxa"/>
            <w:tcBorders>
              <w:left w:val="nil"/>
            </w:tcBorders>
            <w:shd w:val="clear" w:color="auto" w:fill="auto"/>
          </w:tcPr>
          <w:p w14:paraId="7A191A62" w14:textId="77777777" w:rsidR="00F67F7D" w:rsidRPr="00B8345C" w:rsidRDefault="00F67F7D" w:rsidP="00594252">
            <w:pPr>
              <w:pStyle w:val="TableText"/>
              <w:keepNext w:val="0"/>
              <w:rPr>
                <w:szCs w:val="14"/>
              </w:rPr>
            </w:pPr>
            <w:r w:rsidRPr="00071F81">
              <w:t xml:space="preserve">Table </w:t>
            </w:r>
            <w:r>
              <w:rPr>
                <w:noProof/>
              </w:rPr>
              <w:t>5</w:t>
            </w:r>
            <w:r>
              <w:t>.</w:t>
            </w:r>
            <w:r>
              <w:rPr>
                <w:noProof/>
              </w:rPr>
              <w:t>2</w:t>
            </w:r>
          </w:p>
        </w:tc>
        <w:tc>
          <w:tcPr>
            <w:tcW w:w="2140" w:type="dxa"/>
            <w:shd w:val="clear" w:color="auto" w:fill="auto"/>
          </w:tcPr>
          <w:p w14:paraId="301612AB" w14:textId="77777777" w:rsidR="00F67F7D" w:rsidRPr="00B8345C" w:rsidRDefault="00F67F7D" w:rsidP="00594252">
            <w:pPr>
              <w:pStyle w:val="TableText"/>
              <w:keepNext w:val="0"/>
              <w:rPr>
                <w:szCs w:val="14"/>
              </w:rPr>
            </w:pPr>
            <w:r w:rsidRPr="00B8345C">
              <w:rPr>
                <w:szCs w:val="14"/>
              </w:rPr>
              <w:t>Current use of emerging technologies: Smartwatch</w:t>
            </w:r>
          </w:p>
        </w:tc>
        <w:tc>
          <w:tcPr>
            <w:tcW w:w="3372" w:type="dxa"/>
            <w:shd w:val="clear" w:color="auto" w:fill="auto"/>
          </w:tcPr>
          <w:p w14:paraId="59D707B5" w14:textId="77777777" w:rsidR="00F67F7D" w:rsidRPr="00B8345C" w:rsidRDefault="00F67F7D" w:rsidP="00594252">
            <w:pPr>
              <w:pStyle w:val="TableText"/>
              <w:keepNext w:val="0"/>
              <w:rPr>
                <w:szCs w:val="14"/>
              </w:rPr>
            </w:pPr>
            <w:r w:rsidRPr="00B8345C">
              <w:rPr>
                <w:szCs w:val="14"/>
              </w:rPr>
              <w:t>Transitioned ADF vs 2015 Regular ADF (In those who do use technologies)</w:t>
            </w:r>
          </w:p>
        </w:tc>
        <w:tc>
          <w:tcPr>
            <w:tcW w:w="1062" w:type="dxa"/>
            <w:shd w:val="clear" w:color="auto" w:fill="auto"/>
          </w:tcPr>
          <w:p w14:paraId="294F7F93" w14:textId="77777777" w:rsidR="00F67F7D" w:rsidRPr="00B8345C" w:rsidRDefault="00F67F7D" w:rsidP="00594252">
            <w:pPr>
              <w:pStyle w:val="TableText"/>
              <w:keepNext w:val="0"/>
              <w:rPr>
                <w:szCs w:val="14"/>
              </w:rPr>
            </w:pPr>
            <w:r w:rsidRPr="00B8345C">
              <w:rPr>
                <w:szCs w:val="14"/>
              </w:rPr>
              <w:t>0.47 (0.25</w:t>
            </w:r>
            <w:r w:rsidR="009919A9">
              <w:rPr>
                <w:szCs w:val="14"/>
              </w:rPr>
              <w:t>, </w:t>
            </w:r>
            <w:r w:rsidRPr="00B8345C">
              <w:rPr>
                <w:szCs w:val="14"/>
              </w:rPr>
              <w:t>0.90)</w:t>
            </w:r>
          </w:p>
        </w:tc>
        <w:tc>
          <w:tcPr>
            <w:tcW w:w="3089" w:type="dxa"/>
            <w:shd w:val="clear" w:color="auto" w:fill="auto"/>
          </w:tcPr>
          <w:p w14:paraId="69DDF58E" w14:textId="77777777" w:rsidR="00F67F7D" w:rsidRPr="00B8345C" w:rsidRDefault="00F67F7D" w:rsidP="00594252">
            <w:pPr>
              <w:pStyle w:val="TableText"/>
              <w:keepNext w:val="0"/>
              <w:rPr>
                <w:szCs w:val="14"/>
              </w:rPr>
            </w:pPr>
            <w:r w:rsidRPr="00B8345C">
              <w:rPr>
                <w:szCs w:val="14"/>
              </w:rPr>
              <w:t>Transitioned ADF were 53% less likely to use a ‘Smart watch’ than 2015 Regular ADF</w:t>
            </w:r>
          </w:p>
        </w:tc>
        <w:tc>
          <w:tcPr>
            <w:tcW w:w="1005" w:type="dxa"/>
            <w:tcBorders>
              <w:right w:val="nil"/>
            </w:tcBorders>
            <w:shd w:val="clear" w:color="auto" w:fill="auto"/>
          </w:tcPr>
          <w:p w14:paraId="0322298C" w14:textId="77777777" w:rsidR="00F67F7D" w:rsidRPr="00B8345C" w:rsidRDefault="00F67F7D" w:rsidP="00594252">
            <w:pPr>
              <w:pStyle w:val="TableText"/>
              <w:keepNext w:val="0"/>
              <w:rPr>
                <w:szCs w:val="14"/>
              </w:rPr>
            </w:pPr>
            <w:r w:rsidRPr="00B8345C">
              <w:rPr>
                <w:szCs w:val="14"/>
              </w:rPr>
              <w:t>Moderate</w:t>
            </w:r>
          </w:p>
        </w:tc>
      </w:tr>
      <w:tr w:rsidR="00F67F7D" w:rsidRPr="00B8345C" w14:paraId="3B8EE60C" w14:textId="77777777" w:rsidTr="00466837">
        <w:trPr>
          <w:cantSplit/>
        </w:trPr>
        <w:tc>
          <w:tcPr>
            <w:tcW w:w="852" w:type="dxa"/>
            <w:tcBorders>
              <w:left w:val="nil"/>
            </w:tcBorders>
            <w:shd w:val="clear" w:color="auto" w:fill="auto"/>
          </w:tcPr>
          <w:p w14:paraId="3B805912" w14:textId="77777777" w:rsidR="00F67F7D" w:rsidRPr="00B8345C" w:rsidRDefault="00F67F7D" w:rsidP="00594252">
            <w:pPr>
              <w:pStyle w:val="TableText"/>
              <w:keepNext w:val="0"/>
              <w:rPr>
                <w:szCs w:val="14"/>
              </w:rPr>
            </w:pPr>
            <w:r w:rsidRPr="00071F81">
              <w:t xml:space="preserve">Table </w:t>
            </w:r>
            <w:r>
              <w:rPr>
                <w:noProof/>
              </w:rPr>
              <w:t>5</w:t>
            </w:r>
            <w:r>
              <w:t>.</w:t>
            </w:r>
            <w:r>
              <w:rPr>
                <w:noProof/>
              </w:rPr>
              <w:t>2</w:t>
            </w:r>
          </w:p>
        </w:tc>
        <w:tc>
          <w:tcPr>
            <w:tcW w:w="2140" w:type="dxa"/>
            <w:shd w:val="clear" w:color="auto" w:fill="auto"/>
          </w:tcPr>
          <w:p w14:paraId="45E5E9FF" w14:textId="77777777" w:rsidR="00F67F7D" w:rsidRPr="00B8345C" w:rsidRDefault="00F67F7D" w:rsidP="00594252">
            <w:pPr>
              <w:pStyle w:val="TableText"/>
              <w:keepNext w:val="0"/>
              <w:rPr>
                <w:szCs w:val="14"/>
              </w:rPr>
            </w:pPr>
            <w:r w:rsidRPr="00B8345C">
              <w:rPr>
                <w:szCs w:val="14"/>
              </w:rPr>
              <w:t xml:space="preserve">Current use of emerging technologies: </w:t>
            </w:r>
            <w:r>
              <w:rPr>
                <w:szCs w:val="14"/>
              </w:rPr>
              <w:t>app</w:t>
            </w:r>
            <w:r w:rsidRPr="00B8345C">
              <w:rPr>
                <w:szCs w:val="14"/>
              </w:rPr>
              <w:t>s</w:t>
            </w:r>
          </w:p>
        </w:tc>
        <w:tc>
          <w:tcPr>
            <w:tcW w:w="3372" w:type="dxa"/>
            <w:shd w:val="clear" w:color="auto" w:fill="auto"/>
          </w:tcPr>
          <w:p w14:paraId="204EA90A" w14:textId="77777777" w:rsidR="00F67F7D" w:rsidRPr="00B8345C" w:rsidRDefault="00F67F7D" w:rsidP="00594252">
            <w:pPr>
              <w:pStyle w:val="TableText"/>
              <w:keepNext w:val="0"/>
              <w:rPr>
                <w:szCs w:val="14"/>
              </w:rPr>
            </w:pPr>
            <w:r w:rsidRPr="00B8345C">
              <w:rPr>
                <w:szCs w:val="14"/>
              </w:rPr>
              <w:t>Transitioned ADF vs 2015 Regular ADF (In those who do use technologies)</w:t>
            </w:r>
          </w:p>
        </w:tc>
        <w:tc>
          <w:tcPr>
            <w:tcW w:w="1062" w:type="dxa"/>
            <w:shd w:val="clear" w:color="auto" w:fill="auto"/>
          </w:tcPr>
          <w:p w14:paraId="04B7B077" w14:textId="77777777" w:rsidR="00F67F7D" w:rsidRPr="00B8345C" w:rsidRDefault="00F67F7D" w:rsidP="00594252">
            <w:pPr>
              <w:pStyle w:val="TableText"/>
              <w:keepNext w:val="0"/>
              <w:rPr>
                <w:szCs w:val="14"/>
              </w:rPr>
            </w:pPr>
            <w:r w:rsidRPr="00B8345C">
              <w:rPr>
                <w:szCs w:val="14"/>
              </w:rPr>
              <w:t>0.86 (0.58</w:t>
            </w:r>
            <w:r w:rsidR="009919A9">
              <w:rPr>
                <w:szCs w:val="14"/>
              </w:rPr>
              <w:t>, </w:t>
            </w:r>
            <w:r w:rsidRPr="00B8345C">
              <w:rPr>
                <w:szCs w:val="14"/>
              </w:rPr>
              <w:t>1.27)</w:t>
            </w:r>
          </w:p>
        </w:tc>
        <w:tc>
          <w:tcPr>
            <w:tcW w:w="3089" w:type="dxa"/>
            <w:shd w:val="clear" w:color="auto" w:fill="auto"/>
          </w:tcPr>
          <w:p w14:paraId="15F971D1"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D901553" w14:textId="77777777" w:rsidR="00F67F7D" w:rsidRPr="00B8345C" w:rsidRDefault="00F67F7D" w:rsidP="00594252">
            <w:pPr>
              <w:pStyle w:val="TableText"/>
              <w:keepNext w:val="0"/>
              <w:rPr>
                <w:szCs w:val="14"/>
              </w:rPr>
            </w:pPr>
            <w:r>
              <w:rPr>
                <w:szCs w:val="14"/>
              </w:rPr>
              <w:t>–</w:t>
            </w:r>
          </w:p>
        </w:tc>
      </w:tr>
      <w:tr w:rsidR="00F67F7D" w:rsidRPr="00B8345C" w14:paraId="341068F7" w14:textId="77777777" w:rsidTr="00466837">
        <w:trPr>
          <w:cantSplit/>
        </w:trPr>
        <w:tc>
          <w:tcPr>
            <w:tcW w:w="852" w:type="dxa"/>
            <w:tcBorders>
              <w:left w:val="nil"/>
            </w:tcBorders>
            <w:shd w:val="clear" w:color="auto" w:fill="auto"/>
          </w:tcPr>
          <w:p w14:paraId="741C2C7A" w14:textId="77777777" w:rsidR="00F67F7D" w:rsidRPr="00B8345C" w:rsidRDefault="00F67F7D" w:rsidP="00594252">
            <w:pPr>
              <w:pStyle w:val="TableText"/>
              <w:keepNext w:val="0"/>
              <w:rPr>
                <w:szCs w:val="14"/>
              </w:rPr>
            </w:pPr>
            <w:r w:rsidRPr="00071F81">
              <w:t xml:space="preserve">Table </w:t>
            </w:r>
            <w:r>
              <w:rPr>
                <w:noProof/>
              </w:rPr>
              <w:t>5</w:t>
            </w:r>
            <w:r>
              <w:t>.</w:t>
            </w:r>
            <w:r>
              <w:rPr>
                <w:noProof/>
              </w:rPr>
              <w:t>2</w:t>
            </w:r>
          </w:p>
        </w:tc>
        <w:tc>
          <w:tcPr>
            <w:tcW w:w="2140" w:type="dxa"/>
            <w:shd w:val="clear" w:color="auto" w:fill="auto"/>
          </w:tcPr>
          <w:p w14:paraId="77E34784" w14:textId="77777777" w:rsidR="00F67F7D" w:rsidRPr="00B8345C" w:rsidRDefault="00F67F7D" w:rsidP="00594252">
            <w:pPr>
              <w:pStyle w:val="TableText"/>
              <w:keepNext w:val="0"/>
              <w:rPr>
                <w:szCs w:val="14"/>
              </w:rPr>
            </w:pPr>
            <w:r w:rsidRPr="00B8345C">
              <w:rPr>
                <w:szCs w:val="14"/>
              </w:rPr>
              <w:t>Current use of emerging technologies: Wearable technology</w:t>
            </w:r>
          </w:p>
        </w:tc>
        <w:tc>
          <w:tcPr>
            <w:tcW w:w="3372" w:type="dxa"/>
            <w:shd w:val="clear" w:color="auto" w:fill="auto"/>
          </w:tcPr>
          <w:p w14:paraId="653B9540" w14:textId="77777777" w:rsidR="00F67F7D" w:rsidRPr="00B8345C" w:rsidRDefault="00F67F7D" w:rsidP="00594252">
            <w:pPr>
              <w:pStyle w:val="TableText"/>
              <w:keepNext w:val="0"/>
              <w:rPr>
                <w:szCs w:val="14"/>
              </w:rPr>
            </w:pPr>
            <w:r w:rsidRPr="00B8345C">
              <w:rPr>
                <w:szCs w:val="14"/>
              </w:rPr>
              <w:t>Transitioned ADF vs 2015 Regular ADF (In those who do use technologies)</w:t>
            </w:r>
          </w:p>
        </w:tc>
        <w:tc>
          <w:tcPr>
            <w:tcW w:w="1062" w:type="dxa"/>
            <w:shd w:val="clear" w:color="auto" w:fill="auto"/>
          </w:tcPr>
          <w:p w14:paraId="39D9B3A8" w14:textId="77777777" w:rsidR="00F67F7D" w:rsidRPr="00B8345C" w:rsidRDefault="00F67F7D" w:rsidP="00594252">
            <w:pPr>
              <w:pStyle w:val="TableText"/>
              <w:keepNext w:val="0"/>
              <w:rPr>
                <w:szCs w:val="14"/>
              </w:rPr>
            </w:pPr>
            <w:r w:rsidRPr="00B8345C">
              <w:rPr>
                <w:szCs w:val="14"/>
              </w:rPr>
              <w:t>0.83 (0.59</w:t>
            </w:r>
            <w:r w:rsidR="009919A9">
              <w:rPr>
                <w:szCs w:val="14"/>
              </w:rPr>
              <w:t>, </w:t>
            </w:r>
            <w:r w:rsidRPr="00B8345C">
              <w:rPr>
                <w:szCs w:val="14"/>
              </w:rPr>
              <w:t>1.16)</w:t>
            </w:r>
          </w:p>
        </w:tc>
        <w:tc>
          <w:tcPr>
            <w:tcW w:w="3089" w:type="dxa"/>
            <w:shd w:val="clear" w:color="auto" w:fill="auto"/>
          </w:tcPr>
          <w:p w14:paraId="6FCE1416"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FE58AF3" w14:textId="77777777" w:rsidR="00F67F7D" w:rsidRPr="00B8345C" w:rsidRDefault="00F67F7D" w:rsidP="00594252">
            <w:pPr>
              <w:pStyle w:val="TableText"/>
              <w:keepNext w:val="0"/>
              <w:rPr>
                <w:szCs w:val="14"/>
              </w:rPr>
            </w:pPr>
            <w:r>
              <w:rPr>
                <w:szCs w:val="14"/>
              </w:rPr>
              <w:t>–</w:t>
            </w:r>
          </w:p>
        </w:tc>
      </w:tr>
      <w:tr w:rsidR="00F67F7D" w:rsidRPr="00B8345C" w14:paraId="3A0CA284" w14:textId="77777777" w:rsidTr="00466837">
        <w:trPr>
          <w:cantSplit/>
        </w:trPr>
        <w:tc>
          <w:tcPr>
            <w:tcW w:w="852" w:type="dxa"/>
            <w:tcBorders>
              <w:left w:val="nil"/>
            </w:tcBorders>
            <w:shd w:val="clear" w:color="auto" w:fill="auto"/>
          </w:tcPr>
          <w:p w14:paraId="749799A7" w14:textId="77777777" w:rsidR="00F67F7D" w:rsidRPr="00B8345C" w:rsidRDefault="00F67F7D" w:rsidP="00594252">
            <w:pPr>
              <w:pStyle w:val="TableText"/>
              <w:keepNext w:val="0"/>
              <w:rPr>
                <w:szCs w:val="14"/>
              </w:rPr>
            </w:pPr>
            <w:r w:rsidRPr="00071F81">
              <w:t xml:space="preserve">Table </w:t>
            </w:r>
            <w:r>
              <w:rPr>
                <w:noProof/>
              </w:rPr>
              <w:t>5</w:t>
            </w:r>
            <w:r>
              <w:t>.</w:t>
            </w:r>
            <w:r>
              <w:rPr>
                <w:noProof/>
              </w:rPr>
              <w:t>2</w:t>
            </w:r>
          </w:p>
        </w:tc>
        <w:tc>
          <w:tcPr>
            <w:tcW w:w="2140" w:type="dxa"/>
            <w:shd w:val="clear" w:color="auto" w:fill="auto"/>
          </w:tcPr>
          <w:p w14:paraId="76EE9845" w14:textId="77777777" w:rsidR="00F67F7D" w:rsidRPr="00B8345C" w:rsidRDefault="00F67F7D" w:rsidP="00594252">
            <w:pPr>
              <w:pStyle w:val="TableText"/>
              <w:keepNext w:val="0"/>
              <w:rPr>
                <w:szCs w:val="14"/>
              </w:rPr>
            </w:pPr>
            <w:r w:rsidRPr="00B8345C">
              <w:rPr>
                <w:szCs w:val="14"/>
              </w:rPr>
              <w:t>Current use of emerging technologies: Other technology</w:t>
            </w:r>
          </w:p>
        </w:tc>
        <w:tc>
          <w:tcPr>
            <w:tcW w:w="3372" w:type="dxa"/>
            <w:shd w:val="clear" w:color="auto" w:fill="auto"/>
          </w:tcPr>
          <w:p w14:paraId="3A5491F8" w14:textId="77777777" w:rsidR="00F67F7D" w:rsidRPr="00B8345C" w:rsidRDefault="00F67F7D" w:rsidP="00594252">
            <w:pPr>
              <w:pStyle w:val="TableText"/>
              <w:keepNext w:val="0"/>
              <w:rPr>
                <w:szCs w:val="14"/>
              </w:rPr>
            </w:pPr>
            <w:r w:rsidRPr="00B8345C">
              <w:rPr>
                <w:szCs w:val="14"/>
              </w:rPr>
              <w:t>Transitioned ADF vs 2015 Regular ADF (In those who do use technologies)</w:t>
            </w:r>
          </w:p>
        </w:tc>
        <w:tc>
          <w:tcPr>
            <w:tcW w:w="1062" w:type="dxa"/>
            <w:shd w:val="clear" w:color="auto" w:fill="auto"/>
          </w:tcPr>
          <w:p w14:paraId="59709728" w14:textId="77777777" w:rsidR="00F67F7D" w:rsidRPr="00B8345C" w:rsidRDefault="00F67F7D" w:rsidP="00594252">
            <w:pPr>
              <w:pStyle w:val="TableText"/>
              <w:keepNext w:val="0"/>
              <w:rPr>
                <w:szCs w:val="14"/>
              </w:rPr>
            </w:pPr>
            <w:r w:rsidRPr="00B8345C">
              <w:rPr>
                <w:szCs w:val="14"/>
              </w:rPr>
              <w:t>0.95 (0.44</w:t>
            </w:r>
            <w:r w:rsidR="009919A9">
              <w:rPr>
                <w:szCs w:val="14"/>
              </w:rPr>
              <w:t>, </w:t>
            </w:r>
            <w:r w:rsidRPr="00B8345C">
              <w:rPr>
                <w:szCs w:val="14"/>
              </w:rPr>
              <w:t>2.06)</w:t>
            </w:r>
          </w:p>
        </w:tc>
        <w:tc>
          <w:tcPr>
            <w:tcW w:w="3089" w:type="dxa"/>
            <w:shd w:val="clear" w:color="auto" w:fill="auto"/>
          </w:tcPr>
          <w:p w14:paraId="4F63BEFC"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0A2A123" w14:textId="77777777" w:rsidR="00F67F7D" w:rsidRPr="00B8345C" w:rsidRDefault="00F67F7D" w:rsidP="00594252">
            <w:pPr>
              <w:pStyle w:val="TableText"/>
              <w:keepNext w:val="0"/>
              <w:rPr>
                <w:szCs w:val="14"/>
              </w:rPr>
            </w:pPr>
            <w:r>
              <w:rPr>
                <w:szCs w:val="14"/>
              </w:rPr>
              <w:t>–</w:t>
            </w:r>
          </w:p>
        </w:tc>
      </w:tr>
      <w:tr w:rsidR="00F67F7D" w:rsidRPr="00B8345C" w14:paraId="3DB71FE7" w14:textId="77777777" w:rsidTr="00466837">
        <w:trPr>
          <w:cantSplit/>
        </w:trPr>
        <w:tc>
          <w:tcPr>
            <w:tcW w:w="852" w:type="dxa"/>
            <w:tcBorders>
              <w:left w:val="nil"/>
            </w:tcBorders>
            <w:shd w:val="clear" w:color="auto" w:fill="auto"/>
          </w:tcPr>
          <w:p w14:paraId="11C383E3" w14:textId="77777777" w:rsidR="00F67F7D" w:rsidRPr="00B8345C" w:rsidRDefault="00F67F7D" w:rsidP="00594252">
            <w:pPr>
              <w:pStyle w:val="TableText"/>
              <w:keepNext w:val="0"/>
              <w:rPr>
                <w:szCs w:val="14"/>
              </w:rPr>
            </w:pPr>
            <w:r>
              <w:t xml:space="preserve">Table </w:t>
            </w:r>
            <w:r>
              <w:rPr>
                <w:noProof/>
              </w:rPr>
              <w:t>5</w:t>
            </w:r>
            <w:r>
              <w:t>.</w:t>
            </w:r>
            <w:r>
              <w:rPr>
                <w:noProof/>
              </w:rPr>
              <w:t>3</w:t>
            </w:r>
          </w:p>
        </w:tc>
        <w:tc>
          <w:tcPr>
            <w:tcW w:w="2140" w:type="dxa"/>
            <w:shd w:val="clear" w:color="auto" w:fill="auto"/>
          </w:tcPr>
          <w:p w14:paraId="14A75E74" w14:textId="77777777" w:rsidR="00F67F7D" w:rsidRPr="00B8345C" w:rsidRDefault="00F67F7D" w:rsidP="00594252">
            <w:pPr>
              <w:pStyle w:val="TableText"/>
              <w:keepNext w:val="0"/>
              <w:rPr>
                <w:szCs w:val="14"/>
              </w:rPr>
            </w:pPr>
            <w:r w:rsidRPr="00B8345C">
              <w:rPr>
                <w:szCs w:val="14"/>
              </w:rPr>
              <w:t>Barriers to using new or emerging technologies: No need or interest</w:t>
            </w:r>
          </w:p>
        </w:tc>
        <w:tc>
          <w:tcPr>
            <w:tcW w:w="3372" w:type="dxa"/>
            <w:shd w:val="clear" w:color="auto" w:fill="auto"/>
          </w:tcPr>
          <w:p w14:paraId="73DF4A73" w14:textId="77777777" w:rsidR="00F67F7D" w:rsidRPr="00B8345C" w:rsidRDefault="00F67F7D" w:rsidP="00594252">
            <w:pPr>
              <w:pStyle w:val="TableText"/>
              <w:keepNext w:val="0"/>
              <w:rPr>
                <w:szCs w:val="14"/>
                <w:highlight w:val="magenta"/>
              </w:rPr>
            </w:pPr>
            <w:r w:rsidRPr="00B8345C">
              <w:rPr>
                <w:szCs w:val="14"/>
              </w:rPr>
              <w:t>Transitioned ADF vs 2015 Regular ADF (In those who do not use technologies)</w:t>
            </w:r>
          </w:p>
        </w:tc>
        <w:tc>
          <w:tcPr>
            <w:tcW w:w="1062" w:type="dxa"/>
            <w:shd w:val="clear" w:color="auto" w:fill="auto"/>
          </w:tcPr>
          <w:p w14:paraId="58381476" w14:textId="77777777" w:rsidR="00F67F7D" w:rsidRPr="00B8345C" w:rsidRDefault="00F67F7D" w:rsidP="00594252">
            <w:pPr>
              <w:pStyle w:val="TableText"/>
              <w:keepNext w:val="0"/>
              <w:rPr>
                <w:szCs w:val="14"/>
                <w:highlight w:val="magenta"/>
              </w:rPr>
            </w:pPr>
            <w:r w:rsidRPr="00B8345C">
              <w:rPr>
                <w:szCs w:val="14"/>
              </w:rPr>
              <w:t>1.34 (0.86</w:t>
            </w:r>
            <w:r w:rsidR="009919A9">
              <w:rPr>
                <w:szCs w:val="14"/>
              </w:rPr>
              <w:t>, </w:t>
            </w:r>
            <w:r w:rsidRPr="00B8345C">
              <w:rPr>
                <w:szCs w:val="14"/>
              </w:rPr>
              <w:t>2.08)</w:t>
            </w:r>
          </w:p>
        </w:tc>
        <w:tc>
          <w:tcPr>
            <w:tcW w:w="3089" w:type="dxa"/>
            <w:shd w:val="clear" w:color="auto" w:fill="auto"/>
          </w:tcPr>
          <w:p w14:paraId="7A75E847" w14:textId="77777777" w:rsidR="00F67F7D" w:rsidRPr="00B8345C" w:rsidRDefault="00F67F7D" w:rsidP="00594252">
            <w:pPr>
              <w:pStyle w:val="TableText"/>
              <w:keepNext w:val="0"/>
              <w:rPr>
                <w:szCs w:val="14"/>
                <w:highlight w:val="magenta"/>
              </w:rPr>
            </w:pPr>
            <w:r w:rsidRPr="00B8345C">
              <w:rPr>
                <w:szCs w:val="14"/>
              </w:rPr>
              <w:t>No association</w:t>
            </w:r>
          </w:p>
        </w:tc>
        <w:tc>
          <w:tcPr>
            <w:tcW w:w="1005" w:type="dxa"/>
            <w:tcBorders>
              <w:right w:val="nil"/>
            </w:tcBorders>
            <w:shd w:val="clear" w:color="auto" w:fill="auto"/>
          </w:tcPr>
          <w:p w14:paraId="185CDDD6" w14:textId="77777777" w:rsidR="00F67F7D" w:rsidRPr="00B8345C" w:rsidRDefault="00F67F7D" w:rsidP="00594252">
            <w:pPr>
              <w:pStyle w:val="TableText"/>
              <w:keepNext w:val="0"/>
              <w:rPr>
                <w:szCs w:val="14"/>
              </w:rPr>
            </w:pPr>
            <w:r>
              <w:rPr>
                <w:szCs w:val="14"/>
              </w:rPr>
              <w:t>–</w:t>
            </w:r>
          </w:p>
        </w:tc>
      </w:tr>
      <w:tr w:rsidR="00F67F7D" w:rsidRPr="00B8345C" w14:paraId="1C1173BF" w14:textId="77777777" w:rsidTr="00466837">
        <w:trPr>
          <w:cantSplit/>
        </w:trPr>
        <w:tc>
          <w:tcPr>
            <w:tcW w:w="852" w:type="dxa"/>
            <w:tcBorders>
              <w:left w:val="nil"/>
            </w:tcBorders>
            <w:shd w:val="clear" w:color="auto" w:fill="auto"/>
          </w:tcPr>
          <w:p w14:paraId="354FAD7F" w14:textId="77777777" w:rsidR="00F67F7D" w:rsidRPr="00B8345C" w:rsidRDefault="00F67F7D" w:rsidP="00594252">
            <w:pPr>
              <w:pStyle w:val="TableText"/>
              <w:keepNext w:val="0"/>
              <w:rPr>
                <w:szCs w:val="14"/>
              </w:rPr>
            </w:pPr>
            <w:r>
              <w:t xml:space="preserve">Table </w:t>
            </w:r>
            <w:r>
              <w:rPr>
                <w:noProof/>
              </w:rPr>
              <w:t>5</w:t>
            </w:r>
            <w:r>
              <w:t>.</w:t>
            </w:r>
            <w:r>
              <w:rPr>
                <w:noProof/>
              </w:rPr>
              <w:t>3</w:t>
            </w:r>
          </w:p>
        </w:tc>
        <w:tc>
          <w:tcPr>
            <w:tcW w:w="2140" w:type="dxa"/>
            <w:shd w:val="clear" w:color="auto" w:fill="auto"/>
          </w:tcPr>
          <w:p w14:paraId="4CBFAD0A" w14:textId="77777777" w:rsidR="00F67F7D" w:rsidRPr="00B8345C" w:rsidRDefault="00F67F7D" w:rsidP="00594252">
            <w:pPr>
              <w:pStyle w:val="TableText"/>
              <w:keepNext w:val="0"/>
              <w:rPr>
                <w:szCs w:val="14"/>
              </w:rPr>
            </w:pPr>
            <w:r w:rsidRPr="00B8345C">
              <w:rPr>
                <w:szCs w:val="14"/>
              </w:rPr>
              <w:t>Barriers to using new or emerging technologies: No time</w:t>
            </w:r>
          </w:p>
        </w:tc>
        <w:tc>
          <w:tcPr>
            <w:tcW w:w="3372" w:type="dxa"/>
            <w:shd w:val="clear" w:color="auto" w:fill="auto"/>
          </w:tcPr>
          <w:p w14:paraId="705E328B" w14:textId="77777777" w:rsidR="00F67F7D" w:rsidRPr="00B8345C" w:rsidRDefault="00F67F7D" w:rsidP="00594252">
            <w:pPr>
              <w:pStyle w:val="TableText"/>
              <w:keepNext w:val="0"/>
              <w:rPr>
                <w:szCs w:val="14"/>
                <w:highlight w:val="magenta"/>
              </w:rPr>
            </w:pPr>
            <w:r w:rsidRPr="00B8345C">
              <w:rPr>
                <w:szCs w:val="14"/>
              </w:rPr>
              <w:t>Transitioned ADF vs 2015 Regular ADF (In those who do not use technologies)</w:t>
            </w:r>
          </w:p>
        </w:tc>
        <w:tc>
          <w:tcPr>
            <w:tcW w:w="1062" w:type="dxa"/>
            <w:shd w:val="clear" w:color="auto" w:fill="auto"/>
          </w:tcPr>
          <w:p w14:paraId="68C5FD7F" w14:textId="77777777" w:rsidR="00F67F7D" w:rsidRPr="00B8345C" w:rsidRDefault="00F67F7D" w:rsidP="00594252">
            <w:pPr>
              <w:pStyle w:val="TableText"/>
              <w:keepNext w:val="0"/>
              <w:rPr>
                <w:szCs w:val="14"/>
                <w:highlight w:val="magenta"/>
              </w:rPr>
            </w:pPr>
            <w:r w:rsidRPr="00B8345C">
              <w:rPr>
                <w:szCs w:val="14"/>
              </w:rPr>
              <w:t>0.93 (0.58</w:t>
            </w:r>
            <w:r w:rsidR="009919A9">
              <w:rPr>
                <w:szCs w:val="14"/>
              </w:rPr>
              <w:t>, </w:t>
            </w:r>
            <w:r w:rsidRPr="00B8345C">
              <w:rPr>
                <w:szCs w:val="14"/>
              </w:rPr>
              <w:t>1.48)</w:t>
            </w:r>
          </w:p>
        </w:tc>
        <w:tc>
          <w:tcPr>
            <w:tcW w:w="3089" w:type="dxa"/>
            <w:shd w:val="clear" w:color="auto" w:fill="auto"/>
          </w:tcPr>
          <w:p w14:paraId="0E9AECD9" w14:textId="77777777" w:rsidR="00F67F7D" w:rsidRPr="00B8345C" w:rsidRDefault="00F67F7D" w:rsidP="00594252">
            <w:pPr>
              <w:pStyle w:val="TableText"/>
              <w:keepNext w:val="0"/>
              <w:rPr>
                <w:szCs w:val="14"/>
                <w:highlight w:val="magenta"/>
              </w:rPr>
            </w:pPr>
            <w:r w:rsidRPr="00B8345C">
              <w:rPr>
                <w:szCs w:val="14"/>
              </w:rPr>
              <w:t>No association</w:t>
            </w:r>
          </w:p>
        </w:tc>
        <w:tc>
          <w:tcPr>
            <w:tcW w:w="1005" w:type="dxa"/>
            <w:tcBorders>
              <w:right w:val="nil"/>
            </w:tcBorders>
            <w:shd w:val="clear" w:color="auto" w:fill="auto"/>
          </w:tcPr>
          <w:p w14:paraId="687CF009" w14:textId="77777777" w:rsidR="00F67F7D" w:rsidRPr="00B8345C" w:rsidRDefault="00F67F7D" w:rsidP="00594252">
            <w:pPr>
              <w:pStyle w:val="TableText"/>
              <w:keepNext w:val="0"/>
              <w:rPr>
                <w:szCs w:val="14"/>
              </w:rPr>
            </w:pPr>
            <w:r>
              <w:rPr>
                <w:szCs w:val="14"/>
              </w:rPr>
              <w:t>–</w:t>
            </w:r>
          </w:p>
        </w:tc>
      </w:tr>
      <w:tr w:rsidR="00F67F7D" w:rsidRPr="00B8345C" w14:paraId="268AE7A2" w14:textId="77777777" w:rsidTr="00466837">
        <w:trPr>
          <w:cantSplit/>
        </w:trPr>
        <w:tc>
          <w:tcPr>
            <w:tcW w:w="852" w:type="dxa"/>
            <w:tcBorders>
              <w:left w:val="nil"/>
            </w:tcBorders>
            <w:shd w:val="clear" w:color="auto" w:fill="auto"/>
          </w:tcPr>
          <w:p w14:paraId="64921E22" w14:textId="77777777" w:rsidR="00F67F7D" w:rsidRPr="00B8345C" w:rsidRDefault="00F67F7D" w:rsidP="00594252">
            <w:pPr>
              <w:pStyle w:val="TableText"/>
              <w:keepNext w:val="0"/>
              <w:rPr>
                <w:szCs w:val="14"/>
              </w:rPr>
            </w:pPr>
            <w:r>
              <w:t xml:space="preserve">Table </w:t>
            </w:r>
            <w:r>
              <w:rPr>
                <w:noProof/>
              </w:rPr>
              <w:t>5</w:t>
            </w:r>
            <w:r>
              <w:t>.</w:t>
            </w:r>
            <w:r>
              <w:rPr>
                <w:noProof/>
              </w:rPr>
              <w:t>3</w:t>
            </w:r>
          </w:p>
        </w:tc>
        <w:tc>
          <w:tcPr>
            <w:tcW w:w="2140" w:type="dxa"/>
            <w:shd w:val="clear" w:color="auto" w:fill="auto"/>
          </w:tcPr>
          <w:p w14:paraId="549ADD96" w14:textId="77777777" w:rsidR="00F67F7D" w:rsidRPr="00B8345C" w:rsidRDefault="00F67F7D" w:rsidP="00594252">
            <w:pPr>
              <w:pStyle w:val="TableText"/>
              <w:keepNext w:val="0"/>
              <w:rPr>
                <w:szCs w:val="14"/>
              </w:rPr>
            </w:pPr>
            <w:r w:rsidRPr="00B8345C">
              <w:rPr>
                <w:szCs w:val="14"/>
              </w:rPr>
              <w:t>Barriers to using new or emerging technologies: Too confusing</w:t>
            </w:r>
          </w:p>
        </w:tc>
        <w:tc>
          <w:tcPr>
            <w:tcW w:w="3372" w:type="dxa"/>
            <w:shd w:val="clear" w:color="auto" w:fill="auto"/>
          </w:tcPr>
          <w:p w14:paraId="54339829" w14:textId="77777777" w:rsidR="00F67F7D" w:rsidRPr="00B8345C" w:rsidRDefault="00F67F7D" w:rsidP="00594252">
            <w:pPr>
              <w:pStyle w:val="TableText"/>
              <w:keepNext w:val="0"/>
              <w:rPr>
                <w:szCs w:val="14"/>
                <w:highlight w:val="magenta"/>
              </w:rPr>
            </w:pPr>
            <w:r w:rsidRPr="00B8345C">
              <w:rPr>
                <w:szCs w:val="14"/>
              </w:rPr>
              <w:t>Transitioned ADF vs 2015 Regular ADF (In those who do not use technologies)</w:t>
            </w:r>
          </w:p>
        </w:tc>
        <w:tc>
          <w:tcPr>
            <w:tcW w:w="1062" w:type="dxa"/>
            <w:shd w:val="clear" w:color="auto" w:fill="auto"/>
          </w:tcPr>
          <w:p w14:paraId="5A614079" w14:textId="77777777" w:rsidR="00F67F7D" w:rsidRPr="00B8345C" w:rsidRDefault="00F67F7D" w:rsidP="00594252">
            <w:pPr>
              <w:pStyle w:val="TableText"/>
              <w:keepNext w:val="0"/>
              <w:rPr>
                <w:szCs w:val="14"/>
                <w:highlight w:val="magenta"/>
              </w:rPr>
            </w:pPr>
            <w:r w:rsidRPr="00B8345C">
              <w:rPr>
                <w:szCs w:val="14"/>
              </w:rPr>
              <w:t>0.81 (0.45</w:t>
            </w:r>
            <w:r w:rsidR="009919A9">
              <w:rPr>
                <w:szCs w:val="14"/>
              </w:rPr>
              <w:t>, </w:t>
            </w:r>
            <w:r w:rsidRPr="00B8345C">
              <w:rPr>
                <w:szCs w:val="14"/>
              </w:rPr>
              <w:t>1.46)</w:t>
            </w:r>
          </w:p>
        </w:tc>
        <w:tc>
          <w:tcPr>
            <w:tcW w:w="3089" w:type="dxa"/>
            <w:shd w:val="clear" w:color="auto" w:fill="auto"/>
          </w:tcPr>
          <w:p w14:paraId="5FF34B28" w14:textId="77777777" w:rsidR="00F67F7D" w:rsidRPr="00B8345C" w:rsidRDefault="00F67F7D" w:rsidP="00594252">
            <w:pPr>
              <w:pStyle w:val="TableText"/>
              <w:keepNext w:val="0"/>
              <w:rPr>
                <w:szCs w:val="14"/>
                <w:highlight w:val="magenta"/>
              </w:rPr>
            </w:pPr>
            <w:r w:rsidRPr="00B8345C">
              <w:rPr>
                <w:szCs w:val="14"/>
              </w:rPr>
              <w:t>No association</w:t>
            </w:r>
          </w:p>
        </w:tc>
        <w:tc>
          <w:tcPr>
            <w:tcW w:w="1005" w:type="dxa"/>
            <w:tcBorders>
              <w:right w:val="nil"/>
            </w:tcBorders>
            <w:shd w:val="clear" w:color="auto" w:fill="auto"/>
          </w:tcPr>
          <w:p w14:paraId="13971846" w14:textId="77777777" w:rsidR="00F67F7D" w:rsidRPr="00B8345C" w:rsidRDefault="00F67F7D" w:rsidP="00594252">
            <w:pPr>
              <w:pStyle w:val="TableText"/>
              <w:keepNext w:val="0"/>
              <w:rPr>
                <w:szCs w:val="14"/>
              </w:rPr>
            </w:pPr>
            <w:r>
              <w:rPr>
                <w:szCs w:val="14"/>
              </w:rPr>
              <w:t>–</w:t>
            </w:r>
          </w:p>
        </w:tc>
      </w:tr>
      <w:tr w:rsidR="00F67F7D" w:rsidRPr="00B8345C" w14:paraId="012A64C0" w14:textId="77777777" w:rsidTr="00466837">
        <w:trPr>
          <w:cantSplit/>
        </w:trPr>
        <w:tc>
          <w:tcPr>
            <w:tcW w:w="852" w:type="dxa"/>
            <w:tcBorders>
              <w:left w:val="nil"/>
            </w:tcBorders>
            <w:shd w:val="clear" w:color="auto" w:fill="auto"/>
          </w:tcPr>
          <w:p w14:paraId="39E50027" w14:textId="77777777" w:rsidR="00F67F7D" w:rsidRPr="00B8345C" w:rsidRDefault="00F67F7D" w:rsidP="00594252">
            <w:pPr>
              <w:pStyle w:val="TableText"/>
              <w:keepNext w:val="0"/>
              <w:rPr>
                <w:szCs w:val="14"/>
              </w:rPr>
            </w:pPr>
            <w:r>
              <w:t xml:space="preserve">Table </w:t>
            </w:r>
            <w:r>
              <w:rPr>
                <w:noProof/>
              </w:rPr>
              <w:t>5</w:t>
            </w:r>
            <w:r>
              <w:t>.</w:t>
            </w:r>
            <w:r>
              <w:rPr>
                <w:noProof/>
              </w:rPr>
              <w:t>3</w:t>
            </w:r>
          </w:p>
        </w:tc>
        <w:tc>
          <w:tcPr>
            <w:tcW w:w="2140" w:type="dxa"/>
            <w:shd w:val="clear" w:color="auto" w:fill="auto"/>
          </w:tcPr>
          <w:p w14:paraId="2143AAE4" w14:textId="77777777" w:rsidR="00F67F7D" w:rsidRPr="00B8345C" w:rsidRDefault="00F67F7D" w:rsidP="00594252">
            <w:pPr>
              <w:pStyle w:val="TableText"/>
              <w:keepNext w:val="0"/>
              <w:rPr>
                <w:szCs w:val="14"/>
              </w:rPr>
            </w:pPr>
            <w:r w:rsidRPr="00B8345C">
              <w:rPr>
                <w:szCs w:val="14"/>
              </w:rPr>
              <w:t>Barriers to using new or emerging technologies: Too expensive</w:t>
            </w:r>
          </w:p>
        </w:tc>
        <w:tc>
          <w:tcPr>
            <w:tcW w:w="3372" w:type="dxa"/>
            <w:shd w:val="clear" w:color="auto" w:fill="auto"/>
          </w:tcPr>
          <w:p w14:paraId="3BFFB4AF" w14:textId="77777777" w:rsidR="00F67F7D" w:rsidRPr="00B8345C" w:rsidRDefault="00F67F7D" w:rsidP="00594252">
            <w:pPr>
              <w:pStyle w:val="TableText"/>
              <w:keepNext w:val="0"/>
              <w:rPr>
                <w:szCs w:val="14"/>
                <w:highlight w:val="magenta"/>
              </w:rPr>
            </w:pPr>
            <w:r w:rsidRPr="00B8345C">
              <w:rPr>
                <w:szCs w:val="14"/>
              </w:rPr>
              <w:t>Transitioned ADF vs 2015 Regular ADF (In those who do not use technologies)</w:t>
            </w:r>
          </w:p>
        </w:tc>
        <w:tc>
          <w:tcPr>
            <w:tcW w:w="1062" w:type="dxa"/>
            <w:shd w:val="clear" w:color="auto" w:fill="auto"/>
          </w:tcPr>
          <w:p w14:paraId="5BC37ED4" w14:textId="77777777" w:rsidR="00F67F7D" w:rsidRPr="00B8345C" w:rsidRDefault="00F67F7D" w:rsidP="00594252">
            <w:pPr>
              <w:pStyle w:val="TableText"/>
              <w:keepNext w:val="0"/>
              <w:rPr>
                <w:szCs w:val="14"/>
                <w:highlight w:val="magenta"/>
              </w:rPr>
            </w:pPr>
            <w:r w:rsidRPr="00B8345C">
              <w:rPr>
                <w:szCs w:val="14"/>
              </w:rPr>
              <w:t>0.79 (0.51</w:t>
            </w:r>
            <w:r w:rsidR="009919A9">
              <w:rPr>
                <w:szCs w:val="14"/>
              </w:rPr>
              <w:t>, </w:t>
            </w:r>
            <w:r w:rsidRPr="00B8345C">
              <w:rPr>
                <w:szCs w:val="14"/>
              </w:rPr>
              <w:t>1.23)</w:t>
            </w:r>
          </w:p>
        </w:tc>
        <w:tc>
          <w:tcPr>
            <w:tcW w:w="3089" w:type="dxa"/>
            <w:shd w:val="clear" w:color="auto" w:fill="auto"/>
          </w:tcPr>
          <w:p w14:paraId="75E58260" w14:textId="77777777" w:rsidR="00F67F7D" w:rsidRPr="00B8345C" w:rsidRDefault="00F67F7D" w:rsidP="00594252">
            <w:pPr>
              <w:pStyle w:val="TableText"/>
              <w:keepNext w:val="0"/>
              <w:rPr>
                <w:szCs w:val="14"/>
                <w:highlight w:val="magenta"/>
              </w:rPr>
            </w:pPr>
            <w:r w:rsidRPr="00B8345C">
              <w:rPr>
                <w:szCs w:val="14"/>
              </w:rPr>
              <w:t>No association</w:t>
            </w:r>
          </w:p>
        </w:tc>
        <w:tc>
          <w:tcPr>
            <w:tcW w:w="1005" w:type="dxa"/>
            <w:tcBorders>
              <w:right w:val="nil"/>
            </w:tcBorders>
            <w:shd w:val="clear" w:color="auto" w:fill="auto"/>
          </w:tcPr>
          <w:p w14:paraId="00C78448" w14:textId="77777777" w:rsidR="00F67F7D" w:rsidRPr="00B8345C" w:rsidRDefault="00F67F7D" w:rsidP="00594252">
            <w:pPr>
              <w:pStyle w:val="TableText"/>
              <w:keepNext w:val="0"/>
              <w:rPr>
                <w:szCs w:val="14"/>
              </w:rPr>
            </w:pPr>
            <w:r>
              <w:rPr>
                <w:szCs w:val="14"/>
              </w:rPr>
              <w:t>–</w:t>
            </w:r>
          </w:p>
        </w:tc>
      </w:tr>
      <w:tr w:rsidR="00F67F7D" w:rsidRPr="00B8345C" w14:paraId="5CFFE2AA" w14:textId="77777777" w:rsidTr="00466837">
        <w:trPr>
          <w:cantSplit/>
        </w:trPr>
        <w:tc>
          <w:tcPr>
            <w:tcW w:w="852" w:type="dxa"/>
            <w:tcBorders>
              <w:left w:val="nil"/>
            </w:tcBorders>
            <w:shd w:val="clear" w:color="auto" w:fill="auto"/>
          </w:tcPr>
          <w:p w14:paraId="5267BBC5" w14:textId="77777777" w:rsidR="00F67F7D" w:rsidRPr="00B8345C" w:rsidRDefault="00F67F7D" w:rsidP="00594252">
            <w:pPr>
              <w:pStyle w:val="TableText"/>
              <w:keepNext w:val="0"/>
              <w:rPr>
                <w:szCs w:val="14"/>
              </w:rPr>
            </w:pPr>
            <w:r>
              <w:t xml:space="preserve">Table </w:t>
            </w:r>
            <w:r>
              <w:rPr>
                <w:noProof/>
              </w:rPr>
              <w:t>5</w:t>
            </w:r>
            <w:r>
              <w:t>.</w:t>
            </w:r>
            <w:r>
              <w:rPr>
                <w:noProof/>
              </w:rPr>
              <w:t>3</w:t>
            </w:r>
          </w:p>
        </w:tc>
        <w:tc>
          <w:tcPr>
            <w:tcW w:w="2140" w:type="dxa"/>
            <w:shd w:val="clear" w:color="auto" w:fill="auto"/>
          </w:tcPr>
          <w:p w14:paraId="709B455F" w14:textId="77777777" w:rsidR="00F67F7D" w:rsidRPr="00B8345C" w:rsidRDefault="00F67F7D" w:rsidP="00594252">
            <w:pPr>
              <w:pStyle w:val="TableText"/>
              <w:keepNext w:val="0"/>
              <w:rPr>
                <w:szCs w:val="14"/>
              </w:rPr>
            </w:pPr>
            <w:r w:rsidRPr="00B8345C">
              <w:rPr>
                <w:szCs w:val="14"/>
              </w:rPr>
              <w:t>Barriers to using new or emerging technologies: Upgrades too often</w:t>
            </w:r>
          </w:p>
        </w:tc>
        <w:tc>
          <w:tcPr>
            <w:tcW w:w="3372" w:type="dxa"/>
            <w:shd w:val="clear" w:color="auto" w:fill="auto"/>
          </w:tcPr>
          <w:p w14:paraId="0FC14613" w14:textId="77777777" w:rsidR="00F67F7D" w:rsidRPr="00B8345C" w:rsidRDefault="00F67F7D" w:rsidP="00594252">
            <w:pPr>
              <w:pStyle w:val="TableText"/>
              <w:keepNext w:val="0"/>
              <w:rPr>
                <w:szCs w:val="14"/>
                <w:highlight w:val="magenta"/>
              </w:rPr>
            </w:pPr>
            <w:r w:rsidRPr="00B8345C">
              <w:rPr>
                <w:szCs w:val="14"/>
              </w:rPr>
              <w:t>Transitioned ADF vs 2015 Regular ADF (In those who do not use technologies)</w:t>
            </w:r>
          </w:p>
        </w:tc>
        <w:tc>
          <w:tcPr>
            <w:tcW w:w="1062" w:type="dxa"/>
            <w:shd w:val="clear" w:color="auto" w:fill="auto"/>
          </w:tcPr>
          <w:p w14:paraId="04AA046C" w14:textId="77777777" w:rsidR="00F67F7D" w:rsidRPr="00B8345C" w:rsidRDefault="00F67F7D" w:rsidP="00594252">
            <w:pPr>
              <w:pStyle w:val="TableText"/>
              <w:keepNext w:val="0"/>
              <w:rPr>
                <w:szCs w:val="14"/>
                <w:highlight w:val="magenta"/>
              </w:rPr>
            </w:pPr>
            <w:r w:rsidRPr="00B8345C">
              <w:rPr>
                <w:szCs w:val="14"/>
              </w:rPr>
              <w:t>0.87 (0.51</w:t>
            </w:r>
            <w:r w:rsidR="009919A9">
              <w:rPr>
                <w:szCs w:val="14"/>
              </w:rPr>
              <w:t>, </w:t>
            </w:r>
            <w:r w:rsidRPr="00B8345C">
              <w:rPr>
                <w:szCs w:val="14"/>
              </w:rPr>
              <w:t>1.48)</w:t>
            </w:r>
          </w:p>
        </w:tc>
        <w:tc>
          <w:tcPr>
            <w:tcW w:w="3089" w:type="dxa"/>
            <w:shd w:val="clear" w:color="auto" w:fill="auto"/>
          </w:tcPr>
          <w:p w14:paraId="09785B96" w14:textId="77777777" w:rsidR="00F67F7D" w:rsidRPr="00B8345C" w:rsidRDefault="00F67F7D" w:rsidP="00594252">
            <w:pPr>
              <w:pStyle w:val="TableText"/>
              <w:keepNext w:val="0"/>
              <w:rPr>
                <w:szCs w:val="14"/>
                <w:highlight w:val="magenta"/>
              </w:rPr>
            </w:pPr>
            <w:r w:rsidRPr="00B8345C">
              <w:rPr>
                <w:szCs w:val="14"/>
              </w:rPr>
              <w:t>No association</w:t>
            </w:r>
          </w:p>
        </w:tc>
        <w:tc>
          <w:tcPr>
            <w:tcW w:w="1005" w:type="dxa"/>
            <w:tcBorders>
              <w:right w:val="nil"/>
            </w:tcBorders>
            <w:shd w:val="clear" w:color="auto" w:fill="auto"/>
          </w:tcPr>
          <w:p w14:paraId="695E2D61" w14:textId="77777777" w:rsidR="00F67F7D" w:rsidRPr="00B8345C" w:rsidRDefault="00F67F7D" w:rsidP="00594252">
            <w:pPr>
              <w:pStyle w:val="TableText"/>
              <w:keepNext w:val="0"/>
              <w:rPr>
                <w:szCs w:val="14"/>
              </w:rPr>
            </w:pPr>
            <w:r>
              <w:rPr>
                <w:szCs w:val="14"/>
              </w:rPr>
              <w:t>–</w:t>
            </w:r>
          </w:p>
        </w:tc>
      </w:tr>
      <w:tr w:rsidR="00F67F7D" w:rsidRPr="00B8345C" w14:paraId="247DA672" w14:textId="77777777" w:rsidTr="00466837">
        <w:trPr>
          <w:cantSplit/>
        </w:trPr>
        <w:tc>
          <w:tcPr>
            <w:tcW w:w="852" w:type="dxa"/>
            <w:tcBorders>
              <w:left w:val="nil"/>
            </w:tcBorders>
            <w:shd w:val="clear" w:color="auto" w:fill="auto"/>
          </w:tcPr>
          <w:p w14:paraId="5FA77A55" w14:textId="77777777" w:rsidR="00F67F7D" w:rsidRPr="00B8345C" w:rsidRDefault="00F67F7D" w:rsidP="00594252">
            <w:pPr>
              <w:pStyle w:val="TableText"/>
              <w:keepNext w:val="0"/>
              <w:rPr>
                <w:szCs w:val="14"/>
              </w:rPr>
            </w:pPr>
            <w:r>
              <w:t xml:space="preserve">Table </w:t>
            </w:r>
            <w:r>
              <w:rPr>
                <w:noProof/>
              </w:rPr>
              <w:t>5</w:t>
            </w:r>
            <w:r>
              <w:t>.</w:t>
            </w:r>
            <w:r>
              <w:rPr>
                <w:noProof/>
              </w:rPr>
              <w:t>3</w:t>
            </w:r>
          </w:p>
        </w:tc>
        <w:tc>
          <w:tcPr>
            <w:tcW w:w="2140" w:type="dxa"/>
            <w:shd w:val="clear" w:color="auto" w:fill="auto"/>
          </w:tcPr>
          <w:p w14:paraId="370D0245" w14:textId="77777777" w:rsidR="00F67F7D" w:rsidRPr="00B8345C" w:rsidRDefault="00F67F7D" w:rsidP="00594252">
            <w:pPr>
              <w:pStyle w:val="TableText"/>
              <w:keepNext w:val="0"/>
              <w:rPr>
                <w:szCs w:val="14"/>
              </w:rPr>
            </w:pPr>
            <w:r w:rsidRPr="00B8345C">
              <w:rPr>
                <w:szCs w:val="14"/>
              </w:rPr>
              <w:t>Barriers to using new or emerging technologies: Privacy Issues</w:t>
            </w:r>
          </w:p>
        </w:tc>
        <w:tc>
          <w:tcPr>
            <w:tcW w:w="3372" w:type="dxa"/>
            <w:shd w:val="clear" w:color="auto" w:fill="auto"/>
          </w:tcPr>
          <w:p w14:paraId="091CE06B" w14:textId="77777777" w:rsidR="00F67F7D" w:rsidRPr="00B8345C" w:rsidRDefault="00F67F7D" w:rsidP="00594252">
            <w:pPr>
              <w:pStyle w:val="TableText"/>
              <w:keepNext w:val="0"/>
              <w:rPr>
                <w:szCs w:val="14"/>
                <w:highlight w:val="magenta"/>
              </w:rPr>
            </w:pPr>
            <w:r w:rsidRPr="00B8345C">
              <w:rPr>
                <w:szCs w:val="14"/>
              </w:rPr>
              <w:t>Transitioned ADF vs 2015 Regular ADF (In those who do not use technologies)</w:t>
            </w:r>
          </w:p>
        </w:tc>
        <w:tc>
          <w:tcPr>
            <w:tcW w:w="1062" w:type="dxa"/>
            <w:shd w:val="clear" w:color="auto" w:fill="auto"/>
          </w:tcPr>
          <w:p w14:paraId="33DA2A0F" w14:textId="77777777" w:rsidR="00F67F7D" w:rsidRPr="00B8345C" w:rsidRDefault="00F67F7D" w:rsidP="00594252">
            <w:pPr>
              <w:pStyle w:val="TableText"/>
              <w:keepNext w:val="0"/>
              <w:rPr>
                <w:szCs w:val="14"/>
                <w:highlight w:val="magenta"/>
              </w:rPr>
            </w:pPr>
            <w:r w:rsidRPr="00B8345C">
              <w:rPr>
                <w:szCs w:val="14"/>
              </w:rPr>
              <w:t>0.78 (0.47</w:t>
            </w:r>
            <w:r w:rsidR="009919A9">
              <w:rPr>
                <w:szCs w:val="14"/>
              </w:rPr>
              <w:t>, </w:t>
            </w:r>
            <w:r w:rsidRPr="00B8345C">
              <w:rPr>
                <w:szCs w:val="14"/>
              </w:rPr>
              <w:t>1.29)</w:t>
            </w:r>
          </w:p>
        </w:tc>
        <w:tc>
          <w:tcPr>
            <w:tcW w:w="3089" w:type="dxa"/>
            <w:shd w:val="clear" w:color="auto" w:fill="auto"/>
          </w:tcPr>
          <w:p w14:paraId="538C5C56" w14:textId="77777777" w:rsidR="00F67F7D" w:rsidRPr="00B8345C" w:rsidRDefault="00F67F7D" w:rsidP="00594252">
            <w:pPr>
              <w:pStyle w:val="TableText"/>
              <w:keepNext w:val="0"/>
              <w:rPr>
                <w:szCs w:val="14"/>
                <w:highlight w:val="magenta"/>
              </w:rPr>
            </w:pPr>
            <w:r w:rsidRPr="00B8345C">
              <w:rPr>
                <w:szCs w:val="14"/>
              </w:rPr>
              <w:t>No association</w:t>
            </w:r>
          </w:p>
        </w:tc>
        <w:tc>
          <w:tcPr>
            <w:tcW w:w="1005" w:type="dxa"/>
            <w:tcBorders>
              <w:right w:val="nil"/>
            </w:tcBorders>
            <w:shd w:val="clear" w:color="auto" w:fill="auto"/>
          </w:tcPr>
          <w:p w14:paraId="4ABF35BE" w14:textId="77777777" w:rsidR="00F67F7D" w:rsidRPr="00B8345C" w:rsidRDefault="00F67F7D" w:rsidP="00594252">
            <w:pPr>
              <w:pStyle w:val="TableText"/>
              <w:keepNext w:val="0"/>
              <w:rPr>
                <w:szCs w:val="14"/>
              </w:rPr>
            </w:pPr>
            <w:r>
              <w:rPr>
                <w:szCs w:val="14"/>
              </w:rPr>
              <w:t>–</w:t>
            </w:r>
          </w:p>
        </w:tc>
      </w:tr>
      <w:tr w:rsidR="00F67F7D" w:rsidRPr="00B8345C" w14:paraId="2393C635" w14:textId="77777777" w:rsidTr="00466837">
        <w:trPr>
          <w:cantSplit/>
        </w:trPr>
        <w:tc>
          <w:tcPr>
            <w:tcW w:w="852" w:type="dxa"/>
            <w:tcBorders>
              <w:left w:val="nil"/>
            </w:tcBorders>
            <w:shd w:val="clear" w:color="auto" w:fill="auto"/>
          </w:tcPr>
          <w:p w14:paraId="036736E3" w14:textId="77777777" w:rsidR="00F67F7D" w:rsidRPr="00B8345C" w:rsidRDefault="00F67F7D" w:rsidP="00594252">
            <w:pPr>
              <w:pStyle w:val="TableText"/>
              <w:keepNext w:val="0"/>
              <w:rPr>
                <w:szCs w:val="14"/>
              </w:rPr>
            </w:pPr>
            <w:r>
              <w:t xml:space="preserve">Table </w:t>
            </w:r>
            <w:r>
              <w:rPr>
                <w:noProof/>
              </w:rPr>
              <w:t>5</w:t>
            </w:r>
            <w:r>
              <w:t>.</w:t>
            </w:r>
            <w:r>
              <w:rPr>
                <w:noProof/>
              </w:rPr>
              <w:t>3</w:t>
            </w:r>
          </w:p>
        </w:tc>
        <w:tc>
          <w:tcPr>
            <w:tcW w:w="2140" w:type="dxa"/>
            <w:shd w:val="clear" w:color="auto" w:fill="auto"/>
          </w:tcPr>
          <w:p w14:paraId="29B16348" w14:textId="77777777" w:rsidR="00F67F7D" w:rsidRPr="00B8345C" w:rsidRDefault="00F67F7D" w:rsidP="00594252">
            <w:pPr>
              <w:pStyle w:val="TableText"/>
              <w:keepNext w:val="0"/>
              <w:rPr>
                <w:szCs w:val="14"/>
              </w:rPr>
            </w:pPr>
            <w:r w:rsidRPr="00B8345C">
              <w:rPr>
                <w:szCs w:val="14"/>
              </w:rPr>
              <w:t>Barriers to using new or emerging technologies: No tech other</w:t>
            </w:r>
          </w:p>
        </w:tc>
        <w:tc>
          <w:tcPr>
            <w:tcW w:w="3372" w:type="dxa"/>
            <w:shd w:val="clear" w:color="auto" w:fill="auto"/>
          </w:tcPr>
          <w:p w14:paraId="153A7935" w14:textId="77777777" w:rsidR="00F67F7D" w:rsidRPr="00B8345C" w:rsidRDefault="00F67F7D" w:rsidP="00594252">
            <w:pPr>
              <w:pStyle w:val="TableText"/>
              <w:keepNext w:val="0"/>
              <w:rPr>
                <w:szCs w:val="14"/>
              </w:rPr>
            </w:pPr>
            <w:r w:rsidRPr="00B8345C">
              <w:rPr>
                <w:szCs w:val="14"/>
              </w:rPr>
              <w:t>Transitioned ADF vs 2015 Regular ADF (In those who do not use technologies)</w:t>
            </w:r>
          </w:p>
        </w:tc>
        <w:tc>
          <w:tcPr>
            <w:tcW w:w="1062" w:type="dxa"/>
            <w:shd w:val="clear" w:color="auto" w:fill="auto"/>
          </w:tcPr>
          <w:p w14:paraId="7F4894A2" w14:textId="77777777" w:rsidR="00F67F7D" w:rsidRPr="00B8345C" w:rsidRDefault="00F67F7D" w:rsidP="00594252">
            <w:pPr>
              <w:pStyle w:val="TableText"/>
              <w:keepNext w:val="0"/>
              <w:rPr>
                <w:szCs w:val="14"/>
              </w:rPr>
            </w:pPr>
            <w:r w:rsidRPr="00B8345C">
              <w:rPr>
                <w:szCs w:val="14"/>
              </w:rPr>
              <w:t>0.76 (0.38</w:t>
            </w:r>
            <w:r w:rsidR="009919A9">
              <w:rPr>
                <w:szCs w:val="14"/>
              </w:rPr>
              <w:t>, </w:t>
            </w:r>
            <w:r w:rsidRPr="00B8345C">
              <w:rPr>
                <w:szCs w:val="14"/>
              </w:rPr>
              <w:t>1.51)</w:t>
            </w:r>
          </w:p>
        </w:tc>
        <w:tc>
          <w:tcPr>
            <w:tcW w:w="3089" w:type="dxa"/>
            <w:shd w:val="clear" w:color="auto" w:fill="auto"/>
          </w:tcPr>
          <w:p w14:paraId="1E7AF567"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E252F48" w14:textId="77777777" w:rsidR="00F67F7D" w:rsidRPr="00B8345C" w:rsidRDefault="00F67F7D" w:rsidP="00594252">
            <w:pPr>
              <w:pStyle w:val="TableText"/>
              <w:keepNext w:val="0"/>
              <w:rPr>
                <w:szCs w:val="14"/>
              </w:rPr>
            </w:pPr>
            <w:r>
              <w:rPr>
                <w:szCs w:val="14"/>
              </w:rPr>
              <w:t>–</w:t>
            </w:r>
          </w:p>
        </w:tc>
      </w:tr>
      <w:tr w:rsidR="00F67F7D" w:rsidRPr="00B8345C" w14:paraId="39E02FC3" w14:textId="77777777" w:rsidTr="00466837">
        <w:trPr>
          <w:cantSplit/>
        </w:trPr>
        <w:tc>
          <w:tcPr>
            <w:tcW w:w="852" w:type="dxa"/>
            <w:tcBorders>
              <w:left w:val="nil"/>
            </w:tcBorders>
            <w:shd w:val="clear" w:color="auto" w:fill="auto"/>
          </w:tcPr>
          <w:p w14:paraId="7727AC34" w14:textId="77777777" w:rsidR="00F67F7D" w:rsidRPr="00B8345C" w:rsidRDefault="00F67F7D" w:rsidP="00594252">
            <w:pPr>
              <w:pStyle w:val="TableText"/>
              <w:keepNext w:val="0"/>
              <w:rPr>
                <w:szCs w:val="14"/>
              </w:rPr>
            </w:pPr>
            <w:r>
              <w:t xml:space="preserve">Table </w:t>
            </w:r>
            <w:r>
              <w:rPr>
                <w:noProof/>
              </w:rPr>
              <w:t>5</w:t>
            </w:r>
            <w:r>
              <w:t>.</w:t>
            </w:r>
            <w:r>
              <w:rPr>
                <w:noProof/>
              </w:rPr>
              <w:t>4</w:t>
            </w:r>
          </w:p>
        </w:tc>
        <w:tc>
          <w:tcPr>
            <w:tcW w:w="2140" w:type="dxa"/>
            <w:shd w:val="clear" w:color="auto" w:fill="auto"/>
          </w:tcPr>
          <w:p w14:paraId="480635A2" w14:textId="77777777" w:rsidR="00F67F7D" w:rsidRPr="00B8345C" w:rsidRDefault="00F67F7D" w:rsidP="00594252">
            <w:pPr>
              <w:pStyle w:val="TableText"/>
              <w:keepNext w:val="0"/>
              <w:rPr>
                <w:szCs w:val="14"/>
              </w:rPr>
            </w:pPr>
            <w:r w:rsidRPr="00B8345C">
              <w:rPr>
                <w:szCs w:val="14"/>
              </w:rPr>
              <w:t>In an ideal world, which new and emerging technologies you would like to use: Any emerging technology</w:t>
            </w:r>
          </w:p>
        </w:tc>
        <w:tc>
          <w:tcPr>
            <w:tcW w:w="3372" w:type="dxa"/>
            <w:shd w:val="clear" w:color="auto" w:fill="auto"/>
          </w:tcPr>
          <w:p w14:paraId="314473AD"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2A1675F0" w14:textId="77777777" w:rsidR="00F67F7D" w:rsidRPr="00B8345C" w:rsidRDefault="00F67F7D" w:rsidP="00594252">
            <w:pPr>
              <w:pStyle w:val="TableText"/>
              <w:keepNext w:val="0"/>
              <w:rPr>
                <w:szCs w:val="14"/>
              </w:rPr>
            </w:pPr>
            <w:r w:rsidRPr="00B8345C">
              <w:rPr>
                <w:szCs w:val="14"/>
              </w:rPr>
              <w:t>1.08 (0.79</w:t>
            </w:r>
            <w:r w:rsidR="009919A9">
              <w:rPr>
                <w:szCs w:val="14"/>
              </w:rPr>
              <w:t>, </w:t>
            </w:r>
            <w:r w:rsidRPr="00B8345C">
              <w:rPr>
                <w:szCs w:val="14"/>
              </w:rPr>
              <w:t>1.49)</w:t>
            </w:r>
          </w:p>
        </w:tc>
        <w:tc>
          <w:tcPr>
            <w:tcW w:w="3089" w:type="dxa"/>
            <w:shd w:val="clear" w:color="auto" w:fill="auto"/>
          </w:tcPr>
          <w:p w14:paraId="3AB7339B"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21439CB9" w14:textId="77777777" w:rsidR="00F67F7D" w:rsidRPr="00B8345C" w:rsidRDefault="00F67F7D" w:rsidP="00594252">
            <w:pPr>
              <w:pStyle w:val="TableText"/>
              <w:keepNext w:val="0"/>
              <w:rPr>
                <w:szCs w:val="14"/>
              </w:rPr>
            </w:pPr>
            <w:r>
              <w:rPr>
                <w:szCs w:val="14"/>
              </w:rPr>
              <w:t>–</w:t>
            </w:r>
          </w:p>
        </w:tc>
      </w:tr>
      <w:tr w:rsidR="00F67F7D" w:rsidRPr="00B8345C" w14:paraId="6E4C4113" w14:textId="77777777" w:rsidTr="00466837">
        <w:trPr>
          <w:cantSplit/>
        </w:trPr>
        <w:tc>
          <w:tcPr>
            <w:tcW w:w="852" w:type="dxa"/>
            <w:tcBorders>
              <w:left w:val="nil"/>
            </w:tcBorders>
            <w:shd w:val="clear" w:color="auto" w:fill="auto"/>
          </w:tcPr>
          <w:p w14:paraId="68951B69" w14:textId="77777777" w:rsidR="00F67F7D" w:rsidRPr="00B8345C" w:rsidRDefault="00F67F7D" w:rsidP="00594252">
            <w:pPr>
              <w:pStyle w:val="TableText"/>
              <w:keepNext w:val="0"/>
              <w:rPr>
                <w:szCs w:val="14"/>
              </w:rPr>
            </w:pPr>
            <w:r>
              <w:t xml:space="preserve">Table </w:t>
            </w:r>
            <w:r>
              <w:rPr>
                <w:noProof/>
              </w:rPr>
              <w:t>5</w:t>
            </w:r>
            <w:r>
              <w:t>.</w:t>
            </w:r>
            <w:r>
              <w:rPr>
                <w:noProof/>
              </w:rPr>
              <w:t>4</w:t>
            </w:r>
          </w:p>
        </w:tc>
        <w:tc>
          <w:tcPr>
            <w:tcW w:w="2140" w:type="dxa"/>
            <w:shd w:val="clear" w:color="auto" w:fill="auto"/>
          </w:tcPr>
          <w:p w14:paraId="3B49879A" w14:textId="77777777" w:rsidR="00F67F7D" w:rsidRPr="00B8345C" w:rsidRDefault="00F67F7D" w:rsidP="009919A9">
            <w:pPr>
              <w:pStyle w:val="TableText"/>
            </w:pPr>
            <w:r w:rsidRPr="00B8345C">
              <w:t>In an ideal world, which new and emerging technologies you would like to use: Smartwatch</w:t>
            </w:r>
          </w:p>
        </w:tc>
        <w:tc>
          <w:tcPr>
            <w:tcW w:w="3372" w:type="dxa"/>
            <w:shd w:val="clear" w:color="auto" w:fill="auto"/>
          </w:tcPr>
          <w:p w14:paraId="0EE3ED79"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5919FC38" w14:textId="77777777" w:rsidR="00F67F7D" w:rsidRPr="00B8345C" w:rsidRDefault="00F67F7D" w:rsidP="00594252">
            <w:pPr>
              <w:pStyle w:val="TableText"/>
              <w:keepNext w:val="0"/>
              <w:rPr>
                <w:szCs w:val="14"/>
              </w:rPr>
            </w:pPr>
            <w:r w:rsidRPr="00B8345C">
              <w:rPr>
                <w:szCs w:val="14"/>
              </w:rPr>
              <w:t>0.86 (0.68</w:t>
            </w:r>
            <w:r w:rsidR="009919A9">
              <w:rPr>
                <w:szCs w:val="14"/>
              </w:rPr>
              <w:t>, </w:t>
            </w:r>
            <w:r w:rsidRPr="00B8345C">
              <w:rPr>
                <w:szCs w:val="14"/>
              </w:rPr>
              <w:t>1.10)</w:t>
            </w:r>
          </w:p>
        </w:tc>
        <w:tc>
          <w:tcPr>
            <w:tcW w:w="3089" w:type="dxa"/>
            <w:shd w:val="clear" w:color="auto" w:fill="auto"/>
          </w:tcPr>
          <w:p w14:paraId="54EDD233"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2A5D0E9" w14:textId="77777777" w:rsidR="00F67F7D" w:rsidRPr="00B8345C" w:rsidRDefault="00F67F7D" w:rsidP="00594252">
            <w:pPr>
              <w:pStyle w:val="TableText"/>
              <w:keepNext w:val="0"/>
              <w:rPr>
                <w:szCs w:val="14"/>
              </w:rPr>
            </w:pPr>
            <w:r>
              <w:rPr>
                <w:szCs w:val="14"/>
              </w:rPr>
              <w:t>–</w:t>
            </w:r>
          </w:p>
        </w:tc>
      </w:tr>
      <w:tr w:rsidR="00F67F7D" w:rsidRPr="00B8345C" w14:paraId="6C7086C4" w14:textId="77777777" w:rsidTr="00466837">
        <w:trPr>
          <w:cantSplit/>
        </w:trPr>
        <w:tc>
          <w:tcPr>
            <w:tcW w:w="852" w:type="dxa"/>
            <w:tcBorders>
              <w:left w:val="nil"/>
            </w:tcBorders>
            <w:shd w:val="clear" w:color="auto" w:fill="auto"/>
          </w:tcPr>
          <w:p w14:paraId="7E696C36" w14:textId="77777777" w:rsidR="00F67F7D" w:rsidRPr="00B8345C" w:rsidRDefault="00F67F7D" w:rsidP="00594252">
            <w:pPr>
              <w:pStyle w:val="TableText"/>
              <w:keepNext w:val="0"/>
              <w:rPr>
                <w:szCs w:val="14"/>
              </w:rPr>
            </w:pPr>
            <w:r>
              <w:t xml:space="preserve">Table </w:t>
            </w:r>
            <w:r>
              <w:rPr>
                <w:noProof/>
              </w:rPr>
              <w:t>5</w:t>
            </w:r>
            <w:r>
              <w:t>.</w:t>
            </w:r>
            <w:r>
              <w:rPr>
                <w:noProof/>
              </w:rPr>
              <w:t>4</w:t>
            </w:r>
          </w:p>
        </w:tc>
        <w:tc>
          <w:tcPr>
            <w:tcW w:w="2140" w:type="dxa"/>
            <w:shd w:val="clear" w:color="auto" w:fill="auto"/>
          </w:tcPr>
          <w:p w14:paraId="2D694CA1" w14:textId="77777777" w:rsidR="00F67F7D" w:rsidRPr="00B8345C" w:rsidRDefault="00F67F7D" w:rsidP="00594252">
            <w:pPr>
              <w:pStyle w:val="TableText"/>
              <w:keepNext w:val="0"/>
              <w:rPr>
                <w:szCs w:val="14"/>
              </w:rPr>
            </w:pPr>
            <w:r w:rsidRPr="00B8345C">
              <w:rPr>
                <w:szCs w:val="14"/>
              </w:rPr>
              <w:t xml:space="preserve">In an ideal world, which new and emerging technologies you would like to use: </w:t>
            </w:r>
            <w:r>
              <w:rPr>
                <w:szCs w:val="14"/>
              </w:rPr>
              <w:t>app</w:t>
            </w:r>
            <w:r w:rsidRPr="00B8345C">
              <w:rPr>
                <w:szCs w:val="14"/>
              </w:rPr>
              <w:t>s</w:t>
            </w:r>
          </w:p>
        </w:tc>
        <w:tc>
          <w:tcPr>
            <w:tcW w:w="3372" w:type="dxa"/>
            <w:shd w:val="clear" w:color="auto" w:fill="auto"/>
          </w:tcPr>
          <w:p w14:paraId="3BAD7D74"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09B29121" w14:textId="77777777" w:rsidR="00F67F7D" w:rsidRPr="00B8345C" w:rsidRDefault="00F67F7D" w:rsidP="00594252">
            <w:pPr>
              <w:pStyle w:val="TableText"/>
              <w:keepNext w:val="0"/>
              <w:rPr>
                <w:szCs w:val="14"/>
              </w:rPr>
            </w:pPr>
            <w:r w:rsidRPr="00B8345C">
              <w:rPr>
                <w:szCs w:val="14"/>
              </w:rPr>
              <w:t>1.11 (0.88</w:t>
            </w:r>
            <w:r w:rsidR="009919A9">
              <w:rPr>
                <w:szCs w:val="14"/>
              </w:rPr>
              <w:t>, </w:t>
            </w:r>
            <w:r w:rsidRPr="00B8345C">
              <w:rPr>
                <w:szCs w:val="14"/>
              </w:rPr>
              <w:t>1.40)</w:t>
            </w:r>
          </w:p>
        </w:tc>
        <w:tc>
          <w:tcPr>
            <w:tcW w:w="3089" w:type="dxa"/>
            <w:shd w:val="clear" w:color="auto" w:fill="auto"/>
          </w:tcPr>
          <w:p w14:paraId="22764521"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2E46C7EC" w14:textId="77777777" w:rsidR="00F67F7D" w:rsidRPr="00B8345C" w:rsidRDefault="00F67F7D" w:rsidP="00594252">
            <w:pPr>
              <w:pStyle w:val="TableText"/>
              <w:keepNext w:val="0"/>
              <w:rPr>
                <w:szCs w:val="14"/>
              </w:rPr>
            </w:pPr>
            <w:r>
              <w:rPr>
                <w:szCs w:val="14"/>
              </w:rPr>
              <w:t>–</w:t>
            </w:r>
          </w:p>
        </w:tc>
      </w:tr>
      <w:tr w:rsidR="00F67F7D" w:rsidRPr="00B8345C" w14:paraId="4EC93A60" w14:textId="77777777" w:rsidTr="00466837">
        <w:trPr>
          <w:cantSplit/>
        </w:trPr>
        <w:tc>
          <w:tcPr>
            <w:tcW w:w="852" w:type="dxa"/>
            <w:tcBorders>
              <w:left w:val="nil"/>
            </w:tcBorders>
            <w:shd w:val="clear" w:color="auto" w:fill="auto"/>
          </w:tcPr>
          <w:p w14:paraId="33EF0BD5" w14:textId="77777777" w:rsidR="00F67F7D" w:rsidRPr="00B8345C" w:rsidRDefault="00F67F7D" w:rsidP="00594252">
            <w:pPr>
              <w:pStyle w:val="TableText"/>
              <w:keepNext w:val="0"/>
              <w:rPr>
                <w:szCs w:val="14"/>
              </w:rPr>
            </w:pPr>
            <w:r>
              <w:t xml:space="preserve">Table </w:t>
            </w:r>
            <w:r>
              <w:rPr>
                <w:noProof/>
              </w:rPr>
              <w:t>5</w:t>
            </w:r>
            <w:r>
              <w:t>.</w:t>
            </w:r>
            <w:r>
              <w:rPr>
                <w:noProof/>
              </w:rPr>
              <w:t>4</w:t>
            </w:r>
          </w:p>
        </w:tc>
        <w:tc>
          <w:tcPr>
            <w:tcW w:w="2140" w:type="dxa"/>
            <w:shd w:val="clear" w:color="auto" w:fill="auto"/>
          </w:tcPr>
          <w:p w14:paraId="74A5C351" w14:textId="77777777" w:rsidR="00F67F7D" w:rsidRPr="00B8345C" w:rsidRDefault="00F67F7D" w:rsidP="00594252">
            <w:pPr>
              <w:pStyle w:val="TableText"/>
              <w:keepNext w:val="0"/>
              <w:rPr>
                <w:szCs w:val="14"/>
              </w:rPr>
            </w:pPr>
            <w:r w:rsidRPr="00B8345C">
              <w:rPr>
                <w:szCs w:val="14"/>
              </w:rPr>
              <w:t>In an ideal world, which new and emerging technologies you would like to use: Wearable technology</w:t>
            </w:r>
          </w:p>
        </w:tc>
        <w:tc>
          <w:tcPr>
            <w:tcW w:w="3372" w:type="dxa"/>
            <w:shd w:val="clear" w:color="auto" w:fill="auto"/>
          </w:tcPr>
          <w:p w14:paraId="1642EB92"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2053FE4F" w14:textId="77777777" w:rsidR="00F67F7D" w:rsidRPr="00B8345C" w:rsidRDefault="00F67F7D" w:rsidP="00594252">
            <w:pPr>
              <w:pStyle w:val="TableText"/>
              <w:keepNext w:val="0"/>
              <w:rPr>
                <w:szCs w:val="14"/>
              </w:rPr>
            </w:pPr>
            <w:r w:rsidRPr="00B8345C">
              <w:rPr>
                <w:szCs w:val="14"/>
              </w:rPr>
              <w:t>0.87 (0.69</w:t>
            </w:r>
            <w:r w:rsidR="009919A9">
              <w:rPr>
                <w:szCs w:val="14"/>
              </w:rPr>
              <w:t>, </w:t>
            </w:r>
            <w:r w:rsidRPr="00B8345C">
              <w:rPr>
                <w:szCs w:val="14"/>
              </w:rPr>
              <w:t>1.09)</w:t>
            </w:r>
          </w:p>
        </w:tc>
        <w:tc>
          <w:tcPr>
            <w:tcW w:w="3089" w:type="dxa"/>
            <w:shd w:val="clear" w:color="auto" w:fill="auto"/>
          </w:tcPr>
          <w:p w14:paraId="514FCE00"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7D9EC3C4" w14:textId="77777777" w:rsidR="00F67F7D" w:rsidRPr="00B8345C" w:rsidRDefault="00F67F7D" w:rsidP="00594252">
            <w:pPr>
              <w:pStyle w:val="TableText"/>
              <w:keepNext w:val="0"/>
              <w:rPr>
                <w:szCs w:val="14"/>
              </w:rPr>
            </w:pPr>
            <w:r>
              <w:rPr>
                <w:szCs w:val="14"/>
              </w:rPr>
              <w:t>–</w:t>
            </w:r>
          </w:p>
        </w:tc>
      </w:tr>
      <w:tr w:rsidR="00F67F7D" w:rsidRPr="00B8345C" w14:paraId="4E7A8903" w14:textId="77777777" w:rsidTr="00466837">
        <w:trPr>
          <w:cantSplit/>
        </w:trPr>
        <w:tc>
          <w:tcPr>
            <w:tcW w:w="852" w:type="dxa"/>
            <w:tcBorders>
              <w:left w:val="nil"/>
            </w:tcBorders>
            <w:shd w:val="clear" w:color="auto" w:fill="auto"/>
          </w:tcPr>
          <w:p w14:paraId="18D15E9A" w14:textId="77777777" w:rsidR="00F67F7D" w:rsidRPr="00B8345C" w:rsidRDefault="00F67F7D" w:rsidP="00594252">
            <w:pPr>
              <w:pStyle w:val="TableText"/>
              <w:keepNext w:val="0"/>
              <w:rPr>
                <w:szCs w:val="14"/>
              </w:rPr>
            </w:pPr>
            <w:r>
              <w:t xml:space="preserve">Table </w:t>
            </w:r>
            <w:r>
              <w:rPr>
                <w:noProof/>
              </w:rPr>
              <w:t>5</w:t>
            </w:r>
            <w:r>
              <w:t>.</w:t>
            </w:r>
            <w:r>
              <w:rPr>
                <w:noProof/>
              </w:rPr>
              <w:t>4</w:t>
            </w:r>
          </w:p>
        </w:tc>
        <w:tc>
          <w:tcPr>
            <w:tcW w:w="2140" w:type="dxa"/>
            <w:shd w:val="clear" w:color="auto" w:fill="auto"/>
          </w:tcPr>
          <w:p w14:paraId="3326F8BD" w14:textId="77777777" w:rsidR="00F67F7D" w:rsidRPr="00B8345C" w:rsidRDefault="00F67F7D" w:rsidP="00594252">
            <w:pPr>
              <w:pStyle w:val="TableText"/>
              <w:keepNext w:val="0"/>
              <w:rPr>
                <w:szCs w:val="14"/>
              </w:rPr>
            </w:pPr>
            <w:r w:rsidRPr="00B8345C">
              <w:rPr>
                <w:szCs w:val="14"/>
              </w:rPr>
              <w:t>In an ideal world, which new and emerging technologies you would like to use: Other tech</w:t>
            </w:r>
          </w:p>
        </w:tc>
        <w:tc>
          <w:tcPr>
            <w:tcW w:w="3372" w:type="dxa"/>
            <w:shd w:val="clear" w:color="auto" w:fill="auto"/>
          </w:tcPr>
          <w:p w14:paraId="79212660"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07CA282A" w14:textId="77777777" w:rsidR="00F67F7D" w:rsidRPr="00B8345C" w:rsidRDefault="00F67F7D" w:rsidP="00594252">
            <w:pPr>
              <w:pStyle w:val="TableText"/>
              <w:keepNext w:val="0"/>
              <w:rPr>
                <w:szCs w:val="14"/>
              </w:rPr>
            </w:pPr>
            <w:r w:rsidRPr="00B8345C">
              <w:rPr>
                <w:szCs w:val="14"/>
              </w:rPr>
              <w:t>0.91 (0.50</w:t>
            </w:r>
            <w:r w:rsidR="009919A9">
              <w:rPr>
                <w:szCs w:val="14"/>
              </w:rPr>
              <w:t>, </w:t>
            </w:r>
            <w:r w:rsidRPr="00B8345C">
              <w:rPr>
                <w:szCs w:val="14"/>
              </w:rPr>
              <w:t>1.66)</w:t>
            </w:r>
          </w:p>
        </w:tc>
        <w:tc>
          <w:tcPr>
            <w:tcW w:w="3089" w:type="dxa"/>
            <w:shd w:val="clear" w:color="auto" w:fill="auto"/>
          </w:tcPr>
          <w:p w14:paraId="71738D53"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7901A096" w14:textId="77777777" w:rsidR="00F67F7D" w:rsidRPr="00B8345C" w:rsidRDefault="00F67F7D" w:rsidP="00594252">
            <w:pPr>
              <w:pStyle w:val="TableText"/>
              <w:keepNext w:val="0"/>
              <w:rPr>
                <w:szCs w:val="14"/>
              </w:rPr>
            </w:pPr>
            <w:r>
              <w:rPr>
                <w:szCs w:val="14"/>
              </w:rPr>
              <w:t>–</w:t>
            </w:r>
          </w:p>
        </w:tc>
      </w:tr>
      <w:tr w:rsidR="00F67F7D" w:rsidRPr="00B8345C" w14:paraId="435D224F" w14:textId="77777777" w:rsidTr="00466837">
        <w:trPr>
          <w:cantSplit/>
        </w:trPr>
        <w:tc>
          <w:tcPr>
            <w:tcW w:w="852" w:type="dxa"/>
            <w:tcBorders>
              <w:left w:val="nil"/>
            </w:tcBorders>
            <w:shd w:val="clear" w:color="auto" w:fill="auto"/>
          </w:tcPr>
          <w:p w14:paraId="4DE70EEE" w14:textId="77777777" w:rsidR="00F67F7D" w:rsidRPr="00B8345C" w:rsidRDefault="00F67F7D" w:rsidP="00594252">
            <w:pPr>
              <w:pStyle w:val="TableText"/>
              <w:keepNext w:val="0"/>
              <w:rPr>
                <w:szCs w:val="14"/>
              </w:rPr>
            </w:pPr>
            <w:r w:rsidRPr="00071F81">
              <w:t xml:space="preserve">Table </w:t>
            </w:r>
            <w:r>
              <w:rPr>
                <w:noProof/>
              </w:rPr>
              <w:t>5</w:t>
            </w:r>
            <w:r>
              <w:t>.</w:t>
            </w:r>
            <w:r>
              <w:rPr>
                <w:noProof/>
              </w:rPr>
              <w:t>6</w:t>
            </w:r>
          </w:p>
        </w:tc>
        <w:tc>
          <w:tcPr>
            <w:tcW w:w="2140" w:type="dxa"/>
            <w:shd w:val="clear" w:color="auto" w:fill="auto"/>
          </w:tcPr>
          <w:p w14:paraId="3434AE4F" w14:textId="77777777" w:rsidR="00F67F7D" w:rsidRPr="00B8345C" w:rsidRDefault="00F67F7D" w:rsidP="00594252">
            <w:pPr>
              <w:pStyle w:val="TableText"/>
              <w:keepNext w:val="0"/>
              <w:rPr>
                <w:szCs w:val="14"/>
              </w:rPr>
            </w:pPr>
            <w:r w:rsidRPr="00B8345C">
              <w:rPr>
                <w:szCs w:val="14"/>
              </w:rPr>
              <w:t>Use any new or emerging technologies to improve health and wellbeing</w:t>
            </w:r>
          </w:p>
        </w:tc>
        <w:tc>
          <w:tcPr>
            <w:tcW w:w="3372" w:type="dxa"/>
            <w:shd w:val="clear" w:color="auto" w:fill="auto"/>
          </w:tcPr>
          <w:p w14:paraId="640FCB1D" w14:textId="77777777" w:rsidR="00F67F7D" w:rsidRPr="00B8345C" w:rsidRDefault="00F67F7D" w:rsidP="00594252">
            <w:pPr>
              <w:pStyle w:val="TableText"/>
              <w:keepNext w:val="0"/>
              <w:rPr>
                <w:szCs w:val="14"/>
              </w:rPr>
            </w:pPr>
            <w:r w:rsidRPr="00B8345C">
              <w:rPr>
                <w:szCs w:val="14"/>
              </w:rPr>
              <w:t xml:space="preserve">Transitioned ADF vs 2015 Regular ADF </w:t>
            </w:r>
          </w:p>
        </w:tc>
        <w:tc>
          <w:tcPr>
            <w:tcW w:w="1062" w:type="dxa"/>
            <w:shd w:val="clear" w:color="auto" w:fill="auto"/>
          </w:tcPr>
          <w:p w14:paraId="4CEFFD23" w14:textId="77777777" w:rsidR="00F67F7D" w:rsidRPr="00B8345C" w:rsidRDefault="00F67F7D" w:rsidP="00594252">
            <w:pPr>
              <w:pStyle w:val="TableText"/>
              <w:keepNext w:val="0"/>
              <w:rPr>
                <w:szCs w:val="14"/>
              </w:rPr>
            </w:pPr>
            <w:r w:rsidRPr="00B8345C">
              <w:rPr>
                <w:szCs w:val="14"/>
              </w:rPr>
              <w:t>0.73 (0.46</w:t>
            </w:r>
            <w:r w:rsidR="009919A9">
              <w:rPr>
                <w:szCs w:val="14"/>
              </w:rPr>
              <w:t>, </w:t>
            </w:r>
            <w:r w:rsidRPr="00B8345C">
              <w:rPr>
                <w:szCs w:val="14"/>
              </w:rPr>
              <w:t>1.15)</w:t>
            </w:r>
          </w:p>
        </w:tc>
        <w:tc>
          <w:tcPr>
            <w:tcW w:w="3089" w:type="dxa"/>
            <w:shd w:val="clear" w:color="auto" w:fill="auto"/>
          </w:tcPr>
          <w:p w14:paraId="2DCF0D3E"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7B3BE214" w14:textId="77777777" w:rsidR="00F67F7D" w:rsidRPr="00B8345C" w:rsidRDefault="00F67F7D" w:rsidP="00594252">
            <w:pPr>
              <w:pStyle w:val="TableText"/>
              <w:keepNext w:val="0"/>
              <w:rPr>
                <w:szCs w:val="14"/>
              </w:rPr>
            </w:pPr>
            <w:r>
              <w:rPr>
                <w:szCs w:val="14"/>
              </w:rPr>
              <w:t>–</w:t>
            </w:r>
          </w:p>
        </w:tc>
      </w:tr>
      <w:tr w:rsidR="00F67F7D" w:rsidRPr="00B8345C" w14:paraId="004A951E" w14:textId="77777777" w:rsidTr="00466837">
        <w:trPr>
          <w:cantSplit/>
        </w:trPr>
        <w:tc>
          <w:tcPr>
            <w:tcW w:w="852" w:type="dxa"/>
            <w:tcBorders>
              <w:left w:val="nil"/>
            </w:tcBorders>
            <w:shd w:val="clear" w:color="auto" w:fill="auto"/>
          </w:tcPr>
          <w:p w14:paraId="66FA1314"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22BAD310" w14:textId="77777777" w:rsidR="00F67F7D" w:rsidRPr="00B8345C" w:rsidRDefault="00F67F7D" w:rsidP="00594252">
            <w:pPr>
              <w:pStyle w:val="TableText"/>
              <w:keepNext w:val="0"/>
              <w:rPr>
                <w:szCs w:val="14"/>
              </w:rPr>
            </w:pPr>
            <w:r w:rsidRPr="00B8345C">
              <w:rPr>
                <w:szCs w:val="14"/>
              </w:rPr>
              <w:t xml:space="preserve">Ways in which emerging technologies are used to improve health and wellbeing: </w:t>
            </w:r>
            <w:r w:rsidRPr="00B8345C">
              <w:rPr>
                <w:rFonts w:cstheme="minorHAnsi"/>
                <w:szCs w:val="14"/>
              </w:rPr>
              <w:t>Improve my fitness</w:t>
            </w:r>
          </w:p>
        </w:tc>
        <w:tc>
          <w:tcPr>
            <w:tcW w:w="3372" w:type="dxa"/>
            <w:shd w:val="clear" w:color="auto" w:fill="auto"/>
          </w:tcPr>
          <w:p w14:paraId="743FDCC2"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5104F769" w14:textId="77777777" w:rsidR="00F67F7D" w:rsidRPr="00B8345C" w:rsidRDefault="00F67F7D" w:rsidP="00594252">
            <w:pPr>
              <w:pStyle w:val="TableText"/>
              <w:keepNext w:val="0"/>
              <w:rPr>
                <w:szCs w:val="14"/>
              </w:rPr>
            </w:pPr>
            <w:r w:rsidRPr="00B8345C">
              <w:rPr>
                <w:szCs w:val="14"/>
              </w:rPr>
              <w:t>0.56 (0.33</w:t>
            </w:r>
            <w:r w:rsidR="009919A9">
              <w:rPr>
                <w:szCs w:val="14"/>
              </w:rPr>
              <w:t>, </w:t>
            </w:r>
            <w:r w:rsidRPr="00B8345C">
              <w:rPr>
                <w:szCs w:val="14"/>
              </w:rPr>
              <w:t>0.94)</w:t>
            </w:r>
          </w:p>
        </w:tc>
        <w:tc>
          <w:tcPr>
            <w:tcW w:w="3089" w:type="dxa"/>
            <w:shd w:val="clear" w:color="auto" w:fill="auto"/>
          </w:tcPr>
          <w:p w14:paraId="46945794"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3F099D7" w14:textId="77777777" w:rsidR="00F67F7D" w:rsidRPr="00B8345C" w:rsidRDefault="00F67F7D" w:rsidP="00594252">
            <w:pPr>
              <w:pStyle w:val="TableText"/>
              <w:keepNext w:val="0"/>
              <w:rPr>
                <w:szCs w:val="14"/>
              </w:rPr>
            </w:pPr>
            <w:r>
              <w:rPr>
                <w:szCs w:val="14"/>
              </w:rPr>
              <w:t>–</w:t>
            </w:r>
          </w:p>
        </w:tc>
      </w:tr>
      <w:tr w:rsidR="00F67F7D" w:rsidRPr="00B8345C" w14:paraId="5B3BF0CF" w14:textId="77777777" w:rsidTr="00466837">
        <w:trPr>
          <w:cantSplit/>
        </w:trPr>
        <w:tc>
          <w:tcPr>
            <w:tcW w:w="852" w:type="dxa"/>
            <w:tcBorders>
              <w:left w:val="nil"/>
            </w:tcBorders>
            <w:shd w:val="clear" w:color="auto" w:fill="auto"/>
          </w:tcPr>
          <w:p w14:paraId="4847425E"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70C9D8E7"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Improve my mood</w:t>
            </w:r>
          </w:p>
        </w:tc>
        <w:tc>
          <w:tcPr>
            <w:tcW w:w="3372" w:type="dxa"/>
            <w:shd w:val="clear" w:color="auto" w:fill="auto"/>
          </w:tcPr>
          <w:p w14:paraId="0A930C75"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4651A5C4" w14:textId="77777777" w:rsidR="00F67F7D" w:rsidRPr="00B8345C" w:rsidRDefault="00F67F7D" w:rsidP="00594252">
            <w:pPr>
              <w:pStyle w:val="TableText"/>
              <w:keepNext w:val="0"/>
              <w:rPr>
                <w:szCs w:val="14"/>
              </w:rPr>
            </w:pPr>
            <w:r w:rsidRPr="00B8345C">
              <w:rPr>
                <w:szCs w:val="14"/>
              </w:rPr>
              <w:t>0.79 (0.40</w:t>
            </w:r>
            <w:r w:rsidR="009919A9">
              <w:rPr>
                <w:szCs w:val="14"/>
              </w:rPr>
              <w:t>, </w:t>
            </w:r>
            <w:r w:rsidRPr="00B8345C">
              <w:rPr>
                <w:szCs w:val="14"/>
              </w:rPr>
              <w:t>1.56)</w:t>
            </w:r>
          </w:p>
        </w:tc>
        <w:tc>
          <w:tcPr>
            <w:tcW w:w="3089" w:type="dxa"/>
            <w:shd w:val="clear" w:color="auto" w:fill="auto"/>
          </w:tcPr>
          <w:p w14:paraId="4551320F"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56FA4BD4" w14:textId="77777777" w:rsidR="00F67F7D" w:rsidRPr="00B8345C" w:rsidRDefault="00F67F7D" w:rsidP="00594252">
            <w:pPr>
              <w:pStyle w:val="TableText"/>
              <w:keepNext w:val="0"/>
              <w:rPr>
                <w:szCs w:val="14"/>
              </w:rPr>
            </w:pPr>
            <w:r>
              <w:rPr>
                <w:szCs w:val="14"/>
              </w:rPr>
              <w:t>–</w:t>
            </w:r>
          </w:p>
        </w:tc>
      </w:tr>
      <w:tr w:rsidR="00F67F7D" w:rsidRPr="00B8345C" w14:paraId="019A2B1F" w14:textId="77777777" w:rsidTr="00466837">
        <w:trPr>
          <w:cantSplit/>
        </w:trPr>
        <w:tc>
          <w:tcPr>
            <w:tcW w:w="852" w:type="dxa"/>
            <w:tcBorders>
              <w:left w:val="nil"/>
            </w:tcBorders>
            <w:shd w:val="clear" w:color="auto" w:fill="auto"/>
          </w:tcPr>
          <w:p w14:paraId="25922B83"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739C1328" w14:textId="77777777" w:rsidR="00F67F7D" w:rsidRPr="00B8345C" w:rsidRDefault="00F67F7D" w:rsidP="009919A9">
            <w:pPr>
              <w:pStyle w:val="TableText"/>
            </w:pPr>
            <w:r w:rsidRPr="00B8345C">
              <w:t>Ways in which emerging technologies are used to improve health and wellbeing: Improve my sleep</w:t>
            </w:r>
          </w:p>
        </w:tc>
        <w:tc>
          <w:tcPr>
            <w:tcW w:w="3372" w:type="dxa"/>
            <w:shd w:val="clear" w:color="auto" w:fill="auto"/>
          </w:tcPr>
          <w:p w14:paraId="4597EC2D"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704C63EB" w14:textId="77777777" w:rsidR="00F67F7D" w:rsidRPr="00B8345C" w:rsidRDefault="00F67F7D" w:rsidP="00594252">
            <w:pPr>
              <w:pStyle w:val="TableText"/>
              <w:keepNext w:val="0"/>
              <w:rPr>
                <w:szCs w:val="14"/>
              </w:rPr>
            </w:pPr>
            <w:r w:rsidRPr="00B8345C">
              <w:rPr>
                <w:szCs w:val="14"/>
              </w:rPr>
              <w:t>1.10 (0.66</w:t>
            </w:r>
            <w:r w:rsidR="009919A9">
              <w:rPr>
                <w:szCs w:val="14"/>
              </w:rPr>
              <w:t>, </w:t>
            </w:r>
            <w:r w:rsidRPr="00B8345C">
              <w:rPr>
                <w:szCs w:val="14"/>
              </w:rPr>
              <w:t>1.83)</w:t>
            </w:r>
          </w:p>
        </w:tc>
        <w:tc>
          <w:tcPr>
            <w:tcW w:w="3089" w:type="dxa"/>
            <w:shd w:val="clear" w:color="auto" w:fill="auto"/>
          </w:tcPr>
          <w:p w14:paraId="3DA22BF4"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17CF39B" w14:textId="77777777" w:rsidR="00F67F7D" w:rsidRPr="00B8345C" w:rsidRDefault="00F67F7D" w:rsidP="00594252">
            <w:pPr>
              <w:pStyle w:val="TableText"/>
              <w:keepNext w:val="0"/>
              <w:rPr>
                <w:szCs w:val="14"/>
              </w:rPr>
            </w:pPr>
            <w:r>
              <w:rPr>
                <w:szCs w:val="14"/>
              </w:rPr>
              <w:t>–</w:t>
            </w:r>
          </w:p>
        </w:tc>
      </w:tr>
      <w:tr w:rsidR="00F67F7D" w:rsidRPr="00B8345C" w14:paraId="4DEFD8C3" w14:textId="77777777" w:rsidTr="00466837">
        <w:trPr>
          <w:cantSplit/>
        </w:trPr>
        <w:tc>
          <w:tcPr>
            <w:tcW w:w="852" w:type="dxa"/>
            <w:tcBorders>
              <w:left w:val="nil"/>
            </w:tcBorders>
            <w:shd w:val="clear" w:color="auto" w:fill="auto"/>
          </w:tcPr>
          <w:p w14:paraId="12750561"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2E5C07CC"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keep me organised</w:t>
            </w:r>
          </w:p>
        </w:tc>
        <w:tc>
          <w:tcPr>
            <w:tcW w:w="3372" w:type="dxa"/>
            <w:shd w:val="clear" w:color="auto" w:fill="auto"/>
          </w:tcPr>
          <w:p w14:paraId="1BA3ECE0"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7AC2FB57" w14:textId="77777777" w:rsidR="00F67F7D" w:rsidRPr="00B8345C" w:rsidRDefault="00F67F7D" w:rsidP="00594252">
            <w:pPr>
              <w:pStyle w:val="TableText"/>
              <w:keepNext w:val="0"/>
              <w:rPr>
                <w:szCs w:val="14"/>
              </w:rPr>
            </w:pPr>
            <w:r w:rsidRPr="00B8345C">
              <w:rPr>
                <w:szCs w:val="14"/>
              </w:rPr>
              <w:t>0.97 (0.60</w:t>
            </w:r>
            <w:r w:rsidR="009919A9">
              <w:rPr>
                <w:szCs w:val="14"/>
              </w:rPr>
              <w:t>, </w:t>
            </w:r>
            <w:r w:rsidRPr="00B8345C">
              <w:rPr>
                <w:szCs w:val="14"/>
              </w:rPr>
              <w:t>1.59)</w:t>
            </w:r>
          </w:p>
        </w:tc>
        <w:tc>
          <w:tcPr>
            <w:tcW w:w="3089" w:type="dxa"/>
            <w:shd w:val="clear" w:color="auto" w:fill="auto"/>
          </w:tcPr>
          <w:p w14:paraId="25313660"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BFFC32F" w14:textId="77777777" w:rsidR="00F67F7D" w:rsidRPr="00B8345C" w:rsidRDefault="00F67F7D" w:rsidP="00594252">
            <w:pPr>
              <w:pStyle w:val="TableText"/>
              <w:keepNext w:val="0"/>
              <w:rPr>
                <w:szCs w:val="14"/>
              </w:rPr>
            </w:pPr>
            <w:r>
              <w:rPr>
                <w:szCs w:val="14"/>
              </w:rPr>
              <w:t>–</w:t>
            </w:r>
          </w:p>
        </w:tc>
      </w:tr>
      <w:tr w:rsidR="00F67F7D" w:rsidRPr="00B8345C" w14:paraId="0B2ADD00" w14:textId="77777777" w:rsidTr="00466837">
        <w:trPr>
          <w:cantSplit/>
        </w:trPr>
        <w:tc>
          <w:tcPr>
            <w:tcW w:w="852" w:type="dxa"/>
            <w:tcBorders>
              <w:left w:val="nil"/>
            </w:tcBorders>
            <w:shd w:val="clear" w:color="auto" w:fill="auto"/>
          </w:tcPr>
          <w:p w14:paraId="055B7FE5"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22461982"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Maintain my diet/track food intake</w:t>
            </w:r>
          </w:p>
        </w:tc>
        <w:tc>
          <w:tcPr>
            <w:tcW w:w="3372" w:type="dxa"/>
            <w:shd w:val="clear" w:color="auto" w:fill="auto"/>
          </w:tcPr>
          <w:p w14:paraId="764D553C"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0FCBC3CE" w14:textId="77777777" w:rsidR="00F67F7D" w:rsidRPr="00B8345C" w:rsidRDefault="00F67F7D" w:rsidP="00594252">
            <w:pPr>
              <w:pStyle w:val="TableText"/>
              <w:keepNext w:val="0"/>
              <w:rPr>
                <w:szCs w:val="14"/>
              </w:rPr>
            </w:pPr>
            <w:r w:rsidRPr="00B8345C">
              <w:rPr>
                <w:szCs w:val="14"/>
              </w:rPr>
              <w:t>1.54 (1.16</w:t>
            </w:r>
            <w:r w:rsidR="009919A9">
              <w:rPr>
                <w:szCs w:val="14"/>
              </w:rPr>
              <w:t>, </w:t>
            </w:r>
            <w:r w:rsidRPr="00B8345C">
              <w:rPr>
                <w:szCs w:val="14"/>
              </w:rPr>
              <w:t>2.03)</w:t>
            </w:r>
          </w:p>
        </w:tc>
        <w:tc>
          <w:tcPr>
            <w:tcW w:w="3089" w:type="dxa"/>
            <w:shd w:val="clear" w:color="auto" w:fill="auto"/>
          </w:tcPr>
          <w:p w14:paraId="1723639F" w14:textId="77777777" w:rsidR="00F67F7D" w:rsidRPr="00B8345C" w:rsidRDefault="00F67F7D" w:rsidP="00594252">
            <w:pPr>
              <w:pStyle w:val="TableText"/>
              <w:keepNext w:val="0"/>
              <w:rPr>
                <w:szCs w:val="14"/>
              </w:rPr>
            </w:pPr>
            <w:r w:rsidRPr="00B8345C">
              <w:rPr>
                <w:szCs w:val="14"/>
              </w:rPr>
              <w:t>Transitioned ADF who used emerging technologies were 1.54 times more likely to use emerging technologies to maintain their diet/track their food</w:t>
            </w:r>
          </w:p>
        </w:tc>
        <w:tc>
          <w:tcPr>
            <w:tcW w:w="1005" w:type="dxa"/>
            <w:tcBorders>
              <w:right w:val="nil"/>
            </w:tcBorders>
            <w:shd w:val="clear" w:color="auto" w:fill="auto"/>
          </w:tcPr>
          <w:p w14:paraId="43B17D90" w14:textId="77777777" w:rsidR="00F67F7D" w:rsidRPr="00B8345C" w:rsidRDefault="00F67F7D" w:rsidP="00594252">
            <w:pPr>
              <w:pStyle w:val="TableText"/>
              <w:keepNext w:val="0"/>
              <w:rPr>
                <w:szCs w:val="14"/>
              </w:rPr>
            </w:pPr>
            <w:r w:rsidRPr="00B8345C">
              <w:rPr>
                <w:szCs w:val="14"/>
              </w:rPr>
              <w:t>Moderate</w:t>
            </w:r>
          </w:p>
        </w:tc>
      </w:tr>
      <w:tr w:rsidR="00F67F7D" w:rsidRPr="00B8345C" w14:paraId="2E1F8C9C" w14:textId="77777777" w:rsidTr="00466837">
        <w:trPr>
          <w:cantSplit/>
        </w:trPr>
        <w:tc>
          <w:tcPr>
            <w:tcW w:w="852" w:type="dxa"/>
            <w:tcBorders>
              <w:left w:val="nil"/>
            </w:tcBorders>
            <w:shd w:val="clear" w:color="auto" w:fill="auto"/>
          </w:tcPr>
          <w:p w14:paraId="066CFAC2"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1DDC88F8"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To keep me motivated</w:t>
            </w:r>
          </w:p>
        </w:tc>
        <w:tc>
          <w:tcPr>
            <w:tcW w:w="3372" w:type="dxa"/>
            <w:shd w:val="clear" w:color="auto" w:fill="auto"/>
          </w:tcPr>
          <w:p w14:paraId="307F572E"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20404552" w14:textId="77777777" w:rsidR="00F67F7D" w:rsidRPr="00B8345C" w:rsidRDefault="00F67F7D" w:rsidP="00594252">
            <w:pPr>
              <w:pStyle w:val="TableText"/>
              <w:keepNext w:val="0"/>
              <w:rPr>
                <w:szCs w:val="14"/>
              </w:rPr>
            </w:pPr>
            <w:r w:rsidRPr="00B8345C">
              <w:rPr>
                <w:szCs w:val="14"/>
              </w:rPr>
              <w:t>1.41 (1.07</w:t>
            </w:r>
            <w:r w:rsidR="009919A9">
              <w:rPr>
                <w:szCs w:val="14"/>
              </w:rPr>
              <w:t>, </w:t>
            </w:r>
            <w:r w:rsidRPr="00B8345C">
              <w:rPr>
                <w:szCs w:val="14"/>
              </w:rPr>
              <w:t>1.86)</w:t>
            </w:r>
          </w:p>
        </w:tc>
        <w:tc>
          <w:tcPr>
            <w:tcW w:w="3089" w:type="dxa"/>
            <w:shd w:val="clear" w:color="auto" w:fill="auto"/>
          </w:tcPr>
          <w:p w14:paraId="5CB02AD0" w14:textId="77777777" w:rsidR="00F67F7D" w:rsidRPr="00B8345C" w:rsidRDefault="00F67F7D" w:rsidP="00594252">
            <w:pPr>
              <w:pStyle w:val="TableText"/>
              <w:keepNext w:val="0"/>
              <w:rPr>
                <w:szCs w:val="14"/>
              </w:rPr>
            </w:pPr>
            <w:r w:rsidRPr="00B8345C">
              <w:rPr>
                <w:szCs w:val="14"/>
              </w:rPr>
              <w:t>Transitioned ADF who used emerging technologies were 1.41 times more likely to use emerging technologies to keep them motivated</w:t>
            </w:r>
          </w:p>
        </w:tc>
        <w:tc>
          <w:tcPr>
            <w:tcW w:w="1005" w:type="dxa"/>
            <w:tcBorders>
              <w:right w:val="nil"/>
            </w:tcBorders>
            <w:shd w:val="clear" w:color="auto" w:fill="auto"/>
          </w:tcPr>
          <w:p w14:paraId="6D674719" w14:textId="77777777" w:rsidR="00F67F7D" w:rsidRPr="00B8345C" w:rsidRDefault="00F67F7D" w:rsidP="00594252">
            <w:pPr>
              <w:pStyle w:val="TableText"/>
              <w:keepNext w:val="0"/>
              <w:rPr>
                <w:szCs w:val="14"/>
              </w:rPr>
            </w:pPr>
            <w:r w:rsidRPr="00B8345C">
              <w:rPr>
                <w:szCs w:val="14"/>
              </w:rPr>
              <w:t xml:space="preserve">Weak </w:t>
            </w:r>
          </w:p>
        </w:tc>
      </w:tr>
      <w:tr w:rsidR="00F67F7D" w:rsidRPr="00B8345C" w14:paraId="40C27D52" w14:textId="77777777" w:rsidTr="00466837">
        <w:trPr>
          <w:cantSplit/>
        </w:trPr>
        <w:tc>
          <w:tcPr>
            <w:tcW w:w="852" w:type="dxa"/>
            <w:tcBorders>
              <w:left w:val="nil"/>
            </w:tcBorders>
            <w:shd w:val="clear" w:color="auto" w:fill="auto"/>
          </w:tcPr>
          <w:p w14:paraId="0B620056"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49B3978B"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Track my progress</w:t>
            </w:r>
          </w:p>
        </w:tc>
        <w:tc>
          <w:tcPr>
            <w:tcW w:w="3372" w:type="dxa"/>
            <w:shd w:val="clear" w:color="auto" w:fill="auto"/>
          </w:tcPr>
          <w:p w14:paraId="09C98119"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126A4825" w14:textId="77777777" w:rsidR="00F67F7D" w:rsidRPr="00B8345C" w:rsidRDefault="00F67F7D" w:rsidP="00594252">
            <w:pPr>
              <w:pStyle w:val="TableText"/>
              <w:keepNext w:val="0"/>
              <w:rPr>
                <w:szCs w:val="14"/>
              </w:rPr>
            </w:pPr>
            <w:r w:rsidRPr="00B8345C">
              <w:rPr>
                <w:szCs w:val="14"/>
              </w:rPr>
              <w:t>1.31 (0.86</w:t>
            </w:r>
            <w:r w:rsidR="009919A9">
              <w:rPr>
                <w:szCs w:val="14"/>
              </w:rPr>
              <w:t>, </w:t>
            </w:r>
            <w:r w:rsidRPr="00B8345C">
              <w:rPr>
                <w:szCs w:val="14"/>
              </w:rPr>
              <w:t>1.98)</w:t>
            </w:r>
          </w:p>
        </w:tc>
        <w:tc>
          <w:tcPr>
            <w:tcW w:w="3089" w:type="dxa"/>
            <w:shd w:val="clear" w:color="auto" w:fill="auto"/>
          </w:tcPr>
          <w:p w14:paraId="125E5F6D"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97FA3FA" w14:textId="77777777" w:rsidR="00F67F7D" w:rsidRPr="00B8345C" w:rsidRDefault="00F67F7D" w:rsidP="00594252">
            <w:pPr>
              <w:pStyle w:val="TableText"/>
              <w:keepNext w:val="0"/>
              <w:rPr>
                <w:szCs w:val="14"/>
              </w:rPr>
            </w:pPr>
            <w:r>
              <w:rPr>
                <w:szCs w:val="14"/>
              </w:rPr>
              <w:t>–</w:t>
            </w:r>
          </w:p>
        </w:tc>
      </w:tr>
      <w:tr w:rsidR="00F67F7D" w:rsidRPr="00B8345C" w14:paraId="1A0B64D1" w14:textId="77777777" w:rsidTr="00466837">
        <w:trPr>
          <w:cantSplit/>
        </w:trPr>
        <w:tc>
          <w:tcPr>
            <w:tcW w:w="852" w:type="dxa"/>
            <w:tcBorders>
              <w:left w:val="nil"/>
            </w:tcBorders>
            <w:shd w:val="clear" w:color="auto" w:fill="auto"/>
          </w:tcPr>
          <w:p w14:paraId="004E81EB" w14:textId="77777777" w:rsidR="00F67F7D" w:rsidRPr="00B8345C" w:rsidRDefault="00F67F7D" w:rsidP="00594252">
            <w:pPr>
              <w:pStyle w:val="TableText"/>
              <w:keepNext w:val="0"/>
              <w:rPr>
                <w:szCs w:val="14"/>
              </w:rPr>
            </w:pPr>
            <w:r>
              <w:t xml:space="preserve">Table </w:t>
            </w:r>
            <w:r>
              <w:rPr>
                <w:noProof/>
              </w:rPr>
              <w:t>5</w:t>
            </w:r>
            <w:r>
              <w:t>.</w:t>
            </w:r>
            <w:r>
              <w:rPr>
                <w:noProof/>
              </w:rPr>
              <w:t>7</w:t>
            </w:r>
          </w:p>
        </w:tc>
        <w:tc>
          <w:tcPr>
            <w:tcW w:w="2140" w:type="dxa"/>
            <w:shd w:val="clear" w:color="auto" w:fill="auto"/>
          </w:tcPr>
          <w:p w14:paraId="5EDAC0A7"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Other</w:t>
            </w:r>
          </w:p>
        </w:tc>
        <w:tc>
          <w:tcPr>
            <w:tcW w:w="3372" w:type="dxa"/>
            <w:shd w:val="clear" w:color="auto" w:fill="auto"/>
          </w:tcPr>
          <w:p w14:paraId="091DADED"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to improve their health and wellbeing)</w:t>
            </w:r>
          </w:p>
        </w:tc>
        <w:tc>
          <w:tcPr>
            <w:tcW w:w="1062" w:type="dxa"/>
            <w:shd w:val="clear" w:color="auto" w:fill="auto"/>
          </w:tcPr>
          <w:p w14:paraId="52A60422" w14:textId="77777777" w:rsidR="00F67F7D" w:rsidRPr="00B8345C" w:rsidRDefault="00F67F7D" w:rsidP="00594252">
            <w:pPr>
              <w:pStyle w:val="TableText"/>
              <w:keepNext w:val="0"/>
              <w:rPr>
                <w:szCs w:val="14"/>
              </w:rPr>
            </w:pPr>
            <w:r w:rsidRPr="00B8345C">
              <w:rPr>
                <w:szCs w:val="14"/>
              </w:rPr>
              <w:t>0.77 (0.24</w:t>
            </w:r>
            <w:r w:rsidR="009919A9">
              <w:rPr>
                <w:szCs w:val="14"/>
              </w:rPr>
              <w:t>, </w:t>
            </w:r>
            <w:r w:rsidRPr="00B8345C">
              <w:rPr>
                <w:szCs w:val="14"/>
              </w:rPr>
              <w:t>2.51)</w:t>
            </w:r>
          </w:p>
        </w:tc>
        <w:tc>
          <w:tcPr>
            <w:tcW w:w="3089" w:type="dxa"/>
            <w:shd w:val="clear" w:color="auto" w:fill="auto"/>
          </w:tcPr>
          <w:p w14:paraId="45F97E8B"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F786D72" w14:textId="77777777" w:rsidR="00F67F7D" w:rsidRPr="00B8345C" w:rsidRDefault="00F67F7D" w:rsidP="00594252">
            <w:pPr>
              <w:pStyle w:val="TableText"/>
              <w:keepNext w:val="0"/>
              <w:rPr>
                <w:szCs w:val="14"/>
              </w:rPr>
            </w:pPr>
            <w:r>
              <w:rPr>
                <w:szCs w:val="14"/>
              </w:rPr>
              <w:t>–</w:t>
            </w:r>
          </w:p>
        </w:tc>
      </w:tr>
      <w:tr w:rsidR="00F67F7D" w:rsidRPr="00B8345C" w14:paraId="68C43950" w14:textId="77777777" w:rsidTr="00466837">
        <w:trPr>
          <w:cantSplit/>
        </w:trPr>
        <w:tc>
          <w:tcPr>
            <w:tcW w:w="852" w:type="dxa"/>
            <w:tcBorders>
              <w:left w:val="nil"/>
            </w:tcBorders>
            <w:shd w:val="clear" w:color="auto" w:fill="auto"/>
          </w:tcPr>
          <w:p w14:paraId="42275475" w14:textId="77777777" w:rsidR="00F67F7D" w:rsidRPr="00B8345C" w:rsidRDefault="00F67F7D" w:rsidP="00594252">
            <w:pPr>
              <w:pStyle w:val="TableText"/>
              <w:keepNext w:val="0"/>
              <w:rPr>
                <w:szCs w:val="14"/>
              </w:rPr>
            </w:pPr>
            <w:r w:rsidRPr="00E67FD0">
              <w:t xml:space="preserve">Table </w:t>
            </w:r>
            <w:r>
              <w:rPr>
                <w:noProof/>
              </w:rPr>
              <w:t>5</w:t>
            </w:r>
            <w:r>
              <w:t>.</w:t>
            </w:r>
            <w:r>
              <w:rPr>
                <w:noProof/>
              </w:rPr>
              <w:t>8</w:t>
            </w:r>
          </w:p>
        </w:tc>
        <w:tc>
          <w:tcPr>
            <w:tcW w:w="2140" w:type="dxa"/>
            <w:shd w:val="clear" w:color="auto" w:fill="auto"/>
          </w:tcPr>
          <w:p w14:paraId="79DFDE9F" w14:textId="77777777" w:rsidR="00F67F7D" w:rsidRPr="00B8345C" w:rsidRDefault="00F67F7D" w:rsidP="00594252">
            <w:pPr>
              <w:pStyle w:val="TableText"/>
              <w:keepNext w:val="0"/>
              <w:rPr>
                <w:szCs w:val="14"/>
              </w:rPr>
            </w:pPr>
            <w:r w:rsidRPr="00B8345C">
              <w:rPr>
                <w:szCs w:val="14"/>
              </w:rPr>
              <w:t xml:space="preserve">Other reasons for using new and emerging technologies: </w:t>
            </w:r>
            <w:r w:rsidRPr="00B8345C">
              <w:rPr>
                <w:rFonts w:cs="ArialMT"/>
                <w:szCs w:val="14"/>
              </w:rPr>
              <w:t>Enhance social interaction</w:t>
            </w:r>
          </w:p>
        </w:tc>
        <w:tc>
          <w:tcPr>
            <w:tcW w:w="3372" w:type="dxa"/>
            <w:shd w:val="clear" w:color="auto" w:fill="auto"/>
          </w:tcPr>
          <w:p w14:paraId="1C6C7CF7"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for reasons other than to improve their health and wellbeing)</w:t>
            </w:r>
          </w:p>
        </w:tc>
        <w:tc>
          <w:tcPr>
            <w:tcW w:w="1062" w:type="dxa"/>
            <w:shd w:val="clear" w:color="auto" w:fill="auto"/>
          </w:tcPr>
          <w:p w14:paraId="0902C54F" w14:textId="77777777" w:rsidR="00F67F7D" w:rsidRPr="00B8345C" w:rsidRDefault="00F67F7D" w:rsidP="00594252">
            <w:pPr>
              <w:pStyle w:val="TableText"/>
              <w:keepNext w:val="0"/>
              <w:rPr>
                <w:szCs w:val="14"/>
              </w:rPr>
            </w:pPr>
            <w:r w:rsidRPr="00B8345C">
              <w:rPr>
                <w:szCs w:val="14"/>
              </w:rPr>
              <w:t>1.01 (0.59</w:t>
            </w:r>
            <w:r w:rsidR="009919A9">
              <w:rPr>
                <w:szCs w:val="14"/>
              </w:rPr>
              <w:t>, </w:t>
            </w:r>
            <w:r w:rsidRPr="00B8345C">
              <w:rPr>
                <w:szCs w:val="14"/>
              </w:rPr>
              <w:t>1.75)</w:t>
            </w:r>
          </w:p>
        </w:tc>
        <w:tc>
          <w:tcPr>
            <w:tcW w:w="3089" w:type="dxa"/>
            <w:shd w:val="clear" w:color="auto" w:fill="auto"/>
          </w:tcPr>
          <w:p w14:paraId="4A58164E"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305C876D" w14:textId="77777777" w:rsidR="00F67F7D" w:rsidRPr="00B8345C" w:rsidRDefault="00F67F7D" w:rsidP="00594252">
            <w:pPr>
              <w:pStyle w:val="TableText"/>
              <w:keepNext w:val="0"/>
              <w:rPr>
                <w:szCs w:val="14"/>
              </w:rPr>
            </w:pPr>
            <w:r>
              <w:rPr>
                <w:szCs w:val="14"/>
              </w:rPr>
              <w:t>–</w:t>
            </w:r>
          </w:p>
        </w:tc>
      </w:tr>
      <w:tr w:rsidR="00F67F7D" w:rsidRPr="00B8345C" w14:paraId="422666BF" w14:textId="77777777" w:rsidTr="00466837">
        <w:trPr>
          <w:cantSplit/>
        </w:trPr>
        <w:tc>
          <w:tcPr>
            <w:tcW w:w="852" w:type="dxa"/>
            <w:tcBorders>
              <w:left w:val="nil"/>
            </w:tcBorders>
            <w:shd w:val="clear" w:color="auto" w:fill="auto"/>
          </w:tcPr>
          <w:p w14:paraId="4AD78E4D" w14:textId="77777777" w:rsidR="00F67F7D" w:rsidRPr="00B8345C" w:rsidRDefault="00F67F7D" w:rsidP="00594252">
            <w:pPr>
              <w:pStyle w:val="TableText"/>
              <w:keepNext w:val="0"/>
              <w:rPr>
                <w:szCs w:val="14"/>
              </w:rPr>
            </w:pPr>
            <w:r w:rsidRPr="00E67FD0">
              <w:t xml:space="preserve">Table </w:t>
            </w:r>
            <w:r>
              <w:rPr>
                <w:noProof/>
              </w:rPr>
              <w:t>5</w:t>
            </w:r>
            <w:r>
              <w:t>.</w:t>
            </w:r>
            <w:r>
              <w:rPr>
                <w:noProof/>
              </w:rPr>
              <w:t>8</w:t>
            </w:r>
          </w:p>
        </w:tc>
        <w:tc>
          <w:tcPr>
            <w:tcW w:w="2140" w:type="dxa"/>
            <w:shd w:val="clear" w:color="auto" w:fill="auto"/>
          </w:tcPr>
          <w:p w14:paraId="4A7AEA73" w14:textId="77777777" w:rsidR="00F67F7D" w:rsidRPr="00B8345C" w:rsidRDefault="00F67F7D" w:rsidP="00594252">
            <w:pPr>
              <w:pStyle w:val="TableText"/>
              <w:keepNext w:val="0"/>
              <w:rPr>
                <w:szCs w:val="14"/>
              </w:rPr>
            </w:pPr>
            <w:r w:rsidRPr="00B8345C">
              <w:rPr>
                <w:szCs w:val="14"/>
              </w:rPr>
              <w:t xml:space="preserve">Other reasons for using new and emerging technologies: </w:t>
            </w:r>
            <w:r w:rsidRPr="00B8345C">
              <w:rPr>
                <w:rFonts w:cs="ArialMT"/>
                <w:szCs w:val="14"/>
              </w:rPr>
              <w:t>Fun or recreation</w:t>
            </w:r>
          </w:p>
        </w:tc>
        <w:tc>
          <w:tcPr>
            <w:tcW w:w="3372" w:type="dxa"/>
            <w:shd w:val="clear" w:color="auto" w:fill="auto"/>
          </w:tcPr>
          <w:p w14:paraId="68812CBE"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for reasons other than to improve their health and wellbeing)</w:t>
            </w:r>
          </w:p>
        </w:tc>
        <w:tc>
          <w:tcPr>
            <w:tcW w:w="1062" w:type="dxa"/>
            <w:shd w:val="clear" w:color="auto" w:fill="auto"/>
          </w:tcPr>
          <w:p w14:paraId="3E9E759A" w14:textId="77777777" w:rsidR="00F67F7D" w:rsidRPr="00B8345C" w:rsidRDefault="00F67F7D" w:rsidP="00594252">
            <w:pPr>
              <w:pStyle w:val="TableText"/>
              <w:keepNext w:val="0"/>
              <w:rPr>
                <w:szCs w:val="14"/>
              </w:rPr>
            </w:pPr>
            <w:r w:rsidRPr="00B8345C">
              <w:rPr>
                <w:szCs w:val="14"/>
              </w:rPr>
              <w:t>0.67 (0.39</w:t>
            </w:r>
            <w:r w:rsidR="009919A9">
              <w:rPr>
                <w:szCs w:val="14"/>
              </w:rPr>
              <w:t>, </w:t>
            </w:r>
            <w:r w:rsidRPr="00B8345C">
              <w:rPr>
                <w:szCs w:val="14"/>
              </w:rPr>
              <w:t>1.13)</w:t>
            </w:r>
          </w:p>
        </w:tc>
        <w:tc>
          <w:tcPr>
            <w:tcW w:w="3089" w:type="dxa"/>
            <w:shd w:val="clear" w:color="auto" w:fill="auto"/>
          </w:tcPr>
          <w:p w14:paraId="60126318"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3C707ADE" w14:textId="77777777" w:rsidR="00F67F7D" w:rsidRPr="00B8345C" w:rsidRDefault="00F67F7D" w:rsidP="00594252">
            <w:pPr>
              <w:pStyle w:val="TableText"/>
              <w:keepNext w:val="0"/>
              <w:rPr>
                <w:szCs w:val="14"/>
              </w:rPr>
            </w:pPr>
            <w:r>
              <w:rPr>
                <w:szCs w:val="14"/>
              </w:rPr>
              <w:t>–</w:t>
            </w:r>
          </w:p>
        </w:tc>
      </w:tr>
      <w:tr w:rsidR="00F67F7D" w:rsidRPr="00B8345C" w14:paraId="49582AA8" w14:textId="77777777" w:rsidTr="00466837">
        <w:trPr>
          <w:cantSplit/>
        </w:trPr>
        <w:tc>
          <w:tcPr>
            <w:tcW w:w="852" w:type="dxa"/>
            <w:tcBorders>
              <w:left w:val="nil"/>
            </w:tcBorders>
            <w:shd w:val="clear" w:color="auto" w:fill="auto"/>
          </w:tcPr>
          <w:p w14:paraId="56408DE5" w14:textId="77777777" w:rsidR="00F67F7D" w:rsidRPr="00B8345C" w:rsidRDefault="00F67F7D" w:rsidP="00594252">
            <w:pPr>
              <w:pStyle w:val="TableText"/>
              <w:keepNext w:val="0"/>
              <w:rPr>
                <w:szCs w:val="14"/>
              </w:rPr>
            </w:pPr>
            <w:r w:rsidRPr="00E67FD0">
              <w:t xml:space="preserve">Table </w:t>
            </w:r>
            <w:r>
              <w:rPr>
                <w:noProof/>
              </w:rPr>
              <w:t>5</w:t>
            </w:r>
            <w:r>
              <w:t>.</w:t>
            </w:r>
            <w:r>
              <w:rPr>
                <w:noProof/>
              </w:rPr>
              <w:t>8</w:t>
            </w:r>
          </w:p>
        </w:tc>
        <w:tc>
          <w:tcPr>
            <w:tcW w:w="2140" w:type="dxa"/>
            <w:shd w:val="clear" w:color="auto" w:fill="auto"/>
          </w:tcPr>
          <w:p w14:paraId="0590623C" w14:textId="77777777" w:rsidR="00F67F7D" w:rsidRPr="00B8345C" w:rsidRDefault="00F67F7D" w:rsidP="00594252">
            <w:pPr>
              <w:pStyle w:val="TableText"/>
              <w:keepNext w:val="0"/>
              <w:rPr>
                <w:szCs w:val="14"/>
              </w:rPr>
            </w:pPr>
            <w:r w:rsidRPr="00B8345C">
              <w:rPr>
                <w:szCs w:val="14"/>
              </w:rPr>
              <w:t xml:space="preserve">Other reasons for using new and emerging technologies: </w:t>
            </w:r>
            <w:r w:rsidRPr="00B8345C">
              <w:rPr>
                <w:rFonts w:cs="ArialMT"/>
                <w:szCs w:val="14"/>
              </w:rPr>
              <w:t>Study or work</w:t>
            </w:r>
          </w:p>
        </w:tc>
        <w:tc>
          <w:tcPr>
            <w:tcW w:w="3372" w:type="dxa"/>
            <w:shd w:val="clear" w:color="auto" w:fill="auto"/>
          </w:tcPr>
          <w:p w14:paraId="0F155BAF"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for reasons other than to improve their health and wellbeing)</w:t>
            </w:r>
          </w:p>
        </w:tc>
        <w:tc>
          <w:tcPr>
            <w:tcW w:w="1062" w:type="dxa"/>
            <w:shd w:val="clear" w:color="auto" w:fill="auto"/>
          </w:tcPr>
          <w:p w14:paraId="416B11C8" w14:textId="77777777" w:rsidR="00F67F7D" w:rsidRPr="00B8345C" w:rsidRDefault="00F67F7D" w:rsidP="00594252">
            <w:pPr>
              <w:pStyle w:val="TableText"/>
              <w:keepNext w:val="0"/>
              <w:rPr>
                <w:szCs w:val="14"/>
              </w:rPr>
            </w:pPr>
            <w:r w:rsidRPr="00B8345C">
              <w:rPr>
                <w:szCs w:val="14"/>
              </w:rPr>
              <w:t>1.88 (1.13</w:t>
            </w:r>
            <w:r w:rsidR="009919A9">
              <w:rPr>
                <w:szCs w:val="14"/>
              </w:rPr>
              <w:t>, </w:t>
            </w:r>
            <w:r w:rsidRPr="00B8345C">
              <w:rPr>
                <w:szCs w:val="14"/>
              </w:rPr>
              <w:t>3.11)</w:t>
            </w:r>
          </w:p>
        </w:tc>
        <w:tc>
          <w:tcPr>
            <w:tcW w:w="3089" w:type="dxa"/>
            <w:shd w:val="clear" w:color="auto" w:fill="auto"/>
          </w:tcPr>
          <w:p w14:paraId="4395EAE4" w14:textId="77777777" w:rsidR="00F67F7D" w:rsidRPr="00B8345C" w:rsidRDefault="00F67F7D" w:rsidP="00594252">
            <w:pPr>
              <w:pStyle w:val="TableText"/>
              <w:keepNext w:val="0"/>
              <w:rPr>
                <w:szCs w:val="14"/>
              </w:rPr>
            </w:pPr>
            <w:r w:rsidRPr="00B8345C">
              <w:rPr>
                <w:szCs w:val="14"/>
              </w:rPr>
              <w:t>Transitioned ADF who used emerging technologies for other reasons were 1.9 times more likely to use them for study or work</w:t>
            </w:r>
          </w:p>
        </w:tc>
        <w:tc>
          <w:tcPr>
            <w:tcW w:w="1005" w:type="dxa"/>
            <w:tcBorders>
              <w:right w:val="nil"/>
            </w:tcBorders>
            <w:shd w:val="clear" w:color="auto" w:fill="auto"/>
          </w:tcPr>
          <w:p w14:paraId="6961005F" w14:textId="77777777" w:rsidR="00F67F7D" w:rsidRPr="00B8345C" w:rsidRDefault="00F67F7D" w:rsidP="00594252">
            <w:pPr>
              <w:pStyle w:val="TableText"/>
              <w:keepNext w:val="0"/>
              <w:rPr>
                <w:szCs w:val="14"/>
              </w:rPr>
            </w:pPr>
            <w:r w:rsidRPr="00B8345C">
              <w:rPr>
                <w:szCs w:val="14"/>
              </w:rPr>
              <w:t>Moderate</w:t>
            </w:r>
          </w:p>
        </w:tc>
      </w:tr>
      <w:tr w:rsidR="00F67F7D" w:rsidRPr="00B8345C" w14:paraId="19A7D6F4" w14:textId="77777777" w:rsidTr="00466837">
        <w:trPr>
          <w:cantSplit/>
        </w:trPr>
        <w:tc>
          <w:tcPr>
            <w:tcW w:w="852" w:type="dxa"/>
            <w:tcBorders>
              <w:left w:val="nil"/>
            </w:tcBorders>
            <w:shd w:val="clear" w:color="auto" w:fill="auto"/>
          </w:tcPr>
          <w:p w14:paraId="56694952" w14:textId="77777777" w:rsidR="00F67F7D" w:rsidRPr="00B8345C" w:rsidRDefault="00F67F7D" w:rsidP="00594252">
            <w:pPr>
              <w:pStyle w:val="TableText"/>
              <w:keepNext w:val="0"/>
              <w:rPr>
                <w:szCs w:val="14"/>
              </w:rPr>
            </w:pPr>
            <w:r w:rsidRPr="00E67FD0">
              <w:t xml:space="preserve">Table </w:t>
            </w:r>
            <w:r>
              <w:rPr>
                <w:noProof/>
              </w:rPr>
              <w:t>5</w:t>
            </w:r>
            <w:r>
              <w:t>.</w:t>
            </w:r>
            <w:r>
              <w:rPr>
                <w:noProof/>
              </w:rPr>
              <w:t>8</w:t>
            </w:r>
          </w:p>
        </w:tc>
        <w:tc>
          <w:tcPr>
            <w:tcW w:w="2140" w:type="dxa"/>
            <w:shd w:val="clear" w:color="auto" w:fill="auto"/>
          </w:tcPr>
          <w:p w14:paraId="202EA3E9" w14:textId="77777777" w:rsidR="00F67F7D" w:rsidRPr="00B8345C" w:rsidRDefault="00F67F7D" w:rsidP="00594252">
            <w:pPr>
              <w:pStyle w:val="TableText"/>
              <w:keepNext w:val="0"/>
              <w:rPr>
                <w:szCs w:val="14"/>
              </w:rPr>
            </w:pPr>
            <w:r w:rsidRPr="00B8345C">
              <w:rPr>
                <w:szCs w:val="14"/>
              </w:rPr>
              <w:t xml:space="preserve">Other reasons for using new and emerging technologies: </w:t>
            </w:r>
            <w:r w:rsidRPr="00B8345C">
              <w:rPr>
                <w:rFonts w:cs="ArialMT"/>
                <w:szCs w:val="14"/>
              </w:rPr>
              <w:t>To make videos or take photos</w:t>
            </w:r>
          </w:p>
        </w:tc>
        <w:tc>
          <w:tcPr>
            <w:tcW w:w="3372" w:type="dxa"/>
            <w:shd w:val="clear" w:color="auto" w:fill="auto"/>
          </w:tcPr>
          <w:p w14:paraId="3852E24F"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for reasons other than to improve their health and wellbeing)</w:t>
            </w:r>
          </w:p>
        </w:tc>
        <w:tc>
          <w:tcPr>
            <w:tcW w:w="1062" w:type="dxa"/>
            <w:shd w:val="clear" w:color="auto" w:fill="auto"/>
          </w:tcPr>
          <w:p w14:paraId="5EC0C12C" w14:textId="77777777" w:rsidR="00F67F7D" w:rsidRPr="00B8345C" w:rsidRDefault="00F67F7D" w:rsidP="00594252">
            <w:pPr>
              <w:pStyle w:val="TableText"/>
              <w:keepNext w:val="0"/>
              <w:rPr>
                <w:szCs w:val="14"/>
              </w:rPr>
            </w:pPr>
            <w:r w:rsidRPr="00B8345C">
              <w:rPr>
                <w:szCs w:val="14"/>
              </w:rPr>
              <w:t>0.93 (0.50</w:t>
            </w:r>
            <w:r w:rsidR="009919A9">
              <w:rPr>
                <w:szCs w:val="14"/>
              </w:rPr>
              <w:t>, </w:t>
            </w:r>
            <w:r w:rsidRPr="00B8345C">
              <w:rPr>
                <w:szCs w:val="14"/>
              </w:rPr>
              <w:t>1.71)</w:t>
            </w:r>
          </w:p>
        </w:tc>
        <w:tc>
          <w:tcPr>
            <w:tcW w:w="3089" w:type="dxa"/>
            <w:shd w:val="clear" w:color="auto" w:fill="auto"/>
          </w:tcPr>
          <w:p w14:paraId="23BF91F9"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74FC0E5" w14:textId="77777777" w:rsidR="00F67F7D" w:rsidRPr="00B8345C" w:rsidRDefault="00F67F7D" w:rsidP="00594252">
            <w:pPr>
              <w:pStyle w:val="TableText"/>
              <w:keepNext w:val="0"/>
              <w:rPr>
                <w:szCs w:val="14"/>
              </w:rPr>
            </w:pPr>
            <w:r>
              <w:rPr>
                <w:szCs w:val="14"/>
              </w:rPr>
              <w:t>–</w:t>
            </w:r>
          </w:p>
        </w:tc>
      </w:tr>
      <w:tr w:rsidR="00F67F7D" w:rsidRPr="00B8345C" w14:paraId="7DD4E5BE" w14:textId="77777777" w:rsidTr="00466837">
        <w:trPr>
          <w:cantSplit/>
        </w:trPr>
        <w:tc>
          <w:tcPr>
            <w:tcW w:w="852" w:type="dxa"/>
            <w:tcBorders>
              <w:left w:val="nil"/>
            </w:tcBorders>
            <w:shd w:val="clear" w:color="auto" w:fill="auto"/>
          </w:tcPr>
          <w:p w14:paraId="56EE063D" w14:textId="77777777" w:rsidR="00F67F7D" w:rsidRPr="00B8345C" w:rsidRDefault="00F67F7D" w:rsidP="00594252">
            <w:pPr>
              <w:pStyle w:val="TableText"/>
              <w:keepNext w:val="0"/>
              <w:rPr>
                <w:szCs w:val="14"/>
              </w:rPr>
            </w:pPr>
            <w:r w:rsidRPr="00E67FD0">
              <w:t xml:space="preserve">Table </w:t>
            </w:r>
            <w:r>
              <w:rPr>
                <w:noProof/>
              </w:rPr>
              <w:t>5</w:t>
            </w:r>
            <w:r>
              <w:t>.</w:t>
            </w:r>
            <w:r>
              <w:rPr>
                <w:noProof/>
              </w:rPr>
              <w:t>8</w:t>
            </w:r>
          </w:p>
        </w:tc>
        <w:tc>
          <w:tcPr>
            <w:tcW w:w="2140" w:type="dxa"/>
            <w:shd w:val="clear" w:color="auto" w:fill="auto"/>
          </w:tcPr>
          <w:p w14:paraId="04722376" w14:textId="77777777" w:rsidR="00F67F7D" w:rsidRPr="00B8345C" w:rsidRDefault="00F67F7D" w:rsidP="00594252">
            <w:pPr>
              <w:pStyle w:val="TableText"/>
              <w:keepNext w:val="0"/>
              <w:rPr>
                <w:szCs w:val="14"/>
              </w:rPr>
            </w:pPr>
            <w:r w:rsidRPr="00B8345C">
              <w:rPr>
                <w:szCs w:val="14"/>
              </w:rPr>
              <w:t xml:space="preserve">Other reasons for using new and emerging technologies: </w:t>
            </w:r>
            <w:r w:rsidRPr="00B8345C">
              <w:rPr>
                <w:rFonts w:cs="ArialMT"/>
                <w:szCs w:val="14"/>
              </w:rPr>
              <w:t>Other</w:t>
            </w:r>
          </w:p>
        </w:tc>
        <w:tc>
          <w:tcPr>
            <w:tcW w:w="3372" w:type="dxa"/>
            <w:shd w:val="clear" w:color="auto" w:fill="auto"/>
          </w:tcPr>
          <w:p w14:paraId="29C71C6B"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for reasons other than to improve their health and wellbeing)</w:t>
            </w:r>
          </w:p>
        </w:tc>
        <w:tc>
          <w:tcPr>
            <w:tcW w:w="1062" w:type="dxa"/>
            <w:shd w:val="clear" w:color="auto" w:fill="auto"/>
          </w:tcPr>
          <w:p w14:paraId="5699F156" w14:textId="77777777" w:rsidR="00F67F7D" w:rsidRPr="00B8345C" w:rsidRDefault="00F67F7D" w:rsidP="00594252">
            <w:pPr>
              <w:pStyle w:val="TableText"/>
              <w:keepNext w:val="0"/>
              <w:rPr>
                <w:szCs w:val="14"/>
              </w:rPr>
            </w:pPr>
            <w:r w:rsidRPr="00B8345C">
              <w:rPr>
                <w:szCs w:val="14"/>
              </w:rPr>
              <w:t>1.30 (0.49</w:t>
            </w:r>
            <w:r w:rsidR="009919A9">
              <w:rPr>
                <w:szCs w:val="14"/>
              </w:rPr>
              <w:t>, </w:t>
            </w:r>
            <w:r w:rsidRPr="00B8345C">
              <w:rPr>
                <w:szCs w:val="14"/>
              </w:rPr>
              <w:t>3.49)</w:t>
            </w:r>
          </w:p>
        </w:tc>
        <w:tc>
          <w:tcPr>
            <w:tcW w:w="3089" w:type="dxa"/>
            <w:shd w:val="clear" w:color="auto" w:fill="auto"/>
          </w:tcPr>
          <w:p w14:paraId="6ACC607C"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3D9E52A2" w14:textId="77777777" w:rsidR="00F67F7D" w:rsidRPr="00B8345C" w:rsidRDefault="00F67F7D" w:rsidP="00594252">
            <w:pPr>
              <w:pStyle w:val="TableText"/>
              <w:keepNext w:val="0"/>
              <w:rPr>
                <w:szCs w:val="14"/>
              </w:rPr>
            </w:pPr>
            <w:r>
              <w:rPr>
                <w:szCs w:val="14"/>
              </w:rPr>
              <w:t>–</w:t>
            </w:r>
          </w:p>
        </w:tc>
      </w:tr>
      <w:tr w:rsidR="00F67F7D" w:rsidRPr="00B8345C" w14:paraId="42369FA6" w14:textId="77777777" w:rsidTr="00466837">
        <w:trPr>
          <w:cantSplit/>
        </w:trPr>
        <w:tc>
          <w:tcPr>
            <w:tcW w:w="852" w:type="dxa"/>
            <w:tcBorders>
              <w:left w:val="nil"/>
            </w:tcBorders>
            <w:shd w:val="clear" w:color="auto" w:fill="auto"/>
          </w:tcPr>
          <w:p w14:paraId="6B7EA281" w14:textId="77777777" w:rsidR="00F67F7D" w:rsidRPr="00B8345C" w:rsidRDefault="00F67F7D" w:rsidP="00594252">
            <w:pPr>
              <w:pStyle w:val="TableText"/>
              <w:keepNext w:val="0"/>
              <w:rPr>
                <w:szCs w:val="14"/>
              </w:rPr>
            </w:pPr>
            <w:r w:rsidRPr="00E67FD0">
              <w:t xml:space="preserve">Table </w:t>
            </w:r>
            <w:r>
              <w:rPr>
                <w:noProof/>
              </w:rPr>
              <w:t>5</w:t>
            </w:r>
            <w:r>
              <w:t>.</w:t>
            </w:r>
            <w:r>
              <w:rPr>
                <w:noProof/>
              </w:rPr>
              <w:t>8</w:t>
            </w:r>
          </w:p>
        </w:tc>
        <w:tc>
          <w:tcPr>
            <w:tcW w:w="2140" w:type="dxa"/>
            <w:shd w:val="clear" w:color="auto" w:fill="auto"/>
          </w:tcPr>
          <w:p w14:paraId="742D320F" w14:textId="77777777" w:rsidR="00F67F7D" w:rsidRPr="00B8345C" w:rsidRDefault="00F67F7D" w:rsidP="00594252">
            <w:pPr>
              <w:pStyle w:val="TableText"/>
              <w:keepNext w:val="0"/>
              <w:rPr>
                <w:szCs w:val="14"/>
              </w:rPr>
            </w:pPr>
            <w:r w:rsidRPr="00B8345C">
              <w:rPr>
                <w:szCs w:val="14"/>
              </w:rPr>
              <w:t xml:space="preserve">Use the </w:t>
            </w:r>
            <w:r>
              <w:rPr>
                <w:szCs w:val="14"/>
              </w:rPr>
              <w:t>internet</w:t>
            </w:r>
            <w:r w:rsidRPr="00B8345C">
              <w:rPr>
                <w:szCs w:val="14"/>
              </w:rPr>
              <w:t xml:space="preserve"> to seek help or information for, or manage, mental health issues</w:t>
            </w:r>
          </w:p>
        </w:tc>
        <w:tc>
          <w:tcPr>
            <w:tcW w:w="3372" w:type="dxa"/>
            <w:shd w:val="clear" w:color="auto" w:fill="auto"/>
          </w:tcPr>
          <w:p w14:paraId="04E66BC1" w14:textId="77777777" w:rsidR="00F67F7D" w:rsidRPr="00B8345C" w:rsidRDefault="00F67F7D" w:rsidP="00594252">
            <w:pPr>
              <w:pStyle w:val="TableText"/>
              <w:keepNext w:val="0"/>
              <w:rPr>
                <w:szCs w:val="14"/>
              </w:rPr>
            </w:pPr>
            <w:r w:rsidRPr="00B8345C">
              <w:rPr>
                <w:szCs w:val="14"/>
              </w:rPr>
              <w:t>Transitioned ADF vs 2015 Regular ADF (In those who currently use new and emerging technologies for reasons other than to improve their health and wellbeing)</w:t>
            </w:r>
          </w:p>
        </w:tc>
        <w:tc>
          <w:tcPr>
            <w:tcW w:w="1062" w:type="dxa"/>
            <w:shd w:val="clear" w:color="auto" w:fill="auto"/>
          </w:tcPr>
          <w:p w14:paraId="16C079CC" w14:textId="77777777" w:rsidR="00F67F7D" w:rsidRPr="00B8345C" w:rsidRDefault="00F67F7D" w:rsidP="00594252">
            <w:pPr>
              <w:pStyle w:val="TableText"/>
              <w:keepNext w:val="0"/>
              <w:rPr>
                <w:szCs w:val="14"/>
              </w:rPr>
            </w:pPr>
            <w:r w:rsidRPr="00B8345C">
              <w:rPr>
                <w:szCs w:val="14"/>
              </w:rPr>
              <w:t>1.61 (1.21</w:t>
            </w:r>
            <w:r w:rsidR="009919A9">
              <w:rPr>
                <w:szCs w:val="14"/>
              </w:rPr>
              <w:t>, </w:t>
            </w:r>
            <w:r w:rsidRPr="00B8345C">
              <w:rPr>
                <w:szCs w:val="14"/>
              </w:rPr>
              <w:t>2.13)</w:t>
            </w:r>
          </w:p>
        </w:tc>
        <w:tc>
          <w:tcPr>
            <w:tcW w:w="3089" w:type="dxa"/>
            <w:shd w:val="clear" w:color="auto" w:fill="auto"/>
          </w:tcPr>
          <w:p w14:paraId="710D40CD" w14:textId="77777777" w:rsidR="00F67F7D" w:rsidRPr="00B8345C" w:rsidRDefault="00F67F7D" w:rsidP="00594252">
            <w:pPr>
              <w:pStyle w:val="TableText"/>
              <w:keepNext w:val="0"/>
              <w:rPr>
                <w:szCs w:val="14"/>
              </w:rPr>
            </w:pPr>
            <w:r w:rsidRPr="00B8345C">
              <w:rPr>
                <w:szCs w:val="14"/>
              </w:rPr>
              <w:t xml:space="preserve">Transitioned ADF who used the </w:t>
            </w:r>
            <w:r>
              <w:rPr>
                <w:szCs w:val="14"/>
              </w:rPr>
              <w:t>internet</w:t>
            </w:r>
            <w:r w:rsidRPr="00B8345C">
              <w:rPr>
                <w:szCs w:val="14"/>
              </w:rPr>
              <w:t xml:space="preserve"> for mental health issues were 60% more likely to use the </w:t>
            </w:r>
            <w:r>
              <w:rPr>
                <w:szCs w:val="14"/>
              </w:rPr>
              <w:t>internet</w:t>
            </w:r>
            <w:r w:rsidRPr="00B8345C">
              <w:rPr>
                <w:szCs w:val="14"/>
              </w:rPr>
              <w:t xml:space="preserve"> to seek help or information for, or manage, mental health issues</w:t>
            </w:r>
          </w:p>
        </w:tc>
        <w:tc>
          <w:tcPr>
            <w:tcW w:w="1005" w:type="dxa"/>
            <w:tcBorders>
              <w:right w:val="nil"/>
            </w:tcBorders>
            <w:shd w:val="clear" w:color="auto" w:fill="auto"/>
          </w:tcPr>
          <w:p w14:paraId="247BF36F" w14:textId="77777777" w:rsidR="00F67F7D" w:rsidRPr="00B8345C" w:rsidRDefault="00F67F7D" w:rsidP="00594252">
            <w:pPr>
              <w:pStyle w:val="TableText"/>
              <w:keepNext w:val="0"/>
              <w:rPr>
                <w:szCs w:val="14"/>
              </w:rPr>
            </w:pPr>
            <w:r w:rsidRPr="00B8345C">
              <w:rPr>
                <w:szCs w:val="14"/>
              </w:rPr>
              <w:t>Moderate</w:t>
            </w:r>
          </w:p>
        </w:tc>
      </w:tr>
      <w:tr w:rsidR="00F67F7D" w:rsidRPr="00B8345C" w14:paraId="21D90695" w14:textId="77777777" w:rsidTr="00466837">
        <w:trPr>
          <w:cantSplit/>
        </w:trPr>
        <w:tc>
          <w:tcPr>
            <w:tcW w:w="852" w:type="dxa"/>
            <w:tcBorders>
              <w:left w:val="nil"/>
            </w:tcBorders>
            <w:shd w:val="clear" w:color="auto" w:fill="auto"/>
          </w:tcPr>
          <w:p w14:paraId="4497713B"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00DFBAAE" w14:textId="77777777" w:rsidR="00F67F7D" w:rsidRPr="00B8345C" w:rsidRDefault="00F67F7D" w:rsidP="00594252">
            <w:pPr>
              <w:pStyle w:val="TableText"/>
              <w:keepNext w:val="0"/>
              <w:rPr>
                <w:rFonts w:cstheme="minorHAnsi"/>
                <w:szCs w:val="14"/>
              </w:rPr>
            </w:pPr>
            <w:r w:rsidRPr="00B8345C">
              <w:rPr>
                <w:szCs w:val="14"/>
              </w:rPr>
              <w:t xml:space="preserve">Ways in which emerging technologies are used to improve health and wellbeing: </w:t>
            </w:r>
            <w:r w:rsidRPr="00B8345C">
              <w:rPr>
                <w:rFonts w:cstheme="minorHAnsi"/>
                <w:szCs w:val="14"/>
              </w:rPr>
              <w:t>Improve my fitness</w:t>
            </w:r>
          </w:p>
        </w:tc>
        <w:tc>
          <w:tcPr>
            <w:tcW w:w="3372" w:type="dxa"/>
            <w:shd w:val="clear" w:color="auto" w:fill="auto"/>
          </w:tcPr>
          <w:p w14:paraId="22095B50"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5C00C515" w14:textId="77777777" w:rsidR="00F67F7D" w:rsidRPr="00B8345C" w:rsidRDefault="00F67F7D" w:rsidP="00594252">
            <w:pPr>
              <w:pStyle w:val="TableText"/>
              <w:keepNext w:val="0"/>
              <w:rPr>
                <w:szCs w:val="14"/>
              </w:rPr>
            </w:pPr>
            <w:r w:rsidRPr="00B8345C">
              <w:rPr>
                <w:szCs w:val="14"/>
              </w:rPr>
              <w:t>0.41 (0.25</w:t>
            </w:r>
            <w:r w:rsidR="009919A9">
              <w:rPr>
                <w:szCs w:val="14"/>
              </w:rPr>
              <w:t>, </w:t>
            </w:r>
            <w:r w:rsidRPr="00B8345C">
              <w:rPr>
                <w:szCs w:val="14"/>
              </w:rPr>
              <w:t>0.67)</w:t>
            </w:r>
          </w:p>
        </w:tc>
        <w:tc>
          <w:tcPr>
            <w:tcW w:w="3089" w:type="dxa"/>
            <w:shd w:val="clear" w:color="auto" w:fill="auto"/>
          </w:tcPr>
          <w:p w14:paraId="2495A4BD" w14:textId="77777777" w:rsidR="00F67F7D" w:rsidRPr="00B8345C" w:rsidRDefault="00F67F7D" w:rsidP="00594252">
            <w:pPr>
              <w:pStyle w:val="TableText"/>
              <w:keepNext w:val="0"/>
              <w:rPr>
                <w:szCs w:val="14"/>
              </w:rPr>
            </w:pPr>
            <w:r w:rsidRPr="00B8345C">
              <w:rPr>
                <w:szCs w:val="14"/>
              </w:rPr>
              <w:t>Transitioned ADF with probable disorder were 59% less likely to use emerging technologies to improve their fitness</w:t>
            </w:r>
          </w:p>
        </w:tc>
        <w:tc>
          <w:tcPr>
            <w:tcW w:w="1005" w:type="dxa"/>
            <w:tcBorders>
              <w:right w:val="nil"/>
            </w:tcBorders>
            <w:shd w:val="clear" w:color="auto" w:fill="auto"/>
          </w:tcPr>
          <w:p w14:paraId="1BDDAA3F" w14:textId="77777777" w:rsidR="00F67F7D" w:rsidRPr="00B8345C" w:rsidRDefault="00F67F7D" w:rsidP="00594252">
            <w:pPr>
              <w:pStyle w:val="TableText"/>
              <w:keepNext w:val="0"/>
              <w:rPr>
                <w:szCs w:val="14"/>
              </w:rPr>
            </w:pPr>
            <w:r w:rsidRPr="00B8345C">
              <w:rPr>
                <w:szCs w:val="14"/>
              </w:rPr>
              <w:t>Moderate</w:t>
            </w:r>
          </w:p>
        </w:tc>
      </w:tr>
      <w:tr w:rsidR="00F67F7D" w:rsidRPr="00B8345C" w14:paraId="3E3EDB60" w14:textId="77777777" w:rsidTr="00466837">
        <w:trPr>
          <w:cantSplit/>
        </w:trPr>
        <w:tc>
          <w:tcPr>
            <w:tcW w:w="852" w:type="dxa"/>
            <w:tcBorders>
              <w:left w:val="nil"/>
            </w:tcBorders>
            <w:shd w:val="clear" w:color="auto" w:fill="auto"/>
          </w:tcPr>
          <w:p w14:paraId="1DDE57D9"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75DCF1E0" w14:textId="77777777" w:rsidR="00F67F7D" w:rsidRPr="00B8345C" w:rsidRDefault="00F67F7D" w:rsidP="00594252">
            <w:pPr>
              <w:pStyle w:val="TableText"/>
              <w:keepNext w:val="0"/>
              <w:rPr>
                <w:rFonts w:cstheme="minorHAnsi"/>
                <w:szCs w:val="14"/>
              </w:rPr>
            </w:pPr>
            <w:r w:rsidRPr="00B8345C">
              <w:rPr>
                <w:szCs w:val="14"/>
              </w:rPr>
              <w:t xml:space="preserve">Ways in which emerging technologies are used to improve health and wellbeing: </w:t>
            </w:r>
            <w:r w:rsidRPr="00B8345C">
              <w:rPr>
                <w:rFonts w:cstheme="minorHAnsi"/>
                <w:szCs w:val="14"/>
              </w:rPr>
              <w:t>Improve my fitness</w:t>
            </w:r>
          </w:p>
        </w:tc>
        <w:tc>
          <w:tcPr>
            <w:tcW w:w="3372" w:type="dxa"/>
            <w:shd w:val="clear" w:color="auto" w:fill="auto"/>
          </w:tcPr>
          <w:p w14:paraId="38381A9B"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5B618C71" w14:textId="77777777" w:rsidR="00F67F7D" w:rsidRPr="00B8345C" w:rsidRDefault="00F67F7D" w:rsidP="00594252">
            <w:pPr>
              <w:pStyle w:val="TableText"/>
              <w:keepNext w:val="0"/>
              <w:rPr>
                <w:szCs w:val="14"/>
              </w:rPr>
            </w:pPr>
            <w:r w:rsidRPr="00B8345C">
              <w:rPr>
                <w:szCs w:val="14"/>
              </w:rPr>
              <w:t>1.17 (0.68</w:t>
            </w:r>
            <w:r w:rsidR="009919A9">
              <w:rPr>
                <w:szCs w:val="14"/>
              </w:rPr>
              <w:t>, </w:t>
            </w:r>
            <w:r w:rsidRPr="00B8345C">
              <w:rPr>
                <w:szCs w:val="14"/>
              </w:rPr>
              <w:t>2.00)</w:t>
            </w:r>
          </w:p>
        </w:tc>
        <w:tc>
          <w:tcPr>
            <w:tcW w:w="3089" w:type="dxa"/>
            <w:shd w:val="clear" w:color="auto" w:fill="auto"/>
          </w:tcPr>
          <w:p w14:paraId="4855A69D"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8E5AD87" w14:textId="77777777" w:rsidR="00F67F7D" w:rsidRPr="00B8345C" w:rsidRDefault="00F67F7D" w:rsidP="00594252">
            <w:pPr>
              <w:pStyle w:val="TableText"/>
              <w:keepNext w:val="0"/>
              <w:rPr>
                <w:szCs w:val="14"/>
              </w:rPr>
            </w:pPr>
            <w:r>
              <w:rPr>
                <w:szCs w:val="14"/>
              </w:rPr>
              <w:t>–</w:t>
            </w:r>
          </w:p>
        </w:tc>
      </w:tr>
      <w:tr w:rsidR="00F67F7D" w:rsidRPr="00B8345C" w14:paraId="17629717" w14:textId="77777777" w:rsidTr="00466837">
        <w:trPr>
          <w:cantSplit/>
        </w:trPr>
        <w:tc>
          <w:tcPr>
            <w:tcW w:w="852" w:type="dxa"/>
            <w:tcBorders>
              <w:left w:val="nil"/>
            </w:tcBorders>
            <w:shd w:val="clear" w:color="auto" w:fill="auto"/>
          </w:tcPr>
          <w:p w14:paraId="0C72C8B8"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2A8B0254"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Improve my mood</w:t>
            </w:r>
          </w:p>
        </w:tc>
        <w:tc>
          <w:tcPr>
            <w:tcW w:w="3372" w:type="dxa"/>
            <w:shd w:val="clear" w:color="auto" w:fill="auto"/>
          </w:tcPr>
          <w:p w14:paraId="31E50EEF"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3B7AA610" w14:textId="77777777" w:rsidR="00F67F7D" w:rsidRPr="00B8345C" w:rsidRDefault="00F67F7D" w:rsidP="00594252">
            <w:pPr>
              <w:pStyle w:val="TableText"/>
              <w:keepNext w:val="0"/>
              <w:rPr>
                <w:szCs w:val="14"/>
              </w:rPr>
            </w:pPr>
            <w:r w:rsidRPr="00B8345C">
              <w:rPr>
                <w:szCs w:val="14"/>
              </w:rPr>
              <w:t>1.86 (1.06</w:t>
            </w:r>
            <w:r w:rsidR="009919A9">
              <w:rPr>
                <w:szCs w:val="14"/>
              </w:rPr>
              <w:t>, </w:t>
            </w:r>
            <w:r w:rsidRPr="00B8345C">
              <w:rPr>
                <w:szCs w:val="14"/>
              </w:rPr>
              <w:t>3.27)</w:t>
            </w:r>
          </w:p>
        </w:tc>
        <w:tc>
          <w:tcPr>
            <w:tcW w:w="3089" w:type="dxa"/>
            <w:shd w:val="clear" w:color="auto" w:fill="auto"/>
          </w:tcPr>
          <w:p w14:paraId="6B419957" w14:textId="77777777" w:rsidR="00F67F7D" w:rsidRPr="00B8345C" w:rsidRDefault="00F67F7D" w:rsidP="00594252">
            <w:pPr>
              <w:pStyle w:val="TableText"/>
              <w:keepNext w:val="0"/>
              <w:rPr>
                <w:szCs w:val="14"/>
              </w:rPr>
            </w:pPr>
            <w:r w:rsidRPr="00B8345C">
              <w:rPr>
                <w:szCs w:val="14"/>
              </w:rPr>
              <w:t>Transitioned ADF with probable disorder were 86% more likely to use emerging technologies to improve their mood</w:t>
            </w:r>
          </w:p>
        </w:tc>
        <w:tc>
          <w:tcPr>
            <w:tcW w:w="1005" w:type="dxa"/>
            <w:tcBorders>
              <w:right w:val="nil"/>
            </w:tcBorders>
            <w:shd w:val="clear" w:color="auto" w:fill="auto"/>
          </w:tcPr>
          <w:p w14:paraId="4EA47D2A" w14:textId="77777777" w:rsidR="00F67F7D" w:rsidRPr="00B8345C" w:rsidRDefault="00F67F7D" w:rsidP="00594252">
            <w:pPr>
              <w:pStyle w:val="TableText"/>
              <w:keepNext w:val="0"/>
              <w:rPr>
                <w:szCs w:val="14"/>
              </w:rPr>
            </w:pPr>
            <w:r w:rsidRPr="00B8345C">
              <w:rPr>
                <w:szCs w:val="14"/>
              </w:rPr>
              <w:t>Moderate</w:t>
            </w:r>
          </w:p>
        </w:tc>
      </w:tr>
      <w:tr w:rsidR="00F67F7D" w:rsidRPr="00B8345C" w14:paraId="6BB89B3A" w14:textId="77777777" w:rsidTr="00466837">
        <w:trPr>
          <w:cantSplit/>
        </w:trPr>
        <w:tc>
          <w:tcPr>
            <w:tcW w:w="852" w:type="dxa"/>
            <w:tcBorders>
              <w:left w:val="nil"/>
            </w:tcBorders>
            <w:shd w:val="clear" w:color="auto" w:fill="auto"/>
          </w:tcPr>
          <w:p w14:paraId="3C4B173C"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27C73662"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Improve my mood</w:t>
            </w:r>
          </w:p>
        </w:tc>
        <w:tc>
          <w:tcPr>
            <w:tcW w:w="3372" w:type="dxa"/>
            <w:shd w:val="clear" w:color="auto" w:fill="auto"/>
          </w:tcPr>
          <w:p w14:paraId="207E226C"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21FB5464" w14:textId="77777777" w:rsidR="00F67F7D" w:rsidRPr="00B8345C" w:rsidRDefault="00F67F7D" w:rsidP="00594252">
            <w:pPr>
              <w:pStyle w:val="TableText"/>
              <w:keepNext w:val="0"/>
              <w:rPr>
                <w:szCs w:val="14"/>
              </w:rPr>
            </w:pPr>
            <w:r w:rsidRPr="00B8345C">
              <w:rPr>
                <w:szCs w:val="14"/>
              </w:rPr>
              <w:t>1.42 (0.68</w:t>
            </w:r>
            <w:r w:rsidR="009919A9">
              <w:rPr>
                <w:szCs w:val="14"/>
              </w:rPr>
              <w:t>, </w:t>
            </w:r>
            <w:r w:rsidRPr="00B8345C">
              <w:rPr>
                <w:szCs w:val="14"/>
              </w:rPr>
              <w:t>2.95)</w:t>
            </w:r>
          </w:p>
        </w:tc>
        <w:tc>
          <w:tcPr>
            <w:tcW w:w="3089" w:type="dxa"/>
            <w:shd w:val="clear" w:color="auto" w:fill="auto"/>
          </w:tcPr>
          <w:p w14:paraId="41E13AEC"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789E4B38" w14:textId="77777777" w:rsidR="00F67F7D" w:rsidRPr="00B8345C" w:rsidRDefault="00F67F7D" w:rsidP="00594252">
            <w:pPr>
              <w:pStyle w:val="TableText"/>
              <w:keepNext w:val="0"/>
              <w:rPr>
                <w:szCs w:val="14"/>
              </w:rPr>
            </w:pPr>
            <w:r>
              <w:rPr>
                <w:szCs w:val="14"/>
              </w:rPr>
              <w:t>–</w:t>
            </w:r>
          </w:p>
        </w:tc>
      </w:tr>
      <w:tr w:rsidR="00F67F7D" w:rsidRPr="00B8345C" w14:paraId="19281456" w14:textId="77777777" w:rsidTr="00466837">
        <w:trPr>
          <w:cantSplit/>
        </w:trPr>
        <w:tc>
          <w:tcPr>
            <w:tcW w:w="852" w:type="dxa"/>
            <w:tcBorders>
              <w:left w:val="nil"/>
            </w:tcBorders>
            <w:shd w:val="clear" w:color="auto" w:fill="auto"/>
          </w:tcPr>
          <w:p w14:paraId="2427F1E3"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2B776802"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Improve my sleep</w:t>
            </w:r>
          </w:p>
        </w:tc>
        <w:tc>
          <w:tcPr>
            <w:tcW w:w="3372" w:type="dxa"/>
            <w:shd w:val="clear" w:color="auto" w:fill="auto"/>
          </w:tcPr>
          <w:p w14:paraId="1EDDE6B3"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41E82FED" w14:textId="77777777" w:rsidR="00F67F7D" w:rsidRPr="00B8345C" w:rsidRDefault="00F67F7D" w:rsidP="00594252">
            <w:pPr>
              <w:pStyle w:val="TableText"/>
              <w:keepNext w:val="0"/>
              <w:rPr>
                <w:szCs w:val="14"/>
              </w:rPr>
            </w:pPr>
            <w:r w:rsidRPr="00B8345C">
              <w:rPr>
                <w:szCs w:val="14"/>
              </w:rPr>
              <w:t>1.33 (0.84</w:t>
            </w:r>
            <w:r w:rsidR="009919A9">
              <w:rPr>
                <w:szCs w:val="14"/>
              </w:rPr>
              <w:t>, </w:t>
            </w:r>
            <w:r w:rsidRPr="00B8345C">
              <w:rPr>
                <w:szCs w:val="14"/>
              </w:rPr>
              <w:t>2.12)</w:t>
            </w:r>
          </w:p>
        </w:tc>
        <w:tc>
          <w:tcPr>
            <w:tcW w:w="3089" w:type="dxa"/>
            <w:shd w:val="clear" w:color="auto" w:fill="auto"/>
          </w:tcPr>
          <w:p w14:paraId="03837B35"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61A4724" w14:textId="77777777" w:rsidR="00F67F7D" w:rsidRPr="00B8345C" w:rsidRDefault="00F67F7D" w:rsidP="00594252">
            <w:pPr>
              <w:pStyle w:val="TableText"/>
              <w:keepNext w:val="0"/>
              <w:rPr>
                <w:szCs w:val="14"/>
              </w:rPr>
            </w:pPr>
            <w:r>
              <w:rPr>
                <w:szCs w:val="14"/>
              </w:rPr>
              <w:t>–</w:t>
            </w:r>
          </w:p>
        </w:tc>
      </w:tr>
      <w:tr w:rsidR="00F67F7D" w:rsidRPr="00B8345C" w14:paraId="5DBC636D" w14:textId="77777777" w:rsidTr="00466837">
        <w:trPr>
          <w:cantSplit/>
        </w:trPr>
        <w:tc>
          <w:tcPr>
            <w:tcW w:w="852" w:type="dxa"/>
            <w:tcBorders>
              <w:left w:val="nil"/>
            </w:tcBorders>
            <w:shd w:val="clear" w:color="auto" w:fill="auto"/>
          </w:tcPr>
          <w:p w14:paraId="31A0DC11"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03275431"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Improve my sleep</w:t>
            </w:r>
          </w:p>
        </w:tc>
        <w:tc>
          <w:tcPr>
            <w:tcW w:w="3372" w:type="dxa"/>
            <w:shd w:val="clear" w:color="auto" w:fill="auto"/>
          </w:tcPr>
          <w:p w14:paraId="16D59161"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1A36E4D9" w14:textId="77777777" w:rsidR="00F67F7D" w:rsidRPr="00B8345C" w:rsidRDefault="00F67F7D" w:rsidP="00594252">
            <w:pPr>
              <w:pStyle w:val="TableText"/>
              <w:keepNext w:val="0"/>
              <w:rPr>
                <w:szCs w:val="14"/>
              </w:rPr>
            </w:pPr>
            <w:r w:rsidRPr="00B8345C">
              <w:rPr>
                <w:szCs w:val="14"/>
              </w:rPr>
              <w:t>1.26 (0.81</w:t>
            </w:r>
            <w:r w:rsidR="009919A9">
              <w:rPr>
                <w:szCs w:val="14"/>
              </w:rPr>
              <w:t>, </w:t>
            </w:r>
            <w:r w:rsidRPr="00B8345C">
              <w:rPr>
                <w:szCs w:val="14"/>
              </w:rPr>
              <w:t>1.96)</w:t>
            </w:r>
          </w:p>
        </w:tc>
        <w:tc>
          <w:tcPr>
            <w:tcW w:w="3089" w:type="dxa"/>
            <w:shd w:val="clear" w:color="auto" w:fill="auto"/>
          </w:tcPr>
          <w:p w14:paraId="46F62290"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B98BDF5" w14:textId="77777777" w:rsidR="00F67F7D" w:rsidRPr="00B8345C" w:rsidRDefault="00F67F7D" w:rsidP="00594252">
            <w:pPr>
              <w:pStyle w:val="TableText"/>
              <w:keepNext w:val="0"/>
              <w:rPr>
                <w:szCs w:val="14"/>
              </w:rPr>
            </w:pPr>
            <w:r>
              <w:rPr>
                <w:szCs w:val="14"/>
              </w:rPr>
              <w:t>–</w:t>
            </w:r>
          </w:p>
        </w:tc>
      </w:tr>
      <w:tr w:rsidR="00F67F7D" w:rsidRPr="00B8345C" w14:paraId="555FF8C1" w14:textId="77777777" w:rsidTr="00466837">
        <w:trPr>
          <w:cantSplit/>
        </w:trPr>
        <w:tc>
          <w:tcPr>
            <w:tcW w:w="852" w:type="dxa"/>
            <w:tcBorders>
              <w:left w:val="nil"/>
            </w:tcBorders>
            <w:shd w:val="clear" w:color="auto" w:fill="auto"/>
          </w:tcPr>
          <w:p w14:paraId="1F3F3D84"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5827C087"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keep me organised</w:t>
            </w:r>
          </w:p>
        </w:tc>
        <w:tc>
          <w:tcPr>
            <w:tcW w:w="3372" w:type="dxa"/>
            <w:shd w:val="clear" w:color="auto" w:fill="auto"/>
          </w:tcPr>
          <w:p w14:paraId="0811D124"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2E90FA3E" w14:textId="77777777" w:rsidR="00F67F7D" w:rsidRPr="00B8345C" w:rsidRDefault="00F67F7D" w:rsidP="00594252">
            <w:pPr>
              <w:pStyle w:val="TableText"/>
              <w:keepNext w:val="0"/>
              <w:rPr>
                <w:szCs w:val="14"/>
              </w:rPr>
            </w:pPr>
            <w:r w:rsidRPr="00B8345C">
              <w:rPr>
                <w:szCs w:val="14"/>
              </w:rPr>
              <w:t>1.20 (0.77</w:t>
            </w:r>
            <w:r w:rsidR="009919A9">
              <w:rPr>
                <w:szCs w:val="14"/>
              </w:rPr>
              <w:t>, </w:t>
            </w:r>
            <w:r w:rsidRPr="00B8345C">
              <w:rPr>
                <w:szCs w:val="14"/>
              </w:rPr>
              <w:t>1.86)</w:t>
            </w:r>
          </w:p>
        </w:tc>
        <w:tc>
          <w:tcPr>
            <w:tcW w:w="3089" w:type="dxa"/>
            <w:shd w:val="clear" w:color="auto" w:fill="auto"/>
          </w:tcPr>
          <w:p w14:paraId="0ADCDDCA"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563549E0" w14:textId="77777777" w:rsidR="00F67F7D" w:rsidRPr="00B8345C" w:rsidRDefault="00F67F7D" w:rsidP="00594252">
            <w:pPr>
              <w:pStyle w:val="TableText"/>
              <w:keepNext w:val="0"/>
              <w:rPr>
                <w:szCs w:val="14"/>
              </w:rPr>
            </w:pPr>
            <w:r>
              <w:rPr>
                <w:szCs w:val="14"/>
              </w:rPr>
              <w:t>–</w:t>
            </w:r>
          </w:p>
        </w:tc>
      </w:tr>
      <w:tr w:rsidR="00F67F7D" w:rsidRPr="00B8345C" w14:paraId="3BB1460B" w14:textId="77777777" w:rsidTr="00466837">
        <w:trPr>
          <w:cantSplit/>
        </w:trPr>
        <w:tc>
          <w:tcPr>
            <w:tcW w:w="852" w:type="dxa"/>
            <w:tcBorders>
              <w:left w:val="nil"/>
            </w:tcBorders>
            <w:shd w:val="clear" w:color="auto" w:fill="auto"/>
          </w:tcPr>
          <w:p w14:paraId="5DD6F0E8"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19E4EA98"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keep me organised</w:t>
            </w:r>
          </w:p>
        </w:tc>
        <w:tc>
          <w:tcPr>
            <w:tcW w:w="3372" w:type="dxa"/>
            <w:shd w:val="clear" w:color="auto" w:fill="auto"/>
          </w:tcPr>
          <w:p w14:paraId="7E089BC9"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2B4D74AB" w14:textId="77777777" w:rsidR="00F67F7D" w:rsidRPr="00B8345C" w:rsidRDefault="00F67F7D" w:rsidP="00594252">
            <w:pPr>
              <w:pStyle w:val="TableText"/>
              <w:keepNext w:val="0"/>
              <w:rPr>
                <w:szCs w:val="14"/>
              </w:rPr>
            </w:pPr>
            <w:r w:rsidRPr="00B8345C">
              <w:rPr>
                <w:szCs w:val="14"/>
              </w:rPr>
              <w:t>1.41 (0.81</w:t>
            </w:r>
            <w:r w:rsidR="009919A9">
              <w:rPr>
                <w:szCs w:val="14"/>
              </w:rPr>
              <w:t>, </w:t>
            </w:r>
            <w:r w:rsidRPr="00B8345C">
              <w:rPr>
                <w:szCs w:val="14"/>
              </w:rPr>
              <w:t>2.45)</w:t>
            </w:r>
          </w:p>
        </w:tc>
        <w:tc>
          <w:tcPr>
            <w:tcW w:w="3089" w:type="dxa"/>
            <w:shd w:val="clear" w:color="auto" w:fill="auto"/>
          </w:tcPr>
          <w:p w14:paraId="55818755"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5319F18" w14:textId="77777777" w:rsidR="00F67F7D" w:rsidRPr="00B8345C" w:rsidRDefault="00F67F7D" w:rsidP="00594252">
            <w:pPr>
              <w:pStyle w:val="TableText"/>
              <w:keepNext w:val="0"/>
              <w:rPr>
                <w:szCs w:val="14"/>
              </w:rPr>
            </w:pPr>
            <w:r>
              <w:rPr>
                <w:szCs w:val="14"/>
              </w:rPr>
              <w:t>–</w:t>
            </w:r>
          </w:p>
        </w:tc>
      </w:tr>
      <w:tr w:rsidR="00F67F7D" w:rsidRPr="00B8345C" w14:paraId="1EF94E39" w14:textId="77777777" w:rsidTr="00466837">
        <w:trPr>
          <w:cantSplit/>
        </w:trPr>
        <w:tc>
          <w:tcPr>
            <w:tcW w:w="852" w:type="dxa"/>
            <w:tcBorders>
              <w:left w:val="nil"/>
            </w:tcBorders>
            <w:shd w:val="clear" w:color="auto" w:fill="auto"/>
          </w:tcPr>
          <w:p w14:paraId="1AD8E42C"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0DB62D1A"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Maintain my diet/track food intake</w:t>
            </w:r>
          </w:p>
        </w:tc>
        <w:tc>
          <w:tcPr>
            <w:tcW w:w="3372" w:type="dxa"/>
            <w:shd w:val="clear" w:color="auto" w:fill="auto"/>
          </w:tcPr>
          <w:p w14:paraId="20ECEC01"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3C26A6A0" w14:textId="77777777" w:rsidR="00F67F7D" w:rsidRPr="00B8345C" w:rsidRDefault="00F67F7D" w:rsidP="00594252">
            <w:pPr>
              <w:pStyle w:val="TableText"/>
              <w:keepNext w:val="0"/>
              <w:rPr>
                <w:szCs w:val="14"/>
              </w:rPr>
            </w:pPr>
            <w:r w:rsidRPr="00B8345C">
              <w:rPr>
                <w:szCs w:val="14"/>
              </w:rPr>
              <w:t>1.23 (0.77</w:t>
            </w:r>
            <w:r w:rsidR="009919A9">
              <w:rPr>
                <w:szCs w:val="14"/>
              </w:rPr>
              <w:t>, </w:t>
            </w:r>
            <w:r w:rsidRPr="00B8345C">
              <w:rPr>
                <w:szCs w:val="14"/>
              </w:rPr>
              <w:t>1.97)</w:t>
            </w:r>
          </w:p>
        </w:tc>
        <w:tc>
          <w:tcPr>
            <w:tcW w:w="3089" w:type="dxa"/>
            <w:shd w:val="clear" w:color="auto" w:fill="auto"/>
          </w:tcPr>
          <w:p w14:paraId="31D30DCF"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8C59532" w14:textId="77777777" w:rsidR="00F67F7D" w:rsidRPr="00B8345C" w:rsidRDefault="00F67F7D" w:rsidP="00594252">
            <w:pPr>
              <w:pStyle w:val="TableText"/>
              <w:keepNext w:val="0"/>
              <w:rPr>
                <w:szCs w:val="14"/>
              </w:rPr>
            </w:pPr>
            <w:r>
              <w:rPr>
                <w:szCs w:val="14"/>
              </w:rPr>
              <w:t>–</w:t>
            </w:r>
          </w:p>
        </w:tc>
      </w:tr>
      <w:tr w:rsidR="00F67F7D" w:rsidRPr="00B8345C" w14:paraId="1E47B666" w14:textId="77777777" w:rsidTr="00466837">
        <w:trPr>
          <w:cantSplit/>
        </w:trPr>
        <w:tc>
          <w:tcPr>
            <w:tcW w:w="852" w:type="dxa"/>
            <w:tcBorders>
              <w:left w:val="nil"/>
            </w:tcBorders>
            <w:shd w:val="clear" w:color="auto" w:fill="auto"/>
          </w:tcPr>
          <w:p w14:paraId="5D3A96E1"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2BBB1C18"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Maintain my diet/track food intake</w:t>
            </w:r>
          </w:p>
        </w:tc>
        <w:tc>
          <w:tcPr>
            <w:tcW w:w="3372" w:type="dxa"/>
            <w:shd w:val="clear" w:color="auto" w:fill="auto"/>
          </w:tcPr>
          <w:p w14:paraId="44317CD7"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398F1FD2" w14:textId="77777777" w:rsidR="00F67F7D" w:rsidRPr="00B8345C" w:rsidRDefault="00F67F7D" w:rsidP="00594252">
            <w:pPr>
              <w:pStyle w:val="TableText"/>
              <w:keepNext w:val="0"/>
              <w:rPr>
                <w:szCs w:val="14"/>
              </w:rPr>
            </w:pPr>
            <w:r w:rsidRPr="00B8345C">
              <w:rPr>
                <w:szCs w:val="14"/>
              </w:rPr>
              <w:t>0.92 (0.60</w:t>
            </w:r>
            <w:r w:rsidR="009919A9">
              <w:rPr>
                <w:szCs w:val="14"/>
              </w:rPr>
              <w:t>, </w:t>
            </w:r>
            <w:r w:rsidRPr="00B8345C">
              <w:rPr>
                <w:szCs w:val="14"/>
              </w:rPr>
              <w:t>1.41)</w:t>
            </w:r>
          </w:p>
        </w:tc>
        <w:tc>
          <w:tcPr>
            <w:tcW w:w="3089" w:type="dxa"/>
            <w:shd w:val="clear" w:color="auto" w:fill="auto"/>
          </w:tcPr>
          <w:p w14:paraId="42C47B5A"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6BD1127" w14:textId="77777777" w:rsidR="00F67F7D" w:rsidRPr="00B8345C" w:rsidRDefault="00F67F7D" w:rsidP="00594252">
            <w:pPr>
              <w:pStyle w:val="TableText"/>
              <w:keepNext w:val="0"/>
              <w:rPr>
                <w:szCs w:val="14"/>
              </w:rPr>
            </w:pPr>
            <w:r>
              <w:rPr>
                <w:szCs w:val="14"/>
              </w:rPr>
              <w:t>–</w:t>
            </w:r>
          </w:p>
        </w:tc>
      </w:tr>
      <w:tr w:rsidR="00F67F7D" w:rsidRPr="00B8345C" w14:paraId="59BD6423" w14:textId="77777777" w:rsidTr="00466837">
        <w:trPr>
          <w:cantSplit/>
        </w:trPr>
        <w:tc>
          <w:tcPr>
            <w:tcW w:w="852" w:type="dxa"/>
            <w:tcBorders>
              <w:left w:val="nil"/>
            </w:tcBorders>
            <w:shd w:val="clear" w:color="auto" w:fill="auto"/>
          </w:tcPr>
          <w:p w14:paraId="402D277E"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1F50EEB5"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To keep me motivated</w:t>
            </w:r>
          </w:p>
        </w:tc>
        <w:tc>
          <w:tcPr>
            <w:tcW w:w="3372" w:type="dxa"/>
            <w:shd w:val="clear" w:color="auto" w:fill="auto"/>
          </w:tcPr>
          <w:p w14:paraId="7EE258BC"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4C733356" w14:textId="77777777" w:rsidR="00F67F7D" w:rsidRPr="00B8345C" w:rsidRDefault="00F67F7D" w:rsidP="00594252">
            <w:pPr>
              <w:pStyle w:val="TableText"/>
              <w:keepNext w:val="0"/>
              <w:rPr>
                <w:szCs w:val="14"/>
              </w:rPr>
            </w:pPr>
            <w:r w:rsidRPr="00B8345C">
              <w:rPr>
                <w:szCs w:val="14"/>
              </w:rPr>
              <w:t>0.79 (0.48</w:t>
            </w:r>
            <w:r w:rsidR="009919A9">
              <w:rPr>
                <w:szCs w:val="14"/>
              </w:rPr>
              <w:t>, </w:t>
            </w:r>
            <w:r w:rsidRPr="00B8345C">
              <w:rPr>
                <w:szCs w:val="14"/>
              </w:rPr>
              <w:t>1.30)</w:t>
            </w:r>
          </w:p>
        </w:tc>
        <w:tc>
          <w:tcPr>
            <w:tcW w:w="3089" w:type="dxa"/>
            <w:shd w:val="clear" w:color="auto" w:fill="auto"/>
          </w:tcPr>
          <w:p w14:paraId="7A853AA3"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4277B98" w14:textId="77777777" w:rsidR="00F67F7D" w:rsidRPr="00B8345C" w:rsidRDefault="00F67F7D" w:rsidP="00594252">
            <w:pPr>
              <w:pStyle w:val="TableText"/>
              <w:keepNext w:val="0"/>
              <w:rPr>
                <w:szCs w:val="14"/>
              </w:rPr>
            </w:pPr>
            <w:r>
              <w:rPr>
                <w:szCs w:val="14"/>
              </w:rPr>
              <w:t>–</w:t>
            </w:r>
          </w:p>
        </w:tc>
      </w:tr>
      <w:tr w:rsidR="00F67F7D" w:rsidRPr="00B8345C" w14:paraId="251B26D9" w14:textId="77777777" w:rsidTr="00466837">
        <w:trPr>
          <w:cantSplit/>
        </w:trPr>
        <w:tc>
          <w:tcPr>
            <w:tcW w:w="852" w:type="dxa"/>
            <w:tcBorders>
              <w:left w:val="nil"/>
            </w:tcBorders>
            <w:shd w:val="clear" w:color="auto" w:fill="auto"/>
          </w:tcPr>
          <w:p w14:paraId="51B77E76"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077B565A"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To keep me motivated</w:t>
            </w:r>
          </w:p>
        </w:tc>
        <w:tc>
          <w:tcPr>
            <w:tcW w:w="3372" w:type="dxa"/>
            <w:shd w:val="clear" w:color="auto" w:fill="auto"/>
          </w:tcPr>
          <w:p w14:paraId="21AC7A3D"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70DA2AD5" w14:textId="77777777" w:rsidR="00F67F7D" w:rsidRPr="00B8345C" w:rsidRDefault="00F67F7D" w:rsidP="00594252">
            <w:pPr>
              <w:pStyle w:val="TableText"/>
              <w:keepNext w:val="0"/>
              <w:rPr>
                <w:szCs w:val="14"/>
              </w:rPr>
            </w:pPr>
            <w:r w:rsidRPr="00B8345C">
              <w:rPr>
                <w:szCs w:val="14"/>
              </w:rPr>
              <w:t>1.33 (0.89</w:t>
            </w:r>
            <w:r w:rsidR="009919A9">
              <w:rPr>
                <w:szCs w:val="14"/>
              </w:rPr>
              <w:t>, </w:t>
            </w:r>
            <w:r w:rsidRPr="00B8345C">
              <w:rPr>
                <w:szCs w:val="14"/>
              </w:rPr>
              <w:t>1.99)</w:t>
            </w:r>
          </w:p>
        </w:tc>
        <w:tc>
          <w:tcPr>
            <w:tcW w:w="3089" w:type="dxa"/>
            <w:shd w:val="clear" w:color="auto" w:fill="auto"/>
          </w:tcPr>
          <w:p w14:paraId="7CAA21D0"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25E03342" w14:textId="77777777" w:rsidR="00F67F7D" w:rsidRPr="00B8345C" w:rsidRDefault="00F67F7D" w:rsidP="00594252">
            <w:pPr>
              <w:pStyle w:val="TableText"/>
              <w:keepNext w:val="0"/>
              <w:rPr>
                <w:szCs w:val="14"/>
              </w:rPr>
            </w:pPr>
            <w:r>
              <w:rPr>
                <w:szCs w:val="14"/>
              </w:rPr>
              <w:t>–</w:t>
            </w:r>
          </w:p>
        </w:tc>
      </w:tr>
      <w:tr w:rsidR="00F67F7D" w:rsidRPr="00B8345C" w14:paraId="686B2062" w14:textId="77777777" w:rsidTr="00466837">
        <w:trPr>
          <w:cantSplit/>
        </w:trPr>
        <w:tc>
          <w:tcPr>
            <w:tcW w:w="852" w:type="dxa"/>
            <w:tcBorders>
              <w:left w:val="nil"/>
            </w:tcBorders>
            <w:shd w:val="clear" w:color="auto" w:fill="auto"/>
          </w:tcPr>
          <w:p w14:paraId="1DAE0B55"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38F56DB5"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Track my progress</w:t>
            </w:r>
          </w:p>
        </w:tc>
        <w:tc>
          <w:tcPr>
            <w:tcW w:w="3372" w:type="dxa"/>
            <w:shd w:val="clear" w:color="auto" w:fill="auto"/>
          </w:tcPr>
          <w:p w14:paraId="3A7E8A94"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239710BB" w14:textId="77777777" w:rsidR="00F67F7D" w:rsidRPr="00B8345C" w:rsidRDefault="00F67F7D" w:rsidP="00594252">
            <w:pPr>
              <w:pStyle w:val="TableText"/>
              <w:keepNext w:val="0"/>
              <w:rPr>
                <w:szCs w:val="14"/>
              </w:rPr>
            </w:pPr>
            <w:r w:rsidRPr="00B8345C">
              <w:rPr>
                <w:szCs w:val="14"/>
              </w:rPr>
              <w:t>0.69 (0.45</w:t>
            </w:r>
            <w:r w:rsidR="009919A9">
              <w:rPr>
                <w:szCs w:val="14"/>
              </w:rPr>
              <w:t>, </w:t>
            </w:r>
            <w:r w:rsidRPr="00B8345C">
              <w:rPr>
                <w:szCs w:val="14"/>
              </w:rPr>
              <w:t>1.06)</w:t>
            </w:r>
          </w:p>
        </w:tc>
        <w:tc>
          <w:tcPr>
            <w:tcW w:w="3089" w:type="dxa"/>
            <w:shd w:val="clear" w:color="auto" w:fill="auto"/>
          </w:tcPr>
          <w:p w14:paraId="75699BEA"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F8F52DF" w14:textId="77777777" w:rsidR="00F67F7D" w:rsidRPr="00B8345C" w:rsidRDefault="00F67F7D" w:rsidP="00594252">
            <w:pPr>
              <w:pStyle w:val="TableText"/>
              <w:keepNext w:val="0"/>
              <w:rPr>
                <w:szCs w:val="14"/>
              </w:rPr>
            </w:pPr>
            <w:r>
              <w:rPr>
                <w:szCs w:val="14"/>
              </w:rPr>
              <w:t>–</w:t>
            </w:r>
          </w:p>
        </w:tc>
      </w:tr>
      <w:tr w:rsidR="00F67F7D" w:rsidRPr="00B8345C" w14:paraId="5449358B" w14:textId="77777777" w:rsidTr="00466837">
        <w:trPr>
          <w:cantSplit/>
        </w:trPr>
        <w:tc>
          <w:tcPr>
            <w:tcW w:w="852" w:type="dxa"/>
            <w:tcBorders>
              <w:left w:val="nil"/>
            </w:tcBorders>
            <w:shd w:val="clear" w:color="auto" w:fill="auto"/>
          </w:tcPr>
          <w:p w14:paraId="70C634AD"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7EDFD252"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Track my progress</w:t>
            </w:r>
          </w:p>
        </w:tc>
        <w:tc>
          <w:tcPr>
            <w:tcW w:w="3372" w:type="dxa"/>
            <w:shd w:val="clear" w:color="auto" w:fill="auto"/>
          </w:tcPr>
          <w:p w14:paraId="6B948F32"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3D46514C" w14:textId="77777777" w:rsidR="00F67F7D" w:rsidRPr="00B8345C" w:rsidRDefault="00F67F7D" w:rsidP="00594252">
            <w:pPr>
              <w:pStyle w:val="TableText"/>
              <w:keepNext w:val="0"/>
              <w:rPr>
                <w:szCs w:val="14"/>
              </w:rPr>
            </w:pPr>
            <w:r w:rsidRPr="00B8345C">
              <w:rPr>
                <w:szCs w:val="14"/>
              </w:rPr>
              <w:t>0.74 (0.45</w:t>
            </w:r>
            <w:r w:rsidR="009919A9">
              <w:rPr>
                <w:szCs w:val="14"/>
              </w:rPr>
              <w:t>, </w:t>
            </w:r>
            <w:r w:rsidRPr="00B8345C">
              <w:rPr>
                <w:szCs w:val="14"/>
              </w:rPr>
              <w:t>1.22)</w:t>
            </w:r>
          </w:p>
        </w:tc>
        <w:tc>
          <w:tcPr>
            <w:tcW w:w="3089" w:type="dxa"/>
            <w:shd w:val="clear" w:color="auto" w:fill="auto"/>
          </w:tcPr>
          <w:p w14:paraId="4DA9AC3F"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141CC59" w14:textId="77777777" w:rsidR="00F67F7D" w:rsidRPr="00B8345C" w:rsidRDefault="00F67F7D" w:rsidP="00594252">
            <w:pPr>
              <w:pStyle w:val="TableText"/>
              <w:keepNext w:val="0"/>
              <w:rPr>
                <w:szCs w:val="14"/>
              </w:rPr>
            </w:pPr>
            <w:r>
              <w:rPr>
                <w:szCs w:val="14"/>
              </w:rPr>
              <w:t>–</w:t>
            </w:r>
          </w:p>
        </w:tc>
      </w:tr>
      <w:tr w:rsidR="00F67F7D" w:rsidRPr="00B8345C" w14:paraId="3D14FEED" w14:textId="77777777" w:rsidTr="00466837">
        <w:trPr>
          <w:cantSplit/>
        </w:trPr>
        <w:tc>
          <w:tcPr>
            <w:tcW w:w="852" w:type="dxa"/>
            <w:tcBorders>
              <w:left w:val="nil"/>
            </w:tcBorders>
            <w:shd w:val="clear" w:color="auto" w:fill="auto"/>
          </w:tcPr>
          <w:p w14:paraId="1797ECB7"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3A60F7E8" w14:textId="77777777" w:rsidR="00F67F7D" w:rsidRPr="00466837" w:rsidRDefault="00F67F7D" w:rsidP="00466837">
            <w:pPr>
              <w:pStyle w:val="TableText"/>
            </w:pPr>
            <w:r w:rsidRPr="00466837">
              <w:t>Ways in which emerging technologies are used to improve health and wellbeing: Other</w:t>
            </w:r>
          </w:p>
        </w:tc>
        <w:tc>
          <w:tcPr>
            <w:tcW w:w="3372" w:type="dxa"/>
            <w:shd w:val="clear" w:color="auto" w:fill="auto"/>
          </w:tcPr>
          <w:p w14:paraId="35134770" w14:textId="77777777" w:rsidR="00F67F7D" w:rsidRPr="00466837" w:rsidRDefault="00F67F7D" w:rsidP="00466837">
            <w:pPr>
              <w:pStyle w:val="TableText"/>
            </w:pPr>
            <w:r w:rsidRPr="00466837">
              <w:t>Transitioned ADF with probable disorder vs Transitioned ADF with no probable disorder (In those who currently use new and emerging technologies to improve their health and wellbeing)</w:t>
            </w:r>
          </w:p>
        </w:tc>
        <w:tc>
          <w:tcPr>
            <w:tcW w:w="1062" w:type="dxa"/>
            <w:shd w:val="clear" w:color="auto" w:fill="auto"/>
          </w:tcPr>
          <w:p w14:paraId="3FA86A74" w14:textId="77777777" w:rsidR="00F67F7D" w:rsidRPr="00B8345C" w:rsidRDefault="00F67F7D" w:rsidP="00594252">
            <w:pPr>
              <w:pStyle w:val="TableText"/>
              <w:keepNext w:val="0"/>
              <w:rPr>
                <w:szCs w:val="14"/>
              </w:rPr>
            </w:pPr>
            <w:r w:rsidRPr="00B8345C">
              <w:rPr>
                <w:szCs w:val="14"/>
              </w:rPr>
              <w:t>0.75 (0.28</w:t>
            </w:r>
            <w:r w:rsidR="009919A9">
              <w:rPr>
                <w:szCs w:val="14"/>
              </w:rPr>
              <w:t>, </w:t>
            </w:r>
            <w:r w:rsidRPr="00B8345C">
              <w:rPr>
                <w:szCs w:val="14"/>
              </w:rPr>
              <w:t>1.96)</w:t>
            </w:r>
          </w:p>
        </w:tc>
        <w:tc>
          <w:tcPr>
            <w:tcW w:w="3089" w:type="dxa"/>
            <w:shd w:val="clear" w:color="auto" w:fill="auto"/>
          </w:tcPr>
          <w:p w14:paraId="3B08CB05"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5B61415A" w14:textId="77777777" w:rsidR="00F67F7D" w:rsidRPr="00B8345C" w:rsidRDefault="00F67F7D" w:rsidP="00594252">
            <w:pPr>
              <w:pStyle w:val="TableText"/>
              <w:keepNext w:val="0"/>
              <w:rPr>
                <w:szCs w:val="14"/>
              </w:rPr>
            </w:pPr>
            <w:r>
              <w:rPr>
                <w:szCs w:val="14"/>
              </w:rPr>
              <w:t>–</w:t>
            </w:r>
          </w:p>
        </w:tc>
      </w:tr>
      <w:tr w:rsidR="00F67F7D" w:rsidRPr="00B8345C" w14:paraId="1C55E72C" w14:textId="77777777" w:rsidTr="00466837">
        <w:trPr>
          <w:cantSplit/>
        </w:trPr>
        <w:tc>
          <w:tcPr>
            <w:tcW w:w="852" w:type="dxa"/>
            <w:tcBorders>
              <w:left w:val="nil"/>
            </w:tcBorders>
            <w:shd w:val="clear" w:color="auto" w:fill="auto"/>
          </w:tcPr>
          <w:p w14:paraId="69848CC8" w14:textId="77777777" w:rsidR="00F67F7D" w:rsidRPr="00B8345C" w:rsidRDefault="00F67F7D" w:rsidP="00594252">
            <w:pPr>
              <w:pStyle w:val="TableText"/>
              <w:keepNext w:val="0"/>
              <w:rPr>
                <w:szCs w:val="14"/>
              </w:rPr>
            </w:pPr>
            <w:r w:rsidRPr="00347DDE">
              <w:t xml:space="preserve">Table </w:t>
            </w:r>
            <w:r>
              <w:rPr>
                <w:noProof/>
              </w:rPr>
              <w:t>5</w:t>
            </w:r>
            <w:r>
              <w:t>.</w:t>
            </w:r>
            <w:r>
              <w:rPr>
                <w:noProof/>
              </w:rPr>
              <w:t>9</w:t>
            </w:r>
          </w:p>
        </w:tc>
        <w:tc>
          <w:tcPr>
            <w:tcW w:w="2140" w:type="dxa"/>
            <w:shd w:val="clear" w:color="auto" w:fill="auto"/>
          </w:tcPr>
          <w:p w14:paraId="1D19C7D3" w14:textId="77777777" w:rsidR="00F67F7D" w:rsidRPr="00B8345C" w:rsidRDefault="00F67F7D" w:rsidP="00594252">
            <w:pPr>
              <w:pStyle w:val="TableText"/>
              <w:keepNext w:val="0"/>
              <w:rPr>
                <w:szCs w:val="14"/>
              </w:rPr>
            </w:pPr>
            <w:r w:rsidRPr="00B8345C">
              <w:rPr>
                <w:szCs w:val="14"/>
              </w:rPr>
              <w:t>Ways in which emerging technologies are used to improve health and wellbeing: Other</w:t>
            </w:r>
          </w:p>
        </w:tc>
        <w:tc>
          <w:tcPr>
            <w:tcW w:w="3372" w:type="dxa"/>
            <w:shd w:val="clear" w:color="auto" w:fill="auto"/>
          </w:tcPr>
          <w:p w14:paraId="0113A41A"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to improve their health and wellbeing)</w:t>
            </w:r>
          </w:p>
        </w:tc>
        <w:tc>
          <w:tcPr>
            <w:tcW w:w="1062" w:type="dxa"/>
            <w:shd w:val="clear" w:color="auto" w:fill="auto"/>
          </w:tcPr>
          <w:p w14:paraId="698B20A1" w14:textId="77777777" w:rsidR="00F67F7D" w:rsidRPr="00B8345C" w:rsidRDefault="00F67F7D" w:rsidP="00594252">
            <w:pPr>
              <w:pStyle w:val="TableText"/>
              <w:keepNext w:val="0"/>
              <w:rPr>
                <w:szCs w:val="14"/>
              </w:rPr>
            </w:pPr>
            <w:r w:rsidRPr="00B8345C">
              <w:rPr>
                <w:szCs w:val="14"/>
              </w:rPr>
              <w:t>0.61 (0.19</w:t>
            </w:r>
            <w:r w:rsidR="009919A9">
              <w:rPr>
                <w:szCs w:val="14"/>
              </w:rPr>
              <w:t>, </w:t>
            </w:r>
            <w:r w:rsidRPr="00B8345C">
              <w:rPr>
                <w:szCs w:val="14"/>
              </w:rPr>
              <w:t>1.92)</w:t>
            </w:r>
          </w:p>
        </w:tc>
        <w:tc>
          <w:tcPr>
            <w:tcW w:w="3089" w:type="dxa"/>
            <w:shd w:val="clear" w:color="auto" w:fill="auto"/>
          </w:tcPr>
          <w:p w14:paraId="196FC09F"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F3D4390" w14:textId="77777777" w:rsidR="00F67F7D" w:rsidRPr="00B8345C" w:rsidRDefault="00F67F7D" w:rsidP="00594252">
            <w:pPr>
              <w:pStyle w:val="TableText"/>
              <w:keepNext w:val="0"/>
              <w:rPr>
                <w:szCs w:val="14"/>
              </w:rPr>
            </w:pPr>
            <w:r>
              <w:rPr>
                <w:szCs w:val="14"/>
              </w:rPr>
              <w:t>–</w:t>
            </w:r>
          </w:p>
        </w:tc>
      </w:tr>
      <w:tr w:rsidR="00F67F7D" w:rsidRPr="00B8345C" w14:paraId="11E99A11" w14:textId="77777777" w:rsidTr="00466837">
        <w:trPr>
          <w:cantSplit/>
        </w:trPr>
        <w:tc>
          <w:tcPr>
            <w:tcW w:w="852" w:type="dxa"/>
            <w:tcBorders>
              <w:left w:val="nil"/>
            </w:tcBorders>
            <w:shd w:val="clear" w:color="auto" w:fill="auto"/>
          </w:tcPr>
          <w:p w14:paraId="26924034"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53B5CDBA"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Enhance social interaction</w:t>
            </w:r>
          </w:p>
        </w:tc>
        <w:tc>
          <w:tcPr>
            <w:tcW w:w="3372" w:type="dxa"/>
            <w:shd w:val="clear" w:color="auto" w:fill="auto"/>
          </w:tcPr>
          <w:p w14:paraId="00A23350"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for reasons other than to improve their health and wellbeing)</w:t>
            </w:r>
          </w:p>
        </w:tc>
        <w:tc>
          <w:tcPr>
            <w:tcW w:w="1062" w:type="dxa"/>
            <w:shd w:val="clear" w:color="auto" w:fill="auto"/>
          </w:tcPr>
          <w:p w14:paraId="69973643" w14:textId="77777777" w:rsidR="00F67F7D" w:rsidRPr="00B8345C" w:rsidRDefault="00F67F7D" w:rsidP="00594252">
            <w:pPr>
              <w:pStyle w:val="TableText"/>
              <w:keepNext w:val="0"/>
              <w:rPr>
                <w:szCs w:val="14"/>
              </w:rPr>
            </w:pPr>
            <w:r w:rsidRPr="00B8345C">
              <w:rPr>
                <w:szCs w:val="14"/>
              </w:rPr>
              <w:t>1.12 (0.69</w:t>
            </w:r>
            <w:r w:rsidR="009919A9">
              <w:rPr>
                <w:szCs w:val="14"/>
              </w:rPr>
              <w:t>, </w:t>
            </w:r>
            <w:r w:rsidRPr="00B8345C">
              <w:rPr>
                <w:szCs w:val="14"/>
              </w:rPr>
              <w:t>1.82)</w:t>
            </w:r>
          </w:p>
        </w:tc>
        <w:tc>
          <w:tcPr>
            <w:tcW w:w="3089" w:type="dxa"/>
            <w:shd w:val="clear" w:color="auto" w:fill="auto"/>
          </w:tcPr>
          <w:p w14:paraId="69099D01"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30D90D8D" w14:textId="77777777" w:rsidR="00F67F7D" w:rsidRPr="00B8345C" w:rsidRDefault="00F67F7D" w:rsidP="00594252">
            <w:pPr>
              <w:pStyle w:val="TableText"/>
              <w:keepNext w:val="0"/>
              <w:rPr>
                <w:szCs w:val="14"/>
              </w:rPr>
            </w:pPr>
            <w:r>
              <w:rPr>
                <w:szCs w:val="14"/>
              </w:rPr>
              <w:t>–</w:t>
            </w:r>
          </w:p>
        </w:tc>
      </w:tr>
      <w:tr w:rsidR="00F67F7D" w:rsidRPr="00B8345C" w14:paraId="4A6D7E67" w14:textId="77777777" w:rsidTr="00466837">
        <w:trPr>
          <w:cantSplit/>
        </w:trPr>
        <w:tc>
          <w:tcPr>
            <w:tcW w:w="852" w:type="dxa"/>
            <w:tcBorders>
              <w:left w:val="nil"/>
            </w:tcBorders>
            <w:shd w:val="clear" w:color="auto" w:fill="auto"/>
          </w:tcPr>
          <w:p w14:paraId="49C8285C"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1EC13561"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Enhance social interaction</w:t>
            </w:r>
          </w:p>
        </w:tc>
        <w:tc>
          <w:tcPr>
            <w:tcW w:w="3372" w:type="dxa"/>
            <w:shd w:val="clear" w:color="auto" w:fill="auto"/>
          </w:tcPr>
          <w:p w14:paraId="7529898D"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for reasons other than to improve their health and wellbeing)</w:t>
            </w:r>
          </w:p>
        </w:tc>
        <w:tc>
          <w:tcPr>
            <w:tcW w:w="1062" w:type="dxa"/>
            <w:shd w:val="clear" w:color="auto" w:fill="auto"/>
          </w:tcPr>
          <w:p w14:paraId="558ED2B8" w14:textId="77777777" w:rsidR="00F67F7D" w:rsidRPr="00B8345C" w:rsidRDefault="00F67F7D" w:rsidP="00594252">
            <w:pPr>
              <w:pStyle w:val="TableText"/>
              <w:keepNext w:val="0"/>
              <w:rPr>
                <w:szCs w:val="14"/>
              </w:rPr>
            </w:pPr>
            <w:r w:rsidRPr="00B8345C">
              <w:rPr>
                <w:szCs w:val="14"/>
              </w:rPr>
              <w:t>1.17 (0.37</w:t>
            </w:r>
            <w:r w:rsidR="009919A9">
              <w:rPr>
                <w:szCs w:val="14"/>
              </w:rPr>
              <w:t>, </w:t>
            </w:r>
            <w:r w:rsidRPr="00B8345C">
              <w:rPr>
                <w:szCs w:val="14"/>
              </w:rPr>
              <w:t>3.67)</w:t>
            </w:r>
          </w:p>
        </w:tc>
        <w:tc>
          <w:tcPr>
            <w:tcW w:w="3089" w:type="dxa"/>
            <w:shd w:val="clear" w:color="auto" w:fill="auto"/>
          </w:tcPr>
          <w:p w14:paraId="6336B748"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5222836" w14:textId="77777777" w:rsidR="00F67F7D" w:rsidRPr="00B8345C" w:rsidRDefault="00F67F7D" w:rsidP="00594252">
            <w:pPr>
              <w:pStyle w:val="TableText"/>
              <w:keepNext w:val="0"/>
              <w:rPr>
                <w:szCs w:val="14"/>
              </w:rPr>
            </w:pPr>
            <w:r>
              <w:rPr>
                <w:szCs w:val="14"/>
              </w:rPr>
              <w:t>–</w:t>
            </w:r>
          </w:p>
        </w:tc>
      </w:tr>
      <w:tr w:rsidR="00F67F7D" w:rsidRPr="00B8345C" w14:paraId="15897456" w14:textId="77777777" w:rsidTr="00466837">
        <w:trPr>
          <w:cantSplit/>
        </w:trPr>
        <w:tc>
          <w:tcPr>
            <w:tcW w:w="852" w:type="dxa"/>
            <w:tcBorders>
              <w:left w:val="nil"/>
            </w:tcBorders>
            <w:shd w:val="clear" w:color="auto" w:fill="auto"/>
          </w:tcPr>
          <w:p w14:paraId="659706A3"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6DE69785"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Fun or recreation</w:t>
            </w:r>
          </w:p>
        </w:tc>
        <w:tc>
          <w:tcPr>
            <w:tcW w:w="3372" w:type="dxa"/>
            <w:shd w:val="clear" w:color="auto" w:fill="auto"/>
          </w:tcPr>
          <w:p w14:paraId="424FB045"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for reasons other than to improve their health and wellbeing)</w:t>
            </w:r>
          </w:p>
        </w:tc>
        <w:tc>
          <w:tcPr>
            <w:tcW w:w="1062" w:type="dxa"/>
            <w:shd w:val="clear" w:color="auto" w:fill="auto"/>
          </w:tcPr>
          <w:p w14:paraId="062A10BA" w14:textId="77777777" w:rsidR="00F67F7D" w:rsidRPr="00B8345C" w:rsidRDefault="00F67F7D" w:rsidP="00594252">
            <w:pPr>
              <w:pStyle w:val="TableText"/>
              <w:keepNext w:val="0"/>
              <w:rPr>
                <w:szCs w:val="14"/>
              </w:rPr>
            </w:pPr>
            <w:r w:rsidRPr="00B8345C">
              <w:rPr>
                <w:szCs w:val="14"/>
              </w:rPr>
              <w:t>0.51 (0.33</w:t>
            </w:r>
            <w:r w:rsidR="009919A9">
              <w:rPr>
                <w:szCs w:val="14"/>
              </w:rPr>
              <w:t>, </w:t>
            </w:r>
            <w:r w:rsidRPr="00B8345C">
              <w:rPr>
                <w:szCs w:val="14"/>
              </w:rPr>
              <w:t>0.78)</w:t>
            </w:r>
          </w:p>
        </w:tc>
        <w:tc>
          <w:tcPr>
            <w:tcW w:w="3089" w:type="dxa"/>
            <w:shd w:val="clear" w:color="auto" w:fill="auto"/>
          </w:tcPr>
          <w:p w14:paraId="16D051E4" w14:textId="77777777" w:rsidR="00F67F7D" w:rsidRPr="00B8345C" w:rsidRDefault="00F67F7D" w:rsidP="00594252">
            <w:pPr>
              <w:pStyle w:val="TableText"/>
              <w:keepNext w:val="0"/>
              <w:rPr>
                <w:szCs w:val="14"/>
              </w:rPr>
            </w:pPr>
            <w:r w:rsidRPr="00B8345C">
              <w:rPr>
                <w:szCs w:val="14"/>
              </w:rPr>
              <w:t>Transitioned ADF with probable disorder were 49% less likely to use emerging technologies for fun and recreation</w:t>
            </w:r>
          </w:p>
        </w:tc>
        <w:tc>
          <w:tcPr>
            <w:tcW w:w="1005" w:type="dxa"/>
            <w:tcBorders>
              <w:right w:val="nil"/>
            </w:tcBorders>
            <w:shd w:val="clear" w:color="auto" w:fill="auto"/>
          </w:tcPr>
          <w:p w14:paraId="50E252A5" w14:textId="77777777" w:rsidR="00F67F7D" w:rsidRPr="00B8345C" w:rsidRDefault="00F67F7D" w:rsidP="00594252">
            <w:pPr>
              <w:pStyle w:val="TableText"/>
              <w:keepNext w:val="0"/>
              <w:rPr>
                <w:szCs w:val="14"/>
              </w:rPr>
            </w:pPr>
            <w:r w:rsidRPr="00B8345C">
              <w:rPr>
                <w:szCs w:val="14"/>
              </w:rPr>
              <w:t>Moderate</w:t>
            </w:r>
          </w:p>
        </w:tc>
      </w:tr>
      <w:tr w:rsidR="00F67F7D" w:rsidRPr="00B8345C" w14:paraId="2F93E8AB" w14:textId="77777777" w:rsidTr="00466837">
        <w:trPr>
          <w:cantSplit/>
        </w:trPr>
        <w:tc>
          <w:tcPr>
            <w:tcW w:w="852" w:type="dxa"/>
            <w:tcBorders>
              <w:left w:val="nil"/>
            </w:tcBorders>
            <w:shd w:val="clear" w:color="auto" w:fill="auto"/>
          </w:tcPr>
          <w:p w14:paraId="5540CC66"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31EE57FF"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Fun or recreation</w:t>
            </w:r>
          </w:p>
        </w:tc>
        <w:tc>
          <w:tcPr>
            <w:tcW w:w="3372" w:type="dxa"/>
            <w:shd w:val="clear" w:color="auto" w:fill="auto"/>
          </w:tcPr>
          <w:p w14:paraId="1FB29D8B"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for reasons other than to improve their health and wellbeing)</w:t>
            </w:r>
          </w:p>
        </w:tc>
        <w:tc>
          <w:tcPr>
            <w:tcW w:w="1062" w:type="dxa"/>
            <w:shd w:val="clear" w:color="auto" w:fill="auto"/>
          </w:tcPr>
          <w:p w14:paraId="2252910D" w14:textId="77777777" w:rsidR="00F67F7D" w:rsidRPr="00B8345C" w:rsidRDefault="00F67F7D" w:rsidP="00594252">
            <w:pPr>
              <w:pStyle w:val="TableText"/>
              <w:keepNext w:val="0"/>
              <w:rPr>
                <w:szCs w:val="14"/>
              </w:rPr>
            </w:pPr>
            <w:r w:rsidRPr="00B8345C">
              <w:rPr>
                <w:szCs w:val="14"/>
              </w:rPr>
              <w:t>0.46 (0.16</w:t>
            </w:r>
            <w:r w:rsidR="009919A9">
              <w:rPr>
                <w:szCs w:val="14"/>
              </w:rPr>
              <w:t>, </w:t>
            </w:r>
            <w:r w:rsidRPr="00B8345C">
              <w:rPr>
                <w:szCs w:val="14"/>
              </w:rPr>
              <w:t>1.32)</w:t>
            </w:r>
          </w:p>
        </w:tc>
        <w:tc>
          <w:tcPr>
            <w:tcW w:w="3089" w:type="dxa"/>
            <w:shd w:val="clear" w:color="auto" w:fill="auto"/>
          </w:tcPr>
          <w:p w14:paraId="54935200"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32BD9F45" w14:textId="77777777" w:rsidR="00F67F7D" w:rsidRPr="00B8345C" w:rsidRDefault="00F67F7D" w:rsidP="00594252">
            <w:pPr>
              <w:pStyle w:val="TableText"/>
              <w:keepNext w:val="0"/>
              <w:rPr>
                <w:szCs w:val="14"/>
              </w:rPr>
            </w:pPr>
            <w:r>
              <w:rPr>
                <w:szCs w:val="14"/>
              </w:rPr>
              <w:t>–</w:t>
            </w:r>
          </w:p>
        </w:tc>
      </w:tr>
      <w:tr w:rsidR="00F67F7D" w:rsidRPr="00B8345C" w14:paraId="0A2874FA" w14:textId="77777777" w:rsidTr="00466837">
        <w:trPr>
          <w:cantSplit/>
        </w:trPr>
        <w:tc>
          <w:tcPr>
            <w:tcW w:w="852" w:type="dxa"/>
            <w:tcBorders>
              <w:left w:val="nil"/>
            </w:tcBorders>
            <w:shd w:val="clear" w:color="auto" w:fill="auto"/>
          </w:tcPr>
          <w:p w14:paraId="5851B05A"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50E74A6E"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Study or work</w:t>
            </w:r>
          </w:p>
        </w:tc>
        <w:tc>
          <w:tcPr>
            <w:tcW w:w="3372" w:type="dxa"/>
            <w:shd w:val="clear" w:color="auto" w:fill="auto"/>
          </w:tcPr>
          <w:p w14:paraId="541F40B7"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for reasons other than to improve their health and wellbeing)</w:t>
            </w:r>
          </w:p>
        </w:tc>
        <w:tc>
          <w:tcPr>
            <w:tcW w:w="1062" w:type="dxa"/>
            <w:shd w:val="clear" w:color="auto" w:fill="auto"/>
          </w:tcPr>
          <w:p w14:paraId="4E0295C1" w14:textId="77777777" w:rsidR="00F67F7D" w:rsidRPr="00B8345C" w:rsidRDefault="00F67F7D" w:rsidP="00594252">
            <w:pPr>
              <w:pStyle w:val="TableText"/>
              <w:keepNext w:val="0"/>
              <w:rPr>
                <w:szCs w:val="14"/>
              </w:rPr>
            </w:pPr>
            <w:r w:rsidRPr="00B8345C">
              <w:rPr>
                <w:szCs w:val="14"/>
              </w:rPr>
              <w:t>0.77 (0.51</w:t>
            </w:r>
            <w:r w:rsidR="009919A9">
              <w:rPr>
                <w:szCs w:val="14"/>
              </w:rPr>
              <w:t>, </w:t>
            </w:r>
            <w:r w:rsidRPr="00B8345C">
              <w:rPr>
                <w:szCs w:val="14"/>
              </w:rPr>
              <w:t>1.16)</w:t>
            </w:r>
          </w:p>
        </w:tc>
        <w:tc>
          <w:tcPr>
            <w:tcW w:w="3089" w:type="dxa"/>
            <w:shd w:val="clear" w:color="auto" w:fill="auto"/>
          </w:tcPr>
          <w:p w14:paraId="5437EED2"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0D1C2BD" w14:textId="77777777" w:rsidR="00F67F7D" w:rsidRPr="00B8345C" w:rsidRDefault="00F67F7D" w:rsidP="00594252">
            <w:pPr>
              <w:pStyle w:val="TableText"/>
              <w:keepNext w:val="0"/>
              <w:rPr>
                <w:szCs w:val="14"/>
              </w:rPr>
            </w:pPr>
            <w:r>
              <w:rPr>
                <w:szCs w:val="14"/>
              </w:rPr>
              <w:t>–</w:t>
            </w:r>
          </w:p>
        </w:tc>
      </w:tr>
      <w:tr w:rsidR="00F67F7D" w:rsidRPr="00B8345C" w14:paraId="112E8A31" w14:textId="77777777" w:rsidTr="00466837">
        <w:trPr>
          <w:cantSplit/>
        </w:trPr>
        <w:tc>
          <w:tcPr>
            <w:tcW w:w="852" w:type="dxa"/>
            <w:tcBorders>
              <w:left w:val="nil"/>
            </w:tcBorders>
            <w:shd w:val="clear" w:color="auto" w:fill="auto"/>
          </w:tcPr>
          <w:p w14:paraId="4D1C43A8"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505C6925"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Study or work</w:t>
            </w:r>
          </w:p>
        </w:tc>
        <w:tc>
          <w:tcPr>
            <w:tcW w:w="3372" w:type="dxa"/>
            <w:shd w:val="clear" w:color="auto" w:fill="auto"/>
          </w:tcPr>
          <w:p w14:paraId="043AA230"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for reasons other than to improve their health and wellbeing)</w:t>
            </w:r>
          </w:p>
        </w:tc>
        <w:tc>
          <w:tcPr>
            <w:tcW w:w="1062" w:type="dxa"/>
            <w:shd w:val="clear" w:color="auto" w:fill="auto"/>
          </w:tcPr>
          <w:p w14:paraId="586CB492" w14:textId="77777777" w:rsidR="00F67F7D" w:rsidRPr="00B8345C" w:rsidRDefault="00F67F7D" w:rsidP="00594252">
            <w:pPr>
              <w:pStyle w:val="TableText"/>
              <w:keepNext w:val="0"/>
              <w:rPr>
                <w:szCs w:val="14"/>
              </w:rPr>
            </w:pPr>
            <w:r w:rsidRPr="00B8345C">
              <w:rPr>
                <w:szCs w:val="14"/>
              </w:rPr>
              <w:t>0.58 (0.20</w:t>
            </w:r>
            <w:r w:rsidR="009919A9">
              <w:rPr>
                <w:szCs w:val="14"/>
              </w:rPr>
              <w:t>, </w:t>
            </w:r>
            <w:r w:rsidRPr="00B8345C">
              <w:rPr>
                <w:szCs w:val="14"/>
              </w:rPr>
              <w:t>1.70)</w:t>
            </w:r>
          </w:p>
        </w:tc>
        <w:tc>
          <w:tcPr>
            <w:tcW w:w="3089" w:type="dxa"/>
            <w:shd w:val="clear" w:color="auto" w:fill="auto"/>
          </w:tcPr>
          <w:p w14:paraId="5D583A86"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CCA1FB1" w14:textId="77777777" w:rsidR="00F67F7D" w:rsidRPr="00B8345C" w:rsidRDefault="00F67F7D" w:rsidP="00594252">
            <w:pPr>
              <w:pStyle w:val="TableText"/>
              <w:keepNext w:val="0"/>
              <w:rPr>
                <w:szCs w:val="14"/>
              </w:rPr>
            </w:pPr>
            <w:r>
              <w:rPr>
                <w:szCs w:val="14"/>
              </w:rPr>
              <w:t>–</w:t>
            </w:r>
          </w:p>
        </w:tc>
      </w:tr>
      <w:tr w:rsidR="00F67F7D" w:rsidRPr="00B8345C" w14:paraId="36448FBF" w14:textId="77777777" w:rsidTr="00466837">
        <w:trPr>
          <w:cantSplit/>
        </w:trPr>
        <w:tc>
          <w:tcPr>
            <w:tcW w:w="852" w:type="dxa"/>
            <w:tcBorders>
              <w:left w:val="nil"/>
            </w:tcBorders>
            <w:shd w:val="clear" w:color="auto" w:fill="auto"/>
          </w:tcPr>
          <w:p w14:paraId="417838D1"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3C287A8D"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To make videos or take photos</w:t>
            </w:r>
          </w:p>
        </w:tc>
        <w:tc>
          <w:tcPr>
            <w:tcW w:w="3372" w:type="dxa"/>
            <w:shd w:val="clear" w:color="auto" w:fill="auto"/>
          </w:tcPr>
          <w:p w14:paraId="77F237C7"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for reasons other than to improve their health and wellbeing)</w:t>
            </w:r>
          </w:p>
        </w:tc>
        <w:tc>
          <w:tcPr>
            <w:tcW w:w="1062" w:type="dxa"/>
            <w:shd w:val="clear" w:color="auto" w:fill="auto"/>
          </w:tcPr>
          <w:p w14:paraId="2252D537" w14:textId="77777777" w:rsidR="00F67F7D" w:rsidRPr="00B8345C" w:rsidRDefault="00F67F7D" w:rsidP="00594252">
            <w:pPr>
              <w:pStyle w:val="TableText"/>
              <w:keepNext w:val="0"/>
              <w:rPr>
                <w:szCs w:val="14"/>
              </w:rPr>
            </w:pPr>
            <w:r w:rsidRPr="00B8345C">
              <w:rPr>
                <w:szCs w:val="14"/>
              </w:rPr>
              <w:t>1.54 (0.91</w:t>
            </w:r>
            <w:r w:rsidR="009919A9">
              <w:rPr>
                <w:szCs w:val="14"/>
              </w:rPr>
              <w:t>, </w:t>
            </w:r>
            <w:r w:rsidRPr="00B8345C">
              <w:rPr>
                <w:szCs w:val="14"/>
              </w:rPr>
              <w:t>2.61)</w:t>
            </w:r>
          </w:p>
        </w:tc>
        <w:tc>
          <w:tcPr>
            <w:tcW w:w="3089" w:type="dxa"/>
            <w:shd w:val="clear" w:color="auto" w:fill="auto"/>
          </w:tcPr>
          <w:p w14:paraId="5ECA65A3"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5AA0312" w14:textId="77777777" w:rsidR="00F67F7D" w:rsidRPr="00B8345C" w:rsidRDefault="00F67F7D" w:rsidP="00594252">
            <w:pPr>
              <w:pStyle w:val="TableText"/>
              <w:keepNext w:val="0"/>
              <w:rPr>
                <w:szCs w:val="14"/>
              </w:rPr>
            </w:pPr>
            <w:r>
              <w:rPr>
                <w:szCs w:val="14"/>
              </w:rPr>
              <w:t>–</w:t>
            </w:r>
          </w:p>
        </w:tc>
      </w:tr>
      <w:tr w:rsidR="00F67F7D" w:rsidRPr="00B8345C" w14:paraId="6A1540BF" w14:textId="77777777" w:rsidTr="00466837">
        <w:trPr>
          <w:cantSplit/>
        </w:trPr>
        <w:tc>
          <w:tcPr>
            <w:tcW w:w="852" w:type="dxa"/>
            <w:tcBorders>
              <w:left w:val="nil"/>
            </w:tcBorders>
            <w:shd w:val="clear" w:color="auto" w:fill="auto"/>
          </w:tcPr>
          <w:p w14:paraId="7F4B73CA"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0CA611AF" w14:textId="77777777" w:rsidR="00F67F7D" w:rsidRPr="00B8345C" w:rsidRDefault="00F67F7D" w:rsidP="00594252">
            <w:pPr>
              <w:pStyle w:val="TableText"/>
              <w:keepNext w:val="0"/>
              <w:rPr>
                <w:rFonts w:cs="ArialMT"/>
                <w:szCs w:val="14"/>
              </w:rPr>
            </w:pPr>
            <w:r w:rsidRPr="00B8345C">
              <w:rPr>
                <w:szCs w:val="14"/>
              </w:rPr>
              <w:t xml:space="preserve">Other reasons for using new and emerging technologies: </w:t>
            </w:r>
            <w:r w:rsidRPr="00B8345C">
              <w:rPr>
                <w:rFonts w:cs="ArialMT"/>
                <w:szCs w:val="14"/>
              </w:rPr>
              <w:t>To make videos or take photos</w:t>
            </w:r>
          </w:p>
        </w:tc>
        <w:tc>
          <w:tcPr>
            <w:tcW w:w="3372" w:type="dxa"/>
            <w:shd w:val="clear" w:color="auto" w:fill="auto"/>
          </w:tcPr>
          <w:p w14:paraId="5A011F72"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for reasons other than to improve their health and wellbeing)</w:t>
            </w:r>
          </w:p>
        </w:tc>
        <w:tc>
          <w:tcPr>
            <w:tcW w:w="1062" w:type="dxa"/>
            <w:shd w:val="clear" w:color="auto" w:fill="auto"/>
          </w:tcPr>
          <w:p w14:paraId="78202D14" w14:textId="77777777" w:rsidR="00F67F7D" w:rsidRPr="00B8345C" w:rsidRDefault="00F67F7D" w:rsidP="00594252">
            <w:pPr>
              <w:pStyle w:val="TableText"/>
              <w:keepNext w:val="0"/>
              <w:rPr>
                <w:szCs w:val="14"/>
              </w:rPr>
            </w:pPr>
            <w:r w:rsidRPr="00B8345C">
              <w:rPr>
                <w:szCs w:val="14"/>
              </w:rPr>
              <w:t>0.28 (0.12</w:t>
            </w:r>
            <w:r w:rsidR="009919A9">
              <w:rPr>
                <w:szCs w:val="14"/>
              </w:rPr>
              <w:t>, </w:t>
            </w:r>
            <w:r w:rsidRPr="00B8345C">
              <w:rPr>
                <w:szCs w:val="14"/>
              </w:rPr>
              <w:t>0.69)</w:t>
            </w:r>
          </w:p>
        </w:tc>
        <w:tc>
          <w:tcPr>
            <w:tcW w:w="3089" w:type="dxa"/>
            <w:shd w:val="clear" w:color="auto" w:fill="auto"/>
          </w:tcPr>
          <w:p w14:paraId="056E6236" w14:textId="77777777" w:rsidR="00F67F7D" w:rsidRPr="00B8345C" w:rsidRDefault="00F67F7D" w:rsidP="00594252">
            <w:pPr>
              <w:pStyle w:val="TableText"/>
              <w:keepNext w:val="0"/>
              <w:rPr>
                <w:szCs w:val="14"/>
              </w:rPr>
            </w:pPr>
            <w:r w:rsidRPr="00B8345C">
              <w:rPr>
                <w:szCs w:val="14"/>
              </w:rPr>
              <w:t>2015 Regular ADF with probable disorder were 72% less likely to use emerging technologies to make videos or take photos</w:t>
            </w:r>
          </w:p>
        </w:tc>
        <w:tc>
          <w:tcPr>
            <w:tcW w:w="1005" w:type="dxa"/>
            <w:tcBorders>
              <w:right w:val="nil"/>
            </w:tcBorders>
            <w:shd w:val="clear" w:color="auto" w:fill="auto"/>
          </w:tcPr>
          <w:p w14:paraId="76BA7486" w14:textId="77777777" w:rsidR="00F67F7D" w:rsidRPr="00B8345C" w:rsidRDefault="00F67F7D" w:rsidP="00594252">
            <w:pPr>
              <w:pStyle w:val="TableText"/>
              <w:keepNext w:val="0"/>
              <w:rPr>
                <w:szCs w:val="14"/>
              </w:rPr>
            </w:pPr>
            <w:r w:rsidRPr="00B8345C">
              <w:rPr>
                <w:szCs w:val="14"/>
              </w:rPr>
              <w:t>Strong</w:t>
            </w:r>
          </w:p>
        </w:tc>
      </w:tr>
      <w:tr w:rsidR="00F67F7D" w:rsidRPr="00B8345C" w14:paraId="06A982E0" w14:textId="77777777" w:rsidTr="00466837">
        <w:trPr>
          <w:cantSplit/>
        </w:trPr>
        <w:tc>
          <w:tcPr>
            <w:tcW w:w="852" w:type="dxa"/>
            <w:tcBorders>
              <w:left w:val="nil"/>
            </w:tcBorders>
            <w:shd w:val="clear" w:color="auto" w:fill="auto"/>
          </w:tcPr>
          <w:p w14:paraId="4C61DA32"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60FC7ED6" w14:textId="77777777" w:rsidR="00F67F7D" w:rsidRPr="00B8345C" w:rsidRDefault="00F67F7D" w:rsidP="00594252">
            <w:pPr>
              <w:pStyle w:val="TableText"/>
              <w:keepNext w:val="0"/>
              <w:rPr>
                <w:szCs w:val="14"/>
              </w:rPr>
            </w:pPr>
            <w:r w:rsidRPr="00B8345C">
              <w:rPr>
                <w:szCs w:val="14"/>
              </w:rPr>
              <w:t xml:space="preserve">Other reasons for using new and emerging technologies: </w:t>
            </w:r>
            <w:r w:rsidRPr="00B8345C">
              <w:rPr>
                <w:rFonts w:cs="ArialMT"/>
                <w:szCs w:val="14"/>
              </w:rPr>
              <w:t>Other</w:t>
            </w:r>
          </w:p>
        </w:tc>
        <w:tc>
          <w:tcPr>
            <w:tcW w:w="3372" w:type="dxa"/>
            <w:shd w:val="clear" w:color="auto" w:fill="auto"/>
          </w:tcPr>
          <w:p w14:paraId="519ACD4E" w14:textId="77777777" w:rsidR="00F67F7D" w:rsidRPr="00B8345C" w:rsidRDefault="00F67F7D" w:rsidP="00594252">
            <w:pPr>
              <w:pStyle w:val="TableText"/>
              <w:keepNext w:val="0"/>
              <w:rPr>
                <w:szCs w:val="14"/>
              </w:rPr>
            </w:pPr>
            <w:r w:rsidRPr="00B8345C">
              <w:rPr>
                <w:szCs w:val="14"/>
              </w:rPr>
              <w:t>Transitioned ADF with probable disorder vs Transitioned ADF with no probable disorder (In those who currently use new and emerging technologies for reasons other than to improve their health and wellbeing)</w:t>
            </w:r>
          </w:p>
        </w:tc>
        <w:tc>
          <w:tcPr>
            <w:tcW w:w="1062" w:type="dxa"/>
            <w:shd w:val="clear" w:color="auto" w:fill="auto"/>
          </w:tcPr>
          <w:p w14:paraId="3AC302F3" w14:textId="77777777" w:rsidR="00F67F7D" w:rsidRPr="00B8345C" w:rsidRDefault="00F67F7D" w:rsidP="00594252">
            <w:pPr>
              <w:pStyle w:val="TableText"/>
              <w:keepNext w:val="0"/>
              <w:rPr>
                <w:szCs w:val="14"/>
              </w:rPr>
            </w:pPr>
            <w:r w:rsidRPr="00B8345C">
              <w:rPr>
                <w:szCs w:val="14"/>
              </w:rPr>
              <w:t>1.18 (0.56</w:t>
            </w:r>
            <w:r w:rsidR="009919A9">
              <w:rPr>
                <w:szCs w:val="14"/>
              </w:rPr>
              <w:t>, </w:t>
            </w:r>
            <w:r w:rsidRPr="00B8345C">
              <w:rPr>
                <w:szCs w:val="14"/>
              </w:rPr>
              <w:t>2.46)</w:t>
            </w:r>
          </w:p>
        </w:tc>
        <w:tc>
          <w:tcPr>
            <w:tcW w:w="3089" w:type="dxa"/>
            <w:shd w:val="clear" w:color="auto" w:fill="auto"/>
          </w:tcPr>
          <w:p w14:paraId="66550768"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70A0688" w14:textId="77777777" w:rsidR="00F67F7D" w:rsidRPr="00B8345C" w:rsidRDefault="00F67F7D" w:rsidP="00594252">
            <w:pPr>
              <w:pStyle w:val="TableText"/>
              <w:keepNext w:val="0"/>
              <w:rPr>
                <w:szCs w:val="14"/>
              </w:rPr>
            </w:pPr>
            <w:r>
              <w:rPr>
                <w:szCs w:val="14"/>
              </w:rPr>
              <w:t>–</w:t>
            </w:r>
          </w:p>
        </w:tc>
      </w:tr>
      <w:tr w:rsidR="00F67F7D" w:rsidRPr="00B8345C" w14:paraId="1907AE2B" w14:textId="77777777" w:rsidTr="00466837">
        <w:trPr>
          <w:cantSplit/>
        </w:trPr>
        <w:tc>
          <w:tcPr>
            <w:tcW w:w="852" w:type="dxa"/>
            <w:tcBorders>
              <w:left w:val="nil"/>
            </w:tcBorders>
            <w:shd w:val="clear" w:color="auto" w:fill="auto"/>
          </w:tcPr>
          <w:p w14:paraId="300E7B55" w14:textId="77777777" w:rsidR="00F67F7D" w:rsidRPr="00B8345C" w:rsidRDefault="00F67F7D" w:rsidP="00594252">
            <w:pPr>
              <w:pStyle w:val="TableText"/>
              <w:keepNext w:val="0"/>
              <w:rPr>
                <w:szCs w:val="14"/>
              </w:rPr>
            </w:pPr>
            <w:r>
              <w:t xml:space="preserve">Table </w:t>
            </w:r>
            <w:r>
              <w:rPr>
                <w:noProof/>
              </w:rPr>
              <w:t>5</w:t>
            </w:r>
            <w:r>
              <w:t>.</w:t>
            </w:r>
            <w:r>
              <w:rPr>
                <w:noProof/>
              </w:rPr>
              <w:t>10</w:t>
            </w:r>
          </w:p>
        </w:tc>
        <w:tc>
          <w:tcPr>
            <w:tcW w:w="2140" w:type="dxa"/>
            <w:shd w:val="clear" w:color="auto" w:fill="auto"/>
          </w:tcPr>
          <w:p w14:paraId="369E28F2" w14:textId="77777777" w:rsidR="00F67F7D" w:rsidRPr="00B8345C" w:rsidRDefault="00F67F7D" w:rsidP="00594252">
            <w:pPr>
              <w:pStyle w:val="TableText"/>
              <w:keepNext w:val="0"/>
              <w:rPr>
                <w:szCs w:val="14"/>
              </w:rPr>
            </w:pPr>
            <w:r w:rsidRPr="00B8345C">
              <w:rPr>
                <w:szCs w:val="14"/>
              </w:rPr>
              <w:t xml:space="preserve">Other reasons for using new and emerging technologies: </w:t>
            </w:r>
            <w:r w:rsidRPr="00B8345C">
              <w:rPr>
                <w:rFonts w:cs="ArialMT"/>
                <w:szCs w:val="14"/>
              </w:rPr>
              <w:t>Other</w:t>
            </w:r>
          </w:p>
        </w:tc>
        <w:tc>
          <w:tcPr>
            <w:tcW w:w="3372" w:type="dxa"/>
            <w:shd w:val="clear" w:color="auto" w:fill="auto"/>
          </w:tcPr>
          <w:p w14:paraId="6C95A72D" w14:textId="77777777" w:rsidR="00F67F7D" w:rsidRPr="00B8345C" w:rsidRDefault="00F67F7D" w:rsidP="00594252">
            <w:pPr>
              <w:pStyle w:val="TableText"/>
              <w:keepNext w:val="0"/>
              <w:rPr>
                <w:szCs w:val="14"/>
              </w:rPr>
            </w:pPr>
            <w:r w:rsidRPr="00B8345C">
              <w:rPr>
                <w:szCs w:val="14"/>
              </w:rPr>
              <w:t>2015 Regular ADF with probable disorder vs 2015 Regular ADF with no probable disorder (In those who currently use new and emerging technologies for reasons other than to improve their health and wellbeing)</w:t>
            </w:r>
          </w:p>
        </w:tc>
        <w:tc>
          <w:tcPr>
            <w:tcW w:w="1062" w:type="dxa"/>
            <w:shd w:val="clear" w:color="auto" w:fill="auto"/>
          </w:tcPr>
          <w:p w14:paraId="443B4C54" w14:textId="77777777" w:rsidR="00F67F7D" w:rsidRPr="00B8345C" w:rsidRDefault="00F67F7D" w:rsidP="00594252">
            <w:pPr>
              <w:pStyle w:val="TableText"/>
              <w:keepNext w:val="0"/>
              <w:rPr>
                <w:szCs w:val="14"/>
              </w:rPr>
            </w:pPr>
            <w:r w:rsidRPr="00B8345C">
              <w:rPr>
                <w:szCs w:val="14"/>
              </w:rPr>
              <w:t>0.56 (0.14</w:t>
            </w:r>
            <w:r w:rsidR="009919A9">
              <w:rPr>
                <w:szCs w:val="14"/>
              </w:rPr>
              <w:t>, </w:t>
            </w:r>
            <w:r w:rsidRPr="00B8345C">
              <w:rPr>
                <w:szCs w:val="14"/>
              </w:rPr>
              <w:t>2.16)</w:t>
            </w:r>
          </w:p>
        </w:tc>
        <w:tc>
          <w:tcPr>
            <w:tcW w:w="3089" w:type="dxa"/>
            <w:shd w:val="clear" w:color="auto" w:fill="auto"/>
          </w:tcPr>
          <w:p w14:paraId="31EC0A68"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7581418" w14:textId="77777777" w:rsidR="00F67F7D" w:rsidRPr="00B8345C" w:rsidRDefault="00F67F7D" w:rsidP="00594252">
            <w:pPr>
              <w:pStyle w:val="TableText"/>
              <w:keepNext w:val="0"/>
              <w:rPr>
                <w:szCs w:val="14"/>
              </w:rPr>
            </w:pPr>
            <w:r>
              <w:rPr>
                <w:szCs w:val="14"/>
              </w:rPr>
              <w:t>–</w:t>
            </w:r>
          </w:p>
        </w:tc>
      </w:tr>
      <w:tr w:rsidR="00F67F7D" w:rsidRPr="00B8345C" w14:paraId="6F8D2265" w14:textId="77777777" w:rsidTr="00466837">
        <w:trPr>
          <w:cantSplit/>
        </w:trPr>
        <w:tc>
          <w:tcPr>
            <w:tcW w:w="11520" w:type="dxa"/>
            <w:gridSpan w:val="6"/>
            <w:tcBorders>
              <w:left w:val="nil"/>
              <w:right w:val="nil"/>
            </w:tcBorders>
            <w:shd w:val="clear" w:color="auto" w:fill="auto"/>
          </w:tcPr>
          <w:p w14:paraId="56B16C1B" w14:textId="77777777" w:rsidR="00F67F7D" w:rsidRPr="00B8345C" w:rsidRDefault="00F67F7D" w:rsidP="00594252">
            <w:pPr>
              <w:pStyle w:val="TableText"/>
              <w:keepNext w:val="0"/>
              <w:rPr>
                <w:b/>
                <w:szCs w:val="14"/>
              </w:rPr>
            </w:pPr>
            <w:r w:rsidRPr="00B8345C">
              <w:rPr>
                <w:b/>
                <w:szCs w:val="14"/>
              </w:rPr>
              <w:t xml:space="preserve">6. USE OF THE </w:t>
            </w:r>
            <w:r>
              <w:rPr>
                <w:b/>
                <w:szCs w:val="14"/>
              </w:rPr>
              <w:t>INTERNET</w:t>
            </w:r>
            <w:r w:rsidRPr="00B8345C">
              <w:rPr>
                <w:b/>
                <w:szCs w:val="14"/>
              </w:rPr>
              <w:t xml:space="preserve"> TO SEEK HELP OR INFORMATION FOR OR TO MANAGE MENTAL HEALTH ISSUES MORE BROADLY</w:t>
            </w:r>
          </w:p>
        </w:tc>
      </w:tr>
      <w:tr w:rsidR="00F67F7D" w:rsidRPr="00B8345C" w14:paraId="53C95525" w14:textId="77777777" w:rsidTr="00466837">
        <w:trPr>
          <w:cantSplit/>
        </w:trPr>
        <w:tc>
          <w:tcPr>
            <w:tcW w:w="852" w:type="dxa"/>
            <w:tcBorders>
              <w:left w:val="nil"/>
            </w:tcBorders>
            <w:shd w:val="clear" w:color="auto" w:fill="auto"/>
          </w:tcPr>
          <w:p w14:paraId="146D6DB0" w14:textId="77777777" w:rsidR="00F67F7D" w:rsidRPr="00B8345C" w:rsidRDefault="00F67F7D" w:rsidP="00594252">
            <w:pPr>
              <w:pStyle w:val="TableText"/>
              <w:keepNext w:val="0"/>
              <w:rPr>
                <w:szCs w:val="14"/>
              </w:rPr>
            </w:pPr>
            <w:r>
              <w:t xml:space="preserve">Table </w:t>
            </w:r>
            <w:r>
              <w:rPr>
                <w:noProof/>
              </w:rPr>
              <w:t>6</w:t>
            </w:r>
            <w:r>
              <w:t>.</w:t>
            </w:r>
            <w:r>
              <w:rPr>
                <w:noProof/>
              </w:rPr>
              <w:t>1</w:t>
            </w:r>
          </w:p>
        </w:tc>
        <w:tc>
          <w:tcPr>
            <w:tcW w:w="2140" w:type="dxa"/>
            <w:shd w:val="clear" w:color="auto" w:fill="auto"/>
          </w:tcPr>
          <w:p w14:paraId="4515A91E" w14:textId="77777777" w:rsidR="00F67F7D" w:rsidRPr="00B8345C" w:rsidRDefault="00F67F7D" w:rsidP="00594252">
            <w:pPr>
              <w:pStyle w:val="TableText"/>
              <w:keepNext w:val="0"/>
              <w:rPr>
                <w:szCs w:val="14"/>
              </w:rPr>
            </w:pPr>
            <w:r w:rsidRPr="00B8345C">
              <w:rPr>
                <w:szCs w:val="14"/>
              </w:rPr>
              <w:t xml:space="preserve">Use the </w:t>
            </w:r>
            <w:r>
              <w:rPr>
                <w:szCs w:val="14"/>
              </w:rPr>
              <w:t>internet</w:t>
            </w:r>
            <w:r w:rsidRPr="00B8345C">
              <w:rPr>
                <w:szCs w:val="14"/>
              </w:rPr>
              <w:t xml:space="preserve"> to seek help or information for, or manage, mental health issues </w:t>
            </w:r>
          </w:p>
        </w:tc>
        <w:tc>
          <w:tcPr>
            <w:tcW w:w="3372" w:type="dxa"/>
            <w:shd w:val="clear" w:color="auto" w:fill="auto"/>
          </w:tcPr>
          <w:p w14:paraId="6B05B5DE"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551EFAE9" w14:textId="77777777" w:rsidR="00F67F7D" w:rsidRPr="00B8345C" w:rsidRDefault="00F67F7D" w:rsidP="00594252">
            <w:pPr>
              <w:pStyle w:val="TableText"/>
              <w:keepNext w:val="0"/>
              <w:rPr>
                <w:szCs w:val="14"/>
              </w:rPr>
            </w:pPr>
            <w:r w:rsidRPr="00B8345C">
              <w:rPr>
                <w:szCs w:val="14"/>
              </w:rPr>
              <w:t>1.61 (1.21</w:t>
            </w:r>
            <w:r w:rsidR="009919A9">
              <w:rPr>
                <w:szCs w:val="14"/>
              </w:rPr>
              <w:t>, </w:t>
            </w:r>
            <w:r w:rsidRPr="00B8345C">
              <w:rPr>
                <w:szCs w:val="14"/>
              </w:rPr>
              <w:t>2.13)</w:t>
            </w:r>
          </w:p>
        </w:tc>
        <w:tc>
          <w:tcPr>
            <w:tcW w:w="3089" w:type="dxa"/>
            <w:shd w:val="clear" w:color="auto" w:fill="auto"/>
          </w:tcPr>
          <w:p w14:paraId="208CA0D3" w14:textId="77777777" w:rsidR="00F67F7D" w:rsidRPr="00B8345C" w:rsidRDefault="00F67F7D" w:rsidP="00594252">
            <w:pPr>
              <w:pStyle w:val="TableText"/>
              <w:keepNext w:val="0"/>
              <w:rPr>
                <w:szCs w:val="14"/>
              </w:rPr>
            </w:pPr>
            <w:r w:rsidRPr="00B8345C">
              <w:rPr>
                <w:szCs w:val="14"/>
              </w:rPr>
              <w:t xml:space="preserve">Transitioned ADF (24.5%) were 60% more likely to </w:t>
            </w:r>
            <w:r>
              <w:rPr>
                <w:szCs w:val="14"/>
              </w:rPr>
              <w:t>u</w:t>
            </w:r>
            <w:r w:rsidRPr="00B8345C">
              <w:rPr>
                <w:szCs w:val="14"/>
              </w:rPr>
              <w:t xml:space="preserve">se </w:t>
            </w:r>
            <w:r>
              <w:rPr>
                <w:szCs w:val="14"/>
              </w:rPr>
              <w:t>internet</w:t>
            </w:r>
            <w:r w:rsidRPr="00B8345C">
              <w:rPr>
                <w:szCs w:val="14"/>
              </w:rPr>
              <w:t xml:space="preserve"> for mental health</w:t>
            </w:r>
          </w:p>
        </w:tc>
        <w:tc>
          <w:tcPr>
            <w:tcW w:w="1005" w:type="dxa"/>
            <w:tcBorders>
              <w:right w:val="nil"/>
            </w:tcBorders>
            <w:shd w:val="clear" w:color="auto" w:fill="auto"/>
          </w:tcPr>
          <w:p w14:paraId="4E0292DF" w14:textId="77777777" w:rsidR="00F67F7D" w:rsidRPr="00B8345C" w:rsidRDefault="00F67F7D" w:rsidP="00594252">
            <w:pPr>
              <w:pStyle w:val="TableText"/>
              <w:keepNext w:val="0"/>
              <w:rPr>
                <w:szCs w:val="14"/>
              </w:rPr>
            </w:pPr>
            <w:r w:rsidRPr="00B8345C">
              <w:rPr>
                <w:szCs w:val="14"/>
              </w:rPr>
              <w:t>Moderate</w:t>
            </w:r>
          </w:p>
        </w:tc>
      </w:tr>
      <w:tr w:rsidR="00F67F7D" w:rsidRPr="00B8345C" w14:paraId="57916011" w14:textId="77777777" w:rsidTr="00466837">
        <w:trPr>
          <w:cantSplit/>
        </w:trPr>
        <w:tc>
          <w:tcPr>
            <w:tcW w:w="852" w:type="dxa"/>
            <w:tcBorders>
              <w:left w:val="nil"/>
            </w:tcBorders>
            <w:shd w:val="clear" w:color="auto" w:fill="auto"/>
          </w:tcPr>
          <w:p w14:paraId="6DD44800" w14:textId="77777777" w:rsidR="00F67F7D" w:rsidRPr="00B8345C" w:rsidRDefault="00F67F7D" w:rsidP="00594252">
            <w:pPr>
              <w:pStyle w:val="TableText"/>
              <w:keepNext w:val="0"/>
              <w:rPr>
                <w:szCs w:val="14"/>
              </w:rPr>
            </w:pPr>
            <w:r>
              <w:t xml:space="preserve">Table </w:t>
            </w:r>
            <w:r>
              <w:rPr>
                <w:noProof/>
              </w:rPr>
              <w:t>6</w:t>
            </w:r>
            <w:r>
              <w:t>.</w:t>
            </w:r>
            <w:r>
              <w:rPr>
                <w:noProof/>
              </w:rPr>
              <w:t>4</w:t>
            </w:r>
          </w:p>
        </w:tc>
        <w:tc>
          <w:tcPr>
            <w:tcW w:w="2140" w:type="dxa"/>
            <w:shd w:val="clear" w:color="auto" w:fill="auto"/>
          </w:tcPr>
          <w:p w14:paraId="03DB26DC" w14:textId="77777777" w:rsidR="00F67F7D" w:rsidRPr="00B8345C" w:rsidRDefault="00F67F7D" w:rsidP="00594252">
            <w:pPr>
              <w:pStyle w:val="TableText"/>
              <w:keepNext w:val="0"/>
              <w:rPr>
                <w:szCs w:val="14"/>
              </w:rPr>
            </w:pPr>
            <w:r w:rsidRPr="00B8345C">
              <w:rPr>
                <w:szCs w:val="14"/>
              </w:rPr>
              <w:t>Received the kind of information needed in relation to mental health</w:t>
            </w:r>
          </w:p>
        </w:tc>
        <w:tc>
          <w:tcPr>
            <w:tcW w:w="3372" w:type="dxa"/>
            <w:shd w:val="clear" w:color="auto" w:fill="auto"/>
          </w:tcPr>
          <w:p w14:paraId="096E66F8" w14:textId="77777777" w:rsidR="00F67F7D" w:rsidRPr="00B8345C" w:rsidRDefault="00F67F7D" w:rsidP="00594252">
            <w:pPr>
              <w:pStyle w:val="TableText"/>
              <w:keepNext w:val="0"/>
              <w:rPr>
                <w:szCs w:val="14"/>
              </w:rPr>
            </w:pPr>
            <w:r w:rsidRPr="00B8345C">
              <w:rPr>
                <w:szCs w:val="14"/>
              </w:rPr>
              <w:t xml:space="preserve">Transitioned ADF vs 2015 Regular ADF (In those who used the </w:t>
            </w:r>
            <w:r>
              <w:rPr>
                <w:szCs w:val="14"/>
              </w:rPr>
              <w:t>internet</w:t>
            </w:r>
            <w:r w:rsidRPr="00B8345C">
              <w:rPr>
                <w:szCs w:val="14"/>
              </w:rPr>
              <w:t xml:space="preserve"> to seek help</w:t>
            </w:r>
            <w:r>
              <w:rPr>
                <w:szCs w:val="14"/>
              </w:rPr>
              <w:t xml:space="preserve"> or</w:t>
            </w:r>
            <w:r w:rsidRPr="00B8345C">
              <w:rPr>
                <w:szCs w:val="14"/>
              </w:rPr>
              <w:t xml:space="preserve"> information or manage mental health issues)</w:t>
            </w:r>
          </w:p>
        </w:tc>
        <w:tc>
          <w:tcPr>
            <w:tcW w:w="1062" w:type="dxa"/>
            <w:shd w:val="clear" w:color="auto" w:fill="auto"/>
          </w:tcPr>
          <w:p w14:paraId="6B70EF8A" w14:textId="77777777" w:rsidR="00F67F7D" w:rsidRPr="00B8345C" w:rsidRDefault="00F67F7D" w:rsidP="00594252">
            <w:pPr>
              <w:pStyle w:val="TableText"/>
              <w:keepNext w:val="0"/>
              <w:rPr>
                <w:szCs w:val="14"/>
              </w:rPr>
            </w:pPr>
            <w:r w:rsidRPr="00B8345C">
              <w:rPr>
                <w:szCs w:val="14"/>
              </w:rPr>
              <w:t>0.89 (0.28</w:t>
            </w:r>
            <w:r w:rsidR="009919A9">
              <w:rPr>
                <w:szCs w:val="14"/>
              </w:rPr>
              <w:t>, </w:t>
            </w:r>
            <w:r w:rsidRPr="00B8345C">
              <w:rPr>
                <w:szCs w:val="14"/>
              </w:rPr>
              <w:t>2.88)</w:t>
            </w:r>
          </w:p>
        </w:tc>
        <w:tc>
          <w:tcPr>
            <w:tcW w:w="3089" w:type="dxa"/>
            <w:shd w:val="clear" w:color="auto" w:fill="auto"/>
          </w:tcPr>
          <w:p w14:paraId="66A26ADB"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7FEA38C8" w14:textId="77777777" w:rsidR="00F67F7D" w:rsidRPr="00B8345C" w:rsidRDefault="00F67F7D" w:rsidP="00594252">
            <w:pPr>
              <w:pStyle w:val="TableText"/>
              <w:keepNext w:val="0"/>
              <w:rPr>
                <w:szCs w:val="14"/>
              </w:rPr>
            </w:pPr>
            <w:r>
              <w:rPr>
                <w:szCs w:val="14"/>
              </w:rPr>
              <w:t>–</w:t>
            </w:r>
          </w:p>
        </w:tc>
      </w:tr>
      <w:tr w:rsidR="00F67F7D" w:rsidRPr="00B8345C" w14:paraId="1A676E61" w14:textId="77777777" w:rsidTr="00466837">
        <w:trPr>
          <w:cantSplit/>
        </w:trPr>
        <w:tc>
          <w:tcPr>
            <w:tcW w:w="852" w:type="dxa"/>
            <w:tcBorders>
              <w:left w:val="nil"/>
            </w:tcBorders>
            <w:shd w:val="clear" w:color="auto" w:fill="auto"/>
          </w:tcPr>
          <w:p w14:paraId="7F1F5F7D" w14:textId="77777777" w:rsidR="00F67F7D" w:rsidRPr="00B8345C" w:rsidRDefault="00F67F7D" w:rsidP="00594252">
            <w:pPr>
              <w:pStyle w:val="TableText"/>
              <w:keepNext w:val="0"/>
              <w:rPr>
                <w:szCs w:val="14"/>
              </w:rPr>
            </w:pPr>
            <w:r>
              <w:t xml:space="preserve">Table </w:t>
            </w:r>
            <w:r>
              <w:rPr>
                <w:noProof/>
              </w:rPr>
              <w:t>6</w:t>
            </w:r>
            <w:r>
              <w:t>.</w:t>
            </w:r>
            <w:r>
              <w:rPr>
                <w:noProof/>
              </w:rPr>
              <w:t>6</w:t>
            </w:r>
          </w:p>
        </w:tc>
        <w:tc>
          <w:tcPr>
            <w:tcW w:w="2140" w:type="dxa"/>
            <w:shd w:val="clear" w:color="auto" w:fill="auto"/>
          </w:tcPr>
          <w:p w14:paraId="719F2D27" w14:textId="77777777" w:rsidR="00F67F7D" w:rsidRPr="00B8345C" w:rsidRDefault="00F67F7D" w:rsidP="00594252">
            <w:pPr>
              <w:pStyle w:val="TableText"/>
              <w:keepNext w:val="0"/>
              <w:rPr>
                <w:szCs w:val="14"/>
              </w:rPr>
            </w:pPr>
            <w:r w:rsidRPr="00B8345C">
              <w:rPr>
                <w:szCs w:val="14"/>
              </w:rPr>
              <w:t xml:space="preserve">The </w:t>
            </w:r>
            <w:r>
              <w:rPr>
                <w:szCs w:val="14"/>
              </w:rPr>
              <w:t>internet</w:t>
            </w:r>
            <w:r w:rsidRPr="00B8345C">
              <w:rPr>
                <w:szCs w:val="14"/>
              </w:rPr>
              <w:t xml:space="preserve"> helped deal more effectively with mental health problems</w:t>
            </w:r>
          </w:p>
        </w:tc>
        <w:tc>
          <w:tcPr>
            <w:tcW w:w="3372" w:type="dxa"/>
            <w:shd w:val="clear" w:color="auto" w:fill="auto"/>
          </w:tcPr>
          <w:p w14:paraId="02941CFE" w14:textId="77777777" w:rsidR="00F67F7D" w:rsidRPr="00B8345C" w:rsidRDefault="00F67F7D" w:rsidP="00594252">
            <w:pPr>
              <w:pStyle w:val="TableText"/>
              <w:keepNext w:val="0"/>
              <w:rPr>
                <w:szCs w:val="14"/>
              </w:rPr>
            </w:pPr>
            <w:r w:rsidRPr="00B8345C">
              <w:rPr>
                <w:szCs w:val="14"/>
              </w:rPr>
              <w:t xml:space="preserve">Transitioned ADF vs 2015 Regular ADF (In those who used the </w:t>
            </w:r>
            <w:r>
              <w:rPr>
                <w:szCs w:val="14"/>
              </w:rPr>
              <w:t>internet</w:t>
            </w:r>
            <w:r w:rsidRPr="00B8345C">
              <w:rPr>
                <w:szCs w:val="14"/>
              </w:rPr>
              <w:t xml:space="preserve"> to seek help</w:t>
            </w:r>
            <w:r>
              <w:rPr>
                <w:szCs w:val="14"/>
              </w:rPr>
              <w:t xml:space="preserve"> or</w:t>
            </w:r>
            <w:r w:rsidRPr="00B8345C">
              <w:rPr>
                <w:szCs w:val="14"/>
              </w:rPr>
              <w:t xml:space="preserve"> information or manage mental health issues)</w:t>
            </w:r>
          </w:p>
        </w:tc>
        <w:tc>
          <w:tcPr>
            <w:tcW w:w="1062" w:type="dxa"/>
            <w:shd w:val="clear" w:color="auto" w:fill="auto"/>
          </w:tcPr>
          <w:p w14:paraId="0728FE70" w14:textId="77777777" w:rsidR="00F67F7D" w:rsidRPr="00B8345C" w:rsidRDefault="00F67F7D" w:rsidP="00594252">
            <w:pPr>
              <w:pStyle w:val="TableText"/>
              <w:keepNext w:val="0"/>
              <w:rPr>
                <w:szCs w:val="14"/>
              </w:rPr>
            </w:pPr>
            <w:r w:rsidRPr="00B8345C">
              <w:rPr>
                <w:szCs w:val="14"/>
              </w:rPr>
              <w:t>0.72 (0.41</w:t>
            </w:r>
            <w:r w:rsidR="009919A9">
              <w:rPr>
                <w:szCs w:val="14"/>
              </w:rPr>
              <w:t>, </w:t>
            </w:r>
            <w:r w:rsidRPr="00B8345C">
              <w:rPr>
                <w:szCs w:val="14"/>
              </w:rPr>
              <w:t>1.28)</w:t>
            </w:r>
          </w:p>
        </w:tc>
        <w:tc>
          <w:tcPr>
            <w:tcW w:w="3089" w:type="dxa"/>
            <w:shd w:val="clear" w:color="auto" w:fill="auto"/>
          </w:tcPr>
          <w:p w14:paraId="4AB5D113"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3C22B430" w14:textId="77777777" w:rsidR="00F67F7D" w:rsidRPr="00B8345C" w:rsidRDefault="00F67F7D" w:rsidP="00594252">
            <w:pPr>
              <w:pStyle w:val="TableText"/>
              <w:keepNext w:val="0"/>
              <w:rPr>
                <w:szCs w:val="14"/>
              </w:rPr>
            </w:pPr>
            <w:r>
              <w:rPr>
                <w:szCs w:val="14"/>
              </w:rPr>
              <w:t>–</w:t>
            </w:r>
          </w:p>
        </w:tc>
      </w:tr>
      <w:tr w:rsidR="00F67F7D" w:rsidRPr="00B8345C" w14:paraId="6D871C26" w14:textId="77777777" w:rsidTr="00466837">
        <w:trPr>
          <w:cantSplit/>
        </w:trPr>
        <w:tc>
          <w:tcPr>
            <w:tcW w:w="852" w:type="dxa"/>
            <w:tcBorders>
              <w:left w:val="nil"/>
            </w:tcBorders>
            <w:shd w:val="clear" w:color="auto" w:fill="auto"/>
          </w:tcPr>
          <w:p w14:paraId="0D024A05" w14:textId="77777777" w:rsidR="00F67F7D" w:rsidRPr="00B8345C" w:rsidRDefault="00F67F7D" w:rsidP="00594252">
            <w:pPr>
              <w:pStyle w:val="TableText"/>
              <w:keepNext w:val="0"/>
              <w:rPr>
                <w:szCs w:val="14"/>
              </w:rPr>
            </w:pPr>
            <w:r w:rsidRPr="00443625">
              <w:t xml:space="preserve">Table </w:t>
            </w:r>
            <w:r>
              <w:rPr>
                <w:noProof/>
              </w:rPr>
              <w:t>6</w:t>
            </w:r>
            <w:r>
              <w:t>.</w:t>
            </w:r>
            <w:r>
              <w:rPr>
                <w:noProof/>
              </w:rPr>
              <w:t>8</w:t>
            </w:r>
          </w:p>
        </w:tc>
        <w:tc>
          <w:tcPr>
            <w:tcW w:w="2140" w:type="dxa"/>
            <w:shd w:val="clear" w:color="auto" w:fill="auto"/>
          </w:tcPr>
          <w:p w14:paraId="2BDE5FEF" w14:textId="77777777" w:rsidR="00F67F7D" w:rsidRPr="00B8345C" w:rsidRDefault="00F67F7D" w:rsidP="00594252">
            <w:pPr>
              <w:pStyle w:val="TableText"/>
              <w:keepNext w:val="0"/>
              <w:rPr>
                <w:szCs w:val="14"/>
              </w:rPr>
            </w:pPr>
            <w:r w:rsidRPr="00B8345C">
              <w:rPr>
                <w:szCs w:val="14"/>
              </w:rPr>
              <w:t xml:space="preserve">Satisfaction with the information received on the </w:t>
            </w:r>
            <w:r>
              <w:rPr>
                <w:szCs w:val="14"/>
              </w:rPr>
              <w:t>internet</w:t>
            </w:r>
            <w:r w:rsidRPr="00B8345C">
              <w:rPr>
                <w:szCs w:val="14"/>
              </w:rPr>
              <w:t xml:space="preserve"> in relation to mental health</w:t>
            </w:r>
          </w:p>
        </w:tc>
        <w:tc>
          <w:tcPr>
            <w:tcW w:w="3372" w:type="dxa"/>
            <w:shd w:val="clear" w:color="auto" w:fill="auto"/>
          </w:tcPr>
          <w:p w14:paraId="0D131D8F" w14:textId="77777777" w:rsidR="00F67F7D" w:rsidRPr="00B8345C" w:rsidRDefault="00F67F7D" w:rsidP="00594252">
            <w:pPr>
              <w:pStyle w:val="TableText"/>
              <w:keepNext w:val="0"/>
              <w:rPr>
                <w:szCs w:val="14"/>
              </w:rPr>
            </w:pPr>
            <w:r w:rsidRPr="00B8345C">
              <w:rPr>
                <w:szCs w:val="14"/>
              </w:rPr>
              <w:t xml:space="preserve">Transitioned ADF vs 2015 Regular ADF (In those who used the </w:t>
            </w:r>
            <w:r>
              <w:rPr>
                <w:szCs w:val="14"/>
              </w:rPr>
              <w:t>internet</w:t>
            </w:r>
            <w:r w:rsidRPr="00B8345C">
              <w:rPr>
                <w:szCs w:val="14"/>
              </w:rPr>
              <w:t xml:space="preserve"> to seek help</w:t>
            </w:r>
            <w:r>
              <w:rPr>
                <w:szCs w:val="14"/>
              </w:rPr>
              <w:t xml:space="preserve"> or</w:t>
            </w:r>
            <w:r w:rsidRPr="00B8345C">
              <w:rPr>
                <w:szCs w:val="14"/>
              </w:rPr>
              <w:t xml:space="preserve"> information or manage mental health issues)</w:t>
            </w:r>
          </w:p>
        </w:tc>
        <w:tc>
          <w:tcPr>
            <w:tcW w:w="1062" w:type="dxa"/>
            <w:shd w:val="clear" w:color="auto" w:fill="auto"/>
          </w:tcPr>
          <w:p w14:paraId="3161A03C" w14:textId="77777777" w:rsidR="00F67F7D" w:rsidRPr="00B8345C" w:rsidRDefault="00F67F7D" w:rsidP="00594252">
            <w:pPr>
              <w:pStyle w:val="TableText"/>
              <w:keepNext w:val="0"/>
              <w:rPr>
                <w:szCs w:val="14"/>
              </w:rPr>
            </w:pPr>
            <w:r w:rsidRPr="00B8345C">
              <w:rPr>
                <w:szCs w:val="14"/>
              </w:rPr>
              <w:t>0.72 (0.33</w:t>
            </w:r>
            <w:r w:rsidR="009919A9">
              <w:rPr>
                <w:szCs w:val="14"/>
              </w:rPr>
              <w:t>, </w:t>
            </w:r>
            <w:r w:rsidRPr="00B8345C">
              <w:rPr>
                <w:szCs w:val="14"/>
              </w:rPr>
              <w:t>1.59)</w:t>
            </w:r>
          </w:p>
        </w:tc>
        <w:tc>
          <w:tcPr>
            <w:tcW w:w="3089" w:type="dxa"/>
            <w:shd w:val="clear" w:color="auto" w:fill="auto"/>
          </w:tcPr>
          <w:p w14:paraId="094CFADD"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9409453" w14:textId="77777777" w:rsidR="00F67F7D" w:rsidRPr="00B8345C" w:rsidRDefault="00F67F7D" w:rsidP="00594252">
            <w:pPr>
              <w:pStyle w:val="TableText"/>
              <w:keepNext w:val="0"/>
              <w:rPr>
                <w:szCs w:val="14"/>
              </w:rPr>
            </w:pPr>
            <w:r>
              <w:rPr>
                <w:szCs w:val="14"/>
              </w:rPr>
              <w:t>–</w:t>
            </w:r>
          </w:p>
        </w:tc>
      </w:tr>
      <w:tr w:rsidR="00F67F7D" w:rsidRPr="00B8345C" w14:paraId="5AB13CB6" w14:textId="77777777" w:rsidTr="00466837">
        <w:trPr>
          <w:cantSplit/>
        </w:trPr>
        <w:tc>
          <w:tcPr>
            <w:tcW w:w="11520" w:type="dxa"/>
            <w:gridSpan w:val="6"/>
            <w:tcBorders>
              <w:left w:val="nil"/>
              <w:right w:val="nil"/>
            </w:tcBorders>
            <w:shd w:val="clear" w:color="auto" w:fill="auto"/>
          </w:tcPr>
          <w:p w14:paraId="734FE280" w14:textId="77777777" w:rsidR="00F67F7D" w:rsidRPr="00B8345C" w:rsidRDefault="00F67F7D" w:rsidP="00594252">
            <w:pPr>
              <w:pStyle w:val="TableText"/>
              <w:keepNext w:val="0"/>
              <w:rPr>
                <w:b/>
                <w:szCs w:val="14"/>
              </w:rPr>
            </w:pPr>
            <w:r w:rsidRPr="00B8345C">
              <w:rPr>
                <w:b/>
                <w:szCs w:val="14"/>
              </w:rPr>
              <w:t xml:space="preserve">7. USE OF THE </w:t>
            </w:r>
            <w:r>
              <w:rPr>
                <w:b/>
                <w:szCs w:val="14"/>
              </w:rPr>
              <w:t>INTERNET</w:t>
            </w:r>
            <w:r w:rsidRPr="00B8345C">
              <w:rPr>
                <w:b/>
                <w:szCs w:val="14"/>
              </w:rPr>
              <w:t xml:space="preserve"> FOR ONE’S OWN MENTAL HEALTH </w:t>
            </w:r>
          </w:p>
        </w:tc>
      </w:tr>
      <w:tr w:rsidR="00F67F7D" w:rsidRPr="00B8345C" w14:paraId="3F335CA1" w14:textId="77777777" w:rsidTr="00466837">
        <w:trPr>
          <w:cantSplit/>
        </w:trPr>
        <w:tc>
          <w:tcPr>
            <w:tcW w:w="852" w:type="dxa"/>
            <w:tcBorders>
              <w:left w:val="nil"/>
            </w:tcBorders>
            <w:shd w:val="clear" w:color="auto" w:fill="auto"/>
          </w:tcPr>
          <w:p w14:paraId="5C7307D4" w14:textId="77777777" w:rsidR="00F67F7D" w:rsidRPr="00B8345C" w:rsidRDefault="00F67F7D" w:rsidP="00594252">
            <w:pPr>
              <w:pStyle w:val="TableText"/>
              <w:keepNext w:val="0"/>
              <w:rPr>
                <w:szCs w:val="14"/>
              </w:rPr>
            </w:pPr>
            <w:r w:rsidRPr="00032422">
              <w:t xml:space="preserve">Table </w:t>
            </w:r>
            <w:r>
              <w:rPr>
                <w:noProof/>
              </w:rPr>
              <w:t>7</w:t>
            </w:r>
            <w:r>
              <w:t>.</w:t>
            </w:r>
            <w:r>
              <w:rPr>
                <w:noProof/>
              </w:rPr>
              <w:t>1</w:t>
            </w:r>
          </w:p>
        </w:tc>
        <w:tc>
          <w:tcPr>
            <w:tcW w:w="2140" w:type="dxa"/>
            <w:shd w:val="clear" w:color="auto" w:fill="auto"/>
          </w:tcPr>
          <w:p w14:paraId="44003791" w14:textId="77777777" w:rsidR="00F67F7D" w:rsidRPr="00B8345C" w:rsidRDefault="00F67F7D" w:rsidP="00594252">
            <w:pPr>
              <w:pStyle w:val="TableText"/>
              <w:keepNext w:val="0"/>
              <w:rPr>
                <w:szCs w:val="14"/>
              </w:rPr>
            </w:pPr>
            <w:r w:rsidRPr="00B8345C">
              <w:rPr>
                <w:szCs w:val="14"/>
              </w:rPr>
              <w:t xml:space="preserve">Frequency of use </w:t>
            </w:r>
            <w:r>
              <w:rPr>
                <w:szCs w:val="14"/>
              </w:rPr>
              <w:t xml:space="preserve">of </w:t>
            </w:r>
            <w:r w:rsidRPr="00B8345C">
              <w:rPr>
                <w:szCs w:val="14"/>
              </w:rPr>
              <w:t xml:space="preserve">the </w:t>
            </w:r>
            <w:r>
              <w:rPr>
                <w:szCs w:val="14"/>
              </w:rPr>
              <w:t>internet</w:t>
            </w:r>
            <w:r w:rsidRPr="00B8345C">
              <w:rPr>
                <w:szCs w:val="14"/>
              </w:rPr>
              <w:t xml:space="preserve"> to seek help or access information about mental health</w:t>
            </w:r>
          </w:p>
        </w:tc>
        <w:tc>
          <w:tcPr>
            <w:tcW w:w="3372" w:type="dxa"/>
            <w:shd w:val="clear" w:color="auto" w:fill="auto"/>
          </w:tcPr>
          <w:p w14:paraId="57609090" w14:textId="77777777" w:rsidR="00F67F7D" w:rsidRPr="00B8345C" w:rsidRDefault="00F67F7D" w:rsidP="00594252">
            <w:pPr>
              <w:pStyle w:val="TableText"/>
              <w:keepNext w:val="0"/>
              <w:rPr>
                <w:szCs w:val="14"/>
              </w:rPr>
            </w:pPr>
            <w:r w:rsidRPr="00B8345C">
              <w:rPr>
                <w:szCs w:val="14"/>
              </w:rPr>
              <w:t>Transitioned ADF vs 2015 Regular ADF</w:t>
            </w:r>
          </w:p>
        </w:tc>
        <w:tc>
          <w:tcPr>
            <w:tcW w:w="1062" w:type="dxa"/>
            <w:shd w:val="clear" w:color="auto" w:fill="auto"/>
          </w:tcPr>
          <w:p w14:paraId="2E96CAD1" w14:textId="77777777" w:rsidR="00F67F7D" w:rsidRPr="00B8345C" w:rsidRDefault="00F67F7D" w:rsidP="00594252">
            <w:pPr>
              <w:pStyle w:val="TableText"/>
              <w:keepNext w:val="0"/>
              <w:rPr>
                <w:szCs w:val="14"/>
              </w:rPr>
            </w:pPr>
            <w:r w:rsidRPr="00B8345C">
              <w:rPr>
                <w:szCs w:val="14"/>
              </w:rPr>
              <w:t>1.50 (0.81</w:t>
            </w:r>
            <w:r w:rsidR="009919A9">
              <w:rPr>
                <w:szCs w:val="14"/>
              </w:rPr>
              <w:t>, </w:t>
            </w:r>
            <w:r w:rsidRPr="00B8345C">
              <w:rPr>
                <w:szCs w:val="14"/>
              </w:rPr>
              <w:t>2.80)</w:t>
            </w:r>
          </w:p>
        </w:tc>
        <w:tc>
          <w:tcPr>
            <w:tcW w:w="3089" w:type="dxa"/>
            <w:shd w:val="clear" w:color="auto" w:fill="auto"/>
          </w:tcPr>
          <w:p w14:paraId="69EF79FB"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23278C05" w14:textId="77777777" w:rsidR="00F67F7D" w:rsidRPr="00B8345C" w:rsidRDefault="00F67F7D" w:rsidP="00594252">
            <w:pPr>
              <w:pStyle w:val="TableText"/>
              <w:keepNext w:val="0"/>
              <w:rPr>
                <w:szCs w:val="14"/>
              </w:rPr>
            </w:pPr>
            <w:r>
              <w:rPr>
                <w:szCs w:val="14"/>
              </w:rPr>
              <w:t>–</w:t>
            </w:r>
          </w:p>
        </w:tc>
      </w:tr>
      <w:tr w:rsidR="00F67F7D" w:rsidRPr="00B8345C" w14:paraId="38040FDF" w14:textId="77777777" w:rsidTr="00466837">
        <w:trPr>
          <w:cantSplit/>
        </w:trPr>
        <w:tc>
          <w:tcPr>
            <w:tcW w:w="852" w:type="dxa"/>
            <w:tcBorders>
              <w:left w:val="nil"/>
            </w:tcBorders>
            <w:shd w:val="clear" w:color="auto" w:fill="auto"/>
          </w:tcPr>
          <w:p w14:paraId="30756AE6" w14:textId="77777777" w:rsidR="00F67F7D" w:rsidRPr="00B8345C" w:rsidRDefault="00F67F7D" w:rsidP="00594252">
            <w:pPr>
              <w:pStyle w:val="TableText"/>
              <w:keepNext w:val="0"/>
              <w:rPr>
                <w:szCs w:val="14"/>
              </w:rPr>
            </w:pPr>
            <w:r>
              <w:t xml:space="preserve">Table </w:t>
            </w:r>
            <w:r>
              <w:rPr>
                <w:noProof/>
              </w:rPr>
              <w:t>7</w:t>
            </w:r>
            <w:r>
              <w:t>.</w:t>
            </w:r>
            <w:r>
              <w:rPr>
                <w:noProof/>
              </w:rPr>
              <w:t>3</w:t>
            </w:r>
          </w:p>
        </w:tc>
        <w:tc>
          <w:tcPr>
            <w:tcW w:w="2140" w:type="dxa"/>
            <w:shd w:val="clear" w:color="auto" w:fill="auto"/>
          </w:tcPr>
          <w:p w14:paraId="2392CE4D" w14:textId="77777777" w:rsidR="00F67F7D" w:rsidRPr="00B8345C" w:rsidRDefault="00F67F7D" w:rsidP="00594252">
            <w:pPr>
              <w:pStyle w:val="TableText"/>
              <w:keepNext w:val="0"/>
              <w:rPr>
                <w:szCs w:val="14"/>
              </w:rPr>
            </w:pPr>
            <w:r w:rsidRPr="00B8345C">
              <w:rPr>
                <w:szCs w:val="14"/>
              </w:rPr>
              <w:t xml:space="preserve">Time most likely to use the </w:t>
            </w:r>
            <w:r>
              <w:rPr>
                <w:szCs w:val="14"/>
              </w:rPr>
              <w:t>internet</w:t>
            </w:r>
            <w:r w:rsidRPr="00B8345C">
              <w:rPr>
                <w:szCs w:val="14"/>
              </w:rPr>
              <w:t xml:space="preserve"> to seek help or access information about mental health</w:t>
            </w:r>
          </w:p>
        </w:tc>
        <w:tc>
          <w:tcPr>
            <w:tcW w:w="3372" w:type="dxa"/>
            <w:shd w:val="clear" w:color="auto" w:fill="auto"/>
          </w:tcPr>
          <w:p w14:paraId="52012428" w14:textId="77777777" w:rsidR="00F67F7D" w:rsidRPr="00B8345C" w:rsidRDefault="00F67F7D" w:rsidP="00594252">
            <w:pPr>
              <w:pStyle w:val="TableText"/>
              <w:keepNext w:val="0"/>
              <w:rPr>
                <w:szCs w:val="14"/>
              </w:rPr>
            </w:pPr>
            <w:r w:rsidRPr="00B8345C">
              <w:rPr>
                <w:szCs w:val="14"/>
              </w:rPr>
              <w:t xml:space="preserve">Transitioned ADF vs 2015 Regular ADF (In those who used the </w:t>
            </w:r>
            <w:r>
              <w:rPr>
                <w:szCs w:val="14"/>
              </w:rPr>
              <w:t>internet</w:t>
            </w:r>
            <w:r w:rsidRPr="00B8345C">
              <w:rPr>
                <w:szCs w:val="14"/>
              </w:rPr>
              <w:t xml:space="preserve"> to seek help</w:t>
            </w:r>
            <w:r>
              <w:rPr>
                <w:szCs w:val="14"/>
              </w:rPr>
              <w:t xml:space="preserve"> or</w:t>
            </w:r>
            <w:r w:rsidRPr="00B8345C">
              <w:rPr>
                <w:szCs w:val="14"/>
              </w:rPr>
              <w:t xml:space="preserve"> information or manage mental health issues)</w:t>
            </w:r>
          </w:p>
        </w:tc>
        <w:tc>
          <w:tcPr>
            <w:tcW w:w="1062" w:type="dxa"/>
            <w:shd w:val="clear" w:color="auto" w:fill="auto"/>
          </w:tcPr>
          <w:p w14:paraId="10D4F79D" w14:textId="77777777" w:rsidR="00F67F7D" w:rsidRPr="00B8345C" w:rsidRDefault="00F67F7D" w:rsidP="00594252">
            <w:pPr>
              <w:pStyle w:val="TableText"/>
              <w:keepNext w:val="0"/>
              <w:rPr>
                <w:szCs w:val="14"/>
              </w:rPr>
            </w:pPr>
            <w:r w:rsidRPr="00B8345C">
              <w:rPr>
                <w:szCs w:val="14"/>
              </w:rPr>
              <w:t>0.68 (0.40</w:t>
            </w:r>
            <w:r w:rsidR="009919A9">
              <w:rPr>
                <w:szCs w:val="14"/>
              </w:rPr>
              <w:t>, </w:t>
            </w:r>
            <w:r w:rsidRPr="00B8345C">
              <w:rPr>
                <w:szCs w:val="14"/>
              </w:rPr>
              <w:t>1.15)</w:t>
            </w:r>
          </w:p>
        </w:tc>
        <w:tc>
          <w:tcPr>
            <w:tcW w:w="3089" w:type="dxa"/>
            <w:shd w:val="clear" w:color="auto" w:fill="auto"/>
          </w:tcPr>
          <w:p w14:paraId="552BF6C9"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12A75211" w14:textId="77777777" w:rsidR="00F67F7D" w:rsidRPr="00B8345C" w:rsidRDefault="00F67F7D" w:rsidP="00594252">
            <w:pPr>
              <w:pStyle w:val="TableText"/>
              <w:keepNext w:val="0"/>
              <w:rPr>
                <w:szCs w:val="14"/>
              </w:rPr>
            </w:pPr>
            <w:r>
              <w:rPr>
                <w:szCs w:val="14"/>
              </w:rPr>
              <w:t>–</w:t>
            </w:r>
          </w:p>
        </w:tc>
      </w:tr>
      <w:tr w:rsidR="00F67F7D" w:rsidRPr="00B8345C" w14:paraId="76616580" w14:textId="77777777" w:rsidTr="00466837">
        <w:trPr>
          <w:cantSplit/>
        </w:trPr>
        <w:tc>
          <w:tcPr>
            <w:tcW w:w="852" w:type="dxa"/>
            <w:tcBorders>
              <w:left w:val="nil"/>
            </w:tcBorders>
            <w:shd w:val="clear" w:color="auto" w:fill="auto"/>
          </w:tcPr>
          <w:p w14:paraId="0EE1B29C" w14:textId="77777777" w:rsidR="00F67F7D" w:rsidRPr="00B8345C" w:rsidRDefault="00F67F7D" w:rsidP="00594252">
            <w:pPr>
              <w:pStyle w:val="TableText"/>
              <w:keepNext w:val="0"/>
              <w:rPr>
                <w:szCs w:val="14"/>
              </w:rPr>
            </w:pPr>
            <w:r>
              <w:t xml:space="preserve">Table </w:t>
            </w:r>
            <w:r>
              <w:rPr>
                <w:noProof/>
              </w:rPr>
              <w:t>7</w:t>
            </w:r>
            <w:r>
              <w:t>.</w:t>
            </w:r>
            <w:r>
              <w:rPr>
                <w:noProof/>
              </w:rPr>
              <w:t>5</w:t>
            </w:r>
          </w:p>
        </w:tc>
        <w:tc>
          <w:tcPr>
            <w:tcW w:w="2140" w:type="dxa"/>
            <w:shd w:val="clear" w:color="auto" w:fill="auto"/>
          </w:tcPr>
          <w:p w14:paraId="038DC0ED" w14:textId="77777777" w:rsidR="00F67F7D" w:rsidRPr="00B8345C" w:rsidRDefault="00F67F7D" w:rsidP="00594252">
            <w:pPr>
              <w:pStyle w:val="TableText"/>
              <w:keepNext w:val="0"/>
              <w:rPr>
                <w:szCs w:val="14"/>
              </w:rPr>
            </w:pPr>
            <w:r w:rsidRPr="00B8345C">
              <w:rPr>
                <w:szCs w:val="14"/>
              </w:rPr>
              <w:t xml:space="preserve">Talked about your mental health on the </w:t>
            </w:r>
            <w:r>
              <w:rPr>
                <w:szCs w:val="14"/>
              </w:rPr>
              <w:t>internet</w:t>
            </w:r>
            <w:r w:rsidRPr="00B8345C">
              <w:rPr>
                <w:szCs w:val="14"/>
              </w:rPr>
              <w:t xml:space="preserve"> with peer, family member or friend</w:t>
            </w:r>
          </w:p>
        </w:tc>
        <w:tc>
          <w:tcPr>
            <w:tcW w:w="3372" w:type="dxa"/>
            <w:shd w:val="clear" w:color="auto" w:fill="auto"/>
          </w:tcPr>
          <w:p w14:paraId="702EE4B0" w14:textId="77777777" w:rsidR="00F67F7D" w:rsidRPr="00B8345C" w:rsidRDefault="00F67F7D" w:rsidP="00594252">
            <w:pPr>
              <w:pStyle w:val="TableText"/>
              <w:keepNext w:val="0"/>
              <w:rPr>
                <w:szCs w:val="14"/>
              </w:rPr>
            </w:pPr>
            <w:r w:rsidRPr="00B8345C">
              <w:rPr>
                <w:szCs w:val="14"/>
              </w:rPr>
              <w:t xml:space="preserve">Transitioned ADF vs 2015 Regular ADF (In those who used the </w:t>
            </w:r>
            <w:r>
              <w:rPr>
                <w:szCs w:val="14"/>
              </w:rPr>
              <w:t>internet</w:t>
            </w:r>
            <w:r w:rsidRPr="00B8345C">
              <w:rPr>
                <w:szCs w:val="14"/>
              </w:rPr>
              <w:t xml:space="preserve"> to seek help</w:t>
            </w:r>
            <w:r>
              <w:rPr>
                <w:szCs w:val="14"/>
              </w:rPr>
              <w:t xml:space="preserve"> or</w:t>
            </w:r>
            <w:r w:rsidRPr="00B8345C">
              <w:rPr>
                <w:szCs w:val="14"/>
              </w:rPr>
              <w:t xml:space="preserve"> information or manage mental health issues)</w:t>
            </w:r>
          </w:p>
        </w:tc>
        <w:tc>
          <w:tcPr>
            <w:tcW w:w="1062" w:type="dxa"/>
            <w:shd w:val="clear" w:color="auto" w:fill="auto"/>
          </w:tcPr>
          <w:p w14:paraId="520834AA" w14:textId="77777777" w:rsidR="00F67F7D" w:rsidRPr="00B8345C" w:rsidRDefault="00F67F7D" w:rsidP="00594252">
            <w:pPr>
              <w:pStyle w:val="TableText"/>
              <w:keepNext w:val="0"/>
              <w:rPr>
                <w:szCs w:val="14"/>
              </w:rPr>
            </w:pPr>
            <w:r w:rsidRPr="00B8345C">
              <w:rPr>
                <w:szCs w:val="14"/>
              </w:rPr>
              <w:t>1.21 (0.70</w:t>
            </w:r>
            <w:r w:rsidR="009919A9">
              <w:rPr>
                <w:szCs w:val="14"/>
              </w:rPr>
              <w:t>, </w:t>
            </w:r>
            <w:r w:rsidRPr="00B8345C">
              <w:rPr>
                <w:szCs w:val="14"/>
              </w:rPr>
              <w:t>2.09)</w:t>
            </w:r>
          </w:p>
        </w:tc>
        <w:tc>
          <w:tcPr>
            <w:tcW w:w="3089" w:type="dxa"/>
            <w:shd w:val="clear" w:color="auto" w:fill="auto"/>
          </w:tcPr>
          <w:p w14:paraId="1FD939FF"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6B92B61D" w14:textId="77777777" w:rsidR="00F67F7D" w:rsidRPr="00B8345C" w:rsidRDefault="00F67F7D" w:rsidP="00594252">
            <w:pPr>
              <w:pStyle w:val="TableText"/>
              <w:keepNext w:val="0"/>
              <w:rPr>
                <w:szCs w:val="14"/>
              </w:rPr>
            </w:pPr>
            <w:r>
              <w:rPr>
                <w:szCs w:val="14"/>
              </w:rPr>
              <w:t>–</w:t>
            </w:r>
          </w:p>
        </w:tc>
      </w:tr>
      <w:tr w:rsidR="00F67F7D" w:rsidRPr="00B8345C" w14:paraId="08BF4E8D" w14:textId="77777777" w:rsidTr="00466837">
        <w:trPr>
          <w:cantSplit/>
        </w:trPr>
        <w:tc>
          <w:tcPr>
            <w:tcW w:w="852" w:type="dxa"/>
            <w:tcBorders>
              <w:left w:val="nil"/>
            </w:tcBorders>
            <w:shd w:val="clear" w:color="auto" w:fill="auto"/>
          </w:tcPr>
          <w:p w14:paraId="117FE028" w14:textId="77777777" w:rsidR="00F67F7D" w:rsidRPr="00B8345C" w:rsidRDefault="00F67F7D" w:rsidP="00594252">
            <w:pPr>
              <w:pStyle w:val="TableText"/>
              <w:keepNext w:val="0"/>
              <w:rPr>
                <w:szCs w:val="14"/>
              </w:rPr>
            </w:pPr>
            <w:r w:rsidRPr="003F7A38">
              <w:t xml:space="preserve">Table </w:t>
            </w:r>
            <w:r>
              <w:rPr>
                <w:noProof/>
              </w:rPr>
              <w:t>7</w:t>
            </w:r>
            <w:r>
              <w:t>.</w:t>
            </w:r>
            <w:r>
              <w:rPr>
                <w:noProof/>
              </w:rPr>
              <w:t>7</w:t>
            </w:r>
          </w:p>
        </w:tc>
        <w:tc>
          <w:tcPr>
            <w:tcW w:w="2140" w:type="dxa"/>
            <w:shd w:val="clear" w:color="auto" w:fill="auto"/>
          </w:tcPr>
          <w:p w14:paraId="71C70D5C" w14:textId="77777777" w:rsidR="00F67F7D" w:rsidRPr="00B8345C" w:rsidRDefault="00F67F7D" w:rsidP="00594252">
            <w:pPr>
              <w:pStyle w:val="TableText"/>
              <w:keepNext w:val="0"/>
              <w:rPr>
                <w:szCs w:val="14"/>
              </w:rPr>
            </w:pPr>
            <w:r w:rsidRPr="00B8345C">
              <w:rPr>
                <w:szCs w:val="14"/>
              </w:rPr>
              <w:t xml:space="preserve">Talked about your mental health on the </w:t>
            </w:r>
            <w:r>
              <w:rPr>
                <w:szCs w:val="14"/>
              </w:rPr>
              <w:t>internet</w:t>
            </w:r>
            <w:r w:rsidRPr="00B8345C">
              <w:rPr>
                <w:szCs w:val="14"/>
              </w:rPr>
              <w:t xml:space="preserve"> with other people (e.g. online forums, chatrooms, blogs, MSN or Gmail messenger)</w:t>
            </w:r>
          </w:p>
        </w:tc>
        <w:tc>
          <w:tcPr>
            <w:tcW w:w="3372" w:type="dxa"/>
            <w:shd w:val="clear" w:color="auto" w:fill="auto"/>
          </w:tcPr>
          <w:p w14:paraId="7C58706A" w14:textId="77777777" w:rsidR="00F67F7D" w:rsidRPr="00B8345C" w:rsidRDefault="00F67F7D" w:rsidP="00594252">
            <w:pPr>
              <w:pStyle w:val="TableText"/>
              <w:keepNext w:val="0"/>
              <w:rPr>
                <w:szCs w:val="14"/>
              </w:rPr>
            </w:pPr>
            <w:r w:rsidRPr="00B8345C">
              <w:rPr>
                <w:szCs w:val="14"/>
              </w:rPr>
              <w:t xml:space="preserve">Transitioned ADF vs 2015 Regular ADF (In those who used the </w:t>
            </w:r>
            <w:r>
              <w:rPr>
                <w:szCs w:val="14"/>
              </w:rPr>
              <w:t>internet</w:t>
            </w:r>
            <w:r w:rsidRPr="00B8345C">
              <w:rPr>
                <w:szCs w:val="14"/>
              </w:rPr>
              <w:t xml:space="preserve"> to seek help</w:t>
            </w:r>
            <w:r>
              <w:rPr>
                <w:szCs w:val="14"/>
              </w:rPr>
              <w:t xml:space="preserve"> or</w:t>
            </w:r>
            <w:r w:rsidRPr="00B8345C">
              <w:rPr>
                <w:szCs w:val="14"/>
              </w:rPr>
              <w:t xml:space="preserve"> information or manage mental health issues)</w:t>
            </w:r>
          </w:p>
        </w:tc>
        <w:tc>
          <w:tcPr>
            <w:tcW w:w="1062" w:type="dxa"/>
            <w:shd w:val="clear" w:color="auto" w:fill="auto"/>
          </w:tcPr>
          <w:p w14:paraId="67DD8539" w14:textId="77777777" w:rsidR="00F67F7D" w:rsidRPr="00B8345C" w:rsidRDefault="00F67F7D" w:rsidP="00594252">
            <w:pPr>
              <w:pStyle w:val="TableText"/>
              <w:keepNext w:val="0"/>
              <w:rPr>
                <w:szCs w:val="14"/>
              </w:rPr>
            </w:pPr>
            <w:r w:rsidRPr="00B8345C">
              <w:rPr>
                <w:szCs w:val="14"/>
              </w:rPr>
              <w:t>1.85 (1.01</w:t>
            </w:r>
            <w:r w:rsidR="009919A9">
              <w:rPr>
                <w:szCs w:val="14"/>
              </w:rPr>
              <w:t>, </w:t>
            </w:r>
            <w:r w:rsidRPr="00B8345C">
              <w:rPr>
                <w:szCs w:val="14"/>
              </w:rPr>
              <w:t>3.38)</w:t>
            </w:r>
          </w:p>
        </w:tc>
        <w:tc>
          <w:tcPr>
            <w:tcW w:w="3089" w:type="dxa"/>
            <w:shd w:val="clear" w:color="auto" w:fill="auto"/>
          </w:tcPr>
          <w:p w14:paraId="384CB925" w14:textId="77777777" w:rsidR="00F67F7D" w:rsidRPr="00B8345C" w:rsidRDefault="00F67F7D" w:rsidP="00594252">
            <w:pPr>
              <w:pStyle w:val="TableText"/>
              <w:keepNext w:val="0"/>
              <w:rPr>
                <w:szCs w:val="14"/>
              </w:rPr>
            </w:pPr>
            <w:r w:rsidRPr="00B8345C">
              <w:rPr>
                <w:szCs w:val="14"/>
              </w:rPr>
              <w:t xml:space="preserve">Transitioned ADF who used the </w:t>
            </w:r>
            <w:r>
              <w:rPr>
                <w:szCs w:val="14"/>
              </w:rPr>
              <w:t>internet</w:t>
            </w:r>
            <w:r w:rsidRPr="00B8345C">
              <w:rPr>
                <w:szCs w:val="14"/>
              </w:rPr>
              <w:t xml:space="preserve"> for mental health issues were 85% more likely to talk about their mental health on the </w:t>
            </w:r>
            <w:r>
              <w:rPr>
                <w:szCs w:val="14"/>
              </w:rPr>
              <w:t>internet</w:t>
            </w:r>
            <w:r w:rsidRPr="00B8345C">
              <w:rPr>
                <w:szCs w:val="14"/>
              </w:rPr>
              <w:t xml:space="preserve"> to others</w:t>
            </w:r>
          </w:p>
        </w:tc>
        <w:tc>
          <w:tcPr>
            <w:tcW w:w="1005" w:type="dxa"/>
            <w:tcBorders>
              <w:right w:val="nil"/>
            </w:tcBorders>
            <w:shd w:val="clear" w:color="auto" w:fill="auto"/>
          </w:tcPr>
          <w:p w14:paraId="72678752" w14:textId="77777777" w:rsidR="00F67F7D" w:rsidRPr="00B8345C" w:rsidRDefault="00F67F7D" w:rsidP="00594252">
            <w:pPr>
              <w:pStyle w:val="TableText"/>
              <w:keepNext w:val="0"/>
              <w:rPr>
                <w:szCs w:val="14"/>
              </w:rPr>
            </w:pPr>
            <w:r w:rsidRPr="00B8345C">
              <w:rPr>
                <w:szCs w:val="14"/>
              </w:rPr>
              <w:t>Moderate</w:t>
            </w:r>
          </w:p>
        </w:tc>
      </w:tr>
      <w:tr w:rsidR="00F67F7D" w:rsidRPr="00B8345C" w14:paraId="0DB010F5" w14:textId="77777777" w:rsidTr="00466837">
        <w:trPr>
          <w:cantSplit/>
        </w:trPr>
        <w:tc>
          <w:tcPr>
            <w:tcW w:w="852" w:type="dxa"/>
            <w:tcBorders>
              <w:left w:val="nil"/>
            </w:tcBorders>
            <w:shd w:val="clear" w:color="auto" w:fill="auto"/>
          </w:tcPr>
          <w:p w14:paraId="2E353125" w14:textId="77777777" w:rsidR="00F67F7D" w:rsidRPr="00B8345C" w:rsidRDefault="00F67F7D" w:rsidP="00594252">
            <w:pPr>
              <w:pStyle w:val="TableText"/>
              <w:keepNext w:val="0"/>
              <w:rPr>
                <w:szCs w:val="14"/>
              </w:rPr>
            </w:pPr>
            <w:r>
              <w:t xml:space="preserve">Table </w:t>
            </w:r>
            <w:r>
              <w:rPr>
                <w:noProof/>
              </w:rPr>
              <w:t>7</w:t>
            </w:r>
            <w:r>
              <w:t>.</w:t>
            </w:r>
            <w:r>
              <w:rPr>
                <w:noProof/>
              </w:rPr>
              <w:t>9</w:t>
            </w:r>
          </w:p>
        </w:tc>
        <w:tc>
          <w:tcPr>
            <w:tcW w:w="2140" w:type="dxa"/>
            <w:shd w:val="clear" w:color="auto" w:fill="auto"/>
          </w:tcPr>
          <w:p w14:paraId="49AB1B94" w14:textId="77777777" w:rsidR="00F67F7D" w:rsidRPr="00B8345C" w:rsidRDefault="00F67F7D" w:rsidP="00594252">
            <w:pPr>
              <w:pStyle w:val="TableText"/>
              <w:keepNext w:val="0"/>
              <w:rPr>
                <w:szCs w:val="14"/>
              </w:rPr>
            </w:pPr>
            <w:r w:rsidRPr="00B8345C">
              <w:rPr>
                <w:szCs w:val="14"/>
              </w:rPr>
              <w:t xml:space="preserve">Talked about your mental health on the </w:t>
            </w:r>
            <w:r>
              <w:rPr>
                <w:szCs w:val="14"/>
              </w:rPr>
              <w:t>internet</w:t>
            </w:r>
            <w:r w:rsidRPr="00B8345C">
              <w:rPr>
                <w:szCs w:val="14"/>
              </w:rPr>
              <w:t xml:space="preserve"> with psychologist or other mental health professional</w:t>
            </w:r>
          </w:p>
        </w:tc>
        <w:tc>
          <w:tcPr>
            <w:tcW w:w="3372" w:type="dxa"/>
            <w:shd w:val="clear" w:color="auto" w:fill="auto"/>
          </w:tcPr>
          <w:p w14:paraId="444DCD04" w14:textId="77777777" w:rsidR="00F67F7D" w:rsidRPr="00B8345C" w:rsidRDefault="00F67F7D" w:rsidP="00594252">
            <w:pPr>
              <w:pStyle w:val="TableText"/>
              <w:keepNext w:val="0"/>
              <w:rPr>
                <w:szCs w:val="14"/>
              </w:rPr>
            </w:pPr>
            <w:r w:rsidRPr="00B8345C">
              <w:rPr>
                <w:szCs w:val="14"/>
              </w:rPr>
              <w:t xml:space="preserve">Transitioned ADF vs 2015 Regular ADF (In those who used the </w:t>
            </w:r>
            <w:r>
              <w:rPr>
                <w:szCs w:val="14"/>
              </w:rPr>
              <w:t>internet</w:t>
            </w:r>
            <w:r w:rsidRPr="00B8345C">
              <w:rPr>
                <w:szCs w:val="14"/>
              </w:rPr>
              <w:t xml:space="preserve"> to seek help</w:t>
            </w:r>
            <w:r>
              <w:rPr>
                <w:szCs w:val="14"/>
              </w:rPr>
              <w:t xml:space="preserve"> or</w:t>
            </w:r>
            <w:r w:rsidRPr="00B8345C">
              <w:rPr>
                <w:szCs w:val="14"/>
              </w:rPr>
              <w:t xml:space="preserve"> information or manage mental health issues)</w:t>
            </w:r>
          </w:p>
        </w:tc>
        <w:tc>
          <w:tcPr>
            <w:tcW w:w="1062" w:type="dxa"/>
            <w:shd w:val="clear" w:color="auto" w:fill="auto"/>
          </w:tcPr>
          <w:p w14:paraId="77BEDA88" w14:textId="77777777" w:rsidR="00F67F7D" w:rsidRPr="00B8345C" w:rsidRDefault="00F67F7D" w:rsidP="00594252">
            <w:pPr>
              <w:pStyle w:val="TableText"/>
              <w:keepNext w:val="0"/>
              <w:rPr>
                <w:szCs w:val="14"/>
              </w:rPr>
            </w:pPr>
            <w:r w:rsidRPr="00B8345C">
              <w:rPr>
                <w:szCs w:val="14"/>
              </w:rPr>
              <w:t>0.73 (0.33</w:t>
            </w:r>
            <w:r w:rsidR="009919A9">
              <w:rPr>
                <w:szCs w:val="14"/>
              </w:rPr>
              <w:t>, </w:t>
            </w:r>
            <w:r w:rsidRPr="00B8345C">
              <w:rPr>
                <w:szCs w:val="14"/>
              </w:rPr>
              <w:t>1.62)</w:t>
            </w:r>
          </w:p>
        </w:tc>
        <w:tc>
          <w:tcPr>
            <w:tcW w:w="3089" w:type="dxa"/>
            <w:shd w:val="clear" w:color="auto" w:fill="auto"/>
          </w:tcPr>
          <w:p w14:paraId="6FD28991"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7AF46ABF" w14:textId="77777777" w:rsidR="00F67F7D" w:rsidRPr="00B8345C" w:rsidRDefault="00F67F7D" w:rsidP="00594252">
            <w:pPr>
              <w:pStyle w:val="TableText"/>
              <w:keepNext w:val="0"/>
              <w:rPr>
                <w:szCs w:val="14"/>
              </w:rPr>
            </w:pPr>
            <w:r>
              <w:rPr>
                <w:szCs w:val="14"/>
              </w:rPr>
              <w:t>–</w:t>
            </w:r>
          </w:p>
        </w:tc>
      </w:tr>
      <w:tr w:rsidR="00F67F7D" w:rsidRPr="00B8345C" w14:paraId="7F877393" w14:textId="77777777" w:rsidTr="00466837">
        <w:trPr>
          <w:cantSplit/>
        </w:trPr>
        <w:tc>
          <w:tcPr>
            <w:tcW w:w="11520" w:type="dxa"/>
            <w:gridSpan w:val="6"/>
            <w:tcBorders>
              <w:left w:val="nil"/>
              <w:right w:val="nil"/>
            </w:tcBorders>
            <w:shd w:val="clear" w:color="auto" w:fill="auto"/>
          </w:tcPr>
          <w:p w14:paraId="36874C50" w14:textId="77777777" w:rsidR="00F67F7D" w:rsidRPr="00B8345C" w:rsidRDefault="00F67F7D" w:rsidP="00594252">
            <w:pPr>
              <w:pStyle w:val="TableText"/>
              <w:keepNext w:val="0"/>
              <w:rPr>
                <w:b/>
                <w:szCs w:val="14"/>
              </w:rPr>
            </w:pPr>
            <w:r>
              <w:rPr>
                <w:b/>
                <w:szCs w:val="14"/>
              </w:rPr>
              <w:t>8</w:t>
            </w:r>
            <w:r w:rsidRPr="00B8345C">
              <w:rPr>
                <w:b/>
                <w:szCs w:val="14"/>
              </w:rPr>
              <w:t>. BARRIERS TO TALKING ONLINE ABOUT MENTAL HEALTH</w:t>
            </w:r>
          </w:p>
        </w:tc>
      </w:tr>
      <w:tr w:rsidR="00F67F7D" w:rsidRPr="00B8345C" w14:paraId="7AF53A91" w14:textId="77777777" w:rsidTr="00466837">
        <w:trPr>
          <w:cantSplit/>
        </w:trPr>
        <w:tc>
          <w:tcPr>
            <w:tcW w:w="852" w:type="dxa"/>
            <w:tcBorders>
              <w:left w:val="nil"/>
            </w:tcBorders>
            <w:shd w:val="clear" w:color="auto" w:fill="auto"/>
          </w:tcPr>
          <w:p w14:paraId="0A69B86E"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14D50857" w14:textId="77777777" w:rsidR="00F67F7D" w:rsidRPr="00B8345C" w:rsidRDefault="00F67F7D" w:rsidP="00594252">
            <w:pPr>
              <w:pStyle w:val="TableText"/>
              <w:keepNext w:val="0"/>
              <w:rPr>
                <w:szCs w:val="14"/>
              </w:rPr>
            </w:pPr>
            <w:r w:rsidRPr="00B8345C">
              <w:rPr>
                <w:szCs w:val="14"/>
              </w:rPr>
              <w:t>Barriers that might prevent talking about mental health issues online: Concerns with validity</w:t>
            </w:r>
          </w:p>
        </w:tc>
        <w:tc>
          <w:tcPr>
            <w:tcW w:w="3372" w:type="dxa"/>
            <w:shd w:val="clear" w:color="auto" w:fill="auto"/>
          </w:tcPr>
          <w:p w14:paraId="4BADA3CF"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5F720A7F" w14:textId="77777777" w:rsidR="00F67F7D" w:rsidRPr="00B8345C" w:rsidRDefault="00F67F7D" w:rsidP="00594252">
            <w:pPr>
              <w:pStyle w:val="TableText"/>
              <w:keepNext w:val="0"/>
              <w:rPr>
                <w:szCs w:val="14"/>
              </w:rPr>
            </w:pPr>
            <w:r w:rsidRPr="00B8345C">
              <w:rPr>
                <w:szCs w:val="14"/>
              </w:rPr>
              <w:t>1.12 (0.66</w:t>
            </w:r>
            <w:r w:rsidR="009919A9">
              <w:rPr>
                <w:szCs w:val="14"/>
              </w:rPr>
              <w:t>, </w:t>
            </w:r>
            <w:r w:rsidRPr="00B8345C">
              <w:rPr>
                <w:szCs w:val="14"/>
              </w:rPr>
              <w:t>1.90)</w:t>
            </w:r>
          </w:p>
        </w:tc>
        <w:tc>
          <w:tcPr>
            <w:tcW w:w="3089" w:type="dxa"/>
            <w:shd w:val="clear" w:color="auto" w:fill="auto"/>
          </w:tcPr>
          <w:p w14:paraId="3509A339"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4DC78990" w14:textId="77777777" w:rsidR="00F67F7D" w:rsidRPr="00B8345C" w:rsidRDefault="00F67F7D" w:rsidP="00594252">
            <w:pPr>
              <w:pStyle w:val="TableText"/>
              <w:keepNext w:val="0"/>
              <w:rPr>
                <w:szCs w:val="14"/>
              </w:rPr>
            </w:pPr>
            <w:r>
              <w:rPr>
                <w:szCs w:val="14"/>
              </w:rPr>
              <w:t>–</w:t>
            </w:r>
          </w:p>
        </w:tc>
      </w:tr>
      <w:tr w:rsidR="00F67F7D" w:rsidRPr="00B8345C" w14:paraId="3CCC8AF9" w14:textId="77777777" w:rsidTr="00466837">
        <w:trPr>
          <w:cantSplit/>
        </w:trPr>
        <w:tc>
          <w:tcPr>
            <w:tcW w:w="852" w:type="dxa"/>
            <w:tcBorders>
              <w:left w:val="nil"/>
            </w:tcBorders>
            <w:shd w:val="clear" w:color="auto" w:fill="auto"/>
          </w:tcPr>
          <w:p w14:paraId="2CD4C40A"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797174BE" w14:textId="77777777" w:rsidR="00F67F7D" w:rsidRPr="00B8345C" w:rsidRDefault="00F67F7D" w:rsidP="00594252">
            <w:pPr>
              <w:pStyle w:val="TableText"/>
              <w:keepNext w:val="0"/>
              <w:rPr>
                <w:szCs w:val="14"/>
              </w:rPr>
            </w:pPr>
            <w:r w:rsidRPr="00B8345C">
              <w:rPr>
                <w:szCs w:val="14"/>
              </w:rPr>
              <w:t>Barriers that might prevent talking about mental health issues online: Concerns with privacy</w:t>
            </w:r>
          </w:p>
        </w:tc>
        <w:tc>
          <w:tcPr>
            <w:tcW w:w="3372" w:type="dxa"/>
            <w:shd w:val="clear" w:color="auto" w:fill="auto"/>
          </w:tcPr>
          <w:p w14:paraId="1098974F"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48F175F5" w14:textId="77777777" w:rsidR="00F67F7D" w:rsidRPr="00B8345C" w:rsidRDefault="00F67F7D" w:rsidP="00594252">
            <w:pPr>
              <w:pStyle w:val="TableText"/>
              <w:keepNext w:val="0"/>
              <w:rPr>
                <w:szCs w:val="14"/>
              </w:rPr>
            </w:pPr>
            <w:r w:rsidRPr="00B8345C">
              <w:rPr>
                <w:szCs w:val="14"/>
              </w:rPr>
              <w:t>0.53 (0.31</w:t>
            </w:r>
            <w:r w:rsidR="009919A9">
              <w:rPr>
                <w:szCs w:val="14"/>
              </w:rPr>
              <w:t>, </w:t>
            </w:r>
            <w:r w:rsidRPr="00B8345C">
              <w:rPr>
                <w:szCs w:val="14"/>
              </w:rPr>
              <w:t>0.90)</w:t>
            </w:r>
          </w:p>
        </w:tc>
        <w:tc>
          <w:tcPr>
            <w:tcW w:w="3089" w:type="dxa"/>
            <w:shd w:val="clear" w:color="auto" w:fill="auto"/>
          </w:tcPr>
          <w:p w14:paraId="7247240C" w14:textId="77777777" w:rsidR="00F67F7D" w:rsidRPr="00B8345C" w:rsidRDefault="00F67F7D" w:rsidP="00594252">
            <w:pPr>
              <w:pStyle w:val="TableText"/>
              <w:keepNext w:val="0"/>
              <w:rPr>
                <w:szCs w:val="14"/>
              </w:rPr>
            </w:pPr>
            <w:r w:rsidRPr="00B8345C">
              <w:rPr>
                <w:szCs w:val="14"/>
              </w:rPr>
              <w:t xml:space="preserve">Transitioned ADF who used the </w:t>
            </w:r>
            <w:r>
              <w:rPr>
                <w:szCs w:val="14"/>
              </w:rPr>
              <w:t>internet</w:t>
            </w:r>
            <w:r w:rsidRPr="00B8345C">
              <w:rPr>
                <w:szCs w:val="14"/>
              </w:rPr>
              <w:t xml:space="preserve"> for mental health issues were 47% less likely to respond that a barrier to talking online about mental health was ‘Concerns about a lack of privacy/confidentiality’</w:t>
            </w:r>
          </w:p>
        </w:tc>
        <w:tc>
          <w:tcPr>
            <w:tcW w:w="1005" w:type="dxa"/>
            <w:tcBorders>
              <w:right w:val="nil"/>
            </w:tcBorders>
            <w:shd w:val="clear" w:color="auto" w:fill="auto"/>
          </w:tcPr>
          <w:p w14:paraId="2E3EDDB7" w14:textId="77777777" w:rsidR="00F67F7D" w:rsidRPr="00B8345C" w:rsidRDefault="00F67F7D" w:rsidP="00594252">
            <w:pPr>
              <w:pStyle w:val="TableText"/>
              <w:keepNext w:val="0"/>
              <w:rPr>
                <w:szCs w:val="14"/>
              </w:rPr>
            </w:pPr>
            <w:r w:rsidRPr="00B8345C">
              <w:rPr>
                <w:szCs w:val="14"/>
              </w:rPr>
              <w:t>Moderate</w:t>
            </w:r>
          </w:p>
        </w:tc>
      </w:tr>
      <w:tr w:rsidR="00F67F7D" w:rsidRPr="00B8345C" w14:paraId="40650F98" w14:textId="77777777" w:rsidTr="00466837">
        <w:trPr>
          <w:cantSplit/>
        </w:trPr>
        <w:tc>
          <w:tcPr>
            <w:tcW w:w="852" w:type="dxa"/>
            <w:tcBorders>
              <w:left w:val="nil"/>
            </w:tcBorders>
            <w:shd w:val="clear" w:color="auto" w:fill="auto"/>
          </w:tcPr>
          <w:p w14:paraId="0DFC55F7"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247AA09A" w14:textId="77777777" w:rsidR="00F67F7D" w:rsidRPr="00B8345C" w:rsidRDefault="00F67F7D" w:rsidP="00594252">
            <w:pPr>
              <w:pStyle w:val="TableText"/>
              <w:keepNext w:val="0"/>
              <w:rPr>
                <w:szCs w:val="14"/>
              </w:rPr>
            </w:pPr>
            <w:r w:rsidRPr="00B8345C">
              <w:rPr>
                <w:szCs w:val="14"/>
              </w:rPr>
              <w:t>Barriers that might prevent talking about mental health issues online: Concern with security</w:t>
            </w:r>
          </w:p>
        </w:tc>
        <w:tc>
          <w:tcPr>
            <w:tcW w:w="3372" w:type="dxa"/>
            <w:shd w:val="clear" w:color="auto" w:fill="auto"/>
          </w:tcPr>
          <w:p w14:paraId="0F6FEC72"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53CE833E" w14:textId="77777777" w:rsidR="00F67F7D" w:rsidRPr="00B8345C" w:rsidRDefault="00F67F7D" w:rsidP="00594252">
            <w:pPr>
              <w:pStyle w:val="TableText"/>
              <w:keepNext w:val="0"/>
              <w:rPr>
                <w:szCs w:val="14"/>
              </w:rPr>
            </w:pPr>
            <w:r w:rsidRPr="00B8345C">
              <w:rPr>
                <w:szCs w:val="14"/>
              </w:rPr>
              <w:t>0.82 (0.49</w:t>
            </w:r>
            <w:r w:rsidR="009919A9">
              <w:rPr>
                <w:szCs w:val="14"/>
              </w:rPr>
              <w:t>, </w:t>
            </w:r>
            <w:r w:rsidRPr="00B8345C">
              <w:rPr>
                <w:szCs w:val="14"/>
              </w:rPr>
              <w:t>1.39)</w:t>
            </w:r>
          </w:p>
        </w:tc>
        <w:tc>
          <w:tcPr>
            <w:tcW w:w="3089" w:type="dxa"/>
            <w:shd w:val="clear" w:color="auto" w:fill="auto"/>
          </w:tcPr>
          <w:p w14:paraId="348DB359"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3B261E4C" w14:textId="77777777" w:rsidR="00F67F7D" w:rsidRPr="00B8345C" w:rsidRDefault="00F67F7D" w:rsidP="00594252">
            <w:pPr>
              <w:pStyle w:val="TableText"/>
              <w:keepNext w:val="0"/>
              <w:rPr>
                <w:szCs w:val="14"/>
              </w:rPr>
            </w:pPr>
            <w:r>
              <w:rPr>
                <w:szCs w:val="14"/>
              </w:rPr>
              <w:t>–</w:t>
            </w:r>
          </w:p>
        </w:tc>
      </w:tr>
      <w:tr w:rsidR="00F67F7D" w:rsidRPr="00B8345C" w14:paraId="21B676FE" w14:textId="77777777" w:rsidTr="00466837">
        <w:trPr>
          <w:cantSplit/>
        </w:trPr>
        <w:tc>
          <w:tcPr>
            <w:tcW w:w="852" w:type="dxa"/>
            <w:tcBorders>
              <w:left w:val="nil"/>
            </w:tcBorders>
            <w:shd w:val="clear" w:color="auto" w:fill="auto"/>
          </w:tcPr>
          <w:p w14:paraId="001406BA"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1B52AC25" w14:textId="77777777" w:rsidR="00F67F7D" w:rsidRPr="00B8345C" w:rsidRDefault="00F67F7D" w:rsidP="00594252">
            <w:pPr>
              <w:pStyle w:val="TableText"/>
              <w:keepNext w:val="0"/>
              <w:rPr>
                <w:szCs w:val="14"/>
              </w:rPr>
            </w:pPr>
            <w:r w:rsidRPr="00B8345C">
              <w:rPr>
                <w:szCs w:val="14"/>
              </w:rPr>
              <w:t>Barriers that might prevent talking about mental health issues online: Lack of access</w:t>
            </w:r>
          </w:p>
        </w:tc>
        <w:tc>
          <w:tcPr>
            <w:tcW w:w="3372" w:type="dxa"/>
            <w:shd w:val="clear" w:color="auto" w:fill="auto"/>
          </w:tcPr>
          <w:p w14:paraId="4DA2BF1D"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778AA16F" w14:textId="77777777" w:rsidR="00F67F7D" w:rsidRPr="00B8345C" w:rsidRDefault="00F67F7D" w:rsidP="00594252">
            <w:pPr>
              <w:pStyle w:val="TableText"/>
              <w:keepNext w:val="0"/>
              <w:rPr>
                <w:szCs w:val="14"/>
              </w:rPr>
            </w:pPr>
            <w:r w:rsidRPr="00B8345C">
              <w:rPr>
                <w:szCs w:val="14"/>
              </w:rPr>
              <w:t>2.25 (0.53</w:t>
            </w:r>
            <w:r w:rsidR="009919A9">
              <w:rPr>
                <w:szCs w:val="14"/>
              </w:rPr>
              <w:t>, </w:t>
            </w:r>
            <w:r w:rsidRPr="00B8345C">
              <w:rPr>
                <w:szCs w:val="14"/>
              </w:rPr>
              <w:t>9.50)</w:t>
            </w:r>
          </w:p>
        </w:tc>
        <w:tc>
          <w:tcPr>
            <w:tcW w:w="3089" w:type="dxa"/>
            <w:shd w:val="clear" w:color="auto" w:fill="auto"/>
          </w:tcPr>
          <w:p w14:paraId="1C6020BA"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2ED44DB9" w14:textId="77777777" w:rsidR="00F67F7D" w:rsidRPr="00B8345C" w:rsidRDefault="00F67F7D" w:rsidP="00594252">
            <w:pPr>
              <w:pStyle w:val="TableText"/>
              <w:keepNext w:val="0"/>
              <w:rPr>
                <w:szCs w:val="14"/>
              </w:rPr>
            </w:pPr>
            <w:r>
              <w:rPr>
                <w:szCs w:val="14"/>
              </w:rPr>
              <w:t>–</w:t>
            </w:r>
          </w:p>
        </w:tc>
      </w:tr>
      <w:tr w:rsidR="00F67F7D" w:rsidRPr="00B8345C" w14:paraId="5D7C42A6" w14:textId="77777777" w:rsidTr="00466837">
        <w:trPr>
          <w:cantSplit/>
        </w:trPr>
        <w:tc>
          <w:tcPr>
            <w:tcW w:w="852" w:type="dxa"/>
            <w:tcBorders>
              <w:left w:val="nil"/>
            </w:tcBorders>
            <w:shd w:val="clear" w:color="auto" w:fill="auto"/>
          </w:tcPr>
          <w:p w14:paraId="6FFFBE5F"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41372305" w14:textId="77777777" w:rsidR="00F67F7D" w:rsidRPr="00B8345C" w:rsidRDefault="00F67F7D" w:rsidP="00594252">
            <w:pPr>
              <w:pStyle w:val="TableText"/>
              <w:keepNext w:val="0"/>
              <w:rPr>
                <w:szCs w:val="14"/>
              </w:rPr>
            </w:pPr>
            <w:r w:rsidRPr="00B8345C">
              <w:rPr>
                <w:szCs w:val="14"/>
              </w:rPr>
              <w:t>Barriers that might prevent talking about mental health issues online: Lack of awareness</w:t>
            </w:r>
          </w:p>
        </w:tc>
        <w:tc>
          <w:tcPr>
            <w:tcW w:w="3372" w:type="dxa"/>
            <w:shd w:val="clear" w:color="auto" w:fill="auto"/>
          </w:tcPr>
          <w:p w14:paraId="7B474EDB"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79A911CE" w14:textId="77777777" w:rsidR="00F67F7D" w:rsidRPr="00B8345C" w:rsidRDefault="00F67F7D" w:rsidP="00594252">
            <w:pPr>
              <w:pStyle w:val="TableText"/>
              <w:keepNext w:val="0"/>
              <w:rPr>
                <w:szCs w:val="14"/>
              </w:rPr>
            </w:pPr>
            <w:r w:rsidRPr="00B8345C">
              <w:rPr>
                <w:szCs w:val="14"/>
              </w:rPr>
              <w:t>0.82 (0.22</w:t>
            </w:r>
            <w:r w:rsidR="009919A9">
              <w:rPr>
                <w:szCs w:val="14"/>
              </w:rPr>
              <w:t>, </w:t>
            </w:r>
            <w:r w:rsidRPr="00B8345C">
              <w:rPr>
                <w:szCs w:val="14"/>
              </w:rPr>
              <w:t>3.11)</w:t>
            </w:r>
          </w:p>
        </w:tc>
        <w:tc>
          <w:tcPr>
            <w:tcW w:w="3089" w:type="dxa"/>
            <w:shd w:val="clear" w:color="auto" w:fill="auto"/>
          </w:tcPr>
          <w:p w14:paraId="661CFB8D"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0EB49D6" w14:textId="77777777" w:rsidR="00F67F7D" w:rsidRPr="00B8345C" w:rsidRDefault="00F67F7D" w:rsidP="00594252">
            <w:pPr>
              <w:pStyle w:val="TableText"/>
              <w:keepNext w:val="0"/>
              <w:rPr>
                <w:szCs w:val="14"/>
              </w:rPr>
            </w:pPr>
            <w:r>
              <w:rPr>
                <w:szCs w:val="14"/>
              </w:rPr>
              <w:t>–</w:t>
            </w:r>
          </w:p>
        </w:tc>
      </w:tr>
      <w:tr w:rsidR="00F67F7D" w:rsidRPr="00B8345C" w14:paraId="13C8CDE8" w14:textId="77777777" w:rsidTr="00466837">
        <w:trPr>
          <w:cantSplit/>
        </w:trPr>
        <w:tc>
          <w:tcPr>
            <w:tcW w:w="852" w:type="dxa"/>
            <w:tcBorders>
              <w:left w:val="nil"/>
            </w:tcBorders>
            <w:shd w:val="clear" w:color="auto" w:fill="auto"/>
          </w:tcPr>
          <w:p w14:paraId="0315C515"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75366F59" w14:textId="77777777" w:rsidR="00F67F7D" w:rsidRPr="00B8345C" w:rsidRDefault="00F67F7D" w:rsidP="00594252">
            <w:pPr>
              <w:pStyle w:val="TableText"/>
              <w:keepNext w:val="0"/>
              <w:rPr>
                <w:szCs w:val="14"/>
              </w:rPr>
            </w:pPr>
            <w:r w:rsidRPr="00B8345C">
              <w:rPr>
                <w:szCs w:val="14"/>
              </w:rPr>
              <w:t>Barriers that might prevent talking about mental health issues online: Lack of skills</w:t>
            </w:r>
          </w:p>
        </w:tc>
        <w:tc>
          <w:tcPr>
            <w:tcW w:w="3372" w:type="dxa"/>
            <w:shd w:val="clear" w:color="auto" w:fill="auto"/>
          </w:tcPr>
          <w:p w14:paraId="445A966E"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6249D67F" w14:textId="77777777" w:rsidR="00F67F7D" w:rsidRPr="00B8345C" w:rsidRDefault="00F67F7D" w:rsidP="00594252">
            <w:pPr>
              <w:pStyle w:val="TableText"/>
              <w:keepNext w:val="0"/>
              <w:rPr>
                <w:szCs w:val="14"/>
              </w:rPr>
            </w:pPr>
            <w:r w:rsidRPr="00B8345C">
              <w:rPr>
                <w:szCs w:val="14"/>
              </w:rPr>
              <w:t>1.33 (0.52</w:t>
            </w:r>
            <w:r w:rsidR="009919A9">
              <w:rPr>
                <w:szCs w:val="14"/>
              </w:rPr>
              <w:t>, </w:t>
            </w:r>
            <w:r w:rsidRPr="00B8345C">
              <w:rPr>
                <w:szCs w:val="14"/>
              </w:rPr>
              <w:t>3.43)</w:t>
            </w:r>
          </w:p>
        </w:tc>
        <w:tc>
          <w:tcPr>
            <w:tcW w:w="3089" w:type="dxa"/>
            <w:shd w:val="clear" w:color="auto" w:fill="auto"/>
          </w:tcPr>
          <w:p w14:paraId="45B6AC7D"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0C0415E6" w14:textId="77777777" w:rsidR="00F67F7D" w:rsidRPr="00B8345C" w:rsidRDefault="00F67F7D" w:rsidP="00594252">
            <w:pPr>
              <w:pStyle w:val="TableText"/>
              <w:keepNext w:val="0"/>
              <w:rPr>
                <w:szCs w:val="14"/>
              </w:rPr>
            </w:pPr>
            <w:r>
              <w:rPr>
                <w:szCs w:val="14"/>
              </w:rPr>
              <w:t>–</w:t>
            </w:r>
          </w:p>
        </w:tc>
      </w:tr>
      <w:tr w:rsidR="00F67F7D" w:rsidRPr="00B8345C" w14:paraId="10EA2517" w14:textId="77777777" w:rsidTr="00466837">
        <w:trPr>
          <w:cantSplit/>
        </w:trPr>
        <w:tc>
          <w:tcPr>
            <w:tcW w:w="852" w:type="dxa"/>
            <w:tcBorders>
              <w:left w:val="nil"/>
            </w:tcBorders>
            <w:shd w:val="clear" w:color="auto" w:fill="auto"/>
          </w:tcPr>
          <w:p w14:paraId="198FFD59"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43F6FE6C" w14:textId="77777777" w:rsidR="00F67F7D" w:rsidRPr="00B8345C" w:rsidRDefault="00F67F7D" w:rsidP="00594252">
            <w:pPr>
              <w:pStyle w:val="TableText"/>
              <w:keepNext w:val="0"/>
              <w:rPr>
                <w:szCs w:val="14"/>
              </w:rPr>
            </w:pPr>
            <w:r w:rsidRPr="00B8345C">
              <w:rPr>
                <w:szCs w:val="14"/>
              </w:rPr>
              <w:t>Barriers that might prevent talking about mental health issues online: Prefer face to face</w:t>
            </w:r>
          </w:p>
        </w:tc>
        <w:tc>
          <w:tcPr>
            <w:tcW w:w="3372" w:type="dxa"/>
            <w:shd w:val="clear" w:color="auto" w:fill="auto"/>
          </w:tcPr>
          <w:p w14:paraId="758B4CD3"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7C0F2173" w14:textId="77777777" w:rsidR="00F67F7D" w:rsidRPr="00B8345C" w:rsidRDefault="00F67F7D" w:rsidP="00594252">
            <w:pPr>
              <w:pStyle w:val="TableText"/>
              <w:keepNext w:val="0"/>
              <w:rPr>
                <w:szCs w:val="14"/>
              </w:rPr>
            </w:pPr>
            <w:r w:rsidRPr="00B8345C">
              <w:rPr>
                <w:szCs w:val="14"/>
              </w:rPr>
              <w:t>0.63 (0.37</w:t>
            </w:r>
            <w:r w:rsidR="009919A9">
              <w:rPr>
                <w:szCs w:val="14"/>
              </w:rPr>
              <w:t>, </w:t>
            </w:r>
            <w:r w:rsidRPr="00B8345C">
              <w:rPr>
                <w:szCs w:val="14"/>
              </w:rPr>
              <w:t>1.08)</w:t>
            </w:r>
          </w:p>
        </w:tc>
        <w:tc>
          <w:tcPr>
            <w:tcW w:w="3089" w:type="dxa"/>
            <w:shd w:val="clear" w:color="auto" w:fill="auto"/>
          </w:tcPr>
          <w:p w14:paraId="6B834112" w14:textId="77777777" w:rsidR="00F67F7D" w:rsidRPr="00B8345C" w:rsidRDefault="00F67F7D" w:rsidP="00594252">
            <w:pPr>
              <w:pStyle w:val="TableText"/>
              <w:keepNext w:val="0"/>
              <w:rPr>
                <w:szCs w:val="14"/>
              </w:rPr>
            </w:pPr>
            <w:r w:rsidRPr="00B8345C">
              <w:rPr>
                <w:szCs w:val="14"/>
              </w:rPr>
              <w:t>No association</w:t>
            </w:r>
          </w:p>
        </w:tc>
        <w:tc>
          <w:tcPr>
            <w:tcW w:w="1005" w:type="dxa"/>
            <w:tcBorders>
              <w:right w:val="nil"/>
            </w:tcBorders>
            <w:shd w:val="clear" w:color="auto" w:fill="auto"/>
          </w:tcPr>
          <w:p w14:paraId="256438F7" w14:textId="77777777" w:rsidR="00F67F7D" w:rsidRPr="00B8345C" w:rsidRDefault="00F67F7D" w:rsidP="00594252">
            <w:pPr>
              <w:pStyle w:val="TableText"/>
              <w:keepNext w:val="0"/>
              <w:rPr>
                <w:szCs w:val="14"/>
              </w:rPr>
            </w:pPr>
            <w:r>
              <w:rPr>
                <w:szCs w:val="14"/>
              </w:rPr>
              <w:t>–</w:t>
            </w:r>
          </w:p>
        </w:tc>
      </w:tr>
      <w:tr w:rsidR="00F67F7D" w:rsidRPr="00B8345C" w14:paraId="1E9B515F" w14:textId="77777777" w:rsidTr="00466837">
        <w:trPr>
          <w:cantSplit/>
        </w:trPr>
        <w:tc>
          <w:tcPr>
            <w:tcW w:w="852" w:type="dxa"/>
            <w:tcBorders>
              <w:left w:val="nil"/>
            </w:tcBorders>
            <w:shd w:val="clear" w:color="auto" w:fill="auto"/>
          </w:tcPr>
          <w:p w14:paraId="019D902B" w14:textId="77777777" w:rsidR="00F67F7D" w:rsidRPr="00B8345C" w:rsidRDefault="00F67F7D" w:rsidP="00594252">
            <w:pPr>
              <w:pStyle w:val="TableText"/>
              <w:keepNext w:val="0"/>
              <w:rPr>
                <w:szCs w:val="14"/>
              </w:rPr>
            </w:pPr>
            <w:r>
              <w:t xml:space="preserve">Table </w:t>
            </w:r>
            <w:r>
              <w:rPr>
                <w:noProof/>
              </w:rPr>
              <w:t>8</w:t>
            </w:r>
            <w:r>
              <w:t>.</w:t>
            </w:r>
            <w:r>
              <w:rPr>
                <w:noProof/>
              </w:rPr>
              <w:t>1</w:t>
            </w:r>
          </w:p>
        </w:tc>
        <w:tc>
          <w:tcPr>
            <w:tcW w:w="2140" w:type="dxa"/>
            <w:shd w:val="clear" w:color="auto" w:fill="auto"/>
          </w:tcPr>
          <w:p w14:paraId="14B06690" w14:textId="77777777" w:rsidR="00F67F7D" w:rsidRPr="00B8345C" w:rsidRDefault="00F67F7D" w:rsidP="00594252">
            <w:pPr>
              <w:pStyle w:val="TableText"/>
              <w:keepNext w:val="0"/>
              <w:rPr>
                <w:szCs w:val="14"/>
              </w:rPr>
            </w:pPr>
            <w:r w:rsidRPr="00B8345C">
              <w:rPr>
                <w:szCs w:val="14"/>
              </w:rPr>
              <w:t>Barriers that might prevent talking about mental health issues online: Unaffordable</w:t>
            </w:r>
          </w:p>
        </w:tc>
        <w:tc>
          <w:tcPr>
            <w:tcW w:w="3372" w:type="dxa"/>
            <w:shd w:val="clear" w:color="auto" w:fill="auto"/>
          </w:tcPr>
          <w:p w14:paraId="4E5B6AD8" w14:textId="77777777" w:rsidR="00F67F7D" w:rsidRPr="00B8345C" w:rsidRDefault="00F67F7D" w:rsidP="00594252">
            <w:pPr>
              <w:pStyle w:val="TableText"/>
              <w:keepNext w:val="0"/>
              <w:rPr>
                <w:szCs w:val="14"/>
              </w:rPr>
            </w:pPr>
            <w:r w:rsidRPr="00B8345C">
              <w:rPr>
                <w:szCs w:val="14"/>
              </w:rPr>
              <w:t>Transitioned ADF vs 2015 Regular ADF (In those who did not talk about their own mental health online)</w:t>
            </w:r>
          </w:p>
        </w:tc>
        <w:tc>
          <w:tcPr>
            <w:tcW w:w="1062" w:type="dxa"/>
            <w:shd w:val="clear" w:color="auto" w:fill="auto"/>
          </w:tcPr>
          <w:p w14:paraId="241EBF38" w14:textId="77777777" w:rsidR="00F67F7D" w:rsidRPr="00B8345C" w:rsidRDefault="00F67F7D" w:rsidP="00594252">
            <w:pPr>
              <w:pStyle w:val="TableText"/>
              <w:keepNext w:val="0"/>
              <w:rPr>
                <w:szCs w:val="14"/>
              </w:rPr>
            </w:pPr>
            <w:r w:rsidRPr="00B8345C">
              <w:rPr>
                <w:szCs w:val="14"/>
              </w:rPr>
              <w:t>3.65 (1.30</w:t>
            </w:r>
            <w:r w:rsidR="009919A9">
              <w:rPr>
                <w:szCs w:val="14"/>
              </w:rPr>
              <w:t>, </w:t>
            </w:r>
            <w:r w:rsidRPr="00B8345C">
              <w:rPr>
                <w:szCs w:val="14"/>
              </w:rPr>
              <w:t>10.29)</w:t>
            </w:r>
          </w:p>
        </w:tc>
        <w:tc>
          <w:tcPr>
            <w:tcW w:w="3089" w:type="dxa"/>
            <w:shd w:val="clear" w:color="auto" w:fill="auto"/>
          </w:tcPr>
          <w:p w14:paraId="4A9A81F0" w14:textId="77777777" w:rsidR="00F67F7D" w:rsidRPr="00B8345C" w:rsidRDefault="00F67F7D" w:rsidP="00594252">
            <w:pPr>
              <w:pStyle w:val="TableText"/>
              <w:keepNext w:val="0"/>
              <w:rPr>
                <w:szCs w:val="14"/>
              </w:rPr>
            </w:pPr>
            <w:r w:rsidRPr="00B8345C">
              <w:rPr>
                <w:szCs w:val="14"/>
              </w:rPr>
              <w:t>Transitioned ADF were 3.7 times more likely to respond that a barrier to talking online about mental health was ‘Unaffordable technology’</w:t>
            </w:r>
          </w:p>
        </w:tc>
        <w:tc>
          <w:tcPr>
            <w:tcW w:w="1005" w:type="dxa"/>
            <w:tcBorders>
              <w:right w:val="nil"/>
            </w:tcBorders>
            <w:shd w:val="clear" w:color="auto" w:fill="auto"/>
          </w:tcPr>
          <w:p w14:paraId="2477AFAD" w14:textId="77777777" w:rsidR="00F67F7D" w:rsidRPr="00B8345C" w:rsidRDefault="00F67F7D" w:rsidP="00594252">
            <w:pPr>
              <w:pStyle w:val="TableText"/>
              <w:keepNext w:val="0"/>
              <w:rPr>
                <w:szCs w:val="14"/>
              </w:rPr>
            </w:pPr>
            <w:r w:rsidRPr="00B8345C">
              <w:rPr>
                <w:szCs w:val="14"/>
              </w:rPr>
              <w:t>Strong</w:t>
            </w:r>
          </w:p>
        </w:tc>
      </w:tr>
    </w:tbl>
    <w:p w14:paraId="478D74F7" w14:textId="77777777" w:rsidR="00F67F7D" w:rsidRDefault="00F67F7D" w:rsidP="009919A9">
      <w:pPr>
        <w:pStyle w:val="TableNotes"/>
      </w:pPr>
    </w:p>
    <w:p w14:paraId="18CCFE33" w14:textId="77777777" w:rsidR="002A7F4E" w:rsidRDefault="002A7F4E" w:rsidP="002A7F4E"/>
    <w:p w14:paraId="0B40B589" w14:textId="77777777" w:rsidR="002A7F4E" w:rsidRDefault="002A7F4E" w:rsidP="002A7F4E">
      <w:pPr>
        <w:sectPr w:rsidR="002A7F4E" w:rsidSect="00980AE4">
          <w:footerReference w:type="even" r:id="rId174"/>
          <w:footerReference w:type="default" r:id="rId175"/>
          <w:pgSz w:w="14170" w:h="9979" w:orient="landscape" w:code="243"/>
          <w:pgMar w:top="1872" w:right="1440" w:bottom="1152" w:left="1440" w:header="576" w:footer="576" w:gutter="0"/>
          <w:cols w:space="708"/>
          <w:docGrid w:linePitch="360"/>
        </w:sectPr>
      </w:pPr>
    </w:p>
    <w:p w14:paraId="4C80F56D" w14:textId="77777777" w:rsidR="00594252" w:rsidRDefault="00594252" w:rsidP="00594252">
      <w:pPr>
        <w:pStyle w:val="Heading1b"/>
        <w:numPr>
          <w:ilvl w:val="0"/>
          <w:numId w:val="11"/>
        </w:numPr>
      </w:pPr>
      <w:bookmarkStart w:id="1544" w:name="_Toc518566492"/>
      <w:bookmarkStart w:id="1545" w:name="_Toc528932770"/>
      <w:bookmarkStart w:id="1546" w:name="_Toc531859307"/>
      <w:r w:rsidRPr="005B0796">
        <w:t>Detailed tables</w:t>
      </w:r>
      <w:bookmarkStart w:id="1547" w:name="_Toc509917529"/>
      <w:bookmarkStart w:id="1548" w:name="_Toc515374625"/>
      <w:bookmarkStart w:id="1549" w:name="_Toc487011321"/>
      <w:bookmarkEnd w:id="1544"/>
      <w:bookmarkEnd w:id="1545"/>
      <w:bookmarkEnd w:id="1546"/>
    </w:p>
    <w:p w14:paraId="0A543A55" w14:textId="77777777" w:rsidR="00594252" w:rsidRPr="002D1611" w:rsidRDefault="00594252" w:rsidP="00594252">
      <w:pPr>
        <w:rPr>
          <w:b/>
          <w:color w:val="001E60"/>
          <w:sz w:val="24"/>
          <w:szCs w:val="24"/>
        </w:rPr>
      </w:pPr>
      <w:r w:rsidRPr="002D1611">
        <w:rPr>
          <w:b/>
          <w:color w:val="001E60"/>
          <w:sz w:val="24"/>
          <w:szCs w:val="24"/>
        </w:rPr>
        <w:t>C.1</w:t>
      </w:r>
      <w:r w:rsidRPr="002D1611">
        <w:rPr>
          <w:b/>
          <w:color w:val="001E60"/>
          <w:sz w:val="24"/>
          <w:szCs w:val="24"/>
        </w:rPr>
        <w:tab/>
        <w:t>Denominators used in the analyses</w:t>
      </w:r>
      <w:bookmarkEnd w:id="1547"/>
      <w:bookmarkEnd w:id="1548"/>
      <w:bookmarkEnd w:id="1549"/>
    </w:p>
    <w:p w14:paraId="5C4E7949" w14:textId="77777777" w:rsidR="00594252" w:rsidRPr="00E924CC" w:rsidRDefault="00594252" w:rsidP="009919A9">
      <w:pPr>
        <w:pStyle w:val="TableName"/>
      </w:pPr>
      <w:bookmarkStart w:id="1550" w:name="_Toc515374703"/>
      <w:bookmarkStart w:id="1551" w:name="_Toc528932388"/>
      <w:bookmarkStart w:id="1552" w:name="_Toc531858067"/>
      <w:r>
        <w:t>Table C.1</w:t>
      </w:r>
      <w:r>
        <w:tab/>
      </w:r>
      <w:r w:rsidRPr="00E924CC">
        <w:t>Denominators</w:t>
      </w:r>
      <w:bookmarkEnd w:id="1550"/>
      <w:bookmarkEnd w:id="1551"/>
      <w:bookmarkEnd w:id="1552"/>
    </w:p>
    <w:tbl>
      <w:tblPr>
        <w:tblStyle w:val="TWRPTable"/>
        <w:tblW w:w="5000" w:type="pct"/>
        <w:tblLayout w:type="fixed"/>
        <w:tblCellMar>
          <w:left w:w="115" w:type="dxa"/>
          <w:right w:w="115" w:type="dxa"/>
        </w:tblCellMar>
        <w:tblLook w:val="04A0" w:firstRow="1" w:lastRow="0" w:firstColumn="1" w:lastColumn="0" w:noHBand="0" w:noVBand="1"/>
        <w:tblDescription w:val="Table C.1 Denominators"/>
      </w:tblPr>
      <w:tblGrid>
        <w:gridCol w:w="1702"/>
        <w:gridCol w:w="1484"/>
        <w:gridCol w:w="3903"/>
      </w:tblGrid>
      <w:tr w:rsidR="00594252" w:rsidRPr="009919A9" w14:paraId="71B98C57" w14:textId="77777777" w:rsidTr="00733CC3">
        <w:trPr>
          <w:cnfStyle w:val="100000000000" w:firstRow="1" w:lastRow="0" w:firstColumn="0" w:lastColumn="0" w:oddVBand="0" w:evenVBand="0" w:oddHBand="0" w:evenHBand="0" w:firstRowFirstColumn="0" w:firstRowLastColumn="0" w:lastRowFirstColumn="0" w:lastRowLastColumn="0"/>
          <w:cantSplit/>
          <w:tblHeader/>
        </w:trPr>
        <w:tc>
          <w:tcPr>
            <w:tcW w:w="2122" w:type="dxa"/>
            <w:tcBorders>
              <w:top w:val="single" w:sz="4" w:space="0" w:color="000000"/>
            </w:tcBorders>
            <w:shd w:val="clear" w:color="auto" w:fill="auto"/>
          </w:tcPr>
          <w:p w14:paraId="498FDE61" w14:textId="77777777" w:rsidR="00594252" w:rsidRPr="009919A9" w:rsidRDefault="00594252" w:rsidP="00594252">
            <w:pPr>
              <w:pStyle w:val="TableText"/>
              <w:rPr>
                <w:szCs w:val="14"/>
              </w:rPr>
            </w:pPr>
            <w:r w:rsidRPr="009919A9">
              <w:rPr>
                <w:szCs w:val="14"/>
              </w:rPr>
              <w:t>Cohort</w:t>
            </w:r>
          </w:p>
        </w:tc>
        <w:tc>
          <w:tcPr>
            <w:tcW w:w="1842" w:type="dxa"/>
            <w:tcBorders>
              <w:top w:val="single" w:sz="4" w:space="0" w:color="000000"/>
            </w:tcBorders>
            <w:shd w:val="clear" w:color="auto" w:fill="auto"/>
          </w:tcPr>
          <w:p w14:paraId="2F53088E" w14:textId="77777777" w:rsidR="00594252" w:rsidRPr="009919A9" w:rsidRDefault="00594252" w:rsidP="00594252">
            <w:pPr>
              <w:pStyle w:val="TableText"/>
              <w:rPr>
                <w:bCs/>
                <w:szCs w:val="14"/>
              </w:rPr>
            </w:pPr>
            <w:r w:rsidRPr="009919A9">
              <w:rPr>
                <w:bCs/>
                <w:szCs w:val="14"/>
              </w:rPr>
              <w:t>Sample</w:t>
            </w:r>
          </w:p>
        </w:tc>
        <w:tc>
          <w:tcPr>
            <w:tcW w:w="4962" w:type="dxa"/>
            <w:tcBorders>
              <w:top w:val="single" w:sz="4" w:space="0" w:color="000000"/>
            </w:tcBorders>
            <w:shd w:val="clear" w:color="auto" w:fill="auto"/>
          </w:tcPr>
          <w:p w14:paraId="1F7BF6D8" w14:textId="77777777" w:rsidR="00594252" w:rsidRPr="009919A9" w:rsidRDefault="00594252" w:rsidP="00594252">
            <w:pPr>
              <w:pStyle w:val="TableText"/>
              <w:rPr>
                <w:rFonts w:cs="Arial"/>
                <w:szCs w:val="14"/>
              </w:rPr>
            </w:pPr>
            <w:r w:rsidRPr="009919A9">
              <w:rPr>
                <w:rFonts w:cs="Arial"/>
                <w:szCs w:val="14"/>
              </w:rPr>
              <w:t>Tables in report that use the denominator</w:t>
            </w:r>
          </w:p>
        </w:tc>
      </w:tr>
      <w:tr w:rsidR="00594252" w:rsidRPr="008A04DF" w14:paraId="09DFE086"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8926" w:type="dxa"/>
            <w:gridSpan w:val="3"/>
            <w:shd w:val="clear" w:color="auto" w:fill="auto"/>
          </w:tcPr>
          <w:p w14:paraId="7649D792" w14:textId="77777777" w:rsidR="00594252" w:rsidRPr="008A04DF" w:rsidRDefault="00594252" w:rsidP="00594252">
            <w:pPr>
              <w:pStyle w:val="TableText"/>
              <w:rPr>
                <w:b/>
                <w:szCs w:val="14"/>
              </w:rPr>
            </w:pPr>
            <w:r w:rsidRPr="008A04DF">
              <w:rPr>
                <w:b/>
                <w:szCs w:val="14"/>
              </w:rPr>
              <w:t>Entire cohort</w:t>
            </w:r>
          </w:p>
        </w:tc>
      </w:tr>
      <w:tr w:rsidR="00594252" w:rsidRPr="008A04DF" w14:paraId="45268D31" w14:textId="77777777" w:rsidTr="00733CC3">
        <w:trPr>
          <w:cantSplit/>
        </w:trPr>
        <w:tc>
          <w:tcPr>
            <w:tcW w:w="2122" w:type="dxa"/>
            <w:shd w:val="clear" w:color="auto" w:fill="auto"/>
          </w:tcPr>
          <w:p w14:paraId="6CB5181E" w14:textId="77777777" w:rsidR="00594252" w:rsidRPr="008A04DF" w:rsidRDefault="00594252" w:rsidP="00594252">
            <w:pPr>
              <w:pStyle w:val="TableText"/>
              <w:rPr>
                <w:szCs w:val="14"/>
              </w:rPr>
            </w:pPr>
            <w:r w:rsidRPr="008A04DF">
              <w:rPr>
                <w:szCs w:val="14"/>
              </w:rPr>
              <w:t>2015 Regular ADF</w:t>
            </w:r>
          </w:p>
        </w:tc>
        <w:tc>
          <w:tcPr>
            <w:tcW w:w="1842" w:type="dxa"/>
            <w:shd w:val="clear" w:color="auto" w:fill="auto"/>
          </w:tcPr>
          <w:p w14:paraId="7A6B33E0" w14:textId="77777777" w:rsidR="00594252" w:rsidRPr="008A04DF" w:rsidRDefault="00594252" w:rsidP="00594252">
            <w:pPr>
              <w:pStyle w:val="TableText"/>
              <w:rPr>
                <w:szCs w:val="14"/>
              </w:rPr>
            </w:pPr>
            <w:r w:rsidRPr="008A04DF">
              <w:rPr>
                <w:szCs w:val="14"/>
              </w:rPr>
              <w:t>52,500</w:t>
            </w:r>
          </w:p>
        </w:tc>
        <w:tc>
          <w:tcPr>
            <w:tcW w:w="4962" w:type="dxa"/>
            <w:vMerge w:val="restart"/>
            <w:shd w:val="clear" w:color="auto" w:fill="auto"/>
          </w:tcPr>
          <w:p w14:paraId="7DB217AD" w14:textId="77777777" w:rsidR="00594252" w:rsidRPr="008A04DF" w:rsidRDefault="00594252" w:rsidP="00594252">
            <w:pPr>
              <w:pStyle w:val="TableText"/>
              <w:rPr>
                <w:szCs w:val="14"/>
              </w:rPr>
            </w:pPr>
            <w:r w:rsidRPr="008A04DF">
              <w:rPr>
                <w:b/>
                <w:szCs w:val="14"/>
              </w:rPr>
              <w:t>Chapter 3</w:t>
            </w:r>
            <w:r w:rsidRPr="008A04DF">
              <w:rPr>
                <w:szCs w:val="14"/>
              </w:rPr>
              <w:t xml:space="preserve">: 3.1, 3.2, 3.3, 3.4, 3.5, </w:t>
            </w:r>
          </w:p>
          <w:p w14:paraId="34433911" w14:textId="77777777" w:rsidR="00594252" w:rsidRPr="008A04DF" w:rsidRDefault="00594252" w:rsidP="00594252">
            <w:pPr>
              <w:pStyle w:val="TableText"/>
              <w:rPr>
                <w:szCs w:val="14"/>
              </w:rPr>
            </w:pPr>
            <w:r w:rsidRPr="008A04DF">
              <w:rPr>
                <w:b/>
                <w:szCs w:val="14"/>
              </w:rPr>
              <w:t>Chapter 4</w:t>
            </w:r>
            <w:r w:rsidRPr="008A04DF">
              <w:rPr>
                <w:szCs w:val="14"/>
              </w:rPr>
              <w:t>: 4.1, 4.2, 4.3, 4.4, 4.5, 4.6, 4.7, 4.8, 4.9, 4.10, 4.11, 4.14, 4.15, 4.19, 4.21</w:t>
            </w:r>
          </w:p>
          <w:p w14:paraId="11F10656" w14:textId="77777777" w:rsidR="00594252" w:rsidRPr="008A04DF" w:rsidRDefault="00594252" w:rsidP="00594252">
            <w:pPr>
              <w:pStyle w:val="TableText"/>
              <w:rPr>
                <w:szCs w:val="14"/>
              </w:rPr>
            </w:pPr>
            <w:r w:rsidRPr="008A04DF">
              <w:rPr>
                <w:b/>
                <w:szCs w:val="14"/>
              </w:rPr>
              <w:t>Chapter 5</w:t>
            </w:r>
            <w:r w:rsidRPr="008A04DF">
              <w:rPr>
                <w:szCs w:val="14"/>
              </w:rPr>
              <w:t xml:space="preserve">: 5.1, 5.2, </w:t>
            </w:r>
          </w:p>
          <w:p w14:paraId="668CDDD1" w14:textId="77777777" w:rsidR="00594252" w:rsidRPr="008A04DF" w:rsidRDefault="00594252" w:rsidP="00594252">
            <w:pPr>
              <w:pStyle w:val="TableText"/>
              <w:rPr>
                <w:szCs w:val="14"/>
              </w:rPr>
            </w:pPr>
            <w:r w:rsidRPr="008A04DF">
              <w:rPr>
                <w:b/>
                <w:szCs w:val="14"/>
              </w:rPr>
              <w:t>Chapter 8</w:t>
            </w:r>
            <w:r w:rsidRPr="008A04DF">
              <w:rPr>
                <w:szCs w:val="14"/>
              </w:rPr>
              <w:t>: 8.1, 8.2, 8.3, 8.4, 8.5, 8.6, 8.7, 8.8, 8.9, 8.10, 8.11, 8.12, 8.13, 8.14, 8.15</w:t>
            </w:r>
          </w:p>
        </w:tc>
      </w:tr>
      <w:tr w:rsidR="00594252" w:rsidRPr="008A04DF" w14:paraId="5909A0E0"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2122" w:type="dxa"/>
            <w:tcBorders>
              <w:bottom w:val="single" w:sz="4" w:space="0" w:color="000000"/>
            </w:tcBorders>
            <w:shd w:val="clear" w:color="auto" w:fill="auto"/>
          </w:tcPr>
          <w:p w14:paraId="73036AB6" w14:textId="77777777" w:rsidR="00594252" w:rsidRPr="008A04DF" w:rsidRDefault="00594252" w:rsidP="00594252">
            <w:pPr>
              <w:pStyle w:val="TableText"/>
              <w:rPr>
                <w:szCs w:val="14"/>
              </w:rPr>
            </w:pPr>
            <w:r w:rsidRPr="008A04DF">
              <w:rPr>
                <w:szCs w:val="14"/>
              </w:rPr>
              <w:t>Transitioned ADF</w:t>
            </w:r>
          </w:p>
        </w:tc>
        <w:tc>
          <w:tcPr>
            <w:tcW w:w="1842" w:type="dxa"/>
            <w:tcBorders>
              <w:bottom w:val="single" w:sz="4" w:space="0" w:color="000000"/>
            </w:tcBorders>
            <w:shd w:val="clear" w:color="auto" w:fill="auto"/>
          </w:tcPr>
          <w:p w14:paraId="6521C71E" w14:textId="77777777" w:rsidR="00594252" w:rsidRPr="008A04DF" w:rsidRDefault="00594252" w:rsidP="00594252">
            <w:pPr>
              <w:pStyle w:val="TableText"/>
              <w:rPr>
                <w:szCs w:val="14"/>
              </w:rPr>
            </w:pPr>
            <w:r w:rsidRPr="008A04DF">
              <w:rPr>
                <w:szCs w:val="14"/>
              </w:rPr>
              <w:t>24,932</w:t>
            </w:r>
          </w:p>
        </w:tc>
        <w:tc>
          <w:tcPr>
            <w:tcW w:w="4962" w:type="dxa"/>
            <w:vMerge/>
            <w:tcBorders>
              <w:bottom w:val="single" w:sz="4" w:space="0" w:color="000000"/>
            </w:tcBorders>
            <w:shd w:val="clear" w:color="auto" w:fill="auto"/>
          </w:tcPr>
          <w:p w14:paraId="5BE0C59B" w14:textId="77777777" w:rsidR="00594252" w:rsidRPr="008A04DF" w:rsidRDefault="00594252" w:rsidP="00594252">
            <w:pPr>
              <w:pStyle w:val="TableText"/>
              <w:rPr>
                <w:szCs w:val="14"/>
              </w:rPr>
            </w:pPr>
          </w:p>
        </w:tc>
      </w:tr>
      <w:tr w:rsidR="00594252" w:rsidRPr="008A04DF" w14:paraId="4500B1F1" w14:textId="77777777" w:rsidTr="00733CC3">
        <w:trPr>
          <w:cantSplit/>
        </w:trPr>
        <w:tc>
          <w:tcPr>
            <w:tcW w:w="8926" w:type="dxa"/>
            <w:gridSpan w:val="3"/>
            <w:tcBorders>
              <w:top w:val="single" w:sz="4" w:space="0" w:color="000000"/>
              <w:bottom w:val="nil"/>
            </w:tcBorders>
            <w:shd w:val="clear" w:color="auto" w:fill="auto"/>
          </w:tcPr>
          <w:p w14:paraId="616D9BD9" w14:textId="77777777" w:rsidR="00594252" w:rsidRPr="008A04DF" w:rsidRDefault="00594252" w:rsidP="00594252">
            <w:pPr>
              <w:pStyle w:val="TableText"/>
              <w:rPr>
                <w:b/>
                <w:szCs w:val="14"/>
              </w:rPr>
            </w:pPr>
            <w:r w:rsidRPr="008A04DF">
              <w:rPr>
                <w:b/>
                <w:szCs w:val="14"/>
              </w:rPr>
              <w:t xml:space="preserve">Uses </w:t>
            </w:r>
            <w:r>
              <w:rPr>
                <w:b/>
                <w:szCs w:val="14"/>
              </w:rPr>
              <w:t>e</w:t>
            </w:r>
            <w:r w:rsidRPr="008A04DF">
              <w:rPr>
                <w:b/>
                <w:szCs w:val="14"/>
              </w:rPr>
              <w:t xml:space="preserve">merging </w:t>
            </w:r>
            <w:r>
              <w:rPr>
                <w:b/>
                <w:szCs w:val="14"/>
              </w:rPr>
              <w:t>t</w:t>
            </w:r>
            <w:r w:rsidRPr="008A04DF">
              <w:rPr>
                <w:b/>
                <w:szCs w:val="14"/>
              </w:rPr>
              <w:t>echnologies</w:t>
            </w:r>
          </w:p>
        </w:tc>
      </w:tr>
      <w:tr w:rsidR="00594252" w:rsidRPr="008A04DF" w14:paraId="61124027"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2122" w:type="dxa"/>
            <w:tcBorders>
              <w:top w:val="nil"/>
            </w:tcBorders>
            <w:shd w:val="clear" w:color="auto" w:fill="auto"/>
          </w:tcPr>
          <w:p w14:paraId="46B749C9" w14:textId="77777777" w:rsidR="00594252" w:rsidRPr="008A04DF" w:rsidRDefault="00594252" w:rsidP="00594252">
            <w:pPr>
              <w:pStyle w:val="TableText"/>
              <w:rPr>
                <w:szCs w:val="14"/>
              </w:rPr>
            </w:pPr>
            <w:r w:rsidRPr="008A04DF">
              <w:rPr>
                <w:szCs w:val="14"/>
              </w:rPr>
              <w:t>2015 Regular ADF</w:t>
            </w:r>
          </w:p>
        </w:tc>
        <w:tc>
          <w:tcPr>
            <w:tcW w:w="1842" w:type="dxa"/>
            <w:tcBorders>
              <w:top w:val="nil"/>
            </w:tcBorders>
            <w:shd w:val="clear" w:color="auto" w:fill="auto"/>
          </w:tcPr>
          <w:p w14:paraId="009678B1" w14:textId="77777777" w:rsidR="00594252" w:rsidRPr="008A04DF" w:rsidRDefault="00594252" w:rsidP="00594252">
            <w:pPr>
              <w:pStyle w:val="TableText"/>
              <w:rPr>
                <w:szCs w:val="14"/>
              </w:rPr>
            </w:pPr>
            <w:r w:rsidRPr="008A04DF">
              <w:rPr>
                <w:szCs w:val="14"/>
              </w:rPr>
              <w:t>26,480</w:t>
            </w:r>
          </w:p>
        </w:tc>
        <w:tc>
          <w:tcPr>
            <w:tcW w:w="4962" w:type="dxa"/>
            <w:vMerge w:val="restart"/>
            <w:tcBorders>
              <w:top w:val="nil"/>
            </w:tcBorders>
            <w:shd w:val="clear" w:color="auto" w:fill="auto"/>
          </w:tcPr>
          <w:p w14:paraId="27A0DB85" w14:textId="77777777" w:rsidR="00594252" w:rsidRPr="008A04DF" w:rsidRDefault="00594252" w:rsidP="00594252">
            <w:pPr>
              <w:pStyle w:val="TableText"/>
              <w:rPr>
                <w:szCs w:val="14"/>
              </w:rPr>
            </w:pPr>
            <w:r w:rsidRPr="008A04DF">
              <w:rPr>
                <w:b/>
                <w:szCs w:val="14"/>
              </w:rPr>
              <w:t>Chapter 4</w:t>
            </w:r>
            <w:r w:rsidRPr="008A04DF">
              <w:rPr>
                <w:szCs w:val="14"/>
              </w:rPr>
              <w:t>: 4.12, 4.16, 4.20</w:t>
            </w:r>
          </w:p>
        </w:tc>
      </w:tr>
      <w:tr w:rsidR="00594252" w:rsidRPr="008A04DF" w14:paraId="78E19424" w14:textId="77777777" w:rsidTr="00733CC3">
        <w:trPr>
          <w:cantSplit/>
        </w:trPr>
        <w:tc>
          <w:tcPr>
            <w:tcW w:w="2122" w:type="dxa"/>
            <w:tcBorders>
              <w:bottom w:val="single" w:sz="4" w:space="0" w:color="000000"/>
            </w:tcBorders>
            <w:shd w:val="clear" w:color="auto" w:fill="auto"/>
          </w:tcPr>
          <w:p w14:paraId="1433FE69" w14:textId="77777777" w:rsidR="00594252" w:rsidRPr="008A04DF" w:rsidRDefault="00594252" w:rsidP="00594252">
            <w:pPr>
              <w:pStyle w:val="TableText"/>
              <w:rPr>
                <w:szCs w:val="14"/>
              </w:rPr>
            </w:pPr>
            <w:r w:rsidRPr="008A04DF">
              <w:rPr>
                <w:szCs w:val="14"/>
              </w:rPr>
              <w:t>Transitioned ADF</w:t>
            </w:r>
          </w:p>
        </w:tc>
        <w:tc>
          <w:tcPr>
            <w:tcW w:w="1842" w:type="dxa"/>
            <w:tcBorders>
              <w:bottom w:val="single" w:sz="4" w:space="0" w:color="000000"/>
            </w:tcBorders>
            <w:shd w:val="clear" w:color="auto" w:fill="auto"/>
          </w:tcPr>
          <w:p w14:paraId="29B3C309" w14:textId="77777777" w:rsidR="00594252" w:rsidRPr="008A04DF" w:rsidRDefault="00594252" w:rsidP="00594252">
            <w:pPr>
              <w:pStyle w:val="TableText"/>
              <w:rPr>
                <w:szCs w:val="14"/>
              </w:rPr>
            </w:pPr>
            <w:r w:rsidRPr="008A04DF">
              <w:rPr>
                <w:szCs w:val="14"/>
              </w:rPr>
              <w:t>12,145</w:t>
            </w:r>
          </w:p>
        </w:tc>
        <w:tc>
          <w:tcPr>
            <w:tcW w:w="4962" w:type="dxa"/>
            <w:vMerge/>
            <w:tcBorders>
              <w:bottom w:val="single" w:sz="4" w:space="0" w:color="000000"/>
            </w:tcBorders>
            <w:shd w:val="clear" w:color="auto" w:fill="auto"/>
          </w:tcPr>
          <w:p w14:paraId="704DEF48" w14:textId="77777777" w:rsidR="00594252" w:rsidRPr="008A04DF" w:rsidRDefault="00594252" w:rsidP="00594252">
            <w:pPr>
              <w:pStyle w:val="TableText"/>
              <w:rPr>
                <w:szCs w:val="14"/>
              </w:rPr>
            </w:pPr>
          </w:p>
        </w:tc>
      </w:tr>
      <w:tr w:rsidR="00594252" w:rsidRPr="008A04DF" w14:paraId="07F525A3"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8926" w:type="dxa"/>
            <w:gridSpan w:val="3"/>
            <w:tcBorders>
              <w:top w:val="single" w:sz="4" w:space="0" w:color="000000"/>
              <w:bottom w:val="nil"/>
            </w:tcBorders>
            <w:shd w:val="clear" w:color="auto" w:fill="auto"/>
          </w:tcPr>
          <w:p w14:paraId="00FD1401" w14:textId="77777777" w:rsidR="00594252" w:rsidRPr="008A04DF" w:rsidRDefault="00594252" w:rsidP="00594252">
            <w:pPr>
              <w:pStyle w:val="TableText"/>
              <w:rPr>
                <w:b/>
                <w:szCs w:val="14"/>
              </w:rPr>
            </w:pPr>
            <w:r w:rsidRPr="008A04DF">
              <w:rPr>
                <w:b/>
                <w:szCs w:val="14"/>
              </w:rPr>
              <w:t xml:space="preserve">Does not use </w:t>
            </w:r>
            <w:r>
              <w:rPr>
                <w:b/>
                <w:szCs w:val="14"/>
              </w:rPr>
              <w:t>e</w:t>
            </w:r>
            <w:r w:rsidRPr="008A04DF">
              <w:rPr>
                <w:b/>
                <w:szCs w:val="14"/>
              </w:rPr>
              <w:t xml:space="preserve">merging </w:t>
            </w:r>
            <w:r>
              <w:rPr>
                <w:b/>
                <w:szCs w:val="14"/>
              </w:rPr>
              <w:t>t</w:t>
            </w:r>
            <w:r w:rsidRPr="008A04DF">
              <w:rPr>
                <w:b/>
                <w:szCs w:val="14"/>
              </w:rPr>
              <w:t>echnologies</w:t>
            </w:r>
          </w:p>
        </w:tc>
      </w:tr>
      <w:tr w:rsidR="00594252" w:rsidRPr="008A04DF" w14:paraId="7744F363" w14:textId="77777777" w:rsidTr="00733CC3">
        <w:trPr>
          <w:cantSplit/>
        </w:trPr>
        <w:tc>
          <w:tcPr>
            <w:tcW w:w="2122" w:type="dxa"/>
            <w:tcBorders>
              <w:top w:val="nil"/>
            </w:tcBorders>
            <w:shd w:val="clear" w:color="auto" w:fill="auto"/>
          </w:tcPr>
          <w:p w14:paraId="62B18554" w14:textId="77777777" w:rsidR="00594252" w:rsidRPr="008A04DF" w:rsidRDefault="00594252" w:rsidP="00594252">
            <w:pPr>
              <w:pStyle w:val="TableText"/>
              <w:rPr>
                <w:szCs w:val="14"/>
              </w:rPr>
            </w:pPr>
            <w:r w:rsidRPr="008A04DF">
              <w:rPr>
                <w:szCs w:val="14"/>
              </w:rPr>
              <w:t>2015 Regular ADF</w:t>
            </w:r>
          </w:p>
        </w:tc>
        <w:tc>
          <w:tcPr>
            <w:tcW w:w="1842" w:type="dxa"/>
            <w:tcBorders>
              <w:top w:val="nil"/>
            </w:tcBorders>
            <w:shd w:val="clear" w:color="auto" w:fill="auto"/>
          </w:tcPr>
          <w:p w14:paraId="4F54C5D0" w14:textId="77777777" w:rsidR="00594252" w:rsidRPr="008A04DF" w:rsidRDefault="00594252" w:rsidP="00594252">
            <w:pPr>
              <w:pStyle w:val="TableText"/>
              <w:rPr>
                <w:szCs w:val="14"/>
              </w:rPr>
            </w:pPr>
            <w:r w:rsidRPr="008A04DF">
              <w:rPr>
                <w:rFonts w:cs="Calibri"/>
                <w:szCs w:val="14"/>
              </w:rPr>
              <w:t>20,164</w:t>
            </w:r>
          </w:p>
        </w:tc>
        <w:tc>
          <w:tcPr>
            <w:tcW w:w="4962" w:type="dxa"/>
            <w:vMerge w:val="restart"/>
            <w:tcBorders>
              <w:top w:val="nil"/>
            </w:tcBorders>
            <w:shd w:val="clear" w:color="auto" w:fill="auto"/>
          </w:tcPr>
          <w:p w14:paraId="02359A14" w14:textId="77777777" w:rsidR="00594252" w:rsidRPr="008A04DF" w:rsidRDefault="00594252" w:rsidP="00594252">
            <w:pPr>
              <w:pStyle w:val="TableText"/>
              <w:rPr>
                <w:szCs w:val="14"/>
              </w:rPr>
            </w:pPr>
            <w:r w:rsidRPr="008A04DF">
              <w:rPr>
                <w:b/>
                <w:szCs w:val="14"/>
              </w:rPr>
              <w:t>Chapter 4</w:t>
            </w:r>
            <w:r w:rsidRPr="008A04DF">
              <w:rPr>
                <w:szCs w:val="14"/>
              </w:rPr>
              <w:t>: 4.13</w:t>
            </w:r>
          </w:p>
          <w:p w14:paraId="5D6498C0" w14:textId="77777777" w:rsidR="00594252" w:rsidRPr="008A04DF" w:rsidRDefault="00594252" w:rsidP="00594252">
            <w:pPr>
              <w:pStyle w:val="TableText"/>
              <w:rPr>
                <w:szCs w:val="14"/>
              </w:rPr>
            </w:pPr>
          </w:p>
        </w:tc>
      </w:tr>
      <w:tr w:rsidR="00594252" w:rsidRPr="008A04DF" w14:paraId="28425E46"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2122" w:type="dxa"/>
            <w:tcBorders>
              <w:bottom w:val="single" w:sz="4" w:space="0" w:color="000000"/>
            </w:tcBorders>
            <w:shd w:val="clear" w:color="auto" w:fill="auto"/>
          </w:tcPr>
          <w:p w14:paraId="2B3A148D" w14:textId="77777777" w:rsidR="00594252" w:rsidRPr="008A04DF" w:rsidRDefault="00594252" w:rsidP="00594252">
            <w:pPr>
              <w:pStyle w:val="TableText"/>
              <w:rPr>
                <w:szCs w:val="14"/>
              </w:rPr>
            </w:pPr>
            <w:r w:rsidRPr="008A04DF">
              <w:rPr>
                <w:szCs w:val="14"/>
              </w:rPr>
              <w:t>Transitioned ADF</w:t>
            </w:r>
          </w:p>
        </w:tc>
        <w:tc>
          <w:tcPr>
            <w:tcW w:w="1842" w:type="dxa"/>
            <w:tcBorders>
              <w:bottom w:val="single" w:sz="4" w:space="0" w:color="000000"/>
            </w:tcBorders>
            <w:shd w:val="clear" w:color="auto" w:fill="auto"/>
          </w:tcPr>
          <w:p w14:paraId="6E333B2A" w14:textId="77777777" w:rsidR="00594252" w:rsidRPr="008A04DF" w:rsidRDefault="00594252" w:rsidP="00594252">
            <w:pPr>
              <w:pStyle w:val="TableText"/>
              <w:rPr>
                <w:szCs w:val="14"/>
              </w:rPr>
            </w:pPr>
            <w:r w:rsidRPr="008A04DF">
              <w:rPr>
                <w:rFonts w:cs="Calibri"/>
                <w:szCs w:val="14"/>
              </w:rPr>
              <w:t>10,347</w:t>
            </w:r>
          </w:p>
        </w:tc>
        <w:tc>
          <w:tcPr>
            <w:tcW w:w="4962" w:type="dxa"/>
            <w:vMerge/>
            <w:tcBorders>
              <w:bottom w:val="single" w:sz="4" w:space="0" w:color="000000"/>
            </w:tcBorders>
            <w:shd w:val="clear" w:color="auto" w:fill="auto"/>
          </w:tcPr>
          <w:p w14:paraId="3E71A136" w14:textId="77777777" w:rsidR="00594252" w:rsidRPr="008A04DF" w:rsidRDefault="00594252" w:rsidP="00594252">
            <w:pPr>
              <w:pStyle w:val="TableText"/>
              <w:rPr>
                <w:szCs w:val="14"/>
              </w:rPr>
            </w:pPr>
          </w:p>
        </w:tc>
      </w:tr>
      <w:tr w:rsidR="00594252" w:rsidRPr="008A04DF" w14:paraId="246B4F5B" w14:textId="77777777" w:rsidTr="00733CC3">
        <w:trPr>
          <w:cantSplit/>
        </w:trPr>
        <w:tc>
          <w:tcPr>
            <w:tcW w:w="8926" w:type="dxa"/>
            <w:gridSpan w:val="3"/>
            <w:tcBorders>
              <w:top w:val="single" w:sz="4" w:space="0" w:color="000000"/>
              <w:bottom w:val="nil"/>
            </w:tcBorders>
            <w:shd w:val="clear" w:color="auto" w:fill="auto"/>
          </w:tcPr>
          <w:p w14:paraId="15276C1D" w14:textId="77777777" w:rsidR="00594252" w:rsidRPr="008A04DF" w:rsidRDefault="00594252" w:rsidP="00594252">
            <w:pPr>
              <w:pStyle w:val="TableText"/>
              <w:rPr>
                <w:b/>
                <w:szCs w:val="14"/>
              </w:rPr>
            </w:pPr>
            <w:r w:rsidRPr="008A04DF">
              <w:rPr>
                <w:b/>
                <w:szCs w:val="14"/>
              </w:rPr>
              <w:t xml:space="preserve">Uses </w:t>
            </w:r>
            <w:r>
              <w:rPr>
                <w:b/>
                <w:szCs w:val="14"/>
              </w:rPr>
              <w:t>e</w:t>
            </w:r>
            <w:r w:rsidRPr="008A04DF">
              <w:rPr>
                <w:b/>
                <w:szCs w:val="14"/>
              </w:rPr>
              <w:t xml:space="preserve">merging </w:t>
            </w:r>
            <w:r>
              <w:rPr>
                <w:b/>
                <w:szCs w:val="14"/>
              </w:rPr>
              <w:t>t</w:t>
            </w:r>
            <w:r w:rsidRPr="008A04DF">
              <w:rPr>
                <w:b/>
                <w:szCs w:val="14"/>
              </w:rPr>
              <w:t>echnologies to improve health and wellbeing</w:t>
            </w:r>
          </w:p>
        </w:tc>
      </w:tr>
      <w:tr w:rsidR="00594252" w:rsidRPr="008A04DF" w14:paraId="5955C04F"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2122" w:type="dxa"/>
            <w:tcBorders>
              <w:top w:val="nil"/>
            </w:tcBorders>
            <w:shd w:val="clear" w:color="auto" w:fill="auto"/>
          </w:tcPr>
          <w:p w14:paraId="43D02016" w14:textId="77777777" w:rsidR="00594252" w:rsidRPr="008A04DF" w:rsidRDefault="00594252" w:rsidP="00594252">
            <w:pPr>
              <w:pStyle w:val="TableText"/>
              <w:rPr>
                <w:szCs w:val="14"/>
              </w:rPr>
            </w:pPr>
            <w:r w:rsidRPr="008A04DF">
              <w:rPr>
                <w:szCs w:val="14"/>
              </w:rPr>
              <w:t>2015 Regular ADF</w:t>
            </w:r>
          </w:p>
        </w:tc>
        <w:tc>
          <w:tcPr>
            <w:tcW w:w="1842" w:type="dxa"/>
            <w:tcBorders>
              <w:top w:val="nil"/>
            </w:tcBorders>
            <w:shd w:val="clear" w:color="auto" w:fill="auto"/>
          </w:tcPr>
          <w:p w14:paraId="226BD784" w14:textId="77777777" w:rsidR="00594252" w:rsidRPr="008A04DF" w:rsidRDefault="00594252" w:rsidP="00594252">
            <w:pPr>
              <w:pStyle w:val="TableText"/>
              <w:rPr>
                <w:szCs w:val="14"/>
              </w:rPr>
            </w:pPr>
            <w:r w:rsidRPr="008A04DF">
              <w:rPr>
                <w:szCs w:val="14"/>
              </w:rPr>
              <w:t>13,131</w:t>
            </w:r>
          </w:p>
        </w:tc>
        <w:tc>
          <w:tcPr>
            <w:tcW w:w="4962" w:type="dxa"/>
            <w:vMerge w:val="restart"/>
            <w:tcBorders>
              <w:top w:val="nil"/>
            </w:tcBorders>
            <w:shd w:val="clear" w:color="auto" w:fill="auto"/>
          </w:tcPr>
          <w:p w14:paraId="1E37AF88" w14:textId="77777777" w:rsidR="00594252" w:rsidRPr="008A04DF" w:rsidRDefault="00594252" w:rsidP="00594252">
            <w:pPr>
              <w:pStyle w:val="TableText"/>
              <w:rPr>
                <w:szCs w:val="14"/>
              </w:rPr>
            </w:pPr>
            <w:r w:rsidRPr="008A04DF">
              <w:rPr>
                <w:b/>
                <w:szCs w:val="14"/>
              </w:rPr>
              <w:t>Chapter 4</w:t>
            </w:r>
            <w:r w:rsidRPr="008A04DF">
              <w:rPr>
                <w:szCs w:val="14"/>
              </w:rPr>
              <w:t>: 4.17</w:t>
            </w:r>
          </w:p>
        </w:tc>
      </w:tr>
      <w:tr w:rsidR="00594252" w:rsidRPr="008A04DF" w14:paraId="13E08E80" w14:textId="77777777" w:rsidTr="00733CC3">
        <w:trPr>
          <w:cantSplit/>
        </w:trPr>
        <w:tc>
          <w:tcPr>
            <w:tcW w:w="2122" w:type="dxa"/>
            <w:tcBorders>
              <w:bottom w:val="single" w:sz="4" w:space="0" w:color="000000"/>
            </w:tcBorders>
            <w:shd w:val="clear" w:color="auto" w:fill="auto"/>
          </w:tcPr>
          <w:p w14:paraId="49BF709D" w14:textId="77777777" w:rsidR="00594252" w:rsidRPr="008A04DF" w:rsidRDefault="00594252" w:rsidP="00594252">
            <w:pPr>
              <w:pStyle w:val="TableText"/>
              <w:rPr>
                <w:szCs w:val="14"/>
              </w:rPr>
            </w:pPr>
            <w:r w:rsidRPr="008A04DF">
              <w:rPr>
                <w:szCs w:val="14"/>
              </w:rPr>
              <w:t>Transitioned ADF</w:t>
            </w:r>
          </w:p>
        </w:tc>
        <w:tc>
          <w:tcPr>
            <w:tcW w:w="1842" w:type="dxa"/>
            <w:tcBorders>
              <w:bottom w:val="single" w:sz="4" w:space="0" w:color="000000"/>
            </w:tcBorders>
            <w:shd w:val="clear" w:color="auto" w:fill="auto"/>
          </w:tcPr>
          <w:p w14:paraId="50500FAD" w14:textId="77777777" w:rsidR="00594252" w:rsidRPr="008A04DF" w:rsidRDefault="00594252" w:rsidP="00594252">
            <w:pPr>
              <w:pStyle w:val="TableText"/>
              <w:rPr>
                <w:szCs w:val="14"/>
              </w:rPr>
            </w:pPr>
            <w:r w:rsidRPr="008A04DF">
              <w:rPr>
                <w:szCs w:val="14"/>
              </w:rPr>
              <w:t>5668</w:t>
            </w:r>
          </w:p>
        </w:tc>
        <w:tc>
          <w:tcPr>
            <w:tcW w:w="4962" w:type="dxa"/>
            <w:vMerge/>
            <w:tcBorders>
              <w:bottom w:val="single" w:sz="4" w:space="0" w:color="000000"/>
            </w:tcBorders>
            <w:shd w:val="clear" w:color="auto" w:fill="auto"/>
          </w:tcPr>
          <w:p w14:paraId="2A76351E" w14:textId="77777777" w:rsidR="00594252" w:rsidRPr="008A04DF" w:rsidRDefault="00594252" w:rsidP="00594252">
            <w:pPr>
              <w:pStyle w:val="TableText"/>
              <w:rPr>
                <w:szCs w:val="14"/>
              </w:rPr>
            </w:pPr>
          </w:p>
        </w:tc>
      </w:tr>
      <w:tr w:rsidR="00594252" w:rsidRPr="008A04DF" w14:paraId="0A6EBFAC"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8926" w:type="dxa"/>
            <w:gridSpan w:val="3"/>
            <w:tcBorders>
              <w:top w:val="single" w:sz="4" w:space="0" w:color="000000"/>
              <w:bottom w:val="nil"/>
            </w:tcBorders>
            <w:shd w:val="clear" w:color="auto" w:fill="auto"/>
          </w:tcPr>
          <w:p w14:paraId="28C78CBC" w14:textId="77777777" w:rsidR="00594252" w:rsidRPr="008A04DF" w:rsidRDefault="00594252" w:rsidP="00594252">
            <w:pPr>
              <w:pStyle w:val="TableText"/>
              <w:rPr>
                <w:b/>
                <w:szCs w:val="14"/>
              </w:rPr>
            </w:pPr>
            <w:r w:rsidRPr="008A04DF">
              <w:rPr>
                <w:b/>
                <w:szCs w:val="14"/>
              </w:rPr>
              <w:t xml:space="preserve">Does not use </w:t>
            </w:r>
            <w:r>
              <w:rPr>
                <w:b/>
                <w:szCs w:val="14"/>
              </w:rPr>
              <w:t>e</w:t>
            </w:r>
            <w:r w:rsidRPr="008A04DF">
              <w:rPr>
                <w:b/>
                <w:szCs w:val="14"/>
              </w:rPr>
              <w:t xml:space="preserve">merging </w:t>
            </w:r>
            <w:r>
              <w:rPr>
                <w:b/>
                <w:szCs w:val="14"/>
              </w:rPr>
              <w:t>t</w:t>
            </w:r>
            <w:r w:rsidRPr="008A04DF">
              <w:rPr>
                <w:b/>
                <w:szCs w:val="14"/>
              </w:rPr>
              <w:t>echnologies to improve health and wellbeing</w:t>
            </w:r>
          </w:p>
        </w:tc>
      </w:tr>
      <w:tr w:rsidR="00594252" w:rsidRPr="008A04DF" w14:paraId="76B40488" w14:textId="77777777" w:rsidTr="00733CC3">
        <w:trPr>
          <w:cantSplit/>
        </w:trPr>
        <w:tc>
          <w:tcPr>
            <w:tcW w:w="2122" w:type="dxa"/>
            <w:tcBorders>
              <w:top w:val="nil"/>
            </w:tcBorders>
            <w:shd w:val="clear" w:color="auto" w:fill="auto"/>
          </w:tcPr>
          <w:p w14:paraId="55BBE5E0" w14:textId="77777777" w:rsidR="00594252" w:rsidRPr="008A04DF" w:rsidRDefault="00594252" w:rsidP="00594252">
            <w:pPr>
              <w:pStyle w:val="TableText"/>
              <w:rPr>
                <w:szCs w:val="14"/>
              </w:rPr>
            </w:pPr>
            <w:r w:rsidRPr="008A04DF">
              <w:rPr>
                <w:szCs w:val="14"/>
              </w:rPr>
              <w:t>2015 Regular ADF</w:t>
            </w:r>
          </w:p>
        </w:tc>
        <w:tc>
          <w:tcPr>
            <w:tcW w:w="1842" w:type="dxa"/>
            <w:tcBorders>
              <w:top w:val="nil"/>
            </w:tcBorders>
            <w:shd w:val="clear" w:color="auto" w:fill="auto"/>
          </w:tcPr>
          <w:p w14:paraId="246EABA7" w14:textId="77777777" w:rsidR="00594252" w:rsidRPr="008A04DF" w:rsidRDefault="00594252" w:rsidP="00594252">
            <w:pPr>
              <w:pStyle w:val="TableText"/>
              <w:rPr>
                <w:szCs w:val="14"/>
              </w:rPr>
            </w:pPr>
            <w:r w:rsidRPr="008A04DF">
              <w:rPr>
                <w:szCs w:val="14"/>
              </w:rPr>
              <w:t>11,925</w:t>
            </w:r>
          </w:p>
        </w:tc>
        <w:tc>
          <w:tcPr>
            <w:tcW w:w="4962" w:type="dxa"/>
            <w:vMerge w:val="restart"/>
            <w:tcBorders>
              <w:top w:val="nil"/>
            </w:tcBorders>
            <w:shd w:val="clear" w:color="auto" w:fill="auto"/>
          </w:tcPr>
          <w:p w14:paraId="44BBE103" w14:textId="77777777" w:rsidR="00594252" w:rsidRPr="008A04DF" w:rsidRDefault="00594252" w:rsidP="00594252">
            <w:pPr>
              <w:pStyle w:val="TableText"/>
              <w:rPr>
                <w:szCs w:val="14"/>
              </w:rPr>
            </w:pPr>
            <w:r w:rsidRPr="008A04DF">
              <w:rPr>
                <w:b/>
                <w:szCs w:val="14"/>
              </w:rPr>
              <w:t>Chapter 4</w:t>
            </w:r>
            <w:r w:rsidRPr="008A04DF">
              <w:rPr>
                <w:szCs w:val="14"/>
              </w:rPr>
              <w:t>: 4.18</w:t>
            </w:r>
          </w:p>
        </w:tc>
      </w:tr>
      <w:tr w:rsidR="00594252" w:rsidRPr="008A04DF" w14:paraId="7D624D29"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2122" w:type="dxa"/>
            <w:tcBorders>
              <w:bottom w:val="single" w:sz="4" w:space="0" w:color="000000"/>
            </w:tcBorders>
            <w:shd w:val="clear" w:color="auto" w:fill="auto"/>
          </w:tcPr>
          <w:p w14:paraId="731ECA71" w14:textId="77777777" w:rsidR="00594252" w:rsidRPr="008A04DF" w:rsidRDefault="00594252" w:rsidP="00594252">
            <w:pPr>
              <w:pStyle w:val="TableText"/>
              <w:rPr>
                <w:szCs w:val="14"/>
              </w:rPr>
            </w:pPr>
            <w:r w:rsidRPr="008A04DF">
              <w:rPr>
                <w:szCs w:val="14"/>
              </w:rPr>
              <w:t>Transitioned ADF</w:t>
            </w:r>
          </w:p>
        </w:tc>
        <w:tc>
          <w:tcPr>
            <w:tcW w:w="1842" w:type="dxa"/>
            <w:tcBorders>
              <w:bottom w:val="single" w:sz="4" w:space="0" w:color="000000"/>
            </w:tcBorders>
            <w:shd w:val="clear" w:color="auto" w:fill="auto"/>
          </w:tcPr>
          <w:p w14:paraId="7F4946C2" w14:textId="77777777" w:rsidR="00594252" w:rsidRPr="008A04DF" w:rsidRDefault="00594252" w:rsidP="00594252">
            <w:pPr>
              <w:pStyle w:val="TableText"/>
              <w:rPr>
                <w:szCs w:val="14"/>
              </w:rPr>
            </w:pPr>
            <w:r w:rsidRPr="008A04DF">
              <w:rPr>
                <w:szCs w:val="14"/>
              </w:rPr>
              <w:t>5749</w:t>
            </w:r>
          </w:p>
        </w:tc>
        <w:tc>
          <w:tcPr>
            <w:tcW w:w="4962" w:type="dxa"/>
            <w:vMerge/>
            <w:tcBorders>
              <w:bottom w:val="single" w:sz="4" w:space="0" w:color="000000"/>
            </w:tcBorders>
            <w:shd w:val="clear" w:color="auto" w:fill="auto"/>
          </w:tcPr>
          <w:p w14:paraId="392C8E77" w14:textId="77777777" w:rsidR="00594252" w:rsidRPr="008A04DF" w:rsidRDefault="00594252" w:rsidP="00594252">
            <w:pPr>
              <w:pStyle w:val="TableText"/>
              <w:rPr>
                <w:szCs w:val="14"/>
              </w:rPr>
            </w:pPr>
          </w:p>
        </w:tc>
      </w:tr>
      <w:tr w:rsidR="00594252" w:rsidRPr="008A04DF" w14:paraId="3D1DBE59" w14:textId="77777777" w:rsidTr="00733CC3">
        <w:trPr>
          <w:cantSplit/>
        </w:trPr>
        <w:tc>
          <w:tcPr>
            <w:tcW w:w="8926" w:type="dxa"/>
            <w:gridSpan w:val="3"/>
            <w:tcBorders>
              <w:top w:val="single" w:sz="4" w:space="0" w:color="000000"/>
              <w:bottom w:val="nil"/>
            </w:tcBorders>
            <w:shd w:val="clear" w:color="auto" w:fill="auto"/>
          </w:tcPr>
          <w:p w14:paraId="3F37073E" w14:textId="77777777" w:rsidR="00594252" w:rsidRPr="008A04DF" w:rsidRDefault="00594252" w:rsidP="00594252">
            <w:pPr>
              <w:pStyle w:val="TableText"/>
              <w:rPr>
                <w:b/>
                <w:szCs w:val="14"/>
              </w:rPr>
            </w:pPr>
            <w:r w:rsidRPr="008A04DF">
              <w:rPr>
                <w:b/>
                <w:szCs w:val="14"/>
              </w:rPr>
              <w:t xml:space="preserve">Uses the </w:t>
            </w:r>
            <w:r>
              <w:rPr>
                <w:b/>
                <w:szCs w:val="14"/>
              </w:rPr>
              <w:t>internet</w:t>
            </w:r>
            <w:r w:rsidRPr="008A04DF">
              <w:rPr>
                <w:b/>
                <w:szCs w:val="14"/>
              </w:rPr>
              <w:t xml:space="preserve"> to seek help or manage </w:t>
            </w:r>
            <w:r>
              <w:rPr>
                <w:b/>
                <w:szCs w:val="14"/>
              </w:rPr>
              <w:t>m</w:t>
            </w:r>
            <w:r w:rsidRPr="008A04DF">
              <w:rPr>
                <w:b/>
                <w:szCs w:val="14"/>
              </w:rPr>
              <w:t xml:space="preserve">ental </w:t>
            </w:r>
            <w:r>
              <w:rPr>
                <w:b/>
                <w:szCs w:val="14"/>
              </w:rPr>
              <w:t>h</w:t>
            </w:r>
            <w:r w:rsidRPr="008A04DF">
              <w:rPr>
                <w:b/>
                <w:szCs w:val="14"/>
              </w:rPr>
              <w:t xml:space="preserve">ealth Issues </w:t>
            </w:r>
          </w:p>
        </w:tc>
      </w:tr>
      <w:tr w:rsidR="00594252" w:rsidRPr="008A04DF" w14:paraId="1CB9DF65"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2122" w:type="dxa"/>
            <w:tcBorders>
              <w:top w:val="nil"/>
            </w:tcBorders>
            <w:shd w:val="clear" w:color="auto" w:fill="auto"/>
          </w:tcPr>
          <w:p w14:paraId="391C3A98" w14:textId="77777777" w:rsidR="00594252" w:rsidRPr="008A04DF" w:rsidRDefault="00594252" w:rsidP="00594252">
            <w:pPr>
              <w:pStyle w:val="TableText"/>
              <w:rPr>
                <w:szCs w:val="14"/>
              </w:rPr>
            </w:pPr>
            <w:r w:rsidRPr="008A04DF">
              <w:rPr>
                <w:szCs w:val="14"/>
              </w:rPr>
              <w:t>2015 Regular ADF</w:t>
            </w:r>
          </w:p>
        </w:tc>
        <w:tc>
          <w:tcPr>
            <w:tcW w:w="1842" w:type="dxa"/>
            <w:tcBorders>
              <w:top w:val="nil"/>
            </w:tcBorders>
            <w:shd w:val="clear" w:color="auto" w:fill="auto"/>
          </w:tcPr>
          <w:p w14:paraId="0B00A008" w14:textId="77777777" w:rsidR="00594252" w:rsidRPr="008A04DF" w:rsidRDefault="00594252" w:rsidP="00594252">
            <w:pPr>
              <w:pStyle w:val="TableText"/>
              <w:rPr>
                <w:szCs w:val="14"/>
              </w:rPr>
            </w:pPr>
            <w:r w:rsidRPr="008A04DF">
              <w:rPr>
                <w:szCs w:val="14"/>
              </w:rPr>
              <w:t>9042</w:t>
            </w:r>
          </w:p>
        </w:tc>
        <w:tc>
          <w:tcPr>
            <w:tcW w:w="4962" w:type="dxa"/>
            <w:vMerge w:val="restart"/>
            <w:tcBorders>
              <w:top w:val="nil"/>
            </w:tcBorders>
            <w:shd w:val="clear" w:color="auto" w:fill="auto"/>
          </w:tcPr>
          <w:p w14:paraId="3207F8F9" w14:textId="77777777" w:rsidR="00594252" w:rsidRPr="008A04DF" w:rsidRDefault="00594252" w:rsidP="00594252">
            <w:pPr>
              <w:pStyle w:val="TableText"/>
              <w:rPr>
                <w:szCs w:val="14"/>
              </w:rPr>
            </w:pPr>
            <w:r w:rsidRPr="008A04DF">
              <w:rPr>
                <w:b/>
                <w:szCs w:val="14"/>
              </w:rPr>
              <w:t>Chapter 5</w:t>
            </w:r>
            <w:r w:rsidRPr="008A04DF">
              <w:rPr>
                <w:szCs w:val="14"/>
              </w:rPr>
              <w:t>: 5.3, 5.4, 5.5, 5.6, 5.7, 5.8, 5.9</w:t>
            </w:r>
          </w:p>
          <w:p w14:paraId="76E7266B" w14:textId="77777777" w:rsidR="00594252" w:rsidRPr="008A04DF" w:rsidRDefault="00594252" w:rsidP="00594252">
            <w:pPr>
              <w:pStyle w:val="TableText"/>
              <w:rPr>
                <w:szCs w:val="14"/>
              </w:rPr>
            </w:pPr>
            <w:r w:rsidRPr="008A04DF">
              <w:rPr>
                <w:b/>
                <w:szCs w:val="14"/>
              </w:rPr>
              <w:t>Chapter 6</w:t>
            </w:r>
            <w:r w:rsidRPr="008A04DF">
              <w:rPr>
                <w:szCs w:val="14"/>
              </w:rPr>
              <w:t xml:space="preserve">: </w:t>
            </w:r>
            <w:r w:rsidRPr="008A04DF">
              <w:rPr>
                <w:color w:val="000000" w:themeColor="text1"/>
                <w:szCs w:val="14"/>
              </w:rPr>
              <w:t>6.1, 6.2, 6.3, 6.4, 6.5, 6.6, 6.7, 6.8, 6.9, 6.10</w:t>
            </w:r>
          </w:p>
        </w:tc>
      </w:tr>
      <w:tr w:rsidR="00594252" w:rsidRPr="008A04DF" w14:paraId="73CB8C92" w14:textId="77777777" w:rsidTr="00733CC3">
        <w:trPr>
          <w:cantSplit/>
        </w:trPr>
        <w:tc>
          <w:tcPr>
            <w:tcW w:w="2122" w:type="dxa"/>
            <w:tcBorders>
              <w:bottom w:val="single" w:sz="4" w:space="0" w:color="000000"/>
            </w:tcBorders>
            <w:shd w:val="clear" w:color="auto" w:fill="auto"/>
          </w:tcPr>
          <w:p w14:paraId="21BBD75F" w14:textId="77777777" w:rsidR="00594252" w:rsidRPr="008A04DF" w:rsidRDefault="00594252" w:rsidP="00594252">
            <w:pPr>
              <w:pStyle w:val="TableText"/>
              <w:rPr>
                <w:szCs w:val="14"/>
              </w:rPr>
            </w:pPr>
            <w:r w:rsidRPr="008A04DF">
              <w:rPr>
                <w:szCs w:val="14"/>
              </w:rPr>
              <w:t>Transitioned ADF</w:t>
            </w:r>
          </w:p>
        </w:tc>
        <w:tc>
          <w:tcPr>
            <w:tcW w:w="1842" w:type="dxa"/>
            <w:tcBorders>
              <w:bottom w:val="single" w:sz="4" w:space="0" w:color="000000"/>
            </w:tcBorders>
            <w:shd w:val="clear" w:color="auto" w:fill="auto"/>
          </w:tcPr>
          <w:p w14:paraId="3E421B66" w14:textId="77777777" w:rsidR="00594252" w:rsidRPr="008A04DF" w:rsidRDefault="00594252" w:rsidP="00594252">
            <w:pPr>
              <w:pStyle w:val="TableText"/>
              <w:rPr>
                <w:szCs w:val="14"/>
              </w:rPr>
            </w:pPr>
            <w:r w:rsidRPr="008A04DF">
              <w:rPr>
                <w:szCs w:val="14"/>
              </w:rPr>
              <w:t>6116</w:t>
            </w:r>
          </w:p>
        </w:tc>
        <w:tc>
          <w:tcPr>
            <w:tcW w:w="4962" w:type="dxa"/>
            <w:vMerge/>
            <w:tcBorders>
              <w:bottom w:val="single" w:sz="4" w:space="0" w:color="000000"/>
            </w:tcBorders>
            <w:shd w:val="clear" w:color="auto" w:fill="auto"/>
          </w:tcPr>
          <w:p w14:paraId="0921E143" w14:textId="77777777" w:rsidR="00594252" w:rsidRPr="008A04DF" w:rsidRDefault="00594252" w:rsidP="00594252">
            <w:pPr>
              <w:pStyle w:val="TableText"/>
              <w:rPr>
                <w:szCs w:val="14"/>
              </w:rPr>
            </w:pPr>
          </w:p>
        </w:tc>
      </w:tr>
      <w:tr w:rsidR="00594252" w:rsidRPr="008A04DF" w14:paraId="48635022"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8926" w:type="dxa"/>
            <w:gridSpan w:val="3"/>
            <w:tcBorders>
              <w:top w:val="single" w:sz="4" w:space="0" w:color="000000"/>
              <w:bottom w:val="nil"/>
            </w:tcBorders>
            <w:shd w:val="clear" w:color="auto" w:fill="auto"/>
          </w:tcPr>
          <w:p w14:paraId="62DCB6F2" w14:textId="77777777" w:rsidR="00594252" w:rsidRPr="008A04DF" w:rsidRDefault="00594252" w:rsidP="00594252">
            <w:pPr>
              <w:pStyle w:val="TableText"/>
              <w:rPr>
                <w:b/>
                <w:szCs w:val="14"/>
              </w:rPr>
            </w:pPr>
            <w:r w:rsidRPr="008A04DF">
              <w:rPr>
                <w:b/>
                <w:szCs w:val="14"/>
              </w:rPr>
              <w:t xml:space="preserve">Has not talked on the </w:t>
            </w:r>
            <w:r>
              <w:rPr>
                <w:b/>
                <w:szCs w:val="14"/>
              </w:rPr>
              <w:t>internet</w:t>
            </w:r>
            <w:r w:rsidRPr="008A04DF">
              <w:rPr>
                <w:b/>
                <w:szCs w:val="14"/>
              </w:rPr>
              <w:t xml:space="preserve"> about mental health to other people (No to Q10,11,12)</w:t>
            </w:r>
          </w:p>
        </w:tc>
      </w:tr>
      <w:tr w:rsidR="00594252" w:rsidRPr="008A04DF" w14:paraId="21E792A2" w14:textId="77777777" w:rsidTr="00733CC3">
        <w:trPr>
          <w:cantSplit/>
        </w:trPr>
        <w:tc>
          <w:tcPr>
            <w:tcW w:w="2122" w:type="dxa"/>
            <w:tcBorders>
              <w:top w:val="nil"/>
            </w:tcBorders>
            <w:shd w:val="clear" w:color="auto" w:fill="auto"/>
          </w:tcPr>
          <w:p w14:paraId="2506099C" w14:textId="77777777" w:rsidR="00594252" w:rsidRPr="008A04DF" w:rsidRDefault="00594252" w:rsidP="00594252">
            <w:pPr>
              <w:pStyle w:val="TableText"/>
              <w:rPr>
                <w:szCs w:val="14"/>
              </w:rPr>
            </w:pPr>
            <w:r w:rsidRPr="008A04DF">
              <w:rPr>
                <w:szCs w:val="14"/>
              </w:rPr>
              <w:t>2015 Regular ADF</w:t>
            </w:r>
          </w:p>
        </w:tc>
        <w:tc>
          <w:tcPr>
            <w:tcW w:w="1842" w:type="dxa"/>
            <w:tcBorders>
              <w:top w:val="nil"/>
            </w:tcBorders>
            <w:shd w:val="clear" w:color="auto" w:fill="auto"/>
          </w:tcPr>
          <w:p w14:paraId="73AB76AB" w14:textId="77777777" w:rsidR="00594252" w:rsidRPr="008A04DF" w:rsidRDefault="00594252" w:rsidP="00594252">
            <w:pPr>
              <w:pStyle w:val="TableText"/>
              <w:rPr>
                <w:szCs w:val="14"/>
              </w:rPr>
            </w:pPr>
            <w:r w:rsidRPr="008A04DF">
              <w:rPr>
                <w:szCs w:val="14"/>
              </w:rPr>
              <w:t>5470</w:t>
            </w:r>
          </w:p>
        </w:tc>
        <w:tc>
          <w:tcPr>
            <w:tcW w:w="4962" w:type="dxa"/>
            <w:vMerge w:val="restart"/>
            <w:tcBorders>
              <w:top w:val="nil"/>
            </w:tcBorders>
            <w:shd w:val="clear" w:color="auto" w:fill="auto"/>
          </w:tcPr>
          <w:p w14:paraId="13F46586" w14:textId="77777777" w:rsidR="00594252" w:rsidRPr="008A04DF" w:rsidRDefault="00594252" w:rsidP="00594252">
            <w:pPr>
              <w:pStyle w:val="TableText"/>
              <w:rPr>
                <w:szCs w:val="14"/>
              </w:rPr>
            </w:pPr>
            <w:r w:rsidRPr="008A04DF">
              <w:rPr>
                <w:b/>
                <w:szCs w:val="14"/>
              </w:rPr>
              <w:t>Chapter 7</w:t>
            </w:r>
            <w:r>
              <w:rPr>
                <w:szCs w:val="14"/>
              </w:rPr>
              <w:t>: 7.1</w:t>
            </w:r>
          </w:p>
        </w:tc>
      </w:tr>
      <w:tr w:rsidR="00594252" w:rsidRPr="008A04DF" w14:paraId="36AB59D0" w14:textId="77777777" w:rsidTr="00733CC3">
        <w:trPr>
          <w:cnfStyle w:val="000000100000" w:firstRow="0" w:lastRow="0" w:firstColumn="0" w:lastColumn="0" w:oddVBand="0" w:evenVBand="0" w:oddHBand="1" w:evenHBand="0" w:firstRowFirstColumn="0" w:firstRowLastColumn="0" w:lastRowFirstColumn="0" w:lastRowLastColumn="0"/>
          <w:cantSplit/>
        </w:trPr>
        <w:tc>
          <w:tcPr>
            <w:tcW w:w="2122" w:type="dxa"/>
            <w:tcBorders>
              <w:bottom w:val="single" w:sz="4" w:space="0" w:color="000000"/>
            </w:tcBorders>
            <w:shd w:val="clear" w:color="auto" w:fill="auto"/>
          </w:tcPr>
          <w:p w14:paraId="4BF1193B" w14:textId="77777777" w:rsidR="00594252" w:rsidRPr="008A04DF" w:rsidRDefault="00594252" w:rsidP="00594252">
            <w:pPr>
              <w:pStyle w:val="TableText"/>
              <w:rPr>
                <w:szCs w:val="14"/>
              </w:rPr>
            </w:pPr>
            <w:r w:rsidRPr="008A04DF">
              <w:rPr>
                <w:szCs w:val="14"/>
              </w:rPr>
              <w:t>Transitioned ADF</w:t>
            </w:r>
          </w:p>
        </w:tc>
        <w:tc>
          <w:tcPr>
            <w:tcW w:w="1842" w:type="dxa"/>
            <w:tcBorders>
              <w:bottom w:val="single" w:sz="4" w:space="0" w:color="000000"/>
            </w:tcBorders>
            <w:shd w:val="clear" w:color="auto" w:fill="auto"/>
          </w:tcPr>
          <w:p w14:paraId="7B61D81A" w14:textId="77777777" w:rsidR="00594252" w:rsidRPr="008A04DF" w:rsidRDefault="00594252" w:rsidP="00594252">
            <w:pPr>
              <w:pStyle w:val="TableText"/>
              <w:rPr>
                <w:szCs w:val="14"/>
              </w:rPr>
            </w:pPr>
            <w:r w:rsidRPr="008A04DF">
              <w:rPr>
                <w:szCs w:val="14"/>
              </w:rPr>
              <w:t>3452</w:t>
            </w:r>
          </w:p>
        </w:tc>
        <w:tc>
          <w:tcPr>
            <w:tcW w:w="4962" w:type="dxa"/>
            <w:vMerge/>
            <w:tcBorders>
              <w:bottom w:val="single" w:sz="4" w:space="0" w:color="000000"/>
            </w:tcBorders>
            <w:shd w:val="clear" w:color="auto" w:fill="auto"/>
          </w:tcPr>
          <w:p w14:paraId="73AC5E52" w14:textId="77777777" w:rsidR="00594252" w:rsidRPr="008A04DF" w:rsidRDefault="00594252" w:rsidP="00594252">
            <w:pPr>
              <w:pStyle w:val="TableText"/>
              <w:rPr>
                <w:szCs w:val="14"/>
              </w:rPr>
            </w:pPr>
          </w:p>
        </w:tc>
      </w:tr>
    </w:tbl>
    <w:p w14:paraId="66A15B4C" w14:textId="77777777" w:rsidR="009919A9" w:rsidRDefault="009919A9" w:rsidP="009919A9">
      <w:pPr>
        <w:pStyle w:val="TableNotes"/>
      </w:pPr>
      <w:r w:rsidRPr="00B5428B">
        <w:t>Note: Tables not listed use sub-populations within the cohorts listed above, and therefore are not listed here</w:t>
      </w:r>
    </w:p>
    <w:p w14:paraId="2B68896F" w14:textId="5759EE8A" w:rsidR="007C2E19" w:rsidRDefault="007C2E19" w:rsidP="00733CC3">
      <w:pPr>
        <w:pStyle w:val="FigureName"/>
      </w:pPr>
      <w:bookmarkStart w:id="1553" w:name="_Toc531858114"/>
      <w:bookmarkStart w:id="1554" w:name="_Toc487011322"/>
      <w:bookmarkStart w:id="1555" w:name="_Toc493663217"/>
      <w:r>
        <w:t>Figure C.1</w:t>
      </w:r>
      <w:r>
        <w:tab/>
        <w:t>Denominator cascade</w:t>
      </w:r>
      <w:r w:rsidR="00111C10">
        <w:t xml:space="preserve"> </w:t>
      </w:r>
      <w:r w:rsidRPr="005B0796">
        <w:t>2015</w:t>
      </w:r>
      <w:bookmarkEnd w:id="155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7099"/>
      </w:tblGrid>
      <w:tr w:rsidR="00E923DC" w14:paraId="29187F29" w14:textId="77777777" w:rsidTr="00E923DC">
        <w:trPr>
          <w:cantSplit/>
          <w:trHeight w:val="10467"/>
        </w:trPr>
        <w:tc>
          <w:tcPr>
            <w:tcW w:w="7315" w:type="dxa"/>
          </w:tcPr>
          <w:p w14:paraId="5DF55DB3" w14:textId="7E524856" w:rsidR="00E923DC" w:rsidRDefault="00E923DC" w:rsidP="00733CC3">
            <w:r>
              <w:rPr>
                <w:noProof/>
                <w:lang w:eastAsia="en-AU"/>
              </w:rPr>
              <mc:AlternateContent>
                <mc:Choice Requires="wpg">
                  <w:drawing>
                    <wp:anchor distT="0" distB="0" distL="114300" distR="114300" simplePos="0" relativeHeight="251675648" behindDoc="0" locked="0" layoutInCell="1" allowOverlap="1" wp14:anchorId="317EDBDD" wp14:editId="05557312">
                      <wp:simplePos x="0" y="0"/>
                      <wp:positionH relativeFrom="column">
                        <wp:posOffset>-42308</wp:posOffset>
                      </wp:positionH>
                      <wp:positionV relativeFrom="paragraph">
                        <wp:posOffset>22936</wp:posOffset>
                      </wp:positionV>
                      <wp:extent cx="4237990" cy="6504305"/>
                      <wp:effectExtent l="0" t="0" r="10160" b="0"/>
                      <wp:wrapNone/>
                      <wp:docPr id="69" name="Group 69" descr="Figure C.1 Denominator cascade 2015"/>
                      <wp:cNvGraphicFramePr/>
                      <a:graphic xmlns:a="http://schemas.openxmlformats.org/drawingml/2006/main">
                        <a:graphicData uri="http://schemas.microsoft.com/office/word/2010/wordprocessingGroup">
                          <wpg:wgp>
                            <wpg:cNvGrpSpPr/>
                            <wpg:grpSpPr>
                              <a:xfrm>
                                <a:off x="0" y="0"/>
                                <a:ext cx="4237990" cy="6504305"/>
                                <a:chOff x="0" y="0"/>
                                <a:chExt cx="4238265" cy="6504523"/>
                              </a:xfrm>
                            </wpg:grpSpPr>
                            <wpg:grpSp>
                              <wpg:cNvPr id="317" name="Group 317"/>
                              <wpg:cNvGrpSpPr/>
                              <wpg:grpSpPr>
                                <a:xfrm>
                                  <a:off x="975815" y="5773003"/>
                                  <a:ext cx="2285554" cy="731520"/>
                                  <a:chOff x="0" y="0"/>
                                  <a:chExt cx="2285554" cy="731520"/>
                                </a:xfrm>
                              </wpg:grpSpPr>
                              <wps:wsp>
                                <wps:cNvPr id="65" name="Text Box 2"/>
                                <wps:cNvSpPr txBox="1">
                                  <a:spLocks noChangeArrowheads="1"/>
                                </wps:cNvSpPr>
                                <wps:spPr bwMode="auto">
                                  <a:xfrm>
                                    <a:off x="1282889" y="0"/>
                                    <a:ext cx="1002030" cy="365760"/>
                                  </a:xfrm>
                                  <a:prstGeom prst="rect">
                                    <a:avLst/>
                                  </a:prstGeom>
                                  <a:solidFill>
                                    <a:srgbClr val="800080"/>
                                  </a:solidFill>
                                  <a:ln w="9525">
                                    <a:noFill/>
                                    <a:miter lim="800000"/>
                                    <a:headEnd/>
                                    <a:tailEnd/>
                                  </a:ln>
                                </wps:spPr>
                                <wps:txbx>
                                  <w:txbxContent>
                                    <w:p w14:paraId="6EEC015C" w14:textId="5C4D7A57" w:rsidR="00040E45" w:rsidRDefault="00040E45" w:rsidP="007C2E19">
                                      <w:pPr>
                                        <w:pStyle w:val="FigureTextwhite"/>
                                      </w:pPr>
                                      <w:r>
                                        <w:t>Transitioned ADF</w:t>
                                      </w:r>
                                      <w:r>
                                        <w:br/>
                                        <w:t>10,347</w:t>
                                      </w:r>
                                    </w:p>
                                  </w:txbxContent>
                                </wps:txbx>
                                <wps:bodyPr rot="0" vert="horz" wrap="square" lIns="91440" tIns="45720" rIns="91440" bIns="45720" anchor="t" anchorCtr="0">
                                  <a:noAutofit/>
                                </wps:bodyPr>
                              </wps:wsp>
                              <wps:wsp>
                                <wps:cNvPr id="68" name="Text Box 2"/>
                                <wps:cNvSpPr txBox="1">
                                  <a:spLocks noChangeArrowheads="1"/>
                                </wps:cNvSpPr>
                                <wps:spPr bwMode="auto">
                                  <a:xfrm>
                                    <a:off x="1282889" y="361666"/>
                                    <a:ext cx="1002665" cy="365760"/>
                                  </a:xfrm>
                                  <a:prstGeom prst="rect">
                                    <a:avLst/>
                                  </a:prstGeom>
                                  <a:solidFill>
                                    <a:srgbClr val="2E7371"/>
                                  </a:solidFill>
                                  <a:ln w="9525">
                                    <a:noFill/>
                                    <a:miter lim="800000"/>
                                    <a:headEnd/>
                                    <a:tailEnd/>
                                  </a:ln>
                                </wps:spPr>
                                <wps:txbx>
                                  <w:txbxContent>
                                    <w:p w14:paraId="3FE46771" w14:textId="63FBC9A3" w:rsidR="00040E45" w:rsidRDefault="00040E45" w:rsidP="007C2E19">
                                      <w:pPr>
                                        <w:pStyle w:val="FigureTextwhite"/>
                                      </w:pPr>
                                      <w:r>
                                        <w:t>Regular 2015 ADF</w:t>
                                      </w:r>
                                      <w:r>
                                        <w:br/>
                                        <w:t>20,164</w:t>
                                      </w:r>
                                    </w:p>
                                  </w:txbxContent>
                                </wps:txbx>
                                <wps:bodyPr rot="0" vert="horz" wrap="square" lIns="91440" tIns="45720" rIns="91440" bIns="45720" anchor="t" anchorCtr="0">
                                  <a:noAutofit/>
                                </wps:bodyPr>
                              </wps:wsp>
                              <wps:wsp>
                                <wps:cNvPr id="319" name="Text Box 319"/>
                                <wps:cNvSpPr txBox="1">
                                  <a:spLocks noChangeArrowheads="1"/>
                                </wps:cNvSpPr>
                                <wps:spPr bwMode="auto">
                                  <a:xfrm>
                                    <a:off x="0" y="0"/>
                                    <a:ext cx="1280160" cy="731520"/>
                                  </a:xfrm>
                                  <a:prstGeom prst="rect">
                                    <a:avLst/>
                                  </a:prstGeom>
                                  <a:solidFill>
                                    <a:srgbClr val="92D050"/>
                                  </a:solidFill>
                                  <a:ln w="9525">
                                    <a:noFill/>
                                    <a:miter lim="800000"/>
                                    <a:headEnd/>
                                    <a:tailEnd/>
                                  </a:ln>
                                </wps:spPr>
                                <wps:txbx>
                                  <w:txbxContent>
                                    <w:p w14:paraId="04E82771" w14:textId="77777777" w:rsidR="00040E45" w:rsidRPr="00D33559" w:rsidRDefault="00040E45" w:rsidP="007C2E19">
                                      <w:pPr>
                                        <w:pStyle w:val="FigureText"/>
                                      </w:pPr>
                                      <w:r w:rsidRPr="00D33559">
                                        <w:t>DOES NOT USE EMERGING TECHNOLOGIES</w:t>
                                      </w:r>
                                    </w:p>
                                  </w:txbxContent>
                                </wps:txbx>
                                <wps:bodyPr rot="0" vert="horz" wrap="square" lIns="91440" tIns="45720" rIns="91440" bIns="45720" anchor="ctr" anchorCtr="0">
                                  <a:noAutofit/>
                                </wps:bodyPr>
                              </wps:wsp>
                            </wpg:grpSp>
                            <wpg:grpSp>
                              <wpg:cNvPr id="311" name="Group 311"/>
                              <wpg:cNvGrpSpPr/>
                              <wpg:grpSpPr>
                                <a:xfrm>
                                  <a:off x="1951630" y="2866030"/>
                                  <a:ext cx="2286635" cy="740689"/>
                                  <a:chOff x="0" y="0"/>
                                  <a:chExt cx="2287456" cy="741320"/>
                                </a:xfrm>
                              </wpg:grpSpPr>
                              <wps:wsp>
                                <wps:cNvPr id="72" name="Text Box 2"/>
                                <wps:cNvSpPr txBox="1">
                                  <a:spLocks noChangeArrowheads="1"/>
                                </wps:cNvSpPr>
                                <wps:spPr bwMode="auto">
                                  <a:xfrm>
                                    <a:off x="1282886" y="0"/>
                                    <a:ext cx="1004570" cy="365760"/>
                                  </a:xfrm>
                                  <a:prstGeom prst="rect">
                                    <a:avLst/>
                                  </a:prstGeom>
                                  <a:solidFill>
                                    <a:srgbClr val="800080"/>
                                  </a:solidFill>
                                  <a:ln w="9525">
                                    <a:solidFill>
                                      <a:srgbClr val="800080"/>
                                    </a:solidFill>
                                    <a:miter lim="800000"/>
                                    <a:headEnd/>
                                    <a:tailEnd/>
                                  </a:ln>
                                </wps:spPr>
                                <wps:txbx>
                                  <w:txbxContent>
                                    <w:p w14:paraId="1ACF7F20" w14:textId="7ED2C012" w:rsidR="00040E45" w:rsidRDefault="00040E45" w:rsidP="007C2E19">
                                      <w:pPr>
                                        <w:pStyle w:val="FigureTextwhite"/>
                                      </w:pPr>
                                      <w:r>
                                        <w:t>Transitioned ADF</w:t>
                                      </w:r>
                                      <w:r>
                                        <w:br/>
                                        <w:t>5749</w:t>
                                      </w:r>
                                    </w:p>
                                  </w:txbxContent>
                                </wps:txbx>
                                <wps:bodyPr rot="0" vert="horz" wrap="square" lIns="91440" tIns="45720" rIns="91440" bIns="45720" anchor="t" anchorCtr="0">
                                  <a:noAutofit/>
                                </wps:bodyPr>
                              </wps:wsp>
                              <wps:wsp>
                                <wps:cNvPr id="75" name="Text Box 2"/>
                                <wps:cNvSpPr txBox="1">
                                  <a:spLocks noChangeArrowheads="1"/>
                                </wps:cNvSpPr>
                                <wps:spPr bwMode="auto">
                                  <a:xfrm>
                                    <a:off x="1282886" y="375310"/>
                                    <a:ext cx="1004570" cy="365760"/>
                                  </a:xfrm>
                                  <a:prstGeom prst="rect">
                                    <a:avLst/>
                                  </a:prstGeom>
                                  <a:solidFill>
                                    <a:srgbClr val="2E7371"/>
                                  </a:solidFill>
                                  <a:ln w="9525">
                                    <a:solidFill>
                                      <a:srgbClr val="2E7371"/>
                                    </a:solidFill>
                                    <a:miter lim="800000"/>
                                    <a:headEnd/>
                                    <a:tailEnd/>
                                  </a:ln>
                                </wps:spPr>
                                <wps:txbx>
                                  <w:txbxContent>
                                    <w:p w14:paraId="64A31ED4" w14:textId="2C1D9BD4" w:rsidR="00040E45" w:rsidRDefault="00040E45" w:rsidP="007C2E19">
                                      <w:pPr>
                                        <w:pStyle w:val="FigureTextwhite"/>
                                      </w:pPr>
                                      <w:r>
                                        <w:t>Regular 2015 ADF</w:t>
                                      </w:r>
                                      <w:r>
                                        <w:br/>
                                        <w:t>11925</w:t>
                                      </w:r>
                                    </w:p>
                                  </w:txbxContent>
                                </wps:txbx>
                                <wps:bodyPr rot="0" vert="horz" wrap="square" lIns="91440" tIns="45720" rIns="91440" bIns="45720" anchor="t" anchorCtr="0">
                                  <a:noAutofit/>
                                </wps:bodyPr>
                              </wps:wsp>
                              <wps:wsp>
                                <wps:cNvPr id="77" name="Text Box 77"/>
                                <wps:cNvSpPr txBox="1">
                                  <a:spLocks noChangeArrowheads="1"/>
                                </wps:cNvSpPr>
                                <wps:spPr bwMode="auto">
                                  <a:xfrm>
                                    <a:off x="0" y="0"/>
                                    <a:ext cx="1280160" cy="741320"/>
                                  </a:xfrm>
                                  <a:prstGeom prst="rect">
                                    <a:avLst/>
                                  </a:prstGeom>
                                  <a:solidFill>
                                    <a:srgbClr val="FFC000"/>
                                  </a:solidFill>
                                  <a:ln w="9525">
                                    <a:noFill/>
                                    <a:miter lim="800000"/>
                                    <a:headEnd/>
                                    <a:tailEnd/>
                                  </a:ln>
                                </wps:spPr>
                                <wps:txbx>
                                  <w:txbxContent>
                                    <w:p w14:paraId="6D68B338" w14:textId="77777777" w:rsidR="00040E45" w:rsidRPr="00D33559" w:rsidRDefault="00040E45" w:rsidP="007C2E19">
                                      <w:pPr>
                                        <w:pStyle w:val="FigureText"/>
                                      </w:pPr>
                                      <w:r w:rsidRPr="00D33559">
                                        <w:t xml:space="preserve">DOES NOT </w:t>
                                      </w:r>
                                      <w:r>
                                        <w:t xml:space="preserve">USE </w:t>
                                      </w:r>
                                      <w:r w:rsidRPr="00D33559">
                                        <w:t>EMERGING TECHNOLOGIES TO IMPROVE HEALTH AND WELLBEING</w:t>
                                      </w:r>
                                    </w:p>
                                  </w:txbxContent>
                                </wps:txbx>
                                <wps:bodyPr rot="0" vert="horz" wrap="square" lIns="91440" tIns="45720" rIns="91440" bIns="45720" anchor="ctr" anchorCtr="0">
                                  <a:noAutofit/>
                                </wps:bodyPr>
                              </wps:wsp>
                            </wpg:grpSp>
                            <wpg:grpSp>
                              <wpg:cNvPr id="305" name="Group 305"/>
                              <wpg:cNvGrpSpPr/>
                              <wpg:grpSpPr>
                                <a:xfrm>
                                  <a:off x="0" y="0"/>
                                  <a:ext cx="2293537" cy="741073"/>
                                  <a:chOff x="0" y="0"/>
                                  <a:chExt cx="2293537" cy="741073"/>
                                </a:xfrm>
                              </wpg:grpSpPr>
                              <wps:wsp>
                                <wps:cNvPr id="301" name="Text Box 2"/>
                                <wps:cNvSpPr txBox="1">
                                  <a:spLocks noChangeArrowheads="1"/>
                                </wps:cNvSpPr>
                                <wps:spPr bwMode="auto">
                                  <a:xfrm>
                                    <a:off x="1289713" y="0"/>
                                    <a:ext cx="1003824" cy="365760"/>
                                  </a:xfrm>
                                  <a:prstGeom prst="rect">
                                    <a:avLst/>
                                  </a:prstGeom>
                                  <a:solidFill>
                                    <a:srgbClr val="800080"/>
                                  </a:solidFill>
                                  <a:ln w="9525">
                                    <a:solidFill>
                                      <a:srgbClr val="800080"/>
                                    </a:solidFill>
                                    <a:miter lim="800000"/>
                                    <a:headEnd/>
                                    <a:tailEnd/>
                                  </a:ln>
                                </wps:spPr>
                                <wps:txbx>
                                  <w:txbxContent>
                                    <w:p w14:paraId="58594F7F" w14:textId="3FFC5332" w:rsidR="00040E45" w:rsidRDefault="00040E45" w:rsidP="007C2E19">
                                      <w:pPr>
                                        <w:pStyle w:val="FigureTextwhite"/>
                                      </w:pPr>
                                      <w:r>
                                        <w:t>Transitioned ADF</w:t>
                                      </w:r>
                                      <w:r>
                                        <w:br/>
                                        <w:t>24,932</w:t>
                                      </w:r>
                                    </w:p>
                                  </w:txbxContent>
                                </wps:txbx>
                                <wps:bodyPr rot="0" vert="horz" wrap="square" lIns="91440" tIns="45720" rIns="91440" bIns="45720" anchor="t" anchorCtr="0">
                                  <a:noAutofit/>
                                </wps:bodyPr>
                              </wps:wsp>
                              <wps:wsp>
                                <wps:cNvPr id="304" name="Text Box 2"/>
                                <wps:cNvSpPr txBox="1">
                                  <a:spLocks noChangeArrowheads="1"/>
                                </wps:cNvSpPr>
                                <wps:spPr bwMode="auto">
                                  <a:xfrm>
                                    <a:off x="1289713" y="375313"/>
                                    <a:ext cx="1003693" cy="365760"/>
                                  </a:xfrm>
                                  <a:prstGeom prst="rect">
                                    <a:avLst/>
                                  </a:prstGeom>
                                  <a:solidFill>
                                    <a:srgbClr val="2E7371"/>
                                  </a:solidFill>
                                  <a:ln w="9525">
                                    <a:solidFill>
                                      <a:srgbClr val="2E7371"/>
                                    </a:solidFill>
                                    <a:miter lim="800000"/>
                                    <a:headEnd/>
                                    <a:tailEnd/>
                                  </a:ln>
                                </wps:spPr>
                                <wps:txbx>
                                  <w:txbxContent>
                                    <w:p w14:paraId="1F2E366C" w14:textId="6A5815DC" w:rsidR="00040E45" w:rsidRDefault="00040E45" w:rsidP="007C2E19">
                                      <w:pPr>
                                        <w:pStyle w:val="FigureTextwhite"/>
                                      </w:pPr>
                                      <w:r>
                                        <w:t>Regular 2015 ADF</w:t>
                                      </w:r>
                                      <w:r>
                                        <w:br/>
                                        <w:t>52,500</w:t>
                                      </w:r>
                                    </w:p>
                                  </w:txbxContent>
                                </wps:txbx>
                                <wps:bodyPr rot="0" vert="horz" wrap="square" lIns="91440" tIns="45720" rIns="91440" bIns="45720" anchor="t" anchorCtr="0">
                                  <a:noAutofit/>
                                </wps:bodyPr>
                              </wps:wsp>
                              <wps:wsp>
                                <wps:cNvPr id="306" name="Text Box 306"/>
                                <wps:cNvSpPr txBox="1">
                                  <a:spLocks noChangeArrowheads="1"/>
                                </wps:cNvSpPr>
                                <wps:spPr bwMode="auto">
                                  <a:xfrm>
                                    <a:off x="0" y="0"/>
                                    <a:ext cx="1280160" cy="740664"/>
                                  </a:xfrm>
                                  <a:prstGeom prst="rect">
                                    <a:avLst/>
                                  </a:prstGeom>
                                  <a:solidFill>
                                    <a:srgbClr val="5B9BD5">
                                      <a:lumMod val="20000"/>
                                      <a:lumOff val="80000"/>
                                    </a:srgbClr>
                                  </a:solidFill>
                                  <a:ln w="9525">
                                    <a:solidFill>
                                      <a:schemeClr val="tx1"/>
                                    </a:solidFill>
                                    <a:miter lim="800000"/>
                                    <a:headEnd/>
                                    <a:tailEnd/>
                                  </a:ln>
                                </wps:spPr>
                                <wps:txbx>
                                  <w:txbxContent>
                                    <w:p w14:paraId="5D23A229" w14:textId="77777777" w:rsidR="00040E45" w:rsidRPr="00D33559" w:rsidRDefault="00040E45" w:rsidP="007C2E19">
                                      <w:pPr>
                                        <w:pStyle w:val="FigureText"/>
                                      </w:pPr>
                                      <w:r w:rsidRPr="00D33559">
                                        <w:t>ENTIRE COHORT</w:t>
                                      </w:r>
                                    </w:p>
                                  </w:txbxContent>
                                </wps:txbx>
                                <wps:bodyPr rot="0" vert="horz" wrap="square" lIns="91440" tIns="45720" rIns="91440" bIns="45720" anchor="ctr" anchorCtr="0">
                                  <a:noAutofit/>
                                </wps:bodyPr>
                              </wps:wsp>
                            </wpg:grpSp>
                            <wpg:grpSp>
                              <wpg:cNvPr id="309" name="Group 309"/>
                              <wpg:cNvGrpSpPr/>
                              <wpg:grpSpPr>
                                <a:xfrm>
                                  <a:off x="1951630" y="1924334"/>
                                  <a:ext cx="2279650" cy="740689"/>
                                  <a:chOff x="0" y="0"/>
                                  <a:chExt cx="2279997" cy="740689"/>
                                </a:xfrm>
                              </wpg:grpSpPr>
                              <wps:wsp>
                                <wps:cNvPr id="81" name="Text Box 2"/>
                                <wps:cNvSpPr txBox="1">
                                  <a:spLocks noChangeArrowheads="1"/>
                                </wps:cNvSpPr>
                                <wps:spPr bwMode="auto">
                                  <a:xfrm>
                                    <a:off x="1276062" y="0"/>
                                    <a:ext cx="1003935" cy="365125"/>
                                  </a:xfrm>
                                  <a:prstGeom prst="rect">
                                    <a:avLst/>
                                  </a:prstGeom>
                                  <a:solidFill>
                                    <a:srgbClr val="800080"/>
                                  </a:solidFill>
                                  <a:ln w="9525">
                                    <a:solidFill>
                                      <a:srgbClr val="800080"/>
                                    </a:solidFill>
                                    <a:miter lim="800000"/>
                                    <a:headEnd/>
                                    <a:tailEnd/>
                                  </a:ln>
                                </wps:spPr>
                                <wps:txbx>
                                  <w:txbxContent>
                                    <w:p w14:paraId="663AFF2D" w14:textId="2E401847" w:rsidR="00040E45" w:rsidRDefault="00040E45" w:rsidP="007C2E19">
                                      <w:pPr>
                                        <w:pStyle w:val="FigureTextwhite"/>
                                      </w:pPr>
                                      <w:r>
                                        <w:t>Transitioned ADF</w:t>
                                      </w:r>
                                      <w:r>
                                        <w:br/>
                                        <w:t>5668</w:t>
                                      </w:r>
                                    </w:p>
                                  </w:txbxContent>
                                </wps:txbx>
                                <wps:bodyPr rot="0" vert="horz" wrap="square" lIns="91440" tIns="45720" rIns="91440" bIns="45720" anchor="t" anchorCtr="0">
                                  <a:noAutofit/>
                                </wps:bodyPr>
                              </wps:wsp>
                              <wps:wsp>
                                <wps:cNvPr id="84" name="Text Box 2"/>
                                <wps:cNvSpPr txBox="1">
                                  <a:spLocks noChangeArrowheads="1"/>
                                </wps:cNvSpPr>
                                <wps:spPr bwMode="auto">
                                  <a:xfrm>
                                    <a:off x="1276062" y="375313"/>
                                    <a:ext cx="1003935" cy="365125"/>
                                  </a:xfrm>
                                  <a:prstGeom prst="rect">
                                    <a:avLst/>
                                  </a:prstGeom>
                                  <a:solidFill>
                                    <a:srgbClr val="2E7371"/>
                                  </a:solidFill>
                                  <a:ln w="9525">
                                    <a:solidFill>
                                      <a:srgbClr val="2E7371"/>
                                    </a:solidFill>
                                    <a:miter lim="800000"/>
                                    <a:headEnd/>
                                    <a:tailEnd/>
                                  </a:ln>
                                </wps:spPr>
                                <wps:txbx>
                                  <w:txbxContent>
                                    <w:p w14:paraId="0F76AD62" w14:textId="17CD5C82" w:rsidR="00040E45" w:rsidRDefault="00040E45" w:rsidP="007C2E19">
                                      <w:pPr>
                                        <w:pStyle w:val="FigureTextwhite"/>
                                      </w:pPr>
                                      <w:r>
                                        <w:t>Regular 2015 ADF</w:t>
                                      </w:r>
                                      <w:r>
                                        <w:br/>
                                        <w:t>13,131</w:t>
                                      </w:r>
                                    </w:p>
                                  </w:txbxContent>
                                </wps:txbx>
                                <wps:bodyPr rot="0" vert="horz" wrap="square" lIns="91440" tIns="45720" rIns="91440" bIns="45720" anchor="t" anchorCtr="0">
                                  <a:noAutofit/>
                                </wps:bodyPr>
                              </wps:wsp>
                              <wps:wsp>
                                <wps:cNvPr id="79" name="Text Box 79"/>
                                <wps:cNvSpPr txBox="1">
                                  <a:spLocks noChangeArrowheads="1"/>
                                </wps:cNvSpPr>
                                <wps:spPr bwMode="auto">
                                  <a:xfrm>
                                    <a:off x="0" y="0"/>
                                    <a:ext cx="1279525" cy="740689"/>
                                  </a:xfrm>
                                  <a:prstGeom prst="rect">
                                    <a:avLst/>
                                  </a:prstGeom>
                                  <a:solidFill>
                                    <a:srgbClr val="FFC000"/>
                                  </a:solidFill>
                                  <a:ln w="9525">
                                    <a:noFill/>
                                    <a:miter lim="800000"/>
                                    <a:headEnd/>
                                    <a:tailEnd/>
                                  </a:ln>
                                </wps:spPr>
                                <wps:txbx>
                                  <w:txbxContent>
                                    <w:p w14:paraId="5C983A89" w14:textId="77777777" w:rsidR="00040E45" w:rsidRPr="00D33559" w:rsidRDefault="00040E45" w:rsidP="007C2E19">
                                      <w:pPr>
                                        <w:pStyle w:val="FigureText"/>
                                      </w:pPr>
                                      <w:r w:rsidRPr="00D33559">
                                        <w:t>USES EMERGING TECHNOLOGIES TO IMPROVE HEALTH AND WELLBEING</w:t>
                                      </w:r>
                                    </w:p>
                                  </w:txbxContent>
                                </wps:txbx>
                                <wps:bodyPr rot="0" vert="horz" wrap="square" lIns="91440" tIns="45720" rIns="91440" bIns="45720" anchor="ctr" anchorCtr="0">
                                  <a:noAutofit/>
                                </wps:bodyPr>
                              </wps:wsp>
                            </wpg:grpSp>
                            <wpg:grpSp>
                              <wpg:cNvPr id="308" name="Group 308"/>
                              <wpg:cNvGrpSpPr/>
                              <wpg:grpSpPr>
                                <a:xfrm>
                                  <a:off x="975815" y="982639"/>
                                  <a:ext cx="2280920" cy="749300"/>
                                  <a:chOff x="0" y="0"/>
                                  <a:chExt cx="2281684" cy="749300"/>
                                </a:xfrm>
                              </wpg:grpSpPr>
                              <wps:wsp>
                                <wps:cNvPr id="89" name="Text Box 2"/>
                                <wps:cNvSpPr txBox="1">
                                  <a:spLocks noChangeArrowheads="1"/>
                                </wps:cNvSpPr>
                                <wps:spPr bwMode="auto">
                                  <a:xfrm>
                                    <a:off x="1276063" y="0"/>
                                    <a:ext cx="1005621" cy="365265"/>
                                  </a:xfrm>
                                  <a:prstGeom prst="rect">
                                    <a:avLst/>
                                  </a:prstGeom>
                                  <a:solidFill>
                                    <a:srgbClr val="800080"/>
                                  </a:solidFill>
                                  <a:ln w="9525">
                                    <a:solidFill>
                                      <a:srgbClr val="800080"/>
                                    </a:solidFill>
                                    <a:miter lim="800000"/>
                                    <a:headEnd/>
                                    <a:tailEnd/>
                                  </a:ln>
                                </wps:spPr>
                                <wps:txbx>
                                  <w:txbxContent>
                                    <w:p w14:paraId="04172F2F" w14:textId="546D7AE6" w:rsidR="00040E45" w:rsidRDefault="00040E45" w:rsidP="007C2E19">
                                      <w:pPr>
                                        <w:pStyle w:val="FigureTextwhite"/>
                                      </w:pPr>
                                      <w:r>
                                        <w:t>Transitioned ADF</w:t>
                                      </w:r>
                                      <w:r>
                                        <w:br/>
                                        <w:t>12,145</w:t>
                                      </w:r>
                                    </w:p>
                                  </w:txbxContent>
                                </wps:txbx>
                                <wps:bodyPr rot="0" vert="horz" wrap="square" lIns="91440" tIns="45720" rIns="91440" bIns="45720" anchor="t" anchorCtr="0">
                                  <a:noAutofit/>
                                </wps:bodyPr>
                              </wps:wsp>
                              <wps:wsp>
                                <wps:cNvPr id="91" name="Text Box 2"/>
                                <wps:cNvSpPr txBox="1">
                                  <a:spLocks noChangeArrowheads="1"/>
                                </wps:cNvSpPr>
                                <wps:spPr bwMode="auto">
                                  <a:xfrm>
                                    <a:off x="1276063" y="375313"/>
                                    <a:ext cx="1001177" cy="365265"/>
                                  </a:xfrm>
                                  <a:prstGeom prst="rect">
                                    <a:avLst/>
                                  </a:prstGeom>
                                  <a:solidFill>
                                    <a:srgbClr val="2E7371"/>
                                  </a:solidFill>
                                  <a:ln w="9525">
                                    <a:solidFill>
                                      <a:srgbClr val="2E7371"/>
                                    </a:solidFill>
                                    <a:miter lim="800000"/>
                                    <a:headEnd/>
                                    <a:tailEnd/>
                                  </a:ln>
                                </wps:spPr>
                                <wps:txbx>
                                  <w:txbxContent>
                                    <w:p w14:paraId="43A6F498" w14:textId="24422C66" w:rsidR="00040E45" w:rsidRDefault="00040E45" w:rsidP="007C2E19">
                                      <w:pPr>
                                        <w:pStyle w:val="FigureTextwhite"/>
                                      </w:pPr>
                                      <w:r>
                                        <w:t>Regular 2015 ADF</w:t>
                                      </w:r>
                                      <w:r>
                                        <w:br/>
                                        <w:t>26,480</w:t>
                                      </w:r>
                                    </w:p>
                                  </w:txbxContent>
                                </wps:txbx>
                                <wps:bodyPr rot="0" vert="horz" wrap="square" lIns="91440" tIns="45720" rIns="91440" bIns="45720" anchor="t" anchorCtr="0">
                                  <a:noAutofit/>
                                </wps:bodyPr>
                              </wps:wsp>
                              <wps:wsp>
                                <wps:cNvPr id="88" name="Text Box 88"/>
                                <wps:cNvSpPr txBox="1">
                                  <a:spLocks noChangeArrowheads="1"/>
                                </wps:cNvSpPr>
                                <wps:spPr bwMode="auto">
                                  <a:xfrm>
                                    <a:off x="0" y="0"/>
                                    <a:ext cx="1276073" cy="749300"/>
                                  </a:xfrm>
                                  <a:prstGeom prst="rect">
                                    <a:avLst/>
                                  </a:prstGeom>
                                  <a:solidFill>
                                    <a:srgbClr val="FFC000"/>
                                  </a:solidFill>
                                  <a:ln w="9525">
                                    <a:noFill/>
                                    <a:miter lim="800000"/>
                                    <a:headEnd/>
                                    <a:tailEnd/>
                                  </a:ln>
                                </wps:spPr>
                                <wps:txbx>
                                  <w:txbxContent>
                                    <w:p w14:paraId="2A7400E7" w14:textId="77777777" w:rsidR="00040E45" w:rsidRPr="00D33559" w:rsidRDefault="00040E45" w:rsidP="007C2E19">
                                      <w:pPr>
                                        <w:pStyle w:val="FigureText"/>
                                      </w:pPr>
                                      <w:r w:rsidRPr="00D33559">
                                        <w:t>USES EMERGING TECHNOLOGIES</w:t>
                                      </w:r>
                                    </w:p>
                                  </w:txbxContent>
                                </wps:txbx>
                                <wps:bodyPr rot="0" vert="horz" wrap="square" lIns="91440" tIns="45720" rIns="91440" bIns="45720" anchor="ctr" anchorCtr="0">
                                  <a:noAutofit/>
                                </wps:bodyPr>
                              </wps:wsp>
                            </wpg:grpSp>
                            <wpg:grpSp>
                              <wpg:cNvPr id="314" name="Group 314"/>
                              <wpg:cNvGrpSpPr/>
                              <wpg:grpSpPr>
                                <a:xfrm>
                                  <a:off x="975815" y="3848669"/>
                                  <a:ext cx="2288094" cy="730250"/>
                                  <a:chOff x="0" y="0"/>
                                  <a:chExt cx="2288094" cy="730250"/>
                                </a:xfrm>
                              </wpg:grpSpPr>
                              <wps:wsp>
                                <wps:cNvPr id="98" name="Text Box 2"/>
                                <wps:cNvSpPr txBox="1">
                                  <a:spLocks noChangeArrowheads="1"/>
                                </wps:cNvSpPr>
                                <wps:spPr bwMode="auto">
                                  <a:xfrm>
                                    <a:off x="1282889" y="0"/>
                                    <a:ext cx="1005205" cy="363855"/>
                                  </a:xfrm>
                                  <a:prstGeom prst="rect">
                                    <a:avLst/>
                                  </a:prstGeom>
                                  <a:solidFill>
                                    <a:srgbClr val="800080"/>
                                  </a:solidFill>
                                  <a:ln w="9525">
                                    <a:solidFill>
                                      <a:srgbClr val="800080"/>
                                    </a:solidFill>
                                    <a:miter lim="800000"/>
                                    <a:headEnd/>
                                    <a:tailEnd/>
                                  </a:ln>
                                </wps:spPr>
                                <wps:txbx>
                                  <w:txbxContent>
                                    <w:p w14:paraId="0200F6A5" w14:textId="0E5CFC37" w:rsidR="00040E45" w:rsidRDefault="00040E45" w:rsidP="007C2E19">
                                      <w:pPr>
                                        <w:pStyle w:val="FigureTextwhite"/>
                                      </w:pPr>
                                      <w:r>
                                        <w:t>Transitioned ADF</w:t>
                                      </w:r>
                                      <w:r>
                                        <w:br/>
                                        <w:t>6116</w:t>
                                      </w:r>
                                    </w:p>
                                  </w:txbxContent>
                                </wps:txbx>
                                <wps:bodyPr rot="0" vert="horz" wrap="square" lIns="91440" tIns="45720" rIns="91440" bIns="45720" anchor="t" anchorCtr="0">
                                  <a:noAutofit/>
                                </wps:bodyPr>
                              </wps:wsp>
                              <wps:wsp>
                                <wps:cNvPr id="101" name="Text Box 2"/>
                                <wps:cNvSpPr txBox="1">
                                  <a:spLocks noChangeArrowheads="1"/>
                                </wps:cNvSpPr>
                                <wps:spPr bwMode="auto">
                                  <a:xfrm>
                                    <a:off x="1282889" y="361665"/>
                                    <a:ext cx="1005205" cy="363855"/>
                                  </a:xfrm>
                                  <a:prstGeom prst="rect">
                                    <a:avLst/>
                                  </a:prstGeom>
                                  <a:solidFill>
                                    <a:srgbClr val="2E7371"/>
                                  </a:solidFill>
                                  <a:ln w="9525">
                                    <a:solidFill>
                                      <a:srgbClr val="2E7371"/>
                                    </a:solidFill>
                                    <a:miter lim="800000"/>
                                    <a:headEnd/>
                                    <a:tailEnd/>
                                  </a:ln>
                                </wps:spPr>
                                <wps:txbx>
                                  <w:txbxContent>
                                    <w:p w14:paraId="5B20D305" w14:textId="3577D152" w:rsidR="00040E45" w:rsidRDefault="00040E45" w:rsidP="007C2E19">
                                      <w:pPr>
                                        <w:pStyle w:val="FigureTextwhite"/>
                                      </w:pPr>
                                      <w:r>
                                        <w:t>Regular 2015 ADF</w:t>
                                      </w:r>
                                      <w:r>
                                        <w:br/>
                                        <w:t>9042</w:t>
                                      </w:r>
                                    </w:p>
                                  </w:txbxContent>
                                </wps:txbx>
                                <wps:bodyPr rot="0" vert="horz" wrap="square" lIns="91440" tIns="45720" rIns="91440" bIns="45720" anchor="t" anchorCtr="0">
                                  <a:noAutofit/>
                                </wps:bodyPr>
                              </wps:wsp>
                              <wps:wsp>
                                <wps:cNvPr id="96" name="Text Box 96"/>
                                <wps:cNvSpPr txBox="1">
                                  <a:spLocks noChangeArrowheads="1"/>
                                </wps:cNvSpPr>
                                <wps:spPr bwMode="auto">
                                  <a:xfrm>
                                    <a:off x="0" y="0"/>
                                    <a:ext cx="1280160" cy="730250"/>
                                  </a:xfrm>
                                  <a:prstGeom prst="rect">
                                    <a:avLst/>
                                  </a:prstGeom>
                                  <a:solidFill>
                                    <a:srgbClr val="5B9BD5">
                                      <a:lumMod val="75000"/>
                                    </a:srgbClr>
                                  </a:solidFill>
                                  <a:ln w="9525">
                                    <a:noFill/>
                                    <a:miter lim="800000"/>
                                    <a:headEnd/>
                                    <a:tailEnd/>
                                  </a:ln>
                                </wps:spPr>
                                <wps:txbx>
                                  <w:txbxContent>
                                    <w:p w14:paraId="2A0896D1" w14:textId="77777777" w:rsidR="00040E45" w:rsidRPr="00D33559" w:rsidRDefault="00040E45" w:rsidP="007C2E19">
                                      <w:pPr>
                                        <w:pStyle w:val="FigureTextwhite"/>
                                      </w:pPr>
                                      <w:r w:rsidRPr="00D33559">
                                        <w:t xml:space="preserve">USES THE </w:t>
                                      </w:r>
                                      <w:r>
                                        <w:t>INTERNET</w:t>
                                      </w:r>
                                      <w:r w:rsidRPr="00D33559">
                                        <w:t xml:space="preserve"> FOR MENTAL HEALTH ISSUES</w:t>
                                      </w:r>
                                    </w:p>
                                  </w:txbxContent>
                                </wps:txbx>
                                <wps:bodyPr rot="0" vert="horz" wrap="square" lIns="91440" tIns="45720" rIns="91440" bIns="45720" anchor="ctr" anchorCtr="0">
                                  <a:noAutofit/>
                                </wps:bodyPr>
                              </wps:wsp>
                            </wpg:grpSp>
                            <wpg:grpSp>
                              <wpg:cNvPr id="316" name="Group 316"/>
                              <wpg:cNvGrpSpPr/>
                              <wpg:grpSpPr>
                                <a:xfrm>
                                  <a:off x="975815" y="4817660"/>
                                  <a:ext cx="2288094" cy="732979"/>
                                  <a:chOff x="0" y="0"/>
                                  <a:chExt cx="2288094" cy="732979"/>
                                </a:xfrm>
                              </wpg:grpSpPr>
                              <wps:wsp>
                                <wps:cNvPr id="312" name="Text Box 2"/>
                                <wps:cNvSpPr txBox="1">
                                  <a:spLocks noChangeArrowheads="1"/>
                                </wps:cNvSpPr>
                                <wps:spPr bwMode="auto">
                                  <a:xfrm>
                                    <a:off x="1282889" y="0"/>
                                    <a:ext cx="1005205" cy="381000"/>
                                  </a:xfrm>
                                  <a:prstGeom prst="rect">
                                    <a:avLst/>
                                  </a:prstGeom>
                                  <a:solidFill>
                                    <a:srgbClr val="800080"/>
                                  </a:solidFill>
                                  <a:ln w="9525">
                                    <a:noFill/>
                                    <a:miter lim="800000"/>
                                    <a:headEnd/>
                                    <a:tailEnd/>
                                  </a:ln>
                                </wps:spPr>
                                <wps:txbx>
                                  <w:txbxContent>
                                    <w:p w14:paraId="5B70856A" w14:textId="22D0BCFD" w:rsidR="00040E45" w:rsidRDefault="00040E45" w:rsidP="007C2E19">
                                      <w:pPr>
                                        <w:pStyle w:val="FigureTextwhite"/>
                                      </w:pPr>
                                      <w:r>
                                        <w:t>Transitioned ADF</w:t>
                                      </w:r>
                                      <w:r>
                                        <w:br/>
                                        <w:t>3452</w:t>
                                      </w:r>
                                    </w:p>
                                  </w:txbxContent>
                                </wps:txbx>
                                <wps:bodyPr rot="0" vert="horz" wrap="square" lIns="91440" tIns="45720" rIns="91440" bIns="45720" anchor="t" anchorCtr="0">
                                  <a:noAutofit/>
                                </wps:bodyPr>
                              </wps:wsp>
                              <wps:wsp>
                                <wps:cNvPr id="315" name="Text Box 2"/>
                                <wps:cNvSpPr txBox="1">
                                  <a:spLocks noChangeArrowheads="1"/>
                                </wps:cNvSpPr>
                                <wps:spPr bwMode="auto">
                                  <a:xfrm>
                                    <a:off x="1282889" y="368489"/>
                                    <a:ext cx="1005205" cy="364490"/>
                                  </a:xfrm>
                                  <a:prstGeom prst="rect">
                                    <a:avLst/>
                                  </a:prstGeom>
                                  <a:solidFill>
                                    <a:srgbClr val="2E7371"/>
                                  </a:solidFill>
                                  <a:ln w="9525">
                                    <a:noFill/>
                                    <a:miter lim="800000"/>
                                    <a:headEnd/>
                                    <a:tailEnd/>
                                  </a:ln>
                                </wps:spPr>
                                <wps:txbx>
                                  <w:txbxContent>
                                    <w:p w14:paraId="6D451073" w14:textId="0100BB58" w:rsidR="00040E45" w:rsidRDefault="00040E45" w:rsidP="007C2E19">
                                      <w:pPr>
                                        <w:pStyle w:val="FigureTextwhite"/>
                                      </w:pPr>
                                      <w:r>
                                        <w:t>Regular 2015 ADF</w:t>
                                      </w:r>
                                      <w:r>
                                        <w:br/>
                                        <w:t>5470</w:t>
                                      </w:r>
                                    </w:p>
                                  </w:txbxContent>
                                </wps:txbx>
                                <wps:bodyPr rot="0" vert="horz" wrap="square" lIns="91440" tIns="45720" rIns="91440" bIns="45720" anchor="t" anchorCtr="0">
                                  <a:noAutofit/>
                                </wps:bodyPr>
                              </wps:wsp>
                              <wps:wsp>
                                <wps:cNvPr id="310" name="Text Box 310"/>
                                <wps:cNvSpPr txBox="1">
                                  <a:spLocks noChangeArrowheads="1"/>
                                </wps:cNvSpPr>
                                <wps:spPr bwMode="auto">
                                  <a:xfrm>
                                    <a:off x="0" y="0"/>
                                    <a:ext cx="1280160" cy="730250"/>
                                  </a:xfrm>
                                  <a:prstGeom prst="rect">
                                    <a:avLst/>
                                  </a:prstGeom>
                                  <a:solidFill>
                                    <a:srgbClr val="4472C4">
                                      <a:lumMod val="40000"/>
                                      <a:lumOff val="60000"/>
                                    </a:srgbClr>
                                  </a:solidFill>
                                  <a:ln w="9525">
                                    <a:noFill/>
                                    <a:miter lim="800000"/>
                                    <a:headEnd/>
                                    <a:tailEnd/>
                                  </a:ln>
                                </wps:spPr>
                                <wps:txbx>
                                  <w:txbxContent>
                                    <w:p w14:paraId="29A051DE" w14:textId="77777777" w:rsidR="00040E45" w:rsidRPr="00D33559" w:rsidRDefault="00040E45" w:rsidP="007C2E19">
                                      <w:pPr>
                                        <w:pStyle w:val="FigureText"/>
                                      </w:pPr>
                                      <w:r w:rsidRPr="00D33559">
                                        <w:t>HAS NOT TALKED ONLINE TO OTHERS ABOUT MENTAL HEALTH</w:t>
                                      </w:r>
                                    </w:p>
                                  </w:txbxContent>
                                </wps:txbx>
                                <wps:bodyPr rot="0" vert="horz" wrap="square" lIns="91440" tIns="45720" rIns="91440" bIns="45720" anchor="ctr" anchorCtr="0">
                                  <a:noAutofit/>
                                </wps:bodyPr>
                              </wps:wsp>
                            </wpg:grpSp>
                            <wpg:grpSp>
                              <wpg:cNvPr id="66" name="Group 66"/>
                              <wpg:cNvGrpSpPr/>
                              <wpg:grpSpPr>
                                <a:xfrm>
                                  <a:off x="641444" y="743803"/>
                                  <a:ext cx="326864" cy="5397690"/>
                                  <a:chOff x="0" y="0"/>
                                  <a:chExt cx="326864" cy="5397690"/>
                                </a:xfrm>
                              </wpg:grpSpPr>
                              <wps:wsp>
                                <wps:cNvPr id="83" name="Straight Connector 83"/>
                                <wps:cNvCnPr/>
                                <wps:spPr>
                                  <a:xfrm>
                                    <a:off x="0" y="0"/>
                                    <a:ext cx="0" cy="539769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6824" y="5397689"/>
                                    <a:ext cx="320040" cy="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6824" y="4435522"/>
                                    <a:ext cx="320040" cy="0"/>
                                  </a:xfrm>
                                  <a:prstGeom prst="line">
                                    <a:avLst/>
                                  </a:prstGeom>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a:off x="6824" y="3466531"/>
                                    <a:ext cx="320040" cy="0"/>
                                  </a:xfrm>
                                  <a:prstGeom prst="line">
                                    <a:avLst/>
                                  </a:prstGeom>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a:off x="6824" y="600501"/>
                                    <a:ext cx="32004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318" name="Group 318"/>
                              <wpg:cNvGrpSpPr/>
                              <wpg:grpSpPr>
                                <a:xfrm>
                                  <a:off x="1617259" y="1733266"/>
                                  <a:ext cx="326864" cy="1508077"/>
                                  <a:chOff x="0" y="0"/>
                                  <a:chExt cx="326864" cy="1508077"/>
                                </a:xfrm>
                              </wpg:grpSpPr>
                              <wps:wsp>
                                <wps:cNvPr id="70" name="Straight Connector 70"/>
                                <wps:cNvCnPr/>
                                <wps:spPr>
                                  <a:xfrm>
                                    <a:off x="0" y="0"/>
                                    <a:ext cx="0" cy="1507490"/>
                                  </a:xfrm>
                                  <a:prstGeom prst="line">
                                    <a:avLst/>
                                  </a:prstGeom>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a:off x="6824" y="559558"/>
                                    <a:ext cx="320040" cy="0"/>
                                  </a:xfrm>
                                  <a:prstGeom prst="line">
                                    <a:avLst/>
                                  </a:prstGeom>
                                </wps:spPr>
                                <wps:style>
                                  <a:lnRef idx="1">
                                    <a:schemeClr val="dk1"/>
                                  </a:lnRef>
                                  <a:fillRef idx="0">
                                    <a:schemeClr val="dk1"/>
                                  </a:fillRef>
                                  <a:effectRef idx="0">
                                    <a:schemeClr val="dk1"/>
                                  </a:effectRef>
                                  <a:fontRef idx="minor">
                                    <a:schemeClr val="tx1"/>
                                  </a:fontRef>
                                </wps:style>
                                <wps:bodyPr/>
                              </wps:wsp>
                              <wps:wsp>
                                <wps:cNvPr id="64" name="Straight Connector 64"/>
                                <wps:cNvCnPr/>
                                <wps:spPr>
                                  <a:xfrm>
                                    <a:off x="6824" y="1508077"/>
                                    <a:ext cx="320040"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17EDBDD" id="Group 69" o:spid="_x0000_s1048" alt="Figure C.1 Denominator cascade 2015" style="position:absolute;margin-left:-3.35pt;margin-top:1.8pt;width:333.7pt;height:512.15pt;z-index:251675648;mso-position-horizontal-relative:text;mso-position-vertical-relative:text" coordsize="42382,6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">
                      <v:group id="Group 317" o:spid="_x0000_s1049" style="position:absolute;left:9758;top:57730;width:22855;height:7315" coordsize="22855,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_x0000_s1050" type="#_x0000_t202" style="position:absolute;left:12828;width:10021;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f8cQA&#10;AADbAAAADwAAAGRycy9kb3ducmV2LnhtbESPQWvCQBSE74L/YXlCb7qxUAmpq5RCS3sQ2lXo9bH7&#10;TILZtzG7TaK/vlsQPA4z8w2z3o6uET11ofasYLnIQBAbb2suFRz2b/McRIjIFhvPpOBCAbab6WSN&#10;hfUDf1OvYykShEOBCqoY20LKYCpyGBa+JU7e0XcOY5JdKW2HQ4K7Rj5m2Uo6rDktVNjSa0XmpH+d&#10;Ar97H0yuTY/Zz/Wsv65tr/NPpR5m48sziEhjvIdv7Q+rYPUE/1/S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n/HEAAAA2wAAAA8AAAAAAAAAAAAAAAAAmAIAAGRycy9k&#10;b3ducmV2LnhtbFBLBQYAAAAABAAEAPUAAACJAwAAAAA=&#10;" fillcolor="purple" stroked="f">
                          <v:textbox>
                            <w:txbxContent>
                              <w:p w14:paraId="6EEC015C" w14:textId="5C4D7A57" w:rsidR="00040E45" w:rsidRDefault="00040E45" w:rsidP="007C2E19">
                                <w:pPr>
                                  <w:pStyle w:val="FigureTextwhite"/>
                                </w:pPr>
                                <w:r>
                                  <w:t>Transitioned ADF</w:t>
                                </w:r>
                                <w:r>
                                  <w:br/>
                                  <w:t>10,347</w:t>
                                </w:r>
                              </w:p>
                            </w:txbxContent>
                          </v:textbox>
                        </v:shape>
                        <v:shape id="_x0000_s1051" type="#_x0000_t202" style="position:absolute;left:12828;top:3616;width:10027;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6icAA&#10;AADbAAAADwAAAGRycy9kb3ducmV2LnhtbERPy4rCMBTdC/MP4Q6403QcUKmN4jgM+FhZdeHu0tw+&#10;sLkpTcbWvzcLweXhvJNVb2pxp9ZVlhV8jSMQxJnVFRcKzqe/0RyE88gaa8uk4EEOVsuPQYKxth0f&#10;6Z76QoQQdjEqKL1vYildVpJBN7YNceBy2xr0AbaF1C12IdzUchJFU2mw4tBQYkObkrJb+m8U7Mw8&#10;NQeU3fd+hpff6/Un98VRqeFnv16A8NT7t/jl3moF0zA2fAk/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h6icAAAADbAAAADwAAAAAAAAAAAAAAAACYAgAAZHJzL2Rvd25y&#10;ZXYueG1sUEsFBgAAAAAEAAQA9QAAAIUDAAAAAA==&#10;" fillcolor="#2e7371" stroked="f">
                          <v:textbox>
                            <w:txbxContent>
                              <w:p w14:paraId="3FE46771" w14:textId="63FBC9A3" w:rsidR="00040E45" w:rsidRDefault="00040E45" w:rsidP="007C2E19">
                                <w:pPr>
                                  <w:pStyle w:val="FigureTextwhite"/>
                                </w:pPr>
                                <w:r>
                                  <w:t>Regular 2015 ADF</w:t>
                                </w:r>
                                <w:r>
                                  <w:br/>
                                  <w:t>20,164</w:t>
                                </w:r>
                              </w:p>
                            </w:txbxContent>
                          </v:textbox>
                        </v:shape>
                        <v:shape id="Text Box 319" o:spid="_x0000_s1052" type="#_x0000_t202" style="position:absolute;width:12801;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H7cQA&#10;AADcAAAADwAAAGRycy9kb3ducmV2LnhtbESP0WrCQBRE3wv+w3IFX0Q3KhRNXUUExT6FRj/gsntN&#10;YrN3Q3ZN4t93C4U+DjNzhtnuB1uLjlpfOVawmCcgiLUzFRcKbtfTbA3CB2SDtWNS8CIP+93obYup&#10;cT1/UZeHQkQI+xQVlCE0qZRel2TRz11DHL27ay2GKNtCmhb7CLe1XCbJu7RYcVwosaFjSfo7f1oF&#10;n/qRnXvM6s2jy3JarqZT/XoqNRkPhw8QgYbwH/5rX4yC1WID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jB+3EAAAA3AAAAA8AAAAAAAAAAAAAAAAAmAIAAGRycy9k&#10;b3ducmV2LnhtbFBLBQYAAAAABAAEAPUAAACJAwAAAAA=&#10;" fillcolor="#92d050" stroked="f">
                          <v:textbox>
                            <w:txbxContent>
                              <w:p w14:paraId="04E82771" w14:textId="77777777" w:rsidR="00040E45" w:rsidRPr="00D33559" w:rsidRDefault="00040E45" w:rsidP="007C2E19">
                                <w:pPr>
                                  <w:pStyle w:val="FigureText"/>
                                </w:pPr>
                                <w:r w:rsidRPr="00D33559">
                                  <w:t>DOES NOT USE EMERGING TECHNOLOGIES</w:t>
                                </w:r>
                              </w:p>
                            </w:txbxContent>
                          </v:textbox>
                        </v:shape>
                      </v:group>
                      <v:group id="Group 311" o:spid="_x0000_s1053" style="position:absolute;left:19516;top:28660;width:22866;height:7407" coordsize="22874,7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_x0000_s1054" type="#_x0000_t202" style="position:absolute;left:12828;width:1004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nOt8UA&#10;AADbAAAADwAAAGRycy9kb3ducmV2LnhtbESPQWvCQBSE74X+h+UVejMbPVQbXcUKQkAQa0Xw9sw+&#10;k9js25jdaPz3bkHocZiZb5jJrDOVuFLjSssK+lEMgjizuuRcwe5n2RuBcB5ZY2WZFNzJwWz6+jLB&#10;RNsbf9N163MRIOwSVFB4XydSuqwggy6yNXHwTrYx6INscqkbvAW4qeQgjj+kwZLDQoE1LQrKfret&#10;USBTmW7Oi3n/cjjuP9tsvWrrr6NS72/dfAzCU+f/w892qhUMB/D3Jfw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63xQAAANsAAAAPAAAAAAAAAAAAAAAAAJgCAABkcnMv&#10;ZG93bnJldi54bWxQSwUGAAAAAAQABAD1AAAAigMAAAAA&#10;" fillcolor="purple" strokecolor="purple">
                          <v:textbox>
                            <w:txbxContent>
                              <w:p w14:paraId="1ACF7F20" w14:textId="7ED2C012" w:rsidR="00040E45" w:rsidRDefault="00040E45" w:rsidP="007C2E19">
                                <w:pPr>
                                  <w:pStyle w:val="FigureTextwhite"/>
                                </w:pPr>
                                <w:r>
                                  <w:t>Transitioned ADF</w:t>
                                </w:r>
                                <w:r>
                                  <w:br/>
                                  <w:t>5749</w:t>
                                </w:r>
                              </w:p>
                            </w:txbxContent>
                          </v:textbox>
                        </v:shape>
                        <v:shape id="_x0000_s1055" type="#_x0000_t202" style="position:absolute;left:12828;top:3753;width:1004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yasUA&#10;AADbAAAADwAAAGRycy9kb3ducmV2LnhtbESPQWsCMRSE7wX/Q3hCL6VmW6ktW6OIUOhJrO7B3h6b&#10;193g5mVJ4u7WX28EweMwM98w8+VgG9GRD8axgpdJBoK4dNpwpaDYfz1/gAgRWWPjmBT8U4DlYvQw&#10;x1y7nn+o28VKJAiHHBXUMba5lKGsyWKYuJY4eX/OW4xJ+kpqj32C20a+ZtlMWjScFmpsaV1Tedyd&#10;rIJD0ZfbdfPrzXQ1pYM5Pm2680mpx/Gw+gQRaYj38K39rRW8v8H1S/o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JqxQAAANsAAAAPAAAAAAAAAAAAAAAAAJgCAABkcnMv&#10;ZG93bnJldi54bWxQSwUGAAAAAAQABAD1AAAAigMAAAAA&#10;" fillcolor="#2e7371" strokecolor="#2e7371">
                          <v:textbox>
                            <w:txbxContent>
                              <w:p w14:paraId="64A31ED4" w14:textId="2C1D9BD4" w:rsidR="00040E45" w:rsidRDefault="00040E45" w:rsidP="007C2E19">
                                <w:pPr>
                                  <w:pStyle w:val="FigureTextwhite"/>
                                </w:pPr>
                                <w:r>
                                  <w:t>Regular 2015 ADF</w:t>
                                </w:r>
                                <w:r>
                                  <w:br/>
                                  <w:t>11925</w:t>
                                </w:r>
                              </w:p>
                            </w:txbxContent>
                          </v:textbox>
                        </v:shape>
                        <v:shape id="Text Box 77" o:spid="_x0000_s1056" type="#_x0000_t202" style="position:absolute;width:12801;height:7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wosUA&#10;AADbAAAADwAAAGRycy9kb3ducmV2LnhtbESPQWvCQBSE74X+h+UVeil1owdT0mykVCy9iGhae31k&#10;n9lo9m3IbjX+e1cQPA4z8w2TzwbbiiP1vnGsYDxKQBBXTjdcK/gpF69vIHxA1tg6JgVn8jArHh9y&#10;zLQ78ZqOm1CLCGGfoQITQpdJ6StDFv3IdcTR27neYoiyr6Xu8RThtpWTJJlKiw3HBYMdfRqqDpt/&#10;q+Br+WLW+z1tl+P5X5mufieEYavU89Pw8Q4i0BDu4Vv7WytIU7h+iT9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7CixQAAANsAAAAPAAAAAAAAAAAAAAAAAJgCAABkcnMv&#10;ZG93bnJldi54bWxQSwUGAAAAAAQABAD1AAAAigMAAAAA&#10;" fillcolor="#ffc000" stroked="f">
                          <v:textbox>
                            <w:txbxContent>
                              <w:p w14:paraId="6D68B338" w14:textId="77777777" w:rsidR="00040E45" w:rsidRPr="00D33559" w:rsidRDefault="00040E45" w:rsidP="007C2E19">
                                <w:pPr>
                                  <w:pStyle w:val="FigureText"/>
                                </w:pPr>
                                <w:r w:rsidRPr="00D33559">
                                  <w:t xml:space="preserve">DOES NOT </w:t>
                                </w:r>
                                <w:r>
                                  <w:t xml:space="preserve">USE </w:t>
                                </w:r>
                                <w:r w:rsidRPr="00D33559">
                                  <w:t>EMERGING TECHNOLOGIES TO IMPROVE HEALTH AND WELLBEING</w:t>
                                </w:r>
                              </w:p>
                            </w:txbxContent>
                          </v:textbox>
                        </v:shape>
                      </v:group>
                      <v:group id="Group 305" o:spid="_x0000_s1057" style="position:absolute;width:22935;height:7410" coordsize="22935,7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_x0000_s1058" type="#_x0000_t202" style="position:absolute;left:12897;width:1003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joMYA&#10;AADcAAAADwAAAGRycy9kb3ducmV2LnhtbESPQWvCQBSE70L/w/IKvekmLYiN2YgVhIAg1pZCb8/s&#10;M0mbfRuzG43/3i0UPA4z8w2TLgbTiDN1rrasIJ5EIIgLq2suFXx+rMczEM4ja2wsk4IrOVhkD6MU&#10;E20v/E7nvS9FgLBLUEHlfZtI6YqKDLqJbYmDd7SdQR9kV0rd4SXATSOfo2gqDdYcFipsaVVR8bvv&#10;jQKZy3z3s1rGp+/D12tfbDd9+3ZQ6ulxWM5BeBr8PfzfzrWClyiG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joMYAAADcAAAADwAAAAAAAAAAAAAAAACYAgAAZHJz&#10;L2Rvd25yZXYueG1sUEsFBgAAAAAEAAQA9QAAAIsDAAAAAA==&#10;" fillcolor="purple" strokecolor="purple">
                          <v:textbox>
                            <w:txbxContent>
                              <w:p w14:paraId="58594F7F" w14:textId="3FFC5332" w:rsidR="00040E45" w:rsidRDefault="00040E45" w:rsidP="007C2E19">
                                <w:pPr>
                                  <w:pStyle w:val="FigureTextwhite"/>
                                </w:pPr>
                                <w:r>
                                  <w:t>Transitioned ADF</w:t>
                                </w:r>
                                <w:r>
                                  <w:br/>
                                  <w:t>24,932</w:t>
                                </w:r>
                              </w:p>
                            </w:txbxContent>
                          </v:textbox>
                        </v:shape>
                        <v:shape id="_x0000_s1059" type="#_x0000_t202" style="position:absolute;left:12897;top:3753;width:10037;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K3sUA&#10;AADcAAAADwAAAGRycy9kb3ducmV2LnhtbESPQWsCMRSE74X+h/AKXkrN1hUpW6OIUOhJrHqwt8fm&#10;dTe4eVmSuLv6641Q8DjMzDfMfDnYRnTkg3Gs4H2cgSAunTZcKTjsv94+QISIrLFxTAouFGC5eH6a&#10;Y6Fdzz/U7WIlEoRDgQrqGNtCylDWZDGMXUucvD/nLcYkfSW1xz7BbSMnWTaTFg2nhRpbWtdUnnZn&#10;q+B46Mvtuvn1Jl/ldDSn1013PSs1ehlWnyAiDfER/m9/awV5NoX7mX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wrexQAAANwAAAAPAAAAAAAAAAAAAAAAAJgCAABkcnMv&#10;ZG93bnJldi54bWxQSwUGAAAAAAQABAD1AAAAigMAAAAA&#10;" fillcolor="#2e7371" strokecolor="#2e7371">
                          <v:textbox>
                            <w:txbxContent>
                              <w:p w14:paraId="1F2E366C" w14:textId="6A5815DC" w:rsidR="00040E45" w:rsidRDefault="00040E45" w:rsidP="007C2E19">
                                <w:pPr>
                                  <w:pStyle w:val="FigureTextwhite"/>
                                </w:pPr>
                                <w:r>
                                  <w:t>Regular 2015 ADF</w:t>
                                </w:r>
                                <w:r>
                                  <w:br/>
                                  <w:t>52,500</w:t>
                                </w:r>
                              </w:p>
                            </w:txbxContent>
                          </v:textbox>
                        </v:shape>
                        <v:shape id="Text Box 306" o:spid="_x0000_s1060" type="#_x0000_t202" style="position:absolute;width:12801;height:7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GccEA&#10;AADcAAAADwAAAGRycy9kb3ducmV2LnhtbESP0WoCMRRE3wv+Q7iCbzWpgshqlFJUhD519QMum+tm&#10;6eZmN4nu+vdNodDHYWbOMNv96FrxoBAbzxre5goEceVNw7WG6+X4ugYRE7LB1jNpeFKE/W7yssXC&#10;+IG/6FGmWmQIxwI12JS6QspYWXIY574jzt7NB4cpy1BLE3DIcNfKhVIr6bDhvGCxow9L1Xd5d5ky&#10;LGRfns6qPyV/kK0PfW0/tZ5Nx/cNiERj+g//tc9Gw1Kt4PdMPgJ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ZRnHBAAAA3AAAAA8AAAAAAAAAAAAAAAAAmAIAAGRycy9kb3du&#10;cmV2LnhtbFBLBQYAAAAABAAEAPUAAACGAwAAAAA=&#10;" fillcolor="#deebf7" strokecolor="black [3213]">
                          <v:textbox>
                            <w:txbxContent>
                              <w:p w14:paraId="5D23A229" w14:textId="77777777" w:rsidR="00040E45" w:rsidRPr="00D33559" w:rsidRDefault="00040E45" w:rsidP="007C2E19">
                                <w:pPr>
                                  <w:pStyle w:val="FigureText"/>
                                </w:pPr>
                                <w:r w:rsidRPr="00D33559">
                                  <w:t>ENTIRE COHORT</w:t>
                                </w:r>
                              </w:p>
                            </w:txbxContent>
                          </v:textbox>
                        </v:shape>
                      </v:group>
                      <v:group id="Group 309" o:spid="_x0000_s1061" style="position:absolute;left:19516;top:19243;width:22796;height:7407" coordsize="22799,7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_x0000_s1062" type="#_x0000_t202" style="position:absolute;left:12760;width:10039;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4g58YA&#10;AADbAAAADwAAAGRycy9kb3ducmV2LnhtbESPzWrDMBCE74W+g9hCbrXsHkLiRDZpoGAIhOaHQm8b&#10;a2O7tVauJSfu20eBQo/DzHzDLPPRtOJCvWssK0iiGARxaXXDlYLj4e15BsJ5ZI2tZVLwSw7y7PFh&#10;iam2V97RZe8rESDsUlRQe9+lUrqyJoMush1x8M62N+iD7Cupe7wGuGnlSxxPpcGGw0KNHa1rKr/3&#10;g1EgC1m8f61Xyc/n6WM+lNvN0L2elJo8jasFCE+j/w//tQutYJbA/Uv4A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4g58YAAADbAAAADwAAAAAAAAAAAAAAAACYAgAAZHJz&#10;L2Rvd25yZXYueG1sUEsFBgAAAAAEAAQA9QAAAIsDAAAAAA==&#10;" fillcolor="purple" strokecolor="purple">
                          <v:textbox>
                            <w:txbxContent>
                              <w:p w14:paraId="663AFF2D" w14:textId="2E401847" w:rsidR="00040E45" w:rsidRDefault="00040E45" w:rsidP="007C2E19">
                                <w:pPr>
                                  <w:pStyle w:val="FigureTextwhite"/>
                                </w:pPr>
                                <w:r>
                                  <w:t>Transitioned ADF</w:t>
                                </w:r>
                                <w:r>
                                  <w:br/>
                                  <w:t>5668</w:t>
                                </w:r>
                              </w:p>
                            </w:txbxContent>
                          </v:textbox>
                        </v:shape>
                        <v:shape id="_x0000_s1063" type="#_x0000_t202" style="position:absolute;left:12760;top:3753;width:10039;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n1sQA&#10;AADbAAAADwAAAGRycy9kb3ducmV2LnhtbESPQWsCMRSE7wX/Q3iCl6JZtYisRhGh0JO06kFvj81z&#10;N7h5WZK4u/bXN4VCj8PMfMOst72tRUs+GMcKppMMBHHhtOFSwfn0Pl6CCBFZY+2YFDwpwHYzeFlj&#10;rl3HX9QeYykShEOOCqoYm1zKUFRkMUxcQ5y8m/MWY5K+lNpjl+C2lrMsW0iLhtNChQ3tKyrux4dV&#10;cDl3xee+vnoz383pYu6vh/b7odRo2O9WICL18T/81/7QCpZv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l59bEAAAA2wAAAA8AAAAAAAAAAAAAAAAAmAIAAGRycy9k&#10;b3ducmV2LnhtbFBLBQYAAAAABAAEAPUAAACJAwAAAAA=&#10;" fillcolor="#2e7371" strokecolor="#2e7371">
                          <v:textbox>
                            <w:txbxContent>
                              <w:p w14:paraId="0F76AD62" w14:textId="17CD5C82" w:rsidR="00040E45" w:rsidRDefault="00040E45" w:rsidP="007C2E19">
                                <w:pPr>
                                  <w:pStyle w:val="FigureTextwhite"/>
                                </w:pPr>
                                <w:r>
                                  <w:t>Regular 2015 ADF</w:t>
                                </w:r>
                                <w:r>
                                  <w:br/>
                                  <w:t>13,131</w:t>
                                </w:r>
                              </w:p>
                            </w:txbxContent>
                          </v:textbox>
                        </v:shape>
                        <v:shape id="Text Box 79" o:spid="_x0000_s1064" type="#_x0000_t202" style="position:absolute;width:12795;height:7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BS8UA&#10;AADbAAAADwAAAGRycy9kb3ducmV2LnhtbESPT2vCQBTE7wW/w/IEL6Vu9KA2dRVpsXgJEv9eH9nX&#10;bDT7NmS3mn57t1DocZiZ3zDzZWdrcaPWV44VjIYJCOLC6YpLBYf9+mUGwgdkjbVjUvBDHpaL3tMc&#10;U+3unNNtF0oRIexTVGBCaFIpfWHIoh+6hjh6X661GKJsS6lbvEe4reU4SSbSYsVxwWBD74aK6+7b&#10;KvjMnk1+udApG32c99PtcUwYTkoN+t3qDUSgLvyH/9obrWD6Cr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IFLxQAAANsAAAAPAAAAAAAAAAAAAAAAAJgCAABkcnMv&#10;ZG93bnJldi54bWxQSwUGAAAAAAQABAD1AAAAigMAAAAA&#10;" fillcolor="#ffc000" stroked="f">
                          <v:textbox>
                            <w:txbxContent>
                              <w:p w14:paraId="5C983A89" w14:textId="77777777" w:rsidR="00040E45" w:rsidRPr="00D33559" w:rsidRDefault="00040E45" w:rsidP="007C2E19">
                                <w:pPr>
                                  <w:pStyle w:val="FigureText"/>
                                </w:pPr>
                                <w:r w:rsidRPr="00D33559">
                                  <w:t>USES EMERGING TECHNOLOGIES TO IMPROVE HEALTH AND WELLBEING</w:t>
                                </w:r>
                              </w:p>
                            </w:txbxContent>
                          </v:textbox>
                        </v:shape>
                      </v:group>
                      <v:group id="Group 308" o:spid="_x0000_s1065" style="position:absolute;left:9758;top:9826;width:22809;height:7493" coordsize="22816,7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_x0000_s1066" type="#_x0000_t202" style="position:absolute;left:12760;width:10056;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s4cYA&#10;AADbAAAADwAAAGRycy9kb3ducmV2LnhtbESPzWrDMBCE74W+g9hCb7XsHkriRgmpoWAIhPyUQm9r&#10;a2M7tVaOJSfO20eBQo/DzHzDzBajacWZetdYVpBEMQji0uqGKwVf+8+XCQjnkTW2lknBlRws5o8P&#10;M0y1vfCWzjtfiQBhl6KC2vsuldKVNRl0ke2Ig3ewvUEfZF9J3eMlwE0rX+P4TRpsOCzU2FFWU/m7&#10;G4wCmct8c8yWyemn+J4O5Xo1dB+FUs9P4/IdhKfR/4f/2rlWMJnC/Uv4A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s4cYAAADbAAAADwAAAAAAAAAAAAAAAACYAgAAZHJz&#10;L2Rvd25yZXYueG1sUEsFBgAAAAAEAAQA9QAAAIsDAAAAAA==&#10;" fillcolor="purple" strokecolor="purple">
                          <v:textbox>
                            <w:txbxContent>
                              <w:p w14:paraId="04172F2F" w14:textId="546D7AE6" w:rsidR="00040E45" w:rsidRDefault="00040E45" w:rsidP="007C2E19">
                                <w:pPr>
                                  <w:pStyle w:val="FigureTextwhite"/>
                                </w:pPr>
                                <w:r>
                                  <w:t>Transitioned ADF</w:t>
                                </w:r>
                                <w:r>
                                  <w:br/>
                                  <w:t>12,145</w:t>
                                </w:r>
                              </w:p>
                            </w:txbxContent>
                          </v:textbox>
                        </v:shape>
                        <v:shape id="_x0000_s1067" type="#_x0000_t202" style="position:absolute;left:12760;top:3753;width:10012;height:3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Sk8QA&#10;AADbAAAADwAAAGRycy9kb3ducmV2LnhtbESPQWsCMRSE7wX/Q3hCL0WzVii6GkUEwZO06kFvj81z&#10;N7h5WZK4u/bXN4VCj8PMfMMs172tRUs+GMcKJuMMBHHhtOFSwfm0G81AhIissXZMCp4UYL0avCwx&#10;167jL2qPsRQJwiFHBVWMTS5lKCqyGMauIU7ezXmLMUlfSu2xS3Bby/cs+5AWDaeFChvaVlTcjw+r&#10;4HLuis9tffVmupnSxdzfDu33Q6nXYb9ZgIjUx//wX3uvFcwn8Psl/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0pPEAAAA2wAAAA8AAAAAAAAAAAAAAAAAmAIAAGRycy9k&#10;b3ducmV2LnhtbFBLBQYAAAAABAAEAPUAAACJAwAAAAA=&#10;" fillcolor="#2e7371" strokecolor="#2e7371">
                          <v:textbox>
                            <w:txbxContent>
                              <w:p w14:paraId="43A6F498" w14:textId="24422C66" w:rsidR="00040E45" w:rsidRDefault="00040E45" w:rsidP="007C2E19">
                                <w:pPr>
                                  <w:pStyle w:val="FigureTextwhite"/>
                                </w:pPr>
                                <w:r>
                                  <w:t>Regular 2015 ADF</w:t>
                                </w:r>
                                <w:r>
                                  <w:br/>
                                  <w:t>26,480</w:t>
                                </w:r>
                              </w:p>
                            </w:txbxContent>
                          </v:textbox>
                        </v:shape>
                        <v:shape id="Text Box 88" o:spid="_x0000_s1068" type="#_x0000_t202" style="position:absolute;width:12760;height:7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U98IA&#10;AADbAAAADwAAAGRycy9kb3ducmV2LnhtbERPz2vCMBS+D/wfwhvsMmZqD1upRhmKYxcRddPro3k2&#10;1ealJFnt/ntzGOz48f2eLQbbip58aBwrmIwzEMSV0w3XCr4O65cCRIjIGlvHpOCXAizmo4cZltrd&#10;eEf9PtYihXAoUYGJsSulDJUhi2HsOuLEnZ23GBP0tdQebynctjLPsldpseHUYLCjpaHquv+xCj42&#10;z2Z3udBxM1mdDm/b75wwHpV6ehzepyAiDfFf/Of+1AqKNDZ9ST9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VT3wgAAANsAAAAPAAAAAAAAAAAAAAAAAJgCAABkcnMvZG93&#10;bnJldi54bWxQSwUGAAAAAAQABAD1AAAAhwMAAAAA&#10;" fillcolor="#ffc000" stroked="f">
                          <v:textbox>
                            <w:txbxContent>
                              <w:p w14:paraId="2A7400E7" w14:textId="77777777" w:rsidR="00040E45" w:rsidRPr="00D33559" w:rsidRDefault="00040E45" w:rsidP="007C2E19">
                                <w:pPr>
                                  <w:pStyle w:val="FigureText"/>
                                </w:pPr>
                                <w:r w:rsidRPr="00D33559">
                                  <w:t>USES EMERGING TECHNOLOGIES</w:t>
                                </w:r>
                              </w:p>
                            </w:txbxContent>
                          </v:textbox>
                        </v:shape>
                      </v:group>
                      <v:group id="Group 314" o:spid="_x0000_s1069" style="position:absolute;left:9758;top:38486;width:22881;height:7303" coordsize="22880,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_x0000_s1070" type="#_x0000_t202" style="position:absolute;left:12828;width:10052;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fp8EA&#10;AADbAAAADwAAAGRycy9kb3ducmV2LnhtbERPTYvCMBC9C/6HMII3TfUg2jWKCkJBEFdF2NvYzLZd&#10;m0ltUq3/fnMQPD7e93zZmlI8qHaFZQWjYQSCOLW64EzB+bQdTEE4j6yxtEwKXuRgueh25hhr++Rv&#10;ehx9JkIIuxgV5N5XsZQuzcmgG9qKOHC/tjboA6wzqWt8hnBTynEUTaTBgkNDjhVtckpvx8YokIlM&#10;Dn+b1ej+c73MmnS/a6r1Val+r119gfDU+o/47U60glkYG76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dH6fBAAAA2wAAAA8AAAAAAAAAAAAAAAAAmAIAAGRycy9kb3du&#10;cmV2LnhtbFBLBQYAAAAABAAEAPUAAACGAwAAAAA=&#10;" fillcolor="purple" strokecolor="purple">
                          <v:textbox>
                            <w:txbxContent>
                              <w:p w14:paraId="0200F6A5" w14:textId="0E5CFC37" w:rsidR="00040E45" w:rsidRDefault="00040E45" w:rsidP="007C2E19">
                                <w:pPr>
                                  <w:pStyle w:val="FigureTextwhite"/>
                                </w:pPr>
                                <w:r>
                                  <w:t>Transitioned ADF</w:t>
                                </w:r>
                                <w:r>
                                  <w:br/>
                                  <w:t>6116</w:t>
                                </w:r>
                              </w:p>
                            </w:txbxContent>
                          </v:textbox>
                        </v:shape>
                        <v:shape id="_x0000_s1071" type="#_x0000_t202" style="position:absolute;left:12828;top:3616;width:10052;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Hp8MA&#10;AADcAAAADwAAAGRycy9kb3ducmV2LnhtbERPTWsCMRC9F/ofwgheSs2qUGRrFBEKPZVq96C3YTPu&#10;BjeTJYm7q7++EQRv83ifs1wPthEd+WAcK5hOMhDEpdOGKwXF39f7AkSIyBobx6TgSgHWq9eXJeba&#10;9byjbh8rkUI45KigjrHNpQxlTRbDxLXEiTs5bzEm6CupPfYp3DZylmUf0qLh1FBjS9uayvP+YhUc&#10;ir783TZHb+abOR3M+e2nu12UGo+GzSeISEN8ih/ub53mZ1O4P5M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DHp8MAAADcAAAADwAAAAAAAAAAAAAAAACYAgAAZHJzL2Rv&#10;d25yZXYueG1sUEsFBgAAAAAEAAQA9QAAAIgDAAAAAA==&#10;" fillcolor="#2e7371" strokecolor="#2e7371">
                          <v:textbox>
                            <w:txbxContent>
                              <w:p w14:paraId="5B20D305" w14:textId="3577D152" w:rsidR="00040E45" w:rsidRDefault="00040E45" w:rsidP="007C2E19">
                                <w:pPr>
                                  <w:pStyle w:val="FigureTextwhite"/>
                                </w:pPr>
                                <w:r>
                                  <w:t>Regular 2015 ADF</w:t>
                                </w:r>
                                <w:r>
                                  <w:br/>
                                  <w:t>9042</w:t>
                                </w:r>
                              </w:p>
                            </w:txbxContent>
                          </v:textbox>
                        </v:shape>
                        <v:shape id="Text Box 96" o:spid="_x0000_s1072" type="#_x0000_t202" style="position:absolute;width:12801;height:7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BtMAA&#10;AADbAAAADwAAAGRycy9kb3ducmV2LnhtbESPQavCMBCE74L/IazgRTTVQ9FqFBGUHrxYPXhcmrUt&#10;NpvSxFr/vXnwwOMwM98wm11vatFR6yrLCuazCARxbnXFhYLb9ThdgnAeWWNtmRR8yMFuOxxsMNH2&#10;zRfqMl+IAGGXoILS+yaR0uUlGXQz2xAH72Fbgz7ItpC6xXeAm1ouoiiWBisOCyU2dCgpf2YvoyBd&#10;dvcHFfE+PU8uR8rInoitUuNRv1+D8NT7X/i/nWoFqxj+voQfIL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LBtMAAAADbAAAADwAAAAAAAAAAAAAAAACYAgAAZHJzL2Rvd25y&#10;ZXYueG1sUEsFBgAAAAAEAAQA9QAAAIUDAAAAAA==&#10;" fillcolor="#2e75b6" stroked="f">
                          <v:textbox>
                            <w:txbxContent>
                              <w:p w14:paraId="2A0896D1" w14:textId="77777777" w:rsidR="00040E45" w:rsidRPr="00D33559" w:rsidRDefault="00040E45" w:rsidP="007C2E19">
                                <w:pPr>
                                  <w:pStyle w:val="FigureTextwhite"/>
                                </w:pPr>
                                <w:r w:rsidRPr="00D33559">
                                  <w:t xml:space="preserve">USES THE </w:t>
                                </w:r>
                                <w:r>
                                  <w:t>INTERNET</w:t>
                                </w:r>
                                <w:r w:rsidRPr="00D33559">
                                  <w:t xml:space="preserve"> FOR MENTAL HEALTH ISSUES</w:t>
                                </w:r>
                              </w:p>
                            </w:txbxContent>
                          </v:textbox>
                        </v:shape>
                      </v:group>
                      <v:group id="Group 316" o:spid="_x0000_s1073" style="position:absolute;left:9758;top:48176;width:22881;height:7330" coordsize="22880,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_x0000_s1074" type="#_x0000_t202" style="position:absolute;left:12828;width:10052;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ECsUA&#10;AADcAAAADwAAAGRycy9kb3ducmV2LnhtbESPQWvCQBSE7wX/w/IKvdWNFiREV5FCS3so2FXw+th9&#10;JsHs25jdJqm/vlsQPA4z8w2z2oyuET11ofasYDbNQBAbb2suFRz2b885iBCRLTaeScEvBdisJw8r&#10;LKwf+Jt6HUuRIBwKVFDF2BZSBlORwzD1LXHyTr5zGJPsSmk7HBLcNXKeZQvpsOa0UGFLrxWZs/5x&#10;CvzX+2BybXrMjteL3l3bXuefSj09jtsliEhjvIdv7Q+r4GU2h/8z6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IQKxQAAANwAAAAPAAAAAAAAAAAAAAAAAJgCAABkcnMv&#10;ZG93bnJldi54bWxQSwUGAAAAAAQABAD1AAAAigMAAAAA&#10;" fillcolor="purple" stroked="f">
                          <v:textbox>
                            <w:txbxContent>
                              <w:p w14:paraId="5B70856A" w14:textId="22D0BCFD" w:rsidR="00040E45" w:rsidRDefault="00040E45" w:rsidP="007C2E19">
                                <w:pPr>
                                  <w:pStyle w:val="FigureTextwhite"/>
                                </w:pPr>
                                <w:r>
                                  <w:t>Transitioned ADF</w:t>
                                </w:r>
                                <w:r>
                                  <w:br/>
                                  <w:t>3452</w:t>
                                </w:r>
                              </w:p>
                            </w:txbxContent>
                          </v:textbox>
                        </v:shape>
                        <v:shape id="_x0000_s1075" type="#_x0000_t202" style="position:absolute;left:12828;top:3684;width:10052;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SLMQA&#10;AADcAAAADwAAAGRycy9kb3ducmV2LnhtbESPS4vCQBCE74L/YWjBm05UfJB1FB8Irp6MuwdvTaZN&#10;wmZ6QmY02X+/syB4LKrqK2q5bk0pnlS7wrKC0TACQZxaXXCm4Ot6GCxAOI+ssbRMCn7JwXrV7Swx&#10;1rbhCz0Tn4kAYRejgtz7KpbSpTkZdENbEQfvbmuDPsg6k7rGJsBNKcdRNJMGCw4LOVa0yyn9SR5G&#10;wadZJOaMspmc5vi9v922d59dlOr32s0HCE+tf4df7aNWMBlN4f9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kizEAAAA3AAAAA8AAAAAAAAAAAAAAAAAmAIAAGRycy9k&#10;b3ducmV2LnhtbFBLBQYAAAAABAAEAPUAAACJAwAAAAA=&#10;" fillcolor="#2e7371" stroked="f">
                          <v:textbox>
                            <w:txbxContent>
                              <w:p w14:paraId="6D451073" w14:textId="0100BB58" w:rsidR="00040E45" w:rsidRDefault="00040E45" w:rsidP="007C2E19">
                                <w:pPr>
                                  <w:pStyle w:val="FigureTextwhite"/>
                                </w:pPr>
                                <w:r>
                                  <w:t>Regular 2015 ADF</w:t>
                                </w:r>
                                <w:r>
                                  <w:br/>
                                  <w:t>5470</w:t>
                                </w:r>
                              </w:p>
                            </w:txbxContent>
                          </v:textbox>
                        </v:shape>
                        <v:shape id="Text Box 310" o:spid="_x0000_s1076" type="#_x0000_t202" style="position:absolute;width:12801;height:7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8+MAA&#10;AADcAAAADwAAAGRycy9kb3ducmV2LnhtbERPy4rCMBTdC/5DuII7TX0gtRpFBMHVgHVAZndprm21&#10;uSlN1Mzfm4Xg8nDe620wjXhS52rLCibjBARxYXXNpYLf82GUgnAeWWNjmRT8k4Ptpt9bY6bti0/0&#10;zH0pYgi7DBVU3reZlK6oyKAb25Y4clfbGfQRdqXUHb5iuGnkNEkW0mDNsaHClvYVFff8YRRMw9+y&#10;zdOf2T24y9zdlvX1dMmVGg7CbgXCU/Bf8cd91Apmkzg/nolH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n8+MAAAADcAAAADwAAAAAAAAAAAAAAAACYAgAAZHJzL2Rvd25y&#10;ZXYueG1sUEsFBgAAAAAEAAQA9QAAAIUDAAAAAA==&#10;" fillcolor="#b4c7e7" stroked="f">
                          <v:textbox>
                            <w:txbxContent>
                              <w:p w14:paraId="29A051DE" w14:textId="77777777" w:rsidR="00040E45" w:rsidRPr="00D33559" w:rsidRDefault="00040E45" w:rsidP="007C2E19">
                                <w:pPr>
                                  <w:pStyle w:val="FigureText"/>
                                </w:pPr>
                                <w:r w:rsidRPr="00D33559">
                                  <w:t>HAS NOT TALKED ONLINE TO OTHERS ABOUT MENTAL HEALTH</w:t>
                                </w:r>
                              </w:p>
                            </w:txbxContent>
                          </v:textbox>
                        </v:shape>
                      </v:group>
                      <v:group id="Group 66" o:spid="_x0000_s1077" style="position:absolute;left:6414;top:7438;width:3269;height:53976" coordsize="3268,5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Straight Connector 83" o:spid="_x0000_s1078" style="position:absolute;visibility:visible;mso-wrap-style:square" from="0,0" to="0,5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jMIAAADbAAAADwAAAGRycy9kb3ducmV2LnhtbESPT2sCMRTE7wW/Q3hCbzW7lYquRhFp&#10;qbQn/90fm+fu4uZlN0k1fvumUPA4zMxvmMUqmlZcyfnGsoJ8lIEgLq1uuFJwPHy8TEH4gKyxtUwK&#10;7uRhtRw8LbDQ9sY7uu5DJRKEfYEK6hC6Qkpf1mTQj2xHnLyzdQZDkq6S2uEtwU0rX7NsIg02nBZq&#10;7GhTU3nZ/5hEyU+9kZ+XGZ6+3Ld7H0/iW+yVeh7G9RxEoBge4f/2ViuYjuHvS/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jMIAAADbAAAADwAAAAAAAAAAAAAA&#10;AAChAgAAZHJzL2Rvd25yZXYueG1sUEsFBgAAAAAEAAQA+QAAAJADAAAAAA==&#10;" strokecolor="black [3040]"/>
                        <v:line id="Straight Connector 80" o:spid="_x0000_s1079" style="position:absolute;visibility:visible;mso-wrap-style:square" from="68,53976" to="3268,5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Straight Connector 78" o:spid="_x0000_s1080" style="position:absolute;visibility:visible;mso-wrap-style:square" from="68,44355" to="3268,4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1k2sMAAADbAAAADwAAAGRycy9kb3ducmV2LnhtbESPwU4CMRCG7yS+QzMm3qSLRpCVQgzB&#10;aOQEwn2yHXc3bKdLW6G8PXMw4Tj55/9mvtkiu06dKMTWs4HRsABFXHnbcm1g9/Px+AoqJmSLnWcy&#10;cKEIi/ndYIal9Wfe0GmbaiUQjiUaaFLqS61j1ZDDOPQ9sWS/PjhMMoZa24BngbtOPxXFWDtsWS40&#10;2NOyoeqw/XNCGe2PTn8eprj/Duuweh7nl3w05uE+v7+BSpTTbfm//WUNTORZ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tZNrDAAAA2wAAAA8AAAAAAAAAAAAA&#10;AAAAoQIAAGRycy9kb3ducmV2LnhtbFBLBQYAAAAABAAEAPkAAACRAwAAAAA=&#10;" strokecolor="black [3040]"/>
                        <v:line id="Straight Connector 74" o:spid="_x0000_s1081" style="position:absolute;visibility:visible;mso-wrap-style:square" from="68,34665" to="3268,3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38IAAADbAAAADwAAAGRycy9kb3ducmV2LnhtbESPW2sCMRSE3wv9D+EU+laz2npbjSKl&#10;paJP3t4Pm+Pu4uZkTVJN/30jCD4OM/MNM51H04gLOV9bVtDtZCCIC6trLhXsd99vIxA+IGtsLJOC&#10;P/Iwnz0/TTHX9sobumxDKRKEfY4KqhDaXEpfVGTQd2xLnLyjdQZDkq6U2uE1wU0je1k2kAZrTgsV&#10;tvRZUXHa/ppE6R7ORv6cxnhYubX7eh/Efjwr9foSFxMQgWJ4hO/tpVYw/IDbl/QD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Bu38IAAADbAAAADwAAAAAAAAAAAAAA&#10;AAChAgAAZHJzL2Rvd25yZXYueG1sUEsFBgAAAAAEAAQA+QAAAJADAAAAAA==&#10;" strokecolor="black [3040]"/>
                        <v:line id="Straight Connector 71" o:spid="_x0000_s1082" style="position:absolute;visibility:visible;mso-wrap-style:square" from="68,6005" to="3268,6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NR8IAAADbAAAADwAAAGRycy9kb3ducmV2LnhtbESPQWsCMRSE70L/Q3gFbzW7irbdGqWI&#10;YtGTtt4fm9fdxc3LmkSN/74RCh6HmfmGmc6jacWFnG8sK8gHGQji0uqGKwU/36uXNxA+IGtsLZOC&#10;G3mYz556Uyy0vfKOLvtQiQRhX6CCOoSukNKXNRn0A9sRJ+/XOoMhSVdJ7fCa4KaVwyybSIMNp4Ua&#10;O1rUVB73Z5Mo+eFk5Pr4joeN27rlaBLH8aRU/zl+foAIFMMj/N/+0gpec7h/ST9Az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fNR8IAAADbAAAADwAAAAAAAAAAAAAA&#10;AAChAgAAZHJzL2Rvd25yZXYueG1sUEsFBgAAAAAEAAQA+QAAAJADAAAAAA==&#10;" strokecolor="black [3040]"/>
                      </v:group>
                      <v:group id="Group 318" o:spid="_x0000_s1083" style="position:absolute;left:16172;top:17332;width:3269;height:15081" coordsize="3268,1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line id="Straight Connector 70" o:spid="_x0000_s1084" style="position:absolute;visibility:visible;mso-wrap-style:square" from="0,0" to="0,15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o3MMAAADbAAAADwAAAGRycy9kb3ducmV2LnhtbESPwU4CMRCG7yS+QzMm3qSLRpCVQgzB&#10;aOQEwn2yHXc3bKdLW6G8PXMw4Tj55/9mvtkiu06dKMTWs4HRsABFXHnbcm1g9/Px+AoqJmSLnWcy&#10;cKEIi/ndYIal9Wfe0GmbaiUQjiUaaFLqS61j1ZDDOPQ9sWS/PjhMMoZa24BngbtOPxXFWDtsWS40&#10;2NOyoeqw/XNCGe2PTn8eprj/Duuweh7nl3w05uE+v7+BSpTTbfm//WUNTOR7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NzDAAAA2wAAAA8AAAAAAAAAAAAA&#10;AAAAoQIAAGRycy9kb3ducmV2LnhtbFBLBQYAAAAABAAEAPkAAACRAwAAAAA=&#10;" strokecolor="black [3040]"/>
                        <v:line id="Straight Connector 67" o:spid="_x0000_s1085" style="position:absolute;visibility:visible;mso-wrap-style:square" from="68,5595" to="3268,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mdcIAAADbAAAADwAAAGRycy9kb3ducmV2LnhtbESPQWsCMRSE70L/Q3gFb5q10m27NUop&#10;ikVPbuv9sXndXdy8rEnU9N83guBxmJlvmNkimk6cyfnWsoLJOANBXFndcq3g53s1egXhA7LGzjIp&#10;+CMPi/nDYIaFthfe0bkMtUgQ9gUqaELoCyl91ZBBP7Y9cfJ+rTMYknS11A4vCW46+ZRluTTYclpo&#10;sKfPhqpDeTKJMtkfjVwf3nC/cVu3nObxOR6VGj7Gj3cQgWK4h2/tL60gf4Hr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tmdcIAAADbAAAADwAAAAAAAAAAAAAA&#10;AAChAgAAZHJzL2Rvd25yZXYueG1sUEsFBgAAAAAEAAQA+QAAAJADAAAAAA==&#10;" strokecolor="black [3040]"/>
                        <v:line id="Straight Connector 64" o:spid="_x0000_s1086" style="position:absolute;visibility:visible;mso-wrap-style:square" from="68,15080" to="3268,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n4AsIAAADbAAAADwAAAGRycy9kb3ducmV2LnhtbESPQWsCMRSE74L/ITyhN81q62K3RpHS&#10;UrGnar0/Nq+7i5uXNUk1/nsjCB6HmfmGmS+jacWJnG8sKxiPMhDEpdUNVwp+d5/DGQgfkDW2lknB&#10;hTwsF/3eHAttz/xDp22oRIKwL1BBHUJXSOnLmgz6ke2Ik/dnncGQpKukdnhOcNPKSZbl0mDDaaHG&#10;jt5rKg/bf5Mo4/3RyK/DK+437tt9POdxGo9KPQ3i6g1EoBge4Xt7rRXkL3D7kn6AX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n4AsIAAADbAAAADwAAAAAAAAAAAAAA&#10;AAChAgAAZHJzL2Rvd25yZXYueG1sUEsFBgAAAAAEAAQA+QAAAJADAAAAAA==&#10;" strokecolor="black [3040]"/>
                      </v:group>
                    </v:group>
                  </w:pict>
                </mc:Fallback>
              </mc:AlternateContent>
            </w:r>
          </w:p>
        </w:tc>
      </w:tr>
    </w:tbl>
    <w:p w14:paraId="30210C96" w14:textId="35B866F3" w:rsidR="00733CC3" w:rsidRPr="00733CC3" w:rsidRDefault="00733CC3" w:rsidP="00E923DC"/>
    <w:p w14:paraId="474E7BEF" w14:textId="77777777" w:rsidR="00FC0D42" w:rsidRPr="002D1611" w:rsidRDefault="00FC0D42" w:rsidP="00FC0D42">
      <w:pPr>
        <w:rPr>
          <w:b/>
          <w:color w:val="001E60"/>
          <w:sz w:val="24"/>
          <w:szCs w:val="24"/>
        </w:rPr>
      </w:pPr>
      <w:r>
        <w:rPr>
          <w:rFonts w:cs="Calibri"/>
          <w:b/>
          <w:color w:val="001E60"/>
          <w:sz w:val="24"/>
          <w:szCs w:val="24"/>
        </w:rPr>
        <w:t>C.2</w:t>
      </w:r>
      <w:r>
        <w:rPr>
          <w:rFonts w:cs="Calibri"/>
          <w:b/>
          <w:color w:val="001E60"/>
          <w:sz w:val="24"/>
          <w:szCs w:val="24"/>
        </w:rPr>
        <w:tab/>
      </w:r>
      <w:r w:rsidRPr="00F521AF">
        <w:rPr>
          <w:rFonts w:cs="Calibri"/>
          <w:b/>
          <w:color w:val="001E60"/>
          <w:sz w:val="24"/>
          <w:szCs w:val="24"/>
        </w:rPr>
        <w:t>Methodological interpretive tables</w:t>
      </w:r>
      <w:bookmarkEnd w:id="1554"/>
      <w:bookmarkEnd w:id="1555"/>
    </w:p>
    <w:p w14:paraId="28F54CC7" w14:textId="77777777" w:rsidR="00FC0D42" w:rsidRPr="005B0796" w:rsidRDefault="00FC0D42" w:rsidP="009919A9">
      <w:pPr>
        <w:pStyle w:val="TableName"/>
        <w:rPr>
          <w:lang w:eastAsia="en-AU"/>
        </w:rPr>
      </w:pPr>
      <w:bookmarkStart w:id="1556" w:name="_Toc528932389"/>
      <w:bookmarkStart w:id="1557" w:name="_Toc531858068"/>
      <w:r>
        <w:t>Table C.2</w:t>
      </w:r>
      <w:r>
        <w:tab/>
      </w:r>
      <w:r w:rsidRPr="00C244BA">
        <w:t xml:space="preserve">Strata description </w:t>
      </w:r>
      <w:r>
        <w:t xml:space="preserve">– </w:t>
      </w:r>
      <w:r w:rsidRPr="00C244BA">
        <w:t>Mi</w:t>
      </w:r>
      <w:r>
        <w:t>l</w:t>
      </w:r>
      <w:r w:rsidRPr="00C244BA">
        <w:t>HOP Regular ADF</w:t>
      </w:r>
      <w:bookmarkEnd w:id="1556"/>
      <w:bookmarkEnd w:id="1557"/>
    </w:p>
    <w:tbl>
      <w:tblPr>
        <w:tblStyle w:val="TWRPTable"/>
        <w:tblW w:w="5000" w:type="pct"/>
        <w:tblLayout w:type="fixed"/>
        <w:tblLook w:val="04A0" w:firstRow="1" w:lastRow="0" w:firstColumn="1" w:lastColumn="0" w:noHBand="0" w:noVBand="1"/>
        <w:tblDescription w:val="Table C.2 Strata description – MilHOP Regular ADF"/>
      </w:tblPr>
      <w:tblGrid>
        <w:gridCol w:w="2194"/>
        <w:gridCol w:w="1223"/>
        <w:gridCol w:w="1224"/>
        <w:gridCol w:w="1224"/>
        <w:gridCol w:w="1224"/>
      </w:tblGrid>
      <w:tr w:rsidR="00FC0D42" w:rsidRPr="005B0796" w14:paraId="78DCE90B"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val="restart"/>
          </w:tcPr>
          <w:p w14:paraId="658F36AC" w14:textId="77777777" w:rsidR="00FC0D42" w:rsidRPr="005B0796" w:rsidRDefault="00FC0D42" w:rsidP="009919A9">
            <w:pPr>
              <w:pStyle w:val="TableText"/>
            </w:pPr>
            <w:r w:rsidRPr="005B0796">
              <w:t>Strata</w:t>
            </w:r>
            <w:r w:rsidRPr="005B0796">
              <w:br/>
            </w:r>
            <w:r w:rsidRPr="005B0796">
              <w:rPr>
                <w:rFonts w:eastAsia="Times New Roman"/>
              </w:rPr>
              <w:t>Sex | Rank | Medical fitness | Service</w:t>
            </w:r>
          </w:p>
        </w:tc>
        <w:tc>
          <w:tcPr>
            <w:tcW w:w="5047" w:type="dxa"/>
            <w:gridSpan w:val="4"/>
          </w:tcPr>
          <w:p w14:paraId="42315028" w14:textId="77777777" w:rsidR="00FC0D42" w:rsidRPr="005B0796" w:rsidRDefault="00FC0D42" w:rsidP="009919A9">
            <w:pPr>
              <w:pStyle w:val="TableText"/>
              <w:jc w:val="center"/>
            </w:pPr>
            <w:r w:rsidRPr="005B0796">
              <w:rPr>
                <w:bCs/>
                <w:color w:val="000000" w:themeColor="text1"/>
              </w:rPr>
              <w:t>2015 Regular ADF</w:t>
            </w:r>
          </w:p>
        </w:tc>
      </w:tr>
      <w:tr w:rsidR="00FC0D42" w:rsidRPr="005B0796" w14:paraId="1A765637"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tcPr>
          <w:p w14:paraId="4DE53505" w14:textId="77777777" w:rsidR="00FC0D42" w:rsidRPr="005B0796" w:rsidRDefault="00FC0D42" w:rsidP="009919A9">
            <w:pPr>
              <w:pStyle w:val="TableText"/>
            </w:pPr>
          </w:p>
        </w:tc>
        <w:tc>
          <w:tcPr>
            <w:tcW w:w="1261" w:type="dxa"/>
          </w:tcPr>
          <w:p w14:paraId="6D2FDB8D" w14:textId="77777777" w:rsidR="00FC0D42" w:rsidRPr="005B0796" w:rsidRDefault="00FC0D42" w:rsidP="009919A9">
            <w:pPr>
              <w:pStyle w:val="TableText"/>
              <w:jc w:val="right"/>
              <w:rPr>
                <w:rFonts w:eastAsia="Times New Roman"/>
              </w:rPr>
            </w:pPr>
            <w:r w:rsidRPr="005B0796">
              <w:rPr>
                <w:rFonts w:eastAsia="Times New Roman"/>
              </w:rPr>
              <w:t>Population</w:t>
            </w:r>
          </w:p>
        </w:tc>
        <w:tc>
          <w:tcPr>
            <w:tcW w:w="1262" w:type="dxa"/>
          </w:tcPr>
          <w:p w14:paraId="6006AF26" w14:textId="77777777" w:rsidR="00FC0D42" w:rsidRPr="005B0796" w:rsidRDefault="00FC0D42" w:rsidP="009919A9">
            <w:pPr>
              <w:pStyle w:val="TableText"/>
              <w:jc w:val="right"/>
              <w:rPr>
                <w:rFonts w:eastAsia="Times New Roman"/>
              </w:rPr>
            </w:pPr>
            <w:r w:rsidRPr="005B0796">
              <w:rPr>
                <w:rFonts w:eastAsia="Times New Roman"/>
              </w:rPr>
              <w:t>Responder</w:t>
            </w:r>
          </w:p>
        </w:tc>
        <w:tc>
          <w:tcPr>
            <w:tcW w:w="1262" w:type="dxa"/>
          </w:tcPr>
          <w:p w14:paraId="7B7A399D" w14:textId="77777777" w:rsidR="00FC0D42" w:rsidRPr="005B0796" w:rsidRDefault="00FC0D42" w:rsidP="009919A9">
            <w:pPr>
              <w:pStyle w:val="TableText"/>
              <w:jc w:val="right"/>
              <w:rPr>
                <w:rFonts w:eastAsia="Times New Roman"/>
              </w:rPr>
            </w:pPr>
            <w:r w:rsidRPr="005B0796">
              <w:rPr>
                <w:rFonts w:eastAsia="Times New Roman"/>
              </w:rPr>
              <w:t>%</w:t>
            </w:r>
          </w:p>
        </w:tc>
        <w:tc>
          <w:tcPr>
            <w:tcW w:w="1262" w:type="dxa"/>
          </w:tcPr>
          <w:p w14:paraId="1B01430F" w14:textId="77777777" w:rsidR="00FC0D42" w:rsidRPr="005B0796" w:rsidRDefault="00FC0D42" w:rsidP="009919A9">
            <w:pPr>
              <w:pStyle w:val="TableText"/>
              <w:jc w:val="right"/>
              <w:rPr>
                <w:rFonts w:eastAsia="Times New Roman"/>
              </w:rPr>
            </w:pPr>
            <w:r w:rsidRPr="005B0796">
              <w:rPr>
                <w:bCs/>
              </w:rPr>
              <w:t>No. of persons in population each responder represents</w:t>
            </w:r>
          </w:p>
        </w:tc>
      </w:tr>
      <w:tr w:rsidR="00FC0D42" w:rsidRPr="005B0796" w14:paraId="7ADFC9AA"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48D6458F" w14:textId="77777777" w:rsidR="00FC0D42" w:rsidRPr="005B0796" w:rsidRDefault="00FC0D42" w:rsidP="009919A9">
            <w:pPr>
              <w:pStyle w:val="TableText"/>
              <w:rPr>
                <w:rFonts w:eastAsia="Times New Roman"/>
                <w:b/>
              </w:rPr>
            </w:pPr>
            <w:r w:rsidRPr="005B0796">
              <w:rPr>
                <w:rFonts w:eastAsia="Times New Roman"/>
                <w:b/>
              </w:rPr>
              <w:t>MilHOP</w:t>
            </w:r>
          </w:p>
        </w:tc>
        <w:tc>
          <w:tcPr>
            <w:tcW w:w="1261" w:type="dxa"/>
          </w:tcPr>
          <w:p w14:paraId="5F376706" w14:textId="77777777" w:rsidR="00FC0D42" w:rsidRPr="005B0796" w:rsidRDefault="00FC0D42" w:rsidP="009919A9">
            <w:pPr>
              <w:pStyle w:val="TableText"/>
              <w:jc w:val="right"/>
              <w:rPr>
                <w:rFonts w:eastAsia="Times New Roman"/>
              </w:rPr>
            </w:pPr>
          </w:p>
        </w:tc>
        <w:tc>
          <w:tcPr>
            <w:tcW w:w="1262" w:type="dxa"/>
          </w:tcPr>
          <w:p w14:paraId="6B78367B" w14:textId="77777777" w:rsidR="00FC0D42" w:rsidRPr="005B0796" w:rsidRDefault="00FC0D42" w:rsidP="009919A9">
            <w:pPr>
              <w:pStyle w:val="TableText"/>
              <w:jc w:val="right"/>
              <w:rPr>
                <w:rFonts w:eastAsia="Times New Roman"/>
              </w:rPr>
            </w:pPr>
          </w:p>
        </w:tc>
        <w:tc>
          <w:tcPr>
            <w:tcW w:w="1262" w:type="dxa"/>
          </w:tcPr>
          <w:p w14:paraId="7DCEFCB3" w14:textId="77777777" w:rsidR="00FC0D42" w:rsidRPr="005B0796" w:rsidRDefault="00FC0D42" w:rsidP="009919A9">
            <w:pPr>
              <w:pStyle w:val="TableText"/>
              <w:jc w:val="right"/>
              <w:rPr>
                <w:rFonts w:eastAsia="Times New Roman"/>
              </w:rPr>
            </w:pPr>
          </w:p>
        </w:tc>
        <w:tc>
          <w:tcPr>
            <w:tcW w:w="1262" w:type="dxa"/>
          </w:tcPr>
          <w:p w14:paraId="08C14E26" w14:textId="77777777" w:rsidR="00FC0D42" w:rsidRPr="005B0796" w:rsidRDefault="00FC0D42" w:rsidP="009919A9">
            <w:pPr>
              <w:pStyle w:val="TableText"/>
              <w:jc w:val="right"/>
              <w:rPr>
                <w:rFonts w:eastAsia="Times New Roman"/>
              </w:rPr>
            </w:pPr>
          </w:p>
        </w:tc>
      </w:tr>
      <w:tr w:rsidR="00FC0D42" w:rsidRPr="005B0796" w14:paraId="005CEEE1" w14:textId="77777777" w:rsidTr="009919A9">
        <w:trPr>
          <w:cantSplit/>
        </w:trPr>
        <w:tc>
          <w:tcPr>
            <w:tcW w:w="2268" w:type="dxa"/>
          </w:tcPr>
          <w:p w14:paraId="764871FF" w14:textId="77777777" w:rsidR="00FC0D42" w:rsidRPr="005B0796" w:rsidRDefault="00FC0D42" w:rsidP="009919A9">
            <w:pPr>
              <w:pStyle w:val="TableText"/>
              <w:rPr>
                <w:rFonts w:eastAsia="Times New Roman"/>
              </w:rPr>
            </w:pPr>
            <w:r w:rsidRPr="005B0796">
              <w:rPr>
                <w:rFonts w:eastAsia="Times New Roman"/>
              </w:rPr>
              <w:t>Female | OFFR | fit | Navy</w:t>
            </w:r>
          </w:p>
        </w:tc>
        <w:tc>
          <w:tcPr>
            <w:tcW w:w="1261" w:type="dxa"/>
          </w:tcPr>
          <w:p w14:paraId="544A2B90" w14:textId="77777777" w:rsidR="00FC0D42" w:rsidRPr="005B0796" w:rsidRDefault="00FC0D42" w:rsidP="009919A9">
            <w:pPr>
              <w:pStyle w:val="TableText"/>
              <w:jc w:val="right"/>
              <w:rPr>
                <w:rFonts w:eastAsia="Times New Roman"/>
              </w:rPr>
            </w:pPr>
            <w:r w:rsidRPr="005B0796">
              <w:rPr>
                <w:rFonts w:eastAsia="Times New Roman"/>
              </w:rPr>
              <w:t>170</w:t>
            </w:r>
          </w:p>
        </w:tc>
        <w:tc>
          <w:tcPr>
            <w:tcW w:w="1262" w:type="dxa"/>
          </w:tcPr>
          <w:p w14:paraId="3C760AC1" w14:textId="77777777" w:rsidR="00FC0D42" w:rsidRPr="005B0796" w:rsidRDefault="00FC0D42" w:rsidP="009919A9">
            <w:pPr>
              <w:pStyle w:val="TableText"/>
              <w:jc w:val="right"/>
              <w:rPr>
                <w:rFonts w:eastAsia="Times New Roman"/>
              </w:rPr>
            </w:pPr>
            <w:r w:rsidRPr="005B0796">
              <w:rPr>
                <w:rFonts w:eastAsia="Times New Roman"/>
              </w:rPr>
              <w:t>88</w:t>
            </w:r>
          </w:p>
        </w:tc>
        <w:tc>
          <w:tcPr>
            <w:tcW w:w="1262" w:type="dxa"/>
          </w:tcPr>
          <w:p w14:paraId="178766FB" w14:textId="77777777" w:rsidR="00FC0D42" w:rsidRPr="005B0796" w:rsidRDefault="00FC0D42" w:rsidP="009919A9">
            <w:pPr>
              <w:pStyle w:val="TableText"/>
              <w:jc w:val="right"/>
            </w:pPr>
            <w:r w:rsidRPr="005B0796">
              <w:rPr>
                <w:rFonts w:eastAsia="Times New Roman"/>
              </w:rPr>
              <w:t>51.8</w:t>
            </w:r>
          </w:p>
        </w:tc>
        <w:tc>
          <w:tcPr>
            <w:tcW w:w="1262" w:type="dxa"/>
          </w:tcPr>
          <w:p w14:paraId="40866EFE" w14:textId="77777777" w:rsidR="00FC0D42" w:rsidRPr="005B0796" w:rsidRDefault="00FC0D42" w:rsidP="009919A9">
            <w:pPr>
              <w:pStyle w:val="TableText"/>
              <w:jc w:val="right"/>
              <w:rPr>
                <w:rFonts w:eastAsia="Times New Roman"/>
              </w:rPr>
            </w:pPr>
            <w:r w:rsidRPr="005B0796">
              <w:rPr>
                <w:rFonts w:eastAsia="Times New Roman"/>
              </w:rPr>
              <w:t>1.9</w:t>
            </w:r>
          </w:p>
        </w:tc>
      </w:tr>
      <w:tr w:rsidR="00FC0D42" w:rsidRPr="005B0796" w14:paraId="6C7D8EB3"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0844D0BC" w14:textId="77777777" w:rsidR="00FC0D42" w:rsidRPr="005B0796" w:rsidRDefault="00FC0D42" w:rsidP="009919A9">
            <w:pPr>
              <w:pStyle w:val="TableText"/>
              <w:rPr>
                <w:rFonts w:eastAsia="Times New Roman"/>
                <w:lang w:eastAsia="en-GB"/>
              </w:rPr>
            </w:pPr>
            <w:r w:rsidRPr="005B0796">
              <w:rPr>
                <w:rFonts w:eastAsia="Times New Roman"/>
              </w:rPr>
              <w:t>Female | OFFR| fit | Army</w:t>
            </w:r>
          </w:p>
        </w:tc>
        <w:tc>
          <w:tcPr>
            <w:tcW w:w="1261" w:type="dxa"/>
          </w:tcPr>
          <w:p w14:paraId="5308691B" w14:textId="77777777" w:rsidR="00FC0D42" w:rsidRPr="005B0796" w:rsidRDefault="00FC0D42" w:rsidP="009919A9">
            <w:pPr>
              <w:pStyle w:val="TableText"/>
              <w:jc w:val="right"/>
              <w:rPr>
                <w:rFonts w:eastAsia="Times New Roman"/>
                <w:lang w:eastAsia="en-GB"/>
              </w:rPr>
            </w:pPr>
            <w:r w:rsidRPr="005B0796">
              <w:rPr>
                <w:rFonts w:eastAsia="Times New Roman"/>
              </w:rPr>
              <w:t>237</w:t>
            </w:r>
          </w:p>
        </w:tc>
        <w:tc>
          <w:tcPr>
            <w:tcW w:w="1262" w:type="dxa"/>
          </w:tcPr>
          <w:p w14:paraId="04B50A7E" w14:textId="77777777" w:rsidR="00FC0D42" w:rsidRPr="005B0796" w:rsidRDefault="00FC0D42" w:rsidP="009919A9">
            <w:pPr>
              <w:pStyle w:val="TableText"/>
              <w:jc w:val="right"/>
              <w:rPr>
                <w:rFonts w:eastAsia="Times New Roman"/>
              </w:rPr>
            </w:pPr>
            <w:r w:rsidRPr="005B0796">
              <w:rPr>
                <w:rFonts w:eastAsia="Times New Roman"/>
              </w:rPr>
              <w:t>120</w:t>
            </w:r>
          </w:p>
        </w:tc>
        <w:tc>
          <w:tcPr>
            <w:tcW w:w="1262" w:type="dxa"/>
          </w:tcPr>
          <w:p w14:paraId="30603839" w14:textId="77777777" w:rsidR="00FC0D42" w:rsidRPr="005B0796" w:rsidRDefault="00FC0D42" w:rsidP="009919A9">
            <w:pPr>
              <w:pStyle w:val="TableText"/>
              <w:jc w:val="right"/>
            </w:pPr>
            <w:r w:rsidRPr="005B0796">
              <w:rPr>
                <w:rFonts w:eastAsia="Times New Roman"/>
              </w:rPr>
              <w:t xml:space="preserve"> 50.6</w:t>
            </w:r>
          </w:p>
        </w:tc>
        <w:tc>
          <w:tcPr>
            <w:tcW w:w="1262" w:type="dxa"/>
          </w:tcPr>
          <w:p w14:paraId="7659C23D" w14:textId="77777777" w:rsidR="00FC0D42" w:rsidRPr="005B0796" w:rsidRDefault="00FC0D42" w:rsidP="009919A9">
            <w:pPr>
              <w:pStyle w:val="TableText"/>
              <w:jc w:val="right"/>
              <w:rPr>
                <w:rFonts w:eastAsia="Times New Roman"/>
              </w:rPr>
            </w:pPr>
            <w:r w:rsidRPr="005B0796">
              <w:rPr>
                <w:rFonts w:eastAsia="Times New Roman"/>
              </w:rPr>
              <w:t xml:space="preserve"> 2.0</w:t>
            </w:r>
          </w:p>
        </w:tc>
      </w:tr>
      <w:tr w:rsidR="00FC0D42" w:rsidRPr="005B0796" w14:paraId="52908C3A" w14:textId="77777777" w:rsidTr="009919A9">
        <w:trPr>
          <w:cantSplit/>
        </w:trPr>
        <w:tc>
          <w:tcPr>
            <w:tcW w:w="2268" w:type="dxa"/>
          </w:tcPr>
          <w:p w14:paraId="27D862A3" w14:textId="77777777" w:rsidR="00FC0D42" w:rsidRPr="005B0796" w:rsidRDefault="00FC0D42" w:rsidP="009919A9">
            <w:pPr>
              <w:pStyle w:val="TableText"/>
              <w:rPr>
                <w:rFonts w:eastAsia="Times New Roman"/>
              </w:rPr>
            </w:pPr>
            <w:r w:rsidRPr="005B0796">
              <w:rPr>
                <w:rFonts w:eastAsia="Times New Roman"/>
              </w:rPr>
              <w:t>Female | OFFR | fit | Air Force</w:t>
            </w:r>
          </w:p>
        </w:tc>
        <w:tc>
          <w:tcPr>
            <w:tcW w:w="1261" w:type="dxa"/>
          </w:tcPr>
          <w:p w14:paraId="334CD990" w14:textId="77777777" w:rsidR="00FC0D42" w:rsidRPr="005B0796" w:rsidRDefault="00FC0D42" w:rsidP="009919A9">
            <w:pPr>
              <w:pStyle w:val="TableText"/>
              <w:jc w:val="right"/>
              <w:rPr>
                <w:rFonts w:eastAsia="Times New Roman"/>
              </w:rPr>
            </w:pPr>
            <w:r w:rsidRPr="005B0796">
              <w:rPr>
                <w:rFonts w:eastAsia="Times New Roman"/>
              </w:rPr>
              <w:t>249</w:t>
            </w:r>
          </w:p>
        </w:tc>
        <w:tc>
          <w:tcPr>
            <w:tcW w:w="1262" w:type="dxa"/>
          </w:tcPr>
          <w:p w14:paraId="264334B1" w14:textId="77777777" w:rsidR="00FC0D42" w:rsidRPr="005B0796" w:rsidRDefault="00FC0D42" w:rsidP="009919A9">
            <w:pPr>
              <w:pStyle w:val="TableText"/>
              <w:jc w:val="right"/>
              <w:rPr>
                <w:rFonts w:eastAsia="Times New Roman"/>
              </w:rPr>
            </w:pPr>
            <w:r w:rsidRPr="005B0796">
              <w:rPr>
                <w:rFonts w:eastAsia="Times New Roman"/>
              </w:rPr>
              <w:t>121</w:t>
            </w:r>
          </w:p>
        </w:tc>
        <w:tc>
          <w:tcPr>
            <w:tcW w:w="1262" w:type="dxa"/>
          </w:tcPr>
          <w:p w14:paraId="7B4939CC" w14:textId="77777777" w:rsidR="00FC0D42" w:rsidRPr="005B0796" w:rsidRDefault="00FC0D42" w:rsidP="009919A9">
            <w:pPr>
              <w:pStyle w:val="TableText"/>
              <w:jc w:val="right"/>
            </w:pPr>
            <w:r w:rsidRPr="005B0796">
              <w:rPr>
                <w:rFonts w:eastAsia="Times New Roman"/>
              </w:rPr>
              <w:t>48.6</w:t>
            </w:r>
          </w:p>
        </w:tc>
        <w:tc>
          <w:tcPr>
            <w:tcW w:w="1262" w:type="dxa"/>
          </w:tcPr>
          <w:p w14:paraId="433B3C99" w14:textId="77777777" w:rsidR="00FC0D42" w:rsidRPr="005B0796" w:rsidRDefault="00FC0D42" w:rsidP="009919A9">
            <w:pPr>
              <w:pStyle w:val="TableText"/>
              <w:jc w:val="right"/>
              <w:rPr>
                <w:rFonts w:eastAsia="Times New Roman"/>
              </w:rPr>
            </w:pPr>
            <w:r w:rsidRPr="005B0796">
              <w:rPr>
                <w:rFonts w:eastAsia="Times New Roman"/>
              </w:rPr>
              <w:t>2.1</w:t>
            </w:r>
          </w:p>
        </w:tc>
      </w:tr>
      <w:tr w:rsidR="00FC0D42" w:rsidRPr="005B0796" w14:paraId="330D1F1E"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0E607453" w14:textId="77777777" w:rsidR="00FC0D42" w:rsidRPr="005B0796" w:rsidRDefault="00FC0D42" w:rsidP="009919A9">
            <w:pPr>
              <w:pStyle w:val="TableText"/>
              <w:rPr>
                <w:rFonts w:eastAsia="Times New Roman"/>
              </w:rPr>
            </w:pPr>
            <w:r w:rsidRPr="005B0796">
              <w:rPr>
                <w:rFonts w:eastAsia="Times New Roman"/>
              </w:rPr>
              <w:t>Female | OFFR | unfit | Navy</w:t>
            </w:r>
          </w:p>
        </w:tc>
        <w:tc>
          <w:tcPr>
            <w:tcW w:w="1261" w:type="dxa"/>
          </w:tcPr>
          <w:p w14:paraId="255B532B" w14:textId="77777777" w:rsidR="00FC0D42" w:rsidRPr="005B0796" w:rsidRDefault="00FC0D42" w:rsidP="009919A9">
            <w:pPr>
              <w:pStyle w:val="TableText"/>
              <w:jc w:val="right"/>
              <w:rPr>
                <w:rFonts w:eastAsia="Times New Roman"/>
              </w:rPr>
            </w:pPr>
            <w:r w:rsidRPr="005B0796">
              <w:rPr>
                <w:rFonts w:eastAsia="Times New Roman"/>
              </w:rPr>
              <w:t>48</w:t>
            </w:r>
          </w:p>
        </w:tc>
        <w:tc>
          <w:tcPr>
            <w:tcW w:w="1262" w:type="dxa"/>
          </w:tcPr>
          <w:p w14:paraId="3B92693F" w14:textId="77777777" w:rsidR="00FC0D42" w:rsidRPr="005B0796" w:rsidRDefault="00FC0D42" w:rsidP="009919A9">
            <w:pPr>
              <w:pStyle w:val="TableText"/>
              <w:jc w:val="right"/>
              <w:rPr>
                <w:rFonts w:eastAsia="Times New Roman"/>
              </w:rPr>
            </w:pPr>
            <w:r w:rsidRPr="005B0796">
              <w:rPr>
                <w:rFonts w:eastAsia="Times New Roman"/>
              </w:rPr>
              <w:t>27</w:t>
            </w:r>
          </w:p>
        </w:tc>
        <w:tc>
          <w:tcPr>
            <w:tcW w:w="1262" w:type="dxa"/>
          </w:tcPr>
          <w:p w14:paraId="7ADC5A71" w14:textId="77777777" w:rsidR="00FC0D42" w:rsidRPr="005B0796" w:rsidRDefault="00FC0D42" w:rsidP="009919A9">
            <w:pPr>
              <w:pStyle w:val="TableText"/>
              <w:jc w:val="right"/>
            </w:pPr>
            <w:r w:rsidRPr="005B0796">
              <w:rPr>
                <w:rFonts w:eastAsia="Times New Roman"/>
              </w:rPr>
              <w:t>56.3</w:t>
            </w:r>
          </w:p>
        </w:tc>
        <w:tc>
          <w:tcPr>
            <w:tcW w:w="1262" w:type="dxa"/>
          </w:tcPr>
          <w:p w14:paraId="7286A8F8" w14:textId="77777777" w:rsidR="00FC0D42" w:rsidRPr="005B0796" w:rsidRDefault="00FC0D42" w:rsidP="009919A9">
            <w:pPr>
              <w:pStyle w:val="TableText"/>
              <w:jc w:val="right"/>
              <w:rPr>
                <w:rFonts w:eastAsia="Times New Roman"/>
              </w:rPr>
            </w:pPr>
            <w:r w:rsidRPr="005B0796">
              <w:rPr>
                <w:rFonts w:eastAsia="Times New Roman"/>
              </w:rPr>
              <w:t>1.8</w:t>
            </w:r>
          </w:p>
        </w:tc>
      </w:tr>
      <w:tr w:rsidR="00FC0D42" w:rsidRPr="005B0796" w14:paraId="461CCD08" w14:textId="77777777" w:rsidTr="009919A9">
        <w:trPr>
          <w:cantSplit/>
        </w:trPr>
        <w:tc>
          <w:tcPr>
            <w:tcW w:w="2268" w:type="dxa"/>
          </w:tcPr>
          <w:p w14:paraId="196F8077" w14:textId="77777777" w:rsidR="00FC0D42" w:rsidRPr="005B0796" w:rsidRDefault="00FC0D42" w:rsidP="009919A9">
            <w:pPr>
              <w:pStyle w:val="TableText"/>
              <w:rPr>
                <w:rFonts w:eastAsia="Times New Roman"/>
              </w:rPr>
            </w:pPr>
            <w:r w:rsidRPr="005B0796">
              <w:rPr>
                <w:rFonts w:eastAsia="Times New Roman"/>
              </w:rPr>
              <w:t>Female | OFFR | unfit | Army</w:t>
            </w:r>
          </w:p>
        </w:tc>
        <w:tc>
          <w:tcPr>
            <w:tcW w:w="1261" w:type="dxa"/>
          </w:tcPr>
          <w:p w14:paraId="65A02268" w14:textId="77777777" w:rsidR="00FC0D42" w:rsidRPr="005B0796" w:rsidRDefault="00FC0D42" w:rsidP="009919A9">
            <w:pPr>
              <w:pStyle w:val="TableText"/>
              <w:jc w:val="right"/>
              <w:rPr>
                <w:rFonts w:eastAsia="Times New Roman"/>
              </w:rPr>
            </w:pPr>
            <w:r w:rsidRPr="005B0796">
              <w:rPr>
                <w:rFonts w:eastAsia="Times New Roman"/>
              </w:rPr>
              <w:t>75</w:t>
            </w:r>
          </w:p>
        </w:tc>
        <w:tc>
          <w:tcPr>
            <w:tcW w:w="1262" w:type="dxa"/>
          </w:tcPr>
          <w:p w14:paraId="4B54CD11" w14:textId="77777777" w:rsidR="00FC0D42" w:rsidRPr="005B0796" w:rsidRDefault="00FC0D42" w:rsidP="009919A9">
            <w:pPr>
              <w:pStyle w:val="TableText"/>
              <w:jc w:val="right"/>
              <w:rPr>
                <w:rFonts w:eastAsia="Times New Roman"/>
              </w:rPr>
            </w:pPr>
            <w:r w:rsidRPr="005B0796">
              <w:rPr>
                <w:rFonts w:eastAsia="Times New Roman"/>
              </w:rPr>
              <w:t>39</w:t>
            </w:r>
          </w:p>
        </w:tc>
        <w:tc>
          <w:tcPr>
            <w:tcW w:w="1262" w:type="dxa"/>
          </w:tcPr>
          <w:p w14:paraId="0F4BE47D" w14:textId="77777777" w:rsidR="00FC0D42" w:rsidRPr="005B0796" w:rsidRDefault="00FC0D42" w:rsidP="009919A9">
            <w:pPr>
              <w:pStyle w:val="TableText"/>
              <w:jc w:val="right"/>
            </w:pPr>
            <w:r w:rsidRPr="005B0796">
              <w:rPr>
                <w:rFonts w:eastAsia="Times New Roman"/>
              </w:rPr>
              <w:t>52.0</w:t>
            </w:r>
          </w:p>
        </w:tc>
        <w:tc>
          <w:tcPr>
            <w:tcW w:w="1262" w:type="dxa"/>
          </w:tcPr>
          <w:p w14:paraId="6D8944AF" w14:textId="77777777" w:rsidR="00FC0D42" w:rsidRPr="005B0796" w:rsidRDefault="00FC0D42" w:rsidP="009919A9">
            <w:pPr>
              <w:pStyle w:val="TableText"/>
              <w:jc w:val="right"/>
              <w:rPr>
                <w:rFonts w:eastAsia="Times New Roman"/>
              </w:rPr>
            </w:pPr>
            <w:r w:rsidRPr="005B0796">
              <w:rPr>
                <w:rFonts w:eastAsia="Times New Roman"/>
              </w:rPr>
              <w:t>1.9</w:t>
            </w:r>
          </w:p>
        </w:tc>
      </w:tr>
      <w:tr w:rsidR="00FC0D42" w:rsidRPr="005B0796" w14:paraId="189B7312"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9F295A1" w14:textId="77777777" w:rsidR="00FC0D42" w:rsidRPr="005B0796" w:rsidRDefault="00FC0D42" w:rsidP="009919A9">
            <w:pPr>
              <w:pStyle w:val="TableText"/>
              <w:rPr>
                <w:rFonts w:eastAsia="Times New Roman"/>
              </w:rPr>
            </w:pPr>
            <w:r w:rsidRPr="005B0796">
              <w:rPr>
                <w:rFonts w:eastAsia="Times New Roman"/>
              </w:rPr>
              <w:t>Female | OFFR | unfit | Air Force</w:t>
            </w:r>
          </w:p>
        </w:tc>
        <w:tc>
          <w:tcPr>
            <w:tcW w:w="1261" w:type="dxa"/>
          </w:tcPr>
          <w:p w14:paraId="4A6326A4" w14:textId="77777777" w:rsidR="00FC0D42" w:rsidRPr="005B0796" w:rsidRDefault="00FC0D42" w:rsidP="009919A9">
            <w:pPr>
              <w:pStyle w:val="TableText"/>
              <w:jc w:val="right"/>
              <w:rPr>
                <w:rFonts w:eastAsia="Times New Roman"/>
              </w:rPr>
            </w:pPr>
            <w:r w:rsidRPr="005B0796">
              <w:rPr>
                <w:rFonts w:eastAsia="Times New Roman"/>
              </w:rPr>
              <w:t>76</w:t>
            </w:r>
          </w:p>
        </w:tc>
        <w:tc>
          <w:tcPr>
            <w:tcW w:w="1262" w:type="dxa"/>
          </w:tcPr>
          <w:p w14:paraId="58CE43A8" w14:textId="77777777" w:rsidR="00FC0D42" w:rsidRPr="005B0796" w:rsidRDefault="00FC0D42" w:rsidP="009919A9">
            <w:pPr>
              <w:pStyle w:val="TableText"/>
              <w:jc w:val="right"/>
              <w:rPr>
                <w:rFonts w:eastAsia="Times New Roman"/>
              </w:rPr>
            </w:pPr>
            <w:r w:rsidRPr="005B0796">
              <w:rPr>
                <w:rFonts w:eastAsia="Times New Roman"/>
              </w:rPr>
              <w:t>34</w:t>
            </w:r>
          </w:p>
        </w:tc>
        <w:tc>
          <w:tcPr>
            <w:tcW w:w="1262" w:type="dxa"/>
          </w:tcPr>
          <w:p w14:paraId="7C067B50" w14:textId="77777777" w:rsidR="00FC0D42" w:rsidRPr="005B0796" w:rsidRDefault="00FC0D42" w:rsidP="009919A9">
            <w:pPr>
              <w:pStyle w:val="TableText"/>
              <w:jc w:val="right"/>
            </w:pPr>
            <w:r w:rsidRPr="005B0796">
              <w:rPr>
                <w:rFonts w:eastAsia="Times New Roman"/>
              </w:rPr>
              <w:t>44.7</w:t>
            </w:r>
          </w:p>
        </w:tc>
        <w:tc>
          <w:tcPr>
            <w:tcW w:w="1262" w:type="dxa"/>
          </w:tcPr>
          <w:p w14:paraId="1FB5B2DC" w14:textId="77777777" w:rsidR="00FC0D42" w:rsidRPr="005B0796" w:rsidRDefault="00FC0D42" w:rsidP="009919A9">
            <w:pPr>
              <w:pStyle w:val="TableText"/>
              <w:jc w:val="right"/>
              <w:rPr>
                <w:rFonts w:eastAsia="Times New Roman"/>
              </w:rPr>
            </w:pPr>
            <w:r w:rsidRPr="005B0796">
              <w:rPr>
                <w:rFonts w:eastAsia="Times New Roman"/>
              </w:rPr>
              <w:t>2.2</w:t>
            </w:r>
          </w:p>
        </w:tc>
      </w:tr>
      <w:tr w:rsidR="00FC0D42" w:rsidRPr="005B0796" w14:paraId="527B5C3E" w14:textId="77777777" w:rsidTr="009919A9">
        <w:trPr>
          <w:cantSplit/>
        </w:trPr>
        <w:tc>
          <w:tcPr>
            <w:tcW w:w="2268" w:type="dxa"/>
          </w:tcPr>
          <w:p w14:paraId="1E9A4884" w14:textId="77777777" w:rsidR="00FC0D42" w:rsidRPr="005B0796" w:rsidRDefault="00FC0D42" w:rsidP="009919A9">
            <w:pPr>
              <w:pStyle w:val="TableText"/>
              <w:rPr>
                <w:rFonts w:eastAsia="Times New Roman"/>
              </w:rPr>
            </w:pPr>
            <w:r w:rsidRPr="005B0796">
              <w:rPr>
                <w:rFonts w:eastAsia="Times New Roman"/>
              </w:rPr>
              <w:t>Female | NCO | fit | Navy</w:t>
            </w:r>
          </w:p>
        </w:tc>
        <w:tc>
          <w:tcPr>
            <w:tcW w:w="1261" w:type="dxa"/>
          </w:tcPr>
          <w:p w14:paraId="1FDCB4AA" w14:textId="77777777" w:rsidR="00FC0D42" w:rsidRPr="005B0796" w:rsidRDefault="00FC0D42" w:rsidP="009919A9">
            <w:pPr>
              <w:pStyle w:val="TableText"/>
              <w:jc w:val="right"/>
              <w:rPr>
                <w:rFonts w:eastAsia="Times New Roman"/>
              </w:rPr>
            </w:pPr>
            <w:r w:rsidRPr="005B0796">
              <w:rPr>
                <w:rFonts w:eastAsia="Times New Roman"/>
              </w:rPr>
              <w:t>197</w:t>
            </w:r>
          </w:p>
        </w:tc>
        <w:tc>
          <w:tcPr>
            <w:tcW w:w="1262" w:type="dxa"/>
          </w:tcPr>
          <w:p w14:paraId="710BA6E3" w14:textId="77777777" w:rsidR="00FC0D42" w:rsidRPr="005B0796" w:rsidRDefault="00FC0D42" w:rsidP="009919A9">
            <w:pPr>
              <w:pStyle w:val="TableText"/>
              <w:jc w:val="right"/>
              <w:rPr>
                <w:rFonts w:eastAsia="Times New Roman"/>
              </w:rPr>
            </w:pPr>
            <w:r w:rsidRPr="005B0796">
              <w:rPr>
                <w:rFonts w:eastAsia="Times New Roman"/>
              </w:rPr>
              <w:t>71</w:t>
            </w:r>
          </w:p>
        </w:tc>
        <w:tc>
          <w:tcPr>
            <w:tcW w:w="1262" w:type="dxa"/>
          </w:tcPr>
          <w:p w14:paraId="670E3717" w14:textId="77777777" w:rsidR="00FC0D42" w:rsidRPr="005B0796" w:rsidRDefault="00FC0D42" w:rsidP="009919A9">
            <w:pPr>
              <w:pStyle w:val="TableText"/>
              <w:jc w:val="right"/>
            </w:pPr>
            <w:r w:rsidRPr="005B0796">
              <w:rPr>
                <w:rFonts w:eastAsia="Times New Roman"/>
              </w:rPr>
              <w:t>36.0</w:t>
            </w:r>
          </w:p>
        </w:tc>
        <w:tc>
          <w:tcPr>
            <w:tcW w:w="1262" w:type="dxa"/>
          </w:tcPr>
          <w:p w14:paraId="27646B76" w14:textId="77777777" w:rsidR="00FC0D42" w:rsidRPr="005B0796" w:rsidRDefault="00FC0D42" w:rsidP="009919A9">
            <w:pPr>
              <w:pStyle w:val="TableText"/>
              <w:jc w:val="right"/>
              <w:rPr>
                <w:rFonts w:eastAsia="Times New Roman"/>
              </w:rPr>
            </w:pPr>
            <w:r w:rsidRPr="005B0796">
              <w:rPr>
                <w:rFonts w:eastAsia="Times New Roman"/>
              </w:rPr>
              <w:t>2.8</w:t>
            </w:r>
          </w:p>
        </w:tc>
      </w:tr>
      <w:tr w:rsidR="00FC0D42" w:rsidRPr="005B0796" w14:paraId="0BC5615E"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18E9036" w14:textId="77777777" w:rsidR="00FC0D42" w:rsidRPr="005B0796" w:rsidRDefault="00FC0D42" w:rsidP="009919A9">
            <w:pPr>
              <w:pStyle w:val="TableText"/>
              <w:rPr>
                <w:rFonts w:eastAsia="Times New Roman"/>
              </w:rPr>
            </w:pPr>
            <w:r w:rsidRPr="005B0796">
              <w:rPr>
                <w:rFonts w:eastAsia="Times New Roman"/>
              </w:rPr>
              <w:t>Female | NCO | fit | Army</w:t>
            </w:r>
          </w:p>
        </w:tc>
        <w:tc>
          <w:tcPr>
            <w:tcW w:w="1261" w:type="dxa"/>
          </w:tcPr>
          <w:p w14:paraId="353F51B7" w14:textId="77777777" w:rsidR="00FC0D42" w:rsidRPr="005B0796" w:rsidRDefault="00FC0D42" w:rsidP="009919A9">
            <w:pPr>
              <w:pStyle w:val="TableText"/>
              <w:jc w:val="right"/>
              <w:rPr>
                <w:rFonts w:eastAsia="Times New Roman"/>
              </w:rPr>
            </w:pPr>
            <w:r w:rsidRPr="005B0796">
              <w:rPr>
                <w:rFonts w:eastAsia="Times New Roman"/>
              </w:rPr>
              <w:t>245</w:t>
            </w:r>
          </w:p>
        </w:tc>
        <w:tc>
          <w:tcPr>
            <w:tcW w:w="1262" w:type="dxa"/>
          </w:tcPr>
          <w:p w14:paraId="592EBB1C" w14:textId="77777777" w:rsidR="00FC0D42" w:rsidRPr="005B0796" w:rsidRDefault="00FC0D42" w:rsidP="009919A9">
            <w:pPr>
              <w:pStyle w:val="TableText"/>
              <w:jc w:val="right"/>
              <w:rPr>
                <w:rFonts w:eastAsia="Times New Roman"/>
              </w:rPr>
            </w:pPr>
            <w:r w:rsidRPr="005B0796">
              <w:rPr>
                <w:rFonts w:eastAsia="Times New Roman"/>
              </w:rPr>
              <w:t>99</w:t>
            </w:r>
          </w:p>
        </w:tc>
        <w:tc>
          <w:tcPr>
            <w:tcW w:w="1262" w:type="dxa"/>
          </w:tcPr>
          <w:p w14:paraId="70CD1502" w14:textId="77777777" w:rsidR="00FC0D42" w:rsidRPr="005B0796" w:rsidRDefault="00FC0D42" w:rsidP="009919A9">
            <w:pPr>
              <w:pStyle w:val="TableText"/>
              <w:jc w:val="right"/>
            </w:pPr>
            <w:r w:rsidRPr="005B0796">
              <w:rPr>
                <w:rFonts w:eastAsia="Times New Roman"/>
              </w:rPr>
              <w:t>40.4</w:t>
            </w:r>
          </w:p>
        </w:tc>
        <w:tc>
          <w:tcPr>
            <w:tcW w:w="1262" w:type="dxa"/>
          </w:tcPr>
          <w:p w14:paraId="06ABE6E4" w14:textId="77777777" w:rsidR="00FC0D42" w:rsidRPr="005B0796" w:rsidRDefault="00FC0D42" w:rsidP="009919A9">
            <w:pPr>
              <w:pStyle w:val="TableText"/>
              <w:jc w:val="right"/>
              <w:rPr>
                <w:rFonts w:eastAsia="Times New Roman"/>
              </w:rPr>
            </w:pPr>
            <w:r w:rsidRPr="005B0796">
              <w:rPr>
                <w:rFonts w:eastAsia="Times New Roman"/>
              </w:rPr>
              <w:t>2.5</w:t>
            </w:r>
          </w:p>
        </w:tc>
      </w:tr>
      <w:tr w:rsidR="00FC0D42" w:rsidRPr="005B0796" w14:paraId="74CA654F" w14:textId="77777777" w:rsidTr="009919A9">
        <w:trPr>
          <w:cantSplit/>
        </w:trPr>
        <w:tc>
          <w:tcPr>
            <w:tcW w:w="2268" w:type="dxa"/>
          </w:tcPr>
          <w:p w14:paraId="2E3510E4" w14:textId="77777777" w:rsidR="00FC0D42" w:rsidRPr="005B0796" w:rsidRDefault="00FC0D42" w:rsidP="009919A9">
            <w:pPr>
              <w:pStyle w:val="TableText"/>
              <w:rPr>
                <w:rFonts w:eastAsia="Times New Roman"/>
              </w:rPr>
            </w:pPr>
            <w:r w:rsidRPr="005B0796">
              <w:rPr>
                <w:rFonts w:eastAsia="Times New Roman"/>
              </w:rPr>
              <w:t>Female | NCO | fit | Air Force</w:t>
            </w:r>
          </w:p>
        </w:tc>
        <w:tc>
          <w:tcPr>
            <w:tcW w:w="1261" w:type="dxa"/>
          </w:tcPr>
          <w:p w14:paraId="44D5C814" w14:textId="77777777" w:rsidR="00FC0D42" w:rsidRPr="005B0796" w:rsidRDefault="00FC0D42" w:rsidP="009919A9">
            <w:pPr>
              <w:pStyle w:val="TableText"/>
              <w:jc w:val="right"/>
              <w:rPr>
                <w:rFonts w:eastAsia="Times New Roman"/>
              </w:rPr>
            </w:pPr>
            <w:r w:rsidRPr="005B0796">
              <w:rPr>
                <w:rFonts w:eastAsia="Times New Roman"/>
              </w:rPr>
              <w:t>255</w:t>
            </w:r>
          </w:p>
        </w:tc>
        <w:tc>
          <w:tcPr>
            <w:tcW w:w="1262" w:type="dxa"/>
          </w:tcPr>
          <w:p w14:paraId="58698B85" w14:textId="77777777" w:rsidR="00FC0D42" w:rsidRPr="005B0796" w:rsidRDefault="00FC0D42" w:rsidP="009919A9">
            <w:pPr>
              <w:pStyle w:val="TableText"/>
              <w:jc w:val="right"/>
              <w:rPr>
                <w:rFonts w:eastAsia="Times New Roman"/>
              </w:rPr>
            </w:pPr>
            <w:r w:rsidRPr="005B0796">
              <w:rPr>
                <w:rFonts w:eastAsia="Times New Roman"/>
              </w:rPr>
              <w:t>110</w:t>
            </w:r>
          </w:p>
        </w:tc>
        <w:tc>
          <w:tcPr>
            <w:tcW w:w="1262" w:type="dxa"/>
          </w:tcPr>
          <w:p w14:paraId="641A4881" w14:textId="77777777" w:rsidR="00FC0D42" w:rsidRPr="005B0796" w:rsidRDefault="00FC0D42" w:rsidP="009919A9">
            <w:pPr>
              <w:pStyle w:val="TableText"/>
              <w:jc w:val="right"/>
            </w:pPr>
            <w:r w:rsidRPr="005B0796">
              <w:rPr>
                <w:rFonts w:eastAsia="Times New Roman"/>
              </w:rPr>
              <w:t>43.1</w:t>
            </w:r>
          </w:p>
        </w:tc>
        <w:tc>
          <w:tcPr>
            <w:tcW w:w="1262" w:type="dxa"/>
          </w:tcPr>
          <w:p w14:paraId="5F5C58E0" w14:textId="77777777" w:rsidR="00FC0D42" w:rsidRPr="005B0796" w:rsidRDefault="00FC0D42" w:rsidP="009919A9">
            <w:pPr>
              <w:pStyle w:val="TableText"/>
              <w:jc w:val="right"/>
              <w:rPr>
                <w:rFonts w:eastAsia="Times New Roman"/>
              </w:rPr>
            </w:pPr>
            <w:r w:rsidRPr="005B0796">
              <w:rPr>
                <w:rFonts w:eastAsia="Times New Roman"/>
              </w:rPr>
              <w:t>2.3</w:t>
            </w:r>
          </w:p>
        </w:tc>
      </w:tr>
      <w:tr w:rsidR="00FC0D42" w:rsidRPr="005B0796" w14:paraId="674FFB8C"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139D8309"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14:paraId="1CB8A32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65</w:t>
            </w:r>
          </w:p>
        </w:tc>
        <w:tc>
          <w:tcPr>
            <w:tcW w:w="1262" w:type="dxa"/>
          </w:tcPr>
          <w:p w14:paraId="7257A91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23</w:t>
            </w:r>
          </w:p>
        </w:tc>
        <w:tc>
          <w:tcPr>
            <w:tcW w:w="1262" w:type="dxa"/>
          </w:tcPr>
          <w:p w14:paraId="27FED1B7"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35.4</w:t>
            </w:r>
          </w:p>
        </w:tc>
        <w:tc>
          <w:tcPr>
            <w:tcW w:w="1262" w:type="dxa"/>
          </w:tcPr>
          <w:p w14:paraId="75C024C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2.8</w:t>
            </w:r>
          </w:p>
        </w:tc>
      </w:tr>
      <w:tr w:rsidR="00FC0D42" w:rsidRPr="005B0796" w14:paraId="7A1AA27B" w14:textId="77777777" w:rsidTr="009919A9">
        <w:trPr>
          <w:cantSplit/>
        </w:trPr>
        <w:tc>
          <w:tcPr>
            <w:tcW w:w="2268" w:type="dxa"/>
          </w:tcPr>
          <w:p w14:paraId="02722379" w14:textId="77777777" w:rsidR="00FC0D42" w:rsidRPr="005B0796" w:rsidRDefault="00FC0D42" w:rsidP="009919A9">
            <w:pPr>
              <w:pStyle w:val="TableText"/>
              <w:rPr>
                <w:rFonts w:eastAsia="Times New Roman"/>
              </w:rPr>
            </w:pPr>
            <w:r w:rsidRPr="005B0796">
              <w:rPr>
                <w:rFonts w:eastAsia="Times New Roman"/>
              </w:rPr>
              <w:t>Female | NCO | unfit | Army</w:t>
            </w:r>
          </w:p>
        </w:tc>
        <w:tc>
          <w:tcPr>
            <w:tcW w:w="1261" w:type="dxa"/>
          </w:tcPr>
          <w:p w14:paraId="6FC784DD" w14:textId="77777777" w:rsidR="00FC0D42" w:rsidRPr="005B0796" w:rsidRDefault="00FC0D42" w:rsidP="009919A9">
            <w:pPr>
              <w:pStyle w:val="TableText"/>
              <w:jc w:val="right"/>
              <w:rPr>
                <w:rFonts w:eastAsia="Times New Roman"/>
              </w:rPr>
            </w:pPr>
            <w:r w:rsidRPr="005B0796">
              <w:rPr>
                <w:rFonts w:eastAsia="Times New Roman"/>
              </w:rPr>
              <w:t>117</w:t>
            </w:r>
          </w:p>
        </w:tc>
        <w:tc>
          <w:tcPr>
            <w:tcW w:w="1262" w:type="dxa"/>
          </w:tcPr>
          <w:p w14:paraId="5440FD0F" w14:textId="77777777" w:rsidR="00FC0D42" w:rsidRPr="005B0796" w:rsidRDefault="00FC0D42" w:rsidP="009919A9">
            <w:pPr>
              <w:pStyle w:val="TableText"/>
              <w:jc w:val="right"/>
              <w:rPr>
                <w:rFonts w:eastAsia="Times New Roman"/>
              </w:rPr>
            </w:pPr>
            <w:r w:rsidRPr="005B0796">
              <w:rPr>
                <w:rFonts w:eastAsia="Times New Roman"/>
              </w:rPr>
              <w:t>49</w:t>
            </w:r>
          </w:p>
        </w:tc>
        <w:tc>
          <w:tcPr>
            <w:tcW w:w="1262" w:type="dxa"/>
          </w:tcPr>
          <w:p w14:paraId="5C391312" w14:textId="77777777" w:rsidR="00FC0D42" w:rsidRPr="005B0796" w:rsidRDefault="00FC0D42" w:rsidP="009919A9">
            <w:pPr>
              <w:pStyle w:val="TableText"/>
              <w:jc w:val="right"/>
            </w:pPr>
            <w:r w:rsidRPr="005B0796">
              <w:rPr>
                <w:rFonts w:eastAsia="Times New Roman"/>
              </w:rPr>
              <w:t>41.9</w:t>
            </w:r>
          </w:p>
        </w:tc>
        <w:tc>
          <w:tcPr>
            <w:tcW w:w="1262" w:type="dxa"/>
          </w:tcPr>
          <w:p w14:paraId="149D8597" w14:textId="77777777" w:rsidR="00FC0D42" w:rsidRPr="005B0796" w:rsidRDefault="00FC0D42" w:rsidP="009919A9">
            <w:pPr>
              <w:pStyle w:val="TableText"/>
              <w:jc w:val="right"/>
              <w:rPr>
                <w:rFonts w:eastAsia="Times New Roman"/>
              </w:rPr>
            </w:pPr>
            <w:r w:rsidRPr="005B0796">
              <w:rPr>
                <w:rFonts w:eastAsia="Times New Roman"/>
              </w:rPr>
              <w:t>2.4</w:t>
            </w:r>
          </w:p>
        </w:tc>
      </w:tr>
      <w:tr w:rsidR="00FC0D42" w:rsidRPr="005B0796" w14:paraId="1E2307E2"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AD84476"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14:paraId="05C765C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100</w:t>
            </w:r>
          </w:p>
        </w:tc>
        <w:tc>
          <w:tcPr>
            <w:tcW w:w="1262" w:type="dxa"/>
          </w:tcPr>
          <w:p w14:paraId="4D97F6A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37</w:t>
            </w:r>
          </w:p>
        </w:tc>
        <w:tc>
          <w:tcPr>
            <w:tcW w:w="1262" w:type="dxa"/>
          </w:tcPr>
          <w:p w14:paraId="59DD63F1"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37.0</w:t>
            </w:r>
          </w:p>
        </w:tc>
        <w:tc>
          <w:tcPr>
            <w:tcW w:w="1262" w:type="dxa"/>
          </w:tcPr>
          <w:p w14:paraId="1D4FEC2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2.7</w:t>
            </w:r>
          </w:p>
        </w:tc>
      </w:tr>
      <w:tr w:rsidR="00FC0D42" w:rsidRPr="005B0796" w14:paraId="563953EA" w14:textId="77777777" w:rsidTr="009919A9">
        <w:trPr>
          <w:cantSplit/>
        </w:trPr>
        <w:tc>
          <w:tcPr>
            <w:tcW w:w="2268" w:type="dxa"/>
          </w:tcPr>
          <w:p w14:paraId="40F224A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14:paraId="24759D7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41</w:t>
            </w:r>
          </w:p>
        </w:tc>
        <w:tc>
          <w:tcPr>
            <w:tcW w:w="1262" w:type="dxa"/>
          </w:tcPr>
          <w:p w14:paraId="4F26ED4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12</w:t>
            </w:r>
          </w:p>
        </w:tc>
        <w:tc>
          <w:tcPr>
            <w:tcW w:w="1262" w:type="dxa"/>
          </w:tcPr>
          <w:p w14:paraId="23694064"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29.3</w:t>
            </w:r>
          </w:p>
        </w:tc>
        <w:tc>
          <w:tcPr>
            <w:tcW w:w="1262" w:type="dxa"/>
          </w:tcPr>
          <w:p w14:paraId="17D80B6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3.4</w:t>
            </w:r>
          </w:p>
        </w:tc>
      </w:tr>
      <w:tr w:rsidR="00FC0D42" w:rsidRPr="005B0796" w14:paraId="3D2FFF02"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70552361"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14:paraId="0D3B253F"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33</w:t>
            </w:r>
          </w:p>
        </w:tc>
        <w:tc>
          <w:tcPr>
            <w:tcW w:w="1262" w:type="dxa"/>
          </w:tcPr>
          <w:p w14:paraId="31108FA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w:t>
            </w:r>
          </w:p>
        </w:tc>
        <w:tc>
          <w:tcPr>
            <w:tcW w:w="1262" w:type="dxa"/>
          </w:tcPr>
          <w:p w14:paraId="63646C49"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12.1</w:t>
            </w:r>
          </w:p>
        </w:tc>
        <w:tc>
          <w:tcPr>
            <w:tcW w:w="1262" w:type="dxa"/>
          </w:tcPr>
          <w:p w14:paraId="1E9B0C3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8.3</w:t>
            </w:r>
          </w:p>
        </w:tc>
      </w:tr>
      <w:tr w:rsidR="00FC0D42" w:rsidRPr="005B0796" w14:paraId="02FD675D" w14:textId="77777777" w:rsidTr="009919A9">
        <w:trPr>
          <w:cantSplit/>
        </w:trPr>
        <w:tc>
          <w:tcPr>
            <w:tcW w:w="2268" w:type="dxa"/>
          </w:tcPr>
          <w:p w14:paraId="7556BA9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14:paraId="1B40AB3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51</w:t>
            </w:r>
          </w:p>
        </w:tc>
        <w:tc>
          <w:tcPr>
            <w:tcW w:w="1262" w:type="dxa"/>
          </w:tcPr>
          <w:p w14:paraId="1AF522B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18</w:t>
            </w:r>
          </w:p>
        </w:tc>
        <w:tc>
          <w:tcPr>
            <w:tcW w:w="1262" w:type="dxa"/>
          </w:tcPr>
          <w:p w14:paraId="49428A9F"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35.3</w:t>
            </w:r>
          </w:p>
        </w:tc>
        <w:tc>
          <w:tcPr>
            <w:tcW w:w="1262" w:type="dxa"/>
          </w:tcPr>
          <w:p w14:paraId="18CCC710"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2.8</w:t>
            </w:r>
          </w:p>
        </w:tc>
      </w:tr>
      <w:tr w:rsidR="00FC0D42" w:rsidRPr="005B0796" w14:paraId="1556E80F"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4E731740"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14:paraId="304FE27F"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31</w:t>
            </w:r>
          </w:p>
        </w:tc>
        <w:tc>
          <w:tcPr>
            <w:tcW w:w="1262" w:type="dxa"/>
          </w:tcPr>
          <w:p w14:paraId="03B0F05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w:t>
            </w:r>
          </w:p>
        </w:tc>
        <w:tc>
          <w:tcPr>
            <w:tcW w:w="1262" w:type="dxa"/>
          </w:tcPr>
          <w:p w14:paraId="3601EB8A"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16.1</w:t>
            </w:r>
          </w:p>
        </w:tc>
        <w:tc>
          <w:tcPr>
            <w:tcW w:w="1262" w:type="dxa"/>
          </w:tcPr>
          <w:p w14:paraId="02B5D91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6.2</w:t>
            </w:r>
          </w:p>
        </w:tc>
      </w:tr>
      <w:tr w:rsidR="00FC0D42" w:rsidRPr="005B0796" w14:paraId="47314657" w14:textId="77777777" w:rsidTr="009919A9">
        <w:trPr>
          <w:cantSplit/>
        </w:trPr>
        <w:tc>
          <w:tcPr>
            <w:tcW w:w="2268" w:type="dxa"/>
          </w:tcPr>
          <w:p w14:paraId="4211359C"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14:paraId="294267F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19</w:t>
            </w:r>
          </w:p>
        </w:tc>
        <w:tc>
          <w:tcPr>
            <w:tcW w:w="1262" w:type="dxa"/>
          </w:tcPr>
          <w:p w14:paraId="739AE40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9</w:t>
            </w:r>
          </w:p>
        </w:tc>
        <w:tc>
          <w:tcPr>
            <w:tcW w:w="1262" w:type="dxa"/>
          </w:tcPr>
          <w:p w14:paraId="182A4845"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47.4</w:t>
            </w:r>
          </w:p>
        </w:tc>
        <w:tc>
          <w:tcPr>
            <w:tcW w:w="1262" w:type="dxa"/>
          </w:tcPr>
          <w:p w14:paraId="2923383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2.1</w:t>
            </w:r>
          </w:p>
        </w:tc>
      </w:tr>
      <w:tr w:rsidR="00FC0D42" w:rsidRPr="005B0796" w14:paraId="67994DC7"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48644AB3"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Air Force</w:t>
            </w:r>
          </w:p>
        </w:tc>
        <w:tc>
          <w:tcPr>
            <w:tcW w:w="1261" w:type="dxa"/>
          </w:tcPr>
          <w:p w14:paraId="4A929FBA"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31</w:t>
            </w:r>
          </w:p>
        </w:tc>
        <w:tc>
          <w:tcPr>
            <w:tcW w:w="1262" w:type="dxa"/>
          </w:tcPr>
          <w:p w14:paraId="76066F3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w:t>
            </w:r>
          </w:p>
        </w:tc>
        <w:tc>
          <w:tcPr>
            <w:tcW w:w="1262" w:type="dxa"/>
          </w:tcPr>
          <w:p w14:paraId="6FE5B093"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16.1</w:t>
            </w:r>
          </w:p>
        </w:tc>
        <w:tc>
          <w:tcPr>
            <w:tcW w:w="1262" w:type="dxa"/>
          </w:tcPr>
          <w:p w14:paraId="59B3F3B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6.2</w:t>
            </w:r>
          </w:p>
        </w:tc>
      </w:tr>
      <w:tr w:rsidR="00FC0D42" w:rsidRPr="005B0796" w14:paraId="1ECE427B" w14:textId="77777777" w:rsidTr="009919A9">
        <w:trPr>
          <w:cantSplit/>
        </w:trPr>
        <w:tc>
          <w:tcPr>
            <w:tcW w:w="2268" w:type="dxa"/>
          </w:tcPr>
          <w:p w14:paraId="7F49C220"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Navy</w:t>
            </w:r>
          </w:p>
        </w:tc>
        <w:tc>
          <w:tcPr>
            <w:tcW w:w="1261" w:type="dxa"/>
          </w:tcPr>
          <w:p w14:paraId="4BA948F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902</w:t>
            </w:r>
          </w:p>
        </w:tc>
        <w:tc>
          <w:tcPr>
            <w:tcW w:w="1262" w:type="dxa"/>
          </w:tcPr>
          <w:p w14:paraId="3861625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418</w:t>
            </w:r>
          </w:p>
        </w:tc>
        <w:tc>
          <w:tcPr>
            <w:tcW w:w="1262" w:type="dxa"/>
          </w:tcPr>
          <w:p w14:paraId="0B06239C"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46.3</w:t>
            </w:r>
          </w:p>
        </w:tc>
        <w:tc>
          <w:tcPr>
            <w:tcW w:w="1262" w:type="dxa"/>
          </w:tcPr>
          <w:p w14:paraId="0590CB2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2.2</w:t>
            </w:r>
          </w:p>
        </w:tc>
      </w:tr>
      <w:tr w:rsidR="00FC0D42" w:rsidRPr="005B0796" w14:paraId="26875144"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9D91BB5"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Army</w:t>
            </w:r>
          </w:p>
        </w:tc>
        <w:tc>
          <w:tcPr>
            <w:tcW w:w="1261" w:type="dxa"/>
          </w:tcPr>
          <w:p w14:paraId="4908E35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1585</w:t>
            </w:r>
          </w:p>
        </w:tc>
        <w:tc>
          <w:tcPr>
            <w:tcW w:w="1262" w:type="dxa"/>
          </w:tcPr>
          <w:p w14:paraId="750672B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723</w:t>
            </w:r>
          </w:p>
        </w:tc>
        <w:tc>
          <w:tcPr>
            <w:tcW w:w="1262" w:type="dxa"/>
          </w:tcPr>
          <w:p w14:paraId="136BEF30"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45.6</w:t>
            </w:r>
          </w:p>
        </w:tc>
        <w:tc>
          <w:tcPr>
            <w:tcW w:w="1262" w:type="dxa"/>
          </w:tcPr>
          <w:p w14:paraId="2EC3BF1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2.2</w:t>
            </w:r>
          </w:p>
        </w:tc>
      </w:tr>
      <w:tr w:rsidR="00FC0D42" w:rsidRPr="005B0796" w14:paraId="18E99C0F" w14:textId="77777777" w:rsidTr="009919A9">
        <w:trPr>
          <w:cantSplit/>
        </w:trPr>
        <w:tc>
          <w:tcPr>
            <w:tcW w:w="2268" w:type="dxa"/>
          </w:tcPr>
          <w:p w14:paraId="30456B1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Air Force</w:t>
            </w:r>
          </w:p>
        </w:tc>
        <w:tc>
          <w:tcPr>
            <w:tcW w:w="1261" w:type="dxa"/>
          </w:tcPr>
          <w:p w14:paraId="722AB6A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1428</w:t>
            </w:r>
          </w:p>
        </w:tc>
        <w:tc>
          <w:tcPr>
            <w:tcW w:w="1262" w:type="dxa"/>
          </w:tcPr>
          <w:p w14:paraId="6BAD5E2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596</w:t>
            </w:r>
          </w:p>
        </w:tc>
        <w:tc>
          <w:tcPr>
            <w:tcW w:w="1262" w:type="dxa"/>
          </w:tcPr>
          <w:p w14:paraId="750227BA"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41.7</w:t>
            </w:r>
          </w:p>
        </w:tc>
        <w:tc>
          <w:tcPr>
            <w:tcW w:w="1262" w:type="dxa"/>
          </w:tcPr>
          <w:p w14:paraId="6EBB0CD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2.4</w:t>
            </w:r>
          </w:p>
        </w:tc>
      </w:tr>
      <w:tr w:rsidR="00FC0D42" w:rsidRPr="005B0796" w14:paraId="39CD168E"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514A538"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Navy</w:t>
            </w:r>
          </w:p>
        </w:tc>
        <w:tc>
          <w:tcPr>
            <w:tcW w:w="1261" w:type="dxa"/>
          </w:tcPr>
          <w:p w14:paraId="141330E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81</w:t>
            </w:r>
          </w:p>
        </w:tc>
        <w:tc>
          <w:tcPr>
            <w:tcW w:w="1262" w:type="dxa"/>
          </w:tcPr>
          <w:p w14:paraId="3F480CC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54</w:t>
            </w:r>
          </w:p>
        </w:tc>
        <w:tc>
          <w:tcPr>
            <w:tcW w:w="1262" w:type="dxa"/>
          </w:tcPr>
          <w:p w14:paraId="4A1ECF43" w14:textId="77777777" w:rsidR="00FC0D42" w:rsidRPr="005B0796" w:rsidRDefault="00FC0D42" w:rsidP="009919A9">
            <w:pPr>
              <w:pStyle w:val="TableText"/>
              <w:jc w:val="right"/>
              <w:rPr>
                <w:color w:val="000000" w:themeColor="text1"/>
              </w:rPr>
            </w:pPr>
            <w:r w:rsidRPr="005B0796">
              <w:rPr>
                <w:rFonts w:eastAsia="Times New Roman"/>
                <w:color w:val="000000" w:themeColor="text1"/>
              </w:rPr>
              <w:t>66.7</w:t>
            </w:r>
          </w:p>
        </w:tc>
        <w:tc>
          <w:tcPr>
            <w:tcW w:w="1262" w:type="dxa"/>
          </w:tcPr>
          <w:p w14:paraId="1B02142F"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1.5</w:t>
            </w:r>
          </w:p>
        </w:tc>
      </w:tr>
      <w:tr w:rsidR="00FC0D42" w:rsidRPr="005B0796" w14:paraId="70D04141" w14:textId="77777777" w:rsidTr="009919A9">
        <w:trPr>
          <w:cantSplit/>
        </w:trPr>
        <w:tc>
          <w:tcPr>
            <w:tcW w:w="2268" w:type="dxa"/>
          </w:tcPr>
          <w:p w14:paraId="0BE72A5E"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Army</w:t>
            </w:r>
          </w:p>
        </w:tc>
        <w:tc>
          <w:tcPr>
            <w:tcW w:w="1261" w:type="dxa"/>
          </w:tcPr>
          <w:p w14:paraId="3E51176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153</w:t>
            </w:r>
          </w:p>
        </w:tc>
        <w:tc>
          <w:tcPr>
            <w:tcW w:w="1262" w:type="dxa"/>
          </w:tcPr>
          <w:p w14:paraId="47FB167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75</w:t>
            </w:r>
          </w:p>
        </w:tc>
        <w:tc>
          <w:tcPr>
            <w:tcW w:w="1262" w:type="dxa"/>
          </w:tcPr>
          <w:p w14:paraId="069ABE56"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49.0</w:t>
            </w:r>
          </w:p>
        </w:tc>
        <w:tc>
          <w:tcPr>
            <w:tcW w:w="1262" w:type="dxa"/>
          </w:tcPr>
          <w:p w14:paraId="7984A58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2.0</w:t>
            </w:r>
          </w:p>
        </w:tc>
      </w:tr>
      <w:tr w:rsidR="00FC0D42" w:rsidRPr="005B0796" w14:paraId="66DAA7AC"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00644072"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Air Force</w:t>
            </w:r>
          </w:p>
        </w:tc>
        <w:tc>
          <w:tcPr>
            <w:tcW w:w="1261" w:type="dxa"/>
          </w:tcPr>
          <w:p w14:paraId="2109033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117</w:t>
            </w:r>
          </w:p>
        </w:tc>
        <w:tc>
          <w:tcPr>
            <w:tcW w:w="1262" w:type="dxa"/>
          </w:tcPr>
          <w:p w14:paraId="71CC6E5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58</w:t>
            </w:r>
          </w:p>
        </w:tc>
        <w:tc>
          <w:tcPr>
            <w:tcW w:w="1262" w:type="dxa"/>
          </w:tcPr>
          <w:p w14:paraId="4AB17A96"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49.6</w:t>
            </w:r>
          </w:p>
        </w:tc>
        <w:tc>
          <w:tcPr>
            <w:tcW w:w="1262" w:type="dxa"/>
          </w:tcPr>
          <w:p w14:paraId="15B89FE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2.0</w:t>
            </w:r>
          </w:p>
        </w:tc>
      </w:tr>
      <w:tr w:rsidR="00FC0D42" w:rsidRPr="005B0796" w14:paraId="2285004A" w14:textId="77777777" w:rsidTr="009919A9">
        <w:trPr>
          <w:cantSplit/>
        </w:trPr>
        <w:tc>
          <w:tcPr>
            <w:tcW w:w="2268" w:type="dxa"/>
          </w:tcPr>
          <w:p w14:paraId="6D5F5403"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14:paraId="7D26F1D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1386</w:t>
            </w:r>
          </w:p>
        </w:tc>
        <w:tc>
          <w:tcPr>
            <w:tcW w:w="1262" w:type="dxa"/>
          </w:tcPr>
          <w:p w14:paraId="5A17F38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522</w:t>
            </w:r>
          </w:p>
        </w:tc>
        <w:tc>
          <w:tcPr>
            <w:tcW w:w="1262" w:type="dxa"/>
          </w:tcPr>
          <w:p w14:paraId="63E5A38E"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37.7</w:t>
            </w:r>
          </w:p>
        </w:tc>
        <w:tc>
          <w:tcPr>
            <w:tcW w:w="1262" w:type="dxa"/>
          </w:tcPr>
          <w:p w14:paraId="7BC07CE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2.7</w:t>
            </w:r>
          </w:p>
        </w:tc>
      </w:tr>
      <w:tr w:rsidR="00FC0D42" w:rsidRPr="005B0796" w14:paraId="1AB949CF"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368E448"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14:paraId="4A0A905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2629</w:t>
            </w:r>
          </w:p>
        </w:tc>
        <w:tc>
          <w:tcPr>
            <w:tcW w:w="1262" w:type="dxa"/>
          </w:tcPr>
          <w:p w14:paraId="1250794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1037</w:t>
            </w:r>
          </w:p>
        </w:tc>
        <w:tc>
          <w:tcPr>
            <w:tcW w:w="1262" w:type="dxa"/>
          </w:tcPr>
          <w:p w14:paraId="3449758E"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39.4</w:t>
            </w:r>
          </w:p>
        </w:tc>
        <w:tc>
          <w:tcPr>
            <w:tcW w:w="1262" w:type="dxa"/>
          </w:tcPr>
          <w:p w14:paraId="012F9D7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2.6</w:t>
            </w:r>
          </w:p>
        </w:tc>
      </w:tr>
      <w:tr w:rsidR="00FC0D42" w:rsidRPr="005B0796" w14:paraId="2F38899D" w14:textId="77777777" w:rsidTr="009919A9">
        <w:trPr>
          <w:cantSplit/>
        </w:trPr>
        <w:tc>
          <w:tcPr>
            <w:tcW w:w="2268" w:type="dxa"/>
          </w:tcPr>
          <w:p w14:paraId="515140AC"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14:paraId="352AEDD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2153</w:t>
            </w:r>
          </w:p>
        </w:tc>
        <w:tc>
          <w:tcPr>
            <w:tcW w:w="1262" w:type="dxa"/>
          </w:tcPr>
          <w:p w14:paraId="4AF37A7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789</w:t>
            </w:r>
          </w:p>
        </w:tc>
        <w:tc>
          <w:tcPr>
            <w:tcW w:w="1262" w:type="dxa"/>
          </w:tcPr>
          <w:p w14:paraId="79AD2E5E"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36.6</w:t>
            </w:r>
          </w:p>
        </w:tc>
        <w:tc>
          <w:tcPr>
            <w:tcW w:w="1262" w:type="dxa"/>
          </w:tcPr>
          <w:p w14:paraId="03D8CCE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2.7</w:t>
            </w:r>
          </w:p>
        </w:tc>
      </w:tr>
      <w:tr w:rsidR="00FC0D42" w:rsidRPr="005B0796" w14:paraId="2C5FF190"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2704168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14:paraId="62E08E8F" w14:textId="77777777" w:rsidR="00FC0D42" w:rsidRPr="005B0796" w:rsidRDefault="00FC0D42" w:rsidP="009919A9">
            <w:pPr>
              <w:pStyle w:val="TableText"/>
              <w:jc w:val="right"/>
              <w:rPr>
                <w:rFonts w:eastAsia="Times New Roman"/>
                <w:color w:val="000000" w:themeColor="text1"/>
                <w:lang w:eastAsia="en-GB"/>
              </w:rPr>
            </w:pPr>
            <w:r w:rsidRPr="005B0796">
              <w:rPr>
                <w:rFonts w:eastAsia="Times New Roman"/>
                <w:color w:val="000000" w:themeColor="text1"/>
              </w:rPr>
              <w:t>214</w:t>
            </w:r>
          </w:p>
        </w:tc>
        <w:tc>
          <w:tcPr>
            <w:tcW w:w="1262" w:type="dxa"/>
          </w:tcPr>
          <w:p w14:paraId="5BC9DE2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96</w:t>
            </w:r>
          </w:p>
        </w:tc>
        <w:tc>
          <w:tcPr>
            <w:tcW w:w="1262" w:type="dxa"/>
          </w:tcPr>
          <w:p w14:paraId="6A5CBF68"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44.9</w:t>
            </w:r>
          </w:p>
        </w:tc>
        <w:tc>
          <w:tcPr>
            <w:tcW w:w="1262" w:type="dxa"/>
          </w:tcPr>
          <w:p w14:paraId="0327E3EF"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2.2</w:t>
            </w:r>
          </w:p>
        </w:tc>
      </w:tr>
      <w:tr w:rsidR="00FC0D42" w:rsidRPr="005B0796" w14:paraId="6153755F" w14:textId="77777777" w:rsidTr="009919A9">
        <w:trPr>
          <w:cantSplit/>
        </w:trPr>
        <w:tc>
          <w:tcPr>
            <w:tcW w:w="2268" w:type="dxa"/>
          </w:tcPr>
          <w:p w14:paraId="77C2DB75"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14:paraId="096A068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503</w:t>
            </w:r>
          </w:p>
        </w:tc>
        <w:tc>
          <w:tcPr>
            <w:tcW w:w="1262" w:type="dxa"/>
          </w:tcPr>
          <w:p w14:paraId="438A0A3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244</w:t>
            </w:r>
          </w:p>
        </w:tc>
        <w:tc>
          <w:tcPr>
            <w:tcW w:w="1262" w:type="dxa"/>
          </w:tcPr>
          <w:p w14:paraId="21B5D1C5"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48.5</w:t>
            </w:r>
          </w:p>
        </w:tc>
        <w:tc>
          <w:tcPr>
            <w:tcW w:w="1262" w:type="dxa"/>
          </w:tcPr>
          <w:p w14:paraId="573D2F7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2.1</w:t>
            </w:r>
          </w:p>
        </w:tc>
      </w:tr>
      <w:tr w:rsidR="00FC0D42" w:rsidRPr="005B0796" w14:paraId="1AE8CD9F"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9CAA8BC"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14:paraId="4EB80B5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309</w:t>
            </w:r>
          </w:p>
        </w:tc>
        <w:tc>
          <w:tcPr>
            <w:tcW w:w="1262" w:type="dxa"/>
          </w:tcPr>
          <w:p w14:paraId="0598CB2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130</w:t>
            </w:r>
          </w:p>
        </w:tc>
        <w:tc>
          <w:tcPr>
            <w:tcW w:w="1262" w:type="dxa"/>
          </w:tcPr>
          <w:p w14:paraId="51B72F66" w14:textId="77777777" w:rsidR="00FC0D42" w:rsidRPr="005B0796" w:rsidRDefault="00FC0D42" w:rsidP="009919A9">
            <w:pPr>
              <w:pStyle w:val="TableText"/>
              <w:jc w:val="right"/>
              <w:rPr>
                <w:color w:val="000000" w:themeColor="text1"/>
              </w:rPr>
            </w:pPr>
            <w:r w:rsidRPr="005B0796">
              <w:rPr>
                <w:rFonts w:eastAsia="Times New Roman"/>
                <w:color w:val="000000" w:themeColor="text1"/>
              </w:rPr>
              <w:t>42.1</w:t>
            </w:r>
          </w:p>
        </w:tc>
        <w:tc>
          <w:tcPr>
            <w:tcW w:w="1262" w:type="dxa"/>
          </w:tcPr>
          <w:p w14:paraId="7BA242C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2.4</w:t>
            </w:r>
          </w:p>
        </w:tc>
      </w:tr>
      <w:tr w:rsidR="00FC0D42" w:rsidRPr="005B0796" w14:paraId="324D992F" w14:textId="77777777" w:rsidTr="009919A9">
        <w:trPr>
          <w:cantSplit/>
        </w:trPr>
        <w:tc>
          <w:tcPr>
            <w:tcW w:w="2268" w:type="dxa"/>
          </w:tcPr>
          <w:p w14:paraId="7025140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14:paraId="597DD3B0"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176</w:t>
            </w:r>
          </w:p>
        </w:tc>
        <w:tc>
          <w:tcPr>
            <w:tcW w:w="1262" w:type="dxa"/>
          </w:tcPr>
          <w:p w14:paraId="4B2EF90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46</w:t>
            </w:r>
          </w:p>
        </w:tc>
        <w:tc>
          <w:tcPr>
            <w:tcW w:w="1262" w:type="dxa"/>
          </w:tcPr>
          <w:p w14:paraId="64155A10"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26.1</w:t>
            </w:r>
          </w:p>
        </w:tc>
        <w:tc>
          <w:tcPr>
            <w:tcW w:w="1262" w:type="dxa"/>
          </w:tcPr>
          <w:p w14:paraId="222CF8B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3.8</w:t>
            </w:r>
          </w:p>
        </w:tc>
      </w:tr>
      <w:tr w:rsidR="00FC0D42" w:rsidRPr="005B0796" w14:paraId="287407E1"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5FA75B7"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14:paraId="5482DEE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433</w:t>
            </w:r>
          </w:p>
        </w:tc>
        <w:tc>
          <w:tcPr>
            <w:tcW w:w="1262" w:type="dxa"/>
          </w:tcPr>
          <w:p w14:paraId="3BAEDDB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57</w:t>
            </w:r>
          </w:p>
        </w:tc>
        <w:tc>
          <w:tcPr>
            <w:tcW w:w="1262" w:type="dxa"/>
          </w:tcPr>
          <w:p w14:paraId="3E7CE1D1"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13.2</w:t>
            </w:r>
          </w:p>
        </w:tc>
        <w:tc>
          <w:tcPr>
            <w:tcW w:w="1262" w:type="dxa"/>
          </w:tcPr>
          <w:p w14:paraId="57EFE01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7.6</w:t>
            </w:r>
          </w:p>
        </w:tc>
      </w:tr>
      <w:tr w:rsidR="00FC0D42" w:rsidRPr="005B0796" w14:paraId="5C586667" w14:textId="77777777" w:rsidTr="009919A9">
        <w:trPr>
          <w:cantSplit/>
        </w:trPr>
        <w:tc>
          <w:tcPr>
            <w:tcW w:w="2268" w:type="dxa"/>
          </w:tcPr>
          <w:p w14:paraId="065F077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14:paraId="06AD8FE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320</w:t>
            </w:r>
          </w:p>
        </w:tc>
        <w:tc>
          <w:tcPr>
            <w:tcW w:w="1262" w:type="dxa"/>
          </w:tcPr>
          <w:p w14:paraId="4B769BE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75</w:t>
            </w:r>
          </w:p>
        </w:tc>
        <w:tc>
          <w:tcPr>
            <w:tcW w:w="1262" w:type="dxa"/>
          </w:tcPr>
          <w:p w14:paraId="20481150"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23.4</w:t>
            </w:r>
          </w:p>
        </w:tc>
        <w:tc>
          <w:tcPr>
            <w:tcW w:w="1262" w:type="dxa"/>
          </w:tcPr>
          <w:p w14:paraId="07CCF17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4.3</w:t>
            </w:r>
          </w:p>
        </w:tc>
      </w:tr>
      <w:tr w:rsidR="00FC0D42" w:rsidRPr="005B0796" w14:paraId="13659D46"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465D672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 xml:space="preserve">Male | Other Rank | unfit | Navy </w:t>
            </w:r>
          </w:p>
        </w:tc>
        <w:tc>
          <w:tcPr>
            <w:tcW w:w="1261" w:type="dxa"/>
          </w:tcPr>
          <w:p w14:paraId="084AB53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39</w:t>
            </w:r>
          </w:p>
        </w:tc>
        <w:tc>
          <w:tcPr>
            <w:tcW w:w="1262" w:type="dxa"/>
          </w:tcPr>
          <w:p w14:paraId="35177A8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11</w:t>
            </w:r>
          </w:p>
        </w:tc>
        <w:tc>
          <w:tcPr>
            <w:tcW w:w="1262" w:type="dxa"/>
          </w:tcPr>
          <w:p w14:paraId="60C3EAE0"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28.2</w:t>
            </w:r>
          </w:p>
        </w:tc>
        <w:tc>
          <w:tcPr>
            <w:tcW w:w="1262" w:type="dxa"/>
          </w:tcPr>
          <w:p w14:paraId="571673C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3.5</w:t>
            </w:r>
          </w:p>
        </w:tc>
      </w:tr>
      <w:tr w:rsidR="00FC0D42" w:rsidRPr="005B0796" w14:paraId="22644CE5" w14:textId="77777777" w:rsidTr="009919A9">
        <w:trPr>
          <w:cantSplit/>
        </w:trPr>
        <w:tc>
          <w:tcPr>
            <w:tcW w:w="2268" w:type="dxa"/>
          </w:tcPr>
          <w:p w14:paraId="3C4F4E70"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14:paraId="4980E78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105</w:t>
            </w:r>
          </w:p>
        </w:tc>
        <w:tc>
          <w:tcPr>
            <w:tcW w:w="1262" w:type="dxa"/>
          </w:tcPr>
          <w:p w14:paraId="713EA21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25</w:t>
            </w:r>
          </w:p>
        </w:tc>
        <w:tc>
          <w:tcPr>
            <w:tcW w:w="1262" w:type="dxa"/>
          </w:tcPr>
          <w:p w14:paraId="0ADC74B1"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23.8</w:t>
            </w:r>
          </w:p>
        </w:tc>
        <w:tc>
          <w:tcPr>
            <w:tcW w:w="1262" w:type="dxa"/>
          </w:tcPr>
          <w:p w14:paraId="4675705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4.2</w:t>
            </w:r>
          </w:p>
        </w:tc>
      </w:tr>
      <w:tr w:rsidR="00FC0D42" w:rsidRPr="005B0796" w14:paraId="5330CCA9"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7CE6AE00"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 unfit | Air Force</w:t>
            </w:r>
          </w:p>
        </w:tc>
        <w:tc>
          <w:tcPr>
            <w:tcW w:w="1261" w:type="dxa"/>
          </w:tcPr>
          <w:p w14:paraId="38AE3AC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43</w:t>
            </w:r>
          </w:p>
        </w:tc>
        <w:tc>
          <w:tcPr>
            <w:tcW w:w="1262" w:type="dxa"/>
          </w:tcPr>
          <w:p w14:paraId="0F1192A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13</w:t>
            </w:r>
          </w:p>
        </w:tc>
        <w:tc>
          <w:tcPr>
            <w:tcW w:w="1262" w:type="dxa"/>
          </w:tcPr>
          <w:p w14:paraId="3034BB09"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30.2</w:t>
            </w:r>
          </w:p>
        </w:tc>
        <w:tc>
          <w:tcPr>
            <w:tcW w:w="1262" w:type="dxa"/>
          </w:tcPr>
          <w:p w14:paraId="71F806F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3.3</w:t>
            </w:r>
          </w:p>
        </w:tc>
      </w:tr>
    </w:tbl>
    <w:p w14:paraId="12284471" w14:textId="77777777" w:rsidR="00FC0D42" w:rsidRPr="005B0796" w:rsidRDefault="00FC0D42" w:rsidP="00FC0D42">
      <w:pPr>
        <w:pStyle w:val="TableNotes"/>
      </w:pPr>
    </w:p>
    <w:p w14:paraId="2DD65CBF" w14:textId="77777777" w:rsidR="00FC0D42" w:rsidRPr="005B0796" w:rsidRDefault="00FC0D42" w:rsidP="00FC0D42">
      <w:pPr>
        <w:pStyle w:val="TableName"/>
      </w:pPr>
      <w:bookmarkStart w:id="1558" w:name="_Toc511900514"/>
      <w:bookmarkStart w:id="1559" w:name="_Toc528932390"/>
      <w:bookmarkStart w:id="1560" w:name="_Toc531858069"/>
      <w:r>
        <w:t>Table C.3</w:t>
      </w:r>
      <w:r>
        <w:tab/>
        <w:t>Strata description – n</w:t>
      </w:r>
      <w:r w:rsidRPr="005B0796">
        <w:t>on-MiLHOP Regular ADF</w:t>
      </w:r>
      <w:bookmarkEnd w:id="1558"/>
      <w:bookmarkEnd w:id="1559"/>
      <w:bookmarkEnd w:id="1560"/>
    </w:p>
    <w:tbl>
      <w:tblPr>
        <w:tblStyle w:val="TWRPTable"/>
        <w:tblW w:w="5000" w:type="pct"/>
        <w:tblLayout w:type="fixed"/>
        <w:tblLook w:val="04A0" w:firstRow="1" w:lastRow="0" w:firstColumn="1" w:lastColumn="0" w:noHBand="0" w:noVBand="1"/>
        <w:tblDescription w:val="Table C.3 Strata description – non-MiLHOP Regular ADF"/>
      </w:tblPr>
      <w:tblGrid>
        <w:gridCol w:w="2194"/>
        <w:gridCol w:w="1223"/>
        <w:gridCol w:w="1224"/>
        <w:gridCol w:w="1224"/>
        <w:gridCol w:w="1224"/>
      </w:tblGrid>
      <w:tr w:rsidR="00FC0D42" w:rsidRPr="005B0796" w14:paraId="2BA7178A" w14:textId="77777777" w:rsidTr="00FC0D42">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val="restart"/>
          </w:tcPr>
          <w:p w14:paraId="13B0DFFC" w14:textId="77777777" w:rsidR="00FC0D42" w:rsidRPr="005B0796" w:rsidRDefault="00FC0D42" w:rsidP="009919A9">
            <w:pPr>
              <w:pStyle w:val="TableText"/>
            </w:pPr>
            <w:r w:rsidRPr="005B0796">
              <w:t>Strata</w:t>
            </w:r>
          </w:p>
          <w:p w14:paraId="038D7CCD" w14:textId="77777777" w:rsidR="00FC0D42" w:rsidRPr="005B0796" w:rsidRDefault="00FC0D42" w:rsidP="009919A9">
            <w:pPr>
              <w:pStyle w:val="TableText"/>
            </w:pPr>
            <w:r w:rsidRPr="005B0796">
              <w:rPr>
                <w:rFonts w:eastAsia="Times New Roman"/>
              </w:rPr>
              <w:t>Sex | Rank | Medical fitness | Service</w:t>
            </w:r>
          </w:p>
        </w:tc>
        <w:tc>
          <w:tcPr>
            <w:tcW w:w="5047" w:type="dxa"/>
            <w:gridSpan w:val="4"/>
          </w:tcPr>
          <w:p w14:paraId="65F96511" w14:textId="77777777" w:rsidR="00FC0D42" w:rsidRPr="005B0796" w:rsidRDefault="00FC0D42" w:rsidP="009919A9">
            <w:pPr>
              <w:pStyle w:val="TableText"/>
              <w:jc w:val="center"/>
            </w:pPr>
            <w:r w:rsidRPr="005B0796">
              <w:rPr>
                <w:color w:val="000000" w:themeColor="text1"/>
              </w:rPr>
              <w:t>2015 Regular ADF</w:t>
            </w:r>
          </w:p>
        </w:tc>
      </w:tr>
      <w:tr w:rsidR="00FC0D42" w:rsidRPr="005B0796" w14:paraId="34828889" w14:textId="77777777" w:rsidTr="009919A9">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tcPr>
          <w:p w14:paraId="443EE538" w14:textId="77777777" w:rsidR="00FC0D42" w:rsidRPr="005B0796" w:rsidRDefault="00FC0D42" w:rsidP="009919A9">
            <w:pPr>
              <w:pStyle w:val="TableText"/>
            </w:pPr>
          </w:p>
        </w:tc>
        <w:tc>
          <w:tcPr>
            <w:tcW w:w="1261" w:type="dxa"/>
          </w:tcPr>
          <w:p w14:paraId="3BEC7840" w14:textId="77777777" w:rsidR="00FC0D42" w:rsidRPr="005B0796" w:rsidRDefault="00FC0D42" w:rsidP="009919A9">
            <w:pPr>
              <w:pStyle w:val="TableText"/>
              <w:jc w:val="right"/>
            </w:pPr>
            <w:r w:rsidRPr="005B0796">
              <w:rPr>
                <w:rFonts w:eastAsia="Times New Roman"/>
              </w:rPr>
              <w:t>Population</w:t>
            </w:r>
          </w:p>
        </w:tc>
        <w:tc>
          <w:tcPr>
            <w:tcW w:w="1262" w:type="dxa"/>
          </w:tcPr>
          <w:p w14:paraId="79CE0018" w14:textId="77777777" w:rsidR="00FC0D42" w:rsidRPr="005B0796" w:rsidRDefault="00FC0D42" w:rsidP="009919A9">
            <w:pPr>
              <w:pStyle w:val="TableText"/>
              <w:jc w:val="right"/>
            </w:pPr>
            <w:r w:rsidRPr="005B0796">
              <w:rPr>
                <w:rFonts w:eastAsia="Times New Roman"/>
              </w:rPr>
              <w:t>Responder</w:t>
            </w:r>
          </w:p>
        </w:tc>
        <w:tc>
          <w:tcPr>
            <w:tcW w:w="1262" w:type="dxa"/>
          </w:tcPr>
          <w:p w14:paraId="6EE6988B" w14:textId="77777777" w:rsidR="00FC0D42" w:rsidRPr="005B0796" w:rsidRDefault="00FC0D42" w:rsidP="009919A9">
            <w:pPr>
              <w:pStyle w:val="TableText"/>
              <w:jc w:val="right"/>
            </w:pPr>
            <w:r w:rsidRPr="005B0796">
              <w:rPr>
                <w:rFonts w:eastAsia="Times New Roman"/>
              </w:rPr>
              <w:t>%</w:t>
            </w:r>
          </w:p>
        </w:tc>
        <w:tc>
          <w:tcPr>
            <w:tcW w:w="1262" w:type="dxa"/>
          </w:tcPr>
          <w:p w14:paraId="1F770834" w14:textId="77777777" w:rsidR="00FC0D42" w:rsidRPr="005B0796" w:rsidRDefault="00FC0D42" w:rsidP="009919A9">
            <w:pPr>
              <w:pStyle w:val="TableText"/>
              <w:jc w:val="right"/>
            </w:pPr>
            <w:r w:rsidRPr="005B0796">
              <w:t>No. of persons in population each responder represents</w:t>
            </w:r>
          </w:p>
        </w:tc>
      </w:tr>
      <w:tr w:rsidR="00FC0D42" w:rsidRPr="005B0796" w14:paraId="1387ADDC"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0EBCBADA" w14:textId="77777777" w:rsidR="00FC0D42" w:rsidRPr="005B0796" w:rsidRDefault="00FC0D42" w:rsidP="009919A9">
            <w:pPr>
              <w:pStyle w:val="TableText"/>
              <w:rPr>
                <w:rFonts w:eastAsia="Times New Roman"/>
                <w:b/>
              </w:rPr>
            </w:pPr>
            <w:r w:rsidRPr="005B0796">
              <w:rPr>
                <w:rFonts w:eastAsia="Times New Roman"/>
                <w:b/>
              </w:rPr>
              <w:t>Non-MilHOP</w:t>
            </w:r>
          </w:p>
        </w:tc>
        <w:tc>
          <w:tcPr>
            <w:tcW w:w="1261" w:type="dxa"/>
          </w:tcPr>
          <w:p w14:paraId="7958F0D1" w14:textId="77777777" w:rsidR="00FC0D42" w:rsidRPr="005B0796" w:rsidRDefault="00FC0D42" w:rsidP="009919A9">
            <w:pPr>
              <w:pStyle w:val="TableText"/>
              <w:jc w:val="right"/>
              <w:rPr>
                <w:rFonts w:eastAsia="Times New Roman"/>
              </w:rPr>
            </w:pPr>
          </w:p>
        </w:tc>
        <w:tc>
          <w:tcPr>
            <w:tcW w:w="1262" w:type="dxa"/>
          </w:tcPr>
          <w:p w14:paraId="641B87E5" w14:textId="77777777" w:rsidR="00FC0D42" w:rsidRPr="005B0796" w:rsidRDefault="00FC0D42" w:rsidP="009919A9">
            <w:pPr>
              <w:pStyle w:val="TableText"/>
              <w:jc w:val="right"/>
              <w:rPr>
                <w:rFonts w:eastAsia="Times New Roman"/>
              </w:rPr>
            </w:pPr>
          </w:p>
        </w:tc>
        <w:tc>
          <w:tcPr>
            <w:tcW w:w="1262" w:type="dxa"/>
          </w:tcPr>
          <w:p w14:paraId="0F3953B5" w14:textId="77777777" w:rsidR="00FC0D42" w:rsidRPr="005B0796" w:rsidRDefault="00FC0D42" w:rsidP="009919A9">
            <w:pPr>
              <w:pStyle w:val="TableText"/>
              <w:jc w:val="right"/>
              <w:rPr>
                <w:rFonts w:eastAsia="Times New Roman"/>
              </w:rPr>
            </w:pPr>
          </w:p>
        </w:tc>
        <w:tc>
          <w:tcPr>
            <w:tcW w:w="1262" w:type="dxa"/>
          </w:tcPr>
          <w:p w14:paraId="254CEF5E" w14:textId="77777777" w:rsidR="00FC0D42" w:rsidRPr="005B0796" w:rsidRDefault="00FC0D42" w:rsidP="009919A9">
            <w:pPr>
              <w:pStyle w:val="TableText"/>
              <w:jc w:val="right"/>
              <w:rPr>
                <w:rFonts w:eastAsia="Times New Roman"/>
              </w:rPr>
            </w:pPr>
          </w:p>
        </w:tc>
      </w:tr>
      <w:tr w:rsidR="00FC0D42" w:rsidRPr="005B0796" w14:paraId="3717F766" w14:textId="77777777" w:rsidTr="009919A9">
        <w:trPr>
          <w:cantSplit/>
        </w:trPr>
        <w:tc>
          <w:tcPr>
            <w:tcW w:w="2268" w:type="dxa"/>
          </w:tcPr>
          <w:p w14:paraId="57259A0D" w14:textId="77777777" w:rsidR="00FC0D42" w:rsidRPr="005B0796" w:rsidRDefault="00FC0D42" w:rsidP="009919A9">
            <w:pPr>
              <w:pStyle w:val="TableText"/>
              <w:rPr>
                <w:rFonts w:eastAsia="Times New Roman"/>
              </w:rPr>
            </w:pPr>
            <w:r w:rsidRPr="005B0796">
              <w:rPr>
                <w:rFonts w:eastAsia="Times New Roman"/>
              </w:rPr>
              <w:t>Female | OFFR | fit | Navy</w:t>
            </w:r>
          </w:p>
        </w:tc>
        <w:tc>
          <w:tcPr>
            <w:tcW w:w="1261" w:type="dxa"/>
          </w:tcPr>
          <w:p w14:paraId="5893C95A" w14:textId="77777777" w:rsidR="00FC0D42" w:rsidRPr="005B0796" w:rsidRDefault="00FC0D42" w:rsidP="009919A9">
            <w:pPr>
              <w:pStyle w:val="TableText"/>
              <w:jc w:val="right"/>
              <w:rPr>
                <w:rFonts w:eastAsia="Times New Roman"/>
              </w:rPr>
            </w:pPr>
            <w:r w:rsidRPr="005B0796">
              <w:rPr>
                <w:rFonts w:eastAsia="Times New Roman"/>
              </w:rPr>
              <w:t>305</w:t>
            </w:r>
          </w:p>
        </w:tc>
        <w:tc>
          <w:tcPr>
            <w:tcW w:w="1262" w:type="dxa"/>
          </w:tcPr>
          <w:p w14:paraId="38A0595D" w14:textId="77777777" w:rsidR="00FC0D42" w:rsidRPr="005B0796" w:rsidRDefault="00FC0D42" w:rsidP="009919A9">
            <w:pPr>
              <w:pStyle w:val="TableText"/>
              <w:jc w:val="right"/>
              <w:rPr>
                <w:rFonts w:eastAsia="Times New Roman"/>
              </w:rPr>
            </w:pPr>
            <w:r w:rsidRPr="005B0796">
              <w:rPr>
                <w:rFonts w:eastAsia="Times New Roman"/>
              </w:rPr>
              <w:t>114</w:t>
            </w:r>
          </w:p>
        </w:tc>
        <w:tc>
          <w:tcPr>
            <w:tcW w:w="1262" w:type="dxa"/>
          </w:tcPr>
          <w:p w14:paraId="7A910C30" w14:textId="77777777" w:rsidR="00FC0D42" w:rsidRPr="005B0796" w:rsidRDefault="00FC0D42" w:rsidP="009919A9">
            <w:pPr>
              <w:pStyle w:val="TableText"/>
              <w:jc w:val="right"/>
            </w:pPr>
            <w:r w:rsidRPr="005B0796">
              <w:rPr>
                <w:rFonts w:eastAsia="Times New Roman"/>
              </w:rPr>
              <w:t>37.4</w:t>
            </w:r>
          </w:p>
        </w:tc>
        <w:tc>
          <w:tcPr>
            <w:tcW w:w="1262" w:type="dxa"/>
          </w:tcPr>
          <w:p w14:paraId="298D919D" w14:textId="77777777" w:rsidR="00FC0D42" w:rsidRPr="005B0796" w:rsidRDefault="00FC0D42" w:rsidP="009919A9">
            <w:pPr>
              <w:pStyle w:val="TableText"/>
              <w:jc w:val="right"/>
              <w:rPr>
                <w:rFonts w:eastAsia="Times New Roman"/>
              </w:rPr>
            </w:pPr>
            <w:r w:rsidRPr="005B0796">
              <w:rPr>
                <w:rFonts w:eastAsia="Times New Roman"/>
              </w:rPr>
              <w:t>2.7</w:t>
            </w:r>
          </w:p>
        </w:tc>
      </w:tr>
      <w:tr w:rsidR="00FC0D42" w:rsidRPr="005B0796" w14:paraId="118134C9"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2D7AC2D9" w14:textId="77777777" w:rsidR="00FC0D42" w:rsidRPr="005B0796" w:rsidRDefault="00FC0D42" w:rsidP="009919A9">
            <w:pPr>
              <w:pStyle w:val="TableText"/>
              <w:rPr>
                <w:rFonts w:eastAsia="Times New Roman"/>
                <w:lang w:eastAsia="en-GB"/>
              </w:rPr>
            </w:pPr>
            <w:r w:rsidRPr="005B0796">
              <w:rPr>
                <w:rFonts w:eastAsia="Times New Roman"/>
              </w:rPr>
              <w:t>Female | OFFR | fit | Army</w:t>
            </w:r>
          </w:p>
        </w:tc>
        <w:tc>
          <w:tcPr>
            <w:tcW w:w="1261" w:type="dxa"/>
          </w:tcPr>
          <w:p w14:paraId="5991BA8C" w14:textId="77777777" w:rsidR="00FC0D42" w:rsidRPr="005B0796" w:rsidRDefault="00FC0D42" w:rsidP="009919A9">
            <w:pPr>
              <w:pStyle w:val="TableText"/>
              <w:jc w:val="right"/>
              <w:rPr>
                <w:rFonts w:eastAsia="Times New Roman"/>
                <w:lang w:eastAsia="en-GB"/>
              </w:rPr>
            </w:pPr>
            <w:r w:rsidRPr="005B0796">
              <w:rPr>
                <w:rFonts w:eastAsia="Times New Roman"/>
              </w:rPr>
              <w:t>374</w:t>
            </w:r>
          </w:p>
        </w:tc>
        <w:tc>
          <w:tcPr>
            <w:tcW w:w="1262" w:type="dxa"/>
          </w:tcPr>
          <w:p w14:paraId="46AE8425" w14:textId="77777777" w:rsidR="00FC0D42" w:rsidRPr="005B0796" w:rsidRDefault="00FC0D42" w:rsidP="009919A9">
            <w:pPr>
              <w:pStyle w:val="TableText"/>
              <w:jc w:val="right"/>
              <w:rPr>
                <w:rFonts w:eastAsia="Times New Roman"/>
              </w:rPr>
            </w:pPr>
            <w:r w:rsidRPr="005B0796">
              <w:rPr>
                <w:rFonts w:eastAsia="Times New Roman"/>
              </w:rPr>
              <w:t>112</w:t>
            </w:r>
          </w:p>
        </w:tc>
        <w:tc>
          <w:tcPr>
            <w:tcW w:w="1262" w:type="dxa"/>
          </w:tcPr>
          <w:p w14:paraId="30105FE0" w14:textId="77777777" w:rsidR="00FC0D42" w:rsidRPr="005B0796" w:rsidRDefault="00FC0D42" w:rsidP="009919A9">
            <w:pPr>
              <w:pStyle w:val="TableText"/>
              <w:jc w:val="right"/>
            </w:pPr>
            <w:r w:rsidRPr="005B0796">
              <w:rPr>
                <w:rFonts w:eastAsia="Times New Roman"/>
              </w:rPr>
              <w:t xml:space="preserve"> 29.9</w:t>
            </w:r>
          </w:p>
        </w:tc>
        <w:tc>
          <w:tcPr>
            <w:tcW w:w="1262" w:type="dxa"/>
          </w:tcPr>
          <w:p w14:paraId="7F3AE572" w14:textId="77777777" w:rsidR="00FC0D42" w:rsidRPr="005B0796" w:rsidRDefault="00FC0D42" w:rsidP="009919A9">
            <w:pPr>
              <w:pStyle w:val="TableText"/>
              <w:jc w:val="right"/>
              <w:rPr>
                <w:rFonts w:eastAsia="Times New Roman"/>
              </w:rPr>
            </w:pPr>
            <w:r w:rsidRPr="005B0796">
              <w:rPr>
                <w:rFonts w:eastAsia="Times New Roman"/>
              </w:rPr>
              <w:t xml:space="preserve"> 3.3</w:t>
            </w:r>
          </w:p>
        </w:tc>
      </w:tr>
      <w:tr w:rsidR="00FC0D42" w:rsidRPr="005B0796" w14:paraId="5E04EBD2" w14:textId="77777777" w:rsidTr="009919A9">
        <w:trPr>
          <w:cantSplit/>
        </w:trPr>
        <w:tc>
          <w:tcPr>
            <w:tcW w:w="2268" w:type="dxa"/>
          </w:tcPr>
          <w:p w14:paraId="24D2CBED" w14:textId="77777777" w:rsidR="00FC0D42" w:rsidRPr="005B0796" w:rsidRDefault="00FC0D42" w:rsidP="009919A9">
            <w:pPr>
              <w:pStyle w:val="TableText"/>
              <w:rPr>
                <w:rFonts w:eastAsia="Times New Roman"/>
              </w:rPr>
            </w:pPr>
            <w:r w:rsidRPr="005B0796">
              <w:rPr>
                <w:rFonts w:eastAsia="Times New Roman"/>
              </w:rPr>
              <w:t>Female | OFFR | fit | Air Force</w:t>
            </w:r>
          </w:p>
        </w:tc>
        <w:tc>
          <w:tcPr>
            <w:tcW w:w="1261" w:type="dxa"/>
          </w:tcPr>
          <w:p w14:paraId="45E612D2" w14:textId="77777777" w:rsidR="00FC0D42" w:rsidRPr="005B0796" w:rsidRDefault="00FC0D42" w:rsidP="009919A9">
            <w:pPr>
              <w:pStyle w:val="TableText"/>
              <w:jc w:val="right"/>
              <w:rPr>
                <w:rFonts w:eastAsia="Times New Roman"/>
              </w:rPr>
            </w:pPr>
            <w:r w:rsidRPr="005B0796">
              <w:rPr>
                <w:rFonts w:eastAsia="Times New Roman"/>
              </w:rPr>
              <w:t>406</w:t>
            </w:r>
          </w:p>
        </w:tc>
        <w:tc>
          <w:tcPr>
            <w:tcW w:w="1262" w:type="dxa"/>
          </w:tcPr>
          <w:p w14:paraId="266CE652" w14:textId="77777777" w:rsidR="00FC0D42" w:rsidRPr="005B0796" w:rsidRDefault="00FC0D42" w:rsidP="009919A9">
            <w:pPr>
              <w:pStyle w:val="TableText"/>
              <w:jc w:val="right"/>
              <w:rPr>
                <w:rFonts w:eastAsia="Times New Roman"/>
              </w:rPr>
            </w:pPr>
            <w:r w:rsidRPr="005B0796">
              <w:rPr>
                <w:rFonts w:eastAsia="Times New Roman"/>
              </w:rPr>
              <w:t>139</w:t>
            </w:r>
          </w:p>
        </w:tc>
        <w:tc>
          <w:tcPr>
            <w:tcW w:w="1262" w:type="dxa"/>
          </w:tcPr>
          <w:p w14:paraId="3ACC9E13" w14:textId="77777777" w:rsidR="00FC0D42" w:rsidRPr="005B0796" w:rsidRDefault="00FC0D42" w:rsidP="009919A9">
            <w:pPr>
              <w:pStyle w:val="TableText"/>
              <w:jc w:val="right"/>
            </w:pPr>
            <w:r w:rsidRPr="005B0796">
              <w:rPr>
                <w:rFonts w:eastAsia="Times New Roman"/>
              </w:rPr>
              <w:t>34.2</w:t>
            </w:r>
          </w:p>
        </w:tc>
        <w:tc>
          <w:tcPr>
            <w:tcW w:w="1262" w:type="dxa"/>
          </w:tcPr>
          <w:p w14:paraId="56D900EA" w14:textId="77777777" w:rsidR="00FC0D42" w:rsidRPr="005B0796" w:rsidRDefault="00FC0D42" w:rsidP="009919A9">
            <w:pPr>
              <w:pStyle w:val="TableText"/>
              <w:jc w:val="right"/>
              <w:rPr>
                <w:rFonts w:eastAsia="Times New Roman"/>
              </w:rPr>
            </w:pPr>
            <w:r w:rsidRPr="005B0796">
              <w:rPr>
                <w:rFonts w:eastAsia="Times New Roman"/>
              </w:rPr>
              <w:t>2.9</w:t>
            </w:r>
          </w:p>
        </w:tc>
      </w:tr>
      <w:tr w:rsidR="00FC0D42" w:rsidRPr="005B0796" w14:paraId="0E876998"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7DD7B6D2" w14:textId="77777777" w:rsidR="00FC0D42" w:rsidRPr="005B0796" w:rsidRDefault="00FC0D42" w:rsidP="009919A9">
            <w:pPr>
              <w:pStyle w:val="TableText"/>
              <w:rPr>
                <w:rFonts w:eastAsia="Times New Roman"/>
              </w:rPr>
            </w:pPr>
            <w:r w:rsidRPr="005B0796">
              <w:rPr>
                <w:rFonts w:eastAsia="Times New Roman"/>
              </w:rPr>
              <w:t>Female | OFFR | unfit | Navy</w:t>
            </w:r>
          </w:p>
        </w:tc>
        <w:tc>
          <w:tcPr>
            <w:tcW w:w="1261" w:type="dxa"/>
          </w:tcPr>
          <w:p w14:paraId="578D86D5" w14:textId="77777777" w:rsidR="00FC0D42" w:rsidRPr="005B0796" w:rsidRDefault="00FC0D42" w:rsidP="009919A9">
            <w:pPr>
              <w:pStyle w:val="TableText"/>
              <w:jc w:val="right"/>
              <w:rPr>
                <w:rFonts w:eastAsia="Times New Roman"/>
              </w:rPr>
            </w:pPr>
            <w:r w:rsidRPr="005B0796">
              <w:rPr>
                <w:rFonts w:eastAsia="Times New Roman"/>
              </w:rPr>
              <w:t>66</w:t>
            </w:r>
          </w:p>
        </w:tc>
        <w:tc>
          <w:tcPr>
            <w:tcW w:w="1262" w:type="dxa"/>
          </w:tcPr>
          <w:p w14:paraId="6B7A6C9F" w14:textId="77777777" w:rsidR="00FC0D42" w:rsidRPr="005B0796" w:rsidRDefault="00FC0D42" w:rsidP="009919A9">
            <w:pPr>
              <w:pStyle w:val="TableText"/>
              <w:jc w:val="right"/>
              <w:rPr>
                <w:rFonts w:eastAsia="Times New Roman"/>
              </w:rPr>
            </w:pPr>
            <w:r w:rsidRPr="005B0796">
              <w:rPr>
                <w:rFonts w:eastAsia="Times New Roman"/>
              </w:rPr>
              <w:t>23</w:t>
            </w:r>
          </w:p>
        </w:tc>
        <w:tc>
          <w:tcPr>
            <w:tcW w:w="1262" w:type="dxa"/>
          </w:tcPr>
          <w:p w14:paraId="52A60865" w14:textId="77777777" w:rsidR="00FC0D42" w:rsidRPr="005B0796" w:rsidRDefault="00FC0D42" w:rsidP="009919A9">
            <w:pPr>
              <w:pStyle w:val="TableText"/>
              <w:jc w:val="right"/>
            </w:pPr>
            <w:r w:rsidRPr="005B0796">
              <w:rPr>
                <w:rFonts w:eastAsia="Times New Roman"/>
              </w:rPr>
              <w:t>34.8</w:t>
            </w:r>
          </w:p>
        </w:tc>
        <w:tc>
          <w:tcPr>
            <w:tcW w:w="1262" w:type="dxa"/>
          </w:tcPr>
          <w:p w14:paraId="469CF59D" w14:textId="77777777" w:rsidR="00FC0D42" w:rsidRPr="005B0796" w:rsidRDefault="00FC0D42" w:rsidP="009919A9">
            <w:pPr>
              <w:pStyle w:val="TableText"/>
              <w:jc w:val="right"/>
              <w:rPr>
                <w:rFonts w:eastAsia="Times New Roman"/>
              </w:rPr>
            </w:pPr>
            <w:r w:rsidRPr="005B0796">
              <w:rPr>
                <w:rFonts w:eastAsia="Times New Roman"/>
              </w:rPr>
              <w:t>2.9</w:t>
            </w:r>
          </w:p>
        </w:tc>
      </w:tr>
      <w:tr w:rsidR="00FC0D42" w:rsidRPr="005B0796" w14:paraId="639150EB" w14:textId="77777777" w:rsidTr="009919A9">
        <w:trPr>
          <w:cantSplit/>
        </w:trPr>
        <w:tc>
          <w:tcPr>
            <w:tcW w:w="2268" w:type="dxa"/>
          </w:tcPr>
          <w:p w14:paraId="7BEAB2B9" w14:textId="77777777" w:rsidR="00FC0D42" w:rsidRPr="005B0796" w:rsidRDefault="00FC0D42" w:rsidP="009919A9">
            <w:pPr>
              <w:pStyle w:val="TableText"/>
              <w:rPr>
                <w:rFonts w:eastAsia="Times New Roman"/>
              </w:rPr>
            </w:pPr>
            <w:r w:rsidRPr="005B0796">
              <w:rPr>
                <w:rFonts w:eastAsia="Times New Roman"/>
              </w:rPr>
              <w:t>Female | OFFR | unfit | Army</w:t>
            </w:r>
          </w:p>
        </w:tc>
        <w:tc>
          <w:tcPr>
            <w:tcW w:w="1261" w:type="dxa"/>
          </w:tcPr>
          <w:p w14:paraId="75D7607C" w14:textId="77777777" w:rsidR="00FC0D42" w:rsidRPr="005B0796" w:rsidRDefault="00FC0D42" w:rsidP="009919A9">
            <w:pPr>
              <w:pStyle w:val="TableText"/>
              <w:jc w:val="right"/>
              <w:rPr>
                <w:rFonts w:eastAsia="Times New Roman"/>
              </w:rPr>
            </w:pPr>
            <w:r w:rsidRPr="005B0796">
              <w:rPr>
                <w:rFonts w:eastAsia="Times New Roman"/>
              </w:rPr>
              <w:t>87</w:t>
            </w:r>
          </w:p>
        </w:tc>
        <w:tc>
          <w:tcPr>
            <w:tcW w:w="1262" w:type="dxa"/>
          </w:tcPr>
          <w:p w14:paraId="629D69DC" w14:textId="77777777" w:rsidR="00FC0D42" w:rsidRPr="005B0796" w:rsidRDefault="00FC0D42" w:rsidP="009919A9">
            <w:pPr>
              <w:pStyle w:val="TableText"/>
              <w:jc w:val="right"/>
              <w:rPr>
                <w:rFonts w:eastAsia="Times New Roman"/>
              </w:rPr>
            </w:pPr>
            <w:r w:rsidRPr="005B0796">
              <w:rPr>
                <w:rFonts w:eastAsia="Times New Roman"/>
              </w:rPr>
              <w:t>31</w:t>
            </w:r>
          </w:p>
        </w:tc>
        <w:tc>
          <w:tcPr>
            <w:tcW w:w="1262" w:type="dxa"/>
          </w:tcPr>
          <w:p w14:paraId="4BF2FDA7" w14:textId="77777777" w:rsidR="00FC0D42" w:rsidRPr="005B0796" w:rsidRDefault="00FC0D42" w:rsidP="009919A9">
            <w:pPr>
              <w:pStyle w:val="TableText"/>
              <w:jc w:val="right"/>
            </w:pPr>
            <w:r w:rsidRPr="005B0796">
              <w:rPr>
                <w:rFonts w:eastAsia="Times New Roman"/>
              </w:rPr>
              <w:t>35.6</w:t>
            </w:r>
          </w:p>
        </w:tc>
        <w:tc>
          <w:tcPr>
            <w:tcW w:w="1262" w:type="dxa"/>
          </w:tcPr>
          <w:p w14:paraId="43F9DC9D" w14:textId="77777777" w:rsidR="00FC0D42" w:rsidRPr="005B0796" w:rsidRDefault="00FC0D42" w:rsidP="009919A9">
            <w:pPr>
              <w:pStyle w:val="TableText"/>
              <w:jc w:val="right"/>
              <w:rPr>
                <w:rFonts w:eastAsia="Times New Roman"/>
              </w:rPr>
            </w:pPr>
            <w:r w:rsidRPr="005B0796">
              <w:rPr>
                <w:rFonts w:eastAsia="Times New Roman"/>
              </w:rPr>
              <w:t>2.8</w:t>
            </w:r>
          </w:p>
        </w:tc>
      </w:tr>
      <w:tr w:rsidR="00FC0D42" w:rsidRPr="005B0796" w14:paraId="5A3A1276"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8DA3810" w14:textId="77777777" w:rsidR="00FC0D42" w:rsidRPr="005B0796" w:rsidRDefault="00FC0D42" w:rsidP="009919A9">
            <w:pPr>
              <w:pStyle w:val="TableText"/>
              <w:rPr>
                <w:rFonts w:eastAsia="Times New Roman"/>
              </w:rPr>
            </w:pPr>
            <w:r w:rsidRPr="005B0796">
              <w:rPr>
                <w:rFonts w:eastAsia="Times New Roman"/>
              </w:rPr>
              <w:t>Female | OFFR | unfit | Air Force</w:t>
            </w:r>
          </w:p>
        </w:tc>
        <w:tc>
          <w:tcPr>
            <w:tcW w:w="1261" w:type="dxa"/>
          </w:tcPr>
          <w:p w14:paraId="46A59ED8" w14:textId="77777777" w:rsidR="00FC0D42" w:rsidRPr="005B0796" w:rsidRDefault="00FC0D42" w:rsidP="00FC0D42">
            <w:pPr>
              <w:pStyle w:val="TableText"/>
              <w:jc w:val="right"/>
            </w:pPr>
            <w:r w:rsidRPr="005B0796">
              <w:t>70</w:t>
            </w:r>
          </w:p>
        </w:tc>
        <w:tc>
          <w:tcPr>
            <w:tcW w:w="1262" w:type="dxa"/>
          </w:tcPr>
          <w:p w14:paraId="5ACBA6EC" w14:textId="77777777" w:rsidR="00FC0D42" w:rsidRPr="005B0796" w:rsidRDefault="00FC0D42" w:rsidP="009919A9">
            <w:pPr>
              <w:pStyle w:val="TableText"/>
              <w:jc w:val="right"/>
              <w:rPr>
                <w:rFonts w:eastAsia="Times New Roman"/>
              </w:rPr>
            </w:pPr>
            <w:r w:rsidRPr="005B0796">
              <w:rPr>
                <w:rFonts w:eastAsia="Times New Roman"/>
              </w:rPr>
              <w:t>28</w:t>
            </w:r>
          </w:p>
        </w:tc>
        <w:tc>
          <w:tcPr>
            <w:tcW w:w="1262" w:type="dxa"/>
          </w:tcPr>
          <w:p w14:paraId="51CF9F7F" w14:textId="77777777" w:rsidR="00FC0D42" w:rsidRPr="005B0796" w:rsidRDefault="00FC0D42" w:rsidP="009919A9">
            <w:pPr>
              <w:pStyle w:val="TableText"/>
              <w:jc w:val="right"/>
            </w:pPr>
            <w:r w:rsidRPr="005B0796">
              <w:rPr>
                <w:rFonts w:eastAsia="Times New Roman"/>
              </w:rPr>
              <w:t>40.0</w:t>
            </w:r>
          </w:p>
        </w:tc>
        <w:tc>
          <w:tcPr>
            <w:tcW w:w="1262" w:type="dxa"/>
          </w:tcPr>
          <w:p w14:paraId="2526BD54" w14:textId="77777777" w:rsidR="00FC0D42" w:rsidRPr="005B0796" w:rsidRDefault="00FC0D42" w:rsidP="009919A9">
            <w:pPr>
              <w:pStyle w:val="TableText"/>
              <w:jc w:val="right"/>
              <w:rPr>
                <w:rFonts w:eastAsia="Times New Roman"/>
              </w:rPr>
            </w:pPr>
            <w:r w:rsidRPr="005B0796">
              <w:rPr>
                <w:rFonts w:eastAsia="Times New Roman"/>
              </w:rPr>
              <w:t>2.5</w:t>
            </w:r>
          </w:p>
        </w:tc>
      </w:tr>
      <w:tr w:rsidR="00FC0D42" w:rsidRPr="005B0796" w14:paraId="442831F2" w14:textId="77777777" w:rsidTr="009919A9">
        <w:trPr>
          <w:cantSplit/>
        </w:trPr>
        <w:tc>
          <w:tcPr>
            <w:tcW w:w="2268" w:type="dxa"/>
          </w:tcPr>
          <w:p w14:paraId="00E315A2" w14:textId="77777777" w:rsidR="00FC0D42" w:rsidRPr="005B0796" w:rsidRDefault="00FC0D42" w:rsidP="009919A9">
            <w:pPr>
              <w:pStyle w:val="TableText"/>
              <w:rPr>
                <w:rFonts w:eastAsia="Times New Roman"/>
              </w:rPr>
            </w:pPr>
            <w:r w:rsidRPr="005B0796">
              <w:rPr>
                <w:rFonts w:eastAsia="Times New Roman"/>
              </w:rPr>
              <w:t>Female | NCO | fit | Navy</w:t>
            </w:r>
          </w:p>
        </w:tc>
        <w:tc>
          <w:tcPr>
            <w:tcW w:w="1261" w:type="dxa"/>
          </w:tcPr>
          <w:p w14:paraId="22C19662" w14:textId="77777777" w:rsidR="00FC0D42" w:rsidRPr="005B0796" w:rsidRDefault="00FC0D42" w:rsidP="009919A9">
            <w:pPr>
              <w:pStyle w:val="TableText"/>
              <w:jc w:val="right"/>
              <w:rPr>
                <w:rFonts w:eastAsia="Times New Roman"/>
              </w:rPr>
            </w:pPr>
            <w:r w:rsidRPr="005B0796">
              <w:rPr>
                <w:rFonts w:eastAsia="Times New Roman"/>
              </w:rPr>
              <w:t>120</w:t>
            </w:r>
          </w:p>
        </w:tc>
        <w:tc>
          <w:tcPr>
            <w:tcW w:w="1262" w:type="dxa"/>
          </w:tcPr>
          <w:p w14:paraId="77B2FFB9" w14:textId="77777777" w:rsidR="00FC0D42" w:rsidRPr="005B0796" w:rsidRDefault="00FC0D42" w:rsidP="009919A9">
            <w:pPr>
              <w:pStyle w:val="TableText"/>
              <w:jc w:val="right"/>
              <w:rPr>
                <w:rFonts w:eastAsia="Times New Roman"/>
              </w:rPr>
            </w:pPr>
            <w:r w:rsidRPr="005B0796">
              <w:rPr>
                <w:rFonts w:eastAsia="Times New Roman"/>
              </w:rPr>
              <w:t>50</w:t>
            </w:r>
          </w:p>
        </w:tc>
        <w:tc>
          <w:tcPr>
            <w:tcW w:w="1262" w:type="dxa"/>
          </w:tcPr>
          <w:p w14:paraId="2909448C" w14:textId="77777777" w:rsidR="00FC0D42" w:rsidRPr="005B0796" w:rsidRDefault="00FC0D42" w:rsidP="009919A9">
            <w:pPr>
              <w:pStyle w:val="TableText"/>
              <w:jc w:val="right"/>
            </w:pPr>
            <w:r w:rsidRPr="005B0796">
              <w:rPr>
                <w:rFonts w:eastAsia="Times New Roman"/>
              </w:rPr>
              <w:t>41.7</w:t>
            </w:r>
          </w:p>
        </w:tc>
        <w:tc>
          <w:tcPr>
            <w:tcW w:w="1262" w:type="dxa"/>
          </w:tcPr>
          <w:p w14:paraId="6397731E" w14:textId="77777777" w:rsidR="00FC0D42" w:rsidRPr="005B0796" w:rsidRDefault="00FC0D42" w:rsidP="009919A9">
            <w:pPr>
              <w:pStyle w:val="TableText"/>
              <w:jc w:val="right"/>
              <w:rPr>
                <w:rFonts w:eastAsia="Times New Roman"/>
              </w:rPr>
            </w:pPr>
            <w:r w:rsidRPr="005B0796">
              <w:rPr>
                <w:rFonts w:eastAsia="Times New Roman"/>
              </w:rPr>
              <w:t>2.4</w:t>
            </w:r>
          </w:p>
        </w:tc>
      </w:tr>
      <w:tr w:rsidR="00FC0D42" w:rsidRPr="005B0796" w14:paraId="5B6B173C"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510E7E8" w14:textId="77777777" w:rsidR="00FC0D42" w:rsidRPr="005B0796" w:rsidRDefault="00FC0D42" w:rsidP="009919A9">
            <w:pPr>
              <w:pStyle w:val="TableText"/>
              <w:rPr>
                <w:rFonts w:eastAsia="Times New Roman"/>
              </w:rPr>
            </w:pPr>
            <w:r w:rsidRPr="005B0796">
              <w:rPr>
                <w:rFonts w:eastAsia="Times New Roman"/>
              </w:rPr>
              <w:t>Female | NCO | fit | Army</w:t>
            </w:r>
          </w:p>
        </w:tc>
        <w:tc>
          <w:tcPr>
            <w:tcW w:w="1261" w:type="dxa"/>
          </w:tcPr>
          <w:p w14:paraId="049D84B4" w14:textId="77777777" w:rsidR="00FC0D42" w:rsidRPr="005B0796" w:rsidRDefault="00FC0D42" w:rsidP="009919A9">
            <w:pPr>
              <w:pStyle w:val="TableText"/>
              <w:jc w:val="right"/>
              <w:rPr>
                <w:rFonts w:eastAsia="Times New Roman"/>
              </w:rPr>
            </w:pPr>
            <w:r w:rsidRPr="005B0796">
              <w:rPr>
                <w:rFonts w:eastAsia="Times New Roman"/>
              </w:rPr>
              <w:t>138</w:t>
            </w:r>
          </w:p>
        </w:tc>
        <w:tc>
          <w:tcPr>
            <w:tcW w:w="1262" w:type="dxa"/>
          </w:tcPr>
          <w:p w14:paraId="29F8A391" w14:textId="77777777" w:rsidR="00FC0D42" w:rsidRPr="005B0796" w:rsidRDefault="00FC0D42" w:rsidP="009919A9">
            <w:pPr>
              <w:pStyle w:val="TableText"/>
              <w:jc w:val="right"/>
              <w:rPr>
                <w:rFonts w:eastAsia="Times New Roman"/>
              </w:rPr>
            </w:pPr>
            <w:r w:rsidRPr="005B0796">
              <w:rPr>
                <w:rFonts w:eastAsia="Times New Roman"/>
              </w:rPr>
              <w:t>70</w:t>
            </w:r>
          </w:p>
        </w:tc>
        <w:tc>
          <w:tcPr>
            <w:tcW w:w="1262" w:type="dxa"/>
          </w:tcPr>
          <w:p w14:paraId="42A7B1AA" w14:textId="77777777" w:rsidR="00FC0D42" w:rsidRPr="005B0796" w:rsidRDefault="00FC0D42" w:rsidP="009919A9">
            <w:pPr>
              <w:pStyle w:val="TableText"/>
              <w:jc w:val="right"/>
            </w:pPr>
            <w:r w:rsidRPr="005B0796">
              <w:rPr>
                <w:rFonts w:eastAsia="Times New Roman"/>
              </w:rPr>
              <w:t>50.7</w:t>
            </w:r>
          </w:p>
        </w:tc>
        <w:tc>
          <w:tcPr>
            <w:tcW w:w="1262" w:type="dxa"/>
          </w:tcPr>
          <w:p w14:paraId="3657A53E" w14:textId="77777777" w:rsidR="00FC0D42" w:rsidRPr="005B0796" w:rsidRDefault="00FC0D42" w:rsidP="009919A9">
            <w:pPr>
              <w:pStyle w:val="TableText"/>
              <w:jc w:val="right"/>
              <w:rPr>
                <w:rFonts w:eastAsia="Times New Roman"/>
              </w:rPr>
            </w:pPr>
            <w:r w:rsidRPr="005B0796">
              <w:rPr>
                <w:rFonts w:eastAsia="Times New Roman"/>
              </w:rPr>
              <w:t>2.0</w:t>
            </w:r>
          </w:p>
        </w:tc>
      </w:tr>
      <w:tr w:rsidR="00FC0D42" w:rsidRPr="005B0796" w14:paraId="54FB7230" w14:textId="77777777" w:rsidTr="009919A9">
        <w:trPr>
          <w:cantSplit/>
        </w:trPr>
        <w:tc>
          <w:tcPr>
            <w:tcW w:w="2268" w:type="dxa"/>
          </w:tcPr>
          <w:p w14:paraId="36673F3A" w14:textId="77777777" w:rsidR="00FC0D42" w:rsidRPr="005B0796" w:rsidRDefault="00FC0D42" w:rsidP="009919A9">
            <w:pPr>
              <w:pStyle w:val="TableText"/>
              <w:rPr>
                <w:rFonts w:eastAsia="Times New Roman"/>
              </w:rPr>
            </w:pPr>
            <w:r w:rsidRPr="005B0796">
              <w:rPr>
                <w:rFonts w:eastAsia="Times New Roman"/>
              </w:rPr>
              <w:t>Female | NCO | fit | Air Force</w:t>
            </w:r>
          </w:p>
        </w:tc>
        <w:tc>
          <w:tcPr>
            <w:tcW w:w="1261" w:type="dxa"/>
          </w:tcPr>
          <w:p w14:paraId="31F15329" w14:textId="77777777" w:rsidR="00FC0D42" w:rsidRPr="005B0796" w:rsidRDefault="00FC0D42" w:rsidP="009919A9">
            <w:pPr>
              <w:pStyle w:val="TableText"/>
              <w:jc w:val="right"/>
              <w:rPr>
                <w:rFonts w:eastAsia="Times New Roman"/>
              </w:rPr>
            </w:pPr>
            <w:r w:rsidRPr="005B0796">
              <w:rPr>
                <w:rFonts w:eastAsia="Times New Roman"/>
              </w:rPr>
              <w:t>157</w:t>
            </w:r>
          </w:p>
        </w:tc>
        <w:tc>
          <w:tcPr>
            <w:tcW w:w="1262" w:type="dxa"/>
          </w:tcPr>
          <w:p w14:paraId="1210237D" w14:textId="77777777" w:rsidR="00FC0D42" w:rsidRPr="005B0796" w:rsidRDefault="00FC0D42" w:rsidP="009919A9">
            <w:pPr>
              <w:pStyle w:val="TableText"/>
              <w:jc w:val="right"/>
              <w:rPr>
                <w:rFonts w:eastAsia="Times New Roman"/>
              </w:rPr>
            </w:pPr>
            <w:r w:rsidRPr="005B0796">
              <w:rPr>
                <w:rFonts w:eastAsia="Times New Roman"/>
              </w:rPr>
              <w:t>79</w:t>
            </w:r>
          </w:p>
        </w:tc>
        <w:tc>
          <w:tcPr>
            <w:tcW w:w="1262" w:type="dxa"/>
          </w:tcPr>
          <w:p w14:paraId="102E32DA" w14:textId="77777777" w:rsidR="00FC0D42" w:rsidRPr="005B0796" w:rsidRDefault="00FC0D42" w:rsidP="009919A9">
            <w:pPr>
              <w:pStyle w:val="TableText"/>
              <w:jc w:val="right"/>
            </w:pPr>
            <w:r w:rsidRPr="005B0796">
              <w:rPr>
                <w:rFonts w:eastAsia="Times New Roman"/>
              </w:rPr>
              <w:t>50.3</w:t>
            </w:r>
          </w:p>
        </w:tc>
        <w:tc>
          <w:tcPr>
            <w:tcW w:w="1262" w:type="dxa"/>
          </w:tcPr>
          <w:p w14:paraId="576190C3" w14:textId="77777777" w:rsidR="00FC0D42" w:rsidRPr="005B0796" w:rsidRDefault="00FC0D42" w:rsidP="009919A9">
            <w:pPr>
              <w:pStyle w:val="TableText"/>
              <w:jc w:val="right"/>
              <w:rPr>
                <w:rFonts w:eastAsia="Times New Roman"/>
              </w:rPr>
            </w:pPr>
            <w:r w:rsidRPr="005B0796">
              <w:rPr>
                <w:rFonts w:eastAsia="Times New Roman"/>
              </w:rPr>
              <w:t>2.0</w:t>
            </w:r>
          </w:p>
        </w:tc>
      </w:tr>
      <w:tr w:rsidR="00FC0D42" w:rsidRPr="005B0796" w14:paraId="2ABA6B49"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4D58841D"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14:paraId="57D11CDB" w14:textId="77777777" w:rsidR="00FC0D42" w:rsidRPr="005B0796" w:rsidRDefault="00FC0D42" w:rsidP="009919A9">
            <w:pPr>
              <w:pStyle w:val="TableText"/>
              <w:jc w:val="right"/>
              <w:rPr>
                <w:rFonts w:eastAsia="Times New Roman"/>
                <w:color w:val="000000" w:themeColor="text1"/>
              </w:rPr>
            </w:pPr>
            <w:r w:rsidRPr="005B0796">
              <w:rPr>
                <w:rFonts w:eastAsia="Times New Roman"/>
              </w:rPr>
              <w:t>48</w:t>
            </w:r>
          </w:p>
        </w:tc>
        <w:tc>
          <w:tcPr>
            <w:tcW w:w="1262" w:type="dxa"/>
          </w:tcPr>
          <w:p w14:paraId="0C4CF2FA" w14:textId="77777777" w:rsidR="00FC0D42" w:rsidRPr="005B0796" w:rsidRDefault="00FC0D42" w:rsidP="009919A9">
            <w:pPr>
              <w:pStyle w:val="TableText"/>
              <w:jc w:val="right"/>
              <w:rPr>
                <w:rFonts w:eastAsia="Times New Roman"/>
                <w:color w:val="000000" w:themeColor="text1"/>
              </w:rPr>
            </w:pPr>
            <w:r w:rsidRPr="005B0796">
              <w:rPr>
                <w:rFonts w:eastAsia="Times New Roman"/>
              </w:rPr>
              <w:t>24</w:t>
            </w:r>
          </w:p>
        </w:tc>
        <w:tc>
          <w:tcPr>
            <w:tcW w:w="1262" w:type="dxa"/>
          </w:tcPr>
          <w:p w14:paraId="7F120622" w14:textId="77777777" w:rsidR="00FC0D42" w:rsidRPr="005B0796" w:rsidRDefault="00FC0D42" w:rsidP="009919A9">
            <w:pPr>
              <w:pStyle w:val="TableText"/>
              <w:jc w:val="right"/>
              <w:rPr>
                <w:color w:val="000000" w:themeColor="text1"/>
              </w:rPr>
            </w:pPr>
            <w:r w:rsidRPr="005B0796">
              <w:rPr>
                <w:rFonts w:eastAsia="Times New Roman"/>
              </w:rPr>
              <w:t>50.0</w:t>
            </w:r>
          </w:p>
        </w:tc>
        <w:tc>
          <w:tcPr>
            <w:tcW w:w="1262" w:type="dxa"/>
          </w:tcPr>
          <w:p w14:paraId="718231B9" w14:textId="77777777" w:rsidR="00FC0D42" w:rsidRPr="005B0796" w:rsidRDefault="00FC0D42" w:rsidP="009919A9">
            <w:pPr>
              <w:pStyle w:val="TableText"/>
              <w:jc w:val="right"/>
              <w:rPr>
                <w:rFonts w:eastAsia="Times New Roman"/>
                <w:color w:val="000000" w:themeColor="text1"/>
              </w:rPr>
            </w:pPr>
            <w:r w:rsidRPr="005B0796">
              <w:rPr>
                <w:rFonts w:eastAsia="Times New Roman"/>
              </w:rPr>
              <w:t>2.0</w:t>
            </w:r>
          </w:p>
        </w:tc>
      </w:tr>
      <w:tr w:rsidR="00FC0D42" w:rsidRPr="005B0796" w14:paraId="11216D63" w14:textId="77777777" w:rsidTr="009919A9">
        <w:trPr>
          <w:cantSplit/>
        </w:trPr>
        <w:tc>
          <w:tcPr>
            <w:tcW w:w="2268" w:type="dxa"/>
          </w:tcPr>
          <w:p w14:paraId="4CB2AAB5" w14:textId="77777777" w:rsidR="00FC0D42" w:rsidRPr="005B0796" w:rsidRDefault="00FC0D42" w:rsidP="009919A9">
            <w:pPr>
              <w:pStyle w:val="TableText"/>
              <w:rPr>
                <w:rFonts w:eastAsia="Times New Roman"/>
              </w:rPr>
            </w:pPr>
            <w:r w:rsidRPr="005B0796">
              <w:rPr>
                <w:rFonts w:eastAsia="Times New Roman"/>
              </w:rPr>
              <w:t>Female | NCO | unfit | Army</w:t>
            </w:r>
          </w:p>
        </w:tc>
        <w:tc>
          <w:tcPr>
            <w:tcW w:w="1261" w:type="dxa"/>
          </w:tcPr>
          <w:p w14:paraId="7D4BBDC3" w14:textId="77777777" w:rsidR="00FC0D42" w:rsidRPr="005B0796" w:rsidRDefault="00FC0D42" w:rsidP="009919A9">
            <w:pPr>
              <w:pStyle w:val="TableText"/>
              <w:jc w:val="right"/>
              <w:rPr>
                <w:rFonts w:eastAsia="Times New Roman"/>
              </w:rPr>
            </w:pPr>
            <w:r w:rsidRPr="005B0796">
              <w:rPr>
                <w:rFonts w:eastAsia="Times New Roman"/>
              </w:rPr>
              <w:t>50</w:t>
            </w:r>
          </w:p>
        </w:tc>
        <w:tc>
          <w:tcPr>
            <w:tcW w:w="1262" w:type="dxa"/>
          </w:tcPr>
          <w:p w14:paraId="5DBBE423" w14:textId="77777777" w:rsidR="00FC0D42" w:rsidRPr="005B0796" w:rsidRDefault="00FC0D42" w:rsidP="009919A9">
            <w:pPr>
              <w:pStyle w:val="TableText"/>
              <w:jc w:val="right"/>
              <w:rPr>
                <w:rFonts w:eastAsia="Times New Roman"/>
              </w:rPr>
            </w:pPr>
            <w:r w:rsidRPr="005B0796">
              <w:rPr>
                <w:rFonts w:eastAsia="Times New Roman"/>
              </w:rPr>
              <w:t>32</w:t>
            </w:r>
          </w:p>
        </w:tc>
        <w:tc>
          <w:tcPr>
            <w:tcW w:w="1262" w:type="dxa"/>
          </w:tcPr>
          <w:p w14:paraId="0C2C0E20" w14:textId="77777777" w:rsidR="00FC0D42" w:rsidRPr="005B0796" w:rsidRDefault="00FC0D42" w:rsidP="009919A9">
            <w:pPr>
              <w:pStyle w:val="TableText"/>
              <w:jc w:val="right"/>
            </w:pPr>
            <w:r w:rsidRPr="005B0796">
              <w:rPr>
                <w:rFonts w:eastAsia="Times New Roman"/>
              </w:rPr>
              <w:t>64.0</w:t>
            </w:r>
          </w:p>
        </w:tc>
        <w:tc>
          <w:tcPr>
            <w:tcW w:w="1262" w:type="dxa"/>
          </w:tcPr>
          <w:p w14:paraId="11269B53" w14:textId="77777777" w:rsidR="00FC0D42" w:rsidRPr="005B0796" w:rsidRDefault="00FC0D42" w:rsidP="009919A9">
            <w:pPr>
              <w:pStyle w:val="TableText"/>
              <w:jc w:val="right"/>
              <w:rPr>
                <w:rFonts w:eastAsia="Times New Roman"/>
              </w:rPr>
            </w:pPr>
            <w:r w:rsidRPr="005B0796">
              <w:rPr>
                <w:rFonts w:eastAsia="Times New Roman"/>
              </w:rPr>
              <w:t>1.6</w:t>
            </w:r>
          </w:p>
        </w:tc>
      </w:tr>
      <w:tr w:rsidR="00FC0D42" w:rsidRPr="005B0796" w14:paraId="13C232E3"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4A6E2536"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14:paraId="7E9675EF" w14:textId="77777777" w:rsidR="00FC0D42" w:rsidRPr="005B0796" w:rsidRDefault="00FC0D42" w:rsidP="009919A9">
            <w:pPr>
              <w:pStyle w:val="TableText"/>
              <w:jc w:val="right"/>
              <w:rPr>
                <w:rFonts w:eastAsia="Times New Roman"/>
                <w:color w:val="000000" w:themeColor="text1"/>
              </w:rPr>
            </w:pPr>
            <w:r w:rsidRPr="005B0796">
              <w:rPr>
                <w:rFonts w:eastAsia="Times New Roman"/>
              </w:rPr>
              <w:t>69</w:t>
            </w:r>
          </w:p>
        </w:tc>
        <w:tc>
          <w:tcPr>
            <w:tcW w:w="1262" w:type="dxa"/>
          </w:tcPr>
          <w:p w14:paraId="6D37528C" w14:textId="77777777" w:rsidR="00FC0D42" w:rsidRPr="005B0796" w:rsidRDefault="00FC0D42" w:rsidP="009919A9">
            <w:pPr>
              <w:pStyle w:val="TableText"/>
              <w:jc w:val="right"/>
              <w:rPr>
                <w:rFonts w:eastAsia="Times New Roman"/>
                <w:color w:val="000000" w:themeColor="text1"/>
              </w:rPr>
            </w:pPr>
            <w:r w:rsidRPr="005B0796">
              <w:rPr>
                <w:rFonts w:eastAsia="Times New Roman"/>
              </w:rPr>
              <w:t>36</w:t>
            </w:r>
          </w:p>
        </w:tc>
        <w:tc>
          <w:tcPr>
            <w:tcW w:w="1262" w:type="dxa"/>
          </w:tcPr>
          <w:p w14:paraId="7E66C775" w14:textId="77777777" w:rsidR="00FC0D42" w:rsidRPr="005B0796" w:rsidRDefault="00FC0D42" w:rsidP="009919A9">
            <w:pPr>
              <w:pStyle w:val="TableText"/>
              <w:jc w:val="right"/>
              <w:rPr>
                <w:color w:val="000000" w:themeColor="text1"/>
              </w:rPr>
            </w:pPr>
            <w:r w:rsidRPr="005B0796">
              <w:rPr>
                <w:rFonts w:eastAsia="Times New Roman"/>
              </w:rPr>
              <w:t>52.2</w:t>
            </w:r>
          </w:p>
        </w:tc>
        <w:tc>
          <w:tcPr>
            <w:tcW w:w="1262" w:type="dxa"/>
          </w:tcPr>
          <w:p w14:paraId="47FEC46C" w14:textId="77777777" w:rsidR="00FC0D42" w:rsidRPr="005B0796" w:rsidRDefault="00FC0D42" w:rsidP="009919A9">
            <w:pPr>
              <w:pStyle w:val="TableText"/>
              <w:jc w:val="right"/>
              <w:rPr>
                <w:rFonts w:eastAsia="Times New Roman"/>
                <w:color w:val="000000" w:themeColor="text1"/>
              </w:rPr>
            </w:pPr>
            <w:r w:rsidRPr="005B0796">
              <w:rPr>
                <w:rFonts w:eastAsia="Times New Roman"/>
              </w:rPr>
              <w:t>1.9</w:t>
            </w:r>
          </w:p>
        </w:tc>
      </w:tr>
      <w:tr w:rsidR="00FC0D42" w:rsidRPr="005B0796" w14:paraId="674639F7" w14:textId="77777777" w:rsidTr="009919A9">
        <w:trPr>
          <w:cantSplit/>
        </w:trPr>
        <w:tc>
          <w:tcPr>
            <w:tcW w:w="2268" w:type="dxa"/>
          </w:tcPr>
          <w:p w14:paraId="1C26E52A"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14:paraId="1B3246AA" w14:textId="77777777" w:rsidR="00FC0D42" w:rsidRPr="005B0796" w:rsidRDefault="00FC0D42" w:rsidP="009919A9">
            <w:pPr>
              <w:pStyle w:val="TableText"/>
              <w:jc w:val="right"/>
              <w:rPr>
                <w:rFonts w:eastAsia="Times New Roman"/>
                <w:color w:val="000000" w:themeColor="text1"/>
              </w:rPr>
            </w:pPr>
            <w:r w:rsidRPr="005B0796">
              <w:rPr>
                <w:rFonts w:eastAsia="Times New Roman"/>
              </w:rPr>
              <w:t>256</w:t>
            </w:r>
          </w:p>
        </w:tc>
        <w:tc>
          <w:tcPr>
            <w:tcW w:w="1262" w:type="dxa"/>
          </w:tcPr>
          <w:p w14:paraId="72CDA964" w14:textId="77777777" w:rsidR="00FC0D42" w:rsidRPr="005B0796" w:rsidRDefault="00FC0D42" w:rsidP="009919A9">
            <w:pPr>
              <w:pStyle w:val="TableText"/>
              <w:jc w:val="right"/>
              <w:rPr>
                <w:rFonts w:eastAsia="Times New Roman"/>
                <w:color w:val="000000" w:themeColor="text1"/>
              </w:rPr>
            </w:pPr>
            <w:r w:rsidRPr="005B0796">
              <w:rPr>
                <w:rFonts w:eastAsia="Times New Roman"/>
              </w:rPr>
              <w:t>39</w:t>
            </w:r>
          </w:p>
        </w:tc>
        <w:tc>
          <w:tcPr>
            <w:tcW w:w="1262" w:type="dxa"/>
          </w:tcPr>
          <w:p w14:paraId="56E86606" w14:textId="77777777" w:rsidR="00FC0D42" w:rsidRPr="005B0796" w:rsidRDefault="00FC0D42" w:rsidP="009919A9">
            <w:pPr>
              <w:pStyle w:val="TableText"/>
              <w:jc w:val="right"/>
              <w:rPr>
                <w:color w:val="000000" w:themeColor="text1"/>
              </w:rPr>
            </w:pPr>
            <w:r w:rsidRPr="005B0796">
              <w:rPr>
                <w:rFonts w:eastAsia="Times New Roman"/>
              </w:rPr>
              <w:t>15.2</w:t>
            </w:r>
          </w:p>
        </w:tc>
        <w:tc>
          <w:tcPr>
            <w:tcW w:w="1262" w:type="dxa"/>
          </w:tcPr>
          <w:p w14:paraId="2C9EE865" w14:textId="77777777" w:rsidR="00FC0D42" w:rsidRPr="005B0796" w:rsidRDefault="00FC0D42" w:rsidP="009919A9">
            <w:pPr>
              <w:pStyle w:val="TableText"/>
              <w:jc w:val="right"/>
              <w:rPr>
                <w:rFonts w:eastAsia="Times New Roman"/>
                <w:color w:val="000000" w:themeColor="text1"/>
              </w:rPr>
            </w:pPr>
            <w:r w:rsidRPr="005B0796">
              <w:rPr>
                <w:rFonts w:eastAsia="Times New Roman"/>
              </w:rPr>
              <w:t>6.6</w:t>
            </w:r>
          </w:p>
        </w:tc>
      </w:tr>
      <w:tr w:rsidR="00FC0D42" w:rsidRPr="005B0796" w14:paraId="099863C1"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0C2A9951"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14:paraId="59487112" w14:textId="77777777" w:rsidR="00FC0D42" w:rsidRPr="005B0796" w:rsidRDefault="00FC0D42" w:rsidP="009919A9">
            <w:pPr>
              <w:pStyle w:val="TableText"/>
              <w:jc w:val="right"/>
              <w:rPr>
                <w:rFonts w:eastAsia="Times New Roman"/>
                <w:color w:val="000000" w:themeColor="text1"/>
              </w:rPr>
            </w:pPr>
            <w:r w:rsidRPr="005B0796">
              <w:rPr>
                <w:rFonts w:eastAsia="Times New Roman"/>
              </w:rPr>
              <w:t>271</w:t>
            </w:r>
          </w:p>
        </w:tc>
        <w:tc>
          <w:tcPr>
            <w:tcW w:w="1262" w:type="dxa"/>
          </w:tcPr>
          <w:p w14:paraId="4B26A5AA" w14:textId="77777777" w:rsidR="00FC0D42" w:rsidRPr="005B0796" w:rsidRDefault="00FC0D42" w:rsidP="009919A9">
            <w:pPr>
              <w:pStyle w:val="TableText"/>
              <w:jc w:val="right"/>
              <w:rPr>
                <w:rFonts w:eastAsia="Times New Roman"/>
                <w:color w:val="000000" w:themeColor="text1"/>
              </w:rPr>
            </w:pPr>
            <w:r w:rsidRPr="005B0796">
              <w:rPr>
                <w:rFonts w:eastAsia="Times New Roman"/>
              </w:rPr>
              <w:t>33</w:t>
            </w:r>
          </w:p>
        </w:tc>
        <w:tc>
          <w:tcPr>
            <w:tcW w:w="1262" w:type="dxa"/>
          </w:tcPr>
          <w:p w14:paraId="24AE5AB4" w14:textId="77777777" w:rsidR="00FC0D42" w:rsidRPr="005B0796" w:rsidRDefault="00FC0D42" w:rsidP="009919A9">
            <w:pPr>
              <w:pStyle w:val="TableText"/>
              <w:jc w:val="right"/>
              <w:rPr>
                <w:color w:val="000000" w:themeColor="text1"/>
              </w:rPr>
            </w:pPr>
            <w:r w:rsidRPr="005B0796">
              <w:rPr>
                <w:rFonts w:eastAsia="Times New Roman"/>
              </w:rPr>
              <w:t>12.2</w:t>
            </w:r>
          </w:p>
        </w:tc>
        <w:tc>
          <w:tcPr>
            <w:tcW w:w="1262" w:type="dxa"/>
          </w:tcPr>
          <w:p w14:paraId="4FDA6D1A" w14:textId="77777777" w:rsidR="00FC0D42" w:rsidRPr="005B0796" w:rsidRDefault="00FC0D42" w:rsidP="009919A9">
            <w:pPr>
              <w:pStyle w:val="TableText"/>
              <w:jc w:val="right"/>
              <w:rPr>
                <w:rFonts w:eastAsia="Times New Roman"/>
                <w:color w:val="000000" w:themeColor="text1"/>
              </w:rPr>
            </w:pPr>
            <w:r w:rsidRPr="005B0796">
              <w:rPr>
                <w:rFonts w:eastAsia="Times New Roman"/>
              </w:rPr>
              <w:t>8.2</w:t>
            </w:r>
          </w:p>
        </w:tc>
      </w:tr>
      <w:tr w:rsidR="00FC0D42" w:rsidRPr="005B0796" w14:paraId="7CC2CF01" w14:textId="77777777" w:rsidTr="009919A9">
        <w:trPr>
          <w:cantSplit/>
        </w:trPr>
        <w:tc>
          <w:tcPr>
            <w:tcW w:w="2268" w:type="dxa"/>
          </w:tcPr>
          <w:p w14:paraId="36378668"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14:paraId="0B2C0C77" w14:textId="77777777" w:rsidR="00FC0D42" w:rsidRPr="005B0796" w:rsidRDefault="00FC0D42" w:rsidP="009919A9">
            <w:pPr>
              <w:pStyle w:val="TableText"/>
              <w:jc w:val="right"/>
              <w:rPr>
                <w:rFonts w:eastAsia="Times New Roman"/>
                <w:color w:val="000000" w:themeColor="text1"/>
              </w:rPr>
            </w:pPr>
            <w:r w:rsidRPr="005B0796">
              <w:rPr>
                <w:rFonts w:eastAsia="Times New Roman"/>
              </w:rPr>
              <w:t>226</w:t>
            </w:r>
          </w:p>
        </w:tc>
        <w:tc>
          <w:tcPr>
            <w:tcW w:w="1262" w:type="dxa"/>
          </w:tcPr>
          <w:p w14:paraId="33E6EC0D" w14:textId="77777777" w:rsidR="00FC0D42" w:rsidRPr="005B0796" w:rsidRDefault="00FC0D42" w:rsidP="009919A9">
            <w:pPr>
              <w:pStyle w:val="TableText"/>
              <w:jc w:val="right"/>
              <w:rPr>
                <w:rFonts w:eastAsia="Times New Roman"/>
                <w:color w:val="000000" w:themeColor="text1"/>
              </w:rPr>
            </w:pPr>
            <w:r w:rsidRPr="005B0796">
              <w:rPr>
                <w:rFonts w:eastAsia="Times New Roman"/>
              </w:rPr>
              <w:t>58</w:t>
            </w:r>
          </w:p>
        </w:tc>
        <w:tc>
          <w:tcPr>
            <w:tcW w:w="1262" w:type="dxa"/>
          </w:tcPr>
          <w:p w14:paraId="3CFA78C1" w14:textId="77777777" w:rsidR="00FC0D42" w:rsidRPr="005B0796" w:rsidRDefault="00FC0D42" w:rsidP="009919A9">
            <w:pPr>
              <w:pStyle w:val="TableText"/>
              <w:jc w:val="right"/>
              <w:rPr>
                <w:color w:val="000000" w:themeColor="text1"/>
              </w:rPr>
            </w:pPr>
            <w:r w:rsidRPr="005B0796">
              <w:rPr>
                <w:rFonts w:eastAsia="Times New Roman"/>
              </w:rPr>
              <w:t>25.7</w:t>
            </w:r>
          </w:p>
        </w:tc>
        <w:tc>
          <w:tcPr>
            <w:tcW w:w="1262" w:type="dxa"/>
          </w:tcPr>
          <w:p w14:paraId="6FF74945" w14:textId="77777777" w:rsidR="00FC0D42" w:rsidRPr="005B0796" w:rsidRDefault="00FC0D42" w:rsidP="009919A9">
            <w:pPr>
              <w:pStyle w:val="TableText"/>
              <w:jc w:val="right"/>
              <w:rPr>
                <w:rFonts w:eastAsia="Times New Roman"/>
                <w:color w:val="000000" w:themeColor="text1"/>
              </w:rPr>
            </w:pPr>
            <w:r w:rsidRPr="005B0796">
              <w:rPr>
                <w:rFonts w:eastAsia="Times New Roman"/>
              </w:rPr>
              <w:t>3.9</w:t>
            </w:r>
          </w:p>
        </w:tc>
      </w:tr>
      <w:tr w:rsidR="00FC0D42" w:rsidRPr="005B0796" w14:paraId="17C01CD4"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88C4BC7"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14:paraId="1943F939" w14:textId="77777777" w:rsidR="00FC0D42" w:rsidRPr="005B0796" w:rsidRDefault="00FC0D42" w:rsidP="009919A9">
            <w:pPr>
              <w:pStyle w:val="TableText"/>
              <w:jc w:val="right"/>
              <w:rPr>
                <w:rFonts w:eastAsia="Times New Roman"/>
                <w:color w:val="000000" w:themeColor="text1"/>
              </w:rPr>
            </w:pPr>
            <w:r w:rsidRPr="005B0796">
              <w:rPr>
                <w:rFonts w:eastAsia="Times New Roman"/>
              </w:rPr>
              <w:t>59</w:t>
            </w:r>
          </w:p>
        </w:tc>
        <w:tc>
          <w:tcPr>
            <w:tcW w:w="1262" w:type="dxa"/>
          </w:tcPr>
          <w:p w14:paraId="5FBCB0B5" w14:textId="77777777" w:rsidR="00FC0D42" w:rsidRPr="005B0796" w:rsidRDefault="00FC0D42" w:rsidP="009919A9">
            <w:pPr>
              <w:pStyle w:val="TableText"/>
              <w:jc w:val="right"/>
              <w:rPr>
                <w:rFonts w:eastAsia="Times New Roman"/>
                <w:color w:val="000000" w:themeColor="text1"/>
              </w:rPr>
            </w:pPr>
            <w:r w:rsidRPr="005B0796">
              <w:rPr>
                <w:rFonts w:eastAsia="Times New Roman"/>
              </w:rPr>
              <w:t>14</w:t>
            </w:r>
          </w:p>
        </w:tc>
        <w:tc>
          <w:tcPr>
            <w:tcW w:w="1262" w:type="dxa"/>
          </w:tcPr>
          <w:p w14:paraId="64D40803" w14:textId="77777777" w:rsidR="00FC0D42" w:rsidRPr="005B0796" w:rsidRDefault="00FC0D42" w:rsidP="009919A9">
            <w:pPr>
              <w:pStyle w:val="TableText"/>
              <w:jc w:val="right"/>
              <w:rPr>
                <w:color w:val="000000" w:themeColor="text1"/>
              </w:rPr>
            </w:pPr>
            <w:r w:rsidRPr="005B0796">
              <w:rPr>
                <w:rFonts w:eastAsia="Times New Roman"/>
              </w:rPr>
              <w:t>23.7</w:t>
            </w:r>
          </w:p>
        </w:tc>
        <w:tc>
          <w:tcPr>
            <w:tcW w:w="1262" w:type="dxa"/>
          </w:tcPr>
          <w:p w14:paraId="35444963" w14:textId="77777777" w:rsidR="00FC0D42" w:rsidRPr="005B0796" w:rsidRDefault="00FC0D42" w:rsidP="009919A9">
            <w:pPr>
              <w:pStyle w:val="TableText"/>
              <w:jc w:val="right"/>
              <w:rPr>
                <w:rFonts w:eastAsia="Times New Roman"/>
                <w:color w:val="000000" w:themeColor="text1"/>
              </w:rPr>
            </w:pPr>
            <w:r w:rsidRPr="005B0796">
              <w:rPr>
                <w:rFonts w:eastAsia="Times New Roman"/>
              </w:rPr>
              <w:t>4.2</w:t>
            </w:r>
          </w:p>
        </w:tc>
      </w:tr>
      <w:tr w:rsidR="00FC0D42" w:rsidRPr="005B0796" w14:paraId="65955EEF" w14:textId="77777777" w:rsidTr="009919A9">
        <w:trPr>
          <w:cantSplit/>
        </w:trPr>
        <w:tc>
          <w:tcPr>
            <w:tcW w:w="2268" w:type="dxa"/>
          </w:tcPr>
          <w:p w14:paraId="401EBDE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14:paraId="7667BB9A" w14:textId="77777777" w:rsidR="00FC0D42" w:rsidRPr="005B0796" w:rsidRDefault="00FC0D42" w:rsidP="009919A9">
            <w:pPr>
              <w:pStyle w:val="TableText"/>
              <w:jc w:val="right"/>
              <w:rPr>
                <w:rFonts w:eastAsia="Times New Roman"/>
                <w:color w:val="000000" w:themeColor="text1"/>
              </w:rPr>
            </w:pPr>
            <w:r w:rsidRPr="005B0796">
              <w:rPr>
                <w:rFonts w:eastAsia="Times New Roman"/>
              </w:rPr>
              <w:t>58</w:t>
            </w:r>
          </w:p>
        </w:tc>
        <w:tc>
          <w:tcPr>
            <w:tcW w:w="1262" w:type="dxa"/>
          </w:tcPr>
          <w:p w14:paraId="0494F2BE" w14:textId="77777777" w:rsidR="00FC0D42" w:rsidRPr="005B0796" w:rsidRDefault="00FC0D42" w:rsidP="009919A9">
            <w:pPr>
              <w:pStyle w:val="TableText"/>
              <w:jc w:val="right"/>
              <w:rPr>
                <w:rFonts w:eastAsia="Times New Roman"/>
                <w:color w:val="000000" w:themeColor="text1"/>
              </w:rPr>
            </w:pPr>
            <w:r w:rsidRPr="005B0796">
              <w:rPr>
                <w:rFonts w:eastAsia="Times New Roman"/>
              </w:rPr>
              <w:t>14</w:t>
            </w:r>
          </w:p>
        </w:tc>
        <w:tc>
          <w:tcPr>
            <w:tcW w:w="1262" w:type="dxa"/>
          </w:tcPr>
          <w:p w14:paraId="613116CC" w14:textId="77777777" w:rsidR="00FC0D42" w:rsidRPr="005B0796" w:rsidRDefault="00FC0D42" w:rsidP="009919A9">
            <w:pPr>
              <w:pStyle w:val="TableText"/>
              <w:jc w:val="right"/>
              <w:rPr>
                <w:color w:val="000000" w:themeColor="text1"/>
              </w:rPr>
            </w:pPr>
            <w:r w:rsidRPr="005B0796">
              <w:rPr>
                <w:rFonts w:eastAsia="Times New Roman"/>
              </w:rPr>
              <w:t>24.1</w:t>
            </w:r>
          </w:p>
        </w:tc>
        <w:tc>
          <w:tcPr>
            <w:tcW w:w="1262" w:type="dxa"/>
          </w:tcPr>
          <w:p w14:paraId="33447DA8" w14:textId="77777777" w:rsidR="00FC0D42" w:rsidRPr="005B0796" w:rsidRDefault="00FC0D42" w:rsidP="009919A9">
            <w:pPr>
              <w:pStyle w:val="TableText"/>
              <w:jc w:val="right"/>
              <w:rPr>
                <w:rFonts w:eastAsia="Times New Roman"/>
                <w:color w:val="000000" w:themeColor="text1"/>
              </w:rPr>
            </w:pPr>
            <w:r w:rsidRPr="005B0796">
              <w:rPr>
                <w:rFonts w:eastAsia="Times New Roman"/>
              </w:rPr>
              <w:t>4.1</w:t>
            </w:r>
          </w:p>
        </w:tc>
      </w:tr>
      <w:tr w:rsidR="00FC0D42" w:rsidRPr="005B0796" w14:paraId="2CD9821E"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2E67ECEA"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Air Force</w:t>
            </w:r>
          </w:p>
        </w:tc>
        <w:tc>
          <w:tcPr>
            <w:tcW w:w="1261" w:type="dxa"/>
          </w:tcPr>
          <w:p w14:paraId="63F88AAC" w14:textId="77777777" w:rsidR="00FC0D42" w:rsidRPr="005B0796" w:rsidRDefault="00FC0D42" w:rsidP="009919A9">
            <w:pPr>
              <w:pStyle w:val="TableText"/>
              <w:jc w:val="right"/>
              <w:rPr>
                <w:rFonts w:eastAsia="Times New Roman"/>
                <w:color w:val="000000" w:themeColor="text1"/>
              </w:rPr>
            </w:pPr>
            <w:r w:rsidRPr="005B0796">
              <w:rPr>
                <w:rFonts w:eastAsia="Times New Roman"/>
              </w:rPr>
              <w:t>55</w:t>
            </w:r>
          </w:p>
        </w:tc>
        <w:tc>
          <w:tcPr>
            <w:tcW w:w="1262" w:type="dxa"/>
          </w:tcPr>
          <w:p w14:paraId="50ECD521" w14:textId="77777777" w:rsidR="00FC0D42" w:rsidRPr="005B0796" w:rsidRDefault="00FC0D42" w:rsidP="009919A9">
            <w:pPr>
              <w:pStyle w:val="TableText"/>
              <w:jc w:val="right"/>
              <w:rPr>
                <w:rFonts w:eastAsia="Times New Roman"/>
                <w:color w:val="000000" w:themeColor="text1"/>
              </w:rPr>
            </w:pPr>
            <w:r w:rsidRPr="005B0796">
              <w:rPr>
                <w:rFonts w:eastAsia="Times New Roman"/>
              </w:rPr>
              <w:t>20</w:t>
            </w:r>
          </w:p>
        </w:tc>
        <w:tc>
          <w:tcPr>
            <w:tcW w:w="1262" w:type="dxa"/>
          </w:tcPr>
          <w:p w14:paraId="28B93B5D" w14:textId="77777777" w:rsidR="00FC0D42" w:rsidRPr="005B0796" w:rsidRDefault="00FC0D42" w:rsidP="009919A9">
            <w:pPr>
              <w:pStyle w:val="TableText"/>
              <w:jc w:val="right"/>
              <w:rPr>
                <w:color w:val="000000" w:themeColor="text1"/>
              </w:rPr>
            </w:pPr>
            <w:r w:rsidRPr="005B0796">
              <w:rPr>
                <w:rFonts w:eastAsia="Times New Roman"/>
              </w:rPr>
              <w:t>36.4</w:t>
            </w:r>
          </w:p>
        </w:tc>
        <w:tc>
          <w:tcPr>
            <w:tcW w:w="1262" w:type="dxa"/>
          </w:tcPr>
          <w:p w14:paraId="65273999" w14:textId="77777777" w:rsidR="00FC0D42" w:rsidRPr="005B0796" w:rsidRDefault="00FC0D42" w:rsidP="009919A9">
            <w:pPr>
              <w:pStyle w:val="TableText"/>
              <w:jc w:val="right"/>
              <w:rPr>
                <w:rFonts w:eastAsia="Times New Roman"/>
                <w:color w:val="000000" w:themeColor="text1"/>
              </w:rPr>
            </w:pPr>
            <w:r w:rsidRPr="005B0796">
              <w:rPr>
                <w:rFonts w:eastAsia="Times New Roman"/>
              </w:rPr>
              <w:t>2.8</w:t>
            </w:r>
          </w:p>
        </w:tc>
      </w:tr>
      <w:tr w:rsidR="00FC0D42" w:rsidRPr="005B0796" w14:paraId="006CFA89" w14:textId="77777777" w:rsidTr="009919A9">
        <w:trPr>
          <w:cantSplit/>
        </w:trPr>
        <w:tc>
          <w:tcPr>
            <w:tcW w:w="2268" w:type="dxa"/>
          </w:tcPr>
          <w:p w14:paraId="2F61831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Navy</w:t>
            </w:r>
          </w:p>
        </w:tc>
        <w:tc>
          <w:tcPr>
            <w:tcW w:w="1261" w:type="dxa"/>
          </w:tcPr>
          <w:p w14:paraId="4AEE695C" w14:textId="77777777" w:rsidR="00FC0D42" w:rsidRPr="005B0796" w:rsidRDefault="00FC0D42" w:rsidP="009919A9">
            <w:pPr>
              <w:pStyle w:val="TableText"/>
              <w:jc w:val="right"/>
              <w:rPr>
                <w:rFonts w:eastAsia="Times New Roman"/>
                <w:color w:val="000000" w:themeColor="text1"/>
              </w:rPr>
            </w:pPr>
            <w:r w:rsidRPr="005B0796">
              <w:rPr>
                <w:rFonts w:eastAsia="Times New Roman"/>
              </w:rPr>
              <w:t>1450</w:t>
            </w:r>
          </w:p>
        </w:tc>
        <w:tc>
          <w:tcPr>
            <w:tcW w:w="1262" w:type="dxa"/>
          </w:tcPr>
          <w:p w14:paraId="374CD91F" w14:textId="77777777" w:rsidR="00FC0D42" w:rsidRPr="005B0796" w:rsidRDefault="00FC0D42" w:rsidP="009919A9">
            <w:pPr>
              <w:pStyle w:val="TableText"/>
              <w:jc w:val="right"/>
              <w:rPr>
                <w:rFonts w:eastAsia="Times New Roman"/>
                <w:color w:val="000000" w:themeColor="text1"/>
              </w:rPr>
            </w:pPr>
            <w:r w:rsidRPr="005B0796">
              <w:rPr>
                <w:rFonts w:eastAsia="Times New Roman"/>
              </w:rPr>
              <w:t>188</w:t>
            </w:r>
          </w:p>
        </w:tc>
        <w:tc>
          <w:tcPr>
            <w:tcW w:w="1262" w:type="dxa"/>
          </w:tcPr>
          <w:p w14:paraId="1A3246EA" w14:textId="77777777" w:rsidR="00FC0D42" w:rsidRPr="005B0796" w:rsidRDefault="00FC0D42" w:rsidP="009919A9">
            <w:pPr>
              <w:pStyle w:val="TableText"/>
              <w:jc w:val="right"/>
              <w:rPr>
                <w:color w:val="000000" w:themeColor="text1"/>
              </w:rPr>
            </w:pPr>
            <w:r w:rsidRPr="005B0796">
              <w:rPr>
                <w:rFonts w:eastAsia="Times New Roman"/>
              </w:rPr>
              <w:t>13.0</w:t>
            </w:r>
          </w:p>
        </w:tc>
        <w:tc>
          <w:tcPr>
            <w:tcW w:w="1262" w:type="dxa"/>
          </w:tcPr>
          <w:p w14:paraId="15D751E2" w14:textId="77777777" w:rsidR="00FC0D42" w:rsidRPr="005B0796" w:rsidRDefault="00FC0D42" w:rsidP="009919A9">
            <w:pPr>
              <w:pStyle w:val="TableText"/>
              <w:jc w:val="right"/>
              <w:rPr>
                <w:rFonts w:eastAsia="Times New Roman"/>
                <w:color w:val="000000" w:themeColor="text1"/>
              </w:rPr>
            </w:pPr>
            <w:r w:rsidRPr="005B0796">
              <w:rPr>
                <w:rFonts w:eastAsia="Times New Roman"/>
              </w:rPr>
              <w:t>7.7</w:t>
            </w:r>
          </w:p>
        </w:tc>
      </w:tr>
      <w:tr w:rsidR="00FC0D42" w:rsidRPr="005B0796" w14:paraId="01082BDE"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FD40C6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Army</w:t>
            </w:r>
          </w:p>
        </w:tc>
        <w:tc>
          <w:tcPr>
            <w:tcW w:w="1261" w:type="dxa"/>
          </w:tcPr>
          <w:p w14:paraId="34ED5CFC" w14:textId="77777777" w:rsidR="00FC0D42" w:rsidRPr="005B0796" w:rsidRDefault="00FC0D42" w:rsidP="009919A9">
            <w:pPr>
              <w:pStyle w:val="TableText"/>
              <w:jc w:val="right"/>
              <w:rPr>
                <w:rFonts w:eastAsia="Times New Roman"/>
                <w:color w:val="000000" w:themeColor="text1"/>
              </w:rPr>
            </w:pPr>
            <w:r w:rsidRPr="005B0796">
              <w:rPr>
                <w:rFonts w:eastAsia="Times New Roman"/>
              </w:rPr>
              <w:t>2977</w:t>
            </w:r>
          </w:p>
        </w:tc>
        <w:tc>
          <w:tcPr>
            <w:tcW w:w="1262" w:type="dxa"/>
          </w:tcPr>
          <w:p w14:paraId="1114F529" w14:textId="77777777" w:rsidR="00FC0D42" w:rsidRPr="005B0796" w:rsidRDefault="00FC0D42" w:rsidP="009919A9">
            <w:pPr>
              <w:pStyle w:val="TableText"/>
              <w:jc w:val="right"/>
              <w:rPr>
                <w:rFonts w:eastAsia="Times New Roman"/>
                <w:color w:val="000000" w:themeColor="text1"/>
              </w:rPr>
            </w:pPr>
            <w:r w:rsidRPr="005B0796">
              <w:rPr>
                <w:rFonts w:eastAsia="Times New Roman"/>
              </w:rPr>
              <w:t>269</w:t>
            </w:r>
          </w:p>
        </w:tc>
        <w:tc>
          <w:tcPr>
            <w:tcW w:w="1262" w:type="dxa"/>
          </w:tcPr>
          <w:p w14:paraId="6C0DCF8D" w14:textId="77777777" w:rsidR="00FC0D42" w:rsidRPr="005B0796" w:rsidRDefault="00FC0D42" w:rsidP="009919A9">
            <w:pPr>
              <w:pStyle w:val="TableText"/>
              <w:jc w:val="right"/>
              <w:rPr>
                <w:color w:val="000000" w:themeColor="text1"/>
              </w:rPr>
            </w:pPr>
            <w:r w:rsidRPr="005B0796">
              <w:rPr>
                <w:rFonts w:eastAsia="Times New Roman"/>
              </w:rPr>
              <w:t>9.0</w:t>
            </w:r>
          </w:p>
        </w:tc>
        <w:tc>
          <w:tcPr>
            <w:tcW w:w="1262" w:type="dxa"/>
          </w:tcPr>
          <w:p w14:paraId="68E05420" w14:textId="77777777" w:rsidR="00FC0D42" w:rsidRPr="005B0796" w:rsidRDefault="00FC0D42" w:rsidP="009919A9">
            <w:pPr>
              <w:pStyle w:val="TableText"/>
              <w:jc w:val="right"/>
              <w:rPr>
                <w:rFonts w:eastAsia="Times New Roman"/>
                <w:color w:val="000000" w:themeColor="text1"/>
              </w:rPr>
            </w:pPr>
            <w:r w:rsidRPr="005B0796">
              <w:rPr>
                <w:rFonts w:eastAsia="Times New Roman"/>
              </w:rPr>
              <w:t>11.1</w:t>
            </w:r>
          </w:p>
        </w:tc>
      </w:tr>
      <w:tr w:rsidR="00FC0D42" w:rsidRPr="005B0796" w14:paraId="2BD9ABFD" w14:textId="77777777" w:rsidTr="009919A9">
        <w:trPr>
          <w:cantSplit/>
        </w:trPr>
        <w:tc>
          <w:tcPr>
            <w:tcW w:w="2268" w:type="dxa"/>
          </w:tcPr>
          <w:p w14:paraId="318787C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Air Force</w:t>
            </w:r>
          </w:p>
        </w:tc>
        <w:tc>
          <w:tcPr>
            <w:tcW w:w="1261" w:type="dxa"/>
          </w:tcPr>
          <w:p w14:paraId="377032D0" w14:textId="77777777" w:rsidR="00FC0D42" w:rsidRPr="005B0796" w:rsidRDefault="00FC0D42" w:rsidP="009919A9">
            <w:pPr>
              <w:pStyle w:val="TableText"/>
              <w:jc w:val="right"/>
              <w:rPr>
                <w:rFonts w:eastAsia="Times New Roman"/>
                <w:color w:val="000000" w:themeColor="text1"/>
              </w:rPr>
            </w:pPr>
            <w:r w:rsidRPr="005B0796">
              <w:rPr>
                <w:rFonts w:eastAsia="Times New Roman"/>
              </w:rPr>
              <w:t>2098</w:t>
            </w:r>
          </w:p>
        </w:tc>
        <w:tc>
          <w:tcPr>
            <w:tcW w:w="1262" w:type="dxa"/>
          </w:tcPr>
          <w:p w14:paraId="665A14EA" w14:textId="77777777" w:rsidR="00FC0D42" w:rsidRPr="005B0796" w:rsidRDefault="00FC0D42" w:rsidP="009919A9">
            <w:pPr>
              <w:pStyle w:val="TableText"/>
              <w:jc w:val="right"/>
              <w:rPr>
                <w:rFonts w:eastAsia="Times New Roman"/>
                <w:color w:val="000000" w:themeColor="text1"/>
              </w:rPr>
            </w:pPr>
            <w:r w:rsidRPr="005B0796">
              <w:rPr>
                <w:rFonts w:eastAsia="Times New Roman"/>
              </w:rPr>
              <w:t>213</w:t>
            </w:r>
          </w:p>
        </w:tc>
        <w:tc>
          <w:tcPr>
            <w:tcW w:w="1262" w:type="dxa"/>
          </w:tcPr>
          <w:p w14:paraId="28E131C5" w14:textId="77777777" w:rsidR="00FC0D42" w:rsidRPr="005B0796" w:rsidRDefault="00FC0D42" w:rsidP="009919A9">
            <w:pPr>
              <w:pStyle w:val="TableText"/>
              <w:jc w:val="right"/>
              <w:rPr>
                <w:color w:val="000000" w:themeColor="text1"/>
              </w:rPr>
            </w:pPr>
            <w:r w:rsidRPr="005B0796">
              <w:rPr>
                <w:rFonts w:eastAsia="Times New Roman"/>
              </w:rPr>
              <w:t>10.2</w:t>
            </w:r>
          </w:p>
        </w:tc>
        <w:tc>
          <w:tcPr>
            <w:tcW w:w="1262" w:type="dxa"/>
          </w:tcPr>
          <w:p w14:paraId="623F2775" w14:textId="77777777" w:rsidR="00FC0D42" w:rsidRPr="005B0796" w:rsidRDefault="00FC0D42" w:rsidP="009919A9">
            <w:pPr>
              <w:pStyle w:val="TableText"/>
              <w:jc w:val="right"/>
              <w:rPr>
                <w:rFonts w:eastAsia="Times New Roman"/>
                <w:color w:val="000000" w:themeColor="text1"/>
              </w:rPr>
            </w:pPr>
            <w:r w:rsidRPr="005B0796">
              <w:rPr>
                <w:rFonts w:eastAsia="Times New Roman"/>
              </w:rPr>
              <w:t>9.8</w:t>
            </w:r>
          </w:p>
        </w:tc>
      </w:tr>
      <w:tr w:rsidR="00FC0D42" w:rsidRPr="005B0796" w14:paraId="69C85503"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8A7E5BF"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Navy</w:t>
            </w:r>
          </w:p>
        </w:tc>
        <w:tc>
          <w:tcPr>
            <w:tcW w:w="1261" w:type="dxa"/>
          </w:tcPr>
          <w:p w14:paraId="3C25AC40" w14:textId="77777777" w:rsidR="00FC0D42" w:rsidRPr="005B0796" w:rsidRDefault="00FC0D42" w:rsidP="009919A9">
            <w:pPr>
              <w:pStyle w:val="TableText"/>
              <w:jc w:val="right"/>
              <w:rPr>
                <w:rFonts w:eastAsia="Times New Roman"/>
                <w:color w:val="000000" w:themeColor="text1"/>
              </w:rPr>
            </w:pPr>
            <w:r w:rsidRPr="005B0796">
              <w:rPr>
                <w:rFonts w:eastAsia="Times New Roman"/>
              </w:rPr>
              <w:t>95</w:t>
            </w:r>
          </w:p>
        </w:tc>
        <w:tc>
          <w:tcPr>
            <w:tcW w:w="1262" w:type="dxa"/>
          </w:tcPr>
          <w:p w14:paraId="0C4DE141" w14:textId="77777777" w:rsidR="00FC0D42" w:rsidRPr="005B0796" w:rsidRDefault="00FC0D42" w:rsidP="009919A9">
            <w:pPr>
              <w:pStyle w:val="TableText"/>
              <w:jc w:val="right"/>
              <w:rPr>
                <w:rFonts w:eastAsia="Times New Roman"/>
                <w:color w:val="000000" w:themeColor="text1"/>
              </w:rPr>
            </w:pPr>
            <w:r w:rsidRPr="005B0796">
              <w:rPr>
                <w:rFonts w:eastAsia="Times New Roman"/>
              </w:rPr>
              <w:t>11</w:t>
            </w:r>
          </w:p>
        </w:tc>
        <w:tc>
          <w:tcPr>
            <w:tcW w:w="1262" w:type="dxa"/>
          </w:tcPr>
          <w:p w14:paraId="22C73177" w14:textId="77777777" w:rsidR="00FC0D42" w:rsidRPr="005B0796" w:rsidRDefault="00FC0D42" w:rsidP="009919A9">
            <w:pPr>
              <w:pStyle w:val="TableText"/>
              <w:jc w:val="right"/>
              <w:rPr>
                <w:color w:val="000000" w:themeColor="text1"/>
              </w:rPr>
            </w:pPr>
            <w:r w:rsidRPr="005B0796">
              <w:rPr>
                <w:rFonts w:eastAsia="Times New Roman"/>
              </w:rPr>
              <w:t>11.6</w:t>
            </w:r>
          </w:p>
        </w:tc>
        <w:tc>
          <w:tcPr>
            <w:tcW w:w="1262" w:type="dxa"/>
          </w:tcPr>
          <w:p w14:paraId="4EC15435" w14:textId="77777777" w:rsidR="00FC0D42" w:rsidRPr="005B0796" w:rsidRDefault="00FC0D42" w:rsidP="009919A9">
            <w:pPr>
              <w:pStyle w:val="TableText"/>
              <w:jc w:val="right"/>
              <w:rPr>
                <w:rFonts w:eastAsia="Times New Roman"/>
                <w:color w:val="000000" w:themeColor="text1"/>
              </w:rPr>
            </w:pPr>
            <w:r w:rsidRPr="005B0796">
              <w:rPr>
                <w:rFonts w:eastAsia="Times New Roman"/>
              </w:rPr>
              <w:t>8.6</w:t>
            </w:r>
          </w:p>
        </w:tc>
      </w:tr>
      <w:tr w:rsidR="00FC0D42" w:rsidRPr="005B0796" w14:paraId="73858DCA" w14:textId="77777777" w:rsidTr="009919A9">
        <w:trPr>
          <w:cantSplit/>
        </w:trPr>
        <w:tc>
          <w:tcPr>
            <w:tcW w:w="2268" w:type="dxa"/>
          </w:tcPr>
          <w:p w14:paraId="4572332D"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Army</w:t>
            </w:r>
          </w:p>
        </w:tc>
        <w:tc>
          <w:tcPr>
            <w:tcW w:w="1261" w:type="dxa"/>
          </w:tcPr>
          <w:p w14:paraId="49220C14" w14:textId="77777777" w:rsidR="00FC0D42" w:rsidRPr="005B0796" w:rsidRDefault="00FC0D42" w:rsidP="009919A9">
            <w:pPr>
              <w:pStyle w:val="TableText"/>
              <w:jc w:val="right"/>
              <w:rPr>
                <w:rFonts w:eastAsia="Times New Roman"/>
                <w:color w:val="000000" w:themeColor="text1"/>
              </w:rPr>
            </w:pPr>
            <w:r w:rsidRPr="005B0796">
              <w:rPr>
                <w:rFonts w:eastAsia="Times New Roman"/>
              </w:rPr>
              <w:t>238</w:t>
            </w:r>
          </w:p>
        </w:tc>
        <w:tc>
          <w:tcPr>
            <w:tcW w:w="1262" w:type="dxa"/>
          </w:tcPr>
          <w:p w14:paraId="3A364717" w14:textId="77777777" w:rsidR="00FC0D42" w:rsidRPr="005B0796" w:rsidRDefault="00FC0D42" w:rsidP="009919A9">
            <w:pPr>
              <w:pStyle w:val="TableText"/>
              <w:jc w:val="right"/>
              <w:rPr>
                <w:rFonts w:eastAsia="Times New Roman"/>
                <w:color w:val="000000" w:themeColor="text1"/>
              </w:rPr>
            </w:pPr>
            <w:r w:rsidRPr="005B0796">
              <w:rPr>
                <w:rFonts w:eastAsia="Times New Roman"/>
              </w:rPr>
              <w:t>31</w:t>
            </w:r>
          </w:p>
        </w:tc>
        <w:tc>
          <w:tcPr>
            <w:tcW w:w="1262" w:type="dxa"/>
          </w:tcPr>
          <w:p w14:paraId="4F51FF71" w14:textId="77777777" w:rsidR="00FC0D42" w:rsidRPr="005B0796" w:rsidRDefault="00FC0D42" w:rsidP="009919A9">
            <w:pPr>
              <w:pStyle w:val="TableText"/>
              <w:jc w:val="right"/>
              <w:rPr>
                <w:color w:val="000000" w:themeColor="text1"/>
              </w:rPr>
            </w:pPr>
            <w:r w:rsidRPr="005B0796">
              <w:rPr>
                <w:rFonts w:eastAsia="Times New Roman"/>
              </w:rPr>
              <w:t>13.0</w:t>
            </w:r>
          </w:p>
        </w:tc>
        <w:tc>
          <w:tcPr>
            <w:tcW w:w="1262" w:type="dxa"/>
          </w:tcPr>
          <w:p w14:paraId="17C173D6" w14:textId="77777777" w:rsidR="00FC0D42" w:rsidRPr="005B0796" w:rsidRDefault="00FC0D42" w:rsidP="009919A9">
            <w:pPr>
              <w:pStyle w:val="TableText"/>
              <w:jc w:val="right"/>
              <w:rPr>
                <w:rFonts w:eastAsia="Times New Roman"/>
                <w:color w:val="000000" w:themeColor="text1"/>
              </w:rPr>
            </w:pPr>
            <w:r w:rsidRPr="005B0796">
              <w:rPr>
                <w:rFonts w:eastAsia="Times New Roman"/>
              </w:rPr>
              <w:t>7.7</w:t>
            </w:r>
          </w:p>
        </w:tc>
      </w:tr>
      <w:tr w:rsidR="00FC0D42" w:rsidRPr="005B0796" w14:paraId="0E37D455"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59D6F4C"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Air Force</w:t>
            </w:r>
          </w:p>
        </w:tc>
        <w:tc>
          <w:tcPr>
            <w:tcW w:w="1261" w:type="dxa"/>
          </w:tcPr>
          <w:p w14:paraId="63C3AC9F" w14:textId="77777777" w:rsidR="00FC0D42" w:rsidRPr="005B0796" w:rsidRDefault="00FC0D42" w:rsidP="009919A9">
            <w:pPr>
              <w:pStyle w:val="TableText"/>
              <w:jc w:val="right"/>
              <w:rPr>
                <w:rFonts w:eastAsia="Times New Roman"/>
                <w:color w:val="000000" w:themeColor="text1"/>
              </w:rPr>
            </w:pPr>
            <w:r w:rsidRPr="005B0796">
              <w:rPr>
                <w:rFonts w:eastAsia="Times New Roman"/>
              </w:rPr>
              <w:t>157</w:t>
            </w:r>
          </w:p>
        </w:tc>
        <w:tc>
          <w:tcPr>
            <w:tcW w:w="1262" w:type="dxa"/>
          </w:tcPr>
          <w:p w14:paraId="64C22CD2" w14:textId="77777777" w:rsidR="00FC0D42" w:rsidRPr="005B0796" w:rsidRDefault="00FC0D42" w:rsidP="009919A9">
            <w:pPr>
              <w:pStyle w:val="TableText"/>
              <w:jc w:val="right"/>
              <w:rPr>
                <w:rFonts w:eastAsia="Times New Roman"/>
                <w:color w:val="000000" w:themeColor="text1"/>
              </w:rPr>
            </w:pPr>
            <w:r w:rsidRPr="005B0796">
              <w:rPr>
                <w:rFonts w:eastAsia="Times New Roman"/>
              </w:rPr>
              <w:t>26</w:t>
            </w:r>
          </w:p>
        </w:tc>
        <w:tc>
          <w:tcPr>
            <w:tcW w:w="1262" w:type="dxa"/>
          </w:tcPr>
          <w:p w14:paraId="083E650F" w14:textId="77777777" w:rsidR="00FC0D42" w:rsidRPr="005B0796" w:rsidRDefault="00FC0D42" w:rsidP="009919A9">
            <w:pPr>
              <w:pStyle w:val="TableText"/>
              <w:jc w:val="right"/>
              <w:rPr>
                <w:color w:val="000000" w:themeColor="text1"/>
              </w:rPr>
            </w:pPr>
            <w:r w:rsidRPr="005B0796">
              <w:rPr>
                <w:rFonts w:eastAsia="Times New Roman"/>
              </w:rPr>
              <w:t>16.6</w:t>
            </w:r>
          </w:p>
        </w:tc>
        <w:tc>
          <w:tcPr>
            <w:tcW w:w="1262" w:type="dxa"/>
          </w:tcPr>
          <w:p w14:paraId="5CB7B216" w14:textId="77777777" w:rsidR="00FC0D42" w:rsidRPr="005B0796" w:rsidRDefault="00FC0D42" w:rsidP="009919A9">
            <w:pPr>
              <w:pStyle w:val="TableText"/>
              <w:jc w:val="right"/>
              <w:rPr>
                <w:rFonts w:eastAsia="Times New Roman"/>
                <w:color w:val="000000" w:themeColor="text1"/>
              </w:rPr>
            </w:pPr>
            <w:r w:rsidRPr="005B0796">
              <w:rPr>
                <w:rFonts w:eastAsia="Times New Roman"/>
              </w:rPr>
              <w:t>6.0</w:t>
            </w:r>
          </w:p>
        </w:tc>
      </w:tr>
      <w:tr w:rsidR="00FC0D42" w:rsidRPr="005B0796" w14:paraId="76A96D50" w14:textId="77777777" w:rsidTr="009919A9">
        <w:trPr>
          <w:cantSplit/>
        </w:trPr>
        <w:tc>
          <w:tcPr>
            <w:tcW w:w="2268" w:type="dxa"/>
          </w:tcPr>
          <w:p w14:paraId="0ED9684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14:paraId="4582CD8D" w14:textId="77777777" w:rsidR="00FC0D42" w:rsidRPr="005B0796" w:rsidRDefault="00FC0D42" w:rsidP="009919A9">
            <w:pPr>
              <w:pStyle w:val="TableText"/>
              <w:jc w:val="right"/>
              <w:rPr>
                <w:rFonts w:eastAsia="Times New Roman"/>
                <w:color w:val="000000" w:themeColor="text1"/>
              </w:rPr>
            </w:pPr>
            <w:r w:rsidRPr="005B0796">
              <w:rPr>
                <w:rFonts w:eastAsia="Times New Roman"/>
              </w:rPr>
              <w:t>2257</w:t>
            </w:r>
          </w:p>
        </w:tc>
        <w:tc>
          <w:tcPr>
            <w:tcW w:w="1262" w:type="dxa"/>
          </w:tcPr>
          <w:p w14:paraId="46147EED" w14:textId="77777777" w:rsidR="00FC0D42" w:rsidRPr="005B0796" w:rsidRDefault="00FC0D42" w:rsidP="009919A9">
            <w:pPr>
              <w:pStyle w:val="TableText"/>
              <w:jc w:val="right"/>
              <w:rPr>
                <w:rFonts w:eastAsia="Times New Roman"/>
                <w:color w:val="000000" w:themeColor="text1"/>
              </w:rPr>
            </w:pPr>
            <w:r w:rsidRPr="005B0796">
              <w:rPr>
                <w:rFonts w:eastAsia="Times New Roman"/>
              </w:rPr>
              <w:t>149</w:t>
            </w:r>
          </w:p>
        </w:tc>
        <w:tc>
          <w:tcPr>
            <w:tcW w:w="1262" w:type="dxa"/>
          </w:tcPr>
          <w:p w14:paraId="1B5628BC" w14:textId="77777777" w:rsidR="00FC0D42" w:rsidRPr="005B0796" w:rsidRDefault="00FC0D42" w:rsidP="009919A9">
            <w:pPr>
              <w:pStyle w:val="TableText"/>
              <w:jc w:val="right"/>
              <w:rPr>
                <w:color w:val="000000" w:themeColor="text1"/>
              </w:rPr>
            </w:pPr>
            <w:r w:rsidRPr="005B0796">
              <w:rPr>
                <w:rFonts w:eastAsia="Times New Roman"/>
              </w:rPr>
              <w:t>6.6</w:t>
            </w:r>
          </w:p>
        </w:tc>
        <w:tc>
          <w:tcPr>
            <w:tcW w:w="1262" w:type="dxa"/>
          </w:tcPr>
          <w:p w14:paraId="53657795" w14:textId="77777777" w:rsidR="00FC0D42" w:rsidRPr="005B0796" w:rsidRDefault="00FC0D42" w:rsidP="009919A9">
            <w:pPr>
              <w:pStyle w:val="TableText"/>
              <w:jc w:val="right"/>
              <w:rPr>
                <w:rFonts w:eastAsia="Times New Roman"/>
                <w:color w:val="000000" w:themeColor="text1"/>
              </w:rPr>
            </w:pPr>
            <w:r w:rsidRPr="005B0796">
              <w:rPr>
                <w:rFonts w:eastAsia="Times New Roman"/>
              </w:rPr>
              <w:t>15.1</w:t>
            </w:r>
          </w:p>
        </w:tc>
      </w:tr>
      <w:tr w:rsidR="00FC0D42" w:rsidRPr="005B0796" w14:paraId="7333516C"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5CD37C43"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14:paraId="38530D40" w14:textId="77777777" w:rsidR="00FC0D42" w:rsidRPr="005B0796" w:rsidRDefault="00FC0D42" w:rsidP="009919A9">
            <w:pPr>
              <w:pStyle w:val="TableText"/>
              <w:jc w:val="right"/>
              <w:rPr>
                <w:rFonts w:eastAsia="Times New Roman"/>
                <w:color w:val="000000" w:themeColor="text1"/>
              </w:rPr>
            </w:pPr>
            <w:r w:rsidRPr="005B0796">
              <w:rPr>
                <w:rFonts w:eastAsia="Times New Roman"/>
              </w:rPr>
              <w:t>3447</w:t>
            </w:r>
          </w:p>
        </w:tc>
        <w:tc>
          <w:tcPr>
            <w:tcW w:w="1262" w:type="dxa"/>
          </w:tcPr>
          <w:p w14:paraId="65303434" w14:textId="77777777" w:rsidR="00FC0D42" w:rsidRPr="005B0796" w:rsidRDefault="00FC0D42" w:rsidP="009919A9">
            <w:pPr>
              <w:pStyle w:val="TableText"/>
              <w:jc w:val="right"/>
              <w:rPr>
                <w:rFonts w:eastAsia="Times New Roman"/>
                <w:color w:val="000000" w:themeColor="text1"/>
              </w:rPr>
            </w:pPr>
            <w:r w:rsidRPr="005B0796">
              <w:rPr>
                <w:rFonts w:eastAsia="Times New Roman"/>
              </w:rPr>
              <w:t>311</w:t>
            </w:r>
          </w:p>
        </w:tc>
        <w:tc>
          <w:tcPr>
            <w:tcW w:w="1262" w:type="dxa"/>
          </w:tcPr>
          <w:p w14:paraId="054F9492" w14:textId="77777777" w:rsidR="00FC0D42" w:rsidRPr="005B0796" w:rsidRDefault="00FC0D42" w:rsidP="009919A9">
            <w:pPr>
              <w:pStyle w:val="TableText"/>
              <w:jc w:val="right"/>
              <w:rPr>
                <w:color w:val="000000" w:themeColor="text1"/>
              </w:rPr>
            </w:pPr>
            <w:r w:rsidRPr="005B0796">
              <w:rPr>
                <w:rFonts w:eastAsia="Times New Roman"/>
              </w:rPr>
              <w:t>9.0</w:t>
            </w:r>
          </w:p>
        </w:tc>
        <w:tc>
          <w:tcPr>
            <w:tcW w:w="1262" w:type="dxa"/>
          </w:tcPr>
          <w:p w14:paraId="59036B2C" w14:textId="77777777" w:rsidR="00FC0D42" w:rsidRPr="005B0796" w:rsidRDefault="00FC0D42" w:rsidP="009919A9">
            <w:pPr>
              <w:pStyle w:val="TableText"/>
              <w:jc w:val="right"/>
              <w:rPr>
                <w:rFonts w:eastAsia="Times New Roman"/>
                <w:color w:val="000000" w:themeColor="text1"/>
              </w:rPr>
            </w:pPr>
            <w:r w:rsidRPr="005B0796">
              <w:rPr>
                <w:rFonts w:eastAsia="Times New Roman"/>
              </w:rPr>
              <w:t>11.1</w:t>
            </w:r>
          </w:p>
        </w:tc>
      </w:tr>
      <w:tr w:rsidR="00FC0D42" w:rsidRPr="005B0796" w14:paraId="25080CD4" w14:textId="77777777" w:rsidTr="009919A9">
        <w:trPr>
          <w:cantSplit/>
        </w:trPr>
        <w:tc>
          <w:tcPr>
            <w:tcW w:w="2268" w:type="dxa"/>
          </w:tcPr>
          <w:p w14:paraId="12C77F4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14:paraId="0A6B18D2" w14:textId="77777777" w:rsidR="00FC0D42" w:rsidRPr="005B0796" w:rsidRDefault="00FC0D42" w:rsidP="009919A9">
            <w:pPr>
              <w:pStyle w:val="TableText"/>
              <w:jc w:val="right"/>
              <w:rPr>
                <w:rFonts w:eastAsia="Times New Roman"/>
                <w:color w:val="000000" w:themeColor="text1"/>
              </w:rPr>
            </w:pPr>
            <w:r w:rsidRPr="005B0796">
              <w:rPr>
                <w:rFonts w:eastAsia="Times New Roman"/>
              </w:rPr>
              <w:t>1866</w:t>
            </w:r>
          </w:p>
        </w:tc>
        <w:tc>
          <w:tcPr>
            <w:tcW w:w="1262" w:type="dxa"/>
          </w:tcPr>
          <w:p w14:paraId="49A3E916" w14:textId="77777777" w:rsidR="00FC0D42" w:rsidRPr="005B0796" w:rsidRDefault="00FC0D42" w:rsidP="009919A9">
            <w:pPr>
              <w:pStyle w:val="TableText"/>
              <w:jc w:val="right"/>
              <w:rPr>
                <w:rFonts w:eastAsia="Times New Roman"/>
                <w:color w:val="000000" w:themeColor="text1"/>
              </w:rPr>
            </w:pPr>
            <w:r w:rsidRPr="005B0796">
              <w:rPr>
                <w:rFonts w:eastAsia="Times New Roman"/>
              </w:rPr>
              <w:t>268</w:t>
            </w:r>
          </w:p>
        </w:tc>
        <w:tc>
          <w:tcPr>
            <w:tcW w:w="1262" w:type="dxa"/>
          </w:tcPr>
          <w:p w14:paraId="3031BEB2" w14:textId="77777777" w:rsidR="00FC0D42" w:rsidRPr="005B0796" w:rsidRDefault="00FC0D42" w:rsidP="009919A9">
            <w:pPr>
              <w:pStyle w:val="TableText"/>
              <w:jc w:val="right"/>
              <w:rPr>
                <w:color w:val="000000" w:themeColor="text1"/>
              </w:rPr>
            </w:pPr>
            <w:r w:rsidRPr="005B0796">
              <w:rPr>
                <w:rFonts w:eastAsia="Times New Roman"/>
              </w:rPr>
              <w:t>14.4</w:t>
            </w:r>
          </w:p>
        </w:tc>
        <w:tc>
          <w:tcPr>
            <w:tcW w:w="1262" w:type="dxa"/>
          </w:tcPr>
          <w:p w14:paraId="7F6D73FF" w14:textId="77777777" w:rsidR="00FC0D42" w:rsidRPr="005B0796" w:rsidRDefault="00FC0D42" w:rsidP="009919A9">
            <w:pPr>
              <w:pStyle w:val="TableText"/>
              <w:jc w:val="right"/>
              <w:rPr>
                <w:rFonts w:eastAsia="Times New Roman"/>
                <w:color w:val="000000" w:themeColor="text1"/>
              </w:rPr>
            </w:pPr>
            <w:r w:rsidRPr="005B0796">
              <w:rPr>
                <w:rFonts w:eastAsia="Times New Roman"/>
              </w:rPr>
              <w:t>7.0</w:t>
            </w:r>
          </w:p>
        </w:tc>
      </w:tr>
      <w:tr w:rsidR="00FC0D42" w:rsidRPr="005B0796" w14:paraId="6D28E409"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40E0D8FD"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14:paraId="0CF12FB0" w14:textId="77777777" w:rsidR="00FC0D42" w:rsidRPr="005B0796" w:rsidRDefault="00FC0D42" w:rsidP="009919A9">
            <w:pPr>
              <w:pStyle w:val="TableText"/>
              <w:jc w:val="right"/>
              <w:rPr>
                <w:rFonts w:eastAsia="Times New Roman"/>
                <w:color w:val="000000" w:themeColor="text1"/>
                <w:lang w:eastAsia="en-GB"/>
              </w:rPr>
            </w:pPr>
            <w:r w:rsidRPr="005B0796">
              <w:rPr>
                <w:rFonts w:eastAsia="Times New Roman"/>
              </w:rPr>
              <w:t>334</w:t>
            </w:r>
          </w:p>
        </w:tc>
        <w:tc>
          <w:tcPr>
            <w:tcW w:w="1262" w:type="dxa"/>
          </w:tcPr>
          <w:p w14:paraId="1BBF3B3F" w14:textId="77777777" w:rsidR="00FC0D42" w:rsidRPr="005B0796" w:rsidRDefault="00FC0D42" w:rsidP="009919A9">
            <w:pPr>
              <w:pStyle w:val="TableText"/>
              <w:jc w:val="right"/>
              <w:rPr>
                <w:rFonts w:eastAsia="Times New Roman"/>
                <w:color w:val="000000" w:themeColor="text1"/>
              </w:rPr>
            </w:pPr>
            <w:r w:rsidRPr="005B0796">
              <w:rPr>
                <w:rFonts w:eastAsia="Times New Roman"/>
              </w:rPr>
              <w:t>23</w:t>
            </w:r>
          </w:p>
        </w:tc>
        <w:tc>
          <w:tcPr>
            <w:tcW w:w="1262" w:type="dxa"/>
          </w:tcPr>
          <w:p w14:paraId="12509E3B" w14:textId="77777777" w:rsidR="00FC0D42" w:rsidRPr="005B0796" w:rsidRDefault="00FC0D42" w:rsidP="009919A9">
            <w:pPr>
              <w:pStyle w:val="TableText"/>
              <w:jc w:val="right"/>
              <w:rPr>
                <w:color w:val="000000" w:themeColor="text1"/>
              </w:rPr>
            </w:pPr>
            <w:r w:rsidRPr="005B0796">
              <w:rPr>
                <w:rFonts w:eastAsia="Times New Roman"/>
              </w:rPr>
              <w:t>6.9</w:t>
            </w:r>
          </w:p>
        </w:tc>
        <w:tc>
          <w:tcPr>
            <w:tcW w:w="1262" w:type="dxa"/>
          </w:tcPr>
          <w:p w14:paraId="39D2F5B5" w14:textId="77777777" w:rsidR="00FC0D42" w:rsidRPr="005B0796" w:rsidRDefault="00FC0D42" w:rsidP="009919A9">
            <w:pPr>
              <w:pStyle w:val="TableText"/>
              <w:jc w:val="right"/>
              <w:rPr>
                <w:rFonts w:eastAsia="Times New Roman"/>
                <w:color w:val="000000" w:themeColor="text1"/>
              </w:rPr>
            </w:pPr>
            <w:r w:rsidRPr="005B0796">
              <w:rPr>
                <w:rFonts w:eastAsia="Times New Roman"/>
              </w:rPr>
              <w:t>14.5</w:t>
            </w:r>
          </w:p>
        </w:tc>
      </w:tr>
      <w:tr w:rsidR="00FC0D42" w:rsidRPr="005B0796" w14:paraId="40A1E9F8" w14:textId="77777777" w:rsidTr="009919A9">
        <w:trPr>
          <w:cantSplit/>
        </w:trPr>
        <w:tc>
          <w:tcPr>
            <w:tcW w:w="2268" w:type="dxa"/>
          </w:tcPr>
          <w:p w14:paraId="54C131D1"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14:paraId="12A10535" w14:textId="77777777" w:rsidR="00FC0D42" w:rsidRPr="005B0796" w:rsidRDefault="00FC0D42" w:rsidP="009919A9">
            <w:pPr>
              <w:pStyle w:val="TableText"/>
              <w:jc w:val="right"/>
              <w:rPr>
                <w:rFonts w:eastAsia="Times New Roman"/>
                <w:color w:val="000000" w:themeColor="text1"/>
              </w:rPr>
            </w:pPr>
            <w:r w:rsidRPr="005B0796">
              <w:rPr>
                <w:rFonts w:eastAsia="Times New Roman"/>
              </w:rPr>
              <w:t>575</w:t>
            </w:r>
          </w:p>
        </w:tc>
        <w:tc>
          <w:tcPr>
            <w:tcW w:w="1262" w:type="dxa"/>
          </w:tcPr>
          <w:p w14:paraId="46517368" w14:textId="77777777" w:rsidR="00FC0D42" w:rsidRPr="005B0796" w:rsidRDefault="00FC0D42" w:rsidP="009919A9">
            <w:pPr>
              <w:pStyle w:val="TableText"/>
              <w:jc w:val="right"/>
              <w:rPr>
                <w:rFonts w:eastAsia="Times New Roman"/>
                <w:color w:val="000000" w:themeColor="text1"/>
              </w:rPr>
            </w:pPr>
            <w:r w:rsidRPr="005B0796">
              <w:rPr>
                <w:rFonts w:eastAsia="Times New Roman"/>
              </w:rPr>
              <w:t>59</w:t>
            </w:r>
          </w:p>
        </w:tc>
        <w:tc>
          <w:tcPr>
            <w:tcW w:w="1262" w:type="dxa"/>
          </w:tcPr>
          <w:p w14:paraId="3DC53C9D" w14:textId="77777777" w:rsidR="00FC0D42" w:rsidRPr="005B0796" w:rsidRDefault="00FC0D42" w:rsidP="009919A9">
            <w:pPr>
              <w:pStyle w:val="TableText"/>
              <w:jc w:val="right"/>
              <w:rPr>
                <w:color w:val="000000" w:themeColor="text1"/>
              </w:rPr>
            </w:pPr>
            <w:r w:rsidRPr="005B0796">
              <w:rPr>
                <w:rFonts w:eastAsia="Times New Roman"/>
              </w:rPr>
              <w:t>10.3</w:t>
            </w:r>
          </w:p>
        </w:tc>
        <w:tc>
          <w:tcPr>
            <w:tcW w:w="1262" w:type="dxa"/>
          </w:tcPr>
          <w:p w14:paraId="52B33916" w14:textId="77777777" w:rsidR="00FC0D42" w:rsidRPr="005B0796" w:rsidRDefault="00FC0D42" w:rsidP="009919A9">
            <w:pPr>
              <w:pStyle w:val="TableText"/>
              <w:jc w:val="right"/>
              <w:rPr>
                <w:rFonts w:eastAsia="Times New Roman"/>
                <w:color w:val="000000" w:themeColor="text1"/>
              </w:rPr>
            </w:pPr>
            <w:r w:rsidRPr="005B0796">
              <w:rPr>
                <w:rFonts w:eastAsia="Times New Roman"/>
              </w:rPr>
              <w:t>9.7</w:t>
            </w:r>
          </w:p>
        </w:tc>
      </w:tr>
      <w:tr w:rsidR="00FC0D42" w:rsidRPr="005B0796" w14:paraId="0877240A"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1E9994EE"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14:paraId="04F32D08" w14:textId="77777777" w:rsidR="00FC0D42" w:rsidRPr="005B0796" w:rsidRDefault="00FC0D42" w:rsidP="009919A9">
            <w:pPr>
              <w:pStyle w:val="TableText"/>
              <w:jc w:val="right"/>
              <w:rPr>
                <w:rFonts w:eastAsia="Times New Roman"/>
                <w:color w:val="000000" w:themeColor="text1"/>
              </w:rPr>
            </w:pPr>
            <w:r w:rsidRPr="005B0796">
              <w:rPr>
                <w:rFonts w:eastAsia="Times New Roman"/>
              </w:rPr>
              <w:t>257</w:t>
            </w:r>
          </w:p>
        </w:tc>
        <w:tc>
          <w:tcPr>
            <w:tcW w:w="1262" w:type="dxa"/>
          </w:tcPr>
          <w:p w14:paraId="001332B9" w14:textId="77777777" w:rsidR="00FC0D42" w:rsidRPr="005B0796" w:rsidRDefault="00FC0D42" w:rsidP="009919A9">
            <w:pPr>
              <w:pStyle w:val="TableText"/>
              <w:jc w:val="right"/>
              <w:rPr>
                <w:rFonts w:eastAsia="Times New Roman"/>
                <w:color w:val="000000" w:themeColor="text1"/>
              </w:rPr>
            </w:pPr>
            <w:r w:rsidRPr="005B0796">
              <w:rPr>
                <w:rFonts w:eastAsia="Times New Roman"/>
              </w:rPr>
              <w:t>28</w:t>
            </w:r>
          </w:p>
        </w:tc>
        <w:tc>
          <w:tcPr>
            <w:tcW w:w="1262" w:type="dxa"/>
          </w:tcPr>
          <w:p w14:paraId="7B8D9A20" w14:textId="77777777" w:rsidR="00FC0D42" w:rsidRPr="005B0796" w:rsidRDefault="00FC0D42" w:rsidP="009919A9">
            <w:pPr>
              <w:pStyle w:val="TableText"/>
              <w:jc w:val="right"/>
              <w:rPr>
                <w:color w:val="000000" w:themeColor="text1"/>
              </w:rPr>
            </w:pPr>
            <w:r w:rsidRPr="005B0796">
              <w:rPr>
                <w:rFonts w:eastAsia="Times New Roman"/>
              </w:rPr>
              <w:t>10.9</w:t>
            </w:r>
          </w:p>
        </w:tc>
        <w:tc>
          <w:tcPr>
            <w:tcW w:w="1262" w:type="dxa"/>
          </w:tcPr>
          <w:p w14:paraId="025EC34D" w14:textId="77777777" w:rsidR="00FC0D42" w:rsidRPr="005B0796" w:rsidRDefault="00FC0D42" w:rsidP="009919A9">
            <w:pPr>
              <w:pStyle w:val="TableText"/>
              <w:jc w:val="right"/>
              <w:rPr>
                <w:rFonts w:eastAsia="Times New Roman"/>
                <w:color w:val="000000" w:themeColor="text1"/>
              </w:rPr>
            </w:pPr>
            <w:r w:rsidRPr="005B0796">
              <w:rPr>
                <w:rFonts w:eastAsia="Times New Roman"/>
              </w:rPr>
              <w:t>9.2</w:t>
            </w:r>
          </w:p>
        </w:tc>
      </w:tr>
      <w:tr w:rsidR="00FC0D42" w:rsidRPr="005B0796" w14:paraId="13C76EA7" w14:textId="77777777" w:rsidTr="009919A9">
        <w:trPr>
          <w:cantSplit/>
        </w:trPr>
        <w:tc>
          <w:tcPr>
            <w:tcW w:w="2268" w:type="dxa"/>
          </w:tcPr>
          <w:p w14:paraId="5DAE368D"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14:paraId="7F6FA26A" w14:textId="77777777" w:rsidR="00FC0D42" w:rsidRPr="005B0796" w:rsidRDefault="00FC0D42" w:rsidP="009919A9">
            <w:pPr>
              <w:pStyle w:val="TableText"/>
              <w:jc w:val="right"/>
              <w:rPr>
                <w:rFonts w:eastAsia="Times New Roman"/>
                <w:color w:val="000000" w:themeColor="text1"/>
              </w:rPr>
            </w:pPr>
            <w:r w:rsidRPr="005B0796">
              <w:rPr>
                <w:rFonts w:eastAsia="Times New Roman"/>
              </w:rPr>
              <w:t>4451</w:t>
            </w:r>
          </w:p>
        </w:tc>
        <w:tc>
          <w:tcPr>
            <w:tcW w:w="1262" w:type="dxa"/>
          </w:tcPr>
          <w:p w14:paraId="78B6C04E" w14:textId="77777777" w:rsidR="00FC0D42" w:rsidRPr="005B0796" w:rsidRDefault="00FC0D42" w:rsidP="009919A9">
            <w:pPr>
              <w:pStyle w:val="TableText"/>
              <w:jc w:val="right"/>
              <w:rPr>
                <w:rFonts w:eastAsia="Times New Roman"/>
                <w:color w:val="000000" w:themeColor="text1"/>
              </w:rPr>
            </w:pPr>
            <w:r w:rsidRPr="005B0796">
              <w:rPr>
                <w:rFonts w:eastAsia="Times New Roman"/>
              </w:rPr>
              <w:t>28</w:t>
            </w:r>
          </w:p>
        </w:tc>
        <w:tc>
          <w:tcPr>
            <w:tcW w:w="1262" w:type="dxa"/>
          </w:tcPr>
          <w:p w14:paraId="15FC5DA9" w14:textId="77777777" w:rsidR="00FC0D42" w:rsidRPr="005B0796" w:rsidRDefault="00FC0D42" w:rsidP="009919A9">
            <w:pPr>
              <w:pStyle w:val="TableText"/>
              <w:jc w:val="right"/>
              <w:rPr>
                <w:color w:val="000000" w:themeColor="text1"/>
              </w:rPr>
            </w:pPr>
            <w:r w:rsidRPr="005B0796">
              <w:rPr>
                <w:rFonts w:eastAsia="Times New Roman"/>
              </w:rPr>
              <w:t>0.6</w:t>
            </w:r>
          </w:p>
        </w:tc>
        <w:tc>
          <w:tcPr>
            <w:tcW w:w="1262" w:type="dxa"/>
          </w:tcPr>
          <w:p w14:paraId="0DA1D079" w14:textId="77777777" w:rsidR="00FC0D42" w:rsidRPr="005B0796" w:rsidRDefault="00FC0D42" w:rsidP="009919A9">
            <w:pPr>
              <w:pStyle w:val="TableText"/>
              <w:jc w:val="right"/>
              <w:rPr>
                <w:rFonts w:eastAsia="Times New Roman"/>
                <w:color w:val="000000" w:themeColor="text1"/>
              </w:rPr>
            </w:pPr>
            <w:r w:rsidRPr="005B0796">
              <w:rPr>
                <w:rFonts w:eastAsia="Times New Roman"/>
              </w:rPr>
              <w:t>159.0</w:t>
            </w:r>
          </w:p>
        </w:tc>
      </w:tr>
      <w:tr w:rsidR="00FC0D42" w:rsidRPr="005B0796" w14:paraId="66597328"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4ECB516"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14:paraId="67EC0493" w14:textId="77777777" w:rsidR="00FC0D42" w:rsidRPr="005B0796" w:rsidRDefault="00FC0D42" w:rsidP="009919A9">
            <w:pPr>
              <w:pStyle w:val="TableText"/>
              <w:jc w:val="right"/>
              <w:rPr>
                <w:rFonts w:eastAsia="Times New Roman"/>
                <w:color w:val="000000" w:themeColor="text1"/>
              </w:rPr>
            </w:pPr>
            <w:r w:rsidRPr="005B0796">
              <w:rPr>
                <w:rFonts w:eastAsia="Times New Roman"/>
              </w:rPr>
              <w:t>10074</w:t>
            </w:r>
          </w:p>
        </w:tc>
        <w:tc>
          <w:tcPr>
            <w:tcW w:w="1262" w:type="dxa"/>
          </w:tcPr>
          <w:p w14:paraId="647877B5" w14:textId="77777777" w:rsidR="00FC0D42" w:rsidRPr="005B0796" w:rsidRDefault="00FC0D42" w:rsidP="009919A9">
            <w:pPr>
              <w:pStyle w:val="TableText"/>
              <w:jc w:val="right"/>
              <w:rPr>
                <w:rFonts w:eastAsia="Times New Roman"/>
                <w:color w:val="000000" w:themeColor="text1"/>
              </w:rPr>
            </w:pPr>
            <w:r w:rsidRPr="005B0796">
              <w:rPr>
                <w:rFonts w:eastAsia="Times New Roman"/>
              </w:rPr>
              <w:t>43</w:t>
            </w:r>
          </w:p>
        </w:tc>
        <w:tc>
          <w:tcPr>
            <w:tcW w:w="1262" w:type="dxa"/>
          </w:tcPr>
          <w:p w14:paraId="7C9541B4" w14:textId="77777777" w:rsidR="00FC0D42" w:rsidRPr="005B0796" w:rsidRDefault="00FC0D42" w:rsidP="009919A9">
            <w:pPr>
              <w:pStyle w:val="TableText"/>
              <w:jc w:val="right"/>
              <w:rPr>
                <w:color w:val="000000" w:themeColor="text1"/>
              </w:rPr>
            </w:pPr>
            <w:r w:rsidRPr="005B0796">
              <w:rPr>
                <w:rFonts w:eastAsia="Times New Roman"/>
              </w:rPr>
              <w:t>0.4</w:t>
            </w:r>
          </w:p>
        </w:tc>
        <w:tc>
          <w:tcPr>
            <w:tcW w:w="1262" w:type="dxa"/>
          </w:tcPr>
          <w:p w14:paraId="05068643" w14:textId="77777777" w:rsidR="00FC0D42" w:rsidRPr="005B0796" w:rsidRDefault="00FC0D42" w:rsidP="009919A9">
            <w:pPr>
              <w:pStyle w:val="TableText"/>
              <w:jc w:val="right"/>
              <w:rPr>
                <w:rFonts w:eastAsia="Times New Roman"/>
                <w:color w:val="000000" w:themeColor="text1"/>
              </w:rPr>
            </w:pPr>
            <w:r w:rsidRPr="005B0796">
              <w:rPr>
                <w:rFonts w:eastAsia="Times New Roman"/>
              </w:rPr>
              <w:t>234.3</w:t>
            </w:r>
          </w:p>
        </w:tc>
      </w:tr>
      <w:tr w:rsidR="00FC0D42" w:rsidRPr="005B0796" w14:paraId="5C3BC293" w14:textId="77777777" w:rsidTr="009919A9">
        <w:trPr>
          <w:cantSplit/>
        </w:trPr>
        <w:tc>
          <w:tcPr>
            <w:tcW w:w="2268" w:type="dxa"/>
          </w:tcPr>
          <w:p w14:paraId="10A3B5ED"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14:paraId="73870A41" w14:textId="77777777" w:rsidR="00FC0D42" w:rsidRPr="005B0796" w:rsidRDefault="00FC0D42" w:rsidP="009919A9">
            <w:pPr>
              <w:pStyle w:val="TableText"/>
              <w:jc w:val="right"/>
              <w:rPr>
                <w:rFonts w:eastAsia="Times New Roman"/>
                <w:color w:val="000000" w:themeColor="text1"/>
              </w:rPr>
            </w:pPr>
            <w:r w:rsidRPr="005B0796">
              <w:rPr>
                <w:rFonts w:eastAsia="Times New Roman"/>
              </w:rPr>
              <w:t>2659</w:t>
            </w:r>
          </w:p>
        </w:tc>
        <w:tc>
          <w:tcPr>
            <w:tcW w:w="1262" w:type="dxa"/>
          </w:tcPr>
          <w:p w14:paraId="1EA1528E" w14:textId="77777777" w:rsidR="00FC0D42" w:rsidRPr="005B0796" w:rsidRDefault="00FC0D42" w:rsidP="009919A9">
            <w:pPr>
              <w:pStyle w:val="TableText"/>
              <w:jc w:val="right"/>
              <w:rPr>
                <w:rFonts w:eastAsia="Times New Roman"/>
                <w:color w:val="000000" w:themeColor="text1"/>
              </w:rPr>
            </w:pPr>
            <w:r w:rsidRPr="005B0796">
              <w:rPr>
                <w:rFonts w:eastAsia="Times New Roman"/>
              </w:rPr>
              <w:t>47</w:t>
            </w:r>
          </w:p>
        </w:tc>
        <w:tc>
          <w:tcPr>
            <w:tcW w:w="1262" w:type="dxa"/>
          </w:tcPr>
          <w:p w14:paraId="2DE8DDA4" w14:textId="77777777" w:rsidR="00FC0D42" w:rsidRPr="005B0796" w:rsidRDefault="00FC0D42" w:rsidP="009919A9">
            <w:pPr>
              <w:pStyle w:val="TableText"/>
              <w:jc w:val="right"/>
              <w:rPr>
                <w:color w:val="000000" w:themeColor="text1"/>
              </w:rPr>
            </w:pPr>
            <w:r w:rsidRPr="005B0796">
              <w:rPr>
                <w:rFonts w:eastAsia="Times New Roman"/>
              </w:rPr>
              <w:t>1.8</w:t>
            </w:r>
          </w:p>
        </w:tc>
        <w:tc>
          <w:tcPr>
            <w:tcW w:w="1262" w:type="dxa"/>
          </w:tcPr>
          <w:p w14:paraId="598B9E10" w14:textId="77777777" w:rsidR="00FC0D42" w:rsidRPr="005B0796" w:rsidRDefault="00FC0D42" w:rsidP="009919A9">
            <w:pPr>
              <w:pStyle w:val="TableText"/>
              <w:jc w:val="right"/>
              <w:rPr>
                <w:rFonts w:eastAsia="Times New Roman"/>
                <w:color w:val="000000" w:themeColor="text1"/>
              </w:rPr>
            </w:pPr>
            <w:r w:rsidRPr="005B0796">
              <w:rPr>
                <w:rFonts w:eastAsia="Times New Roman"/>
              </w:rPr>
              <w:t>56.6</w:t>
            </w:r>
          </w:p>
        </w:tc>
      </w:tr>
      <w:tr w:rsidR="00FC0D42" w:rsidRPr="005B0796" w14:paraId="6096F160"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7BA4576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unfit | Navy</w:t>
            </w:r>
          </w:p>
        </w:tc>
        <w:tc>
          <w:tcPr>
            <w:tcW w:w="1261" w:type="dxa"/>
          </w:tcPr>
          <w:p w14:paraId="6ABA91CA" w14:textId="77777777" w:rsidR="00FC0D42" w:rsidRPr="005B0796" w:rsidRDefault="00FC0D42" w:rsidP="009919A9">
            <w:pPr>
              <w:pStyle w:val="TableText"/>
              <w:jc w:val="right"/>
              <w:rPr>
                <w:rFonts w:eastAsia="Times New Roman"/>
                <w:color w:val="000000" w:themeColor="text1"/>
              </w:rPr>
            </w:pPr>
            <w:r w:rsidRPr="005B0796">
              <w:rPr>
                <w:rFonts w:eastAsia="Times New Roman"/>
              </w:rPr>
              <w:t>491</w:t>
            </w:r>
          </w:p>
        </w:tc>
        <w:tc>
          <w:tcPr>
            <w:tcW w:w="1262" w:type="dxa"/>
          </w:tcPr>
          <w:p w14:paraId="1277DE35" w14:textId="77777777" w:rsidR="00FC0D42" w:rsidRPr="005B0796" w:rsidRDefault="00FC0D42" w:rsidP="009919A9">
            <w:pPr>
              <w:pStyle w:val="TableText"/>
              <w:jc w:val="right"/>
              <w:rPr>
                <w:rFonts w:eastAsia="Times New Roman"/>
                <w:color w:val="000000" w:themeColor="text1"/>
              </w:rPr>
            </w:pPr>
            <w:r w:rsidRPr="005B0796">
              <w:rPr>
                <w:rFonts w:eastAsia="Times New Roman"/>
              </w:rPr>
              <w:t>4</w:t>
            </w:r>
          </w:p>
        </w:tc>
        <w:tc>
          <w:tcPr>
            <w:tcW w:w="1262" w:type="dxa"/>
          </w:tcPr>
          <w:p w14:paraId="1B945958" w14:textId="77777777" w:rsidR="00FC0D42" w:rsidRPr="005B0796" w:rsidRDefault="00FC0D42" w:rsidP="009919A9">
            <w:pPr>
              <w:pStyle w:val="TableText"/>
              <w:jc w:val="right"/>
              <w:rPr>
                <w:color w:val="000000" w:themeColor="text1"/>
              </w:rPr>
            </w:pPr>
            <w:r w:rsidRPr="005B0796">
              <w:rPr>
                <w:rFonts w:eastAsia="Times New Roman"/>
              </w:rPr>
              <w:t>0.8</w:t>
            </w:r>
          </w:p>
        </w:tc>
        <w:tc>
          <w:tcPr>
            <w:tcW w:w="1262" w:type="dxa"/>
          </w:tcPr>
          <w:p w14:paraId="25344064" w14:textId="77777777" w:rsidR="00FC0D42" w:rsidRPr="005B0796" w:rsidRDefault="00FC0D42" w:rsidP="009919A9">
            <w:pPr>
              <w:pStyle w:val="TableText"/>
              <w:jc w:val="right"/>
              <w:rPr>
                <w:rFonts w:eastAsia="Times New Roman"/>
                <w:color w:val="000000" w:themeColor="text1"/>
              </w:rPr>
            </w:pPr>
            <w:r w:rsidRPr="005B0796">
              <w:rPr>
                <w:rFonts w:eastAsia="Times New Roman"/>
              </w:rPr>
              <w:t>122.8</w:t>
            </w:r>
          </w:p>
        </w:tc>
      </w:tr>
      <w:tr w:rsidR="00FC0D42" w:rsidRPr="005B0796" w14:paraId="142196AF" w14:textId="77777777" w:rsidTr="009919A9">
        <w:trPr>
          <w:cantSplit/>
        </w:trPr>
        <w:tc>
          <w:tcPr>
            <w:tcW w:w="2268" w:type="dxa"/>
          </w:tcPr>
          <w:p w14:paraId="19B6E0C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14:paraId="17DA9B53" w14:textId="77777777" w:rsidR="00FC0D42" w:rsidRPr="005B0796" w:rsidRDefault="00FC0D42" w:rsidP="009919A9">
            <w:pPr>
              <w:pStyle w:val="TableText"/>
              <w:jc w:val="right"/>
              <w:rPr>
                <w:rFonts w:eastAsia="Times New Roman"/>
                <w:color w:val="000000" w:themeColor="text1"/>
              </w:rPr>
            </w:pPr>
            <w:r w:rsidRPr="005B0796">
              <w:rPr>
                <w:rFonts w:eastAsia="Times New Roman"/>
              </w:rPr>
              <w:t>1375</w:t>
            </w:r>
          </w:p>
        </w:tc>
        <w:tc>
          <w:tcPr>
            <w:tcW w:w="1262" w:type="dxa"/>
          </w:tcPr>
          <w:p w14:paraId="38856EE2" w14:textId="77777777" w:rsidR="00FC0D42" w:rsidRPr="005B0796" w:rsidRDefault="00FC0D42" w:rsidP="009919A9">
            <w:pPr>
              <w:pStyle w:val="TableText"/>
              <w:jc w:val="right"/>
              <w:rPr>
                <w:rFonts w:eastAsia="Times New Roman"/>
                <w:color w:val="000000" w:themeColor="text1"/>
              </w:rPr>
            </w:pPr>
            <w:r w:rsidRPr="005B0796">
              <w:rPr>
                <w:rFonts w:eastAsia="Times New Roman"/>
              </w:rPr>
              <w:t>14</w:t>
            </w:r>
          </w:p>
        </w:tc>
        <w:tc>
          <w:tcPr>
            <w:tcW w:w="1262" w:type="dxa"/>
          </w:tcPr>
          <w:p w14:paraId="71FBA2A0" w14:textId="77777777" w:rsidR="00FC0D42" w:rsidRPr="005B0796" w:rsidRDefault="00FC0D42" w:rsidP="009919A9">
            <w:pPr>
              <w:pStyle w:val="TableText"/>
              <w:jc w:val="right"/>
              <w:rPr>
                <w:color w:val="000000" w:themeColor="text1"/>
              </w:rPr>
            </w:pPr>
            <w:r w:rsidRPr="005B0796">
              <w:rPr>
                <w:rFonts w:eastAsia="Times New Roman"/>
              </w:rPr>
              <w:t>1.0</w:t>
            </w:r>
          </w:p>
        </w:tc>
        <w:tc>
          <w:tcPr>
            <w:tcW w:w="1262" w:type="dxa"/>
          </w:tcPr>
          <w:p w14:paraId="5D9ABBC0" w14:textId="77777777" w:rsidR="00FC0D42" w:rsidRPr="005B0796" w:rsidRDefault="00FC0D42" w:rsidP="009919A9">
            <w:pPr>
              <w:pStyle w:val="TableText"/>
              <w:jc w:val="right"/>
              <w:rPr>
                <w:rFonts w:eastAsia="Times New Roman"/>
                <w:color w:val="000000" w:themeColor="text1"/>
              </w:rPr>
            </w:pPr>
            <w:r w:rsidRPr="005B0796">
              <w:rPr>
                <w:rFonts w:eastAsia="Times New Roman"/>
              </w:rPr>
              <w:t>98.2</w:t>
            </w:r>
          </w:p>
        </w:tc>
      </w:tr>
      <w:tr w:rsidR="00FC0D42" w:rsidRPr="005B0796" w14:paraId="3C2B958B" w14:textId="77777777" w:rsidTr="009919A9">
        <w:trPr>
          <w:cnfStyle w:val="000000100000" w:firstRow="0" w:lastRow="0" w:firstColumn="0" w:lastColumn="0" w:oddVBand="0" w:evenVBand="0" w:oddHBand="1" w:evenHBand="0" w:firstRowFirstColumn="0" w:firstRowLastColumn="0" w:lastRowFirstColumn="0" w:lastRowLastColumn="0"/>
          <w:cantSplit/>
        </w:trPr>
        <w:tc>
          <w:tcPr>
            <w:tcW w:w="2268" w:type="dxa"/>
          </w:tcPr>
          <w:p w14:paraId="679E7A8F"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 unfit | Air Force</w:t>
            </w:r>
          </w:p>
        </w:tc>
        <w:tc>
          <w:tcPr>
            <w:tcW w:w="1261" w:type="dxa"/>
          </w:tcPr>
          <w:p w14:paraId="45D0A8A0" w14:textId="77777777" w:rsidR="00FC0D42" w:rsidRPr="005B0796" w:rsidRDefault="00FC0D42" w:rsidP="009919A9">
            <w:pPr>
              <w:pStyle w:val="TableText"/>
              <w:jc w:val="right"/>
              <w:rPr>
                <w:rFonts w:eastAsia="Times New Roman"/>
                <w:color w:val="000000" w:themeColor="text1"/>
              </w:rPr>
            </w:pPr>
            <w:r w:rsidRPr="005B0796">
              <w:rPr>
                <w:rFonts w:eastAsia="Times New Roman"/>
              </w:rPr>
              <w:t>268</w:t>
            </w:r>
          </w:p>
        </w:tc>
        <w:tc>
          <w:tcPr>
            <w:tcW w:w="1262" w:type="dxa"/>
          </w:tcPr>
          <w:p w14:paraId="70E1D272" w14:textId="77777777" w:rsidR="00FC0D42" w:rsidRPr="005B0796" w:rsidRDefault="00FC0D42" w:rsidP="009919A9">
            <w:pPr>
              <w:pStyle w:val="TableText"/>
              <w:jc w:val="right"/>
              <w:rPr>
                <w:rFonts w:eastAsia="Times New Roman"/>
                <w:color w:val="000000" w:themeColor="text1"/>
              </w:rPr>
            </w:pPr>
            <w:r w:rsidRPr="005B0796">
              <w:rPr>
                <w:rFonts w:eastAsia="Times New Roman"/>
              </w:rPr>
              <w:t>12</w:t>
            </w:r>
          </w:p>
        </w:tc>
        <w:tc>
          <w:tcPr>
            <w:tcW w:w="1262" w:type="dxa"/>
          </w:tcPr>
          <w:p w14:paraId="225354D4" w14:textId="77777777" w:rsidR="00FC0D42" w:rsidRPr="005B0796" w:rsidRDefault="00FC0D42" w:rsidP="009919A9">
            <w:pPr>
              <w:pStyle w:val="TableText"/>
              <w:jc w:val="right"/>
              <w:rPr>
                <w:color w:val="000000" w:themeColor="text1"/>
              </w:rPr>
            </w:pPr>
            <w:r w:rsidRPr="005B0796">
              <w:rPr>
                <w:rFonts w:eastAsia="Times New Roman"/>
              </w:rPr>
              <w:t>4.5</w:t>
            </w:r>
          </w:p>
        </w:tc>
        <w:tc>
          <w:tcPr>
            <w:tcW w:w="1262" w:type="dxa"/>
          </w:tcPr>
          <w:p w14:paraId="71EA14C4" w14:textId="77777777" w:rsidR="00FC0D42" w:rsidRPr="005B0796" w:rsidRDefault="00FC0D42" w:rsidP="009919A9">
            <w:pPr>
              <w:pStyle w:val="TableText"/>
              <w:jc w:val="right"/>
              <w:rPr>
                <w:rFonts w:eastAsia="Times New Roman"/>
                <w:color w:val="000000" w:themeColor="text1"/>
              </w:rPr>
            </w:pPr>
            <w:r w:rsidRPr="005B0796">
              <w:rPr>
                <w:rFonts w:eastAsia="Times New Roman"/>
              </w:rPr>
              <w:t>22.3</w:t>
            </w:r>
          </w:p>
        </w:tc>
      </w:tr>
    </w:tbl>
    <w:p w14:paraId="6F14D687" w14:textId="77777777" w:rsidR="00FC0D42" w:rsidRPr="005B0796" w:rsidRDefault="00FC0D42" w:rsidP="00FC0D42">
      <w:pPr>
        <w:pStyle w:val="TableNotes"/>
      </w:pPr>
    </w:p>
    <w:p w14:paraId="0D76DB81" w14:textId="77777777" w:rsidR="00FC0D42" w:rsidRPr="005B0796" w:rsidRDefault="00FC0D42" w:rsidP="00FC0D42">
      <w:pPr>
        <w:pStyle w:val="TableName"/>
      </w:pPr>
      <w:bookmarkStart w:id="1561" w:name="_Toc511900515"/>
      <w:bookmarkStart w:id="1562" w:name="_Toc528932391"/>
      <w:bookmarkStart w:id="1563" w:name="_Toc531858070"/>
      <w:r>
        <w:t>Table C.4</w:t>
      </w:r>
      <w:r w:rsidRPr="005B0796">
        <w:tab/>
        <w:t xml:space="preserve">Strata description </w:t>
      </w:r>
      <w:r>
        <w:t xml:space="preserve">– </w:t>
      </w:r>
      <w:r w:rsidRPr="005B0796">
        <w:t>Transitioned ADF</w:t>
      </w:r>
      <w:bookmarkEnd w:id="1561"/>
      <w:bookmarkEnd w:id="1562"/>
      <w:bookmarkEnd w:id="1563"/>
    </w:p>
    <w:tbl>
      <w:tblPr>
        <w:tblStyle w:val="TWRPTable"/>
        <w:tblW w:w="5000" w:type="pct"/>
        <w:tblLayout w:type="fixed"/>
        <w:tblLook w:val="04A0" w:firstRow="1" w:lastRow="0" w:firstColumn="1" w:lastColumn="0" w:noHBand="0" w:noVBand="1"/>
        <w:tblDescription w:val="Table C.4 Strata description – Transitioned ADF"/>
      </w:tblPr>
      <w:tblGrid>
        <w:gridCol w:w="2194"/>
        <w:gridCol w:w="1223"/>
        <w:gridCol w:w="1224"/>
        <w:gridCol w:w="1224"/>
        <w:gridCol w:w="1224"/>
      </w:tblGrid>
      <w:tr w:rsidR="00FC0D42" w:rsidRPr="005B0796" w14:paraId="2E5AC51D" w14:textId="77777777" w:rsidTr="00FC0D42">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val="restart"/>
          </w:tcPr>
          <w:p w14:paraId="23CF8B0E" w14:textId="77777777" w:rsidR="00FC0D42" w:rsidRPr="005B0796" w:rsidRDefault="00FC0D42" w:rsidP="009919A9">
            <w:pPr>
              <w:pStyle w:val="TableText"/>
            </w:pPr>
            <w:r w:rsidRPr="005B0796">
              <w:t>Strata</w:t>
            </w:r>
            <w:r w:rsidRPr="005B0796">
              <w:br/>
            </w:r>
            <w:r w:rsidRPr="005B0796">
              <w:rPr>
                <w:rFonts w:eastAsia="Times New Roman"/>
              </w:rPr>
              <w:t>Sex | Rank | Medical fitness | Service</w:t>
            </w:r>
          </w:p>
        </w:tc>
        <w:tc>
          <w:tcPr>
            <w:tcW w:w="5047" w:type="dxa"/>
            <w:gridSpan w:val="4"/>
          </w:tcPr>
          <w:p w14:paraId="6C164B7C" w14:textId="77777777" w:rsidR="00FC0D42" w:rsidRPr="005B0796" w:rsidRDefault="00FC0D42" w:rsidP="009919A9">
            <w:pPr>
              <w:pStyle w:val="TableText"/>
              <w:jc w:val="center"/>
            </w:pPr>
            <w:r w:rsidRPr="005B0796">
              <w:rPr>
                <w:color w:val="000000" w:themeColor="text1"/>
              </w:rPr>
              <w:t>Transitioned ADF</w:t>
            </w:r>
          </w:p>
        </w:tc>
      </w:tr>
      <w:tr w:rsidR="00FC0D42" w:rsidRPr="005B0796" w14:paraId="6E722604" w14:textId="77777777" w:rsidTr="00FC0D42">
        <w:trPr>
          <w:cnfStyle w:val="100000000000" w:firstRow="1" w:lastRow="0" w:firstColumn="0" w:lastColumn="0" w:oddVBand="0" w:evenVBand="0" w:oddHBand="0" w:evenHBand="0" w:firstRowFirstColumn="0" w:firstRowLastColumn="0" w:lastRowFirstColumn="0" w:lastRowLastColumn="0"/>
          <w:cantSplit/>
          <w:tblHeader/>
        </w:trPr>
        <w:tc>
          <w:tcPr>
            <w:tcW w:w="2268" w:type="dxa"/>
            <w:vMerge/>
          </w:tcPr>
          <w:p w14:paraId="6B48C71E" w14:textId="77777777" w:rsidR="00FC0D42" w:rsidRPr="005B0796" w:rsidRDefault="00FC0D42" w:rsidP="009919A9">
            <w:pPr>
              <w:pStyle w:val="TableText"/>
            </w:pPr>
          </w:p>
        </w:tc>
        <w:tc>
          <w:tcPr>
            <w:tcW w:w="1261" w:type="dxa"/>
          </w:tcPr>
          <w:p w14:paraId="620BC514" w14:textId="77777777" w:rsidR="00FC0D42" w:rsidRPr="005B0796" w:rsidRDefault="00FC0D42" w:rsidP="009919A9">
            <w:pPr>
              <w:pStyle w:val="TableText"/>
              <w:jc w:val="right"/>
            </w:pPr>
            <w:r w:rsidRPr="005B0796">
              <w:t>Population</w:t>
            </w:r>
          </w:p>
        </w:tc>
        <w:tc>
          <w:tcPr>
            <w:tcW w:w="1262" w:type="dxa"/>
          </w:tcPr>
          <w:p w14:paraId="789481C7" w14:textId="77777777" w:rsidR="00FC0D42" w:rsidRPr="005B0796" w:rsidRDefault="00FC0D42" w:rsidP="009919A9">
            <w:pPr>
              <w:pStyle w:val="TableText"/>
              <w:jc w:val="right"/>
            </w:pPr>
            <w:r w:rsidRPr="005B0796">
              <w:t>Responder</w:t>
            </w:r>
          </w:p>
        </w:tc>
        <w:tc>
          <w:tcPr>
            <w:tcW w:w="1262" w:type="dxa"/>
          </w:tcPr>
          <w:p w14:paraId="7443B69C" w14:textId="77777777" w:rsidR="00FC0D42" w:rsidRPr="005B0796" w:rsidRDefault="00FC0D42" w:rsidP="009919A9">
            <w:pPr>
              <w:pStyle w:val="TableText"/>
              <w:jc w:val="right"/>
            </w:pPr>
            <w:r w:rsidRPr="005B0796">
              <w:t>%</w:t>
            </w:r>
          </w:p>
        </w:tc>
        <w:tc>
          <w:tcPr>
            <w:tcW w:w="1262" w:type="dxa"/>
          </w:tcPr>
          <w:p w14:paraId="64C180AC" w14:textId="77777777" w:rsidR="00FC0D42" w:rsidRPr="005B0796" w:rsidRDefault="00FC0D42" w:rsidP="009919A9">
            <w:pPr>
              <w:pStyle w:val="TableText"/>
              <w:jc w:val="right"/>
            </w:pPr>
            <w:r w:rsidRPr="005B0796">
              <w:t>No. of persons in population each responder represents</w:t>
            </w:r>
          </w:p>
        </w:tc>
      </w:tr>
      <w:tr w:rsidR="00FC0D42" w:rsidRPr="005B0796" w14:paraId="35C55AD4"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2C2957FF" w14:textId="77777777" w:rsidR="00FC0D42" w:rsidRPr="005B0796" w:rsidRDefault="00FC0D42" w:rsidP="009919A9">
            <w:pPr>
              <w:pStyle w:val="TableText"/>
              <w:rPr>
                <w:rFonts w:eastAsia="Times New Roman"/>
              </w:rPr>
            </w:pPr>
            <w:r w:rsidRPr="005B0796">
              <w:rPr>
                <w:rFonts w:eastAsia="Times New Roman"/>
              </w:rPr>
              <w:t>Female | OFFR | fit | Navy</w:t>
            </w:r>
          </w:p>
        </w:tc>
        <w:tc>
          <w:tcPr>
            <w:tcW w:w="1261" w:type="dxa"/>
          </w:tcPr>
          <w:p w14:paraId="4921A4E2" w14:textId="77777777" w:rsidR="00FC0D42" w:rsidRPr="005B0796" w:rsidRDefault="00FC0D42" w:rsidP="009919A9">
            <w:pPr>
              <w:pStyle w:val="TableText"/>
              <w:jc w:val="right"/>
              <w:rPr>
                <w:rFonts w:eastAsia="Times New Roman"/>
              </w:rPr>
            </w:pPr>
            <w:r w:rsidRPr="005B0796">
              <w:rPr>
                <w:rFonts w:eastAsia="Times New Roman"/>
              </w:rPr>
              <w:t>122</w:t>
            </w:r>
          </w:p>
        </w:tc>
        <w:tc>
          <w:tcPr>
            <w:tcW w:w="1262" w:type="dxa"/>
          </w:tcPr>
          <w:p w14:paraId="2ABF4460" w14:textId="77777777" w:rsidR="00FC0D42" w:rsidRPr="005B0796" w:rsidRDefault="00FC0D42" w:rsidP="009919A9">
            <w:pPr>
              <w:pStyle w:val="TableText"/>
              <w:jc w:val="right"/>
              <w:rPr>
                <w:rFonts w:eastAsia="Times New Roman"/>
              </w:rPr>
            </w:pPr>
            <w:r w:rsidRPr="005B0796">
              <w:rPr>
                <w:rFonts w:eastAsia="Times New Roman"/>
              </w:rPr>
              <w:t>32</w:t>
            </w:r>
          </w:p>
        </w:tc>
        <w:tc>
          <w:tcPr>
            <w:tcW w:w="1262" w:type="dxa"/>
          </w:tcPr>
          <w:p w14:paraId="06AEDB4A" w14:textId="77777777" w:rsidR="00FC0D42" w:rsidRPr="005B0796" w:rsidRDefault="00FC0D42" w:rsidP="009919A9">
            <w:pPr>
              <w:pStyle w:val="TableText"/>
              <w:jc w:val="right"/>
            </w:pPr>
            <w:r w:rsidRPr="005B0796">
              <w:rPr>
                <w:rFonts w:eastAsia="Times New Roman"/>
              </w:rPr>
              <w:t>26.2</w:t>
            </w:r>
          </w:p>
        </w:tc>
        <w:tc>
          <w:tcPr>
            <w:tcW w:w="1262" w:type="dxa"/>
          </w:tcPr>
          <w:p w14:paraId="7D1F5323" w14:textId="77777777" w:rsidR="00FC0D42" w:rsidRPr="005B0796" w:rsidRDefault="00FC0D42" w:rsidP="009919A9">
            <w:pPr>
              <w:pStyle w:val="TableText"/>
              <w:jc w:val="right"/>
              <w:rPr>
                <w:rFonts w:eastAsia="Times New Roman"/>
              </w:rPr>
            </w:pPr>
            <w:r w:rsidRPr="005B0796">
              <w:rPr>
                <w:rFonts w:eastAsia="Times New Roman"/>
              </w:rPr>
              <w:t>3.8</w:t>
            </w:r>
          </w:p>
        </w:tc>
      </w:tr>
      <w:tr w:rsidR="00FC0D42" w:rsidRPr="005B0796" w14:paraId="2CFFB8A6" w14:textId="77777777" w:rsidTr="00FC0D42">
        <w:trPr>
          <w:cantSplit/>
        </w:trPr>
        <w:tc>
          <w:tcPr>
            <w:tcW w:w="2268" w:type="dxa"/>
          </w:tcPr>
          <w:p w14:paraId="6F3A4D41" w14:textId="77777777" w:rsidR="00FC0D42" w:rsidRPr="005B0796" w:rsidRDefault="00FC0D42" w:rsidP="009919A9">
            <w:pPr>
              <w:pStyle w:val="TableText"/>
              <w:rPr>
                <w:rFonts w:eastAsia="Times New Roman"/>
                <w:lang w:eastAsia="en-GB"/>
              </w:rPr>
            </w:pPr>
            <w:r w:rsidRPr="005B0796">
              <w:rPr>
                <w:rFonts w:eastAsia="Times New Roman"/>
              </w:rPr>
              <w:t>Female | OFFR | fit | Army</w:t>
            </w:r>
          </w:p>
        </w:tc>
        <w:tc>
          <w:tcPr>
            <w:tcW w:w="1261" w:type="dxa"/>
          </w:tcPr>
          <w:p w14:paraId="2AB2B971" w14:textId="77777777" w:rsidR="00FC0D42" w:rsidRPr="005B0796" w:rsidRDefault="00FC0D42" w:rsidP="009919A9">
            <w:pPr>
              <w:pStyle w:val="TableText"/>
              <w:jc w:val="right"/>
              <w:rPr>
                <w:rFonts w:eastAsia="Times New Roman"/>
                <w:lang w:eastAsia="en-GB"/>
              </w:rPr>
            </w:pPr>
            <w:r w:rsidRPr="005B0796">
              <w:rPr>
                <w:rFonts w:eastAsia="Times New Roman"/>
              </w:rPr>
              <w:t>224</w:t>
            </w:r>
          </w:p>
        </w:tc>
        <w:tc>
          <w:tcPr>
            <w:tcW w:w="1262" w:type="dxa"/>
          </w:tcPr>
          <w:p w14:paraId="2580DD39" w14:textId="77777777" w:rsidR="00FC0D42" w:rsidRPr="005B0796" w:rsidRDefault="00FC0D42" w:rsidP="009919A9">
            <w:pPr>
              <w:pStyle w:val="TableText"/>
              <w:jc w:val="right"/>
              <w:rPr>
                <w:rFonts w:eastAsia="Times New Roman"/>
              </w:rPr>
            </w:pPr>
            <w:r w:rsidRPr="005B0796">
              <w:rPr>
                <w:rFonts w:eastAsia="Times New Roman"/>
              </w:rPr>
              <w:t>68</w:t>
            </w:r>
          </w:p>
        </w:tc>
        <w:tc>
          <w:tcPr>
            <w:tcW w:w="1262" w:type="dxa"/>
          </w:tcPr>
          <w:p w14:paraId="5BB39DE2" w14:textId="77777777" w:rsidR="00FC0D42" w:rsidRPr="005B0796" w:rsidRDefault="00FC0D42" w:rsidP="009919A9">
            <w:pPr>
              <w:pStyle w:val="TableText"/>
              <w:jc w:val="right"/>
            </w:pPr>
            <w:r w:rsidRPr="005B0796">
              <w:rPr>
                <w:rFonts w:eastAsia="Times New Roman"/>
              </w:rPr>
              <w:t>30.4</w:t>
            </w:r>
          </w:p>
        </w:tc>
        <w:tc>
          <w:tcPr>
            <w:tcW w:w="1262" w:type="dxa"/>
          </w:tcPr>
          <w:p w14:paraId="14BCE090" w14:textId="77777777" w:rsidR="00FC0D42" w:rsidRPr="005B0796" w:rsidRDefault="00FC0D42" w:rsidP="009919A9">
            <w:pPr>
              <w:pStyle w:val="TableText"/>
              <w:jc w:val="right"/>
              <w:rPr>
                <w:rFonts w:eastAsia="Times New Roman"/>
              </w:rPr>
            </w:pPr>
            <w:r w:rsidRPr="005B0796">
              <w:rPr>
                <w:rFonts w:eastAsia="Times New Roman"/>
              </w:rPr>
              <w:t>3.3</w:t>
            </w:r>
          </w:p>
        </w:tc>
      </w:tr>
      <w:tr w:rsidR="00FC0D42" w:rsidRPr="005B0796" w14:paraId="0893D79F"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695B84F4" w14:textId="77777777" w:rsidR="00FC0D42" w:rsidRPr="005B0796" w:rsidRDefault="00FC0D42" w:rsidP="009919A9">
            <w:pPr>
              <w:pStyle w:val="TableText"/>
              <w:rPr>
                <w:rFonts w:eastAsia="Times New Roman"/>
              </w:rPr>
            </w:pPr>
            <w:r w:rsidRPr="005B0796">
              <w:rPr>
                <w:rFonts w:eastAsia="Times New Roman"/>
              </w:rPr>
              <w:t>Female | OFFR | fit | Air Force</w:t>
            </w:r>
          </w:p>
        </w:tc>
        <w:tc>
          <w:tcPr>
            <w:tcW w:w="1261" w:type="dxa"/>
          </w:tcPr>
          <w:p w14:paraId="77087DDF" w14:textId="77777777" w:rsidR="00FC0D42" w:rsidRPr="005B0796" w:rsidRDefault="00FC0D42" w:rsidP="009919A9">
            <w:pPr>
              <w:pStyle w:val="TableText"/>
              <w:jc w:val="right"/>
              <w:rPr>
                <w:rFonts w:eastAsia="Times New Roman"/>
              </w:rPr>
            </w:pPr>
            <w:r w:rsidRPr="005B0796">
              <w:rPr>
                <w:rFonts w:eastAsia="Times New Roman"/>
              </w:rPr>
              <w:t>133</w:t>
            </w:r>
          </w:p>
        </w:tc>
        <w:tc>
          <w:tcPr>
            <w:tcW w:w="1262" w:type="dxa"/>
          </w:tcPr>
          <w:p w14:paraId="1BD1D02C" w14:textId="77777777" w:rsidR="00FC0D42" w:rsidRPr="005B0796" w:rsidRDefault="00FC0D42" w:rsidP="009919A9">
            <w:pPr>
              <w:pStyle w:val="TableText"/>
              <w:jc w:val="right"/>
              <w:rPr>
                <w:rFonts w:eastAsia="Times New Roman"/>
              </w:rPr>
            </w:pPr>
            <w:r w:rsidRPr="005B0796">
              <w:rPr>
                <w:rFonts w:eastAsia="Times New Roman"/>
              </w:rPr>
              <w:t>41</w:t>
            </w:r>
          </w:p>
        </w:tc>
        <w:tc>
          <w:tcPr>
            <w:tcW w:w="1262" w:type="dxa"/>
          </w:tcPr>
          <w:p w14:paraId="5B2BDAB6" w14:textId="77777777" w:rsidR="00FC0D42" w:rsidRPr="005B0796" w:rsidRDefault="00FC0D42" w:rsidP="009919A9">
            <w:pPr>
              <w:pStyle w:val="TableText"/>
              <w:jc w:val="right"/>
            </w:pPr>
            <w:r w:rsidRPr="005B0796">
              <w:rPr>
                <w:rFonts w:eastAsia="Times New Roman"/>
              </w:rPr>
              <w:t>30.8</w:t>
            </w:r>
          </w:p>
        </w:tc>
        <w:tc>
          <w:tcPr>
            <w:tcW w:w="1262" w:type="dxa"/>
          </w:tcPr>
          <w:p w14:paraId="3C7250D5" w14:textId="77777777" w:rsidR="00FC0D42" w:rsidRPr="005B0796" w:rsidRDefault="00FC0D42" w:rsidP="009919A9">
            <w:pPr>
              <w:pStyle w:val="TableText"/>
              <w:jc w:val="right"/>
              <w:rPr>
                <w:rFonts w:eastAsia="Times New Roman"/>
              </w:rPr>
            </w:pPr>
            <w:r w:rsidRPr="005B0796">
              <w:rPr>
                <w:rFonts w:eastAsia="Times New Roman"/>
              </w:rPr>
              <w:t>3.2</w:t>
            </w:r>
          </w:p>
        </w:tc>
      </w:tr>
      <w:tr w:rsidR="00FC0D42" w:rsidRPr="005B0796" w14:paraId="68305FCE" w14:textId="77777777" w:rsidTr="00FC0D42">
        <w:trPr>
          <w:cantSplit/>
        </w:trPr>
        <w:tc>
          <w:tcPr>
            <w:tcW w:w="2268" w:type="dxa"/>
          </w:tcPr>
          <w:p w14:paraId="2AC392E1" w14:textId="77777777" w:rsidR="00FC0D42" w:rsidRPr="005B0796" w:rsidRDefault="00FC0D42" w:rsidP="009919A9">
            <w:pPr>
              <w:pStyle w:val="TableText"/>
              <w:rPr>
                <w:rFonts w:eastAsia="Times New Roman"/>
              </w:rPr>
            </w:pPr>
            <w:r w:rsidRPr="005B0796">
              <w:rPr>
                <w:rFonts w:eastAsia="Times New Roman"/>
              </w:rPr>
              <w:t>Female | OFFR | unfit | Navy</w:t>
            </w:r>
          </w:p>
        </w:tc>
        <w:tc>
          <w:tcPr>
            <w:tcW w:w="1261" w:type="dxa"/>
          </w:tcPr>
          <w:p w14:paraId="2BE68A58" w14:textId="77777777" w:rsidR="00FC0D42" w:rsidRPr="005B0796" w:rsidRDefault="00FC0D42" w:rsidP="009919A9">
            <w:pPr>
              <w:pStyle w:val="TableText"/>
              <w:jc w:val="right"/>
              <w:rPr>
                <w:rFonts w:eastAsia="Times New Roman"/>
              </w:rPr>
            </w:pPr>
            <w:r w:rsidRPr="005B0796">
              <w:rPr>
                <w:rFonts w:eastAsia="Times New Roman"/>
              </w:rPr>
              <w:t>63</w:t>
            </w:r>
          </w:p>
        </w:tc>
        <w:tc>
          <w:tcPr>
            <w:tcW w:w="1262" w:type="dxa"/>
          </w:tcPr>
          <w:p w14:paraId="46562C2F" w14:textId="77777777" w:rsidR="00FC0D42" w:rsidRPr="005B0796" w:rsidRDefault="00FC0D42" w:rsidP="009919A9">
            <w:pPr>
              <w:pStyle w:val="TableText"/>
              <w:jc w:val="right"/>
              <w:rPr>
                <w:rFonts w:eastAsia="Times New Roman"/>
              </w:rPr>
            </w:pPr>
            <w:r w:rsidRPr="005B0796">
              <w:rPr>
                <w:rFonts w:eastAsia="Times New Roman"/>
              </w:rPr>
              <w:t>21</w:t>
            </w:r>
          </w:p>
        </w:tc>
        <w:tc>
          <w:tcPr>
            <w:tcW w:w="1262" w:type="dxa"/>
          </w:tcPr>
          <w:p w14:paraId="72E9D539" w14:textId="77777777" w:rsidR="00FC0D42" w:rsidRPr="005B0796" w:rsidRDefault="00FC0D42" w:rsidP="009919A9">
            <w:pPr>
              <w:pStyle w:val="TableText"/>
              <w:jc w:val="right"/>
            </w:pPr>
            <w:r w:rsidRPr="005B0796">
              <w:rPr>
                <w:rFonts w:eastAsia="Times New Roman"/>
              </w:rPr>
              <w:t>33.3</w:t>
            </w:r>
          </w:p>
        </w:tc>
        <w:tc>
          <w:tcPr>
            <w:tcW w:w="1262" w:type="dxa"/>
          </w:tcPr>
          <w:p w14:paraId="0FA5D6DC" w14:textId="77777777" w:rsidR="00FC0D42" w:rsidRPr="005B0796" w:rsidRDefault="00FC0D42" w:rsidP="009919A9">
            <w:pPr>
              <w:pStyle w:val="TableText"/>
              <w:jc w:val="right"/>
              <w:rPr>
                <w:rFonts w:eastAsia="Times New Roman"/>
              </w:rPr>
            </w:pPr>
            <w:r w:rsidRPr="005B0796">
              <w:rPr>
                <w:rFonts w:eastAsia="Times New Roman"/>
              </w:rPr>
              <w:t>3.0</w:t>
            </w:r>
          </w:p>
        </w:tc>
      </w:tr>
      <w:tr w:rsidR="00FC0D42" w:rsidRPr="005B0796" w14:paraId="2DCE1F70"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22D85048" w14:textId="77777777" w:rsidR="00FC0D42" w:rsidRPr="005B0796" w:rsidRDefault="00FC0D42" w:rsidP="009919A9">
            <w:pPr>
              <w:pStyle w:val="TableText"/>
              <w:rPr>
                <w:rFonts w:eastAsia="Times New Roman"/>
              </w:rPr>
            </w:pPr>
            <w:r w:rsidRPr="005B0796">
              <w:rPr>
                <w:rFonts w:eastAsia="Times New Roman"/>
              </w:rPr>
              <w:t>Female | OFFR | unfit | Army</w:t>
            </w:r>
          </w:p>
        </w:tc>
        <w:tc>
          <w:tcPr>
            <w:tcW w:w="1261" w:type="dxa"/>
          </w:tcPr>
          <w:p w14:paraId="5F8CA9F4" w14:textId="77777777" w:rsidR="00FC0D42" w:rsidRPr="005B0796" w:rsidRDefault="00FC0D42" w:rsidP="009919A9">
            <w:pPr>
              <w:pStyle w:val="TableText"/>
              <w:jc w:val="right"/>
              <w:rPr>
                <w:rFonts w:eastAsia="Times New Roman"/>
              </w:rPr>
            </w:pPr>
            <w:r w:rsidRPr="005B0796">
              <w:rPr>
                <w:rFonts w:eastAsia="Times New Roman"/>
              </w:rPr>
              <w:t>90</w:t>
            </w:r>
          </w:p>
        </w:tc>
        <w:tc>
          <w:tcPr>
            <w:tcW w:w="1262" w:type="dxa"/>
          </w:tcPr>
          <w:p w14:paraId="3260E0A4" w14:textId="77777777" w:rsidR="00FC0D42" w:rsidRPr="005B0796" w:rsidRDefault="00FC0D42" w:rsidP="009919A9">
            <w:pPr>
              <w:pStyle w:val="TableText"/>
              <w:jc w:val="right"/>
              <w:rPr>
                <w:rFonts w:eastAsia="Times New Roman"/>
              </w:rPr>
            </w:pPr>
            <w:r w:rsidRPr="005B0796">
              <w:rPr>
                <w:rFonts w:eastAsia="Times New Roman"/>
              </w:rPr>
              <w:t>31</w:t>
            </w:r>
          </w:p>
        </w:tc>
        <w:tc>
          <w:tcPr>
            <w:tcW w:w="1262" w:type="dxa"/>
          </w:tcPr>
          <w:p w14:paraId="4996B5BD" w14:textId="77777777" w:rsidR="00FC0D42" w:rsidRPr="005B0796" w:rsidRDefault="00FC0D42" w:rsidP="009919A9">
            <w:pPr>
              <w:pStyle w:val="TableText"/>
              <w:jc w:val="right"/>
            </w:pPr>
            <w:r w:rsidRPr="005B0796">
              <w:rPr>
                <w:rFonts w:eastAsia="Times New Roman"/>
              </w:rPr>
              <w:t>34.4</w:t>
            </w:r>
          </w:p>
        </w:tc>
        <w:tc>
          <w:tcPr>
            <w:tcW w:w="1262" w:type="dxa"/>
          </w:tcPr>
          <w:p w14:paraId="35C6FC69" w14:textId="77777777" w:rsidR="00FC0D42" w:rsidRPr="005B0796" w:rsidRDefault="00FC0D42" w:rsidP="009919A9">
            <w:pPr>
              <w:pStyle w:val="TableText"/>
              <w:jc w:val="right"/>
              <w:rPr>
                <w:rFonts w:eastAsia="Times New Roman"/>
              </w:rPr>
            </w:pPr>
            <w:r w:rsidRPr="005B0796">
              <w:rPr>
                <w:rFonts w:eastAsia="Times New Roman"/>
              </w:rPr>
              <w:t>2.9</w:t>
            </w:r>
          </w:p>
        </w:tc>
      </w:tr>
      <w:tr w:rsidR="00FC0D42" w:rsidRPr="005B0796" w14:paraId="3FBB949B" w14:textId="77777777" w:rsidTr="00FC0D42">
        <w:trPr>
          <w:cantSplit/>
        </w:trPr>
        <w:tc>
          <w:tcPr>
            <w:tcW w:w="2268" w:type="dxa"/>
          </w:tcPr>
          <w:p w14:paraId="5798D69D" w14:textId="77777777" w:rsidR="00FC0D42" w:rsidRPr="005B0796" w:rsidRDefault="00FC0D42" w:rsidP="009919A9">
            <w:pPr>
              <w:pStyle w:val="TableText"/>
              <w:rPr>
                <w:rFonts w:eastAsia="Times New Roman"/>
              </w:rPr>
            </w:pPr>
            <w:r w:rsidRPr="005B0796">
              <w:rPr>
                <w:rFonts w:eastAsia="Times New Roman"/>
              </w:rPr>
              <w:t>Female | OFFR | unfit | Air Force</w:t>
            </w:r>
          </w:p>
        </w:tc>
        <w:tc>
          <w:tcPr>
            <w:tcW w:w="1261" w:type="dxa"/>
          </w:tcPr>
          <w:p w14:paraId="1D6E3774" w14:textId="77777777" w:rsidR="00FC0D42" w:rsidRPr="005B0796" w:rsidRDefault="00FC0D42" w:rsidP="009919A9">
            <w:pPr>
              <w:pStyle w:val="TableText"/>
              <w:jc w:val="right"/>
              <w:rPr>
                <w:rFonts w:eastAsia="Times New Roman"/>
              </w:rPr>
            </w:pPr>
            <w:r w:rsidRPr="005B0796">
              <w:rPr>
                <w:rFonts w:eastAsia="Times New Roman"/>
              </w:rPr>
              <w:t>59</w:t>
            </w:r>
          </w:p>
        </w:tc>
        <w:tc>
          <w:tcPr>
            <w:tcW w:w="1262" w:type="dxa"/>
          </w:tcPr>
          <w:p w14:paraId="28521EA1" w14:textId="77777777" w:rsidR="00FC0D42" w:rsidRPr="005B0796" w:rsidRDefault="00FC0D42" w:rsidP="009919A9">
            <w:pPr>
              <w:pStyle w:val="TableText"/>
              <w:jc w:val="right"/>
              <w:rPr>
                <w:rFonts w:eastAsia="Times New Roman"/>
              </w:rPr>
            </w:pPr>
            <w:r w:rsidRPr="005B0796">
              <w:rPr>
                <w:rFonts w:eastAsia="Times New Roman"/>
              </w:rPr>
              <w:t>25</w:t>
            </w:r>
          </w:p>
        </w:tc>
        <w:tc>
          <w:tcPr>
            <w:tcW w:w="1262" w:type="dxa"/>
          </w:tcPr>
          <w:p w14:paraId="716DD6E2" w14:textId="77777777" w:rsidR="00FC0D42" w:rsidRPr="005B0796" w:rsidRDefault="00FC0D42" w:rsidP="009919A9">
            <w:pPr>
              <w:pStyle w:val="TableText"/>
              <w:jc w:val="right"/>
            </w:pPr>
            <w:r w:rsidRPr="005B0796">
              <w:rPr>
                <w:rFonts w:eastAsia="Times New Roman"/>
              </w:rPr>
              <w:t>42.4</w:t>
            </w:r>
          </w:p>
        </w:tc>
        <w:tc>
          <w:tcPr>
            <w:tcW w:w="1262" w:type="dxa"/>
          </w:tcPr>
          <w:p w14:paraId="1DD9987C" w14:textId="77777777" w:rsidR="00FC0D42" w:rsidRPr="005B0796" w:rsidRDefault="00FC0D42" w:rsidP="009919A9">
            <w:pPr>
              <w:pStyle w:val="TableText"/>
              <w:jc w:val="right"/>
              <w:rPr>
                <w:rFonts w:eastAsia="Times New Roman"/>
              </w:rPr>
            </w:pPr>
            <w:r w:rsidRPr="005B0796">
              <w:rPr>
                <w:rFonts w:eastAsia="Times New Roman"/>
              </w:rPr>
              <w:t>2.4</w:t>
            </w:r>
          </w:p>
        </w:tc>
      </w:tr>
      <w:tr w:rsidR="00FC0D42" w:rsidRPr="005B0796" w14:paraId="24E69EE1"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1A40C3B2" w14:textId="77777777" w:rsidR="00FC0D42" w:rsidRPr="005B0796" w:rsidRDefault="00FC0D42" w:rsidP="009919A9">
            <w:pPr>
              <w:pStyle w:val="TableText"/>
              <w:rPr>
                <w:rFonts w:eastAsia="Times New Roman"/>
              </w:rPr>
            </w:pPr>
            <w:r w:rsidRPr="005B0796">
              <w:rPr>
                <w:rFonts w:eastAsia="Times New Roman"/>
              </w:rPr>
              <w:t>Female | NCO | fit | Navy</w:t>
            </w:r>
          </w:p>
        </w:tc>
        <w:tc>
          <w:tcPr>
            <w:tcW w:w="1261" w:type="dxa"/>
          </w:tcPr>
          <w:p w14:paraId="41A03EC8" w14:textId="77777777" w:rsidR="00FC0D42" w:rsidRPr="005B0796" w:rsidRDefault="00FC0D42" w:rsidP="009919A9">
            <w:pPr>
              <w:pStyle w:val="TableText"/>
              <w:jc w:val="right"/>
              <w:rPr>
                <w:rFonts w:eastAsia="Times New Roman"/>
              </w:rPr>
            </w:pPr>
            <w:r w:rsidRPr="005B0796">
              <w:rPr>
                <w:rFonts w:eastAsia="Times New Roman"/>
              </w:rPr>
              <w:t>198</w:t>
            </w:r>
          </w:p>
        </w:tc>
        <w:tc>
          <w:tcPr>
            <w:tcW w:w="1262" w:type="dxa"/>
          </w:tcPr>
          <w:p w14:paraId="3B95648F" w14:textId="77777777" w:rsidR="00FC0D42" w:rsidRPr="005B0796" w:rsidRDefault="00FC0D42" w:rsidP="009919A9">
            <w:pPr>
              <w:pStyle w:val="TableText"/>
              <w:jc w:val="right"/>
              <w:rPr>
                <w:rFonts w:eastAsia="Times New Roman"/>
              </w:rPr>
            </w:pPr>
            <w:r w:rsidRPr="005B0796">
              <w:rPr>
                <w:rFonts w:eastAsia="Times New Roman"/>
              </w:rPr>
              <w:t>49</w:t>
            </w:r>
          </w:p>
        </w:tc>
        <w:tc>
          <w:tcPr>
            <w:tcW w:w="1262" w:type="dxa"/>
          </w:tcPr>
          <w:p w14:paraId="6D3F9CFC" w14:textId="77777777" w:rsidR="00FC0D42" w:rsidRPr="005B0796" w:rsidRDefault="00FC0D42" w:rsidP="009919A9">
            <w:pPr>
              <w:pStyle w:val="TableText"/>
              <w:jc w:val="right"/>
            </w:pPr>
            <w:r w:rsidRPr="005B0796">
              <w:rPr>
                <w:rFonts w:eastAsia="Times New Roman"/>
              </w:rPr>
              <w:t>24.7</w:t>
            </w:r>
          </w:p>
        </w:tc>
        <w:tc>
          <w:tcPr>
            <w:tcW w:w="1262" w:type="dxa"/>
          </w:tcPr>
          <w:p w14:paraId="3C7663FC" w14:textId="77777777" w:rsidR="00FC0D42" w:rsidRPr="005B0796" w:rsidRDefault="00FC0D42" w:rsidP="009919A9">
            <w:pPr>
              <w:pStyle w:val="TableText"/>
              <w:jc w:val="right"/>
              <w:rPr>
                <w:rFonts w:eastAsia="Times New Roman"/>
              </w:rPr>
            </w:pPr>
            <w:r w:rsidRPr="005B0796">
              <w:rPr>
                <w:rFonts w:eastAsia="Times New Roman"/>
              </w:rPr>
              <w:t>4.0</w:t>
            </w:r>
          </w:p>
        </w:tc>
      </w:tr>
      <w:tr w:rsidR="00FC0D42" w:rsidRPr="005B0796" w14:paraId="69B2EB68" w14:textId="77777777" w:rsidTr="00FC0D42">
        <w:trPr>
          <w:cantSplit/>
        </w:trPr>
        <w:tc>
          <w:tcPr>
            <w:tcW w:w="2268" w:type="dxa"/>
          </w:tcPr>
          <w:p w14:paraId="3E69D988" w14:textId="77777777" w:rsidR="00FC0D42" w:rsidRPr="005B0796" w:rsidRDefault="00FC0D42" w:rsidP="009919A9">
            <w:pPr>
              <w:pStyle w:val="TableText"/>
              <w:rPr>
                <w:rFonts w:eastAsia="Times New Roman"/>
              </w:rPr>
            </w:pPr>
            <w:r w:rsidRPr="005B0796">
              <w:rPr>
                <w:rFonts w:eastAsia="Times New Roman"/>
              </w:rPr>
              <w:t>Female | NCO | fit | Army</w:t>
            </w:r>
          </w:p>
        </w:tc>
        <w:tc>
          <w:tcPr>
            <w:tcW w:w="1261" w:type="dxa"/>
          </w:tcPr>
          <w:p w14:paraId="7DCB0E4B" w14:textId="77777777" w:rsidR="00FC0D42" w:rsidRPr="005B0796" w:rsidRDefault="00FC0D42" w:rsidP="009919A9">
            <w:pPr>
              <w:pStyle w:val="TableText"/>
              <w:jc w:val="right"/>
              <w:rPr>
                <w:rFonts w:eastAsia="Times New Roman"/>
              </w:rPr>
            </w:pPr>
            <w:r w:rsidRPr="005B0796">
              <w:rPr>
                <w:rFonts w:eastAsia="Times New Roman"/>
              </w:rPr>
              <w:t>263</w:t>
            </w:r>
          </w:p>
        </w:tc>
        <w:tc>
          <w:tcPr>
            <w:tcW w:w="1262" w:type="dxa"/>
          </w:tcPr>
          <w:p w14:paraId="71F055EB" w14:textId="77777777" w:rsidR="00FC0D42" w:rsidRPr="005B0796" w:rsidRDefault="00FC0D42" w:rsidP="009919A9">
            <w:pPr>
              <w:pStyle w:val="TableText"/>
              <w:jc w:val="right"/>
              <w:rPr>
                <w:rFonts w:eastAsia="Times New Roman"/>
              </w:rPr>
            </w:pPr>
            <w:r w:rsidRPr="005B0796">
              <w:rPr>
                <w:rFonts w:eastAsia="Times New Roman"/>
              </w:rPr>
              <w:t>80</w:t>
            </w:r>
          </w:p>
        </w:tc>
        <w:tc>
          <w:tcPr>
            <w:tcW w:w="1262" w:type="dxa"/>
          </w:tcPr>
          <w:p w14:paraId="2C1D102F" w14:textId="77777777" w:rsidR="00FC0D42" w:rsidRPr="005B0796" w:rsidRDefault="00FC0D42" w:rsidP="009919A9">
            <w:pPr>
              <w:pStyle w:val="TableText"/>
              <w:jc w:val="right"/>
            </w:pPr>
            <w:r w:rsidRPr="005B0796">
              <w:rPr>
                <w:rFonts w:eastAsia="Times New Roman"/>
              </w:rPr>
              <w:t>30.4</w:t>
            </w:r>
          </w:p>
        </w:tc>
        <w:tc>
          <w:tcPr>
            <w:tcW w:w="1262" w:type="dxa"/>
          </w:tcPr>
          <w:p w14:paraId="72029FA2" w14:textId="77777777" w:rsidR="00FC0D42" w:rsidRPr="005B0796" w:rsidRDefault="00FC0D42" w:rsidP="009919A9">
            <w:pPr>
              <w:pStyle w:val="TableText"/>
              <w:jc w:val="right"/>
              <w:rPr>
                <w:rFonts w:eastAsia="Times New Roman"/>
              </w:rPr>
            </w:pPr>
            <w:r w:rsidRPr="005B0796">
              <w:rPr>
                <w:rFonts w:eastAsia="Times New Roman"/>
              </w:rPr>
              <w:t>3.3</w:t>
            </w:r>
          </w:p>
        </w:tc>
      </w:tr>
      <w:tr w:rsidR="00FC0D42" w:rsidRPr="005B0796" w14:paraId="4465EA54"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0FFDE1CE" w14:textId="77777777" w:rsidR="00FC0D42" w:rsidRPr="005B0796" w:rsidRDefault="00FC0D42" w:rsidP="009919A9">
            <w:pPr>
              <w:pStyle w:val="TableText"/>
              <w:rPr>
                <w:rFonts w:eastAsia="Times New Roman"/>
              </w:rPr>
            </w:pPr>
            <w:r w:rsidRPr="005B0796">
              <w:rPr>
                <w:rFonts w:eastAsia="Times New Roman"/>
              </w:rPr>
              <w:t>Female | NCO | fit | Air Force</w:t>
            </w:r>
          </w:p>
        </w:tc>
        <w:tc>
          <w:tcPr>
            <w:tcW w:w="1261" w:type="dxa"/>
          </w:tcPr>
          <w:p w14:paraId="19CC5A54" w14:textId="77777777" w:rsidR="00FC0D42" w:rsidRPr="005B0796" w:rsidRDefault="00FC0D42" w:rsidP="009919A9">
            <w:pPr>
              <w:pStyle w:val="TableText"/>
              <w:jc w:val="right"/>
              <w:rPr>
                <w:rFonts w:eastAsia="Times New Roman"/>
              </w:rPr>
            </w:pPr>
            <w:r w:rsidRPr="005B0796">
              <w:rPr>
                <w:rFonts w:eastAsia="Times New Roman"/>
              </w:rPr>
              <w:t>188</w:t>
            </w:r>
          </w:p>
        </w:tc>
        <w:tc>
          <w:tcPr>
            <w:tcW w:w="1262" w:type="dxa"/>
          </w:tcPr>
          <w:p w14:paraId="4FB20EB9" w14:textId="77777777" w:rsidR="00FC0D42" w:rsidRPr="005B0796" w:rsidRDefault="00FC0D42" w:rsidP="009919A9">
            <w:pPr>
              <w:pStyle w:val="TableText"/>
              <w:jc w:val="right"/>
              <w:rPr>
                <w:rFonts w:eastAsia="Times New Roman"/>
              </w:rPr>
            </w:pPr>
            <w:r w:rsidRPr="005B0796">
              <w:rPr>
                <w:rFonts w:eastAsia="Times New Roman"/>
              </w:rPr>
              <w:t>56</w:t>
            </w:r>
          </w:p>
        </w:tc>
        <w:tc>
          <w:tcPr>
            <w:tcW w:w="1262" w:type="dxa"/>
          </w:tcPr>
          <w:p w14:paraId="7CEBB09C" w14:textId="77777777" w:rsidR="00FC0D42" w:rsidRPr="005B0796" w:rsidRDefault="00FC0D42" w:rsidP="009919A9">
            <w:pPr>
              <w:pStyle w:val="TableText"/>
              <w:jc w:val="right"/>
            </w:pPr>
            <w:r w:rsidRPr="005B0796">
              <w:rPr>
                <w:rFonts w:eastAsia="Times New Roman"/>
              </w:rPr>
              <w:t>29.8</w:t>
            </w:r>
          </w:p>
        </w:tc>
        <w:tc>
          <w:tcPr>
            <w:tcW w:w="1262" w:type="dxa"/>
          </w:tcPr>
          <w:p w14:paraId="78E355F7" w14:textId="77777777" w:rsidR="00FC0D42" w:rsidRPr="005B0796" w:rsidRDefault="00FC0D42" w:rsidP="009919A9">
            <w:pPr>
              <w:pStyle w:val="TableText"/>
              <w:jc w:val="right"/>
              <w:rPr>
                <w:rFonts w:eastAsia="Times New Roman"/>
              </w:rPr>
            </w:pPr>
            <w:r w:rsidRPr="005B0796">
              <w:rPr>
                <w:rFonts w:eastAsia="Times New Roman"/>
              </w:rPr>
              <w:t>3.4</w:t>
            </w:r>
          </w:p>
        </w:tc>
      </w:tr>
      <w:tr w:rsidR="00FC0D42" w:rsidRPr="005B0796" w14:paraId="6E2FE19C" w14:textId="77777777" w:rsidTr="00FC0D42">
        <w:trPr>
          <w:cantSplit/>
        </w:trPr>
        <w:tc>
          <w:tcPr>
            <w:tcW w:w="2268" w:type="dxa"/>
          </w:tcPr>
          <w:p w14:paraId="14DB6D43"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NCO | unfit | Navy</w:t>
            </w:r>
          </w:p>
        </w:tc>
        <w:tc>
          <w:tcPr>
            <w:tcW w:w="1261" w:type="dxa"/>
          </w:tcPr>
          <w:p w14:paraId="40FB678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101</w:t>
            </w:r>
          </w:p>
        </w:tc>
        <w:tc>
          <w:tcPr>
            <w:tcW w:w="1262" w:type="dxa"/>
          </w:tcPr>
          <w:p w14:paraId="07BF64C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26</w:t>
            </w:r>
          </w:p>
        </w:tc>
        <w:tc>
          <w:tcPr>
            <w:tcW w:w="1262" w:type="dxa"/>
          </w:tcPr>
          <w:p w14:paraId="54894197"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25.7</w:t>
            </w:r>
          </w:p>
        </w:tc>
        <w:tc>
          <w:tcPr>
            <w:tcW w:w="1262" w:type="dxa"/>
          </w:tcPr>
          <w:p w14:paraId="30A612E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3.9</w:t>
            </w:r>
          </w:p>
        </w:tc>
      </w:tr>
      <w:tr w:rsidR="00FC0D42" w:rsidRPr="005B0796" w14:paraId="3695C04C"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3DEF18A1" w14:textId="77777777" w:rsidR="00FC0D42" w:rsidRPr="005B0796" w:rsidRDefault="00FC0D42" w:rsidP="009919A9">
            <w:pPr>
              <w:pStyle w:val="TableText"/>
              <w:rPr>
                <w:rFonts w:eastAsia="Times New Roman"/>
              </w:rPr>
            </w:pPr>
            <w:r w:rsidRPr="005B0796">
              <w:rPr>
                <w:rFonts w:eastAsia="Times New Roman"/>
              </w:rPr>
              <w:t>Female | NCO | unfit | Army</w:t>
            </w:r>
          </w:p>
        </w:tc>
        <w:tc>
          <w:tcPr>
            <w:tcW w:w="1261" w:type="dxa"/>
          </w:tcPr>
          <w:p w14:paraId="1890B52D" w14:textId="77777777" w:rsidR="00FC0D42" w:rsidRPr="005B0796" w:rsidRDefault="00FC0D42" w:rsidP="009919A9">
            <w:pPr>
              <w:pStyle w:val="TableText"/>
              <w:jc w:val="right"/>
              <w:rPr>
                <w:rFonts w:eastAsia="Times New Roman"/>
              </w:rPr>
            </w:pPr>
            <w:r w:rsidRPr="005B0796">
              <w:rPr>
                <w:rFonts w:eastAsia="Times New Roman"/>
              </w:rPr>
              <w:t>139</w:t>
            </w:r>
          </w:p>
        </w:tc>
        <w:tc>
          <w:tcPr>
            <w:tcW w:w="1262" w:type="dxa"/>
          </w:tcPr>
          <w:p w14:paraId="02834D47" w14:textId="77777777" w:rsidR="00FC0D42" w:rsidRPr="005B0796" w:rsidRDefault="00FC0D42" w:rsidP="009919A9">
            <w:pPr>
              <w:pStyle w:val="TableText"/>
              <w:jc w:val="right"/>
              <w:rPr>
                <w:rFonts w:eastAsia="Times New Roman"/>
              </w:rPr>
            </w:pPr>
            <w:r w:rsidRPr="005B0796">
              <w:rPr>
                <w:rFonts w:eastAsia="Times New Roman"/>
              </w:rPr>
              <w:t>48</w:t>
            </w:r>
          </w:p>
        </w:tc>
        <w:tc>
          <w:tcPr>
            <w:tcW w:w="1262" w:type="dxa"/>
          </w:tcPr>
          <w:p w14:paraId="02384CAD" w14:textId="77777777" w:rsidR="00FC0D42" w:rsidRPr="005B0796" w:rsidRDefault="00FC0D42" w:rsidP="009919A9">
            <w:pPr>
              <w:pStyle w:val="TableText"/>
              <w:jc w:val="right"/>
            </w:pPr>
            <w:r w:rsidRPr="005B0796">
              <w:rPr>
                <w:rFonts w:eastAsia="Times New Roman"/>
              </w:rPr>
              <w:t>34.5</w:t>
            </w:r>
          </w:p>
        </w:tc>
        <w:tc>
          <w:tcPr>
            <w:tcW w:w="1262" w:type="dxa"/>
          </w:tcPr>
          <w:p w14:paraId="44E23EF3" w14:textId="77777777" w:rsidR="00FC0D42" w:rsidRPr="005B0796" w:rsidRDefault="00FC0D42" w:rsidP="009919A9">
            <w:pPr>
              <w:pStyle w:val="TableText"/>
              <w:jc w:val="right"/>
              <w:rPr>
                <w:rFonts w:eastAsia="Times New Roman"/>
              </w:rPr>
            </w:pPr>
            <w:r w:rsidRPr="005B0796">
              <w:rPr>
                <w:rFonts w:eastAsia="Times New Roman"/>
              </w:rPr>
              <w:t>2.9</w:t>
            </w:r>
          </w:p>
        </w:tc>
      </w:tr>
      <w:tr w:rsidR="00FC0D42" w:rsidRPr="005B0796" w14:paraId="7D5F5862" w14:textId="77777777" w:rsidTr="00FC0D42">
        <w:trPr>
          <w:cantSplit/>
        </w:trPr>
        <w:tc>
          <w:tcPr>
            <w:tcW w:w="2268" w:type="dxa"/>
          </w:tcPr>
          <w:p w14:paraId="29FEF582"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NCO | unfit | Air Force</w:t>
            </w:r>
          </w:p>
        </w:tc>
        <w:tc>
          <w:tcPr>
            <w:tcW w:w="1261" w:type="dxa"/>
          </w:tcPr>
          <w:p w14:paraId="351D442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92</w:t>
            </w:r>
          </w:p>
        </w:tc>
        <w:tc>
          <w:tcPr>
            <w:tcW w:w="1262" w:type="dxa"/>
          </w:tcPr>
          <w:p w14:paraId="3ECC9AC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30</w:t>
            </w:r>
          </w:p>
        </w:tc>
        <w:tc>
          <w:tcPr>
            <w:tcW w:w="1262" w:type="dxa"/>
          </w:tcPr>
          <w:p w14:paraId="4A59D15A"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32.6</w:t>
            </w:r>
          </w:p>
        </w:tc>
        <w:tc>
          <w:tcPr>
            <w:tcW w:w="1262" w:type="dxa"/>
          </w:tcPr>
          <w:p w14:paraId="72C1517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3.1</w:t>
            </w:r>
          </w:p>
        </w:tc>
      </w:tr>
      <w:tr w:rsidR="00FC0D42" w:rsidRPr="005B0796" w14:paraId="2D295995"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4DCEA81A"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Navy</w:t>
            </w:r>
          </w:p>
        </w:tc>
        <w:tc>
          <w:tcPr>
            <w:tcW w:w="1261" w:type="dxa"/>
          </w:tcPr>
          <w:p w14:paraId="0C13DB1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411</w:t>
            </w:r>
          </w:p>
        </w:tc>
        <w:tc>
          <w:tcPr>
            <w:tcW w:w="1262" w:type="dxa"/>
          </w:tcPr>
          <w:p w14:paraId="70C7EB0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25</w:t>
            </w:r>
          </w:p>
        </w:tc>
        <w:tc>
          <w:tcPr>
            <w:tcW w:w="1262" w:type="dxa"/>
          </w:tcPr>
          <w:p w14:paraId="40911D53" w14:textId="77777777" w:rsidR="00FC0D42" w:rsidRPr="005B0796" w:rsidRDefault="00FC0D42" w:rsidP="009919A9">
            <w:pPr>
              <w:pStyle w:val="TableText"/>
              <w:jc w:val="right"/>
              <w:rPr>
                <w:color w:val="000000" w:themeColor="text1"/>
              </w:rPr>
            </w:pPr>
            <w:r w:rsidRPr="005B0796">
              <w:rPr>
                <w:rFonts w:eastAsia="Times New Roman"/>
                <w:color w:val="000000" w:themeColor="text1"/>
              </w:rPr>
              <w:t>6.1</w:t>
            </w:r>
          </w:p>
        </w:tc>
        <w:tc>
          <w:tcPr>
            <w:tcW w:w="1262" w:type="dxa"/>
          </w:tcPr>
          <w:p w14:paraId="1A1EDDA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16.4</w:t>
            </w:r>
          </w:p>
        </w:tc>
      </w:tr>
      <w:tr w:rsidR="00FC0D42" w:rsidRPr="005B0796" w14:paraId="5145C952" w14:textId="77777777" w:rsidTr="00FC0D42">
        <w:trPr>
          <w:cantSplit/>
        </w:trPr>
        <w:tc>
          <w:tcPr>
            <w:tcW w:w="2268" w:type="dxa"/>
          </w:tcPr>
          <w:p w14:paraId="265E78C8"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Army</w:t>
            </w:r>
          </w:p>
        </w:tc>
        <w:tc>
          <w:tcPr>
            <w:tcW w:w="1261" w:type="dxa"/>
          </w:tcPr>
          <w:p w14:paraId="114C475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421</w:t>
            </w:r>
          </w:p>
        </w:tc>
        <w:tc>
          <w:tcPr>
            <w:tcW w:w="1262" w:type="dxa"/>
          </w:tcPr>
          <w:p w14:paraId="365A387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34</w:t>
            </w:r>
          </w:p>
        </w:tc>
        <w:tc>
          <w:tcPr>
            <w:tcW w:w="1262" w:type="dxa"/>
          </w:tcPr>
          <w:p w14:paraId="3E34EEDE" w14:textId="77777777" w:rsidR="00FC0D42" w:rsidRPr="005B0796" w:rsidRDefault="00FC0D42" w:rsidP="009919A9">
            <w:pPr>
              <w:pStyle w:val="TableText"/>
              <w:jc w:val="right"/>
              <w:rPr>
                <w:color w:val="000000" w:themeColor="text1"/>
              </w:rPr>
            </w:pPr>
            <w:r w:rsidRPr="005B0796">
              <w:rPr>
                <w:rFonts w:eastAsia="Times New Roman"/>
                <w:color w:val="000000" w:themeColor="text1"/>
              </w:rPr>
              <w:t>8.1</w:t>
            </w:r>
          </w:p>
        </w:tc>
        <w:tc>
          <w:tcPr>
            <w:tcW w:w="1262" w:type="dxa"/>
          </w:tcPr>
          <w:p w14:paraId="0FBC98F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12.4</w:t>
            </w:r>
          </w:p>
        </w:tc>
      </w:tr>
      <w:tr w:rsidR="00FC0D42" w:rsidRPr="005B0796" w14:paraId="1FB0BFCF"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7D493D74"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fit | Air Force</w:t>
            </w:r>
          </w:p>
        </w:tc>
        <w:tc>
          <w:tcPr>
            <w:tcW w:w="1261" w:type="dxa"/>
          </w:tcPr>
          <w:p w14:paraId="7DC7963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156</w:t>
            </w:r>
          </w:p>
        </w:tc>
        <w:tc>
          <w:tcPr>
            <w:tcW w:w="1262" w:type="dxa"/>
          </w:tcPr>
          <w:p w14:paraId="6CDA4DE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21</w:t>
            </w:r>
          </w:p>
        </w:tc>
        <w:tc>
          <w:tcPr>
            <w:tcW w:w="1262" w:type="dxa"/>
          </w:tcPr>
          <w:p w14:paraId="0DEAE731"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13.5</w:t>
            </w:r>
          </w:p>
        </w:tc>
        <w:tc>
          <w:tcPr>
            <w:tcW w:w="1262" w:type="dxa"/>
          </w:tcPr>
          <w:p w14:paraId="07B401A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7.4</w:t>
            </w:r>
          </w:p>
        </w:tc>
      </w:tr>
      <w:tr w:rsidR="00FC0D42" w:rsidRPr="005B0796" w14:paraId="1881F68B" w14:textId="77777777" w:rsidTr="00FC0D42">
        <w:trPr>
          <w:cantSplit/>
        </w:trPr>
        <w:tc>
          <w:tcPr>
            <w:tcW w:w="2268" w:type="dxa"/>
          </w:tcPr>
          <w:p w14:paraId="5ABB3500"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Navy</w:t>
            </w:r>
          </w:p>
        </w:tc>
        <w:tc>
          <w:tcPr>
            <w:tcW w:w="1261" w:type="dxa"/>
          </w:tcPr>
          <w:p w14:paraId="5AED21CE"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226</w:t>
            </w:r>
          </w:p>
        </w:tc>
        <w:tc>
          <w:tcPr>
            <w:tcW w:w="1262" w:type="dxa"/>
          </w:tcPr>
          <w:p w14:paraId="5636CFC0"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34</w:t>
            </w:r>
          </w:p>
        </w:tc>
        <w:tc>
          <w:tcPr>
            <w:tcW w:w="1262" w:type="dxa"/>
          </w:tcPr>
          <w:p w14:paraId="0FCCD284"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15.0</w:t>
            </w:r>
          </w:p>
        </w:tc>
        <w:tc>
          <w:tcPr>
            <w:tcW w:w="1262" w:type="dxa"/>
          </w:tcPr>
          <w:p w14:paraId="3FB4DCA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6.6</w:t>
            </w:r>
          </w:p>
        </w:tc>
      </w:tr>
      <w:tr w:rsidR="00FC0D42" w:rsidRPr="005B0796" w14:paraId="16ACB798"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4CDC0059"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 Other Rank | unfit | Army</w:t>
            </w:r>
          </w:p>
        </w:tc>
        <w:tc>
          <w:tcPr>
            <w:tcW w:w="1261" w:type="dxa"/>
          </w:tcPr>
          <w:p w14:paraId="2F06259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270</w:t>
            </w:r>
          </w:p>
        </w:tc>
        <w:tc>
          <w:tcPr>
            <w:tcW w:w="1262" w:type="dxa"/>
          </w:tcPr>
          <w:p w14:paraId="19DD8BE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40</w:t>
            </w:r>
          </w:p>
        </w:tc>
        <w:tc>
          <w:tcPr>
            <w:tcW w:w="1262" w:type="dxa"/>
          </w:tcPr>
          <w:p w14:paraId="634C88D6"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14.8</w:t>
            </w:r>
          </w:p>
        </w:tc>
        <w:tc>
          <w:tcPr>
            <w:tcW w:w="1262" w:type="dxa"/>
          </w:tcPr>
          <w:p w14:paraId="0A2A5FE0"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6.8</w:t>
            </w:r>
          </w:p>
        </w:tc>
      </w:tr>
      <w:tr w:rsidR="00FC0D42" w:rsidRPr="005B0796" w14:paraId="7CBECB04" w14:textId="77777777" w:rsidTr="00FC0D42">
        <w:trPr>
          <w:cantSplit/>
        </w:trPr>
        <w:tc>
          <w:tcPr>
            <w:tcW w:w="2268" w:type="dxa"/>
          </w:tcPr>
          <w:p w14:paraId="7B0C03ED"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Female| Other Rank | unfit | Air Force</w:t>
            </w:r>
          </w:p>
        </w:tc>
        <w:tc>
          <w:tcPr>
            <w:tcW w:w="1261" w:type="dxa"/>
          </w:tcPr>
          <w:p w14:paraId="16FFA6C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105</w:t>
            </w:r>
          </w:p>
        </w:tc>
        <w:tc>
          <w:tcPr>
            <w:tcW w:w="1262" w:type="dxa"/>
          </w:tcPr>
          <w:p w14:paraId="68AD76D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19</w:t>
            </w:r>
          </w:p>
        </w:tc>
        <w:tc>
          <w:tcPr>
            <w:tcW w:w="1262" w:type="dxa"/>
          </w:tcPr>
          <w:p w14:paraId="61B59E9A"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18.1</w:t>
            </w:r>
          </w:p>
        </w:tc>
        <w:tc>
          <w:tcPr>
            <w:tcW w:w="1262" w:type="dxa"/>
          </w:tcPr>
          <w:p w14:paraId="0F925B2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5.5</w:t>
            </w:r>
          </w:p>
        </w:tc>
      </w:tr>
      <w:tr w:rsidR="00FC0D42" w:rsidRPr="005B0796" w14:paraId="20EFFD9A"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3E7F43FA"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Navy</w:t>
            </w:r>
          </w:p>
        </w:tc>
        <w:tc>
          <w:tcPr>
            <w:tcW w:w="1261" w:type="dxa"/>
          </w:tcPr>
          <w:p w14:paraId="335F9A7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583</w:t>
            </w:r>
          </w:p>
        </w:tc>
        <w:tc>
          <w:tcPr>
            <w:tcW w:w="1262" w:type="dxa"/>
          </w:tcPr>
          <w:p w14:paraId="75B5E6D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173</w:t>
            </w:r>
          </w:p>
        </w:tc>
        <w:tc>
          <w:tcPr>
            <w:tcW w:w="1262" w:type="dxa"/>
          </w:tcPr>
          <w:p w14:paraId="5E6528CF"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29.7</w:t>
            </w:r>
          </w:p>
        </w:tc>
        <w:tc>
          <w:tcPr>
            <w:tcW w:w="1262" w:type="dxa"/>
          </w:tcPr>
          <w:p w14:paraId="69DB664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3.4</w:t>
            </w:r>
          </w:p>
        </w:tc>
      </w:tr>
      <w:tr w:rsidR="00FC0D42" w:rsidRPr="005B0796" w14:paraId="6E1EF5FE" w14:textId="77777777" w:rsidTr="00FC0D42">
        <w:trPr>
          <w:cantSplit/>
        </w:trPr>
        <w:tc>
          <w:tcPr>
            <w:tcW w:w="2268" w:type="dxa"/>
          </w:tcPr>
          <w:p w14:paraId="31E0B2D2"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Army</w:t>
            </w:r>
          </w:p>
        </w:tc>
        <w:tc>
          <w:tcPr>
            <w:tcW w:w="1261" w:type="dxa"/>
          </w:tcPr>
          <w:p w14:paraId="1438ECC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1409</w:t>
            </w:r>
          </w:p>
        </w:tc>
        <w:tc>
          <w:tcPr>
            <w:tcW w:w="1262" w:type="dxa"/>
          </w:tcPr>
          <w:p w14:paraId="66E00A2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401</w:t>
            </w:r>
          </w:p>
        </w:tc>
        <w:tc>
          <w:tcPr>
            <w:tcW w:w="1262" w:type="dxa"/>
          </w:tcPr>
          <w:p w14:paraId="3BF31433"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28.5</w:t>
            </w:r>
          </w:p>
        </w:tc>
        <w:tc>
          <w:tcPr>
            <w:tcW w:w="1262" w:type="dxa"/>
          </w:tcPr>
          <w:p w14:paraId="775AB6A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3.5</w:t>
            </w:r>
          </w:p>
        </w:tc>
      </w:tr>
      <w:tr w:rsidR="00FC0D42" w:rsidRPr="005B0796" w14:paraId="3D3D1E4C"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34D007E3"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fit | Air Force</w:t>
            </w:r>
          </w:p>
        </w:tc>
        <w:tc>
          <w:tcPr>
            <w:tcW w:w="1261" w:type="dxa"/>
          </w:tcPr>
          <w:p w14:paraId="2BCB579F"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772</w:t>
            </w:r>
          </w:p>
        </w:tc>
        <w:tc>
          <w:tcPr>
            <w:tcW w:w="1262" w:type="dxa"/>
          </w:tcPr>
          <w:p w14:paraId="32ED458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253</w:t>
            </w:r>
          </w:p>
        </w:tc>
        <w:tc>
          <w:tcPr>
            <w:tcW w:w="1262" w:type="dxa"/>
          </w:tcPr>
          <w:p w14:paraId="539132EB"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32.8</w:t>
            </w:r>
          </w:p>
        </w:tc>
        <w:tc>
          <w:tcPr>
            <w:tcW w:w="1262" w:type="dxa"/>
          </w:tcPr>
          <w:p w14:paraId="045B4A4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3.1</w:t>
            </w:r>
          </w:p>
        </w:tc>
      </w:tr>
      <w:tr w:rsidR="00FC0D42" w:rsidRPr="005B0796" w14:paraId="104CC896" w14:textId="77777777" w:rsidTr="00FC0D42">
        <w:trPr>
          <w:cantSplit/>
        </w:trPr>
        <w:tc>
          <w:tcPr>
            <w:tcW w:w="2268" w:type="dxa"/>
          </w:tcPr>
          <w:p w14:paraId="6CC00C4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Navy</w:t>
            </w:r>
          </w:p>
        </w:tc>
        <w:tc>
          <w:tcPr>
            <w:tcW w:w="1261" w:type="dxa"/>
          </w:tcPr>
          <w:p w14:paraId="1EA48C6A"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124</w:t>
            </w:r>
          </w:p>
        </w:tc>
        <w:tc>
          <w:tcPr>
            <w:tcW w:w="1262" w:type="dxa"/>
          </w:tcPr>
          <w:p w14:paraId="29AB790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47</w:t>
            </w:r>
          </w:p>
        </w:tc>
        <w:tc>
          <w:tcPr>
            <w:tcW w:w="1262" w:type="dxa"/>
          </w:tcPr>
          <w:p w14:paraId="324ED610"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37.9</w:t>
            </w:r>
          </w:p>
        </w:tc>
        <w:tc>
          <w:tcPr>
            <w:tcW w:w="1262" w:type="dxa"/>
          </w:tcPr>
          <w:p w14:paraId="1576F975"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2.6</w:t>
            </w:r>
          </w:p>
        </w:tc>
      </w:tr>
      <w:tr w:rsidR="00FC0D42" w:rsidRPr="005B0796" w14:paraId="7C0BB168"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6CB7D61E"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Army</w:t>
            </w:r>
          </w:p>
        </w:tc>
        <w:tc>
          <w:tcPr>
            <w:tcW w:w="1261" w:type="dxa"/>
          </w:tcPr>
          <w:p w14:paraId="639E1C8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350</w:t>
            </w:r>
          </w:p>
        </w:tc>
        <w:tc>
          <w:tcPr>
            <w:tcW w:w="1262" w:type="dxa"/>
          </w:tcPr>
          <w:p w14:paraId="43B87860"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114</w:t>
            </w:r>
          </w:p>
        </w:tc>
        <w:tc>
          <w:tcPr>
            <w:tcW w:w="1262" w:type="dxa"/>
          </w:tcPr>
          <w:p w14:paraId="16EEC9DA"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32.6</w:t>
            </w:r>
          </w:p>
        </w:tc>
        <w:tc>
          <w:tcPr>
            <w:tcW w:w="1262" w:type="dxa"/>
          </w:tcPr>
          <w:p w14:paraId="61C274E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3.1</w:t>
            </w:r>
          </w:p>
        </w:tc>
      </w:tr>
      <w:tr w:rsidR="00FC0D42" w:rsidRPr="005B0796" w14:paraId="345AA233" w14:textId="77777777" w:rsidTr="00FC0D42">
        <w:trPr>
          <w:cantSplit/>
        </w:trPr>
        <w:tc>
          <w:tcPr>
            <w:tcW w:w="2268" w:type="dxa"/>
          </w:tcPr>
          <w:p w14:paraId="67A1EDC5"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OFFR | unfit | Air Force</w:t>
            </w:r>
          </w:p>
        </w:tc>
        <w:tc>
          <w:tcPr>
            <w:tcW w:w="1261" w:type="dxa"/>
          </w:tcPr>
          <w:p w14:paraId="4A2B9CA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134</w:t>
            </w:r>
          </w:p>
        </w:tc>
        <w:tc>
          <w:tcPr>
            <w:tcW w:w="1262" w:type="dxa"/>
          </w:tcPr>
          <w:p w14:paraId="062640D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53</w:t>
            </w:r>
          </w:p>
        </w:tc>
        <w:tc>
          <w:tcPr>
            <w:tcW w:w="1262" w:type="dxa"/>
          </w:tcPr>
          <w:p w14:paraId="0493119D"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39.6</w:t>
            </w:r>
          </w:p>
        </w:tc>
        <w:tc>
          <w:tcPr>
            <w:tcW w:w="1262" w:type="dxa"/>
          </w:tcPr>
          <w:p w14:paraId="191777C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2.5</w:t>
            </w:r>
          </w:p>
        </w:tc>
      </w:tr>
      <w:tr w:rsidR="00FC0D42" w:rsidRPr="005B0796" w14:paraId="7E96AC76"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140D4C02"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Navy</w:t>
            </w:r>
          </w:p>
        </w:tc>
        <w:tc>
          <w:tcPr>
            <w:tcW w:w="1261" w:type="dxa"/>
          </w:tcPr>
          <w:p w14:paraId="5D29952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1285</w:t>
            </w:r>
          </w:p>
        </w:tc>
        <w:tc>
          <w:tcPr>
            <w:tcW w:w="1262" w:type="dxa"/>
          </w:tcPr>
          <w:p w14:paraId="1F4C14B9"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225</w:t>
            </w:r>
          </w:p>
        </w:tc>
        <w:tc>
          <w:tcPr>
            <w:tcW w:w="1262" w:type="dxa"/>
          </w:tcPr>
          <w:p w14:paraId="44C3B3FB" w14:textId="77777777" w:rsidR="00FC0D42" w:rsidRPr="005B0796" w:rsidRDefault="00FC0D42" w:rsidP="009919A9">
            <w:pPr>
              <w:pStyle w:val="TableText"/>
              <w:jc w:val="right"/>
              <w:rPr>
                <w:color w:val="000000" w:themeColor="text1"/>
              </w:rPr>
            </w:pPr>
            <w:r w:rsidRPr="005B0796">
              <w:rPr>
                <w:rFonts w:eastAsia="Times New Roman"/>
                <w:color w:val="000000" w:themeColor="text1"/>
              </w:rPr>
              <w:t>17.5</w:t>
            </w:r>
          </w:p>
        </w:tc>
        <w:tc>
          <w:tcPr>
            <w:tcW w:w="1262" w:type="dxa"/>
          </w:tcPr>
          <w:p w14:paraId="22DC758F"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5.7</w:t>
            </w:r>
          </w:p>
        </w:tc>
      </w:tr>
      <w:tr w:rsidR="00FC0D42" w:rsidRPr="005B0796" w14:paraId="0991C3AF" w14:textId="77777777" w:rsidTr="00FC0D42">
        <w:trPr>
          <w:cantSplit/>
        </w:trPr>
        <w:tc>
          <w:tcPr>
            <w:tcW w:w="2268" w:type="dxa"/>
          </w:tcPr>
          <w:p w14:paraId="75632FF0"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Army</w:t>
            </w:r>
          </w:p>
        </w:tc>
        <w:tc>
          <w:tcPr>
            <w:tcW w:w="1261" w:type="dxa"/>
          </w:tcPr>
          <w:p w14:paraId="7932FAC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2735</w:t>
            </w:r>
          </w:p>
        </w:tc>
        <w:tc>
          <w:tcPr>
            <w:tcW w:w="1262" w:type="dxa"/>
          </w:tcPr>
          <w:p w14:paraId="33CC8AFA"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752</w:t>
            </w:r>
          </w:p>
        </w:tc>
        <w:tc>
          <w:tcPr>
            <w:tcW w:w="1262" w:type="dxa"/>
          </w:tcPr>
          <w:p w14:paraId="48FC6014"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27.5</w:t>
            </w:r>
          </w:p>
        </w:tc>
        <w:tc>
          <w:tcPr>
            <w:tcW w:w="1262" w:type="dxa"/>
          </w:tcPr>
          <w:p w14:paraId="14FEAF2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3.6</w:t>
            </w:r>
          </w:p>
        </w:tc>
      </w:tr>
      <w:tr w:rsidR="00FC0D42" w:rsidRPr="005B0796" w14:paraId="0F4FDADA"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380CCE9E"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fit | Air Force</w:t>
            </w:r>
          </w:p>
        </w:tc>
        <w:tc>
          <w:tcPr>
            <w:tcW w:w="1261" w:type="dxa"/>
          </w:tcPr>
          <w:p w14:paraId="5E5F462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1148</w:t>
            </w:r>
          </w:p>
        </w:tc>
        <w:tc>
          <w:tcPr>
            <w:tcW w:w="1262" w:type="dxa"/>
          </w:tcPr>
          <w:p w14:paraId="081366A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291</w:t>
            </w:r>
          </w:p>
        </w:tc>
        <w:tc>
          <w:tcPr>
            <w:tcW w:w="1262" w:type="dxa"/>
          </w:tcPr>
          <w:p w14:paraId="6B566471"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25.3</w:t>
            </w:r>
          </w:p>
        </w:tc>
        <w:tc>
          <w:tcPr>
            <w:tcW w:w="1262" w:type="dxa"/>
          </w:tcPr>
          <w:p w14:paraId="6C583756"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3.9</w:t>
            </w:r>
          </w:p>
        </w:tc>
      </w:tr>
      <w:tr w:rsidR="00FC0D42" w:rsidRPr="005B0796" w14:paraId="2D189CDF" w14:textId="77777777" w:rsidTr="00FC0D42">
        <w:trPr>
          <w:cantSplit/>
        </w:trPr>
        <w:tc>
          <w:tcPr>
            <w:tcW w:w="2268" w:type="dxa"/>
          </w:tcPr>
          <w:p w14:paraId="058B935F"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Navy</w:t>
            </w:r>
          </w:p>
        </w:tc>
        <w:tc>
          <w:tcPr>
            <w:tcW w:w="1261" w:type="dxa"/>
          </w:tcPr>
          <w:p w14:paraId="56A16380" w14:textId="77777777" w:rsidR="00FC0D42" w:rsidRPr="005B0796" w:rsidRDefault="00FC0D42" w:rsidP="009919A9">
            <w:pPr>
              <w:pStyle w:val="TableText"/>
              <w:jc w:val="right"/>
              <w:rPr>
                <w:rFonts w:eastAsia="Times New Roman"/>
                <w:color w:val="000000" w:themeColor="text1"/>
                <w:lang w:eastAsia="en-GB"/>
              </w:rPr>
            </w:pPr>
            <w:r w:rsidRPr="005B0796">
              <w:rPr>
                <w:rFonts w:eastAsia="Times New Roman"/>
                <w:color w:val="000000" w:themeColor="text1"/>
              </w:rPr>
              <w:t>343</w:t>
            </w:r>
          </w:p>
        </w:tc>
        <w:tc>
          <w:tcPr>
            <w:tcW w:w="1262" w:type="dxa"/>
          </w:tcPr>
          <w:p w14:paraId="087303FD"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92</w:t>
            </w:r>
          </w:p>
        </w:tc>
        <w:tc>
          <w:tcPr>
            <w:tcW w:w="1262" w:type="dxa"/>
          </w:tcPr>
          <w:p w14:paraId="3F6CB642" w14:textId="77777777" w:rsidR="00FC0D42" w:rsidRPr="005B0796" w:rsidRDefault="00FC0D42" w:rsidP="009919A9">
            <w:pPr>
              <w:pStyle w:val="TableText"/>
              <w:jc w:val="right"/>
              <w:rPr>
                <w:color w:val="000000" w:themeColor="text1"/>
              </w:rPr>
            </w:pPr>
            <w:r w:rsidRPr="005B0796">
              <w:rPr>
                <w:rFonts w:eastAsia="Times New Roman"/>
                <w:color w:val="000000" w:themeColor="text1"/>
              </w:rPr>
              <w:t>26.8</w:t>
            </w:r>
          </w:p>
        </w:tc>
        <w:tc>
          <w:tcPr>
            <w:tcW w:w="1262" w:type="dxa"/>
          </w:tcPr>
          <w:p w14:paraId="4898E86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3.7</w:t>
            </w:r>
          </w:p>
        </w:tc>
      </w:tr>
      <w:tr w:rsidR="00FC0D42" w:rsidRPr="005B0796" w14:paraId="1E192FA2"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2446EE9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Army</w:t>
            </w:r>
          </w:p>
        </w:tc>
        <w:tc>
          <w:tcPr>
            <w:tcW w:w="1261" w:type="dxa"/>
          </w:tcPr>
          <w:p w14:paraId="503C70BF"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1055</w:t>
            </w:r>
          </w:p>
        </w:tc>
        <w:tc>
          <w:tcPr>
            <w:tcW w:w="1262" w:type="dxa"/>
          </w:tcPr>
          <w:p w14:paraId="39BE315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337</w:t>
            </w:r>
          </w:p>
        </w:tc>
        <w:tc>
          <w:tcPr>
            <w:tcW w:w="1262" w:type="dxa"/>
          </w:tcPr>
          <w:p w14:paraId="5076D9C6"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31.9</w:t>
            </w:r>
          </w:p>
        </w:tc>
        <w:tc>
          <w:tcPr>
            <w:tcW w:w="1262" w:type="dxa"/>
          </w:tcPr>
          <w:p w14:paraId="7A8D699A"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3.1</w:t>
            </w:r>
          </w:p>
        </w:tc>
      </w:tr>
      <w:tr w:rsidR="00FC0D42" w:rsidRPr="005B0796" w14:paraId="042B2958" w14:textId="77777777" w:rsidTr="00FC0D42">
        <w:trPr>
          <w:cantSplit/>
        </w:trPr>
        <w:tc>
          <w:tcPr>
            <w:tcW w:w="2268" w:type="dxa"/>
          </w:tcPr>
          <w:p w14:paraId="474528E7"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NCO | unfit | Air Force</w:t>
            </w:r>
          </w:p>
        </w:tc>
        <w:tc>
          <w:tcPr>
            <w:tcW w:w="1261" w:type="dxa"/>
          </w:tcPr>
          <w:p w14:paraId="433EF19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319</w:t>
            </w:r>
          </w:p>
        </w:tc>
        <w:tc>
          <w:tcPr>
            <w:tcW w:w="1262" w:type="dxa"/>
          </w:tcPr>
          <w:p w14:paraId="60C73F97"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111</w:t>
            </w:r>
          </w:p>
        </w:tc>
        <w:tc>
          <w:tcPr>
            <w:tcW w:w="1262" w:type="dxa"/>
          </w:tcPr>
          <w:p w14:paraId="56DF68DC" w14:textId="77777777" w:rsidR="00FC0D42" w:rsidRPr="005B0796" w:rsidRDefault="00FC0D42" w:rsidP="009919A9">
            <w:pPr>
              <w:pStyle w:val="TableText"/>
              <w:jc w:val="right"/>
              <w:rPr>
                <w:color w:val="000000" w:themeColor="text1"/>
              </w:rPr>
            </w:pPr>
            <w:r w:rsidRPr="005B0796">
              <w:rPr>
                <w:rFonts w:eastAsia="Times New Roman"/>
                <w:color w:val="000000" w:themeColor="text1"/>
              </w:rPr>
              <w:t>34.8</w:t>
            </w:r>
          </w:p>
        </w:tc>
        <w:tc>
          <w:tcPr>
            <w:tcW w:w="1262" w:type="dxa"/>
          </w:tcPr>
          <w:p w14:paraId="53C6941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2.9</w:t>
            </w:r>
          </w:p>
        </w:tc>
      </w:tr>
      <w:tr w:rsidR="00FC0D42" w:rsidRPr="005B0796" w14:paraId="5686A13F"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06DDCE4B"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Navy</w:t>
            </w:r>
          </w:p>
        </w:tc>
        <w:tc>
          <w:tcPr>
            <w:tcW w:w="1261" w:type="dxa"/>
          </w:tcPr>
          <w:p w14:paraId="063FC50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1697</w:t>
            </w:r>
          </w:p>
        </w:tc>
        <w:tc>
          <w:tcPr>
            <w:tcW w:w="1262" w:type="dxa"/>
          </w:tcPr>
          <w:p w14:paraId="57755BDA"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88</w:t>
            </w:r>
          </w:p>
        </w:tc>
        <w:tc>
          <w:tcPr>
            <w:tcW w:w="1262" w:type="dxa"/>
          </w:tcPr>
          <w:p w14:paraId="4C51A5A4" w14:textId="77777777" w:rsidR="00FC0D42" w:rsidRPr="005B0796" w:rsidRDefault="00FC0D42" w:rsidP="009919A9">
            <w:pPr>
              <w:pStyle w:val="TableText"/>
              <w:jc w:val="right"/>
              <w:rPr>
                <w:color w:val="000000" w:themeColor="text1"/>
              </w:rPr>
            </w:pPr>
            <w:r w:rsidRPr="005B0796">
              <w:rPr>
                <w:rFonts w:eastAsia="Times New Roman"/>
                <w:color w:val="000000" w:themeColor="text1"/>
              </w:rPr>
              <w:t>5.2</w:t>
            </w:r>
          </w:p>
        </w:tc>
        <w:tc>
          <w:tcPr>
            <w:tcW w:w="1262" w:type="dxa"/>
          </w:tcPr>
          <w:p w14:paraId="734C708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19.3</w:t>
            </w:r>
          </w:p>
        </w:tc>
      </w:tr>
      <w:tr w:rsidR="00FC0D42" w:rsidRPr="005B0796" w14:paraId="2DA868A7" w14:textId="77777777" w:rsidTr="00FC0D42">
        <w:trPr>
          <w:cantSplit/>
        </w:trPr>
        <w:tc>
          <w:tcPr>
            <w:tcW w:w="2268" w:type="dxa"/>
          </w:tcPr>
          <w:p w14:paraId="05E4C76E"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Army</w:t>
            </w:r>
          </w:p>
        </w:tc>
        <w:tc>
          <w:tcPr>
            <w:tcW w:w="1261" w:type="dxa"/>
          </w:tcPr>
          <w:p w14:paraId="34C37CC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5639</w:t>
            </w:r>
          </w:p>
        </w:tc>
        <w:tc>
          <w:tcPr>
            <w:tcW w:w="1262" w:type="dxa"/>
          </w:tcPr>
          <w:p w14:paraId="4A96085A"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327</w:t>
            </w:r>
          </w:p>
        </w:tc>
        <w:tc>
          <w:tcPr>
            <w:tcW w:w="1262" w:type="dxa"/>
          </w:tcPr>
          <w:p w14:paraId="78CB316B" w14:textId="77777777" w:rsidR="00FC0D42" w:rsidRPr="005B0796" w:rsidRDefault="00FC0D42" w:rsidP="009919A9">
            <w:pPr>
              <w:pStyle w:val="TableText"/>
              <w:jc w:val="right"/>
              <w:rPr>
                <w:color w:val="000000" w:themeColor="text1"/>
              </w:rPr>
            </w:pPr>
            <w:r w:rsidRPr="005B0796">
              <w:rPr>
                <w:rFonts w:eastAsia="Times New Roman"/>
                <w:color w:val="000000" w:themeColor="text1"/>
              </w:rPr>
              <w:t>5.8</w:t>
            </w:r>
          </w:p>
        </w:tc>
        <w:tc>
          <w:tcPr>
            <w:tcW w:w="1262" w:type="dxa"/>
          </w:tcPr>
          <w:p w14:paraId="2633D613"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17.2</w:t>
            </w:r>
          </w:p>
        </w:tc>
      </w:tr>
      <w:tr w:rsidR="00FC0D42" w:rsidRPr="005B0796" w14:paraId="0AD55A1F"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30C388AA"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fit | Air Force</w:t>
            </w:r>
          </w:p>
        </w:tc>
        <w:tc>
          <w:tcPr>
            <w:tcW w:w="1261" w:type="dxa"/>
          </w:tcPr>
          <w:p w14:paraId="585EABD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889</w:t>
            </w:r>
          </w:p>
        </w:tc>
        <w:tc>
          <w:tcPr>
            <w:tcW w:w="1262" w:type="dxa"/>
          </w:tcPr>
          <w:p w14:paraId="42F4096A"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65</w:t>
            </w:r>
          </w:p>
        </w:tc>
        <w:tc>
          <w:tcPr>
            <w:tcW w:w="1262" w:type="dxa"/>
          </w:tcPr>
          <w:p w14:paraId="2719EFF7" w14:textId="77777777" w:rsidR="00FC0D42" w:rsidRPr="005B0796" w:rsidRDefault="00FC0D42" w:rsidP="009919A9">
            <w:pPr>
              <w:pStyle w:val="TableText"/>
              <w:jc w:val="right"/>
              <w:rPr>
                <w:color w:val="000000" w:themeColor="text1"/>
              </w:rPr>
            </w:pPr>
            <w:r w:rsidRPr="005B0796">
              <w:rPr>
                <w:rFonts w:eastAsia="Times New Roman"/>
                <w:color w:val="000000" w:themeColor="text1"/>
              </w:rPr>
              <w:t>7.3</w:t>
            </w:r>
          </w:p>
        </w:tc>
        <w:tc>
          <w:tcPr>
            <w:tcW w:w="1262" w:type="dxa"/>
          </w:tcPr>
          <w:p w14:paraId="2917A302"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13.7</w:t>
            </w:r>
          </w:p>
        </w:tc>
      </w:tr>
      <w:tr w:rsidR="00FC0D42" w:rsidRPr="005B0796" w14:paraId="2149744E" w14:textId="77777777" w:rsidTr="00FC0D42">
        <w:trPr>
          <w:cantSplit/>
        </w:trPr>
        <w:tc>
          <w:tcPr>
            <w:tcW w:w="2268" w:type="dxa"/>
          </w:tcPr>
          <w:p w14:paraId="35EF1B4C"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 xml:space="preserve">Male | Other Rank | unfit | Navy </w:t>
            </w:r>
          </w:p>
        </w:tc>
        <w:tc>
          <w:tcPr>
            <w:tcW w:w="1261" w:type="dxa"/>
          </w:tcPr>
          <w:p w14:paraId="30F709C1"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518</w:t>
            </w:r>
          </w:p>
        </w:tc>
        <w:tc>
          <w:tcPr>
            <w:tcW w:w="1262" w:type="dxa"/>
          </w:tcPr>
          <w:p w14:paraId="103DEE1C"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51</w:t>
            </w:r>
          </w:p>
        </w:tc>
        <w:tc>
          <w:tcPr>
            <w:tcW w:w="1262" w:type="dxa"/>
          </w:tcPr>
          <w:p w14:paraId="32E4561B" w14:textId="77777777" w:rsidR="00FC0D42" w:rsidRPr="005B0796" w:rsidRDefault="00FC0D42" w:rsidP="009919A9">
            <w:pPr>
              <w:pStyle w:val="TableText"/>
              <w:jc w:val="right"/>
              <w:rPr>
                <w:color w:val="000000" w:themeColor="text1"/>
              </w:rPr>
            </w:pPr>
            <w:r w:rsidRPr="005B0796">
              <w:rPr>
                <w:rFonts w:eastAsia="Times New Roman"/>
                <w:color w:val="000000" w:themeColor="text1"/>
              </w:rPr>
              <w:t>9.8</w:t>
            </w:r>
          </w:p>
        </w:tc>
        <w:tc>
          <w:tcPr>
            <w:tcW w:w="1262" w:type="dxa"/>
          </w:tcPr>
          <w:p w14:paraId="7CC80A8B"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10.2</w:t>
            </w:r>
          </w:p>
        </w:tc>
      </w:tr>
      <w:tr w:rsidR="00FC0D42" w:rsidRPr="005B0796" w14:paraId="3F84B795"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2268" w:type="dxa"/>
          </w:tcPr>
          <w:p w14:paraId="19FF86EA" w14:textId="77777777" w:rsidR="00FC0D42" w:rsidRPr="005B0796" w:rsidRDefault="00FC0D42" w:rsidP="009919A9">
            <w:pPr>
              <w:pStyle w:val="TableText"/>
              <w:rPr>
                <w:rFonts w:eastAsia="Times New Roman"/>
                <w:color w:val="000000" w:themeColor="text1"/>
              </w:rPr>
            </w:pPr>
            <w:r w:rsidRPr="005B0796">
              <w:rPr>
                <w:rFonts w:eastAsia="Times New Roman"/>
                <w:color w:val="000000" w:themeColor="text1"/>
              </w:rPr>
              <w:t>Male | Other Rank | unfit | Army</w:t>
            </w:r>
          </w:p>
        </w:tc>
        <w:tc>
          <w:tcPr>
            <w:tcW w:w="1261" w:type="dxa"/>
          </w:tcPr>
          <w:p w14:paraId="7AE789C8"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2443</w:t>
            </w:r>
          </w:p>
        </w:tc>
        <w:tc>
          <w:tcPr>
            <w:tcW w:w="1262" w:type="dxa"/>
          </w:tcPr>
          <w:p w14:paraId="1F9DC880"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231</w:t>
            </w:r>
          </w:p>
        </w:tc>
        <w:tc>
          <w:tcPr>
            <w:tcW w:w="1262" w:type="dxa"/>
          </w:tcPr>
          <w:p w14:paraId="0321A04F" w14:textId="77777777" w:rsidR="00FC0D42" w:rsidRPr="005B0796" w:rsidRDefault="00FC0D42" w:rsidP="009919A9">
            <w:pPr>
              <w:pStyle w:val="TableText"/>
              <w:jc w:val="right"/>
              <w:rPr>
                <w:color w:val="000000" w:themeColor="text1"/>
              </w:rPr>
            </w:pPr>
            <w:r w:rsidRPr="005B0796">
              <w:rPr>
                <w:rFonts w:eastAsia="Times New Roman"/>
                <w:color w:val="000000" w:themeColor="text1"/>
              </w:rPr>
              <w:t>9.5</w:t>
            </w:r>
          </w:p>
        </w:tc>
        <w:tc>
          <w:tcPr>
            <w:tcW w:w="1262" w:type="dxa"/>
          </w:tcPr>
          <w:p w14:paraId="3C0FA6F4" w14:textId="77777777" w:rsidR="00FC0D42" w:rsidRPr="005B0796" w:rsidRDefault="00FC0D42" w:rsidP="009919A9">
            <w:pPr>
              <w:pStyle w:val="TableText"/>
              <w:jc w:val="right"/>
              <w:rPr>
                <w:rFonts w:eastAsia="Times New Roman"/>
                <w:color w:val="000000" w:themeColor="text1"/>
              </w:rPr>
            </w:pPr>
            <w:r w:rsidRPr="005B0796">
              <w:rPr>
                <w:rFonts w:eastAsia="Times New Roman"/>
                <w:color w:val="000000" w:themeColor="text1"/>
              </w:rPr>
              <w:t>10.6</w:t>
            </w:r>
          </w:p>
        </w:tc>
      </w:tr>
    </w:tbl>
    <w:p w14:paraId="6183B0E9" w14:textId="77777777" w:rsidR="00FC0D42" w:rsidRPr="005B0796" w:rsidRDefault="00FC0D42" w:rsidP="00FC0D42">
      <w:pPr>
        <w:pStyle w:val="TableText"/>
      </w:pPr>
    </w:p>
    <w:p w14:paraId="1426B60F" w14:textId="77777777" w:rsidR="00FC0D42" w:rsidRDefault="00FC0D42" w:rsidP="00FC0D42"/>
    <w:p w14:paraId="2C232801" w14:textId="77777777" w:rsidR="00FC0D42" w:rsidRDefault="00FC0D42" w:rsidP="00FC0D42">
      <w:pPr>
        <w:sectPr w:rsidR="00FC0D42" w:rsidSect="00FC0D42">
          <w:footerReference w:type="even" r:id="rId176"/>
          <w:footerReference w:type="default" r:id="rId177"/>
          <w:pgSz w:w="9979" w:h="14170" w:code="243"/>
          <w:pgMar w:top="1440" w:right="1152" w:bottom="1440" w:left="1728" w:header="576" w:footer="576" w:gutter="0"/>
          <w:cols w:space="708"/>
          <w:docGrid w:linePitch="360"/>
        </w:sectPr>
      </w:pPr>
    </w:p>
    <w:p w14:paraId="5BC27DF0" w14:textId="77777777" w:rsidR="00FC0D42" w:rsidRPr="002A554B" w:rsidRDefault="00FC0D42" w:rsidP="00FC0D42">
      <w:pPr>
        <w:pStyle w:val="TableName"/>
      </w:pPr>
      <w:bookmarkStart w:id="1564" w:name="_Toc518566493"/>
      <w:bookmarkStart w:id="1565" w:name="_Toc531858071"/>
      <w:r w:rsidRPr="002A554B">
        <w:t>Table C.5</w:t>
      </w:r>
      <w:r>
        <w:tab/>
      </w:r>
      <w:r w:rsidRPr="002A554B">
        <w:t>Weighting table</w:t>
      </w:r>
      <w:bookmarkEnd w:id="1564"/>
      <w:bookmarkEnd w:id="1565"/>
    </w:p>
    <w:tbl>
      <w:tblPr>
        <w:tblStyle w:val="TWRPTable"/>
        <w:tblW w:w="5000" w:type="pct"/>
        <w:tblLayout w:type="fixed"/>
        <w:tblLook w:val="04A0" w:firstRow="1" w:lastRow="0" w:firstColumn="1" w:lastColumn="0" w:noHBand="0" w:noVBand="1"/>
        <w:tblDescription w:val="Table C.5 Weighting table"/>
      </w:tblPr>
      <w:tblGrid>
        <w:gridCol w:w="2398"/>
        <w:gridCol w:w="986"/>
        <w:gridCol w:w="988"/>
        <w:gridCol w:w="986"/>
        <w:gridCol w:w="988"/>
        <w:gridCol w:w="986"/>
        <w:gridCol w:w="988"/>
        <w:gridCol w:w="986"/>
        <w:gridCol w:w="988"/>
        <w:gridCol w:w="986"/>
      </w:tblGrid>
      <w:tr w:rsidR="00FC0D42" w:rsidRPr="005B0796" w14:paraId="0A6798D7" w14:textId="77777777" w:rsidTr="00FC0D42">
        <w:trPr>
          <w:cnfStyle w:val="100000000000" w:firstRow="1" w:lastRow="0" w:firstColumn="0" w:lastColumn="0" w:oddVBand="0" w:evenVBand="0" w:oddHBand="0" w:evenHBand="0" w:firstRowFirstColumn="0" w:firstRowLastColumn="0" w:lastRowFirstColumn="0" w:lastRowLastColumn="0"/>
          <w:cantSplit/>
          <w:tblHeader/>
        </w:trPr>
        <w:tc>
          <w:tcPr>
            <w:tcW w:w="1063" w:type="pct"/>
            <w:vMerge w:val="restart"/>
            <w:noWrap/>
            <w:hideMark/>
          </w:tcPr>
          <w:p w14:paraId="4F663648" w14:textId="77777777" w:rsidR="00FC0D42" w:rsidRPr="005B0796" w:rsidRDefault="00FC0D42" w:rsidP="009919A9">
            <w:pPr>
              <w:pStyle w:val="TableText"/>
              <w:rPr>
                <w:lang w:eastAsia="en-AU"/>
              </w:rPr>
            </w:pPr>
            <w:r w:rsidRPr="005B0796">
              <w:rPr>
                <w:lang w:eastAsia="en-AU"/>
              </w:rPr>
              <w:t>ICD-10 12</w:t>
            </w:r>
            <w:r>
              <w:rPr>
                <w:lang w:eastAsia="en-AU"/>
              </w:rPr>
              <w:t>-</w:t>
            </w:r>
            <w:r w:rsidRPr="005B0796">
              <w:rPr>
                <w:lang w:eastAsia="en-AU"/>
              </w:rPr>
              <w:t>month disorder</w:t>
            </w:r>
          </w:p>
        </w:tc>
        <w:tc>
          <w:tcPr>
            <w:tcW w:w="3937" w:type="pct"/>
            <w:gridSpan w:val="9"/>
            <w:noWrap/>
            <w:hideMark/>
          </w:tcPr>
          <w:p w14:paraId="1F3D36AF" w14:textId="77777777" w:rsidR="00FC0D42" w:rsidRPr="005B0796" w:rsidRDefault="00FC0D42" w:rsidP="009919A9">
            <w:pPr>
              <w:pStyle w:val="TableText"/>
              <w:jc w:val="center"/>
              <w:rPr>
                <w:lang w:eastAsia="en-AU"/>
              </w:rPr>
            </w:pPr>
            <w:r w:rsidRPr="005B0796">
              <w:rPr>
                <w:lang w:eastAsia="en-AU"/>
              </w:rPr>
              <w:t>Transitioned ADF (n=24,932)</w:t>
            </w:r>
          </w:p>
        </w:tc>
      </w:tr>
      <w:tr w:rsidR="00FC0D42" w:rsidRPr="005B0796" w14:paraId="62AB52D3" w14:textId="77777777" w:rsidTr="00FC0D42">
        <w:trPr>
          <w:cnfStyle w:val="100000000000" w:firstRow="1" w:lastRow="0" w:firstColumn="0" w:lastColumn="0" w:oddVBand="0" w:evenVBand="0" w:oddHBand="0" w:evenHBand="0" w:firstRowFirstColumn="0" w:firstRowLastColumn="0" w:lastRowFirstColumn="0" w:lastRowLastColumn="0"/>
          <w:cantSplit/>
          <w:tblHeader/>
        </w:trPr>
        <w:tc>
          <w:tcPr>
            <w:tcW w:w="1063" w:type="pct"/>
            <w:vMerge/>
            <w:hideMark/>
          </w:tcPr>
          <w:p w14:paraId="435F2B99" w14:textId="77777777" w:rsidR="00FC0D42" w:rsidRPr="005B0796" w:rsidRDefault="00FC0D42" w:rsidP="009919A9">
            <w:pPr>
              <w:pStyle w:val="TableText"/>
              <w:rPr>
                <w:lang w:eastAsia="en-AU"/>
              </w:rPr>
            </w:pPr>
          </w:p>
        </w:tc>
        <w:tc>
          <w:tcPr>
            <w:tcW w:w="1312" w:type="pct"/>
            <w:gridSpan w:val="3"/>
            <w:noWrap/>
            <w:hideMark/>
          </w:tcPr>
          <w:p w14:paraId="35186EF7" w14:textId="77777777" w:rsidR="00FC0D42" w:rsidRPr="005B0796" w:rsidRDefault="00FC0D42" w:rsidP="009919A9">
            <w:pPr>
              <w:pStyle w:val="TableText"/>
              <w:jc w:val="center"/>
              <w:rPr>
                <w:lang w:eastAsia="en-AU"/>
              </w:rPr>
            </w:pPr>
            <w:r w:rsidRPr="005B0796">
              <w:rPr>
                <w:lang w:eastAsia="en-AU"/>
              </w:rPr>
              <w:t>Raw Results</w:t>
            </w:r>
          </w:p>
        </w:tc>
        <w:tc>
          <w:tcPr>
            <w:tcW w:w="1312" w:type="pct"/>
            <w:gridSpan w:val="3"/>
            <w:noWrap/>
            <w:hideMark/>
          </w:tcPr>
          <w:p w14:paraId="0565C02B" w14:textId="77777777" w:rsidR="00FC0D42" w:rsidRPr="005B0796" w:rsidRDefault="00FC0D42" w:rsidP="009919A9">
            <w:pPr>
              <w:pStyle w:val="TableText"/>
              <w:jc w:val="center"/>
              <w:rPr>
                <w:lang w:eastAsia="en-AU"/>
              </w:rPr>
            </w:pPr>
            <w:r w:rsidRPr="005B0796">
              <w:rPr>
                <w:lang w:eastAsia="en-AU"/>
              </w:rPr>
              <w:t>Stage 1 Weighted</w:t>
            </w:r>
          </w:p>
        </w:tc>
        <w:tc>
          <w:tcPr>
            <w:tcW w:w="1312" w:type="pct"/>
            <w:gridSpan w:val="3"/>
            <w:noWrap/>
            <w:hideMark/>
          </w:tcPr>
          <w:p w14:paraId="2B89DB35" w14:textId="77777777" w:rsidR="00FC0D42" w:rsidRPr="005B0796" w:rsidRDefault="00FC0D42" w:rsidP="009919A9">
            <w:pPr>
              <w:pStyle w:val="TableText"/>
              <w:jc w:val="center"/>
              <w:rPr>
                <w:lang w:eastAsia="en-AU"/>
              </w:rPr>
            </w:pPr>
            <w:r w:rsidRPr="005B0796">
              <w:rPr>
                <w:lang w:eastAsia="en-AU"/>
              </w:rPr>
              <w:t>Stage 2 Weighted</w:t>
            </w:r>
          </w:p>
        </w:tc>
      </w:tr>
      <w:tr w:rsidR="00FC0D42" w:rsidRPr="005B0796" w14:paraId="4909110B" w14:textId="77777777" w:rsidTr="00FC0D42">
        <w:trPr>
          <w:cnfStyle w:val="100000000000" w:firstRow="1" w:lastRow="0" w:firstColumn="0" w:lastColumn="0" w:oddVBand="0" w:evenVBand="0" w:oddHBand="0" w:evenHBand="0" w:firstRowFirstColumn="0" w:firstRowLastColumn="0" w:lastRowFirstColumn="0" w:lastRowLastColumn="0"/>
          <w:cantSplit/>
          <w:tblHeader/>
        </w:trPr>
        <w:tc>
          <w:tcPr>
            <w:tcW w:w="1063" w:type="pct"/>
            <w:vMerge/>
            <w:noWrap/>
            <w:hideMark/>
          </w:tcPr>
          <w:p w14:paraId="619548EF" w14:textId="77777777" w:rsidR="00FC0D42" w:rsidRPr="005B0796" w:rsidRDefault="00FC0D42" w:rsidP="009919A9">
            <w:pPr>
              <w:pStyle w:val="TableText"/>
              <w:rPr>
                <w:lang w:eastAsia="en-AU"/>
              </w:rPr>
            </w:pPr>
          </w:p>
        </w:tc>
        <w:tc>
          <w:tcPr>
            <w:tcW w:w="437" w:type="pct"/>
            <w:noWrap/>
            <w:hideMark/>
          </w:tcPr>
          <w:p w14:paraId="371BE253" w14:textId="77777777" w:rsidR="00FC0D42" w:rsidRPr="005B0796" w:rsidRDefault="00FC0D42" w:rsidP="009919A9">
            <w:pPr>
              <w:pStyle w:val="TableText"/>
              <w:jc w:val="right"/>
              <w:rPr>
                <w:lang w:eastAsia="en-AU"/>
              </w:rPr>
            </w:pPr>
            <w:r w:rsidRPr="005B0796">
              <w:rPr>
                <w:lang w:eastAsia="en-AU"/>
              </w:rPr>
              <w:t>Raw n</w:t>
            </w:r>
          </w:p>
        </w:tc>
        <w:tc>
          <w:tcPr>
            <w:tcW w:w="438" w:type="pct"/>
            <w:hideMark/>
          </w:tcPr>
          <w:p w14:paraId="43C65A67" w14:textId="77777777" w:rsidR="00FC0D42" w:rsidRPr="005B0796" w:rsidRDefault="00FC0D42" w:rsidP="009919A9">
            <w:pPr>
              <w:pStyle w:val="TableText"/>
              <w:jc w:val="right"/>
              <w:rPr>
                <w:lang w:eastAsia="en-AU"/>
              </w:rPr>
            </w:pPr>
            <w:r w:rsidRPr="005B0796">
              <w:rPr>
                <w:lang w:eastAsia="en-AU"/>
              </w:rPr>
              <w:t>Raw %</w:t>
            </w:r>
          </w:p>
        </w:tc>
        <w:tc>
          <w:tcPr>
            <w:tcW w:w="437" w:type="pct"/>
            <w:hideMark/>
          </w:tcPr>
          <w:p w14:paraId="2B86E980" w14:textId="77777777" w:rsidR="00FC0D42" w:rsidRPr="005B0796" w:rsidRDefault="00FC0D42" w:rsidP="009919A9">
            <w:pPr>
              <w:pStyle w:val="TableText"/>
              <w:jc w:val="right"/>
              <w:rPr>
                <w:lang w:eastAsia="en-AU"/>
              </w:rPr>
            </w:pPr>
            <w:r w:rsidRPr="005B0796">
              <w:rPr>
                <w:lang w:eastAsia="en-AU"/>
              </w:rPr>
              <w:t>95% CI</w:t>
            </w:r>
          </w:p>
        </w:tc>
        <w:tc>
          <w:tcPr>
            <w:tcW w:w="438" w:type="pct"/>
            <w:noWrap/>
            <w:hideMark/>
          </w:tcPr>
          <w:p w14:paraId="71B8A34C" w14:textId="77777777" w:rsidR="00FC0D42" w:rsidRPr="005B0796" w:rsidRDefault="00FC0D42" w:rsidP="009919A9">
            <w:pPr>
              <w:pStyle w:val="TableText"/>
              <w:jc w:val="right"/>
              <w:rPr>
                <w:lang w:eastAsia="en-AU"/>
              </w:rPr>
            </w:pPr>
            <w:r w:rsidRPr="005B0796">
              <w:rPr>
                <w:lang w:eastAsia="en-AU"/>
              </w:rPr>
              <w:t>Weighted n</w:t>
            </w:r>
          </w:p>
        </w:tc>
        <w:tc>
          <w:tcPr>
            <w:tcW w:w="437" w:type="pct"/>
            <w:hideMark/>
          </w:tcPr>
          <w:p w14:paraId="535D859B" w14:textId="77777777" w:rsidR="00FC0D42" w:rsidRPr="005B0796" w:rsidRDefault="00FC0D42" w:rsidP="009919A9">
            <w:pPr>
              <w:pStyle w:val="TableText"/>
              <w:jc w:val="right"/>
              <w:rPr>
                <w:lang w:eastAsia="en-AU"/>
              </w:rPr>
            </w:pPr>
            <w:r w:rsidRPr="005B0796">
              <w:rPr>
                <w:lang w:eastAsia="en-AU"/>
              </w:rPr>
              <w:t>%</w:t>
            </w:r>
          </w:p>
        </w:tc>
        <w:tc>
          <w:tcPr>
            <w:tcW w:w="438" w:type="pct"/>
            <w:hideMark/>
          </w:tcPr>
          <w:p w14:paraId="45DB73D5" w14:textId="77777777" w:rsidR="00FC0D42" w:rsidRPr="005B0796" w:rsidRDefault="00FC0D42" w:rsidP="009919A9">
            <w:pPr>
              <w:pStyle w:val="TableText"/>
              <w:jc w:val="right"/>
              <w:rPr>
                <w:lang w:eastAsia="en-AU"/>
              </w:rPr>
            </w:pPr>
            <w:r w:rsidRPr="005B0796">
              <w:rPr>
                <w:lang w:eastAsia="en-AU"/>
              </w:rPr>
              <w:t>95% CI</w:t>
            </w:r>
          </w:p>
        </w:tc>
        <w:tc>
          <w:tcPr>
            <w:tcW w:w="437" w:type="pct"/>
            <w:hideMark/>
          </w:tcPr>
          <w:p w14:paraId="0EF79B22" w14:textId="77777777" w:rsidR="00FC0D42" w:rsidRPr="005B0796" w:rsidRDefault="00FC0D42" w:rsidP="009919A9">
            <w:pPr>
              <w:pStyle w:val="TableText"/>
              <w:jc w:val="right"/>
              <w:rPr>
                <w:lang w:eastAsia="en-AU"/>
              </w:rPr>
            </w:pPr>
            <w:r w:rsidRPr="005B0796">
              <w:rPr>
                <w:lang w:eastAsia="en-AU"/>
              </w:rPr>
              <w:t>Weighted n</w:t>
            </w:r>
          </w:p>
        </w:tc>
        <w:tc>
          <w:tcPr>
            <w:tcW w:w="438" w:type="pct"/>
            <w:hideMark/>
          </w:tcPr>
          <w:p w14:paraId="4C071848" w14:textId="77777777" w:rsidR="00FC0D42" w:rsidRPr="005B0796" w:rsidRDefault="00FC0D42" w:rsidP="009919A9">
            <w:pPr>
              <w:pStyle w:val="TableText"/>
              <w:jc w:val="right"/>
              <w:rPr>
                <w:lang w:eastAsia="en-AU"/>
              </w:rPr>
            </w:pPr>
            <w:r w:rsidRPr="005B0796">
              <w:rPr>
                <w:lang w:eastAsia="en-AU"/>
              </w:rPr>
              <w:t>%</w:t>
            </w:r>
          </w:p>
        </w:tc>
        <w:tc>
          <w:tcPr>
            <w:tcW w:w="438" w:type="pct"/>
            <w:hideMark/>
          </w:tcPr>
          <w:p w14:paraId="473B4D16" w14:textId="77777777" w:rsidR="00FC0D42" w:rsidRPr="005B0796" w:rsidRDefault="00FC0D42" w:rsidP="009919A9">
            <w:pPr>
              <w:pStyle w:val="TableText"/>
              <w:jc w:val="right"/>
              <w:rPr>
                <w:lang w:eastAsia="en-AU"/>
              </w:rPr>
            </w:pPr>
            <w:r w:rsidRPr="005B0796">
              <w:rPr>
                <w:lang w:eastAsia="en-AU"/>
              </w:rPr>
              <w:t>95% CI</w:t>
            </w:r>
          </w:p>
        </w:tc>
      </w:tr>
      <w:tr w:rsidR="00FC0D42" w:rsidRPr="005B0796" w14:paraId="505F3A8E"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hideMark/>
          </w:tcPr>
          <w:p w14:paraId="7BDFBAD8" w14:textId="77777777" w:rsidR="00FC0D42" w:rsidRPr="005B0796" w:rsidRDefault="00FC0D42" w:rsidP="009919A9">
            <w:pPr>
              <w:pStyle w:val="TableText"/>
              <w:rPr>
                <w:lang w:eastAsia="en-AU"/>
              </w:rPr>
            </w:pPr>
            <w:r w:rsidRPr="005B0796">
              <w:rPr>
                <w:lang w:eastAsia="en-AU"/>
              </w:rPr>
              <w:t>Panic attack</w:t>
            </w:r>
          </w:p>
        </w:tc>
        <w:tc>
          <w:tcPr>
            <w:tcW w:w="437" w:type="pct"/>
            <w:noWrap/>
          </w:tcPr>
          <w:p w14:paraId="510FE73B" w14:textId="77777777" w:rsidR="00FC0D42" w:rsidRPr="005B0796" w:rsidRDefault="00FC0D42" w:rsidP="009919A9">
            <w:pPr>
              <w:pStyle w:val="TableText"/>
              <w:jc w:val="right"/>
              <w:rPr>
                <w:lang w:eastAsia="en-AU"/>
              </w:rPr>
            </w:pPr>
            <w:r w:rsidRPr="005B0796">
              <w:t>155</w:t>
            </w:r>
          </w:p>
        </w:tc>
        <w:tc>
          <w:tcPr>
            <w:tcW w:w="438" w:type="pct"/>
          </w:tcPr>
          <w:p w14:paraId="6A269886" w14:textId="77777777" w:rsidR="00FC0D42" w:rsidRPr="005B0796" w:rsidRDefault="00FC0D42" w:rsidP="009919A9">
            <w:pPr>
              <w:pStyle w:val="TableText"/>
              <w:jc w:val="right"/>
              <w:rPr>
                <w:lang w:eastAsia="en-AU"/>
              </w:rPr>
            </w:pPr>
            <w:r w:rsidRPr="005B0796">
              <w:t xml:space="preserve">16 </w:t>
            </w:r>
          </w:p>
        </w:tc>
        <w:tc>
          <w:tcPr>
            <w:tcW w:w="437" w:type="pct"/>
          </w:tcPr>
          <w:p w14:paraId="65B64191" w14:textId="77777777" w:rsidR="00FC0D42" w:rsidRPr="005B0796" w:rsidRDefault="00FC0D42" w:rsidP="009919A9">
            <w:pPr>
              <w:pStyle w:val="TableText"/>
              <w:jc w:val="right"/>
              <w:rPr>
                <w:lang w:eastAsia="en-AU"/>
              </w:rPr>
            </w:pPr>
            <w:r w:rsidRPr="005B0796">
              <w:t>13.7, 18.4</w:t>
            </w:r>
          </w:p>
        </w:tc>
        <w:tc>
          <w:tcPr>
            <w:tcW w:w="438" w:type="pct"/>
            <w:noWrap/>
          </w:tcPr>
          <w:p w14:paraId="1BFE3F4E" w14:textId="77777777" w:rsidR="00FC0D42" w:rsidRPr="005B0796" w:rsidRDefault="00FC0D42" w:rsidP="009919A9">
            <w:pPr>
              <w:pStyle w:val="TableText"/>
              <w:jc w:val="right"/>
              <w:rPr>
                <w:lang w:eastAsia="en-AU"/>
              </w:rPr>
            </w:pPr>
            <w:r w:rsidRPr="005B0796">
              <w:t>4031</w:t>
            </w:r>
          </w:p>
        </w:tc>
        <w:tc>
          <w:tcPr>
            <w:tcW w:w="437" w:type="pct"/>
          </w:tcPr>
          <w:p w14:paraId="03CF4ED5" w14:textId="77777777" w:rsidR="00FC0D42" w:rsidRPr="005B0796" w:rsidRDefault="00FC0D42" w:rsidP="009919A9">
            <w:pPr>
              <w:pStyle w:val="TableText"/>
              <w:jc w:val="right"/>
              <w:rPr>
                <w:lang w:eastAsia="en-AU"/>
              </w:rPr>
            </w:pPr>
            <w:r w:rsidRPr="005B0796">
              <w:t xml:space="preserve">16.1 </w:t>
            </w:r>
          </w:p>
        </w:tc>
        <w:tc>
          <w:tcPr>
            <w:tcW w:w="438" w:type="pct"/>
          </w:tcPr>
          <w:p w14:paraId="430FFD66" w14:textId="77777777" w:rsidR="00FC0D42" w:rsidRPr="005B0796" w:rsidRDefault="00FC0D42" w:rsidP="009919A9">
            <w:pPr>
              <w:pStyle w:val="TableText"/>
              <w:jc w:val="right"/>
              <w:rPr>
                <w:lang w:eastAsia="en-AU"/>
              </w:rPr>
            </w:pPr>
            <w:r w:rsidRPr="005B0796">
              <w:t>13.9, 18.6</w:t>
            </w:r>
          </w:p>
        </w:tc>
        <w:tc>
          <w:tcPr>
            <w:tcW w:w="437" w:type="pct"/>
          </w:tcPr>
          <w:p w14:paraId="5778F87C" w14:textId="77777777" w:rsidR="00FC0D42" w:rsidRPr="005B0796" w:rsidRDefault="00FC0D42" w:rsidP="009919A9">
            <w:pPr>
              <w:pStyle w:val="TableText"/>
              <w:jc w:val="right"/>
              <w:rPr>
                <w:lang w:eastAsia="en-AU"/>
              </w:rPr>
            </w:pPr>
            <w:r w:rsidRPr="005B0796">
              <w:rPr>
                <w:lang w:eastAsia="en-AU"/>
              </w:rPr>
              <w:t>4244</w:t>
            </w:r>
          </w:p>
        </w:tc>
        <w:tc>
          <w:tcPr>
            <w:tcW w:w="438" w:type="pct"/>
          </w:tcPr>
          <w:p w14:paraId="56E1A35C" w14:textId="77777777" w:rsidR="00FC0D42" w:rsidRPr="005B0796" w:rsidRDefault="00FC0D42" w:rsidP="009919A9">
            <w:pPr>
              <w:pStyle w:val="TableText"/>
              <w:jc w:val="right"/>
              <w:rPr>
                <w:lang w:eastAsia="en-AU"/>
              </w:rPr>
            </w:pPr>
            <w:r w:rsidRPr="005B0796">
              <w:rPr>
                <w:lang w:eastAsia="en-AU"/>
              </w:rPr>
              <w:t>17</w:t>
            </w:r>
          </w:p>
        </w:tc>
        <w:tc>
          <w:tcPr>
            <w:tcW w:w="438" w:type="pct"/>
          </w:tcPr>
          <w:p w14:paraId="2944D2FF" w14:textId="77777777" w:rsidR="00FC0D42" w:rsidRPr="005B0796" w:rsidRDefault="00FC0D42" w:rsidP="009919A9">
            <w:pPr>
              <w:pStyle w:val="TableText"/>
              <w:jc w:val="right"/>
              <w:rPr>
                <w:lang w:eastAsia="en-AU"/>
              </w:rPr>
            </w:pPr>
            <w:r w:rsidRPr="005B0796">
              <w:rPr>
                <w:lang w:eastAsia="en-AU"/>
              </w:rPr>
              <w:t>13.8, 20.8</w:t>
            </w:r>
          </w:p>
        </w:tc>
      </w:tr>
      <w:tr w:rsidR="00FC0D42" w:rsidRPr="005B0796" w14:paraId="531BB9D4" w14:textId="77777777" w:rsidTr="00FC0D42">
        <w:trPr>
          <w:cantSplit/>
        </w:trPr>
        <w:tc>
          <w:tcPr>
            <w:tcW w:w="1063" w:type="pct"/>
            <w:noWrap/>
            <w:hideMark/>
          </w:tcPr>
          <w:p w14:paraId="70564315" w14:textId="77777777" w:rsidR="00FC0D42" w:rsidRPr="005B0796" w:rsidRDefault="00FC0D42" w:rsidP="009919A9">
            <w:pPr>
              <w:pStyle w:val="TableText"/>
              <w:rPr>
                <w:lang w:eastAsia="en-AU"/>
              </w:rPr>
            </w:pPr>
            <w:r w:rsidRPr="005B0796">
              <w:rPr>
                <w:lang w:eastAsia="en-AU"/>
              </w:rPr>
              <w:t>Panic disorder</w:t>
            </w:r>
          </w:p>
        </w:tc>
        <w:tc>
          <w:tcPr>
            <w:tcW w:w="437" w:type="pct"/>
            <w:noWrap/>
          </w:tcPr>
          <w:p w14:paraId="3858733E" w14:textId="77777777" w:rsidR="00FC0D42" w:rsidRPr="005B0796" w:rsidRDefault="00FC0D42" w:rsidP="009919A9">
            <w:pPr>
              <w:pStyle w:val="TableText"/>
              <w:jc w:val="right"/>
              <w:rPr>
                <w:lang w:eastAsia="en-AU"/>
              </w:rPr>
            </w:pPr>
            <w:r w:rsidRPr="005B0796">
              <w:t>53</w:t>
            </w:r>
          </w:p>
        </w:tc>
        <w:tc>
          <w:tcPr>
            <w:tcW w:w="438" w:type="pct"/>
          </w:tcPr>
          <w:p w14:paraId="3449D9AE" w14:textId="77777777" w:rsidR="00FC0D42" w:rsidRPr="005B0796" w:rsidRDefault="00FC0D42" w:rsidP="009919A9">
            <w:pPr>
              <w:pStyle w:val="TableText"/>
              <w:jc w:val="right"/>
              <w:rPr>
                <w:lang w:eastAsia="en-AU"/>
              </w:rPr>
            </w:pPr>
            <w:r w:rsidRPr="005B0796">
              <w:t xml:space="preserve">5.5 </w:t>
            </w:r>
          </w:p>
        </w:tc>
        <w:tc>
          <w:tcPr>
            <w:tcW w:w="437" w:type="pct"/>
          </w:tcPr>
          <w:p w14:paraId="1030BEFB" w14:textId="77777777" w:rsidR="00FC0D42" w:rsidRPr="005B0796" w:rsidRDefault="00FC0D42" w:rsidP="009919A9">
            <w:pPr>
              <w:pStyle w:val="TableText"/>
              <w:jc w:val="right"/>
              <w:rPr>
                <w:lang w:eastAsia="en-AU"/>
              </w:rPr>
            </w:pPr>
            <w:r w:rsidRPr="005B0796">
              <w:t>4.1, 7.1</w:t>
            </w:r>
          </w:p>
        </w:tc>
        <w:tc>
          <w:tcPr>
            <w:tcW w:w="438" w:type="pct"/>
            <w:noWrap/>
          </w:tcPr>
          <w:p w14:paraId="391B63B3" w14:textId="77777777" w:rsidR="00FC0D42" w:rsidRPr="005B0796" w:rsidRDefault="00FC0D42" w:rsidP="009919A9">
            <w:pPr>
              <w:pStyle w:val="TableText"/>
              <w:jc w:val="right"/>
              <w:rPr>
                <w:lang w:eastAsia="en-AU"/>
              </w:rPr>
            </w:pPr>
            <w:r w:rsidRPr="005B0796">
              <w:t>1368</w:t>
            </w:r>
          </w:p>
        </w:tc>
        <w:tc>
          <w:tcPr>
            <w:tcW w:w="437" w:type="pct"/>
          </w:tcPr>
          <w:p w14:paraId="6ACC8C90" w14:textId="77777777" w:rsidR="00FC0D42" w:rsidRPr="005B0796" w:rsidRDefault="00FC0D42" w:rsidP="009919A9">
            <w:pPr>
              <w:pStyle w:val="TableText"/>
              <w:jc w:val="right"/>
              <w:rPr>
                <w:lang w:eastAsia="en-AU"/>
              </w:rPr>
            </w:pPr>
            <w:r w:rsidRPr="005B0796">
              <w:t xml:space="preserve">5.5 </w:t>
            </w:r>
          </w:p>
        </w:tc>
        <w:tc>
          <w:tcPr>
            <w:tcW w:w="438" w:type="pct"/>
          </w:tcPr>
          <w:p w14:paraId="4439558A" w14:textId="77777777" w:rsidR="00FC0D42" w:rsidRPr="005B0796" w:rsidRDefault="00FC0D42" w:rsidP="009919A9">
            <w:pPr>
              <w:pStyle w:val="TableText"/>
              <w:jc w:val="right"/>
              <w:rPr>
                <w:lang w:eastAsia="en-AU"/>
              </w:rPr>
            </w:pPr>
            <w:r w:rsidRPr="005B0796">
              <w:t>4.2, 7.1</w:t>
            </w:r>
          </w:p>
        </w:tc>
        <w:tc>
          <w:tcPr>
            <w:tcW w:w="437" w:type="pct"/>
          </w:tcPr>
          <w:p w14:paraId="66937841" w14:textId="77777777" w:rsidR="00FC0D42" w:rsidRPr="005B0796" w:rsidRDefault="00FC0D42" w:rsidP="009919A9">
            <w:pPr>
              <w:pStyle w:val="TableText"/>
              <w:jc w:val="right"/>
              <w:rPr>
                <w:lang w:eastAsia="en-AU"/>
              </w:rPr>
            </w:pPr>
            <w:r w:rsidRPr="005B0796">
              <w:rPr>
                <w:lang w:eastAsia="en-AU"/>
              </w:rPr>
              <w:t>1344</w:t>
            </w:r>
          </w:p>
        </w:tc>
        <w:tc>
          <w:tcPr>
            <w:tcW w:w="438" w:type="pct"/>
          </w:tcPr>
          <w:p w14:paraId="42794FBF" w14:textId="77777777" w:rsidR="00FC0D42" w:rsidRPr="005B0796" w:rsidRDefault="00FC0D42" w:rsidP="009919A9">
            <w:pPr>
              <w:pStyle w:val="TableText"/>
              <w:jc w:val="right"/>
              <w:rPr>
                <w:lang w:eastAsia="en-AU"/>
              </w:rPr>
            </w:pPr>
            <w:r w:rsidRPr="005B0796">
              <w:rPr>
                <w:lang w:eastAsia="en-AU"/>
              </w:rPr>
              <w:t>5.4</w:t>
            </w:r>
          </w:p>
        </w:tc>
        <w:tc>
          <w:tcPr>
            <w:tcW w:w="438" w:type="pct"/>
          </w:tcPr>
          <w:p w14:paraId="42F52F13" w14:textId="77777777" w:rsidR="00FC0D42" w:rsidRPr="005B0796" w:rsidRDefault="00FC0D42" w:rsidP="009919A9">
            <w:pPr>
              <w:pStyle w:val="TableText"/>
              <w:jc w:val="right"/>
              <w:rPr>
                <w:lang w:eastAsia="en-AU"/>
              </w:rPr>
            </w:pPr>
            <w:r w:rsidRPr="005B0796">
              <w:rPr>
                <w:lang w:eastAsia="en-AU"/>
              </w:rPr>
              <w:t>3.6, 8.0</w:t>
            </w:r>
          </w:p>
        </w:tc>
      </w:tr>
      <w:tr w:rsidR="00FC0D42" w:rsidRPr="005B0796" w14:paraId="10FB0D2B"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hideMark/>
          </w:tcPr>
          <w:p w14:paraId="69B4D042" w14:textId="77777777" w:rsidR="00FC0D42" w:rsidRPr="005B0796" w:rsidRDefault="00FC0D42" w:rsidP="009919A9">
            <w:pPr>
              <w:pStyle w:val="TableText"/>
              <w:rPr>
                <w:lang w:eastAsia="en-AU"/>
              </w:rPr>
            </w:pPr>
            <w:r w:rsidRPr="005B0796">
              <w:rPr>
                <w:lang w:eastAsia="en-AU"/>
              </w:rPr>
              <w:t>Agoraphobia</w:t>
            </w:r>
          </w:p>
        </w:tc>
        <w:tc>
          <w:tcPr>
            <w:tcW w:w="437" w:type="pct"/>
            <w:noWrap/>
          </w:tcPr>
          <w:p w14:paraId="58A65070" w14:textId="77777777" w:rsidR="00FC0D42" w:rsidRPr="005B0796" w:rsidRDefault="00FC0D42" w:rsidP="009919A9">
            <w:pPr>
              <w:pStyle w:val="TableText"/>
              <w:jc w:val="right"/>
              <w:rPr>
                <w:lang w:eastAsia="en-GB"/>
              </w:rPr>
            </w:pPr>
            <w:r w:rsidRPr="005B0796">
              <w:rPr>
                <w:lang w:eastAsia="en-GB"/>
              </w:rPr>
              <w:t>105</w:t>
            </w:r>
          </w:p>
        </w:tc>
        <w:tc>
          <w:tcPr>
            <w:tcW w:w="438" w:type="pct"/>
          </w:tcPr>
          <w:p w14:paraId="7F68B811" w14:textId="77777777" w:rsidR="00FC0D42" w:rsidRPr="005B0796" w:rsidRDefault="00FC0D42" w:rsidP="009919A9">
            <w:pPr>
              <w:pStyle w:val="TableText"/>
              <w:jc w:val="right"/>
              <w:rPr>
                <w:lang w:eastAsia="en-GB"/>
              </w:rPr>
            </w:pPr>
            <w:r w:rsidRPr="005B0796">
              <w:rPr>
                <w:lang w:eastAsia="en-GB"/>
              </w:rPr>
              <w:t xml:space="preserve">10.8 </w:t>
            </w:r>
          </w:p>
        </w:tc>
        <w:tc>
          <w:tcPr>
            <w:tcW w:w="437" w:type="pct"/>
          </w:tcPr>
          <w:p w14:paraId="6F6A6D24" w14:textId="77777777" w:rsidR="00FC0D42" w:rsidRPr="005B0796" w:rsidRDefault="00FC0D42" w:rsidP="009919A9">
            <w:pPr>
              <w:pStyle w:val="TableText"/>
              <w:jc w:val="right"/>
              <w:rPr>
                <w:lang w:eastAsia="en-AU"/>
              </w:rPr>
            </w:pPr>
            <w:r w:rsidRPr="005B0796">
              <w:rPr>
                <w:lang w:eastAsia="en-GB"/>
              </w:rPr>
              <w:t>8.9, 12.9</w:t>
            </w:r>
          </w:p>
        </w:tc>
        <w:tc>
          <w:tcPr>
            <w:tcW w:w="438" w:type="pct"/>
            <w:noWrap/>
          </w:tcPr>
          <w:p w14:paraId="60E9FFC7" w14:textId="77777777" w:rsidR="00FC0D42" w:rsidRPr="005B0796" w:rsidRDefault="00FC0D42" w:rsidP="009919A9">
            <w:pPr>
              <w:pStyle w:val="TableText"/>
              <w:jc w:val="right"/>
              <w:rPr>
                <w:lang w:eastAsia="en-AU"/>
              </w:rPr>
            </w:pPr>
            <w:r w:rsidRPr="005B0796">
              <w:t>2842</w:t>
            </w:r>
          </w:p>
        </w:tc>
        <w:tc>
          <w:tcPr>
            <w:tcW w:w="437" w:type="pct"/>
          </w:tcPr>
          <w:p w14:paraId="0C065F52" w14:textId="77777777" w:rsidR="00FC0D42" w:rsidRPr="005B0796" w:rsidRDefault="00FC0D42" w:rsidP="009919A9">
            <w:pPr>
              <w:pStyle w:val="TableText"/>
              <w:jc w:val="right"/>
              <w:rPr>
                <w:lang w:eastAsia="en-AU"/>
              </w:rPr>
            </w:pPr>
            <w:r w:rsidRPr="005B0796">
              <w:t>11.4</w:t>
            </w:r>
          </w:p>
        </w:tc>
        <w:tc>
          <w:tcPr>
            <w:tcW w:w="438" w:type="pct"/>
          </w:tcPr>
          <w:p w14:paraId="6B838116" w14:textId="77777777" w:rsidR="00FC0D42" w:rsidRPr="005B0796" w:rsidRDefault="00FC0D42" w:rsidP="009919A9">
            <w:pPr>
              <w:pStyle w:val="TableText"/>
              <w:jc w:val="right"/>
              <w:rPr>
                <w:lang w:eastAsia="en-AU"/>
              </w:rPr>
            </w:pPr>
            <w:r w:rsidRPr="005B0796">
              <w:t>9.5, 13.6</w:t>
            </w:r>
          </w:p>
        </w:tc>
        <w:tc>
          <w:tcPr>
            <w:tcW w:w="437" w:type="pct"/>
          </w:tcPr>
          <w:p w14:paraId="2EFC20F4" w14:textId="77777777" w:rsidR="00FC0D42" w:rsidRPr="005B0796" w:rsidRDefault="00FC0D42" w:rsidP="009919A9">
            <w:pPr>
              <w:pStyle w:val="TableText"/>
              <w:jc w:val="right"/>
              <w:rPr>
                <w:lang w:eastAsia="en-AU"/>
              </w:rPr>
            </w:pPr>
            <w:r w:rsidRPr="005B0796">
              <w:rPr>
                <w:lang w:eastAsia="en-AU"/>
              </w:rPr>
              <w:t>2975</w:t>
            </w:r>
          </w:p>
        </w:tc>
        <w:tc>
          <w:tcPr>
            <w:tcW w:w="438" w:type="pct"/>
          </w:tcPr>
          <w:p w14:paraId="19890324" w14:textId="77777777" w:rsidR="00FC0D42" w:rsidRPr="005B0796" w:rsidRDefault="00FC0D42" w:rsidP="009919A9">
            <w:pPr>
              <w:pStyle w:val="TableText"/>
              <w:jc w:val="right"/>
              <w:rPr>
                <w:lang w:eastAsia="en-AU"/>
              </w:rPr>
            </w:pPr>
            <w:r w:rsidRPr="005B0796">
              <w:rPr>
                <w:lang w:eastAsia="en-AU"/>
              </w:rPr>
              <w:t>11.9</w:t>
            </w:r>
          </w:p>
        </w:tc>
        <w:tc>
          <w:tcPr>
            <w:tcW w:w="438" w:type="pct"/>
          </w:tcPr>
          <w:p w14:paraId="384A2F08" w14:textId="77777777" w:rsidR="00FC0D42" w:rsidRPr="005B0796" w:rsidRDefault="00FC0D42" w:rsidP="009919A9">
            <w:pPr>
              <w:pStyle w:val="TableText"/>
              <w:jc w:val="right"/>
              <w:rPr>
                <w:lang w:eastAsia="en-AU"/>
              </w:rPr>
            </w:pPr>
            <w:r w:rsidRPr="005B0796">
              <w:rPr>
                <w:lang w:eastAsia="en-AU"/>
              </w:rPr>
              <w:t>9.1, 15.5</w:t>
            </w:r>
          </w:p>
        </w:tc>
      </w:tr>
      <w:tr w:rsidR="00FC0D42" w:rsidRPr="005B0796" w14:paraId="21EFB7CB" w14:textId="77777777" w:rsidTr="00FC0D42">
        <w:trPr>
          <w:cantSplit/>
        </w:trPr>
        <w:tc>
          <w:tcPr>
            <w:tcW w:w="1063" w:type="pct"/>
            <w:noWrap/>
            <w:hideMark/>
          </w:tcPr>
          <w:p w14:paraId="0A34D423" w14:textId="77777777" w:rsidR="00FC0D42" w:rsidRPr="005B0796" w:rsidRDefault="00FC0D42" w:rsidP="009919A9">
            <w:pPr>
              <w:pStyle w:val="TableText"/>
              <w:rPr>
                <w:lang w:eastAsia="en-AU"/>
              </w:rPr>
            </w:pPr>
            <w:r w:rsidRPr="005B0796">
              <w:rPr>
                <w:lang w:eastAsia="en-AU"/>
              </w:rPr>
              <w:t>Social phobia</w:t>
            </w:r>
          </w:p>
        </w:tc>
        <w:tc>
          <w:tcPr>
            <w:tcW w:w="437" w:type="pct"/>
            <w:noWrap/>
          </w:tcPr>
          <w:p w14:paraId="27BAE7F5" w14:textId="77777777" w:rsidR="00FC0D42" w:rsidRPr="005B0796" w:rsidRDefault="00FC0D42" w:rsidP="009919A9">
            <w:pPr>
              <w:pStyle w:val="TableText"/>
              <w:jc w:val="right"/>
              <w:rPr>
                <w:lang w:eastAsia="en-AU"/>
              </w:rPr>
            </w:pPr>
            <w:r w:rsidRPr="005B0796">
              <w:t>83</w:t>
            </w:r>
          </w:p>
        </w:tc>
        <w:tc>
          <w:tcPr>
            <w:tcW w:w="438" w:type="pct"/>
          </w:tcPr>
          <w:p w14:paraId="4861600B" w14:textId="77777777" w:rsidR="00FC0D42" w:rsidRPr="005B0796" w:rsidRDefault="00FC0D42" w:rsidP="009919A9">
            <w:pPr>
              <w:pStyle w:val="TableText"/>
              <w:jc w:val="right"/>
              <w:rPr>
                <w:lang w:eastAsia="en-AU"/>
              </w:rPr>
            </w:pPr>
            <w:r w:rsidRPr="005B0796">
              <w:t xml:space="preserve">8.6 </w:t>
            </w:r>
          </w:p>
        </w:tc>
        <w:tc>
          <w:tcPr>
            <w:tcW w:w="437" w:type="pct"/>
          </w:tcPr>
          <w:p w14:paraId="5AAE6F1F" w14:textId="77777777" w:rsidR="00FC0D42" w:rsidRPr="005B0796" w:rsidRDefault="00FC0D42" w:rsidP="009919A9">
            <w:pPr>
              <w:pStyle w:val="TableText"/>
              <w:jc w:val="right"/>
              <w:rPr>
                <w:lang w:eastAsia="en-AU"/>
              </w:rPr>
            </w:pPr>
            <w:r w:rsidRPr="005B0796">
              <w:t>6.9, 10.5</w:t>
            </w:r>
          </w:p>
        </w:tc>
        <w:tc>
          <w:tcPr>
            <w:tcW w:w="438" w:type="pct"/>
            <w:noWrap/>
          </w:tcPr>
          <w:p w14:paraId="70E9CC07" w14:textId="77777777" w:rsidR="00FC0D42" w:rsidRPr="005B0796" w:rsidRDefault="00FC0D42" w:rsidP="009919A9">
            <w:pPr>
              <w:pStyle w:val="TableText"/>
              <w:jc w:val="right"/>
              <w:rPr>
                <w:lang w:eastAsia="en-AU"/>
              </w:rPr>
            </w:pPr>
            <w:r w:rsidRPr="005B0796">
              <w:t>2167</w:t>
            </w:r>
          </w:p>
        </w:tc>
        <w:tc>
          <w:tcPr>
            <w:tcW w:w="437" w:type="pct"/>
          </w:tcPr>
          <w:p w14:paraId="54452B97" w14:textId="77777777" w:rsidR="00FC0D42" w:rsidRPr="005B0796" w:rsidRDefault="00FC0D42" w:rsidP="009919A9">
            <w:pPr>
              <w:pStyle w:val="TableText"/>
              <w:jc w:val="right"/>
              <w:rPr>
                <w:lang w:eastAsia="en-AU"/>
              </w:rPr>
            </w:pPr>
            <w:r w:rsidRPr="005B0796">
              <w:t xml:space="preserve">8.7 </w:t>
            </w:r>
          </w:p>
        </w:tc>
        <w:tc>
          <w:tcPr>
            <w:tcW w:w="438" w:type="pct"/>
          </w:tcPr>
          <w:p w14:paraId="7CA63437" w14:textId="77777777" w:rsidR="00FC0D42" w:rsidRPr="005B0796" w:rsidRDefault="00FC0D42" w:rsidP="009919A9">
            <w:pPr>
              <w:pStyle w:val="TableText"/>
              <w:jc w:val="right"/>
              <w:rPr>
                <w:lang w:eastAsia="en-AU"/>
              </w:rPr>
            </w:pPr>
            <w:r w:rsidRPr="005B0796">
              <w:t>7.0, 10.6</w:t>
            </w:r>
          </w:p>
        </w:tc>
        <w:tc>
          <w:tcPr>
            <w:tcW w:w="437" w:type="pct"/>
          </w:tcPr>
          <w:p w14:paraId="0F2E258F" w14:textId="77777777" w:rsidR="00FC0D42" w:rsidRPr="005B0796" w:rsidRDefault="00FC0D42" w:rsidP="009919A9">
            <w:pPr>
              <w:pStyle w:val="TableText"/>
              <w:jc w:val="right"/>
              <w:rPr>
                <w:lang w:eastAsia="en-AU"/>
              </w:rPr>
            </w:pPr>
            <w:r w:rsidRPr="005B0796">
              <w:rPr>
                <w:lang w:eastAsia="en-AU"/>
              </w:rPr>
              <w:t>2738</w:t>
            </w:r>
          </w:p>
        </w:tc>
        <w:tc>
          <w:tcPr>
            <w:tcW w:w="438" w:type="pct"/>
          </w:tcPr>
          <w:p w14:paraId="786390EC" w14:textId="77777777" w:rsidR="00FC0D42" w:rsidRPr="005B0796" w:rsidRDefault="00FC0D42" w:rsidP="009919A9">
            <w:pPr>
              <w:pStyle w:val="TableText"/>
              <w:jc w:val="right"/>
              <w:rPr>
                <w:lang w:eastAsia="en-AU"/>
              </w:rPr>
            </w:pPr>
            <w:r w:rsidRPr="005B0796">
              <w:rPr>
                <w:lang w:eastAsia="en-AU"/>
              </w:rPr>
              <w:t>11</w:t>
            </w:r>
          </w:p>
        </w:tc>
        <w:tc>
          <w:tcPr>
            <w:tcW w:w="438" w:type="pct"/>
          </w:tcPr>
          <w:p w14:paraId="1EBBB3DC" w14:textId="77777777" w:rsidR="00FC0D42" w:rsidRPr="005B0796" w:rsidRDefault="00FC0D42" w:rsidP="009919A9">
            <w:pPr>
              <w:pStyle w:val="TableText"/>
              <w:jc w:val="right"/>
              <w:rPr>
                <w:lang w:eastAsia="en-AU"/>
              </w:rPr>
            </w:pPr>
            <w:r w:rsidRPr="005B0796">
              <w:rPr>
                <w:lang w:eastAsia="en-AU"/>
              </w:rPr>
              <w:t>8.4, 14.3</w:t>
            </w:r>
          </w:p>
        </w:tc>
      </w:tr>
      <w:tr w:rsidR="00FC0D42" w:rsidRPr="005B0796" w14:paraId="5618C915"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hideMark/>
          </w:tcPr>
          <w:p w14:paraId="046ABB6B" w14:textId="77777777" w:rsidR="00FC0D42" w:rsidRPr="005B0796" w:rsidRDefault="00FC0D42" w:rsidP="009919A9">
            <w:pPr>
              <w:pStyle w:val="TableText"/>
              <w:rPr>
                <w:lang w:eastAsia="en-AU"/>
              </w:rPr>
            </w:pPr>
            <w:r w:rsidRPr="005B0796">
              <w:rPr>
                <w:lang w:eastAsia="en-AU"/>
              </w:rPr>
              <w:t>Specific phobia</w:t>
            </w:r>
          </w:p>
        </w:tc>
        <w:tc>
          <w:tcPr>
            <w:tcW w:w="437" w:type="pct"/>
            <w:noWrap/>
          </w:tcPr>
          <w:p w14:paraId="0DA4B517" w14:textId="77777777" w:rsidR="00FC0D42" w:rsidRPr="005B0796" w:rsidRDefault="00FC0D42" w:rsidP="009919A9">
            <w:pPr>
              <w:pStyle w:val="TableText"/>
              <w:jc w:val="right"/>
              <w:rPr>
                <w:lang w:eastAsia="en-AU"/>
              </w:rPr>
            </w:pPr>
            <w:r w:rsidRPr="005B0796">
              <w:t>97</w:t>
            </w:r>
          </w:p>
        </w:tc>
        <w:tc>
          <w:tcPr>
            <w:tcW w:w="438" w:type="pct"/>
          </w:tcPr>
          <w:p w14:paraId="02C3F632" w14:textId="77777777" w:rsidR="00FC0D42" w:rsidRPr="005B0796" w:rsidRDefault="00FC0D42" w:rsidP="009919A9">
            <w:pPr>
              <w:pStyle w:val="TableText"/>
              <w:jc w:val="right"/>
              <w:rPr>
                <w:lang w:eastAsia="en-AU"/>
              </w:rPr>
            </w:pPr>
            <w:r w:rsidRPr="005B0796">
              <w:t xml:space="preserve">10 </w:t>
            </w:r>
          </w:p>
        </w:tc>
        <w:tc>
          <w:tcPr>
            <w:tcW w:w="437" w:type="pct"/>
          </w:tcPr>
          <w:p w14:paraId="32C8908A" w14:textId="77777777" w:rsidR="00FC0D42" w:rsidRPr="005B0796" w:rsidRDefault="00FC0D42" w:rsidP="009919A9">
            <w:pPr>
              <w:pStyle w:val="TableText"/>
              <w:jc w:val="right"/>
              <w:rPr>
                <w:lang w:eastAsia="en-AU"/>
              </w:rPr>
            </w:pPr>
            <w:r w:rsidRPr="005B0796">
              <w:t>8.2, 12.1</w:t>
            </w:r>
          </w:p>
        </w:tc>
        <w:tc>
          <w:tcPr>
            <w:tcW w:w="438" w:type="pct"/>
            <w:noWrap/>
          </w:tcPr>
          <w:p w14:paraId="535DD6B3" w14:textId="77777777" w:rsidR="00FC0D42" w:rsidRPr="005B0796" w:rsidRDefault="00FC0D42" w:rsidP="009919A9">
            <w:pPr>
              <w:pStyle w:val="TableText"/>
              <w:jc w:val="right"/>
              <w:rPr>
                <w:lang w:eastAsia="en-AU"/>
              </w:rPr>
            </w:pPr>
            <w:r w:rsidRPr="005B0796">
              <w:t>2499</w:t>
            </w:r>
          </w:p>
        </w:tc>
        <w:tc>
          <w:tcPr>
            <w:tcW w:w="437" w:type="pct"/>
          </w:tcPr>
          <w:p w14:paraId="52027654" w14:textId="77777777" w:rsidR="00FC0D42" w:rsidRPr="005B0796" w:rsidRDefault="00FC0D42" w:rsidP="009919A9">
            <w:pPr>
              <w:pStyle w:val="TableText"/>
              <w:jc w:val="right"/>
              <w:rPr>
                <w:lang w:eastAsia="en-AU"/>
              </w:rPr>
            </w:pPr>
            <w:r w:rsidRPr="005B0796">
              <w:t xml:space="preserve">10 </w:t>
            </w:r>
          </w:p>
        </w:tc>
        <w:tc>
          <w:tcPr>
            <w:tcW w:w="438" w:type="pct"/>
          </w:tcPr>
          <w:p w14:paraId="43826489" w14:textId="77777777" w:rsidR="00FC0D42" w:rsidRPr="005B0796" w:rsidRDefault="00FC0D42" w:rsidP="009919A9">
            <w:pPr>
              <w:pStyle w:val="TableText"/>
              <w:jc w:val="right"/>
              <w:rPr>
                <w:lang w:eastAsia="en-AU"/>
              </w:rPr>
            </w:pPr>
            <w:r w:rsidRPr="005B0796">
              <w:t>8.3, 12.1</w:t>
            </w:r>
          </w:p>
        </w:tc>
        <w:tc>
          <w:tcPr>
            <w:tcW w:w="437" w:type="pct"/>
          </w:tcPr>
          <w:p w14:paraId="7C57A472" w14:textId="77777777" w:rsidR="00FC0D42" w:rsidRPr="005B0796" w:rsidRDefault="00FC0D42" w:rsidP="009919A9">
            <w:pPr>
              <w:pStyle w:val="TableText"/>
              <w:jc w:val="right"/>
              <w:rPr>
                <w:lang w:eastAsia="en-AU"/>
              </w:rPr>
            </w:pPr>
            <w:r w:rsidRPr="005B0796">
              <w:rPr>
                <w:lang w:eastAsia="en-AU"/>
              </w:rPr>
              <w:t>1936</w:t>
            </w:r>
          </w:p>
        </w:tc>
        <w:tc>
          <w:tcPr>
            <w:tcW w:w="438" w:type="pct"/>
          </w:tcPr>
          <w:p w14:paraId="494CB0F6" w14:textId="77777777" w:rsidR="00FC0D42" w:rsidRPr="005B0796" w:rsidRDefault="00FC0D42" w:rsidP="009919A9">
            <w:pPr>
              <w:pStyle w:val="TableText"/>
              <w:jc w:val="right"/>
              <w:rPr>
                <w:lang w:eastAsia="en-AU"/>
              </w:rPr>
            </w:pPr>
            <w:r w:rsidRPr="005B0796">
              <w:rPr>
                <w:lang w:eastAsia="en-AU"/>
              </w:rPr>
              <w:t>7.8</w:t>
            </w:r>
          </w:p>
        </w:tc>
        <w:tc>
          <w:tcPr>
            <w:tcW w:w="438" w:type="pct"/>
          </w:tcPr>
          <w:p w14:paraId="1E2D9779" w14:textId="77777777" w:rsidR="00FC0D42" w:rsidRPr="005B0796" w:rsidRDefault="00FC0D42" w:rsidP="009919A9">
            <w:pPr>
              <w:pStyle w:val="TableText"/>
              <w:jc w:val="right"/>
              <w:rPr>
                <w:lang w:eastAsia="en-AU"/>
              </w:rPr>
            </w:pPr>
            <w:r w:rsidRPr="005B0796">
              <w:rPr>
                <w:lang w:eastAsia="en-AU"/>
              </w:rPr>
              <w:t>5.8, 10.3</w:t>
            </w:r>
          </w:p>
        </w:tc>
      </w:tr>
      <w:tr w:rsidR="00FC0D42" w:rsidRPr="005B0796" w14:paraId="6CA0FBBD" w14:textId="77777777" w:rsidTr="00FC0D42">
        <w:trPr>
          <w:cantSplit/>
        </w:trPr>
        <w:tc>
          <w:tcPr>
            <w:tcW w:w="1063" w:type="pct"/>
            <w:noWrap/>
            <w:hideMark/>
          </w:tcPr>
          <w:p w14:paraId="0FE71973" w14:textId="77777777" w:rsidR="00FC0D42" w:rsidRPr="005B0796" w:rsidRDefault="00FC0D42" w:rsidP="009919A9">
            <w:pPr>
              <w:pStyle w:val="TableText"/>
              <w:rPr>
                <w:lang w:eastAsia="en-AU"/>
              </w:rPr>
            </w:pPr>
            <w:r w:rsidRPr="005B0796">
              <w:rPr>
                <w:lang w:eastAsia="en-AU"/>
              </w:rPr>
              <w:t>Generalised anxiety disorder</w:t>
            </w:r>
          </w:p>
        </w:tc>
        <w:tc>
          <w:tcPr>
            <w:tcW w:w="437" w:type="pct"/>
            <w:noWrap/>
          </w:tcPr>
          <w:p w14:paraId="2FC81D0E" w14:textId="77777777" w:rsidR="00FC0D42" w:rsidRPr="005B0796" w:rsidRDefault="00FC0D42" w:rsidP="009919A9">
            <w:pPr>
              <w:pStyle w:val="TableText"/>
              <w:jc w:val="right"/>
              <w:rPr>
                <w:lang w:eastAsia="en-AU"/>
              </w:rPr>
            </w:pPr>
            <w:r w:rsidRPr="005B0796">
              <w:t>33</w:t>
            </w:r>
          </w:p>
        </w:tc>
        <w:tc>
          <w:tcPr>
            <w:tcW w:w="438" w:type="pct"/>
          </w:tcPr>
          <w:p w14:paraId="2B0F787B" w14:textId="77777777" w:rsidR="00FC0D42" w:rsidRPr="005B0796" w:rsidRDefault="00FC0D42" w:rsidP="009919A9">
            <w:pPr>
              <w:pStyle w:val="TableText"/>
              <w:jc w:val="right"/>
              <w:rPr>
                <w:lang w:eastAsia="en-AU"/>
              </w:rPr>
            </w:pPr>
            <w:r w:rsidRPr="005B0796">
              <w:t xml:space="preserve">3.4 </w:t>
            </w:r>
          </w:p>
        </w:tc>
        <w:tc>
          <w:tcPr>
            <w:tcW w:w="437" w:type="pct"/>
          </w:tcPr>
          <w:p w14:paraId="0B8DCAB9" w14:textId="77777777" w:rsidR="00FC0D42" w:rsidRPr="005B0796" w:rsidRDefault="00FC0D42" w:rsidP="009919A9">
            <w:pPr>
              <w:pStyle w:val="TableText"/>
              <w:jc w:val="right"/>
              <w:rPr>
                <w:lang w:eastAsia="en-AU"/>
              </w:rPr>
            </w:pPr>
            <w:r w:rsidRPr="005B0796">
              <w:t>2.4, 4.7</w:t>
            </w:r>
          </w:p>
        </w:tc>
        <w:tc>
          <w:tcPr>
            <w:tcW w:w="438" w:type="pct"/>
            <w:noWrap/>
          </w:tcPr>
          <w:p w14:paraId="59A6CBFC" w14:textId="77777777" w:rsidR="00FC0D42" w:rsidRPr="005B0796" w:rsidRDefault="00FC0D42" w:rsidP="009919A9">
            <w:pPr>
              <w:pStyle w:val="TableText"/>
              <w:jc w:val="right"/>
              <w:rPr>
                <w:lang w:eastAsia="en-AU"/>
              </w:rPr>
            </w:pPr>
            <w:r w:rsidRPr="005B0796">
              <w:t>855</w:t>
            </w:r>
          </w:p>
        </w:tc>
        <w:tc>
          <w:tcPr>
            <w:tcW w:w="437" w:type="pct"/>
          </w:tcPr>
          <w:p w14:paraId="6EEC65E6" w14:textId="77777777" w:rsidR="00FC0D42" w:rsidRPr="005B0796" w:rsidRDefault="00FC0D42" w:rsidP="009919A9">
            <w:pPr>
              <w:pStyle w:val="TableText"/>
              <w:jc w:val="right"/>
              <w:rPr>
                <w:lang w:eastAsia="en-AU"/>
              </w:rPr>
            </w:pPr>
            <w:r w:rsidRPr="005B0796">
              <w:t xml:space="preserve">3.4 </w:t>
            </w:r>
          </w:p>
        </w:tc>
        <w:tc>
          <w:tcPr>
            <w:tcW w:w="438" w:type="pct"/>
          </w:tcPr>
          <w:p w14:paraId="7E0E2335" w14:textId="77777777" w:rsidR="00FC0D42" w:rsidRPr="005B0796" w:rsidRDefault="00FC0D42" w:rsidP="009919A9">
            <w:pPr>
              <w:pStyle w:val="TableText"/>
              <w:jc w:val="right"/>
              <w:rPr>
                <w:lang w:eastAsia="en-AU"/>
              </w:rPr>
            </w:pPr>
            <w:r w:rsidRPr="005B0796">
              <w:t>2.4, 4.8</w:t>
            </w:r>
          </w:p>
        </w:tc>
        <w:tc>
          <w:tcPr>
            <w:tcW w:w="437" w:type="pct"/>
          </w:tcPr>
          <w:p w14:paraId="7F69B5CA" w14:textId="77777777" w:rsidR="00FC0D42" w:rsidRPr="005B0796" w:rsidRDefault="00FC0D42" w:rsidP="009919A9">
            <w:pPr>
              <w:pStyle w:val="TableText"/>
              <w:jc w:val="right"/>
              <w:rPr>
                <w:lang w:eastAsia="en-AU"/>
              </w:rPr>
            </w:pPr>
            <w:r w:rsidRPr="005B0796">
              <w:rPr>
                <w:lang w:eastAsia="en-AU"/>
              </w:rPr>
              <w:t>917</w:t>
            </w:r>
          </w:p>
        </w:tc>
        <w:tc>
          <w:tcPr>
            <w:tcW w:w="438" w:type="pct"/>
          </w:tcPr>
          <w:p w14:paraId="15700B3C" w14:textId="77777777" w:rsidR="00FC0D42" w:rsidRPr="005B0796" w:rsidRDefault="00FC0D42" w:rsidP="009919A9">
            <w:pPr>
              <w:pStyle w:val="TableText"/>
              <w:jc w:val="right"/>
              <w:rPr>
                <w:lang w:eastAsia="en-AU"/>
              </w:rPr>
            </w:pPr>
            <w:r w:rsidRPr="005B0796">
              <w:rPr>
                <w:lang w:eastAsia="en-AU"/>
              </w:rPr>
              <w:t>3.7</w:t>
            </w:r>
          </w:p>
        </w:tc>
        <w:tc>
          <w:tcPr>
            <w:tcW w:w="438" w:type="pct"/>
          </w:tcPr>
          <w:p w14:paraId="066BB239" w14:textId="77777777" w:rsidR="00FC0D42" w:rsidRPr="005B0796" w:rsidRDefault="00FC0D42" w:rsidP="009919A9">
            <w:pPr>
              <w:pStyle w:val="TableText"/>
              <w:jc w:val="right"/>
              <w:rPr>
                <w:lang w:eastAsia="en-AU"/>
              </w:rPr>
            </w:pPr>
            <w:r w:rsidRPr="005B0796">
              <w:rPr>
                <w:lang w:eastAsia="en-AU"/>
              </w:rPr>
              <w:t>2.2, 6.0</w:t>
            </w:r>
          </w:p>
        </w:tc>
      </w:tr>
      <w:tr w:rsidR="00FC0D42" w:rsidRPr="005B0796" w14:paraId="75507638"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hideMark/>
          </w:tcPr>
          <w:p w14:paraId="76E662FD" w14:textId="77777777" w:rsidR="00FC0D42" w:rsidRPr="005B0796" w:rsidRDefault="00FC0D42" w:rsidP="009919A9">
            <w:pPr>
              <w:pStyle w:val="TableText"/>
              <w:rPr>
                <w:lang w:eastAsia="en-AU"/>
              </w:rPr>
            </w:pPr>
            <w:r w:rsidRPr="005B0796">
              <w:rPr>
                <w:lang w:eastAsia="en-AU"/>
              </w:rPr>
              <w:t>Obsessive</w:t>
            </w:r>
            <w:r>
              <w:rPr>
                <w:lang w:eastAsia="en-AU"/>
              </w:rPr>
              <w:t>-</w:t>
            </w:r>
            <w:r w:rsidRPr="005B0796">
              <w:rPr>
                <w:lang w:eastAsia="en-AU"/>
              </w:rPr>
              <w:t>compulsive disorder</w:t>
            </w:r>
          </w:p>
        </w:tc>
        <w:tc>
          <w:tcPr>
            <w:tcW w:w="437" w:type="pct"/>
            <w:noWrap/>
          </w:tcPr>
          <w:p w14:paraId="7F708250" w14:textId="77777777" w:rsidR="00FC0D42" w:rsidRPr="005B0796" w:rsidRDefault="00FC0D42" w:rsidP="009919A9">
            <w:pPr>
              <w:pStyle w:val="TableText"/>
              <w:jc w:val="right"/>
              <w:rPr>
                <w:lang w:eastAsia="en-AU"/>
              </w:rPr>
            </w:pPr>
            <w:r w:rsidRPr="005B0796">
              <w:t>37</w:t>
            </w:r>
          </w:p>
        </w:tc>
        <w:tc>
          <w:tcPr>
            <w:tcW w:w="438" w:type="pct"/>
          </w:tcPr>
          <w:p w14:paraId="1A442163" w14:textId="77777777" w:rsidR="00FC0D42" w:rsidRPr="005B0796" w:rsidRDefault="00FC0D42" w:rsidP="009919A9">
            <w:pPr>
              <w:pStyle w:val="TableText"/>
              <w:jc w:val="right"/>
              <w:rPr>
                <w:lang w:eastAsia="en-AU"/>
              </w:rPr>
            </w:pPr>
            <w:r w:rsidRPr="005B0796">
              <w:t xml:space="preserve">3.8 </w:t>
            </w:r>
          </w:p>
        </w:tc>
        <w:tc>
          <w:tcPr>
            <w:tcW w:w="437" w:type="pct"/>
          </w:tcPr>
          <w:p w14:paraId="42C1A337" w14:textId="77777777" w:rsidR="00FC0D42" w:rsidRPr="005B0796" w:rsidRDefault="00FC0D42" w:rsidP="009919A9">
            <w:pPr>
              <w:pStyle w:val="TableText"/>
              <w:jc w:val="right"/>
              <w:rPr>
                <w:lang w:eastAsia="en-AU"/>
              </w:rPr>
            </w:pPr>
            <w:r w:rsidRPr="005B0796">
              <w:t>2.7, 5.2</w:t>
            </w:r>
          </w:p>
        </w:tc>
        <w:tc>
          <w:tcPr>
            <w:tcW w:w="438" w:type="pct"/>
            <w:noWrap/>
          </w:tcPr>
          <w:p w14:paraId="199F3D10" w14:textId="77777777" w:rsidR="00FC0D42" w:rsidRPr="005B0796" w:rsidRDefault="00FC0D42" w:rsidP="009919A9">
            <w:pPr>
              <w:pStyle w:val="TableText"/>
              <w:jc w:val="right"/>
              <w:rPr>
                <w:lang w:eastAsia="en-AU"/>
              </w:rPr>
            </w:pPr>
            <w:r w:rsidRPr="005B0796">
              <w:t>922</w:t>
            </w:r>
          </w:p>
        </w:tc>
        <w:tc>
          <w:tcPr>
            <w:tcW w:w="437" w:type="pct"/>
          </w:tcPr>
          <w:p w14:paraId="0CF65E9D" w14:textId="77777777" w:rsidR="00FC0D42" w:rsidRPr="005B0796" w:rsidRDefault="00FC0D42" w:rsidP="009919A9">
            <w:pPr>
              <w:pStyle w:val="TableText"/>
              <w:jc w:val="right"/>
              <w:rPr>
                <w:lang w:eastAsia="en-AU"/>
              </w:rPr>
            </w:pPr>
            <w:r w:rsidRPr="005B0796">
              <w:t xml:space="preserve">3.7 </w:t>
            </w:r>
          </w:p>
        </w:tc>
        <w:tc>
          <w:tcPr>
            <w:tcW w:w="438" w:type="pct"/>
          </w:tcPr>
          <w:p w14:paraId="629871AB" w14:textId="77777777" w:rsidR="00FC0D42" w:rsidRPr="005B0796" w:rsidRDefault="00FC0D42" w:rsidP="009919A9">
            <w:pPr>
              <w:pStyle w:val="TableText"/>
              <w:jc w:val="right"/>
              <w:rPr>
                <w:lang w:eastAsia="en-AU"/>
              </w:rPr>
            </w:pPr>
            <w:r w:rsidRPr="005B0796">
              <w:t>2.7, 5.1</w:t>
            </w:r>
          </w:p>
        </w:tc>
        <w:tc>
          <w:tcPr>
            <w:tcW w:w="437" w:type="pct"/>
          </w:tcPr>
          <w:p w14:paraId="0D4D95A6" w14:textId="77777777" w:rsidR="00FC0D42" w:rsidRPr="005B0796" w:rsidRDefault="00FC0D42" w:rsidP="009919A9">
            <w:pPr>
              <w:pStyle w:val="TableText"/>
              <w:jc w:val="right"/>
              <w:rPr>
                <w:lang w:eastAsia="en-AU"/>
              </w:rPr>
            </w:pPr>
            <w:r w:rsidRPr="005B0796">
              <w:rPr>
                <w:lang w:eastAsia="en-AU"/>
              </w:rPr>
              <w:t>1029</w:t>
            </w:r>
          </w:p>
        </w:tc>
        <w:tc>
          <w:tcPr>
            <w:tcW w:w="438" w:type="pct"/>
          </w:tcPr>
          <w:p w14:paraId="7472C3B0" w14:textId="77777777" w:rsidR="00FC0D42" w:rsidRPr="005B0796" w:rsidRDefault="00FC0D42" w:rsidP="009919A9">
            <w:pPr>
              <w:pStyle w:val="TableText"/>
              <w:jc w:val="right"/>
              <w:rPr>
                <w:lang w:eastAsia="en-AU"/>
              </w:rPr>
            </w:pPr>
            <w:r w:rsidRPr="005B0796">
              <w:rPr>
                <w:lang w:eastAsia="en-AU"/>
              </w:rPr>
              <w:t>4.1</w:t>
            </w:r>
          </w:p>
        </w:tc>
        <w:tc>
          <w:tcPr>
            <w:tcW w:w="438" w:type="pct"/>
          </w:tcPr>
          <w:p w14:paraId="71CA3497" w14:textId="77777777" w:rsidR="00FC0D42" w:rsidRPr="005B0796" w:rsidRDefault="00FC0D42" w:rsidP="009919A9">
            <w:pPr>
              <w:pStyle w:val="TableText"/>
              <w:jc w:val="right"/>
              <w:rPr>
                <w:lang w:eastAsia="en-AU"/>
              </w:rPr>
            </w:pPr>
            <w:r w:rsidRPr="005B0796">
              <w:rPr>
                <w:lang w:eastAsia="en-AU"/>
              </w:rPr>
              <w:t>2.6, 6.6</w:t>
            </w:r>
          </w:p>
        </w:tc>
      </w:tr>
      <w:tr w:rsidR="00FC0D42" w:rsidRPr="005B0796" w14:paraId="4A126612" w14:textId="77777777" w:rsidTr="00FC0D42">
        <w:trPr>
          <w:cantSplit/>
        </w:trPr>
        <w:tc>
          <w:tcPr>
            <w:tcW w:w="1063" w:type="pct"/>
            <w:noWrap/>
            <w:hideMark/>
          </w:tcPr>
          <w:p w14:paraId="2AD43BCE" w14:textId="77777777" w:rsidR="00FC0D42" w:rsidRPr="005B0796" w:rsidRDefault="00FC0D42" w:rsidP="009919A9">
            <w:pPr>
              <w:pStyle w:val="TableText"/>
              <w:rPr>
                <w:lang w:eastAsia="en-AU"/>
              </w:rPr>
            </w:pPr>
            <w:r w:rsidRPr="005B0796">
              <w:rPr>
                <w:lang w:eastAsia="en-AU"/>
              </w:rPr>
              <w:t>Posttraumatic stress disorder</w:t>
            </w:r>
          </w:p>
        </w:tc>
        <w:tc>
          <w:tcPr>
            <w:tcW w:w="437" w:type="pct"/>
            <w:noWrap/>
          </w:tcPr>
          <w:p w14:paraId="2B07123F" w14:textId="77777777" w:rsidR="00FC0D42" w:rsidRPr="005B0796" w:rsidRDefault="00FC0D42" w:rsidP="009919A9">
            <w:pPr>
              <w:pStyle w:val="TableText"/>
              <w:jc w:val="right"/>
              <w:rPr>
                <w:lang w:eastAsia="en-AU"/>
              </w:rPr>
            </w:pPr>
            <w:r w:rsidRPr="005B0796">
              <w:t>170</w:t>
            </w:r>
          </w:p>
        </w:tc>
        <w:tc>
          <w:tcPr>
            <w:tcW w:w="438" w:type="pct"/>
          </w:tcPr>
          <w:p w14:paraId="4953CE82" w14:textId="77777777" w:rsidR="00FC0D42" w:rsidRPr="005B0796" w:rsidRDefault="00FC0D42" w:rsidP="009919A9">
            <w:pPr>
              <w:pStyle w:val="TableText"/>
              <w:jc w:val="right"/>
              <w:rPr>
                <w:lang w:eastAsia="en-AU"/>
              </w:rPr>
            </w:pPr>
            <w:r w:rsidRPr="005B0796">
              <w:t xml:space="preserve">17.5 </w:t>
            </w:r>
          </w:p>
        </w:tc>
        <w:tc>
          <w:tcPr>
            <w:tcW w:w="437" w:type="pct"/>
          </w:tcPr>
          <w:p w14:paraId="2F261FFA" w14:textId="77777777" w:rsidR="00FC0D42" w:rsidRPr="005B0796" w:rsidRDefault="00FC0D42" w:rsidP="009919A9">
            <w:pPr>
              <w:pStyle w:val="TableText"/>
              <w:jc w:val="right"/>
              <w:rPr>
                <w:lang w:eastAsia="en-AU"/>
              </w:rPr>
            </w:pPr>
            <w:r w:rsidRPr="005B0796">
              <w:t>15.2, 20.1</w:t>
            </w:r>
          </w:p>
        </w:tc>
        <w:tc>
          <w:tcPr>
            <w:tcW w:w="438" w:type="pct"/>
            <w:noWrap/>
          </w:tcPr>
          <w:p w14:paraId="64A58FFC" w14:textId="77777777" w:rsidR="00FC0D42" w:rsidRPr="005B0796" w:rsidRDefault="00FC0D42" w:rsidP="009919A9">
            <w:pPr>
              <w:pStyle w:val="TableText"/>
              <w:jc w:val="right"/>
              <w:rPr>
                <w:lang w:eastAsia="en-AU"/>
              </w:rPr>
            </w:pPr>
            <w:r w:rsidRPr="005B0796">
              <w:t>4483</w:t>
            </w:r>
          </w:p>
        </w:tc>
        <w:tc>
          <w:tcPr>
            <w:tcW w:w="437" w:type="pct"/>
          </w:tcPr>
          <w:p w14:paraId="3E91B267" w14:textId="77777777" w:rsidR="00FC0D42" w:rsidRPr="005B0796" w:rsidRDefault="00FC0D42" w:rsidP="009919A9">
            <w:pPr>
              <w:pStyle w:val="TableText"/>
              <w:jc w:val="right"/>
              <w:rPr>
                <w:lang w:eastAsia="en-AU"/>
              </w:rPr>
            </w:pPr>
            <w:r w:rsidRPr="005B0796">
              <w:t xml:space="preserve">17.9 </w:t>
            </w:r>
          </w:p>
        </w:tc>
        <w:tc>
          <w:tcPr>
            <w:tcW w:w="438" w:type="pct"/>
          </w:tcPr>
          <w:p w14:paraId="7675FCEB" w14:textId="77777777" w:rsidR="00FC0D42" w:rsidRPr="005B0796" w:rsidRDefault="00FC0D42" w:rsidP="009919A9">
            <w:pPr>
              <w:pStyle w:val="TableText"/>
              <w:jc w:val="right"/>
              <w:rPr>
                <w:lang w:eastAsia="en-AU"/>
              </w:rPr>
            </w:pPr>
            <w:r w:rsidRPr="005B0796">
              <w:t>15.6, 20.5</w:t>
            </w:r>
          </w:p>
        </w:tc>
        <w:tc>
          <w:tcPr>
            <w:tcW w:w="437" w:type="pct"/>
          </w:tcPr>
          <w:p w14:paraId="2774CBF8" w14:textId="77777777" w:rsidR="00FC0D42" w:rsidRPr="005B0796" w:rsidRDefault="00FC0D42" w:rsidP="009919A9">
            <w:pPr>
              <w:pStyle w:val="TableText"/>
              <w:jc w:val="right"/>
              <w:rPr>
                <w:lang w:eastAsia="en-AU"/>
              </w:rPr>
            </w:pPr>
            <w:r w:rsidRPr="005B0796">
              <w:rPr>
                <w:lang w:eastAsia="en-AU"/>
              </w:rPr>
              <w:t>4408</w:t>
            </w:r>
          </w:p>
        </w:tc>
        <w:tc>
          <w:tcPr>
            <w:tcW w:w="438" w:type="pct"/>
          </w:tcPr>
          <w:p w14:paraId="46C1A1AA" w14:textId="77777777" w:rsidR="00FC0D42" w:rsidRPr="005B0796" w:rsidRDefault="00FC0D42" w:rsidP="009919A9">
            <w:pPr>
              <w:pStyle w:val="TableText"/>
              <w:jc w:val="right"/>
              <w:rPr>
                <w:lang w:eastAsia="en-AU"/>
              </w:rPr>
            </w:pPr>
            <w:r w:rsidRPr="005B0796">
              <w:rPr>
                <w:lang w:eastAsia="en-AU"/>
              </w:rPr>
              <w:t>17.7</w:t>
            </w:r>
          </w:p>
        </w:tc>
        <w:tc>
          <w:tcPr>
            <w:tcW w:w="438" w:type="pct"/>
          </w:tcPr>
          <w:p w14:paraId="0D63D5EC" w14:textId="77777777" w:rsidR="00FC0D42" w:rsidRPr="005B0796" w:rsidRDefault="00FC0D42" w:rsidP="009919A9">
            <w:pPr>
              <w:pStyle w:val="TableText"/>
              <w:jc w:val="right"/>
              <w:rPr>
                <w:lang w:eastAsia="en-AU"/>
              </w:rPr>
            </w:pPr>
            <w:r w:rsidRPr="005B0796">
              <w:rPr>
                <w:lang w:eastAsia="en-AU"/>
              </w:rPr>
              <w:t>14.5, 21.3</w:t>
            </w:r>
          </w:p>
        </w:tc>
      </w:tr>
      <w:tr w:rsidR="00FC0D42" w:rsidRPr="005B0796" w14:paraId="09563003"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hideMark/>
          </w:tcPr>
          <w:p w14:paraId="3EE2A83D" w14:textId="77777777" w:rsidR="00FC0D42" w:rsidRPr="005B0796" w:rsidRDefault="00FC0D42" w:rsidP="009919A9">
            <w:pPr>
              <w:pStyle w:val="TableText"/>
              <w:rPr>
                <w:lang w:eastAsia="en-AU"/>
              </w:rPr>
            </w:pPr>
            <w:r w:rsidRPr="005B0796">
              <w:rPr>
                <w:lang w:eastAsia="en-AU"/>
              </w:rPr>
              <w:t>Any anxiety disorder</w:t>
            </w:r>
          </w:p>
        </w:tc>
        <w:tc>
          <w:tcPr>
            <w:tcW w:w="437" w:type="pct"/>
            <w:noWrap/>
          </w:tcPr>
          <w:p w14:paraId="185D14FD" w14:textId="77777777" w:rsidR="00FC0D42" w:rsidRPr="005B0796" w:rsidRDefault="00FC0D42" w:rsidP="009919A9">
            <w:pPr>
              <w:pStyle w:val="TableText"/>
              <w:jc w:val="right"/>
              <w:rPr>
                <w:lang w:eastAsia="en-AU"/>
              </w:rPr>
            </w:pPr>
            <w:r w:rsidRPr="005B0796">
              <w:t>354</w:t>
            </w:r>
          </w:p>
        </w:tc>
        <w:tc>
          <w:tcPr>
            <w:tcW w:w="438" w:type="pct"/>
          </w:tcPr>
          <w:p w14:paraId="45FAE5CE" w14:textId="77777777" w:rsidR="00FC0D42" w:rsidRPr="005B0796" w:rsidRDefault="00FC0D42" w:rsidP="009919A9">
            <w:pPr>
              <w:pStyle w:val="TableText"/>
              <w:jc w:val="right"/>
              <w:rPr>
                <w:lang w:eastAsia="en-AU"/>
              </w:rPr>
            </w:pPr>
            <w:r w:rsidRPr="005B0796">
              <w:t xml:space="preserve">36.5 </w:t>
            </w:r>
          </w:p>
        </w:tc>
        <w:tc>
          <w:tcPr>
            <w:tcW w:w="437" w:type="pct"/>
          </w:tcPr>
          <w:p w14:paraId="454EFD02" w14:textId="77777777" w:rsidR="00FC0D42" w:rsidRPr="005B0796" w:rsidRDefault="00FC0D42" w:rsidP="009919A9">
            <w:pPr>
              <w:pStyle w:val="TableText"/>
              <w:jc w:val="right"/>
              <w:rPr>
                <w:lang w:eastAsia="en-AU"/>
              </w:rPr>
            </w:pPr>
            <w:r w:rsidRPr="005B0796">
              <w:t>34.3, 38.6</w:t>
            </w:r>
          </w:p>
        </w:tc>
        <w:tc>
          <w:tcPr>
            <w:tcW w:w="438" w:type="pct"/>
            <w:noWrap/>
          </w:tcPr>
          <w:p w14:paraId="024D0228" w14:textId="77777777" w:rsidR="00FC0D42" w:rsidRPr="005B0796" w:rsidRDefault="00FC0D42" w:rsidP="009919A9">
            <w:pPr>
              <w:pStyle w:val="TableText"/>
              <w:jc w:val="right"/>
              <w:rPr>
                <w:lang w:eastAsia="en-AU"/>
              </w:rPr>
            </w:pPr>
            <w:r w:rsidRPr="005B0796">
              <w:t>9175</w:t>
            </w:r>
          </w:p>
        </w:tc>
        <w:tc>
          <w:tcPr>
            <w:tcW w:w="437" w:type="pct"/>
          </w:tcPr>
          <w:p w14:paraId="5F58767F" w14:textId="77777777" w:rsidR="00FC0D42" w:rsidRPr="005B0796" w:rsidRDefault="00FC0D42" w:rsidP="009919A9">
            <w:pPr>
              <w:pStyle w:val="TableText"/>
              <w:jc w:val="right"/>
              <w:rPr>
                <w:lang w:eastAsia="en-AU"/>
              </w:rPr>
            </w:pPr>
            <w:r w:rsidRPr="005B0796">
              <w:t xml:space="preserve">36.7 </w:t>
            </w:r>
          </w:p>
        </w:tc>
        <w:tc>
          <w:tcPr>
            <w:tcW w:w="438" w:type="pct"/>
          </w:tcPr>
          <w:p w14:paraId="5FC6C84B" w14:textId="77777777" w:rsidR="00FC0D42" w:rsidRPr="005B0796" w:rsidRDefault="00FC0D42" w:rsidP="009919A9">
            <w:pPr>
              <w:pStyle w:val="TableText"/>
              <w:jc w:val="right"/>
              <w:rPr>
                <w:lang w:eastAsia="en-AU"/>
              </w:rPr>
            </w:pPr>
            <w:r w:rsidRPr="005B0796">
              <w:t>33.7, 39.8</w:t>
            </w:r>
          </w:p>
        </w:tc>
        <w:tc>
          <w:tcPr>
            <w:tcW w:w="437" w:type="pct"/>
          </w:tcPr>
          <w:p w14:paraId="67FED423" w14:textId="77777777" w:rsidR="00FC0D42" w:rsidRPr="005B0796" w:rsidRDefault="00FC0D42" w:rsidP="009919A9">
            <w:pPr>
              <w:pStyle w:val="TableText"/>
              <w:jc w:val="right"/>
              <w:rPr>
                <w:lang w:eastAsia="en-AU"/>
              </w:rPr>
            </w:pPr>
            <w:r w:rsidRPr="005B0796">
              <w:rPr>
                <w:lang w:eastAsia="en-AU"/>
              </w:rPr>
              <w:t>9232</w:t>
            </w:r>
          </w:p>
        </w:tc>
        <w:tc>
          <w:tcPr>
            <w:tcW w:w="438" w:type="pct"/>
          </w:tcPr>
          <w:p w14:paraId="361D3C53" w14:textId="77777777" w:rsidR="00FC0D42" w:rsidRPr="005B0796" w:rsidRDefault="00FC0D42" w:rsidP="009919A9">
            <w:pPr>
              <w:pStyle w:val="TableText"/>
              <w:jc w:val="right"/>
              <w:rPr>
                <w:lang w:eastAsia="en-AU"/>
              </w:rPr>
            </w:pPr>
            <w:r w:rsidRPr="005B0796">
              <w:rPr>
                <w:lang w:eastAsia="en-AU"/>
              </w:rPr>
              <w:t>37.0</w:t>
            </w:r>
          </w:p>
        </w:tc>
        <w:tc>
          <w:tcPr>
            <w:tcW w:w="438" w:type="pct"/>
          </w:tcPr>
          <w:p w14:paraId="1AA00E6D" w14:textId="77777777" w:rsidR="00FC0D42" w:rsidRPr="005B0796" w:rsidRDefault="00FC0D42" w:rsidP="009919A9">
            <w:pPr>
              <w:pStyle w:val="TableText"/>
              <w:jc w:val="right"/>
              <w:rPr>
                <w:lang w:eastAsia="en-AU"/>
              </w:rPr>
            </w:pPr>
            <w:r w:rsidRPr="005B0796">
              <w:rPr>
                <w:lang w:eastAsia="en-AU"/>
              </w:rPr>
              <w:t>32.6, 41.7</w:t>
            </w:r>
          </w:p>
        </w:tc>
      </w:tr>
      <w:tr w:rsidR="00FC0D42" w:rsidRPr="005B0796" w14:paraId="0AB37435" w14:textId="77777777" w:rsidTr="00FC0D42">
        <w:trPr>
          <w:cantSplit/>
        </w:trPr>
        <w:tc>
          <w:tcPr>
            <w:tcW w:w="1063" w:type="pct"/>
            <w:noWrap/>
          </w:tcPr>
          <w:p w14:paraId="4A7C9059" w14:textId="77777777" w:rsidR="00FC0D42" w:rsidRPr="005B0796" w:rsidRDefault="00FC0D42" w:rsidP="009919A9">
            <w:pPr>
              <w:pStyle w:val="TableText"/>
              <w:rPr>
                <w:lang w:eastAsia="en-AU"/>
              </w:rPr>
            </w:pPr>
            <w:r w:rsidRPr="005B0796">
              <w:rPr>
                <w:lang w:eastAsia="en-AU"/>
              </w:rPr>
              <w:t>Depressive episodes</w:t>
            </w:r>
          </w:p>
        </w:tc>
        <w:tc>
          <w:tcPr>
            <w:tcW w:w="437" w:type="pct"/>
            <w:noWrap/>
          </w:tcPr>
          <w:p w14:paraId="27BA7515" w14:textId="77777777" w:rsidR="00FC0D42" w:rsidRPr="005B0796" w:rsidRDefault="00FC0D42" w:rsidP="009919A9">
            <w:pPr>
              <w:pStyle w:val="TableText"/>
              <w:jc w:val="right"/>
              <w:rPr>
                <w:lang w:eastAsia="en-AU"/>
              </w:rPr>
            </w:pPr>
            <w:r w:rsidRPr="005B0796">
              <w:t>108</w:t>
            </w:r>
          </w:p>
        </w:tc>
        <w:tc>
          <w:tcPr>
            <w:tcW w:w="438" w:type="pct"/>
          </w:tcPr>
          <w:p w14:paraId="372A7CCC" w14:textId="77777777" w:rsidR="00FC0D42" w:rsidRPr="005B0796" w:rsidRDefault="00FC0D42" w:rsidP="009919A9">
            <w:pPr>
              <w:pStyle w:val="TableText"/>
              <w:jc w:val="right"/>
              <w:rPr>
                <w:lang w:eastAsia="en-AU"/>
              </w:rPr>
            </w:pPr>
            <w:r w:rsidRPr="005B0796">
              <w:t xml:space="preserve">11.1 </w:t>
            </w:r>
          </w:p>
        </w:tc>
        <w:tc>
          <w:tcPr>
            <w:tcW w:w="437" w:type="pct"/>
          </w:tcPr>
          <w:p w14:paraId="7402739A" w14:textId="77777777" w:rsidR="00FC0D42" w:rsidRPr="005B0796" w:rsidRDefault="00FC0D42" w:rsidP="009919A9">
            <w:pPr>
              <w:pStyle w:val="TableText"/>
              <w:jc w:val="right"/>
              <w:rPr>
                <w:lang w:eastAsia="en-AU"/>
              </w:rPr>
            </w:pPr>
            <w:r w:rsidRPr="005B0796">
              <w:t>9.2, 13.3</w:t>
            </w:r>
          </w:p>
        </w:tc>
        <w:tc>
          <w:tcPr>
            <w:tcW w:w="438" w:type="pct"/>
            <w:noWrap/>
          </w:tcPr>
          <w:p w14:paraId="1D19BE74" w14:textId="77777777" w:rsidR="00FC0D42" w:rsidRPr="005B0796" w:rsidRDefault="00FC0D42" w:rsidP="009919A9">
            <w:pPr>
              <w:pStyle w:val="TableText"/>
              <w:jc w:val="right"/>
              <w:rPr>
                <w:lang w:eastAsia="en-AU"/>
              </w:rPr>
            </w:pPr>
            <w:r w:rsidRPr="005B0796">
              <w:t>2812</w:t>
            </w:r>
          </w:p>
        </w:tc>
        <w:tc>
          <w:tcPr>
            <w:tcW w:w="437" w:type="pct"/>
          </w:tcPr>
          <w:p w14:paraId="7FAC2401" w14:textId="77777777" w:rsidR="00FC0D42" w:rsidRPr="005B0796" w:rsidRDefault="00FC0D42" w:rsidP="009919A9">
            <w:pPr>
              <w:pStyle w:val="TableText"/>
              <w:jc w:val="right"/>
              <w:rPr>
                <w:lang w:eastAsia="en-AU"/>
              </w:rPr>
            </w:pPr>
            <w:r w:rsidRPr="005B0796">
              <w:t xml:space="preserve">11.2 </w:t>
            </w:r>
          </w:p>
        </w:tc>
        <w:tc>
          <w:tcPr>
            <w:tcW w:w="438" w:type="pct"/>
          </w:tcPr>
          <w:p w14:paraId="09EE3F97" w14:textId="77777777" w:rsidR="00FC0D42" w:rsidRPr="005B0796" w:rsidRDefault="00FC0D42" w:rsidP="009919A9">
            <w:pPr>
              <w:pStyle w:val="TableText"/>
              <w:jc w:val="right"/>
              <w:rPr>
                <w:lang w:eastAsia="en-AU"/>
              </w:rPr>
            </w:pPr>
            <w:r w:rsidRPr="005B0796">
              <w:t>9.4, 13.4</w:t>
            </w:r>
          </w:p>
        </w:tc>
        <w:tc>
          <w:tcPr>
            <w:tcW w:w="437" w:type="pct"/>
          </w:tcPr>
          <w:p w14:paraId="140A35D6" w14:textId="77777777" w:rsidR="00FC0D42" w:rsidRPr="005B0796" w:rsidRDefault="00FC0D42" w:rsidP="009919A9">
            <w:pPr>
              <w:pStyle w:val="TableText"/>
              <w:jc w:val="right"/>
              <w:rPr>
                <w:lang w:eastAsia="en-AU"/>
              </w:rPr>
            </w:pPr>
            <w:r w:rsidRPr="005B0796">
              <w:rPr>
                <w:lang w:eastAsia="en-AU"/>
              </w:rPr>
              <w:t>2783</w:t>
            </w:r>
          </w:p>
        </w:tc>
        <w:tc>
          <w:tcPr>
            <w:tcW w:w="438" w:type="pct"/>
          </w:tcPr>
          <w:p w14:paraId="66C00C23" w14:textId="77777777" w:rsidR="00FC0D42" w:rsidRPr="005B0796" w:rsidRDefault="00FC0D42" w:rsidP="009919A9">
            <w:pPr>
              <w:pStyle w:val="TableText"/>
              <w:jc w:val="right"/>
              <w:rPr>
                <w:lang w:eastAsia="en-AU"/>
              </w:rPr>
            </w:pPr>
            <w:r w:rsidRPr="005B0796">
              <w:rPr>
                <w:lang w:eastAsia="en-AU"/>
              </w:rPr>
              <w:t>11.2</w:t>
            </w:r>
          </w:p>
        </w:tc>
        <w:tc>
          <w:tcPr>
            <w:tcW w:w="438" w:type="pct"/>
          </w:tcPr>
          <w:p w14:paraId="709E79CC" w14:textId="77777777" w:rsidR="00FC0D42" w:rsidRPr="005B0796" w:rsidRDefault="00FC0D42" w:rsidP="009919A9">
            <w:pPr>
              <w:pStyle w:val="TableText"/>
              <w:jc w:val="right"/>
              <w:rPr>
                <w:lang w:eastAsia="en-AU"/>
              </w:rPr>
            </w:pPr>
            <w:r w:rsidRPr="005B0796">
              <w:rPr>
                <w:lang w:eastAsia="en-AU"/>
              </w:rPr>
              <w:t>8.6, 14.3</w:t>
            </w:r>
          </w:p>
        </w:tc>
      </w:tr>
      <w:tr w:rsidR="00FC0D42" w:rsidRPr="005B0796" w14:paraId="6C97DF56"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tcPr>
          <w:p w14:paraId="217DDAB7" w14:textId="77777777" w:rsidR="00FC0D42" w:rsidRPr="005B0796" w:rsidRDefault="00FC0D42" w:rsidP="009919A9">
            <w:pPr>
              <w:pStyle w:val="TableText"/>
              <w:rPr>
                <w:lang w:eastAsia="en-AU"/>
              </w:rPr>
            </w:pPr>
            <w:r w:rsidRPr="005B0796">
              <w:rPr>
                <w:lang w:eastAsia="en-AU"/>
              </w:rPr>
              <w:t>Dysthymia</w:t>
            </w:r>
          </w:p>
        </w:tc>
        <w:tc>
          <w:tcPr>
            <w:tcW w:w="437" w:type="pct"/>
            <w:noWrap/>
          </w:tcPr>
          <w:p w14:paraId="743C6090" w14:textId="77777777" w:rsidR="00FC0D42" w:rsidRPr="005B0796" w:rsidRDefault="00FC0D42" w:rsidP="009919A9">
            <w:pPr>
              <w:pStyle w:val="TableText"/>
              <w:jc w:val="right"/>
              <w:rPr>
                <w:lang w:eastAsia="en-AU"/>
              </w:rPr>
            </w:pPr>
            <w:r w:rsidRPr="005B0796">
              <w:t>43</w:t>
            </w:r>
          </w:p>
        </w:tc>
        <w:tc>
          <w:tcPr>
            <w:tcW w:w="438" w:type="pct"/>
          </w:tcPr>
          <w:p w14:paraId="4B517C75" w14:textId="77777777" w:rsidR="00FC0D42" w:rsidRPr="005B0796" w:rsidRDefault="00FC0D42" w:rsidP="009919A9">
            <w:pPr>
              <w:pStyle w:val="TableText"/>
              <w:jc w:val="right"/>
              <w:rPr>
                <w:lang w:eastAsia="en-AU"/>
              </w:rPr>
            </w:pPr>
            <w:r w:rsidRPr="005B0796">
              <w:t xml:space="preserve">4.4 </w:t>
            </w:r>
          </w:p>
        </w:tc>
        <w:tc>
          <w:tcPr>
            <w:tcW w:w="437" w:type="pct"/>
          </w:tcPr>
          <w:p w14:paraId="10206FFF" w14:textId="77777777" w:rsidR="00FC0D42" w:rsidRPr="005B0796" w:rsidRDefault="00FC0D42" w:rsidP="009919A9">
            <w:pPr>
              <w:pStyle w:val="TableText"/>
              <w:jc w:val="right"/>
              <w:rPr>
                <w:lang w:eastAsia="en-AU"/>
              </w:rPr>
            </w:pPr>
            <w:r w:rsidRPr="005B0796">
              <w:t>3.2, 5.9</w:t>
            </w:r>
          </w:p>
        </w:tc>
        <w:tc>
          <w:tcPr>
            <w:tcW w:w="438" w:type="pct"/>
            <w:noWrap/>
          </w:tcPr>
          <w:p w14:paraId="477534CC" w14:textId="77777777" w:rsidR="00FC0D42" w:rsidRPr="005B0796" w:rsidRDefault="00FC0D42" w:rsidP="009919A9">
            <w:pPr>
              <w:pStyle w:val="TableText"/>
              <w:jc w:val="right"/>
              <w:rPr>
                <w:lang w:eastAsia="en-AU"/>
              </w:rPr>
            </w:pPr>
            <w:r w:rsidRPr="005B0796">
              <w:t>1143</w:t>
            </w:r>
          </w:p>
        </w:tc>
        <w:tc>
          <w:tcPr>
            <w:tcW w:w="437" w:type="pct"/>
          </w:tcPr>
          <w:p w14:paraId="7677418F" w14:textId="77777777" w:rsidR="00FC0D42" w:rsidRPr="005B0796" w:rsidRDefault="00FC0D42" w:rsidP="009919A9">
            <w:pPr>
              <w:pStyle w:val="TableText"/>
              <w:jc w:val="right"/>
              <w:rPr>
                <w:lang w:eastAsia="en-AU"/>
              </w:rPr>
            </w:pPr>
            <w:r w:rsidRPr="005B0796">
              <w:t xml:space="preserve">4.6 </w:t>
            </w:r>
          </w:p>
        </w:tc>
        <w:tc>
          <w:tcPr>
            <w:tcW w:w="438" w:type="pct"/>
          </w:tcPr>
          <w:p w14:paraId="581B07C7" w14:textId="77777777" w:rsidR="00FC0D42" w:rsidRPr="005B0796" w:rsidRDefault="00FC0D42" w:rsidP="009919A9">
            <w:pPr>
              <w:pStyle w:val="TableText"/>
              <w:jc w:val="right"/>
              <w:rPr>
                <w:lang w:eastAsia="en-AU"/>
              </w:rPr>
            </w:pPr>
            <w:r w:rsidRPr="005B0796">
              <w:t>3.4, 6.1</w:t>
            </w:r>
          </w:p>
        </w:tc>
        <w:tc>
          <w:tcPr>
            <w:tcW w:w="437" w:type="pct"/>
          </w:tcPr>
          <w:p w14:paraId="20064ED0" w14:textId="77777777" w:rsidR="00FC0D42" w:rsidRPr="005B0796" w:rsidRDefault="00FC0D42" w:rsidP="009919A9">
            <w:pPr>
              <w:pStyle w:val="TableText"/>
              <w:jc w:val="right"/>
              <w:rPr>
                <w:lang w:eastAsia="en-AU"/>
              </w:rPr>
            </w:pPr>
            <w:r w:rsidRPr="005B0796">
              <w:rPr>
                <w:lang w:eastAsia="en-AU"/>
              </w:rPr>
              <w:t>1140</w:t>
            </w:r>
          </w:p>
        </w:tc>
        <w:tc>
          <w:tcPr>
            <w:tcW w:w="438" w:type="pct"/>
          </w:tcPr>
          <w:p w14:paraId="2D0A3C28" w14:textId="77777777" w:rsidR="00FC0D42" w:rsidRPr="005B0796" w:rsidRDefault="00FC0D42" w:rsidP="009919A9">
            <w:pPr>
              <w:pStyle w:val="TableText"/>
              <w:jc w:val="right"/>
              <w:rPr>
                <w:lang w:eastAsia="en-AU"/>
              </w:rPr>
            </w:pPr>
            <w:r w:rsidRPr="005B0796">
              <w:rPr>
                <w:lang w:eastAsia="en-AU"/>
              </w:rPr>
              <w:t>4.6</w:t>
            </w:r>
          </w:p>
        </w:tc>
        <w:tc>
          <w:tcPr>
            <w:tcW w:w="438" w:type="pct"/>
          </w:tcPr>
          <w:p w14:paraId="7CB2A604" w14:textId="77777777" w:rsidR="00FC0D42" w:rsidRPr="005B0796" w:rsidRDefault="00FC0D42" w:rsidP="009919A9">
            <w:pPr>
              <w:pStyle w:val="TableText"/>
              <w:jc w:val="right"/>
              <w:rPr>
                <w:lang w:eastAsia="en-AU"/>
              </w:rPr>
            </w:pPr>
            <w:r w:rsidRPr="005B0796">
              <w:rPr>
                <w:lang w:eastAsia="en-AU"/>
              </w:rPr>
              <w:t>3.1, 6.7</w:t>
            </w:r>
          </w:p>
        </w:tc>
      </w:tr>
      <w:tr w:rsidR="00FC0D42" w:rsidRPr="005B0796" w14:paraId="5BC010E4" w14:textId="77777777" w:rsidTr="00FC0D42">
        <w:trPr>
          <w:cantSplit/>
        </w:trPr>
        <w:tc>
          <w:tcPr>
            <w:tcW w:w="1063" w:type="pct"/>
            <w:noWrap/>
          </w:tcPr>
          <w:p w14:paraId="195FD810" w14:textId="77777777" w:rsidR="00FC0D42" w:rsidRPr="005B0796" w:rsidRDefault="00FC0D42" w:rsidP="009919A9">
            <w:pPr>
              <w:pStyle w:val="TableText"/>
              <w:rPr>
                <w:lang w:eastAsia="en-AU"/>
              </w:rPr>
            </w:pPr>
            <w:r w:rsidRPr="005B0796">
              <w:rPr>
                <w:lang w:eastAsia="en-AU"/>
              </w:rPr>
              <w:t>Bipolar affective disorder</w:t>
            </w:r>
          </w:p>
        </w:tc>
        <w:tc>
          <w:tcPr>
            <w:tcW w:w="437" w:type="pct"/>
            <w:noWrap/>
          </w:tcPr>
          <w:p w14:paraId="0CF08DFF" w14:textId="77777777" w:rsidR="00FC0D42" w:rsidRPr="005B0796" w:rsidRDefault="00FC0D42" w:rsidP="009919A9">
            <w:pPr>
              <w:pStyle w:val="TableText"/>
              <w:jc w:val="right"/>
              <w:rPr>
                <w:lang w:eastAsia="en-AU"/>
              </w:rPr>
            </w:pPr>
            <w:r w:rsidRPr="005B0796">
              <w:t>60</w:t>
            </w:r>
          </w:p>
        </w:tc>
        <w:tc>
          <w:tcPr>
            <w:tcW w:w="438" w:type="pct"/>
          </w:tcPr>
          <w:p w14:paraId="03841B40" w14:textId="77777777" w:rsidR="00FC0D42" w:rsidRPr="005B0796" w:rsidRDefault="00FC0D42" w:rsidP="009919A9">
            <w:pPr>
              <w:pStyle w:val="TableText"/>
              <w:jc w:val="right"/>
              <w:rPr>
                <w:lang w:eastAsia="en-AU"/>
              </w:rPr>
            </w:pPr>
            <w:r w:rsidRPr="005B0796">
              <w:t xml:space="preserve">6.2 </w:t>
            </w:r>
          </w:p>
        </w:tc>
        <w:tc>
          <w:tcPr>
            <w:tcW w:w="437" w:type="pct"/>
          </w:tcPr>
          <w:p w14:paraId="7E160EC8" w14:textId="77777777" w:rsidR="00FC0D42" w:rsidRPr="005B0796" w:rsidRDefault="00FC0D42" w:rsidP="009919A9">
            <w:pPr>
              <w:pStyle w:val="TableText"/>
              <w:jc w:val="right"/>
              <w:rPr>
                <w:lang w:eastAsia="en-AU"/>
              </w:rPr>
            </w:pPr>
            <w:r w:rsidRPr="005B0796">
              <w:t>4.8, 7.9</w:t>
            </w:r>
          </w:p>
        </w:tc>
        <w:tc>
          <w:tcPr>
            <w:tcW w:w="438" w:type="pct"/>
            <w:noWrap/>
          </w:tcPr>
          <w:p w14:paraId="2F421920" w14:textId="77777777" w:rsidR="00FC0D42" w:rsidRPr="005B0796" w:rsidRDefault="00FC0D42" w:rsidP="009919A9">
            <w:pPr>
              <w:pStyle w:val="TableText"/>
              <w:jc w:val="right"/>
              <w:rPr>
                <w:lang w:eastAsia="en-AU"/>
              </w:rPr>
            </w:pPr>
            <w:r w:rsidRPr="005B0796">
              <w:t>1599</w:t>
            </w:r>
          </w:p>
        </w:tc>
        <w:tc>
          <w:tcPr>
            <w:tcW w:w="437" w:type="pct"/>
          </w:tcPr>
          <w:p w14:paraId="15CAADE1" w14:textId="77777777" w:rsidR="00FC0D42" w:rsidRPr="005B0796" w:rsidRDefault="00FC0D42" w:rsidP="009919A9">
            <w:pPr>
              <w:pStyle w:val="TableText"/>
              <w:jc w:val="right"/>
              <w:rPr>
                <w:lang w:eastAsia="en-AU"/>
              </w:rPr>
            </w:pPr>
            <w:r w:rsidRPr="005B0796">
              <w:t xml:space="preserve">6.4 </w:t>
            </w:r>
          </w:p>
        </w:tc>
        <w:tc>
          <w:tcPr>
            <w:tcW w:w="438" w:type="pct"/>
          </w:tcPr>
          <w:p w14:paraId="1B7D4EA2" w14:textId="77777777" w:rsidR="00FC0D42" w:rsidRPr="005B0796" w:rsidRDefault="00FC0D42" w:rsidP="009919A9">
            <w:pPr>
              <w:pStyle w:val="TableText"/>
              <w:jc w:val="right"/>
              <w:rPr>
                <w:lang w:eastAsia="en-AU"/>
              </w:rPr>
            </w:pPr>
            <w:r w:rsidRPr="005B0796">
              <w:t>5.0, 8.2</w:t>
            </w:r>
          </w:p>
        </w:tc>
        <w:tc>
          <w:tcPr>
            <w:tcW w:w="437" w:type="pct"/>
          </w:tcPr>
          <w:p w14:paraId="313E51AD" w14:textId="77777777" w:rsidR="00FC0D42" w:rsidRPr="005B0796" w:rsidRDefault="00FC0D42" w:rsidP="009919A9">
            <w:pPr>
              <w:pStyle w:val="TableText"/>
              <w:jc w:val="right"/>
              <w:rPr>
                <w:lang w:eastAsia="en-AU"/>
              </w:rPr>
            </w:pPr>
            <w:r w:rsidRPr="005B0796">
              <w:rPr>
                <w:lang w:eastAsia="en-AU"/>
              </w:rPr>
              <w:t>2443</w:t>
            </w:r>
          </w:p>
        </w:tc>
        <w:tc>
          <w:tcPr>
            <w:tcW w:w="438" w:type="pct"/>
          </w:tcPr>
          <w:p w14:paraId="3ED035DC" w14:textId="77777777" w:rsidR="00FC0D42" w:rsidRPr="005B0796" w:rsidRDefault="00FC0D42" w:rsidP="009919A9">
            <w:pPr>
              <w:pStyle w:val="TableText"/>
              <w:jc w:val="right"/>
              <w:rPr>
                <w:lang w:eastAsia="en-AU"/>
              </w:rPr>
            </w:pPr>
            <w:r w:rsidRPr="005B0796">
              <w:rPr>
                <w:lang w:eastAsia="en-AU"/>
              </w:rPr>
              <w:t>9.8</w:t>
            </w:r>
          </w:p>
        </w:tc>
        <w:tc>
          <w:tcPr>
            <w:tcW w:w="438" w:type="pct"/>
          </w:tcPr>
          <w:p w14:paraId="54AF14DC" w14:textId="77777777" w:rsidR="00FC0D42" w:rsidRPr="005B0796" w:rsidRDefault="00FC0D42" w:rsidP="009919A9">
            <w:pPr>
              <w:pStyle w:val="TableText"/>
              <w:jc w:val="right"/>
              <w:rPr>
                <w:lang w:eastAsia="en-AU"/>
              </w:rPr>
            </w:pPr>
            <w:r w:rsidRPr="005B0796">
              <w:rPr>
                <w:lang w:eastAsia="en-AU"/>
              </w:rPr>
              <w:t>7.0, 13.5</w:t>
            </w:r>
          </w:p>
        </w:tc>
      </w:tr>
      <w:tr w:rsidR="00FC0D42" w:rsidRPr="005B0796" w14:paraId="37FCDC39"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tcPr>
          <w:p w14:paraId="7254D3EA" w14:textId="77777777" w:rsidR="00FC0D42" w:rsidRPr="005B0796" w:rsidRDefault="00FC0D42" w:rsidP="009919A9">
            <w:pPr>
              <w:pStyle w:val="TableText"/>
              <w:rPr>
                <w:lang w:eastAsia="en-AU"/>
              </w:rPr>
            </w:pPr>
            <w:r w:rsidRPr="005B0796">
              <w:rPr>
                <w:lang w:eastAsia="en-AU"/>
              </w:rPr>
              <w:t>Any affective disorder</w:t>
            </w:r>
          </w:p>
        </w:tc>
        <w:tc>
          <w:tcPr>
            <w:tcW w:w="437" w:type="pct"/>
            <w:noWrap/>
          </w:tcPr>
          <w:p w14:paraId="3B52B716" w14:textId="77777777" w:rsidR="00FC0D42" w:rsidRPr="005B0796" w:rsidRDefault="00FC0D42" w:rsidP="009919A9">
            <w:pPr>
              <w:pStyle w:val="TableText"/>
              <w:jc w:val="right"/>
              <w:rPr>
                <w:lang w:eastAsia="en-AU"/>
              </w:rPr>
            </w:pPr>
            <w:r w:rsidRPr="005B0796">
              <w:t>180</w:t>
            </w:r>
          </w:p>
        </w:tc>
        <w:tc>
          <w:tcPr>
            <w:tcW w:w="438" w:type="pct"/>
          </w:tcPr>
          <w:p w14:paraId="6F46A33A" w14:textId="77777777" w:rsidR="00FC0D42" w:rsidRPr="005B0796" w:rsidRDefault="00FC0D42" w:rsidP="009919A9">
            <w:pPr>
              <w:pStyle w:val="TableText"/>
              <w:jc w:val="right"/>
              <w:rPr>
                <w:lang w:eastAsia="en-AU"/>
              </w:rPr>
            </w:pPr>
            <w:r w:rsidRPr="005B0796">
              <w:t xml:space="preserve">18.5 </w:t>
            </w:r>
          </w:p>
        </w:tc>
        <w:tc>
          <w:tcPr>
            <w:tcW w:w="437" w:type="pct"/>
          </w:tcPr>
          <w:p w14:paraId="03F0D8EB" w14:textId="77777777" w:rsidR="00FC0D42" w:rsidRPr="005B0796" w:rsidRDefault="00FC0D42" w:rsidP="009919A9">
            <w:pPr>
              <w:pStyle w:val="TableText"/>
              <w:jc w:val="right"/>
              <w:rPr>
                <w:lang w:eastAsia="en-AU"/>
              </w:rPr>
            </w:pPr>
            <w:r w:rsidRPr="005B0796">
              <w:t>16.1, 21.1</w:t>
            </w:r>
          </w:p>
        </w:tc>
        <w:tc>
          <w:tcPr>
            <w:tcW w:w="438" w:type="pct"/>
            <w:noWrap/>
          </w:tcPr>
          <w:p w14:paraId="49BE51C3" w14:textId="77777777" w:rsidR="00FC0D42" w:rsidRPr="005B0796" w:rsidRDefault="00FC0D42" w:rsidP="009919A9">
            <w:pPr>
              <w:pStyle w:val="TableText"/>
              <w:jc w:val="right"/>
              <w:rPr>
                <w:lang w:eastAsia="en-AU"/>
              </w:rPr>
            </w:pPr>
            <w:r w:rsidRPr="005B0796">
              <w:t>4739</w:t>
            </w:r>
          </w:p>
        </w:tc>
        <w:tc>
          <w:tcPr>
            <w:tcW w:w="437" w:type="pct"/>
          </w:tcPr>
          <w:p w14:paraId="25538DFE" w14:textId="77777777" w:rsidR="00FC0D42" w:rsidRPr="005B0796" w:rsidRDefault="00FC0D42" w:rsidP="009919A9">
            <w:pPr>
              <w:pStyle w:val="TableText"/>
              <w:jc w:val="right"/>
              <w:rPr>
                <w:lang w:eastAsia="en-AU"/>
              </w:rPr>
            </w:pPr>
            <w:r w:rsidRPr="005B0796">
              <w:t xml:space="preserve">19 </w:t>
            </w:r>
          </w:p>
        </w:tc>
        <w:tc>
          <w:tcPr>
            <w:tcW w:w="438" w:type="pct"/>
          </w:tcPr>
          <w:p w14:paraId="117B0F2F" w14:textId="77777777" w:rsidR="00FC0D42" w:rsidRPr="005B0796" w:rsidRDefault="00FC0D42" w:rsidP="009919A9">
            <w:pPr>
              <w:pStyle w:val="TableText"/>
              <w:jc w:val="right"/>
              <w:rPr>
                <w:lang w:eastAsia="en-AU"/>
              </w:rPr>
            </w:pPr>
            <w:r w:rsidRPr="005B0796">
              <w:t>16.6, 21.6</w:t>
            </w:r>
          </w:p>
        </w:tc>
        <w:tc>
          <w:tcPr>
            <w:tcW w:w="437" w:type="pct"/>
          </w:tcPr>
          <w:p w14:paraId="3902439C" w14:textId="77777777" w:rsidR="00FC0D42" w:rsidRPr="005B0796" w:rsidRDefault="00FC0D42" w:rsidP="009919A9">
            <w:pPr>
              <w:pStyle w:val="TableText"/>
              <w:jc w:val="right"/>
              <w:rPr>
                <w:lang w:eastAsia="en-AU"/>
              </w:rPr>
            </w:pPr>
            <w:r w:rsidRPr="005B0796">
              <w:rPr>
                <w:lang w:eastAsia="en-AU"/>
              </w:rPr>
              <w:t>5755</w:t>
            </w:r>
          </w:p>
        </w:tc>
        <w:tc>
          <w:tcPr>
            <w:tcW w:w="438" w:type="pct"/>
          </w:tcPr>
          <w:p w14:paraId="26E880BB" w14:textId="77777777" w:rsidR="00FC0D42" w:rsidRPr="005B0796" w:rsidRDefault="00FC0D42" w:rsidP="009919A9">
            <w:pPr>
              <w:pStyle w:val="TableText"/>
              <w:jc w:val="right"/>
              <w:rPr>
                <w:lang w:eastAsia="en-AU"/>
              </w:rPr>
            </w:pPr>
            <w:r w:rsidRPr="005B0796">
              <w:rPr>
                <w:lang w:eastAsia="en-AU"/>
              </w:rPr>
              <w:t>23.1</w:t>
            </w:r>
          </w:p>
        </w:tc>
        <w:tc>
          <w:tcPr>
            <w:tcW w:w="438" w:type="pct"/>
          </w:tcPr>
          <w:p w14:paraId="409F3D3B" w14:textId="77777777" w:rsidR="00FC0D42" w:rsidRPr="005B0796" w:rsidRDefault="00FC0D42" w:rsidP="009919A9">
            <w:pPr>
              <w:pStyle w:val="TableText"/>
              <w:jc w:val="right"/>
              <w:rPr>
                <w:lang w:eastAsia="en-AU"/>
              </w:rPr>
            </w:pPr>
            <w:r w:rsidRPr="005B0796">
              <w:rPr>
                <w:lang w:eastAsia="en-AU"/>
              </w:rPr>
              <w:t>19.2, 27.5</w:t>
            </w:r>
          </w:p>
        </w:tc>
      </w:tr>
      <w:tr w:rsidR="00FC0D42" w:rsidRPr="005B0796" w14:paraId="334859F9" w14:textId="77777777" w:rsidTr="00FC0D42">
        <w:trPr>
          <w:cantSplit/>
        </w:trPr>
        <w:tc>
          <w:tcPr>
            <w:tcW w:w="1063" w:type="pct"/>
            <w:noWrap/>
          </w:tcPr>
          <w:p w14:paraId="7A993DBC" w14:textId="77777777" w:rsidR="00FC0D42" w:rsidRPr="005B0796" w:rsidRDefault="00FC0D42" w:rsidP="009919A9">
            <w:pPr>
              <w:pStyle w:val="TableText"/>
              <w:rPr>
                <w:lang w:eastAsia="en-AU"/>
              </w:rPr>
            </w:pPr>
            <w:r w:rsidRPr="005B0796">
              <w:rPr>
                <w:lang w:eastAsia="en-AU"/>
              </w:rPr>
              <w:t>Alcohol harmful use</w:t>
            </w:r>
          </w:p>
        </w:tc>
        <w:tc>
          <w:tcPr>
            <w:tcW w:w="437" w:type="pct"/>
            <w:noWrap/>
          </w:tcPr>
          <w:p w14:paraId="63E25CFD" w14:textId="77777777" w:rsidR="00FC0D42" w:rsidRPr="005B0796" w:rsidRDefault="00FC0D42" w:rsidP="009919A9">
            <w:pPr>
              <w:pStyle w:val="TableText"/>
              <w:jc w:val="right"/>
              <w:rPr>
                <w:lang w:eastAsia="en-AU"/>
              </w:rPr>
            </w:pPr>
            <w:r w:rsidRPr="005B0796">
              <w:t>32</w:t>
            </w:r>
          </w:p>
        </w:tc>
        <w:tc>
          <w:tcPr>
            <w:tcW w:w="438" w:type="pct"/>
          </w:tcPr>
          <w:p w14:paraId="7E165450" w14:textId="77777777" w:rsidR="00FC0D42" w:rsidRPr="005B0796" w:rsidRDefault="00FC0D42" w:rsidP="009919A9">
            <w:pPr>
              <w:pStyle w:val="TableText"/>
              <w:jc w:val="right"/>
              <w:rPr>
                <w:lang w:eastAsia="en-AU"/>
              </w:rPr>
            </w:pPr>
            <w:r w:rsidRPr="005B0796">
              <w:t xml:space="preserve">3.3 </w:t>
            </w:r>
          </w:p>
        </w:tc>
        <w:tc>
          <w:tcPr>
            <w:tcW w:w="437" w:type="pct"/>
          </w:tcPr>
          <w:p w14:paraId="39AD6B50" w14:textId="77777777" w:rsidR="00FC0D42" w:rsidRPr="005B0796" w:rsidRDefault="00FC0D42" w:rsidP="009919A9">
            <w:pPr>
              <w:pStyle w:val="TableText"/>
              <w:jc w:val="right"/>
              <w:rPr>
                <w:lang w:eastAsia="en-AU"/>
              </w:rPr>
            </w:pPr>
            <w:r w:rsidRPr="005B0796">
              <w:t>2.3, 4.6</w:t>
            </w:r>
          </w:p>
        </w:tc>
        <w:tc>
          <w:tcPr>
            <w:tcW w:w="438" w:type="pct"/>
            <w:noWrap/>
          </w:tcPr>
          <w:p w14:paraId="4CFAA56B" w14:textId="77777777" w:rsidR="00FC0D42" w:rsidRPr="005B0796" w:rsidRDefault="00FC0D42" w:rsidP="009919A9">
            <w:pPr>
              <w:pStyle w:val="TableText"/>
              <w:jc w:val="right"/>
              <w:rPr>
                <w:lang w:eastAsia="en-AU"/>
              </w:rPr>
            </w:pPr>
            <w:r w:rsidRPr="005B0796">
              <w:t>894</w:t>
            </w:r>
          </w:p>
        </w:tc>
        <w:tc>
          <w:tcPr>
            <w:tcW w:w="437" w:type="pct"/>
          </w:tcPr>
          <w:p w14:paraId="46A8CD0B" w14:textId="77777777" w:rsidR="00FC0D42" w:rsidRPr="005B0796" w:rsidRDefault="00FC0D42" w:rsidP="009919A9">
            <w:pPr>
              <w:pStyle w:val="TableText"/>
              <w:jc w:val="right"/>
              <w:rPr>
                <w:lang w:eastAsia="en-AU"/>
              </w:rPr>
            </w:pPr>
            <w:r w:rsidRPr="005B0796">
              <w:t xml:space="preserve">3.6 </w:t>
            </w:r>
          </w:p>
        </w:tc>
        <w:tc>
          <w:tcPr>
            <w:tcW w:w="438" w:type="pct"/>
          </w:tcPr>
          <w:p w14:paraId="54CEEA4C" w14:textId="77777777" w:rsidR="00FC0D42" w:rsidRPr="005B0796" w:rsidRDefault="00FC0D42" w:rsidP="009919A9">
            <w:pPr>
              <w:pStyle w:val="TableText"/>
              <w:jc w:val="right"/>
              <w:rPr>
                <w:lang w:eastAsia="en-AU"/>
              </w:rPr>
            </w:pPr>
            <w:r w:rsidRPr="005B0796">
              <w:t>2.6, 5.0</w:t>
            </w:r>
          </w:p>
        </w:tc>
        <w:tc>
          <w:tcPr>
            <w:tcW w:w="437" w:type="pct"/>
          </w:tcPr>
          <w:p w14:paraId="20FF5481" w14:textId="77777777" w:rsidR="00FC0D42" w:rsidRPr="005B0796" w:rsidRDefault="00FC0D42" w:rsidP="009919A9">
            <w:pPr>
              <w:pStyle w:val="TableText"/>
              <w:jc w:val="right"/>
              <w:rPr>
                <w:lang w:eastAsia="en-AU"/>
              </w:rPr>
            </w:pPr>
            <w:r w:rsidRPr="005B0796">
              <w:rPr>
                <w:lang w:eastAsia="en-AU"/>
              </w:rPr>
              <w:t>948</w:t>
            </w:r>
          </w:p>
        </w:tc>
        <w:tc>
          <w:tcPr>
            <w:tcW w:w="438" w:type="pct"/>
          </w:tcPr>
          <w:p w14:paraId="7E59AC1B" w14:textId="77777777" w:rsidR="00FC0D42" w:rsidRPr="005B0796" w:rsidRDefault="00FC0D42" w:rsidP="009919A9">
            <w:pPr>
              <w:pStyle w:val="TableText"/>
              <w:jc w:val="right"/>
              <w:rPr>
                <w:lang w:eastAsia="en-AU"/>
              </w:rPr>
            </w:pPr>
            <w:r w:rsidRPr="005B0796">
              <w:rPr>
                <w:lang w:eastAsia="en-AU"/>
              </w:rPr>
              <w:t>3.8</w:t>
            </w:r>
          </w:p>
        </w:tc>
        <w:tc>
          <w:tcPr>
            <w:tcW w:w="438" w:type="pct"/>
          </w:tcPr>
          <w:p w14:paraId="512C8071" w14:textId="77777777" w:rsidR="00FC0D42" w:rsidRPr="005B0796" w:rsidRDefault="00FC0D42" w:rsidP="009919A9">
            <w:pPr>
              <w:pStyle w:val="TableText"/>
              <w:jc w:val="right"/>
              <w:rPr>
                <w:lang w:eastAsia="en-AU"/>
              </w:rPr>
            </w:pPr>
            <w:r w:rsidRPr="005B0796">
              <w:rPr>
                <w:lang w:eastAsia="en-AU"/>
              </w:rPr>
              <w:t>2.3, 6.3</w:t>
            </w:r>
          </w:p>
        </w:tc>
      </w:tr>
      <w:tr w:rsidR="00FC0D42" w:rsidRPr="005B0796" w14:paraId="16025A71" w14:textId="77777777" w:rsidTr="00FC0D42">
        <w:trPr>
          <w:cnfStyle w:val="000000100000" w:firstRow="0" w:lastRow="0" w:firstColumn="0" w:lastColumn="0" w:oddVBand="0" w:evenVBand="0" w:oddHBand="1" w:evenHBand="0" w:firstRowFirstColumn="0" w:firstRowLastColumn="0" w:lastRowFirstColumn="0" w:lastRowLastColumn="0"/>
          <w:cantSplit/>
        </w:trPr>
        <w:tc>
          <w:tcPr>
            <w:tcW w:w="1063" w:type="pct"/>
            <w:noWrap/>
          </w:tcPr>
          <w:p w14:paraId="79B08703" w14:textId="77777777" w:rsidR="00FC0D42" w:rsidRPr="005B0796" w:rsidRDefault="00FC0D42" w:rsidP="009919A9">
            <w:pPr>
              <w:pStyle w:val="TableText"/>
              <w:rPr>
                <w:lang w:eastAsia="en-AU"/>
              </w:rPr>
            </w:pPr>
            <w:r w:rsidRPr="005B0796">
              <w:rPr>
                <w:lang w:eastAsia="en-AU"/>
              </w:rPr>
              <w:t>Alcohol dependence</w:t>
            </w:r>
          </w:p>
        </w:tc>
        <w:tc>
          <w:tcPr>
            <w:tcW w:w="437" w:type="pct"/>
            <w:noWrap/>
          </w:tcPr>
          <w:p w14:paraId="04386AF7" w14:textId="77777777" w:rsidR="00FC0D42" w:rsidRPr="005B0796" w:rsidRDefault="00FC0D42" w:rsidP="009919A9">
            <w:pPr>
              <w:pStyle w:val="TableText"/>
              <w:jc w:val="right"/>
              <w:rPr>
                <w:lang w:eastAsia="en-AU"/>
              </w:rPr>
            </w:pPr>
            <w:r w:rsidRPr="005B0796">
              <w:t>50</w:t>
            </w:r>
          </w:p>
        </w:tc>
        <w:tc>
          <w:tcPr>
            <w:tcW w:w="438" w:type="pct"/>
          </w:tcPr>
          <w:p w14:paraId="036C365D" w14:textId="77777777" w:rsidR="00FC0D42" w:rsidRPr="005B0796" w:rsidRDefault="00FC0D42" w:rsidP="009919A9">
            <w:pPr>
              <w:pStyle w:val="TableText"/>
              <w:jc w:val="right"/>
              <w:rPr>
                <w:lang w:eastAsia="en-AU"/>
              </w:rPr>
            </w:pPr>
            <w:r w:rsidRPr="005B0796">
              <w:t xml:space="preserve">5.2 </w:t>
            </w:r>
          </w:p>
        </w:tc>
        <w:tc>
          <w:tcPr>
            <w:tcW w:w="437" w:type="pct"/>
          </w:tcPr>
          <w:p w14:paraId="696E3CD7" w14:textId="77777777" w:rsidR="00FC0D42" w:rsidRPr="005B0796" w:rsidRDefault="00FC0D42" w:rsidP="009919A9">
            <w:pPr>
              <w:pStyle w:val="TableText"/>
              <w:jc w:val="right"/>
              <w:rPr>
                <w:lang w:eastAsia="en-AU"/>
              </w:rPr>
            </w:pPr>
            <w:r w:rsidRPr="005B0796">
              <w:t>3.9, 6.7</w:t>
            </w:r>
          </w:p>
        </w:tc>
        <w:tc>
          <w:tcPr>
            <w:tcW w:w="438" w:type="pct"/>
            <w:noWrap/>
          </w:tcPr>
          <w:p w14:paraId="4520E0A4" w14:textId="77777777" w:rsidR="00FC0D42" w:rsidRPr="005B0796" w:rsidRDefault="00FC0D42" w:rsidP="009919A9">
            <w:pPr>
              <w:pStyle w:val="TableText"/>
              <w:jc w:val="right"/>
              <w:rPr>
                <w:lang w:eastAsia="en-AU"/>
              </w:rPr>
            </w:pPr>
            <w:r w:rsidRPr="005B0796">
              <w:t>1399</w:t>
            </w:r>
          </w:p>
        </w:tc>
        <w:tc>
          <w:tcPr>
            <w:tcW w:w="437" w:type="pct"/>
          </w:tcPr>
          <w:p w14:paraId="1956D9EF" w14:textId="77777777" w:rsidR="00FC0D42" w:rsidRPr="005B0796" w:rsidRDefault="00FC0D42" w:rsidP="009919A9">
            <w:pPr>
              <w:pStyle w:val="TableText"/>
              <w:jc w:val="right"/>
              <w:rPr>
                <w:lang w:eastAsia="en-AU"/>
              </w:rPr>
            </w:pPr>
            <w:r w:rsidRPr="005B0796">
              <w:t xml:space="preserve">5.6 </w:t>
            </w:r>
          </w:p>
        </w:tc>
        <w:tc>
          <w:tcPr>
            <w:tcW w:w="438" w:type="pct"/>
          </w:tcPr>
          <w:p w14:paraId="33F35DF2" w14:textId="77777777" w:rsidR="00FC0D42" w:rsidRPr="005B0796" w:rsidRDefault="00FC0D42" w:rsidP="009919A9">
            <w:pPr>
              <w:pStyle w:val="TableText"/>
              <w:jc w:val="right"/>
              <w:rPr>
                <w:lang w:eastAsia="en-AU"/>
              </w:rPr>
            </w:pPr>
            <w:r w:rsidRPr="005B0796">
              <w:t>4.3, 7.3</w:t>
            </w:r>
          </w:p>
        </w:tc>
        <w:tc>
          <w:tcPr>
            <w:tcW w:w="437" w:type="pct"/>
          </w:tcPr>
          <w:p w14:paraId="1A67E8A1" w14:textId="77777777" w:rsidR="00FC0D42" w:rsidRPr="005B0796" w:rsidRDefault="00FC0D42" w:rsidP="009919A9">
            <w:pPr>
              <w:pStyle w:val="TableText"/>
              <w:jc w:val="right"/>
              <w:rPr>
                <w:lang w:eastAsia="en-AU"/>
              </w:rPr>
            </w:pPr>
            <w:r w:rsidRPr="005B0796">
              <w:rPr>
                <w:lang w:eastAsia="en-AU"/>
              </w:rPr>
              <w:t>2271</w:t>
            </w:r>
          </w:p>
        </w:tc>
        <w:tc>
          <w:tcPr>
            <w:tcW w:w="438" w:type="pct"/>
          </w:tcPr>
          <w:p w14:paraId="1F54288E" w14:textId="77777777" w:rsidR="00FC0D42" w:rsidRPr="005B0796" w:rsidRDefault="00FC0D42" w:rsidP="009919A9">
            <w:pPr>
              <w:pStyle w:val="TableText"/>
              <w:jc w:val="right"/>
              <w:rPr>
                <w:lang w:eastAsia="en-AU"/>
              </w:rPr>
            </w:pPr>
            <w:r w:rsidRPr="005B0796">
              <w:rPr>
                <w:lang w:eastAsia="en-AU"/>
              </w:rPr>
              <w:t>9.1</w:t>
            </w:r>
          </w:p>
        </w:tc>
        <w:tc>
          <w:tcPr>
            <w:tcW w:w="438" w:type="pct"/>
          </w:tcPr>
          <w:p w14:paraId="7AA48EAC" w14:textId="77777777" w:rsidR="00FC0D42" w:rsidRPr="005B0796" w:rsidRDefault="00FC0D42" w:rsidP="009919A9">
            <w:pPr>
              <w:pStyle w:val="TableText"/>
              <w:jc w:val="right"/>
              <w:rPr>
                <w:lang w:eastAsia="en-AU"/>
              </w:rPr>
            </w:pPr>
            <w:r w:rsidRPr="005B0796">
              <w:rPr>
                <w:lang w:eastAsia="en-AU"/>
              </w:rPr>
              <w:t>6.4, 12.8</w:t>
            </w:r>
          </w:p>
        </w:tc>
      </w:tr>
      <w:tr w:rsidR="00FC0D42" w:rsidRPr="005B0796" w14:paraId="2BBE886E" w14:textId="77777777" w:rsidTr="00FC0D42">
        <w:trPr>
          <w:cantSplit/>
        </w:trPr>
        <w:tc>
          <w:tcPr>
            <w:tcW w:w="1063" w:type="pct"/>
            <w:noWrap/>
          </w:tcPr>
          <w:p w14:paraId="73546190" w14:textId="77777777" w:rsidR="00FC0D42" w:rsidRPr="005B0796" w:rsidRDefault="00FC0D42" w:rsidP="009919A9">
            <w:pPr>
              <w:pStyle w:val="TableText"/>
              <w:rPr>
                <w:lang w:eastAsia="en-AU"/>
              </w:rPr>
            </w:pPr>
            <w:r w:rsidRPr="005B0796">
              <w:rPr>
                <w:lang w:eastAsia="en-AU"/>
              </w:rPr>
              <w:t>Any alcohol disorder</w:t>
            </w:r>
          </w:p>
        </w:tc>
        <w:tc>
          <w:tcPr>
            <w:tcW w:w="437" w:type="pct"/>
            <w:noWrap/>
          </w:tcPr>
          <w:p w14:paraId="072FBA37" w14:textId="77777777" w:rsidR="00FC0D42" w:rsidRPr="005B0796" w:rsidRDefault="00FC0D42" w:rsidP="009919A9">
            <w:pPr>
              <w:pStyle w:val="TableText"/>
              <w:jc w:val="right"/>
              <w:rPr>
                <w:lang w:eastAsia="en-AU"/>
              </w:rPr>
            </w:pPr>
            <w:r w:rsidRPr="005B0796">
              <w:t>82</w:t>
            </w:r>
          </w:p>
        </w:tc>
        <w:tc>
          <w:tcPr>
            <w:tcW w:w="438" w:type="pct"/>
          </w:tcPr>
          <w:p w14:paraId="4D078ED8" w14:textId="77777777" w:rsidR="00FC0D42" w:rsidRPr="005B0796" w:rsidRDefault="00FC0D42" w:rsidP="009919A9">
            <w:pPr>
              <w:pStyle w:val="TableText"/>
              <w:jc w:val="right"/>
              <w:rPr>
                <w:lang w:eastAsia="en-AU"/>
              </w:rPr>
            </w:pPr>
            <w:r w:rsidRPr="005B0796">
              <w:t xml:space="preserve">8.4 </w:t>
            </w:r>
          </w:p>
        </w:tc>
        <w:tc>
          <w:tcPr>
            <w:tcW w:w="437" w:type="pct"/>
          </w:tcPr>
          <w:p w14:paraId="35FFDD85" w14:textId="77777777" w:rsidR="00FC0D42" w:rsidRPr="005B0796" w:rsidRDefault="00FC0D42" w:rsidP="009919A9">
            <w:pPr>
              <w:pStyle w:val="TableText"/>
              <w:jc w:val="right"/>
              <w:rPr>
                <w:lang w:eastAsia="en-AU"/>
              </w:rPr>
            </w:pPr>
            <w:r w:rsidRPr="005B0796">
              <w:t>6.8, 10.4</w:t>
            </w:r>
          </w:p>
        </w:tc>
        <w:tc>
          <w:tcPr>
            <w:tcW w:w="438" w:type="pct"/>
            <w:noWrap/>
          </w:tcPr>
          <w:p w14:paraId="33E2041E" w14:textId="77777777" w:rsidR="00FC0D42" w:rsidRPr="005B0796" w:rsidRDefault="00FC0D42" w:rsidP="009919A9">
            <w:pPr>
              <w:pStyle w:val="TableText"/>
              <w:jc w:val="right"/>
              <w:rPr>
                <w:lang w:eastAsia="en-AU"/>
              </w:rPr>
            </w:pPr>
            <w:r w:rsidRPr="005B0796">
              <w:t>2293</w:t>
            </w:r>
          </w:p>
        </w:tc>
        <w:tc>
          <w:tcPr>
            <w:tcW w:w="437" w:type="pct"/>
          </w:tcPr>
          <w:p w14:paraId="00C4D3B6" w14:textId="77777777" w:rsidR="00FC0D42" w:rsidRPr="005B0796" w:rsidRDefault="00FC0D42" w:rsidP="009919A9">
            <w:pPr>
              <w:pStyle w:val="TableText"/>
              <w:jc w:val="right"/>
              <w:rPr>
                <w:lang w:eastAsia="en-AU"/>
              </w:rPr>
            </w:pPr>
            <w:r w:rsidRPr="005B0796">
              <w:t xml:space="preserve">9.2 </w:t>
            </w:r>
          </w:p>
        </w:tc>
        <w:tc>
          <w:tcPr>
            <w:tcW w:w="438" w:type="pct"/>
          </w:tcPr>
          <w:p w14:paraId="19FA944F" w14:textId="77777777" w:rsidR="00FC0D42" w:rsidRPr="005B0796" w:rsidRDefault="00FC0D42" w:rsidP="009919A9">
            <w:pPr>
              <w:pStyle w:val="TableText"/>
              <w:jc w:val="right"/>
              <w:rPr>
                <w:lang w:eastAsia="en-AU"/>
              </w:rPr>
            </w:pPr>
            <w:r w:rsidRPr="005B0796">
              <w:t>7.5, 11.2</w:t>
            </w:r>
          </w:p>
        </w:tc>
        <w:tc>
          <w:tcPr>
            <w:tcW w:w="437" w:type="pct"/>
          </w:tcPr>
          <w:p w14:paraId="3D184E1A" w14:textId="77777777" w:rsidR="00FC0D42" w:rsidRPr="005B0796" w:rsidRDefault="00FC0D42" w:rsidP="009919A9">
            <w:pPr>
              <w:pStyle w:val="TableText"/>
              <w:jc w:val="right"/>
              <w:rPr>
                <w:lang w:eastAsia="en-AU"/>
              </w:rPr>
            </w:pPr>
            <w:r w:rsidRPr="005B0796">
              <w:rPr>
                <w:lang w:eastAsia="en-AU"/>
              </w:rPr>
              <w:t>3219</w:t>
            </w:r>
          </w:p>
        </w:tc>
        <w:tc>
          <w:tcPr>
            <w:tcW w:w="438" w:type="pct"/>
          </w:tcPr>
          <w:p w14:paraId="687911A6" w14:textId="77777777" w:rsidR="00FC0D42" w:rsidRPr="005B0796" w:rsidRDefault="00FC0D42" w:rsidP="009919A9">
            <w:pPr>
              <w:pStyle w:val="TableText"/>
              <w:jc w:val="right"/>
              <w:rPr>
                <w:lang w:eastAsia="en-AU"/>
              </w:rPr>
            </w:pPr>
            <w:r w:rsidRPr="005B0796">
              <w:rPr>
                <w:lang w:eastAsia="en-AU"/>
              </w:rPr>
              <w:t>12.9</w:t>
            </w:r>
          </w:p>
        </w:tc>
        <w:tc>
          <w:tcPr>
            <w:tcW w:w="438" w:type="pct"/>
          </w:tcPr>
          <w:p w14:paraId="07A6F981" w14:textId="77777777" w:rsidR="00FC0D42" w:rsidRPr="005B0796" w:rsidRDefault="00FC0D42" w:rsidP="009919A9">
            <w:pPr>
              <w:pStyle w:val="TableText"/>
              <w:jc w:val="right"/>
              <w:rPr>
                <w:lang w:eastAsia="en-AU"/>
              </w:rPr>
            </w:pPr>
            <w:r w:rsidRPr="005B0796">
              <w:rPr>
                <w:lang w:eastAsia="en-AU"/>
              </w:rPr>
              <w:t>9.8, 16.9</w:t>
            </w:r>
          </w:p>
        </w:tc>
      </w:tr>
    </w:tbl>
    <w:p w14:paraId="4784B123" w14:textId="77777777" w:rsidR="00FC0D42" w:rsidRPr="005B0796" w:rsidRDefault="00FC0D42" w:rsidP="00FC0D42">
      <w:pPr>
        <w:pStyle w:val="TableNotes"/>
      </w:pPr>
    </w:p>
    <w:p w14:paraId="488C6900" w14:textId="77777777" w:rsidR="00FC0D42" w:rsidRDefault="00FC0D42" w:rsidP="00FC0D42"/>
    <w:p w14:paraId="4DA5044F" w14:textId="77777777" w:rsidR="00FC0D42" w:rsidRDefault="00FC0D42" w:rsidP="00FC0D42">
      <w:pPr>
        <w:sectPr w:rsidR="00FC0D42" w:rsidSect="00980AE4">
          <w:footerReference w:type="even" r:id="rId178"/>
          <w:footerReference w:type="default" r:id="rId179"/>
          <w:pgSz w:w="14170" w:h="9979" w:orient="landscape" w:code="243"/>
          <w:pgMar w:top="1872" w:right="1440" w:bottom="1152" w:left="1440" w:header="576" w:footer="576" w:gutter="0"/>
          <w:cols w:space="708"/>
          <w:docGrid w:linePitch="360"/>
        </w:sectPr>
      </w:pPr>
    </w:p>
    <w:p w14:paraId="4EA32656" w14:textId="77777777" w:rsidR="00FC0D42" w:rsidRPr="005B0796" w:rsidRDefault="00FC0D42" w:rsidP="00FC0D42">
      <w:pPr>
        <w:pStyle w:val="Heading1b"/>
        <w:numPr>
          <w:ilvl w:val="0"/>
          <w:numId w:val="0"/>
        </w:numPr>
      </w:pPr>
      <w:bookmarkStart w:id="1566" w:name="_Toc494449822"/>
      <w:bookmarkStart w:id="1567" w:name="_Toc518566494"/>
      <w:bookmarkStart w:id="1568" w:name="_Toc528932771"/>
      <w:bookmarkStart w:id="1569" w:name="_Toc531859308"/>
      <w:r w:rsidRPr="005B0796">
        <w:t>Acronyms</w:t>
      </w:r>
      <w:bookmarkEnd w:id="1566"/>
      <w:bookmarkEnd w:id="1567"/>
      <w:bookmarkEnd w:id="1568"/>
      <w:bookmarkEnd w:id="1569"/>
    </w:p>
    <w:tbl>
      <w:tblPr>
        <w:tblW w:w="5000" w:type="pct"/>
        <w:tblLayout w:type="fixed"/>
        <w:tblLook w:val="04A0" w:firstRow="1" w:lastRow="0" w:firstColumn="1" w:lastColumn="0" w:noHBand="0" w:noVBand="1"/>
      </w:tblPr>
      <w:tblGrid>
        <w:gridCol w:w="1419"/>
        <w:gridCol w:w="5680"/>
      </w:tblGrid>
      <w:tr w:rsidR="00FC0D42" w:rsidRPr="005B0796" w14:paraId="38CE472A" w14:textId="77777777" w:rsidTr="009919A9">
        <w:trPr>
          <w:cantSplit/>
        </w:trPr>
        <w:tc>
          <w:tcPr>
            <w:tcW w:w="1458" w:type="dxa"/>
            <w:hideMark/>
          </w:tcPr>
          <w:p w14:paraId="640290B3" w14:textId="77777777" w:rsidR="00FC0D42" w:rsidRPr="005B0796" w:rsidRDefault="00FC0D42" w:rsidP="009919A9">
            <w:pPr>
              <w:spacing w:after="120"/>
              <w:rPr>
                <w:rFonts w:asciiTheme="minorHAnsi" w:hAnsiTheme="minorHAnsi"/>
              </w:rPr>
            </w:pPr>
            <w:bookmarkStart w:id="1570" w:name="_Hlk489948948"/>
            <w:r w:rsidRPr="005B0796">
              <w:t>ABS</w:t>
            </w:r>
          </w:p>
        </w:tc>
        <w:tc>
          <w:tcPr>
            <w:tcW w:w="5857" w:type="dxa"/>
            <w:hideMark/>
          </w:tcPr>
          <w:p w14:paraId="51760C9A" w14:textId="77777777" w:rsidR="00FC0D42" w:rsidRPr="005B0796" w:rsidRDefault="00FC0D42" w:rsidP="009919A9">
            <w:pPr>
              <w:spacing w:after="120"/>
            </w:pPr>
            <w:r w:rsidRPr="005B0796">
              <w:t>Australian Bureau of Statistics</w:t>
            </w:r>
          </w:p>
        </w:tc>
      </w:tr>
      <w:tr w:rsidR="00FC0D42" w:rsidRPr="005B0796" w14:paraId="6515BD6D" w14:textId="77777777" w:rsidTr="009919A9">
        <w:trPr>
          <w:cantSplit/>
        </w:trPr>
        <w:tc>
          <w:tcPr>
            <w:tcW w:w="1458" w:type="dxa"/>
            <w:hideMark/>
          </w:tcPr>
          <w:p w14:paraId="5C8CDA37" w14:textId="77777777" w:rsidR="00FC0D42" w:rsidRPr="005B0796" w:rsidRDefault="00FC0D42" w:rsidP="009919A9">
            <w:pPr>
              <w:spacing w:after="120"/>
            </w:pPr>
            <w:r w:rsidRPr="005B0796">
              <w:t>ADF</w:t>
            </w:r>
          </w:p>
        </w:tc>
        <w:tc>
          <w:tcPr>
            <w:tcW w:w="5857" w:type="dxa"/>
            <w:hideMark/>
          </w:tcPr>
          <w:p w14:paraId="229C6685" w14:textId="77777777" w:rsidR="00FC0D42" w:rsidRPr="005B0796" w:rsidRDefault="00FC0D42" w:rsidP="009919A9">
            <w:pPr>
              <w:spacing w:after="120"/>
            </w:pPr>
            <w:r w:rsidRPr="005B0796">
              <w:t>Australian Defence Force</w:t>
            </w:r>
          </w:p>
        </w:tc>
      </w:tr>
      <w:tr w:rsidR="00FC0D42" w:rsidRPr="005B0796" w14:paraId="01824779" w14:textId="77777777" w:rsidTr="009919A9">
        <w:trPr>
          <w:cantSplit/>
        </w:trPr>
        <w:tc>
          <w:tcPr>
            <w:tcW w:w="1458" w:type="dxa"/>
            <w:hideMark/>
          </w:tcPr>
          <w:p w14:paraId="0E10F8E2" w14:textId="77777777" w:rsidR="00FC0D42" w:rsidRPr="005B0796" w:rsidRDefault="00FC0D42" w:rsidP="009919A9">
            <w:pPr>
              <w:spacing w:after="120"/>
            </w:pPr>
            <w:r w:rsidRPr="005B0796">
              <w:t>AIFS</w:t>
            </w:r>
          </w:p>
        </w:tc>
        <w:tc>
          <w:tcPr>
            <w:tcW w:w="5857" w:type="dxa"/>
            <w:hideMark/>
          </w:tcPr>
          <w:p w14:paraId="3C28BA5D" w14:textId="77777777" w:rsidR="00FC0D42" w:rsidRPr="005B0796" w:rsidRDefault="00FC0D42" w:rsidP="009919A9">
            <w:pPr>
              <w:spacing w:after="120"/>
            </w:pPr>
            <w:r w:rsidRPr="005B0796">
              <w:t>Australian Institute of Family Studies</w:t>
            </w:r>
          </w:p>
        </w:tc>
      </w:tr>
      <w:tr w:rsidR="00FC0D42" w:rsidRPr="005B0796" w14:paraId="42FDCAB8" w14:textId="77777777" w:rsidTr="009919A9">
        <w:trPr>
          <w:cantSplit/>
        </w:trPr>
        <w:tc>
          <w:tcPr>
            <w:tcW w:w="1458" w:type="dxa"/>
            <w:hideMark/>
          </w:tcPr>
          <w:p w14:paraId="7DFC9D95" w14:textId="77777777" w:rsidR="00FC0D42" w:rsidRPr="005B0796" w:rsidRDefault="00FC0D42" w:rsidP="009919A9">
            <w:pPr>
              <w:spacing w:after="120"/>
            </w:pPr>
            <w:r w:rsidRPr="005B0796">
              <w:t>AIHW</w:t>
            </w:r>
          </w:p>
        </w:tc>
        <w:tc>
          <w:tcPr>
            <w:tcW w:w="5857" w:type="dxa"/>
            <w:hideMark/>
          </w:tcPr>
          <w:p w14:paraId="5F3658E9" w14:textId="77777777" w:rsidR="00FC0D42" w:rsidRPr="005B0796" w:rsidRDefault="00FC0D42" w:rsidP="009919A9">
            <w:pPr>
              <w:spacing w:after="120"/>
            </w:pPr>
            <w:r w:rsidRPr="005B0796">
              <w:t>Australian Institute of Health and Welfare</w:t>
            </w:r>
          </w:p>
        </w:tc>
      </w:tr>
      <w:tr w:rsidR="00FC0D42" w:rsidRPr="005B0796" w14:paraId="7D3A508B" w14:textId="77777777" w:rsidTr="009919A9">
        <w:trPr>
          <w:cantSplit/>
        </w:trPr>
        <w:tc>
          <w:tcPr>
            <w:tcW w:w="1458" w:type="dxa"/>
            <w:hideMark/>
          </w:tcPr>
          <w:p w14:paraId="1D56DA26" w14:textId="77777777" w:rsidR="00FC0D42" w:rsidRPr="005B0796" w:rsidRDefault="00FC0D42" w:rsidP="009919A9">
            <w:pPr>
              <w:spacing w:after="120"/>
            </w:pPr>
            <w:r w:rsidRPr="005B0796">
              <w:t>AUDIT</w:t>
            </w:r>
          </w:p>
        </w:tc>
        <w:tc>
          <w:tcPr>
            <w:tcW w:w="5857" w:type="dxa"/>
            <w:hideMark/>
          </w:tcPr>
          <w:p w14:paraId="27FBAD76" w14:textId="77777777" w:rsidR="00FC0D42" w:rsidRPr="005B0796" w:rsidRDefault="00FC0D42" w:rsidP="009919A9">
            <w:pPr>
              <w:spacing w:after="120"/>
            </w:pPr>
            <w:r w:rsidRPr="005B0796">
              <w:t>Alcohol Use Disorders Identification Test</w:t>
            </w:r>
          </w:p>
        </w:tc>
      </w:tr>
      <w:tr w:rsidR="00FC0D42" w:rsidRPr="005B0796" w14:paraId="7594AD92" w14:textId="77777777" w:rsidTr="009919A9">
        <w:trPr>
          <w:cantSplit/>
        </w:trPr>
        <w:tc>
          <w:tcPr>
            <w:tcW w:w="1458" w:type="dxa"/>
            <w:hideMark/>
          </w:tcPr>
          <w:p w14:paraId="4130EC0B" w14:textId="77777777" w:rsidR="00FC0D42" w:rsidRPr="005B0796" w:rsidRDefault="00FC0D42" w:rsidP="009919A9">
            <w:pPr>
              <w:spacing w:after="120"/>
            </w:pPr>
            <w:r w:rsidRPr="005B0796">
              <w:t>BRS</w:t>
            </w:r>
          </w:p>
        </w:tc>
        <w:tc>
          <w:tcPr>
            <w:tcW w:w="5857" w:type="dxa"/>
            <w:hideMark/>
          </w:tcPr>
          <w:p w14:paraId="0CDC2C1B" w14:textId="77777777" w:rsidR="00FC0D42" w:rsidRPr="005B0796" w:rsidRDefault="00FC0D42" w:rsidP="009919A9">
            <w:pPr>
              <w:spacing w:after="120"/>
            </w:pPr>
            <w:r w:rsidRPr="005B0796">
              <w:t>Ohio State University Brief Resilience Scale</w:t>
            </w:r>
          </w:p>
        </w:tc>
      </w:tr>
      <w:tr w:rsidR="00FC0D42" w:rsidRPr="005B0796" w14:paraId="420676CA" w14:textId="77777777" w:rsidTr="009919A9">
        <w:trPr>
          <w:cantSplit/>
        </w:trPr>
        <w:tc>
          <w:tcPr>
            <w:tcW w:w="1458" w:type="dxa"/>
            <w:hideMark/>
          </w:tcPr>
          <w:p w14:paraId="63D3A8DB" w14:textId="77777777" w:rsidR="00FC0D42" w:rsidRPr="005B0796" w:rsidRDefault="00FC0D42" w:rsidP="009919A9">
            <w:pPr>
              <w:spacing w:after="120"/>
            </w:pPr>
            <w:r w:rsidRPr="005B0796">
              <w:t>CI</w:t>
            </w:r>
          </w:p>
        </w:tc>
        <w:tc>
          <w:tcPr>
            <w:tcW w:w="5857" w:type="dxa"/>
            <w:hideMark/>
          </w:tcPr>
          <w:p w14:paraId="4A01CC46" w14:textId="77777777" w:rsidR="00FC0D42" w:rsidRPr="005B0796" w:rsidRDefault="00FC0D42" w:rsidP="009919A9">
            <w:pPr>
              <w:spacing w:after="120"/>
            </w:pPr>
            <w:r w:rsidRPr="005B0796">
              <w:t>Confidence interval</w:t>
            </w:r>
          </w:p>
        </w:tc>
      </w:tr>
      <w:tr w:rsidR="00FC0D42" w:rsidRPr="005B0796" w14:paraId="033D1D7B" w14:textId="77777777" w:rsidTr="009919A9">
        <w:trPr>
          <w:cantSplit/>
        </w:trPr>
        <w:tc>
          <w:tcPr>
            <w:tcW w:w="1458" w:type="dxa"/>
            <w:hideMark/>
          </w:tcPr>
          <w:p w14:paraId="0D0809AA" w14:textId="77777777" w:rsidR="00FC0D42" w:rsidRPr="005B0796" w:rsidRDefault="00FC0D42" w:rsidP="009919A9">
            <w:pPr>
              <w:spacing w:after="120"/>
            </w:pPr>
            <w:r w:rsidRPr="005B0796">
              <w:t>CRC</w:t>
            </w:r>
          </w:p>
        </w:tc>
        <w:tc>
          <w:tcPr>
            <w:tcW w:w="5857" w:type="dxa"/>
            <w:hideMark/>
          </w:tcPr>
          <w:p w14:paraId="08676FEA" w14:textId="77777777" w:rsidR="00FC0D42" w:rsidRPr="005B0796" w:rsidRDefault="00FC0D42" w:rsidP="009919A9">
            <w:pPr>
              <w:spacing w:after="120"/>
            </w:pPr>
            <w:r w:rsidRPr="005B0796">
              <w:t>Cooperative Research Centre</w:t>
            </w:r>
          </w:p>
        </w:tc>
      </w:tr>
      <w:tr w:rsidR="00FC0D42" w:rsidRPr="005B0796" w14:paraId="53C4B83F" w14:textId="77777777" w:rsidTr="009919A9">
        <w:trPr>
          <w:cantSplit/>
        </w:trPr>
        <w:tc>
          <w:tcPr>
            <w:tcW w:w="1458" w:type="dxa"/>
            <w:hideMark/>
          </w:tcPr>
          <w:p w14:paraId="5AA0B75F" w14:textId="77777777" w:rsidR="00FC0D42" w:rsidRPr="005B0796" w:rsidRDefault="00FC0D42" w:rsidP="009919A9">
            <w:pPr>
              <w:spacing w:after="120"/>
            </w:pPr>
            <w:r w:rsidRPr="005B0796">
              <w:t>CTSS</w:t>
            </w:r>
          </w:p>
        </w:tc>
        <w:tc>
          <w:tcPr>
            <w:tcW w:w="5857" w:type="dxa"/>
            <w:hideMark/>
          </w:tcPr>
          <w:p w14:paraId="62A7A07D" w14:textId="77777777" w:rsidR="00FC0D42" w:rsidRPr="005B0796" w:rsidRDefault="00FC0D42" w:rsidP="009919A9">
            <w:pPr>
              <w:spacing w:after="120"/>
            </w:pPr>
            <w:r w:rsidRPr="005B0796">
              <w:t>Centre for Traumatic Stress Studies</w:t>
            </w:r>
          </w:p>
        </w:tc>
      </w:tr>
      <w:tr w:rsidR="00FC0D42" w:rsidRPr="005B0796" w14:paraId="0E4B4DF7" w14:textId="77777777" w:rsidTr="009919A9">
        <w:trPr>
          <w:cantSplit/>
        </w:trPr>
        <w:tc>
          <w:tcPr>
            <w:tcW w:w="1458" w:type="dxa"/>
            <w:hideMark/>
          </w:tcPr>
          <w:p w14:paraId="3CDD24C0" w14:textId="77777777" w:rsidR="00FC0D42" w:rsidRPr="005B0796" w:rsidRDefault="00FC0D42" w:rsidP="009919A9">
            <w:pPr>
              <w:spacing w:after="120"/>
            </w:pPr>
            <w:r w:rsidRPr="005B0796">
              <w:t>DAR-5</w:t>
            </w:r>
          </w:p>
        </w:tc>
        <w:tc>
          <w:tcPr>
            <w:tcW w:w="5857" w:type="dxa"/>
            <w:hideMark/>
          </w:tcPr>
          <w:p w14:paraId="0AD7A7C1" w14:textId="77777777" w:rsidR="00FC0D42" w:rsidRPr="005B0796" w:rsidRDefault="00FC0D42" w:rsidP="009919A9">
            <w:pPr>
              <w:spacing w:after="120"/>
            </w:pPr>
            <w:bookmarkStart w:id="1571" w:name="_Hlk489440151"/>
            <w:r w:rsidRPr="005B0796">
              <w:t xml:space="preserve">Dimensions of Anger Reactions Scale </w:t>
            </w:r>
            <w:bookmarkEnd w:id="1571"/>
          </w:p>
        </w:tc>
      </w:tr>
      <w:tr w:rsidR="00FC0D42" w:rsidRPr="005B0796" w14:paraId="12CAC1D4" w14:textId="77777777" w:rsidTr="009919A9">
        <w:trPr>
          <w:cantSplit/>
        </w:trPr>
        <w:tc>
          <w:tcPr>
            <w:tcW w:w="1458" w:type="dxa"/>
            <w:hideMark/>
          </w:tcPr>
          <w:p w14:paraId="79FAAEB4" w14:textId="77777777" w:rsidR="00FC0D42" w:rsidRPr="005B0796" w:rsidRDefault="00FC0D42" w:rsidP="009919A9">
            <w:pPr>
              <w:spacing w:after="120"/>
            </w:pPr>
            <w:r w:rsidRPr="005B0796">
              <w:t>DMAC</w:t>
            </w:r>
          </w:p>
        </w:tc>
        <w:tc>
          <w:tcPr>
            <w:tcW w:w="5857" w:type="dxa"/>
            <w:hideMark/>
          </w:tcPr>
          <w:p w14:paraId="210D3584" w14:textId="77777777" w:rsidR="00FC0D42" w:rsidRPr="005B0796" w:rsidRDefault="00FC0D42" w:rsidP="009919A9">
            <w:pPr>
              <w:spacing w:after="120"/>
            </w:pPr>
            <w:r w:rsidRPr="005B0796">
              <w:t>Data Management &amp; Analysis Centre</w:t>
            </w:r>
          </w:p>
        </w:tc>
      </w:tr>
      <w:tr w:rsidR="00FC0D42" w:rsidRPr="005B0796" w14:paraId="7B796858" w14:textId="77777777" w:rsidTr="009919A9">
        <w:trPr>
          <w:cantSplit/>
        </w:trPr>
        <w:tc>
          <w:tcPr>
            <w:tcW w:w="1458" w:type="dxa"/>
            <w:hideMark/>
          </w:tcPr>
          <w:p w14:paraId="077A9053" w14:textId="77777777" w:rsidR="00FC0D42" w:rsidRPr="005B0796" w:rsidRDefault="00FC0D42" w:rsidP="009919A9">
            <w:pPr>
              <w:spacing w:after="120"/>
            </w:pPr>
            <w:r w:rsidRPr="005B0796">
              <w:t>DSM-IV</w:t>
            </w:r>
          </w:p>
        </w:tc>
        <w:tc>
          <w:tcPr>
            <w:tcW w:w="5857" w:type="dxa"/>
            <w:hideMark/>
          </w:tcPr>
          <w:p w14:paraId="03FF7D5F" w14:textId="77777777" w:rsidR="00FC0D42" w:rsidRPr="005B0796" w:rsidRDefault="00FC0D42" w:rsidP="009919A9">
            <w:pPr>
              <w:spacing w:after="120"/>
            </w:pPr>
            <w:r w:rsidRPr="005B0796">
              <w:t xml:space="preserve">Diagnostic and Statistical Manual of Mental Disorders – </w:t>
            </w:r>
            <w:r>
              <w:t>Four</w:t>
            </w:r>
            <w:r w:rsidRPr="005B0796">
              <w:t>th edition</w:t>
            </w:r>
          </w:p>
        </w:tc>
      </w:tr>
      <w:tr w:rsidR="00FC0D42" w:rsidRPr="005B0796" w14:paraId="65B7BA0D" w14:textId="77777777" w:rsidTr="009919A9">
        <w:trPr>
          <w:cantSplit/>
        </w:trPr>
        <w:tc>
          <w:tcPr>
            <w:tcW w:w="1458" w:type="dxa"/>
            <w:hideMark/>
          </w:tcPr>
          <w:p w14:paraId="7BA4F911" w14:textId="77777777" w:rsidR="00FC0D42" w:rsidRPr="005B0796" w:rsidRDefault="00FC0D42" w:rsidP="009919A9">
            <w:pPr>
              <w:spacing w:after="120"/>
            </w:pPr>
            <w:r w:rsidRPr="005B0796">
              <w:t>DVA</w:t>
            </w:r>
          </w:p>
        </w:tc>
        <w:tc>
          <w:tcPr>
            <w:tcW w:w="5857" w:type="dxa"/>
            <w:hideMark/>
          </w:tcPr>
          <w:p w14:paraId="02F4002F" w14:textId="77777777" w:rsidR="00FC0D42" w:rsidRPr="005B0796" w:rsidRDefault="00FC0D42" w:rsidP="009919A9">
            <w:pPr>
              <w:spacing w:after="120"/>
            </w:pPr>
            <w:bookmarkStart w:id="1572" w:name="_Hlk489432995"/>
            <w:r w:rsidRPr="005B0796">
              <w:t>Department of Veterans’ Affairs</w:t>
            </w:r>
            <w:bookmarkEnd w:id="1572"/>
          </w:p>
        </w:tc>
      </w:tr>
      <w:tr w:rsidR="00FC0D42" w:rsidRPr="005B0796" w14:paraId="4768C87C" w14:textId="77777777" w:rsidTr="009919A9">
        <w:trPr>
          <w:cantSplit/>
        </w:trPr>
        <w:tc>
          <w:tcPr>
            <w:tcW w:w="1458" w:type="dxa"/>
            <w:hideMark/>
          </w:tcPr>
          <w:p w14:paraId="546980A8" w14:textId="77777777" w:rsidR="00FC0D42" w:rsidRPr="005B0796" w:rsidRDefault="00FC0D42" w:rsidP="009919A9">
            <w:pPr>
              <w:spacing w:after="120"/>
            </w:pPr>
            <w:r w:rsidRPr="005B0796">
              <w:t>ESO</w:t>
            </w:r>
          </w:p>
        </w:tc>
        <w:tc>
          <w:tcPr>
            <w:tcW w:w="5857" w:type="dxa"/>
            <w:hideMark/>
          </w:tcPr>
          <w:p w14:paraId="6E798824" w14:textId="77777777" w:rsidR="00FC0D42" w:rsidRPr="005B0796" w:rsidRDefault="00FC0D42" w:rsidP="009919A9">
            <w:pPr>
              <w:spacing w:after="120"/>
            </w:pPr>
            <w:r w:rsidRPr="005B0796">
              <w:t>Ex-service organisation</w:t>
            </w:r>
          </w:p>
        </w:tc>
      </w:tr>
      <w:tr w:rsidR="00FC0D42" w:rsidRPr="005B0796" w14:paraId="4923DAEB" w14:textId="77777777" w:rsidTr="009919A9">
        <w:trPr>
          <w:cantSplit/>
        </w:trPr>
        <w:tc>
          <w:tcPr>
            <w:tcW w:w="1458" w:type="dxa"/>
            <w:hideMark/>
          </w:tcPr>
          <w:p w14:paraId="19E01D2F" w14:textId="77777777" w:rsidR="00FC0D42" w:rsidRPr="005B0796" w:rsidRDefault="00FC0D42" w:rsidP="009919A9">
            <w:pPr>
              <w:spacing w:after="120"/>
            </w:pPr>
            <w:r w:rsidRPr="005B0796">
              <w:t>GAD</w:t>
            </w:r>
          </w:p>
        </w:tc>
        <w:tc>
          <w:tcPr>
            <w:tcW w:w="5857" w:type="dxa"/>
            <w:hideMark/>
          </w:tcPr>
          <w:p w14:paraId="45CC4946" w14:textId="77777777" w:rsidR="00FC0D42" w:rsidRPr="005B0796" w:rsidRDefault="00FC0D42" w:rsidP="009919A9">
            <w:pPr>
              <w:spacing w:after="120"/>
            </w:pPr>
            <w:r w:rsidRPr="005B0796">
              <w:t>Generalised anxiety disorder</w:t>
            </w:r>
          </w:p>
        </w:tc>
      </w:tr>
      <w:tr w:rsidR="00FC0D42" w:rsidRPr="005B0796" w14:paraId="5577CD5F" w14:textId="77777777" w:rsidTr="009919A9">
        <w:trPr>
          <w:cantSplit/>
        </w:trPr>
        <w:tc>
          <w:tcPr>
            <w:tcW w:w="1458" w:type="dxa"/>
            <w:hideMark/>
          </w:tcPr>
          <w:p w14:paraId="7F925710" w14:textId="77777777" w:rsidR="00FC0D42" w:rsidRPr="005B0796" w:rsidRDefault="00FC0D42" w:rsidP="009919A9">
            <w:pPr>
              <w:spacing w:after="120"/>
            </w:pPr>
            <w:r w:rsidRPr="005B0796">
              <w:t>GAD-7</w:t>
            </w:r>
          </w:p>
        </w:tc>
        <w:tc>
          <w:tcPr>
            <w:tcW w:w="5857" w:type="dxa"/>
            <w:hideMark/>
          </w:tcPr>
          <w:p w14:paraId="2C22FE05" w14:textId="77777777" w:rsidR="00FC0D42" w:rsidRPr="005B0796" w:rsidRDefault="00FC0D42" w:rsidP="009919A9">
            <w:pPr>
              <w:spacing w:after="120"/>
            </w:pPr>
            <w:r w:rsidRPr="005B0796">
              <w:t>Generalised Anxiety Disorder 7-item Scale</w:t>
            </w:r>
          </w:p>
        </w:tc>
      </w:tr>
      <w:tr w:rsidR="00FC0D42" w:rsidRPr="005B0796" w14:paraId="3AFB687B" w14:textId="77777777" w:rsidTr="009919A9">
        <w:trPr>
          <w:cantSplit/>
        </w:trPr>
        <w:tc>
          <w:tcPr>
            <w:tcW w:w="1458" w:type="dxa"/>
            <w:hideMark/>
          </w:tcPr>
          <w:p w14:paraId="700EA142" w14:textId="77777777" w:rsidR="00FC0D42" w:rsidRPr="005B0796" w:rsidRDefault="00FC0D42" w:rsidP="009919A9">
            <w:pPr>
              <w:spacing w:after="120"/>
            </w:pPr>
            <w:r w:rsidRPr="005B0796">
              <w:t>HILDA</w:t>
            </w:r>
          </w:p>
        </w:tc>
        <w:tc>
          <w:tcPr>
            <w:tcW w:w="5857" w:type="dxa"/>
            <w:hideMark/>
          </w:tcPr>
          <w:p w14:paraId="7C4D4274" w14:textId="77777777" w:rsidR="00FC0D42" w:rsidRPr="005B0796" w:rsidRDefault="00FC0D42" w:rsidP="009919A9">
            <w:pPr>
              <w:spacing w:after="120"/>
            </w:pPr>
            <w:r w:rsidRPr="005B0796">
              <w:t>Household, Income and Labour Dynamics in Australia</w:t>
            </w:r>
          </w:p>
        </w:tc>
      </w:tr>
      <w:tr w:rsidR="00FC0D42" w:rsidRPr="005B0796" w14:paraId="1E53F40F" w14:textId="77777777" w:rsidTr="009919A9">
        <w:trPr>
          <w:cantSplit/>
        </w:trPr>
        <w:tc>
          <w:tcPr>
            <w:tcW w:w="1458" w:type="dxa"/>
            <w:hideMark/>
          </w:tcPr>
          <w:p w14:paraId="59E418C3" w14:textId="77777777" w:rsidR="00FC0D42" w:rsidRPr="005B0796" w:rsidRDefault="00FC0D42" w:rsidP="009919A9">
            <w:pPr>
              <w:spacing w:after="120"/>
            </w:pPr>
            <w:r w:rsidRPr="005B0796">
              <w:t>HREC</w:t>
            </w:r>
          </w:p>
        </w:tc>
        <w:tc>
          <w:tcPr>
            <w:tcW w:w="5857" w:type="dxa"/>
            <w:hideMark/>
          </w:tcPr>
          <w:p w14:paraId="1E96E821" w14:textId="77777777" w:rsidR="00FC0D42" w:rsidRPr="005B0796" w:rsidRDefault="00FC0D42" w:rsidP="009919A9">
            <w:pPr>
              <w:spacing w:after="120"/>
            </w:pPr>
            <w:r w:rsidRPr="005B0796">
              <w:t>Human Research Ethics Committee</w:t>
            </w:r>
          </w:p>
        </w:tc>
      </w:tr>
      <w:tr w:rsidR="00FC0D42" w:rsidRPr="005B0796" w14:paraId="6EA668C4" w14:textId="77777777" w:rsidTr="009919A9">
        <w:trPr>
          <w:cantSplit/>
        </w:trPr>
        <w:tc>
          <w:tcPr>
            <w:tcW w:w="1458" w:type="dxa"/>
            <w:hideMark/>
          </w:tcPr>
          <w:p w14:paraId="15C6B486" w14:textId="77777777" w:rsidR="00FC0D42" w:rsidRPr="005B0796" w:rsidRDefault="00FC0D42" w:rsidP="009919A9">
            <w:pPr>
              <w:spacing w:after="120"/>
            </w:pPr>
            <w:r w:rsidRPr="005B0796">
              <w:t>HRF</w:t>
            </w:r>
          </w:p>
        </w:tc>
        <w:tc>
          <w:tcPr>
            <w:tcW w:w="5857" w:type="dxa"/>
            <w:hideMark/>
          </w:tcPr>
          <w:p w14:paraId="030840B1" w14:textId="77777777" w:rsidR="00FC0D42" w:rsidRPr="005B0796" w:rsidRDefault="00FC0D42" w:rsidP="009919A9">
            <w:pPr>
              <w:spacing w:after="120"/>
            </w:pPr>
            <w:r w:rsidRPr="005B0796">
              <w:t>Hunter Research Foundation</w:t>
            </w:r>
          </w:p>
        </w:tc>
      </w:tr>
      <w:tr w:rsidR="00FC0D42" w:rsidRPr="005B0796" w14:paraId="585D6EC1" w14:textId="77777777" w:rsidTr="009919A9">
        <w:trPr>
          <w:cantSplit/>
        </w:trPr>
        <w:tc>
          <w:tcPr>
            <w:tcW w:w="1458" w:type="dxa"/>
          </w:tcPr>
          <w:p w14:paraId="010E1654" w14:textId="77777777" w:rsidR="00FC0D42" w:rsidRPr="005B0796" w:rsidRDefault="00FC0D42" w:rsidP="009919A9">
            <w:pPr>
              <w:spacing w:after="120"/>
              <w:rPr>
                <w:rFonts w:cstheme="majorBidi"/>
              </w:rPr>
            </w:pPr>
            <w:r w:rsidRPr="005B0796">
              <w:t>ICD-10</w:t>
            </w:r>
          </w:p>
        </w:tc>
        <w:tc>
          <w:tcPr>
            <w:tcW w:w="5857" w:type="dxa"/>
            <w:hideMark/>
          </w:tcPr>
          <w:p w14:paraId="147B46F2" w14:textId="77777777" w:rsidR="00FC0D42" w:rsidRPr="005B0796" w:rsidRDefault="00FC0D42" w:rsidP="009919A9">
            <w:pPr>
              <w:spacing w:after="120"/>
            </w:pPr>
            <w:r w:rsidRPr="005B0796">
              <w:t>International Statistical Classification of Diseases and Related Health Problems – 10th Revision</w:t>
            </w:r>
          </w:p>
        </w:tc>
      </w:tr>
      <w:tr w:rsidR="00FC0D42" w:rsidRPr="005B0796" w14:paraId="041F6E0E" w14:textId="77777777" w:rsidTr="009919A9">
        <w:trPr>
          <w:cantSplit/>
        </w:trPr>
        <w:tc>
          <w:tcPr>
            <w:tcW w:w="1458" w:type="dxa"/>
            <w:hideMark/>
          </w:tcPr>
          <w:p w14:paraId="136EDA57" w14:textId="77777777" w:rsidR="00FC0D42" w:rsidRPr="005B0796" w:rsidRDefault="00FC0D42" w:rsidP="009919A9">
            <w:pPr>
              <w:spacing w:after="120"/>
            </w:pPr>
            <w:r w:rsidRPr="005B0796">
              <w:t>K10</w:t>
            </w:r>
          </w:p>
        </w:tc>
        <w:tc>
          <w:tcPr>
            <w:tcW w:w="5857" w:type="dxa"/>
            <w:hideMark/>
          </w:tcPr>
          <w:p w14:paraId="1EBAECE9" w14:textId="77777777" w:rsidR="00FC0D42" w:rsidRPr="005B0796" w:rsidRDefault="00FC0D42" w:rsidP="009919A9">
            <w:pPr>
              <w:spacing w:after="120"/>
            </w:pPr>
            <w:r w:rsidRPr="005B0796">
              <w:t>Kessler Psychological Distress Scale</w:t>
            </w:r>
          </w:p>
        </w:tc>
      </w:tr>
      <w:tr w:rsidR="00FC0D42" w:rsidRPr="005B0796" w14:paraId="120A8C25" w14:textId="77777777" w:rsidTr="009919A9">
        <w:trPr>
          <w:cantSplit/>
        </w:trPr>
        <w:tc>
          <w:tcPr>
            <w:tcW w:w="1458" w:type="dxa"/>
          </w:tcPr>
          <w:p w14:paraId="44CDC688" w14:textId="77777777" w:rsidR="00FC0D42" w:rsidRPr="005B0796" w:rsidRDefault="00FC0D42" w:rsidP="009919A9">
            <w:pPr>
              <w:spacing w:after="120"/>
            </w:pPr>
            <w:r w:rsidRPr="005B0796">
              <w:t>KCMHR</w:t>
            </w:r>
          </w:p>
        </w:tc>
        <w:tc>
          <w:tcPr>
            <w:tcW w:w="5857" w:type="dxa"/>
            <w:hideMark/>
          </w:tcPr>
          <w:p w14:paraId="25463922" w14:textId="77777777" w:rsidR="00FC0D42" w:rsidRPr="005B0796" w:rsidRDefault="00FC0D42" w:rsidP="009919A9">
            <w:pPr>
              <w:spacing w:after="120"/>
            </w:pPr>
            <w:r w:rsidRPr="005B0796">
              <w:t>King’s Centre for Military Health Research Academic Department of Military Mental Health</w:t>
            </w:r>
          </w:p>
        </w:tc>
      </w:tr>
      <w:tr w:rsidR="00FC0D42" w:rsidRPr="005B0796" w14:paraId="75C6AE5B" w14:textId="77777777" w:rsidTr="009919A9">
        <w:trPr>
          <w:cantSplit/>
        </w:trPr>
        <w:tc>
          <w:tcPr>
            <w:tcW w:w="1458" w:type="dxa"/>
            <w:hideMark/>
          </w:tcPr>
          <w:p w14:paraId="39AF2329" w14:textId="77777777" w:rsidR="00FC0D42" w:rsidRPr="005B0796" w:rsidRDefault="00FC0D42" w:rsidP="009919A9">
            <w:pPr>
              <w:spacing w:after="120"/>
            </w:pPr>
            <w:r w:rsidRPr="005B0796">
              <w:t>MEAO</w:t>
            </w:r>
          </w:p>
        </w:tc>
        <w:tc>
          <w:tcPr>
            <w:tcW w:w="5857" w:type="dxa"/>
            <w:hideMark/>
          </w:tcPr>
          <w:p w14:paraId="0EE4ACD2" w14:textId="77777777" w:rsidR="00FC0D42" w:rsidRPr="005B0796" w:rsidRDefault="00FC0D42" w:rsidP="009919A9">
            <w:pPr>
              <w:spacing w:after="120"/>
            </w:pPr>
            <w:r w:rsidRPr="005B0796">
              <w:t>Middle East Area of Operations</w:t>
            </w:r>
          </w:p>
        </w:tc>
      </w:tr>
      <w:tr w:rsidR="00FC0D42" w:rsidRPr="005B0796" w14:paraId="6EECF403" w14:textId="77777777" w:rsidTr="009919A9">
        <w:trPr>
          <w:cantSplit/>
        </w:trPr>
        <w:tc>
          <w:tcPr>
            <w:tcW w:w="1458" w:type="dxa"/>
            <w:hideMark/>
          </w:tcPr>
          <w:p w14:paraId="621BD07E" w14:textId="77777777" w:rsidR="00FC0D42" w:rsidRPr="005B0796" w:rsidRDefault="00FC0D42" w:rsidP="009919A9">
            <w:pPr>
              <w:spacing w:after="120"/>
            </w:pPr>
            <w:r w:rsidRPr="005B0796">
              <w:t>MEC</w:t>
            </w:r>
          </w:p>
        </w:tc>
        <w:tc>
          <w:tcPr>
            <w:tcW w:w="5857" w:type="dxa"/>
            <w:hideMark/>
          </w:tcPr>
          <w:p w14:paraId="601A604B" w14:textId="77777777" w:rsidR="00FC0D42" w:rsidRPr="005B0796" w:rsidRDefault="00FC0D42" w:rsidP="009919A9">
            <w:pPr>
              <w:spacing w:after="120"/>
            </w:pPr>
            <w:r w:rsidRPr="005B0796">
              <w:t>Medical Employment Classification</w:t>
            </w:r>
          </w:p>
        </w:tc>
      </w:tr>
      <w:tr w:rsidR="00FC0D42" w:rsidRPr="005B0796" w14:paraId="49C34696" w14:textId="77777777" w:rsidTr="009919A9">
        <w:trPr>
          <w:cantSplit/>
        </w:trPr>
        <w:tc>
          <w:tcPr>
            <w:tcW w:w="1458" w:type="dxa"/>
            <w:hideMark/>
          </w:tcPr>
          <w:p w14:paraId="1359FDF8" w14:textId="77777777" w:rsidR="00FC0D42" w:rsidRPr="005B0796" w:rsidRDefault="00FC0D42" w:rsidP="009919A9">
            <w:pPr>
              <w:spacing w:after="120"/>
            </w:pPr>
            <w:r w:rsidRPr="005B0796">
              <w:t>MECRB</w:t>
            </w:r>
          </w:p>
        </w:tc>
        <w:tc>
          <w:tcPr>
            <w:tcW w:w="5857" w:type="dxa"/>
            <w:hideMark/>
          </w:tcPr>
          <w:p w14:paraId="7E70D5B4" w14:textId="77777777" w:rsidR="00FC0D42" w:rsidRPr="005B0796" w:rsidRDefault="00FC0D42" w:rsidP="009919A9">
            <w:pPr>
              <w:spacing w:after="120"/>
            </w:pPr>
            <w:r w:rsidRPr="005B0796">
              <w:t>Medical Employment Classification Review Board</w:t>
            </w:r>
          </w:p>
        </w:tc>
      </w:tr>
      <w:tr w:rsidR="00FC0D42" w:rsidRPr="005B0796" w14:paraId="40751A6E" w14:textId="77777777" w:rsidTr="009919A9">
        <w:trPr>
          <w:cantSplit/>
        </w:trPr>
        <w:tc>
          <w:tcPr>
            <w:tcW w:w="1458" w:type="dxa"/>
            <w:hideMark/>
          </w:tcPr>
          <w:p w14:paraId="6377CD6B" w14:textId="77777777" w:rsidR="00FC0D42" w:rsidRPr="005B0796" w:rsidRDefault="00FC0D42" w:rsidP="009919A9">
            <w:pPr>
              <w:spacing w:after="120"/>
            </w:pPr>
            <w:r w:rsidRPr="005B0796">
              <w:t>MHPWS</w:t>
            </w:r>
          </w:p>
        </w:tc>
        <w:tc>
          <w:tcPr>
            <w:tcW w:w="5857" w:type="dxa"/>
            <w:hideMark/>
          </w:tcPr>
          <w:p w14:paraId="0610756A" w14:textId="77777777" w:rsidR="00FC0D42" w:rsidRPr="005B0796" w:rsidRDefault="00FC0D42" w:rsidP="009919A9">
            <w:pPr>
              <w:spacing w:after="120"/>
            </w:pPr>
            <w:r w:rsidRPr="005B0796">
              <w:t>Mental Health Prevalence and Wellbeing Study</w:t>
            </w:r>
          </w:p>
        </w:tc>
      </w:tr>
      <w:tr w:rsidR="00FC0D42" w:rsidRPr="005B0796" w14:paraId="6BD5F7D9" w14:textId="77777777" w:rsidTr="009919A9">
        <w:trPr>
          <w:cantSplit/>
        </w:trPr>
        <w:tc>
          <w:tcPr>
            <w:tcW w:w="1458" w:type="dxa"/>
            <w:hideMark/>
          </w:tcPr>
          <w:p w14:paraId="6783CD45" w14:textId="77777777" w:rsidR="00FC0D42" w:rsidRPr="005B0796" w:rsidRDefault="00FC0D42" w:rsidP="009919A9">
            <w:pPr>
              <w:spacing w:after="120"/>
            </w:pPr>
            <w:r w:rsidRPr="005B0796">
              <w:t>MilHOP</w:t>
            </w:r>
          </w:p>
        </w:tc>
        <w:tc>
          <w:tcPr>
            <w:tcW w:w="5857" w:type="dxa"/>
            <w:hideMark/>
          </w:tcPr>
          <w:p w14:paraId="4666ABB4" w14:textId="77777777" w:rsidR="00FC0D42" w:rsidRPr="005B0796" w:rsidRDefault="00FC0D42" w:rsidP="009919A9">
            <w:pPr>
              <w:spacing w:after="120"/>
            </w:pPr>
            <w:r w:rsidRPr="005B0796">
              <w:t>Military Health Outcomes Program</w:t>
            </w:r>
          </w:p>
        </w:tc>
      </w:tr>
      <w:tr w:rsidR="00FC0D42" w:rsidRPr="005B0796" w14:paraId="78986DD4" w14:textId="77777777" w:rsidTr="009919A9">
        <w:trPr>
          <w:cantSplit/>
        </w:trPr>
        <w:tc>
          <w:tcPr>
            <w:tcW w:w="1458" w:type="dxa"/>
            <w:hideMark/>
          </w:tcPr>
          <w:p w14:paraId="0A922969" w14:textId="77777777" w:rsidR="00FC0D42" w:rsidRPr="005B0796" w:rsidRDefault="00FC0D42" w:rsidP="009919A9">
            <w:pPr>
              <w:spacing w:after="120"/>
            </w:pPr>
            <w:r w:rsidRPr="005B0796">
              <w:t>mTBI</w:t>
            </w:r>
          </w:p>
        </w:tc>
        <w:tc>
          <w:tcPr>
            <w:tcW w:w="5857" w:type="dxa"/>
            <w:hideMark/>
          </w:tcPr>
          <w:p w14:paraId="244B5213" w14:textId="77777777" w:rsidR="00FC0D42" w:rsidRPr="005B0796" w:rsidRDefault="00FC0D42" w:rsidP="009919A9">
            <w:pPr>
              <w:spacing w:after="120"/>
            </w:pPr>
            <w:r w:rsidRPr="005B0796">
              <w:t xml:space="preserve">Mild </w:t>
            </w:r>
            <w:r>
              <w:t>t</w:t>
            </w:r>
            <w:r w:rsidRPr="005B0796">
              <w:t xml:space="preserve">raumatic </w:t>
            </w:r>
            <w:r>
              <w:t>b</w:t>
            </w:r>
            <w:r w:rsidRPr="005B0796">
              <w:t xml:space="preserve">rain </w:t>
            </w:r>
            <w:r>
              <w:t>i</w:t>
            </w:r>
            <w:r w:rsidRPr="005B0796">
              <w:t>njury</w:t>
            </w:r>
          </w:p>
        </w:tc>
      </w:tr>
      <w:tr w:rsidR="00FC0D42" w:rsidRPr="005B0796" w14:paraId="7AE6A2D4" w14:textId="77777777" w:rsidTr="009919A9">
        <w:trPr>
          <w:cantSplit/>
        </w:trPr>
        <w:tc>
          <w:tcPr>
            <w:tcW w:w="1458" w:type="dxa"/>
            <w:hideMark/>
          </w:tcPr>
          <w:p w14:paraId="0ABA506F" w14:textId="77777777" w:rsidR="00FC0D42" w:rsidRPr="005B0796" w:rsidRDefault="00FC0D42" w:rsidP="009919A9">
            <w:pPr>
              <w:spacing w:after="120"/>
            </w:pPr>
            <w:r w:rsidRPr="005B0796">
              <w:t>NCO</w:t>
            </w:r>
          </w:p>
        </w:tc>
        <w:tc>
          <w:tcPr>
            <w:tcW w:w="5857" w:type="dxa"/>
            <w:hideMark/>
          </w:tcPr>
          <w:p w14:paraId="28AC73E3" w14:textId="77777777" w:rsidR="00FC0D42" w:rsidRPr="005B0796" w:rsidRDefault="00FC0D42" w:rsidP="009919A9">
            <w:pPr>
              <w:spacing w:after="120"/>
            </w:pPr>
            <w:r w:rsidRPr="005B0796">
              <w:t>Non-</w:t>
            </w:r>
            <w:r>
              <w:t>c</w:t>
            </w:r>
            <w:r w:rsidRPr="005B0796">
              <w:t xml:space="preserve">ommissioned </w:t>
            </w:r>
            <w:r>
              <w:t>o</w:t>
            </w:r>
            <w:r w:rsidRPr="005B0796">
              <w:t>fficer</w:t>
            </w:r>
          </w:p>
        </w:tc>
      </w:tr>
      <w:tr w:rsidR="00FC0D42" w:rsidRPr="005B0796" w14:paraId="6849EF60" w14:textId="77777777" w:rsidTr="009919A9">
        <w:trPr>
          <w:cantSplit/>
        </w:trPr>
        <w:tc>
          <w:tcPr>
            <w:tcW w:w="1458" w:type="dxa"/>
            <w:hideMark/>
          </w:tcPr>
          <w:p w14:paraId="7D019746" w14:textId="77777777" w:rsidR="00FC0D42" w:rsidRPr="005B0796" w:rsidRDefault="00FC0D42" w:rsidP="009919A9">
            <w:pPr>
              <w:spacing w:after="120"/>
            </w:pPr>
            <w:r w:rsidRPr="005B0796">
              <w:t>NDI</w:t>
            </w:r>
          </w:p>
        </w:tc>
        <w:tc>
          <w:tcPr>
            <w:tcW w:w="5857" w:type="dxa"/>
            <w:hideMark/>
          </w:tcPr>
          <w:p w14:paraId="411546CD" w14:textId="77777777" w:rsidR="00FC0D42" w:rsidRPr="005B0796" w:rsidRDefault="00FC0D42" w:rsidP="009919A9">
            <w:pPr>
              <w:spacing w:after="120"/>
            </w:pPr>
            <w:r w:rsidRPr="005B0796">
              <w:t>National Death Index</w:t>
            </w:r>
          </w:p>
        </w:tc>
      </w:tr>
      <w:tr w:rsidR="00FC0D42" w:rsidRPr="005B0796" w14:paraId="486EEF6A" w14:textId="77777777" w:rsidTr="009919A9">
        <w:trPr>
          <w:cantSplit/>
        </w:trPr>
        <w:tc>
          <w:tcPr>
            <w:tcW w:w="1458" w:type="dxa"/>
            <w:hideMark/>
          </w:tcPr>
          <w:p w14:paraId="77712BF5" w14:textId="77777777" w:rsidR="00FC0D42" w:rsidRPr="005B0796" w:rsidRDefault="00FC0D42" w:rsidP="009919A9">
            <w:pPr>
              <w:spacing w:after="120"/>
            </w:pPr>
            <w:r w:rsidRPr="005B0796">
              <w:t>NHMRC</w:t>
            </w:r>
          </w:p>
        </w:tc>
        <w:tc>
          <w:tcPr>
            <w:tcW w:w="5857" w:type="dxa"/>
            <w:hideMark/>
          </w:tcPr>
          <w:p w14:paraId="4BB06065" w14:textId="77777777" w:rsidR="00FC0D42" w:rsidRPr="005B0796" w:rsidRDefault="00FC0D42" w:rsidP="009919A9">
            <w:pPr>
              <w:spacing w:after="120"/>
            </w:pPr>
            <w:r w:rsidRPr="005B0796">
              <w:t>National Health and Medical Research Council</w:t>
            </w:r>
          </w:p>
        </w:tc>
      </w:tr>
      <w:tr w:rsidR="00FC0D42" w:rsidRPr="005B0796" w14:paraId="3FD8BD5B" w14:textId="77777777" w:rsidTr="009919A9">
        <w:trPr>
          <w:cantSplit/>
        </w:trPr>
        <w:tc>
          <w:tcPr>
            <w:tcW w:w="1458" w:type="dxa"/>
            <w:hideMark/>
          </w:tcPr>
          <w:p w14:paraId="62E37E7C" w14:textId="77777777" w:rsidR="00FC0D42" w:rsidRPr="005B0796" w:rsidRDefault="00FC0D42" w:rsidP="009919A9">
            <w:pPr>
              <w:spacing w:after="120"/>
            </w:pPr>
            <w:r w:rsidRPr="005B0796">
              <w:t>NHS</w:t>
            </w:r>
          </w:p>
        </w:tc>
        <w:tc>
          <w:tcPr>
            <w:tcW w:w="5857" w:type="dxa"/>
            <w:hideMark/>
          </w:tcPr>
          <w:p w14:paraId="4C78581A" w14:textId="77777777" w:rsidR="00FC0D42" w:rsidRPr="005B0796" w:rsidRDefault="00FC0D42" w:rsidP="009919A9">
            <w:pPr>
              <w:spacing w:after="120"/>
            </w:pPr>
            <w:r w:rsidRPr="005B0796">
              <w:t>National Health Survey</w:t>
            </w:r>
          </w:p>
        </w:tc>
      </w:tr>
      <w:tr w:rsidR="00FC0D42" w:rsidRPr="005B0796" w14:paraId="6CEA3899" w14:textId="77777777" w:rsidTr="009919A9">
        <w:trPr>
          <w:cantSplit/>
        </w:trPr>
        <w:tc>
          <w:tcPr>
            <w:tcW w:w="1458" w:type="dxa"/>
            <w:hideMark/>
          </w:tcPr>
          <w:p w14:paraId="78E512B6" w14:textId="77777777" w:rsidR="00FC0D42" w:rsidRPr="005B0796" w:rsidRDefault="00FC0D42" w:rsidP="009919A9">
            <w:pPr>
              <w:spacing w:after="120"/>
            </w:pPr>
            <w:r w:rsidRPr="005B0796">
              <w:t>OCD</w:t>
            </w:r>
          </w:p>
        </w:tc>
        <w:tc>
          <w:tcPr>
            <w:tcW w:w="5857" w:type="dxa"/>
            <w:hideMark/>
          </w:tcPr>
          <w:p w14:paraId="070BDB56" w14:textId="77777777" w:rsidR="00FC0D42" w:rsidRPr="005B0796" w:rsidRDefault="00FC0D42" w:rsidP="009919A9">
            <w:pPr>
              <w:spacing w:after="120"/>
            </w:pPr>
            <w:r>
              <w:t>Obsessive-compulsive</w:t>
            </w:r>
            <w:r w:rsidRPr="005B0796">
              <w:t xml:space="preserve"> </w:t>
            </w:r>
            <w:r>
              <w:t>d</w:t>
            </w:r>
            <w:r w:rsidRPr="005B0796">
              <w:t>isorder</w:t>
            </w:r>
          </w:p>
        </w:tc>
      </w:tr>
      <w:tr w:rsidR="00FC0D42" w:rsidRPr="005B0796" w14:paraId="5A046B1B" w14:textId="77777777" w:rsidTr="009919A9">
        <w:trPr>
          <w:cantSplit/>
        </w:trPr>
        <w:tc>
          <w:tcPr>
            <w:tcW w:w="1458" w:type="dxa"/>
            <w:hideMark/>
          </w:tcPr>
          <w:p w14:paraId="708A34EC" w14:textId="77777777" w:rsidR="00FC0D42" w:rsidRPr="005B0796" w:rsidRDefault="00FC0D42" w:rsidP="009919A9">
            <w:pPr>
              <w:spacing w:after="120"/>
            </w:pPr>
            <w:r w:rsidRPr="005B0796">
              <w:t>OFFR</w:t>
            </w:r>
          </w:p>
        </w:tc>
        <w:tc>
          <w:tcPr>
            <w:tcW w:w="5857" w:type="dxa"/>
            <w:hideMark/>
          </w:tcPr>
          <w:p w14:paraId="011D3EF2" w14:textId="77777777" w:rsidR="00FC0D42" w:rsidRPr="005B0796" w:rsidRDefault="00FC0D42" w:rsidP="009919A9">
            <w:pPr>
              <w:spacing w:after="120"/>
            </w:pPr>
            <w:r w:rsidRPr="005B0796">
              <w:t>commissioned officer</w:t>
            </w:r>
          </w:p>
        </w:tc>
      </w:tr>
      <w:tr w:rsidR="00FC0D42" w:rsidRPr="005B0796" w14:paraId="00A12972" w14:textId="77777777" w:rsidTr="009919A9">
        <w:trPr>
          <w:cantSplit/>
        </w:trPr>
        <w:tc>
          <w:tcPr>
            <w:tcW w:w="1458" w:type="dxa"/>
            <w:hideMark/>
          </w:tcPr>
          <w:p w14:paraId="768DD68E" w14:textId="77777777" w:rsidR="00FC0D42" w:rsidRPr="005B0796" w:rsidRDefault="00FC0D42" w:rsidP="009919A9">
            <w:pPr>
              <w:spacing w:after="120"/>
            </w:pPr>
            <w:r w:rsidRPr="005B0796">
              <w:t>OR</w:t>
            </w:r>
          </w:p>
        </w:tc>
        <w:tc>
          <w:tcPr>
            <w:tcW w:w="5857" w:type="dxa"/>
            <w:hideMark/>
          </w:tcPr>
          <w:p w14:paraId="3A6CF288" w14:textId="77777777" w:rsidR="00FC0D42" w:rsidRPr="005B0796" w:rsidRDefault="00FC0D42" w:rsidP="009919A9">
            <w:pPr>
              <w:spacing w:after="120"/>
            </w:pPr>
            <w:r w:rsidRPr="005B0796">
              <w:t>Odds ratio</w:t>
            </w:r>
          </w:p>
        </w:tc>
      </w:tr>
      <w:tr w:rsidR="00FC0D42" w:rsidRPr="005B0796" w14:paraId="1E0AC4A7" w14:textId="77777777" w:rsidTr="009919A9">
        <w:trPr>
          <w:cantSplit/>
        </w:trPr>
        <w:tc>
          <w:tcPr>
            <w:tcW w:w="1458" w:type="dxa"/>
            <w:hideMark/>
          </w:tcPr>
          <w:p w14:paraId="41BFAC51" w14:textId="77777777" w:rsidR="00FC0D42" w:rsidRPr="005B0796" w:rsidRDefault="00FC0D42" w:rsidP="009919A9">
            <w:pPr>
              <w:spacing w:after="120"/>
            </w:pPr>
            <w:r w:rsidRPr="005B0796">
              <w:t>OR</w:t>
            </w:r>
          </w:p>
        </w:tc>
        <w:tc>
          <w:tcPr>
            <w:tcW w:w="5857" w:type="dxa"/>
            <w:hideMark/>
          </w:tcPr>
          <w:p w14:paraId="71427837" w14:textId="77777777" w:rsidR="00FC0D42" w:rsidRPr="005B0796" w:rsidRDefault="00FC0D42" w:rsidP="009919A9">
            <w:pPr>
              <w:spacing w:after="120"/>
            </w:pPr>
            <w:r w:rsidRPr="005B0796">
              <w:t>Other Ranks</w:t>
            </w:r>
          </w:p>
        </w:tc>
      </w:tr>
      <w:tr w:rsidR="00FC0D42" w:rsidRPr="005B0796" w14:paraId="0AFA3CF7" w14:textId="77777777" w:rsidTr="009919A9">
        <w:trPr>
          <w:cantSplit/>
        </w:trPr>
        <w:tc>
          <w:tcPr>
            <w:tcW w:w="1458" w:type="dxa"/>
            <w:hideMark/>
          </w:tcPr>
          <w:p w14:paraId="1E26F916" w14:textId="77777777" w:rsidR="00FC0D42" w:rsidRPr="005B0796" w:rsidRDefault="00FC0D42" w:rsidP="009919A9">
            <w:pPr>
              <w:spacing w:after="120"/>
            </w:pPr>
            <w:r w:rsidRPr="005B0796">
              <w:t>OSU TBI-ID</w:t>
            </w:r>
          </w:p>
        </w:tc>
        <w:tc>
          <w:tcPr>
            <w:tcW w:w="5857" w:type="dxa"/>
            <w:hideMark/>
          </w:tcPr>
          <w:p w14:paraId="582E803B" w14:textId="77777777" w:rsidR="00FC0D42" w:rsidRPr="005B0796" w:rsidRDefault="00FC0D42" w:rsidP="009919A9">
            <w:pPr>
              <w:spacing w:after="120"/>
            </w:pPr>
            <w:r w:rsidRPr="005B0796">
              <w:t>Ohio State University Traumatic Brain Injury Identification Method</w:t>
            </w:r>
          </w:p>
        </w:tc>
      </w:tr>
      <w:tr w:rsidR="00FC0D42" w:rsidRPr="005B0796" w14:paraId="6AC1C199" w14:textId="77777777" w:rsidTr="009919A9">
        <w:trPr>
          <w:cantSplit/>
        </w:trPr>
        <w:tc>
          <w:tcPr>
            <w:tcW w:w="1458" w:type="dxa"/>
            <w:hideMark/>
          </w:tcPr>
          <w:p w14:paraId="3D0187ED" w14:textId="77777777" w:rsidR="00FC0D42" w:rsidRPr="005B0796" w:rsidRDefault="00FC0D42" w:rsidP="009919A9">
            <w:pPr>
              <w:spacing w:after="120"/>
            </w:pPr>
            <w:r w:rsidRPr="005B0796">
              <w:t>PBS</w:t>
            </w:r>
          </w:p>
        </w:tc>
        <w:tc>
          <w:tcPr>
            <w:tcW w:w="5857" w:type="dxa"/>
            <w:hideMark/>
          </w:tcPr>
          <w:p w14:paraId="7EC871C6" w14:textId="77777777" w:rsidR="00FC0D42" w:rsidRPr="005B0796" w:rsidRDefault="00FC0D42" w:rsidP="009919A9">
            <w:pPr>
              <w:spacing w:after="120"/>
            </w:pPr>
            <w:r w:rsidRPr="005B0796">
              <w:t>Pharmaceutical Benefits Scheme</w:t>
            </w:r>
          </w:p>
        </w:tc>
      </w:tr>
      <w:tr w:rsidR="00FC0D42" w:rsidRPr="005B0796" w14:paraId="684DD02D" w14:textId="77777777" w:rsidTr="009919A9">
        <w:trPr>
          <w:cantSplit/>
        </w:trPr>
        <w:tc>
          <w:tcPr>
            <w:tcW w:w="1458" w:type="dxa"/>
            <w:hideMark/>
          </w:tcPr>
          <w:p w14:paraId="262CF069" w14:textId="77777777" w:rsidR="00FC0D42" w:rsidRPr="005B0796" w:rsidRDefault="00FC0D42" w:rsidP="009919A9">
            <w:pPr>
              <w:spacing w:after="120"/>
            </w:pPr>
            <w:r w:rsidRPr="005B0796">
              <w:t>PCL-C</w:t>
            </w:r>
          </w:p>
        </w:tc>
        <w:tc>
          <w:tcPr>
            <w:tcW w:w="5857" w:type="dxa"/>
            <w:hideMark/>
          </w:tcPr>
          <w:p w14:paraId="250FC037" w14:textId="77777777" w:rsidR="00FC0D42" w:rsidRPr="005B0796" w:rsidRDefault="00FC0D42" w:rsidP="009919A9">
            <w:pPr>
              <w:spacing w:after="120"/>
            </w:pPr>
            <w:bookmarkStart w:id="1573" w:name="_Hlk489448018"/>
            <w:r w:rsidRPr="005B0796">
              <w:t>Posttraumatic Stress Disorder Checklist – civilian version</w:t>
            </w:r>
            <w:bookmarkEnd w:id="1573"/>
          </w:p>
        </w:tc>
      </w:tr>
      <w:tr w:rsidR="00FC0D42" w:rsidRPr="005B0796" w14:paraId="19FC8E06" w14:textId="77777777" w:rsidTr="009919A9">
        <w:trPr>
          <w:cantSplit/>
        </w:trPr>
        <w:tc>
          <w:tcPr>
            <w:tcW w:w="1458" w:type="dxa"/>
            <w:hideMark/>
          </w:tcPr>
          <w:p w14:paraId="0C383228" w14:textId="77777777" w:rsidR="00FC0D42" w:rsidRPr="005B0796" w:rsidRDefault="00FC0D42" w:rsidP="009919A9">
            <w:pPr>
              <w:spacing w:after="120"/>
            </w:pPr>
            <w:r w:rsidRPr="005B0796">
              <w:t>PCS</w:t>
            </w:r>
          </w:p>
        </w:tc>
        <w:tc>
          <w:tcPr>
            <w:tcW w:w="5857" w:type="dxa"/>
            <w:hideMark/>
          </w:tcPr>
          <w:p w14:paraId="62E8D9E8" w14:textId="77777777" w:rsidR="00FC0D42" w:rsidRPr="005B0796" w:rsidRDefault="00FC0D42" w:rsidP="009919A9">
            <w:pPr>
              <w:spacing w:after="120"/>
            </w:pPr>
            <w:r w:rsidRPr="005B0796">
              <w:t>Post-Concussion Syndrome Checklist</w:t>
            </w:r>
          </w:p>
        </w:tc>
      </w:tr>
      <w:tr w:rsidR="00FC0D42" w:rsidRPr="005B0796" w14:paraId="089D2C01" w14:textId="77777777" w:rsidTr="009919A9">
        <w:trPr>
          <w:cantSplit/>
        </w:trPr>
        <w:tc>
          <w:tcPr>
            <w:tcW w:w="1458" w:type="dxa"/>
            <w:hideMark/>
          </w:tcPr>
          <w:p w14:paraId="08E12F82" w14:textId="77777777" w:rsidR="00FC0D42" w:rsidRPr="005B0796" w:rsidRDefault="00FC0D42" w:rsidP="009919A9">
            <w:pPr>
              <w:spacing w:after="120"/>
            </w:pPr>
            <w:r w:rsidRPr="005B0796">
              <w:t>PGSI</w:t>
            </w:r>
          </w:p>
        </w:tc>
        <w:tc>
          <w:tcPr>
            <w:tcW w:w="5857" w:type="dxa"/>
            <w:hideMark/>
          </w:tcPr>
          <w:p w14:paraId="41E851F6" w14:textId="77777777" w:rsidR="00FC0D42" w:rsidRPr="005B0796" w:rsidRDefault="00FC0D42" w:rsidP="009919A9">
            <w:pPr>
              <w:spacing w:after="120"/>
            </w:pPr>
            <w:r w:rsidRPr="005B0796">
              <w:t>Problem Gambling Severity Index</w:t>
            </w:r>
          </w:p>
        </w:tc>
      </w:tr>
      <w:tr w:rsidR="00FC0D42" w:rsidRPr="005B0796" w14:paraId="7037EDB8" w14:textId="77777777" w:rsidTr="009919A9">
        <w:trPr>
          <w:cantSplit/>
        </w:trPr>
        <w:tc>
          <w:tcPr>
            <w:tcW w:w="1458" w:type="dxa"/>
            <w:hideMark/>
          </w:tcPr>
          <w:p w14:paraId="10ADC97B" w14:textId="77777777" w:rsidR="00FC0D42" w:rsidRPr="005B0796" w:rsidRDefault="00FC0D42" w:rsidP="009919A9">
            <w:pPr>
              <w:spacing w:after="120"/>
            </w:pPr>
            <w:r w:rsidRPr="005B0796">
              <w:t>PHQ-9</w:t>
            </w:r>
          </w:p>
        </w:tc>
        <w:tc>
          <w:tcPr>
            <w:tcW w:w="5857" w:type="dxa"/>
            <w:hideMark/>
          </w:tcPr>
          <w:p w14:paraId="7617201D" w14:textId="77777777" w:rsidR="00FC0D42" w:rsidRPr="005B0796" w:rsidRDefault="00FC0D42" w:rsidP="009919A9">
            <w:pPr>
              <w:spacing w:after="120"/>
            </w:pPr>
            <w:r w:rsidRPr="005B0796">
              <w:t>Patient Health Questionnaire</w:t>
            </w:r>
          </w:p>
        </w:tc>
      </w:tr>
      <w:tr w:rsidR="00FC0D42" w:rsidRPr="005B0796" w14:paraId="3C90915B" w14:textId="77777777" w:rsidTr="009919A9">
        <w:trPr>
          <w:cantSplit/>
        </w:trPr>
        <w:tc>
          <w:tcPr>
            <w:tcW w:w="1458" w:type="dxa"/>
            <w:hideMark/>
          </w:tcPr>
          <w:p w14:paraId="2CA7AF58" w14:textId="77777777" w:rsidR="00FC0D42" w:rsidRPr="005B0796" w:rsidRDefault="00FC0D42" w:rsidP="009919A9">
            <w:pPr>
              <w:spacing w:after="120"/>
            </w:pPr>
            <w:r w:rsidRPr="005B0796">
              <w:t>PMKeyS</w:t>
            </w:r>
          </w:p>
        </w:tc>
        <w:tc>
          <w:tcPr>
            <w:tcW w:w="5857" w:type="dxa"/>
            <w:hideMark/>
          </w:tcPr>
          <w:p w14:paraId="37FE946B" w14:textId="77777777" w:rsidR="00FC0D42" w:rsidRPr="005B0796" w:rsidRDefault="00FC0D42" w:rsidP="009919A9">
            <w:pPr>
              <w:spacing w:after="120"/>
            </w:pPr>
            <w:r w:rsidRPr="005B0796">
              <w:t>Personnel Management Key Solution</w:t>
            </w:r>
          </w:p>
        </w:tc>
      </w:tr>
      <w:tr w:rsidR="00FC0D42" w:rsidRPr="005B0796" w14:paraId="4B4B635E" w14:textId="77777777" w:rsidTr="009919A9">
        <w:trPr>
          <w:cantSplit/>
        </w:trPr>
        <w:tc>
          <w:tcPr>
            <w:tcW w:w="1458" w:type="dxa"/>
            <w:hideMark/>
          </w:tcPr>
          <w:p w14:paraId="11252AA6" w14:textId="77777777" w:rsidR="00FC0D42" w:rsidRPr="005B0796" w:rsidRDefault="00FC0D42" w:rsidP="009919A9">
            <w:pPr>
              <w:spacing w:after="120"/>
            </w:pPr>
            <w:r w:rsidRPr="005B0796">
              <w:t>PTSD</w:t>
            </w:r>
          </w:p>
        </w:tc>
        <w:tc>
          <w:tcPr>
            <w:tcW w:w="5857" w:type="dxa"/>
            <w:hideMark/>
          </w:tcPr>
          <w:p w14:paraId="59E1ECEF" w14:textId="77777777" w:rsidR="00FC0D42" w:rsidRPr="005B0796" w:rsidRDefault="00FC0D42" w:rsidP="009919A9">
            <w:pPr>
              <w:spacing w:after="120"/>
            </w:pPr>
            <w:r w:rsidRPr="005B0796">
              <w:t>Posttraumatic stress disorder</w:t>
            </w:r>
          </w:p>
        </w:tc>
      </w:tr>
      <w:tr w:rsidR="00FC0D42" w:rsidRPr="005B0796" w14:paraId="3BDB4400" w14:textId="77777777" w:rsidTr="009919A9">
        <w:trPr>
          <w:cantSplit/>
        </w:trPr>
        <w:tc>
          <w:tcPr>
            <w:tcW w:w="1458" w:type="dxa"/>
            <w:hideMark/>
          </w:tcPr>
          <w:p w14:paraId="262FDF1F" w14:textId="77777777" w:rsidR="00FC0D42" w:rsidRPr="005B0796" w:rsidRDefault="00FC0D42" w:rsidP="009919A9">
            <w:pPr>
              <w:spacing w:after="120"/>
            </w:pPr>
            <w:r w:rsidRPr="005B0796">
              <w:t>RPBS</w:t>
            </w:r>
          </w:p>
        </w:tc>
        <w:tc>
          <w:tcPr>
            <w:tcW w:w="5857" w:type="dxa"/>
            <w:hideMark/>
          </w:tcPr>
          <w:p w14:paraId="158F772A" w14:textId="77777777" w:rsidR="00FC0D42" w:rsidRPr="005B0796" w:rsidRDefault="00FC0D42" w:rsidP="009919A9">
            <w:pPr>
              <w:spacing w:after="120"/>
            </w:pPr>
            <w:bookmarkStart w:id="1574" w:name="_Hlk489516748"/>
            <w:r w:rsidRPr="005B0796">
              <w:t>Repatriation Pharmaceutical Benefits Scheme</w:t>
            </w:r>
            <w:bookmarkEnd w:id="1574"/>
          </w:p>
        </w:tc>
      </w:tr>
      <w:tr w:rsidR="00FC0D42" w:rsidRPr="005B0796" w14:paraId="705B280C" w14:textId="77777777" w:rsidTr="009919A9">
        <w:trPr>
          <w:cantSplit/>
        </w:trPr>
        <w:tc>
          <w:tcPr>
            <w:tcW w:w="1458" w:type="dxa"/>
            <w:hideMark/>
          </w:tcPr>
          <w:p w14:paraId="65CC8140" w14:textId="77777777" w:rsidR="00FC0D42" w:rsidRPr="005B0796" w:rsidRDefault="00FC0D42" w:rsidP="009919A9">
            <w:pPr>
              <w:spacing w:after="120"/>
            </w:pPr>
            <w:r w:rsidRPr="005B0796">
              <w:t>SAC</w:t>
            </w:r>
          </w:p>
        </w:tc>
        <w:tc>
          <w:tcPr>
            <w:tcW w:w="5857" w:type="dxa"/>
            <w:hideMark/>
          </w:tcPr>
          <w:p w14:paraId="71875880" w14:textId="77777777" w:rsidR="00FC0D42" w:rsidRPr="005B0796" w:rsidRDefault="00FC0D42" w:rsidP="009919A9">
            <w:pPr>
              <w:spacing w:after="120"/>
            </w:pPr>
            <w:r w:rsidRPr="005B0796">
              <w:t>Scientific Advisory Committee</w:t>
            </w:r>
          </w:p>
        </w:tc>
      </w:tr>
      <w:tr w:rsidR="00FC0D42" w:rsidRPr="005B0796" w14:paraId="3E348A9A" w14:textId="77777777" w:rsidTr="009919A9">
        <w:trPr>
          <w:cantSplit/>
        </w:trPr>
        <w:tc>
          <w:tcPr>
            <w:tcW w:w="1458" w:type="dxa"/>
            <w:hideMark/>
          </w:tcPr>
          <w:p w14:paraId="741C56CF" w14:textId="77777777" w:rsidR="00FC0D42" w:rsidRPr="005B0796" w:rsidRDefault="00FC0D42" w:rsidP="009919A9">
            <w:pPr>
              <w:spacing w:after="120"/>
            </w:pPr>
            <w:r w:rsidRPr="005B0796">
              <w:t>SE</w:t>
            </w:r>
          </w:p>
        </w:tc>
        <w:tc>
          <w:tcPr>
            <w:tcW w:w="5857" w:type="dxa"/>
            <w:hideMark/>
          </w:tcPr>
          <w:p w14:paraId="7E3B262D" w14:textId="77777777" w:rsidR="00FC0D42" w:rsidRPr="005B0796" w:rsidRDefault="00FC0D42" w:rsidP="009919A9">
            <w:pPr>
              <w:spacing w:after="120"/>
            </w:pPr>
            <w:r w:rsidRPr="005B0796">
              <w:t>Standard error</w:t>
            </w:r>
          </w:p>
        </w:tc>
      </w:tr>
      <w:tr w:rsidR="00FC0D42" w:rsidRPr="005B0796" w14:paraId="27BF66FA" w14:textId="77777777" w:rsidTr="009919A9">
        <w:trPr>
          <w:cantSplit/>
        </w:trPr>
        <w:tc>
          <w:tcPr>
            <w:tcW w:w="1458" w:type="dxa"/>
            <w:hideMark/>
          </w:tcPr>
          <w:p w14:paraId="00B61256" w14:textId="77777777" w:rsidR="00FC0D42" w:rsidRPr="005B0796" w:rsidRDefault="00FC0D42" w:rsidP="009919A9">
            <w:pPr>
              <w:spacing w:after="120"/>
            </w:pPr>
            <w:r w:rsidRPr="005B0796">
              <w:t>TBI</w:t>
            </w:r>
          </w:p>
        </w:tc>
        <w:tc>
          <w:tcPr>
            <w:tcW w:w="5857" w:type="dxa"/>
            <w:hideMark/>
          </w:tcPr>
          <w:p w14:paraId="63EA1F4B" w14:textId="77777777" w:rsidR="00FC0D42" w:rsidRPr="005B0796" w:rsidRDefault="00FC0D42" w:rsidP="009919A9">
            <w:pPr>
              <w:spacing w:after="120"/>
            </w:pPr>
            <w:r w:rsidRPr="005B0796">
              <w:t>Traumatic brain injury</w:t>
            </w:r>
          </w:p>
        </w:tc>
      </w:tr>
      <w:tr w:rsidR="00FC0D42" w:rsidRPr="005B0796" w14:paraId="02C85A55" w14:textId="77777777" w:rsidTr="009919A9">
        <w:trPr>
          <w:cantSplit/>
        </w:trPr>
        <w:tc>
          <w:tcPr>
            <w:tcW w:w="1458" w:type="dxa"/>
            <w:hideMark/>
          </w:tcPr>
          <w:p w14:paraId="74DE44E2" w14:textId="77777777" w:rsidR="00FC0D42" w:rsidRPr="005B0796" w:rsidRDefault="00FC0D42" w:rsidP="009919A9">
            <w:pPr>
              <w:spacing w:after="120"/>
            </w:pPr>
            <w:r w:rsidRPr="005B0796">
              <w:t>UA</w:t>
            </w:r>
          </w:p>
        </w:tc>
        <w:tc>
          <w:tcPr>
            <w:tcW w:w="5857" w:type="dxa"/>
            <w:hideMark/>
          </w:tcPr>
          <w:p w14:paraId="0E05778F" w14:textId="77777777" w:rsidR="00FC0D42" w:rsidRPr="005B0796" w:rsidRDefault="00FC0D42" w:rsidP="009919A9">
            <w:pPr>
              <w:spacing w:after="120"/>
            </w:pPr>
            <w:r w:rsidRPr="005B0796">
              <w:t>University of Adelaide</w:t>
            </w:r>
          </w:p>
        </w:tc>
      </w:tr>
      <w:bookmarkEnd w:id="1570"/>
    </w:tbl>
    <w:p w14:paraId="5B3E16E4" w14:textId="77777777" w:rsidR="00FC0D42" w:rsidRPr="005B0796" w:rsidRDefault="00FC0D42" w:rsidP="00FC0D42"/>
    <w:p w14:paraId="78010284" w14:textId="77777777" w:rsidR="006016C9" w:rsidRDefault="006016C9" w:rsidP="0061597C">
      <w:pPr>
        <w:sectPr w:rsidR="006016C9" w:rsidSect="00FC0D42">
          <w:footerReference w:type="even" r:id="rId180"/>
          <w:footerReference w:type="default" r:id="rId181"/>
          <w:type w:val="oddPage"/>
          <w:pgSz w:w="9979" w:h="14170" w:code="243"/>
          <w:pgMar w:top="1440" w:right="1152" w:bottom="1440" w:left="1728" w:header="576" w:footer="576" w:gutter="0"/>
          <w:cols w:space="708"/>
          <w:docGrid w:linePitch="360"/>
        </w:sectPr>
      </w:pPr>
    </w:p>
    <w:p w14:paraId="59CA830E" w14:textId="77777777" w:rsidR="00FC0D42" w:rsidRPr="005B0796" w:rsidRDefault="00FC0D42" w:rsidP="00FC0D42">
      <w:pPr>
        <w:pStyle w:val="Heading1b"/>
        <w:numPr>
          <w:ilvl w:val="0"/>
          <w:numId w:val="0"/>
        </w:numPr>
      </w:pPr>
      <w:bookmarkStart w:id="1575" w:name="_Toc494449823"/>
      <w:bookmarkStart w:id="1576" w:name="_Toc518566495"/>
      <w:bookmarkStart w:id="1577" w:name="_Toc528932772"/>
      <w:bookmarkStart w:id="1578" w:name="_Toc531859309"/>
      <w:r w:rsidRPr="005B0796">
        <w:t>Glossary of terms</w:t>
      </w:r>
      <w:bookmarkEnd w:id="1575"/>
      <w:bookmarkEnd w:id="1576"/>
      <w:bookmarkEnd w:id="1577"/>
      <w:bookmarkEnd w:id="1578"/>
    </w:p>
    <w:p w14:paraId="491288BA" w14:textId="575B7488" w:rsidR="00FC0D42" w:rsidRPr="006C5859" w:rsidRDefault="00FC0D42" w:rsidP="006C5859">
      <w:r w:rsidRPr="006C5859">
        <w:rPr>
          <w:b/>
        </w:rPr>
        <w:t>12-month prevalence</w:t>
      </w:r>
      <w:r w:rsidR="00AA0034" w:rsidRPr="006C5859">
        <w:rPr>
          <w:b/>
        </w:rPr>
        <w:t>.</w:t>
      </w:r>
      <w:r w:rsidRPr="006C5859">
        <w:t xml:space="preserve"> Meeting diagnostic criteria for a lifetime ICD-10 mental disorder and then having reported symptoms in the 12 months before the interview. </w:t>
      </w:r>
    </w:p>
    <w:p w14:paraId="67141CD6" w14:textId="355AECA2" w:rsidR="00FC0D42" w:rsidRPr="006C5859" w:rsidRDefault="00FC0D42" w:rsidP="00FC0D42">
      <w:r w:rsidRPr="006C5859">
        <w:rPr>
          <w:b/>
        </w:rPr>
        <w:t>Affective disorders</w:t>
      </w:r>
      <w:r w:rsidR="00AA0034" w:rsidRPr="006C5859">
        <w:rPr>
          <w:b/>
        </w:rPr>
        <w:t>.</w:t>
      </w:r>
      <w:r w:rsidRPr="006C5859">
        <w:rPr>
          <w:b/>
        </w:rPr>
        <w:t xml:space="preserve"> </w:t>
      </w:r>
      <w:r w:rsidRPr="006C5859">
        <w:t>Affective disorders is a class of mental health disorders. The Mental Health and Wellbeing Transition Study examined three types of affective disorder: depressive episodes, dysthymia and bipolar affective disorder. A key feature of these mental disorders is mood disturbance.</w:t>
      </w:r>
    </w:p>
    <w:p w14:paraId="09A332B5" w14:textId="69CC22AF" w:rsidR="00FC0D42" w:rsidRPr="006C5859" w:rsidRDefault="00FC0D42" w:rsidP="00FC0D42">
      <w:r w:rsidRPr="006C5859">
        <w:rPr>
          <w:b/>
        </w:rPr>
        <w:t>Agoraphobia</w:t>
      </w:r>
      <w:r w:rsidR="00AA0034" w:rsidRPr="006C5859">
        <w:rPr>
          <w:b/>
        </w:rPr>
        <w:t>.</w:t>
      </w:r>
      <w:r w:rsidRPr="006C5859">
        <w:t xml:space="preserve"> Marked fear or avoidance of situations such as crowds, public places, travelling alone, or travelling away from home, which is accompanied by palpitations, sweating, shaking or dry mouth, as well as other anxiety symptoms such as chest pain, choking sensations, dizziness, and sometimes feelings of unreality, fear of dying, losing control, or going mad.</w:t>
      </w:r>
    </w:p>
    <w:p w14:paraId="54DD11FC" w14:textId="5820F1EF" w:rsidR="00FC0D42" w:rsidRPr="006C5859" w:rsidRDefault="00FC0D42" w:rsidP="00FC0D42">
      <w:r w:rsidRPr="006C5859">
        <w:rPr>
          <w:b/>
        </w:rPr>
        <w:t>Alcohol dependence</w:t>
      </w:r>
      <w:r w:rsidR="00AA0034" w:rsidRPr="006C5859">
        <w:rPr>
          <w:b/>
        </w:rPr>
        <w:t>.</w:t>
      </w:r>
      <w:r w:rsidRPr="006C5859">
        <w:t xml:space="preserve"> Characterised by an increased prioritisation of alcohol in a person’s life. The defining feature of alcohol dependence is a strong, overwhelming desire to use alcohol despite experiencing a number of associated problems. A diagnosis was given if the person reported three or more of the following symptoms in the previous 12 months:</w:t>
      </w:r>
    </w:p>
    <w:p w14:paraId="4007CE48" w14:textId="77777777" w:rsidR="00FC0D42" w:rsidRPr="006C5859" w:rsidRDefault="00FC0D42" w:rsidP="00FC0D42">
      <w:pPr>
        <w:pStyle w:val="Bullet"/>
        <w:numPr>
          <w:ilvl w:val="0"/>
          <w:numId w:val="3"/>
        </w:numPr>
        <w:ind w:left="360"/>
      </w:pPr>
      <w:r w:rsidRPr="006C5859">
        <w:t>a strong and irresistible urge to consume alcohol</w:t>
      </w:r>
    </w:p>
    <w:p w14:paraId="068182EA" w14:textId="77777777" w:rsidR="00FC0D42" w:rsidRPr="006C5859" w:rsidRDefault="00FC0D42" w:rsidP="00FC0D42">
      <w:pPr>
        <w:pStyle w:val="Bullet"/>
        <w:numPr>
          <w:ilvl w:val="0"/>
          <w:numId w:val="3"/>
        </w:numPr>
        <w:ind w:left="360"/>
      </w:pPr>
      <w:r w:rsidRPr="006C5859">
        <w:t>a tolerance to the effects of alcohol</w:t>
      </w:r>
    </w:p>
    <w:p w14:paraId="31880DEC" w14:textId="77777777" w:rsidR="00FC0D42" w:rsidRPr="006C5859" w:rsidRDefault="00FC0D42" w:rsidP="00FC0D42">
      <w:pPr>
        <w:pStyle w:val="Bullet"/>
        <w:numPr>
          <w:ilvl w:val="0"/>
          <w:numId w:val="3"/>
        </w:numPr>
        <w:ind w:left="360"/>
      </w:pPr>
      <w:r w:rsidRPr="006C5859">
        <w:t>an inability to stop or reduce alcohol consumption</w:t>
      </w:r>
    </w:p>
    <w:p w14:paraId="4B8AD214" w14:textId="77777777" w:rsidR="00FC0D42" w:rsidRPr="006C5859" w:rsidRDefault="00FC0D42" w:rsidP="00FC0D42">
      <w:pPr>
        <w:pStyle w:val="Bullet"/>
        <w:numPr>
          <w:ilvl w:val="0"/>
          <w:numId w:val="3"/>
        </w:numPr>
        <w:ind w:left="360"/>
      </w:pPr>
      <w:r w:rsidRPr="006C5859">
        <w:t>withdrawal symptoms upon cessation or reduction of alcohol intake</w:t>
      </w:r>
    </w:p>
    <w:p w14:paraId="27AA1DB6" w14:textId="77777777" w:rsidR="00FC0D42" w:rsidRPr="006C5859" w:rsidRDefault="00FC0D42" w:rsidP="00FC0D42">
      <w:pPr>
        <w:pStyle w:val="Bullet"/>
        <w:numPr>
          <w:ilvl w:val="0"/>
          <w:numId w:val="3"/>
        </w:numPr>
        <w:ind w:left="360"/>
      </w:pPr>
      <w:r w:rsidRPr="006C5859">
        <w:t>continuing to drink despite it causing emotional or physical problems</w:t>
      </w:r>
    </w:p>
    <w:p w14:paraId="44429DCB" w14:textId="77777777" w:rsidR="00FC0D42" w:rsidRPr="006C5859" w:rsidRDefault="00FC0D42" w:rsidP="00FC0D42">
      <w:pPr>
        <w:pStyle w:val="Bullet"/>
        <w:numPr>
          <w:ilvl w:val="0"/>
          <w:numId w:val="3"/>
        </w:numPr>
        <w:ind w:left="360"/>
      </w:pPr>
      <w:r w:rsidRPr="006C5859">
        <w:t>reduction in important activities because of or in order to drink.</w:t>
      </w:r>
    </w:p>
    <w:p w14:paraId="4AAC43F2" w14:textId="796C2645" w:rsidR="00FC0D42" w:rsidRPr="006C5859" w:rsidRDefault="00FC0D42" w:rsidP="00FC0D42">
      <w:r w:rsidRPr="006C5859">
        <w:rPr>
          <w:b/>
        </w:rPr>
        <w:t>Alcohol harmful use</w:t>
      </w:r>
      <w:r w:rsidR="00AA0034" w:rsidRPr="006C5859">
        <w:rPr>
          <w:b/>
        </w:rPr>
        <w:t>.</w:t>
      </w:r>
      <w:r w:rsidRPr="006C5859">
        <w:t xml:space="preserve"> Diagnosis requires not only high levels of alcohol consumption but also that the alcohol use is damaging to the person’s physical or mental health. Each participant was initially asked whether they consumed 12 or more standard alcoholic drinks in a 12-month period. If so, they were then asked a series of questions about their level of consumption. A diagnosis of Alcohol Harmful Use was applied if the alcohol interfered with either work or other responsibilities; caused arguments with their family or friends; was consumed in a situation where the person could get hurt; resulted in being stopped or arrested by police; or if the participant continued to consume alcohol despite experiencing social or interpersonal problems as a consequence of their drinking during the previous 12 months. A person could not meet criteria for Alcohol harmful use if they met criteria for alcohol dependence.</w:t>
      </w:r>
    </w:p>
    <w:p w14:paraId="4DB77487" w14:textId="7AFFADD7" w:rsidR="00FC0D42" w:rsidRPr="006C5859" w:rsidRDefault="00FC0D42" w:rsidP="00FC0D42">
      <w:r w:rsidRPr="006C5859">
        <w:rPr>
          <w:b/>
        </w:rPr>
        <w:t>Alcohol Use Disorders Identification Test (AUDIT)</w:t>
      </w:r>
      <w:r w:rsidR="00AA0034" w:rsidRPr="006C5859">
        <w:rPr>
          <w:b/>
        </w:rPr>
        <w:t>.</w:t>
      </w:r>
      <w:r w:rsidRPr="006C5859">
        <w:rPr>
          <w:b/>
        </w:rPr>
        <w:t xml:space="preserve"> </w:t>
      </w:r>
      <w:r w:rsidRPr="006C5859">
        <w:t xml:space="preserve">Alcohol consumption and problem drinking was examined using the Alcohol Use Disorders Identification Test </w:t>
      </w:r>
      <w:r w:rsidRPr="006C5859">
        <w:rPr>
          <w:noProof/>
        </w:rPr>
        <w:t>(Saunders et al., 1993)</w:t>
      </w:r>
      <w:r w:rsidRPr="006C5859">
        <w:t>, a brief self-report screening instrument developed by the World Health Organization. This instrument consists of 10 questions to examine the quantity and frequency of alcohol consumption, possible symptoms of dependence, and reactions or problems related to alcohol. The AUDIT is widely used in epidemiological and clinical practice for defining at-risk patterns of drinking.</w:t>
      </w:r>
    </w:p>
    <w:p w14:paraId="11FE422D" w14:textId="73B4D474" w:rsidR="00FC0D42" w:rsidRPr="006C5859" w:rsidRDefault="00FC0D42" w:rsidP="00FC0D42">
      <w:r w:rsidRPr="006C5859">
        <w:rPr>
          <w:b/>
        </w:rPr>
        <w:t>Anxiety disorders</w:t>
      </w:r>
      <w:r w:rsidR="00AA0034" w:rsidRPr="006C5859">
        <w:rPr>
          <w:b/>
        </w:rPr>
        <w:t>.</w:t>
      </w:r>
      <w:r w:rsidRPr="006C5859">
        <w:t xml:space="preserve"> A class of mental health disorder. This class of disorder involves the experience of intense and debilitating anxiety. The anxiety disorders covered in the survey were panic attacks, panic disorder, social phobia, specific phobia, agoraphobia, generalised anxiety disorder, posttraumatic stress disorder and obsessive-compulsive disorder.</w:t>
      </w:r>
    </w:p>
    <w:p w14:paraId="623D77BC" w14:textId="02AB1F53" w:rsidR="00FC0D42" w:rsidRPr="006C5859" w:rsidRDefault="00FC0D42" w:rsidP="00FC0D42">
      <w:r w:rsidRPr="006C5859">
        <w:rPr>
          <w:b/>
        </w:rPr>
        <w:t>Australian Bureau of Statistics (ABS)</w:t>
      </w:r>
      <w:r w:rsidR="00AA0034" w:rsidRPr="006C5859">
        <w:rPr>
          <w:b/>
        </w:rPr>
        <w:t>.</w:t>
      </w:r>
      <w:r w:rsidRPr="006C5859">
        <w:t xml:space="preserve"> Australia’s national statistical agency, providing trusted official statistics on a wide range of economic, social, population and environmental matters of importance to Australia. To enable comparison of estimates for the Transitioned ADF with an Australian community population, direct standardisation was applied to estimates in the 2014 – 2015 ABS National Health Survey (NHS) data. The NHS is the most recent in a series of Australia-wide ABS health surveys, assessing various aspects of the health of Australians, including long-term health conditions, health risk factors and health service use.</w:t>
      </w:r>
    </w:p>
    <w:p w14:paraId="6B275AC2" w14:textId="2E68F6F0" w:rsidR="00F27504" w:rsidRPr="006C5859" w:rsidRDefault="00FC0D42" w:rsidP="00F27504">
      <w:r w:rsidRPr="006C5859">
        <w:rPr>
          <w:b/>
        </w:rPr>
        <w:t>Australian Defence Force (ADF)</w:t>
      </w:r>
      <w:r w:rsidR="00AA0034" w:rsidRPr="006C5859">
        <w:rPr>
          <w:b/>
        </w:rPr>
        <w:t>.</w:t>
      </w:r>
      <w:r w:rsidRPr="006C5859">
        <w:t xml:space="preserve"> </w:t>
      </w:r>
      <w:r w:rsidR="00F27504" w:rsidRPr="006C5859">
        <w:t xml:space="preserve">The ADF is constituted under the </w:t>
      </w:r>
      <w:bookmarkStart w:id="1579" w:name="_Hlk489437028"/>
      <w:r w:rsidR="00F27504" w:rsidRPr="006C5859">
        <w:rPr>
          <w:i/>
        </w:rPr>
        <w:fldChar w:fldCharType="begin"/>
      </w:r>
      <w:r w:rsidR="00F27504" w:rsidRPr="006C5859">
        <w:rPr>
          <w:i/>
        </w:rPr>
        <w:instrText xml:space="preserve"> HYPERLINK "http://www.comlaw.gov.au/Series/C2004A07381" \t "_blank" </w:instrText>
      </w:r>
      <w:r w:rsidR="00F27504" w:rsidRPr="006C5859">
        <w:rPr>
          <w:i/>
        </w:rPr>
        <w:fldChar w:fldCharType="separate"/>
      </w:r>
      <w:r w:rsidR="00F27504" w:rsidRPr="006C5859">
        <w:rPr>
          <w:i/>
        </w:rPr>
        <w:t>Defence Act 1903</w:t>
      </w:r>
      <w:r w:rsidR="00F27504" w:rsidRPr="006C5859">
        <w:rPr>
          <w:i/>
        </w:rPr>
        <w:fldChar w:fldCharType="end"/>
      </w:r>
      <w:bookmarkEnd w:id="1579"/>
      <w:r w:rsidR="00F27504" w:rsidRPr="006C5859">
        <w:t xml:space="preserve"> (Cth) and, together with the Department of Defence, is collectively known as Defence. Defence’s mission is to defend Australia and its national interests. In fulfilling this mission, Defence serves the government of the day and is accountable to the Australian Parliament, which represents the Australian people to efficiently and effectively carry out the government’s defence policy. The current program of research aims to examine the mental, physical and social health of serving and ex-serving ADF members, and their families. It builds on previous research to inform effective and evidence-based health service provision for contemporary service members and veterans.</w:t>
      </w:r>
    </w:p>
    <w:p w14:paraId="5FD1C128" w14:textId="6FE4A34E" w:rsidR="00FC0D42" w:rsidRPr="006C5859" w:rsidRDefault="00FC0D42" w:rsidP="00FC0D42">
      <w:r w:rsidRPr="006C5859">
        <w:rPr>
          <w:b/>
        </w:rPr>
        <w:t>Australian Institute of Family Studies (AIFS)</w:t>
      </w:r>
      <w:r w:rsidR="00AA0034" w:rsidRPr="006C5859">
        <w:rPr>
          <w:b/>
        </w:rPr>
        <w:t>.</w:t>
      </w:r>
      <w:r w:rsidRPr="006C5859">
        <w:t xml:space="preserve"> The Australian Government’s key research body in the area of family wellbeing. AIFS conducts original research to increase understanding of Australian families and the issues that affect them. The current research was conducted by a consortium of Australia’s leading research institutions led by the Centre for Traumatic Stress Studies at the University of Adelaide, and AIFS.</w:t>
      </w:r>
    </w:p>
    <w:p w14:paraId="0CEBFEF7" w14:textId="1EC617D0" w:rsidR="00FC0D42" w:rsidRPr="006C5859" w:rsidRDefault="00FC0D42" w:rsidP="00FC0D42">
      <w:r w:rsidRPr="006C5859">
        <w:rPr>
          <w:b/>
        </w:rPr>
        <w:t>Australian Institute of Health and Welfare (AIHW)</w:t>
      </w:r>
      <w:r w:rsidR="00AA0034" w:rsidRPr="006C5859">
        <w:rPr>
          <w:b/>
        </w:rPr>
        <w:t>.</w:t>
      </w:r>
      <w:r w:rsidRPr="006C5859">
        <w:t xml:space="preserve"> Australia’s national agency for health and welfare statistics and information. It was used in this Programme to develop a Study Roll by integrating contact information from various sources and databases. </w:t>
      </w:r>
    </w:p>
    <w:p w14:paraId="54A0FEA1" w14:textId="3357284A" w:rsidR="00FC0D42" w:rsidRPr="006C5859" w:rsidRDefault="00FC0D42" w:rsidP="00FC0D42">
      <w:pPr>
        <w:rPr>
          <w:b/>
        </w:rPr>
      </w:pPr>
      <w:r w:rsidRPr="006C5859">
        <w:rPr>
          <w:b/>
        </w:rPr>
        <w:t>Bipolar affective disorder</w:t>
      </w:r>
      <w:r w:rsidR="00AA0034" w:rsidRPr="006C5859">
        <w:rPr>
          <w:b/>
        </w:rPr>
        <w:t>.</w:t>
      </w:r>
      <w:r w:rsidRPr="006C5859">
        <w:t xml:space="preserve"> A class of mental disorder associated with fluctuations of mood that are significantly disturbed. These fluctuations of mood are markedly elevated on some occasions (hypomania or mania) and can be markedly lowered on other occasions (depressive episodes). A diagnosis of bipolar affective disorder was applied in this study if the individuals met criteria for mania or hypomania in the previous 12-months</w:t>
      </w:r>
    </w:p>
    <w:p w14:paraId="3F554978" w14:textId="683213E3" w:rsidR="00FC0D42" w:rsidRPr="006C5859" w:rsidRDefault="00FC0D42" w:rsidP="00FC0D42">
      <w:r w:rsidRPr="006C5859">
        <w:rPr>
          <w:b/>
        </w:rPr>
        <w:t>Centre for Traumatic Stress Studies (CTSS)</w:t>
      </w:r>
      <w:r w:rsidR="00AA0034" w:rsidRPr="006C5859">
        <w:rPr>
          <w:b/>
        </w:rPr>
        <w:t>.</w:t>
      </w:r>
      <w:r w:rsidRPr="006C5859">
        <w:rPr>
          <w:b/>
        </w:rPr>
        <w:t xml:space="preserve"> </w:t>
      </w:r>
      <w:r w:rsidRPr="006C5859">
        <w:t>This centre at the University of Adelaide seeks to improve evidence-based practice by informing and applying scientific knowledge in the field of trauma, mental disorder and wellbeing in at-risk populations. The Programme was conducted by a consortium of Australia’s leading research institutions, led by the CTSS and the Australian Institute of Family Studies.</w:t>
      </w:r>
    </w:p>
    <w:p w14:paraId="45F05869" w14:textId="0C214BE8" w:rsidR="00FC0D42" w:rsidRPr="006C5859" w:rsidRDefault="00FC0D42" w:rsidP="00FC0D42">
      <w:r w:rsidRPr="006C5859">
        <w:rPr>
          <w:b/>
        </w:rPr>
        <w:t>Chain of command</w:t>
      </w:r>
      <w:r w:rsidR="00AA0034" w:rsidRPr="006C5859">
        <w:rPr>
          <w:b/>
        </w:rPr>
        <w:t>.</w:t>
      </w:r>
      <w:r w:rsidRPr="006C5859">
        <w:t xml:space="preserve"> A line of authority and responsibility along which orders are passed within a military unit and between different units.</w:t>
      </w:r>
    </w:p>
    <w:p w14:paraId="307C897D" w14:textId="18F5F801" w:rsidR="00FC0D42" w:rsidRPr="006C5859" w:rsidRDefault="00FC0D42" w:rsidP="00FC0D42">
      <w:pPr>
        <w:rPr>
          <w:b/>
        </w:rPr>
      </w:pPr>
      <w:r w:rsidRPr="006C5859">
        <w:rPr>
          <w:b/>
        </w:rPr>
        <w:t>Class of mental disorder</w:t>
      </w:r>
      <w:r w:rsidR="00AA0034" w:rsidRPr="006C5859">
        <w:rPr>
          <w:b/>
        </w:rPr>
        <w:t>.</w:t>
      </w:r>
      <w:r w:rsidRPr="006C5859">
        <w:t xml:space="preserve"> Mental disorders are grouped into classes of disorder that share common features. Three classes of mental disorders were included in the survey. These were affective disorders, anxiety disorders and alcohol disorders. </w:t>
      </w:r>
    </w:p>
    <w:p w14:paraId="34B355FB" w14:textId="2718F545" w:rsidR="00FC0D42" w:rsidRPr="006C5859" w:rsidRDefault="00FC0D42" w:rsidP="00FC0D42">
      <w:r w:rsidRPr="006C5859">
        <w:rPr>
          <w:b/>
          <w:bCs/>
        </w:rPr>
        <w:t>Comorbidity</w:t>
      </w:r>
      <w:r w:rsidR="00AA0034" w:rsidRPr="006C5859">
        <w:rPr>
          <w:b/>
          <w:bCs/>
        </w:rPr>
        <w:t>.</w:t>
      </w:r>
      <w:r w:rsidRPr="006C5859">
        <w:rPr>
          <w:bCs/>
        </w:rPr>
        <w:t xml:space="preserve"> The occurrence of more than one disorder at the same time</w:t>
      </w:r>
      <w:r w:rsidRPr="006C5859">
        <w:rPr>
          <w:b/>
        </w:rPr>
        <w:t xml:space="preserve">. </w:t>
      </w:r>
      <w:r w:rsidRPr="006C5859">
        <w:t>Comorbidity was defined by grouping any alcohol disorders, any affective disorders, any anxiety disorders (excluding PTSD), and PTSD according to their co-occurrence. In addition to a breakdown of the individual patterns of co-occurrence, five categories were defined representing those with no mental health disorder and those with 1, 2, 3 or 4 disorder categories.</w:t>
      </w:r>
    </w:p>
    <w:p w14:paraId="5EF6424B" w14:textId="7185BCDF" w:rsidR="00FC0D42" w:rsidRPr="006C5859" w:rsidRDefault="00FC0D42" w:rsidP="00FC0D42">
      <w:r w:rsidRPr="006C5859">
        <w:rPr>
          <w:b/>
          <w:bCs/>
        </w:rPr>
        <w:t>Composite International Diagnostic Interview (CIDI)</w:t>
      </w:r>
      <w:r w:rsidR="006C5859" w:rsidRPr="006C5859">
        <w:rPr>
          <w:b/>
          <w:bCs/>
        </w:rPr>
        <w:t>.</w:t>
      </w:r>
      <w:r w:rsidRPr="006C5859">
        <w:rPr>
          <w:b/>
        </w:rPr>
        <w:t xml:space="preserve"> </w:t>
      </w:r>
      <w:r w:rsidRPr="006C5859">
        <w:t xml:space="preserve">The World Mental Health Survey Initiative version of the World Health Organization’s Composite International Diagnostic Interview, version 3 (WMH-CIDI 3.0) </w:t>
      </w:r>
      <w:r w:rsidRPr="006C5859">
        <w:rPr>
          <w:noProof/>
        </w:rPr>
        <w:t>(Kessler &amp; Ustun, 2004)</w:t>
      </w:r>
      <w:r w:rsidRPr="006C5859">
        <w:t xml:space="preserve"> provides an assessment of mental disorders based on the definitions and criteria of two classification systems: the </w:t>
      </w:r>
      <w:r w:rsidRPr="006C5859">
        <w:rPr>
          <w:i/>
        </w:rPr>
        <w:t>Diagnostic and Statistical Manual of Mental Disorders</w:t>
      </w:r>
      <w:r w:rsidRPr="006C5859">
        <w:t xml:space="preserve">, Fourth edition (DSM-IV) and the </w:t>
      </w:r>
      <w:r w:rsidRPr="006C5859">
        <w:rPr>
          <w:i/>
        </w:rPr>
        <w:t>World Health Organization International Classification of Diseases</w:t>
      </w:r>
      <w:r w:rsidRPr="006C5859">
        <w:t xml:space="preserve">, 10th revision (ICD-10) </w:t>
      </w:r>
      <w:r w:rsidRPr="006C5859">
        <w:rPr>
          <w:noProof/>
        </w:rPr>
        <w:t>(World Health Organization, 1994)</w:t>
      </w:r>
      <w:r w:rsidRPr="006C5859">
        <w:t>. This instrument was utilised in phase 2 of the current research Programme.</w:t>
      </w:r>
    </w:p>
    <w:p w14:paraId="285A155C" w14:textId="4A34F7AF" w:rsidR="00FC0D42" w:rsidRPr="006C5859" w:rsidRDefault="00FC0D42" w:rsidP="00FC0D42">
      <w:r w:rsidRPr="006C5859">
        <w:rPr>
          <w:b/>
        </w:rPr>
        <w:t>Confidence interval (CI)</w:t>
      </w:r>
      <w:r w:rsidR="006C5859" w:rsidRPr="006C5859">
        <w:rPr>
          <w:b/>
        </w:rPr>
        <w:t>.</w:t>
      </w:r>
      <w:r w:rsidRPr="006C5859">
        <w:t xml:space="preserve"> This measurement gives an estimated range of values that is likely to include an unknown population parameter: the estimated range being calculated from a given set of sample data.</w:t>
      </w:r>
    </w:p>
    <w:p w14:paraId="22F2234B" w14:textId="07E0AF42" w:rsidR="00FC0D42" w:rsidRPr="006C5859" w:rsidRDefault="00FC0D42" w:rsidP="00FC0D42">
      <w:pPr>
        <w:rPr>
          <w:b/>
        </w:rPr>
      </w:pPr>
      <w:r w:rsidRPr="006C5859">
        <w:rPr>
          <w:b/>
        </w:rPr>
        <w:t>Department of Veterans’ Affairs (DVA)</w:t>
      </w:r>
      <w:r w:rsidR="006C5859" w:rsidRPr="006C5859">
        <w:rPr>
          <w:b/>
        </w:rPr>
        <w:t>.</w:t>
      </w:r>
      <w:r w:rsidRPr="006C5859">
        <w:rPr>
          <w:b/>
        </w:rPr>
        <w:t xml:space="preserve"> </w:t>
      </w:r>
      <w:r w:rsidRPr="006C5859">
        <w:t>The Department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w:t>
      </w:r>
    </w:p>
    <w:p w14:paraId="3E40C8EA" w14:textId="7F3AA691" w:rsidR="00FC0D42" w:rsidRPr="006C5859" w:rsidRDefault="00FC0D42" w:rsidP="00FC0D42">
      <w:pPr>
        <w:rPr>
          <w:b/>
        </w:rPr>
      </w:pPr>
      <w:r w:rsidRPr="006C5859">
        <w:rPr>
          <w:b/>
        </w:rPr>
        <w:t>Deployment status</w:t>
      </w:r>
      <w:r w:rsidR="006C5859" w:rsidRPr="006C5859">
        <w:rPr>
          <w:b/>
        </w:rPr>
        <w:t>.</w:t>
      </w:r>
      <w:r w:rsidRPr="006C5859">
        <w:rPr>
          <w:b/>
        </w:rPr>
        <w:t xml:space="preserve"> </w:t>
      </w:r>
      <w:r w:rsidRPr="006C5859">
        <w:t>The Mental Health and Wellbeing Transition Study defined deployment status, based on survey responses, as:</w:t>
      </w:r>
    </w:p>
    <w:p w14:paraId="56689C96" w14:textId="77777777" w:rsidR="00FC0D42" w:rsidRPr="006C5859" w:rsidRDefault="00FC0D42" w:rsidP="00FC0D42">
      <w:pPr>
        <w:pStyle w:val="Bullet"/>
        <w:numPr>
          <w:ilvl w:val="0"/>
          <w:numId w:val="3"/>
        </w:numPr>
        <w:ind w:left="360"/>
      </w:pPr>
      <w:r w:rsidRPr="006C5859">
        <w:rPr>
          <w:b/>
        </w:rPr>
        <w:t xml:space="preserve">Never deployed: </w:t>
      </w:r>
      <w:r w:rsidRPr="006C5859">
        <w:t>Individuals who did not endorse any deployments listed in the self-report survey (Your Military Career: Deployments) and did not endorse any deployment exposures (Your Military Career: Deployment Exposure)</w:t>
      </w:r>
    </w:p>
    <w:p w14:paraId="064C0FB2" w14:textId="77777777" w:rsidR="00FC0D42" w:rsidRPr="006C5859" w:rsidRDefault="00FC0D42" w:rsidP="00FC0D42">
      <w:pPr>
        <w:pStyle w:val="Bullet"/>
        <w:numPr>
          <w:ilvl w:val="0"/>
          <w:numId w:val="3"/>
        </w:numPr>
        <w:ind w:left="360"/>
      </w:pPr>
      <w:r w:rsidRPr="006C5859">
        <w:rPr>
          <w:b/>
        </w:rPr>
        <w:t xml:space="preserve">Deployed: </w:t>
      </w:r>
      <w:r w:rsidRPr="006C5859">
        <w:t>Individuals who endorsed one or more of the listed deployments (Your Military Career: Deployments) or endorsed one or more of the deployment exposures (Your Military Career: Deployment Exposure).</w:t>
      </w:r>
    </w:p>
    <w:p w14:paraId="2F02D40A" w14:textId="1D0A0261" w:rsidR="00FC0D42" w:rsidRPr="006C5859" w:rsidRDefault="00FC0D42" w:rsidP="00FC0D42">
      <w:r w:rsidRPr="006C5859">
        <w:rPr>
          <w:b/>
        </w:rPr>
        <w:t>Depressive episodes</w:t>
      </w:r>
      <w:r w:rsidR="006C5859" w:rsidRPr="006C5859">
        <w:rPr>
          <w:b/>
        </w:rPr>
        <w:t>.</w:t>
      </w:r>
      <w:r w:rsidRPr="006C5859">
        <w:t xml:space="preserve"> Characteristic of a major depressive disorder, an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w:t>
      </w:r>
      <w:r w:rsidRPr="006C5859">
        <w:rPr>
          <w:rFonts w:cs="@필기체"/>
        </w:rPr>
        <w:t xml:space="preserve"> Hierarchy rules were applied to depressive episodes, such that a person could not have met criteria for either a hypomanic or manic episode.</w:t>
      </w:r>
    </w:p>
    <w:p w14:paraId="1A8D5C33" w14:textId="17DA0063" w:rsidR="00FC0D42" w:rsidRPr="006C5859" w:rsidRDefault="00FC0D42" w:rsidP="00FC0D42">
      <w:r w:rsidRPr="006C5859">
        <w:rPr>
          <w:b/>
        </w:rPr>
        <w:t>Diagnostic criteria</w:t>
      </w:r>
      <w:r w:rsidR="006C5859" w:rsidRPr="006C5859">
        <w:rPr>
          <w:b/>
        </w:rPr>
        <w:t>.</w:t>
      </w:r>
      <w:r w:rsidRPr="006C5859">
        <w:t xml:space="preserve"> The survey was designed to estimate the prevalence of common mental health disorders defined according to clinical diagnostic criteria, as directed by the International Classification of Diseases 10th Revision (ICD-10). Diagnostic criteria for a disorder usually involve specification of: </w:t>
      </w:r>
    </w:p>
    <w:p w14:paraId="3C16DED4" w14:textId="77777777" w:rsidR="00FC0D42" w:rsidRPr="006C5859" w:rsidRDefault="00FC0D42" w:rsidP="00FC0D42">
      <w:pPr>
        <w:pStyle w:val="Bullet"/>
        <w:numPr>
          <w:ilvl w:val="0"/>
          <w:numId w:val="3"/>
        </w:numPr>
        <w:ind w:left="360"/>
      </w:pPr>
      <w:r w:rsidRPr="006C5859">
        <w:t>the nature, number and combination of symptoms</w:t>
      </w:r>
    </w:p>
    <w:p w14:paraId="546F3DBC" w14:textId="77777777" w:rsidR="00FC0D42" w:rsidRPr="006C5859" w:rsidRDefault="00FC0D42" w:rsidP="00FC0D42">
      <w:pPr>
        <w:pStyle w:val="Bullet"/>
        <w:numPr>
          <w:ilvl w:val="0"/>
          <w:numId w:val="3"/>
        </w:numPr>
        <w:ind w:left="360"/>
      </w:pPr>
      <w:r w:rsidRPr="006C5859">
        <w:t xml:space="preserve">the time period over which the symptoms have been continuously experienced </w:t>
      </w:r>
    </w:p>
    <w:p w14:paraId="4AA04384" w14:textId="77777777" w:rsidR="00FC0D42" w:rsidRPr="006C5859" w:rsidRDefault="00FC0D42" w:rsidP="00FC0D42">
      <w:pPr>
        <w:pStyle w:val="Bullet"/>
        <w:numPr>
          <w:ilvl w:val="0"/>
          <w:numId w:val="3"/>
        </w:numPr>
        <w:ind w:left="360"/>
      </w:pPr>
      <w:r w:rsidRPr="006C5859">
        <w:t xml:space="preserve">the level of distress or impairment experienced </w:t>
      </w:r>
    </w:p>
    <w:p w14:paraId="014B0037" w14:textId="77777777" w:rsidR="00FC0D42" w:rsidRPr="006C5859" w:rsidRDefault="00FC0D42" w:rsidP="00FC0D42">
      <w:pPr>
        <w:pStyle w:val="Bullet"/>
        <w:numPr>
          <w:ilvl w:val="0"/>
          <w:numId w:val="3"/>
        </w:numPr>
        <w:ind w:left="360"/>
      </w:pPr>
      <w:r w:rsidRPr="006C5859">
        <w:t>the circumstances for exclusion of a diagnosis, such as it being due to a general medical condition or the symptoms being associated with another mental disorder.</w:t>
      </w:r>
    </w:p>
    <w:p w14:paraId="3553E89E" w14:textId="5AF69C9C" w:rsidR="00FC0D42" w:rsidRPr="006C5859" w:rsidRDefault="00FC0D42" w:rsidP="00FC0D42">
      <w:pPr>
        <w:rPr>
          <w:rFonts w:cs="Arial"/>
          <w:b/>
        </w:rPr>
      </w:pPr>
      <w:r w:rsidRPr="006C5859">
        <w:rPr>
          <w:b/>
        </w:rPr>
        <w:t>Dimensions of Anger Reactions Scale (DAR-5)</w:t>
      </w:r>
      <w:r w:rsidR="006C5859" w:rsidRPr="006C5859">
        <w:rPr>
          <w:b/>
        </w:rPr>
        <w:t>.</w:t>
      </w:r>
      <w:r w:rsidRPr="006C5859">
        <w:t xml:space="preserve"> A concise measure of anger consisting of five items that address anger frequency, intensity, 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w:t>
      </w:r>
      <w:r w:rsidRPr="006C5859">
        <w:rPr>
          <w:rFonts w:cs="Arial"/>
          <w:b/>
        </w:rPr>
        <w:t xml:space="preserve"> </w:t>
      </w:r>
    </w:p>
    <w:p w14:paraId="6F0FB66F" w14:textId="4A7988C7" w:rsidR="00FC0D42" w:rsidRPr="006C5859" w:rsidRDefault="00FC0D42" w:rsidP="00890DC1">
      <w:r w:rsidRPr="006C5859">
        <w:rPr>
          <w:b/>
        </w:rPr>
        <w:t>DVA client</w:t>
      </w:r>
      <w:r w:rsidR="006C5859" w:rsidRPr="006C5859">
        <w:rPr>
          <w:b/>
        </w:rPr>
        <w:t>.</w:t>
      </w:r>
      <w:r w:rsidRPr="006C5859">
        <w:t xml:space="preserve"> A term used when referring to DVA clients for the purpose of analyses.</w:t>
      </w:r>
    </w:p>
    <w:p w14:paraId="48D6BF24" w14:textId="77777777" w:rsidR="00890DC1" w:rsidRPr="006C5859" w:rsidRDefault="00890DC1" w:rsidP="00890DC1">
      <w:r w:rsidRPr="006C5859">
        <w:t>In constructing the DVA dataset for the Military and Veteran Research Study Roll, DVA created an indicator for assessing confidence in the accuracy of veterans’ address details, based on the level of DVA’s interaction with each veteran. Each of the following groups were considered a DVA client:</w:t>
      </w:r>
    </w:p>
    <w:p w14:paraId="716F9F38" w14:textId="77777777" w:rsidR="00FC0D42" w:rsidRPr="006C5859" w:rsidRDefault="00FC0D42" w:rsidP="00FC0D42">
      <w:pPr>
        <w:pStyle w:val="Bullet"/>
        <w:numPr>
          <w:ilvl w:val="0"/>
          <w:numId w:val="3"/>
        </w:numPr>
        <w:ind w:left="360"/>
        <w:rPr>
          <w:rFonts w:asciiTheme="majorHAnsi" w:hAnsiTheme="majorHAnsi"/>
        </w:rPr>
      </w:pPr>
      <w:r w:rsidRPr="006C5859">
        <w:t xml:space="preserve">High – where a veteran is in receipt of a fortnightly payment (such as income support or compensation pension) from DVA it was a sign of regular ongoing contact with the client and therefore DVA would have a high level of confidence that their address would be up to date and correct. </w:t>
      </w:r>
    </w:p>
    <w:p w14:paraId="623C0AB2" w14:textId="77777777" w:rsidR="00FC0D42" w:rsidRPr="006C5859" w:rsidRDefault="00FC0D42" w:rsidP="00FC0D42">
      <w:pPr>
        <w:pStyle w:val="Bullet"/>
        <w:numPr>
          <w:ilvl w:val="0"/>
          <w:numId w:val="3"/>
        </w:numPr>
        <w:ind w:left="360"/>
        <w:rPr>
          <w:rFonts w:asciiTheme="majorHAnsi" w:hAnsiTheme="majorHAnsi"/>
        </w:rPr>
      </w:pPr>
      <w:r w:rsidRPr="006C5859">
        <w:t>Medium – where a veteran only holds a treatment card (i.e., does not also have an ongoing payment) there is a lower level of ongoing contact with the Department and therefore the level of confidence that DVA can assign to the accuracy of the client’s address is lower.</w:t>
      </w:r>
    </w:p>
    <w:p w14:paraId="34734979" w14:textId="77777777" w:rsidR="00FC0D42" w:rsidRPr="006C5859" w:rsidRDefault="00FC0D42" w:rsidP="00FC0D42">
      <w:pPr>
        <w:pStyle w:val="Bullet"/>
        <w:numPr>
          <w:ilvl w:val="0"/>
          <w:numId w:val="3"/>
        </w:numPr>
        <w:ind w:left="360"/>
      </w:pPr>
      <w:r w:rsidRPr="006C5859">
        <w:t xml:space="preserve">Low – not all veterans who have their illness/injury liability claim accepted as service-related by DVA automatically receive a treatment card or pension payment; however they would still be considered DVA clients. </w:t>
      </w:r>
    </w:p>
    <w:p w14:paraId="45D675A2" w14:textId="77777777" w:rsidR="00FC0D42" w:rsidRPr="006C5859" w:rsidRDefault="00FC0D42" w:rsidP="00FC0D42">
      <w:r w:rsidRPr="006C5859">
        <w:t>For the purposes of this report, any individual in the study population who met the criteria above was flagged as a ‘DVA Client’. Those with this flag were compared against those without this flag.</w:t>
      </w:r>
    </w:p>
    <w:p w14:paraId="4F6B970D" w14:textId="1E52A0AC" w:rsidR="00FC0D42" w:rsidRPr="006C5859" w:rsidRDefault="00FC0D42" w:rsidP="00FC0D42">
      <w:r w:rsidRPr="006C5859">
        <w:rPr>
          <w:b/>
        </w:rPr>
        <w:t>Dysthymia</w:t>
      </w:r>
      <w:r w:rsidR="006C5859" w:rsidRPr="006C5859">
        <w:rPr>
          <w:b/>
        </w:rPr>
        <w:t>.</w:t>
      </w:r>
      <w:r w:rsidRPr="006C5859">
        <w:t xml:space="preserve"> Characterised as a chronic or pervasive disturbance of mood lasting several years that is not sufficiently severe or in which the depressive episodes are not sufficiently prolonged to warrant a diagnosis of a recurrent depressive disorder. </w:t>
      </w:r>
      <w:r w:rsidRPr="006C5859">
        <w:rPr>
          <w:rFonts w:cs="@필기체"/>
        </w:rPr>
        <w:t>Hierarchy rules were applied to dysthymia such that in order to have this disorder a person could not have met criteria for either a hypomanic or manic episode and could not have reported episodes of severe or moderate depression within the first two years of dysthymia.</w:t>
      </w:r>
    </w:p>
    <w:p w14:paraId="6D8EA756" w14:textId="12A81F8B" w:rsidR="00FC0D42" w:rsidRPr="006C5859" w:rsidRDefault="00FC0D42" w:rsidP="00FC0D42">
      <w:r w:rsidRPr="006C5859">
        <w:rPr>
          <w:b/>
        </w:rPr>
        <w:t>Ex-service organisation (ESO)</w:t>
      </w:r>
      <w:r w:rsidR="006C5859" w:rsidRPr="006C5859">
        <w:rPr>
          <w:b/>
        </w:rPr>
        <w:t>.</w:t>
      </w:r>
      <w:r w:rsidRPr="006C5859">
        <w:t xml:space="preserve"> Organisations that provide assistance to current and former ADF members. Services can include but are not necessarily limited to welfare support, help with DVA claims, and employment programs and social support.</w:t>
      </w:r>
    </w:p>
    <w:p w14:paraId="14B67160" w14:textId="77777777" w:rsidR="00FC0D42" w:rsidRPr="006C5859" w:rsidRDefault="00FC0D42" w:rsidP="00FC0D42">
      <w:r w:rsidRPr="006C5859">
        <w:rPr>
          <w:b/>
        </w:rPr>
        <w:t xml:space="preserve">Generalised anxiety disorder (GAD) </w:t>
      </w:r>
      <w:r w:rsidRPr="006C5859">
        <w:t>–</w:t>
      </w:r>
      <w:r w:rsidRPr="006C5859">
        <w:rPr>
          <w:b/>
        </w:rPr>
        <w:t xml:space="preserve"> </w:t>
      </w:r>
      <w:r w:rsidRPr="006C5859">
        <w:t>A generalised and persistent worry, anxiety or apprehension about everyday events and activities lasting a minimum of six months that is accompanied by anxiety symptoms as described in ‘agoraphobia’. Other symptoms may include symptoms of tension, such as inability to relax and muscle tension, and other non-specific symptoms, such as irritability and difficulty in concentrating.</w:t>
      </w:r>
    </w:p>
    <w:p w14:paraId="36282F57" w14:textId="7CFB73F9" w:rsidR="00FC0D42" w:rsidRPr="006C5859" w:rsidRDefault="00FC0D42" w:rsidP="00FC0D42">
      <w:r w:rsidRPr="006C5859">
        <w:rPr>
          <w:b/>
        </w:rPr>
        <w:t>Generalised Anxiety Disorder 7-item Scale (GAD-7)</w:t>
      </w:r>
      <w:r w:rsidR="006C5859" w:rsidRPr="006C5859">
        <w:rPr>
          <w:b/>
        </w:rPr>
        <w:t>.</w:t>
      </w:r>
      <w:r w:rsidRPr="006C5859">
        <w:t xml:space="preserve"> A brief seven-item screening measure based on the </w:t>
      </w:r>
      <w:r w:rsidRPr="006C5859">
        <w:rPr>
          <w:i/>
        </w:rPr>
        <w:t>Diagnostic and Statistical Manual of Mental Disorders – Fourth Edition</w:t>
      </w:r>
      <w:r w:rsidRPr="006C5859">
        <w:t xml:space="preserve"> (DSM-IV) criteria for generalised anxiety disorder. Originally validated for use in primary care, the GAD-7 performs well in detecting probable cases of the disorder, </w:t>
      </w:r>
      <w:r w:rsidRPr="006C5859">
        <w:rPr>
          <w:rFonts w:cs="Arial"/>
        </w:rPr>
        <w:t>with a sensitivity of 89% and a specificity of 82%.</w:t>
      </w:r>
    </w:p>
    <w:p w14:paraId="3EACF0AD" w14:textId="7AFDDED3" w:rsidR="00FC0D42" w:rsidRPr="006C5859" w:rsidRDefault="00FC0D42" w:rsidP="00FC0D42">
      <w:r w:rsidRPr="006C5859">
        <w:rPr>
          <w:b/>
        </w:rPr>
        <w:t>Gold Card</w:t>
      </w:r>
      <w:r w:rsidR="006C5859" w:rsidRPr="006C5859">
        <w:rPr>
          <w:b/>
        </w:rPr>
        <w:t>.</w:t>
      </w:r>
      <w:r w:rsidRPr="006C5859">
        <w:t xml:space="preserve"> A </w:t>
      </w:r>
      <w:r w:rsidRPr="006C5859">
        <w:rPr>
          <w:bCs/>
        </w:rPr>
        <w:t xml:space="preserve">DVA health card for all conditions. </w:t>
      </w:r>
      <w:r w:rsidRPr="006C5859">
        <w:t>Gold Card holders are entitled to DVA funding for services for all clinically necessary healthcare needs and all health conditions, whether or not they are related to war service. The card holder may be a veteran or the widow/widower or dependant of a veteran. Only the person named on the card is covered.</w:t>
      </w:r>
    </w:p>
    <w:p w14:paraId="0B99EF0C" w14:textId="7690AF64" w:rsidR="00FC0D42" w:rsidRPr="006C5859" w:rsidRDefault="00FC0D42" w:rsidP="00FC0D42">
      <w:pPr>
        <w:rPr>
          <w:b/>
        </w:rPr>
      </w:pPr>
      <w:r w:rsidRPr="006C5859">
        <w:rPr>
          <w:b/>
        </w:rPr>
        <w:t>Help-seeking latency</w:t>
      </w:r>
      <w:r w:rsidR="006C5859">
        <w:rPr>
          <w:b/>
        </w:rPr>
        <w:t>.</w:t>
      </w:r>
      <w:r w:rsidRPr="006C5859">
        <w:rPr>
          <w:b/>
        </w:rPr>
        <w:t xml:space="preserve"> </w:t>
      </w:r>
      <w:r w:rsidRPr="006C5859">
        <w:t xml:space="preserve">The delay in time between first becoming concerned about a health problem and first seeking help for that problem. To assess </w:t>
      </w:r>
      <w:bookmarkStart w:id="1580" w:name="_Hlk489449686"/>
      <w:r w:rsidRPr="006C5859">
        <w:t xml:space="preserve">help-seeking latency </w:t>
      </w:r>
      <w:bookmarkEnd w:id="1580"/>
      <w:r w:rsidRPr="006C5859">
        <w:t>in the study, participants were asked to indicate when they first sought help for their own mental health. Options included ‘within three months of becoming concerned’ or ‘within one year of becoming concerned’. Alternatively, participants were able to specify the number of years since becoming concerned. This item was developed by researchers for use in the study.</w:t>
      </w:r>
    </w:p>
    <w:p w14:paraId="2B745CCD" w14:textId="495E09A1" w:rsidR="00FC0D42" w:rsidRPr="006C5859" w:rsidRDefault="00FC0D42" w:rsidP="00FC0D42">
      <w:pPr>
        <w:rPr>
          <w:b/>
        </w:rPr>
      </w:pPr>
      <w:r w:rsidRPr="006C5859">
        <w:rPr>
          <w:b/>
        </w:rPr>
        <w:t>Hypomanic episodes</w:t>
      </w:r>
      <w:r w:rsidR="006C5859">
        <w:rPr>
          <w:b/>
        </w:rPr>
        <w:t>.</w:t>
      </w:r>
      <w:r w:rsidRPr="006C5859">
        <w:t xml:space="preserve"> Episodes that last at least four consecutive days and are considered abnormal to the individual. These episodes are characterised by increased activity, talkativeness, elevated mood, disrupted concentration, decreased need for sleep and disrupted judgment, manifesting as risk-taking (for example, mild spending sprees). In a subgroup of people, these disorders are particularly characterised by irritability. </w:t>
      </w:r>
      <w:r w:rsidRPr="006C5859">
        <w:rPr>
          <w:rFonts w:cs="@필기체"/>
        </w:rPr>
        <w:t xml:space="preserve">To meet criteria for the ‘with hierarchy’ </w:t>
      </w:r>
      <w:r w:rsidRPr="006C5859">
        <w:t>version</w:t>
      </w:r>
      <w:r w:rsidRPr="006C5859">
        <w:rPr>
          <w:rFonts w:cs="@필기체"/>
        </w:rPr>
        <w:t>, the person cannot have met criteria for an episode of mania.</w:t>
      </w:r>
    </w:p>
    <w:p w14:paraId="2A18FC37" w14:textId="4B9E73B4" w:rsidR="00FC0D42" w:rsidRPr="006C5859" w:rsidRDefault="00FC0D42" w:rsidP="00FC0D42">
      <w:pPr>
        <w:rPr>
          <w:rFonts w:eastAsia="MS ??"/>
          <w:b/>
        </w:rPr>
      </w:pPr>
      <w:r w:rsidRPr="006C5859">
        <w:rPr>
          <w:rFonts w:eastAsia="MS ??"/>
          <w:b/>
        </w:rPr>
        <w:t>Kessler Psychological Distress Scale (K10)</w:t>
      </w:r>
      <w:r w:rsidR="006C5859">
        <w:rPr>
          <w:rFonts w:eastAsia="MS ??"/>
          <w:b/>
        </w:rPr>
        <w:t>.</w:t>
      </w:r>
      <w:r w:rsidRPr="006C5859">
        <w:rPr>
          <w:rFonts w:eastAsia="MS ??"/>
        </w:rPr>
        <w:t xml:space="preserve"> </w:t>
      </w:r>
      <w:r w:rsidRPr="006C5859">
        <w:t xml:space="preserve">A short 10-item screening questionnaire that yields a global measure of psychological distress based on symptoms of anxiety and depression experienced in the most recent four-week period. Items are scored from 1 to 5 and are summed to give a total score between 10 and 50. Various methods have been used to stratify the scores of the K10. The categories of low (10–15), moderate (16–21), high (22–29) and very high (30–50) that are used in this report are derived from the cut-offs of the K10 that were used in the 2007 Australian Bureau of Statistics National Survey of Mental Health and Wellbeing </w:t>
      </w:r>
      <w:r w:rsidRPr="006C5859">
        <w:rPr>
          <w:noProof/>
        </w:rPr>
        <w:t>(Slade et al., 2009)</w:t>
      </w:r>
      <w:r w:rsidRPr="006C5859">
        <w:t>.</w:t>
      </w:r>
    </w:p>
    <w:p w14:paraId="1B90985C" w14:textId="3462E888" w:rsidR="00FC0D42" w:rsidRPr="006C5859" w:rsidRDefault="00FC0D42" w:rsidP="00FC0D42">
      <w:r w:rsidRPr="006C5859">
        <w:rPr>
          <w:b/>
        </w:rPr>
        <w:t>Lifetime prevalence</w:t>
      </w:r>
      <w:r w:rsidR="006C5859">
        <w:rPr>
          <w:b/>
        </w:rPr>
        <w:t>.</w:t>
      </w:r>
      <w:r w:rsidRPr="006C5859">
        <w:t xml:space="preserve"> A prevalence that meets diagnostic criteria for a mental disorder at any point in the respondent’s lifetime.</w:t>
      </w:r>
    </w:p>
    <w:p w14:paraId="1531B4C0" w14:textId="064BBCEF" w:rsidR="00FC0D42" w:rsidRPr="006C5859" w:rsidRDefault="00FC0D42" w:rsidP="00FC0D42">
      <w:pPr>
        <w:rPr>
          <w:b/>
        </w:rPr>
      </w:pPr>
      <w:r w:rsidRPr="006C5859">
        <w:rPr>
          <w:b/>
        </w:rPr>
        <w:t>Lifetime trauma</w:t>
      </w:r>
      <w:r w:rsidR="006C5859">
        <w:rPr>
          <w:b/>
        </w:rPr>
        <w:t>.</w:t>
      </w:r>
      <w:r w:rsidRPr="006C5859">
        <w:t xml:space="preserve"> Exposure questions used in this study were drawn from the posttraumatic stress disorder module of the CIDI </w:t>
      </w:r>
      <w:r w:rsidRPr="006C5859">
        <w:rPr>
          <w:noProof/>
        </w:rPr>
        <w:t>(Haro et al., 2006)</w:t>
      </w:r>
      <w:r w:rsidRPr="006C5859">
        <w:t>.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automobile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14:paraId="2EEFED7D" w14:textId="47D5C042" w:rsidR="00FC0D42" w:rsidRPr="006C5859" w:rsidRDefault="00FC0D42" w:rsidP="00FC0D42">
      <w:r w:rsidRPr="006C5859">
        <w:rPr>
          <w:b/>
        </w:rPr>
        <w:t>Mania</w:t>
      </w:r>
      <w:r w:rsidR="006C5859">
        <w:rPr>
          <w:b/>
        </w:rPr>
        <w:t>.</w:t>
      </w:r>
      <w:r w:rsidRPr="006C5859">
        <w:t xml:space="preserve"> Similar to hypomania but more severe in nature. Lasting slightly longer (a minimum of a week), these episodes often lead to severe interference with personal functioning. In addition to the symptoms outlined under ‘hypomania’, mania is often associated with feelings of grandiosity, marked sexual indiscretions and racing thoughts.</w:t>
      </w:r>
    </w:p>
    <w:p w14:paraId="45768FAE" w14:textId="08A2C38A" w:rsidR="00FC0D42" w:rsidRPr="006C5859" w:rsidRDefault="00FC0D42" w:rsidP="00FC0D42">
      <w:r w:rsidRPr="006C5859">
        <w:rPr>
          <w:b/>
        </w:rPr>
        <w:t>Medical Employment Classification (MEC)</w:t>
      </w:r>
      <w:r w:rsidR="006C5859">
        <w:rPr>
          <w:b/>
        </w:rPr>
        <w:t>.</w:t>
      </w:r>
      <w:r w:rsidRPr="006C5859">
        <w:t xml:space="preserve"> An administrative process designed to monitor physical fitness and medical standards in the ADF. MEC was divided into four levels (either current or on discharge from Regular ADF service):</w:t>
      </w:r>
    </w:p>
    <w:p w14:paraId="7072D3AF" w14:textId="77777777" w:rsidR="00FC0D42" w:rsidRPr="006C5859" w:rsidRDefault="00FC0D42" w:rsidP="00FC0D42">
      <w:pPr>
        <w:pStyle w:val="Bullet"/>
        <w:numPr>
          <w:ilvl w:val="0"/>
          <w:numId w:val="3"/>
        </w:numPr>
        <w:ind w:left="360"/>
        <w:rPr>
          <w:lang w:eastAsia="en-AU"/>
        </w:rPr>
      </w:pPr>
      <w:r w:rsidRPr="006C5859">
        <w:rPr>
          <w:b/>
          <w:lang w:eastAsia="en-AU"/>
        </w:rPr>
        <w:t>MEC 1:</w:t>
      </w:r>
      <w:r w:rsidRPr="006C5859">
        <w:rPr>
          <w:b/>
        </w:rPr>
        <w:t xml:space="preserve"> </w:t>
      </w:r>
      <w:r w:rsidRPr="006C5859">
        <w:rPr>
          <w:lang w:eastAsia="en-AU"/>
        </w:rPr>
        <w:t xml:space="preserve">Members who are medically fit for employment in a deployed or seagoing environment without restriction. </w:t>
      </w:r>
    </w:p>
    <w:p w14:paraId="002FD9BD" w14:textId="77777777" w:rsidR="00FC0D42" w:rsidRPr="006C5859" w:rsidRDefault="00FC0D42" w:rsidP="00FC0D42">
      <w:pPr>
        <w:pStyle w:val="Bullet"/>
        <w:numPr>
          <w:ilvl w:val="0"/>
          <w:numId w:val="3"/>
        </w:numPr>
        <w:ind w:left="360"/>
        <w:rPr>
          <w:lang w:eastAsia="en-AU"/>
        </w:rPr>
      </w:pPr>
      <w:r w:rsidRPr="006C5859">
        <w:rPr>
          <w:b/>
          <w:lang w:eastAsia="en-AU"/>
        </w:rPr>
        <w:t>MEC 2:</w:t>
      </w:r>
      <w:r w:rsidRPr="006C5859">
        <w:rPr>
          <w:b/>
        </w:rPr>
        <w:t xml:space="preserve"> </w:t>
      </w:r>
      <w:r w:rsidRPr="006C5859">
        <w:rPr>
          <w:lang w:eastAsia="en-AU"/>
        </w:rPr>
        <w:t>Members with medical conditions that require access to various levels of medical support or employment restrictions. However, they remain medically fit for duty in their occupation in a deployed or seagoing environment. In allocating sub-classifications of MEC 2, access to the level of medical support will always take precedence over specified employment restrictions.</w:t>
      </w:r>
    </w:p>
    <w:p w14:paraId="46C0D032" w14:textId="77777777" w:rsidR="00FC0D42" w:rsidRPr="006C5859" w:rsidRDefault="00FC0D42" w:rsidP="00FC0D42">
      <w:pPr>
        <w:pStyle w:val="Bullet"/>
        <w:numPr>
          <w:ilvl w:val="0"/>
          <w:numId w:val="3"/>
        </w:numPr>
        <w:ind w:left="360"/>
        <w:rPr>
          <w:lang w:eastAsia="en-AU"/>
        </w:rPr>
      </w:pPr>
      <w:r w:rsidRPr="006C5859">
        <w:rPr>
          <w:b/>
          <w:lang w:eastAsia="en-AU"/>
        </w:rPr>
        <w:t>MEC 3:</w:t>
      </w:r>
      <w:r w:rsidRPr="006C5859">
        <w:rPr>
          <w:b/>
        </w:rPr>
        <w:t xml:space="preserve"> </w:t>
      </w:r>
      <w:r w:rsidRPr="006C5859">
        <w:rPr>
          <w:lang w:eastAsia="en-AU"/>
        </w:rPr>
        <w:t xml:space="preserve">Members who are medically unfit for duty in their occupation in a deployed or seagoing environment. The member so classified should be medically managed towards recovery and should be receiving active medical management with the intention of regaining MEC 1 or 2 within 12 months of allocation of MEC 3. After a maximum of 12 months their MEC is to be reviewed. If still medically unfit for military duties in any operational environment, they are to be downgraded to MEC 4 or, if appropriate, referred to a </w:t>
      </w:r>
      <w:bookmarkStart w:id="1581" w:name="_Hlk489452661"/>
      <w:r w:rsidRPr="006C5859">
        <w:rPr>
          <w:lang w:eastAsia="en-AU"/>
        </w:rPr>
        <w:t xml:space="preserve">Medical Employment Classification Review Board </w:t>
      </w:r>
      <w:bookmarkEnd w:id="1581"/>
      <w:r w:rsidRPr="006C5859">
        <w:rPr>
          <w:lang w:eastAsia="en-AU"/>
        </w:rPr>
        <w:t>(MECRB) for consideration of an extension to remain MEC 3.</w:t>
      </w:r>
    </w:p>
    <w:p w14:paraId="6DFFF244" w14:textId="77777777" w:rsidR="00FC0D42" w:rsidRPr="006C5859" w:rsidRDefault="00FC0D42" w:rsidP="00FC0D42">
      <w:pPr>
        <w:pStyle w:val="Bullet"/>
        <w:numPr>
          <w:ilvl w:val="0"/>
          <w:numId w:val="3"/>
        </w:numPr>
        <w:ind w:left="360"/>
      </w:pPr>
      <w:r w:rsidRPr="006C5859">
        <w:rPr>
          <w:b/>
        </w:rPr>
        <w:t xml:space="preserve">MEC 4: </w:t>
      </w:r>
      <w:r w:rsidRPr="006C5859">
        <w:t>Members who are medically unfit for deployment or seagoing service in the long term. Members who are classified as MEC 4 for their military occupation will be subject to review and confirmation of their classification by an MECRB.</w:t>
      </w:r>
    </w:p>
    <w:p w14:paraId="0EFE1CB5" w14:textId="64E6B121" w:rsidR="00FC0D42" w:rsidRPr="006C5859" w:rsidRDefault="00FC0D42" w:rsidP="00FC0D42">
      <w:pPr>
        <w:rPr>
          <w:rFonts w:asciiTheme="majorHAnsi" w:hAnsiTheme="majorHAnsi"/>
          <w:b/>
        </w:rPr>
      </w:pPr>
      <w:r w:rsidRPr="006C5859">
        <w:rPr>
          <w:b/>
        </w:rPr>
        <w:t>Medical fitness</w:t>
      </w:r>
      <w:r w:rsidR="006C5859">
        <w:rPr>
          <w:b/>
        </w:rPr>
        <w:t>.</w:t>
      </w:r>
      <w:r w:rsidRPr="006C5859">
        <w:t xml:space="preserve"> A status defined as:</w:t>
      </w:r>
    </w:p>
    <w:p w14:paraId="45A004ED" w14:textId="77777777" w:rsidR="00FC0D42" w:rsidRPr="006C5859" w:rsidRDefault="00FC0D42" w:rsidP="00FC0D42">
      <w:pPr>
        <w:pStyle w:val="Bullet"/>
        <w:numPr>
          <w:ilvl w:val="0"/>
          <w:numId w:val="3"/>
        </w:numPr>
        <w:ind w:left="360"/>
        <w:rPr>
          <w:b/>
        </w:rPr>
      </w:pPr>
      <w:r w:rsidRPr="006C5859">
        <w:rPr>
          <w:b/>
        </w:rPr>
        <w:t>Fit:</w:t>
      </w:r>
      <w:r w:rsidRPr="006C5859">
        <w:t xml:space="preserve"> Those who are categorised as fully employable and deployable, or deployable with restrictions. Participants are classified as ‘fit’ if they fall into MEC 1 or 2 as described above, or are assigned a perturbed MEC value of ‘fit’. </w:t>
      </w:r>
    </w:p>
    <w:p w14:paraId="26E9C247" w14:textId="77777777" w:rsidR="00FC0D42" w:rsidRPr="006C5859" w:rsidRDefault="00FC0D42" w:rsidP="00FC0D42">
      <w:pPr>
        <w:pStyle w:val="Bullet"/>
        <w:numPr>
          <w:ilvl w:val="0"/>
          <w:numId w:val="3"/>
        </w:numPr>
        <w:ind w:left="360"/>
        <w:rPr>
          <w:b/>
        </w:rPr>
      </w:pPr>
      <w:r w:rsidRPr="006C5859">
        <w:rPr>
          <w:b/>
        </w:rPr>
        <w:t xml:space="preserve">Unfit: </w:t>
      </w:r>
      <w:r w:rsidRPr="006C5859">
        <w:t>Those not fit for deployment, their original occupation and/or further service. This can include those undergoing rehabilitation or transitioning to alternative return-to-work arrangements or in the process of medically separating from the ADF. Participants were classified as ‘unfit’ if they fell into MEC 3 or 4 as described above OR were assigned a perturbed MEC value of Unfitu.</w:t>
      </w:r>
    </w:p>
    <w:p w14:paraId="70CEF0E3" w14:textId="2A35471F" w:rsidR="00FC0D42" w:rsidRPr="006C5859" w:rsidRDefault="00FC0D42" w:rsidP="00FC0D42">
      <w:pPr>
        <w:rPr>
          <w:b/>
        </w:rPr>
      </w:pPr>
      <w:r w:rsidRPr="006C5859">
        <w:rPr>
          <w:b/>
        </w:rPr>
        <w:t>Medical discharge</w:t>
      </w:r>
      <w:r w:rsidR="006C5859">
        <w:rPr>
          <w:b/>
        </w:rPr>
        <w:t>.</w:t>
      </w:r>
      <w:r w:rsidRPr="006C5859">
        <w:t xml:space="preserve"> The involuntary termination of the client’s employment by the ADF on the grounds of permanent or at least long-term unfitness to serve, or unfitness for deployment to operational (war-like) service.</w:t>
      </w:r>
    </w:p>
    <w:p w14:paraId="4DFC1F2A" w14:textId="681A410B" w:rsidR="00FC0D42" w:rsidRPr="006C5859" w:rsidRDefault="00FC0D42" w:rsidP="00FC0D42">
      <w:bookmarkStart w:id="1582" w:name="_Hlk520814740"/>
      <w:r w:rsidRPr="006C5859">
        <w:rPr>
          <w:b/>
        </w:rPr>
        <w:t>Mental disorders</w:t>
      </w:r>
      <w:r w:rsidR="006C5859" w:rsidRPr="006C5859">
        <w:rPr>
          <w:b/>
        </w:rPr>
        <w:t>.</w:t>
      </w:r>
      <w:r w:rsidR="006C5859">
        <w:t xml:space="preserve"> </w:t>
      </w:r>
      <w:r w:rsidRPr="006C5859">
        <w:t>Defined according to the detailed diagnostic criteria within the World Health Organization International Classification of Diseases. This publication reports data for ICD-10 criteria.</w:t>
      </w:r>
    </w:p>
    <w:bookmarkEnd w:id="1582"/>
    <w:p w14:paraId="5C445AE8" w14:textId="308DBA86" w:rsidR="00FC0D42" w:rsidRPr="006C5859" w:rsidRDefault="00FC0D42" w:rsidP="00FC0D42">
      <w:r w:rsidRPr="006C5859">
        <w:rPr>
          <w:b/>
        </w:rPr>
        <w:t>Mental Health Prevalence and Wellbeing Study (MHPWS)</w:t>
      </w:r>
      <w:r w:rsidR="006C5859">
        <w:rPr>
          <w:b/>
        </w:rPr>
        <w:t>.</w:t>
      </w:r>
      <w:r w:rsidRPr="006C5859">
        <w:rPr>
          <w:b/>
        </w:rPr>
        <w:t xml:space="preserve"> </w:t>
      </w:r>
      <w:r w:rsidRPr="006C5859">
        <w:t xml:space="preserve">The 2010 study is part of the </w:t>
      </w:r>
      <w:bookmarkStart w:id="1583" w:name="_Hlk489455109"/>
      <w:r w:rsidRPr="006C5859">
        <w:t>Military Health Outcomes Program (MilHOP)</w:t>
      </w:r>
      <w:bookmarkEnd w:id="1583"/>
      <w:r w:rsidRPr="006C5859">
        <w:t xml:space="preserve">, the first comprehensive investigation of the mental health of serving ADF members. </w:t>
      </w:r>
    </w:p>
    <w:p w14:paraId="45606F84" w14:textId="5D784361" w:rsidR="00FC0D42" w:rsidRPr="006C5859" w:rsidRDefault="00FC0D42" w:rsidP="00FC0D42">
      <w:pPr>
        <w:rPr>
          <w:b/>
        </w:rPr>
      </w:pPr>
      <w:r w:rsidRPr="006C5859">
        <w:rPr>
          <w:b/>
        </w:rPr>
        <w:t>Middle East Area of Operations (MEAO)</w:t>
      </w:r>
      <w:r w:rsidR="006C5859">
        <w:rPr>
          <w:b/>
        </w:rPr>
        <w:t>.</w:t>
      </w:r>
      <w:r w:rsidRPr="006C5859">
        <w:rPr>
          <w:b/>
        </w:rPr>
        <w:t xml:space="preserve"> </w:t>
      </w:r>
      <w:r w:rsidRPr="006C5859">
        <w:t xml:space="preserve">Australia’s military involvement in Afghanistan and Iraq is often referred to as the Middle East Area of Operations. Thousands of members have been deployed to the MEAO since 2001, with many completing multiple tours of duty. The Transition and Wellbeing Research Programme will build upon the Military Health Outcomes Program, which sought to </w:t>
      </w:r>
      <w:r w:rsidRPr="006C5859">
        <w:rPr>
          <w:lang w:val="en"/>
        </w:rPr>
        <w:t>determine the impact of operational deployment on the health and wellbeing of service men and women.</w:t>
      </w:r>
    </w:p>
    <w:p w14:paraId="1FA2F0C0" w14:textId="4E595EEC" w:rsidR="00FC0D42" w:rsidRPr="006C5859" w:rsidRDefault="00FC0D42" w:rsidP="00FC0D42">
      <w:r w:rsidRPr="006C5859">
        <w:rPr>
          <w:b/>
        </w:rPr>
        <w:t>Military Health Outcomes Program (MilHOP)</w:t>
      </w:r>
      <w:r w:rsidR="006C5859">
        <w:rPr>
          <w:b/>
        </w:rPr>
        <w:t>.</w:t>
      </w:r>
      <w:r w:rsidRPr="006C5859">
        <w:rPr>
          <w:b/>
        </w:rPr>
        <w:t xml:space="preserve"> </w:t>
      </w:r>
      <w:r w:rsidRPr="006C5859">
        <w:t>MilHOP detailed the prevalence of mental disorders among serving ADF members in 2010 as well as deployment-related health issues for those deployed to the Middle East Area of Operations. The Transition and Wellbeing Research Programme will address a number of gaps identified following MilHOP, including the mental health of Reservists, ex-serving members and ADF members in high-risk roles, as well as the trajectory of disorder and pathways to care for individuals previously identified with a mental disorder in 2010.</w:t>
      </w:r>
    </w:p>
    <w:p w14:paraId="48FAA867" w14:textId="703634F8" w:rsidR="00FC0D42" w:rsidRPr="006C5859" w:rsidRDefault="00FC0D42" w:rsidP="00FC0D42">
      <w:r w:rsidRPr="006C5859">
        <w:rPr>
          <w:b/>
        </w:rPr>
        <w:t>National Death Index (NDI)</w:t>
      </w:r>
      <w:r w:rsidR="006C5859">
        <w:rPr>
          <w:b/>
        </w:rPr>
        <w:t>.</w:t>
      </w:r>
      <w:r w:rsidRPr="006C5859">
        <w:t xml:space="preserve"> A Commonwealth database that contains records of deaths registered in Australia since 1980. Data comes from the Registry of Births, Deaths and Marriages in each jurisdiction, the National Coronial Information System and the Australian Bureau of Statistics. Before contacting participants, the Study Roll was cross-checked against the NDI to ensure we did not attempt to approach deceased members.</w:t>
      </w:r>
    </w:p>
    <w:p w14:paraId="531B492A" w14:textId="0E364177" w:rsidR="00FC0D42" w:rsidRPr="006C5859" w:rsidRDefault="00FC0D42" w:rsidP="00FC0D42">
      <w:r w:rsidRPr="006C5859">
        <w:rPr>
          <w:b/>
        </w:rPr>
        <w:t>National Health and Medical Research Council (NHMRC)</w:t>
      </w:r>
      <w:r w:rsidR="006C5859" w:rsidRPr="006C5859">
        <w:rPr>
          <w:b/>
        </w:rPr>
        <w:t>.</w:t>
      </w:r>
      <w:r w:rsidRPr="006C5859">
        <w:t xml:space="preserve"> Australia’s peak funding body for medical research. The NHMRC has funded previous investigations undertaken by the Centre </w:t>
      </w:r>
      <w:r w:rsidRPr="006C5859">
        <w:rPr>
          <w:rFonts w:cs="Calibri"/>
        </w:rPr>
        <w:t>for Traumatic Stress Studies</w:t>
      </w:r>
      <w:r w:rsidRPr="006C5859">
        <w:t>.</w:t>
      </w:r>
    </w:p>
    <w:p w14:paraId="58D2B09D" w14:textId="49BB60B9" w:rsidR="00FC0D42" w:rsidRPr="006C5859" w:rsidRDefault="00FC0D42" w:rsidP="00FC0D42">
      <w:pPr>
        <w:rPr>
          <w:rFonts w:cs="@필기체"/>
        </w:rPr>
      </w:pPr>
      <w:r w:rsidRPr="006C5859">
        <w:rPr>
          <w:rFonts w:cs="@필기체"/>
          <w:b/>
        </w:rPr>
        <w:t>National Health Survey (NHS)</w:t>
      </w:r>
      <w:r w:rsidR="006C5859">
        <w:rPr>
          <w:rFonts w:cs="@필기체"/>
          <w:b/>
        </w:rPr>
        <w:t>.</w:t>
      </w:r>
      <w:r w:rsidRPr="006C5859">
        <w:rPr>
          <w:rFonts w:cs="@필기체"/>
        </w:rPr>
        <w:t xml:space="preserve"> The </w:t>
      </w:r>
      <w:r w:rsidRPr="006C5859">
        <w:t>2014–15 National Health Survey is the most recent in a series of Australia-wide ABS health surveys, assessing various aspects of the health of Australians, including long-term health conditions, health risk factors, and health service use.</w:t>
      </w:r>
    </w:p>
    <w:p w14:paraId="25CE6781" w14:textId="463387D2" w:rsidR="00FC0D42" w:rsidRPr="006C5859" w:rsidRDefault="00FC0D42" w:rsidP="00FC0D42">
      <w:r w:rsidRPr="006C5859">
        <w:rPr>
          <w:b/>
        </w:rPr>
        <w:t>Obsessive-compulsive disorder (OCD)</w:t>
      </w:r>
      <w:r w:rsidR="006C5859">
        <w:rPr>
          <w:b/>
        </w:rPr>
        <w:t>.</w:t>
      </w:r>
      <w:r w:rsidRPr="006C5859">
        <w:t xml:space="preserve"> A disorder characterised by obsessional thoughts (ideas, images, impulses) or compulsive acts (ritualised behaviour). These thoughts and acts are often distressing and typically cannot be avoided, despite the sufferer recognising their ineffectiveness.</w:t>
      </w:r>
    </w:p>
    <w:p w14:paraId="7A658BFD" w14:textId="5B137063" w:rsidR="00FC0D42" w:rsidRPr="006C5859" w:rsidRDefault="00FC0D42" w:rsidP="00FC0D42">
      <w:bookmarkStart w:id="1584" w:name="_Hlk520814799"/>
      <w:r w:rsidRPr="006C5859">
        <w:rPr>
          <w:b/>
        </w:rPr>
        <w:t>Optimal epidemiological cut-off</w:t>
      </w:r>
      <w:r w:rsidR="006C5859">
        <w:rPr>
          <w:b/>
        </w:rPr>
        <w:t>.</w:t>
      </w:r>
      <w:r w:rsidRPr="006C5859">
        <w:t xml:space="preserve"> The value that brings the number of false positives (mistaken identifications of a disorder) and false negatives (missed identifications of a disorder) closest together, thereby counterbalancing these sources of error most accurately. Therefore, this cut-off would give the closest estimate to the true prevalence of a 30-day ICD-10 disorder as measured by the CIDI and should be used to monitor disorder trends.</w:t>
      </w:r>
    </w:p>
    <w:p w14:paraId="24B857BB" w14:textId="188A549F" w:rsidR="00FC0D42" w:rsidRPr="006C5859" w:rsidRDefault="00FC0D42" w:rsidP="00FC0D42">
      <w:pPr>
        <w:rPr>
          <w:b/>
        </w:rPr>
      </w:pPr>
      <w:r w:rsidRPr="006C5859">
        <w:rPr>
          <w:b/>
        </w:rPr>
        <w:t>Optimal screening cut-off</w:t>
      </w:r>
      <w:r w:rsidR="006C5859">
        <w:rPr>
          <w:b/>
        </w:rPr>
        <w:t>.</w:t>
      </w:r>
      <w:r w:rsidRPr="006C5859">
        <w:t xml:space="preserve"> The value that maximises the sum of the sensitivity and specificity (the proportion of those with and without a disease who are correctly classified). This cut-off can be used to identify individuals who might need further care.</w:t>
      </w:r>
    </w:p>
    <w:bookmarkEnd w:id="1584"/>
    <w:p w14:paraId="4F0A6D49" w14:textId="7EDA129D" w:rsidR="00FC0D42" w:rsidRPr="006C5859" w:rsidRDefault="00FC0D42" w:rsidP="00FC0D42">
      <w:r w:rsidRPr="006C5859">
        <w:rPr>
          <w:b/>
        </w:rPr>
        <w:t>Panic attack</w:t>
      </w:r>
      <w:r w:rsidR="006C5859">
        <w:rPr>
          <w:b/>
        </w:rPr>
        <w:t>.</w:t>
      </w:r>
      <w:r w:rsidRPr="006C5859">
        <w:t xml:space="preserve"> Sudden onset of extreme fear or anxiety, often accompanied by palpitations, chest pain, choking sensations, dizziness, and sometimes feelings of unreality, fear of dying, losing control or going mad.</w:t>
      </w:r>
    </w:p>
    <w:p w14:paraId="5E0F66E1" w14:textId="084ED4B6" w:rsidR="00FC0D42" w:rsidRPr="006C5859" w:rsidRDefault="00FC0D42" w:rsidP="00FC0D42">
      <w:r w:rsidRPr="006C5859">
        <w:rPr>
          <w:b/>
        </w:rPr>
        <w:t>Panic disorder</w:t>
      </w:r>
      <w:r w:rsidR="006C5859">
        <w:rPr>
          <w:b/>
        </w:rPr>
        <w:t>.</w:t>
      </w:r>
      <w:r w:rsidRPr="006C5859">
        <w:t xml:space="preserve"> Recurrent panic attacks that are unpredictable in nature.</w:t>
      </w:r>
    </w:p>
    <w:p w14:paraId="0FEAAC05" w14:textId="0E036A82" w:rsidR="00FC0D42" w:rsidRPr="006C5859" w:rsidRDefault="00FC0D42" w:rsidP="00FC0D42">
      <w:pPr>
        <w:rPr>
          <w:rFonts w:cs="Arial"/>
        </w:rPr>
      </w:pPr>
      <w:r w:rsidRPr="006C5859">
        <w:rPr>
          <w:b/>
        </w:rPr>
        <w:t>Patient Health Questionnaire-9 (PHQ-9)</w:t>
      </w:r>
      <w:r w:rsidR="006C5859">
        <w:rPr>
          <w:b/>
        </w:rPr>
        <w:t>.</w:t>
      </w:r>
      <w:r w:rsidRPr="006C5859">
        <w:t xml:space="preserve"> Self-reported depression was examined using the Patient Health Questionnaire-9 (PHQ-9). The nine items of the PHQ-9 are scored from 0 to 3 and summed to give a total score between 0 and 27. The PHQ-9 provides various levels of diagnostic severity,</w:t>
      </w:r>
      <w:r w:rsidRPr="006C5859">
        <w:rPr>
          <w:rFonts w:cs="Arial"/>
        </w:rPr>
        <w:t xml:space="preserve"> with higher scores indicating higher levels of depression symptoms.</w:t>
      </w:r>
      <w:r w:rsidRPr="006C5859">
        <w:rPr>
          <w:rFonts w:cs="Arial"/>
          <w:b/>
        </w:rPr>
        <w:t xml:space="preserve"> </w:t>
      </w:r>
    </w:p>
    <w:p w14:paraId="38D5ECF8" w14:textId="5111F78E" w:rsidR="00FC0D42" w:rsidRPr="006C5859" w:rsidRDefault="00FC0D42" w:rsidP="00FC0D42">
      <w:pPr>
        <w:rPr>
          <w:rFonts w:asciiTheme="majorHAnsi" w:eastAsia="MS ??" w:hAnsiTheme="majorHAnsi"/>
          <w:b/>
        </w:rPr>
      </w:pPr>
      <w:r w:rsidRPr="006C5859">
        <w:rPr>
          <w:b/>
        </w:rPr>
        <w:t>Pharmaceutical Benefits Scheme (PBS)</w:t>
      </w:r>
      <w:r w:rsidR="006C5859">
        <w:rPr>
          <w:b/>
        </w:rPr>
        <w:t>.</w:t>
      </w:r>
      <w:r w:rsidRPr="006C5859">
        <w:t xml:space="preserve"> The PBS began as a limited scheme in 1948, offering free medicines for pensioners and a list of 139 ‘life-saving and disease-preventing’ medicines free to other members of the community. Today, the PBS provides timely, reliable and affordable access to necessary medicines for all Australians. The PBS is part of the Australian Government’s broader National Medicines Policy. Health Care Utilisation, Cost and Pharmaceutical Benefit Scheme data/Repatriation Pharmaceutical Benefits Scheme data were obtained for consenting serving and ex-serving ADF members as part of the current Programme of research. </w:t>
      </w:r>
    </w:p>
    <w:p w14:paraId="01F0C5EE" w14:textId="368C7935" w:rsidR="00FC0D42" w:rsidRPr="006C5859" w:rsidRDefault="00FC0D42" w:rsidP="00FC0D42">
      <w:bookmarkStart w:id="1585" w:name="_Hlk520816578"/>
      <w:r w:rsidRPr="006C5859">
        <w:rPr>
          <w:b/>
        </w:rPr>
        <w:t>Posttraumatic stress disorder (PTSD)</w:t>
      </w:r>
      <w:r w:rsidR="006C5859">
        <w:rPr>
          <w:b/>
        </w:rPr>
        <w:t>.</w:t>
      </w:r>
      <w:r w:rsidRPr="006C5859">
        <w:rPr>
          <w:rFonts w:eastAsia="MS ??"/>
        </w:rPr>
        <w:t xml:space="preserve"> </w:t>
      </w:r>
      <w:r w:rsidRPr="006C5859">
        <w:t>A stress reaction to an exceptionally threatening or traumatic event that would cause pervasive distress in almost anyone. Symptoms are categorised into three groups: re-experiencing memories or flashbacks, avoidance symptoms and either hyperarousal symptoms (increased arousal and sensitivity to cues) or inability to recall important parts of the experience.</w:t>
      </w:r>
    </w:p>
    <w:bookmarkEnd w:id="1585"/>
    <w:p w14:paraId="0CE5FB27" w14:textId="41A3E369" w:rsidR="00FC0D42" w:rsidRPr="006C5859" w:rsidRDefault="00FC0D42" w:rsidP="00FC0D42">
      <w:pPr>
        <w:rPr>
          <w:rFonts w:eastAsia="MS ??"/>
          <w:b/>
        </w:rPr>
      </w:pPr>
      <w:r w:rsidRPr="006C5859">
        <w:rPr>
          <w:b/>
        </w:rPr>
        <w:t>The Posttraumatic Stress Disorder Checklist – civilian version (PCL-C)</w:t>
      </w:r>
      <w:r w:rsidR="006C5859">
        <w:rPr>
          <w:b/>
        </w:rPr>
        <w:t>.</w:t>
      </w:r>
      <w:r w:rsidRPr="006C5859">
        <w:t xml:space="preserve"> A 17-item self-report measure designed to assess the symptomatic criteria of PTSD according to the </w:t>
      </w:r>
      <w:r w:rsidRPr="006C5859">
        <w:rPr>
          <w:i/>
        </w:rPr>
        <w:t>Diagnostic and Statistical Manual of Mental Disorders, Fourth Edition</w:t>
      </w:r>
      <w:r w:rsidRPr="006C5859">
        <w:t xml:space="preserve"> (DSM-IV). The 17 questions of the PCL-C are scored from 1 to 5 and are summed to give a total symptom severity score of between 17 and 85. An additional four items from the newly released PCL-5 were also included, giving researchers flexibility to also measure PTSD symptoms according to the most recent definitional criteria.</w:t>
      </w:r>
      <w:r w:rsidRPr="006C5859">
        <w:rPr>
          <w:rFonts w:eastAsia="MS ??"/>
        </w:rPr>
        <w:t xml:space="preserve"> </w:t>
      </w:r>
    </w:p>
    <w:p w14:paraId="6DE0C9C7" w14:textId="343A0036" w:rsidR="00FC0D42" w:rsidRPr="006C5859" w:rsidRDefault="00FC0D42" w:rsidP="00FC0D42">
      <w:pPr>
        <w:rPr>
          <w:rFonts w:eastAsia="MS ??"/>
        </w:rPr>
      </w:pPr>
      <w:r w:rsidRPr="006C5859">
        <w:rPr>
          <w:rFonts w:eastAsia="MS ??"/>
          <w:b/>
        </w:rPr>
        <w:t>Personnel Management Key System (PMKeyS)</w:t>
      </w:r>
      <w:r w:rsidR="006C5859">
        <w:rPr>
          <w:rFonts w:eastAsia="MS ??"/>
          <w:b/>
        </w:rPr>
        <w:t>.</w:t>
      </w:r>
      <w:r w:rsidRPr="006C5859">
        <w:t xml:space="preserve"> An integrated human resource management system that provides the ADF with a single source of personnel management information. PMKeyS manages information about the entire Defence workforce – Navy, Army, Air Force.</w:t>
      </w:r>
    </w:p>
    <w:p w14:paraId="63A9DA7B" w14:textId="24FAE108" w:rsidR="00FC0D42" w:rsidRPr="006C5859" w:rsidRDefault="00FC0D42" w:rsidP="00FC0D42">
      <w:r w:rsidRPr="006C5859">
        <w:rPr>
          <w:b/>
        </w:rPr>
        <w:t>Prevalence of mental disorders</w:t>
      </w:r>
      <w:r w:rsidR="006C5859">
        <w:rPr>
          <w:b/>
        </w:rPr>
        <w:t>.</w:t>
      </w:r>
      <w:r w:rsidRPr="006C5859">
        <w:t xml:space="preserve"> The proportion of people in a given population who meet diagnostic criteria for any mental disorder in a given time frame. (See also ’12</w:t>
      </w:r>
      <w:r w:rsidRPr="006C5859">
        <w:noBreakHyphen/>
        <w:t>month prevalence’ and ‘lifetime prevalence’.)</w:t>
      </w:r>
    </w:p>
    <w:p w14:paraId="062F93B4" w14:textId="39BC7943" w:rsidR="00FC0D42" w:rsidRPr="006C5859" w:rsidRDefault="00FC0D42" w:rsidP="00FC0D42">
      <w:bookmarkStart w:id="1586" w:name="_Hlk520814835"/>
      <w:r w:rsidRPr="006C5859">
        <w:rPr>
          <w:b/>
        </w:rPr>
        <w:t>Probable mental disorder</w:t>
      </w:r>
      <w:r w:rsidR="006C5859">
        <w:rPr>
          <w:b/>
        </w:rPr>
        <w:t>.</w:t>
      </w:r>
      <w:r w:rsidRPr="006C5859">
        <w:t xml:space="preserve"> Where probable rates of mental health disorder are presented, these are based on self-report epidemiological cut-offs.</w:t>
      </w:r>
    </w:p>
    <w:bookmarkEnd w:id="1586"/>
    <w:p w14:paraId="6A420CE5" w14:textId="00DE9722" w:rsidR="00FC0D42" w:rsidRPr="006C5859" w:rsidRDefault="00FC0D42" w:rsidP="00FC0D42">
      <w:r w:rsidRPr="006C5859">
        <w:rPr>
          <w:b/>
        </w:rPr>
        <w:t>Psychopathology</w:t>
      </w:r>
      <w:r w:rsidR="006C5859">
        <w:rPr>
          <w:b/>
        </w:rPr>
        <w:t>.</w:t>
      </w:r>
      <w:r w:rsidRPr="006C5859">
        <w:rPr>
          <w:b/>
        </w:rPr>
        <w:t xml:space="preserve"> </w:t>
      </w:r>
      <w:r w:rsidRPr="006C5859">
        <w:t>The scientific study of mental disorders.</w:t>
      </w:r>
    </w:p>
    <w:p w14:paraId="02F5A95A" w14:textId="77777777" w:rsidR="00FC0D42" w:rsidRPr="006C5859" w:rsidRDefault="00FC0D42" w:rsidP="00FC0D42">
      <w:r w:rsidRPr="006C5859">
        <w:rPr>
          <w:b/>
        </w:rPr>
        <w:t xml:space="preserve">Rank status </w:t>
      </w:r>
      <w:r w:rsidRPr="006C5859">
        <w:t>–</w:t>
      </w:r>
      <w:r w:rsidRPr="006C5859">
        <w:rPr>
          <w:b/>
        </w:rPr>
        <w:t xml:space="preserve"> </w:t>
      </w:r>
      <w:r w:rsidRPr="006C5859">
        <w:t>Three levels of rank were used in the Mental Health and Wellbeing Transition Study:</w:t>
      </w:r>
    </w:p>
    <w:p w14:paraId="256E9459" w14:textId="77777777" w:rsidR="00FC0D42" w:rsidRPr="006C5859" w:rsidRDefault="00FC0D42" w:rsidP="00FC0D42">
      <w:pPr>
        <w:pStyle w:val="Bullet"/>
        <w:numPr>
          <w:ilvl w:val="0"/>
          <w:numId w:val="3"/>
        </w:numPr>
        <w:ind w:left="360"/>
      </w:pPr>
      <w:r w:rsidRPr="006C5859">
        <w:rPr>
          <w:b/>
        </w:rPr>
        <w:t xml:space="preserve">Commissioned Officer (OFFR): </w:t>
      </w:r>
      <w:r w:rsidRPr="006C5859">
        <w:t>Senior Commissioned Officers (Commander (CMDR), Lieutenant Colonel (LTCOL), Wing Commander (WGCDR) and above) and</w:t>
      </w:r>
      <w:r w:rsidRPr="006C5859">
        <w:rPr>
          <w:b/>
        </w:rPr>
        <w:t xml:space="preserve"> </w:t>
      </w:r>
      <w:r w:rsidRPr="006C5859">
        <w:t>Commissioned Officers (Lieutenant Commander (LCDR), Major (MAJ), Squadron Leader (SQNLDR) and more junior ranks)</w:t>
      </w:r>
    </w:p>
    <w:p w14:paraId="1E3DEC15" w14:textId="77777777" w:rsidR="00FC0D42" w:rsidRPr="006C5859" w:rsidRDefault="00FC0D42" w:rsidP="00FC0D42">
      <w:pPr>
        <w:pStyle w:val="Bullet"/>
        <w:numPr>
          <w:ilvl w:val="0"/>
          <w:numId w:val="3"/>
        </w:numPr>
        <w:ind w:left="360"/>
      </w:pPr>
      <w:r w:rsidRPr="006C5859">
        <w:rPr>
          <w:b/>
        </w:rPr>
        <w:t xml:space="preserve">Non-Commissioned Officer (NCO): </w:t>
      </w:r>
      <w:r w:rsidRPr="006C5859">
        <w:t>Senior Non-Commissioned Officers (Petty Officer (PO), Sergeant (SGT) and more senior ranks), and Junior Non-Commissioned Officers (Leading Seaman (LS), Corporal (CPL) and more junior ranks)</w:t>
      </w:r>
    </w:p>
    <w:p w14:paraId="4896B2A0" w14:textId="77777777" w:rsidR="00FC0D42" w:rsidRPr="006C5859" w:rsidRDefault="00FC0D42" w:rsidP="00FC0D42">
      <w:pPr>
        <w:pStyle w:val="Bullet"/>
        <w:numPr>
          <w:ilvl w:val="0"/>
          <w:numId w:val="3"/>
        </w:numPr>
        <w:ind w:left="360"/>
      </w:pPr>
      <w:r w:rsidRPr="006C5859">
        <w:rPr>
          <w:b/>
        </w:rPr>
        <w:t xml:space="preserve">Other Ranks: </w:t>
      </w:r>
      <w:r w:rsidRPr="006C5859">
        <w:t>Able Seaman (AB), Seaman (SMN), Private (PTE), Leading Aircraftman (LAC), Aircraftman (AC) or equivalent.</w:t>
      </w:r>
    </w:p>
    <w:p w14:paraId="584F8B86" w14:textId="5E548F86" w:rsidR="00FC0D42" w:rsidRPr="006C5859" w:rsidRDefault="00FC0D42" w:rsidP="00FC0D42">
      <w:r w:rsidRPr="006C5859">
        <w:rPr>
          <w:rFonts w:eastAsia="Cambria"/>
          <w:b/>
        </w:rPr>
        <w:t>Reason for discharge</w:t>
      </w:r>
      <w:r w:rsidR="006C5859">
        <w:rPr>
          <w:rFonts w:eastAsia="Cambria"/>
          <w:b/>
        </w:rPr>
        <w:t>.</w:t>
      </w:r>
      <w:r w:rsidRPr="006C5859">
        <w:t xml:space="preserve"> The reason for transitioning out of the ADF. In the Programme, the reason for discharge was derived from responses on the self-report survey, and classified accordingly:</w:t>
      </w:r>
    </w:p>
    <w:p w14:paraId="7EA886FE" w14:textId="77777777" w:rsidR="00FC0D42" w:rsidRPr="006C5859" w:rsidRDefault="00FC0D42" w:rsidP="00FC0D42">
      <w:pPr>
        <w:pStyle w:val="Bullet"/>
        <w:numPr>
          <w:ilvl w:val="0"/>
          <w:numId w:val="3"/>
        </w:numPr>
        <w:ind w:left="360"/>
      </w:pPr>
      <w:r w:rsidRPr="006C5859">
        <w:rPr>
          <w:b/>
        </w:rPr>
        <w:t>Medical discharge:</w:t>
      </w:r>
      <w:r w:rsidRPr="006C5859">
        <w:t xml:space="preserve"> Involuntary termination of the client’s employment by the ADF on the grounds of permanent or at least long-term unfitness to serve, or unfitness for deployment to operational (war-like) service</w:t>
      </w:r>
    </w:p>
    <w:p w14:paraId="224FAD05" w14:textId="77777777" w:rsidR="00FC0D42" w:rsidRPr="006C5859" w:rsidRDefault="00FC0D42" w:rsidP="00FC0D42">
      <w:pPr>
        <w:pStyle w:val="Bullet"/>
        <w:numPr>
          <w:ilvl w:val="0"/>
          <w:numId w:val="3"/>
        </w:numPr>
        <w:ind w:left="360"/>
      </w:pPr>
      <w:r w:rsidRPr="006C5859">
        <w:rPr>
          <w:b/>
        </w:rPr>
        <w:t xml:space="preserve">Other: </w:t>
      </w:r>
      <w:r w:rsidRPr="006C5859">
        <w:t>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w:t>
      </w:r>
      <w:r w:rsidRPr="006C5859">
        <w:noBreakHyphen/>
        <w:t>voluntary administrative discharge.</w:t>
      </w:r>
    </w:p>
    <w:p w14:paraId="65AD5E46" w14:textId="3CAE3928" w:rsidR="00FC0D42" w:rsidRPr="006C5859" w:rsidRDefault="00FC0D42" w:rsidP="00FC0D42">
      <w:r w:rsidRPr="006C5859">
        <w:rPr>
          <w:b/>
        </w:rPr>
        <w:t>Repatriation Pharmaceutical Benefits Scheme (RPBS)</w:t>
      </w:r>
      <w:r w:rsidR="006C5859">
        <w:rPr>
          <w:b/>
        </w:rPr>
        <w:t>.</w:t>
      </w:r>
      <w:r w:rsidRPr="006C5859">
        <w:t xml:space="preserve"> The benefits listed in the RPBS can be prescribed only for Department of Veterans’ Affairs beneficiaries who hold a Gold, White or Orange card. Health Care Utilisation, Cost and Pharmaceutical Benefit Scheme data/Repatriation Pharmaceutical Benefits Scheme data were obtained for consenting serving and ex-serving ADF members as part of the current Programme of research. </w:t>
      </w:r>
    </w:p>
    <w:p w14:paraId="47068BE1" w14:textId="7E4FFB13" w:rsidR="00FC0D42" w:rsidRPr="006C5859" w:rsidRDefault="00FC0D42" w:rsidP="00FC0D42">
      <w:pPr>
        <w:keepNext/>
      </w:pPr>
      <w:r w:rsidRPr="006C5859">
        <w:rPr>
          <w:b/>
        </w:rPr>
        <w:t>Service status</w:t>
      </w:r>
      <w:r w:rsidR="006C5859">
        <w:rPr>
          <w:b/>
        </w:rPr>
        <w:t>.</w:t>
      </w:r>
      <w:r w:rsidRPr="006C5859">
        <w:t xml:space="preserve"> The ADF comprises:</w:t>
      </w:r>
    </w:p>
    <w:p w14:paraId="61311885" w14:textId="77777777" w:rsidR="00FC0D42" w:rsidRPr="006C5859" w:rsidRDefault="00FC0D42" w:rsidP="00FC0D42">
      <w:pPr>
        <w:pStyle w:val="Bullet"/>
        <w:numPr>
          <w:ilvl w:val="0"/>
          <w:numId w:val="3"/>
        </w:numPr>
        <w:ind w:left="360"/>
      </w:pPr>
      <w:r w:rsidRPr="006C5859">
        <w:rPr>
          <w:b/>
        </w:rPr>
        <w:t xml:space="preserve">Royal Australian Navy: </w:t>
      </w:r>
      <w:r w:rsidRPr="006C5859">
        <w:t>A maritime force that contributes to regional security, supports global interests, shapes the strategic environment and protects national interests</w:t>
      </w:r>
    </w:p>
    <w:p w14:paraId="338681BB" w14:textId="77777777" w:rsidR="00FC0D42" w:rsidRPr="006C5859" w:rsidRDefault="00FC0D42" w:rsidP="00FC0D42">
      <w:pPr>
        <w:pStyle w:val="Bullet"/>
        <w:numPr>
          <w:ilvl w:val="0"/>
          <w:numId w:val="3"/>
        </w:numPr>
        <w:ind w:left="360"/>
      </w:pPr>
      <w:r w:rsidRPr="006C5859">
        <w:rPr>
          <w:b/>
        </w:rPr>
        <w:t>Australian Army:</w:t>
      </w:r>
      <w:r w:rsidRPr="006C5859">
        <w:t xml:space="preserve"> The military land force, a potent, versatile and modern army that contributes to the security of Australia, protecting its interests and people</w:t>
      </w:r>
    </w:p>
    <w:p w14:paraId="4A2BAD7D" w14:textId="77777777" w:rsidR="00FC0D42" w:rsidRPr="006C5859" w:rsidRDefault="00FC0D42" w:rsidP="00FC0D42">
      <w:pPr>
        <w:pStyle w:val="Bullet"/>
        <w:numPr>
          <w:ilvl w:val="0"/>
          <w:numId w:val="3"/>
        </w:numPr>
        <w:ind w:left="360"/>
      </w:pPr>
      <w:r w:rsidRPr="006C5859">
        <w:rPr>
          <w:b/>
        </w:rPr>
        <w:t xml:space="preserve">Royal Australian Air Force: </w:t>
      </w:r>
      <w:r w:rsidRPr="006C5859">
        <w:t>An air force that provides immediate and responsive military options across the spectrum of operations as part of a whole-of-government joint or coalition response, either from Australia or deployment overseas. It does this through its key air power roles – control of the air; precision strikes; intelligence, surveillance and responses; and air mobility – enabled by combat and operational support.</w:t>
      </w:r>
    </w:p>
    <w:p w14:paraId="08AB63FD" w14:textId="1B338950" w:rsidR="00FC0D42" w:rsidRPr="006C5859" w:rsidRDefault="00FC0D42" w:rsidP="00FC0D42">
      <w:r w:rsidRPr="006C5859">
        <w:rPr>
          <w:b/>
        </w:rPr>
        <w:t>Social phobia</w:t>
      </w:r>
      <w:r w:rsidR="006C5859">
        <w:rPr>
          <w:b/>
        </w:rPr>
        <w:t>.</w:t>
      </w:r>
      <w:r w:rsidRPr="006C5859">
        <w:t xml:space="preserve"> The marked fear or avoidance of being the centre of attention or in situations where it is possible to behave in a humiliating or embarrassing way, accompanied by anxiety symptoms, as well as either blushing, fear of vomiting, or fear of defecation or micturition.</w:t>
      </w:r>
    </w:p>
    <w:p w14:paraId="322790A4" w14:textId="6CF83F1D" w:rsidR="00FC0D42" w:rsidRPr="006C5859" w:rsidRDefault="00FC0D42" w:rsidP="00FC0D42">
      <w:r w:rsidRPr="006C5859">
        <w:rPr>
          <w:b/>
        </w:rPr>
        <w:t>Specific phobia</w:t>
      </w:r>
      <w:r w:rsidR="006C5859">
        <w:rPr>
          <w:b/>
        </w:rPr>
        <w:t>.</w:t>
      </w:r>
      <w:r w:rsidRPr="006C5859">
        <w:t xml:space="preserve"> The marked fear or avoidance of a specific object or situation such as animals, birds, insects, heights, thunder, flying, small enclosed spaces, sight of blood or injury, injections, dentists or hospitals, and accompanied by anxiety symptoms as described in ‘agoraphobia’.</w:t>
      </w:r>
    </w:p>
    <w:p w14:paraId="32E4B21B" w14:textId="27336296" w:rsidR="00FC0D42" w:rsidRPr="006C5859" w:rsidRDefault="00FC0D42" w:rsidP="00FC0D42">
      <w:pPr>
        <w:rPr>
          <w:rFonts w:eastAsia="Times New Roman"/>
          <w:sz w:val="24"/>
          <w:lang w:eastAsia="en-GB"/>
        </w:rPr>
      </w:pPr>
      <w:r w:rsidRPr="006C5859">
        <w:rPr>
          <w:b/>
        </w:rPr>
        <w:t>Stratification</w:t>
      </w:r>
      <w:r w:rsidR="006C5859">
        <w:rPr>
          <w:b/>
        </w:rPr>
        <w:t>.</w:t>
      </w:r>
      <w:r w:rsidRPr="006C5859">
        <w:t xml:space="preserve"> Grouping outcomes by variables of interest. In Report 1, 12-month diagnosable mental disorder and self-reported suicidality were stratified by age, sex, rank, service, years of service in the Regular ADF, deployment status, transition status, years since transition, reason for transition and DVA client status.</w:t>
      </w:r>
    </w:p>
    <w:p w14:paraId="0A917713" w14:textId="3073A433" w:rsidR="00FC0D42" w:rsidRPr="006C5859" w:rsidRDefault="00FC0D42" w:rsidP="00FC0D42">
      <w:r w:rsidRPr="006C5859">
        <w:rPr>
          <w:b/>
        </w:rPr>
        <w:t>Study Roll</w:t>
      </w:r>
      <w:r w:rsidR="006C5859">
        <w:rPr>
          <w:b/>
        </w:rPr>
        <w:t>.</w:t>
      </w:r>
      <w:r w:rsidRPr="006C5859">
        <w:t xml:space="preserve"> Participants’ contact details and demographic information were obtained through the creation of a study roll by the Australian Institute of Health and Welfare. This process involved integrating contact information from the following sources: </w:t>
      </w:r>
    </w:p>
    <w:p w14:paraId="0991CF66" w14:textId="77777777" w:rsidR="00FC0D42" w:rsidRPr="006C5859" w:rsidRDefault="00FC0D42" w:rsidP="00FC0D42">
      <w:pPr>
        <w:pStyle w:val="Bullet"/>
        <w:numPr>
          <w:ilvl w:val="0"/>
          <w:numId w:val="3"/>
        </w:numPr>
        <w:ind w:left="360"/>
      </w:pPr>
      <w:r w:rsidRPr="006C5859">
        <w:t>Defence Personnel Management Key Solution database</w:t>
      </w:r>
    </w:p>
    <w:p w14:paraId="39CE3813" w14:textId="77777777" w:rsidR="00FC0D42" w:rsidRPr="006C5859" w:rsidRDefault="00FC0D42" w:rsidP="00FC0D42">
      <w:pPr>
        <w:pStyle w:val="Bullet"/>
        <w:numPr>
          <w:ilvl w:val="0"/>
          <w:numId w:val="3"/>
        </w:numPr>
        <w:ind w:left="360"/>
      </w:pPr>
      <w:r w:rsidRPr="006C5859">
        <w:t>DVA client databases</w:t>
      </w:r>
    </w:p>
    <w:p w14:paraId="3749F756" w14:textId="77777777" w:rsidR="00FC0D42" w:rsidRPr="006C5859" w:rsidRDefault="00FC0D42" w:rsidP="00FC0D42">
      <w:pPr>
        <w:pStyle w:val="Bullet"/>
        <w:numPr>
          <w:ilvl w:val="0"/>
          <w:numId w:val="3"/>
        </w:numPr>
        <w:ind w:left="360"/>
      </w:pPr>
      <w:r w:rsidRPr="006C5859">
        <w:t>National Death Index</w:t>
      </w:r>
    </w:p>
    <w:p w14:paraId="2BA26E31" w14:textId="77777777" w:rsidR="00FC0D42" w:rsidRPr="006C5859" w:rsidRDefault="00FC0D42" w:rsidP="00FC0D42">
      <w:pPr>
        <w:pStyle w:val="Bullet"/>
        <w:numPr>
          <w:ilvl w:val="0"/>
          <w:numId w:val="3"/>
        </w:numPr>
        <w:ind w:left="360"/>
      </w:pPr>
      <w:r w:rsidRPr="006C5859">
        <w:t>ComSuper member database</w:t>
      </w:r>
    </w:p>
    <w:p w14:paraId="116A2060" w14:textId="77777777" w:rsidR="00FC0D42" w:rsidRPr="006C5859" w:rsidRDefault="00FC0D42" w:rsidP="00FC0D42">
      <w:pPr>
        <w:pStyle w:val="Bullet"/>
        <w:numPr>
          <w:ilvl w:val="0"/>
          <w:numId w:val="3"/>
        </w:numPr>
        <w:ind w:left="360"/>
      </w:pPr>
      <w:r w:rsidRPr="006C5859">
        <w:t>Military Health Outcomes Program (MilHOP) dataset.</w:t>
      </w:r>
    </w:p>
    <w:p w14:paraId="2F68BCCC" w14:textId="25F0DD97" w:rsidR="00FC0D42" w:rsidRPr="006C5859" w:rsidRDefault="00FC0D42" w:rsidP="00FC0D42">
      <w:r w:rsidRPr="006C5859">
        <w:rPr>
          <w:b/>
        </w:rPr>
        <w:t>Suicidal ideation</w:t>
      </w:r>
      <w:r w:rsidR="006C5859">
        <w:rPr>
          <w:b/>
        </w:rPr>
        <w:t>.</w:t>
      </w:r>
      <w:r w:rsidRPr="006C5859">
        <w:t xml:space="preserve"> Serious thoughts about taking one’s own life.</w:t>
      </w:r>
    </w:p>
    <w:p w14:paraId="601FA13E" w14:textId="02545332" w:rsidR="00FC0D42" w:rsidRPr="006C5859" w:rsidRDefault="00FC0D42" w:rsidP="00FC0D42">
      <w:r w:rsidRPr="006C5859">
        <w:rPr>
          <w:b/>
        </w:rPr>
        <w:t>Suicidality</w:t>
      </w:r>
      <w:r w:rsidR="006C5859">
        <w:rPr>
          <w:b/>
        </w:rPr>
        <w:t>.</w:t>
      </w:r>
      <w:r w:rsidRPr="006C5859">
        <w:t xml:space="preserve"> Suicidal ideation (serious thoughts about taking one’s own life) and suicide plans.</w:t>
      </w:r>
    </w:p>
    <w:p w14:paraId="3879BE23" w14:textId="49D88766" w:rsidR="00FC0D42" w:rsidRPr="006C5859" w:rsidRDefault="007155C2" w:rsidP="00FC0D42">
      <w:pPr>
        <w:rPr>
          <w:b/>
        </w:rPr>
      </w:pPr>
      <w:r w:rsidRPr="006C5859">
        <w:rPr>
          <w:b/>
        </w:rPr>
        <w:t>Subsyndromal</w:t>
      </w:r>
      <w:r w:rsidR="00FC0D42" w:rsidRPr="006C5859">
        <w:rPr>
          <w:b/>
        </w:rPr>
        <w:t xml:space="preserve"> disorder</w:t>
      </w:r>
      <w:r w:rsidR="006C5859">
        <w:rPr>
          <w:b/>
        </w:rPr>
        <w:t>.</w:t>
      </w:r>
      <w:r w:rsidR="00FC0D42" w:rsidRPr="006C5859">
        <w:rPr>
          <w:rFonts w:cs="Times"/>
        </w:rPr>
        <w:t xml:space="preserve"> C</w:t>
      </w:r>
      <w:r w:rsidR="00FC0D42" w:rsidRPr="006C5859">
        <w:t>haracterised by or exhibiting symptoms that are not severe enough for diagnosis as a clinically recognised syndrome.</w:t>
      </w:r>
    </w:p>
    <w:p w14:paraId="31800CCC" w14:textId="03625095" w:rsidR="00FC0D42" w:rsidRPr="006C5859" w:rsidRDefault="00FC0D42" w:rsidP="00FC0D42">
      <w:r w:rsidRPr="006C5859">
        <w:rPr>
          <w:b/>
        </w:rPr>
        <w:t>Transitioned ADF/ADF members</w:t>
      </w:r>
      <w:r w:rsidR="006C5859">
        <w:rPr>
          <w:b/>
        </w:rPr>
        <w:t>.</w:t>
      </w:r>
      <w:r w:rsidRPr="006C5859">
        <w:t xml:space="preserve"> ADF members who have left military service. For the purpose of the current study, this included all ADF members who transitioned from the Regular ADF between 2010 and 2014, including those who transitioned into the Active Reserve and Inactive Reserve.</w:t>
      </w:r>
      <w:r w:rsidRPr="006C5859">
        <w:rPr>
          <w:i/>
        </w:rPr>
        <w:t xml:space="preserve"> </w:t>
      </w:r>
    </w:p>
    <w:p w14:paraId="1877BDE9" w14:textId="7DF18122" w:rsidR="00FC0D42" w:rsidRPr="006C5859" w:rsidRDefault="00FC0D42" w:rsidP="00FC0D42">
      <w:r w:rsidRPr="006C5859">
        <w:rPr>
          <w:b/>
        </w:rPr>
        <w:t>Transitioned status</w:t>
      </w:r>
      <w:r w:rsidR="006C5859">
        <w:rPr>
          <w:b/>
        </w:rPr>
        <w:t>.</w:t>
      </w:r>
      <w:r w:rsidRPr="006C5859">
        <w:t xml:space="preserve"> Transitioned ADF members were categorised into one of three groups that broadly represented their level of continued association and contact with Defence and their potential access to support services provided by Defence: </w:t>
      </w:r>
    </w:p>
    <w:p w14:paraId="44BD5847" w14:textId="77777777" w:rsidR="00FC0D42" w:rsidRPr="006C5859" w:rsidRDefault="00FC0D42" w:rsidP="00FC0D42">
      <w:pPr>
        <w:pStyle w:val="Bullet"/>
        <w:numPr>
          <w:ilvl w:val="0"/>
          <w:numId w:val="3"/>
        </w:numPr>
        <w:ind w:left="360"/>
        <w:rPr>
          <w:b/>
        </w:rPr>
      </w:pPr>
      <w:r w:rsidRPr="006C5859">
        <w:rPr>
          <w:b/>
        </w:rPr>
        <w:t xml:space="preserve">Ex-serving: </w:t>
      </w:r>
      <w:r w:rsidRPr="006C5859">
        <w:t>A person who was a Regular ADF member before 2010, has since transitioned out of the ADF and is no longer engaged with Defence in a Reservist role. The individual is classified as discharged from Defence</w:t>
      </w:r>
    </w:p>
    <w:p w14:paraId="2EF08452" w14:textId="77777777" w:rsidR="00FC0D42" w:rsidRPr="006C5859" w:rsidRDefault="00FC0D42" w:rsidP="00FC0D42">
      <w:pPr>
        <w:pStyle w:val="Bullet"/>
        <w:numPr>
          <w:ilvl w:val="0"/>
          <w:numId w:val="3"/>
        </w:numPr>
        <w:ind w:left="360"/>
      </w:pPr>
      <w:r w:rsidRPr="006C5859">
        <w:rPr>
          <w:b/>
        </w:rPr>
        <w:t xml:space="preserve">Inactive Reservist: </w:t>
      </w:r>
      <w:r w:rsidRPr="006C5859">
        <w:t xml:space="preserve">A person who was a Regular ADF member before 2010, but has since transitioned into an Inactive Reservist role </w:t>
      </w:r>
    </w:p>
    <w:p w14:paraId="5C11002D" w14:textId="77777777" w:rsidR="00FC0D42" w:rsidRPr="006C5859" w:rsidRDefault="00FC0D42" w:rsidP="00FC0D42">
      <w:pPr>
        <w:pStyle w:val="Bullet"/>
        <w:numPr>
          <w:ilvl w:val="0"/>
          <w:numId w:val="3"/>
        </w:numPr>
        <w:ind w:left="360"/>
        <w:rPr>
          <w:b/>
        </w:rPr>
      </w:pPr>
      <w:r w:rsidRPr="006C5859">
        <w:rPr>
          <w:b/>
        </w:rPr>
        <w:t xml:space="preserve">Active Reservist: </w:t>
      </w:r>
      <w:r w:rsidRPr="006C5859">
        <w:t>A person who was a Regular ADF member before 2010, but has since transitioned into an Active Reservist role.</w:t>
      </w:r>
    </w:p>
    <w:p w14:paraId="134095A4" w14:textId="2060B091" w:rsidR="00FC0D42" w:rsidRPr="006C5859" w:rsidRDefault="00FC0D42" w:rsidP="00FC0D42">
      <w:r w:rsidRPr="006C5859">
        <w:rPr>
          <w:b/>
        </w:rPr>
        <w:t>Two-phase design</w:t>
      </w:r>
      <w:r w:rsidR="006C5859">
        <w:rPr>
          <w:b/>
        </w:rPr>
        <w:t>.</w:t>
      </w:r>
      <w:r w:rsidRPr="006C5859">
        <w:rPr>
          <w:b/>
        </w:rPr>
        <w:t xml:space="preserve"> </w:t>
      </w:r>
      <w:r w:rsidRPr="006C5859">
        <w:t xml:space="preserve">A well-accepted epidemiological approach to investigating the prevalence of mental disorders. In the first phase,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 </w:t>
      </w:r>
    </w:p>
    <w:p w14:paraId="2FB97F82" w14:textId="30883D79" w:rsidR="00FC0D42" w:rsidRPr="006C5859" w:rsidRDefault="00FC0D42" w:rsidP="00FC0D42">
      <w:r w:rsidRPr="006C5859">
        <w:rPr>
          <w:b/>
          <w:shd w:val="clear" w:color="auto" w:fill="FFFFFF"/>
        </w:rPr>
        <w:t>Veterans’</w:t>
      </w:r>
      <w:r w:rsidRPr="006C5859">
        <w:t xml:space="preserve"> </w:t>
      </w:r>
      <w:r w:rsidRPr="006C5859">
        <w:rPr>
          <w:b/>
          <w:shd w:val="clear" w:color="auto" w:fill="FFFFFF"/>
        </w:rPr>
        <w:t>health cards</w:t>
      </w:r>
      <w:r w:rsidR="006C5859">
        <w:rPr>
          <w:b/>
          <w:shd w:val="clear" w:color="auto" w:fill="FFFFFF"/>
        </w:rPr>
        <w:t>.</w:t>
      </w:r>
      <w:r w:rsidRPr="006C5859">
        <w:rPr>
          <w:shd w:val="clear" w:color="auto" w:fill="FFFFFF"/>
        </w:rPr>
        <w:t xml:space="preserve"> </w:t>
      </w:r>
      <w:r w:rsidRPr="006C5859">
        <w:t>DVA, on behalf of the Australian Government, uses the health cards as a convenient method for veterans, war widows and their eligible dependants to access health and other care services. Arrangements are based on providing access to clinically appropriate treatment that is evidence-based. There are Gold, White and Orange</w:t>
      </w:r>
      <w:r w:rsidRPr="006C5859" w:rsidDel="004331E7">
        <w:t xml:space="preserve"> </w:t>
      </w:r>
      <w:r w:rsidRPr="006C5859">
        <w:t>health cards.</w:t>
      </w:r>
    </w:p>
    <w:p w14:paraId="7A5D6A47" w14:textId="68953CE7" w:rsidR="00FC0D42" w:rsidRPr="006C5859" w:rsidRDefault="00FC0D42" w:rsidP="00FC0D42">
      <w:r w:rsidRPr="006C5859">
        <w:rPr>
          <w:b/>
          <w:shd w:val="clear" w:color="auto" w:fill="FFFFFF"/>
        </w:rPr>
        <w:t>Weighting</w:t>
      </w:r>
      <w:r w:rsidR="006C5859">
        <w:rPr>
          <w:b/>
          <w:shd w:val="clear" w:color="auto" w:fill="FFFFFF"/>
        </w:rPr>
        <w:t>.</w:t>
      </w:r>
      <w:r w:rsidRPr="006C5859">
        <w:t xml:space="preserve"> Allowing for the inference of results for the entire population. Weighting involved allocating a representative value or ‘weight’ to the data for each responder, based on key variables. The weight indicated how many individuals in the entire population were represented by each responder. Weighting was applied to:</w:t>
      </w:r>
    </w:p>
    <w:p w14:paraId="6CC30DA4" w14:textId="77777777" w:rsidR="00FC0D42" w:rsidRPr="006C5859" w:rsidRDefault="00FC0D42" w:rsidP="00FC0D42">
      <w:pPr>
        <w:pStyle w:val="Bullet"/>
        <w:numPr>
          <w:ilvl w:val="0"/>
          <w:numId w:val="3"/>
        </w:numPr>
        <w:ind w:left="360"/>
      </w:pPr>
      <w:r w:rsidRPr="006C5859">
        <w:t>correct for differential non-response</w:t>
      </w:r>
    </w:p>
    <w:p w14:paraId="11EF437E" w14:textId="77777777" w:rsidR="00FC0D42" w:rsidRPr="006C5859" w:rsidRDefault="00FC0D42" w:rsidP="00FC0D42">
      <w:pPr>
        <w:pStyle w:val="Bullet"/>
        <w:numPr>
          <w:ilvl w:val="0"/>
          <w:numId w:val="3"/>
        </w:numPr>
        <w:ind w:left="360"/>
      </w:pPr>
      <w:r w:rsidRPr="006C5859">
        <w:t>adjust for any systematic biases in the responders (for example, oversampling of high scorers for the CIDI).</w:t>
      </w:r>
    </w:p>
    <w:p w14:paraId="22FCF671" w14:textId="6A5863F9" w:rsidR="00FC0D42" w:rsidRPr="006C5859" w:rsidRDefault="00FC0D42" w:rsidP="00FC0D42">
      <w:r w:rsidRPr="006C5859">
        <w:rPr>
          <w:b/>
        </w:rPr>
        <w:t>White Card</w:t>
      </w:r>
      <w:r w:rsidR="006C5859">
        <w:rPr>
          <w:b/>
        </w:rPr>
        <w:t>.</w:t>
      </w:r>
      <w:r w:rsidRPr="006C5859">
        <w:t xml:space="preserve"> A </w:t>
      </w:r>
      <w:r w:rsidRPr="006C5859">
        <w:rPr>
          <w:bCs/>
        </w:rPr>
        <w:t>DVA health card for specific conditions</w:t>
      </w:r>
      <w:r w:rsidRPr="006C5859">
        <w:t>. A White Card entitles the holder to care and treatment for:</w:t>
      </w:r>
    </w:p>
    <w:p w14:paraId="5D871355" w14:textId="77777777" w:rsidR="00FC0D42" w:rsidRPr="006C5859" w:rsidRDefault="00FC0D42" w:rsidP="00FC0D42">
      <w:pPr>
        <w:pStyle w:val="Bullet"/>
        <w:numPr>
          <w:ilvl w:val="0"/>
          <w:numId w:val="3"/>
        </w:numPr>
        <w:ind w:left="360"/>
      </w:pPr>
      <w:r w:rsidRPr="006C5859">
        <w:t>injuries or conditions that are accepted as being caused by war or service-related</w:t>
      </w:r>
    </w:p>
    <w:p w14:paraId="21FD8C42" w14:textId="77777777" w:rsidR="00FC0D42" w:rsidRPr="006C5859" w:rsidRDefault="00FC0D42" w:rsidP="00FC0D42">
      <w:pPr>
        <w:pStyle w:val="Bullet"/>
        <w:numPr>
          <w:ilvl w:val="0"/>
          <w:numId w:val="3"/>
        </w:numPr>
        <w:ind w:left="360"/>
      </w:pPr>
      <w:r w:rsidRPr="006C5859">
        <w:t xml:space="preserve">malignant cancer, pulmonary tuberculosis, posttraumatic stress disorder, anxiety and/or depression, whether or not it was caused by war </w:t>
      </w:r>
    </w:p>
    <w:p w14:paraId="16FA746E" w14:textId="77777777" w:rsidR="00FC0D42" w:rsidRPr="006C5859" w:rsidRDefault="00FC0D42" w:rsidP="00FC0D42">
      <w:pPr>
        <w:pStyle w:val="Bullet"/>
        <w:numPr>
          <w:ilvl w:val="0"/>
          <w:numId w:val="3"/>
        </w:numPr>
        <w:ind w:left="360"/>
      </w:pPr>
      <w:r w:rsidRPr="006C5859">
        <w:t>symptoms of unidentifiable conditions that arise within 15 years of service (other than peacetime service).</w:t>
      </w:r>
    </w:p>
    <w:p w14:paraId="21515922" w14:textId="77777777" w:rsidR="00FC0D42" w:rsidRPr="006C5859" w:rsidRDefault="00FC0D42" w:rsidP="00FC0D42">
      <w:r w:rsidRPr="006C5859">
        <w:t xml:space="preserve">Services covered by a White Card are the same as those for a Gold Card, but must be for treatment of conditions that are accepted as being caused by war or service-related. </w:t>
      </w:r>
    </w:p>
    <w:p w14:paraId="48D53788" w14:textId="67986958" w:rsidR="00FC0D42" w:rsidRPr="006C5859" w:rsidRDefault="00FC0D42" w:rsidP="00FC0D42">
      <w:r w:rsidRPr="006C5859">
        <w:rPr>
          <w:b/>
        </w:rPr>
        <w:t>World Mental Health Survey Initiative Version of the World Health Organization Composite International Diagnostic Interview – version 3</w:t>
      </w:r>
      <w:r w:rsidRPr="006C5859" w:rsidDel="00DD734F">
        <w:rPr>
          <w:b/>
          <w:bCs/>
        </w:rPr>
        <w:t xml:space="preserve"> </w:t>
      </w:r>
      <w:r w:rsidRPr="006C5859">
        <w:rPr>
          <w:b/>
          <w:bCs/>
        </w:rPr>
        <w:t>(CIDI)</w:t>
      </w:r>
      <w:r w:rsidR="006C5859">
        <w:rPr>
          <w:b/>
          <w:bCs/>
        </w:rPr>
        <w:t>.</w:t>
      </w:r>
      <w:r w:rsidRPr="006C5859">
        <w:t xml:space="preserve"> The CIDI </w:t>
      </w:r>
      <w:r w:rsidRPr="006C5859">
        <w:rPr>
          <w:noProof/>
        </w:rPr>
        <w:t>(Kessler &amp; Ustun, 2004)</w:t>
      </w:r>
      <w:r w:rsidRPr="006C5859">
        <w:t xml:space="preserve"> provides an assessment of mental disorders based on the definitions and criteria of two classification systems: the </w:t>
      </w:r>
      <w:r w:rsidRPr="006C5859">
        <w:rPr>
          <w:i/>
        </w:rPr>
        <w:t>Diagnostic and Statistical Manual of Mental Disorders, Fourth Edition</w:t>
      </w:r>
      <w:r w:rsidRPr="006C5859">
        <w:t xml:space="preserve"> (DSM-IV) and the International Statistical Classification of Diseases and Related Health Problems – 10th Revision (ICD-10) </w:t>
      </w:r>
      <w:r w:rsidRPr="006C5859">
        <w:rPr>
          <w:noProof/>
        </w:rPr>
        <w:t>(World Health Organization, 1994)</w:t>
      </w:r>
      <w:r w:rsidRPr="006C5859">
        <w:t>. This instrument was used in phase 2 of the Programme.</w:t>
      </w:r>
    </w:p>
    <w:p w14:paraId="36C02F81" w14:textId="6CE8EE46" w:rsidR="00FC0D42" w:rsidRPr="006C5859" w:rsidRDefault="00FC0D42" w:rsidP="00FC0D42">
      <w:r w:rsidRPr="006C5859">
        <w:rPr>
          <w:b/>
        </w:rPr>
        <w:t>Years since transition</w:t>
      </w:r>
      <w:r w:rsidR="006C5859">
        <w:rPr>
          <w:b/>
        </w:rPr>
        <w:t>.</w:t>
      </w:r>
      <w:r w:rsidRPr="006C5859">
        <w:t xml:space="preserve"> To ascertain the number of years since transition from regular service, participants were asked to indicate what year they transitioned to Active Reserves, Inactive Reserves or were discharged out of the service (ex-serving). Options included: zero, one, two, three, four or five years.</w:t>
      </w:r>
    </w:p>
    <w:p w14:paraId="05EB2C34" w14:textId="182C192E" w:rsidR="00FC0D42" w:rsidRPr="006C5859" w:rsidRDefault="00FC0D42" w:rsidP="00FC0D42">
      <w:pPr>
        <w:rPr>
          <w:b/>
        </w:rPr>
      </w:pPr>
      <w:r w:rsidRPr="006C5859">
        <w:rPr>
          <w:b/>
        </w:rPr>
        <w:t>Years of regular service</w:t>
      </w:r>
      <w:r w:rsidR="006C5859">
        <w:rPr>
          <w:b/>
        </w:rPr>
        <w:t>.</w:t>
      </w:r>
      <w:r w:rsidRPr="006C5859">
        <w:rPr>
          <w:b/>
        </w:rPr>
        <w:t xml:space="preserve"> </w:t>
      </w:r>
      <w:r w:rsidRPr="006C5859">
        <w:t>The following categories were used in the Mental Health and Wellbeing Transition Study to define the number of years of regular service: 3 months – 3.9 years, 4–7.9 years, 8–11.9 years, 12–15.9 years, 16–19.9 years and 20+ years.</w:t>
      </w:r>
    </w:p>
    <w:p w14:paraId="2A0B6D2E" w14:textId="77777777" w:rsidR="006016C9" w:rsidRDefault="006016C9" w:rsidP="0061597C"/>
    <w:p w14:paraId="13685096" w14:textId="77777777" w:rsidR="00FC0D42" w:rsidRDefault="00FC0D42" w:rsidP="0061597C">
      <w:pPr>
        <w:sectPr w:rsidR="00FC0D42" w:rsidSect="00147BFC">
          <w:footerReference w:type="even" r:id="rId182"/>
          <w:footerReference w:type="default" r:id="rId183"/>
          <w:type w:val="oddPage"/>
          <w:pgSz w:w="9979" w:h="14170" w:code="243"/>
          <w:pgMar w:top="1440" w:right="1152" w:bottom="1440" w:left="1728" w:header="576" w:footer="576" w:gutter="0"/>
          <w:cols w:space="708"/>
          <w:docGrid w:linePitch="360"/>
        </w:sectPr>
      </w:pPr>
    </w:p>
    <w:p w14:paraId="23E839ED" w14:textId="009543B1" w:rsidR="00FC0D42" w:rsidRPr="008E5F2C" w:rsidRDefault="00FC0D42" w:rsidP="00FC0D42">
      <w:pPr>
        <w:pStyle w:val="Heading1b"/>
        <w:numPr>
          <w:ilvl w:val="0"/>
          <w:numId w:val="0"/>
        </w:numPr>
        <w:rPr>
          <w:lang w:val="it-IT"/>
        </w:rPr>
      </w:pPr>
      <w:bookmarkStart w:id="1587" w:name="_Toc494449824"/>
      <w:bookmarkStart w:id="1588" w:name="_Toc518566496"/>
      <w:bookmarkStart w:id="1589" w:name="_Toc528932773"/>
      <w:bookmarkStart w:id="1590" w:name="_Toc531859310"/>
      <w:bookmarkStart w:id="1591" w:name="_Hlk518992006"/>
      <w:r w:rsidRPr="008A51EB">
        <w:rPr>
          <w:lang w:val="it-IT"/>
        </w:rPr>
        <w:t>Ref</w:t>
      </w:r>
      <w:bookmarkEnd w:id="1587"/>
      <w:bookmarkEnd w:id="1588"/>
      <w:bookmarkEnd w:id="1589"/>
      <w:r w:rsidR="003B2AF6">
        <w:rPr>
          <w:lang w:val="it-IT"/>
        </w:rPr>
        <w:t>erences</w:t>
      </w:r>
      <w:bookmarkEnd w:id="1590"/>
    </w:p>
    <w:p w14:paraId="1F02EBC0" w14:textId="77777777" w:rsidR="00FC0D42" w:rsidRPr="00B41BE0" w:rsidRDefault="00FC0D42" w:rsidP="00FC0D42">
      <w:pPr>
        <w:pStyle w:val="References"/>
        <w:rPr>
          <w:noProof/>
        </w:rPr>
      </w:pPr>
      <w:bookmarkStart w:id="1592" w:name="_ENREF_1"/>
      <w:r w:rsidRPr="00B41BE0">
        <w:rPr>
          <w:noProof/>
        </w:rPr>
        <w:t xml:space="preserve">Alexander, J. &amp; Lattanzio, A. (2009). Utility of telepsychiatry for Aboriginal Australians. </w:t>
      </w:r>
      <w:r w:rsidRPr="00B41BE0">
        <w:rPr>
          <w:i/>
          <w:noProof/>
        </w:rPr>
        <w:t>Australian and New Zealand Journal of Psychiatry,</w:t>
      </w:r>
      <w:r w:rsidRPr="00B41BE0">
        <w:rPr>
          <w:noProof/>
        </w:rPr>
        <w:t xml:space="preserve"> </w:t>
      </w:r>
      <w:r w:rsidRPr="00233E2F">
        <w:rPr>
          <w:i/>
          <w:noProof/>
        </w:rPr>
        <w:t>43</w:t>
      </w:r>
      <w:r w:rsidRPr="00B41BE0">
        <w:rPr>
          <w:noProof/>
        </w:rPr>
        <w:t>(12), 1185</w:t>
      </w:r>
      <w:r>
        <w:rPr>
          <w:noProof/>
        </w:rPr>
        <w:t>–</w:t>
      </w:r>
      <w:r w:rsidRPr="00B41BE0">
        <w:rPr>
          <w:noProof/>
        </w:rPr>
        <w:t>1185.</w:t>
      </w:r>
      <w:bookmarkEnd w:id="1592"/>
    </w:p>
    <w:p w14:paraId="4E1AF67F" w14:textId="77777777" w:rsidR="00FC0D42" w:rsidRPr="00B41BE0" w:rsidRDefault="00FC0D42" w:rsidP="00FC0D42">
      <w:pPr>
        <w:pStyle w:val="References"/>
        <w:rPr>
          <w:noProof/>
        </w:rPr>
      </w:pPr>
      <w:bookmarkStart w:id="1593" w:name="_ENREF_2"/>
      <w:r w:rsidRPr="00B41BE0">
        <w:rPr>
          <w:noProof/>
        </w:rPr>
        <w:t xml:space="preserve">Allen, N. J. &amp; John, P. M. (1990). The measurement and antecedents of affective, continuance and normative commitment to the organization. </w:t>
      </w:r>
      <w:r w:rsidRPr="00B41BE0">
        <w:rPr>
          <w:i/>
          <w:noProof/>
        </w:rPr>
        <w:t>Journal of Occupational Psychology,</w:t>
      </w:r>
      <w:r w:rsidRPr="00B41BE0">
        <w:rPr>
          <w:noProof/>
        </w:rPr>
        <w:t xml:space="preserve"> </w:t>
      </w:r>
      <w:r w:rsidRPr="00233E2F">
        <w:rPr>
          <w:i/>
          <w:noProof/>
        </w:rPr>
        <w:t>63</w:t>
      </w:r>
      <w:r w:rsidRPr="00B41BE0">
        <w:rPr>
          <w:noProof/>
        </w:rPr>
        <w:t>(1), 1</w:t>
      </w:r>
      <w:r>
        <w:rPr>
          <w:noProof/>
        </w:rPr>
        <w:t>–</w:t>
      </w:r>
      <w:r w:rsidRPr="00B41BE0">
        <w:rPr>
          <w:noProof/>
        </w:rPr>
        <w:t>18.</w:t>
      </w:r>
      <w:bookmarkEnd w:id="1593"/>
    </w:p>
    <w:p w14:paraId="7B6F467E" w14:textId="72B31F17" w:rsidR="00FC0D42" w:rsidRPr="00B41BE0" w:rsidRDefault="00FC0D42" w:rsidP="00FC0D42">
      <w:pPr>
        <w:pStyle w:val="References"/>
        <w:rPr>
          <w:noProof/>
        </w:rPr>
      </w:pPr>
      <w:bookmarkStart w:id="1594" w:name="_ENREF_3"/>
      <w:r w:rsidRPr="00B41BE0">
        <w:rPr>
          <w:noProof/>
        </w:rPr>
        <w:t>Andrews, F. M. &amp; Crandall, R. (1976). The validity of measures of self</w:t>
      </w:r>
      <w:r>
        <w:rPr>
          <w:noProof/>
        </w:rPr>
        <w:t>-</w:t>
      </w:r>
      <w:r w:rsidRPr="00B41BE0">
        <w:rPr>
          <w:noProof/>
        </w:rPr>
        <w:t xml:space="preserve">reported well-being. </w:t>
      </w:r>
      <w:r w:rsidRPr="00B41BE0">
        <w:rPr>
          <w:i/>
          <w:noProof/>
        </w:rPr>
        <w:t>Social Indicators Research,</w:t>
      </w:r>
      <w:r w:rsidRPr="00B41BE0">
        <w:rPr>
          <w:noProof/>
        </w:rPr>
        <w:t xml:space="preserve"> </w:t>
      </w:r>
      <w:r w:rsidRPr="0011443A">
        <w:rPr>
          <w:i/>
          <w:noProof/>
        </w:rPr>
        <w:t>3</w:t>
      </w:r>
      <w:r w:rsidRPr="00B41BE0">
        <w:rPr>
          <w:noProof/>
        </w:rPr>
        <w:t>, 1</w:t>
      </w:r>
      <w:r>
        <w:rPr>
          <w:noProof/>
        </w:rPr>
        <w:t>–</w:t>
      </w:r>
      <w:r w:rsidRPr="00B41BE0">
        <w:rPr>
          <w:noProof/>
        </w:rPr>
        <w:t>19.</w:t>
      </w:r>
      <w:bookmarkEnd w:id="1594"/>
    </w:p>
    <w:p w14:paraId="76F0403D" w14:textId="77777777" w:rsidR="00FC0D42" w:rsidRPr="00B41BE0" w:rsidRDefault="00FC0D42" w:rsidP="00FC0D42">
      <w:pPr>
        <w:pStyle w:val="References"/>
        <w:rPr>
          <w:noProof/>
        </w:rPr>
      </w:pPr>
      <w:bookmarkStart w:id="1595" w:name="_ENREF_4"/>
      <w:r w:rsidRPr="00B41BE0">
        <w:rPr>
          <w:noProof/>
        </w:rPr>
        <w:t xml:space="preserve">Armstrong, P. D. C., Edwards-Stewart, A., Ciulla, R., Bush, N., Cooper, D., T Kinn, J., </w:t>
      </w:r>
      <w:r>
        <w:rPr>
          <w:noProof/>
        </w:rPr>
        <w:t>…</w:t>
      </w:r>
      <w:r w:rsidRPr="00B41BE0">
        <w:rPr>
          <w:noProof/>
        </w:rPr>
        <w:t xml:space="preserve"> Hoyt, T. (2017). </w:t>
      </w:r>
      <w:r w:rsidRPr="00B41BE0">
        <w:rPr>
          <w:i/>
          <w:noProof/>
        </w:rPr>
        <w:t xml:space="preserve">U.S. Department of Defense </w:t>
      </w:r>
      <w:r>
        <w:rPr>
          <w:i/>
          <w:noProof/>
        </w:rPr>
        <w:t>m</w:t>
      </w:r>
      <w:r w:rsidRPr="00B41BE0">
        <w:rPr>
          <w:i/>
          <w:noProof/>
        </w:rPr>
        <w:t xml:space="preserve">obile </w:t>
      </w:r>
      <w:r>
        <w:rPr>
          <w:i/>
          <w:noProof/>
        </w:rPr>
        <w:t>h</w:t>
      </w:r>
      <w:r w:rsidRPr="00B41BE0">
        <w:rPr>
          <w:i/>
          <w:noProof/>
        </w:rPr>
        <w:t xml:space="preserve">ealth </w:t>
      </w:r>
      <w:r>
        <w:rPr>
          <w:i/>
          <w:noProof/>
        </w:rPr>
        <w:t>p</w:t>
      </w:r>
      <w:r w:rsidRPr="00B41BE0">
        <w:rPr>
          <w:i/>
          <w:noProof/>
        </w:rPr>
        <w:t xml:space="preserve">ractice </w:t>
      </w:r>
      <w:r>
        <w:rPr>
          <w:i/>
          <w:noProof/>
        </w:rPr>
        <w:t>g</w:t>
      </w:r>
      <w:r w:rsidRPr="00B41BE0">
        <w:rPr>
          <w:i/>
          <w:noProof/>
        </w:rPr>
        <w:t>uide, 3rd Edition</w:t>
      </w:r>
      <w:r w:rsidRPr="00B41BE0">
        <w:rPr>
          <w:noProof/>
        </w:rPr>
        <w:t xml:space="preserve">. Available: </w:t>
      </w:r>
      <w:hyperlink r:id="rId184" w:history="1">
        <w:r w:rsidRPr="00215381">
          <w:rPr>
            <w:rStyle w:val="Hyperlink"/>
            <w:noProof/>
          </w:rPr>
          <w:t>https://www.researchgate.net/publication/321547668_US_Department_of_Defense_Mobile_Health_Practice_Guide_3rd_Edition</w:t>
        </w:r>
      </w:hyperlink>
      <w:r w:rsidRPr="00B41BE0">
        <w:rPr>
          <w:noProof/>
        </w:rPr>
        <w:t xml:space="preserve"> </w:t>
      </w:r>
      <w:bookmarkEnd w:id="1595"/>
    </w:p>
    <w:p w14:paraId="79DD56B9" w14:textId="77777777" w:rsidR="00FC0D42" w:rsidRPr="00452872" w:rsidRDefault="00FC0D42" w:rsidP="00FC0D42">
      <w:pPr>
        <w:pStyle w:val="References"/>
      </w:pPr>
      <w:bookmarkStart w:id="1596" w:name="_ENREF_5"/>
      <w:r w:rsidRPr="00452872">
        <w:rPr>
          <w:noProof/>
        </w:rPr>
        <w:t xml:space="preserve">Australian Bureau of Statistics. (2008). </w:t>
      </w:r>
      <w:r w:rsidRPr="00452872">
        <w:rPr>
          <w:i/>
          <w:noProof/>
        </w:rPr>
        <w:t>2007 National survey of mental health and wellbeing: Summary of results</w:t>
      </w:r>
      <w:r w:rsidRPr="00452872">
        <w:rPr>
          <w:noProof/>
        </w:rPr>
        <w:t xml:space="preserve"> (No. 4326.0). Canberra: Author. Available: </w:t>
      </w:r>
      <w:r w:rsidRPr="00104D02">
        <w:rPr>
          <w:rFonts w:eastAsiaTheme="majorEastAsia"/>
        </w:rPr>
        <w:t>4326.0 - National Survey of Mental Health and Wellbeing: Summary of Results, 2007</w:t>
      </w:r>
      <w:r w:rsidRPr="00452872">
        <w:rPr>
          <w:noProof/>
        </w:rPr>
        <w:t xml:space="preserve"> [Accessed October 2017].</w:t>
      </w:r>
      <w:bookmarkEnd w:id="1596"/>
    </w:p>
    <w:p w14:paraId="3B54ED12" w14:textId="77777777" w:rsidR="00FC0D42" w:rsidRPr="00B41BE0" w:rsidRDefault="00FC0D42" w:rsidP="00FC0D42">
      <w:pPr>
        <w:pStyle w:val="References"/>
        <w:rPr>
          <w:noProof/>
        </w:rPr>
      </w:pPr>
      <w:bookmarkStart w:id="1597" w:name="_ENREF_6"/>
      <w:r w:rsidRPr="00B41BE0">
        <w:rPr>
          <w:noProof/>
        </w:rPr>
        <w:t xml:space="preserve">Australian Bureau of Statistics. (2011). </w:t>
      </w:r>
      <w:r w:rsidRPr="00B41BE0">
        <w:rPr>
          <w:i/>
          <w:noProof/>
        </w:rPr>
        <w:t xml:space="preserve">General </w:t>
      </w:r>
      <w:r>
        <w:rPr>
          <w:i/>
          <w:noProof/>
        </w:rPr>
        <w:t>s</w:t>
      </w:r>
      <w:r w:rsidRPr="00B41BE0">
        <w:rPr>
          <w:i/>
          <w:noProof/>
        </w:rPr>
        <w:t xml:space="preserve">ocial </w:t>
      </w:r>
      <w:r>
        <w:rPr>
          <w:i/>
          <w:noProof/>
        </w:rPr>
        <w:t>s</w:t>
      </w:r>
      <w:r w:rsidRPr="00B41BE0">
        <w:rPr>
          <w:i/>
          <w:noProof/>
        </w:rPr>
        <w:t>urvey</w:t>
      </w:r>
      <w:r>
        <w:rPr>
          <w:i/>
          <w:noProof/>
        </w:rPr>
        <w:t xml:space="preserve"> – </w:t>
      </w:r>
      <w:r w:rsidRPr="00B41BE0">
        <w:rPr>
          <w:i/>
          <w:noProof/>
        </w:rPr>
        <w:t>Summary Results</w:t>
      </w:r>
      <w:r>
        <w:rPr>
          <w:noProof/>
        </w:rPr>
        <w:t xml:space="preserve"> (No.</w:t>
      </w:r>
      <w:r w:rsidRPr="00B41BE0">
        <w:rPr>
          <w:noProof/>
        </w:rPr>
        <w:t xml:space="preserve"> 4159.0</w:t>
      </w:r>
      <w:r>
        <w:rPr>
          <w:noProof/>
        </w:rPr>
        <w:t>)</w:t>
      </w:r>
      <w:r w:rsidRPr="00B41BE0">
        <w:rPr>
          <w:noProof/>
        </w:rPr>
        <w:t xml:space="preserve">. Canberra: </w:t>
      </w:r>
      <w:r>
        <w:rPr>
          <w:noProof/>
        </w:rPr>
        <w:t>Author</w:t>
      </w:r>
      <w:r w:rsidRPr="00B41BE0">
        <w:rPr>
          <w:noProof/>
        </w:rPr>
        <w:t xml:space="preserve">. Available: </w:t>
      </w:r>
      <w:hyperlink r:id="rId185" w:history="1">
        <w:r w:rsidRPr="00215381">
          <w:rPr>
            <w:rStyle w:val="Hyperlink"/>
            <w:noProof/>
          </w:rPr>
          <w:t>http://www.abs.gov.au/AUSSTATS/abs@.nsf/DetailsPage/4159.02010</w:t>
        </w:r>
      </w:hyperlink>
      <w:r w:rsidRPr="00B41BE0">
        <w:rPr>
          <w:noProof/>
        </w:rPr>
        <w:t xml:space="preserve"> [Accessed September 2017].</w:t>
      </w:r>
      <w:bookmarkEnd w:id="1597"/>
    </w:p>
    <w:p w14:paraId="44179ABD" w14:textId="77777777" w:rsidR="00FC0D42" w:rsidRPr="00B41BE0" w:rsidRDefault="00FC0D42" w:rsidP="00FC0D42">
      <w:pPr>
        <w:pStyle w:val="References"/>
        <w:rPr>
          <w:noProof/>
        </w:rPr>
      </w:pPr>
      <w:bookmarkStart w:id="1598" w:name="_ENREF_7"/>
      <w:r w:rsidRPr="00B41BE0">
        <w:rPr>
          <w:noProof/>
        </w:rPr>
        <w:t xml:space="preserve">Australian Bureau of Statistics. (2012). </w:t>
      </w:r>
      <w:r w:rsidRPr="00B41BE0">
        <w:rPr>
          <w:i/>
          <w:noProof/>
        </w:rPr>
        <w:t xml:space="preserve">Australian </w:t>
      </w:r>
      <w:r>
        <w:rPr>
          <w:i/>
          <w:noProof/>
        </w:rPr>
        <w:t>h</w:t>
      </w:r>
      <w:r w:rsidRPr="00B41BE0">
        <w:rPr>
          <w:i/>
          <w:noProof/>
        </w:rPr>
        <w:t xml:space="preserve">ealth </w:t>
      </w:r>
      <w:r>
        <w:rPr>
          <w:i/>
          <w:noProof/>
        </w:rPr>
        <w:t>s</w:t>
      </w:r>
      <w:r w:rsidRPr="00B41BE0">
        <w:rPr>
          <w:i/>
          <w:noProof/>
        </w:rPr>
        <w:t>urvey: First Results 2011</w:t>
      </w:r>
      <w:r>
        <w:rPr>
          <w:i/>
          <w:noProof/>
        </w:rPr>
        <w:t>–</w:t>
      </w:r>
      <w:r w:rsidRPr="00B41BE0">
        <w:rPr>
          <w:i/>
          <w:noProof/>
        </w:rPr>
        <w:t>12</w:t>
      </w:r>
      <w:r w:rsidRPr="00B41BE0">
        <w:rPr>
          <w:noProof/>
        </w:rPr>
        <w:t xml:space="preserve"> </w:t>
      </w:r>
      <w:r>
        <w:rPr>
          <w:noProof/>
        </w:rPr>
        <w:t>(N</w:t>
      </w:r>
      <w:r w:rsidRPr="00B41BE0">
        <w:rPr>
          <w:noProof/>
        </w:rPr>
        <w:t>o</w:t>
      </w:r>
      <w:r>
        <w:rPr>
          <w:noProof/>
        </w:rPr>
        <w:t>.</w:t>
      </w:r>
      <w:r w:rsidRPr="00B41BE0">
        <w:rPr>
          <w:noProof/>
        </w:rPr>
        <w:t xml:space="preserve"> 4364.0.55.001</w:t>
      </w:r>
      <w:r>
        <w:rPr>
          <w:noProof/>
        </w:rPr>
        <w:t>)</w:t>
      </w:r>
      <w:r w:rsidRPr="00B41BE0">
        <w:rPr>
          <w:noProof/>
        </w:rPr>
        <w:t xml:space="preserve">. Canberra: </w:t>
      </w:r>
      <w:r>
        <w:rPr>
          <w:noProof/>
        </w:rPr>
        <w:t>Author</w:t>
      </w:r>
      <w:r w:rsidRPr="00B41BE0">
        <w:rPr>
          <w:noProof/>
        </w:rPr>
        <w:t xml:space="preserve">. Available: </w:t>
      </w:r>
      <w:hyperlink r:id="rId186" w:history="1">
        <w:r w:rsidRPr="00215381">
          <w:rPr>
            <w:rStyle w:val="Hyperlink"/>
            <w:noProof/>
          </w:rPr>
          <w:t>http://www.ausstats.abs.gov.au/Ausstats/subscriber.nsf/0/1680ECA402368CCFCA257AC90015AA4E/$File/4364.0.55.001.pdf</w:t>
        </w:r>
      </w:hyperlink>
      <w:r w:rsidRPr="00B41BE0">
        <w:rPr>
          <w:noProof/>
        </w:rPr>
        <w:t xml:space="preserve"> [Accessed September 2017].</w:t>
      </w:r>
      <w:bookmarkEnd w:id="1598"/>
    </w:p>
    <w:p w14:paraId="58981E46" w14:textId="77777777" w:rsidR="00FC0D42" w:rsidRPr="00B41BE0" w:rsidRDefault="00FC0D42" w:rsidP="00FC0D42">
      <w:pPr>
        <w:pStyle w:val="References"/>
        <w:rPr>
          <w:noProof/>
        </w:rPr>
      </w:pPr>
      <w:bookmarkStart w:id="1599" w:name="_ENREF_8"/>
      <w:r w:rsidRPr="00B41BE0">
        <w:rPr>
          <w:noProof/>
        </w:rPr>
        <w:t xml:space="preserve">Australian Bureau of Statistics. (2018). </w:t>
      </w:r>
      <w:r w:rsidRPr="00B41BE0">
        <w:rPr>
          <w:i/>
          <w:noProof/>
        </w:rPr>
        <w:t>Household Use of Information Technology, Australia, 2016</w:t>
      </w:r>
      <w:r>
        <w:rPr>
          <w:i/>
          <w:noProof/>
        </w:rPr>
        <w:t>–</w:t>
      </w:r>
      <w:r w:rsidRPr="00B41BE0">
        <w:rPr>
          <w:i/>
          <w:noProof/>
        </w:rPr>
        <w:t xml:space="preserve">17 </w:t>
      </w:r>
      <w:r w:rsidRPr="00B41BE0">
        <w:rPr>
          <w:noProof/>
        </w:rPr>
        <w:t xml:space="preserve">Cat. no. 8146.0 Canberra: </w:t>
      </w:r>
      <w:r>
        <w:rPr>
          <w:noProof/>
        </w:rPr>
        <w:t>Author</w:t>
      </w:r>
      <w:r w:rsidRPr="00B41BE0">
        <w:rPr>
          <w:noProof/>
        </w:rPr>
        <w:t xml:space="preserve">. Available: </w:t>
      </w:r>
      <w:hyperlink r:id="rId187" w:history="1">
        <w:r w:rsidRPr="00215381">
          <w:rPr>
            <w:rStyle w:val="Hyperlink"/>
            <w:noProof/>
          </w:rPr>
          <w:t>http://www.abs.gov.au/ausstats/abs@.nsf/mf/8146.0</w:t>
        </w:r>
      </w:hyperlink>
      <w:r w:rsidRPr="00B41BE0">
        <w:rPr>
          <w:noProof/>
        </w:rPr>
        <w:t xml:space="preserve"> </w:t>
      </w:r>
      <w:bookmarkEnd w:id="1599"/>
    </w:p>
    <w:p w14:paraId="5ECE468F" w14:textId="77777777" w:rsidR="00FC0D42" w:rsidRPr="00B41BE0" w:rsidRDefault="00FC0D42" w:rsidP="00FC0D42">
      <w:pPr>
        <w:pStyle w:val="References"/>
        <w:rPr>
          <w:noProof/>
        </w:rPr>
      </w:pPr>
      <w:bookmarkStart w:id="1600" w:name="_ENREF_9"/>
      <w:r w:rsidRPr="00B41BE0">
        <w:rPr>
          <w:noProof/>
        </w:rPr>
        <w:t xml:space="preserve">Australian Government Department of Defence. (2017). </w:t>
      </w:r>
      <w:r w:rsidRPr="00B41BE0">
        <w:rPr>
          <w:i/>
          <w:noProof/>
        </w:rPr>
        <w:t>Defence Mental Health and Wellbeing Strategy 2018</w:t>
      </w:r>
      <w:r>
        <w:rPr>
          <w:i/>
          <w:noProof/>
        </w:rPr>
        <w:t>–</w:t>
      </w:r>
      <w:r w:rsidRPr="00B41BE0">
        <w:rPr>
          <w:i/>
          <w:noProof/>
        </w:rPr>
        <w:t>2023</w:t>
      </w:r>
      <w:r w:rsidRPr="00B41BE0">
        <w:rPr>
          <w:noProof/>
        </w:rPr>
        <w:t xml:space="preserve">. Canberra: </w:t>
      </w:r>
      <w:r>
        <w:rPr>
          <w:noProof/>
        </w:rPr>
        <w:t>Author</w:t>
      </w:r>
      <w:r w:rsidRPr="00B41BE0">
        <w:rPr>
          <w:noProof/>
        </w:rPr>
        <w:t xml:space="preserve">. Available: </w:t>
      </w:r>
      <w:hyperlink r:id="rId188" w:history="1">
        <w:r w:rsidRPr="00215381">
          <w:rPr>
            <w:rStyle w:val="Hyperlink"/>
            <w:noProof/>
          </w:rPr>
          <w:t>http://www.defence.gov.au/Health/_master/HealthUpdates/docs/Defence_Mental_Health_Wellbeing_Strategy_2018-2023.PDF</w:t>
        </w:r>
      </w:hyperlink>
      <w:r w:rsidRPr="00B41BE0">
        <w:rPr>
          <w:noProof/>
        </w:rPr>
        <w:t xml:space="preserve"> </w:t>
      </w:r>
      <w:bookmarkEnd w:id="1600"/>
    </w:p>
    <w:p w14:paraId="2A75C1B4" w14:textId="77777777" w:rsidR="00FC0D42" w:rsidRPr="00B41BE0" w:rsidRDefault="00FC0D42" w:rsidP="00FC0D42">
      <w:pPr>
        <w:pStyle w:val="References"/>
        <w:rPr>
          <w:noProof/>
        </w:rPr>
      </w:pPr>
      <w:bookmarkStart w:id="1601" w:name="_ENREF_10"/>
      <w:r w:rsidRPr="00B41BE0">
        <w:rPr>
          <w:noProof/>
        </w:rPr>
        <w:t xml:space="preserve">Australian Government Department of Health and Ageing. (2012). </w:t>
      </w:r>
      <w:r w:rsidRPr="00B41BE0">
        <w:rPr>
          <w:i/>
          <w:noProof/>
        </w:rPr>
        <w:t>E-mental health strategy for Australia</w:t>
      </w:r>
      <w:r w:rsidRPr="00B41BE0">
        <w:rPr>
          <w:noProof/>
        </w:rPr>
        <w:t xml:space="preserve">. Canberra: Commonwealth of Australia. Available: </w:t>
      </w:r>
      <w:hyperlink r:id="rId189" w:history="1">
        <w:r w:rsidRPr="00215381">
          <w:rPr>
            <w:rStyle w:val="Hyperlink"/>
            <w:noProof/>
          </w:rPr>
          <w:t>http://www.health.gov.au/internet/main/publishing.nsf/content/7C7B0BFEB985D0EBCA257BF0001BB0A6/$File/emstrat.pdf</w:t>
        </w:r>
      </w:hyperlink>
      <w:r w:rsidRPr="00B41BE0">
        <w:rPr>
          <w:noProof/>
        </w:rPr>
        <w:t xml:space="preserve"> </w:t>
      </w:r>
      <w:bookmarkEnd w:id="1601"/>
    </w:p>
    <w:p w14:paraId="0294E37F" w14:textId="77777777" w:rsidR="00FC0D42" w:rsidRPr="00452872" w:rsidRDefault="00FC0D42" w:rsidP="00FC0D42">
      <w:pPr>
        <w:pStyle w:val="References"/>
        <w:rPr>
          <w:noProof/>
        </w:rPr>
      </w:pPr>
      <w:bookmarkStart w:id="1602" w:name="_ENREF_11"/>
      <w:r w:rsidRPr="00B41BE0">
        <w:rPr>
          <w:noProof/>
        </w:rPr>
        <w:t xml:space="preserve">Australian Government Department of Veterans’ Affairs. (2013). </w:t>
      </w:r>
      <w:r w:rsidRPr="00452872">
        <w:rPr>
          <w:noProof/>
        </w:rPr>
        <w:t>Veteran Mental Health Strategy: A Ten Year Framework 2013 – 2023</w:t>
      </w:r>
      <w:r w:rsidRPr="00B41BE0">
        <w:rPr>
          <w:noProof/>
        </w:rPr>
        <w:t xml:space="preserve">. Canberra: </w:t>
      </w:r>
      <w:r>
        <w:rPr>
          <w:noProof/>
        </w:rPr>
        <w:t>Author</w:t>
      </w:r>
      <w:r w:rsidRPr="00B41BE0">
        <w:rPr>
          <w:noProof/>
        </w:rPr>
        <w:t>. Available:</w:t>
      </w:r>
      <w:r w:rsidRPr="00452872">
        <w:rPr>
          <w:noProof/>
        </w:rPr>
        <w:t xml:space="preserve"> Veteran Mental and Social Health Strategies | Department of Veterans' Affairs.</w:t>
      </w:r>
    </w:p>
    <w:p w14:paraId="24E82F18" w14:textId="77777777" w:rsidR="00FC0D42" w:rsidRPr="00B41BE0" w:rsidRDefault="00FC0D42" w:rsidP="00FC0D42">
      <w:pPr>
        <w:pStyle w:val="References"/>
        <w:rPr>
          <w:noProof/>
        </w:rPr>
      </w:pPr>
      <w:bookmarkStart w:id="1603" w:name="_ENREF_12"/>
      <w:bookmarkEnd w:id="1602"/>
      <w:r w:rsidRPr="00B41BE0">
        <w:rPr>
          <w:noProof/>
        </w:rPr>
        <w:t xml:space="preserve">Australian Government Department of Veterans’ Affairs. (2016). </w:t>
      </w:r>
      <w:r w:rsidRPr="00B41BE0">
        <w:rPr>
          <w:i/>
          <w:noProof/>
        </w:rPr>
        <w:t>Mental and Social Health Action Plan 2015 and 2016</w:t>
      </w:r>
      <w:r w:rsidRPr="00B41BE0">
        <w:rPr>
          <w:noProof/>
        </w:rPr>
        <w:t xml:space="preserve">. Canberra: </w:t>
      </w:r>
      <w:r>
        <w:rPr>
          <w:noProof/>
        </w:rPr>
        <w:t>Author</w:t>
      </w:r>
      <w:r w:rsidRPr="00B41BE0">
        <w:rPr>
          <w:noProof/>
        </w:rPr>
        <w:t xml:space="preserve">. Available: </w:t>
      </w:r>
      <w:hyperlink r:id="rId190" w:history="1">
        <w:r w:rsidRPr="00215381">
          <w:rPr>
            <w:rStyle w:val="Hyperlink"/>
            <w:noProof/>
          </w:rPr>
          <w:t>https://www.dva.gov.au/sites/default/files/files/publications/health/mental-social_health_action_plan.pdf</w:t>
        </w:r>
      </w:hyperlink>
      <w:r w:rsidRPr="00B41BE0">
        <w:rPr>
          <w:noProof/>
        </w:rPr>
        <w:t xml:space="preserve"> </w:t>
      </w:r>
      <w:bookmarkEnd w:id="1603"/>
    </w:p>
    <w:p w14:paraId="7A6368C9" w14:textId="77777777" w:rsidR="00FC0D42" w:rsidRPr="00B41BE0" w:rsidRDefault="00FC0D42" w:rsidP="00FC0D42">
      <w:pPr>
        <w:pStyle w:val="References"/>
        <w:rPr>
          <w:noProof/>
        </w:rPr>
      </w:pPr>
      <w:bookmarkStart w:id="1604" w:name="_ENREF_13"/>
      <w:r w:rsidRPr="00B41BE0">
        <w:rPr>
          <w:noProof/>
        </w:rPr>
        <w:t xml:space="preserve">Australian Government Digital Health Agency. (2018a). </w:t>
      </w:r>
      <w:r w:rsidRPr="00B41BE0">
        <w:rPr>
          <w:i/>
          <w:noProof/>
        </w:rPr>
        <w:t>Australia's National Digital Health strategy</w:t>
      </w:r>
      <w:r>
        <w:rPr>
          <w:i/>
          <w:noProof/>
        </w:rPr>
        <w:t xml:space="preserve"> – </w:t>
      </w:r>
      <w:r w:rsidRPr="00B41BE0">
        <w:rPr>
          <w:i/>
          <w:noProof/>
        </w:rPr>
        <w:t>Safe, seamless and secure</w:t>
      </w:r>
      <w:r w:rsidRPr="00B41BE0">
        <w:rPr>
          <w:noProof/>
        </w:rPr>
        <w:t xml:space="preserve">. Available: </w:t>
      </w:r>
      <w:hyperlink r:id="rId191" w:history="1">
        <w:r w:rsidRPr="00215381">
          <w:rPr>
            <w:rStyle w:val="Hyperlink"/>
            <w:noProof/>
          </w:rPr>
          <w:t>https://www.digitalhealth.gov.au/about-the-agency/publications/australias-national-digital-health-strategy</w:t>
        </w:r>
      </w:hyperlink>
      <w:r w:rsidRPr="00B41BE0">
        <w:rPr>
          <w:noProof/>
        </w:rPr>
        <w:t xml:space="preserve"> </w:t>
      </w:r>
      <w:bookmarkEnd w:id="1604"/>
    </w:p>
    <w:p w14:paraId="52B7D949" w14:textId="77777777" w:rsidR="00FC0D42" w:rsidRPr="00B41BE0" w:rsidRDefault="00FC0D42" w:rsidP="00FC0D42">
      <w:pPr>
        <w:pStyle w:val="References"/>
        <w:rPr>
          <w:noProof/>
        </w:rPr>
      </w:pPr>
      <w:bookmarkStart w:id="1605" w:name="_ENREF_14"/>
      <w:r w:rsidRPr="00B41BE0">
        <w:rPr>
          <w:noProof/>
        </w:rPr>
        <w:t xml:space="preserve">Australian Government Digital Health Agency. (2018b). </w:t>
      </w:r>
      <w:r w:rsidRPr="00B41BE0">
        <w:rPr>
          <w:i/>
          <w:noProof/>
        </w:rPr>
        <w:t>Digital Service Standard</w:t>
      </w:r>
      <w:r w:rsidRPr="00B41BE0">
        <w:rPr>
          <w:noProof/>
        </w:rPr>
        <w:t xml:space="preserve">. </w:t>
      </w:r>
      <w:r>
        <w:rPr>
          <w:noProof/>
        </w:rPr>
        <w:t>Retrieved from</w:t>
      </w:r>
      <w:r w:rsidRPr="00B41BE0">
        <w:rPr>
          <w:noProof/>
        </w:rPr>
        <w:t xml:space="preserve"> </w:t>
      </w:r>
      <w:hyperlink r:id="rId192" w:history="1">
        <w:r w:rsidRPr="00215381">
          <w:rPr>
            <w:rStyle w:val="Hyperlink"/>
            <w:noProof/>
          </w:rPr>
          <w:t>https://www.dta.gov.au/standard/</w:t>
        </w:r>
      </w:hyperlink>
      <w:r w:rsidRPr="00B41BE0">
        <w:rPr>
          <w:noProof/>
        </w:rPr>
        <w:t xml:space="preserve"> </w:t>
      </w:r>
      <w:bookmarkEnd w:id="1605"/>
    </w:p>
    <w:p w14:paraId="72179F81" w14:textId="77777777" w:rsidR="00FC0D42" w:rsidRPr="00B41BE0" w:rsidRDefault="00FC0D42" w:rsidP="00FC0D42">
      <w:pPr>
        <w:pStyle w:val="References"/>
        <w:rPr>
          <w:noProof/>
        </w:rPr>
      </w:pPr>
      <w:bookmarkStart w:id="1606" w:name="_ENREF_15"/>
      <w:r w:rsidRPr="00B41BE0">
        <w:rPr>
          <w:noProof/>
        </w:rPr>
        <w:t xml:space="preserve">Australian Institute of Health and Welfare. (2014). </w:t>
      </w:r>
      <w:r w:rsidRPr="00B41BE0">
        <w:rPr>
          <w:i/>
          <w:noProof/>
        </w:rPr>
        <w:t>National Drug Strategy Household Survey detailed report: 2013</w:t>
      </w:r>
      <w:r w:rsidRPr="00B41BE0">
        <w:rPr>
          <w:noProof/>
        </w:rPr>
        <w:t xml:space="preserve">. Drug statistics series </w:t>
      </w:r>
      <w:r>
        <w:rPr>
          <w:noProof/>
        </w:rPr>
        <w:t>N</w:t>
      </w:r>
      <w:r w:rsidRPr="00B41BE0">
        <w:rPr>
          <w:noProof/>
        </w:rPr>
        <w:t xml:space="preserve">o. 28. </w:t>
      </w:r>
      <w:r>
        <w:rPr>
          <w:noProof/>
        </w:rPr>
        <w:t xml:space="preserve">(No. </w:t>
      </w:r>
      <w:r w:rsidRPr="00B41BE0">
        <w:rPr>
          <w:noProof/>
        </w:rPr>
        <w:t>PHE 183</w:t>
      </w:r>
      <w:r>
        <w:rPr>
          <w:noProof/>
        </w:rPr>
        <w:t>)</w:t>
      </w:r>
      <w:r w:rsidRPr="00B41BE0">
        <w:rPr>
          <w:noProof/>
        </w:rPr>
        <w:t xml:space="preserve">. Canberra: AIHW. Available: </w:t>
      </w:r>
      <w:hyperlink r:id="rId193" w:history="1">
        <w:r w:rsidRPr="00215381">
          <w:rPr>
            <w:rStyle w:val="Hyperlink"/>
            <w:noProof/>
          </w:rPr>
          <w:t>https://www.aihw.gov.au/reports/illicit-use-of-drugs/ndshs-2013-detailed/contents/table-of-contents</w:t>
        </w:r>
      </w:hyperlink>
      <w:r w:rsidRPr="00B41BE0">
        <w:rPr>
          <w:noProof/>
        </w:rPr>
        <w:t xml:space="preserve"> [Accessed November 2016].</w:t>
      </w:r>
      <w:bookmarkEnd w:id="1606"/>
    </w:p>
    <w:p w14:paraId="0F4F1DD7" w14:textId="77777777" w:rsidR="00FC0D42" w:rsidRPr="00B41BE0" w:rsidRDefault="00FC0D42" w:rsidP="00FC0D42">
      <w:pPr>
        <w:pStyle w:val="References"/>
        <w:rPr>
          <w:noProof/>
        </w:rPr>
      </w:pPr>
      <w:bookmarkStart w:id="1607" w:name="_ENREF_16"/>
      <w:r w:rsidRPr="00B41BE0">
        <w:rPr>
          <w:noProof/>
        </w:rPr>
        <w:t xml:space="preserve">Babor, E., </w:t>
      </w:r>
      <w:r>
        <w:rPr>
          <w:noProof/>
        </w:rPr>
        <w:t xml:space="preserve">de la </w:t>
      </w:r>
      <w:r w:rsidRPr="00B41BE0">
        <w:rPr>
          <w:noProof/>
        </w:rPr>
        <w:t xml:space="preserve">Fuente, J., Saunders, J. &amp; Grant, M. (1989). </w:t>
      </w:r>
      <w:r w:rsidRPr="00B41BE0">
        <w:rPr>
          <w:i/>
          <w:noProof/>
        </w:rPr>
        <w:t>The Alcohol Use Disorder Identification Test: Guidelines for use in primary health care</w:t>
      </w:r>
      <w:r w:rsidRPr="006A3EA0">
        <w:rPr>
          <w:noProof/>
        </w:rPr>
        <w:t>.</w:t>
      </w:r>
      <w:r w:rsidRPr="00B41BE0">
        <w:rPr>
          <w:i/>
          <w:noProof/>
        </w:rPr>
        <w:t xml:space="preserve"> </w:t>
      </w:r>
      <w:r w:rsidRPr="00B41BE0">
        <w:rPr>
          <w:noProof/>
        </w:rPr>
        <w:t>Geneva: World Health Organization, Division of Mental Health.</w:t>
      </w:r>
      <w:bookmarkEnd w:id="1607"/>
    </w:p>
    <w:p w14:paraId="69386BE3" w14:textId="77777777" w:rsidR="00FC0D42" w:rsidRPr="00B41BE0" w:rsidRDefault="00FC0D42" w:rsidP="00FC0D42">
      <w:pPr>
        <w:pStyle w:val="References"/>
        <w:rPr>
          <w:noProof/>
        </w:rPr>
      </w:pPr>
      <w:bookmarkStart w:id="1608" w:name="_ENREF_17"/>
      <w:r w:rsidRPr="00B41BE0">
        <w:rPr>
          <w:noProof/>
        </w:rPr>
        <w:t xml:space="preserve">Babor, T. F., Higgins-Biddle, J., Saunders, J. B. &amp; Monteiro, M. (2001). </w:t>
      </w:r>
      <w:r w:rsidRPr="00B41BE0">
        <w:rPr>
          <w:i/>
          <w:noProof/>
        </w:rPr>
        <w:t xml:space="preserve">The Alcohol Use Disorders Identification Test (AUDIT): Guidelines for use in primary care, </w:t>
      </w:r>
      <w:r w:rsidRPr="00B41BE0">
        <w:rPr>
          <w:noProof/>
        </w:rPr>
        <w:t>Geneva: World Health Organization, Department of Mental Health and Substance Dependence.</w:t>
      </w:r>
      <w:bookmarkEnd w:id="1608"/>
    </w:p>
    <w:p w14:paraId="348FD8CE" w14:textId="77777777" w:rsidR="00FC0D42" w:rsidRPr="00B41BE0" w:rsidRDefault="00FC0D42" w:rsidP="00FC0D42">
      <w:pPr>
        <w:pStyle w:val="References"/>
        <w:rPr>
          <w:noProof/>
        </w:rPr>
      </w:pPr>
      <w:bookmarkStart w:id="1609" w:name="_ENREF_18"/>
      <w:r w:rsidRPr="00B41BE0">
        <w:rPr>
          <w:noProof/>
        </w:rPr>
        <w:t xml:space="preserve">Bastien, C. H., Vallieres, A. &amp; Morin, C. M. (2001). Validation of the Insomnia Severity Index as an outcome measure for insomnia research. </w:t>
      </w:r>
      <w:r w:rsidRPr="00B41BE0">
        <w:rPr>
          <w:i/>
          <w:noProof/>
        </w:rPr>
        <w:t>Sleep Medicine,</w:t>
      </w:r>
      <w:r w:rsidRPr="00B41BE0">
        <w:rPr>
          <w:noProof/>
        </w:rPr>
        <w:t xml:space="preserve"> </w:t>
      </w:r>
      <w:r w:rsidRPr="00794B75">
        <w:rPr>
          <w:i/>
          <w:noProof/>
        </w:rPr>
        <w:t>2</w:t>
      </w:r>
      <w:r w:rsidRPr="00B41BE0">
        <w:rPr>
          <w:noProof/>
        </w:rPr>
        <w:t>(4), 297</w:t>
      </w:r>
      <w:r>
        <w:rPr>
          <w:noProof/>
        </w:rPr>
        <w:t>–</w:t>
      </w:r>
      <w:r w:rsidRPr="00B41BE0">
        <w:rPr>
          <w:noProof/>
        </w:rPr>
        <w:t>307.</w:t>
      </w:r>
      <w:bookmarkEnd w:id="1609"/>
    </w:p>
    <w:p w14:paraId="0D7D1B8C" w14:textId="77777777" w:rsidR="00FC0D42" w:rsidRPr="00B41BE0" w:rsidRDefault="00FC0D42" w:rsidP="00FC0D42">
      <w:pPr>
        <w:pStyle w:val="References"/>
        <w:rPr>
          <w:noProof/>
        </w:rPr>
      </w:pPr>
      <w:bookmarkStart w:id="1610" w:name="_ENREF_19"/>
      <w:r w:rsidRPr="00B41BE0">
        <w:rPr>
          <w:noProof/>
        </w:rPr>
        <w:t xml:space="preserve">Brooks, E., Manson, S. M., Bair, B., Dailey, N. &amp; Shore, J. H. (2012). The diffusion of telehealth in rural American Indian communities: A retrospective survey of key stakeholders. </w:t>
      </w:r>
      <w:r w:rsidRPr="00B41BE0">
        <w:rPr>
          <w:i/>
          <w:noProof/>
        </w:rPr>
        <w:t>Telemedicine and e-Health,</w:t>
      </w:r>
      <w:r w:rsidRPr="00B41BE0">
        <w:rPr>
          <w:noProof/>
        </w:rPr>
        <w:t xml:space="preserve"> </w:t>
      </w:r>
      <w:r w:rsidRPr="00794B75">
        <w:rPr>
          <w:i/>
          <w:noProof/>
        </w:rPr>
        <w:t>18</w:t>
      </w:r>
      <w:r w:rsidRPr="00B41BE0">
        <w:rPr>
          <w:noProof/>
        </w:rPr>
        <w:t>(1), 60</w:t>
      </w:r>
      <w:r>
        <w:rPr>
          <w:noProof/>
        </w:rPr>
        <w:t>–</w:t>
      </w:r>
      <w:r w:rsidRPr="00B41BE0">
        <w:rPr>
          <w:noProof/>
        </w:rPr>
        <w:t>66.</w:t>
      </w:r>
      <w:bookmarkEnd w:id="1610"/>
    </w:p>
    <w:p w14:paraId="139692FE" w14:textId="77777777" w:rsidR="00FC0D42" w:rsidRPr="00B41BE0" w:rsidRDefault="00FC0D42" w:rsidP="00FC0D42">
      <w:pPr>
        <w:pStyle w:val="References"/>
        <w:rPr>
          <w:noProof/>
        </w:rPr>
      </w:pPr>
      <w:bookmarkStart w:id="1611" w:name="_ENREF_20"/>
      <w:r w:rsidRPr="00B41BE0">
        <w:rPr>
          <w:noProof/>
        </w:rPr>
        <w:t xml:space="preserve">Brugha, T., Bebbington, P., Tennant, C. &amp; Hurry, J. (1985). The </w:t>
      </w:r>
      <w:r>
        <w:rPr>
          <w:noProof/>
        </w:rPr>
        <w:t>l</w:t>
      </w:r>
      <w:r w:rsidRPr="00B41BE0">
        <w:rPr>
          <w:noProof/>
        </w:rPr>
        <w:t xml:space="preserve">ist of </w:t>
      </w:r>
      <w:r>
        <w:rPr>
          <w:noProof/>
        </w:rPr>
        <w:t>t</w:t>
      </w:r>
      <w:r w:rsidRPr="00B41BE0">
        <w:rPr>
          <w:noProof/>
        </w:rPr>
        <w:t xml:space="preserve">hreatening </w:t>
      </w:r>
      <w:r>
        <w:rPr>
          <w:noProof/>
        </w:rPr>
        <w:t>e</w:t>
      </w:r>
      <w:r w:rsidRPr="00B41BE0">
        <w:rPr>
          <w:noProof/>
        </w:rPr>
        <w:t>xperiences: a subset of 12 life event categories with considerable long</w:t>
      </w:r>
      <w:r>
        <w:rPr>
          <w:noProof/>
        </w:rPr>
        <w:t>-</w:t>
      </w:r>
      <w:r w:rsidRPr="00B41BE0">
        <w:rPr>
          <w:noProof/>
        </w:rPr>
        <w:t xml:space="preserve">term contextual threat. </w:t>
      </w:r>
      <w:r w:rsidRPr="00B41BE0">
        <w:rPr>
          <w:i/>
          <w:noProof/>
        </w:rPr>
        <w:t>Psychological Medicine,</w:t>
      </w:r>
      <w:r w:rsidRPr="00B41BE0">
        <w:rPr>
          <w:noProof/>
        </w:rPr>
        <w:t xml:space="preserve"> </w:t>
      </w:r>
      <w:r w:rsidRPr="004E0198">
        <w:rPr>
          <w:i/>
          <w:noProof/>
        </w:rPr>
        <w:t>15</w:t>
      </w:r>
      <w:r w:rsidRPr="00B41BE0">
        <w:rPr>
          <w:noProof/>
        </w:rPr>
        <w:t>(1), 189</w:t>
      </w:r>
      <w:r>
        <w:rPr>
          <w:noProof/>
        </w:rPr>
        <w:t>–</w:t>
      </w:r>
      <w:r w:rsidRPr="00B41BE0">
        <w:rPr>
          <w:noProof/>
        </w:rPr>
        <w:t>194.</w:t>
      </w:r>
      <w:bookmarkEnd w:id="1611"/>
    </w:p>
    <w:p w14:paraId="1291D88B" w14:textId="77777777" w:rsidR="00FC0D42" w:rsidRPr="00B41BE0" w:rsidRDefault="00FC0D42" w:rsidP="00FC0D42">
      <w:pPr>
        <w:pStyle w:val="References"/>
        <w:rPr>
          <w:noProof/>
        </w:rPr>
      </w:pPr>
      <w:bookmarkStart w:id="1612" w:name="_ENREF_21"/>
      <w:r w:rsidRPr="00B41BE0">
        <w:rPr>
          <w:noProof/>
        </w:rPr>
        <w:t xml:space="preserve">Burney, P., Luczynska, C., Chinn, S. &amp; Jarvis, D. (1994). The European Community </w:t>
      </w:r>
      <w:r>
        <w:rPr>
          <w:noProof/>
        </w:rPr>
        <w:t>r</w:t>
      </w:r>
      <w:r w:rsidRPr="00B41BE0">
        <w:rPr>
          <w:noProof/>
        </w:rPr>
        <w:t xml:space="preserve">espiratory </w:t>
      </w:r>
      <w:r>
        <w:rPr>
          <w:noProof/>
        </w:rPr>
        <w:t>h</w:t>
      </w:r>
      <w:r w:rsidRPr="00B41BE0">
        <w:rPr>
          <w:noProof/>
        </w:rPr>
        <w:t xml:space="preserve">ealth </w:t>
      </w:r>
      <w:r>
        <w:rPr>
          <w:noProof/>
        </w:rPr>
        <w:t>s</w:t>
      </w:r>
      <w:r w:rsidRPr="00B41BE0">
        <w:rPr>
          <w:noProof/>
        </w:rPr>
        <w:t xml:space="preserve">urvey. </w:t>
      </w:r>
      <w:r w:rsidRPr="00B41BE0">
        <w:rPr>
          <w:i/>
          <w:noProof/>
        </w:rPr>
        <w:t>European Respiratory Journal,</w:t>
      </w:r>
      <w:r w:rsidRPr="00B41BE0">
        <w:rPr>
          <w:noProof/>
        </w:rPr>
        <w:t xml:space="preserve"> </w:t>
      </w:r>
      <w:r w:rsidRPr="004E0198">
        <w:rPr>
          <w:i/>
          <w:noProof/>
        </w:rPr>
        <w:t>7</w:t>
      </w:r>
      <w:r w:rsidRPr="00B41BE0">
        <w:rPr>
          <w:noProof/>
        </w:rPr>
        <w:t>, 954</w:t>
      </w:r>
      <w:r>
        <w:rPr>
          <w:noProof/>
        </w:rPr>
        <w:t>–</w:t>
      </w:r>
      <w:r w:rsidRPr="00B41BE0">
        <w:rPr>
          <w:noProof/>
        </w:rPr>
        <w:t>960.</w:t>
      </w:r>
      <w:bookmarkEnd w:id="1612"/>
    </w:p>
    <w:p w14:paraId="002CFDCE" w14:textId="77777777" w:rsidR="00FC0D42" w:rsidRPr="00B41BE0" w:rsidRDefault="00FC0D42" w:rsidP="00FC0D42">
      <w:pPr>
        <w:pStyle w:val="References"/>
        <w:rPr>
          <w:noProof/>
        </w:rPr>
      </w:pPr>
      <w:bookmarkStart w:id="1613" w:name="_ENREF_22"/>
      <w:r w:rsidRPr="00B41BE0">
        <w:rPr>
          <w:noProof/>
        </w:rPr>
        <w:t xml:space="preserve">Burns, J. (2018). </w:t>
      </w:r>
      <w:r w:rsidRPr="00B41BE0">
        <w:rPr>
          <w:i/>
          <w:noProof/>
        </w:rPr>
        <w:t>Technology: Rewards for public health stunning</w:t>
      </w:r>
      <w:r w:rsidRPr="00B41BE0">
        <w:rPr>
          <w:noProof/>
        </w:rPr>
        <w:t xml:space="preserve">. MJA Insight, 3 April 2018. </w:t>
      </w:r>
      <w:r>
        <w:rPr>
          <w:noProof/>
        </w:rPr>
        <w:t xml:space="preserve">Available: </w:t>
      </w:r>
      <w:hyperlink r:id="rId194" w:history="1">
        <w:r w:rsidRPr="00215381">
          <w:rPr>
            <w:rStyle w:val="Hyperlink"/>
            <w:noProof/>
          </w:rPr>
          <w:t>https://www.doctorportal.com.au/mjainsight/2018/12/technology-rewards-for-public-health-stunning/</w:t>
        </w:r>
      </w:hyperlink>
      <w:r w:rsidRPr="00B41BE0">
        <w:rPr>
          <w:noProof/>
        </w:rPr>
        <w:t xml:space="preserve"> </w:t>
      </w:r>
      <w:bookmarkEnd w:id="1613"/>
    </w:p>
    <w:p w14:paraId="591168E1" w14:textId="77777777" w:rsidR="00FC0D42" w:rsidRPr="00B41BE0" w:rsidRDefault="00FC0D42" w:rsidP="00FC0D42">
      <w:pPr>
        <w:pStyle w:val="References"/>
        <w:rPr>
          <w:noProof/>
        </w:rPr>
      </w:pPr>
      <w:bookmarkStart w:id="1614" w:name="_ENREF_23"/>
      <w:r w:rsidRPr="00B41BE0">
        <w:rPr>
          <w:noProof/>
        </w:rPr>
        <w:t xml:space="preserve">Burns, J., Liacos, G. &amp; Green, F. (2015). </w:t>
      </w:r>
      <w:r w:rsidRPr="00B41BE0">
        <w:rPr>
          <w:i/>
          <w:noProof/>
        </w:rPr>
        <w:t>NMHC Advice-on-Innovative-Technologies-in-eMental-Health: Briefing Paper for the National Mental Health Commission</w:t>
      </w:r>
      <w:r>
        <w:rPr>
          <w:i/>
          <w:noProof/>
        </w:rPr>
        <w:t>.</w:t>
      </w:r>
      <w:r w:rsidRPr="00B41BE0">
        <w:rPr>
          <w:i/>
          <w:noProof/>
        </w:rPr>
        <w:t xml:space="preserve"> </w:t>
      </w:r>
      <w:r w:rsidRPr="00B41BE0">
        <w:rPr>
          <w:noProof/>
        </w:rPr>
        <w:t>Victoria: Young and Well Cooperative Research Centre.</w:t>
      </w:r>
      <w:bookmarkEnd w:id="1614"/>
    </w:p>
    <w:p w14:paraId="0BF15D8E" w14:textId="77777777" w:rsidR="00FC0D42" w:rsidRPr="00B41BE0" w:rsidRDefault="00FC0D42" w:rsidP="00FC0D42">
      <w:pPr>
        <w:pStyle w:val="References"/>
        <w:rPr>
          <w:noProof/>
        </w:rPr>
      </w:pPr>
      <w:bookmarkStart w:id="1615" w:name="_ENREF_24"/>
      <w:r w:rsidRPr="00B41BE0">
        <w:rPr>
          <w:noProof/>
        </w:rPr>
        <w:t xml:space="preserve">Burns, J. M., Davenport, T. A., Christensen, H., Luscombe, G. M., Mendoza, J. A., Bresnan, A., Blanchard, M. E. &amp; Hickie, I. B. (2013). </w:t>
      </w:r>
      <w:r w:rsidRPr="00B41BE0">
        <w:rPr>
          <w:i/>
          <w:noProof/>
        </w:rPr>
        <w:t xml:space="preserve">Game on: Exploring the impact of technologies on young men’s mental health and wellbeing. Findings from the first Young and Well National Survey, </w:t>
      </w:r>
      <w:r w:rsidRPr="00B41BE0">
        <w:rPr>
          <w:noProof/>
        </w:rPr>
        <w:t>Melbourne: Young and Well Cooperative Research Centre.</w:t>
      </w:r>
      <w:bookmarkEnd w:id="1615"/>
    </w:p>
    <w:p w14:paraId="459EBBF8" w14:textId="77777777" w:rsidR="00FC0D42" w:rsidRPr="00B41BE0" w:rsidRDefault="00FC0D42" w:rsidP="00FC0D42">
      <w:pPr>
        <w:pStyle w:val="References"/>
        <w:rPr>
          <w:noProof/>
        </w:rPr>
      </w:pPr>
      <w:bookmarkStart w:id="1616" w:name="_ENREF_25"/>
      <w:r w:rsidRPr="00B41BE0">
        <w:rPr>
          <w:noProof/>
        </w:rPr>
        <w:t xml:space="preserve">Burns, J. M., Durkin, L. A. &amp; Nicholas, J. (2009). Mental health of young people in the United States: what role can the internet play in reducing stigma and promoting help seeking? </w:t>
      </w:r>
      <w:r w:rsidRPr="00B41BE0">
        <w:rPr>
          <w:i/>
          <w:noProof/>
        </w:rPr>
        <w:t>Journal of Adolescent Health,</w:t>
      </w:r>
      <w:r w:rsidRPr="00B41BE0">
        <w:rPr>
          <w:noProof/>
        </w:rPr>
        <w:t xml:space="preserve"> </w:t>
      </w:r>
      <w:r w:rsidRPr="004E0198">
        <w:rPr>
          <w:i/>
          <w:noProof/>
        </w:rPr>
        <w:t>45</w:t>
      </w:r>
      <w:r w:rsidRPr="00B41BE0">
        <w:rPr>
          <w:noProof/>
        </w:rPr>
        <w:t>(1), 95</w:t>
      </w:r>
      <w:r>
        <w:rPr>
          <w:noProof/>
        </w:rPr>
        <w:t>–</w:t>
      </w:r>
      <w:r w:rsidRPr="00B41BE0">
        <w:rPr>
          <w:noProof/>
        </w:rPr>
        <w:t>97.</w:t>
      </w:r>
      <w:bookmarkEnd w:id="1616"/>
    </w:p>
    <w:p w14:paraId="759DF973" w14:textId="77777777" w:rsidR="00FC0D42" w:rsidRPr="00B41BE0" w:rsidRDefault="00FC0D42" w:rsidP="00FC0D42">
      <w:pPr>
        <w:pStyle w:val="References"/>
        <w:rPr>
          <w:noProof/>
        </w:rPr>
      </w:pPr>
      <w:bookmarkStart w:id="1617" w:name="_ENREF_26"/>
      <w:r w:rsidRPr="00B41BE0">
        <w:rPr>
          <w:noProof/>
        </w:rPr>
        <w:t xml:space="preserve">Bush, N. E., Bosmajian, C. P., Fairall, J. M., McCann, R. A. &amp; Ciulla, R. P. (2011). afterdeployment. org: A web-based multimedia wellness resource for the postdeployment military community. </w:t>
      </w:r>
      <w:r w:rsidRPr="00B41BE0">
        <w:rPr>
          <w:i/>
          <w:noProof/>
        </w:rPr>
        <w:t>Professional Psychology: Research and Practice,</w:t>
      </w:r>
      <w:r w:rsidRPr="00B41BE0">
        <w:rPr>
          <w:noProof/>
        </w:rPr>
        <w:t xml:space="preserve"> </w:t>
      </w:r>
      <w:r w:rsidRPr="004E0198">
        <w:rPr>
          <w:i/>
          <w:noProof/>
        </w:rPr>
        <w:t>42</w:t>
      </w:r>
      <w:r w:rsidRPr="00B41BE0">
        <w:rPr>
          <w:noProof/>
        </w:rPr>
        <w:t>(6), 455</w:t>
      </w:r>
      <w:r>
        <w:rPr>
          <w:noProof/>
        </w:rPr>
        <w:t>–</w:t>
      </w:r>
      <w:r w:rsidRPr="00B41BE0">
        <w:rPr>
          <w:noProof/>
        </w:rPr>
        <w:t>462.</w:t>
      </w:r>
      <w:bookmarkEnd w:id="1617"/>
    </w:p>
    <w:p w14:paraId="4877A13F" w14:textId="77777777" w:rsidR="00FC0D42" w:rsidRPr="00B41BE0" w:rsidRDefault="00FC0D42" w:rsidP="00FC0D42">
      <w:pPr>
        <w:pStyle w:val="References"/>
        <w:rPr>
          <w:noProof/>
        </w:rPr>
      </w:pPr>
      <w:bookmarkStart w:id="1618" w:name="_ENREF_27"/>
      <w:r w:rsidRPr="00B41BE0">
        <w:rPr>
          <w:noProof/>
        </w:rPr>
        <w:t>Campanella, P., Lovato, E., Marone, C., Fallacara, L., Mancuso, A., Ricciardi, W. &amp; Specchia, M. L. (2015). The impact of electronic health records on healthcare quality: a systematic review and meta</w:t>
      </w:r>
      <w:r>
        <w:rPr>
          <w:noProof/>
        </w:rPr>
        <w:t>–</w:t>
      </w:r>
      <w:r w:rsidRPr="00B41BE0">
        <w:rPr>
          <w:noProof/>
        </w:rPr>
        <w:t xml:space="preserve">analysis. </w:t>
      </w:r>
      <w:r w:rsidRPr="00B41BE0">
        <w:rPr>
          <w:i/>
          <w:noProof/>
        </w:rPr>
        <w:t>The European Journal of Public Health,</w:t>
      </w:r>
      <w:r w:rsidRPr="00B41BE0">
        <w:rPr>
          <w:noProof/>
        </w:rPr>
        <w:t xml:space="preserve"> </w:t>
      </w:r>
      <w:r w:rsidRPr="004E0198">
        <w:rPr>
          <w:i/>
          <w:noProof/>
        </w:rPr>
        <w:t>26</w:t>
      </w:r>
      <w:r w:rsidRPr="00B41BE0">
        <w:rPr>
          <w:noProof/>
        </w:rPr>
        <w:t>(1), 60</w:t>
      </w:r>
      <w:r>
        <w:rPr>
          <w:noProof/>
        </w:rPr>
        <w:t>–</w:t>
      </w:r>
      <w:r w:rsidRPr="00B41BE0">
        <w:rPr>
          <w:noProof/>
        </w:rPr>
        <w:t>64.</w:t>
      </w:r>
      <w:bookmarkEnd w:id="1618"/>
    </w:p>
    <w:p w14:paraId="3071BA17" w14:textId="77777777" w:rsidR="00FC0D42" w:rsidRPr="00B41BE0" w:rsidRDefault="00FC0D42" w:rsidP="00FC0D42">
      <w:pPr>
        <w:pStyle w:val="References"/>
        <w:rPr>
          <w:noProof/>
        </w:rPr>
      </w:pPr>
      <w:bookmarkStart w:id="1619" w:name="_ENREF_28"/>
      <w:r w:rsidRPr="00B41BE0">
        <w:rPr>
          <w:noProof/>
        </w:rPr>
        <w:t xml:space="preserve">Chipps, J., Brysiewicz, P. &amp; Mars, M. (2012). Effectiveness and feasibility of telepsychiatry in resource constrained environments? A systematic review of the evidence. </w:t>
      </w:r>
      <w:r w:rsidRPr="00B41BE0">
        <w:rPr>
          <w:i/>
          <w:noProof/>
        </w:rPr>
        <w:t>African Journal of Psychiatry,</w:t>
      </w:r>
      <w:r w:rsidRPr="00B41BE0">
        <w:rPr>
          <w:noProof/>
        </w:rPr>
        <w:t xml:space="preserve"> </w:t>
      </w:r>
      <w:r w:rsidRPr="004E0198">
        <w:rPr>
          <w:i/>
          <w:noProof/>
        </w:rPr>
        <w:t>15</w:t>
      </w:r>
      <w:r w:rsidRPr="00B41BE0">
        <w:rPr>
          <w:noProof/>
        </w:rPr>
        <w:t>(4), 235</w:t>
      </w:r>
      <w:r>
        <w:rPr>
          <w:noProof/>
        </w:rPr>
        <w:t>–</w:t>
      </w:r>
      <w:r w:rsidRPr="00B41BE0">
        <w:rPr>
          <w:noProof/>
        </w:rPr>
        <w:t>243.</w:t>
      </w:r>
      <w:bookmarkEnd w:id="1619"/>
    </w:p>
    <w:p w14:paraId="15FCD3C8" w14:textId="77777777" w:rsidR="00FC0D42" w:rsidRPr="00B41BE0" w:rsidRDefault="00FC0D42" w:rsidP="00FC0D42">
      <w:pPr>
        <w:pStyle w:val="References"/>
        <w:rPr>
          <w:noProof/>
        </w:rPr>
      </w:pPr>
      <w:bookmarkStart w:id="1620" w:name="_ENREF_29"/>
      <w:r w:rsidRPr="00B41BE0">
        <w:rPr>
          <w:noProof/>
        </w:rPr>
        <w:t>Christensen, H. &amp; Petrie, K. (2013). State of the e</w:t>
      </w:r>
      <w:r>
        <w:rPr>
          <w:noProof/>
        </w:rPr>
        <w:t>–</w:t>
      </w:r>
      <w:r w:rsidRPr="00B41BE0">
        <w:rPr>
          <w:noProof/>
        </w:rPr>
        <w:t xml:space="preserve">mental health field in Australia: where are we now? </w:t>
      </w:r>
      <w:r w:rsidRPr="00B41BE0">
        <w:rPr>
          <w:i/>
          <w:noProof/>
        </w:rPr>
        <w:t>Australian &amp; New Zealand Journal of Psychiatry,</w:t>
      </w:r>
      <w:r w:rsidRPr="00B41BE0">
        <w:rPr>
          <w:noProof/>
        </w:rPr>
        <w:t xml:space="preserve"> </w:t>
      </w:r>
      <w:r w:rsidRPr="004E0198">
        <w:rPr>
          <w:i/>
          <w:noProof/>
        </w:rPr>
        <w:t>47</w:t>
      </w:r>
      <w:r w:rsidRPr="00B41BE0">
        <w:rPr>
          <w:noProof/>
        </w:rPr>
        <w:t>(2), 117</w:t>
      </w:r>
      <w:r>
        <w:rPr>
          <w:noProof/>
        </w:rPr>
        <w:t>–</w:t>
      </w:r>
      <w:r w:rsidRPr="00B41BE0">
        <w:rPr>
          <w:noProof/>
        </w:rPr>
        <w:t>120.</w:t>
      </w:r>
      <w:bookmarkEnd w:id="1620"/>
    </w:p>
    <w:p w14:paraId="1F5567D1" w14:textId="77777777" w:rsidR="00FC0D42" w:rsidRPr="00B41BE0" w:rsidRDefault="00FC0D42" w:rsidP="00FC0D42">
      <w:pPr>
        <w:pStyle w:val="References"/>
        <w:rPr>
          <w:noProof/>
        </w:rPr>
      </w:pPr>
      <w:bookmarkStart w:id="1621" w:name="_ENREF_30"/>
      <w:r w:rsidRPr="00B41BE0">
        <w:rPr>
          <w:noProof/>
        </w:rPr>
        <w:t xml:space="preserve">Collin, P., Rahilly, K., Richardson, I. &amp; Third, A. (2011). </w:t>
      </w:r>
      <w:r w:rsidRPr="00B41BE0">
        <w:rPr>
          <w:i/>
          <w:noProof/>
        </w:rPr>
        <w:t xml:space="preserve">The </w:t>
      </w:r>
      <w:r>
        <w:rPr>
          <w:i/>
          <w:noProof/>
        </w:rPr>
        <w:t>b</w:t>
      </w:r>
      <w:r w:rsidRPr="00B41BE0">
        <w:rPr>
          <w:i/>
          <w:noProof/>
        </w:rPr>
        <w:t xml:space="preserve">enefits of </w:t>
      </w:r>
      <w:r>
        <w:rPr>
          <w:i/>
          <w:noProof/>
        </w:rPr>
        <w:t>s</w:t>
      </w:r>
      <w:r w:rsidRPr="00B41BE0">
        <w:rPr>
          <w:i/>
          <w:noProof/>
        </w:rPr>
        <w:t xml:space="preserve">ocial </w:t>
      </w:r>
      <w:r>
        <w:rPr>
          <w:i/>
          <w:noProof/>
        </w:rPr>
        <w:t>n</w:t>
      </w:r>
      <w:r w:rsidRPr="00B41BE0">
        <w:rPr>
          <w:i/>
          <w:noProof/>
        </w:rPr>
        <w:t>etworking Services</w:t>
      </w:r>
      <w:r w:rsidRPr="004E0198">
        <w:rPr>
          <w:noProof/>
        </w:rPr>
        <w:t>.</w:t>
      </w:r>
      <w:r w:rsidRPr="00B41BE0">
        <w:rPr>
          <w:i/>
          <w:noProof/>
        </w:rPr>
        <w:t xml:space="preserve"> </w:t>
      </w:r>
      <w:r w:rsidRPr="00B41BE0">
        <w:rPr>
          <w:noProof/>
        </w:rPr>
        <w:t>Sydney: Cooperative Research Centre for Young People, Technology and Wellbeing.</w:t>
      </w:r>
      <w:bookmarkEnd w:id="1621"/>
    </w:p>
    <w:p w14:paraId="2A7C6D55" w14:textId="77777777" w:rsidR="00FC0D42" w:rsidRPr="00B41BE0" w:rsidRDefault="00FC0D42" w:rsidP="00FC0D42">
      <w:pPr>
        <w:pStyle w:val="References"/>
        <w:rPr>
          <w:noProof/>
        </w:rPr>
      </w:pPr>
      <w:bookmarkStart w:id="1622" w:name="_ENREF_31"/>
      <w:r w:rsidRPr="00B41BE0">
        <w:rPr>
          <w:noProof/>
        </w:rPr>
        <w:t xml:space="preserve">Corrigan, J. D. &amp; Bogner, J. A. (2007). Initial reliability and validity of the OSU TBI identification method. </w:t>
      </w:r>
      <w:r w:rsidRPr="00B41BE0">
        <w:rPr>
          <w:i/>
          <w:noProof/>
        </w:rPr>
        <w:t>Journal of Head Trauma Rehabilitation,</w:t>
      </w:r>
      <w:r w:rsidRPr="00B41BE0">
        <w:rPr>
          <w:noProof/>
        </w:rPr>
        <w:t xml:space="preserve"> </w:t>
      </w:r>
      <w:r w:rsidRPr="004E0198">
        <w:rPr>
          <w:i/>
          <w:noProof/>
        </w:rPr>
        <w:t>22</w:t>
      </w:r>
      <w:r w:rsidRPr="00B41BE0">
        <w:rPr>
          <w:noProof/>
        </w:rPr>
        <w:t>(6), 318</w:t>
      </w:r>
      <w:r>
        <w:rPr>
          <w:noProof/>
        </w:rPr>
        <w:t>–</w:t>
      </w:r>
      <w:r w:rsidRPr="00B41BE0">
        <w:rPr>
          <w:noProof/>
        </w:rPr>
        <w:t>329.</w:t>
      </w:r>
      <w:bookmarkEnd w:id="1622"/>
    </w:p>
    <w:p w14:paraId="027B1665" w14:textId="77777777" w:rsidR="00FC0D42" w:rsidRPr="00B41BE0" w:rsidRDefault="00FC0D42" w:rsidP="00FC0D42">
      <w:pPr>
        <w:pStyle w:val="References"/>
        <w:rPr>
          <w:noProof/>
        </w:rPr>
      </w:pPr>
      <w:bookmarkStart w:id="1623" w:name="_ENREF_32"/>
      <w:r w:rsidRPr="00B41BE0">
        <w:rPr>
          <w:noProof/>
        </w:rPr>
        <w:t xml:space="preserve">Cosci, F. &amp; Fava, G. A. (2013). Staging of mental disorders: systematic review. </w:t>
      </w:r>
      <w:r w:rsidRPr="00B41BE0">
        <w:rPr>
          <w:i/>
          <w:noProof/>
        </w:rPr>
        <w:t>Psychotherapy and Psychosomatics,</w:t>
      </w:r>
      <w:r w:rsidRPr="004E0198">
        <w:rPr>
          <w:i/>
          <w:noProof/>
        </w:rPr>
        <w:t xml:space="preserve"> 82</w:t>
      </w:r>
      <w:r w:rsidRPr="00B41BE0">
        <w:rPr>
          <w:noProof/>
        </w:rPr>
        <w:t>(1), 20</w:t>
      </w:r>
      <w:r>
        <w:rPr>
          <w:noProof/>
        </w:rPr>
        <w:t>–</w:t>
      </w:r>
      <w:r w:rsidRPr="00B41BE0">
        <w:rPr>
          <w:noProof/>
        </w:rPr>
        <w:t>34.</w:t>
      </w:r>
      <w:bookmarkEnd w:id="1623"/>
    </w:p>
    <w:p w14:paraId="4716E33A" w14:textId="77777777" w:rsidR="00FC0D42" w:rsidRPr="00B41BE0" w:rsidRDefault="00FC0D42" w:rsidP="00FC0D42">
      <w:pPr>
        <w:pStyle w:val="References"/>
        <w:rPr>
          <w:noProof/>
        </w:rPr>
      </w:pPr>
      <w:bookmarkStart w:id="1624" w:name="_ENREF_33"/>
      <w:r w:rsidRPr="00B41BE0">
        <w:rPr>
          <w:noProof/>
        </w:rPr>
        <w:t xml:space="preserve">Cross, S. &amp; Hickie, I. (2017). Transdiagnostic stepped care in mental health. </w:t>
      </w:r>
      <w:r w:rsidRPr="00B41BE0">
        <w:rPr>
          <w:i/>
          <w:noProof/>
        </w:rPr>
        <w:t>Public Health Research &amp; Practice,</w:t>
      </w:r>
      <w:r w:rsidRPr="00B41BE0">
        <w:rPr>
          <w:noProof/>
        </w:rPr>
        <w:t xml:space="preserve"> </w:t>
      </w:r>
      <w:r w:rsidRPr="00194C87">
        <w:rPr>
          <w:i/>
          <w:noProof/>
        </w:rPr>
        <w:t>27</w:t>
      </w:r>
      <w:r w:rsidRPr="00B41BE0">
        <w:rPr>
          <w:noProof/>
        </w:rPr>
        <w:t>(2), e2721712.</w:t>
      </w:r>
      <w:bookmarkEnd w:id="1624"/>
    </w:p>
    <w:p w14:paraId="54180D4D" w14:textId="77777777" w:rsidR="00FC0D42" w:rsidRPr="00B41BE0" w:rsidRDefault="00FC0D42" w:rsidP="00FC0D42">
      <w:pPr>
        <w:pStyle w:val="References"/>
        <w:rPr>
          <w:noProof/>
        </w:rPr>
      </w:pPr>
      <w:bookmarkStart w:id="1625" w:name="_ENREF_34"/>
      <w:r w:rsidRPr="00B41BE0">
        <w:rPr>
          <w:noProof/>
        </w:rPr>
        <w:t>Cuijpers, P., Van Straten, A. &amp; Andersson, G. (2008). Internet</w:t>
      </w:r>
      <w:r>
        <w:rPr>
          <w:noProof/>
        </w:rPr>
        <w:t>–</w:t>
      </w:r>
      <w:r w:rsidRPr="00B41BE0">
        <w:rPr>
          <w:noProof/>
        </w:rPr>
        <w:t xml:space="preserve">administered cognitive behavior therapy for health problems: a systematic review. </w:t>
      </w:r>
      <w:r w:rsidRPr="00B41BE0">
        <w:rPr>
          <w:i/>
          <w:noProof/>
        </w:rPr>
        <w:t>Journal of Behavioral Medicine,</w:t>
      </w:r>
      <w:r w:rsidRPr="00B41BE0">
        <w:rPr>
          <w:noProof/>
        </w:rPr>
        <w:t xml:space="preserve"> </w:t>
      </w:r>
      <w:r w:rsidRPr="00194C87">
        <w:rPr>
          <w:i/>
          <w:noProof/>
        </w:rPr>
        <w:t>31</w:t>
      </w:r>
      <w:r w:rsidRPr="00B41BE0">
        <w:rPr>
          <w:noProof/>
        </w:rPr>
        <w:t>(2), 169</w:t>
      </w:r>
      <w:r>
        <w:rPr>
          <w:noProof/>
        </w:rPr>
        <w:t>–</w:t>
      </w:r>
      <w:r w:rsidRPr="00B41BE0">
        <w:rPr>
          <w:noProof/>
        </w:rPr>
        <w:t>177.</w:t>
      </w:r>
      <w:bookmarkEnd w:id="1625"/>
    </w:p>
    <w:p w14:paraId="39C31CAA" w14:textId="77777777" w:rsidR="00FC0D42" w:rsidRPr="00B41BE0" w:rsidRDefault="00FC0D42" w:rsidP="00FC0D42">
      <w:pPr>
        <w:pStyle w:val="References"/>
        <w:rPr>
          <w:noProof/>
        </w:rPr>
      </w:pPr>
      <w:bookmarkStart w:id="1626" w:name="_ENREF_35"/>
      <w:r w:rsidRPr="00B41BE0">
        <w:rPr>
          <w:noProof/>
        </w:rPr>
        <w:t xml:space="preserve">Davy, C., Dobson, A. &amp; Lawrence-Wood, E. (2012). </w:t>
      </w:r>
      <w:r w:rsidRPr="00B41BE0">
        <w:rPr>
          <w:i/>
          <w:noProof/>
        </w:rPr>
        <w:t xml:space="preserve">The Middle East Area of Operations (MEAO) Health Study: Prospective Study Report., </w:t>
      </w:r>
      <w:r w:rsidRPr="00B41BE0">
        <w:rPr>
          <w:noProof/>
        </w:rPr>
        <w:t>Adelaide, Australia: University of Adelaide, Centre for Military and Veterans Health.</w:t>
      </w:r>
      <w:bookmarkEnd w:id="1626"/>
    </w:p>
    <w:p w14:paraId="0D2F697F" w14:textId="77777777" w:rsidR="00FC0D42" w:rsidRPr="00B41BE0" w:rsidRDefault="00FC0D42" w:rsidP="00FC0D42">
      <w:pPr>
        <w:pStyle w:val="References"/>
        <w:rPr>
          <w:noProof/>
        </w:rPr>
      </w:pPr>
      <w:bookmarkStart w:id="1627" w:name="_ENREF_36"/>
      <w:r w:rsidRPr="00B41BE0">
        <w:rPr>
          <w:noProof/>
        </w:rPr>
        <w:t>De</w:t>
      </w:r>
      <w:r>
        <w:rPr>
          <w:noProof/>
        </w:rPr>
        <w:t>l</w:t>
      </w:r>
      <w:r w:rsidRPr="00B41BE0">
        <w:rPr>
          <w:noProof/>
        </w:rPr>
        <w:t xml:space="preserve">oitte. (2016). </w:t>
      </w:r>
      <w:r w:rsidRPr="00B41BE0">
        <w:rPr>
          <w:i/>
          <w:noProof/>
        </w:rPr>
        <w:t>Mobile</w:t>
      </w:r>
      <w:r>
        <w:rPr>
          <w:i/>
          <w:noProof/>
        </w:rPr>
        <w:t xml:space="preserve"> </w:t>
      </w:r>
      <w:r w:rsidRPr="00B41BE0">
        <w:rPr>
          <w:i/>
          <w:noProof/>
        </w:rPr>
        <w:t>Consumer</w:t>
      </w:r>
      <w:r>
        <w:rPr>
          <w:i/>
          <w:noProof/>
        </w:rPr>
        <w:t xml:space="preserve"> Survey</w:t>
      </w:r>
      <w:r w:rsidRPr="00B41BE0">
        <w:rPr>
          <w:noProof/>
        </w:rPr>
        <w:t xml:space="preserve">. Available: </w:t>
      </w:r>
      <w:hyperlink r:id="rId195" w:history="1">
        <w:r w:rsidRPr="00215381">
          <w:rPr>
            <w:rStyle w:val="Hyperlink"/>
            <w:noProof/>
          </w:rPr>
          <w:t>http://landing.deloitte.com.au/rs/761-IBL-328/images/tmt-mobile-consumer-2016-final-report-101116.pdf</w:t>
        </w:r>
      </w:hyperlink>
      <w:r w:rsidRPr="00B41BE0">
        <w:rPr>
          <w:noProof/>
        </w:rPr>
        <w:t xml:space="preserve"> </w:t>
      </w:r>
      <w:bookmarkEnd w:id="1627"/>
    </w:p>
    <w:p w14:paraId="6EEEE867" w14:textId="77777777" w:rsidR="00FC0D42" w:rsidRPr="00B41BE0" w:rsidRDefault="00FC0D42" w:rsidP="00FC0D42">
      <w:pPr>
        <w:pStyle w:val="References"/>
        <w:rPr>
          <w:noProof/>
        </w:rPr>
      </w:pPr>
      <w:bookmarkStart w:id="1628" w:name="_ENREF_37"/>
      <w:r w:rsidRPr="00B41BE0">
        <w:rPr>
          <w:noProof/>
        </w:rPr>
        <w:t xml:space="preserve">Dobson, A., Treloar, S., Zheng, W., Anderson, R., Bredhauer, K., Kanesarajah, J., </w:t>
      </w:r>
      <w:r>
        <w:rPr>
          <w:noProof/>
        </w:rPr>
        <w:t>…</w:t>
      </w:r>
      <w:r w:rsidRPr="00B41BE0">
        <w:rPr>
          <w:noProof/>
        </w:rPr>
        <w:t xml:space="preserve"> Waller, M. (2012). </w:t>
      </w:r>
      <w:r w:rsidRPr="00B41BE0">
        <w:rPr>
          <w:i/>
          <w:noProof/>
        </w:rPr>
        <w:t xml:space="preserve">The Middle East Area of Operations (MEAO) Health Study: Census Study Report, </w:t>
      </w:r>
      <w:r w:rsidRPr="00B41BE0">
        <w:rPr>
          <w:noProof/>
        </w:rPr>
        <w:t>Brisbane, Australia: The University of Queensland, Centre for Military and Veterans Health.</w:t>
      </w:r>
      <w:bookmarkEnd w:id="1628"/>
    </w:p>
    <w:p w14:paraId="5E56AB41" w14:textId="77777777" w:rsidR="00FC0D42" w:rsidRPr="00B41BE0" w:rsidRDefault="00FC0D42" w:rsidP="00FC0D42">
      <w:pPr>
        <w:pStyle w:val="References"/>
        <w:rPr>
          <w:noProof/>
        </w:rPr>
      </w:pPr>
      <w:bookmarkStart w:id="1629" w:name="_ENREF_38"/>
      <w:r w:rsidRPr="00B41BE0">
        <w:rPr>
          <w:noProof/>
        </w:rPr>
        <w:t xml:space="preserve">Dunt, D. R. (2009). </w:t>
      </w:r>
      <w:r w:rsidRPr="00B41BE0">
        <w:rPr>
          <w:i/>
          <w:noProof/>
        </w:rPr>
        <w:t xml:space="preserve">Review of Mental Health Care in the ADF and Transition Through Discharge, </w:t>
      </w:r>
      <w:r w:rsidRPr="00B41BE0">
        <w:rPr>
          <w:noProof/>
        </w:rPr>
        <w:t>Canberra: Department of Defence.</w:t>
      </w:r>
      <w:bookmarkEnd w:id="1629"/>
    </w:p>
    <w:p w14:paraId="3DF4D5EC" w14:textId="77777777" w:rsidR="00FC0D42" w:rsidRPr="00B41BE0" w:rsidRDefault="00FC0D42" w:rsidP="00FC0D42">
      <w:pPr>
        <w:pStyle w:val="References"/>
        <w:rPr>
          <w:noProof/>
        </w:rPr>
      </w:pPr>
      <w:bookmarkStart w:id="1630" w:name="_ENREF_39"/>
      <w:r w:rsidRPr="00B41BE0">
        <w:rPr>
          <w:noProof/>
        </w:rPr>
        <w:t xml:space="preserve">Edwards-Stewart, A., Smolenski, D. J., Reger, G. M., Bush, N. &amp; Workman, D. E. (2016). An analysis of personal technology </w:t>
      </w:r>
      <w:r>
        <w:rPr>
          <w:noProof/>
        </w:rPr>
        <w:t>u</w:t>
      </w:r>
      <w:r w:rsidRPr="00B41BE0">
        <w:rPr>
          <w:noProof/>
        </w:rPr>
        <w:t xml:space="preserve">se by service members and military behavioral health providers. </w:t>
      </w:r>
      <w:r w:rsidRPr="00B41BE0">
        <w:rPr>
          <w:i/>
          <w:noProof/>
        </w:rPr>
        <w:t>Military Medicine,</w:t>
      </w:r>
      <w:r w:rsidRPr="00B41BE0">
        <w:rPr>
          <w:noProof/>
        </w:rPr>
        <w:t xml:space="preserve"> </w:t>
      </w:r>
      <w:r w:rsidRPr="00194C87">
        <w:rPr>
          <w:i/>
          <w:noProof/>
        </w:rPr>
        <w:t>181</w:t>
      </w:r>
      <w:r w:rsidRPr="00B41BE0">
        <w:rPr>
          <w:noProof/>
        </w:rPr>
        <w:t>(7), 701</w:t>
      </w:r>
      <w:r>
        <w:rPr>
          <w:noProof/>
        </w:rPr>
        <w:t>–</w:t>
      </w:r>
      <w:r w:rsidRPr="00B41BE0">
        <w:rPr>
          <w:noProof/>
        </w:rPr>
        <w:t>709.</w:t>
      </w:r>
      <w:bookmarkEnd w:id="1630"/>
    </w:p>
    <w:p w14:paraId="74BF9B7E" w14:textId="77777777" w:rsidR="00FC0D42" w:rsidRPr="00B41BE0" w:rsidRDefault="00FC0D42" w:rsidP="00FC0D42">
      <w:pPr>
        <w:pStyle w:val="References"/>
        <w:rPr>
          <w:noProof/>
        </w:rPr>
      </w:pPr>
      <w:bookmarkStart w:id="1631" w:name="_ENREF_40"/>
      <w:r w:rsidRPr="00B41BE0">
        <w:rPr>
          <w:noProof/>
        </w:rPr>
        <w:t xml:space="preserve">Ernst &amp; Young. (2016). </w:t>
      </w:r>
      <w:r w:rsidRPr="00B41BE0">
        <w:rPr>
          <w:i/>
          <w:noProof/>
        </w:rPr>
        <w:t>Health Reimagined: a new participatory health paradigm</w:t>
      </w:r>
      <w:r w:rsidRPr="00B41BE0">
        <w:rPr>
          <w:noProof/>
        </w:rPr>
        <w:t xml:space="preserve">. Available: </w:t>
      </w:r>
      <w:hyperlink r:id="rId196" w:history="1">
        <w:r w:rsidRPr="00215381">
          <w:rPr>
            <w:rStyle w:val="Hyperlink"/>
            <w:noProof/>
          </w:rPr>
          <w:t>http://www.ey.com/Publication/vwLUAssets/EY_-_Health_reimagined:_a_new_participatory_health_paradigm/%24FILE/ey-health-reimagined-2016.pdf</w:t>
        </w:r>
        <w:bookmarkEnd w:id="1631"/>
      </w:hyperlink>
    </w:p>
    <w:p w14:paraId="75BD2C07" w14:textId="77777777" w:rsidR="00FC0D42" w:rsidRPr="00B41BE0" w:rsidRDefault="00FC0D42" w:rsidP="00FC0D42">
      <w:pPr>
        <w:pStyle w:val="References"/>
        <w:rPr>
          <w:noProof/>
        </w:rPr>
      </w:pPr>
      <w:bookmarkStart w:id="1632" w:name="_ENREF_41"/>
      <w:r w:rsidRPr="00B41BE0">
        <w:rPr>
          <w:noProof/>
        </w:rPr>
        <w:t xml:space="preserve">Farrer, L., Gulliver, A., Chan, J. K., Batterham, P. J., Reynolds, J., Calear, A., </w:t>
      </w:r>
      <w:r>
        <w:rPr>
          <w:noProof/>
        </w:rPr>
        <w:t>…</w:t>
      </w:r>
      <w:r w:rsidRPr="00B41BE0">
        <w:rPr>
          <w:noProof/>
        </w:rPr>
        <w:t xml:space="preserve"> Griffiths, K. M. (2013). Technology-based interventions for mental health in tertiary students: systematic review. </w:t>
      </w:r>
      <w:r w:rsidRPr="00B41BE0">
        <w:rPr>
          <w:i/>
          <w:noProof/>
        </w:rPr>
        <w:t>Journal of Medical Internet Research,</w:t>
      </w:r>
      <w:r w:rsidRPr="00B41BE0">
        <w:rPr>
          <w:noProof/>
        </w:rPr>
        <w:t xml:space="preserve"> </w:t>
      </w:r>
      <w:r w:rsidRPr="00194C87">
        <w:rPr>
          <w:i/>
          <w:noProof/>
        </w:rPr>
        <w:t>15</w:t>
      </w:r>
      <w:r w:rsidRPr="00B41BE0">
        <w:rPr>
          <w:noProof/>
        </w:rPr>
        <w:t>(5), e101.</w:t>
      </w:r>
      <w:bookmarkEnd w:id="1632"/>
    </w:p>
    <w:p w14:paraId="754F011A" w14:textId="77777777" w:rsidR="00FC0D42" w:rsidRPr="00B41BE0" w:rsidRDefault="00FC0D42" w:rsidP="00FC0D42">
      <w:pPr>
        <w:pStyle w:val="References"/>
        <w:rPr>
          <w:noProof/>
        </w:rPr>
      </w:pPr>
      <w:bookmarkStart w:id="1633" w:name="_ENREF_42"/>
      <w:r w:rsidRPr="00B41BE0">
        <w:rPr>
          <w:noProof/>
        </w:rPr>
        <w:t xml:space="preserve">Fear, N. T., Jones, M., Murphy, D., Hull, L., Iversen, A. C., Coker, B., </w:t>
      </w:r>
      <w:r>
        <w:rPr>
          <w:noProof/>
        </w:rPr>
        <w:t>…</w:t>
      </w:r>
      <w:r w:rsidRPr="00B41BE0">
        <w:rPr>
          <w:noProof/>
        </w:rPr>
        <w:t xml:space="preserve"> Wessely, S. (2010). What are the consequences of deployment to Iraq and Afghanistan on the mental health of the UK armed forces? </w:t>
      </w:r>
      <w:r w:rsidRPr="00B41BE0">
        <w:rPr>
          <w:i/>
          <w:noProof/>
        </w:rPr>
        <w:t>Lancet,</w:t>
      </w:r>
      <w:r w:rsidRPr="00B41BE0">
        <w:rPr>
          <w:noProof/>
        </w:rPr>
        <w:t xml:space="preserve"> </w:t>
      </w:r>
      <w:r w:rsidRPr="006A3EA0">
        <w:rPr>
          <w:i/>
          <w:noProof/>
        </w:rPr>
        <w:t>375</w:t>
      </w:r>
      <w:r w:rsidRPr="00B41BE0">
        <w:rPr>
          <w:noProof/>
        </w:rPr>
        <w:t>, 1783</w:t>
      </w:r>
      <w:r>
        <w:rPr>
          <w:noProof/>
        </w:rPr>
        <w:t>–</w:t>
      </w:r>
      <w:r w:rsidRPr="00B41BE0">
        <w:rPr>
          <w:noProof/>
        </w:rPr>
        <w:t>1797.</w:t>
      </w:r>
      <w:bookmarkEnd w:id="1633"/>
    </w:p>
    <w:p w14:paraId="72EA2652" w14:textId="77777777" w:rsidR="00FC0D42" w:rsidRPr="00B41BE0" w:rsidRDefault="00FC0D42" w:rsidP="00FC0D42">
      <w:pPr>
        <w:pStyle w:val="References"/>
        <w:rPr>
          <w:noProof/>
        </w:rPr>
      </w:pPr>
      <w:bookmarkStart w:id="1634" w:name="_ENREF_43"/>
      <w:r w:rsidRPr="00B41BE0">
        <w:rPr>
          <w:noProof/>
        </w:rPr>
        <w:t xml:space="preserve">Fikretoglu, D., Blais, A.R. &amp; Lam, Q. (2014). Development and validation of a new Theory of Planned Behavior Questionnaire for mental health service use. </w:t>
      </w:r>
      <w:r w:rsidRPr="00B41BE0">
        <w:rPr>
          <w:i/>
          <w:noProof/>
        </w:rPr>
        <w:t>Manuscript under revision</w:t>
      </w:r>
      <w:r w:rsidRPr="00B41BE0">
        <w:rPr>
          <w:noProof/>
        </w:rPr>
        <w:t>.</w:t>
      </w:r>
      <w:bookmarkEnd w:id="1634"/>
    </w:p>
    <w:p w14:paraId="1BCD1CF0" w14:textId="77777777" w:rsidR="00FC0D42" w:rsidRPr="00B41BE0" w:rsidRDefault="00FC0D42" w:rsidP="00FC0D42">
      <w:pPr>
        <w:pStyle w:val="References"/>
        <w:rPr>
          <w:noProof/>
        </w:rPr>
      </w:pPr>
      <w:bookmarkStart w:id="1635" w:name="_ENREF_44"/>
      <w:r w:rsidRPr="00B41BE0">
        <w:rPr>
          <w:noProof/>
        </w:rPr>
        <w:t xml:space="preserve">Forbes, D., Hawthorne, G., Elliott, P., McHugh, T., Biddle, D., Creamer, M. &amp; Novaco, R. W. (2004). A concise measure of anger in combat-related posttraumatic stress disorder. </w:t>
      </w:r>
      <w:r w:rsidRPr="00B41BE0">
        <w:rPr>
          <w:i/>
          <w:noProof/>
        </w:rPr>
        <w:t>Journal of Traumatic Stress,</w:t>
      </w:r>
      <w:r w:rsidRPr="00B41BE0">
        <w:rPr>
          <w:noProof/>
        </w:rPr>
        <w:t xml:space="preserve"> </w:t>
      </w:r>
      <w:r w:rsidRPr="00194C87">
        <w:rPr>
          <w:i/>
          <w:noProof/>
        </w:rPr>
        <w:t>17</w:t>
      </w:r>
      <w:r w:rsidRPr="00B41BE0">
        <w:rPr>
          <w:noProof/>
        </w:rPr>
        <w:t>(3), 249</w:t>
      </w:r>
      <w:r>
        <w:rPr>
          <w:noProof/>
        </w:rPr>
        <w:t>–</w:t>
      </w:r>
      <w:r w:rsidRPr="00B41BE0">
        <w:rPr>
          <w:noProof/>
        </w:rPr>
        <w:t>256.</w:t>
      </w:r>
      <w:bookmarkEnd w:id="1635"/>
    </w:p>
    <w:p w14:paraId="26DBF47D" w14:textId="1DF4D1D8" w:rsidR="00FC0D42" w:rsidRDefault="00FC0D42" w:rsidP="00FC0D42">
      <w:pPr>
        <w:pStyle w:val="References"/>
        <w:rPr>
          <w:noProof/>
        </w:rPr>
      </w:pPr>
      <w:bookmarkStart w:id="1636" w:name="_ENREF_45"/>
      <w:r w:rsidRPr="00B41BE0">
        <w:rPr>
          <w:noProof/>
        </w:rPr>
        <w:t xml:space="preserve">Forbes, D., Van Hooff, M., Lawrence-Wood, E., Sadler, N., Hodson, S., Benassi, H., </w:t>
      </w:r>
      <w:r>
        <w:rPr>
          <w:noProof/>
        </w:rPr>
        <w:t>…</w:t>
      </w:r>
      <w:r w:rsidRPr="00B41BE0">
        <w:rPr>
          <w:noProof/>
        </w:rPr>
        <w:t xml:space="preserve"> McFarlane, A. (201</w:t>
      </w:r>
      <w:r w:rsidR="00EC497A">
        <w:rPr>
          <w:noProof/>
        </w:rPr>
        <w:t>8</w:t>
      </w:r>
      <w:r w:rsidRPr="00B41BE0">
        <w:rPr>
          <w:noProof/>
        </w:rPr>
        <w:t xml:space="preserve">). </w:t>
      </w:r>
      <w:r w:rsidRPr="00B41BE0">
        <w:rPr>
          <w:i/>
          <w:noProof/>
        </w:rPr>
        <w:t xml:space="preserve">Pathways to Care, Mental Health and Wellbeing </w:t>
      </w:r>
      <w:r w:rsidR="00EC497A">
        <w:rPr>
          <w:i/>
          <w:noProof/>
        </w:rPr>
        <w:t xml:space="preserve">Transition </w:t>
      </w:r>
      <w:r w:rsidRPr="00B41BE0">
        <w:rPr>
          <w:i/>
          <w:noProof/>
        </w:rPr>
        <w:t xml:space="preserve">Study, </w:t>
      </w:r>
      <w:r w:rsidRPr="00B41BE0">
        <w:rPr>
          <w:noProof/>
        </w:rPr>
        <w:t xml:space="preserve">the </w:t>
      </w:r>
      <w:r>
        <w:rPr>
          <w:noProof/>
        </w:rPr>
        <w:t xml:space="preserve">Department of Defence and the </w:t>
      </w:r>
      <w:r w:rsidRPr="00B41BE0">
        <w:rPr>
          <w:noProof/>
        </w:rPr>
        <w:t>Department of Veterans’ Affairs: Canberra.</w:t>
      </w:r>
      <w:bookmarkEnd w:id="1636"/>
    </w:p>
    <w:p w14:paraId="5F3F15F5" w14:textId="77777777" w:rsidR="00FC0D42" w:rsidRPr="00B41BE0" w:rsidRDefault="00FC0D42" w:rsidP="00FC0D42">
      <w:pPr>
        <w:pStyle w:val="References"/>
        <w:rPr>
          <w:noProof/>
        </w:rPr>
      </w:pPr>
      <w:bookmarkStart w:id="1637" w:name="_ENREF_46"/>
      <w:r w:rsidRPr="00B41BE0">
        <w:rPr>
          <w:noProof/>
        </w:rPr>
        <w:t>Forrest, W., Edwards</w:t>
      </w:r>
      <w:r>
        <w:rPr>
          <w:noProof/>
        </w:rPr>
        <w:t>,</w:t>
      </w:r>
      <w:r w:rsidRPr="00B41BE0">
        <w:rPr>
          <w:noProof/>
        </w:rPr>
        <w:t xml:space="preserve"> B. &amp; Daraganova, G. (2014). </w:t>
      </w:r>
      <w:r w:rsidRPr="00B41BE0">
        <w:rPr>
          <w:i/>
          <w:noProof/>
        </w:rPr>
        <w:t xml:space="preserve">Vietnam Veterans Health Study: a study of health and social issues in Vietnam </w:t>
      </w:r>
      <w:r>
        <w:rPr>
          <w:i/>
          <w:noProof/>
        </w:rPr>
        <w:t>v</w:t>
      </w:r>
      <w:r w:rsidRPr="00B41BE0">
        <w:rPr>
          <w:i/>
          <w:noProof/>
        </w:rPr>
        <w:t xml:space="preserve">eteran sons and daughters, </w:t>
      </w:r>
      <w:r w:rsidRPr="00B41BE0">
        <w:rPr>
          <w:noProof/>
        </w:rPr>
        <w:t>Volume 2. Melbourne: Australian Institute of Family Studies.</w:t>
      </w:r>
      <w:bookmarkEnd w:id="1637"/>
    </w:p>
    <w:p w14:paraId="123A3AD6" w14:textId="77777777" w:rsidR="00FC0D42" w:rsidRPr="00B41BE0" w:rsidRDefault="00FC0D42" w:rsidP="00FC0D42">
      <w:pPr>
        <w:pStyle w:val="References"/>
        <w:rPr>
          <w:noProof/>
        </w:rPr>
      </w:pPr>
      <w:bookmarkStart w:id="1638" w:name="_ENREF_47"/>
      <w:r w:rsidRPr="00B41BE0">
        <w:rPr>
          <w:noProof/>
        </w:rPr>
        <w:t xml:space="preserve">Gouvier, W. D., Cubic, B., Jones, G., Brantley, P. &amp; Cutlip, Q. (1992). Postconcussion symptoms and daily stress in normal and head injured college populations. </w:t>
      </w:r>
      <w:r w:rsidRPr="00B41BE0">
        <w:rPr>
          <w:i/>
          <w:noProof/>
        </w:rPr>
        <w:t>Archives of Clinical Neuropsychology,</w:t>
      </w:r>
      <w:r w:rsidRPr="00B41BE0">
        <w:rPr>
          <w:noProof/>
        </w:rPr>
        <w:t xml:space="preserve"> </w:t>
      </w:r>
      <w:r w:rsidRPr="00217CC4">
        <w:rPr>
          <w:i/>
          <w:noProof/>
        </w:rPr>
        <w:t>7</w:t>
      </w:r>
      <w:r w:rsidRPr="00B41BE0">
        <w:rPr>
          <w:noProof/>
        </w:rPr>
        <w:t>, 193</w:t>
      </w:r>
      <w:r>
        <w:rPr>
          <w:noProof/>
        </w:rPr>
        <w:t>–</w:t>
      </w:r>
      <w:r w:rsidRPr="00B41BE0">
        <w:rPr>
          <w:noProof/>
        </w:rPr>
        <w:t>211.</w:t>
      </w:r>
      <w:bookmarkEnd w:id="1638"/>
    </w:p>
    <w:p w14:paraId="5EEFED9F" w14:textId="77777777" w:rsidR="00FC0D42" w:rsidRPr="00B41BE0" w:rsidRDefault="00FC0D42" w:rsidP="00FC0D42">
      <w:pPr>
        <w:pStyle w:val="References"/>
        <w:rPr>
          <w:noProof/>
        </w:rPr>
      </w:pPr>
      <w:bookmarkStart w:id="1639" w:name="_ENREF_48"/>
      <w:r w:rsidRPr="00B41BE0">
        <w:rPr>
          <w:noProof/>
        </w:rPr>
        <w:t xml:space="preserve">Grady, A., Yoong, S., Sutherland, R., Lee, H., Nathan, N. &amp; Wolfenden, L. (2018). Improving the public health impact of eHealth and mHealth interventions. </w:t>
      </w:r>
      <w:r w:rsidRPr="00B41BE0">
        <w:rPr>
          <w:i/>
          <w:noProof/>
        </w:rPr>
        <w:t>Australian and New Zealand Journal of Public Health,</w:t>
      </w:r>
      <w:r w:rsidRPr="00B41BE0">
        <w:rPr>
          <w:noProof/>
        </w:rPr>
        <w:t xml:space="preserve"> </w:t>
      </w:r>
      <w:r w:rsidRPr="00217CC4">
        <w:rPr>
          <w:i/>
          <w:noProof/>
        </w:rPr>
        <w:t>42</w:t>
      </w:r>
      <w:r w:rsidRPr="00B41BE0">
        <w:rPr>
          <w:noProof/>
        </w:rPr>
        <w:t>(2), 118</w:t>
      </w:r>
      <w:r>
        <w:rPr>
          <w:noProof/>
        </w:rPr>
        <w:t>–</w:t>
      </w:r>
      <w:r w:rsidRPr="00B41BE0">
        <w:rPr>
          <w:noProof/>
        </w:rPr>
        <w:t>119.</w:t>
      </w:r>
      <w:bookmarkEnd w:id="1639"/>
    </w:p>
    <w:p w14:paraId="357BCA59" w14:textId="77777777" w:rsidR="00FC0D42" w:rsidRPr="00B41BE0" w:rsidRDefault="00FC0D42" w:rsidP="00FC0D42">
      <w:pPr>
        <w:pStyle w:val="References"/>
        <w:rPr>
          <w:noProof/>
        </w:rPr>
      </w:pPr>
      <w:bookmarkStart w:id="1640" w:name="_ENREF_49"/>
      <w:r w:rsidRPr="00B41BE0">
        <w:rPr>
          <w:noProof/>
        </w:rPr>
        <w:t xml:space="preserve">Gray, M., &amp; Sanson, A. (2005). Growing up in Australia: The Longitudinal Study of Australian Children. </w:t>
      </w:r>
      <w:r w:rsidRPr="00B41BE0">
        <w:rPr>
          <w:i/>
          <w:noProof/>
        </w:rPr>
        <w:t>Family Matters,</w:t>
      </w:r>
      <w:r w:rsidRPr="00B41BE0">
        <w:rPr>
          <w:noProof/>
        </w:rPr>
        <w:t xml:space="preserve"> </w:t>
      </w:r>
      <w:r w:rsidRPr="00217CC4">
        <w:rPr>
          <w:i/>
          <w:noProof/>
        </w:rPr>
        <w:t>72</w:t>
      </w:r>
      <w:r w:rsidRPr="00B41BE0">
        <w:rPr>
          <w:noProof/>
        </w:rPr>
        <w:t>, 4</w:t>
      </w:r>
      <w:r>
        <w:rPr>
          <w:noProof/>
        </w:rPr>
        <w:t>–</w:t>
      </w:r>
      <w:r w:rsidRPr="00B41BE0">
        <w:rPr>
          <w:noProof/>
        </w:rPr>
        <w:t>9.</w:t>
      </w:r>
      <w:bookmarkEnd w:id="1640"/>
    </w:p>
    <w:p w14:paraId="690E8D26" w14:textId="77777777" w:rsidR="00FC0D42" w:rsidRPr="00B41BE0" w:rsidRDefault="00FC0D42" w:rsidP="00FC0D42">
      <w:pPr>
        <w:pStyle w:val="References"/>
        <w:rPr>
          <w:noProof/>
        </w:rPr>
      </w:pPr>
      <w:bookmarkStart w:id="1641" w:name="_ENREF_50"/>
      <w:r w:rsidRPr="00B41BE0">
        <w:rPr>
          <w:noProof/>
        </w:rPr>
        <w:t xml:space="preserve">Griffiths, K. (2013). A virtual mental health community – A future scenario. </w:t>
      </w:r>
      <w:r w:rsidRPr="00B41BE0">
        <w:rPr>
          <w:i/>
          <w:noProof/>
        </w:rPr>
        <w:t>Australian &amp; New Zealand Journal of Psychiatry,</w:t>
      </w:r>
      <w:r w:rsidRPr="00B41BE0">
        <w:rPr>
          <w:noProof/>
        </w:rPr>
        <w:t xml:space="preserve"> </w:t>
      </w:r>
      <w:r w:rsidRPr="00217CC4">
        <w:rPr>
          <w:i/>
          <w:noProof/>
        </w:rPr>
        <w:t>A47</w:t>
      </w:r>
      <w:r w:rsidRPr="00B41BE0">
        <w:rPr>
          <w:noProof/>
        </w:rPr>
        <w:t>, 109</w:t>
      </w:r>
      <w:r>
        <w:rPr>
          <w:noProof/>
        </w:rPr>
        <w:t>–</w:t>
      </w:r>
      <w:r w:rsidRPr="00B41BE0">
        <w:rPr>
          <w:noProof/>
        </w:rPr>
        <w:t>110.</w:t>
      </w:r>
      <w:bookmarkEnd w:id="1641"/>
    </w:p>
    <w:p w14:paraId="6E49DC52" w14:textId="77777777" w:rsidR="00FC0D42" w:rsidRPr="00B41BE0" w:rsidRDefault="00FC0D42" w:rsidP="00FC0D42">
      <w:pPr>
        <w:pStyle w:val="References"/>
        <w:rPr>
          <w:noProof/>
        </w:rPr>
      </w:pPr>
      <w:bookmarkStart w:id="1642" w:name="_ENREF_51"/>
      <w:r w:rsidRPr="00B41BE0">
        <w:rPr>
          <w:noProof/>
        </w:rPr>
        <w:t xml:space="preserve">Griffiths, K. M., Farrer, L. &amp; Christensen, H. (2010). The efficacy of internet interventions for depression and anxiety disorders: a review of randomised controlled trials. </w:t>
      </w:r>
      <w:r w:rsidRPr="00B41BE0">
        <w:rPr>
          <w:i/>
          <w:noProof/>
        </w:rPr>
        <w:t>Medical Journal of Australia,</w:t>
      </w:r>
      <w:r w:rsidRPr="00B41BE0">
        <w:rPr>
          <w:noProof/>
        </w:rPr>
        <w:t xml:space="preserve"> </w:t>
      </w:r>
      <w:r w:rsidRPr="00217CC4">
        <w:rPr>
          <w:i/>
          <w:noProof/>
        </w:rPr>
        <w:t>192</w:t>
      </w:r>
      <w:r w:rsidRPr="00B41BE0">
        <w:rPr>
          <w:noProof/>
        </w:rPr>
        <w:t>, S4</w:t>
      </w:r>
      <w:r>
        <w:rPr>
          <w:noProof/>
        </w:rPr>
        <w:t>–</w:t>
      </w:r>
      <w:r w:rsidRPr="00B41BE0">
        <w:rPr>
          <w:noProof/>
        </w:rPr>
        <w:t>S11.</w:t>
      </w:r>
      <w:bookmarkEnd w:id="1642"/>
    </w:p>
    <w:p w14:paraId="229616C0" w14:textId="77777777" w:rsidR="00FC0D42" w:rsidRPr="00B41BE0" w:rsidRDefault="00FC0D42" w:rsidP="00FC0D42">
      <w:pPr>
        <w:pStyle w:val="References"/>
        <w:rPr>
          <w:noProof/>
        </w:rPr>
      </w:pPr>
      <w:bookmarkStart w:id="1643" w:name="_ENREF_52"/>
      <w:r w:rsidRPr="00B41BE0">
        <w:rPr>
          <w:noProof/>
        </w:rPr>
        <w:t xml:space="preserve">Gros, D. F., Strachan, M., Ruggiero, K. J., Knapp, R. G., Frueh, B. C., Egede, L. E., </w:t>
      </w:r>
      <w:r>
        <w:rPr>
          <w:noProof/>
        </w:rPr>
        <w:t>…</w:t>
      </w:r>
      <w:r w:rsidRPr="00B41BE0">
        <w:rPr>
          <w:noProof/>
        </w:rPr>
        <w:t xml:space="preserve"> Acierno, R. (2011). Innovative service delivery for secondary prevention of PTSD in at-risk OIF–OEF service men and women. </w:t>
      </w:r>
      <w:r w:rsidRPr="00B41BE0">
        <w:rPr>
          <w:i/>
          <w:noProof/>
        </w:rPr>
        <w:t>Contemporary Clinical Trials,</w:t>
      </w:r>
      <w:r w:rsidRPr="00B41BE0">
        <w:rPr>
          <w:noProof/>
        </w:rPr>
        <w:t xml:space="preserve"> </w:t>
      </w:r>
      <w:r w:rsidRPr="00217CC4">
        <w:rPr>
          <w:i/>
          <w:noProof/>
        </w:rPr>
        <w:t>32</w:t>
      </w:r>
      <w:r w:rsidRPr="00B41BE0">
        <w:rPr>
          <w:noProof/>
        </w:rPr>
        <w:t>(1), 122</w:t>
      </w:r>
      <w:r>
        <w:rPr>
          <w:noProof/>
        </w:rPr>
        <w:t>–</w:t>
      </w:r>
      <w:r w:rsidRPr="00B41BE0">
        <w:rPr>
          <w:noProof/>
        </w:rPr>
        <w:t>128.</w:t>
      </w:r>
      <w:bookmarkEnd w:id="1643"/>
    </w:p>
    <w:p w14:paraId="72F37905" w14:textId="77777777" w:rsidR="00FC0D42" w:rsidRPr="00B41BE0" w:rsidRDefault="00FC0D42" w:rsidP="00FC0D42">
      <w:pPr>
        <w:pStyle w:val="References"/>
        <w:rPr>
          <w:noProof/>
        </w:rPr>
      </w:pPr>
      <w:bookmarkStart w:id="1644" w:name="_ENREF_53"/>
      <w:r w:rsidRPr="00B41BE0">
        <w:rPr>
          <w:noProof/>
        </w:rPr>
        <w:t xml:space="preserve">GSMA. (2018). </w:t>
      </w:r>
      <w:r w:rsidRPr="00B41BE0">
        <w:rPr>
          <w:i/>
          <w:noProof/>
        </w:rPr>
        <w:t>The Mobile Economy</w:t>
      </w:r>
      <w:r w:rsidRPr="00B41BE0">
        <w:rPr>
          <w:noProof/>
        </w:rPr>
        <w:t xml:space="preserve">. Available: </w:t>
      </w:r>
      <w:hyperlink r:id="rId197" w:history="1">
        <w:r w:rsidRPr="00215381">
          <w:rPr>
            <w:rStyle w:val="Hyperlink"/>
            <w:noProof/>
          </w:rPr>
          <w:t>https://www.gsma.com/mobileeconomy/wp-content/uploads/2018/02/The-Mobile-Economy-Global-2018.pdf</w:t>
        </w:r>
      </w:hyperlink>
      <w:r w:rsidRPr="00B41BE0">
        <w:rPr>
          <w:noProof/>
        </w:rPr>
        <w:t xml:space="preserve"> </w:t>
      </w:r>
      <w:bookmarkEnd w:id="1644"/>
    </w:p>
    <w:p w14:paraId="0176BAA4" w14:textId="77777777" w:rsidR="00FC0D42" w:rsidRPr="00B41BE0" w:rsidRDefault="00FC0D42" w:rsidP="00FC0D42">
      <w:pPr>
        <w:pStyle w:val="References"/>
        <w:rPr>
          <w:noProof/>
        </w:rPr>
      </w:pPr>
      <w:bookmarkStart w:id="1645" w:name="_ENREF_54"/>
      <w:r w:rsidRPr="00B41BE0">
        <w:rPr>
          <w:noProof/>
        </w:rPr>
        <w:t xml:space="preserve">Haas, A., Koestner, B., Rosenberg, J., Moore, D., Garlow, S. J., Sedway, J., </w:t>
      </w:r>
      <w:r>
        <w:rPr>
          <w:noProof/>
        </w:rPr>
        <w:t>…</w:t>
      </w:r>
      <w:r w:rsidRPr="00B41BE0">
        <w:rPr>
          <w:noProof/>
        </w:rPr>
        <w:t xml:space="preserve"> Nemeroff, C. B. (2008). An interactive web-based method of outreach to college students at risk for suicide. </w:t>
      </w:r>
      <w:r w:rsidRPr="00B41BE0">
        <w:rPr>
          <w:i/>
          <w:noProof/>
        </w:rPr>
        <w:t>Journal of American College Health,</w:t>
      </w:r>
      <w:r w:rsidRPr="00B41BE0">
        <w:rPr>
          <w:noProof/>
        </w:rPr>
        <w:t xml:space="preserve"> </w:t>
      </w:r>
      <w:r w:rsidRPr="00010823">
        <w:rPr>
          <w:i/>
          <w:noProof/>
        </w:rPr>
        <w:t>57</w:t>
      </w:r>
      <w:r w:rsidRPr="00B41BE0">
        <w:rPr>
          <w:noProof/>
        </w:rPr>
        <w:t>(1), 15</w:t>
      </w:r>
      <w:r>
        <w:rPr>
          <w:noProof/>
        </w:rPr>
        <w:t>–</w:t>
      </w:r>
      <w:r w:rsidRPr="00B41BE0">
        <w:rPr>
          <w:noProof/>
        </w:rPr>
        <w:t>22.</w:t>
      </w:r>
      <w:bookmarkEnd w:id="1645"/>
    </w:p>
    <w:p w14:paraId="42E2E8F0" w14:textId="77777777" w:rsidR="00FC0D42" w:rsidRPr="00B41BE0" w:rsidRDefault="00FC0D42" w:rsidP="00FC0D42">
      <w:pPr>
        <w:pStyle w:val="References"/>
        <w:rPr>
          <w:noProof/>
        </w:rPr>
      </w:pPr>
      <w:bookmarkStart w:id="1646" w:name="_ENREF_55"/>
      <w:r w:rsidRPr="00B41BE0">
        <w:rPr>
          <w:noProof/>
        </w:rPr>
        <w:t xml:space="preserve">Haro, J. M., Arbabzadeh-Bouchez, S., Brugha, T. S., De Girolamo, G., Guyer, M. E., </w:t>
      </w:r>
      <w:r>
        <w:rPr>
          <w:noProof/>
        </w:rPr>
        <w:t>…</w:t>
      </w:r>
      <w:r w:rsidRPr="00B41BE0">
        <w:rPr>
          <w:noProof/>
        </w:rPr>
        <w:t xml:space="preserve">Kessler, R. C. (2006). Concordance of the Composite International Diagnostic Interview Version 3.0 (CIDI 3.0) with standardized clinical assessments in the WHO World Mental Health Surveys. </w:t>
      </w:r>
      <w:r w:rsidRPr="00B41BE0">
        <w:rPr>
          <w:i/>
          <w:noProof/>
        </w:rPr>
        <w:t>International Journal of Methods in Psychiatric Research,</w:t>
      </w:r>
      <w:r w:rsidRPr="00B41BE0">
        <w:rPr>
          <w:noProof/>
        </w:rPr>
        <w:t xml:space="preserve"> </w:t>
      </w:r>
      <w:r w:rsidRPr="00010823">
        <w:rPr>
          <w:i/>
          <w:noProof/>
        </w:rPr>
        <w:t>15</w:t>
      </w:r>
      <w:r w:rsidRPr="00B41BE0">
        <w:rPr>
          <w:noProof/>
        </w:rPr>
        <w:t>(4), 167</w:t>
      </w:r>
      <w:r>
        <w:rPr>
          <w:noProof/>
        </w:rPr>
        <w:t>–</w:t>
      </w:r>
      <w:r w:rsidRPr="00B41BE0">
        <w:rPr>
          <w:noProof/>
        </w:rPr>
        <w:t>180.</w:t>
      </w:r>
      <w:bookmarkEnd w:id="1646"/>
    </w:p>
    <w:p w14:paraId="160F2458" w14:textId="77777777" w:rsidR="00FC0D42" w:rsidRPr="00B41BE0" w:rsidRDefault="00FC0D42" w:rsidP="00FC0D42">
      <w:pPr>
        <w:pStyle w:val="References"/>
        <w:rPr>
          <w:noProof/>
        </w:rPr>
      </w:pPr>
      <w:bookmarkStart w:id="1647" w:name="_ENREF_56"/>
      <w:r w:rsidRPr="00B41BE0">
        <w:rPr>
          <w:noProof/>
        </w:rPr>
        <w:t xml:space="preserve">Hilty, D. M., Ferrer, D. C., Parish, M. B., Johnston, B., Callahan, E. J. &amp; Yellowlees, P. M. (2013). The effectiveness of telemental health: a 2013 review. </w:t>
      </w:r>
      <w:r w:rsidRPr="00B41BE0">
        <w:rPr>
          <w:i/>
          <w:noProof/>
        </w:rPr>
        <w:t>Telemedicine and e-Health,</w:t>
      </w:r>
      <w:r w:rsidRPr="00B41BE0">
        <w:rPr>
          <w:noProof/>
        </w:rPr>
        <w:t xml:space="preserve"> </w:t>
      </w:r>
      <w:r w:rsidRPr="00010823">
        <w:rPr>
          <w:i/>
          <w:noProof/>
        </w:rPr>
        <w:t>19</w:t>
      </w:r>
      <w:r w:rsidRPr="00B41BE0">
        <w:rPr>
          <w:noProof/>
        </w:rPr>
        <w:t>(6), 444</w:t>
      </w:r>
      <w:r>
        <w:rPr>
          <w:noProof/>
        </w:rPr>
        <w:t>–</w:t>
      </w:r>
      <w:r w:rsidRPr="00B41BE0">
        <w:rPr>
          <w:noProof/>
        </w:rPr>
        <w:t>454.</w:t>
      </w:r>
      <w:bookmarkEnd w:id="1647"/>
    </w:p>
    <w:p w14:paraId="5DF20B26" w14:textId="77777777" w:rsidR="00FC0D42" w:rsidRPr="00B41BE0" w:rsidRDefault="00FC0D42" w:rsidP="00FC0D42">
      <w:pPr>
        <w:pStyle w:val="References"/>
        <w:rPr>
          <w:noProof/>
        </w:rPr>
      </w:pPr>
      <w:bookmarkStart w:id="1648" w:name="_ENREF_57"/>
      <w:r w:rsidRPr="00B41BE0">
        <w:rPr>
          <w:noProof/>
        </w:rPr>
        <w:t xml:space="preserve">Iglehart, J. K. (2014). Connected health: Emerging disruptive technologies. </w:t>
      </w:r>
      <w:r w:rsidRPr="00B41BE0">
        <w:rPr>
          <w:i/>
          <w:noProof/>
        </w:rPr>
        <w:t>Health Affairs,</w:t>
      </w:r>
      <w:r w:rsidRPr="00B41BE0">
        <w:rPr>
          <w:noProof/>
        </w:rPr>
        <w:t xml:space="preserve"> </w:t>
      </w:r>
      <w:r w:rsidRPr="00010823">
        <w:rPr>
          <w:i/>
          <w:noProof/>
        </w:rPr>
        <w:t>33</w:t>
      </w:r>
      <w:r w:rsidRPr="00B41BE0">
        <w:rPr>
          <w:noProof/>
        </w:rPr>
        <w:t>(2), 190</w:t>
      </w:r>
      <w:r>
        <w:rPr>
          <w:noProof/>
        </w:rPr>
        <w:t>–</w:t>
      </w:r>
      <w:r w:rsidRPr="00B41BE0">
        <w:rPr>
          <w:noProof/>
        </w:rPr>
        <w:t>190.</w:t>
      </w:r>
      <w:bookmarkEnd w:id="1648"/>
    </w:p>
    <w:p w14:paraId="29A2A013" w14:textId="77777777" w:rsidR="00FC0D42" w:rsidRPr="00B41BE0" w:rsidRDefault="00FC0D42" w:rsidP="00FC0D42">
      <w:pPr>
        <w:pStyle w:val="References"/>
        <w:rPr>
          <w:noProof/>
        </w:rPr>
      </w:pPr>
      <w:bookmarkStart w:id="1649" w:name="_ENREF_58"/>
      <w:r w:rsidRPr="00B41BE0">
        <w:rPr>
          <w:noProof/>
        </w:rPr>
        <w:t xml:space="preserve">IPAQ. (2002). </w:t>
      </w:r>
      <w:r w:rsidRPr="00B41BE0">
        <w:rPr>
          <w:i/>
          <w:noProof/>
        </w:rPr>
        <w:t>The International Physical Activity Questionniare</w:t>
      </w:r>
      <w:r w:rsidRPr="00B41BE0">
        <w:rPr>
          <w:noProof/>
        </w:rPr>
        <w:t xml:space="preserve">. Available: </w:t>
      </w:r>
      <w:hyperlink r:id="rId198" w:history="1">
        <w:r w:rsidRPr="00215381">
          <w:rPr>
            <w:rStyle w:val="Hyperlink"/>
            <w:noProof/>
          </w:rPr>
          <w:t>http://www.ipaq.ki.se</w:t>
        </w:r>
      </w:hyperlink>
      <w:r w:rsidRPr="00B41BE0">
        <w:rPr>
          <w:noProof/>
        </w:rPr>
        <w:t xml:space="preserve"> [Accessed November 2016].</w:t>
      </w:r>
      <w:bookmarkEnd w:id="1649"/>
    </w:p>
    <w:p w14:paraId="5EE3C8A0" w14:textId="77777777" w:rsidR="00FC0D42" w:rsidRPr="00B41BE0" w:rsidRDefault="00FC0D42" w:rsidP="00FC0D42">
      <w:pPr>
        <w:pStyle w:val="References"/>
        <w:rPr>
          <w:noProof/>
        </w:rPr>
      </w:pPr>
      <w:bookmarkStart w:id="1650" w:name="_ENREF_59"/>
      <w:r w:rsidRPr="00B41BE0">
        <w:rPr>
          <w:noProof/>
        </w:rPr>
        <w:t xml:space="preserve">Kessler, R. C., Andrews, G., Colpe, L. J., Hiripi, E., Mroczek, D. K., Normand, S. L. T., </w:t>
      </w:r>
      <w:r>
        <w:rPr>
          <w:noProof/>
        </w:rPr>
        <w:t>…</w:t>
      </w:r>
      <w:r w:rsidRPr="00B41BE0">
        <w:rPr>
          <w:noProof/>
        </w:rPr>
        <w:t xml:space="preserve"> Zaslavsky, A. M. (2002). Short screening scales to monitor population prevalences and trends in non</w:t>
      </w:r>
      <w:r>
        <w:rPr>
          <w:noProof/>
        </w:rPr>
        <w:t>-</w:t>
      </w:r>
      <w:r w:rsidRPr="00B41BE0">
        <w:rPr>
          <w:noProof/>
        </w:rPr>
        <w:t xml:space="preserve">specific psychological distress. </w:t>
      </w:r>
      <w:r w:rsidRPr="00B41BE0">
        <w:rPr>
          <w:i/>
          <w:noProof/>
        </w:rPr>
        <w:t>Psychological Medicine,</w:t>
      </w:r>
      <w:r w:rsidRPr="00B41BE0">
        <w:rPr>
          <w:noProof/>
        </w:rPr>
        <w:t xml:space="preserve"> </w:t>
      </w:r>
      <w:r w:rsidRPr="00CE7308">
        <w:rPr>
          <w:i/>
          <w:noProof/>
        </w:rPr>
        <w:t>32</w:t>
      </w:r>
      <w:r w:rsidRPr="00B41BE0">
        <w:rPr>
          <w:noProof/>
        </w:rPr>
        <w:t>(6), 959</w:t>
      </w:r>
      <w:r>
        <w:rPr>
          <w:noProof/>
        </w:rPr>
        <w:t>–</w:t>
      </w:r>
      <w:r w:rsidRPr="00B41BE0">
        <w:rPr>
          <w:noProof/>
        </w:rPr>
        <w:t>976.</w:t>
      </w:r>
      <w:bookmarkEnd w:id="1650"/>
    </w:p>
    <w:p w14:paraId="63948627" w14:textId="77777777" w:rsidR="00FC0D42" w:rsidRPr="00B41BE0" w:rsidRDefault="00FC0D42" w:rsidP="00FC0D42">
      <w:pPr>
        <w:pStyle w:val="References"/>
        <w:rPr>
          <w:noProof/>
        </w:rPr>
      </w:pPr>
      <w:bookmarkStart w:id="1651" w:name="_ENREF_60"/>
      <w:r w:rsidRPr="00B41BE0">
        <w:rPr>
          <w:noProof/>
        </w:rPr>
        <w:t xml:space="preserve">Kessler, R. C. &amp; Ustun, T. B. (2004). The World Mental Health (WMH) survey initiative version of the World Health Organization (WHO) Composite International Diagnostic Interview (CIDI). </w:t>
      </w:r>
      <w:r w:rsidRPr="00B41BE0">
        <w:rPr>
          <w:i/>
          <w:noProof/>
        </w:rPr>
        <w:t>International Journal of Methods in Psychiatric Research,</w:t>
      </w:r>
      <w:r w:rsidRPr="00B41BE0">
        <w:rPr>
          <w:noProof/>
        </w:rPr>
        <w:t xml:space="preserve"> </w:t>
      </w:r>
      <w:r w:rsidRPr="00F04113">
        <w:rPr>
          <w:i/>
          <w:noProof/>
        </w:rPr>
        <w:t>13</w:t>
      </w:r>
      <w:r w:rsidRPr="00B41BE0">
        <w:rPr>
          <w:noProof/>
        </w:rPr>
        <w:t>(2), 93</w:t>
      </w:r>
      <w:r>
        <w:rPr>
          <w:noProof/>
        </w:rPr>
        <w:t>–</w:t>
      </w:r>
      <w:r w:rsidRPr="00B41BE0">
        <w:rPr>
          <w:noProof/>
        </w:rPr>
        <w:t>117.</w:t>
      </w:r>
      <w:bookmarkEnd w:id="1651"/>
    </w:p>
    <w:p w14:paraId="53EB72D0" w14:textId="77777777" w:rsidR="00FC0D42" w:rsidRPr="00B41BE0" w:rsidRDefault="00FC0D42" w:rsidP="00FC0D42">
      <w:pPr>
        <w:pStyle w:val="References"/>
        <w:rPr>
          <w:noProof/>
        </w:rPr>
      </w:pPr>
      <w:bookmarkStart w:id="1652" w:name="_ENREF_61"/>
      <w:r w:rsidRPr="00B41BE0">
        <w:rPr>
          <w:noProof/>
        </w:rPr>
        <w:t xml:space="preserve">Kirby, S. N. &amp; Naftel, S. (1998). </w:t>
      </w:r>
      <w:r w:rsidRPr="00B41BE0">
        <w:rPr>
          <w:i/>
          <w:noProof/>
        </w:rPr>
        <w:t xml:space="preserve">The </w:t>
      </w:r>
      <w:r>
        <w:rPr>
          <w:i/>
          <w:noProof/>
        </w:rPr>
        <w:t>e</w:t>
      </w:r>
      <w:r w:rsidRPr="00B41BE0">
        <w:rPr>
          <w:i/>
          <w:noProof/>
        </w:rPr>
        <w:t xml:space="preserve">ffect of </w:t>
      </w:r>
      <w:r>
        <w:rPr>
          <w:i/>
          <w:noProof/>
        </w:rPr>
        <w:t>m</w:t>
      </w:r>
      <w:r w:rsidRPr="00B41BE0">
        <w:rPr>
          <w:i/>
          <w:noProof/>
        </w:rPr>
        <w:t xml:space="preserve">obilization on </w:t>
      </w:r>
      <w:r>
        <w:rPr>
          <w:i/>
          <w:noProof/>
        </w:rPr>
        <w:t>r</w:t>
      </w:r>
      <w:r w:rsidRPr="00B41BE0">
        <w:rPr>
          <w:i/>
          <w:noProof/>
        </w:rPr>
        <w:t xml:space="preserve">etention of </w:t>
      </w:r>
      <w:r>
        <w:rPr>
          <w:i/>
          <w:noProof/>
        </w:rPr>
        <w:t>e</w:t>
      </w:r>
      <w:r w:rsidRPr="00B41BE0">
        <w:rPr>
          <w:i/>
          <w:noProof/>
        </w:rPr>
        <w:t xml:space="preserve">nlisted </w:t>
      </w:r>
      <w:r>
        <w:rPr>
          <w:i/>
          <w:noProof/>
        </w:rPr>
        <w:t>r</w:t>
      </w:r>
      <w:r w:rsidRPr="00B41BE0">
        <w:rPr>
          <w:i/>
          <w:noProof/>
        </w:rPr>
        <w:t xml:space="preserve">eservists </w:t>
      </w:r>
      <w:r>
        <w:rPr>
          <w:i/>
          <w:noProof/>
        </w:rPr>
        <w:t>a</w:t>
      </w:r>
      <w:r w:rsidRPr="00B41BE0">
        <w:rPr>
          <w:i/>
          <w:noProof/>
        </w:rPr>
        <w:t xml:space="preserve">fter Operation Desert Shield/Storm, </w:t>
      </w:r>
      <w:r w:rsidRPr="00B41BE0">
        <w:rPr>
          <w:noProof/>
        </w:rPr>
        <w:t>Santa Monica, California: RAND Corporation.</w:t>
      </w:r>
      <w:bookmarkEnd w:id="1652"/>
    </w:p>
    <w:p w14:paraId="0AA07DF1" w14:textId="77777777" w:rsidR="00FC0D42" w:rsidRPr="00B41BE0" w:rsidRDefault="00FC0D42" w:rsidP="00FC0D42">
      <w:pPr>
        <w:pStyle w:val="References"/>
        <w:rPr>
          <w:noProof/>
        </w:rPr>
      </w:pPr>
      <w:bookmarkStart w:id="1653" w:name="_ENREF_62"/>
      <w:r w:rsidRPr="00B41BE0">
        <w:rPr>
          <w:noProof/>
        </w:rPr>
        <w:t xml:space="preserve">Kroenke, K., Spitzer, R. L. &amp; Williams, J. B. (2001). The PHQ-9: validity of a brief depression severity measure. </w:t>
      </w:r>
      <w:r w:rsidRPr="00B41BE0">
        <w:rPr>
          <w:i/>
          <w:noProof/>
        </w:rPr>
        <w:t>Journal of General Internal Medicine,</w:t>
      </w:r>
      <w:r w:rsidRPr="00B41BE0">
        <w:rPr>
          <w:noProof/>
        </w:rPr>
        <w:t xml:space="preserve"> </w:t>
      </w:r>
      <w:r w:rsidRPr="00F04113">
        <w:rPr>
          <w:i/>
          <w:noProof/>
        </w:rPr>
        <w:t>16</w:t>
      </w:r>
      <w:r w:rsidRPr="00B41BE0">
        <w:rPr>
          <w:noProof/>
        </w:rPr>
        <w:t>(9), 606</w:t>
      </w:r>
      <w:r>
        <w:rPr>
          <w:noProof/>
        </w:rPr>
        <w:t>–</w:t>
      </w:r>
      <w:r w:rsidRPr="00B41BE0">
        <w:rPr>
          <w:noProof/>
        </w:rPr>
        <w:t>613.</w:t>
      </w:r>
      <w:bookmarkEnd w:id="1653"/>
    </w:p>
    <w:p w14:paraId="4A0C3B00" w14:textId="77777777" w:rsidR="00FC0D42" w:rsidRPr="00B41BE0" w:rsidRDefault="00FC0D42" w:rsidP="00FC0D42">
      <w:pPr>
        <w:pStyle w:val="References"/>
        <w:rPr>
          <w:noProof/>
        </w:rPr>
      </w:pPr>
      <w:bookmarkStart w:id="1654" w:name="_ENREF_63"/>
      <w:r w:rsidRPr="00B41BE0">
        <w:rPr>
          <w:noProof/>
        </w:rPr>
        <w:t>Lal, S. &amp; Adair, C. E. (2014). E</w:t>
      </w:r>
      <w:r>
        <w:rPr>
          <w:noProof/>
        </w:rPr>
        <w:t>–</w:t>
      </w:r>
      <w:r w:rsidRPr="00B41BE0">
        <w:rPr>
          <w:noProof/>
        </w:rPr>
        <w:t xml:space="preserve">mental health: a rapid review of the literature. </w:t>
      </w:r>
      <w:r w:rsidRPr="00B41BE0">
        <w:rPr>
          <w:i/>
          <w:noProof/>
        </w:rPr>
        <w:t>Psychiatric Services,</w:t>
      </w:r>
      <w:r w:rsidRPr="00B41BE0">
        <w:rPr>
          <w:noProof/>
        </w:rPr>
        <w:t xml:space="preserve"> </w:t>
      </w:r>
      <w:r w:rsidRPr="00F04113">
        <w:rPr>
          <w:i/>
          <w:noProof/>
        </w:rPr>
        <w:t>65</w:t>
      </w:r>
      <w:r w:rsidRPr="00B41BE0">
        <w:rPr>
          <w:noProof/>
        </w:rPr>
        <w:t>(1), 24</w:t>
      </w:r>
      <w:r>
        <w:rPr>
          <w:noProof/>
        </w:rPr>
        <w:t>–</w:t>
      </w:r>
      <w:r w:rsidRPr="00B41BE0">
        <w:rPr>
          <w:noProof/>
        </w:rPr>
        <w:t>32.</w:t>
      </w:r>
      <w:bookmarkEnd w:id="1654"/>
    </w:p>
    <w:p w14:paraId="52404E88" w14:textId="77777777" w:rsidR="00FC0D42" w:rsidRPr="00B41BE0" w:rsidRDefault="00FC0D42" w:rsidP="00FC0D42">
      <w:pPr>
        <w:pStyle w:val="References"/>
        <w:rPr>
          <w:noProof/>
        </w:rPr>
      </w:pPr>
      <w:bookmarkStart w:id="1655" w:name="_ENREF_64"/>
      <w:r w:rsidRPr="00B41BE0">
        <w:rPr>
          <w:noProof/>
        </w:rPr>
        <w:t>Lehavot, K., Litz, B., Millard, S. P., Hamilton, A. B., Sadler, A. &amp; Simpson, T. (2017). Study adaptation, design, and methods of a web</w:t>
      </w:r>
      <w:r>
        <w:rPr>
          <w:noProof/>
        </w:rPr>
        <w:t>–</w:t>
      </w:r>
      <w:r w:rsidRPr="00B41BE0">
        <w:rPr>
          <w:noProof/>
        </w:rPr>
        <w:t xml:space="preserve">based PTSD intervention for women </w:t>
      </w:r>
      <w:r>
        <w:rPr>
          <w:noProof/>
        </w:rPr>
        <w:t>v</w:t>
      </w:r>
      <w:r w:rsidRPr="00B41BE0">
        <w:rPr>
          <w:noProof/>
        </w:rPr>
        <w:t xml:space="preserve">eterans. </w:t>
      </w:r>
      <w:r w:rsidRPr="00B41BE0">
        <w:rPr>
          <w:i/>
          <w:noProof/>
        </w:rPr>
        <w:t>Contemporary Clinical Trials,</w:t>
      </w:r>
      <w:r w:rsidRPr="00F04113">
        <w:rPr>
          <w:i/>
          <w:noProof/>
        </w:rPr>
        <w:t xml:space="preserve"> 53</w:t>
      </w:r>
      <w:r w:rsidRPr="00B41BE0">
        <w:rPr>
          <w:noProof/>
        </w:rPr>
        <w:t>, 68</w:t>
      </w:r>
      <w:r>
        <w:rPr>
          <w:noProof/>
        </w:rPr>
        <w:t>–</w:t>
      </w:r>
      <w:r w:rsidRPr="00B41BE0">
        <w:rPr>
          <w:noProof/>
        </w:rPr>
        <w:t>79.</w:t>
      </w:r>
      <w:bookmarkEnd w:id="1655"/>
    </w:p>
    <w:p w14:paraId="0811A7F4" w14:textId="77777777" w:rsidR="00FC0D42" w:rsidRPr="00B41BE0" w:rsidRDefault="00FC0D42" w:rsidP="00FC0D42">
      <w:pPr>
        <w:pStyle w:val="References"/>
        <w:rPr>
          <w:noProof/>
        </w:rPr>
      </w:pPr>
      <w:bookmarkStart w:id="1656" w:name="_ENREF_65"/>
      <w:r w:rsidRPr="00B41BE0">
        <w:rPr>
          <w:noProof/>
        </w:rPr>
        <w:t xml:space="preserve">McFarlane, A. C., Hodson, S., Van Hooff, M., Verhagen, A. &amp; Davies, C. (2011). </w:t>
      </w:r>
      <w:r w:rsidRPr="00B41BE0">
        <w:rPr>
          <w:i/>
          <w:noProof/>
        </w:rPr>
        <w:t xml:space="preserve">Mental health in the Australian Defence Force: 2010 ADF Mental Health and Wellbeing Study: Full Report, </w:t>
      </w:r>
      <w:r w:rsidRPr="00B41BE0">
        <w:rPr>
          <w:noProof/>
        </w:rPr>
        <w:t>Canberra: Department of Defence.</w:t>
      </w:r>
      <w:bookmarkEnd w:id="1656"/>
    </w:p>
    <w:p w14:paraId="2864E860" w14:textId="77777777" w:rsidR="00FC0D42" w:rsidRPr="00B41BE0" w:rsidRDefault="00FC0D42" w:rsidP="00FC0D42">
      <w:pPr>
        <w:pStyle w:val="References"/>
        <w:rPr>
          <w:noProof/>
        </w:rPr>
      </w:pPr>
      <w:bookmarkStart w:id="1657" w:name="_ENREF_66"/>
      <w:r w:rsidRPr="00B41BE0">
        <w:rPr>
          <w:noProof/>
        </w:rPr>
        <w:t xml:space="preserve">McFarlane, A. C., Lawrence-Wood, E., Van Hooff, M., Malhi, G. S. &amp; Yehuda, R. (2017). The need to take a staging approach to the biological mechanisms of PTSD and its treatment. </w:t>
      </w:r>
      <w:r w:rsidRPr="00B41BE0">
        <w:rPr>
          <w:i/>
          <w:noProof/>
        </w:rPr>
        <w:t>Current Psychiatry Reports,</w:t>
      </w:r>
      <w:r w:rsidRPr="00B41BE0">
        <w:rPr>
          <w:noProof/>
        </w:rPr>
        <w:t xml:space="preserve"> </w:t>
      </w:r>
      <w:r w:rsidRPr="004B3D58">
        <w:rPr>
          <w:i/>
          <w:noProof/>
        </w:rPr>
        <w:t>19</w:t>
      </w:r>
      <w:r w:rsidRPr="00B41BE0">
        <w:rPr>
          <w:noProof/>
        </w:rPr>
        <w:t>(2), 10.</w:t>
      </w:r>
      <w:bookmarkEnd w:id="1657"/>
    </w:p>
    <w:p w14:paraId="42336F36" w14:textId="77777777" w:rsidR="00FC0D42" w:rsidRPr="00B41BE0" w:rsidRDefault="00FC0D42" w:rsidP="00FC0D42">
      <w:pPr>
        <w:pStyle w:val="References"/>
        <w:rPr>
          <w:noProof/>
        </w:rPr>
      </w:pPr>
      <w:bookmarkStart w:id="1658" w:name="_ENREF_67"/>
      <w:r w:rsidRPr="00B41BE0">
        <w:rPr>
          <w:noProof/>
        </w:rPr>
        <w:t xml:space="preserve">McGuire, A., Runge, C., Cosgrove, L., Bredhauer, K., Anderson, R., Waller, M., </w:t>
      </w:r>
      <w:r>
        <w:rPr>
          <w:noProof/>
        </w:rPr>
        <w:t>…</w:t>
      </w:r>
      <w:r w:rsidRPr="00B41BE0">
        <w:rPr>
          <w:noProof/>
        </w:rPr>
        <w:t xml:space="preserve"> Nasveld, P. (2012). </w:t>
      </w:r>
      <w:r w:rsidRPr="00B41BE0">
        <w:rPr>
          <w:i/>
          <w:noProof/>
        </w:rPr>
        <w:t>Timor-Leste Family Study 2012: Technical Report</w:t>
      </w:r>
      <w:r w:rsidRPr="00B41BE0">
        <w:rPr>
          <w:noProof/>
        </w:rPr>
        <w:t xml:space="preserve">. Brisbane, Australia: University of Queensland, Centre for Military and Veterans' Health. Available: </w:t>
      </w:r>
      <w:hyperlink r:id="rId199" w:history="1">
        <w:r w:rsidRPr="00215381">
          <w:rPr>
            <w:rStyle w:val="Hyperlink"/>
            <w:noProof/>
          </w:rPr>
          <w:t>https://www.dva.gov.au/sites/default/files/files/consultation%20and%20grants/healthstudies/timor_leste/tlfs-technical.pdf</w:t>
        </w:r>
      </w:hyperlink>
      <w:r w:rsidRPr="00B41BE0">
        <w:rPr>
          <w:noProof/>
        </w:rPr>
        <w:t xml:space="preserve"> [Accessed October 2017].</w:t>
      </w:r>
      <w:bookmarkEnd w:id="1658"/>
    </w:p>
    <w:p w14:paraId="4A3E3745" w14:textId="77777777" w:rsidR="00FC0D42" w:rsidRPr="00B41BE0" w:rsidRDefault="00FC0D42" w:rsidP="00FC0D42">
      <w:pPr>
        <w:pStyle w:val="References"/>
        <w:rPr>
          <w:noProof/>
        </w:rPr>
      </w:pPr>
      <w:bookmarkStart w:id="1659" w:name="_ENREF_68"/>
      <w:r w:rsidRPr="00B41BE0">
        <w:rPr>
          <w:noProof/>
        </w:rPr>
        <w:t xml:space="preserve">Mental Health Commission of New South Wales. (2014). </w:t>
      </w:r>
      <w:r w:rsidRPr="00B41BE0">
        <w:rPr>
          <w:i/>
          <w:noProof/>
        </w:rPr>
        <w:t>Strategies for adopting and strengthening e-mental health</w:t>
      </w:r>
      <w:r w:rsidRPr="00B41BE0">
        <w:rPr>
          <w:noProof/>
        </w:rPr>
        <w:t xml:space="preserve">. New South Wales: Sax Institute. Available: </w:t>
      </w:r>
      <w:hyperlink r:id="rId200" w:history="1">
        <w:r w:rsidRPr="00215381">
          <w:rPr>
            <w:rStyle w:val="Hyperlink"/>
            <w:noProof/>
          </w:rPr>
          <w:t>https://nswmentalhealthcommission.com.au/sites/default/files/assets/File/Report%20-%20The%20Sax%20Institute%20E-Mental%20Health%20Evidence%20Review%20cover%20page.pdf</w:t>
        </w:r>
      </w:hyperlink>
      <w:r w:rsidRPr="00B41BE0">
        <w:rPr>
          <w:noProof/>
        </w:rPr>
        <w:t xml:space="preserve"> </w:t>
      </w:r>
      <w:bookmarkEnd w:id="1659"/>
    </w:p>
    <w:p w14:paraId="4FDB24F0" w14:textId="77777777" w:rsidR="00FC0D42" w:rsidRPr="00B41BE0" w:rsidRDefault="00FC0D42" w:rsidP="00FC0D42">
      <w:pPr>
        <w:pStyle w:val="References"/>
        <w:rPr>
          <w:noProof/>
        </w:rPr>
      </w:pPr>
      <w:bookmarkStart w:id="1660" w:name="_ENREF_69"/>
      <w:r w:rsidRPr="00B41BE0">
        <w:rPr>
          <w:noProof/>
        </w:rPr>
        <w:t xml:space="preserve">Mental Health Network NHS Confederation. (2013). </w:t>
      </w:r>
      <w:r w:rsidRPr="00B41BE0">
        <w:rPr>
          <w:i/>
          <w:noProof/>
        </w:rPr>
        <w:t>E-Mental Health, What's all the fuss about?</w:t>
      </w:r>
      <w:r w:rsidRPr="00B41BE0">
        <w:rPr>
          <w:noProof/>
        </w:rPr>
        <w:t xml:space="preserve"> Discussion Paper: NHS Confederation. Available: </w:t>
      </w:r>
      <w:hyperlink r:id="rId201" w:history="1">
        <w:r w:rsidRPr="00215381">
          <w:rPr>
            <w:rStyle w:val="Hyperlink"/>
            <w:noProof/>
          </w:rPr>
          <w:t>http://www.nhsconfed.org/resources/2013/01/e-mental-health-whats-all-the-fuss-about</w:t>
        </w:r>
      </w:hyperlink>
      <w:r w:rsidRPr="00B41BE0">
        <w:rPr>
          <w:noProof/>
        </w:rPr>
        <w:t xml:space="preserve"> </w:t>
      </w:r>
      <w:bookmarkEnd w:id="1660"/>
    </w:p>
    <w:p w14:paraId="2524E0FB" w14:textId="77777777" w:rsidR="00FC0D42" w:rsidRPr="00B41BE0" w:rsidRDefault="00FC0D42" w:rsidP="00FC0D42">
      <w:pPr>
        <w:pStyle w:val="References"/>
        <w:rPr>
          <w:noProof/>
        </w:rPr>
      </w:pPr>
      <w:bookmarkStart w:id="1661" w:name="_ENREF_70"/>
      <w:r w:rsidRPr="00B41BE0">
        <w:rPr>
          <w:noProof/>
        </w:rPr>
        <w:t xml:space="preserve">Mohr, D. C., Cheung, K., Schueller, S. M., Brown, C. H. &amp; Duan, N. (2013). Continuous evaluation of evolving behavioral intervention technologies. </w:t>
      </w:r>
      <w:r w:rsidRPr="00B41BE0">
        <w:rPr>
          <w:i/>
          <w:noProof/>
        </w:rPr>
        <w:t>American Journal of Preventive Medicine,</w:t>
      </w:r>
      <w:r w:rsidRPr="00B41BE0">
        <w:rPr>
          <w:noProof/>
        </w:rPr>
        <w:t xml:space="preserve"> </w:t>
      </w:r>
      <w:r w:rsidRPr="007E3323">
        <w:rPr>
          <w:i/>
          <w:noProof/>
        </w:rPr>
        <w:t>45</w:t>
      </w:r>
      <w:r w:rsidRPr="00B41BE0">
        <w:rPr>
          <w:noProof/>
        </w:rPr>
        <w:t>(4), 517</w:t>
      </w:r>
      <w:r>
        <w:rPr>
          <w:noProof/>
        </w:rPr>
        <w:t>–</w:t>
      </w:r>
      <w:r w:rsidRPr="00B41BE0">
        <w:rPr>
          <w:noProof/>
        </w:rPr>
        <w:t>523.</w:t>
      </w:r>
      <w:bookmarkEnd w:id="1661"/>
    </w:p>
    <w:p w14:paraId="12D7D634" w14:textId="77777777" w:rsidR="00FC0D42" w:rsidRPr="00B41BE0" w:rsidRDefault="00FC0D42" w:rsidP="00FC0D42">
      <w:pPr>
        <w:pStyle w:val="References"/>
        <w:rPr>
          <w:noProof/>
        </w:rPr>
      </w:pPr>
      <w:bookmarkStart w:id="1662" w:name="_ENREF_71"/>
      <w:r w:rsidRPr="00B41BE0">
        <w:rPr>
          <w:noProof/>
        </w:rPr>
        <w:t xml:space="preserve">Moreau, J. L., Cordasco, K. M., Young, A. S., Oishi, S. M., Rose, D. E., Canelo, I., </w:t>
      </w:r>
      <w:r>
        <w:rPr>
          <w:noProof/>
        </w:rPr>
        <w:t>…</w:t>
      </w:r>
      <w:r w:rsidRPr="00B41BE0">
        <w:rPr>
          <w:noProof/>
        </w:rPr>
        <w:t xml:space="preserve"> Hamilton, A. B. (2018). The use of telemental health to meet the mental health needs of women using Department of Veterans Affairs services. </w:t>
      </w:r>
      <w:r w:rsidRPr="00B41BE0">
        <w:rPr>
          <w:i/>
          <w:noProof/>
        </w:rPr>
        <w:t>Womens Health Issues,</w:t>
      </w:r>
      <w:r w:rsidRPr="00B41BE0">
        <w:rPr>
          <w:noProof/>
        </w:rPr>
        <w:t xml:space="preserve"> </w:t>
      </w:r>
      <w:r w:rsidRPr="007E3323">
        <w:rPr>
          <w:i/>
          <w:noProof/>
        </w:rPr>
        <w:t>28</w:t>
      </w:r>
      <w:r w:rsidRPr="00B41BE0">
        <w:rPr>
          <w:noProof/>
        </w:rPr>
        <w:t>(2), 181</w:t>
      </w:r>
      <w:r>
        <w:rPr>
          <w:noProof/>
        </w:rPr>
        <w:t>–</w:t>
      </w:r>
      <w:r w:rsidRPr="00B41BE0">
        <w:rPr>
          <w:noProof/>
        </w:rPr>
        <w:t>187.</w:t>
      </w:r>
      <w:bookmarkEnd w:id="1662"/>
    </w:p>
    <w:p w14:paraId="7D413445" w14:textId="77777777" w:rsidR="00FC0D42" w:rsidRPr="00B41BE0" w:rsidRDefault="00FC0D42" w:rsidP="00FC0D42">
      <w:pPr>
        <w:pStyle w:val="References"/>
        <w:rPr>
          <w:noProof/>
        </w:rPr>
      </w:pPr>
      <w:bookmarkStart w:id="1663" w:name="_ENREF_72"/>
      <w:r w:rsidRPr="00B41BE0">
        <w:rPr>
          <w:noProof/>
        </w:rPr>
        <w:t xml:space="preserve">Muir, S., Meyer, D. &amp; Thomas, N. (2017). </w:t>
      </w:r>
      <w:r w:rsidRPr="00B41BE0">
        <w:rPr>
          <w:i/>
          <w:noProof/>
        </w:rPr>
        <w:t xml:space="preserve">Is online video counselling at least equally acceptable and equally as effective as in-person counselling?, </w:t>
      </w:r>
      <w:r w:rsidRPr="00B41BE0">
        <w:rPr>
          <w:noProof/>
        </w:rPr>
        <w:t>Report prepared for the Australian Government Department of Veterans’ Affairs: Swinburne University of Technology.</w:t>
      </w:r>
      <w:bookmarkEnd w:id="1663"/>
    </w:p>
    <w:p w14:paraId="497F41CA" w14:textId="77777777" w:rsidR="00FC0D42" w:rsidRPr="00B41BE0" w:rsidRDefault="00FC0D42" w:rsidP="00FC0D42">
      <w:pPr>
        <w:pStyle w:val="References"/>
        <w:rPr>
          <w:noProof/>
        </w:rPr>
      </w:pPr>
      <w:bookmarkStart w:id="1664" w:name="_ENREF_73"/>
      <w:r w:rsidRPr="00B41BE0">
        <w:rPr>
          <w:noProof/>
        </w:rPr>
        <w:t xml:space="preserve">Nezu, A. &amp; Nezu, C. M. (2016). </w:t>
      </w:r>
      <w:r w:rsidRPr="00B41BE0">
        <w:rPr>
          <w:i/>
          <w:noProof/>
        </w:rPr>
        <w:t>Moving Forward</w:t>
      </w:r>
      <w:r>
        <w:rPr>
          <w:i/>
          <w:noProof/>
        </w:rPr>
        <w:t xml:space="preserve">: </w:t>
      </w:r>
      <w:r w:rsidRPr="00B41BE0">
        <w:rPr>
          <w:i/>
          <w:noProof/>
        </w:rPr>
        <w:t>Overcoming Life's Challenges</w:t>
      </w:r>
      <w:r w:rsidRPr="00B41BE0">
        <w:rPr>
          <w:noProof/>
        </w:rPr>
        <w:t xml:space="preserve">. Available: </w:t>
      </w:r>
      <w:hyperlink r:id="rId202" w:history="1">
        <w:r w:rsidRPr="00215381">
          <w:rPr>
            <w:rStyle w:val="Hyperlink"/>
            <w:noProof/>
          </w:rPr>
          <w:t>https://www.veterantraining.va.gov/movingforward/media/MovingForward_user_guide_508.pdf</w:t>
        </w:r>
      </w:hyperlink>
      <w:r w:rsidRPr="00B41BE0">
        <w:rPr>
          <w:noProof/>
        </w:rPr>
        <w:t xml:space="preserve"> </w:t>
      </w:r>
      <w:bookmarkEnd w:id="1664"/>
    </w:p>
    <w:p w14:paraId="320BACA3" w14:textId="77777777" w:rsidR="00FC0D42" w:rsidRPr="00B41BE0" w:rsidRDefault="00FC0D42" w:rsidP="00FC0D42">
      <w:pPr>
        <w:pStyle w:val="References"/>
        <w:rPr>
          <w:noProof/>
        </w:rPr>
      </w:pPr>
      <w:bookmarkStart w:id="1665" w:name="_ENREF_74"/>
      <w:r w:rsidRPr="00B41BE0">
        <w:rPr>
          <w:noProof/>
        </w:rPr>
        <w:t xml:space="preserve">O’Donnell, M., Lockwood, E., Varker, T. &amp; Dell, L. (2014). </w:t>
      </w:r>
      <w:r w:rsidRPr="00B41BE0">
        <w:rPr>
          <w:i/>
          <w:noProof/>
        </w:rPr>
        <w:t xml:space="preserve">What are the effective models for stepped care in the treatment of mental health disorder? A Rapid Evidence Assessment, </w:t>
      </w:r>
      <w:r w:rsidRPr="00B41BE0">
        <w:rPr>
          <w:noProof/>
        </w:rPr>
        <w:t>Report prepared for the Department of Veterans</w:t>
      </w:r>
      <w:r>
        <w:rPr>
          <w:noProof/>
        </w:rPr>
        <w:t>'</w:t>
      </w:r>
      <w:r w:rsidRPr="00B41BE0">
        <w:rPr>
          <w:noProof/>
        </w:rPr>
        <w:t xml:space="preserve"> Affairs: Australian Centre for Posttraumatic Mental Health.</w:t>
      </w:r>
      <w:bookmarkEnd w:id="1665"/>
    </w:p>
    <w:p w14:paraId="04EAC348" w14:textId="77777777" w:rsidR="00FC0D42" w:rsidRPr="00B41BE0" w:rsidRDefault="00FC0D42" w:rsidP="00FC0D42">
      <w:pPr>
        <w:pStyle w:val="References"/>
        <w:rPr>
          <w:noProof/>
        </w:rPr>
      </w:pPr>
      <w:bookmarkStart w:id="1666" w:name="_ENREF_75"/>
      <w:r w:rsidRPr="00B41BE0">
        <w:rPr>
          <w:noProof/>
        </w:rPr>
        <w:t>Odor, A., Yellowlees, P., Hilty, D., Parish, M. B., Nafiz, N. &amp; Iosif, A.</w:t>
      </w:r>
      <w:r>
        <w:rPr>
          <w:noProof/>
        </w:rPr>
        <w:t xml:space="preserve"> </w:t>
      </w:r>
      <w:r w:rsidRPr="00B41BE0">
        <w:rPr>
          <w:noProof/>
        </w:rPr>
        <w:t xml:space="preserve">M. (2011). PsychVACS: a system for asynchronous telepsychiatry. </w:t>
      </w:r>
      <w:r w:rsidRPr="00B41BE0">
        <w:rPr>
          <w:i/>
          <w:noProof/>
        </w:rPr>
        <w:t>Telemedicine and e-Health,</w:t>
      </w:r>
      <w:r w:rsidRPr="00B41BE0">
        <w:rPr>
          <w:noProof/>
        </w:rPr>
        <w:t xml:space="preserve"> </w:t>
      </w:r>
      <w:r w:rsidRPr="00EF20D7">
        <w:rPr>
          <w:i/>
          <w:noProof/>
        </w:rPr>
        <w:t>17</w:t>
      </w:r>
      <w:r w:rsidRPr="00B41BE0">
        <w:rPr>
          <w:noProof/>
        </w:rPr>
        <w:t>(4), 299</w:t>
      </w:r>
      <w:r>
        <w:rPr>
          <w:noProof/>
        </w:rPr>
        <w:t>–</w:t>
      </w:r>
      <w:r w:rsidRPr="00B41BE0">
        <w:rPr>
          <w:noProof/>
        </w:rPr>
        <w:t>303.</w:t>
      </w:r>
      <w:bookmarkEnd w:id="1666"/>
    </w:p>
    <w:p w14:paraId="3D52615F" w14:textId="77777777" w:rsidR="00FC0D42" w:rsidRPr="00B41BE0" w:rsidRDefault="00FC0D42" w:rsidP="00FC0D42">
      <w:pPr>
        <w:pStyle w:val="References"/>
        <w:rPr>
          <w:noProof/>
        </w:rPr>
      </w:pPr>
      <w:bookmarkStart w:id="1667" w:name="_ENREF_76"/>
      <w:r w:rsidRPr="00B41BE0">
        <w:rPr>
          <w:noProof/>
        </w:rPr>
        <w:t xml:space="preserve">Paterson, G. &amp; Sanson, A. (1999). The association of behavioural adjustment to temperament, parenting and family characteristics among 5-Year-old children. </w:t>
      </w:r>
      <w:r w:rsidRPr="00B41BE0">
        <w:rPr>
          <w:i/>
          <w:noProof/>
        </w:rPr>
        <w:t>Social Development,</w:t>
      </w:r>
      <w:r w:rsidRPr="00B41BE0">
        <w:rPr>
          <w:noProof/>
        </w:rPr>
        <w:t xml:space="preserve"> </w:t>
      </w:r>
      <w:r w:rsidRPr="00EF20D7">
        <w:rPr>
          <w:i/>
          <w:noProof/>
        </w:rPr>
        <w:t>8</w:t>
      </w:r>
      <w:r w:rsidRPr="00B41BE0">
        <w:rPr>
          <w:noProof/>
        </w:rPr>
        <w:t>(3), 293</w:t>
      </w:r>
      <w:r>
        <w:rPr>
          <w:noProof/>
        </w:rPr>
        <w:t>–</w:t>
      </w:r>
      <w:r w:rsidRPr="00B41BE0">
        <w:rPr>
          <w:noProof/>
        </w:rPr>
        <w:t>309.</w:t>
      </w:r>
      <w:bookmarkEnd w:id="1667"/>
    </w:p>
    <w:p w14:paraId="1C6E468A" w14:textId="77777777" w:rsidR="00FC0D42" w:rsidRPr="00B41BE0" w:rsidRDefault="00FC0D42" w:rsidP="00FC0D42">
      <w:pPr>
        <w:pStyle w:val="References"/>
        <w:rPr>
          <w:noProof/>
        </w:rPr>
      </w:pPr>
      <w:bookmarkStart w:id="1668" w:name="_ENREF_77"/>
      <w:r w:rsidRPr="00B41BE0">
        <w:rPr>
          <w:noProof/>
        </w:rPr>
        <w:t xml:space="preserve">Possemato, K. (2011). The current state of intervention research for posttraumatic stress disorder within the primary care setting. </w:t>
      </w:r>
      <w:r w:rsidRPr="00B41BE0">
        <w:rPr>
          <w:i/>
          <w:noProof/>
        </w:rPr>
        <w:t>Journal of Clinical Psychology in Medical Settings,</w:t>
      </w:r>
      <w:r w:rsidRPr="00B41BE0">
        <w:rPr>
          <w:noProof/>
        </w:rPr>
        <w:t xml:space="preserve"> </w:t>
      </w:r>
      <w:r w:rsidRPr="00EF20D7">
        <w:rPr>
          <w:i/>
          <w:noProof/>
        </w:rPr>
        <w:t>18</w:t>
      </w:r>
      <w:r w:rsidRPr="00B41BE0">
        <w:rPr>
          <w:noProof/>
        </w:rPr>
        <w:t>(3), 268</w:t>
      </w:r>
      <w:r>
        <w:rPr>
          <w:noProof/>
        </w:rPr>
        <w:t>–</w:t>
      </w:r>
      <w:r w:rsidRPr="00B41BE0">
        <w:rPr>
          <w:noProof/>
        </w:rPr>
        <w:t>280.</w:t>
      </w:r>
      <w:bookmarkEnd w:id="1668"/>
    </w:p>
    <w:p w14:paraId="4D94EB7B" w14:textId="77777777" w:rsidR="00FC0D42" w:rsidRPr="00B41BE0" w:rsidRDefault="00FC0D42" w:rsidP="00FC0D42">
      <w:pPr>
        <w:pStyle w:val="References"/>
        <w:rPr>
          <w:noProof/>
        </w:rPr>
      </w:pPr>
      <w:bookmarkStart w:id="1669" w:name="_ENREF_78"/>
      <w:r w:rsidRPr="00B41BE0">
        <w:rPr>
          <w:noProof/>
        </w:rPr>
        <w:t xml:space="preserve">Proudfoot, J. (2013). The future is in our hands: the role of mobile phones in the prevention and management of mental disorders. </w:t>
      </w:r>
      <w:r w:rsidRPr="00B41BE0">
        <w:rPr>
          <w:i/>
          <w:noProof/>
        </w:rPr>
        <w:t>Australian &amp; New Zealand Journal of Psychiatry,</w:t>
      </w:r>
      <w:r w:rsidRPr="00B41BE0">
        <w:rPr>
          <w:noProof/>
        </w:rPr>
        <w:t xml:space="preserve"> </w:t>
      </w:r>
      <w:r w:rsidRPr="00EF20D7">
        <w:rPr>
          <w:i/>
          <w:noProof/>
        </w:rPr>
        <w:t>47</w:t>
      </w:r>
      <w:r w:rsidRPr="00B41BE0">
        <w:rPr>
          <w:noProof/>
        </w:rPr>
        <w:t>(2), 111</w:t>
      </w:r>
      <w:r>
        <w:rPr>
          <w:noProof/>
        </w:rPr>
        <w:t>–</w:t>
      </w:r>
      <w:r w:rsidRPr="00B41BE0">
        <w:rPr>
          <w:noProof/>
        </w:rPr>
        <w:t>113.</w:t>
      </w:r>
      <w:bookmarkEnd w:id="1669"/>
    </w:p>
    <w:p w14:paraId="651AB53C" w14:textId="77777777" w:rsidR="00FC0D42" w:rsidRPr="00B41BE0" w:rsidRDefault="00FC0D42" w:rsidP="00FC0D42">
      <w:pPr>
        <w:pStyle w:val="References"/>
        <w:rPr>
          <w:noProof/>
        </w:rPr>
      </w:pPr>
      <w:bookmarkStart w:id="1670" w:name="_ENREF_79"/>
      <w:r w:rsidRPr="00B41BE0">
        <w:rPr>
          <w:noProof/>
        </w:rPr>
        <w:t xml:space="preserve">Ray, J. M., Kemp, L. L., Hubbard, A. &amp; Cucciare, M. A. (2017). Developing a peer support protocol for improving veterans' engagement to computer-delivered cognitive behavioural therapy. </w:t>
      </w:r>
      <w:r w:rsidRPr="00B41BE0">
        <w:rPr>
          <w:i/>
          <w:noProof/>
        </w:rPr>
        <w:t>Behavioral and Cognitive Psychotherapy,</w:t>
      </w:r>
      <w:r w:rsidRPr="00B41BE0">
        <w:rPr>
          <w:noProof/>
        </w:rPr>
        <w:t xml:space="preserve"> </w:t>
      </w:r>
      <w:r w:rsidRPr="00EF20D7">
        <w:rPr>
          <w:i/>
          <w:noProof/>
        </w:rPr>
        <w:t>45</w:t>
      </w:r>
      <w:r w:rsidRPr="00B41BE0">
        <w:rPr>
          <w:noProof/>
        </w:rPr>
        <w:t>(3), 253</w:t>
      </w:r>
      <w:r>
        <w:rPr>
          <w:noProof/>
        </w:rPr>
        <w:t>–</w:t>
      </w:r>
      <w:r w:rsidRPr="00B41BE0">
        <w:rPr>
          <w:noProof/>
        </w:rPr>
        <w:t>265.</w:t>
      </w:r>
      <w:bookmarkEnd w:id="1670"/>
    </w:p>
    <w:p w14:paraId="4CA799AF" w14:textId="77777777" w:rsidR="00FC0D42" w:rsidRPr="00B41BE0" w:rsidRDefault="00FC0D42" w:rsidP="00FC0D42">
      <w:pPr>
        <w:pStyle w:val="References"/>
        <w:rPr>
          <w:noProof/>
        </w:rPr>
      </w:pPr>
      <w:bookmarkStart w:id="1671" w:name="_ENREF_80"/>
      <w:r w:rsidRPr="00B41BE0">
        <w:rPr>
          <w:noProof/>
        </w:rPr>
        <w:t xml:space="preserve">Riviere, L. A., Kendall-Robbins, A., McGurk, D., Castro, C. A., Hoge, C. W. (2011). Coming home may hurt: risk factors for mental ill health in US reservists after deployment in Iraq. </w:t>
      </w:r>
      <w:r w:rsidRPr="00B41BE0">
        <w:rPr>
          <w:i/>
          <w:noProof/>
        </w:rPr>
        <w:t>The British Journal of Psychiatry,</w:t>
      </w:r>
      <w:r w:rsidRPr="00B41BE0">
        <w:rPr>
          <w:noProof/>
        </w:rPr>
        <w:t xml:space="preserve"> </w:t>
      </w:r>
      <w:r w:rsidRPr="00EF20D7">
        <w:rPr>
          <w:i/>
          <w:noProof/>
        </w:rPr>
        <w:t>198</w:t>
      </w:r>
      <w:r w:rsidRPr="00B41BE0">
        <w:rPr>
          <w:noProof/>
        </w:rPr>
        <w:t>, 136</w:t>
      </w:r>
      <w:r>
        <w:rPr>
          <w:noProof/>
        </w:rPr>
        <w:t>–</w:t>
      </w:r>
      <w:r w:rsidRPr="00B41BE0">
        <w:rPr>
          <w:noProof/>
        </w:rPr>
        <w:t>142.</w:t>
      </w:r>
      <w:bookmarkEnd w:id="1671"/>
    </w:p>
    <w:p w14:paraId="54BFB513" w14:textId="77777777" w:rsidR="00FC0D42" w:rsidRPr="00B41BE0" w:rsidRDefault="00FC0D42" w:rsidP="00FC0D42">
      <w:pPr>
        <w:pStyle w:val="References"/>
        <w:rPr>
          <w:noProof/>
        </w:rPr>
      </w:pPr>
      <w:bookmarkStart w:id="1672" w:name="_ENREF_81"/>
      <w:r w:rsidRPr="00B41BE0">
        <w:rPr>
          <w:noProof/>
        </w:rPr>
        <w:t xml:space="preserve">Ruzek, J., Hoffman, J., Ciulla, R., Prins, A., Kuhn, E. &amp; Gahm, G. (2011). Bringing Internet-based education and intervention into mental health practice: afterdeployment.org. </w:t>
      </w:r>
      <w:r w:rsidRPr="00B41BE0">
        <w:rPr>
          <w:i/>
          <w:noProof/>
        </w:rPr>
        <w:t>European Journal of Psychotraumatology,</w:t>
      </w:r>
      <w:r w:rsidRPr="00B41BE0">
        <w:rPr>
          <w:noProof/>
        </w:rPr>
        <w:t xml:space="preserve"> </w:t>
      </w:r>
      <w:r w:rsidRPr="00EF20D7">
        <w:rPr>
          <w:i/>
          <w:noProof/>
        </w:rPr>
        <w:t>2</w:t>
      </w:r>
      <w:r w:rsidRPr="00B41BE0">
        <w:rPr>
          <w:noProof/>
        </w:rPr>
        <w:t>(1), 7278.</w:t>
      </w:r>
      <w:bookmarkEnd w:id="1672"/>
    </w:p>
    <w:p w14:paraId="59928653" w14:textId="77777777" w:rsidR="00FC0D42" w:rsidRPr="00B41BE0" w:rsidRDefault="00FC0D42" w:rsidP="00FC0D42">
      <w:pPr>
        <w:pStyle w:val="References"/>
        <w:rPr>
          <w:noProof/>
        </w:rPr>
      </w:pPr>
      <w:bookmarkStart w:id="1673" w:name="_ENREF_82"/>
      <w:r w:rsidRPr="00B41BE0">
        <w:rPr>
          <w:noProof/>
        </w:rPr>
        <w:t xml:space="preserve">Ruzek, J. I., Rosen, R. C., Marceau, L., Larson, M. J., Garvert, D. W., Smith, L. &amp; Stoddard, A. (2012). Online self-administered training for post-traumatic stress disorder treatment providers: design and methods for a randomized, prospective intervention study. </w:t>
      </w:r>
      <w:r w:rsidRPr="00B41BE0">
        <w:rPr>
          <w:i/>
          <w:noProof/>
        </w:rPr>
        <w:t>Implementation Science,</w:t>
      </w:r>
      <w:r w:rsidRPr="00B41BE0">
        <w:rPr>
          <w:noProof/>
        </w:rPr>
        <w:t xml:space="preserve"> </w:t>
      </w:r>
      <w:r w:rsidRPr="002E051D">
        <w:rPr>
          <w:i/>
          <w:noProof/>
        </w:rPr>
        <w:t>7</w:t>
      </w:r>
      <w:r w:rsidRPr="00B41BE0">
        <w:rPr>
          <w:noProof/>
        </w:rPr>
        <w:t>(1), 43.</w:t>
      </w:r>
      <w:bookmarkEnd w:id="1673"/>
    </w:p>
    <w:p w14:paraId="6537F19F" w14:textId="77777777" w:rsidR="00FC0D42" w:rsidRPr="00B41BE0" w:rsidRDefault="00FC0D42" w:rsidP="00FC0D42">
      <w:pPr>
        <w:pStyle w:val="References"/>
        <w:rPr>
          <w:noProof/>
        </w:rPr>
      </w:pPr>
      <w:bookmarkStart w:id="1674" w:name="_ENREF_83"/>
      <w:r w:rsidRPr="00B41BE0">
        <w:rPr>
          <w:noProof/>
        </w:rPr>
        <w:t xml:space="preserve">Salim, A. &amp; Welsh, A. H. (2009). Designing 2-phase prevalence studies in the absence of a "gold standard" test. </w:t>
      </w:r>
      <w:r w:rsidRPr="00B41BE0">
        <w:rPr>
          <w:i/>
          <w:noProof/>
        </w:rPr>
        <w:t>American Journal of Epidemiology,</w:t>
      </w:r>
      <w:r w:rsidRPr="00B41BE0">
        <w:rPr>
          <w:noProof/>
        </w:rPr>
        <w:t xml:space="preserve"> 170(3), 369</w:t>
      </w:r>
      <w:r>
        <w:rPr>
          <w:noProof/>
        </w:rPr>
        <w:t>–</w:t>
      </w:r>
      <w:r w:rsidRPr="00B41BE0">
        <w:rPr>
          <w:noProof/>
        </w:rPr>
        <w:t>378.</w:t>
      </w:r>
      <w:bookmarkEnd w:id="1674"/>
    </w:p>
    <w:p w14:paraId="2E3D47F0" w14:textId="77777777" w:rsidR="00FC0D42" w:rsidRPr="00B41BE0" w:rsidRDefault="00FC0D42" w:rsidP="00FC0D42">
      <w:pPr>
        <w:pStyle w:val="References"/>
        <w:rPr>
          <w:noProof/>
        </w:rPr>
      </w:pPr>
      <w:bookmarkStart w:id="1675" w:name="_ENREF_84"/>
      <w:r w:rsidRPr="00B41BE0">
        <w:rPr>
          <w:noProof/>
        </w:rPr>
        <w:t>Saunders, J. B., Aasland, O. G., Babor, T. F., de la Fuente, J. R. &amp; Grant, M. (1993). Development of the Alcohol Use Disorders Identification Test (AUDIT): WHO collaborative project on early detection of persons with harmful alcohol consumption</w:t>
      </w:r>
      <w:r>
        <w:rPr>
          <w:noProof/>
        </w:rPr>
        <w:t>–</w:t>
      </w:r>
      <w:r w:rsidRPr="00B41BE0">
        <w:rPr>
          <w:noProof/>
        </w:rPr>
        <w:t xml:space="preserve">II. </w:t>
      </w:r>
      <w:r w:rsidRPr="00B41BE0">
        <w:rPr>
          <w:i/>
          <w:noProof/>
        </w:rPr>
        <w:t>Addiction,</w:t>
      </w:r>
      <w:r w:rsidRPr="00B41BE0">
        <w:rPr>
          <w:noProof/>
        </w:rPr>
        <w:t xml:space="preserve"> </w:t>
      </w:r>
      <w:r w:rsidRPr="002E051D">
        <w:rPr>
          <w:i/>
          <w:noProof/>
        </w:rPr>
        <w:t>88</w:t>
      </w:r>
      <w:r w:rsidRPr="00B41BE0">
        <w:rPr>
          <w:noProof/>
        </w:rPr>
        <w:t>(6), 791</w:t>
      </w:r>
      <w:r>
        <w:rPr>
          <w:noProof/>
        </w:rPr>
        <w:t>–</w:t>
      </w:r>
      <w:r w:rsidRPr="00B41BE0">
        <w:rPr>
          <w:noProof/>
        </w:rPr>
        <w:t>804.</w:t>
      </w:r>
      <w:bookmarkEnd w:id="1675"/>
    </w:p>
    <w:p w14:paraId="7FFDA098" w14:textId="77777777" w:rsidR="00FC0D42" w:rsidRPr="00B41BE0" w:rsidRDefault="00FC0D42" w:rsidP="00FC0D42">
      <w:pPr>
        <w:pStyle w:val="References"/>
        <w:rPr>
          <w:noProof/>
        </w:rPr>
      </w:pPr>
      <w:bookmarkStart w:id="1676" w:name="_ENREF_85"/>
      <w:r w:rsidRPr="00B41BE0">
        <w:rPr>
          <w:noProof/>
        </w:rPr>
        <w:t xml:space="preserve">Schuster, T. L., Kessler, R. C. &amp; Aseltine, R. H., Jr. (1990). Supportive interactions, negative interactions, and depressed mood. </w:t>
      </w:r>
      <w:r w:rsidRPr="00B41BE0">
        <w:rPr>
          <w:i/>
          <w:noProof/>
        </w:rPr>
        <w:t>American Journal of Community Psychology,</w:t>
      </w:r>
      <w:r w:rsidRPr="00B41BE0">
        <w:rPr>
          <w:noProof/>
        </w:rPr>
        <w:t xml:space="preserve"> </w:t>
      </w:r>
      <w:r w:rsidRPr="00C03555">
        <w:rPr>
          <w:i/>
          <w:noProof/>
        </w:rPr>
        <w:t>18</w:t>
      </w:r>
      <w:r w:rsidRPr="00B41BE0">
        <w:rPr>
          <w:noProof/>
        </w:rPr>
        <w:t>(3), 423</w:t>
      </w:r>
      <w:r>
        <w:rPr>
          <w:noProof/>
        </w:rPr>
        <w:t>–</w:t>
      </w:r>
      <w:r w:rsidRPr="00B41BE0">
        <w:rPr>
          <w:noProof/>
        </w:rPr>
        <w:t>438.</w:t>
      </w:r>
      <w:bookmarkEnd w:id="1676"/>
    </w:p>
    <w:p w14:paraId="4006E254" w14:textId="77777777" w:rsidR="00FC0D42" w:rsidRPr="00B41BE0" w:rsidRDefault="00FC0D42" w:rsidP="00FC0D42">
      <w:pPr>
        <w:pStyle w:val="References"/>
        <w:rPr>
          <w:noProof/>
        </w:rPr>
      </w:pPr>
      <w:bookmarkStart w:id="1677" w:name="_ENREF_86"/>
      <w:r w:rsidRPr="00B41BE0">
        <w:rPr>
          <w:noProof/>
        </w:rPr>
        <w:t xml:space="preserve">Sheehan, D. V. (1983). </w:t>
      </w:r>
      <w:r w:rsidRPr="00B41BE0">
        <w:rPr>
          <w:i/>
          <w:noProof/>
        </w:rPr>
        <w:t xml:space="preserve">The Anxiety Disease, </w:t>
      </w:r>
      <w:r w:rsidRPr="00B41BE0">
        <w:rPr>
          <w:noProof/>
        </w:rPr>
        <w:t>New York: Charles Scribner and Sons.</w:t>
      </w:r>
      <w:bookmarkEnd w:id="1677"/>
    </w:p>
    <w:p w14:paraId="632574C6" w14:textId="77777777" w:rsidR="00FC0D42" w:rsidRPr="00B41BE0" w:rsidRDefault="00FC0D42" w:rsidP="00FC0D42">
      <w:pPr>
        <w:pStyle w:val="References"/>
        <w:rPr>
          <w:noProof/>
        </w:rPr>
      </w:pPr>
      <w:bookmarkStart w:id="1678" w:name="_ENREF_87"/>
      <w:r w:rsidRPr="00B41BE0">
        <w:rPr>
          <w:noProof/>
        </w:rPr>
        <w:t xml:space="preserve">Shirt, L. (2012). </w:t>
      </w:r>
      <w:r w:rsidRPr="00B41BE0">
        <w:rPr>
          <w:i/>
          <w:noProof/>
        </w:rPr>
        <w:t xml:space="preserve">2011 Australian Defence Force </w:t>
      </w:r>
      <w:r>
        <w:rPr>
          <w:i/>
          <w:noProof/>
        </w:rPr>
        <w:t>e</w:t>
      </w:r>
      <w:r w:rsidRPr="00B41BE0">
        <w:rPr>
          <w:i/>
          <w:noProof/>
        </w:rPr>
        <w:t xml:space="preserve">xit </w:t>
      </w:r>
      <w:r>
        <w:rPr>
          <w:i/>
          <w:noProof/>
        </w:rPr>
        <w:t>s</w:t>
      </w:r>
      <w:r w:rsidRPr="00B41BE0">
        <w:rPr>
          <w:i/>
          <w:noProof/>
        </w:rPr>
        <w:t xml:space="preserve">urvey </w:t>
      </w:r>
      <w:r>
        <w:rPr>
          <w:i/>
          <w:noProof/>
        </w:rPr>
        <w:t>p</w:t>
      </w:r>
      <w:r w:rsidRPr="00B41BE0">
        <w:rPr>
          <w:i/>
          <w:noProof/>
        </w:rPr>
        <w:t>reliminary</w:t>
      </w:r>
      <w:r>
        <w:rPr>
          <w:i/>
          <w:noProof/>
        </w:rPr>
        <w:t xml:space="preserve"> r</w:t>
      </w:r>
      <w:r w:rsidRPr="00B41BE0">
        <w:rPr>
          <w:i/>
          <w:noProof/>
        </w:rPr>
        <w:t xml:space="preserve">eport, </w:t>
      </w:r>
      <w:r w:rsidRPr="00B41BE0">
        <w:rPr>
          <w:noProof/>
        </w:rPr>
        <w:t>Canberra: Commonwealth of Australia, Directorate of Strategic Personnel Policy Research.</w:t>
      </w:r>
      <w:bookmarkEnd w:id="1678"/>
    </w:p>
    <w:p w14:paraId="2EFDBBFA" w14:textId="77777777" w:rsidR="00FC0D42" w:rsidRPr="00B41BE0" w:rsidRDefault="00FC0D42" w:rsidP="00FC0D42">
      <w:pPr>
        <w:pStyle w:val="References"/>
        <w:rPr>
          <w:noProof/>
        </w:rPr>
      </w:pPr>
      <w:bookmarkStart w:id="1679" w:name="_ENREF_88"/>
      <w:r w:rsidRPr="00B41BE0">
        <w:rPr>
          <w:noProof/>
        </w:rPr>
        <w:t xml:space="preserve">Shore, J. H., Aldag, M., McVeigh, F. L., Hoover, R. L., Ciulla, R. &amp; Fisher, A. (2014). Review of mobile health technology for military mental health. </w:t>
      </w:r>
      <w:r w:rsidRPr="00B41BE0">
        <w:rPr>
          <w:i/>
          <w:noProof/>
        </w:rPr>
        <w:t>Military Medicine,</w:t>
      </w:r>
      <w:r w:rsidRPr="00B41BE0">
        <w:rPr>
          <w:noProof/>
        </w:rPr>
        <w:t xml:space="preserve"> </w:t>
      </w:r>
      <w:r w:rsidRPr="00C03555">
        <w:rPr>
          <w:i/>
          <w:noProof/>
        </w:rPr>
        <w:t>179</w:t>
      </w:r>
      <w:r w:rsidRPr="00B41BE0">
        <w:rPr>
          <w:noProof/>
        </w:rPr>
        <w:t>(8), 865</w:t>
      </w:r>
      <w:r>
        <w:rPr>
          <w:noProof/>
        </w:rPr>
        <w:t>–</w:t>
      </w:r>
      <w:r w:rsidRPr="00B41BE0">
        <w:rPr>
          <w:noProof/>
        </w:rPr>
        <w:t>878.</w:t>
      </w:r>
      <w:bookmarkEnd w:id="1679"/>
    </w:p>
    <w:p w14:paraId="57213CD0" w14:textId="77777777" w:rsidR="00FC0D42" w:rsidRPr="00B41BE0" w:rsidRDefault="00FC0D42" w:rsidP="00FC0D42">
      <w:pPr>
        <w:pStyle w:val="References"/>
        <w:rPr>
          <w:noProof/>
        </w:rPr>
      </w:pPr>
      <w:bookmarkStart w:id="1680" w:name="_ENREF_89"/>
      <w:r w:rsidRPr="00B41BE0">
        <w:rPr>
          <w:noProof/>
        </w:rPr>
        <w:t>Sim, M. R., Clarke, D., Forbes, A. B., Glass, D., Gwini, S., Ikin, J. F.,</w:t>
      </w:r>
      <w:r>
        <w:rPr>
          <w:noProof/>
        </w:rPr>
        <w:t xml:space="preserve"> … </w:t>
      </w:r>
      <w:r w:rsidRPr="00B41BE0">
        <w:rPr>
          <w:noProof/>
        </w:rPr>
        <w:t xml:space="preserve">Wright, B. (2015). </w:t>
      </w:r>
      <w:r w:rsidRPr="00B41BE0">
        <w:rPr>
          <w:i/>
          <w:noProof/>
        </w:rPr>
        <w:t>Australian Gulf War Follow up Health Study: Technical Report</w:t>
      </w:r>
      <w:r w:rsidRPr="00B41BE0">
        <w:rPr>
          <w:noProof/>
        </w:rPr>
        <w:t xml:space="preserve">. Melbourne: Monash University. Available: </w:t>
      </w:r>
      <w:hyperlink r:id="rId203" w:history="1">
        <w:r w:rsidRPr="00215381">
          <w:rPr>
            <w:rStyle w:val="Hyperlink"/>
            <w:noProof/>
          </w:rPr>
          <w:t>https://www.dva.gov.au/sites/default/files/files/consultation%20and%20grants/healthstudies/gulfwar/follow_up2015/aus_gulf_war_follow_up_tech_report2015.pdf</w:t>
        </w:r>
      </w:hyperlink>
      <w:r w:rsidRPr="00B41BE0">
        <w:rPr>
          <w:noProof/>
        </w:rPr>
        <w:t xml:space="preserve"> [Accessed October 2017].</w:t>
      </w:r>
      <w:bookmarkEnd w:id="1680"/>
    </w:p>
    <w:p w14:paraId="3126CCFB" w14:textId="77777777" w:rsidR="00FC0D42" w:rsidRPr="00B41BE0" w:rsidRDefault="00FC0D42" w:rsidP="00FC0D42">
      <w:pPr>
        <w:pStyle w:val="References"/>
        <w:rPr>
          <w:noProof/>
        </w:rPr>
      </w:pPr>
      <w:bookmarkStart w:id="1681" w:name="_ENREF_90"/>
      <w:r w:rsidRPr="00B41BE0">
        <w:rPr>
          <w:noProof/>
        </w:rPr>
        <w:t xml:space="preserve">Slade, T., Johnston, A., Oakley Browne, M. A., Andrews, G. &amp; Whiteford, H. (2009). 2007 National Survey of Mental Health and Wellbeing: methods and key findings. </w:t>
      </w:r>
      <w:r w:rsidRPr="00B41BE0">
        <w:rPr>
          <w:i/>
          <w:noProof/>
        </w:rPr>
        <w:t>Australian &amp; New Zealand Journal of Psychiatry,</w:t>
      </w:r>
      <w:r w:rsidRPr="00B41BE0">
        <w:rPr>
          <w:noProof/>
        </w:rPr>
        <w:t xml:space="preserve"> </w:t>
      </w:r>
      <w:r w:rsidRPr="00C03555">
        <w:rPr>
          <w:i/>
          <w:noProof/>
        </w:rPr>
        <w:t>43</w:t>
      </w:r>
      <w:r w:rsidRPr="00B41BE0">
        <w:rPr>
          <w:noProof/>
        </w:rPr>
        <w:t>(7), 594</w:t>
      </w:r>
      <w:r>
        <w:rPr>
          <w:noProof/>
        </w:rPr>
        <w:t>–</w:t>
      </w:r>
      <w:r w:rsidRPr="00B41BE0">
        <w:rPr>
          <w:noProof/>
        </w:rPr>
        <w:t>605.</w:t>
      </w:r>
      <w:bookmarkEnd w:id="1681"/>
    </w:p>
    <w:p w14:paraId="389295B9" w14:textId="77777777" w:rsidR="00FC0D42" w:rsidRPr="00B41BE0" w:rsidRDefault="00FC0D42" w:rsidP="00FC0D42">
      <w:pPr>
        <w:pStyle w:val="References"/>
        <w:rPr>
          <w:noProof/>
        </w:rPr>
      </w:pPr>
      <w:bookmarkStart w:id="1682" w:name="_ENREF_91"/>
      <w:r w:rsidRPr="00B41BE0">
        <w:rPr>
          <w:noProof/>
        </w:rPr>
        <w:t xml:space="preserve">Smart, D., Vassallo, S., Sanson, A., Cockfield, S., Harris, A., Harrison, W. &amp; McIntyre, A. (2005). </w:t>
      </w:r>
      <w:r w:rsidRPr="00B41BE0">
        <w:rPr>
          <w:i/>
          <w:noProof/>
        </w:rPr>
        <w:t xml:space="preserve">In the driver's seat: Understanding young adults' driving behaviour. Research report No. 12, </w:t>
      </w:r>
      <w:r w:rsidRPr="00B41BE0">
        <w:rPr>
          <w:noProof/>
        </w:rPr>
        <w:t>Melbourne, Victoria: Australian Institute of Family Studies.</w:t>
      </w:r>
      <w:bookmarkEnd w:id="1682"/>
    </w:p>
    <w:p w14:paraId="6A869A32" w14:textId="77777777" w:rsidR="00FC0D42" w:rsidRPr="00B41BE0" w:rsidRDefault="00FC0D42" w:rsidP="00FC0D42">
      <w:pPr>
        <w:pStyle w:val="References"/>
        <w:rPr>
          <w:noProof/>
        </w:rPr>
      </w:pPr>
      <w:bookmarkStart w:id="1683" w:name="_ENREF_92"/>
      <w:r w:rsidRPr="00B41BE0">
        <w:rPr>
          <w:noProof/>
        </w:rPr>
        <w:t xml:space="preserve">Smith, B. W., Dalen, J., Wiggins, K., Tooley, E., Christopher, P. &amp; Bernard, J. (2008). The brief resilience scale: assessing the ability to bounce back. </w:t>
      </w:r>
      <w:r w:rsidRPr="00B41BE0">
        <w:rPr>
          <w:i/>
          <w:noProof/>
        </w:rPr>
        <w:t>International Journal of Behavioral Medicine,</w:t>
      </w:r>
      <w:r w:rsidRPr="00B41BE0">
        <w:rPr>
          <w:noProof/>
        </w:rPr>
        <w:t xml:space="preserve"> </w:t>
      </w:r>
      <w:r w:rsidRPr="00C03555">
        <w:rPr>
          <w:i/>
          <w:noProof/>
        </w:rPr>
        <w:t>15</w:t>
      </w:r>
      <w:r w:rsidRPr="00B41BE0">
        <w:rPr>
          <w:noProof/>
        </w:rPr>
        <w:t>(3), 194</w:t>
      </w:r>
      <w:r>
        <w:rPr>
          <w:noProof/>
        </w:rPr>
        <w:t>–</w:t>
      </w:r>
      <w:r w:rsidRPr="00B41BE0">
        <w:rPr>
          <w:noProof/>
        </w:rPr>
        <w:t>200.</w:t>
      </w:r>
      <w:bookmarkEnd w:id="1683"/>
    </w:p>
    <w:p w14:paraId="48D64EA6" w14:textId="77777777" w:rsidR="00FC0D42" w:rsidRPr="00B41BE0" w:rsidRDefault="00FC0D42" w:rsidP="00FC0D42">
      <w:pPr>
        <w:pStyle w:val="References"/>
        <w:rPr>
          <w:noProof/>
        </w:rPr>
      </w:pPr>
      <w:bookmarkStart w:id="1684" w:name="_ENREF_93"/>
      <w:r w:rsidRPr="00B41BE0">
        <w:rPr>
          <w:noProof/>
        </w:rPr>
        <w:t xml:space="preserve">Spitzer, R. L., Kroenke, K., Williams, J. B. &amp; Lowe, B. (2006). A brief measure for assessing generalized anxiety disorder: the GAD-7. </w:t>
      </w:r>
      <w:r w:rsidRPr="00B41BE0">
        <w:rPr>
          <w:i/>
          <w:noProof/>
        </w:rPr>
        <w:t>Archives of Internal Medicine,</w:t>
      </w:r>
      <w:r w:rsidRPr="00B41BE0">
        <w:rPr>
          <w:noProof/>
        </w:rPr>
        <w:t xml:space="preserve"> </w:t>
      </w:r>
      <w:r w:rsidRPr="00C03555">
        <w:rPr>
          <w:i/>
          <w:noProof/>
        </w:rPr>
        <w:t>166</w:t>
      </w:r>
      <w:r w:rsidRPr="00B41BE0">
        <w:rPr>
          <w:noProof/>
        </w:rPr>
        <w:t>(10), 1092</w:t>
      </w:r>
      <w:r>
        <w:rPr>
          <w:noProof/>
        </w:rPr>
        <w:t>–</w:t>
      </w:r>
      <w:r w:rsidRPr="00B41BE0">
        <w:rPr>
          <w:noProof/>
        </w:rPr>
        <w:t>1097.</w:t>
      </w:r>
      <w:bookmarkEnd w:id="1684"/>
    </w:p>
    <w:p w14:paraId="60941204" w14:textId="77777777" w:rsidR="00FC0D42" w:rsidRPr="00B41BE0" w:rsidRDefault="00FC0D42" w:rsidP="00FC0D42">
      <w:pPr>
        <w:pStyle w:val="References"/>
        <w:rPr>
          <w:noProof/>
        </w:rPr>
      </w:pPr>
      <w:bookmarkStart w:id="1685" w:name="_ENREF_94"/>
      <w:r w:rsidRPr="00B41BE0">
        <w:rPr>
          <w:noProof/>
        </w:rPr>
        <w:t xml:space="preserve">Statistics Canada (2003). </w:t>
      </w:r>
      <w:r w:rsidRPr="00B41BE0">
        <w:rPr>
          <w:i/>
          <w:noProof/>
        </w:rPr>
        <w:t>National Longitudinal Survey of Children and Youth Cycle 4 Survey Instruments 2000</w:t>
      </w:r>
      <w:r>
        <w:rPr>
          <w:i/>
          <w:noProof/>
        </w:rPr>
        <w:t>–</w:t>
      </w:r>
      <w:r w:rsidRPr="00B41BE0">
        <w:rPr>
          <w:i/>
          <w:noProof/>
        </w:rPr>
        <w:t xml:space="preserve">2001, Book 1 </w:t>
      </w:r>
      <w:r>
        <w:rPr>
          <w:i/>
          <w:noProof/>
        </w:rPr>
        <w:t>–</w:t>
      </w:r>
      <w:r w:rsidRPr="00B41BE0">
        <w:rPr>
          <w:i/>
          <w:noProof/>
        </w:rPr>
        <w:t xml:space="preserve"> Parent, Child &amp; Youth, </w:t>
      </w:r>
      <w:r>
        <w:rPr>
          <w:noProof/>
        </w:rPr>
        <w:t>(N</w:t>
      </w:r>
      <w:r w:rsidRPr="00B41BE0">
        <w:rPr>
          <w:noProof/>
        </w:rPr>
        <w:t xml:space="preserve">o. 89FOO77XPE, </w:t>
      </w:r>
      <w:r>
        <w:rPr>
          <w:noProof/>
        </w:rPr>
        <w:t>N</w:t>
      </w:r>
      <w:r w:rsidRPr="00B41BE0">
        <w:rPr>
          <w:noProof/>
        </w:rPr>
        <w:t>o. 4a</w:t>
      </w:r>
      <w:r>
        <w:rPr>
          <w:noProof/>
        </w:rPr>
        <w:t>)</w:t>
      </w:r>
      <w:r w:rsidRPr="00B41BE0">
        <w:rPr>
          <w:noProof/>
        </w:rPr>
        <w:t>. Canada: Statistics Canada.</w:t>
      </w:r>
      <w:bookmarkEnd w:id="1685"/>
    </w:p>
    <w:p w14:paraId="2B8409E2" w14:textId="77777777" w:rsidR="00FC0D42" w:rsidRPr="00B41BE0" w:rsidRDefault="00FC0D42" w:rsidP="00FC0D42">
      <w:pPr>
        <w:pStyle w:val="References"/>
        <w:rPr>
          <w:noProof/>
        </w:rPr>
      </w:pPr>
      <w:bookmarkStart w:id="1686" w:name="_ENREF_95"/>
      <w:r w:rsidRPr="00B41BE0">
        <w:rPr>
          <w:noProof/>
        </w:rPr>
        <w:t xml:space="preserve">Stinchfield, R., Govoni, R., &amp; Frisch, G. R. (2007). A review of screening and assessment instruments for problem and pathological gambling. </w:t>
      </w:r>
      <w:r w:rsidRPr="00B41BE0">
        <w:rPr>
          <w:i/>
          <w:noProof/>
        </w:rPr>
        <w:t>Research and Measurement Issues in Gambling Studies,</w:t>
      </w:r>
      <w:r w:rsidRPr="00B41BE0">
        <w:rPr>
          <w:noProof/>
        </w:rPr>
        <w:t xml:space="preserve"> </w:t>
      </w:r>
      <w:r w:rsidRPr="00C03555">
        <w:rPr>
          <w:i/>
          <w:noProof/>
        </w:rPr>
        <w:t>1</w:t>
      </w:r>
      <w:r w:rsidRPr="00B41BE0">
        <w:rPr>
          <w:noProof/>
        </w:rPr>
        <w:t>, 179</w:t>
      </w:r>
      <w:r>
        <w:rPr>
          <w:noProof/>
        </w:rPr>
        <w:t>–</w:t>
      </w:r>
      <w:r w:rsidRPr="00B41BE0">
        <w:rPr>
          <w:noProof/>
        </w:rPr>
        <w:t>213.</w:t>
      </w:r>
      <w:bookmarkEnd w:id="1686"/>
    </w:p>
    <w:p w14:paraId="037BE232" w14:textId="77777777" w:rsidR="00FC0D42" w:rsidRPr="00B41BE0" w:rsidRDefault="00FC0D42" w:rsidP="00FC0D42">
      <w:pPr>
        <w:pStyle w:val="References"/>
        <w:rPr>
          <w:noProof/>
        </w:rPr>
      </w:pPr>
      <w:bookmarkStart w:id="1687" w:name="_ENREF_96"/>
      <w:r w:rsidRPr="00B41BE0">
        <w:rPr>
          <w:noProof/>
        </w:rPr>
        <w:t xml:space="preserve">Strachan, M., Gros, D. F., Ruggiero, K. J., Lejuez, C. W. &amp; Acierno, R. (2012). An integrated approach to delivering exposure-based treatment for symptoms of PTSD and depression in OIF/OEF veterans: Preliminary findings. </w:t>
      </w:r>
      <w:r w:rsidRPr="00B41BE0">
        <w:rPr>
          <w:i/>
          <w:noProof/>
        </w:rPr>
        <w:t>Behavior Therapy,</w:t>
      </w:r>
      <w:r w:rsidRPr="00B41BE0">
        <w:rPr>
          <w:noProof/>
        </w:rPr>
        <w:t xml:space="preserve"> </w:t>
      </w:r>
      <w:r w:rsidRPr="008C1420">
        <w:rPr>
          <w:i/>
          <w:noProof/>
        </w:rPr>
        <w:t>43</w:t>
      </w:r>
      <w:r w:rsidRPr="00B41BE0">
        <w:rPr>
          <w:noProof/>
        </w:rPr>
        <w:t>(3), 560</w:t>
      </w:r>
      <w:r>
        <w:rPr>
          <w:noProof/>
        </w:rPr>
        <w:t>–</w:t>
      </w:r>
      <w:r w:rsidRPr="00B41BE0">
        <w:rPr>
          <w:noProof/>
        </w:rPr>
        <w:t>569.</w:t>
      </w:r>
      <w:bookmarkEnd w:id="1687"/>
    </w:p>
    <w:p w14:paraId="42A14964" w14:textId="77777777" w:rsidR="00FC0D42" w:rsidRPr="00B41BE0" w:rsidRDefault="00FC0D42" w:rsidP="00FC0D42">
      <w:pPr>
        <w:pStyle w:val="References"/>
        <w:rPr>
          <w:noProof/>
        </w:rPr>
      </w:pPr>
      <w:bookmarkStart w:id="1688" w:name="_ENREF_97"/>
      <w:r w:rsidRPr="00B41BE0">
        <w:rPr>
          <w:noProof/>
        </w:rPr>
        <w:t>Thomas, J. T., Wilk, J. E., Riviere,</w:t>
      </w:r>
      <w:r>
        <w:rPr>
          <w:noProof/>
        </w:rPr>
        <w:t xml:space="preserve"> </w:t>
      </w:r>
      <w:r w:rsidRPr="00B41BE0">
        <w:rPr>
          <w:noProof/>
        </w:rPr>
        <w:t xml:space="preserve">L. A., McGurk, D., Castro, C. A., Hoge, C. W. (2010). The prevalence and functional impact of mental health problems among Active Component and National Guard soldiers 3 and 12 months following combat in Iraq. </w:t>
      </w:r>
      <w:r w:rsidRPr="00B41BE0">
        <w:rPr>
          <w:i/>
          <w:noProof/>
        </w:rPr>
        <w:t>Archives of General Psychiatry,</w:t>
      </w:r>
      <w:r w:rsidRPr="00B41BE0">
        <w:rPr>
          <w:noProof/>
        </w:rPr>
        <w:t xml:space="preserve"> </w:t>
      </w:r>
      <w:r w:rsidRPr="008C1420">
        <w:rPr>
          <w:i/>
          <w:noProof/>
        </w:rPr>
        <w:t>67</w:t>
      </w:r>
      <w:r w:rsidRPr="00B41BE0">
        <w:rPr>
          <w:noProof/>
        </w:rPr>
        <w:t>, 614</w:t>
      </w:r>
      <w:r>
        <w:rPr>
          <w:noProof/>
        </w:rPr>
        <w:t>–</w:t>
      </w:r>
      <w:r w:rsidRPr="00B41BE0">
        <w:rPr>
          <w:noProof/>
        </w:rPr>
        <w:t>623.</w:t>
      </w:r>
      <w:bookmarkEnd w:id="1688"/>
    </w:p>
    <w:p w14:paraId="40896821" w14:textId="7862CCA7" w:rsidR="00FC0D42" w:rsidRPr="00B41BE0" w:rsidRDefault="00FC0D42" w:rsidP="00FC0D42">
      <w:pPr>
        <w:pStyle w:val="References"/>
        <w:rPr>
          <w:noProof/>
        </w:rPr>
      </w:pPr>
      <w:bookmarkStart w:id="1689" w:name="_ENREF_98"/>
      <w:r w:rsidRPr="00B41BE0">
        <w:rPr>
          <w:noProof/>
        </w:rPr>
        <w:t xml:space="preserve">Van Der Krieke, L., Wunderink, L., Emerencia, A. C., De Jonge, P. &amp; Sytema, S. (2014). </w:t>
      </w:r>
      <w:r w:rsidR="009238B3">
        <w:rPr>
          <w:noProof/>
        </w:rPr>
        <w:br/>
      </w:r>
      <w:r w:rsidRPr="00B41BE0">
        <w:rPr>
          <w:noProof/>
        </w:rPr>
        <w:t xml:space="preserve">E–mental health self-management for psychotic disorders: State of the art and future perspectives. </w:t>
      </w:r>
      <w:r w:rsidRPr="00B41BE0">
        <w:rPr>
          <w:i/>
          <w:noProof/>
        </w:rPr>
        <w:t>Psychiatric Services,</w:t>
      </w:r>
      <w:r w:rsidRPr="00B41BE0">
        <w:rPr>
          <w:noProof/>
        </w:rPr>
        <w:t xml:space="preserve"> </w:t>
      </w:r>
      <w:r w:rsidRPr="008C1420">
        <w:rPr>
          <w:i/>
          <w:noProof/>
        </w:rPr>
        <w:t>65</w:t>
      </w:r>
      <w:r w:rsidRPr="00B41BE0">
        <w:rPr>
          <w:noProof/>
        </w:rPr>
        <w:t>(1), 33</w:t>
      </w:r>
      <w:r>
        <w:rPr>
          <w:noProof/>
        </w:rPr>
        <w:t>–</w:t>
      </w:r>
      <w:r w:rsidRPr="00B41BE0">
        <w:rPr>
          <w:noProof/>
        </w:rPr>
        <w:t>49.</w:t>
      </w:r>
      <w:bookmarkEnd w:id="1689"/>
    </w:p>
    <w:p w14:paraId="10C64094" w14:textId="5423175F" w:rsidR="004B02D6" w:rsidRPr="00B41BE0" w:rsidRDefault="004B02D6" w:rsidP="004B02D6">
      <w:pPr>
        <w:pStyle w:val="References"/>
        <w:rPr>
          <w:noProof/>
        </w:rPr>
      </w:pPr>
      <w:bookmarkStart w:id="1690" w:name="_ENREF_100"/>
      <w:bookmarkStart w:id="1691" w:name="_ENREF_99"/>
      <w:r w:rsidRPr="00B41BE0">
        <w:rPr>
          <w:noProof/>
        </w:rPr>
        <w:t>Van Hooff, M., Lawrence-Wood, E., Hodson, S., Sadler, N., Benassi, H., Hansen, C., Avery, J., Searle, A. &amp; McFarlane, A. (201</w:t>
      </w:r>
      <w:r>
        <w:rPr>
          <w:noProof/>
        </w:rPr>
        <w:t>8a</w:t>
      </w:r>
      <w:r w:rsidRPr="00B41BE0">
        <w:rPr>
          <w:noProof/>
        </w:rPr>
        <w:t xml:space="preserve">). </w:t>
      </w:r>
      <w:r w:rsidRPr="00B41BE0">
        <w:rPr>
          <w:i/>
          <w:noProof/>
        </w:rPr>
        <w:t xml:space="preserve">Mental Health Prevalence, Mental Health and Wellbeing </w:t>
      </w:r>
      <w:r>
        <w:rPr>
          <w:i/>
          <w:noProof/>
        </w:rPr>
        <w:t xml:space="preserve">Transition </w:t>
      </w:r>
      <w:r w:rsidRPr="00B41BE0">
        <w:rPr>
          <w:i/>
          <w:noProof/>
        </w:rPr>
        <w:t xml:space="preserve">Study, </w:t>
      </w:r>
      <w:r w:rsidRPr="00B41BE0">
        <w:rPr>
          <w:noProof/>
        </w:rPr>
        <w:t>the Department of Veterans’ Affairs: Canberra.</w:t>
      </w:r>
      <w:bookmarkEnd w:id="1690"/>
    </w:p>
    <w:p w14:paraId="46484D74" w14:textId="6144716D" w:rsidR="00636F7A" w:rsidRPr="00B41BE0" w:rsidRDefault="00FC0D42" w:rsidP="00FC0D42">
      <w:pPr>
        <w:pStyle w:val="References"/>
        <w:rPr>
          <w:noProof/>
        </w:rPr>
      </w:pPr>
      <w:r w:rsidRPr="00B41BE0">
        <w:rPr>
          <w:noProof/>
        </w:rPr>
        <w:t xml:space="preserve">Van Hooff, M., Forbes, D., Lawrence-Wood, E., Hodson, S., Sadler, N., Benassi, H., </w:t>
      </w:r>
      <w:r>
        <w:rPr>
          <w:noProof/>
        </w:rPr>
        <w:t>…</w:t>
      </w:r>
      <w:r w:rsidRPr="00B41BE0">
        <w:rPr>
          <w:noProof/>
        </w:rPr>
        <w:t xml:space="preserve"> McFarlane, A. (2018</w:t>
      </w:r>
      <w:r w:rsidR="004B02D6">
        <w:rPr>
          <w:noProof/>
        </w:rPr>
        <w:t>b</w:t>
      </w:r>
      <w:r w:rsidRPr="00B41BE0">
        <w:rPr>
          <w:noProof/>
        </w:rPr>
        <w:t xml:space="preserve">). </w:t>
      </w:r>
      <w:r w:rsidRPr="00B41BE0">
        <w:rPr>
          <w:i/>
          <w:noProof/>
        </w:rPr>
        <w:t>Mental Health Prevalence and Pathways to Care Summary Report</w:t>
      </w:r>
      <w:r>
        <w:rPr>
          <w:i/>
          <w:noProof/>
        </w:rPr>
        <w:t>,</w:t>
      </w:r>
      <w:r w:rsidRPr="00B41BE0">
        <w:rPr>
          <w:i/>
          <w:noProof/>
        </w:rPr>
        <w:t xml:space="preserve"> Mental Health and Wellbeing </w:t>
      </w:r>
      <w:r w:rsidR="002C02D8">
        <w:rPr>
          <w:i/>
          <w:noProof/>
        </w:rPr>
        <w:t xml:space="preserve">Transition </w:t>
      </w:r>
      <w:r w:rsidRPr="00B41BE0">
        <w:rPr>
          <w:i/>
          <w:noProof/>
        </w:rPr>
        <w:t xml:space="preserve">Study, </w:t>
      </w:r>
      <w:r w:rsidRPr="00B41BE0">
        <w:rPr>
          <w:noProof/>
        </w:rPr>
        <w:t>Canberra</w:t>
      </w:r>
      <w:r>
        <w:rPr>
          <w:noProof/>
        </w:rPr>
        <w:t>:</w:t>
      </w:r>
      <w:r w:rsidRPr="00B41BE0">
        <w:rPr>
          <w:noProof/>
        </w:rPr>
        <w:t xml:space="preserve"> </w:t>
      </w:r>
      <w:r>
        <w:rPr>
          <w:noProof/>
        </w:rPr>
        <w:t xml:space="preserve">the </w:t>
      </w:r>
      <w:r w:rsidRPr="00B41BE0">
        <w:rPr>
          <w:noProof/>
        </w:rPr>
        <w:t>Department of Defence and the Department of Veterans’ Affairs.</w:t>
      </w:r>
      <w:bookmarkEnd w:id="1691"/>
    </w:p>
    <w:p w14:paraId="4B18CEAB" w14:textId="77777777" w:rsidR="00FC0D42" w:rsidRPr="00B41BE0" w:rsidRDefault="00FC0D42" w:rsidP="00FC0D42">
      <w:pPr>
        <w:pStyle w:val="References"/>
        <w:rPr>
          <w:noProof/>
        </w:rPr>
      </w:pPr>
      <w:bookmarkStart w:id="1692" w:name="_ENREF_101"/>
      <w:r w:rsidRPr="00B41BE0">
        <w:rPr>
          <w:noProof/>
        </w:rPr>
        <w:t xml:space="preserve">Wallace, D. &amp; Rayner, S. (2013). Telepsychiatry services in the Australian Defence Force. </w:t>
      </w:r>
      <w:r w:rsidRPr="00B41BE0">
        <w:rPr>
          <w:i/>
          <w:noProof/>
        </w:rPr>
        <w:t>Australasian Psychiatry,</w:t>
      </w:r>
      <w:r w:rsidRPr="00B41BE0">
        <w:rPr>
          <w:noProof/>
        </w:rPr>
        <w:t xml:space="preserve"> </w:t>
      </w:r>
      <w:r w:rsidRPr="008C1420">
        <w:rPr>
          <w:i/>
          <w:noProof/>
        </w:rPr>
        <w:t>21</w:t>
      </w:r>
      <w:r w:rsidRPr="00B41BE0">
        <w:rPr>
          <w:noProof/>
        </w:rPr>
        <w:t>(3), 278</w:t>
      </w:r>
      <w:r>
        <w:rPr>
          <w:noProof/>
        </w:rPr>
        <w:t>–</w:t>
      </w:r>
      <w:r w:rsidRPr="00B41BE0">
        <w:rPr>
          <w:noProof/>
        </w:rPr>
        <w:t>279.</w:t>
      </w:r>
      <w:bookmarkEnd w:id="1692"/>
    </w:p>
    <w:p w14:paraId="11BD5462" w14:textId="0296495C" w:rsidR="00FC0D42" w:rsidRPr="00B41BE0" w:rsidRDefault="00FC0D42" w:rsidP="00FC0D42">
      <w:pPr>
        <w:pStyle w:val="References"/>
        <w:rPr>
          <w:noProof/>
        </w:rPr>
      </w:pPr>
      <w:bookmarkStart w:id="1693" w:name="_ENREF_102"/>
      <w:r w:rsidRPr="00B41BE0">
        <w:rPr>
          <w:noProof/>
        </w:rPr>
        <w:t>Ware, J. E. &amp; Sherbourne, C. D. (1992). The MOS 36-item short-form health survey (SF</w:t>
      </w:r>
      <w:r w:rsidR="009238B3">
        <w:rPr>
          <w:noProof/>
        </w:rPr>
        <w:noBreakHyphen/>
      </w:r>
      <w:r w:rsidRPr="00B41BE0">
        <w:rPr>
          <w:noProof/>
        </w:rPr>
        <w:t xml:space="preserve">36) conceptual framework and item selection. </w:t>
      </w:r>
      <w:r w:rsidRPr="00B41BE0">
        <w:rPr>
          <w:i/>
          <w:noProof/>
        </w:rPr>
        <w:t>Medical Care,</w:t>
      </w:r>
      <w:r w:rsidRPr="00B41BE0">
        <w:rPr>
          <w:noProof/>
        </w:rPr>
        <w:t xml:space="preserve"> </w:t>
      </w:r>
      <w:r w:rsidRPr="008C1420">
        <w:rPr>
          <w:i/>
          <w:noProof/>
        </w:rPr>
        <w:t>30</w:t>
      </w:r>
      <w:r w:rsidRPr="00B41BE0">
        <w:rPr>
          <w:noProof/>
        </w:rPr>
        <w:t xml:space="preserve">(6), </w:t>
      </w:r>
      <w:r w:rsidR="009238B3">
        <w:rPr>
          <w:noProof/>
        </w:rPr>
        <w:br/>
      </w:r>
      <w:r w:rsidRPr="00B41BE0">
        <w:rPr>
          <w:noProof/>
        </w:rPr>
        <w:t>473</w:t>
      </w:r>
      <w:r>
        <w:rPr>
          <w:noProof/>
        </w:rPr>
        <w:t>–</w:t>
      </w:r>
      <w:r w:rsidRPr="00B41BE0">
        <w:rPr>
          <w:noProof/>
        </w:rPr>
        <w:t>483.</w:t>
      </w:r>
      <w:bookmarkEnd w:id="1693"/>
    </w:p>
    <w:p w14:paraId="275AFA69" w14:textId="77777777" w:rsidR="00FC0D42" w:rsidRPr="00B41BE0" w:rsidRDefault="00FC0D42" w:rsidP="00FC0D42">
      <w:pPr>
        <w:pStyle w:val="References"/>
        <w:rPr>
          <w:noProof/>
        </w:rPr>
      </w:pPr>
      <w:bookmarkStart w:id="1694" w:name="_ENREF_103"/>
      <w:r w:rsidRPr="00B41BE0">
        <w:rPr>
          <w:noProof/>
        </w:rPr>
        <w:t xml:space="preserve">Watson, N. &amp; Wooden, M. (2002). </w:t>
      </w:r>
      <w:r w:rsidRPr="00B41BE0">
        <w:rPr>
          <w:i/>
          <w:noProof/>
        </w:rPr>
        <w:t>The Household, Income and Labour Dynamics in Australia (HILDA) Survey: Wave 1 Survey Methodology</w:t>
      </w:r>
      <w:r w:rsidRPr="00B41BE0">
        <w:rPr>
          <w:noProof/>
        </w:rPr>
        <w:t>. HILDA Technical Paper Series</w:t>
      </w:r>
      <w:r>
        <w:rPr>
          <w:noProof/>
        </w:rPr>
        <w:t>,</w:t>
      </w:r>
      <w:r w:rsidRPr="00B41BE0">
        <w:rPr>
          <w:noProof/>
        </w:rPr>
        <w:t xml:space="preserve"> </w:t>
      </w:r>
      <w:r w:rsidRPr="006A3EA0">
        <w:rPr>
          <w:i/>
          <w:noProof/>
        </w:rPr>
        <w:t>1</w:t>
      </w:r>
      <w:r>
        <w:rPr>
          <w:noProof/>
        </w:rPr>
        <w:t>(</w:t>
      </w:r>
      <w:r w:rsidRPr="00B41BE0">
        <w:rPr>
          <w:noProof/>
        </w:rPr>
        <w:t>02</w:t>
      </w:r>
      <w:r>
        <w:rPr>
          <w:noProof/>
        </w:rPr>
        <w:t>).</w:t>
      </w:r>
      <w:r w:rsidRPr="00B41BE0">
        <w:rPr>
          <w:noProof/>
        </w:rPr>
        <w:t xml:space="preserve"> Melbourne Institute. Available: </w:t>
      </w:r>
      <w:hyperlink r:id="rId204" w:history="1">
        <w:r w:rsidRPr="00215381">
          <w:rPr>
            <w:rStyle w:val="Hyperlink"/>
            <w:noProof/>
          </w:rPr>
          <w:t>http://melbourneinstitute.unimelb.edu.au/hilda</w:t>
        </w:r>
      </w:hyperlink>
      <w:r w:rsidRPr="00B41BE0">
        <w:rPr>
          <w:noProof/>
        </w:rPr>
        <w:t xml:space="preserve"> </w:t>
      </w:r>
      <w:bookmarkEnd w:id="1694"/>
    </w:p>
    <w:p w14:paraId="68455A92" w14:textId="5A88F396" w:rsidR="00FC0D42" w:rsidRPr="00B41BE0" w:rsidRDefault="00FC0D42" w:rsidP="00FC0D42">
      <w:pPr>
        <w:pStyle w:val="References"/>
        <w:rPr>
          <w:noProof/>
        </w:rPr>
      </w:pPr>
      <w:bookmarkStart w:id="1695" w:name="_ENREF_104"/>
      <w:r w:rsidRPr="00B41BE0">
        <w:rPr>
          <w:noProof/>
        </w:rPr>
        <w:t xml:space="preserve">Weathers, F. W., Litz, B. T., Herman, D. S., Huska, J. A. &amp; Keane, T. M. (1993). </w:t>
      </w:r>
      <w:r w:rsidRPr="00B41BE0">
        <w:rPr>
          <w:i/>
          <w:noProof/>
        </w:rPr>
        <w:t xml:space="preserve">The PTSD Checklist (PCL): Reliability, Validity, and Diagnostic Utility, </w:t>
      </w:r>
      <w:r w:rsidRPr="00B41BE0">
        <w:rPr>
          <w:noProof/>
        </w:rPr>
        <w:t>Paper presented at the 9th Annual Conference of the ISTSS: San Antonio, TX.</w:t>
      </w:r>
      <w:bookmarkEnd w:id="1695"/>
    </w:p>
    <w:p w14:paraId="47B0775E" w14:textId="77777777" w:rsidR="00FC0D42" w:rsidRPr="00B41BE0" w:rsidRDefault="00FC0D42" w:rsidP="00FC0D42">
      <w:pPr>
        <w:pStyle w:val="References"/>
        <w:rPr>
          <w:noProof/>
        </w:rPr>
      </w:pPr>
      <w:bookmarkStart w:id="1696" w:name="_ENREF_105"/>
      <w:r w:rsidRPr="00B41BE0">
        <w:rPr>
          <w:noProof/>
        </w:rPr>
        <w:t xml:space="preserve">Webb, M., Burns, J. &amp; Collin, P. (2008). Providing online support for young people with mental health difficulties: challenges and opportunities explored. </w:t>
      </w:r>
      <w:r w:rsidRPr="00B41BE0">
        <w:rPr>
          <w:i/>
          <w:noProof/>
        </w:rPr>
        <w:t>Early Intervention in Psychiatry,</w:t>
      </w:r>
      <w:r w:rsidRPr="00B41BE0">
        <w:rPr>
          <w:noProof/>
        </w:rPr>
        <w:t xml:space="preserve"> </w:t>
      </w:r>
      <w:r w:rsidRPr="00952768">
        <w:rPr>
          <w:i/>
          <w:noProof/>
        </w:rPr>
        <w:t>2</w:t>
      </w:r>
      <w:r w:rsidRPr="00B41BE0">
        <w:rPr>
          <w:noProof/>
        </w:rPr>
        <w:t>, 108</w:t>
      </w:r>
      <w:r>
        <w:rPr>
          <w:noProof/>
        </w:rPr>
        <w:t>–</w:t>
      </w:r>
      <w:r w:rsidRPr="00B41BE0">
        <w:rPr>
          <w:noProof/>
        </w:rPr>
        <w:t>113.</w:t>
      </w:r>
      <w:bookmarkEnd w:id="1696"/>
    </w:p>
    <w:p w14:paraId="57E0334E" w14:textId="77777777" w:rsidR="00FC0D42" w:rsidRPr="00B41BE0" w:rsidRDefault="00FC0D42" w:rsidP="00FC0D42">
      <w:pPr>
        <w:pStyle w:val="References"/>
        <w:rPr>
          <w:noProof/>
        </w:rPr>
      </w:pPr>
      <w:bookmarkStart w:id="1697" w:name="_ENREF_106"/>
      <w:r w:rsidRPr="00B41BE0">
        <w:rPr>
          <w:noProof/>
        </w:rPr>
        <w:t xml:space="preserve">Whealin, J. M., Jenchura, E. C., Wong, A. C. &amp; Zulman, D. M. (2016). How veterans with post-traumatic stress disorder and comorbid health conditions utilize ehealth to manage their health care needs: a mixed-methods analysis. </w:t>
      </w:r>
      <w:r w:rsidRPr="00B41BE0">
        <w:rPr>
          <w:i/>
          <w:noProof/>
        </w:rPr>
        <w:t>Journal of Medical Internet Research,</w:t>
      </w:r>
      <w:r w:rsidRPr="00B41BE0">
        <w:rPr>
          <w:noProof/>
        </w:rPr>
        <w:t xml:space="preserve"> </w:t>
      </w:r>
      <w:r w:rsidRPr="00952768">
        <w:rPr>
          <w:i/>
          <w:noProof/>
        </w:rPr>
        <w:t>18</w:t>
      </w:r>
      <w:r w:rsidRPr="00B41BE0">
        <w:rPr>
          <w:noProof/>
        </w:rPr>
        <w:t>(10), e280.</w:t>
      </w:r>
      <w:bookmarkEnd w:id="1697"/>
    </w:p>
    <w:p w14:paraId="4F1D0F3A" w14:textId="77777777" w:rsidR="00FC0D42" w:rsidRPr="00B41BE0" w:rsidRDefault="00FC0D42" w:rsidP="00FC0D42">
      <w:pPr>
        <w:pStyle w:val="References"/>
        <w:rPr>
          <w:noProof/>
        </w:rPr>
      </w:pPr>
      <w:bookmarkStart w:id="1698" w:name="_ENREF_107"/>
      <w:r w:rsidRPr="00B41BE0">
        <w:rPr>
          <w:noProof/>
        </w:rPr>
        <w:t xml:space="preserve">Whealin, J. M., King, L., Shore, P. &amp; Spira, J. L. (2017). Diverse veterans' pre- and post-intervention perceptions of home telemental health for posttraumatic stress disorder delivered via tablet. </w:t>
      </w:r>
      <w:r w:rsidRPr="00B41BE0">
        <w:rPr>
          <w:i/>
          <w:noProof/>
        </w:rPr>
        <w:t>The International Journal of Psychiatry in Medicine,</w:t>
      </w:r>
      <w:r w:rsidRPr="00B41BE0">
        <w:rPr>
          <w:noProof/>
        </w:rPr>
        <w:t xml:space="preserve"> </w:t>
      </w:r>
      <w:r w:rsidRPr="00952768">
        <w:rPr>
          <w:i/>
          <w:noProof/>
        </w:rPr>
        <w:t>52</w:t>
      </w:r>
      <w:r w:rsidRPr="00B41BE0">
        <w:rPr>
          <w:noProof/>
        </w:rPr>
        <w:t>(1), 3</w:t>
      </w:r>
      <w:r>
        <w:rPr>
          <w:noProof/>
        </w:rPr>
        <w:t>–</w:t>
      </w:r>
      <w:r w:rsidRPr="00B41BE0">
        <w:rPr>
          <w:noProof/>
        </w:rPr>
        <w:t>20.</w:t>
      </w:r>
      <w:bookmarkEnd w:id="1698"/>
    </w:p>
    <w:p w14:paraId="28DE0062" w14:textId="77777777" w:rsidR="00FC0D42" w:rsidRPr="00B41BE0" w:rsidRDefault="00FC0D42" w:rsidP="00FC0D42">
      <w:pPr>
        <w:pStyle w:val="References"/>
        <w:rPr>
          <w:noProof/>
        </w:rPr>
      </w:pPr>
      <w:bookmarkStart w:id="1699" w:name="_ENREF_108"/>
      <w:r w:rsidRPr="00B41BE0">
        <w:rPr>
          <w:noProof/>
        </w:rPr>
        <w:t xml:space="preserve">Whealin, J. M., Seibert-Hatalsky, L. A., Howell, J. W. &amp; Tsai, J. (2015). E-mental health preferences of </w:t>
      </w:r>
      <w:r>
        <w:rPr>
          <w:noProof/>
        </w:rPr>
        <w:t>v</w:t>
      </w:r>
      <w:r w:rsidRPr="00B41BE0">
        <w:rPr>
          <w:noProof/>
        </w:rPr>
        <w:t xml:space="preserve">eterans with and without probable posttraumatic stress disorder. </w:t>
      </w:r>
      <w:r w:rsidRPr="00B41BE0">
        <w:rPr>
          <w:i/>
          <w:noProof/>
        </w:rPr>
        <w:t>Journal of Rehabilitation Research &amp; Development,</w:t>
      </w:r>
      <w:r w:rsidRPr="00B41BE0">
        <w:rPr>
          <w:noProof/>
        </w:rPr>
        <w:t xml:space="preserve"> </w:t>
      </w:r>
      <w:r w:rsidRPr="00952768">
        <w:rPr>
          <w:i/>
          <w:noProof/>
        </w:rPr>
        <w:t>52</w:t>
      </w:r>
      <w:r w:rsidRPr="00B41BE0">
        <w:rPr>
          <w:noProof/>
        </w:rPr>
        <w:t>(6), 725</w:t>
      </w:r>
      <w:r>
        <w:rPr>
          <w:noProof/>
        </w:rPr>
        <w:t>–</w:t>
      </w:r>
      <w:r w:rsidRPr="00B41BE0">
        <w:rPr>
          <w:noProof/>
        </w:rPr>
        <w:t>738.</w:t>
      </w:r>
      <w:bookmarkEnd w:id="1699"/>
    </w:p>
    <w:p w14:paraId="67C1810C" w14:textId="77777777" w:rsidR="00FC0D42" w:rsidRPr="00B41BE0" w:rsidRDefault="00FC0D42" w:rsidP="00FC0D42">
      <w:pPr>
        <w:pStyle w:val="References"/>
        <w:rPr>
          <w:noProof/>
        </w:rPr>
      </w:pPr>
      <w:bookmarkStart w:id="1700" w:name="_ENREF_109"/>
      <w:r w:rsidRPr="00B41BE0">
        <w:rPr>
          <w:noProof/>
        </w:rPr>
        <w:t xml:space="preserve">World Health Organization (1994). </w:t>
      </w:r>
      <w:r w:rsidRPr="00B41BE0">
        <w:rPr>
          <w:i/>
          <w:noProof/>
        </w:rPr>
        <w:t xml:space="preserve">ICD-10 International Statistical Classification of Diseases and Related Health Problems, </w:t>
      </w:r>
      <w:r w:rsidRPr="00B41BE0">
        <w:rPr>
          <w:noProof/>
        </w:rPr>
        <w:t>Geneva: World Healh Organization.</w:t>
      </w:r>
      <w:bookmarkEnd w:id="1700"/>
    </w:p>
    <w:p w14:paraId="05809436" w14:textId="77777777" w:rsidR="00FC0D42" w:rsidRPr="00B41BE0" w:rsidRDefault="00FC0D42" w:rsidP="00FC0D42">
      <w:pPr>
        <w:pStyle w:val="References"/>
        <w:rPr>
          <w:noProof/>
        </w:rPr>
      </w:pPr>
      <w:bookmarkStart w:id="1701" w:name="_ENREF_110"/>
      <w:r w:rsidRPr="00B41BE0">
        <w:rPr>
          <w:noProof/>
        </w:rPr>
        <w:t xml:space="preserve">World Health Organization. (2011). </w:t>
      </w:r>
      <w:r w:rsidRPr="00B41BE0">
        <w:rPr>
          <w:i/>
          <w:noProof/>
        </w:rPr>
        <w:t>mHealth Global Observatory for eHealth 3</w:t>
      </w:r>
      <w:r w:rsidRPr="00B41BE0">
        <w:rPr>
          <w:noProof/>
        </w:rPr>
        <w:t xml:space="preserve">. Global Observatory for eHealth series </w:t>
      </w:r>
      <w:r>
        <w:rPr>
          <w:noProof/>
        </w:rPr>
        <w:t>–</w:t>
      </w:r>
      <w:r w:rsidRPr="00B41BE0">
        <w:rPr>
          <w:noProof/>
        </w:rPr>
        <w:t xml:space="preserve"> Volume 3: Geneva: World Health Organization. Available: </w:t>
      </w:r>
      <w:hyperlink r:id="rId205" w:history="1">
        <w:r w:rsidRPr="00215381">
          <w:rPr>
            <w:rStyle w:val="Hyperlink"/>
            <w:noProof/>
          </w:rPr>
          <w:t>http://www.who.int/goe/publications/goe_mhealth_web.pdf</w:t>
        </w:r>
      </w:hyperlink>
      <w:r w:rsidRPr="00B41BE0">
        <w:rPr>
          <w:noProof/>
        </w:rPr>
        <w:t xml:space="preserve"> </w:t>
      </w:r>
      <w:bookmarkEnd w:id="1701"/>
    </w:p>
    <w:p w14:paraId="30C28FD8" w14:textId="77777777" w:rsidR="00FC0D42" w:rsidRPr="00B41BE0" w:rsidRDefault="00FC0D42" w:rsidP="00FC0D42">
      <w:pPr>
        <w:pStyle w:val="References"/>
        <w:rPr>
          <w:noProof/>
        </w:rPr>
      </w:pPr>
      <w:bookmarkStart w:id="1702" w:name="_ENREF_111"/>
      <w:r w:rsidRPr="00B41BE0">
        <w:rPr>
          <w:noProof/>
        </w:rPr>
        <w:t xml:space="preserve">Young and Well Cooperative Research Centre (2013). </w:t>
      </w:r>
      <w:r w:rsidRPr="00B41BE0">
        <w:rPr>
          <w:i/>
          <w:noProof/>
        </w:rPr>
        <w:t xml:space="preserve">Young and Well CRC Standard Measures, </w:t>
      </w:r>
      <w:r w:rsidRPr="00B41BE0">
        <w:rPr>
          <w:noProof/>
        </w:rPr>
        <w:t>Melbourne: Young and Well Cooperative Research Centre.</w:t>
      </w:r>
      <w:bookmarkEnd w:id="1702"/>
    </w:p>
    <w:bookmarkEnd w:id="1591"/>
    <w:p w14:paraId="33151C19" w14:textId="77777777" w:rsidR="006016C9" w:rsidRPr="0061597C" w:rsidRDefault="006016C9" w:rsidP="0061597C"/>
    <w:sectPr w:rsidR="006016C9" w:rsidRPr="0061597C" w:rsidSect="00147BFC">
      <w:type w:val="oddPage"/>
      <w:pgSz w:w="9979" w:h="14170" w:code="243"/>
      <w:pgMar w:top="1440" w:right="1152" w:bottom="1440" w:left="1728" w:header="576" w:footer="576"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FBF34E" w16cid:durableId="1FA69C98"/>
  <w16cid:commentId w16cid:paraId="61FB47A2" w16cid:durableId="1FA7E10F"/>
  <w16cid:commentId w16cid:paraId="245E8189" w16cid:durableId="1FA7E8D1"/>
  <w16cid:commentId w16cid:paraId="60C922BB" w16cid:durableId="1FA8F7F4"/>
  <w16cid:commentId w16cid:paraId="7B347C13" w16cid:durableId="1FA8F97B"/>
  <w16cid:commentId w16cid:paraId="33D5793A" w16cid:durableId="1FA90ACA"/>
  <w16cid:commentId w16cid:paraId="2109EE8B" w16cid:durableId="1FA9260F"/>
  <w16cid:commentId w16cid:paraId="18B66D63" w16cid:durableId="1FA92689"/>
  <w16cid:commentId w16cid:paraId="03134766" w16cid:durableId="1FA92700"/>
  <w16cid:commentId w16cid:paraId="64AF45C7" w16cid:durableId="1FA92767"/>
  <w16cid:commentId w16cid:paraId="0092FDA8" w16cid:durableId="1FA9279E"/>
  <w16cid:commentId w16cid:paraId="35EBEEB4" w16cid:durableId="1FA927D5"/>
  <w16cid:commentId w16cid:paraId="1C3218EF" w16cid:durableId="1FA92808"/>
  <w16cid:commentId w16cid:paraId="64D112B4" w16cid:durableId="1FA9282F"/>
  <w16cid:commentId w16cid:paraId="3324B8DB" w16cid:durableId="1FA9285D"/>
  <w16cid:commentId w16cid:paraId="083AC999" w16cid:durableId="1FA9442F"/>
  <w16cid:commentId w16cid:paraId="59F1AED8" w16cid:durableId="1FA9468D"/>
  <w16cid:commentId w16cid:paraId="3C0314E4" w16cid:durableId="1FA946E5"/>
  <w16cid:commentId w16cid:paraId="68213F65" w16cid:durableId="1FA9472A"/>
  <w16cid:commentId w16cid:paraId="121FC11D" w16cid:durableId="1FA947F3"/>
  <w16cid:commentId w16cid:paraId="248E6369" w16cid:durableId="1FA94924"/>
  <w16cid:commentId w16cid:paraId="661CC7E5" w16cid:durableId="1FA95224"/>
  <w16cid:commentId w16cid:paraId="69C23CBE" w16cid:durableId="1FAA34DA"/>
  <w16cid:commentId w16cid:paraId="5FBC1321" w16cid:durableId="1FAA3658"/>
  <w16cid:commentId w16cid:paraId="31B66C97" w16cid:durableId="1FAA37A5"/>
  <w16cid:commentId w16cid:paraId="1EFCDBD6" w16cid:durableId="1FAA3B40"/>
  <w16cid:commentId w16cid:paraId="27374CA1" w16cid:durableId="1FAA3DB4"/>
  <w16cid:commentId w16cid:paraId="4E4B2BEE" w16cid:durableId="1FAA4200"/>
  <w16cid:commentId w16cid:paraId="691C1D54" w16cid:durableId="1FAA4330"/>
  <w16cid:commentId w16cid:paraId="2D6C7C80" w16cid:durableId="1FAA43E6"/>
  <w16cid:commentId w16cid:paraId="10B44235" w16cid:durableId="1FAA4A64"/>
  <w16cid:commentId w16cid:paraId="1780EB07" w16cid:durableId="1FAA8747"/>
  <w16cid:commentId w16cid:paraId="5B76622C" w16cid:durableId="1FAA8976"/>
  <w16cid:commentId w16cid:paraId="3777312C" w16cid:durableId="1FAA8D53"/>
  <w16cid:commentId w16cid:paraId="64D7062D" w16cid:durableId="1FAA915C"/>
  <w16cid:commentId w16cid:paraId="456A7C19" w16cid:durableId="1FAA92E9"/>
  <w16cid:commentId w16cid:paraId="05C22963" w16cid:durableId="1FAA9333"/>
  <w16cid:commentId w16cid:paraId="7F934D0A" w16cid:durableId="1FAA9384"/>
  <w16cid:commentId w16cid:paraId="2AFC0987" w16cid:durableId="1FA901B1"/>
  <w16cid:commentId w16cid:paraId="7BF399DE" w16cid:durableId="1FABAD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01A8D4" w14:textId="77777777" w:rsidR="00365393" w:rsidRDefault="00365393" w:rsidP="00746525">
      <w:pPr>
        <w:spacing w:after="0" w:line="240" w:lineRule="auto"/>
      </w:pPr>
      <w:r>
        <w:separator/>
      </w:r>
    </w:p>
  </w:endnote>
  <w:endnote w:type="continuationSeparator" w:id="0">
    <w:p w14:paraId="7D5A462E" w14:textId="77777777" w:rsidR="00365393" w:rsidRDefault="00365393"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Helvetica Neue">
    <w:charset w:val="00"/>
    <w:family w:val="auto"/>
    <w:pitch w:val="variable"/>
    <w:sig w:usb0="E50002FF" w:usb1="500079DB" w:usb2="00000010" w:usb3="00000000" w:csb0="00000001" w:csb1="00000000"/>
  </w:font>
  <w:font w:name="ArialMT">
    <w:altName w:val="Arial"/>
    <w:charset w:val="00"/>
    <w:family w:val="swiss"/>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illSans">
    <w:altName w:val="Calibri"/>
    <w:charset w:val="00"/>
    <w:family w:val="swiss"/>
    <w:pitch w:val="variable"/>
    <w:sig w:usb0="80000A67" w:usb1="00000000" w:usb2="00000000" w:usb3="00000000" w:csb0="000001F7" w:csb1="00000000"/>
  </w:font>
  <w:font w:name="\I'48ﬁˇøÊ∞—">
    <w:altName w:val="Cambria"/>
    <w:panose1 w:val="00000000000000000000"/>
    <w:charset w:val="4D"/>
    <w:family w:val="auto"/>
    <w:notTrueType/>
    <w:pitch w:val="default"/>
    <w:sig w:usb0="00000003" w:usb1="00000000" w:usb2="00000000" w:usb3="00000000" w:csb0="00000001" w:csb1="00000000"/>
  </w:font>
  <w:font w:name="@필기체">
    <w:charset w:val="81"/>
    <w:family w:val="auto"/>
    <w:pitch w:val="variable"/>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E1DE8" w14:textId="77777777" w:rsidR="00040E45" w:rsidRPr="00746525" w:rsidRDefault="00040E45" w:rsidP="0016367A">
    <w:pPr>
      <w:pStyle w:val="Footer"/>
      <w:pBdr>
        <w:top w:val="none" w:sz="0" w:space="0" w:color="auto"/>
      </w:pBdr>
      <w:jc w:val="right"/>
      <w:rPr>
        <w:b/>
        <w:color w:val="72082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5858B" w14:textId="77777777" w:rsidR="00040E45" w:rsidRPr="00746525" w:rsidRDefault="00040E45" w:rsidP="00C352BC">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8480" behindDoc="0" locked="1" layoutInCell="0" allowOverlap="1" wp14:anchorId="35CE63C7" wp14:editId="49D69293">
              <wp:simplePos x="0" y="0"/>
              <wp:positionH relativeFrom="page">
                <wp:posOffset>371475</wp:posOffset>
              </wp:positionH>
              <wp:positionV relativeFrom="page">
                <wp:posOffset>685800</wp:posOffset>
              </wp:positionV>
              <wp:extent cx="2374265" cy="4608830"/>
              <wp:effectExtent l="0" t="0" r="1333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21EAC10" w14:textId="77777777" w:rsidR="00040E45" w:rsidRPr="00746525" w:rsidRDefault="00040E45" w:rsidP="00C352BC">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5CE63C7" id="_x0000_t202" coordsize="21600,21600" o:spt="202" path="m,l,21600r21600,l21600,xe">
              <v:stroke joinstyle="miter"/>
              <v:path gradientshapeok="t" o:connecttype="rect"/>
            </v:shapetype>
            <v:shape id="_x0000_s1089" type="#_x0000_t202" style="position:absolute;left:0;text-align:left;margin-left:29.25pt;margin-top:54pt;width:186.95pt;height:362.9pt;z-index:25166848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AS+RbzBQIAAOs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321EAC10" w14:textId="77777777" w:rsidR="00040E45" w:rsidRPr="00746525" w:rsidRDefault="00040E45" w:rsidP="00C352BC">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62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55EED"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226</w:t>
    </w:r>
    <w:r w:rsidRPr="00E14F7B">
      <w:rPr>
        <w:b/>
        <w:color w:val="720829"/>
      </w:rPr>
      <w:fldChar w:fldCharType="end"/>
    </w:r>
    <w:r>
      <w:rPr>
        <w:b/>
        <w:color w:val="720829"/>
      </w:rPr>
      <w:tab/>
    </w:r>
    <w:r w:rsidRPr="00746525">
      <w:rPr>
        <w:b/>
        <w:color w:val="720829"/>
      </w:rPr>
      <w:t>TRANSITION AND WELLBEING RESEARCH PROGRAMME</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9807"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227</w:t>
    </w:r>
    <w:r w:rsidRPr="00746525">
      <w:rPr>
        <w:b/>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AE9EA"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8112" behindDoc="0" locked="1" layoutInCell="0" allowOverlap="1" wp14:anchorId="26659039" wp14:editId="215A94DB">
              <wp:simplePos x="0" y="0"/>
              <wp:positionH relativeFrom="page">
                <wp:posOffset>371475</wp:posOffset>
              </wp:positionH>
              <wp:positionV relativeFrom="page">
                <wp:posOffset>685800</wp:posOffset>
              </wp:positionV>
              <wp:extent cx="2374265" cy="4608830"/>
              <wp:effectExtent l="0" t="0" r="13335" b="127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3FF1DDF"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6659039" id="_x0000_t202" coordsize="21600,21600" o:spt="202" path="m,l,21600r21600,l21600,xe">
              <v:stroke joinstyle="miter"/>
              <v:path gradientshapeok="t" o:connecttype="rect"/>
            </v:shapetype>
            <v:shape id="_x0000_s1135" type="#_x0000_t202" style="position:absolute;left:0;text-align:left;margin-left:29.25pt;margin-top:54pt;width:186.95pt;height:362.9pt;z-index:25173811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vfBwIAAO0DAAAOAAAAZHJzL2Uyb0RvYy54bWysU8GO2yAQvVfqPyDujR1vknq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Ke/a98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03FF1DDF"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F818C"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37088" behindDoc="0" locked="1" layoutInCell="0" allowOverlap="1" wp14:anchorId="2B0D473D" wp14:editId="3772B30C">
              <wp:simplePos x="0" y="0"/>
              <wp:positionH relativeFrom="page">
                <wp:posOffset>355600</wp:posOffset>
              </wp:positionH>
              <wp:positionV relativeFrom="page">
                <wp:posOffset>1118870</wp:posOffset>
              </wp:positionV>
              <wp:extent cx="200660" cy="4608195"/>
              <wp:effectExtent l="0" t="0" r="8890" b="1905"/>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F95B467"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211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0D473D" id="_x0000_t202" coordsize="21600,21600" o:spt="202" path="m,l,21600r21600,l21600,xe">
              <v:stroke joinstyle="miter"/>
              <v:path gradientshapeok="t" o:connecttype="rect"/>
            </v:shapetype>
            <v:shape id="_x0000_s1136" type="#_x0000_t202" style="position:absolute;margin-left:28pt;margin-top:88.1pt;width:15.8pt;height:362.8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B3M8MkAAgAA7AMAAA4AAAAA&#10;AAAAAAAAAAAALgIAAGRycy9lMm9Eb2MueG1sUEsBAi0AFAAGAAgAAAAhACxiV6zhAAAACQEAAA8A&#10;AAAAAAAAAAAAAAAAWgQAAGRycy9kb3ducmV2LnhtbFBLBQYAAAAABAAEAPMAAABoBQAAAAA=&#10;" o:allowincell="f" filled="f" stroked="f">
              <v:textbox style="layout-flow:vertical" inset="0,0,0,0">
                <w:txbxContent>
                  <w:p w14:paraId="6F95B467"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211</w:t>
                    </w:r>
                    <w:r w:rsidRPr="00746525">
                      <w:rPr>
                        <w:b/>
                      </w:rPr>
                      <w:fldChar w:fldCharType="end"/>
                    </w:r>
                  </w:p>
                </w:txbxContent>
              </v:textbox>
              <w10:wrap anchorx="page" anchory="page"/>
              <w10:anchorlock/>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5617E"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266</w:t>
    </w:r>
    <w:r w:rsidRPr="00E14F7B">
      <w:rPr>
        <w:b/>
        <w:color w:val="720829"/>
      </w:rPr>
      <w:fldChar w:fldCharType="end"/>
    </w:r>
    <w:r>
      <w:rPr>
        <w:b/>
        <w:color w:val="720829"/>
      </w:rPr>
      <w:tab/>
    </w:r>
    <w:r w:rsidRPr="00746525">
      <w:rPr>
        <w:b/>
        <w:color w:val="720829"/>
      </w:rPr>
      <w:t>TRANSITION AND WELLBEING RESEARCH PROGRAMME</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D3EFC"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267</w:t>
    </w:r>
    <w:r w:rsidRPr="00746525">
      <w:rPr>
        <w:b/>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7AA98"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41184" behindDoc="0" locked="1" layoutInCell="0" allowOverlap="1" wp14:anchorId="464B9C90" wp14:editId="5DC22BE8">
              <wp:simplePos x="0" y="0"/>
              <wp:positionH relativeFrom="page">
                <wp:posOffset>371475</wp:posOffset>
              </wp:positionH>
              <wp:positionV relativeFrom="page">
                <wp:posOffset>685800</wp:posOffset>
              </wp:positionV>
              <wp:extent cx="2374265" cy="4608830"/>
              <wp:effectExtent l="0" t="0" r="13335" b="1270"/>
              <wp:wrapNone/>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18986C9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278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64B9C90" id="_x0000_t202" coordsize="21600,21600" o:spt="202" path="m,l,21600r21600,l21600,xe">
              <v:stroke joinstyle="miter"/>
              <v:path gradientshapeok="t" o:connecttype="rect"/>
            </v:shapetype>
            <v:shape id="_x0000_s1137" type="#_x0000_t202" style="position:absolute;left:0;text-align:left;margin-left:29.25pt;margin-top:54pt;width:186.95pt;height:362.9pt;z-index:25174118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GHIAac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18986C9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278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70C77"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40160" behindDoc="0" locked="1" layoutInCell="0" allowOverlap="1" wp14:anchorId="7D1B5D30" wp14:editId="1DD2E896">
              <wp:simplePos x="0" y="0"/>
              <wp:positionH relativeFrom="page">
                <wp:posOffset>355600</wp:posOffset>
              </wp:positionH>
              <wp:positionV relativeFrom="page">
                <wp:posOffset>1118870</wp:posOffset>
              </wp:positionV>
              <wp:extent cx="200660" cy="4608195"/>
              <wp:effectExtent l="0" t="0" r="8890" b="1905"/>
              <wp:wrapNone/>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9F94D50"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277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1B5D30" id="_x0000_t202" coordsize="21600,21600" o:spt="202" path="m,l,21600r21600,l21600,xe">
              <v:stroke joinstyle="miter"/>
              <v:path gradientshapeok="t" o:connecttype="rect"/>
            </v:shapetype>
            <v:shape id="_x0000_s1138" type="#_x0000_t202" style="position:absolute;margin-left:28pt;margin-top:88.1pt;width:15.8pt;height:362.8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KP3bXAICAADsAwAADgAA&#10;AAAAAAAAAAAAAAAuAgAAZHJzL2Uyb0RvYy54bWxQSwECLQAUAAYACAAAACEALGJXrOEAAAAJAQAA&#10;DwAAAAAAAAAAAAAAAABcBAAAZHJzL2Rvd25yZXYueG1sUEsFBgAAAAAEAAQA8wAAAGoFAAAAAA==&#10;" o:allowincell="f" filled="f" stroked="f">
              <v:textbox style="layout-flow:vertical" inset="0,0,0,0">
                <w:txbxContent>
                  <w:p w14:paraId="19F94D50"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277</w:t>
                    </w:r>
                    <w:r w:rsidRPr="00746525">
                      <w:rPr>
                        <w:b/>
                      </w:rPr>
                      <w:fldChar w:fldCharType="end"/>
                    </w:r>
                  </w:p>
                </w:txbxContent>
              </v:textbox>
              <w10:wrap anchorx="page" anchory="page"/>
              <w10:anchorlock/>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C1245"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282</w:t>
    </w:r>
    <w:r w:rsidRPr="00E14F7B">
      <w:rPr>
        <w:b/>
        <w:color w:val="720829"/>
      </w:rPr>
      <w:fldChar w:fldCharType="end"/>
    </w:r>
    <w:r>
      <w:rPr>
        <w:b/>
        <w:color w:val="720829"/>
      </w:rPr>
      <w:tab/>
    </w:r>
    <w:r w:rsidRPr="00746525">
      <w:rPr>
        <w:b/>
        <w:color w:val="720829"/>
      </w:rPr>
      <w:t>TRANSITION AND WELLBEING RESEARCH PROGRAMME</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48D83"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283</w:t>
    </w:r>
    <w:r w:rsidRPr="00746525">
      <w:rPr>
        <w:b/>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C3EF8" w14:textId="77777777" w:rsidR="00040E45" w:rsidRDefault="00040E45" w:rsidP="00C352BC">
    <w:pPr>
      <w:pStyle w:val="Footer"/>
      <w:pBdr>
        <w:top w:val="none" w:sz="0" w:space="0" w:color="auto"/>
      </w:pBdr>
    </w:pPr>
    <w:r>
      <w:rPr>
        <w:lang w:eastAsia="en-AU"/>
      </w:rPr>
      <mc:AlternateContent>
        <mc:Choice Requires="wps">
          <w:drawing>
            <wp:anchor distT="0" distB="0" distL="114300" distR="114300" simplePos="0" relativeHeight="251666432" behindDoc="0" locked="1" layoutInCell="0" allowOverlap="1" wp14:anchorId="47C1DD9B" wp14:editId="735F52BB">
              <wp:simplePos x="0" y="0"/>
              <wp:positionH relativeFrom="page">
                <wp:posOffset>355600</wp:posOffset>
              </wp:positionH>
              <wp:positionV relativeFrom="page">
                <wp:posOffset>1118870</wp:posOffset>
              </wp:positionV>
              <wp:extent cx="200660" cy="4608195"/>
              <wp:effectExtent l="0" t="0" r="8890" b="190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6F81D63" w14:textId="77777777" w:rsidR="00040E45" w:rsidRDefault="00040E45" w:rsidP="00C352BC">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63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C1DD9B" id="_x0000_t202" coordsize="21600,21600" o:spt="202" path="m,l,21600r21600,l21600,xe">
              <v:stroke joinstyle="miter"/>
              <v:path gradientshapeok="t" o:connecttype="rect"/>
            </v:shapetype>
            <v:shape id="_x0000_s1090" type="#_x0000_t202" style="position:absolute;margin-left:28pt;margin-top:88.1pt;width:15.8pt;height:362.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I9TAAIAAOo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Fm0j1MAAgAA6gMAAA4AAAAA&#10;AAAAAAAAAAAALgIAAGRycy9lMm9Eb2MueG1sUEsBAi0AFAAGAAgAAAAhACxiV6zhAAAACQEAAA8A&#10;AAAAAAAAAAAAAAAAWgQAAGRycy9kb3ducmV2LnhtbFBLBQYAAAAABAAEAPMAAABoBQAAAAA=&#10;" o:allowincell="f" filled="f" stroked="f">
              <v:textbox style="layout-flow:vertical" inset="0,0,0,0">
                <w:txbxContent>
                  <w:p w14:paraId="06F81D63" w14:textId="77777777" w:rsidR="00040E45" w:rsidRDefault="00040E45" w:rsidP="00C352BC">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63</w:t>
                    </w:r>
                    <w:r w:rsidRPr="00746525">
                      <w:rPr>
                        <w:b/>
                      </w:rPr>
                      <w:fldChar w:fldCharType="end"/>
                    </w:r>
                  </w:p>
                </w:txbxContent>
              </v:textbox>
              <w10:wrap anchorx="page" anchory="page"/>
              <w10:anchorlock/>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5A969"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47328" behindDoc="0" locked="1" layoutInCell="0" allowOverlap="1" wp14:anchorId="3F317691" wp14:editId="679E7BBB">
              <wp:simplePos x="0" y="0"/>
              <wp:positionH relativeFrom="page">
                <wp:posOffset>371475</wp:posOffset>
              </wp:positionH>
              <wp:positionV relativeFrom="page">
                <wp:posOffset>685800</wp:posOffset>
              </wp:positionV>
              <wp:extent cx="2374265" cy="4608830"/>
              <wp:effectExtent l="0" t="0" r="13335"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528A9C8"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284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F317691" id="_x0000_t202" coordsize="21600,21600" o:spt="202" path="m,l,21600r21600,l21600,xe">
              <v:stroke joinstyle="miter"/>
              <v:path gradientshapeok="t" o:connecttype="rect"/>
            </v:shapetype>
            <v:shape id="_x0000_s1139" type="#_x0000_t202" style="position:absolute;left:0;text-align:left;margin-left:29.25pt;margin-top:54pt;width:186.95pt;height:362.9pt;z-index:25174732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ogmMdQ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0528A9C8"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284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00C1"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46304" behindDoc="0" locked="1" layoutInCell="0" allowOverlap="1" wp14:anchorId="45FD93B8" wp14:editId="2C18CB11">
              <wp:simplePos x="0" y="0"/>
              <wp:positionH relativeFrom="page">
                <wp:posOffset>355600</wp:posOffset>
              </wp:positionH>
              <wp:positionV relativeFrom="page">
                <wp:posOffset>1118870</wp:posOffset>
              </wp:positionV>
              <wp:extent cx="200660" cy="4608195"/>
              <wp:effectExtent l="0" t="0" r="8890" b="190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7522D5AC"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267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D93B8" id="_x0000_t202" coordsize="21600,21600" o:spt="202" path="m,l,21600r21600,l21600,xe">
              <v:stroke joinstyle="miter"/>
              <v:path gradientshapeok="t" o:connecttype="rect"/>
            </v:shapetype>
            <v:shape id="_x0000_s1140" type="#_x0000_t202" style="position:absolute;margin-left:28pt;margin-top:88.1pt;width:15.8pt;height:362.8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EAwIAAOwDAAAOAAAAZHJzL2Uyb0RvYy54bWysU9uO2yAQfa/Uf0C8N3bSJtp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L+Ae0QDAgAA7AMAAA4A&#10;AAAAAAAAAAAAAAAALgIAAGRycy9lMm9Eb2MueG1sUEsBAi0AFAAGAAgAAAAhACxiV6zhAAAACQEA&#10;AA8AAAAAAAAAAAAAAAAAXQQAAGRycy9kb3ducmV2LnhtbFBLBQYAAAAABAAEAPMAAABrBQAAAAA=&#10;" o:allowincell="f" filled="f" stroked="f">
              <v:textbox style="layout-flow:vertical" inset="0,0,0,0">
                <w:txbxContent>
                  <w:p w14:paraId="7522D5AC"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267</w:t>
                    </w:r>
                    <w:r w:rsidRPr="00746525">
                      <w:rPr>
                        <w:b/>
                      </w:rPr>
                      <w:fldChar w:fldCharType="end"/>
                    </w:r>
                  </w:p>
                </w:txbxContent>
              </v:textbox>
              <w10:wrap anchorx="page" anchory="page"/>
              <w10:anchorlock/>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6C8D6"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286</w:t>
    </w:r>
    <w:r w:rsidRPr="00E14F7B">
      <w:rPr>
        <w:b/>
        <w:color w:val="720829"/>
      </w:rPr>
      <w:fldChar w:fldCharType="end"/>
    </w:r>
    <w:r>
      <w:rPr>
        <w:b/>
        <w:color w:val="720829"/>
      </w:rPr>
      <w:tab/>
    </w:r>
    <w:r w:rsidRPr="00746525">
      <w:rPr>
        <w:b/>
        <w:color w:val="720829"/>
      </w:rPr>
      <w:t>TRANSITION AND WELLBEING RESEARCH PROGRAMME</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819C9"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285</w:t>
    </w:r>
    <w:r w:rsidRPr="00746525">
      <w:rPr>
        <w:b/>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CAA65"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310</w:t>
    </w:r>
    <w:r w:rsidRPr="00E14F7B">
      <w:rPr>
        <w:b/>
        <w:color w:val="720829"/>
      </w:rPr>
      <w:fldChar w:fldCharType="end"/>
    </w:r>
    <w:r>
      <w:rPr>
        <w:b/>
        <w:color w:val="720829"/>
      </w:rPr>
      <w:tab/>
    </w:r>
    <w:r w:rsidRPr="00746525">
      <w:rPr>
        <w:b/>
        <w:color w:val="720829"/>
      </w:rPr>
      <w:t>TRANSITION AND WELLBEING RESEARCH PROGRAMME</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2D384"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311</w:t>
    </w:r>
    <w:r w:rsidRPr="00746525">
      <w:rPr>
        <w:b/>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8CB0C" w14:textId="77777777" w:rsidR="00040E45" w:rsidRPr="00746525" w:rsidRDefault="00040E45" w:rsidP="006016C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78</w:t>
    </w:r>
    <w:r w:rsidRPr="00E14F7B">
      <w:rPr>
        <w:b/>
        <w:color w:val="720829"/>
      </w:rPr>
      <w:fldChar w:fldCharType="end"/>
    </w:r>
    <w:r>
      <w:rPr>
        <w:b/>
        <w:color w:val="720829"/>
      </w:rPr>
      <w:tab/>
    </w:r>
    <w:r w:rsidRPr="00746525">
      <w:rPr>
        <w:b/>
        <w:color w:val="720829"/>
      </w:rPr>
      <w:t>TRANSITION AND WELLBEING RESEARCH PROGRAMME</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C91E1" w14:textId="77777777" w:rsidR="00040E45" w:rsidRDefault="00040E45" w:rsidP="006016C9">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79</w:t>
    </w:r>
    <w:r w:rsidRPr="00746525">
      <w:rPr>
        <w:b/>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2B62E" w14:textId="77777777" w:rsidR="00040E45" w:rsidRPr="00746525" w:rsidRDefault="00040E4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63360" behindDoc="0" locked="1" layoutInCell="0" allowOverlap="1" wp14:anchorId="2AF5BE74" wp14:editId="30983EFC">
              <wp:simplePos x="0" y="0"/>
              <wp:positionH relativeFrom="page">
                <wp:posOffset>371475</wp:posOffset>
              </wp:positionH>
              <wp:positionV relativeFrom="page">
                <wp:posOffset>685800</wp:posOffset>
              </wp:positionV>
              <wp:extent cx="2374265" cy="4608830"/>
              <wp:effectExtent l="0" t="0" r="1333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20B7D79" w14:textId="77777777" w:rsidR="00040E45" w:rsidRPr="00746525" w:rsidRDefault="00040E4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80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AF5BE74" id="_x0000_t202" coordsize="21600,21600" o:spt="202" path="m,l,21600r21600,l21600,xe">
              <v:stroke joinstyle="miter"/>
              <v:path gradientshapeok="t" o:connecttype="rect"/>
            </v:shapetype>
            <v:shape id="_x0000_s1091" type="#_x0000_t202" style="position:absolute;left:0;text-align:left;margin-left:29.25pt;margin-top:54pt;width:186.95pt;height:362.9pt;z-index:2516633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H/AwIAAOo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" o:allowincell="f" filled="f" stroked="f">
              <v:textbox style="layout-flow:vertical;mso-fit-shape-to-text:t" inset="0,0,0,0">
                <w:txbxContent>
                  <w:p w14:paraId="520B7D79" w14:textId="77777777" w:rsidR="00040E45" w:rsidRPr="00746525" w:rsidRDefault="00040E4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80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0F1B2" w14:textId="77777777" w:rsidR="00040E45" w:rsidRDefault="00040E45" w:rsidP="00535A40">
    <w:pPr>
      <w:pStyle w:val="Footer"/>
      <w:pBdr>
        <w:top w:val="none" w:sz="0" w:space="0" w:color="auto"/>
      </w:pBdr>
    </w:pPr>
    <w:r>
      <w:rPr>
        <w:lang w:eastAsia="en-AU"/>
      </w:rPr>
      <mc:AlternateContent>
        <mc:Choice Requires="wps">
          <w:drawing>
            <wp:anchor distT="0" distB="0" distL="114300" distR="114300" simplePos="0" relativeHeight="251664384" behindDoc="0" locked="1" layoutInCell="0" allowOverlap="1" wp14:anchorId="5BB51107" wp14:editId="4C5B1E52">
              <wp:simplePos x="0" y="0"/>
              <wp:positionH relativeFrom="page">
                <wp:posOffset>355600</wp:posOffset>
              </wp:positionH>
              <wp:positionV relativeFrom="page">
                <wp:posOffset>1118870</wp:posOffset>
              </wp:positionV>
              <wp:extent cx="200660" cy="4608195"/>
              <wp:effectExtent l="0" t="0" r="889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B3E5247" w14:textId="77777777" w:rsidR="00040E45" w:rsidRDefault="00040E45" w:rsidP="00535A40">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81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51107" id="_x0000_t202" coordsize="21600,21600" o:spt="202" path="m,l,21600r21600,l21600,xe">
              <v:stroke joinstyle="miter"/>
              <v:path gradientshapeok="t" o:connecttype="rect"/>
            </v:shapetype>
            <v:shape id="_x0000_s1092" type="#_x0000_t202" style="position:absolute;margin-left:28pt;margin-top:88.1pt;width:15.8pt;height:362.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" o:allowincell="f" filled="f" stroked="f">
              <v:textbox style="layout-flow:vertical" inset="0,0,0,0">
                <w:txbxContent>
                  <w:p w14:paraId="3B3E5247" w14:textId="77777777" w:rsidR="00040E45" w:rsidRDefault="00040E45" w:rsidP="00535A40">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81</w:t>
                    </w:r>
                    <w:r w:rsidRPr="00746525">
                      <w:rPr>
                        <w:b/>
                      </w:rPr>
                      <w:fldChar w:fldCharType="end"/>
                    </w:r>
                  </w:p>
                </w:txbxContent>
              </v:textbox>
              <w10:wrap anchorx="page" anchory="page"/>
              <w10:anchorlock/>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6AB36"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86</w:t>
    </w:r>
    <w:r w:rsidRPr="00E14F7B">
      <w:rPr>
        <w:b/>
        <w:color w:val="720829"/>
      </w:rPr>
      <w:fldChar w:fldCharType="end"/>
    </w:r>
    <w:r>
      <w:rPr>
        <w:b/>
        <w:color w:val="720829"/>
      </w:rPr>
      <w:tab/>
    </w:r>
    <w:r w:rsidRPr="00746525">
      <w:rPr>
        <w:b/>
        <w:color w:val="720829"/>
      </w:rPr>
      <w:t>TRANSITION AND WELLBEING RESEARCH PROGRAMME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24F3"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85</w:t>
    </w:r>
    <w:r w:rsidRPr="00746525">
      <w:rPr>
        <w:b/>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1BEB" w14:textId="77777777" w:rsidR="00040E45" w:rsidRPr="00746525" w:rsidRDefault="00040E45" w:rsidP="00463E4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0528" behindDoc="0" locked="1" layoutInCell="0" allowOverlap="1" wp14:anchorId="5EA71564" wp14:editId="4AEC82DB">
              <wp:simplePos x="0" y="0"/>
              <wp:positionH relativeFrom="page">
                <wp:posOffset>371475</wp:posOffset>
              </wp:positionH>
              <wp:positionV relativeFrom="page">
                <wp:posOffset>685800</wp:posOffset>
              </wp:positionV>
              <wp:extent cx="2374265" cy="4608830"/>
              <wp:effectExtent l="0" t="0" r="13335" b="127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2C26E64" w14:textId="77777777" w:rsidR="00040E45" w:rsidRPr="00746525" w:rsidRDefault="00040E45" w:rsidP="00463E4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88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EA71564" id="_x0000_t202" coordsize="21600,21600" o:spt="202" path="m,l,21600r21600,l21600,xe">
              <v:stroke joinstyle="miter"/>
              <v:path gradientshapeok="t" o:connecttype="rect"/>
            </v:shapetype>
            <v:shape id="_x0000_s1093" type="#_x0000_t202" style="position:absolute;left:0;text-align:left;margin-left:29.25pt;margin-top:54pt;width:186.95pt;height:362.9pt;z-index:25167052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F2BwIAAOwDAAAOAAAAZHJzL2Uyb0RvYy54bWysU8GO2yAQvVfqPyDujR1vkm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LS68XY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2C26E64" w14:textId="77777777" w:rsidR="00040E45" w:rsidRPr="00746525" w:rsidRDefault="00040E45" w:rsidP="00463E4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88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E03B1" w14:textId="77777777" w:rsidR="00040E45" w:rsidRDefault="00040E45" w:rsidP="00463E44">
    <w:pPr>
      <w:pStyle w:val="Footer"/>
      <w:pBdr>
        <w:top w:val="none" w:sz="0" w:space="0" w:color="auto"/>
      </w:pBdr>
    </w:pPr>
    <w:r>
      <w:rPr>
        <w:lang w:eastAsia="en-AU"/>
      </w:rPr>
      <mc:AlternateContent>
        <mc:Choice Requires="wps">
          <w:drawing>
            <wp:anchor distT="0" distB="0" distL="114300" distR="114300" simplePos="0" relativeHeight="251672576" behindDoc="0" locked="1" layoutInCell="0" allowOverlap="1" wp14:anchorId="6E64EA1E" wp14:editId="30766395">
              <wp:simplePos x="0" y="0"/>
              <wp:positionH relativeFrom="page">
                <wp:posOffset>355600</wp:posOffset>
              </wp:positionH>
              <wp:positionV relativeFrom="page">
                <wp:posOffset>1118870</wp:posOffset>
              </wp:positionV>
              <wp:extent cx="200660" cy="4608195"/>
              <wp:effectExtent l="0" t="0" r="8890" b="190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7823E0BB" w14:textId="77777777" w:rsidR="00040E45" w:rsidRDefault="00040E45" w:rsidP="00463E4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87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64EA1E" id="_x0000_t202" coordsize="21600,21600" o:spt="202" path="m,l,21600r21600,l21600,xe">
              <v:stroke joinstyle="miter"/>
              <v:path gradientshapeok="t" o:connecttype="rect"/>
            </v:shapetype>
            <v:shape id="_x0000_s1094" type="#_x0000_t202" style="position:absolute;margin-left:28pt;margin-top:88.1pt;width:15.8pt;height:362.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MGyeUQAAgAA6wMAAA4AAAAA&#10;AAAAAAAAAAAALgIAAGRycy9lMm9Eb2MueG1sUEsBAi0AFAAGAAgAAAAhACxiV6zhAAAACQEAAA8A&#10;AAAAAAAAAAAAAAAAWgQAAGRycy9kb3ducmV2LnhtbFBLBQYAAAAABAAEAPMAAABoBQAAAAA=&#10;" o:allowincell="f" filled="f" stroked="f">
              <v:textbox style="layout-flow:vertical" inset="0,0,0,0">
                <w:txbxContent>
                  <w:p w14:paraId="7823E0BB" w14:textId="77777777" w:rsidR="00040E45" w:rsidRDefault="00040E45" w:rsidP="00463E4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87</w:t>
                    </w:r>
                    <w:r w:rsidRPr="00746525">
                      <w:rPr>
                        <w:b/>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00758" w14:textId="77777777" w:rsidR="00BD41F3" w:rsidRDefault="00BD41F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4737"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90</w:t>
    </w:r>
    <w:r w:rsidRPr="00E14F7B">
      <w:rPr>
        <w:b/>
        <w:color w:val="720829"/>
      </w:rPr>
      <w:fldChar w:fldCharType="end"/>
    </w:r>
    <w:r>
      <w:rPr>
        <w:b/>
        <w:color w:val="720829"/>
      </w:rPr>
      <w:tab/>
    </w:r>
    <w:r w:rsidRPr="00746525">
      <w:rPr>
        <w:b/>
        <w:color w:val="720829"/>
      </w:rPr>
      <w:t>TRANSITION AND WELLBEING RESEARCH PROGRAMME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3ADB7"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91</w:t>
    </w:r>
    <w:r w:rsidRPr="00746525">
      <w:rPr>
        <w:b/>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A98B2"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6672" behindDoc="0" locked="1" layoutInCell="0" allowOverlap="1" wp14:anchorId="48D70725" wp14:editId="7C3A033C">
              <wp:simplePos x="0" y="0"/>
              <wp:positionH relativeFrom="page">
                <wp:posOffset>371475</wp:posOffset>
              </wp:positionH>
              <wp:positionV relativeFrom="page">
                <wp:posOffset>685800</wp:posOffset>
              </wp:positionV>
              <wp:extent cx="2374265" cy="4608830"/>
              <wp:effectExtent l="0" t="0" r="13335" b="1270"/>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7CA249E9"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94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8D70725" id="_x0000_t202" coordsize="21600,21600" o:spt="202" path="m,l,21600r21600,l21600,xe">
              <v:stroke joinstyle="miter"/>
              <v:path gradientshapeok="t" o:connecttype="rect"/>
            </v:shapetype>
            <v:shape id="_x0000_s1095" type="#_x0000_t202" style="position:absolute;left:0;text-align:left;margin-left:29.25pt;margin-top:54pt;width:186.95pt;height:362.9pt;z-index:25167667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eKXBgIAAOw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90Xilw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7CA249E9"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94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A5F89"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74624" behindDoc="0" locked="1" layoutInCell="0" allowOverlap="1" wp14:anchorId="589B0B1C" wp14:editId="4F0603D1">
              <wp:simplePos x="0" y="0"/>
              <wp:positionH relativeFrom="page">
                <wp:posOffset>355600</wp:posOffset>
              </wp:positionH>
              <wp:positionV relativeFrom="page">
                <wp:posOffset>1118870</wp:posOffset>
              </wp:positionV>
              <wp:extent cx="200660" cy="4608195"/>
              <wp:effectExtent l="0" t="0" r="8890" b="190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C25B832"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93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9B0B1C" id="_x0000_t202" coordsize="21600,21600" o:spt="202" path="m,l,21600r21600,l21600,xe">
              <v:stroke joinstyle="miter"/>
              <v:path gradientshapeok="t" o:connecttype="rect"/>
            </v:shapetype>
            <v:shape id="_x0000_s1096" type="#_x0000_t202" style="position:absolute;margin-left:28pt;margin-top:88.1pt;width:15.8pt;height:362.8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lxAgIAAOs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RwOZcQICAADrAwAADgAA&#10;AAAAAAAAAAAAAAAuAgAAZHJzL2Uyb0RvYy54bWxQSwECLQAUAAYACAAAACEALGJXrOEAAAAJAQAA&#10;DwAAAAAAAAAAAAAAAABcBAAAZHJzL2Rvd25yZXYueG1sUEsFBgAAAAAEAAQA8wAAAGoFAAAAAA==&#10;" o:allowincell="f" filled="f" stroked="f">
              <v:textbox style="layout-flow:vertical" inset="0,0,0,0">
                <w:txbxContent>
                  <w:p w14:paraId="3C25B832"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93</w:t>
                    </w:r>
                    <w:r w:rsidRPr="00746525">
                      <w:rPr>
                        <w:b/>
                      </w:rPr>
                      <w:fldChar w:fldCharType="end"/>
                    </w:r>
                  </w:p>
                </w:txbxContent>
              </v:textbox>
              <w10:wrap anchorx="page" anchory="page"/>
              <w10:anchorlock/>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9DEDC"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96</w:t>
    </w:r>
    <w:r w:rsidRPr="00E14F7B">
      <w:rPr>
        <w:b/>
        <w:color w:val="720829"/>
      </w:rPr>
      <w:fldChar w:fldCharType="end"/>
    </w:r>
    <w:r>
      <w:rPr>
        <w:b/>
        <w:color w:val="720829"/>
      </w:rPr>
      <w:tab/>
    </w:r>
    <w:r w:rsidRPr="00746525">
      <w:rPr>
        <w:b/>
        <w:color w:val="720829"/>
      </w:rPr>
      <w:t>TRANSITION AND WELLBEING RESEARCH PROGRAMME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5AA0A"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95</w:t>
    </w:r>
    <w:r w:rsidRPr="00746525">
      <w:rPr>
        <w:b/>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CF350"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79744" behindDoc="0" locked="1" layoutInCell="0" allowOverlap="1" wp14:anchorId="34CD502E" wp14:editId="4389B3BA">
              <wp:simplePos x="0" y="0"/>
              <wp:positionH relativeFrom="page">
                <wp:posOffset>371475</wp:posOffset>
              </wp:positionH>
              <wp:positionV relativeFrom="page">
                <wp:posOffset>685800</wp:posOffset>
              </wp:positionV>
              <wp:extent cx="2374265" cy="4608830"/>
              <wp:effectExtent l="0" t="0" r="13335" b="127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01BF1DD"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98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4CD502E" id="_x0000_t202" coordsize="21600,21600" o:spt="202" path="m,l,21600r21600,l21600,xe">
              <v:stroke joinstyle="miter"/>
              <v:path gradientshapeok="t" o:connecttype="rect"/>
            </v:shapetype>
            <v:shape id="_x0000_s1097" type="#_x0000_t202" style="position:absolute;left:0;text-align:left;margin-left:29.25pt;margin-top:54pt;width:186.95pt;height:362.9pt;z-index:25167974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N+u+O8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501BF1DD"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98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7E2CF"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78720" behindDoc="0" locked="1" layoutInCell="0" allowOverlap="1" wp14:anchorId="14C0B732" wp14:editId="4040BDB9">
              <wp:simplePos x="0" y="0"/>
              <wp:positionH relativeFrom="page">
                <wp:posOffset>355600</wp:posOffset>
              </wp:positionH>
              <wp:positionV relativeFrom="page">
                <wp:posOffset>1118870</wp:posOffset>
              </wp:positionV>
              <wp:extent cx="200660" cy="4608195"/>
              <wp:effectExtent l="0" t="0" r="8890" b="190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4522436"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99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0B732" id="_x0000_t202" coordsize="21600,21600" o:spt="202" path="m,l,21600r21600,l21600,xe">
              <v:stroke joinstyle="miter"/>
              <v:path gradientshapeok="t" o:connecttype="rect"/>
            </v:shapetype>
            <v:shape id="_x0000_s1098" type="#_x0000_t202" style="position:absolute;margin-left:28pt;margin-top:88.1pt;width:15.8pt;height:362.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yluDMwICAADsAwAADgAA&#10;AAAAAAAAAAAAAAAuAgAAZHJzL2Uyb0RvYy54bWxQSwECLQAUAAYACAAAACEALGJXrOEAAAAJAQAA&#10;DwAAAAAAAAAAAAAAAABcBAAAZHJzL2Rvd25yZXYueG1sUEsFBgAAAAAEAAQA8wAAAGoFAAAAAA==&#10;" o:allowincell="f" filled="f" stroked="f">
              <v:textbox style="layout-flow:vertical" inset="0,0,0,0">
                <w:txbxContent>
                  <w:p w14:paraId="24522436"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99</w:t>
                    </w:r>
                    <w:r w:rsidRPr="00746525">
                      <w:rPr>
                        <w:b/>
                      </w:rPr>
                      <w:fldChar w:fldCharType="end"/>
                    </w:r>
                  </w:p>
                </w:txbxContent>
              </v:textbox>
              <w10:wrap anchorx="page" anchory="page"/>
              <w10:anchorlock/>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068F7"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100</w:t>
    </w:r>
    <w:r w:rsidRPr="00E14F7B">
      <w:rPr>
        <w:b/>
        <w:color w:val="720829"/>
      </w:rPr>
      <w:fldChar w:fldCharType="end"/>
    </w:r>
    <w:r>
      <w:rPr>
        <w:b/>
        <w:color w:val="720829"/>
      </w:rPr>
      <w:tab/>
    </w:r>
    <w:r w:rsidRPr="00746525">
      <w:rPr>
        <w:b/>
        <w:color w:val="720829"/>
      </w:rPr>
      <w:t>TRANSITION AND WELLBEING RESEARCH PROGRAMME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F274"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101</w:t>
    </w:r>
    <w:r w:rsidRPr="00746525">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822F1" w14:textId="77777777" w:rsidR="00BD41F3" w:rsidRDefault="00BD41F3">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7D055"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2816" behindDoc="0" locked="1" layoutInCell="0" allowOverlap="1" wp14:anchorId="0EBB43C4" wp14:editId="41237CB6">
              <wp:simplePos x="0" y="0"/>
              <wp:positionH relativeFrom="page">
                <wp:posOffset>371475</wp:posOffset>
              </wp:positionH>
              <wp:positionV relativeFrom="page">
                <wp:posOffset>685800</wp:posOffset>
              </wp:positionV>
              <wp:extent cx="2374265" cy="4608830"/>
              <wp:effectExtent l="0" t="0" r="13335" b="127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1053450B"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104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EBB43C4" id="_x0000_t202" coordsize="21600,21600" o:spt="202" path="m,l,21600r21600,l21600,xe">
              <v:stroke joinstyle="miter"/>
              <v:path gradientshapeok="t" o:connecttype="rect"/>
            </v:shapetype>
            <v:shape id="_x0000_s1099" type="#_x0000_t202" style="position:absolute;left:0;text-align:left;margin-left:29.25pt;margin-top:54pt;width:186.95pt;height:362.9pt;z-index:25168281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QH+xNQ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1053450B"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104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9A9EA"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81792" behindDoc="0" locked="1" layoutInCell="0" allowOverlap="1" wp14:anchorId="0974290A" wp14:editId="48570CB8">
              <wp:simplePos x="0" y="0"/>
              <wp:positionH relativeFrom="page">
                <wp:posOffset>355600</wp:posOffset>
              </wp:positionH>
              <wp:positionV relativeFrom="page">
                <wp:posOffset>1118870</wp:posOffset>
              </wp:positionV>
              <wp:extent cx="200660" cy="4608195"/>
              <wp:effectExtent l="0" t="0" r="8890" b="190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599AD612"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103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4290A" id="_x0000_t202" coordsize="21600,21600" o:spt="202" path="m,l,21600r21600,l21600,xe">
              <v:stroke joinstyle="miter"/>
              <v:path gradientshapeok="t" o:connecttype="rect"/>
            </v:shapetype>
            <v:shape id="_x0000_s1100" type="#_x0000_t202" style="position:absolute;margin-left:28pt;margin-top:88.1pt;width:15.8pt;height:362.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XQAwIAAOwDAAAOAAAAZHJzL2Uyb0RvYy54bWysU1Fv0zAQfkfiP1h+p0nL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GJh5dADAgAA7AMAAA4A&#10;AAAAAAAAAAAAAAAALgIAAGRycy9lMm9Eb2MueG1sUEsBAi0AFAAGAAgAAAAhACxiV6zhAAAACQEA&#10;AA8AAAAAAAAAAAAAAAAAXQQAAGRycy9kb3ducmV2LnhtbFBLBQYAAAAABAAEAPMAAABrBQAAAAA=&#10;" o:allowincell="f" filled="f" stroked="f">
              <v:textbox style="layout-flow:vertical" inset="0,0,0,0">
                <w:txbxContent>
                  <w:p w14:paraId="599AD612"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103</w:t>
                    </w:r>
                    <w:r w:rsidRPr="00746525">
                      <w:rPr>
                        <w:b/>
                      </w:rPr>
                      <w:fldChar w:fldCharType="end"/>
                    </w:r>
                  </w:p>
                </w:txbxContent>
              </v:textbox>
              <w10:wrap anchorx="page" anchory="page"/>
              <w10:anchorlock/>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390A"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108</w:t>
    </w:r>
    <w:r w:rsidRPr="00E14F7B">
      <w:rPr>
        <w:b/>
        <w:color w:val="720829"/>
      </w:rPr>
      <w:fldChar w:fldCharType="end"/>
    </w:r>
    <w:r>
      <w:rPr>
        <w:b/>
        <w:color w:val="720829"/>
      </w:rPr>
      <w:tab/>
    </w:r>
    <w:r w:rsidRPr="00746525">
      <w:rPr>
        <w:b/>
        <w:color w:val="720829"/>
      </w:rPr>
      <w:t>TRANSITION AND WELLBEING RESEARCH PROGRAMME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18602"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109</w:t>
    </w:r>
    <w:r w:rsidRPr="00746525">
      <w:rPr>
        <w:b/>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0D1A5"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5888" behindDoc="0" locked="1" layoutInCell="0" allowOverlap="1" wp14:anchorId="4E8FCF80" wp14:editId="7E184779">
              <wp:simplePos x="0" y="0"/>
              <wp:positionH relativeFrom="page">
                <wp:posOffset>371475</wp:posOffset>
              </wp:positionH>
              <wp:positionV relativeFrom="page">
                <wp:posOffset>685800</wp:posOffset>
              </wp:positionV>
              <wp:extent cx="2374265" cy="4608830"/>
              <wp:effectExtent l="0" t="0" r="13335" b="127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17914971"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E8FCF80" id="_x0000_t202" coordsize="21600,21600" o:spt="202" path="m,l,21600r21600,l21600,xe">
              <v:stroke joinstyle="miter"/>
              <v:path gradientshapeok="t" o:connecttype="rect"/>
            </v:shapetype>
            <v:shape id="_x0000_s1101" type="#_x0000_t202" style="position:absolute;left:0;text-align:left;margin-left:29.25pt;margin-top:54pt;width:186.95pt;height:362.9pt;z-index:25168588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bzCAIAAO0DAAAOAAAAZHJzL2Uyb0RvYy54bWysU8GO2yAQvVfqPyDujR1vkk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BpVrbz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14:paraId="17914971"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08868"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84864" behindDoc="0" locked="1" layoutInCell="0" allowOverlap="1" wp14:anchorId="047AF555" wp14:editId="7C226177">
              <wp:simplePos x="0" y="0"/>
              <wp:positionH relativeFrom="page">
                <wp:posOffset>355600</wp:posOffset>
              </wp:positionH>
              <wp:positionV relativeFrom="page">
                <wp:posOffset>1118870</wp:posOffset>
              </wp:positionV>
              <wp:extent cx="200660" cy="4608195"/>
              <wp:effectExtent l="0" t="0" r="8890" b="190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741283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AF555" id="_x0000_t202" coordsize="21600,21600" o:spt="202" path="m,l,21600r21600,l21600,xe">
              <v:stroke joinstyle="miter"/>
              <v:path gradientshapeok="t" o:connecttype="rect"/>
            </v:shapetype>
            <v:shape id="_x0000_s1102" type="#_x0000_t202" style="position:absolute;margin-left:28pt;margin-top:88.1pt;width:15.8pt;height:362.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VeAQIAAOw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BcYnVeAQIAAOwDAAAOAAAA&#10;AAAAAAAAAAAAAC4CAABkcnMvZTJvRG9jLnhtbFBLAQItABQABgAIAAAAIQAsYles4QAAAAkBAAAP&#10;AAAAAAAAAAAAAAAAAFsEAABkcnMvZG93bnJldi54bWxQSwUGAAAAAAQABADzAAAAaQUAAAAA&#10;" o:allowincell="f" filled="f" stroked="f">
              <v:textbox style="layout-flow:vertical" inset="0,0,0,0">
                <w:txbxContent>
                  <w:p w14:paraId="1741283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111</w:t>
                    </w:r>
                    <w:r w:rsidRPr="00746525">
                      <w:rPr>
                        <w:b/>
                      </w:rPr>
                      <w:fldChar w:fldCharType="end"/>
                    </w:r>
                  </w:p>
                </w:txbxContent>
              </v:textbox>
              <w10:wrap anchorx="page" anchory="page"/>
              <w10:anchorlock/>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09E2D"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114</w:t>
    </w:r>
    <w:r w:rsidRPr="00E14F7B">
      <w:rPr>
        <w:b/>
        <w:color w:val="720829"/>
      </w:rPr>
      <w:fldChar w:fldCharType="end"/>
    </w:r>
    <w:r>
      <w:rPr>
        <w:b/>
        <w:color w:val="720829"/>
      </w:rPr>
      <w:tab/>
    </w:r>
    <w:r w:rsidRPr="00746525">
      <w:rPr>
        <w:b/>
        <w:color w:val="720829"/>
      </w:rPr>
      <w:t>TRANSITION AND WELLBEING RESEARCH PROGRAMME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239B11"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113</w:t>
    </w:r>
    <w:r w:rsidRPr="00746525">
      <w:rPr>
        <w:b/>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73AB9"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88960" behindDoc="0" locked="1" layoutInCell="0" allowOverlap="1" wp14:anchorId="4E021D26" wp14:editId="42250BA7">
              <wp:simplePos x="0" y="0"/>
              <wp:positionH relativeFrom="page">
                <wp:posOffset>371475</wp:posOffset>
              </wp:positionH>
              <wp:positionV relativeFrom="page">
                <wp:posOffset>685800</wp:posOffset>
              </wp:positionV>
              <wp:extent cx="2374265" cy="4608830"/>
              <wp:effectExtent l="0" t="0" r="13335" b="127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BC11192"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E021D26" id="_x0000_t202" coordsize="21600,21600" o:spt="202" path="m,l,21600r21600,l21600,xe">
              <v:stroke joinstyle="miter"/>
              <v:path gradientshapeok="t" o:connecttype="rect"/>
            </v:shapetype>
            <v:shape id="_x0000_s1103" type="#_x0000_t202" style="position:absolute;left:0;text-align:left;margin-left:29.25pt;margin-top:54pt;width:186.95pt;height:362.9pt;z-index:25168896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aCAIAAO0DAAAOAAAAZHJzL2Uyb0RvYy54bWysU8GO2yAQvVfqPyDujR1vkm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A/2lNa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14:paraId="2BC11192"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106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79223"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87936" behindDoc="0" locked="1" layoutInCell="0" allowOverlap="1" wp14:anchorId="223CDF22" wp14:editId="1448F08C">
              <wp:simplePos x="0" y="0"/>
              <wp:positionH relativeFrom="page">
                <wp:posOffset>355600</wp:posOffset>
              </wp:positionH>
              <wp:positionV relativeFrom="page">
                <wp:posOffset>1118870</wp:posOffset>
              </wp:positionV>
              <wp:extent cx="200660" cy="4608195"/>
              <wp:effectExtent l="0" t="0" r="8890" b="1905"/>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F580DC2"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CDF22" id="_x0000_t202" coordsize="21600,21600" o:spt="202" path="m,l,21600r21600,l21600,xe">
              <v:stroke joinstyle="miter"/>
              <v:path gradientshapeok="t" o:connecttype="rect"/>
            </v:shapetype>
            <v:shape id="_x0000_s1104" type="#_x0000_t202" style="position:absolute;margin-left:28pt;margin-top:88.1pt;width:15.8pt;height:362.8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BOpNX8DAgAA7AMAAA4A&#10;AAAAAAAAAAAAAAAALgIAAGRycy9lMm9Eb2MueG1sUEsBAi0AFAAGAAgAAAAhACxiV6zhAAAACQEA&#10;AA8AAAAAAAAAAAAAAAAAXQQAAGRycy9kb3ducmV2LnhtbFBLBQYAAAAABAAEAPMAAABrBQAAAAA=&#10;" o:allowincell="f" filled="f" stroked="f">
              <v:textbox style="layout-flow:vertical" inset="0,0,0,0">
                <w:txbxContent>
                  <w:p w14:paraId="2F580DC2"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115</w:t>
                    </w:r>
                    <w:r w:rsidRPr="00746525">
                      <w:rPr>
                        <w:b/>
                      </w:rPr>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64BC7" w14:textId="77777777" w:rsidR="00040E45" w:rsidRPr="00746525" w:rsidRDefault="00040E45"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iv</w:t>
    </w:r>
    <w:r w:rsidRPr="00E14F7B">
      <w:rPr>
        <w:b/>
        <w:color w:val="720829"/>
      </w:rPr>
      <w:fldChar w:fldCharType="end"/>
    </w:r>
    <w:r>
      <w:rPr>
        <w:b/>
        <w:color w:val="720829"/>
      </w:rPr>
      <w:tab/>
    </w:r>
    <w:r w:rsidRPr="00746525">
      <w:rPr>
        <w:b/>
        <w:color w:val="720829"/>
      </w:rPr>
      <w:t>TRANSITION AND WELLBEING RESEARCH PROGRAMME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24FF8"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116</w:t>
    </w:r>
    <w:r w:rsidRPr="00E14F7B">
      <w:rPr>
        <w:b/>
        <w:color w:val="720829"/>
      </w:rPr>
      <w:fldChar w:fldCharType="end"/>
    </w:r>
    <w:r>
      <w:rPr>
        <w:b/>
        <w:color w:val="720829"/>
      </w:rPr>
      <w:tab/>
    </w:r>
    <w:r w:rsidRPr="00746525">
      <w:rPr>
        <w:b/>
        <w:color w:val="720829"/>
      </w:rPr>
      <w:t>TRANSITION AND WELLBEING RESEARCH PROGRAMME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F4B5C"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117</w:t>
    </w:r>
    <w:r w:rsidRPr="00746525">
      <w:rPr>
        <w:b/>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8353D"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2032" behindDoc="0" locked="1" layoutInCell="0" allowOverlap="1" wp14:anchorId="4D40F27E" wp14:editId="4FA39820">
              <wp:simplePos x="0" y="0"/>
              <wp:positionH relativeFrom="page">
                <wp:posOffset>371475</wp:posOffset>
              </wp:positionH>
              <wp:positionV relativeFrom="page">
                <wp:posOffset>685800</wp:posOffset>
              </wp:positionV>
              <wp:extent cx="2374265" cy="4608830"/>
              <wp:effectExtent l="0" t="0" r="13335" b="127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13562341"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120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D40F27E" id="_x0000_t202" coordsize="21600,21600" o:spt="202" path="m,l,21600r21600,l21600,xe">
              <v:stroke joinstyle="miter"/>
              <v:path gradientshapeok="t" o:connecttype="rect"/>
            </v:shapetype>
            <v:shape id="_x0000_s1105" type="#_x0000_t202" style="position:absolute;left:0;text-align:left;margin-left:29.25pt;margin-top:54pt;width:186.95pt;height:362.9pt;z-index:25169203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npCAIAAO0DAAAOAAAAZHJzL2Uyb0RvYy54bWysU8GO2yAQvVfqPyDujR1vknW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" o:allowincell="f" filled="f" stroked="f">
              <v:textbox style="layout-flow:vertical;mso-fit-shape-to-text:t" inset="0,0,0,0">
                <w:txbxContent>
                  <w:p w14:paraId="13562341"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120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AE021"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91008" behindDoc="0" locked="1" layoutInCell="0" allowOverlap="1" wp14:anchorId="520FE0FC" wp14:editId="463709D3">
              <wp:simplePos x="0" y="0"/>
              <wp:positionH relativeFrom="page">
                <wp:posOffset>355600</wp:posOffset>
              </wp:positionH>
              <wp:positionV relativeFrom="page">
                <wp:posOffset>1118870</wp:posOffset>
              </wp:positionV>
              <wp:extent cx="200660" cy="4608195"/>
              <wp:effectExtent l="0" t="0" r="8890" b="190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E0DA2A5"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FE0FC" id="_x0000_t202" coordsize="21600,21600" o:spt="202" path="m,l,21600r21600,l21600,xe">
              <v:stroke joinstyle="miter"/>
              <v:path gradientshapeok="t" o:connecttype="rect"/>
            </v:shapetype>
            <v:shape id="_x0000_s1106" type="#_x0000_t202" style="position:absolute;margin-left:28pt;margin-top:88.1pt;width:15.8pt;height:362.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GxqQh8DAgAA7AMAAA4A&#10;AAAAAAAAAAAAAAAALgIAAGRycy9lMm9Eb2MueG1sUEsBAi0AFAAGAAgAAAAhACxiV6zhAAAACQEA&#10;AA8AAAAAAAAAAAAAAAAAXQQAAGRycy9kb3ducmV2LnhtbFBLBQYAAAAABAAEAPMAAABrBQAAAAA=&#10;" o:allowincell="f" filled="f" stroked="f">
              <v:textbox style="layout-flow:vertical" inset="0,0,0,0">
                <w:txbxContent>
                  <w:p w14:paraId="2E0DA2A5"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119</w:t>
                    </w:r>
                    <w:r w:rsidRPr="00746525">
                      <w:rPr>
                        <w:b/>
                      </w:rPr>
                      <w:fldChar w:fldCharType="end"/>
                    </w:r>
                  </w:p>
                </w:txbxContent>
              </v:textbox>
              <w10:wrap anchorx="page" anchory="page"/>
              <w10:anchorlock/>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83279"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122</w:t>
    </w:r>
    <w:r w:rsidRPr="00E14F7B">
      <w:rPr>
        <w:b/>
        <w:color w:val="720829"/>
      </w:rPr>
      <w:fldChar w:fldCharType="end"/>
    </w:r>
    <w:r>
      <w:rPr>
        <w:b/>
        <w:color w:val="720829"/>
      </w:rPr>
      <w:tab/>
    </w:r>
    <w:r w:rsidRPr="00746525">
      <w:rPr>
        <w:b/>
        <w:color w:val="720829"/>
      </w:rPr>
      <w:t>TRANSITION AND WELLBEING RESEARCH PROGRAMME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7EFBD"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121</w:t>
    </w:r>
    <w:r w:rsidRPr="00746525">
      <w:rPr>
        <w:b/>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2907E"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5104" behindDoc="0" locked="1" layoutInCell="0" allowOverlap="1" wp14:anchorId="4880BB2B" wp14:editId="0D994075">
              <wp:simplePos x="0" y="0"/>
              <wp:positionH relativeFrom="page">
                <wp:posOffset>371475</wp:posOffset>
              </wp:positionH>
              <wp:positionV relativeFrom="page">
                <wp:posOffset>685800</wp:posOffset>
              </wp:positionV>
              <wp:extent cx="2374265" cy="4608830"/>
              <wp:effectExtent l="0" t="0" r="1333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0B83CF0"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880BB2B" id="_x0000_t202" coordsize="21600,21600" o:spt="202" path="m,l,21600r21600,l21600,xe">
              <v:stroke joinstyle="miter"/>
              <v:path gradientshapeok="t" o:connecttype="rect"/>
            </v:shapetype>
            <v:shape id="_x0000_s1107" type="#_x0000_t202" style="position:absolute;left:0;text-align:left;margin-left:29.25pt;margin-top:54pt;width:186.95pt;height:362.9pt;z-index:25169510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zZBQIAAOwDAAAOAAAAZHJzL2Uyb0RvYy54bWysU8GO2yAQvVfqPyDujR1nk6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1rPzZ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20B83CF0"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112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DF437"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94080" behindDoc="0" locked="1" layoutInCell="0" allowOverlap="1" wp14:anchorId="4B4A8831" wp14:editId="0557A8C7">
              <wp:simplePos x="0" y="0"/>
              <wp:positionH relativeFrom="page">
                <wp:posOffset>355600</wp:posOffset>
              </wp:positionH>
              <wp:positionV relativeFrom="page">
                <wp:posOffset>1118870</wp:posOffset>
              </wp:positionV>
              <wp:extent cx="200660" cy="4608195"/>
              <wp:effectExtent l="0" t="0" r="8890"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F7E985C"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123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A8831" id="_x0000_t202" coordsize="21600,21600" o:spt="202" path="m,l,21600r21600,l21600,xe">
              <v:stroke joinstyle="miter"/>
              <v:path gradientshapeok="t" o:connecttype="rect"/>
            </v:shapetype>
            <v:shape id="_x0000_s1108" type="#_x0000_t202" style="position:absolute;margin-left:28pt;margin-top:88.1pt;width:15.8pt;height:362.8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3KAQ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OJt3KAQIAAOsDAAAOAAAA&#10;AAAAAAAAAAAAAC4CAABkcnMvZTJvRG9jLnhtbFBLAQItABQABgAIAAAAIQAsYles4QAAAAkBAAAP&#10;AAAAAAAAAAAAAAAAAFsEAABkcnMvZG93bnJldi54bWxQSwUGAAAAAAQABADzAAAAaQUAAAAA&#10;" o:allowincell="f" filled="f" stroked="f">
              <v:textbox style="layout-flow:vertical" inset="0,0,0,0">
                <w:txbxContent>
                  <w:p w14:paraId="2F7E985C"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123</w:t>
                    </w:r>
                    <w:r w:rsidRPr="00746525">
                      <w:rPr>
                        <w:b/>
                      </w:rPr>
                      <w:fldChar w:fldCharType="end"/>
                    </w:r>
                  </w:p>
                </w:txbxContent>
              </v:textbox>
              <w10:wrap anchorx="page" anchory="page"/>
              <w10:anchorlock/>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99324"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124</w:t>
    </w:r>
    <w:r w:rsidRPr="00E14F7B">
      <w:rPr>
        <w:b/>
        <w:color w:val="720829"/>
      </w:rPr>
      <w:fldChar w:fldCharType="end"/>
    </w:r>
    <w:r>
      <w:rPr>
        <w:b/>
        <w:color w:val="720829"/>
      </w:rPr>
      <w:tab/>
    </w:r>
    <w:r w:rsidRPr="00746525">
      <w:rPr>
        <w:b/>
        <w:color w:val="720829"/>
      </w:rPr>
      <w:t>TRANSITION AND WELLBEING RESEARCH PROGRAMME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5EFB3"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125</w:t>
    </w:r>
    <w:r w:rsidRPr="00746525">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A536D"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iii</w:t>
    </w:r>
    <w:r w:rsidRPr="00746525">
      <w:rPr>
        <w:b/>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216A"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98176" behindDoc="0" locked="1" layoutInCell="0" allowOverlap="1" wp14:anchorId="0EF2A021" wp14:editId="0CF5D08F">
              <wp:simplePos x="0" y="0"/>
              <wp:positionH relativeFrom="page">
                <wp:posOffset>371475</wp:posOffset>
              </wp:positionH>
              <wp:positionV relativeFrom="page">
                <wp:posOffset>685800</wp:posOffset>
              </wp:positionV>
              <wp:extent cx="2374265" cy="4608830"/>
              <wp:effectExtent l="0" t="0" r="13335" b="12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0F79B7B0"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EF2A021" id="_x0000_t202" coordsize="21600,21600" o:spt="202" path="m,l,21600r21600,l21600,xe">
              <v:stroke joinstyle="miter"/>
              <v:path gradientshapeok="t" o:connecttype="rect"/>
            </v:shapetype>
            <v:shape id="_x0000_s1109" type="#_x0000_t202" style="position:absolute;left:0;text-align:left;margin-left:29.25pt;margin-top:54pt;width:186.95pt;height:362.9pt;z-index:25169817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DY/UQX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0F79B7B0"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DB829"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697152" behindDoc="0" locked="1" layoutInCell="0" allowOverlap="1" wp14:anchorId="4D4EA4C3" wp14:editId="5D13AA20">
              <wp:simplePos x="0" y="0"/>
              <wp:positionH relativeFrom="page">
                <wp:posOffset>355600</wp:posOffset>
              </wp:positionH>
              <wp:positionV relativeFrom="page">
                <wp:posOffset>1118870</wp:posOffset>
              </wp:positionV>
              <wp:extent cx="200660" cy="4608195"/>
              <wp:effectExtent l="0" t="0" r="8890" b="190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53C32809"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127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4EA4C3" id="_x0000_t202" coordsize="21600,21600" o:spt="202" path="m,l,21600r21600,l21600,xe">
              <v:stroke joinstyle="miter"/>
              <v:path gradientshapeok="t" o:connecttype="rect"/>
            </v:shapetype>
            <v:shape id="_x0000_s1110" type="#_x0000_t202" style="position:absolute;margin-left:28pt;margin-top:88.1pt;width:15.8pt;height:362.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LwAgIAAOsDAAAOAAAAZHJzL2Uyb0RvYy54bWysU1Fv0zAQfkfiP1h+p0nL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g3oS8AICAADrAwAADgAA&#10;AAAAAAAAAAAAAAAuAgAAZHJzL2Uyb0RvYy54bWxQSwECLQAUAAYACAAAACEALGJXrOEAAAAJAQAA&#10;DwAAAAAAAAAAAAAAAABcBAAAZHJzL2Rvd25yZXYueG1sUEsFBgAAAAAEAAQA8wAAAGoFAAAAAA==&#10;" o:allowincell="f" filled="f" stroked="f">
              <v:textbox style="layout-flow:vertical" inset="0,0,0,0">
                <w:txbxContent>
                  <w:p w14:paraId="53C32809"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127</w:t>
                    </w:r>
                    <w:r w:rsidRPr="00746525">
                      <w:rPr>
                        <w:b/>
                      </w:rPr>
                      <w:fldChar w:fldCharType="end"/>
                    </w:r>
                  </w:p>
                </w:txbxContent>
              </v:textbox>
              <w10:wrap anchorx="page" anchory="page"/>
              <w10:anchorlock/>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597C1"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136</w:t>
    </w:r>
    <w:r w:rsidRPr="00E14F7B">
      <w:rPr>
        <w:b/>
        <w:color w:val="720829"/>
      </w:rPr>
      <w:fldChar w:fldCharType="end"/>
    </w:r>
    <w:r>
      <w:rPr>
        <w:b/>
        <w:color w:val="720829"/>
      </w:rPr>
      <w:tab/>
    </w:r>
    <w:r w:rsidRPr="00746525">
      <w:rPr>
        <w:b/>
        <w:color w:val="720829"/>
      </w:rPr>
      <w:t>TRANSITION AND WELLBEING RESEARCH PROGRAMME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6061F"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137</w:t>
    </w:r>
    <w:r w:rsidRPr="00746525">
      <w:rPr>
        <w:b/>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268BE"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1248" behindDoc="0" locked="1" layoutInCell="0" allowOverlap="1" wp14:anchorId="56726CEF" wp14:editId="7EC9E875">
              <wp:simplePos x="0" y="0"/>
              <wp:positionH relativeFrom="page">
                <wp:posOffset>371475</wp:posOffset>
              </wp:positionH>
              <wp:positionV relativeFrom="page">
                <wp:posOffset>685800</wp:posOffset>
              </wp:positionV>
              <wp:extent cx="2374265" cy="4608830"/>
              <wp:effectExtent l="0" t="0" r="1333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F2B8933"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6726CEF" id="_x0000_t202" coordsize="21600,21600" o:spt="202" path="m,l,21600r21600,l21600,xe">
              <v:stroke joinstyle="miter"/>
              <v:path gradientshapeok="t" o:connecttype="rect"/>
            </v:shapetype>
            <v:shape id="_x0000_s1111" type="#_x0000_t202" style="position:absolute;left:0;text-align:left;margin-left:29.25pt;margin-top:54pt;width:186.95pt;height:362.9pt;z-index:25170124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jkBg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gH9Y5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3F2B8933"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1C8D1"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00224" behindDoc="0" locked="1" layoutInCell="0" allowOverlap="1" wp14:anchorId="22E7D654" wp14:editId="331617E1">
              <wp:simplePos x="0" y="0"/>
              <wp:positionH relativeFrom="page">
                <wp:posOffset>355600</wp:posOffset>
              </wp:positionH>
              <wp:positionV relativeFrom="page">
                <wp:posOffset>1118870</wp:posOffset>
              </wp:positionV>
              <wp:extent cx="200660" cy="4608195"/>
              <wp:effectExtent l="0" t="0" r="8890" b="19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72DEAFE6"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139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7D654" id="_x0000_t202" coordsize="21600,21600" o:spt="202" path="m,l,21600r21600,l21600,xe">
              <v:stroke joinstyle="miter"/>
              <v:path gradientshapeok="t" o:connecttype="rect"/>
            </v:shapetype>
            <v:shape id="_x0000_s1112" type="#_x0000_t202" style="position:absolute;margin-left:28pt;margin-top:88.1pt;width:15.8pt;height:362.8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DqLwnAQIAAOsDAAAOAAAA&#10;AAAAAAAAAAAAAC4CAABkcnMvZTJvRG9jLnhtbFBLAQItABQABgAIAAAAIQAsYles4QAAAAkBAAAP&#10;AAAAAAAAAAAAAAAAAFsEAABkcnMvZG93bnJldi54bWxQSwUGAAAAAAQABADzAAAAaQUAAAAA&#10;" o:allowincell="f" filled="f" stroked="f">
              <v:textbox style="layout-flow:vertical" inset="0,0,0,0">
                <w:txbxContent>
                  <w:p w14:paraId="72DEAFE6"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139</w:t>
                    </w:r>
                    <w:r w:rsidRPr="00746525">
                      <w:rPr>
                        <w:b/>
                      </w:rPr>
                      <w:fldChar w:fldCharType="end"/>
                    </w:r>
                  </w:p>
                </w:txbxContent>
              </v:textbox>
              <w10:wrap anchorx="page" anchory="page"/>
              <w10:anchorlock/>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A0785"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142</w:t>
    </w:r>
    <w:r w:rsidRPr="00E14F7B">
      <w:rPr>
        <w:b/>
        <w:color w:val="720829"/>
      </w:rPr>
      <w:fldChar w:fldCharType="end"/>
    </w:r>
    <w:r>
      <w:rPr>
        <w:b/>
        <w:color w:val="720829"/>
      </w:rPr>
      <w:tab/>
    </w:r>
    <w:r w:rsidRPr="00746525">
      <w:rPr>
        <w:b/>
        <w:color w:val="720829"/>
      </w:rPr>
      <w:t>TRANSITION AND WELLBEING RESEARCH PROGRAMME</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195E6"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141</w:t>
    </w:r>
    <w:r w:rsidRPr="00746525">
      <w:rPr>
        <w:b/>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351C8"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4320" behindDoc="0" locked="1" layoutInCell="0" allowOverlap="1" wp14:anchorId="719ED187" wp14:editId="74D90A1F">
              <wp:simplePos x="0" y="0"/>
              <wp:positionH relativeFrom="page">
                <wp:posOffset>371475</wp:posOffset>
              </wp:positionH>
              <wp:positionV relativeFrom="page">
                <wp:posOffset>685800</wp:posOffset>
              </wp:positionV>
              <wp:extent cx="2374265" cy="4608830"/>
              <wp:effectExtent l="0" t="0" r="13335"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F562F39"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719ED187" id="_x0000_t202" coordsize="21600,21600" o:spt="202" path="m,l,21600r21600,l21600,xe">
              <v:stroke joinstyle="miter"/>
              <v:path gradientshapeok="t" o:connecttype="rect"/>
            </v:shapetype>
            <v:shape id="_x0000_s1113" type="#_x0000_t202" style="position:absolute;left:0;text-align:left;margin-left:29.25pt;margin-top:54pt;width:186.95pt;height:362.9pt;z-index:25170432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H64RPg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2F562F39"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74CCB"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03296" behindDoc="0" locked="1" layoutInCell="0" allowOverlap="1" wp14:anchorId="45663E9F" wp14:editId="7E7D413C">
              <wp:simplePos x="0" y="0"/>
              <wp:positionH relativeFrom="page">
                <wp:posOffset>355600</wp:posOffset>
              </wp:positionH>
              <wp:positionV relativeFrom="page">
                <wp:posOffset>1118870</wp:posOffset>
              </wp:positionV>
              <wp:extent cx="200660" cy="4608195"/>
              <wp:effectExtent l="0" t="0" r="8890" b="190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79C1372D"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145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63E9F" id="_x0000_t202" coordsize="21600,21600" o:spt="202" path="m,l,21600r21600,l21600,xe">
              <v:stroke joinstyle="miter"/>
              <v:path gradientshapeok="t" o:connecttype="rect"/>
            </v:shapetype>
            <v:shape id="_x0000_s1114" type="#_x0000_t202" style="position:absolute;margin-left:28pt;margin-top:88.1pt;width:15.8pt;height:362.8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rEAgIAAOsDAAAOAAAAZHJzL2Uyb0RvYy54bWysU1Fv0zAQfkfiP1h+p0mrtWx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q5LaxAICAADrAwAADgAA&#10;AAAAAAAAAAAAAAAuAgAAZHJzL2Uyb0RvYy54bWxQSwECLQAUAAYACAAAACEALGJXrOEAAAAJAQAA&#10;DwAAAAAAAAAAAAAAAABcBAAAZHJzL2Rvd25yZXYueG1sUEsFBgAAAAAEAAQA8wAAAGoFAAAAAA==&#10;" o:allowincell="f" filled="f" stroked="f">
              <v:textbox style="layout-flow:vertical" inset="0,0,0,0">
                <w:txbxContent>
                  <w:p w14:paraId="79C1372D"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145</w:t>
                    </w:r>
                    <w:r w:rsidRPr="00746525">
                      <w:rPr>
                        <w:b/>
                      </w:rPr>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BB521" w14:textId="77777777" w:rsidR="00040E45" w:rsidRPr="00746525" w:rsidRDefault="00040E45"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9264" behindDoc="0" locked="1" layoutInCell="0" allowOverlap="1" wp14:anchorId="4E33211E" wp14:editId="1A8A62DA">
              <wp:simplePos x="0" y="0"/>
              <wp:positionH relativeFrom="page">
                <wp:posOffset>371475</wp:posOffset>
              </wp:positionH>
              <wp:positionV relativeFrom="page">
                <wp:posOffset>685800</wp:posOffset>
              </wp:positionV>
              <wp:extent cx="2374265" cy="4608830"/>
              <wp:effectExtent l="0" t="0" r="1333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FE1FE58" w14:textId="77777777" w:rsidR="00040E45" w:rsidRPr="00746525" w:rsidRDefault="00040E4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E33211E" id="_x0000_t202" coordsize="21600,21600" o:spt="202" path="m,l,21600r21600,l21600,xe">
              <v:stroke joinstyle="miter"/>
              <v:path gradientshapeok="t" o:connecttype="rect"/>
            </v:shapetype>
            <v:shape id="Text Box 2" o:spid="_x0000_s1087" type="#_x0000_t202" style="position:absolute;left:0;text-align:left;margin-left:29.25pt;margin-top:54pt;width:186.95pt;height:362.9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" o:allowincell="f" filled="f" stroked="f">
              <v:textbox style="layout-flow:vertical;mso-fit-shape-to-text:t" inset="0,0,0,0">
                <w:txbxContent>
                  <w:p w14:paraId="6FE1FE58" w14:textId="77777777" w:rsidR="00040E45" w:rsidRPr="00746525" w:rsidRDefault="00040E45"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775DA"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146</w:t>
    </w:r>
    <w:r w:rsidRPr="00E14F7B">
      <w:rPr>
        <w:b/>
        <w:color w:val="720829"/>
      </w:rPr>
      <w:fldChar w:fldCharType="end"/>
    </w:r>
    <w:r>
      <w:rPr>
        <w:b/>
        <w:color w:val="720829"/>
      </w:rPr>
      <w:tab/>
    </w:r>
    <w:r w:rsidRPr="00746525">
      <w:rPr>
        <w:b/>
        <w:color w:val="720829"/>
      </w:rPr>
      <w:t>TRANSITION AND WELLBEING RESEARCH PROGRAMME</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80B4A"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139</w:t>
    </w:r>
    <w:r w:rsidRPr="00746525">
      <w:rPr>
        <w:b/>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EF95B"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07392" behindDoc="0" locked="1" layoutInCell="0" allowOverlap="1" wp14:anchorId="263C9515" wp14:editId="7D300AE3">
              <wp:simplePos x="0" y="0"/>
              <wp:positionH relativeFrom="page">
                <wp:posOffset>371475</wp:posOffset>
              </wp:positionH>
              <wp:positionV relativeFrom="page">
                <wp:posOffset>685800</wp:posOffset>
              </wp:positionV>
              <wp:extent cx="2374265" cy="4608830"/>
              <wp:effectExtent l="0" t="0" r="1333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6BD08CD"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148</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263C9515" id="_x0000_t202" coordsize="21600,21600" o:spt="202" path="m,l,21600r21600,l21600,xe">
              <v:stroke joinstyle="miter"/>
              <v:path gradientshapeok="t" o:connecttype="rect"/>
            </v:shapetype>
            <v:shape id="_x0000_s1115" type="#_x0000_t202" style="position:absolute;left:0;text-align:left;margin-left:29.25pt;margin-top:54pt;width:186.95pt;height:362.9pt;z-index:25170739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ezBwIAAOwDAAAOAAAAZHJzL2Uyb0RvYy54bWysU8GO2yAQvVfqPyDujR1vknW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JMrJ7M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6BD08CD"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148</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0492F"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06368" behindDoc="0" locked="1" layoutInCell="0" allowOverlap="1" wp14:anchorId="371E9283" wp14:editId="2AE782BC">
              <wp:simplePos x="0" y="0"/>
              <wp:positionH relativeFrom="page">
                <wp:posOffset>355600</wp:posOffset>
              </wp:positionH>
              <wp:positionV relativeFrom="page">
                <wp:posOffset>1118870</wp:posOffset>
              </wp:positionV>
              <wp:extent cx="200660" cy="4608195"/>
              <wp:effectExtent l="0" t="0" r="8890" b="19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616DD1EF"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147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1E9283" id="_x0000_t202" coordsize="21600,21600" o:spt="202" path="m,l,21600r21600,l21600,xe">
              <v:stroke joinstyle="miter"/>
              <v:path gradientshapeok="t" o:connecttype="rect"/>
            </v:shapetype>
            <v:shape id="_x0000_s1116" type="#_x0000_t202" style="position:absolute;margin-left:28pt;margin-top:88.1pt;width:15.8pt;height:362.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AwPXsBAQIAAOsDAAAOAAAA&#10;AAAAAAAAAAAAAC4CAABkcnMvZTJvRG9jLnhtbFBLAQItABQABgAIAAAAIQAsYles4QAAAAkBAAAP&#10;AAAAAAAAAAAAAAAAAFsEAABkcnMvZG93bnJldi54bWxQSwUGAAAAAAQABADzAAAAaQUAAAAA&#10;" o:allowincell="f" filled="f" stroked="f">
              <v:textbox style="layout-flow:vertical" inset="0,0,0,0">
                <w:txbxContent>
                  <w:p w14:paraId="616DD1EF"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147</w:t>
                    </w:r>
                    <w:r w:rsidRPr="00746525">
                      <w:rPr>
                        <w:b/>
                      </w:rPr>
                      <w:fldChar w:fldCharType="end"/>
                    </w:r>
                  </w:p>
                </w:txbxContent>
              </v:textbox>
              <w10:wrap anchorx="page" anchory="page"/>
              <w10:anchorlock/>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C3534"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142</w:t>
    </w:r>
    <w:r w:rsidRPr="00E14F7B">
      <w:rPr>
        <w:b/>
        <w:color w:val="720829"/>
      </w:rPr>
      <w:fldChar w:fldCharType="end"/>
    </w:r>
    <w:r>
      <w:rPr>
        <w:b/>
        <w:color w:val="720829"/>
      </w:rPr>
      <w:tab/>
    </w:r>
    <w:r w:rsidRPr="00746525">
      <w:rPr>
        <w:b/>
        <w:color w:val="720829"/>
      </w:rPr>
      <w:t>TRANSITION AND WELLBEING RESEARCH PROGRAMME</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44E18"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149</w:t>
    </w:r>
    <w:r w:rsidRPr="00746525">
      <w:rPr>
        <w:b/>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0E9B1"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0464" behindDoc="0" locked="1" layoutInCell="0" allowOverlap="1" wp14:anchorId="0E8F234B" wp14:editId="2449A22E">
              <wp:simplePos x="0" y="0"/>
              <wp:positionH relativeFrom="page">
                <wp:posOffset>371475</wp:posOffset>
              </wp:positionH>
              <wp:positionV relativeFrom="page">
                <wp:posOffset>685800</wp:posOffset>
              </wp:positionV>
              <wp:extent cx="2374265" cy="4608830"/>
              <wp:effectExtent l="0" t="0" r="13335"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82B7432"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E8F234B" id="_x0000_t202" coordsize="21600,21600" o:spt="202" path="m,l,21600r21600,l21600,xe">
              <v:stroke joinstyle="miter"/>
              <v:path gradientshapeok="t" o:connecttype="rect"/>
            </v:shapetype>
            <v:shape id="_x0000_s1117" type="#_x0000_t202" style="position:absolute;left:0;text-align:left;margin-left:29.25pt;margin-top:54pt;width:186.95pt;height:362.9pt;z-index:2517104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YrI9s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382B7432"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CDB26"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09440" behindDoc="0" locked="1" layoutInCell="0" allowOverlap="1" wp14:anchorId="37DF7F73" wp14:editId="14293639">
              <wp:simplePos x="0" y="0"/>
              <wp:positionH relativeFrom="page">
                <wp:posOffset>355600</wp:posOffset>
              </wp:positionH>
              <wp:positionV relativeFrom="page">
                <wp:posOffset>1118870</wp:posOffset>
              </wp:positionV>
              <wp:extent cx="200660" cy="4608195"/>
              <wp:effectExtent l="0" t="0" r="8890" b="190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305A2E8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F7F73" id="_x0000_t202" coordsize="21600,21600" o:spt="202" path="m,l,21600r21600,l21600,xe">
              <v:stroke joinstyle="miter"/>
              <v:path gradientshapeok="t" o:connecttype="rect"/>
            </v:shapetype>
            <v:shape id="_x0000_s1118" type="#_x0000_t202" style="position:absolute;margin-left:28pt;margin-top:88.1pt;width:15.8pt;height:362.8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WAA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" o:allowincell="f" filled="f" stroked="f">
              <v:textbox style="layout-flow:vertical" inset="0,0,0,0">
                <w:txbxContent>
                  <w:p w14:paraId="305A2E8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151</w:t>
                    </w:r>
                    <w:r w:rsidRPr="00746525">
                      <w:rPr>
                        <w:b/>
                      </w:rPr>
                      <w:fldChar w:fldCharType="end"/>
                    </w:r>
                  </w:p>
                </w:txbxContent>
              </v:textbox>
              <w10:wrap anchorx="page" anchory="page"/>
              <w10:anchorlock/>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076E4"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152</w:t>
    </w:r>
    <w:r w:rsidRPr="00E14F7B">
      <w:rPr>
        <w:b/>
        <w:color w:val="720829"/>
      </w:rPr>
      <w:fldChar w:fldCharType="end"/>
    </w:r>
    <w:r>
      <w:rPr>
        <w:b/>
        <w:color w:val="720829"/>
      </w:rPr>
      <w:tab/>
    </w:r>
    <w:r w:rsidRPr="00746525">
      <w:rPr>
        <w:b/>
        <w:color w:val="720829"/>
      </w:rPr>
      <w:t>TRANSITION AND WELLBEING RESEARCH PROGRAMME</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DF35E"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137</w:t>
    </w:r>
    <w:r w:rsidRPr="00746525">
      <w:rPr>
        <w: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820BA" w14:textId="77777777" w:rsidR="00040E45" w:rsidRDefault="00040E45" w:rsidP="00535A40">
    <w:pPr>
      <w:pStyle w:val="Footer"/>
      <w:pBdr>
        <w:top w:val="none" w:sz="0" w:space="0" w:color="auto"/>
      </w:pBdr>
    </w:pPr>
    <w:r>
      <w:rPr>
        <w:lang w:eastAsia="en-AU"/>
      </w:rPr>
      <mc:AlternateContent>
        <mc:Choice Requires="wps">
          <w:drawing>
            <wp:anchor distT="0" distB="0" distL="114300" distR="114300" simplePos="0" relativeHeight="251661312" behindDoc="0" locked="1" layoutInCell="0" allowOverlap="1" wp14:anchorId="49FF0EB3" wp14:editId="58E3CA22">
              <wp:simplePos x="0" y="0"/>
              <wp:positionH relativeFrom="page">
                <wp:posOffset>355600</wp:posOffset>
              </wp:positionH>
              <wp:positionV relativeFrom="page">
                <wp:posOffset>1118870</wp:posOffset>
              </wp:positionV>
              <wp:extent cx="200660" cy="4608195"/>
              <wp:effectExtent l="0" t="0" r="889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08E130D8" w14:textId="77777777" w:rsidR="00040E45" w:rsidRDefault="00040E45" w:rsidP="00535A40">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F0EB3" id="_x0000_t202" coordsize="21600,21600" o:spt="202" path="m,l,21600r21600,l21600,xe">
              <v:stroke joinstyle="miter"/>
              <v:path gradientshapeok="t" o:connecttype="rect"/>
            </v:shapetype>
            <v:shape id="_x0000_s1088" type="#_x0000_t202" style="position:absolute;margin-left:28pt;margin-top:88.1pt;width:15.8pt;height:362.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u5/wEAAOkDAAAOAAAAZHJzL2Uyb0RvYy54bWysU8Fu2zAMvQ/YPwi6L3aCJUu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" o:allowincell="f" filled="f" stroked="f">
              <v:textbox style="layout-flow:vertical" inset="0,0,0,0">
                <w:txbxContent>
                  <w:p w14:paraId="08E130D8" w14:textId="77777777" w:rsidR="00040E45" w:rsidRDefault="00040E45" w:rsidP="00535A40">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27</w:t>
                    </w:r>
                    <w:r w:rsidRPr="00746525">
                      <w:rPr>
                        <w:b/>
                      </w:rPr>
                      <w:fldChar w:fldCharType="end"/>
                    </w:r>
                  </w:p>
                </w:txbxContent>
              </v:textbox>
              <w10:wrap anchorx="page" anchory="page"/>
              <w10:anchorlock/>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162E4"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3536" behindDoc="0" locked="1" layoutInCell="0" allowOverlap="1" wp14:anchorId="0C11DB36" wp14:editId="24136A6E">
              <wp:simplePos x="0" y="0"/>
              <wp:positionH relativeFrom="page">
                <wp:posOffset>371475</wp:posOffset>
              </wp:positionH>
              <wp:positionV relativeFrom="page">
                <wp:posOffset>685800</wp:posOffset>
              </wp:positionV>
              <wp:extent cx="2374265" cy="4608830"/>
              <wp:effectExtent l="0" t="0" r="13335"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329EF11"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0C11DB36" id="_x0000_t202" coordsize="21600,21600" o:spt="202" path="m,l,21600r21600,l21600,xe">
              <v:stroke joinstyle="miter"/>
              <v:path gradientshapeok="t" o:connecttype="rect"/>
            </v:shapetype>
            <v:shape id="_x0000_s1119" type="#_x0000_t202" style="position:absolute;left:0;text-align:left;margin-left:29.25pt;margin-top:54pt;width:186.95pt;height:362.9pt;z-index:25171353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KYEEX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2329EF11"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154</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27C3"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12512" behindDoc="0" locked="1" layoutInCell="0" allowOverlap="1" wp14:anchorId="17E6C033" wp14:editId="0A682DE3">
              <wp:simplePos x="0" y="0"/>
              <wp:positionH relativeFrom="page">
                <wp:posOffset>355600</wp:posOffset>
              </wp:positionH>
              <wp:positionV relativeFrom="page">
                <wp:posOffset>1118870</wp:posOffset>
              </wp:positionV>
              <wp:extent cx="200660" cy="4608195"/>
              <wp:effectExtent l="0" t="0" r="8890" b="19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AEFA2B7"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6C033" id="_x0000_t202" coordsize="21600,21600" o:spt="202" path="m,l,21600r21600,l21600,xe">
              <v:stroke joinstyle="miter"/>
              <v:path gradientshapeok="t" o:connecttype="rect"/>
            </v:shapetype>
            <v:shape id="_x0000_s1120" type="#_x0000_t202" style="position:absolute;margin-left:28pt;margin-top:88.1pt;width:15.8pt;height:362.8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SscQtQICAADrAwAADgAA&#10;AAAAAAAAAAAAAAAuAgAAZHJzL2Uyb0RvYy54bWxQSwECLQAUAAYACAAAACEALGJXrOEAAAAJAQAA&#10;DwAAAAAAAAAAAAAAAABcBAAAZHJzL2Rvd25yZXYueG1sUEsFBgAAAAAEAAQA8wAAAGoFAAAAAA==&#10;" o:allowincell="f" filled="f" stroked="f">
              <v:textbox style="layout-flow:vertical" inset="0,0,0,0">
                <w:txbxContent>
                  <w:p w14:paraId="1AEFA2B7"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153</w:t>
                    </w:r>
                    <w:r w:rsidRPr="00746525">
                      <w:rPr>
                        <w:b/>
                      </w:rPr>
                      <w:fldChar w:fldCharType="end"/>
                    </w:r>
                  </w:p>
                </w:txbxContent>
              </v:textbox>
              <w10:wrap anchorx="page" anchory="page"/>
              <w10:anchorlock/>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8E243"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140</w:t>
    </w:r>
    <w:r w:rsidRPr="00E14F7B">
      <w:rPr>
        <w:b/>
        <w:color w:val="720829"/>
      </w:rPr>
      <w:fldChar w:fldCharType="end"/>
    </w:r>
    <w:r>
      <w:rPr>
        <w:b/>
        <w:color w:val="720829"/>
      </w:rPr>
      <w:tab/>
    </w:r>
    <w:r w:rsidRPr="00746525">
      <w:rPr>
        <w:b/>
        <w:color w:val="720829"/>
      </w:rPr>
      <w:t>TRANSITION AND WELLBEING RESEARCH PROGRAMME</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77DE1"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155</w:t>
    </w:r>
    <w:r w:rsidRPr="00746525">
      <w:rPr>
        <w:b/>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6FDFC"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6608" behindDoc="0" locked="1" layoutInCell="0" allowOverlap="1" wp14:anchorId="59B50A45" wp14:editId="1157EABC">
              <wp:simplePos x="0" y="0"/>
              <wp:positionH relativeFrom="page">
                <wp:posOffset>371475</wp:posOffset>
              </wp:positionH>
              <wp:positionV relativeFrom="page">
                <wp:posOffset>685800</wp:posOffset>
              </wp:positionV>
              <wp:extent cx="2374265" cy="4608830"/>
              <wp:effectExtent l="0" t="0" r="13335"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CE8349F"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9B50A45" id="_x0000_t202" coordsize="21600,21600" o:spt="202" path="m,l,21600r21600,l21600,xe">
              <v:stroke joinstyle="miter"/>
              <v:path gradientshapeok="t" o:connecttype="rect"/>
            </v:shapetype>
            <v:shape id="_x0000_s1121" type="#_x0000_t202" style="position:absolute;left:0;text-align:left;margin-left:29.25pt;margin-top:54pt;width:186.95pt;height:362.9pt;z-index:25171660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1okBg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JlNaJAYCAADs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5CE8349F"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B5CD2"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15584" behindDoc="0" locked="1" layoutInCell="0" allowOverlap="1" wp14:anchorId="74D4F6D3" wp14:editId="290DF643">
              <wp:simplePos x="0" y="0"/>
              <wp:positionH relativeFrom="page">
                <wp:posOffset>355600</wp:posOffset>
              </wp:positionH>
              <wp:positionV relativeFrom="page">
                <wp:posOffset>1118870</wp:posOffset>
              </wp:positionV>
              <wp:extent cx="200660" cy="4608195"/>
              <wp:effectExtent l="0" t="0" r="8890" b="190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188B7395"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D4F6D3" id="_x0000_t202" coordsize="21600,21600" o:spt="202" path="m,l,21600r21600,l21600,xe">
              <v:stroke joinstyle="miter"/>
              <v:path gradientshapeok="t" o:connecttype="rect"/>
            </v:shapetype>
            <v:shape id="_x0000_s1122" type="#_x0000_t202" style="position:absolute;margin-left:28pt;margin-top:88.1pt;width:15.8pt;height:362.8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inr3MAQIAAOsDAAAOAAAA&#10;AAAAAAAAAAAAAC4CAABkcnMvZTJvRG9jLnhtbFBLAQItABQABgAIAAAAIQAsYles4QAAAAkBAAAP&#10;AAAAAAAAAAAAAAAAAFsEAABkcnMvZG93bnJldi54bWxQSwUGAAAAAAQABADzAAAAaQUAAAAA&#10;" o:allowincell="f" filled="f" stroked="f">
              <v:textbox style="layout-flow:vertical" inset="0,0,0,0">
                <w:txbxContent>
                  <w:p w14:paraId="188B7395"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157</w:t>
                    </w:r>
                    <w:r w:rsidRPr="00746525">
                      <w:rPr>
                        <w:b/>
                      </w:rPr>
                      <w:fldChar w:fldCharType="end"/>
                    </w:r>
                  </w:p>
                </w:txbxContent>
              </v:textbox>
              <w10:wrap anchorx="page" anchory="page"/>
              <w10:anchorlock/>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54619"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158</w:t>
    </w:r>
    <w:r w:rsidRPr="00E14F7B">
      <w:rPr>
        <w:b/>
        <w:color w:val="720829"/>
      </w:rPr>
      <w:fldChar w:fldCharType="end"/>
    </w:r>
    <w:r>
      <w:rPr>
        <w:b/>
        <w:color w:val="720829"/>
      </w:rPr>
      <w:tab/>
    </w:r>
    <w:r w:rsidRPr="00746525">
      <w:rPr>
        <w:b/>
        <w:color w:val="720829"/>
      </w:rPr>
      <w:t>TRANSITION AND WELLBEING RESEARCH PROGRAMME</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BE202"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159</w:t>
    </w:r>
    <w:r w:rsidRPr="00746525">
      <w:rPr>
        <w:b/>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814D4"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19680" behindDoc="0" locked="1" layoutInCell="0" allowOverlap="1" wp14:anchorId="17AD3AB0" wp14:editId="6BB13D50">
              <wp:simplePos x="0" y="0"/>
              <wp:positionH relativeFrom="page">
                <wp:posOffset>371475</wp:posOffset>
              </wp:positionH>
              <wp:positionV relativeFrom="page">
                <wp:posOffset>685800</wp:posOffset>
              </wp:positionV>
              <wp:extent cx="2374265" cy="4608830"/>
              <wp:effectExtent l="0" t="0" r="13335"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17C944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160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7AD3AB0" id="_x0000_t202" coordsize="21600,21600" o:spt="202" path="m,l,21600r21600,l21600,xe">
              <v:stroke joinstyle="miter"/>
              <v:path gradientshapeok="t" o:connecttype="rect"/>
            </v:shapetype>
            <v:shape id="_x0000_s1123" type="#_x0000_t202" style="position:absolute;left:0;text-align:left;margin-left:29.25pt;margin-top:54pt;width:186.95pt;height:362.9pt;z-index:25171968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30qBwIAAOwDAAAOAAAAZHJzL2Uyb0RvYy54bWysU8GO2yAQvVfqPyDujR1nk02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H0vfSo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317C944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160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6CDF8"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18656" behindDoc="0" locked="1" layoutInCell="0" allowOverlap="1" wp14:anchorId="098A1BEE" wp14:editId="125E224D">
              <wp:simplePos x="0" y="0"/>
              <wp:positionH relativeFrom="page">
                <wp:posOffset>355600</wp:posOffset>
              </wp:positionH>
              <wp:positionV relativeFrom="page">
                <wp:posOffset>1118870</wp:posOffset>
              </wp:positionV>
              <wp:extent cx="200660" cy="4608195"/>
              <wp:effectExtent l="0" t="0" r="8890" b="1905"/>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745921F"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161</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8A1BEE" id="_x0000_t202" coordsize="21600,21600" o:spt="202" path="m,l,21600r21600,l21600,xe">
              <v:stroke joinstyle="miter"/>
              <v:path gradientshapeok="t" o:connecttype="rect"/>
            </v:shapetype>
            <v:shape id="_x0000_s1124" type="#_x0000_t202" style="position:absolute;margin-left:28pt;margin-top:88.1pt;width:15.8pt;height:362.8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rsgNigICAADrAwAADgAA&#10;AAAAAAAAAAAAAAAuAgAAZHJzL2Uyb0RvYy54bWxQSwECLQAUAAYACAAAACEALGJXrOEAAAAJAQAA&#10;DwAAAAAAAAAAAAAAAABcBAAAZHJzL2Rvd25yZXYueG1sUEsFBgAAAAAEAAQA8wAAAGoFAAAAAA==&#10;" o:allowincell="f" filled="f" stroked="f">
              <v:textbox style="layout-flow:vertical" inset="0,0,0,0">
                <w:txbxContent>
                  <w:p w14:paraId="2745921F"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161</w:t>
                    </w:r>
                    <w:r w:rsidRPr="00746525">
                      <w:rPr>
                        <w:b/>
                      </w:rPr>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213A1" w14:textId="77777777" w:rsidR="00040E45" w:rsidRPr="00746525" w:rsidRDefault="00040E45" w:rsidP="006016C9">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60</w:t>
    </w:r>
    <w:r w:rsidRPr="00E14F7B">
      <w:rPr>
        <w:b/>
        <w:color w:val="720829"/>
      </w:rPr>
      <w:fldChar w:fldCharType="end"/>
    </w:r>
    <w:r>
      <w:rPr>
        <w:b/>
        <w:color w:val="720829"/>
      </w:rPr>
      <w:tab/>
    </w:r>
    <w:r w:rsidRPr="00746525">
      <w:rPr>
        <w:b/>
        <w:color w:val="720829"/>
      </w:rPr>
      <w:t>TRANSITION AND WELLBEING RESEARCH PROGRAMME</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B65F7"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162</w:t>
    </w:r>
    <w:r w:rsidRPr="00E14F7B">
      <w:rPr>
        <w:b/>
        <w:color w:val="720829"/>
      </w:rPr>
      <w:fldChar w:fldCharType="end"/>
    </w:r>
    <w:r>
      <w:rPr>
        <w:b/>
        <w:color w:val="720829"/>
      </w:rPr>
      <w:tab/>
    </w:r>
    <w:r w:rsidRPr="00746525">
      <w:rPr>
        <w:b/>
        <w:color w:val="720829"/>
      </w:rPr>
      <w:t>TRANSITION AND WELLBEING RESEARCH PROGRAMME</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C11A8"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Pr>
        <w:b/>
      </w:rPr>
      <w:t>147</w:t>
    </w:r>
    <w:r w:rsidRPr="00746525">
      <w:rPr>
        <w:b/>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66218"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2752" behindDoc="0" locked="1" layoutInCell="0" allowOverlap="1" wp14:anchorId="40569739" wp14:editId="54F448D6">
              <wp:simplePos x="0" y="0"/>
              <wp:positionH relativeFrom="page">
                <wp:posOffset>371475</wp:posOffset>
              </wp:positionH>
              <wp:positionV relativeFrom="page">
                <wp:posOffset>685800</wp:posOffset>
              </wp:positionV>
              <wp:extent cx="2374265" cy="4608830"/>
              <wp:effectExtent l="0" t="0" r="13335" b="127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291FC29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166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40569739" id="_x0000_t202" coordsize="21600,21600" o:spt="202" path="m,l,21600r21600,l21600,xe">
              <v:stroke joinstyle="miter"/>
              <v:path gradientshapeok="t" o:connecttype="rect"/>
            </v:shapetype>
            <v:shape id="_x0000_s1125" type="#_x0000_t202" style="position:absolute;left:0;text-align:left;margin-left:29.25pt;margin-top:54pt;width:186.95pt;height:362.9pt;z-index:251722752;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PxaiQAHAgAA7A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291FC29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166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AC2EF"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21728" behindDoc="0" locked="1" layoutInCell="0" allowOverlap="1" wp14:anchorId="3A9B1F7F" wp14:editId="6C14183C">
              <wp:simplePos x="0" y="0"/>
              <wp:positionH relativeFrom="page">
                <wp:posOffset>355600</wp:posOffset>
              </wp:positionH>
              <wp:positionV relativeFrom="page">
                <wp:posOffset>1118870</wp:posOffset>
              </wp:positionV>
              <wp:extent cx="200660" cy="4608195"/>
              <wp:effectExtent l="0" t="0" r="8890" b="190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BE18EF9"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165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B1F7F" id="_x0000_t202" coordsize="21600,21600" o:spt="202" path="m,l,21600r21600,l21600,xe">
              <v:stroke joinstyle="miter"/>
              <v:path gradientshapeok="t" o:connecttype="rect"/>
            </v:shapetype>
            <v:shape id="_x0000_s1126" type="#_x0000_t202" style="position:absolute;margin-left:28pt;margin-top:88.1pt;width:15.8pt;height:362.8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DUrGtCAQIAAOsDAAAOAAAA&#10;AAAAAAAAAAAAAC4CAABkcnMvZTJvRG9jLnhtbFBLAQItABQABgAIAAAAIQAsYles4QAAAAkBAAAP&#10;AAAAAAAAAAAAAAAAAFsEAABkcnMvZG93bnJldi54bWxQSwUGAAAAAAQABADzAAAAaQUAAAAA&#10;" o:allowincell="f" filled="f" stroked="f">
              <v:textbox style="layout-flow:vertical" inset="0,0,0,0">
                <w:txbxContent>
                  <w:p w14:paraId="2BE18EF9"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165</w:t>
                    </w:r>
                    <w:r w:rsidRPr="00746525">
                      <w:rPr>
                        <w:b/>
                      </w:rPr>
                      <w:fldChar w:fldCharType="end"/>
                    </w:r>
                  </w:p>
                </w:txbxContent>
              </v:textbox>
              <w10:wrap anchorx="page" anchory="page"/>
              <w10:anchorlock/>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0F4D3"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168</w:t>
    </w:r>
    <w:r w:rsidRPr="00E14F7B">
      <w:rPr>
        <w:b/>
        <w:color w:val="720829"/>
      </w:rPr>
      <w:fldChar w:fldCharType="end"/>
    </w:r>
    <w:r>
      <w:rPr>
        <w:b/>
        <w:color w:val="720829"/>
      </w:rPr>
      <w:tab/>
    </w:r>
    <w:r w:rsidRPr="00746525">
      <w:rPr>
        <w:b/>
        <w:color w:val="720829"/>
      </w:rPr>
      <w:t>TRANSITION AND WELLBEING RESEARCH PROGRAMME</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F8FB9"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167</w:t>
    </w:r>
    <w:r w:rsidRPr="00746525">
      <w:rPr>
        <w:b/>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AD509"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5824" behindDoc="0" locked="1" layoutInCell="0" allowOverlap="1" wp14:anchorId="59F2B27A" wp14:editId="4EB5D5C0">
              <wp:simplePos x="0" y="0"/>
              <wp:positionH relativeFrom="page">
                <wp:posOffset>371475</wp:posOffset>
              </wp:positionH>
              <wp:positionV relativeFrom="page">
                <wp:posOffset>685800</wp:posOffset>
              </wp:positionV>
              <wp:extent cx="2374265" cy="4608830"/>
              <wp:effectExtent l="0" t="0" r="13335"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5603E8C0"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170</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59F2B27A" id="_x0000_t202" coordsize="21600,21600" o:spt="202" path="m,l,21600r21600,l21600,xe">
              <v:stroke joinstyle="miter"/>
              <v:path gradientshapeok="t" o:connecttype="rect"/>
            </v:shapetype>
            <v:shape id="_x0000_s1127" type="#_x0000_t202" style="position:absolute;left:0;text-align:left;margin-left:29.25pt;margin-top:54pt;width:186.95pt;height:362.9pt;z-index:25172582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BV4zsE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5603E8C0"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170</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338EB"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24800" behindDoc="0" locked="1" layoutInCell="0" allowOverlap="1" wp14:anchorId="30D60204" wp14:editId="1D181013">
              <wp:simplePos x="0" y="0"/>
              <wp:positionH relativeFrom="page">
                <wp:posOffset>355600</wp:posOffset>
              </wp:positionH>
              <wp:positionV relativeFrom="page">
                <wp:posOffset>1118870</wp:posOffset>
              </wp:positionV>
              <wp:extent cx="200660" cy="4608195"/>
              <wp:effectExtent l="0" t="0" r="8890" b="190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E79AC6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169</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60204" id="_x0000_t202" coordsize="21600,21600" o:spt="202" path="m,l,21600r21600,l21600,xe">
              <v:stroke joinstyle="miter"/>
              <v:path gradientshapeok="t" o:connecttype="rect"/>
            </v:shapetype>
            <v:shape id="_x0000_s1128" type="#_x0000_t202" style="position:absolute;margin-left:28pt;margin-top:88.1pt;width:15.8pt;height:362.8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rbAQIAAOs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CmtlrbAQIAAOsDAAAOAAAA&#10;AAAAAAAAAAAAAC4CAABkcnMvZTJvRG9jLnhtbFBLAQItABQABgAIAAAAIQAsYles4QAAAAkBAAAP&#10;AAAAAAAAAAAAAAAAAFsEAABkcnMvZG93bnJldi54bWxQSwUGAAAAAAQABADzAAAAaQUAAAAA&#10;" o:allowincell="f" filled="f" stroked="f">
              <v:textbox style="layout-flow:vertical" inset="0,0,0,0">
                <w:txbxContent>
                  <w:p w14:paraId="2E79AC6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169</w:t>
                    </w:r>
                    <w:r w:rsidRPr="00746525">
                      <w:rPr>
                        <w:b/>
                      </w:rPr>
                      <w:fldChar w:fldCharType="end"/>
                    </w:r>
                  </w:p>
                </w:txbxContent>
              </v:textbox>
              <w10:wrap anchorx="page" anchory="page"/>
              <w10:anchorlock/>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9518A"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156</w:t>
    </w:r>
    <w:r w:rsidRPr="00E14F7B">
      <w:rPr>
        <w:b/>
        <w:color w:val="720829"/>
      </w:rPr>
      <w:fldChar w:fldCharType="end"/>
    </w:r>
    <w:r>
      <w:rPr>
        <w:b/>
        <w:color w:val="720829"/>
      </w:rPr>
      <w:tab/>
    </w:r>
    <w:r w:rsidRPr="00746525">
      <w:rPr>
        <w:b/>
        <w:color w:val="720829"/>
      </w:rPr>
      <w:t>TRANSITION AND WELLBEING RESEARCH PROGRAMME</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79037"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171</w:t>
    </w:r>
    <w:r w:rsidRPr="00746525">
      <w:rPr>
        <w: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36478" w14:textId="77777777" w:rsidR="00040E45" w:rsidRDefault="00040E45" w:rsidP="006016C9">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61</w:t>
    </w:r>
    <w:r w:rsidRPr="00746525">
      <w:rPr>
        <w:b/>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C1CB9"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28896" behindDoc="0" locked="1" layoutInCell="0" allowOverlap="1" wp14:anchorId="3F2D5A5B" wp14:editId="49F02A67">
              <wp:simplePos x="0" y="0"/>
              <wp:positionH relativeFrom="page">
                <wp:posOffset>371475</wp:posOffset>
              </wp:positionH>
              <wp:positionV relativeFrom="page">
                <wp:posOffset>685800</wp:posOffset>
              </wp:positionV>
              <wp:extent cx="2374265" cy="4608830"/>
              <wp:effectExtent l="0" t="0" r="13335" b="12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30F58658"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176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F2D5A5B" id="_x0000_t202" coordsize="21600,21600" o:spt="202" path="m,l,21600r21600,l21600,xe">
              <v:stroke joinstyle="miter"/>
              <v:path gradientshapeok="t" o:connecttype="rect"/>
            </v:shapetype>
            <v:shape id="_x0000_s1129" type="#_x0000_t202" style="position:absolute;left:0;text-align:left;margin-left:29.25pt;margin-top:54pt;width:186.95pt;height:362.9pt;z-index:251728896;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" o:allowincell="f" filled="f" stroked="f">
              <v:textbox style="layout-flow:vertical;mso-fit-shape-to-text:t" inset="0,0,0,0">
                <w:txbxContent>
                  <w:p w14:paraId="30F58658"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176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8295"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27872" behindDoc="0" locked="1" layoutInCell="0" allowOverlap="1" wp14:anchorId="1D9786FD" wp14:editId="59225C05">
              <wp:simplePos x="0" y="0"/>
              <wp:positionH relativeFrom="page">
                <wp:posOffset>355600</wp:posOffset>
              </wp:positionH>
              <wp:positionV relativeFrom="page">
                <wp:posOffset>1118870</wp:posOffset>
              </wp:positionV>
              <wp:extent cx="200660" cy="4608195"/>
              <wp:effectExtent l="0" t="0" r="8890" b="1905"/>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7CFF30A6"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177</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9786FD" id="_x0000_t202" coordsize="21600,21600" o:spt="202" path="m,l,21600r21600,l21600,xe">
              <v:stroke joinstyle="miter"/>
              <v:path gradientshapeok="t" o:connecttype="rect"/>
            </v:shapetype>
            <v:shape id="_x0000_s1130" type="#_x0000_t202" style="position:absolute;margin-left:28pt;margin-top:88.1pt;width:15.8pt;height:362.8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" o:allowincell="f" filled="f" stroked="f">
              <v:textbox style="layout-flow:vertical" inset="0,0,0,0">
                <w:txbxContent>
                  <w:p w14:paraId="7CFF30A6"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177</w:t>
                    </w:r>
                    <w:r w:rsidRPr="00746525">
                      <w:rPr>
                        <w:b/>
                      </w:rPr>
                      <w:fldChar w:fldCharType="end"/>
                    </w:r>
                  </w:p>
                </w:txbxContent>
              </v:textbox>
              <w10:wrap anchorx="page" anchory="page"/>
              <w10:anchorlock/>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09479"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194</w:t>
    </w:r>
    <w:r w:rsidRPr="00E14F7B">
      <w:rPr>
        <w:b/>
        <w:color w:val="720829"/>
      </w:rPr>
      <w:fldChar w:fldCharType="end"/>
    </w:r>
    <w:r>
      <w:rPr>
        <w:b/>
        <w:color w:val="720829"/>
      </w:rPr>
      <w:tab/>
    </w:r>
    <w:r w:rsidRPr="00746525">
      <w:rPr>
        <w:b/>
        <w:color w:val="720829"/>
      </w:rPr>
      <w:t>TRANSITION AND WELLBEING RESEARCH PROGRAMME</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AEA20"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193</w:t>
    </w:r>
    <w:r w:rsidRPr="00746525">
      <w:rPr>
        <w:b/>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749AE"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1968" behindDoc="0" locked="1" layoutInCell="0" allowOverlap="1" wp14:anchorId="163109EE" wp14:editId="7256A854">
              <wp:simplePos x="0" y="0"/>
              <wp:positionH relativeFrom="page">
                <wp:posOffset>371475</wp:posOffset>
              </wp:positionH>
              <wp:positionV relativeFrom="page">
                <wp:posOffset>685800</wp:posOffset>
              </wp:positionV>
              <wp:extent cx="2374265" cy="4608830"/>
              <wp:effectExtent l="0" t="0" r="13335" b="127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6F5FFA75"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196</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163109EE" id="_x0000_t202" coordsize="21600,21600" o:spt="202" path="m,l,21600r21600,l21600,xe">
              <v:stroke joinstyle="miter"/>
              <v:path gradientshapeok="t" o:connecttype="rect"/>
            </v:shapetype>
            <v:shape id="_x0000_s1131" type="#_x0000_t202" style="position:absolute;left:0;text-align:left;margin-left:29.25pt;margin-top:54pt;width:186.95pt;height:362.9pt;z-index:251731968;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" o:allowincell="f" filled="f" stroked="f">
              <v:textbox style="layout-flow:vertical;mso-fit-shape-to-text:t" inset="0,0,0,0">
                <w:txbxContent>
                  <w:p w14:paraId="6F5FFA75"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196</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6C7DB"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30944" behindDoc="0" locked="1" layoutInCell="0" allowOverlap="1" wp14:anchorId="0184998D" wp14:editId="57037396">
              <wp:simplePos x="0" y="0"/>
              <wp:positionH relativeFrom="page">
                <wp:posOffset>355600</wp:posOffset>
              </wp:positionH>
              <wp:positionV relativeFrom="page">
                <wp:posOffset>1118870</wp:posOffset>
              </wp:positionV>
              <wp:extent cx="200660" cy="4608195"/>
              <wp:effectExtent l="0" t="0" r="8890" b="1905"/>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4F6B59F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195</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84998D" id="_x0000_t202" coordsize="21600,21600" o:spt="202" path="m,l,21600r21600,l21600,xe">
              <v:stroke joinstyle="miter"/>
              <v:path gradientshapeok="t" o:connecttype="rect"/>
            </v:shapetype>
            <v:shape id="_x0000_s1132" type="#_x0000_t202" style="position:absolute;margin-left:28pt;margin-top:88.1pt;width:15.8pt;height:362.8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" o:allowincell="f" filled="f" stroked="f">
              <v:textbox style="layout-flow:vertical" inset="0,0,0,0">
                <w:txbxContent>
                  <w:p w14:paraId="4F6B59F3"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195</w:t>
                    </w:r>
                    <w:r w:rsidRPr="00746525">
                      <w:rPr>
                        <w:b/>
                      </w:rPr>
                      <w:fldChar w:fldCharType="end"/>
                    </w:r>
                  </w:p>
                </w:txbxContent>
              </v:textbox>
              <w10:wrap anchorx="page" anchory="page"/>
              <w10:anchorlock/>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FFA47" w14:textId="77777777" w:rsidR="00040E45" w:rsidRPr="00746525" w:rsidRDefault="00040E45"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Pr>
        <w:b/>
        <w:color w:val="720829"/>
      </w:rPr>
      <w:t>188</w:t>
    </w:r>
    <w:r w:rsidRPr="00E14F7B">
      <w:rPr>
        <w:b/>
        <w:color w:val="720829"/>
      </w:rPr>
      <w:fldChar w:fldCharType="end"/>
    </w:r>
    <w:r>
      <w:rPr>
        <w:b/>
        <w:color w:val="720829"/>
      </w:rPr>
      <w:tab/>
    </w:r>
    <w:r w:rsidRPr="00746525">
      <w:rPr>
        <w:b/>
        <w:color w:val="720829"/>
      </w:rPr>
      <w:t>TRANSITION AND WELLBEING RESEARCH PROGRAMME</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0F93D" w14:textId="77777777" w:rsidR="00040E45" w:rsidRDefault="00040E45" w:rsidP="00746525">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197</w:t>
    </w:r>
    <w:r w:rsidRPr="00746525">
      <w:rPr>
        <w:b/>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B4072" w14:textId="77777777" w:rsidR="00040E45" w:rsidRPr="00746525" w:rsidRDefault="00040E45" w:rsidP="00980AE4">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735040" behindDoc="0" locked="1" layoutInCell="0" allowOverlap="1" wp14:anchorId="3A7638A1" wp14:editId="64675672">
              <wp:simplePos x="0" y="0"/>
              <wp:positionH relativeFrom="page">
                <wp:posOffset>371475</wp:posOffset>
              </wp:positionH>
              <wp:positionV relativeFrom="page">
                <wp:posOffset>685800</wp:posOffset>
              </wp:positionV>
              <wp:extent cx="2374265" cy="4608830"/>
              <wp:effectExtent l="0" t="0" r="13335" b="127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08830"/>
                      </a:xfrm>
                      <a:prstGeom prst="rect">
                        <a:avLst/>
                      </a:prstGeom>
                      <a:noFill/>
                      <a:ln w="9525">
                        <a:noFill/>
                        <a:miter lim="800000"/>
                        <a:headEnd/>
                        <a:tailEnd/>
                      </a:ln>
                    </wps:spPr>
                    <wps:txbx>
                      <w:txbxContent>
                        <w:p w14:paraId="4EAE09D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202</w:t>
                          </w:r>
                          <w:r w:rsidRPr="00E14F7B">
                            <w:rPr>
                              <w:b/>
                              <w:color w:val="720829"/>
                            </w:rPr>
                            <w:fldChar w:fldCharType="end"/>
                          </w:r>
                          <w:r>
                            <w:rPr>
                              <w:b/>
                              <w:color w:val="720829"/>
                            </w:rPr>
                            <w:tab/>
                          </w:r>
                          <w:r w:rsidRPr="00746525">
                            <w:rPr>
                              <w:b/>
                              <w:color w:val="720829"/>
                            </w:rPr>
                            <w:t>TRANSITION AND WELLBEING RESEARCH PROGRAMME</w:t>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A7638A1" id="_x0000_t202" coordsize="21600,21600" o:spt="202" path="m,l,21600r21600,l21600,xe">
              <v:stroke joinstyle="miter"/>
              <v:path gradientshapeok="t" o:connecttype="rect"/>
            </v:shapetype>
            <v:shape id="_x0000_s1133" type="#_x0000_t202" style="position:absolute;left:0;text-align:left;margin-left:29.25pt;margin-top:54pt;width:186.95pt;height:362.9pt;z-index:251735040;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" o:allowincell="f" filled="f" stroked="f">
              <v:textbox style="layout-flow:vertical;mso-fit-shape-to-text:t" inset="0,0,0,0">
                <w:txbxContent>
                  <w:p w14:paraId="4EAE09D6" w14:textId="77777777" w:rsidR="00040E45" w:rsidRPr="00746525" w:rsidRDefault="00040E45" w:rsidP="00980AE4">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BD41F3">
                      <w:rPr>
                        <w:b/>
                        <w:color w:val="720829"/>
                      </w:rPr>
                      <w:t>202</w:t>
                    </w:r>
                    <w:r w:rsidRPr="00E14F7B">
                      <w:rPr>
                        <w:b/>
                        <w:color w:val="720829"/>
                      </w:rPr>
                      <w:fldChar w:fldCharType="end"/>
                    </w:r>
                    <w:r>
                      <w:rPr>
                        <w:b/>
                        <w:color w:val="720829"/>
                      </w:rPr>
                      <w:tab/>
                    </w:r>
                    <w:r w:rsidRPr="00746525">
                      <w:rPr>
                        <w:b/>
                        <w:color w:val="720829"/>
                      </w:rPr>
                      <w:t>TRANSITION AND WELLBEING RESEARCH PROGRAMME</w:t>
                    </w:r>
                  </w:p>
                </w:txbxContent>
              </v:textbox>
              <w10:wrap anchorx="page" anchory="page"/>
              <w10:anchorlock/>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39A10" w14:textId="77777777" w:rsidR="00040E45" w:rsidRDefault="00040E45" w:rsidP="00980AE4">
    <w:pPr>
      <w:pStyle w:val="Footer"/>
      <w:pBdr>
        <w:top w:val="none" w:sz="0" w:space="0" w:color="auto"/>
      </w:pBdr>
    </w:pPr>
    <w:r>
      <w:rPr>
        <w:lang w:eastAsia="en-AU"/>
      </w:rPr>
      <mc:AlternateContent>
        <mc:Choice Requires="wps">
          <w:drawing>
            <wp:anchor distT="0" distB="0" distL="114300" distR="114300" simplePos="0" relativeHeight="251734016" behindDoc="0" locked="1" layoutInCell="0" allowOverlap="1" wp14:anchorId="6B6C4B12" wp14:editId="3488F4D0">
              <wp:simplePos x="0" y="0"/>
              <wp:positionH relativeFrom="page">
                <wp:posOffset>355600</wp:posOffset>
              </wp:positionH>
              <wp:positionV relativeFrom="page">
                <wp:posOffset>1118870</wp:posOffset>
              </wp:positionV>
              <wp:extent cx="200660" cy="4608195"/>
              <wp:effectExtent l="0" t="0" r="8890" b="1905"/>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4608195"/>
                      </a:xfrm>
                      <a:prstGeom prst="rect">
                        <a:avLst/>
                      </a:prstGeom>
                      <a:noFill/>
                      <a:ln w="9525">
                        <a:noFill/>
                        <a:miter lim="800000"/>
                        <a:headEnd/>
                        <a:tailEnd/>
                      </a:ln>
                    </wps:spPr>
                    <wps:txbx>
                      <w:txbxContent>
                        <w:p w14:paraId="22B1527F"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203</w:t>
                          </w:r>
                          <w:r w:rsidRPr="00746525">
                            <w:rPr>
                              <w:b/>
                            </w:rPr>
                            <w:fldChar w:fldCharType="end"/>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6C4B12" id="_x0000_t202" coordsize="21600,21600" o:spt="202" path="m,l,21600r21600,l21600,xe">
              <v:stroke joinstyle="miter"/>
              <v:path gradientshapeok="t" o:connecttype="rect"/>
            </v:shapetype>
            <v:shape id="_x0000_s1134" type="#_x0000_t202" style="position:absolute;margin-left:28pt;margin-top:88.1pt;width:15.8pt;height:362.8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" o:allowincell="f" filled="f" stroked="f">
              <v:textbox style="layout-flow:vertical" inset="0,0,0,0">
                <w:txbxContent>
                  <w:p w14:paraId="22B1527F" w14:textId="77777777" w:rsidR="00040E45" w:rsidRDefault="00040E45" w:rsidP="00980AE4">
                    <w:pPr>
                      <w:pStyle w:val="Footer"/>
                    </w:pPr>
                    <w:r w:rsidRPr="00746525">
                      <w:t xml:space="preserve">MENTAL HEALTH AND WELLBEING TRANSITION STUDY: </w:t>
                    </w:r>
                    <w:r w:rsidRPr="00D0029D">
                      <w:t>Technology Use and Wellbeing</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BD41F3">
                      <w:rPr>
                        <w:b/>
                      </w:rPr>
                      <w:t>203</w:t>
                    </w:r>
                    <w:r w:rsidRPr="00746525">
                      <w:rPr>
                        <w:b/>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0D5CD" w14:textId="77777777" w:rsidR="00365393" w:rsidRDefault="00365393" w:rsidP="00746525">
      <w:pPr>
        <w:spacing w:after="0" w:line="240" w:lineRule="auto"/>
      </w:pPr>
      <w:r>
        <w:separator/>
      </w:r>
    </w:p>
  </w:footnote>
  <w:footnote w:type="continuationSeparator" w:id="0">
    <w:p w14:paraId="27C2BAA2" w14:textId="77777777" w:rsidR="00365393" w:rsidRDefault="00365393" w:rsidP="00746525">
      <w:pPr>
        <w:spacing w:after="0" w:line="240" w:lineRule="auto"/>
      </w:pPr>
      <w:r>
        <w:continuationSeparator/>
      </w:r>
    </w:p>
  </w:footnote>
  <w:footnote w:id="1">
    <w:p w14:paraId="6DF02749" w14:textId="7E2E15D5" w:rsidR="00040E45" w:rsidRPr="00EA4B19" w:rsidRDefault="00040E45" w:rsidP="00EA4B19">
      <w:pPr>
        <w:pStyle w:val="FootnoteText"/>
      </w:pPr>
      <w:r>
        <w:rPr>
          <w:rStyle w:val="FootnoteReference"/>
        </w:rPr>
        <w:footnoteRef/>
      </w:r>
      <w:r>
        <w:t xml:space="preserve"> </w:t>
      </w:r>
      <w:r w:rsidRPr="000142BD">
        <w:t xml:space="preserve">An examination of the distribution of age, sex and </w:t>
      </w:r>
      <w:r>
        <w:t>s</w:t>
      </w:r>
      <w:r w:rsidRPr="000142BD">
        <w:t>ervice characteristics for each rank category in the population, and among responders</w:t>
      </w:r>
      <w:r>
        <w:t>,</w:t>
      </w:r>
      <w:r w:rsidRPr="000142BD">
        <w:t xml:space="preserve"> showed that for Officers the two oldest age categories were over</w:t>
      </w:r>
      <w:r>
        <w:t>-</w:t>
      </w:r>
      <w:r w:rsidRPr="000142BD">
        <w:t>represented and the two youngest age groups were under</w:t>
      </w:r>
      <w:r>
        <w:t>-</w:t>
      </w:r>
      <w:r w:rsidRPr="000142BD">
        <w:t>represented.</w:t>
      </w:r>
      <w:r>
        <w:t xml:space="preserve"> </w:t>
      </w:r>
      <w:r w:rsidRPr="000142BD">
        <w:t xml:space="preserve">There was a similar pattern </w:t>
      </w:r>
      <w:r>
        <w:t xml:space="preserve">for Non-Commissioned Officers. </w:t>
      </w:r>
      <w:r w:rsidRPr="000142BD">
        <w:t>For Other Ranks, there was a slightly different pattern:</w:t>
      </w:r>
      <w:r>
        <w:t xml:space="preserve"> </w:t>
      </w:r>
      <w:r w:rsidRPr="000142BD">
        <w:t>while the youngest age category was under</w:t>
      </w:r>
      <w:r>
        <w:t>-</w:t>
      </w:r>
      <w:r w:rsidRPr="000142BD">
        <w:t>represented, all other age categories were somewhat over</w:t>
      </w:r>
      <w:r>
        <w:t>-</w:t>
      </w:r>
      <w:r w:rsidRPr="000142BD">
        <w:t>represented.</w:t>
      </w:r>
      <w:r>
        <w:t xml:space="preserve"> </w:t>
      </w:r>
      <w:r w:rsidRPr="000142BD">
        <w:t>The distribution of sex among the rank categories was similar for responders and the population, with a slightly inflated proportion of female responders.</w:t>
      </w:r>
      <w:r>
        <w:t xml:space="preserve"> </w:t>
      </w:r>
      <w:r w:rsidRPr="000142BD">
        <w:t>Similarly, the distribution of Service across the rank categories for responders was largely reflective of the population distribution.</w:t>
      </w:r>
      <w:r>
        <w:t xml:space="preserve"> </w:t>
      </w:r>
      <w:r w:rsidRPr="000142BD">
        <w:t>Therefore, while Other Ranks were under</w:t>
      </w:r>
      <w:r>
        <w:t>-</w:t>
      </w:r>
      <w:r w:rsidRPr="000142BD">
        <w:t>represented, the characteristics of those who responded were broadly similar to the total Other Rank population.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97B21" w14:textId="77777777" w:rsidR="00BD41F3" w:rsidRDefault="00BD41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A0DEF" w14:textId="77777777" w:rsidR="00BD41F3" w:rsidRDefault="00BD41F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FF1638" w14:textId="77777777" w:rsidR="00BD41F3" w:rsidRDefault="00BD41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40C0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D6CCA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33621B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2A6B2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5A6C56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C6635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12FA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521BB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06C69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5AD8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8201FB"/>
    <w:multiLevelType w:val="hybridMultilevel"/>
    <w:tmpl w:val="39200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D6E7E"/>
    <w:multiLevelType w:val="hybridMultilevel"/>
    <w:tmpl w:val="FD38FF58"/>
    <w:lvl w:ilvl="0" w:tplc="611C0126">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5275EE"/>
    <w:multiLevelType w:val="hybridMultilevel"/>
    <w:tmpl w:val="E5C2D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A61C4"/>
    <w:multiLevelType w:val="multilevel"/>
    <w:tmpl w:val="6CF684AC"/>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4394EED"/>
    <w:multiLevelType w:val="multilevel"/>
    <w:tmpl w:val="7A42A5CE"/>
    <w:lvl w:ilvl="0">
      <w:start w:val="1"/>
      <w:numFmt w:val="decimal"/>
      <w:lvlText w:val="%1"/>
      <w:lvlJc w:val="left"/>
      <w:pPr>
        <w:ind w:left="574" w:hanging="432"/>
      </w:pPr>
    </w:lvl>
    <w:lvl w:ilvl="1">
      <w:start w:val="1"/>
      <w:numFmt w:val="decimal"/>
      <w:lvlText w:val="%1.%2"/>
      <w:lvlJc w:val="left"/>
      <w:pPr>
        <w:ind w:left="576" w:hanging="576"/>
      </w:pPr>
    </w:lvl>
    <w:lvl w:ilvl="2">
      <w:start w:val="1"/>
      <w:numFmt w:val="decimal"/>
      <w:lvlText w:val="%1.%2.%3"/>
      <w:lvlJc w:val="left"/>
      <w:pPr>
        <w:ind w:left="1571"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4DC5610"/>
    <w:multiLevelType w:val="hybridMultilevel"/>
    <w:tmpl w:val="E58CBA78"/>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B06932"/>
    <w:multiLevelType w:val="hybridMultilevel"/>
    <w:tmpl w:val="DF74E27E"/>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1D7115"/>
    <w:multiLevelType w:val="hybridMultilevel"/>
    <w:tmpl w:val="DF288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86434B"/>
    <w:multiLevelType w:val="hybridMultilevel"/>
    <w:tmpl w:val="96CEE21E"/>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pStyle w:val="Heading2b"/>
      <w:lvlText w:val="%1.%2"/>
      <w:lvlJc w:val="left"/>
      <w:pPr>
        <w:ind w:left="0" w:firstLine="0"/>
      </w:pPr>
      <w:rPr>
        <w:rFonts w:hint="default"/>
      </w:rPr>
    </w:lvl>
    <w:lvl w:ilvl="2">
      <w:start w:val="1"/>
      <w:numFmt w:val="decimal"/>
      <w:pStyle w:val="Heading3b"/>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EA57542"/>
    <w:multiLevelType w:val="hybridMultilevel"/>
    <w:tmpl w:val="72BC0AF6"/>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8E51F8"/>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23339E8"/>
    <w:multiLevelType w:val="hybridMultilevel"/>
    <w:tmpl w:val="D1EA8F88"/>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27005E"/>
    <w:multiLevelType w:val="hybridMultilevel"/>
    <w:tmpl w:val="0FD492AE"/>
    <w:lvl w:ilvl="0" w:tplc="B1604CAE">
      <w:start w:val="1"/>
      <w:numFmt w:val="bullet"/>
      <w:pStyle w:val="Shaded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447927"/>
    <w:multiLevelType w:val="hybridMultilevel"/>
    <w:tmpl w:val="6A26C0CA"/>
    <w:lvl w:ilvl="0" w:tplc="8D162CE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F57C6A"/>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A346EA8"/>
    <w:multiLevelType w:val="hybridMultilevel"/>
    <w:tmpl w:val="D4FC651C"/>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9732E3"/>
    <w:multiLevelType w:val="hybridMultilevel"/>
    <w:tmpl w:val="EA3A4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055B4C"/>
    <w:multiLevelType w:val="hybridMultilevel"/>
    <w:tmpl w:val="521A2444"/>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0975BF"/>
    <w:multiLevelType w:val="hybridMultilevel"/>
    <w:tmpl w:val="D166F32A"/>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11"/>
  </w:num>
  <w:num w:numId="4">
    <w:abstractNumId w:val="27"/>
  </w:num>
  <w:num w:numId="5">
    <w:abstractNumId w:val="25"/>
  </w:num>
  <w:num w:numId="6">
    <w:abstractNumId w:val="26"/>
  </w:num>
  <w:num w:numId="7">
    <w:abstractNumId w:val="11"/>
  </w:num>
  <w:num w:numId="8">
    <w:abstractNumId w:val="20"/>
  </w:num>
  <w:num w:numId="9">
    <w:abstractNumId w:val="24"/>
  </w:num>
  <w:num w:numId="10">
    <w:abstractNumId w:val="13"/>
  </w:num>
  <w:num w:numId="11">
    <w:abstractNumId w:val="19"/>
  </w:num>
  <w:num w:numId="12">
    <w:abstractNumId w:val="13"/>
  </w:num>
  <w:num w:numId="13">
    <w:abstractNumId w:val="19"/>
  </w:num>
  <w:num w:numId="14">
    <w:abstractNumId w:val="13"/>
  </w:num>
  <w:num w:numId="15">
    <w:abstractNumId w:val="19"/>
  </w:num>
  <w:num w:numId="16">
    <w:abstractNumId w:val="14"/>
  </w:num>
  <w:num w:numId="17">
    <w:abstractNumId w:val="15"/>
  </w:num>
  <w:num w:numId="18">
    <w:abstractNumId w:val="31"/>
  </w:num>
  <w:num w:numId="19">
    <w:abstractNumId w:val="23"/>
  </w:num>
  <w:num w:numId="20">
    <w:abstractNumId w:val="16"/>
  </w:num>
  <w:num w:numId="21">
    <w:abstractNumId w:val="30"/>
  </w:num>
  <w:num w:numId="22">
    <w:abstractNumId w:val="18"/>
  </w:num>
  <w:num w:numId="23">
    <w:abstractNumId w:val="13"/>
    <w:lvlOverride w:ilvl="0">
      <w:startOverride w:val="11"/>
    </w:lvlOverride>
    <w:lvlOverride w:ilvl="1">
      <w:startOverride w:val="1"/>
    </w:lvlOverride>
    <w:lvlOverride w:ilvl="2">
      <w:startOverride w:val="6"/>
    </w:lvlOverride>
  </w:num>
  <w:num w:numId="24">
    <w:abstractNumId w:val="29"/>
  </w:num>
  <w:num w:numId="25">
    <w:abstractNumId w:val="21"/>
  </w:num>
  <w:num w:numId="26">
    <w:abstractNumId w:val="28"/>
  </w:num>
  <w:num w:numId="27">
    <w:abstractNumId w:val="17"/>
  </w:num>
  <w:num w:numId="28">
    <w:abstractNumId w:val="10"/>
  </w:num>
  <w:num w:numId="29">
    <w:abstractNumId w:val="12"/>
  </w:num>
  <w:num w:numId="30">
    <w:abstractNumId w:val="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DC6"/>
    <w:rsid w:val="0000066A"/>
    <w:rsid w:val="00004143"/>
    <w:rsid w:val="00012C1E"/>
    <w:rsid w:val="00017FB7"/>
    <w:rsid w:val="0002363D"/>
    <w:rsid w:val="00040E45"/>
    <w:rsid w:val="000474A7"/>
    <w:rsid w:val="00052ECC"/>
    <w:rsid w:val="00054BD6"/>
    <w:rsid w:val="000624A6"/>
    <w:rsid w:val="000637D3"/>
    <w:rsid w:val="00073DFC"/>
    <w:rsid w:val="00075C55"/>
    <w:rsid w:val="0008078F"/>
    <w:rsid w:val="00084DF6"/>
    <w:rsid w:val="000850AC"/>
    <w:rsid w:val="00087B36"/>
    <w:rsid w:val="000A2491"/>
    <w:rsid w:val="000B2197"/>
    <w:rsid w:val="000B5E49"/>
    <w:rsid w:val="000C3E04"/>
    <w:rsid w:val="000D09F5"/>
    <w:rsid w:val="000D2725"/>
    <w:rsid w:val="000E0B73"/>
    <w:rsid w:val="000F28C4"/>
    <w:rsid w:val="00103AB1"/>
    <w:rsid w:val="00111C10"/>
    <w:rsid w:val="00126966"/>
    <w:rsid w:val="00133458"/>
    <w:rsid w:val="00147BFC"/>
    <w:rsid w:val="0016367A"/>
    <w:rsid w:val="00172498"/>
    <w:rsid w:val="00186778"/>
    <w:rsid w:val="00191932"/>
    <w:rsid w:val="001A0E53"/>
    <w:rsid w:val="001A12C9"/>
    <w:rsid w:val="001D22F7"/>
    <w:rsid w:val="001D71E2"/>
    <w:rsid w:val="001F3926"/>
    <w:rsid w:val="001F3BA4"/>
    <w:rsid w:val="0020591C"/>
    <w:rsid w:val="00210E6A"/>
    <w:rsid w:val="00212207"/>
    <w:rsid w:val="00213A58"/>
    <w:rsid w:val="00217200"/>
    <w:rsid w:val="00222D54"/>
    <w:rsid w:val="00227473"/>
    <w:rsid w:val="002275D6"/>
    <w:rsid w:val="00235824"/>
    <w:rsid w:val="00250F4B"/>
    <w:rsid w:val="00253758"/>
    <w:rsid w:val="00266BEE"/>
    <w:rsid w:val="002730A1"/>
    <w:rsid w:val="00273129"/>
    <w:rsid w:val="00276AE3"/>
    <w:rsid w:val="002779F5"/>
    <w:rsid w:val="0028065A"/>
    <w:rsid w:val="00285FA7"/>
    <w:rsid w:val="002870F6"/>
    <w:rsid w:val="002A0139"/>
    <w:rsid w:val="002A1527"/>
    <w:rsid w:val="002A5943"/>
    <w:rsid w:val="002A7F4E"/>
    <w:rsid w:val="002B42BF"/>
    <w:rsid w:val="002B44B9"/>
    <w:rsid w:val="002B61D7"/>
    <w:rsid w:val="002C02D8"/>
    <w:rsid w:val="002E3D99"/>
    <w:rsid w:val="002E67C4"/>
    <w:rsid w:val="002F202D"/>
    <w:rsid w:val="002F24F8"/>
    <w:rsid w:val="002F6831"/>
    <w:rsid w:val="003057E9"/>
    <w:rsid w:val="003154E4"/>
    <w:rsid w:val="0033018C"/>
    <w:rsid w:val="00331A7F"/>
    <w:rsid w:val="003347E7"/>
    <w:rsid w:val="0033663C"/>
    <w:rsid w:val="0034173F"/>
    <w:rsid w:val="003421D2"/>
    <w:rsid w:val="00354A92"/>
    <w:rsid w:val="00356416"/>
    <w:rsid w:val="00361CBA"/>
    <w:rsid w:val="00362051"/>
    <w:rsid w:val="00365393"/>
    <w:rsid w:val="003661B0"/>
    <w:rsid w:val="00373141"/>
    <w:rsid w:val="00374073"/>
    <w:rsid w:val="00385291"/>
    <w:rsid w:val="003955C0"/>
    <w:rsid w:val="003A0EC2"/>
    <w:rsid w:val="003A2748"/>
    <w:rsid w:val="003B00F5"/>
    <w:rsid w:val="003B0404"/>
    <w:rsid w:val="003B2AF6"/>
    <w:rsid w:val="003D223D"/>
    <w:rsid w:val="003D3001"/>
    <w:rsid w:val="003E3044"/>
    <w:rsid w:val="00405DDA"/>
    <w:rsid w:val="00432A6D"/>
    <w:rsid w:val="00437A78"/>
    <w:rsid w:val="00443785"/>
    <w:rsid w:val="00454919"/>
    <w:rsid w:val="00462E01"/>
    <w:rsid w:val="00463AB7"/>
    <w:rsid w:val="00463E44"/>
    <w:rsid w:val="00466837"/>
    <w:rsid w:val="00471FC8"/>
    <w:rsid w:val="0047223A"/>
    <w:rsid w:val="0047339C"/>
    <w:rsid w:val="00476EA0"/>
    <w:rsid w:val="00477AD4"/>
    <w:rsid w:val="00483990"/>
    <w:rsid w:val="00484303"/>
    <w:rsid w:val="0049558D"/>
    <w:rsid w:val="004A5357"/>
    <w:rsid w:val="004B02D6"/>
    <w:rsid w:val="004B0D82"/>
    <w:rsid w:val="004B21DA"/>
    <w:rsid w:val="004C3BE2"/>
    <w:rsid w:val="004C7568"/>
    <w:rsid w:val="004D1C19"/>
    <w:rsid w:val="004E24A7"/>
    <w:rsid w:val="004E4580"/>
    <w:rsid w:val="005061A6"/>
    <w:rsid w:val="00506F87"/>
    <w:rsid w:val="00513700"/>
    <w:rsid w:val="00516AF6"/>
    <w:rsid w:val="00525C60"/>
    <w:rsid w:val="00535A40"/>
    <w:rsid w:val="005424FB"/>
    <w:rsid w:val="0054766D"/>
    <w:rsid w:val="0055539E"/>
    <w:rsid w:val="00563BCA"/>
    <w:rsid w:val="0056753C"/>
    <w:rsid w:val="005710C4"/>
    <w:rsid w:val="005721DD"/>
    <w:rsid w:val="005749AA"/>
    <w:rsid w:val="00576B8E"/>
    <w:rsid w:val="00580C9E"/>
    <w:rsid w:val="00594252"/>
    <w:rsid w:val="005A48E4"/>
    <w:rsid w:val="005A4A4D"/>
    <w:rsid w:val="005A7120"/>
    <w:rsid w:val="005A713B"/>
    <w:rsid w:val="005B24BF"/>
    <w:rsid w:val="005B3EE6"/>
    <w:rsid w:val="005C60DC"/>
    <w:rsid w:val="005C62B1"/>
    <w:rsid w:val="005D725B"/>
    <w:rsid w:val="005E27B8"/>
    <w:rsid w:val="005E602B"/>
    <w:rsid w:val="005F585B"/>
    <w:rsid w:val="006016C9"/>
    <w:rsid w:val="00604312"/>
    <w:rsid w:val="0061597C"/>
    <w:rsid w:val="0062434A"/>
    <w:rsid w:val="00624E3C"/>
    <w:rsid w:val="006279A8"/>
    <w:rsid w:val="00630520"/>
    <w:rsid w:val="00636F7A"/>
    <w:rsid w:val="00646B94"/>
    <w:rsid w:val="006537CC"/>
    <w:rsid w:val="00654897"/>
    <w:rsid w:val="00667E6B"/>
    <w:rsid w:val="006706D8"/>
    <w:rsid w:val="0067118F"/>
    <w:rsid w:val="006722DB"/>
    <w:rsid w:val="00680D52"/>
    <w:rsid w:val="006850EE"/>
    <w:rsid w:val="00686719"/>
    <w:rsid w:val="00690234"/>
    <w:rsid w:val="00690E8D"/>
    <w:rsid w:val="006B1ECA"/>
    <w:rsid w:val="006C218E"/>
    <w:rsid w:val="006C5859"/>
    <w:rsid w:val="006C7787"/>
    <w:rsid w:val="006D3B58"/>
    <w:rsid w:val="006D4B4F"/>
    <w:rsid w:val="006D634F"/>
    <w:rsid w:val="006E2189"/>
    <w:rsid w:val="006E5ED2"/>
    <w:rsid w:val="00702C68"/>
    <w:rsid w:val="00711057"/>
    <w:rsid w:val="007123C7"/>
    <w:rsid w:val="007155C2"/>
    <w:rsid w:val="0072045B"/>
    <w:rsid w:val="00724FC6"/>
    <w:rsid w:val="00733CC3"/>
    <w:rsid w:val="00740F5E"/>
    <w:rsid w:val="00746525"/>
    <w:rsid w:val="007505B7"/>
    <w:rsid w:val="00755680"/>
    <w:rsid w:val="00760F9C"/>
    <w:rsid w:val="0077038F"/>
    <w:rsid w:val="00783F0D"/>
    <w:rsid w:val="007A7F0B"/>
    <w:rsid w:val="007B04B8"/>
    <w:rsid w:val="007B0640"/>
    <w:rsid w:val="007C15E5"/>
    <w:rsid w:val="007C2E19"/>
    <w:rsid w:val="007D2109"/>
    <w:rsid w:val="007E7F06"/>
    <w:rsid w:val="007F21A7"/>
    <w:rsid w:val="007F2ACA"/>
    <w:rsid w:val="00800B68"/>
    <w:rsid w:val="008048C5"/>
    <w:rsid w:val="008055E1"/>
    <w:rsid w:val="0081652D"/>
    <w:rsid w:val="00834843"/>
    <w:rsid w:val="008371D0"/>
    <w:rsid w:val="008712DC"/>
    <w:rsid w:val="00871ABB"/>
    <w:rsid w:val="008814E1"/>
    <w:rsid w:val="00890DC1"/>
    <w:rsid w:val="008A174F"/>
    <w:rsid w:val="008A5AB0"/>
    <w:rsid w:val="008B4128"/>
    <w:rsid w:val="008B4384"/>
    <w:rsid w:val="008F21B7"/>
    <w:rsid w:val="008F66DD"/>
    <w:rsid w:val="009001F0"/>
    <w:rsid w:val="009049F5"/>
    <w:rsid w:val="009238B3"/>
    <w:rsid w:val="00933801"/>
    <w:rsid w:val="00941427"/>
    <w:rsid w:val="009443A0"/>
    <w:rsid w:val="00977E9E"/>
    <w:rsid w:val="00980AE4"/>
    <w:rsid w:val="00986F82"/>
    <w:rsid w:val="009919A9"/>
    <w:rsid w:val="00994AD8"/>
    <w:rsid w:val="009A57D8"/>
    <w:rsid w:val="009A6E70"/>
    <w:rsid w:val="009B64A7"/>
    <w:rsid w:val="009D1C59"/>
    <w:rsid w:val="009D2CB4"/>
    <w:rsid w:val="009E41AB"/>
    <w:rsid w:val="009F5DBB"/>
    <w:rsid w:val="00A01AA0"/>
    <w:rsid w:val="00A33631"/>
    <w:rsid w:val="00A438DE"/>
    <w:rsid w:val="00A4575B"/>
    <w:rsid w:val="00A60746"/>
    <w:rsid w:val="00A6315A"/>
    <w:rsid w:val="00A7285A"/>
    <w:rsid w:val="00A7394E"/>
    <w:rsid w:val="00A83198"/>
    <w:rsid w:val="00A85062"/>
    <w:rsid w:val="00A903BD"/>
    <w:rsid w:val="00A97F11"/>
    <w:rsid w:val="00AA0034"/>
    <w:rsid w:val="00AA0AB3"/>
    <w:rsid w:val="00AB379D"/>
    <w:rsid w:val="00AB7C59"/>
    <w:rsid w:val="00AC7A7B"/>
    <w:rsid w:val="00AE3A46"/>
    <w:rsid w:val="00AF7E3E"/>
    <w:rsid w:val="00B10DB0"/>
    <w:rsid w:val="00B607E8"/>
    <w:rsid w:val="00B650A1"/>
    <w:rsid w:val="00B67226"/>
    <w:rsid w:val="00B737A1"/>
    <w:rsid w:val="00B76B5B"/>
    <w:rsid w:val="00B903A5"/>
    <w:rsid w:val="00B926FE"/>
    <w:rsid w:val="00B955A9"/>
    <w:rsid w:val="00B964D2"/>
    <w:rsid w:val="00BA693D"/>
    <w:rsid w:val="00BA7D83"/>
    <w:rsid w:val="00BB46BC"/>
    <w:rsid w:val="00BC369E"/>
    <w:rsid w:val="00BC63E2"/>
    <w:rsid w:val="00BD399E"/>
    <w:rsid w:val="00BD41F3"/>
    <w:rsid w:val="00BE414B"/>
    <w:rsid w:val="00BF4EFA"/>
    <w:rsid w:val="00BF6E26"/>
    <w:rsid w:val="00BF6EDF"/>
    <w:rsid w:val="00C15D43"/>
    <w:rsid w:val="00C21122"/>
    <w:rsid w:val="00C25326"/>
    <w:rsid w:val="00C278E4"/>
    <w:rsid w:val="00C3035C"/>
    <w:rsid w:val="00C34FE5"/>
    <w:rsid w:val="00C352BC"/>
    <w:rsid w:val="00C44855"/>
    <w:rsid w:val="00C61786"/>
    <w:rsid w:val="00C678F8"/>
    <w:rsid w:val="00C814E0"/>
    <w:rsid w:val="00CA5F4A"/>
    <w:rsid w:val="00CB2329"/>
    <w:rsid w:val="00CC36A4"/>
    <w:rsid w:val="00CC442E"/>
    <w:rsid w:val="00CD4A2C"/>
    <w:rsid w:val="00CD639A"/>
    <w:rsid w:val="00CE7B3B"/>
    <w:rsid w:val="00CF048A"/>
    <w:rsid w:val="00CF0E4F"/>
    <w:rsid w:val="00D0029D"/>
    <w:rsid w:val="00D00A02"/>
    <w:rsid w:val="00D2297D"/>
    <w:rsid w:val="00D268F6"/>
    <w:rsid w:val="00D46588"/>
    <w:rsid w:val="00D522F3"/>
    <w:rsid w:val="00D55E70"/>
    <w:rsid w:val="00D6757C"/>
    <w:rsid w:val="00D70D09"/>
    <w:rsid w:val="00D8510E"/>
    <w:rsid w:val="00D92626"/>
    <w:rsid w:val="00D92DDB"/>
    <w:rsid w:val="00DC4EA0"/>
    <w:rsid w:val="00DD77B3"/>
    <w:rsid w:val="00DE1942"/>
    <w:rsid w:val="00DF3864"/>
    <w:rsid w:val="00DF4AAE"/>
    <w:rsid w:val="00DF71CD"/>
    <w:rsid w:val="00E02C00"/>
    <w:rsid w:val="00E12C78"/>
    <w:rsid w:val="00E14F7B"/>
    <w:rsid w:val="00E167DB"/>
    <w:rsid w:val="00E23546"/>
    <w:rsid w:val="00E3264E"/>
    <w:rsid w:val="00E408E4"/>
    <w:rsid w:val="00E41D7D"/>
    <w:rsid w:val="00E41EB4"/>
    <w:rsid w:val="00E71463"/>
    <w:rsid w:val="00E80BF3"/>
    <w:rsid w:val="00E810BD"/>
    <w:rsid w:val="00E82294"/>
    <w:rsid w:val="00E83B98"/>
    <w:rsid w:val="00E844D8"/>
    <w:rsid w:val="00E923DC"/>
    <w:rsid w:val="00E960F7"/>
    <w:rsid w:val="00EA4B19"/>
    <w:rsid w:val="00EB017E"/>
    <w:rsid w:val="00EB155C"/>
    <w:rsid w:val="00EC497A"/>
    <w:rsid w:val="00EC6195"/>
    <w:rsid w:val="00EE277C"/>
    <w:rsid w:val="00EE2B97"/>
    <w:rsid w:val="00EF7D7F"/>
    <w:rsid w:val="00F15DC6"/>
    <w:rsid w:val="00F1605E"/>
    <w:rsid w:val="00F27504"/>
    <w:rsid w:val="00F345D3"/>
    <w:rsid w:val="00F476A1"/>
    <w:rsid w:val="00F5278A"/>
    <w:rsid w:val="00F53E4E"/>
    <w:rsid w:val="00F57819"/>
    <w:rsid w:val="00F644C2"/>
    <w:rsid w:val="00F67279"/>
    <w:rsid w:val="00F67F7D"/>
    <w:rsid w:val="00F73D94"/>
    <w:rsid w:val="00F864EE"/>
    <w:rsid w:val="00F94386"/>
    <w:rsid w:val="00F945B3"/>
    <w:rsid w:val="00F947DD"/>
    <w:rsid w:val="00FB5DB7"/>
    <w:rsid w:val="00FB7AA0"/>
    <w:rsid w:val="00FC0D42"/>
    <w:rsid w:val="00FD3AB7"/>
    <w:rsid w:val="00FE3817"/>
    <w:rsid w:val="00FE69EB"/>
    <w:rsid w:val="00FF5B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7855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1B7"/>
    <w:pPr>
      <w:spacing w:after="200" w:line="270" w:lineRule="atLeast"/>
    </w:pPr>
    <w:rPr>
      <w:rFonts w:ascii="Calibri" w:hAnsi="Calibri"/>
      <w:color w:val="000000"/>
    </w:rPr>
  </w:style>
  <w:style w:type="paragraph" w:styleId="Heading1">
    <w:name w:val="heading 1"/>
    <w:basedOn w:val="Normal"/>
    <w:next w:val="Normal"/>
    <w:link w:val="Heading1Char"/>
    <w:uiPriority w:val="99"/>
    <w:qFormat/>
    <w:rsid w:val="00CD639A"/>
    <w:pPr>
      <w:keepNext/>
      <w:keepLines/>
      <w:numPr>
        <w:numId w:val="14"/>
      </w:numPr>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uiPriority w:val="99"/>
    <w:qFormat/>
    <w:rsid w:val="00C44855"/>
    <w:pPr>
      <w:keepNext/>
      <w:keepLines/>
      <w:numPr>
        <w:ilvl w:val="1"/>
        <w:numId w:val="14"/>
      </w:numPr>
      <w:spacing w:before="280" w:after="160" w:line="240" w:lineRule="auto"/>
      <w:ind w:left="720" w:hanging="720"/>
      <w:outlineLvl w:val="1"/>
    </w:pPr>
    <w:rPr>
      <w:rFonts w:eastAsiaTheme="majorEastAsia" w:cstheme="majorBidi"/>
      <w:b/>
      <w:bCs/>
      <w:color w:val="002561"/>
      <w:sz w:val="24"/>
      <w:szCs w:val="26"/>
    </w:rPr>
  </w:style>
  <w:style w:type="paragraph" w:styleId="Heading3">
    <w:name w:val="heading 3"/>
    <w:basedOn w:val="Normal"/>
    <w:next w:val="Normal"/>
    <w:link w:val="Heading3Char"/>
    <w:uiPriority w:val="99"/>
    <w:qFormat/>
    <w:rsid w:val="00CD639A"/>
    <w:pPr>
      <w:keepNext/>
      <w:keepLines/>
      <w:numPr>
        <w:ilvl w:val="2"/>
        <w:numId w:val="14"/>
      </w:numPr>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uiPriority w:val="99"/>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unhideWhenUsed/>
    <w:qFormat/>
    <w:rsid w:val="00994AD8"/>
    <w:pPr>
      <w:keepNext/>
      <w:keepLines/>
      <w:spacing w:before="120" w:after="60" w:line="240" w:lineRule="auto"/>
      <w:outlineLvl w:val="5"/>
    </w:pPr>
    <w:rPr>
      <w:rFonts w:eastAsiaTheme="majorEastAsia" w:cstheme="majorBidi"/>
      <w:b/>
      <w:iCs/>
      <w:color w:val="auto"/>
    </w:rPr>
  </w:style>
  <w:style w:type="paragraph" w:styleId="Heading7">
    <w:name w:val="heading 7"/>
    <w:basedOn w:val="Normal"/>
    <w:next w:val="Normal"/>
    <w:link w:val="Heading7Char"/>
    <w:uiPriority w:val="99"/>
    <w:semiHidden/>
    <w:unhideWhenUsed/>
    <w:qFormat/>
    <w:rsid w:val="0047223A"/>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47223A"/>
    <w:pPr>
      <w:keepNext/>
      <w:keepLines/>
      <w:numPr>
        <w:ilvl w:val="7"/>
        <w:numId w:val="1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rsid w:val="0047223A"/>
    <w:pPr>
      <w:keepNext/>
      <w:keepLines/>
      <w:numPr>
        <w:ilvl w:val="8"/>
        <w:numId w:val="1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D639A"/>
    <w:rPr>
      <w:rFonts w:ascii="Calibri" w:eastAsiaTheme="majorEastAsia" w:hAnsi="Calibri" w:cstheme="majorBidi"/>
      <w:b/>
      <w:bCs/>
      <w:color w:val="002561"/>
      <w:sz w:val="32"/>
      <w:szCs w:val="28"/>
    </w:rPr>
  </w:style>
  <w:style w:type="paragraph" w:customStyle="1" w:styleId="Heading1a">
    <w:name w:val="Heading 1a"/>
    <w:basedOn w:val="Heading1"/>
    <w:rsid w:val="00CD639A"/>
    <w:pPr>
      <w:numPr>
        <w:numId w:val="0"/>
      </w:numPr>
      <w:outlineLvl w:val="9"/>
    </w:pPr>
  </w:style>
  <w:style w:type="character" w:customStyle="1" w:styleId="Heading2Char">
    <w:name w:val="Heading 2 Char"/>
    <w:basedOn w:val="DefaultParagraphFont"/>
    <w:link w:val="Heading2"/>
    <w:uiPriority w:val="99"/>
    <w:rsid w:val="00C44855"/>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uiPriority w:val="99"/>
    <w:rsid w:val="00CD639A"/>
    <w:rPr>
      <w:rFonts w:ascii="Calibri" w:eastAsiaTheme="majorEastAsia" w:hAnsi="Calibri" w:cstheme="majorBidi"/>
      <w:b/>
      <w:bCs/>
      <w:color w:val="002561"/>
    </w:rPr>
  </w:style>
  <w:style w:type="character" w:customStyle="1" w:styleId="Heading4Char">
    <w:name w:val="Heading 4 Char"/>
    <w:basedOn w:val="DefaultParagraphFont"/>
    <w:link w:val="Heading4"/>
    <w:uiPriority w:val="99"/>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rsid w:val="00994AD8"/>
    <w:rPr>
      <w:rFonts w:ascii="Calibri" w:eastAsiaTheme="majorEastAsia" w:hAnsi="Calibri" w:cstheme="majorBidi"/>
      <w:b/>
      <w:iCs/>
    </w:rPr>
  </w:style>
  <w:style w:type="character" w:customStyle="1" w:styleId="Heading7Char">
    <w:name w:val="Heading 7 Char"/>
    <w:basedOn w:val="DefaultParagraphFont"/>
    <w:link w:val="Heading7"/>
    <w:uiPriority w:val="99"/>
    <w:semiHidden/>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47223A"/>
    <w:rPr>
      <w:rFonts w:asciiTheme="majorHAnsi" w:eastAsiaTheme="majorEastAsia" w:hAnsiTheme="majorHAnsi" w:cstheme="majorBidi"/>
      <w:i/>
      <w:iCs/>
      <w:color w:val="404040" w:themeColor="text1" w:themeTint="BF"/>
    </w:r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3A2748"/>
    <w:pPr>
      <w:numPr>
        <w:numId w:val="7"/>
      </w:numPr>
      <w:ind w:left="360"/>
    </w:pPr>
    <w:rPr>
      <w:bC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CD639A"/>
    <w:pPr>
      <w:keepNext/>
      <w:tabs>
        <w:tab w:val="left" w:pos="720"/>
        <w:tab w:val="right" w:leader="dot" w:pos="7089"/>
      </w:tabs>
      <w:spacing w:before="220" w:after="120" w:line="240" w:lineRule="auto"/>
      <w:ind w:left="720" w:right="720" w:hanging="720"/>
    </w:pPr>
    <w:rPr>
      <w:b/>
      <w:noProof/>
      <w:sz w:val="18"/>
    </w:rPr>
  </w:style>
  <w:style w:type="paragraph" w:styleId="TOC2">
    <w:name w:val="toc 2"/>
    <w:basedOn w:val="Normal"/>
    <w:next w:val="Normal"/>
    <w:autoRedefine/>
    <w:uiPriority w:val="39"/>
    <w:unhideWhenUsed/>
    <w:rsid w:val="00CD639A"/>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CD639A"/>
    <w:pPr>
      <w:tabs>
        <w:tab w:val="left" w:pos="1320"/>
        <w:tab w:val="left" w:pos="2160"/>
        <w:tab w:val="right" w:leader="dot" w:pos="7089"/>
      </w:tabs>
      <w:spacing w:after="20" w:line="240" w:lineRule="auto"/>
      <w:ind w:left="2160" w:right="720" w:hanging="720"/>
    </w:pPr>
    <w:rPr>
      <w:sz w:val="18"/>
    </w:rPr>
  </w:style>
  <w:style w:type="paragraph" w:customStyle="1" w:styleId="Heading2a">
    <w:name w:val="Heading 2a"/>
    <w:basedOn w:val="Heading2"/>
    <w:rsid w:val="00CD639A"/>
    <w:pPr>
      <w:numPr>
        <w:ilvl w:val="0"/>
        <w:numId w:val="0"/>
      </w:numPr>
      <w:outlineLvl w:val="9"/>
    </w:pPr>
  </w:style>
  <w:style w:type="paragraph" w:styleId="TOC4">
    <w:name w:val="toc 4"/>
    <w:basedOn w:val="Normal"/>
    <w:next w:val="Normal"/>
    <w:autoRedefine/>
    <w:uiPriority w:val="39"/>
    <w:unhideWhenUsed/>
    <w:rsid w:val="00CD639A"/>
    <w:pPr>
      <w:tabs>
        <w:tab w:val="left" w:pos="1080"/>
        <w:tab w:val="right" w:leader="dot" w:pos="7089"/>
      </w:tabs>
      <w:spacing w:after="40" w:line="240" w:lineRule="auto"/>
      <w:ind w:left="1080" w:right="619" w:hanging="1080"/>
    </w:pPr>
    <w:rPr>
      <w:sz w:val="18"/>
    </w:rPr>
  </w:style>
  <w:style w:type="paragraph" w:styleId="Header">
    <w:name w:val="header"/>
    <w:basedOn w:val="Normal"/>
    <w:link w:val="HeaderChar"/>
    <w:uiPriority w:val="99"/>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9A"/>
    <w:rPr>
      <w:rFonts w:ascii="Calibri" w:hAnsi="Calibri"/>
      <w:color w:val="000000"/>
    </w:rPr>
  </w:style>
  <w:style w:type="paragraph" w:styleId="Footer">
    <w:name w:val="footer"/>
    <w:basedOn w:val="Normal"/>
    <w:link w:val="FooterChar"/>
    <w:uiPriority w:val="99"/>
    <w:unhideWhenUsed/>
    <w:rsid w:val="00CD639A"/>
    <w:pPr>
      <w:pBdr>
        <w:top w:val="single" w:sz="4" w:space="3" w:color="002561"/>
      </w:pBdr>
      <w:tabs>
        <w:tab w:val="right" w:pos="7099"/>
      </w:tabs>
      <w:spacing w:after="0" w:line="240" w:lineRule="auto"/>
    </w:pPr>
    <w:rPr>
      <w:noProof/>
      <w:color w:val="002561"/>
      <w:sz w:val="18"/>
    </w:rPr>
  </w:style>
  <w:style w:type="character" w:customStyle="1" w:styleId="FooterChar">
    <w:name w:val="Footer Char"/>
    <w:basedOn w:val="DefaultParagraphFont"/>
    <w:link w:val="Footer"/>
    <w:uiPriority w:val="99"/>
    <w:rsid w:val="00CD639A"/>
    <w:rPr>
      <w:rFonts w:ascii="Calibri" w:hAnsi="Calibri"/>
      <w:noProof/>
      <w:color w:val="002561"/>
      <w:sz w:val="18"/>
    </w:rPr>
  </w:style>
  <w:style w:type="paragraph" w:styleId="Quote">
    <w:name w:val="Quote"/>
    <w:basedOn w:val="Normal"/>
    <w:next w:val="Normal"/>
    <w:link w:val="QuoteChar"/>
    <w:uiPriority w:val="99"/>
    <w:qFormat/>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99"/>
    <w:rsid w:val="00CD639A"/>
    <w:rPr>
      <w:rFonts w:ascii="Calibri" w:hAnsi="Calibri"/>
      <w:iCs/>
      <w:color w:val="000000" w:themeColor="text1"/>
      <w:sz w:val="18"/>
    </w:rPr>
  </w:style>
  <w:style w:type="paragraph" w:customStyle="1" w:styleId="References">
    <w:name w:val="References"/>
    <w:basedOn w:val="Normal"/>
    <w:link w:val="ReferencesChar"/>
    <w:rsid w:val="00CD639A"/>
    <w:pPr>
      <w:keepLines/>
      <w:spacing w:line="240" w:lineRule="atLeast"/>
      <w:ind w:left="720" w:hanging="720"/>
    </w:pPr>
    <w:rPr>
      <w:rFonts w:eastAsia="MS Mincho" w:cs="Calibri"/>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133458"/>
    <w:pPr>
      <w:numPr>
        <w:numId w:val="5"/>
      </w:numPr>
      <w:ind w:left="360"/>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CD639A"/>
    <w:pPr>
      <w:numPr>
        <w:numId w:val="6"/>
      </w:numPr>
      <w:tabs>
        <w:tab w:val="left" w:pos="216"/>
      </w:tabs>
    </w:pPr>
    <w:rPr>
      <w:lang w:eastAsia="en-AU"/>
    </w:rPr>
  </w:style>
  <w:style w:type="paragraph" w:styleId="TOC5">
    <w:name w:val="toc 5"/>
    <w:basedOn w:val="Normal"/>
    <w:next w:val="Normal"/>
    <w:autoRedefine/>
    <w:uiPriority w:val="39"/>
    <w:rsid w:val="00CD639A"/>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rsid w:val="00CD639A"/>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rsid w:val="00CD639A"/>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rsid w:val="00CD639A"/>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rsid w:val="00CD639A"/>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CD639A"/>
    <w:pPr>
      <w:numPr>
        <w:numId w:val="8"/>
      </w:numPr>
    </w:pPr>
  </w:style>
  <w:style w:type="paragraph" w:customStyle="1" w:styleId="Dot">
    <w:name w:val="Dot"/>
    <w:basedOn w:val="Normal"/>
    <w:rsid w:val="00CD639A"/>
    <w:pPr>
      <w:numPr>
        <w:numId w:val="9"/>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CD639A"/>
    <w:pPr>
      <w:numPr>
        <w:numId w:val="15"/>
      </w:numPr>
    </w:pPr>
  </w:style>
  <w:style w:type="paragraph" w:customStyle="1" w:styleId="Heading2b">
    <w:name w:val="Heading 2b"/>
    <w:basedOn w:val="Heading2"/>
    <w:rsid w:val="00CD639A"/>
    <w:pPr>
      <w:numPr>
        <w:numId w:val="15"/>
      </w:numPr>
      <w:outlineLvl w:val="9"/>
    </w:pPr>
    <w:rPr>
      <w:rFonts w:eastAsia="MS Gothic" w:cstheme="minorBidi"/>
      <w:lang w:eastAsia="en-AU"/>
    </w:rPr>
  </w:style>
  <w:style w:type="paragraph" w:customStyle="1" w:styleId="Heading3b">
    <w:name w:val="Heading 3b"/>
    <w:basedOn w:val="Heading3"/>
    <w:rsid w:val="00CD639A"/>
    <w:pPr>
      <w:numPr>
        <w:numId w:val="15"/>
      </w:numPr>
      <w:outlineLvl w:val="9"/>
    </w:pPr>
    <w:rPr>
      <w:rFonts w:cs="Calibri"/>
      <w:bCs w:val="0"/>
      <w:szCs w:val="22"/>
    </w:rPr>
  </w:style>
  <w:style w:type="character" w:styleId="CommentReference">
    <w:name w:val="annotation reference"/>
    <w:uiPriority w:val="99"/>
    <w:semiHidden/>
    <w:rsid w:val="003A2748"/>
    <w:rPr>
      <w:rFonts w:ascii="Times New Roman" w:hAnsi="Times New Roman" w:cs="Times New Roman" w:hint="default"/>
      <w:sz w:val="16"/>
    </w:rPr>
  </w:style>
  <w:style w:type="paragraph" w:customStyle="1" w:styleId="Heading3a">
    <w:name w:val="Heading 3a"/>
    <w:basedOn w:val="Heading3"/>
    <w:rsid w:val="003A2748"/>
    <w:pPr>
      <w:numPr>
        <w:ilvl w:val="0"/>
        <w:numId w:val="0"/>
      </w:numPr>
      <w:outlineLvl w:val="9"/>
    </w:pPr>
  </w:style>
  <w:style w:type="paragraph" w:styleId="TableofAuthorities">
    <w:name w:val="table of authorities"/>
    <w:basedOn w:val="Normal"/>
    <w:next w:val="Normal"/>
    <w:uiPriority w:val="99"/>
    <w:semiHidden/>
    <w:unhideWhenUsed/>
    <w:rsid w:val="005A713B"/>
    <w:pPr>
      <w:spacing w:after="0"/>
      <w:ind w:left="200" w:hanging="200"/>
    </w:pPr>
  </w:style>
  <w:style w:type="paragraph" w:styleId="CommentText">
    <w:name w:val="annotation text"/>
    <w:basedOn w:val="Normal"/>
    <w:link w:val="CommentTextChar"/>
    <w:uiPriority w:val="99"/>
    <w:semiHidden/>
    <w:rsid w:val="005A713B"/>
    <w:pPr>
      <w:spacing w:after="240" w:line="240" w:lineRule="auto"/>
    </w:pPr>
    <w:rPr>
      <w:rFonts w:ascii="Times New Roman" w:eastAsia="MS Mincho" w:hAnsi="Times New Roman"/>
      <w:color w:val="auto"/>
      <w:sz w:val="24"/>
      <w:lang w:val="en-US" w:eastAsia="en-AU"/>
    </w:rPr>
  </w:style>
  <w:style w:type="character" w:customStyle="1" w:styleId="CommentTextChar">
    <w:name w:val="Comment Text Char"/>
    <w:basedOn w:val="DefaultParagraphFont"/>
    <w:link w:val="CommentText"/>
    <w:uiPriority w:val="99"/>
    <w:semiHidden/>
    <w:rsid w:val="008A5AB0"/>
    <w:rPr>
      <w:rFonts w:eastAsia="MS Mincho"/>
      <w:sz w:val="24"/>
      <w:lang w:val="en-US" w:eastAsia="en-AU"/>
    </w:rPr>
  </w:style>
  <w:style w:type="paragraph" w:styleId="z-BottomofForm">
    <w:name w:val="HTML Bottom of Form"/>
    <w:basedOn w:val="Normal"/>
    <w:next w:val="Normal"/>
    <w:link w:val="z-BottomofFormChar"/>
    <w:hidden/>
    <w:uiPriority w:val="99"/>
    <w:unhideWhenUsed/>
    <w:rsid w:val="005A713B"/>
    <w:pPr>
      <w:pBdr>
        <w:top w:val="single" w:sz="6" w:space="1" w:color="auto"/>
      </w:pBdr>
      <w:spacing w:after="0" w:line="240" w:lineRule="auto"/>
      <w:jc w:val="center"/>
    </w:pPr>
    <w:rPr>
      <w:rFonts w:ascii="Arial" w:eastAsia="MS ??" w:hAnsi="Arial" w:cs="Arial"/>
      <w:vanish/>
      <w:color w:val="auto"/>
      <w:sz w:val="16"/>
      <w:szCs w:val="16"/>
    </w:rPr>
  </w:style>
  <w:style w:type="character" w:customStyle="1" w:styleId="z-BottomofFormChar">
    <w:name w:val="z-Bottom of Form Char"/>
    <w:basedOn w:val="DefaultParagraphFont"/>
    <w:link w:val="z-BottomofForm"/>
    <w:uiPriority w:val="99"/>
    <w:rsid w:val="005A713B"/>
    <w:rPr>
      <w:rFonts w:ascii="Arial" w:eastAsia="MS ??" w:hAnsi="Arial" w:cs="Arial"/>
      <w:vanish/>
      <w:sz w:val="16"/>
      <w:szCs w:val="16"/>
    </w:rPr>
  </w:style>
  <w:style w:type="paragraph" w:styleId="z-TopofForm">
    <w:name w:val="HTML Top of Form"/>
    <w:basedOn w:val="Normal"/>
    <w:next w:val="Normal"/>
    <w:link w:val="z-TopofFormChar"/>
    <w:hidden/>
    <w:uiPriority w:val="99"/>
    <w:unhideWhenUsed/>
    <w:rsid w:val="005A713B"/>
    <w:pPr>
      <w:pBdr>
        <w:bottom w:val="single" w:sz="6" w:space="1" w:color="auto"/>
      </w:pBdr>
      <w:spacing w:after="0" w:line="240" w:lineRule="auto"/>
      <w:jc w:val="center"/>
    </w:pPr>
    <w:rPr>
      <w:rFonts w:ascii="Arial" w:eastAsia="MS ??" w:hAnsi="Arial" w:cs="Arial"/>
      <w:vanish/>
      <w:color w:val="auto"/>
      <w:sz w:val="16"/>
      <w:szCs w:val="16"/>
    </w:rPr>
  </w:style>
  <w:style w:type="character" w:customStyle="1" w:styleId="z-TopofFormChar">
    <w:name w:val="z-Top of Form Char"/>
    <w:basedOn w:val="DefaultParagraphFont"/>
    <w:link w:val="z-TopofForm"/>
    <w:uiPriority w:val="99"/>
    <w:rsid w:val="005A713B"/>
    <w:rPr>
      <w:rFonts w:ascii="Arial" w:eastAsia="MS ??" w:hAnsi="Arial" w:cs="Arial"/>
      <w:vanish/>
      <w:sz w:val="16"/>
      <w:szCs w:val="16"/>
    </w:rPr>
  </w:style>
  <w:style w:type="paragraph" w:styleId="Revision">
    <w:name w:val="Revision"/>
    <w:hidden/>
    <w:uiPriority w:val="99"/>
    <w:rsid w:val="005A713B"/>
    <w:rPr>
      <w:rFonts w:ascii="Calibri" w:hAnsi="Calibri"/>
      <w:color w:val="000000"/>
    </w:rPr>
  </w:style>
  <w:style w:type="paragraph" w:styleId="CommentSubject">
    <w:name w:val="annotation subject"/>
    <w:basedOn w:val="CommentText"/>
    <w:next w:val="CommentText"/>
    <w:link w:val="CommentSubjectChar"/>
    <w:uiPriority w:val="99"/>
    <w:semiHidden/>
    <w:rsid w:val="005A713B"/>
    <w:pPr>
      <w:spacing w:after="200"/>
    </w:pPr>
    <w:rPr>
      <w:rFonts w:ascii="Calibri" w:eastAsiaTheme="minorHAnsi" w:hAnsi="Calibri"/>
      <w:b/>
      <w:bCs/>
      <w:color w:val="000000"/>
      <w:sz w:val="20"/>
      <w:lang w:val="en-AU" w:eastAsia="en-US"/>
    </w:rPr>
  </w:style>
  <w:style w:type="character" w:customStyle="1" w:styleId="CommentSubjectChar">
    <w:name w:val="Comment Subject Char"/>
    <w:basedOn w:val="CommentTextChar"/>
    <w:link w:val="CommentSubject"/>
    <w:uiPriority w:val="99"/>
    <w:semiHidden/>
    <w:rsid w:val="008A5AB0"/>
    <w:rPr>
      <w:rFonts w:ascii="Calibri" w:eastAsia="MS Mincho" w:hAnsi="Calibri"/>
      <w:b/>
      <w:bCs/>
      <w:color w:val="000000"/>
      <w:sz w:val="24"/>
      <w:lang w:val="en-US" w:eastAsia="en-AU"/>
    </w:rPr>
  </w:style>
  <w:style w:type="paragraph" w:customStyle="1" w:styleId="FindingsBullet">
    <w:name w:val="FindingsBullet"/>
    <w:basedOn w:val="Bullet"/>
    <w:rsid w:val="005A713B"/>
    <w:pPr>
      <w:numPr>
        <w:numId w:val="0"/>
      </w:numPr>
      <w:pBdr>
        <w:top w:val="single" w:sz="2" w:space="4" w:color="002561"/>
        <w:left w:val="single" w:sz="2" w:space="4" w:color="002561"/>
        <w:bottom w:val="single" w:sz="2" w:space="4" w:color="002561"/>
        <w:right w:val="single" w:sz="2" w:space="4" w:color="002561"/>
      </w:pBdr>
      <w:shd w:val="clear" w:color="002561" w:fill="C1D9FF"/>
      <w:tabs>
        <w:tab w:val="num" w:pos="360"/>
      </w:tabs>
      <w:ind w:left="360" w:hanging="360"/>
    </w:pPr>
  </w:style>
  <w:style w:type="paragraph" w:customStyle="1" w:styleId="FindingsHeading">
    <w:name w:val="FindingsHeading"/>
    <w:basedOn w:val="Heading2a"/>
    <w:rsid w:val="005A713B"/>
    <w:pPr>
      <w:pBdr>
        <w:top w:val="single" w:sz="2" w:space="4" w:color="002561"/>
        <w:left w:val="single" w:sz="2" w:space="4" w:color="002561"/>
        <w:bottom w:val="single" w:sz="2" w:space="4" w:color="002561"/>
        <w:right w:val="single" w:sz="2" w:space="4" w:color="002561"/>
      </w:pBdr>
      <w:shd w:val="clear" w:color="002561" w:fill="C1D9FF"/>
      <w:spacing w:before="240"/>
    </w:pPr>
    <w:rPr>
      <w:rFonts w:eastAsia="Calibri"/>
      <w:lang w:eastAsia="en-GB"/>
    </w:rPr>
  </w:style>
  <w:style w:type="paragraph" w:customStyle="1" w:styleId="FindingsSubheading">
    <w:name w:val="FindingsSubheading"/>
    <w:basedOn w:val="Heading3a"/>
    <w:rsid w:val="005A713B"/>
    <w:pPr>
      <w:pBdr>
        <w:top w:val="single" w:sz="2" w:space="4" w:color="002561"/>
        <w:left w:val="single" w:sz="2" w:space="4" w:color="002561"/>
        <w:bottom w:val="single" w:sz="2" w:space="4" w:color="002561"/>
        <w:right w:val="single" w:sz="2" w:space="4" w:color="002561"/>
      </w:pBdr>
      <w:shd w:val="clear" w:color="002561" w:fill="C1D9FF"/>
    </w:pPr>
  </w:style>
  <w:style w:type="paragraph" w:styleId="FootnoteText">
    <w:name w:val="footnote text"/>
    <w:basedOn w:val="Normal"/>
    <w:link w:val="FootnoteTextChar"/>
    <w:uiPriority w:val="99"/>
    <w:unhideWhenUsed/>
    <w:qFormat/>
    <w:rsid w:val="00D0029D"/>
    <w:pPr>
      <w:spacing w:after="0" w:line="240" w:lineRule="auto"/>
    </w:pPr>
    <w:rPr>
      <w:rFonts w:eastAsia="MS Mincho"/>
      <w:color w:val="auto"/>
      <w:sz w:val="16"/>
    </w:rPr>
  </w:style>
  <w:style w:type="character" w:customStyle="1" w:styleId="FootnoteTextChar">
    <w:name w:val="Footnote Text Char"/>
    <w:basedOn w:val="DefaultParagraphFont"/>
    <w:link w:val="FootnoteText"/>
    <w:uiPriority w:val="99"/>
    <w:rsid w:val="00D0029D"/>
    <w:rPr>
      <w:rFonts w:ascii="Calibri" w:eastAsia="MS Mincho" w:hAnsi="Calibri"/>
      <w:sz w:val="16"/>
    </w:rPr>
  </w:style>
  <w:style w:type="character" w:styleId="FootnoteReference">
    <w:name w:val="footnote reference"/>
    <w:uiPriority w:val="99"/>
    <w:unhideWhenUsed/>
    <w:rsid w:val="005A713B"/>
    <w:rPr>
      <w:rFonts w:ascii="Times New Roman" w:hAnsi="Times New Roman" w:cs="Times New Roman" w:hint="default"/>
      <w:vertAlign w:val="superscript"/>
    </w:rPr>
  </w:style>
  <w:style w:type="character" w:customStyle="1" w:styleId="ReferencesChar">
    <w:name w:val="References Char"/>
    <w:basedOn w:val="DefaultParagraphFont"/>
    <w:link w:val="References"/>
    <w:rsid w:val="005A713B"/>
    <w:rPr>
      <w:rFonts w:ascii="Calibri" w:eastAsia="MS Mincho" w:hAnsi="Calibri" w:cs="Calibri"/>
      <w:color w:val="000000"/>
      <w:lang w:eastAsia="en-AU"/>
    </w:rPr>
  </w:style>
  <w:style w:type="paragraph" w:styleId="TOCHeading">
    <w:name w:val="TOC Heading"/>
    <w:basedOn w:val="Heading1"/>
    <w:next w:val="Normal"/>
    <w:uiPriority w:val="39"/>
    <w:semiHidden/>
    <w:qFormat/>
    <w:rsid w:val="005A713B"/>
    <w:pPr>
      <w:numPr>
        <w:numId w:val="0"/>
      </w:numPr>
      <w:pBdr>
        <w:top w:val="none" w:sz="0" w:space="0" w:color="auto"/>
      </w:pBdr>
      <w:spacing w:after="200" w:line="259" w:lineRule="auto"/>
      <w:outlineLvl w:val="9"/>
    </w:pPr>
    <w:rPr>
      <w:rFonts w:eastAsia="Times New Roman" w:cs="Times New Roman"/>
      <w:noProof/>
      <w:color w:val="345A8A"/>
      <w:szCs w:val="32"/>
      <w:lang w:val="en-US" w:eastAsia="en-AU"/>
    </w:rPr>
  </w:style>
  <w:style w:type="character" w:styleId="PageNumber">
    <w:name w:val="page number"/>
    <w:basedOn w:val="DefaultParagraphFont"/>
    <w:uiPriority w:val="99"/>
    <w:unhideWhenUsed/>
    <w:rsid w:val="005A713B"/>
  </w:style>
  <w:style w:type="paragraph" w:styleId="TableofFigures">
    <w:name w:val="table of figures"/>
    <w:basedOn w:val="Normal"/>
    <w:next w:val="Normal"/>
    <w:uiPriority w:val="99"/>
    <w:unhideWhenUsed/>
    <w:rsid w:val="005A713B"/>
    <w:pPr>
      <w:spacing w:after="0" w:line="240" w:lineRule="auto"/>
    </w:pPr>
    <w:rPr>
      <w:rFonts w:eastAsiaTheme="minorEastAsia" w:cstheme="minorBidi"/>
      <w:color w:val="auto"/>
      <w:sz w:val="22"/>
      <w:szCs w:val="24"/>
    </w:rPr>
  </w:style>
  <w:style w:type="paragraph" w:styleId="BalloonText">
    <w:name w:val="Balloon Text"/>
    <w:basedOn w:val="Normal"/>
    <w:link w:val="BalloonTextChar"/>
    <w:uiPriority w:val="99"/>
    <w:semiHidden/>
    <w:unhideWhenUsed/>
    <w:rsid w:val="005A7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13B"/>
    <w:rPr>
      <w:rFonts w:ascii="Tahoma" w:hAnsi="Tahoma" w:cs="Tahoma"/>
      <w:color w:val="000000"/>
      <w:sz w:val="16"/>
      <w:szCs w:val="16"/>
    </w:rPr>
  </w:style>
  <w:style w:type="table" w:customStyle="1" w:styleId="TableGrid1">
    <w:name w:val="Table Grid1"/>
    <w:basedOn w:val="TableNormal"/>
    <w:next w:val="TableGrid"/>
    <w:rsid w:val="0028065A"/>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28065A"/>
    <w:pPr>
      <w:spacing w:after="0" w:line="240" w:lineRule="auto"/>
    </w:pPr>
    <w:rPr>
      <w:rFonts w:ascii="Times" w:eastAsia="MS ??" w:hAnsi="Times"/>
      <w:b/>
      <w:color w:val="auto"/>
      <w:sz w:val="22"/>
      <w:szCs w:val="24"/>
      <w:lang w:val="en-US"/>
    </w:rPr>
  </w:style>
  <w:style w:type="character" w:customStyle="1" w:styleId="BodyTextChar">
    <w:name w:val="Body Text Char"/>
    <w:basedOn w:val="DefaultParagraphFont"/>
    <w:link w:val="BodyText"/>
    <w:uiPriority w:val="99"/>
    <w:rsid w:val="0028065A"/>
    <w:rPr>
      <w:rFonts w:ascii="Times" w:eastAsia="MS ??" w:hAnsi="Times"/>
      <w:b/>
      <w:sz w:val="22"/>
      <w:szCs w:val="24"/>
      <w:lang w:val="en-US"/>
    </w:rPr>
  </w:style>
  <w:style w:type="paragraph" w:styleId="ListParagraph">
    <w:name w:val="List Paragraph"/>
    <w:basedOn w:val="Normal"/>
    <w:uiPriority w:val="34"/>
    <w:rsid w:val="00576B8E"/>
    <w:pPr>
      <w:ind w:left="720"/>
      <w:contextualSpacing/>
    </w:pPr>
  </w:style>
  <w:style w:type="character" w:styleId="FollowedHyperlink">
    <w:name w:val="FollowedHyperlink"/>
    <w:basedOn w:val="DefaultParagraphFont"/>
    <w:uiPriority w:val="99"/>
    <w:semiHidden/>
    <w:unhideWhenUsed/>
    <w:rsid w:val="003154E4"/>
    <w:rPr>
      <w:color w:val="002561" w:themeColor="followedHyperlink"/>
      <w:u w:val="single"/>
    </w:rPr>
  </w:style>
  <w:style w:type="paragraph" w:styleId="Bibliography">
    <w:name w:val="Bibliography"/>
    <w:basedOn w:val="Normal"/>
    <w:next w:val="Normal"/>
    <w:uiPriority w:val="37"/>
    <w:semiHidden/>
    <w:unhideWhenUsed/>
    <w:rsid w:val="00D2297D"/>
  </w:style>
  <w:style w:type="paragraph" w:styleId="BlockText">
    <w:name w:val="Block Text"/>
    <w:basedOn w:val="Normal"/>
    <w:uiPriority w:val="99"/>
    <w:semiHidden/>
    <w:unhideWhenUsed/>
    <w:rsid w:val="00D2297D"/>
    <w:pPr>
      <w:pBdr>
        <w:top w:val="single" w:sz="2" w:space="10" w:color="002561" w:themeColor="accent1" w:frame="1"/>
        <w:left w:val="single" w:sz="2" w:space="10" w:color="002561" w:themeColor="accent1" w:frame="1"/>
        <w:bottom w:val="single" w:sz="2" w:space="10" w:color="002561" w:themeColor="accent1" w:frame="1"/>
        <w:right w:val="single" w:sz="2" w:space="10" w:color="002561" w:themeColor="accent1" w:frame="1"/>
      </w:pBdr>
      <w:ind w:left="1152" w:right="1152"/>
    </w:pPr>
    <w:rPr>
      <w:rFonts w:asciiTheme="minorHAnsi" w:eastAsiaTheme="minorEastAsia" w:hAnsiTheme="minorHAnsi" w:cstheme="minorBidi"/>
      <w:i/>
      <w:iCs/>
      <w:color w:val="002561" w:themeColor="accent1"/>
    </w:rPr>
  </w:style>
  <w:style w:type="paragraph" w:styleId="BodyText2">
    <w:name w:val="Body Text 2"/>
    <w:basedOn w:val="Normal"/>
    <w:link w:val="BodyText2Char"/>
    <w:uiPriority w:val="99"/>
    <w:semiHidden/>
    <w:unhideWhenUsed/>
    <w:rsid w:val="00D2297D"/>
    <w:pPr>
      <w:spacing w:after="120" w:line="480" w:lineRule="auto"/>
    </w:pPr>
  </w:style>
  <w:style w:type="character" w:customStyle="1" w:styleId="BodyText2Char">
    <w:name w:val="Body Text 2 Char"/>
    <w:basedOn w:val="DefaultParagraphFont"/>
    <w:link w:val="BodyText2"/>
    <w:uiPriority w:val="99"/>
    <w:semiHidden/>
    <w:rsid w:val="00D2297D"/>
    <w:rPr>
      <w:rFonts w:ascii="Calibri" w:hAnsi="Calibri"/>
      <w:color w:val="000000"/>
    </w:rPr>
  </w:style>
  <w:style w:type="paragraph" w:styleId="BodyText3">
    <w:name w:val="Body Text 3"/>
    <w:basedOn w:val="Normal"/>
    <w:link w:val="BodyText3Char"/>
    <w:uiPriority w:val="99"/>
    <w:semiHidden/>
    <w:unhideWhenUsed/>
    <w:rsid w:val="00D2297D"/>
    <w:pPr>
      <w:spacing w:after="120"/>
    </w:pPr>
    <w:rPr>
      <w:sz w:val="16"/>
      <w:szCs w:val="16"/>
    </w:rPr>
  </w:style>
  <w:style w:type="character" w:customStyle="1" w:styleId="BodyText3Char">
    <w:name w:val="Body Text 3 Char"/>
    <w:basedOn w:val="DefaultParagraphFont"/>
    <w:link w:val="BodyText3"/>
    <w:uiPriority w:val="99"/>
    <w:semiHidden/>
    <w:rsid w:val="00D2297D"/>
    <w:rPr>
      <w:rFonts w:ascii="Calibri" w:hAnsi="Calibri"/>
      <w:color w:val="000000"/>
      <w:sz w:val="16"/>
      <w:szCs w:val="16"/>
    </w:rPr>
  </w:style>
  <w:style w:type="paragraph" w:styleId="BodyTextFirstIndent">
    <w:name w:val="Body Text First Indent"/>
    <w:basedOn w:val="BodyText"/>
    <w:link w:val="BodyTextFirstIndentChar"/>
    <w:uiPriority w:val="99"/>
    <w:semiHidden/>
    <w:unhideWhenUsed/>
    <w:rsid w:val="00D2297D"/>
    <w:pPr>
      <w:spacing w:after="200" w:line="270" w:lineRule="atLeast"/>
      <w:ind w:firstLine="360"/>
    </w:pPr>
    <w:rPr>
      <w:rFonts w:ascii="Calibri" w:eastAsiaTheme="minorHAnsi" w:hAnsi="Calibri"/>
      <w:b w:val="0"/>
      <w:color w:val="000000"/>
      <w:sz w:val="20"/>
      <w:szCs w:val="20"/>
      <w:lang w:val="en-AU"/>
    </w:rPr>
  </w:style>
  <w:style w:type="character" w:customStyle="1" w:styleId="BodyTextFirstIndentChar">
    <w:name w:val="Body Text First Indent Char"/>
    <w:basedOn w:val="BodyTextChar"/>
    <w:link w:val="BodyTextFirstIndent"/>
    <w:uiPriority w:val="99"/>
    <w:semiHidden/>
    <w:rsid w:val="00D2297D"/>
    <w:rPr>
      <w:rFonts w:ascii="Calibri" w:eastAsia="MS ??" w:hAnsi="Calibri"/>
      <w:b w:val="0"/>
      <w:color w:val="000000"/>
      <w:sz w:val="22"/>
      <w:szCs w:val="24"/>
      <w:lang w:val="en-US"/>
    </w:rPr>
  </w:style>
  <w:style w:type="paragraph" w:styleId="BodyTextIndent">
    <w:name w:val="Body Text Indent"/>
    <w:basedOn w:val="Normal"/>
    <w:link w:val="BodyTextIndentChar"/>
    <w:uiPriority w:val="99"/>
    <w:semiHidden/>
    <w:unhideWhenUsed/>
    <w:rsid w:val="00D2297D"/>
    <w:pPr>
      <w:spacing w:after="120"/>
      <w:ind w:left="283"/>
    </w:pPr>
  </w:style>
  <w:style w:type="character" w:customStyle="1" w:styleId="BodyTextIndentChar">
    <w:name w:val="Body Text Indent Char"/>
    <w:basedOn w:val="DefaultParagraphFont"/>
    <w:link w:val="BodyTextIndent"/>
    <w:uiPriority w:val="99"/>
    <w:semiHidden/>
    <w:rsid w:val="00D2297D"/>
    <w:rPr>
      <w:rFonts w:ascii="Calibri" w:hAnsi="Calibri"/>
      <w:color w:val="000000"/>
    </w:rPr>
  </w:style>
  <w:style w:type="paragraph" w:styleId="BodyTextFirstIndent2">
    <w:name w:val="Body Text First Indent 2"/>
    <w:basedOn w:val="BodyTextIndent"/>
    <w:link w:val="BodyTextFirstIndent2Char"/>
    <w:uiPriority w:val="99"/>
    <w:semiHidden/>
    <w:unhideWhenUsed/>
    <w:rsid w:val="00D2297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D2297D"/>
    <w:rPr>
      <w:rFonts w:ascii="Calibri" w:hAnsi="Calibri"/>
      <w:color w:val="000000"/>
    </w:rPr>
  </w:style>
  <w:style w:type="paragraph" w:styleId="BodyTextIndent2">
    <w:name w:val="Body Text Indent 2"/>
    <w:basedOn w:val="Normal"/>
    <w:link w:val="BodyTextIndent2Char"/>
    <w:uiPriority w:val="99"/>
    <w:semiHidden/>
    <w:unhideWhenUsed/>
    <w:rsid w:val="00D2297D"/>
    <w:pPr>
      <w:spacing w:after="120" w:line="480" w:lineRule="auto"/>
      <w:ind w:left="283"/>
    </w:pPr>
  </w:style>
  <w:style w:type="character" w:customStyle="1" w:styleId="BodyTextIndent2Char">
    <w:name w:val="Body Text Indent 2 Char"/>
    <w:basedOn w:val="DefaultParagraphFont"/>
    <w:link w:val="BodyTextIndent2"/>
    <w:uiPriority w:val="99"/>
    <w:semiHidden/>
    <w:rsid w:val="00D2297D"/>
    <w:rPr>
      <w:rFonts w:ascii="Calibri" w:hAnsi="Calibri"/>
      <w:color w:val="000000"/>
    </w:rPr>
  </w:style>
  <w:style w:type="paragraph" w:styleId="BodyTextIndent3">
    <w:name w:val="Body Text Indent 3"/>
    <w:basedOn w:val="Normal"/>
    <w:link w:val="BodyTextIndent3Char"/>
    <w:uiPriority w:val="99"/>
    <w:semiHidden/>
    <w:unhideWhenUsed/>
    <w:rsid w:val="00D229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2297D"/>
    <w:rPr>
      <w:rFonts w:ascii="Calibri" w:hAnsi="Calibri"/>
      <w:color w:val="000000"/>
      <w:sz w:val="16"/>
      <w:szCs w:val="16"/>
    </w:rPr>
  </w:style>
  <w:style w:type="paragraph" w:styleId="Caption">
    <w:name w:val="caption"/>
    <w:basedOn w:val="Normal"/>
    <w:next w:val="Normal"/>
    <w:uiPriority w:val="35"/>
    <w:semiHidden/>
    <w:unhideWhenUsed/>
    <w:qFormat/>
    <w:rsid w:val="00D2297D"/>
    <w:pPr>
      <w:spacing w:line="240" w:lineRule="auto"/>
    </w:pPr>
    <w:rPr>
      <w:b/>
      <w:bCs/>
      <w:color w:val="002561" w:themeColor="accent1"/>
      <w:sz w:val="18"/>
      <w:szCs w:val="18"/>
    </w:rPr>
  </w:style>
  <w:style w:type="paragraph" w:styleId="Closing">
    <w:name w:val="Closing"/>
    <w:basedOn w:val="Normal"/>
    <w:link w:val="ClosingChar"/>
    <w:uiPriority w:val="99"/>
    <w:semiHidden/>
    <w:unhideWhenUsed/>
    <w:rsid w:val="00D2297D"/>
    <w:pPr>
      <w:spacing w:after="0" w:line="240" w:lineRule="auto"/>
      <w:ind w:left="4252"/>
    </w:pPr>
  </w:style>
  <w:style w:type="character" w:customStyle="1" w:styleId="ClosingChar">
    <w:name w:val="Closing Char"/>
    <w:basedOn w:val="DefaultParagraphFont"/>
    <w:link w:val="Closing"/>
    <w:uiPriority w:val="99"/>
    <w:semiHidden/>
    <w:rsid w:val="00D2297D"/>
    <w:rPr>
      <w:rFonts w:ascii="Calibri" w:hAnsi="Calibri"/>
      <w:color w:val="000000"/>
    </w:rPr>
  </w:style>
  <w:style w:type="paragraph" w:styleId="Date">
    <w:name w:val="Date"/>
    <w:basedOn w:val="Normal"/>
    <w:next w:val="Normal"/>
    <w:link w:val="DateChar"/>
    <w:uiPriority w:val="99"/>
    <w:semiHidden/>
    <w:unhideWhenUsed/>
    <w:rsid w:val="00D2297D"/>
  </w:style>
  <w:style w:type="character" w:customStyle="1" w:styleId="DateChar">
    <w:name w:val="Date Char"/>
    <w:basedOn w:val="DefaultParagraphFont"/>
    <w:link w:val="Date"/>
    <w:uiPriority w:val="99"/>
    <w:semiHidden/>
    <w:rsid w:val="00D2297D"/>
    <w:rPr>
      <w:rFonts w:ascii="Calibri" w:hAnsi="Calibri"/>
      <w:color w:val="000000"/>
    </w:rPr>
  </w:style>
  <w:style w:type="paragraph" w:styleId="DocumentMap">
    <w:name w:val="Document Map"/>
    <w:basedOn w:val="Normal"/>
    <w:link w:val="DocumentMapChar"/>
    <w:uiPriority w:val="99"/>
    <w:semiHidden/>
    <w:unhideWhenUsed/>
    <w:rsid w:val="00D2297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2297D"/>
    <w:rPr>
      <w:rFonts w:ascii="Tahoma" w:hAnsi="Tahoma" w:cs="Tahoma"/>
      <w:color w:val="000000"/>
      <w:sz w:val="16"/>
      <w:szCs w:val="16"/>
    </w:rPr>
  </w:style>
  <w:style w:type="paragraph" w:styleId="E-mailSignature">
    <w:name w:val="E-mail Signature"/>
    <w:basedOn w:val="Normal"/>
    <w:link w:val="E-mailSignatureChar"/>
    <w:uiPriority w:val="99"/>
    <w:semiHidden/>
    <w:unhideWhenUsed/>
    <w:rsid w:val="00D2297D"/>
    <w:pPr>
      <w:spacing w:after="0" w:line="240" w:lineRule="auto"/>
    </w:pPr>
  </w:style>
  <w:style w:type="character" w:customStyle="1" w:styleId="E-mailSignatureChar">
    <w:name w:val="E-mail Signature Char"/>
    <w:basedOn w:val="DefaultParagraphFont"/>
    <w:link w:val="E-mailSignature"/>
    <w:uiPriority w:val="99"/>
    <w:semiHidden/>
    <w:rsid w:val="00D2297D"/>
    <w:rPr>
      <w:rFonts w:ascii="Calibri" w:hAnsi="Calibri"/>
      <w:color w:val="000000"/>
    </w:rPr>
  </w:style>
  <w:style w:type="paragraph" w:styleId="EndnoteText">
    <w:name w:val="endnote text"/>
    <w:basedOn w:val="Normal"/>
    <w:link w:val="EndnoteTextChar"/>
    <w:uiPriority w:val="99"/>
    <w:semiHidden/>
    <w:unhideWhenUsed/>
    <w:rsid w:val="00D2297D"/>
    <w:pPr>
      <w:spacing w:after="0" w:line="240" w:lineRule="auto"/>
    </w:pPr>
  </w:style>
  <w:style w:type="character" w:customStyle="1" w:styleId="EndnoteTextChar">
    <w:name w:val="Endnote Text Char"/>
    <w:basedOn w:val="DefaultParagraphFont"/>
    <w:link w:val="EndnoteText"/>
    <w:uiPriority w:val="99"/>
    <w:semiHidden/>
    <w:rsid w:val="00D2297D"/>
    <w:rPr>
      <w:rFonts w:ascii="Calibri" w:hAnsi="Calibri"/>
      <w:color w:val="000000"/>
    </w:rPr>
  </w:style>
  <w:style w:type="paragraph" w:styleId="EnvelopeAddress">
    <w:name w:val="envelope address"/>
    <w:basedOn w:val="Normal"/>
    <w:uiPriority w:val="99"/>
    <w:semiHidden/>
    <w:unhideWhenUsed/>
    <w:rsid w:val="00D2297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2297D"/>
    <w:pPr>
      <w:spacing w:after="0" w:line="240" w:lineRule="auto"/>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D2297D"/>
    <w:pPr>
      <w:spacing w:after="0" w:line="240" w:lineRule="auto"/>
    </w:pPr>
    <w:rPr>
      <w:i/>
      <w:iCs/>
    </w:rPr>
  </w:style>
  <w:style w:type="character" w:customStyle="1" w:styleId="HTMLAddressChar">
    <w:name w:val="HTML Address Char"/>
    <w:basedOn w:val="DefaultParagraphFont"/>
    <w:link w:val="HTMLAddress"/>
    <w:uiPriority w:val="99"/>
    <w:semiHidden/>
    <w:rsid w:val="00D2297D"/>
    <w:rPr>
      <w:rFonts w:ascii="Calibri" w:hAnsi="Calibri"/>
      <w:i/>
      <w:iCs/>
      <w:color w:val="000000"/>
    </w:rPr>
  </w:style>
  <w:style w:type="paragraph" w:styleId="HTMLPreformatted">
    <w:name w:val="HTML Preformatted"/>
    <w:basedOn w:val="Normal"/>
    <w:link w:val="HTMLPreformattedChar"/>
    <w:uiPriority w:val="99"/>
    <w:semiHidden/>
    <w:unhideWhenUsed/>
    <w:rsid w:val="00D2297D"/>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2297D"/>
    <w:rPr>
      <w:rFonts w:ascii="Consolas" w:hAnsi="Consolas"/>
      <w:color w:val="000000"/>
    </w:rPr>
  </w:style>
  <w:style w:type="paragraph" w:styleId="Index1">
    <w:name w:val="index 1"/>
    <w:basedOn w:val="Normal"/>
    <w:next w:val="Normal"/>
    <w:autoRedefine/>
    <w:uiPriority w:val="99"/>
    <w:semiHidden/>
    <w:unhideWhenUsed/>
    <w:rsid w:val="00D2297D"/>
    <w:pPr>
      <w:spacing w:after="0" w:line="240" w:lineRule="auto"/>
      <w:ind w:left="200" w:hanging="200"/>
    </w:pPr>
  </w:style>
  <w:style w:type="paragraph" w:styleId="Index2">
    <w:name w:val="index 2"/>
    <w:basedOn w:val="Normal"/>
    <w:next w:val="Normal"/>
    <w:autoRedefine/>
    <w:uiPriority w:val="99"/>
    <w:semiHidden/>
    <w:unhideWhenUsed/>
    <w:rsid w:val="00D2297D"/>
    <w:pPr>
      <w:spacing w:after="0" w:line="240" w:lineRule="auto"/>
      <w:ind w:left="400" w:hanging="200"/>
    </w:pPr>
  </w:style>
  <w:style w:type="paragraph" w:styleId="Index3">
    <w:name w:val="index 3"/>
    <w:basedOn w:val="Normal"/>
    <w:next w:val="Normal"/>
    <w:autoRedefine/>
    <w:uiPriority w:val="99"/>
    <w:semiHidden/>
    <w:unhideWhenUsed/>
    <w:rsid w:val="00D2297D"/>
    <w:pPr>
      <w:spacing w:after="0" w:line="240" w:lineRule="auto"/>
      <w:ind w:left="600" w:hanging="200"/>
    </w:pPr>
  </w:style>
  <w:style w:type="paragraph" w:styleId="Index4">
    <w:name w:val="index 4"/>
    <w:basedOn w:val="Normal"/>
    <w:next w:val="Normal"/>
    <w:autoRedefine/>
    <w:uiPriority w:val="99"/>
    <w:semiHidden/>
    <w:unhideWhenUsed/>
    <w:rsid w:val="00D2297D"/>
    <w:pPr>
      <w:spacing w:after="0" w:line="240" w:lineRule="auto"/>
      <w:ind w:left="800" w:hanging="200"/>
    </w:pPr>
  </w:style>
  <w:style w:type="paragraph" w:styleId="Index5">
    <w:name w:val="index 5"/>
    <w:basedOn w:val="Normal"/>
    <w:next w:val="Normal"/>
    <w:autoRedefine/>
    <w:uiPriority w:val="99"/>
    <w:semiHidden/>
    <w:unhideWhenUsed/>
    <w:rsid w:val="00D2297D"/>
    <w:pPr>
      <w:spacing w:after="0" w:line="240" w:lineRule="auto"/>
      <w:ind w:left="1000" w:hanging="200"/>
    </w:pPr>
  </w:style>
  <w:style w:type="paragraph" w:styleId="Index6">
    <w:name w:val="index 6"/>
    <w:basedOn w:val="Normal"/>
    <w:next w:val="Normal"/>
    <w:autoRedefine/>
    <w:uiPriority w:val="99"/>
    <w:semiHidden/>
    <w:unhideWhenUsed/>
    <w:rsid w:val="00D2297D"/>
    <w:pPr>
      <w:spacing w:after="0" w:line="240" w:lineRule="auto"/>
      <w:ind w:left="1200" w:hanging="200"/>
    </w:pPr>
  </w:style>
  <w:style w:type="paragraph" w:styleId="Index7">
    <w:name w:val="index 7"/>
    <w:basedOn w:val="Normal"/>
    <w:next w:val="Normal"/>
    <w:autoRedefine/>
    <w:uiPriority w:val="99"/>
    <w:semiHidden/>
    <w:unhideWhenUsed/>
    <w:rsid w:val="00D2297D"/>
    <w:pPr>
      <w:spacing w:after="0" w:line="240" w:lineRule="auto"/>
      <w:ind w:left="1400" w:hanging="200"/>
    </w:pPr>
  </w:style>
  <w:style w:type="paragraph" w:styleId="Index8">
    <w:name w:val="index 8"/>
    <w:basedOn w:val="Normal"/>
    <w:next w:val="Normal"/>
    <w:autoRedefine/>
    <w:uiPriority w:val="99"/>
    <w:semiHidden/>
    <w:unhideWhenUsed/>
    <w:rsid w:val="00D2297D"/>
    <w:pPr>
      <w:spacing w:after="0" w:line="240" w:lineRule="auto"/>
      <w:ind w:left="1600" w:hanging="200"/>
    </w:pPr>
  </w:style>
  <w:style w:type="paragraph" w:styleId="Index9">
    <w:name w:val="index 9"/>
    <w:basedOn w:val="Normal"/>
    <w:next w:val="Normal"/>
    <w:autoRedefine/>
    <w:uiPriority w:val="99"/>
    <w:semiHidden/>
    <w:unhideWhenUsed/>
    <w:rsid w:val="00D2297D"/>
    <w:pPr>
      <w:spacing w:after="0" w:line="240" w:lineRule="auto"/>
      <w:ind w:left="1800" w:hanging="200"/>
    </w:pPr>
  </w:style>
  <w:style w:type="paragraph" w:styleId="IndexHeading">
    <w:name w:val="index heading"/>
    <w:basedOn w:val="Normal"/>
    <w:next w:val="Index1"/>
    <w:uiPriority w:val="99"/>
    <w:semiHidden/>
    <w:unhideWhenUsed/>
    <w:rsid w:val="00D2297D"/>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2297D"/>
    <w:pPr>
      <w:pBdr>
        <w:bottom w:val="single" w:sz="4" w:space="4" w:color="002561" w:themeColor="accent1"/>
      </w:pBdr>
      <w:spacing w:before="200" w:after="280"/>
      <w:ind w:left="936" w:right="936"/>
    </w:pPr>
    <w:rPr>
      <w:b/>
      <w:bCs/>
      <w:i/>
      <w:iCs/>
      <w:color w:val="002561" w:themeColor="accent1"/>
    </w:rPr>
  </w:style>
  <w:style w:type="character" w:customStyle="1" w:styleId="IntenseQuoteChar">
    <w:name w:val="Intense Quote Char"/>
    <w:basedOn w:val="DefaultParagraphFont"/>
    <w:link w:val="IntenseQuote"/>
    <w:uiPriority w:val="30"/>
    <w:rsid w:val="00D2297D"/>
    <w:rPr>
      <w:rFonts w:ascii="Calibri" w:hAnsi="Calibri"/>
      <w:b/>
      <w:bCs/>
      <w:i/>
      <w:iCs/>
      <w:color w:val="002561" w:themeColor="accent1"/>
    </w:rPr>
  </w:style>
  <w:style w:type="paragraph" w:styleId="List">
    <w:name w:val="List"/>
    <w:basedOn w:val="Normal"/>
    <w:uiPriority w:val="99"/>
    <w:semiHidden/>
    <w:unhideWhenUsed/>
    <w:rsid w:val="00D2297D"/>
    <w:pPr>
      <w:ind w:left="283" w:hanging="283"/>
      <w:contextualSpacing/>
    </w:pPr>
  </w:style>
  <w:style w:type="paragraph" w:styleId="List2">
    <w:name w:val="List 2"/>
    <w:basedOn w:val="Normal"/>
    <w:uiPriority w:val="99"/>
    <w:semiHidden/>
    <w:unhideWhenUsed/>
    <w:rsid w:val="00D2297D"/>
    <w:pPr>
      <w:ind w:left="566" w:hanging="283"/>
      <w:contextualSpacing/>
    </w:pPr>
  </w:style>
  <w:style w:type="paragraph" w:styleId="List3">
    <w:name w:val="List 3"/>
    <w:basedOn w:val="Normal"/>
    <w:uiPriority w:val="99"/>
    <w:semiHidden/>
    <w:unhideWhenUsed/>
    <w:rsid w:val="00D2297D"/>
    <w:pPr>
      <w:ind w:left="849" w:hanging="283"/>
      <w:contextualSpacing/>
    </w:pPr>
  </w:style>
  <w:style w:type="paragraph" w:styleId="List4">
    <w:name w:val="List 4"/>
    <w:basedOn w:val="Normal"/>
    <w:uiPriority w:val="99"/>
    <w:semiHidden/>
    <w:unhideWhenUsed/>
    <w:rsid w:val="00D2297D"/>
    <w:pPr>
      <w:ind w:left="1132" w:hanging="283"/>
      <w:contextualSpacing/>
    </w:pPr>
  </w:style>
  <w:style w:type="paragraph" w:styleId="List5">
    <w:name w:val="List 5"/>
    <w:basedOn w:val="Normal"/>
    <w:uiPriority w:val="99"/>
    <w:semiHidden/>
    <w:unhideWhenUsed/>
    <w:rsid w:val="00D2297D"/>
    <w:pPr>
      <w:ind w:left="1415" w:hanging="283"/>
      <w:contextualSpacing/>
    </w:pPr>
  </w:style>
  <w:style w:type="paragraph" w:styleId="ListBullet">
    <w:name w:val="List Bullet"/>
    <w:basedOn w:val="Normal"/>
    <w:uiPriority w:val="99"/>
    <w:semiHidden/>
    <w:unhideWhenUsed/>
    <w:rsid w:val="00D2297D"/>
    <w:pPr>
      <w:numPr>
        <w:numId w:val="30"/>
      </w:numPr>
      <w:contextualSpacing/>
    </w:pPr>
  </w:style>
  <w:style w:type="paragraph" w:styleId="ListBullet2">
    <w:name w:val="List Bullet 2"/>
    <w:basedOn w:val="Normal"/>
    <w:uiPriority w:val="99"/>
    <w:semiHidden/>
    <w:unhideWhenUsed/>
    <w:rsid w:val="00D2297D"/>
    <w:pPr>
      <w:numPr>
        <w:numId w:val="31"/>
      </w:numPr>
      <w:contextualSpacing/>
    </w:pPr>
  </w:style>
  <w:style w:type="paragraph" w:styleId="ListBullet3">
    <w:name w:val="List Bullet 3"/>
    <w:basedOn w:val="Normal"/>
    <w:uiPriority w:val="99"/>
    <w:semiHidden/>
    <w:unhideWhenUsed/>
    <w:rsid w:val="00D2297D"/>
    <w:pPr>
      <w:numPr>
        <w:numId w:val="32"/>
      </w:numPr>
      <w:contextualSpacing/>
    </w:pPr>
  </w:style>
  <w:style w:type="paragraph" w:styleId="ListBullet4">
    <w:name w:val="List Bullet 4"/>
    <w:basedOn w:val="Normal"/>
    <w:uiPriority w:val="99"/>
    <w:semiHidden/>
    <w:unhideWhenUsed/>
    <w:rsid w:val="00D2297D"/>
    <w:pPr>
      <w:numPr>
        <w:numId w:val="33"/>
      </w:numPr>
      <w:contextualSpacing/>
    </w:pPr>
  </w:style>
  <w:style w:type="paragraph" w:styleId="ListBullet5">
    <w:name w:val="List Bullet 5"/>
    <w:basedOn w:val="Normal"/>
    <w:uiPriority w:val="99"/>
    <w:semiHidden/>
    <w:unhideWhenUsed/>
    <w:rsid w:val="00D2297D"/>
    <w:pPr>
      <w:numPr>
        <w:numId w:val="34"/>
      </w:numPr>
      <w:contextualSpacing/>
    </w:pPr>
  </w:style>
  <w:style w:type="paragraph" w:styleId="ListContinue">
    <w:name w:val="List Continue"/>
    <w:basedOn w:val="Normal"/>
    <w:uiPriority w:val="99"/>
    <w:semiHidden/>
    <w:unhideWhenUsed/>
    <w:rsid w:val="00D2297D"/>
    <w:pPr>
      <w:spacing w:after="120"/>
      <w:ind w:left="283"/>
      <w:contextualSpacing/>
    </w:pPr>
  </w:style>
  <w:style w:type="paragraph" w:styleId="ListContinue2">
    <w:name w:val="List Continue 2"/>
    <w:basedOn w:val="Normal"/>
    <w:uiPriority w:val="99"/>
    <w:semiHidden/>
    <w:unhideWhenUsed/>
    <w:rsid w:val="00D2297D"/>
    <w:pPr>
      <w:spacing w:after="120"/>
      <w:ind w:left="566"/>
      <w:contextualSpacing/>
    </w:pPr>
  </w:style>
  <w:style w:type="paragraph" w:styleId="ListContinue3">
    <w:name w:val="List Continue 3"/>
    <w:basedOn w:val="Normal"/>
    <w:uiPriority w:val="99"/>
    <w:semiHidden/>
    <w:unhideWhenUsed/>
    <w:rsid w:val="00D2297D"/>
    <w:pPr>
      <w:spacing w:after="120"/>
      <w:ind w:left="849"/>
      <w:contextualSpacing/>
    </w:pPr>
  </w:style>
  <w:style w:type="paragraph" w:styleId="ListContinue4">
    <w:name w:val="List Continue 4"/>
    <w:basedOn w:val="Normal"/>
    <w:uiPriority w:val="99"/>
    <w:semiHidden/>
    <w:unhideWhenUsed/>
    <w:rsid w:val="00D2297D"/>
    <w:pPr>
      <w:spacing w:after="120"/>
      <w:ind w:left="1132"/>
      <w:contextualSpacing/>
    </w:pPr>
  </w:style>
  <w:style w:type="paragraph" w:styleId="ListContinue5">
    <w:name w:val="List Continue 5"/>
    <w:basedOn w:val="Normal"/>
    <w:uiPriority w:val="99"/>
    <w:semiHidden/>
    <w:unhideWhenUsed/>
    <w:rsid w:val="00D2297D"/>
    <w:pPr>
      <w:spacing w:after="120"/>
      <w:ind w:left="1415"/>
      <w:contextualSpacing/>
    </w:pPr>
  </w:style>
  <w:style w:type="paragraph" w:styleId="ListNumber">
    <w:name w:val="List Number"/>
    <w:basedOn w:val="Normal"/>
    <w:uiPriority w:val="99"/>
    <w:semiHidden/>
    <w:unhideWhenUsed/>
    <w:rsid w:val="00D2297D"/>
    <w:pPr>
      <w:numPr>
        <w:numId w:val="35"/>
      </w:numPr>
      <w:contextualSpacing/>
    </w:pPr>
  </w:style>
  <w:style w:type="paragraph" w:styleId="ListNumber2">
    <w:name w:val="List Number 2"/>
    <w:basedOn w:val="Normal"/>
    <w:uiPriority w:val="99"/>
    <w:semiHidden/>
    <w:unhideWhenUsed/>
    <w:rsid w:val="00D2297D"/>
    <w:pPr>
      <w:numPr>
        <w:numId w:val="36"/>
      </w:numPr>
      <w:contextualSpacing/>
    </w:pPr>
  </w:style>
  <w:style w:type="paragraph" w:styleId="ListNumber3">
    <w:name w:val="List Number 3"/>
    <w:basedOn w:val="Normal"/>
    <w:uiPriority w:val="99"/>
    <w:semiHidden/>
    <w:unhideWhenUsed/>
    <w:rsid w:val="00D2297D"/>
    <w:pPr>
      <w:numPr>
        <w:numId w:val="37"/>
      </w:numPr>
      <w:contextualSpacing/>
    </w:pPr>
  </w:style>
  <w:style w:type="paragraph" w:styleId="ListNumber4">
    <w:name w:val="List Number 4"/>
    <w:basedOn w:val="Normal"/>
    <w:uiPriority w:val="99"/>
    <w:semiHidden/>
    <w:unhideWhenUsed/>
    <w:rsid w:val="00D2297D"/>
    <w:pPr>
      <w:numPr>
        <w:numId w:val="38"/>
      </w:numPr>
      <w:contextualSpacing/>
    </w:pPr>
  </w:style>
  <w:style w:type="paragraph" w:styleId="ListNumber5">
    <w:name w:val="List Number 5"/>
    <w:basedOn w:val="Normal"/>
    <w:uiPriority w:val="99"/>
    <w:semiHidden/>
    <w:unhideWhenUsed/>
    <w:rsid w:val="00D2297D"/>
    <w:pPr>
      <w:numPr>
        <w:numId w:val="39"/>
      </w:numPr>
      <w:contextualSpacing/>
    </w:pPr>
  </w:style>
  <w:style w:type="paragraph" w:styleId="MacroText">
    <w:name w:val="macro"/>
    <w:link w:val="MacroTextChar"/>
    <w:uiPriority w:val="99"/>
    <w:semiHidden/>
    <w:unhideWhenUsed/>
    <w:rsid w:val="00D2297D"/>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nsolas" w:hAnsi="Consolas"/>
      <w:color w:val="000000"/>
    </w:rPr>
  </w:style>
  <w:style w:type="character" w:customStyle="1" w:styleId="MacroTextChar">
    <w:name w:val="Macro Text Char"/>
    <w:basedOn w:val="DefaultParagraphFont"/>
    <w:link w:val="MacroText"/>
    <w:uiPriority w:val="99"/>
    <w:semiHidden/>
    <w:rsid w:val="00D2297D"/>
    <w:rPr>
      <w:rFonts w:ascii="Consolas" w:hAnsi="Consolas"/>
      <w:color w:val="000000"/>
    </w:rPr>
  </w:style>
  <w:style w:type="paragraph" w:styleId="MessageHeader">
    <w:name w:val="Message Header"/>
    <w:basedOn w:val="Normal"/>
    <w:link w:val="MessageHeaderChar"/>
    <w:uiPriority w:val="99"/>
    <w:semiHidden/>
    <w:unhideWhenUsed/>
    <w:rsid w:val="00D2297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2297D"/>
    <w:rPr>
      <w:rFonts w:asciiTheme="majorHAnsi" w:eastAsiaTheme="majorEastAsia" w:hAnsiTheme="majorHAnsi" w:cstheme="majorBidi"/>
      <w:color w:val="000000"/>
      <w:sz w:val="24"/>
      <w:szCs w:val="24"/>
      <w:shd w:val="pct20" w:color="auto" w:fill="auto"/>
    </w:rPr>
  </w:style>
  <w:style w:type="paragraph" w:styleId="NoSpacing">
    <w:name w:val="No Spacing"/>
    <w:uiPriority w:val="1"/>
    <w:rsid w:val="00D2297D"/>
    <w:rPr>
      <w:rFonts w:ascii="Calibri" w:hAnsi="Calibri"/>
      <w:color w:val="000000"/>
    </w:rPr>
  </w:style>
  <w:style w:type="paragraph" w:styleId="NormalWeb">
    <w:name w:val="Normal (Web)"/>
    <w:basedOn w:val="Normal"/>
    <w:uiPriority w:val="99"/>
    <w:semiHidden/>
    <w:unhideWhenUsed/>
    <w:rsid w:val="00D2297D"/>
    <w:rPr>
      <w:rFonts w:ascii="Times New Roman" w:hAnsi="Times New Roman"/>
      <w:sz w:val="24"/>
      <w:szCs w:val="24"/>
    </w:rPr>
  </w:style>
  <w:style w:type="paragraph" w:styleId="NormalIndent">
    <w:name w:val="Normal Indent"/>
    <w:basedOn w:val="Normal"/>
    <w:uiPriority w:val="99"/>
    <w:semiHidden/>
    <w:unhideWhenUsed/>
    <w:rsid w:val="00D2297D"/>
    <w:pPr>
      <w:ind w:left="720"/>
    </w:pPr>
  </w:style>
  <w:style w:type="paragraph" w:styleId="NoteHeading">
    <w:name w:val="Note Heading"/>
    <w:basedOn w:val="Normal"/>
    <w:next w:val="Normal"/>
    <w:link w:val="NoteHeadingChar"/>
    <w:uiPriority w:val="99"/>
    <w:semiHidden/>
    <w:unhideWhenUsed/>
    <w:rsid w:val="00D2297D"/>
    <w:pPr>
      <w:spacing w:after="0" w:line="240" w:lineRule="auto"/>
    </w:pPr>
  </w:style>
  <w:style w:type="character" w:customStyle="1" w:styleId="NoteHeadingChar">
    <w:name w:val="Note Heading Char"/>
    <w:basedOn w:val="DefaultParagraphFont"/>
    <w:link w:val="NoteHeading"/>
    <w:uiPriority w:val="99"/>
    <w:semiHidden/>
    <w:rsid w:val="00D2297D"/>
    <w:rPr>
      <w:rFonts w:ascii="Calibri" w:hAnsi="Calibri"/>
      <w:color w:val="000000"/>
    </w:rPr>
  </w:style>
  <w:style w:type="paragraph" w:styleId="PlainText">
    <w:name w:val="Plain Text"/>
    <w:basedOn w:val="Normal"/>
    <w:link w:val="PlainTextChar"/>
    <w:uiPriority w:val="99"/>
    <w:semiHidden/>
    <w:unhideWhenUsed/>
    <w:rsid w:val="00D2297D"/>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2297D"/>
    <w:rPr>
      <w:rFonts w:ascii="Consolas" w:hAnsi="Consolas"/>
      <w:color w:val="000000"/>
      <w:sz w:val="21"/>
      <w:szCs w:val="21"/>
    </w:rPr>
  </w:style>
  <w:style w:type="paragraph" w:styleId="Salutation">
    <w:name w:val="Salutation"/>
    <w:basedOn w:val="Normal"/>
    <w:next w:val="Normal"/>
    <w:link w:val="SalutationChar"/>
    <w:uiPriority w:val="99"/>
    <w:semiHidden/>
    <w:unhideWhenUsed/>
    <w:rsid w:val="00D2297D"/>
  </w:style>
  <w:style w:type="character" w:customStyle="1" w:styleId="SalutationChar">
    <w:name w:val="Salutation Char"/>
    <w:basedOn w:val="DefaultParagraphFont"/>
    <w:link w:val="Salutation"/>
    <w:uiPriority w:val="99"/>
    <w:semiHidden/>
    <w:rsid w:val="00D2297D"/>
    <w:rPr>
      <w:rFonts w:ascii="Calibri" w:hAnsi="Calibri"/>
      <w:color w:val="000000"/>
    </w:rPr>
  </w:style>
  <w:style w:type="paragraph" w:styleId="Signature">
    <w:name w:val="Signature"/>
    <w:basedOn w:val="Normal"/>
    <w:link w:val="SignatureChar"/>
    <w:uiPriority w:val="99"/>
    <w:semiHidden/>
    <w:unhideWhenUsed/>
    <w:rsid w:val="00D2297D"/>
    <w:pPr>
      <w:spacing w:after="0" w:line="240" w:lineRule="auto"/>
      <w:ind w:left="4252"/>
    </w:pPr>
  </w:style>
  <w:style w:type="character" w:customStyle="1" w:styleId="SignatureChar">
    <w:name w:val="Signature Char"/>
    <w:basedOn w:val="DefaultParagraphFont"/>
    <w:link w:val="Signature"/>
    <w:uiPriority w:val="99"/>
    <w:semiHidden/>
    <w:rsid w:val="00D2297D"/>
    <w:rPr>
      <w:rFonts w:ascii="Calibri" w:hAnsi="Calibri"/>
      <w:color w:val="000000"/>
    </w:rPr>
  </w:style>
  <w:style w:type="paragraph" w:styleId="Subtitle">
    <w:name w:val="Subtitle"/>
    <w:basedOn w:val="Normal"/>
    <w:next w:val="Normal"/>
    <w:link w:val="SubtitleChar"/>
    <w:uiPriority w:val="11"/>
    <w:rsid w:val="00D2297D"/>
    <w:pPr>
      <w:numPr>
        <w:ilvl w:val="1"/>
      </w:numPr>
    </w:pPr>
    <w:rPr>
      <w:rFonts w:asciiTheme="majorHAnsi" w:eastAsiaTheme="majorEastAsia" w:hAnsiTheme="majorHAnsi" w:cstheme="majorBidi"/>
      <w:i/>
      <w:iCs/>
      <w:color w:val="002561" w:themeColor="accent1"/>
      <w:spacing w:val="15"/>
      <w:sz w:val="24"/>
      <w:szCs w:val="24"/>
    </w:rPr>
  </w:style>
  <w:style w:type="character" w:customStyle="1" w:styleId="SubtitleChar">
    <w:name w:val="Subtitle Char"/>
    <w:basedOn w:val="DefaultParagraphFont"/>
    <w:link w:val="Subtitle"/>
    <w:uiPriority w:val="11"/>
    <w:rsid w:val="00D2297D"/>
    <w:rPr>
      <w:rFonts w:asciiTheme="majorHAnsi" w:eastAsiaTheme="majorEastAsia" w:hAnsiTheme="majorHAnsi" w:cstheme="majorBidi"/>
      <w:i/>
      <w:iCs/>
      <w:color w:val="002561" w:themeColor="accent1"/>
      <w:spacing w:val="15"/>
      <w:sz w:val="24"/>
      <w:szCs w:val="24"/>
    </w:rPr>
  </w:style>
  <w:style w:type="paragraph" w:styleId="Title">
    <w:name w:val="Title"/>
    <w:basedOn w:val="Normal"/>
    <w:next w:val="Normal"/>
    <w:link w:val="TitleChar"/>
    <w:uiPriority w:val="10"/>
    <w:rsid w:val="00D2297D"/>
    <w:pPr>
      <w:pBdr>
        <w:bottom w:val="single" w:sz="8" w:space="4" w:color="002561" w:themeColor="accent1"/>
      </w:pBdr>
      <w:spacing w:after="300" w:line="240" w:lineRule="auto"/>
      <w:contextualSpacing/>
    </w:pPr>
    <w:rPr>
      <w:rFonts w:asciiTheme="majorHAnsi" w:eastAsiaTheme="majorEastAsia" w:hAnsiTheme="majorHAnsi" w:cstheme="majorBidi"/>
      <w:color w:val="001B48" w:themeColor="text2" w:themeShade="BF"/>
      <w:spacing w:val="5"/>
      <w:kern w:val="28"/>
      <w:sz w:val="52"/>
      <w:szCs w:val="52"/>
    </w:rPr>
  </w:style>
  <w:style w:type="character" w:customStyle="1" w:styleId="TitleChar">
    <w:name w:val="Title Char"/>
    <w:basedOn w:val="DefaultParagraphFont"/>
    <w:link w:val="Title"/>
    <w:uiPriority w:val="10"/>
    <w:rsid w:val="00D2297D"/>
    <w:rPr>
      <w:rFonts w:asciiTheme="majorHAnsi" w:eastAsiaTheme="majorEastAsia" w:hAnsiTheme="majorHAnsi" w:cstheme="majorBidi"/>
      <w:color w:val="001B48" w:themeColor="text2" w:themeShade="BF"/>
      <w:spacing w:val="5"/>
      <w:kern w:val="28"/>
      <w:sz w:val="52"/>
      <w:szCs w:val="52"/>
    </w:rPr>
  </w:style>
  <w:style w:type="paragraph" w:styleId="TOAHeading">
    <w:name w:val="toa heading"/>
    <w:basedOn w:val="Normal"/>
    <w:next w:val="Normal"/>
    <w:uiPriority w:val="99"/>
    <w:semiHidden/>
    <w:unhideWhenUsed/>
    <w:rsid w:val="00D2297D"/>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63.xml"/><Relationship Id="rId21" Type="http://schemas.openxmlformats.org/officeDocument/2006/relationships/image" Target="media/image2.jpeg"/><Relationship Id="rId42" Type="http://schemas.openxmlformats.org/officeDocument/2006/relationships/image" Target="media/image9.png"/><Relationship Id="rId63" Type="http://schemas.openxmlformats.org/officeDocument/2006/relationships/footer" Target="footer18.xml"/><Relationship Id="rId84" Type="http://schemas.openxmlformats.org/officeDocument/2006/relationships/footer" Target="footer35.xml"/><Relationship Id="rId138" Type="http://schemas.openxmlformats.org/officeDocument/2006/relationships/footer" Target="footer84.xml"/><Relationship Id="rId159" Type="http://schemas.openxmlformats.org/officeDocument/2006/relationships/footer" Target="footer96.xml"/><Relationship Id="rId170" Type="http://schemas.openxmlformats.org/officeDocument/2006/relationships/footer" Target="footer102.xml"/><Relationship Id="rId191" Type="http://schemas.openxmlformats.org/officeDocument/2006/relationships/hyperlink" Target="https://www.digitalhealth.gov.au/about-the-agency/publications/australias-national-digital-health-strategy" TargetMode="External"/><Relationship Id="rId205" Type="http://schemas.openxmlformats.org/officeDocument/2006/relationships/hyperlink" Target="http://www.who.int/goe/publications/goe_mhealth_web.pdf" TargetMode="External"/><Relationship Id="rId16" Type="http://schemas.openxmlformats.org/officeDocument/2006/relationships/footer" Target="footer2.xml"/><Relationship Id="rId107" Type="http://schemas.openxmlformats.org/officeDocument/2006/relationships/footer" Target="footer53.xml"/><Relationship Id="rId11" Type="http://schemas.openxmlformats.org/officeDocument/2006/relationships/hyperlink" Target="http://www.defence.gov.au/Health/DMH/ResearchSurveillancePlan.asp" TargetMode="External"/><Relationship Id="rId32" Type="http://schemas.openxmlformats.org/officeDocument/2006/relationships/footer" Target="footer6.xml"/><Relationship Id="rId37" Type="http://schemas.openxmlformats.org/officeDocument/2006/relationships/image" Target="media/image4.png"/><Relationship Id="rId53" Type="http://schemas.openxmlformats.org/officeDocument/2006/relationships/chart" Target="charts/chart2.xml"/><Relationship Id="rId58" Type="http://schemas.openxmlformats.org/officeDocument/2006/relationships/footer" Target="footer14.xml"/><Relationship Id="rId74" Type="http://schemas.openxmlformats.org/officeDocument/2006/relationships/footer" Target="footer27.xml"/><Relationship Id="rId79" Type="http://schemas.openxmlformats.org/officeDocument/2006/relationships/footer" Target="footer31.xml"/><Relationship Id="rId102" Type="http://schemas.openxmlformats.org/officeDocument/2006/relationships/footer" Target="footer49.xml"/><Relationship Id="rId123" Type="http://schemas.openxmlformats.org/officeDocument/2006/relationships/footer" Target="footer69.xml"/><Relationship Id="rId128" Type="http://schemas.openxmlformats.org/officeDocument/2006/relationships/footer" Target="footer74.xml"/><Relationship Id="rId144" Type="http://schemas.openxmlformats.org/officeDocument/2006/relationships/footer" Target="footer90.xml"/><Relationship Id="rId149" Type="http://schemas.openxmlformats.org/officeDocument/2006/relationships/chart" Target="charts/chart6.xml"/><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26.png"/><Relationship Id="rId160" Type="http://schemas.openxmlformats.org/officeDocument/2006/relationships/footer" Target="footer97.xml"/><Relationship Id="rId165" Type="http://schemas.openxmlformats.org/officeDocument/2006/relationships/footer" Target="footer99.xml"/><Relationship Id="rId181" Type="http://schemas.openxmlformats.org/officeDocument/2006/relationships/footer" Target="footer113.xml"/><Relationship Id="rId186" Type="http://schemas.openxmlformats.org/officeDocument/2006/relationships/hyperlink" Target="http://www.ausstats.abs.gov.au/Ausstats/subscriber.nsf/0/1680ECA402368CCFCA257AC90015AA4E/$File/4364.0.55.001.pdf" TargetMode="External"/><Relationship Id="rId22" Type="http://schemas.openxmlformats.org/officeDocument/2006/relationships/hyperlink" Target="http://www.defence.gov.au/Health/HealthPortal/" TargetMode="External"/><Relationship Id="rId27" Type="http://schemas.openxmlformats.org/officeDocument/2006/relationships/hyperlink" Target="https://www.therightmix.gov.au/" TargetMode="External"/><Relationship Id="rId43" Type="http://schemas.openxmlformats.org/officeDocument/2006/relationships/image" Target="media/image10.png"/><Relationship Id="rId48" Type="http://schemas.openxmlformats.org/officeDocument/2006/relationships/image" Target="media/image13.png"/><Relationship Id="rId64" Type="http://schemas.openxmlformats.org/officeDocument/2006/relationships/footer" Target="footer19.xml"/><Relationship Id="rId69" Type="http://schemas.openxmlformats.org/officeDocument/2006/relationships/footer" Target="footer23.xml"/><Relationship Id="rId113" Type="http://schemas.openxmlformats.org/officeDocument/2006/relationships/footer" Target="footer59.xml"/><Relationship Id="rId118" Type="http://schemas.openxmlformats.org/officeDocument/2006/relationships/footer" Target="footer64.xml"/><Relationship Id="rId134" Type="http://schemas.openxmlformats.org/officeDocument/2006/relationships/footer" Target="footer80.xml"/><Relationship Id="rId139" Type="http://schemas.openxmlformats.org/officeDocument/2006/relationships/footer" Target="footer85.xml"/><Relationship Id="rId80" Type="http://schemas.openxmlformats.org/officeDocument/2006/relationships/image" Target="media/image23.png"/><Relationship Id="rId85" Type="http://schemas.openxmlformats.org/officeDocument/2006/relationships/image" Target="media/image24.png"/><Relationship Id="rId150" Type="http://schemas.openxmlformats.org/officeDocument/2006/relationships/chart" Target="charts/chart7.xml"/><Relationship Id="rId155" Type="http://schemas.openxmlformats.org/officeDocument/2006/relationships/footer" Target="footer93.xml"/><Relationship Id="rId171" Type="http://schemas.openxmlformats.org/officeDocument/2006/relationships/footer" Target="footer103.xml"/><Relationship Id="rId176" Type="http://schemas.openxmlformats.org/officeDocument/2006/relationships/footer" Target="footer108.xml"/><Relationship Id="rId192" Type="http://schemas.openxmlformats.org/officeDocument/2006/relationships/hyperlink" Target="https://www.dta.gov.au/standard/" TargetMode="External"/><Relationship Id="rId197" Type="http://schemas.openxmlformats.org/officeDocument/2006/relationships/hyperlink" Target="https://www.gsma.com/mobileeconomy/wp-content/uploads/2018/02/The-Mobile-Economy-Global-2018.pdf" TargetMode="External"/><Relationship Id="rId206" Type="http://schemas.openxmlformats.org/officeDocument/2006/relationships/fontTable" Target="fontTable.xml"/><Relationship Id="rId201" Type="http://schemas.openxmlformats.org/officeDocument/2006/relationships/hyperlink" Target="http://www.nhsconfed.org/resources/2013/01/e-mental-health-whats-all-the-fuss-about" TargetMode="External"/><Relationship Id="rId12" Type="http://schemas.openxmlformats.org/officeDocument/2006/relationships/hyperlink" Target="http://www.dva.gov.au/" TargetMode="External"/><Relationship Id="rId17" Type="http://schemas.openxmlformats.org/officeDocument/2006/relationships/header" Target="header3.xml"/><Relationship Id="rId33" Type="http://schemas.openxmlformats.org/officeDocument/2006/relationships/footer" Target="footer7.xml"/><Relationship Id="rId38" Type="http://schemas.openxmlformats.org/officeDocument/2006/relationships/image" Target="media/image5.png"/><Relationship Id="rId59" Type="http://schemas.openxmlformats.org/officeDocument/2006/relationships/footer" Target="footer15.xml"/><Relationship Id="rId103" Type="http://schemas.openxmlformats.org/officeDocument/2006/relationships/footer" Target="footer50.xml"/><Relationship Id="rId108" Type="http://schemas.openxmlformats.org/officeDocument/2006/relationships/footer" Target="footer54.xml"/><Relationship Id="rId124" Type="http://schemas.openxmlformats.org/officeDocument/2006/relationships/footer" Target="footer70.xml"/><Relationship Id="rId129" Type="http://schemas.openxmlformats.org/officeDocument/2006/relationships/footer" Target="footer75.xml"/><Relationship Id="rId54" Type="http://schemas.openxmlformats.org/officeDocument/2006/relationships/image" Target="media/image17.png"/><Relationship Id="rId70" Type="http://schemas.openxmlformats.org/officeDocument/2006/relationships/image" Target="media/image21.png"/><Relationship Id="rId75" Type="http://schemas.openxmlformats.org/officeDocument/2006/relationships/image" Target="media/image22.png"/><Relationship Id="rId91" Type="http://schemas.openxmlformats.org/officeDocument/2006/relationships/footer" Target="footer40.xml"/><Relationship Id="rId96" Type="http://schemas.openxmlformats.org/officeDocument/2006/relationships/footer" Target="footer44.xml"/><Relationship Id="rId140" Type="http://schemas.openxmlformats.org/officeDocument/2006/relationships/footer" Target="footer86.xml"/><Relationship Id="rId145" Type="http://schemas.openxmlformats.org/officeDocument/2006/relationships/footer" Target="footer91.xml"/><Relationship Id="rId161" Type="http://schemas.openxmlformats.org/officeDocument/2006/relationships/chart" Target="charts/chart12.xml"/><Relationship Id="rId166" Type="http://schemas.openxmlformats.org/officeDocument/2006/relationships/hyperlink" Target="https://mobile.va.gov" TargetMode="External"/><Relationship Id="rId182" Type="http://schemas.openxmlformats.org/officeDocument/2006/relationships/footer" Target="footer114.xml"/><Relationship Id="rId187" Type="http://schemas.openxmlformats.org/officeDocument/2006/relationships/hyperlink" Target="http://www.abs.gov.au/ausstats/abs@.nsf/mf/8146.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ngage.forcenet.gov.au/" TargetMode="External"/><Relationship Id="rId28" Type="http://schemas.openxmlformats.org/officeDocument/2006/relationships/hyperlink" Target="https://www.openarms.gov.au/about/vvcs-now-open-arms-veterans-families-counselling" TargetMode="External"/><Relationship Id="rId49" Type="http://schemas.openxmlformats.org/officeDocument/2006/relationships/chart" Target="charts/chart1.xml"/><Relationship Id="rId114" Type="http://schemas.openxmlformats.org/officeDocument/2006/relationships/footer" Target="footer60.xml"/><Relationship Id="rId119" Type="http://schemas.openxmlformats.org/officeDocument/2006/relationships/footer" Target="footer65.xml"/><Relationship Id="rId44"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0.png"/><Relationship Id="rId81" Type="http://schemas.openxmlformats.org/officeDocument/2006/relationships/footer" Target="footer32.xml"/><Relationship Id="rId86" Type="http://schemas.openxmlformats.org/officeDocument/2006/relationships/footer" Target="footer36.xml"/><Relationship Id="rId130" Type="http://schemas.openxmlformats.org/officeDocument/2006/relationships/footer" Target="footer76.xml"/><Relationship Id="rId135" Type="http://schemas.openxmlformats.org/officeDocument/2006/relationships/footer" Target="footer81.xml"/><Relationship Id="rId151" Type="http://schemas.openxmlformats.org/officeDocument/2006/relationships/chart" Target="charts/chart8.xml"/><Relationship Id="rId156" Type="http://schemas.openxmlformats.org/officeDocument/2006/relationships/chart" Target="charts/chart11.xml"/><Relationship Id="rId177" Type="http://schemas.openxmlformats.org/officeDocument/2006/relationships/footer" Target="footer109.xml"/><Relationship Id="rId198" Type="http://schemas.openxmlformats.org/officeDocument/2006/relationships/hyperlink" Target="http://www.ipaq.ki.se" TargetMode="External"/><Relationship Id="rId172" Type="http://schemas.openxmlformats.org/officeDocument/2006/relationships/footer" Target="footer104.xml"/><Relationship Id="rId193" Type="http://schemas.openxmlformats.org/officeDocument/2006/relationships/hyperlink" Target="https://www.aihw.gov.au/reports/illicit-use-of-drugs/ndshs-2013-detailed/contents/table-of-contents" TargetMode="External"/><Relationship Id="rId202" Type="http://schemas.openxmlformats.org/officeDocument/2006/relationships/hyperlink" Target="https://www.veterantraining.va.gov/movingforward/media/MovingForward_user_guide_508.pdf" TargetMode="External"/><Relationship Id="rId207"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6.png"/><Relationship Id="rId109" Type="http://schemas.openxmlformats.org/officeDocument/2006/relationships/footer" Target="footer55.xml"/><Relationship Id="rId34" Type="http://schemas.openxmlformats.org/officeDocument/2006/relationships/footer" Target="footer8.xml"/><Relationship Id="rId50" Type="http://schemas.openxmlformats.org/officeDocument/2006/relationships/image" Target="media/image14.png"/><Relationship Id="rId55" Type="http://schemas.openxmlformats.org/officeDocument/2006/relationships/image" Target="media/image18.png"/><Relationship Id="rId76" Type="http://schemas.openxmlformats.org/officeDocument/2006/relationships/footer" Target="footer28.xml"/><Relationship Id="rId97" Type="http://schemas.openxmlformats.org/officeDocument/2006/relationships/footer" Target="footer45.xml"/><Relationship Id="rId104" Type="http://schemas.openxmlformats.org/officeDocument/2006/relationships/footer" Target="footer51.xml"/><Relationship Id="rId120" Type="http://schemas.openxmlformats.org/officeDocument/2006/relationships/footer" Target="footer66.xml"/><Relationship Id="rId125" Type="http://schemas.openxmlformats.org/officeDocument/2006/relationships/footer" Target="footer71.xml"/><Relationship Id="rId141" Type="http://schemas.openxmlformats.org/officeDocument/2006/relationships/footer" Target="footer87.xml"/><Relationship Id="rId146" Type="http://schemas.openxmlformats.org/officeDocument/2006/relationships/chart" Target="charts/chart3.xml"/><Relationship Id="rId167" Type="http://schemas.openxmlformats.org/officeDocument/2006/relationships/footer" Target="footer100.xml"/><Relationship Id="rId188" Type="http://schemas.openxmlformats.org/officeDocument/2006/relationships/hyperlink" Target="http://www.defence.gov.au/Health/_master/HealthUpdates/docs/Defence_Mental_Health_Wellbeing_Strategy_2018-2023.PDF" TargetMode="External"/><Relationship Id="rId7" Type="http://schemas.openxmlformats.org/officeDocument/2006/relationships/endnotes" Target="endnotes.xml"/><Relationship Id="rId71" Type="http://schemas.openxmlformats.org/officeDocument/2006/relationships/footer" Target="footer24.xml"/><Relationship Id="rId92" Type="http://schemas.openxmlformats.org/officeDocument/2006/relationships/footer" Target="footer41.xml"/><Relationship Id="rId162" Type="http://schemas.openxmlformats.org/officeDocument/2006/relationships/chart" Target="charts/chart13.xml"/><Relationship Id="rId183" Type="http://schemas.openxmlformats.org/officeDocument/2006/relationships/footer" Target="footer115.xml"/><Relationship Id="rId2" Type="http://schemas.openxmlformats.org/officeDocument/2006/relationships/numbering" Target="numbering.xml"/><Relationship Id="rId29" Type="http://schemas.openxmlformats.org/officeDocument/2006/relationships/hyperlink" Target="https://headtohealth.gov.au/supporting-yourself/support-for/veterans" TargetMode="External"/><Relationship Id="rId24" Type="http://schemas.openxmlformats.org/officeDocument/2006/relationships/hyperlink" Target="http://www.defence.gov.au/DCO/" TargetMode="Extern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footer" Target="footer20.xml"/><Relationship Id="rId87" Type="http://schemas.openxmlformats.org/officeDocument/2006/relationships/footer" Target="footer37.xml"/><Relationship Id="rId110" Type="http://schemas.openxmlformats.org/officeDocument/2006/relationships/footer" Target="footer56.xml"/><Relationship Id="rId115" Type="http://schemas.openxmlformats.org/officeDocument/2006/relationships/footer" Target="footer61.xml"/><Relationship Id="rId131" Type="http://schemas.openxmlformats.org/officeDocument/2006/relationships/footer" Target="footer77.xml"/><Relationship Id="rId136" Type="http://schemas.openxmlformats.org/officeDocument/2006/relationships/footer" Target="footer82.xml"/><Relationship Id="rId157" Type="http://schemas.openxmlformats.org/officeDocument/2006/relationships/footer" Target="footer94.xml"/><Relationship Id="rId178" Type="http://schemas.openxmlformats.org/officeDocument/2006/relationships/footer" Target="footer110.xml"/><Relationship Id="rId61" Type="http://schemas.openxmlformats.org/officeDocument/2006/relationships/footer" Target="footer16.xml"/><Relationship Id="rId82" Type="http://schemas.openxmlformats.org/officeDocument/2006/relationships/footer" Target="footer33.xml"/><Relationship Id="rId152" Type="http://schemas.openxmlformats.org/officeDocument/2006/relationships/chart" Target="charts/chart9.xml"/><Relationship Id="rId173" Type="http://schemas.openxmlformats.org/officeDocument/2006/relationships/footer" Target="footer105.xml"/><Relationship Id="rId194" Type="http://schemas.openxmlformats.org/officeDocument/2006/relationships/hyperlink" Target="https://www.doctorportal.com.au/mjainsight/2018/12/technology-rewards-for-public-health-stunning/" TargetMode="External"/><Relationship Id="rId199" Type="http://schemas.openxmlformats.org/officeDocument/2006/relationships/hyperlink" Target="https://www.dva.gov.au/sites/default/files/files/consultation%20and%20grants/healthstudies/timor_leste/tlfs-technical.pdf" TargetMode="External"/><Relationship Id="rId203" Type="http://schemas.openxmlformats.org/officeDocument/2006/relationships/hyperlink" Target="https://www.dva.gov.au/sites/default/files/files/consultation%20and%20grants/healthstudies/gulfwar/follow_up2015/aus_gulf_war_follow_up_tech_report2015.pdf" TargetMode="External"/><Relationship Id="rId208" Type="http://schemas.microsoft.com/office/2016/09/relationships/commentsIds" Target="commentsIds.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hyperlink" Target="https://mobile.va.gov" TargetMode="External"/><Relationship Id="rId35" Type="http://schemas.openxmlformats.org/officeDocument/2006/relationships/footer" Target="footer9.xml"/><Relationship Id="rId56" Type="http://schemas.openxmlformats.org/officeDocument/2006/relationships/footer" Target="footer12.xml"/><Relationship Id="rId77" Type="http://schemas.openxmlformats.org/officeDocument/2006/relationships/footer" Target="footer29.xml"/><Relationship Id="rId100" Type="http://schemas.openxmlformats.org/officeDocument/2006/relationships/image" Target="media/image27.png"/><Relationship Id="rId105" Type="http://schemas.openxmlformats.org/officeDocument/2006/relationships/image" Target="media/image28.png"/><Relationship Id="rId126" Type="http://schemas.openxmlformats.org/officeDocument/2006/relationships/footer" Target="footer72.xml"/><Relationship Id="rId147" Type="http://schemas.openxmlformats.org/officeDocument/2006/relationships/chart" Target="charts/chart4.xml"/><Relationship Id="rId168" Type="http://schemas.openxmlformats.org/officeDocument/2006/relationships/footer" Target="footer101.xml"/><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footer" Target="footer25.xml"/><Relationship Id="rId93" Type="http://schemas.openxmlformats.org/officeDocument/2006/relationships/footer" Target="footer42.xml"/><Relationship Id="rId98" Type="http://schemas.openxmlformats.org/officeDocument/2006/relationships/footer" Target="footer46.xml"/><Relationship Id="rId121" Type="http://schemas.openxmlformats.org/officeDocument/2006/relationships/footer" Target="footer67.xml"/><Relationship Id="rId142" Type="http://schemas.openxmlformats.org/officeDocument/2006/relationships/footer" Target="footer88.xml"/><Relationship Id="rId163" Type="http://schemas.openxmlformats.org/officeDocument/2006/relationships/chart" Target="charts/chart14.xml"/><Relationship Id="rId184" Type="http://schemas.openxmlformats.org/officeDocument/2006/relationships/hyperlink" Target="https://www.researchgate.net/publication/321547668_US_Department_of_Defense_Mobile_Health_Practice_Guide_3rd_Edition" TargetMode="External"/><Relationship Id="rId189" Type="http://schemas.openxmlformats.org/officeDocument/2006/relationships/hyperlink" Target="http://www.health.gov.au/internet/main/publishing.nsf/content/7C7B0BFEB985D0EBCA257BF0001BB0A6/$File/emstrat.pdf" TargetMode="External"/><Relationship Id="rId3" Type="http://schemas.openxmlformats.org/officeDocument/2006/relationships/styles" Target="styles.xml"/><Relationship Id="rId25" Type="http://schemas.openxmlformats.org/officeDocument/2006/relationships/hyperlink" Target="http://at-ease.dva.gov.au/" TargetMode="External"/><Relationship Id="rId46" Type="http://schemas.openxmlformats.org/officeDocument/2006/relationships/footer" Target="footer10.xml"/><Relationship Id="rId67" Type="http://schemas.openxmlformats.org/officeDocument/2006/relationships/footer" Target="footer21.xml"/><Relationship Id="rId116" Type="http://schemas.openxmlformats.org/officeDocument/2006/relationships/footer" Target="footer62.xml"/><Relationship Id="rId137" Type="http://schemas.openxmlformats.org/officeDocument/2006/relationships/footer" Target="footer83.xml"/><Relationship Id="rId158" Type="http://schemas.openxmlformats.org/officeDocument/2006/relationships/footer" Target="footer95.xml"/><Relationship Id="rId20" Type="http://schemas.openxmlformats.org/officeDocument/2006/relationships/footer" Target="footer5.xml"/><Relationship Id="rId41" Type="http://schemas.openxmlformats.org/officeDocument/2006/relationships/image" Target="media/image8.png"/><Relationship Id="rId62" Type="http://schemas.openxmlformats.org/officeDocument/2006/relationships/footer" Target="footer17.xml"/><Relationship Id="rId83" Type="http://schemas.openxmlformats.org/officeDocument/2006/relationships/footer" Target="footer34.xml"/><Relationship Id="rId88" Type="http://schemas.openxmlformats.org/officeDocument/2006/relationships/footer" Target="footer38.xml"/><Relationship Id="rId111" Type="http://schemas.openxmlformats.org/officeDocument/2006/relationships/footer" Target="footer57.xml"/><Relationship Id="rId132" Type="http://schemas.openxmlformats.org/officeDocument/2006/relationships/footer" Target="footer78.xml"/><Relationship Id="rId153" Type="http://schemas.openxmlformats.org/officeDocument/2006/relationships/chart" Target="charts/chart10.xml"/><Relationship Id="rId174" Type="http://schemas.openxmlformats.org/officeDocument/2006/relationships/footer" Target="footer106.xml"/><Relationship Id="rId179" Type="http://schemas.openxmlformats.org/officeDocument/2006/relationships/footer" Target="footer111.xml"/><Relationship Id="rId195" Type="http://schemas.openxmlformats.org/officeDocument/2006/relationships/hyperlink" Target="http://landing.deloitte.com.au/rs/761-IBL-328/images/tmt-mobile-consumer-2016-final-report-101116.pdf" TargetMode="External"/><Relationship Id="rId190" Type="http://schemas.openxmlformats.org/officeDocument/2006/relationships/hyperlink" Target="https://www.dva.gov.au/sites/default/files/files/publications/health/mental-social_health_action_plan.pdf" TargetMode="External"/><Relationship Id="rId204" Type="http://schemas.openxmlformats.org/officeDocument/2006/relationships/hyperlink" Target="http://melbourneinstitute.unimelb.edu.au/hilda" TargetMode="External"/><Relationship Id="rId15" Type="http://schemas.openxmlformats.org/officeDocument/2006/relationships/footer" Target="footer1.xml"/><Relationship Id="rId36" Type="http://schemas.openxmlformats.org/officeDocument/2006/relationships/image" Target="media/image3.png"/><Relationship Id="rId57" Type="http://schemas.openxmlformats.org/officeDocument/2006/relationships/footer" Target="footer13.xml"/><Relationship Id="rId106" Type="http://schemas.openxmlformats.org/officeDocument/2006/relationships/footer" Target="footer52.xml"/><Relationship Id="rId127" Type="http://schemas.openxmlformats.org/officeDocument/2006/relationships/footer" Target="footer73.xml"/><Relationship Id="rId10" Type="http://schemas.openxmlformats.org/officeDocument/2006/relationships/hyperlink" Target="mailto:publications@dva.gov.au" TargetMode="External"/><Relationship Id="rId31" Type="http://schemas.openxmlformats.org/officeDocument/2006/relationships/hyperlink" Target="file:///C:\Users\candec\AppData\Local\Microsoft\Windows\INetCache\Content.Outlook\KRSPIQRW\www.patientsknowbest.com" TargetMode="External"/><Relationship Id="rId52" Type="http://schemas.openxmlformats.org/officeDocument/2006/relationships/image" Target="media/image16.png"/><Relationship Id="rId73" Type="http://schemas.openxmlformats.org/officeDocument/2006/relationships/footer" Target="footer26.xml"/><Relationship Id="rId78" Type="http://schemas.openxmlformats.org/officeDocument/2006/relationships/footer" Target="footer30.xml"/><Relationship Id="rId94" Type="http://schemas.openxmlformats.org/officeDocument/2006/relationships/footer" Target="footer43.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68.xml"/><Relationship Id="rId143" Type="http://schemas.openxmlformats.org/officeDocument/2006/relationships/footer" Target="footer89.xml"/><Relationship Id="rId148" Type="http://schemas.openxmlformats.org/officeDocument/2006/relationships/chart" Target="charts/chart5.xml"/><Relationship Id="rId164" Type="http://schemas.openxmlformats.org/officeDocument/2006/relationships/footer" Target="footer98.xml"/><Relationship Id="rId169" Type="http://schemas.openxmlformats.org/officeDocument/2006/relationships/image" Target="media/image29.emf"/><Relationship Id="rId185" Type="http://schemas.openxmlformats.org/officeDocument/2006/relationships/hyperlink" Target="http://www.abs.gov.au/AUSSTATS/abs@.nsf/DetailsPage/4159.02010" TargetMode="External"/><Relationship Id="rId4" Type="http://schemas.openxmlformats.org/officeDocument/2006/relationships/settings" Target="settings.xml"/><Relationship Id="rId9" Type="http://schemas.openxmlformats.org/officeDocument/2006/relationships/hyperlink" Target="https://creativecommons.org/licenses/by/3.0/au/legalcode" TargetMode="External"/><Relationship Id="rId180" Type="http://schemas.openxmlformats.org/officeDocument/2006/relationships/footer" Target="footer112.xml"/><Relationship Id="rId26" Type="http://schemas.openxmlformats.org/officeDocument/2006/relationships/hyperlink" Target="https://at-ease.dva.gov.au/highres" TargetMode="External"/><Relationship Id="rId47" Type="http://schemas.openxmlformats.org/officeDocument/2006/relationships/footer" Target="footer11.xml"/><Relationship Id="rId68" Type="http://schemas.openxmlformats.org/officeDocument/2006/relationships/footer" Target="footer22.xml"/><Relationship Id="rId89" Type="http://schemas.openxmlformats.org/officeDocument/2006/relationships/footer" Target="footer39.xml"/><Relationship Id="rId112" Type="http://schemas.openxmlformats.org/officeDocument/2006/relationships/footer" Target="footer58.xml"/><Relationship Id="rId133" Type="http://schemas.openxmlformats.org/officeDocument/2006/relationships/footer" Target="footer79.xml"/><Relationship Id="rId154" Type="http://schemas.openxmlformats.org/officeDocument/2006/relationships/footer" Target="footer92.xml"/><Relationship Id="rId175" Type="http://schemas.openxmlformats.org/officeDocument/2006/relationships/footer" Target="footer107.xml"/><Relationship Id="rId196" Type="http://schemas.openxmlformats.org/officeDocument/2006/relationships/hyperlink" Target="http://www.ey.com/Publication/vwLUAssets/EY_-_Health_reimagined:_a_new_participatory_health_paradigm/%24FILE/ey-health-reimagined-2016.pdf" TargetMode="External"/><Relationship Id="rId200" Type="http://schemas.openxmlformats.org/officeDocument/2006/relationships/hyperlink" Target="https://nswmentalhealthcommission.com.au/sites/default/files/assets/File/Report%20-%20The%20Sax%20Institute%20E-Mental%20Health%20Evidence%20Review%20cover%20pag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oleObject" Target="file:///\\Volumes\sphcp\CTSS\DATA%20REPOSITORY\TWRP\REPORT%205\YandW%20Comparison\R5%20figures%20for%20low%20and%20mod%20k10%20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Volumes\sphcp\CTSS\DATA%20REPOSITORY\TWRP\REPORT%205\YandW%20Comparison\R5%20figures%20for%20low%20and%20mod%20k10%20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Volumes\sphcp\CTSS\DATA%20REPOSITORY\TWRP\REPORT%205\YandW%20Comparison\R5%20figures%20for%20low%20and%20mod%20k10%20v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Volumes\sphcp\CTSS\DATA%20REPOSITORY\TWRP\REPORT%205\YandW%20Comparison\R5%20figures%20for%20low%20and%20mod%20k10%20v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9129483814524"/>
          <c:y val="4.4057617797775277E-2"/>
          <c:w val="0.83855314960629923"/>
          <c:h val="0.7553683914510686"/>
        </c:manualLayout>
      </c:layout>
      <c:barChart>
        <c:barDir val="col"/>
        <c:grouping val="clustered"/>
        <c:varyColors val="0"/>
        <c:ser>
          <c:idx val="0"/>
          <c:order val="0"/>
          <c:tx>
            <c:strRef>
              <c:f>Sheet1!$B$1</c:f>
              <c:strCache>
                <c:ptCount val="1"/>
                <c:pt idx="0">
                  <c:v>Transitioned ADF</c:v>
                </c:pt>
              </c:strCache>
            </c:strRef>
          </c:tx>
          <c:spPr>
            <a:solidFill>
              <a:srgbClr val="A330A0"/>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Smartwatch</c:v>
                </c:pt>
                <c:pt idx="1">
                  <c:v>Software applications or “apps”</c:v>
                </c:pt>
                <c:pt idx="2">
                  <c:v>Wearable technology (eg. Fitbit, Jawbone)</c:v>
                </c:pt>
                <c:pt idx="3">
                  <c:v>Other</c:v>
                </c:pt>
              </c:strCache>
            </c:strRef>
          </c:cat>
          <c:val>
            <c:numRef>
              <c:f>Sheet1!$B$2:$B$5</c:f>
              <c:numCache>
                <c:formatCode>General</c:formatCode>
                <c:ptCount val="4"/>
                <c:pt idx="0">
                  <c:v>6.9</c:v>
                </c:pt>
                <c:pt idx="1">
                  <c:v>83</c:v>
                </c:pt>
                <c:pt idx="2">
                  <c:v>28.7</c:v>
                </c:pt>
                <c:pt idx="3">
                  <c:v>5.9</c:v>
                </c:pt>
              </c:numCache>
            </c:numRef>
          </c:val>
          <c:extLst xmlns:c16r2="http://schemas.microsoft.com/office/drawing/2015/06/chart">
            <c:ext xmlns:c16="http://schemas.microsoft.com/office/drawing/2014/chart" uri="{C3380CC4-5D6E-409C-BE32-E72D297353CC}">
              <c16:uniqueId val="{00000001-E56E-1C43-9951-C973B34D62F5}"/>
            </c:ext>
          </c:extLst>
        </c:ser>
        <c:ser>
          <c:idx val="1"/>
          <c:order val="1"/>
          <c:tx>
            <c:strRef>
              <c:f>Sheet1!$C$1</c:f>
              <c:strCache>
                <c:ptCount val="1"/>
                <c:pt idx="0">
                  <c:v>2015 Regular ADF</c:v>
                </c:pt>
              </c:strCache>
            </c:strRef>
          </c:tx>
          <c:spPr>
            <a:solidFill>
              <a:srgbClr val="378193"/>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Smartwatch</c:v>
                </c:pt>
                <c:pt idx="1">
                  <c:v>Software applications or “apps”</c:v>
                </c:pt>
                <c:pt idx="2">
                  <c:v>Wearable technology (eg. Fitbit, Jawbone)</c:v>
                </c:pt>
                <c:pt idx="3">
                  <c:v>Other</c:v>
                </c:pt>
              </c:strCache>
            </c:strRef>
          </c:cat>
          <c:val>
            <c:numRef>
              <c:f>Sheet1!$C$2:$C$5</c:f>
              <c:numCache>
                <c:formatCode>General</c:formatCode>
                <c:ptCount val="4"/>
                <c:pt idx="0">
                  <c:v>11.7</c:v>
                </c:pt>
                <c:pt idx="1">
                  <c:v>85.4</c:v>
                </c:pt>
                <c:pt idx="2">
                  <c:v>33</c:v>
                </c:pt>
                <c:pt idx="3">
                  <c:v>4.4000000000000004</c:v>
                </c:pt>
              </c:numCache>
            </c:numRef>
          </c:val>
          <c:extLst xmlns:c16r2="http://schemas.microsoft.com/office/drawing/2015/06/chart">
            <c:ext xmlns:c16="http://schemas.microsoft.com/office/drawing/2014/chart" uri="{C3380CC4-5D6E-409C-BE32-E72D297353CC}">
              <c16:uniqueId val="{00000003-E56E-1C43-9951-C973B34D62F5}"/>
            </c:ext>
          </c:extLst>
        </c:ser>
        <c:dLbls>
          <c:showLegendKey val="0"/>
          <c:showVal val="0"/>
          <c:showCatName val="0"/>
          <c:showSerName val="0"/>
          <c:showPercent val="0"/>
          <c:showBubbleSize val="0"/>
        </c:dLbls>
        <c:gapWidth val="219"/>
        <c:overlap val="-27"/>
        <c:axId val="383599520"/>
        <c:axId val="383602656"/>
      </c:barChart>
      <c:catAx>
        <c:axId val="38359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3602656"/>
        <c:crosses val="autoZero"/>
        <c:auto val="1"/>
        <c:lblAlgn val="ctr"/>
        <c:lblOffset val="100"/>
        <c:noMultiLvlLbl val="0"/>
      </c:catAx>
      <c:valAx>
        <c:axId val="383602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080583677040369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3599520"/>
        <c:crosses val="autoZero"/>
        <c:crossBetween val="between"/>
      </c:valAx>
      <c:spPr>
        <a:noFill/>
        <a:ln>
          <a:noFill/>
        </a:ln>
        <a:effectLst/>
      </c:spPr>
    </c:plotArea>
    <c:legend>
      <c:legendPos val="b"/>
      <c:layout>
        <c:manualLayout>
          <c:xMode val="edge"/>
          <c:yMode val="edge"/>
          <c:x val="0.70115769903762026"/>
          <c:y val="8.7797150356205444E-2"/>
          <c:w val="0.26157327209098863"/>
          <c:h val="0.13442507186601674"/>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9.5238095238095233E-2"/>
          <c:w val="0.84734951881014875"/>
          <c:h val="0.76558180227471562"/>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Low (10–15)</c:v>
                </c:pt>
                <c:pt idx="1">
                  <c:v>Moderate (16–21)</c:v>
                </c:pt>
                <c:pt idx="2">
                  <c:v>High (22–29)</c:v>
                </c:pt>
                <c:pt idx="3">
                  <c:v>Very High (30–50)</c:v>
                </c:pt>
              </c:strCache>
            </c:strRef>
          </c:cat>
          <c:val>
            <c:numRef>
              <c:f>Sheet1!$B$2:$B$5</c:f>
              <c:numCache>
                <c:formatCode>General</c:formatCode>
                <c:ptCount val="4"/>
                <c:pt idx="0">
                  <c:v>52.9</c:v>
                </c:pt>
                <c:pt idx="1">
                  <c:v>15.5</c:v>
                </c:pt>
                <c:pt idx="2">
                  <c:v>13</c:v>
                </c:pt>
                <c:pt idx="3">
                  <c:v>18.600000000000001</c:v>
                </c:pt>
              </c:numCache>
            </c:numRef>
          </c:val>
          <c:extLst xmlns:c16r2="http://schemas.microsoft.com/office/drawing/2015/06/chart">
            <c:ext xmlns:c16="http://schemas.microsoft.com/office/drawing/2014/chart" uri="{C3380CC4-5D6E-409C-BE32-E72D297353CC}">
              <c16:uniqueId val="{00000000-E392-3A45-92CC-D8BE7D3B55CD}"/>
            </c:ext>
          </c:extLst>
        </c:ser>
        <c:ser>
          <c:idx val="1"/>
          <c:order val="1"/>
          <c:tx>
            <c:strRef>
              <c:f>Sheet1!$C$1</c:f>
              <c:strCache>
                <c:ptCount val="1"/>
                <c:pt idx="0">
                  <c:v>Young and Well cohort 18–25 years</c:v>
                </c:pt>
              </c:strCache>
            </c:strRef>
          </c:tx>
          <c:spPr>
            <a:solidFill>
              <a:srgbClr val="2E737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Low (10–15)</c:v>
                </c:pt>
                <c:pt idx="1">
                  <c:v>Moderate (16–21)</c:v>
                </c:pt>
                <c:pt idx="2">
                  <c:v>High (22–29)</c:v>
                </c:pt>
                <c:pt idx="3">
                  <c:v>Very High (30–50)</c:v>
                </c:pt>
              </c:strCache>
            </c:strRef>
          </c:cat>
          <c:val>
            <c:numRef>
              <c:f>Sheet1!$C$2:$C$5</c:f>
              <c:numCache>
                <c:formatCode>General</c:formatCode>
                <c:ptCount val="4"/>
                <c:pt idx="0">
                  <c:v>56.1</c:v>
                </c:pt>
                <c:pt idx="1">
                  <c:v>27.2</c:v>
                </c:pt>
                <c:pt idx="2">
                  <c:v>10.5</c:v>
                </c:pt>
                <c:pt idx="3">
                  <c:v>5.4</c:v>
                </c:pt>
              </c:numCache>
            </c:numRef>
          </c:val>
          <c:extLst xmlns:c16r2="http://schemas.microsoft.com/office/drawing/2015/06/chart">
            <c:ext xmlns:c16="http://schemas.microsoft.com/office/drawing/2014/chart" uri="{C3380CC4-5D6E-409C-BE32-E72D297353CC}">
              <c16:uniqueId val="{00000001-E392-3A45-92CC-D8BE7D3B55CD}"/>
            </c:ext>
          </c:extLst>
        </c:ser>
        <c:dLbls>
          <c:showLegendKey val="0"/>
          <c:showVal val="0"/>
          <c:showCatName val="0"/>
          <c:showSerName val="0"/>
          <c:showPercent val="0"/>
          <c:showBubbleSize val="0"/>
        </c:dLbls>
        <c:gapWidth val="219"/>
        <c:overlap val="-27"/>
        <c:axId val="387207648"/>
        <c:axId val="387208432"/>
      </c:barChart>
      <c:catAx>
        <c:axId val="3872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7208432"/>
        <c:crosses val="autoZero"/>
        <c:auto val="1"/>
        <c:lblAlgn val="ctr"/>
        <c:lblOffset val="100"/>
        <c:noMultiLvlLbl val="0"/>
      </c:catAx>
      <c:valAx>
        <c:axId val="38720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573940757405324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7207648"/>
        <c:crosses val="autoZero"/>
        <c:crossBetween val="between"/>
      </c:valAx>
      <c:spPr>
        <a:noFill/>
        <a:ln>
          <a:noFill/>
        </a:ln>
        <a:effectLst/>
      </c:spPr>
    </c:plotArea>
    <c:legend>
      <c:legendPos val="b"/>
      <c:layout>
        <c:manualLayout>
          <c:xMode val="edge"/>
          <c:yMode val="edge"/>
          <c:x val="0.5273123359580052"/>
          <c:y val="4.4146356705411789E-2"/>
          <c:w val="0.44259733158355208"/>
          <c:h val="0.126488563929508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702873679251624E-2"/>
          <c:y val="9.2315968503937001E-2"/>
          <c:w val="0.91824260376693123"/>
          <c:h val="0.69990903747444511"/>
        </c:manualLayout>
      </c:layout>
      <c:barChart>
        <c:barDir val="col"/>
        <c:grouping val="clustered"/>
        <c:varyColors val="0"/>
        <c:ser>
          <c:idx val="0"/>
          <c:order val="0"/>
          <c:tx>
            <c:strRef>
              <c:f>Sheet1!$C$79</c:f>
              <c:strCache>
                <c:ptCount val="1"/>
                <c:pt idx="0">
                  <c:v>Transitioned ADF 18-25 years</c:v>
                </c:pt>
              </c:strCache>
            </c:strRef>
          </c:tx>
          <c:spPr>
            <a:solidFill>
              <a:srgbClr val="A03AB2"/>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Sheet1!$A$80:$B$89</c:f>
              <c:multiLvlStrCache>
                <c:ptCount val="10"/>
                <c:lvl>
                  <c:pt idx="0">
                    <c:v>Every day or almost everyday</c:v>
                  </c:pt>
                  <c:pt idx="1">
                    <c:v>Once or twice a week</c:v>
                  </c:pt>
                  <c:pt idx="2">
                    <c:v>Once or twice a month</c:v>
                  </c:pt>
                  <c:pt idx="3">
                    <c:v>Less than once a month</c:v>
                  </c:pt>
                  <c:pt idx="4">
                    <c:v>Never</c:v>
                  </c:pt>
                  <c:pt idx="5">
                    <c:v>Every day or almost everyday</c:v>
                  </c:pt>
                  <c:pt idx="6">
                    <c:v>Once or twice a week</c:v>
                  </c:pt>
                  <c:pt idx="7">
                    <c:v>Once or twice a month</c:v>
                  </c:pt>
                  <c:pt idx="8">
                    <c:v>Less than once a month</c:v>
                  </c:pt>
                  <c:pt idx="9">
                    <c:v>Never</c:v>
                  </c:pt>
                </c:lvl>
                <c:lvl>
                  <c:pt idx="0">
                    <c:v>Low psychological distress (10-15)</c:v>
                  </c:pt>
                  <c:pt idx="5">
                    <c:v>Moderate to very high psychological distress (16-50)</c:v>
                  </c:pt>
                </c:lvl>
              </c:multiLvlStrCache>
            </c:multiLvlStrRef>
          </c:cat>
          <c:val>
            <c:numRef>
              <c:f>Sheet1!$C$80:$C$89</c:f>
              <c:numCache>
                <c:formatCode>General</c:formatCode>
                <c:ptCount val="10"/>
                <c:pt idx="0">
                  <c:v>97.6</c:v>
                </c:pt>
                <c:pt idx="1">
                  <c:v>2.4</c:v>
                </c:pt>
                <c:pt idx="2">
                  <c:v>0</c:v>
                </c:pt>
                <c:pt idx="3">
                  <c:v>0</c:v>
                </c:pt>
                <c:pt idx="4">
                  <c:v>0</c:v>
                </c:pt>
                <c:pt idx="5">
                  <c:v>99.6</c:v>
                </c:pt>
                <c:pt idx="6">
                  <c:v>0.4</c:v>
                </c:pt>
                <c:pt idx="7">
                  <c:v>0</c:v>
                </c:pt>
                <c:pt idx="8">
                  <c:v>0</c:v>
                </c:pt>
                <c:pt idx="9">
                  <c:v>0</c:v>
                </c:pt>
              </c:numCache>
            </c:numRef>
          </c:val>
          <c:extLst xmlns:c16r2="http://schemas.microsoft.com/office/drawing/2015/06/chart">
            <c:ext xmlns:c16="http://schemas.microsoft.com/office/drawing/2014/chart" uri="{C3380CC4-5D6E-409C-BE32-E72D297353CC}">
              <c16:uniqueId val="{00000006-6E78-314D-859D-E0D661D44A8D}"/>
            </c:ext>
          </c:extLst>
        </c:ser>
        <c:ser>
          <c:idx val="1"/>
          <c:order val="1"/>
          <c:tx>
            <c:strRef>
              <c:f>Sheet1!$D$79</c:f>
              <c:strCache>
                <c:ptCount val="1"/>
                <c:pt idx="0">
                  <c:v>Young and Well cohort 18-25 years</c:v>
                </c:pt>
              </c:strCache>
            </c:strRef>
          </c:tx>
          <c:spPr>
            <a:solidFill>
              <a:srgbClr val="2E7371"/>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Sheet1!$A$80:$B$89</c:f>
              <c:multiLvlStrCache>
                <c:ptCount val="10"/>
                <c:lvl>
                  <c:pt idx="0">
                    <c:v>Every day or almost everyday</c:v>
                  </c:pt>
                  <c:pt idx="1">
                    <c:v>Once or twice a week</c:v>
                  </c:pt>
                  <c:pt idx="2">
                    <c:v>Once or twice a month</c:v>
                  </c:pt>
                  <c:pt idx="3">
                    <c:v>Less than once a month</c:v>
                  </c:pt>
                  <c:pt idx="4">
                    <c:v>Never</c:v>
                  </c:pt>
                  <c:pt idx="5">
                    <c:v>Every day or almost everyday</c:v>
                  </c:pt>
                  <c:pt idx="6">
                    <c:v>Once or twice a week</c:v>
                  </c:pt>
                  <c:pt idx="7">
                    <c:v>Once or twice a month</c:v>
                  </c:pt>
                  <c:pt idx="8">
                    <c:v>Less than once a month</c:v>
                  </c:pt>
                  <c:pt idx="9">
                    <c:v>Never</c:v>
                  </c:pt>
                </c:lvl>
                <c:lvl>
                  <c:pt idx="0">
                    <c:v>Low psychological distress (10-15)</c:v>
                  </c:pt>
                  <c:pt idx="5">
                    <c:v>Moderate to very high psychological distress (16-50)</c:v>
                  </c:pt>
                </c:lvl>
              </c:multiLvlStrCache>
            </c:multiLvlStrRef>
          </c:cat>
          <c:val>
            <c:numRef>
              <c:f>Sheet1!$D$80:$D$89</c:f>
              <c:numCache>
                <c:formatCode>General</c:formatCode>
                <c:ptCount val="10"/>
                <c:pt idx="0">
                  <c:v>91</c:v>
                </c:pt>
                <c:pt idx="1">
                  <c:v>5.8</c:v>
                </c:pt>
                <c:pt idx="2">
                  <c:v>1.3</c:v>
                </c:pt>
                <c:pt idx="3">
                  <c:v>0</c:v>
                </c:pt>
                <c:pt idx="4">
                  <c:v>0.9</c:v>
                </c:pt>
                <c:pt idx="5">
                  <c:v>91.6</c:v>
                </c:pt>
                <c:pt idx="6">
                  <c:v>5.7</c:v>
                </c:pt>
                <c:pt idx="7">
                  <c:v>1.2</c:v>
                </c:pt>
                <c:pt idx="8">
                  <c:v>0</c:v>
                </c:pt>
                <c:pt idx="9">
                  <c:v>0.5</c:v>
                </c:pt>
              </c:numCache>
            </c:numRef>
          </c:val>
          <c:extLst xmlns:c16r2="http://schemas.microsoft.com/office/drawing/2015/06/chart">
            <c:ext xmlns:c16="http://schemas.microsoft.com/office/drawing/2014/chart" uri="{C3380CC4-5D6E-409C-BE32-E72D297353CC}">
              <c16:uniqueId val="{0000000A-6E78-314D-859D-E0D661D44A8D}"/>
            </c:ext>
          </c:extLst>
        </c:ser>
        <c:dLbls>
          <c:showLegendKey val="0"/>
          <c:showVal val="0"/>
          <c:showCatName val="0"/>
          <c:showSerName val="0"/>
          <c:showPercent val="0"/>
          <c:showBubbleSize val="0"/>
        </c:dLbls>
        <c:gapWidth val="219"/>
        <c:overlap val="-27"/>
        <c:axId val="387206080"/>
        <c:axId val="387205688"/>
      </c:barChart>
      <c:catAx>
        <c:axId val="38720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387205688"/>
        <c:crosses val="autoZero"/>
        <c:auto val="1"/>
        <c:lblAlgn val="ctr"/>
        <c:lblOffset val="100"/>
        <c:noMultiLvlLbl val="0"/>
      </c:catAx>
      <c:valAx>
        <c:axId val="3872056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387206080"/>
        <c:crosses val="autoZero"/>
        <c:crossBetween val="between"/>
      </c:valAx>
      <c:spPr>
        <a:noFill/>
        <a:ln>
          <a:noFill/>
        </a:ln>
        <a:effectLst/>
      </c:spPr>
    </c:plotArea>
    <c:legend>
      <c:legendPos val="b"/>
      <c:layout>
        <c:manualLayout>
          <c:xMode val="edge"/>
          <c:yMode val="edge"/>
          <c:x val="0.70265928996667526"/>
          <c:y val="5.379703937007875E-2"/>
          <c:w val="0.27138072415605535"/>
          <c:h val="9.8800377952755911E-2"/>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6597797070238E-2"/>
          <c:y val="3.3950617283950615E-2"/>
          <c:w val="0.902147127442403"/>
          <c:h val="0.81860600758238555"/>
        </c:manualLayout>
      </c:layout>
      <c:barChart>
        <c:barDir val="col"/>
        <c:grouping val="clustered"/>
        <c:varyColors val="0"/>
        <c:ser>
          <c:idx val="0"/>
          <c:order val="0"/>
          <c:tx>
            <c:strRef>
              <c:f>Sheet1!$C$3</c:f>
              <c:strCache>
                <c:ptCount val="1"/>
                <c:pt idx="0">
                  <c:v>Transitioned ADF 18-25 years</c:v>
                </c:pt>
              </c:strCache>
            </c:strRef>
          </c:tx>
          <c:spPr>
            <a:solidFill>
              <a:srgbClr val="A03AB2"/>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Sheet1!$A$4:$B$13</c:f>
              <c:multiLvlStrCache>
                <c:ptCount val="10"/>
                <c:lvl>
                  <c:pt idx="0">
                    <c:v>&lt;1 hour</c:v>
                  </c:pt>
                  <c:pt idx="1">
                    <c:v>1 to 2 hours</c:v>
                  </c:pt>
                  <c:pt idx="2">
                    <c:v>3 to 4 hours</c:v>
                  </c:pt>
                  <c:pt idx="3">
                    <c:v>5 to 9 hours</c:v>
                  </c:pt>
                  <c:pt idx="4">
                    <c:v>10+ hours</c:v>
                  </c:pt>
                  <c:pt idx="5">
                    <c:v>&lt;1 hour</c:v>
                  </c:pt>
                  <c:pt idx="6">
                    <c:v>1 to 2 hours</c:v>
                  </c:pt>
                  <c:pt idx="7">
                    <c:v>3 to 4 hours</c:v>
                  </c:pt>
                  <c:pt idx="8">
                    <c:v>5 to 9 hours</c:v>
                  </c:pt>
                  <c:pt idx="9">
                    <c:v>10+ hours</c:v>
                  </c:pt>
                </c:lvl>
                <c:lvl>
                  <c:pt idx="0">
                    <c:v>Low psychological distress (10-15)</c:v>
                  </c:pt>
                  <c:pt idx="5">
                    <c:v>Moderate to very high psychological distress (16-50)</c:v>
                  </c:pt>
                </c:lvl>
              </c:multiLvlStrCache>
            </c:multiLvlStrRef>
          </c:cat>
          <c:val>
            <c:numRef>
              <c:f>Sheet1!$C$4:$C$13</c:f>
              <c:numCache>
                <c:formatCode>General</c:formatCode>
                <c:ptCount val="10"/>
                <c:pt idx="0">
                  <c:v>10.4</c:v>
                </c:pt>
                <c:pt idx="1">
                  <c:v>25.5</c:v>
                </c:pt>
                <c:pt idx="2">
                  <c:v>34.5</c:v>
                </c:pt>
                <c:pt idx="3">
                  <c:v>25</c:v>
                </c:pt>
                <c:pt idx="4">
                  <c:v>2.2999999999999998</c:v>
                </c:pt>
                <c:pt idx="5">
                  <c:v>2.4</c:v>
                </c:pt>
                <c:pt idx="6">
                  <c:v>35.299999999999997</c:v>
                </c:pt>
                <c:pt idx="7">
                  <c:v>20.6</c:v>
                </c:pt>
                <c:pt idx="8">
                  <c:v>29.5</c:v>
                </c:pt>
                <c:pt idx="9">
                  <c:v>9.1999999999999993</c:v>
                </c:pt>
              </c:numCache>
            </c:numRef>
          </c:val>
          <c:extLst xmlns:c16r2="http://schemas.microsoft.com/office/drawing/2015/06/chart">
            <c:ext xmlns:c16="http://schemas.microsoft.com/office/drawing/2014/chart" uri="{C3380CC4-5D6E-409C-BE32-E72D297353CC}">
              <c16:uniqueId val="{00000001-BF19-7D45-AFE7-04F18A3B9902}"/>
            </c:ext>
          </c:extLst>
        </c:ser>
        <c:ser>
          <c:idx val="1"/>
          <c:order val="1"/>
          <c:tx>
            <c:strRef>
              <c:f>Sheet1!$D$3</c:f>
              <c:strCache>
                <c:ptCount val="1"/>
                <c:pt idx="0">
                  <c:v>Young and Well cohort 18-25 years</c:v>
                </c:pt>
              </c:strCache>
            </c:strRef>
          </c:tx>
          <c:spPr>
            <a:solidFill>
              <a:srgbClr val="2E7371"/>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Sheet1!$A$4:$B$13</c:f>
              <c:multiLvlStrCache>
                <c:ptCount val="10"/>
                <c:lvl>
                  <c:pt idx="0">
                    <c:v>&lt;1 hour</c:v>
                  </c:pt>
                  <c:pt idx="1">
                    <c:v>1 to 2 hours</c:v>
                  </c:pt>
                  <c:pt idx="2">
                    <c:v>3 to 4 hours</c:v>
                  </c:pt>
                  <c:pt idx="3">
                    <c:v>5 to 9 hours</c:v>
                  </c:pt>
                  <c:pt idx="4">
                    <c:v>10+ hours</c:v>
                  </c:pt>
                  <c:pt idx="5">
                    <c:v>&lt;1 hour</c:v>
                  </c:pt>
                  <c:pt idx="6">
                    <c:v>1 to 2 hours</c:v>
                  </c:pt>
                  <c:pt idx="7">
                    <c:v>3 to 4 hours</c:v>
                  </c:pt>
                  <c:pt idx="8">
                    <c:v>5 to 9 hours</c:v>
                  </c:pt>
                  <c:pt idx="9">
                    <c:v>10+ hours</c:v>
                  </c:pt>
                </c:lvl>
                <c:lvl>
                  <c:pt idx="0">
                    <c:v>Low psychological distress (10-15)</c:v>
                  </c:pt>
                  <c:pt idx="5">
                    <c:v>Moderate to very high psychological distress (16-50)</c:v>
                  </c:pt>
                </c:lvl>
              </c:multiLvlStrCache>
            </c:multiLvlStrRef>
          </c:cat>
          <c:val>
            <c:numRef>
              <c:f>Sheet1!$D$4:$D$13</c:f>
              <c:numCache>
                <c:formatCode>General</c:formatCode>
                <c:ptCount val="10"/>
                <c:pt idx="0">
                  <c:v>17.5</c:v>
                </c:pt>
                <c:pt idx="1">
                  <c:v>42</c:v>
                </c:pt>
                <c:pt idx="2">
                  <c:v>21.2</c:v>
                </c:pt>
                <c:pt idx="3">
                  <c:v>16.2</c:v>
                </c:pt>
                <c:pt idx="4">
                  <c:v>2.2000000000000002</c:v>
                </c:pt>
                <c:pt idx="5">
                  <c:v>9.8000000000000007</c:v>
                </c:pt>
                <c:pt idx="6">
                  <c:v>38</c:v>
                </c:pt>
                <c:pt idx="7">
                  <c:v>31.2</c:v>
                </c:pt>
                <c:pt idx="8">
                  <c:v>15.3</c:v>
                </c:pt>
                <c:pt idx="9">
                  <c:v>4.8</c:v>
                </c:pt>
              </c:numCache>
            </c:numRef>
          </c:val>
          <c:extLst xmlns:c16r2="http://schemas.microsoft.com/office/drawing/2015/06/chart">
            <c:ext xmlns:c16="http://schemas.microsoft.com/office/drawing/2014/chart" uri="{C3380CC4-5D6E-409C-BE32-E72D297353CC}">
              <c16:uniqueId val="{00000004-BF19-7D45-AFE7-04F18A3B9902}"/>
            </c:ext>
          </c:extLst>
        </c:ser>
        <c:dLbls>
          <c:showLegendKey val="0"/>
          <c:showVal val="0"/>
          <c:showCatName val="0"/>
          <c:showSerName val="0"/>
          <c:showPercent val="0"/>
          <c:showBubbleSize val="0"/>
        </c:dLbls>
        <c:gapWidth val="219"/>
        <c:overlap val="-27"/>
        <c:axId val="387206864"/>
        <c:axId val="387207256"/>
      </c:barChart>
      <c:catAx>
        <c:axId val="38720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7207256"/>
        <c:crosses val="autoZero"/>
        <c:auto val="1"/>
        <c:lblAlgn val="ctr"/>
        <c:lblOffset val="100"/>
        <c:noMultiLvlLbl val="0"/>
      </c:catAx>
      <c:valAx>
        <c:axId val="387207256"/>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068883660429969E-2"/>
              <c:y val="0.3757813068670891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7206864"/>
        <c:crosses val="autoZero"/>
        <c:crossBetween val="between"/>
      </c:valAx>
      <c:spPr>
        <a:noFill/>
        <a:ln>
          <a:noFill/>
        </a:ln>
        <a:effectLst/>
      </c:spPr>
    </c:plotArea>
    <c:legend>
      <c:legendPos val="b"/>
      <c:layout>
        <c:manualLayout>
          <c:xMode val="edge"/>
          <c:yMode val="edge"/>
          <c:x val="0.71510841804797431"/>
          <c:y val="5.8082391205134601E-2"/>
          <c:w val="0.26590997038831682"/>
          <c:h val="8.7671072031752478E-2"/>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03162619146507E-2"/>
          <c:y val="3.3950617283950615E-2"/>
          <c:w val="0.90210063693963738"/>
          <c:h val="0.7754423058228832"/>
        </c:manualLayout>
      </c:layout>
      <c:barChart>
        <c:barDir val="col"/>
        <c:grouping val="clustered"/>
        <c:varyColors val="0"/>
        <c:ser>
          <c:idx val="0"/>
          <c:order val="0"/>
          <c:tx>
            <c:strRef>
              <c:f>Sheet1!$C$46</c:f>
              <c:strCache>
                <c:ptCount val="1"/>
                <c:pt idx="0">
                  <c:v>Transitioned ADF 18-25 years</c:v>
                </c:pt>
              </c:strCache>
            </c:strRef>
          </c:tx>
          <c:spPr>
            <a:solidFill>
              <a:srgbClr val="A030B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Sheet1!$A$47:$B$50</c:f>
              <c:multiLvlStrCache>
                <c:ptCount val="4"/>
                <c:lvl>
                  <c:pt idx="0">
                    <c:v>No, do not use internet after 11pm</c:v>
                  </c:pt>
                  <c:pt idx="1">
                    <c:v>Yes, use internet after 11 pm</c:v>
                  </c:pt>
                  <c:pt idx="2">
                    <c:v>No, do not use internet after 11pm</c:v>
                  </c:pt>
                  <c:pt idx="3">
                    <c:v>Yes, use internet after 11 pm</c:v>
                  </c:pt>
                </c:lvl>
                <c:lvl>
                  <c:pt idx="0">
                    <c:v>Low psychological distress (10-15)</c:v>
                  </c:pt>
                  <c:pt idx="2">
                    <c:v>Moderate to very high psychological distress (16-50)</c:v>
                  </c:pt>
                </c:lvl>
              </c:multiLvlStrCache>
            </c:multiLvlStrRef>
          </c:cat>
          <c:val>
            <c:numRef>
              <c:f>Sheet1!$C$47:$C$50</c:f>
              <c:numCache>
                <c:formatCode>General</c:formatCode>
                <c:ptCount val="4"/>
                <c:pt idx="0">
                  <c:v>54.5</c:v>
                </c:pt>
                <c:pt idx="1">
                  <c:v>43.7</c:v>
                </c:pt>
                <c:pt idx="2">
                  <c:v>48.7</c:v>
                </c:pt>
                <c:pt idx="3">
                  <c:v>50.1</c:v>
                </c:pt>
              </c:numCache>
            </c:numRef>
          </c:val>
          <c:extLst xmlns:c16r2="http://schemas.microsoft.com/office/drawing/2015/06/chart">
            <c:ext xmlns:c16="http://schemas.microsoft.com/office/drawing/2014/chart" uri="{C3380CC4-5D6E-409C-BE32-E72D297353CC}">
              <c16:uniqueId val="{00000000-A7CC-1A46-BB0D-1472291BE4D8}"/>
            </c:ext>
          </c:extLst>
        </c:ser>
        <c:ser>
          <c:idx val="1"/>
          <c:order val="1"/>
          <c:tx>
            <c:strRef>
              <c:f>Sheet1!$D$46</c:f>
              <c:strCache>
                <c:ptCount val="1"/>
                <c:pt idx="0">
                  <c:v>Young and Well cohort 18-25 years</c:v>
                </c:pt>
              </c:strCache>
            </c:strRef>
          </c:tx>
          <c:spPr>
            <a:solidFill>
              <a:srgbClr val="2E7371"/>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Sheet1!$A$47:$B$50</c:f>
              <c:multiLvlStrCache>
                <c:ptCount val="4"/>
                <c:lvl>
                  <c:pt idx="0">
                    <c:v>No, do not use internet after 11pm</c:v>
                  </c:pt>
                  <c:pt idx="1">
                    <c:v>Yes, use internet after 11 pm</c:v>
                  </c:pt>
                  <c:pt idx="2">
                    <c:v>No, do not use internet after 11pm</c:v>
                  </c:pt>
                  <c:pt idx="3">
                    <c:v>Yes, use internet after 11 pm</c:v>
                  </c:pt>
                </c:lvl>
                <c:lvl>
                  <c:pt idx="0">
                    <c:v>Low psychological distress (10-15)</c:v>
                  </c:pt>
                  <c:pt idx="2">
                    <c:v>Moderate to very high psychological distress (16-50)</c:v>
                  </c:pt>
                </c:lvl>
              </c:multiLvlStrCache>
            </c:multiLvlStrRef>
          </c:cat>
          <c:val>
            <c:numRef>
              <c:f>Sheet1!$D$47:$D$50</c:f>
              <c:numCache>
                <c:formatCode>General</c:formatCode>
                <c:ptCount val="4"/>
                <c:pt idx="0">
                  <c:v>36.700000000000003</c:v>
                </c:pt>
                <c:pt idx="1">
                  <c:v>62.4</c:v>
                </c:pt>
                <c:pt idx="2">
                  <c:v>28.3</c:v>
                </c:pt>
                <c:pt idx="3">
                  <c:v>70.7</c:v>
                </c:pt>
              </c:numCache>
            </c:numRef>
          </c:val>
          <c:extLst xmlns:c16r2="http://schemas.microsoft.com/office/drawing/2015/06/chart">
            <c:ext xmlns:c16="http://schemas.microsoft.com/office/drawing/2014/chart" uri="{C3380CC4-5D6E-409C-BE32-E72D297353CC}">
              <c16:uniqueId val="{00000001-A7CC-1A46-BB0D-1472291BE4D8}"/>
            </c:ext>
          </c:extLst>
        </c:ser>
        <c:dLbls>
          <c:showLegendKey val="0"/>
          <c:showVal val="0"/>
          <c:showCatName val="0"/>
          <c:showSerName val="0"/>
          <c:showPercent val="0"/>
          <c:showBubbleSize val="0"/>
        </c:dLbls>
        <c:gapWidth val="219"/>
        <c:overlap val="-27"/>
        <c:axId val="388058688"/>
        <c:axId val="388060256"/>
      </c:barChart>
      <c:catAx>
        <c:axId val="3880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8060256"/>
        <c:crosses val="autoZero"/>
        <c:auto val="1"/>
        <c:lblAlgn val="ctr"/>
        <c:lblOffset val="100"/>
        <c:noMultiLvlLbl val="0"/>
      </c:catAx>
      <c:valAx>
        <c:axId val="388060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8.9073638369164074E-3"/>
              <c:y val="0.34636312822008358"/>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8058688"/>
        <c:crosses val="autoZero"/>
        <c:crossBetween val="between"/>
      </c:valAx>
      <c:spPr>
        <a:noFill/>
        <a:ln>
          <a:noFill/>
        </a:ln>
        <a:effectLst/>
      </c:spPr>
    </c:plotArea>
    <c:legend>
      <c:legendPos val="b"/>
      <c:layout>
        <c:manualLayout>
          <c:xMode val="edge"/>
          <c:yMode val="edge"/>
          <c:x val="0.10243314111662992"/>
          <c:y val="6.5200252746184503E-2"/>
          <c:w val="0.28015498463333111"/>
          <c:h val="8.603431515505007E-2"/>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303162619146507E-2"/>
          <c:y val="6.3145977491449928E-2"/>
          <c:w val="0.90210063693963738"/>
          <c:h val="0.77304187542131164"/>
        </c:manualLayout>
      </c:layout>
      <c:barChart>
        <c:barDir val="col"/>
        <c:grouping val="clustered"/>
        <c:varyColors val="0"/>
        <c:ser>
          <c:idx val="0"/>
          <c:order val="0"/>
          <c:tx>
            <c:strRef>
              <c:f>Sheet1!$C$115</c:f>
              <c:strCache>
                <c:ptCount val="1"/>
                <c:pt idx="0">
                  <c:v>Transitioned ADF 18-25 years</c:v>
                </c:pt>
              </c:strCache>
            </c:strRef>
          </c:tx>
          <c:spPr>
            <a:solidFill>
              <a:srgbClr val="A030B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multiLvlStrRef>
              <c:f>Sheet1!$A$116:$B$119</c:f>
              <c:multiLvlStrCache>
                <c:ptCount val="4"/>
                <c:lvl>
                  <c:pt idx="0">
                    <c:v>Yes</c:v>
                  </c:pt>
                  <c:pt idx="1">
                    <c:v>No</c:v>
                  </c:pt>
                  <c:pt idx="2">
                    <c:v>Yes</c:v>
                  </c:pt>
                  <c:pt idx="3">
                    <c:v>No</c:v>
                  </c:pt>
                </c:lvl>
                <c:lvl>
                  <c:pt idx="0">
                    <c:v>Low psychological distress (10-15)</c:v>
                  </c:pt>
                  <c:pt idx="2">
                    <c:v>Moderate to very high psychological distress (16-50)</c:v>
                  </c:pt>
                </c:lvl>
              </c:multiLvlStrCache>
            </c:multiLvlStrRef>
          </c:cat>
          <c:val>
            <c:numRef>
              <c:f>Sheet1!$C$116:$C$119</c:f>
              <c:numCache>
                <c:formatCode>General</c:formatCode>
                <c:ptCount val="4"/>
                <c:pt idx="0">
                  <c:v>26.7</c:v>
                </c:pt>
                <c:pt idx="1">
                  <c:v>71.400000000000006</c:v>
                </c:pt>
                <c:pt idx="2">
                  <c:v>28.2</c:v>
                </c:pt>
                <c:pt idx="3">
                  <c:v>71.8</c:v>
                </c:pt>
              </c:numCache>
            </c:numRef>
          </c:val>
          <c:extLst xmlns:c16r2="http://schemas.microsoft.com/office/drawing/2015/06/chart">
            <c:ext xmlns:c16="http://schemas.microsoft.com/office/drawing/2014/chart" uri="{C3380CC4-5D6E-409C-BE32-E72D297353CC}">
              <c16:uniqueId val="{00000000-83EE-EC43-9316-644EC50D73AB}"/>
            </c:ext>
          </c:extLst>
        </c:ser>
        <c:ser>
          <c:idx val="1"/>
          <c:order val="1"/>
          <c:tx>
            <c:strRef>
              <c:f>Sheet1!$D$115</c:f>
              <c:strCache>
                <c:ptCount val="1"/>
                <c:pt idx="0">
                  <c:v>Young and Well cohort 18-25 years</c:v>
                </c:pt>
              </c:strCache>
            </c:strRef>
          </c:tx>
          <c:spPr>
            <a:solidFill>
              <a:srgbClr val="2E7371"/>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Sheet1!$A$116:$B$119</c:f>
              <c:multiLvlStrCache>
                <c:ptCount val="4"/>
                <c:lvl>
                  <c:pt idx="0">
                    <c:v>Yes</c:v>
                  </c:pt>
                  <c:pt idx="1">
                    <c:v>No</c:v>
                  </c:pt>
                  <c:pt idx="2">
                    <c:v>Yes</c:v>
                  </c:pt>
                  <c:pt idx="3">
                    <c:v>No</c:v>
                  </c:pt>
                </c:lvl>
                <c:lvl>
                  <c:pt idx="0">
                    <c:v>Low psychological distress (10-15)</c:v>
                  </c:pt>
                  <c:pt idx="2">
                    <c:v>Moderate to very high psychological distress (16-50)</c:v>
                  </c:pt>
                </c:lvl>
              </c:multiLvlStrCache>
            </c:multiLvlStrRef>
          </c:cat>
          <c:val>
            <c:numRef>
              <c:f>Sheet1!$D$116:$D$119</c:f>
              <c:numCache>
                <c:formatCode>General</c:formatCode>
                <c:ptCount val="4"/>
                <c:pt idx="0">
                  <c:v>33.1</c:v>
                </c:pt>
                <c:pt idx="1">
                  <c:v>66</c:v>
                </c:pt>
                <c:pt idx="2">
                  <c:v>4.0999999999999996</c:v>
                </c:pt>
                <c:pt idx="3">
                  <c:v>4.0999999999999996</c:v>
                </c:pt>
              </c:numCache>
            </c:numRef>
          </c:val>
          <c:extLst xmlns:c16r2="http://schemas.microsoft.com/office/drawing/2015/06/chart">
            <c:ext xmlns:c16="http://schemas.microsoft.com/office/drawing/2014/chart" uri="{C3380CC4-5D6E-409C-BE32-E72D297353CC}">
              <c16:uniqueId val="{00000002-83EE-EC43-9316-644EC50D73AB}"/>
            </c:ext>
          </c:extLst>
        </c:ser>
        <c:dLbls>
          <c:showLegendKey val="0"/>
          <c:showVal val="0"/>
          <c:showCatName val="0"/>
          <c:showSerName val="0"/>
          <c:showPercent val="0"/>
          <c:showBubbleSize val="0"/>
        </c:dLbls>
        <c:gapWidth val="219"/>
        <c:overlap val="-27"/>
        <c:axId val="388054768"/>
        <c:axId val="388062216"/>
      </c:barChart>
      <c:catAx>
        <c:axId val="38805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8062216"/>
        <c:crosses val="autoZero"/>
        <c:auto val="1"/>
        <c:lblAlgn val="ctr"/>
        <c:lblOffset val="100"/>
        <c:noMultiLvlLbl val="0"/>
      </c:catAx>
      <c:valAx>
        <c:axId val="388062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8.9073638369164074E-3"/>
              <c:y val="0.359998359580052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8054768"/>
        <c:crosses val="autoZero"/>
        <c:crossBetween val="between"/>
      </c:valAx>
      <c:spPr>
        <a:noFill/>
        <a:ln>
          <a:noFill/>
        </a:ln>
        <a:effectLst/>
      </c:spPr>
    </c:plotArea>
    <c:legend>
      <c:legendPos val="b"/>
      <c:layout>
        <c:manualLayout>
          <c:xMode val="edge"/>
          <c:yMode val="edge"/>
          <c:x val="0.5175162959169346"/>
          <c:y val="4.0355573451045894E-2"/>
          <c:w val="0.26412339686738534"/>
          <c:h val="8.1676509186351706E-2"/>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6.3492063492063489E-2"/>
          <c:w val="0.82296062992125996"/>
          <c:h val="0.82562754104266378"/>
        </c:manualLayout>
      </c:layout>
      <c:barChart>
        <c:barDir val="col"/>
        <c:grouping val="clustered"/>
        <c:varyColors val="0"/>
        <c:ser>
          <c:idx val="0"/>
          <c:order val="0"/>
          <c:tx>
            <c:strRef>
              <c:f>Sheet1!$B$1</c:f>
              <c:strCache>
                <c:ptCount val="1"/>
                <c:pt idx="0">
                  <c:v>Transitioned ADF</c:v>
                </c:pt>
              </c:strCache>
            </c:strRef>
          </c:tx>
          <c:spPr>
            <a:solidFill>
              <a:srgbClr val="A330A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No</c:v>
                </c:pt>
                <c:pt idx="1">
                  <c:v>Yes</c:v>
                </c:pt>
              </c:strCache>
            </c:strRef>
          </c:cat>
          <c:val>
            <c:numRef>
              <c:f>Sheet1!$B$2:$B$3</c:f>
              <c:numCache>
                <c:formatCode>General</c:formatCode>
                <c:ptCount val="2"/>
                <c:pt idx="0">
                  <c:v>47.3</c:v>
                </c:pt>
                <c:pt idx="1">
                  <c:v>46.7</c:v>
                </c:pt>
              </c:numCache>
            </c:numRef>
          </c:val>
          <c:extLst xmlns:c16r2="http://schemas.microsoft.com/office/drawing/2015/06/chart">
            <c:ext xmlns:c16="http://schemas.microsoft.com/office/drawing/2014/chart" uri="{C3380CC4-5D6E-409C-BE32-E72D297353CC}">
              <c16:uniqueId val="{00000001-EEDD-8D47-8DAE-10C75C908B65}"/>
            </c:ext>
          </c:extLst>
        </c:ser>
        <c:ser>
          <c:idx val="1"/>
          <c:order val="1"/>
          <c:tx>
            <c:strRef>
              <c:f>Sheet1!$C$1</c:f>
              <c:strCache>
                <c:ptCount val="1"/>
                <c:pt idx="0">
                  <c:v>2015 Regular ADF</c:v>
                </c:pt>
              </c:strCache>
            </c:strRef>
          </c:tx>
          <c:spPr>
            <a:solidFill>
              <a:srgbClr val="378193"/>
            </a:solidFill>
            <a:ln>
              <a:noFill/>
            </a:ln>
            <a:effectLst/>
          </c:spPr>
          <c:invertIfNegative val="0"/>
          <c:dLbls>
            <c:dLbl>
              <c:idx val="2"/>
              <c:tx>
                <c:rich>
                  <a:bodyPr/>
                  <a:lstStyle/>
                  <a:p>
                    <a:fld id="{E91F2919-B415-6B4F-BB15-A499D651F747}" type="VALUE">
                      <a:rPr lang="en-US"/>
                      <a:pPr/>
                      <a:t>[VALUE]</a:t>
                    </a:fld>
                    <a:r>
                      <a:rPr lang="en-US"/>
                      <a:t>.0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EDD-8D47-8DAE-10C75C908B65}"/>
                </c:ext>
                <c:ext xmlns:c15="http://schemas.microsoft.com/office/drawing/2012/chart" uri="{CE6537A1-D6FC-4f65-9D91-7224C49458BB}">
                  <c15:dlblFieldTable/>
                  <c15:showDataLabelsRange val="0"/>
                </c:ext>
              </c:extLst>
            </c:dLbl>
            <c:numFmt formatCode="#,##0.0" sourceLinked="0"/>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c:v>
                </c:pt>
                <c:pt idx="1">
                  <c:v>Yes</c:v>
                </c:pt>
              </c:strCache>
            </c:strRef>
          </c:cat>
          <c:val>
            <c:numRef>
              <c:f>Sheet1!$C$2:$C$3</c:f>
              <c:numCache>
                <c:formatCode>General</c:formatCode>
                <c:ptCount val="2"/>
                <c:pt idx="0">
                  <c:v>45</c:v>
                </c:pt>
                <c:pt idx="1">
                  <c:v>49.6</c:v>
                </c:pt>
              </c:numCache>
            </c:numRef>
          </c:val>
          <c:extLst xmlns:c16r2="http://schemas.microsoft.com/office/drawing/2015/06/chart">
            <c:ext xmlns:c16="http://schemas.microsoft.com/office/drawing/2014/chart" uri="{C3380CC4-5D6E-409C-BE32-E72D297353CC}">
              <c16:uniqueId val="{00000003-EEDD-8D47-8DAE-10C75C908B65}"/>
            </c:ext>
          </c:extLst>
        </c:ser>
        <c:dLbls>
          <c:showLegendKey val="0"/>
          <c:showVal val="0"/>
          <c:showCatName val="0"/>
          <c:showSerName val="0"/>
          <c:showPercent val="0"/>
          <c:showBubbleSize val="0"/>
        </c:dLbls>
        <c:gapWidth val="219"/>
        <c:overlap val="-27"/>
        <c:axId val="383606576"/>
        <c:axId val="383601088"/>
      </c:barChart>
      <c:catAx>
        <c:axId val="38360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3601088"/>
        <c:crosses val="autoZero"/>
        <c:auto val="1"/>
        <c:lblAlgn val="ctr"/>
        <c:lblOffset val="100"/>
        <c:noMultiLvlLbl val="0"/>
      </c:catAx>
      <c:valAx>
        <c:axId val="38360108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203703703703703E-2"/>
              <c:y val="0.35225003124609422"/>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3606576"/>
        <c:crosses val="autoZero"/>
        <c:crossBetween val="between"/>
      </c:valAx>
      <c:spPr>
        <a:noFill/>
        <a:ln>
          <a:noFill/>
        </a:ln>
        <a:effectLst/>
      </c:spPr>
    </c:plotArea>
    <c:legend>
      <c:legendPos val="b"/>
      <c:layout>
        <c:manualLayout>
          <c:xMode val="edge"/>
          <c:yMode val="edge"/>
          <c:x val="0.67615769903762035"/>
          <c:y val="0.10883889513810775"/>
          <c:w val="0.2504621609798775"/>
          <c:h val="0.1185520559930008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98381452318461"/>
          <c:y val="9.5238095238095233E-2"/>
          <c:w val="0.83468285214348203"/>
          <c:h val="0.68633545806774154"/>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Pt>
            <c:idx val="0"/>
            <c:invertIfNegative val="0"/>
            <c:bubble3D val="0"/>
            <c:spPr>
              <a:solidFill>
                <a:srgbClr val="A330A0"/>
              </a:solidFill>
              <a:ln>
                <a:noFill/>
              </a:ln>
              <a:effectLst/>
            </c:spPr>
            <c:extLst xmlns:c16r2="http://schemas.microsoft.com/office/drawing/2015/06/chart">
              <c:ext xmlns:c16="http://schemas.microsoft.com/office/drawing/2014/chart" uri="{C3380CC4-5D6E-409C-BE32-E72D297353CC}">
                <c16:uniqueId val="{00000000-5E7D-0146-8E5D-CE32B29C0AF1}"/>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Every day or almost everyday</c:v>
                </c:pt>
                <c:pt idx="1">
                  <c:v>Once or twice a week</c:v>
                </c:pt>
                <c:pt idx="2">
                  <c:v>Once or twice a month</c:v>
                </c:pt>
                <c:pt idx="3">
                  <c:v>Less than once a month</c:v>
                </c:pt>
                <c:pt idx="4">
                  <c:v>Never</c:v>
                </c:pt>
              </c:strCache>
            </c:strRef>
          </c:cat>
          <c:val>
            <c:numRef>
              <c:f>Sheet1!$B$2:$B$6</c:f>
              <c:numCache>
                <c:formatCode>General</c:formatCode>
                <c:ptCount val="5"/>
                <c:pt idx="0">
                  <c:v>98.5</c:v>
                </c:pt>
                <c:pt idx="1">
                  <c:v>1.5</c:v>
                </c:pt>
                <c:pt idx="2">
                  <c:v>0</c:v>
                </c:pt>
                <c:pt idx="3">
                  <c:v>0</c:v>
                </c:pt>
                <c:pt idx="4">
                  <c:v>0</c:v>
                </c:pt>
              </c:numCache>
            </c:numRef>
          </c:val>
          <c:extLst xmlns:c16r2="http://schemas.microsoft.com/office/drawing/2015/06/chart">
            <c:ext xmlns:c16="http://schemas.microsoft.com/office/drawing/2014/chart" uri="{C3380CC4-5D6E-409C-BE32-E72D297353CC}">
              <c16:uniqueId val="{00000001-5E7D-0146-8E5D-CE32B29C0AF1}"/>
            </c:ext>
          </c:extLst>
        </c:ser>
        <c:ser>
          <c:idx val="1"/>
          <c:order val="1"/>
          <c:tx>
            <c:strRef>
              <c:f>Sheet1!$C$1</c:f>
              <c:strCache>
                <c:ptCount val="1"/>
                <c:pt idx="0">
                  <c:v>Young and Well cohort 18–25 years</c:v>
                </c:pt>
              </c:strCache>
            </c:strRef>
          </c:tx>
          <c:spPr>
            <a:solidFill>
              <a:srgbClr val="378193"/>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Every day or almost everyday</c:v>
                </c:pt>
                <c:pt idx="1">
                  <c:v>Once or twice a week</c:v>
                </c:pt>
                <c:pt idx="2">
                  <c:v>Once or twice a month</c:v>
                </c:pt>
                <c:pt idx="3">
                  <c:v>Less than once a month</c:v>
                </c:pt>
                <c:pt idx="4">
                  <c:v>Never</c:v>
                </c:pt>
              </c:strCache>
            </c:strRef>
          </c:cat>
          <c:val>
            <c:numRef>
              <c:f>Sheet1!$C$2:$C$6</c:f>
              <c:numCache>
                <c:formatCode>General</c:formatCode>
                <c:ptCount val="5"/>
                <c:pt idx="0">
                  <c:v>91.2</c:v>
                </c:pt>
                <c:pt idx="1">
                  <c:v>5.8</c:v>
                </c:pt>
                <c:pt idx="2">
                  <c:v>1.3</c:v>
                </c:pt>
                <c:pt idx="3">
                  <c:v>0</c:v>
                </c:pt>
                <c:pt idx="4">
                  <c:v>0.8</c:v>
                </c:pt>
              </c:numCache>
            </c:numRef>
          </c:val>
          <c:extLst xmlns:c16r2="http://schemas.microsoft.com/office/drawing/2015/06/chart">
            <c:ext xmlns:c16="http://schemas.microsoft.com/office/drawing/2014/chart" uri="{C3380CC4-5D6E-409C-BE32-E72D297353CC}">
              <c16:uniqueId val="{00000003-5E7D-0146-8E5D-CE32B29C0AF1}"/>
            </c:ext>
          </c:extLst>
        </c:ser>
        <c:dLbls>
          <c:showLegendKey val="0"/>
          <c:showVal val="0"/>
          <c:showCatName val="0"/>
          <c:showSerName val="0"/>
          <c:showPercent val="0"/>
          <c:showBubbleSize val="0"/>
        </c:dLbls>
        <c:gapWidth val="219"/>
        <c:overlap val="-27"/>
        <c:axId val="383604616"/>
        <c:axId val="383602264"/>
      </c:barChart>
      <c:catAx>
        <c:axId val="383604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3602264"/>
        <c:crosses val="autoZero"/>
        <c:auto val="1"/>
        <c:lblAlgn val="ctr"/>
        <c:lblOffset val="100"/>
        <c:noMultiLvlLbl val="0"/>
      </c:catAx>
      <c:valAx>
        <c:axId val="3836022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477409073865767"/>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3604616"/>
        <c:crosses val="autoZero"/>
        <c:crossBetween val="between"/>
      </c:valAx>
      <c:spPr>
        <a:noFill/>
        <a:ln>
          <a:noFill/>
        </a:ln>
        <a:effectLst/>
      </c:spPr>
    </c:plotArea>
    <c:legend>
      <c:legendPos val="b"/>
      <c:layout>
        <c:manualLayout>
          <c:xMode val="edge"/>
          <c:yMode val="edge"/>
          <c:x val="0.51620122484689412"/>
          <c:y val="7.9860642419697495E-2"/>
          <c:w val="0.43981955380577425"/>
          <c:h val="0.1304568178977627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0.10714285714285714"/>
          <c:w val="0.84734951881014875"/>
          <c:h val="0.81320084989376329"/>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&lt;1 hour</c:v>
                </c:pt>
                <c:pt idx="1">
                  <c:v>1 to 2 hours</c:v>
                </c:pt>
                <c:pt idx="2">
                  <c:v>3 to 4 hours</c:v>
                </c:pt>
                <c:pt idx="3">
                  <c:v>5 to 9 hours</c:v>
                </c:pt>
                <c:pt idx="4">
                  <c:v>10+ hours</c:v>
                </c:pt>
              </c:strCache>
            </c:strRef>
          </c:cat>
          <c:val>
            <c:numRef>
              <c:f>Sheet1!$B$2:$B$6</c:f>
              <c:numCache>
                <c:formatCode>General</c:formatCode>
                <c:ptCount val="5"/>
                <c:pt idx="0">
                  <c:v>6.6</c:v>
                </c:pt>
                <c:pt idx="1">
                  <c:v>30</c:v>
                </c:pt>
                <c:pt idx="2">
                  <c:v>27.9</c:v>
                </c:pt>
                <c:pt idx="3">
                  <c:v>27.2</c:v>
                </c:pt>
                <c:pt idx="4">
                  <c:v>5.5</c:v>
                </c:pt>
              </c:numCache>
            </c:numRef>
          </c:val>
          <c:extLst xmlns:c16r2="http://schemas.microsoft.com/office/drawing/2015/06/chart">
            <c:ext xmlns:c16="http://schemas.microsoft.com/office/drawing/2014/chart" uri="{C3380CC4-5D6E-409C-BE32-E72D297353CC}">
              <c16:uniqueId val="{00000000-825B-9445-98F4-4189BEE7E5E5}"/>
            </c:ext>
          </c:extLst>
        </c:ser>
        <c:ser>
          <c:idx val="1"/>
          <c:order val="1"/>
          <c:tx>
            <c:strRef>
              <c:f>Sheet1!$C$1</c:f>
              <c:strCache>
                <c:ptCount val="1"/>
                <c:pt idx="0">
                  <c:v>Young and Well cohort 18–25 years</c:v>
                </c:pt>
              </c:strCache>
            </c:strRef>
          </c:tx>
          <c:spPr>
            <a:solidFill>
              <a:srgbClr val="2E737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&lt;1 hour</c:v>
                </c:pt>
                <c:pt idx="1">
                  <c:v>1 to 2 hours</c:v>
                </c:pt>
                <c:pt idx="2">
                  <c:v>3 to 4 hours</c:v>
                </c:pt>
                <c:pt idx="3">
                  <c:v>5 to 9 hours</c:v>
                </c:pt>
                <c:pt idx="4">
                  <c:v>10+ hours</c:v>
                </c:pt>
              </c:strCache>
            </c:strRef>
          </c:cat>
          <c:val>
            <c:numRef>
              <c:f>Sheet1!$C$2:$C$6</c:f>
              <c:numCache>
                <c:formatCode>General</c:formatCode>
                <c:ptCount val="5"/>
                <c:pt idx="0">
                  <c:v>14.2</c:v>
                </c:pt>
                <c:pt idx="1">
                  <c:v>39.799999999999997</c:v>
                </c:pt>
                <c:pt idx="2">
                  <c:v>26</c:v>
                </c:pt>
                <c:pt idx="3">
                  <c:v>15.9</c:v>
                </c:pt>
                <c:pt idx="4">
                  <c:v>3.2</c:v>
                </c:pt>
              </c:numCache>
            </c:numRef>
          </c:val>
          <c:extLst xmlns:c16r2="http://schemas.microsoft.com/office/drawing/2015/06/chart">
            <c:ext xmlns:c16="http://schemas.microsoft.com/office/drawing/2014/chart" uri="{C3380CC4-5D6E-409C-BE32-E72D297353CC}">
              <c16:uniqueId val="{00000001-825B-9445-98F4-4189BEE7E5E5}"/>
            </c:ext>
          </c:extLst>
        </c:ser>
        <c:dLbls>
          <c:showLegendKey val="0"/>
          <c:showVal val="0"/>
          <c:showCatName val="0"/>
          <c:showSerName val="0"/>
          <c:showPercent val="0"/>
          <c:showBubbleSize val="0"/>
        </c:dLbls>
        <c:gapWidth val="219"/>
        <c:overlap val="-26"/>
        <c:axId val="383600304"/>
        <c:axId val="383604224"/>
      </c:barChart>
      <c:catAx>
        <c:axId val="38360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3604224"/>
        <c:crosses val="autoZero"/>
        <c:auto val="1"/>
        <c:lblAlgn val="ctr"/>
        <c:lblOffset val="100"/>
        <c:noMultiLvlLbl val="0"/>
      </c:catAx>
      <c:valAx>
        <c:axId val="383604224"/>
        <c:scaling>
          <c:orientation val="minMax"/>
          <c:max val="4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573940757405324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3600304"/>
        <c:crosses val="autoZero"/>
        <c:crossBetween val="between"/>
      </c:valAx>
      <c:spPr>
        <a:noFill/>
        <a:ln>
          <a:noFill/>
        </a:ln>
        <a:effectLst/>
      </c:spPr>
    </c:plotArea>
    <c:legend>
      <c:legendPos val="b"/>
      <c:layout>
        <c:manualLayout>
          <c:xMode val="edge"/>
          <c:yMode val="edge"/>
          <c:x val="0.5273123359580052"/>
          <c:y val="7.986064241969755E-2"/>
          <c:w val="0.42870844269466318"/>
          <c:h val="0.11458380202474691"/>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5.9523809523809521E-2"/>
          <c:w val="0.84734951881014875"/>
          <c:h val="0.82907386576677911"/>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No, do not use internet after 11 pm.</c:v>
                </c:pt>
                <c:pt idx="1">
                  <c:v>Yes, use internet after 11 pm.</c:v>
                </c:pt>
              </c:strCache>
            </c:strRef>
          </c:cat>
          <c:val>
            <c:numRef>
              <c:f>Sheet1!$B$2:$B$3</c:f>
              <c:numCache>
                <c:formatCode>General</c:formatCode>
                <c:ptCount val="2"/>
                <c:pt idx="0">
                  <c:v>51.7</c:v>
                </c:pt>
                <c:pt idx="1">
                  <c:v>46.8</c:v>
                </c:pt>
              </c:numCache>
            </c:numRef>
          </c:val>
          <c:extLst xmlns:c16r2="http://schemas.microsoft.com/office/drawing/2015/06/chart">
            <c:ext xmlns:c16="http://schemas.microsoft.com/office/drawing/2014/chart" uri="{C3380CC4-5D6E-409C-BE32-E72D297353CC}">
              <c16:uniqueId val="{00000000-C83B-164F-9C6B-923346E72880}"/>
            </c:ext>
          </c:extLst>
        </c:ser>
        <c:ser>
          <c:idx val="1"/>
          <c:order val="1"/>
          <c:tx>
            <c:strRef>
              <c:f>Sheet1!$C$1</c:f>
              <c:strCache>
                <c:ptCount val="1"/>
                <c:pt idx="0">
                  <c:v>Young and Well cohort 18–25 years</c:v>
                </c:pt>
              </c:strCache>
            </c:strRef>
          </c:tx>
          <c:spPr>
            <a:solidFill>
              <a:srgbClr val="2E7371"/>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No, do not use internet after 11 pm.</c:v>
                </c:pt>
                <c:pt idx="1">
                  <c:v>Yes, use internet after 11 pm.</c:v>
                </c:pt>
              </c:strCache>
            </c:strRef>
          </c:cat>
          <c:val>
            <c:numRef>
              <c:f>Sheet1!$C$2:$C$3</c:f>
              <c:numCache>
                <c:formatCode>General</c:formatCode>
                <c:ptCount val="2"/>
                <c:pt idx="0">
                  <c:v>33.1</c:v>
                </c:pt>
                <c:pt idx="1">
                  <c:v>66</c:v>
                </c:pt>
              </c:numCache>
            </c:numRef>
          </c:val>
          <c:extLst xmlns:c16r2="http://schemas.microsoft.com/office/drawing/2015/06/chart">
            <c:ext xmlns:c16="http://schemas.microsoft.com/office/drawing/2014/chart" uri="{C3380CC4-5D6E-409C-BE32-E72D297353CC}">
              <c16:uniqueId val="{00000001-C83B-164F-9C6B-923346E72880}"/>
            </c:ext>
          </c:extLst>
        </c:ser>
        <c:dLbls>
          <c:showLegendKey val="0"/>
          <c:showVal val="0"/>
          <c:showCatName val="0"/>
          <c:showSerName val="0"/>
          <c:showPercent val="0"/>
          <c:showBubbleSize val="0"/>
        </c:dLbls>
        <c:gapWidth val="219"/>
        <c:overlap val="-27"/>
        <c:axId val="383606184"/>
        <c:axId val="383605400"/>
      </c:barChart>
      <c:catAx>
        <c:axId val="383606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3605400"/>
        <c:crosses val="autoZero"/>
        <c:auto val="1"/>
        <c:lblAlgn val="ctr"/>
        <c:lblOffset val="100"/>
        <c:noMultiLvlLbl val="0"/>
      </c:catAx>
      <c:valAx>
        <c:axId val="383605400"/>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203703703703703E-2"/>
              <c:y val="0.3506083614548181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3606184"/>
        <c:crosses val="autoZero"/>
        <c:crossBetween val="between"/>
      </c:valAx>
      <c:spPr>
        <a:noFill/>
        <a:ln>
          <a:noFill/>
        </a:ln>
        <a:effectLst/>
      </c:spPr>
    </c:plotArea>
    <c:legend>
      <c:legendPos val="b"/>
      <c:layout>
        <c:manualLayout>
          <c:xMode val="edge"/>
          <c:yMode val="edge"/>
          <c:x val="0.14675678040244969"/>
          <c:y val="3.224159480064992E-2"/>
          <c:w val="0.41204177602799652"/>
          <c:h val="0.126488563929508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0.1388888888888889"/>
          <c:w val="0.84734951881014875"/>
          <c:h val="0.77351831021122364"/>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27.4</c:v>
                </c:pt>
                <c:pt idx="1">
                  <c:v>71.599999999999994</c:v>
                </c:pt>
              </c:numCache>
            </c:numRef>
          </c:val>
          <c:extLst xmlns:c16r2="http://schemas.microsoft.com/office/drawing/2015/06/chart">
            <c:ext xmlns:c16="http://schemas.microsoft.com/office/drawing/2014/chart" uri="{C3380CC4-5D6E-409C-BE32-E72D297353CC}">
              <c16:uniqueId val="{00000000-D1C5-3F46-B8DE-4CD6D4BF5FF2}"/>
            </c:ext>
          </c:extLst>
        </c:ser>
        <c:ser>
          <c:idx val="1"/>
          <c:order val="1"/>
          <c:tx>
            <c:strRef>
              <c:f>Sheet1!$C$1</c:f>
              <c:strCache>
                <c:ptCount val="1"/>
                <c:pt idx="0">
                  <c:v>Young and Well cohort 18–25 years</c:v>
                </c:pt>
              </c:strCache>
            </c:strRef>
          </c:tx>
          <c:spPr>
            <a:solidFill>
              <a:srgbClr val="2E737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Sheet1!$C$2:$C$3</c:f>
              <c:numCache>
                <c:formatCode>General</c:formatCode>
                <c:ptCount val="2"/>
                <c:pt idx="0">
                  <c:v>41.5</c:v>
                </c:pt>
                <c:pt idx="1">
                  <c:v>57.1</c:v>
                </c:pt>
              </c:numCache>
            </c:numRef>
          </c:val>
          <c:extLst xmlns:c16r2="http://schemas.microsoft.com/office/drawing/2015/06/chart">
            <c:ext xmlns:c16="http://schemas.microsoft.com/office/drawing/2014/chart" uri="{C3380CC4-5D6E-409C-BE32-E72D297353CC}">
              <c16:uniqueId val="{00000001-D1C5-3F46-B8DE-4CD6D4BF5FF2}"/>
            </c:ext>
          </c:extLst>
        </c:ser>
        <c:dLbls>
          <c:showLegendKey val="0"/>
          <c:showVal val="0"/>
          <c:showCatName val="0"/>
          <c:showSerName val="0"/>
          <c:showPercent val="0"/>
          <c:showBubbleSize val="0"/>
        </c:dLbls>
        <c:gapWidth val="219"/>
        <c:overlap val="-27"/>
        <c:axId val="381436032"/>
        <c:axId val="381438384"/>
      </c:barChart>
      <c:catAx>
        <c:axId val="38143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1438384"/>
        <c:crosses val="autoZero"/>
        <c:auto val="1"/>
        <c:lblAlgn val="ctr"/>
        <c:lblOffset val="100"/>
        <c:noMultiLvlLbl val="0"/>
      </c:catAx>
      <c:valAx>
        <c:axId val="381438384"/>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35739407574053245"/>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1436032"/>
        <c:crosses val="autoZero"/>
        <c:crossBetween val="between"/>
      </c:valAx>
      <c:spPr>
        <a:noFill/>
        <a:ln>
          <a:noFill/>
        </a:ln>
        <a:effectLst/>
      </c:spPr>
    </c:plotArea>
    <c:legend>
      <c:legendPos val="b"/>
      <c:layout>
        <c:manualLayout>
          <c:xMode val="edge"/>
          <c:yMode val="edge"/>
          <c:x val="0.14675678040244972"/>
          <c:y val="5.208286464191976E-2"/>
          <c:w val="0.48426399825021871"/>
          <c:h val="0.11061554805649294"/>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0.10714285714285714"/>
          <c:w val="0.84396062992125986"/>
          <c:h val="0.79732783402074736"/>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Not at all</c:v>
                </c:pt>
                <c:pt idx="1">
                  <c:v>Somewhat</c:v>
                </c:pt>
                <c:pt idx="2">
                  <c:v>Very much</c:v>
                </c:pt>
                <c:pt idx="3">
                  <c:v>Don’t know</c:v>
                </c:pt>
              </c:strCache>
            </c:strRef>
          </c:cat>
          <c:val>
            <c:numRef>
              <c:f>Sheet1!$B$2:$B$5</c:f>
              <c:numCache>
                <c:formatCode>General</c:formatCode>
                <c:ptCount val="4"/>
                <c:pt idx="0">
                  <c:v>15.4</c:v>
                </c:pt>
                <c:pt idx="1">
                  <c:v>76.900000000000006</c:v>
                </c:pt>
                <c:pt idx="2">
                  <c:v>7.7</c:v>
                </c:pt>
                <c:pt idx="3">
                  <c:v>0</c:v>
                </c:pt>
              </c:numCache>
            </c:numRef>
          </c:val>
          <c:extLst xmlns:c16r2="http://schemas.microsoft.com/office/drawing/2015/06/chart">
            <c:ext xmlns:c16="http://schemas.microsoft.com/office/drawing/2014/chart" uri="{C3380CC4-5D6E-409C-BE32-E72D297353CC}">
              <c16:uniqueId val="{00000000-34D7-944A-8300-012EECA2B179}"/>
            </c:ext>
          </c:extLst>
        </c:ser>
        <c:ser>
          <c:idx val="1"/>
          <c:order val="1"/>
          <c:tx>
            <c:strRef>
              <c:f>Sheet1!$C$1</c:f>
              <c:strCache>
                <c:ptCount val="1"/>
                <c:pt idx="0">
                  <c:v>Young and Well cohort 18–25 years</c:v>
                </c:pt>
              </c:strCache>
            </c:strRef>
          </c:tx>
          <c:spPr>
            <a:solidFill>
              <a:srgbClr val="2E737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Not at all</c:v>
                </c:pt>
                <c:pt idx="1">
                  <c:v>Somewhat</c:v>
                </c:pt>
                <c:pt idx="2">
                  <c:v>Very much</c:v>
                </c:pt>
                <c:pt idx="3">
                  <c:v>Don’t know</c:v>
                </c:pt>
              </c:strCache>
            </c:strRef>
          </c:cat>
          <c:val>
            <c:numRef>
              <c:f>Sheet1!$C$2:$C$5</c:f>
              <c:numCache>
                <c:formatCode>General</c:formatCode>
                <c:ptCount val="4"/>
                <c:pt idx="0">
                  <c:v>1.2</c:v>
                </c:pt>
                <c:pt idx="1">
                  <c:v>54.8</c:v>
                </c:pt>
                <c:pt idx="2">
                  <c:v>41.2</c:v>
                </c:pt>
                <c:pt idx="3">
                  <c:v>1.9</c:v>
                </c:pt>
              </c:numCache>
            </c:numRef>
          </c:val>
          <c:extLst xmlns:c16r2="http://schemas.microsoft.com/office/drawing/2015/06/chart">
            <c:ext xmlns:c16="http://schemas.microsoft.com/office/drawing/2014/chart" uri="{C3380CC4-5D6E-409C-BE32-E72D297353CC}">
              <c16:uniqueId val="{00000001-34D7-944A-8300-012EECA2B179}"/>
            </c:ext>
          </c:extLst>
        </c:ser>
        <c:dLbls>
          <c:showLegendKey val="0"/>
          <c:showVal val="0"/>
          <c:showCatName val="0"/>
          <c:showSerName val="0"/>
          <c:showPercent val="0"/>
          <c:showBubbleSize val="0"/>
        </c:dLbls>
        <c:gapWidth val="219"/>
        <c:overlap val="-27"/>
        <c:axId val="387206472"/>
        <c:axId val="387212352"/>
      </c:barChart>
      <c:catAx>
        <c:axId val="38720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7212352"/>
        <c:crosses val="autoZero"/>
        <c:auto val="1"/>
        <c:lblAlgn val="ctr"/>
        <c:lblOffset val="100"/>
        <c:noMultiLvlLbl val="0"/>
      </c:catAx>
      <c:valAx>
        <c:axId val="387212352"/>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6666666666666666E-2"/>
              <c:y val="0.35060836145481816"/>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7206472"/>
        <c:crosses val="autoZero"/>
        <c:crossBetween val="between"/>
      </c:valAx>
      <c:spPr>
        <a:noFill/>
        <a:ln>
          <a:noFill/>
        </a:ln>
        <a:effectLst/>
      </c:spPr>
    </c:plotArea>
    <c:legend>
      <c:legendPos val="b"/>
      <c:layout>
        <c:manualLayout>
          <c:xMode val="edge"/>
          <c:yMode val="edge"/>
          <c:x val="0.5273123359580052"/>
          <c:y val="4.4146356705411789E-2"/>
          <c:w val="0.42870844269466318"/>
          <c:h val="0.13045681789776276"/>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9492563429571"/>
          <c:y val="7.9365079365079361E-2"/>
          <c:w val="0.84734951881014875"/>
          <c:h val="0.63949225096862894"/>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Made it a lot worse</c:v>
                </c:pt>
                <c:pt idx="1">
                  <c:v>Made it a little worse</c:v>
                </c:pt>
                <c:pt idx="2">
                  <c:v>Neither</c:v>
                </c:pt>
                <c:pt idx="3">
                  <c:v>Helped a little</c:v>
                </c:pt>
                <c:pt idx="4">
                  <c:v>Helped a lot</c:v>
                </c:pt>
                <c:pt idx="5">
                  <c:v>Don’t know/refused</c:v>
                </c:pt>
              </c:strCache>
            </c:strRef>
          </c:cat>
          <c:val>
            <c:numRef>
              <c:f>Sheet1!$B$2:$B$7</c:f>
              <c:numCache>
                <c:formatCode>General</c:formatCode>
                <c:ptCount val="6"/>
                <c:pt idx="0">
                  <c:v>0</c:v>
                </c:pt>
                <c:pt idx="1">
                  <c:v>3.2</c:v>
                </c:pt>
                <c:pt idx="2">
                  <c:v>59.5</c:v>
                </c:pt>
                <c:pt idx="3">
                  <c:v>30.9</c:v>
                </c:pt>
                <c:pt idx="4">
                  <c:v>6.4</c:v>
                </c:pt>
                <c:pt idx="5">
                  <c:v>0</c:v>
                </c:pt>
              </c:numCache>
            </c:numRef>
          </c:val>
          <c:extLst xmlns:c16r2="http://schemas.microsoft.com/office/drawing/2015/06/chart">
            <c:ext xmlns:c16="http://schemas.microsoft.com/office/drawing/2014/chart" uri="{C3380CC4-5D6E-409C-BE32-E72D297353CC}">
              <c16:uniqueId val="{00000002-8E4C-6B4C-A2B3-B9BDADE3FAC0}"/>
            </c:ext>
          </c:extLst>
        </c:ser>
        <c:ser>
          <c:idx val="1"/>
          <c:order val="1"/>
          <c:tx>
            <c:strRef>
              <c:f>Sheet1!$C$1</c:f>
              <c:strCache>
                <c:ptCount val="1"/>
                <c:pt idx="0">
                  <c:v>Young and Well cohort 18–25 years</c:v>
                </c:pt>
              </c:strCache>
            </c:strRef>
          </c:tx>
          <c:spPr>
            <a:solidFill>
              <a:srgbClr val="2E737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Made it a lot worse</c:v>
                </c:pt>
                <c:pt idx="1">
                  <c:v>Made it a little worse</c:v>
                </c:pt>
                <c:pt idx="2">
                  <c:v>Neither</c:v>
                </c:pt>
                <c:pt idx="3">
                  <c:v>Helped a little</c:v>
                </c:pt>
                <c:pt idx="4">
                  <c:v>Helped a lot</c:v>
                </c:pt>
                <c:pt idx="5">
                  <c:v>Don’t know/refused</c:v>
                </c:pt>
              </c:strCache>
            </c:strRef>
          </c:cat>
          <c:val>
            <c:numRef>
              <c:f>Sheet1!$C$2:$C$7</c:f>
              <c:numCache>
                <c:formatCode>General</c:formatCode>
                <c:ptCount val="6"/>
                <c:pt idx="0">
                  <c:v>0.2</c:v>
                </c:pt>
                <c:pt idx="1">
                  <c:v>1.3</c:v>
                </c:pt>
                <c:pt idx="2">
                  <c:v>14.1</c:v>
                </c:pt>
                <c:pt idx="3">
                  <c:v>53.9</c:v>
                </c:pt>
                <c:pt idx="4">
                  <c:v>26.2</c:v>
                </c:pt>
                <c:pt idx="5">
                  <c:v>3.4</c:v>
                </c:pt>
              </c:numCache>
            </c:numRef>
          </c:val>
          <c:extLst xmlns:c16r2="http://schemas.microsoft.com/office/drawing/2015/06/chart">
            <c:ext xmlns:c16="http://schemas.microsoft.com/office/drawing/2014/chart" uri="{C3380CC4-5D6E-409C-BE32-E72D297353CC}">
              <c16:uniqueId val="{00000003-8E4C-6B4C-A2B3-B9BDADE3FAC0}"/>
            </c:ext>
          </c:extLst>
        </c:ser>
        <c:dLbls>
          <c:showLegendKey val="0"/>
          <c:showVal val="0"/>
          <c:showCatName val="0"/>
          <c:showSerName val="0"/>
          <c:showPercent val="0"/>
          <c:showBubbleSize val="0"/>
        </c:dLbls>
        <c:gapWidth val="219"/>
        <c:overlap val="-27"/>
        <c:axId val="387210000"/>
        <c:axId val="387210784"/>
      </c:barChart>
      <c:catAx>
        <c:axId val="38721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7210784"/>
        <c:crosses val="autoZero"/>
        <c:auto val="1"/>
        <c:lblAlgn val="ctr"/>
        <c:lblOffset val="100"/>
        <c:noMultiLvlLbl val="0"/>
      </c:catAx>
      <c:valAx>
        <c:axId val="387210784"/>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9444444444444445E-2"/>
              <c:y val="0.2626031121109861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7210000"/>
        <c:crosses val="autoZero"/>
        <c:crossBetween val="between"/>
      </c:valAx>
      <c:spPr>
        <a:noFill/>
        <a:ln>
          <a:noFill/>
        </a:ln>
        <a:effectLst/>
      </c:spPr>
    </c:plotArea>
    <c:legend>
      <c:legendPos val="b"/>
      <c:layout>
        <c:manualLayout>
          <c:xMode val="edge"/>
          <c:yMode val="edge"/>
          <c:x val="0.54675678040244968"/>
          <c:y val="2.8273340832395952E-2"/>
          <c:w val="0.42315288713910759"/>
          <c:h val="0.10664729408823898"/>
        </c:manualLayout>
      </c:layout>
      <c:overlay val="0"/>
      <c:spPr>
        <a:solidFill>
          <a:srgbClr val="FFFFFF"/>
        </a:solid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31714785651794"/>
          <c:y val="0.15426634170728659"/>
          <c:w val="0.84734951881014875"/>
          <c:h val="0.68230783652043492"/>
        </c:manualLayout>
      </c:layout>
      <c:barChart>
        <c:barDir val="col"/>
        <c:grouping val="clustered"/>
        <c:varyColors val="0"/>
        <c:ser>
          <c:idx val="0"/>
          <c:order val="0"/>
          <c:tx>
            <c:strRef>
              <c:f>Sheet1!$B$1</c:f>
              <c:strCache>
                <c:ptCount val="1"/>
                <c:pt idx="0">
                  <c:v>Transitioned ADF 18–25 years</c:v>
                </c:pt>
              </c:strCache>
            </c:strRef>
          </c:tx>
          <c:spPr>
            <a:solidFill>
              <a:srgbClr val="A030B2"/>
            </a:solidFill>
            <a:ln>
              <a:noFill/>
            </a:ln>
            <a:effectLst/>
          </c:spPr>
          <c:invertIfNegative val="0"/>
          <c:dLbls>
            <c:numFmt formatCode="#,##0.0" sourceLinked="0"/>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Very dissatisfied</c:v>
                </c:pt>
                <c:pt idx="1">
                  <c:v>Somewhat dissatisfied</c:v>
                </c:pt>
                <c:pt idx="2">
                  <c:v>Somewhat satisfied</c:v>
                </c:pt>
                <c:pt idx="3">
                  <c:v>Very satisfied</c:v>
                </c:pt>
                <c:pt idx="4">
                  <c:v>Don’t know/refused</c:v>
                </c:pt>
              </c:strCache>
            </c:strRef>
          </c:cat>
          <c:val>
            <c:numRef>
              <c:f>Sheet1!$B$2:$B$6</c:f>
              <c:numCache>
                <c:formatCode>General</c:formatCode>
                <c:ptCount val="5"/>
                <c:pt idx="0">
                  <c:v>0</c:v>
                </c:pt>
                <c:pt idx="1">
                  <c:v>20.5</c:v>
                </c:pt>
                <c:pt idx="2">
                  <c:v>69.099999999999994</c:v>
                </c:pt>
                <c:pt idx="3">
                  <c:v>7.1</c:v>
                </c:pt>
                <c:pt idx="4">
                  <c:v>0</c:v>
                </c:pt>
              </c:numCache>
            </c:numRef>
          </c:val>
          <c:extLst xmlns:c16r2="http://schemas.microsoft.com/office/drawing/2015/06/chart">
            <c:ext xmlns:c16="http://schemas.microsoft.com/office/drawing/2014/chart" uri="{C3380CC4-5D6E-409C-BE32-E72D297353CC}">
              <c16:uniqueId val="{00000000-7AB2-7E42-AD71-4AE6C13BA96A}"/>
            </c:ext>
          </c:extLst>
        </c:ser>
        <c:ser>
          <c:idx val="1"/>
          <c:order val="1"/>
          <c:tx>
            <c:strRef>
              <c:f>Sheet1!$C$1</c:f>
              <c:strCache>
                <c:ptCount val="1"/>
                <c:pt idx="0">
                  <c:v>Young and Well cohort 18–25 years</c:v>
                </c:pt>
              </c:strCache>
            </c:strRef>
          </c:tx>
          <c:spPr>
            <a:solidFill>
              <a:srgbClr val="2E7371"/>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Very dissatisfied</c:v>
                </c:pt>
                <c:pt idx="1">
                  <c:v>Somewhat dissatisfied</c:v>
                </c:pt>
                <c:pt idx="2">
                  <c:v>Somewhat satisfied</c:v>
                </c:pt>
                <c:pt idx="3">
                  <c:v>Very satisfied</c:v>
                </c:pt>
                <c:pt idx="4">
                  <c:v>Don’t know/refused</c:v>
                </c:pt>
              </c:strCache>
            </c:strRef>
          </c:cat>
          <c:val>
            <c:numRef>
              <c:f>Sheet1!$C$2:$C$6</c:f>
              <c:numCache>
                <c:formatCode>General</c:formatCode>
                <c:ptCount val="5"/>
                <c:pt idx="0">
                  <c:v>0.2</c:v>
                </c:pt>
                <c:pt idx="1">
                  <c:v>4.2</c:v>
                </c:pt>
                <c:pt idx="2">
                  <c:v>71.900000000000006</c:v>
                </c:pt>
                <c:pt idx="3">
                  <c:v>20.7</c:v>
                </c:pt>
                <c:pt idx="4">
                  <c:v>2.2000000000000002</c:v>
                </c:pt>
              </c:numCache>
            </c:numRef>
          </c:val>
          <c:extLst xmlns:c16r2="http://schemas.microsoft.com/office/drawing/2015/06/chart">
            <c:ext xmlns:c16="http://schemas.microsoft.com/office/drawing/2014/chart" uri="{C3380CC4-5D6E-409C-BE32-E72D297353CC}">
              <c16:uniqueId val="{00000001-7AB2-7E42-AD71-4AE6C13BA96A}"/>
            </c:ext>
          </c:extLst>
        </c:ser>
        <c:dLbls>
          <c:showLegendKey val="0"/>
          <c:showVal val="0"/>
          <c:showCatName val="0"/>
          <c:showSerName val="0"/>
          <c:showPercent val="0"/>
          <c:showBubbleSize val="0"/>
        </c:dLbls>
        <c:gapWidth val="219"/>
        <c:overlap val="-27"/>
        <c:axId val="387209608"/>
        <c:axId val="387211176"/>
      </c:barChart>
      <c:catAx>
        <c:axId val="387209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387211176"/>
        <c:crosses val="autoZero"/>
        <c:auto val="1"/>
        <c:lblAlgn val="ctr"/>
        <c:lblOffset val="100"/>
        <c:noMultiLvlLbl val="0"/>
      </c:catAx>
      <c:valAx>
        <c:axId val="387211176"/>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 cent</a:t>
                </a:r>
              </a:p>
            </c:rich>
          </c:tx>
          <c:layout>
            <c:manualLayout>
              <c:xMode val="edge"/>
              <c:yMode val="edge"/>
              <c:x val="1.3888888888888888E-2"/>
              <c:y val="0.3288126484189476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387209608"/>
        <c:crosses val="autoZero"/>
        <c:crossBetween val="between"/>
      </c:valAx>
      <c:spPr>
        <a:noFill/>
        <a:ln>
          <a:noFill/>
        </a:ln>
        <a:effectLst/>
      </c:spPr>
    </c:plotArea>
    <c:legend>
      <c:legendPos val="b"/>
      <c:layout>
        <c:manualLayout>
          <c:xMode val="edge"/>
          <c:yMode val="edge"/>
          <c:x val="0.54120122484689415"/>
          <c:y val="4.4146356705411789E-2"/>
          <c:w val="0.43148622047244095"/>
          <c:h val="9.0774278215223103E-2"/>
        </c:manualLayout>
      </c:layout>
      <c:overlay val="0"/>
      <c:spPr>
        <a:noFill/>
        <a:ln>
          <a:noFill/>
        </a:ln>
        <a:effectLst/>
      </c:spPr>
      <c:txPr>
        <a:bodyPr rot="0" vert="horz"/>
        <a:lstStyle/>
        <a:p>
          <a:pPr>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baseline="0">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8F97E-D33D-4DD4-85F0-15C9F9D5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345</Pages>
  <Words>100412</Words>
  <Characters>572350</Characters>
  <Application>Microsoft Office Word</Application>
  <DocSecurity>0</DocSecurity>
  <Lines>4769</Lines>
  <Paragraphs>1342</Paragraphs>
  <ScaleCrop>false</ScaleCrop>
  <Company/>
  <LinksUpToDate>false</LinksUpToDate>
  <CharactersWithSpaces>671420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2019-04-03T23:48:00Z</dcterms:created>
  <dcterms:modified xsi:type="dcterms:W3CDTF">2019-04-03T23:50:00Z</dcterms:modified>
</cp:coreProperties>
</file>